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77.xml" ContentType="application/vnd.openxmlformats-officedocument.wordprocessingml.footer+xml"/>
  <Override PartName="/word/footer278.xml" ContentType="application/vnd.openxmlformats-officedocument.wordprocessingml.footer+xml"/>
  <Override PartName="/word/footer279.xml" ContentType="application/vnd.openxmlformats-officedocument.wordprocessingml.footer+xml"/>
  <Override PartName="/word/footer28.xml" ContentType="application/vnd.openxmlformats-officedocument.wordprocessingml.footer+xml"/>
  <Override PartName="/word/footer280.xml" ContentType="application/vnd.openxmlformats-officedocument.wordprocessingml.footer+xml"/>
  <Override PartName="/word/footer281.xml" ContentType="application/vnd.openxmlformats-officedocument.wordprocessingml.footer+xml"/>
  <Override PartName="/word/footer282.xml" ContentType="application/vnd.openxmlformats-officedocument.wordprocessingml.footer+xml"/>
  <Override PartName="/word/footer283.xml" ContentType="application/vnd.openxmlformats-officedocument.wordprocessingml.footer+xml"/>
  <Override PartName="/word/footer284.xml" ContentType="application/vnd.openxmlformats-officedocument.wordprocessingml.footer+xml"/>
  <Override PartName="/word/footer285.xml" ContentType="application/vnd.openxmlformats-officedocument.wordprocessingml.foot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footer289.xml" ContentType="application/vnd.openxmlformats-officedocument.wordprocessingml.footer+xml"/>
  <Override PartName="/word/footer2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footer298.xml" ContentType="application/vnd.openxmlformats-officedocument.wordprocessingml.footer+xml"/>
  <Override PartName="/word/footer29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00.xml" ContentType="application/vnd.openxmlformats-officedocument.wordprocessingml.foot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footer31.xml" ContentType="application/vnd.openxmlformats-officedocument.wordprocessingml.foot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footer319.xml" ContentType="application/vnd.openxmlformats-officedocument.wordprocessingml.footer+xml"/>
  <Override PartName="/word/footer32.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footer328.xml" ContentType="application/vnd.openxmlformats-officedocument.wordprocessingml.footer+xml"/>
  <Override PartName="/word/footer329.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B5785">
      <w:pPr>
        <w:pStyle w:val="2"/>
        <w:spacing w:line="244" w:lineRule="auto"/>
      </w:pPr>
    </w:p>
    <w:p w14:paraId="6C5655F8">
      <w:pPr>
        <w:pStyle w:val="2"/>
        <w:spacing w:line="244" w:lineRule="auto"/>
      </w:pPr>
    </w:p>
    <w:p w14:paraId="1247ED4F">
      <w:pPr>
        <w:pStyle w:val="2"/>
        <w:spacing w:line="244" w:lineRule="auto"/>
      </w:pPr>
    </w:p>
    <w:p w14:paraId="57618B8D">
      <w:pPr>
        <w:pStyle w:val="2"/>
        <w:spacing w:line="244" w:lineRule="auto"/>
      </w:pPr>
    </w:p>
    <w:p w14:paraId="70E1BCE1">
      <w:pPr>
        <w:pStyle w:val="2"/>
        <w:spacing w:line="245" w:lineRule="auto"/>
      </w:pPr>
    </w:p>
    <w:p w14:paraId="097588F3">
      <w:pPr>
        <w:pStyle w:val="2"/>
        <w:spacing w:line="245" w:lineRule="auto"/>
      </w:pPr>
    </w:p>
    <w:p w14:paraId="13F24C17">
      <w:pPr>
        <w:spacing w:before="91" w:line="407" w:lineRule="auto"/>
        <w:ind w:left="38" w:firstLine="690"/>
        <w:rPr>
          <w:rFonts w:ascii="黑体" w:hAnsi="黑体" w:eastAsia="黑体" w:cs="黑体"/>
          <w:sz w:val="28"/>
          <w:szCs w:val="28"/>
        </w:rPr>
      </w:pPr>
      <w:r>
        <w:rPr>
          <w:rFonts w:hint="eastAsia" w:ascii="黑体" w:hAnsi="黑体" w:eastAsia="黑体" w:cs="黑体"/>
          <w:color w:val="0000FF"/>
          <w:spacing w:val="-1"/>
          <w:sz w:val="28"/>
          <w:szCs w:val="28"/>
          <w:lang w:eastAsia="zh-CN"/>
        </w:rPr>
        <w:t>罗田县胜利镇韩塔寺村集装袋生产项目(二期）工程</w:t>
      </w:r>
      <w:r>
        <w:rPr>
          <w:rFonts w:ascii="黑体" w:hAnsi="黑体" w:eastAsia="黑体" w:cs="黑体"/>
          <w:color w:val="0000FF"/>
          <w:spacing w:val="40"/>
          <w:sz w:val="28"/>
          <w:szCs w:val="28"/>
        </w:rPr>
        <w:t xml:space="preserve"> </w:t>
      </w:r>
      <w:r>
        <w:rPr>
          <w:rFonts w:ascii="黑体" w:hAnsi="黑体" w:eastAsia="黑体" w:cs="黑体"/>
          <w:spacing w:val="-1"/>
          <w:sz w:val="28"/>
          <w:szCs w:val="28"/>
        </w:rPr>
        <w:t>（项目</w:t>
      </w:r>
      <w:r>
        <w:rPr>
          <w:rFonts w:ascii="黑体" w:hAnsi="黑体" w:eastAsia="黑体" w:cs="黑体"/>
          <w:spacing w:val="-2"/>
          <w:sz w:val="28"/>
          <w:szCs w:val="28"/>
        </w:rPr>
        <w:t>名称）</w:t>
      </w:r>
      <w:r>
        <w:rPr>
          <w:rFonts w:hint="eastAsia" w:ascii="黑体" w:hAnsi="黑体" w:eastAsia="黑体" w:cs="黑体"/>
          <w:color w:val="0000FF"/>
          <w:spacing w:val="3"/>
          <w:sz w:val="28"/>
          <w:szCs w:val="28"/>
          <w:lang w:eastAsia="zh-CN"/>
        </w:rPr>
        <w:t>罗田县胜利镇韩塔寺村集装袋生产项目(二期）工程</w:t>
      </w:r>
      <w:r>
        <w:rPr>
          <w:rFonts w:ascii="黑体" w:hAnsi="黑体" w:eastAsia="黑体" w:cs="黑体"/>
          <w:color w:val="0000FF"/>
          <w:spacing w:val="48"/>
          <w:sz w:val="28"/>
          <w:szCs w:val="28"/>
        </w:rPr>
        <w:t xml:space="preserve">  </w:t>
      </w:r>
      <w:r>
        <w:rPr>
          <w:rFonts w:ascii="黑体" w:hAnsi="黑体" w:eastAsia="黑体" w:cs="黑体"/>
          <w:spacing w:val="3"/>
          <w:sz w:val="28"/>
          <w:szCs w:val="28"/>
        </w:rPr>
        <w:t>（标段名称）施</w:t>
      </w:r>
    </w:p>
    <w:p w14:paraId="3A0B4346">
      <w:pPr>
        <w:spacing w:before="10" w:line="225" w:lineRule="auto"/>
        <w:ind w:left="3737"/>
        <w:rPr>
          <w:rFonts w:ascii="黑体" w:hAnsi="黑体" w:eastAsia="黑体" w:cs="黑体"/>
          <w:sz w:val="28"/>
          <w:szCs w:val="28"/>
        </w:rPr>
      </w:pPr>
      <w:r>
        <w:rPr>
          <w:rFonts w:ascii="黑体" w:hAnsi="黑体" w:eastAsia="黑体" w:cs="黑体"/>
          <w:spacing w:val="11"/>
          <w:sz w:val="28"/>
          <w:szCs w:val="28"/>
        </w:rPr>
        <w:t>工招标</w:t>
      </w:r>
    </w:p>
    <w:p w14:paraId="19AD47A4">
      <w:pPr>
        <w:pStyle w:val="2"/>
        <w:spacing w:line="267" w:lineRule="auto"/>
      </w:pPr>
    </w:p>
    <w:p w14:paraId="482FFD3C">
      <w:pPr>
        <w:pStyle w:val="2"/>
        <w:spacing w:line="267" w:lineRule="auto"/>
      </w:pPr>
    </w:p>
    <w:p w14:paraId="29AB71A9">
      <w:pPr>
        <w:pStyle w:val="2"/>
        <w:spacing w:line="267" w:lineRule="auto"/>
      </w:pPr>
    </w:p>
    <w:p w14:paraId="427C5C64">
      <w:pPr>
        <w:pStyle w:val="2"/>
        <w:spacing w:line="267" w:lineRule="auto"/>
      </w:pPr>
    </w:p>
    <w:p w14:paraId="0094FA97">
      <w:pPr>
        <w:pStyle w:val="2"/>
        <w:spacing w:line="267" w:lineRule="auto"/>
      </w:pPr>
    </w:p>
    <w:p w14:paraId="1A769B6D">
      <w:pPr>
        <w:pStyle w:val="2"/>
        <w:spacing w:line="268" w:lineRule="auto"/>
      </w:pPr>
    </w:p>
    <w:p w14:paraId="4B17929D">
      <w:pPr>
        <w:spacing w:before="140" w:line="221" w:lineRule="auto"/>
        <w:ind w:left="2974"/>
        <w:rPr>
          <w:rFonts w:ascii="黑体" w:hAnsi="黑体" w:eastAsia="黑体" w:cs="黑体"/>
          <w:sz w:val="43"/>
          <w:szCs w:val="43"/>
        </w:rPr>
      </w:pPr>
      <w:r>
        <w:rPr>
          <w:rFonts w:ascii="黑体" w:hAnsi="黑体" w:eastAsia="黑体" w:cs="黑体"/>
          <w:spacing w:val="-8"/>
          <w:sz w:val="43"/>
          <w:szCs w:val="43"/>
        </w:rPr>
        <w:t>招</w:t>
      </w:r>
      <w:r>
        <w:rPr>
          <w:rFonts w:ascii="黑体" w:hAnsi="黑体" w:eastAsia="黑体" w:cs="黑体"/>
          <w:spacing w:val="20"/>
          <w:sz w:val="43"/>
          <w:szCs w:val="43"/>
        </w:rPr>
        <w:t xml:space="preserve"> </w:t>
      </w:r>
      <w:r>
        <w:rPr>
          <w:rFonts w:ascii="黑体" w:hAnsi="黑体" w:eastAsia="黑体" w:cs="黑体"/>
          <w:spacing w:val="-8"/>
          <w:sz w:val="43"/>
          <w:szCs w:val="43"/>
        </w:rPr>
        <w:t>标</w:t>
      </w:r>
      <w:r>
        <w:rPr>
          <w:rFonts w:ascii="黑体" w:hAnsi="黑体" w:eastAsia="黑体" w:cs="黑体"/>
          <w:spacing w:val="33"/>
          <w:sz w:val="43"/>
          <w:szCs w:val="43"/>
        </w:rPr>
        <w:t xml:space="preserve"> </w:t>
      </w:r>
      <w:r>
        <w:rPr>
          <w:rFonts w:ascii="黑体" w:hAnsi="黑体" w:eastAsia="黑体" w:cs="黑体"/>
          <w:spacing w:val="-8"/>
          <w:sz w:val="43"/>
          <w:szCs w:val="43"/>
        </w:rPr>
        <w:t>文</w:t>
      </w:r>
      <w:r>
        <w:rPr>
          <w:rFonts w:ascii="黑体" w:hAnsi="黑体" w:eastAsia="黑体" w:cs="黑体"/>
          <w:spacing w:val="23"/>
          <w:sz w:val="43"/>
          <w:szCs w:val="43"/>
        </w:rPr>
        <w:t xml:space="preserve"> </w:t>
      </w:r>
      <w:r>
        <w:rPr>
          <w:rFonts w:ascii="黑体" w:hAnsi="黑体" w:eastAsia="黑体" w:cs="黑体"/>
          <w:spacing w:val="-8"/>
          <w:sz w:val="43"/>
          <w:szCs w:val="43"/>
        </w:rPr>
        <w:t>件</w:t>
      </w:r>
    </w:p>
    <w:p w14:paraId="2D670BC4">
      <w:pPr>
        <w:pStyle w:val="2"/>
        <w:spacing w:line="315" w:lineRule="auto"/>
      </w:pPr>
    </w:p>
    <w:p w14:paraId="2F04FFD9">
      <w:pPr>
        <w:pStyle w:val="2"/>
        <w:spacing w:line="315" w:lineRule="auto"/>
      </w:pPr>
    </w:p>
    <w:p w14:paraId="48D36F57">
      <w:pPr>
        <w:spacing w:before="91" w:line="242" w:lineRule="auto"/>
        <w:ind w:left="3105"/>
        <w:rPr>
          <w:rFonts w:hint="eastAsia" w:ascii="Calibri" w:hAnsi="Calibri" w:eastAsia="黑体" w:cs="Calibri"/>
          <w:sz w:val="28"/>
          <w:szCs w:val="28"/>
          <w:lang w:eastAsia="zh-CN"/>
        </w:rPr>
      </w:pPr>
      <w:r>
        <w:rPr>
          <w:rFonts w:ascii="黑体" w:hAnsi="黑体" w:eastAsia="黑体" w:cs="黑体"/>
          <w:spacing w:val="-1"/>
          <w:sz w:val="28"/>
          <w:szCs w:val="28"/>
        </w:rPr>
        <w:t>招标编号：</w:t>
      </w:r>
      <w:r>
        <w:rPr>
          <w:rFonts w:hint="eastAsia" w:ascii="Calibri" w:hAnsi="Calibri" w:eastAsia="宋体" w:cs="Calibri"/>
          <w:color w:val="0000FF"/>
          <w:spacing w:val="-1"/>
          <w:sz w:val="28"/>
          <w:szCs w:val="28"/>
          <w:lang w:eastAsia="zh-CN"/>
        </w:rPr>
        <w:t>HBLT-202605FJ-006001001</w:t>
      </w:r>
    </w:p>
    <w:p w14:paraId="66A6675F">
      <w:pPr>
        <w:pStyle w:val="2"/>
        <w:spacing w:line="247" w:lineRule="auto"/>
      </w:pPr>
    </w:p>
    <w:p w14:paraId="2BA21DF1">
      <w:pPr>
        <w:pStyle w:val="2"/>
        <w:spacing w:line="247" w:lineRule="auto"/>
      </w:pPr>
    </w:p>
    <w:p w14:paraId="03BAEA0D">
      <w:pPr>
        <w:pStyle w:val="2"/>
        <w:spacing w:line="247" w:lineRule="auto"/>
      </w:pPr>
    </w:p>
    <w:p w14:paraId="4C3E34AB">
      <w:pPr>
        <w:pStyle w:val="2"/>
        <w:spacing w:line="247" w:lineRule="auto"/>
      </w:pPr>
    </w:p>
    <w:p w14:paraId="37F5A53B">
      <w:pPr>
        <w:pStyle w:val="2"/>
        <w:spacing w:line="247" w:lineRule="auto"/>
      </w:pPr>
    </w:p>
    <w:p w14:paraId="03434BA1">
      <w:pPr>
        <w:pStyle w:val="2"/>
        <w:spacing w:line="247" w:lineRule="auto"/>
      </w:pPr>
    </w:p>
    <w:p w14:paraId="7508189D">
      <w:pPr>
        <w:pStyle w:val="2"/>
        <w:spacing w:line="247" w:lineRule="auto"/>
      </w:pPr>
    </w:p>
    <w:p w14:paraId="2EA007F9">
      <w:pPr>
        <w:pStyle w:val="2"/>
        <w:spacing w:line="247" w:lineRule="auto"/>
      </w:pPr>
    </w:p>
    <w:p w14:paraId="3A30E049">
      <w:pPr>
        <w:pStyle w:val="2"/>
        <w:spacing w:line="247" w:lineRule="auto"/>
      </w:pPr>
    </w:p>
    <w:p w14:paraId="4B247E49">
      <w:pPr>
        <w:pStyle w:val="2"/>
        <w:spacing w:line="247" w:lineRule="auto"/>
      </w:pPr>
    </w:p>
    <w:p w14:paraId="0C4AB7FE">
      <w:pPr>
        <w:pStyle w:val="2"/>
        <w:spacing w:line="247" w:lineRule="auto"/>
      </w:pPr>
    </w:p>
    <w:p w14:paraId="297A82F0">
      <w:pPr>
        <w:pStyle w:val="2"/>
        <w:spacing w:line="248" w:lineRule="auto"/>
      </w:pPr>
    </w:p>
    <w:p w14:paraId="3378F400">
      <w:pPr>
        <w:pStyle w:val="2"/>
        <w:spacing w:line="248" w:lineRule="auto"/>
      </w:pPr>
    </w:p>
    <w:p w14:paraId="571068F8">
      <w:pPr>
        <w:pStyle w:val="2"/>
        <w:spacing w:line="248" w:lineRule="auto"/>
      </w:pPr>
    </w:p>
    <w:p w14:paraId="71C2FF6E">
      <w:pPr>
        <w:pStyle w:val="2"/>
        <w:spacing w:line="248" w:lineRule="auto"/>
      </w:pPr>
    </w:p>
    <w:p w14:paraId="4EFE23A4">
      <w:pPr>
        <w:pStyle w:val="2"/>
        <w:spacing w:line="248" w:lineRule="auto"/>
      </w:pPr>
    </w:p>
    <w:p w14:paraId="0A82BF71">
      <w:pPr>
        <w:pStyle w:val="2"/>
        <w:spacing w:line="248" w:lineRule="auto"/>
      </w:pPr>
    </w:p>
    <w:p w14:paraId="462A584B">
      <w:pPr>
        <w:pStyle w:val="2"/>
        <w:spacing w:line="248" w:lineRule="auto"/>
      </w:pPr>
    </w:p>
    <w:p w14:paraId="4077F798">
      <w:pPr>
        <w:spacing w:before="91" w:line="237" w:lineRule="auto"/>
        <w:rPr>
          <w:rFonts w:ascii="黑体" w:hAnsi="黑体" w:eastAsia="黑体" w:cs="黑体"/>
          <w:sz w:val="28"/>
          <w:szCs w:val="28"/>
        </w:rPr>
      </w:pPr>
      <w:r>
        <w:rPr>
          <w:rFonts w:ascii="黑体" w:hAnsi="黑体" w:eastAsia="黑体" w:cs="黑体"/>
          <w:spacing w:val="3"/>
          <w:sz w:val="28"/>
          <w:szCs w:val="28"/>
        </w:rPr>
        <w:t>招标人</w:t>
      </w:r>
      <w:r>
        <w:rPr>
          <w:rFonts w:ascii="Calibri" w:hAnsi="Calibri" w:eastAsia="Calibri" w:cs="Calibri"/>
          <w:spacing w:val="3"/>
          <w:sz w:val="28"/>
          <w:szCs w:val="28"/>
        </w:rPr>
        <w:t>/</w:t>
      </w:r>
      <w:r>
        <w:rPr>
          <w:rFonts w:ascii="黑体" w:hAnsi="黑体" w:eastAsia="黑体" w:cs="黑体"/>
          <w:spacing w:val="3"/>
          <w:sz w:val="28"/>
          <w:szCs w:val="28"/>
        </w:rPr>
        <w:t>招标代理机构</w:t>
      </w:r>
      <w:r>
        <w:rPr>
          <w:rFonts w:ascii="黑体" w:hAnsi="黑体" w:eastAsia="黑体" w:cs="黑体"/>
          <w:spacing w:val="-80"/>
          <w:sz w:val="28"/>
          <w:szCs w:val="28"/>
        </w:rPr>
        <w:t>：</w:t>
      </w:r>
      <w:r>
        <w:rPr>
          <w:rFonts w:hint="eastAsia" w:ascii="黑体" w:hAnsi="黑体" w:eastAsia="黑体" w:cs="黑体"/>
          <w:spacing w:val="3"/>
          <w:sz w:val="28"/>
          <w:szCs w:val="28"/>
          <w:lang w:val="en-US" w:eastAsia="zh-CN"/>
        </w:rPr>
        <w:t>湖北宏顺项目管理有限公司</w:t>
      </w:r>
      <w:r>
        <w:rPr>
          <w:rFonts w:ascii="黑体" w:hAnsi="黑体" w:eastAsia="黑体" w:cs="黑体"/>
          <w:spacing w:val="3"/>
          <w:sz w:val="28"/>
          <w:szCs w:val="28"/>
        </w:rPr>
        <w:t>（</w:t>
      </w:r>
      <w:r>
        <w:rPr>
          <w:rFonts w:ascii="黑体" w:hAnsi="黑体" w:eastAsia="黑体" w:cs="黑体"/>
          <w:spacing w:val="3"/>
          <w:sz w:val="28"/>
          <w:szCs w:val="28"/>
        </w:rPr>
        <w:t>盖章）</w:t>
      </w:r>
    </w:p>
    <w:p w14:paraId="79078ED2">
      <w:pPr>
        <w:spacing w:before="155"/>
        <w:ind w:left="3301"/>
        <w:rPr>
          <w:rFonts w:ascii="宋体" w:hAnsi="宋体" w:eastAsia="宋体" w:cs="宋体"/>
          <w:sz w:val="21"/>
          <w:szCs w:val="21"/>
        </w:rPr>
      </w:pPr>
      <w:r>
        <w:rPr>
          <w:rFonts w:ascii="Calibri" w:hAnsi="Calibri" w:eastAsia="Calibri" w:cs="Calibri"/>
          <w:color w:val="0000FF"/>
          <w:spacing w:val="-5"/>
          <w:sz w:val="21"/>
          <w:szCs w:val="21"/>
        </w:rPr>
        <w:t>202</w:t>
      </w:r>
      <w:r>
        <w:rPr>
          <w:rFonts w:hint="eastAsia" w:ascii="Calibri" w:hAnsi="Calibri" w:eastAsia="宋体" w:cs="Calibri"/>
          <w:color w:val="0000FF"/>
          <w:spacing w:val="-5"/>
          <w:sz w:val="21"/>
          <w:szCs w:val="21"/>
          <w:lang w:val="en-US" w:eastAsia="zh-CN"/>
        </w:rPr>
        <w:t>6</w:t>
      </w:r>
      <w:r>
        <w:rPr>
          <w:rFonts w:ascii="Calibri" w:hAnsi="Calibri" w:eastAsia="Calibri" w:cs="Calibri"/>
          <w:color w:val="0000FF"/>
          <w:spacing w:val="26"/>
          <w:w w:val="101"/>
          <w:sz w:val="21"/>
          <w:szCs w:val="21"/>
        </w:rPr>
        <w:t xml:space="preserve"> </w:t>
      </w:r>
      <w:r>
        <w:rPr>
          <w:rFonts w:ascii="宋体" w:hAnsi="宋体" w:eastAsia="宋体" w:cs="宋体"/>
          <w:color w:val="0000FF"/>
          <w:spacing w:val="-5"/>
          <w:sz w:val="21"/>
          <w:szCs w:val="21"/>
        </w:rPr>
        <w:t>年</w:t>
      </w:r>
      <w:r>
        <w:rPr>
          <w:rFonts w:ascii="宋体" w:hAnsi="宋体" w:eastAsia="宋体" w:cs="宋体"/>
          <w:color w:val="0000FF"/>
          <w:spacing w:val="-27"/>
          <w:sz w:val="21"/>
          <w:szCs w:val="21"/>
        </w:rPr>
        <w:t xml:space="preserve"> </w:t>
      </w:r>
      <w:r>
        <w:rPr>
          <w:rFonts w:hint="eastAsia" w:ascii="Calibri" w:hAnsi="Calibri" w:eastAsia="宋体" w:cs="Calibri"/>
          <w:color w:val="0000FF"/>
          <w:spacing w:val="-5"/>
          <w:sz w:val="21"/>
          <w:szCs w:val="21"/>
          <w:lang w:val="en-US" w:eastAsia="zh-CN"/>
        </w:rPr>
        <w:t>5</w:t>
      </w:r>
      <w:r>
        <w:rPr>
          <w:rFonts w:ascii="宋体" w:hAnsi="宋体" w:eastAsia="宋体" w:cs="宋体"/>
          <w:color w:val="0000FF"/>
          <w:spacing w:val="-5"/>
          <w:sz w:val="21"/>
          <w:szCs w:val="21"/>
        </w:rPr>
        <w:t>月</w:t>
      </w:r>
      <w:r>
        <w:rPr>
          <w:rFonts w:hint="eastAsia" w:ascii="宋体" w:hAnsi="宋体" w:eastAsia="宋体" w:cs="宋体"/>
          <w:color w:val="0000FF"/>
          <w:spacing w:val="-38"/>
          <w:sz w:val="21"/>
          <w:szCs w:val="21"/>
          <w:lang w:val="en-US" w:eastAsia="zh-CN"/>
        </w:rPr>
        <w:t>22</w:t>
      </w:r>
      <w:r>
        <w:rPr>
          <w:rFonts w:ascii="宋体" w:hAnsi="宋体" w:eastAsia="宋体" w:cs="宋体"/>
          <w:color w:val="0000FF"/>
          <w:spacing w:val="-5"/>
          <w:sz w:val="21"/>
          <w:szCs w:val="21"/>
        </w:rPr>
        <w:t>日</w:t>
      </w:r>
    </w:p>
    <w:p w14:paraId="418FC22B">
      <w:pPr>
        <w:rPr>
          <w:rFonts w:ascii="宋体" w:hAnsi="宋体" w:eastAsia="宋体" w:cs="宋体"/>
          <w:sz w:val="21"/>
          <w:szCs w:val="21"/>
        </w:rPr>
        <w:sectPr>
          <w:pgSz w:w="11910" w:h="16845"/>
          <w:pgMar w:top="1431" w:right="1682" w:bottom="0" w:left="1786" w:header="0" w:footer="0" w:gutter="0"/>
          <w:cols w:space="720" w:num="1"/>
        </w:sectPr>
      </w:pPr>
      <w:bookmarkStart w:id="727" w:name="_GoBack"/>
      <w:bookmarkEnd w:id="727"/>
    </w:p>
    <w:sdt>
      <w:sdtPr>
        <w:rPr>
          <w:rFonts w:ascii="黑体" w:hAnsi="黑体" w:eastAsia="黑体" w:cs="黑体"/>
          <w:sz w:val="28"/>
          <w:szCs w:val="28"/>
        </w:rPr>
        <w:id w:val="147481088"/>
        <w:docPartObj>
          <w:docPartGallery w:val="Table of Contents"/>
          <w:docPartUnique/>
        </w:docPartObj>
      </w:sdtPr>
      <w:sdtEndPr>
        <w:rPr>
          <w:rFonts w:ascii="Calibri" w:hAnsi="Calibri" w:eastAsia="Calibri" w:cs="Calibri"/>
          <w:sz w:val="21"/>
          <w:szCs w:val="21"/>
        </w:rPr>
      </w:sdtEndPr>
      <w:sdtContent>
        <w:p w14:paraId="698DFEEC">
          <w:pPr>
            <w:spacing w:before="170" w:line="222" w:lineRule="auto"/>
            <w:ind w:left="3517"/>
            <w:rPr>
              <w:rFonts w:ascii="黑体" w:hAnsi="黑体" w:eastAsia="黑体" w:cs="黑体"/>
              <w:sz w:val="28"/>
              <w:szCs w:val="28"/>
            </w:rPr>
          </w:pPr>
          <w:r>
            <w:rPr>
              <w:rFonts w:ascii="黑体" w:hAnsi="黑体" w:eastAsia="黑体" w:cs="黑体"/>
              <w:b/>
              <w:bCs/>
              <w:spacing w:val="-24"/>
              <w:sz w:val="28"/>
              <w:szCs w:val="28"/>
            </w:rPr>
            <w:t>目</w:t>
          </w:r>
          <w:r>
            <w:rPr>
              <w:rFonts w:ascii="黑体" w:hAnsi="黑体" w:eastAsia="黑体" w:cs="黑体"/>
              <w:spacing w:val="4"/>
              <w:sz w:val="28"/>
              <w:szCs w:val="28"/>
            </w:rPr>
            <w:t xml:space="preserve">   </w:t>
          </w:r>
          <w:r>
            <w:rPr>
              <w:rFonts w:ascii="黑体" w:hAnsi="黑体" w:eastAsia="黑体" w:cs="黑体"/>
              <w:b/>
              <w:bCs/>
              <w:spacing w:val="-24"/>
              <w:sz w:val="28"/>
              <w:szCs w:val="28"/>
            </w:rPr>
            <w:t>录</w:t>
          </w:r>
        </w:p>
        <w:p w14:paraId="3610E302">
          <w:pPr>
            <w:tabs>
              <w:tab w:val="right" w:leader="dot" w:pos="9252"/>
            </w:tabs>
            <w:spacing w:before="177" w:line="205" w:lineRule="auto"/>
            <w:ind w:left="24"/>
            <w:rPr>
              <w:rFonts w:ascii="Calibri" w:hAnsi="Calibri" w:eastAsia="Calibri" w:cs="Calibri"/>
              <w:sz w:val="21"/>
              <w:szCs w:val="21"/>
            </w:rPr>
          </w:pPr>
          <w:r>
            <w:fldChar w:fldCharType="begin"/>
          </w:r>
          <w:r>
            <w:instrText xml:space="preserve"> HYPERLINK \l "bookmark1" </w:instrText>
          </w:r>
          <w:r>
            <w:fldChar w:fldCharType="separate"/>
          </w:r>
          <w:r>
            <w:rPr>
              <w:rFonts w:ascii="宋体" w:hAnsi="宋体" w:eastAsia="宋体" w:cs="宋体"/>
              <w:spacing w:val="-3"/>
              <w:sz w:val="21"/>
              <w:szCs w:val="21"/>
            </w:rPr>
            <w:t>第一卷</w:t>
          </w:r>
          <w:r>
            <w:rPr>
              <w:rFonts w:ascii="宋体" w:hAnsi="宋体" w:eastAsia="宋体" w:cs="宋体"/>
              <w:spacing w:val="-60"/>
              <w:sz w:val="21"/>
              <w:szCs w:val="21"/>
            </w:rPr>
            <w:t xml:space="preserve"> </w:t>
          </w:r>
          <w:r>
            <w:rPr>
              <w:rFonts w:ascii="宋体" w:hAnsi="宋体" w:eastAsia="宋体" w:cs="宋体"/>
              <w:sz w:val="21"/>
              <w:szCs w:val="21"/>
            </w:rPr>
            <w:tab/>
          </w:r>
          <w:r>
            <w:rPr>
              <w:rFonts w:ascii="Calibri" w:hAnsi="Calibri" w:eastAsia="Calibri" w:cs="Calibri"/>
              <w:spacing w:val="8"/>
              <w:sz w:val="21"/>
              <w:szCs w:val="21"/>
            </w:rPr>
            <w:t>1</w:t>
          </w:r>
          <w:r>
            <w:rPr>
              <w:rFonts w:ascii="Calibri" w:hAnsi="Calibri" w:eastAsia="Calibri" w:cs="Calibri"/>
              <w:spacing w:val="8"/>
              <w:sz w:val="21"/>
              <w:szCs w:val="21"/>
            </w:rPr>
            <w:fldChar w:fldCharType="end"/>
          </w:r>
        </w:p>
        <w:p w14:paraId="36FB43A5">
          <w:pPr>
            <w:tabs>
              <w:tab w:val="right" w:leader="dot" w:pos="9252"/>
            </w:tabs>
            <w:spacing w:before="67" w:line="205" w:lineRule="auto"/>
            <w:ind w:left="24"/>
            <w:rPr>
              <w:rFonts w:ascii="Calibri" w:hAnsi="Calibri" w:eastAsia="Calibri" w:cs="Calibri"/>
              <w:sz w:val="21"/>
              <w:szCs w:val="21"/>
            </w:rPr>
          </w:pPr>
          <w:r>
            <w:fldChar w:fldCharType="begin"/>
          </w:r>
          <w:r>
            <w:instrText xml:space="preserve"> HYPERLINK \l "bookmark2" </w:instrText>
          </w:r>
          <w:r>
            <w:fldChar w:fldCharType="separate"/>
          </w:r>
          <w:r>
            <w:rPr>
              <w:rFonts w:ascii="宋体" w:hAnsi="宋体" w:eastAsia="宋体" w:cs="宋体"/>
              <w:spacing w:val="-1"/>
              <w:sz w:val="21"/>
              <w:szCs w:val="21"/>
            </w:rPr>
            <w:t>第一章      招标公告</w:t>
          </w:r>
          <w:r>
            <w:rPr>
              <w:rFonts w:ascii="宋体" w:hAnsi="宋体" w:eastAsia="宋体" w:cs="宋体"/>
              <w:spacing w:val="-84"/>
              <w:sz w:val="21"/>
              <w:szCs w:val="21"/>
            </w:rPr>
            <w:t xml:space="preserve"> </w:t>
          </w:r>
          <w:r>
            <w:rPr>
              <w:rFonts w:ascii="宋体" w:hAnsi="宋体" w:eastAsia="宋体" w:cs="宋体"/>
              <w:sz w:val="21"/>
              <w:szCs w:val="21"/>
            </w:rPr>
            <w:tab/>
          </w:r>
          <w:r>
            <w:rPr>
              <w:rFonts w:ascii="Calibri" w:hAnsi="Calibri" w:eastAsia="Calibri" w:cs="Calibri"/>
              <w:spacing w:val="8"/>
              <w:sz w:val="21"/>
              <w:szCs w:val="21"/>
            </w:rPr>
            <w:t>2</w:t>
          </w:r>
          <w:r>
            <w:rPr>
              <w:rFonts w:ascii="Calibri" w:hAnsi="Calibri" w:eastAsia="Calibri" w:cs="Calibri"/>
              <w:spacing w:val="8"/>
              <w:sz w:val="21"/>
              <w:szCs w:val="21"/>
            </w:rPr>
            <w:fldChar w:fldCharType="end"/>
          </w:r>
        </w:p>
        <w:p w14:paraId="378A9394">
          <w:pPr>
            <w:tabs>
              <w:tab w:val="right" w:leader="dot" w:pos="9252"/>
            </w:tabs>
            <w:spacing w:before="81" w:line="205" w:lineRule="auto"/>
            <w:ind w:left="24"/>
            <w:rPr>
              <w:rFonts w:ascii="Calibri" w:hAnsi="Calibri" w:eastAsia="Calibri" w:cs="Calibri"/>
              <w:sz w:val="21"/>
              <w:szCs w:val="21"/>
            </w:rPr>
          </w:pPr>
          <w:r>
            <w:fldChar w:fldCharType="begin"/>
          </w:r>
          <w:r>
            <w:instrText xml:space="preserve"> HYPERLINK \l "bookmark3" </w:instrText>
          </w:r>
          <w:r>
            <w:fldChar w:fldCharType="separate"/>
          </w:r>
          <w:r>
            <w:rPr>
              <w:rFonts w:ascii="宋体" w:hAnsi="宋体" w:eastAsia="宋体" w:cs="宋体"/>
              <w:spacing w:val="-1"/>
              <w:sz w:val="21"/>
              <w:szCs w:val="21"/>
            </w:rPr>
            <w:t>第二章  投标人须知</w:t>
          </w:r>
          <w:r>
            <w:rPr>
              <w:rFonts w:ascii="宋体" w:hAnsi="宋体" w:eastAsia="宋体" w:cs="宋体"/>
              <w:spacing w:val="-57"/>
              <w:sz w:val="21"/>
              <w:szCs w:val="21"/>
            </w:rPr>
            <w:t xml:space="preserve"> </w:t>
          </w:r>
          <w:r>
            <w:rPr>
              <w:rFonts w:ascii="宋体" w:hAnsi="宋体" w:eastAsia="宋体" w:cs="宋体"/>
              <w:sz w:val="21"/>
              <w:szCs w:val="21"/>
            </w:rPr>
            <w:tab/>
          </w:r>
          <w:r>
            <w:rPr>
              <w:rFonts w:ascii="Calibri" w:hAnsi="Calibri" w:eastAsia="Calibri" w:cs="Calibri"/>
              <w:spacing w:val="9"/>
              <w:sz w:val="21"/>
              <w:szCs w:val="21"/>
            </w:rPr>
            <w:t>8</w:t>
          </w:r>
          <w:r>
            <w:rPr>
              <w:rFonts w:ascii="Calibri" w:hAnsi="Calibri" w:eastAsia="Calibri" w:cs="Calibri"/>
              <w:spacing w:val="9"/>
              <w:sz w:val="21"/>
              <w:szCs w:val="21"/>
            </w:rPr>
            <w:fldChar w:fldCharType="end"/>
          </w:r>
        </w:p>
        <w:p w14:paraId="5737C7BC">
          <w:pPr>
            <w:tabs>
              <w:tab w:val="right" w:leader="dot" w:pos="8322"/>
            </w:tabs>
            <w:spacing w:before="82" w:line="205" w:lineRule="auto"/>
            <w:ind w:left="447"/>
            <w:rPr>
              <w:rFonts w:ascii="Calibri" w:hAnsi="Calibri" w:eastAsia="Calibri" w:cs="Calibri"/>
              <w:sz w:val="21"/>
              <w:szCs w:val="21"/>
            </w:rPr>
          </w:pPr>
          <w:r>
            <w:fldChar w:fldCharType="begin"/>
          </w:r>
          <w:r>
            <w:instrText xml:space="preserve"> HYPERLINK \l "bookmark4" </w:instrText>
          </w:r>
          <w:r>
            <w:fldChar w:fldCharType="separate"/>
          </w:r>
          <w:r>
            <w:rPr>
              <w:rFonts w:ascii="宋体" w:hAnsi="宋体" w:eastAsia="宋体" w:cs="宋体"/>
              <w:spacing w:val="-1"/>
              <w:sz w:val="21"/>
              <w:szCs w:val="21"/>
            </w:rPr>
            <w:t>投标人须知前附表</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60"/>
              <w:sz w:val="21"/>
              <w:szCs w:val="21"/>
            </w:rPr>
            <w:t xml:space="preserve"> </w:t>
          </w:r>
          <w:r>
            <w:rPr>
              <w:rFonts w:ascii="Calibri" w:hAnsi="Calibri" w:eastAsia="Calibri" w:cs="Calibri"/>
              <w:sz w:val="21"/>
              <w:szCs w:val="21"/>
            </w:rPr>
            <w:t>8</w:t>
          </w:r>
          <w:r>
            <w:rPr>
              <w:rFonts w:ascii="Calibri" w:hAnsi="Calibri" w:eastAsia="Calibri" w:cs="Calibri"/>
              <w:sz w:val="21"/>
              <w:szCs w:val="21"/>
            </w:rPr>
            <w:fldChar w:fldCharType="end"/>
          </w:r>
        </w:p>
        <w:p w14:paraId="66DE5D00">
          <w:pPr>
            <w:tabs>
              <w:tab w:val="right" w:leader="dot" w:pos="8322"/>
            </w:tabs>
            <w:spacing w:before="82" w:line="205" w:lineRule="auto"/>
            <w:ind w:left="447"/>
            <w:rPr>
              <w:rFonts w:ascii="Calibri" w:hAnsi="Calibri" w:eastAsia="Calibri" w:cs="Calibri"/>
              <w:sz w:val="21"/>
              <w:szCs w:val="21"/>
            </w:rPr>
          </w:pPr>
          <w:r>
            <w:fldChar w:fldCharType="begin"/>
          </w:r>
          <w:r>
            <w:instrText xml:space="preserve"> HYPERLINK \l "bookmark5" </w:instrText>
          </w:r>
          <w:r>
            <w:fldChar w:fldCharType="separate"/>
          </w:r>
          <w:r>
            <w:rPr>
              <w:rFonts w:ascii="宋体" w:hAnsi="宋体" w:eastAsia="宋体" w:cs="宋体"/>
              <w:spacing w:val="-1"/>
              <w:sz w:val="21"/>
              <w:szCs w:val="21"/>
            </w:rPr>
            <w:t>投标人须知正文部分</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3"/>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56F6A8FB">
          <w:pPr>
            <w:tabs>
              <w:tab w:val="right" w:leader="dot" w:pos="8322"/>
            </w:tabs>
            <w:spacing w:before="82" w:line="205" w:lineRule="auto"/>
            <w:ind w:left="874"/>
            <w:rPr>
              <w:rFonts w:ascii="Calibri" w:hAnsi="Calibri" w:eastAsia="Calibri" w:cs="Calibri"/>
              <w:sz w:val="21"/>
              <w:szCs w:val="21"/>
            </w:rPr>
          </w:pPr>
          <w:r>
            <w:fldChar w:fldCharType="begin"/>
          </w:r>
          <w:r>
            <w:instrText xml:space="preserve"> HYPERLINK \l "bookmark6" </w:instrText>
          </w:r>
          <w:r>
            <w:fldChar w:fldCharType="separate"/>
          </w:r>
          <w:r>
            <w:rPr>
              <w:rFonts w:ascii="Calibri" w:hAnsi="Calibri" w:eastAsia="Calibri" w:cs="Calibri"/>
              <w:spacing w:val="-9"/>
              <w:sz w:val="21"/>
              <w:szCs w:val="21"/>
            </w:rPr>
            <w:t>1.</w:t>
          </w:r>
          <w:r>
            <w:rPr>
              <w:rFonts w:ascii="Calibri" w:hAnsi="Calibri" w:eastAsia="Calibri" w:cs="Calibri"/>
              <w:spacing w:val="16"/>
              <w:w w:val="101"/>
              <w:sz w:val="21"/>
              <w:szCs w:val="21"/>
            </w:rPr>
            <w:t xml:space="preserve">  </w:t>
          </w:r>
          <w:r>
            <w:rPr>
              <w:rFonts w:ascii="宋体" w:hAnsi="宋体" w:eastAsia="宋体" w:cs="宋体"/>
              <w:spacing w:val="-9"/>
              <w:sz w:val="21"/>
              <w:szCs w:val="21"/>
            </w:rPr>
            <w:t>总则</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03167479">
          <w:pPr>
            <w:tabs>
              <w:tab w:val="right" w:leader="dot" w:pos="8322"/>
            </w:tabs>
            <w:spacing w:before="67" w:line="205" w:lineRule="auto"/>
            <w:ind w:left="868"/>
            <w:rPr>
              <w:rFonts w:ascii="Calibri" w:hAnsi="Calibri" w:eastAsia="Calibri" w:cs="Calibri"/>
              <w:sz w:val="21"/>
              <w:szCs w:val="21"/>
            </w:rPr>
          </w:pPr>
          <w:r>
            <w:fldChar w:fldCharType="begin"/>
          </w:r>
          <w:r>
            <w:instrText xml:space="preserve"> HYPERLINK \l "bookmark7" </w:instrText>
          </w:r>
          <w:r>
            <w:fldChar w:fldCharType="separate"/>
          </w:r>
          <w:r>
            <w:rPr>
              <w:rFonts w:ascii="Calibri" w:hAnsi="Calibri" w:eastAsia="Calibri" w:cs="Calibri"/>
              <w:spacing w:val="-4"/>
              <w:sz w:val="21"/>
              <w:szCs w:val="21"/>
            </w:rPr>
            <w:t>2.</w:t>
          </w:r>
          <w:r>
            <w:rPr>
              <w:rFonts w:ascii="Calibri" w:hAnsi="Calibri" w:eastAsia="Calibri" w:cs="Calibri"/>
              <w:spacing w:val="14"/>
              <w:sz w:val="21"/>
              <w:szCs w:val="21"/>
            </w:rPr>
            <w:t xml:space="preserve">  </w:t>
          </w:r>
          <w:r>
            <w:rPr>
              <w:rFonts w:ascii="宋体" w:hAnsi="宋体" w:eastAsia="宋体" w:cs="宋体"/>
              <w:spacing w:val="-4"/>
              <w:sz w:val="21"/>
              <w:szCs w:val="21"/>
            </w:rPr>
            <w:t>招标文件</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3A011AA8">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"bookmark8" </w:instrText>
          </w:r>
          <w:r>
            <w:fldChar w:fldCharType="separate"/>
          </w:r>
          <w:r>
            <w:rPr>
              <w:rFonts w:ascii="Calibri" w:hAnsi="Calibri" w:eastAsia="Calibri" w:cs="Calibri"/>
              <w:spacing w:val="-4"/>
              <w:sz w:val="21"/>
              <w:szCs w:val="21"/>
            </w:rPr>
            <w:t>3.</w:t>
          </w:r>
          <w:r>
            <w:rPr>
              <w:rFonts w:ascii="Calibri" w:hAnsi="Calibri" w:eastAsia="Calibri" w:cs="Calibri"/>
              <w:spacing w:val="14"/>
              <w:w w:val="101"/>
              <w:sz w:val="21"/>
              <w:szCs w:val="21"/>
            </w:rPr>
            <w:t xml:space="preserve">  </w:t>
          </w:r>
          <w:r>
            <w:rPr>
              <w:rFonts w:ascii="宋体" w:hAnsi="宋体" w:eastAsia="宋体" w:cs="宋体"/>
              <w:spacing w:val="-4"/>
              <w:sz w:val="21"/>
              <w:szCs w:val="21"/>
            </w:rPr>
            <w:t>投标文件</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729DD5D0">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"bookmark9" </w:instrText>
          </w:r>
          <w:r>
            <w:fldChar w:fldCharType="separate"/>
          </w:r>
          <w:r>
            <w:rPr>
              <w:rFonts w:ascii="Calibri" w:hAnsi="Calibri" w:eastAsia="Calibri" w:cs="Calibri"/>
              <w:spacing w:val="-5"/>
              <w:sz w:val="21"/>
              <w:szCs w:val="21"/>
            </w:rPr>
            <w:t>4.</w:t>
          </w:r>
          <w:r>
            <w:rPr>
              <w:rFonts w:ascii="Calibri" w:hAnsi="Calibri" w:eastAsia="Calibri" w:cs="Calibri"/>
              <w:spacing w:val="15"/>
              <w:sz w:val="21"/>
              <w:szCs w:val="21"/>
            </w:rPr>
            <w:t xml:space="preserve">  </w:t>
          </w:r>
          <w:r>
            <w:rPr>
              <w:rFonts w:ascii="宋体" w:hAnsi="宋体" w:eastAsia="宋体" w:cs="宋体"/>
              <w:spacing w:val="-5"/>
              <w:sz w:val="21"/>
              <w:szCs w:val="21"/>
            </w:rPr>
            <w:t>投标</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21</w:t>
          </w:r>
          <w:r>
            <w:rPr>
              <w:rFonts w:ascii="Calibri" w:hAnsi="Calibri" w:eastAsia="Calibri" w:cs="Calibri"/>
              <w:spacing w:val="-4"/>
              <w:sz w:val="21"/>
              <w:szCs w:val="21"/>
            </w:rPr>
            <w:fldChar w:fldCharType="end"/>
          </w:r>
        </w:p>
        <w:p w14:paraId="4B7ABF9D">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"bookmark10" </w:instrText>
          </w:r>
          <w:r>
            <w:fldChar w:fldCharType="separate"/>
          </w:r>
          <w:r>
            <w:rPr>
              <w:rFonts w:ascii="Calibri" w:hAnsi="Calibri" w:eastAsia="Calibri" w:cs="Calibri"/>
              <w:spacing w:val="-6"/>
              <w:sz w:val="21"/>
              <w:szCs w:val="21"/>
            </w:rPr>
            <w:t>5.</w:t>
          </w:r>
          <w:r>
            <w:rPr>
              <w:rFonts w:ascii="Calibri" w:hAnsi="Calibri" w:eastAsia="Calibri" w:cs="Calibri"/>
              <w:spacing w:val="14"/>
              <w:sz w:val="21"/>
              <w:szCs w:val="21"/>
            </w:rPr>
            <w:t xml:space="preserve">  </w:t>
          </w:r>
          <w:r>
            <w:rPr>
              <w:rFonts w:ascii="宋体" w:hAnsi="宋体" w:eastAsia="宋体" w:cs="宋体"/>
              <w:spacing w:val="-6"/>
              <w:sz w:val="21"/>
              <w:szCs w:val="21"/>
            </w:rPr>
            <w:t>开标</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22</w:t>
          </w:r>
          <w:r>
            <w:rPr>
              <w:rFonts w:ascii="Calibri" w:hAnsi="Calibri" w:eastAsia="Calibri" w:cs="Calibri"/>
              <w:spacing w:val="-4"/>
              <w:sz w:val="21"/>
              <w:szCs w:val="21"/>
            </w:rPr>
            <w:fldChar w:fldCharType="end"/>
          </w:r>
        </w:p>
        <w:p w14:paraId="1DD615EB">
          <w:pPr>
            <w:tabs>
              <w:tab w:val="right" w:leader="dot" w:pos="8322"/>
            </w:tabs>
            <w:spacing w:before="82" w:line="205" w:lineRule="auto"/>
            <w:ind w:left="868"/>
            <w:rPr>
              <w:rFonts w:ascii="Calibri" w:hAnsi="Calibri" w:eastAsia="Calibri" w:cs="Calibri"/>
              <w:sz w:val="21"/>
              <w:szCs w:val="21"/>
            </w:rPr>
          </w:pPr>
          <w:r>
            <w:fldChar w:fldCharType="begin"/>
          </w:r>
          <w:r>
            <w:instrText xml:space="preserve"> HYPERLINK \l "bookmark11" </w:instrText>
          </w:r>
          <w:r>
            <w:fldChar w:fldCharType="separate"/>
          </w:r>
          <w:r>
            <w:rPr>
              <w:rFonts w:ascii="Calibri" w:hAnsi="Calibri" w:eastAsia="Calibri" w:cs="Calibri"/>
              <w:spacing w:val="-5"/>
              <w:sz w:val="21"/>
              <w:szCs w:val="21"/>
            </w:rPr>
            <w:t>6.</w:t>
          </w:r>
          <w:r>
            <w:rPr>
              <w:rFonts w:ascii="Calibri" w:hAnsi="Calibri" w:eastAsia="Calibri" w:cs="Calibri"/>
              <w:spacing w:val="12"/>
              <w:sz w:val="21"/>
              <w:szCs w:val="21"/>
            </w:rPr>
            <w:t xml:space="preserve">  </w:t>
          </w:r>
          <w:r>
            <w:rPr>
              <w:rFonts w:ascii="宋体" w:hAnsi="宋体" w:eastAsia="宋体" w:cs="宋体"/>
              <w:spacing w:val="-5"/>
              <w:sz w:val="21"/>
              <w:szCs w:val="21"/>
            </w:rPr>
            <w:t>评标</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23</w:t>
          </w:r>
          <w:r>
            <w:rPr>
              <w:rFonts w:ascii="Calibri" w:hAnsi="Calibri" w:eastAsia="Calibri" w:cs="Calibri"/>
              <w:spacing w:val="-4"/>
              <w:sz w:val="21"/>
              <w:szCs w:val="21"/>
            </w:rPr>
            <w:fldChar w:fldCharType="end"/>
          </w:r>
        </w:p>
        <w:p w14:paraId="2582DACB">
          <w:pPr>
            <w:tabs>
              <w:tab w:val="right" w:leader="dot" w:pos="8322"/>
            </w:tabs>
            <w:spacing w:before="67" w:line="205" w:lineRule="auto"/>
            <w:ind w:left="867"/>
            <w:rPr>
              <w:rFonts w:ascii="Calibri" w:hAnsi="Calibri" w:eastAsia="Calibri" w:cs="Calibri"/>
              <w:sz w:val="21"/>
              <w:szCs w:val="21"/>
            </w:rPr>
          </w:pPr>
          <w:r>
            <w:fldChar w:fldCharType="begin"/>
          </w:r>
          <w:r>
            <w:instrText xml:space="preserve"> HYPERLINK \l "bookmark12" </w:instrText>
          </w:r>
          <w:r>
            <w:fldChar w:fldCharType="separate"/>
          </w:r>
          <w:r>
            <w:rPr>
              <w:rFonts w:ascii="Calibri" w:hAnsi="Calibri" w:eastAsia="Calibri" w:cs="Calibri"/>
              <w:spacing w:val="-4"/>
              <w:sz w:val="21"/>
              <w:szCs w:val="21"/>
            </w:rPr>
            <w:t>7.</w:t>
          </w:r>
          <w:r>
            <w:rPr>
              <w:rFonts w:ascii="Calibri" w:hAnsi="Calibri" w:eastAsia="Calibri" w:cs="Calibri"/>
              <w:spacing w:val="15"/>
              <w:sz w:val="21"/>
              <w:szCs w:val="21"/>
            </w:rPr>
            <w:t xml:space="preserve">  </w:t>
          </w:r>
          <w:r>
            <w:rPr>
              <w:rFonts w:ascii="宋体" w:hAnsi="宋体" w:eastAsia="宋体" w:cs="宋体"/>
              <w:spacing w:val="-4"/>
              <w:sz w:val="21"/>
              <w:szCs w:val="21"/>
            </w:rPr>
            <w:t>合同授予</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24</w:t>
          </w:r>
          <w:r>
            <w:rPr>
              <w:rFonts w:ascii="Calibri" w:hAnsi="Calibri" w:eastAsia="Calibri" w:cs="Calibri"/>
              <w:spacing w:val="-4"/>
              <w:sz w:val="21"/>
              <w:szCs w:val="21"/>
            </w:rPr>
            <w:fldChar w:fldCharType="end"/>
          </w:r>
        </w:p>
        <w:p w14:paraId="72B37480">
          <w:pPr>
            <w:tabs>
              <w:tab w:val="right" w:leader="dot" w:pos="8322"/>
            </w:tabs>
            <w:spacing w:before="83" w:line="205" w:lineRule="auto"/>
            <w:ind w:left="865"/>
            <w:rPr>
              <w:rFonts w:ascii="Calibri" w:hAnsi="Calibri" w:eastAsia="Calibri" w:cs="Calibri"/>
              <w:sz w:val="21"/>
              <w:szCs w:val="21"/>
            </w:rPr>
          </w:pPr>
          <w:r>
            <w:fldChar w:fldCharType="begin"/>
          </w:r>
          <w:r>
            <w:instrText xml:space="preserve"> HYPERLINK \l "bookmark13" </w:instrText>
          </w:r>
          <w:r>
            <w:fldChar w:fldCharType="separate"/>
          </w:r>
          <w:r>
            <w:rPr>
              <w:rFonts w:ascii="Calibri" w:hAnsi="Calibri" w:eastAsia="Calibri" w:cs="Calibri"/>
              <w:spacing w:val="-1"/>
              <w:sz w:val="21"/>
              <w:szCs w:val="21"/>
            </w:rPr>
            <w:t>8.</w:t>
          </w:r>
          <w:r>
            <w:rPr>
              <w:rFonts w:ascii="Calibri" w:hAnsi="Calibri" w:eastAsia="Calibri" w:cs="Calibri"/>
              <w:spacing w:val="14"/>
              <w:sz w:val="21"/>
              <w:szCs w:val="21"/>
            </w:rPr>
            <w:t xml:space="preserve">  </w:t>
          </w:r>
          <w:r>
            <w:rPr>
              <w:rFonts w:ascii="宋体" w:hAnsi="宋体" w:eastAsia="宋体" w:cs="宋体"/>
              <w:spacing w:val="-1"/>
              <w:sz w:val="21"/>
              <w:szCs w:val="21"/>
            </w:rPr>
            <w:t>重新招标、不再招标和终止招标</w:t>
          </w:r>
          <w:r>
            <w:rPr>
              <w:rFonts w:ascii="宋体" w:hAnsi="宋体" w:eastAsia="宋体" w:cs="宋体"/>
              <w:spacing w:val="-62"/>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25</w:t>
          </w:r>
          <w:r>
            <w:rPr>
              <w:rFonts w:ascii="Calibri" w:hAnsi="Calibri" w:eastAsia="Calibri" w:cs="Calibri"/>
              <w:spacing w:val="-4"/>
              <w:sz w:val="21"/>
              <w:szCs w:val="21"/>
            </w:rPr>
            <w:fldChar w:fldCharType="end"/>
          </w:r>
        </w:p>
        <w:p w14:paraId="527B7F64">
          <w:pPr>
            <w:tabs>
              <w:tab w:val="right" w:leader="dot" w:pos="8322"/>
            </w:tabs>
            <w:spacing w:before="81" w:line="205" w:lineRule="auto"/>
            <w:ind w:left="865"/>
            <w:rPr>
              <w:rFonts w:ascii="Calibri" w:hAnsi="Calibri" w:eastAsia="Calibri" w:cs="Calibri"/>
              <w:sz w:val="21"/>
              <w:szCs w:val="21"/>
            </w:rPr>
          </w:pPr>
          <w:r>
            <w:fldChar w:fldCharType="begin"/>
          </w:r>
          <w:r>
            <w:instrText xml:space="preserve"> HYPERLINK \l "bookmark14" </w:instrText>
          </w:r>
          <w:r>
            <w:fldChar w:fldCharType="separate"/>
          </w:r>
          <w:r>
            <w:rPr>
              <w:rFonts w:ascii="Calibri" w:hAnsi="Calibri" w:eastAsia="Calibri" w:cs="Calibri"/>
              <w:spacing w:val="-4"/>
              <w:sz w:val="21"/>
              <w:szCs w:val="21"/>
            </w:rPr>
            <w:t>9.</w:t>
          </w:r>
          <w:r>
            <w:rPr>
              <w:rFonts w:ascii="Calibri" w:hAnsi="Calibri" w:eastAsia="Calibri" w:cs="Calibri"/>
              <w:spacing w:val="18"/>
              <w:sz w:val="21"/>
              <w:szCs w:val="21"/>
            </w:rPr>
            <w:t xml:space="preserve">  </w:t>
          </w:r>
          <w:r>
            <w:rPr>
              <w:rFonts w:ascii="宋体" w:hAnsi="宋体" w:eastAsia="宋体" w:cs="宋体"/>
              <w:spacing w:val="-4"/>
              <w:sz w:val="21"/>
              <w:szCs w:val="21"/>
            </w:rPr>
            <w:t>纪律和监督</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26</w:t>
          </w:r>
          <w:r>
            <w:rPr>
              <w:rFonts w:ascii="Calibri" w:hAnsi="Calibri" w:eastAsia="Calibri" w:cs="Calibri"/>
              <w:spacing w:val="-4"/>
              <w:sz w:val="21"/>
              <w:szCs w:val="21"/>
            </w:rPr>
            <w:fldChar w:fldCharType="end"/>
          </w:r>
        </w:p>
        <w:p w14:paraId="201DB581">
          <w:pPr>
            <w:tabs>
              <w:tab w:val="right" w:leader="dot" w:pos="8322"/>
            </w:tabs>
            <w:spacing w:before="83" w:line="205" w:lineRule="auto"/>
            <w:ind w:left="874"/>
            <w:rPr>
              <w:rFonts w:ascii="Calibri" w:hAnsi="Calibri" w:eastAsia="Calibri" w:cs="Calibri"/>
              <w:sz w:val="21"/>
              <w:szCs w:val="21"/>
            </w:rPr>
          </w:pPr>
          <w:r>
            <w:fldChar w:fldCharType="begin"/>
          </w:r>
          <w:r>
            <w:instrText xml:space="preserve"> HYPERLINK \l "bookmark15" </w:instrText>
          </w:r>
          <w:r>
            <w:fldChar w:fldCharType="separate"/>
          </w:r>
          <w:r>
            <w:rPr>
              <w:rFonts w:ascii="Calibri" w:hAnsi="Calibri" w:eastAsia="Calibri" w:cs="Calibri"/>
              <w:spacing w:val="-4"/>
              <w:sz w:val="21"/>
              <w:szCs w:val="21"/>
            </w:rPr>
            <w:t>10.</w:t>
          </w:r>
          <w:r>
            <w:rPr>
              <w:rFonts w:ascii="Calibri" w:hAnsi="Calibri" w:eastAsia="Calibri" w:cs="Calibri"/>
              <w:spacing w:val="23"/>
              <w:w w:val="101"/>
              <w:sz w:val="21"/>
              <w:szCs w:val="21"/>
            </w:rPr>
            <w:t xml:space="preserve">  </w:t>
          </w:r>
          <w:r>
            <w:rPr>
              <w:rFonts w:ascii="宋体" w:hAnsi="宋体" w:eastAsia="宋体" w:cs="宋体"/>
              <w:spacing w:val="-4"/>
              <w:sz w:val="21"/>
              <w:szCs w:val="21"/>
            </w:rPr>
            <w:t>需要补充的其他内容</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27</w:t>
          </w:r>
          <w:r>
            <w:rPr>
              <w:rFonts w:ascii="Calibri" w:hAnsi="Calibri" w:eastAsia="Calibri" w:cs="Calibri"/>
              <w:spacing w:val="-4"/>
              <w:sz w:val="21"/>
              <w:szCs w:val="21"/>
            </w:rPr>
            <w:fldChar w:fldCharType="end"/>
          </w:r>
        </w:p>
        <w:p w14:paraId="5C8ECA39">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"bookmark16" </w:instrText>
          </w:r>
          <w:r>
            <w:fldChar w:fldCharType="separate"/>
          </w:r>
          <w:r>
            <w:rPr>
              <w:rFonts w:ascii="宋体" w:hAnsi="宋体" w:eastAsia="宋体" w:cs="宋体"/>
              <w:spacing w:val="-2"/>
              <w:sz w:val="21"/>
              <w:szCs w:val="21"/>
            </w:rPr>
            <w:t>附录一：投标人资质条件、能力和信誉</w:t>
          </w:r>
          <w:r>
            <w:rPr>
              <w:rFonts w:ascii="宋体" w:hAnsi="宋体" w:eastAsia="宋体" w:cs="宋体"/>
              <w:spacing w:val="-47"/>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28</w:t>
          </w:r>
          <w:r>
            <w:rPr>
              <w:rFonts w:ascii="Calibri" w:hAnsi="Calibri" w:eastAsia="Calibri" w:cs="Calibri"/>
              <w:spacing w:val="-4"/>
              <w:sz w:val="21"/>
              <w:szCs w:val="21"/>
            </w:rPr>
            <w:fldChar w:fldCharType="end"/>
          </w:r>
        </w:p>
        <w:p w14:paraId="297FBEAA">
          <w:pPr>
            <w:tabs>
              <w:tab w:val="right" w:leader="dot" w:pos="8322"/>
            </w:tabs>
            <w:spacing w:before="67" w:line="205" w:lineRule="auto"/>
            <w:ind w:left="461"/>
            <w:rPr>
              <w:rFonts w:ascii="Calibri" w:hAnsi="Calibri" w:eastAsia="Calibri" w:cs="Calibri"/>
              <w:sz w:val="21"/>
              <w:szCs w:val="21"/>
            </w:rPr>
          </w:pPr>
          <w:r>
            <w:fldChar w:fldCharType="begin"/>
          </w:r>
          <w:r>
            <w:instrText xml:space="preserve"> HYPERLINK \l "bookmark17" </w:instrText>
          </w:r>
          <w:r>
            <w:fldChar w:fldCharType="separate"/>
          </w:r>
          <w:r>
            <w:rPr>
              <w:rFonts w:ascii="宋体" w:hAnsi="宋体" w:eastAsia="宋体" w:cs="宋体"/>
              <w:spacing w:val="-1"/>
              <w:sz w:val="21"/>
              <w:szCs w:val="21"/>
            </w:rPr>
            <w:t>附录二：政府采购工程预留工作及金额</w:t>
          </w:r>
          <w:r>
            <w:rPr>
              <w:rFonts w:ascii="宋体" w:hAnsi="宋体" w:eastAsia="宋体" w:cs="宋体"/>
              <w:spacing w:val="-63"/>
              <w:sz w:val="21"/>
              <w:szCs w:val="21"/>
            </w:rPr>
            <w:t xml:space="preserve"> </w:t>
          </w:r>
          <w:r>
            <w:rPr>
              <w:rFonts w:ascii="宋体" w:hAnsi="宋体" w:eastAsia="宋体" w:cs="宋体"/>
              <w:sz w:val="21"/>
              <w:szCs w:val="21"/>
            </w:rPr>
            <w:tab/>
          </w:r>
          <w:r>
            <w:rPr>
              <w:rFonts w:ascii="宋体" w:hAnsi="宋体" w:eastAsia="宋体" w:cs="宋体"/>
              <w:spacing w:val="-43"/>
              <w:sz w:val="21"/>
              <w:szCs w:val="21"/>
            </w:rPr>
            <w:t xml:space="preserve"> </w:t>
          </w:r>
          <w:r>
            <w:rPr>
              <w:rFonts w:ascii="Calibri" w:hAnsi="Calibri" w:eastAsia="Calibri" w:cs="Calibri"/>
              <w:spacing w:val="-3"/>
              <w:sz w:val="21"/>
              <w:szCs w:val="21"/>
            </w:rPr>
            <w:t>31</w:t>
          </w:r>
          <w:r>
            <w:rPr>
              <w:rFonts w:ascii="Calibri" w:hAnsi="Calibri" w:eastAsia="Calibri" w:cs="Calibri"/>
              <w:spacing w:val="-3"/>
              <w:sz w:val="21"/>
              <w:szCs w:val="21"/>
            </w:rPr>
            <w:fldChar w:fldCharType="end"/>
          </w:r>
        </w:p>
        <w:p w14:paraId="0B448A3E">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"bookmark18" </w:instrText>
          </w:r>
          <w:r>
            <w:fldChar w:fldCharType="separate"/>
          </w:r>
          <w:r>
            <w:rPr>
              <w:rFonts w:ascii="宋体" w:hAnsi="宋体" w:eastAsia="宋体" w:cs="宋体"/>
              <w:spacing w:val="-1"/>
              <w:sz w:val="21"/>
              <w:szCs w:val="21"/>
            </w:rPr>
            <w:t>附录三：政府采购工程适合小微企业承担的工作及金额</w:t>
          </w:r>
          <w:r>
            <w:rPr>
              <w:rFonts w:ascii="宋体" w:hAnsi="宋体" w:eastAsia="宋体" w:cs="宋体"/>
              <w:spacing w:val="-85"/>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32</w:t>
          </w:r>
          <w:r>
            <w:rPr>
              <w:rFonts w:ascii="Calibri" w:hAnsi="Calibri" w:eastAsia="Calibri" w:cs="Calibri"/>
              <w:spacing w:val="-3"/>
              <w:sz w:val="21"/>
              <w:szCs w:val="21"/>
            </w:rPr>
            <w:fldChar w:fldCharType="end"/>
          </w:r>
        </w:p>
        <w:p w14:paraId="7B08F1C3">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"bookmark19" </w:instrText>
          </w:r>
          <w:r>
            <w:fldChar w:fldCharType="separate"/>
          </w:r>
          <w:r>
            <w:rPr>
              <w:rFonts w:ascii="宋体" w:hAnsi="宋体" w:eastAsia="宋体" w:cs="宋体"/>
              <w:spacing w:val="-4"/>
              <w:sz w:val="21"/>
              <w:szCs w:val="21"/>
            </w:rPr>
            <w:t>附表一：招标文件澄清申请函</w:t>
          </w:r>
          <w:r>
            <w:rPr>
              <w:rFonts w:ascii="宋体" w:hAnsi="宋体" w:eastAsia="宋体" w:cs="宋体"/>
              <w:spacing w:val="-30"/>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33</w:t>
          </w:r>
          <w:r>
            <w:rPr>
              <w:rFonts w:ascii="Calibri" w:hAnsi="Calibri" w:eastAsia="Calibri" w:cs="Calibri"/>
              <w:spacing w:val="-3"/>
              <w:sz w:val="21"/>
              <w:szCs w:val="21"/>
            </w:rPr>
            <w:fldChar w:fldCharType="end"/>
          </w:r>
        </w:p>
        <w:p w14:paraId="587D14E4">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"bookmark20" </w:instrText>
          </w:r>
          <w:r>
            <w:fldChar w:fldCharType="separate"/>
          </w:r>
          <w:r>
            <w:rPr>
              <w:rFonts w:ascii="宋体" w:hAnsi="宋体" w:eastAsia="宋体" w:cs="宋体"/>
              <w:spacing w:val="-2"/>
              <w:sz w:val="21"/>
              <w:szCs w:val="21"/>
            </w:rPr>
            <w:t>附表二：招标文件文件澄清通知</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34</w:t>
          </w:r>
          <w:r>
            <w:rPr>
              <w:rFonts w:ascii="Calibri" w:hAnsi="Calibri" w:eastAsia="Calibri" w:cs="Calibri"/>
              <w:spacing w:val="-3"/>
              <w:sz w:val="21"/>
              <w:szCs w:val="21"/>
            </w:rPr>
            <w:fldChar w:fldCharType="end"/>
          </w:r>
        </w:p>
        <w:p w14:paraId="037528EB">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"bookmark21" </w:instrText>
          </w:r>
          <w:r>
            <w:fldChar w:fldCharType="separate"/>
          </w:r>
          <w:r>
            <w:rPr>
              <w:rFonts w:ascii="宋体" w:hAnsi="宋体" w:eastAsia="宋体" w:cs="宋体"/>
              <w:spacing w:val="-2"/>
              <w:sz w:val="21"/>
              <w:szCs w:val="21"/>
            </w:rPr>
            <w:t>附表三：招标文件文件修改通知</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35</w:t>
          </w:r>
          <w:r>
            <w:rPr>
              <w:rFonts w:ascii="Calibri" w:hAnsi="Calibri" w:eastAsia="Calibri" w:cs="Calibri"/>
              <w:spacing w:val="-3"/>
              <w:sz w:val="21"/>
              <w:szCs w:val="21"/>
            </w:rPr>
            <w:fldChar w:fldCharType="end"/>
          </w:r>
        </w:p>
        <w:p w14:paraId="4977CC08">
          <w:pPr>
            <w:tabs>
              <w:tab w:val="right" w:leader="dot" w:pos="8322"/>
            </w:tabs>
            <w:spacing w:before="67" w:line="205" w:lineRule="auto"/>
            <w:ind w:left="461"/>
            <w:rPr>
              <w:rFonts w:ascii="Calibri" w:hAnsi="Calibri" w:eastAsia="Calibri" w:cs="Calibri"/>
              <w:sz w:val="21"/>
              <w:szCs w:val="21"/>
            </w:rPr>
          </w:pPr>
          <w:r>
            <w:fldChar w:fldCharType="begin"/>
          </w:r>
          <w:r>
            <w:instrText xml:space="preserve"> HYPERLINK \l "bookmark22" </w:instrText>
          </w:r>
          <w:r>
            <w:fldChar w:fldCharType="separate"/>
          </w:r>
          <w:r>
            <w:rPr>
              <w:rFonts w:ascii="宋体" w:hAnsi="宋体" w:eastAsia="宋体" w:cs="宋体"/>
              <w:spacing w:val="-2"/>
              <w:sz w:val="21"/>
              <w:szCs w:val="21"/>
            </w:rPr>
            <w:t>附表四：投标文件递交签收凭证</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36</w:t>
          </w:r>
          <w:r>
            <w:rPr>
              <w:rFonts w:ascii="Calibri" w:hAnsi="Calibri" w:eastAsia="Calibri" w:cs="Calibri"/>
              <w:spacing w:val="-3"/>
              <w:sz w:val="21"/>
              <w:szCs w:val="21"/>
            </w:rPr>
            <w:fldChar w:fldCharType="end"/>
          </w:r>
        </w:p>
        <w:p w14:paraId="1ED4E546">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"bookmark23" </w:instrText>
          </w:r>
          <w:r>
            <w:fldChar w:fldCharType="separate"/>
          </w:r>
          <w:r>
            <w:rPr>
              <w:rFonts w:ascii="宋体" w:hAnsi="宋体" w:eastAsia="宋体" w:cs="宋体"/>
              <w:spacing w:val="-3"/>
              <w:sz w:val="21"/>
              <w:szCs w:val="21"/>
            </w:rPr>
            <w:t>附表五：开标记录表</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37</w:t>
          </w:r>
          <w:r>
            <w:rPr>
              <w:rFonts w:ascii="Calibri" w:hAnsi="Calibri" w:eastAsia="Calibri" w:cs="Calibri"/>
              <w:spacing w:val="-3"/>
              <w:sz w:val="21"/>
              <w:szCs w:val="21"/>
            </w:rPr>
            <w:fldChar w:fldCharType="end"/>
          </w:r>
        </w:p>
        <w:p w14:paraId="5BFDA011">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"bookmark24" </w:instrText>
          </w:r>
          <w:r>
            <w:fldChar w:fldCharType="separate"/>
          </w:r>
          <w:r>
            <w:rPr>
              <w:rFonts w:ascii="宋体" w:hAnsi="宋体" w:eastAsia="宋体" w:cs="宋体"/>
              <w:spacing w:val="-2"/>
              <w:sz w:val="21"/>
              <w:szCs w:val="21"/>
            </w:rPr>
            <w:t>附表六：投标文件问题澄清通知</w:t>
          </w:r>
          <w:r>
            <w:rPr>
              <w:rFonts w:ascii="宋体" w:hAnsi="宋体" w:eastAsia="宋体" w:cs="宋体"/>
              <w:spacing w:val="-84"/>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38</w:t>
          </w:r>
          <w:r>
            <w:rPr>
              <w:rFonts w:ascii="Calibri" w:hAnsi="Calibri" w:eastAsia="Calibri" w:cs="Calibri"/>
              <w:spacing w:val="-3"/>
              <w:sz w:val="21"/>
              <w:szCs w:val="21"/>
            </w:rPr>
            <w:fldChar w:fldCharType="end"/>
          </w:r>
        </w:p>
        <w:p w14:paraId="0CFB4F47">
          <w:pPr>
            <w:tabs>
              <w:tab w:val="right" w:leader="dot" w:pos="8322"/>
            </w:tabs>
            <w:spacing w:before="83" w:line="205" w:lineRule="auto"/>
            <w:ind w:left="461"/>
            <w:rPr>
              <w:rFonts w:ascii="Calibri" w:hAnsi="Calibri" w:eastAsia="Calibri" w:cs="Calibri"/>
              <w:sz w:val="21"/>
              <w:szCs w:val="21"/>
            </w:rPr>
          </w:pPr>
          <w:r>
            <w:fldChar w:fldCharType="begin"/>
          </w:r>
          <w:r>
            <w:instrText xml:space="preserve"> HYPERLINK \l "bookmark25" </w:instrText>
          </w:r>
          <w:r>
            <w:fldChar w:fldCharType="separate"/>
          </w:r>
          <w:r>
            <w:rPr>
              <w:rFonts w:ascii="宋体" w:hAnsi="宋体" w:eastAsia="宋体" w:cs="宋体"/>
              <w:spacing w:val="-2"/>
              <w:sz w:val="21"/>
              <w:szCs w:val="21"/>
            </w:rPr>
            <w:t>附表七：投标文件问题的澄清</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39</w:t>
          </w:r>
          <w:r>
            <w:rPr>
              <w:rFonts w:ascii="Calibri" w:hAnsi="Calibri" w:eastAsia="Calibri" w:cs="Calibri"/>
              <w:spacing w:val="-3"/>
              <w:sz w:val="21"/>
              <w:szCs w:val="21"/>
            </w:rPr>
            <w:fldChar w:fldCharType="end"/>
          </w:r>
        </w:p>
        <w:p w14:paraId="15B3E1BB">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"bookmark26" </w:instrText>
          </w:r>
          <w:r>
            <w:fldChar w:fldCharType="separate"/>
          </w:r>
          <w:r>
            <w:rPr>
              <w:rFonts w:ascii="宋体" w:hAnsi="宋体" w:eastAsia="宋体" w:cs="宋体"/>
              <w:spacing w:val="-3"/>
              <w:sz w:val="21"/>
              <w:szCs w:val="21"/>
            </w:rPr>
            <w:t>附表八：中标通知书</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40</w:t>
          </w:r>
          <w:r>
            <w:rPr>
              <w:rFonts w:ascii="Calibri" w:hAnsi="Calibri" w:eastAsia="Calibri" w:cs="Calibri"/>
              <w:spacing w:val="-2"/>
              <w:sz w:val="21"/>
              <w:szCs w:val="21"/>
            </w:rPr>
            <w:fldChar w:fldCharType="end"/>
          </w:r>
        </w:p>
        <w:p w14:paraId="0F67890A">
          <w:pPr>
            <w:tabs>
              <w:tab w:val="right" w:leader="dot" w:pos="8322"/>
            </w:tabs>
            <w:spacing w:before="67" w:line="205" w:lineRule="auto"/>
            <w:ind w:left="461"/>
            <w:rPr>
              <w:rFonts w:ascii="Calibri" w:hAnsi="Calibri" w:eastAsia="Calibri" w:cs="Calibri"/>
              <w:sz w:val="21"/>
              <w:szCs w:val="21"/>
            </w:rPr>
          </w:pPr>
          <w:r>
            <w:fldChar w:fldCharType="begin"/>
          </w:r>
          <w:r>
            <w:instrText xml:space="preserve"> HYPERLINK \l "bookmark27" </w:instrText>
          </w:r>
          <w:r>
            <w:fldChar w:fldCharType="separate"/>
          </w:r>
          <w:r>
            <w:rPr>
              <w:rFonts w:ascii="宋体" w:hAnsi="宋体" w:eastAsia="宋体" w:cs="宋体"/>
              <w:spacing w:val="-2"/>
              <w:sz w:val="21"/>
              <w:szCs w:val="21"/>
            </w:rPr>
            <w:t>附表九：中标结果通知书</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47"/>
              <w:sz w:val="21"/>
              <w:szCs w:val="21"/>
            </w:rPr>
            <w:t xml:space="preserve"> </w:t>
          </w:r>
          <w:r>
            <w:rPr>
              <w:rFonts w:ascii="Calibri" w:hAnsi="Calibri" w:eastAsia="Calibri" w:cs="Calibri"/>
              <w:spacing w:val="-2"/>
              <w:sz w:val="21"/>
              <w:szCs w:val="21"/>
            </w:rPr>
            <w:t>41</w:t>
          </w:r>
          <w:r>
            <w:rPr>
              <w:rFonts w:ascii="Calibri" w:hAnsi="Calibri" w:eastAsia="Calibri" w:cs="Calibri"/>
              <w:spacing w:val="-2"/>
              <w:sz w:val="21"/>
              <w:szCs w:val="21"/>
            </w:rPr>
            <w:fldChar w:fldCharType="end"/>
          </w:r>
        </w:p>
        <w:p w14:paraId="5E2A52BC">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"bookmark28" </w:instrText>
          </w:r>
          <w:r>
            <w:fldChar w:fldCharType="separate"/>
          </w:r>
          <w:r>
            <w:rPr>
              <w:rFonts w:ascii="宋体" w:hAnsi="宋体" w:eastAsia="宋体" w:cs="宋体"/>
              <w:spacing w:val="-4"/>
              <w:sz w:val="21"/>
              <w:szCs w:val="21"/>
            </w:rPr>
            <w:t>附表十：异议函</w:t>
          </w:r>
          <w:r>
            <w:rPr>
              <w:rFonts w:ascii="宋体" w:hAnsi="宋体" w:eastAsia="宋体" w:cs="宋体"/>
              <w:spacing w:val="-56"/>
              <w:sz w:val="21"/>
              <w:szCs w:val="21"/>
            </w:rPr>
            <w:t xml:space="preserve"> </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2"/>
              <w:sz w:val="21"/>
              <w:szCs w:val="21"/>
            </w:rPr>
            <w:t>42</w:t>
          </w:r>
          <w:r>
            <w:rPr>
              <w:rFonts w:ascii="Calibri" w:hAnsi="Calibri" w:eastAsia="Calibri" w:cs="Calibri"/>
              <w:spacing w:val="-2"/>
              <w:sz w:val="21"/>
              <w:szCs w:val="21"/>
            </w:rPr>
            <w:fldChar w:fldCharType="end"/>
          </w:r>
        </w:p>
        <w:p w14:paraId="3F0DA447">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"bookmark29" </w:instrText>
          </w:r>
          <w:r>
            <w:fldChar w:fldCharType="separate"/>
          </w:r>
          <w:r>
            <w:rPr>
              <w:rFonts w:ascii="宋体" w:hAnsi="宋体" w:eastAsia="宋体" w:cs="宋体"/>
              <w:spacing w:val="-5"/>
              <w:sz w:val="21"/>
              <w:szCs w:val="21"/>
            </w:rPr>
            <w:t>附表十一：异议答复函</w:t>
          </w:r>
          <w:r>
            <w:rPr>
              <w:rFonts w:ascii="宋体" w:hAnsi="宋体" w:eastAsia="宋体" w:cs="宋体"/>
              <w:spacing w:val="-63"/>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43</w:t>
          </w:r>
          <w:r>
            <w:rPr>
              <w:rFonts w:ascii="Calibri" w:hAnsi="Calibri" w:eastAsia="Calibri" w:cs="Calibri"/>
              <w:spacing w:val="-2"/>
              <w:sz w:val="21"/>
              <w:szCs w:val="21"/>
            </w:rPr>
            <w:fldChar w:fldCharType="end"/>
          </w:r>
        </w:p>
        <w:p w14:paraId="079B6E0B">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"bookmark30" </w:instrText>
          </w:r>
          <w:r>
            <w:fldChar w:fldCharType="separate"/>
          </w:r>
          <w:r>
            <w:rPr>
              <w:rFonts w:ascii="宋体" w:hAnsi="宋体" w:eastAsia="宋体" w:cs="宋体"/>
              <w:spacing w:val="-3"/>
              <w:sz w:val="21"/>
              <w:szCs w:val="21"/>
            </w:rPr>
            <w:t>附表十二：投标确认书</w:t>
          </w:r>
          <w:r>
            <w:rPr>
              <w:rFonts w:ascii="宋体" w:hAnsi="宋体" w:eastAsia="宋体" w:cs="宋体"/>
              <w:spacing w:val="-83"/>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6E6CFDB1">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"bookmark31" </w:instrText>
          </w:r>
          <w:r>
            <w:fldChar w:fldCharType="separate"/>
          </w:r>
          <w:r>
            <w:rPr>
              <w:rFonts w:ascii="宋体" w:hAnsi="宋体" w:eastAsia="宋体" w:cs="宋体"/>
              <w:spacing w:val="-4"/>
              <w:sz w:val="21"/>
              <w:szCs w:val="21"/>
            </w:rPr>
            <w:t>附表十三：授权委托书</w:t>
          </w:r>
          <w:r>
            <w:rPr>
              <w:rFonts w:ascii="宋体" w:hAnsi="宋体" w:eastAsia="宋体" w:cs="宋体"/>
              <w:spacing w:val="-73"/>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45</w:t>
          </w:r>
          <w:r>
            <w:rPr>
              <w:rFonts w:ascii="Calibri" w:hAnsi="Calibri" w:eastAsia="Calibri" w:cs="Calibri"/>
              <w:spacing w:val="-2"/>
              <w:sz w:val="21"/>
              <w:szCs w:val="21"/>
            </w:rPr>
            <w:fldChar w:fldCharType="end"/>
          </w:r>
        </w:p>
        <w:p w14:paraId="6FF33274">
          <w:pPr>
            <w:tabs>
              <w:tab w:val="right" w:leader="dot" w:pos="9252"/>
            </w:tabs>
            <w:spacing w:before="67" w:line="205" w:lineRule="auto"/>
            <w:ind w:left="24"/>
            <w:rPr>
              <w:rFonts w:ascii="Calibri" w:hAnsi="Calibri" w:eastAsia="Calibri" w:cs="Calibri"/>
              <w:sz w:val="21"/>
              <w:szCs w:val="21"/>
            </w:rPr>
          </w:pPr>
          <w:r>
            <w:fldChar w:fldCharType="begin"/>
          </w:r>
          <w:r>
            <w:instrText xml:space="preserve"> HYPERLINK \l "bookmark32" </w:instrText>
          </w:r>
          <w:r>
            <w:fldChar w:fldCharType="separate"/>
          </w:r>
          <w:r>
            <w:rPr>
              <w:rFonts w:ascii="宋体" w:hAnsi="宋体" w:eastAsia="宋体" w:cs="宋体"/>
              <w:spacing w:val="-1"/>
              <w:sz w:val="21"/>
              <w:szCs w:val="21"/>
            </w:rPr>
            <w:t>第三章  评标办法</w:t>
          </w:r>
          <w:r>
            <w:rPr>
              <w:rFonts w:ascii="宋体" w:hAnsi="宋体" w:eastAsia="宋体" w:cs="宋体"/>
              <w:spacing w:val="-88"/>
              <w:sz w:val="21"/>
              <w:szCs w:val="21"/>
            </w:rPr>
            <w:t xml:space="preserve"> </w:t>
          </w:r>
          <w:r>
            <w:rPr>
              <w:rFonts w:ascii="宋体" w:hAnsi="宋体" w:eastAsia="宋体" w:cs="宋体"/>
              <w:sz w:val="21"/>
              <w:szCs w:val="21"/>
            </w:rPr>
            <w:tab/>
          </w:r>
          <w:r>
            <w:rPr>
              <w:rFonts w:ascii="Calibri" w:hAnsi="Calibri" w:eastAsia="Calibri" w:cs="Calibri"/>
              <w:spacing w:val="11"/>
              <w:sz w:val="21"/>
              <w:szCs w:val="21"/>
            </w:rPr>
            <w:t>46</w:t>
          </w:r>
          <w:r>
            <w:rPr>
              <w:rFonts w:ascii="Calibri" w:hAnsi="Calibri" w:eastAsia="Calibri" w:cs="Calibri"/>
              <w:spacing w:val="11"/>
              <w:sz w:val="21"/>
              <w:szCs w:val="21"/>
            </w:rPr>
            <w:fldChar w:fldCharType="end"/>
          </w:r>
        </w:p>
        <w:p w14:paraId="23CBC7F6">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"bookmark33" </w:instrText>
          </w:r>
          <w:r>
            <w:fldChar w:fldCharType="separate"/>
          </w:r>
          <w:r>
            <w:rPr>
              <w:rFonts w:ascii="宋体" w:hAnsi="宋体" w:eastAsia="宋体" w:cs="宋体"/>
              <w:spacing w:val="-1"/>
              <w:sz w:val="21"/>
              <w:szCs w:val="21"/>
            </w:rPr>
            <w:t>第三章  评标办法（综合评估法）</w:t>
          </w:r>
          <w:r>
            <w:rPr>
              <w:rFonts w:ascii="宋体" w:hAnsi="宋体" w:eastAsia="宋体" w:cs="宋体"/>
              <w:spacing w:val="-49"/>
              <w:sz w:val="21"/>
              <w:szCs w:val="21"/>
            </w:rPr>
            <w:t xml:space="preserve"> </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78B68E8B">
          <w:pPr>
            <w:tabs>
              <w:tab w:val="right" w:leader="dot" w:pos="8322"/>
            </w:tabs>
            <w:spacing w:before="83" w:line="205" w:lineRule="auto"/>
            <w:ind w:left="864"/>
            <w:rPr>
              <w:rFonts w:ascii="Calibri" w:hAnsi="Calibri" w:eastAsia="Calibri" w:cs="Calibri"/>
              <w:sz w:val="21"/>
              <w:szCs w:val="21"/>
            </w:rPr>
          </w:pPr>
          <w:r>
            <w:fldChar w:fldCharType="begin"/>
          </w:r>
          <w:r>
            <w:instrText xml:space="preserve"> HYPERLINK \l "bookmark34" </w:instrText>
          </w:r>
          <w:r>
            <w:fldChar w:fldCharType="separate"/>
          </w:r>
          <w:r>
            <w:rPr>
              <w:rFonts w:ascii="宋体" w:hAnsi="宋体" w:eastAsia="宋体" w:cs="宋体"/>
              <w:spacing w:val="-1"/>
              <w:sz w:val="21"/>
              <w:szCs w:val="21"/>
            </w:rPr>
            <w:t>评标办法前附表</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00DEC4D8">
          <w:pPr>
            <w:tabs>
              <w:tab w:val="right" w:leader="dot" w:pos="8322"/>
            </w:tabs>
            <w:spacing w:before="81" w:line="205" w:lineRule="auto"/>
            <w:ind w:left="864"/>
            <w:rPr>
              <w:rFonts w:ascii="Calibri" w:hAnsi="Calibri" w:eastAsia="Calibri" w:cs="Calibri"/>
              <w:sz w:val="21"/>
              <w:szCs w:val="21"/>
            </w:rPr>
          </w:pPr>
          <w:r>
            <w:fldChar w:fldCharType="begin"/>
          </w:r>
          <w:r>
            <w:instrText xml:space="preserve"> HYPERLINK \l "bookmark35" </w:instrText>
          </w:r>
          <w:r>
            <w:fldChar w:fldCharType="separate"/>
          </w:r>
          <w:r>
            <w:rPr>
              <w:rFonts w:ascii="宋体" w:hAnsi="宋体" w:eastAsia="宋体" w:cs="宋体"/>
              <w:spacing w:val="-1"/>
              <w:sz w:val="21"/>
              <w:szCs w:val="21"/>
            </w:rPr>
            <w:t>评标办法正文部分</w:t>
          </w:r>
          <w:r>
            <w:rPr>
              <w:rFonts w:ascii="宋体" w:hAnsi="宋体" w:eastAsia="宋体" w:cs="宋体"/>
              <w:spacing w:val="-89"/>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3"/>
              <w:sz w:val="21"/>
              <w:szCs w:val="21"/>
            </w:rPr>
            <w:t>50</w:t>
          </w:r>
          <w:r>
            <w:rPr>
              <w:rFonts w:ascii="Calibri" w:hAnsi="Calibri" w:eastAsia="Calibri" w:cs="Calibri"/>
              <w:spacing w:val="-3"/>
              <w:sz w:val="21"/>
              <w:szCs w:val="21"/>
            </w:rPr>
            <w:fldChar w:fldCharType="end"/>
          </w:r>
        </w:p>
        <w:p w14:paraId="029237CC">
          <w:pPr>
            <w:tabs>
              <w:tab w:val="right" w:leader="dot" w:pos="9252"/>
            </w:tabs>
            <w:spacing w:before="83" w:line="205" w:lineRule="auto"/>
            <w:ind w:left="24"/>
            <w:rPr>
              <w:rFonts w:ascii="Calibri" w:hAnsi="Calibri" w:eastAsia="Calibri" w:cs="Calibri"/>
              <w:sz w:val="21"/>
              <w:szCs w:val="21"/>
            </w:rPr>
          </w:pPr>
          <w:r>
            <w:fldChar w:fldCharType="begin"/>
          </w:r>
          <w:r>
            <w:instrText xml:space="preserve"> HYPERLINK \l "bookmark36" </w:instrText>
          </w:r>
          <w:r>
            <w:fldChar w:fldCharType="separate"/>
          </w:r>
          <w:r>
            <w:rPr>
              <w:rFonts w:ascii="宋体" w:hAnsi="宋体" w:eastAsia="宋体" w:cs="宋体"/>
              <w:spacing w:val="-1"/>
              <w:sz w:val="21"/>
              <w:szCs w:val="21"/>
            </w:rPr>
            <w:t>第四章 合同条款及格式</w:t>
          </w:r>
          <w:r>
            <w:rPr>
              <w:rFonts w:ascii="宋体" w:hAnsi="宋体" w:eastAsia="宋体" w:cs="宋体"/>
              <w:spacing w:val="-71"/>
              <w:sz w:val="21"/>
              <w:szCs w:val="21"/>
            </w:rPr>
            <w:t xml:space="preserve"> </w:t>
          </w:r>
          <w:r>
            <w:rPr>
              <w:rFonts w:ascii="宋体" w:hAnsi="宋体" w:eastAsia="宋体" w:cs="宋体"/>
              <w:sz w:val="21"/>
              <w:szCs w:val="21"/>
            </w:rPr>
            <w:tab/>
          </w:r>
          <w:r>
            <w:rPr>
              <w:rFonts w:ascii="Calibri" w:hAnsi="Calibri" w:eastAsia="Calibri" w:cs="Calibri"/>
              <w:spacing w:val="11"/>
              <w:sz w:val="21"/>
              <w:szCs w:val="21"/>
            </w:rPr>
            <w:t>54</w:t>
          </w:r>
          <w:r>
            <w:rPr>
              <w:rFonts w:ascii="Calibri" w:hAnsi="Calibri" w:eastAsia="Calibri" w:cs="Calibri"/>
              <w:spacing w:val="11"/>
              <w:sz w:val="21"/>
              <w:szCs w:val="21"/>
            </w:rPr>
            <w:fldChar w:fldCharType="end"/>
          </w:r>
        </w:p>
        <w:p w14:paraId="18AE1C9D">
          <w:pPr>
            <w:tabs>
              <w:tab w:val="right" w:leader="dot" w:pos="8322"/>
            </w:tabs>
            <w:spacing w:before="67" w:line="205" w:lineRule="auto"/>
            <w:ind w:left="444"/>
            <w:rPr>
              <w:rFonts w:ascii="Calibri" w:hAnsi="Calibri" w:eastAsia="Calibri" w:cs="Calibri"/>
              <w:sz w:val="21"/>
              <w:szCs w:val="21"/>
            </w:rPr>
          </w:pPr>
          <w:r>
            <w:fldChar w:fldCharType="begin"/>
          </w:r>
          <w:r>
            <w:instrText xml:space="preserve"> HYPERLINK \l "bookmark37" </w:instrText>
          </w:r>
          <w:r>
            <w:fldChar w:fldCharType="separate"/>
          </w:r>
          <w:r>
            <w:rPr>
              <w:rFonts w:ascii="黑体" w:hAnsi="黑体" w:eastAsia="黑体" w:cs="黑体"/>
              <w:spacing w:val="-2"/>
              <w:sz w:val="21"/>
              <w:szCs w:val="21"/>
            </w:rPr>
            <w:t>第一节</w:t>
          </w:r>
          <w:r>
            <w:rPr>
              <w:rFonts w:ascii="黑体" w:hAnsi="黑体" w:eastAsia="黑体" w:cs="黑体"/>
              <w:spacing w:val="13"/>
              <w:sz w:val="21"/>
              <w:szCs w:val="21"/>
            </w:rPr>
            <w:t xml:space="preserve">  </w:t>
          </w:r>
          <w:r>
            <w:rPr>
              <w:rFonts w:ascii="黑体" w:hAnsi="黑体" w:eastAsia="黑体" w:cs="黑体"/>
              <w:spacing w:val="-2"/>
              <w:sz w:val="21"/>
              <w:szCs w:val="21"/>
            </w:rPr>
            <w:t>通用合同条款</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54</w:t>
          </w:r>
          <w:r>
            <w:rPr>
              <w:rFonts w:ascii="Calibri" w:hAnsi="Calibri" w:eastAsia="Calibri" w:cs="Calibri"/>
              <w:spacing w:val="-3"/>
              <w:sz w:val="21"/>
              <w:szCs w:val="21"/>
            </w:rPr>
            <w:fldChar w:fldCharType="end"/>
          </w:r>
        </w:p>
        <w:p w14:paraId="37520082">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"bookmark38" </w:instrText>
          </w:r>
          <w:r>
            <w:fldChar w:fldCharType="separate"/>
          </w:r>
          <w:r>
            <w:rPr>
              <w:rFonts w:ascii="Times New Roman" w:hAnsi="Times New Roman" w:eastAsia="Times New Roman" w:cs="Times New Roman"/>
              <w:spacing w:val="-6"/>
              <w:sz w:val="21"/>
              <w:szCs w:val="21"/>
            </w:rPr>
            <w:t>1.</w:t>
          </w:r>
          <w:r>
            <w:rPr>
              <w:rFonts w:ascii="Times New Roman" w:hAnsi="Times New Roman" w:eastAsia="Times New Roman" w:cs="Times New Roman"/>
              <w:spacing w:val="17"/>
              <w:sz w:val="21"/>
              <w:szCs w:val="21"/>
            </w:rPr>
            <w:t xml:space="preserve">  </w:t>
          </w:r>
          <w:r>
            <w:rPr>
              <w:rFonts w:ascii="黑体" w:hAnsi="黑体" w:eastAsia="黑体" w:cs="黑体"/>
              <w:spacing w:val="-6"/>
              <w:sz w:val="21"/>
              <w:szCs w:val="21"/>
            </w:rPr>
            <w:t>一般约定</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55</w:t>
          </w:r>
          <w:r>
            <w:rPr>
              <w:rFonts w:ascii="Calibri" w:hAnsi="Calibri" w:eastAsia="Calibri" w:cs="Calibri"/>
              <w:spacing w:val="-3"/>
              <w:sz w:val="21"/>
              <w:szCs w:val="21"/>
            </w:rPr>
            <w:fldChar w:fldCharType="end"/>
          </w:r>
        </w:p>
        <w:p w14:paraId="2AA1B3D4">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"bookmark39" </w:instrText>
          </w:r>
          <w:r>
            <w:fldChar w:fldCharType="separate"/>
          </w:r>
          <w:r>
            <w:rPr>
              <w:rFonts w:ascii="Times New Roman" w:hAnsi="Times New Roman" w:eastAsia="Times New Roman" w:cs="Times New Roman"/>
              <w:spacing w:val="-4"/>
              <w:sz w:val="21"/>
              <w:szCs w:val="21"/>
            </w:rPr>
            <w:t>1.1</w:t>
          </w:r>
          <w:r>
            <w:rPr>
              <w:rFonts w:ascii="Times New Roman" w:hAnsi="Times New Roman" w:eastAsia="Times New Roman" w:cs="Times New Roman"/>
              <w:spacing w:val="13"/>
              <w:sz w:val="21"/>
              <w:szCs w:val="21"/>
            </w:rPr>
            <w:t xml:space="preserve">  </w:t>
          </w:r>
          <w:r>
            <w:rPr>
              <w:rFonts w:ascii="黑体" w:hAnsi="黑体" w:eastAsia="黑体" w:cs="黑体"/>
              <w:spacing w:val="-4"/>
              <w:sz w:val="21"/>
              <w:szCs w:val="21"/>
            </w:rPr>
            <w:t>词语定义</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55</w:t>
          </w:r>
          <w:r>
            <w:rPr>
              <w:rFonts w:ascii="Calibri" w:hAnsi="Calibri" w:eastAsia="Calibri" w:cs="Calibri"/>
              <w:spacing w:val="-3"/>
              <w:sz w:val="21"/>
              <w:szCs w:val="21"/>
            </w:rPr>
            <w:fldChar w:fldCharType="end"/>
          </w:r>
        </w:p>
        <w:p w14:paraId="6E71ACA6">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"bookmark40" </w:instrText>
          </w:r>
          <w:r>
            <w:fldChar w:fldCharType="separate"/>
          </w:r>
          <w:r>
            <w:rPr>
              <w:rFonts w:ascii="Times New Roman" w:hAnsi="Times New Roman" w:eastAsia="Times New Roman" w:cs="Times New Roman"/>
              <w:spacing w:val="-4"/>
              <w:sz w:val="21"/>
              <w:szCs w:val="21"/>
            </w:rPr>
            <w:t>1.2</w:t>
          </w:r>
          <w:r>
            <w:rPr>
              <w:rFonts w:ascii="Times New Roman" w:hAnsi="Times New Roman" w:eastAsia="Times New Roman" w:cs="Times New Roman"/>
              <w:spacing w:val="13"/>
              <w:sz w:val="21"/>
              <w:szCs w:val="21"/>
            </w:rPr>
            <w:t xml:space="preserve">  </w:t>
          </w:r>
          <w:r>
            <w:rPr>
              <w:rFonts w:ascii="黑体" w:hAnsi="黑体" w:eastAsia="黑体" w:cs="黑体"/>
              <w:spacing w:val="-4"/>
              <w:sz w:val="21"/>
              <w:szCs w:val="21"/>
            </w:rPr>
            <w:t>语言文字</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57</w:t>
          </w:r>
          <w:r>
            <w:rPr>
              <w:rFonts w:ascii="Calibri" w:hAnsi="Calibri" w:eastAsia="Calibri" w:cs="Calibri"/>
              <w:spacing w:val="-3"/>
              <w:sz w:val="21"/>
              <w:szCs w:val="21"/>
            </w:rPr>
            <w:fldChar w:fldCharType="end"/>
          </w:r>
        </w:p>
        <w:p w14:paraId="0B30E60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"bookmark41" </w:instrText>
          </w:r>
          <w:r>
            <w:fldChar w:fldCharType="separate"/>
          </w:r>
          <w:r>
            <w:rPr>
              <w:rFonts w:ascii="Times New Roman" w:hAnsi="Times New Roman" w:eastAsia="Times New Roman" w:cs="Times New Roman"/>
              <w:spacing w:val="-6"/>
              <w:sz w:val="21"/>
              <w:szCs w:val="21"/>
            </w:rPr>
            <w:t>1.3</w:t>
          </w:r>
          <w:r>
            <w:rPr>
              <w:rFonts w:ascii="Times New Roman" w:hAnsi="Times New Roman" w:eastAsia="Times New Roman" w:cs="Times New Roman"/>
              <w:spacing w:val="13"/>
              <w:w w:val="101"/>
              <w:sz w:val="21"/>
              <w:szCs w:val="21"/>
            </w:rPr>
            <w:t xml:space="preserve">  </w:t>
          </w:r>
          <w:r>
            <w:rPr>
              <w:rFonts w:ascii="黑体" w:hAnsi="黑体" w:eastAsia="黑体" w:cs="黑体"/>
              <w:spacing w:val="-6"/>
              <w:sz w:val="21"/>
              <w:szCs w:val="21"/>
            </w:rPr>
            <w:t>法律</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57</w:t>
          </w:r>
          <w:r>
            <w:rPr>
              <w:rFonts w:ascii="Calibri" w:hAnsi="Calibri" w:eastAsia="Calibri" w:cs="Calibri"/>
              <w:spacing w:val="-3"/>
              <w:sz w:val="21"/>
              <w:szCs w:val="21"/>
            </w:rPr>
            <w:fldChar w:fldCharType="end"/>
          </w:r>
        </w:p>
        <w:p w14:paraId="47A957B8">
          <w:pPr>
            <w:tabs>
              <w:tab w:val="right" w:leader="dot" w:pos="8322"/>
            </w:tabs>
            <w:spacing w:before="68" w:line="238" w:lineRule="auto"/>
            <w:ind w:left="881"/>
            <w:rPr>
              <w:rFonts w:ascii="Calibri" w:hAnsi="Calibri" w:eastAsia="Calibri" w:cs="Calibri"/>
              <w:sz w:val="21"/>
              <w:szCs w:val="21"/>
            </w:rPr>
          </w:pPr>
          <w:r>
            <w:fldChar w:fldCharType="begin"/>
          </w:r>
          <w:r>
            <w:instrText xml:space="preserve"> HYPERLINK \l "bookmark42" </w:instrText>
          </w:r>
          <w:r>
            <w:fldChar w:fldCharType="separate"/>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合同文件的优先顺序</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57</w:t>
          </w:r>
          <w:r>
            <w:rPr>
              <w:rFonts w:ascii="Calibri" w:hAnsi="Calibri" w:eastAsia="Calibri" w:cs="Calibri"/>
              <w:spacing w:val="-3"/>
              <w:sz w:val="21"/>
              <w:szCs w:val="21"/>
            </w:rPr>
            <w:fldChar w:fldCharType="end"/>
          </w:r>
        </w:p>
      </w:sdtContent>
    </w:sdt>
    <w:p w14:paraId="45C06E6E">
      <w:pPr>
        <w:spacing w:line="238" w:lineRule="auto"/>
        <w:rPr>
          <w:rFonts w:ascii="Calibri" w:hAnsi="Calibri" w:eastAsia="Calibri" w:cs="Calibri"/>
          <w:sz w:val="21"/>
          <w:szCs w:val="21"/>
        </w:rPr>
        <w:sectPr>
          <w:footerReference r:id="rId5" w:type="default"/>
          <w:pgSz w:w="11910" w:h="16845"/>
          <w:pgMar w:top="1431" w:right="869" w:bottom="1065" w:left="1786" w:header="0" w:footer="837" w:gutter="0"/>
          <w:cols w:space="720" w:num="1"/>
        </w:sectPr>
      </w:pPr>
    </w:p>
    <w:sdt>
      <w:sdtPr>
        <w:rPr>
          <w:rFonts w:ascii="Times New Roman" w:hAnsi="Times New Roman" w:eastAsia="Times New Roman" w:cs="Times New Roman"/>
          <w:sz w:val="21"/>
          <w:szCs w:val="21"/>
        </w:rPr>
        <w:id w:val="147472416"/>
        <w:docPartObj>
          <w:docPartGallery w:val="Table of Contents"/>
          <w:docPartUnique/>
        </w:docPartObj>
      </w:sdtPr>
      <w:sdtEndPr>
        <w:rPr>
          <w:rFonts w:ascii="Calibri" w:hAnsi="Calibri" w:eastAsia="Calibri" w:cs="Calibri"/>
          <w:sz w:val="21"/>
          <w:szCs w:val="21"/>
        </w:rPr>
      </w:sdtEndPr>
      <w:sdtContent>
        <w:p w14:paraId="107EEA48">
          <w:pPr>
            <w:tabs>
              <w:tab w:val="right" w:leader="dot" w:pos="8322"/>
            </w:tabs>
            <w:spacing w:before="54" w:line="205" w:lineRule="auto"/>
            <w:ind w:left="881"/>
            <w:rPr>
              <w:rFonts w:ascii="Calibri" w:hAnsi="Calibri" w:eastAsia="Calibri" w:cs="Calibri"/>
              <w:sz w:val="21"/>
              <w:szCs w:val="21"/>
            </w:rPr>
          </w:pPr>
          <w:r>
            <w:fldChar w:fldCharType="begin"/>
          </w:r>
          <w:r>
            <w:instrText xml:space="preserve"> HYPERLINK \l "bookmark43" </w:instrText>
          </w:r>
          <w:r>
            <w:fldChar w:fldCharType="separate"/>
          </w:r>
          <w:r>
            <w:rPr>
              <w:rFonts w:ascii="Times New Roman" w:hAnsi="Times New Roman" w:eastAsia="Times New Roman" w:cs="Times New Roman"/>
              <w:spacing w:val="-4"/>
              <w:sz w:val="21"/>
              <w:szCs w:val="21"/>
            </w:rPr>
            <w:t>1.5</w:t>
          </w:r>
          <w:r>
            <w:rPr>
              <w:rFonts w:ascii="Times New Roman" w:hAnsi="Times New Roman" w:eastAsia="Times New Roman" w:cs="Times New Roman"/>
              <w:spacing w:val="15"/>
              <w:w w:val="101"/>
              <w:sz w:val="21"/>
              <w:szCs w:val="21"/>
            </w:rPr>
            <w:t xml:space="preserve">  </w:t>
          </w:r>
          <w:r>
            <w:rPr>
              <w:rFonts w:ascii="黑体" w:hAnsi="黑体" w:eastAsia="黑体" w:cs="黑体"/>
              <w:spacing w:val="-4"/>
              <w:sz w:val="21"/>
              <w:szCs w:val="21"/>
            </w:rPr>
            <w:t>合同协议书</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62C46977">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"bookmark44" </w:instrText>
          </w:r>
          <w:r>
            <w:fldChar w:fldCharType="separate"/>
          </w:r>
          <w:r>
            <w:rPr>
              <w:rFonts w:ascii="Times New Roman" w:hAnsi="Times New Roman" w:eastAsia="Times New Roman" w:cs="Times New Roman"/>
              <w:spacing w:val="-4"/>
              <w:sz w:val="21"/>
              <w:szCs w:val="21"/>
            </w:rPr>
            <w:t>1.6</w:t>
          </w:r>
          <w:r>
            <w:rPr>
              <w:rFonts w:ascii="Times New Roman" w:hAnsi="Times New Roman" w:eastAsia="Times New Roman" w:cs="Times New Roman"/>
              <w:spacing w:val="22"/>
              <w:sz w:val="21"/>
              <w:szCs w:val="21"/>
            </w:rPr>
            <w:t xml:space="preserve">  </w:t>
          </w:r>
          <w:r>
            <w:rPr>
              <w:rFonts w:ascii="黑体" w:hAnsi="黑体" w:eastAsia="黑体" w:cs="黑体"/>
              <w:spacing w:val="-4"/>
              <w:sz w:val="21"/>
              <w:szCs w:val="21"/>
            </w:rPr>
            <w:t>图纸和承包人文件</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6AAEB251">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"bookmark45" </w:instrText>
          </w:r>
          <w:r>
            <w:fldChar w:fldCharType="separate"/>
          </w:r>
          <w:r>
            <w:rPr>
              <w:rFonts w:ascii="Times New Roman" w:hAnsi="Times New Roman" w:eastAsia="Times New Roman" w:cs="Times New Roman"/>
              <w:spacing w:val="-6"/>
              <w:sz w:val="21"/>
              <w:szCs w:val="21"/>
            </w:rPr>
            <w:t>1.7</w:t>
          </w:r>
          <w:r>
            <w:rPr>
              <w:rFonts w:ascii="Times New Roman" w:hAnsi="Times New Roman" w:eastAsia="Times New Roman" w:cs="Times New Roman"/>
              <w:spacing w:val="13"/>
              <w:w w:val="101"/>
              <w:sz w:val="21"/>
              <w:szCs w:val="21"/>
            </w:rPr>
            <w:t xml:space="preserve">  </w:t>
          </w:r>
          <w:r>
            <w:rPr>
              <w:rFonts w:ascii="黑体" w:hAnsi="黑体" w:eastAsia="黑体" w:cs="黑体"/>
              <w:spacing w:val="-6"/>
              <w:sz w:val="21"/>
              <w:szCs w:val="21"/>
            </w:rPr>
            <w:t>联络</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6DC6BEB9">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"bookmark46" </w:instrText>
          </w:r>
          <w:r>
            <w:fldChar w:fldCharType="separate"/>
          </w:r>
          <w:r>
            <w:rPr>
              <w:rFonts w:ascii="Times New Roman" w:hAnsi="Times New Roman" w:eastAsia="Times New Roman" w:cs="Times New Roman"/>
              <w:spacing w:val="-5"/>
              <w:sz w:val="21"/>
              <w:szCs w:val="21"/>
            </w:rPr>
            <w:t>1.8</w:t>
          </w:r>
          <w:r>
            <w:rPr>
              <w:rFonts w:ascii="Times New Roman" w:hAnsi="Times New Roman" w:eastAsia="Times New Roman" w:cs="Times New Roman"/>
              <w:spacing w:val="11"/>
              <w:sz w:val="21"/>
              <w:szCs w:val="21"/>
            </w:rPr>
            <w:t xml:space="preserve">  </w:t>
          </w:r>
          <w:r>
            <w:rPr>
              <w:rFonts w:ascii="黑体" w:hAnsi="黑体" w:eastAsia="黑体" w:cs="黑体"/>
              <w:spacing w:val="-5"/>
              <w:sz w:val="21"/>
              <w:szCs w:val="21"/>
            </w:rPr>
            <w:t>转让</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4636E709">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"bookmark47" </w:instrText>
          </w:r>
          <w:r>
            <w:fldChar w:fldCharType="separate"/>
          </w:r>
          <w:r>
            <w:rPr>
              <w:rFonts w:ascii="Times New Roman" w:hAnsi="Times New Roman" w:eastAsia="Times New Roman" w:cs="Times New Roman"/>
              <w:spacing w:val="-4"/>
              <w:sz w:val="21"/>
              <w:szCs w:val="21"/>
            </w:rPr>
            <w:t>1.9</w:t>
          </w:r>
          <w:r>
            <w:rPr>
              <w:rFonts w:ascii="Times New Roman" w:hAnsi="Times New Roman" w:eastAsia="Times New Roman" w:cs="Times New Roman"/>
              <w:spacing w:val="13"/>
              <w:sz w:val="21"/>
              <w:szCs w:val="21"/>
            </w:rPr>
            <w:t xml:space="preserve">  </w:t>
          </w:r>
          <w:r>
            <w:rPr>
              <w:rFonts w:ascii="黑体" w:hAnsi="黑体" w:eastAsia="黑体" w:cs="黑体"/>
              <w:spacing w:val="-4"/>
              <w:sz w:val="21"/>
              <w:szCs w:val="21"/>
            </w:rPr>
            <w:t>严禁贿赂</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72AF0312">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"bookmark48" </w:instrText>
          </w:r>
          <w:r>
            <w:fldChar w:fldCharType="separate"/>
          </w:r>
          <w:r>
            <w:rPr>
              <w:rFonts w:ascii="Times New Roman" w:hAnsi="Times New Roman" w:eastAsia="Times New Roman" w:cs="Times New Roman"/>
              <w:spacing w:val="-3"/>
              <w:sz w:val="21"/>
              <w:szCs w:val="21"/>
            </w:rPr>
            <w:t>1.10</w:t>
          </w:r>
          <w:r>
            <w:rPr>
              <w:rFonts w:ascii="Times New Roman" w:hAnsi="Times New Roman" w:eastAsia="Times New Roman" w:cs="Times New Roman"/>
              <w:spacing w:val="13"/>
              <w:sz w:val="21"/>
              <w:szCs w:val="21"/>
            </w:rPr>
            <w:t xml:space="preserve">  </w:t>
          </w:r>
          <w:r>
            <w:rPr>
              <w:rFonts w:ascii="黑体" w:hAnsi="黑体" w:eastAsia="黑体" w:cs="黑体"/>
              <w:spacing w:val="-3"/>
              <w:sz w:val="21"/>
              <w:szCs w:val="21"/>
            </w:rPr>
            <w:t>化石、文物</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58</w:t>
          </w:r>
          <w:r>
            <w:rPr>
              <w:rFonts w:ascii="Calibri" w:hAnsi="Calibri" w:eastAsia="Calibri" w:cs="Calibri"/>
              <w:spacing w:val="-3"/>
              <w:sz w:val="21"/>
              <w:szCs w:val="21"/>
            </w:rPr>
            <w:fldChar w:fldCharType="end"/>
          </w:r>
        </w:p>
        <w:p w14:paraId="7B396A7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"bookmark49" </w:instrText>
          </w:r>
          <w:r>
            <w:fldChar w:fldCharType="separate"/>
          </w:r>
          <w:r>
            <w:rPr>
              <w:rFonts w:ascii="Times New Roman" w:hAnsi="Times New Roman" w:eastAsia="Times New Roman" w:cs="Times New Roman"/>
              <w:spacing w:val="-6"/>
              <w:sz w:val="21"/>
              <w:szCs w:val="21"/>
            </w:rPr>
            <w:t>1.11</w:t>
          </w:r>
          <w:r>
            <w:rPr>
              <w:rFonts w:ascii="Times New Roman" w:hAnsi="Times New Roman" w:eastAsia="Times New Roman" w:cs="Times New Roman"/>
              <w:spacing w:val="15"/>
              <w:w w:val="101"/>
              <w:sz w:val="21"/>
              <w:szCs w:val="21"/>
            </w:rPr>
            <w:t xml:space="preserve">  </w:t>
          </w:r>
          <w:r>
            <w:rPr>
              <w:rFonts w:ascii="黑体" w:hAnsi="黑体" w:eastAsia="黑体" w:cs="黑体"/>
              <w:spacing w:val="-6"/>
              <w:sz w:val="21"/>
              <w:szCs w:val="21"/>
            </w:rPr>
            <w:t>专利技术</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6D50E29F">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"bookmark50" </w:instrText>
          </w:r>
          <w:r>
            <w:fldChar w:fldCharType="separate"/>
          </w:r>
          <w:r>
            <w:rPr>
              <w:rFonts w:ascii="Times New Roman" w:hAnsi="Times New Roman" w:eastAsia="Times New Roman" w:cs="Times New Roman"/>
              <w:spacing w:val="-3"/>
              <w:sz w:val="21"/>
              <w:szCs w:val="21"/>
            </w:rPr>
            <w:t>1.12</w:t>
          </w:r>
          <w:r>
            <w:rPr>
              <w:rFonts w:ascii="Times New Roman" w:hAnsi="Times New Roman" w:eastAsia="Times New Roman" w:cs="Times New Roman"/>
              <w:spacing w:val="18"/>
              <w:sz w:val="21"/>
              <w:szCs w:val="21"/>
            </w:rPr>
            <w:t xml:space="preserve">  </w:t>
          </w:r>
          <w:r>
            <w:rPr>
              <w:rFonts w:ascii="黑体" w:hAnsi="黑体" w:eastAsia="黑体" w:cs="黑体"/>
              <w:spacing w:val="-3"/>
              <w:sz w:val="21"/>
              <w:szCs w:val="21"/>
            </w:rPr>
            <w:t>图纸和文件的保密</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105A200D">
          <w:pPr>
            <w:tabs>
              <w:tab w:val="right" w:leader="dot" w:pos="8322"/>
            </w:tabs>
            <w:spacing w:before="67" w:line="205" w:lineRule="auto"/>
            <w:ind w:left="440"/>
            <w:rPr>
              <w:rFonts w:ascii="Calibri" w:hAnsi="Calibri" w:eastAsia="Calibri" w:cs="Calibri"/>
              <w:sz w:val="21"/>
              <w:szCs w:val="21"/>
            </w:rPr>
          </w:pPr>
          <w:r>
            <w:fldChar w:fldCharType="begin"/>
          </w:r>
          <w:r>
            <w:instrText xml:space="preserve"> HYPERLINK \l "bookmark51" </w:instrText>
          </w:r>
          <w:r>
            <w:fldChar w:fldCharType="separate"/>
          </w:r>
          <w:r>
            <w:rPr>
              <w:rFonts w:ascii="Times New Roman" w:hAnsi="Times New Roman" w:eastAsia="Times New Roman" w:cs="Times New Roman"/>
              <w:spacing w:val="-2"/>
              <w:sz w:val="21"/>
              <w:szCs w:val="21"/>
            </w:rPr>
            <w:t>2.</w:t>
          </w:r>
          <w:r>
            <w:rPr>
              <w:rFonts w:ascii="Times New Roman" w:hAnsi="Times New Roman" w:eastAsia="Times New Roman" w:cs="Times New Roman"/>
              <w:spacing w:val="16"/>
              <w:w w:val="101"/>
              <w:sz w:val="21"/>
              <w:szCs w:val="21"/>
            </w:rPr>
            <w:t xml:space="preserve">  </w:t>
          </w:r>
          <w:r>
            <w:rPr>
              <w:rFonts w:ascii="黑体" w:hAnsi="黑体" w:eastAsia="黑体" w:cs="黑体"/>
              <w:spacing w:val="-2"/>
              <w:sz w:val="21"/>
              <w:szCs w:val="21"/>
            </w:rPr>
            <w:t>发包人义务</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6E6B2678">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"bookmark52" </w:instrText>
          </w:r>
          <w:r>
            <w:fldChar w:fldCharType="separate"/>
          </w:r>
          <w:r>
            <w:rPr>
              <w:rFonts w:ascii="Times New Roman" w:hAnsi="Times New Roman" w:eastAsia="Times New Roman" w:cs="Times New Roman"/>
              <w:spacing w:val="-1"/>
              <w:sz w:val="21"/>
              <w:szCs w:val="21"/>
            </w:rPr>
            <w:t>2.1</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遵守法律</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14BCD718">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"bookmark53" </w:instrText>
          </w:r>
          <w:r>
            <w:fldChar w:fldCharType="separate"/>
          </w:r>
          <w:r>
            <w:rPr>
              <w:rFonts w:ascii="Times New Roman" w:hAnsi="Times New Roman" w:eastAsia="Times New Roman" w:cs="Times New Roman"/>
              <w:spacing w:val="-1"/>
              <w:sz w:val="21"/>
              <w:szCs w:val="21"/>
            </w:rPr>
            <w:t>2.2</w:t>
          </w:r>
          <w:r>
            <w:rPr>
              <w:rFonts w:ascii="Times New Roman" w:hAnsi="Times New Roman" w:eastAsia="Times New Roman" w:cs="Times New Roman"/>
              <w:spacing w:val="14"/>
              <w:sz w:val="21"/>
              <w:szCs w:val="21"/>
            </w:rPr>
            <w:t xml:space="preserve">  </w:t>
          </w:r>
          <w:r>
            <w:rPr>
              <w:rFonts w:ascii="黑体" w:hAnsi="黑体" w:eastAsia="黑体" w:cs="黑体"/>
              <w:spacing w:val="-1"/>
              <w:sz w:val="21"/>
              <w:szCs w:val="21"/>
            </w:rPr>
            <w:t>发出开工通知</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05C9515A">
          <w:pPr>
            <w:tabs>
              <w:tab w:val="right" w:leader="dot" w:pos="8322"/>
            </w:tabs>
            <w:spacing w:before="81" w:line="205" w:lineRule="auto"/>
            <w:ind w:left="861"/>
            <w:rPr>
              <w:rFonts w:ascii="Calibri" w:hAnsi="Calibri" w:eastAsia="Calibri" w:cs="Calibri"/>
              <w:sz w:val="21"/>
              <w:szCs w:val="21"/>
            </w:rPr>
          </w:pPr>
          <w:r>
            <w:fldChar w:fldCharType="begin"/>
          </w:r>
          <w:r>
            <w:instrText xml:space="preserve"> HYPERLINK \l "bookmark54" </w:instrText>
          </w:r>
          <w:r>
            <w:fldChar w:fldCharType="separate"/>
          </w:r>
          <w:r>
            <w:rPr>
              <w:rFonts w:ascii="Times New Roman" w:hAnsi="Times New Roman" w:eastAsia="Times New Roman" w:cs="Times New Roman"/>
              <w:spacing w:val="-1"/>
              <w:sz w:val="21"/>
              <w:szCs w:val="21"/>
            </w:rPr>
            <w:t>2.3</w:t>
          </w:r>
          <w:r>
            <w:rPr>
              <w:rFonts w:ascii="Times New Roman" w:hAnsi="Times New Roman" w:eastAsia="Times New Roman" w:cs="Times New Roman"/>
              <w:spacing w:val="14"/>
              <w:sz w:val="21"/>
              <w:szCs w:val="21"/>
            </w:rPr>
            <w:t xml:space="preserve">  </w:t>
          </w:r>
          <w:r>
            <w:rPr>
              <w:rFonts w:ascii="黑体" w:hAnsi="黑体" w:eastAsia="黑体" w:cs="黑体"/>
              <w:spacing w:val="-1"/>
              <w:sz w:val="21"/>
              <w:szCs w:val="21"/>
            </w:rPr>
            <w:t>提供施工场地</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11223EED">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"bookmark55" </w:instrText>
          </w:r>
          <w:r>
            <w:fldChar w:fldCharType="separate"/>
          </w:r>
          <w:r>
            <w:rPr>
              <w:rFonts w:ascii="Times New Roman" w:hAnsi="Times New Roman" w:eastAsia="Times New Roman" w:cs="Times New Roman"/>
              <w:spacing w:val="1"/>
              <w:sz w:val="21"/>
              <w:szCs w:val="21"/>
            </w:rPr>
            <w:t xml:space="preserve">2.4  </w:t>
          </w:r>
          <w:r>
            <w:rPr>
              <w:rFonts w:ascii="黑体" w:hAnsi="黑体" w:eastAsia="黑体" w:cs="黑体"/>
              <w:spacing w:val="1"/>
              <w:sz w:val="21"/>
              <w:szCs w:val="21"/>
            </w:rPr>
            <w:t>协助承包人办理证件和批件</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47C9862D">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"bookmark56" </w:instrText>
          </w:r>
          <w:r>
            <w:fldChar w:fldCharType="separate"/>
          </w:r>
          <w:r>
            <w:rPr>
              <w:rFonts w:ascii="Times New Roman" w:hAnsi="Times New Roman" w:eastAsia="Times New Roman" w:cs="Times New Roman"/>
              <w:spacing w:val="-1"/>
              <w:sz w:val="21"/>
              <w:szCs w:val="21"/>
            </w:rPr>
            <w:t>2.5</w:t>
          </w:r>
          <w:r>
            <w:rPr>
              <w:rFonts w:ascii="Times New Roman" w:hAnsi="Times New Roman" w:eastAsia="Times New Roman" w:cs="Times New Roman"/>
              <w:spacing w:val="14"/>
              <w:sz w:val="21"/>
              <w:szCs w:val="21"/>
            </w:rPr>
            <w:t xml:space="preserve">  </w:t>
          </w:r>
          <w:r>
            <w:rPr>
              <w:rFonts w:ascii="黑体" w:hAnsi="黑体" w:eastAsia="黑体" w:cs="黑体"/>
              <w:spacing w:val="-1"/>
              <w:sz w:val="21"/>
              <w:szCs w:val="21"/>
            </w:rPr>
            <w:t>组织设计交底</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367A09C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"bookmark57" </w:instrText>
          </w:r>
          <w:r>
            <w:fldChar w:fldCharType="separate"/>
          </w:r>
          <w:r>
            <w:rPr>
              <w:rFonts w:ascii="Times New Roman" w:hAnsi="Times New Roman" w:eastAsia="Times New Roman" w:cs="Times New Roman"/>
              <w:spacing w:val="-2"/>
              <w:sz w:val="21"/>
              <w:szCs w:val="21"/>
            </w:rPr>
            <w:t>2.6</w:t>
          </w:r>
          <w:r>
            <w:rPr>
              <w:rFonts w:ascii="Times New Roman" w:hAnsi="Times New Roman" w:eastAsia="Times New Roman" w:cs="Times New Roman"/>
              <w:spacing w:val="18"/>
              <w:w w:val="101"/>
              <w:sz w:val="21"/>
              <w:szCs w:val="21"/>
            </w:rPr>
            <w:t xml:space="preserve">  </w:t>
          </w:r>
          <w:r>
            <w:rPr>
              <w:rFonts w:ascii="黑体" w:hAnsi="黑体" w:eastAsia="黑体" w:cs="黑体"/>
              <w:spacing w:val="-2"/>
              <w:sz w:val="21"/>
              <w:szCs w:val="21"/>
            </w:rPr>
            <w:t>支付合同价款</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462BEB3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"bookmark58" </w:instrText>
          </w:r>
          <w:r>
            <w:fldChar w:fldCharType="separate"/>
          </w:r>
          <w:r>
            <w:rPr>
              <w:rFonts w:ascii="Times New Roman" w:hAnsi="Times New Roman" w:eastAsia="Times New Roman" w:cs="Times New Roman"/>
              <w:spacing w:val="-1"/>
              <w:sz w:val="21"/>
              <w:szCs w:val="21"/>
            </w:rPr>
            <w:t>2.7</w:t>
          </w:r>
          <w:r>
            <w:rPr>
              <w:rFonts w:ascii="Times New Roman" w:hAnsi="Times New Roman" w:eastAsia="Times New Roman" w:cs="Times New Roman"/>
              <w:spacing w:val="14"/>
              <w:sz w:val="21"/>
              <w:szCs w:val="21"/>
            </w:rPr>
            <w:t xml:space="preserve">  </w:t>
          </w:r>
          <w:r>
            <w:rPr>
              <w:rFonts w:ascii="黑体" w:hAnsi="黑体" w:eastAsia="黑体" w:cs="黑体"/>
              <w:spacing w:val="-1"/>
              <w:sz w:val="21"/>
              <w:szCs w:val="21"/>
            </w:rPr>
            <w:t>组织竣工验收</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32AFCA60">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"bookmark59" </w:instrText>
          </w:r>
          <w:r>
            <w:fldChar w:fldCharType="separate"/>
          </w:r>
          <w:r>
            <w:rPr>
              <w:rFonts w:ascii="Times New Roman" w:hAnsi="Times New Roman" w:eastAsia="Times New Roman" w:cs="Times New Roman"/>
              <w:spacing w:val="-1"/>
              <w:sz w:val="21"/>
              <w:szCs w:val="21"/>
            </w:rPr>
            <w:t>2.8</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其他义务</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3883004B">
          <w:pPr>
            <w:tabs>
              <w:tab w:val="right" w:leader="dot" w:pos="8322"/>
            </w:tabs>
            <w:spacing w:before="82" w:line="205" w:lineRule="auto"/>
            <w:ind w:left="445"/>
            <w:rPr>
              <w:rFonts w:ascii="Calibri" w:hAnsi="Calibri" w:eastAsia="Calibri" w:cs="Calibri"/>
              <w:sz w:val="21"/>
              <w:szCs w:val="21"/>
            </w:rPr>
          </w:pPr>
          <w:r>
            <w:fldChar w:fldCharType="begin"/>
          </w:r>
          <w:r>
            <w:instrText xml:space="preserve"> HYPERLINK \l "bookmark60" </w:instrText>
          </w:r>
          <w:r>
            <w:fldChar w:fldCharType="separate"/>
          </w:r>
          <w:r>
            <w:rPr>
              <w:rFonts w:ascii="Times New Roman" w:hAnsi="Times New Roman" w:eastAsia="Times New Roman" w:cs="Times New Roman"/>
              <w:spacing w:val="-3"/>
              <w:sz w:val="21"/>
              <w:szCs w:val="21"/>
            </w:rPr>
            <w:t>3.</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监理人</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62806038">
          <w:pPr>
            <w:tabs>
              <w:tab w:val="right" w:leader="dot" w:pos="8322"/>
            </w:tabs>
            <w:spacing w:before="67" w:line="205" w:lineRule="auto"/>
            <w:ind w:left="865"/>
            <w:rPr>
              <w:rFonts w:ascii="Calibri" w:hAnsi="Calibri" w:eastAsia="Calibri" w:cs="Calibri"/>
              <w:sz w:val="21"/>
              <w:szCs w:val="21"/>
            </w:rPr>
          </w:pPr>
          <w:r>
            <w:fldChar w:fldCharType="begin"/>
          </w:r>
          <w:r>
            <w:instrText xml:space="preserve"> HYPERLINK \l "bookmark61" </w:instrText>
          </w:r>
          <w:r>
            <w:fldChar w:fldCharType="separate"/>
          </w:r>
          <w:r>
            <w:rPr>
              <w:rFonts w:ascii="Times New Roman" w:hAnsi="Times New Roman" w:eastAsia="Times New Roman" w:cs="Times New Roman"/>
              <w:spacing w:val="-1"/>
              <w:sz w:val="21"/>
              <w:szCs w:val="21"/>
            </w:rPr>
            <w:t>3.1</w:t>
          </w:r>
          <w:r>
            <w:rPr>
              <w:rFonts w:ascii="Times New Roman" w:hAnsi="Times New Roman" w:eastAsia="Times New Roman" w:cs="Times New Roman"/>
              <w:spacing w:val="14"/>
              <w:w w:val="101"/>
              <w:sz w:val="21"/>
              <w:szCs w:val="21"/>
            </w:rPr>
            <w:t xml:space="preserve">  </w:t>
          </w:r>
          <w:r>
            <w:rPr>
              <w:rFonts w:ascii="黑体" w:hAnsi="黑体" w:eastAsia="黑体" w:cs="黑体"/>
              <w:spacing w:val="-1"/>
              <w:sz w:val="21"/>
              <w:szCs w:val="21"/>
            </w:rPr>
            <w:t>监理人的职责和权力</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1964EB10">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"bookmark62" </w:instrText>
          </w:r>
          <w:r>
            <w:fldChar w:fldCharType="separate"/>
          </w:r>
          <w:r>
            <w:rPr>
              <w:rFonts w:ascii="Times New Roman" w:hAnsi="Times New Roman" w:eastAsia="Times New Roman" w:cs="Times New Roman"/>
              <w:spacing w:val="-2"/>
              <w:sz w:val="21"/>
              <w:szCs w:val="21"/>
            </w:rPr>
            <w:t>3.2</w:t>
          </w:r>
          <w:r>
            <w:rPr>
              <w:rFonts w:ascii="Times New Roman" w:hAnsi="Times New Roman" w:eastAsia="Times New Roman" w:cs="Times New Roman"/>
              <w:spacing w:val="16"/>
              <w:w w:val="101"/>
              <w:sz w:val="21"/>
              <w:szCs w:val="21"/>
            </w:rPr>
            <w:t xml:space="preserve">  </w:t>
          </w:r>
          <w:r>
            <w:rPr>
              <w:rFonts w:ascii="黑体" w:hAnsi="黑体" w:eastAsia="黑体" w:cs="黑体"/>
              <w:spacing w:val="-2"/>
              <w:sz w:val="21"/>
              <w:szCs w:val="21"/>
            </w:rPr>
            <w:t>总监理工程师</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251A0AC2">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"bookmark63" </w:instrText>
          </w:r>
          <w:r>
            <w:fldChar w:fldCharType="separate"/>
          </w:r>
          <w:r>
            <w:rPr>
              <w:rFonts w:ascii="Times New Roman" w:hAnsi="Times New Roman" w:eastAsia="Times New Roman" w:cs="Times New Roman"/>
              <w:spacing w:val="-2"/>
              <w:sz w:val="21"/>
              <w:szCs w:val="21"/>
            </w:rPr>
            <w:t>3.3</w:t>
          </w:r>
          <w:r>
            <w:rPr>
              <w:rFonts w:ascii="Times New Roman" w:hAnsi="Times New Roman" w:eastAsia="Times New Roman" w:cs="Times New Roman"/>
              <w:spacing w:val="14"/>
              <w:sz w:val="21"/>
              <w:szCs w:val="21"/>
            </w:rPr>
            <w:t xml:space="preserve">  </w:t>
          </w:r>
          <w:r>
            <w:rPr>
              <w:rFonts w:ascii="黑体" w:hAnsi="黑体" w:eastAsia="黑体" w:cs="黑体"/>
              <w:spacing w:val="-2"/>
              <w:sz w:val="21"/>
              <w:szCs w:val="21"/>
            </w:rPr>
            <w:t>监理人员</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588B93D9">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"bookmark64" </w:instrText>
          </w:r>
          <w:r>
            <w:fldChar w:fldCharType="separate"/>
          </w:r>
          <w:r>
            <w:rPr>
              <w:rFonts w:ascii="Times New Roman" w:hAnsi="Times New Roman" w:eastAsia="Times New Roman" w:cs="Times New Roman"/>
              <w:spacing w:val="-1"/>
              <w:sz w:val="21"/>
              <w:szCs w:val="21"/>
            </w:rPr>
            <w:t>3.4</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监理人的指示</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60</w:t>
          </w:r>
          <w:r>
            <w:rPr>
              <w:rFonts w:ascii="Calibri" w:hAnsi="Calibri" w:eastAsia="Calibri" w:cs="Calibri"/>
              <w:spacing w:val="-4"/>
              <w:sz w:val="21"/>
              <w:szCs w:val="21"/>
            </w:rPr>
            <w:fldChar w:fldCharType="end"/>
          </w:r>
        </w:p>
        <w:p w14:paraId="35A89B50">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"bookmark65" </w:instrText>
          </w:r>
          <w:r>
            <w:fldChar w:fldCharType="separate"/>
          </w:r>
          <w:r>
            <w:rPr>
              <w:rFonts w:ascii="Times New Roman" w:hAnsi="Times New Roman" w:eastAsia="Times New Roman" w:cs="Times New Roman"/>
              <w:spacing w:val="-2"/>
              <w:sz w:val="21"/>
              <w:szCs w:val="21"/>
            </w:rPr>
            <w:t>3.5</w:t>
          </w:r>
          <w:r>
            <w:rPr>
              <w:rFonts w:ascii="Times New Roman" w:hAnsi="Times New Roman" w:eastAsia="Times New Roman" w:cs="Times New Roman"/>
              <w:spacing w:val="15"/>
              <w:w w:val="101"/>
              <w:sz w:val="21"/>
              <w:szCs w:val="21"/>
            </w:rPr>
            <w:t xml:space="preserve">  </w:t>
          </w:r>
          <w:r>
            <w:rPr>
              <w:rFonts w:ascii="黑体" w:hAnsi="黑体" w:eastAsia="黑体" w:cs="黑体"/>
              <w:spacing w:val="-2"/>
              <w:sz w:val="21"/>
              <w:szCs w:val="21"/>
            </w:rPr>
            <w:t>商定或确定</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1872610E">
          <w:pPr>
            <w:tabs>
              <w:tab w:val="right" w:leader="dot" w:pos="8322"/>
            </w:tabs>
            <w:spacing w:before="68" w:line="205" w:lineRule="auto"/>
            <w:ind w:left="439"/>
            <w:rPr>
              <w:rFonts w:ascii="Calibri" w:hAnsi="Calibri" w:eastAsia="Calibri" w:cs="Calibri"/>
              <w:sz w:val="21"/>
              <w:szCs w:val="21"/>
            </w:rPr>
          </w:pPr>
          <w:r>
            <w:fldChar w:fldCharType="begin"/>
          </w:r>
          <w:r>
            <w:instrText xml:space="preserve"> HYPERLINK \l "bookmark66" </w:instrText>
          </w:r>
          <w:r>
            <w:fldChar w:fldCharType="separate"/>
          </w:r>
          <w:r>
            <w:rPr>
              <w:rFonts w:ascii="Times New Roman" w:hAnsi="Times New Roman" w:eastAsia="Times New Roman" w:cs="Times New Roman"/>
              <w:spacing w:val="-2"/>
              <w:sz w:val="21"/>
              <w:szCs w:val="21"/>
            </w:rPr>
            <w:t>4.</w:t>
          </w:r>
          <w:r>
            <w:rPr>
              <w:rFonts w:ascii="Times New Roman" w:hAnsi="Times New Roman" w:eastAsia="Times New Roman" w:cs="Times New Roman"/>
              <w:spacing w:val="14"/>
              <w:w w:val="101"/>
              <w:sz w:val="21"/>
              <w:szCs w:val="21"/>
            </w:rPr>
            <w:t xml:space="preserve">  </w:t>
          </w:r>
          <w:r>
            <w:rPr>
              <w:rFonts w:ascii="黑体" w:hAnsi="黑体" w:eastAsia="黑体" w:cs="黑体"/>
              <w:spacing w:val="-2"/>
              <w:sz w:val="21"/>
              <w:szCs w:val="21"/>
            </w:rPr>
            <w:t>承包人</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541ADC6F">
          <w:pPr>
            <w:tabs>
              <w:tab w:val="right" w:leader="dot" w:pos="8322"/>
            </w:tabs>
            <w:spacing w:before="81" w:line="205" w:lineRule="auto"/>
            <w:ind w:left="860"/>
            <w:rPr>
              <w:rFonts w:ascii="Calibri" w:hAnsi="Calibri" w:eastAsia="Calibri" w:cs="Calibri"/>
              <w:sz w:val="21"/>
              <w:szCs w:val="21"/>
            </w:rPr>
          </w:pPr>
          <w:r>
            <w:fldChar w:fldCharType="begin"/>
          </w:r>
          <w:r>
            <w:instrText xml:space="preserve"> HYPERLINK \l "bookmark67" </w:instrText>
          </w:r>
          <w:r>
            <w:fldChar w:fldCharType="separate"/>
          </w:r>
          <w:r>
            <w:rPr>
              <w:rFonts w:ascii="Times New Roman" w:hAnsi="Times New Roman" w:eastAsia="Times New Roman" w:cs="Times New Roman"/>
              <w:sz w:val="21"/>
              <w:szCs w:val="21"/>
            </w:rPr>
            <w:t>4.1</w:t>
          </w:r>
          <w:r>
            <w:rPr>
              <w:rFonts w:ascii="Times New Roman" w:hAnsi="Times New Roman" w:eastAsia="Times New Roman" w:cs="Times New Roman"/>
              <w:spacing w:val="11"/>
              <w:sz w:val="21"/>
              <w:szCs w:val="21"/>
            </w:rPr>
            <w:t xml:space="preserve">  </w:t>
          </w:r>
          <w:r>
            <w:rPr>
              <w:rFonts w:ascii="黑体" w:hAnsi="黑体" w:eastAsia="黑体" w:cs="黑体"/>
              <w:sz w:val="21"/>
              <w:szCs w:val="21"/>
            </w:rPr>
            <w:t>承包人的一般义务</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61</w:t>
          </w:r>
          <w:r>
            <w:rPr>
              <w:rFonts w:ascii="Calibri" w:hAnsi="Calibri" w:eastAsia="Calibri" w:cs="Calibri"/>
              <w:spacing w:val="-4"/>
              <w:sz w:val="21"/>
              <w:szCs w:val="21"/>
            </w:rPr>
            <w:fldChar w:fldCharType="end"/>
          </w:r>
        </w:p>
        <w:p w14:paraId="5778E76E">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"bookmark68" </w:instrText>
          </w:r>
          <w:r>
            <w:fldChar w:fldCharType="separate"/>
          </w:r>
          <w:r>
            <w:rPr>
              <w:rFonts w:ascii="Times New Roman" w:hAnsi="Times New Roman" w:eastAsia="Times New Roman" w:cs="Times New Roman"/>
              <w:spacing w:val="-1"/>
              <w:sz w:val="21"/>
              <w:szCs w:val="21"/>
            </w:rPr>
            <w:t>4.2</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履约担保</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62</w:t>
          </w:r>
          <w:r>
            <w:rPr>
              <w:rFonts w:ascii="Calibri" w:hAnsi="Calibri" w:eastAsia="Calibri" w:cs="Calibri"/>
              <w:spacing w:val="-4"/>
              <w:sz w:val="21"/>
              <w:szCs w:val="21"/>
            </w:rPr>
            <w:fldChar w:fldCharType="end"/>
          </w:r>
        </w:p>
        <w:p w14:paraId="1EB82671">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"bookmark69" </w:instrText>
          </w:r>
          <w:r>
            <w:fldChar w:fldCharType="separate"/>
          </w:r>
          <w:r>
            <w:rPr>
              <w:rFonts w:ascii="Times New Roman" w:hAnsi="Times New Roman" w:eastAsia="Times New Roman" w:cs="Times New Roman"/>
              <w:spacing w:val="-2"/>
              <w:sz w:val="21"/>
              <w:szCs w:val="21"/>
            </w:rPr>
            <w:t>4.3</w:t>
          </w:r>
          <w:r>
            <w:rPr>
              <w:rFonts w:ascii="Times New Roman" w:hAnsi="Times New Roman" w:eastAsia="Times New Roman" w:cs="Times New Roman"/>
              <w:spacing w:val="14"/>
              <w:sz w:val="21"/>
              <w:szCs w:val="21"/>
            </w:rPr>
            <w:t xml:space="preserve">  </w:t>
          </w:r>
          <w:r>
            <w:rPr>
              <w:rFonts w:ascii="黑体" w:hAnsi="黑体" w:eastAsia="黑体" w:cs="黑体"/>
              <w:spacing w:val="-2"/>
              <w:sz w:val="21"/>
              <w:szCs w:val="21"/>
            </w:rPr>
            <w:t>分包</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62</w:t>
          </w:r>
          <w:r>
            <w:rPr>
              <w:rFonts w:ascii="Calibri" w:hAnsi="Calibri" w:eastAsia="Calibri" w:cs="Calibri"/>
              <w:spacing w:val="-4"/>
              <w:sz w:val="21"/>
              <w:szCs w:val="21"/>
            </w:rPr>
            <w:fldChar w:fldCharType="end"/>
          </w:r>
        </w:p>
        <w:p w14:paraId="370B7105">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"bookmark70" </w:instrText>
          </w:r>
          <w:r>
            <w:fldChar w:fldCharType="separate"/>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联合体</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62</w:t>
          </w:r>
          <w:r>
            <w:rPr>
              <w:rFonts w:ascii="Calibri" w:hAnsi="Calibri" w:eastAsia="Calibri" w:cs="Calibri"/>
              <w:spacing w:val="-4"/>
              <w:sz w:val="21"/>
              <w:szCs w:val="21"/>
            </w:rPr>
            <w:fldChar w:fldCharType="end"/>
          </w:r>
        </w:p>
        <w:p w14:paraId="211D28E5">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"bookmark71" </w:instrText>
          </w:r>
          <w:r>
            <w:fldChar w:fldCharType="separate"/>
          </w:r>
          <w:r>
            <w:rPr>
              <w:rFonts w:ascii="Times New Roman" w:hAnsi="Times New Roman" w:eastAsia="Times New Roman" w:cs="Times New Roman"/>
              <w:spacing w:val="-1"/>
              <w:sz w:val="21"/>
              <w:szCs w:val="21"/>
            </w:rPr>
            <w:t>4.5</w:t>
          </w:r>
          <w:r>
            <w:rPr>
              <w:rFonts w:ascii="Times New Roman" w:hAnsi="Times New Roman" w:eastAsia="Times New Roman" w:cs="Times New Roman"/>
              <w:spacing w:val="15"/>
              <w:w w:val="101"/>
              <w:sz w:val="21"/>
              <w:szCs w:val="21"/>
            </w:rPr>
            <w:t xml:space="preserve">  </w:t>
          </w:r>
          <w:r>
            <w:rPr>
              <w:rFonts w:ascii="黑体" w:hAnsi="黑体" w:eastAsia="黑体" w:cs="黑体"/>
              <w:spacing w:val="-1"/>
              <w:sz w:val="21"/>
              <w:szCs w:val="21"/>
            </w:rPr>
            <w:t>承包人项目经理</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6C11E281">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"bookmark72" </w:instrText>
          </w:r>
          <w:r>
            <w:fldChar w:fldCharType="separate"/>
          </w:r>
          <w:r>
            <w:rPr>
              <w:rFonts w:ascii="Times New Roman" w:hAnsi="Times New Roman" w:eastAsia="Times New Roman" w:cs="Times New Roman"/>
              <w:sz w:val="21"/>
              <w:szCs w:val="21"/>
            </w:rPr>
            <w:t>4.6</w:t>
          </w:r>
          <w:r>
            <w:rPr>
              <w:rFonts w:ascii="Times New Roman" w:hAnsi="Times New Roman" w:eastAsia="Times New Roman" w:cs="Times New Roman"/>
              <w:spacing w:val="11"/>
              <w:sz w:val="21"/>
              <w:szCs w:val="21"/>
            </w:rPr>
            <w:t xml:space="preserve">  </w:t>
          </w:r>
          <w:r>
            <w:rPr>
              <w:rFonts w:ascii="黑体" w:hAnsi="黑体" w:eastAsia="黑体" w:cs="黑体"/>
              <w:sz w:val="21"/>
              <w:szCs w:val="21"/>
            </w:rPr>
            <w:t>承包人人员的管理</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7240F1DB">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"bookmark73" </w:instrText>
          </w:r>
          <w:r>
            <w:fldChar w:fldCharType="separate"/>
          </w:r>
          <w:r>
            <w:rPr>
              <w:rFonts w:ascii="Times New Roman" w:hAnsi="Times New Roman" w:eastAsia="Times New Roman" w:cs="Times New Roman"/>
              <w:spacing w:val="1"/>
              <w:sz w:val="21"/>
              <w:szCs w:val="21"/>
            </w:rPr>
            <w:t xml:space="preserve">4.7  </w:t>
          </w:r>
          <w:r>
            <w:rPr>
              <w:rFonts w:ascii="黑体" w:hAnsi="黑体" w:eastAsia="黑体" w:cs="黑体"/>
              <w:spacing w:val="1"/>
              <w:sz w:val="21"/>
              <w:szCs w:val="21"/>
            </w:rPr>
            <w:t>撤换承包人项目经理和其他人员</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1B6A0CAC">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"bookmark74" </w:instrText>
          </w:r>
          <w:r>
            <w:fldChar w:fldCharType="separate"/>
          </w:r>
          <w:r>
            <w:rPr>
              <w:rFonts w:ascii="Times New Roman" w:hAnsi="Times New Roman" w:eastAsia="Times New Roman" w:cs="Times New Roman"/>
              <w:spacing w:val="1"/>
              <w:sz w:val="21"/>
              <w:szCs w:val="21"/>
            </w:rPr>
            <w:t xml:space="preserve">4.8  </w:t>
          </w:r>
          <w:r>
            <w:rPr>
              <w:rFonts w:ascii="黑体" w:hAnsi="黑体" w:eastAsia="黑体" w:cs="黑体"/>
              <w:spacing w:val="1"/>
              <w:sz w:val="21"/>
              <w:szCs w:val="21"/>
            </w:rPr>
            <w:t>保障承包人人员的合法权益</w:t>
          </w:r>
          <w:r>
            <w:rPr>
              <w:rFonts w:ascii="黑体" w:hAnsi="黑体" w:eastAsia="黑体" w:cs="黑体"/>
              <w:spacing w:val="-5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63</w:t>
          </w:r>
          <w:r>
            <w:rPr>
              <w:rFonts w:ascii="Calibri" w:hAnsi="Calibri" w:eastAsia="Calibri" w:cs="Calibri"/>
              <w:spacing w:val="-4"/>
              <w:sz w:val="21"/>
              <w:szCs w:val="21"/>
            </w:rPr>
            <w:fldChar w:fldCharType="end"/>
          </w:r>
        </w:p>
        <w:p w14:paraId="2CF618AC">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"bookmark75" </w:instrText>
          </w:r>
          <w:r>
            <w:fldChar w:fldCharType="separate"/>
          </w:r>
          <w:r>
            <w:rPr>
              <w:rFonts w:ascii="Times New Roman" w:hAnsi="Times New Roman" w:eastAsia="Times New Roman" w:cs="Times New Roman"/>
              <w:spacing w:val="-1"/>
              <w:sz w:val="21"/>
              <w:szCs w:val="21"/>
            </w:rPr>
            <w:t>4.9</w:t>
          </w:r>
          <w:r>
            <w:rPr>
              <w:rFonts w:ascii="Times New Roman" w:hAnsi="Times New Roman" w:eastAsia="Times New Roman" w:cs="Times New Roman"/>
              <w:spacing w:val="17"/>
              <w:sz w:val="21"/>
              <w:szCs w:val="21"/>
            </w:rPr>
            <w:t xml:space="preserve">  </w:t>
          </w:r>
          <w:r>
            <w:rPr>
              <w:rFonts w:ascii="黑体" w:hAnsi="黑体" w:eastAsia="黑体" w:cs="黑体"/>
              <w:spacing w:val="-1"/>
              <w:sz w:val="21"/>
              <w:szCs w:val="21"/>
            </w:rPr>
            <w:t>工程价款应专款专用</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563F77F9">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"bookmark76" </w:instrText>
          </w:r>
          <w:r>
            <w:fldChar w:fldCharType="separate"/>
          </w:r>
          <w:r>
            <w:rPr>
              <w:rFonts w:ascii="Times New Roman" w:hAnsi="Times New Roman" w:eastAsia="Times New Roman" w:cs="Times New Roman"/>
              <w:spacing w:val="-1"/>
              <w:sz w:val="21"/>
              <w:szCs w:val="21"/>
            </w:rPr>
            <w:t>4.10</w:t>
          </w:r>
          <w:r>
            <w:rPr>
              <w:rFonts w:ascii="Times New Roman" w:hAnsi="Times New Roman" w:eastAsia="Times New Roman" w:cs="Times New Roman"/>
              <w:spacing w:val="16"/>
              <w:sz w:val="21"/>
              <w:szCs w:val="21"/>
            </w:rPr>
            <w:t xml:space="preserve">  </w:t>
          </w:r>
          <w:r>
            <w:rPr>
              <w:rFonts w:ascii="黑体" w:hAnsi="黑体" w:eastAsia="黑体" w:cs="黑体"/>
              <w:spacing w:val="-1"/>
              <w:sz w:val="21"/>
              <w:szCs w:val="21"/>
            </w:rPr>
            <w:t>承包人现场查勘</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23875046">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"bookmark77" </w:instrText>
          </w:r>
          <w:r>
            <w:fldChar w:fldCharType="separate"/>
          </w:r>
          <w:r>
            <w:rPr>
              <w:rFonts w:ascii="Times New Roman" w:hAnsi="Times New Roman" w:eastAsia="Times New Roman" w:cs="Times New Roman"/>
              <w:spacing w:val="-2"/>
              <w:sz w:val="21"/>
              <w:szCs w:val="21"/>
            </w:rPr>
            <w:t>4.11</w:t>
          </w:r>
          <w:r>
            <w:rPr>
              <w:rFonts w:ascii="Times New Roman" w:hAnsi="Times New Roman" w:eastAsia="Times New Roman" w:cs="Times New Roman"/>
              <w:spacing w:val="13"/>
              <w:sz w:val="21"/>
              <w:szCs w:val="21"/>
            </w:rPr>
            <w:t xml:space="preserve">  </w:t>
          </w:r>
          <w:r>
            <w:rPr>
              <w:rFonts w:ascii="黑体" w:hAnsi="黑体" w:eastAsia="黑体" w:cs="黑体"/>
              <w:spacing w:val="-2"/>
              <w:sz w:val="21"/>
              <w:szCs w:val="21"/>
            </w:rPr>
            <w:t>不利物质条件</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1F424546">
          <w:pPr>
            <w:tabs>
              <w:tab w:val="right" w:leader="dot" w:pos="8322"/>
            </w:tabs>
            <w:spacing w:before="82" w:line="205" w:lineRule="auto"/>
            <w:ind w:left="446"/>
            <w:rPr>
              <w:rFonts w:ascii="Calibri" w:hAnsi="Calibri" w:eastAsia="Calibri" w:cs="Calibri"/>
              <w:sz w:val="21"/>
              <w:szCs w:val="21"/>
            </w:rPr>
          </w:pPr>
          <w:r>
            <w:fldChar w:fldCharType="begin"/>
          </w:r>
          <w:r>
            <w:instrText xml:space="preserve"> HYPERLINK \l "bookmark78" </w:instrText>
          </w:r>
          <w:r>
            <w:fldChar w:fldCharType="separate"/>
          </w:r>
          <w:r>
            <w:rPr>
              <w:rFonts w:ascii="Times New Roman" w:hAnsi="Times New Roman" w:eastAsia="Times New Roman" w:cs="Times New Roman"/>
              <w:spacing w:val="-2"/>
              <w:sz w:val="21"/>
              <w:szCs w:val="21"/>
            </w:rPr>
            <w:t>5.</w:t>
          </w:r>
          <w:r>
            <w:rPr>
              <w:rFonts w:ascii="Times New Roman" w:hAnsi="Times New Roman" w:eastAsia="Times New Roman" w:cs="Times New Roman"/>
              <w:spacing w:val="16"/>
              <w:sz w:val="21"/>
              <w:szCs w:val="21"/>
            </w:rPr>
            <w:t xml:space="preserve">  </w:t>
          </w:r>
          <w:r>
            <w:rPr>
              <w:rFonts w:ascii="黑体" w:hAnsi="黑体" w:eastAsia="黑体" w:cs="黑体"/>
              <w:spacing w:val="-2"/>
              <w:sz w:val="21"/>
              <w:szCs w:val="21"/>
            </w:rPr>
            <w:t>材料和工程设备</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48A1317D">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"bookmark79" </w:instrText>
          </w:r>
          <w:r>
            <w:fldChar w:fldCharType="separate"/>
          </w:r>
          <w:r>
            <w:rPr>
              <w:rFonts w:ascii="Times New Roman" w:hAnsi="Times New Roman" w:eastAsia="Times New Roman" w:cs="Times New Roman"/>
              <w:spacing w:val="1"/>
              <w:sz w:val="21"/>
              <w:szCs w:val="21"/>
            </w:rPr>
            <w:t xml:space="preserve">5.1  </w:t>
          </w:r>
          <w:r>
            <w:rPr>
              <w:rFonts w:ascii="黑体" w:hAnsi="黑体" w:eastAsia="黑体" w:cs="黑体"/>
              <w:spacing w:val="1"/>
              <w:sz w:val="21"/>
              <w:szCs w:val="21"/>
            </w:rPr>
            <w:t>承包人提供的材料和工程设备</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4F5F4FAB">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"bookmark80" </w:instrText>
          </w:r>
          <w:r>
            <w:fldChar w:fldCharType="separate"/>
          </w:r>
          <w:r>
            <w:rPr>
              <w:rFonts w:ascii="Times New Roman" w:hAnsi="Times New Roman" w:eastAsia="Times New Roman" w:cs="Times New Roman"/>
              <w:spacing w:val="1"/>
              <w:sz w:val="21"/>
              <w:szCs w:val="21"/>
            </w:rPr>
            <w:t xml:space="preserve">5.2  </w:t>
          </w:r>
          <w:r>
            <w:rPr>
              <w:rFonts w:ascii="黑体" w:hAnsi="黑体" w:eastAsia="黑体" w:cs="黑体"/>
              <w:spacing w:val="1"/>
              <w:sz w:val="21"/>
              <w:szCs w:val="21"/>
            </w:rPr>
            <w:t>发包人提供的材料和工程设备</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60584FDC">
          <w:pPr>
            <w:tabs>
              <w:tab w:val="right" w:leader="dot" w:pos="8322"/>
            </w:tabs>
            <w:spacing w:before="67" w:line="205" w:lineRule="auto"/>
            <w:ind w:left="867"/>
            <w:rPr>
              <w:rFonts w:ascii="Calibri" w:hAnsi="Calibri" w:eastAsia="Calibri" w:cs="Calibri"/>
              <w:sz w:val="21"/>
              <w:szCs w:val="21"/>
            </w:rPr>
          </w:pPr>
          <w:r>
            <w:fldChar w:fldCharType="begin"/>
          </w:r>
          <w:r>
            <w:instrText xml:space="preserve"> HYPERLINK \l "bookmark81" </w:instrText>
          </w:r>
          <w:r>
            <w:fldChar w:fldCharType="separate"/>
          </w:r>
          <w:r>
            <w:rPr>
              <w:rFonts w:ascii="Times New Roman" w:hAnsi="Times New Roman" w:eastAsia="Times New Roman" w:cs="Times New Roman"/>
              <w:spacing w:val="1"/>
              <w:sz w:val="21"/>
              <w:szCs w:val="21"/>
            </w:rPr>
            <w:t xml:space="preserve">5.3  </w:t>
          </w:r>
          <w:r>
            <w:rPr>
              <w:rFonts w:ascii="黑体" w:hAnsi="黑体" w:eastAsia="黑体" w:cs="黑体"/>
              <w:spacing w:val="1"/>
              <w:sz w:val="21"/>
              <w:szCs w:val="21"/>
            </w:rPr>
            <w:t>材料和工程设备专用于合同工程</w:t>
          </w:r>
          <w:r>
            <w:rPr>
              <w:rFonts w:ascii="黑体" w:hAnsi="黑体" w:eastAsia="黑体" w:cs="黑体"/>
              <w:spacing w:val="-63"/>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6E940878">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"bookmark82" </w:instrText>
          </w:r>
          <w:r>
            <w:fldChar w:fldCharType="separate"/>
          </w:r>
          <w:r>
            <w:rPr>
              <w:rFonts w:ascii="Times New Roman" w:hAnsi="Times New Roman" w:eastAsia="Times New Roman" w:cs="Times New Roman"/>
              <w:sz w:val="21"/>
              <w:szCs w:val="21"/>
            </w:rPr>
            <w:t xml:space="preserve">5.4  </w:t>
          </w:r>
          <w:r>
            <w:rPr>
              <w:rFonts w:ascii="黑体" w:hAnsi="黑体" w:eastAsia="黑体" w:cs="黑体"/>
              <w:sz w:val="21"/>
              <w:szCs w:val="21"/>
            </w:rPr>
            <w:t>禁止使用不合格的材料和工程设备</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0275BD41">
          <w:pPr>
            <w:tabs>
              <w:tab w:val="right" w:leader="dot" w:pos="8322"/>
            </w:tabs>
            <w:spacing w:before="82" w:line="205" w:lineRule="auto"/>
            <w:ind w:left="445"/>
            <w:rPr>
              <w:rFonts w:ascii="Calibri" w:hAnsi="Calibri" w:eastAsia="Calibri" w:cs="Calibri"/>
              <w:sz w:val="21"/>
              <w:szCs w:val="21"/>
            </w:rPr>
          </w:pPr>
          <w:r>
            <w:fldChar w:fldCharType="begin"/>
          </w:r>
          <w:r>
            <w:instrText xml:space="preserve"> HYPERLINK \l "bookmark83" </w:instrText>
          </w:r>
          <w:r>
            <w:fldChar w:fldCharType="separate"/>
          </w:r>
          <w:r>
            <w:rPr>
              <w:rFonts w:ascii="Times New Roman" w:hAnsi="Times New Roman" w:eastAsia="Times New Roman" w:cs="Times New Roman"/>
              <w:spacing w:val="-2"/>
              <w:sz w:val="21"/>
              <w:szCs w:val="21"/>
            </w:rPr>
            <w:t>6.</w:t>
          </w:r>
          <w:r>
            <w:rPr>
              <w:rFonts w:ascii="Times New Roman" w:hAnsi="Times New Roman" w:eastAsia="Times New Roman" w:cs="Times New Roman"/>
              <w:spacing w:val="19"/>
              <w:sz w:val="21"/>
              <w:szCs w:val="21"/>
            </w:rPr>
            <w:t xml:space="preserve">  </w:t>
          </w:r>
          <w:r>
            <w:rPr>
              <w:rFonts w:ascii="黑体" w:hAnsi="黑体" w:eastAsia="黑体" w:cs="黑体"/>
              <w:spacing w:val="-2"/>
              <w:sz w:val="21"/>
              <w:szCs w:val="21"/>
            </w:rPr>
            <w:t>施工设备和临时设施</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1085AE2D">
          <w:pPr>
            <w:tabs>
              <w:tab w:val="right" w:leader="dot" w:pos="8322"/>
            </w:tabs>
            <w:spacing w:before="82" w:line="205" w:lineRule="auto"/>
            <w:ind w:left="866"/>
            <w:rPr>
              <w:rFonts w:ascii="Calibri" w:hAnsi="Calibri" w:eastAsia="Calibri" w:cs="Calibri"/>
              <w:sz w:val="21"/>
              <w:szCs w:val="21"/>
            </w:rPr>
          </w:pPr>
          <w:r>
            <w:fldChar w:fldCharType="begin"/>
          </w:r>
          <w:r>
            <w:instrText xml:space="preserve"> HYPERLINK \l "bookmark84" </w:instrText>
          </w:r>
          <w:r>
            <w:fldChar w:fldCharType="separate"/>
          </w:r>
          <w:r>
            <w:rPr>
              <w:rFonts w:ascii="Times New Roman" w:hAnsi="Times New Roman" w:eastAsia="Times New Roman" w:cs="Times New Roman"/>
              <w:spacing w:val="1"/>
              <w:sz w:val="21"/>
              <w:szCs w:val="21"/>
            </w:rPr>
            <w:t xml:space="preserve">6.1  </w:t>
          </w:r>
          <w:r>
            <w:rPr>
              <w:rFonts w:ascii="黑体" w:hAnsi="黑体" w:eastAsia="黑体" w:cs="黑体"/>
              <w:spacing w:val="1"/>
              <w:sz w:val="21"/>
              <w:szCs w:val="21"/>
            </w:rPr>
            <w:t>承包人提供的施工设备和临时设施</w:t>
          </w:r>
          <w:r>
            <w:rPr>
              <w:rFonts w:ascii="黑体" w:hAnsi="黑体" w:eastAsia="黑体" w:cs="黑体"/>
              <w:spacing w:val="-93"/>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0BD3B508">
          <w:pPr>
            <w:tabs>
              <w:tab w:val="right" w:leader="dot" w:pos="8322"/>
            </w:tabs>
            <w:spacing w:before="83" w:line="205" w:lineRule="auto"/>
            <w:ind w:left="866"/>
            <w:rPr>
              <w:rFonts w:ascii="Calibri" w:hAnsi="Calibri" w:eastAsia="Calibri" w:cs="Calibri"/>
              <w:sz w:val="21"/>
              <w:szCs w:val="21"/>
            </w:rPr>
          </w:pPr>
          <w:r>
            <w:fldChar w:fldCharType="begin"/>
          </w:r>
          <w:r>
            <w:instrText xml:space="preserve"> HYPERLINK \l "bookmark85" </w:instrText>
          </w:r>
          <w:r>
            <w:fldChar w:fldCharType="separate"/>
          </w:r>
          <w:r>
            <w:rPr>
              <w:rFonts w:ascii="Times New Roman" w:hAnsi="Times New Roman" w:eastAsia="Times New Roman" w:cs="Times New Roman"/>
              <w:spacing w:val="1"/>
              <w:sz w:val="21"/>
              <w:szCs w:val="21"/>
            </w:rPr>
            <w:t xml:space="preserve">6.2  </w:t>
          </w:r>
          <w:r>
            <w:rPr>
              <w:rFonts w:ascii="黑体" w:hAnsi="黑体" w:eastAsia="黑体" w:cs="黑体"/>
              <w:spacing w:val="1"/>
              <w:sz w:val="21"/>
              <w:szCs w:val="21"/>
            </w:rPr>
            <w:t>发包人提供的施工设备和临时设施</w:t>
          </w:r>
          <w:r>
            <w:rPr>
              <w:rFonts w:ascii="黑体" w:hAnsi="黑体" w:eastAsia="黑体" w:cs="黑体"/>
              <w:spacing w:val="-93"/>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70E31B51">
          <w:pPr>
            <w:tabs>
              <w:tab w:val="right" w:leader="dot" w:pos="8322"/>
            </w:tabs>
            <w:spacing w:before="67" w:line="239" w:lineRule="auto"/>
            <w:ind w:left="866"/>
            <w:rPr>
              <w:rFonts w:ascii="Calibri" w:hAnsi="Calibri" w:eastAsia="Calibri" w:cs="Calibri"/>
              <w:sz w:val="21"/>
              <w:szCs w:val="21"/>
            </w:rPr>
          </w:pPr>
          <w:r>
            <w:fldChar w:fldCharType="begin"/>
          </w:r>
          <w:r>
            <w:instrText xml:space="preserve"> HYPERLINK \l "bookmark86" </w:instrText>
          </w:r>
          <w:r>
            <w:fldChar w:fldCharType="separate"/>
          </w:r>
          <w:r>
            <w:rPr>
              <w:rFonts w:ascii="Times New Roman" w:hAnsi="Times New Roman" w:eastAsia="Times New Roman" w:cs="Times New Roman"/>
              <w:spacing w:val="1"/>
              <w:sz w:val="21"/>
              <w:szCs w:val="21"/>
            </w:rPr>
            <w:t xml:space="preserve">6.3  </w:t>
          </w:r>
          <w:r>
            <w:rPr>
              <w:rFonts w:ascii="黑体" w:hAnsi="黑体" w:eastAsia="黑体" w:cs="黑体"/>
              <w:spacing w:val="1"/>
              <w:sz w:val="21"/>
              <w:szCs w:val="21"/>
            </w:rPr>
            <w:t>要求承包人增加或更换施工设备</w:t>
          </w:r>
          <w:r>
            <w:rPr>
              <w:rFonts w:ascii="黑体" w:hAnsi="黑体" w:eastAsia="黑体" w:cs="黑体"/>
              <w:spacing w:val="-62"/>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sdtContent>
    </w:sdt>
    <w:p w14:paraId="5E5B9EAA">
      <w:pPr>
        <w:spacing w:line="239" w:lineRule="auto"/>
        <w:rPr>
          <w:rFonts w:ascii="Calibri" w:hAnsi="Calibri" w:eastAsia="Calibri" w:cs="Calibri"/>
          <w:sz w:val="21"/>
          <w:szCs w:val="21"/>
        </w:rPr>
        <w:sectPr>
          <w:footerReference r:id="rId6" w:type="default"/>
          <w:pgSz w:w="11910" w:h="16845"/>
          <w:pgMar w:top="1431" w:right="1786" w:bottom="1065" w:left="1786" w:header="0" w:footer="837" w:gutter="0"/>
          <w:cols w:space="720" w:num="1"/>
        </w:sectPr>
      </w:pPr>
    </w:p>
    <w:sdt>
      <w:sdtPr>
        <w:rPr>
          <w:rFonts w:ascii="Times New Roman" w:hAnsi="Times New Roman" w:eastAsia="Times New Roman" w:cs="Times New Roman"/>
          <w:sz w:val="21"/>
          <w:szCs w:val="21"/>
        </w:rPr>
        <w:id w:val="147475997"/>
        <w:docPartObj>
          <w:docPartGallery w:val="Table of Contents"/>
          <w:docPartUnique/>
        </w:docPartObj>
      </w:sdtPr>
      <w:sdtEndPr>
        <w:rPr>
          <w:rFonts w:ascii="Calibri" w:hAnsi="Calibri" w:eastAsia="Calibri" w:cs="Calibri"/>
          <w:sz w:val="21"/>
          <w:szCs w:val="21"/>
        </w:rPr>
      </w:sdtEndPr>
      <w:sdtContent>
        <w:p w14:paraId="1383AA85">
          <w:pPr>
            <w:tabs>
              <w:tab w:val="right" w:leader="dot" w:pos="8322"/>
            </w:tabs>
            <w:spacing w:before="54" w:line="205" w:lineRule="auto"/>
            <w:ind w:left="866"/>
            <w:rPr>
              <w:rFonts w:ascii="Calibri" w:hAnsi="Calibri" w:eastAsia="Calibri" w:cs="Calibri"/>
              <w:sz w:val="21"/>
              <w:szCs w:val="21"/>
            </w:rPr>
          </w:pPr>
          <w:r>
            <w:fldChar w:fldCharType="begin"/>
          </w:r>
          <w:r>
            <w:instrText xml:space="preserve"> HYPERLINK \l "bookmark87" </w:instrText>
          </w:r>
          <w:r>
            <w:fldChar w:fldCharType="separate"/>
          </w:r>
          <w:r>
            <w:rPr>
              <w:rFonts w:ascii="Times New Roman" w:hAnsi="Times New Roman" w:eastAsia="Times New Roman" w:cs="Times New Roman"/>
              <w:spacing w:val="1"/>
              <w:sz w:val="21"/>
              <w:szCs w:val="21"/>
            </w:rPr>
            <w:t xml:space="preserve">6.4  </w:t>
          </w:r>
          <w:r>
            <w:rPr>
              <w:rFonts w:ascii="黑体" w:hAnsi="黑体" w:eastAsia="黑体" w:cs="黑体"/>
              <w:spacing w:val="1"/>
              <w:sz w:val="21"/>
              <w:szCs w:val="21"/>
            </w:rPr>
            <w:t>施工设备和临时设施专用于合同工程</w:t>
          </w:r>
          <w:r>
            <w:rPr>
              <w:rFonts w:ascii="黑体" w:hAnsi="黑体" w:eastAsia="黑体" w:cs="黑体"/>
              <w:spacing w:val="-63"/>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0EAA590C">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"bookmark88" </w:instrText>
          </w:r>
          <w:r>
            <w:fldChar w:fldCharType="separate"/>
          </w:r>
          <w:r>
            <w:rPr>
              <w:rFonts w:ascii="Times New Roman" w:hAnsi="Times New Roman" w:eastAsia="Times New Roman" w:cs="Times New Roman"/>
              <w:spacing w:val="-4"/>
              <w:sz w:val="21"/>
              <w:szCs w:val="21"/>
            </w:rPr>
            <w:t>7.</w:t>
          </w:r>
          <w:r>
            <w:rPr>
              <w:rFonts w:ascii="Times New Roman" w:hAnsi="Times New Roman" w:eastAsia="Times New Roman" w:cs="Times New Roman"/>
              <w:spacing w:val="19"/>
              <w:w w:val="101"/>
              <w:sz w:val="21"/>
              <w:szCs w:val="21"/>
            </w:rPr>
            <w:t xml:space="preserve">  </w:t>
          </w:r>
          <w:r>
            <w:rPr>
              <w:rFonts w:ascii="黑体" w:hAnsi="黑体" w:eastAsia="黑体" w:cs="黑体"/>
              <w:spacing w:val="-4"/>
              <w:sz w:val="21"/>
              <w:szCs w:val="21"/>
            </w:rPr>
            <w:t>交通运输</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1F339076">
          <w:pPr>
            <w:tabs>
              <w:tab w:val="right" w:leader="dot" w:pos="8322"/>
            </w:tabs>
            <w:spacing w:before="81" w:line="205" w:lineRule="auto"/>
            <w:ind w:left="864"/>
            <w:rPr>
              <w:rFonts w:ascii="Calibri" w:hAnsi="Calibri" w:eastAsia="Calibri" w:cs="Calibri"/>
              <w:sz w:val="21"/>
              <w:szCs w:val="21"/>
            </w:rPr>
          </w:pPr>
          <w:r>
            <w:fldChar w:fldCharType="begin"/>
          </w:r>
          <w:r>
            <w:instrText xml:space="preserve"> HYPERLINK \l "bookmark89" </w:instrText>
          </w:r>
          <w:r>
            <w:fldChar w:fldCharType="separate"/>
          </w:r>
          <w:r>
            <w:rPr>
              <w:rFonts w:ascii="Times New Roman" w:hAnsi="Times New Roman" w:eastAsia="Times New Roman" w:cs="Times New Roman"/>
              <w:spacing w:val="1"/>
              <w:sz w:val="21"/>
              <w:szCs w:val="21"/>
            </w:rPr>
            <w:t xml:space="preserve">7.1  </w:t>
          </w:r>
          <w:r>
            <w:rPr>
              <w:rFonts w:ascii="黑体" w:hAnsi="黑体" w:eastAsia="黑体" w:cs="黑体"/>
              <w:spacing w:val="1"/>
              <w:sz w:val="21"/>
              <w:szCs w:val="21"/>
            </w:rPr>
            <w:t>道路通行权和场外设施</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7CC0384F">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"bookmark90" </w:instrText>
          </w:r>
          <w:r>
            <w:fldChar w:fldCharType="separate"/>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场内施工道路</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2E1CEA1B">
          <w:pPr>
            <w:tabs>
              <w:tab w:val="right" w:leader="dot" w:pos="8322"/>
            </w:tabs>
            <w:spacing w:before="81" w:line="205" w:lineRule="auto"/>
            <w:ind w:left="864"/>
            <w:rPr>
              <w:rFonts w:ascii="Calibri" w:hAnsi="Calibri" w:eastAsia="Calibri" w:cs="Calibri"/>
              <w:sz w:val="21"/>
              <w:szCs w:val="21"/>
            </w:rPr>
          </w:pPr>
          <w:r>
            <w:fldChar w:fldCharType="begin"/>
          </w:r>
          <w:r>
            <w:instrText xml:space="preserve"> HYPERLINK \l "bookmark91" </w:instrText>
          </w:r>
          <w:r>
            <w:fldChar w:fldCharType="separate"/>
          </w:r>
          <w:r>
            <w:rPr>
              <w:rFonts w:ascii="Times New Roman" w:hAnsi="Times New Roman" w:eastAsia="Times New Roman" w:cs="Times New Roman"/>
              <w:spacing w:val="-1"/>
              <w:sz w:val="21"/>
              <w:szCs w:val="21"/>
            </w:rPr>
            <w:t>7.3</w:t>
          </w:r>
          <w:r>
            <w:rPr>
              <w:rFonts w:ascii="Times New Roman" w:hAnsi="Times New Roman" w:eastAsia="Times New Roman" w:cs="Times New Roman"/>
              <w:spacing w:val="11"/>
              <w:sz w:val="21"/>
              <w:szCs w:val="21"/>
            </w:rPr>
            <w:t xml:space="preserve">  </w:t>
          </w:r>
          <w:r>
            <w:rPr>
              <w:rFonts w:ascii="黑体" w:hAnsi="黑体" w:eastAsia="黑体" w:cs="黑体"/>
              <w:spacing w:val="-1"/>
              <w:sz w:val="21"/>
              <w:szCs w:val="21"/>
            </w:rPr>
            <w:t>场外交通</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0066E112">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"bookmark92" </w:instrText>
          </w:r>
          <w:r>
            <w:fldChar w:fldCharType="separate"/>
          </w:r>
          <w:r>
            <w:rPr>
              <w:rFonts w:ascii="Times New Roman" w:hAnsi="Times New Roman" w:eastAsia="Times New Roman" w:cs="Times New Roman"/>
              <w:spacing w:val="1"/>
              <w:sz w:val="21"/>
              <w:szCs w:val="21"/>
            </w:rPr>
            <w:t xml:space="preserve">7.4  </w:t>
          </w:r>
          <w:r>
            <w:rPr>
              <w:rFonts w:ascii="黑体" w:hAnsi="黑体" w:eastAsia="黑体" w:cs="黑体"/>
              <w:spacing w:val="1"/>
              <w:sz w:val="21"/>
              <w:szCs w:val="21"/>
            </w:rPr>
            <w:t>超大件和超重件的运输</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61891A32">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"bookmark93" </w:instrText>
          </w:r>
          <w:r>
            <w:fldChar w:fldCharType="separate"/>
          </w:r>
          <w:r>
            <w:rPr>
              <w:rFonts w:ascii="Times New Roman" w:hAnsi="Times New Roman" w:eastAsia="Times New Roman" w:cs="Times New Roman"/>
              <w:spacing w:val="1"/>
              <w:sz w:val="21"/>
              <w:szCs w:val="21"/>
            </w:rPr>
            <w:t xml:space="preserve">7.5  </w:t>
          </w:r>
          <w:r>
            <w:rPr>
              <w:rFonts w:ascii="黑体" w:hAnsi="黑体" w:eastAsia="黑体" w:cs="黑体"/>
              <w:spacing w:val="1"/>
              <w:sz w:val="21"/>
              <w:szCs w:val="21"/>
            </w:rPr>
            <w:t>道路和桥梁的损坏责任</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715FFFC9">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"bookmark94" </w:instrText>
          </w:r>
          <w:r>
            <w:fldChar w:fldCharType="separate"/>
          </w:r>
          <w:r>
            <w:rPr>
              <w:rFonts w:ascii="Times New Roman" w:hAnsi="Times New Roman" w:eastAsia="Times New Roman" w:cs="Times New Roman"/>
              <w:spacing w:val="-1"/>
              <w:sz w:val="21"/>
              <w:szCs w:val="21"/>
            </w:rPr>
            <w:t>7.6</w:t>
          </w:r>
          <w:r>
            <w:rPr>
              <w:rFonts w:ascii="Times New Roman" w:hAnsi="Times New Roman" w:eastAsia="Times New Roman" w:cs="Times New Roman"/>
              <w:spacing w:val="13"/>
              <w:w w:val="101"/>
              <w:sz w:val="21"/>
              <w:szCs w:val="21"/>
            </w:rPr>
            <w:t xml:space="preserve">  </w:t>
          </w:r>
          <w:r>
            <w:rPr>
              <w:rFonts w:ascii="黑体" w:hAnsi="黑体" w:eastAsia="黑体" w:cs="黑体"/>
              <w:spacing w:val="-1"/>
              <w:sz w:val="21"/>
              <w:szCs w:val="21"/>
            </w:rPr>
            <w:t>水路和航空运输</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0D74898A">
          <w:pPr>
            <w:tabs>
              <w:tab w:val="right" w:leader="dot" w:pos="8322"/>
            </w:tabs>
            <w:spacing w:before="67" w:line="205" w:lineRule="auto"/>
            <w:ind w:left="449"/>
            <w:rPr>
              <w:rFonts w:ascii="Calibri" w:hAnsi="Calibri" w:eastAsia="Calibri" w:cs="Calibri"/>
              <w:sz w:val="21"/>
              <w:szCs w:val="21"/>
            </w:rPr>
          </w:pPr>
          <w:r>
            <w:fldChar w:fldCharType="begin"/>
          </w:r>
          <w:r>
            <w:instrText xml:space="preserve"> HYPERLINK \l "bookmark95" </w:instrText>
          </w:r>
          <w:r>
            <w:fldChar w:fldCharType="separate"/>
          </w:r>
          <w:r>
            <w:rPr>
              <w:rFonts w:ascii="Times New Roman" w:hAnsi="Times New Roman" w:eastAsia="Times New Roman" w:cs="Times New Roman"/>
              <w:spacing w:val="-3"/>
              <w:sz w:val="21"/>
              <w:szCs w:val="21"/>
            </w:rPr>
            <w:t>8.</w:t>
          </w:r>
          <w:r>
            <w:rPr>
              <w:rFonts w:ascii="Times New Roman" w:hAnsi="Times New Roman" w:eastAsia="Times New Roman" w:cs="Times New Roman"/>
              <w:spacing w:val="14"/>
              <w:sz w:val="21"/>
              <w:szCs w:val="21"/>
            </w:rPr>
            <w:t xml:space="preserve">  </w:t>
          </w:r>
          <w:r>
            <w:rPr>
              <w:rFonts w:ascii="黑体" w:hAnsi="黑体" w:eastAsia="黑体" w:cs="黑体"/>
              <w:spacing w:val="-3"/>
              <w:sz w:val="21"/>
              <w:szCs w:val="21"/>
            </w:rPr>
            <w:t>测量放线</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76DFA324">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"bookmark96" </w:instrText>
          </w:r>
          <w:r>
            <w:fldChar w:fldCharType="separate"/>
          </w:r>
          <w:r>
            <w:rPr>
              <w:rFonts w:ascii="Times New Roman" w:hAnsi="Times New Roman" w:eastAsia="Times New Roman" w:cs="Times New Roman"/>
              <w:spacing w:val="-2"/>
              <w:sz w:val="21"/>
              <w:szCs w:val="21"/>
            </w:rPr>
            <w:t>8.1</w:t>
          </w:r>
          <w:r>
            <w:rPr>
              <w:rFonts w:ascii="Times New Roman" w:hAnsi="Times New Roman" w:eastAsia="Times New Roman" w:cs="Times New Roman"/>
              <w:spacing w:val="13"/>
              <w:w w:val="101"/>
              <w:sz w:val="21"/>
              <w:szCs w:val="21"/>
            </w:rPr>
            <w:t xml:space="preserve">  </w:t>
          </w:r>
          <w:r>
            <w:rPr>
              <w:rFonts w:ascii="黑体" w:hAnsi="黑体" w:eastAsia="黑体" w:cs="黑体"/>
              <w:spacing w:val="-2"/>
              <w:sz w:val="21"/>
              <w:szCs w:val="21"/>
            </w:rPr>
            <w:t>施工控制网</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1B386BFA">
          <w:pPr>
            <w:tabs>
              <w:tab w:val="right" w:leader="dot" w:pos="8322"/>
            </w:tabs>
            <w:spacing w:before="83" w:line="205" w:lineRule="auto"/>
            <w:ind w:left="869"/>
            <w:rPr>
              <w:rFonts w:ascii="Calibri" w:hAnsi="Calibri" w:eastAsia="Calibri" w:cs="Calibri"/>
              <w:sz w:val="21"/>
              <w:szCs w:val="21"/>
            </w:rPr>
          </w:pPr>
          <w:r>
            <w:fldChar w:fldCharType="begin"/>
          </w:r>
          <w:r>
            <w:instrText xml:space="preserve"> HYPERLINK \l "bookmark97" </w:instrText>
          </w:r>
          <w:r>
            <w:fldChar w:fldCharType="separate"/>
          </w:r>
          <w:r>
            <w:rPr>
              <w:rFonts w:ascii="Times New Roman" w:hAnsi="Times New Roman" w:eastAsia="Times New Roman" w:cs="Times New Roman"/>
              <w:spacing w:val="-2"/>
              <w:sz w:val="21"/>
              <w:szCs w:val="21"/>
            </w:rPr>
            <w:t>8.2</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施工测量</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515652A9">
          <w:pPr>
            <w:tabs>
              <w:tab w:val="right" w:leader="dot" w:pos="8322"/>
            </w:tabs>
            <w:spacing w:before="81" w:line="205" w:lineRule="auto"/>
            <w:ind w:left="869"/>
            <w:rPr>
              <w:rFonts w:ascii="Calibri" w:hAnsi="Calibri" w:eastAsia="Calibri" w:cs="Calibri"/>
              <w:sz w:val="21"/>
              <w:szCs w:val="21"/>
            </w:rPr>
          </w:pPr>
          <w:r>
            <w:fldChar w:fldCharType="begin"/>
          </w:r>
          <w:r>
            <w:instrText xml:space="preserve"> HYPERLINK \l "bookmark98" </w:instrText>
          </w:r>
          <w:r>
            <w:fldChar w:fldCharType="separate"/>
          </w:r>
          <w:r>
            <w:rPr>
              <w:rFonts w:ascii="Times New Roman" w:hAnsi="Times New Roman" w:eastAsia="Times New Roman" w:cs="Times New Roman"/>
              <w:spacing w:val="-1"/>
              <w:sz w:val="21"/>
              <w:szCs w:val="21"/>
            </w:rPr>
            <w:t>8.3</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基准资料错误的责任</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2B66A9BD">
          <w:pPr>
            <w:tabs>
              <w:tab w:val="right" w:leader="dot" w:pos="8322"/>
            </w:tabs>
            <w:spacing w:before="83" w:line="205" w:lineRule="auto"/>
            <w:ind w:left="869"/>
            <w:rPr>
              <w:rFonts w:ascii="Calibri" w:hAnsi="Calibri" w:eastAsia="Calibri" w:cs="Calibri"/>
              <w:sz w:val="21"/>
              <w:szCs w:val="21"/>
            </w:rPr>
          </w:pPr>
          <w:r>
            <w:fldChar w:fldCharType="begin"/>
          </w:r>
          <w:r>
            <w:instrText xml:space="preserve"> HYPERLINK \l "bookmark99" </w:instrText>
          </w:r>
          <w:r>
            <w:fldChar w:fldCharType="separate"/>
          </w:r>
          <w:r>
            <w:rPr>
              <w:rFonts w:ascii="Times New Roman" w:hAnsi="Times New Roman" w:eastAsia="Times New Roman" w:cs="Times New Roman"/>
              <w:spacing w:val="-1"/>
              <w:sz w:val="21"/>
              <w:szCs w:val="21"/>
            </w:rPr>
            <w:t>8.4</w:t>
          </w:r>
          <w:r>
            <w:rPr>
              <w:rFonts w:ascii="Times New Roman" w:hAnsi="Times New Roman" w:eastAsia="Times New Roman" w:cs="Times New Roman"/>
              <w:spacing w:val="12"/>
              <w:sz w:val="21"/>
              <w:szCs w:val="21"/>
            </w:rPr>
            <w:t xml:space="preserve">  </w:t>
          </w:r>
          <w:r>
            <w:rPr>
              <w:rFonts w:ascii="黑体" w:hAnsi="黑体" w:eastAsia="黑体" w:cs="黑体"/>
              <w:spacing w:val="-1"/>
              <w:sz w:val="21"/>
              <w:szCs w:val="21"/>
            </w:rPr>
            <w:t>监理人使用施工控制网</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1F28841D">
          <w:pPr>
            <w:tabs>
              <w:tab w:val="right" w:leader="dot" w:pos="8322"/>
            </w:tabs>
            <w:spacing w:before="67" w:line="205" w:lineRule="auto"/>
            <w:ind w:left="444"/>
            <w:rPr>
              <w:rFonts w:ascii="Calibri" w:hAnsi="Calibri" w:eastAsia="Calibri" w:cs="Calibri"/>
              <w:sz w:val="21"/>
              <w:szCs w:val="21"/>
            </w:rPr>
          </w:pPr>
          <w:r>
            <w:fldChar w:fldCharType="begin"/>
          </w:r>
          <w:r>
            <w:instrText xml:space="preserve"> HYPERLINK \l "bookmark100" </w:instrText>
          </w:r>
          <w:r>
            <w:fldChar w:fldCharType="separate"/>
          </w:r>
          <w:r>
            <w:rPr>
              <w:rFonts w:ascii="Times New Roman" w:hAnsi="Times New Roman" w:eastAsia="Times New Roman" w:cs="Times New Roman"/>
              <w:spacing w:val="-1"/>
              <w:sz w:val="21"/>
              <w:szCs w:val="21"/>
            </w:rPr>
            <w:t>9.</w:t>
          </w:r>
          <w:r>
            <w:rPr>
              <w:rFonts w:ascii="Times New Roman" w:hAnsi="Times New Roman" w:eastAsia="Times New Roman" w:cs="Times New Roman"/>
              <w:spacing w:val="17"/>
              <w:w w:val="101"/>
              <w:sz w:val="21"/>
              <w:szCs w:val="21"/>
            </w:rPr>
            <w:t xml:space="preserve">  </w:t>
          </w:r>
          <w:r>
            <w:rPr>
              <w:rFonts w:ascii="黑体" w:hAnsi="黑体" w:eastAsia="黑体" w:cs="黑体"/>
              <w:spacing w:val="-1"/>
              <w:sz w:val="21"/>
              <w:szCs w:val="21"/>
            </w:rPr>
            <w:t>施工安全、治安保卫和环境保护</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11FDA2CA">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"bookmark101" </w:instrText>
          </w:r>
          <w:r>
            <w:fldChar w:fldCharType="separate"/>
          </w:r>
          <w:r>
            <w:rPr>
              <w:rFonts w:ascii="Times New Roman" w:hAnsi="Times New Roman" w:eastAsia="Times New Roman" w:cs="Times New Roman"/>
              <w:spacing w:val="-1"/>
              <w:sz w:val="21"/>
              <w:szCs w:val="21"/>
            </w:rPr>
            <w:t>9.1</w:t>
          </w:r>
          <w:r>
            <w:rPr>
              <w:rFonts w:ascii="Times New Roman" w:hAnsi="Times New Roman" w:eastAsia="Times New Roman" w:cs="Times New Roman"/>
              <w:spacing w:val="15"/>
              <w:sz w:val="21"/>
              <w:szCs w:val="21"/>
            </w:rPr>
            <w:t xml:space="preserve">  </w:t>
          </w:r>
          <w:r>
            <w:rPr>
              <w:rFonts w:ascii="黑体" w:hAnsi="黑体" w:eastAsia="黑体" w:cs="黑体"/>
              <w:spacing w:val="-1"/>
              <w:sz w:val="21"/>
              <w:szCs w:val="21"/>
            </w:rPr>
            <w:t>发包人的施工安全责任</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5E15574B">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"bookmark102" </w:instrText>
          </w:r>
          <w:r>
            <w:fldChar w:fldCharType="separate"/>
          </w:r>
          <w:r>
            <w:rPr>
              <w:rFonts w:ascii="Times New Roman" w:hAnsi="Times New Roman" w:eastAsia="Times New Roman" w:cs="Times New Roman"/>
              <w:spacing w:val="-1"/>
              <w:sz w:val="21"/>
              <w:szCs w:val="21"/>
            </w:rPr>
            <w:t>9.2</w:t>
          </w:r>
          <w:r>
            <w:rPr>
              <w:rFonts w:ascii="Times New Roman" w:hAnsi="Times New Roman" w:eastAsia="Times New Roman" w:cs="Times New Roman"/>
              <w:spacing w:val="15"/>
              <w:sz w:val="21"/>
              <w:szCs w:val="21"/>
            </w:rPr>
            <w:t xml:space="preserve">  </w:t>
          </w:r>
          <w:r>
            <w:rPr>
              <w:rFonts w:ascii="黑体" w:hAnsi="黑体" w:eastAsia="黑体" w:cs="黑体"/>
              <w:spacing w:val="-1"/>
              <w:sz w:val="21"/>
              <w:szCs w:val="21"/>
            </w:rPr>
            <w:t>承包人的施工安全责任</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42E9DD51">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"bookmark103" </w:instrText>
          </w:r>
          <w:r>
            <w:fldChar w:fldCharType="separate"/>
          </w:r>
          <w:r>
            <w:rPr>
              <w:rFonts w:ascii="Times New Roman" w:hAnsi="Times New Roman" w:eastAsia="Times New Roman" w:cs="Times New Roman"/>
              <w:spacing w:val="-2"/>
              <w:sz w:val="21"/>
              <w:szCs w:val="21"/>
            </w:rPr>
            <w:t>9.3</w:t>
          </w:r>
          <w:r>
            <w:rPr>
              <w:rFonts w:ascii="Times New Roman" w:hAnsi="Times New Roman" w:eastAsia="Times New Roman" w:cs="Times New Roman"/>
              <w:spacing w:val="14"/>
              <w:sz w:val="21"/>
              <w:szCs w:val="21"/>
            </w:rPr>
            <w:t xml:space="preserve">  </w:t>
          </w:r>
          <w:r>
            <w:rPr>
              <w:rFonts w:ascii="黑体" w:hAnsi="黑体" w:eastAsia="黑体" w:cs="黑体"/>
              <w:spacing w:val="-2"/>
              <w:sz w:val="21"/>
              <w:szCs w:val="21"/>
            </w:rPr>
            <w:t>治安保卫</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2FD7CEB0">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"bookmark104" </w:instrText>
          </w:r>
          <w:r>
            <w:fldChar w:fldCharType="separate"/>
          </w:r>
          <w:r>
            <w:rPr>
              <w:rFonts w:ascii="Times New Roman" w:hAnsi="Times New Roman" w:eastAsia="Times New Roman" w:cs="Times New Roman"/>
              <w:spacing w:val="-2"/>
              <w:sz w:val="21"/>
              <w:szCs w:val="21"/>
            </w:rPr>
            <w:t>9.4</w:t>
          </w:r>
          <w:r>
            <w:rPr>
              <w:rFonts w:ascii="Times New Roman" w:hAnsi="Times New Roman" w:eastAsia="Times New Roman" w:cs="Times New Roman"/>
              <w:spacing w:val="14"/>
              <w:sz w:val="21"/>
              <w:szCs w:val="21"/>
            </w:rPr>
            <w:t xml:space="preserve">  </w:t>
          </w:r>
          <w:r>
            <w:rPr>
              <w:rFonts w:ascii="黑体" w:hAnsi="黑体" w:eastAsia="黑体" w:cs="黑体"/>
              <w:spacing w:val="-2"/>
              <w:sz w:val="21"/>
              <w:szCs w:val="21"/>
            </w:rPr>
            <w:t>环境保护</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7C236971">
          <w:pPr>
            <w:tabs>
              <w:tab w:val="right" w:leader="dot" w:pos="8322"/>
            </w:tabs>
            <w:spacing w:before="67" w:line="205" w:lineRule="auto"/>
            <w:ind w:left="865"/>
            <w:rPr>
              <w:rFonts w:ascii="Calibri" w:hAnsi="Calibri" w:eastAsia="Calibri" w:cs="Calibri"/>
              <w:sz w:val="21"/>
              <w:szCs w:val="21"/>
            </w:rPr>
          </w:pPr>
          <w:r>
            <w:fldChar w:fldCharType="begin"/>
          </w:r>
          <w:r>
            <w:instrText xml:space="preserve"> HYPERLINK \l "bookmark105" </w:instrText>
          </w:r>
          <w:r>
            <w:fldChar w:fldCharType="separate"/>
          </w:r>
          <w:r>
            <w:rPr>
              <w:rFonts w:ascii="Times New Roman" w:hAnsi="Times New Roman" w:eastAsia="Times New Roman" w:cs="Times New Roman"/>
              <w:spacing w:val="-2"/>
              <w:sz w:val="21"/>
              <w:szCs w:val="21"/>
            </w:rPr>
            <w:t>9.5</w:t>
          </w:r>
          <w:r>
            <w:rPr>
              <w:rFonts w:ascii="Times New Roman" w:hAnsi="Times New Roman" w:eastAsia="Times New Roman" w:cs="Times New Roman"/>
              <w:spacing w:val="14"/>
              <w:w w:val="101"/>
              <w:sz w:val="21"/>
              <w:szCs w:val="21"/>
            </w:rPr>
            <w:t xml:space="preserve">  </w:t>
          </w:r>
          <w:r>
            <w:rPr>
              <w:rFonts w:ascii="黑体" w:hAnsi="黑体" w:eastAsia="黑体" w:cs="黑体"/>
              <w:spacing w:val="-2"/>
              <w:sz w:val="21"/>
              <w:szCs w:val="21"/>
            </w:rPr>
            <w:t>事故处理</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4B454EDB">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"bookmark106" </w:instrText>
          </w:r>
          <w:r>
            <w:fldChar w:fldCharType="separate"/>
          </w:r>
          <w:r>
            <w:rPr>
              <w:rFonts w:ascii="Times New Roman" w:hAnsi="Times New Roman" w:eastAsia="Times New Roman" w:cs="Times New Roman"/>
              <w:spacing w:val="-5"/>
              <w:sz w:val="21"/>
              <w:szCs w:val="21"/>
            </w:rPr>
            <w:t>10.</w:t>
          </w:r>
          <w:r>
            <w:rPr>
              <w:rFonts w:ascii="Times New Roman" w:hAnsi="Times New Roman" w:eastAsia="Times New Roman" w:cs="Times New Roman"/>
              <w:spacing w:val="17"/>
              <w:sz w:val="21"/>
              <w:szCs w:val="21"/>
            </w:rPr>
            <w:t xml:space="preserve">  </w:t>
          </w:r>
          <w:r>
            <w:rPr>
              <w:rFonts w:ascii="黑体" w:hAnsi="黑体" w:eastAsia="黑体" w:cs="黑体"/>
              <w:spacing w:val="-5"/>
              <w:sz w:val="21"/>
              <w:szCs w:val="21"/>
            </w:rPr>
            <w:t>进度计划</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4E733DDD">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"bookmark107" </w:instrText>
          </w:r>
          <w:r>
            <w:fldChar w:fldCharType="separate"/>
          </w:r>
          <w:r>
            <w:rPr>
              <w:rFonts w:ascii="Times New Roman" w:hAnsi="Times New Roman" w:eastAsia="Times New Roman" w:cs="Times New Roman"/>
              <w:spacing w:val="-3"/>
              <w:sz w:val="21"/>
              <w:szCs w:val="21"/>
            </w:rPr>
            <w:t>10.1</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合同进度计划</w:t>
          </w:r>
          <w:r>
            <w:rPr>
              <w:rFonts w:ascii="黑体" w:hAnsi="黑体" w:eastAsia="黑体" w:cs="黑体"/>
              <w:sz w:val="21"/>
              <w:szCs w:val="21"/>
            </w:rPr>
            <w:tab/>
          </w:r>
          <w:r>
            <w:rPr>
              <w:rFonts w:ascii="黑体" w:hAnsi="黑体" w:eastAsia="黑体" w:cs="黑体"/>
              <w:spacing w:val="-39"/>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3BF16FBC">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"bookmark108" </w:instrText>
          </w:r>
          <w:r>
            <w:fldChar w:fldCharType="separate"/>
          </w:r>
          <w:r>
            <w:rPr>
              <w:rFonts w:ascii="Times New Roman" w:hAnsi="Times New Roman" w:eastAsia="Times New Roman" w:cs="Times New Roman"/>
              <w:spacing w:val="-2"/>
              <w:sz w:val="21"/>
              <w:szCs w:val="21"/>
            </w:rPr>
            <w:t>10.2</w:t>
          </w:r>
          <w:r>
            <w:rPr>
              <w:rFonts w:ascii="Times New Roman" w:hAnsi="Times New Roman" w:eastAsia="Times New Roman" w:cs="Times New Roman"/>
              <w:spacing w:val="13"/>
              <w:w w:val="101"/>
              <w:sz w:val="21"/>
              <w:szCs w:val="21"/>
            </w:rPr>
            <w:t xml:space="preserve">  </w:t>
          </w:r>
          <w:r>
            <w:rPr>
              <w:rFonts w:ascii="黑体" w:hAnsi="黑体" w:eastAsia="黑体" w:cs="黑体"/>
              <w:spacing w:val="-2"/>
              <w:sz w:val="21"/>
              <w:szCs w:val="21"/>
            </w:rPr>
            <w:t>合同进度计划的修订</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0B0461AD">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"bookmark109" </w:instrText>
          </w:r>
          <w:r>
            <w:fldChar w:fldCharType="separate"/>
          </w:r>
          <w:r>
            <w:rPr>
              <w:rFonts w:ascii="Times New Roman" w:hAnsi="Times New Roman" w:eastAsia="Times New Roman" w:cs="Times New Roman"/>
              <w:spacing w:val="-7"/>
              <w:sz w:val="21"/>
              <w:szCs w:val="21"/>
            </w:rPr>
            <w:t>11.</w:t>
          </w:r>
          <w:r>
            <w:rPr>
              <w:rFonts w:ascii="Times New Roman" w:hAnsi="Times New Roman" w:eastAsia="Times New Roman" w:cs="Times New Roman"/>
              <w:spacing w:val="20"/>
              <w:sz w:val="21"/>
              <w:szCs w:val="21"/>
            </w:rPr>
            <w:t xml:space="preserve">  </w:t>
          </w:r>
          <w:r>
            <w:rPr>
              <w:rFonts w:ascii="黑体" w:hAnsi="黑体" w:eastAsia="黑体" w:cs="黑体"/>
              <w:spacing w:val="-7"/>
              <w:sz w:val="21"/>
              <w:szCs w:val="21"/>
            </w:rPr>
            <w:t>开工和竣工</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204EC705">
          <w:pPr>
            <w:tabs>
              <w:tab w:val="right" w:leader="dot" w:pos="8322"/>
            </w:tabs>
            <w:spacing w:before="68" w:line="205" w:lineRule="auto"/>
            <w:ind w:left="881"/>
            <w:rPr>
              <w:rFonts w:ascii="Calibri" w:hAnsi="Calibri" w:eastAsia="Calibri" w:cs="Calibri"/>
              <w:sz w:val="21"/>
              <w:szCs w:val="21"/>
            </w:rPr>
          </w:pPr>
          <w:r>
            <w:fldChar w:fldCharType="begin"/>
          </w:r>
          <w:r>
            <w:instrText xml:space="preserve"> HYPERLINK \l "bookmark110" </w:instrText>
          </w:r>
          <w:r>
            <w:fldChar w:fldCharType="separate"/>
          </w:r>
          <w:r>
            <w:rPr>
              <w:rFonts w:ascii="Times New Roman" w:hAnsi="Times New Roman" w:eastAsia="Times New Roman" w:cs="Times New Roman"/>
              <w:spacing w:val="-8"/>
              <w:sz w:val="21"/>
              <w:szCs w:val="21"/>
            </w:rPr>
            <w:t>11.1</w:t>
          </w:r>
          <w:r>
            <w:rPr>
              <w:rFonts w:ascii="Times New Roman" w:hAnsi="Times New Roman" w:eastAsia="Times New Roman" w:cs="Times New Roman"/>
              <w:spacing w:val="15"/>
              <w:sz w:val="21"/>
              <w:szCs w:val="21"/>
            </w:rPr>
            <w:t xml:space="preserve">  </w:t>
          </w:r>
          <w:r>
            <w:rPr>
              <w:rFonts w:ascii="黑体" w:hAnsi="黑体" w:eastAsia="黑体" w:cs="黑体"/>
              <w:spacing w:val="-8"/>
              <w:sz w:val="21"/>
              <w:szCs w:val="21"/>
            </w:rPr>
            <w:t>开工</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4"/>
              <w:sz w:val="21"/>
              <w:szCs w:val="21"/>
            </w:rPr>
            <w:t>69</w:t>
          </w:r>
          <w:r>
            <w:rPr>
              <w:rFonts w:ascii="Calibri" w:hAnsi="Calibri" w:eastAsia="Calibri" w:cs="Calibri"/>
              <w:spacing w:val="-4"/>
              <w:sz w:val="21"/>
              <w:szCs w:val="21"/>
            </w:rPr>
            <w:fldChar w:fldCharType="end"/>
          </w:r>
        </w:p>
        <w:p w14:paraId="7B1A9109">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"bookmark111" </w:instrText>
          </w:r>
          <w:r>
            <w:fldChar w:fldCharType="separate"/>
          </w:r>
          <w:r>
            <w:rPr>
              <w:rFonts w:ascii="Times New Roman" w:hAnsi="Times New Roman" w:eastAsia="Times New Roman" w:cs="Times New Roman"/>
              <w:spacing w:val="-7"/>
              <w:sz w:val="21"/>
              <w:szCs w:val="21"/>
            </w:rPr>
            <w:t>11.2</w:t>
          </w:r>
          <w:r>
            <w:rPr>
              <w:rFonts w:ascii="Times New Roman" w:hAnsi="Times New Roman" w:eastAsia="Times New Roman" w:cs="Times New Roman"/>
              <w:spacing w:val="12"/>
              <w:sz w:val="21"/>
              <w:szCs w:val="21"/>
            </w:rPr>
            <w:t xml:space="preserve">  </w:t>
          </w:r>
          <w:r>
            <w:rPr>
              <w:rFonts w:ascii="黑体" w:hAnsi="黑体" w:eastAsia="黑体" w:cs="黑体"/>
              <w:spacing w:val="-7"/>
              <w:sz w:val="21"/>
              <w:szCs w:val="21"/>
            </w:rPr>
            <w:t>竣工</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6DE00061">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"bookmark112" </w:instrText>
          </w:r>
          <w:r>
            <w:fldChar w:fldCharType="separate"/>
          </w:r>
          <w:r>
            <w:rPr>
              <w:rFonts w:ascii="Times New Roman" w:hAnsi="Times New Roman" w:eastAsia="Times New Roman" w:cs="Times New Roman"/>
              <w:spacing w:val="-4"/>
              <w:sz w:val="21"/>
              <w:szCs w:val="21"/>
            </w:rPr>
            <w:t>11.3</w:t>
          </w:r>
          <w:r>
            <w:rPr>
              <w:rFonts w:ascii="Times New Roman" w:hAnsi="Times New Roman" w:eastAsia="Times New Roman" w:cs="Times New Roman"/>
              <w:spacing w:val="16"/>
              <w:w w:val="101"/>
              <w:sz w:val="21"/>
              <w:szCs w:val="21"/>
            </w:rPr>
            <w:t xml:space="preserve">  </w:t>
          </w:r>
          <w:r>
            <w:rPr>
              <w:rFonts w:ascii="黑体" w:hAnsi="黑体" w:eastAsia="黑体" w:cs="黑体"/>
              <w:spacing w:val="-4"/>
              <w:sz w:val="21"/>
              <w:szCs w:val="21"/>
            </w:rPr>
            <w:t>发包人的工期延误</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B65A46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"bookmark113" </w:instrText>
          </w:r>
          <w:r>
            <w:fldChar w:fldCharType="separate"/>
          </w:r>
          <w:r>
            <w:rPr>
              <w:rFonts w:ascii="Times New Roman" w:hAnsi="Times New Roman" w:eastAsia="Times New Roman" w:cs="Times New Roman"/>
              <w:spacing w:val="-4"/>
              <w:sz w:val="21"/>
              <w:szCs w:val="21"/>
            </w:rPr>
            <w:t>11.4</w:t>
          </w:r>
          <w:r>
            <w:rPr>
              <w:rFonts w:ascii="Times New Roman" w:hAnsi="Times New Roman" w:eastAsia="Times New Roman" w:cs="Times New Roman"/>
              <w:spacing w:val="19"/>
              <w:sz w:val="21"/>
              <w:szCs w:val="21"/>
            </w:rPr>
            <w:t xml:space="preserve">  </w:t>
          </w:r>
          <w:r>
            <w:rPr>
              <w:rFonts w:ascii="黑体" w:hAnsi="黑体" w:eastAsia="黑体" w:cs="黑体"/>
              <w:spacing w:val="-4"/>
              <w:sz w:val="21"/>
              <w:szCs w:val="21"/>
            </w:rPr>
            <w:t>异常恶劣的气候条件</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03E781F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"bookmark114" </w:instrText>
          </w:r>
          <w:r>
            <w:fldChar w:fldCharType="separate"/>
          </w:r>
          <w:r>
            <w:rPr>
              <w:rFonts w:ascii="Times New Roman" w:hAnsi="Times New Roman" w:eastAsia="Times New Roman" w:cs="Times New Roman"/>
              <w:spacing w:val="-3"/>
              <w:sz w:val="21"/>
              <w:szCs w:val="21"/>
            </w:rPr>
            <w:t>11.5</w:t>
          </w:r>
          <w:r>
            <w:rPr>
              <w:rFonts w:ascii="Times New Roman" w:hAnsi="Times New Roman" w:eastAsia="Times New Roman" w:cs="Times New Roman"/>
              <w:spacing w:val="11"/>
              <w:sz w:val="21"/>
              <w:szCs w:val="21"/>
            </w:rPr>
            <w:t xml:space="preserve">  </w:t>
          </w:r>
          <w:r>
            <w:rPr>
              <w:rFonts w:ascii="黑体" w:hAnsi="黑体" w:eastAsia="黑体" w:cs="黑体"/>
              <w:spacing w:val="-3"/>
              <w:sz w:val="21"/>
              <w:szCs w:val="21"/>
            </w:rPr>
            <w:t>承包人的工期延误</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71060EAF">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"bookmark115" </w:instrText>
          </w:r>
          <w:r>
            <w:fldChar w:fldCharType="separate"/>
          </w:r>
          <w:r>
            <w:rPr>
              <w:rFonts w:ascii="Times New Roman" w:hAnsi="Times New Roman" w:eastAsia="Times New Roman" w:cs="Times New Roman"/>
              <w:spacing w:val="-5"/>
              <w:sz w:val="21"/>
              <w:szCs w:val="21"/>
            </w:rPr>
            <w:t>11.6</w:t>
          </w:r>
          <w:r>
            <w:rPr>
              <w:rFonts w:ascii="Times New Roman" w:hAnsi="Times New Roman" w:eastAsia="Times New Roman" w:cs="Times New Roman"/>
              <w:spacing w:val="12"/>
              <w:sz w:val="21"/>
              <w:szCs w:val="21"/>
            </w:rPr>
            <w:t xml:space="preserve">  </w:t>
          </w:r>
          <w:r>
            <w:rPr>
              <w:rFonts w:ascii="黑体" w:hAnsi="黑体" w:eastAsia="黑体" w:cs="黑体"/>
              <w:spacing w:val="-5"/>
              <w:sz w:val="21"/>
              <w:szCs w:val="21"/>
            </w:rPr>
            <w:t>工期提前</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37ACA5A7">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"bookmark116" </w:instrText>
          </w:r>
          <w:r>
            <w:fldChar w:fldCharType="separate"/>
          </w:r>
          <w:r>
            <w:rPr>
              <w:rFonts w:ascii="Times New Roman" w:hAnsi="Times New Roman" w:eastAsia="Times New Roman" w:cs="Times New Roman"/>
              <w:spacing w:val="-6"/>
              <w:sz w:val="21"/>
              <w:szCs w:val="21"/>
            </w:rPr>
            <w:t>12.</w:t>
          </w:r>
          <w:r>
            <w:rPr>
              <w:rFonts w:ascii="Times New Roman" w:hAnsi="Times New Roman" w:eastAsia="Times New Roman" w:cs="Times New Roman"/>
              <w:spacing w:val="20"/>
              <w:sz w:val="21"/>
              <w:szCs w:val="21"/>
            </w:rPr>
            <w:t xml:space="preserve">  </w:t>
          </w:r>
          <w:r>
            <w:rPr>
              <w:rFonts w:ascii="黑体" w:hAnsi="黑体" w:eastAsia="黑体" w:cs="黑体"/>
              <w:spacing w:val="-6"/>
              <w:sz w:val="21"/>
              <w:szCs w:val="21"/>
            </w:rPr>
            <w:t>暂停施工</w:t>
          </w:r>
          <w:r>
            <w:rPr>
              <w:rFonts w:ascii="黑体" w:hAnsi="黑体" w:eastAsia="黑体" w:cs="黑体"/>
              <w:spacing w:val="-59"/>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17642BC7">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"bookmark117" </w:instrText>
          </w:r>
          <w:r>
            <w:fldChar w:fldCharType="separate"/>
          </w:r>
          <w:r>
            <w:rPr>
              <w:rFonts w:ascii="Times New Roman" w:hAnsi="Times New Roman" w:eastAsia="Times New Roman" w:cs="Times New Roman"/>
              <w:spacing w:val="-2"/>
              <w:sz w:val="21"/>
              <w:szCs w:val="21"/>
            </w:rPr>
            <w:t>12.1</w:t>
          </w:r>
          <w:r>
            <w:rPr>
              <w:rFonts w:ascii="Times New Roman" w:hAnsi="Times New Roman" w:eastAsia="Times New Roman" w:cs="Times New Roman"/>
              <w:spacing w:val="14"/>
              <w:w w:val="101"/>
              <w:sz w:val="21"/>
              <w:szCs w:val="21"/>
            </w:rPr>
            <w:t xml:space="preserve">  </w:t>
          </w:r>
          <w:r>
            <w:rPr>
              <w:rFonts w:ascii="黑体" w:hAnsi="黑体" w:eastAsia="黑体" w:cs="黑体"/>
              <w:spacing w:val="-2"/>
              <w:sz w:val="21"/>
              <w:szCs w:val="21"/>
            </w:rPr>
            <w:t>承包人暂停施工的责任</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70</w:t>
          </w:r>
          <w:r>
            <w:rPr>
              <w:rFonts w:ascii="Calibri" w:hAnsi="Calibri" w:eastAsia="Calibri" w:cs="Calibri"/>
              <w:spacing w:val="-3"/>
              <w:sz w:val="21"/>
              <w:szCs w:val="21"/>
            </w:rPr>
            <w:fldChar w:fldCharType="end"/>
          </w:r>
        </w:p>
        <w:p w14:paraId="4853E847">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"bookmark118" </w:instrText>
          </w:r>
          <w:r>
            <w:fldChar w:fldCharType="separate"/>
          </w:r>
          <w:r>
            <w:rPr>
              <w:rFonts w:ascii="Times New Roman" w:hAnsi="Times New Roman" w:eastAsia="Times New Roman" w:cs="Times New Roman"/>
              <w:spacing w:val="-2"/>
              <w:sz w:val="21"/>
              <w:szCs w:val="21"/>
            </w:rPr>
            <w:t>12.2</w:t>
          </w:r>
          <w:r>
            <w:rPr>
              <w:rFonts w:ascii="Times New Roman" w:hAnsi="Times New Roman" w:eastAsia="Times New Roman" w:cs="Times New Roman"/>
              <w:spacing w:val="14"/>
              <w:w w:val="101"/>
              <w:sz w:val="21"/>
              <w:szCs w:val="21"/>
            </w:rPr>
            <w:t xml:space="preserve">  </w:t>
          </w:r>
          <w:r>
            <w:rPr>
              <w:rFonts w:ascii="黑体" w:hAnsi="黑体" w:eastAsia="黑体" w:cs="黑体"/>
              <w:spacing w:val="-2"/>
              <w:sz w:val="21"/>
              <w:szCs w:val="21"/>
            </w:rPr>
            <w:t>发包人暂停施工的责任</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33953B9D">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"bookmark119" </w:instrText>
          </w:r>
          <w:r>
            <w:fldChar w:fldCharType="separate"/>
          </w:r>
          <w:r>
            <w:rPr>
              <w:rFonts w:ascii="Times New Roman" w:hAnsi="Times New Roman" w:eastAsia="Times New Roman" w:cs="Times New Roman"/>
              <w:spacing w:val="-2"/>
              <w:sz w:val="21"/>
              <w:szCs w:val="21"/>
            </w:rPr>
            <w:t>12.3</w:t>
          </w:r>
          <w:r>
            <w:rPr>
              <w:rFonts w:ascii="Times New Roman" w:hAnsi="Times New Roman" w:eastAsia="Times New Roman" w:cs="Times New Roman"/>
              <w:spacing w:val="13"/>
              <w:w w:val="101"/>
              <w:sz w:val="21"/>
              <w:szCs w:val="21"/>
            </w:rPr>
            <w:t xml:space="preserve">  </w:t>
          </w:r>
          <w:r>
            <w:rPr>
              <w:rFonts w:ascii="黑体" w:hAnsi="黑体" w:eastAsia="黑体" w:cs="黑体"/>
              <w:spacing w:val="-2"/>
              <w:sz w:val="21"/>
              <w:szCs w:val="21"/>
            </w:rPr>
            <w:t>监理人暂停施工指示</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3419B4B4">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"bookmark120" </w:instrText>
          </w:r>
          <w:r>
            <w:fldChar w:fldCharType="separate"/>
          </w:r>
          <w:r>
            <w:rPr>
              <w:rFonts w:ascii="Times New Roman" w:hAnsi="Times New Roman" w:eastAsia="Times New Roman" w:cs="Times New Roman"/>
              <w:spacing w:val="-3"/>
              <w:sz w:val="21"/>
              <w:szCs w:val="21"/>
            </w:rPr>
            <w:t>12.4</w:t>
          </w:r>
          <w:r>
            <w:rPr>
              <w:rFonts w:ascii="Times New Roman" w:hAnsi="Times New Roman" w:eastAsia="Times New Roman" w:cs="Times New Roman"/>
              <w:spacing w:val="18"/>
              <w:sz w:val="21"/>
              <w:szCs w:val="21"/>
            </w:rPr>
            <w:t xml:space="preserve">  </w:t>
          </w:r>
          <w:r>
            <w:rPr>
              <w:rFonts w:ascii="黑体" w:hAnsi="黑体" w:eastAsia="黑体" w:cs="黑体"/>
              <w:spacing w:val="-3"/>
              <w:sz w:val="21"/>
              <w:szCs w:val="21"/>
            </w:rPr>
            <w:t>暂停施工后的复工</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50891766">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"bookmark121" </w:instrText>
          </w:r>
          <w:r>
            <w:fldChar w:fldCharType="separate"/>
          </w:r>
          <w:r>
            <w:rPr>
              <w:rFonts w:ascii="Times New Roman" w:hAnsi="Times New Roman" w:eastAsia="Times New Roman" w:cs="Times New Roman"/>
              <w:spacing w:val="-5"/>
              <w:sz w:val="21"/>
              <w:szCs w:val="21"/>
            </w:rPr>
            <w:t>12.5</w:t>
          </w:r>
          <w:r>
            <w:rPr>
              <w:rFonts w:ascii="Times New Roman" w:hAnsi="Times New Roman" w:eastAsia="Times New Roman" w:cs="Times New Roman"/>
              <w:spacing w:val="21"/>
              <w:sz w:val="21"/>
              <w:szCs w:val="21"/>
            </w:rPr>
            <w:t xml:space="preserve">  </w:t>
          </w:r>
          <w:r>
            <w:rPr>
              <w:rFonts w:ascii="黑体" w:hAnsi="黑体" w:eastAsia="黑体" w:cs="黑体"/>
              <w:spacing w:val="-5"/>
              <w:sz w:val="21"/>
              <w:szCs w:val="21"/>
            </w:rPr>
            <w:t>暂停施工持续</w:t>
          </w:r>
          <w:r>
            <w:rPr>
              <w:rFonts w:ascii="黑体" w:hAnsi="黑体" w:eastAsia="黑体" w:cs="黑体"/>
              <w:spacing w:val="-35"/>
              <w:sz w:val="21"/>
              <w:szCs w:val="21"/>
            </w:rPr>
            <w:t xml:space="preserve"> </w:t>
          </w:r>
          <w:r>
            <w:rPr>
              <w:rFonts w:ascii="Times New Roman" w:hAnsi="Times New Roman" w:eastAsia="Times New Roman" w:cs="Times New Roman"/>
              <w:spacing w:val="-5"/>
              <w:sz w:val="21"/>
              <w:szCs w:val="21"/>
            </w:rPr>
            <w:t>56</w:t>
          </w:r>
          <w:r>
            <w:rPr>
              <w:rFonts w:ascii="Times New Roman" w:hAnsi="Times New Roman" w:eastAsia="Times New Roman" w:cs="Times New Roman"/>
              <w:spacing w:val="15"/>
              <w:w w:val="101"/>
              <w:sz w:val="21"/>
              <w:szCs w:val="21"/>
            </w:rPr>
            <w:t xml:space="preserve"> </w:t>
          </w:r>
          <w:r>
            <w:rPr>
              <w:rFonts w:ascii="黑体" w:hAnsi="黑体" w:eastAsia="黑体" w:cs="黑体"/>
              <w:spacing w:val="-5"/>
              <w:sz w:val="21"/>
              <w:szCs w:val="21"/>
            </w:rPr>
            <w:t>天以上</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1FD0A42B">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"bookmark122" </w:instrText>
          </w:r>
          <w:r>
            <w:fldChar w:fldCharType="separate"/>
          </w:r>
          <w:r>
            <w:rPr>
              <w:rFonts w:ascii="Times New Roman" w:hAnsi="Times New Roman" w:eastAsia="Times New Roman" w:cs="Times New Roman"/>
              <w:spacing w:val="-5"/>
              <w:sz w:val="21"/>
              <w:szCs w:val="21"/>
            </w:rPr>
            <w:t>13.</w:t>
          </w:r>
          <w:r>
            <w:rPr>
              <w:rFonts w:ascii="Times New Roman" w:hAnsi="Times New Roman" w:eastAsia="Times New Roman" w:cs="Times New Roman"/>
              <w:spacing w:val="17"/>
              <w:sz w:val="21"/>
              <w:szCs w:val="21"/>
            </w:rPr>
            <w:t xml:space="preserve">  </w:t>
          </w:r>
          <w:r>
            <w:rPr>
              <w:rFonts w:ascii="黑体" w:hAnsi="黑体" w:eastAsia="黑体" w:cs="黑体"/>
              <w:spacing w:val="-5"/>
              <w:sz w:val="21"/>
              <w:szCs w:val="21"/>
            </w:rPr>
            <w:t>工程质量</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62F91043">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"bookmark123" </w:instrText>
          </w:r>
          <w:r>
            <w:fldChar w:fldCharType="separate"/>
          </w:r>
          <w:r>
            <w:rPr>
              <w:rFonts w:ascii="Times New Roman" w:hAnsi="Times New Roman" w:eastAsia="Times New Roman" w:cs="Times New Roman"/>
              <w:spacing w:val="-3"/>
              <w:sz w:val="21"/>
              <w:szCs w:val="21"/>
            </w:rPr>
            <w:t>13.1</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工程质量要求</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71</w:t>
          </w:r>
          <w:r>
            <w:rPr>
              <w:rFonts w:ascii="Calibri" w:hAnsi="Calibri" w:eastAsia="Calibri" w:cs="Calibri"/>
              <w:spacing w:val="-3"/>
              <w:sz w:val="21"/>
              <w:szCs w:val="21"/>
            </w:rPr>
            <w:fldChar w:fldCharType="end"/>
          </w:r>
        </w:p>
        <w:p w14:paraId="097ECD1A">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"bookmark124" </w:instrText>
          </w:r>
          <w:r>
            <w:fldChar w:fldCharType="separate"/>
          </w:r>
          <w:r>
            <w:rPr>
              <w:rFonts w:ascii="Times New Roman" w:hAnsi="Times New Roman" w:eastAsia="Times New Roman" w:cs="Times New Roman"/>
              <w:spacing w:val="-2"/>
              <w:sz w:val="21"/>
              <w:szCs w:val="21"/>
            </w:rPr>
            <w:t>13.2</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承包人的质量管理</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78F9BDAD">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"bookmark125" </w:instrText>
          </w:r>
          <w:r>
            <w:fldChar w:fldCharType="separate"/>
          </w:r>
          <w:r>
            <w:rPr>
              <w:rFonts w:ascii="Times New Roman" w:hAnsi="Times New Roman" w:eastAsia="Times New Roman" w:cs="Times New Roman"/>
              <w:spacing w:val="-2"/>
              <w:sz w:val="21"/>
              <w:szCs w:val="21"/>
            </w:rPr>
            <w:t>13.3</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承包人的质量检查</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6363493C">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"bookmark126" </w:instrText>
          </w:r>
          <w:r>
            <w:fldChar w:fldCharType="separate"/>
          </w:r>
          <w:r>
            <w:rPr>
              <w:rFonts w:ascii="Times New Roman" w:hAnsi="Times New Roman" w:eastAsia="Times New Roman" w:cs="Times New Roman"/>
              <w:spacing w:val="-2"/>
              <w:sz w:val="21"/>
              <w:szCs w:val="21"/>
            </w:rPr>
            <w:t>13.4</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监理人的质量检查</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0EDBF244">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"bookmark127" </w:instrText>
          </w:r>
          <w:r>
            <w:fldChar w:fldCharType="separate"/>
          </w:r>
          <w:r>
            <w:rPr>
              <w:rFonts w:ascii="Times New Roman" w:hAnsi="Times New Roman" w:eastAsia="Times New Roman" w:cs="Times New Roman"/>
              <w:sz w:val="21"/>
              <w:szCs w:val="21"/>
            </w:rPr>
            <w:t xml:space="preserve">13.5  </w:t>
          </w:r>
          <w:r>
            <w:rPr>
              <w:rFonts w:ascii="黑体" w:hAnsi="黑体" w:eastAsia="黑体" w:cs="黑体"/>
              <w:sz w:val="21"/>
              <w:szCs w:val="21"/>
            </w:rPr>
            <w:t>工程隐蔽部位覆盖前的检查</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72</w:t>
          </w:r>
          <w:r>
            <w:rPr>
              <w:rFonts w:ascii="Calibri" w:hAnsi="Calibri" w:eastAsia="Calibri" w:cs="Calibri"/>
              <w:spacing w:val="-3"/>
              <w:sz w:val="21"/>
              <w:szCs w:val="21"/>
            </w:rPr>
            <w:fldChar w:fldCharType="end"/>
          </w:r>
        </w:p>
        <w:p w14:paraId="7D84FA4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"bookmark128" </w:instrText>
          </w:r>
          <w:r>
            <w:fldChar w:fldCharType="separate"/>
          </w:r>
          <w:r>
            <w:rPr>
              <w:rFonts w:ascii="Times New Roman" w:hAnsi="Times New Roman" w:eastAsia="Times New Roman" w:cs="Times New Roman"/>
              <w:spacing w:val="-3"/>
              <w:sz w:val="21"/>
              <w:szCs w:val="21"/>
            </w:rPr>
            <w:t>13.6</w:t>
          </w:r>
          <w:r>
            <w:rPr>
              <w:rFonts w:ascii="Times New Roman" w:hAnsi="Times New Roman" w:eastAsia="Times New Roman" w:cs="Times New Roman"/>
              <w:spacing w:val="16"/>
              <w:w w:val="101"/>
              <w:sz w:val="21"/>
              <w:szCs w:val="21"/>
            </w:rPr>
            <w:t xml:space="preserve">  </w:t>
          </w:r>
          <w:r>
            <w:rPr>
              <w:rFonts w:ascii="黑体" w:hAnsi="黑体" w:eastAsia="黑体" w:cs="黑体"/>
              <w:spacing w:val="-3"/>
              <w:sz w:val="21"/>
              <w:szCs w:val="21"/>
            </w:rPr>
            <w:t>清除不合格工程</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082A077B">
          <w:pPr>
            <w:tabs>
              <w:tab w:val="right" w:leader="dot" w:pos="8322"/>
            </w:tabs>
            <w:spacing w:before="83" w:line="205" w:lineRule="auto"/>
            <w:ind w:left="461"/>
            <w:rPr>
              <w:rFonts w:ascii="Calibri" w:hAnsi="Calibri" w:eastAsia="Calibri" w:cs="Calibri"/>
              <w:sz w:val="21"/>
              <w:szCs w:val="21"/>
            </w:rPr>
          </w:pPr>
          <w:r>
            <w:fldChar w:fldCharType="begin"/>
          </w:r>
          <w:r>
            <w:instrText xml:space="preserve"> HYPERLINK \l "bookmark129" </w:instrText>
          </w:r>
          <w:r>
            <w:fldChar w:fldCharType="separate"/>
          </w:r>
          <w:r>
            <w:rPr>
              <w:rFonts w:ascii="Times New Roman" w:hAnsi="Times New Roman" w:eastAsia="Times New Roman" w:cs="Times New Roman"/>
              <w:spacing w:val="-5"/>
              <w:sz w:val="21"/>
              <w:szCs w:val="21"/>
            </w:rPr>
            <w:t>14.</w:t>
          </w:r>
          <w:r>
            <w:rPr>
              <w:rFonts w:ascii="Times New Roman" w:hAnsi="Times New Roman" w:eastAsia="Times New Roman" w:cs="Times New Roman"/>
              <w:spacing w:val="19"/>
              <w:w w:val="101"/>
              <w:sz w:val="21"/>
              <w:szCs w:val="21"/>
            </w:rPr>
            <w:t xml:space="preserve">  </w:t>
          </w:r>
          <w:r>
            <w:rPr>
              <w:rFonts w:ascii="黑体" w:hAnsi="黑体" w:eastAsia="黑体" w:cs="黑体"/>
              <w:spacing w:val="-5"/>
              <w:sz w:val="21"/>
              <w:szCs w:val="21"/>
            </w:rPr>
            <w:t>试验和检验</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345E0C6F">
          <w:pPr>
            <w:tabs>
              <w:tab w:val="right" w:leader="dot" w:pos="8322"/>
            </w:tabs>
            <w:spacing w:before="67" w:line="238" w:lineRule="auto"/>
            <w:ind w:left="881"/>
            <w:rPr>
              <w:rFonts w:ascii="Calibri" w:hAnsi="Calibri" w:eastAsia="Calibri" w:cs="Calibri"/>
              <w:sz w:val="21"/>
              <w:szCs w:val="21"/>
            </w:rPr>
          </w:pPr>
          <w:r>
            <w:fldChar w:fldCharType="begin"/>
          </w:r>
          <w:r>
            <w:instrText xml:space="preserve"> HYPERLINK \l "bookmark130" </w:instrText>
          </w:r>
          <w:r>
            <w:fldChar w:fldCharType="separate"/>
          </w:r>
          <w:r>
            <w:rPr>
              <w:rFonts w:ascii="Times New Roman" w:hAnsi="Times New Roman" w:eastAsia="Times New Roman" w:cs="Times New Roman"/>
              <w:sz w:val="21"/>
              <w:szCs w:val="21"/>
            </w:rPr>
            <w:t xml:space="preserve">14.1  </w:t>
          </w:r>
          <w:r>
            <w:rPr>
              <w:rFonts w:ascii="黑体" w:hAnsi="黑体" w:eastAsia="黑体" w:cs="黑体"/>
              <w:sz w:val="21"/>
              <w:szCs w:val="21"/>
            </w:rPr>
            <w:t>材料、工程设备和工程的试验和检验</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sdtContent>
    </w:sdt>
    <w:p w14:paraId="08A0823A">
      <w:pPr>
        <w:spacing w:line="238" w:lineRule="auto"/>
        <w:rPr>
          <w:rFonts w:ascii="Calibri" w:hAnsi="Calibri" w:eastAsia="Calibri" w:cs="Calibri"/>
          <w:sz w:val="21"/>
          <w:szCs w:val="21"/>
        </w:rPr>
        <w:sectPr>
          <w:footerReference r:id="rId7" w:type="default"/>
          <w:pgSz w:w="11910" w:h="16845"/>
          <w:pgMar w:top="1431" w:right="1786" w:bottom="1065" w:left="1786" w:header="0" w:footer="837" w:gutter="0"/>
          <w:cols w:space="720" w:num="1"/>
        </w:sectPr>
      </w:pPr>
    </w:p>
    <w:sdt>
      <w:sdtPr>
        <w:rPr>
          <w:rFonts w:ascii="Times New Roman" w:hAnsi="Times New Roman" w:eastAsia="Times New Roman" w:cs="Times New Roman"/>
          <w:sz w:val="21"/>
          <w:szCs w:val="21"/>
        </w:rPr>
        <w:id w:val="147456283"/>
        <w:docPartObj>
          <w:docPartGallery w:val="Table of Contents"/>
          <w:docPartUnique/>
        </w:docPartObj>
      </w:sdtPr>
      <w:sdtEndPr>
        <w:rPr>
          <w:rFonts w:ascii="Calibri" w:hAnsi="Calibri" w:eastAsia="Calibri" w:cs="Calibri"/>
          <w:sz w:val="21"/>
          <w:szCs w:val="21"/>
        </w:rPr>
      </w:sdtEndPr>
      <w:sdtContent>
        <w:p w14:paraId="417E85AF">
          <w:pPr>
            <w:tabs>
              <w:tab w:val="right" w:leader="dot" w:pos="8322"/>
            </w:tabs>
            <w:spacing w:before="54" w:line="205" w:lineRule="auto"/>
            <w:ind w:left="881"/>
            <w:rPr>
              <w:rFonts w:ascii="Calibri" w:hAnsi="Calibri" w:eastAsia="Calibri" w:cs="Calibri"/>
              <w:sz w:val="21"/>
              <w:szCs w:val="21"/>
            </w:rPr>
          </w:pPr>
          <w:r>
            <w:fldChar w:fldCharType="begin"/>
          </w:r>
          <w:r>
            <w:instrText xml:space="preserve"> HYPERLINK \l "bookmark131" </w:instrText>
          </w:r>
          <w:r>
            <w:fldChar w:fldCharType="separate"/>
          </w:r>
          <w:r>
            <w:rPr>
              <w:rFonts w:ascii="Times New Roman" w:hAnsi="Times New Roman" w:eastAsia="Times New Roman" w:cs="Times New Roman"/>
              <w:spacing w:val="-3"/>
              <w:sz w:val="21"/>
              <w:szCs w:val="21"/>
            </w:rPr>
            <w:t>14.2</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现场材料试验</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6874C648">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"bookmark132" </w:instrText>
          </w:r>
          <w:r>
            <w:fldChar w:fldCharType="separate"/>
          </w:r>
          <w:r>
            <w:rPr>
              <w:rFonts w:ascii="Times New Roman" w:hAnsi="Times New Roman" w:eastAsia="Times New Roman" w:cs="Times New Roman"/>
              <w:spacing w:val="-3"/>
              <w:sz w:val="21"/>
              <w:szCs w:val="21"/>
            </w:rPr>
            <w:t>14.3</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现场工艺试验</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49F724F9">
          <w:pPr>
            <w:tabs>
              <w:tab w:val="right" w:leader="dot" w:pos="8322"/>
            </w:tabs>
            <w:spacing w:before="81" w:line="205" w:lineRule="auto"/>
            <w:ind w:left="461"/>
            <w:rPr>
              <w:rFonts w:ascii="Calibri" w:hAnsi="Calibri" w:eastAsia="Calibri" w:cs="Calibri"/>
              <w:sz w:val="21"/>
              <w:szCs w:val="21"/>
            </w:rPr>
          </w:pPr>
          <w:r>
            <w:fldChar w:fldCharType="begin"/>
          </w:r>
          <w:r>
            <w:instrText xml:space="preserve"> HYPERLINK \l "bookmark133" </w:instrText>
          </w:r>
          <w:r>
            <w:fldChar w:fldCharType="separate"/>
          </w:r>
          <w:r>
            <w:rPr>
              <w:rFonts w:ascii="Times New Roman" w:hAnsi="Times New Roman" w:eastAsia="Times New Roman" w:cs="Times New Roman"/>
              <w:spacing w:val="-8"/>
              <w:sz w:val="21"/>
              <w:szCs w:val="21"/>
            </w:rPr>
            <w:t>15.</w:t>
          </w:r>
          <w:r>
            <w:rPr>
              <w:rFonts w:ascii="Times New Roman" w:hAnsi="Times New Roman" w:eastAsia="Times New Roman" w:cs="Times New Roman"/>
              <w:spacing w:val="19"/>
              <w:sz w:val="21"/>
              <w:szCs w:val="21"/>
            </w:rPr>
            <w:t xml:space="preserve">  </w:t>
          </w:r>
          <w:r>
            <w:rPr>
              <w:rFonts w:ascii="黑体" w:hAnsi="黑体" w:eastAsia="黑体" w:cs="黑体"/>
              <w:spacing w:val="-8"/>
              <w:sz w:val="21"/>
              <w:szCs w:val="21"/>
            </w:rPr>
            <w:t>变更</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1A6277A5">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"bookmark134" </w:instrText>
          </w:r>
          <w:r>
            <w:fldChar w:fldCharType="separate"/>
          </w:r>
          <w:r>
            <w:rPr>
              <w:rFonts w:ascii="Times New Roman" w:hAnsi="Times New Roman" w:eastAsia="Times New Roman" w:cs="Times New Roman"/>
              <w:spacing w:val="-3"/>
              <w:sz w:val="21"/>
              <w:szCs w:val="21"/>
            </w:rPr>
            <w:t>15.1</w:t>
          </w:r>
          <w:r>
            <w:rPr>
              <w:rFonts w:ascii="Times New Roman" w:hAnsi="Times New Roman" w:eastAsia="Times New Roman" w:cs="Times New Roman"/>
              <w:spacing w:val="18"/>
              <w:sz w:val="21"/>
              <w:szCs w:val="21"/>
            </w:rPr>
            <w:t xml:space="preserve">  </w:t>
          </w:r>
          <w:r>
            <w:rPr>
              <w:rFonts w:ascii="黑体" w:hAnsi="黑体" w:eastAsia="黑体" w:cs="黑体"/>
              <w:spacing w:val="-3"/>
              <w:sz w:val="21"/>
              <w:szCs w:val="21"/>
            </w:rPr>
            <w:t>变更的范围和内容</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73</w:t>
          </w:r>
          <w:r>
            <w:rPr>
              <w:rFonts w:ascii="Calibri" w:hAnsi="Calibri" w:eastAsia="Calibri" w:cs="Calibri"/>
              <w:spacing w:val="-3"/>
              <w:sz w:val="21"/>
              <w:szCs w:val="21"/>
            </w:rPr>
            <w:fldChar w:fldCharType="end"/>
          </w:r>
        </w:p>
        <w:p w14:paraId="7049ADB0">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"bookmark135" </w:instrText>
          </w:r>
          <w:r>
            <w:fldChar w:fldCharType="separate"/>
          </w:r>
          <w:r>
            <w:rPr>
              <w:rFonts w:ascii="Times New Roman" w:hAnsi="Times New Roman" w:eastAsia="Times New Roman" w:cs="Times New Roman"/>
              <w:spacing w:val="-5"/>
              <w:sz w:val="21"/>
              <w:szCs w:val="21"/>
            </w:rPr>
            <w:t>15.2</w:t>
          </w:r>
          <w:r>
            <w:rPr>
              <w:rFonts w:ascii="Times New Roman" w:hAnsi="Times New Roman" w:eastAsia="Times New Roman" w:cs="Times New Roman"/>
              <w:spacing w:val="16"/>
              <w:w w:val="101"/>
              <w:sz w:val="21"/>
              <w:szCs w:val="21"/>
            </w:rPr>
            <w:t xml:space="preserve">  </w:t>
          </w:r>
          <w:r>
            <w:rPr>
              <w:rFonts w:ascii="黑体" w:hAnsi="黑体" w:eastAsia="黑体" w:cs="黑体"/>
              <w:spacing w:val="-5"/>
              <w:sz w:val="21"/>
              <w:szCs w:val="21"/>
            </w:rPr>
            <w:t>变更权</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54773B80">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"bookmark136" </w:instrText>
          </w:r>
          <w:r>
            <w:fldChar w:fldCharType="separate"/>
          </w:r>
          <w:r>
            <w:rPr>
              <w:rFonts w:ascii="Times New Roman" w:hAnsi="Times New Roman" w:eastAsia="Times New Roman" w:cs="Times New Roman"/>
              <w:spacing w:val="-4"/>
              <w:sz w:val="21"/>
              <w:szCs w:val="21"/>
            </w:rPr>
            <w:t>15.3</w:t>
          </w:r>
          <w:r>
            <w:rPr>
              <w:rFonts w:ascii="Times New Roman" w:hAnsi="Times New Roman" w:eastAsia="Times New Roman" w:cs="Times New Roman"/>
              <w:spacing w:val="15"/>
              <w:sz w:val="21"/>
              <w:szCs w:val="21"/>
            </w:rPr>
            <w:t xml:space="preserve">  </w:t>
          </w:r>
          <w:r>
            <w:rPr>
              <w:rFonts w:ascii="黑体" w:hAnsi="黑体" w:eastAsia="黑体" w:cs="黑体"/>
              <w:spacing w:val="-4"/>
              <w:sz w:val="21"/>
              <w:szCs w:val="21"/>
            </w:rPr>
            <w:t>变更程序</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74</w:t>
          </w:r>
          <w:r>
            <w:rPr>
              <w:rFonts w:ascii="Calibri" w:hAnsi="Calibri" w:eastAsia="Calibri" w:cs="Calibri"/>
              <w:spacing w:val="-3"/>
              <w:sz w:val="21"/>
              <w:szCs w:val="21"/>
            </w:rPr>
            <w:fldChar w:fldCharType="end"/>
          </w:r>
        </w:p>
        <w:p w14:paraId="348A76AD">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"bookmark137" </w:instrText>
          </w:r>
          <w:r>
            <w:fldChar w:fldCharType="separate"/>
          </w:r>
          <w:r>
            <w:rPr>
              <w:rFonts w:ascii="Times New Roman" w:hAnsi="Times New Roman" w:eastAsia="Times New Roman" w:cs="Times New Roman"/>
              <w:spacing w:val="-3"/>
              <w:sz w:val="21"/>
              <w:szCs w:val="21"/>
            </w:rPr>
            <w:t>15.4</w:t>
          </w:r>
          <w:r>
            <w:rPr>
              <w:rFonts w:ascii="Times New Roman" w:hAnsi="Times New Roman" w:eastAsia="Times New Roman" w:cs="Times New Roman"/>
              <w:spacing w:val="16"/>
              <w:w w:val="101"/>
              <w:sz w:val="21"/>
              <w:szCs w:val="21"/>
            </w:rPr>
            <w:t xml:space="preserve">  </w:t>
          </w:r>
          <w:r>
            <w:rPr>
              <w:rFonts w:ascii="黑体" w:hAnsi="黑体" w:eastAsia="黑体" w:cs="黑体"/>
              <w:spacing w:val="-3"/>
              <w:sz w:val="21"/>
              <w:szCs w:val="21"/>
            </w:rPr>
            <w:t>变更的估价原则</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5807CBDD">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"bookmark138" </w:instrText>
          </w:r>
          <w:r>
            <w:fldChar w:fldCharType="separate"/>
          </w:r>
          <w:r>
            <w:rPr>
              <w:rFonts w:ascii="Times New Roman" w:hAnsi="Times New Roman" w:eastAsia="Times New Roman" w:cs="Times New Roman"/>
              <w:spacing w:val="-2"/>
              <w:sz w:val="21"/>
              <w:szCs w:val="21"/>
            </w:rPr>
            <w:t>15.5</w:t>
          </w:r>
          <w:r>
            <w:rPr>
              <w:rFonts w:ascii="Times New Roman" w:hAnsi="Times New Roman" w:eastAsia="Times New Roman" w:cs="Times New Roman"/>
              <w:spacing w:val="13"/>
              <w:w w:val="101"/>
              <w:sz w:val="21"/>
              <w:szCs w:val="21"/>
            </w:rPr>
            <w:t xml:space="preserve">  </w:t>
          </w:r>
          <w:r>
            <w:rPr>
              <w:rFonts w:ascii="黑体" w:hAnsi="黑体" w:eastAsia="黑体" w:cs="黑体"/>
              <w:spacing w:val="-2"/>
              <w:sz w:val="21"/>
              <w:szCs w:val="21"/>
            </w:rPr>
            <w:t>承包人的合理化建议</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1"/>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1A673967">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"bookmark139" </w:instrText>
          </w:r>
          <w:r>
            <w:fldChar w:fldCharType="separate"/>
          </w:r>
          <w:r>
            <w:rPr>
              <w:rFonts w:ascii="Times New Roman" w:hAnsi="Times New Roman" w:eastAsia="Times New Roman" w:cs="Times New Roman"/>
              <w:spacing w:val="-4"/>
              <w:sz w:val="21"/>
              <w:szCs w:val="21"/>
            </w:rPr>
            <w:t>15.6</w:t>
          </w:r>
          <w:r>
            <w:rPr>
              <w:rFonts w:ascii="Times New Roman" w:hAnsi="Times New Roman" w:eastAsia="Times New Roman" w:cs="Times New Roman"/>
              <w:spacing w:val="15"/>
              <w:w w:val="101"/>
              <w:sz w:val="21"/>
              <w:szCs w:val="21"/>
            </w:rPr>
            <w:t xml:space="preserve">  </w:t>
          </w:r>
          <w:r>
            <w:rPr>
              <w:rFonts w:ascii="黑体" w:hAnsi="黑体" w:eastAsia="黑体" w:cs="黑体"/>
              <w:spacing w:val="-4"/>
              <w:sz w:val="21"/>
              <w:szCs w:val="21"/>
            </w:rPr>
            <w:t>暂列金额</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6FFB380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"bookmark140" </w:instrText>
          </w:r>
          <w:r>
            <w:fldChar w:fldCharType="separate"/>
          </w:r>
          <w:r>
            <w:rPr>
              <w:rFonts w:ascii="Times New Roman" w:hAnsi="Times New Roman" w:eastAsia="Times New Roman" w:cs="Times New Roman"/>
              <w:spacing w:val="-4"/>
              <w:sz w:val="21"/>
              <w:szCs w:val="21"/>
            </w:rPr>
            <w:t>15.7</w:t>
          </w:r>
          <w:r>
            <w:rPr>
              <w:rFonts w:ascii="Times New Roman" w:hAnsi="Times New Roman" w:eastAsia="Times New Roman" w:cs="Times New Roman"/>
              <w:spacing w:val="13"/>
              <w:sz w:val="21"/>
              <w:szCs w:val="21"/>
            </w:rPr>
            <w:t xml:space="preserve">  </w:t>
          </w:r>
          <w:r>
            <w:rPr>
              <w:rFonts w:ascii="黑体" w:hAnsi="黑体" w:eastAsia="黑体" w:cs="黑体"/>
              <w:spacing w:val="-4"/>
              <w:sz w:val="21"/>
              <w:szCs w:val="21"/>
            </w:rPr>
            <w:t>计日工</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2F611C23">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"bookmark141" </w:instrText>
          </w:r>
          <w:r>
            <w:fldChar w:fldCharType="separate"/>
          </w:r>
          <w:r>
            <w:rPr>
              <w:rFonts w:ascii="Times New Roman" w:hAnsi="Times New Roman" w:eastAsia="Times New Roman" w:cs="Times New Roman"/>
              <w:spacing w:val="-5"/>
              <w:sz w:val="21"/>
              <w:szCs w:val="21"/>
            </w:rPr>
            <w:t>15.8</w:t>
          </w:r>
          <w:r>
            <w:rPr>
              <w:rFonts w:ascii="Times New Roman" w:hAnsi="Times New Roman" w:eastAsia="Times New Roman" w:cs="Times New Roman"/>
              <w:spacing w:val="16"/>
              <w:w w:val="101"/>
              <w:sz w:val="21"/>
              <w:szCs w:val="21"/>
            </w:rPr>
            <w:t xml:space="preserve">  </w:t>
          </w:r>
          <w:r>
            <w:rPr>
              <w:rFonts w:ascii="黑体" w:hAnsi="黑体" w:eastAsia="黑体" w:cs="黑体"/>
              <w:spacing w:val="-5"/>
              <w:sz w:val="21"/>
              <w:szCs w:val="21"/>
            </w:rPr>
            <w:t>暂估价</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75</w:t>
          </w:r>
          <w:r>
            <w:rPr>
              <w:rFonts w:ascii="Calibri" w:hAnsi="Calibri" w:eastAsia="Calibri" w:cs="Calibri"/>
              <w:spacing w:val="-3"/>
              <w:sz w:val="21"/>
              <w:szCs w:val="21"/>
            </w:rPr>
            <w:fldChar w:fldCharType="end"/>
          </w:r>
        </w:p>
        <w:p w14:paraId="3F8F87DC">
          <w:pPr>
            <w:tabs>
              <w:tab w:val="right" w:leader="dot" w:pos="8322"/>
            </w:tabs>
            <w:spacing w:before="81" w:line="205" w:lineRule="auto"/>
            <w:ind w:left="461"/>
            <w:rPr>
              <w:rFonts w:ascii="Calibri" w:hAnsi="Calibri" w:eastAsia="Calibri" w:cs="Calibri"/>
              <w:sz w:val="21"/>
              <w:szCs w:val="21"/>
            </w:rPr>
          </w:pPr>
          <w:r>
            <w:fldChar w:fldCharType="begin"/>
          </w:r>
          <w:r>
            <w:instrText xml:space="preserve"> HYPERLINK \l "bookmark142" </w:instrText>
          </w:r>
          <w:r>
            <w:fldChar w:fldCharType="separate"/>
          </w:r>
          <w:r>
            <w:rPr>
              <w:rFonts w:ascii="Times New Roman" w:hAnsi="Times New Roman" w:eastAsia="Times New Roman" w:cs="Times New Roman"/>
              <w:spacing w:val="-5"/>
              <w:sz w:val="21"/>
              <w:szCs w:val="21"/>
            </w:rPr>
            <w:t>16.</w:t>
          </w:r>
          <w:r>
            <w:rPr>
              <w:rFonts w:ascii="Times New Roman" w:hAnsi="Times New Roman" w:eastAsia="Times New Roman" w:cs="Times New Roman"/>
              <w:spacing w:val="17"/>
              <w:sz w:val="21"/>
              <w:szCs w:val="21"/>
            </w:rPr>
            <w:t xml:space="preserve">  </w:t>
          </w:r>
          <w:r>
            <w:rPr>
              <w:rFonts w:ascii="黑体" w:hAnsi="黑体" w:eastAsia="黑体" w:cs="黑体"/>
              <w:spacing w:val="-5"/>
              <w:sz w:val="21"/>
              <w:szCs w:val="21"/>
            </w:rPr>
            <w:t>价格调整</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3C802994">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"bookmark143" </w:instrText>
          </w:r>
          <w:r>
            <w:fldChar w:fldCharType="separate"/>
          </w:r>
          <w:r>
            <w:rPr>
              <w:rFonts w:ascii="Times New Roman" w:hAnsi="Times New Roman" w:eastAsia="Times New Roman" w:cs="Times New Roman"/>
              <w:sz w:val="21"/>
              <w:szCs w:val="21"/>
            </w:rPr>
            <w:t xml:space="preserve">16.1  </w:t>
          </w:r>
          <w:r>
            <w:rPr>
              <w:rFonts w:ascii="黑体" w:hAnsi="黑体" w:eastAsia="黑体" w:cs="黑体"/>
              <w:sz w:val="21"/>
              <w:szCs w:val="21"/>
            </w:rPr>
            <w:t>物价波动引起的价格调整</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76</w:t>
          </w:r>
          <w:r>
            <w:rPr>
              <w:rFonts w:ascii="Calibri" w:hAnsi="Calibri" w:eastAsia="Calibri" w:cs="Calibri"/>
              <w:spacing w:val="-3"/>
              <w:sz w:val="21"/>
              <w:szCs w:val="21"/>
            </w:rPr>
            <w:fldChar w:fldCharType="end"/>
          </w:r>
        </w:p>
        <w:p w14:paraId="3386D1EB">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"bookmark144" </w:instrText>
          </w:r>
          <w:r>
            <w:fldChar w:fldCharType="separate"/>
          </w:r>
          <w:r>
            <w:rPr>
              <w:rFonts w:ascii="Times New Roman" w:hAnsi="Times New Roman" w:eastAsia="Times New Roman" w:cs="Times New Roman"/>
              <w:spacing w:val="-2"/>
              <w:sz w:val="21"/>
              <w:szCs w:val="21"/>
            </w:rPr>
            <w:t>16.2</w:t>
          </w:r>
          <w:r>
            <w:rPr>
              <w:rFonts w:ascii="Times New Roman" w:hAnsi="Times New Roman" w:eastAsia="Times New Roman" w:cs="Times New Roman"/>
              <w:spacing w:val="15"/>
              <w:sz w:val="21"/>
              <w:szCs w:val="21"/>
            </w:rPr>
            <w:t xml:space="preserve">  </w:t>
          </w:r>
          <w:r>
            <w:rPr>
              <w:rFonts w:ascii="黑体" w:hAnsi="黑体" w:eastAsia="黑体" w:cs="黑体"/>
              <w:spacing w:val="-2"/>
              <w:sz w:val="21"/>
              <w:szCs w:val="21"/>
            </w:rPr>
            <w:t>法律变化引起的价格调整</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7A57DB85">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"bookmark145" </w:instrText>
          </w:r>
          <w:r>
            <w:fldChar w:fldCharType="separate"/>
          </w:r>
          <w:r>
            <w:rPr>
              <w:rFonts w:ascii="Times New Roman" w:hAnsi="Times New Roman" w:eastAsia="Times New Roman" w:cs="Times New Roman"/>
              <w:spacing w:val="-4"/>
              <w:sz w:val="21"/>
              <w:szCs w:val="21"/>
            </w:rPr>
            <w:t>17.</w:t>
          </w:r>
          <w:r>
            <w:rPr>
              <w:rFonts w:ascii="Times New Roman" w:hAnsi="Times New Roman" w:eastAsia="Times New Roman" w:cs="Times New Roman"/>
              <w:spacing w:val="16"/>
              <w:sz w:val="21"/>
              <w:szCs w:val="21"/>
            </w:rPr>
            <w:t xml:space="preserve">  </w:t>
          </w:r>
          <w:r>
            <w:rPr>
              <w:rFonts w:ascii="黑体" w:hAnsi="黑体" w:eastAsia="黑体" w:cs="黑体"/>
              <w:spacing w:val="-4"/>
              <w:sz w:val="21"/>
              <w:szCs w:val="21"/>
            </w:rPr>
            <w:t>计量与支付</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06D0BFCF">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"bookmark146" </w:instrText>
          </w:r>
          <w:r>
            <w:fldChar w:fldCharType="separate"/>
          </w:r>
          <w:r>
            <w:rPr>
              <w:rFonts w:ascii="Times New Roman" w:hAnsi="Times New Roman" w:eastAsia="Times New Roman" w:cs="Times New Roman"/>
              <w:spacing w:val="-5"/>
              <w:sz w:val="21"/>
              <w:szCs w:val="21"/>
            </w:rPr>
            <w:t>17.1</w:t>
          </w:r>
          <w:r>
            <w:rPr>
              <w:rFonts w:ascii="Times New Roman" w:hAnsi="Times New Roman" w:eastAsia="Times New Roman" w:cs="Times New Roman"/>
              <w:spacing w:val="13"/>
              <w:w w:val="101"/>
              <w:sz w:val="21"/>
              <w:szCs w:val="21"/>
            </w:rPr>
            <w:t xml:space="preserve">  </w:t>
          </w:r>
          <w:r>
            <w:rPr>
              <w:rFonts w:ascii="黑体" w:hAnsi="黑体" w:eastAsia="黑体" w:cs="黑体"/>
              <w:spacing w:val="-5"/>
              <w:sz w:val="21"/>
              <w:szCs w:val="21"/>
            </w:rPr>
            <w:t>计量</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77</w:t>
          </w:r>
          <w:r>
            <w:rPr>
              <w:rFonts w:ascii="Calibri" w:hAnsi="Calibri" w:eastAsia="Calibri" w:cs="Calibri"/>
              <w:spacing w:val="-3"/>
              <w:sz w:val="21"/>
              <w:szCs w:val="21"/>
            </w:rPr>
            <w:fldChar w:fldCharType="end"/>
          </w:r>
        </w:p>
        <w:p w14:paraId="4A1621BC">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"bookmark147" </w:instrText>
          </w:r>
          <w:r>
            <w:fldChar w:fldCharType="separate"/>
          </w:r>
          <w:r>
            <w:rPr>
              <w:rFonts w:ascii="Times New Roman" w:hAnsi="Times New Roman" w:eastAsia="Times New Roman" w:cs="Times New Roman"/>
              <w:spacing w:val="-4"/>
              <w:sz w:val="21"/>
              <w:szCs w:val="21"/>
            </w:rPr>
            <w:t>17.2</w:t>
          </w:r>
          <w:r>
            <w:rPr>
              <w:rFonts w:ascii="Times New Roman" w:hAnsi="Times New Roman" w:eastAsia="Times New Roman" w:cs="Times New Roman"/>
              <w:spacing w:val="13"/>
              <w:w w:val="101"/>
              <w:sz w:val="21"/>
              <w:szCs w:val="21"/>
            </w:rPr>
            <w:t xml:space="preserve">  </w:t>
          </w:r>
          <w:r>
            <w:rPr>
              <w:rFonts w:ascii="黑体" w:hAnsi="黑体" w:eastAsia="黑体" w:cs="黑体"/>
              <w:spacing w:val="-4"/>
              <w:sz w:val="21"/>
              <w:szCs w:val="21"/>
            </w:rPr>
            <w:t>预付款</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78</w:t>
          </w:r>
          <w:r>
            <w:rPr>
              <w:rFonts w:ascii="Calibri" w:hAnsi="Calibri" w:eastAsia="Calibri" w:cs="Calibri"/>
              <w:spacing w:val="-3"/>
              <w:sz w:val="21"/>
              <w:szCs w:val="21"/>
            </w:rPr>
            <w:fldChar w:fldCharType="end"/>
          </w:r>
        </w:p>
        <w:p w14:paraId="7F51B025">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"bookmark148" </w:instrText>
          </w:r>
          <w:r>
            <w:fldChar w:fldCharType="separate"/>
          </w:r>
          <w:r>
            <w:rPr>
              <w:rFonts w:ascii="Times New Roman" w:hAnsi="Times New Roman" w:eastAsia="Times New Roman" w:cs="Times New Roman"/>
              <w:spacing w:val="-3"/>
              <w:sz w:val="21"/>
              <w:szCs w:val="21"/>
            </w:rPr>
            <w:t>17.3</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工程进度付款</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7E91845F">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"bookmark149" </w:instrText>
          </w:r>
          <w:r>
            <w:fldChar w:fldCharType="separate"/>
          </w:r>
          <w:r>
            <w:rPr>
              <w:rFonts w:ascii="Times New Roman" w:hAnsi="Times New Roman" w:eastAsia="Times New Roman" w:cs="Times New Roman"/>
              <w:spacing w:val="-3"/>
              <w:sz w:val="21"/>
              <w:szCs w:val="21"/>
            </w:rPr>
            <w:t>17.4</w:t>
          </w:r>
          <w:r>
            <w:rPr>
              <w:rFonts w:ascii="Times New Roman" w:hAnsi="Times New Roman" w:eastAsia="Times New Roman" w:cs="Times New Roman"/>
              <w:spacing w:val="13"/>
              <w:sz w:val="21"/>
              <w:szCs w:val="21"/>
            </w:rPr>
            <w:t xml:space="preserve">  </w:t>
          </w:r>
          <w:r>
            <w:rPr>
              <w:rFonts w:ascii="黑体" w:hAnsi="黑体" w:eastAsia="黑体" w:cs="黑体"/>
              <w:spacing w:val="-3"/>
              <w:sz w:val="21"/>
              <w:szCs w:val="21"/>
            </w:rPr>
            <w:t>质量保证金</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0"/>
              <w:sz w:val="21"/>
              <w:szCs w:val="21"/>
            </w:rPr>
            <w:t xml:space="preserve"> </w:t>
          </w:r>
          <w:r>
            <w:rPr>
              <w:rFonts w:ascii="Calibri" w:hAnsi="Calibri" w:eastAsia="Calibri" w:cs="Calibri"/>
              <w:spacing w:val="-3"/>
              <w:sz w:val="21"/>
              <w:szCs w:val="21"/>
            </w:rPr>
            <w:t>79</w:t>
          </w:r>
          <w:r>
            <w:rPr>
              <w:rFonts w:ascii="Calibri" w:hAnsi="Calibri" w:eastAsia="Calibri" w:cs="Calibri"/>
              <w:spacing w:val="-3"/>
              <w:sz w:val="21"/>
              <w:szCs w:val="21"/>
            </w:rPr>
            <w:fldChar w:fldCharType="end"/>
          </w:r>
        </w:p>
        <w:p w14:paraId="6DDEEBB8">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"bookmark150" </w:instrText>
          </w:r>
          <w:r>
            <w:fldChar w:fldCharType="separate"/>
          </w:r>
          <w:r>
            <w:rPr>
              <w:rFonts w:ascii="Times New Roman" w:hAnsi="Times New Roman" w:eastAsia="Times New Roman" w:cs="Times New Roman"/>
              <w:spacing w:val="-3"/>
              <w:sz w:val="21"/>
              <w:szCs w:val="21"/>
            </w:rPr>
            <w:t>17.5</w:t>
          </w:r>
          <w:r>
            <w:rPr>
              <w:rFonts w:ascii="Times New Roman" w:hAnsi="Times New Roman" w:eastAsia="Times New Roman" w:cs="Times New Roman"/>
              <w:spacing w:val="11"/>
              <w:sz w:val="21"/>
              <w:szCs w:val="21"/>
            </w:rPr>
            <w:t xml:space="preserve">  </w:t>
          </w:r>
          <w:r>
            <w:rPr>
              <w:rFonts w:ascii="黑体" w:hAnsi="黑体" w:eastAsia="黑体" w:cs="黑体"/>
              <w:spacing w:val="-3"/>
              <w:sz w:val="21"/>
              <w:szCs w:val="21"/>
            </w:rPr>
            <w:t>竣工结算</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80</w:t>
          </w:r>
          <w:r>
            <w:rPr>
              <w:rFonts w:ascii="Calibri" w:hAnsi="Calibri" w:eastAsia="Calibri" w:cs="Calibri"/>
              <w:spacing w:val="-3"/>
              <w:sz w:val="21"/>
              <w:szCs w:val="21"/>
            </w:rPr>
            <w:fldChar w:fldCharType="end"/>
          </w:r>
        </w:p>
        <w:p w14:paraId="174ECFD1">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"bookmark151" </w:instrText>
          </w:r>
          <w:r>
            <w:fldChar w:fldCharType="separate"/>
          </w:r>
          <w:r>
            <w:rPr>
              <w:rFonts w:ascii="Times New Roman" w:hAnsi="Times New Roman" w:eastAsia="Times New Roman" w:cs="Times New Roman"/>
              <w:spacing w:val="-4"/>
              <w:sz w:val="21"/>
              <w:szCs w:val="21"/>
            </w:rPr>
            <w:t>17.6</w:t>
          </w:r>
          <w:r>
            <w:rPr>
              <w:rFonts w:ascii="Times New Roman" w:hAnsi="Times New Roman" w:eastAsia="Times New Roman" w:cs="Times New Roman"/>
              <w:spacing w:val="15"/>
              <w:sz w:val="21"/>
              <w:szCs w:val="21"/>
            </w:rPr>
            <w:t xml:space="preserve">  </w:t>
          </w:r>
          <w:r>
            <w:rPr>
              <w:rFonts w:ascii="黑体" w:hAnsi="黑体" w:eastAsia="黑体" w:cs="黑体"/>
              <w:spacing w:val="-4"/>
              <w:sz w:val="21"/>
              <w:szCs w:val="21"/>
            </w:rPr>
            <w:t>最终结清</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80</w:t>
          </w:r>
          <w:r>
            <w:rPr>
              <w:rFonts w:ascii="Calibri" w:hAnsi="Calibri" w:eastAsia="Calibri" w:cs="Calibri"/>
              <w:spacing w:val="-3"/>
              <w:sz w:val="21"/>
              <w:szCs w:val="21"/>
            </w:rPr>
            <w:fldChar w:fldCharType="end"/>
          </w:r>
        </w:p>
        <w:p w14:paraId="7A9508CA">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"bookmark152" </w:instrText>
          </w:r>
          <w:r>
            <w:fldChar w:fldCharType="separate"/>
          </w:r>
          <w:r>
            <w:rPr>
              <w:rFonts w:ascii="Times New Roman" w:hAnsi="Times New Roman" w:eastAsia="Times New Roman" w:cs="Times New Roman"/>
              <w:spacing w:val="-5"/>
              <w:sz w:val="21"/>
              <w:szCs w:val="21"/>
            </w:rPr>
            <w:t>18.</w:t>
          </w:r>
          <w:r>
            <w:rPr>
              <w:rFonts w:ascii="Times New Roman" w:hAnsi="Times New Roman" w:eastAsia="Times New Roman" w:cs="Times New Roman"/>
              <w:spacing w:val="17"/>
              <w:sz w:val="21"/>
              <w:szCs w:val="21"/>
            </w:rPr>
            <w:t xml:space="preserve">  </w:t>
          </w:r>
          <w:r>
            <w:rPr>
              <w:rFonts w:ascii="黑体" w:hAnsi="黑体" w:eastAsia="黑体" w:cs="黑体"/>
              <w:spacing w:val="-5"/>
              <w:sz w:val="21"/>
              <w:szCs w:val="21"/>
            </w:rPr>
            <w:t>竣工验收</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0408BB05">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"bookmark153" </w:instrText>
          </w:r>
          <w:r>
            <w:fldChar w:fldCharType="separate"/>
          </w:r>
          <w:r>
            <w:rPr>
              <w:rFonts w:ascii="Times New Roman" w:hAnsi="Times New Roman" w:eastAsia="Times New Roman" w:cs="Times New Roman"/>
              <w:spacing w:val="-2"/>
              <w:sz w:val="21"/>
              <w:szCs w:val="21"/>
            </w:rPr>
            <w:t>18.1</w:t>
          </w:r>
          <w:r>
            <w:rPr>
              <w:rFonts w:ascii="Times New Roman" w:hAnsi="Times New Roman" w:eastAsia="Times New Roman" w:cs="Times New Roman"/>
              <w:spacing w:val="11"/>
              <w:sz w:val="21"/>
              <w:szCs w:val="21"/>
            </w:rPr>
            <w:t xml:space="preserve">  </w:t>
          </w:r>
          <w:r>
            <w:rPr>
              <w:rFonts w:ascii="黑体" w:hAnsi="黑体" w:eastAsia="黑体" w:cs="黑体"/>
              <w:spacing w:val="-2"/>
              <w:sz w:val="21"/>
              <w:szCs w:val="21"/>
            </w:rPr>
            <w:t>竣工验收的含义</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0DA6401A">
          <w:pPr>
            <w:tabs>
              <w:tab w:val="right" w:leader="dot" w:pos="8322"/>
            </w:tabs>
            <w:spacing w:before="68" w:line="205" w:lineRule="auto"/>
            <w:ind w:left="881"/>
            <w:rPr>
              <w:rFonts w:ascii="Calibri" w:hAnsi="Calibri" w:eastAsia="Calibri" w:cs="Calibri"/>
              <w:sz w:val="21"/>
              <w:szCs w:val="21"/>
            </w:rPr>
          </w:pPr>
          <w:r>
            <w:fldChar w:fldCharType="begin"/>
          </w:r>
          <w:r>
            <w:instrText xml:space="preserve"> HYPERLINK \l "bookmark154" </w:instrText>
          </w:r>
          <w:r>
            <w:fldChar w:fldCharType="separate"/>
          </w:r>
          <w:r>
            <w:rPr>
              <w:rFonts w:ascii="Times New Roman" w:hAnsi="Times New Roman" w:eastAsia="Times New Roman" w:cs="Times New Roman"/>
              <w:spacing w:val="-2"/>
              <w:sz w:val="21"/>
              <w:szCs w:val="21"/>
            </w:rPr>
            <w:t>18.2</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竣工验收申请报告</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130DE642">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"bookmark155" </w:instrText>
          </w:r>
          <w:r>
            <w:fldChar w:fldCharType="separate"/>
          </w:r>
          <w:r>
            <w:rPr>
              <w:rFonts w:ascii="Times New Roman" w:hAnsi="Times New Roman" w:eastAsia="Times New Roman" w:cs="Times New Roman"/>
              <w:spacing w:val="-4"/>
              <w:sz w:val="21"/>
              <w:szCs w:val="21"/>
            </w:rPr>
            <w:t>18.3</w:t>
          </w:r>
          <w:r>
            <w:rPr>
              <w:rFonts w:ascii="Times New Roman" w:hAnsi="Times New Roman" w:eastAsia="Times New Roman" w:cs="Times New Roman"/>
              <w:spacing w:val="11"/>
              <w:sz w:val="21"/>
              <w:szCs w:val="21"/>
            </w:rPr>
            <w:t xml:space="preserve">  </w:t>
          </w:r>
          <w:r>
            <w:rPr>
              <w:rFonts w:ascii="黑体" w:hAnsi="黑体" w:eastAsia="黑体" w:cs="黑体"/>
              <w:spacing w:val="-4"/>
              <w:sz w:val="21"/>
              <w:szCs w:val="21"/>
            </w:rPr>
            <w:t>验收</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22EB14A3">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"bookmark156" </w:instrText>
          </w:r>
          <w:r>
            <w:fldChar w:fldCharType="separate"/>
          </w:r>
          <w:r>
            <w:rPr>
              <w:rFonts w:ascii="Times New Roman" w:hAnsi="Times New Roman" w:eastAsia="Times New Roman" w:cs="Times New Roman"/>
              <w:spacing w:val="-3"/>
              <w:sz w:val="21"/>
              <w:szCs w:val="21"/>
            </w:rPr>
            <w:t>18.4</w:t>
          </w:r>
          <w:r>
            <w:rPr>
              <w:rFonts w:ascii="Times New Roman" w:hAnsi="Times New Roman" w:eastAsia="Times New Roman" w:cs="Times New Roman"/>
              <w:spacing w:val="14"/>
              <w:w w:val="101"/>
              <w:sz w:val="21"/>
              <w:szCs w:val="21"/>
            </w:rPr>
            <w:t xml:space="preserve">  </w:t>
          </w:r>
          <w:r>
            <w:rPr>
              <w:rFonts w:ascii="黑体" w:hAnsi="黑体" w:eastAsia="黑体" w:cs="黑体"/>
              <w:spacing w:val="-3"/>
              <w:sz w:val="21"/>
              <w:szCs w:val="21"/>
            </w:rPr>
            <w:t>单位工程验收</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43E7F7C5">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"bookmark157" </w:instrText>
          </w:r>
          <w:r>
            <w:fldChar w:fldCharType="separate"/>
          </w:r>
          <w:r>
            <w:rPr>
              <w:rFonts w:ascii="Times New Roman" w:hAnsi="Times New Roman" w:eastAsia="Times New Roman" w:cs="Times New Roman"/>
              <w:spacing w:val="-3"/>
              <w:sz w:val="21"/>
              <w:szCs w:val="21"/>
            </w:rPr>
            <w:t>18.5</w:t>
          </w:r>
          <w:r>
            <w:rPr>
              <w:rFonts w:ascii="Times New Roman" w:hAnsi="Times New Roman" w:eastAsia="Times New Roman" w:cs="Times New Roman"/>
              <w:spacing w:val="13"/>
              <w:sz w:val="21"/>
              <w:szCs w:val="21"/>
            </w:rPr>
            <w:t xml:space="preserve">  </w:t>
          </w:r>
          <w:r>
            <w:rPr>
              <w:rFonts w:ascii="黑体" w:hAnsi="黑体" w:eastAsia="黑体" w:cs="黑体"/>
              <w:spacing w:val="-3"/>
              <w:sz w:val="21"/>
              <w:szCs w:val="21"/>
            </w:rPr>
            <w:t>施工期运行</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37820C34">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"bookmark158" </w:instrText>
          </w:r>
          <w:r>
            <w:fldChar w:fldCharType="separate"/>
          </w:r>
          <w:r>
            <w:rPr>
              <w:rFonts w:ascii="Times New Roman" w:hAnsi="Times New Roman" w:eastAsia="Times New Roman" w:cs="Times New Roman"/>
              <w:spacing w:val="-4"/>
              <w:sz w:val="21"/>
              <w:szCs w:val="21"/>
            </w:rPr>
            <w:t>18.6</w:t>
          </w:r>
          <w:r>
            <w:rPr>
              <w:rFonts w:ascii="Times New Roman" w:hAnsi="Times New Roman" w:eastAsia="Times New Roman" w:cs="Times New Roman"/>
              <w:spacing w:val="13"/>
              <w:sz w:val="21"/>
              <w:szCs w:val="21"/>
            </w:rPr>
            <w:t xml:space="preserve">  </w:t>
          </w:r>
          <w:r>
            <w:rPr>
              <w:rFonts w:ascii="黑体" w:hAnsi="黑体" w:eastAsia="黑体" w:cs="黑体"/>
              <w:spacing w:val="-4"/>
              <w:sz w:val="21"/>
              <w:szCs w:val="21"/>
            </w:rPr>
            <w:t>试运行</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45217932">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"bookmark159" </w:instrText>
          </w:r>
          <w:r>
            <w:fldChar w:fldCharType="separate"/>
          </w:r>
          <w:r>
            <w:rPr>
              <w:rFonts w:ascii="Times New Roman" w:hAnsi="Times New Roman" w:eastAsia="Times New Roman" w:cs="Times New Roman"/>
              <w:spacing w:val="-3"/>
              <w:sz w:val="21"/>
              <w:szCs w:val="21"/>
            </w:rPr>
            <w:t>18.7</w:t>
          </w:r>
          <w:r>
            <w:rPr>
              <w:rFonts w:ascii="Times New Roman" w:hAnsi="Times New Roman" w:eastAsia="Times New Roman" w:cs="Times New Roman"/>
              <w:spacing w:val="11"/>
              <w:sz w:val="21"/>
              <w:szCs w:val="21"/>
            </w:rPr>
            <w:t xml:space="preserve">  </w:t>
          </w:r>
          <w:r>
            <w:rPr>
              <w:rFonts w:ascii="黑体" w:hAnsi="黑体" w:eastAsia="黑体" w:cs="黑体"/>
              <w:spacing w:val="-3"/>
              <w:sz w:val="21"/>
              <w:szCs w:val="21"/>
            </w:rPr>
            <w:t>竣工清场</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2C135AB6">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"bookmark160" </w:instrText>
          </w:r>
          <w:r>
            <w:fldChar w:fldCharType="separate"/>
          </w:r>
          <w:r>
            <w:rPr>
              <w:rFonts w:ascii="Times New Roman" w:hAnsi="Times New Roman" w:eastAsia="Times New Roman" w:cs="Times New Roman"/>
              <w:spacing w:val="-2"/>
              <w:sz w:val="21"/>
              <w:szCs w:val="21"/>
            </w:rPr>
            <w:t>18.8</w:t>
          </w:r>
          <w:r>
            <w:rPr>
              <w:rFonts w:ascii="Times New Roman" w:hAnsi="Times New Roman" w:eastAsia="Times New Roman" w:cs="Times New Roman"/>
              <w:spacing w:val="11"/>
              <w:sz w:val="21"/>
              <w:szCs w:val="21"/>
            </w:rPr>
            <w:t xml:space="preserve">  </w:t>
          </w:r>
          <w:r>
            <w:rPr>
              <w:rFonts w:ascii="黑体" w:hAnsi="黑体" w:eastAsia="黑体" w:cs="黑体"/>
              <w:spacing w:val="-2"/>
              <w:sz w:val="21"/>
              <w:szCs w:val="21"/>
            </w:rPr>
            <w:t>施工队伍的撤离</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44AF97EA">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"bookmark161" </w:instrText>
          </w:r>
          <w:r>
            <w:fldChar w:fldCharType="separate"/>
          </w:r>
          <w:r>
            <w:rPr>
              <w:rFonts w:ascii="Times New Roman" w:hAnsi="Times New Roman" w:eastAsia="Times New Roman" w:cs="Times New Roman"/>
              <w:spacing w:val="-3"/>
              <w:sz w:val="21"/>
              <w:szCs w:val="21"/>
            </w:rPr>
            <w:t>19.</w:t>
          </w:r>
          <w:r>
            <w:rPr>
              <w:rFonts w:ascii="Times New Roman" w:hAnsi="Times New Roman" w:eastAsia="Times New Roman" w:cs="Times New Roman"/>
              <w:spacing w:val="18"/>
              <w:w w:val="101"/>
              <w:sz w:val="21"/>
              <w:szCs w:val="21"/>
            </w:rPr>
            <w:t xml:space="preserve">  </w:t>
          </w:r>
          <w:r>
            <w:rPr>
              <w:rFonts w:ascii="黑体" w:hAnsi="黑体" w:eastAsia="黑体" w:cs="黑体"/>
              <w:spacing w:val="-3"/>
              <w:sz w:val="21"/>
              <w:szCs w:val="21"/>
            </w:rPr>
            <w:t>缺陷责任与保修责任</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400AFACF">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"bookmark162" </w:instrText>
          </w:r>
          <w:r>
            <w:fldChar w:fldCharType="separate"/>
          </w:r>
          <w:r>
            <w:rPr>
              <w:rFonts w:ascii="Times New Roman" w:hAnsi="Times New Roman" w:eastAsia="Times New Roman" w:cs="Times New Roman"/>
              <w:sz w:val="21"/>
              <w:szCs w:val="21"/>
            </w:rPr>
            <w:t xml:space="preserve">19.1  </w:t>
          </w:r>
          <w:r>
            <w:rPr>
              <w:rFonts w:ascii="黑体" w:hAnsi="黑体" w:eastAsia="黑体" w:cs="黑体"/>
              <w:sz w:val="21"/>
              <w:szCs w:val="21"/>
            </w:rPr>
            <w:t>缺陷责任期的起算时间</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03194C90">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"bookmark163" </w:instrText>
          </w:r>
          <w:r>
            <w:fldChar w:fldCharType="separate"/>
          </w:r>
          <w:r>
            <w:rPr>
              <w:rFonts w:ascii="Times New Roman" w:hAnsi="Times New Roman" w:eastAsia="Times New Roman" w:cs="Times New Roman"/>
              <w:spacing w:val="-3"/>
              <w:sz w:val="21"/>
              <w:szCs w:val="21"/>
            </w:rPr>
            <w:t>19.2</w:t>
          </w:r>
          <w:r>
            <w:rPr>
              <w:rFonts w:ascii="Times New Roman" w:hAnsi="Times New Roman" w:eastAsia="Times New Roman" w:cs="Times New Roman"/>
              <w:spacing w:val="11"/>
              <w:sz w:val="21"/>
              <w:szCs w:val="21"/>
            </w:rPr>
            <w:t xml:space="preserve">  </w:t>
          </w:r>
          <w:r>
            <w:rPr>
              <w:rFonts w:ascii="黑体" w:hAnsi="黑体" w:eastAsia="黑体" w:cs="黑体"/>
              <w:spacing w:val="-3"/>
              <w:sz w:val="21"/>
              <w:szCs w:val="21"/>
            </w:rPr>
            <w:t>缺陷责任</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5CCC746D">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"bookmark164" </w:instrText>
          </w:r>
          <w:r>
            <w:fldChar w:fldCharType="separate"/>
          </w:r>
          <w:r>
            <w:rPr>
              <w:rFonts w:ascii="Times New Roman" w:hAnsi="Times New Roman" w:eastAsia="Times New Roman" w:cs="Times New Roman"/>
              <w:spacing w:val="-2"/>
              <w:sz w:val="21"/>
              <w:szCs w:val="21"/>
            </w:rPr>
            <w:t>19.3</w:t>
          </w:r>
          <w:r>
            <w:rPr>
              <w:rFonts w:ascii="Times New Roman" w:hAnsi="Times New Roman" w:eastAsia="Times New Roman" w:cs="Times New Roman"/>
              <w:spacing w:val="12"/>
              <w:sz w:val="21"/>
              <w:szCs w:val="21"/>
            </w:rPr>
            <w:t xml:space="preserve">  </w:t>
          </w:r>
          <w:r>
            <w:rPr>
              <w:rFonts w:ascii="黑体" w:hAnsi="黑体" w:eastAsia="黑体" w:cs="黑体"/>
              <w:spacing w:val="-2"/>
              <w:sz w:val="21"/>
              <w:szCs w:val="21"/>
            </w:rPr>
            <w:t>缺陷责任期的延长</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0ED3F0F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"bookmark165" </w:instrText>
          </w:r>
          <w:r>
            <w:fldChar w:fldCharType="separate"/>
          </w:r>
          <w:r>
            <w:rPr>
              <w:rFonts w:ascii="Times New Roman" w:hAnsi="Times New Roman" w:eastAsia="Times New Roman" w:cs="Times New Roman"/>
              <w:spacing w:val="-2"/>
              <w:sz w:val="21"/>
              <w:szCs w:val="21"/>
            </w:rPr>
            <w:t>19.4</w:t>
          </w:r>
          <w:r>
            <w:rPr>
              <w:rFonts w:ascii="Times New Roman" w:hAnsi="Times New Roman" w:eastAsia="Times New Roman" w:cs="Times New Roman"/>
              <w:spacing w:val="13"/>
              <w:w w:val="101"/>
              <w:sz w:val="21"/>
              <w:szCs w:val="21"/>
            </w:rPr>
            <w:t xml:space="preserve">  </w:t>
          </w:r>
          <w:r>
            <w:rPr>
              <w:rFonts w:ascii="黑体" w:hAnsi="黑体" w:eastAsia="黑体" w:cs="黑体"/>
              <w:spacing w:val="-2"/>
              <w:sz w:val="21"/>
              <w:szCs w:val="21"/>
            </w:rPr>
            <w:t>进一步试验和试运行</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30143A70">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"bookmark166" </w:instrText>
          </w:r>
          <w:r>
            <w:fldChar w:fldCharType="separate"/>
          </w:r>
          <w:r>
            <w:rPr>
              <w:rFonts w:ascii="Times New Roman" w:hAnsi="Times New Roman" w:eastAsia="Times New Roman" w:cs="Times New Roman"/>
              <w:spacing w:val="-2"/>
              <w:sz w:val="21"/>
              <w:szCs w:val="21"/>
            </w:rPr>
            <w:t>19.5</w:t>
          </w:r>
          <w:r>
            <w:rPr>
              <w:rFonts w:ascii="Times New Roman" w:hAnsi="Times New Roman" w:eastAsia="Times New Roman" w:cs="Times New Roman"/>
              <w:spacing w:val="11"/>
              <w:sz w:val="21"/>
              <w:szCs w:val="21"/>
            </w:rPr>
            <w:t xml:space="preserve">  </w:t>
          </w:r>
          <w:r>
            <w:rPr>
              <w:rFonts w:ascii="黑体" w:hAnsi="黑体" w:eastAsia="黑体" w:cs="黑体"/>
              <w:spacing w:val="-2"/>
              <w:sz w:val="21"/>
              <w:szCs w:val="21"/>
            </w:rPr>
            <w:t>承包人的进入权</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73FB0347">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"bookmark167" </w:instrText>
          </w:r>
          <w:r>
            <w:fldChar w:fldCharType="separate"/>
          </w:r>
          <w:r>
            <w:rPr>
              <w:rFonts w:ascii="Times New Roman" w:hAnsi="Times New Roman" w:eastAsia="Times New Roman" w:cs="Times New Roman"/>
              <w:sz w:val="21"/>
              <w:szCs w:val="21"/>
            </w:rPr>
            <w:t xml:space="preserve">19.6  </w:t>
          </w:r>
          <w:r>
            <w:rPr>
              <w:rFonts w:ascii="黑体" w:hAnsi="黑体" w:eastAsia="黑体" w:cs="黑体"/>
              <w:sz w:val="21"/>
              <w:szCs w:val="21"/>
            </w:rPr>
            <w:t>缺陷责任期终止证书</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448F4D4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"bookmark168" </w:instrText>
          </w:r>
          <w:r>
            <w:fldChar w:fldCharType="separate"/>
          </w:r>
          <w:r>
            <w:rPr>
              <w:rFonts w:ascii="Times New Roman" w:hAnsi="Times New Roman" w:eastAsia="Times New Roman" w:cs="Times New Roman"/>
              <w:spacing w:val="-3"/>
              <w:sz w:val="21"/>
              <w:szCs w:val="21"/>
            </w:rPr>
            <w:t>19.7</w:t>
          </w:r>
          <w:r>
            <w:rPr>
              <w:rFonts w:ascii="Times New Roman" w:hAnsi="Times New Roman" w:eastAsia="Times New Roman" w:cs="Times New Roman"/>
              <w:spacing w:val="11"/>
              <w:sz w:val="21"/>
              <w:szCs w:val="21"/>
            </w:rPr>
            <w:t xml:space="preserve">  </w:t>
          </w:r>
          <w:r>
            <w:rPr>
              <w:rFonts w:ascii="黑体" w:hAnsi="黑体" w:eastAsia="黑体" w:cs="黑体"/>
              <w:spacing w:val="-3"/>
              <w:sz w:val="21"/>
              <w:szCs w:val="21"/>
            </w:rPr>
            <w:t>保修责任</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2208BC31">
          <w:pPr>
            <w:tabs>
              <w:tab w:val="right" w:leader="dot" w:pos="8322"/>
            </w:tabs>
            <w:spacing w:before="67" w:line="205" w:lineRule="auto"/>
            <w:ind w:left="440"/>
            <w:rPr>
              <w:rFonts w:ascii="Calibri" w:hAnsi="Calibri" w:eastAsia="Calibri" w:cs="Calibri"/>
              <w:sz w:val="21"/>
              <w:szCs w:val="21"/>
            </w:rPr>
          </w:pPr>
          <w:r>
            <w:fldChar w:fldCharType="begin"/>
          </w:r>
          <w:r>
            <w:instrText xml:space="preserve"> HYPERLINK \l "bookmark169" </w:instrText>
          </w:r>
          <w:r>
            <w:fldChar w:fldCharType="separate"/>
          </w:r>
          <w:r>
            <w:rPr>
              <w:rFonts w:ascii="Times New Roman" w:hAnsi="Times New Roman" w:eastAsia="Times New Roman" w:cs="Times New Roman"/>
              <w:spacing w:val="-3"/>
              <w:sz w:val="21"/>
              <w:szCs w:val="21"/>
            </w:rPr>
            <w:t>20.</w:t>
          </w:r>
          <w:r>
            <w:rPr>
              <w:rFonts w:ascii="Times New Roman" w:hAnsi="Times New Roman" w:eastAsia="Times New Roman" w:cs="Times New Roman"/>
              <w:spacing w:val="16"/>
              <w:w w:val="101"/>
              <w:sz w:val="21"/>
              <w:szCs w:val="21"/>
            </w:rPr>
            <w:t xml:space="preserve">  </w:t>
          </w:r>
          <w:r>
            <w:rPr>
              <w:rFonts w:ascii="黑体" w:hAnsi="黑体" w:eastAsia="黑体" w:cs="黑体"/>
              <w:spacing w:val="-3"/>
              <w:sz w:val="21"/>
              <w:szCs w:val="21"/>
            </w:rPr>
            <w:t>保险</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4D1E632F">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"bookmark170" </w:instrText>
          </w:r>
          <w:r>
            <w:fldChar w:fldCharType="separate"/>
          </w:r>
          <w:r>
            <w:rPr>
              <w:rFonts w:ascii="Times New Roman" w:hAnsi="Times New Roman" w:eastAsia="Times New Roman" w:cs="Times New Roman"/>
              <w:spacing w:val="-1"/>
              <w:sz w:val="21"/>
              <w:szCs w:val="21"/>
            </w:rPr>
            <w:t>20.1</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工程保险</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20740BA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"bookmark171" </w:instrText>
          </w:r>
          <w:r>
            <w:fldChar w:fldCharType="separate"/>
          </w:r>
          <w:r>
            <w:rPr>
              <w:rFonts w:ascii="Times New Roman" w:hAnsi="Times New Roman" w:eastAsia="Times New Roman" w:cs="Times New Roman"/>
              <w:spacing w:val="-1"/>
              <w:sz w:val="21"/>
              <w:szCs w:val="21"/>
            </w:rPr>
            <w:t>20.2</w:t>
          </w:r>
          <w:r>
            <w:rPr>
              <w:rFonts w:ascii="Times New Roman" w:hAnsi="Times New Roman" w:eastAsia="Times New Roman" w:cs="Times New Roman"/>
              <w:spacing w:val="17"/>
              <w:sz w:val="21"/>
              <w:szCs w:val="21"/>
            </w:rPr>
            <w:t xml:space="preserve">  </w:t>
          </w:r>
          <w:r>
            <w:rPr>
              <w:rFonts w:ascii="黑体" w:hAnsi="黑体" w:eastAsia="黑体" w:cs="黑体"/>
              <w:spacing w:val="-1"/>
              <w:sz w:val="21"/>
              <w:szCs w:val="21"/>
            </w:rPr>
            <w:t>人员工伤事故的保险</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751FFAC9">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"bookmark172" </w:instrText>
          </w:r>
          <w:r>
            <w:fldChar w:fldCharType="separate"/>
          </w:r>
          <w:r>
            <w:rPr>
              <w:rFonts w:ascii="Times New Roman" w:hAnsi="Times New Roman" w:eastAsia="Times New Roman" w:cs="Times New Roman"/>
              <w:spacing w:val="-1"/>
              <w:sz w:val="21"/>
              <w:szCs w:val="21"/>
            </w:rPr>
            <w:t>20.3</w:t>
          </w:r>
          <w:r>
            <w:rPr>
              <w:rFonts w:ascii="Times New Roman" w:hAnsi="Times New Roman" w:eastAsia="Times New Roman" w:cs="Times New Roman"/>
              <w:spacing w:val="15"/>
              <w:w w:val="101"/>
              <w:sz w:val="21"/>
              <w:szCs w:val="21"/>
            </w:rPr>
            <w:t xml:space="preserve">  </w:t>
          </w:r>
          <w:r>
            <w:rPr>
              <w:rFonts w:ascii="黑体" w:hAnsi="黑体" w:eastAsia="黑体" w:cs="黑体"/>
              <w:spacing w:val="-1"/>
              <w:sz w:val="21"/>
              <w:szCs w:val="21"/>
            </w:rPr>
            <w:t>人身意外伤害险</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5974F251">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"bookmark173" </w:instrText>
          </w:r>
          <w:r>
            <w:fldChar w:fldCharType="separate"/>
          </w:r>
          <w:r>
            <w:rPr>
              <w:rFonts w:ascii="Times New Roman" w:hAnsi="Times New Roman" w:eastAsia="Times New Roman" w:cs="Times New Roman"/>
              <w:spacing w:val="-1"/>
              <w:sz w:val="21"/>
              <w:szCs w:val="21"/>
            </w:rPr>
            <w:t>20.4</w:t>
          </w:r>
          <w:r>
            <w:rPr>
              <w:rFonts w:ascii="Times New Roman" w:hAnsi="Times New Roman" w:eastAsia="Times New Roman" w:cs="Times New Roman"/>
              <w:spacing w:val="14"/>
              <w:w w:val="101"/>
              <w:sz w:val="21"/>
              <w:szCs w:val="21"/>
            </w:rPr>
            <w:t xml:space="preserve">  </w:t>
          </w:r>
          <w:r>
            <w:rPr>
              <w:rFonts w:ascii="黑体" w:hAnsi="黑体" w:eastAsia="黑体" w:cs="黑体"/>
              <w:spacing w:val="-1"/>
              <w:sz w:val="21"/>
              <w:szCs w:val="21"/>
            </w:rPr>
            <w:t>第三者责任险</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291E641D">
          <w:pPr>
            <w:tabs>
              <w:tab w:val="right" w:leader="dot" w:pos="8322"/>
            </w:tabs>
            <w:spacing w:before="66"/>
            <w:ind w:left="861"/>
            <w:rPr>
              <w:rFonts w:ascii="Calibri" w:hAnsi="Calibri" w:eastAsia="Calibri" w:cs="Calibri"/>
              <w:sz w:val="21"/>
              <w:szCs w:val="21"/>
            </w:rPr>
          </w:pPr>
          <w:r>
            <w:fldChar w:fldCharType="begin"/>
          </w:r>
          <w:r>
            <w:instrText xml:space="preserve"> HYPERLINK \l "bookmark174" </w:instrText>
          </w:r>
          <w:r>
            <w:fldChar w:fldCharType="separate"/>
          </w:r>
          <w:r>
            <w:rPr>
              <w:rFonts w:ascii="Times New Roman" w:hAnsi="Times New Roman" w:eastAsia="Times New Roman" w:cs="Times New Roman"/>
              <w:spacing w:val="-1"/>
              <w:sz w:val="21"/>
              <w:szCs w:val="21"/>
            </w:rPr>
            <w:t>20.5</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其他保险</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sdtContent>
    </w:sdt>
    <w:p w14:paraId="15ACEB0D">
      <w:pPr>
        <w:rPr>
          <w:rFonts w:ascii="Calibri" w:hAnsi="Calibri" w:eastAsia="Calibri" w:cs="Calibri"/>
          <w:sz w:val="21"/>
          <w:szCs w:val="21"/>
        </w:rPr>
        <w:sectPr>
          <w:footerReference r:id="rId8"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59858"/>
        <w:docPartObj>
          <w:docPartGallery w:val="Table of Contents"/>
          <w:docPartUnique/>
        </w:docPartObj>
      </w:sdtPr>
      <w:sdtEndPr>
        <w:rPr>
          <w:rFonts w:ascii="Calibri" w:hAnsi="Calibri" w:eastAsia="Calibri" w:cs="Calibri"/>
          <w:sz w:val="21"/>
          <w:szCs w:val="21"/>
        </w:rPr>
      </w:sdtEndPr>
      <w:sdtContent>
        <w:p w14:paraId="463401AE">
          <w:pPr>
            <w:tabs>
              <w:tab w:val="right" w:leader="dot" w:pos="8322"/>
            </w:tabs>
            <w:spacing w:before="54" w:line="205" w:lineRule="auto"/>
            <w:ind w:left="861"/>
            <w:rPr>
              <w:rFonts w:ascii="Calibri" w:hAnsi="Calibri" w:eastAsia="Calibri" w:cs="Calibri"/>
              <w:sz w:val="21"/>
              <w:szCs w:val="21"/>
            </w:rPr>
          </w:pPr>
          <w:r>
            <w:fldChar w:fldCharType="begin"/>
          </w:r>
          <w:r>
            <w:instrText xml:space="preserve"> HYPERLINK \l "bookmark175" </w:instrText>
          </w:r>
          <w:r>
            <w:fldChar w:fldCharType="separate"/>
          </w:r>
          <w:r>
            <w:rPr>
              <w:rFonts w:ascii="Times New Roman" w:hAnsi="Times New Roman" w:eastAsia="Times New Roman" w:cs="Times New Roman"/>
              <w:spacing w:val="1"/>
              <w:sz w:val="21"/>
              <w:szCs w:val="21"/>
            </w:rPr>
            <w:t xml:space="preserve">20.6  </w:t>
          </w:r>
          <w:r>
            <w:rPr>
              <w:rFonts w:ascii="黑体" w:hAnsi="黑体" w:eastAsia="黑体" w:cs="黑体"/>
              <w:spacing w:val="1"/>
              <w:sz w:val="21"/>
              <w:szCs w:val="21"/>
            </w:rPr>
            <w:t>对各项保险的一般要求</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2BE27B95">
          <w:pPr>
            <w:tabs>
              <w:tab w:val="right" w:leader="dot" w:pos="8322"/>
            </w:tabs>
            <w:spacing w:before="82" w:line="205" w:lineRule="auto"/>
            <w:ind w:left="440"/>
            <w:rPr>
              <w:rFonts w:ascii="Calibri" w:hAnsi="Calibri" w:eastAsia="Calibri" w:cs="Calibri"/>
              <w:sz w:val="21"/>
              <w:szCs w:val="21"/>
            </w:rPr>
          </w:pPr>
          <w:r>
            <w:fldChar w:fldCharType="begin"/>
          </w:r>
          <w:r>
            <w:instrText xml:space="preserve"> HYPERLINK \l "bookmark176" </w:instrText>
          </w:r>
          <w:r>
            <w:fldChar w:fldCharType="separate"/>
          </w:r>
          <w:r>
            <w:rPr>
              <w:rFonts w:ascii="Times New Roman" w:hAnsi="Times New Roman" w:eastAsia="Times New Roman" w:cs="Times New Roman"/>
              <w:spacing w:val="-2"/>
              <w:sz w:val="21"/>
              <w:szCs w:val="21"/>
            </w:rPr>
            <w:t>21.</w:t>
          </w:r>
          <w:r>
            <w:rPr>
              <w:rFonts w:ascii="Times New Roman" w:hAnsi="Times New Roman" w:eastAsia="Times New Roman" w:cs="Times New Roman"/>
              <w:spacing w:val="16"/>
              <w:w w:val="101"/>
              <w:sz w:val="21"/>
              <w:szCs w:val="21"/>
            </w:rPr>
            <w:t xml:space="preserve">  </w:t>
          </w:r>
          <w:r>
            <w:rPr>
              <w:rFonts w:ascii="黑体" w:hAnsi="黑体" w:eastAsia="黑体" w:cs="黑体"/>
              <w:spacing w:val="-2"/>
              <w:sz w:val="21"/>
              <w:szCs w:val="21"/>
            </w:rPr>
            <w:t>不可抗力</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05C84B63">
          <w:pPr>
            <w:tabs>
              <w:tab w:val="right" w:leader="dot" w:pos="8322"/>
            </w:tabs>
            <w:spacing w:before="81" w:line="205" w:lineRule="auto"/>
            <w:ind w:left="861"/>
            <w:rPr>
              <w:rFonts w:ascii="Calibri" w:hAnsi="Calibri" w:eastAsia="Calibri" w:cs="Calibri"/>
              <w:sz w:val="21"/>
              <w:szCs w:val="21"/>
            </w:rPr>
          </w:pPr>
          <w:r>
            <w:fldChar w:fldCharType="begin"/>
          </w:r>
          <w:r>
            <w:instrText xml:space="preserve"> HYPERLINK \l "bookmark177" </w:instrText>
          </w:r>
          <w:r>
            <w:fldChar w:fldCharType="separate"/>
          </w:r>
          <w:r>
            <w:rPr>
              <w:rFonts w:ascii="Times New Roman" w:hAnsi="Times New Roman" w:eastAsia="Times New Roman" w:cs="Times New Roman"/>
              <w:spacing w:val="-1"/>
              <w:sz w:val="21"/>
              <w:szCs w:val="21"/>
            </w:rPr>
            <w:t>21.1</w:t>
          </w:r>
          <w:r>
            <w:rPr>
              <w:rFonts w:ascii="Times New Roman" w:hAnsi="Times New Roman" w:eastAsia="Times New Roman" w:cs="Times New Roman"/>
              <w:spacing w:val="15"/>
              <w:w w:val="101"/>
              <w:sz w:val="21"/>
              <w:szCs w:val="21"/>
            </w:rPr>
            <w:t xml:space="preserve">  </w:t>
          </w:r>
          <w:r>
            <w:rPr>
              <w:rFonts w:ascii="黑体" w:hAnsi="黑体" w:eastAsia="黑体" w:cs="黑体"/>
              <w:spacing w:val="-1"/>
              <w:sz w:val="21"/>
              <w:szCs w:val="21"/>
            </w:rPr>
            <w:t>不可抗力的确认</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40BEBC3B">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"bookmark178" </w:instrText>
          </w:r>
          <w:r>
            <w:fldChar w:fldCharType="separate"/>
          </w:r>
          <w:r>
            <w:rPr>
              <w:rFonts w:ascii="Times New Roman" w:hAnsi="Times New Roman" w:eastAsia="Times New Roman" w:cs="Times New Roman"/>
              <w:spacing w:val="-1"/>
              <w:sz w:val="21"/>
              <w:szCs w:val="21"/>
            </w:rPr>
            <w:t>21.2</w:t>
          </w:r>
          <w:r>
            <w:rPr>
              <w:rFonts w:ascii="Times New Roman" w:hAnsi="Times New Roman" w:eastAsia="Times New Roman" w:cs="Times New Roman"/>
              <w:spacing w:val="15"/>
              <w:w w:val="101"/>
              <w:sz w:val="21"/>
              <w:szCs w:val="21"/>
            </w:rPr>
            <w:t xml:space="preserve">  </w:t>
          </w:r>
          <w:r>
            <w:rPr>
              <w:rFonts w:ascii="黑体" w:hAnsi="黑体" w:eastAsia="黑体" w:cs="黑体"/>
              <w:spacing w:val="-1"/>
              <w:sz w:val="21"/>
              <w:szCs w:val="21"/>
            </w:rPr>
            <w:t>不可抗力的通知</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0A35A425">
          <w:pPr>
            <w:tabs>
              <w:tab w:val="right" w:leader="dot" w:pos="8322"/>
            </w:tabs>
            <w:spacing w:before="81" w:line="205" w:lineRule="auto"/>
            <w:ind w:left="861"/>
            <w:rPr>
              <w:rFonts w:ascii="Calibri" w:hAnsi="Calibri" w:eastAsia="Calibri" w:cs="Calibri"/>
              <w:sz w:val="21"/>
              <w:szCs w:val="21"/>
            </w:rPr>
          </w:pPr>
          <w:r>
            <w:fldChar w:fldCharType="begin"/>
          </w:r>
          <w:r>
            <w:instrText xml:space="preserve"> HYPERLINK \l "bookmark179" </w:instrText>
          </w:r>
          <w:r>
            <w:fldChar w:fldCharType="separate"/>
          </w:r>
          <w:r>
            <w:rPr>
              <w:rFonts w:ascii="Times New Roman" w:hAnsi="Times New Roman" w:eastAsia="Times New Roman" w:cs="Times New Roman"/>
              <w:spacing w:val="-1"/>
              <w:sz w:val="21"/>
              <w:szCs w:val="21"/>
            </w:rPr>
            <w:t>21.3</w:t>
          </w:r>
          <w:r>
            <w:rPr>
              <w:rFonts w:ascii="Times New Roman" w:hAnsi="Times New Roman" w:eastAsia="Times New Roman" w:cs="Times New Roman"/>
              <w:spacing w:val="17"/>
              <w:w w:val="101"/>
              <w:sz w:val="21"/>
              <w:szCs w:val="21"/>
            </w:rPr>
            <w:t xml:space="preserve">  </w:t>
          </w:r>
          <w:r>
            <w:rPr>
              <w:rFonts w:ascii="黑体" w:hAnsi="黑体" w:eastAsia="黑体" w:cs="黑体"/>
              <w:spacing w:val="-1"/>
              <w:sz w:val="21"/>
              <w:szCs w:val="21"/>
            </w:rPr>
            <w:t>不可抗力后果及其处理</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86</w:t>
          </w:r>
          <w:r>
            <w:rPr>
              <w:rFonts w:ascii="Calibri" w:hAnsi="Calibri" w:eastAsia="Calibri" w:cs="Calibri"/>
              <w:spacing w:val="-3"/>
              <w:sz w:val="21"/>
              <w:szCs w:val="21"/>
            </w:rPr>
            <w:fldChar w:fldCharType="end"/>
          </w:r>
        </w:p>
        <w:p w14:paraId="284FC7FD">
          <w:pPr>
            <w:tabs>
              <w:tab w:val="right" w:leader="dot" w:pos="8322"/>
            </w:tabs>
            <w:spacing w:before="82" w:line="205" w:lineRule="auto"/>
            <w:ind w:left="440"/>
            <w:rPr>
              <w:rFonts w:ascii="Calibri" w:hAnsi="Calibri" w:eastAsia="Calibri" w:cs="Calibri"/>
              <w:sz w:val="21"/>
              <w:szCs w:val="21"/>
            </w:rPr>
          </w:pPr>
          <w:r>
            <w:fldChar w:fldCharType="begin"/>
          </w:r>
          <w:r>
            <w:instrText xml:space="preserve"> HYPERLINK \l "bookmark180" </w:instrText>
          </w:r>
          <w:r>
            <w:fldChar w:fldCharType="separate"/>
          </w:r>
          <w:r>
            <w:rPr>
              <w:rFonts w:ascii="Times New Roman" w:hAnsi="Times New Roman" w:eastAsia="Times New Roman" w:cs="Times New Roman"/>
              <w:spacing w:val="-3"/>
              <w:sz w:val="21"/>
              <w:szCs w:val="21"/>
            </w:rPr>
            <w:t>22.</w:t>
          </w:r>
          <w:r>
            <w:rPr>
              <w:rFonts w:ascii="Times New Roman" w:hAnsi="Times New Roman" w:eastAsia="Times New Roman" w:cs="Times New Roman"/>
              <w:spacing w:val="16"/>
              <w:w w:val="101"/>
              <w:sz w:val="21"/>
              <w:szCs w:val="21"/>
            </w:rPr>
            <w:t xml:space="preserve">  </w:t>
          </w:r>
          <w:r>
            <w:rPr>
              <w:rFonts w:ascii="黑体" w:hAnsi="黑体" w:eastAsia="黑体" w:cs="黑体"/>
              <w:spacing w:val="-3"/>
              <w:sz w:val="21"/>
              <w:szCs w:val="21"/>
            </w:rPr>
            <w:t>违约</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86</w:t>
          </w:r>
          <w:r>
            <w:rPr>
              <w:rFonts w:ascii="Calibri" w:hAnsi="Calibri" w:eastAsia="Calibri" w:cs="Calibri"/>
              <w:spacing w:val="-3"/>
              <w:sz w:val="21"/>
              <w:szCs w:val="21"/>
            </w:rPr>
            <w:fldChar w:fldCharType="end"/>
          </w:r>
        </w:p>
        <w:p w14:paraId="55A5CED1">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"bookmark181" </w:instrText>
          </w:r>
          <w:r>
            <w:fldChar w:fldCharType="separate"/>
          </w:r>
          <w:r>
            <w:rPr>
              <w:rFonts w:ascii="Times New Roman" w:hAnsi="Times New Roman" w:eastAsia="Times New Roman" w:cs="Times New Roman"/>
              <w:spacing w:val="-1"/>
              <w:sz w:val="21"/>
              <w:szCs w:val="21"/>
            </w:rPr>
            <w:t>22.1</w:t>
          </w:r>
          <w:r>
            <w:rPr>
              <w:rFonts w:ascii="Times New Roman" w:hAnsi="Times New Roman" w:eastAsia="Times New Roman" w:cs="Times New Roman"/>
              <w:spacing w:val="14"/>
              <w:sz w:val="21"/>
              <w:szCs w:val="21"/>
            </w:rPr>
            <w:t xml:space="preserve">  </w:t>
          </w:r>
          <w:r>
            <w:rPr>
              <w:rFonts w:ascii="黑体" w:hAnsi="黑体" w:eastAsia="黑体" w:cs="黑体"/>
              <w:spacing w:val="-1"/>
              <w:sz w:val="21"/>
              <w:szCs w:val="21"/>
            </w:rPr>
            <w:t>承包人违约</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86</w:t>
          </w:r>
          <w:r>
            <w:rPr>
              <w:rFonts w:ascii="Calibri" w:hAnsi="Calibri" w:eastAsia="Calibri" w:cs="Calibri"/>
              <w:spacing w:val="-3"/>
              <w:sz w:val="21"/>
              <w:szCs w:val="21"/>
            </w:rPr>
            <w:fldChar w:fldCharType="end"/>
          </w:r>
        </w:p>
        <w:p w14:paraId="45E78649">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"bookmark182" </w:instrText>
          </w:r>
          <w:r>
            <w:fldChar w:fldCharType="separate"/>
          </w:r>
          <w:r>
            <w:rPr>
              <w:rFonts w:ascii="Times New Roman" w:hAnsi="Times New Roman" w:eastAsia="Times New Roman" w:cs="Times New Roman"/>
              <w:spacing w:val="-1"/>
              <w:sz w:val="21"/>
              <w:szCs w:val="21"/>
            </w:rPr>
            <w:t>22.2</w:t>
          </w:r>
          <w:r>
            <w:rPr>
              <w:rFonts w:ascii="Times New Roman" w:hAnsi="Times New Roman" w:eastAsia="Times New Roman" w:cs="Times New Roman"/>
              <w:spacing w:val="14"/>
              <w:sz w:val="21"/>
              <w:szCs w:val="21"/>
            </w:rPr>
            <w:t xml:space="preserve">  </w:t>
          </w:r>
          <w:r>
            <w:rPr>
              <w:rFonts w:ascii="黑体" w:hAnsi="黑体" w:eastAsia="黑体" w:cs="黑体"/>
              <w:spacing w:val="-1"/>
              <w:sz w:val="21"/>
              <w:szCs w:val="21"/>
            </w:rPr>
            <w:t>发包人违约</w:t>
          </w:r>
          <w:r>
            <w:rPr>
              <w:rFonts w:ascii="黑体" w:hAnsi="黑体" w:eastAsia="黑体" w:cs="黑体"/>
              <w:spacing w:val="-75"/>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88</w:t>
          </w:r>
          <w:r>
            <w:rPr>
              <w:rFonts w:ascii="Calibri" w:hAnsi="Calibri" w:eastAsia="Calibri" w:cs="Calibri"/>
              <w:spacing w:val="-3"/>
              <w:sz w:val="21"/>
              <w:szCs w:val="21"/>
            </w:rPr>
            <w:fldChar w:fldCharType="end"/>
          </w:r>
        </w:p>
        <w:p w14:paraId="1EAC32D3">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"bookmark183" </w:instrText>
          </w:r>
          <w:r>
            <w:fldChar w:fldCharType="separate"/>
          </w:r>
          <w:r>
            <w:rPr>
              <w:rFonts w:ascii="Times New Roman" w:hAnsi="Times New Roman" w:eastAsia="Times New Roman" w:cs="Times New Roman"/>
              <w:spacing w:val="-1"/>
              <w:sz w:val="21"/>
              <w:szCs w:val="21"/>
            </w:rPr>
            <w:t>22.3</w:t>
          </w:r>
          <w:r>
            <w:rPr>
              <w:rFonts w:ascii="Times New Roman" w:hAnsi="Times New Roman" w:eastAsia="Times New Roman" w:cs="Times New Roman"/>
              <w:spacing w:val="16"/>
              <w:sz w:val="21"/>
              <w:szCs w:val="21"/>
            </w:rPr>
            <w:t xml:space="preserve">  </w:t>
          </w:r>
          <w:r>
            <w:rPr>
              <w:rFonts w:ascii="黑体" w:hAnsi="黑体" w:eastAsia="黑体" w:cs="黑体"/>
              <w:spacing w:val="-1"/>
              <w:sz w:val="21"/>
              <w:szCs w:val="21"/>
            </w:rPr>
            <w:t>第三人造成的违约</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6AE1DC42">
          <w:pPr>
            <w:tabs>
              <w:tab w:val="right" w:leader="dot" w:pos="8322"/>
            </w:tabs>
            <w:spacing w:before="82" w:line="205" w:lineRule="auto"/>
            <w:ind w:left="440"/>
            <w:rPr>
              <w:rFonts w:ascii="Calibri" w:hAnsi="Calibri" w:eastAsia="Calibri" w:cs="Calibri"/>
              <w:sz w:val="21"/>
              <w:szCs w:val="21"/>
            </w:rPr>
          </w:pPr>
          <w:r>
            <w:fldChar w:fldCharType="begin"/>
          </w:r>
          <w:r>
            <w:instrText xml:space="preserve"> HYPERLINK \l "bookmark184" </w:instrText>
          </w:r>
          <w:r>
            <w:fldChar w:fldCharType="separate"/>
          </w:r>
          <w:r>
            <w:rPr>
              <w:rFonts w:ascii="Times New Roman" w:hAnsi="Times New Roman" w:eastAsia="Times New Roman" w:cs="Times New Roman"/>
              <w:spacing w:val="-4"/>
              <w:sz w:val="21"/>
              <w:szCs w:val="21"/>
            </w:rPr>
            <w:t>23.</w:t>
          </w:r>
          <w:r>
            <w:rPr>
              <w:rFonts w:ascii="Times New Roman" w:hAnsi="Times New Roman" w:eastAsia="Times New Roman" w:cs="Times New Roman"/>
              <w:spacing w:val="19"/>
              <w:sz w:val="21"/>
              <w:szCs w:val="21"/>
            </w:rPr>
            <w:t xml:space="preserve">  </w:t>
          </w:r>
          <w:r>
            <w:rPr>
              <w:rFonts w:ascii="黑体" w:hAnsi="黑体" w:eastAsia="黑体" w:cs="黑体"/>
              <w:spacing w:val="-4"/>
              <w:sz w:val="21"/>
              <w:szCs w:val="21"/>
            </w:rPr>
            <w:t>索赔</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79B8BBF4">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"bookmark185" </w:instrText>
          </w:r>
          <w:r>
            <w:fldChar w:fldCharType="separate"/>
          </w:r>
          <w:r>
            <w:rPr>
              <w:rFonts w:ascii="Times New Roman" w:hAnsi="Times New Roman" w:eastAsia="Times New Roman" w:cs="Times New Roman"/>
              <w:spacing w:val="-1"/>
              <w:sz w:val="21"/>
              <w:szCs w:val="21"/>
            </w:rPr>
            <w:t>23.1</w:t>
          </w:r>
          <w:r>
            <w:rPr>
              <w:rFonts w:ascii="Times New Roman" w:hAnsi="Times New Roman" w:eastAsia="Times New Roman" w:cs="Times New Roman"/>
              <w:spacing w:val="16"/>
              <w:sz w:val="21"/>
              <w:szCs w:val="21"/>
            </w:rPr>
            <w:t xml:space="preserve">  </w:t>
          </w:r>
          <w:r>
            <w:rPr>
              <w:rFonts w:ascii="黑体" w:hAnsi="黑体" w:eastAsia="黑体" w:cs="黑体"/>
              <w:spacing w:val="-1"/>
              <w:sz w:val="21"/>
              <w:szCs w:val="21"/>
            </w:rPr>
            <w:t>承包人索赔的提出</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5D4BE407">
          <w:pPr>
            <w:tabs>
              <w:tab w:val="right" w:leader="dot" w:pos="8322"/>
            </w:tabs>
            <w:spacing w:before="81" w:line="205" w:lineRule="auto"/>
            <w:ind w:left="861"/>
            <w:rPr>
              <w:rFonts w:ascii="Calibri" w:hAnsi="Calibri" w:eastAsia="Calibri" w:cs="Calibri"/>
              <w:sz w:val="21"/>
              <w:szCs w:val="21"/>
            </w:rPr>
          </w:pPr>
          <w:r>
            <w:fldChar w:fldCharType="begin"/>
          </w:r>
          <w:r>
            <w:instrText xml:space="preserve"> HYPERLINK \l "bookmark186" </w:instrText>
          </w:r>
          <w:r>
            <w:fldChar w:fldCharType="separate"/>
          </w:r>
          <w:r>
            <w:rPr>
              <w:rFonts w:ascii="Times New Roman" w:hAnsi="Times New Roman" w:eastAsia="Times New Roman" w:cs="Times New Roman"/>
              <w:spacing w:val="-1"/>
              <w:sz w:val="21"/>
              <w:szCs w:val="21"/>
            </w:rPr>
            <w:t>23.2</w:t>
          </w:r>
          <w:r>
            <w:rPr>
              <w:rFonts w:ascii="Times New Roman" w:hAnsi="Times New Roman" w:eastAsia="Times New Roman" w:cs="Times New Roman"/>
              <w:spacing w:val="17"/>
              <w:sz w:val="21"/>
              <w:szCs w:val="21"/>
            </w:rPr>
            <w:t xml:space="preserve">  </w:t>
          </w:r>
          <w:r>
            <w:rPr>
              <w:rFonts w:ascii="黑体" w:hAnsi="黑体" w:eastAsia="黑体" w:cs="黑体"/>
              <w:spacing w:val="-1"/>
              <w:sz w:val="21"/>
              <w:szCs w:val="21"/>
            </w:rPr>
            <w:t>承包人索赔处理程序</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4A338B22">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"bookmark187" </w:instrText>
          </w:r>
          <w:r>
            <w:fldChar w:fldCharType="separate"/>
          </w:r>
          <w:r>
            <w:rPr>
              <w:rFonts w:ascii="Times New Roman" w:hAnsi="Times New Roman" w:eastAsia="Times New Roman" w:cs="Times New Roman"/>
              <w:spacing w:val="1"/>
              <w:sz w:val="21"/>
              <w:szCs w:val="21"/>
            </w:rPr>
            <w:t xml:space="preserve">23.3  </w:t>
          </w:r>
          <w:r>
            <w:rPr>
              <w:rFonts w:ascii="黑体" w:hAnsi="黑体" w:eastAsia="黑体" w:cs="黑体"/>
              <w:spacing w:val="1"/>
              <w:sz w:val="21"/>
              <w:szCs w:val="21"/>
            </w:rPr>
            <w:t>承包人提出索赔的期限</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7FCFE12C">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"bookmark188" </w:instrText>
          </w:r>
          <w:r>
            <w:fldChar w:fldCharType="separate"/>
          </w:r>
          <w:r>
            <w:rPr>
              <w:rFonts w:ascii="Times New Roman" w:hAnsi="Times New Roman" w:eastAsia="Times New Roman" w:cs="Times New Roman"/>
              <w:spacing w:val="-1"/>
              <w:sz w:val="21"/>
              <w:szCs w:val="21"/>
            </w:rPr>
            <w:t>23.4</w:t>
          </w:r>
          <w:r>
            <w:rPr>
              <w:rFonts w:ascii="Times New Roman" w:hAnsi="Times New Roman" w:eastAsia="Times New Roman" w:cs="Times New Roman"/>
              <w:spacing w:val="14"/>
              <w:w w:val="101"/>
              <w:sz w:val="21"/>
              <w:szCs w:val="21"/>
            </w:rPr>
            <w:t xml:space="preserve">  </w:t>
          </w:r>
          <w:r>
            <w:rPr>
              <w:rFonts w:ascii="黑体" w:hAnsi="黑体" w:eastAsia="黑体" w:cs="黑体"/>
              <w:spacing w:val="-1"/>
              <w:sz w:val="21"/>
              <w:szCs w:val="21"/>
            </w:rPr>
            <w:t>发包人的索赔</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5D104971">
          <w:pPr>
            <w:tabs>
              <w:tab w:val="right" w:leader="dot" w:pos="8322"/>
            </w:tabs>
            <w:spacing w:before="82" w:line="205" w:lineRule="auto"/>
            <w:ind w:left="440"/>
            <w:rPr>
              <w:rFonts w:ascii="Calibri" w:hAnsi="Calibri" w:eastAsia="Calibri" w:cs="Calibri"/>
              <w:sz w:val="21"/>
              <w:szCs w:val="21"/>
            </w:rPr>
          </w:pPr>
          <w:r>
            <w:fldChar w:fldCharType="begin"/>
          </w:r>
          <w:r>
            <w:instrText xml:space="preserve"> HYPERLINK \l "bookmark189" </w:instrText>
          </w:r>
          <w:r>
            <w:fldChar w:fldCharType="separate"/>
          </w:r>
          <w:r>
            <w:rPr>
              <w:rFonts w:ascii="Times New Roman" w:hAnsi="Times New Roman" w:eastAsia="Times New Roman" w:cs="Times New Roman"/>
              <w:spacing w:val="-3"/>
              <w:sz w:val="21"/>
              <w:szCs w:val="21"/>
            </w:rPr>
            <w:t>24.</w:t>
          </w:r>
          <w:r>
            <w:rPr>
              <w:rFonts w:ascii="Times New Roman" w:hAnsi="Times New Roman" w:eastAsia="Times New Roman" w:cs="Times New Roman"/>
              <w:spacing w:val="21"/>
              <w:w w:val="101"/>
              <w:sz w:val="21"/>
              <w:szCs w:val="21"/>
            </w:rPr>
            <w:t xml:space="preserve">  </w:t>
          </w:r>
          <w:r>
            <w:rPr>
              <w:rFonts w:ascii="黑体" w:hAnsi="黑体" w:eastAsia="黑体" w:cs="黑体"/>
              <w:spacing w:val="-3"/>
              <w:sz w:val="21"/>
              <w:szCs w:val="21"/>
            </w:rPr>
            <w:t>争议的解决</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242AD2F9">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"bookmark190" </w:instrText>
          </w:r>
          <w:r>
            <w:fldChar w:fldCharType="separate"/>
          </w:r>
          <w:r>
            <w:rPr>
              <w:rFonts w:ascii="Times New Roman" w:hAnsi="Times New Roman" w:eastAsia="Times New Roman" w:cs="Times New Roman"/>
              <w:spacing w:val="-1"/>
              <w:sz w:val="21"/>
              <w:szCs w:val="21"/>
            </w:rPr>
            <w:t>24.1</w:t>
          </w:r>
          <w:r>
            <w:rPr>
              <w:rFonts w:ascii="Times New Roman" w:hAnsi="Times New Roman" w:eastAsia="Times New Roman" w:cs="Times New Roman"/>
              <w:spacing w:val="15"/>
              <w:w w:val="101"/>
              <w:sz w:val="21"/>
              <w:szCs w:val="21"/>
            </w:rPr>
            <w:t xml:space="preserve">  </w:t>
          </w:r>
          <w:r>
            <w:rPr>
              <w:rFonts w:ascii="黑体" w:hAnsi="黑体" w:eastAsia="黑体" w:cs="黑体"/>
              <w:spacing w:val="-1"/>
              <w:sz w:val="21"/>
              <w:szCs w:val="21"/>
            </w:rPr>
            <w:t>争议的解决方式</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048C1DCB">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"bookmark191" </w:instrText>
          </w:r>
          <w:r>
            <w:fldChar w:fldCharType="separate"/>
          </w:r>
          <w:r>
            <w:rPr>
              <w:rFonts w:ascii="Times New Roman" w:hAnsi="Times New Roman" w:eastAsia="Times New Roman" w:cs="Times New Roman"/>
              <w:spacing w:val="-1"/>
              <w:sz w:val="21"/>
              <w:szCs w:val="21"/>
            </w:rPr>
            <w:t>24.2</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友好解决</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2DA21317">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"bookmark192" </w:instrText>
          </w:r>
          <w:r>
            <w:fldChar w:fldCharType="separate"/>
          </w:r>
          <w:r>
            <w:rPr>
              <w:rFonts w:ascii="Times New Roman" w:hAnsi="Times New Roman" w:eastAsia="Times New Roman" w:cs="Times New Roman"/>
              <w:spacing w:val="-2"/>
              <w:sz w:val="21"/>
              <w:szCs w:val="21"/>
            </w:rPr>
            <w:t>24.3</w:t>
          </w:r>
          <w:r>
            <w:rPr>
              <w:rFonts w:ascii="Times New Roman" w:hAnsi="Times New Roman" w:eastAsia="Times New Roman" w:cs="Times New Roman"/>
              <w:spacing w:val="17"/>
              <w:sz w:val="21"/>
              <w:szCs w:val="21"/>
            </w:rPr>
            <w:t xml:space="preserve">  </w:t>
          </w:r>
          <w:r>
            <w:rPr>
              <w:rFonts w:ascii="黑体" w:hAnsi="黑体" w:eastAsia="黑体" w:cs="黑体"/>
              <w:spacing w:val="-2"/>
              <w:sz w:val="21"/>
              <w:szCs w:val="21"/>
            </w:rPr>
            <w:t>争议评审</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7FEE587E">
          <w:pPr>
            <w:tabs>
              <w:tab w:val="right" w:leader="dot" w:pos="8322"/>
            </w:tabs>
            <w:spacing w:before="67" w:line="205" w:lineRule="auto"/>
            <w:ind w:left="444"/>
            <w:rPr>
              <w:rFonts w:ascii="Calibri" w:hAnsi="Calibri" w:eastAsia="Calibri" w:cs="Calibri"/>
              <w:sz w:val="21"/>
              <w:szCs w:val="21"/>
            </w:rPr>
          </w:pPr>
          <w:r>
            <w:fldChar w:fldCharType="begin"/>
          </w:r>
          <w:r>
            <w:instrText xml:space="preserve"> HYPERLINK \l "bookmark193" </w:instrText>
          </w:r>
          <w:r>
            <w:fldChar w:fldCharType="separate"/>
          </w:r>
          <w:r>
            <w:rPr>
              <w:rFonts w:ascii="黑体" w:hAnsi="黑体" w:eastAsia="黑体" w:cs="黑体"/>
              <w:spacing w:val="-2"/>
              <w:sz w:val="21"/>
              <w:szCs w:val="21"/>
            </w:rPr>
            <w:t>第二节</w:t>
          </w:r>
          <w:r>
            <w:rPr>
              <w:rFonts w:ascii="黑体" w:hAnsi="黑体" w:eastAsia="黑体" w:cs="黑体"/>
              <w:spacing w:val="13"/>
              <w:sz w:val="21"/>
              <w:szCs w:val="21"/>
            </w:rPr>
            <w:t xml:space="preserve">  </w:t>
          </w:r>
          <w:r>
            <w:rPr>
              <w:rFonts w:ascii="黑体" w:hAnsi="黑体" w:eastAsia="黑体" w:cs="黑体"/>
              <w:spacing w:val="-2"/>
              <w:sz w:val="21"/>
              <w:szCs w:val="21"/>
            </w:rPr>
            <w:t>专用合同条款</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92</w:t>
          </w:r>
          <w:r>
            <w:rPr>
              <w:rFonts w:ascii="Calibri" w:hAnsi="Calibri" w:eastAsia="Calibri" w:cs="Calibri"/>
              <w:spacing w:val="-3"/>
              <w:sz w:val="21"/>
              <w:szCs w:val="21"/>
            </w:rPr>
            <w:fldChar w:fldCharType="end"/>
          </w:r>
        </w:p>
        <w:p w14:paraId="45B34469">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"bookmark194" </w:instrText>
          </w:r>
          <w:r>
            <w:fldChar w:fldCharType="separate"/>
          </w:r>
          <w:r>
            <w:rPr>
              <w:rFonts w:ascii="Times New Roman" w:hAnsi="Times New Roman" w:eastAsia="Times New Roman" w:cs="Times New Roman"/>
              <w:spacing w:val="-3"/>
              <w:sz w:val="21"/>
              <w:szCs w:val="21"/>
            </w:rPr>
            <w:t>1.</w:t>
          </w:r>
          <w:r>
            <w:rPr>
              <w:rFonts w:ascii="黑体" w:hAnsi="黑体" w:eastAsia="黑体" w:cs="黑体"/>
              <w:spacing w:val="-3"/>
              <w:sz w:val="21"/>
              <w:szCs w:val="21"/>
            </w:rPr>
            <w:t>一般约定</w:t>
          </w:r>
          <w:r>
            <w:rPr>
              <w:rFonts w:ascii="黑体" w:hAnsi="黑体" w:eastAsia="黑体" w:cs="黑体"/>
              <w:spacing w:val="-74"/>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93</w:t>
          </w:r>
          <w:r>
            <w:rPr>
              <w:rFonts w:ascii="Calibri" w:hAnsi="Calibri" w:eastAsia="Calibri" w:cs="Calibri"/>
              <w:spacing w:val="-3"/>
              <w:sz w:val="21"/>
              <w:szCs w:val="21"/>
            </w:rPr>
            <w:fldChar w:fldCharType="end"/>
          </w:r>
        </w:p>
        <w:p w14:paraId="127B01B5">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"bookmark195" </w:instrText>
          </w:r>
          <w:r>
            <w:fldChar w:fldCharType="separate"/>
          </w:r>
          <w:r>
            <w:rPr>
              <w:rFonts w:ascii="Times New Roman" w:hAnsi="Times New Roman" w:eastAsia="Times New Roman" w:cs="Times New Roman"/>
              <w:spacing w:val="-4"/>
              <w:sz w:val="21"/>
              <w:szCs w:val="21"/>
            </w:rPr>
            <w:t>1.1</w:t>
          </w:r>
          <w:r>
            <w:rPr>
              <w:rFonts w:ascii="Times New Roman" w:hAnsi="Times New Roman" w:eastAsia="Times New Roman" w:cs="Times New Roman"/>
              <w:spacing w:val="19"/>
              <w:sz w:val="21"/>
              <w:szCs w:val="21"/>
            </w:rPr>
            <w:t xml:space="preserve"> </w:t>
          </w:r>
          <w:r>
            <w:rPr>
              <w:rFonts w:ascii="黑体" w:hAnsi="黑体" w:eastAsia="黑体" w:cs="黑体"/>
              <w:spacing w:val="-4"/>
              <w:sz w:val="21"/>
              <w:szCs w:val="21"/>
            </w:rPr>
            <w:t>词语定义</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93</w:t>
          </w:r>
          <w:r>
            <w:rPr>
              <w:rFonts w:ascii="Calibri" w:hAnsi="Calibri" w:eastAsia="Calibri" w:cs="Calibri"/>
              <w:spacing w:val="-3"/>
              <w:sz w:val="21"/>
              <w:szCs w:val="21"/>
            </w:rPr>
            <w:fldChar w:fldCharType="end"/>
          </w:r>
        </w:p>
        <w:p w14:paraId="37CF1D2F">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"bookmark196" </w:instrText>
          </w:r>
          <w:r>
            <w:fldChar w:fldCharType="separate"/>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7"/>
              <w:w w:val="101"/>
              <w:sz w:val="21"/>
              <w:szCs w:val="21"/>
            </w:rPr>
            <w:t xml:space="preserve"> </w:t>
          </w:r>
          <w:r>
            <w:rPr>
              <w:rFonts w:ascii="黑体" w:hAnsi="黑体" w:eastAsia="黑体" w:cs="黑体"/>
              <w:spacing w:val="-2"/>
              <w:sz w:val="21"/>
              <w:szCs w:val="21"/>
            </w:rPr>
            <w:t>合同文件的优先顺序</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586A536D">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"bookmark197" </w:instrText>
          </w:r>
          <w:r>
            <w:fldChar w:fldCharType="separate"/>
          </w:r>
          <w:r>
            <w:rPr>
              <w:rFonts w:ascii="Times New Roman" w:hAnsi="Times New Roman" w:eastAsia="Times New Roman" w:cs="Times New Roman"/>
              <w:spacing w:val="-4"/>
              <w:sz w:val="21"/>
              <w:szCs w:val="21"/>
            </w:rPr>
            <w:t>1.5</w:t>
          </w:r>
          <w:r>
            <w:rPr>
              <w:rFonts w:ascii="Times New Roman" w:hAnsi="Times New Roman" w:eastAsia="Times New Roman" w:cs="Times New Roman"/>
              <w:spacing w:val="23"/>
              <w:w w:val="101"/>
              <w:sz w:val="21"/>
              <w:szCs w:val="21"/>
            </w:rPr>
            <w:t xml:space="preserve"> </w:t>
          </w:r>
          <w:r>
            <w:rPr>
              <w:rFonts w:ascii="黑体" w:hAnsi="黑体" w:eastAsia="黑体" w:cs="黑体"/>
              <w:spacing w:val="-4"/>
              <w:sz w:val="21"/>
              <w:szCs w:val="21"/>
            </w:rPr>
            <w:t>合同协议书</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5DB515A7">
          <w:pPr>
            <w:tabs>
              <w:tab w:val="right" w:leader="dot" w:pos="8322"/>
            </w:tabs>
            <w:spacing w:before="68" w:line="205" w:lineRule="auto"/>
            <w:ind w:left="881"/>
            <w:rPr>
              <w:rFonts w:ascii="Calibri" w:hAnsi="Calibri" w:eastAsia="Calibri" w:cs="Calibri"/>
              <w:sz w:val="21"/>
              <w:szCs w:val="21"/>
            </w:rPr>
          </w:pPr>
          <w:r>
            <w:fldChar w:fldCharType="begin"/>
          </w:r>
          <w:r>
            <w:instrText xml:space="preserve"> HYPERLINK \l "bookmark198" </w:instrText>
          </w:r>
          <w:r>
            <w:fldChar w:fldCharType="separate"/>
          </w:r>
          <w:r>
            <w:rPr>
              <w:rFonts w:ascii="Times New Roman" w:hAnsi="Times New Roman" w:eastAsia="Times New Roman" w:cs="Times New Roman"/>
              <w:spacing w:val="-4"/>
              <w:sz w:val="21"/>
              <w:szCs w:val="21"/>
            </w:rPr>
            <w:t>1.6</w:t>
          </w:r>
          <w:r>
            <w:rPr>
              <w:rFonts w:ascii="Times New Roman" w:hAnsi="Times New Roman" w:eastAsia="Times New Roman" w:cs="Times New Roman"/>
              <w:spacing w:val="37"/>
              <w:sz w:val="21"/>
              <w:szCs w:val="21"/>
            </w:rPr>
            <w:t xml:space="preserve"> </w:t>
          </w:r>
          <w:r>
            <w:rPr>
              <w:rFonts w:ascii="黑体" w:hAnsi="黑体" w:eastAsia="黑体" w:cs="黑体"/>
              <w:spacing w:val="-4"/>
              <w:sz w:val="21"/>
              <w:szCs w:val="21"/>
            </w:rPr>
            <w:t>图纸和承包人文件</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2BC0B707">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"bookmark199" </w:instrText>
          </w:r>
          <w:r>
            <w:fldChar w:fldCharType="separate"/>
          </w:r>
          <w:r>
            <w:rPr>
              <w:rFonts w:ascii="Times New Roman" w:hAnsi="Times New Roman" w:eastAsia="Times New Roman" w:cs="Times New Roman"/>
              <w:spacing w:val="-6"/>
              <w:sz w:val="21"/>
              <w:szCs w:val="21"/>
            </w:rPr>
            <w:t>1.7</w:t>
          </w:r>
          <w:r>
            <w:rPr>
              <w:rFonts w:ascii="Times New Roman" w:hAnsi="Times New Roman" w:eastAsia="Times New Roman" w:cs="Times New Roman"/>
              <w:spacing w:val="20"/>
              <w:sz w:val="21"/>
              <w:szCs w:val="21"/>
            </w:rPr>
            <w:t xml:space="preserve"> </w:t>
          </w:r>
          <w:r>
            <w:rPr>
              <w:rFonts w:ascii="黑体" w:hAnsi="黑体" w:eastAsia="黑体" w:cs="黑体"/>
              <w:spacing w:val="-6"/>
              <w:sz w:val="21"/>
              <w:szCs w:val="21"/>
            </w:rPr>
            <w:t>联络</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95</w:t>
          </w:r>
          <w:r>
            <w:rPr>
              <w:rFonts w:ascii="Calibri" w:hAnsi="Calibri" w:eastAsia="Calibri" w:cs="Calibri"/>
              <w:spacing w:val="-3"/>
              <w:sz w:val="21"/>
              <w:szCs w:val="21"/>
            </w:rPr>
            <w:fldChar w:fldCharType="end"/>
          </w:r>
        </w:p>
        <w:p w14:paraId="204B350D">
          <w:pPr>
            <w:tabs>
              <w:tab w:val="right" w:leader="dot" w:pos="8322"/>
            </w:tabs>
            <w:spacing w:before="83" w:line="205" w:lineRule="auto"/>
            <w:ind w:left="440"/>
            <w:rPr>
              <w:rFonts w:ascii="Calibri" w:hAnsi="Calibri" w:eastAsia="Calibri" w:cs="Calibri"/>
              <w:sz w:val="21"/>
              <w:szCs w:val="21"/>
            </w:rPr>
          </w:pPr>
          <w:r>
            <w:fldChar w:fldCharType="begin"/>
          </w:r>
          <w:r>
            <w:instrText xml:space="preserve"> HYPERLINK \l "bookmark200" </w:instrText>
          </w:r>
          <w:r>
            <w:fldChar w:fldCharType="separate"/>
          </w:r>
          <w:r>
            <w:rPr>
              <w:rFonts w:ascii="Times New Roman" w:hAnsi="Times New Roman" w:eastAsia="Times New Roman" w:cs="Times New Roman"/>
              <w:sz w:val="21"/>
              <w:szCs w:val="21"/>
            </w:rPr>
            <w:t>2.</w:t>
          </w:r>
          <w:r>
            <w:rPr>
              <w:rFonts w:ascii="黑体" w:hAnsi="黑体" w:eastAsia="黑体" w:cs="黑体"/>
              <w:sz w:val="21"/>
              <w:szCs w:val="21"/>
            </w:rPr>
            <w:t>发包人义务</w:t>
          </w:r>
          <w:r>
            <w:rPr>
              <w:rFonts w:ascii="黑体" w:hAnsi="黑体" w:eastAsia="黑体" w:cs="黑体"/>
              <w:spacing w:val="-41"/>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37DAA48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"bookmark201" </w:instrText>
          </w:r>
          <w:r>
            <w:fldChar w:fldCharType="separate"/>
          </w:r>
          <w:r>
            <w:rPr>
              <w:rFonts w:ascii="Times New Roman" w:hAnsi="Times New Roman" w:eastAsia="Times New Roman" w:cs="Times New Roman"/>
              <w:spacing w:val="-1"/>
              <w:sz w:val="21"/>
              <w:szCs w:val="21"/>
            </w:rPr>
            <w:t>2.3</w:t>
          </w:r>
          <w:r>
            <w:rPr>
              <w:rFonts w:ascii="Times New Roman" w:hAnsi="Times New Roman" w:eastAsia="Times New Roman" w:cs="Times New Roman"/>
              <w:spacing w:val="21"/>
              <w:sz w:val="21"/>
              <w:szCs w:val="21"/>
            </w:rPr>
            <w:t xml:space="preserve"> </w:t>
          </w:r>
          <w:r>
            <w:rPr>
              <w:rFonts w:ascii="黑体" w:hAnsi="黑体" w:eastAsia="黑体" w:cs="黑体"/>
              <w:spacing w:val="-1"/>
              <w:sz w:val="21"/>
              <w:szCs w:val="21"/>
            </w:rPr>
            <w:t>提供施工场地</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3B4D6F7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"bookmark202" </w:instrText>
          </w:r>
          <w:r>
            <w:fldChar w:fldCharType="separate"/>
          </w:r>
          <w:r>
            <w:rPr>
              <w:rFonts w:ascii="Times New Roman" w:hAnsi="Times New Roman" w:eastAsia="Times New Roman" w:cs="Times New Roman"/>
              <w:spacing w:val="-1"/>
              <w:sz w:val="21"/>
              <w:szCs w:val="21"/>
            </w:rPr>
            <w:t>2.5</w:t>
          </w:r>
          <w:r>
            <w:rPr>
              <w:rFonts w:ascii="Times New Roman" w:hAnsi="Times New Roman" w:eastAsia="Times New Roman" w:cs="Times New Roman"/>
              <w:spacing w:val="21"/>
              <w:sz w:val="21"/>
              <w:szCs w:val="21"/>
            </w:rPr>
            <w:t xml:space="preserve"> </w:t>
          </w:r>
          <w:r>
            <w:rPr>
              <w:rFonts w:ascii="黑体" w:hAnsi="黑体" w:eastAsia="黑体" w:cs="黑体"/>
              <w:spacing w:val="-1"/>
              <w:sz w:val="21"/>
              <w:szCs w:val="21"/>
            </w:rPr>
            <w:t>组织设计交底</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1EECC7E3">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"bookmark203" </w:instrText>
          </w:r>
          <w:r>
            <w:fldChar w:fldCharType="separate"/>
          </w:r>
          <w:r>
            <w:rPr>
              <w:rFonts w:ascii="Times New Roman" w:hAnsi="Times New Roman" w:eastAsia="Times New Roman" w:cs="Times New Roman"/>
              <w:spacing w:val="-1"/>
              <w:sz w:val="21"/>
              <w:szCs w:val="21"/>
            </w:rPr>
            <w:t>2.8</w:t>
          </w:r>
          <w:r>
            <w:rPr>
              <w:rFonts w:ascii="Times New Roman" w:hAnsi="Times New Roman" w:eastAsia="Times New Roman" w:cs="Times New Roman"/>
              <w:spacing w:val="18"/>
              <w:w w:val="101"/>
              <w:sz w:val="21"/>
              <w:szCs w:val="21"/>
            </w:rPr>
            <w:t xml:space="preserve"> </w:t>
          </w:r>
          <w:r>
            <w:rPr>
              <w:rFonts w:ascii="黑体" w:hAnsi="黑体" w:eastAsia="黑体" w:cs="黑体"/>
              <w:spacing w:val="-1"/>
              <w:sz w:val="21"/>
              <w:szCs w:val="21"/>
            </w:rPr>
            <w:t>其他义务</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17C64F88">
          <w:pPr>
            <w:tabs>
              <w:tab w:val="right" w:leader="dot" w:pos="8322"/>
            </w:tabs>
            <w:spacing w:before="82" w:line="205" w:lineRule="auto"/>
            <w:ind w:left="445"/>
            <w:rPr>
              <w:rFonts w:ascii="Calibri" w:hAnsi="Calibri" w:eastAsia="Calibri" w:cs="Calibri"/>
              <w:sz w:val="21"/>
              <w:szCs w:val="21"/>
            </w:rPr>
          </w:pPr>
          <w:r>
            <w:fldChar w:fldCharType="begin"/>
          </w:r>
          <w:r>
            <w:instrText xml:space="preserve"> HYPERLINK \l "bookmark204" </w:instrText>
          </w:r>
          <w:r>
            <w:fldChar w:fldCharType="separate"/>
          </w:r>
          <w:r>
            <w:rPr>
              <w:rFonts w:ascii="Times New Roman" w:hAnsi="Times New Roman" w:eastAsia="Times New Roman" w:cs="Times New Roman"/>
              <w:spacing w:val="-1"/>
              <w:sz w:val="21"/>
              <w:szCs w:val="21"/>
            </w:rPr>
            <w:t>3.</w:t>
          </w:r>
          <w:r>
            <w:rPr>
              <w:rFonts w:ascii="黑体" w:hAnsi="黑体" w:eastAsia="黑体" w:cs="黑体"/>
              <w:spacing w:val="-1"/>
              <w:sz w:val="21"/>
              <w:szCs w:val="21"/>
            </w:rPr>
            <w:t>监理人</w:t>
          </w:r>
          <w:r>
            <w:rPr>
              <w:rFonts w:ascii="黑体" w:hAnsi="黑体" w:eastAsia="黑体" w:cs="黑体"/>
              <w:spacing w:val="-41"/>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03288904">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"bookmark205" </w:instrText>
          </w:r>
          <w:r>
            <w:fldChar w:fldCharType="separate"/>
          </w:r>
          <w:r>
            <w:rPr>
              <w:rFonts w:ascii="Times New Roman" w:hAnsi="Times New Roman" w:eastAsia="Times New Roman" w:cs="Times New Roman"/>
              <w:spacing w:val="-1"/>
              <w:sz w:val="21"/>
              <w:szCs w:val="21"/>
            </w:rPr>
            <w:t>3.1</w:t>
          </w:r>
          <w:r>
            <w:rPr>
              <w:rFonts w:ascii="Times New Roman" w:hAnsi="Times New Roman" w:eastAsia="Times New Roman" w:cs="Times New Roman"/>
              <w:spacing w:val="21"/>
              <w:w w:val="101"/>
              <w:sz w:val="21"/>
              <w:szCs w:val="21"/>
            </w:rPr>
            <w:t xml:space="preserve"> </w:t>
          </w:r>
          <w:r>
            <w:rPr>
              <w:rFonts w:ascii="黑体" w:hAnsi="黑体" w:eastAsia="黑体" w:cs="黑体"/>
              <w:spacing w:val="-1"/>
              <w:sz w:val="21"/>
              <w:szCs w:val="21"/>
            </w:rPr>
            <w:t>监理人的职责和权力</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4DDB034D">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"bookmark206" </w:instrText>
          </w:r>
          <w:r>
            <w:fldChar w:fldCharType="separate"/>
          </w:r>
          <w:r>
            <w:rPr>
              <w:rFonts w:ascii="Times New Roman" w:hAnsi="Times New Roman" w:eastAsia="Times New Roman" w:cs="Times New Roman"/>
              <w:spacing w:val="-2"/>
              <w:sz w:val="21"/>
              <w:szCs w:val="21"/>
            </w:rPr>
            <w:t>3.3</w:t>
          </w:r>
          <w:r>
            <w:rPr>
              <w:rFonts w:ascii="Times New Roman" w:hAnsi="Times New Roman" w:eastAsia="Times New Roman" w:cs="Times New Roman"/>
              <w:spacing w:val="21"/>
              <w:sz w:val="21"/>
              <w:szCs w:val="21"/>
            </w:rPr>
            <w:t xml:space="preserve"> </w:t>
          </w:r>
          <w:r>
            <w:rPr>
              <w:rFonts w:ascii="黑体" w:hAnsi="黑体" w:eastAsia="黑体" w:cs="黑体"/>
              <w:spacing w:val="-2"/>
              <w:sz w:val="21"/>
              <w:szCs w:val="21"/>
            </w:rPr>
            <w:t>监理人员</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7AC5147E">
          <w:pPr>
            <w:tabs>
              <w:tab w:val="right" w:leader="dot" w:pos="8322"/>
            </w:tabs>
            <w:spacing w:before="83" w:line="205" w:lineRule="auto"/>
            <w:ind w:left="865"/>
            <w:rPr>
              <w:rFonts w:ascii="Calibri" w:hAnsi="Calibri" w:eastAsia="Calibri" w:cs="Calibri"/>
              <w:sz w:val="21"/>
              <w:szCs w:val="21"/>
            </w:rPr>
          </w:pPr>
          <w:r>
            <w:fldChar w:fldCharType="begin"/>
          </w:r>
          <w:r>
            <w:instrText xml:space="preserve"> HYPERLINK \l "bookmark207" </w:instrText>
          </w:r>
          <w:r>
            <w:fldChar w:fldCharType="separate"/>
          </w:r>
          <w:r>
            <w:rPr>
              <w:rFonts w:ascii="Times New Roman" w:hAnsi="Times New Roman" w:eastAsia="Times New Roman" w:cs="Times New Roman"/>
              <w:spacing w:val="-1"/>
              <w:sz w:val="21"/>
              <w:szCs w:val="21"/>
            </w:rPr>
            <w:t>3.4</w:t>
          </w:r>
          <w:r>
            <w:rPr>
              <w:rFonts w:ascii="Times New Roman" w:hAnsi="Times New Roman" w:eastAsia="Times New Roman" w:cs="Times New Roman"/>
              <w:spacing w:val="17"/>
              <w:sz w:val="21"/>
              <w:szCs w:val="21"/>
            </w:rPr>
            <w:t xml:space="preserve"> </w:t>
          </w:r>
          <w:r>
            <w:rPr>
              <w:rFonts w:ascii="黑体" w:hAnsi="黑体" w:eastAsia="黑体" w:cs="黑体"/>
              <w:spacing w:val="-1"/>
              <w:sz w:val="21"/>
              <w:szCs w:val="21"/>
            </w:rPr>
            <w:t>监理人的指示</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25FCA6F3">
          <w:pPr>
            <w:tabs>
              <w:tab w:val="right" w:leader="dot" w:pos="8322"/>
            </w:tabs>
            <w:spacing w:before="67" w:line="205" w:lineRule="auto"/>
            <w:ind w:left="865"/>
            <w:rPr>
              <w:rFonts w:ascii="Calibri" w:hAnsi="Calibri" w:eastAsia="Calibri" w:cs="Calibri"/>
              <w:sz w:val="21"/>
              <w:szCs w:val="21"/>
            </w:rPr>
          </w:pPr>
          <w:r>
            <w:fldChar w:fldCharType="begin"/>
          </w:r>
          <w:r>
            <w:instrText xml:space="preserve"> HYPERLINK \l "bookmark208" </w:instrText>
          </w:r>
          <w:r>
            <w:fldChar w:fldCharType="separate"/>
          </w:r>
          <w:r>
            <w:rPr>
              <w:rFonts w:ascii="Times New Roman" w:hAnsi="Times New Roman" w:eastAsia="Times New Roman" w:cs="Times New Roman"/>
              <w:spacing w:val="-1"/>
              <w:sz w:val="21"/>
              <w:szCs w:val="21"/>
            </w:rPr>
            <w:t>3.6</w:t>
          </w:r>
          <w:r>
            <w:rPr>
              <w:rFonts w:ascii="Times New Roman" w:hAnsi="Times New Roman" w:eastAsia="Times New Roman" w:cs="Times New Roman"/>
              <w:spacing w:val="17"/>
              <w:sz w:val="21"/>
              <w:szCs w:val="21"/>
            </w:rPr>
            <w:t xml:space="preserve"> </w:t>
          </w:r>
          <w:r>
            <w:rPr>
              <w:rFonts w:ascii="黑体" w:hAnsi="黑体" w:eastAsia="黑体" w:cs="黑体"/>
              <w:spacing w:val="-1"/>
              <w:sz w:val="21"/>
              <w:szCs w:val="21"/>
            </w:rPr>
            <w:t>监理人的宽恕</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582ABC61">
          <w:pPr>
            <w:tabs>
              <w:tab w:val="right" w:leader="dot" w:pos="8322"/>
            </w:tabs>
            <w:spacing w:before="82" w:line="205" w:lineRule="auto"/>
            <w:ind w:left="439"/>
            <w:rPr>
              <w:rFonts w:ascii="Calibri" w:hAnsi="Calibri" w:eastAsia="Calibri" w:cs="Calibri"/>
              <w:sz w:val="21"/>
              <w:szCs w:val="21"/>
            </w:rPr>
          </w:pPr>
          <w:r>
            <w:fldChar w:fldCharType="begin"/>
          </w:r>
          <w:r>
            <w:instrText xml:space="preserve"> HYPERLINK \l "bookmark209" </w:instrText>
          </w:r>
          <w:r>
            <w:fldChar w:fldCharType="separate"/>
          </w:r>
          <w:r>
            <w:rPr>
              <w:rFonts w:ascii="Times New Roman" w:hAnsi="Times New Roman" w:eastAsia="Times New Roman" w:cs="Times New Roman"/>
              <w:spacing w:val="1"/>
              <w:sz w:val="21"/>
              <w:szCs w:val="21"/>
            </w:rPr>
            <w:t>4.</w:t>
          </w:r>
          <w:r>
            <w:rPr>
              <w:rFonts w:ascii="黑体" w:hAnsi="黑体" w:eastAsia="黑体" w:cs="黑体"/>
              <w:spacing w:val="1"/>
              <w:sz w:val="21"/>
              <w:szCs w:val="21"/>
            </w:rPr>
            <w:t>承包人</w:t>
          </w:r>
          <w:r>
            <w:rPr>
              <w:rFonts w:ascii="黑体" w:hAnsi="黑体" w:eastAsia="黑体" w:cs="黑体"/>
              <w:spacing w:val="-45"/>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2FDF050F">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"bookmark210" </w:instrText>
          </w:r>
          <w:r>
            <w:fldChar w:fldCharType="separate"/>
          </w:r>
          <w:r>
            <w:rPr>
              <w:rFonts w:ascii="Times New Roman" w:hAnsi="Times New Roman" w:eastAsia="Times New Roman" w:cs="Times New Roman"/>
              <w:sz w:val="21"/>
              <w:szCs w:val="21"/>
            </w:rPr>
            <w:t>4.1</w:t>
          </w:r>
          <w:r>
            <w:rPr>
              <w:rFonts w:ascii="Times New Roman" w:hAnsi="Times New Roman" w:eastAsia="Times New Roman" w:cs="Times New Roman"/>
              <w:spacing w:val="15"/>
              <w:sz w:val="21"/>
              <w:szCs w:val="21"/>
            </w:rPr>
            <w:t xml:space="preserve"> </w:t>
          </w:r>
          <w:r>
            <w:rPr>
              <w:rFonts w:ascii="黑体" w:hAnsi="黑体" w:eastAsia="黑体" w:cs="黑体"/>
              <w:sz w:val="21"/>
              <w:szCs w:val="21"/>
            </w:rPr>
            <w:t>承包人的一般义务</w:t>
          </w:r>
          <w:r>
            <w:rPr>
              <w:rFonts w:ascii="黑体" w:hAnsi="黑体" w:eastAsia="黑体" w:cs="黑体"/>
              <w:spacing w:val="-6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079B9C15">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"bookmark211" </w:instrText>
          </w:r>
          <w:r>
            <w:fldChar w:fldCharType="separate"/>
          </w:r>
          <w:r>
            <w:rPr>
              <w:rFonts w:ascii="Times New Roman" w:hAnsi="Times New Roman" w:eastAsia="Times New Roman" w:cs="Times New Roman"/>
              <w:spacing w:val="-1"/>
              <w:sz w:val="21"/>
              <w:szCs w:val="21"/>
            </w:rPr>
            <w:t>4.2</w:t>
          </w:r>
          <w:r>
            <w:rPr>
              <w:rFonts w:ascii="Times New Roman" w:hAnsi="Times New Roman" w:eastAsia="Times New Roman" w:cs="Times New Roman"/>
              <w:spacing w:val="19"/>
              <w:w w:val="101"/>
              <w:sz w:val="21"/>
              <w:szCs w:val="21"/>
            </w:rPr>
            <w:t xml:space="preserve"> </w:t>
          </w:r>
          <w:r>
            <w:rPr>
              <w:rFonts w:ascii="黑体" w:hAnsi="黑体" w:eastAsia="黑体" w:cs="黑体"/>
              <w:spacing w:val="-1"/>
              <w:sz w:val="21"/>
              <w:szCs w:val="21"/>
            </w:rPr>
            <w:t>履约担保</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98</w:t>
          </w:r>
          <w:r>
            <w:rPr>
              <w:rFonts w:ascii="Calibri" w:hAnsi="Calibri" w:eastAsia="Calibri" w:cs="Calibri"/>
              <w:spacing w:val="-3"/>
              <w:sz w:val="21"/>
              <w:szCs w:val="21"/>
            </w:rPr>
            <w:fldChar w:fldCharType="end"/>
          </w:r>
        </w:p>
        <w:p w14:paraId="5E369CEE">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"bookmark212" </w:instrText>
          </w:r>
          <w:r>
            <w:fldChar w:fldCharType="separate"/>
          </w:r>
          <w:r>
            <w:rPr>
              <w:rFonts w:ascii="Times New Roman" w:hAnsi="Times New Roman" w:eastAsia="Times New Roman" w:cs="Times New Roman"/>
              <w:spacing w:val="-2"/>
              <w:sz w:val="21"/>
              <w:szCs w:val="21"/>
            </w:rPr>
            <w:t>4.3</w:t>
          </w:r>
          <w:r>
            <w:rPr>
              <w:rFonts w:ascii="Times New Roman" w:hAnsi="Times New Roman" w:eastAsia="Times New Roman" w:cs="Times New Roman"/>
              <w:spacing w:val="21"/>
              <w:w w:val="101"/>
              <w:sz w:val="21"/>
              <w:szCs w:val="21"/>
            </w:rPr>
            <w:t xml:space="preserve"> </w:t>
          </w:r>
          <w:r>
            <w:rPr>
              <w:rFonts w:ascii="黑体" w:hAnsi="黑体" w:eastAsia="黑体" w:cs="黑体"/>
              <w:spacing w:val="-2"/>
              <w:sz w:val="21"/>
              <w:szCs w:val="21"/>
            </w:rPr>
            <w:t>分包</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31950F52">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"bookmark213" </w:instrText>
          </w:r>
          <w:r>
            <w:fldChar w:fldCharType="separate"/>
          </w:r>
          <w:r>
            <w:rPr>
              <w:rFonts w:ascii="Times New Roman" w:hAnsi="Times New Roman" w:eastAsia="Times New Roman" w:cs="Times New Roman"/>
              <w:spacing w:val="-1"/>
              <w:sz w:val="21"/>
              <w:szCs w:val="21"/>
            </w:rPr>
            <w:t>4.5</w:t>
          </w:r>
          <w:r>
            <w:rPr>
              <w:rFonts w:ascii="Times New Roman" w:hAnsi="Times New Roman" w:eastAsia="Times New Roman" w:cs="Times New Roman"/>
              <w:spacing w:val="24"/>
              <w:sz w:val="21"/>
              <w:szCs w:val="21"/>
            </w:rPr>
            <w:t xml:space="preserve"> </w:t>
          </w:r>
          <w:r>
            <w:rPr>
              <w:rFonts w:ascii="黑体" w:hAnsi="黑体" w:eastAsia="黑体" w:cs="黑体"/>
              <w:spacing w:val="-1"/>
              <w:sz w:val="21"/>
              <w:szCs w:val="21"/>
            </w:rPr>
            <w:t>承包人项目经理</w:t>
          </w:r>
          <w:r>
            <w:rPr>
              <w:rFonts w:ascii="黑体" w:hAnsi="黑体" w:eastAsia="黑体" w:cs="黑体"/>
              <w:spacing w:val="-92"/>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773964D3">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"bookmark214" </w:instrText>
          </w:r>
          <w:r>
            <w:fldChar w:fldCharType="separate"/>
          </w:r>
          <w:r>
            <w:rPr>
              <w:rFonts w:ascii="Times New Roman" w:hAnsi="Times New Roman" w:eastAsia="Times New Roman" w:cs="Times New Roman"/>
              <w:spacing w:val="-2"/>
              <w:sz w:val="21"/>
              <w:szCs w:val="21"/>
            </w:rPr>
            <w:t>4.11</w:t>
          </w:r>
          <w:r>
            <w:rPr>
              <w:rFonts w:ascii="Times New Roman" w:hAnsi="Times New Roman" w:eastAsia="Times New Roman" w:cs="Times New Roman"/>
              <w:spacing w:val="18"/>
              <w:w w:val="101"/>
              <w:sz w:val="21"/>
              <w:szCs w:val="21"/>
            </w:rPr>
            <w:t xml:space="preserve"> </w:t>
          </w:r>
          <w:r>
            <w:rPr>
              <w:rFonts w:ascii="黑体" w:hAnsi="黑体" w:eastAsia="黑体" w:cs="黑体"/>
              <w:spacing w:val="-2"/>
              <w:sz w:val="21"/>
              <w:szCs w:val="21"/>
            </w:rPr>
            <w:t>不利物质条件</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54C6EACF">
          <w:pPr>
            <w:tabs>
              <w:tab w:val="right" w:leader="dot" w:pos="8322"/>
            </w:tabs>
            <w:spacing w:before="82" w:line="205" w:lineRule="auto"/>
            <w:ind w:left="446"/>
            <w:rPr>
              <w:rFonts w:ascii="Calibri" w:hAnsi="Calibri" w:eastAsia="Calibri" w:cs="Calibri"/>
              <w:sz w:val="21"/>
              <w:szCs w:val="21"/>
            </w:rPr>
          </w:pPr>
          <w:r>
            <w:fldChar w:fldCharType="begin"/>
          </w:r>
          <w:r>
            <w:instrText xml:space="preserve"> HYPERLINK \l "bookmark215" </w:instrText>
          </w:r>
          <w:r>
            <w:fldChar w:fldCharType="separate"/>
          </w:r>
          <w:r>
            <w:rPr>
              <w:rFonts w:ascii="Times New Roman" w:hAnsi="Times New Roman" w:eastAsia="Times New Roman" w:cs="Times New Roman"/>
              <w:sz w:val="21"/>
              <w:szCs w:val="21"/>
            </w:rPr>
            <w:t>5.</w:t>
          </w:r>
          <w:r>
            <w:rPr>
              <w:rFonts w:ascii="黑体" w:hAnsi="黑体" w:eastAsia="黑体" w:cs="黑体"/>
              <w:sz w:val="21"/>
              <w:szCs w:val="21"/>
            </w:rPr>
            <w:t>材料和工程设备</w:t>
          </w:r>
          <w:r>
            <w:rPr>
              <w:rFonts w:ascii="黑体" w:hAnsi="黑体" w:eastAsia="黑体" w:cs="黑体"/>
              <w:spacing w:val="-46"/>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786DAB3A">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"bookmark216" </w:instrText>
          </w:r>
          <w:r>
            <w:fldChar w:fldCharType="separate"/>
          </w:r>
          <w:r>
            <w:rPr>
              <w:rFonts w:ascii="Times New Roman" w:hAnsi="Times New Roman" w:eastAsia="Times New Roman" w:cs="Times New Roman"/>
              <w:spacing w:val="-1"/>
              <w:sz w:val="21"/>
              <w:szCs w:val="21"/>
            </w:rPr>
            <w:t>5.1</w:t>
          </w:r>
          <w:r>
            <w:rPr>
              <w:rFonts w:ascii="Times New Roman" w:hAnsi="Times New Roman" w:eastAsia="Times New Roman" w:cs="Times New Roman"/>
              <w:spacing w:val="24"/>
              <w:sz w:val="21"/>
              <w:szCs w:val="21"/>
            </w:rPr>
            <w:t xml:space="preserve"> </w:t>
          </w:r>
          <w:r>
            <w:rPr>
              <w:rFonts w:ascii="黑体" w:hAnsi="黑体" w:eastAsia="黑体" w:cs="黑体"/>
              <w:spacing w:val="-1"/>
              <w:sz w:val="21"/>
              <w:szCs w:val="21"/>
            </w:rPr>
            <w:t>承包人提供的材料和工程设备</w:t>
          </w:r>
          <w:r>
            <w:rPr>
              <w:rFonts w:ascii="黑体" w:hAnsi="黑体" w:eastAsia="黑体" w:cs="黑体"/>
              <w:spacing w:val="-90"/>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2143C29C">
          <w:pPr>
            <w:tabs>
              <w:tab w:val="right" w:leader="dot" w:pos="8322"/>
            </w:tabs>
            <w:spacing w:before="83" w:line="205" w:lineRule="auto"/>
            <w:ind w:left="867"/>
            <w:rPr>
              <w:rFonts w:ascii="Calibri" w:hAnsi="Calibri" w:eastAsia="Calibri" w:cs="Calibri"/>
              <w:sz w:val="21"/>
              <w:szCs w:val="21"/>
            </w:rPr>
          </w:pPr>
          <w:r>
            <w:fldChar w:fldCharType="begin"/>
          </w:r>
          <w:r>
            <w:instrText xml:space="preserve"> HYPERLINK \l "bookmark217" </w:instrText>
          </w:r>
          <w:r>
            <w:fldChar w:fldCharType="separate"/>
          </w:r>
          <w:r>
            <w:rPr>
              <w:rFonts w:ascii="Times New Roman" w:hAnsi="Times New Roman" w:eastAsia="Times New Roman" w:cs="Times New Roman"/>
              <w:spacing w:val="-1"/>
              <w:sz w:val="21"/>
              <w:szCs w:val="21"/>
            </w:rPr>
            <w:t>5.2</w:t>
          </w:r>
          <w:r>
            <w:rPr>
              <w:rFonts w:ascii="Times New Roman" w:hAnsi="Times New Roman" w:eastAsia="Times New Roman" w:cs="Times New Roman"/>
              <w:spacing w:val="26"/>
              <w:sz w:val="21"/>
              <w:szCs w:val="21"/>
            </w:rPr>
            <w:t xml:space="preserve"> </w:t>
          </w:r>
          <w:r>
            <w:rPr>
              <w:rFonts w:ascii="黑体" w:hAnsi="黑体" w:eastAsia="黑体" w:cs="黑体"/>
              <w:spacing w:val="-1"/>
              <w:sz w:val="21"/>
              <w:szCs w:val="21"/>
            </w:rPr>
            <w:t>发包人提供的材料和工程设备</w:t>
          </w:r>
          <w:r>
            <w:rPr>
              <w:rFonts w:ascii="黑体" w:hAnsi="黑体" w:eastAsia="黑体" w:cs="黑体"/>
              <w:spacing w:val="-9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100</w:t>
          </w:r>
          <w:r>
            <w:rPr>
              <w:rFonts w:ascii="Calibri" w:hAnsi="Calibri" w:eastAsia="Calibri" w:cs="Calibri"/>
              <w:spacing w:val="1"/>
              <w:sz w:val="21"/>
              <w:szCs w:val="21"/>
            </w:rPr>
            <w:fldChar w:fldCharType="end"/>
          </w:r>
        </w:p>
        <w:p w14:paraId="7C21B644">
          <w:pPr>
            <w:tabs>
              <w:tab w:val="right" w:leader="dot" w:pos="8322"/>
            </w:tabs>
            <w:spacing w:before="67" w:line="239" w:lineRule="auto"/>
            <w:ind w:left="445"/>
            <w:rPr>
              <w:rFonts w:ascii="Calibri" w:hAnsi="Calibri" w:eastAsia="Calibri" w:cs="Calibri"/>
              <w:sz w:val="21"/>
              <w:szCs w:val="21"/>
            </w:rPr>
          </w:pPr>
          <w:r>
            <w:fldChar w:fldCharType="begin"/>
          </w:r>
          <w:r>
            <w:instrText xml:space="preserve"> HYPERLINK \l "bookmark218" </w:instrText>
          </w:r>
          <w:r>
            <w:fldChar w:fldCharType="separate"/>
          </w:r>
          <w:r>
            <w:rPr>
              <w:rFonts w:ascii="Times New Roman" w:hAnsi="Times New Roman" w:eastAsia="Times New Roman" w:cs="Times New Roman"/>
              <w:sz w:val="21"/>
              <w:szCs w:val="21"/>
            </w:rPr>
            <w:t>6.</w:t>
          </w:r>
          <w:r>
            <w:rPr>
              <w:rFonts w:ascii="黑体" w:hAnsi="黑体" w:eastAsia="黑体" w:cs="黑体"/>
              <w:sz w:val="21"/>
              <w:szCs w:val="21"/>
            </w:rPr>
            <w:t>施工设备和临时设施</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sdtContent>
    </w:sdt>
    <w:p w14:paraId="6ED689A2">
      <w:pPr>
        <w:spacing w:line="239" w:lineRule="auto"/>
        <w:rPr>
          <w:rFonts w:ascii="Calibri" w:hAnsi="Calibri" w:eastAsia="Calibri" w:cs="Calibri"/>
          <w:sz w:val="21"/>
          <w:szCs w:val="21"/>
        </w:rPr>
        <w:sectPr>
          <w:footerReference r:id="rId9"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53674"/>
        <w:docPartObj>
          <w:docPartGallery w:val="Table of Contents"/>
          <w:docPartUnique/>
        </w:docPartObj>
      </w:sdtPr>
      <w:sdtEndPr>
        <w:rPr>
          <w:rFonts w:ascii="Calibri" w:hAnsi="Calibri" w:eastAsia="Calibri" w:cs="Calibri"/>
          <w:sz w:val="21"/>
          <w:szCs w:val="21"/>
        </w:rPr>
      </w:sdtEndPr>
      <w:sdtContent>
        <w:p w14:paraId="49E86EA1">
          <w:pPr>
            <w:tabs>
              <w:tab w:val="right" w:leader="dot" w:pos="8322"/>
            </w:tabs>
            <w:spacing w:before="54" w:line="205" w:lineRule="auto"/>
            <w:ind w:left="866"/>
            <w:rPr>
              <w:rFonts w:ascii="Calibri" w:hAnsi="Calibri" w:eastAsia="Calibri" w:cs="Calibri"/>
              <w:sz w:val="21"/>
              <w:szCs w:val="21"/>
            </w:rPr>
          </w:pPr>
          <w:r>
            <w:fldChar w:fldCharType="begin"/>
          </w:r>
          <w:r>
            <w:instrText xml:space="preserve"> HYPERLINK \l "bookmark219" </w:instrText>
          </w:r>
          <w:r>
            <w:fldChar w:fldCharType="separate"/>
          </w:r>
          <w:r>
            <w:rPr>
              <w:rFonts w:ascii="Times New Roman" w:hAnsi="Times New Roman" w:eastAsia="Times New Roman" w:cs="Times New Roman"/>
              <w:spacing w:val="-1"/>
              <w:sz w:val="21"/>
              <w:szCs w:val="21"/>
            </w:rPr>
            <w:t>6.1</w:t>
          </w:r>
          <w:r>
            <w:rPr>
              <w:rFonts w:ascii="Times New Roman" w:hAnsi="Times New Roman" w:eastAsia="Times New Roman" w:cs="Times New Roman"/>
              <w:spacing w:val="30"/>
              <w:sz w:val="21"/>
              <w:szCs w:val="21"/>
            </w:rPr>
            <w:t xml:space="preserve"> </w:t>
          </w:r>
          <w:r>
            <w:rPr>
              <w:rFonts w:ascii="黑体" w:hAnsi="黑体" w:eastAsia="黑体" w:cs="黑体"/>
              <w:spacing w:val="-1"/>
              <w:sz w:val="21"/>
              <w:szCs w:val="21"/>
            </w:rPr>
            <w:t>承包人提供的施工设备和临时设施</w:t>
          </w:r>
          <w:r>
            <w:rPr>
              <w:rFonts w:ascii="黑体" w:hAnsi="黑体" w:eastAsia="黑体" w:cs="黑体"/>
              <w:spacing w:val="-9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p w14:paraId="304F049C">
          <w:pPr>
            <w:tabs>
              <w:tab w:val="right" w:leader="dot" w:pos="8322"/>
            </w:tabs>
            <w:spacing w:before="82" w:line="205" w:lineRule="auto"/>
            <w:ind w:left="866"/>
            <w:rPr>
              <w:rFonts w:ascii="Calibri" w:hAnsi="Calibri" w:eastAsia="Calibri" w:cs="Calibri"/>
              <w:sz w:val="21"/>
              <w:szCs w:val="21"/>
            </w:rPr>
          </w:pPr>
          <w:r>
            <w:fldChar w:fldCharType="begin"/>
          </w:r>
          <w:r>
            <w:instrText xml:space="preserve"> HYPERLINK \l "bookmark220" </w:instrText>
          </w:r>
          <w:r>
            <w:fldChar w:fldCharType="separate"/>
          </w:r>
          <w:r>
            <w:rPr>
              <w:rFonts w:ascii="Times New Roman" w:hAnsi="Times New Roman" w:eastAsia="Times New Roman" w:cs="Times New Roman"/>
              <w:spacing w:val="-1"/>
              <w:sz w:val="21"/>
              <w:szCs w:val="21"/>
            </w:rPr>
            <w:t>6.2</w:t>
          </w:r>
          <w:r>
            <w:rPr>
              <w:rFonts w:ascii="Times New Roman" w:hAnsi="Times New Roman" w:eastAsia="Times New Roman" w:cs="Times New Roman"/>
              <w:spacing w:val="30"/>
              <w:sz w:val="21"/>
              <w:szCs w:val="21"/>
            </w:rPr>
            <w:t xml:space="preserve"> </w:t>
          </w:r>
          <w:r>
            <w:rPr>
              <w:rFonts w:ascii="黑体" w:hAnsi="黑体" w:eastAsia="黑体" w:cs="黑体"/>
              <w:spacing w:val="-1"/>
              <w:sz w:val="21"/>
              <w:szCs w:val="21"/>
            </w:rPr>
            <w:t>发包人提供的施工设备和临时设施</w:t>
          </w:r>
          <w:r>
            <w:rPr>
              <w:rFonts w:ascii="黑体" w:hAnsi="黑体" w:eastAsia="黑体" w:cs="黑体"/>
              <w:spacing w:val="-9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p w14:paraId="1DB522EA">
          <w:pPr>
            <w:tabs>
              <w:tab w:val="right" w:leader="dot" w:pos="8322"/>
            </w:tabs>
            <w:spacing w:before="81" w:line="205" w:lineRule="auto"/>
            <w:ind w:left="866"/>
            <w:rPr>
              <w:rFonts w:ascii="Calibri" w:hAnsi="Calibri" w:eastAsia="Calibri" w:cs="Calibri"/>
              <w:sz w:val="21"/>
              <w:szCs w:val="21"/>
            </w:rPr>
          </w:pPr>
          <w:r>
            <w:fldChar w:fldCharType="begin"/>
          </w:r>
          <w:r>
            <w:instrText xml:space="preserve"> HYPERLINK \l "bookmark221" </w:instrText>
          </w:r>
          <w:r>
            <w:fldChar w:fldCharType="separate"/>
          </w:r>
          <w:r>
            <w:rPr>
              <w:rFonts w:ascii="Times New Roman" w:hAnsi="Times New Roman" w:eastAsia="Times New Roman" w:cs="Times New Roman"/>
              <w:spacing w:val="-1"/>
              <w:sz w:val="21"/>
              <w:szCs w:val="21"/>
            </w:rPr>
            <w:t>6.4</w:t>
          </w:r>
          <w:r>
            <w:rPr>
              <w:rFonts w:ascii="Times New Roman" w:hAnsi="Times New Roman" w:eastAsia="Times New Roman" w:cs="Times New Roman"/>
              <w:spacing w:val="31"/>
              <w:w w:val="101"/>
              <w:sz w:val="21"/>
              <w:szCs w:val="21"/>
            </w:rPr>
            <w:t xml:space="preserve"> </w:t>
          </w:r>
          <w:r>
            <w:rPr>
              <w:rFonts w:ascii="黑体" w:hAnsi="黑体" w:eastAsia="黑体" w:cs="黑体"/>
              <w:spacing w:val="-1"/>
              <w:sz w:val="21"/>
              <w:szCs w:val="21"/>
            </w:rPr>
            <w:t>施工设备和临时设施专用于合同工程</w:t>
          </w:r>
          <w:r>
            <w:rPr>
              <w:rFonts w:ascii="黑体" w:hAnsi="黑体" w:eastAsia="黑体" w:cs="黑体"/>
              <w:spacing w:val="-6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p w14:paraId="5E29182D">
          <w:pPr>
            <w:tabs>
              <w:tab w:val="right" w:leader="dot" w:pos="8322"/>
            </w:tabs>
            <w:spacing w:before="67" w:line="205" w:lineRule="auto"/>
            <w:ind w:left="444"/>
            <w:rPr>
              <w:rFonts w:ascii="Calibri" w:hAnsi="Calibri" w:eastAsia="Calibri" w:cs="Calibri"/>
              <w:sz w:val="21"/>
              <w:szCs w:val="21"/>
            </w:rPr>
          </w:pPr>
          <w:r>
            <w:fldChar w:fldCharType="begin"/>
          </w:r>
          <w:r>
            <w:instrText xml:space="preserve"> HYPERLINK \l "bookmark222" </w:instrText>
          </w:r>
          <w:r>
            <w:fldChar w:fldCharType="separate"/>
          </w:r>
          <w:r>
            <w:rPr>
              <w:rFonts w:ascii="Times New Roman" w:hAnsi="Times New Roman" w:eastAsia="Times New Roman" w:cs="Times New Roman"/>
              <w:sz w:val="21"/>
              <w:szCs w:val="21"/>
            </w:rPr>
            <w:t>7.</w:t>
          </w:r>
          <w:r>
            <w:rPr>
              <w:rFonts w:ascii="黑体" w:hAnsi="黑体" w:eastAsia="黑体" w:cs="黑体"/>
              <w:sz w:val="21"/>
              <w:szCs w:val="21"/>
            </w:rPr>
            <w:t>交通运输</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100</w:t>
          </w:r>
          <w:r>
            <w:rPr>
              <w:rFonts w:ascii="Calibri" w:hAnsi="Calibri" w:eastAsia="Calibri" w:cs="Calibri"/>
              <w:spacing w:val="1"/>
              <w:sz w:val="21"/>
              <w:szCs w:val="21"/>
            </w:rPr>
            <w:fldChar w:fldCharType="end"/>
          </w:r>
        </w:p>
        <w:p w14:paraId="508E07C7">
          <w:pPr>
            <w:tabs>
              <w:tab w:val="right" w:leader="dot" w:pos="8322"/>
            </w:tabs>
            <w:spacing w:before="81" w:line="205" w:lineRule="auto"/>
            <w:ind w:left="864"/>
            <w:rPr>
              <w:rFonts w:ascii="Calibri" w:hAnsi="Calibri" w:eastAsia="Calibri" w:cs="Calibri"/>
              <w:sz w:val="21"/>
              <w:szCs w:val="21"/>
            </w:rPr>
          </w:pPr>
          <w:r>
            <w:fldChar w:fldCharType="begin"/>
          </w:r>
          <w:r>
            <w:instrText xml:space="preserve"> HYPERLINK \l "bookmark223" </w:instrText>
          </w:r>
          <w:r>
            <w:fldChar w:fldCharType="separate"/>
          </w:r>
          <w:r>
            <w:rPr>
              <w:rFonts w:ascii="Times New Roman" w:hAnsi="Times New Roman" w:eastAsia="Times New Roman" w:cs="Times New Roman"/>
              <w:spacing w:val="-1"/>
              <w:sz w:val="21"/>
              <w:szCs w:val="21"/>
            </w:rPr>
            <w:t>7.1</w:t>
          </w:r>
          <w:r>
            <w:rPr>
              <w:rFonts w:ascii="Times New Roman" w:hAnsi="Times New Roman" w:eastAsia="Times New Roman" w:cs="Times New Roman"/>
              <w:spacing w:val="24"/>
              <w:sz w:val="21"/>
              <w:szCs w:val="21"/>
            </w:rPr>
            <w:t xml:space="preserve"> </w:t>
          </w:r>
          <w:r>
            <w:rPr>
              <w:rFonts w:ascii="黑体" w:hAnsi="黑体" w:eastAsia="黑体" w:cs="黑体"/>
              <w:spacing w:val="-1"/>
              <w:sz w:val="21"/>
              <w:szCs w:val="21"/>
            </w:rPr>
            <w:t>道路通行权和场外设施</w:t>
          </w:r>
          <w:r>
            <w:rPr>
              <w:rFonts w:ascii="黑体" w:hAnsi="黑体" w:eastAsia="黑体" w:cs="黑体"/>
              <w:spacing w:val="-6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100</w:t>
          </w:r>
          <w:r>
            <w:rPr>
              <w:rFonts w:ascii="Calibri" w:hAnsi="Calibri" w:eastAsia="Calibri" w:cs="Calibri"/>
              <w:spacing w:val="1"/>
              <w:sz w:val="21"/>
              <w:szCs w:val="21"/>
            </w:rPr>
            <w:fldChar w:fldCharType="end"/>
          </w:r>
        </w:p>
        <w:p w14:paraId="52553F4A">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"bookmark224" </w:instrText>
          </w:r>
          <w:r>
            <w:fldChar w:fldCharType="separate"/>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8"/>
              <w:sz w:val="21"/>
              <w:szCs w:val="21"/>
            </w:rPr>
            <w:t xml:space="preserve"> </w:t>
          </w:r>
          <w:r>
            <w:rPr>
              <w:rFonts w:ascii="黑体" w:hAnsi="黑体" w:eastAsia="黑体" w:cs="黑体"/>
              <w:spacing w:val="-1"/>
              <w:sz w:val="21"/>
              <w:szCs w:val="21"/>
            </w:rPr>
            <w:t>场内施工道路</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p w14:paraId="14119259">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"bookmark225" </w:instrText>
          </w:r>
          <w:r>
            <w:fldChar w:fldCharType="separate"/>
          </w:r>
          <w:r>
            <w:rPr>
              <w:rFonts w:ascii="Times New Roman" w:hAnsi="Times New Roman" w:eastAsia="Times New Roman" w:cs="Times New Roman"/>
              <w:spacing w:val="-1"/>
              <w:sz w:val="21"/>
              <w:szCs w:val="21"/>
            </w:rPr>
            <w:t>7.4</w:t>
          </w:r>
          <w:r>
            <w:rPr>
              <w:rFonts w:ascii="Times New Roman" w:hAnsi="Times New Roman" w:eastAsia="Times New Roman" w:cs="Times New Roman"/>
              <w:spacing w:val="24"/>
              <w:sz w:val="21"/>
              <w:szCs w:val="21"/>
            </w:rPr>
            <w:t xml:space="preserve"> </w:t>
          </w:r>
          <w:r>
            <w:rPr>
              <w:rFonts w:ascii="黑体" w:hAnsi="黑体" w:eastAsia="黑体" w:cs="黑体"/>
              <w:spacing w:val="-1"/>
              <w:sz w:val="21"/>
              <w:szCs w:val="21"/>
            </w:rPr>
            <w:t>超大件和超重件的运输</w:t>
          </w:r>
          <w:r>
            <w:rPr>
              <w:rFonts w:ascii="黑体" w:hAnsi="黑体" w:eastAsia="黑体" w:cs="黑体"/>
              <w:spacing w:val="-6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100</w:t>
          </w:r>
          <w:r>
            <w:rPr>
              <w:rFonts w:ascii="Calibri" w:hAnsi="Calibri" w:eastAsia="Calibri" w:cs="Calibri"/>
              <w:spacing w:val="1"/>
              <w:sz w:val="21"/>
              <w:szCs w:val="21"/>
            </w:rPr>
            <w:fldChar w:fldCharType="end"/>
          </w:r>
        </w:p>
        <w:p w14:paraId="63151CE1">
          <w:pPr>
            <w:tabs>
              <w:tab w:val="right" w:leader="dot" w:pos="8322"/>
            </w:tabs>
            <w:spacing w:before="82" w:line="205" w:lineRule="auto"/>
            <w:ind w:left="449"/>
            <w:rPr>
              <w:rFonts w:ascii="Calibri" w:hAnsi="Calibri" w:eastAsia="Calibri" w:cs="Calibri"/>
              <w:sz w:val="21"/>
              <w:szCs w:val="21"/>
            </w:rPr>
          </w:pPr>
          <w:r>
            <w:fldChar w:fldCharType="begin"/>
          </w:r>
          <w:r>
            <w:instrText xml:space="preserve"> HYPERLINK \l "bookmark226" </w:instrText>
          </w:r>
          <w:r>
            <w:fldChar w:fldCharType="separate"/>
          </w:r>
          <w:r>
            <w:rPr>
              <w:rFonts w:ascii="Times New Roman" w:hAnsi="Times New Roman" w:eastAsia="Times New Roman" w:cs="Times New Roman"/>
              <w:spacing w:val="-1"/>
              <w:sz w:val="21"/>
              <w:szCs w:val="21"/>
            </w:rPr>
            <w:t>8.</w:t>
          </w:r>
          <w:r>
            <w:rPr>
              <w:rFonts w:ascii="黑体" w:hAnsi="黑体" w:eastAsia="黑体" w:cs="黑体"/>
              <w:spacing w:val="-1"/>
              <w:sz w:val="21"/>
              <w:szCs w:val="21"/>
            </w:rPr>
            <w:t>测量放线</w:t>
          </w:r>
          <w:r>
            <w:rPr>
              <w:rFonts w:ascii="黑体" w:hAnsi="黑体" w:eastAsia="黑体" w:cs="黑体"/>
              <w:spacing w:val="-7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3923A4D7">
          <w:pPr>
            <w:tabs>
              <w:tab w:val="right" w:leader="dot" w:pos="8322"/>
            </w:tabs>
            <w:spacing w:before="67" w:line="205" w:lineRule="auto"/>
            <w:ind w:left="869"/>
            <w:rPr>
              <w:rFonts w:ascii="Calibri" w:hAnsi="Calibri" w:eastAsia="Calibri" w:cs="Calibri"/>
              <w:sz w:val="21"/>
              <w:szCs w:val="21"/>
            </w:rPr>
          </w:pPr>
          <w:r>
            <w:fldChar w:fldCharType="begin"/>
          </w:r>
          <w:r>
            <w:instrText xml:space="preserve"> HYPERLINK \l "bookmark227" </w:instrText>
          </w:r>
          <w:r>
            <w:fldChar w:fldCharType="separate"/>
          </w:r>
          <w:r>
            <w:rPr>
              <w:rFonts w:ascii="Times New Roman" w:hAnsi="Times New Roman" w:eastAsia="Times New Roman" w:cs="Times New Roman"/>
              <w:spacing w:val="-2"/>
              <w:sz w:val="21"/>
              <w:szCs w:val="21"/>
            </w:rPr>
            <w:t>8.1</w:t>
          </w:r>
          <w:r>
            <w:rPr>
              <w:rFonts w:ascii="Times New Roman" w:hAnsi="Times New Roman" w:eastAsia="Times New Roman" w:cs="Times New Roman"/>
              <w:spacing w:val="19"/>
              <w:w w:val="101"/>
              <w:sz w:val="21"/>
              <w:szCs w:val="21"/>
            </w:rPr>
            <w:t xml:space="preserve"> </w:t>
          </w:r>
          <w:r>
            <w:rPr>
              <w:rFonts w:ascii="黑体" w:hAnsi="黑体" w:eastAsia="黑体" w:cs="黑体"/>
              <w:spacing w:val="-2"/>
              <w:sz w:val="21"/>
              <w:szCs w:val="21"/>
            </w:rPr>
            <w:t>施工控制网</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101</w:t>
          </w:r>
          <w:r>
            <w:rPr>
              <w:rFonts w:ascii="Calibri" w:hAnsi="Calibri" w:eastAsia="Calibri" w:cs="Calibri"/>
              <w:spacing w:val="2"/>
              <w:sz w:val="21"/>
              <w:szCs w:val="21"/>
            </w:rPr>
            <w:fldChar w:fldCharType="end"/>
          </w:r>
        </w:p>
        <w:p w14:paraId="7A35C6B8">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"bookmark228" </w:instrText>
          </w:r>
          <w:r>
            <w:fldChar w:fldCharType="separate"/>
          </w:r>
          <w:r>
            <w:rPr>
              <w:rFonts w:ascii="Times New Roman" w:hAnsi="Times New Roman" w:eastAsia="Times New Roman" w:cs="Times New Roman"/>
              <w:sz w:val="21"/>
              <w:szCs w:val="21"/>
            </w:rPr>
            <w:t>9.</w:t>
          </w:r>
          <w:r>
            <w:rPr>
              <w:rFonts w:ascii="黑体" w:hAnsi="黑体" w:eastAsia="黑体" w:cs="黑体"/>
              <w:sz w:val="21"/>
              <w:szCs w:val="21"/>
            </w:rPr>
            <w:t>施工安全、治安保卫和环境保护</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4E6FADCC">
          <w:pPr>
            <w:tabs>
              <w:tab w:val="right" w:leader="dot" w:pos="8322"/>
            </w:tabs>
            <w:spacing w:before="83" w:line="205" w:lineRule="auto"/>
            <w:ind w:left="865"/>
            <w:rPr>
              <w:rFonts w:ascii="Calibri" w:hAnsi="Calibri" w:eastAsia="Calibri" w:cs="Calibri"/>
              <w:sz w:val="21"/>
              <w:szCs w:val="21"/>
            </w:rPr>
          </w:pPr>
          <w:r>
            <w:fldChar w:fldCharType="begin"/>
          </w:r>
          <w:r>
            <w:instrText xml:space="preserve"> HYPERLINK \l "bookmark229" </w:instrText>
          </w:r>
          <w:r>
            <w:fldChar w:fldCharType="separate"/>
          </w:r>
          <w:r>
            <w:rPr>
              <w:rFonts w:ascii="Times New Roman" w:hAnsi="Times New Roman" w:eastAsia="Times New Roman" w:cs="Times New Roman"/>
              <w:spacing w:val="-1"/>
              <w:sz w:val="21"/>
              <w:szCs w:val="21"/>
            </w:rPr>
            <w:t>9.2</w:t>
          </w:r>
          <w:r>
            <w:rPr>
              <w:rFonts w:ascii="Times New Roman" w:hAnsi="Times New Roman" w:eastAsia="Times New Roman" w:cs="Times New Roman"/>
              <w:spacing w:val="23"/>
              <w:sz w:val="21"/>
              <w:szCs w:val="21"/>
            </w:rPr>
            <w:t xml:space="preserve"> </w:t>
          </w:r>
          <w:r>
            <w:rPr>
              <w:rFonts w:ascii="黑体" w:hAnsi="黑体" w:eastAsia="黑体" w:cs="黑体"/>
              <w:spacing w:val="-1"/>
              <w:sz w:val="21"/>
              <w:szCs w:val="21"/>
            </w:rPr>
            <w:t>承包人的施工安全责任</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40E48483">
          <w:pPr>
            <w:tabs>
              <w:tab w:val="right" w:leader="dot" w:pos="8322"/>
            </w:tabs>
            <w:spacing w:before="81" w:line="205" w:lineRule="auto"/>
            <w:ind w:left="865"/>
            <w:rPr>
              <w:rFonts w:ascii="Calibri" w:hAnsi="Calibri" w:eastAsia="Calibri" w:cs="Calibri"/>
              <w:sz w:val="21"/>
              <w:szCs w:val="21"/>
            </w:rPr>
          </w:pPr>
          <w:r>
            <w:fldChar w:fldCharType="begin"/>
          </w:r>
          <w:r>
            <w:instrText xml:space="preserve"> HYPERLINK \l "bookmark230" </w:instrText>
          </w:r>
          <w:r>
            <w:fldChar w:fldCharType="separate"/>
          </w:r>
          <w:r>
            <w:rPr>
              <w:rFonts w:ascii="Times New Roman" w:hAnsi="Times New Roman" w:eastAsia="Times New Roman" w:cs="Times New Roman"/>
              <w:spacing w:val="-2"/>
              <w:sz w:val="21"/>
              <w:szCs w:val="21"/>
            </w:rPr>
            <w:t>9.3</w:t>
          </w:r>
          <w:r>
            <w:rPr>
              <w:rFonts w:ascii="Times New Roman" w:hAnsi="Times New Roman" w:eastAsia="Times New Roman" w:cs="Times New Roman"/>
              <w:spacing w:val="21"/>
              <w:sz w:val="21"/>
              <w:szCs w:val="21"/>
            </w:rPr>
            <w:t xml:space="preserve"> </w:t>
          </w:r>
          <w:r>
            <w:rPr>
              <w:rFonts w:ascii="黑体" w:hAnsi="黑体" w:eastAsia="黑体" w:cs="黑体"/>
              <w:spacing w:val="-2"/>
              <w:sz w:val="21"/>
              <w:szCs w:val="21"/>
            </w:rPr>
            <w:t>治安保卫</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6E68E4E4">
          <w:pPr>
            <w:tabs>
              <w:tab w:val="right" w:leader="dot" w:pos="8322"/>
            </w:tabs>
            <w:spacing w:before="83" w:line="205" w:lineRule="auto"/>
            <w:ind w:left="865"/>
            <w:rPr>
              <w:rFonts w:ascii="Calibri" w:hAnsi="Calibri" w:eastAsia="Calibri" w:cs="Calibri"/>
              <w:sz w:val="21"/>
              <w:szCs w:val="21"/>
            </w:rPr>
          </w:pPr>
          <w:r>
            <w:fldChar w:fldCharType="begin"/>
          </w:r>
          <w:r>
            <w:instrText xml:space="preserve"> HYPERLINK \l "bookmark231" </w:instrText>
          </w:r>
          <w:r>
            <w:fldChar w:fldCharType="separate"/>
          </w:r>
          <w:r>
            <w:rPr>
              <w:rFonts w:ascii="Times New Roman" w:hAnsi="Times New Roman" w:eastAsia="Times New Roman" w:cs="Times New Roman"/>
              <w:spacing w:val="-2"/>
              <w:sz w:val="21"/>
              <w:szCs w:val="21"/>
            </w:rPr>
            <w:t>9.4</w:t>
          </w:r>
          <w:r>
            <w:rPr>
              <w:rFonts w:ascii="Times New Roman" w:hAnsi="Times New Roman" w:eastAsia="Times New Roman" w:cs="Times New Roman"/>
              <w:spacing w:val="21"/>
              <w:sz w:val="21"/>
              <w:szCs w:val="21"/>
            </w:rPr>
            <w:t xml:space="preserve"> </w:t>
          </w:r>
          <w:r>
            <w:rPr>
              <w:rFonts w:ascii="黑体" w:hAnsi="黑体" w:eastAsia="黑体" w:cs="黑体"/>
              <w:spacing w:val="-2"/>
              <w:sz w:val="21"/>
              <w:szCs w:val="21"/>
            </w:rPr>
            <w:t>环境保护</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78A91D29">
          <w:pPr>
            <w:tabs>
              <w:tab w:val="right" w:leader="dot" w:pos="8322"/>
            </w:tabs>
            <w:spacing w:before="67" w:line="205" w:lineRule="auto"/>
            <w:ind w:left="461"/>
            <w:rPr>
              <w:rFonts w:ascii="Calibri" w:hAnsi="Calibri" w:eastAsia="Calibri" w:cs="Calibri"/>
              <w:sz w:val="21"/>
              <w:szCs w:val="21"/>
            </w:rPr>
          </w:pPr>
          <w:r>
            <w:fldChar w:fldCharType="begin"/>
          </w:r>
          <w:r>
            <w:instrText xml:space="preserve"> HYPERLINK \l "bookmark232" </w:instrText>
          </w:r>
          <w:r>
            <w:fldChar w:fldCharType="separate"/>
          </w:r>
          <w:r>
            <w:rPr>
              <w:rFonts w:ascii="Times New Roman" w:hAnsi="Times New Roman" w:eastAsia="Times New Roman" w:cs="Times New Roman"/>
              <w:spacing w:val="-3"/>
              <w:sz w:val="21"/>
              <w:szCs w:val="21"/>
            </w:rPr>
            <w:t>10.</w:t>
          </w:r>
          <w:r>
            <w:rPr>
              <w:rFonts w:ascii="黑体" w:hAnsi="黑体" w:eastAsia="黑体" w:cs="黑体"/>
              <w:spacing w:val="-3"/>
              <w:sz w:val="21"/>
              <w:szCs w:val="21"/>
            </w:rPr>
            <w:t>进度计划</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101</w:t>
          </w:r>
          <w:r>
            <w:rPr>
              <w:rFonts w:ascii="Calibri" w:hAnsi="Calibri" w:eastAsia="Calibri" w:cs="Calibri"/>
              <w:spacing w:val="1"/>
              <w:sz w:val="21"/>
              <w:szCs w:val="21"/>
            </w:rPr>
            <w:fldChar w:fldCharType="end"/>
          </w:r>
        </w:p>
        <w:p w14:paraId="2BB9DA1B">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"bookmark233" </w:instrText>
          </w:r>
          <w:r>
            <w:fldChar w:fldCharType="separate"/>
          </w:r>
          <w:r>
            <w:rPr>
              <w:rFonts w:ascii="Times New Roman" w:hAnsi="Times New Roman" w:eastAsia="Times New Roman" w:cs="Times New Roman"/>
              <w:spacing w:val="-3"/>
              <w:sz w:val="21"/>
              <w:szCs w:val="21"/>
            </w:rPr>
            <w:t>10.1</w:t>
          </w:r>
          <w:r>
            <w:rPr>
              <w:rFonts w:ascii="Times New Roman" w:hAnsi="Times New Roman" w:eastAsia="Times New Roman" w:cs="Times New Roman"/>
              <w:spacing w:val="22"/>
              <w:sz w:val="21"/>
              <w:szCs w:val="21"/>
            </w:rPr>
            <w:t xml:space="preserve"> </w:t>
          </w:r>
          <w:r>
            <w:rPr>
              <w:rFonts w:ascii="黑体" w:hAnsi="黑体" w:eastAsia="黑体" w:cs="黑体"/>
              <w:spacing w:val="-3"/>
              <w:sz w:val="21"/>
              <w:szCs w:val="21"/>
            </w:rPr>
            <w:t>合同进度计划</w:t>
          </w:r>
          <w:r>
            <w:rPr>
              <w:rFonts w:ascii="黑体" w:hAnsi="黑体" w:eastAsia="黑体" w:cs="黑体"/>
              <w:sz w:val="21"/>
              <w:szCs w:val="21"/>
            </w:rPr>
            <w:tab/>
          </w:r>
          <w:r>
            <w:rPr>
              <w:rFonts w:ascii="Calibri" w:hAnsi="Calibri" w:eastAsia="Calibri" w:cs="Calibri"/>
              <w:spacing w:val="2"/>
              <w:sz w:val="21"/>
              <w:szCs w:val="21"/>
            </w:rPr>
            <w:t>101</w:t>
          </w:r>
          <w:r>
            <w:rPr>
              <w:rFonts w:ascii="Calibri" w:hAnsi="Calibri" w:eastAsia="Calibri" w:cs="Calibri"/>
              <w:spacing w:val="2"/>
              <w:sz w:val="21"/>
              <w:szCs w:val="21"/>
            </w:rPr>
            <w:fldChar w:fldCharType="end"/>
          </w:r>
        </w:p>
        <w:p w14:paraId="0E62BB97">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"bookmark234" </w:instrText>
          </w:r>
          <w:r>
            <w:fldChar w:fldCharType="separate"/>
          </w:r>
          <w:r>
            <w:rPr>
              <w:rFonts w:ascii="Times New Roman" w:hAnsi="Times New Roman" w:eastAsia="Times New Roman" w:cs="Times New Roman"/>
              <w:spacing w:val="-2"/>
              <w:sz w:val="21"/>
              <w:szCs w:val="21"/>
            </w:rPr>
            <w:t>10.2</w:t>
          </w:r>
          <w:r>
            <w:rPr>
              <w:rFonts w:ascii="Times New Roman" w:hAnsi="Times New Roman" w:eastAsia="Times New Roman" w:cs="Times New Roman"/>
              <w:spacing w:val="19"/>
              <w:w w:val="101"/>
              <w:sz w:val="21"/>
              <w:szCs w:val="21"/>
            </w:rPr>
            <w:t xml:space="preserve"> </w:t>
          </w:r>
          <w:r>
            <w:rPr>
              <w:rFonts w:ascii="黑体" w:hAnsi="黑体" w:eastAsia="黑体" w:cs="黑体"/>
              <w:spacing w:val="-2"/>
              <w:sz w:val="21"/>
              <w:szCs w:val="21"/>
            </w:rPr>
            <w:t>合同进度计划的修订</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102</w:t>
          </w:r>
          <w:r>
            <w:rPr>
              <w:rFonts w:ascii="Calibri" w:hAnsi="Calibri" w:eastAsia="Calibri" w:cs="Calibri"/>
              <w:spacing w:val="1"/>
              <w:sz w:val="21"/>
              <w:szCs w:val="21"/>
            </w:rPr>
            <w:fldChar w:fldCharType="end"/>
          </w:r>
        </w:p>
        <w:p w14:paraId="1DC6A117">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"bookmark235" </w:instrText>
          </w:r>
          <w:r>
            <w:fldChar w:fldCharType="separate"/>
          </w:r>
          <w:r>
            <w:rPr>
              <w:rFonts w:ascii="Times New Roman" w:hAnsi="Times New Roman" w:eastAsia="Times New Roman" w:cs="Times New Roman"/>
              <w:spacing w:val="-4"/>
              <w:sz w:val="21"/>
              <w:szCs w:val="21"/>
            </w:rPr>
            <w:t>11.</w:t>
          </w:r>
          <w:r>
            <w:rPr>
              <w:rFonts w:ascii="黑体" w:hAnsi="黑体" w:eastAsia="黑体" w:cs="黑体"/>
              <w:spacing w:val="-4"/>
              <w:sz w:val="21"/>
              <w:szCs w:val="21"/>
            </w:rPr>
            <w:t>开工和竣工</w:t>
          </w:r>
          <w:r>
            <w:rPr>
              <w:rFonts w:ascii="黑体" w:hAnsi="黑体" w:eastAsia="黑体" w:cs="黑体"/>
              <w:spacing w:val="-7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102</w:t>
          </w:r>
          <w:r>
            <w:rPr>
              <w:rFonts w:ascii="Calibri" w:hAnsi="Calibri" w:eastAsia="Calibri" w:cs="Calibri"/>
              <w:spacing w:val="1"/>
              <w:sz w:val="21"/>
              <w:szCs w:val="21"/>
            </w:rPr>
            <w:fldChar w:fldCharType="end"/>
          </w:r>
        </w:p>
        <w:p w14:paraId="20546C3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"bookmark236" </w:instrText>
          </w:r>
          <w:r>
            <w:fldChar w:fldCharType="separate"/>
          </w:r>
          <w:r>
            <w:rPr>
              <w:rFonts w:ascii="Times New Roman" w:hAnsi="Times New Roman" w:eastAsia="Times New Roman" w:cs="Times New Roman"/>
              <w:spacing w:val="-4"/>
              <w:sz w:val="21"/>
              <w:szCs w:val="21"/>
            </w:rPr>
            <w:t>11.3</w:t>
          </w:r>
          <w:r>
            <w:rPr>
              <w:rFonts w:ascii="Times New Roman" w:hAnsi="Times New Roman" w:eastAsia="Times New Roman" w:cs="Times New Roman"/>
              <w:spacing w:val="26"/>
              <w:sz w:val="21"/>
              <w:szCs w:val="21"/>
            </w:rPr>
            <w:t xml:space="preserve"> </w:t>
          </w:r>
          <w:r>
            <w:rPr>
              <w:rFonts w:ascii="黑体" w:hAnsi="黑体" w:eastAsia="黑体" w:cs="黑体"/>
              <w:spacing w:val="-4"/>
              <w:sz w:val="21"/>
              <w:szCs w:val="21"/>
            </w:rPr>
            <w:t>发包人的工期延误</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102</w:t>
          </w:r>
          <w:r>
            <w:rPr>
              <w:rFonts w:ascii="Calibri" w:hAnsi="Calibri" w:eastAsia="Calibri" w:cs="Calibri"/>
              <w:spacing w:val="2"/>
              <w:sz w:val="21"/>
              <w:szCs w:val="21"/>
            </w:rPr>
            <w:fldChar w:fldCharType="end"/>
          </w:r>
        </w:p>
        <w:p w14:paraId="49994F93">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"bookmark237" </w:instrText>
          </w:r>
          <w:r>
            <w:fldChar w:fldCharType="separate"/>
          </w:r>
          <w:r>
            <w:rPr>
              <w:rFonts w:ascii="Times New Roman" w:hAnsi="Times New Roman" w:eastAsia="Times New Roman" w:cs="Times New Roman"/>
              <w:spacing w:val="-4"/>
              <w:sz w:val="21"/>
              <w:szCs w:val="21"/>
            </w:rPr>
            <w:t>11.4</w:t>
          </w:r>
          <w:r>
            <w:rPr>
              <w:rFonts w:ascii="Times New Roman" w:hAnsi="Times New Roman" w:eastAsia="Times New Roman" w:cs="Times New Roman"/>
              <w:spacing w:val="30"/>
              <w:w w:val="101"/>
              <w:sz w:val="21"/>
              <w:szCs w:val="21"/>
            </w:rPr>
            <w:t xml:space="preserve"> </w:t>
          </w:r>
          <w:r>
            <w:rPr>
              <w:rFonts w:ascii="黑体" w:hAnsi="黑体" w:eastAsia="黑体" w:cs="黑体"/>
              <w:spacing w:val="-4"/>
              <w:sz w:val="21"/>
              <w:szCs w:val="21"/>
            </w:rPr>
            <w:t>异常恶劣的气候条件</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102</w:t>
          </w:r>
          <w:r>
            <w:rPr>
              <w:rFonts w:ascii="Calibri" w:hAnsi="Calibri" w:eastAsia="Calibri" w:cs="Calibri"/>
              <w:spacing w:val="1"/>
              <w:sz w:val="21"/>
              <w:szCs w:val="21"/>
            </w:rPr>
            <w:fldChar w:fldCharType="end"/>
          </w:r>
        </w:p>
        <w:p w14:paraId="3FB7B5D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"bookmark238" </w:instrText>
          </w:r>
          <w:r>
            <w:fldChar w:fldCharType="separate"/>
          </w:r>
          <w:r>
            <w:rPr>
              <w:rFonts w:ascii="Times New Roman" w:hAnsi="Times New Roman" w:eastAsia="Times New Roman" w:cs="Times New Roman"/>
              <w:spacing w:val="-3"/>
              <w:sz w:val="21"/>
              <w:szCs w:val="21"/>
            </w:rPr>
            <w:t>11.5</w:t>
          </w:r>
          <w:r>
            <w:rPr>
              <w:rFonts w:ascii="Times New Roman" w:hAnsi="Times New Roman" w:eastAsia="Times New Roman" w:cs="Times New Roman"/>
              <w:spacing w:val="15"/>
              <w:sz w:val="21"/>
              <w:szCs w:val="21"/>
            </w:rPr>
            <w:t xml:space="preserve"> </w:t>
          </w:r>
          <w:r>
            <w:rPr>
              <w:rFonts w:ascii="黑体" w:hAnsi="黑体" w:eastAsia="黑体" w:cs="黑体"/>
              <w:spacing w:val="-3"/>
              <w:sz w:val="21"/>
              <w:szCs w:val="21"/>
            </w:rPr>
            <w:t>承包人的工期延误</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102</w:t>
          </w:r>
          <w:r>
            <w:rPr>
              <w:rFonts w:ascii="Calibri" w:hAnsi="Calibri" w:eastAsia="Calibri" w:cs="Calibri"/>
              <w:spacing w:val="2"/>
              <w:sz w:val="21"/>
              <w:szCs w:val="21"/>
            </w:rPr>
            <w:fldChar w:fldCharType="end"/>
          </w:r>
        </w:p>
        <w:p w14:paraId="10169BD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"bookmark239" </w:instrText>
          </w:r>
          <w:r>
            <w:fldChar w:fldCharType="separate"/>
          </w:r>
          <w:r>
            <w:rPr>
              <w:rFonts w:ascii="Times New Roman" w:hAnsi="Times New Roman" w:eastAsia="Times New Roman" w:cs="Times New Roman"/>
              <w:spacing w:val="-5"/>
              <w:sz w:val="21"/>
              <w:szCs w:val="21"/>
            </w:rPr>
            <w:t>11.6</w:t>
          </w:r>
          <w:r>
            <w:rPr>
              <w:rFonts w:ascii="Times New Roman" w:hAnsi="Times New Roman" w:eastAsia="Times New Roman" w:cs="Times New Roman"/>
              <w:spacing w:val="16"/>
              <w:w w:val="101"/>
              <w:sz w:val="21"/>
              <w:szCs w:val="21"/>
            </w:rPr>
            <w:t xml:space="preserve"> </w:t>
          </w:r>
          <w:r>
            <w:rPr>
              <w:rFonts w:ascii="黑体" w:hAnsi="黑体" w:eastAsia="黑体" w:cs="黑体"/>
              <w:spacing w:val="-5"/>
              <w:sz w:val="21"/>
              <w:szCs w:val="21"/>
            </w:rPr>
            <w:t>工期提前</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1A05F58E">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"bookmark240" </w:instrText>
          </w:r>
          <w:r>
            <w:fldChar w:fldCharType="separate"/>
          </w:r>
          <w:r>
            <w:rPr>
              <w:rFonts w:ascii="Times New Roman" w:hAnsi="Times New Roman" w:eastAsia="Times New Roman" w:cs="Times New Roman"/>
              <w:spacing w:val="-3"/>
              <w:sz w:val="21"/>
              <w:szCs w:val="21"/>
            </w:rPr>
            <w:t>12.</w:t>
          </w:r>
          <w:r>
            <w:rPr>
              <w:rFonts w:ascii="黑体" w:hAnsi="黑体" w:eastAsia="黑体" w:cs="黑体"/>
              <w:spacing w:val="-3"/>
              <w:sz w:val="21"/>
              <w:szCs w:val="21"/>
            </w:rPr>
            <w:t>暂停施工</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45A972D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"bookmark241" </w:instrText>
          </w:r>
          <w:r>
            <w:fldChar w:fldCharType="separate"/>
          </w:r>
          <w:r>
            <w:rPr>
              <w:rFonts w:ascii="Times New Roman" w:hAnsi="Times New Roman" w:eastAsia="Times New Roman" w:cs="Times New Roman"/>
              <w:spacing w:val="-2"/>
              <w:sz w:val="21"/>
              <w:szCs w:val="21"/>
            </w:rPr>
            <w:t>12.1</w:t>
          </w:r>
          <w:r>
            <w:rPr>
              <w:rFonts w:ascii="Times New Roman" w:hAnsi="Times New Roman" w:eastAsia="Times New Roman" w:cs="Times New Roman"/>
              <w:spacing w:val="22"/>
              <w:sz w:val="21"/>
              <w:szCs w:val="21"/>
            </w:rPr>
            <w:t xml:space="preserve"> </w:t>
          </w:r>
          <w:r>
            <w:rPr>
              <w:rFonts w:ascii="黑体" w:hAnsi="黑体" w:eastAsia="黑体" w:cs="黑体"/>
              <w:spacing w:val="-2"/>
              <w:sz w:val="21"/>
              <w:szCs w:val="21"/>
            </w:rPr>
            <w:t>承包人暂停施工的责任</w:t>
          </w:r>
          <w:r>
            <w:rPr>
              <w:rFonts w:ascii="黑体" w:hAnsi="黑体" w:eastAsia="黑体" w:cs="黑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79023EBD">
          <w:pPr>
            <w:tabs>
              <w:tab w:val="right" w:leader="dot" w:pos="8322"/>
            </w:tabs>
            <w:spacing w:before="68" w:line="205" w:lineRule="auto"/>
            <w:ind w:left="881"/>
            <w:rPr>
              <w:rFonts w:ascii="Calibri" w:hAnsi="Calibri" w:eastAsia="Calibri" w:cs="Calibri"/>
              <w:sz w:val="21"/>
              <w:szCs w:val="21"/>
            </w:rPr>
          </w:pPr>
          <w:r>
            <w:fldChar w:fldCharType="begin"/>
          </w:r>
          <w:r>
            <w:instrText xml:space="preserve"> HYPERLINK \l "bookmark242" </w:instrText>
          </w:r>
          <w:r>
            <w:fldChar w:fldCharType="separate"/>
          </w:r>
          <w:r>
            <w:rPr>
              <w:rFonts w:ascii="Times New Roman" w:hAnsi="Times New Roman" w:eastAsia="Times New Roman" w:cs="Times New Roman"/>
              <w:spacing w:val="-3"/>
              <w:sz w:val="21"/>
              <w:szCs w:val="21"/>
            </w:rPr>
            <w:t>12.4</w:t>
          </w:r>
          <w:r>
            <w:rPr>
              <w:rFonts w:ascii="Times New Roman" w:hAnsi="Times New Roman" w:eastAsia="Times New Roman" w:cs="Times New Roman"/>
              <w:spacing w:val="29"/>
              <w:sz w:val="21"/>
              <w:szCs w:val="21"/>
            </w:rPr>
            <w:t xml:space="preserve"> </w:t>
          </w:r>
          <w:r>
            <w:rPr>
              <w:rFonts w:ascii="黑体" w:hAnsi="黑体" w:eastAsia="黑体" w:cs="黑体"/>
              <w:spacing w:val="-3"/>
              <w:sz w:val="21"/>
              <w:szCs w:val="21"/>
            </w:rPr>
            <w:t>暂停施工后的复工</w:t>
          </w:r>
          <w:r>
            <w:rPr>
              <w:rFonts w:ascii="黑体" w:hAnsi="黑体" w:eastAsia="黑体" w:cs="黑体"/>
              <w:sz w:val="21"/>
              <w:szCs w:val="21"/>
            </w:rPr>
            <w:tab/>
          </w:r>
          <w:r>
            <w:rPr>
              <w:rFonts w:ascii="Calibri" w:hAnsi="Calibri" w:eastAsia="Calibri" w:cs="Calibri"/>
              <w:spacing w:val="2"/>
              <w:sz w:val="21"/>
              <w:szCs w:val="21"/>
            </w:rPr>
            <w:t>103</w:t>
          </w:r>
          <w:r>
            <w:rPr>
              <w:rFonts w:ascii="Calibri" w:hAnsi="Calibri" w:eastAsia="Calibri" w:cs="Calibri"/>
              <w:spacing w:val="2"/>
              <w:sz w:val="21"/>
              <w:szCs w:val="21"/>
            </w:rPr>
            <w:fldChar w:fldCharType="end"/>
          </w:r>
        </w:p>
        <w:p w14:paraId="03771B82">
          <w:pPr>
            <w:tabs>
              <w:tab w:val="right" w:leader="dot" w:pos="8322"/>
            </w:tabs>
            <w:spacing w:before="81" w:line="205" w:lineRule="auto"/>
            <w:ind w:left="461"/>
            <w:rPr>
              <w:rFonts w:ascii="Calibri" w:hAnsi="Calibri" w:eastAsia="Calibri" w:cs="Calibri"/>
              <w:sz w:val="21"/>
              <w:szCs w:val="21"/>
            </w:rPr>
          </w:pPr>
          <w:r>
            <w:fldChar w:fldCharType="begin"/>
          </w:r>
          <w:r>
            <w:instrText xml:space="preserve"> HYPERLINK \l "bookmark243" </w:instrText>
          </w:r>
          <w:r>
            <w:fldChar w:fldCharType="separate"/>
          </w:r>
          <w:r>
            <w:rPr>
              <w:rFonts w:ascii="Times New Roman" w:hAnsi="Times New Roman" w:eastAsia="Times New Roman" w:cs="Times New Roman"/>
              <w:spacing w:val="-3"/>
              <w:sz w:val="21"/>
              <w:szCs w:val="21"/>
            </w:rPr>
            <w:t>13.</w:t>
          </w:r>
          <w:r>
            <w:rPr>
              <w:rFonts w:ascii="黑体" w:hAnsi="黑体" w:eastAsia="黑体" w:cs="黑体"/>
              <w:spacing w:val="-3"/>
              <w:sz w:val="21"/>
              <w:szCs w:val="21"/>
            </w:rPr>
            <w:t>工程质量</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09B8A24F">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"bookmark244" </w:instrText>
          </w:r>
          <w:r>
            <w:fldChar w:fldCharType="separate"/>
          </w:r>
          <w:r>
            <w:rPr>
              <w:rFonts w:ascii="Times New Roman" w:hAnsi="Times New Roman" w:eastAsia="Times New Roman" w:cs="Times New Roman"/>
              <w:spacing w:val="-2"/>
              <w:sz w:val="21"/>
              <w:szCs w:val="21"/>
            </w:rPr>
            <w:t>13.2</w:t>
          </w:r>
          <w:r>
            <w:rPr>
              <w:rFonts w:ascii="Times New Roman" w:hAnsi="Times New Roman" w:eastAsia="Times New Roman" w:cs="Times New Roman"/>
              <w:spacing w:val="17"/>
              <w:sz w:val="21"/>
              <w:szCs w:val="21"/>
            </w:rPr>
            <w:t xml:space="preserve"> </w:t>
          </w:r>
          <w:r>
            <w:rPr>
              <w:rFonts w:ascii="黑体" w:hAnsi="黑体" w:eastAsia="黑体" w:cs="黑体"/>
              <w:spacing w:val="-2"/>
              <w:sz w:val="21"/>
              <w:szCs w:val="21"/>
            </w:rPr>
            <w:t>承包人的质量管理</w:t>
          </w:r>
          <w:r>
            <w:rPr>
              <w:rFonts w:ascii="黑体" w:hAnsi="黑体" w:eastAsia="黑体" w:cs="黑体"/>
              <w:sz w:val="21"/>
              <w:szCs w:val="21"/>
            </w:rPr>
            <w:tab/>
          </w:r>
          <w:r>
            <w:rPr>
              <w:rFonts w:ascii="Calibri" w:hAnsi="Calibri" w:eastAsia="Calibri" w:cs="Calibri"/>
              <w:spacing w:val="2"/>
              <w:sz w:val="21"/>
              <w:szCs w:val="21"/>
            </w:rPr>
            <w:t>103</w:t>
          </w:r>
          <w:r>
            <w:rPr>
              <w:rFonts w:ascii="Calibri" w:hAnsi="Calibri" w:eastAsia="Calibri" w:cs="Calibri"/>
              <w:spacing w:val="2"/>
              <w:sz w:val="21"/>
              <w:szCs w:val="21"/>
            </w:rPr>
            <w:fldChar w:fldCharType="end"/>
          </w:r>
        </w:p>
        <w:p w14:paraId="78ECD2FC">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"bookmark245" </w:instrText>
          </w:r>
          <w:r>
            <w:fldChar w:fldCharType="separate"/>
          </w:r>
          <w:r>
            <w:rPr>
              <w:rFonts w:ascii="Times New Roman" w:hAnsi="Times New Roman" w:eastAsia="Times New Roman" w:cs="Times New Roman"/>
              <w:spacing w:val="-2"/>
              <w:sz w:val="21"/>
              <w:szCs w:val="21"/>
            </w:rPr>
            <w:t>13.3</w:t>
          </w:r>
          <w:r>
            <w:rPr>
              <w:rFonts w:ascii="Times New Roman" w:hAnsi="Times New Roman" w:eastAsia="Times New Roman" w:cs="Times New Roman"/>
              <w:spacing w:val="17"/>
              <w:sz w:val="21"/>
              <w:szCs w:val="21"/>
            </w:rPr>
            <w:t xml:space="preserve"> </w:t>
          </w:r>
          <w:r>
            <w:rPr>
              <w:rFonts w:ascii="黑体" w:hAnsi="黑体" w:eastAsia="黑体" w:cs="黑体"/>
              <w:spacing w:val="-2"/>
              <w:sz w:val="21"/>
              <w:szCs w:val="21"/>
            </w:rPr>
            <w:t>承包人的质量检查</w:t>
          </w:r>
          <w:r>
            <w:rPr>
              <w:rFonts w:ascii="黑体" w:hAnsi="黑体" w:eastAsia="黑体" w:cs="黑体"/>
              <w:sz w:val="21"/>
              <w:szCs w:val="21"/>
            </w:rPr>
            <w:tab/>
          </w:r>
          <w:r>
            <w:rPr>
              <w:rFonts w:ascii="Calibri" w:hAnsi="Calibri" w:eastAsia="Calibri" w:cs="Calibri"/>
              <w:spacing w:val="2"/>
              <w:sz w:val="21"/>
              <w:szCs w:val="21"/>
            </w:rPr>
            <w:t>103</w:t>
          </w:r>
          <w:r>
            <w:rPr>
              <w:rFonts w:ascii="Calibri" w:hAnsi="Calibri" w:eastAsia="Calibri" w:cs="Calibri"/>
              <w:spacing w:val="2"/>
              <w:sz w:val="21"/>
              <w:szCs w:val="21"/>
            </w:rPr>
            <w:fldChar w:fldCharType="end"/>
          </w:r>
        </w:p>
        <w:p w14:paraId="42212545">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"bookmark246" </w:instrText>
          </w:r>
          <w:r>
            <w:fldChar w:fldCharType="separate"/>
          </w:r>
          <w:r>
            <w:rPr>
              <w:rFonts w:ascii="Times New Roman" w:hAnsi="Times New Roman" w:eastAsia="Times New Roman" w:cs="Times New Roman"/>
              <w:spacing w:val="-2"/>
              <w:sz w:val="21"/>
              <w:szCs w:val="21"/>
            </w:rPr>
            <w:t>13.4</w:t>
          </w:r>
          <w:r>
            <w:rPr>
              <w:rFonts w:ascii="Times New Roman" w:hAnsi="Times New Roman" w:eastAsia="Times New Roman" w:cs="Times New Roman"/>
              <w:spacing w:val="17"/>
              <w:sz w:val="21"/>
              <w:szCs w:val="21"/>
            </w:rPr>
            <w:t xml:space="preserve"> </w:t>
          </w:r>
          <w:r>
            <w:rPr>
              <w:rFonts w:ascii="黑体" w:hAnsi="黑体" w:eastAsia="黑体" w:cs="黑体"/>
              <w:spacing w:val="-2"/>
              <w:sz w:val="21"/>
              <w:szCs w:val="21"/>
            </w:rPr>
            <w:t>监理人的质量检查</w:t>
          </w:r>
          <w:r>
            <w:rPr>
              <w:rFonts w:ascii="黑体" w:hAnsi="黑体" w:eastAsia="黑体" w:cs="黑体"/>
              <w:sz w:val="21"/>
              <w:szCs w:val="21"/>
            </w:rPr>
            <w:tab/>
          </w:r>
          <w:r>
            <w:rPr>
              <w:rFonts w:ascii="Calibri" w:hAnsi="Calibri" w:eastAsia="Calibri" w:cs="Calibri"/>
              <w:spacing w:val="2"/>
              <w:sz w:val="21"/>
              <w:szCs w:val="21"/>
            </w:rPr>
            <w:t>103</w:t>
          </w:r>
          <w:r>
            <w:rPr>
              <w:rFonts w:ascii="Calibri" w:hAnsi="Calibri" w:eastAsia="Calibri" w:cs="Calibri"/>
              <w:spacing w:val="2"/>
              <w:sz w:val="21"/>
              <w:szCs w:val="21"/>
            </w:rPr>
            <w:fldChar w:fldCharType="end"/>
          </w:r>
        </w:p>
        <w:p w14:paraId="562B8605">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"bookmark247" </w:instrText>
          </w:r>
          <w:r>
            <w:fldChar w:fldCharType="separate"/>
          </w:r>
          <w:r>
            <w:rPr>
              <w:rFonts w:ascii="Times New Roman" w:hAnsi="Times New Roman" w:eastAsia="Times New Roman" w:cs="Times New Roman"/>
              <w:spacing w:val="-2"/>
              <w:sz w:val="21"/>
              <w:szCs w:val="21"/>
            </w:rPr>
            <w:t>13.5</w:t>
          </w:r>
          <w:r>
            <w:rPr>
              <w:rFonts w:ascii="Times New Roman" w:hAnsi="Times New Roman" w:eastAsia="Times New Roman" w:cs="Times New Roman"/>
              <w:spacing w:val="27"/>
              <w:sz w:val="21"/>
              <w:szCs w:val="21"/>
            </w:rPr>
            <w:t xml:space="preserve"> </w:t>
          </w:r>
          <w:r>
            <w:rPr>
              <w:rFonts w:ascii="黑体" w:hAnsi="黑体" w:eastAsia="黑体" w:cs="黑体"/>
              <w:spacing w:val="-2"/>
              <w:sz w:val="21"/>
              <w:szCs w:val="21"/>
            </w:rPr>
            <w:t>工程隐蔽部位覆盖前的检查</w:t>
          </w:r>
          <w:r>
            <w:rPr>
              <w:rFonts w:ascii="黑体" w:hAnsi="黑体" w:eastAsia="黑体" w:cs="黑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5E8D0EAF">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"bookmark248" </w:instrText>
          </w:r>
          <w:r>
            <w:fldChar w:fldCharType="separate"/>
          </w:r>
          <w:r>
            <w:rPr>
              <w:rFonts w:ascii="Times New Roman" w:hAnsi="Times New Roman" w:eastAsia="Times New Roman" w:cs="Times New Roman"/>
              <w:spacing w:val="-4"/>
              <w:sz w:val="21"/>
              <w:szCs w:val="21"/>
            </w:rPr>
            <w:t>13.7</w:t>
          </w:r>
          <w:r>
            <w:rPr>
              <w:rFonts w:ascii="Times New Roman" w:hAnsi="Times New Roman" w:eastAsia="Times New Roman" w:cs="Times New Roman"/>
              <w:spacing w:val="23"/>
              <w:sz w:val="21"/>
              <w:szCs w:val="21"/>
            </w:rPr>
            <w:t xml:space="preserve"> </w:t>
          </w:r>
          <w:r>
            <w:rPr>
              <w:rFonts w:ascii="黑体" w:hAnsi="黑体" w:eastAsia="黑体" w:cs="黑体"/>
              <w:spacing w:val="-4"/>
              <w:sz w:val="21"/>
              <w:szCs w:val="21"/>
            </w:rPr>
            <w:t>质量争议</w:t>
          </w:r>
          <w:r>
            <w:rPr>
              <w:rFonts w:ascii="黑体" w:hAnsi="黑体" w:eastAsia="黑体" w:cs="黑体"/>
              <w:sz w:val="21"/>
              <w:szCs w:val="21"/>
            </w:rPr>
            <w:tab/>
          </w:r>
          <w:r>
            <w:rPr>
              <w:rFonts w:ascii="Calibri" w:hAnsi="Calibri" w:eastAsia="Calibri" w:cs="Calibri"/>
              <w:spacing w:val="1"/>
              <w:sz w:val="21"/>
              <w:szCs w:val="21"/>
            </w:rPr>
            <w:t>104</w:t>
          </w:r>
          <w:r>
            <w:rPr>
              <w:rFonts w:ascii="Calibri" w:hAnsi="Calibri" w:eastAsia="Calibri" w:cs="Calibri"/>
              <w:spacing w:val="1"/>
              <w:sz w:val="21"/>
              <w:szCs w:val="21"/>
            </w:rPr>
            <w:fldChar w:fldCharType="end"/>
          </w:r>
        </w:p>
        <w:p w14:paraId="3E21CAA3">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"bookmark249" </w:instrText>
          </w:r>
          <w:r>
            <w:fldChar w:fldCharType="separate"/>
          </w:r>
          <w:r>
            <w:rPr>
              <w:rFonts w:ascii="Times New Roman" w:hAnsi="Times New Roman" w:eastAsia="Times New Roman" w:cs="Times New Roman"/>
              <w:spacing w:val="-4"/>
              <w:sz w:val="21"/>
              <w:szCs w:val="21"/>
            </w:rPr>
            <w:t>15.</w:t>
          </w:r>
          <w:r>
            <w:rPr>
              <w:rFonts w:ascii="黑体" w:hAnsi="黑体" w:eastAsia="黑体" w:cs="黑体"/>
              <w:spacing w:val="-4"/>
              <w:sz w:val="21"/>
              <w:szCs w:val="21"/>
            </w:rPr>
            <w:t>变更</w:t>
          </w:r>
          <w:r>
            <w:rPr>
              <w:rFonts w:ascii="黑体" w:hAnsi="黑体" w:eastAsia="黑体" w:cs="黑体"/>
              <w:spacing w:val="-57"/>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104</w:t>
          </w:r>
          <w:r>
            <w:rPr>
              <w:rFonts w:ascii="Calibri" w:hAnsi="Calibri" w:eastAsia="Calibri" w:cs="Calibri"/>
              <w:spacing w:val="2"/>
              <w:sz w:val="21"/>
              <w:szCs w:val="21"/>
            </w:rPr>
            <w:fldChar w:fldCharType="end"/>
          </w:r>
        </w:p>
        <w:p w14:paraId="0F2ACC86">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"bookmark250" </w:instrText>
          </w:r>
          <w:r>
            <w:fldChar w:fldCharType="separate"/>
          </w:r>
          <w:r>
            <w:rPr>
              <w:rFonts w:ascii="Times New Roman" w:hAnsi="Times New Roman" w:eastAsia="Times New Roman" w:cs="Times New Roman"/>
              <w:spacing w:val="-3"/>
              <w:sz w:val="21"/>
              <w:szCs w:val="21"/>
            </w:rPr>
            <w:t>15.1</w:t>
          </w:r>
          <w:r>
            <w:rPr>
              <w:rFonts w:ascii="Times New Roman" w:hAnsi="Times New Roman" w:eastAsia="Times New Roman" w:cs="Times New Roman"/>
              <w:spacing w:val="29"/>
              <w:sz w:val="21"/>
              <w:szCs w:val="21"/>
            </w:rPr>
            <w:t xml:space="preserve"> </w:t>
          </w:r>
          <w:r>
            <w:rPr>
              <w:rFonts w:ascii="黑体" w:hAnsi="黑体" w:eastAsia="黑体" w:cs="黑体"/>
              <w:spacing w:val="-3"/>
              <w:sz w:val="21"/>
              <w:szCs w:val="21"/>
            </w:rPr>
            <w:t>变更的范围和内容</w:t>
          </w:r>
          <w:r>
            <w:rPr>
              <w:rFonts w:ascii="黑体" w:hAnsi="黑体" w:eastAsia="黑体" w:cs="黑体"/>
              <w:sz w:val="21"/>
              <w:szCs w:val="21"/>
            </w:rPr>
            <w:tab/>
          </w:r>
          <w:r>
            <w:rPr>
              <w:rFonts w:ascii="Calibri" w:hAnsi="Calibri" w:eastAsia="Calibri" w:cs="Calibri"/>
              <w:spacing w:val="2"/>
              <w:sz w:val="21"/>
              <w:szCs w:val="21"/>
            </w:rPr>
            <w:t>104</w:t>
          </w:r>
          <w:r>
            <w:rPr>
              <w:rFonts w:ascii="Calibri" w:hAnsi="Calibri" w:eastAsia="Calibri" w:cs="Calibri"/>
              <w:spacing w:val="2"/>
              <w:sz w:val="21"/>
              <w:szCs w:val="21"/>
            </w:rPr>
            <w:fldChar w:fldCharType="end"/>
          </w:r>
        </w:p>
        <w:p w14:paraId="6384E443">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"bookmark251" </w:instrText>
          </w:r>
          <w:r>
            <w:fldChar w:fldCharType="separate"/>
          </w:r>
          <w:r>
            <w:rPr>
              <w:rFonts w:ascii="Times New Roman" w:hAnsi="Times New Roman" w:eastAsia="Times New Roman" w:cs="Times New Roman"/>
              <w:spacing w:val="-4"/>
              <w:sz w:val="21"/>
              <w:szCs w:val="21"/>
            </w:rPr>
            <w:t>15.3</w:t>
          </w:r>
          <w:r>
            <w:rPr>
              <w:rFonts w:ascii="Times New Roman" w:hAnsi="Times New Roman" w:eastAsia="Times New Roman" w:cs="Times New Roman"/>
              <w:spacing w:val="23"/>
              <w:sz w:val="21"/>
              <w:szCs w:val="21"/>
            </w:rPr>
            <w:t xml:space="preserve"> </w:t>
          </w:r>
          <w:r>
            <w:rPr>
              <w:rFonts w:ascii="黑体" w:hAnsi="黑体" w:eastAsia="黑体" w:cs="黑体"/>
              <w:spacing w:val="-4"/>
              <w:sz w:val="21"/>
              <w:szCs w:val="21"/>
            </w:rPr>
            <w:t>变更程序</w:t>
          </w:r>
          <w:r>
            <w:rPr>
              <w:rFonts w:ascii="黑体" w:hAnsi="黑体" w:eastAsia="黑体" w:cs="黑体"/>
              <w:sz w:val="21"/>
              <w:szCs w:val="21"/>
            </w:rPr>
            <w:tab/>
          </w:r>
          <w:r>
            <w:rPr>
              <w:rFonts w:ascii="Calibri" w:hAnsi="Calibri" w:eastAsia="Calibri" w:cs="Calibri"/>
              <w:spacing w:val="1"/>
              <w:sz w:val="21"/>
              <w:szCs w:val="21"/>
            </w:rPr>
            <w:t>104</w:t>
          </w:r>
          <w:r>
            <w:rPr>
              <w:rFonts w:ascii="Calibri" w:hAnsi="Calibri" w:eastAsia="Calibri" w:cs="Calibri"/>
              <w:spacing w:val="1"/>
              <w:sz w:val="21"/>
              <w:szCs w:val="21"/>
            </w:rPr>
            <w:fldChar w:fldCharType="end"/>
          </w:r>
        </w:p>
        <w:p w14:paraId="0B38420E">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"bookmark252" </w:instrText>
          </w:r>
          <w:r>
            <w:fldChar w:fldCharType="separate"/>
          </w:r>
          <w:r>
            <w:rPr>
              <w:rFonts w:ascii="Times New Roman" w:hAnsi="Times New Roman" w:eastAsia="Times New Roman" w:cs="Times New Roman"/>
              <w:spacing w:val="-3"/>
              <w:sz w:val="21"/>
              <w:szCs w:val="21"/>
            </w:rPr>
            <w:t>15.4</w:t>
          </w:r>
          <w:r>
            <w:rPr>
              <w:rFonts w:ascii="Times New Roman" w:hAnsi="Times New Roman" w:eastAsia="Times New Roman" w:cs="Times New Roman"/>
              <w:spacing w:val="25"/>
              <w:w w:val="101"/>
              <w:sz w:val="21"/>
              <w:szCs w:val="21"/>
            </w:rPr>
            <w:t xml:space="preserve"> </w:t>
          </w:r>
          <w:r>
            <w:rPr>
              <w:rFonts w:ascii="黑体" w:hAnsi="黑体" w:eastAsia="黑体" w:cs="黑体"/>
              <w:spacing w:val="-3"/>
              <w:sz w:val="21"/>
              <w:szCs w:val="21"/>
            </w:rPr>
            <w:t>变更的估价原则</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104</w:t>
          </w:r>
          <w:r>
            <w:rPr>
              <w:rFonts w:ascii="Calibri" w:hAnsi="Calibri" w:eastAsia="Calibri" w:cs="Calibri"/>
              <w:spacing w:val="2"/>
              <w:sz w:val="21"/>
              <w:szCs w:val="21"/>
            </w:rPr>
            <w:fldChar w:fldCharType="end"/>
          </w:r>
        </w:p>
        <w:p w14:paraId="2DBE230E">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"bookmark253" </w:instrText>
          </w:r>
          <w:r>
            <w:fldChar w:fldCharType="separate"/>
          </w:r>
          <w:r>
            <w:rPr>
              <w:rFonts w:ascii="Times New Roman" w:hAnsi="Times New Roman" w:eastAsia="Times New Roman" w:cs="Times New Roman"/>
              <w:spacing w:val="-2"/>
              <w:sz w:val="21"/>
              <w:szCs w:val="21"/>
            </w:rPr>
            <w:t>15.5</w:t>
          </w:r>
          <w:r>
            <w:rPr>
              <w:rFonts w:ascii="Times New Roman" w:hAnsi="Times New Roman" w:eastAsia="Times New Roman" w:cs="Times New Roman"/>
              <w:spacing w:val="19"/>
              <w:w w:val="101"/>
              <w:sz w:val="21"/>
              <w:szCs w:val="21"/>
            </w:rPr>
            <w:t xml:space="preserve"> </w:t>
          </w:r>
          <w:r>
            <w:rPr>
              <w:rFonts w:ascii="黑体" w:hAnsi="黑体" w:eastAsia="黑体" w:cs="黑体"/>
              <w:spacing w:val="-2"/>
              <w:sz w:val="21"/>
              <w:szCs w:val="21"/>
            </w:rPr>
            <w:t>承包人的合理化建议</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105</w:t>
          </w:r>
          <w:r>
            <w:rPr>
              <w:rFonts w:ascii="Calibri" w:hAnsi="Calibri" w:eastAsia="Calibri" w:cs="Calibri"/>
              <w:spacing w:val="1"/>
              <w:sz w:val="21"/>
              <w:szCs w:val="21"/>
            </w:rPr>
            <w:fldChar w:fldCharType="end"/>
          </w:r>
        </w:p>
        <w:p w14:paraId="2AFBA3FA">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"bookmark254" </w:instrText>
          </w:r>
          <w:r>
            <w:fldChar w:fldCharType="separate"/>
          </w:r>
          <w:r>
            <w:rPr>
              <w:rFonts w:ascii="Times New Roman" w:hAnsi="Times New Roman" w:eastAsia="Times New Roman" w:cs="Times New Roman"/>
              <w:spacing w:val="-5"/>
              <w:sz w:val="21"/>
              <w:szCs w:val="21"/>
            </w:rPr>
            <w:t>15.8</w:t>
          </w:r>
          <w:r>
            <w:rPr>
              <w:rFonts w:ascii="Times New Roman" w:hAnsi="Times New Roman" w:eastAsia="Times New Roman" w:cs="Times New Roman"/>
              <w:spacing w:val="25"/>
              <w:w w:val="101"/>
              <w:sz w:val="21"/>
              <w:szCs w:val="21"/>
            </w:rPr>
            <w:t xml:space="preserve"> </w:t>
          </w:r>
          <w:r>
            <w:rPr>
              <w:rFonts w:ascii="黑体" w:hAnsi="黑体" w:eastAsia="黑体" w:cs="黑体"/>
              <w:spacing w:val="-5"/>
              <w:sz w:val="21"/>
              <w:szCs w:val="21"/>
            </w:rPr>
            <w:t>暂估价</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105</w:t>
          </w:r>
          <w:r>
            <w:rPr>
              <w:rFonts w:ascii="Calibri" w:hAnsi="Calibri" w:eastAsia="Calibri" w:cs="Calibri"/>
              <w:spacing w:val="1"/>
              <w:sz w:val="21"/>
              <w:szCs w:val="21"/>
            </w:rPr>
            <w:fldChar w:fldCharType="end"/>
          </w:r>
        </w:p>
        <w:p w14:paraId="5F7E67A6">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"bookmark255" </w:instrText>
          </w:r>
          <w:r>
            <w:fldChar w:fldCharType="separate"/>
          </w:r>
          <w:r>
            <w:rPr>
              <w:rFonts w:ascii="Times New Roman" w:hAnsi="Times New Roman" w:eastAsia="Times New Roman" w:cs="Times New Roman"/>
              <w:spacing w:val="-3"/>
              <w:sz w:val="21"/>
              <w:szCs w:val="21"/>
            </w:rPr>
            <w:t>16.</w:t>
          </w:r>
          <w:r>
            <w:rPr>
              <w:rFonts w:ascii="黑体" w:hAnsi="黑体" w:eastAsia="黑体" w:cs="黑体"/>
              <w:spacing w:val="-3"/>
              <w:sz w:val="21"/>
              <w:szCs w:val="21"/>
            </w:rPr>
            <w:t>价格调整</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106</w:t>
          </w:r>
          <w:r>
            <w:rPr>
              <w:rFonts w:ascii="Calibri" w:hAnsi="Calibri" w:eastAsia="Calibri" w:cs="Calibri"/>
              <w:spacing w:val="1"/>
              <w:sz w:val="21"/>
              <w:szCs w:val="21"/>
            </w:rPr>
            <w:fldChar w:fldCharType="end"/>
          </w:r>
        </w:p>
        <w:p w14:paraId="50ECA6F2">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"bookmark256" </w:instrText>
          </w:r>
          <w:r>
            <w:fldChar w:fldCharType="separate"/>
          </w:r>
          <w:r>
            <w:rPr>
              <w:rFonts w:ascii="Times New Roman" w:hAnsi="Times New Roman" w:eastAsia="Times New Roman" w:cs="Times New Roman"/>
              <w:spacing w:val="-2"/>
              <w:sz w:val="21"/>
              <w:szCs w:val="21"/>
            </w:rPr>
            <w:t>16.1</w:t>
          </w:r>
          <w:r>
            <w:rPr>
              <w:rFonts w:ascii="Times New Roman" w:hAnsi="Times New Roman" w:eastAsia="Times New Roman" w:cs="Times New Roman"/>
              <w:spacing w:val="24"/>
              <w:w w:val="101"/>
              <w:sz w:val="21"/>
              <w:szCs w:val="21"/>
            </w:rPr>
            <w:t xml:space="preserve"> </w:t>
          </w:r>
          <w:r>
            <w:rPr>
              <w:rFonts w:ascii="黑体" w:hAnsi="黑体" w:eastAsia="黑体" w:cs="黑体"/>
              <w:spacing w:val="-2"/>
              <w:sz w:val="21"/>
              <w:szCs w:val="21"/>
            </w:rPr>
            <w:t>物价波动引起的价格调整</w:t>
          </w:r>
          <w:r>
            <w:rPr>
              <w:rFonts w:ascii="黑体" w:hAnsi="黑体" w:eastAsia="黑体" w:cs="黑体"/>
              <w:spacing w:val="-7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106</w:t>
          </w:r>
          <w:r>
            <w:rPr>
              <w:rFonts w:ascii="Calibri" w:hAnsi="Calibri" w:eastAsia="Calibri" w:cs="Calibri"/>
              <w:spacing w:val="1"/>
              <w:sz w:val="21"/>
              <w:szCs w:val="21"/>
            </w:rPr>
            <w:fldChar w:fldCharType="end"/>
          </w:r>
        </w:p>
        <w:p w14:paraId="3A8B2132">
          <w:pPr>
            <w:tabs>
              <w:tab w:val="right" w:leader="dot" w:pos="8322"/>
            </w:tabs>
            <w:spacing w:before="67" w:line="205" w:lineRule="auto"/>
            <w:ind w:left="461"/>
            <w:rPr>
              <w:rFonts w:ascii="Calibri" w:hAnsi="Calibri" w:eastAsia="Calibri" w:cs="Calibri"/>
              <w:sz w:val="21"/>
              <w:szCs w:val="21"/>
            </w:rPr>
          </w:pPr>
          <w:r>
            <w:fldChar w:fldCharType="begin"/>
          </w:r>
          <w:r>
            <w:instrText xml:space="preserve"> HYPERLINK \l "bookmark257" </w:instrText>
          </w:r>
          <w:r>
            <w:fldChar w:fldCharType="separate"/>
          </w:r>
          <w:r>
            <w:rPr>
              <w:rFonts w:ascii="Times New Roman" w:hAnsi="Times New Roman" w:eastAsia="Times New Roman" w:cs="Times New Roman"/>
              <w:spacing w:val="-2"/>
              <w:sz w:val="21"/>
              <w:szCs w:val="21"/>
            </w:rPr>
            <w:t>17.</w:t>
          </w:r>
          <w:r>
            <w:rPr>
              <w:rFonts w:ascii="黑体" w:hAnsi="黑体" w:eastAsia="黑体" w:cs="黑体"/>
              <w:spacing w:val="-2"/>
              <w:sz w:val="21"/>
              <w:szCs w:val="21"/>
            </w:rPr>
            <w:t>计量与支付</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106</w:t>
          </w:r>
          <w:r>
            <w:rPr>
              <w:rFonts w:ascii="Calibri" w:hAnsi="Calibri" w:eastAsia="Calibri" w:cs="Calibri"/>
              <w:spacing w:val="1"/>
              <w:sz w:val="21"/>
              <w:szCs w:val="21"/>
            </w:rPr>
            <w:fldChar w:fldCharType="end"/>
          </w:r>
        </w:p>
        <w:p w14:paraId="71EA7AE3">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"bookmark258" </w:instrText>
          </w:r>
          <w:r>
            <w:fldChar w:fldCharType="separate"/>
          </w:r>
          <w:r>
            <w:rPr>
              <w:rFonts w:ascii="Times New Roman" w:hAnsi="Times New Roman" w:eastAsia="Times New Roman" w:cs="Times New Roman"/>
              <w:spacing w:val="-5"/>
              <w:sz w:val="21"/>
              <w:szCs w:val="21"/>
            </w:rPr>
            <w:t>17.1</w:t>
          </w:r>
          <w:r>
            <w:rPr>
              <w:rFonts w:ascii="Times New Roman" w:hAnsi="Times New Roman" w:eastAsia="Times New Roman" w:cs="Times New Roman"/>
              <w:spacing w:val="20"/>
              <w:sz w:val="21"/>
              <w:szCs w:val="21"/>
            </w:rPr>
            <w:t xml:space="preserve"> </w:t>
          </w:r>
          <w:r>
            <w:rPr>
              <w:rFonts w:ascii="黑体" w:hAnsi="黑体" w:eastAsia="黑体" w:cs="黑体"/>
              <w:spacing w:val="-5"/>
              <w:sz w:val="21"/>
              <w:szCs w:val="21"/>
            </w:rPr>
            <w:t>计量</w:t>
          </w:r>
          <w:r>
            <w:rPr>
              <w:rFonts w:ascii="黑体" w:hAnsi="黑体" w:eastAsia="黑体" w:cs="黑体"/>
              <w:sz w:val="21"/>
              <w:szCs w:val="21"/>
            </w:rPr>
            <w:tab/>
          </w:r>
          <w:r>
            <w:rPr>
              <w:rFonts w:ascii="Calibri" w:hAnsi="Calibri" w:eastAsia="Calibri" w:cs="Calibri"/>
              <w:spacing w:val="1"/>
              <w:sz w:val="21"/>
              <w:szCs w:val="21"/>
            </w:rPr>
            <w:t>106</w:t>
          </w:r>
          <w:r>
            <w:rPr>
              <w:rFonts w:ascii="Calibri" w:hAnsi="Calibri" w:eastAsia="Calibri" w:cs="Calibri"/>
              <w:spacing w:val="1"/>
              <w:sz w:val="21"/>
              <w:szCs w:val="21"/>
            </w:rPr>
            <w:fldChar w:fldCharType="end"/>
          </w:r>
        </w:p>
        <w:p w14:paraId="145889C8">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"bookmark259" </w:instrText>
          </w:r>
          <w:r>
            <w:fldChar w:fldCharType="separate"/>
          </w:r>
          <w:r>
            <w:rPr>
              <w:rFonts w:ascii="Times New Roman" w:hAnsi="Times New Roman" w:eastAsia="Times New Roman" w:cs="Times New Roman"/>
              <w:spacing w:val="-4"/>
              <w:sz w:val="21"/>
              <w:szCs w:val="21"/>
            </w:rPr>
            <w:t>17.2</w:t>
          </w:r>
          <w:r>
            <w:rPr>
              <w:rFonts w:ascii="Times New Roman" w:hAnsi="Times New Roman" w:eastAsia="Times New Roman" w:cs="Times New Roman"/>
              <w:spacing w:val="19"/>
              <w:w w:val="101"/>
              <w:sz w:val="21"/>
              <w:szCs w:val="21"/>
            </w:rPr>
            <w:t xml:space="preserve"> </w:t>
          </w:r>
          <w:r>
            <w:rPr>
              <w:rFonts w:ascii="黑体" w:hAnsi="黑体" w:eastAsia="黑体" w:cs="黑体"/>
              <w:spacing w:val="-4"/>
              <w:sz w:val="21"/>
              <w:szCs w:val="21"/>
            </w:rPr>
            <w:t>预付款</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107</w:t>
          </w:r>
          <w:r>
            <w:rPr>
              <w:rFonts w:ascii="Calibri" w:hAnsi="Calibri" w:eastAsia="Calibri" w:cs="Calibri"/>
              <w:spacing w:val="1"/>
              <w:sz w:val="21"/>
              <w:szCs w:val="21"/>
            </w:rPr>
            <w:fldChar w:fldCharType="end"/>
          </w:r>
        </w:p>
        <w:p w14:paraId="07692DB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"bookmark260" </w:instrText>
          </w:r>
          <w:r>
            <w:fldChar w:fldCharType="separate"/>
          </w:r>
          <w:r>
            <w:rPr>
              <w:rFonts w:ascii="Times New Roman" w:hAnsi="Times New Roman" w:eastAsia="Times New Roman" w:cs="Times New Roman"/>
              <w:spacing w:val="-3"/>
              <w:sz w:val="21"/>
              <w:szCs w:val="21"/>
            </w:rPr>
            <w:t>17.3</w:t>
          </w:r>
          <w:r>
            <w:rPr>
              <w:rFonts w:ascii="Times New Roman" w:hAnsi="Times New Roman" w:eastAsia="Times New Roman" w:cs="Times New Roman"/>
              <w:spacing w:val="22"/>
              <w:sz w:val="21"/>
              <w:szCs w:val="21"/>
            </w:rPr>
            <w:t xml:space="preserve"> </w:t>
          </w:r>
          <w:r>
            <w:rPr>
              <w:rFonts w:ascii="黑体" w:hAnsi="黑体" w:eastAsia="黑体" w:cs="黑体"/>
              <w:spacing w:val="-3"/>
              <w:sz w:val="21"/>
              <w:szCs w:val="21"/>
            </w:rPr>
            <w:t>工程进度付款</w:t>
          </w:r>
          <w:r>
            <w:rPr>
              <w:rFonts w:ascii="黑体" w:hAnsi="黑体" w:eastAsia="黑体" w:cs="黑体"/>
              <w:sz w:val="21"/>
              <w:szCs w:val="21"/>
            </w:rPr>
            <w:tab/>
          </w:r>
          <w:r>
            <w:rPr>
              <w:rFonts w:ascii="Calibri" w:hAnsi="Calibri" w:eastAsia="Calibri" w:cs="Calibri"/>
              <w:spacing w:val="2"/>
              <w:sz w:val="21"/>
              <w:szCs w:val="21"/>
            </w:rPr>
            <w:t>109</w:t>
          </w:r>
          <w:r>
            <w:rPr>
              <w:rFonts w:ascii="Calibri" w:hAnsi="Calibri" w:eastAsia="Calibri" w:cs="Calibri"/>
              <w:spacing w:val="2"/>
              <w:sz w:val="21"/>
              <w:szCs w:val="21"/>
            </w:rPr>
            <w:fldChar w:fldCharType="end"/>
          </w:r>
        </w:p>
        <w:p w14:paraId="4B6AE1D2">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"bookmark261" </w:instrText>
          </w:r>
          <w:r>
            <w:fldChar w:fldCharType="separate"/>
          </w:r>
          <w:r>
            <w:rPr>
              <w:rFonts w:ascii="Times New Roman" w:hAnsi="Times New Roman" w:eastAsia="Times New Roman" w:cs="Times New Roman"/>
              <w:spacing w:val="-3"/>
              <w:sz w:val="21"/>
              <w:szCs w:val="21"/>
            </w:rPr>
            <w:t>17.4</w:t>
          </w:r>
          <w:r>
            <w:rPr>
              <w:rFonts w:ascii="Times New Roman" w:hAnsi="Times New Roman" w:eastAsia="Times New Roman" w:cs="Times New Roman"/>
              <w:spacing w:val="18"/>
              <w:w w:val="101"/>
              <w:sz w:val="21"/>
              <w:szCs w:val="21"/>
            </w:rPr>
            <w:t xml:space="preserve"> </w:t>
          </w:r>
          <w:r>
            <w:rPr>
              <w:rFonts w:ascii="黑体" w:hAnsi="黑体" w:eastAsia="黑体" w:cs="黑体"/>
              <w:spacing w:val="-3"/>
              <w:sz w:val="21"/>
              <w:szCs w:val="21"/>
            </w:rPr>
            <w:t>质量保证金</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109</w:t>
          </w:r>
          <w:r>
            <w:rPr>
              <w:rFonts w:ascii="Calibri" w:hAnsi="Calibri" w:eastAsia="Calibri" w:cs="Calibri"/>
              <w:spacing w:val="2"/>
              <w:sz w:val="21"/>
              <w:szCs w:val="21"/>
            </w:rPr>
            <w:fldChar w:fldCharType="end"/>
          </w:r>
        </w:p>
        <w:p w14:paraId="46B93E22">
          <w:pPr>
            <w:tabs>
              <w:tab w:val="right" w:leader="dot" w:pos="8322"/>
            </w:tabs>
            <w:spacing w:before="67" w:line="238" w:lineRule="auto"/>
            <w:ind w:left="881"/>
            <w:rPr>
              <w:rFonts w:ascii="Calibri" w:hAnsi="Calibri" w:eastAsia="Calibri" w:cs="Calibri"/>
              <w:sz w:val="21"/>
              <w:szCs w:val="21"/>
            </w:rPr>
          </w:pPr>
          <w:r>
            <w:fldChar w:fldCharType="begin"/>
          </w:r>
          <w:r>
            <w:instrText xml:space="preserve"> HYPERLINK \l "bookmark262" </w:instrText>
          </w:r>
          <w:r>
            <w:fldChar w:fldCharType="separate"/>
          </w:r>
          <w:r>
            <w:rPr>
              <w:rFonts w:ascii="Times New Roman" w:hAnsi="Times New Roman" w:eastAsia="Times New Roman" w:cs="Times New Roman"/>
              <w:spacing w:val="-3"/>
              <w:sz w:val="21"/>
              <w:szCs w:val="21"/>
            </w:rPr>
            <w:t>17.5</w:t>
          </w:r>
          <w:r>
            <w:rPr>
              <w:rFonts w:ascii="Times New Roman" w:hAnsi="Times New Roman" w:eastAsia="Times New Roman" w:cs="Times New Roman"/>
              <w:spacing w:val="15"/>
              <w:sz w:val="21"/>
              <w:szCs w:val="21"/>
            </w:rPr>
            <w:t xml:space="preserve"> </w:t>
          </w:r>
          <w:r>
            <w:rPr>
              <w:rFonts w:ascii="黑体" w:hAnsi="黑体" w:eastAsia="黑体" w:cs="黑体"/>
              <w:spacing w:val="-3"/>
              <w:sz w:val="21"/>
              <w:szCs w:val="21"/>
            </w:rPr>
            <w:t>竣工结算</w:t>
          </w:r>
          <w:r>
            <w:rPr>
              <w:rFonts w:ascii="黑体" w:hAnsi="黑体" w:eastAsia="黑体" w:cs="黑体"/>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sdtContent>
    </w:sdt>
    <w:p w14:paraId="1FE3082B">
      <w:pPr>
        <w:spacing w:line="238" w:lineRule="auto"/>
        <w:rPr>
          <w:rFonts w:ascii="Calibri" w:hAnsi="Calibri" w:eastAsia="Calibri" w:cs="Calibri"/>
          <w:sz w:val="21"/>
          <w:szCs w:val="21"/>
        </w:rPr>
        <w:sectPr>
          <w:footerReference r:id="rId10"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69942"/>
        <w:docPartObj>
          <w:docPartGallery w:val="Table of Contents"/>
          <w:docPartUnique/>
        </w:docPartObj>
      </w:sdtPr>
      <w:sdtEndPr>
        <w:rPr>
          <w:rFonts w:ascii="Calibri" w:hAnsi="Calibri" w:eastAsia="Calibri" w:cs="Calibri"/>
          <w:sz w:val="21"/>
          <w:szCs w:val="21"/>
        </w:rPr>
      </w:sdtEndPr>
      <w:sdtContent>
        <w:p w14:paraId="3D1E86D6">
          <w:pPr>
            <w:tabs>
              <w:tab w:val="right" w:leader="dot" w:pos="8322"/>
            </w:tabs>
            <w:spacing w:before="54" w:line="205" w:lineRule="auto"/>
            <w:ind w:left="881"/>
            <w:rPr>
              <w:rFonts w:ascii="Calibri" w:hAnsi="Calibri" w:eastAsia="Calibri" w:cs="Calibri"/>
              <w:sz w:val="21"/>
              <w:szCs w:val="21"/>
            </w:rPr>
          </w:pPr>
          <w:r>
            <w:fldChar w:fldCharType="begin"/>
          </w:r>
          <w:r>
            <w:instrText xml:space="preserve"> HYPERLINK \l "bookmark263" </w:instrText>
          </w:r>
          <w:r>
            <w:fldChar w:fldCharType="separate"/>
          </w:r>
          <w:r>
            <w:rPr>
              <w:rFonts w:ascii="Times New Roman" w:hAnsi="Times New Roman" w:eastAsia="Times New Roman" w:cs="Times New Roman"/>
              <w:spacing w:val="-4"/>
              <w:sz w:val="21"/>
              <w:szCs w:val="21"/>
            </w:rPr>
            <w:t>17.6</w:t>
          </w:r>
          <w:r>
            <w:rPr>
              <w:rFonts w:ascii="Times New Roman" w:hAnsi="Times New Roman" w:eastAsia="Times New Roman" w:cs="Times New Roman"/>
              <w:spacing w:val="23"/>
              <w:sz w:val="21"/>
              <w:szCs w:val="21"/>
            </w:rPr>
            <w:t xml:space="preserve"> </w:t>
          </w:r>
          <w:r>
            <w:rPr>
              <w:rFonts w:ascii="黑体" w:hAnsi="黑体" w:eastAsia="黑体" w:cs="黑体"/>
              <w:spacing w:val="-4"/>
              <w:sz w:val="21"/>
              <w:szCs w:val="21"/>
            </w:rPr>
            <w:t>最终结清</w:t>
          </w:r>
          <w:r>
            <w:rPr>
              <w:rFonts w:ascii="黑体" w:hAnsi="黑体" w:eastAsia="黑体" w:cs="黑体"/>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p w14:paraId="79B5BAF5">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"bookmark264" </w:instrText>
          </w:r>
          <w:r>
            <w:fldChar w:fldCharType="separate"/>
          </w:r>
          <w:r>
            <w:rPr>
              <w:rFonts w:ascii="Times New Roman" w:hAnsi="Times New Roman" w:eastAsia="Times New Roman" w:cs="Times New Roman"/>
              <w:spacing w:val="-3"/>
              <w:sz w:val="21"/>
              <w:szCs w:val="21"/>
            </w:rPr>
            <w:t>18.</w:t>
          </w:r>
          <w:r>
            <w:rPr>
              <w:rFonts w:ascii="黑体" w:hAnsi="黑体" w:eastAsia="黑体" w:cs="黑体"/>
              <w:spacing w:val="-3"/>
              <w:sz w:val="21"/>
              <w:szCs w:val="21"/>
            </w:rPr>
            <w:t>竣工验收</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p w14:paraId="6A68F04C">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"bookmark265" </w:instrText>
          </w:r>
          <w:r>
            <w:fldChar w:fldCharType="separate"/>
          </w:r>
          <w:r>
            <w:rPr>
              <w:rFonts w:ascii="Times New Roman" w:hAnsi="Times New Roman" w:eastAsia="Times New Roman" w:cs="Times New Roman"/>
              <w:spacing w:val="-2"/>
              <w:sz w:val="21"/>
              <w:szCs w:val="21"/>
            </w:rPr>
            <w:t>18.2</w:t>
          </w:r>
          <w:r>
            <w:rPr>
              <w:rFonts w:ascii="Times New Roman" w:hAnsi="Times New Roman" w:eastAsia="Times New Roman" w:cs="Times New Roman"/>
              <w:spacing w:val="17"/>
              <w:sz w:val="21"/>
              <w:szCs w:val="21"/>
            </w:rPr>
            <w:t xml:space="preserve"> </w:t>
          </w:r>
          <w:r>
            <w:rPr>
              <w:rFonts w:ascii="黑体" w:hAnsi="黑体" w:eastAsia="黑体" w:cs="黑体"/>
              <w:spacing w:val="-2"/>
              <w:sz w:val="21"/>
              <w:szCs w:val="21"/>
            </w:rPr>
            <w:t>竣工验收申请报告</w:t>
          </w:r>
          <w:r>
            <w:rPr>
              <w:rFonts w:ascii="黑体" w:hAnsi="黑体" w:eastAsia="黑体" w:cs="黑体"/>
              <w:sz w:val="21"/>
              <w:szCs w:val="21"/>
            </w:rPr>
            <w:tab/>
          </w:r>
          <w:r>
            <w:rPr>
              <w:rFonts w:ascii="Calibri" w:hAnsi="Calibri" w:eastAsia="Calibri" w:cs="Calibri"/>
              <w:spacing w:val="2"/>
              <w:sz w:val="21"/>
              <w:szCs w:val="21"/>
            </w:rPr>
            <w:t>110</w:t>
          </w:r>
          <w:r>
            <w:rPr>
              <w:rFonts w:ascii="Calibri" w:hAnsi="Calibri" w:eastAsia="Calibri" w:cs="Calibri"/>
              <w:spacing w:val="2"/>
              <w:sz w:val="21"/>
              <w:szCs w:val="21"/>
            </w:rPr>
            <w:fldChar w:fldCharType="end"/>
          </w:r>
        </w:p>
        <w:p w14:paraId="4D3E0127">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"bookmark266" </w:instrText>
          </w:r>
          <w:r>
            <w:fldChar w:fldCharType="separate"/>
          </w:r>
          <w:r>
            <w:rPr>
              <w:rFonts w:ascii="Times New Roman" w:hAnsi="Times New Roman" w:eastAsia="Times New Roman" w:cs="Times New Roman"/>
              <w:spacing w:val="-4"/>
              <w:sz w:val="21"/>
              <w:szCs w:val="21"/>
            </w:rPr>
            <w:t>18.3</w:t>
          </w:r>
          <w:r>
            <w:rPr>
              <w:rFonts w:ascii="Times New Roman" w:hAnsi="Times New Roman" w:eastAsia="Times New Roman" w:cs="Times New Roman"/>
              <w:spacing w:val="14"/>
              <w:w w:val="101"/>
              <w:sz w:val="21"/>
              <w:szCs w:val="21"/>
            </w:rPr>
            <w:t xml:space="preserve"> </w:t>
          </w:r>
          <w:r>
            <w:rPr>
              <w:rFonts w:ascii="黑体" w:hAnsi="黑体" w:eastAsia="黑体" w:cs="黑体"/>
              <w:spacing w:val="-4"/>
              <w:sz w:val="21"/>
              <w:szCs w:val="21"/>
            </w:rPr>
            <w:t>验收</w:t>
          </w:r>
          <w:r>
            <w:rPr>
              <w:rFonts w:ascii="黑体" w:hAnsi="黑体" w:eastAsia="黑体" w:cs="黑体"/>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p w14:paraId="110B797F">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"bookmark267" </w:instrText>
          </w:r>
          <w:r>
            <w:fldChar w:fldCharType="separate"/>
          </w:r>
          <w:r>
            <w:rPr>
              <w:rFonts w:ascii="Times New Roman" w:hAnsi="Times New Roman" w:eastAsia="Times New Roman" w:cs="Times New Roman"/>
              <w:spacing w:val="-3"/>
              <w:sz w:val="21"/>
              <w:szCs w:val="21"/>
            </w:rPr>
            <w:t>18.5</w:t>
          </w:r>
          <w:r>
            <w:rPr>
              <w:rFonts w:ascii="Times New Roman" w:hAnsi="Times New Roman" w:eastAsia="Times New Roman" w:cs="Times New Roman"/>
              <w:spacing w:val="18"/>
              <w:w w:val="101"/>
              <w:sz w:val="21"/>
              <w:szCs w:val="21"/>
            </w:rPr>
            <w:t xml:space="preserve"> </w:t>
          </w:r>
          <w:r>
            <w:rPr>
              <w:rFonts w:ascii="黑体" w:hAnsi="黑体" w:eastAsia="黑体" w:cs="黑体"/>
              <w:spacing w:val="-3"/>
              <w:sz w:val="21"/>
              <w:szCs w:val="21"/>
            </w:rPr>
            <w:t>施工期运行</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110</w:t>
          </w:r>
          <w:r>
            <w:rPr>
              <w:rFonts w:ascii="Calibri" w:hAnsi="Calibri" w:eastAsia="Calibri" w:cs="Calibri"/>
              <w:spacing w:val="2"/>
              <w:sz w:val="21"/>
              <w:szCs w:val="21"/>
            </w:rPr>
            <w:fldChar w:fldCharType="end"/>
          </w:r>
        </w:p>
        <w:p w14:paraId="0DADD2F1">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"bookmark268" </w:instrText>
          </w:r>
          <w:r>
            <w:fldChar w:fldCharType="separate"/>
          </w:r>
          <w:r>
            <w:rPr>
              <w:rFonts w:ascii="Times New Roman" w:hAnsi="Times New Roman" w:eastAsia="Times New Roman" w:cs="Times New Roman"/>
              <w:spacing w:val="-4"/>
              <w:sz w:val="21"/>
              <w:szCs w:val="21"/>
            </w:rPr>
            <w:t>18.6</w:t>
          </w:r>
          <w:r>
            <w:rPr>
              <w:rFonts w:ascii="Times New Roman" w:hAnsi="Times New Roman" w:eastAsia="Times New Roman" w:cs="Times New Roman"/>
              <w:spacing w:val="18"/>
              <w:w w:val="101"/>
              <w:sz w:val="21"/>
              <w:szCs w:val="21"/>
            </w:rPr>
            <w:t xml:space="preserve"> </w:t>
          </w:r>
          <w:r>
            <w:rPr>
              <w:rFonts w:ascii="黑体" w:hAnsi="黑体" w:eastAsia="黑体" w:cs="黑体"/>
              <w:spacing w:val="-4"/>
              <w:sz w:val="21"/>
              <w:szCs w:val="21"/>
            </w:rPr>
            <w:t>试运行</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110</w:t>
          </w:r>
          <w:r>
            <w:rPr>
              <w:rFonts w:ascii="Calibri" w:hAnsi="Calibri" w:eastAsia="Calibri" w:cs="Calibri"/>
              <w:spacing w:val="1"/>
              <w:sz w:val="21"/>
              <w:szCs w:val="21"/>
            </w:rPr>
            <w:fldChar w:fldCharType="end"/>
          </w:r>
        </w:p>
        <w:p w14:paraId="6DC9D380">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"bookmark269" </w:instrText>
          </w:r>
          <w:r>
            <w:fldChar w:fldCharType="separate"/>
          </w:r>
          <w:r>
            <w:rPr>
              <w:rFonts w:ascii="Times New Roman" w:hAnsi="Times New Roman" w:eastAsia="Times New Roman" w:cs="Times New Roman"/>
              <w:spacing w:val="-3"/>
              <w:sz w:val="21"/>
              <w:szCs w:val="21"/>
            </w:rPr>
            <w:t>18.7</w:t>
          </w:r>
          <w:r>
            <w:rPr>
              <w:rFonts w:ascii="Times New Roman" w:hAnsi="Times New Roman" w:eastAsia="Times New Roman" w:cs="Times New Roman"/>
              <w:spacing w:val="15"/>
              <w:sz w:val="21"/>
              <w:szCs w:val="21"/>
            </w:rPr>
            <w:t xml:space="preserve"> </w:t>
          </w:r>
          <w:r>
            <w:rPr>
              <w:rFonts w:ascii="黑体" w:hAnsi="黑体" w:eastAsia="黑体" w:cs="黑体"/>
              <w:spacing w:val="-3"/>
              <w:sz w:val="21"/>
              <w:szCs w:val="21"/>
            </w:rPr>
            <w:t>竣工清场</w:t>
          </w:r>
          <w:r>
            <w:rPr>
              <w:rFonts w:ascii="黑体" w:hAnsi="黑体" w:eastAsia="黑体" w:cs="黑体"/>
              <w:sz w:val="21"/>
              <w:szCs w:val="21"/>
            </w:rPr>
            <w:tab/>
          </w:r>
          <w:r>
            <w:rPr>
              <w:rFonts w:ascii="Calibri" w:hAnsi="Calibri" w:eastAsia="Calibri" w:cs="Calibri"/>
              <w:spacing w:val="1"/>
              <w:sz w:val="21"/>
              <w:szCs w:val="21"/>
            </w:rPr>
            <w:t>111</w:t>
          </w:r>
          <w:r>
            <w:rPr>
              <w:rFonts w:ascii="Calibri" w:hAnsi="Calibri" w:eastAsia="Calibri" w:cs="Calibri"/>
              <w:spacing w:val="1"/>
              <w:sz w:val="21"/>
              <w:szCs w:val="21"/>
            </w:rPr>
            <w:fldChar w:fldCharType="end"/>
          </w:r>
        </w:p>
        <w:p w14:paraId="1C39F9C0">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"bookmark270" </w:instrText>
          </w:r>
          <w:r>
            <w:fldChar w:fldCharType="separate"/>
          </w:r>
          <w:r>
            <w:rPr>
              <w:rFonts w:ascii="Times New Roman" w:hAnsi="Times New Roman" w:eastAsia="Times New Roman" w:cs="Times New Roman"/>
              <w:spacing w:val="-2"/>
              <w:sz w:val="21"/>
              <w:szCs w:val="21"/>
            </w:rPr>
            <w:t>18.8</w:t>
          </w:r>
          <w:r>
            <w:rPr>
              <w:rFonts w:ascii="Times New Roman" w:hAnsi="Times New Roman" w:eastAsia="Times New Roman" w:cs="Times New Roman"/>
              <w:spacing w:val="14"/>
              <w:w w:val="101"/>
              <w:sz w:val="21"/>
              <w:szCs w:val="21"/>
            </w:rPr>
            <w:t xml:space="preserve"> </w:t>
          </w:r>
          <w:r>
            <w:rPr>
              <w:rFonts w:ascii="黑体" w:hAnsi="黑体" w:eastAsia="黑体" w:cs="黑体"/>
              <w:spacing w:val="-2"/>
              <w:sz w:val="21"/>
              <w:szCs w:val="21"/>
            </w:rPr>
            <w:t>施工队伍的撤离</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111</w:t>
          </w:r>
          <w:r>
            <w:rPr>
              <w:rFonts w:ascii="Calibri" w:hAnsi="Calibri" w:eastAsia="Calibri" w:cs="Calibri"/>
              <w:spacing w:val="2"/>
              <w:sz w:val="21"/>
              <w:szCs w:val="21"/>
            </w:rPr>
            <w:fldChar w:fldCharType="end"/>
          </w:r>
        </w:p>
        <w:p w14:paraId="62C41564">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"bookmark271" </w:instrText>
          </w:r>
          <w:r>
            <w:fldChar w:fldCharType="separate"/>
          </w:r>
          <w:r>
            <w:rPr>
              <w:rFonts w:ascii="Times New Roman" w:hAnsi="Times New Roman" w:eastAsia="Times New Roman" w:cs="Times New Roman"/>
              <w:spacing w:val="-6"/>
              <w:sz w:val="21"/>
              <w:szCs w:val="21"/>
            </w:rPr>
            <w:t>18.9</w:t>
          </w:r>
          <w:r>
            <w:rPr>
              <w:rFonts w:ascii="Times New Roman" w:hAnsi="Times New Roman" w:eastAsia="Times New Roman" w:cs="Times New Roman"/>
              <w:spacing w:val="39"/>
              <w:sz w:val="21"/>
              <w:szCs w:val="21"/>
            </w:rPr>
            <w:t xml:space="preserve"> </w:t>
          </w:r>
          <w:r>
            <w:rPr>
              <w:rFonts w:ascii="黑体" w:hAnsi="黑体" w:eastAsia="黑体" w:cs="黑体"/>
              <w:spacing w:val="-6"/>
              <w:sz w:val="21"/>
              <w:szCs w:val="21"/>
            </w:rPr>
            <w:t>中间验收</w:t>
          </w:r>
          <w:r>
            <w:rPr>
              <w:rFonts w:ascii="黑体" w:hAnsi="黑体" w:eastAsia="黑体" w:cs="黑体"/>
              <w:sz w:val="21"/>
              <w:szCs w:val="21"/>
            </w:rPr>
            <w:tab/>
          </w:r>
          <w:r>
            <w:rPr>
              <w:rFonts w:ascii="Calibri" w:hAnsi="Calibri" w:eastAsia="Calibri" w:cs="Calibri"/>
              <w:spacing w:val="1"/>
              <w:sz w:val="21"/>
              <w:szCs w:val="21"/>
            </w:rPr>
            <w:t>111</w:t>
          </w:r>
          <w:r>
            <w:rPr>
              <w:rFonts w:ascii="Calibri" w:hAnsi="Calibri" w:eastAsia="Calibri" w:cs="Calibri"/>
              <w:spacing w:val="1"/>
              <w:sz w:val="21"/>
              <w:szCs w:val="21"/>
            </w:rPr>
            <w:fldChar w:fldCharType="end"/>
          </w:r>
        </w:p>
        <w:p w14:paraId="6B7556C3">
          <w:pPr>
            <w:tabs>
              <w:tab w:val="right" w:leader="dot" w:pos="8322"/>
            </w:tabs>
            <w:spacing w:before="82" w:line="205" w:lineRule="auto"/>
            <w:ind w:left="461"/>
            <w:rPr>
              <w:rFonts w:ascii="Calibri" w:hAnsi="Calibri" w:eastAsia="Calibri" w:cs="Calibri"/>
              <w:sz w:val="21"/>
              <w:szCs w:val="21"/>
            </w:rPr>
          </w:pPr>
          <w:r>
            <w:fldChar w:fldCharType="begin"/>
          </w:r>
          <w:r>
            <w:instrText xml:space="preserve"> HYPERLINK \l "bookmark272" </w:instrText>
          </w:r>
          <w:r>
            <w:fldChar w:fldCharType="separate"/>
          </w:r>
          <w:r>
            <w:rPr>
              <w:rFonts w:ascii="Times New Roman" w:hAnsi="Times New Roman" w:eastAsia="Times New Roman" w:cs="Times New Roman"/>
              <w:spacing w:val="-2"/>
              <w:sz w:val="21"/>
              <w:szCs w:val="21"/>
            </w:rPr>
            <w:t>19.</w:t>
          </w:r>
          <w:r>
            <w:rPr>
              <w:rFonts w:ascii="黑体" w:hAnsi="黑体" w:eastAsia="黑体" w:cs="黑体"/>
              <w:spacing w:val="-2"/>
              <w:sz w:val="21"/>
              <w:szCs w:val="21"/>
            </w:rPr>
            <w:t>缺陷责任与保修责任</w:t>
          </w:r>
          <w:r>
            <w:rPr>
              <w:rFonts w:ascii="黑体" w:hAnsi="黑体" w:eastAsia="黑体" w:cs="黑体"/>
              <w:spacing w:val="-8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111</w:t>
          </w:r>
          <w:r>
            <w:rPr>
              <w:rFonts w:ascii="Calibri" w:hAnsi="Calibri" w:eastAsia="Calibri" w:cs="Calibri"/>
              <w:spacing w:val="2"/>
              <w:sz w:val="21"/>
              <w:szCs w:val="21"/>
            </w:rPr>
            <w:fldChar w:fldCharType="end"/>
          </w:r>
        </w:p>
        <w:p w14:paraId="2F7F7B74">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"bookmark273" </w:instrText>
          </w:r>
          <w:r>
            <w:fldChar w:fldCharType="separate"/>
          </w:r>
          <w:r>
            <w:rPr>
              <w:rFonts w:ascii="Times New Roman" w:hAnsi="Times New Roman" w:eastAsia="Times New Roman" w:cs="Times New Roman"/>
              <w:spacing w:val="-3"/>
              <w:sz w:val="21"/>
              <w:szCs w:val="21"/>
            </w:rPr>
            <w:t>19.7</w:t>
          </w:r>
          <w:r>
            <w:rPr>
              <w:rFonts w:ascii="Times New Roman" w:hAnsi="Times New Roman" w:eastAsia="Times New Roman" w:cs="Times New Roman"/>
              <w:spacing w:val="15"/>
              <w:sz w:val="21"/>
              <w:szCs w:val="21"/>
            </w:rPr>
            <w:t xml:space="preserve"> </w:t>
          </w:r>
          <w:r>
            <w:rPr>
              <w:rFonts w:ascii="黑体" w:hAnsi="黑体" w:eastAsia="黑体" w:cs="黑体"/>
              <w:spacing w:val="-3"/>
              <w:sz w:val="21"/>
              <w:szCs w:val="21"/>
            </w:rPr>
            <w:t>保修责任</w:t>
          </w:r>
          <w:r>
            <w:rPr>
              <w:rFonts w:ascii="黑体" w:hAnsi="黑体" w:eastAsia="黑体" w:cs="黑体"/>
              <w:sz w:val="21"/>
              <w:szCs w:val="21"/>
            </w:rPr>
            <w:tab/>
          </w:r>
          <w:r>
            <w:rPr>
              <w:rFonts w:ascii="Calibri" w:hAnsi="Calibri" w:eastAsia="Calibri" w:cs="Calibri"/>
              <w:spacing w:val="1"/>
              <w:sz w:val="21"/>
              <w:szCs w:val="21"/>
            </w:rPr>
            <w:t>111</w:t>
          </w:r>
          <w:r>
            <w:rPr>
              <w:rFonts w:ascii="Calibri" w:hAnsi="Calibri" w:eastAsia="Calibri" w:cs="Calibri"/>
              <w:spacing w:val="1"/>
              <w:sz w:val="21"/>
              <w:szCs w:val="21"/>
            </w:rPr>
            <w:fldChar w:fldCharType="end"/>
          </w:r>
        </w:p>
        <w:p w14:paraId="28671B41">
          <w:pPr>
            <w:tabs>
              <w:tab w:val="right" w:leader="dot" w:pos="8322"/>
            </w:tabs>
            <w:spacing w:before="81" w:line="205" w:lineRule="auto"/>
            <w:ind w:left="440"/>
            <w:rPr>
              <w:rFonts w:ascii="Calibri" w:hAnsi="Calibri" w:eastAsia="Calibri" w:cs="Calibri"/>
              <w:sz w:val="21"/>
              <w:szCs w:val="21"/>
            </w:rPr>
          </w:pPr>
          <w:r>
            <w:fldChar w:fldCharType="begin"/>
          </w:r>
          <w:r>
            <w:instrText xml:space="preserve"> HYPERLINK \l "bookmark274" </w:instrText>
          </w:r>
          <w:r>
            <w:fldChar w:fldCharType="separate"/>
          </w:r>
          <w:r>
            <w:rPr>
              <w:rFonts w:ascii="Times New Roman" w:hAnsi="Times New Roman" w:eastAsia="Times New Roman" w:cs="Times New Roman"/>
              <w:sz w:val="21"/>
              <w:szCs w:val="21"/>
            </w:rPr>
            <w:t>20.</w:t>
          </w:r>
          <w:r>
            <w:rPr>
              <w:rFonts w:ascii="黑体" w:hAnsi="黑体" w:eastAsia="黑体" w:cs="黑体"/>
              <w:sz w:val="21"/>
              <w:szCs w:val="21"/>
            </w:rPr>
            <w:t>保险</w:t>
          </w:r>
          <w:r>
            <w:rPr>
              <w:rFonts w:ascii="黑体" w:hAnsi="黑体" w:eastAsia="黑体" w:cs="黑体"/>
              <w:spacing w:val="-57"/>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112</w:t>
          </w:r>
          <w:r>
            <w:rPr>
              <w:rFonts w:ascii="Calibri" w:hAnsi="Calibri" w:eastAsia="Calibri" w:cs="Calibri"/>
              <w:spacing w:val="2"/>
              <w:sz w:val="21"/>
              <w:szCs w:val="21"/>
            </w:rPr>
            <w:fldChar w:fldCharType="end"/>
          </w:r>
        </w:p>
        <w:p w14:paraId="6E393F3A">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"bookmark275" </w:instrText>
          </w:r>
          <w:r>
            <w:fldChar w:fldCharType="separate"/>
          </w:r>
          <w:r>
            <w:rPr>
              <w:rFonts w:ascii="Times New Roman" w:hAnsi="Times New Roman" w:eastAsia="Times New Roman" w:cs="Times New Roman"/>
              <w:spacing w:val="-1"/>
              <w:sz w:val="21"/>
              <w:szCs w:val="21"/>
            </w:rPr>
            <w:t>20.1</w:t>
          </w:r>
          <w:r>
            <w:rPr>
              <w:rFonts w:ascii="Times New Roman" w:hAnsi="Times New Roman" w:eastAsia="Times New Roman" w:cs="Times New Roman"/>
              <w:spacing w:val="19"/>
              <w:sz w:val="21"/>
              <w:szCs w:val="21"/>
            </w:rPr>
            <w:t xml:space="preserve"> </w:t>
          </w:r>
          <w:r>
            <w:rPr>
              <w:rFonts w:ascii="黑体" w:hAnsi="黑体" w:eastAsia="黑体" w:cs="黑体"/>
              <w:spacing w:val="-1"/>
              <w:sz w:val="21"/>
              <w:szCs w:val="21"/>
            </w:rPr>
            <w:t>工程保险</w:t>
          </w:r>
          <w:r>
            <w:rPr>
              <w:rFonts w:ascii="黑体" w:hAnsi="黑体" w:eastAsia="黑体" w:cs="黑体"/>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1CAAC1C7">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"bookmark276" </w:instrText>
          </w:r>
          <w:r>
            <w:fldChar w:fldCharType="separate"/>
          </w:r>
          <w:r>
            <w:rPr>
              <w:rFonts w:ascii="Times New Roman" w:hAnsi="Times New Roman" w:eastAsia="Times New Roman" w:cs="Times New Roman"/>
              <w:spacing w:val="-1"/>
              <w:sz w:val="21"/>
              <w:szCs w:val="21"/>
            </w:rPr>
            <w:t>20.4</w:t>
          </w:r>
          <w:r>
            <w:rPr>
              <w:rFonts w:ascii="Times New Roman" w:hAnsi="Times New Roman" w:eastAsia="Times New Roman" w:cs="Times New Roman"/>
              <w:spacing w:val="22"/>
              <w:sz w:val="21"/>
              <w:szCs w:val="21"/>
            </w:rPr>
            <w:t xml:space="preserve"> </w:t>
          </w:r>
          <w:r>
            <w:rPr>
              <w:rFonts w:ascii="黑体" w:hAnsi="黑体" w:eastAsia="黑体" w:cs="黑体"/>
              <w:spacing w:val="-1"/>
              <w:sz w:val="21"/>
              <w:szCs w:val="21"/>
            </w:rPr>
            <w:t>第三者责任险</w:t>
          </w:r>
          <w:r>
            <w:rPr>
              <w:rFonts w:ascii="黑体" w:hAnsi="黑体" w:eastAsia="黑体" w:cs="黑体"/>
              <w:sz w:val="21"/>
              <w:szCs w:val="21"/>
            </w:rPr>
            <w:tab/>
          </w:r>
          <w:r>
            <w:rPr>
              <w:rFonts w:ascii="Calibri" w:hAnsi="Calibri" w:eastAsia="Calibri" w:cs="Calibri"/>
              <w:spacing w:val="2"/>
              <w:sz w:val="21"/>
              <w:szCs w:val="21"/>
            </w:rPr>
            <w:t>112</w:t>
          </w:r>
          <w:r>
            <w:rPr>
              <w:rFonts w:ascii="Calibri" w:hAnsi="Calibri" w:eastAsia="Calibri" w:cs="Calibri"/>
              <w:spacing w:val="2"/>
              <w:sz w:val="21"/>
              <w:szCs w:val="21"/>
            </w:rPr>
            <w:fldChar w:fldCharType="end"/>
          </w:r>
        </w:p>
        <w:p w14:paraId="28EC848E">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"bookmark277" </w:instrText>
          </w:r>
          <w:r>
            <w:fldChar w:fldCharType="separate"/>
          </w:r>
          <w:r>
            <w:rPr>
              <w:rFonts w:ascii="Times New Roman" w:hAnsi="Times New Roman" w:eastAsia="Times New Roman" w:cs="Times New Roman"/>
              <w:spacing w:val="-1"/>
              <w:sz w:val="21"/>
              <w:szCs w:val="21"/>
            </w:rPr>
            <w:t>20.5</w:t>
          </w:r>
          <w:r>
            <w:rPr>
              <w:rFonts w:ascii="Times New Roman" w:hAnsi="Times New Roman" w:eastAsia="Times New Roman" w:cs="Times New Roman"/>
              <w:spacing w:val="19"/>
              <w:sz w:val="21"/>
              <w:szCs w:val="21"/>
            </w:rPr>
            <w:t xml:space="preserve"> </w:t>
          </w:r>
          <w:r>
            <w:rPr>
              <w:rFonts w:ascii="黑体" w:hAnsi="黑体" w:eastAsia="黑体" w:cs="黑体"/>
              <w:spacing w:val="-1"/>
              <w:sz w:val="21"/>
              <w:szCs w:val="21"/>
            </w:rPr>
            <w:t>其他保险</w:t>
          </w:r>
          <w:r>
            <w:rPr>
              <w:rFonts w:ascii="黑体" w:hAnsi="黑体" w:eastAsia="黑体" w:cs="黑体"/>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1FCF2EDA">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"bookmark278" </w:instrText>
          </w:r>
          <w:r>
            <w:fldChar w:fldCharType="separate"/>
          </w:r>
          <w:r>
            <w:rPr>
              <w:rFonts w:ascii="Times New Roman" w:hAnsi="Times New Roman" w:eastAsia="Times New Roman" w:cs="Times New Roman"/>
              <w:sz w:val="21"/>
              <w:szCs w:val="21"/>
            </w:rPr>
            <w:t>20.6</w:t>
          </w:r>
          <w:r>
            <w:rPr>
              <w:rFonts w:ascii="Times New Roman" w:hAnsi="Times New Roman" w:eastAsia="Times New Roman" w:cs="Times New Roman"/>
              <w:spacing w:val="14"/>
              <w:w w:val="101"/>
              <w:sz w:val="21"/>
              <w:szCs w:val="21"/>
            </w:rPr>
            <w:t xml:space="preserve"> </w:t>
          </w:r>
          <w:r>
            <w:rPr>
              <w:rFonts w:ascii="黑体" w:hAnsi="黑体" w:eastAsia="黑体" w:cs="黑体"/>
              <w:sz w:val="21"/>
              <w:szCs w:val="21"/>
            </w:rPr>
            <w:t>对各项保险的一般要求</w:t>
          </w:r>
          <w:r>
            <w:rPr>
              <w:rFonts w:ascii="黑体" w:hAnsi="黑体" w:eastAsia="黑体" w:cs="黑体"/>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1849E0DC">
          <w:pPr>
            <w:tabs>
              <w:tab w:val="right" w:leader="dot" w:pos="8322"/>
            </w:tabs>
            <w:spacing w:before="82" w:line="205" w:lineRule="auto"/>
            <w:ind w:left="440"/>
            <w:rPr>
              <w:rFonts w:ascii="Calibri" w:hAnsi="Calibri" w:eastAsia="Calibri" w:cs="Calibri"/>
              <w:sz w:val="21"/>
              <w:szCs w:val="21"/>
            </w:rPr>
          </w:pPr>
          <w:r>
            <w:fldChar w:fldCharType="begin"/>
          </w:r>
          <w:r>
            <w:instrText xml:space="preserve"> HYPERLINK \l "bookmark279" </w:instrText>
          </w:r>
          <w:r>
            <w:fldChar w:fldCharType="separate"/>
          </w:r>
          <w:r>
            <w:rPr>
              <w:rFonts w:ascii="Times New Roman" w:hAnsi="Times New Roman" w:eastAsia="Times New Roman" w:cs="Times New Roman"/>
              <w:sz w:val="21"/>
              <w:szCs w:val="21"/>
            </w:rPr>
            <w:t>21.</w:t>
          </w:r>
          <w:r>
            <w:rPr>
              <w:rFonts w:ascii="黑体" w:hAnsi="黑体" w:eastAsia="黑体" w:cs="黑体"/>
              <w:sz w:val="21"/>
              <w:szCs w:val="21"/>
            </w:rPr>
            <w:t>不可抗力</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65185F87">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"bookmark280" </w:instrText>
          </w:r>
          <w:r>
            <w:fldChar w:fldCharType="separate"/>
          </w:r>
          <w:r>
            <w:rPr>
              <w:rFonts w:ascii="Times New Roman" w:hAnsi="Times New Roman" w:eastAsia="Times New Roman" w:cs="Times New Roman"/>
              <w:spacing w:val="-1"/>
              <w:sz w:val="21"/>
              <w:szCs w:val="21"/>
            </w:rPr>
            <w:t>21.1</w:t>
          </w:r>
          <w:r>
            <w:rPr>
              <w:rFonts w:ascii="Times New Roman" w:hAnsi="Times New Roman" w:eastAsia="Times New Roman" w:cs="Times New Roman"/>
              <w:spacing w:val="23"/>
              <w:w w:val="101"/>
              <w:sz w:val="21"/>
              <w:szCs w:val="21"/>
            </w:rPr>
            <w:t xml:space="preserve"> </w:t>
          </w:r>
          <w:r>
            <w:rPr>
              <w:rFonts w:ascii="黑体" w:hAnsi="黑体" w:eastAsia="黑体" w:cs="黑体"/>
              <w:spacing w:val="-1"/>
              <w:sz w:val="21"/>
              <w:szCs w:val="21"/>
            </w:rPr>
            <w:t>不可抗力的确认</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112</w:t>
          </w:r>
          <w:r>
            <w:rPr>
              <w:rFonts w:ascii="Calibri" w:hAnsi="Calibri" w:eastAsia="Calibri" w:cs="Calibri"/>
              <w:spacing w:val="2"/>
              <w:sz w:val="21"/>
              <w:szCs w:val="21"/>
            </w:rPr>
            <w:fldChar w:fldCharType="end"/>
          </w:r>
        </w:p>
        <w:p w14:paraId="43136EB6">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"bookmark281" </w:instrText>
          </w:r>
          <w:r>
            <w:fldChar w:fldCharType="separate"/>
          </w:r>
          <w:r>
            <w:rPr>
              <w:rFonts w:ascii="Times New Roman" w:hAnsi="Times New Roman" w:eastAsia="Times New Roman" w:cs="Times New Roman"/>
              <w:spacing w:val="-1"/>
              <w:sz w:val="21"/>
              <w:szCs w:val="21"/>
            </w:rPr>
            <w:t>21.3</w:t>
          </w:r>
          <w:r>
            <w:rPr>
              <w:rFonts w:ascii="Times New Roman" w:hAnsi="Times New Roman" w:eastAsia="Times New Roman" w:cs="Times New Roman"/>
              <w:spacing w:val="28"/>
              <w:sz w:val="21"/>
              <w:szCs w:val="21"/>
            </w:rPr>
            <w:t xml:space="preserve"> </w:t>
          </w:r>
          <w:r>
            <w:rPr>
              <w:rFonts w:ascii="黑体" w:hAnsi="黑体" w:eastAsia="黑体" w:cs="黑体"/>
              <w:spacing w:val="-1"/>
              <w:sz w:val="21"/>
              <w:szCs w:val="21"/>
            </w:rPr>
            <w:t>不可抗力后果及其处理</w:t>
          </w:r>
          <w:r>
            <w:rPr>
              <w:rFonts w:ascii="黑体" w:hAnsi="黑体" w:eastAsia="黑体" w:cs="黑体"/>
              <w:sz w:val="21"/>
              <w:szCs w:val="21"/>
            </w:rPr>
            <w:tab/>
          </w:r>
          <w:r>
            <w:rPr>
              <w:rFonts w:ascii="Calibri" w:hAnsi="Calibri" w:eastAsia="Calibri" w:cs="Calibri"/>
              <w:spacing w:val="1"/>
              <w:sz w:val="21"/>
              <w:szCs w:val="21"/>
            </w:rPr>
            <w:t>112</w:t>
          </w:r>
          <w:r>
            <w:rPr>
              <w:rFonts w:ascii="Calibri" w:hAnsi="Calibri" w:eastAsia="Calibri" w:cs="Calibri"/>
              <w:spacing w:val="1"/>
              <w:sz w:val="21"/>
              <w:szCs w:val="21"/>
            </w:rPr>
            <w:fldChar w:fldCharType="end"/>
          </w:r>
        </w:p>
        <w:p w14:paraId="3A6DC387">
          <w:pPr>
            <w:tabs>
              <w:tab w:val="right" w:leader="dot" w:pos="8322"/>
            </w:tabs>
            <w:spacing w:before="82" w:line="205" w:lineRule="auto"/>
            <w:ind w:left="440"/>
            <w:rPr>
              <w:rFonts w:ascii="Calibri" w:hAnsi="Calibri" w:eastAsia="Calibri" w:cs="Calibri"/>
              <w:sz w:val="21"/>
              <w:szCs w:val="21"/>
            </w:rPr>
          </w:pPr>
          <w:r>
            <w:fldChar w:fldCharType="begin"/>
          </w:r>
          <w:r>
            <w:instrText xml:space="preserve"> HYPERLINK \l "bookmark282" </w:instrText>
          </w:r>
          <w:r>
            <w:fldChar w:fldCharType="separate"/>
          </w:r>
          <w:r>
            <w:rPr>
              <w:rFonts w:ascii="Times New Roman" w:hAnsi="Times New Roman" w:eastAsia="Times New Roman" w:cs="Times New Roman"/>
              <w:sz w:val="21"/>
              <w:szCs w:val="21"/>
            </w:rPr>
            <w:t>24.</w:t>
          </w:r>
          <w:r>
            <w:rPr>
              <w:rFonts w:ascii="黑体" w:hAnsi="黑体" w:eastAsia="黑体" w:cs="黑体"/>
              <w:sz w:val="21"/>
              <w:szCs w:val="21"/>
            </w:rPr>
            <w:t>争议的解决</w:t>
          </w:r>
          <w:r>
            <w:rPr>
              <w:rFonts w:ascii="黑体" w:hAnsi="黑体" w:eastAsia="黑体" w:cs="黑体"/>
              <w:spacing w:val="-8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113</w:t>
          </w:r>
          <w:r>
            <w:rPr>
              <w:rFonts w:ascii="Calibri" w:hAnsi="Calibri" w:eastAsia="Calibri" w:cs="Calibri"/>
              <w:spacing w:val="1"/>
              <w:sz w:val="21"/>
              <w:szCs w:val="21"/>
            </w:rPr>
            <w:fldChar w:fldCharType="end"/>
          </w:r>
        </w:p>
        <w:p w14:paraId="12A91707">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"bookmark283" </w:instrText>
          </w:r>
          <w:r>
            <w:fldChar w:fldCharType="separate"/>
          </w:r>
          <w:r>
            <w:rPr>
              <w:rFonts w:ascii="Times New Roman" w:hAnsi="Times New Roman" w:eastAsia="Times New Roman" w:cs="Times New Roman"/>
              <w:spacing w:val="-1"/>
              <w:sz w:val="21"/>
              <w:szCs w:val="21"/>
            </w:rPr>
            <w:t>24.1</w:t>
          </w:r>
          <w:r>
            <w:rPr>
              <w:rFonts w:ascii="Times New Roman" w:hAnsi="Times New Roman" w:eastAsia="Times New Roman" w:cs="Times New Roman"/>
              <w:spacing w:val="23"/>
              <w:w w:val="101"/>
              <w:sz w:val="21"/>
              <w:szCs w:val="21"/>
            </w:rPr>
            <w:t xml:space="preserve"> </w:t>
          </w:r>
          <w:r>
            <w:rPr>
              <w:rFonts w:ascii="黑体" w:hAnsi="黑体" w:eastAsia="黑体" w:cs="黑体"/>
              <w:spacing w:val="-1"/>
              <w:sz w:val="21"/>
              <w:szCs w:val="21"/>
            </w:rPr>
            <w:t>争议的解决方式</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113</w:t>
          </w:r>
          <w:r>
            <w:rPr>
              <w:rFonts w:ascii="Calibri" w:hAnsi="Calibri" w:eastAsia="Calibri" w:cs="Calibri"/>
              <w:spacing w:val="2"/>
              <w:sz w:val="21"/>
              <w:szCs w:val="21"/>
            </w:rPr>
            <w:fldChar w:fldCharType="end"/>
          </w:r>
        </w:p>
        <w:p w14:paraId="6C5CC415">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"bookmark284" </w:instrText>
          </w:r>
          <w:r>
            <w:fldChar w:fldCharType="separate"/>
          </w:r>
          <w:r>
            <w:rPr>
              <w:rFonts w:ascii="Times New Roman" w:hAnsi="Times New Roman" w:eastAsia="Times New Roman" w:cs="Times New Roman"/>
              <w:spacing w:val="-2"/>
              <w:sz w:val="21"/>
              <w:szCs w:val="21"/>
            </w:rPr>
            <w:t>24.3</w:t>
          </w:r>
          <w:r>
            <w:rPr>
              <w:rFonts w:ascii="Times New Roman" w:hAnsi="Times New Roman" w:eastAsia="Times New Roman" w:cs="Times New Roman"/>
              <w:spacing w:val="27"/>
              <w:sz w:val="21"/>
              <w:szCs w:val="21"/>
            </w:rPr>
            <w:t xml:space="preserve"> </w:t>
          </w:r>
          <w:r>
            <w:rPr>
              <w:rFonts w:ascii="黑体" w:hAnsi="黑体" w:eastAsia="黑体" w:cs="黑体"/>
              <w:spacing w:val="-2"/>
              <w:sz w:val="21"/>
              <w:szCs w:val="21"/>
            </w:rPr>
            <w:t>争议评审</w:t>
          </w:r>
          <w:r>
            <w:rPr>
              <w:rFonts w:ascii="黑体" w:hAnsi="黑体" w:eastAsia="黑体" w:cs="黑体"/>
              <w:sz w:val="21"/>
              <w:szCs w:val="21"/>
            </w:rPr>
            <w:tab/>
          </w:r>
          <w:r>
            <w:rPr>
              <w:rFonts w:ascii="Calibri" w:hAnsi="Calibri" w:eastAsia="Calibri" w:cs="Calibri"/>
              <w:spacing w:val="1"/>
              <w:sz w:val="21"/>
              <w:szCs w:val="21"/>
            </w:rPr>
            <w:t>113</w:t>
          </w:r>
          <w:r>
            <w:rPr>
              <w:rFonts w:ascii="Calibri" w:hAnsi="Calibri" w:eastAsia="Calibri" w:cs="Calibri"/>
              <w:spacing w:val="1"/>
              <w:sz w:val="21"/>
              <w:szCs w:val="21"/>
            </w:rPr>
            <w:fldChar w:fldCharType="end"/>
          </w:r>
        </w:p>
        <w:p w14:paraId="20FD3EC3">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"bookmark285" </w:instrText>
          </w:r>
          <w:r>
            <w:fldChar w:fldCharType="separate"/>
          </w:r>
          <w:r>
            <w:rPr>
              <w:rFonts w:ascii="黑体" w:hAnsi="黑体" w:eastAsia="黑体" w:cs="黑体"/>
              <w:spacing w:val="-2"/>
              <w:sz w:val="21"/>
              <w:szCs w:val="21"/>
            </w:rPr>
            <w:t>第三节</w:t>
          </w:r>
          <w:r>
            <w:rPr>
              <w:rFonts w:ascii="黑体" w:hAnsi="黑体" w:eastAsia="黑体" w:cs="黑体"/>
              <w:spacing w:val="13"/>
              <w:sz w:val="21"/>
              <w:szCs w:val="21"/>
            </w:rPr>
            <w:t xml:space="preserve">  </w:t>
          </w:r>
          <w:r>
            <w:rPr>
              <w:rFonts w:ascii="黑体" w:hAnsi="黑体" w:eastAsia="黑体" w:cs="黑体"/>
              <w:spacing w:val="-2"/>
              <w:sz w:val="21"/>
              <w:szCs w:val="21"/>
            </w:rPr>
            <w:t>合同附件格式</w:t>
          </w:r>
          <w:r>
            <w:rPr>
              <w:rFonts w:ascii="黑体" w:hAnsi="黑体" w:eastAsia="黑体" w:cs="黑体"/>
              <w:sz w:val="21"/>
              <w:szCs w:val="21"/>
            </w:rPr>
            <w:tab/>
          </w:r>
          <w:r>
            <w:rPr>
              <w:rFonts w:ascii="Calibri" w:hAnsi="Calibri" w:eastAsia="Calibri" w:cs="Calibri"/>
              <w:spacing w:val="2"/>
              <w:sz w:val="21"/>
              <w:szCs w:val="21"/>
            </w:rPr>
            <w:t>114</w:t>
          </w:r>
          <w:r>
            <w:rPr>
              <w:rFonts w:ascii="Calibri" w:hAnsi="Calibri" w:eastAsia="Calibri" w:cs="Calibri"/>
              <w:spacing w:val="2"/>
              <w:sz w:val="21"/>
              <w:szCs w:val="21"/>
            </w:rPr>
            <w:fldChar w:fldCharType="end"/>
          </w:r>
        </w:p>
        <w:p w14:paraId="254791AD">
          <w:pPr>
            <w:tabs>
              <w:tab w:val="right" w:leader="dot" w:pos="8322"/>
            </w:tabs>
            <w:spacing w:before="68" w:line="205" w:lineRule="auto"/>
            <w:ind w:left="876"/>
            <w:rPr>
              <w:rFonts w:ascii="Calibri" w:hAnsi="Calibri" w:eastAsia="Calibri" w:cs="Calibri"/>
              <w:sz w:val="21"/>
              <w:szCs w:val="21"/>
            </w:rPr>
          </w:pPr>
          <w:r>
            <w:fldChar w:fldCharType="begin"/>
          </w:r>
          <w:r>
            <w:instrText xml:space="preserve"> HYPERLINK \l "bookmark286" </w:instrText>
          </w:r>
          <w:r>
            <w:fldChar w:fldCharType="separate"/>
          </w:r>
          <w:r>
            <w:rPr>
              <w:rFonts w:ascii="黑体" w:hAnsi="黑体" w:eastAsia="黑体" w:cs="黑体"/>
              <w:spacing w:val="-5"/>
              <w:sz w:val="21"/>
              <w:szCs w:val="21"/>
            </w:rPr>
            <w:t>附件一：合同协议书</w:t>
          </w:r>
          <w:r>
            <w:rPr>
              <w:rFonts w:ascii="黑体" w:hAnsi="黑体" w:eastAsia="黑体" w:cs="黑体"/>
              <w:spacing w:val="-3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115</w:t>
          </w:r>
          <w:r>
            <w:rPr>
              <w:rFonts w:ascii="Calibri" w:hAnsi="Calibri" w:eastAsia="Calibri" w:cs="Calibri"/>
              <w:spacing w:val="2"/>
              <w:sz w:val="21"/>
              <w:szCs w:val="21"/>
            </w:rPr>
            <w:fldChar w:fldCharType="end"/>
          </w:r>
        </w:p>
        <w:p w14:paraId="33A9A8EA">
          <w:pPr>
            <w:tabs>
              <w:tab w:val="right" w:leader="dot" w:pos="8322"/>
            </w:tabs>
            <w:spacing w:before="81" w:line="205" w:lineRule="auto"/>
            <w:ind w:left="876"/>
            <w:rPr>
              <w:rFonts w:ascii="Calibri" w:hAnsi="Calibri" w:eastAsia="Calibri" w:cs="Calibri"/>
              <w:sz w:val="21"/>
              <w:szCs w:val="21"/>
            </w:rPr>
          </w:pPr>
          <w:r>
            <w:fldChar w:fldCharType="begin"/>
          </w:r>
          <w:r>
            <w:instrText xml:space="preserve"> HYPERLINK \l "bookmark287" </w:instrText>
          </w:r>
          <w:r>
            <w:fldChar w:fldCharType="separate"/>
          </w:r>
          <w:r>
            <w:rPr>
              <w:rFonts w:ascii="黑体" w:hAnsi="黑体" w:eastAsia="黑体" w:cs="黑体"/>
              <w:spacing w:val="-2"/>
              <w:sz w:val="21"/>
              <w:szCs w:val="21"/>
            </w:rPr>
            <w:t>附件二：预付款担保格式</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117</w:t>
          </w:r>
          <w:r>
            <w:rPr>
              <w:rFonts w:ascii="Calibri" w:hAnsi="Calibri" w:eastAsia="Calibri" w:cs="Calibri"/>
              <w:spacing w:val="1"/>
              <w:sz w:val="21"/>
              <w:szCs w:val="21"/>
            </w:rPr>
            <w:fldChar w:fldCharType="end"/>
          </w:r>
        </w:p>
        <w:p w14:paraId="07E75B2D">
          <w:pPr>
            <w:tabs>
              <w:tab w:val="right" w:leader="dot" w:pos="8322"/>
            </w:tabs>
            <w:spacing w:before="83" w:line="205" w:lineRule="auto"/>
            <w:ind w:left="876"/>
            <w:rPr>
              <w:rFonts w:ascii="Calibri" w:hAnsi="Calibri" w:eastAsia="Calibri" w:cs="Calibri"/>
              <w:sz w:val="21"/>
              <w:szCs w:val="21"/>
            </w:rPr>
          </w:pPr>
          <w:r>
            <w:fldChar w:fldCharType="begin"/>
          </w:r>
          <w:r>
            <w:instrText xml:space="preserve"> HYPERLINK \l "bookmark288" </w:instrText>
          </w:r>
          <w:r>
            <w:fldChar w:fldCharType="separate"/>
          </w:r>
          <w:r>
            <w:rPr>
              <w:rFonts w:ascii="黑体" w:hAnsi="黑体" w:eastAsia="黑体" w:cs="黑体"/>
              <w:spacing w:val="-2"/>
              <w:sz w:val="21"/>
              <w:szCs w:val="21"/>
            </w:rPr>
            <w:t>附件三：履约担保格式</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118</w:t>
          </w:r>
          <w:r>
            <w:rPr>
              <w:rFonts w:ascii="Calibri" w:hAnsi="Calibri" w:eastAsia="Calibri" w:cs="Calibri"/>
              <w:spacing w:val="2"/>
              <w:sz w:val="21"/>
              <w:szCs w:val="21"/>
            </w:rPr>
            <w:fldChar w:fldCharType="end"/>
          </w:r>
        </w:p>
        <w:p w14:paraId="1E1D2F32">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"bookmark289" </w:instrText>
          </w:r>
          <w:r>
            <w:fldChar w:fldCharType="separate"/>
          </w:r>
          <w:r>
            <w:rPr>
              <w:rFonts w:ascii="黑体" w:hAnsi="黑体" w:eastAsia="黑体" w:cs="黑体"/>
              <w:spacing w:val="-2"/>
              <w:sz w:val="21"/>
              <w:szCs w:val="21"/>
            </w:rPr>
            <w:t>附件四：支付担保格式</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120</w:t>
          </w:r>
          <w:r>
            <w:rPr>
              <w:rFonts w:ascii="Calibri" w:hAnsi="Calibri" w:eastAsia="Calibri" w:cs="Calibri"/>
              <w:spacing w:val="2"/>
              <w:sz w:val="21"/>
              <w:szCs w:val="21"/>
            </w:rPr>
            <w:fldChar w:fldCharType="end"/>
          </w:r>
        </w:p>
        <w:p w14:paraId="60BC4DF9">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"bookmark290" </w:instrText>
          </w:r>
          <w:r>
            <w:fldChar w:fldCharType="separate"/>
          </w:r>
          <w:r>
            <w:rPr>
              <w:rFonts w:ascii="黑体" w:hAnsi="黑体" w:eastAsia="黑体" w:cs="黑体"/>
              <w:spacing w:val="-2"/>
              <w:sz w:val="21"/>
              <w:szCs w:val="21"/>
            </w:rPr>
            <w:t>附件五：质量保修书格式</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122</w:t>
          </w:r>
          <w:r>
            <w:rPr>
              <w:rFonts w:ascii="Calibri" w:hAnsi="Calibri" w:eastAsia="Calibri" w:cs="Calibri"/>
              <w:spacing w:val="1"/>
              <w:sz w:val="21"/>
              <w:szCs w:val="21"/>
            </w:rPr>
            <w:fldChar w:fldCharType="end"/>
          </w:r>
        </w:p>
        <w:p w14:paraId="7BB13D47">
          <w:pPr>
            <w:tabs>
              <w:tab w:val="right" w:leader="dot" w:pos="8322"/>
            </w:tabs>
            <w:spacing w:before="67" w:line="205" w:lineRule="auto"/>
            <w:ind w:left="876"/>
            <w:rPr>
              <w:rFonts w:ascii="Calibri" w:hAnsi="Calibri" w:eastAsia="Calibri" w:cs="Calibri"/>
              <w:sz w:val="21"/>
              <w:szCs w:val="21"/>
            </w:rPr>
          </w:pPr>
          <w:r>
            <w:fldChar w:fldCharType="begin"/>
          </w:r>
          <w:r>
            <w:instrText xml:space="preserve"> HYPERLINK \l "bookmark291" </w:instrText>
          </w:r>
          <w:r>
            <w:fldChar w:fldCharType="separate"/>
          </w:r>
          <w:r>
            <w:rPr>
              <w:rFonts w:ascii="黑体" w:hAnsi="黑体" w:eastAsia="黑体" w:cs="黑体"/>
              <w:spacing w:val="-2"/>
              <w:sz w:val="21"/>
              <w:szCs w:val="21"/>
            </w:rPr>
            <w:t>附件六：廉政责任书格式</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124</w:t>
          </w:r>
          <w:r>
            <w:rPr>
              <w:rFonts w:ascii="Calibri" w:hAnsi="Calibri" w:eastAsia="Calibri" w:cs="Calibri"/>
              <w:spacing w:val="1"/>
              <w:sz w:val="21"/>
              <w:szCs w:val="21"/>
            </w:rPr>
            <w:fldChar w:fldCharType="end"/>
          </w:r>
        </w:p>
        <w:p w14:paraId="3E45D534">
          <w:pPr>
            <w:tabs>
              <w:tab w:val="right" w:leader="dot" w:pos="9252"/>
            </w:tabs>
            <w:spacing w:before="82" w:line="205" w:lineRule="auto"/>
            <w:ind w:left="24"/>
            <w:rPr>
              <w:rFonts w:ascii="Calibri" w:hAnsi="Calibri" w:eastAsia="Calibri" w:cs="Calibri"/>
              <w:sz w:val="21"/>
              <w:szCs w:val="21"/>
            </w:rPr>
          </w:pPr>
          <w:r>
            <w:fldChar w:fldCharType="begin"/>
          </w:r>
          <w:r>
            <w:instrText xml:space="preserve"> HYPERLINK \l "bookmark292" </w:instrText>
          </w:r>
          <w:r>
            <w:fldChar w:fldCharType="separate"/>
          </w:r>
          <w:r>
            <w:rPr>
              <w:rFonts w:ascii="黑体" w:hAnsi="黑体" w:eastAsia="黑体" w:cs="黑体"/>
              <w:spacing w:val="-1"/>
              <w:sz w:val="21"/>
              <w:szCs w:val="21"/>
            </w:rPr>
            <w:t>第四章  合同条款及格式</w:t>
          </w:r>
          <w:r>
            <w:rPr>
              <w:rFonts w:ascii="黑体" w:hAnsi="黑体" w:eastAsia="黑体" w:cs="黑体"/>
              <w:spacing w:val="-54"/>
              <w:sz w:val="21"/>
              <w:szCs w:val="21"/>
            </w:rPr>
            <w:t xml:space="preserve"> </w:t>
          </w:r>
          <w:r>
            <w:rPr>
              <w:rFonts w:ascii="黑体" w:hAnsi="黑体" w:eastAsia="黑体" w:cs="黑体"/>
              <w:sz w:val="21"/>
              <w:szCs w:val="21"/>
            </w:rPr>
            <w:tab/>
          </w:r>
          <w:r>
            <w:rPr>
              <w:rFonts w:ascii="黑体" w:hAnsi="黑体" w:eastAsia="黑体" w:cs="黑体"/>
              <w:spacing w:val="-49"/>
              <w:sz w:val="21"/>
              <w:szCs w:val="21"/>
            </w:rPr>
            <w:t xml:space="preserve"> </w:t>
          </w:r>
          <w:r>
            <w:rPr>
              <w:rFonts w:ascii="Calibri" w:hAnsi="Calibri" w:eastAsia="Calibri" w:cs="Calibri"/>
              <w:spacing w:val="-7"/>
              <w:sz w:val="21"/>
              <w:szCs w:val="21"/>
            </w:rPr>
            <w:t>126</w:t>
          </w:r>
          <w:r>
            <w:rPr>
              <w:rFonts w:ascii="Calibri" w:hAnsi="Calibri" w:eastAsia="Calibri" w:cs="Calibri"/>
              <w:spacing w:val="-7"/>
              <w:sz w:val="21"/>
              <w:szCs w:val="21"/>
            </w:rPr>
            <w:fldChar w:fldCharType="end"/>
          </w:r>
        </w:p>
        <w:p w14:paraId="3A2D19EF">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"bookmark293" </w:instrText>
          </w:r>
          <w:r>
            <w:fldChar w:fldCharType="separate"/>
          </w:r>
          <w:r>
            <w:rPr>
              <w:rFonts w:ascii="黑体" w:hAnsi="黑体" w:eastAsia="黑体" w:cs="黑体"/>
              <w:spacing w:val="-2"/>
              <w:sz w:val="21"/>
              <w:szCs w:val="21"/>
            </w:rPr>
            <w:t>第一部分</w:t>
          </w:r>
          <w:r>
            <w:rPr>
              <w:rFonts w:ascii="黑体" w:hAnsi="黑体" w:eastAsia="黑体" w:cs="黑体"/>
              <w:spacing w:val="26"/>
              <w:sz w:val="21"/>
              <w:szCs w:val="21"/>
            </w:rPr>
            <w:t xml:space="preserve"> </w:t>
          </w:r>
          <w:r>
            <w:rPr>
              <w:rFonts w:ascii="黑体" w:hAnsi="黑体" w:eastAsia="黑体" w:cs="黑体"/>
              <w:spacing w:val="-2"/>
              <w:sz w:val="21"/>
              <w:szCs w:val="21"/>
            </w:rPr>
            <w:t>合同协议书</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127</w:t>
          </w:r>
          <w:r>
            <w:rPr>
              <w:rFonts w:ascii="Calibri" w:hAnsi="Calibri" w:eastAsia="Calibri" w:cs="Calibri"/>
              <w:spacing w:val="2"/>
              <w:sz w:val="21"/>
              <w:szCs w:val="21"/>
            </w:rPr>
            <w:fldChar w:fldCharType="end"/>
          </w:r>
        </w:p>
        <w:p w14:paraId="40C20B33">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"bookmark294" </w:instrText>
          </w:r>
          <w:r>
            <w:fldChar w:fldCharType="separate"/>
          </w:r>
          <w:r>
            <w:rPr>
              <w:rFonts w:ascii="黑体" w:hAnsi="黑体" w:eastAsia="黑体" w:cs="黑体"/>
              <w:spacing w:val="-2"/>
              <w:sz w:val="21"/>
              <w:szCs w:val="21"/>
            </w:rPr>
            <w:t>第二部分</w:t>
          </w:r>
          <w:r>
            <w:rPr>
              <w:rFonts w:ascii="黑体" w:hAnsi="黑体" w:eastAsia="黑体" w:cs="黑体"/>
              <w:spacing w:val="29"/>
              <w:sz w:val="21"/>
              <w:szCs w:val="21"/>
            </w:rPr>
            <w:t xml:space="preserve"> </w:t>
          </w:r>
          <w:r>
            <w:rPr>
              <w:rFonts w:ascii="黑体" w:hAnsi="黑体" w:eastAsia="黑体" w:cs="黑体"/>
              <w:spacing w:val="-2"/>
              <w:sz w:val="21"/>
              <w:szCs w:val="21"/>
            </w:rPr>
            <w:t>通用合同条款</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131</w:t>
          </w:r>
          <w:r>
            <w:rPr>
              <w:rFonts w:ascii="Calibri" w:hAnsi="Calibri" w:eastAsia="Calibri" w:cs="Calibri"/>
              <w:spacing w:val="2"/>
              <w:sz w:val="21"/>
              <w:szCs w:val="21"/>
            </w:rPr>
            <w:fldChar w:fldCharType="end"/>
          </w:r>
        </w:p>
        <w:p w14:paraId="4807F26F">
          <w:pPr>
            <w:tabs>
              <w:tab w:val="right" w:leader="dot" w:pos="8322"/>
            </w:tabs>
            <w:spacing w:before="98" w:line="205" w:lineRule="auto"/>
            <w:ind w:left="450"/>
            <w:rPr>
              <w:rFonts w:ascii="Calibri" w:hAnsi="Calibri" w:eastAsia="Calibri" w:cs="Calibri"/>
              <w:sz w:val="21"/>
              <w:szCs w:val="21"/>
            </w:rPr>
          </w:pPr>
          <w:r>
            <w:fldChar w:fldCharType="begin"/>
          </w:r>
          <w:r>
            <w:instrText xml:space="preserve"> HYPERLINK \l "bookmark295" </w:instrText>
          </w:r>
          <w:r>
            <w:fldChar w:fldCharType="separate"/>
          </w:r>
          <w:r>
            <w:rPr>
              <w:rFonts w:ascii="Times New Roman" w:hAnsi="Times New Roman" w:eastAsia="Times New Roman" w:cs="Times New Roman"/>
              <w:b/>
              <w:bCs/>
              <w:spacing w:val="-6"/>
              <w:sz w:val="21"/>
              <w:szCs w:val="21"/>
            </w:rPr>
            <w:t>1.</w:t>
          </w:r>
          <w:r>
            <w:rPr>
              <w:rFonts w:ascii="Times New Roman" w:hAnsi="Times New Roman" w:eastAsia="Times New Roman" w:cs="Times New Roman"/>
              <w:b/>
              <w:bCs/>
              <w:spacing w:val="10"/>
              <w:sz w:val="21"/>
              <w:szCs w:val="21"/>
            </w:rPr>
            <w:t xml:space="preserve">  </w:t>
          </w:r>
          <w:r>
            <w:rPr>
              <w:rFonts w:ascii="黑体" w:hAnsi="黑体" w:eastAsia="黑体" w:cs="黑体"/>
              <w:b/>
              <w:bCs/>
              <w:spacing w:val="-6"/>
              <w:sz w:val="21"/>
              <w:szCs w:val="21"/>
            </w:rPr>
            <w:t>一般约定</w:t>
          </w:r>
          <w:r>
            <w:rPr>
              <w:rFonts w:ascii="黑体" w:hAnsi="黑体" w:eastAsia="黑体" w:cs="黑体"/>
              <w:spacing w:val="-5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132</w:t>
          </w:r>
          <w:r>
            <w:rPr>
              <w:rFonts w:ascii="Calibri" w:hAnsi="Calibri" w:eastAsia="Calibri" w:cs="Calibri"/>
              <w:spacing w:val="1"/>
              <w:sz w:val="21"/>
              <w:szCs w:val="21"/>
            </w:rPr>
            <w:fldChar w:fldCharType="end"/>
          </w:r>
        </w:p>
        <w:p w14:paraId="64E31105">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"bookmark296" </w:instrText>
          </w:r>
          <w:r>
            <w:fldChar w:fldCharType="separate"/>
          </w:r>
          <w:r>
            <w:rPr>
              <w:rFonts w:ascii="Times New Roman" w:hAnsi="Times New Roman" w:eastAsia="Times New Roman" w:cs="Times New Roman"/>
              <w:b/>
              <w:bCs/>
              <w:spacing w:val="-3"/>
              <w:sz w:val="21"/>
              <w:szCs w:val="21"/>
            </w:rPr>
            <w:t xml:space="preserve">1.1 </w:t>
          </w:r>
          <w:r>
            <w:rPr>
              <w:rFonts w:ascii="黑体" w:hAnsi="黑体" w:eastAsia="黑体" w:cs="黑体"/>
              <w:b/>
              <w:bCs/>
              <w:spacing w:val="-3"/>
              <w:sz w:val="21"/>
              <w:szCs w:val="21"/>
            </w:rPr>
            <w:t>词语定义与解释</w:t>
          </w:r>
          <w:r>
            <w:rPr>
              <w:rFonts w:ascii="黑体" w:hAnsi="黑体" w:eastAsia="黑体" w:cs="黑体"/>
              <w:spacing w:val="-7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132</w:t>
          </w:r>
          <w:r>
            <w:rPr>
              <w:rFonts w:ascii="Calibri" w:hAnsi="Calibri" w:eastAsia="Calibri" w:cs="Calibri"/>
              <w:spacing w:val="2"/>
              <w:sz w:val="21"/>
              <w:szCs w:val="21"/>
            </w:rPr>
            <w:fldChar w:fldCharType="end"/>
          </w:r>
        </w:p>
        <w:p w14:paraId="63F58D16">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"bookmark297" </w:instrText>
          </w:r>
          <w:r>
            <w:fldChar w:fldCharType="separate"/>
          </w:r>
          <w:r>
            <w:rPr>
              <w:rFonts w:ascii="Times New Roman" w:hAnsi="Times New Roman" w:eastAsia="Times New Roman" w:cs="Times New Roman"/>
              <w:b/>
              <w:bCs/>
              <w:spacing w:val="-3"/>
              <w:sz w:val="21"/>
              <w:szCs w:val="21"/>
            </w:rPr>
            <w:t xml:space="preserve">1.2 </w:t>
          </w:r>
          <w:r>
            <w:rPr>
              <w:rFonts w:ascii="黑体" w:hAnsi="黑体" w:eastAsia="黑体" w:cs="黑体"/>
              <w:b/>
              <w:bCs/>
              <w:spacing w:val="-3"/>
              <w:sz w:val="21"/>
              <w:szCs w:val="21"/>
            </w:rPr>
            <w:t>语言文字</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135</w:t>
          </w:r>
          <w:r>
            <w:rPr>
              <w:rFonts w:ascii="Calibri" w:hAnsi="Calibri" w:eastAsia="Calibri" w:cs="Calibri"/>
              <w:spacing w:val="1"/>
              <w:sz w:val="21"/>
              <w:szCs w:val="21"/>
            </w:rPr>
            <w:fldChar w:fldCharType="end"/>
          </w:r>
        </w:p>
        <w:p w14:paraId="299451C9">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"bookmark298" </w:instrText>
          </w:r>
          <w:r>
            <w:fldChar w:fldCharType="separate"/>
          </w:r>
          <w:r>
            <w:rPr>
              <w:rFonts w:ascii="Times New Roman" w:hAnsi="Times New Roman" w:eastAsia="Times New Roman" w:cs="Times New Roman"/>
              <w:b/>
              <w:bCs/>
              <w:spacing w:val="-3"/>
              <w:sz w:val="21"/>
              <w:szCs w:val="21"/>
            </w:rPr>
            <w:t xml:space="preserve">1.3 </w:t>
          </w:r>
          <w:r>
            <w:rPr>
              <w:rFonts w:ascii="黑体" w:hAnsi="黑体" w:eastAsia="黑体" w:cs="黑体"/>
              <w:b/>
              <w:bCs/>
              <w:spacing w:val="-3"/>
              <w:sz w:val="21"/>
              <w:szCs w:val="21"/>
            </w:rPr>
            <w:t>法律</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135</w:t>
          </w:r>
          <w:r>
            <w:rPr>
              <w:rFonts w:ascii="Calibri" w:hAnsi="Calibri" w:eastAsia="Calibri" w:cs="Calibri"/>
              <w:spacing w:val="1"/>
              <w:sz w:val="21"/>
              <w:szCs w:val="21"/>
            </w:rPr>
            <w:fldChar w:fldCharType="end"/>
          </w:r>
        </w:p>
        <w:p w14:paraId="1B7F2089">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"bookmark299" </w:instrText>
          </w:r>
          <w:r>
            <w:fldChar w:fldCharType="separate"/>
          </w:r>
          <w:r>
            <w:rPr>
              <w:rFonts w:ascii="Times New Roman" w:hAnsi="Times New Roman" w:eastAsia="Times New Roman" w:cs="Times New Roman"/>
              <w:b/>
              <w:bCs/>
              <w:spacing w:val="-2"/>
              <w:sz w:val="21"/>
              <w:szCs w:val="21"/>
            </w:rPr>
            <w:t xml:space="preserve">1.4  </w:t>
          </w:r>
          <w:r>
            <w:rPr>
              <w:rFonts w:ascii="黑体" w:hAnsi="黑体" w:eastAsia="黑体" w:cs="黑体"/>
              <w:b/>
              <w:bCs/>
              <w:spacing w:val="-2"/>
              <w:sz w:val="21"/>
              <w:szCs w:val="21"/>
            </w:rPr>
            <w:t>标准和规范</w:t>
          </w:r>
          <w:r>
            <w:rPr>
              <w:rFonts w:ascii="黑体" w:hAnsi="黑体" w:eastAsia="黑体" w:cs="黑体"/>
              <w:spacing w:val="-7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135</w:t>
          </w:r>
          <w:r>
            <w:rPr>
              <w:rFonts w:ascii="Calibri" w:hAnsi="Calibri" w:eastAsia="Calibri" w:cs="Calibri"/>
              <w:spacing w:val="2"/>
              <w:sz w:val="21"/>
              <w:szCs w:val="21"/>
            </w:rPr>
            <w:fldChar w:fldCharType="end"/>
          </w:r>
        </w:p>
        <w:p w14:paraId="253FD04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"bookmark300" </w:instrText>
          </w:r>
          <w:r>
            <w:fldChar w:fldCharType="separate"/>
          </w:r>
          <w:r>
            <w:rPr>
              <w:rFonts w:ascii="Times New Roman" w:hAnsi="Times New Roman" w:eastAsia="Times New Roman" w:cs="Times New Roman"/>
              <w:b/>
              <w:bCs/>
              <w:spacing w:val="-2"/>
              <w:sz w:val="21"/>
              <w:szCs w:val="21"/>
            </w:rPr>
            <w:t xml:space="preserve">1.5  </w:t>
          </w:r>
          <w:r>
            <w:rPr>
              <w:rFonts w:ascii="黑体" w:hAnsi="黑体" w:eastAsia="黑体" w:cs="黑体"/>
              <w:b/>
              <w:bCs/>
              <w:spacing w:val="-2"/>
              <w:sz w:val="21"/>
              <w:szCs w:val="21"/>
            </w:rPr>
            <w:t>合同文件的优先顺序</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135</w:t>
          </w:r>
          <w:r>
            <w:rPr>
              <w:rFonts w:ascii="Calibri" w:hAnsi="Calibri" w:eastAsia="Calibri" w:cs="Calibri"/>
              <w:spacing w:val="1"/>
              <w:sz w:val="21"/>
              <w:szCs w:val="21"/>
            </w:rPr>
            <w:fldChar w:fldCharType="end"/>
          </w:r>
        </w:p>
        <w:p w14:paraId="5B739017">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"bookmark301" </w:instrText>
          </w:r>
          <w:r>
            <w:fldChar w:fldCharType="separate"/>
          </w:r>
          <w:r>
            <w:rPr>
              <w:rFonts w:ascii="Times New Roman" w:hAnsi="Times New Roman" w:eastAsia="Times New Roman" w:cs="Times New Roman"/>
              <w:b/>
              <w:bCs/>
              <w:spacing w:val="-3"/>
              <w:sz w:val="21"/>
              <w:szCs w:val="21"/>
            </w:rPr>
            <w:t>1.6</w:t>
          </w:r>
          <w:r>
            <w:rPr>
              <w:rFonts w:ascii="Times New Roman" w:hAnsi="Times New Roman" w:eastAsia="Times New Roman" w:cs="Times New Roman"/>
              <w:b/>
              <w:bCs/>
              <w:spacing w:val="18"/>
              <w:w w:val="101"/>
              <w:sz w:val="21"/>
              <w:szCs w:val="21"/>
            </w:rPr>
            <w:t xml:space="preserve"> </w:t>
          </w:r>
          <w:r>
            <w:rPr>
              <w:rFonts w:ascii="黑体" w:hAnsi="黑体" w:eastAsia="黑体" w:cs="黑体"/>
              <w:b/>
              <w:bCs/>
              <w:spacing w:val="-3"/>
              <w:sz w:val="21"/>
              <w:szCs w:val="21"/>
            </w:rPr>
            <w:t>图纸和承包人文件</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136</w:t>
          </w:r>
          <w:r>
            <w:rPr>
              <w:rFonts w:ascii="Calibri" w:hAnsi="Calibri" w:eastAsia="Calibri" w:cs="Calibri"/>
              <w:spacing w:val="2"/>
              <w:sz w:val="21"/>
              <w:szCs w:val="21"/>
            </w:rPr>
            <w:fldChar w:fldCharType="end"/>
          </w:r>
        </w:p>
        <w:p w14:paraId="5CBC7874">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"bookmark302" </w:instrText>
          </w:r>
          <w:r>
            <w:fldChar w:fldCharType="separate"/>
          </w:r>
          <w:r>
            <w:rPr>
              <w:rFonts w:ascii="Times New Roman" w:hAnsi="Times New Roman" w:eastAsia="Times New Roman" w:cs="Times New Roman"/>
              <w:b/>
              <w:bCs/>
              <w:spacing w:val="-3"/>
              <w:sz w:val="21"/>
              <w:szCs w:val="21"/>
            </w:rPr>
            <w:t xml:space="preserve">1.7 </w:t>
          </w:r>
          <w:r>
            <w:rPr>
              <w:rFonts w:ascii="黑体" w:hAnsi="黑体" w:eastAsia="黑体" w:cs="黑体"/>
              <w:b/>
              <w:bCs/>
              <w:spacing w:val="-3"/>
              <w:sz w:val="21"/>
              <w:szCs w:val="21"/>
            </w:rPr>
            <w:t>联络</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136</w:t>
          </w:r>
          <w:r>
            <w:rPr>
              <w:rFonts w:ascii="Calibri" w:hAnsi="Calibri" w:eastAsia="Calibri" w:cs="Calibri"/>
              <w:spacing w:val="1"/>
              <w:sz w:val="21"/>
              <w:szCs w:val="21"/>
            </w:rPr>
            <w:fldChar w:fldCharType="end"/>
          </w:r>
        </w:p>
        <w:p w14:paraId="79EB9D36">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"bookmark303" </w:instrText>
          </w:r>
          <w:r>
            <w:fldChar w:fldCharType="separate"/>
          </w:r>
          <w:r>
            <w:rPr>
              <w:rFonts w:ascii="Times New Roman" w:hAnsi="Times New Roman" w:eastAsia="Times New Roman" w:cs="Times New Roman"/>
              <w:b/>
              <w:bCs/>
              <w:spacing w:val="-3"/>
              <w:sz w:val="21"/>
              <w:szCs w:val="21"/>
            </w:rPr>
            <w:t xml:space="preserve">1.8 </w:t>
          </w:r>
          <w:r>
            <w:rPr>
              <w:rFonts w:ascii="黑体" w:hAnsi="黑体" w:eastAsia="黑体" w:cs="黑体"/>
              <w:b/>
              <w:bCs/>
              <w:spacing w:val="-3"/>
              <w:sz w:val="21"/>
              <w:szCs w:val="21"/>
            </w:rPr>
            <w:t>严禁贿赂</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137</w:t>
          </w:r>
          <w:r>
            <w:rPr>
              <w:rFonts w:ascii="Calibri" w:hAnsi="Calibri" w:eastAsia="Calibri" w:cs="Calibri"/>
              <w:spacing w:val="1"/>
              <w:sz w:val="21"/>
              <w:szCs w:val="21"/>
            </w:rPr>
            <w:fldChar w:fldCharType="end"/>
          </w:r>
        </w:p>
        <w:p w14:paraId="296B18D0">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"bookmark304" </w:instrText>
          </w:r>
          <w:r>
            <w:fldChar w:fldCharType="separate"/>
          </w:r>
          <w:r>
            <w:rPr>
              <w:rFonts w:ascii="Times New Roman" w:hAnsi="Times New Roman" w:eastAsia="Times New Roman" w:cs="Times New Roman"/>
              <w:b/>
              <w:bCs/>
              <w:spacing w:val="-3"/>
              <w:sz w:val="21"/>
              <w:szCs w:val="21"/>
            </w:rPr>
            <w:t xml:space="preserve">1.9 </w:t>
          </w:r>
          <w:r>
            <w:rPr>
              <w:rFonts w:ascii="黑体" w:hAnsi="黑体" w:eastAsia="黑体" w:cs="黑体"/>
              <w:b/>
              <w:bCs/>
              <w:spacing w:val="-3"/>
              <w:sz w:val="21"/>
              <w:szCs w:val="21"/>
            </w:rPr>
            <w:t>化石、文物</w:t>
          </w:r>
          <w:r>
            <w:rPr>
              <w:rFonts w:ascii="黑体" w:hAnsi="黑体" w:eastAsia="黑体" w:cs="黑体"/>
              <w:spacing w:val="-7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137</w:t>
          </w:r>
          <w:r>
            <w:rPr>
              <w:rFonts w:ascii="Calibri" w:hAnsi="Calibri" w:eastAsia="Calibri" w:cs="Calibri"/>
              <w:spacing w:val="2"/>
              <w:sz w:val="21"/>
              <w:szCs w:val="21"/>
            </w:rPr>
            <w:fldChar w:fldCharType="end"/>
          </w:r>
        </w:p>
        <w:p w14:paraId="7C73962B">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"bookmark305" </w:instrText>
          </w:r>
          <w:r>
            <w:fldChar w:fldCharType="separate"/>
          </w:r>
          <w:r>
            <w:rPr>
              <w:rFonts w:ascii="Times New Roman" w:hAnsi="Times New Roman" w:eastAsia="Times New Roman" w:cs="Times New Roman"/>
              <w:b/>
              <w:bCs/>
              <w:spacing w:val="-3"/>
              <w:sz w:val="21"/>
              <w:szCs w:val="21"/>
            </w:rPr>
            <w:t xml:space="preserve">1.10 </w:t>
          </w:r>
          <w:r>
            <w:rPr>
              <w:rFonts w:ascii="黑体" w:hAnsi="黑体" w:eastAsia="黑体" w:cs="黑体"/>
              <w:b/>
              <w:bCs/>
              <w:spacing w:val="-3"/>
              <w:sz w:val="21"/>
              <w:szCs w:val="21"/>
            </w:rPr>
            <w:t>交通运输</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137</w:t>
          </w:r>
          <w:r>
            <w:rPr>
              <w:rFonts w:ascii="Calibri" w:hAnsi="Calibri" w:eastAsia="Calibri" w:cs="Calibri"/>
              <w:spacing w:val="1"/>
              <w:sz w:val="21"/>
              <w:szCs w:val="21"/>
            </w:rPr>
            <w:fldChar w:fldCharType="end"/>
          </w:r>
        </w:p>
        <w:p w14:paraId="2168825D">
          <w:pPr>
            <w:tabs>
              <w:tab w:val="right" w:leader="dot" w:pos="8322"/>
            </w:tabs>
            <w:spacing w:before="66"/>
            <w:ind w:left="870"/>
            <w:rPr>
              <w:rFonts w:ascii="Calibri" w:hAnsi="Calibri" w:eastAsia="Calibri" w:cs="Calibri"/>
              <w:sz w:val="21"/>
              <w:szCs w:val="21"/>
            </w:rPr>
          </w:pPr>
          <w:r>
            <w:fldChar w:fldCharType="begin"/>
          </w:r>
          <w:r>
            <w:instrText xml:space="preserve"> HYPERLINK \l "bookmark306" </w:instrText>
          </w:r>
          <w:r>
            <w:fldChar w:fldCharType="separate"/>
          </w:r>
          <w:r>
            <w:rPr>
              <w:rFonts w:ascii="Times New Roman" w:hAnsi="Times New Roman" w:eastAsia="Times New Roman" w:cs="Times New Roman"/>
              <w:b/>
              <w:bCs/>
              <w:spacing w:val="-3"/>
              <w:sz w:val="21"/>
              <w:szCs w:val="21"/>
            </w:rPr>
            <w:t xml:space="preserve">1.11 </w:t>
          </w:r>
          <w:r>
            <w:rPr>
              <w:rFonts w:ascii="黑体" w:hAnsi="黑体" w:eastAsia="黑体" w:cs="黑体"/>
              <w:b/>
              <w:bCs/>
              <w:spacing w:val="-3"/>
              <w:sz w:val="21"/>
              <w:szCs w:val="21"/>
            </w:rPr>
            <w:t>知识产权</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138</w:t>
          </w:r>
          <w:r>
            <w:rPr>
              <w:rFonts w:ascii="Calibri" w:hAnsi="Calibri" w:eastAsia="Calibri" w:cs="Calibri"/>
              <w:spacing w:val="1"/>
              <w:sz w:val="21"/>
              <w:szCs w:val="21"/>
            </w:rPr>
            <w:fldChar w:fldCharType="end"/>
          </w:r>
        </w:p>
      </w:sdtContent>
    </w:sdt>
    <w:p w14:paraId="17F89DB0">
      <w:pPr>
        <w:rPr>
          <w:rFonts w:ascii="Calibri" w:hAnsi="Calibri" w:eastAsia="Calibri" w:cs="Calibri"/>
          <w:sz w:val="21"/>
          <w:szCs w:val="21"/>
        </w:rPr>
        <w:sectPr>
          <w:footerReference r:id="rId11" w:type="default"/>
          <w:pgSz w:w="11910" w:h="16845"/>
          <w:pgMar w:top="1431" w:right="869" w:bottom="1044" w:left="1786" w:header="0" w:footer="882" w:gutter="0"/>
          <w:cols w:space="720" w:num="1"/>
        </w:sectPr>
      </w:pPr>
    </w:p>
    <w:sdt>
      <w:sdtPr>
        <w:rPr>
          <w:rFonts w:ascii="Times New Roman" w:hAnsi="Times New Roman" w:eastAsia="Times New Roman" w:cs="Times New Roman"/>
          <w:sz w:val="21"/>
          <w:szCs w:val="21"/>
        </w:rPr>
        <w:id w:val="147475881"/>
        <w:docPartObj>
          <w:docPartGallery w:val="Table of Contents"/>
          <w:docPartUnique/>
        </w:docPartObj>
      </w:sdtPr>
      <w:sdtEndPr>
        <w:rPr>
          <w:rFonts w:ascii="Calibri" w:hAnsi="Calibri" w:eastAsia="Calibri" w:cs="Calibri"/>
          <w:sz w:val="21"/>
          <w:szCs w:val="21"/>
        </w:rPr>
      </w:sdtEndPr>
      <w:sdtContent>
        <w:p w14:paraId="238CF2AE">
          <w:pPr>
            <w:tabs>
              <w:tab w:val="right" w:leader="dot" w:pos="8322"/>
            </w:tabs>
            <w:spacing w:before="69" w:line="205" w:lineRule="auto"/>
            <w:ind w:left="870"/>
            <w:rPr>
              <w:rFonts w:ascii="Calibri" w:hAnsi="Calibri" w:eastAsia="Calibri" w:cs="Calibri"/>
              <w:sz w:val="21"/>
              <w:szCs w:val="21"/>
            </w:rPr>
          </w:pPr>
          <w:r>
            <w:fldChar w:fldCharType="begin"/>
          </w:r>
          <w:r>
            <w:instrText xml:space="preserve"> HYPERLINK \l "bookmark307" </w:instrText>
          </w:r>
          <w:r>
            <w:fldChar w:fldCharType="separate"/>
          </w:r>
          <w:r>
            <w:rPr>
              <w:rFonts w:ascii="Times New Roman" w:hAnsi="Times New Roman" w:eastAsia="Times New Roman" w:cs="Times New Roman"/>
              <w:b/>
              <w:bCs/>
              <w:spacing w:val="-3"/>
              <w:sz w:val="21"/>
              <w:szCs w:val="21"/>
            </w:rPr>
            <w:t xml:space="preserve">1.12 </w:t>
          </w:r>
          <w:r>
            <w:rPr>
              <w:rFonts w:ascii="黑体" w:hAnsi="黑体" w:eastAsia="黑体" w:cs="黑体"/>
              <w:b/>
              <w:bCs/>
              <w:spacing w:val="-3"/>
              <w:sz w:val="21"/>
              <w:szCs w:val="21"/>
            </w:rPr>
            <w:t>保密</w:t>
          </w:r>
          <w:r>
            <w:rPr>
              <w:rFonts w:ascii="黑体" w:hAnsi="黑体" w:eastAsia="黑体" w:cs="黑体"/>
              <w:spacing w:val="-8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138</w:t>
          </w:r>
          <w:r>
            <w:rPr>
              <w:rFonts w:ascii="Calibri" w:hAnsi="Calibri" w:eastAsia="Calibri" w:cs="Calibri"/>
              <w:spacing w:val="1"/>
              <w:sz w:val="21"/>
              <w:szCs w:val="21"/>
            </w:rPr>
            <w:fldChar w:fldCharType="end"/>
          </w:r>
        </w:p>
        <w:p w14:paraId="1AA67C0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"bookmark308" </w:instrText>
          </w:r>
          <w:r>
            <w:fldChar w:fldCharType="separate"/>
          </w:r>
          <w:r>
            <w:rPr>
              <w:rFonts w:ascii="Times New Roman" w:hAnsi="Times New Roman" w:eastAsia="Times New Roman" w:cs="Times New Roman"/>
              <w:b/>
              <w:bCs/>
              <w:spacing w:val="-2"/>
              <w:sz w:val="21"/>
              <w:szCs w:val="21"/>
            </w:rPr>
            <w:t xml:space="preserve">1.13 </w:t>
          </w:r>
          <w:r>
            <w:rPr>
              <w:rFonts w:ascii="黑体" w:hAnsi="黑体" w:eastAsia="黑体" w:cs="黑体"/>
              <w:b/>
              <w:bCs/>
              <w:spacing w:val="-2"/>
              <w:sz w:val="21"/>
              <w:szCs w:val="21"/>
            </w:rPr>
            <w:t>工程量清单错误的修正</w:t>
          </w:r>
          <w:r>
            <w:rPr>
              <w:rFonts w:ascii="黑体" w:hAnsi="黑体" w:eastAsia="黑体" w:cs="黑体"/>
              <w:spacing w:val="-3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139</w:t>
          </w:r>
          <w:r>
            <w:rPr>
              <w:rFonts w:ascii="Calibri" w:hAnsi="Calibri" w:eastAsia="Calibri" w:cs="Calibri"/>
              <w:spacing w:val="2"/>
              <w:sz w:val="21"/>
              <w:szCs w:val="21"/>
            </w:rPr>
            <w:fldChar w:fldCharType="end"/>
          </w:r>
        </w:p>
        <w:p w14:paraId="6994DCF3">
          <w:pPr>
            <w:tabs>
              <w:tab w:val="right" w:leader="dot" w:pos="8322"/>
            </w:tabs>
            <w:spacing w:before="81" w:line="205" w:lineRule="auto"/>
            <w:ind w:left="441"/>
            <w:rPr>
              <w:rFonts w:ascii="Calibri" w:hAnsi="Calibri" w:eastAsia="Calibri" w:cs="Calibri"/>
              <w:sz w:val="21"/>
              <w:szCs w:val="21"/>
            </w:rPr>
          </w:pPr>
          <w:r>
            <w:fldChar w:fldCharType="begin"/>
          </w:r>
          <w:r>
            <w:instrText xml:space="preserve"> HYPERLINK \l "bookmark309" </w:instrText>
          </w:r>
          <w:r>
            <w:fldChar w:fldCharType="separate"/>
          </w:r>
          <w:r>
            <w:rPr>
              <w:rFonts w:ascii="Times New Roman" w:hAnsi="Times New Roman" w:eastAsia="Times New Roman" w:cs="Times New Roman"/>
              <w:b/>
              <w:bCs/>
              <w:spacing w:val="-5"/>
              <w:sz w:val="21"/>
              <w:szCs w:val="21"/>
            </w:rPr>
            <w:t>2.</w:t>
          </w:r>
          <w:r>
            <w:rPr>
              <w:rFonts w:ascii="Times New Roman" w:hAnsi="Times New Roman" w:eastAsia="Times New Roman" w:cs="Times New Roman"/>
              <w:b/>
              <w:bCs/>
              <w:spacing w:val="10"/>
              <w:sz w:val="21"/>
              <w:szCs w:val="21"/>
            </w:rPr>
            <w:t xml:space="preserve">  </w:t>
          </w:r>
          <w:r>
            <w:rPr>
              <w:rFonts w:ascii="黑体" w:hAnsi="黑体" w:eastAsia="黑体" w:cs="黑体"/>
              <w:b/>
              <w:bCs/>
              <w:spacing w:val="-5"/>
              <w:sz w:val="21"/>
              <w:szCs w:val="21"/>
            </w:rPr>
            <w:t>发包人</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139</w:t>
          </w:r>
          <w:r>
            <w:rPr>
              <w:rFonts w:ascii="Calibri" w:hAnsi="Calibri" w:eastAsia="Calibri" w:cs="Calibri"/>
              <w:spacing w:val="2"/>
              <w:sz w:val="21"/>
              <w:szCs w:val="21"/>
            </w:rPr>
            <w:fldChar w:fldCharType="end"/>
          </w:r>
        </w:p>
        <w:p w14:paraId="7714385E">
          <w:pPr>
            <w:tabs>
              <w:tab w:val="right" w:leader="dot" w:pos="8322"/>
            </w:tabs>
            <w:spacing w:before="67" w:line="205" w:lineRule="auto"/>
            <w:ind w:left="862"/>
            <w:rPr>
              <w:rFonts w:ascii="Calibri" w:hAnsi="Calibri" w:eastAsia="Calibri" w:cs="Calibri"/>
              <w:sz w:val="21"/>
              <w:szCs w:val="21"/>
            </w:rPr>
          </w:pPr>
          <w:r>
            <w:fldChar w:fldCharType="begin"/>
          </w:r>
          <w:r>
            <w:instrText xml:space="preserve"> HYPERLINK \l "bookmark310" </w:instrText>
          </w:r>
          <w:r>
            <w:fldChar w:fldCharType="separate"/>
          </w:r>
          <w:r>
            <w:rPr>
              <w:rFonts w:ascii="Times New Roman" w:hAnsi="Times New Roman" w:eastAsia="Times New Roman" w:cs="Times New Roman"/>
              <w:b/>
              <w:bCs/>
              <w:spacing w:val="-1"/>
              <w:sz w:val="21"/>
              <w:szCs w:val="21"/>
            </w:rPr>
            <w:t xml:space="preserve">2.1  </w:t>
          </w:r>
          <w:r>
            <w:rPr>
              <w:rFonts w:ascii="黑体" w:hAnsi="黑体" w:eastAsia="黑体" w:cs="黑体"/>
              <w:b/>
              <w:bCs/>
              <w:spacing w:val="-1"/>
              <w:sz w:val="21"/>
              <w:szCs w:val="21"/>
            </w:rPr>
            <w:t>许可或批准</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139</w:t>
          </w:r>
          <w:r>
            <w:rPr>
              <w:rFonts w:ascii="Calibri" w:hAnsi="Calibri" w:eastAsia="Calibri" w:cs="Calibri"/>
              <w:spacing w:val="2"/>
              <w:sz w:val="21"/>
              <w:szCs w:val="21"/>
            </w:rPr>
            <w:fldChar w:fldCharType="end"/>
          </w:r>
        </w:p>
        <w:p w14:paraId="1B845265">
          <w:pPr>
            <w:tabs>
              <w:tab w:val="right" w:leader="dot" w:pos="8322"/>
            </w:tabs>
            <w:spacing w:before="81" w:line="205" w:lineRule="auto"/>
            <w:ind w:left="862"/>
            <w:rPr>
              <w:rFonts w:ascii="Calibri" w:hAnsi="Calibri" w:eastAsia="Calibri" w:cs="Calibri"/>
              <w:sz w:val="21"/>
              <w:szCs w:val="21"/>
            </w:rPr>
          </w:pPr>
          <w:r>
            <w:fldChar w:fldCharType="begin"/>
          </w:r>
          <w:r>
            <w:instrText xml:space="preserve"> HYPERLINK \l "bookmark311" </w:instrText>
          </w:r>
          <w:r>
            <w:fldChar w:fldCharType="separate"/>
          </w:r>
          <w:r>
            <w:rPr>
              <w:rFonts w:ascii="Times New Roman" w:hAnsi="Times New Roman" w:eastAsia="Times New Roman" w:cs="Times New Roman"/>
              <w:b/>
              <w:bCs/>
              <w:spacing w:val="-1"/>
              <w:sz w:val="21"/>
              <w:szCs w:val="21"/>
            </w:rPr>
            <w:t xml:space="preserve">2.2  </w:t>
          </w:r>
          <w:r>
            <w:rPr>
              <w:rFonts w:ascii="黑体" w:hAnsi="黑体" w:eastAsia="黑体" w:cs="黑体"/>
              <w:b/>
              <w:bCs/>
              <w:spacing w:val="-1"/>
              <w:sz w:val="21"/>
              <w:szCs w:val="21"/>
            </w:rPr>
            <w:t>发包人代表</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139</w:t>
          </w:r>
          <w:r>
            <w:rPr>
              <w:rFonts w:ascii="Calibri" w:hAnsi="Calibri" w:eastAsia="Calibri" w:cs="Calibri"/>
              <w:spacing w:val="2"/>
              <w:sz w:val="21"/>
              <w:szCs w:val="21"/>
            </w:rPr>
            <w:fldChar w:fldCharType="end"/>
          </w:r>
        </w:p>
        <w:p w14:paraId="3889610F">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"bookmark312" </w:instrText>
          </w:r>
          <w:r>
            <w:fldChar w:fldCharType="separate"/>
          </w:r>
          <w:r>
            <w:rPr>
              <w:rFonts w:ascii="Times New Roman" w:hAnsi="Times New Roman" w:eastAsia="Times New Roman" w:cs="Times New Roman"/>
              <w:b/>
              <w:bCs/>
              <w:spacing w:val="-1"/>
              <w:sz w:val="21"/>
              <w:szCs w:val="21"/>
            </w:rPr>
            <w:t xml:space="preserve">2.3  </w:t>
          </w:r>
          <w:r>
            <w:rPr>
              <w:rFonts w:ascii="黑体" w:hAnsi="黑体" w:eastAsia="黑体" w:cs="黑体"/>
              <w:b/>
              <w:bCs/>
              <w:spacing w:val="-1"/>
              <w:sz w:val="21"/>
              <w:szCs w:val="21"/>
            </w:rPr>
            <w:t>发包人人员</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139</w:t>
          </w:r>
          <w:r>
            <w:rPr>
              <w:rFonts w:ascii="Calibri" w:hAnsi="Calibri" w:eastAsia="Calibri" w:cs="Calibri"/>
              <w:spacing w:val="2"/>
              <w:sz w:val="21"/>
              <w:szCs w:val="21"/>
            </w:rPr>
            <w:fldChar w:fldCharType="end"/>
          </w:r>
        </w:p>
        <w:p w14:paraId="15E55229">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"bookmark313" </w:instrText>
          </w:r>
          <w:r>
            <w:fldChar w:fldCharType="separate"/>
          </w:r>
          <w:r>
            <w:rPr>
              <w:rFonts w:ascii="Times New Roman" w:hAnsi="Times New Roman" w:eastAsia="Times New Roman" w:cs="Times New Roman"/>
              <w:b/>
              <w:bCs/>
              <w:spacing w:val="-1"/>
              <w:sz w:val="21"/>
              <w:szCs w:val="21"/>
            </w:rPr>
            <w:t xml:space="preserve">2.4  </w:t>
          </w:r>
          <w:r>
            <w:rPr>
              <w:rFonts w:ascii="黑体" w:hAnsi="黑体" w:eastAsia="黑体" w:cs="黑体"/>
              <w:b/>
              <w:bCs/>
              <w:spacing w:val="-1"/>
              <w:sz w:val="21"/>
              <w:szCs w:val="21"/>
            </w:rPr>
            <w:t>施工现场、施工条件和基础资料的提供</w:t>
          </w:r>
          <w:r>
            <w:rPr>
              <w:rFonts w:ascii="黑体" w:hAnsi="黑体" w:eastAsia="黑体" w:cs="黑体"/>
              <w:spacing w:val="-8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139</w:t>
          </w:r>
          <w:r>
            <w:rPr>
              <w:rFonts w:ascii="Calibri" w:hAnsi="Calibri" w:eastAsia="Calibri" w:cs="Calibri"/>
              <w:spacing w:val="2"/>
              <w:sz w:val="21"/>
              <w:szCs w:val="21"/>
            </w:rPr>
            <w:fldChar w:fldCharType="end"/>
          </w:r>
        </w:p>
        <w:p w14:paraId="05C7F213">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"bookmark314" </w:instrText>
          </w:r>
          <w:r>
            <w:fldChar w:fldCharType="separate"/>
          </w:r>
          <w:r>
            <w:rPr>
              <w:rFonts w:ascii="Times New Roman" w:hAnsi="Times New Roman" w:eastAsia="Times New Roman" w:cs="Times New Roman"/>
              <w:b/>
              <w:bCs/>
              <w:spacing w:val="-2"/>
              <w:sz w:val="21"/>
              <w:szCs w:val="21"/>
            </w:rPr>
            <w:t xml:space="preserve">2.5  </w:t>
          </w:r>
          <w:r>
            <w:rPr>
              <w:rFonts w:ascii="黑体" w:hAnsi="黑体" w:eastAsia="黑体" w:cs="黑体"/>
              <w:b/>
              <w:bCs/>
              <w:spacing w:val="-2"/>
              <w:sz w:val="21"/>
              <w:szCs w:val="21"/>
            </w:rPr>
            <w:t>资金来源证明及支付担保</w:t>
          </w:r>
          <w:r>
            <w:rPr>
              <w:rFonts w:ascii="黑体" w:hAnsi="黑体" w:eastAsia="黑体" w:cs="黑体"/>
              <w:spacing w:val="-6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140</w:t>
          </w:r>
          <w:r>
            <w:rPr>
              <w:rFonts w:ascii="Calibri" w:hAnsi="Calibri" w:eastAsia="Calibri" w:cs="Calibri"/>
              <w:spacing w:val="1"/>
              <w:sz w:val="21"/>
              <w:szCs w:val="21"/>
            </w:rPr>
            <w:fldChar w:fldCharType="end"/>
          </w:r>
        </w:p>
        <w:p w14:paraId="11A5007B">
          <w:pPr>
            <w:tabs>
              <w:tab w:val="right" w:leader="dot" w:pos="8322"/>
            </w:tabs>
            <w:spacing w:before="67" w:line="205" w:lineRule="auto"/>
            <w:ind w:left="862"/>
            <w:rPr>
              <w:rFonts w:ascii="Calibri" w:hAnsi="Calibri" w:eastAsia="Calibri" w:cs="Calibri"/>
              <w:sz w:val="21"/>
              <w:szCs w:val="21"/>
            </w:rPr>
          </w:pPr>
          <w:r>
            <w:fldChar w:fldCharType="begin"/>
          </w:r>
          <w:r>
            <w:instrText xml:space="preserve"> HYPERLINK \l "bookmark315" </w:instrText>
          </w:r>
          <w:r>
            <w:fldChar w:fldCharType="separate"/>
          </w:r>
          <w:r>
            <w:rPr>
              <w:rFonts w:ascii="Times New Roman" w:hAnsi="Times New Roman" w:eastAsia="Times New Roman" w:cs="Times New Roman"/>
              <w:b/>
              <w:bCs/>
              <w:spacing w:val="-3"/>
              <w:sz w:val="21"/>
              <w:szCs w:val="21"/>
            </w:rPr>
            <w:t>2.6</w:t>
          </w:r>
          <w:r>
            <w:rPr>
              <w:rFonts w:ascii="Times New Roman" w:hAnsi="Times New Roman" w:eastAsia="Times New Roman" w:cs="Times New Roman"/>
              <w:b/>
              <w:bCs/>
              <w:spacing w:val="9"/>
              <w:sz w:val="21"/>
              <w:szCs w:val="21"/>
            </w:rPr>
            <w:t xml:space="preserve">  </w:t>
          </w:r>
          <w:r>
            <w:rPr>
              <w:rFonts w:ascii="黑体" w:hAnsi="黑体" w:eastAsia="黑体" w:cs="黑体"/>
              <w:b/>
              <w:bCs/>
              <w:spacing w:val="-3"/>
              <w:sz w:val="21"/>
              <w:szCs w:val="21"/>
            </w:rPr>
            <w:t>支付合同价款</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140</w:t>
          </w:r>
          <w:r>
            <w:rPr>
              <w:rFonts w:ascii="Calibri" w:hAnsi="Calibri" w:eastAsia="Calibri" w:cs="Calibri"/>
              <w:spacing w:val="2"/>
              <w:sz w:val="21"/>
              <w:szCs w:val="21"/>
            </w:rPr>
            <w:fldChar w:fldCharType="end"/>
          </w:r>
        </w:p>
        <w:p w14:paraId="2C12AA7D">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"bookmark316" </w:instrText>
          </w:r>
          <w:r>
            <w:fldChar w:fldCharType="separate"/>
          </w:r>
          <w:r>
            <w:rPr>
              <w:rFonts w:ascii="Times New Roman" w:hAnsi="Times New Roman" w:eastAsia="Times New Roman" w:cs="Times New Roman"/>
              <w:b/>
              <w:bCs/>
              <w:spacing w:val="-1"/>
              <w:sz w:val="21"/>
              <w:szCs w:val="21"/>
            </w:rPr>
            <w:t xml:space="preserve">2.7  </w:t>
          </w:r>
          <w:r>
            <w:rPr>
              <w:rFonts w:ascii="黑体" w:hAnsi="黑体" w:eastAsia="黑体" w:cs="黑体"/>
              <w:b/>
              <w:bCs/>
              <w:spacing w:val="-1"/>
              <w:sz w:val="21"/>
              <w:szCs w:val="21"/>
            </w:rPr>
            <w:t>组织竣工验收</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140</w:t>
          </w:r>
          <w:r>
            <w:rPr>
              <w:rFonts w:ascii="Calibri" w:hAnsi="Calibri" w:eastAsia="Calibri" w:cs="Calibri"/>
              <w:spacing w:val="2"/>
              <w:sz w:val="21"/>
              <w:szCs w:val="21"/>
            </w:rPr>
            <w:fldChar w:fldCharType="end"/>
          </w:r>
        </w:p>
        <w:p w14:paraId="2BBB1067">
          <w:pPr>
            <w:tabs>
              <w:tab w:val="right" w:leader="dot" w:pos="8322"/>
            </w:tabs>
            <w:spacing w:before="83" w:line="205" w:lineRule="auto"/>
            <w:ind w:left="862"/>
            <w:rPr>
              <w:rFonts w:ascii="Calibri" w:hAnsi="Calibri" w:eastAsia="Calibri" w:cs="Calibri"/>
              <w:sz w:val="21"/>
              <w:szCs w:val="21"/>
            </w:rPr>
          </w:pPr>
          <w:r>
            <w:fldChar w:fldCharType="begin"/>
          </w:r>
          <w:r>
            <w:instrText xml:space="preserve"> HYPERLINK \l "bookmark317" </w:instrText>
          </w:r>
          <w:r>
            <w:fldChar w:fldCharType="separate"/>
          </w:r>
          <w:r>
            <w:rPr>
              <w:rFonts w:ascii="Times New Roman" w:hAnsi="Times New Roman" w:eastAsia="Times New Roman" w:cs="Times New Roman"/>
              <w:b/>
              <w:bCs/>
              <w:spacing w:val="-1"/>
              <w:sz w:val="21"/>
              <w:szCs w:val="21"/>
            </w:rPr>
            <w:t xml:space="preserve">2.8  </w:t>
          </w:r>
          <w:r>
            <w:rPr>
              <w:rFonts w:ascii="黑体" w:hAnsi="黑体" w:eastAsia="黑体" w:cs="黑体"/>
              <w:b/>
              <w:bCs/>
              <w:spacing w:val="-1"/>
              <w:sz w:val="21"/>
              <w:szCs w:val="21"/>
            </w:rPr>
            <w:t>现场统一管理协议</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140</w:t>
          </w:r>
          <w:r>
            <w:rPr>
              <w:rFonts w:ascii="Calibri" w:hAnsi="Calibri" w:eastAsia="Calibri" w:cs="Calibri"/>
              <w:spacing w:val="2"/>
              <w:sz w:val="21"/>
              <w:szCs w:val="21"/>
            </w:rPr>
            <w:fldChar w:fldCharType="end"/>
          </w:r>
        </w:p>
        <w:p w14:paraId="76758C72">
          <w:pPr>
            <w:tabs>
              <w:tab w:val="right" w:leader="dot" w:pos="8322"/>
            </w:tabs>
            <w:spacing w:before="81" w:line="205" w:lineRule="auto"/>
            <w:ind w:left="439"/>
            <w:rPr>
              <w:rFonts w:ascii="Calibri" w:hAnsi="Calibri" w:eastAsia="Calibri" w:cs="Calibri"/>
              <w:sz w:val="21"/>
              <w:szCs w:val="21"/>
            </w:rPr>
          </w:pPr>
          <w:r>
            <w:fldChar w:fldCharType="begin"/>
          </w:r>
          <w:r>
            <w:instrText xml:space="preserve"> HYPERLINK \l "bookmark318" </w:instrText>
          </w:r>
          <w:r>
            <w:fldChar w:fldCharType="separate"/>
          </w:r>
          <w:r>
            <w:rPr>
              <w:rFonts w:ascii="Times New Roman" w:hAnsi="Times New Roman" w:eastAsia="Times New Roman" w:cs="Times New Roman"/>
              <w:b/>
              <w:bCs/>
              <w:spacing w:val="-4"/>
              <w:sz w:val="21"/>
              <w:szCs w:val="21"/>
            </w:rPr>
            <w:t>3.</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承包人</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140</w:t>
          </w:r>
          <w:r>
            <w:rPr>
              <w:rFonts w:ascii="Calibri" w:hAnsi="Calibri" w:eastAsia="Calibri" w:cs="Calibri"/>
              <w:spacing w:val="2"/>
              <w:sz w:val="21"/>
              <w:szCs w:val="21"/>
            </w:rPr>
            <w:fldChar w:fldCharType="end"/>
          </w:r>
        </w:p>
        <w:p w14:paraId="117BD38F">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"bookmark319" </w:instrText>
          </w:r>
          <w:r>
            <w:fldChar w:fldCharType="separate"/>
          </w:r>
          <w:r>
            <w:rPr>
              <w:rFonts w:ascii="Times New Roman" w:hAnsi="Times New Roman" w:eastAsia="Times New Roman" w:cs="Times New Roman"/>
              <w:b/>
              <w:bCs/>
              <w:spacing w:val="-1"/>
              <w:sz w:val="21"/>
              <w:szCs w:val="21"/>
            </w:rPr>
            <w:t xml:space="preserve">3.1  </w:t>
          </w:r>
          <w:r>
            <w:rPr>
              <w:rFonts w:ascii="黑体" w:hAnsi="黑体" w:eastAsia="黑体" w:cs="黑体"/>
              <w:b/>
              <w:bCs/>
              <w:spacing w:val="-1"/>
              <w:sz w:val="21"/>
              <w:szCs w:val="21"/>
            </w:rPr>
            <w:t>承包人的一般义务</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140</w:t>
          </w:r>
          <w:r>
            <w:rPr>
              <w:rFonts w:ascii="Calibri" w:hAnsi="Calibri" w:eastAsia="Calibri" w:cs="Calibri"/>
              <w:spacing w:val="2"/>
              <w:sz w:val="21"/>
              <w:szCs w:val="21"/>
            </w:rPr>
            <w:fldChar w:fldCharType="end"/>
          </w:r>
        </w:p>
        <w:p w14:paraId="160516FA">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"bookmark320" </w:instrText>
          </w:r>
          <w:r>
            <w:fldChar w:fldCharType="separate"/>
          </w:r>
          <w:r>
            <w:rPr>
              <w:rFonts w:ascii="Times New Roman" w:hAnsi="Times New Roman" w:eastAsia="Times New Roman" w:cs="Times New Roman"/>
              <w:b/>
              <w:bCs/>
              <w:spacing w:val="-1"/>
              <w:sz w:val="21"/>
              <w:szCs w:val="21"/>
            </w:rPr>
            <w:t xml:space="preserve">3.2  </w:t>
          </w:r>
          <w:r>
            <w:rPr>
              <w:rFonts w:ascii="黑体" w:hAnsi="黑体" w:eastAsia="黑体" w:cs="黑体"/>
              <w:b/>
              <w:bCs/>
              <w:spacing w:val="-1"/>
              <w:sz w:val="21"/>
              <w:szCs w:val="21"/>
            </w:rPr>
            <w:t>项目经理</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141</w:t>
          </w:r>
          <w:r>
            <w:rPr>
              <w:rFonts w:ascii="Calibri" w:hAnsi="Calibri" w:eastAsia="Calibri" w:cs="Calibri"/>
              <w:spacing w:val="1"/>
              <w:sz w:val="21"/>
              <w:szCs w:val="21"/>
            </w:rPr>
            <w:fldChar w:fldCharType="end"/>
          </w:r>
        </w:p>
        <w:p w14:paraId="2C87EA8A">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"bookmark321" </w:instrText>
          </w:r>
          <w:r>
            <w:fldChar w:fldCharType="separate"/>
          </w:r>
          <w:r>
            <w:rPr>
              <w:rFonts w:ascii="Times New Roman" w:hAnsi="Times New Roman" w:eastAsia="Times New Roman" w:cs="Times New Roman"/>
              <w:b/>
              <w:bCs/>
              <w:spacing w:val="-1"/>
              <w:sz w:val="21"/>
              <w:szCs w:val="21"/>
            </w:rPr>
            <w:t xml:space="preserve">3.3  </w:t>
          </w:r>
          <w:r>
            <w:rPr>
              <w:rFonts w:ascii="黑体" w:hAnsi="黑体" w:eastAsia="黑体" w:cs="黑体"/>
              <w:b/>
              <w:bCs/>
              <w:spacing w:val="-1"/>
              <w:sz w:val="21"/>
              <w:szCs w:val="21"/>
            </w:rPr>
            <w:t>承包人人员</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142</w:t>
          </w:r>
          <w:r>
            <w:rPr>
              <w:rFonts w:ascii="Calibri" w:hAnsi="Calibri" w:eastAsia="Calibri" w:cs="Calibri"/>
              <w:spacing w:val="2"/>
              <w:sz w:val="21"/>
              <w:szCs w:val="21"/>
            </w:rPr>
            <w:fldChar w:fldCharType="end"/>
          </w:r>
        </w:p>
        <w:p w14:paraId="18916DBE">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"bookmark322" </w:instrText>
          </w:r>
          <w:r>
            <w:fldChar w:fldCharType="separate"/>
          </w:r>
          <w:r>
            <w:rPr>
              <w:rFonts w:ascii="Times New Roman" w:hAnsi="Times New Roman" w:eastAsia="Times New Roman" w:cs="Times New Roman"/>
              <w:b/>
              <w:bCs/>
              <w:spacing w:val="-1"/>
              <w:sz w:val="21"/>
              <w:szCs w:val="21"/>
            </w:rPr>
            <w:t xml:space="preserve">3.4  </w:t>
          </w:r>
          <w:r>
            <w:rPr>
              <w:rFonts w:ascii="黑体" w:hAnsi="黑体" w:eastAsia="黑体" w:cs="黑体"/>
              <w:b/>
              <w:bCs/>
              <w:spacing w:val="-1"/>
              <w:sz w:val="21"/>
              <w:szCs w:val="21"/>
            </w:rPr>
            <w:t>承包人现场查勘</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142</w:t>
          </w:r>
          <w:r>
            <w:rPr>
              <w:rFonts w:ascii="Calibri" w:hAnsi="Calibri" w:eastAsia="Calibri" w:cs="Calibri"/>
              <w:spacing w:val="2"/>
              <w:sz w:val="21"/>
              <w:szCs w:val="21"/>
            </w:rPr>
            <w:fldChar w:fldCharType="end"/>
          </w:r>
        </w:p>
        <w:p w14:paraId="2BB18828">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"bookmark323" </w:instrText>
          </w:r>
          <w:r>
            <w:fldChar w:fldCharType="separate"/>
          </w:r>
          <w:r>
            <w:rPr>
              <w:rFonts w:ascii="Times New Roman" w:hAnsi="Times New Roman" w:eastAsia="Times New Roman" w:cs="Times New Roman"/>
              <w:b/>
              <w:bCs/>
              <w:spacing w:val="-3"/>
              <w:sz w:val="21"/>
              <w:szCs w:val="21"/>
            </w:rPr>
            <w:t>3.5</w:t>
          </w:r>
          <w:r>
            <w:rPr>
              <w:rFonts w:ascii="Times New Roman" w:hAnsi="Times New Roman" w:eastAsia="Times New Roman" w:cs="Times New Roman"/>
              <w:b/>
              <w:bCs/>
              <w:spacing w:val="7"/>
              <w:sz w:val="21"/>
              <w:szCs w:val="21"/>
            </w:rPr>
            <w:t xml:space="preserve">  </w:t>
          </w:r>
          <w:r>
            <w:rPr>
              <w:rFonts w:ascii="黑体" w:hAnsi="黑体" w:eastAsia="黑体" w:cs="黑体"/>
              <w:b/>
              <w:bCs/>
              <w:spacing w:val="-3"/>
              <w:sz w:val="21"/>
              <w:szCs w:val="21"/>
            </w:rPr>
            <w:t>分包</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143</w:t>
          </w:r>
          <w:r>
            <w:rPr>
              <w:rFonts w:ascii="Calibri" w:hAnsi="Calibri" w:eastAsia="Calibri" w:cs="Calibri"/>
              <w:spacing w:val="1"/>
              <w:sz w:val="21"/>
              <w:szCs w:val="21"/>
            </w:rPr>
            <w:fldChar w:fldCharType="end"/>
          </w:r>
        </w:p>
        <w:p w14:paraId="0764CC80">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"bookmark324" </w:instrText>
          </w:r>
          <w:r>
            <w:fldChar w:fldCharType="separate"/>
          </w:r>
          <w:r>
            <w:rPr>
              <w:rFonts w:ascii="Times New Roman" w:hAnsi="Times New Roman" w:eastAsia="Times New Roman" w:cs="Times New Roman"/>
              <w:b/>
              <w:bCs/>
              <w:spacing w:val="-2"/>
              <w:sz w:val="21"/>
              <w:szCs w:val="21"/>
            </w:rPr>
            <w:t xml:space="preserve">3.6  </w:t>
          </w:r>
          <w:r>
            <w:rPr>
              <w:rFonts w:ascii="黑体" w:hAnsi="黑体" w:eastAsia="黑体" w:cs="黑体"/>
              <w:b/>
              <w:bCs/>
              <w:spacing w:val="-2"/>
              <w:sz w:val="21"/>
              <w:szCs w:val="21"/>
            </w:rPr>
            <w:t>工程照管与成品、半成品保护</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143</w:t>
          </w:r>
          <w:r>
            <w:rPr>
              <w:rFonts w:ascii="Calibri" w:hAnsi="Calibri" w:eastAsia="Calibri" w:cs="Calibri"/>
              <w:spacing w:val="1"/>
              <w:sz w:val="21"/>
              <w:szCs w:val="21"/>
            </w:rPr>
            <w:fldChar w:fldCharType="end"/>
          </w:r>
        </w:p>
        <w:p w14:paraId="51A8A9BA">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"bookmark325" </w:instrText>
          </w:r>
          <w:r>
            <w:fldChar w:fldCharType="separate"/>
          </w:r>
          <w:r>
            <w:rPr>
              <w:rFonts w:ascii="Times New Roman" w:hAnsi="Times New Roman" w:eastAsia="Times New Roman" w:cs="Times New Roman"/>
              <w:b/>
              <w:bCs/>
              <w:spacing w:val="-1"/>
              <w:sz w:val="21"/>
              <w:szCs w:val="21"/>
            </w:rPr>
            <w:t xml:space="preserve">3.7  </w:t>
          </w:r>
          <w:r>
            <w:rPr>
              <w:rFonts w:ascii="黑体" w:hAnsi="黑体" w:eastAsia="黑体" w:cs="黑体"/>
              <w:b/>
              <w:bCs/>
              <w:spacing w:val="-1"/>
              <w:sz w:val="21"/>
              <w:szCs w:val="21"/>
            </w:rPr>
            <w:t>履约担保</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180D6664">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"bookmark326" </w:instrText>
          </w:r>
          <w:r>
            <w:fldChar w:fldCharType="separate"/>
          </w:r>
          <w:r>
            <w:rPr>
              <w:rFonts w:ascii="Times New Roman" w:hAnsi="Times New Roman" w:eastAsia="Times New Roman" w:cs="Times New Roman"/>
              <w:b/>
              <w:bCs/>
              <w:spacing w:val="-2"/>
              <w:sz w:val="21"/>
              <w:szCs w:val="21"/>
            </w:rPr>
            <w:t>3.8</w:t>
          </w:r>
          <w:r>
            <w:rPr>
              <w:rFonts w:ascii="Times New Roman" w:hAnsi="Times New Roman" w:eastAsia="Times New Roman" w:cs="Times New Roman"/>
              <w:b/>
              <w:bCs/>
              <w:spacing w:val="4"/>
              <w:sz w:val="21"/>
              <w:szCs w:val="21"/>
            </w:rPr>
            <w:t xml:space="preserve">  </w:t>
          </w:r>
          <w:r>
            <w:rPr>
              <w:rFonts w:ascii="黑体" w:hAnsi="黑体" w:eastAsia="黑体" w:cs="黑体"/>
              <w:b/>
              <w:bCs/>
              <w:spacing w:val="-2"/>
              <w:sz w:val="21"/>
              <w:szCs w:val="21"/>
            </w:rPr>
            <w:t>联合体</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52897CDD">
          <w:pPr>
            <w:tabs>
              <w:tab w:val="right" w:leader="dot" w:pos="8322"/>
            </w:tabs>
            <w:spacing w:before="82" w:line="205" w:lineRule="auto"/>
            <w:ind w:left="441"/>
            <w:rPr>
              <w:rFonts w:ascii="Calibri" w:hAnsi="Calibri" w:eastAsia="Calibri" w:cs="Calibri"/>
              <w:sz w:val="21"/>
              <w:szCs w:val="21"/>
            </w:rPr>
          </w:pPr>
          <w:r>
            <w:fldChar w:fldCharType="begin"/>
          </w:r>
          <w:r>
            <w:instrText xml:space="preserve"> HYPERLINK \l "bookmark327" </w:instrText>
          </w:r>
          <w:r>
            <w:fldChar w:fldCharType="separate"/>
          </w:r>
          <w:r>
            <w:rPr>
              <w:rFonts w:ascii="Times New Roman" w:hAnsi="Times New Roman" w:eastAsia="Times New Roman" w:cs="Times New Roman"/>
              <w:b/>
              <w:bCs/>
              <w:spacing w:val="-4"/>
              <w:sz w:val="21"/>
              <w:szCs w:val="21"/>
            </w:rPr>
            <w:t>4.</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监理人</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144</w:t>
          </w:r>
          <w:r>
            <w:rPr>
              <w:rFonts w:ascii="Calibri" w:hAnsi="Calibri" w:eastAsia="Calibri" w:cs="Calibri"/>
              <w:spacing w:val="2"/>
              <w:sz w:val="21"/>
              <w:szCs w:val="21"/>
            </w:rPr>
            <w:fldChar w:fldCharType="end"/>
          </w:r>
        </w:p>
        <w:p w14:paraId="4F6919C8">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"bookmark328" </w:instrText>
          </w:r>
          <w:r>
            <w:fldChar w:fldCharType="separate"/>
          </w:r>
          <w:r>
            <w:rPr>
              <w:rFonts w:ascii="Times New Roman" w:hAnsi="Times New Roman" w:eastAsia="Times New Roman" w:cs="Times New Roman"/>
              <w:b/>
              <w:bCs/>
              <w:spacing w:val="-1"/>
              <w:sz w:val="21"/>
              <w:szCs w:val="21"/>
            </w:rPr>
            <w:t xml:space="preserve">4.1 </w:t>
          </w:r>
          <w:r>
            <w:rPr>
              <w:rFonts w:ascii="黑体" w:hAnsi="黑体" w:eastAsia="黑体" w:cs="黑体"/>
              <w:b/>
              <w:bCs/>
              <w:spacing w:val="-1"/>
              <w:sz w:val="21"/>
              <w:szCs w:val="21"/>
            </w:rPr>
            <w:t>监理人的一般规定</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144</w:t>
          </w:r>
          <w:r>
            <w:rPr>
              <w:rFonts w:ascii="Calibri" w:hAnsi="Calibri" w:eastAsia="Calibri" w:cs="Calibri"/>
              <w:spacing w:val="2"/>
              <w:sz w:val="21"/>
              <w:szCs w:val="21"/>
            </w:rPr>
            <w:fldChar w:fldCharType="end"/>
          </w:r>
        </w:p>
        <w:p w14:paraId="3F1FA56C">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"bookmark329" </w:instrText>
          </w:r>
          <w:r>
            <w:fldChar w:fldCharType="separate"/>
          </w:r>
          <w:r>
            <w:rPr>
              <w:rFonts w:ascii="Times New Roman" w:hAnsi="Times New Roman" w:eastAsia="Times New Roman" w:cs="Times New Roman"/>
              <w:b/>
              <w:bCs/>
              <w:spacing w:val="-2"/>
              <w:sz w:val="21"/>
              <w:szCs w:val="21"/>
            </w:rPr>
            <w:t xml:space="preserve">4.2 </w:t>
          </w:r>
          <w:r>
            <w:rPr>
              <w:rFonts w:ascii="黑体" w:hAnsi="黑体" w:eastAsia="黑体" w:cs="黑体"/>
              <w:b/>
              <w:bCs/>
              <w:spacing w:val="-2"/>
              <w:sz w:val="21"/>
              <w:szCs w:val="21"/>
            </w:rPr>
            <w:t>监理人员</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144</w:t>
          </w:r>
          <w:r>
            <w:rPr>
              <w:rFonts w:ascii="Calibri" w:hAnsi="Calibri" w:eastAsia="Calibri" w:cs="Calibri"/>
              <w:spacing w:val="1"/>
              <w:sz w:val="21"/>
              <w:szCs w:val="21"/>
            </w:rPr>
            <w:fldChar w:fldCharType="end"/>
          </w:r>
        </w:p>
        <w:p w14:paraId="49F75B96">
          <w:pPr>
            <w:tabs>
              <w:tab w:val="right" w:leader="dot" w:pos="8322"/>
            </w:tabs>
            <w:spacing w:before="68" w:line="205" w:lineRule="auto"/>
            <w:ind w:left="862"/>
            <w:rPr>
              <w:rFonts w:ascii="Calibri" w:hAnsi="Calibri" w:eastAsia="Calibri" w:cs="Calibri"/>
              <w:sz w:val="21"/>
              <w:szCs w:val="21"/>
            </w:rPr>
          </w:pPr>
          <w:r>
            <w:fldChar w:fldCharType="begin"/>
          </w:r>
          <w:r>
            <w:instrText xml:space="preserve"> HYPERLINK \l "bookmark330" </w:instrText>
          </w:r>
          <w:r>
            <w:fldChar w:fldCharType="separate"/>
          </w:r>
          <w:r>
            <w:rPr>
              <w:rFonts w:ascii="Times New Roman" w:hAnsi="Times New Roman" w:eastAsia="Times New Roman" w:cs="Times New Roman"/>
              <w:b/>
              <w:bCs/>
              <w:spacing w:val="-2"/>
              <w:sz w:val="21"/>
              <w:szCs w:val="21"/>
            </w:rPr>
            <w:t xml:space="preserve">4.3 </w:t>
          </w:r>
          <w:r>
            <w:rPr>
              <w:rFonts w:ascii="黑体" w:hAnsi="黑体" w:eastAsia="黑体" w:cs="黑体"/>
              <w:b/>
              <w:bCs/>
              <w:spacing w:val="-2"/>
              <w:sz w:val="21"/>
              <w:szCs w:val="21"/>
            </w:rPr>
            <w:t>监理人的指示</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144</w:t>
          </w:r>
          <w:r>
            <w:rPr>
              <w:rFonts w:ascii="Calibri" w:hAnsi="Calibri" w:eastAsia="Calibri" w:cs="Calibri"/>
              <w:spacing w:val="2"/>
              <w:sz w:val="21"/>
              <w:szCs w:val="21"/>
            </w:rPr>
            <w:fldChar w:fldCharType="end"/>
          </w:r>
        </w:p>
        <w:p w14:paraId="4F842932">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"bookmark331" </w:instrText>
          </w:r>
          <w:r>
            <w:fldChar w:fldCharType="separate"/>
          </w:r>
          <w:r>
            <w:rPr>
              <w:rFonts w:ascii="Times New Roman" w:hAnsi="Times New Roman" w:eastAsia="Times New Roman" w:cs="Times New Roman"/>
              <w:b/>
              <w:bCs/>
              <w:spacing w:val="-3"/>
              <w:sz w:val="21"/>
              <w:szCs w:val="21"/>
            </w:rPr>
            <w:t>4.4</w:t>
          </w:r>
          <w:r>
            <w:rPr>
              <w:rFonts w:ascii="Times New Roman" w:hAnsi="Times New Roman" w:eastAsia="Times New Roman" w:cs="Times New Roman"/>
              <w:b/>
              <w:bCs/>
              <w:spacing w:val="8"/>
              <w:sz w:val="21"/>
              <w:szCs w:val="21"/>
            </w:rPr>
            <w:t xml:space="preserve">  </w:t>
          </w:r>
          <w:r>
            <w:rPr>
              <w:rFonts w:ascii="黑体" w:hAnsi="黑体" w:eastAsia="黑体" w:cs="黑体"/>
              <w:b/>
              <w:bCs/>
              <w:spacing w:val="-3"/>
              <w:sz w:val="21"/>
              <w:szCs w:val="21"/>
            </w:rPr>
            <w:t>商定或确定</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145</w:t>
          </w:r>
          <w:r>
            <w:rPr>
              <w:rFonts w:ascii="Calibri" w:hAnsi="Calibri" w:eastAsia="Calibri" w:cs="Calibri"/>
              <w:spacing w:val="2"/>
              <w:sz w:val="21"/>
              <w:szCs w:val="21"/>
            </w:rPr>
            <w:fldChar w:fldCharType="end"/>
          </w:r>
        </w:p>
        <w:p w14:paraId="03E55E91">
          <w:pPr>
            <w:tabs>
              <w:tab w:val="right" w:leader="dot" w:pos="8322"/>
            </w:tabs>
            <w:spacing w:before="82" w:line="205" w:lineRule="auto"/>
            <w:ind w:left="443"/>
            <w:rPr>
              <w:rFonts w:ascii="Calibri" w:hAnsi="Calibri" w:eastAsia="Calibri" w:cs="Calibri"/>
              <w:sz w:val="21"/>
              <w:szCs w:val="21"/>
            </w:rPr>
          </w:pPr>
          <w:r>
            <w:fldChar w:fldCharType="begin"/>
          </w:r>
          <w:r>
            <w:instrText xml:space="preserve"> HYPERLINK \l "bookmark332" </w:instrText>
          </w:r>
          <w:r>
            <w:fldChar w:fldCharType="separate"/>
          </w:r>
          <w:r>
            <w:rPr>
              <w:rFonts w:ascii="Times New Roman" w:hAnsi="Times New Roman" w:eastAsia="Times New Roman" w:cs="Times New Roman"/>
              <w:b/>
              <w:bCs/>
              <w:spacing w:val="-4"/>
              <w:sz w:val="21"/>
              <w:szCs w:val="21"/>
            </w:rPr>
            <w:t>5.</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工程质量</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145</w:t>
          </w:r>
          <w:r>
            <w:rPr>
              <w:rFonts w:ascii="Calibri" w:hAnsi="Calibri" w:eastAsia="Calibri" w:cs="Calibri"/>
              <w:spacing w:val="1"/>
              <w:sz w:val="21"/>
              <w:szCs w:val="21"/>
            </w:rPr>
            <w:fldChar w:fldCharType="end"/>
          </w:r>
        </w:p>
        <w:p w14:paraId="2F53AE86">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"bookmark333" </w:instrText>
          </w:r>
          <w:r>
            <w:fldChar w:fldCharType="separate"/>
          </w:r>
          <w:r>
            <w:rPr>
              <w:rFonts w:ascii="Times New Roman" w:hAnsi="Times New Roman" w:eastAsia="Times New Roman" w:cs="Times New Roman"/>
              <w:b/>
              <w:bCs/>
              <w:spacing w:val="-2"/>
              <w:sz w:val="21"/>
              <w:szCs w:val="21"/>
            </w:rPr>
            <w:t xml:space="preserve">5.1 </w:t>
          </w:r>
          <w:r>
            <w:rPr>
              <w:rFonts w:ascii="黑体" w:hAnsi="黑体" w:eastAsia="黑体" w:cs="黑体"/>
              <w:b/>
              <w:bCs/>
              <w:spacing w:val="-2"/>
              <w:sz w:val="21"/>
              <w:szCs w:val="21"/>
            </w:rPr>
            <w:t>质量要求</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145</w:t>
          </w:r>
          <w:r>
            <w:rPr>
              <w:rFonts w:ascii="Calibri" w:hAnsi="Calibri" w:eastAsia="Calibri" w:cs="Calibri"/>
              <w:spacing w:val="1"/>
              <w:sz w:val="21"/>
              <w:szCs w:val="21"/>
            </w:rPr>
            <w:fldChar w:fldCharType="end"/>
          </w:r>
        </w:p>
        <w:p w14:paraId="4F281ADF">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"bookmark334" </w:instrText>
          </w:r>
          <w:r>
            <w:fldChar w:fldCharType="separate"/>
          </w:r>
          <w:r>
            <w:rPr>
              <w:rFonts w:ascii="Times New Roman" w:hAnsi="Times New Roman" w:eastAsia="Times New Roman" w:cs="Times New Roman"/>
              <w:b/>
              <w:bCs/>
              <w:spacing w:val="-2"/>
              <w:sz w:val="21"/>
              <w:szCs w:val="21"/>
            </w:rPr>
            <w:t xml:space="preserve">5.2 </w:t>
          </w:r>
          <w:r>
            <w:rPr>
              <w:rFonts w:ascii="黑体" w:hAnsi="黑体" w:eastAsia="黑体" w:cs="黑体"/>
              <w:b/>
              <w:bCs/>
              <w:spacing w:val="-2"/>
              <w:sz w:val="21"/>
              <w:szCs w:val="21"/>
            </w:rPr>
            <w:t>质量保证措施</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145</w:t>
          </w:r>
          <w:r>
            <w:rPr>
              <w:rFonts w:ascii="Calibri" w:hAnsi="Calibri" w:eastAsia="Calibri" w:cs="Calibri"/>
              <w:spacing w:val="2"/>
              <w:sz w:val="21"/>
              <w:szCs w:val="21"/>
            </w:rPr>
            <w:fldChar w:fldCharType="end"/>
          </w:r>
        </w:p>
        <w:p w14:paraId="537CAA5D">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"bookmark335" </w:instrText>
          </w:r>
          <w:r>
            <w:fldChar w:fldCharType="separate"/>
          </w:r>
          <w:r>
            <w:rPr>
              <w:rFonts w:ascii="Times New Roman" w:hAnsi="Times New Roman" w:eastAsia="Times New Roman" w:cs="Times New Roman"/>
              <w:b/>
              <w:bCs/>
              <w:spacing w:val="-3"/>
              <w:sz w:val="21"/>
              <w:szCs w:val="21"/>
            </w:rPr>
            <w:t>5.3</w:t>
          </w:r>
          <w:r>
            <w:rPr>
              <w:rFonts w:ascii="Times New Roman" w:hAnsi="Times New Roman" w:eastAsia="Times New Roman" w:cs="Times New Roman"/>
              <w:b/>
              <w:bCs/>
              <w:spacing w:val="8"/>
              <w:sz w:val="21"/>
              <w:szCs w:val="21"/>
            </w:rPr>
            <w:t xml:space="preserve">  </w:t>
          </w:r>
          <w:r>
            <w:rPr>
              <w:rFonts w:ascii="黑体" w:hAnsi="黑体" w:eastAsia="黑体" w:cs="黑体"/>
              <w:b/>
              <w:bCs/>
              <w:spacing w:val="-3"/>
              <w:sz w:val="21"/>
              <w:szCs w:val="21"/>
            </w:rPr>
            <w:t>隐蔽工程检查</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146</w:t>
          </w:r>
          <w:r>
            <w:rPr>
              <w:rFonts w:ascii="Calibri" w:hAnsi="Calibri" w:eastAsia="Calibri" w:cs="Calibri"/>
              <w:spacing w:val="2"/>
              <w:sz w:val="21"/>
              <w:szCs w:val="21"/>
            </w:rPr>
            <w:fldChar w:fldCharType="end"/>
          </w:r>
        </w:p>
        <w:p w14:paraId="5E448435">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"bookmark336" </w:instrText>
          </w:r>
          <w:r>
            <w:fldChar w:fldCharType="separate"/>
          </w:r>
          <w:r>
            <w:rPr>
              <w:rFonts w:ascii="Times New Roman" w:hAnsi="Times New Roman" w:eastAsia="Times New Roman" w:cs="Times New Roman"/>
              <w:b/>
              <w:bCs/>
              <w:spacing w:val="-1"/>
              <w:sz w:val="21"/>
              <w:szCs w:val="21"/>
            </w:rPr>
            <w:t xml:space="preserve">5.4 </w:t>
          </w:r>
          <w:r>
            <w:rPr>
              <w:rFonts w:ascii="黑体" w:hAnsi="黑体" w:eastAsia="黑体" w:cs="黑体"/>
              <w:b/>
              <w:bCs/>
              <w:spacing w:val="-1"/>
              <w:sz w:val="21"/>
              <w:szCs w:val="21"/>
            </w:rPr>
            <w:t>不合格工程的处理</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147</w:t>
          </w:r>
          <w:r>
            <w:rPr>
              <w:rFonts w:ascii="Calibri" w:hAnsi="Calibri" w:eastAsia="Calibri" w:cs="Calibri"/>
              <w:spacing w:val="2"/>
              <w:sz w:val="21"/>
              <w:szCs w:val="21"/>
            </w:rPr>
            <w:fldChar w:fldCharType="end"/>
          </w:r>
        </w:p>
        <w:p w14:paraId="78C4A338">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"bookmark337" </w:instrText>
          </w:r>
          <w:r>
            <w:fldChar w:fldCharType="separate"/>
          </w:r>
          <w:r>
            <w:rPr>
              <w:rFonts w:ascii="Times New Roman" w:hAnsi="Times New Roman" w:eastAsia="Times New Roman" w:cs="Times New Roman"/>
              <w:b/>
              <w:bCs/>
              <w:spacing w:val="-1"/>
              <w:sz w:val="21"/>
              <w:szCs w:val="21"/>
            </w:rPr>
            <w:t xml:space="preserve">5.5  </w:t>
          </w:r>
          <w:r>
            <w:rPr>
              <w:rFonts w:ascii="黑体" w:hAnsi="黑体" w:eastAsia="黑体" w:cs="黑体"/>
              <w:b/>
              <w:bCs/>
              <w:spacing w:val="-1"/>
              <w:sz w:val="21"/>
              <w:szCs w:val="21"/>
            </w:rPr>
            <w:t>质量争议检测</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147</w:t>
          </w:r>
          <w:r>
            <w:rPr>
              <w:rFonts w:ascii="Calibri" w:hAnsi="Calibri" w:eastAsia="Calibri" w:cs="Calibri"/>
              <w:spacing w:val="2"/>
              <w:sz w:val="21"/>
              <w:szCs w:val="21"/>
            </w:rPr>
            <w:fldChar w:fldCharType="end"/>
          </w:r>
        </w:p>
        <w:p w14:paraId="513C39FE">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"bookmark338" </w:instrText>
          </w:r>
          <w:r>
            <w:fldChar w:fldCharType="separate"/>
          </w:r>
          <w:r>
            <w:rPr>
              <w:rFonts w:ascii="Times New Roman" w:hAnsi="Times New Roman" w:eastAsia="Times New Roman" w:cs="Times New Roman"/>
              <w:b/>
              <w:bCs/>
              <w:spacing w:val="-4"/>
              <w:sz w:val="21"/>
              <w:szCs w:val="21"/>
            </w:rPr>
            <w:t>6.</w:t>
          </w:r>
          <w:r>
            <w:rPr>
              <w:rFonts w:ascii="Times New Roman" w:hAnsi="Times New Roman" w:eastAsia="Times New Roman" w:cs="Times New Roman"/>
              <w:b/>
              <w:bCs/>
              <w:spacing w:val="15"/>
              <w:w w:val="101"/>
              <w:sz w:val="21"/>
              <w:szCs w:val="21"/>
            </w:rPr>
            <w:t xml:space="preserve">  </w:t>
          </w:r>
          <w:r>
            <w:rPr>
              <w:rFonts w:ascii="黑体" w:hAnsi="黑体" w:eastAsia="黑体" w:cs="黑体"/>
              <w:b/>
              <w:bCs/>
              <w:spacing w:val="-4"/>
              <w:sz w:val="21"/>
              <w:szCs w:val="21"/>
            </w:rPr>
            <w:t>安全文明施工与环境保护</w:t>
          </w:r>
          <w:r>
            <w:rPr>
              <w:rFonts w:ascii="黑体" w:hAnsi="黑体" w:eastAsia="黑体" w:cs="黑体"/>
              <w:spacing w:val="-9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147</w:t>
          </w:r>
          <w:r>
            <w:rPr>
              <w:rFonts w:ascii="Calibri" w:hAnsi="Calibri" w:eastAsia="Calibri" w:cs="Calibri"/>
              <w:spacing w:val="2"/>
              <w:sz w:val="21"/>
              <w:szCs w:val="21"/>
            </w:rPr>
            <w:fldChar w:fldCharType="end"/>
          </w:r>
        </w:p>
        <w:p w14:paraId="6A331220">
          <w:pPr>
            <w:tabs>
              <w:tab w:val="right" w:leader="dot" w:pos="8322"/>
            </w:tabs>
            <w:spacing w:before="83" w:line="205" w:lineRule="auto"/>
            <w:ind w:left="864"/>
            <w:rPr>
              <w:rFonts w:ascii="Calibri" w:hAnsi="Calibri" w:eastAsia="Calibri" w:cs="Calibri"/>
              <w:sz w:val="21"/>
              <w:szCs w:val="21"/>
            </w:rPr>
          </w:pPr>
          <w:r>
            <w:fldChar w:fldCharType="begin"/>
          </w:r>
          <w:r>
            <w:instrText xml:space="preserve"> HYPERLINK \l "bookmark339" </w:instrText>
          </w:r>
          <w:r>
            <w:fldChar w:fldCharType="separate"/>
          </w:r>
          <w:r>
            <w:rPr>
              <w:rFonts w:ascii="Times New Roman" w:hAnsi="Times New Roman" w:eastAsia="Times New Roman" w:cs="Times New Roman"/>
              <w:b/>
              <w:bCs/>
              <w:spacing w:val="-2"/>
              <w:sz w:val="21"/>
              <w:szCs w:val="21"/>
            </w:rPr>
            <w:t xml:space="preserve">6.1 </w:t>
          </w:r>
          <w:r>
            <w:rPr>
              <w:rFonts w:ascii="黑体" w:hAnsi="黑体" w:eastAsia="黑体" w:cs="黑体"/>
              <w:b/>
              <w:bCs/>
              <w:spacing w:val="-2"/>
              <w:sz w:val="21"/>
              <w:szCs w:val="21"/>
            </w:rPr>
            <w:t>安全文明施工</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147</w:t>
          </w:r>
          <w:r>
            <w:rPr>
              <w:rFonts w:ascii="Calibri" w:hAnsi="Calibri" w:eastAsia="Calibri" w:cs="Calibri"/>
              <w:spacing w:val="2"/>
              <w:sz w:val="21"/>
              <w:szCs w:val="21"/>
            </w:rPr>
            <w:fldChar w:fldCharType="end"/>
          </w:r>
        </w:p>
        <w:p w14:paraId="3AB91341">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"bookmark340" </w:instrText>
          </w:r>
          <w:r>
            <w:fldChar w:fldCharType="separate"/>
          </w:r>
          <w:r>
            <w:rPr>
              <w:rFonts w:ascii="Times New Roman" w:hAnsi="Times New Roman" w:eastAsia="Times New Roman" w:cs="Times New Roman"/>
              <w:b/>
              <w:bCs/>
              <w:spacing w:val="-1"/>
              <w:sz w:val="21"/>
              <w:szCs w:val="21"/>
            </w:rPr>
            <w:t xml:space="preserve">6.2  </w:t>
          </w:r>
          <w:r>
            <w:rPr>
              <w:rFonts w:ascii="黑体" w:hAnsi="黑体" w:eastAsia="黑体" w:cs="黑体"/>
              <w:b/>
              <w:bCs/>
              <w:spacing w:val="-1"/>
              <w:sz w:val="21"/>
              <w:szCs w:val="21"/>
            </w:rPr>
            <w:t>职业健康</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149</w:t>
          </w:r>
          <w:r>
            <w:rPr>
              <w:rFonts w:ascii="Calibri" w:hAnsi="Calibri" w:eastAsia="Calibri" w:cs="Calibri"/>
              <w:spacing w:val="1"/>
              <w:sz w:val="21"/>
              <w:szCs w:val="21"/>
            </w:rPr>
            <w:fldChar w:fldCharType="end"/>
          </w:r>
        </w:p>
        <w:p w14:paraId="3F5BF385">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"bookmark341" </w:instrText>
          </w:r>
          <w:r>
            <w:fldChar w:fldCharType="separate"/>
          </w:r>
          <w:r>
            <w:rPr>
              <w:rFonts w:ascii="Times New Roman" w:hAnsi="Times New Roman" w:eastAsia="Times New Roman" w:cs="Times New Roman"/>
              <w:b/>
              <w:bCs/>
              <w:spacing w:val="-1"/>
              <w:sz w:val="21"/>
              <w:szCs w:val="21"/>
            </w:rPr>
            <w:t xml:space="preserve">6.3  </w:t>
          </w:r>
          <w:r>
            <w:rPr>
              <w:rFonts w:ascii="黑体" w:hAnsi="黑体" w:eastAsia="黑体" w:cs="黑体"/>
              <w:b/>
              <w:bCs/>
              <w:spacing w:val="-1"/>
              <w:sz w:val="21"/>
              <w:szCs w:val="21"/>
            </w:rPr>
            <w:t>环境保护</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150</w:t>
          </w:r>
          <w:r>
            <w:rPr>
              <w:rFonts w:ascii="Calibri" w:hAnsi="Calibri" w:eastAsia="Calibri" w:cs="Calibri"/>
              <w:spacing w:val="1"/>
              <w:sz w:val="21"/>
              <w:szCs w:val="21"/>
            </w:rPr>
            <w:fldChar w:fldCharType="end"/>
          </w:r>
        </w:p>
        <w:p w14:paraId="53FA70CC">
          <w:pPr>
            <w:tabs>
              <w:tab w:val="right" w:leader="dot" w:pos="8322"/>
            </w:tabs>
            <w:spacing w:before="82" w:line="205" w:lineRule="auto"/>
            <w:ind w:left="443"/>
            <w:rPr>
              <w:rFonts w:ascii="Calibri" w:hAnsi="Calibri" w:eastAsia="Calibri" w:cs="Calibri"/>
              <w:sz w:val="21"/>
              <w:szCs w:val="21"/>
            </w:rPr>
          </w:pPr>
          <w:r>
            <w:fldChar w:fldCharType="begin"/>
          </w:r>
          <w:r>
            <w:instrText xml:space="preserve"> HYPERLINK \l "bookmark342" </w:instrText>
          </w:r>
          <w:r>
            <w:fldChar w:fldCharType="separate"/>
          </w:r>
          <w:r>
            <w:rPr>
              <w:rFonts w:ascii="Times New Roman" w:hAnsi="Times New Roman" w:eastAsia="Times New Roman" w:cs="Times New Roman"/>
              <w:b/>
              <w:bCs/>
              <w:spacing w:val="-4"/>
              <w:sz w:val="21"/>
              <w:szCs w:val="21"/>
            </w:rPr>
            <w:t>7.</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工期和进度</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150</w:t>
          </w:r>
          <w:r>
            <w:rPr>
              <w:rFonts w:ascii="Calibri" w:hAnsi="Calibri" w:eastAsia="Calibri" w:cs="Calibri"/>
              <w:spacing w:val="1"/>
              <w:sz w:val="21"/>
              <w:szCs w:val="21"/>
            </w:rPr>
            <w:fldChar w:fldCharType="end"/>
          </w:r>
        </w:p>
        <w:p w14:paraId="41DE80D4">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"bookmark343" </w:instrText>
          </w:r>
          <w:r>
            <w:fldChar w:fldCharType="separate"/>
          </w:r>
          <w:r>
            <w:rPr>
              <w:rFonts w:ascii="Times New Roman" w:hAnsi="Times New Roman" w:eastAsia="Times New Roman" w:cs="Times New Roman"/>
              <w:b/>
              <w:bCs/>
              <w:spacing w:val="-2"/>
              <w:sz w:val="21"/>
              <w:szCs w:val="21"/>
            </w:rPr>
            <w:t xml:space="preserve">7.1 </w:t>
          </w:r>
          <w:r>
            <w:rPr>
              <w:rFonts w:ascii="黑体" w:hAnsi="黑体" w:eastAsia="黑体" w:cs="黑体"/>
              <w:b/>
              <w:bCs/>
              <w:spacing w:val="-2"/>
              <w:sz w:val="21"/>
              <w:szCs w:val="21"/>
            </w:rPr>
            <w:t>施工组织设计</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150</w:t>
          </w:r>
          <w:r>
            <w:rPr>
              <w:rFonts w:ascii="Calibri" w:hAnsi="Calibri" w:eastAsia="Calibri" w:cs="Calibri"/>
              <w:spacing w:val="2"/>
              <w:sz w:val="21"/>
              <w:szCs w:val="21"/>
            </w:rPr>
            <w:fldChar w:fldCharType="end"/>
          </w:r>
        </w:p>
        <w:p w14:paraId="0EC35DE9">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"bookmark344" </w:instrText>
          </w:r>
          <w:r>
            <w:fldChar w:fldCharType="separate"/>
          </w:r>
          <w:r>
            <w:rPr>
              <w:rFonts w:ascii="Times New Roman" w:hAnsi="Times New Roman" w:eastAsia="Times New Roman" w:cs="Times New Roman"/>
              <w:b/>
              <w:bCs/>
              <w:spacing w:val="-1"/>
              <w:sz w:val="21"/>
              <w:szCs w:val="21"/>
            </w:rPr>
            <w:t xml:space="preserve">7.2  </w:t>
          </w:r>
          <w:r>
            <w:rPr>
              <w:rFonts w:ascii="黑体" w:hAnsi="黑体" w:eastAsia="黑体" w:cs="黑体"/>
              <w:b/>
              <w:bCs/>
              <w:spacing w:val="-1"/>
              <w:sz w:val="21"/>
              <w:szCs w:val="21"/>
            </w:rPr>
            <w:t>施工进度计划</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151</w:t>
          </w:r>
          <w:r>
            <w:rPr>
              <w:rFonts w:ascii="Calibri" w:hAnsi="Calibri" w:eastAsia="Calibri" w:cs="Calibri"/>
              <w:spacing w:val="2"/>
              <w:sz w:val="21"/>
              <w:szCs w:val="21"/>
            </w:rPr>
            <w:fldChar w:fldCharType="end"/>
          </w:r>
        </w:p>
        <w:p w14:paraId="6B9C62D3">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"bookmark345" </w:instrText>
          </w:r>
          <w:r>
            <w:fldChar w:fldCharType="separate"/>
          </w:r>
          <w:r>
            <w:rPr>
              <w:rFonts w:ascii="Times New Roman" w:hAnsi="Times New Roman" w:eastAsia="Times New Roman" w:cs="Times New Roman"/>
              <w:b/>
              <w:bCs/>
              <w:spacing w:val="-4"/>
              <w:sz w:val="21"/>
              <w:szCs w:val="21"/>
            </w:rPr>
            <w:t>7.3</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开工</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151</w:t>
          </w:r>
          <w:r>
            <w:rPr>
              <w:rFonts w:ascii="Calibri" w:hAnsi="Calibri" w:eastAsia="Calibri" w:cs="Calibri"/>
              <w:spacing w:val="1"/>
              <w:sz w:val="21"/>
              <w:szCs w:val="21"/>
            </w:rPr>
            <w:fldChar w:fldCharType="end"/>
          </w:r>
        </w:p>
        <w:p w14:paraId="3DE34EE8">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"bookmark346" </w:instrText>
          </w:r>
          <w:r>
            <w:fldChar w:fldCharType="separate"/>
          </w:r>
          <w:r>
            <w:rPr>
              <w:rFonts w:ascii="Times New Roman" w:hAnsi="Times New Roman" w:eastAsia="Times New Roman" w:cs="Times New Roman"/>
              <w:b/>
              <w:bCs/>
              <w:spacing w:val="-2"/>
              <w:sz w:val="21"/>
              <w:szCs w:val="21"/>
            </w:rPr>
            <w:t xml:space="preserve">7.4 </w:t>
          </w:r>
          <w:r>
            <w:rPr>
              <w:rFonts w:ascii="黑体" w:hAnsi="黑体" w:eastAsia="黑体" w:cs="黑体"/>
              <w:b/>
              <w:bCs/>
              <w:spacing w:val="-2"/>
              <w:sz w:val="21"/>
              <w:szCs w:val="21"/>
            </w:rPr>
            <w:t>测量放线</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151</w:t>
          </w:r>
          <w:r>
            <w:rPr>
              <w:rFonts w:ascii="Calibri" w:hAnsi="Calibri" w:eastAsia="Calibri" w:cs="Calibri"/>
              <w:spacing w:val="1"/>
              <w:sz w:val="21"/>
              <w:szCs w:val="21"/>
            </w:rPr>
            <w:fldChar w:fldCharType="end"/>
          </w:r>
        </w:p>
        <w:p w14:paraId="5C17C351">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"bookmark347" </w:instrText>
          </w:r>
          <w:r>
            <w:fldChar w:fldCharType="separate"/>
          </w:r>
          <w:r>
            <w:rPr>
              <w:rFonts w:ascii="Times New Roman" w:hAnsi="Times New Roman" w:eastAsia="Times New Roman" w:cs="Times New Roman"/>
              <w:b/>
              <w:bCs/>
              <w:spacing w:val="-1"/>
              <w:sz w:val="21"/>
              <w:szCs w:val="21"/>
            </w:rPr>
            <w:t xml:space="preserve">7.5  </w:t>
          </w:r>
          <w:r>
            <w:rPr>
              <w:rFonts w:ascii="黑体" w:hAnsi="黑体" w:eastAsia="黑体" w:cs="黑体"/>
              <w:b/>
              <w:bCs/>
              <w:spacing w:val="-1"/>
              <w:sz w:val="21"/>
              <w:szCs w:val="21"/>
            </w:rPr>
            <w:t>工期延误</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152</w:t>
          </w:r>
          <w:r>
            <w:rPr>
              <w:rFonts w:ascii="Calibri" w:hAnsi="Calibri" w:eastAsia="Calibri" w:cs="Calibri"/>
              <w:spacing w:val="1"/>
              <w:sz w:val="21"/>
              <w:szCs w:val="21"/>
            </w:rPr>
            <w:fldChar w:fldCharType="end"/>
          </w:r>
        </w:p>
        <w:p w14:paraId="0A4AF945">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"bookmark348" </w:instrText>
          </w:r>
          <w:r>
            <w:fldChar w:fldCharType="separate"/>
          </w:r>
          <w:r>
            <w:rPr>
              <w:rFonts w:ascii="Times New Roman" w:hAnsi="Times New Roman" w:eastAsia="Times New Roman" w:cs="Times New Roman"/>
              <w:b/>
              <w:bCs/>
              <w:spacing w:val="-1"/>
              <w:sz w:val="21"/>
              <w:szCs w:val="21"/>
            </w:rPr>
            <w:t xml:space="preserve">7.6  </w:t>
          </w:r>
          <w:r>
            <w:rPr>
              <w:rFonts w:ascii="黑体" w:hAnsi="黑体" w:eastAsia="黑体" w:cs="黑体"/>
              <w:b/>
              <w:bCs/>
              <w:spacing w:val="-1"/>
              <w:sz w:val="21"/>
              <w:szCs w:val="21"/>
            </w:rPr>
            <w:t>不利物质条件</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152</w:t>
          </w:r>
          <w:r>
            <w:rPr>
              <w:rFonts w:ascii="Calibri" w:hAnsi="Calibri" w:eastAsia="Calibri" w:cs="Calibri"/>
              <w:spacing w:val="2"/>
              <w:sz w:val="21"/>
              <w:szCs w:val="21"/>
            </w:rPr>
            <w:fldChar w:fldCharType="end"/>
          </w:r>
        </w:p>
        <w:p w14:paraId="71CE3F02">
          <w:pPr>
            <w:tabs>
              <w:tab w:val="right" w:leader="dot" w:pos="8322"/>
            </w:tabs>
            <w:spacing w:before="83" w:line="205" w:lineRule="auto"/>
            <w:ind w:left="864"/>
            <w:rPr>
              <w:rFonts w:ascii="Calibri" w:hAnsi="Calibri" w:eastAsia="Calibri" w:cs="Calibri"/>
              <w:sz w:val="21"/>
              <w:szCs w:val="21"/>
            </w:rPr>
          </w:pPr>
          <w:r>
            <w:fldChar w:fldCharType="begin"/>
          </w:r>
          <w:r>
            <w:instrText xml:space="preserve"> HYPERLINK \l "bookmark349" </w:instrText>
          </w:r>
          <w:r>
            <w:fldChar w:fldCharType="separate"/>
          </w:r>
          <w:r>
            <w:rPr>
              <w:rFonts w:ascii="Times New Roman" w:hAnsi="Times New Roman" w:eastAsia="Times New Roman" w:cs="Times New Roman"/>
              <w:b/>
              <w:bCs/>
              <w:spacing w:val="-2"/>
              <w:sz w:val="21"/>
              <w:szCs w:val="21"/>
            </w:rPr>
            <w:t xml:space="preserve">7.7  </w:t>
          </w:r>
          <w:r>
            <w:rPr>
              <w:rFonts w:ascii="黑体" w:hAnsi="黑体" w:eastAsia="黑体" w:cs="黑体"/>
              <w:b/>
              <w:bCs/>
              <w:spacing w:val="-2"/>
              <w:sz w:val="21"/>
              <w:szCs w:val="21"/>
            </w:rPr>
            <w:t>异常恶劣的气候条件</w:t>
          </w:r>
          <w:r>
            <w:rPr>
              <w:rFonts w:ascii="黑体" w:hAnsi="黑体" w:eastAsia="黑体" w:cs="黑体"/>
              <w:spacing w:val="-6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153</w:t>
          </w:r>
          <w:r>
            <w:rPr>
              <w:rFonts w:ascii="Calibri" w:hAnsi="Calibri" w:eastAsia="Calibri" w:cs="Calibri"/>
              <w:spacing w:val="1"/>
              <w:sz w:val="21"/>
              <w:szCs w:val="21"/>
            </w:rPr>
            <w:fldChar w:fldCharType="end"/>
          </w:r>
        </w:p>
        <w:p w14:paraId="4397ECD1">
          <w:pPr>
            <w:tabs>
              <w:tab w:val="right" w:leader="dot" w:pos="8322"/>
            </w:tabs>
            <w:spacing w:before="67"/>
            <w:ind w:left="864"/>
            <w:rPr>
              <w:rFonts w:ascii="Calibri" w:hAnsi="Calibri" w:eastAsia="Calibri" w:cs="Calibri"/>
              <w:sz w:val="21"/>
              <w:szCs w:val="21"/>
            </w:rPr>
          </w:pPr>
          <w:r>
            <w:fldChar w:fldCharType="begin"/>
          </w:r>
          <w:r>
            <w:instrText xml:space="preserve"> HYPERLINK \l "bookmark350" </w:instrText>
          </w:r>
          <w:r>
            <w:fldChar w:fldCharType="separate"/>
          </w:r>
          <w:r>
            <w:rPr>
              <w:rFonts w:ascii="Times New Roman" w:hAnsi="Times New Roman" w:eastAsia="Times New Roman" w:cs="Times New Roman"/>
              <w:b/>
              <w:bCs/>
              <w:spacing w:val="-4"/>
              <w:sz w:val="21"/>
              <w:szCs w:val="21"/>
            </w:rPr>
            <w:t>7.8</w:t>
          </w:r>
          <w:r>
            <w:rPr>
              <w:rFonts w:ascii="Times New Roman" w:hAnsi="Times New Roman" w:eastAsia="Times New Roman" w:cs="Times New Roman"/>
              <w:b/>
              <w:bCs/>
              <w:spacing w:val="10"/>
              <w:sz w:val="21"/>
              <w:szCs w:val="21"/>
            </w:rPr>
            <w:t xml:space="preserve">  </w:t>
          </w:r>
          <w:r>
            <w:rPr>
              <w:rFonts w:ascii="黑体" w:hAnsi="黑体" w:eastAsia="黑体" w:cs="黑体"/>
              <w:b/>
              <w:bCs/>
              <w:spacing w:val="-4"/>
              <w:sz w:val="21"/>
              <w:szCs w:val="21"/>
            </w:rPr>
            <w:t>暂停施工</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153</w:t>
          </w:r>
          <w:r>
            <w:rPr>
              <w:rFonts w:ascii="Calibri" w:hAnsi="Calibri" w:eastAsia="Calibri" w:cs="Calibri"/>
              <w:spacing w:val="1"/>
              <w:sz w:val="21"/>
              <w:szCs w:val="21"/>
            </w:rPr>
            <w:fldChar w:fldCharType="end"/>
          </w:r>
        </w:p>
      </w:sdtContent>
    </w:sdt>
    <w:p w14:paraId="490E27A5">
      <w:pPr>
        <w:rPr>
          <w:rFonts w:ascii="Calibri" w:hAnsi="Calibri" w:eastAsia="Calibri" w:cs="Calibri"/>
          <w:sz w:val="21"/>
          <w:szCs w:val="21"/>
        </w:rPr>
        <w:sectPr>
          <w:footerReference r:id="rId12"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61471"/>
        <w:docPartObj>
          <w:docPartGallery w:val="Table of Contents"/>
          <w:docPartUnique/>
        </w:docPartObj>
      </w:sdtPr>
      <w:sdtEndPr>
        <w:rPr>
          <w:rFonts w:ascii="Calibri" w:hAnsi="Calibri" w:eastAsia="Calibri" w:cs="Calibri"/>
          <w:sz w:val="21"/>
          <w:szCs w:val="21"/>
        </w:rPr>
      </w:sdtEndPr>
      <w:sdtContent>
        <w:p w14:paraId="546E46F8">
          <w:pPr>
            <w:tabs>
              <w:tab w:val="right" w:leader="dot" w:pos="8322"/>
            </w:tabs>
            <w:spacing w:before="69" w:line="205" w:lineRule="auto"/>
            <w:ind w:left="864"/>
            <w:rPr>
              <w:rFonts w:ascii="Calibri" w:hAnsi="Calibri" w:eastAsia="Calibri" w:cs="Calibri"/>
              <w:sz w:val="21"/>
              <w:szCs w:val="21"/>
            </w:rPr>
          </w:pPr>
          <w:r>
            <w:fldChar w:fldCharType="begin"/>
          </w:r>
          <w:r>
            <w:instrText xml:space="preserve"> HYPERLINK \l "bookmark351" </w:instrText>
          </w:r>
          <w:r>
            <w:fldChar w:fldCharType="separate"/>
          </w:r>
          <w:r>
            <w:rPr>
              <w:rFonts w:ascii="Times New Roman" w:hAnsi="Times New Roman" w:eastAsia="Times New Roman" w:cs="Times New Roman"/>
              <w:b/>
              <w:bCs/>
              <w:spacing w:val="-2"/>
              <w:sz w:val="21"/>
              <w:szCs w:val="21"/>
            </w:rPr>
            <w:t xml:space="preserve">7.9 </w:t>
          </w:r>
          <w:r>
            <w:rPr>
              <w:rFonts w:ascii="黑体" w:hAnsi="黑体" w:eastAsia="黑体" w:cs="黑体"/>
              <w:b/>
              <w:bCs/>
              <w:spacing w:val="-2"/>
              <w:sz w:val="21"/>
              <w:szCs w:val="21"/>
            </w:rPr>
            <w:t>提前竣工</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53D50EEA">
          <w:pPr>
            <w:tabs>
              <w:tab w:val="right" w:leader="dot" w:pos="8322"/>
            </w:tabs>
            <w:spacing w:before="82" w:line="205" w:lineRule="auto"/>
            <w:ind w:left="443"/>
            <w:rPr>
              <w:rFonts w:ascii="Calibri" w:hAnsi="Calibri" w:eastAsia="Calibri" w:cs="Calibri"/>
              <w:sz w:val="21"/>
              <w:szCs w:val="21"/>
            </w:rPr>
          </w:pPr>
          <w:r>
            <w:fldChar w:fldCharType="begin"/>
          </w:r>
          <w:r>
            <w:instrText xml:space="preserve"> HYPERLINK \l "bookmark352" </w:instrText>
          </w:r>
          <w:r>
            <w:fldChar w:fldCharType="separate"/>
          </w:r>
          <w:r>
            <w:rPr>
              <w:rFonts w:ascii="Times New Roman" w:hAnsi="Times New Roman" w:eastAsia="Times New Roman" w:cs="Times New Roman"/>
              <w:b/>
              <w:bCs/>
              <w:spacing w:val="-4"/>
              <w:sz w:val="21"/>
              <w:szCs w:val="21"/>
            </w:rPr>
            <w:t>8.</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材料与设备</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15C0BABC">
          <w:pPr>
            <w:tabs>
              <w:tab w:val="right" w:leader="dot" w:pos="8322"/>
            </w:tabs>
            <w:spacing w:before="81" w:line="205" w:lineRule="auto"/>
            <w:ind w:left="864"/>
            <w:rPr>
              <w:rFonts w:ascii="Calibri" w:hAnsi="Calibri" w:eastAsia="Calibri" w:cs="Calibri"/>
              <w:sz w:val="21"/>
              <w:szCs w:val="21"/>
            </w:rPr>
          </w:pPr>
          <w:r>
            <w:fldChar w:fldCharType="begin"/>
          </w:r>
          <w:r>
            <w:instrText xml:space="preserve"> HYPERLINK \l "bookmark353" </w:instrText>
          </w:r>
          <w:r>
            <w:fldChar w:fldCharType="separate"/>
          </w:r>
          <w:r>
            <w:rPr>
              <w:rFonts w:ascii="Times New Roman" w:hAnsi="Times New Roman" w:eastAsia="Times New Roman" w:cs="Times New Roman"/>
              <w:b/>
              <w:bCs/>
              <w:spacing w:val="-1"/>
              <w:sz w:val="21"/>
              <w:szCs w:val="21"/>
            </w:rPr>
            <w:t xml:space="preserve">8.1 </w:t>
          </w:r>
          <w:r>
            <w:rPr>
              <w:rFonts w:ascii="黑体" w:hAnsi="黑体" w:eastAsia="黑体" w:cs="黑体"/>
              <w:b/>
              <w:bCs/>
              <w:spacing w:val="-1"/>
              <w:sz w:val="21"/>
              <w:szCs w:val="21"/>
            </w:rPr>
            <w:t>发包人供应材料与工程设备</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5EC8B5FD">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"bookmark354" </w:instrText>
          </w:r>
          <w:r>
            <w:fldChar w:fldCharType="separate"/>
          </w:r>
          <w:r>
            <w:rPr>
              <w:rFonts w:ascii="Times New Roman" w:hAnsi="Times New Roman" w:eastAsia="Times New Roman" w:cs="Times New Roman"/>
              <w:b/>
              <w:bCs/>
              <w:spacing w:val="-1"/>
              <w:sz w:val="21"/>
              <w:szCs w:val="21"/>
            </w:rPr>
            <w:t xml:space="preserve">8.2 </w:t>
          </w:r>
          <w:r>
            <w:rPr>
              <w:rFonts w:ascii="黑体" w:hAnsi="黑体" w:eastAsia="黑体" w:cs="黑体"/>
              <w:b/>
              <w:bCs/>
              <w:spacing w:val="-1"/>
              <w:sz w:val="21"/>
              <w:szCs w:val="21"/>
            </w:rPr>
            <w:t>承包人采购材料与工程设备</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154</w:t>
          </w:r>
          <w:r>
            <w:rPr>
              <w:rFonts w:ascii="Calibri" w:hAnsi="Calibri" w:eastAsia="Calibri" w:cs="Calibri"/>
              <w:spacing w:val="1"/>
              <w:sz w:val="21"/>
              <w:szCs w:val="21"/>
            </w:rPr>
            <w:fldChar w:fldCharType="end"/>
          </w:r>
        </w:p>
        <w:p w14:paraId="77D7C733">
          <w:pPr>
            <w:tabs>
              <w:tab w:val="right" w:leader="dot" w:pos="8322"/>
            </w:tabs>
            <w:spacing w:before="81" w:line="205" w:lineRule="auto"/>
            <w:ind w:left="864"/>
            <w:rPr>
              <w:rFonts w:ascii="Calibri" w:hAnsi="Calibri" w:eastAsia="Calibri" w:cs="Calibri"/>
              <w:sz w:val="21"/>
              <w:szCs w:val="21"/>
            </w:rPr>
          </w:pPr>
          <w:r>
            <w:fldChar w:fldCharType="begin"/>
          </w:r>
          <w:r>
            <w:instrText xml:space="preserve"> HYPERLINK \l "bookmark355" </w:instrText>
          </w:r>
          <w:r>
            <w:fldChar w:fldCharType="separate"/>
          </w:r>
          <w:r>
            <w:rPr>
              <w:rFonts w:ascii="Times New Roman" w:hAnsi="Times New Roman" w:eastAsia="Times New Roman" w:cs="Times New Roman"/>
              <w:b/>
              <w:bCs/>
              <w:spacing w:val="-1"/>
              <w:sz w:val="21"/>
              <w:szCs w:val="21"/>
            </w:rPr>
            <w:t xml:space="preserve">8.3 </w:t>
          </w:r>
          <w:r>
            <w:rPr>
              <w:rFonts w:ascii="黑体" w:hAnsi="黑体" w:eastAsia="黑体" w:cs="黑体"/>
              <w:b/>
              <w:bCs/>
              <w:spacing w:val="-1"/>
              <w:sz w:val="21"/>
              <w:szCs w:val="21"/>
            </w:rPr>
            <w:t>材料与工程设备的接收与拒收</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155</w:t>
          </w:r>
          <w:r>
            <w:rPr>
              <w:rFonts w:ascii="Calibri" w:hAnsi="Calibri" w:eastAsia="Calibri" w:cs="Calibri"/>
              <w:spacing w:val="1"/>
              <w:sz w:val="21"/>
              <w:szCs w:val="21"/>
            </w:rPr>
            <w:fldChar w:fldCharType="end"/>
          </w:r>
        </w:p>
        <w:p w14:paraId="589D0719">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"bookmark356" </w:instrText>
          </w:r>
          <w:r>
            <w:fldChar w:fldCharType="separate"/>
          </w:r>
          <w:r>
            <w:rPr>
              <w:rFonts w:ascii="Times New Roman" w:hAnsi="Times New Roman" w:eastAsia="Times New Roman" w:cs="Times New Roman"/>
              <w:b/>
              <w:bCs/>
              <w:spacing w:val="-1"/>
              <w:sz w:val="21"/>
              <w:szCs w:val="21"/>
            </w:rPr>
            <w:t xml:space="preserve">8.4 </w:t>
          </w:r>
          <w:r>
            <w:rPr>
              <w:rFonts w:ascii="黑体" w:hAnsi="黑体" w:eastAsia="黑体" w:cs="黑体"/>
              <w:b/>
              <w:bCs/>
              <w:spacing w:val="-1"/>
              <w:sz w:val="21"/>
              <w:szCs w:val="21"/>
            </w:rPr>
            <w:t>材料与工程设备的保管与使用</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155</w:t>
          </w:r>
          <w:r>
            <w:rPr>
              <w:rFonts w:ascii="Calibri" w:hAnsi="Calibri" w:eastAsia="Calibri" w:cs="Calibri"/>
              <w:spacing w:val="1"/>
              <w:sz w:val="21"/>
              <w:szCs w:val="21"/>
            </w:rPr>
            <w:fldChar w:fldCharType="end"/>
          </w:r>
        </w:p>
        <w:p w14:paraId="69546244">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"bookmark357" </w:instrText>
          </w:r>
          <w:r>
            <w:fldChar w:fldCharType="separate"/>
          </w:r>
          <w:r>
            <w:rPr>
              <w:rFonts w:ascii="Times New Roman" w:hAnsi="Times New Roman" w:eastAsia="Times New Roman" w:cs="Times New Roman"/>
              <w:b/>
              <w:bCs/>
              <w:spacing w:val="-2"/>
              <w:sz w:val="21"/>
              <w:szCs w:val="21"/>
            </w:rPr>
            <w:t xml:space="preserve">8.5 </w:t>
          </w:r>
          <w:r>
            <w:rPr>
              <w:rFonts w:ascii="黑体" w:hAnsi="黑体" w:eastAsia="黑体" w:cs="黑体"/>
              <w:b/>
              <w:bCs/>
              <w:spacing w:val="-2"/>
              <w:sz w:val="21"/>
              <w:szCs w:val="21"/>
            </w:rPr>
            <w:t>禁止使用不合格的材料和工程设备</w:t>
          </w:r>
          <w:r>
            <w:rPr>
              <w:rFonts w:ascii="黑体" w:hAnsi="黑体" w:eastAsia="黑体" w:cs="黑体"/>
              <w:spacing w:val="-7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155</w:t>
          </w:r>
          <w:r>
            <w:rPr>
              <w:rFonts w:ascii="Calibri" w:hAnsi="Calibri" w:eastAsia="Calibri" w:cs="Calibri"/>
              <w:spacing w:val="2"/>
              <w:sz w:val="21"/>
              <w:szCs w:val="21"/>
            </w:rPr>
            <w:fldChar w:fldCharType="end"/>
          </w:r>
        </w:p>
        <w:p w14:paraId="6484C4A3">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"bookmark358" </w:instrText>
          </w:r>
          <w:r>
            <w:fldChar w:fldCharType="separate"/>
          </w:r>
          <w:r>
            <w:rPr>
              <w:rFonts w:ascii="Times New Roman" w:hAnsi="Times New Roman" w:eastAsia="Times New Roman" w:cs="Times New Roman"/>
              <w:b/>
              <w:bCs/>
              <w:spacing w:val="-3"/>
              <w:sz w:val="21"/>
              <w:szCs w:val="21"/>
            </w:rPr>
            <w:t>8.6</w:t>
          </w:r>
          <w:r>
            <w:rPr>
              <w:rFonts w:ascii="Times New Roman" w:hAnsi="Times New Roman" w:eastAsia="Times New Roman" w:cs="Times New Roman"/>
              <w:b/>
              <w:bCs/>
              <w:spacing w:val="5"/>
              <w:sz w:val="21"/>
              <w:szCs w:val="21"/>
            </w:rPr>
            <w:t xml:space="preserve">  </w:t>
          </w:r>
          <w:r>
            <w:rPr>
              <w:rFonts w:ascii="黑体" w:hAnsi="黑体" w:eastAsia="黑体" w:cs="黑体"/>
              <w:b/>
              <w:bCs/>
              <w:spacing w:val="-3"/>
              <w:sz w:val="21"/>
              <w:szCs w:val="21"/>
            </w:rPr>
            <w:t>样品</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156</w:t>
          </w:r>
          <w:r>
            <w:rPr>
              <w:rFonts w:ascii="Calibri" w:hAnsi="Calibri" w:eastAsia="Calibri" w:cs="Calibri"/>
              <w:spacing w:val="1"/>
              <w:sz w:val="21"/>
              <w:szCs w:val="21"/>
            </w:rPr>
            <w:fldChar w:fldCharType="end"/>
          </w:r>
        </w:p>
        <w:p w14:paraId="31A15973">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"bookmark359" </w:instrText>
          </w:r>
          <w:r>
            <w:fldChar w:fldCharType="separate"/>
          </w:r>
          <w:r>
            <w:rPr>
              <w:rFonts w:ascii="Times New Roman" w:hAnsi="Times New Roman" w:eastAsia="Times New Roman" w:cs="Times New Roman"/>
              <w:b/>
              <w:bCs/>
              <w:spacing w:val="-1"/>
              <w:sz w:val="21"/>
              <w:szCs w:val="21"/>
            </w:rPr>
            <w:t xml:space="preserve">8.7 </w:t>
          </w:r>
          <w:r>
            <w:rPr>
              <w:rFonts w:ascii="黑体" w:hAnsi="黑体" w:eastAsia="黑体" w:cs="黑体"/>
              <w:b/>
              <w:bCs/>
              <w:spacing w:val="-1"/>
              <w:sz w:val="21"/>
              <w:szCs w:val="21"/>
            </w:rPr>
            <w:t>材料与工程设备的替代</w:t>
          </w:r>
          <w:r>
            <w:rPr>
              <w:rFonts w:ascii="黑体" w:hAnsi="黑体" w:eastAsia="黑体" w:cs="黑体"/>
              <w:spacing w:val="-58"/>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156</w:t>
          </w:r>
          <w:r>
            <w:rPr>
              <w:rFonts w:ascii="Calibri" w:hAnsi="Calibri" w:eastAsia="Calibri" w:cs="Calibri"/>
              <w:spacing w:val="1"/>
              <w:sz w:val="21"/>
              <w:szCs w:val="21"/>
            </w:rPr>
            <w:fldChar w:fldCharType="end"/>
          </w:r>
        </w:p>
        <w:p w14:paraId="408FDB77">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"bookmark360" </w:instrText>
          </w:r>
          <w:r>
            <w:fldChar w:fldCharType="separate"/>
          </w:r>
          <w:r>
            <w:rPr>
              <w:rFonts w:ascii="Times New Roman" w:hAnsi="Times New Roman" w:eastAsia="Times New Roman" w:cs="Times New Roman"/>
              <w:b/>
              <w:bCs/>
              <w:spacing w:val="-1"/>
              <w:sz w:val="21"/>
              <w:szCs w:val="21"/>
            </w:rPr>
            <w:t xml:space="preserve">8.8 </w:t>
          </w:r>
          <w:r>
            <w:rPr>
              <w:rFonts w:ascii="黑体" w:hAnsi="黑体" w:eastAsia="黑体" w:cs="黑体"/>
              <w:b/>
              <w:bCs/>
              <w:spacing w:val="-1"/>
              <w:sz w:val="21"/>
              <w:szCs w:val="21"/>
            </w:rPr>
            <w:t>施工设备和临时设施</w:t>
          </w:r>
          <w:r>
            <w:rPr>
              <w:rFonts w:ascii="黑体" w:hAnsi="黑体" w:eastAsia="黑体" w:cs="黑体"/>
              <w:spacing w:val="-87"/>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157</w:t>
          </w:r>
          <w:r>
            <w:rPr>
              <w:rFonts w:ascii="Calibri" w:hAnsi="Calibri" w:eastAsia="Calibri" w:cs="Calibri"/>
              <w:spacing w:val="2"/>
              <w:sz w:val="21"/>
              <w:szCs w:val="21"/>
            </w:rPr>
            <w:fldChar w:fldCharType="end"/>
          </w:r>
        </w:p>
        <w:p w14:paraId="131E60F3">
          <w:pPr>
            <w:tabs>
              <w:tab w:val="right" w:leader="dot" w:pos="8322"/>
            </w:tabs>
            <w:spacing w:before="83" w:line="205" w:lineRule="auto"/>
            <w:ind w:left="864"/>
            <w:rPr>
              <w:rFonts w:ascii="Calibri" w:hAnsi="Calibri" w:eastAsia="Calibri" w:cs="Calibri"/>
              <w:sz w:val="21"/>
              <w:szCs w:val="21"/>
            </w:rPr>
          </w:pPr>
          <w:r>
            <w:fldChar w:fldCharType="begin"/>
          </w:r>
          <w:r>
            <w:instrText xml:space="preserve"> HYPERLINK \l "bookmark361" </w:instrText>
          </w:r>
          <w:r>
            <w:fldChar w:fldCharType="separate"/>
          </w:r>
          <w:r>
            <w:rPr>
              <w:rFonts w:ascii="Times New Roman" w:hAnsi="Times New Roman" w:eastAsia="Times New Roman" w:cs="Times New Roman"/>
              <w:b/>
              <w:bCs/>
              <w:spacing w:val="-1"/>
              <w:sz w:val="21"/>
              <w:szCs w:val="21"/>
            </w:rPr>
            <w:t xml:space="preserve">8.9 </w:t>
          </w:r>
          <w:r>
            <w:rPr>
              <w:rFonts w:ascii="黑体" w:hAnsi="黑体" w:eastAsia="黑体" w:cs="黑体"/>
              <w:b/>
              <w:bCs/>
              <w:spacing w:val="-1"/>
              <w:sz w:val="21"/>
              <w:szCs w:val="21"/>
            </w:rPr>
            <w:t>材料与设备专用要求</w:t>
          </w:r>
          <w:r>
            <w:rPr>
              <w:rFonts w:ascii="黑体" w:hAnsi="黑体" w:eastAsia="黑体" w:cs="黑体"/>
              <w:spacing w:val="-87"/>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157</w:t>
          </w:r>
          <w:r>
            <w:rPr>
              <w:rFonts w:ascii="Calibri" w:hAnsi="Calibri" w:eastAsia="Calibri" w:cs="Calibri"/>
              <w:spacing w:val="2"/>
              <w:sz w:val="21"/>
              <w:szCs w:val="21"/>
            </w:rPr>
            <w:fldChar w:fldCharType="end"/>
          </w:r>
        </w:p>
        <w:p w14:paraId="33512B8B">
          <w:pPr>
            <w:tabs>
              <w:tab w:val="right" w:leader="dot" w:pos="8322"/>
            </w:tabs>
            <w:spacing w:before="81" w:line="205" w:lineRule="auto"/>
            <w:ind w:left="443"/>
            <w:rPr>
              <w:rFonts w:ascii="Calibri" w:hAnsi="Calibri" w:eastAsia="Calibri" w:cs="Calibri"/>
              <w:sz w:val="21"/>
              <w:szCs w:val="21"/>
            </w:rPr>
          </w:pPr>
          <w:r>
            <w:fldChar w:fldCharType="begin"/>
          </w:r>
          <w:r>
            <w:instrText xml:space="preserve"> HYPERLINK \l "bookmark362" </w:instrText>
          </w:r>
          <w:r>
            <w:fldChar w:fldCharType="separate"/>
          </w:r>
          <w:r>
            <w:rPr>
              <w:rFonts w:ascii="Times New Roman" w:hAnsi="Times New Roman" w:eastAsia="Times New Roman" w:cs="Times New Roman"/>
              <w:b/>
              <w:bCs/>
              <w:spacing w:val="-4"/>
              <w:sz w:val="21"/>
              <w:szCs w:val="21"/>
            </w:rPr>
            <w:t>9.</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试验与检验</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157</w:t>
          </w:r>
          <w:r>
            <w:rPr>
              <w:rFonts w:ascii="Calibri" w:hAnsi="Calibri" w:eastAsia="Calibri" w:cs="Calibri"/>
              <w:spacing w:val="1"/>
              <w:sz w:val="21"/>
              <w:szCs w:val="21"/>
            </w:rPr>
            <w:fldChar w:fldCharType="end"/>
          </w:r>
        </w:p>
        <w:p w14:paraId="3DA163BD">
          <w:pPr>
            <w:tabs>
              <w:tab w:val="right" w:leader="dot" w:pos="8322"/>
            </w:tabs>
            <w:spacing w:before="83" w:line="205" w:lineRule="auto"/>
            <w:ind w:left="863"/>
            <w:rPr>
              <w:rFonts w:ascii="Calibri" w:hAnsi="Calibri" w:eastAsia="Calibri" w:cs="Calibri"/>
              <w:sz w:val="21"/>
              <w:szCs w:val="21"/>
            </w:rPr>
          </w:pPr>
          <w:r>
            <w:fldChar w:fldCharType="begin"/>
          </w:r>
          <w:r>
            <w:instrText xml:space="preserve"> HYPERLINK \l "bookmark363" </w:instrText>
          </w:r>
          <w:r>
            <w:fldChar w:fldCharType="separate"/>
          </w:r>
          <w:r>
            <w:rPr>
              <w:rFonts w:ascii="Times New Roman" w:hAnsi="Times New Roman" w:eastAsia="Times New Roman" w:cs="Times New Roman"/>
              <w:b/>
              <w:bCs/>
              <w:spacing w:val="-1"/>
              <w:sz w:val="21"/>
              <w:szCs w:val="21"/>
            </w:rPr>
            <w:t xml:space="preserve">9.1 </w:t>
          </w:r>
          <w:r>
            <w:rPr>
              <w:rFonts w:ascii="黑体" w:hAnsi="黑体" w:eastAsia="黑体" w:cs="黑体"/>
              <w:b/>
              <w:bCs/>
              <w:spacing w:val="-1"/>
              <w:sz w:val="21"/>
              <w:szCs w:val="21"/>
            </w:rPr>
            <w:t>试验设备与试验人员</w:t>
          </w:r>
          <w:r>
            <w:rPr>
              <w:rFonts w:ascii="黑体" w:hAnsi="黑体" w:eastAsia="黑体" w:cs="黑体"/>
              <w:spacing w:val="-8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157</w:t>
          </w:r>
          <w:r>
            <w:rPr>
              <w:rFonts w:ascii="Calibri" w:hAnsi="Calibri" w:eastAsia="Calibri" w:cs="Calibri"/>
              <w:spacing w:val="2"/>
              <w:sz w:val="21"/>
              <w:szCs w:val="21"/>
            </w:rPr>
            <w:fldChar w:fldCharType="end"/>
          </w:r>
        </w:p>
        <w:p w14:paraId="2046CD5F">
          <w:pPr>
            <w:tabs>
              <w:tab w:val="right" w:leader="dot" w:pos="8322"/>
            </w:tabs>
            <w:spacing w:before="67" w:line="205" w:lineRule="auto"/>
            <w:ind w:left="863"/>
            <w:rPr>
              <w:rFonts w:ascii="Calibri" w:hAnsi="Calibri" w:eastAsia="Calibri" w:cs="Calibri"/>
              <w:sz w:val="21"/>
              <w:szCs w:val="21"/>
            </w:rPr>
          </w:pPr>
          <w:r>
            <w:fldChar w:fldCharType="begin"/>
          </w:r>
          <w:r>
            <w:instrText xml:space="preserve"> HYPERLINK \l "bookmark364" </w:instrText>
          </w:r>
          <w:r>
            <w:fldChar w:fldCharType="separate"/>
          </w:r>
          <w:r>
            <w:rPr>
              <w:rFonts w:ascii="Times New Roman" w:hAnsi="Times New Roman" w:eastAsia="Times New Roman" w:cs="Times New Roman"/>
              <w:b/>
              <w:bCs/>
              <w:spacing w:val="-2"/>
              <w:sz w:val="21"/>
              <w:szCs w:val="21"/>
            </w:rPr>
            <w:t xml:space="preserve">9.2 </w:t>
          </w:r>
          <w:r>
            <w:rPr>
              <w:rFonts w:ascii="黑体" w:hAnsi="黑体" w:eastAsia="黑体" w:cs="黑体"/>
              <w:b/>
              <w:bCs/>
              <w:spacing w:val="-2"/>
              <w:sz w:val="21"/>
              <w:szCs w:val="21"/>
            </w:rPr>
            <w:t>取样</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158</w:t>
          </w:r>
          <w:r>
            <w:rPr>
              <w:rFonts w:ascii="Calibri" w:hAnsi="Calibri" w:eastAsia="Calibri" w:cs="Calibri"/>
              <w:spacing w:val="1"/>
              <w:sz w:val="21"/>
              <w:szCs w:val="21"/>
            </w:rPr>
            <w:fldChar w:fldCharType="end"/>
          </w:r>
        </w:p>
        <w:p w14:paraId="55B35055">
          <w:pPr>
            <w:tabs>
              <w:tab w:val="right" w:leader="dot" w:pos="8322"/>
            </w:tabs>
            <w:spacing w:before="82" w:line="205" w:lineRule="auto"/>
            <w:ind w:left="863"/>
            <w:rPr>
              <w:rFonts w:ascii="Calibri" w:hAnsi="Calibri" w:eastAsia="Calibri" w:cs="Calibri"/>
              <w:sz w:val="21"/>
              <w:szCs w:val="21"/>
            </w:rPr>
          </w:pPr>
          <w:r>
            <w:fldChar w:fldCharType="begin"/>
          </w:r>
          <w:r>
            <w:instrText xml:space="preserve"> HYPERLINK \l "bookmark365" </w:instrText>
          </w:r>
          <w:r>
            <w:fldChar w:fldCharType="separate"/>
          </w:r>
          <w:r>
            <w:rPr>
              <w:rFonts w:ascii="Times New Roman" w:hAnsi="Times New Roman" w:eastAsia="Times New Roman" w:cs="Times New Roman"/>
              <w:b/>
              <w:bCs/>
              <w:spacing w:val="-2"/>
              <w:sz w:val="21"/>
              <w:szCs w:val="21"/>
            </w:rPr>
            <w:t xml:space="preserve">9.3 </w:t>
          </w:r>
          <w:r>
            <w:rPr>
              <w:rFonts w:ascii="黑体" w:hAnsi="黑体" w:eastAsia="黑体" w:cs="黑体"/>
              <w:b/>
              <w:bCs/>
              <w:spacing w:val="-2"/>
              <w:sz w:val="21"/>
              <w:szCs w:val="21"/>
            </w:rPr>
            <w:t>材料、工程设备和工程的试验和检验</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158</w:t>
          </w:r>
          <w:r>
            <w:rPr>
              <w:rFonts w:ascii="Calibri" w:hAnsi="Calibri" w:eastAsia="Calibri" w:cs="Calibri"/>
              <w:spacing w:val="2"/>
              <w:sz w:val="21"/>
              <w:szCs w:val="21"/>
            </w:rPr>
            <w:fldChar w:fldCharType="end"/>
          </w:r>
        </w:p>
        <w:p w14:paraId="1CA17E16">
          <w:pPr>
            <w:tabs>
              <w:tab w:val="right" w:leader="dot" w:pos="8322"/>
            </w:tabs>
            <w:spacing w:before="82" w:line="205" w:lineRule="auto"/>
            <w:ind w:left="863"/>
            <w:rPr>
              <w:rFonts w:ascii="Calibri" w:hAnsi="Calibri" w:eastAsia="Calibri" w:cs="Calibri"/>
              <w:sz w:val="21"/>
              <w:szCs w:val="21"/>
            </w:rPr>
          </w:pPr>
          <w:r>
            <w:fldChar w:fldCharType="begin"/>
          </w:r>
          <w:r>
            <w:instrText xml:space="preserve"> HYPERLINK \l "bookmark366" </w:instrText>
          </w:r>
          <w:r>
            <w:fldChar w:fldCharType="separate"/>
          </w:r>
          <w:r>
            <w:rPr>
              <w:rFonts w:ascii="Times New Roman" w:hAnsi="Times New Roman" w:eastAsia="Times New Roman" w:cs="Times New Roman"/>
              <w:b/>
              <w:bCs/>
              <w:spacing w:val="-2"/>
              <w:sz w:val="21"/>
              <w:szCs w:val="21"/>
            </w:rPr>
            <w:t xml:space="preserve">9.4 </w:t>
          </w:r>
          <w:r>
            <w:rPr>
              <w:rFonts w:ascii="黑体" w:hAnsi="黑体" w:eastAsia="黑体" w:cs="黑体"/>
              <w:b/>
              <w:bCs/>
              <w:spacing w:val="-2"/>
              <w:sz w:val="21"/>
              <w:szCs w:val="21"/>
            </w:rPr>
            <w:t>现场工艺试验</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158</w:t>
          </w:r>
          <w:r>
            <w:rPr>
              <w:rFonts w:ascii="Calibri" w:hAnsi="Calibri" w:eastAsia="Calibri" w:cs="Calibri"/>
              <w:spacing w:val="2"/>
              <w:sz w:val="21"/>
              <w:szCs w:val="21"/>
            </w:rPr>
            <w:fldChar w:fldCharType="end"/>
          </w:r>
        </w:p>
        <w:p w14:paraId="3182B860">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"bookmark367" </w:instrText>
          </w:r>
          <w:r>
            <w:fldChar w:fldCharType="separate"/>
          </w:r>
          <w:r>
            <w:rPr>
              <w:rFonts w:ascii="Times New Roman" w:hAnsi="Times New Roman" w:eastAsia="Times New Roman" w:cs="Times New Roman"/>
              <w:b/>
              <w:bCs/>
              <w:spacing w:val="-7"/>
              <w:sz w:val="21"/>
              <w:szCs w:val="21"/>
            </w:rPr>
            <w:t>10.</w:t>
          </w:r>
          <w:r>
            <w:rPr>
              <w:rFonts w:ascii="Times New Roman" w:hAnsi="Times New Roman" w:eastAsia="Times New Roman" w:cs="Times New Roman"/>
              <w:b/>
              <w:bCs/>
              <w:spacing w:val="12"/>
              <w:sz w:val="21"/>
              <w:szCs w:val="21"/>
            </w:rPr>
            <w:t xml:space="preserve">  </w:t>
          </w:r>
          <w:r>
            <w:rPr>
              <w:rFonts w:ascii="黑体" w:hAnsi="黑体" w:eastAsia="黑体" w:cs="黑体"/>
              <w:b/>
              <w:bCs/>
              <w:spacing w:val="-7"/>
              <w:sz w:val="21"/>
              <w:szCs w:val="21"/>
            </w:rPr>
            <w:t>变更</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158</w:t>
          </w:r>
          <w:r>
            <w:rPr>
              <w:rFonts w:ascii="Calibri" w:hAnsi="Calibri" w:eastAsia="Calibri" w:cs="Calibri"/>
              <w:spacing w:val="1"/>
              <w:sz w:val="21"/>
              <w:szCs w:val="21"/>
            </w:rPr>
            <w:fldChar w:fldCharType="end"/>
          </w:r>
        </w:p>
        <w:p w14:paraId="4F2F01CB">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"bookmark368" </w:instrText>
          </w:r>
          <w:r>
            <w:fldChar w:fldCharType="separate"/>
          </w:r>
          <w:r>
            <w:rPr>
              <w:rFonts w:ascii="Times New Roman" w:hAnsi="Times New Roman" w:eastAsia="Times New Roman" w:cs="Times New Roman"/>
              <w:b/>
              <w:bCs/>
              <w:spacing w:val="-3"/>
              <w:sz w:val="21"/>
              <w:szCs w:val="21"/>
            </w:rPr>
            <w:t xml:space="preserve">10.1 </w:t>
          </w:r>
          <w:r>
            <w:rPr>
              <w:rFonts w:ascii="黑体" w:hAnsi="黑体" w:eastAsia="黑体" w:cs="黑体"/>
              <w:b/>
              <w:bCs/>
              <w:spacing w:val="-3"/>
              <w:sz w:val="21"/>
              <w:szCs w:val="21"/>
            </w:rPr>
            <w:t>变更的范围</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158</w:t>
          </w:r>
          <w:r>
            <w:rPr>
              <w:rFonts w:ascii="Calibri" w:hAnsi="Calibri" w:eastAsia="Calibri" w:cs="Calibri"/>
              <w:spacing w:val="2"/>
              <w:sz w:val="21"/>
              <w:szCs w:val="21"/>
            </w:rPr>
            <w:fldChar w:fldCharType="end"/>
          </w:r>
        </w:p>
        <w:p w14:paraId="2B8CC62E">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"bookmark369" </w:instrText>
          </w:r>
          <w:r>
            <w:fldChar w:fldCharType="separate"/>
          </w:r>
          <w:r>
            <w:rPr>
              <w:rFonts w:ascii="Times New Roman" w:hAnsi="Times New Roman" w:eastAsia="Times New Roman" w:cs="Times New Roman"/>
              <w:b/>
              <w:bCs/>
              <w:spacing w:val="-3"/>
              <w:sz w:val="21"/>
              <w:szCs w:val="21"/>
            </w:rPr>
            <w:t xml:space="preserve">10.2 </w:t>
          </w:r>
          <w:r>
            <w:rPr>
              <w:rFonts w:ascii="黑体" w:hAnsi="黑体" w:eastAsia="黑体" w:cs="黑体"/>
              <w:b/>
              <w:bCs/>
              <w:spacing w:val="-3"/>
              <w:sz w:val="21"/>
              <w:szCs w:val="21"/>
            </w:rPr>
            <w:t>变更权</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159</w:t>
          </w:r>
          <w:r>
            <w:rPr>
              <w:rFonts w:ascii="Calibri" w:hAnsi="Calibri" w:eastAsia="Calibri" w:cs="Calibri"/>
              <w:spacing w:val="1"/>
              <w:sz w:val="21"/>
              <w:szCs w:val="21"/>
            </w:rPr>
            <w:fldChar w:fldCharType="end"/>
          </w:r>
        </w:p>
        <w:p w14:paraId="7816BF9E">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"bookmark370" </w:instrText>
          </w:r>
          <w:r>
            <w:fldChar w:fldCharType="separate"/>
          </w:r>
          <w:r>
            <w:rPr>
              <w:rFonts w:ascii="Times New Roman" w:hAnsi="Times New Roman" w:eastAsia="Times New Roman" w:cs="Times New Roman"/>
              <w:b/>
              <w:bCs/>
              <w:spacing w:val="-3"/>
              <w:sz w:val="21"/>
              <w:szCs w:val="21"/>
            </w:rPr>
            <w:t xml:space="preserve">10.3 </w:t>
          </w:r>
          <w:r>
            <w:rPr>
              <w:rFonts w:ascii="黑体" w:hAnsi="黑体" w:eastAsia="黑体" w:cs="黑体"/>
              <w:b/>
              <w:bCs/>
              <w:spacing w:val="-3"/>
              <w:sz w:val="21"/>
              <w:szCs w:val="21"/>
            </w:rPr>
            <w:t>变更程序</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159</w:t>
          </w:r>
          <w:r>
            <w:rPr>
              <w:rFonts w:ascii="Calibri" w:hAnsi="Calibri" w:eastAsia="Calibri" w:cs="Calibri"/>
              <w:spacing w:val="1"/>
              <w:sz w:val="21"/>
              <w:szCs w:val="21"/>
            </w:rPr>
            <w:fldChar w:fldCharType="end"/>
          </w:r>
        </w:p>
        <w:p w14:paraId="177EFA35">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"bookmark371" </w:instrText>
          </w:r>
          <w:r>
            <w:fldChar w:fldCharType="separate"/>
          </w:r>
          <w:r>
            <w:rPr>
              <w:rFonts w:ascii="Times New Roman" w:hAnsi="Times New Roman" w:eastAsia="Times New Roman" w:cs="Times New Roman"/>
              <w:b/>
              <w:bCs/>
              <w:spacing w:val="-3"/>
              <w:sz w:val="21"/>
              <w:szCs w:val="21"/>
            </w:rPr>
            <w:t xml:space="preserve">10.4 </w:t>
          </w:r>
          <w:r>
            <w:rPr>
              <w:rFonts w:ascii="黑体" w:hAnsi="黑体" w:eastAsia="黑体" w:cs="黑体"/>
              <w:b/>
              <w:bCs/>
              <w:spacing w:val="-3"/>
              <w:sz w:val="21"/>
              <w:szCs w:val="21"/>
            </w:rPr>
            <w:t>变更估价</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159</w:t>
          </w:r>
          <w:r>
            <w:rPr>
              <w:rFonts w:ascii="Calibri" w:hAnsi="Calibri" w:eastAsia="Calibri" w:cs="Calibri"/>
              <w:spacing w:val="1"/>
              <w:sz w:val="21"/>
              <w:szCs w:val="21"/>
            </w:rPr>
            <w:fldChar w:fldCharType="end"/>
          </w:r>
        </w:p>
        <w:p w14:paraId="79DE63E9">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"bookmark372" </w:instrText>
          </w:r>
          <w:r>
            <w:fldChar w:fldCharType="separate"/>
          </w:r>
          <w:r>
            <w:rPr>
              <w:rFonts w:ascii="Times New Roman" w:hAnsi="Times New Roman" w:eastAsia="Times New Roman" w:cs="Times New Roman"/>
              <w:b/>
              <w:bCs/>
              <w:spacing w:val="-2"/>
              <w:sz w:val="21"/>
              <w:szCs w:val="21"/>
            </w:rPr>
            <w:t xml:space="preserve">10.5 </w:t>
          </w:r>
          <w:r>
            <w:rPr>
              <w:rFonts w:ascii="黑体" w:hAnsi="黑体" w:eastAsia="黑体" w:cs="黑体"/>
              <w:b/>
              <w:bCs/>
              <w:spacing w:val="-2"/>
              <w:sz w:val="21"/>
              <w:szCs w:val="21"/>
            </w:rPr>
            <w:t>承包人的合理化建议</w:t>
          </w:r>
          <w:r>
            <w:rPr>
              <w:rFonts w:ascii="黑体" w:hAnsi="黑体" w:eastAsia="黑体" w:cs="黑体"/>
              <w:spacing w:val="-6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160</w:t>
          </w:r>
          <w:r>
            <w:rPr>
              <w:rFonts w:ascii="Calibri" w:hAnsi="Calibri" w:eastAsia="Calibri" w:cs="Calibri"/>
              <w:spacing w:val="1"/>
              <w:sz w:val="21"/>
              <w:szCs w:val="21"/>
            </w:rPr>
            <w:fldChar w:fldCharType="end"/>
          </w:r>
        </w:p>
        <w:p w14:paraId="7BD139EF">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"bookmark373" </w:instrText>
          </w:r>
          <w:r>
            <w:fldChar w:fldCharType="separate"/>
          </w:r>
          <w:r>
            <w:rPr>
              <w:rFonts w:ascii="Times New Roman" w:hAnsi="Times New Roman" w:eastAsia="Times New Roman" w:cs="Times New Roman"/>
              <w:b/>
              <w:bCs/>
              <w:spacing w:val="-2"/>
              <w:sz w:val="21"/>
              <w:szCs w:val="21"/>
            </w:rPr>
            <w:t xml:space="preserve">10.6 </w:t>
          </w:r>
          <w:r>
            <w:rPr>
              <w:rFonts w:ascii="黑体" w:hAnsi="黑体" w:eastAsia="黑体" w:cs="黑体"/>
              <w:b/>
              <w:bCs/>
              <w:spacing w:val="-2"/>
              <w:sz w:val="21"/>
              <w:szCs w:val="21"/>
            </w:rPr>
            <w:t>变更引起的工期调整</w:t>
          </w:r>
          <w:r>
            <w:rPr>
              <w:rFonts w:ascii="黑体" w:hAnsi="黑体" w:eastAsia="黑体" w:cs="黑体"/>
              <w:spacing w:val="-6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160</w:t>
          </w:r>
          <w:r>
            <w:rPr>
              <w:rFonts w:ascii="Calibri" w:hAnsi="Calibri" w:eastAsia="Calibri" w:cs="Calibri"/>
              <w:spacing w:val="1"/>
              <w:sz w:val="21"/>
              <w:szCs w:val="21"/>
            </w:rPr>
            <w:fldChar w:fldCharType="end"/>
          </w:r>
        </w:p>
        <w:p w14:paraId="0F16C573">
          <w:pPr>
            <w:tabs>
              <w:tab w:val="right" w:leader="dot" w:pos="8322"/>
            </w:tabs>
            <w:spacing w:before="68" w:line="205" w:lineRule="auto"/>
            <w:ind w:left="870"/>
            <w:rPr>
              <w:rFonts w:ascii="Calibri" w:hAnsi="Calibri" w:eastAsia="Calibri" w:cs="Calibri"/>
              <w:sz w:val="21"/>
              <w:szCs w:val="21"/>
            </w:rPr>
          </w:pPr>
          <w:r>
            <w:fldChar w:fldCharType="begin"/>
          </w:r>
          <w:r>
            <w:instrText xml:space="preserve"> HYPERLINK \l "bookmark374" </w:instrText>
          </w:r>
          <w:r>
            <w:fldChar w:fldCharType="separate"/>
          </w:r>
          <w:r>
            <w:rPr>
              <w:rFonts w:ascii="Times New Roman" w:hAnsi="Times New Roman" w:eastAsia="Times New Roman" w:cs="Times New Roman"/>
              <w:b/>
              <w:bCs/>
              <w:spacing w:val="-4"/>
              <w:sz w:val="21"/>
              <w:szCs w:val="21"/>
            </w:rPr>
            <w:t>10.7</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暂估价</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160</w:t>
          </w:r>
          <w:r>
            <w:rPr>
              <w:rFonts w:ascii="Calibri" w:hAnsi="Calibri" w:eastAsia="Calibri" w:cs="Calibri"/>
              <w:spacing w:val="1"/>
              <w:sz w:val="21"/>
              <w:szCs w:val="21"/>
            </w:rPr>
            <w:fldChar w:fldCharType="end"/>
          </w:r>
        </w:p>
        <w:p w14:paraId="3072AB0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"bookmark375" </w:instrText>
          </w:r>
          <w:r>
            <w:fldChar w:fldCharType="separate"/>
          </w:r>
          <w:r>
            <w:rPr>
              <w:rFonts w:ascii="Times New Roman" w:hAnsi="Times New Roman" w:eastAsia="Times New Roman" w:cs="Times New Roman"/>
              <w:b/>
              <w:bCs/>
              <w:spacing w:val="-3"/>
              <w:sz w:val="21"/>
              <w:szCs w:val="21"/>
            </w:rPr>
            <w:t xml:space="preserve">10.8 </w:t>
          </w:r>
          <w:r>
            <w:rPr>
              <w:rFonts w:ascii="黑体" w:hAnsi="黑体" w:eastAsia="黑体" w:cs="黑体"/>
              <w:b/>
              <w:bCs/>
              <w:spacing w:val="-3"/>
              <w:sz w:val="21"/>
              <w:szCs w:val="21"/>
            </w:rPr>
            <w:t>暂列金额</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161</w:t>
          </w:r>
          <w:r>
            <w:rPr>
              <w:rFonts w:ascii="Calibri" w:hAnsi="Calibri" w:eastAsia="Calibri" w:cs="Calibri"/>
              <w:spacing w:val="1"/>
              <w:sz w:val="21"/>
              <w:szCs w:val="21"/>
            </w:rPr>
            <w:fldChar w:fldCharType="end"/>
          </w:r>
        </w:p>
        <w:p w14:paraId="7AE254F8">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"bookmark376" </w:instrText>
          </w:r>
          <w:r>
            <w:fldChar w:fldCharType="separate"/>
          </w:r>
          <w:r>
            <w:rPr>
              <w:rFonts w:ascii="Times New Roman" w:hAnsi="Times New Roman" w:eastAsia="Times New Roman" w:cs="Times New Roman"/>
              <w:b/>
              <w:bCs/>
              <w:spacing w:val="-3"/>
              <w:sz w:val="21"/>
              <w:szCs w:val="21"/>
            </w:rPr>
            <w:t xml:space="preserve">10.9 </w:t>
          </w:r>
          <w:r>
            <w:rPr>
              <w:rFonts w:ascii="黑体" w:hAnsi="黑体" w:eastAsia="黑体" w:cs="黑体"/>
              <w:b/>
              <w:bCs/>
              <w:spacing w:val="-3"/>
              <w:sz w:val="21"/>
              <w:szCs w:val="21"/>
            </w:rPr>
            <w:t>计日工</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161</w:t>
          </w:r>
          <w:r>
            <w:rPr>
              <w:rFonts w:ascii="Calibri" w:hAnsi="Calibri" w:eastAsia="Calibri" w:cs="Calibri"/>
              <w:spacing w:val="1"/>
              <w:sz w:val="21"/>
              <w:szCs w:val="21"/>
            </w:rPr>
            <w:fldChar w:fldCharType="end"/>
          </w:r>
        </w:p>
        <w:p w14:paraId="14398691">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"bookmark377" </w:instrText>
          </w:r>
          <w:r>
            <w:fldChar w:fldCharType="separate"/>
          </w:r>
          <w:r>
            <w:rPr>
              <w:rFonts w:ascii="Times New Roman" w:hAnsi="Times New Roman" w:eastAsia="Times New Roman" w:cs="Times New Roman"/>
              <w:b/>
              <w:bCs/>
              <w:spacing w:val="-7"/>
              <w:sz w:val="21"/>
              <w:szCs w:val="21"/>
            </w:rPr>
            <w:t>11.</w:t>
          </w:r>
          <w:r>
            <w:rPr>
              <w:rFonts w:ascii="Times New Roman" w:hAnsi="Times New Roman" w:eastAsia="Times New Roman" w:cs="Times New Roman"/>
              <w:b/>
              <w:bCs/>
              <w:spacing w:val="9"/>
              <w:sz w:val="21"/>
              <w:szCs w:val="21"/>
            </w:rPr>
            <w:t xml:space="preserve">  </w:t>
          </w:r>
          <w:r>
            <w:rPr>
              <w:rFonts w:ascii="黑体" w:hAnsi="黑体" w:eastAsia="黑体" w:cs="黑体"/>
              <w:b/>
              <w:bCs/>
              <w:spacing w:val="-7"/>
              <w:sz w:val="21"/>
              <w:szCs w:val="21"/>
            </w:rPr>
            <w:t>价格调整</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162</w:t>
          </w:r>
          <w:r>
            <w:rPr>
              <w:rFonts w:ascii="Calibri" w:hAnsi="Calibri" w:eastAsia="Calibri" w:cs="Calibri"/>
              <w:spacing w:val="1"/>
              <w:sz w:val="21"/>
              <w:szCs w:val="21"/>
            </w:rPr>
            <w:fldChar w:fldCharType="end"/>
          </w:r>
        </w:p>
        <w:p w14:paraId="7B03F757">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"bookmark378" </w:instrText>
          </w:r>
          <w:r>
            <w:fldChar w:fldCharType="separate"/>
          </w:r>
          <w:r>
            <w:rPr>
              <w:rFonts w:ascii="Times New Roman" w:hAnsi="Times New Roman" w:eastAsia="Times New Roman" w:cs="Times New Roman"/>
              <w:b/>
              <w:bCs/>
              <w:spacing w:val="-3"/>
              <w:sz w:val="21"/>
              <w:szCs w:val="21"/>
            </w:rPr>
            <w:t xml:space="preserve">11.1 </w:t>
          </w:r>
          <w:r>
            <w:rPr>
              <w:rFonts w:ascii="黑体" w:hAnsi="黑体" w:eastAsia="黑体" w:cs="黑体"/>
              <w:b/>
              <w:bCs/>
              <w:spacing w:val="-3"/>
              <w:sz w:val="21"/>
              <w:szCs w:val="21"/>
            </w:rPr>
            <w:t>市场价格波动引起的调整</w:t>
          </w:r>
          <w:r>
            <w:rPr>
              <w:rFonts w:ascii="黑体" w:hAnsi="黑体" w:eastAsia="黑体" w:cs="黑体"/>
              <w:spacing w:val="-4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162</w:t>
          </w:r>
          <w:r>
            <w:rPr>
              <w:rFonts w:ascii="Calibri" w:hAnsi="Calibri" w:eastAsia="Calibri" w:cs="Calibri"/>
              <w:spacing w:val="2"/>
              <w:sz w:val="21"/>
              <w:szCs w:val="21"/>
            </w:rPr>
            <w:fldChar w:fldCharType="end"/>
          </w:r>
        </w:p>
        <w:p w14:paraId="6AA6A626">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"bookmark379" </w:instrText>
          </w:r>
          <w:r>
            <w:fldChar w:fldCharType="separate"/>
          </w:r>
          <w:r>
            <w:rPr>
              <w:rFonts w:ascii="Times New Roman" w:hAnsi="Times New Roman" w:eastAsia="Times New Roman" w:cs="Times New Roman"/>
              <w:b/>
              <w:bCs/>
              <w:spacing w:val="-3"/>
              <w:sz w:val="21"/>
              <w:szCs w:val="21"/>
            </w:rPr>
            <w:t xml:space="preserve">11.2 </w:t>
          </w:r>
          <w:r>
            <w:rPr>
              <w:rFonts w:ascii="黑体" w:hAnsi="黑体" w:eastAsia="黑体" w:cs="黑体"/>
              <w:b/>
              <w:bCs/>
              <w:spacing w:val="-3"/>
              <w:sz w:val="21"/>
              <w:szCs w:val="21"/>
            </w:rPr>
            <w:t>法律变化引起的调整</w:t>
          </w:r>
          <w:r>
            <w:rPr>
              <w:rFonts w:ascii="黑体" w:hAnsi="黑体" w:eastAsia="黑体" w:cs="黑体"/>
              <w:spacing w:val="-5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0C64C401">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"bookmark380" </w:instrText>
          </w:r>
          <w:r>
            <w:fldChar w:fldCharType="separate"/>
          </w:r>
          <w:r>
            <w:rPr>
              <w:rFonts w:ascii="Times New Roman" w:hAnsi="Times New Roman" w:eastAsia="Times New Roman" w:cs="Times New Roman"/>
              <w:b/>
              <w:bCs/>
              <w:spacing w:val="-2"/>
              <w:sz w:val="21"/>
              <w:szCs w:val="21"/>
            </w:rPr>
            <w:t xml:space="preserve">12.  </w:t>
          </w:r>
          <w:r>
            <w:rPr>
              <w:rFonts w:ascii="黑体" w:hAnsi="黑体" w:eastAsia="黑体" w:cs="黑体"/>
              <w:b/>
              <w:bCs/>
              <w:spacing w:val="-2"/>
              <w:sz w:val="21"/>
              <w:szCs w:val="21"/>
            </w:rPr>
            <w:t>合同价格、计量与支付</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164</w:t>
          </w:r>
          <w:r>
            <w:rPr>
              <w:rFonts w:ascii="Calibri" w:hAnsi="Calibri" w:eastAsia="Calibri" w:cs="Calibri"/>
              <w:spacing w:val="2"/>
              <w:sz w:val="21"/>
              <w:szCs w:val="21"/>
            </w:rPr>
            <w:fldChar w:fldCharType="end"/>
          </w:r>
        </w:p>
        <w:p w14:paraId="1296A41B">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"bookmark381" </w:instrText>
          </w:r>
          <w:r>
            <w:fldChar w:fldCharType="separate"/>
          </w:r>
          <w:r>
            <w:rPr>
              <w:rFonts w:ascii="Times New Roman" w:hAnsi="Times New Roman" w:eastAsia="Times New Roman" w:cs="Times New Roman"/>
              <w:b/>
              <w:bCs/>
              <w:spacing w:val="-2"/>
              <w:sz w:val="21"/>
              <w:szCs w:val="21"/>
            </w:rPr>
            <w:t xml:space="preserve">12.1  </w:t>
          </w:r>
          <w:r>
            <w:rPr>
              <w:rFonts w:ascii="黑体" w:hAnsi="黑体" w:eastAsia="黑体" w:cs="黑体"/>
              <w:b/>
              <w:bCs/>
              <w:spacing w:val="-2"/>
              <w:sz w:val="21"/>
              <w:szCs w:val="21"/>
            </w:rPr>
            <w:t>合同价格形式</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164</w:t>
          </w:r>
          <w:r>
            <w:rPr>
              <w:rFonts w:ascii="Calibri" w:hAnsi="Calibri" w:eastAsia="Calibri" w:cs="Calibri"/>
              <w:spacing w:val="2"/>
              <w:sz w:val="21"/>
              <w:szCs w:val="21"/>
            </w:rPr>
            <w:fldChar w:fldCharType="end"/>
          </w:r>
        </w:p>
        <w:p w14:paraId="5D9A61BB">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"bookmark382" </w:instrText>
          </w:r>
          <w:r>
            <w:fldChar w:fldCharType="separate"/>
          </w:r>
          <w:r>
            <w:rPr>
              <w:rFonts w:ascii="Times New Roman" w:hAnsi="Times New Roman" w:eastAsia="Times New Roman" w:cs="Times New Roman"/>
              <w:b/>
              <w:bCs/>
              <w:spacing w:val="-3"/>
              <w:sz w:val="21"/>
              <w:szCs w:val="21"/>
            </w:rPr>
            <w:t xml:space="preserve">12.2 </w:t>
          </w:r>
          <w:r>
            <w:rPr>
              <w:rFonts w:ascii="黑体" w:hAnsi="黑体" w:eastAsia="黑体" w:cs="黑体"/>
              <w:b/>
              <w:bCs/>
              <w:spacing w:val="-3"/>
              <w:sz w:val="21"/>
              <w:szCs w:val="21"/>
            </w:rPr>
            <w:t>预付款</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164</w:t>
          </w:r>
          <w:r>
            <w:rPr>
              <w:rFonts w:ascii="Calibri" w:hAnsi="Calibri" w:eastAsia="Calibri" w:cs="Calibri"/>
              <w:spacing w:val="1"/>
              <w:sz w:val="21"/>
              <w:szCs w:val="21"/>
            </w:rPr>
            <w:fldChar w:fldCharType="end"/>
          </w:r>
        </w:p>
        <w:p w14:paraId="417988CC">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"bookmark383" </w:instrText>
          </w:r>
          <w:r>
            <w:fldChar w:fldCharType="separate"/>
          </w:r>
          <w:r>
            <w:rPr>
              <w:rFonts w:ascii="Times New Roman" w:hAnsi="Times New Roman" w:eastAsia="Times New Roman" w:cs="Times New Roman"/>
              <w:b/>
              <w:bCs/>
              <w:spacing w:val="-3"/>
              <w:sz w:val="21"/>
              <w:szCs w:val="21"/>
            </w:rPr>
            <w:t xml:space="preserve">12.3 </w:t>
          </w:r>
          <w:r>
            <w:rPr>
              <w:rFonts w:ascii="黑体" w:hAnsi="黑体" w:eastAsia="黑体" w:cs="黑体"/>
              <w:b/>
              <w:bCs/>
              <w:spacing w:val="-3"/>
              <w:sz w:val="21"/>
              <w:szCs w:val="21"/>
            </w:rPr>
            <w:t>计量</w:t>
          </w:r>
          <w:r>
            <w:rPr>
              <w:rFonts w:ascii="黑体" w:hAnsi="黑体" w:eastAsia="黑体" w:cs="黑体"/>
              <w:spacing w:val="-8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165</w:t>
          </w:r>
          <w:r>
            <w:rPr>
              <w:rFonts w:ascii="Calibri" w:hAnsi="Calibri" w:eastAsia="Calibri" w:cs="Calibri"/>
              <w:spacing w:val="1"/>
              <w:sz w:val="21"/>
              <w:szCs w:val="21"/>
            </w:rPr>
            <w:fldChar w:fldCharType="end"/>
          </w:r>
        </w:p>
        <w:p w14:paraId="43D8D7CE">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"bookmark384" </w:instrText>
          </w:r>
          <w:r>
            <w:fldChar w:fldCharType="separate"/>
          </w:r>
          <w:r>
            <w:rPr>
              <w:rFonts w:ascii="Times New Roman" w:hAnsi="Times New Roman" w:eastAsia="Times New Roman" w:cs="Times New Roman"/>
              <w:b/>
              <w:bCs/>
              <w:spacing w:val="-3"/>
              <w:sz w:val="21"/>
              <w:szCs w:val="21"/>
            </w:rPr>
            <w:t xml:space="preserve">12.4 </w:t>
          </w:r>
          <w:r>
            <w:rPr>
              <w:rFonts w:ascii="黑体" w:hAnsi="黑体" w:eastAsia="黑体" w:cs="黑体"/>
              <w:b/>
              <w:bCs/>
              <w:spacing w:val="-3"/>
              <w:sz w:val="21"/>
              <w:szCs w:val="21"/>
            </w:rPr>
            <w:t>工程进度款支付</w:t>
          </w:r>
          <w:r>
            <w:rPr>
              <w:rFonts w:ascii="黑体" w:hAnsi="黑体" w:eastAsia="黑体" w:cs="黑体"/>
              <w:spacing w:val="-5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166</w:t>
          </w:r>
          <w:r>
            <w:rPr>
              <w:rFonts w:ascii="Calibri" w:hAnsi="Calibri" w:eastAsia="Calibri" w:cs="Calibri"/>
              <w:spacing w:val="2"/>
              <w:sz w:val="21"/>
              <w:szCs w:val="21"/>
            </w:rPr>
            <w:fldChar w:fldCharType="end"/>
          </w:r>
        </w:p>
        <w:p w14:paraId="13ECDE93">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"bookmark385" </w:instrText>
          </w:r>
          <w:r>
            <w:fldChar w:fldCharType="separate"/>
          </w:r>
          <w:r>
            <w:rPr>
              <w:rFonts w:ascii="Times New Roman" w:hAnsi="Times New Roman" w:eastAsia="Times New Roman" w:cs="Times New Roman"/>
              <w:b/>
              <w:bCs/>
              <w:spacing w:val="-3"/>
              <w:sz w:val="21"/>
              <w:szCs w:val="21"/>
            </w:rPr>
            <w:t xml:space="preserve">12.5 </w:t>
          </w:r>
          <w:r>
            <w:rPr>
              <w:rFonts w:ascii="黑体" w:hAnsi="黑体" w:eastAsia="黑体" w:cs="黑体"/>
              <w:b/>
              <w:bCs/>
              <w:spacing w:val="-3"/>
              <w:sz w:val="21"/>
              <w:szCs w:val="21"/>
            </w:rPr>
            <w:t>支付账户</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168</w:t>
          </w:r>
          <w:r>
            <w:rPr>
              <w:rFonts w:ascii="Calibri" w:hAnsi="Calibri" w:eastAsia="Calibri" w:cs="Calibri"/>
              <w:spacing w:val="1"/>
              <w:sz w:val="21"/>
              <w:szCs w:val="21"/>
            </w:rPr>
            <w:fldChar w:fldCharType="end"/>
          </w:r>
        </w:p>
        <w:p w14:paraId="374A0D92">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"bookmark386" </w:instrText>
          </w:r>
          <w:r>
            <w:fldChar w:fldCharType="separate"/>
          </w:r>
          <w:r>
            <w:rPr>
              <w:rFonts w:ascii="Times New Roman" w:hAnsi="Times New Roman" w:eastAsia="Times New Roman" w:cs="Times New Roman"/>
              <w:b/>
              <w:bCs/>
              <w:spacing w:val="-2"/>
              <w:sz w:val="21"/>
              <w:szCs w:val="21"/>
            </w:rPr>
            <w:t xml:space="preserve">13.  </w:t>
          </w:r>
          <w:r>
            <w:rPr>
              <w:rFonts w:ascii="黑体" w:hAnsi="黑体" w:eastAsia="黑体" w:cs="黑体"/>
              <w:b/>
              <w:bCs/>
              <w:spacing w:val="-2"/>
              <w:sz w:val="21"/>
              <w:szCs w:val="21"/>
            </w:rPr>
            <w:t>验收和工程试车</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168</w:t>
          </w:r>
          <w:r>
            <w:rPr>
              <w:rFonts w:ascii="Calibri" w:hAnsi="Calibri" w:eastAsia="Calibri" w:cs="Calibri"/>
              <w:spacing w:val="2"/>
              <w:sz w:val="21"/>
              <w:szCs w:val="21"/>
            </w:rPr>
            <w:fldChar w:fldCharType="end"/>
          </w:r>
        </w:p>
        <w:p w14:paraId="595678C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"bookmark387" </w:instrText>
          </w:r>
          <w:r>
            <w:fldChar w:fldCharType="separate"/>
          </w:r>
          <w:r>
            <w:rPr>
              <w:rFonts w:ascii="Times New Roman" w:hAnsi="Times New Roman" w:eastAsia="Times New Roman" w:cs="Times New Roman"/>
              <w:b/>
              <w:bCs/>
              <w:spacing w:val="-2"/>
              <w:sz w:val="21"/>
              <w:szCs w:val="21"/>
            </w:rPr>
            <w:t xml:space="preserve">13.1 </w:t>
          </w:r>
          <w:r>
            <w:rPr>
              <w:rFonts w:ascii="黑体" w:hAnsi="黑体" w:eastAsia="黑体" w:cs="黑体"/>
              <w:b/>
              <w:bCs/>
              <w:spacing w:val="-2"/>
              <w:sz w:val="21"/>
              <w:szCs w:val="21"/>
            </w:rPr>
            <w:t>分部分项工程验收</w:t>
          </w:r>
          <w:r>
            <w:rPr>
              <w:rFonts w:ascii="黑体" w:hAnsi="黑体" w:eastAsia="黑体" w:cs="黑体"/>
              <w:spacing w:val="-3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168</w:t>
          </w:r>
          <w:r>
            <w:rPr>
              <w:rFonts w:ascii="Calibri" w:hAnsi="Calibri" w:eastAsia="Calibri" w:cs="Calibri"/>
              <w:spacing w:val="2"/>
              <w:sz w:val="21"/>
              <w:szCs w:val="21"/>
            </w:rPr>
            <w:fldChar w:fldCharType="end"/>
          </w:r>
        </w:p>
        <w:p w14:paraId="63FAB3F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"bookmark388" </w:instrText>
          </w:r>
          <w:r>
            <w:fldChar w:fldCharType="separate"/>
          </w:r>
          <w:r>
            <w:rPr>
              <w:rFonts w:ascii="Times New Roman" w:hAnsi="Times New Roman" w:eastAsia="Times New Roman" w:cs="Times New Roman"/>
              <w:b/>
              <w:bCs/>
              <w:spacing w:val="-3"/>
              <w:sz w:val="21"/>
              <w:szCs w:val="21"/>
            </w:rPr>
            <w:t xml:space="preserve">13.2 </w:t>
          </w:r>
          <w:r>
            <w:rPr>
              <w:rFonts w:ascii="黑体" w:hAnsi="黑体" w:eastAsia="黑体" w:cs="黑体"/>
              <w:b/>
              <w:bCs/>
              <w:spacing w:val="-3"/>
              <w:sz w:val="21"/>
              <w:szCs w:val="21"/>
            </w:rPr>
            <w:t>竣工验收</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168</w:t>
          </w:r>
          <w:r>
            <w:rPr>
              <w:rFonts w:ascii="Calibri" w:hAnsi="Calibri" w:eastAsia="Calibri" w:cs="Calibri"/>
              <w:spacing w:val="1"/>
              <w:sz w:val="21"/>
              <w:szCs w:val="21"/>
            </w:rPr>
            <w:fldChar w:fldCharType="end"/>
          </w:r>
        </w:p>
        <w:p w14:paraId="7BF0FBED">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"bookmark389" </w:instrText>
          </w:r>
          <w:r>
            <w:fldChar w:fldCharType="separate"/>
          </w:r>
          <w:r>
            <w:rPr>
              <w:rFonts w:ascii="Times New Roman" w:hAnsi="Times New Roman" w:eastAsia="Times New Roman" w:cs="Times New Roman"/>
              <w:b/>
              <w:bCs/>
              <w:spacing w:val="-3"/>
              <w:sz w:val="21"/>
              <w:szCs w:val="21"/>
            </w:rPr>
            <w:t xml:space="preserve">13.3 </w:t>
          </w:r>
          <w:r>
            <w:rPr>
              <w:rFonts w:ascii="黑体" w:hAnsi="黑体" w:eastAsia="黑体" w:cs="黑体"/>
              <w:b/>
              <w:bCs/>
              <w:spacing w:val="-3"/>
              <w:sz w:val="21"/>
              <w:szCs w:val="21"/>
            </w:rPr>
            <w:t>工程试车</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169</w:t>
          </w:r>
          <w:r>
            <w:rPr>
              <w:rFonts w:ascii="Calibri" w:hAnsi="Calibri" w:eastAsia="Calibri" w:cs="Calibri"/>
              <w:spacing w:val="1"/>
              <w:sz w:val="21"/>
              <w:szCs w:val="21"/>
            </w:rPr>
            <w:fldChar w:fldCharType="end"/>
          </w:r>
        </w:p>
        <w:p w14:paraId="454EF80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"bookmark390" </w:instrText>
          </w:r>
          <w:r>
            <w:fldChar w:fldCharType="separate"/>
          </w:r>
          <w:r>
            <w:rPr>
              <w:rFonts w:ascii="Times New Roman" w:hAnsi="Times New Roman" w:eastAsia="Times New Roman" w:cs="Times New Roman"/>
              <w:b/>
              <w:bCs/>
              <w:spacing w:val="-2"/>
              <w:sz w:val="21"/>
              <w:szCs w:val="21"/>
            </w:rPr>
            <w:t xml:space="preserve">13.4 </w:t>
          </w:r>
          <w:r>
            <w:rPr>
              <w:rFonts w:ascii="黑体" w:hAnsi="黑体" w:eastAsia="黑体" w:cs="黑体"/>
              <w:b/>
              <w:bCs/>
              <w:spacing w:val="-2"/>
              <w:sz w:val="21"/>
              <w:szCs w:val="21"/>
            </w:rPr>
            <w:t>提前交付单位工程的验收</w:t>
          </w:r>
          <w:r>
            <w:rPr>
              <w:rFonts w:ascii="黑体" w:hAnsi="黑体" w:eastAsia="黑体" w:cs="黑体"/>
              <w:spacing w:val="-6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170</w:t>
          </w:r>
          <w:r>
            <w:rPr>
              <w:rFonts w:ascii="Calibri" w:hAnsi="Calibri" w:eastAsia="Calibri" w:cs="Calibri"/>
              <w:spacing w:val="1"/>
              <w:sz w:val="21"/>
              <w:szCs w:val="21"/>
            </w:rPr>
            <w:fldChar w:fldCharType="end"/>
          </w:r>
        </w:p>
        <w:p w14:paraId="240D7173">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"bookmark391" </w:instrText>
          </w:r>
          <w:r>
            <w:fldChar w:fldCharType="separate"/>
          </w:r>
          <w:r>
            <w:rPr>
              <w:rFonts w:ascii="Times New Roman" w:hAnsi="Times New Roman" w:eastAsia="Times New Roman" w:cs="Times New Roman"/>
              <w:b/>
              <w:bCs/>
              <w:spacing w:val="-2"/>
              <w:sz w:val="21"/>
              <w:szCs w:val="21"/>
            </w:rPr>
            <w:t xml:space="preserve">13.5  </w:t>
          </w:r>
          <w:r>
            <w:rPr>
              <w:rFonts w:ascii="黑体" w:hAnsi="黑体" w:eastAsia="黑体" w:cs="黑体"/>
              <w:b/>
              <w:bCs/>
              <w:spacing w:val="-2"/>
              <w:sz w:val="21"/>
              <w:szCs w:val="21"/>
            </w:rPr>
            <w:t>施工期运行</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171</w:t>
          </w:r>
          <w:r>
            <w:rPr>
              <w:rFonts w:ascii="Calibri" w:hAnsi="Calibri" w:eastAsia="Calibri" w:cs="Calibri"/>
              <w:spacing w:val="2"/>
              <w:sz w:val="21"/>
              <w:szCs w:val="21"/>
            </w:rPr>
            <w:fldChar w:fldCharType="end"/>
          </w:r>
        </w:p>
        <w:p w14:paraId="655D640E">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"bookmark392" </w:instrText>
          </w:r>
          <w:r>
            <w:fldChar w:fldCharType="separate"/>
          </w:r>
          <w:r>
            <w:rPr>
              <w:rFonts w:ascii="Times New Roman" w:hAnsi="Times New Roman" w:eastAsia="Times New Roman" w:cs="Times New Roman"/>
              <w:b/>
              <w:bCs/>
              <w:spacing w:val="-2"/>
              <w:sz w:val="21"/>
              <w:szCs w:val="21"/>
            </w:rPr>
            <w:t xml:space="preserve">13.6  </w:t>
          </w:r>
          <w:r>
            <w:rPr>
              <w:rFonts w:ascii="黑体" w:hAnsi="黑体" w:eastAsia="黑体" w:cs="黑体"/>
              <w:b/>
              <w:bCs/>
              <w:spacing w:val="-2"/>
              <w:sz w:val="21"/>
              <w:szCs w:val="21"/>
            </w:rPr>
            <w:t>竣工退场</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171</w:t>
          </w:r>
          <w:r>
            <w:rPr>
              <w:rFonts w:ascii="Calibri" w:hAnsi="Calibri" w:eastAsia="Calibri" w:cs="Calibri"/>
              <w:spacing w:val="1"/>
              <w:sz w:val="21"/>
              <w:szCs w:val="21"/>
            </w:rPr>
            <w:fldChar w:fldCharType="end"/>
          </w:r>
        </w:p>
        <w:p w14:paraId="42E3EFB8">
          <w:pPr>
            <w:tabs>
              <w:tab w:val="right" w:leader="dot" w:pos="8322"/>
            </w:tabs>
            <w:spacing w:before="83" w:line="205" w:lineRule="auto"/>
            <w:ind w:left="450"/>
            <w:rPr>
              <w:rFonts w:ascii="Calibri" w:hAnsi="Calibri" w:eastAsia="Calibri" w:cs="Calibri"/>
              <w:sz w:val="21"/>
              <w:szCs w:val="21"/>
            </w:rPr>
          </w:pPr>
          <w:r>
            <w:fldChar w:fldCharType="begin"/>
          </w:r>
          <w:r>
            <w:instrText xml:space="preserve"> HYPERLINK \l "bookmark393" </w:instrText>
          </w:r>
          <w:r>
            <w:fldChar w:fldCharType="separate"/>
          </w:r>
          <w:r>
            <w:rPr>
              <w:rFonts w:ascii="Times New Roman" w:hAnsi="Times New Roman" w:eastAsia="Times New Roman" w:cs="Times New Roman"/>
              <w:b/>
              <w:bCs/>
              <w:spacing w:val="-4"/>
              <w:sz w:val="21"/>
              <w:szCs w:val="21"/>
            </w:rPr>
            <w:t>14.</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竣工结算</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171</w:t>
          </w:r>
          <w:r>
            <w:rPr>
              <w:rFonts w:ascii="Calibri" w:hAnsi="Calibri" w:eastAsia="Calibri" w:cs="Calibri"/>
              <w:spacing w:val="1"/>
              <w:sz w:val="21"/>
              <w:szCs w:val="21"/>
            </w:rPr>
            <w:fldChar w:fldCharType="end"/>
          </w:r>
        </w:p>
        <w:p w14:paraId="21DED978">
          <w:pPr>
            <w:tabs>
              <w:tab w:val="right" w:leader="dot" w:pos="8322"/>
            </w:tabs>
            <w:spacing w:before="67" w:line="238" w:lineRule="auto"/>
            <w:ind w:left="870"/>
            <w:rPr>
              <w:rFonts w:ascii="Calibri" w:hAnsi="Calibri" w:eastAsia="Calibri" w:cs="Calibri"/>
              <w:sz w:val="21"/>
              <w:szCs w:val="21"/>
            </w:rPr>
          </w:pPr>
          <w:r>
            <w:fldChar w:fldCharType="begin"/>
          </w:r>
          <w:r>
            <w:instrText xml:space="preserve"> HYPERLINK \l "bookmark394" </w:instrText>
          </w:r>
          <w:r>
            <w:fldChar w:fldCharType="separate"/>
          </w:r>
          <w:r>
            <w:rPr>
              <w:rFonts w:ascii="Times New Roman" w:hAnsi="Times New Roman" w:eastAsia="Times New Roman" w:cs="Times New Roman"/>
              <w:b/>
              <w:bCs/>
              <w:spacing w:val="-2"/>
              <w:sz w:val="21"/>
              <w:szCs w:val="21"/>
            </w:rPr>
            <w:t xml:space="preserve">14.1  </w:t>
          </w:r>
          <w:r>
            <w:rPr>
              <w:rFonts w:ascii="黑体" w:hAnsi="黑体" w:eastAsia="黑体" w:cs="黑体"/>
              <w:b/>
              <w:bCs/>
              <w:spacing w:val="-2"/>
              <w:sz w:val="21"/>
              <w:szCs w:val="21"/>
            </w:rPr>
            <w:t>竣工结算申请</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171</w:t>
          </w:r>
          <w:r>
            <w:rPr>
              <w:rFonts w:ascii="Calibri" w:hAnsi="Calibri" w:eastAsia="Calibri" w:cs="Calibri"/>
              <w:spacing w:val="2"/>
              <w:sz w:val="21"/>
              <w:szCs w:val="21"/>
            </w:rPr>
            <w:fldChar w:fldCharType="end"/>
          </w:r>
        </w:p>
      </w:sdtContent>
    </w:sdt>
    <w:p w14:paraId="021D8287">
      <w:pPr>
        <w:spacing w:line="238" w:lineRule="auto"/>
        <w:rPr>
          <w:rFonts w:ascii="Calibri" w:hAnsi="Calibri" w:eastAsia="Calibri" w:cs="Calibri"/>
          <w:sz w:val="21"/>
          <w:szCs w:val="21"/>
        </w:rPr>
        <w:sectPr>
          <w:footerReference r:id="rId13"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66718"/>
        <w:docPartObj>
          <w:docPartGallery w:val="Table of Contents"/>
          <w:docPartUnique/>
        </w:docPartObj>
      </w:sdtPr>
      <w:sdtEndPr>
        <w:rPr>
          <w:rFonts w:ascii="Calibri" w:hAnsi="Calibri" w:eastAsia="Calibri" w:cs="Calibri"/>
          <w:sz w:val="21"/>
          <w:szCs w:val="21"/>
        </w:rPr>
      </w:sdtEndPr>
      <w:sdtContent>
        <w:p w14:paraId="668F7774">
          <w:pPr>
            <w:tabs>
              <w:tab w:val="right" w:leader="dot" w:pos="8322"/>
            </w:tabs>
            <w:spacing w:before="69" w:line="205" w:lineRule="auto"/>
            <w:ind w:left="870"/>
            <w:rPr>
              <w:rFonts w:ascii="Calibri" w:hAnsi="Calibri" w:eastAsia="Calibri" w:cs="Calibri"/>
              <w:sz w:val="21"/>
              <w:szCs w:val="21"/>
            </w:rPr>
          </w:pPr>
          <w:r>
            <w:fldChar w:fldCharType="begin"/>
          </w:r>
          <w:r>
            <w:instrText xml:space="preserve"> HYPERLINK \l "bookmark395" </w:instrText>
          </w:r>
          <w:r>
            <w:fldChar w:fldCharType="separate"/>
          </w:r>
          <w:r>
            <w:rPr>
              <w:rFonts w:ascii="Times New Roman" w:hAnsi="Times New Roman" w:eastAsia="Times New Roman" w:cs="Times New Roman"/>
              <w:b/>
              <w:bCs/>
              <w:spacing w:val="-2"/>
              <w:sz w:val="21"/>
              <w:szCs w:val="21"/>
            </w:rPr>
            <w:t xml:space="preserve">14.2  </w:t>
          </w:r>
          <w:r>
            <w:rPr>
              <w:rFonts w:ascii="黑体" w:hAnsi="黑体" w:eastAsia="黑体" w:cs="黑体"/>
              <w:b/>
              <w:bCs/>
              <w:spacing w:val="-2"/>
              <w:sz w:val="21"/>
              <w:szCs w:val="21"/>
            </w:rPr>
            <w:t>竣工结算审核</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172</w:t>
          </w:r>
          <w:r>
            <w:rPr>
              <w:rFonts w:ascii="Calibri" w:hAnsi="Calibri" w:eastAsia="Calibri" w:cs="Calibri"/>
              <w:spacing w:val="2"/>
              <w:sz w:val="21"/>
              <w:szCs w:val="21"/>
            </w:rPr>
            <w:fldChar w:fldCharType="end"/>
          </w:r>
        </w:p>
        <w:p w14:paraId="536A3485">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"bookmark396" </w:instrText>
          </w:r>
          <w:r>
            <w:fldChar w:fldCharType="separate"/>
          </w:r>
          <w:r>
            <w:rPr>
              <w:rFonts w:ascii="Times New Roman" w:hAnsi="Times New Roman" w:eastAsia="Times New Roman" w:cs="Times New Roman"/>
              <w:b/>
              <w:bCs/>
              <w:spacing w:val="-2"/>
              <w:sz w:val="21"/>
              <w:szCs w:val="21"/>
            </w:rPr>
            <w:t xml:space="preserve">14.3  </w:t>
          </w:r>
          <w:r>
            <w:rPr>
              <w:rFonts w:ascii="黑体" w:hAnsi="黑体" w:eastAsia="黑体" w:cs="黑体"/>
              <w:b/>
              <w:bCs/>
              <w:spacing w:val="-2"/>
              <w:sz w:val="21"/>
              <w:szCs w:val="21"/>
            </w:rPr>
            <w:t>甩项竣工协议</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172</w:t>
          </w:r>
          <w:r>
            <w:rPr>
              <w:rFonts w:ascii="Calibri" w:hAnsi="Calibri" w:eastAsia="Calibri" w:cs="Calibri"/>
              <w:spacing w:val="2"/>
              <w:sz w:val="21"/>
              <w:szCs w:val="21"/>
            </w:rPr>
            <w:fldChar w:fldCharType="end"/>
          </w:r>
        </w:p>
        <w:p w14:paraId="20305321">
          <w:pPr>
            <w:tabs>
              <w:tab w:val="right" w:leader="dot" w:pos="8322"/>
            </w:tabs>
            <w:spacing w:before="81" w:line="205" w:lineRule="auto"/>
            <w:ind w:left="870"/>
            <w:rPr>
              <w:rFonts w:ascii="Calibri" w:hAnsi="Calibri" w:eastAsia="Calibri" w:cs="Calibri"/>
              <w:sz w:val="21"/>
              <w:szCs w:val="21"/>
            </w:rPr>
          </w:pPr>
          <w:r>
            <w:fldChar w:fldCharType="begin"/>
          </w:r>
          <w:r>
            <w:instrText xml:space="preserve"> HYPERLINK \l "bookmark397" </w:instrText>
          </w:r>
          <w:r>
            <w:fldChar w:fldCharType="separate"/>
          </w:r>
          <w:r>
            <w:rPr>
              <w:rFonts w:ascii="Times New Roman" w:hAnsi="Times New Roman" w:eastAsia="Times New Roman" w:cs="Times New Roman"/>
              <w:b/>
              <w:bCs/>
              <w:spacing w:val="-4"/>
              <w:sz w:val="21"/>
              <w:szCs w:val="21"/>
            </w:rPr>
            <w:t>14.4</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最终结清</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172</w:t>
          </w:r>
          <w:r>
            <w:rPr>
              <w:rFonts w:ascii="Calibri" w:hAnsi="Calibri" w:eastAsia="Calibri" w:cs="Calibri"/>
              <w:spacing w:val="1"/>
              <w:sz w:val="21"/>
              <w:szCs w:val="21"/>
            </w:rPr>
            <w:fldChar w:fldCharType="end"/>
          </w:r>
        </w:p>
        <w:p w14:paraId="235A3664">
          <w:pPr>
            <w:tabs>
              <w:tab w:val="right" w:leader="dot" w:pos="8322"/>
            </w:tabs>
            <w:spacing w:before="67" w:line="205" w:lineRule="auto"/>
            <w:ind w:left="450"/>
            <w:rPr>
              <w:rFonts w:ascii="Calibri" w:hAnsi="Calibri" w:eastAsia="Calibri" w:cs="Calibri"/>
              <w:sz w:val="21"/>
              <w:szCs w:val="21"/>
            </w:rPr>
          </w:pPr>
          <w:r>
            <w:fldChar w:fldCharType="begin"/>
          </w:r>
          <w:r>
            <w:instrText xml:space="preserve"> HYPERLINK \l "bookmark398" </w:instrText>
          </w:r>
          <w:r>
            <w:fldChar w:fldCharType="separate"/>
          </w:r>
          <w:r>
            <w:rPr>
              <w:rFonts w:ascii="Times New Roman" w:hAnsi="Times New Roman" w:eastAsia="Times New Roman" w:cs="Times New Roman"/>
              <w:b/>
              <w:bCs/>
              <w:spacing w:val="-2"/>
              <w:sz w:val="21"/>
              <w:szCs w:val="21"/>
            </w:rPr>
            <w:t xml:space="preserve">15.  </w:t>
          </w:r>
          <w:r>
            <w:rPr>
              <w:rFonts w:ascii="黑体" w:hAnsi="黑体" w:eastAsia="黑体" w:cs="黑体"/>
              <w:b/>
              <w:bCs/>
              <w:spacing w:val="-2"/>
              <w:sz w:val="21"/>
              <w:szCs w:val="21"/>
            </w:rPr>
            <w:t>缺陷责任与保修</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173</w:t>
          </w:r>
          <w:r>
            <w:rPr>
              <w:rFonts w:ascii="Calibri" w:hAnsi="Calibri" w:eastAsia="Calibri" w:cs="Calibri"/>
              <w:spacing w:val="2"/>
              <w:sz w:val="21"/>
              <w:szCs w:val="21"/>
            </w:rPr>
            <w:fldChar w:fldCharType="end"/>
          </w:r>
        </w:p>
        <w:p w14:paraId="7F7E80B6">
          <w:pPr>
            <w:tabs>
              <w:tab w:val="right" w:leader="dot" w:pos="8322"/>
            </w:tabs>
            <w:spacing w:before="81" w:line="205" w:lineRule="auto"/>
            <w:ind w:left="870"/>
            <w:rPr>
              <w:rFonts w:ascii="Calibri" w:hAnsi="Calibri" w:eastAsia="Calibri" w:cs="Calibri"/>
              <w:sz w:val="21"/>
              <w:szCs w:val="21"/>
            </w:rPr>
          </w:pPr>
          <w:r>
            <w:fldChar w:fldCharType="begin"/>
          </w:r>
          <w:r>
            <w:instrText xml:space="preserve"> HYPERLINK \l "bookmark399" </w:instrText>
          </w:r>
          <w:r>
            <w:fldChar w:fldCharType="separate"/>
          </w:r>
          <w:r>
            <w:rPr>
              <w:rFonts w:ascii="Times New Roman" w:hAnsi="Times New Roman" w:eastAsia="Times New Roman" w:cs="Times New Roman"/>
              <w:b/>
              <w:bCs/>
              <w:spacing w:val="-2"/>
              <w:sz w:val="21"/>
              <w:szCs w:val="21"/>
            </w:rPr>
            <w:t xml:space="preserve">15.1  </w:t>
          </w:r>
          <w:r>
            <w:rPr>
              <w:rFonts w:ascii="黑体" w:hAnsi="黑体" w:eastAsia="黑体" w:cs="黑体"/>
              <w:b/>
              <w:bCs/>
              <w:spacing w:val="-2"/>
              <w:sz w:val="21"/>
              <w:szCs w:val="21"/>
            </w:rPr>
            <w:t>工程保修的原则</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173</w:t>
          </w:r>
          <w:r>
            <w:rPr>
              <w:rFonts w:ascii="Calibri" w:hAnsi="Calibri" w:eastAsia="Calibri" w:cs="Calibri"/>
              <w:spacing w:val="2"/>
              <w:sz w:val="21"/>
              <w:szCs w:val="21"/>
            </w:rPr>
            <w:fldChar w:fldCharType="end"/>
          </w:r>
        </w:p>
        <w:p w14:paraId="669DC738">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"bookmark400" </w:instrText>
          </w:r>
          <w:r>
            <w:fldChar w:fldCharType="separate"/>
          </w:r>
          <w:r>
            <w:rPr>
              <w:rFonts w:ascii="Times New Roman" w:hAnsi="Times New Roman" w:eastAsia="Times New Roman" w:cs="Times New Roman"/>
              <w:b/>
              <w:bCs/>
              <w:spacing w:val="-2"/>
              <w:sz w:val="21"/>
              <w:szCs w:val="21"/>
            </w:rPr>
            <w:t xml:space="preserve">15.2  </w:t>
          </w:r>
          <w:r>
            <w:rPr>
              <w:rFonts w:ascii="黑体" w:hAnsi="黑体" w:eastAsia="黑体" w:cs="黑体"/>
              <w:b/>
              <w:bCs/>
              <w:spacing w:val="-2"/>
              <w:sz w:val="21"/>
              <w:szCs w:val="21"/>
            </w:rPr>
            <w:t>缺陷责任期</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173</w:t>
          </w:r>
          <w:r>
            <w:rPr>
              <w:rFonts w:ascii="Calibri" w:hAnsi="Calibri" w:eastAsia="Calibri" w:cs="Calibri"/>
              <w:spacing w:val="2"/>
              <w:sz w:val="21"/>
              <w:szCs w:val="21"/>
            </w:rPr>
            <w:fldChar w:fldCharType="end"/>
          </w:r>
        </w:p>
        <w:p w14:paraId="75899F19">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"bookmark401" </w:instrText>
          </w:r>
          <w:r>
            <w:fldChar w:fldCharType="separate"/>
          </w:r>
          <w:r>
            <w:rPr>
              <w:rFonts w:ascii="Times New Roman" w:hAnsi="Times New Roman" w:eastAsia="Times New Roman" w:cs="Times New Roman"/>
              <w:b/>
              <w:bCs/>
              <w:spacing w:val="-2"/>
              <w:sz w:val="21"/>
              <w:szCs w:val="21"/>
            </w:rPr>
            <w:t xml:space="preserve">15.3  </w:t>
          </w:r>
          <w:r>
            <w:rPr>
              <w:rFonts w:ascii="黑体" w:hAnsi="黑体" w:eastAsia="黑体" w:cs="黑体"/>
              <w:b/>
              <w:bCs/>
              <w:spacing w:val="-2"/>
              <w:sz w:val="21"/>
              <w:szCs w:val="21"/>
            </w:rPr>
            <w:t>质量保证金</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173</w:t>
          </w:r>
          <w:r>
            <w:rPr>
              <w:rFonts w:ascii="Calibri" w:hAnsi="Calibri" w:eastAsia="Calibri" w:cs="Calibri"/>
              <w:spacing w:val="2"/>
              <w:sz w:val="21"/>
              <w:szCs w:val="21"/>
            </w:rPr>
            <w:fldChar w:fldCharType="end"/>
          </w:r>
        </w:p>
        <w:p w14:paraId="72788F6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"bookmark402" </w:instrText>
          </w:r>
          <w:r>
            <w:fldChar w:fldCharType="separate"/>
          </w:r>
          <w:r>
            <w:rPr>
              <w:rFonts w:ascii="Times New Roman" w:hAnsi="Times New Roman" w:eastAsia="Times New Roman" w:cs="Times New Roman"/>
              <w:b/>
              <w:bCs/>
              <w:spacing w:val="-3"/>
              <w:sz w:val="21"/>
              <w:szCs w:val="21"/>
            </w:rPr>
            <w:t>15.4</w:t>
          </w:r>
          <w:r>
            <w:rPr>
              <w:rFonts w:ascii="Times New Roman" w:hAnsi="Times New Roman" w:eastAsia="Times New Roman" w:cs="Times New Roman"/>
              <w:b/>
              <w:bCs/>
              <w:spacing w:val="3"/>
              <w:sz w:val="21"/>
              <w:szCs w:val="21"/>
            </w:rPr>
            <w:t xml:space="preserve">  </w:t>
          </w:r>
          <w:r>
            <w:rPr>
              <w:rFonts w:ascii="黑体" w:hAnsi="黑体" w:eastAsia="黑体" w:cs="黑体"/>
              <w:b/>
              <w:bCs/>
              <w:spacing w:val="-3"/>
              <w:sz w:val="21"/>
              <w:szCs w:val="21"/>
            </w:rPr>
            <w:t>保修</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174</w:t>
          </w:r>
          <w:r>
            <w:rPr>
              <w:rFonts w:ascii="Calibri" w:hAnsi="Calibri" w:eastAsia="Calibri" w:cs="Calibri"/>
              <w:spacing w:val="1"/>
              <w:sz w:val="21"/>
              <w:szCs w:val="21"/>
            </w:rPr>
            <w:fldChar w:fldCharType="end"/>
          </w:r>
        </w:p>
        <w:p w14:paraId="5172FC89">
          <w:pPr>
            <w:tabs>
              <w:tab w:val="right" w:leader="dot" w:pos="8322"/>
            </w:tabs>
            <w:spacing w:before="67" w:line="205" w:lineRule="auto"/>
            <w:ind w:left="450"/>
            <w:rPr>
              <w:rFonts w:ascii="Calibri" w:hAnsi="Calibri" w:eastAsia="Calibri" w:cs="Calibri"/>
              <w:sz w:val="21"/>
              <w:szCs w:val="21"/>
            </w:rPr>
          </w:pPr>
          <w:r>
            <w:fldChar w:fldCharType="begin"/>
          </w:r>
          <w:r>
            <w:instrText xml:space="preserve"> HYPERLINK \l "bookmark403" </w:instrText>
          </w:r>
          <w:r>
            <w:fldChar w:fldCharType="separate"/>
          </w:r>
          <w:r>
            <w:rPr>
              <w:rFonts w:ascii="Times New Roman" w:hAnsi="Times New Roman" w:eastAsia="Times New Roman" w:cs="Times New Roman"/>
              <w:b/>
              <w:bCs/>
              <w:spacing w:val="-6"/>
              <w:sz w:val="21"/>
              <w:szCs w:val="21"/>
            </w:rPr>
            <w:t>16.</w:t>
          </w:r>
          <w:r>
            <w:rPr>
              <w:rFonts w:ascii="Times New Roman" w:hAnsi="Times New Roman" w:eastAsia="Times New Roman" w:cs="Times New Roman"/>
              <w:b/>
              <w:bCs/>
              <w:spacing w:val="9"/>
              <w:sz w:val="21"/>
              <w:szCs w:val="21"/>
            </w:rPr>
            <w:t xml:space="preserve">  </w:t>
          </w:r>
          <w:r>
            <w:rPr>
              <w:rFonts w:ascii="黑体" w:hAnsi="黑体" w:eastAsia="黑体" w:cs="黑体"/>
              <w:b/>
              <w:bCs/>
              <w:spacing w:val="-6"/>
              <w:sz w:val="21"/>
              <w:szCs w:val="21"/>
            </w:rPr>
            <w:t>违约</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175</w:t>
          </w:r>
          <w:r>
            <w:rPr>
              <w:rFonts w:ascii="Calibri" w:hAnsi="Calibri" w:eastAsia="Calibri" w:cs="Calibri"/>
              <w:spacing w:val="1"/>
              <w:sz w:val="21"/>
              <w:szCs w:val="21"/>
            </w:rPr>
            <w:fldChar w:fldCharType="end"/>
          </w:r>
        </w:p>
        <w:p w14:paraId="179B272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"bookmark404" </w:instrText>
          </w:r>
          <w:r>
            <w:fldChar w:fldCharType="separate"/>
          </w:r>
          <w:r>
            <w:rPr>
              <w:rFonts w:ascii="Times New Roman" w:hAnsi="Times New Roman" w:eastAsia="Times New Roman" w:cs="Times New Roman"/>
              <w:b/>
              <w:bCs/>
              <w:spacing w:val="-2"/>
              <w:sz w:val="21"/>
              <w:szCs w:val="21"/>
            </w:rPr>
            <w:t xml:space="preserve">16.1  </w:t>
          </w:r>
          <w:r>
            <w:rPr>
              <w:rFonts w:ascii="黑体" w:hAnsi="黑体" w:eastAsia="黑体" w:cs="黑体"/>
              <w:b/>
              <w:bCs/>
              <w:spacing w:val="-2"/>
              <w:sz w:val="21"/>
              <w:szCs w:val="21"/>
            </w:rPr>
            <w:t>发包人违约</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175</w:t>
          </w:r>
          <w:r>
            <w:rPr>
              <w:rFonts w:ascii="Calibri" w:hAnsi="Calibri" w:eastAsia="Calibri" w:cs="Calibri"/>
              <w:spacing w:val="2"/>
              <w:sz w:val="21"/>
              <w:szCs w:val="21"/>
            </w:rPr>
            <w:fldChar w:fldCharType="end"/>
          </w:r>
        </w:p>
        <w:p w14:paraId="78ED70D0">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"bookmark405" </w:instrText>
          </w:r>
          <w:r>
            <w:fldChar w:fldCharType="separate"/>
          </w:r>
          <w:r>
            <w:rPr>
              <w:rFonts w:ascii="Times New Roman" w:hAnsi="Times New Roman" w:eastAsia="Times New Roman" w:cs="Times New Roman"/>
              <w:b/>
              <w:bCs/>
              <w:spacing w:val="-2"/>
              <w:sz w:val="21"/>
              <w:szCs w:val="21"/>
            </w:rPr>
            <w:t xml:space="preserve">16.2  </w:t>
          </w:r>
          <w:r>
            <w:rPr>
              <w:rFonts w:ascii="黑体" w:hAnsi="黑体" w:eastAsia="黑体" w:cs="黑体"/>
              <w:b/>
              <w:bCs/>
              <w:spacing w:val="-2"/>
              <w:sz w:val="21"/>
              <w:szCs w:val="21"/>
            </w:rPr>
            <w:t>承包人违约</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176</w:t>
          </w:r>
          <w:r>
            <w:rPr>
              <w:rFonts w:ascii="Calibri" w:hAnsi="Calibri" w:eastAsia="Calibri" w:cs="Calibri"/>
              <w:spacing w:val="2"/>
              <w:sz w:val="21"/>
              <w:szCs w:val="21"/>
            </w:rPr>
            <w:fldChar w:fldCharType="end"/>
          </w:r>
        </w:p>
        <w:p w14:paraId="1EFFAB32">
          <w:pPr>
            <w:tabs>
              <w:tab w:val="right" w:leader="dot" w:pos="8322"/>
            </w:tabs>
            <w:spacing w:before="81" w:line="205" w:lineRule="auto"/>
            <w:ind w:left="870"/>
            <w:rPr>
              <w:rFonts w:ascii="Calibri" w:hAnsi="Calibri" w:eastAsia="Calibri" w:cs="Calibri"/>
              <w:sz w:val="21"/>
              <w:szCs w:val="21"/>
            </w:rPr>
          </w:pPr>
          <w:r>
            <w:fldChar w:fldCharType="begin"/>
          </w:r>
          <w:r>
            <w:instrText xml:space="preserve"> HYPERLINK \l "bookmark406" </w:instrText>
          </w:r>
          <w:r>
            <w:fldChar w:fldCharType="separate"/>
          </w:r>
          <w:r>
            <w:rPr>
              <w:rFonts w:ascii="Times New Roman" w:hAnsi="Times New Roman" w:eastAsia="Times New Roman" w:cs="Times New Roman"/>
              <w:b/>
              <w:bCs/>
              <w:spacing w:val="-2"/>
              <w:sz w:val="21"/>
              <w:szCs w:val="21"/>
            </w:rPr>
            <w:t xml:space="preserve">16.3  </w:t>
          </w:r>
          <w:r>
            <w:rPr>
              <w:rFonts w:ascii="黑体" w:hAnsi="黑体" w:eastAsia="黑体" w:cs="黑体"/>
              <w:b/>
              <w:bCs/>
              <w:spacing w:val="-2"/>
              <w:sz w:val="21"/>
              <w:szCs w:val="21"/>
            </w:rPr>
            <w:t>第三人造成的违约</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178</w:t>
          </w:r>
          <w:r>
            <w:rPr>
              <w:rFonts w:ascii="Calibri" w:hAnsi="Calibri" w:eastAsia="Calibri" w:cs="Calibri"/>
              <w:spacing w:val="2"/>
              <w:sz w:val="21"/>
              <w:szCs w:val="21"/>
            </w:rPr>
            <w:fldChar w:fldCharType="end"/>
          </w:r>
        </w:p>
        <w:p w14:paraId="557CA964">
          <w:pPr>
            <w:tabs>
              <w:tab w:val="right" w:leader="dot" w:pos="8322"/>
            </w:tabs>
            <w:spacing w:before="83" w:line="205" w:lineRule="auto"/>
            <w:ind w:left="450"/>
            <w:rPr>
              <w:rFonts w:ascii="Calibri" w:hAnsi="Calibri" w:eastAsia="Calibri" w:cs="Calibri"/>
              <w:sz w:val="21"/>
              <w:szCs w:val="21"/>
            </w:rPr>
          </w:pPr>
          <w:r>
            <w:fldChar w:fldCharType="begin"/>
          </w:r>
          <w:r>
            <w:instrText xml:space="preserve"> HYPERLINK \l "bookmark407" </w:instrText>
          </w:r>
          <w:r>
            <w:fldChar w:fldCharType="separate"/>
          </w:r>
          <w:r>
            <w:rPr>
              <w:rFonts w:ascii="Times New Roman" w:hAnsi="Times New Roman" w:eastAsia="Times New Roman" w:cs="Times New Roman"/>
              <w:b/>
              <w:bCs/>
              <w:spacing w:val="-5"/>
              <w:sz w:val="21"/>
              <w:szCs w:val="21"/>
            </w:rPr>
            <w:t>17.</w:t>
          </w:r>
          <w:r>
            <w:rPr>
              <w:rFonts w:ascii="Times New Roman" w:hAnsi="Times New Roman" w:eastAsia="Times New Roman" w:cs="Times New Roman"/>
              <w:b/>
              <w:bCs/>
              <w:spacing w:val="10"/>
              <w:sz w:val="21"/>
              <w:szCs w:val="21"/>
            </w:rPr>
            <w:t xml:space="preserve">  </w:t>
          </w:r>
          <w:r>
            <w:rPr>
              <w:rFonts w:ascii="黑体" w:hAnsi="黑体" w:eastAsia="黑体" w:cs="黑体"/>
              <w:b/>
              <w:bCs/>
              <w:spacing w:val="-5"/>
              <w:sz w:val="21"/>
              <w:szCs w:val="21"/>
            </w:rPr>
            <w:t>不可抗力</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178</w:t>
          </w:r>
          <w:r>
            <w:rPr>
              <w:rFonts w:ascii="Calibri" w:hAnsi="Calibri" w:eastAsia="Calibri" w:cs="Calibri"/>
              <w:spacing w:val="1"/>
              <w:sz w:val="21"/>
              <w:szCs w:val="21"/>
            </w:rPr>
            <w:fldChar w:fldCharType="end"/>
          </w:r>
        </w:p>
        <w:p w14:paraId="69CEC3C9">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"bookmark408" </w:instrText>
          </w:r>
          <w:r>
            <w:fldChar w:fldCharType="separate"/>
          </w:r>
          <w:r>
            <w:rPr>
              <w:rFonts w:ascii="Times New Roman" w:hAnsi="Times New Roman" w:eastAsia="Times New Roman" w:cs="Times New Roman"/>
              <w:b/>
              <w:bCs/>
              <w:spacing w:val="-2"/>
              <w:sz w:val="21"/>
              <w:szCs w:val="21"/>
            </w:rPr>
            <w:t xml:space="preserve">17.1  </w:t>
          </w:r>
          <w:r>
            <w:rPr>
              <w:rFonts w:ascii="黑体" w:hAnsi="黑体" w:eastAsia="黑体" w:cs="黑体"/>
              <w:b/>
              <w:bCs/>
              <w:spacing w:val="-2"/>
              <w:sz w:val="21"/>
              <w:szCs w:val="21"/>
            </w:rPr>
            <w:t>不可抗力的确认</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178</w:t>
          </w:r>
          <w:r>
            <w:rPr>
              <w:rFonts w:ascii="Calibri" w:hAnsi="Calibri" w:eastAsia="Calibri" w:cs="Calibri"/>
              <w:spacing w:val="2"/>
              <w:sz w:val="21"/>
              <w:szCs w:val="21"/>
            </w:rPr>
            <w:fldChar w:fldCharType="end"/>
          </w:r>
        </w:p>
        <w:p w14:paraId="48EDA6DE">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"bookmark409" </w:instrText>
          </w:r>
          <w:r>
            <w:fldChar w:fldCharType="separate"/>
          </w:r>
          <w:r>
            <w:rPr>
              <w:rFonts w:ascii="Times New Roman" w:hAnsi="Times New Roman" w:eastAsia="Times New Roman" w:cs="Times New Roman"/>
              <w:b/>
              <w:bCs/>
              <w:spacing w:val="-2"/>
              <w:sz w:val="21"/>
              <w:szCs w:val="21"/>
            </w:rPr>
            <w:t xml:space="preserve">17.2  </w:t>
          </w:r>
          <w:r>
            <w:rPr>
              <w:rFonts w:ascii="黑体" w:hAnsi="黑体" w:eastAsia="黑体" w:cs="黑体"/>
              <w:b/>
              <w:bCs/>
              <w:spacing w:val="-2"/>
              <w:sz w:val="21"/>
              <w:szCs w:val="21"/>
            </w:rPr>
            <w:t>不可抗力的通知</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178</w:t>
          </w:r>
          <w:r>
            <w:rPr>
              <w:rFonts w:ascii="Calibri" w:hAnsi="Calibri" w:eastAsia="Calibri" w:cs="Calibri"/>
              <w:spacing w:val="2"/>
              <w:sz w:val="21"/>
              <w:szCs w:val="21"/>
            </w:rPr>
            <w:fldChar w:fldCharType="end"/>
          </w:r>
        </w:p>
        <w:p w14:paraId="008C3490">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"bookmark410" </w:instrText>
          </w:r>
          <w:r>
            <w:fldChar w:fldCharType="separate"/>
          </w:r>
          <w:r>
            <w:rPr>
              <w:rFonts w:ascii="Times New Roman" w:hAnsi="Times New Roman" w:eastAsia="Times New Roman" w:cs="Times New Roman"/>
              <w:b/>
              <w:bCs/>
              <w:spacing w:val="-2"/>
              <w:sz w:val="21"/>
              <w:szCs w:val="21"/>
            </w:rPr>
            <w:t xml:space="preserve">17.3  </w:t>
          </w:r>
          <w:r>
            <w:rPr>
              <w:rFonts w:ascii="黑体" w:hAnsi="黑体" w:eastAsia="黑体" w:cs="黑体"/>
              <w:b/>
              <w:bCs/>
              <w:spacing w:val="-2"/>
              <w:sz w:val="21"/>
              <w:szCs w:val="21"/>
            </w:rPr>
            <w:t>不可抗力后果的承担</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178</w:t>
          </w:r>
          <w:r>
            <w:rPr>
              <w:rFonts w:ascii="Calibri" w:hAnsi="Calibri" w:eastAsia="Calibri" w:cs="Calibri"/>
              <w:spacing w:val="2"/>
              <w:sz w:val="21"/>
              <w:szCs w:val="21"/>
            </w:rPr>
            <w:fldChar w:fldCharType="end"/>
          </w:r>
        </w:p>
        <w:p w14:paraId="2675755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"bookmark411" </w:instrText>
          </w:r>
          <w:r>
            <w:fldChar w:fldCharType="separate"/>
          </w:r>
          <w:r>
            <w:rPr>
              <w:rFonts w:ascii="Times New Roman" w:hAnsi="Times New Roman" w:eastAsia="Times New Roman" w:cs="Times New Roman"/>
              <w:b/>
              <w:bCs/>
              <w:spacing w:val="-4"/>
              <w:sz w:val="21"/>
              <w:szCs w:val="21"/>
            </w:rPr>
            <w:t>17.4</w:t>
          </w:r>
          <w:r>
            <w:rPr>
              <w:rFonts w:ascii="Times New Roman" w:hAnsi="Times New Roman" w:eastAsia="Times New Roman" w:cs="Times New Roman"/>
              <w:b/>
              <w:bCs/>
              <w:spacing w:val="14"/>
              <w:w w:val="101"/>
              <w:sz w:val="21"/>
              <w:szCs w:val="21"/>
            </w:rPr>
            <w:t xml:space="preserve">  </w:t>
          </w:r>
          <w:r>
            <w:rPr>
              <w:rFonts w:ascii="黑体" w:hAnsi="黑体" w:eastAsia="黑体" w:cs="黑体"/>
              <w:b/>
              <w:bCs/>
              <w:spacing w:val="-4"/>
              <w:sz w:val="21"/>
              <w:szCs w:val="21"/>
            </w:rPr>
            <w:t>因不可抗力解除合同</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179</w:t>
          </w:r>
          <w:r>
            <w:rPr>
              <w:rFonts w:ascii="Calibri" w:hAnsi="Calibri" w:eastAsia="Calibri" w:cs="Calibri"/>
              <w:spacing w:val="2"/>
              <w:sz w:val="21"/>
              <w:szCs w:val="21"/>
            </w:rPr>
            <w:fldChar w:fldCharType="end"/>
          </w:r>
        </w:p>
        <w:p w14:paraId="29670DC9">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"bookmark412" </w:instrText>
          </w:r>
          <w:r>
            <w:fldChar w:fldCharType="separate"/>
          </w:r>
          <w:r>
            <w:rPr>
              <w:rFonts w:ascii="Times New Roman" w:hAnsi="Times New Roman" w:eastAsia="Times New Roman" w:cs="Times New Roman"/>
              <w:b/>
              <w:bCs/>
              <w:spacing w:val="-5"/>
              <w:sz w:val="21"/>
              <w:szCs w:val="21"/>
            </w:rPr>
            <w:t>18.</w:t>
          </w:r>
          <w:r>
            <w:rPr>
              <w:rFonts w:ascii="Times New Roman" w:hAnsi="Times New Roman" w:eastAsia="Times New Roman" w:cs="Times New Roman"/>
              <w:b/>
              <w:bCs/>
              <w:spacing w:val="7"/>
              <w:sz w:val="21"/>
              <w:szCs w:val="21"/>
            </w:rPr>
            <w:t xml:space="preserve">  </w:t>
          </w:r>
          <w:r>
            <w:rPr>
              <w:rFonts w:ascii="黑体" w:hAnsi="黑体" w:eastAsia="黑体" w:cs="黑体"/>
              <w:b/>
              <w:bCs/>
              <w:spacing w:val="-5"/>
              <w:sz w:val="21"/>
              <w:szCs w:val="21"/>
            </w:rPr>
            <w:t>保险</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179</w:t>
          </w:r>
          <w:r>
            <w:rPr>
              <w:rFonts w:ascii="Calibri" w:hAnsi="Calibri" w:eastAsia="Calibri" w:cs="Calibri"/>
              <w:spacing w:val="1"/>
              <w:sz w:val="21"/>
              <w:szCs w:val="21"/>
            </w:rPr>
            <w:fldChar w:fldCharType="end"/>
          </w:r>
        </w:p>
        <w:p w14:paraId="31ABA843">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"bookmark413" </w:instrText>
          </w:r>
          <w:r>
            <w:fldChar w:fldCharType="separate"/>
          </w:r>
          <w:r>
            <w:rPr>
              <w:rFonts w:ascii="Times New Roman" w:hAnsi="Times New Roman" w:eastAsia="Times New Roman" w:cs="Times New Roman"/>
              <w:b/>
              <w:bCs/>
              <w:spacing w:val="-2"/>
              <w:sz w:val="21"/>
              <w:szCs w:val="21"/>
            </w:rPr>
            <w:t xml:space="preserve">18.1  </w:t>
          </w:r>
          <w:r>
            <w:rPr>
              <w:rFonts w:ascii="黑体" w:hAnsi="黑体" w:eastAsia="黑体" w:cs="黑体"/>
              <w:b/>
              <w:bCs/>
              <w:spacing w:val="-2"/>
              <w:sz w:val="21"/>
              <w:szCs w:val="21"/>
            </w:rPr>
            <w:t>工程保险</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179</w:t>
          </w:r>
          <w:r>
            <w:rPr>
              <w:rFonts w:ascii="Calibri" w:hAnsi="Calibri" w:eastAsia="Calibri" w:cs="Calibri"/>
              <w:spacing w:val="1"/>
              <w:sz w:val="21"/>
              <w:szCs w:val="21"/>
            </w:rPr>
            <w:fldChar w:fldCharType="end"/>
          </w:r>
        </w:p>
        <w:p w14:paraId="57787271">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"bookmark414" </w:instrText>
          </w:r>
          <w:r>
            <w:fldChar w:fldCharType="separate"/>
          </w:r>
          <w:r>
            <w:rPr>
              <w:rFonts w:ascii="Times New Roman" w:hAnsi="Times New Roman" w:eastAsia="Times New Roman" w:cs="Times New Roman"/>
              <w:b/>
              <w:bCs/>
              <w:spacing w:val="-2"/>
              <w:sz w:val="21"/>
              <w:szCs w:val="21"/>
            </w:rPr>
            <w:t xml:space="preserve">18.2  </w:t>
          </w:r>
          <w:r>
            <w:rPr>
              <w:rFonts w:ascii="黑体" w:hAnsi="黑体" w:eastAsia="黑体" w:cs="黑体"/>
              <w:b/>
              <w:bCs/>
              <w:spacing w:val="-2"/>
              <w:sz w:val="21"/>
              <w:szCs w:val="21"/>
            </w:rPr>
            <w:t>工伤保险</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179</w:t>
          </w:r>
          <w:r>
            <w:rPr>
              <w:rFonts w:ascii="Calibri" w:hAnsi="Calibri" w:eastAsia="Calibri" w:cs="Calibri"/>
              <w:spacing w:val="1"/>
              <w:sz w:val="21"/>
              <w:szCs w:val="21"/>
            </w:rPr>
            <w:fldChar w:fldCharType="end"/>
          </w:r>
        </w:p>
        <w:p w14:paraId="0C28248A">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"bookmark415" </w:instrText>
          </w:r>
          <w:r>
            <w:fldChar w:fldCharType="separate"/>
          </w:r>
          <w:r>
            <w:rPr>
              <w:rFonts w:ascii="Times New Roman" w:hAnsi="Times New Roman" w:eastAsia="Times New Roman" w:cs="Times New Roman"/>
              <w:b/>
              <w:bCs/>
              <w:spacing w:val="-3"/>
              <w:sz w:val="21"/>
              <w:szCs w:val="21"/>
            </w:rPr>
            <w:t xml:space="preserve">18.3 </w:t>
          </w:r>
          <w:r>
            <w:rPr>
              <w:rFonts w:ascii="黑体" w:hAnsi="黑体" w:eastAsia="黑体" w:cs="黑体"/>
              <w:b/>
              <w:bCs/>
              <w:spacing w:val="-3"/>
              <w:sz w:val="21"/>
              <w:szCs w:val="21"/>
            </w:rPr>
            <w:t>其他保险</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179</w:t>
          </w:r>
          <w:r>
            <w:rPr>
              <w:rFonts w:ascii="Calibri" w:hAnsi="Calibri" w:eastAsia="Calibri" w:cs="Calibri"/>
              <w:spacing w:val="1"/>
              <w:sz w:val="21"/>
              <w:szCs w:val="21"/>
            </w:rPr>
            <w:fldChar w:fldCharType="end"/>
          </w:r>
        </w:p>
        <w:p w14:paraId="019D6055">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"bookmark416" </w:instrText>
          </w:r>
          <w:r>
            <w:fldChar w:fldCharType="separate"/>
          </w:r>
          <w:r>
            <w:rPr>
              <w:rFonts w:ascii="Times New Roman" w:hAnsi="Times New Roman" w:eastAsia="Times New Roman" w:cs="Times New Roman"/>
              <w:b/>
              <w:bCs/>
              <w:spacing w:val="-3"/>
              <w:sz w:val="21"/>
              <w:szCs w:val="21"/>
            </w:rPr>
            <w:t xml:space="preserve">18.4 </w:t>
          </w:r>
          <w:r>
            <w:rPr>
              <w:rFonts w:ascii="黑体" w:hAnsi="黑体" w:eastAsia="黑体" w:cs="黑体"/>
              <w:b/>
              <w:bCs/>
              <w:spacing w:val="-3"/>
              <w:sz w:val="21"/>
              <w:szCs w:val="21"/>
            </w:rPr>
            <w:t>持续保险</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432D3057">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"bookmark417" </w:instrText>
          </w:r>
          <w:r>
            <w:fldChar w:fldCharType="separate"/>
          </w:r>
          <w:r>
            <w:rPr>
              <w:rFonts w:ascii="Times New Roman" w:hAnsi="Times New Roman" w:eastAsia="Times New Roman" w:cs="Times New Roman"/>
              <w:b/>
              <w:bCs/>
              <w:spacing w:val="-2"/>
              <w:sz w:val="21"/>
              <w:szCs w:val="21"/>
            </w:rPr>
            <w:t xml:space="preserve">18.5  </w:t>
          </w:r>
          <w:r>
            <w:rPr>
              <w:rFonts w:ascii="黑体" w:hAnsi="黑体" w:eastAsia="黑体" w:cs="黑体"/>
              <w:b/>
              <w:bCs/>
              <w:spacing w:val="-2"/>
              <w:sz w:val="21"/>
              <w:szCs w:val="21"/>
            </w:rPr>
            <w:t>保险凭证</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515A73D1">
          <w:pPr>
            <w:tabs>
              <w:tab w:val="right" w:leader="dot" w:pos="8322"/>
            </w:tabs>
            <w:spacing w:before="68" w:line="205" w:lineRule="auto"/>
            <w:ind w:left="870"/>
            <w:rPr>
              <w:rFonts w:ascii="Calibri" w:hAnsi="Calibri" w:eastAsia="Calibri" w:cs="Calibri"/>
              <w:sz w:val="21"/>
              <w:szCs w:val="21"/>
            </w:rPr>
          </w:pPr>
          <w:r>
            <w:fldChar w:fldCharType="begin"/>
          </w:r>
          <w:r>
            <w:instrText xml:space="preserve"> HYPERLINK \l "bookmark418" </w:instrText>
          </w:r>
          <w:r>
            <w:fldChar w:fldCharType="separate"/>
          </w:r>
          <w:r>
            <w:rPr>
              <w:rFonts w:ascii="Times New Roman" w:hAnsi="Times New Roman" w:eastAsia="Times New Roman" w:cs="Times New Roman"/>
              <w:b/>
              <w:bCs/>
              <w:spacing w:val="-2"/>
              <w:sz w:val="21"/>
              <w:szCs w:val="21"/>
            </w:rPr>
            <w:t xml:space="preserve">18.6  </w:t>
          </w:r>
          <w:r>
            <w:rPr>
              <w:rFonts w:ascii="黑体" w:hAnsi="黑体" w:eastAsia="黑体" w:cs="黑体"/>
              <w:b/>
              <w:bCs/>
              <w:spacing w:val="-2"/>
              <w:sz w:val="21"/>
              <w:szCs w:val="21"/>
            </w:rPr>
            <w:t>未按约定投保的补救</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180</w:t>
          </w:r>
          <w:r>
            <w:rPr>
              <w:rFonts w:ascii="Calibri" w:hAnsi="Calibri" w:eastAsia="Calibri" w:cs="Calibri"/>
              <w:spacing w:val="2"/>
              <w:sz w:val="21"/>
              <w:szCs w:val="21"/>
            </w:rPr>
            <w:fldChar w:fldCharType="end"/>
          </w:r>
        </w:p>
        <w:p w14:paraId="2CBE4090">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"bookmark419" </w:instrText>
          </w:r>
          <w:r>
            <w:fldChar w:fldCharType="separate"/>
          </w:r>
          <w:r>
            <w:rPr>
              <w:rFonts w:ascii="Times New Roman" w:hAnsi="Times New Roman" w:eastAsia="Times New Roman" w:cs="Times New Roman"/>
              <w:b/>
              <w:bCs/>
              <w:spacing w:val="-2"/>
              <w:sz w:val="21"/>
              <w:szCs w:val="21"/>
            </w:rPr>
            <w:t xml:space="preserve">18.7  </w:t>
          </w:r>
          <w:r>
            <w:rPr>
              <w:rFonts w:ascii="黑体" w:hAnsi="黑体" w:eastAsia="黑体" w:cs="黑体"/>
              <w:b/>
              <w:bCs/>
              <w:spacing w:val="-2"/>
              <w:sz w:val="21"/>
              <w:szCs w:val="21"/>
            </w:rPr>
            <w:t>通知义务</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0DDF840E">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"bookmark420" </w:instrText>
          </w:r>
          <w:r>
            <w:fldChar w:fldCharType="separate"/>
          </w:r>
          <w:r>
            <w:rPr>
              <w:rFonts w:ascii="Times New Roman" w:hAnsi="Times New Roman" w:eastAsia="Times New Roman" w:cs="Times New Roman"/>
              <w:b/>
              <w:bCs/>
              <w:spacing w:val="-7"/>
              <w:sz w:val="21"/>
              <w:szCs w:val="21"/>
            </w:rPr>
            <w:t>19.</w:t>
          </w:r>
          <w:r>
            <w:rPr>
              <w:rFonts w:ascii="Times New Roman" w:hAnsi="Times New Roman" w:eastAsia="Times New Roman" w:cs="Times New Roman"/>
              <w:b/>
              <w:bCs/>
              <w:spacing w:val="12"/>
              <w:sz w:val="21"/>
              <w:szCs w:val="21"/>
            </w:rPr>
            <w:t xml:space="preserve">  </w:t>
          </w:r>
          <w:r>
            <w:rPr>
              <w:rFonts w:ascii="黑体" w:hAnsi="黑体" w:eastAsia="黑体" w:cs="黑体"/>
              <w:b/>
              <w:bCs/>
              <w:spacing w:val="-7"/>
              <w:sz w:val="21"/>
              <w:szCs w:val="21"/>
            </w:rPr>
            <w:t>索赔</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180</w:t>
          </w:r>
          <w:r>
            <w:rPr>
              <w:rFonts w:ascii="Calibri" w:hAnsi="Calibri" w:eastAsia="Calibri" w:cs="Calibri"/>
              <w:spacing w:val="1"/>
              <w:sz w:val="21"/>
              <w:szCs w:val="21"/>
            </w:rPr>
            <w:fldChar w:fldCharType="end"/>
          </w:r>
        </w:p>
        <w:p w14:paraId="0E82FE8A">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"bookmark421" </w:instrText>
          </w:r>
          <w:r>
            <w:fldChar w:fldCharType="separate"/>
          </w:r>
          <w:r>
            <w:rPr>
              <w:rFonts w:ascii="Times New Roman" w:hAnsi="Times New Roman" w:eastAsia="Times New Roman" w:cs="Times New Roman"/>
              <w:b/>
              <w:bCs/>
              <w:spacing w:val="-3"/>
              <w:sz w:val="21"/>
              <w:szCs w:val="21"/>
            </w:rPr>
            <w:t xml:space="preserve">19.1 </w:t>
          </w:r>
          <w:r>
            <w:rPr>
              <w:rFonts w:ascii="黑体" w:hAnsi="黑体" w:eastAsia="黑体" w:cs="黑体"/>
              <w:b/>
              <w:bCs/>
              <w:spacing w:val="-3"/>
              <w:sz w:val="21"/>
              <w:szCs w:val="21"/>
            </w:rPr>
            <w:t>承包人的索赔</w:t>
          </w:r>
          <w:r>
            <w:rPr>
              <w:rFonts w:ascii="黑体" w:hAnsi="黑体" w:eastAsia="黑体" w:cs="黑体"/>
              <w:spacing w:val="-8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180</w:t>
          </w:r>
          <w:r>
            <w:rPr>
              <w:rFonts w:ascii="Calibri" w:hAnsi="Calibri" w:eastAsia="Calibri" w:cs="Calibri"/>
              <w:spacing w:val="2"/>
              <w:sz w:val="21"/>
              <w:szCs w:val="21"/>
            </w:rPr>
            <w:fldChar w:fldCharType="end"/>
          </w:r>
        </w:p>
        <w:p w14:paraId="18F2444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"bookmark422" </w:instrText>
          </w:r>
          <w:r>
            <w:fldChar w:fldCharType="separate"/>
          </w:r>
          <w:r>
            <w:rPr>
              <w:rFonts w:ascii="Times New Roman" w:hAnsi="Times New Roman" w:eastAsia="Times New Roman" w:cs="Times New Roman"/>
              <w:b/>
              <w:bCs/>
              <w:spacing w:val="-2"/>
              <w:sz w:val="21"/>
              <w:szCs w:val="21"/>
            </w:rPr>
            <w:t xml:space="preserve">19.2  </w:t>
          </w:r>
          <w:r>
            <w:rPr>
              <w:rFonts w:ascii="黑体" w:hAnsi="黑体" w:eastAsia="黑体" w:cs="黑体"/>
              <w:b/>
              <w:bCs/>
              <w:spacing w:val="-2"/>
              <w:sz w:val="21"/>
              <w:szCs w:val="21"/>
            </w:rPr>
            <w:t>对承包人索赔的处理</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181</w:t>
          </w:r>
          <w:r>
            <w:rPr>
              <w:rFonts w:ascii="Calibri" w:hAnsi="Calibri" w:eastAsia="Calibri" w:cs="Calibri"/>
              <w:spacing w:val="2"/>
              <w:sz w:val="21"/>
              <w:szCs w:val="21"/>
            </w:rPr>
            <w:fldChar w:fldCharType="end"/>
          </w:r>
        </w:p>
        <w:p w14:paraId="3819E2A9">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"bookmark423" </w:instrText>
          </w:r>
          <w:r>
            <w:fldChar w:fldCharType="separate"/>
          </w:r>
          <w:r>
            <w:rPr>
              <w:rFonts w:ascii="Times New Roman" w:hAnsi="Times New Roman" w:eastAsia="Times New Roman" w:cs="Times New Roman"/>
              <w:b/>
              <w:bCs/>
              <w:spacing w:val="-3"/>
              <w:sz w:val="21"/>
              <w:szCs w:val="21"/>
            </w:rPr>
            <w:t xml:space="preserve">19.3 </w:t>
          </w:r>
          <w:r>
            <w:rPr>
              <w:rFonts w:ascii="黑体" w:hAnsi="黑体" w:eastAsia="黑体" w:cs="黑体"/>
              <w:b/>
              <w:bCs/>
              <w:spacing w:val="-3"/>
              <w:sz w:val="21"/>
              <w:szCs w:val="21"/>
            </w:rPr>
            <w:t>发包人的索赔</w:t>
          </w:r>
          <w:r>
            <w:rPr>
              <w:rFonts w:ascii="黑体" w:hAnsi="黑体" w:eastAsia="黑体" w:cs="黑体"/>
              <w:spacing w:val="-8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181</w:t>
          </w:r>
          <w:r>
            <w:rPr>
              <w:rFonts w:ascii="Calibri" w:hAnsi="Calibri" w:eastAsia="Calibri" w:cs="Calibri"/>
              <w:spacing w:val="2"/>
              <w:sz w:val="21"/>
              <w:szCs w:val="21"/>
            </w:rPr>
            <w:fldChar w:fldCharType="end"/>
          </w:r>
        </w:p>
        <w:p w14:paraId="3EEB6360">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"bookmark424" </w:instrText>
          </w:r>
          <w:r>
            <w:fldChar w:fldCharType="separate"/>
          </w:r>
          <w:r>
            <w:rPr>
              <w:rFonts w:ascii="Times New Roman" w:hAnsi="Times New Roman" w:eastAsia="Times New Roman" w:cs="Times New Roman"/>
              <w:b/>
              <w:bCs/>
              <w:spacing w:val="-2"/>
              <w:sz w:val="21"/>
              <w:szCs w:val="21"/>
            </w:rPr>
            <w:t xml:space="preserve">19.4  </w:t>
          </w:r>
          <w:r>
            <w:rPr>
              <w:rFonts w:ascii="黑体" w:hAnsi="黑体" w:eastAsia="黑体" w:cs="黑体"/>
              <w:b/>
              <w:bCs/>
              <w:spacing w:val="-2"/>
              <w:sz w:val="21"/>
              <w:szCs w:val="21"/>
            </w:rPr>
            <w:t>对发包人索赔的处理</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181</w:t>
          </w:r>
          <w:r>
            <w:rPr>
              <w:rFonts w:ascii="Calibri" w:hAnsi="Calibri" w:eastAsia="Calibri" w:cs="Calibri"/>
              <w:spacing w:val="2"/>
              <w:sz w:val="21"/>
              <w:szCs w:val="21"/>
            </w:rPr>
            <w:fldChar w:fldCharType="end"/>
          </w:r>
        </w:p>
        <w:p w14:paraId="09BED16C">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"bookmark425" </w:instrText>
          </w:r>
          <w:r>
            <w:fldChar w:fldCharType="separate"/>
          </w:r>
          <w:r>
            <w:rPr>
              <w:rFonts w:ascii="Times New Roman" w:hAnsi="Times New Roman" w:eastAsia="Times New Roman" w:cs="Times New Roman"/>
              <w:b/>
              <w:bCs/>
              <w:spacing w:val="-2"/>
              <w:sz w:val="21"/>
              <w:szCs w:val="21"/>
            </w:rPr>
            <w:t xml:space="preserve">19.5  </w:t>
          </w:r>
          <w:r>
            <w:rPr>
              <w:rFonts w:ascii="黑体" w:hAnsi="黑体" w:eastAsia="黑体" w:cs="黑体"/>
              <w:b/>
              <w:bCs/>
              <w:spacing w:val="-2"/>
              <w:sz w:val="21"/>
              <w:szCs w:val="21"/>
            </w:rPr>
            <w:t>提出索赔的期限</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181</w:t>
          </w:r>
          <w:r>
            <w:rPr>
              <w:rFonts w:ascii="Calibri" w:hAnsi="Calibri" w:eastAsia="Calibri" w:cs="Calibri"/>
              <w:spacing w:val="2"/>
              <w:sz w:val="21"/>
              <w:szCs w:val="21"/>
            </w:rPr>
            <w:fldChar w:fldCharType="end"/>
          </w:r>
        </w:p>
        <w:p w14:paraId="602542E8">
          <w:pPr>
            <w:tabs>
              <w:tab w:val="right" w:leader="dot" w:pos="8322"/>
            </w:tabs>
            <w:spacing w:before="82" w:line="205" w:lineRule="auto"/>
            <w:ind w:left="441"/>
            <w:rPr>
              <w:rFonts w:ascii="Calibri" w:hAnsi="Calibri" w:eastAsia="Calibri" w:cs="Calibri"/>
              <w:sz w:val="21"/>
              <w:szCs w:val="21"/>
            </w:rPr>
          </w:pPr>
          <w:r>
            <w:fldChar w:fldCharType="begin"/>
          </w:r>
          <w:r>
            <w:instrText xml:space="preserve"> HYPERLINK \l "bookmark426" </w:instrText>
          </w:r>
          <w:r>
            <w:fldChar w:fldCharType="separate"/>
          </w:r>
          <w:r>
            <w:rPr>
              <w:rFonts w:ascii="Times New Roman" w:hAnsi="Times New Roman" w:eastAsia="Times New Roman" w:cs="Times New Roman"/>
              <w:b/>
              <w:bCs/>
              <w:spacing w:val="-4"/>
              <w:sz w:val="21"/>
              <w:szCs w:val="21"/>
            </w:rPr>
            <w:t>20.</w:t>
          </w:r>
          <w:r>
            <w:rPr>
              <w:rFonts w:ascii="Times New Roman" w:hAnsi="Times New Roman" w:eastAsia="Times New Roman" w:cs="Times New Roman"/>
              <w:b/>
              <w:bCs/>
              <w:spacing w:val="11"/>
              <w:sz w:val="21"/>
              <w:szCs w:val="21"/>
            </w:rPr>
            <w:t xml:space="preserve">  </w:t>
          </w:r>
          <w:r>
            <w:rPr>
              <w:rFonts w:ascii="黑体" w:hAnsi="黑体" w:eastAsia="黑体" w:cs="黑体"/>
              <w:b/>
              <w:bCs/>
              <w:spacing w:val="-4"/>
              <w:sz w:val="21"/>
              <w:szCs w:val="21"/>
            </w:rPr>
            <w:t>争议解决</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7B4BACE7">
          <w:pPr>
            <w:tabs>
              <w:tab w:val="right" w:leader="dot" w:pos="8322"/>
            </w:tabs>
            <w:spacing w:before="83" w:line="205" w:lineRule="auto"/>
            <w:ind w:left="862"/>
            <w:rPr>
              <w:rFonts w:ascii="Calibri" w:hAnsi="Calibri" w:eastAsia="Calibri" w:cs="Calibri"/>
              <w:sz w:val="21"/>
              <w:szCs w:val="21"/>
            </w:rPr>
          </w:pPr>
          <w:r>
            <w:fldChar w:fldCharType="begin"/>
          </w:r>
          <w:r>
            <w:instrText xml:space="preserve"> HYPERLINK \l "bookmark427" </w:instrText>
          </w:r>
          <w:r>
            <w:fldChar w:fldCharType="separate"/>
          </w:r>
          <w:r>
            <w:rPr>
              <w:rFonts w:ascii="Times New Roman" w:hAnsi="Times New Roman" w:eastAsia="Times New Roman" w:cs="Times New Roman"/>
              <w:b/>
              <w:bCs/>
              <w:spacing w:val="-2"/>
              <w:sz w:val="21"/>
              <w:szCs w:val="21"/>
            </w:rPr>
            <w:t xml:space="preserve">20.1 </w:t>
          </w:r>
          <w:r>
            <w:rPr>
              <w:rFonts w:ascii="黑体" w:hAnsi="黑体" w:eastAsia="黑体" w:cs="黑体"/>
              <w:b/>
              <w:bCs/>
              <w:spacing w:val="-2"/>
              <w:sz w:val="21"/>
              <w:szCs w:val="21"/>
            </w:rPr>
            <w:t>和解</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181</w:t>
          </w:r>
          <w:r>
            <w:rPr>
              <w:rFonts w:ascii="Calibri" w:hAnsi="Calibri" w:eastAsia="Calibri" w:cs="Calibri"/>
              <w:spacing w:val="1"/>
              <w:sz w:val="21"/>
              <w:szCs w:val="21"/>
            </w:rPr>
            <w:fldChar w:fldCharType="end"/>
          </w:r>
        </w:p>
        <w:p w14:paraId="46DFD561">
          <w:pPr>
            <w:tabs>
              <w:tab w:val="right" w:leader="dot" w:pos="8322"/>
            </w:tabs>
            <w:spacing w:before="67" w:line="205" w:lineRule="auto"/>
            <w:ind w:left="862"/>
            <w:rPr>
              <w:rFonts w:ascii="Calibri" w:hAnsi="Calibri" w:eastAsia="Calibri" w:cs="Calibri"/>
              <w:sz w:val="21"/>
              <w:szCs w:val="21"/>
            </w:rPr>
          </w:pPr>
          <w:r>
            <w:fldChar w:fldCharType="begin"/>
          </w:r>
          <w:r>
            <w:instrText xml:space="preserve"> HYPERLINK \l "bookmark428" </w:instrText>
          </w:r>
          <w:r>
            <w:fldChar w:fldCharType="separate"/>
          </w:r>
          <w:r>
            <w:rPr>
              <w:rFonts w:ascii="Times New Roman" w:hAnsi="Times New Roman" w:eastAsia="Times New Roman" w:cs="Times New Roman"/>
              <w:b/>
              <w:bCs/>
              <w:spacing w:val="-2"/>
              <w:sz w:val="21"/>
              <w:szCs w:val="21"/>
            </w:rPr>
            <w:t xml:space="preserve">20.2 </w:t>
          </w:r>
          <w:r>
            <w:rPr>
              <w:rFonts w:ascii="黑体" w:hAnsi="黑体" w:eastAsia="黑体" w:cs="黑体"/>
              <w:b/>
              <w:bCs/>
              <w:spacing w:val="-2"/>
              <w:sz w:val="21"/>
              <w:szCs w:val="21"/>
            </w:rPr>
            <w:t>调解</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182</w:t>
          </w:r>
          <w:r>
            <w:rPr>
              <w:rFonts w:ascii="Calibri" w:hAnsi="Calibri" w:eastAsia="Calibri" w:cs="Calibri"/>
              <w:spacing w:val="1"/>
              <w:sz w:val="21"/>
              <w:szCs w:val="21"/>
            </w:rPr>
            <w:fldChar w:fldCharType="end"/>
          </w:r>
        </w:p>
        <w:p w14:paraId="176EC8BD">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"bookmark429" </w:instrText>
          </w:r>
          <w:r>
            <w:fldChar w:fldCharType="separate"/>
          </w:r>
          <w:r>
            <w:rPr>
              <w:rFonts w:ascii="Times New Roman" w:hAnsi="Times New Roman" w:eastAsia="Times New Roman" w:cs="Times New Roman"/>
              <w:b/>
              <w:bCs/>
              <w:spacing w:val="-2"/>
              <w:sz w:val="21"/>
              <w:szCs w:val="21"/>
            </w:rPr>
            <w:t xml:space="preserve">20.3 </w:t>
          </w:r>
          <w:r>
            <w:rPr>
              <w:rFonts w:ascii="黑体" w:hAnsi="黑体" w:eastAsia="黑体" w:cs="黑体"/>
              <w:b/>
              <w:bCs/>
              <w:spacing w:val="-2"/>
              <w:sz w:val="21"/>
              <w:szCs w:val="21"/>
            </w:rPr>
            <w:t>争议评审</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182</w:t>
          </w:r>
          <w:r>
            <w:rPr>
              <w:rFonts w:ascii="Calibri" w:hAnsi="Calibri" w:eastAsia="Calibri" w:cs="Calibri"/>
              <w:spacing w:val="1"/>
              <w:sz w:val="21"/>
              <w:szCs w:val="21"/>
            </w:rPr>
            <w:fldChar w:fldCharType="end"/>
          </w:r>
        </w:p>
        <w:p w14:paraId="2B5E653E">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"bookmark430" </w:instrText>
          </w:r>
          <w:r>
            <w:fldChar w:fldCharType="separate"/>
          </w:r>
          <w:r>
            <w:rPr>
              <w:rFonts w:ascii="Times New Roman" w:hAnsi="Times New Roman" w:eastAsia="Times New Roman" w:cs="Times New Roman"/>
              <w:b/>
              <w:bCs/>
              <w:spacing w:val="-2"/>
              <w:sz w:val="21"/>
              <w:szCs w:val="21"/>
            </w:rPr>
            <w:t xml:space="preserve">20.4 </w:t>
          </w:r>
          <w:r>
            <w:rPr>
              <w:rFonts w:ascii="黑体" w:hAnsi="黑体" w:eastAsia="黑体" w:cs="黑体"/>
              <w:b/>
              <w:bCs/>
              <w:spacing w:val="-2"/>
              <w:sz w:val="21"/>
              <w:szCs w:val="21"/>
            </w:rPr>
            <w:t>仲裁或诉讼</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182</w:t>
          </w:r>
          <w:r>
            <w:rPr>
              <w:rFonts w:ascii="Calibri" w:hAnsi="Calibri" w:eastAsia="Calibri" w:cs="Calibri"/>
              <w:spacing w:val="2"/>
              <w:sz w:val="21"/>
              <w:szCs w:val="21"/>
            </w:rPr>
            <w:fldChar w:fldCharType="end"/>
          </w:r>
        </w:p>
        <w:p w14:paraId="229B48D9">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"bookmark431" </w:instrText>
          </w:r>
          <w:r>
            <w:fldChar w:fldCharType="separate"/>
          </w:r>
          <w:r>
            <w:rPr>
              <w:rFonts w:ascii="Times New Roman" w:hAnsi="Times New Roman" w:eastAsia="Times New Roman" w:cs="Times New Roman"/>
              <w:b/>
              <w:bCs/>
              <w:spacing w:val="-1"/>
              <w:sz w:val="21"/>
              <w:szCs w:val="21"/>
            </w:rPr>
            <w:t xml:space="preserve">20.5 </w:t>
          </w:r>
          <w:r>
            <w:rPr>
              <w:rFonts w:ascii="黑体" w:hAnsi="黑体" w:eastAsia="黑体" w:cs="黑体"/>
              <w:b/>
              <w:bCs/>
              <w:spacing w:val="-1"/>
              <w:sz w:val="21"/>
              <w:szCs w:val="21"/>
            </w:rPr>
            <w:t>争议解决条款效力</w:t>
          </w:r>
          <w:r>
            <w:rPr>
              <w:rFonts w:ascii="黑体" w:hAnsi="黑体" w:eastAsia="黑体" w:cs="黑体"/>
              <w:spacing w:val="-3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182</w:t>
          </w:r>
          <w:r>
            <w:rPr>
              <w:rFonts w:ascii="Calibri" w:hAnsi="Calibri" w:eastAsia="Calibri" w:cs="Calibri"/>
              <w:spacing w:val="2"/>
              <w:sz w:val="21"/>
              <w:szCs w:val="21"/>
            </w:rPr>
            <w:fldChar w:fldCharType="end"/>
          </w:r>
        </w:p>
        <w:p w14:paraId="473C07E9">
          <w:pPr>
            <w:tabs>
              <w:tab w:val="right" w:leader="dot" w:pos="8322"/>
            </w:tabs>
            <w:spacing w:before="67" w:line="205" w:lineRule="auto"/>
            <w:ind w:left="444"/>
            <w:rPr>
              <w:rFonts w:ascii="Calibri" w:hAnsi="Calibri" w:eastAsia="Calibri" w:cs="Calibri"/>
              <w:sz w:val="21"/>
              <w:szCs w:val="21"/>
            </w:rPr>
          </w:pPr>
          <w:r>
            <w:fldChar w:fldCharType="begin"/>
          </w:r>
          <w:r>
            <w:instrText xml:space="preserve"> HYPERLINK \l "bookmark432" </w:instrText>
          </w:r>
          <w:r>
            <w:fldChar w:fldCharType="separate"/>
          </w:r>
          <w:r>
            <w:rPr>
              <w:rFonts w:ascii="黑体" w:hAnsi="黑体" w:eastAsia="黑体" w:cs="黑体"/>
              <w:spacing w:val="-2"/>
              <w:sz w:val="21"/>
              <w:szCs w:val="21"/>
            </w:rPr>
            <w:t>第三部分</w:t>
          </w:r>
          <w:r>
            <w:rPr>
              <w:rFonts w:ascii="黑体" w:hAnsi="黑体" w:eastAsia="黑体" w:cs="黑体"/>
              <w:spacing w:val="29"/>
              <w:sz w:val="21"/>
              <w:szCs w:val="21"/>
            </w:rPr>
            <w:t xml:space="preserve"> </w:t>
          </w:r>
          <w:r>
            <w:rPr>
              <w:rFonts w:ascii="黑体" w:hAnsi="黑体" w:eastAsia="黑体" w:cs="黑体"/>
              <w:spacing w:val="-2"/>
              <w:sz w:val="21"/>
              <w:szCs w:val="21"/>
            </w:rPr>
            <w:t>专用合同条款</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183</w:t>
          </w:r>
          <w:r>
            <w:rPr>
              <w:rFonts w:ascii="Calibri" w:hAnsi="Calibri" w:eastAsia="Calibri" w:cs="Calibri"/>
              <w:spacing w:val="2"/>
              <w:sz w:val="21"/>
              <w:szCs w:val="21"/>
            </w:rPr>
            <w:fldChar w:fldCharType="end"/>
          </w:r>
        </w:p>
        <w:p w14:paraId="4D86D0B2">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"bookmark433" </w:instrText>
          </w:r>
          <w:r>
            <w:fldChar w:fldCharType="separate"/>
          </w:r>
          <w:r>
            <w:rPr>
              <w:rFonts w:ascii="Times New Roman" w:hAnsi="Times New Roman" w:eastAsia="Times New Roman" w:cs="Times New Roman"/>
              <w:b/>
              <w:bCs/>
              <w:spacing w:val="-6"/>
              <w:sz w:val="21"/>
              <w:szCs w:val="21"/>
            </w:rPr>
            <w:t>1.</w:t>
          </w:r>
          <w:r>
            <w:rPr>
              <w:rFonts w:ascii="Times New Roman" w:hAnsi="Times New Roman" w:eastAsia="Times New Roman" w:cs="Times New Roman"/>
              <w:b/>
              <w:bCs/>
              <w:spacing w:val="10"/>
              <w:sz w:val="21"/>
              <w:szCs w:val="21"/>
            </w:rPr>
            <w:t xml:space="preserve">  </w:t>
          </w:r>
          <w:r>
            <w:rPr>
              <w:rFonts w:ascii="黑体" w:hAnsi="黑体" w:eastAsia="黑体" w:cs="黑体"/>
              <w:b/>
              <w:bCs/>
              <w:spacing w:val="-6"/>
              <w:sz w:val="21"/>
              <w:szCs w:val="21"/>
            </w:rPr>
            <w:t>一般约定</w:t>
          </w:r>
          <w:r>
            <w:rPr>
              <w:rFonts w:ascii="黑体" w:hAnsi="黑体" w:eastAsia="黑体" w:cs="黑体"/>
              <w:spacing w:val="-5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184</w:t>
          </w:r>
          <w:r>
            <w:rPr>
              <w:rFonts w:ascii="Calibri" w:hAnsi="Calibri" w:eastAsia="Calibri" w:cs="Calibri"/>
              <w:spacing w:val="1"/>
              <w:sz w:val="21"/>
              <w:szCs w:val="21"/>
            </w:rPr>
            <w:fldChar w:fldCharType="end"/>
          </w:r>
        </w:p>
        <w:p w14:paraId="10B396A8">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"bookmark434" </w:instrText>
          </w:r>
          <w:r>
            <w:fldChar w:fldCharType="separate"/>
          </w:r>
          <w:r>
            <w:rPr>
              <w:rFonts w:ascii="Times New Roman" w:hAnsi="Times New Roman" w:eastAsia="Times New Roman" w:cs="Times New Roman"/>
              <w:b/>
              <w:bCs/>
              <w:spacing w:val="-4"/>
              <w:sz w:val="21"/>
              <w:szCs w:val="21"/>
            </w:rPr>
            <w:t>1.1</w:t>
          </w:r>
          <w:r>
            <w:rPr>
              <w:rFonts w:ascii="Times New Roman" w:hAnsi="Times New Roman" w:eastAsia="Times New Roman" w:cs="Times New Roman"/>
              <w:b/>
              <w:bCs/>
              <w:spacing w:val="6"/>
              <w:sz w:val="21"/>
              <w:szCs w:val="21"/>
            </w:rPr>
            <w:t xml:space="preserve">  </w:t>
          </w:r>
          <w:r>
            <w:rPr>
              <w:rFonts w:ascii="黑体" w:hAnsi="黑体" w:eastAsia="黑体" w:cs="黑体"/>
              <w:b/>
              <w:bCs/>
              <w:spacing w:val="-4"/>
              <w:sz w:val="21"/>
              <w:szCs w:val="21"/>
            </w:rPr>
            <w:t>词语定义</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184</w:t>
          </w:r>
          <w:r>
            <w:rPr>
              <w:rFonts w:ascii="Calibri" w:hAnsi="Calibri" w:eastAsia="Calibri" w:cs="Calibri"/>
              <w:spacing w:val="1"/>
              <w:sz w:val="21"/>
              <w:szCs w:val="21"/>
            </w:rPr>
            <w:fldChar w:fldCharType="end"/>
          </w:r>
        </w:p>
        <w:p w14:paraId="78E54A09">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"bookmark435" </w:instrText>
          </w:r>
          <w:r>
            <w:fldChar w:fldCharType="separate"/>
          </w:r>
          <w:r>
            <w:rPr>
              <w:rFonts w:ascii="Times New Roman" w:hAnsi="Times New Roman" w:eastAsia="Times New Roman" w:cs="Times New Roman"/>
              <w:b/>
              <w:bCs/>
              <w:spacing w:val="-3"/>
              <w:sz w:val="21"/>
              <w:szCs w:val="21"/>
            </w:rPr>
            <w:t xml:space="preserve">1.3 </w:t>
          </w:r>
          <w:r>
            <w:rPr>
              <w:rFonts w:ascii="黑体" w:hAnsi="黑体" w:eastAsia="黑体" w:cs="黑体"/>
              <w:b/>
              <w:bCs/>
              <w:spacing w:val="-3"/>
              <w:sz w:val="21"/>
              <w:szCs w:val="21"/>
            </w:rPr>
            <w:t>法律</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185</w:t>
          </w:r>
          <w:r>
            <w:rPr>
              <w:rFonts w:ascii="Calibri" w:hAnsi="Calibri" w:eastAsia="Calibri" w:cs="Calibri"/>
              <w:spacing w:val="1"/>
              <w:sz w:val="21"/>
              <w:szCs w:val="21"/>
            </w:rPr>
            <w:fldChar w:fldCharType="end"/>
          </w:r>
        </w:p>
        <w:p w14:paraId="7C0C8348">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"bookmark436" </w:instrText>
          </w:r>
          <w:r>
            <w:fldChar w:fldCharType="separate"/>
          </w:r>
          <w:r>
            <w:rPr>
              <w:rFonts w:ascii="Times New Roman" w:hAnsi="Times New Roman" w:eastAsia="Times New Roman" w:cs="Times New Roman"/>
              <w:b/>
              <w:bCs/>
              <w:spacing w:val="-2"/>
              <w:sz w:val="21"/>
              <w:szCs w:val="21"/>
            </w:rPr>
            <w:t xml:space="preserve">1.4  </w:t>
          </w:r>
          <w:r>
            <w:rPr>
              <w:rFonts w:ascii="黑体" w:hAnsi="黑体" w:eastAsia="黑体" w:cs="黑体"/>
              <w:b/>
              <w:bCs/>
              <w:spacing w:val="-2"/>
              <w:sz w:val="21"/>
              <w:szCs w:val="21"/>
            </w:rPr>
            <w:t>标准和规范</w:t>
          </w:r>
          <w:r>
            <w:rPr>
              <w:rFonts w:ascii="黑体" w:hAnsi="黑体" w:eastAsia="黑体" w:cs="黑体"/>
              <w:spacing w:val="-7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185</w:t>
          </w:r>
          <w:r>
            <w:rPr>
              <w:rFonts w:ascii="Calibri" w:hAnsi="Calibri" w:eastAsia="Calibri" w:cs="Calibri"/>
              <w:spacing w:val="2"/>
              <w:sz w:val="21"/>
              <w:szCs w:val="21"/>
            </w:rPr>
            <w:fldChar w:fldCharType="end"/>
          </w:r>
        </w:p>
        <w:p w14:paraId="27299747">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"bookmark437" </w:instrText>
          </w:r>
          <w:r>
            <w:fldChar w:fldCharType="separate"/>
          </w:r>
          <w:r>
            <w:rPr>
              <w:rFonts w:ascii="Times New Roman" w:hAnsi="Times New Roman" w:eastAsia="Times New Roman" w:cs="Times New Roman"/>
              <w:b/>
              <w:bCs/>
              <w:spacing w:val="-2"/>
              <w:sz w:val="21"/>
              <w:szCs w:val="21"/>
            </w:rPr>
            <w:t xml:space="preserve">1.5  </w:t>
          </w:r>
          <w:r>
            <w:rPr>
              <w:rFonts w:ascii="黑体" w:hAnsi="黑体" w:eastAsia="黑体" w:cs="黑体"/>
              <w:b/>
              <w:bCs/>
              <w:spacing w:val="-2"/>
              <w:sz w:val="21"/>
              <w:szCs w:val="21"/>
            </w:rPr>
            <w:t>合同文件的优先顺序</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185</w:t>
          </w:r>
          <w:r>
            <w:rPr>
              <w:rFonts w:ascii="Calibri" w:hAnsi="Calibri" w:eastAsia="Calibri" w:cs="Calibri"/>
              <w:spacing w:val="1"/>
              <w:sz w:val="21"/>
              <w:szCs w:val="21"/>
            </w:rPr>
            <w:fldChar w:fldCharType="end"/>
          </w:r>
        </w:p>
        <w:p w14:paraId="4550990F">
          <w:pPr>
            <w:tabs>
              <w:tab w:val="right" w:leader="dot" w:pos="8322"/>
            </w:tabs>
            <w:spacing w:before="67" w:line="239" w:lineRule="auto"/>
            <w:ind w:left="870"/>
            <w:rPr>
              <w:rFonts w:ascii="Calibri" w:hAnsi="Calibri" w:eastAsia="Calibri" w:cs="Calibri"/>
              <w:sz w:val="21"/>
              <w:szCs w:val="21"/>
            </w:rPr>
          </w:pPr>
          <w:r>
            <w:fldChar w:fldCharType="begin"/>
          </w:r>
          <w:r>
            <w:instrText xml:space="preserve"> HYPERLINK \l "bookmark438" </w:instrText>
          </w:r>
          <w:r>
            <w:fldChar w:fldCharType="separate"/>
          </w:r>
          <w:r>
            <w:rPr>
              <w:rFonts w:ascii="Times New Roman" w:hAnsi="Times New Roman" w:eastAsia="Times New Roman" w:cs="Times New Roman"/>
              <w:b/>
              <w:bCs/>
              <w:spacing w:val="-4"/>
              <w:sz w:val="21"/>
              <w:szCs w:val="21"/>
            </w:rPr>
            <w:t>1.6</w:t>
          </w:r>
          <w:r>
            <w:rPr>
              <w:rFonts w:ascii="Times New Roman" w:hAnsi="Times New Roman" w:eastAsia="Times New Roman" w:cs="Times New Roman"/>
              <w:b/>
              <w:bCs/>
              <w:spacing w:val="11"/>
              <w:sz w:val="21"/>
              <w:szCs w:val="21"/>
            </w:rPr>
            <w:t xml:space="preserve">  </w:t>
          </w:r>
          <w:r>
            <w:rPr>
              <w:rFonts w:ascii="黑体" w:hAnsi="黑体" w:eastAsia="黑体" w:cs="黑体"/>
              <w:b/>
              <w:bCs/>
              <w:spacing w:val="-4"/>
              <w:sz w:val="21"/>
              <w:szCs w:val="21"/>
            </w:rPr>
            <w:t>图纸和承包人文件</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185</w:t>
          </w:r>
          <w:r>
            <w:rPr>
              <w:rFonts w:ascii="Calibri" w:hAnsi="Calibri" w:eastAsia="Calibri" w:cs="Calibri"/>
              <w:spacing w:val="2"/>
              <w:sz w:val="21"/>
              <w:szCs w:val="21"/>
            </w:rPr>
            <w:fldChar w:fldCharType="end"/>
          </w:r>
        </w:p>
      </w:sdtContent>
    </w:sdt>
    <w:p w14:paraId="45C96A8E">
      <w:pPr>
        <w:spacing w:line="239" w:lineRule="auto"/>
        <w:rPr>
          <w:rFonts w:ascii="Calibri" w:hAnsi="Calibri" w:eastAsia="Calibri" w:cs="Calibri"/>
          <w:sz w:val="21"/>
          <w:szCs w:val="21"/>
        </w:rPr>
        <w:sectPr>
          <w:footerReference r:id="rId14"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67983"/>
        <w:docPartObj>
          <w:docPartGallery w:val="Table of Contents"/>
          <w:docPartUnique/>
        </w:docPartObj>
      </w:sdtPr>
      <w:sdtEndPr>
        <w:rPr>
          <w:rFonts w:ascii="Calibri" w:hAnsi="Calibri" w:eastAsia="Calibri" w:cs="Calibri"/>
          <w:sz w:val="21"/>
          <w:szCs w:val="21"/>
        </w:rPr>
      </w:sdtEndPr>
      <w:sdtContent>
        <w:p w14:paraId="6276D1AC">
          <w:pPr>
            <w:tabs>
              <w:tab w:val="right" w:leader="dot" w:pos="8322"/>
            </w:tabs>
            <w:spacing w:before="69" w:line="205" w:lineRule="auto"/>
            <w:ind w:left="870"/>
            <w:rPr>
              <w:rFonts w:ascii="Calibri" w:hAnsi="Calibri" w:eastAsia="Calibri" w:cs="Calibri"/>
              <w:sz w:val="21"/>
              <w:szCs w:val="21"/>
            </w:rPr>
          </w:pPr>
          <w:r>
            <w:fldChar w:fldCharType="begin"/>
          </w:r>
          <w:r>
            <w:instrText xml:space="preserve"> HYPERLINK \l "bookmark439" </w:instrText>
          </w:r>
          <w:r>
            <w:fldChar w:fldCharType="separate"/>
          </w:r>
          <w:r>
            <w:rPr>
              <w:rFonts w:ascii="Times New Roman" w:hAnsi="Times New Roman" w:eastAsia="Times New Roman" w:cs="Times New Roman"/>
              <w:b/>
              <w:bCs/>
              <w:spacing w:val="-4"/>
              <w:sz w:val="21"/>
              <w:szCs w:val="21"/>
            </w:rPr>
            <w:t>1.7</w:t>
          </w:r>
          <w:r>
            <w:rPr>
              <w:rFonts w:ascii="Times New Roman" w:hAnsi="Times New Roman" w:eastAsia="Times New Roman" w:cs="Times New Roman"/>
              <w:b/>
              <w:bCs/>
              <w:spacing w:val="4"/>
              <w:sz w:val="21"/>
              <w:szCs w:val="21"/>
            </w:rPr>
            <w:t xml:space="preserve">  </w:t>
          </w:r>
          <w:r>
            <w:rPr>
              <w:rFonts w:ascii="黑体" w:hAnsi="黑体" w:eastAsia="黑体" w:cs="黑体"/>
              <w:b/>
              <w:bCs/>
              <w:spacing w:val="-4"/>
              <w:sz w:val="21"/>
              <w:szCs w:val="21"/>
            </w:rPr>
            <w:t>联络</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186</w:t>
          </w:r>
          <w:r>
            <w:rPr>
              <w:rFonts w:ascii="Calibri" w:hAnsi="Calibri" w:eastAsia="Calibri" w:cs="Calibri"/>
              <w:spacing w:val="1"/>
              <w:sz w:val="21"/>
              <w:szCs w:val="21"/>
            </w:rPr>
            <w:fldChar w:fldCharType="end"/>
          </w:r>
        </w:p>
        <w:p w14:paraId="20E6D947">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"bookmark440" </w:instrText>
          </w:r>
          <w:r>
            <w:fldChar w:fldCharType="separate"/>
          </w:r>
          <w:r>
            <w:rPr>
              <w:rFonts w:ascii="Times New Roman" w:hAnsi="Times New Roman" w:eastAsia="Times New Roman" w:cs="Times New Roman"/>
              <w:b/>
              <w:bCs/>
              <w:spacing w:val="-4"/>
              <w:sz w:val="21"/>
              <w:szCs w:val="21"/>
            </w:rPr>
            <w:t>1.10</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交通运输</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186</w:t>
          </w:r>
          <w:r>
            <w:rPr>
              <w:rFonts w:ascii="Calibri" w:hAnsi="Calibri" w:eastAsia="Calibri" w:cs="Calibri"/>
              <w:spacing w:val="1"/>
              <w:sz w:val="21"/>
              <w:szCs w:val="21"/>
            </w:rPr>
            <w:fldChar w:fldCharType="end"/>
          </w:r>
        </w:p>
        <w:p w14:paraId="3B28AAC8">
          <w:pPr>
            <w:tabs>
              <w:tab w:val="right" w:leader="dot" w:pos="8322"/>
            </w:tabs>
            <w:spacing w:before="81" w:line="205" w:lineRule="auto"/>
            <w:ind w:left="870"/>
            <w:rPr>
              <w:rFonts w:ascii="Calibri" w:hAnsi="Calibri" w:eastAsia="Calibri" w:cs="Calibri"/>
              <w:sz w:val="21"/>
              <w:szCs w:val="21"/>
            </w:rPr>
          </w:pPr>
          <w:r>
            <w:fldChar w:fldCharType="begin"/>
          </w:r>
          <w:r>
            <w:instrText xml:space="preserve"> HYPERLINK \l "bookmark441" </w:instrText>
          </w:r>
          <w:r>
            <w:fldChar w:fldCharType="separate"/>
          </w:r>
          <w:r>
            <w:rPr>
              <w:rFonts w:ascii="Times New Roman" w:hAnsi="Times New Roman" w:eastAsia="Times New Roman" w:cs="Times New Roman"/>
              <w:b/>
              <w:bCs/>
              <w:spacing w:val="-6"/>
              <w:sz w:val="21"/>
              <w:szCs w:val="21"/>
            </w:rPr>
            <w:t>1.11</w:t>
          </w:r>
          <w:r>
            <w:rPr>
              <w:rFonts w:ascii="Times New Roman" w:hAnsi="Times New Roman" w:eastAsia="Times New Roman" w:cs="Times New Roman"/>
              <w:b/>
              <w:bCs/>
              <w:spacing w:val="9"/>
              <w:sz w:val="21"/>
              <w:szCs w:val="21"/>
            </w:rPr>
            <w:t xml:space="preserve">  </w:t>
          </w:r>
          <w:r>
            <w:rPr>
              <w:rFonts w:ascii="黑体" w:hAnsi="黑体" w:eastAsia="黑体" w:cs="黑体"/>
              <w:b/>
              <w:bCs/>
              <w:spacing w:val="-6"/>
              <w:sz w:val="21"/>
              <w:szCs w:val="21"/>
            </w:rPr>
            <w:t>知识产权</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187</w:t>
          </w:r>
          <w:r>
            <w:rPr>
              <w:rFonts w:ascii="Calibri" w:hAnsi="Calibri" w:eastAsia="Calibri" w:cs="Calibri"/>
              <w:spacing w:val="1"/>
              <w:sz w:val="21"/>
              <w:szCs w:val="21"/>
            </w:rPr>
            <w:fldChar w:fldCharType="end"/>
          </w:r>
        </w:p>
        <w:p w14:paraId="5F1293E6">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"bookmark442" </w:instrText>
          </w:r>
          <w:r>
            <w:fldChar w:fldCharType="separate"/>
          </w:r>
          <w:r>
            <w:rPr>
              <w:rFonts w:ascii="Times New Roman" w:hAnsi="Times New Roman" w:eastAsia="Times New Roman" w:cs="Times New Roman"/>
              <w:b/>
              <w:bCs/>
              <w:spacing w:val="-2"/>
              <w:sz w:val="21"/>
              <w:szCs w:val="21"/>
            </w:rPr>
            <w:t xml:space="preserve">1.13 </w:t>
          </w:r>
          <w:r>
            <w:rPr>
              <w:rFonts w:ascii="黑体" w:hAnsi="黑体" w:eastAsia="黑体" w:cs="黑体"/>
              <w:b/>
              <w:bCs/>
              <w:spacing w:val="-2"/>
              <w:sz w:val="21"/>
              <w:szCs w:val="21"/>
            </w:rPr>
            <w:t>工程量清单错误的修正</w:t>
          </w:r>
          <w:r>
            <w:rPr>
              <w:rFonts w:ascii="黑体" w:hAnsi="黑体" w:eastAsia="黑体" w:cs="黑体"/>
              <w:spacing w:val="-3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187</w:t>
          </w:r>
          <w:r>
            <w:rPr>
              <w:rFonts w:ascii="Calibri" w:hAnsi="Calibri" w:eastAsia="Calibri" w:cs="Calibri"/>
              <w:spacing w:val="2"/>
              <w:sz w:val="21"/>
              <w:szCs w:val="21"/>
            </w:rPr>
            <w:fldChar w:fldCharType="end"/>
          </w:r>
        </w:p>
        <w:p w14:paraId="78A797C0">
          <w:pPr>
            <w:tabs>
              <w:tab w:val="right" w:leader="dot" w:pos="8322"/>
            </w:tabs>
            <w:spacing w:before="81" w:line="205" w:lineRule="auto"/>
            <w:ind w:left="441"/>
            <w:rPr>
              <w:rFonts w:ascii="Calibri" w:hAnsi="Calibri" w:eastAsia="Calibri" w:cs="Calibri"/>
              <w:sz w:val="21"/>
              <w:szCs w:val="21"/>
            </w:rPr>
          </w:pPr>
          <w:r>
            <w:fldChar w:fldCharType="begin"/>
          </w:r>
          <w:r>
            <w:instrText xml:space="preserve"> HYPERLINK \l "bookmark443" </w:instrText>
          </w:r>
          <w:r>
            <w:fldChar w:fldCharType="separate"/>
          </w:r>
          <w:r>
            <w:rPr>
              <w:rFonts w:ascii="Times New Roman" w:hAnsi="Times New Roman" w:eastAsia="Times New Roman" w:cs="Times New Roman"/>
              <w:b/>
              <w:bCs/>
              <w:spacing w:val="-5"/>
              <w:sz w:val="21"/>
              <w:szCs w:val="21"/>
            </w:rPr>
            <w:t>2.</w:t>
          </w:r>
          <w:r>
            <w:rPr>
              <w:rFonts w:ascii="Times New Roman" w:hAnsi="Times New Roman" w:eastAsia="Times New Roman" w:cs="Times New Roman"/>
              <w:b/>
              <w:bCs/>
              <w:spacing w:val="10"/>
              <w:sz w:val="21"/>
              <w:szCs w:val="21"/>
            </w:rPr>
            <w:t xml:space="preserve">  </w:t>
          </w:r>
          <w:r>
            <w:rPr>
              <w:rFonts w:ascii="黑体" w:hAnsi="黑体" w:eastAsia="黑体" w:cs="黑体"/>
              <w:b/>
              <w:bCs/>
              <w:spacing w:val="-5"/>
              <w:sz w:val="21"/>
              <w:szCs w:val="21"/>
            </w:rPr>
            <w:t>发包人</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188</w:t>
          </w:r>
          <w:r>
            <w:rPr>
              <w:rFonts w:ascii="Calibri" w:hAnsi="Calibri" w:eastAsia="Calibri" w:cs="Calibri"/>
              <w:spacing w:val="2"/>
              <w:sz w:val="21"/>
              <w:szCs w:val="21"/>
            </w:rPr>
            <w:fldChar w:fldCharType="end"/>
          </w:r>
        </w:p>
        <w:p w14:paraId="7E93ACBE">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"bookmark444" </w:instrText>
          </w:r>
          <w:r>
            <w:fldChar w:fldCharType="separate"/>
          </w:r>
          <w:r>
            <w:rPr>
              <w:rFonts w:ascii="Times New Roman" w:hAnsi="Times New Roman" w:eastAsia="Times New Roman" w:cs="Times New Roman"/>
              <w:b/>
              <w:bCs/>
              <w:spacing w:val="-1"/>
              <w:sz w:val="21"/>
              <w:szCs w:val="21"/>
            </w:rPr>
            <w:t xml:space="preserve">2.2  </w:t>
          </w:r>
          <w:r>
            <w:rPr>
              <w:rFonts w:ascii="黑体" w:hAnsi="黑体" w:eastAsia="黑体" w:cs="黑体"/>
              <w:b/>
              <w:bCs/>
              <w:spacing w:val="-1"/>
              <w:sz w:val="21"/>
              <w:szCs w:val="21"/>
            </w:rPr>
            <w:t>发包人代表</w:t>
          </w:r>
          <w:r>
            <w:rPr>
              <w:rFonts w:ascii="黑体" w:hAnsi="黑体" w:eastAsia="黑体" w:cs="黑体"/>
              <w:spacing w:val="-73"/>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188</w:t>
          </w:r>
          <w:r>
            <w:rPr>
              <w:rFonts w:ascii="Calibri" w:hAnsi="Calibri" w:eastAsia="Calibri" w:cs="Calibri"/>
              <w:spacing w:val="2"/>
              <w:sz w:val="21"/>
              <w:szCs w:val="21"/>
            </w:rPr>
            <w:fldChar w:fldCharType="end"/>
          </w:r>
        </w:p>
        <w:p w14:paraId="67FCA0B4">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"bookmark445" </w:instrText>
          </w:r>
          <w:r>
            <w:fldChar w:fldCharType="separate"/>
          </w:r>
          <w:r>
            <w:rPr>
              <w:rFonts w:ascii="Times New Roman" w:hAnsi="Times New Roman" w:eastAsia="Times New Roman" w:cs="Times New Roman"/>
              <w:b/>
              <w:bCs/>
              <w:spacing w:val="-1"/>
              <w:sz w:val="21"/>
              <w:szCs w:val="21"/>
            </w:rPr>
            <w:t xml:space="preserve">2.4  </w:t>
          </w:r>
          <w:r>
            <w:rPr>
              <w:rFonts w:ascii="黑体" w:hAnsi="黑体" w:eastAsia="黑体" w:cs="黑体"/>
              <w:b/>
              <w:bCs/>
              <w:spacing w:val="-1"/>
              <w:sz w:val="21"/>
              <w:szCs w:val="21"/>
            </w:rPr>
            <w:t>施工现场、施工条件和基础资料的提供</w:t>
          </w:r>
          <w:r>
            <w:rPr>
              <w:rFonts w:ascii="黑体" w:hAnsi="黑体" w:eastAsia="黑体" w:cs="黑体"/>
              <w:spacing w:val="-8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188</w:t>
          </w:r>
          <w:r>
            <w:rPr>
              <w:rFonts w:ascii="Calibri" w:hAnsi="Calibri" w:eastAsia="Calibri" w:cs="Calibri"/>
              <w:spacing w:val="2"/>
              <w:sz w:val="21"/>
              <w:szCs w:val="21"/>
            </w:rPr>
            <w:fldChar w:fldCharType="end"/>
          </w:r>
        </w:p>
        <w:p w14:paraId="4BE8F1BE">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"bookmark446" </w:instrText>
          </w:r>
          <w:r>
            <w:fldChar w:fldCharType="separate"/>
          </w:r>
          <w:r>
            <w:rPr>
              <w:rFonts w:ascii="Times New Roman" w:hAnsi="Times New Roman" w:eastAsia="Times New Roman" w:cs="Times New Roman"/>
              <w:b/>
              <w:bCs/>
              <w:spacing w:val="-2"/>
              <w:sz w:val="21"/>
              <w:szCs w:val="21"/>
            </w:rPr>
            <w:t xml:space="preserve">2.5  </w:t>
          </w:r>
          <w:r>
            <w:rPr>
              <w:rFonts w:ascii="黑体" w:hAnsi="黑体" w:eastAsia="黑体" w:cs="黑体"/>
              <w:b/>
              <w:bCs/>
              <w:spacing w:val="-2"/>
              <w:sz w:val="21"/>
              <w:szCs w:val="21"/>
            </w:rPr>
            <w:t>资金来源证明及支付担保</w:t>
          </w:r>
          <w:r>
            <w:rPr>
              <w:rFonts w:ascii="黑体" w:hAnsi="黑体" w:eastAsia="黑体" w:cs="黑体"/>
              <w:spacing w:val="-6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188</w:t>
          </w:r>
          <w:r>
            <w:rPr>
              <w:rFonts w:ascii="Calibri" w:hAnsi="Calibri" w:eastAsia="Calibri" w:cs="Calibri"/>
              <w:spacing w:val="1"/>
              <w:sz w:val="21"/>
              <w:szCs w:val="21"/>
            </w:rPr>
            <w:fldChar w:fldCharType="end"/>
          </w:r>
        </w:p>
        <w:p w14:paraId="0847BC17">
          <w:pPr>
            <w:tabs>
              <w:tab w:val="right" w:leader="dot" w:pos="8322"/>
            </w:tabs>
            <w:spacing w:before="67" w:line="205" w:lineRule="auto"/>
            <w:ind w:left="439"/>
            <w:rPr>
              <w:rFonts w:ascii="Calibri" w:hAnsi="Calibri" w:eastAsia="Calibri" w:cs="Calibri"/>
              <w:sz w:val="21"/>
              <w:szCs w:val="21"/>
            </w:rPr>
          </w:pPr>
          <w:r>
            <w:fldChar w:fldCharType="begin"/>
          </w:r>
          <w:r>
            <w:instrText xml:space="preserve"> HYPERLINK \l "bookmark447" </w:instrText>
          </w:r>
          <w:r>
            <w:fldChar w:fldCharType="separate"/>
          </w:r>
          <w:r>
            <w:rPr>
              <w:rFonts w:ascii="Times New Roman" w:hAnsi="Times New Roman" w:eastAsia="Times New Roman" w:cs="Times New Roman"/>
              <w:b/>
              <w:bCs/>
              <w:spacing w:val="-4"/>
              <w:sz w:val="21"/>
              <w:szCs w:val="21"/>
            </w:rPr>
            <w:t>3.</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承包人</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189</w:t>
          </w:r>
          <w:r>
            <w:rPr>
              <w:rFonts w:ascii="Calibri" w:hAnsi="Calibri" w:eastAsia="Calibri" w:cs="Calibri"/>
              <w:spacing w:val="2"/>
              <w:sz w:val="21"/>
              <w:szCs w:val="21"/>
            </w:rPr>
            <w:fldChar w:fldCharType="end"/>
          </w:r>
        </w:p>
        <w:p w14:paraId="5F5528D7">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"bookmark448" </w:instrText>
          </w:r>
          <w:r>
            <w:fldChar w:fldCharType="separate"/>
          </w:r>
          <w:r>
            <w:rPr>
              <w:rFonts w:ascii="Times New Roman" w:hAnsi="Times New Roman" w:eastAsia="Times New Roman" w:cs="Times New Roman"/>
              <w:b/>
              <w:bCs/>
              <w:spacing w:val="-1"/>
              <w:sz w:val="21"/>
              <w:szCs w:val="21"/>
            </w:rPr>
            <w:t xml:space="preserve">3.1  </w:t>
          </w:r>
          <w:r>
            <w:rPr>
              <w:rFonts w:ascii="黑体" w:hAnsi="黑体" w:eastAsia="黑体" w:cs="黑体"/>
              <w:b/>
              <w:bCs/>
              <w:spacing w:val="-1"/>
              <w:sz w:val="21"/>
              <w:szCs w:val="21"/>
            </w:rPr>
            <w:t>承包人的一般义务</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189</w:t>
          </w:r>
          <w:r>
            <w:rPr>
              <w:rFonts w:ascii="Calibri" w:hAnsi="Calibri" w:eastAsia="Calibri" w:cs="Calibri"/>
              <w:spacing w:val="2"/>
              <w:sz w:val="21"/>
              <w:szCs w:val="21"/>
            </w:rPr>
            <w:fldChar w:fldCharType="end"/>
          </w:r>
        </w:p>
        <w:p w14:paraId="435C1BBE">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"bookmark449" </w:instrText>
          </w:r>
          <w:r>
            <w:fldChar w:fldCharType="separate"/>
          </w:r>
          <w:r>
            <w:rPr>
              <w:rFonts w:ascii="Times New Roman" w:hAnsi="Times New Roman" w:eastAsia="Times New Roman" w:cs="Times New Roman"/>
              <w:b/>
              <w:bCs/>
              <w:spacing w:val="-1"/>
              <w:sz w:val="21"/>
              <w:szCs w:val="21"/>
            </w:rPr>
            <w:t xml:space="preserve">3.2  </w:t>
          </w:r>
          <w:r>
            <w:rPr>
              <w:rFonts w:ascii="黑体" w:hAnsi="黑体" w:eastAsia="黑体" w:cs="黑体"/>
              <w:b/>
              <w:bCs/>
              <w:spacing w:val="-1"/>
              <w:sz w:val="21"/>
              <w:szCs w:val="21"/>
            </w:rPr>
            <w:t>项目经理</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189</w:t>
          </w:r>
          <w:r>
            <w:rPr>
              <w:rFonts w:ascii="Calibri" w:hAnsi="Calibri" w:eastAsia="Calibri" w:cs="Calibri"/>
              <w:spacing w:val="1"/>
              <w:sz w:val="21"/>
              <w:szCs w:val="21"/>
            </w:rPr>
            <w:fldChar w:fldCharType="end"/>
          </w:r>
        </w:p>
        <w:p w14:paraId="46E6C0E7">
          <w:pPr>
            <w:tabs>
              <w:tab w:val="right" w:leader="dot" w:pos="8322"/>
            </w:tabs>
            <w:spacing w:before="81" w:line="205" w:lineRule="auto"/>
            <w:ind w:left="860"/>
            <w:rPr>
              <w:rFonts w:ascii="Calibri" w:hAnsi="Calibri" w:eastAsia="Calibri" w:cs="Calibri"/>
              <w:sz w:val="21"/>
              <w:szCs w:val="21"/>
            </w:rPr>
          </w:pPr>
          <w:r>
            <w:fldChar w:fldCharType="begin"/>
          </w:r>
          <w:r>
            <w:instrText xml:space="preserve"> HYPERLINK \l "bookmark450" </w:instrText>
          </w:r>
          <w:r>
            <w:fldChar w:fldCharType="separate"/>
          </w:r>
          <w:r>
            <w:rPr>
              <w:rFonts w:ascii="Times New Roman" w:hAnsi="Times New Roman" w:eastAsia="Times New Roman" w:cs="Times New Roman"/>
              <w:b/>
              <w:bCs/>
              <w:spacing w:val="-1"/>
              <w:sz w:val="21"/>
              <w:szCs w:val="21"/>
            </w:rPr>
            <w:t xml:space="preserve">3.3  </w:t>
          </w:r>
          <w:r>
            <w:rPr>
              <w:rFonts w:ascii="黑体" w:hAnsi="黑体" w:eastAsia="黑体" w:cs="黑体"/>
              <w:b/>
              <w:bCs/>
              <w:spacing w:val="-1"/>
              <w:sz w:val="21"/>
              <w:szCs w:val="21"/>
            </w:rPr>
            <w:t>承包人人员</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190</w:t>
          </w:r>
          <w:r>
            <w:rPr>
              <w:rFonts w:ascii="Calibri" w:hAnsi="Calibri" w:eastAsia="Calibri" w:cs="Calibri"/>
              <w:spacing w:val="2"/>
              <w:sz w:val="21"/>
              <w:szCs w:val="21"/>
            </w:rPr>
            <w:fldChar w:fldCharType="end"/>
          </w:r>
        </w:p>
        <w:p w14:paraId="3F30C57F">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"bookmark451" </w:instrText>
          </w:r>
          <w:r>
            <w:fldChar w:fldCharType="separate"/>
          </w:r>
          <w:r>
            <w:rPr>
              <w:rFonts w:ascii="Times New Roman" w:hAnsi="Times New Roman" w:eastAsia="Times New Roman" w:cs="Times New Roman"/>
              <w:b/>
              <w:bCs/>
              <w:spacing w:val="-3"/>
              <w:sz w:val="21"/>
              <w:szCs w:val="21"/>
            </w:rPr>
            <w:t>3.5</w:t>
          </w:r>
          <w:r>
            <w:rPr>
              <w:rFonts w:ascii="Times New Roman" w:hAnsi="Times New Roman" w:eastAsia="Times New Roman" w:cs="Times New Roman"/>
              <w:b/>
              <w:bCs/>
              <w:spacing w:val="7"/>
              <w:sz w:val="21"/>
              <w:szCs w:val="21"/>
            </w:rPr>
            <w:t xml:space="preserve">  </w:t>
          </w:r>
          <w:r>
            <w:rPr>
              <w:rFonts w:ascii="黑体" w:hAnsi="黑体" w:eastAsia="黑体" w:cs="黑体"/>
              <w:b/>
              <w:bCs/>
              <w:spacing w:val="-3"/>
              <w:sz w:val="21"/>
              <w:szCs w:val="21"/>
            </w:rPr>
            <w:t>分包</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191</w:t>
          </w:r>
          <w:r>
            <w:rPr>
              <w:rFonts w:ascii="Calibri" w:hAnsi="Calibri" w:eastAsia="Calibri" w:cs="Calibri"/>
              <w:spacing w:val="1"/>
              <w:sz w:val="21"/>
              <w:szCs w:val="21"/>
            </w:rPr>
            <w:fldChar w:fldCharType="end"/>
          </w:r>
        </w:p>
        <w:p w14:paraId="7F850254">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"bookmark452" </w:instrText>
          </w:r>
          <w:r>
            <w:fldChar w:fldCharType="separate"/>
          </w:r>
          <w:r>
            <w:rPr>
              <w:rFonts w:ascii="Times New Roman" w:hAnsi="Times New Roman" w:eastAsia="Times New Roman" w:cs="Times New Roman"/>
              <w:b/>
              <w:bCs/>
              <w:spacing w:val="-2"/>
              <w:sz w:val="21"/>
              <w:szCs w:val="21"/>
            </w:rPr>
            <w:t xml:space="preserve">3.6  </w:t>
          </w:r>
          <w:r>
            <w:rPr>
              <w:rFonts w:ascii="黑体" w:hAnsi="黑体" w:eastAsia="黑体" w:cs="黑体"/>
              <w:b/>
              <w:bCs/>
              <w:spacing w:val="-2"/>
              <w:sz w:val="21"/>
              <w:szCs w:val="21"/>
            </w:rPr>
            <w:t>工程照管与成品、半成品保护</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191</w:t>
          </w:r>
          <w:r>
            <w:rPr>
              <w:rFonts w:ascii="Calibri" w:hAnsi="Calibri" w:eastAsia="Calibri" w:cs="Calibri"/>
              <w:spacing w:val="1"/>
              <w:sz w:val="21"/>
              <w:szCs w:val="21"/>
            </w:rPr>
            <w:fldChar w:fldCharType="end"/>
          </w:r>
        </w:p>
        <w:p w14:paraId="4749318C">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"bookmark453" </w:instrText>
          </w:r>
          <w:r>
            <w:fldChar w:fldCharType="separate"/>
          </w:r>
          <w:r>
            <w:rPr>
              <w:rFonts w:ascii="Times New Roman" w:hAnsi="Times New Roman" w:eastAsia="Times New Roman" w:cs="Times New Roman"/>
              <w:b/>
              <w:bCs/>
              <w:spacing w:val="-1"/>
              <w:sz w:val="21"/>
              <w:szCs w:val="21"/>
            </w:rPr>
            <w:t xml:space="preserve">3.7  </w:t>
          </w:r>
          <w:r>
            <w:rPr>
              <w:rFonts w:ascii="黑体" w:hAnsi="黑体" w:eastAsia="黑体" w:cs="黑体"/>
              <w:b/>
              <w:bCs/>
              <w:spacing w:val="-1"/>
              <w:sz w:val="21"/>
              <w:szCs w:val="21"/>
            </w:rPr>
            <w:t>履约担保</w:t>
          </w:r>
          <w:r>
            <w:rPr>
              <w:rFonts w:ascii="黑体" w:hAnsi="黑体" w:eastAsia="黑体" w:cs="黑体"/>
              <w:spacing w:val="-4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191</w:t>
          </w:r>
          <w:r>
            <w:rPr>
              <w:rFonts w:ascii="Calibri" w:hAnsi="Calibri" w:eastAsia="Calibri" w:cs="Calibri"/>
              <w:spacing w:val="1"/>
              <w:sz w:val="21"/>
              <w:szCs w:val="21"/>
            </w:rPr>
            <w:fldChar w:fldCharType="end"/>
          </w:r>
        </w:p>
        <w:p w14:paraId="3797F4C9">
          <w:pPr>
            <w:tabs>
              <w:tab w:val="right" w:leader="dot" w:pos="8322"/>
            </w:tabs>
            <w:spacing w:before="82" w:line="205" w:lineRule="auto"/>
            <w:ind w:left="441"/>
            <w:rPr>
              <w:rFonts w:ascii="Calibri" w:hAnsi="Calibri" w:eastAsia="Calibri" w:cs="Calibri"/>
              <w:sz w:val="21"/>
              <w:szCs w:val="21"/>
            </w:rPr>
          </w:pPr>
          <w:r>
            <w:fldChar w:fldCharType="begin"/>
          </w:r>
          <w:r>
            <w:instrText xml:space="preserve"> HYPERLINK \l "bookmark454" </w:instrText>
          </w:r>
          <w:r>
            <w:fldChar w:fldCharType="separate"/>
          </w:r>
          <w:r>
            <w:rPr>
              <w:rFonts w:ascii="Times New Roman" w:hAnsi="Times New Roman" w:eastAsia="Times New Roman" w:cs="Times New Roman"/>
              <w:b/>
              <w:bCs/>
              <w:spacing w:val="-4"/>
              <w:sz w:val="21"/>
              <w:szCs w:val="21"/>
            </w:rPr>
            <w:t>4.</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监理人</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192</w:t>
          </w:r>
          <w:r>
            <w:rPr>
              <w:rFonts w:ascii="Calibri" w:hAnsi="Calibri" w:eastAsia="Calibri" w:cs="Calibri"/>
              <w:spacing w:val="2"/>
              <w:sz w:val="21"/>
              <w:szCs w:val="21"/>
            </w:rPr>
            <w:fldChar w:fldCharType="end"/>
          </w:r>
        </w:p>
        <w:p w14:paraId="54372D0C">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"bookmark455" </w:instrText>
          </w:r>
          <w:r>
            <w:fldChar w:fldCharType="separate"/>
          </w:r>
          <w:r>
            <w:rPr>
              <w:rFonts w:ascii="Times New Roman" w:hAnsi="Times New Roman" w:eastAsia="Times New Roman" w:cs="Times New Roman"/>
              <w:b/>
              <w:bCs/>
              <w:spacing w:val="-1"/>
              <w:sz w:val="21"/>
              <w:szCs w:val="21"/>
            </w:rPr>
            <w:t xml:space="preserve">4.1 </w:t>
          </w:r>
          <w:r>
            <w:rPr>
              <w:rFonts w:ascii="黑体" w:hAnsi="黑体" w:eastAsia="黑体" w:cs="黑体"/>
              <w:b/>
              <w:bCs/>
              <w:spacing w:val="-1"/>
              <w:sz w:val="21"/>
              <w:szCs w:val="21"/>
            </w:rPr>
            <w:t>监理人的一般规定</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192</w:t>
          </w:r>
          <w:r>
            <w:rPr>
              <w:rFonts w:ascii="Calibri" w:hAnsi="Calibri" w:eastAsia="Calibri" w:cs="Calibri"/>
              <w:spacing w:val="2"/>
              <w:sz w:val="21"/>
              <w:szCs w:val="21"/>
            </w:rPr>
            <w:fldChar w:fldCharType="end"/>
          </w:r>
        </w:p>
        <w:p w14:paraId="09C1AC9E">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"bookmark456" </w:instrText>
          </w:r>
          <w:r>
            <w:fldChar w:fldCharType="separate"/>
          </w:r>
          <w:r>
            <w:rPr>
              <w:rFonts w:ascii="Times New Roman" w:hAnsi="Times New Roman" w:eastAsia="Times New Roman" w:cs="Times New Roman"/>
              <w:b/>
              <w:bCs/>
              <w:spacing w:val="-1"/>
              <w:sz w:val="21"/>
              <w:szCs w:val="21"/>
            </w:rPr>
            <w:t xml:space="preserve">4.2  </w:t>
          </w:r>
          <w:r>
            <w:rPr>
              <w:rFonts w:ascii="黑体" w:hAnsi="黑体" w:eastAsia="黑体" w:cs="黑体"/>
              <w:b/>
              <w:bCs/>
              <w:spacing w:val="-1"/>
              <w:sz w:val="21"/>
              <w:szCs w:val="21"/>
            </w:rPr>
            <w:t>监理人员</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192</w:t>
          </w:r>
          <w:r>
            <w:rPr>
              <w:rFonts w:ascii="Calibri" w:hAnsi="Calibri" w:eastAsia="Calibri" w:cs="Calibri"/>
              <w:spacing w:val="1"/>
              <w:sz w:val="21"/>
              <w:szCs w:val="21"/>
            </w:rPr>
            <w:fldChar w:fldCharType="end"/>
          </w:r>
        </w:p>
        <w:p w14:paraId="6F6E3B24">
          <w:pPr>
            <w:tabs>
              <w:tab w:val="right" w:leader="dot" w:pos="8322"/>
            </w:tabs>
            <w:spacing w:before="67" w:line="205" w:lineRule="auto"/>
            <w:ind w:left="862"/>
            <w:rPr>
              <w:rFonts w:ascii="Calibri" w:hAnsi="Calibri" w:eastAsia="Calibri" w:cs="Calibri"/>
              <w:sz w:val="21"/>
              <w:szCs w:val="21"/>
            </w:rPr>
          </w:pPr>
          <w:r>
            <w:fldChar w:fldCharType="begin"/>
          </w:r>
          <w:r>
            <w:instrText xml:space="preserve"> HYPERLINK \l "bookmark457" </w:instrText>
          </w:r>
          <w:r>
            <w:fldChar w:fldCharType="separate"/>
          </w:r>
          <w:r>
            <w:rPr>
              <w:rFonts w:ascii="Times New Roman" w:hAnsi="Times New Roman" w:eastAsia="Times New Roman" w:cs="Times New Roman"/>
              <w:b/>
              <w:bCs/>
              <w:spacing w:val="-3"/>
              <w:sz w:val="21"/>
              <w:szCs w:val="21"/>
            </w:rPr>
            <w:t>4.4</w:t>
          </w:r>
          <w:r>
            <w:rPr>
              <w:rFonts w:ascii="Times New Roman" w:hAnsi="Times New Roman" w:eastAsia="Times New Roman" w:cs="Times New Roman"/>
              <w:b/>
              <w:bCs/>
              <w:spacing w:val="8"/>
              <w:sz w:val="21"/>
              <w:szCs w:val="21"/>
            </w:rPr>
            <w:t xml:space="preserve">  </w:t>
          </w:r>
          <w:r>
            <w:rPr>
              <w:rFonts w:ascii="黑体" w:hAnsi="黑体" w:eastAsia="黑体" w:cs="黑体"/>
              <w:b/>
              <w:bCs/>
              <w:spacing w:val="-3"/>
              <w:sz w:val="21"/>
              <w:szCs w:val="21"/>
            </w:rPr>
            <w:t>商定或确定</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192</w:t>
          </w:r>
          <w:r>
            <w:rPr>
              <w:rFonts w:ascii="Calibri" w:hAnsi="Calibri" w:eastAsia="Calibri" w:cs="Calibri"/>
              <w:spacing w:val="2"/>
              <w:sz w:val="21"/>
              <w:szCs w:val="21"/>
            </w:rPr>
            <w:fldChar w:fldCharType="end"/>
          </w:r>
        </w:p>
        <w:p w14:paraId="105FF0E0">
          <w:pPr>
            <w:tabs>
              <w:tab w:val="right" w:leader="dot" w:pos="8322"/>
            </w:tabs>
            <w:spacing w:before="82" w:line="205" w:lineRule="auto"/>
            <w:ind w:left="443"/>
            <w:rPr>
              <w:rFonts w:ascii="Calibri" w:hAnsi="Calibri" w:eastAsia="Calibri" w:cs="Calibri"/>
              <w:sz w:val="21"/>
              <w:szCs w:val="21"/>
            </w:rPr>
          </w:pPr>
          <w:r>
            <w:fldChar w:fldCharType="begin"/>
          </w:r>
          <w:r>
            <w:instrText xml:space="preserve"> HYPERLINK \l "bookmark458" </w:instrText>
          </w:r>
          <w:r>
            <w:fldChar w:fldCharType="separate"/>
          </w:r>
          <w:r>
            <w:rPr>
              <w:rFonts w:ascii="Times New Roman" w:hAnsi="Times New Roman" w:eastAsia="Times New Roman" w:cs="Times New Roman"/>
              <w:b/>
              <w:bCs/>
              <w:spacing w:val="-4"/>
              <w:sz w:val="21"/>
              <w:szCs w:val="21"/>
            </w:rPr>
            <w:t>5.</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工程质量</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192</w:t>
          </w:r>
          <w:r>
            <w:rPr>
              <w:rFonts w:ascii="Calibri" w:hAnsi="Calibri" w:eastAsia="Calibri" w:cs="Calibri"/>
              <w:spacing w:val="1"/>
              <w:sz w:val="21"/>
              <w:szCs w:val="21"/>
            </w:rPr>
            <w:fldChar w:fldCharType="end"/>
          </w:r>
        </w:p>
        <w:p w14:paraId="40ED90ED">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"bookmark459" </w:instrText>
          </w:r>
          <w:r>
            <w:fldChar w:fldCharType="separate"/>
          </w:r>
          <w:r>
            <w:rPr>
              <w:rFonts w:ascii="Times New Roman" w:hAnsi="Times New Roman" w:eastAsia="Times New Roman" w:cs="Times New Roman"/>
              <w:b/>
              <w:bCs/>
              <w:spacing w:val="-3"/>
              <w:sz w:val="21"/>
              <w:szCs w:val="21"/>
            </w:rPr>
            <w:t>5.1</w:t>
          </w:r>
          <w:r>
            <w:rPr>
              <w:rFonts w:ascii="Times New Roman" w:hAnsi="Times New Roman" w:eastAsia="Times New Roman" w:cs="Times New Roman"/>
              <w:b/>
              <w:bCs/>
              <w:spacing w:val="6"/>
              <w:sz w:val="21"/>
              <w:szCs w:val="21"/>
            </w:rPr>
            <w:t xml:space="preserve">  </w:t>
          </w:r>
          <w:r>
            <w:rPr>
              <w:rFonts w:ascii="黑体" w:hAnsi="黑体" w:eastAsia="黑体" w:cs="黑体"/>
              <w:b/>
              <w:bCs/>
              <w:spacing w:val="-3"/>
              <w:sz w:val="21"/>
              <w:szCs w:val="21"/>
            </w:rPr>
            <w:t>质量要求</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192</w:t>
          </w:r>
          <w:r>
            <w:rPr>
              <w:rFonts w:ascii="Calibri" w:hAnsi="Calibri" w:eastAsia="Calibri" w:cs="Calibri"/>
              <w:spacing w:val="1"/>
              <w:sz w:val="21"/>
              <w:szCs w:val="21"/>
            </w:rPr>
            <w:fldChar w:fldCharType="end"/>
          </w:r>
        </w:p>
        <w:p w14:paraId="4738A1AD">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"bookmark460" </w:instrText>
          </w:r>
          <w:r>
            <w:fldChar w:fldCharType="separate"/>
          </w:r>
          <w:r>
            <w:rPr>
              <w:rFonts w:ascii="Times New Roman" w:hAnsi="Times New Roman" w:eastAsia="Times New Roman" w:cs="Times New Roman"/>
              <w:b/>
              <w:bCs/>
              <w:spacing w:val="-3"/>
              <w:sz w:val="21"/>
              <w:szCs w:val="21"/>
            </w:rPr>
            <w:t>5.3</w:t>
          </w:r>
          <w:r>
            <w:rPr>
              <w:rFonts w:ascii="Times New Roman" w:hAnsi="Times New Roman" w:eastAsia="Times New Roman" w:cs="Times New Roman"/>
              <w:b/>
              <w:bCs/>
              <w:spacing w:val="8"/>
              <w:sz w:val="21"/>
              <w:szCs w:val="21"/>
            </w:rPr>
            <w:t xml:space="preserve">  </w:t>
          </w:r>
          <w:r>
            <w:rPr>
              <w:rFonts w:ascii="黑体" w:hAnsi="黑体" w:eastAsia="黑体" w:cs="黑体"/>
              <w:b/>
              <w:bCs/>
              <w:spacing w:val="-3"/>
              <w:sz w:val="21"/>
              <w:szCs w:val="21"/>
            </w:rPr>
            <w:t>隐蔽工程检查</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193</w:t>
          </w:r>
          <w:r>
            <w:rPr>
              <w:rFonts w:ascii="Calibri" w:hAnsi="Calibri" w:eastAsia="Calibri" w:cs="Calibri"/>
              <w:spacing w:val="2"/>
              <w:sz w:val="21"/>
              <w:szCs w:val="21"/>
            </w:rPr>
            <w:fldChar w:fldCharType="end"/>
          </w:r>
        </w:p>
        <w:p w14:paraId="66B37124">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"bookmark461" </w:instrText>
          </w:r>
          <w:r>
            <w:fldChar w:fldCharType="separate"/>
          </w:r>
          <w:r>
            <w:rPr>
              <w:rFonts w:ascii="Times New Roman" w:hAnsi="Times New Roman" w:eastAsia="Times New Roman" w:cs="Times New Roman"/>
              <w:b/>
              <w:bCs/>
              <w:spacing w:val="-4"/>
              <w:sz w:val="21"/>
              <w:szCs w:val="21"/>
            </w:rPr>
            <w:t>6.</w:t>
          </w:r>
          <w:r>
            <w:rPr>
              <w:rFonts w:ascii="Times New Roman" w:hAnsi="Times New Roman" w:eastAsia="Times New Roman" w:cs="Times New Roman"/>
              <w:b/>
              <w:bCs/>
              <w:spacing w:val="15"/>
              <w:w w:val="101"/>
              <w:sz w:val="21"/>
              <w:szCs w:val="21"/>
            </w:rPr>
            <w:t xml:space="preserve">  </w:t>
          </w:r>
          <w:r>
            <w:rPr>
              <w:rFonts w:ascii="黑体" w:hAnsi="黑体" w:eastAsia="黑体" w:cs="黑体"/>
              <w:b/>
              <w:bCs/>
              <w:spacing w:val="-4"/>
              <w:sz w:val="21"/>
              <w:szCs w:val="21"/>
            </w:rPr>
            <w:t>安全文明施工与环境保护</w:t>
          </w:r>
          <w:r>
            <w:rPr>
              <w:rFonts w:ascii="黑体" w:hAnsi="黑体" w:eastAsia="黑体" w:cs="黑体"/>
              <w:spacing w:val="-9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193</w:t>
          </w:r>
          <w:r>
            <w:rPr>
              <w:rFonts w:ascii="Calibri" w:hAnsi="Calibri" w:eastAsia="Calibri" w:cs="Calibri"/>
              <w:spacing w:val="2"/>
              <w:sz w:val="21"/>
              <w:szCs w:val="21"/>
            </w:rPr>
            <w:fldChar w:fldCharType="end"/>
          </w:r>
        </w:p>
        <w:p w14:paraId="1A84ECD1">
          <w:pPr>
            <w:tabs>
              <w:tab w:val="right" w:leader="dot" w:pos="8322"/>
            </w:tabs>
            <w:spacing w:before="68" w:line="205" w:lineRule="auto"/>
            <w:ind w:left="864"/>
            <w:rPr>
              <w:rFonts w:ascii="Calibri" w:hAnsi="Calibri" w:eastAsia="Calibri" w:cs="Calibri"/>
              <w:sz w:val="21"/>
              <w:szCs w:val="21"/>
            </w:rPr>
          </w:pPr>
          <w:r>
            <w:fldChar w:fldCharType="begin"/>
          </w:r>
          <w:r>
            <w:instrText xml:space="preserve"> HYPERLINK \l "bookmark462" </w:instrText>
          </w:r>
          <w:r>
            <w:fldChar w:fldCharType="separate"/>
          </w:r>
          <w:r>
            <w:rPr>
              <w:rFonts w:ascii="Times New Roman" w:hAnsi="Times New Roman" w:eastAsia="Times New Roman" w:cs="Times New Roman"/>
              <w:b/>
              <w:bCs/>
              <w:spacing w:val="-2"/>
              <w:sz w:val="21"/>
              <w:szCs w:val="21"/>
            </w:rPr>
            <w:t xml:space="preserve">6.1 </w:t>
          </w:r>
          <w:r>
            <w:rPr>
              <w:rFonts w:ascii="黑体" w:hAnsi="黑体" w:eastAsia="黑体" w:cs="黑体"/>
              <w:b/>
              <w:bCs/>
              <w:spacing w:val="-2"/>
              <w:sz w:val="21"/>
              <w:szCs w:val="21"/>
            </w:rPr>
            <w:t>安全文明施工</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193</w:t>
          </w:r>
          <w:r>
            <w:rPr>
              <w:rFonts w:ascii="Calibri" w:hAnsi="Calibri" w:eastAsia="Calibri" w:cs="Calibri"/>
              <w:spacing w:val="2"/>
              <w:sz w:val="21"/>
              <w:szCs w:val="21"/>
            </w:rPr>
            <w:fldChar w:fldCharType="end"/>
          </w:r>
        </w:p>
        <w:p w14:paraId="7CA741AA">
          <w:pPr>
            <w:tabs>
              <w:tab w:val="right" w:leader="dot" w:pos="8322"/>
            </w:tabs>
            <w:spacing w:before="82" w:line="205" w:lineRule="auto"/>
            <w:ind w:left="443"/>
            <w:rPr>
              <w:rFonts w:ascii="Calibri" w:hAnsi="Calibri" w:eastAsia="Calibri" w:cs="Calibri"/>
              <w:sz w:val="21"/>
              <w:szCs w:val="21"/>
            </w:rPr>
          </w:pPr>
          <w:r>
            <w:fldChar w:fldCharType="begin"/>
          </w:r>
          <w:r>
            <w:instrText xml:space="preserve"> HYPERLINK \l "bookmark463" </w:instrText>
          </w:r>
          <w:r>
            <w:fldChar w:fldCharType="separate"/>
          </w:r>
          <w:r>
            <w:rPr>
              <w:rFonts w:ascii="Times New Roman" w:hAnsi="Times New Roman" w:eastAsia="Times New Roman" w:cs="Times New Roman"/>
              <w:b/>
              <w:bCs/>
              <w:spacing w:val="-4"/>
              <w:sz w:val="21"/>
              <w:szCs w:val="21"/>
            </w:rPr>
            <w:t>7.</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工期和进度</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193</w:t>
          </w:r>
          <w:r>
            <w:rPr>
              <w:rFonts w:ascii="Calibri" w:hAnsi="Calibri" w:eastAsia="Calibri" w:cs="Calibri"/>
              <w:spacing w:val="2"/>
              <w:sz w:val="21"/>
              <w:szCs w:val="21"/>
            </w:rPr>
            <w:fldChar w:fldCharType="end"/>
          </w:r>
        </w:p>
        <w:p w14:paraId="150680DA">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"bookmark464" </w:instrText>
          </w:r>
          <w:r>
            <w:fldChar w:fldCharType="separate"/>
          </w:r>
          <w:r>
            <w:rPr>
              <w:rFonts w:ascii="Times New Roman" w:hAnsi="Times New Roman" w:eastAsia="Times New Roman" w:cs="Times New Roman"/>
              <w:b/>
              <w:bCs/>
              <w:spacing w:val="-1"/>
              <w:sz w:val="21"/>
              <w:szCs w:val="21"/>
            </w:rPr>
            <w:t xml:space="preserve">7.1  </w:t>
          </w:r>
          <w:r>
            <w:rPr>
              <w:rFonts w:ascii="黑体" w:hAnsi="黑体" w:eastAsia="黑体" w:cs="黑体"/>
              <w:b/>
              <w:bCs/>
              <w:spacing w:val="-1"/>
              <w:sz w:val="21"/>
              <w:szCs w:val="21"/>
            </w:rPr>
            <w:t>施工组织设计</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193</w:t>
          </w:r>
          <w:r>
            <w:rPr>
              <w:rFonts w:ascii="Calibri" w:hAnsi="Calibri" w:eastAsia="Calibri" w:cs="Calibri"/>
              <w:spacing w:val="2"/>
              <w:sz w:val="21"/>
              <w:szCs w:val="21"/>
            </w:rPr>
            <w:fldChar w:fldCharType="end"/>
          </w:r>
        </w:p>
        <w:p w14:paraId="31688AA0">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"bookmark465" </w:instrText>
          </w:r>
          <w:r>
            <w:fldChar w:fldCharType="separate"/>
          </w:r>
          <w:r>
            <w:rPr>
              <w:rFonts w:ascii="Times New Roman" w:hAnsi="Times New Roman" w:eastAsia="Times New Roman" w:cs="Times New Roman"/>
              <w:b/>
              <w:bCs/>
              <w:spacing w:val="-1"/>
              <w:sz w:val="21"/>
              <w:szCs w:val="21"/>
            </w:rPr>
            <w:t xml:space="preserve">7.2  </w:t>
          </w:r>
          <w:r>
            <w:rPr>
              <w:rFonts w:ascii="黑体" w:hAnsi="黑体" w:eastAsia="黑体" w:cs="黑体"/>
              <w:b/>
              <w:bCs/>
              <w:spacing w:val="-1"/>
              <w:sz w:val="21"/>
              <w:szCs w:val="21"/>
            </w:rPr>
            <w:t>施工进度计划</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194</w:t>
          </w:r>
          <w:r>
            <w:rPr>
              <w:rFonts w:ascii="Calibri" w:hAnsi="Calibri" w:eastAsia="Calibri" w:cs="Calibri"/>
              <w:spacing w:val="2"/>
              <w:sz w:val="21"/>
              <w:szCs w:val="21"/>
            </w:rPr>
            <w:fldChar w:fldCharType="end"/>
          </w:r>
        </w:p>
        <w:p w14:paraId="43986B62">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"bookmark466" </w:instrText>
          </w:r>
          <w:r>
            <w:fldChar w:fldCharType="separate"/>
          </w:r>
          <w:r>
            <w:rPr>
              <w:rFonts w:ascii="Times New Roman" w:hAnsi="Times New Roman" w:eastAsia="Times New Roman" w:cs="Times New Roman"/>
              <w:b/>
              <w:bCs/>
              <w:spacing w:val="-4"/>
              <w:sz w:val="21"/>
              <w:szCs w:val="21"/>
            </w:rPr>
            <w:t>7.3</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开工</w:t>
          </w:r>
          <w:r>
            <w:rPr>
              <w:rFonts w:ascii="黑体" w:hAnsi="黑体" w:eastAsia="黑体" w:cs="黑体"/>
              <w:spacing w:val="-4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194</w:t>
          </w:r>
          <w:r>
            <w:rPr>
              <w:rFonts w:ascii="Calibri" w:hAnsi="Calibri" w:eastAsia="Calibri" w:cs="Calibri"/>
              <w:spacing w:val="1"/>
              <w:sz w:val="21"/>
              <w:szCs w:val="21"/>
            </w:rPr>
            <w:fldChar w:fldCharType="end"/>
          </w:r>
        </w:p>
        <w:p w14:paraId="62E8978B">
          <w:pPr>
            <w:tabs>
              <w:tab w:val="right" w:leader="dot" w:pos="8322"/>
            </w:tabs>
            <w:spacing w:before="67" w:line="205" w:lineRule="auto"/>
            <w:ind w:left="864"/>
            <w:rPr>
              <w:rFonts w:ascii="Calibri" w:hAnsi="Calibri" w:eastAsia="Calibri" w:cs="Calibri"/>
              <w:sz w:val="21"/>
              <w:szCs w:val="21"/>
            </w:rPr>
          </w:pPr>
          <w:r>
            <w:fldChar w:fldCharType="begin"/>
          </w:r>
          <w:r>
            <w:instrText xml:space="preserve"> HYPERLINK \l "bookmark467" </w:instrText>
          </w:r>
          <w:r>
            <w:fldChar w:fldCharType="separate"/>
          </w:r>
          <w:r>
            <w:rPr>
              <w:rFonts w:ascii="Times New Roman" w:hAnsi="Times New Roman" w:eastAsia="Times New Roman" w:cs="Times New Roman"/>
              <w:b/>
              <w:bCs/>
              <w:spacing w:val="-1"/>
              <w:sz w:val="21"/>
              <w:szCs w:val="21"/>
            </w:rPr>
            <w:t xml:space="preserve">7.4  </w:t>
          </w:r>
          <w:r>
            <w:rPr>
              <w:rFonts w:ascii="黑体" w:hAnsi="黑体" w:eastAsia="黑体" w:cs="黑体"/>
              <w:b/>
              <w:bCs/>
              <w:spacing w:val="-1"/>
              <w:sz w:val="21"/>
              <w:szCs w:val="21"/>
            </w:rPr>
            <w:t>测量放线</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194</w:t>
          </w:r>
          <w:r>
            <w:rPr>
              <w:rFonts w:ascii="Calibri" w:hAnsi="Calibri" w:eastAsia="Calibri" w:cs="Calibri"/>
              <w:spacing w:val="1"/>
              <w:sz w:val="21"/>
              <w:szCs w:val="21"/>
            </w:rPr>
            <w:fldChar w:fldCharType="end"/>
          </w:r>
        </w:p>
        <w:p w14:paraId="6E00928D">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"bookmark468" </w:instrText>
          </w:r>
          <w:r>
            <w:fldChar w:fldCharType="separate"/>
          </w:r>
          <w:r>
            <w:rPr>
              <w:rFonts w:ascii="Times New Roman" w:hAnsi="Times New Roman" w:eastAsia="Times New Roman" w:cs="Times New Roman"/>
              <w:b/>
              <w:bCs/>
              <w:spacing w:val="-1"/>
              <w:sz w:val="21"/>
              <w:szCs w:val="21"/>
            </w:rPr>
            <w:t xml:space="preserve">7.5  </w:t>
          </w:r>
          <w:r>
            <w:rPr>
              <w:rFonts w:ascii="黑体" w:hAnsi="黑体" w:eastAsia="黑体" w:cs="黑体"/>
              <w:b/>
              <w:bCs/>
              <w:spacing w:val="-1"/>
              <w:sz w:val="21"/>
              <w:szCs w:val="21"/>
            </w:rPr>
            <w:t>工期延误</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194</w:t>
          </w:r>
          <w:r>
            <w:rPr>
              <w:rFonts w:ascii="Calibri" w:hAnsi="Calibri" w:eastAsia="Calibri" w:cs="Calibri"/>
              <w:spacing w:val="1"/>
              <w:sz w:val="21"/>
              <w:szCs w:val="21"/>
            </w:rPr>
            <w:fldChar w:fldCharType="end"/>
          </w:r>
        </w:p>
        <w:p w14:paraId="1050BCB9">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"bookmark469" </w:instrText>
          </w:r>
          <w:r>
            <w:fldChar w:fldCharType="separate"/>
          </w:r>
          <w:r>
            <w:rPr>
              <w:rFonts w:ascii="Times New Roman" w:hAnsi="Times New Roman" w:eastAsia="Times New Roman" w:cs="Times New Roman"/>
              <w:b/>
              <w:bCs/>
              <w:spacing w:val="-1"/>
              <w:sz w:val="21"/>
              <w:szCs w:val="21"/>
            </w:rPr>
            <w:t xml:space="preserve">7.6  </w:t>
          </w:r>
          <w:r>
            <w:rPr>
              <w:rFonts w:ascii="黑体" w:hAnsi="黑体" w:eastAsia="黑体" w:cs="黑体"/>
              <w:b/>
              <w:bCs/>
              <w:spacing w:val="-1"/>
              <w:sz w:val="21"/>
              <w:szCs w:val="21"/>
            </w:rPr>
            <w:t>不利物质条件</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195</w:t>
          </w:r>
          <w:r>
            <w:rPr>
              <w:rFonts w:ascii="Calibri" w:hAnsi="Calibri" w:eastAsia="Calibri" w:cs="Calibri"/>
              <w:spacing w:val="2"/>
              <w:sz w:val="21"/>
              <w:szCs w:val="21"/>
            </w:rPr>
            <w:fldChar w:fldCharType="end"/>
          </w:r>
        </w:p>
        <w:p w14:paraId="1B02B131">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"bookmark470" </w:instrText>
          </w:r>
          <w:r>
            <w:fldChar w:fldCharType="separate"/>
          </w:r>
          <w:r>
            <w:rPr>
              <w:rFonts w:ascii="Times New Roman" w:hAnsi="Times New Roman" w:eastAsia="Times New Roman" w:cs="Times New Roman"/>
              <w:b/>
              <w:bCs/>
              <w:spacing w:val="-1"/>
              <w:sz w:val="21"/>
              <w:szCs w:val="21"/>
            </w:rPr>
            <w:t xml:space="preserve">7.7 </w:t>
          </w:r>
          <w:r>
            <w:rPr>
              <w:rFonts w:ascii="黑体" w:hAnsi="黑体" w:eastAsia="黑体" w:cs="黑体"/>
              <w:b/>
              <w:bCs/>
              <w:spacing w:val="-1"/>
              <w:sz w:val="21"/>
              <w:szCs w:val="21"/>
            </w:rPr>
            <w:t>异常恶劣的气候条件</w:t>
          </w:r>
          <w:r>
            <w:rPr>
              <w:rFonts w:ascii="黑体" w:hAnsi="黑体" w:eastAsia="黑体" w:cs="黑体"/>
              <w:spacing w:val="-87"/>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195</w:t>
          </w:r>
          <w:r>
            <w:rPr>
              <w:rFonts w:ascii="Calibri" w:hAnsi="Calibri" w:eastAsia="Calibri" w:cs="Calibri"/>
              <w:spacing w:val="2"/>
              <w:sz w:val="21"/>
              <w:szCs w:val="21"/>
            </w:rPr>
            <w:fldChar w:fldCharType="end"/>
          </w:r>
        </w:p>
        <w:p w14:paraId="33446BCD">
          <w:pPr>
            <w:tabs>
              <w:tab w:val="right" w:leader="dot" w:pos="8322"/>
            </w:tabs>
            <w:spacing w:before="83" w:line="205" w:lineRule="auto"/>
            <w:ind w:left="864"/>
            <w:rPr>
              <w:rFonts w:ascii="Calibri" w:hAnsi="Calibri" w:eastAsia="Calibri" w:cs="Calibri"/>
              <w:sz w:val="21"/>
              <w:szCs w:val="21"/>
            </w:rPr>
          </w:pPr>
          <w:r>
            <w:fldChar w:fldCharType="begin"/>
          </w:r>
          <w:r>
            <w:instrText xml:space="preserve"> HYPERLINK \l "bookmark471" </w:instrText>
          </w:r>
          <w:r>
            <w:fldChar w:fldCharType="separate"/>
          </w:r>
          <w:r>
            <w:rPr>
              <w:rFonts w:ascii="Times New Roman" w:hAnsi="Times New Roman" w:eastAsia="Times New Roman" w:cs="Times New Roman"/>
              <w:b/>
              <w:bCs/>
              <w:spacing w:val="-1"/>
              <w:sz w:val="21"/>
              <w:szCs w:val="21"/>
            </w:rPr>
            <w:t xml:space="preserve">7.9  </w:t>
          </w:r>
          <w:r>
            <w:rPr>
              <w:rFonts w:ascii="黑体" w:hAnsi="黑体" w:eastAsia="黑体" w:cs="黑体"/>
              <w:b/>
              <w:bCs/>
              <w:spacing w:val="-1"/>
              <w:sz w:val="21"/>
              <w:szCs w:val="21"/>
            </w:rPr>
            <w:t>提前竣工的奖励</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195</w:t>
          </w:r>
          <w:r>
            <w:rPr>
              <w:rFonts w:ascii="Calibri" w:hAnsi="Calibri" w:eastAsia="Calibri" w:cs="Calibri"/>
              <w:spacing w:val="2"/>
              <w:sz w:val="21"/>
              <w:szCs w:val="21"/>
            </w:rPr>
            <w:fldChar w:fldCharType="end"/>
          </w:r>
        </w:p>
        <w:p w14:paraId="6AD8EFB2">
          <w:pPr>
            <w:tabs>
              <w:tab w:val="right" w:leader="dot" w:pos="8322"/>
            </w:tabs>
            <w:spacing w:before="67" w:line="205" w:lineRule="auto"/>
            <w:ind w:left="443"/>
            <w:rPr>
              <w:rFonts w:ascii="Calibri" w:hAnsi="Calibri" w:eastAsia="Calibri" w:cs="Calibri"/>
              <w:sz w:val="21"/>
              <w:szCs w:val="21"/>
            </w:rPr>
          </w:pPr>
          <w:r>
            <w:fldChar w:fldCharType="begin"/>
          </w:r>
          <w:r>
            <w:instrText xml:space="preserve"> HYPERLINK \l "bookmark472" </w:instrText>
          </w:r>
          <w:r>
            <w:fldChar w:fldCharType="separate"/>
          </w:r>
          <w:r>
            <w:rPr>
              <w:rFonts w:ascii="Times New Roman" w:hAnsi="Times New Roman" w:eastAsia="Times New Roman" w:cs="Times New Roman"/>
              <w:b/>
              <w:bCs/>
              <w:spacing w:val="-4"/>
              <w:sz w:val="21"/>
              <w:szCs w:val="21"/>
            </w:rPr>
            <w:t>8.</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材料与设备</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195</w:t>
          </w:r>
          <w:r>
            <w:rPr>
              <w:rFonts w:ascii="Calibri" w:hAnsi="Calibri" w:eastAsia="Calibri" w:cs="Calibri"/>
              <w:spacing w:val="1"/>
              <w:sz w:val="21"/>
              <w:szCs w:val="21"/>
            </w:rPr>
            <w:fldChar w:fldCharType="end"/>
          </w:r>
        </w:p>
        <w:p w14:paraId="5821885A">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"bookmark473" </w:instrText>
          </w:r>
          <w:r>
            <w:fldChar w:fldCharType="separate"/>
          </w:r>
          <w:r>
            <w:rPr>
              <w:rFonts w:ascii="Times New Roman" w:hAnsi="Times New Roman" w:eastAsia="Times New Roman" w:cs="Times New Roman"/>
              <w:b/>
              <w:bCs/>
              <w:spacing w:val="-1"/>
              <w:sz w:val="21"/>
              <w:szCs w:val="21"/>
            </w:rPr>
            <w:t xml:space="preserve">8.4 </w:t>
          </w:r>
          <w:r>
            <w:rPr>
              <w:rFonts w:ascii="黑体" w:hAnsi="黑体" w:eastAsia="黑体" w:cs="黑体"/>
              <w:b/>
              <w:bCs/>
              <w:spacing w:val="-1"/>
              <w:sz w:val="21"/>
              <w:szCs w:val="21"/>
            </w:rPr>
            <w:t>材料与工程设备的保管与使用</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195</w:t>
          </w:r>
          <w:r>
            <w:rPr>
              <w:rFonts w:ascii="Calibri" w:hAnsi="Calibri" w:eastAsia="Calibri" w:cs="Calibri"/>
              <w:spacing w:val="1"/>
              <w:sz w:val="21"/>
              <w:szCs w:val="21"/>
            </w:rPr>
            <w:fldChar w:fldCharType="end"/>
          </w:r>
        </w:p>
        <w:p w14:paraId="05A027BC">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"bookmark474" </w:instrText>
          </w:r>
          <w:r>
            <w:fldChar w:fldCharType="separate"/>
          </w:r>
          <w:r>
            <w:rPr>
              <w:rFonts w:ascii="Times New Roman" w:hAnsi="Times New Roman" w:eastAsia="Times New Roman" w:cs="Times New Roman"/>
              <w:b/>
              <w:bCs/>
              <w:spacing w:val="-3"/>
              <w:sz w:val="21"/>
              <w:szCs w:val="21"/>
            </w:rPr>
            <w:t>8.6</w:t>
          </w:r>
          <w:r>
            <w:rPr>
              <w:rFonts w:ascii="Times New Roman" w:hAnsi="Times New Roman" w:eastAsia="Times New Roman" w:cs="Times New Roman"/>
              <w:b/>
              <w:bCs/>
              <w:spacing w:val="5"/>
              <w:sz w:val="21"/>
              <w:szCs w:val="21"/>
            </w:rPr>
            <w:t xml:space="preserve">  </w:t>
          </w:r>
          <w:r>
            <w:rPr>
              <w:rFonts w:ascii="黑体" w:hAnsi="黑体" w:eastAsia="黑体" w:cs="黑体"/>
              <w:b/>
              <w:bCs/>
              <w:spacing w:val="-3"/>
              <w:sz w:val="21"/>
              <w:szCs w:val="21"/>
            </w:rPr>
            <w:t>样品</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195</w:t>
          </w:r>
          <w:r>
            <w:rPr>
              <w:rFonts w:ascii="Calibri" w:hAnsi="Calibri" w:eastAsia="Calibri" w:cs="Calibri"/>
              <w:spacing w:val="1"/>
              <w:sz w:val="21"/>
              <w:szCs w:val="21"/>
            </w:rPr>
            <w:fldChar w:fldCharType="end"/>
          </w:r>
        </w:p>
        <w:p w14:paraId="093551A4">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"bookmark475" </w:instrText>
          </w:r>
          <w:r>
            <w:fldChar w:fldCharType="separate"/>
          </w:r>
          <w:r>
            <w:rPr>
              <w:rFonts w:ascii="Times New Roman" w:hAnsi="Times New Roman" w:eastAsia="Times New Roman" w:cs="Times New Roman"/>
              <w:b/>
              <w:bCs/>
              <w:spacing w:val="-2"/>
              <w:sz w:val="21"/>
              <w:szCs w:val="21"/>
            </w:rPr>
            <w:t xml:space="preserve">8.8  </w:t>
          </w:r>
          <w:r>
            <w:rPr>
              <w:rFonts w:ascii="黑体" w:hAnsi="黑体" w:eastAsia="黑体" w:cs="黑体"/>
              <w:b/>
              <w:bCs/>
              <w:spacing w:val="-2"/>
              <w:sz w:val="21"/>
              <w:szCs w:val="21"/>
            </w:rPr>
            <w:t>施工设备和临时设施</w:t>
          </w:r>
          <w:r>
            <w:rPr>
              <w:rFonts w:ascii="黑体" w:hAnsi="黑体" w:eastAsia="黑体" w:cs="黑体"/>
              <w:spacing w:val="-6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195</w:t>
          </w:r>
          <w:r>
            <w:rPr>
              <w:rFonts w:ascii="Calibri" w:hAnsi="Calibri" w:eastAsia="Calibri" w:cs="Calibri"/>
              <w:spacing w:val="1"/>
              <w:sz w:val="21"/>
              <w:szCs w:val="21"/>
            </w:rPr>
            <w:fldChar w:fldCharType="end"/>
          </w:r>
        </w:p>
        <w:p w14:paraId="6DEB38E8">
          <w:pPr>
            <w:tabs>
              <w:tab w:val="right" w:leader="dot" w:pos="8322"/>
            </w:tabs>
            <w:spacing w:before="82" w:line="205" w:lineRule="auto"/>
            <w:ind w:left="443"/>
            <w:rPr>
              <w:rFonts w:ascii="Calibri" w:hAnsi="Calibri" w:eastAsia="Calibri" w:cs="Calibri"/>
              <w:sz w:val="21"/>
              <w:szCs w:val="21"/>
            </w:rPr>
          </w:pPr>
          <w:r>
            <w:fldChar w:fldCharType="begin"/>
          </w:r>
          <w:r>
            <w:instrText xml:space="preserve"> HYPERLINK \l "bookmark476" </w:instrText>
          </w:r>
          <w:r>
            <w:fldChar w:fldCharType="separate"/>
          </w:r>
          <w:r>
            <w:rPr>
              <w:rFonts w:ascii="Times New Roman" w:hAnsi="Times New Roman" w:eastAsia="Times New Roman" w:cs="Times New Roman"/>
              <w:b/>
              <w:bCs/>
              <w:spacing w:val="-4"/>
              <w:sz w:val="21"/>
              <w:szCs w:val="21"/>
            </w:rPr>
            <w:t>9.</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试验与检验</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196</w:t>
          </w:r>
          <w:r>
            <w:rPr>
              <w:rFonts w:ascii="Calibri" w:hAnsi="Calibri" w:eastAsia="Calibri" w:cs="Calibri"/>
              <w:spacing w:val="1"/>
              <w:sz w:val="21"/>
              <w:szCs w:val="21"/>
            </w:rPr>
            <w:fldChar w:fldCharType="end"/>
          </w:r>
        </w:p>
        <w:p w14:paraId="7E533720">
          <w:pPr>
            <w:tabs>
              <w:tab w:val="right" w:leader="dot" w:pos="8322"/>
            </w:tabs>
            <w:spacing w:before="67" w:line="205" w:lineRule="auto"/>
            <w:ind w:left="863"/>
            <w:rPr>
              <w:rFonts w:ascii="Calibri" w:hAnsi="Calibri" w:eastAsia="Calibri" w:cs="Calibri"/>
              <w:sz w:val="21"/>
              <w:szCs w:val="21"/>
            </w:rPr>
          </w:pPr>
          <w:r>
            <w:fldChar w:fldCharType="begin"/>
          </w:r>
          <w:r>
            <w:instrText xml:space="preserve"> HYPERLINK \l "bookmark477" </w:instrText>
          </w:r>
          <w:r>
            <w:fldChar w:fldCharType="separate"/>
          </w:r>
          <w:r>
            <w:rPr>
              <w:rFonts w:ascii="Times New Roman" w:hAnsi="Times New Roman" w:eastAsia="Times New Roman" w:cs="Times New Roman"/>
              <w:b/>
              <w:bCs/>
              <w:spacing w:val="-1"/>
              <w:sz w:val="21"/>
              <w:szCs w:val="21"/>
            </w:rPr>
            <w:t xml:space="preserve">9.1 </w:t>
          </w:r>
          <w:r>
            <w:rPr>
              <w:rFonts w:ascii="黑体" w:hAnsi="黑体" w:eastAsia="黑体" w:cs="黑体"/>
              <w:b/>
              <w:bCs/>
              <w:spacing w:val="-1"/>
              <w:sz w:val="21"/>
              <w:szCs w:val="21"/>
            </w:rPr>
            <w:t>试验设备与试验人员</w:t>
          </w:r>
          <w:r>
            <w:rPr>
              <w:rFonts w:ascii="黑体" w:hAnsi="黑体" w:eastAsia="黑体" w:cs="黑体"/>
              <w:spacing w:val="-8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196</w:t>
          </w:r>
          <w:r>
            <w:rPr>
              <w:rFonts w:ascii="Calibri" w:hAnsi="Calibri" w:eastAsia="Calibri" w:cs="Calibri"/>
              <w:spacing w:val="2"/>
              <w:sz w:val="21"/>
              <w:szCs w:val="21"/>
            </w:rPr>
            <w:fldChar w:fldCharType="end"/>
          </w:r>
        </w:p>
        <w:p w14:paraId="57A233EA">
          <w:pPr>
            <w:tabs>
              <w:tab w:val="right" w:leader="dot" w:pos="8322"/>
            </w:tabs>
            <w:spacing w:before="82" w:line="205" w:lineRule="auto"/>
            <w:ind w:left="863"/>
            <w:rPr>
              <w:rFonts w:ascii="Calibri" w:hAnsi="Calibri" w:eastAsia="Calibri" w:cs="Calibri"/>
              <w:sz w:val="21"/>
              <w:szCs w:val="21"/>
            </w:rPr>
          </w:pPr>
          <w:r>
            <w:fldChar w:fldCharType="begin"/>
          </w:r>
          <w:r>
            <w:instrText xml:space="preserve"> HYPERLINK \l "bookmark478" </w:instrText>
          </w:r>
          <w:r>
            <w:fldChar w:fldCharType="separate"/>
          </w:r>
          <w:r>
            <w:rPr>
              <w:rFonts w:ascii="Times New Roman" w:hAnsi="Times New Roman" w:eastAsia="Times New Roman" w:cs="Times New Roman"/>
              <w:b/>
              <w:bCs/>
              <w:spacing w:val="-1"/>
              <w:sz w:val="21"/>
              <w:szCs w:val="21"/>
            </w:rPr>
            <w:t xml:space="preserve">9.4  </w:t>
          </w:r>
          <w:r>
            <w:rPr>
              <w:rFonts w:ascii="黑体" w:hAnsi="黑体" w:eastAsia="黑体" w:cs="黑体"/>
              <w:b/>
              <w:bCs/>
              <w:spacing w:val="-1"/>
              <w:sz w:val="21"/>
              <w:szCs w:val="21"/>
            </w:rPr>
            <w:t>现场工艺试验</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196</w:t>
          </w:r>
          <w:r>
            <w:rPr>
              <w:rFonts w:ascii="Calibri" w:hAnsi="Calibri" w:eastAsia="Calibri" w:cs="Calibri"/>
              <w:spacing w:val="2"/>
              <w:sz w:val="21"/>
              <w:szCs w:val="21"/>
            </w:rPr>
            <w:fldChar w:fldCharType="end"/>
          </w:r>
        </w:p>
        <w:p w14:paraId="63ABA145">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"bookmark479" </w:instrText>
          </w:r>
          <w:r>
            <w:fldChar w:fldCharType="separate"/>
          </w:r>
          <w:r>
            <w:rPr>
              <w:rFonts w:ascii="Times New Roman" w:hAnsi="Times New Roman" w:eastAsia="Times New Roman" w:cs="Times New Roman"/>
              <w:b/>
              <w:bCs/>
              <w:spacing w:val="-7"/>
              <w:sz w:val="21"/>
              <w:szCs w:val="21"/>
            </w:rPr>
            <w:t>10.</w:t>
          </w:r>
          <w:r>
            <w:rPr>
              <w:rFonts w:ascii="Times New Roman" w:hAnsi="Times New Roman" w:eastAsia="Times New Roman" w:cs="Times New Roman"/>
              <w:b/>
              <w:bCs/>
              <w:spacing w:val="12"/>
              <w:sz w:val="21"/>
              <w:szCs w:val="21"/>
            </w:rPr>
            <w:t xml:space="preserve">  </w:t>
          </w:r>
          <w:r>
            <w:rPr>
              <w:rFonts w:ascii="黑体" w:hAnsi="黑体" w:eastAsia="黑体" w:cs="黑体"/>
              <w:b/>
              <w:bCs/>
              <w:spacing w:val="-7"/>
              <w:sz w:val="21"/>
              <w:szCs w:val="21"/>
            </w:rPr>
            <w:t>变更</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196</w:t>
          </w:r>
          <w:r>
            <w:rPr>
              <w:rFonts w:ascii="Calibri" w:hAnsi="Calibri" w:eastAsia="Calibri" w:cs="Calibri"/>
              <w:spacing w:val="1"/>
              <w:sz w:val="21"/>
              <w:szCs w:val="21"/>
            </w:rPr>
            <w:fldChar w:fldCharType="end"/>
          </w:r>
        </w:p>
        <w:p w14:paraId="0F080E4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"bookmark480" </w:instrText>
          </w:r>
          <w:r>
            <w:fldChar w:fldCharType="separate"/>
          </w:r>
          <w:r>
            <w:rPr>
              <w:rFonts w:ascii="Times New Roman" w:hAnsi="Times New Roman" w:eastAsia="Times New Roman" w:cs="Times New Roman"/>
              <w:b/>
              <w:bCs/>
              <w:spacing w:val="-3"/>
              <w:sz w:val="21"/>
              <w:szCs w:val="21"/>
            </w:rPr>
            <w:t xml:space="preserve">10.1 </w:t>
          </w:r>
          <w:r>
            <w:rPr>
              <w:rFonts w:ascii="黑体" w:hAnsi="黑体" w:eastAsia="黑体" w:cs="黑体"/>
              <w:b/>
              <w:bCs/>
              <w:spacing w:val="-3"/>
              <w:sz w:val="21"/>
              <w:szCs w:val="21"/>
            </w:rPr>
            <w:t>变更的范围</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196</w:t>
          </w:r>
          <w:r>
            <w:rPr>
              <w:rFonts w:ascii="Calibri" w:hAnsi="Calibri" w:eastAsia="Calibri" w:cs="Calibri"/>
              <w:spacing w:val="2"/>
              <w:sz w:val="21"/>
              <w:szCs w:val="21"/>
            </w:rPr>
            <w:fldChar w:fldCharType="end"/>
          </w:r>
        </w:p>
        <w:p w14:paraId="5D4863E8">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"bookmark481" </w:instrText>
          </w:r>
          <w:r>
            <w:fldChar w:fldCharType="separate"/>
          </w:r>
          <w:r>
            <w:rPr>
              <w:rFonts w:ascii="Times New Roman" w:hAnsi="Times New Roman" w:eastAsia="Times New Roman" w:cs="Times New Roman"/>
              <w:b/>
              <w:bCs/>
              <w:spacing w:val="-4"/>
              <w:sz w:val="21"/>
              <w:szCs w:val="21"/>
            </w:rPr>
            <w:t>10.4</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变更估价</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196</w:t>
          </w:r>
          <w:r>
            <w:rPr>
              <w:rFonts w:ascii="Calibri" w:hAnsi="Calibri" w:eastAsia="Calibri" w:cs="Calibri"/>
              <w:spacing w:val="1"/>
              <w:sz w:val="21"/>
              <w:szCs w:val="21"/>
            </w:rPr>
            <w:fldChar w:fldCharType="end"/>
          </w:r>
        </w:p>
        <w:p w14:paraId="64CEF9E0">
          <w:pPr>
            <w:tabs>
              <w:tab w:val="right" w:leader="dot" w:pos="8322"/>
            </w:tabs>
            <w:spacing w:before="67" w:line="239" w:lineRule="auto"/>
            <w:ind w:left="870"/>
            <w:rPr>
              <w:rFonts w:ascii="Calibri" w:hAnsi="Calibri" w:eastAsia="Calibri" w:cs="Calibri"/>
              <w:sz w:val="21"/>
              <w:szCs w:val="21"/>
            </w:rPr>
          </w:pPr>
          <w:r>
            <w:fldChar w:fldCharType="begin"/>
          </w:r>
          <w:r>
            <w:instrText xml:space="preserve"> HYPERLINK \l "bookmark482" </w:instrText>
          </w:r>
          <w:r>
            <w:fldChar w:fldCharType="separate"/>
          </w:r>
          <w:r>
            <w:rPr>
              <w:rFonts w:ascii="Times New Roman" w:hAnsi="Times New Roman" w:eastAsia="Times New Roman" w:cs="Times New Roman"/>
              <w:b/>
              <w:bCs/>
              <w:spacing w:val="-2"/>
              <w:sz w:val="21"/>
              <w:szCs w:val="21"/>
            </w:rPr>
            <w:t xml:space="preserve">10.5 </w:t>
          </w:r>
          <w:r>
            <w:rPr>
              <w:rFonts w:ascii="黑体" w:hAnsi="黑体" w:eastAsia="黑体" w:cs="黑体"/>
              <w:b/>
              <w:bCs/>
              <w:spacing w:val="-2"/>
              <w:sz w:val="21"/>
              <w:szCs w:val="21"/>
            </w:rPr>
            <w:t>承包人的合理化建议</w:t>
          </w:r>
          <w:r>
            <w:rPr>
              <w:rFonts w:ascii="黑体" w:hAnsi="黑体" w:eastAsia="黑体" w:cs="黑体"/>
              <w:spacing w:val="-6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196</w:t>
          </w:r>
          <w:r>
            <w:rPr>
              <w:rFonts w:ascii="Calibri" w:hAnsi="Calibri" w:eastAsia="Calibri" w:cs="Calibri"/>
              <w:spacing w:val="1"/>
              <w:sz w:val="21"/>
              <w:szCs w:val="21"/>
            </w:rPr>
            <w:fldChar w:fldCharType="end"/>
          </w:r>
        </w:p>
      </w:sdtContent>
    </w:sdt>
    <w:p w14:paraId="05017C87">
      <w:pPr>
        <w:spacing w:line="239" w:lineRule="auto"/>
        <w:rPr>
          <w:rFonts w:ascii="Calibri" w:hAnsi="Calibri" w:eastAsia="Calibri" w:cs="Calibri"/>
          <w:sz w:val="21"/>
          <w:szCs w:val="21"/>
        </w:rPr>
        <w:sectPr>
          <w:footerReference r:id="rId15" w:type="default"/>
          <w:pgSz w:w="11910" w:h="16845"/>
          <w:pgMar w:top="1431" w:right="1786" w:bottom="1044" w:left="1786" w:header="0" w:footer="882" w:gutter="0"/>
          <w:cols w:space="720" w:num="1"/>
        </w:sectPr>
      </w:pPr>
    </w:p>
    <w:sdt>
      <w:sdtPr>
        <w:rPr>
          <w:rFonts w:ascii="Times New Roman" w:hAnsi="Times New Roman" w:eastAsia="Times New Roman" w:cs="Times New Roman"/>
          <w:sz w:val="21"/>
          <w:szCs w:val="21"/>
        </w:rPr>
        <w:id w:val="147458245"/>
        <w:docPartObj>
          <w:docPartGallery w:val="Table of Contents"/>
          <w:docPartUnique/>
        </w:docPartObj>
      </w:sdtPr>
      <w:sdtEndPr>
        <w:rPr>
          <w:rFonts w:ascii="Calibri" w:hAnsi="Calibri" w:eastAsia="Calibri" w:cs="Calibri"/>
          <w:sz w:val="21"/>
          <w:szCs w:val="21"/>
        </w:rPr>
      </w:sdtEndPr>
      <w:sdtContent>
        <w:p w14:paraId="3D57E5C7">
          <w:pPr>
            <w:tabs>
              <w:tab w:val="right" w:leader="dot" w:pos="8322"/>
            </w:tabs>
            <w:spacing w:before="69" w:line="205" w:lineRule="auto"/>
            <w:ind w:left="870"/>
            <w:rPr>
              <w:rFonts w:ascii="Calibri" w:hAnsi="Calibri" w:eastAsia="Calibri" w:cs="Calibri"/>
              <w:sz w:val="21"/>
              <w:szCs w:val="21"/>
            </w:rPr>
          </w:pPr>
          <w:r>
            <w:fldChar w:fldCharType="begin"/>
          </w:r>
          <w:r>
            <w:instrText xml:space="preserve"> HYPERLINK \l "bookmark483" </w:instrText>
          </w:r>
          <w:r>
            <w:fldChar w:fldCharType="separate"/>
          </w:r>
          <w:r>
            <w:rPr>
              <w:rFonts w:ascii="Times New Roman" w:hAnsi="Times New Roman" w:eastAsia="Times New Roman" w:cs="Times New Roman"/>
              <w:b/>
              <w:bCs/>
              <w:spacing w:val="-4"/>
              <w:sz w:val="21"/>
              <w:szCs w:val="21"/>
            </w:rPr>
            <w:t>10.7</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暂估价</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197</w:t>
          </w:r>
          <w:r>
            <w:rPr>
              <w:rFonts w:ascii="Calibri" w:hAnsi="Calibri" w:eastAsia="Calibri" w:cs="Calibri"/>
              <w:spacing w:val="1"/>
              <w:sz w:val="21"/>
              <w:szCs w:val="21"/>
            </w:rPr>
            <w:fldChar w:fldCharType="end"/>
          </w:r>
        </w:p>
        <w:p w14:paraId="51F4C1C8">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"bookmark484" </w:instrText>
          </w:r>
          <w:r>
            <w:fldChar w:fldCharType="separate"/>
          </w:r>
          <w:r>
            <w:rPr>
              <w:rFonts w:ascii="Times New Roman" w:hAnsi="Times New Roman" w:eastAsia="Times New Roman" w:cs="Times New Roman"/>
              <w:b/>
              <w:bCs/>
              <w:spacing w:val="-4"/>
              <w:sz w:val="21"/>
              <w:szCs w:val="21"/>
            </w:rPr>
            <w:t>10.8</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暂列金额</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197</w:t>
          </w:r>
          <w:r>
            <w:rPr>
              <w:rFonts w:ascii="Calibri" w:hAnsi="Calibri" w:eastAsia="Calibri" w:cs="Calibri"/>
              <w:spacing w:val="1"/>
              <w:sz w:val="21"/>
              <w:szCs w:val="21"/>
            </w:rPr>
            <w:fldChar w:fldCharType="end"/>
          </w:r>
        </w:p>
        <w:p w14:paraId="33611DF4">
          <w:pPr>
            <w:tabs>
              <w:tab w:val="right" w:leader="dot" w:pos="8322"/>
            </w:tabs>
            <w:spacing w:before="81" w:line="205" w:lineRule="auto"/>
            <w:ind w:left="450"/>
            <w:rPr>
              <w:rFonts w:ascii="Calibri" w:hAnsi="Calibri" w:eastAsia="Calibri" w:cs="Calibri"/>
              <w:sz w:val="21"/>
              <w:szCs w:val="21"/>
            </w:rPr>
          </w:pPr>
          <w:r>
            <w:fldChar w:fldCharType="begin"/>
          </w:r>
          <w:r>
            <w:instrText xml:space="preserve"> HYPERLINK \l "bookmark485" </w:instrText>
          </w:r>
          <w:r>
            <w:fldChar w:fldCharType="separate"/>
          </w:r>
          <w:r>
            <w:rPr>
              <w:rFonts w:ascii="Times New Roman" w:hAnsi="Times New Roman" w:eastAsia="Times New Roman" w:cs="Times New Roman"/>
              <w:b/>
              <w:bCs/>
              <w:spacing w:val="-7"/>
              <w:sz w:val="21"/>
              <w:szCs w:val="21"/>
            </w:rPr>
            <w:t>11.</w:t>
          </w:r>
          <w:r>
            <w:rPr>
              <w:rFonts w:ascii="Times New Roman" w:hAnsi="Times New Roman" w:eastAsia="Times New Roman" w:cs="Times New Roman"/>
              <w:b/>
              <w:bCs/>
              <w:spacing w:val="9"/>
              <w:sz w:val="21"/>
              <w:szCs w:val="21"/>
            </w:rPr>
            <w:t xml:space="preserve">  </w:t>
          </w:r>
          <w:r>
            <w:rPr>
              <w:rFonts w:ascii="黑体" w:hAnsi="黑体" w:eastAsia="黑体" w:cs="黑体"/>
              <w:b/>
              <w:bCs/>
              <w:spacing w:val="-7"/>
              <w:sz w:val="21"/>
              <w:szCs w:val="21"/>
            </w:rPr>
            <w:t>价格调整</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197</w:t>
          </w:r>
          <w:r>
            <w:rPr>
              <w:rFonts w:ascii="Calibri" w:hAnsi="Calibri" w:eastAsia="Calibri" w:cs="Calibri"/>
              <w:spacing w:val="1"/>
              <w:sz w:val="21"/>
              <w:szCs w:val="21"/>
            </w:rPr>
            <w:fldChar w:fldCharType="end"/>
          </w:r>
        </w:p>
        <w:p w14:paraId="250D4683">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"bookmark486" </w:instrText>
          </w:r>
          <w:r>
            <w:fldChar w:fldCharType="separate"/>
          </w:r>
          <w:r>
            <w:rPr>
              <w:rFonts w:ascii="Times New Roman" w:hAnsi="Times New Roman" w:eastAsia="Times New Roman" w:cs="Times New Roman"/>
              <w:b/>
              <w:bCs/>
              <w:spacing w:val="-3"/>
              <w:sz w:val="21"/>
              <w:szCs w:val="21"/>
            </w:rPr>
            <w:t xml:space="preserve">11.1  </w:t>
          </w:r>
          <w:r>
            <w:rPr>
              <w:rFonts w:ascii="黑体" w:hAnsi="黑体" w:eastAsia="黑体" w:cs="黑体"/>
              <w:b/>
              <w:bCs/>
              <w:spacing w:val="-3"/>
              <w:sz w:val="21"/>
              <w:szCs w:val="21"/>
            </w:rPr>
            <w:t>市场价格波动引起的调整</w:t>
          </w:r>
          <w:r>
            <w:rPr>
              <w:rFonts w:ascii="黑体" w:hAnsi="黑体" w:eastAsia="黑体" w:cs="黑体"/>
              <w:spacing w:val="-3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197</w:t>
          </w:r>
          <w:r>
            <w:rPr>
              <w:rFonts w:ascii="Calibri" w:hAnsi="Calibri" w:eastAsia="Calibri" w:cs="Calibri"/>
              <w:spacing w:val="1"/>
              <w:sz w:val="21"/>
              <w:szCs w:val="21"/>
            </w:rPr>
            <w:fldChar w:fldCharType="end"/>
          </w:r>
        </w:p>
        <w:p w14:paraId="522A3A1C">
          <w:pPr>
            <w:tabs>
              <w:tab w:val="right" w:leader="dot" w:pos="8322"/>
            </w:tabs>
            <w:spacing w:before="81" w:line="205" w:lineRule="auto"/>
            <w:ind w:left="450"/>
            <w:rPr>
              <w:rFonts w:ascii="Calibri" w:hAnsi="Calibri" w:eastAsia="Calibri" w:cs="Calibri"/>
              <w:sz w:val="21"/>
              <w:szCs w:val="21"/>
            </w:rPr>
          </w:pPr>
          <w:r>
            <w:fldChar w:fldCharType="begin"/>
          </w:r>
          <w:r>
            <w:instrText xml:space="preserve"> HYPERLINK \l "bookmark487" </w:instrText>
          </w:r>
          <w:r>
            <w:fldChar w:fldCharType="separate"/>
          </w:r>
          <w:r>
            <w:rPr>
              <w:rFonts w:ascii="Times New Roman" w:hAnsi="Times New Roman" w:eastAsia="Times New Roman" w:cs="Times New Roman"/>
              <w:b/>
              <w:bCs/>
              <w:spacing w:val="-2"/>
              <w:sz w:val="21"/>
              <w:szCs w:val="21"/>
            </w:rPr>
            <w:t xml:space="preserve">12.  </w:t>
          </w:r>
          <w:r>
            <w:rPr>
              <w:rFonts w:ascii="黑体" w:hAnsi="黑体" w:eastAsia="黑体" w:cs="黑体"/>
              <w:b/>
              <w:bCs/>
              <w:spacing w:val="-2"/>
              <w:sz w:val="21"/>
              <w:szCs w:val="21"/>
            </w:rPr>
            <w:t>合同价格、计量与支付</w:t>
          </w:r>
          <w:r>
            <w:rPr>
              <w:rFonts w:ascii="黑体" w:hAnsi="黑体" w:eastAsia="黑体" w:cs="黑体"/>
              <w:spacing w:val="-4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198</w:t>
          </w:r>
          <w:r>
            <w:rPr>
              <w:rFonts w:ascii="Calibri" w:hAnsi="Calibri" w:eastAsia="Calibri" w:cs="Calibri"/>
              <w:spacing w:val="2"/>
              <w:sz w:val="21"/>
              <w:szCs w:val="21"/>
            </w:rPr>
            <w:fldChar w:fldCharType="end"/>
          </w:r>
        </w:p>
        <w:p w14:paraId="12CB278F">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"bookmark488" </w:instrText>
          </w:r>
          <w:r>
            <w:fldChar w:fldCharType="separate"/>
          </w:r>
          <w:r>
            <w:rPr>
              <w:rFonts w:ascii="Times New Roman" w:hAnsi="Times New Roman" w:eastAsia="Times New Roman" w:cs="Times New Roman"/>
              <w:b/>
              <w:bCs/>
              <w:spacing w:val="-2"/>
              <w:sz w:val="21"/>
              <w:szCs w:val="21"/>
            </w:rPr>
            <w:t xml:space="preserve">12.1  </w:t>
          </w:r>
          <w:r>
            <w:rPr>
              <w:rFonts w:ascii="黑体" w:hAnsi="黑体" w:eastAsia="黑体" w:cs="黑体"/>
              <w:b/>
              <w:bCs/>
              <w:spacing w:val="-2"/>
              <w:sz w:val="21"/>
              <w:szCs w:val="21"/>
            </w:rPr>
            <w:t>合同价格形式</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198</w:t>
          </w:r>
          <w:r>
            <w:rPr>
              <w:rFonts w:ascii="Calibri" w:hAnsi="Calibri" w:eastAsia="Calibri" w:cs="Calibri"/>
              <w:spacing w:val="2"/>
              <w:sz w:val="21"/>
              <w:szCs w:val="21"/>
            </w:rPr>
            <w:fldChar w:fldCharType="end"/>
          </w:r>
        </w:p>
        <w:p w14:paraId="2DC8C8B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"bookmark489" </w:instrText>
          </w:r>
          <w:r>
            <w:fldChar w:fldCharType="separate"/>
          </w:r>
          <w:r>
            <w:rPr>
              <w:rFonts w:ascii="Times New Roman" w:hAnsi="Times New Roman" w:eastAsia="Times New Roman" w:cs="Times New Roman"/>
              <w:b/>
              <w:bCs/>
              <w:spacing w:val="-4"/>
              <w:sz w:val="21"/>
              <w:szCs w:val="21"/>
            </w:rPr>
            <w:t>12.2</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预付款</w:t>
          </w:r>
          <w:r>
            <w:rPr>
              <w:rFonts w:ascii="黑体" w:hAnsi="黑体" w:eastAsia="黑体" w:cs="黑体"/>
              <w:spacing w:val="-5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198</w:t>
          </w:r>
          <w:r>
            <w:rPr>
              <w:rFonts w:ascii="Calibri" w:hAnsi="Calibri" w:eastAsia="Calibri" w:cs="Calibri"/>
              <w:spacing w:val="1"/>
              <w:sz w:val="21"/>
              <w:szCs w:val="21"/>
            </w:rPr>
            <w:fldChar w:fldCharType="end"/>
          </w:r>
        </w:p>
        <w:p w14:paraId="7FA5D0CE">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"bookmark490" </w:instrText>
          </w:r>
          <w:r>
            <w:fldChar w:fldCharType="separate"/>
          </w:r>
          <w:r>
            <w:rPr>
              <w:rFonts w:ascii="Times New Roman" w:hAnsi="Times New Roman" w:eastAsia="Times New Roman" w:cs="Times New Roman"/>
              <w:b/>
              <w:bCs/>
              <w:spacing w:val="-4"/>
              <w:sz w:val="21"/>
              <w:szCs w:val="21"/>
            </w:rPr>
            <w:t>12.3</w:t>
          </w:r>
          <w:r>
            <w:rPr>
              <w:rFonts w:ascii="Times New Roman" w:hAnsi="Times New Roman" w:eastAsia="Times New Roman" w:cs="Times New Roman"/>
              <w:b/>
              <w:bCs/>
              <w:spacing w:val="6"/>
              <w:sz w:val="21"/>
              <w:szCs w:val="21"/>
            </w:rPr>
            <w:t xml:space="preserve">  </w:t>
          </w:r>
          <w:r>
            <w:rPr>
              <w:rFonts w:ascii="黑体" w:hAnsi="黑体" w:eastAsia="黑体" w:cs="黑体"/>
              <w:b/>
              <w:bCs/>
              <w:spacing w:val="-4"/>
              <w:sz w:val="21"/>
              <w:szCs w:val="21"/>
            </w:rPr>
            <w:t>计量</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199</w:t>
          </w:r>
          <w:r>
            <w:rPr>
              <w:rFonts w:ascii="Calibri" w:hAnsi="Calibri" w:eastAsia="Calibri" w:cs="Calibri"/>
              <w:spacing w:val="1"/>
              <w:sz w:val="21"/>
              <w:szCs w:val="21"/>
            </w:rPr>
            <w:fldChar w:fldCharType="end"/>
          </w:r>
        </w:p>
        <w:p w14:paraId="2654EEAD">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"bookmark491" </w:instrText>
          </w:r>
          <w:r>
            <w:fldChar w:fldCharType="separate"/>
          </w:r>
          <w:r>
            <w:rPr>
              <w:rFonts w:ascii="Times New Roman" w:hAnsi="Times New Roman" w:eastAsia="Times New Roman" w:cs="Times New Roman"/>
              <w:b/>
              <w:bCs/>
              <w:spacing w:val="-2"/>
              <w:sz w:val="21"/>
              <w:szCs w:val="21"/>
            </w:rPr>
            <w:t xml:space="preserve">12.4  </w:t>
          </w:r>
          <w:r>
            <w:rPr>
              <w:rFonts w:ascii="黑体" w:hAnsi="黑体" w:eastAsia="黑体" w:cs="黑体"/>
              <w:b/>
              <w:bCs/>
              <w:spacing w:val="-2"/>
              <w:sz w:val="21"/>
              <w:szCs w:val="21"/>
            </w:rPr>
            <w:t>工程进度款支付</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199</w:t>
          </w:r>
          <w:r>
            <w:rPr>
              <w:rFonts w:ascii="Calibri" w:hAnsi="Calibri" w:eastAsia="Calibri" w:cs="Calibri"/>
              <w:spacing w:val="2"/>
              <w:sz w:val="21"/>
              <w:szCs w:val="21"/>
            </w:rPr>
            <w:fldChar w:fldCharType="end"/>
          </w:r>
        </w:p>
        <w:p w14:paraId="6621CBC6">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"bookmark492" </w:instrText>
          </w:r>
          <w:r>
            <w:fldChar w:fldCharType="separate"/>
          </w:r>
          <w:r>
            <w:rPr>
              <w:rFonts w:ascii="Times New Roman" w:hAnsi="Times New Roman" w:eastAsia="Times New Roman" w:cs="Times New Roman"/>
              <w:b/>
              <w:bCs/>
              <w:spacing w:val="-2"/>
              <w:sz w:val="21"/>
              <w:szCs w:val="21"/>
            </w:rPr>
            <w:t xml:space="preserve">13.  </w:t>
          </w:r>
          <w:r>
            <w:rPr>
              <w:rFonts w:ascii="黑体" w:hAnsi="黑体" w:eastAsia="黑体" w:cs="黑体"/>
              <w:b/>
              <w:bCs/>
              <w:spacing w:val="-2"/>
              <w:sz w:val="21"/>
              <w:szCs w:val="21"/>
            </w:rPr>
            <w:t>验收和工程试车</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200</w:t>
          </w:r>
          <w:r>
            <w:rPr>
              <w:rFonts w:ascii="Calibri" w:hAnsi="Calibri" w:eastAsia="Calibri" w:cs="Calibri"/>
              <w:spacing w:val="2"/>
              <w:sz w:val="21"/>
              <w:szCs w:val="21"/>
            </w:rPr>
            <w:fldChar w:fldCharType="end"/>
          </w:r>
        </w:p>
        <w:p w14:paraId="7659A8E4">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"bookmark493" </w:instrText>
          </w:r>
          <w:r>
            <w:fldChar w:fldCharType="separate"/>
          </w:r>
          <w:r>
            <w:rPr>
              <w:rFonts w:ascii="Times New Roman" w:hAnsi="Times New Roman" w:eastAsia="Times New Roman" w:cs="Times New Roman"/>
              <w:b/>
              <w:bCs/>
              <w:spacing w:val="-2"/>
              <w:sz w:val="21"/>
              <w:szCs w:val="21"/>
            </w:rPr>
            <w:t xml:space="preserve">13.1  </w:t>
          </w:r>
          <w:r>
            <w:rPr>
              <w:rFonts w:ascii="黑体" w:hAnsi="黑体" w:eastAsia="黑体" w:cs="黑体"/>
              <w:b/>
              <w:bCs/>
              <w:spacing w:val="-2"/>
              <w:sz w:val="21"/>
              <w:szCs w:val="21"/>
            </w:rPr>
            <w:t>分部分项工程验收</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200</w:t>
          </w:r>
          <w:r>
            <w:rPr>
              <w:rFonts w:ascii="Calibri" w:hAnsi="Calibri" w:eastAsia="Calibri" w:cs="Calibri"/>
              <w:spacing w:val="2"/>
              <w:sz w:val="21"/>
              <w:szCs w:val="21"/>
            </w:rPr>
            <w:fldChar w:fldCharType="end"/>
          </w:r>
        </w:p>
        <w:p w14:paraId="0FC7381B">
          <w:pPr>
            <w:tabs>
              <w:tab w:val="right" w:leader="dot" w:pos="8322"/>
            </w:tabs>
            <w:spacing w:before="81" w:line="205" w:lineRule="auto"/>
            <w:ind w:left="870"/>
            <w:rPr>
              <w:rFonts w:ascii="Calibri" w:hAnsi="Calibri" w:eastAsia="Calibri" w:cs="Calibri"/>
              <w:sz w:val="21"/>
              <w:szCs w:val="21"/>
            </w:rPr>
          </w:pPr>
          <w:r>
            <w:fldChar w:fldCharType="begin"/>
          </w:r>
          <w:r>
            <w:instrText xml:space="preserve"> HYPERLINK \l "bookmark494" </w:instrText>
          </w:r>
          <w:r>
            <w:fldChar w:fldCharType="separate"/>
          </w:r>
          <w:r>
            <w:rPr>
              <w:rFonts w:ascii="Times New Roman" w:hAnsi="Times New Roman" w:eastAsia="Times New Roman" w:cs="Times New Roman"/>
              <w:b/>
              <w:bCs/>
              <w:spacing w:val="-2"/>
              <w:sz w:val="21"/>
              <w:szCs w:val="21"/>
            </w:rPr>
            <w:t xml:space="preserve">13.2  </w:t>
          </w:r>
          <w:r>
            <w:rPr>
              <w:rFonts w:ascii="黑体" w:hAnsi="黑体" w:eastAsia="黑体" w:cs="黑体"/>
              <w:b/>
              <w:bCs/>
              <w:spacing w:val="-2"/>
              <w:sz w:val="21"/>
              <w:szCs w:val="21"/>
            </w:rPr>
            <w:t>竣工验收</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200</w:t>
          </w:r>
          <w:r>
            <w:rPr>
              <w:rFonts w:ascii="Calibri" w:hAnsi="Calibri" w:eastAsia="Calibri" w:cs="Calibri"/>
              <w:spacing w:val="1"/>
              <w:sz w:val="21"/>
              <w:szCs w:val="21"/>
            </w:rPr>
            <w:fldChar w:fldCharType="end"/>
          </w:r>
        </w:p>
        <w:p w14:paraId="5152C270">
          <w:pPr>
            <w:tabs>
              <w:tab w:val="right" w:leader="dot" w:pos="8322"/>
            </w:tabs>
            <w:spacing w:before="83" w:line="205" w:lineRule="auto"/>
            <w:ind w:left="870"/>
            <w:rPr>
              <w:rFonts w:ascii="Calibri" w:hAnsi="Calibri" w:eastAsia="Calibri" w:cs="Calibri"/>
              <w:sz w:val="21"/>
              <w:szCs w:val="21"/>
            </w:rPr>
          </w:pPr>
          <w:r>
            <w:fldChar w:fldCharType="begin"/>
          </w:r>
          <w:r>
            <w:instrText xml:space="preserve"> HYPERLINK \l "bookmark495" </w:instrText>
          </w:r>
          <w:r>
            <w:fldChar w:fldCharType="separate"/>
          </w:r>
          <w:r>
            <w:rPr>
              <w:rFonts w:ascii="Times New Roman" w:hAnsi="Times New Roman" w:eastAsia="Times New Roman" w:cs="Times New Roman"/>
              <w:b/>
              <w:bCs/>
              <w:spacing w:val="-2"/>
              <w:sz w:val="21"/>
              <w:szCs w:val="21"/>
            </w:rPr>
            <w:t xml:space="preserve">13.3  </w:t>
          </w:r>
          <w:r>
            <w:rPr>
              <w:rFonts w:ascii="黑体" w:hAnsi="黑体" w:eastAsia="黑体" w:cs="黑体"/>
              <w:b/>
              <w:bCs/>
              <w:spacing w:val="-2"/>
              <w:sz w:val="21"/>
              <w:szCs w:val="21"/>
            </w:rPr>
            <w:t>工程试车</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201</w:t>
          </w:r>
          <w:r>
            <w:rPr>
              <w:rFonts w:ascii="Calibri" w:hAnsi="Calibri" w:eastAsia="Calibri" w:cs="Calibri"/>
              <w:spacing w:val="1"/>
              <w:sz w:val="21"/>
              <w:szCs w:val="21"/>
            </w:rPr>
            <w:fldChar w:fldCharType="end"/>
          </w:r>
        </w:p>
        <w:p w14:paraId="6883179E">
          <w:pPr>
            <w:tabs>
              <w:tab w:val="right" w:leader="dot" w:pos="8322"/>
            </w:tabs>
            <w:spacing w:before="67" w:line="205" w:lineRule="auto"/>
            <w:ind w:left="870"/>
            <w:rPr>
              <w:rFonts w:ascii="Calibri" w:hAnsi="Calibri" w:eastAsia="Calibri" w:cs="Calibri"/>
              <w:sz w:val="21"/>
              <w:szCs w:val="21"/>
            </w:rPr>
          </w:pPr>
          <w:r>
            <w:fldChar w:fldCharType="begin"/>
          </w:r>
          <w:r>
            <w:instrText xml:space="preserve"> HYPERLINK \l "bookmark496" </w:instrText>
          </w:r>
          <w:r>
            <w:fldChar w:fldCharType="separate"/>
          </w:r>
          <w:r>
            <w:rPr>
              <w:rFonts w:ascii="Times New Roman" w:hAnsi="Times New Roman" w:eastAsia="Times New Roman" w:cs="Times New Roman"/>
              <w:b/>
              <w:bCs/>
              <w:spacing w:val="-2"/>
              <w:sz w:val="21"/>
              <w:szCs w:val="21"/>
            </w:rPr>
            <w:t xml:space="preserve">13.6  </w:t>
          </w:r>
          <w:r>
            <w:rPr>
              <w:rFonts w:ascii="黑体" w:hAnsi="黑体" w:eastAsia="黑体" w:cs="黑体"/>
              <w:b/>
              <w:bCs/>
              <w:spacing w:val="-2"/>
              <w:sz w:val="21"/>
              <w:szCs w:val="21"/>
            </w:rPr>
            <w:t>竣工退场</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201</w:t>
          </w:r>
          <w:r>
            <w:rPr>
              <w:rFonts w:ascii="Calibri" w:hAnsi="Calibri" w:eastAsia="Calibri" w:cs="Calibri"/>
              <w:spacing w:val="1"/>
              <w:sz w:val="21"/>
              <w:szCs w:val="21"/>
            </w:rPr>
            <w:fldChar w:fldCharType="end"/>
          </w:r>
        </w:p>
        <w:p w14:paraId="687B75E6">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"bookmark497" </w:instrText>
          </w:r>
          <w:r>
            <w:fldChar w:fldCharType="separate"/>
          </w:r>
          <w:r>
            <w:rPr>
              <w:rFonts w:ascii="Times New Roman" w:hAnsi="Times New Roman" w:eastAsia="Times New Roman" w:cs="Times New Roman"/>
              <w:b/>
              <w:bCs/>
              <w:spacing w:val="-4"/>
              <w:sz w:val="21"/>
              <w:szCs w:val="21"/>
            </w:rPr>
            <w:t>14.</w:t>
          </w:r>
          <w:r>
            <w:rPr>
              <w:rFonts w:ascii="Times New Roman" w:hAnsi="Times New Roman" w:eastAsia="Times New Roman" w:cs="Times New Roman"/>
              <w:b/>
              <w:bCs/>
              <w:spacing w:val="7"/>
              <w:sz w:val="21"/>
              <w:szCs w:val="21"/>
            </w:rPr>
            <w:t xml:space="preserve">  </w:t>
          </w:r>
          <w:r>
            <w:rPr>
              <w:rFonts w:ascii="黑体" w:hAnsi="黑体" w:eastAsia="黑体" w:cs="黑体"/>
              <w:b/>
              <w:bCs/>
              <w:spacing w:val="-4"/>
              <w:sz w:val="21"/>
              <w:szCs w:val="21"/>
            </w:rPr>
            <w:t>竣工结算</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201</w:t>
          </w:r>
          <w:r>
            <w:rPr>
              <w:rFonts w:ascii="Calibri" w:hAnsi="Calibri" w:eastAsia="Calibri" w:cs="Calibri"/>
              <w:spacing w:val="1"/>
              <w:sz w:val="21"/>
              <w:szCs w:val="21"/>
            </w:rPr>
            <w:fldChar w:fldCharType="end"/>
          </w:r>
        </w:p>
        <w:p w14:paraId="7B04F38E">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"bookmark498" </w:instrText>
          </w:r>
          <w:r>
            <w:fldChar w:fldCharType="separate"/>
          </w:r>
          <w:r>
            <w:rPr>
              <w:rFonts w:ascii="Times New Roman" w:hAnsi="Times New Roman" w:eastAsia="Times New Roman" w:cs="Times New Roman"/>
              <w:b/>
              <w:bCs/>
              <w:spacing w:val="-2"/>
              <w:sz w:val="21"/>
              <w:szCs w:val="21"/>
            </w:rPr>
            <w:t xml:space="preserve">14.1  </w:t>
          </w:r>
          <w:r>
            <w:rPr>
              <w:rFonts w:ascii="黑体" w:hAnsi="黑体" w:eastAsia="黑体" w:cs="黑体"/>
              <w:b/>
              <w:bCs/>
              <w:spacing w:val="-2"/>
              <w:sz w:val="21"/>
              <w:szCs w:val="21"/>
            </w:rPr>
            <w:t>竣工结算申请</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201</w:t>
          </w:r>
          <w:r>
            <w:rPr>
              <w:rFonts w:ascii="Calibri" w:hAnsi="Calibri" w:eastAsia="Calibri" w:cs="Calibri"/>
              <w:spacing w:val="2"/>
              <w:sz w:val="21"/>
              <w:szCs w:val="21"/>
            </w:rPr>
            <w:fldChar w:fldCharType="end"/>
          </w:r>
        </w:p>
        <w:p w14:paraId="11B6FA9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"bookmark499" </w:instrText>
          </w:r>
          <w:r>
            <w:fldChar w:fldCharType="separate"/>
          </w:r>
          <w:r>
            <w:rPr>
              <w:rFonts w:ascii="Times New Roman" w:hAnsi="Times New Roman" w:eastAsia="Times New Roman" w:cs="Times New Roman"/>
              <w:b/>
              <w:bCs/>
              <w:spacing w:val="-2"/>
              <w:sz w:val="21"/>
              <w:szCs w:val="21"/>
            </w:rPr>
            <w:t xml:space="preserve">14.2  </w:t>
          </w:r>
          <w:r>
            <w:rPr>
              <w:rFonts w:ascii="黑体" w:hAnsi="黑体" w:eastAsia="黑体" w:cs="黑体"/>
              <w:b/>
              <w:bCs/>
              <w:spacing w:val="-2"/>
              <w:sz w:val="21"/>
              <w:szCs w:val="21"/>
            </w:rPr>
            <w:t>竣工结算审核</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201</w:t>
          </w:r>
          <w:r>
            <w:rPr>
              <w:rFonts w:ascii="Calibri" w:hAnsi="Calibri" w:eastAsia="Calibri" w:cs="Calibri"/>
              <w:spacing w:val="2"/>
              <w:sz w:val="21"/>
              <w:szCs w:val="21"/>
            </w:rPr>
            <w:fldChar w:fldCharType="end"/>
          </w:r>
        </w:p>
        <w:p w14:paraId="3186C3BC">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"bookmark500" </w:instrText>
          </w:r>
          <w:r>
            <w:fldChar w:fldCharType="separate"/>
          </w:r>
          <w:r>
            <w:rPr>
              <w:rFonts w:ascii="Times New Roman" w:hAnsi="Times New Roman" w:eastAsia="Times New Roman" w:cs="Times New Roman"/>
              <w:b/>
              <w:bCs/>
              <w:spacing w:val="-4"/>
              <w:sz w:val="21"/>
              <w:szCs w:val="21"/>
            </w:rPr>
            <w:t>14.4</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最终结清</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202</w:t>
          </w:r>
          <w:r>
            <w:rPr>
              <w:rFonts w:ascii="Calibri" w:hAnsi="Calibri" w:eastAsia="Calibri" w:cs="Calibri"/>
              <w:spacing w:val="1"/>
              <w:sz w:val="21"/>
              <w:szCs w:val="21"/>
            </w:rPr>
            <w:fldChar w:fldCharType="end"/>
          </w:r>
        </w:p>
        <w:p w14:paraId="793EC5BF">
          <w:pPr>
            <w:tabs>
              <w:tab w:val="right" w:leader="dot" w:pos="8322"/>
            </w:tabs>
            <w:spacing w:before="67" w:line="205" w:lineRule="auto"/>
            <w:ind w:left="450"/>
            <w:rPr>
              <w:rFonts w:ascii="Calibri" w:hAnsi="Calibri" w:eastAsia="Calibri" w:cs="Calibri"/>
              <w:sz w:val="21"/>
              <w:szCs w:val="21"/>
            </w:rPr>
          </w:pPr>
          <w:r>
            <w:fldChar w:fldCharType="begin"/>
          </w:r>
          <w:r>
            <w:instrText xml:space="preserve"> HYPERLINK \l "bookmark501" </w:instrText>
          </w:r>
          <w:r>
            <w:fldChar w:fldCharType="separate"/>
          </w:r>
          <w:r>
            <w:rPr>
              <w:rFonts w:ascii="Times New Roman" w:hAnsi="Times New Roman" w:eastAsia="Times New Roman" w:cs="Times New Roman"/>
              <w:b/>
              <w:bCs/>
              <w:spacing w:val="-2"/>
              <w:sz w:val="21"/>
              <w:szCs w:val="21"/>
            </w:rPr>
            <w:t xml:space="preserve">15.  </w:t>
          </w:r>
          <w:r>
            <w:rPr>
              <w:rFonts w:ascii="黑体" w:hAnsi="黑体" w:eastAsia="黑体" w:cs="黑体"/>
              <w:b/>
              <w:bCs/>
              <w:spacing w:val="-2"/>
              <w:sz w:val="21"/>
              <w:szCs w:val="21"/>
            </w:rPr>
            <w:t>缺陷责任期与保修</w:t>
          </w:r>
          <w:r>
            <w:rPr>
              <w:rFonts w:ascii="黑体" w:hAnsi="黑体" w:eastAsia="黑体" w:cs="黑体"/>
              <w:spacing w:val="-4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202</w:t>
          </w:r>
          <w:r>
            <w:rPr>
              <w:rFonts w:ascii="Calibri" w:hAnsi="Calibri" w:eastAsia="Calibri" w:cs="Calibri"/>
              <w:spacing w:val="2"/>
              <w:sz w:val="21"/>
              <w:szCs w:val="21"/>
            </w:rPr>
            <w:fldChar w:fldCharType="end"/>
          </w:r>
        </w:p>
        <w:p w14:paraId="26AA313D">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"bookmark502" </w:instrText>
          </w:r>
          <w:r>
            <w:fldChar w:fldCharType="separate"/>
          </w:r>
          <w:r>
            <w:rPr>
              <w:rFonts w:ascii="Times New Roman" w:hAnsi="Times New Roman" w:eastAsia="Times New Roman" w:cs="Times New Roman"/>
              <w:b/>
              <w:bCs/>
              <w:spacing w:val="-3"/>
              <w:sz w:val="21"/>
              <w:szCs w:val="21"/>
            </w:rPr>
            <w:t xml:space="preserve">15.2 </w:t>
          </w:r>
          <w:r>
            <w:rPr>
              <w:rFonts w:ascii="黑体" w:hAnsi="黑体" w:eastAsia="黑体" w:cs="黑体"/>
              <w:b/>
              <w:bCs/>
              <w:spacing w:val="-3"/>
              <w:sz w:val="21"/>
              <w:szCs w:val="21"/>
            </w:rPr>
            <w:t>缺陷责任期</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202</w:t>
          </w:r>
          <w:r>
            <w:rPr>
              <w:rFonts w:ascii="Calibri" w:hAnsi="Calibri" w:eastAsia="Calibri" w:cs="Calibri"/>
              <w:spacing w:val="2"/>
              <w:sz w:val="21"/>
              <w:szCs w:val="21"/>
            </w:rPr>
            <w:fldChar w:fldCharType="end"/>
          </w:r>
        </w:p>
        <w:p w14:paraId="6032EE22">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"bookmark503" </w:instrText>
          </w:r>
          <w:r>
            <w:fldChar w:fldCharType="separate"/>
          </w:r>
          <w:r>
            <w:rPr>
              <w:rFonts w:ascii="Times New Roman" w:hAnsi="Times New Roman" w:eastAsia="Times New Roman" w:cs="Times New Roman"/>
              <w:b/>
              <w:bCs/>
              <w:spacing w:val="-2"/>
              <w:sz w:val="21"/>
              <w:szCs w:val="21"/>
            </w:rPr>
            <w:t xml:space="preserve">15.3  </w:t>
          </w:r>
          <w:r>
            <w:rPr>
              <w:rFonts w:ascii="黑体" w:hAnsi="黑体" w:eastAsia="黑体" w:cs="黑体"/>
              <w:b/>
              <w:bCs/>
              <w:spacing w:val="-2"/>
              <w:sz w:val="21"/>
              <w:szCs w:val="21"/>
            </w:rPr>
            <w:t>质量保证金</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202</w:t>
          </w:r>
          <w:r>
            <w:rPr>
              <w:rFonts w:ascii="Calibri" w:hAnsi="Calibri" w:eastAsia="Calibri" w:cs="Calibri"/>
              <w:spacing w:val="2"/>
              <w:sz w:val="21"/>
              <w:szCs w:val="21"/>
            </w:rPr>
            <w:fldChar w:fldCharType="end"/>
          </w:r>
        </w:p>
        <w:p w14:paraId="031D51E5">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"bookmark504" </w:instrText>
          </w:r>
          <w:r>
            <w:fldChar w:fldCharType="separate"/>
          </w:r>
          <w:r>
            <w:rPr>
              <w:rFonts w:ascii="Times New Roman" w:hAnsi="Times New Roman" w:eastAsia="Times New Roman" w:cs="Times New Roman"/>
              <w:b/>
              <w:bCs/>
              <w:spacing w:val="-3"/>
              <w:sz w:val="21"/>
              <w:szCs w:val="21"/>
            </w:rPr>
            <w:t xml:space="preserve">15.4 </w:t>
          </w:r>
          <w:r>
            <w:rPr>
              <w:rFonts w:ascii="黑体" w:hAnsi="黑体" w:eastAsia="黑体" w:cs="黑体"/>
              <w:b/>
              <w:bCs/>
              <w:spacing w:val="-3"/>
              <w:sz w:val="21"/>
              <w:szCs w:val="21"/>
            </w:rPr>
            <w:t>保修</w:t>
          </w:r>
          <w:r>
            <w:rPr>
              <w:rFonts w:ascii="黑体" w:hAnsi="黑体" w:eastAsia="黑体" w:cs="黑体"/>
              <w:spacing w:val="-8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203</w:t>
          </w:r>
          <w:r>
            <w:rPr>
              <w:rFonts w:ascii="Calibri" w:hAnsi="Calibri" w:eastAsia="Calibri" w:cs="Calibri"/>
              <w:spacing w:val="1"/>
              <w:sz w:val="21"/>
              <w:szCs w:val="21"/>
            </w:rPr>
            <w:fldChar w:fldCharType="end"/>
          </w:r>
        </w:p>
        <w:p w14:paraId="76DA15A0">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"bookmark505" </w:instrText>
          </w:r>
          <w:r>
            <w:fldChar w:fldCharType="separate"/>
          </w:r>
          <w:r>
            <w:rPr>
              <w:rFonts w:ascii="Times New Roman" w:hAnsi="Times New Roman" w:eastAsia="Times New Roman" w:cs="Times New Roman"/>
              <w:b/>
              <w:bCs/>
              <w:spacing w:val="-6"/>
              <w:sz w:val="21"/>
              <w:szCs w:val="21"/>
            </w:rPr>
            <w:t>16.</w:t>
          </w:r>
          <w:r>
            <w:rPr>
              <w:rFonts w:ascii="Times New Roman" w:hAnsi="Times New Roman" w:eastAsia="Times New Roman" w:cs="Times New Roman"/>
              <w:b/>
              <w:bCs/>
              <w:spacing w:val="9"/>
              <w:sz w:val="21"/>
              <w:szCs w:val="21"/>
            </w:rPr>
            <w:t xml:space="preserve">  </w:t>
          </w:r>
          <w:r>
            <w:rPr>
              <w:rFonts w:ascii="黑体" w:hAnsi="黑体" w:eastAsia="黑体" w:cs="黑体"/>
              <w:b/>
              <w:bCs/>
              <w:spacing w:val="-6"/>
              <w:sz w:val="21"/>
              <w:szCs w:val="21"/>
            </w:rPr>
            <w:t>违约</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203</w:t>
          </w:r>
          <w:r>
            <w:rPr>
              <w:rFonts w:ascii="Calibri" w:hAnsi="Calibri" w:eastAsia="Calibri" w:cs="Calibri"/>
              <w:spacing w:val="1"/>
              <w:sz w:val="21"/>
              <w:szCs w:val="21"/>
            </w:rPr>
            <w:fldChar w:fldCharType="end"/>
          </w:r>
        </w:p>
        <w:p w14:paraId="6DCD7153">
          <w:pPr>
            <w:tabs>
              <w:tab w:val="right" w:leader="dot" w:pos="8322"/>
            </w:tabs>
            <w:spacing w:before="68" w:line="205" w:lineRule="auto"/>
            <w:ind w:left="870"/>
            <w:rPr>
              <w:rFonts w:ascii="Calibri" w:hAnsi="Calibri" w:eastAsia="Calibri" w:cs="Calibri"/>
              <w:sz w:val="21"/>
              <w:szCs w:val="21"/>
            </w:rPr>
          </w:pPr>
          <w:r>
            <w:fldChar w:fldCharType="begin"/>
          </w:r>
          <w:r>
            <w:instrText xml:space="preserve"> HYPERLINK \l "bookmark506" </w:instrText>
          </w:r>
          <w:r>
            <w:fldChar w:fldCharType="separate"/>
          </w:r>
          <w:r>
            <w:rPr>
              <w:rFonts w:ascii="Times New Roman" w:hAnsi="Times New Roman" w:eastAsia="Times New Roman" w:cs="Times New Roman"/>
              <w:b/>
              <w:bCs/>
              <w:spacing w:val="-2"/>
              <w:sz w:val="21"/>
              <w:szCs w:val="21"/>
            </w:rPr>
            <w:t xml:space="preserve">16.1  </w:t>
          </w:r>
          <w:r>
            <w:rPr>
              <w:rFonts w:ascii="黑体" w:hAnsi="黑体" w:eastAsia="黑体" w:cs="黑体"/>
              <w:b/>
              <w:bCs/>
              <w:spacing w:val="-2"/>
              <w:sz w:val="21"/>
              <w:szCs w:val="21"/>
            </w:rPr>
            <w:t>发包人违约</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203</w:t>
          </w:r>
          <w:r>
            <w:rPr>
              <w:rFonts w:ascii="Calibri" w:hAnsi="Calibri" w:eastAsia="Calibri" w:cs="Calibri"/>
              <w:spacing w:val="2"/>
              <w:sz w:val="21"/>
              <w:szCs w:val="21"/>
            </w:rPr>
            <w:fldChar w:fldCharType="end"/>
          </w:r>
        </w:p>
        <w:p w14:paraId="42CB7B0E">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"bookmark507" </w:instrText>
          </w:r>
          <w:r>
            <w:fldChar w:fldCharType="separate"/>
          </w:r>
          <w:r>
            <w:rPr>
              <w:rFonts w:ascii="Times New Roman" w:hAnsi="Times New Roman" w:eastAsia="Times New Roman" w:cs="Times New Roman"/>
              <w:b/>
              <w:bCs/>
              <w:spacing w:val="-2"/>
              <w:sz w:val="21"/>
              <w:szCs w:val="21"/>
            </w:rPr>
            <w:t xml:space="preserve">16.2  </w:t>
          </w:r>
          <w:r>
            <w:rPr>
              <w:rFonts w:ascii="黑体" w:hAnsi="黑体" w:eastAsia="黑体" w:cs="黑体"/>
              <w:b/>
              <w:bCs/>
              <w:spacing w:val="-2"/>
              <w:sz w:val="21"/>
              <w:szCs w:val="21"/>
            </w:rPr>
            <w:t>承包人违约</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204</w:t>
          </w:r>
          <w:r>
            <w:rPr>
              <w:rFonts w:ascii="Calibri" w:hAnsi="Calibri" w:eastAsia="Calibri" w:cs="Calibri"/>
              <w:spacing w:val="2"/>
              <w:sz w:val="21"/>
              <w:szCs w:val="21"/>
            </w:rPr>
            <w:fldChar w:fldCharType="end"/>
          </w:r>
        </w:p>
        <w:p w14:paraId="4353CFF6">
          <w:pPr>
            <w:tabs>
              <w:tab w:val="right" w:leader="dot" w:pos="8322"/>
            </w:tabs>
            <w:spacing w:before="82" w:line="205" w:lineRule="auto"/>
            <w:ind w:left="450"/>
            <w:rPr>
              <w:rFonts w:ascii="Calibri" w:hAnsi="Calibri" w:eastAsia="Calibri" w:cs="Calibri"/>
              <w:sz w:val="21"/>
              <w:szCs w:val="21"/>
            </w:rPr>
          </w:pPr>
          <w:r>
            <w:fldChar w:fldCharType="begin"/>
          </w:r>
          <w:r>
            <w:instrText xml:space="preserve"> HYPERLINK \l "bookmark508" </w:instrText>
          </w:r>
          <w:r>
            <w:fldChar w:fldCharType="separate"/>
          </w:r>
          <w:r>
            <w:rPr>
              <w:rFonts w:ascii="Times New Roman" w:hAnsi="Times New Roman" w:eastAsia="Times New Roman" w:cs="Times New Roman"/>
              <w:b/>
              <w:bCs/>
              <w:spacing w:val="-5"/>
              <w:sz w:val="21"/>
              <w:szCs w:val="21"/>
            </w:rPr>
            <w:t>17.</w:t>
          </w:r>
          <w:r>
            <w:rPr>
              <w:rFonts w:ascii="Times New Roman" w:hAnsi="Times New Roman" w:eastAsia="Times New Roman" w:cs="Times New Roman"/>
              <w:b/>
              <w:bCs/>
              <w:spacing w:val="10"/>
              <w:sz w:val="21"/>
              <w:szCs w:val="21"/>
            </w:rPr>
            <w:t xml:space="preserve">  </w:t>
          </w:r>
          <w:r>
            <w:rPr>
              <w:rFonts w:ascii="黑体" w:hAnsi="黑体" w:eastAsia="黑体" w:cs="黑体"/>
              <w:b/>
              <w:bCs/>
              <w:spacing w:val="-5"/>
              <w:sz w:val="21"/>
              <w:szCs w:val="21"/>
            </w:rPr>
            <w:t>不可抗力</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204</w:t>
          </w:r>
          <w:r>
            <w:rPr>
              <w:rFonts w:ascii="Calibri" w:hAnsi="Calibri" w:eastAsia="Calibri" w:cs="Calibri"/>
              <w:spacing w:val="1"/>
              <w:sz w:val="21"/>
              <w:szCs w:val="21"/>
            </w:rPr>
            <w:fldChar w:fldCharType="end"/>
          </w:r>
        </w:p>
        <w:p w14:paraId="3F45782F">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"bookmark509" </w:instrText>
          </w:r>
          <w:r>
            <w:fldChar w:fldCharType="separate"/>
          </w:r>
          <w:r>
            <w:rPr>
              <w:rFonts w:ascii="Times New Roman" w:hAnsi="Times New Roman" w:eastAsia="Times New Roman" w:cs="Times New Roman"/>
              <w:b/>
              <w:bCs/>
              <w:spacing w:val="-2"/>
              <w:sz w:val="21"/>
              <w:szCs w:val="21"/>
            </w:rPr>
            <w:t xml:space="preserve">17.1  </w:t>
          </w:r>
          <w:r>
            <w:rPr>
              <w:rFonts w:ascii="黑体" w:hAnsi="黑体" w:eastAsia="黑体" w:cs="黑体"/>
              <w:b/>
              <w:bCs/>
              <w:spacing w:val="-2"/>
              <w:sz w:val="21"/>
              <w:szCs w:val="21"/>
            </w:rPr>
            <w:t>不可抗力的确认</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204</w:t>
          </w:r>
          <w:r>
            <w:rPr>
              <w:rFonts w:ascii="Calibri" w:hAnsi="Calibri" w:eastAsia="Calibri" w:cs="Calibri"/>
              <w:spacing w:val="2"/>
              <w:sz w:val="21"/>
              <w:szCs w:val="21"/>
            </w:rPr>
            <w:fldChar w:fldCharType="end"/>
          </w:r>
        </w:p>
        <w:p w14:paraId="0B4092E5">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"bookmark510" </w:instrText>
          </w:r>
          <w:r>
            <w:fldChar w:fldCharType="separate"/>
          </w:r>
          <w:r>
            <w:rPr>
              <w:rFonts w:ascii="Times New Roman" w:hAnsi="Times New Roman" w:eastAsia="Times New Roman" w:cs="Times New Roman"/>
              <w:b/>
              <w:bCs/>
              <w:spacing w:val="-4"/>
              <w:sz w:val="21"/>
              <w:szCs w:val="21"/>
            </w:rPr>
            <w:t>17.4</w:t>
          </w:r>
          <w:r>
            <w:rPr>
              <w:rFonts w:ascii="Times New Roman" w:hAnsi="Times New Roman" w:eastAsia="Times New Roman" w:cs="Times New Roman"/>
              <w:b/>
              <w:bCs/>
              <w:spacing w:val="14"/>
              <w:w w:val="101"/>
              <w:sz w:val="21"/>
              <w:szCs w:val="21"/>
            </w:rPr>
            <w:t xml:space="preserve">  </w:t>
          </w:r>
          <w:r>
            <w:rPr>
              <w:rFonts w:ascii="黑体" w:hAnsi="黑体" w:eastAsia="黑体" w:cs="黑体"/>
              <w:b/>
              <w:bCs/>
              <w:spacing w:val="-4"/>
              <w:sz w:val="21"/>
              <w:szCs w:val="21"/>
            </w:rPr>
            <w:t>因不可抗力解除合同</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205</w:t>
          </w:r>
          <w:r>
            <w:rPr>
              <w:rFonts w:ascii="Calibri" w:hAnsi="Calibri" w:eastAsia="Calibri" w:cs="Calibri"/>
              <w:spacing w:val="2"/>
              <w:sz w:val="21"/>
              <w:szCs w:val="21"/>
            </w:rPr>
            <w:fldChar w:fldCharType="end"/>
          </w:r>
        </w:p>
        <w:p w14:paraId="3E1BD5BF">
          <w:pPr>
            <w:tabs>
              <w:tab w:val="right" w:leader="dot" w:pos="8322"/>
            </w:tabs>
            <w:spacing w:before="67" w:line="205" w:lineRule="auto"/>
            <w:ind w:left="450"/>
            <w:rPr>
              <w:rFonts w:ascii="Calibri" w:hAnsi="Calibri" w:eastAsia="Calibri" w:cs="Calibri"/>
              <w:sz w:val="21"/>
              <w:szCs w:val="21"/>
            </w:rPr>
          </w:pPr>
          <w:r>
            <w:fldChar w:fldCharType="begin"/>
          </w:r>
          <w:r>
            <w:instrText xml:space="preserve"> HYPERLINK \l "bookmark511" </w:instrText>
          </w:r>
          <w:r>
            <w:fldChar w:fldCharType="separate"/>
          </w:r>
          <w:r>
            <w:rPr>
              <w:rFonts w:ascii="Times New Roman" w:hAnsi="Times New Roman" w:eastAsia="Times New Roman" w:cs="Times New Roman"/>
              <w:b/>
              <w:bCs/>
              <w:spacing w:val="-5"/>
              <w:sz w:val="21"/>
              <w:szCs w:val="21"/>
            </w:rPr>
            <w:t>18.</w:t>
          </w:r>
          <w:r>
            <w:rPr>
              <w:rFonts w:ascii="Times New Roman" w:hAnsi="Times New Roman" w:eastAsia="Times New Roman" w:cs="Times New Roman"/>
              <w:b/>
              <w:bCs/>
              <w:spacing w:val="7"/>
              <w:sz w:val="21"/>
              <w:szCs w:val="21"/>
            </w:rPr>
            <w:t xml:space="preserve">  </w:t>
          </w:r>
          <w:r>
            <w:rPr>
              <w:rFonts w:ascii="黑体" w:hAnsi="黑体" w:eastAsia="黑体" w:cs="黑体"/>
              <w:b/>
              <w:bCs/>
              <w:spacing w:val="-5"/>
              <w:sz w:val="21"/>
              <w:szCs w:val="21"/>
            </w:rPr>
            <w:t>保险</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205</w:t>
          </w:r>
          <w:r>
            <w:rPr>
              <w:rFonts w:ascii="Calibri" w:hAnsi="Calibri" w:eastAsia="Calibri" w:cs="Calibri"/>
              <w:spacing w:val="1"/>
              <w:sz w:val="21"/>
              <w:szCs w:val="21"/>
            </w:rPr>
            <w:fldChar w:fldCharType="end"/>
          </w:r>
        </w:p>
        <w:p w14:paraId="243E96CC">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"bookmark512" </w:instrText>
          </w:r>
          <w:r>
            <w:fldChar w:fldCharType="separate"/>
          </w:r>
          <w:r>
            <w:rPr>
              <w:rFonts w:ascii="Times New Roman" w:hAnsi="Times New Roman" w:eastAsia="Times New Roman" w:cs="Times New Roman"/>
              <w:b/>
              <w:bCs/>
              <w:spacing w:val="-2"/>
              <w:sz w:val="21"/>
              <w:szCs w:val="21"/>
            </w:rPr>
            <w:t xml:space="preserve">18.1  </w:t>
          </w:r>
          <w:r>
            <w:rPr>
              <w:rFonts w:ascii="黑体" w:hAnsi="黑体" w:eastAsia="黑体" w:cs="黑体"/>
              <w:b/>
              <w:bCs/>
              <w:spacing w:val="-2"/>
              <w:sz w:val="21"/>
              <w:szCs w:val="21"/>
            </w:rPr>
            <w:t>工程保险</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205</w:t>
          </w:r>
          <w:r>
            <w:rPr>
              <w:rFonts w:ascii="Calibri" w:hAnsi="Calibri" w:eastAsia="Calibri" w:cs="Calibri"/>
              <w:spacing w:val="1"/>
              <w:sz w:val="21"/>
              <w:szCs w:val="21"/>
            </w:rPr>
            <w:fldChar w:fldCharType="end"/>
          </w:r>
        </w:p>
        <w:p w14:paraId="239AA1BA">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"bookmark513" </w:instrText>
          </w:r>
          <w:r>
            <w:fldChar w:fldCharType="separate"/>
          </w:r>
          <w:r>
            <w:rPr>
              <w:rFonts w:ascii="Times New Roman" w:hAnsi="Times New Roman" w:eastAsia="Times New Roman" w:cs="Times New Roman"/>
              <w:b/>
              <w:bCs/>
              <w:spacing w:val="-4"/>
              <w:sz w:val="21"/>
              <w:szCs w:val="21"/>
            </w:rPr>
            <w:t>18.3</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其他保险</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205</w:t>
          </w:r>
          <w:r>
            <w:rPr>
              <w:rFonts w:ascii="Calibri" w:hAnsi="Calibri" w:eastAsia="Calibri" w:cs="Calibri"/>
              <w:spacing w:val="1"/>
              <w:sz w:val="21"/>
              <w:szCs w:val="21"/>
            </w:rPr>
            <w:fldChar w:fldCharType="end"/>
          </w:r>
        </w:p>
        <w:p w14:paraId="23520BA8">
          <w:pPr>
            <w:tabs>
              <w:tab w:val="right" w:leader="dot" w:pos="8322"/>
            </w:tabs>
            <w:spacing w:before="82" w:line="205" w:lineRule="auto"/>
            <w:ind w:left="870"/>
            <w:rPr>
              <w:rFonts w:ascii="Calibri" w:hAnsi="Calibri" w:eastAsia="Calibri" w:cs="Calibri"/>
              <w:sz w:val="21"/>
              <w:szCs w:val="21"/>
            </w:rPr>
          </w:pPr>
          <w:r>
            <w:fldChar w:fldCharType="begin"/>
          </w:r>
          <w:r>
            <w:instrText xml:space="preserve"> HYPERLINK \l "bookmark514" </w:instrText>
          </w:r>
          <w:r>
            <w:fldChar w:fldCharType="separate"/>
          </w:r>
          <w:r>
            <w:rPr>
              <w:rFonts w:ascii="Times New Roman" w:hAnsi="Times New Roman" w:eastAsia="Times New Roman" w:cs="Times New Roman"/>
              <w:b/>
              <w:bCs/>
              <w:spacing w:val="-2"/>
              <w:sz w:val="21"/>
              <w:szCs w:val="21"/>
            </w:rPr>
            <w:t xml:space="preserve">18.7  </w:t>
          </w:r>
          <w:r>
            <w:rPr>
              <w:rFonts w:ascii="黑体" w:hAnsi="黑体" w:eastAsia="黑体" w:cs="黑体"/>
              <w:b/>
              <w:bCs/>
              <w:spacing w:val="-2"/>
              <w:sz w:val="21"/>
              <w:szCs w:val="21"/>
            </w:rPr>
            <w:t>通知义务</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205</w:t>
          </w:r>
          <w:r>
            <w:rPr>
              <w:rFonts w:ascii="Calibri" w:hAnsi="Calibri" w:eastAsia="Calibri" w:cs="Calibri"/>
              <w:spacing w:val="1"/>
              <w:sz w:val="21"/>
              <w:szCs w:val="21"/>
            </w:rPr>
            <w:fldChar w:fldCharType="end"/>
          </w:r>
        </w:p>
        <w:p w14:paraId="2B2E2F7A">
          <w:pPr>
            <w:tabs>
              <w:tab w:val="right" w:leader="dot" w:pos="8322"/>
            </w:tabs>
            <w:spacing w:before="83" w:line="205" w:lineRule="auto"/>
            <w:ind w:left="441"/>
            <w:rPr>
              <w:rFonts w:ascii="Calibri" w:hAnsi="Calibri" w:eastAsia="Calibri" w:cs="Calibri"/>
              <w:sz w:val="21"/>
              <w:szCs w:val="21"/>
            </w:rPr>
          </w:pPr>
          <w:r>
            <w:fldChar w:fldCharType="begin"/>
          </w:r>
          <w:r>
            <w:instrText xml:space="preserve"> HYPERLINK \l "bookmark515" </w:instrText>
          </w:r>
          <w:r>
            <w:fldChar w:fldCharType="separate"/>
          </w:r>
          <w:r>
            <w:rPr>
              <w:rFonts w:ascii="Times New Roman" w:hAnsi="Times New Roman" w:eastAsia="Times New Roman" w:cs="Times New Roman"/>
              <w:b/>
              <w:bCs/>
              <w:spacing w:val="-4"/>
              <w:sz w:val="21"/>
              <w:szCs w:val="21"/>
            </w:rPr>
            <w:t>20.</w:t>
          </w:r>
          <w:r>
            <w:rPr>
              <w:rFonts w:ascii="Times New Roman" w:hAnsi="Times New Roman" w:eastAsia="Times New Roman" w:cs="Times New Roman"/>
              <w:b/>
              <w:bCs/>
              <w:spacing w:val="11"/>
              <w:sz w:val="21"/>
              <w:szCs w:val="21"/>
            </w:rPr>
            <w:t xml:space="preserve">  </w:t>
          </w:r>
          <w:r>
            <w:rPr>
              <w:rFonts w:ascii="黑体" w:hAnsi="黑体" w:eastAsia="黑体" w:cs="黑体"/>
              <w:b/>
              <w:bCs/>
              <w:spacing w:val="-4"/>
              <w:sz w:val="21"/>
              <w:szCs w:val="21"/>
            </w:rPr>
            <w:t>争议解决</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205</w:t>
          </w:r>
          <w:r>
            <w:rPr>
              <w:rFonts w:ascii="Calibri" w:hAnsi="Calibri" w:eastAsia="Calibri" w:cs="Calibri"/>
              <w:spacing w:val="1"/>
              <w:sz w:val="21"/>
              <w:szCs w:val="21"/>
            </w:rPr>
            <w:fldChar w:fldCharType="end"/>
          </w:r>
        </w:p>
        <w:p w14:paraId="6466D816">
          <w:pPr>
            <w:tabs>
              <w:tab w:val="right" w:leader="dot" w:pos="8322"/>
            </w:tabs>
            <w:spacing w:before="67" w:line="205" w:lineRule="auto"/>
            <w:ind w:left="862"/>
            <w:rPr>
              <w:rFonts w:ascii="Calibri" w:hAnsi="Calibri" w:eastAsia="Calibri" w:cs="Calibri"/>
              <w:sz w:val="21"/>
              <w:szCs w:val="21"/>
            </w:rPr>
          </w:pPr>
          <w:r>
            <w:fldChar w:fldCharType="begin"/>
          </w:r>
          <w:r>
            <w:instrText xml:space="preserve"> HYPERLINK \l "bookmark516" </w:instrText>
          </w:r>
          <w:r>
            <w:fldChar w:fldCharType="separate"/>
          </w:r>
          <w:r>
            <w:rPr>
              <w:rFonts w:ascii="Times New Roman" w:hAnsi="Times New Roman" w:eastAsia="Times New Roman" w:cs="Times New Roman"/>
              <w:b/>
              <w:bCs/>
              <w:spacing w:val="-3"/>
              <w:sz w:val="21"/>
              <w:szCs w:val="21"/>
            </w:rPr>
            <w:t>20.3</w:t>
          </w:r>
          <w:r>
            <w:rPr>
              <w:rFonts w:ascii="Times New Roman" w:hAnsi="Times New Roman" w:eastAsia="Times New Roman" w:cs="Times New Roman"/>
              <w:b/>
              <w:bCs/>
              <w:spacing w:val="9"/>
              <w:sz w:val="21"/>
              <w:szCs w:val="21"/>
            </w:rPr>
            <w:t xml:space="preserve">  </w:t>
          </w:r>
          <w:r>
            <w:rPr>
              <w:rFonts w:ascii="黑体" w:hAnsi="黑体" w:eastAsia="黑体" w:cs="黑体"/>
              <w:b/>
              <w:bCs/>
              <w:spacing w:val="-3"/>
              <w:sz w:val="21"/>
              <w:szCs w:val="21"/>
            </w:rPr>
            <w:t>争议评审</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205</w:t>
          </w:r>
          <w:r>
            <w:rPr>
              <w:rFonts w:ascii="Calibri" w:hAnsi="Calibri" w:eastAsia="Calibri" w:cs="Calibri"/>
              <w:spacing w:val="1"/>
              <w:sz w:val="21"/>
              <w:szCs w:val="21"/>
            </w:rPr>
            <w:fldChar w:fldCharType="end"/>
          </w:r>
        </w:p>
        <w:p w14:paraId="6A19D7D0">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"bookmark517" </w:instrText>
          </w:r>
          <w:r>
            <w:fldChar w:fldCharType="separate"/>
          </w:r>
          <w:r>
            <w:rPr>
              <w:rFonts w:ascii="Times New Roman" w:hAnsi="Times New Roman" w:eastAsia="Times New Roman" w:cs="Times New Roman"/>
              <w:b/>
              <w:bCs/>
              <w:spacing w:val="-2"/>
              <w:sz w:val="21"/>
              <w:szCs w:val="21"/>
            </w:rPr>
            <w:t xml:space="preserve">20.4 </w:t>
          </w:r>
          <w:r>
            <w:rPr>
              <w:rFonts w:ascii="黑体" w:hAnsi="黑体" w:eastAsia="黑体" w:cs="黑体"/>
              <w:b/>
              <w:bCs/>
              <w:spacing w:val="-2"/>
              <w:sz w:val="21"/>
              <w:szCs w:val="21"/>
            </w:rPr>
            <w:t>仲裁或诉讼</w:t>
          </w:r>
          <w:r>
            <w:rPr>
              <w:rFonts w:ascii="黑体" w:hAnsi="黑体" w:eastAsia="黑体" w:cs="黑体"/>
              <w:spacing w:val="-5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205</w:t>
          </w:r>
          <w:r>
            <w:rPr>
              <w:rFonts w:ascii="Calibri" w:hAnsi="Calibri" w:eastAsia="Calibri" w:cs="Calibri"/>
              <w:spacing w:val="2"/>
              <w:sz w:val="21"/>
              <w:szCs w:val="21"/>
            </w:rPr>
            <w:fldChar w:fldCharType="end"/>
          </w:r>
        </w:p>
        <w:p w14:paraId="256BA613">
          <w:pPr>
            <w:tabs>
              <w:tab w:val="right" w:leader="dot" w:pos="8322"/>
            </w:tabs>
            <w:spacing w:before="67" w:line="205" w:lineRule="auto"/>
            <w:ind w:left="456"/>
            <w:rPr>
              <w:rFonts w:ascii="Calibri" w:hAnsi="Calibri" w:eastAsia="Calibri" w:cs="Calibri"/>
              <w:sz w:val="21"/>
              <w:szCs w:val="21"/>
            </w:rPr>
          </w:pPr>
          <w:r>
            <w:fldChar w:fldCharType="begin"/>
          </w:r>
          <w:r>
            <w:instrText xml:space="preserve"> HYPERLINK \l "bookmark518" </w:instrText>
          </w:r>
          <w:r>
            <w:fldChar w:fldCharType="separate"/>
          </w:r>
          <w:r>
            <w:rPr>
              <w:rFonts w:ascii="黑体" w:hAnsi="黑体" w:eastAsia="黑体" w:cs="黑体"/>
              <w:b/>
              <w:bCs/>
              <w:spacing w:val="-12"/>
              <w:sz w:val="21"/>
              <w:szCs w:val="21"/>
            </w:rPr>
            <w:t>附件</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207</w:t>
          </w:r>
          <w:r>
            <w:rPr>
              <w:rFonts w:ascii="Calibri" w:hAnsi="Calibri" w:eastAsia="Calibri" w:cs="Calibri"/>
              <w:spacing w:val="2"/>
              <w:sz w:val="21"/>
              <w:szCs w:val="21"/>
            </w:rPr>
            <w:fldChar w:fldCharType="end"/>
          </w:r>
        </w:p>
        <w:p w14:paraId="5B025C2E">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"bookmark519" </w:instrText>
          </w:r>
          <w:r>
            <w:fldChar w:fldCharType="separate"/>
          </w:r>
          <w:r>
            <w:rPr>
              <w:rFonts w:ascii="黑体" w:hAnsi="黑体" w:eastAsia="黑体" w:cs="黑体"/>
              <w:b/>
              <w:bCs/>
              <w:spacing w:val="-12"/>
              <w:sz w:val="21"/>
              <w:szCs w:val="21"/>
            </w:rPr>
            <w:t>附件</w:t>
          </w:r>
          <w:r>
            <w:rPr>
              <w:rFonts w:ascii="黑体" w:hAnsi="黑体" w:eastAsia="黑体" w:cs="黑体"/>
              <w:spacing w:val="-27"/>
              <w:sz w:val="21"/>
              <w:szCs w:val="21"/>
            </w:rPr>
            <w:t xml:space="preserve"> </w:t>
          </w:r>
          <w:r>
            <w:rPr>
              <w:rFonts w:ascii="黑体" w:hAnsi="黑体" w:eastAsia="黑体" w:cs="黑体"/>
              <w:b/>
              <w:bCs/>
              <w:spacing w:val="-12"/>
              <w:sz w:val="21"/>
              <w:szCs w:val="21"/>
            </w:rPr>
            <w:t>1：</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207</w:t>
          </w:r>
          <w:r>
            <w:rPr>
              <w:rFonts w:ascii="Calibri" w:hAnsi="Calibri" w:eastAsia="Calibri" w:cs="Calibri"/>
              <w:spacing w:val="1"/>
              <w:sz w:val="21"/>
              <w:szCs w:val="21"/>
            </w:rPr>
            <w:fldChar w:fldCharType="end"/>
          </w:r>
        </w:p>
        <w:p w14:paraId="45700ED0">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"bookmark520" </w:instrText>
          </w:r>
          <w:r>
            <w:fldChar w:fldCharType="separate"/>
          </w:r>
          <w:r>
            <w:rPr>
              <w:rFonts w:ascii="黑体" w:hAnsi="黑体" w:eastAsia="黑体" w:cs="黑体"/>
              <w:b/>
              <w:bCs/>
              <w:spacing w:val="-9"/>
              <w:sz w:val="21"/>
              <w:szCs w:val="21"/>
            </w:rPr>
            <w:t>附件</w:t>
          </w:r>
          <w:r>
            <w:rPr>
              <w:rFonts w:ascii="黑体" w:hAnsi="黑体" w:eastAsia="黑体" w:cs="黑体"/>
              <w:spacing w:val="-39"/>
              <w:sz w:val="21"/>
              <w:szCs w:val="21"/>
            </w:rPr>
            <w:t xml:space="preserve"> </w:t>
          </w:r>
          <w:r>
            <w:rPr>
              <w:rFonts w:ascii="黑体" w:hAnsi="黑体" w:eastAsia="黑体" w:cs="黑体"/>
              <w:b/>
              <w:bCs/>
              <w:spacing w:val="-9"/>
              <w:sz w:val="21"/>
              <w:szCs w:val="21"/>
            </w:rPr>
            <w:t>2</w:t>
          </w:r>
          <w:r>
            <w:rPr>
              <w:rFonts w:ascii="宋体" w:hAnsi="宋体" w:eastAsia="宋体" w:cs="宋体"/>
              <w:b/>
              <w:bCs/>
              <w:spacing w:val="-9"/>
              <w:sz w:val="21"/>
              <w:szCs w:val="21"/>
            </w:rPr>
            <w:t>：</w:t>
          </w:r>
          <w:r>
            <w:rPr>
              <w:rFonts w:ascii="宋体" w:hAnsi="宋体" w:eastAsia="宋体" w:cs="宋体"/>
              <w:spacing w:val="-4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208</w:t>
          </w:r>
          <w:r>
            <w:rPr>
              <w:rFonts w:ascii="Calibri" w:hAnsi="Calibri" w:eastAsia="Calibri" w:cs="Calibri"/>
              <w:spacing w:val="1"/>
              <w:sz w:val="21"/>
              <w:szCs w:val="21"/>
            </w:rPr>
            <w:fldChar w:fldCharType="end"/>
          </w:r>
        </w:p>
        <w:p w14:paraId="7E39F5CA">
          <w:pPr>
            <w:tabs>
              <w:tab w:val="right" w:leader="dot" w:pos="8322"/>
            </w:tabs>
            <w:spacing w:before="67" w:line="205" w:lineRule="auto"/>
            <w:ind w:left="876"/>
            <w:rPr>
              <w:rFonts w:ascii="Calibri" w:hAnsi="Calibri" w:eastAsia="Calibri" w:cs="Calibri"/>
              <w:sz w:val="21"/>
              <w:szCs w:val="21"/>
            </w:rPr>
          </w:pPr>
          <w:r>
            <w:fldChar w:fldCharType="begin"/>
          </w:r>
          <w:r>
            <w:instrText xml:space="preserve"> HYPERLINK \l "bookmark521" </w:instrText>
          </w:r>
          <w:r>
            <w:fldChar w:fldCharType="separate"/>
          </w:r>
          <w:r>
            <w:rPr>
              <w:rFonts w:ascii="黑体" w:hAnsi="黑体" w:eastAsia="黑体" w:cs="黑体"/>
              <w:b/>
              <w:bCs/>
              <w:spacing w:val="-10"/>
              <w:sz w:val="21"/>
              <w:szCs w:val="21"/>
            </w:rPr>
            <w:t>附件</w:t>
          </w:r>
          <w:r>
            <w:rPr>
              <w:rFonts w:ascii="黑体" w:hAnsi="黑体" w:eastAsia="黑体" w:cs="黑体"/>
              <w:spacing w:val="-35"/>
              <w:sz w:val="21"/>
              <w:szCs w:val="21"/>
            </w:rPr>
            <w:t xml:space="preserve"> </w:t>
          </w:r>
          <w:r>
            <w:rPr>
              <w:rFonts w:ascii="黑体" w:hAnsi="黑体" w:eastAsia="黑体" w:cs="黑体"/>
              <w:b/>
              <w:bCs/>
              <w:spacing w:val="-10"/>
              <w:sz w:val="21"/>
              <w:szCs w:val="21"/>
            </w:rPr>
            <w:t>3：</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210</w:t>
          </w:r>
          <w:r>
            <w:rPr>
              <w:rFonts w:ascii="Calibri" w:hAnsi="Calibri" w:eastAsia="Calibri" w:cs="Calibri"/>
              <w:spacing w:val="1"/>
              <w:sz w:val="21"/>
              <w:szCs w:val="21"/>
            </w:rPr>
            <w:fldChar w:fldCharType="end"/>
          </w:r>
        </w:p>
        <w:p w14:paraId="464D8264">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"bookmark522" </w:instrText>
          </w:r>
          <w:r>
            <w:fldChar w:fldCharType="separate"/>
          </w:r>
          <w:r>
            <w:rPr>
              <w:rFonts w:ascii="黑体" w:hAnsi="黑体" w:eastAsia="黑体" w:cs="黑体"/>
              <w:b/>
              <w:bCs/>
              <w:spacing w:val="-8"/>
              <w:sz w:val="21"/>
              <w:szCs w:val="21"/>
            </w:rPr>
            <w:t>附件</w:t>
          </w:r>
          <w:r>
            <w:rPr>
              <w:rFonts w:ascii="黑体" w:hAnsi="黑体" w:eastAsia="黑体" w:cs="黑体"/>
              <w:spacing w:val="-43"/>
              <w:sz w:val="21"/>
              <w:szCs w:val="21"/>
            </w:rPr>
            <w:t xml:space="preserve"> </w:t>
          </w:r>
          <w:r>
            <w:rPr>
              <w:rFonts w:ascii="黑体" w:hAnsi="黑体" w:eastAsia="黑体" w:cs="黑体"/>
              <w:b/>
              <w:bCs/>
              <w:spacing w:val="-8"/>
              <w:sz w:val="21"/>
              <w:szCs w:val="21"/>
            </w:rPr>
            <w:t>4：</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212</w:t>
          </w:r>
          <w:r>
            <w:rPr>
              <w:rFonts w:ascii="Calibri" w:hAnsi="Calibri" w:eastAsia="Calibri" w:cs="Calibri"/>
              <w:spacing w:val="1"/>
              <w:sz w:val="21"/>
              <w:szCs w:val="21"/>
            </w:rPr>
            <w:fldChar w:fldCharType="end"/>
          </w:r>
        </w:p>
        <w:p w14:paraId="63FF1A69">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"bookmark523" </w:instrText>
          </w:r>
          <w:r>
            <w:fldChar w:fldCharType="separate"/>
          </w:r>
          <w:r>
            <w:rPr>
              <w:rFonts w:ascii="黑体" w:hAnsi="黑体" w:eastAsia="黑体" w:cs="黑体"/>
              <w:b/>
              <w:bCs/>
              <w:spacing w:val="-8"/>
              <w:sz w:val="21"/>
              <w:szCs w:val="21"/>
            </w:rPr>
            <w:t>附件</w:t>
          </w:r>
          <w:r>
            <w:rPr>
              <w:rFonts w:ascii="黑体" w:hAnsi="黑体" w:eastAsia="黑体" w:cs="黑体"/>
              <w:spacing w:val="-42"/>
              <w:sz w:val="21"/>
              <w:szCs w:val="21"/>
            </w:rPr>
            <w:t xml:space="preserve"> </w:t>
          </w:r>
          <w:r>
            <w:rPr>
              <w:rFonts w:ascii="黑体" w:hAnsi="黑体" w:eastAsia="黑体" w:cs="黑体"/>
              <w:b/>
              <w:bCs/>
              <w:spacing w:val="-8"/>
              <w:sz w:val="21"/>
              <w:szCs w:val="21"/>
            </w:rPr>
            <w:t>5：</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213</w:t>
          </w:r>
          <w:r>
            <w:rPr>
              <w:rFonts w:ascii="Calibri" w:hAnsi="Calibri" w:eastAsia="Calibri" w:cs="Calibri"/>
              <w:spacing w:val="1"/>
              <w:sz w:val="21"/>
              <w:szCs w:val="21"/>
            </w:rPr>
            <w:fldChar w:fldCharType="end"/>
          </w:r>
        </w:p>
        <w:p w14:paraId="5EB8B4D7">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"bookmark524" </w:instrText>
          </w:r>
          <w:r>
            <w:fldChar w:fldCharType="separate"/>
          </w:r>
          <w:r>
            <w:rPr>
              <w:rFonts w:ascii="黑体" w:hAnsi="黑体" w:eastAsia="黑体" w:cs="黑体"/>
              <w:b/>
              <w:bCs/>
              <w:spacing w:val="-9"/>
              <w:sz w:val="21"/>
              <w:szCs w:val="21"/>
            </w:rPr>
            <w:t>附件</w:t>
          </w:r>
          <w:r>
            <w:rPr>
              <w:rFonts w:ascii="黑体" w:hAnsi="黑体" w:eastAsia="黑体" w:cs="黑体"/>
              <w:spacing w:val="-38"/>
              <w:sz w:val="21"/>
              <w:szCs w:val="21"/>
            </w:rPr>
            <w:t xml:space="preserve"> </w:t>
          </w:r>
          <w:r>
            <w:rPr>
              <w:rFonts w:ascii="黑体" w:hAnsi="黑体" w:eastAsia="黑体" w:cs="黑体"/>
              <w:b/>
              <w:bCs/>
              <w:spacing w:val="-9"/>
              <w:sz w:val="21"/>
              <w:szCs w:val="21"/>
            </w:rPr>
            <w:t>6：</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214</w:t>
          </w:r>
          <w:r>
            <w:rPr>
              <w:rFonts w:ascii="Calibri" w:hAnsi="Calibri" w:eastAsia="Calibri" w:cs="Calibri"/>
              <w:spacing w:val="1"/>
              <w:sz w:val="21"/>
              <w:szCs w:val="21"/>
            </w:rPr>
            <w:fldChar w:fldCharType="end"/>
          </w:r>
        </w:p>
        <w:p w14:paraId="18825450">
          <w:pPr>
            <w:tabs>
              <w:tab w:val="right" w:leader="dot" w:pos="8322"/>
            </w:tabs>
            <w:spacing w:before="83" w:line="205" w:lineRule="auto"/>
            <w:ind w:left="876"/>
            <w:rPr>
              <w:rFonts w:ascii="Calibri" w:hAnsi="Calibri" w:eastAsia="Calibri" w:cs="Calibri"/>
              <w:sz w:val="21"/>
              <w:szCs w:val="21"/>
            </w:rPr>
          </w:pPr>
          <w:r>
            <w:fldChar w:fldCharType="begin"/>
          </w:r>
          <w:r>
            <w:instrText xml:space="preserve"> HYPERLINK \l "bookmark525" </w:instrText>
          </w:r>
          <w:r>
            <w:fldChar w:fldCharType="separate"/>
          </w:r>
          <w:r>
            <w:rPr>
              <w:rFonts w:ascii="黑体" w:hAnsi="黑体" w:eastAsia="黑体" w:cs="黑体"/>
              <w:b/>
              <w:bCs/>
              <w:spacing w:val="-10"/>
              <w:sz w:val="21"/>
              <w:szCs w:val="21"/>
            </w:rPr>
            <w:t>附件</w:t>
          </w:r>
          <w:r>
            <w:rPr>
              <w:rFonts w:ascii="黑体" w:hAnsi="黑体" w:eastAsia="黑体" w:cs="黑体"/>
              <w:spacing w:val="-35"/>
              <w:sz w:val="21"/>
              <w:szCs w:val="21"/>
            </w:rPr>
            <w:t xml:space="preserve"> </w:t>
          </w:r>
          <w:r>
            <w:rPr>
              <w:rFonts w:ascii="黑体" w:hAnsi="黑体" w:eastAsia="黑体" w:cs="黑体"/>
              <w:b/>
              <w:bCs/>
              <w:spacing w:val="-10"/>
              <w:sz w:val="21"/>
              <w:szCs w:val="21"/>
            </w:rPr>
            <w:t>7：</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215</w:t>
          </w:r>
          <w:r>
            <w:rPr>
              <w:rFonts w:ascii="Calibri" w:hAnsi="Calibri" w:eastAsia="Calibri" w:cs="Calibri"/>
              <w:spacing w:val="1"/>
              <w:sz w:val="21"/>
              <w:szCs w:val="21"/>
            </w:rPr>
            <w:fldChar w:fldCharType="end"/>
          </w:r>
        </w:p>
        <w:p w14:paraId="68595F80">
          <w:pPr>
            <w:tabs>
              <w:tab w:val="right" w:leader="dot" w:pos="8322"/>
            </w:tabs>
            <w:spacing w:before="67" w:line="242" w:lineRule="auto"/>
            <w:ind w:left="876"/>
            <w:rPr>
              <w:rFonts w:ascii="Calibri" w:hAnsi="Calibri" w:eastAsia="Calibri" w:cs="Calibri"/>
              <w:sz w:val="21"/>
              <w:szCs w:val="21"/>
            </w:rPr>
          </w:pPr>
          <w:r>
            <w:fldChar w:fldCharType="begin"/>
          </w:r>
          <w:r>
            <w:instrText xml:space="preserve"> HYPERLINK \l "bookmark526" </w:instrText>
          </w:r>
          <w:r>
            <w:fldChar w:fldCharType="separate"/>
          </w:r>
          <w:r>
            <w:rPr>
              <w:rFonts w:ascii="黑体" w:hAnsi="黑体" w:eastAsia="黑体" w:cs="黑体"/>
              <w:b/>
              <w:bCs/>
              <w:spacing w:val="-9"/>
              <w:sz w:val="21"/>
              <w:szCs w:val="21"/>
            </w:rPr>
            <w:t>附件</w:t>
          </w:r>
          <w:r>
            <w:rPr>
              <w:rFonts w:ascii="黑体" w:hAnsi="黑体" w:eastAsia="黑体" w:cs="黑体"/>
              <w:spacing w:val="-39"/>
              <w:sz w:val="21"/>
              <w:szCs w:val="21"/>
            </w:rPr>
            <w:t xml:space="preserve"> </w:t>
          </w:r>
          <w:r>
            <w:rPr>
              <w:rFonts w:ascii="黑体" w:hAnsi="黑体" w:eastAsia="黑体" w:cs="黑体"/>
              <w:b/>
              <w:bCs/>
              <w:spacing w:val="-9"/>
              <w:sz w:val="21"/>
              <w:szCs w:val="21"/>
            </w:rPr>
            <w:t>8：</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216</w:t>
          </w:r>
          <w:r>
            <w:rPr>
              <w:rFonts w:ascii="Calibri" w:hAnsi="Calibri" w:eastAsia="Calibri" w:cs="Calibri"/>
              <w:spacing w:val="1"/>
              <w:sz w:val="21"/>
              <w:szCs w:val="21"/>
            </w:rPr>
            <w:fldChar w:fldCharType="end"/>
          </w:r>
        </w:p>
      </w:sdtContent>
    </w:sdt>
    <w:p w14:paraId="20FB8A63">
      <w:pPr>
        <w:spacing w:line="242" w:lineRule="auto"/>
        <w:rPr>
          <w:rFonts w:ascii="Calibri" w:hAnsi="Calibri" w:eastAsia="Calibri" w:cs="Calibri"/>
          <w:sz w:val="21"/>
          <w:szCs w:val="21"/>
        </w:rPr>
        <w:sectPr>
          <w:footerReference r:id="rId16" w:type="default"/>
          <w:pgSz w:w="11910" w:h="16845"/>
          <w:pgMar w:top="1431" w:right="1786" w:bottom="1044" w:left="1786" w:header="0" w:footer="882" w:gutter="0"/>
          <w:cols w:space="720" w:num="1"/>
        </w:sectPr>
      </w:pPr>
    </w:p>
    <w:sdt>
      <w:sdtPr>
        <w:rPr>
          <w:rFonts w:ascii="黑体" w:hAnsi="黑体" w:eastAsia="黑体" w:cs="黑体"/>
          <w:sz w:val="21"/>
          <w:szCs w:val="21"/>
        </w:rPr>
        <w:id w:val="147451989"/>
        <w:docPartObj>
          <w:docPartGallery w:val="Table of Contents"/>
          <w:docPartUnique/>
        </w:docPartObj>
      </w:sdtPr>
      <w:sdtEndPr>
        <w:rPr>
          <w:rFonts w:ascii="Calibri" w:hAnsi="Calibri" w:eastAsia="Calibri" w:cs="Calibri"/>
          <w:sz w:val="21"/>
          <w:szCs w:val="21"/>
        </w:rPr>
      </w:sdtEndPr>
      <w:sdtContent>
        <w:p w14:paraId="3164407A">
          <w:pPr>
            <w:tabs>
              <w:tab w:val="right" w:leader="dot" w:pos="8322"/>
            </w:tabs>
            <w:spacing w:before="54" w:line="205" w:lineRule="auto"/>
            <w:ind w:left="876"/>
            <w:rPr>
              <w:rFonts w:ascii="Calibri" w:hAnsi="Calibri" w:eastAsia="Calibri" w:cs="Calibri"/>
              <w:sz w:val="21"/>
              <w:szCs w:val="21"/>
            </w:rPr>
          </w:pPr>
          <w:r>
            <w:fldChar w:fldCharType="begin"/>
          </w:r>
          <w:r>
            <w:instrText xml:space="preserve"> HYPERLINK \l "bookmark527" </w:instrText>
          </w:r>
          <w:r>
            <w:fldChar w:fldCharType="separate"/>
          </w:r>
          <w:r>
            <w:rPr>
              <w:rFonts w:ascii="黑体" w:hAnsi="黑体" w:eastAsia="黑体" w:cs="黑体"/>
              <w:b/>
              <w:bCs/>
              <w:spacing w:val="-14"/>
              <w:sz w:val="21"/>
              <w:szCs w:val="21"/>
            </w:rPr>
            <w:t>附件</w:t>
          </w:r>
          <w:r>
            <w:rPr>
              <w:rFonts w:ascii="黑体" w:hAnsi="黑体" w:eastAsia="黑体" w:cs="黑体"/>
              <w:spacing w:val="-42"/>
              <w:sz w:val="21"/>
              <w:szCs w:val="21"/>
            </w:rPr>
            <w:t xml:space="preserve"> </w:t>
          </w:r>
          <w:r>
            <w:rPr>
              <w:rFonts w:ascii="黑体" w:hAnsi="黑体" w:eastAsia="黑体" w:cs="黑体"/>
              <w:b/>
              <w:bCs/>
              <w:spacing w:val="-14"/>
              <w:sz w:val="21"/>
              <w:szCs w:val="21"/>
            </w:rPr>
            <w:t>9</w:t>
          </w:r>
          <w:r>
            <w:rPr>
              <w:rFonts w:ascii="黑体" w:hAnsi="黑体" w:eastAsia="黑体" w:cs="黑体"/>
              <w:spacing w:val="39"/>
              <w:sz w:val="21"/>
              <w:szCs w:val="21"/>
            </w:rPr>
            <w:t xml:space="preserve"> </w:t>
          </w:r>
          <w:r>
            <w:rPr>
              <w:rFonts w:ascii="黑体" w:hAnsi="黑体" w:eastAsia="黑体" w:cs="黑体"/>
              <w:b/>
              <w:bCs/>
              <w:spacing w:val="-14"/>
              <w:sz w:val="21"/>
              <w:szCs w:val="21"/>
            </w:rPr>
            <w:t>：</w:t>
          </w:r>
          <w:r>
            <w:rPr>
              <w:rFonts w:ascii="黑体" w:hAnsi="黑体" w:eastAsia="黑体" w:cs="黑体"/>
              <w:sz w:val="21"/>
              <w:szCs w:val="21"/>
            </w:rPr>
            <w:tab/>
          </w:r>
          <w:r>
            <w:rPr>
              <w:rFonts w:ascii="Calibri" w:hAnsi="Calibri" w:eastAsia="Calibri" w:cs="Calibri"/>
              <w:spacing w:val="1"/>
              <w:sz w:val="21"/>
              <w:szCs w:val="21"/>
            </w:rPr>
            <w:t>217</w:t>
          </w:r>
          <w:r>
            <w:rPr>
              <w:rFonts w:ascii="Calibri" w:hAnsi="Calibri" w:eastAsia="Calibri" w:cs="Calibri"/>
              <w:spacing w:val="1"/>
              <w:sz w:val="21"/>
              <w:szCs w:val="21"/>
            </w:rPr>
            <w:fldChar w:fldCharType="end"/>
          </w:r>
        </w:p>
        <w:p w14:paraId="7899CC32">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"bookmark528" </w:instrText>
          </w:r>
          <w:r>
            <w:fldChar w:fldCharType="separate"/>
          </w:r>
          <w:r>
            <w:rPr>
              <w:rFonts w:ascii="黑体" w:hAnsi="黑体" w:eastAsia="黑体" w:cs="黑体"/>
              <w:b/>
              <w:bCs/>
              <w:spacing w:val="-10"/>
              <w:sz w:val="21"/>
              <w:szCs w:val="21"/>
            </w:rPr>
            <w:t>附件</w:t>
          </w:r>
          <w:r>
            <w:rPr>
              <w:rFonts w:ascii="黑体" w:hAnsi="黑体" w:eastAsia="黑体" w:cs="黑体"/>
              <w:spacing w:val="-27"/>
              <w:sz w:val="21"/>
              <w:szCs w:val="21"/>
            </w:rPr>
            <w:t xml:space="preserve"> </w:t>
          </w:r>
          <w:r>
            <w:rPr>
              <w:rFonts w:ascii="黑体" w:hAnsi="黑体" w:eastAsia="黑体" w:cs="黑体"/>
              <w:b/>
              <w:bCs/>
              <w:spacing w:val="-10"/>
              <w:sz w:val="21"/>
              <w:szCs w:val="21"/>
            </w:rPr>
            <w:t>10:</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218</w:t>
          </w:r>
          <w:r>
            <w:rPr>
              <w:rFonts w:ascii="Calibri" w:hAnsi="Calibri" w:eastAsia="Calibri" w:cs="Calibri"/>
              <w:spacing w:val="1"/>
              <w:sz w:val="21"/>
              <w:szCs w:val="21"/>
            </w:rPr>
            <w:fldChar w:fldCharType="end"/>
          </w:r>
        </w:p>
        <w:p w14:paraId="7E192F23">
          <w:pPr>
            <w:tabs>
              <w:tab w:val="right" w:leader="dot" w:pos="8322"/>
            </w:tabs>
            <w:spacing w:before="81" w:line="205" w:lineRule="auto"/>
            <w:ind w:left="876"/>
            <w:rPr>
              <w:rFonts w:ascii="Calibri" w:hAnsi="Calibri" w:eastAsia="Calibri" w:cs="Calibri"/>
              <w:sz w:val="21"/>
              <w:szCs w:val="21"/>
            </w:rPr>
          </w:pPr>
          <w:r>
            <w:fldChar w:fldCharType="begin"/>
          </w:r>
          <w:r>
            <w:instrText xml:space="preserve"> HYPERLINK \l "bookmark529" </w:instrText>
          </w:r>
          <w:r>
            <w:fldChar w:fldCharType="separate"/>
          </w:r>
          <w:r>
            <w:rPr>
              <w:rFonts w:ascii="黑体" w:hAnsi="黑体" w:eastAsia="黑体" w:cs="黑体"/>
              <w:b/>
              <w:bCs/>
              <w:spacing w:val="-7"/>
              <w:sz w:val="21"/>
              <w:szCs w:val="21"/>
            </w:rPr>
            <w:t>附件</w:t>
          </w:r>
          <w:r>
            <w:rPr>
              <w:rFonts w:ascii="黑体" w:hAnsi="黑体" w:eastAsia="黑体" w:cs="黑体"/>
              <w:spacing w:val="-26"/>
              <w:sz w:val="21"/>
              <w:szCs w:val="21"/>
            </w:rPr>
            <w:t xml:space="preserve"> </w:t>
          </w:r>
          <w:r>
            <w:rPr>
              <w:rFonts w:ascii="黑体" w:hAnsi="黑体" w:eastAsia="黑体" w:cs="黑体"/>
              <w:b/>
              <w:bCs/>
              <w:spacing w:val="-7"/>
              <w:sz w:val="21"/>
              <w:szCs w:val="21"/>
            </w:rPr>
            <w:t>11：</w:t>
          </w:r>
          <w:r>
            <w:rPr>
              <w:rFonts w:ascii="黑体" w:hAnsi="黑体" w:eastAsia="黑体" w:cs="黑体"/>
              <w:sz w:val="21"/>
              <w:szCs w:val="21"/>
            </w:rPr>
            <w:tab/>
          </w:r>
          <w:r>
            <w:rPr>
              <w:rFonts w:ascii="Calibri" w:hAnsi="Calibri" w:eastAsia="Calibri" w:cs="Calibri"/>
              <w:spacing w:val="1"/>
              <w:sz w:val="21"/>
              <w:szCs w:val="21"/>
            </w:rPr>
            <w:t>221</w:t>
          </w:r>
          <w:r>
            <w:rPr>
              <w:rFonts w:ascii="Calibri" w:hAnsi="Calibri" w:eastAsia="Calibri" w:cs="Calibri"/>
              <w:spacing w:val="1"/>
              <w:sz w:val="21"/>
              <w:szCs w:val="21"/>
            </w:rPr>
            <w:fldChar w:fldCharType="end"/>
          </w:r>
        </w:p>
        <w:p w14:paraId="019C699A">
          <w:pPr>
            <w:tabs>
              <w:tab w:val="right" w:leader="dot" w:pos="9252"/>
            </w:tabs>
            <w:spacing w:before="67" w:line="205" w:lineRule="auto"/>
            <w:ind w:left="24"/>
            <w:rPr>
              <w:rFonts w:ascii="Calibri" w:hAnsi="Calibri" w:eastAsia="Calibri" w:cs="Calibri"/>
              <w:sz w:val="21"/>
              <w:szCs w:val="21"/>
            </w:rPr>
          </w:pPr>
          <w:r>
            <w:fldChar w:fldCharType="begin"/>
          </w:r>
          <w:r>
            <w:instrText xml:space="preserve"> HYPERLINK \l "bookmark530" </w:instrText>
          </w:r>
          <w:r>
            <w:fldChar w:fldCharType="separate"/>
          </w:r>
          <w:r>
            <w:rPr>
              <w:rFonts w:ascii="宋体" w:hAnsi="宋体" w:eastAsia="宋体" w:cs="宋体"/>
              <w:spacing w:val="-1"/>
              <w:sz w:val="21"/>
              <w:szCs w:val="21"/>
            </w:rPr>
            <w:t>第五章 工程量清单</w:t>
          </w:r>
          <w:r>
            <w:rPr>
              <w:rFonts w:ascii="宋体" w:hAnsi="宋体" w:eastAsia="宋体" w:cs="宋体"/>
              <w:spacing w:val="-73"/>
              <w:sz w:val="21"/>
              <w:szCs w:val="21"/>
            </w:rPr>
            <w:t xml:space="preserve"> </w:t>
          </w:r>
          <w:r>
            <w:rPr>
              <w:rFonts w:ascii="宋体" w:hAnsi="宋体" w:eastAsia="宋体" w:cs="宋体"/>
              <w:sz w:val="21"/>
              <w:szCs w:val="21"/>
            </w:rPr>
            <w:tab/>
          </w:r>
          <w:r>
            <w:rPr>
              <w:rFonts w:ascii="宋体" w:hAnsi="宋体" w:eastAsia="宋体" w:cs="宋体"/>
              <w:spacing w:val="-54"/>
              <w:sz w:val="21"/>
              <w:szCs w:val="21"/>
            </w:rPr>
            <w:t xml:space="preserve"> </w:t>
          </w:r>
          <w:r>
            <w:rPr>
              <w:rFonts w:ascii="Calibri" w:hAnsi="Calibri" w:eastAsia="Calibri" w:cs="Calibri"/>
              <w:spacing w:val="-5"/>
              <w:sz w:val="21"/>
              <w:szCs w:val="21"/>
            </w:rPr>
            <w:t>224</w:t>
          </w:r>
          <w:r>
            <w:rPr>
              <w:rFonts w:ascii="Calibri" w:hAnsi="Calibri" w:eastAsia="Calibri" w:cs="Calibri"/>
              <w:spacing w:val="-5"/>
              <w:sz w:val="21"/>
              <w:szCs w:val="21"/>
            </w:rPr>
            <w:fldChar w:fldCharType="end"/>
          </w:r>
        </w:p>
        <w:p w14:paraId="0F46B04C">
          <w:pPr>
            <w:tabs>
              <w:tab w:val="right" w:leader="dot" w:pos="8322"/>
            </w:tabs>
            <w:spacing w:before="96" w:line="205" w:lineRule="auto"/>
            <w:ind w:left="450"/>
            <w:rPr>
              <w:rFonts w:ascii="Calibri" w:hAnsi="Calibri" w:eastAsia="Calibri" w:cs="Calibri"/>
              <w:sz w:val="21"/>
              <w:szCs w:val="21"/>
            </w:rPr>
          </w:pPr>
          <w:r>
            <w:fldChar w:fldCharType="begin"/>
          </w:r>
          <w:r>
            <w:instrText xml:space="preserve"> HYPERLINK \l "bookmark531" </w:instrText>
          </w:r>
          <w:r>
            <w:fldChar w:fldCharType="separate"/>
          </w:r>
          <w:r>
            <w:rPr>
              <w:rFonts w:ascii="Times New Roman" w:hAnsi="Times New Roman" w:eastAsia="Times New Roman" w:cs="Times New Roman"/>
              <w:b/>
              <w:bCs/>
              <w:spacing w:val="-4"/>
              <w:sz w:val="21"/>
              <w:szCs w:val="21"/>
            </w:rPr>
            <w:t>1.</w:t>
          </w:r>
          <w:r>
            <w:rPr>
              <w:rFonts w:ascii="Times New Roman" w:hAnsi="Times New Roman" w:eastAsia="Times New Roman" w:cs="Times New Roman"/>
              <w:b/>
              <w:bCs/>
              <w:spacing w:val="8"/>
              <w:sz w:val="21"/>
              <w:szCs w:val="21"/>
            </w:rPr>
            <w:t xml:space="preserve">  </w:t>
          </w:r>
          <w:r>
            <w:rPr>
              <w:rFonts w:ascii="黑体" w:hAnsi="黑体" w:eastAsia="黑体" w:cs="黑体"/>
              <w:b/>
              <w:bCs/>
              <w:spacing w:val="-4"/>
              <w:sz w:val="21"/>
              <w:szCs w:val="21"/>
            </w:rPr>
            <w:t>工程量清单说明</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778916B8">
          <w:pPr>
            <w:tabs>
              <w:tab w:val="right" w:leader="dot" w:pos="8322"/>
            </w:tabs>
            <w:spacing w:before="82" w:line="205" w:lineRule="auto"/>
            <w:ind w:left="441"/>
            <w:rPr>
              <w:rFonts w:ascii="Calibri" w:hAnsi="Calibri" w:eastAsia="Calibri" w:cs="Calibri"/>
              <w:sz w:val="21"/>
              <w:szCs w:val="21"/>
            </w:rPr>
          </w:pPr>
          <w:r>
            <w:fldChar w:fldCharType="begin"/>
          </w:r>
          <w:r>
            <w:instrText xml:space="preserve"> HYPERLINK \l "bookmark532" </w:instrText>
          </w:r>
          <w:r>
            <w:fldChar w:fldCharType="separate"/>
          </w:r>
          <w:r>
            <w:rPr>
              <w:rFonts w:ascii="Times New Roman" w:hAnsi="Times New Roman" w:eastAsia="Times New Roman" w:cs="Times New Roman"/>
              <w:b/>
              <w:bCs/>
              <w:spacing w:val="-3"/>
              <w:sz w:val="21"/>
              <w:szCs w:val="21"/>
            </w:rPr>
            <w:t>2.</w:t>
          </w:r>
          <w:r>
            <w:rPr>
              <w:rFonts w:ascii="Times New Roman" w:hAnsi="Times New Roman" w:eastAsia="Times New Roman" w:cs="Times New Roman"/>
              <w:b/>
              <w:bCs/>
              <w:spacing w:val="7"/>
              <w:sz w:val="21"/>
              <w:szCs w:val="21"/>
            </w:rPr>
            <w:t xml:space="preserve">  </w:t>
          </w:r>
          <w:r>
            <w:rPr>
              <w:rFonts w:ascii="黑体" w:hAnsi="黑体" w:eastAsia="黑体" w:cs="黑体"/>
              <w:b/>
              <w:bCs/>
              <w:spacing w:val="-3"/>
              <w:sz w:val="21"/>
              <w:szCs w:val="21"/>
            </w:rPr>
            <w:t>投标报价说明</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43C09AE5">
          <w:pPr>
            <w:tabs>
              <w:tab w:val="right" w:leader="dot" w:pos="8322"/>
            </w:tabs>
            <w:spacing w:before="82" w:line="205" w:lineRule="auto"/>
            <w:ind w:left="439"/>
            <w:rPr>
              <w:rFonts w:ascii="Calibri" w:hAnsi="Calibri" w:eastAsia="Calibri" w:cs="Calibri"/>
              <w:sz w:val="21"/>
              <w:szCs w:val="21"/>
            </w:rPr>
          </w:pPr>
          <w:r>
            <w:fldChar w:fldCharType="begin"/>
          </w:r>
          <w:r>
            <w:instrText xml:space="preserve"> HYPERLINK \l "bookmark533" </w:instrText>
          </w:r>
          <w:r>
            <w:fldChar w:fldCharType="separate"/>
          </w:r>
          <w:r>
            <w:rPr>
              <w:rFonts w:ascii="Times New Roman" w:hAnsi="Times New Roman" w:eastAsia="Times New Roman" w:cs="Times New Roman"/>
              <w:b/>
              <w:bCs/>
              <w:spacing w:val="-4"/>
              <w:sz w:val="21"/>
              <w:szCs w:val="21"/>
            </w:rPr>
            <w:t>3.</w:t>
          </w:r>
          <w:r>
            <w:rPr>
              <w:rFonts w:ascii="Times New Roman" w:hAnsi="Times New Roman" w:eastAsia="Times New Roman" w:cs="Times New Roman"/>
              <w:b/>
              <w:bCs/>
              <w:spacing w:val="9"/>
              <w:sz w:val="21"/>
              <w:szCs w:val="21"/>
            </w:rPr>
            <w:t xml:space="preserve">  </w:t>
          </w:r>
          <w:r>
            <w:rPr>
              <w:rFonts w:ascii="黑体" w:hAnsi="黑体" w:eastAsia="黑体" w:cs="黑体"/>
              <w:b/>
              <w:bCs/>
              <w:spacing w:val="-4"/>
              <w:sz w:val="21"/>
              <w:szCs w:val="21"/>
            </w:rPr>
            <w:t>其他说明</w:t>
          </w:r>
          <w:r>
            <w:rPr>
              <w:rFonts w:ascii="黑体" w:hAnsi="黑体" w:eastAsia="黑体" w:cs="黑体"/>
              <w:spacing w:val="-58"/>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3BF4835C">
          <w:pPr>
            <w:tabs>
              <w:tab w:val="right" w:leader="dot" w:pos="8322"/>
            </w:tabs>
            <w:spacing w:before="82" w:line="205" w:lineRule="auto"/>
            <w:ind w:left="441"/>
            <w:rPr>
              <w:rFonts w:ascii="Calibri" w:hAnsi="Calibri" w:eastAsia="Calibri" w:cs="Calibri"/>
              <w:sz w:val="21"/>
              <w:szCs w:val="21"/>
            </w:rPr>
          </w:pPr>
          <w:r>
            <w:fldChar w:fldCharType="begin"/>
          </w:r>
          <w:r>
            <w:instrText xml:space="preserve"> HYPERLINK \l "bookmark534" </w:instrText>
          </w:r>
          <w:r>
            <w:fldChar w:fldCharType="separate"/>
          </w:r>
          <w:r>
            <w:rPr>
              <w:rFonts w:ascii="Times New Roman" w:hAnsi="Times New Roman" w:eastAsia="Times New Roman" w:cs="Times New Roman"/>
              <w:b/>
              <w:bCs/>
              <w:spacing w:val="-4"/>
              <w:sz w:val="21"/>
              <w:szCs w:val="21"/>
            </w:rPr>
            <w:t>4.</w:t>
          </w:r>
          <w:r>
            <w:rPr>
              <w:rFonts w:ascii="Times New Roman" w:hAnsi="Times New Roman" w:eastAsia="Times New Roman" w:cs="Times New Roman"/>
              <w:b/>
              <w:bCs/>
              <w:spacing w:val="10"/>
              <w:sz w:val="21"/>
              <w:szCs w:val="21"/>
            </w:rPr>
            <w:t xml:space="preserve">  </w:t>
          </w:r>
          <w:r>
            <w:rPr>
              <w:rFonts w:ascii="黑体" w:hAnsi="黑体" w:eastAsia="黑体" w:cs="黑体"/>
              <w:b/>
              <w:bCs/>
              <w:spacing w:val="-4"/>
              <w:sz w:val="21"/>
              <w:szCs w:val="21"/>
            </w:rPr>
            <w:t>工程量清单</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224</w:t>
          </w:r>
          <w:r>
            <w:rPr>
              <w:rFonts w:ascii="Calibri" w:hAnsi="Calibri" w:eastAsia="Calibri" w:cs="Calibri"/>
              <w:spacing w:val="1"/>
              <w:sz w:val="21"/>
              <w:szCs w:val="21"/>
            </w:rPr>
            <w:fldChar w:fldCharType="end"/>
          </w:r>
        </w:p>
        <w:p w14:paraId="7CE92837">
          <w:pPr>
            <w:tabs>
              <w:tab w:val="right" w:leader="dot" w:pos="8322"/>
            </w:tabs>
            <w:spacing w:before="52" w:line="205" w:lineRule="auto"/>
            <w:ind w:left="860"/>
            <w:rPr>
              <w:rFonts w:ascii="Calibri" w:hAnsi="Calibri" w:eastAsia="Calibri" w:cs="Calibri"/>
              <w:sz w:val="21"/>
              <w:szCs w:val="21"/>
            </w:rPr>
          </w:pPr>
          <w:r>
            <w:fldChar w:fldCharType="begin"/>
          </w:r>
          <w:r>
            <w:instrText xml:space="preserve"> HYPERLINK \l "bookmark535" </w:instrText>
          </w:r>
          <w:r>
            <w:fldChar w:fldCharType="separate"/>
          </w:r>
          <w:r>
            <w:rPr>
              <w:rFonts w:ascii="Times New Roman" w:hAnsi="Times New Roman" w:eastAsia="Times New Roman" w:cs="Times New Roman"/>
              <w:spacing w:val="-1"/>
              <w:sz w:val="21"/>
              <w:szCs w:val="21"/>
            </w:rPr>
            <w:t>4.1</w:t>
          </w:r>
          <w:r>
            <w:rPr>
              <w:rFonts w:ascii="Times New Roman" w:hAnsi="Times New Roman" w:eastAsia="Times New Roman" w:cs="Times New Roman"/>
              <w:spacing w:val="14"/>
              <w:w w:val="101"/>
              <w:sz w:val="21"/>
              <w:szCs w:val="21"/>
            </w:rPr>
            <w:t xml:space="preserve">  </w:t>
          </w:r>
          <w:r>
            <w:rPr>
              <w:rFonts w:ascii="黑体" w:hAnsi="黑体" w:eastAsia="黑体" w:cs="黑体"/>
              <w:spacing w:val="-1"/>
              <w:sz w:val="21"/>
              <w:szCs w:val="21"/>
            </w:rPr>
            <w:t>工程量清单表</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225</w:t>
          </w:r>
          <w:r>
            <w:rPr>
              <w:rFonts w:ascii="Calibri" w:hAnsi="Calibri" w:eastAsia="Calibri" w:cs="Calibri"/>
              <w:spacing w:val="2"/>
              <w:sz w:val="21"/>
              <w:szCs w:val="21"/>
            </w:rPr>
            <w:fldChar w:fldCharType="end"/>
          </w:r>
        </w:p>
        <w:p w14:paraId="7AAD03A3">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"bookmark536" </w:instrText>
          </w:r>
          <w:r>
            <w:fldChar w:fldCharType="separate"/>
          </w:r>
          <w:r>
            <w:rPr>
              <w:rFonts w:ascii="Times New Roman" w:hAnsi="Times New Roman" w:eastAsia="Times New Roman" w:cs="Times New Roman"/>
              <w:spacing w:val="-1"/>
              <w:sz w:val="21"/>
              <w:szCs w:val="21"/>
            </w:rPr>
            <w:t>4.2</w:t>
          </w:r>
          <w:r>
            <w:rPr>
              <w:rFonts w:ascii="Times New Roman" w:hAnsi="Times New Roman" w:eastAsia="Times New Roman" w:cs="Times New Roman"/>
              <w:spacing w:val="13"/>
              <w:sz w:val="21"/>
              <w:szCs w:val="21"/>
            </w:rPr>
            <w:t xml:space="preserve">  </w:t>
          </w:r>
          <w:r>
            <w:rPr>
              <w:rFonts w:ascii="黑体" w:hAnsi="黑体" w:eastAsia="黑体" w:cs="黑体"/>
              <w:spacing w:val="-1"/>
              <w:sz w:val="21"/>
              <w:szCs w:val="21"/>
            </w:rPr>
            <w:t>计日工表</w:t>
          </w:r>
          <w:r>
            <w:rPr>
              <w:rFonts w:ascii="黑体" w:hAnsi="黑体" w:eastAsia="黑体" w:cs="黑体"/>
              <w:spacing w:val="-5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225</w:t>
          </w:r>
          <w:r>
            <w:rPr>
              <w:rFonts w:ascii="Calibri" w:hAnsi="Calibri" w:eastAsia="Calibri" w:cs="Calibri"/>
              <w:spacing w:val="1"/>
              <w:sz w:val="21"/>
              <w:szCs w:val="21"/>
            </w:rPr>
            <w:fldChar w:fldCharType="end"/>
          </w:r>
        </w:p>
        <w:p w14:paraId="63010199">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"bookmark537" </w:instrText>
          </w:r>
          <w:r>
            <w:fldChar w:fldCharType="separate"/>
          </w:r>
          <w:r>
            <w:rPr>
              <w:rFonts w:ascii="Times New Roman" w:hAnsi="Times New Roman" w:eastAsia="Times New Roman" w:cs="Times New Roman"/>
              <w:spacing w:val="-2"/>
              <w:sz w:val="21"/>
              <w:szCs w:val="21"/>
            </w:rPr>
            <w:t>4.3</w:t>
          </w:r>
          <w:r>
            <w:rPr>
              <w:rFonts w:ascii="Times New Roman" w:hAnsi="Times New Roman" w:eastAsia="Times New Roman" w:cs="Times New Roman"/>
              <w:spacing w:val="17"/>
              <w:sz w:val="21"/>
              <w:szCs w:val="21"/>
            </w:rPr>
            <w:t xml:space="preserve">  </w:t>
          </w:r>
          <w:r>
            <w:rPr>
              <w:rFonts w:ascii="黑体" w:hAnsi="黑体" w:eastAsia="黑体" w:cs="黑体"/>
              <w:spacing w:val="-2"/>
              <w:sz w:val="21"/>
              <w:szCs w:val="21"/>
            </w:rPr>
            <w:t>暂估价表</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226</w:t>
          </w:r>
          <w:r>
            <w:rPr>
              <w:rFonts w:ascii="Calibri" w:hAnsi="Calibri" w:eastAsia="Calibri" w:cs="Calibri"/>
              <w:spacing w:val="1"/>
              <w:sz w:val="21"/>
              <w:szCs w:val="21"/>
            </w:rPr>
            <w:fldChar w:fldCharType="end"/>
          </w:r>
        </w:p>
        <w:p w14:paraId="4EB7590D">
          <w:pPr>
            <w:tabs>
              <w:tab w:val="right" w:leader="dot" w:pos="8322"/>
            </w:tabs>
            <w:spacing w:before="81" w:line="205" w:lineRule="auto"/>
            <w:ind w:left="860"/>
            <w:rPr>
              <w:rFonts w:ascii="Calibri" w:hAnsi="Calibri" w:eastAsia="Calibri" w:cs="Calibri"/>
              <w:sz w:val="21"/>
              <w:szCs w:val="21"/>
            </w:rPr>
          </w:pPr>
          <w:r>
            <w:fldChar w:fldCharType="begin"/>
          </w:r>
          <w:r>
            <w:instrText xml:space="preserve"> HYPERLINK \l "bookmark538" </w:instrText>
          </w:r>
          <w:r>
            <w:fldChar w:fldCharType="separate"/>
          </w:r>
          <w:r>
            <w:rPr>
              <w:rFonts w:ascii="Times New Roman" w:hAnsi="Times New Roman" w:eastAsia="Times New Roman" w:cs="Times New Roman"/>
              <w:sz w:val="21"/>
              <w:szCs w:val="21"/>
            </w:rPr>
            <w:t>4.4</w:t>
          </w:r>
          <w:r>
            <w:rPr>
              <w:rFonts w:ascii="Times New Roman" w:hAnsi="Times New Roman" w:eastAsia="Times New Roman" w:cs="Times New Roman"/>
              <w:spacing w:val="11"/>
              <w:sz w:val="21"/>
              <w:szCs w:val="21"/>
            </w:rPr>
            <w:t xml:space="preserve">  </w:t>
          </w:r>
          <w:r>
            <w:rPr>
              <w:rFonts w:ascii="黑体" w:hAnsi="黑体" w:eastAsia="黑体" w:cs="黑体"/>
              <w:sz w:val="21"/>
              <w:szCs w:val="21"/>
            </w:rPr>
            <w:t>投标报价汇总表</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227</w:t>
          </w:r>
          <w:r>
            <w:rPr>
              <w:rFonts w:ascii="Calibri" w:hAnsi="Calibri" w:eastAsia="Calibri" w:cs="Calibri"/>
              <w:spacing w:val="2"/>
              <w:sz w:val="21"/>
              <w:szCs w:val="21"/>
            </w:rPr>
            <w:fldChar w:fldCharType="end"/>
          </w:r>
        </w:p>
        <w:p w14:paraId="192CB6F0">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"bookmark539" </w:instrText>
          </w:r>
          <w:r>
            <w:fldChar w:fldCharType="separate"/>
          </w:r>
          <w:r>
            <w:rPr>
              <w:rFonts w:ascii="Times New Roman" w:hAnsi="Times New Roman" w:eastAsia="Times New Roman" w:cs="Times New Roman"/>
              <w:spacing w:val="-1"/>
              <w:sz w:val="21"/>
              <w:szCs w:val="21"/>
            </w:rPr>
            <w:t>4.5</w:t>
          </w:r>
          <w:r>
            <w:rPr>
              <w:rFonts w:ascii="Times New Roman" w:hAnsi="Times New Roman" w:eastAsia="Times New Roman" w:cs="Times New Roman"/>
              <w:spacing w:val="18"/>
              <w:sz w:val="21"/>
              <w:szCs w:val="21"/>
            </w:rPr>
            <w:t xml:space="preserve">  </w:t>
          </w:r>
          <w:r>
            <w:rPr>
              <w:rFonts w:ascii="黑体" w:hAnsi="黑体" w:eastAsia="黑体" w:cs="黑体"/>
              <w:spacing w:val="-1"/>
              <w:sz w:val="21"/>
              <w:szCs w:val="21"/>
            </w:rPr>
            <w:t>工程量清单单价分析表</w:t>
          </w:r>
          <w:r>
            <w:rPr>
              <w:rFonts w:ascii="黑体" w:hAnsi="黑体" w:eastAsia="黑体" w:cs="黑体"/>
              <w:spacing w:val="-6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228</w:t>
          </w:r>
          <w:r>
            <w:rPr>
              <w:rFonts w:ascii="Calibri" w:hAnsi="Calibri" w:eastAsia="Calibri" w:cs="Calibri"/>
              <w:spacing w:val="1"/>
              <w:sz w:val="21"/>
              <w:szCs w:val="21"/>
            </w:rPr>
            <w:fldChar w:fldCharType="end"/>
          </w:r>
        </w:p>
        <w:p w14:paraId="09044EED">
          <w:pPr>
            <w:tabs>
              <w:tab w:val="right" w:leader="dot" w:pos="9252"/>
            </w:tabs>
            <w:spacing w:before="67" w:line="205" w:lineRule="auto"/>
            <w:ind w:left="24"/>
            <w:rPr>
              <w:rFonts w:ascii="Calibri" w:hAnsi="Calibri" w:eastAsia="Calibri" w:cs="Calibri"/>
              <w:sz w:val="21"/>
              <w:szCs w:val="21"/>
            </w:rPr>
          </w:pPr>
          <w:r>
            <w:fldChar w:fldCharType="begin"/>
          </w:r>
          <w:r>
            <w:instrText xml:space="preserve"> HYPERLINK \l "bookmark540" </w:instrText>
          </w:r>
          <w:r>
            <w:fldChar w:fldCharType="separate"/>
          </w:r>
          <w:r>
            <w:rPr>
              <w:rFonts w:ascii="宋体" w:hAnsi="宋体" w:eastAsia="宋体" w:cs="宋体"/>
              <w:spacing w:val="-3"/>
              <w:sz w:val="21"/>
              <w:szCs w:val="21"/>
            </w:rPr>
            <w:t>第二卷</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5"/>
              <w:sz w:val="21"/>
              <w:szCs w:val="21"/>
            </w:rPr>
            <w:t>229</w:t>
          </w:r>
          <w:r>
            <w:rPr>
              <w:rFonts w:ascii="Calibri" w:hAnsi="Calibri" w:eastAsia="Calibri" w:cs="Calibri"/>
              <w:spacing w:val="-5"/>
              <w:sz w:val="21"/>
              <w:szCs w:val="21"/>
            </w:rPr>
            <w:fldChar w:fldCharType="end"/>
          </w:r>
        </w:p>
        <w:p w14:paraId="2B3F3C33">
          <w:pPr>
            <w:tabs>
              <w:tab w:val="right" w:leader="dot" w:pos="9252"/>
            </w:tabs>
            <w:spacing w:before="82" w:line="205" w:lineRule="auto"/>
            <w:ind w:left="24"/>
            <w:rPr>
              <w:rFonts w:ascii="Calibri" w:hAnsi="Calibri" w:eastAsia="Calibri" w:cs="Calibri"/>
              <w:sz w:val="21"/>
              <w:szCs w:val="21"/>
            </w:rPr>
          </w:pPr>
          <w:r>
            <w:fldChar w:fldCharType="begin"/>
          </w:r>
          <w:r>
            <w:instrText xml:space="preserve"> HYPERLINK \l "bookmark541" </w:instrText>
          </w:r>
          <w:r>
            <w:fldChar w:fldCharType="separate"/>
          </w:r>
          <w:r>
            <w:rPr>
              <w:rFonts w:ascii="宋体" w:hAnsi="宋体" w:eastAsia="宋体" w:cs="宋体"/>
              <w:spacing w:val="-8"/>
              <w:sz w:val="21"/>
              <w:szCs w:val="21"/>
            </w:rPr>
            <w:t>第六章</w:t>
          </w:r>
          <w:r>
            <w:rPr>
              <w:rFonts w:ascii="宋体" w:hAnsi="宋体" w:eastAsia="宋体" w:cs="宋体"/>
              <w:spacing w:val="32"/>
              <w:sz w:val="21"/>
              <w:szCs w:val="21"/>
            </w:rPr>
            <w:t xml:space="preserve"> </w:t>
          </w:r>
          <w:r>
            <w:rPr>
              <w:rFonts w:ascii="宋体" w:hAnsi="宋体" w:eastAsia="宋体" w:cs="宋体"/>
              <w:spacing w:val="-8"/>
              <w:sz w:val="21"/>
              <w:szCs w:val="21"/>
            </w:rPr>
            <w:t>图纸</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54"/>
              <w:sz w:val="21"/>
              <w:szCs w:val="21"/>
            </w:rPr>
            <w:t xml:space="preserve"> </w:t>
          </w:r>
          <w:r>
            <w:rPr>
              <w:rFonts w:ascii="Calibri" w:hAnsi="Calibri" w:eastAsia="Calibri" w:cs="Calibri"/>
              <w:spacing w:val="-5"/>
              <w:sz w:val="21"/>
              <w:szCs w:val="21"/>
            </w:rPr>
            <w:t>230</w:t>
          </w:r>
          <w:r>
            <w:rPr>
              <w:rFonts w:ascii="Calibri" w:hAnsi="Calibri" w:eastAsia="Calibri" w:cs="Calibri"/>
              <w:spacing w:val="-5"/>
              <w:sz w:val="21"/>
              <w:szCs w:val="21"/>
            </w:rPr>
            <w:fldChar w:fldCharType="end"/>
          </w:r>
        </w:p>
        <w:p w14:paraId="30A28543">
          <w:pPr>
            <w:tabs>
              <w:tab w:val="right" w:leader="dot" w:pos="8322"/>
            </w:tabs>
            <w:spacing w:before="97" w:line="205" w:lineRule="auto"/>
            <w:ind w:left="450"/>
            <w:rPr>
              <w:rFonts w:ascii="Calibri" w:hAnsi="Calibri" w:eastAsia="Calibri" w:cs="Calibri"/>
              <w:sz w:val="21"/>
              <w:szCs w:val="21"/>
            </w:rPr>
          </w:pPr>
          <w:r>
            <w:fldChar w:fldCharType="begin"/>
          </w:r>
          <w:r>
            <w:instrText xml:space="preserve"> HYPERLINK \l "bookmark542" </w:instrText>
          </w:r>
          <w:r>
            <w:fldChar w:fldCharType="separate"/>
          </w:r>
          <w:r>
            <w:rPr>
              <w:rFonts w:ascii="Times New Roman" w:hAnsi="Times New Roman" w:eastAsia="Times New Roman" w:cs="Times New Roman"/>
              <w:b/>
              <w:bCs/>
              <w:spacing w:val="-4"/>
              <w:sz w:val="21"/>
              <w:szCs w:val="21"/>
            </w:rPr>
            <w:t>1</w:t>
          </w:r>
          <w:r>
            <w:rPr>
              <w:rFonts w:ascii="黑体" w:hAnsi="黑体" w:eastAsia="黑体" w:cs="黑体"/>
              <w:b/>
              <w:bCs/>
              <w:spacing w:val="-4"/>
              <w:sz w:val="21"/>
              <w:szCs w:val="21"/>
            </w:rPr>
            <w:t>．图纸目录</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230</w:t>
          </w:r>
          <w:r>
            <w:rPr>
              <w:rFonts w:ascii="Calibri" w:hAnsi="Calibri" w:eastAsia="Calibri" w:cs="Calibri"/>
              <w:spacing w:val="1"/>
              <w:sz w:val="21"/>
              <w:szCs w:val="21"/>
            </w:rPr>
            <w:fldChar w:fldCharType="end"/>
          </w:r>
        </w:p>
        <w:p w14:paraId="300D1327">
          <w:pPr>
            <w:tabs>
              <w:tab w:val="right" w:leader="dot" w:pos="8322"/>
            </w:tabs>
            <w:spacing w:before="67" w:line="205" w:lineRule="auto"/>
            <w:ind w:left="448"/>
            <w:rPr>
              <w:rFonts w:ascii="Calibri" w:hAnsi="Calibri" w:eastAsia="Calibri" w:cs="Calibri"/>
              <w:sz w:val="21"/>
              <w:szCs w:val="21"/>
            </w:rPr>
          </w:pPr>
          <w:r>
            <w:fldChar w:fldCharType="begin"/>
          </w:r>
          <w:r>
            <w:instrText xml:space="preserve"> HYPERLINK \l "bookmark543" </w:instrText>
          </w:r>
          <w:r>
            <w:fldChar w:fldCharType="separate"/>
          </w:r>
          <w:r>
            <w:rPr>
              <w:rFonts w:ascii="Calibri" w:hAnsi="Calibri" w:eastAsia="Calibri" w:cs="Calibri"/>
              <w:spacing w:val="-10"/>
              <w:sz w:val="21"/>
              <w:szCs w:val="21"/>
            </w:rPr>
            <w:t>2</w:t>
          </w:r>
          <w:r>
            <w:rPr>
              <w:rFonts w:ascii="宋体" w:hAnsi="宋体" w:eastAsia="宋体" w:cs="宋体"/>
              <w:spacing w:val="-10"/>
              <w:sz w:val="21"/>
              <w:szCs w:val="21"/>
            </w:rPr>
            <w:t>．</w:t>
          </w:r>
          <w:r>
            <w:rPr>
              <w:rFonts w:ascii="宋体" w:hAnsi="宋体" w:eastAsia="宋体" w:cs="宋体"/>
              <w:spacing w:val="22"/>
              <w:sz w:val="21"/>
              <w:szCs w:val="21"/>
            </w:rPr>
            <w:t xml:space="preserve"> </w:t>
          </w:r>
          <w:r>
            <w:rPr>
              <w:rFonts w:ascii="黑体" w:hAnsi="黑体" w:eastAsia="黑体" w:cs="黑体"/>
              <w:b/>
              <w:bCs/>
              <w:spacing w:val="-10"/>
              <w:sz w:val="21"/>
              <w:szCs w:val="21"/>
            </w:rPr>
            <w:t>图纸</w:t>
          </w:r>
          <w:r>
            <w:rPr>
              <w:rFonts w:ascii="黑体" w:hAnsi="黑体" w:eastAsia="黑体" w:cs="黑体"/>
              <w:spacing w:val="-9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231</w:t>
          </w:r>
          <w:r>
            <w:rPr>
              <w:rFonts w:ascii="Calibri" w:hAnsi="Calibri" w:eastAsia="Calibri" w:cs="Calibri"/>
              <w:spacing w:val="1"/>
              <w:sz w:val="21"/>
              <w:szCs w:val="21"/>
            </w:rPr>
            <w:fldChar w:fldCharType="end"/>
          </w:r>
        </w:p>
        <w:p w14:paraId="2F5726E2">
          <w:pPr>
            <w:tabs>
              <w:tab w:val="right" w:leader="dot" w:pos="9252"/>
            </w:tabs>
            <w:spacing w:before="82" w:line="205" w:lineRule="auto"/>
            <w:ind w:left="24"/>
            <w:rPr>
              <w:rFonts w:ascii="Calibri" w:hAnsi="Calibri" w:eastAsia="Calibri" w:cs="Calibri"/>
              <w:sz w:val="21"/>
              <w:szCs w:val="21"/>
            </w:rPr>
          </w:pPr>
          <w:r>
            <w:fldChar w:fldCharType="begin"/>
          </w:r>
          <w:r>
            <w:instrText xml:space="preserve"> HYPERLINK \l "bookmark544" </w:instrText>
          </w:r>
          <w:r>
            <w:fldChar w:fldCharType="separate"/>
          </w:r>
          <w:r>
            <w:rPr>
              <w:rFonts w:ascii="宋体" w:hAnsi="宋体" w:eastAsia="宋体" w:cs="宋体"/>
              <w:spacing w:val="-3"/>
              <w:sz w:val="21"/>
              <w:szCs w:val="21"/>
            </w:rPr>
            <w:t>第三卷</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5"/>
              <w:sz w:val="21"/>
              <w:szCs w:val="21"/>
            </w:rPr>
            <w:t>232</w:t>
          </w:r>
          <w:r>
            <w:rPr>
              <w:rFonts w:ascii="Calibri" w:hAnsi="Calibri" w:eastAsia="Calibri" w:cs="Calibri"/>
              <w:spacing w:val="-5"/>
              <w:sz w:val="21"/>
              <w:szCs w:val="21"/>
            </w:rPr>
            <w:fldChar w:fldCharType="end"/>
          </w:r>
        </w:p>
        <w:p w14:paraId="2EE393F6">
          <w:pPr>
            <w:tabs>
              <w:tab w:val="right" w:leader="dot" w:pos="9252"/>
            </w:tabs>
            <w:spacing w:before="67" w:line="205" w:lineRule="auto"/>
            <w:ind w:left="24"/>
            <w:rPr>
              <w:rFonts w:ascii="Calibri" w:hAnsi="Calibri" w:eastAsia="Calibri" w:cs="Calibri"/>
              <w:sz w:val="21"/>
              <w:szCs w:val="21"/>
            </w:rPr>
          </w:pPr>
          <w:r>
            <w:fldChar w:fldCharType="begin"/>
          </w:r>
          <w:r>
            <w:instrText xml:space="preserve"> HYPERLINK \l "bookmark545" </w:instrText>
          </w:r>
          <w:r>
            <w:fldChar w:fldCharType="separate"/>
          </w:r>
          <w:r>
            <w:rPr>
              <w:rFonts w:ascii="宋体" w:hAnsi="宋体" w:eastAsia="宋体" w:cs="宋体"/>
              <w:spacing w:val="-1"/>
              <w:sz w:val="21"/>
              <w:szCs w:val="21"/>
            </w:rPr>
            <w:t>第七章 技术标准和要求</w:t>
          </w:r>
          <w:r>
            <w:rPr>
              <w:rFonts w:ascii="宋体" w:hAnsi="宋体" w:eastAsia="宋体" w:cs="宋体"/>
              <w:spacing w:val="-71"/>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5"/>
              <w:sz w:val="21"/>
              <w:szCs w:val="21"/>
            </w:rPr>
            <w:t>233</w:t>
          </w:r>
          <w:r>
            <w:rPr>
              <w:rFonts w:ascii="Calibri" w:hAnsi="Calibri" w:eastAsia="Calibri" w:cs="Calibri"/>
              <w:spacing w:val="-5"/>
              <w:sz w:val="21"/>
              <w:szCs w:val="21"/>
            </w:rPr>
            <w:fldChar w:fldCharType="end"/>
          </w:r>
        </w:p>
        <w:p w14:paraId="694874EF">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"bookmark546" </w:instrText>
          </w:r>
          <w:r>
            <w:fldChar w:fldCharType="separate"/>
          </w:r>
          <w:r>
            <w:rPr>
              <w:rFonts w:ascii="黑体" w:hAnsi="黑体" w:eastAsia="黑体" w:cs="黑体"/>
              <w:b/>
              <w:bCs/>
              <w:spacing w:val="-3"/>
              <w:sz w:val="21"/>
              <w:szCs w:val="21"/>
            </w:rPr>
            <w:t>第一节</w:t>
          </w:r>
          <w:r>
            <w:rPr>
              <w:rFonts w:ascii="黑体" w:hAnsi="黑体" w:eastAsia="黑体" w:cs="黑体"/>
              <w:spacing w:val="-3"/>
              <w:sz w:val="21"/>
              <w:szCs w:val="21"/>
            </w:rPr>
            <w:t xml:space="preserve"> </w:t>
          </w:r>
          <w:r>
            <w:rPr>
              <w:rFonts w:ascii="黑体" w:hAnsi="黑体" w:eastAsia="黑体" w:cs="黑体"/>
              <w:b/>
              <w:bCs/>
              <w:spacing w:val="-3"/>
              <w:sz w:val="21"/>
              <w:szCs w:val="21"/>
            </w:rPr>
            <w:t>一般要求</w:t>
          </w:r>
          <w:r>
            <w:rPr>
              <w:rFonts w:ascii="黑体" w:hAnsi="黑体" w:eastAsia="黑体" w:cs="黑体"/>
              <w:spacing w:val="-4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234</w:t>
          </w:r>
          <w:r>
            <w:rPr>
              <w:rFonts w:ascii="Calibri" w:hAnsi="Calibri" w:eastAsia="Calibri" w:cs="Calibri"/>
              <w:spacing w:val="1"/>
              <w:sz w:val="21"/>
              <w:szCs w:val="21"/>
            </w:rPr>
            <w:fldChar w:fldCharType="end"/>
          </w:r>
        </w:p>
        <w:p w14:paraId="1B3E0CB5">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"bookmark547" </w:instrText>
          </w:r>
          <w:r>
            <w:fldChar w:fldCharType="separate"/>
          </w:r>
          <w:r>
            <w:rPr>
              <w:rFonts w:ascii="Times New Roman" w:hAnsi="Times New Roman" w:eastAsia="Times New Roman" w:cs="Times New Roman"/>
              <w:spacing w:val="-3"/>
              <w:sz w:val="21"/>
              <w:szCs w:val="21"/>
            </w:rPr>
            <w:t>1.</w:t>
          </w:r>
          <w:r>
            <w:rPr>
              <w:rFonts w:ascii="黑体" w:hAnsi="黑体" w:eastAsia="黑体" w:cs="黑体"/>
              <w:spacing w:val="-3"/>
              <w:sz w:val="21"/>
              <w:szCs w:val="21"/>
            </w:rPr>
            <w:t>工程说明</w:t>
          </w:r>
          <w:r>
            <w:rPr>
              <w:rFonts w:ascii="黑体" w:hAnsi="黑体" w:eastAsia="黑体" w:cs="黑体"/>
              <w:spacing w:val="-7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234</w:t>
          </w:r>
          <w:r>
            <w:rPr>
              <w:rFonts w:ascii="Calibri" w:hAnsi="Calibri" w:eastAsia="Calibri" w:cs="Calibri"/>
              <w:spacing w:val="1"/>
              <w:sz w:val="21"/>
              <w:szCs w:val="21"/>
            </w:rPr>
            <w:fldChar w:fldCharType="end"/>
          </w:r>
        </w:p>
        <w:p w14:paraId="046E19A7">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"bookmark548" </w:instrText>
          </w:r>
          <w:r>
            <w:fldChar w:fldCharType="separate"/>
          </w:r>
          <w:r>
            <w:rPr>
              <w:rFonts w:ascii="Times New Roman" w:hAnsi="Times New Roman" w:eastAsia="Times New Roman" w:cs="Times New Roman"/>
              <w:sz w:val="21"/>
              <w:szCs w:val="21"/>
            </w:rPr>
            <w:t>2.</w:t>
          </w:r>
          <w:r>
            <w:rPr>
              <w:rFonts w:ascii="黑体" w:hAnsi="黑体" w:eastAsia="黑体" w:cs="黑体"/>
              <w:sz w:val="21"/>
              <w:szCs w:val="21"/>
            </w:rPr>
            <w:t>承包范围</w:t>
          </w:r>
          <w:r>
            <w:rPr>
              <w:rFonts w:ascii="黑体" w:hAnsi="黑体" w:eastAsia="黑体" w:cs="黑体"/>
              <w:spacing w:val="-72"/>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235</w:t>
          </w:r>
          <w:r>
            <w:rPr>
              <w:rFonts w:ascii="Calibri" w:hAnsi="Calibri" w:eastAsia="Calibri" w:cs="Calibri"/>
              <w:spacing w:val="1"/>
              <w:sz w:val="21"/>
              <w:szCs w:val="21"/>
            </w:rPr>
            <w:fldChar w:fldCharType="end"/>
          </w:r>
        </w:p>
        <w:p w14:paraId="084DDCB2">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"bookmark549" </w:instrText>
          </w:r>
          <w:r>
            <w:fldChar w:fldCharType="separate"/>
          </w:r>
          <w:r>
            <w:rPr>
              <w:rFonts w:ascii="Times New Roman" w:hAnsi="Times New Roman" w:eastAsia="Times New Roman" w:cs="Times New Roman"/>
              <w:sz w:val="21"/>
              <w:szCs w:val="21"/>
            </w:rPr>
            <w:t>3.</w:t>
          </w:r>
          <w:r>
            <w:rPr>
              <w:rFonts w:ascii="黑体" w:hAnsi="黑体" w:eastAsia="黑体" w:cs="黑体"/>
              <w:sz w:val="21"/>
              <w:szCs w:val="21"/>
            </w:rPr>
            <w:t>工期要求</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236</w:t>
          </w:r>
          <w:r>
            <w:rPr>
              <w:rFonts w:ascii="Calibri" w:hAnsi="Calibri" w:eastAsia="Calibri" w:cs="Calibri"/>
              <w:spacing w:val="1"/>
              <w:sz w:val="21"/>
              <w:szCs w:val="21"/>
            </w:rPr>
            <w:fldChar w:fldCharType="end"/>
          </w:r>
        </w:p>
        <w:p w14:paraId="385CF118">
          <w:pPr>
            <w:tabs>
              <w:tab w:val="right" w:leader="dot" w:pos="8322"/>
            </w:tabs>
            <w:spacing w:before="68" w:line="205" w:lineRule="auto"/>
            <w:ind w:left="860"/>
            <w:rPr>
              <w:rFonts w:ascii="Calibri" w:hAnsi="Calibri" w:eastAsia="Calibri" w:cs="Calibri"/>
              <w:sz w:val="21"/>
              <w:szCs w:val="21"/>
            </w:rPr>
          </w:pPr>
          <w:r>
            <w:fldChar w:fldCharType="begin"/>
          </w:r>
          <w:r>
            <w:instrText xml:space="preserve"> HYPERLINK \l "bookmark550" </w:instrText>
          </w:r>
          <w:r>
            <w:fldChar w:fldCharType="separate"/>
          </w:r>
          <w:r>
            <w:rPr>
              <w:rFonts w:ascii="Times New Roman" w:hAnsi="Times New Roman" w:eastAsia="Times New Roman" w:cs="Times New Roman"/>
              <w:sz w:val="21"/>
              <w:szCs w:val="21"/>
            </w:rPr>
            <w:t>4.</w:t>
          </w:r>
          <w:r>
            <w:rPr>
              <w:rFonts w:ascii="黑体" w:hAnsi="黑体" w:eastAsia="黑体" w:cs="黑体"/>
              <w:sz w:val="21"/>
              <w:szCs w:val="21"/>
            </w:rPr>
            <w:t>质量要求</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237</w:t>
          </w:r>
          <w:r>
            <w:rPr>
              <w:rFonts w:ascii="Calibri" w:hAnsi="Calibri" w:eastAsia="Calibri" w:cs="Calibri"/>
              <w:spacing w:val="1"/>
              <w:sz w:val="21"/>
              <w:szCs w:val="21"/>
            </w:rPr>
            <w:fldChar w:fldCharType="end"/>
          </w:r>
        </w:p>
        <w:p w14:paraId="25AADA78">
          <w:pPr>
            <w:tabs>
              <w:tab w:val="right" w:leader="dot" w:pos="8322"/>
            </w:tabs>
            <w:spacing w:before="81" w:line="205" w:lineRule="auto"/>
            <w:ind w:left="867"/>
            <w:rPr>
              <w:rFonts w:ascii="Calibri" w:hAnsi="Calibri" w:eastAsia="Calibri" w:cs="Calibri"/>
              <w:sz w:val="21"/>
              <w:szCs w:val="21"/>
            </w:rPr>
          </w:pPr>
          <w:r>
            <w:fldChar w:fldCharType="begin"/>
          </w:r>
          <w:r>
            <w:instrText xml:space="preserve"> HYPERLINK \l "bookmark551" </w:instrText>
          </w:r>
          <w:r>
            <w:fldChar w:fldCharType="separate"/>
          </w:r>
          <w:r>
            <w:rPr>
              <w:rFonts w:ascii="Times New Roman" w:hAnsi="Times New Roman" w:eastAsia="Times New Roman" w:cs="Times New Roman"/>
              <w:sz w:val="21"/>
              <w:szCs w:val="21"/>
            </w:rPr>
            <w:t>5.</w:t>
          </w:r>
          <w:r>
            <w:rPr>
              <w:rFonts w:ascii="黑体" w:hAnsi="黑体" w:eastAsia="黑体" w:cs="黑体"/>
              <w:sz w:val="21"/>
              <w:szCs w:val="21"/>
            </w:rPr>
            <w:t>适用规范和标准</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237</w:t>
          </w:r>
          <w:r>
            <w:rPr>
              <w:rFonts w:ascii="Calibri" w:hAnsi="Calibri" w:eastAsia="Calibri" w:cs="Calibri"/>
              <w:spacing w:val="2"/>
              <w:sz w:val="21"/>
              <w:szCs w:val="21"/>
            </w:rPr>
            <w:fldChar w:fldCharType="end"/>
          </w:r>
        </w:p>
        <w:p w14:paraId="48F56BC3">
          <w:pPr>
            <w:tabs>
              <w:tab w:val="right" w:leader="dot" w:pos="8322"/>
            </w:tabs>
            <w:spacing w:before="83" w:line="205" w:lineRule="auto"/>
            <w:ind w:left="866"/>
            <w:rPr>
              <w:rFonts w:ascii="Calibri" w:hAnsi="Calibri" w:eastAsia="Calibri" w:cs="Calibri"/>
              <w:sz w:val="21"/>
              <w:szCs w:val="21"/>
            </w:rPr>
          </w:pPr>
          <w:r>
            <w:fldChar w:fldCharType="begin"/>
          </w:r>
          <w:r>
            <w:instrText xml:space="preserve"> HYPERLINK \l "bookmark552" </w:instrText>
          </w:r>
          <w:r>
            <w:fldChar w:fldCharType="separate"/>
          </w:r>
          <w:r>
            <w:rPr>
              <w:rFonts w:ascii="Times New Roman" w:hAnsi="Times New Roman" w:eastAsia="Times New Roman" w:cs="Times New Roman"/>
              <w:sz w:val="21"/>
              <w:szCs w:val="21"/>
            </w:rPr>
            <w:t>6.</w:t>
          </w:r>
          <w:r>
            <w:rPr>
              <w:rFonts w:ascii="黑体" w:hAnsi="黑体" w:eastAsia="黑体" w:cs="黑体"/>
              <w:sz w:val="21"/>
              <w:szCs w:val="21"/>
            </w:rPr>
            <w:t>安全文明施工</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238</w:t>
          </w:r>
          <w:r>
            <w:rPr>
              <w:rFonts w:ascii="Calibri" w:hAnsi="Calibri" w:eastAsia="Calibri" w:cs="Calibri"/>
              <w:spacing w:val="2"/>
              <w:sz w:val="21"/>
              <w:szCs w:val="21"/>
            </w:rPr>
            <w:fldChar w:fldCharType="end"/>
          </w:r>
        </w:p>
        <w:p w14:paraId="3E7D13CB">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"bookmark553" </w:instrText>
          </w:r>
          <w:r>
            <w:fldChar w:fldCharType="separate"/>
          </w:r>
          <w:r>
            <w:rPr>
              <w:rFonts w:ascii="Times New Roman" w:hAnsi="Times New Roman" w:eastAsia="Times New Roman" w:cs="Times New Roman"/>
              <w:sz w:val="21"/>
              <w:szCs w:val="21"/>
            </w:rPr>
            <w:t>7.</w:t>
          </w:r>
          <w:r>
            <w:rPr>
              <w:rFonts w:ascii="黑体" w:hAnsi="黑体" w:eastAsia="黑体" w:cs="黑体"/>
              <w:sz w:val="21"/>
              <w:szCs w:val="21"/>
            </w:rPr>
            <w:t>治安保卫</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247</w:t>
          </w:r>
          <w:r>
            <w:rPr>
              <w:rFonts w:ascii="Calibri" w:hAnsi="Calibri" w:eastAsia="Calibri" w:cs="Calibri"/>
              <w:spacing w:val="1"/>
              <w:sz w:val="21"/>
              <w:szCs w:val="21"/>
            </w:rPr>
            <w:fldChar w:fldCharType="end"/>
          </w:r>
        </w:p>
        <w:p w14:paraId="26C62295">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"bookmark554" </w:instrText>
          </w:r>
          <w:r>
            <w:fldChar w:fldCharType="separate"/>
          </w:r>
          <w:r>
            <w:rPr>
              <w:rFonts w:ascii="Times New Roman" w:hAnsi="Times New Roman" w:eastAsia="Times New Roman" w:cs="Times New Roman"/>
              <w:sz w:val="21"/>
              <w:szCs w:val="21"/>
            </w:rPr>
            <w:t>8.</w:t>
          </w:r>
          <w:r>
            <w:rPr>
              <w:rFonts w:ascii="黑体" w:hAnsi="黑体" w:eastAsia="黑体" w:cs="黑体"/>
              <w:sz w:val="21"/>
              <w:szCs w:val="21"/>
            </w:rPr>
            <w:t>地上、地下设施和周边建筑物的临时保护</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248</w:t>
          </w:r>
          <w:r>
            <w:rPr>
              <w:rFonts w:ascii="Calibri" w:hAnsi="Calibri" w:eastAsia="Calibri" w:cs="Calibri"/>
              <w:spacing w:val="2"/>
              <w:sz w:val="21"/>
              <w:szCs w:val="21"/>
            </w:rPr>
            <w:fldChar w:fldCharType="end"/>
          </w:r>
        </w:p>
        <w:p w14:paraId="626C1B1E">
          <w:pPr>
            <w:tabs>
              <w:tab w:val="right" w:leader="dot" w:pos="8322"/>
            </w:tabs>
            <w:spacing w:before="67" w:line="205" w:lineRule="auto"/>
            <w:ind w:left="865"/>
            <w:rPr>
              <w:rFonts w:ascii="Calibri" w:hAnsi="Calibri" w:eastAsia="Calibri" w:cs="Calibri"/>
              <w:sz w:val="21"/>
              <w:szCs w:val="21"/>
            </w:rPr>
          </w:pPr>
          <w:r>
            <w:fldChar w:fldCharType="begin"/>
          </w:r>
          <w:r>
            <w:instrText xml:space="preserve"> HYPERLINK \l "bookmark555" </w:instrText>
          </w:r>
          <w:r>
            <w:fldChar w:fldCharType="separate"/>
          </w:r>
          <w:r>
            <w:rPr>
              <w:rFonts w:ascii="Times New Roman" w:hAnsi="Times New Roman" w:eastAsia="Times New Roman" w:cs="Times New Roman"/>
              <w:sz w:val="21"/>
              <w:szCs w:val="21"/>
            </w:rPr>
            <w:t>9.</w:t>
          </w:r>
          <w:r>
            <w:rPr>
              <w:rFonts w:ascii="黑体" w:hAnsi="黑体" w:eastAsia="黑体" w:cs="黑体"/>
              <w:sz w:val="21"/>
              <w:szCs w:val="21"/>
            </w:rPr>
            <w:t>样品和材料代换</w:t>
          </w:r>
          <w:r>
            <w:rPr>
              <w:rFonts w:ascii="黑体" w:hAnsi="黑体" w:eastAsia="黑体" w:cs="黑体"/>
              <w:spacing w:val="-4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249</w:t>
          </w:r>
          <w:r>
            <w:rPr>
              <w:rFonts w:ascii="Calibri" w:hAnsi="Calibri" w:eastAsia="Calibri" w:cs="Calibri"/>
              <w:spacing w:val="2"/>
              <w:sz w:val="21"/>
              <w:szCs w:val="21"/>
            </w:rPr>
            <w:fldChar w:fldCharType="end"/>
          </w:r>
        </w:p>
        <w:p w14:paraId="2723ABAE">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"bookmark556" </w:instrText>
          </w:r>
          <w:r>
            <w:fldChar w:fldCharType="separate"/>
          </w:r>
          <w:r>
            <w:rPr>
              <w:rFonts w:ascii="Times New Roman" w:hAnsi="Times New Roman" w:eastAsia="Times New Roman" w:cs="Times New Roman"/>
              <w:spacing w:val="-2"/>
              <w:sz w:val="21"/>
              <w:szCs w:val="21"/>
            </w:rPr>
            <w:t>10.</w:t>
          </w:r>
          <w:r>
            <w:rPr>
              <w:rFonts w:ascii="黑体" w:hAnsi="黑体" w:eastAsia="黑体" w:cs="黑体"/>
              <w:spacing w:val="-2"/>
              <w:sz w:val="21"/>
              <w:szCs w:val="21"/>
            </w:rPr>
            <w:t>进口材料和工程设备</w:t>
          </w:r>
          <w:r>
            <w:rPr>
              <w:rFonts w:ascii="黑体" w:hAnsi="黑体" w:eastAsia="黑体" w:cs="黑体"/>
              <w:spacing w:val="-8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251</w:t>
          </w:r>
          <w:r>
            <w:rPr>
              <w:rFonts w:ascii="Calibri" w:hAnsi="Calibri" w:eastAsia="Calibri" w:cs="Calibri"/>
              <w:spacing w:val="2"/>
              <w:sz w:val="21"/>
              <w:szCs w:val="21"/>
            </w:rPr>
            <w:fldChar w:fldCharType="end"/>
          </w:r>
        </w:p>
        <w:p w14:paraId="32FD47D3">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"bookmark557" </w:instrText>
          </w:r>
          <w:r>
            <w:fldChar w:fldCharType="separate"/>
          </w:r>
          <w:r>
            <w:rPr>
              <w:rFonts w:ascii="Times New Roman" w:hAnsi="Times New Roman" w:eastAsia="Times New Roman" w:cs="Times New Roman"/>
              <w:spacing w:val="-3"/>
              <w:sz w:val="21"/>
              <w:szCs w:val="21"/>
            </w:rPr>
            <w:t>11.</w:t>
          </w:r>
          <w:r>
            <w:rPr>
              <w:rFonts w:ascii="黑体" w:hAnsi="黑体" w:eastAsia="黑体" w:cs="黑体"/>
              <w:spacing w:val="-3"/>
              <w:sz w:val="21"/>
              <w:szCs w:val="21"/>
            </w:rPr>
            <w:t>进度报告和进度例会</w:t>
          </w:r>
          <w:r>
            <w:rPr>
              <w:rFonts w:ascii="黑体" w:hAnsi="黑体" w:eastAsia="黑体" w:cs="黑体"/>
              <w:spacing w:val="-7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251</w:t>
          </w:r>
          <w:r>
            <w:rPr>
              <w:rFonts w:ascii="Calibri" w:hAnsi="Calibri" w:eastAsia="Calibri" w:cs="Calibri"/>
              <w:spacing w:val="2"/>
              <w:sz w:val="21"/>
              <w:szCs w:val="21"/>
            </w:rPr>
            <w:fldChar w:fldCharType="end"/>
          </w:r>
        </w:p>
        <w:p w14:paraId="10B0369C">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"bookmark558" </w:instrText>
          </w:r>
          <w:r>
            <w:fldChar w:fldCharType="separate"/>
          </w:r>
          <w:r>
            <w:rPr>
              <w:rFonts w:ascii="Times New Roman" w:hAnsi="Times New Roman" w:eastAsia="Times New Roman" w:cs="Times New Roman"/>
              <w:spacing w:val="-2"/>
              <w:sz w:val="21"/>
              <w:szCs w:val="21"/>
            </w:rPr>
            <w:t>12.</w:t>
          </w:r>
          <w:r>
            <w:rPr>
              <w:rFonts w:ascii="黑体" w:hAnsi="黑体" w:eastAsia="黑体" w:cs="黑体"/>
              <w:spacing w:val="-2"/>
              <w:sz w:val="21"/>
              <w:szCs w:val="21"/>
            </w:rPr>
            <w:t>试验和检验</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252</w:t>
          </w:r>
          <w:r>
            <w:rPr>
              <w:rFonts w:ascii="Calibri" w:hAnsi="Calibri" w:eastAsia="Calibri" w:cs="Calibri"/>
              <w:spacing w:val="1"/>
              <w:sz w:val="21"/>
              <w:szCs w:val="21"/>
            </w:rPr>
            <w:fldChar w:fldCharType="end"/>
          </w:r>
        </w:p>
        <w:p w14:paraId="7503AC55">
          <w:pPr>
            <w:tabs>
              <w:tab w:val="right" w:leader="dot" w:pos="8322"/>
            </w:tabs>
            <w:spacing w:before="83" w:line="205" w:lineRule="auto"/>
            <w:ind w:left="881"/>
            <w:rPr>
              <w:rFonts w:ascii="Calibri" w:hAnsi="Calibri" w:eastAsia="Calibri" w:cs="Calibri"/>
              <w:sz w:val="21"/>
              <w:szCs w:val="21"/>
            </w:rPr>
          </w:pPr>
          <w:r>
            <w:fldChar w:fldCharType="begin"/>
          </w:r>
          <w:r>
            <w:instrText xml:space="preserve"> HYPERLINK \l "bookmark559" </w:instrText>
          </w:r>
          <w:r>
            <w:fldChar w:fldCharType="separate"/>
          </w:r>
          <w:r>
            <w:rPr>
              <w:rFonts w:ascii="Times New Roman" w:hAnsi="Times New Roman" w:eastAsia="Times New Roman" w:cs="Times New Roman"/>
              <w:spacing w:val="-3"/>
              <w:sz w:val="21"/>
              <w:szCs w:val="21"/>
            </w:rPr>
            <w:t>13.</w:t>
          </w:r>
          <w:r>
            <w:rPr>
              <w:rFonts w:ascii="黑体" w:hAnsi="黑体" w:eastAsia="黑体" w:cs="黑体"/>
              <w:spacing w:val="-3"/>
              <w:sz w:val="21"/>
              <w:szCs w:val="21"/>
            </w:rPr>
            <w:t>计日工</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253</w:t>
          </w:r>
          <w:r>
            <w:rPr>
              <w:rFonts w:ascii="Calibri" w:hAnsi="Calibri" w:eastAsia="Calibri" w:cs="Calibri"/>
              <w:spacing w:val="1"/>
              <w:sz w:val="21"/>
              <w:szCs w:val="21"/>
            </w:rPr>
            <w:fldChar w:fldCharType="end"/>
          </w:r>
        </w:p>
        <w:p w14:paraId="79C64BD3">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"bookmark560" </w:instrText>
          </w:r>
          <w:r>
            <w:fldChar w:fldCharType="separate"/>
          </w:r>
          <w:r>
            <w:rPr>
              <w:rFonts w:ascii="Times New Roman" w:hAnsi="Times New Roman" w:eastAsia="Times New Roman" w:cs="Times New Roman"/>
              <w:spacing w:val="-2"/>
              <w:sz w:val="21"/>
              <w:szCs w:val="21"/>
            </w:rPr>
            <w:t>14.</w:t>
          </w:r>
          <w:r>
            <w:rPr>
              <w:rFonts w:ascii="黑体" w:hAnsi="黑体" w:eastAsia="黑体" w:cs="黑体"/>
              <w:spacing w:val="-2"/>
              <w:sz w:val="21"/>
              <w:szCs w:val="21"/>
            </w:rPr>
            <w:t>计量与支付</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254</w:t>
          </w:r>
          <w:r>
            <w:rPr>
              <w:rFonts w:ascii="Calibri" w:hAnsi="Calibri" w:eastAsia="Calibri" w:cs="Calibri"/>
              <w:spacing w:val="1"/>
              <w:sz w:val="21"/>
              <w:szCs w:val="21"/>
            </w:rPr>
            <w:fldChar w:fldCharType="end"/>
          </w:r>
        </w:p>
        <w:p w14:paraId="2BA7D5D1">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"bookmark561" </w:instrText>
          </w:r>
          <w:r>
            <w:fldChar w:fldCharType="separate"/>
          </w:r>
          <w:r>
            <w:rPr>
              <w:rFonts w:ascii="Times New Roman" w:hAnsi="Times New Roman" w:eastAsia="Times New Roman" w:cs="Times New Roman"/>
              <w:spacing w:val="-2"/>
              <w:sz w:val="21"/>
              <w:szCs w:val="21"/>
            </w:rPr>
            <w:t>15.</w:t>
          </w:r>
          <w:r>
            <w:rPr>
              <w:rFonts w:ascii="黑体" w:hAnsi="黑体" w:eastAsia="黑体" w:cs="黑体"/>
              <w:spacing w:val="-2"/>
              <w:sz w:val="21"/>
              <w:szCs w:val="21"/>
            </w:rPr>
            <w:t>竣工验收和工程移交</w:t>
          </w:r>
          <w:r>
            <w:rPr>
              <w:rFonts w:ascii="黑体" w:hAnsi="黑体" w:eastAsia="黑体" w:cs="黑体"/>
              <w:spacing w:val="-8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256</w:t>
          </w:r>
          <w:r>
            <w:rPr>
              <w:rFonts w:ascii="Calibri" w:hAnsi="Calibri" w:eastAsia="Calibri" w:cs="Calibri"/>
              <w:spacing w:val="2"/>
              <w:sz w:val="21"/>
              <w:szCs w:val="21"/>
            </w:rPr>
            <w:fldChar w:fldCharType="end"/>
          </w:r>
        </w:p>
        <w:p w14:paraId="580F0FC2">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"bookmark562" </w:instrText>
          </w:r>
          <w:r>
            <w:fldChar w:fldCharType="separate"/>
          </w:r>
          <w:r>
            <w:rPr>
              <w:rFonts w:ascii="Times New Roman" w:hAnsi="Times New Roman" w:eastAsia="Times New Roman" w:cs="Times New Roman"/>
              <w:spacing w:val="-3"/>
              <w:sz w:val="21"/>
              <w:szCs w:val="21"/>
            </w:rPr>
            <w:t>16.</w:t>
          </w:r>
          <w:r>
            <w:rPr>
              <w:rFonts w:ascii="黑体" w:hAnsi="黑体" w:eastAsia="黑体" w:cs="黑体"/>
              <w:spacing w:val="-3"/>
              <w:sz w:val="21"/>
              <w:szCs w:val="21"/>
            </w:rPr>
            <w:t>其他要求</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257</w:t>
          </w:r>
          <w:r>
            <w:rPr>
              <w:rFonts w:ascii="Calibri" w:hAnsi="Calibri" w:eastAsia="Calibri" w:cs="Calibri"/>
              <w:spacing w:val="1"/>
              <w:sz w:val="21"/>
              <w:szCs w:val="21"/>
            </w:rPr>
            <w:fldChar w:fldCharType="end"/>
          </w:r>
        </w:p>
        <w:p w14:paraId="79E0121E">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"bookmark563" </w:instrText>
          </w:r>
          <w:r>
            <w:fldChar w:fldCharType="separate"/>
          </w:r>
          <w:r>
            <w:rPr>
              <w:rFonts w:ascii="黑体" w:hAnsi="黑体" w:eastAsia="黑体" w:cs="黑体"/>
              <w:b/>
              <w:bCs/>
              <w:spacing w:val="-2"/>
              <w:sz w:val="21"/>
              <w:szCs w:val="21"/>
            </w:rPr>
            <w:t>第二节</w:t>
          </w:r>
          <w:r>
            <w:rPr>
              <w:rFonts w:ascii="黑体" w:hAnsi="黑体" w:eastAsia="黑体" w:cs="黑体"/>
              <w:spacing w:val="-2"/>
              <w:sz w:val="21"/>
              <w:szCs w:val="21"/>
            </w:rPr>
            <w:t xml:space="preserve"> </w:t>
          </w:r>
          <w:r>
            <w:rPr>
              <w:rFonts w:ascii="黑体" w:hAnsi="黑体" w:eastAsia="黑体" w:cs="黑体"/>
              <w:b/>
              <w:bCs/>
              <w:spacing w:val="-2"/>
              <w:sz w:val="21"/>
              <w:szCs w:val="21"/>
            </w:rPr>
            <w:t>特殊技术标准和要求</w:t>
          </w:r>
          <w:r>
            <w:rPr>
              <w:rFonts w:ascii="黑体" w:hAnsi="黑体" w:eastAsia="黑体" w:cs="黑体"/>
              <w:spacing w:val="-8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619957E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"bookmark564" </w:instrText>
          </w:r>
          <w:r>
            <w:fldChar w:fldCharType="separate"/>
          </w:r>
          <w:r>
            <w:rPr>
              <w:rFonts w:ascii="Times New Roman" w:hAnsi="Times New Roman" w:eastAsia="Times New Roman" w:cs="Times New Roman"/>
              <w:spacing w:val="-2"/>
              <w:sz w:val="21"/>
              <w:szCs w:val="21"/>
            </w:rPr>
            <w:t>1</w:t>
          </w:r>
          <w:r>
            <w:rPr>
              <w:rFonts w:ascii="黑体" w:hAnsi="黑体" w:eastAsia="黑体" w:cs="黑体"/>
              <w:spacing w:val="-2"/>
              <w:sz w:val="21"/>
              <w:szCs w:val="21"/>
            </w:rPr>
            <w:t>．材料和工程设备技术要求</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258</w:t>
          </w:r>
          <w:r>
            <w:rPr>
              <w:rFonts w:ascii="Calibri" w:hAnsi="Calibri" w:eastAsia="Calibri" w:cs="Calibri"/>
              <w:spacing w:val="1"/>
              <w:sz w:val="21"/>
              <w:szCs w:val="21"/>
            </w:rPr>
            <w:fldChar w:fldCharType="end"/>
          </w:r>
        </w:p>
        <w:p w14:paraId="1E6BE0CE">
          <w:pPr>
            <w:tabs>
              <w:tab w:val="right" w:leader="dot" w:pos="8322"/>
            </w:tabs>
            <w:spacing w:before="67" w:line="205" w:lineRule="auto"/>
            <w:ind w:left="861"/>
            <w:rPr>
              <w:rFonts w:ascii="Calibri" w:hAnsi="Calibri" w:eastAsia="Calibri" w:cs="Calibri"/>
              <w:sz w:val="21"/>
              <w:szCs w:val="21"/>
            </w:rPr>
          </w:pPr>
          <w:r>
            <w:fldChar w:fldCharType="begin"/>
          </w:r>
          <w:r>
            <w:instrText xml:space="preserve"> HYPERLINK \l "bookmark565" </w:instrText>
          </w:r>
          <w:r>
            <w:fldChar w:fldCharType="separate"/>
          </w:r>
          <w:r>
            <w:rPr>
              <w:rFonts w:ascii="Times New Roman" w:hAnsi="Times New Roman" w:eastAsia="Times New Roman" w:cs="Times New Roman"/>
              <w:sz w:val="21"/>
              <w:szCs w:val="21"/>
            </w:rPr>
            <w:t>2.</w:t>
          </w:r>
          <w:r>
            <w:rPr>
              <w:rFonts w:ascii="黑体" w:hAnsi="黑体" w:eastAsia="黑体" w:cs="黑体"/>
              <w:sz w:val="21"/>
              <w:szCs w:val="21"/>
            </w:rPr>
            <w:t>特殊技术要求</w:t>
          </w:r>
          <w:r>
            <w:rPr>
              <w:rFonts w:ascii="黑体" w:hAnsi="黑体" w:eastAsia="黑体" w:cs="黑体"/>
              <w:spacing w:val="-7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258</w:t>
          </w:r>
          <w:r>
            <w:rPr>
              <w:rFonts w:ascii="Calibri" w:hAnsi="Calibri" w:eastAsia="Calibri" w:cs="Calibri"/>
              <w:spacing w:val="2"/>
              <w:sz w:val="21"/>
              <w:szCs w:val="21"/>
            </w:rPr>
            <w:fldChar w:fldCharType="end"/>
          </w:r>
        </w:p>
        <w:p w14:paraId="604BEBAB">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"bookmark566" </w:instrText>
          </w:r>
          <w:r>
            <w:fldChar w:fldCharType="separate"/>
          </w:r>
          <w:r>
            <w:rPr>
              <w:rFonts w:ascii="Times New Roman" w:hAnsi="Times New Roman" w:eastAsia="Times New Roman" w:cs="Times New Roman"/>
              <w:spacing w:val="-1"/>
              <w:sz w:val="21"/>
              <w:szCs w:val="21"/>
            </w:rPr>
            <w:t>3</w:t>
          </w:r>
          <w:r>
            <w:rPr>
              <w:rFonts w:ascii="黑体" w:hAnsi="黑体" w:eastAsia="黑体" w:cs="黑体"/>
              <w:spacing w:val="-1"/>
              <w:sz w:val="21"/>
              <w:szCs w:val="21"/>
            </w:rPr>
            <w:t>．新技术、新工艺和新材料</w:t>
          </w:r>
          <w:r>
            <w:rPr>
              <w:rFonts w:ascii="黑体" w:hAnsi="黑体" w:eastAsia="黑体" w:cs="黑体"/>
              <w:spacing w:val="-68"/>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258</w:t>
          </w:r>
          <w:r>
            <w:rPr>
              <w:rFonts w:ascii="Calibri" w:hAnsi="Calibri" w:eastAsia="Calibri" w:cs="Calibri"/>
              <w:spacing w:val="1"/>
              <w:sz w:val="21"/>
              <w:szCs w:val="21"/>
            </w:rPr>
            <w:fldChar w:fldCharType="end"/>
          </w:r>
        </w:p>
        <w:p w14:paraId="4C007F15">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"bookmark567" </w:instrText>
          </w:r>
          <w:r>
            <w:fldChar w:fldCharType="separate"/>
          </w:r>
          <w:r>
            <w:rPr>
              <w:rFonts w:ascii="Times New Roman" w:hAnsi="Times New Roman" w:eastAsia="Times New Roman" w:cs="Times New Roman"/>
              <w:sz w:val="21"/>
              <w:szCs w:val="21"/>
            </w:rPr>
            <w:t>4</w:t>
          </w:r>
          <w:r>
            <w:rPr>
              <w:rFonts w:ascii="黑体" w:hAnsi="黑体" w:eastAsia="黑体" w:cs="黑体"/>
              <w:sz w:val="21"/>
              <w:szCs w:val="21"/>
            </w:rPr>
            <w:t>．其他特殊技术标准和要求</w:t>
          </w:r>
          <w:r>
            <w:rPr>
              <w:rFonts w:ascii="黑体" w:hAnsi="黑体" w:eastAsia="黑体" w:cs="黑体"/>
              <w:spacing w:val="-7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259</w:t>
          </w:r>
          <w:r>
            <w:rPr>
              <w:rFonts w:ascii="Calibri" w:hAnsi="Calibri" w:eastAsia="Calibri" w:cs="Calibri"/>
              <w:spacing w:val="1"/>
              <w:sz w:val="21"/>
              <w:szCs w:val="21"/>
            </w:rPr>
            <w:fldChar w:fldCharType="end"/>
          </w:r>
        </w:p>
        <w:p w14:paraId="7CFA0715">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"bookmark568" </w:instrText>
          </w:r>
          <w:r>
            <w:fldChar w:fldCharType="separate"/>
          </w:r>
          <w:r>
            <w:rPr>
              <w:rFonts w:ascii="黑体" w:hAnsi="黑体" w:eastAsia="黑体" w:cs="黑体"/>
              <w:b/>
              <w:bCs/>
              <w:spacing w:val="-2"/>
              <w:sz w:val="21"/>
              <w:szCs w:val="21"/>
            </w:rPr>
            <w:t>第三节</w:t>
          </w:r>
          <w:r>
            <w:rPr>
              <w:rFonts w:ascii="黑体" w:hAnsi="黑体" w:eastAsia="黑体" w:cs="黑体"/>
              <w:spacing w:val="-2"/>
              <w:sz w:val="21"/>
              <w:szCs w:val="21"/>
            </w:rPr>
            <w:t xml:space="preserve"> </w:t>
          </w:r>
          <w:r>
            <w:rPr>
              <w:rFonts w:ascii="黑体" w:hAnsi="黑体" w:eastAsia="黑体" w:cs="黑体"/>
              <w:b/>
              <w:bCs/>
              <w:spacing w:val="-2"/>
              <w:sz w:val="21"/>
              <w:szCs w:val="21"/>
            </w:rPr>
            <w:t>适用的国家、行业以及地方规范、标准和规程</w:t>
          </w:r>
          <w:r>
            <w:rPr>
              <w:rFonts w:ascii="黑体" w:hAnsi="黑体" w:eastAsia="黑体" w:cs="黑体"/>
              <w:spacing w:val="-50"/>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260</w:t>
          </w:r>
          <w:r>
            <w:rPr>
              <w:rFonts w:ascii="Calibri" w:hAnsi="Calibri" w:eastAsia="Calibri" w:cs="Calibri"/>
              <w:spacing w:val="1"/>
              <w:sz w:val="21"/>
              <w:szCs w:val="21"/>
            </w:rPr>
            <w:fldChar w:fldCharType="end"/>
          </w:r>
        </w:p>
        <w:p w14:paraId="690BDA2B">
          <w:pPr>
            <w:tabs>
              <w:tab w:val="right" w:leader="dot" w:pos="8322"/>
            </w:tabs>
            <w:spacing w:before="83" w:line="205" w:lineRule="auto"/>
            <w:ind w:left="876"/>
            <w:rPr>
              <w:rFonts w:ascii="Calibri" w:hAnsi="Calibri" w:eastAsia="Calibri" w:cs="Calibri"/>
              <w:sz w:val="21"/>
              <w:szCs w:val="21"/>
            </w:rPr>
          </w:pPr>
          <w:r>
            <w:fldChar w:fldCharType="begin"/>
          </w:r>
          <w:r>
            <w:instrText xml:space="preserve"> HYPERLINK \l "bookmark569" </w:instrText>
          </w:r>
          <w:r>
            <w:fldChar w:fldCharType="separate"/>
          </w:r>
          <w:r>
            <w:rPr>
              <w:rFonts w:ascii="黑体" w:hAnsi="黑体" w:eastAsia="黑体" w:cs="黑体"/>
              <w:spacing w:val="-5"/>
              <w:sz w:val="21"/>
              <w:szCs w:val="21"/>
            </w:rPr>
            <w:t>附件</w:t>
          </w:r>
          <w:r>
            <w:rPr>
              <w:rFonts w:ascii="黑体" w:hAnsi="黑体" w:eastAsia="黑体" w:cs="黑体"/>
              <w:spacing w:val="-33"/>
              <w:sz w:val="21"/>
              <w:szCs w:val="21"/>
            </w:rPr>
            <w:t xml:space="preserve"> </w:t>
          </w:r>
          <w:r>
            <w:rPr>
              <w:rFonts w:ascii="Times New Roman" w:hAnsi="Times New Roman" w:eastAsia="Times New Roman" w:cs="Times New Roman"/>
              <w:spacing w:val="-5"/>
              <w:sz w:val="21"/>
              <w:szCs w:val="21"/>
            </w:rPr>
            <w:t>A</w:t>
          </w:r>
          <w:r>
            <w:rPr>
              <w:rFonts w:ascii="黑体" w:hAnsi="黑体" w:eastAsia="黑体" w:cs="黑体"/>
              <w:spacing w:val="-5"/>
              <w:sz w:val="21"/>
              <w:szCs w:val="21"/>
            </w:rPr>
            <w:t>：施工现场现状平面图</w:t>
          </w:r>
          <w:r>
            <w:rPr>
              <w:rFonts w:ascii="黑体" w:hAnsi="黑体" w:eastAsia="黑体" w:cs="黑体"/>
              <w:spacing w:val="-2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261</w:t>
          </w:r>
          <w:r>
            <w:rPr>
              <w:rFonts w:ascii="Calibri" w:hAnsi="Calibri" w:eastAsia="Calibri" w:cs="Calibri"/>
              <w:spacing w:val="1"/>
              <w:sz w:val="21"/>
              <w:szCs w:val="21"/>
            </w:rPr>
            <w:fldChar w:fldCharType="end"/>
          </w:r>
        </w:p>
        <w:p w14:paraId="0587B929">
          <w:pPr>
            <w:tabs>
              <w:tab w:val="right" w:leader="dot" w:pos="9252"/>
            </w:tabs>
            <w:spacing w:before="66"/>
            <w:ind w:left="24"/>
            <w:rPr>
              <w:rFonts w:ascii="Calibri" w:hAnsi="Calibri" w:eastAsia="Calibri" w:cs="Calibri"/>
              <w:sz w:val="21"/>
              <w:szCs w:val="21"/>
            </w:rPr>
          </w:pPr>
          <w:r>
            <w:fldChar w:fldCharType="begin"/>
          </w:r>
          <w:r>
            <w:instrText xml:space="preserve"> HYPERLINK \l "bookmark570" </w:instrText>
          </w:r>
          <w:r>
            <w:fldChar w:fldCharType="separate"/>
          </w:r>
          <w:r>
            <w:rPr>
              <w:rFonts w:ascii="宋体" w:hAnsi="宋体" w:eastAsia="宋体" w:cs="宋体"/>
              <w:spacing w:val="-3"/>
              <w:sz w:val="21"/>
              <w:szCs w:val="21"/>
            </w:rPr>
            <w:t>第四卷</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5"/>
              <w:sz w:val="21"/>
              <w:szCs w:val="21"/>
            </w:rPr>
            <w:t>262</w:t>
          </w:r>
          <w:r>
            <w:rPr>
              <w:rFonts w:ascii="Calibri" w:hAnsi="Calibri" w:eastAsia="Calibri" w:cs="Calibri"/>
              <w:spacing w:val="-5"/>
              <w:sz w:val="21"/>
              <w:szCs w:val="21"/>
            </w:rPr>
            <w:fldChar w:fldCharType="end"/>
          </w:r>
        </w:p>
      </w:sdtContent>
    </w:sdt>
    <w:p w14:paraId="4FE0F85B">
      <w:pPr>
        <w:rPr>
          <w:rFonts w:ascii="Calibri" w:hAnsi="Calibri" w:eastAsia="Calibri" w:cs="Calibri"/>
          <w:sz w:val="21"/>
          <w:szCs w:val="21"/>
        </w:rPr>
        <w:sectPr>
          <w:footerReference r:id="rId17" w:type="default"/>
          <w:pgSz w:w="11910" w:h="16845"/>
          <w:pgMar w:top="1431" w:right="869" w:bottom="1044" w:left="1786" w:header="0" w:footer="882" w:gutter="0"/>
          <w:cols w:space="720" w:num="1"/>
        </w:sectPr>
      </w:pPr>
    </w:p>
    <w:sdt>
      <w:sdtPr>
        <w:rPr>
          <w:rFonts w:ascii="宋体" w:hAnsi="宋体" w:eastAsia="宋体" w:cs="宋体"/>
          <w:sz w:val="21"/>
          <w:szCs w:val="21"/>
        </w:rPr>
        <w:id w:val="147458525"/>
        <w:docPartObj>
          <w:docPartGallery w:val="Table of Contents"/>
          <w:docPartUnique/>
        </w:docPartObj>
      </w:sdtPr>
      <w:sdtEndPr>
        <w:rPr>
          <w:rFonts w:ascii="Calibri" w:hAnsi="Calibri" w:eastAsia="Calibri" w:cs="Calibri"/>
          <w:sz w:val="21"/>
          <w:szCs w:val="21"/>
        </w:rPr>
      </w:sdtEndPr>
      <w:sdtContent>
        <w:p w14:paraId="5AF6E39F">
          <w:pPr>
            <w:tabs>
              <w:tab w:val="right" w:leader="dot" w:pos="9252"/>
            </w:tabs>
            <w:spacing w:before="54" w:line="205" w:lineRule="auto"/>
            <w:ind w:left="24"/>
            <w:rPr>
              <w:rFonts w:ascii="Calibri" w:hAnsi="Calibri" w:eastAsia="Calibri" w:cs="Calibri"/>
              <w:sz w:val="21"/>
              <w:szCs w:val="21"/>
            </w:rPr>
          </w:pPr>
          <w:r>
            <w:fldChar w:fldCharType="begin"/>
          </w:r>
          <w:r>
            <w:instrText xml:space="preserve"> HYPERLINK \l "bookmark571" </w:instrText>
          </w:r>
          <w:r>
            <w:fldChar w:fldCharType="separate"/>
          </w:r>
          <w:r>
            <w:rPr>
              <w:rFonts w:ascii="宋体" w:hAnsi="宋体" w:eastAsia="宋体" w:cs="宋体"/>
              <w:spacing w:val="-1"/>
              <w:sz w:val="21"/>
              <w:szCs w:val="21"/>
            </w:rPr>
            <w:t>第八章 投标文件格式</w:t>
          </w:r>
          <w:r>
            <w:rPr>
              <w:rFonts w:ascii="宋体" w:hAnsi="宋体" w:eastAsia="宋体" w:cs="宋体"/>
              <w:spacing w:val="-42"/>
              <w:sz w:val="21"/>
              <w:szCs w:val="21"/>
            </w:rPr>
            <w:t xml:space="preserve"> </w:t>
          </w:r>
          <w:r>
            <w:rPr>
              <w:rFonts w:ascii="宋体" w:hAnsi="宋体" w:eastAsia="宋体" w:cs="宋体"/>
              <w:sz w:val="21"/>
              <w:szCs w:val="21"/>
            </w:rPr>
            <w:tab/>
          </w:r>
          <w:r>
            <w:rPr>
              <w:rFonts w:ascii="宋体" w:hAnsi="宋体" w:eastAsia="宋体" w:cs="宋体"/>
              <w:spacing w:val="-55"/>
              <w:sz w:val="21"/>
              <w:szCs w:val="21"/>
            </w:rPr>
            <w:t xml:space="preserve"> </w:t>
          </w:r>
          <w:r>
            <w:rPr>
              <w:rFonts w:ascii="Calibri" w:hAnsi="Calibri" w:eastAsia="Calibri" w:cs="Calibri"/>
              <w:spacing w:val="-5"/>
              <w:sz w:val="21"/>
              <w:szCs w:val="21"/>
            </w:rPr>
            <w:t>263</w:t>
          </w:r>
          <w:r>
            <w:rPr>
              <w:rFonts w:ascii="Calibri" w:hAnsi="Calibri" w:eastAsia="Calibri" w:cs="Calibri"/>
              <w:spacing w:val="-5"/>
              <w:sz w:val="21"/>
              <w:szCs w:val="21"/>
            </w:rPr>
            <w:fldChar w:fldCharType="end"/>
          </w:r>
        </w:p>
        <w:p w14:paraId="63CDA32D">
          <w:pPr>
            <w:tabs>
              <w:tab w:val="right" w:leader="dot" w:pos="8322"/>
            </w:tabs>
            <w:spacing w:before="82" w:line="205" w:lineRule="auto"/>
            <w:ind w:left="448"/>
            <w:rPr>
              <w:rFonts w:ascii="Calibri" w:hAnsi="Calibri" w:eastAsia="Calibri" w:cs="Calibri"/>
              <w:sz w:val="21"/>
              <w:szCs w:val="21"/>
            </w:rPr>
          </w:pPr>
          <w:r>
            <w:fldChar w:fldCharType="begin"/>
          </w:r>
          <w:r>
            <w:instrText xml:space="preserve"> HYPERLINK \l "bookmark572" </w:instrText>
          </w:r>
          <w:r>
            <w:fldChar w:fldCharType="separate"/>
          </w:r>
          <w:r>
            <w:rPr>
              <w:rFonts w:ascii="黑体" w:hAnsi="黑体" w:eastAsia="黑体" w:cs="黑体"/>
              <w:spacing w:val="-2"/>
              <w:sz w:val="21"/>
              <w:szCs w:val="21"/>
            </w:rPr>
            <w:t>一、投标函及投标函附录</w:t>
          </w:r>
          <w:r>
            <w:rPr>
              <w:rFonts w:ascii="黑体" w:hAnsi="黑体" w:eastAsia="黑体" w:cs="黑体"/>
              <w:spacing w:val="-4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266</w:t>
          </w:r>
          <w:r>
            <w:rPr>
              <w:rFonts w:ascii="Calibri" w:hAnsi="Calibri" w:eastAsia="Calibri" w:cs="Calibri"/>
              <w:spacing w:val="2"/>
              <w:sz w:val="21"/>
              <w:szCs w:val="21"/>
            </w:rPr>
            <w:fldChar w:fldCharType="end"/>
          </w:r>
        </w:p>
        <w:p w14:paraId="27AD2AC1">
          <w:pPr>
            <w:tabs>
              <w:tab w:val="left" w:pos="555"/>
              <w:tab w:val="right" w:leader="dot" w:pos="8322"/>
            </w:tabs>
            <w:spacing w:before="81" w:line="205" w:lineRule="auto"/>
            <w:ind w:left="385"/>
            <w:rPr>
              <w:rFonts w:ascii="Calibri" w:hAnsi="Calibri" w:eastAsia="Calibri" w:cs="Calibri"/>
              <w:sz w:val="21"/>
              <w:szCs w:val="21"/>
            </w:rPr>
          </w:pPr>
          <w:r>
            <w:fldChar w:fldCharType="begin"/>
          </w:r>
          <w:r>
            <w:instrText xml:space="preserve"> HYPERLINK \l "bookmark573" </w:instrText>
          </w:r>
          <w:r>
            <w:fldChar w:fldCharType="separate"/>
          </w:r>
          <w:r>
            <w:rPr>
              <w:rFonts w:ascii="宋体" w:hAnsi="宋体" w:eastAsia="宋体" w:cs="宋体"/>
              <w:sz w:val="21"/>
              <w:szCs w:val="21"/>
            </w:rPr>
            <w:tab/>
          </w:r>
          <w:r>
            <w:rPr>
              <w:rFonts w:ascii="宋体" w:hAnsi="宋体" w:eastAsia="宋体" w:cs="宋体"/>
              <w:spacing w:val="-16"/>
              <w:sz w:val="21"/>
              <w:szCs w:val="21"/>
            </w:rPr>
            <w:t>（二）投标函附录</w:t>
          </w:r>
          <w:r>
            <w:rPr>
              <w:rFonts w:ascii="宋体" w:hAnsi="宋体" w:eastAsia="宋体" w:cs="宋体"/>
              <w:spacing w:val="-79"/>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268</w:t>
          </w:r>
          <w:r>
            <w:rPr>
              <w:rFonts w:ascii="Calibri" w:hAnsi="Calibri" w:eastAsia="Calibri" w:cs="Calibri"/>
              <w:spacing w:val="1"/>
              <w:sz w:val="21"/>
              <w:szCs w:val="21"/>
            </w:rPr>
            <w:fldChar w:fldCharType="end"/>
          </w:r>
        </w:p>
        <w:p w14:paraId="2A93F1FF">
          <w:pPr>
            <w:tabs>
              <w:tab w:val="left" w:pos="555"/>
              <w:tab w:val="right" w:leader="dot" w:pos="8322"/>
            </w:tabs>
            <w:spacing w:before="67" w:line="205" w:lineRule="auto"/>
            <w:ind w:left="385"/>
            <w:rPr>
              <w:rFonts w:ascii="Calibri" w:hAnsi="Calibri" w:eastAsia="Calibri" w:cs="Calibri"/>
              <w:sz w:val="21"/>
              <w:szCs w:val="21"/>
            </w:rPr>
          </w:pPr>
          <w:r>
            <w:fldChar w:fldCharType="begin"/>
          </w:r>
          <w:r>
            <w:instrText xml:space="preserve"> HYPERLINK \l "bookmark574" </w:instrText>
          </w:r>
          <w:r>
            <w:fldChar w:fldCharType="separate"/>
          </w:r>
          <w:r>
            <w:rPr>
              <w:rFonts w:ascii="宋体" w:hAnsi="宋体" w:eastAsia="宋体" w:cs="宋体"/>
              <w:sz w:val="21"/>
              <w:szCs w:val="21"/>
            </w:rPr>
            <w:tab/>
          </w:r>
          <w:r>
            <w:rPr>
              <w:rFonts w:ascii="宋体" w:hAnsi="宋体" w:eastAsia="宋体" w:cs="宋体"/>
              <w:spacing w:val="-16"/>
              <w:sz w:val="21"/>
              <w:szCs w:val="21"/>
            </w:rPr>
            <w:t>（二）投标函附录</w:t>
          </w:r>
          <w:r>
            <w:rPr>
              <w:rFonts w:ascii="宋体" w:hAnsi="宋体" w:eastAsia="宋体" w:cs="宋体"/>
              <w:spacing w:val="-79"/>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269</w:t>
          </w:r>
          <w:r>
            <w:rPr>
              <w:rFonts w:ascii="Calibri" w:hAnsi="Calibri" w:eastAsia="Calibri" w:cs="Calibri"/>
              <w:spacing w:val="1"/>
              <w:sz w:val="21"/>
              <w:szCs w:val="21"/>
            </w:rPr>
            <w:fldChar w:fldCharType="end"/>
          </w:r>
        </w:p>
        <w:p w14:paraId="704F76B0">
          <w:pPr>
            <w:tabs>
              <w:tab w:val="right" w:leader="dot" w:pos="8322"/>
            </w:tabs>
            <w:spacing w:before="81" w:line="205" w:lineRule="auto"/>
            <w:ind w:left="448"/>
            <w:rPr>
              <w:rFonts w:ascii="Calibri" w:hAnsi="Calibri" w:eastAsia="Calibri" w:cs="Calibri"/>
              <w:sz w:val="21"/>
              <w:szCs w:val="21"/>
            </w:rPr>
          </w:pPr>
          <w:r>
            <w:fldChar w:fldCharType="begin"/>
          </w:r>
          <w:r>
            <w:instrText xml:space="preserve"> HYPERLINK \l "bookmark575" </w:instrText>
          </w:r>
          <w:r>
            <w:fldChar w:fldCharType="separate"/>
          </w:r>
          <w:r>
            <w:rPr>
              <w:rFonts w:ascii="黑体" w:hAnsi="黑体" w:eastAsia="黑体" w:cs="黑体"/>
              <w:b/>
              <w:bCs/>
              <w:spacing w:val="-2"/>
              <w:sz w:val="21"/>
              <w:szCs w:val="21"/>
            </w:rPr>
            <w:t>二、法定代表人身份证明</w:t>
          </w:r>
          <w:r>
            <w:rPr>
              <w:rFonts w:ascii="黑体" w:hAnsi="黑体" w:eastAsia="黑体" w:cs="黑体"/>
              <w:spacing w:val="-7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272</w:t>
          </w:r>
          <w:r>
            <w:rPr>
              <w:rFonts w:ascii="Calibri" w:hAnsi="Calibri" w:eastAsia="Calibri" w:cs="Calibri"/>
              <w:spacing w:val="2"/>
              <w:sz w:val="21"/>
              <w:szCs w:val="21"/>
            </w:rPr>
            <w:fldChar w:fldCharType="end"/>
          </w:r>
        </w:p>
        <w:p w14:paraId="6603CAE2">
          <w:pPr>
            <w:tabs>
              <w:tab w:val="right" w:leader="dot" w:pos="8322"/>
            </w:tabs>
            <w:spacing w:before="82" w:line="205" w:lineRule="auto"/>
            <w:ind w:left="448"/>
            <w:rPr>
              <w:rFonts w:ascii="Calibri" w:hAnsi="Calibri" w:eastAsia="Calibri" w:cs="Calibri"/>
              <w:sz w:val="21"/>
              <w:szCs w:val="21"/>
            </w:rPr>
          </w:pPr>
          <w:r>
            <w:fldChar w:fldCharType="begin"/>
          </w:r>
          <w:r>
            <w:instrText xml:space="preserve"> HYPERLINK \l "bookmark576" </w:instrText>
          </w:r>
          <w:r>
            <w:fldChar w:fldCharType="separate"/>
          </w:r>
          <w:r>
            <w:rPr>
              <w:rFonts w:ascii="黑体" w:hAnsi="黑体" w:eastAsia="黑体" w:cs="黑体"/>
              <w:spacing w:val="-2"/>
              <w:sz w:val="21"/>
              <w:szCs w:val="21"/>
            </w:rPr>
            <w:t>三、投标保证金</w:t>
          </w:r>
          <w:r>
            <w:rPr>
              <w:rFonts w:ascii="黑体" w:hAnsi="黑体" w:eastAsia="黑体" w:cs="黑体"/>
              <w:spacing w:val="-5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273</w:t>
          </w:r>
          <w:r>
            <w:rPr>
              <w:rFonts w:ascii="Calibri" w:hAnsi="Calibri" w:eastAsia="Calibri" w:cs="Calibri"/>
              <w:spacing w:val="1"/>
              <w:sz w:val="21"/>
              <w:szCs w:val="21"/>
            </w:rPr>
            <w:fldChar w:fldCharType="end"/>
          </w:r>
        </w:p>
        <w:p w14:paraId="30C308CE">
          <w:pPr>
            <w:tabs>
              <w:tab w:val="right" w:leader="dot" w:pos="8322"/>
            </w:tabs>
            <w:spacing w:before="82" w:line="205" w:lineRule="auto"/>
            <w:ind w:left="457"/>
            <w:rPr>
              <w:rFonts w:ascii="Calibri" w:hAnsi="Calibri" w:eastAsia="Calibri" w:cs="Calibri"/>
              <w:sz w:val="21"/>
              <w:szCs w:val="21"/>
            </w:rPr>
          </w:pPr>
          <w:r>
            <w:fldChar w:fldCharType="begin"/>
          </w:r>
          <w:r>
            <w:instrText xml:space="preserve"> HYPERLINK \l "bookmark577" </w:instrText>
          </w:r>
          <w:r>
            <w:fldChar w:fldCharType="separate"/>
          </w:r>
          <w:r>
            <w:rPr>
              <w:rFonts w:ascii="黑体" w:hAnsi="黑体" w:eastAsia="黑体" w:cs="黑体"/>
              <w:spacing w:val="-3"/>
              <w:sz w:val="21"/>
              <w:szCs w:val="21"/>
            </w:rPr>
            <w:t>四、联合体协议书</w:t>
          </w:r>
          <w:r>
            <w:rPr>
              <w:rFonts w:ascii="黑体" w:hAnsi="黑体" w:eastAsia="黑体" w:cs="黑体"/>
              <w:spacing w:val="-86"/>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275</w:t>
          </w:r>
          <w:r>
            <w:rPr>
              <w:rFonts w:ascii="Calibri" w:hAnsi="Calibri" w:eastAsia="Calibri" w:cs="Calibri"/>
              <w:spacing w:val="1"/>
              <w:sz w:val="21"/>
              <w:szCs w:val="21"/>
            </w:rPr>
            <w:fldChar w:fldCharType="end"/>
          </w:r>
        </w:p>
        <w:p w14:paraId="13495A08">
          <w:pPr>
            <w:tabs>
              <w:tab w:val="right" w:leader="dot" w:pos="8322"/>
            </w:tabs>
            <w:spacing w:before="82" w:line="205" w:lineRule="auto"/>
            <w:ind w:left="448"/>
            <w:rPr>
              <w:rFonts w:ascii="Calibri" w:hAnsi="Calibri" w:eastAsia="Calibri" w:cs="Calibri"/>
              <w:sz w:val="21"/>
              <w:szCs w:val="21"/>
            </w:rPr>
          </w:pPr>
          <w:r>
            <w:fldChar w:fldCharType="begin"/>
          </w:r>
          <w:r>
            <w:instrText xml:space="preserve"> HYPERLINK \l "bookmark578" </w:instrText>
          </w:r>
          <w:r>
            <w:fldChar w:fldCharType="separate"/>
          </w:r>
          <w:r>
            <w:rPr>
              <w:rFonts w:ascii="宋体" w:hAnsi="宋体" w:eastAsia="宋体" w:cs="宋体"/>
              <w:spacing w:val="-2"/>
              <w:sz w:val="21"/>
              <w:szCs w:val="21"/>
            </w:rPr>
            <w:t>五、拟分包计划表</w:t>
          </w:r>
          <w:r>
            <w:rPr>
              <w:rFonts w:ascii="宋体" w:hAnsi="宋体" w:eastAsia="宋体" w:cs="宋体"/>
              <w:spacing w:val="-85"/>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278</w:t>
          </w:r>
          <w:r>
            <w:rPr>
              <w:rFonts w:ascii="Calibri" w:hAnsi="Calibri" w:eastAsia="Calibri" w:cs="Calibri"/>
              <w:spacing w:val="1"/>
              <w:sz w:val="21"/>
              <w:szCs w:val="21"/>
            </w:rPr>
            <w:fldChar w:fldCharType="end"/>
          </w:r>
        </w:p>
        <w:p w14:paraId="2F32ABD8">
          <w:pPr>
            <w:tabs>
              <w:tab w:val="right" w:leader="dot" w:pos="8322"/>
            </w:tabs>
            <w:spacing w:before="67" w:line="205" w:lineRule="auto"/>
            <w:ind w:left="448"/>
            <w:rPr>
              <w:rFonts w:ascii="Calibri" w:hAnsi="Calibri" w:eastAsia="Calibri" w:cs="Calibri"/>
              <w:sz w:val="21"/>
              <w:szCs w:val="21"/>
            </w:rPr>
          </w:pPr>
          <w:r>
            <w:fldChar w:fldCharType="begin"/>
          </w:r>
          <w:r>
            <w:instrText xml:space="preserve"> HYPERLINK \l "bookmark579" </w:instrText>
          </w:r>
          <w:r>
            <w:fldChar w:fldCharType="separate"/>
          </w:r>
          <w:r>
            <w:rPr>
              <w:rFonts w:ascii="宋体" w:hAnsi="宋体" w:eastAsia="宋体" w:cs="宋体"/>
              <w:spacing w:val="-1"/>
              <w:sz w:val="21"/>
              <w:szCs w:val="21"/>
            </w:rPr>
            <w:t>五、分包意向协议书</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279</w:t>
          </w:r>
          <w:r>
            <w:rPr>
              <w:rFonts w:ascii="Calibri" w:hAnsi="Calibri" w:eastAsia="Calibri" w:cs="Calibri"/>
              <w:spacing w:val="2"/>
              <w:sz w:val="21"/>
              <w:szCs w:val="21"/>
            </w:rPr>
            <w:fldChar w:fldCharType="end"/>
          </w:r>
        </w:p>
        <w:p w14:paraId="772E8AFB">
          <w:pPr>
            <w:tabs>
              <w:tab w:val="right" w:leader="dot" w:pos="8322"/>
            </w:tabs>
            <w:spacing w:before="82" w:line="205" w:lineRule="auto"/>
            <w:ind w:left="446"/>
            <w:rPr>
              <w:rFonts w:ascii="Calibri" w:hAnsi="Calibri" w:eastAsia="Calibri" w:cs="Calibri"/>
              <w:sz w:val="21"/>
              <w:szCs w:val="21"/>
            </w:rPr>
          </w:pPr>
          <w:r>
            <w:fldChar w:fldCharType="begin"/>
          </w:r>
          <w:r>
            <w:instrText xml:space="preserve"> HYPERLINK \l "bookmark580" </w:instrText>
          </w:r>
          <w:r>
            <w:fldChar w:fldCharType="separate"/>
          </w:r>
          <w:r>
            <w:rPr>
              <w:rFonts w:ascii="宋体" w:hAnsi="宋体" w:eastAsia="宋体" w:cs="宋体"/>
              <w:spacing w:val="-1"/>
              <w:sz w:val="21"/>
              <w:szCs w:val="21"/>
            </w:rPr>
            <w:t>六、中小企业声明函</w:t>
          </w:r>
          <w:r>
            <w:rPr>
              <w:rFonts w:ascii="宋体" w:hAnsi="宋体" w:eastAsia="宋体" w:cs="宋体"/>
              <w:spacing w:val="-59"/>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282</w:t>
          </w:r>
          <w:r>
            <w:rPr>
              <w:rFonts w:ascii="Calibri" w:hAnsi="Calibri" w:eastAsia="Calibri" w:cs="Calibri"/>
              <w:spacing w:val="2"/>
              <w:sz w:val="21"/>
              <w:szCs w:val="21"/>
            </w:rPr>
            <w:fldChar w:fldCharType="end"/>
          </w:r>
        </w:p>
        <w:p w14:paraId="5026589D">
          <w:pPr>
            <w:tabs>
              <w:tab w:val="right" w:leader="dot" w:pos="8322"/>
            </w:tabs>
            <w:spacing w:before="83" w:line="205" w:lineRule="auto"/>
            <w:ind w:left="443"/>
            <w:rPr>
              <w:rFonts w:ascii="Calibri" w:hAnsi="Calibri" w:eastAsia="Calibri" w:cs="Calibri"/>
              <w:sz w:val="21"/>
              <w:szCs w:val="21"/>
            </w:rPr>
          </w:pPr>
          <w:r>
            <w:fldChar w:fldCharType="begin"/>
          </w:r>
          <w:r>
            <w:instrText xml:space="preserve"> HYPERLINK \l "bookmark581" </w:instrText>
          </w:r>
          <w:r>
            <w:fldChar w:fldCharType="separate"/>
          </w:r>
          <w:r>
            <w:rPr>
              <w:rFonts w:ascii="黑体" w:hAnsi="黑体" w:eastAsia="黑体" w:cs="黑体"/>
              <w:spacing w:val="-1"/>
              <w:sz w:val="21"/>
              <w:szCs w:val="21"/>
            </w:rPr>
            <w:t>七、项目管理机构</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283</w:t>
          </w:r>
          <w:r>
            <w:rPr>
              <w:rFonts w:ascii="Calibri" w:hAnsi="Calibri" w:eastAsia="Calibri" w:cs="Calibri"/>
              <w:spacing w:val="1"/>
              <w:sz w:val="21"/>
              <w:szCs w:val="21"/>
            </w:rPr>
            <w:fldChar w:fldCharType="end"/>
          </w:r>
        </w:p>
        <w:p w14:paraId="1D0460F8">
          <w:pPr>
            <w:tabs>
              <w:tab w:val="left" w:pos="555"/>
              <w:tab w:val="right" w:leader="dot" w:pos="8322"/>
            </w:tabs>
            <w:spacing w:before="81" w:line="205" w:lineRule="auto"/>
            <w:ind w:left="385"/>
            <w:rPr>
              <w:rFonts w:ascii="Calibri" w:hAnsi="Calibri" w:eastAsia="Calibri" w:cs="Calibri"/>
              <w:sz w:val="21"/>
              <w:szCs w:val="21"/>
            </w:rPr>
          </w:pPr>
          <w:r>
            <w:fldChar w:fldCharType="begin"/>
          </w:r>
          <w:r>
            <w:instrText xml:space="preserve"> HYPERLINK \l "bookmark582" </w:instrText>
          </w:r>
          <w:r>
            <w:fldChar w:fldCharType="separate"/>
          </w:r>
          <w:r>
            <w:rPr>
              <w:rFonts w:ascii="宋体" w:hAnsi="宋体" w:eastAsia="宋体" w:cs="宋体"/>
              <w:sz w:val="21"/>
              <w:szCs w:val="21"/>
            </w:rPr>
            <w:tab/>
          </w:r>
          <w:r>
            <w:rPr>
              <w:rFonts w:ascii="宋体" w:hAnsi="宋体" w:eastAsia="宋体" w:cs="宋体"/>
              <w:spacing w:val="-9"/>
              <w:sz w:val="21"/>
              <w:szCs w:val="21"/>
            </w:rPr>
            <w:t>（一）项目管理机构主要人员表</w:t>
          </w:r>
          <w:r>
            <w:rPr>
              <w:rFonts w:ascii="宋体" w:hAnsi="宋体" w:eastAsia="宋体" w:cs="宋体"/>
              <w:spacing w:val="-80"/>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283</w:t>
          </w:r>
          <w:r>
            <w:rPr>
              <w:rFonts w:ascii="Calibri" w:hAnsi="Calibri" w:eastAsia="Calibri" w:cs="Calibri"/>
              <w:spacing w:val="1"/>
              <w:sz w:val="21"/>
              <w:szCs w:val="21"/>
            </w:rPr>
            <w:fldChar w:fldCharType="end"/>
          </w:r>
        </w:p>
        <w:p w14:paraId="1A36BEA0">
          <w:pPr>
            <w:tabs>
              <w:tab w:val="left" w:pos="984"/>
              <w:tab w:val="right" w:leader="dot" w:pos="8322"/>
            </w:tabs>
            <w:spacing w:before="83" w:line="205" w:lineRule="auto"/>
            <w:ind w:left="805"/>
            <w:rPr>
              <w:rFonts w:ascii="Calibri" w:hAnsi="Calibri" w:eastAsia="Calibri" w:cs="Calibri"/>
              <w:sz w:val="21"/>
              <w:szCs w:val="21"/>
            </w:rPr>
          </w:pPr>
          <w:r>
            <w:fldChar w:fldCharType="begin"/>
          </w:r>
          <w:r>
            <w:instrText xml:space="preserve"> HYPERLINK \l "bookmark583" </w:instrText>
          </w:r>
          <w:r>
            <w:fldChar w:fldCharType="separate"/>
          </w:r>
          <w:r>
            <w:rPr>
              <w:rFonts w:ascii="黑体" w:hAnsi="黑体" w:eastAsia="黑体" w:cs="黑体"/>
              <w:sz w:val="21"/>
              <w:szCs w:val="21"/>
            </w:rPr>
            <w:tab/>
          </w:r>
          <w:r>
            <w:rPr>
              <w:rFonts w:ascii="黑体" w:hAnsi="黑体" w:eastAsia="黑体" w:cs="黑体"/>
              <w:spacing w:val="-14"/>
              <w:sz w:val="21"/>
              <w:szCs w:val="21"/>
            </w:rPr>
            <w:t>（二）项目经理简历表</w:t>
          </w:r>
          <w:r>
            <w:rPr>
              <w:rFonts w:ascii="黑体" w:hAnsi="黑体" w:eastAsia="黑体" w:cs="黑体"/>
              <w:spacing w:val="-75"/>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283</w:t>
          </w:r>
          <w:r>
            <w:rPr>
              <w:rFonts w:ascii="Calibri" w:hAnsi="Calibri" w:eastAsia="Calibri" w:cs="Calibri"/>
              <w:spacing w:val="2"/>
              <w:sz w:val="21"/>
              <w:szCs w:val="21"/>
            </w:rPr>
            <w:fldChar w:fldCharType="end"/>
          </w:r>
        </w:p>
        <w:p w14:paraId="6474570E">
          <w:pPr>
            <w:tabs>
              <w:tab w:val="left" w:pos="555"/>
              <w:tab w:val="right" w:leader="dot" w:pos="8322"/>
            </w:tabs>
            <w:spacing w:before="67" w:line="205" w:lineRule="auto"/>
            <w:ind w:left="385"/>
            <w:rPr>
              <w:rFonts w:ascii="Calibri" w:hAnsi="Calibri" w:eastAsia="Calibri" w:cs="Calibri"/>
              <w:sz w:val="21"/>
              <w:szCs w:val="21"/>
            </w:rPr>
          </w:pPr>
          <w:r>
            <w:fldChar w:fldCharType="begin"/>
          </w:r>
          <w:r>
            <w:instrText xml:space="preserve"> HYPERLINK \l "bookmark584" </w:instrText>
          </w:r>
          <w:r>
            <w:fldChar w:fldCharType="separate"/>
          </w:r>
          <w:r>
            <w:rPr>
              <w:rFonts w:ascii="宋体" w:hAnsi="宋体" w:eastAsia="宋体" w:cs="宋体"/>
              <w:sz w:val="21"/>
              <w:szCs w:val="21"/>
            </w:rPr>
            <w:tab/>
          </w:r>
          <w:r>
            <w:rPr>
              <w:rFonts w:ascii="宋体" w:hAnsi="宋体" w:eastAsia="宋体" w:cs="宋体"/>
              <w:spacing w:val="-22"/>
              <w:sz w:val="21"/>
              <w:szCs w:val="21"/>
            </w:rPr>
            <w:t>（三）承诺书</w:t>
          </w:r>
          <w:r>
            <w:rPr>
              <w:rFonts w:ascii="宋体" w:hAnsi="宋体" w:eastAsia="宋体" w:cs="宋体"/>
              <w:spacing w:val="-76"/>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284</w:t>
          </w:r>
          <w:r>
            <w:rPr>
              <w:rFonts w:ascii="Calibri" w:hAnsi="Calibri" w:eastAsia="Calibri" w:cs="Calibri"/>
              <w:spacing w:val="1"/>
              <w:sz w:val="21"/>
              <w:szCs w:val="21"/>
            </w:rPr>
            <w:fldChar w:fldCharType="end"/>
          </w:r>
        </w:p>
        <w:p w14:paraId="77CECD9E">
          <w:pPr>
            <w:tabs>
              <w:tab w:val="left" w:pos="555"/>
              <w:tab w:val="right" w:leader="dot" w:pos="8322"/>
            </w:tabs>
            <w:spacing w:before="82" w:line="205" w:lineRule="auto"/>
            <w:ind w:left="385"/>
            <w:rPr>
              <w:rFonts w:ascii="Calibri" w:hAnsi="Calibri" w:eastAsia="Calibri" w:cs="Calibri"/>
              <w:sz w:val="21"/>
              <w:szCs w:val="21"/>
            </w:rPr>
          </w:pPr>
          <w:r>
            <w:fldChar w:fldCharType="begin"/>
          </w:r>
          <w:r>
            <w:instrText xml:space="preserve"> HYPERLINK \l "bookmark585" </w:instrText>
          </w:r>
          <w:r>
            <w:fldChar w:fldCharType="separate"/>
          </w:r>
          <w:r>
            <w:rPr>
              <w:rFonts w:ascii="宋体" w:hAnsi="宋体" w:eastAsia="宋体" w:cs="宋体"/>
              <w:sz w:val="21"/>
              <w:szCs w:val="21"/>
            </w:rPr>
            <w:tab/>
          </w:r>
          <w:r>
            <w:rPr>
              <w:rFonts w:ascii="宋体" w:hAnsi="宋体" w:eastAsia="宋体" w:cs="宋体"/>
              <w:spacing w:val="-8"/>
              <w:sz w:val="21"/>
              <w:szCs w:val="21"/>
            </w:rPr>
            <w:t>（四）其他主要项目管理人员简历表</w:t>
          </w:r>
          <w:r>
            <w:rPr>
              <w:rFonts w:ascii="宋体" w:hAnsi="宋体" w:eastAsia="宋体" w:cs="宋体"/>
              <w:spacing w:val="-77"/>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286</w:t>
          </w:r>
          <w:r>
            <w:rPr>
              <w:rFonts w:ascii="Calibri" w:hAnsi="Calibri" w:eastAsia="Calibri" w:cs="Calibri"/>
              <w:spacing w:val="1"/>
              <w:sz w:val="21"/>
              <w:szCs w:val="21"/>
            </w:rPr>
            <w:fldChar w:fldCharType="end"/>
          </w:r>
        </w:p>
        <w:p w14:paraId="58ABF010">
          <w:pPr>
            <w:tabs>
              <w:tab w:val="right" w:leader="dot" w:pos="8322"/>
            </w:tabs>
            <w:spacing w:before="82" w:line="205" w:lineRule="auto"/>
            <w:ind w:left="444"/>
            <w:rPr>
              <w:rFonts w:ascii="Calibri" w:hAnsi="Calibri" w:eastAsia="Calibri" w:cs="Calibri"/>
              <w:sz w:val="21"/>
              <w:szCs w:val="21"/>
            </w:rPr>
          </w:pPr>
          <w:r>
            <w:fldChar w:fldCharType="begin"/>
          </w:r>
          <w:r>
            <w:instrText xml:space="preserve"> HYPERLINK \l "bookmark586" </w:instrText>
          </w:r>
          <w:r>
            <w:fldChar w:fldCharType="separate"/>
          </w:r>
          <w:r>
            <w:rPr>
              <w:rFonts w:ascii="黑体" w:hAnsi="黑体" w:eastAsia="黑体" w:cs="黑体"/>
              <w:spacing w:val="-1"/>
              <w:sz w:val="21"/>
              <w:szCs w:val="21"/>
            </w:rPr>
            <w:t>八、资格审查资料</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287</w:t>
          </w:r>
          <w:r>
            <w:rPr>
              <w:rFonts w:ascii="Calibri" w:hAnsi="Calibri" w:eastAsia="Calibri" w:cs="Calibri"/>
              <w:spacing w:val="1"/>
              <w:sz w:val="21"/>
              <w:szCs w:val="21"/>
            </w:rPr>
            <w:fldChar w:fldCharType="end"/>
          </w:r>
        </w:p>
        <w:p w14:paraId="725E2A3E">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"bookmark587" </w:instrText>
          </w:r>
          <w:r>
            <w:fldChar w:fldCharType="separate"/>
          </w:r>
          <w:r>
            <w:rPr>
              <w:rFonts w:ascii="黑体" w:hAnsi="黑体" w:eastAsia="黑体" w:cs="黑体"/>
              <w:spacing w:val="-5"/>
              <w:sz w:val="21"/>
              <w:szCs w:val="21"/>
            </w:rPr>
            <w:t>(一)投标人基本情况</w:t>
          </w:r>
          <w:r>
            <w:rPr>
              <w:rFonts w:ascii="黑体" w:hAnsi="黑体" w:eastAsia="黑体" w:cs="黑体"/>
              <w:spacing w:val="-5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288</w:t>
          </w:r>
          <w:r>
            <w:rPr>
              <w:rFonts w:ascii="Calibri" w:hAnsi="Calibri" w:eastAsia="Calibri" w:cs="Calibri"/>
              <w:spacing w:val="2"/>
              <w:sz w:val="21"/>
              <w:szCs w:val="21"/>
            </w:rPr>
            <w:fldChar w:fldCharType="end"/>
          </w:r>
        </w:p>
        <w:p w14:paraId="4BCEDB94">
          <w:pPr>
            <w:tabs>
              <w:tab w:val="right" w:leader="dot" w:pos="8322"/>
            </w:tabs>
            <w:spacing w:before="82" w:line="205" w:lineRule="auto"/>
            <w:ind w:left="874"/>
            <w:rPr>
              <w:rFonts w:ascii="Calibri" w:hAnsi="Calibri" w:eastAsia="Calibri" w:cs="Calibri"/>
              <w:sz w:val="21"/>
              <w:szCs w:val="21"/>
            </w:rPr>
          </w:pPr>
          <w:r>
            <w:fldChar w:fldCharType="begin"/>
          </w:r>
          <w:r>
            <w:instrText xml:space="preserve"> HYPERLINK \l "bookmark588" </w:instrText>
          </w:r>
          <w:r>
            <w:fldChar w:fldCharType="separate"/>
          </w:r>
          <w:r>
            <w:rPr>
              <w:rFonts w:ascii="Calibri" w:hAnsi="Calibri" w:eastAsia="Calibri" w:cs="Calibri"/>
              <w:spacing w:val="-3"/>
              <w:sz w:val="21"/>
              <w:szCs w:val="21"/>
            </w:rPr>
            <w:t>1-1</w:t>
          </w:r>
          <w:r>
            <w:rPr>
              <w:rFonts w:ascii="Calibri" w:hAnsi="Calibri" w:eastAsia="Calibri" w:cs="Calibri"/>
              <w:spacing w:val="23"/>
              <w:sz w:val="21"/>
              <w:szCs w:val="21"/>
            </w:rPr>
            <w:t xml:space="preserve"> </w:t>
          </w:r>
          <w:r>
            <w:rPr>
              <w:rFonts w:ascii="宋体" w:hAnsi="宋体" w:eastAsia="宋体" w:cs="宋体"/>
              <w:spacing w:val="-3"/>
              <w:sz w:val="21"/>
              <w:szCs w:val="21"/>
            </w:rPr>
            <w:t>投标人基本情况表</w:t>
          </w:r>
          <w:r>
            <w:rPr>
              <w:rFonts w:ascii="宋体" w:hAnsi="宋体" w:eastAsia="宋体" w:cs="宋体"/>
              <w:spacing w:val="-61"/>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288</w:t>
          </w:r>
          <w:r>
            <w:rPr>
              <w:rFonts w:ascii="Calibri" w:hAnsi="Calibri" w:eastAsia="Calibri" w:cs="Calibri"/>
              <w:spacing w:val="2"/>
              <w:sz w:val="21"/>
              <w:szCs w:val="21"/>
            </w:rPr>
            <w:fldChar w:fldCharType="end"/>
          </w:r>
        </w:p>
        <w:p w14:paraId="6BCC35E0">
          <w:pPr>
            <w:tabs>
              <w:tab w:val="right" w:leader="dot" w:pos="8322"/>
            </w:tabs>
            <w:spacing w:before="67" w:line="205" w:lineRule="auto"/>
            <w:ind w:left="874"/>
            <w:rPr>
              <w:rFonts w:ascii="Calibri" w:hAnsi="Calibri" w:eastAsia="Calibri" w:cs="Calibri"/>
              <w:sz w:val="21"/>
              <w:szCs w:val="21"/>
            </w:rPr>
          </w:pPr>
          <w:r>
            <w:fldChar w:fldCharType="begin"/>
          </w:r>
          <w:r>
            <w:instrText xml:space="preserve"> HYPERLINK \l "bookmark589" </w:instrText>
          </w:r>
          <w:r>
            <w:fldChar w:fldCharType="separate"/>
          </w:r>
          <w:r>
            <w:rPr>
              <w:rFonts w:ascii="Calibri" w:hAnsi="Calibri" w:eastAsia="Calibri" w:cs="Calibri"/>
              <w:spacing w:val="-4"/>
              <w:sz w:val="21"/>
              <w:szCs w:val="21"/>
            </w:rPr>
            <w:t>1-2</w:t>
          </w:r>
          <w:r>
            <w:rPr>
              <w:rFonts w:ascii="Calibri" w:hAnsi="Calibri" w:eastAsia="Calibri" w:cs="Calibri"/>
              <w:spacing w:val="34"/>
              <w:sz w:val="21"/>
              <w:szCs w:val="21"/>
            </w:rPr>
            <w:t xml:space="preserve"> </w:t>
          </w:r>
          <w:r>
            <w:rPr>
              <w:rFonts w:ascii="黑体" w:hAnsi="黑体" w:eastAsia="黑体" w:cs="黑体"/>
              <w:spacing w:val="-4"/>
              <w:sz w:val="21"/>
              <w:szCs w:val="21"/>
            </w:rPr>
            <w:t>关联单位情况说明</w:t>
          </w:r>
          <w:r>
            <w:rPr>
              <w:rFonts w:ascii="黑体" w:hAnsi="黑体" w:eastAsia="黑体" w:cs="黑体"/>
              <w:spacing w:val="-6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288</w:t>
          </w:r>
          <w:r>
            <w:rPr>
              <w:rFonts w:ascii="Calibri" w:hAnsi="Calibri" w:eastAsia="Calibri" w:cs="Calibri"/>
              <w:spacing w:val="2"/>
              <w:sz w:val="21"/>
              <w:szCs w:val="21"/>
            </w:rPr>
            <w:fldChar w:fldCharType="end"/>
          </w:r>
        </w:p>
        <w:p w14:paraId="02DD584D">
          <w:pPr>
            <w:tabs>
              <w:tab w:val="right" w:leader="dot" w:pos="8322"/>
            </w:tabs>
            <w:spacing w:before="82" w:line="205" w:lineRule="auto"/>
            <w:ind w:left="454"/>
            <w:rPr>
              <w:rFonts w:ascii="Calibri" w:hAnsi="Calibri" w:eastAsia="Calibri" w:cs="Calibri"/>
              <w:sz w:val="21"/>
              <w:szCs w:val="21"/>
            </w:rPr>
          </w:pPr>
          <w:r>
            <w:fldChar w:fldCharType="begin"/>
          </w:r>
          <w:r>
            <w:instrText xml:space="preserve"> HYPERLINK \l "bookmark590" </w:instrText>
          </w:r>
          <w:r>
            <w:fldChar w:fldCharType="separate"/>
          </w:r>
          <w:r>
            <w:rPr>
              <w:rFonts w:ascii="Calibri" w:hAnsi="Calibri" w:eastAsia="Calibri" w:cs="Calibri"/>
              <w:spacing w:val="-2"/>
              <w:sz w:val="21"/>
              <w:szCs w:val="21"/>
            </w:rPr>
            <w:t>1-3</w:t>
          </w:r>
          <w:r>
            <w:rPr>
              <w:rFonts w:ascii="Calibri" w:hAnsi="Calibri" w:eastAsia="Calibri" w:cs="Calibri"/>
              <w:spacing w:val="27"/>
              <w:w w:val="101"/>
              <w:sz w:val="21"/>
              <w:szCs w:val="21"/>
            </w:rPr>
            <w:t xml:space="preserve"> </w:t>
          </w:r>
          <w:r>
            <w:rPr>
              <w:rFonts w:ascii="宋体" w:hAnsi="宋体" w:eastAsia="宋体" w:cs="宋体"/>
              <w:spacing w:val="-2"/>
              <w:sz w:val="21"/>
              <w:szCs w:val="21"/>
            </w:rPr>
            <w:t>项目管理机构主要人员及简历表</w:t>
          </w:r>
          <w:r>
            <w:rPr>
              <w:rFonts w:ascii="宋体" w:hAnsi="宋体" w:eastAsia="宋体" w:cs="宋体"/>
              <w:spacing w:val="-63"/>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289</w:t>
          </w:r>
          <w:r>
            <w:rPr>
              <w:rFonts w:ascii="Calibri" w:hAnsi="Calibri" w:eastAsia="Calibri" w:cs="Calibri"/>
              <w:spacing w:val="1"/>
              <w:sz w:val="21"/>
              <w:szCs w:val="21"/>
            </w:rPr>
            <w:fldChar w:fldCharType="end"/>
          </w:r>
        </w:p>
        <w:p w14:paraId="2D5CC364">
          <w:pPr>
            <w:tabs>
              <w:tab w:val="right" w:leader="dot" w:pos="8322"/>
            </w:tabs>
            <w:spacing w:before="82" w:line="205" w:lineRule="auto"/>
            <w:ind w:left="880"/>
            <w:rPr>
              <w:rFonts w:ascii="Calibri" w:hAnsi="Calibri" w:eastAsia="Calibri" w:cs="Calibri"/>
              <w:sz w:val="21"/>
              <w:szCs w:val="21"/>
            </w:rPr>
          </w:pPr>
          <w:r>
            <w:fldChar w:fldCharType="begin"/>
          </w:r>
          <w:r>
            <w:instrText xml:space="preserve"> HYPERLINK \l "bookmark591" </w:instrText>
          </w:r>
          <w:r>
            <w:fldChar w:fldCharType="separate"/>
          </w:r>
          <w:r>
            <w:rPr>
              <w:rFonts w:ascii="宋体" w:hAnsi="宋体" w:eastAsia="宋体" w:cs="宋体"/>
              <w:b/>
              <w:bCs/>
              <w:spacing w:val="-3"/>
              <w:sz w:val="21"/>
              <w:szCs w:val="21"/>
            </w:rPr>
            <w:t>1-4</w:t>
          </w:r>
          <w:r>
            <w:rPr>
              <w:rFonts w:ascii="宋体" w:hAnsi="宋体" w:eastAsia="宋体" w:cs="宋体"/>
              <w:spacing w:val="-35"/>
              <w:sz w:val="21"/>
              <w:szCs w:val="21"/>
            </w:rPr>
            <w:t xml:space="preserve"> </w:t>
          </w:r>
          <w:r>
            <w:rPr>
              <w:rFonts w:ascii="宋体" w:hAnsi="宋体" w:eastAsia="宋体" w:cs="宋体"/>
              <w:b/>
              <w:bCs/>
              <w:spacing w:val="-3"/>
              <w:sz w:val="21"/>
              <w:szCs w:val="21"/>
            </w:rPr>
            <w:t>拟投入主要施工机械设备情况表</w:t>
          </w:r>
          <w:r>
            <w:rPr>
              <w:rFonts w:ascii="宋体" w:hAnsi="宋体" w:eastAsia="宋体" w:cs="宋体"/>
              <w:spacing w:val="-6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289</w:t>
          </w:r>
          <w:r>
            <w:rPr>
              <w:rFonts w:ascii="Calibri" w:hAnsi="Calibri" w:eastAsia="Calibri" w:cs="Calibri"/>
              <w:spacing w:val="2"/>
              <w:sz w:val="21"/>
              <w:szCs w:val="21"/>
            </w:rPr>
            <w:fldChar w:fldCharType="end"/>
          </w:r>
        </w:p>
        <w:p w14:paraId="38200512">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"bookmark592" </w:instrText>
          </w:r>
          <w:r>
            <w:fldChar w:fldCharType="separate"/>
          </w:r>
          <w:r>
            <w:rPr>
              <w:rFonts w:ascii="黑体" w:hAnsi="黑体" w:eastAsia="黑体" w:cs="黑体"/>
              <w:spacing w:val="-5"/>
              <w:sz w:val="21"/>
              <w:szCs w:val="21"/>
            </w:rPr>
            <w:t>(二)近年财务状况</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291</w:t>
          </w:r>
          <w:r>
            <w:rPr>
              <w:rFonts w:ascii="Calibri" w:hAnsi="Calibri" w:eastAsia="Calibri" w:cs="Calibri"/>
              <w:spacing w:val="2"/>
              <w:sz w:val="21"/>
              <w:szCs w:val="21"/>
            </w:rPr>
            <w:fldChar w:fldCharType="end"/>
          </w:r>
        </w:p>
        <w:p w14:paraId="17B4370F">
          <w:pPr>
            <w:tabs>
              <w:tab w:val="left" w:pos="975"/>
              <w:tab w:val="right" w:leader="dot" w:pos="8322"/>
            </w:tabs>
            <w:spacing w:before="82" w:line="205" w:lineRule="auto"/>
            <w:ind w:left="805"/>
            <w:rPr>
              <w:rFonts w:ascii="Calibri" w:hAnsi="Calibri" w:eastAsia="Calibri" w:cs="Calibri"/>
              <w:sz w:val="21"/>
              <w:szCs w:val="21"/>
            </w:rPr>
          </w:pPr>
          <w:r>
            <w:fldChar w:fldCharType="begin"/>
          </w:r>
          <w:r>
            <w:instrText xml:space="preserve"> HYPERLINK \l "bookmark593" </w:instrText>
          </w:r>
          <w:r>
            <w:fldChar w:fldCharType="separate"/>
          </w:r>
          <w:r>
            <w:rPr>
              <w:rFonts w:ascii="宋体" w:hAnsi="宋体" w:eastAsia="宋体" w:cs="宋体"/>
              <w:sz w:val="21"/>
              <w:szCs w:val="21"/>
            </w:rPr>
            <w:tab/>
          </w:r>
          <w:r>
            <w:rPr>
              <w:rFonts w:ascii="宋体" w:hAnsi="宋体" w:eastAsia="宋体" w:cs="宋体"/>
              <w:spacing w:val="-14"/>
              <w:sz w:val="21"/>
              <w:szCs w:val="21"/>
            </w:rPr>
            <w:t>（二）近年财务状况</w:t>
          </w:r>
          <w:r>
            <w:rPr>
              <w:rFonts w:ascii="宋体" w:hAnsi="宋体" w:eastAsia="宋体" w:cs="宋体"/>
              <w:spacing w:val="-50"/>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291</w:t>
          </w:r>
          <w:r>
            <w:rPr>
              <w:rFonts w:ascii="Calibri" w:hAnsi="Calibri" w:eastAsia="Calibri" w:cs="Calibri"/>
              <w:spacing w:val="2"/>
              <w:sz w:val="21"/>
              <w:szCs w:val="21"/>
            </w:rPr>
            <w:fldChar w:fldCharType="end"/>
          </w:r>
        </w:p>
        <w:p w14:paraId="4920E771">
          <w:pPr>
            <w:tabs>
              <w:tab w:val="right" w:leader="dot" w:pos="8322"/>
            </w:tabs>
            <w:spacing w:before="68" w:line="205" w:lineRule="auto"/>
            <w:ind w:left="868"/>
            <w:rPr>
              <w:rFonts w:ascii="Calibri" w:hAnsi="Calibri" w:eastAsia="Calibri" w:cs="Calibri"/>
              <w:sz w:val="21"/>
              <w:szCs w:val="21"/>
            </w:rPr>
          </w:pPr>
          <w:r>
            <w:fldChar w:fldCharType="begin"/>
          </w:r>
          <w:r>
            <w:instrText xml:space="preserve"> HYPERLINK \l "bookmark594" </w:instrText>
          </w:r>
          <w:r>
            <w:fldChar w:fldCharType="separate"/>
          </w:r>
          <w:r>
            <w:rPr>
              <w:rFonts w:ascii="Calibri" w:hAnsi="Calibri" w:eastAsia="Calibri" w:cs="Calibri"/>
              <w:spacing w:val="-3"/>
              <w:sz w:val="21"/>
              <w:szCs w:val="21"/>
            </w:rPr>
            <w:t>2-1</w:t>
          </w:r>
          <w:r>
            <w:rPr>
              <w:rFonts w:ascii="Calibri" w:hAnsi="Calibri" w:eastAsia="Calibri" w:cs="Calibri"/>
              <w:spacing w:val="26"/>
              <w:sz w:val="21"/>
              <w:szCs w:val="21"/>
            </w:rPr>
            <w:t xml:space="preserve"> </w:t>
          </w:r>
          <w:r>
            <w:rPr>
              <w:rFonts w:ascii="黑体" w:hAnsi="黑体" w:eastAsia="黑体" w:cs="黑体"/>
              <w:spacing w:val="-3"/>
              <w:sz w:val="21"/>
              <w:szCs w:val="21"/>
            </w:rPr>
            <w:t>近年财务状况表</w:t>
          </w:r>
          <w:r>
            <w:rPr>
              <w:rFonts w:ascii="黑体" w:hAnsi="黑体" w:eastAsia="黑体" w:cs="黑体"/>
              <w:spacing w:val="-92"/>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291</w:t>
          </w:r>
          <w:r>
            <w:rPr>
              <w:rFonts w:ascii="Calibri" w:hAnsi="Calibri" w:eastAsia="Calibri" w:cs="Calibri"/>
              <w:spacing w:val="2"/>
              <w:sz w:val="21"/>
              <w:szCs w:val="21"/>
            </w:rPr>
            <w:fldChar w:fldCharType="end"/>
          </w:r>
        </w:p>
        <w:p w14:paraId="2F03E52C">
          <w:pPr>
            <w:tabs>
              <w:tab w:val="right" w:leader="dot" w:pos="8322"/>
            </w:tabs>
            <w:spacing w:before="81" w:line="205" w:lineRule="auto"/>
            <w:ind w:left="868"/>
            <w:rPr>
              <w:rFonts w:ascii="Calibri" w:hAnsi="Calibri" w:eastAsia="Calibri" w:cs="Calibri"/>
              <w:sz w:val="21"/>
              <w:szCs w:val="21"/>
            </w:rPr>
          </w:pPr>
          <w:r>
            <w:fldChar w:fldCharType="begin"/>
          </w:r>
          <w:r>
            <w:instrText xml:space="preserve"> HYPERLINK \l "bookmark595" </w:instrText>
          </w:r>
          <w:r>
            <w:fldChar w:fldCharType="separate"/>
          </w:r>
          <w:r>
            <w:rPr>
              <w:rFonts w:ascii="Calibri" w:hAnsi="Calibri" w:eastAsia="Calibri" w:cs="Calibri"/>
              <w:spacing w:val="-2"/>
              <w:sz w:val="21"/>
              <w:szCs w:val="21"/>
            </w:rPr>
            <w:t>2-2</w:t>
          </w:r>
          <w:r>
            <w:rPr>
              <w:rFonts w:ascii="Calibri" w:hAnsi="Calibri" w:eastAsia="Calibri" w:cs="Calibri"/>
              <w:spacing w:val="24"/>
              <w:sz w:val="21"/>
              <w:szCs w:val="21"/>
            </w:rPr>
            <w:t xml:space="preserve"> </w:t>
          </w:r>
          <w:r>
            <w:rPr>
              <w:rFonts w:ascii="黑体" w:hAnsi="黑体" w:eastAsia="黑体" w:cs="黑体"/>
              <w:spacing w:val="-2"/>
              <w:sz w:val="21"/>
              <w:szCs w:val="21"/>
            </w:rPr>
            <w:t>拟投入的流动资金函</w:t>
          </w:r>
          <w:r>
            <w:rPr>
              <w:rFonts w:ascii="Calibri" w:hAnsi="Calibri" w:eastAsia="Calibri" w:cs="Calibri"/>
              <w:spacing w:val="-2"/>
              <w:sz w:val="21"/>
              <w:szCs w:val="21"/>
            </w:rPr>
            <w:t>(</w:t>
          </w:r>
          <w:r>
            <w:rPr>
              <w:rFonts w:ascii="黑体" w:hAnsi="黑体" w:eastAsia="黑体" w:cs="黑体"/>
              <w:spacing w:val="-2"/>
              <w:sz w:val="21"/>
              <w:szCs w:val="21"/>
            </w:rPr>
            <w:t>格式</w:t>
          </w:r>
          <w:r>
            <w:rPr>
              <w:rFonts w:ascii="Calibri" w:hAnsi="Calibri" w:eastAsia="Calibri" w:cs="Calibri"/>
              <w:spacing w:val="-2"/>
              <w:sz w:val="21"/>
              <w:szCs w:val="21"/>
            </w:rPr>
            <w:t>)</w:t>
          </w:r>
          <w:r>
            <w:rPr>
              <w:rFonts w:ascii="Calibri" w:hAnsi="Calibri" w:eastAsia="Calibri" w:cs="Calibri"/>
              <w:spacing w:val="24"/>
              <w:w w:val="101"/>
              <w:sz w:val="21"/>
              <w:szCs w:val="21"/>
            </w:rPr>
            <w:t xml:space="preserve"> </w:t>
          </w:r>
          <w:r>
            <w:rPr>
              <w:rFonts w:ascii="Calibri" w:hAnsi="Calibri" w:eastAsia="Calibri" w:cs="Calibri"/>
              <w:sz w:val="21"/>
              <w:szCs w:val="21"/>
            </w:rPr>
            <w:tab/>
          </w:r>
          <w:r>
            <w:rPr>
              <w:rFonts w:ascii="Calibri" w:hAnsi="Calibri" w:eastAsia="Calibri" w:cs="Calibri"/>
              <w:spacing w:val="1"/>
              <w:sz w:val="21"/>
              <w:szCs w:val="21"/>
            </w:rPr>
            <w:t>292</w:t>
          </w:r>
          <w:r>
            <w:rPr>
              <w:rFonts w:ascii="Calibri" w:hAnsi="Calibri" w:eastAsia="Calibri" w:cs="Calibri"/>
              <w:spacing w:val="1"/>
              <w:sz w:val="21"/>
              <w:szCs w:val="21"/>
            </w:rPr>
            <w:fldChar w:fldCharType="end"/>
          </w:r>
        </w:p>
        <w:p w14:paraId="6A8BC025">
          <w:pPr>
            <w:tabs>
              <w:tab w:val="right" w:leader="dot" w:pos="8322"/>
            </w:tabs>
            <w:spacing w:before="83" w:line="205" w:lineRule="auto"/>
            <w:ind w:left="904"/>
            <w:rPr>
              <w:rFonts w:ascii="Calibri" w:hAnsi="Calibri" w:eastAsia="Calibri" w:cs="Calibri"/>
              <w:sz w:val="21"/>
              <w:szCs w:val="21"/>
            </w:rPr>
          </w:pPr>
          <w:r>
            <w:fldChar w:fldCharType="begin"/>
          </w:r>
          <w:r>
            <w:instrText xml:space="preserve"> HYPERLINK \l "bookmark596" </w:instrText>
          </w:r>
          <w:r>
            <w:fldChar w:fldCharType="separate"/>
          </w:r>
          <w:r>
            <w:rPr>
              <w:rFonts w:ascii="黑体" w:hAnsi="黑体" w:eastAsia="黑体" w:cs="黑体"/>
              <w:spacing w:val="-4"/>
              <w:sz w:val="21"/>
              <w:szCs w:val="21"/>
            </w:rPr>
            <w:t>(三)近年完成的类似项目情况</w:t>
          </w:r>
          <w:r>
            <w:rPr>
              <w:rFonts w:ascii="黑体" w:hAnsi="黑体" w:eastAsia="黑体" w:cs="黑体"/>
              <w:spacing w:val="-4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293</w:t>
          </w:r>
          <w:r>
            <w:rPr>
              <w:rFonts w:ascii="Calibri" w:hAnsi="Calibri" w:eastAsia="Calibri" w:cs="Calibri"/>
              <w:spacing w:val="1"/>
              <w:sz w:val="21"/>
              <w:szCs w:val="21"/>
            </w:rPr>
            <w:fldChar w:fldCharType="end"/>
          </w:r>
        </w:p>
        <w:p w14:paraId="5C8DAAB2">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"bookmark597" </w:instrText>
          </w:r>
          <w:r>
            <w:fldChar w:fldCharType="separate"/>
          </w:r>
          <w:r>
            <w:rPr>
              <w:rFonts w:ascii="Calibri" w:hAnsi="Calibri" w:eastAsia="Calibri" w:cs="Calibri"/>
              <w:spacing w:val="-1"/>
              <w:sz w:val="21"/>
              <w:szCs w:val="21"/>
            </w:rPr>
            <w:t xml:space="preserve">3-1  </w:t>
          </w:r>
          <w:r>
            <w:rPr>
              <w:rFonts w:ascii="黑体" w:hAnsi="黑体" w:eastAsia="黑体" w:cs="黑体"/>
              <w:spacing w:val="-1"/>
              <w:sz w:val="21"/>
              <w:szCs w:val="21"/>
            </w:rPr>
            <w:t>近年完成的类似项目汇总表</w:t>
          </w:r>
          <w:r>
            <w:rPr>
              <w:rFonts w:ascii="黑体" w:hAnsi="黑体" w:eastAsia="黑体" w:cs="黑体"/>
              <w:spacing w:val="-33"/>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293</w:t>
          </w:r>
          <w:r>
            <w:rPr>
              <w:rFonts w:ascii="Calibri" w:hAnsi="Calibri" w:eastAsia="Calibri" w:cs="Calibri"/>
              <w:spacing w:val="1"/>
              <w:sz w:val="21"/>
              <w:szCs w:val="21"/>
            </w:rPr>
            <w:fldChar w:fldCharType="end"/>
          </w:r>
        </w:p>
        <w:p w14:paraId="4B44968F">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"bookmark598" </w:instrText>
          </w:r>
          <w:r>
            <w:fldChar w:fldCharType="separate"/>
          </w:r>
          <w:r>
            <w:rPr>
              <w:rFonts w:ascii="宋体" w:hAnsi="宋体" w:eastAsia="宋体" w:cs="宋体"/>
              <w:spacing w:val="-1"/>
              <w:sz w:val="21"/>
              <w:szCs w:val="21"/>
            </w:rPr>
            <w:t>3-2 近年完成的类似项目情况表</w:t>
          </w:r>
          <w:r>
            <w:rPr>
              <w:rFonts w:ascii="宋体" w:hAnsi="宋体" w:eastAsia="宋体" w:cs="宋体"/>
              <w:spacing w:val="-8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294</w:t>
          </w:r>
          <w:r>
            <w:rPr>
              <w:rFonts w:ascii="Calibri" w:hAnsi="Calibri" w:eastAsia="Calibri" w:cs="Calibri"/>
              <w:spacing w:val="1"/>
              <w:sz w:val="21"/>
              <w:szCs w:val="21"/>
            </w:rPr>
            <w:fldChar w:fldCharType="end"/>
          </w:r>
        </w:p>
        <w:p w14:paraId="62C01B80">
          <w:pPr>
            <w:tabs>
              <w:tab w:val="right" w:leader="dot" w:pos="8322"/>
            </w:tabs>
            <w:spacing w:before="67" w:line="205" w:lineRule="auto"/>
            <w:ind w:left="904"/>
            <w:rPr>
              <w:rFonts w:ascii="Calibri" w:hAnsi="Calibri" w:eastAsia="Calibri" w:cs="Calibri"/>
              <w:sz w:val="21"/>
              <w:szCs w:val="21"/>
            </w:rPr>
          </w:pPr>
          <w:r>
            <w:fldChar w:fldCharType="begin"/>
          </w:r>
          <w:r>
            <w:instrText xml:space="preserve"> HYPERLINK \l "bookmark599" </w:instrText>
          </w:r>
          <w:r>
            <w:fldChar w:fldCharType="separate"/>
          </w:r>
          <w:r>
            <w:rPr>
              <w:rFonts w:ascii="黑体" w:hAnsi="黑体" w:eastAsia="黑体" w:cs="黑体"/>
              <w:spacing w:val="-4"/>
              <w:sz w:val="21"/>
              <w:szCs w:val="21"/>
            </w:rPr>
            <w:t>(四)近年完成的类似项目情况</w:t>
          </w:r>
          <w:r>
            <w:rPr>
              <w:rFonts w:ascii="黑体" w:hAnsi="黑体" w:eastAsia="黑体" w:cs="黑体"/>
              <w:spacing w:val="-49"/>
              <w:sz w:val="21"/>
              <w:szCs w:val="21"/>
            </w:rPr>
            <w:t xml:space="preserve"> </w:t>
          </w:r>
          <w:r>
            <w:rPr>
              <w:rFonts w:ascii="黑体" w:hAnsi="黑体" w:eastAsia="黑体" w:cs="黑体"/>
              <w:sz w:val="21"/>
              <w:szCs w:val="21"/>
            </w:rPr>
            <w:tab/>
          </w:r>
          <w:r>
            <w:rPr>
              <w:rFonts w:ascii="Calibri" w:hAnsi="Calibri" w:eastAsia="Calibri" w:cs="Calibri"/>
              <w:spacing w:val="1"/>
              <w:sz w:val="21"/>
              <w:szCs w:val="21"/>
            </w:rPr>
            <w:t>296</w:t>
          </w:r>
          <w:r>
            <w:rPr>
              <w:rFonts w:ascii="Calibri" w:hAnsi="Calibri" w:eastAsia="Calibri" w:cs="Calibri"/>
              <w:spacing w:val="1"/>
              <w:sz w:val="21"/>
              <w:szCs w:val="21"/>
            </w:rPr>
            <w:fldChar w:fldCharType="end"/>
          </w:r>
        </w:p>
        <w:p w14:paraId="5FE64932">
          <w:pPr>
            <w:tabs>
              <w:tab w:val="left" w:pos="975"/>
              <w:tab w:val="right" w:leader="dot" w:pos="8322"/>
            </w:tabs>
            <w:spacing w:before="82" w:line="205" w:lineRule="auto"/>
            <w:ind w:left="805"/>
            <w:rPr>
              <w:rFonts w:ascii="Calibri" w:hAnsi="Calibri" w:eastAsia="Calibri" w:cs="Calibri"/>
              <w:sz w:val="21"/>
              <w:szCs w:val="21"/>
            </w:rPr>
          </w:pPr>
          <w:r>
            <w:fldChar w:fldCharType="begin"/>
          </w:r>
          <w:r>
            <w:instrText xml:space="preserve"> HYPERLINK \l "bookmark600" </w:instrText>
          </w:r>
          <w:r>
            <w:fldChar w:fldCharType="separate"/>
          </w:r>
          <w:r>
            <w:rPr>
              <w:rFonts w:ascii="宋体" w:hAnsi="宋体" w:eastAsia="宋体" w:cs="宋体"/>
              <w:sz w:val="21"/>
              <w:szCs w:val="21"/>
            </w:rPr>
            <w:tab/>
          </w:r>
          <w:r>
            <w:rPr>
              <w:rFonts w:ascii="宋体" w:hAnsi="宋体" w:eastAsia="宋体" w:cs="宋体"/>
              <w:spacing w:val="-7"/>
              <w:sz w:val="21"/>
              <w:szCs w:val="21"/>
            </w:rPr>
            <w:t>（四）正在施工的和新承接的项目情况</w:t>
          </w:r>
          <w:r>
            <w:rPr>
              <w:rFonts w:ascii="宋体" w:hAnsi="宋体" w:eastAsia="宋体" w:cs="宋体"/>
              <w:spacing w:val="-55"/>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296</w:t>
          </w:r>
          <w:r>
            <w:rPr>
              <w:rFonts w:ascii="Calibri" w:hAnsi="Calibri" w:eastAsia="Calibri" w:cs="Calibri"/>
              <w:spacing w:val="2"/>
              <w:sz w:val="21"/>
              <w:szCs w:val="21"/>
            </w:rPr>
            <w:fldChar w:fldCharType="end"/>
          </w:r>
        </w:p>
        <w:p w14:paraId="132CED6A">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"bookmark601" </w:instrText>
          </w:r>
          <w:r>
            <w:fldChar w:fldCharType="separate"/>
          </w:r>
          <w:r>
            <w:rPr>
              <w:rFonts w:ascii="Calibri" w:hAnsi="Calibri" w:eastAsia="Calibri" w:cs="Calibri"/>
              <w:sz w:val="21"/>
              <w:szCs w:val="21"/>
            </w:rPr>
            <w:t xml:space="preserve">4-1  </w:t>
          </w:r>
          <w:r>
            <w:rPr>
              <w:rFonts w:ascii="黑体" w:hAnsi="黑体" w:eastAsia="黑体" w:cs="黑体"/>
              <w:sz w:val="21"/>
              <w:szCs w:val="21"/>
            </w:rPr>
            <w:t>正在施工的和新承接的项目汇总表</w:t>
          </w:r>
          <w:r>
            <w:rPr>
              <w:rFonts w:ascii="黑体" w:hAnsi="黑体" w:eastAsia="黑体" w:cs="黑体"/>
              <w:spacing w:val="-7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296</w:t>
          </w:r>
          <w:r>
            <w:rPr>
              <w:rFonts w:ascii="Calibri" w:hAnsi="Calibri" w:eastAsia="Calibri" w:cs="Calibri"/>
              <w:spacing w:val="2"/>
              <w:sz w:val="21"/>
              <w:szCs w:val="21"/>
            </w:rPr>
            <w:fldChar w:fldCharType="end"/>
          </w:r>
        </w:p>
        <w:p w14:paraId="2C7A1D25">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"bookmark602" </w:instrText>
          </w:r>
          <w:r>
            <w:fldChar w:fldCharType="separate"/>
          </w:r>
          <w:r>
            <w:rPr>
              <w:rFonts w:ascii="Calibri" w:hAnsi="Calibri" w:eastAsia="Calibri" w:cs="Calibri"/>
              <w:sz w:val="21"/>
              <w:szCs w:val="21"/>
            </w:rPr>
            <w:t xml:space="preserve">4-2  </w:t>
          </w:r>
          <w:r>
            <w:rPr>
              <w:rFonts w:ascii="黑体" w:hAnsi="黑体" w:eastAsia="黑体" w:cs="黑体"/>
              <w:sz w:val="21"/>
              <w:szCs w:val="21"/>
            </w:rPr>
            <w:t>正在施工的和新承接的项目情况表</w:t>
          </w:r>
          <w:r>
            <w:rPr>
              <w:rFonts w:ascii="黑体" w:hAnsi="黑体" w:eastAsia="黑体" w:cs="黑体"/>
              <w:spacing w:val="-74"/>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297</w:t>
          </w:r>
          <w:r>
            <w:rPr>
              <w:rFonts w:ascii="Calibri" w:hAnsi="Calibri" w:eastAsia="Calibri" w:cs="Calibri"/>
              <w:spacing w:val="2"/>
              <w:sz w:val="21"/>
              <w:szCs w:val="21"/>
            </w:rPr>
            <w:fldChar w:fldCharType="end"/>
          </w:r>
        </w:p>
        <w:p w14:paraId="3A5DB55F">
          <w:pPr>
            <w:tabs>
              <w:tab w:val="right" w:leader="dot" w:pos="8322"/>
            </w:tabs>
            <w:spacing w:before="83" w:line="205" w:lineRule="auto"/>
            <w:ind w:left="904"/>
            <w:rPr>
              <w:rFonts w:ascii="Calibri" w:hAnsi="Calibri" w:eastAsia="Calibri" w:cs="Calibri"/>
              <w:sz w:val="21"/>
              <w:szCs w:val="21"/>
            </w:rPr>
          </w:pPr>
          <w:r>
            <w:fldChar w:fldCharType="begin"/>
          </w:r>
          <w:r>
            <w:instrText xml:space="preserve"> HYPERLINK \l "bookmark603" </w:instrText>
          </w:r>
          <w:r>
            <w:fldChar w:fldCharType="separate"/>
          </w:r>
          <w:r>
            <w:rPr>
              <w:rFonts w:ascii="黑体" w:hAnsi="黑体" w:eastAsia="黑体" w:cs="黑体"/>
              <w:spacing w:val="-6"/>
              <w:sz w:val="21"/>
              <w:szCs w:val="21"/>
            </w:rPr>
            <w:t>(五)、企业信誉情况</w:t>
          </w:r>
          <w:r>
            <w:rPr>
              <w:rFonts w:ascii="黑体" w:hAnsi="黑体" w:eastAsia="黑体" w:cs="黑体"/>
              <w:spacing w:val="-46"/>
              <w:sz w:val="21"/>
              <w:szCs w:val="21"/>
            </w:rPr>
            <w:t xml:space="preserve"> </w:t>
          </w:r>
          <w:r>
            <w:rPr>
              <w:rFonts w:ascii="黑体" w:hAnsi="黑体" w:eastAsia="黑体" w:cs="黑体"/>
              <w:sz w:val="21"/>
              <w:szCs w:val="21"/>
            </w:rPr>
            <w:tab/>
          </w:r>
          <w:r>
            <w:rPr>
              <w:rFonts w:ascii="Calibri" w:hAnsi="Calibri" w:eastAsia="Calibri" w:cs="Calibri"/>
              <w:spacing w:val="2"/>
              <w:sz w:val="21"/>
              <w:szCs w:val="21"/>
            </w:rPr>
            <w:t>298</w:t>
          </w:r>
          <w:r>
            <w:rPr>
              <w:rFonts w:ascii="Calibri" w:hAnsi="Calibri" w:eastAsia="Calibri" w:cs="Calibri"/>
              <w:spacing w:val="2"/>
              <w:sz w:val="21"/>
              <w:szCs w:val="21"/>
            </w:rPr>
            <w:fldChar w:fldCharType="end"/>
          </w:r>
        </w:p>
        <w:p w14:paraId="51397A5B">
          <w:pPr>
            <w:tabs>
              <w:tab w:val="left" w:pos="975"/>
              <w:tab w:val="right" w:leader="dot" w:pos="8322"/>
            </w:tabs>
            <w:spacing w:before="67" w:line="205" w:lineRule="auto"/>
            <w:ind w:left="805"/>
            <w:rPr>
              <w:rFonts w:ascii="Calibri" w:hAnsi="Calibri" w:eastAsia="Calibri" w:cs="Calibri"/>
              <w:sz w:val="21"/>
              <w:szCs w:val="21"/>
            </w:rPr>
          </w:pPr>
          <w:r>
            <w:fldChar w:fldCharType="begin"/>
          </w:r>
          <w:r>
            <w:instrText xml:space="preserve"> HYPERLINK \l "bookmark604" </w:instrText>
          </w:r>
          <w:r>
            <w:fldChar w:fldCharType="separate"/>
          </w:r>
          <w:r>
            <w:rPr>
              <w:rFonts w:ascii="宋体" w:hAnsi="宋体" w:eastAsia="宋体" w:cs="宋体"/>
              <w:sz w:val="21"/>
              <w:szCs w:val="21"/>
            </w:rPr>
            <w:tab/>
          </w:r>
          <w:r>
            <w:rPr>
              <w:rFonts w:ascii="宋体" w:hAnsi="宋体" w:eastAsia="宋体" w:cs="宋体"/>
              <w:spacing w:val="-14"/>
              <w:sz w:val="21"/>
              <w:szCs w:val="21"/>
            </w:rPr>
            <w:t>（五）企业信誉情况</w:t>
          </w:r>
          <w:r>
            <w:rPr>
              <w:rFonts w:ascii="宋体" w:hAnsi="宋体" w:eastAsia="宋体" w:cs="宋体"/>
              <w:spacing w:val="-50"/>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298</w:t>
          </w:r>
          <w:r>
            <w:rPr>
              <w:rFonts w:ascii="Calibri" w:hAnsi="Calibri" w:eastAsia="Calibri" w:cs="Calibri"/>
              <w:spacing w:val="2"/>
              <w:sz w:val="21"/>
              <w:szCs w:val="21"/>
            </w:rPr>
            <w:fldChar w:fldCharType="end"/>
          </w:r>
        </w:p>
        <w:p w14:paraId="31229B13">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"bookmark605" </w:instrText>
          </w:r>
          <w:r>
            <w:fldChar w:fldCharType="separate"/>
          </w:r>
          <w:r>
            <w:rPr>
              <w:rFonts w:ascii="宋体" w:hAnsi="宋体" w:eastAsia="宋体" w:cs="宋体"/>
              <w:spacing w:val="-3"/>
              <w:sz w:val="21"/>
              <w:szCs w:val="21"/>
            </w:rPr>
            <w:t>5-1</w:t>
          </w:r>
          <w:r>
            <w:rPr>
              <w:rFonts w:ascii="宋体" w:hAnsi="宋体" w:eastAsia="宋体" w:cs="宋体"/>
              <w:spacing w:val="-29"/>
              <w:sz w:val="21"/>
              <w:szCs w:val="21"/>
            </w:rPr>
            <w:t xml:space="preserve"> </w:t>
          </w:r>
          <w:r>
            <w:rPr>
              <w:rFonts w:ascii="宋体" w:hAnsi="宋体" w:eastAsia="宋体" w:cs="宋体"/>
              <w:spacing w:val="-3"/>
              <w:sz w:val="21"/>
              <w:szCs w:val="21"/>
            </w:rPr>
            <w:t>企业信誉声明</w:t>
          </w:r>
          <w:r>
            <w:rPr>
              <w:rFonts w:ascii="宋体" w:hAnsi="宋体" w:eastAsia="宋体" w:cs="宋体"/>
              <w:spacing w:val="-46"/>
              <w:sz w:val="21"/>
              <w:szCs w:val="21"/>
            </w:rPr>
            <w:t xml:space="preserve"> </w:t>
          </w:r>
          <w:r>
            <w:rPr>
              <w:rFonts w:ascii="宋体" w:hAnsi="宋体" w:eastAsia="宋体" w:cs="宋体"/>
              <w:sz w:val="21"/>
              <w:szCs w:val="21"/>
            </w:rPr>
            <w:tab/>
          </w:r>
          <w:r>
            <w:rPr>
              <w:rFonts w:ascii="Calibri" w:hAnsi="Calibri" w:eastAsia="Calibri" w:cs="Calibri"/>
              <w:spacing w:val="2"/>
              <w:sz w:val="21"/>
              <w:szCs w:val="21"/>
            </w:rPr>
            <w:t>298</w:t>
          </w:r>
          <w:r>
            <w:rPr>
              <w:rFonts w:ascii="Calibri" w:hAnsi="Calibri" w:eastAsia="Calibri" w:cs="Calibri"/>
              <w:spacing w:val="2"/>
              <w:sz w:val="21"/>
              <w:szCs w:val="21"/>
            </w:rPr>
            <w:fldChar w:fldCharType="end"/>
          </w:r>
        </w:p>
        <w:p w14:paraId="418C969F">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"bookmark606" </w:instrText>
          </w:r>
          <w:r>
            <w:fldChar w:fldCharType="separate"/>
          </w:r>
          <w:r>
            <w:rPr>
              <w:rFonts w:ascii="宋体" w:hAnsi="宋体" w:eastAsia="宋体" w:cs="宋体"/>
              <w:spacing w:val="-1"/>
              <w:sz w:val="21"/>
              <w:szCs w:val="21"/>
            </w:rPr>
            <w:t>5-2 近年发生的诉讼和仲裁情况</w:t>
          </w:r>
          <w:r>
            <w:rPr>
              <w:rFonts w:ascii="宋体" w:hAnsi="宋体" w:eastAsia="宋体" w:cs="宋体"/>
              <w:spacing w:val="-8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299</w:t>
          </w:r>
          <w:r>
            <w:rPr>
              <w:rFonts w:ascii="Calibri" w:hAnsi="Calibri" w:eastAsia="Calibri" w:cs="Calibri"/>
              <w:spacing w:val="1"/>
              <w:sz w:val="21"/>
              <w:szCs w:val="21"/>
            </w:rPr>
            <w:fldChar w:fldCharType="end"/>
          </w:r>
        </w:p>
        <w:p w14:paraId="716245BA">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"bookmark607" </w:instrText>
          </w:r>
          <w:r>
            <w:fldChar w:fldCharType="separate"/>
          </w:r>
          <w:r>
            <w:rPr>
              <w:rFonts w:ascii="宋体" w:hAnsi="宋体" w:eastAsia="宋体" w:cs="宋体"/>
              <w:spacing w:val="-1"/>
              <w:sz w:val="21"/>
              <w:szCs w:val="21"/>
            </w:rPr>
            <w:t>5-3 近年投标人工程获奖情况表</w:t>
          </w:r>
          <w:r>
            <w:rPr>
              <w:rFonts w:ascii="宋体" w:hAnsi="宋体" w:eastAsia="宋体" w:cs="宋体"/>
              <w:spacing w:val="-8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300</w:t>
          </w:r>
          <w:r>
            <w:rPr>
              <w:rFonts w:ascii="Calibri" w:hAnsi="Calibri" w:eastAsia="Calibri" w:cs="Calibri"/>
              <w:spacing w:val="1"/>
              <w:sz w:val="21"/>
              <w:szCs w:val="21"/>
            </w:rPr>
            <w:fldChar w:fldCharType="end"/>
          </w:r>
        </w:p>
        <w:p w14:paraId="3269E0A1">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"bookmark608" </w:instrText>
          </w:r>
          <w:r>
            <w:fldChar w:fldCharType="separate"/>
          </w:r>
          <w:r>
            <w:rPr>
              <w:rFonts w:ascii="宋体" w:hAnsi="宋体" w:eastAsia="宋体" w:cs="宋体"/>
              <w:spacing w:val="-1"/>
              <w:sz w:val="21"/>
              <w:szCs w:val="21"/>
            </w:rPr>
            <w:t>5-4 近年项目经理工程获奖情况表</w:t>
          </w:r>
          <w:r>
            <w:rPr>
              <w:rFonts w:ascii="宋体" w:hAnsi="宋体" w:eastAsia="宋体" w:cs="宋体"/>
              <w:spacing w:val="-52"/>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301</w:t>
          </w:r>
          <w:r>
            <w:rPr>
              <w:rFonts w:ascii="Calibri" w:hAnsi="Calibri" w:eastAsia="Calibri" w:cs="Calibri"/>
              <w:spacing w:val="1"/>
              <w:sz w:val="21"/>
              <w:szCs w:val="21"/>
            </w:rPr>
            <w:fldChar w:fldCharType="end"/>
          </w:r>
        </w:p>
        <w:p w14:paraId="0733C7F3">
          <w:pPr>
            <w:tabs>
              <w:tab w:val="right" w:leader="dot" w:pos="8322"/>
            </w:tabs>
            <w:spacing w:before="67" w:line="205" w:lineRule="auto"/>
            <w:ind w:left="869"/>
            <w:rPr>
              <w:rFonts w:ascii="Calibri" w:hAnsi="Calibri" w:eastAsia="Calibri" w:cs="Calibri"/>
              <w:sz w:val="21"/>
              <w:szCs w:val="21"/>
            </w:rPr>
          </w:pPr>
          <w:r>
            <w:fldChar w:fldCharType="begin"/>
          </w:r>
          <w:r>
            <w:instrText xml:space="preserve"> HYPERLINK \l "bookmark609" </w:instrText>
          </w:r>
          <w:r>
            <w:fldChar w:fldCharType="separate"/>
          </w:r>
          <w:r>
            <w:rPr>
              <w:rFonts w:ascii="宋体" w:hAnsi="宋体" w:eastAsia="宋体" w:cs="宋体"/>
              <w:spacing w:val="-1"/>
              <w:sz w:val="21"/>
              <w:szCs w:val="21"/>
            </w:rPr>
            <w:t>5-5 近年项目经理获表彰情况表</w:t>
          </w:r>
          <w:r>
            <w:rPr>
              <w:rFonts w:ascii="宋体" w:hAnsi="宋体" w:eastAsia="宋体" w:cs="宋体"/>
              <w:spacing w:val="-84"/>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302</w:t>
          </w:r>
          <w:r>
            <w:rPr>
              <w:rFonts w:ascii="Calibri" w:hAnsi="Calibri" w:eastAsia="Calibri" w:cs="Calibri"/>
              <w:spacing w:val="1"/>
              <w:sz w:val="21"/>
              <w:szCs w:val="21"/>
            </w:rPr>
            <w:fldChar w:fldCharType="end"/>
          </w:r>
        </w:p>
        <w:p w14:paraId="19E45D9A">
          <w:pPr>
            <w:tabs>
              <w:tab w:val="right" w:leader="dot" w:pos="8322"/>
            </w:tabs>
            <w:spacing w:before="82" w:line="205" w:lineRule="auto"/>
            <w:ind w:left="869"/>
            <w:rPr>
              <w:rFonts w:ascii="Calibri" w:hAnsi="Calibri" w:eastAsia="Calibri" w:cs="Calibri"/>
              <w:sz w:val="21"/>
              <w:szCs w:val="21"/>
            </w:rPr>
          </w:pPr>
          <w:r>
            <w:fldChar w:fldCharType="begin"/>
          </w:r>
          <w:r>
            <w:instrText xml:space="preserve"> HYPERLINK \l "bookmark610" </w:instrText>
          </w:r>
          <w:r>
            <w:fldChar w:fldCharType="separate"/>
          </w:r>
          <w:r>
            <w:rPr>
              <w:rFonts w:ascii="宋体" w:hAnsi="宋体" w:eastAsia="宋体" w:cs="宋体"/>
              <w:spacing w:val="-1"/>
              <w:sz w:val="21"/>
              <w:szCs w:val="21"/>
            </w:rPr>
            <w:t>5-6 近年企业及个人获表彰情况表</w:t>
          </w:r>
          <w:r>
            <w:rPr>
              <w:rFonts w:ascii="宋体" w:hAnsi="宋体" w:eastAsia="宋体" w:cs="宋体"/>
              <w:spacing w:val="-52"/>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303</w:t>
          </w:r>
          <w:r>
            <w:rPr>
              <w:rFonts w:ascii="Calibri" w:hAnsi="Calibri" w:eastAsia="Calibri" w:cs="Calibri"/>
              <w:spacing w:val="1"/>
              <w:sz w:val="21"/>
              <w:szCs w:val="21"/>
            </w:rPr>
            <w:fldChar w:fldCharType="end"/>
          </w:r>
        </w:p>
        <w:p w14:paraId="1F693B58">
          <w:pPr>
            <w:tabs>
              <w:tab w:val="right" w:leader="dot" w:pos="8322"/>
            </w:tabs>
            <w:spacing w:before="82" w:line="205" w:lineRule="auto"/>
            <w:ind w:left="449"/>
            <w:rPr>
              <w:rFonts w:ascii="Calibri" w:hAnsi="Calibri" w:eastAsia="Calibri" w:cs="Calibri"/>
              <w:sz w:val="21"/>
              <w:szCs w:val="21"/>
            </w:rPr>
          </w:pPr>
          <w:r>
            <w:fldChar w:fldCharType="begin"/>
          </w:r>
          <w:r>
            <w:instrText xml:space="preserve"> HYPERLINK \l "bookmark611" </w:instrText>
          </w:r>
          <w:r>
            <w:fldChar w:fldCharType="separate"/>
          </w:r>
          <w:r>
            <w:rPr>
              <w:rFonts w:ascii="宋体" w:hAnsi="宋体" w:eastAsia="宋体" w:cs="宋体"/>
              <w:spacing w:val="-1"/>
              <w:sz w:val="21"/>
              <w:szCs w:val="21"/>
            </w:rPr>
            <w:t>九、已标价工程量清单</w:t>
          </w:r>
          <w:r>
            <w:rPr>
              <w:rFonts w:ascii="宋体" w:hAnsi="宋体" w:eastAsia="宋体" w:cs="宋体"/>
              <w:spacing w:val="-92"/>
              <w:sz w:val="21"/>
              <w:szCs w:val="21"/>
            </w:rPr>
            <w:t xml:space="preserve"> </w:t>
          </w:r>
          <w:r>
            <w:rPr>
              <w:rFonts w:ascii="宋体" w:hAnsi="宋体" w:eastAsia="宋体" w:cs="宋体"/>
              <w:sz w:val="21"/>
              <w:szCs w:val="21"/>
            </w:rPr>
            <w:tab/>
          </w:r>
          <w:r>
            <w:rPr>
              <w:rFonts w:ascii="Calibri" w:hAnsi="Calibri" w:eastAsia="Calibri" w:cs="Calibri"/>
              <w:spacing w:val="2"/>
              <w:sz w:val="21"/>
              <w:szCs w:val="21"/>
            </w:rPr>
            <w:t>304</w:t>
          </w:r>
          <w:r>
            <w:rPr>
              <w:rFonts w:ascii="Calibri" w:hAnsi="Calibri" w:eastAsia="Calibri" w:cs="Calibri"/>
              <w:spacing w:val="2"/>
              <w:sz w:val="21"/>
              <w:szCs w:val="21"/>
            </w:rPr>
            <w:fldChar w:fldCharType="end"/>
          </w:r>
        </w:p>
        <w:p w14:paraId="579CA813">
          <w:pPr>
            <w:tabs>
              <w:tab w:val="right" w:leader="dot" w:pos="8322"/>
            </w:tabs>
            <w:spacing w:before="82" w:line="205" w:lineRule="auto"/>
            <w:ind w:left="888"/>
            <w:rPr>
              <w:rFonts w:ascii="Calibri" w:hAnsi="Calibri" w:eastAsia="Calibri" w:cs="Calibri"/>
              <w:sz w:val="21"/>
              <w:szCs w:val="21"/>
            </w:rPr>
          </w:pPr>
          <w:r>
            <w:fldChar w:fldCharType="begin"/>
          </w:r>
          <w:r>
            <w:instrText xml:space="preserve"> HYPERLINK \l "bookmark612" </w:instrText>
          </w:r>
          <w:r>
            <w:fldChar w:fldCharType="separate"/>
          </w:r>
          <w:r>
            <w:rPr>
              <w:rFonts w:ascii="宋体" w:hAnsi="宋体" w:eastAsia="宋体" w:cs="宋体"/>
              <w:spacing w:val="-2"/>
              <w:sz w:val="21"/>
              <w:szCs w:val="21"/>
            </w:rPr>
            <w:t>已标价工程量清单（投标总价）封面</w:t>
          </w:r>
          <w:r>
            <w:rPr>
              <w:rFonts w:ascii="宋体" w:hAnsi="宋体" w:eastAsia="宋体" w:cs="宋体"/>
              <w:spacing w:val="-86"/>
              <w:sz w:val="21"/>
              <w:szCs w:val="21"/>
            </w:rPr>
            <w:t xml:space="preserve"> </w:t>
          </w:r>
          <w:r>
            <w:rPr>
              <w:rFonts w:ascii="宋体" w:hAnsi="宋体" w:eastAsia="宋体" w:cs="宋体"/>
              <w:sz w:val="21"/>
              <w:szCs w:val="21"/>
            </w:rPr>
            <w:tab/>
          </w:r>
          <w:r>
            <w:rPr>
              <w:rFonts w:ascii="Calibri" w:hAnsi="Calibri" w:eastAsia="Calibri" w:cs="Calibri"/>
              <w:spacing w:val="2"/>
              <w:sz w:val="21"/>
              <w:szCs w:val="21"/>
            </w:rPr>
            <w:t>305</w:t>
          </w:r>
          <w:r>
            <w:rPr>
              <w:rFonts w:ascii="Calibri" w:hAnsi="Calibri" w:eastAsia="Calibri" w:cs="Calibri"/>
              <w:spacing w:val="2"/>
              <w:sz w:val="21"/>
              <w:szCs w:val="21"/>
            </w:rPr>
            <w:fldChar w:fldCharType="end"/>
          </w:r>
        </w:p>
        <w:p w14:paraId="52409EA5">
          <w:pPr>
            <w:tabs>
              <w:tab w:val="right" w:leader="dot" w:pos="8322"/>
            </w:tabs>
            <w:spacing w:before="83" w:line="205" w:lineRule="auto"/>
            <w:ind w:left="867"/>
            <w:rPr>
              <w:rFonts w:ascii="Calibri" w:hAnsi="Calibri" w:eastAsia="Calibri" w:cs="Calibri"/>
              <w:sz w:val="21"/>
              <w:szCs w:val="21"/>
            </w:rPr>
          </w:pPr>
          <w:r>
            <w:fldChar w:fldCharType="begin"/>
          </w:r>
          <w:r>
            <w:instrText xml:space="preserve"> HYPERLINK \l "bookmark613" </w:instrText>
          </w:r>
          <w:r>
            <w:fldChar w:fldCharType="separate"/>
          </w:r>
          <w:r>
            <w:rPr>
              <w:rFonts w:ascii="宋体" w:hAnsi="宋体" w:eastAsia="宋体" w:cs="宋体"/>
              <w:spacing w:val="-2"/>
              <w:sz w:val="21"/>
              <w:szCs w:val="21"/>
            </w:rPr>
            <w:t>投标总价扉页</w:t>
          </w:r>
          <w:r>
            <w:rPr>
              <w:rFonts w:ascii="宋体" w:hAnsi="宋体" w:eastAsia="宋体" w:cs="宋体"/>
              <w:spacing w:val="-88"/>
              <w:sz w:val="21"/>
              <w:szCs w:val="21"/>
            </w:rPr>
            <w:t xml:space="preserve"> </w:t>
          </w:r>
          <w:r>
            <w:rPr>
              <w:rFonts w:ascii="宋体" w:hAnsi="宋体" w:eastAsia="宋体" w:cs="宋体"/>
              <w:sz w:val="21"/>
              <w:szCs w:val="21"/>
            </w:rPr>
            <w:tab/>
          </w:r>
          <w:r>
            <w:rPr>
              <w:rFonts w:ascii="Calibri" w:hAnsi="Calibri" w:eastAsia="Calibri" w:cs="Calibri"/>
              <w:spacing w:val="1"/>
              <w:sz w:val="21"/>
              <w:szCs w:val="21"/>
            </w:rPr>
            <w:t>305</w:t>
          </w:r>
          <w:r>
            <w:rPr>
              <w:rFonts w:ascii="Calibri" w:hAnsi="Calibri" w:eastAsia="Calibri" w:cs="Calibri"/>
              <w:spacing w:val="1"/>
              <w:sz w:val="21"/>
              <w:szCs w:val="21"/>
            </w:rPr>
            <w:fldChar w:fldCharType="end"/>
          </w:r>
        </w:p>
        <w:p w14:paraId="1961AD8D">
          <w:pPr>
            <w:tabs>
              <w:tab w:val="right" w:leader="dot" w:pos="8322"/>
            </w:tabs>
            <w:spacing w:before="67" w:line="239" w:lineRule="auto"/>
            <w:ind w:left="447"/>
            <w:rPr>
              <w:rFonts w:ascii="Calibri" w:hAnsi="Calibri" w:eastAsia="Calibri" w:cs="Calibri"/>
              <w:sz w:val="21"/>
              <w:szCs w:val="21"/>
            </w:rPr>
          </w:pPr>
          <w:r>
            <w:fldChar w:fldCharType="begin"/>
          </w:r>
          <w:r>
            <w:instrText xml:space="preserve"> HYPERLINK \l "bookmark614" </w:instrText>
          </w:r>
          <w:r>
            <w:fldChar w:fldCharType="separate"/>
          </w:r>
          <w:r>
            <w:rPr>
              <w:rFonts w:ascii="黑体" w:hAnsi="黑体" w:eastAsia="黑体" w:cs="黑体"/>
              <w:spacing w:val="-1"/>
              <w:sz w:val="21"/>
              <w:szCs w:val="21"/>
            </w:rPr>
            <w:t>十、施工组织设计</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1"/>
              <w:sz w:val="21"/>
              <w:szCs w:val="21"/>
            </w:rPr>
            <w:t>307</w:t>
          </w:r>
          <w:r>
            <w:rPr>
              <w:rFonts w:ascii="Calibri" w:hAnsi="Calibri" w:eastAsia="Calibri" w:cs="Calibri"/>
              <w:spacing w:val="1"/>
              <w:sz w:val="21"/>
              <w:szCs w:val="21"/>
            </w:rPr>
            <w:fldChar w:fldCharType="end"/>
          </w:r>
        </w:p>
      </w:sdtContent>
    </w:sdt>
    <w:p w14:paraId="0ED6AF65">
      <w:pPr>
        <w:spacing w:line="239" w:lineRule="auto"/>
        <w:rPr>
          <w:rFonts w:ascii="Calibri" w:hAnsi="Calibri" w:eastAsia="Calibri" w:cs="Calibri"/>
          <w:sz w:val="21"/>
          <w:szCs w:val="21"/>
        </w:rPr>
        <w:sectPr>
          <w:footerReference r:id="rId18" w:type="default"/>
          <w:pgSz w:w="11910" w:h="16845"/>
          <w:pgMar w:top="1431" w:right="869" w:bottom="1044" w:left="1786" w:header="0" w:footer="882" w:gutter="0"/>
          <w:cols w:space="720" w:num="1"/>
        </w:sectPr>
      </w:pPr>
    </w:p>
    <w:sdt>
      <w:sdtPr>
        <w:rPr>
          <w:rFonts w:ascii="黑体" w:hAnsi="黑体" w:eastAsia="黑体" w:cs="黑体"/>
          <w:sz w:val="21"/>
          <w:szCs w:val="21"/>
        </w:rPr>
        <w:id w:val="147454704"/>
        <w:docPartObj>
          <w:docPartGallery w:val="Table of Contents"/>
          <w:docPartUnique/>
        </w:docPartObj>
      </w:sdtPr>
      <w:sdtEndPr>
        <w:rPr>
          <w:rFonts w:ascii="Calibri" w:hAnsi="Calibri" w:eastAsia="Calibri" w:cs="Calibri"/>
          <w:sz w:val="21"/>
          <w:szCs w:val="21"/>
        </w:rPr>
      </w:sdtEndPr>
      <w:sdtContent>
        <w:p w14:paraId="0014DCDC">
          <w:pPr>
            <w:tabs>
              <w:tab w:val="right" w:leader="dot" w:pos="8322"/>
            </w:tabs>
            <w:spacing w:before="54" w:line="205" w:lineRule="auto"/>
            <w:ind w:left="876"/>
            <w:rPr>
              <w:rFonts w:ascii="Calibri" w:hAnsi="Calibri" w:eastAsia="Calibri" w:cs="Calibri"/>
              <w:sz w:val="21"/>
              <w:szCs w:val="21"/>
            </w:rPr>
          </w:pPr>
          <w:r>
            <w:fldChar w:fldCharType="begin"/>
          </w:r>
          <w:r>
            <w:instrText xml:space="preserve"> HYPERLINK \l "bookmark615" </w:instrText>
          </w:r>
          <w:r>
            <w:fldChar w:fldCharType="separate"/>
          </w:r>
          <w:r>
            <w:rPr>
              <w:rFonts w:ascii="黑体" w:hAnsi="黑体" w:eastAsia="黑体" w:cs="黑体"/>
              <w:spacing w:val="-2"/>
              <w:sz w:val="21"/>
              <w:szCs w:val="21"/>
            </w:rPr>
            <w:t>附表一：拟投入本工程的主要施工设备表</w:t>
          </w:r>
          <w:r>
            <w:rPr>
              <w:rFonts w:ascii="黑体" w:hAnsi="黑体" w:eastAsia="黑体" w:cs="黑体"/>
              <w:spacing w:val="-7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309</w:t>
          </w:r>
          <w:r>
            <w:rPr>
              <w:rFonts w:ascii="Calibri" w:hAnsi="Calibri" w:eastAsia="Calibri" w:cs="Calibri"/>
              <w:spacing w:val="2"/>
              <w:sz w:val="21"/>
              <w:szCs w:val="21"/>
            </w:rPr>
            <w:fldChar w:fldCharType="end"/>
          </w:r>
        </w:p>
        <w:p w14:paraId="4E793CD4">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"bookmark616" </w:instrText>
          </w:r>
          <w:r>
            <w:fldChar w:fldCharType="separate"/>
          </w:r>
          <w:r>
            <w:rPr>
              <w:rFonts w:ascii="黑体" w:hAnsi="黑体" w:eastAsia="黑体" w:cs="黑体"/>
              <w:spacing w:val="-1"/>
              <w:sz w:val="21"/>
              <w:szCs w:val="21"/>
            </w:rPr>
            <w:t>附表二：拟配备本工程的试验和检测仪器设备表</w:t>
          </w:r>
          <w:r>
            <w:rPr>
              <w:rFonts w:ascii="黑体" w:hAnsi="黑体" w:eastAsia="黑体" w:cs="黑体"/>
              <w:spacing w:val="-54"/>
              <w:sz w:val="21"/>
              <w:szCs w:val="21"/>
            </w:rPr>
            <w:t xml:space="preserve"> </w:t>
          </w:r>
          <w:r>
            <w:rPr>
              <w:rFonts w:ascii="黑体" w:hAnsi="黑体" w:eastAsia="黑体" w:cs="黑体"/>
              <w:sz w:val="21"/>
              <w:szCs w:val="21"/>
            </w:rPr>
            <w:tab/>
          </w:r>
          <w:r>
            <w:rPr>
              <w:rFonts w:ascii="Calibri" w:hAnsi="Calibri" w:eastAsia="Calibri" w:cs="Calibri"/>
              <w:spacing w:val="1"/>
              <w:sz w:val="21"/>
              <w:szCs w:val="21"/>
            </w:rPr>
            <w:t>310</w:t>
          </w:r>
          <w:r>
            <w:rPr>
              <w:rFonts w:ascii="Calibri" w:hAnsi="Calibri" w:eastAsia="Calibri" w:cs="Calibri"/>
              <w:spacing w:val="1"/>
              <w:sz w:val="21"/>
              <w:szCs w:val="21"/>
            </w:rPr>
            <w:fldChar w:fldCharType="end"/>
          </w:r>
        </w:p>
        <w:p w14:paraId="2F91AC90">
          <w:pPr>
            <w:tabs>
              <w:tab w:val="right" w:leader="dot" w:pos="8322"/>
            </w:tabs>
            <w:spacing w:before="81" w:line="205" w:lineRule="auto"/>
            <w:ind w:left="876"/>
            <w:rPr>
              <w:rFonts w:ascii="Calibri" w:hAnsi="Calibri" w:eastAsia="Calibri" w:cs="Calibri"/>
              <w:sz w:val="21"/>
              <w:szCs w:val="21"/>
            </w:rPr>
          </w:pPr>
          <w:r>
            <w:fldChar w:fldCharType="begin"/>
          </w:r>
          <w:r>
            <w:instrText xml:space="preserve"> HYPERLINK \l "bookmark617" </w:instrText>
          </w:r>
          <w:r>
            <w:fldChar w:fldCharType="separate"/>
          </w:r>
          <w:r>
            <w:rPr>
              <w:rFonts w:ascii="黑体" w:hAnsi="黑体" w:eastAsia="黑体" w:cs="黑体"/>
              <w:spacing w:val="-2"/>
              <w:sz w:val="21"/>
              <w:szCs w:val="21"/>
            </w:rPr>
            <w:t>附表三：劳动力计划表</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311</w:t>
          </w:r>
          <w:r>
            <w:rPr>
              <w:rFonts w:ascii="Calibri" w:hAnsi="Calibri" w:eastAsia="Calibri" w:cs="Calibri"/>
              <w:spacing w:val="2"/>
              <w:sz w:val="21"/>
              <w:szCs w:val="21"/>
            </w:rPr>
            <w:fldChar w:fldCharType="end"/>
          </w:r>
        </w:p>
        <w:p w14:paraId="66446D93">
          <w:pPr>
            <w:tabs>
              <w:tab w:val="right" w:leader="dot" w:pos="8322"/>
            </w:tabs>
            <w:spacing w:before="67" w:line="205" w:lineRule="auto"/>
            <w:ind w:left="876"/>
            <w:rPr>
              <w:rFonts w:ascii="Calibri" w:hAnsi="Calibri" w:eastAsia="Calibri" w:cs="Calibri"/>
              <w:sz w:val="21"/>
              <w:szCs w:val="21"/>
            </w:rPr>
          </w:pPr>
          <w:r>
            <w:fldChar w:fldCharType="begin"/>
          </w:r>
          <w:r>
            <w:instrText xml:space="preserve"> HYPERLINK \l "bookmark618" </w:instrText>
          </w:r>
          <w:r>
            <w:fldChar w:fldCharType="separate"/>
          </w:r>
          <w:r>
            <w:rPr>
              <w:rFonts w:ascii="黑体" w:hAnsi="黑体" w:eastAsia="黑体" w:cs="黑体"/>
              <w:spacing w:val="-1"/>
              <w:sz w:val="21"/>
              <w:szCs w:val="21"/>
            </w:rPr>
            <w:t>附表四：计划开、竣工日期和施工进度网络图</w:t>
          </w:r>
          <w:r>
            <w:rPr>
              <w:rFonts w:ascii="黑体" w:hAnsi="黑体" w:eastAsia="黑体" w:cs="黑体"/>
              <w:spacing w:val="-85"/>
              <w:sz w:val="21"/>
              <w:szCs w:val="21"/>
            </w:rPr>
            <w:t xml:space="preserve"> </w:t>
          </w:r>
          <w:r>
            <w:rPr>
              <w:rFonts w:ascii="黑体" w:hAnsi="黑体" w:eastAsia="黑体" w:cs="黑体"/>
              <w:sz w:val="21"/>
              <w:szCs w:val="21"/>
            </w:rPr>
            <w:tab/>
          </w:r>
          <w:r>
            <w:rPr>
              <w:rFonts w:ascii="Calibri" w:hAnsi="Calibri" w:eastAsia="Calibri" w:cs="Calibri"/>
              <w:spacing w:val="1"/>
              <w:sz w:val="21"/>
              <w:szCs w:val="21"/>
            </w:rPr>
            <w:t>312</w:t>
          </w:r>
          <w:r>
            <w:rPr>
              <w:rFonts w:ascii="Calibri" w:hAnsi="Calibri" w:eastAsia="Calibri" w:cs="Calibri"/>
              <w:spacing w:val="1"/>
              <w:sz w:val="21"/>
              <w:szCs w:val="21"/>
            </w:rPr>
            <w:fldChar w:fldCharType="end"/>
          </w:r>
        </w:p>
        <w:p w14:paraId="60939ED7">
          <w:pPr>
            <w:tabs>
              <w:tab w:val="right" w:leader="dot" w:pos="8322"/>
            </w:tabs>
            <w:spacing w:before="81" w:line="205" w:lineRule="auto"/>
            <w:ind w:left="876"/>
            <w:rPr>
              <w:rFonts w:ascii="Calibri" w:hAnsi="Calibri" w:eastAsia="Calibri" w:cs="Calibri"/>
              <w:sz w:val="21"/>
              <w:szCs w:val="21"/>
            </w:rPr>
          </w:pPr>
          <w:r>
            <w:fldChar w:fldCharType="begin"/>
          </w:r>
          <w:r>
            <w:instrText xml:space="preserve"> HYPERLINK \l "bookmark619" </w:instrText>
          </w:r>
          <w:r>
            <w:fldChar w:fldCharType="separate"/>
          </w:r>
          <w:r>
            <w:rPr>
              <w:rFonts w:ascii="黑体" w:hAnsi="黑体" w:eastAsia="黑体" w:cs="黑体"/>
              <w:spacing w:val="-2"/>
              <w:sz w:val="21"/>
              <w:szCs w:val="21"/>
            </w:rPr>
            <w:t>附表五：施工总平面图</w:t>
          </w:r>
          <w:r>
            <w:rPr>
              <w:rFonts w:ascii="黑体" w:hAnsi="黑体" w:eastAsia="黑体" w:cs="黑体"/>
              <w:spacing w:val="-88"/>
              <w:sz w:val="21"/>
              <w:szCs w:val="21"/>
            </w:rPr>
            <w:t xml:space="preserve"> </w:t>
          </w:r>
          <w:r>
            <w:rPr>
              <w:rFonts w:ascii="黑体" w:hAnsi="黑体" w:eastAsia="黑体" w:cs="黑体"/>
              <w:sz w:val="21"/>
              <w:szCs w:val="21"/>
            </w:rPr>
            <w:tab/>
          </w:r>
          <w:r>
            <w:rPr>
              <w:rFonts w:ascii="Calibri" w:hAnsi="Calibri" w:eastAsia="Calibri" w:cs="Calibri"/>
              <w:spacing w:val="2"/>
              <w:sz w:val="21"/>
              <w:szCs w:val="21"/>
            </w:rPr>
            <w:t>313</w:t>
          </w:r>
          <w:r>
            <w:rPr>
              <w:rFonts w:ascii="Calibri" w:hAnsi="Calibri" w:eastAsia="Calibri" w:cs="Calibri"/>
              <w:spacing w:val="2"/>
              <w:sz w:val="21"/>
              <w:szCs w:val="21"/>
            </w:rPr>
            <w:fldChar w:fldCharType="end"/>
          </w:r>
        </w:p>
        <w:p w14:paraId="267F71A8">
          <w:pPr>
            <w:tabs>
              <w:tab w:val="right" w:leader="dot" w:pos="8322"/>
            </w:tabs>
            <w:spacing w:before="82" w:line="205" w:lineRule="auto"/>
            <w:ind w:left="876"/>
            <w:rPr>
              <w:rFonts w:ascii="Calibri" w:hAnsi="Calibri" w:eastAsia="Calibri" w:cs="Calibri"/>
              <w:sz w:val="21"/>
              <w:szCs w:val="21"/>
            </w:rPr>
          </w:pPr>
          <w:r>
            <w:fldChar w:fldCharType="begin"/>
          </w:r>
          <w:r>
            <w:instrText xml:space="preserve"> HYPERLINK \l "bookmark620" </w:instrText>
          </w:r>
          <w:r>
            <w:fldChar w:fldCharType="separate"/>
          </w:r>
          <w:r>
            <w:rPr>
              <w:rFonts w:ascii="黑体" w:hAnsi="黑体" w:eastAsia="黑体" w:cs="黑体"/>
              <w:spacing w:val="-2"/>
              <w:sz w:val="21"/>
              <w:szCs w:val="21"/>
            </w:rPr>
            <w:t>附表六：临时用地表</w:t>
          </w:r>
          <w:r>
            <w:rPr>
              <w:rFonts w:ascii="黑体" w:hAnsi="黑体" w:eastAsia="黑体" w:cs="黑体"/>
              <w:spacing w:val="-6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314</w:t>
          </w:r>
          <w:r>
            <w:rPr>
              <w:rFonts w:ascii="Calibri" w:hAnsi="Calibri" w:eastAsia="Calibri" w:cs="Calibri"/>
              <w:spacing w:val="2"/>
              <w:sz w:val="21"/>
              <w:szCs w:val="21"/>
            </w:rPr>
            <w:fldChar w:fldCharType="end"/>
          </w:r>
        </w:p>
        <w:p w14:paraId="6501AC10">
          <w:pPr>
            <w:tabs>
              <w:tab w:val="right" w:leader="dot" w:pos="8322"/>
            </w:tabs>
            <w:spacing w:before="82" w:line="239" w:lineRule="auto"/>
            <w:ind w:left="447"/>
            <w:rPr>
              <w:rFonts w:ascii="Calibri" w:hAnsi="Calibri" w:eastAsia="Calibri" w:cs="Calibri"/>
              <w:sz w:val="21"/>
              <w:szCs w:val="21"/>
            </w:rPr>
          </w:pPr>
          <w:r>
            <w:fldChar w:fldCharType="begin"/>
          </w:r>
          <w:r>
            <w:instrText xml:space="preserve"> HYPERLINK \l "bookmark621" </w:instrText>
          </w:r>
          <w:r>
            <w:fldChar w:fldCharType="separate"/>
          </w:r>
          <w:r>
            <w:rPr>
              <w:rFonts w:ascii="黑体" w:hAnsi="黑体" w:eastAsia="黑体" w:cs="黑体"/>
              <w:spacing w:val="-1"/>
              <w:sz w:val="21"/>
              <w:szCs w:val="21"/>
            </w:rPr>
            <w:t>十、投标所需其他资料</w:t>
          </w:r>
          <w:r>
            <w:rPr>
              <w:rFonts w:ascii="黑体" w:hAnsi="黑体" w:eastAsia="黑体" w:cs="黑体"/>
              <w:spacing w:val="-89"/>
              <w:sz w:val="21"/>
              <w:szCs w:val="21"/>
            </w:rPr>
            <w:t xml:space="preserve"> </w:t>
          </w:r>
          <w:r>
            <w:rPr>
              <w:rFonts w:ascii="黑体" w:hAnsi="黑体" w:eastAsia="黑体" w:cs="黑体"/>
              <w:sz w:val="21"/>
              <w:szCs w:val="21"/>
            </w:rPr>
            <w:tab/>
          </w:r>
          <w:r>
            <w:rPr>
              <w:rFonts w:ascii="Calibri" w:hAnsi="Calibri" w:eastAsia="Calibri" w:cs="Calibri"/>
              <w:spacing w:val="2"/>
              <w:sz w:val="21"/>
              <w:szCs w:val="21"/>
            </w:rPr>
            <w:t>315</w:t>
          </w:r>
          <w:r>
            <w:rPr>
              <w:rFonts w:ascii="Calibri" w:hAnsi="Calibri" w:eastAsia="Calibri" w:cs="Calibri"/>
              <w:spacing w:val="2"/>
              <w:sz w:val="21"/>
              <w:szCs w:val="21"/>
            </w:rPr>
            <w:fldChar w:fldCharType="end"/>
          </w:r>
        </w:p>
      </w:sdtContent>
    </w:sdt>
    <w:p w14:paraId="7A8D62D0">
      <w:pPr>
        <w:spacing w:line="239" w:lineRule="auto"/>
        <w:rPr>
          <w:rFonts w:ascii="Calibri" w:hAnsi="Calibri" w:eastAsia="Calibri" w:cs="Calibri"/>
          <w:sz w:val="21"/>
          <w:szCs w:val="21"/>
        </w:rPr>
        <w:sectPr>
          <w:footerReference r:id="rId19" w:type="default"/>
          <w:pgSz w:w="11910" w:h="16845"/>
          <w:pgMar w:top="1431" w:right="1786" w:bottom="1044" w:left="1786" w:header="0" w:footer="882" w:gutter="0"/>
          <w:cols w:space="720" w:num="1"/>
        </w:sectPr>
      </w:pPr>
    </w:p>
    <w:p w14:paraId="4181C432">
      <w:pPr>
        <w:pStyle w:val="2"/>
        <w:spacing w:line="247" w:lineRule="auto"/>
      </w:pPr>
    </w:p>
    <w:p w14:paraId="24E8410F">
      <w:pPr>
        <w:pStyle w:val="2"/>
        <w:spacing w:line="247" w:lineRule="auto"/>
      </w:pPr>
    </w:p>
    <w:p w14:paraId="5EF670C4">
      <w:pPr>
        <w:pStyle w:val="2"/>
        <w:spacing w:line="247" w:lineRule="auto"/>
      </w:pPr>
    </w:p>
    <w:p w14:paraId="2AE4817B">
      <w:pPr>
        <w:pStyle w:val="2"/>
        <w:spacing w:line="247" w:lineRule="auto"/>
      </w:pPr>
    </w:p>
    <w:p w14:paraId="01FA4D86">
      <w:pPr>
        <w:pStyle w:val="2"/>
        <w:spacing w:line="247" w:lineRule="auto"/>
      </w:pPr>
    </w:p>
    <w:p w14:paraId="4A34A9AF">
      <w:pPr>
        <w:pStyle w:val="2"/>
        <w:spacing w:line="248" w:lineRule="auto"/>
      </w:pPr>
    </w:p>
    <w:p w14:paraId="0A218897">
      <w:pPr>
        <w:pStyle w:val="2"/>
        <w:spacing w:line="248" w:lineRule="auto"/>
      </w:pPr>
    </w:p>
    <w:p w14:paraId="0540D563">
      <w:pPr>
        <w:pStyle w:val="2"/>
        <w:spacing w:line="248" w:lineRule="auto"/>
      </w:pPr>
    </w:p>
    <w:p w14:paraId="22EF505B">
      <w:pPr>
        <w:pStyle w:val="2"/>
        <w:spacing w:line="248" w:lineRule="auto"/>
      </w:pPr>
    </w:p>
    <w:p w14:paraId="77F63604">
      <w:pPr>
        <w:pStyle w:val="2"/>
        <w:spacing w:line="248" w:lineRule="auto"/>
      </w:pPr>
    </w:p>
    <w:p w14:paraId="189FA643">
      <w:pPr>
        <w:pStyle w:val="2"/>
        <w:spacing w:line="248" w:lineRule="auto"/>
      </w:pPr>
    </w:p>
    <w:p w14:paraId="1E123D4C">
      <w:pPr>
        <w:pStyle w:val="2"/>
        <w:spacing w:line="248" w:lineRule="auto"/>
      </w:pPr>
    </w:p>
    <w:p w14:paraId="55314C76">
      <w:pPr>
        <w:pStyle w:val="2"/>
        <w:spacing w:line="248" w:lineRule="auto"/>
      </w:pPr>
    </w:p>
    <w:p w14:paraId="690218D1">
      <w:pPr>
        <w:pStyle w:val="2"/>
        <w:spacing w:line="248" w:lineRule="auto"/>
      </w:pPr>
    </w:p>
    <w:p w14:paraId="31BD5744">
      <w:pPr>
        <w:spacing w:before="140" w:line="222" w:lineRule="auto"/>
        <w:ind w:left="3517"/>
        <w:outlineLvl w:val="0"/>
        <w:rPr>
          <w:rFonts w:ascii="宋体" w:hAnsi="宋体" w:eastAsia="宋体" w:cs="宋体"/>
          <w:sz w:val="43"/>
          <w:szCs w:val="43"/>
        </w:rPr>
      </w:pPr>
      <w:bookmarkStart w:id="0" w:name="bookmark1"/>
      <w:bookmarkEnd w:id="0"/>
      <w:r>
        <w:rPr>
          <w:rFonts w:ascii="宋体" w:hAnsi="宋体" w:eastAsia="宋体" w:cs="宋体"/>
          <w:b/>
          <w:bCs/>
          <w:spacing w:val="5"/>
          <w:sz w:val="43"/>
          <w:szCs w:val="43"/>
        </w:rPr>
        <w:t>第一卷</w:t>
      </w:r>
    </w:p>
    <w:p w14:paraId="5EF20540">
      <w:pPr>
        <w:spacing w:line="222" w:lineRule="auto"/>
        <w:rPr>
          <w:rFonts w:ascii="宋体" w:hAnsi="宋体" w:eastAsia="宋体" w:cs="宋体"/>
          <w:sz w:val="43"/>
          <w:szCs w:val="43"/>
        </w:rPr>
        <w:sectPr>
          <w:footerReference r:id="rId20" w:type="default"/>
          <w:pgSz w:w="11910" w:h="16845"/>
          <w:pgMar w:top="1431" w:right="1786" w:bottom="1065" w:left="1786" w:header="0" w:footer="837" w:gutter="0"/>
          <w:cols w:space="720" w:num="1"/>
        </w:sectPr>
      </w:pPr>
    </w:p>
    <w:p w14:paraId="6BAAB1AD">
      <w:pPr>
        <w:spacing w:before="177" w:line="220" w:lineRule="auto"/>
        <w:ind w:left="2510"/>
        <w:outlineLvl w:val="0"/>
        <w:rPr>
          <w:rFonts w:ascii="宋体" w:hAnsi="宋体" w:eastAsia="宋体" w:cs="宋体"/>
          <w:sz w:val="43"/>
          <w:szCs w:val="43"/>
        </w:rPr>
      </w:pPr>
      <w:bookmarkStart w:id="1" w:name="bookmark2"/>
      <w:bookmarkEnd w:id="1"/>
      <w:r>
        <w:rPr>
          <w:rFonts w:ascii="宋体" w:hAnsi="宋体" w:eastAsia="宋体" w:cs="宋体"/>
          <w:b/>
          <w:bCs/>
          <w:spacing w:val="7"/>
          <w:sz w:val="43"/>
          <w:szCs w:val="43"/>
        </w:rPr>
        <w:t>第一章</w:t>
      </w:r>
      <w:r>
        <w:rPr>
          <w:rFonts w:ascii="宋体" w:hAnsi="宋体" w:eastAsia="宋体" w:cs="宋体"/>
          <w:spacing w:val="7"/>
          <w:sz w:val="43"/>
          <w:szCs w:val="43"/>
        </w:rPr>
        <w:t xml:space="preserve"> </w:t>
      </w:r>
      <w:r>
        <w:rPr>
          <w:rFonts w:ascii="宋体" w:hAnsi="宋体" w:eastAsia="宋体" w:cs="宋体"/>
          <w:b/>
          <w:bCs/>
          <w:spacing w:val="7"/>
          <w:sz w:val="43"/>
          <w:szCs w:val="43"/>
        </w:rPr>
        <w:t>招标公告</w:t>
      </w:r>
    </w:p>
    <w:p w14:paraId="34F05DF7">
      <w:pPr>
        <w:pStyle w:val="2"/>
        <w:spacing w:line="268" w:lineRule="auto"/>
      </w:pPr>
    </w:p>
    <w:p w14:paraId="5CF80D75">
      <w:pPr>
        <w:pStyle w:val="2"/>
        <w:spacing w:line="269" w:lineRule="auto"/>
      </w:pPr>
    </w:p>
    <w:p w14:paraId="33A001F6">
      <w:pPr>
        <w:pStyle w:val="2"/>
        <w:spacing w:line="269" w:lineRule="auto"/>
      </w:pPr>
    </w:p>
    <w:p w14:paraId="07B869C5">
      <w:pPr>
        <w:spacing w:before="101" w:line="376" w:lineRule="auto"/>
        <w:ind w:left="1600" w:right="825" w:hanging="729"/>
        <w:rPr>
          <w:rFonts w:ascii="宋体" w:hAnsi="宋体" w:eastAsia="宋体" w:cs="宋体"/>
          <w:sz w:val="31"/>
          <w:szCs w:val="31"/>
        </w:rPr>
      </w:pPr>
      <w:r>
        <w:rPr>
          <w:rFonts w:hint="eastAsia" w:ascii="宋体" w:hAnsi="宋体" w:eastAsia="宋体" w:cs="宋体"/>
          <w:spacing w:val="6"/>
          <w:sz w:val="31"/>
          <w:szCs w:val="31"/>
          <w:lang w:eastAsia="zh-CN"/>
        </w:rPr>
        <w:t>罗田县胜利镇韩塔寺村集装袋生产项目(二期）工程</w:t>
      </w:r>
      <w:r>
        <w:rPr>
          <w:rFonts w:ascii="宋体" w:hAnsi="宋体" w:eastAsia="宋体" w:cs="宋体"/>
          <w:spacing w:val="5"/>
          <w:sz w:val="31"/>
          <w:szCs w:val="31"/>
        </w:rPr>
        <w:t>(</w:t>
      </w:r>
      <w:r>
        <w:rPr>
          <w:rFonts w:hint="eastAsia" w:ascii="宋体" w:hAnsi="宋体" w:eastAsia="宋体" w:cs="宋体"/>
          <w:sz w:val="31"/>
          <w:szCs w:val="31"/>
          <w:lang w:eastAsia="zh-CN"/>
        </w:rPr>
        <w:t>HBLT-202605FJ-006001001</w:t>
      </w:r>
      <w:r>
        <w:rPr>
          <w:rFonts w:ascii="宋体" w:hAnsi="宋体" w:eastAsia="宋体" w:cs="宋体"/>
          <w:spacing w:val="5"/>
          <w:sz w:val="31"/>
          <w:szCs w:val="31"/>
        </w:rPr>
        <w:t>001001)招标公告</w:t>
      </w:r>
    </w:p>
    <w:p w14:paraId="25E4D9EB">
      <w:pPr>
        <w:spacing w:before="57" w:line="221" w:lineRule="auto"/>
        <w:ind w:left="1531"/>
        <w:rPr>
          <w:rFonts w:ascii="宋体" w:hAnsi="宋体" w:eastAsia="宋体" w:cs="宋体"/>
          <w:sz w:val="31"/>
          <w:szCs w:val="31"/>
        </w:rPr>
      </w:pPr>
      <w:r>
        <w:rPr>
          <w:rFonts w:ascii="宋体" w:hAnsi="宋体" w:eastAsia="宋体" w:cs="宋体"/>
          <w:spacing w:val="9"/>
          <w:sz w:val="31"/>
          <w:szCs w:val="31"/>
        </w:rPr>
        <w:t>招标编号：</w:t>
      </w:r>
      <w:r>
        <w:rPr>
          <w:rFonts w:hint="eastAsia" w:ascii="宋体" w:hAnsi="宋体" w:eastAsia="宋体" w:cs="宋体"/>
          <w:sz w:val="31"/>
          <w:szCs w:val="31"/>
          <w:lang w:eastAsia="zh-CN"/>
        </w:rPr>
        <w:t>HBLT-202605FJ-006001001</w:t>
      </w:r>
      <w:r>
        <w:rPr>
          <w:rFonts w:ascii="宋体" w:hAnsi="宋体" w:eastAsia="宋体" w:cs="宋体"/>
          <w:spacing w:val="9"/>
          <w:sz w:val="31"/>
          <w:szCs w:val="31"/>
        </w:rPr>
        <w:t>001001</w:t>
      </w:r>
    </w:p>
    <w:p w14:paraId="128C2AAB">
      <w:pPr>
        <w:spacing w:before="303" w:line="223" w:lineRule="auto"/>
        <w:ind w:left="66"/>
        <w:rPr>
          <w:rFonts w:ascii="宋体" w:hAnsi="宋体" w:eastAsia="宋体" w:cs="宋体"/>
          <w:sz w:val="31"/>
          <w:szCs w:val="31"/>
        </w:rPr>
      </w:pPr>
      <w:r>
        <w:rPr>
          <w:rFonts w:ascii="宋体" w:hAnsi="宋体" w:eastAsia="宋体" w:cs="宋体"/>
          <w:spacing w:val="1"/>
          <w:sz w:val="31"/>
          <w:szCs w:val="31"/>
        </w:rPr>
        <w:t>1.招标条件</w:t>
      </w:r>
    </w:p>
    <w:p w14:paraId="4B8BE086">
      <w:pPr>
        <w:spacing w:before="316" w:line="222" w:lineRule="auto"/>
        <w:ind w:left="1321"/>
        <w:rPr>
          <w:rFonts w:ascii="宋体" w:hAnsi="宋体" w:eastAsia="宋体" w:cs="宋体"/>
          <w:sz w:val="31"/>
          <w:szCs w:val="31"/>
        </w:rPr>
      </w:pPr>
      <w:r>
        <w:rPr>
          <w:rFonts w:ascii="宋体" w:hAnsi="宋体" w:eastAsia="宋体" w:cs="宋体"/>
          <w:spacing w:val="7"/>
          <w:sz w:val="31"/>
          <w:szCs w:val="31"/>
        </w:rPr>
        <w:t>本招标项目罗田县胜利镇韩塔寺村集装袋生</w:t>
      </w:r>
      <w:r>
        <w:rPr>
          <w:rFonts w:ascii="宋体" w:hAnsi="宋体" w:eastAsia="宋体" w:cs="宋体"/>
          <w:spacing w:val="6"/>
          <w:sz w:val="31"/>
          <w:szCs w:val="31"/>
        </w:rPr>
        <w:t>产项</w:t>
      </w:r>
    </w:p>
    <w:p w14:paraId="29555DA9">
      <w:pPr>
        <w:spacing w:before="242" w:line="223" w:lineRule="auto"/>
        <w:ind w:left="103"/>
        <w:rPr>
          <w:rFonts w:ascii="宋体" w:hAnsi="宋体" w:eastAsia="宋体" w:cs="宋体"/>
          <w:sz w:val="31"/>
          <w:szCs w:val="31"/>
        </w:rPr>
      </w:pPr>
      <w:r>
        <w:rPr>
          <w:rFonts w:ascii="宋体" w:hAnsi="宋体" w:eastAsia="宋体" w:cs="宋体"/>
          <w:spacing w:val="4"/>
          <w:sz w:val="31"/>
          <w:szCs w:val="31"/>
        </w:rPr>
        <w:t>目工程施工已由罗田县发展和改革局以罗发改审批服务</w:t>
      </w:r>
    </w:p>
    <w:p w14:paraId="650878AE">
      <w:pPr>
        <w:spacing w:before="255" w:line="372" w:lineRule="auto"/>
        <w:ind w:left="44" w:hanging="13"/>
        <w:rPr>
          <w:rFonts w:ascii="宋体" w:hAnsi="宋体" w:eastAsia="宋体" w:cs="宋体"/>
          <w:sz w:val="31"/>
          <w:szCs w:val="31"/>
        </w:rPr>
      </w:pPr>
      <w:r>
        <w:rPr>
          <w:rFonts w:ascii="宋体" w:hAnsi="宋体" w:eastAsia="宋体" w:cs="宋体"/>
          <w:spacing w:val="6"/>
          <w:sz w:val="31"/>
          <w:szCs w:val="31"/>
        </w:rPr>
        <w:t>【2024】</w:t>
      </w:r>
      <w:r>
        <w:rPr>
          <w:rFonts w:hint="eastAsia" w:ascii="宋体" w:hAnsi="宋体" w:eastAsia="宋体" w:cs="宋体"/>
          <w:spacing w:val="6"/>
          <w:sz w:val="31"/>
          <w:szCs w:val="31"/>
          <w:lang w:val="en-US" w:eastAsia="zh-CN"/>
        </w:rPr>
        <w:t>235</w:t>
      </w:r>
      <w:r>
        <w:rPr>
          <w:rFonts w:ascii="宋体" w:hAnsi="宋体" w:eastAsia="宋体" w:cs="宋体"/>
          <w:spacing w:val="-49"/>
          <w:sz w:val="31"/>
          <w:szCs w:val="31"/>
        </w:rPr>
        <w:t xml:space="preserve"> </w:t>
      </w:r>
      <w:r>
        <w:rPr>
          <w:rFonts w:ascii="宋体" w:hAnsi="宋体" w:eastAsia="宋体" w:cs="宋体"/>
          <w:spacing w:val="6"/>
          <w:sz w:val="31"/>
          <w:szCs w:val="31"/>
        </w:rPr>
        <w:t>号批准建设，项目业主为罗田县胜利镇韩塔寺</w:t>
      </w:r>
      <w:r>
        <w:rPr>
          <w:rFonts w:ascii="宋体" w:hAnsi="宋体" w:eastAsia="宋体" w:cs="宋体"/>
          <w:spacing w:val="7"/>
          <w:sz w:val="31"/>
          <w:szCs w:val="31"/>
        </w:rPr>
        <w:t>村村民委员会,建设资金来自财政。项目出资</w:t>
      </w:r>
      <w:r>
        <w:rPr>
          <w:rFonts w:ascii="宋体" w:hAnsi="宋体" w:eastAsia="宋体" w:cs="宋体"/>
          <w:spacing w:val="6"/>
          <w:sz w:val="31"/>
          <w:szCs w:val="31"/>
        </w:rPr>
        <w:t>比例为政府投</w:t>
      </w:r>
      <w:r>
        <w:rPr>
          <w:rFonts w:ascii="宋体" w:hAnsi="宋体" w:eastAsia="宋体" w:cs="宋体"/>
          <w:spacing w:val="8"/>
          <w:sz w:val="31"/>
          <w:szCs w:val="31"/>
        </w:rPr>
        <w:t>资：100.0%招标人为罗田县胜利镇韩塔寺村村民委员会，招</w:t>
      </w:r>
      <w:r>
        <w:rPr>
          <w:rFonts w:ascii="宋体" w:hAnsi="宋体" w:eastAsia="宋体" w:cs="宋体"/>
          <w:spacing w:val="9"/>
          <w:sz w:val="31"/>
          <w:szCs w:val="31"/>
        </w:rPr>
        <w:t>标代理机构为</w:t>
      </w:r>
      <w:r>
        <w:rPr>
          <w:rFonts w:hint="eastAsia" w:ascii="宋体" w:hAnsi="宋体" w:eastAsia="宋体" w:cs="宋体"/>
          <w:spacing w:val="9"/>
          <w:sz w:val="31"/>
          <w:szCs w:val="31"/>
          <w:lang w:eastAsia="zh-CN"/>
        </w:rPr>
        <w:t>湖北宏顺项目管理有限公司</w:t>
      </w:r>
      <w:r>
        <w:rPr>
          <w:rFonts w:ascii="宋体" w:hAnsi="宋体" w:eastAsia="宋体" w:cs="宋体"/>
          <w:spacing w:val="9"/>
          <w:sz w:val="31"/>
          <w:szCs w:val="31"/>
        </w:rPr>
        <w:t>。项目</w:t>
      </w:r>
      <w:r>
        <w:rPr>
          <w:rFonts w:ascii="宋体" w:hAnsi="宋体" w:eastAsia="宋体" w:cs="宋体"/>
          <w:spacing w:val="8"/>
          <w:sz w:val="31"/>
          <w:szCs w:val="31"/>
        </w:rPr>
        <w:t>已具</w:t>
      </w:r>
      <w:r>
        <w:rPr>
          <w:rFonts w:ascii="宋体" w:hAnsi="宋体" w:eastAsia="宋体" w:cs="宋体"/>
          <w:spacing w:val="3"/>
          <w:sz w:val="31"/>
          <w:szCs w:val="31"/>
        </w:rPr>
        <w:t>备招标条件，现对该项目进行公开招标。</w:t>
      </w:r>
    </w:p>
    <w:p w14:paraId="29AA4D28">
      <w:pPr>
        <w:spacing w:before="61" w:line="223" w:lineRule="auto"/>
        <w:ind w:left="47"/>
        <w:rPr>
          <w:rFonts w:ascii="宋体" w:hAnsi="宋体" w:eastAsia="宋体" w:cs="宋体"/>
          <w:sz w:val="31"/>
          <w:szCs w:val="31"/>
        </w:rPr>
      </w:pPr>
      <w:r>
        <w:rPr>
          <w:rFonts w:ascii="宋体" w:hAnsi="宋体" w:eastAsia="宋体" w:cs="宋体"/>
          <w:spacing w:val="4"/>
          <w:sz w:val="31"/>
          <w:szCs w:val="31"/>
        </w:rPr>
        <w:t>2.项目概况与招标范围</w:t>
      </w:r>
    </w:p>
    <w:p w14:paraId="2BE25939">
      <w:pPr>
        <w:spacing w:before="316" w:line="223" w:lineRule="auto"/>
        <w:ind w:left="47"/>
        <w:rPr>
          <w:rFonts w:ascii="宋体" w:hAnsi="宋体" w:eastAsia="宋体" w:cs="宋体"/>
          <w:sz w:val="31"/>
          <w:szCs w:val="31"/>
        </w:rPr>
      </w:pPr>
      <w:r>
        <w:rPr>
          <w:rFonts w:ascii="宋体" w:hAnsi="宋体" w:eastAsia="宋体" w:cs="宋体"/>
          <w:spacing w:val="1"/>
          <w:sz w:val="31"/>
          <w:szCs w:val="31"/>
        </w:rPr>
        <w:t>2.1</w:t>
      </w:r>
      <w:r>
        <w:rPr>
          <w:rFonts w:ascii="宋体" w:hAnsi="宋体" w:eastAsia="宋体" w:cs="宋体"/>
          <w:spacing w:val="-52"/>
          <w:sz w:val="31"/>
          <w:szCs w:val="31"/>
        </w:rPr>
        <w:t xml:space="preserve"> </w:t>
      </w:r>
      <w:r>
        <w:rPr>
          <w:rFonts w:ascii="宋体" w:hAnsi="宋体" w:eastAsia="宋体" w:cs="宋体"/>
          <w:spacing w:val="1"/>
          <w:sz w:val="31"/>
          <w:szCs w:val="31"/>
        </w:rPr>
        <w:t>项目概况</w:t>
      </w:r>
    </w:p>
    <w:p w14:paraId="7C0145D2">
      <w:pPr>
        <w:spacing w:before="301" w:line="223" w:lineRule="auto"/>
        <w:ind w:left="47"/>
        <w:rPr>
          <w:rFonts w:ascii="宋体" w:hAnsi="宋体" w:eastAsia="宋体" w:cs="宋体"/>
          <w:sz w:val="31"/>
          <w:szCs w:val="31"/>
        </w:rPr>
      </w:pPr>
      <w:r>
        <w:rPr>
          <w:rFonts w:ascii="宋体" w:hAnsi="宋体" w:eastAsia="宋体" w:cs="宋体"/>
          <w:spacing w:val="4"/>
          <w:sz w:val="31"/>
          <w:szCs w:val="31"/>
        </w:rPr>
        <w:t>建设地点：罗田县胜利镇</w:t>
      </w:r>
    </w:p>
    <w:p w14:paraId="757C3980">
      <w:pPr>
        <w:spacing w:before="256" w:line="222" w:lineRule="auto"/>
        <w:ind w:left="47"/>
        <w:rPr>
          <w:rFonts w:ascii="宋体" w:hAnsi="宋体" w:eastAsia="宋体" w:cs="宋体"/>
          <w:sz w:val="31"/>
          <w:szCs w:val="31"/>
        </w:rPr>
      </w:pPr>
      <w:r>
        <w:rPr>
          <w:rFonts w:ascii="宋体" w:hAnsi="宋体" w:eastAsia="宋体" w:cs="宋体"/>
          <w:spacing w:val="3"/>
          <w:sz w:val="31"/>
          <w:szCs w:val="31"/>
        </w:rPr>
        <w:t>建设规模：本项目投资约</w:t>
      </w:r>
      <w:r>
        <w:rPr>
          <w:rFonts w:hint="eastAsia" w:ascii="宋体" w:hAnsi="宋体" w:eastAsia="宋体" w:cs="宋体"/>
          <w:spacing w:val="-40"/>
          <w:sz w:val="31"/>
          <w:szCs w:val="31"/>
          <w:lang w:val="en-US" w:eastAsia="zh-CN"/>
        </w:rPr>
        <w:t>488.931619</w:t>
      </w:r>
      <w:r>
        <w:rPr>
          <w:rFonts w:ascii="宋体" w:hAnsi="宋体" w:eastAsia="宋体" w:cs="宋体"/>
          <w:spacing w:val="-51"/>
          <w:sz w:val="31"/>
          <w:szCs w:val="31"/>
        </w:rPr>
        <w:t xml:space="preserve"> </w:t>
      </w:r>
      <w:r>
        <w:rPr>
          <w:rFonts w:ascii="宋体" w:hAnsi="宋体" w:eastAsia="宋体" w:cs="宋体"/>
          <w:spacing w:val="3"/>
          <w:sz w:val="31"/>
          <w:szCs w:val="31"/>
        </w:rPr>
        <w:t>万元</w:t>
      </w:r>
    </w:p>
    <w:p w14:paraId="28CB91B0">
      <w:pPr>
        <w:spacing w:before="242" w:line="224" w:lineRule="auto"/>
        <w:ind w:left="44"/>
        <w:rPr>
          <w:rFonts w:ascii="宋体" w:hAnsi="宋体" w:eastAsia="宋体" w:cs="宋体"/>
          <w:sz w:val="31"/>
          <w:szCs w:val="31"/>
        </w:rPr>
      </w:pPr>
      <w:r>
        <w:rPr>
          <w:rFonts w:ascii="宋体" w:hAnsi="宋体" w:eastAsia="宋体" w:cs="宋体"/>
          <w:spacing w:val="3"/>
          <w:sz w:val="31"/>
          <w:szCs w:val="31"/>
        </w:rPr>
        <w:t>其他：/</w:t>
      </w:r>
    </w:p>
    <w:p w14:paraId="1E4746FB">
      <w:pPr>
        <w:spacing w:before="315" w:line="224" w:lineRule="auto"/>
        <w:ind w:left="47"/>
        <w:rPr>
          <w:rFonts w:ascii="宋体" w:hAnsi="宋体" w:eastAsia="宋体" w:cs="宋体"/>
          <w:sz w:val="31"/>
          <w:szCs w:val="31"/>
        </w:rPr>
      </w:pPr>
      <w:r>
        <w:rPr>
          <w:rFonts w:ascii="宋体" w:hAnsi="宋体" w:eastAsia="宋体" w:cs="宋体"/>
          <w:spacing w:val="2"/>
          <w:sz w:val="31"/>
          <w:szCs w:val="31"/>
        </w:rPr>
        <w:t>2.2</w:t>
      </w:r>
      <w:r>
        <w:rPr>
          <w:rFonts w:ascii="宋体" w:hAnsi="宋体" w:eastAsia="宋体" w:cs="宋体"/>
          <w:spacing w:val="-59"/>
          <w:sz w:val="31"/>
          <w:szCs w:val="31"/>
        </w:rPr>
        <w:t xml:space="preserve"> </w:t>
      </w:r>
      <w:r>
        <w:rPr>
          <w:rFonts w:ascii="宋体" w:hAnsi="宋体" w:eastAsia="宋体" w:cs="宋体"/>
          <w:spacing w:val="2"/>
          <w:sz w:val="31"/>
          <w:szCs w:val="31"/>
        </w:rPr>
        <w:t>招标范围</w:t>
      </w:r>
    </w:p>
    <w:p w14:paraId="7D89A253">
      <w:pPr>
        <w:spacing w:before="189" w:line="371" w:lineRule="auto"/>
        <w:ind w:left="45" w:right="53" w:hanging="1"/>
        <w:rPr>
          <w:rFonts w:ascii="宋体" w:hAnsi="宋体" w:eastAsia="宋体" w:cs="宋体"/>
          <w:snapToGrid w:val="0"/>
          <w:color w:val="000000"/>
          <w:spacing w:val="7"/>
          <w:kern w:val="0"/>
          <w:sz w:val="31"/>
          <w:szCs w:val="31"/>
          <w:lang w:val="en-US" w:eastAsia="en-US" w:bidi="ar-SA"/>
        </w:rPr>
      </w:pPr>
      <w:r>
        <w:rPr>
          <w:rFonts w:ascii="宋体" w:hAnsi="宋体" w:eastAsia="宋体" w:cs="宋体"/>
          <w:spacing w:val="7"/>
          <w:sz w:val="31"/>
          <w:szCs w:val="31"/>
        </w:rPr>
        <w:t>招标范围：</w:t>
      </w:r>
      <w:r>
        <w:rPr>
          <w:rFonts w:hint="eastAsia" w:ascii="宋体" w:hAnsi="宋体" w:eastAsia="宋体" w:cs="宋体"/>
          <w:snapToGrid w:val="0"/>
          <w:color w:val="000000"/>
          <w:spacing w:val="7"/>
          <w:kern w:val="0"/>
          <w:sz w:val="31"/>
          <w:szCs w:val="31"/>
          <w:lang w:val="en-US" w:eastAsia="en-US" w:bidi="ar-SA"/>
        </w:rPr>
        <w:t>本工程为胜利镇韩塔寺村集装袋生产项目(二期)工程。主要工程内容为:新建三层办公楼，建筑面积593.4</w:t>
      </w:r>
      <w:r>
        <w:rPr>
          <w:rFonts w:hint="eastAsia" w:ascii="宋体" w:hAnsi="宋体" w:eastAsia="宋体" w:cs="宋体"/>
          <w:snapToGrid w:val="0"/>
          <w:color w:val="000000"/>
          <w:spacing w:val="7"/>
          <w:kern w:val="0"/>
          <w:sz w:val="31"/>
          <w:szCs w:val="31"/>
          <w:lang w:val="en-US" w:eastAsia="zh-CN" w:bidi="ar-SA"/>
        </w:rPr>
        <w:t>㎡</w:t>
      </w:r>
      <w:r>
        <w:rPr>
          <w:rFonts w:hint="eastAsia" w:ascii="宋体" w:hAnsi="宋体" w:eastAsia="宋体" w:cs="宋体"/>
          <w:snapToGrid w:val="0"/>
          <w:color w:val="000000"/>
          <w:spacing w:val="7"/>
          <w:kern w:val="0"/>
          <w:sz w:val="31"/>
          <w:szCs w:val="31"/>
          <w:lang w:val="en-US" w:eastAsia="en-US" w:bidi="ar-SA"/>
        </w:rPr>
        <w:t>;新建3#加工厂房，采用钢结构，建筑面积2008.74</w:t>
      </w:r>
      <w:r>
        <w:rPr>
          <w:rFonts w:hint="eastAsia" w:ascii="宋体" w:hAnsi="宋体" w:eastAsia="宋体" w:cs="宋体"/>
          <w:snapToGrid w:val="0"/>
          <w:color w:val="000000"/>
          <w:spacing w:val="7"/>
          <w:kern w:val="0"/>
          <w:sz w:val="31"/>
          <w:szCs w:val="31"/>
          <w:lang w:val="en-US" w:eastAsia="zh-CN" w:bidi="ar-SA"/>
        </w:rPr>
        <w:t>㎡</w:t>
      </w:r>
      <w:r>
        <w:rPr>
          <w:rFonts w:hint="eastAsia" w:ascii="宋体" w:hAnsi="宋体" w:eastAsia="宋体" w:cs="宋体"/>
          <w:snapToGrid w:val="0"/>
          <w:color w:val="000000"/>
          <w:spacing w:val="7"/>
          <w:kern w:val="0"/>
          <w:sz w:val="31"/>
          <w:szCs w:val="31"/>
          <w:lang w:val="en-US" w:eastAsia="en-US" w:bidi="ar-SA"/>
        </w:rPr>
        <w:t>，挖土方。</w:t>
      </w:r>
    </w:p>
    <w:p w14:paraId="14A20A0B">
      <w:pPr>
        <w:spacing w:line="223" w:lineRule="auto"/>
        <w:ind w:left="44"/>
        <w:rPr>
          <w:rFonts w:ascii="宋体" w:hAnsi="宋体" w:eastAsia="宋体" w:cs="宋体"/>
          <w:sz w:val="31"/>
          <w:szCs w:val="31"/>
        </w:rPr>
      </w:pPr>
      <w:r>
        <w:rPr>
          <w:rFonts w:ascii="宋体" w:hAnsi="宋体" w:eastAsia="宋体" w:cs="宋体"/>
          <w:spacing w:val="8"/>
          <w:sz w:val="31"/>
          <w:szCs w:val="31"/>
        </w:rPr>
        <w:t>标段划分：1</w:t>
      </w:r>
    </w:p>
    <w:p w14:paraId="5FF19779">
      <w:pPr>
        <w:spacing w:before="254" w:line="224" w:lineRule="auto"/>
        <w:ind w:left="43"/>
        <w:rPr>
          <w:rFonts w:ascii="宋体" w:hAnsi="宋体" w:eastAsia="宋体" w:cs="宋体"/>
          <w:sz w:val="31"/>
          <w:szCs w:val="31"/>
        </w:rPr>
      </w:pPr>
      <w:r>
        <w:rPr>
          <w:rFonts w:ascii="宋体" w:hAnsi="宋体" w:eastAsia="宋体" w:cs="宋体"/>
          <w:spacing w:val="3"/>
          <w:sz w:val="31"/>
          <w:szCs w:val="31"/>
        </w:rPr>
        <w:t>计划工期：1</w:t>
      </w:r>
      <w:r>
        <w:rPr>
          <w:rFonts w:hint="eastAsia" w:ascii="宋体" w:hAnsi="宋体" w:eastAsia="宋体" w:cs="宋体"/>
          <w:spacing w:val="3"/>
          <w:sz w:val="31"/>
          <w:szCs w:val="31"/>
          <w:lang w:val="en-US" w:eastAsia="zh-CN"/>
        </w:rPr>
        <w:t>2</w:t>
      </w:r>
      <w:r>
        <w:rPr>
          <w:rFonts w:ascii="宋体" w:hAnsi="宋体" w:eastAsia="宋体" w:cs="宋体"/>
          <w:spacing w:val="3"/>
          <w:sz w:val="31"/>
          <w:szCs w:val="31"/>
        </w:rPr>
        <w:t>0 日历天，计划开工日期</w:t>
      </w:r>
      <w:r>
        <w:rPr>
          <w:rFonts w:ascii="宋体" w:hAnsi="宋体" w:eastAsia="宋体" w:cs="宋体"/>
          <w:spacing w:val="-55"/>
          <w:sz w:val="31"/>
          <w:szCs w:val="31"/>
        </w:rPr>
        <w:t xml:space="preserve"> </w:t>
      </w:r>
      <w:r>
        <w:rPr>
          <w:rFonts w:ascii="宋体" w:hAnsi="宋体" w:eastAsia="宋体" w:cs="宋体"/>
          <w:spacing w:val="3"/>
          <w:sz w:val="31"/>
          <w:szCs w:val="31"/>
        </w:rPr>
        <w:t>202</w:t>
      </w:r>
      <w:r>
        <w:rPr>
          <w:rFonts w:hint="eastAsia" w:ascii="宋体" w:hAnsi="宋体" w:eastAsia="宋体" w:cs="宋体"/>
          <w:spacing w:val="3"/>
          <w:sz w:val="31"/>
          <w:szCs w:val="31"/>
          <w:lang w:val="en-US" w:eastAsia="zh-CN"/>
        </w:rPr>
        <w:t>6</w:t>
      </w:r>
      <w:r>
        <w:rPr>
          <w:rFonts w:ascii="宋体" w:hAnsi="宋体" w:eastAsia="宋体" w:cs="宋体"/>
          <w:spacing w:val="3"/>
          <w:sz w:val="31"/>
          <w:szCs w:val="31"/>
        </w:rPr>
        <w:t>-</w:t>
      </w:r>
      <w:r>
        <w:rPr>
          <w:rFonts w:hint="eastAsia" w:ascii="宋体" w:hAnsi="宋体" w:eastAsia="宋体" w:cs="宋体"/>
          <w:spacing w:val="3"/>
          <w:sz w:val="31"/>
          <w:szCs w:val="31"/>
          <w:lang w:val="en-US" w:eastAsia="zh-CN"/>
        </w:rPr>
        <w:t>07</w:t>
      </w:r>
      <w:r>
        <w:rPr>
          <w:rFonts w:ascii="宋体" w:hAnsi="宋体" w:eastAsia="宋体" w:cs="宋体"/>
          <w:spacing w:val="3"/>
          <w:sz w:val="31"/>
          <w:szCs w:val="31"/>
        </w:rPr>
        <w:t>-01</w:t>
      </w:r>
    </w:p>
    <w:p w14:paraId="1FA1600C">
      <w:pPr>
        <w:spacing w:before="240" w:line="221" w:lineRule="auto"/>
        <w:ind w:left="44"/>
        <w:rPr>
          <w:rFonts w:ascii="宋体" w:hAnsi="宋体" w:eastAsia="宋体" w:cs="宋体"/>
          <w:sz w:val="31"/>
          <w:szCs w:val="31"/>
        </w:rPr>
      </w:pPr>
      <w:r>
        <w:rPr>
          <w:rFonts w:ascii="宋体" w:hAnsi="宋体" w:eastAsia="宋体" w:cs="宋体"/>
          <w:spacing w:val="5"/>
          <w:sz w:val="31"/>
          <w:szCs w:val="31"/>
        </w:rPr>
        <w:t>合同估算价：</w:t>
      </w:r>
      <w:r>
        <w:rPr>
          <w:rFonts w:hint="eastAsia" w:ascii="宋体" w:hAnsi="宋体" w:eastAsia="宋体" w:cs="宋体"/>
          <w:spacing w:val="5"/>
          <w:sz w:val="31"/>
          <w:szCs w:val="31"/>
          <w:lang w:val="en-US" w:eastAsia="zh-CN"/>
        </w:rPr>
        <w:t>488.931619</w:t>
      </w:r>
      <w:r>
        <w:rPr>
          <w:rFonts w:ascii="宋体" w:hAnsi="宋体" w:eastAsia="宋体" w:cs="宋体"/>
          <w:spacing w:val="-51"/>
          <w:sz w:val="31"/>
          <w:szCs w:val="31"/>
        </w:rPr>
        <w:t xml:space="preserve"> </w:t>
      </w:r>
      <w:r>
        <w:rPr>
          <w:rFonts w:ascii="宋体" w:hAnsi="宋体" w:eastAsia="宋体" w:cs="宋体"/>
          <w:spacing w:val="5"/>
          <w:sz w:val="31"/>
          <w:szCs w:val="31"/>
        </w:rPr>
        <w:t>万元</w:t>
      </w:r>
    </w:p>
    <w:p w14:paraId="5168F9F2">
      <w:pPr>
        <w:spacing w:before="318" w:line="224" w:lineRule="auto"/>
        <w:ind w:left="692"/>
        <w:rPr>
          <w:rFonts w:ascii="宋体" w:hAnsi="宋体" w:eastAsia="宋体" w:cs="宋体"/>
          <w:sz w:val="31"/>
          <w:szCs w:val="31"/>
        </w:rPr>
      </w:pPr>
      <w:r>
        <w:rPr>
          <w:rFonts w:ascii="宋体" w:hAnsi="宋体" w:eastAsia="宋体" w:cs="宋体"/>
          <w:spacing w:val="2"/>
          <w:sz w:val="31"/>
          <w:szCs w:val="31"/>
        </w:rPr>
        <w:t>2.3</w:t>
      </w:r>
      <w:r>
        <w:rPr>
          <w:rFonts w:ascii="宋体" w:hAnsi="宋体" w:eastAsia="宋体" w:cs="宋体"/>
          <w:spacing w:val="-54"/>
          <w:sz w:val="31"/>
          <w:szCs w:val="31"/>
        </w:rPr>
        <w:t xml:space="preserve"> </w:t>
      </w:r>
      <w:r>
        <w:rPr>
          <w:rFonts w:ascii="宋体" w:hAnsi="宋体" w:eastAsia="宋体" w:cs="宋体"/>
          <w:spacing w:val="2"/>
          <w:sz w:val="31"/>
          <w:szCs w:val="31"/>
        </w:rPr>
        <w:t>其他：/</w:t>
      </w:r>
    </w:p>
    <w:p w14:paraId="4D528ED0">
      <w:pPr>
        <w:spacing w:before="315" w:line="223" w:lineRule="auto"/>
        <w:ind w:left="49"/>
        <w:rPr>
          <w:rFonts w:ascii="宋体" w:hAnsi="宋体" w:eastAsia="宋体" w:cs="宋体"/>
          <w:sz w:val="31"/>
          <w:szCs w:val="31"/>
        </w:rPr>
      </w:pPr>
      <w:r>
        <w:rPr>
          <w:rFonts w:ascii="宋体" w:hAnsi="宋体" w:eastAsia="宋体" w:cs="宋体"/>
          <w:spacing w:val="4"/>
          <w:sz w:val="31"/>
          <w:szCs w:val="31"/>
        </w:rPr>
        <w:t>3.投标人资格要求</w:t>
      </w:r>
    </w:p>
    <w:p w14:paraId="6E2B491D">
      <w:pPr>
        <w:spacing w:before="303" w:line="372" w:lineRule="auto"/>
        <w:ind w:left="43" w:right="65" w:firstLine="6"/>
        <w:rPr>
          <w:rFonts w:ascii="宋体" w:hAnsi="宋体" w:eastAsia="宋体" w:cs="宋体"/>
          <w:sz w:val="31"/>
          <w:szCs w:val="31"/>
        </w:rPr>
      </w:pPr>
      <w:r>
        <w:rPr>
          <w:rFonts w:ascii="宋体" w:hAnsi="宋体" w:eastAsia="宋体" w:cs="宋体"/>
          <w:spacing w:val="4"/>
          <w:sz w:val="31"/>
          <w:szCs w:val="31"/>
        </w:rPr>
        <w:t>3.1</w:t>
      </w:r>
      <w:r>
        <w:rPr>
          <w:rFonts w:ascii="宋体" w:hAnsi="宋体" w:eastAsia="宋体" w:cs="宋体"/>
          <w:spacing w:val="-45"/>
          <w:sz w:val="31"/>
          <w:szCs w:val="31"/>
        </w:rPr>
        <w:t xml:space="preserve"> </w:t>
      </w:r>
      <w:r>
        <w:rPr>
          <w:rFonts w:ascii="宋体" w:hAnsi="宋体" w:eastAsia="宋体" w:cs="宋体"/>
          <w:spacing w:val="4"/>
          <w:sz w:val="31"/>
          <w:szCs w:val="31"/>
        </w:rPr>
        <w:t>本标段招标要求投标人须具备 ：1.市场监督管理部门核</w:t>
      </w:r>
      <w:r>
        <w:rPr>
          <w:rFonts w:ascii="宋体" w:hAnsi="宋体" w:eastAsia="宋体" w:cs="宋体"/>
          <w:spacing w:val="8"/>
          <w:sz w:val="31"/>
          <w:szCs w:val="31"/>
        </w:rPr>
        <w:t>发的有效营业执照；2.建设行政主管部门核发的有效安全生产许可证；3.具备建设行政主管部门颁发的建筑工程施工总</w:t>
      </w:r>
      <w:r>
        <w:rPr>
          <w:rFonts w:ascii="宋体" w:hAnsi="宋体" w:eastAsia="宋体" w:cs="宋体"/>
          <w:spacing w:val="6"/>
          <w:sz w:val="31"/>
          <w:szCs w:val="31"/>
        </w:rPr>
        <w:t>承包叁级及以上资质，</w:t>
      </w:r>
      <w:r>
        <w:rPr>
          <w:rFonts w:ascii="宋体" w:hAnsi="宋体" w:eastAsia="宋体" w:cs="宋体"/>
          <w:spacing w:val="-78"/>
          <w:sz w:val="31"/>
          <w:szCs w:val="31"/>
        </w:rPr>
        <w:t xml:space="preserve"> </w:t>
      </w:r>
      <w:r>
        <w:rPr>
          <w:rFonts w:ascii="宋体" w:hAnsi="宋体" w:eastAsia="宋体" w:cs="宋体"/>
          <w:spacing w:val="6"/>
          <w:sz w:val="31"/>
          <w:szCs w:val="31"/>
        </w:rPr>
        <w:t>并在人员、设备、资金等方面具有相</w:t>
      </w:r>
      <w:r>
        <w:rPr>
          <w:rFonts w:ascii="宋体" w:hAnsi="宋体" w:eastAsia="宋体" w:cs="宋体"/>
          <w:spacing w:val="8"/>
          <w:sz w:val="31"/>
          <w:szCs w:val="31"/>
        </w:rPr>
        <w:t>应的施工能力；4.投标人拟派项目经理须具备建筑专业一级</w:t>
      </w:r>
      <w:r>
        <w:rPr>
          <w:rFonts w:ascii="宋体" w:hAnsi="宋体" w:eastAsia="宋体" w:cs="宋体"/>
          <w:spacing w:val="7"/>
          <w:sz w:val="31"/>
          <w:szCs w:val="31"/>
        </w:rPr>
        <w:t>或二级注册建造师资格和有效的安全生产考核合格证书（B</w:t>
      </w:r>
      <w:r>
        <w:rPr>
          <w:rFonts w:ascii="宋体" w:hAnsi="宋体" w:eastAsia="宋体" w:cs="宋体"/>
          <w:spacing w:val="9"/>
          <w:sz w:val="31"/>
          <w:szCs w:val="31"/>
        </w:rPr>
        <w:t>证</w:t>
      </w:r>
      <w:r>
        <w:rPr>
          <w:rFonts w:ascii="宋体" w:hAnsi="宋体" w:eastAsia="宋体" w:cs="宋体"/>
          <w:spacing w:val="3"/>
          <w:sz w:val="31"/>
          <w:szCs w:val="31"/>
        </w:rPr>
        <w:t>），</w:t>
      </w:r>
      <w:r>
        <w:rPr>
          <w:rFonts w:ascii="宋体" w:hAnsi="宋体" w:eastAsia="宋体" w:cs="宋体"/>
          <w:spacing w:val="9"/>
          <w:sz w:val="31"/>
          <w:szCs w:val="31"/>
        </w:rPr>
        <w:t>且未担任其他在工程项目的项目经理；5.具有独立法</w:t>
      </w:r>
      <w:r>
        <w:rPr>
          <w:rFonts w:ascii="宋体" w:hAnsi="宋体" w:eastAsia="宋体" w:cs="宋体"/>
          <w:spacing w:val="1"/>
          <w:sz w:val="31"/>
          <w:szCs w:val="31"/>
        </w:rPr>
        <w:t>人资格、独立订立合同的能力。</w:t>
      </w:r>
    </w:p>
    <w:p w14:paraId="562F1F53">
      <w:pPr>
        <w:spacing w:before="1" w:line="222" w:lineRule="auto"/>
        <w:ind w:left="49"/>
        <w:rPr>
          <w:rFonts w:ascii="宋体" w:hAnsi="宋体" w:eastAsia="宋体" w:cs="宋体"/>
          <w:sz w:val="31"/>
          <w:szCs w:val="31"/>
        </w:rPr>
      </w:pPr>
      <w:r>
        <w:rPr>
          <w:rFonts w:ascii="宋体" w:hAnsi="宋体" w:eastAsia="宋体" w:cs="宋体"/>
          <w:sz w:val="31"/>
          <w:szCs w:val="31"/>
        </w:rPr>
        <w:t>3.2</w:t>
      </w:r>
      <w:r>
        <w:rPr>
          <w:rFonts w:ascii="宋体" w:hAnsi="宋体" w:eastAsia="宋体" w:cs="宋体"/>
          <w:spacing w:val="-52"/>
          <w:sz w:val="31"/>
          <w:szCs w:val="31"/>
        </w:rPr>
        <w:t xml:space="preserve"> </w:t>
      </w:r>
      <w:r>
        <w:rPr>
          <w:rFonts w:ascii="宋体" w:hAnsi="宋体" w:eastAsia="宋体" w:cs="宋体"/>
          <w:sz w:val="31"/>
          <w:szCs w:val="31"/>
        </w:rPr>
        <w:t>本标段不接受联合体投标。</w:t>
      </w:r>
    </w:p>
    <w:p w14:paraId="41483EFD">
      <w:pPr>
        <w:spacing w:before="258" w:line="368" w:lineRule="auto"/>
        <w:ind w:left="43" w:firstLine="6"/>
        <w:rPr>
          <w:rFonts w:ascii="宋体" w:hAnsi="宋体" w:eastAsia="宋体" w:cs="宋体"/>
          <w:sz w:val="31"/>
          <w:szCs w:val="31"/>
        </w:rPr>
      </w:pPr>
      <w:r>
        <w:rPr>
          <w:rFonts w:ascii="宋体" w:hAnsi="宋体" w:eastAsia="宋体" w:cs="宋体"/>
          <w:spacing w:val="5"/>
          <w:sz w:val="31"/>
          <w:szCs w:val="31"/>
        </w:rPr>
        <w:t>3.3</w:t>
      </w:r>
      <w:r>
        <w:rPr>
          <w:rFonts w:ascii="宋体" w:hAnsi="宋体" w:eastAsia="宋体" w:cs="宋体"/>
          <w:spacing w:val="-48"/>
          <w:sz w:val="31"/>
          <w:szCs w:val="31"/>
        </w:rPr>
        <w:t xml:space="preserve"> </w:t>
      </w:r>
      <w:r>
        <w:rPr>
          <w:rFonts w:ascii="宋体" w:hAnsi="宋体" w:eastAsia="宋体" w:cs="宋体"/>
          <w:spacing w:val="5"/>
          <w:sz w:val="31"/>
          <w:szCs w:val="31"/>
        </w:rPr>
        <w:t>各投标人均可就本招标项目上述标段中的</w:t>
      </w:r>
      <w:r>
        <w:rPr>
          <w:rFonts w:ascii="宋体" w:hAnsi="宋体" w:eastAsia="宋体" w:cs="宋体"/>
          <w:spacing w:val="45"/>
          <w:sz w:val="31"/>
          <w:szCs w:val="31"/>
        </w:rPr>
        <w:t xml:space="preserve"> </w:t>
      </w:r>
      <w:r>
        <w:rPr>
          <w:rFonts w:ascii="宋体" w:hAnsi="宋体" w:eastAsia="宋体" w:cs="宋体"/>
          <w:spacing w:val="5"/>
          <w:sz w:val="31"/>
          <w:szCs w:val="31"/>
        </w:rPr>
        <w:t>1(具体数量）</w:t>
      </w:r>
      <w:r>
        <w:rPr>
          <w:rFonts w:ascii="宋体" w:hAnsi="宋体" w:eastAsia="宋体" w:cs="宋体"/>
          <w:spacing w:val="-4"/>
          <w:sz w:val="31"/>
          <w:szCs w:val="31"/>
        </w:rPr>
        <w:t>个标段投标。</w:t>
      </w:r>
    </w:p>
    <w:p w14:paraId="368AC9FB">
      <w:pPr>
        <w:spacing w:before="10" w:line="222" w:lineRule="auto"/>
        <w:ind w:left="49"/>
        <w:rPr>
          <w:rFonts w:ascii="宋体" w:hAnsi="宋体" w:eastAsia="宋体" w:cs="宋体"/>
          <w:sz w:val="31"/>
          <w:szCs w:val="31"/>
        </w:rPr>
      </w:pPr>
      <w:r>
        <w:rPr>
          <w:rFonts w:ascii="宋体" w:hAnsi="宋体" w:eastAsia="宋体" w:cs="宋体"/>
          <w:spacing w:val="1"/>
          <w:sz w:val="31"/>
          <w:szCs w:val="31"/>
        </w:rPr>
        <w:t>3.4</w:t>
      </w:r>
      <w:r>
        <w:rPr>
          <w:rFonts w:ascii="宋体" w:hAnsi="宋体" w:eastAsia="宋体" w:cs="宋体"/>
          <w:spacing w:val="-49"/>
          <w:sz w:val="31"/>
          <w:szCs w:val="31"/>
        </w:rPr>
        <w:t xml:space="preserve"> </w:t>
      </w:r>
      <w:r>
        <w:rPr>
          <w:rFonts w:ascii="宋体" w:hAnsi="宋体" w:eastAsia="宋体" w:cs="宋体"/>
          <w:spacing w:val="1"/>
          <w:sz w:val="31"/>
          <w:szCs w:val="31"/>
        </w:rPr>
        <w:t>本次招标本项目属于政府采购工程。</w:t>
      </w:r>
    </w:p>
    <w:p w14:paraId="533550AD">
      <w:pPr>
        <w:spacing w:before="242" w:line="222" w:lineRule="auto"/>
        <w:ind w:left="49"/>
        <w:rPr>
          <w:rFonts w:ascii="宋体" w:hAnsi="宋体" w:eastAsia="宋体" w:cs="宋体"/>
          <w:sz w:val="31"/>
          <w:szCs w:val="31"/>
        </w:rPr>
      </w:pPr>
      <w:r>
        <w:rPr>
          <w:rFonts w:ascii="宋体" w:hAnsi="宋体" w:eastAsia="宋体" w:cs="宋体"/>
          <w:spacing w:val="5"/>
          <w:sz w:val="31"/>
          <w:szCs w:val="31"/>
        </w:rPr>
        <w:t>3.5</w:t>
      </w:r>
      <w:r>
        <w:rPr>
          <w:rFonts w:ascii="宋体" w:hAnsi="宋体" w:eastAsia="宋体" w:cs="宋体"/>
          <w:spacing w:val="-44"/>
          <w:sz w:val="31"/>
          <w:szCs w:val="31"/>
        </w:rPr>
        <w:t xml:space="preserve"> </w:t>
      </w:r>
      <w:r>
        <w:rPr>
          <w:rFonts w:ascii="宋体" w:hAnsi="宋体" w:eastAsia="宋体" w:cs="宋体"/>
          <w:spacing w:val="5"/>
          <w:sz w:val="31"/>
          <w:szCs w:val="31"/>
        </w:rPr>
        <w:t>本项目属性：项目整体预留专门面向中小企业采购</w:t>
      </w:r>
    </w:p>
    <w:p w14:paraId="05828522">
      <w:pPr>
        <w:spacing w:before="258" w:line="224" w:lineRule="auto"/>
        <w:ind w:left="49"/>
        <w:rPr>
          <w:rFonts w:ascii="宋体" w:hAnsi="宋体" w:eastAsia="宋体" w:cs="宋体"/>
          <w:sz w:val="31"/>
          <w:szCs w:val="31"/>
        </w:rPr>
      </w:pPr>
      <w:r>
        <w:rPr>
          <w:rFonts w:ascii="宋体" w:hAnsi="宋体" w:eastAsia="宋体" w:cs="宋体"/>
          <w:spacing w:val="3"/>
          <w:sz w:val="31"/>
          <w:szCs w:val="31"/>
        </w:rPr>
        <w:t>3.6</w:t>
      </w:r>
      <w:r>
        <w:rPr>
          <w:rFonts w:ascii="宋体" w:hAnsi="宋体" w:eastAsia="宋体" w:cs="宋体"/>
          <w:spacing w:val="-59"/>
          <w:sz w:val="31"/>
          <w:szCs w:val="31"/>
        </w:rPr>
        <w:t xml:space="preserve"> </w:t>
      </w:r>
      <w:r>
        <w:rPr>
          <w:rFonts w:ascii="宋体" w:hAnsi="宋体" w:eastAsia="宋体" w:cs="宋体"/>
          <w:spacing w:val="3"/>
          <w:sz w:val="31"/>
          <w:szCs w:val="31"/>
        </w:rPr>
        <w:t>其它要求：/</w:t>
      </w:r>
    </w:p>
    <w:p w14:paraId="7918C7E3">
      <w:pPr>
        <w:spacing w:line="224" w:lineRule="auto"/>
        <w:rPr>
          <w:rFonts w:ascii="宋体" w:hAnsi="宋体" w:eastAsia="宋体" w:cs="宋体"/>
          <w:sz w:val="31"/>
          <w:szCs w:val="31"/>
        </w:rPr>
        <w:sectPr>
          <w:footerReference r:id="rId21" w:type="default"/>
          <w:pgSz w:w="11910" w:h="16845"/>
          <w:pgMar w:top="1431" w:right="1720" w:bottom="1065" w:left="1786" w:header="0" w:footer="838" w:gutter="0"/>
          <w:cols w:space="720" w:num="1"/>
        </w:sectPr>
      </w:pPr>
    </w:p>
    <w:p w14:paraId="3FDF1E69">
      <w:pPr>
        <w:spacing w:before="188" w:line="223" w:lineRule="auto"/>
        <w:ind w:left="42"/>
        <w:rPr>
          <w:rFonts w:ascii="宋体" w:hAnsi="宋体" w:eastAsia="宋体" w:cs="宋体"/>
          <w:sz w:val="31"/>
          <w:szCs w:val="31"/>
        </w:rPr>
      </w:pPr>
      <w:r>
        <w:rPr>
          <w:rFonts w:ascii="宋体" w:hAnsi="宋体" w:eastAsia="宋体" w:cs="宋体"/>
          <w:spacing w:val="5"/>
          <w:sz w:val="31"/>
          <w:szCs w:val="31"/>
        </w:rPr>
        <w:t>4.招标文件的获取</w:t>
      </w:r>
    </w:p>
    <w:p w14:paraId="6B418178">
      <w:pPr>
        <w:spacing w:before="314" w:line="372" w:lineRule="auto"/>
        <w:ind w:left="43" w:right="24" w:hanging="1"/>
        <w:rPr>
          <w:rFonts w:ascii="宋体" w:hAnsi="宋体" w:eastAsia="宋体" w:cs="宋体"/>
          <w:sz w:val="31"/>
          <w:szCs w:val="31"/>
        </w:rPr>
      </w:pPr>
      <w:r>
        <w:rPr>
          <w:rFonts w:ascii="宋体" w:hAnsi="宋体" w:eastAsia="宋体" w:cs="宋体"/>
          <w:spacing w:val="4"/>
          <w:sz w:val="31"/>
          <w:szCs w:val="31"/>
        </w:rPr>
        <w:t>4.1 凡有意参加投标者</w:t>
      </w:r>
      <w:r>
        <w:rPr>
          <w:rFonts w:ascii="宋体" w:hAnsi="宋体" w:eastAsia="宋体" w:cs="宋体"/>
          <w:spacing w:val="-88"/>
          <w:sz w:val="31"/>
          <w:szCs w:val="31"/>
        </w:rPr>
        <w:t xml:space="preserve"> </w:t>
      </w:r>
      <w:r>
        <w:rPr>
          <w:rFonts w:ascii="宋体" w:hAnsi="宋体" w:eastAsia="宋体" w:cs="宋体"/>
          <w:spacing w:val="4"/>
          <w:sz w:val="31"/>
          <w:szCs w:val="31"/>
        </w:rPr>
        <w:t>(若为联合体投标，指联合体所有成</w:t>
      </w:r>
      <w:r>
        <w:rPr>
          <w:rFonts w:ascii="宋体" w:hAnsi="宋体" w:eastAsia="宋体" w:cs="宋体"/>
          <w:spacing w:val="5"/>
          <w:sz w:val="31"/>
          <w:szCs w:val="31"/>
        </w:rPr>
        <w:t>员)，应当在湖北省电子招投标交易平台（以下简称“</w:t>
      </w:r>
      <w:r>
        <w:rPr>
          <w:rFonts w:ascii="宋体" w:hAnsi="宋体" w:eastAsia="宋体" w:cs="宋体"/>
          <w:spacing w:val="-106"/>
          <w:sz w:val="31"/>
          <w:szCs w:val="31"/>
        </w:rPr>
        <w:t xml:space="preserve"> </w:t>
      </w:r>
      <w:r>
        <w:rPr>
          <w:rFonts w:ascii="宋体" w:hAnsi="宋体" w:eastAsia="宋体" w:cs="宋体"/>
          <w:spacing w:val="4"/>
          <w:sz w:val="31"/>
          <w:szCs w:val="31"/>
        </w:rPr>
        <w:t>电子</w:t>
      </w:r>
      <w:r>
        <w:rPr>
          <w:rFonts w:ascii="宋体" w:hAnsi="宋体" w:eastAsia="宋体" w:cs="宋体"/>
          <w:spacing w:val="12"/>
          <w:sz w:val="31"/>
          <w:szCs w:val="31"/>
        </w:rPr>
        <w:t>交易平台”，下同</w:t>
      </w:r>
      <w:r>
        <w:rPr>
          <w:rFonts w:ascii="宋体" w:hAnsi="宋体" w:eastAsia="宋体" w:cs="宋体"/>
          <w:spacing w:val="3"/>
          <w:sz w:val="31"/>
          <w:szCs w:val="31"/>
        </w:rPr>
        <w:t>）</w:t>
      </w:r>
      <w:r>
        <w:rPr>
          <w:rFonts w:ascii="宋体" w:hAnsi="宋体" w:eastAsia="宋体" w:cs="宋体"/>
          <w:spacing w:val="-129"/>
          <w:sz w:val="31"/>
          <w:szCs w:val="31"/>
        </w:rPr>
        <w:t xml:space="preserve"> </w:t>
      </w:r>
      <w:r>
        <w:rPr>
          <w:rFonts w:ascii="宋体" w:hAnsi="宋体" w:eastAsia="宋体" w:cs="宋体"/>
          <w:spacing w:val="3"/>
          <w:sz w:val="31"/>
          <w:szCs w:val="31"/>
        </w:rPr>
        <w:t>（</w:t>
      </w:r>
      <w:r>
        <w:rPr>
          <w:rFonts w:ascii="宋体" w:hAnsi="宋体" w:eastAsia="宋体" w:cs="宋体"/>
          <w:spacing w:val="12"/>
          <w:sz w:val="31"/>
          <w:szCs w:val="31"/>
        </w:rPr>
        <w:t>网址：</w:t>
      </w: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12"/>
          <w:sz w:val="31"/>
          <w:szCs w:val="31"/>
        </w:rPr>
        <w:t>.</w:t>
      </w:r>
      <w:r>
        <w:rPr>
          <w:rFonts w:ascii="宋体" w:hAnsi="宋体" w:eastAsia="宋体" w:cs="宋体"/>
          <w:sz w:val="31"/>
          <w:szCs w:val="31"/>
        </w:rPr>
        <w:t>hbbidcloud</w:t>
      </w:r>
      <w:r>
        <w:rPr>
          <w:rFonts w:ascii="宋体" w:hAnsi="宋体" w:eastAsia="宋体" w:cs="宋体"/>
          <w:spacing w:val="12"/>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2"/>
          <w:sz w:val="31"/>
          <w:szCs w:val="31"/>
        </w:rPr>
        <w:t>）进行注</w:t>
      </w:r>
      <w:r>
        <w:rPr>
          <w:rFonts w:ascii="宋体" w:hAnsi="宋体" w:eastAsia="宋体" w:cs="宋体"/>
          <w:spacing w:val="-2"/>
          <w:sz w:val="31"/>
          <w:szCs w:val="31"/>
        </w:rPr>
        <w:t>册登记，并下载手机版</w:t>
      </w:r>
      <w:r>
        <w:rPr>
          <w:rFonts w:ascii="宋体" w:hAnsi="宋体" w:eastAsia="宋体" w:cs="宋体"/>
          <w:spacing w:val="-66"/>
          <w:sz w:val="31"/>
          <w:szCs w:val="31"/>
        </w:rPr>
        <w:t xml:space="preserve"> </w:t>
      </w:r>
      <w:r>
        <w:rPr>
          <w:rFonts w:ascii="宋体" w:hAnsi="宋体" w:eastAsia="宋体" w:cs="宋体"/>
          <w:spacing w:val="-2"/>
          <w:sz w:val="31"/>
          <w:szCs w:val="31"/>
        </w:rPr>
        <w:t>CA（标证通）或办理</w:t>
      </w:r>
      <w:r>
        <w:rPr>
          <w:rFonts w:ascii="宋体" w:hAnsi="宋体" w:eastAsia="宋体" w:cs="宋体"/>
          <w:spacing w:val="-71"/>
          <w:sz w:val="31"/>
          <w:szCs w:val="31"/>
        </w:rPr>
        <w:t xml:space="preserve"> </w:t>
      </w:r>
      <w:r>
        <w:rPr>
          <w:rFonts w:ascii="宋体" w:hAnsi="宋体" w:eastAsia="宋体" w:cs="宋体"/>
          <w:spacing w:val="-2"/>
          <w:sz w:val="31"/>
          <w:szCs w:val="31"/>
        </w:rPr>
        <w:t>CA</w:t>
      </w:r>
      <w:r>
        <w:rPr>
          <w:rFonts w:ascii="宋体" w:hAnsi="宋体" w:eastAsia="宋体" w:cs="宋体"/>
          <w:spacing w:val="-57"/>
          <w:sz w:val="31"/>
          <w:szCs w:val="31"/>
        </w:rPr>
        <w:t xml:space="preserve"> </w:t>
      </w:r>
      <w:r>
        <w:rPr>
          <w:rFonts w:ascii="宋体" w:hAnsi="宋体" w:eastAsia="宋体" w:cs="宋体"/>
          <w:spacing w:val="-2"/>
          <w:sz w:val="31"/>
          <w:szCs w:val="31"/>
        </w:rPr>
        <w:t>数字证书（具</w:t>
      </w:r>
      <w:r>
        <w:rPr>
          <w:rFonts w:ascii="宋体" w:hAnsi="宋体" w:eastAsia="宋体" w:cs="宋体"/>
          <w:spacing w:val="3"/>
          <w:sz w:val="31"/>
          <w:szCs w:val="31"/>
        </w:rPr>
        <w:t>体操作参见“</w:t>
      </w:r>
      <w:r>
        <w:rPr>
          <w:rFonts w:ascii="宋体" w:hAnsi="宋体" w:eastAsia="宋体" w:cs="宋体"/>
          <w:spacing w:val="-90"/>
          <w:sz w:val="31"/>
          <w:szCs w:val="31"/>
        </w:rPr>
        <w:t xml:space="preserve"> </w:t>
      </w:r>
      <w:r>
        <w:rPr>
          <w:rFonts w:ascii="宋体" w:hAnsi="宋体" w:eastAsia="宋体" w:cs="宋体"/>
          <w:spacing w:val="3"/>
          <w:sz w:val="31"/>
          <w:szCs w:val="31"/>
        </w:rPr>
        <w:t>电子交易平台</w:t>
      </w:r>
      <w:r>
        <w:rPr>
          <w:rFonts w:ascii="宋体" w:hAnsi="宋体" w:eastAsia="宋体" w:cs="宋体"/>
          <w:spacing w:val="-114"/>
          <w:sz w:val="31"/>
          <w:szCs w:val="31"/>
        </w:rPr>
        <w:t xml:space="preserve"> </w:t>
      </w:r>
      <w:r>
        <w:rPr>
          <w:rFonts w:ascii="宋体" w:hAnsi="宋体" w:eastAsia="宋体" w:cs="宋体"/>
          <w:spacing w:val="3"/>
          <w:sz w:val="31"/>
          <w:szCs w:val="31"/>
        </w:rPr>
        <w:t>”—办事指南—交易主体注册</w:t>
      </w:r>
    </w:p>
    <w:p w14:paraId="65C2C0A3">
      <w:pPr>
        <w:spacing w:before="1" w:line="224" w:lineRule="auto"/>
        <w:ind w:left="49"/>
        <w:rPr>
          <w:rFonts w:ascii="宋体" w:hAnsi="宋体" w:eastAsia="宋体" w:cs="宋体"/>
          <w:sz w:val="31"/>
          <w:szCs w:val="31"/>
        </w:rPr>
      </w:pPr>
      <w:r>
        <w:rPr>
          <w:rFonts w:ascii="宋体" w:hAnsi="宋体" w:eastAsia="宋体" w:cs="宋体"/>
          <w:spacing w:val="-5"/>
          <w:sz w:val="31"/>
          <w:szCs w:val="31"/>
        </w:rPr>
        <w:t>登记指南）。</w:t>
      </w:r>
    </w:p>
    <w:p w14:paraId="3C1ACC13">
      <w:pPr>
        <w:spacing w:before="238" w:line="372" w:lineRule="auto"/>
        <w:ind w:left="43" w:hanging="1"/>
        <w:rPr>
          <w:rFonts w:ascii="宋体" w:hAnsi="宋体" w:eastAsia="宋体" w:cs="宋体"/>
          <w:sz w:val="31"/>
          <w:szCs w:val="31"/>
        </w:rPr>
      </w:pPr>
      <w:r>
        <w:rPr>
          <w:rFonts w:ascii="宋体" w:hAnsi="宋体" w:eastAsia="宋体" w:cs="宋体"/>
          <w:spacing w:val="-3"/>
          <w:sz w:val="31"/>
          <w:szCs w:val="31"/>
        </w:rPr>
        <w:t>4.2 完成注册登记后，请于</w:t>
      </w:r>
      <w:r>
        <w:rPr>
          <w:rFonts w:ascii="宋体" w:hAnsi="宋体" w:eastAsia="宋体" w:cs="宋体"/>
          <w:spacing w:val="-46"/>
          <w:sz w:val="31"/>
          <w:szCs w:val="31"/>
        </w:rPr>
        <w:t xml:space="preserve"> </w:t>
      </w:r>
      <w:r>
        <w:rPr>
          <w:rFonts w:ascii="宋体" w:hAnsi="宋体" w:eastAsia="宋体" w:cs="宋体"/>
          <w:spacing w:val="-3"/>
          <w:sz w:val="31"/>
          <w:szCs w:val="31"/>
        </w:rPr>
        <w:t>202</w:t>
      </w:r>
      <w:r>
        <w:rPr>
          <w:rFonts w:hint="eastAsia" w:ascii="宋体" w:hAnsi="宋体" w:eastAsia="宋体" w:cs="宋体"/>
          <w:spacing w:val="-3"/>
          <w:sz w:val="31"/>
          <w:szCs w:val="31"/>
          <w:lang w:val="en-US" w:eastAsia="zh-CN"/>
        </w:rPr>
        <w:t>6</w:t>
      </w:r>
      <w:r>
        <w:rPr>
          <w:rFonts w:ascii="宋体" w:hAnsi="宋体" w:eastAsia="宋体" w:cs="宋体"/>
          <w:spacing w:val="-58"/>
          <w:sz w:val="31"/>
          <w:szCs w:val="31"/>
        </w:rPr>
        <w:t xml:space="preserve"> </w:t>
      </w:r>
      <w:r>
        <w:rPr>
          <w:rFonts w:ascii="宋体" w:hAnsi="宋体" w:eastAsia="宋体" w:cs="宋体"/>
          <w:spacing w:val="-3"/>
          <w:sz w:val="31"/>
          <w:szCs w:val="31"/>
        </w:rPr>
        <w:t>年</w:t>
      </w:r>
      <w:r>
        <w:rPr>
          <w:rFonts w:ascii="宋体" w:hAnsi="宋体" w:eastAsia="宋体" w:cs="宋体"/>
          <w:spacing w:val="-45"/>
          <w:sz w:val="31"/>
          <w:szCs w:val="31"/>
        </w:rPr>
        <w:t xml:space="preserve"> </w:t>
      </w:r>
      <w:r>
        <w:rPr>
          <w:rFonts w:hint="eastAsia" w:ascii="宋体" w:hAnsi="宋体" w:eastAsia="宋体" w:cs="宋体"/>
          <w:spacing w:val="-3"/>
          <w:sz w:val="31"/>
          <w:szCs w:val="31"/>
          <w:lang w:val="en-US" w:eastAsia="zh-CN"/>
        </w:rPr>
        <w:t>5</w:t>
      </w:r>
      <w:r>
        <w:rPr>
          <w:rFonts w:ascii="宋体" w:hAnsi="宋体" w:eastAsia="宋体" w:cs="宋体"/>
          <w:spacing w:val="-52"/>
          <w:sz w:val="31"/>
          <w:szCs w:val="31"/>
        </w:rPr>
        <w:t xml:space="preserve"> </w:t>
      </w:r>
      <w:r>
        <w:rPr>
          <w:rFonts w:ascii="宋体" w:hAnsi="宋体" w:eastAsia="宋体" w:cs="宋体"/>
          <w:spacing w:val="-3"/>
          <w:sz w:val="31"/>
          <w:szCs w:val="31"/>
        </w:rPr>
        <w:t>月</w:t>
      </w:r>
      <w:r>
        <w:rPr>
          <w:rFonts w:ascii="宋体" w:hAnsi="宋体" w:eastAsia="宋体" w:cs="宋体"/>
          <w:spacing w:val="-65"/>
          <w:sz w:val="31"/>
          <w:szCs w:val="31"/>
        </w:rPr>
        <w:t xml:space="preserve"> </w:t>
      </w:r>
      <w:r>
        <w:rPr>
          <w:rFonts w:hint="eastAsia" w:ascii="宋体" w:hAnsi="宋体" w:eastAsia="宋体" w:cs="宋体"/>
          <w:spacing w:val="-3"/>
          <w:sz w:val="31"/>
          <w:szCs w:val="31"/>
          <w:lang w:val="en-US" w:eastAsia="zh-CN"/>
        </w:rPr>
        <w:t>28</w:t>
      </w:r>
      <w:r>
        <w:rPr>
          <w:rFonts w:ascii="宋体" w:hAnsi="宋体" w:eastAsia="宋体" w:cs="宋体"/>
          <w:spacing w:val="-3"/>
          <w:sz w:val="31"/>
          <w:szCs w:val="31"/>
        </w:rPr>
        <w:t xml:space="preserve"> 日至</w:t>
      </w:r>
      <w:r>
        <w:rPr>
          <w:rFonts w:ascii="宋体" w:hAnsi="宋体" w:eastAsia="宋体" w:cs="宋体"/>
          <w:spacing w:val="-64"/>
          <w:sz w:val="31"/>
          <w:szCs w:val="31"/>
        </w:rPr>
        <w:t xml:space="preserve"> </w:t>
      </w:r>
      <w:r>
        <w:rPr>
          <w:rFonts w:ascii="宋体" w:hAnsi="宋体" w:eastAsia="宋体" w:cs="宋体"/>
          <w:spacing w:val="-3"/>
          <w:sz w:val="31"/>
          <w:szCs w:val="31"/>
        </w:rPr>
        <w:t>202</w:t>
      </w:r>
      <w:r>
        <w:rPr>
          <w:rFonts w:hint="eastAsia" w:ascii="宋体" w:hAnsi="宋体" w:eastAsia="宋体" w:cs="宋体"/>
          <w:spacing w:val="-3"/>
          <w:sz w:val="31"/>
          <w:szCs w:val="31"/>
          <w:lang w:val="en-US" w:eastAsia="zh-CN"/>
        </w:rPr>
        <w:t>6</w:t>
      </w:r>
      <w:r>
        <w:rPr>
          <w:rFonts w:ascii="宋体" w:hAnsi="宋体" w:eastAsia="宋体" w:cs="宋体"/>
          <w:spacing w:val="-58"/>
          <w:sz w:val="31"/>
          <w:szCs w:val="31"/>
        </w:rPr>
        <w:t xml:space="preserve"> </w:t>
      </w:r>
      <w:r>
        <w:rPr>
          <w:rFonts w:ascii="宋体" w:hAnsi="宋体" w:eastAsia="宋体" w:cs="宋体"/>
          <w:spacing w:val="-3"/>
          <w:sz w:val="31"/>
          <w:szCs w:val="31"/>
        </w:rPr>
        <w:t>年</w:t>
      </w:r>
      <w:r>
        <w:rPr>
          <w:rFonts w:ascii="宋体" w:hAnsi="宋体" w:eastAsia="宋体" w:cs="宋体"/>
          <w:spacing w:val="-45"/>
          <w:sz w:val="31"/>
          <w:szCs w:val="31"/>
        </w:rPr>
        <w:t xml:space="preserve"> </w:t>
      </w:r>
      <w:r>
        <w:rPr>
          <w:rFonts w:hint="eastAsia" w:ascii="宋体" w:hAnsi="宋体" w:eastAsia="宋体" w:cs="宋体"/>
          <w:spacing w:val="-45"/>
          <w:sz w:val="31"/>
          <w:szCs w:val="31"/>
          <w:lang w:val="en-US" w:eastAsia="zh-CN"/>
        </w:rPr>
        <w:t>6</w:t>
      </w:r>
      <w:r>
        <w:rPr>
          <w:rFonts w:ascii="宋体" w:hAnsi="宋体" w:eastAsia="宋体" w:cs="宋体"/>
          <w:spacing w:val="3"/>
          <w:sz w:val="31"/>
          <w:szCs w:val="31"/>
        </w:rPr>
        <w:t>月</w:t>
      </w:r>
      <w:r>
        <w:rPr>
          <w:rFonts w:ascii="宋体" w:hAnsi="宋体" w:eastAsia="宋体" w:cs="宋体"/>
          <w:spacing w:val="-66"/>
          <w:sz w:val="31"/>
          <w:szCs w:val="31"/>
        </w:rPr>
        <w:t xml:space="preserve"> </w:t>
      </w:r>
      <w:r>
        <w:rPr>
          <w:rFonts w:hint="eastAsia" w:ascii="宋体" w:hAnsi="宋体" w:eastAsia="宋体" w:cs="宋体"/>
          <w:spacing w:val="3"/>
          <w:sz w:val="31"/>
          <w:szCs w:val="31"/>
          <w:lang w:val="en-US" w:eastAsia="zh-CN"/>
        </w:rPr>
        <w:t>03</w:t>
      </w:r>
      <w:r>
        <w:rPr>
          <w:rFonts w:ascii="宋体" w:hAnsi="宋体" w:eastAsia="宋体" w:cs="宋体"/>
          <w:spacing w:val="3"/>
          <w:sz w:val="31"/>
          <w:szCs w:val="31"/>
        </w:rPr>
        <w:t xml:space="preserve"> 日</w:t>
      </w:r>
      <w:r>
        <w:rPr>
          <w:rFonts w:ascii="宋体" w:hAnsi="宋体" w:eastAsia="宋体" w:cs="宋体"/>
          <w:spacing w:val="-64"/>
          <w:sz w:val="31"/>
          <w:szCs w:val="31"/>
        </w:rPr>
        <w:t xml:space="preserve"> </w:t>
      </w:r>
      <w:r>
        <w:rPr>
          <w:rFonts w:ascii="宋体" w:hAnsi="宋体" w:eastAsia="宋体" w:cs="宋体"/>
          <w:spacing w:val="3"/>
          <w:sz w:val="31"/>
          <w:szCs w:val="31"/>
        </w:rPr>
        <w:t>24：00</w:t>
      </w:r>
      <w:r>
        <w:rPr>
          <w:rFonts w:ascii="宋体" w:hAnsi="宋体" w:eastAsia="宋体" w:cs="宋体"/>
          <w:spacing w:val="-45"/>
          <w:sz w:val="31"/>
          <w:szCs w:val="31"/>
        </w:rPr>
        <w:t xml:space="preserve"> </w:t>
      </w:r>
      <w:r>
        <w:rPr>
          <w:rFonts w:ascii="宋体" w:hAnsi="宋体" w:eastAsia="宋体" w:cs="宋体"/>
          <w:spacing w:val="3"/>
          <w:sz w:val="31"/>
          <w:szCs w:val="31"/>
        </w:rPr>
        <w:t>时止（北京时间、下同</w:t>
      </w:r>
      <w:r>
        <w:rPr>
          <w:rFonts w:ascii="宋体" w:hAnsi="宋体" w:eastAsia="宋体" w:cs="宋体"/>
          <w:spacing w:val="8"/>
          <w:sz w:val="31"/>
          <w:szCs w:val="31"/>
        </w:rPr>
        <w:t>），</w:t>
      </w:r>
      <w:r>
        <w:rPr>
          <w:rFonts w:ascii="宋体" w:hAnsi="宋体" w:eastAsia="宋体" w:cs="宋体"/>
          <w:spacing w:val="3"/>
          <w:sz w:val="31"/>
          <w:szCs w:val="31"/>
        </w:rPr>
        <w:t>通过互联网使用</w:t>
      </w:r>
      <w:r>
        <w:rPr>
          <w:rFonts w:ascii="宋体" w:hAnsi="宋体" w:eastAsia="宋体" w:cs="宋体"/>
          <w:spacing w:val="4"/>
          <w:sz w:val="31"/>
          <w:szCs w:val="31"/>
        </w:rPr>
        <w:t>手机版</w:t>
      </w:r>
      <w:r>
        <w:rPr>
          <w:rFonts w:ascii="宋体" w:hAnsi="宋体" w:eastAsia="宋体" w:cs="宋体"/>
          <w:spacing w:val="-67"/>
          <w:sz w:val="31"/>
          <w:szCs w:val="31"/>
        </w:rPr>
        <w:t xml:space="preserve"> </w:t>
      </w:r>
      <w:r>
        <w:rPr>
          <w:rFonts w:ascii="宋体" w:hAnsi="宋体" w:eastAsia="宋体" w:cs="宋体"/>
          <w:sz w:val="31"/>
          <w:szCs w:val="31"/>
        </w:rPr>
        <w:t>CA</w:t>
      </w:r>
      <w:r>
        <w:rPr>
          <w:rFonts w:ascii="宋体" w:hAnsi="宋体" w:eastAsia="宋体" w:cs="宋体"/>
          <w:spacing w:val="4"/>
          <w:sz w:val="31"/>
          <w:szCs w:val="31"/>
        </w:rPr>
        <w:t>（标证通）或办理</w:t>
      </w:r>
      <w:r>
        <w:rPr>
          <w:rFonts w:ascii="宋体" w:hAnsi="宋体" w:eastAsia="宋体" w:cs="宋体"/>
          <w:spacing w:val="-60"/>
          <w:sz w:val="31"/>
          <w:szCs w:val="31"/>
        </w:rPr>
        <w:t xml:space="preserve"> </w:t>
      </w:r>
      <w:r>
        <w:rPr>
          <w:rFonts w:ascii="宋体" w:hAnsi="宋体" w:eastAsia="宋体" w:cs="宋体"/>
          <w:sz w:val="31"/>
          <w:szCs w:val="31"/>
        </w:rPr>
        <w:t>CA</w:t>
      </w:r>
      <w:r>
        <w:rPr>
          <w:rFonts w:ascii="宋体" w:hAnsi="宋体" w:eastAsia="宋体" w:cs="宋体"/>
          <w:spacing w:val="-57"/>
          <w:sz w:val="31"/>
          <w:szCs w:val="31"/>
        </w:rPr>
        <w:t xml:space="preserve"> </w:t>
      </w:r>
      <w:r>
        <w:rPr>
          <w:rFonts w:ascii="宋体" w:hAnsi="宋体" w:eastAsia="宋体" w:cs="宋体"/>
          <w:spacing w:val="4"/>
          <w:sz w:val="31"/>
          <w:szCs w:val="31"/>
        </w:rPr>
        <w:t>数字证书登录“</w:t>
      </w:r>
      <w:r>
        <w:rPr>
          <w:rFonts w:ascii="宋体" w:hAnsi="宋体" w:eastAsia="宋体" w:cs="宋体"/>
          <w:spacing w:val="-106"/>
          <w:sz w:val="31"/>
          <w:szCs w:val="31"/>
        </w:rPr>
        <w:t xml:space="preserve"> </w:t>
      </w:r>
      <w:r>
        <w:rPr>
          <w:rFonts w:ascii="宋体" w:hAnsi="宋体" w:eastAsia="宋体" w:cs="宋体"/>
          <w:spacing w:val="4"/>
          <w:sz w:val="31"/>
          <w:szCs w:val="31"/>
        </w:rPr>
        <w:t>电子交易平</w:t>
      </w:r>
      <w:r>
        <w:rPr>
          <w:rFonts w:ascii="宋体" w:hAnsi="宋体" w:eastAsia="宋体" w:cs="宋体"/>
          <w:spacing w:val="7"/>
          <w:sz w:val="31"/>
          <w:szCs w:val="31"/>
        </w:rPr>
        <w:t>台</w:t>
      </w:r>
      <w:r>
        <w:rPr>
          <w:rFonts w:ascii="宋体" w:hAnsi="宋体" w:eastAsia="宋体" w:cs="宋体"/>
          <w:spacing w:val="-105"/>
          <w:sz w:val="31"/>
          <w:szCs w:val="31"/>
        </w:rPr>
        <w:t xml:space="preserve"> </w:t>
      </w:r>
      <w:r>
        <w:rPr>
          <w:rFonts w:ascii="宋体" w:hAnsi="宋体" w:eastAsia="宋体" w:cs="宋体"/>
          <w:spacing w:val="7"/>
          <w:sz w:val="31"/>
          <w:szCs w:val="31"/>
        </w:rPr>
        <w:t>”，在所投标段免费下载招标文件。联合体投标的，由联</w:t>
      </w:r>
      <w:r>
        <w:rPr>
          <w:rFonts w:ascii="宋体" w:hAnsi="宋体" w:eastAsia="宋体" w:cs="宋体"/>
          <w:spacing w:val="4"/>
          <w:sz w:val="31"/>
          <w:szCs w:val="31"/>
        </w:rPr>
        <w:t>合体牵头人下载招标文件（具体操作参见“</w:t>
      </w:r>
      <w:r>
        <w:rPr>
          <w:rFonts w:ascii="宋体" w:hAnsi="宋体" w:eastAsia="宋体" w:cs="宋体"/>
          <w:spacing w:val="-90"/>
          <w:sz w:val="31"/>
          <w:szCs w:val="31"/>
        </w:rPr>
        <w:t xml:space="preserve"> </w:t>
      </w:r>
      <w:r>
        <w:rPr>
          <w:rFonts w:ascii="宋体" w:hAnsi="宋体" w:eastAsia="宋体" w:cs="宋体"/>
          <w:spacing w:val="4"/>
          <w:sz w:val="31"/>
          <w:szCs w:val="31"/>
        </w:rPr>
        <w:t>电子交易平</w:t>
      </w:r>
    </w:p>
    <w:p w14:paraId="28AF586B">
      <w:pPr>
        <w:spacing w:before="1" w:line="372" w:lineRule="auto"/>
        <w:ind w:left="47" w:right="6" w:firstLine="20"/>
        <w:rPr>
          <w:rFonts w:ascii="宋体" w:hAnsi="宋体" w:eastAsia="宋体" w:cs="宋体"/>
          <w:sz w:val="31"/>
          <w:szCs w:val="31"/>
        </w:rPr>
      </w:pPr>
      <w:r>
        <w:rPr>
          <w:rFonts w:ascii="宋体" w:hAnsi="宋体" w:eastAsia="宋体" w:cs="宋体"/>
          <w:spacing w:val="6"/>
          <w:sz w:val="31"/>
          <w:szCs w:val="31"/>
        </w:rPr>
        <w:t>台</w:t>
      </w:r>
      <w:r>
        <w:rPr>
          <w:rFonts w:ascii="宋体" w:hAnsi="宋体" w:eastAsia="宋体" w:cs="宋体"/>
          <w:spacing w:val="-103"/>
          <w:sz w:val="31"/>
          <w:szCs w:val="31"/>
        </w:rPr>
        <w:t xml:space="preserve"> </w:t>
      </w:r>
      <w:r>
        <w:rPr>
          <w:rFonts w:ascii="宋体" w:hAnsi="宋体" w:eastAsia="宋体" w:cs="宋体"/>
          <w:spacing w:val="6"/>
          <w:sz w:val="31"/>
          <w:szCs w:val="31"/>
        </w:rPr>
        <w:t>”—办事指南—招标（资审）文件下载指南）。未按规定</w:t>
      </w:r>
      <w:r>
        <w:rPr>
          <w:rFonts w:ascii="宋体" w:hAnsi="宋体" w:eastAsia="宋体" w:cs="宋体"/>
          <w:spacing w:val="-2"/>
          <w:sz w:val="31"/>
          <w:szCs w:val="31"/>
        </w:rPr>
        <w:t>从“</w:t>
      </w:r>
      <w:r>
        <w:rPr>
          <w:rFonts w:ascii="宋体" w:hAnsi="宋体" w:eastAsia="宋体" w:cs="宋体"/>
          <w:spacing w:val="-101"/>
          <w:sz w:val="31"/>
          <w:szCs w:val="31"/>
        </w:rPr>
        <w:t xml:space="preserve"> </w:t>
      </w:r>
      <w:r>
        <w:rPr>
          <w:rFonts w:ascii="宋体" w:hAnsi="宋体" w:eastAsia="宋体" w:cs="宋体"/>
          <w:spacing w:val="-2"/>
          <w:sz w:val="31"/>
          <w:szCs w:val="31"/>
        </w:rPr>
        <w:t>电子交易平台</w:t>
      </w:r>
      <w:r>
        <w:rPr>
          <w:rFonts w:ascii="宋体" w:hAnsi="宋体" w:eastAsia="宋体" w:cs="宋体"/>
          <w:spacing w:val="-114"/>
          <w:sz w:val="31"/>
          <w:szCs w:val="31"/>
        </w:rPr>
        <w:t xml:space="preserve"> </w:t>
      </w:r>
      <w:r>
        <w:rPr>
          <w:rFonts w:ascii="宋体" w:hAnsi="宋体" w:eastAsia="宋体" w:cs="宋体"/>
          <w:spacing w:val="-2"/>
          <w:sz w:val="31"/>
          <w:szCs w:val="31"/>
        </w:rPr>
        <w:t>”下载招标文件的，招标人</w:t>
      </w:r>
      <w:r>
        <w:rPr>
          <w:rFonts w:ascii="宋体" w:hAnsi="宋体" w:eastAsia="宋体" w:cs="宋体"/>
          <w:spacing w:val="88"/>
          <w:sz w:val="31"/>
          <w:szCs w:val="31"/>
        </w:rPr>
        <w:t xml:space="preserve"> </w:t>
      </w:r>
      <w:r>
        <w:rPr>
          <w:rFonts w:ascii="宋体" w:hAnsi="宋体" w:eastAsia="宋体" w:cs="宋体"/>
          <w:spacing w:val="-2"/>
          <w:sz w:val="31"/>
          <w:szCs w:val="31"/>
        </w:rPr>
        <w:t>（</w:t>
      </w:r>
      <w:r>
        <w:rPr>
          <w:rFonts w:ascii="宋体" w:hAnsi="宋体" w:eastAsia="宋体" w:cs="宋体"/>
          <w:spacing w:val="-104"/>
          <w:sz w:val="31"/>
          <w:szCs w:val="31"/>
        </w:rPr>
        <w:t xml:space="preserve"> </w:t>
      </w:r>
      <w:r>
        <w:rPr>
          <w:rFonts w:ascii="宋体" w:hAnsi="宋体" w:eastAsia="宋体" w:cs="宋体"/>
          <w:spacing w:val="-2"/>
          <w:sz w:val="31"/>
          <w:szCs w:val="31"/>
        </w:rPr>
        <w:t>“</w:t>
      </w:r>
      <w:r>
        <w:rPr>
          <w:rFonts w:ascii="宋体" w:hAnsi="宋体" w:eastAsia="宋体" w:cs="宋体"/>
          <w:spacing w:val="-106"/>
          <w:sz w:val="31"/>
          <w:szCs w:val="31"/>
        </w:rPr>
        <w:t xml:space="preserve"> </w:t>
      </w:r>
      <w:r>
        <w:rPr>
          <w:rFonts w:ascii="宋体" w:hAnsi="宋体" w:eastAsia="宋体" w:cs="宋体"/>
          <w:spacing w:val="-2"/>
          <w:sz w:val="31"/>
          <w:szCs w:val="31"/>
        </w:rPr>
        <w:t>电子交</w:t>
      </w:r>
      <w:r>
        <w:rPr>
          <w:rFonts w:ascii="宋体" w:hAnsi="宋体" w:eastAsia="宋体" w:cs="宋体"/>
          <w:spacing w:val="-3"/>
          <w:sz w:val="31"/>
          <w:szCs w:val="31"/>
        </w:rPr>
        <w:t>易平台</w:t>
      </w:r>
      <w:r>
        <w:rPr>
          <w:rFonts w:ascii="宋体" w:hAnsi="宋体" w:eastAsia="宋体" w:cs="宋体"/>
          <w:spacing w:val="-106"/>
          <w:sz w:val="31"/>
          <w:szCs w:val="31"/>
        </w:rPr>
        <w:t xml:space="preserve"> </w:t>
      </w:r>
      <w:r>
        <w:rPr>
          <w:rFonts w:ascii="宋体" w:hAnsi="宋体" w:eastAsia="宋体" w:cs="宋体"/>
          <w:spacing w:val="-3"/>
          <w:sz w:val="31"/>
          <w:szCs w:val="31"/>
        </w:rPr>
        <w:t>”）拒收其投标文件。</w:t>
      </w:r>
    </w:p>
    <w:p w14:paraId="558FA437">
      <w:pPr>
        <w:spacing w:before="61" w:line="223" w:lineRule="auto"/>
        <w:ind w:left="49"/>
        <w:rPr>
          <w:rFonts w:ascii="宋体" w:hAnsi="宋体" w:eastAsia="宋体" w:cs="宋体"/>
          <w:sz w:val="31"/>
          <w:szCs w:val="31"/>
        </w:rPr>
      </w:pPr>
      <w:r>
        <w:rPr>
          <w:rFonts w:ascii="宋体" w:hAnsi="宋体" w:eastAsia="宋体" w:cs="宋体"/>
          <w:spacing w:val="4"/>
          <w:sz w:val="31"/>
          <w:szCs w:val="31"/>
        </w:rPr>
        <w:t>5.投标文件的递交</w:t>
      </w:r>
    </w:p>
    <w:p w14:paraId="0A38AC74">
      <w:pPr>
        <w:spacing w:before="316" w:line="369" w:lineRule="auto"/>
        <w:ind w:left="47" w:firstLine="2"/>
        <w:rPr>
          <w:rFonts w:ascii="宋体" w:hAnsi="宋体" w:eastAsia="宋体" w:cs="宋体"/>
          <w:sz w:val="31"/>
          <w:szCs w:val="31"/>
        </w:rPr>
      </w:pPr>
      <w:r>
        <w:rPr>
          <w:rFonts w:ascii="宋体" w:hAnsi="宋体" w:eastAsia="宋体" w:cs="宋体"/>
          <w:spacing w:val="-2"/>
          <w:sz w:val="31"/>
          <w:szCs w:val="31"/>
        </w:rPr>
        <w:t>5.1 投标文件递交截止时间为：202</w:t>
      </w:r>
      <w:r>
        <w:rPr>
          <w:rFonts w:hint="eastAsia" w:ascii="宋体" w:hAnsi="宋体" w:eastAsia="宋体" w:cs="宋体"/>
          <w:spacing w:val="-2"/>
          <w:sz w:val="31"/>
          <w:szCs w:val="31"/>
          <w:lang w:val="en-US" w:eastAsia="zh-CN"/>
        </w:rPr>
        <w:t>6</w:t>
      </w:r>
      <w:r>
        <w:rPr>
          <w:rFonts w:ascii="宋体" w:hAnsi="宋体" w:eastAsia="宋体" w:cs="宋体"/>
          <w:spacing w:val="-48"/>
          <w:sz w:val="31"/>
          <w:szCs w:val="31"/>
        </w:rPr>
        <w:t xml:space="preserve"> </w:t>
      </w:r>
      <w:r>
        <w:rPr>
          <w:rFonts w:ascii="宋体" w:hAnsi="宋体" w:eastAsia="宋体" w:cs="宋体"/>
          <w:spacing w:val="-2"/>
          <w:sz w:val="31"/>
          <w:szCs w:val="31"/>
        </w:rPr>
        <w:t>年</w:t>
      </w:r>
      <w:r>
        <w:rPr>
          <w:rFonts w:ascii="宋体" w:hAnsi="宋体" w:eastAsia="宋体" w:cs="宋体"/>
          <w:spacing w:val="-45"/>
          <w:sz w:val="31"/>
          <w:szCs w:val="31"/>
        </w:rPr>
        <w:t xml:space="preserve"> </w:t>
      </w:r>
      <w:r>
        <w:rPr>
          <w:rFonts w:hint="eastAsia" w:ascii="宋体" w:hAnsi="宋体" w:eastAsia="宋体" w:cs="宋体"/>
          <w:spacing w:val="-2"/>
          <w:sz w:val="31"/>
          <w:szCs w:val="31"/>
          <w:lang w:val="en-US" w:eastAsia="zh-CN"/>
        </w:rPr>
        <w:t>6</w:t>
      </w:r>
      <w:r>
        <w:rPr>
          <w:rFonts w:ascii="宋体" w:hAnsi="宋体" w:eastAsia="宋体" w:cs="宋体"/>
          <w:spacing w:val="-2"/>
          <w:sz w:val="31"/>
          <w:szCs w:val="31"/>
        </w:rPr>
        <w:t>月</w:t>
      </w:r>
      <w:r>
        <w:rPr>
          <w:rFonts w:ascii="宋体" w:hAnsi="宋体" w:eastAsia="宋体" w:cs="宋体"/>
          <w:spacing w:val="-64"/>
          <w:sz w:val="31"/>
          <w:szCs w:val="31"/>
        </w:rPr>
        <w:t xml:space="preserve"> </w:t>
      </w:r>
      <w:r>
        <w:rPr>
          <w:rFonts w:ascii="宋体" w:hAnsi="宋体" w:eastAsia="宋体" w:cs="宋体"/>
          <w:spacing w:val="-2"/>
          <w:sz w:val="31"/>
          <w:szCs w:val="31"/>
        </w:rPr>
        <w:t>2</w:t>
      </w:r>
      <w:r>
        <w:rPr>
          <w:rFonts w:hint="eastAsia" w:ascii="宋体" w:hAnsi="宋体" w:eastAsia="宋体" w:cs="宋体"/>
          <w:spacing w:val="-2"/>
          <w:sz w:val="31"/>
          <w:szCs w:val="31"/>
          <w:lang w:val="en-US" w:eastAsia="zh-CN"/>
        </w:rPr>
        <w:t>3</w:t>
      </w:r>
      <w:r>
        <w:rPr>
          <w:rFonts w:ascii="宋体" w:hAnsi="宋体" w:eastAsia="宋体" w:cs="宋体"/>
          <w:spacing w:val="-2"/>
          <w:sz w:val="31"/>
          <w:szCs w:val="31"/>
        </w:rPr>
        <w:t xml:space="preserve"> 日 09</w:t>
      </w:r>
      <w:r>
        <w:rPr>
          <w:rFonts w:ascii="宋体" w:hAnsi="宋体" w:eastAsia="宋体" w:cs="宋体"/>
          <w:spacing w:val="-45"/>
          <w:sz w:val="31"/>
          <w:szCs w:val="31"/>
        </w:rPr>
        <w:t xml:space="preserve"> </w:t>
      </w:r>
      <w:r>
        <w:rPr>
          <w:rFonts w:ascii="宋体" w:hAnsi="宋体" w:eastAsia="宋体" w:cs="宋体"/>
          <w:spacing w:val="-2"/>
          <w:sz w:val="31"/>
          <w:szCs w:val="31"/>
        </w:rPr>
        <w:t>时</w:t>
      </w:r>
      <w:r>
        <w:rPr>
          <w:rFonts w:ascii="宋体" w:hAnsi="宋体" w:eastAsia="宋体" w:cs="宋体"/>
          <w:spacing w:val="-65"/>
          <w:sz w:val="31"/>
          <w:szCs w:val="31"/>
        </w:rPr>
        <w:t xml:space="preserve"> </w:t>
      </w:r>
      <w:r>
        <w:rPr>
          <w:rFonts w:ascii="宋体" w:hAnsi="宋体" w:eastAsia="宋体" w:cs="宋体"/>
          <w:spacing w:val="-2"/>
          <w:sz w:val="31"/>
          <w:szCs w:val="31"/>
        </w:rPr>
        <w:t>00</w:t>
      </w:r>
      <w:r>
        <w:rPr>
          <w:rFonts w:ascii="宋体" w:hAnsi="宋体" w:eastAsia="宋体" w:cs="宋体"/>
          <w:sz w:val="31"/>
          <w:szCs w:val="31"/>
        </w:rPr>
        <w:t>分</w:t>
      </w:r>
    </w:p>
    <w:p w14:paraId="04865EC3">
      <w:pPr>
        <w:spacing w:before="8" w:line="368" w:lineRule="auto"/>
        <w:ind w:left="40" w:right="7" w:firstLine="8"/>
        <w:rPr>
          <w:rFonts w:ascii="宋体" w:hAnsi="宋体" w:eastAsia="宋体" w:cs="宋体"/>
          <w:sz w:val="31"/>
          <w:szCs w:val="31"/>
        </w:rPr>
      </w:pPr>
      <w:r>
        <w:rPr>
          <w:rFonts w:ascii="宋体" w:hAnsi="宋体" w:eastAsia="宋体" w:cs="宋体"/>
          <w:spacing w:val="8"/>
          <w:sz w:val="31"/>
          <w:szCs w:val="31"/>
        </w:rPr>
        <w:t>5.2 投标人应当在投标截止时间前，通过互联网使用手机版</w:t>
      </w:r>
      <w:r>
        <w:rPr>
          <w:rFonts w:ascii="宋体" w:hAnsi="宋体" w:eastAsia="宋体" w:cs="宋体"/>
          <w:sz w:val="31"/>
          <w:szCs w:val="31"/>
        </w:rPr>
        <w:t>CA</w:t>
      </w:r>
      <w:r>
        <w:rPr>
          <w:rFonts w:ascii="宋体" w:hAnsi="宋体" w:eastAsia="宋体" w:cs="宋体"/>
          <w:spacing w:val="3"/>
          <w:sz w:val="31"/>
          <w:szCs w:val="31"/>
        </w:rPr>
        <w:t>（标证通）或办理</w:t>
      </w:r>
      <w:r>
        <w:rPr>
          <w:rFonts w:ascii="宋体" w:hAnsi="宋体" w:eastAsia="宋体" w:cs="宋体"/>
          <w:spacing w:val="-46"/>
          <w:sz w:val="31"/>
          <w:szCs w:val="31"/>
        </w:rPr>
        <w:t xml:space="preserve"> </w:t>
      </w:r>
      <w:r>
        <w:rPr>
          <w:rFonts w:ascii="宋体" w:hAnsi="宋体" w:eastAsia="宋体" w:cs="宋体"/>
          <w:sz w:val="31"/>
          <w:szCs w:val="31"/>
        </w:rPr>
        <w:t>CA</w:t>
      </w:r>
      <w:r>
        <w:rPr>
          <w:rFonts w:ascii="宋体" w:hAnsi="宋体" w:eastAsia="宋体" w:cs="宋体"/>
          <w:spacing w:val="-57"/>
          <w:sz w:val="31"/>
          <w:szCs w:val="31"/>
        </w:rPr>
        <w:t xml:space="preserve"> </w:t>
      </w:r>
      <w:r>
        <w:rPr>
          <w:rFonts w:ascii="宋体" w:hAnsi="宋体" w:eastAsia="宋体" w:cs="宋体"/>
          <w:spacing w:val="3"/>
          <w:sz w:val="31"/>
          <w:szCs w:val="31"/>
        </w:rPr>
        <w:t>数字证书登录“</w:t>
      </w:r>
      <w:r>
        <w:rPr>
          <w:rFonts w:ascii="宋体" w:hAnsi="宋体" w:eastAsia="宋体" w:cs="宋体"/>
          <w:spacing w:val="-106"/>
          <w:sz w:val="31"/>
          <w:szCs w:val="31"/>
        </w:rPr>
        <w:t xml:space="preserve"> </w:t>
      </w:r>
      <w:r>
        <w:rPr>
          <w:rFonts w:ascii="宋体" w:hAnsi="宋体" w:eastAsia="宋体" w:cs="宋体"/>
          <w:spacing w:val="3"/>
          <w:sz w:val="31"/>
          <w:szCs w:val="31"/>
        </w:rPr>
        <w:t>电子交易平台</w:t>
      </w:r>
      <w:r>
        <w:rPr>
          <w:rFonts w:ascii="宋体" w:hAnsi="宋体" w:eastAsia="宋体" w:cs="宋体"/>
          <w:spacing w:val="-113"/>
          <w:sz w:val="31"/>
          <w:szCs w:val="31"/>
        </w:rPr>
        <w:t xml:space="preserve"> </w:t>
      </w:r>
      <w:r>
        <w:rPr>
          <w:rFonts w:ascii="宋体" w:hAnsi="宋体" w:eastAsia="宋体" w:cs="宋体"/>
          <w:spacing w:val="3"/>
          <w:sz w:val="31"/>
          <w:szCs w:val="31"/>
        </w:rPr>
        <w:t>”，</w:t>
      </w:r>
    </w:p>
    <w:p w14:paraId="2D0403F9">
      <w:pPr>
        <w:spacing w:before="10" w:line="222" w:lineRule="auto"/>
        <w:ind w:right="6"/>
        <w:jc w:val="right"/>
        <w:rPr>
          <w:rFonts w:ascii="宋体" w:hAnsi="宋体" w:eastAsia="宋体" w:cs="宋体"/>
          <w:sz w:val="31"/>
          <w:szCs w:val="31"/>
        </w:rPr>
      </w:pPr>
      <w:r>
        <w:rPr>
          <w:rFonts w:ascii="宋体" w:hAnsi="宋体" w:eastAsia="宋体" w:cs="宋体"/>
          <w:spacing w:val="8"/>
          <w:sz w:val="31"/>
          <w:szCs w:val="31"/>
        </w:rPr>
        <w:t>选择所投标段将</w:t>
      </w:r>
      <w:r>
        <w:rPr>
          <w:rFonts w:ascii="宋体" w:hAnsi="宋体" w:eastAsia="宋体" w:cs="宋体"/>
          <w:b/>
          <w:bCs/>
          <w:spacing w:val="8"/>
          <w:sz w:val="31"/>
          <w:szCs w:val="31"/>
        </w:rPr>
        <w:t>加密的电子投标文件</w:t>
      </w:r>
      <w:r>
        <w:rPr>
          <w:rFonts w:ascii="宋体" w:hAnsi="宋体" w:eastAsia="宋体" w:cs="宋体"/>
          <w:spacing w:val="8"/>
          <w:sz w:val="31"/>
          <w:szCs w:val="31"/>
        </w:rPr>
        <w:t>上传。投标人</w:t>
      </w:r>
      <w:r>
        <w:rPr>
          <w:rFonts w:ascii="宋体" w:hAnsi="宋体" w:eastAsia="宋体" w:cs="宋体"/>
          <w:spacing w:val="7"/>
          <w:sz w:val="31"/>
          <w:szCs w:val="31"/>
        </w:rPr>
        <w:t>完成投标</w:t>
      </w:r>
    </w:p>
    <w:p w14:paraId="3C36C714">
      <w:pPr>
        <w:spacing w:line="222" w:lineRule="auto"/>
        <w:rPr>
          <w:rFonts w:ascii="宋体" w:hAnsi="宋体" w:eastAsia="宋体" w:cs="宋体"/>
          <w:sz w:val="31"/>
          <w:szCs w:val="31"/>
        </w:rPr>
        <w:sectPr>
          <w:footerReference r:id="rId22" w:type="default"/>
          <w:pgSz w:w="11910" w:h="16845"/>
          <w:pgMar w:top="1431" w:right="1779" w:bottom="1065" w:left="1786" w:header="0" w:footer="837" w:gutter="0"/>
          <w:cols w:space="720" w:num="1"/>
        </w:sectPr>
      </w:pPr>
    </w:p>
    <w:p w14:paraId="40873B92">
      <w:pPr>
        <w:spacing w:before="191" w:line="373" w:lineRule="auto"/>
        <w:ind w:left="40" w:right="11" w:firstLine="5"/>
        <w:rPr>
          <w:rFonts w:ascii="宋体" w:hAnsi="宋体" w:eastAsia="宋体" w:cs="宋体"/>
          <w:sz w:val="31"/>
          <w:szCs w:val="31"/>
        </w:rPr>
      </w:pPr>
      <w:r>
        <w:rPr>
          <w:rFonts w:ascii="宋体" w:hAnsi="宋体" w:eastAsia="宋体" w:cs="宋体"/>
          <w:spacing w:val="4"/>
          <w:sz w:val="31"/>
          <w:szCs w:val="31"/>
        </w:rPr>
        <w:t>文件上传后，</w:t>
      </w:r>
      <w:r>
        <w:rPr>
          <w:rFonts w:ascii="宋体" w:hAnsi="宋体" w:eastAsia="宋体" w:cs="宋体"/>
          <w:spacing w:val="-120"/>
          <w:sz w:val="31"/>
          <w:szCs w:val="31"/>
        </w:rPr>
        <w:t xml:space="preserve"> </w:t>
      </w:r>
      <w:r>
        <w:rPr>
          <w:rFonts w:ascii="宋体" w:hAnsi="宋体" w:eastAsia="宋体" w:cs="宋体"/>
          <w:spacing w:val="4"/>
          <w:sz w:val="31"/>
          <w:szCs w:val="31"/>
        </w:rPr>
        <w:t>“</w:t>
      </w:r>
      <w:r>
        <w:rPr>
          <w:rFonts w:ascii="宋体" w:hAnsi="宋体" w:eastAsia="宋体" w:cs="宋体"/>
          <w:spacing w:val="-106"/>
          <w:sz w:val="31"/>
          <w:szCs w:val="31"/>
        </w:rPr>
        <w:t xml:space="preserve"> </w:t>
      </w:r>
      <w:r>
        <w:rPr>
          <w:rFonts w:ascii="宋体" w:hAnsi="宋体" w:eastAsia="宋体" w:cs="宋体"/>
          <w:spacing w:val="4"/>
          <w:sz w:val="31"/>
          <w:szCs w:val="31"/>
        </w:rPr>
        <w:t>电子交易平台</w:t>
      </w:r>
      <w:r>
        <w:rPr>
          <w:rFonts w:ascii="宋体" w:hAnsi="宋体" w:eastAsia="宋体" w:cs="宋体"/>
          <w:spacing w:val="-113"/>
          <w:sz w:val="31"/>
          <w:szCs w:val="31"/>
        </w:rPr>
        <w:t xml:space="preserve"> </w:t>
      </w:r>
      <w:r>
        <w:rPr>
          <w:rFonts w:ascii="宋体" w:hAnsi="宋体" w:eastAsia="宋体" w:cs="宋体"/>
          <w:spacing w:val="4"/>
          <w:sz w:val="31"/>
          <w:szCs w:val="31"/>
        </w:rPr>
        <w:t>”即时向投标人发出电子签收</w:t>
      </w:r>
      <w:r>
        <w:rPr>
          <w:rFonts w:ascii="宋体" w:hAnsi="宋体" w:eastAsia="宋体" w:cs="宋体"/>
          <w:spacing w:val="8"/>
          <w:sz w:val="31"/>
          <w:szCs w:val="31"/>
        </w:rPr>
        <w:t>凭证，递交时间以电子签收凭证载明的传输完</w:t>
      </w:r>
      <w:r>
        <w:rPr>
          <w:rFonts w:ascii="宋体" w:hAnsi="宋体" w:eastAsia="宋体" w:cs="宋体"/>
          <w:spacing w:val="7"/>
          <w:sz w:val="31"/>
          <w:szCs w:val="31"/>
        </w:rPr>
        <w:t>成时间为准。</w:t>
      </w:r>
      <w:r>
        <w:rPr>
          <w:rFonts w:ascii="宋体" w:hAnsi="宋体" w:eastAsia="宋体" w:cs="宋体"/>
          <w:spacing w:val="2"/>
          <w:sz w:val="31"/>
          <w:szCs w:val="31"/>
        </w:rPr>
        <w:t>逾期未完成上传或未加密的电子投标文件，</w:t>
      </w:r>
      <w:r>
        <w:rPr>
          <w:rFonts w:ascii="宋体" w:hAnsi="宋体" w:eastAsia="宋体" w:cs="宋体"/>
          <w:spacing w:val="-87"/>
          <w:sz w:val="31"/>
          <w:szCs w:val="31"/>
        </w:rPr>
        <w:t xml:space="preserve"> </w:t>
      </w:r>
      <w:r>
        <w:rPr>
          <w:rFonts w:ascii="宋体" w:hAnsi="宋体" w:eastAsia="宋体" w:cs="宋体"/>
          <w:spacing w:val="2"/>
          <w:sz w:val="31"/>
          <w:szCs w:val="31"/>
        </w:rPr>
        <w:t>招标人（</w:t>
      </w:r>
      <w:r>
        <w:rPr>
          <w:rFonts w:ascii="宋体" w:hAnsi="宋体" w:eastAsia="宋体" w:cs="宋体"/>
          <w:spacing w:val="-89"/>
          <w:sz w:val="31"/>
          <w:szCs w:val="31"/>
        </w:rPr>
        <w:t xml:space="preserve"> </w:t>
      </w:r>
      <w:r>
        <w:rPr>
          <w:rFonts w:ascii="宋体" w:hAnsi="宋体" w:eastAsia="宋体" w:cs="宋体"/>
          <w:spacing w:val="2"/>
          <w:sz w:val="31"/>
          <w:szCs w:val="31"/>
        </w:rPr>
        <w:t>“</w:t>
      </w:r>
      <w:r>
        <w:rPr>
          <w:rFonts w:ascii="宋体" w:hAnsi="宋体" w:eastAsia="宋体" w:cs="宋体"/>
          <w:spacing w:val="-107"/>
          <w:sz w:val="31"/>
          <w:szCs w:val="31"/>
        </w:rPr>
        <w:t xml:space="preserve"> </w:t>
      </w:r>
      <w:r>
        <w:rPr>
          <w:rFonts w:ascii="宋体" w:hAnsi="宋体" w:eastAsia="宋体" w:cs="宋体"/>
          <w:spacing w:val="2"/>
          <w:sz w:val="31"/>
          <w:szCs w:val="31"/>
        </w:rPr>
        <w:t>电子</w:t>
      </w:r>
      <w:r>
        <w:rPr>
          <w:rFonts w:ascii="宋体" w:hAnsi="宋体" w:eastAsia="宋体" w:cs="宋体"/>
          <w:spacing w:val="-4"/>
          <w:sz w:val="31"/>
          <w:szCs w:val="31"/>
        </w:rPr>
        <w:t>交易平台</w:t>
      </w:r>
      <w:r>
        <w:rPr>
          <w:rFonts w:ascii="宋体" w:hAnsi="宋体" w:eastAsia="宋体" w:cs="宋体"/>
          <w:spacing w:val="-107"/>
          <w:sz w:val="31"/>
          <w:szCs w:val="31"/>
        </w:rPr>
        <w:t xml:space="preserve"> </w:t>
      </w:r>
      <w:r>
        <w:rPr>
          <w:rFonts w:ascii="宋体" w:hAnsi="宋体" w:eastAsia="宋体" w:cs="宋体"/>
          <w:spacing w:val="-4"/>
          <w:sz w:val="31"/>
          <w:szCs w:val="31"/>
        </w:rPr>
        <w:t>”）将拒收。</w:t>
      </w:r>
    </w:p>
    <w:p w14:paraId="3BFDDDF0">
      <w:pPr>
        <w:spacing w:before="43" w:line="224" w:lineRule="auto"/>
        <w:ind w:left="45"/>
        <w:rPr>
          <w:rFonts w:ascii="宋体" w:hAnsi="宋体" w:eastAsia="宋体" w:cs="宋体"/>
          <w:sz w:val="31"/>
          <w:szCs w:val="31"/>
        </w:rPr>
      </w:pPr>
      <w:r>
        <w:rPr>
          <w:rFonts w:ascii="宋体" w:hAnsi="宋体" w:eastAsia="宋体" w:cs="宋体"/>
          <w:spacing w:val="4"/>
          <w:sz w:val="31"/>
          <w:szCs w:val="31"/>
        </w:rPr>
        <w:t>6.投标相关事宜</w:t>
      </w:r>
    </w:p>
    <w:p w14:paraId="3175CB13">
      <w:pPr>
        <w:spacing w:before="317" w:line="372" w:lineRule="auto"/>
        <w:ind w:left="42" w:firstLine="1286"/>
        <w:rPr>
          <w:rFonts w:ascii="宋体" w:hAnsi="宋体" w:eastAsia="宋体" w:cs="宋体"/>
          <w:sz w:val="31"/>
          <w:szCs w:val="31"/>
        </w:rPr>
      </w:pPr>
      <w:r>
        <w:rPr>
          <w:rFonts w:ascii="宋体" w:hAnsi="宋体" w:eastAsia="宋体" w:cs="宋体"/>
          <w:spacing w:val="8"/>
          <w:sz w:val="31"/>
          <w:szCs w:val="31"/>
        </w:rPr>
        <w:t>1.本项目专门面向中小微企业，参加投标的中小企</w:t>
      </w:r>
      <w:r>
        <w:rPr>
          <w:rFonts w:ascii="宋体" w:hAnsi="宋体" w:eastAsia="宋体" w:cs="宋体"/>
          <w:spacing w:val="2"/>
          <w:sz w:val="31"/>
          <w:szCs w:val="31"/>
        </w:rPr>
        <w:t>业应当提供《中小企业声明函》。  2.①投标人可以通过手</w:t>
      </w:r>
      <w:r>
        <w:rPr>
          <w:rFonts w:ascii="宋体" w:hAnsi="宋体" w:eastAsia="宋体" w:cs="宋体"/>
          <w:spacing w:val="9"/>
          <w:sz w:val="31"/>
          <w:szCs w:val="31"/>
        </w:rPr>
        <w:t>机免费申请电子营业执照应用服务，通过电子营业执照登录</w:t>
      </w:r>
      <w:r>
        <w:rPr>
          <w:rFonts w:ascii="宋体" w:hAnsi="宋体" w:eastAsia="宋体" w:cs="宋体"/>
          <w:spacing w:val="-3"/>
          <w:sz w:val="31"/>
          <w:szCs w:val="31"/>
        </w:rPr>
        <w:t>交易系统，进行身份认证、电子签章、电子签名、标书加密、</w:t>
      </w:r>
      <w:r>
        <w:rPr>
          <w:rFonts w:ascii="宋体" w:hAnsi="宋体" w:eastAsia="宋体" w:cs="宋体"/>
          <w:spacing w:val="9"/>
          <w:sz w:val="31"/>
          <w:szCs w:val="31"/>
        </w:rPr>
        <w:t>标书解密；标书加密、标书解密环节必须同时采用电子营业</w:t>
      </w:r>
      <w:r>
        <w:rPr>
          <w:rFonts w:ascii="宋体" w:hAnsi="宋体" w:eastAsia="宋体" w:cs="宋体"/>
          <w:spacing w:val="6"/>
          <w:sz w:val="31"/>
          <w:szCs w:val="31"/>
        </w:rPr>
        <w:t>执照方式进行；详细操作流程请详见：</w:t>
      </w:r>
      <w:r>
        <w:rPr>
          <w:rFonts w:ascii="宋体" w:hAnsi="宋体" w:eastAsia="宋体" w:cs="宋体"/>
          <w:spacing w:val="-77"/>
          <w:sz w:val="31"/>
          <w:szCs w:val="31"/>
        </w:rPr>
        <w:t xml:space="preserve"> </w:t>
      </w:r>
      <w:r>
        <w:rPr>
          <w:rFonts w:ascii="宋体" w:hAnsi="宋体" w:eastAsia="宋体" w:cs="宋体"/>
          <w:spacing w:val="6"/>
          <w:sz w:val="31"/>
          <w:szCs w:val="31"/>
        </w:rPr>
        <w:t>湖北省电子招投标交</w:t>
      </w:r>
      <w:r>
        <w:rPr>
          <w:rFonts w:ascii="宋体" w:hAnsi="宋体" w:eastAsia="宋体" w:cs="宋体"/>
          <w:spacing w:val="8"/>
          <w:sz w:val="31"/>
          <w:szCs w:val="31"/>
        </w:rPr>
        <w:t>易平台-通知公告-《关于湖北省电子招投标交易平台电子营</w:t>
      </w:r>
      <w:r>
        <w:rPr>
          <w:rFonts w:ascii="宋体" w:hAnsi="宋体" w:eastAsia="宋体" w:cs="宋体"/>
          <w:spacing w:val="3"/>
          <w:sz w:val="31"/>
          <w:szCs w:val="31"/>
        </w:rPr>
        <w:t>业执照应用服务上线试运行的通知》，网址：</w:t>
      </w:r>
    </w:p>
    <w:p w14:paraId="5C932582">
      <w:pPr>
        <w:spacing w:before="4" w:line="371" w:lineRule="auto"/>
        <w:ind w:left="41" w:right="10" w:hanging="9"/>
        <w:rPr>
          <w:rFonts w:ascii="宋体" w:hAnsi="宋体" w:eastAsia="宋体" w:cs="宋体"/>
          <w:sz w:val="31"/>
          <w:szCs w:val="31"/>
        </w:rPr>
      </w:pP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12"/>
          <w:sz w:val="31"/>
          <w:szCs w:val="31"/>
        </w:rPr>
        <w:t>.</w:t>
      </w:r>
      <w:r>
        <w:rPr>
          <w:rFonts w:ascii="宋体" w:hAnsi="宋体" w:eastAsia="宋体" w:cs="宋体"/>
          <w:sz w:val="31"/>
          <w:szCs w:val="31"/>
        </w:rPr>
        <w:t>hbbidcloud</w:t>
      </w:r>
      <w:r>
        <w:rPr>
          <w:rFonts w:ascii="宋体" w:hAnsi="宋体" w:eastAsia="宋体" w:cs="宋体"/>
          <w:spacing w:val="12"/>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2"/>
          <w:sz w:val="31"/>
          <w:szCs w:val="31"/>
        </w:rPr>
        <w:t>。 ②投标人登录交易系统后，通过单位</w:t>
      </w:r>
      <w:r>
        <w:rPr>
          <w:rFonts w:ascii="宋体" w:hAnsi="宋体" w:eastAsia="宋体" w:cs="宋体"/>
          <w:spacing w:val="7"/>
          <w:sz w:val="31"/>
          <w:szCs w:val="31"/>
        </w:rPr>
        <w:t>信息-修改信息-电子件管理，依次点击获取营业执照证件、</w:t>
      </w:r>
      <w:r>
        <w:rPr>
          <w:rFonts w:ascii="宋体" w:hAnsi="宋体" w:eastAsia="宋体" w:cs="宋体"/>
          <w:spacing w:val="9"/>
          <w:sz w:val="31"/>
          <w:szCs w:val="31"/>
        </w:rPr>
        <w:t>获取建筑业企业资质证书、获取安全生产许可证即可直接调用上述证照。详细操作流程请详见：湖北省电子招投标交易</w:t>
      </w:r>
      <w:r>
        <w:rPr>
          <w:rFonts w:ascii="宋体" w:hAnsi="宋体" w:eastAsia="宋体" w:cs="宋体"/>
          <w:spacing w:val="4"/>
          <w:sz w:val="31"/>
          <w:szCs w:val="31"/>
        </w:rPr>
        <w:t>平台- 通知公告-《省平台获取证照库电子件操作手册》，</w:t>
      </w:r>
    </w:p>
    <w:p w14:paraId="0B6FB776">
      <w:pPr>
        <w:spacing w:before="3" w:line="228" w:lineRule="auto"/>
        <w:ind w:left="67"/>
        <w:rPr>
          <w:rFonts w:ascii="宋体" w:hAnsi="宋体" w:eastAsia="宋体" w:cs="宋体"/>
          <w:sz w:val="31"/>
          <w:szCs w:val="31"/>
        </w:rPr>
      </w:pPr>
      <w:r>
        <w:rPr>
          <w:rFonts w:ascii="宋体" w:hAnsi="宋体" w:eastAsia="宋体" w:cs="宋体"/>
          <w:spacing w:val="16"/>
          <w:sz w:val="31"/>
          <w:szCs w:val="31"/>
        </w:rPr>
        <w:t>网址</w:t>
      </w:r>
      <w:r>
        <w:rPr>
          <w:rFonts w:ascii="宋体" w:hAnsi="宋体" w:eastAsia="宋体" w:cs="宋体"/>
          <w:spacing w:val="-76"/>
          <w:sz w:val="31"/>
          <w:szCs w:val="31"/>
        </w:rPr>
        <w:t xml:space="preserve"> </w:t>
      </w: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16"/>
          <w:sz w:val="31"/>
          <w:szCs w:val="31"/>
        </w:rPr>
        <w:t>.</w:t>
      </w:r>
      <w:r>
        <w:rPr>
          <w:rFonts w:ascii="宋体" w:hAnsi="宋体" w:eastAsia="宋体" w:cs="宋体"/>
          <w:sz w:val="31"/>
          <w:szCs w:val="31"/>
        </w:rPr>
        <w:t>hbbidcloud</w:t>
      </w:r>
      <w:r>
        <w:rPr>
          <w:rFonts w:ascii="宋体" w:hAnsi="宋体" w:eastAsia="宋体" w:cs="宋体"/>
          <w:spacing w:val="16"/>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6"/>
          <w:sz w:val="31"/>
          <w:szCs w:val="31"/>
        </w:rPr>
        <w:t>。。</w:t>
      </w:r>
    </w:p>
    <w:p w14:paraId="7579C20F">
      <w:pPr>
        <w:spacing w:before="292" w:line="223" w:lineRule="auto"/>
        <w:ind w:left="50"/>
        <w:rPr>
          <w:rFonts w:ascii="宋体" w:hAnsi="宋体" w:eastAsia="宋体" w:cs="宋体"/>
          <w:sz w:val="31"/>
          <w:szCs w:val="31"/>
        </w:rPr>
      </w:pPr>
      <w:r>
        <w:rPr>
          <w:rFonts w:ascii="宋体" w:hAnsi="宋体" w:eastAsia="宋体" w:cs="宋体"/>
          <w:spacing w:val="3"/>
          <w:sz w:val="31"/>
          <w:szCs w:val="31"/>
        </w:rPr>
        <w:t>7.评标办法</w:t>
      </w:r>
    </w:p>
    <w:p w14:paraId="4BB7EE34">
      <w:pPr>
        <w:spacing w:before="317" w:line="222" w:lineRule="auto"/>
        <w:ind w:left="1321"/>
        <w:rPr>
          <w:rFonts w:ascii="宋体" w:hAnsi="宋体" w:eastAsia="宋体" w:cs="宋体"/>
          <w:sz w:val="31"/>
          <w:szCs w:val="31"/>
        </w:rPr>
      </w:pPr>
      <w:r>
        <w:rPr>
          <w:rFonts w:ascii="宋体" w:hAnsi="宋体" w:eastAsia="宋体" w:cs="宋体"/>
          <w:spacing w:val="4"/>
          <w:sz w:val="31"/>
          <w:szCs w:val="31"/>
        </w:rPr>
        <w:t>本标段招标评标办法采用采用“评定分离</w:t>
      </w:r>
      <w:r>
        <w:rPr>
          <w:rFonts w:ascii="宋体" w:hAnsi="宋体" w:eastAsia="宋体" w:cs="宋体"/>
          <w:spacing w:val="-96"/>
          <w:sz w:val="31"/>
          <w:szCs w:val="31"/>
        </w:rPr>
        <w:t xml:space="preserve"> </w:t>
      </w:r>
      <w:r>
        <w:rPr>
          <w:rFonts w:ascii="宋体" w:hAnsi="宋体" w:eastAsia="宋体" w:cs="宋体"/>
          <w:spacing w:val="4"/>
          <w:sz w:val="31"/>
          <w:szCs w:val="31"/>
        </w:rPr>
        <w:t>”实施</w:t>
      </w:r>
    </w:p>
    <w:p w14:paraId="7E7A421B">
      <w:pPr>
        <w:spacing w:line="222" w:lineRule="auto"/>
        <w:rPr>
          <w:rFonts w:ascii="宋体" w:hAnsi="宋体" w:eastAsia="宋体" w:cs="宋体"/>
          <w:sz w:val="31"/>
          <w:szCs w:val="31"/>
        </w:rPr>
        <w:sectPr>
          <w:footerReference r:id="rId23" w:type="default"/>
          <w:pgSz w:w="11910" w:h="16845"/>
          <w:pgMar w:top="1431" w:right="1774" w:bottom="1065" w:left="1786" w:header="0" w:footer="838" w:gutter="0"/>
          <w:cols w:space="720" w:num="1"/>
        </w:sectPr>
      </w:pPr>
    </w:p>
    <w:p w14:paraId="58C31F2E">
      <w:pPr>
        <w:spacing w:before="190" w:line="377" w:lineRule="auto"/>
        <w:ind w:left="44"/>
        <w:rPr>
          <w:rFonts w:ascii="宋体" w:hAnsi="宋体" w:eastAsia="宋体" w:cs="宋体"/>
          <w:sz w:val="31"/>
          <w:szCs w:val="31"/>
        </w:rPr>
      </w:pPr>
      <w:r>
        <w:rPr>
          <w:rFonts w:ascii="宋体" w:hAnsi="宋体" w:eastAsia="宋体" w:cs="宋体"/>
          <w:spacing w:val="9"/>
          <w:sz w:val="31"/>
          <w:szCs w:val="31"/>
        </w:rPr>
        <w:t>招投标，评标办法采用综合评估法，定标方法采用票决</w:t>
      </w:r>
      <w:r>
        <w:rPr>
          <w:rFonts w:ascii="宋体" w:hAnsi="宋体" w:eastAsia="宋体" w:cs="宋体"/>
          <w:spacing w:val="8"/>
          <w:sz w:val="31"/>
          <w:szCs w:val="31"/>
        </w:rPr>
        <w:t>数量</w:t>
      </w:r>
      <w:r>
        <w:rPr>
          <w:rFonts w:ascii="宋体" w:hAnsi="宋体" w:eastAsia="宋体" w:cs="宋体"/>
          <w:spacing w:val="-2"/>
          <w:sz w:val="31"/>
          <w:szCs w:val="31"/>
        </w:rPr>
        <w:t>法（投票表决法）。</w:t>
      </w:r>
    </w:p>
    <w:p w14:paraId="7A717828">
      <w:pPr>
        <w:spacing w:before="39" w:line="221" w:lineRule="auto"/>
        <w:ind w:left="44"/>
        <w:rPr>
          <w:rFonts w:ascii="宋体" w:hAnsi="宋体" w:eastAsia="宋体" w:cs="宋体"/>
          <w:sz w:val="31"/>
          <w:szCs w:val="31"/>
        </w:rPr>
      </w:pPr>
      <w:r>
        <w:rPr>
          <w:rFonts w:ascii="宋体" w:hAnsi="宋体" w:eastAsia="宋体" w:cs="宋体"/>
          <w:spacing w:val="5"/>
          <w:sz w:val="31"/>
          <w:szCs w:val="31"/>
        </w:rPr>
        <w:t>8.发布公告的媒介</w:t>
      </w:r>
    </w:p>
    <w:p w14:paraId="77031039">
      <w:pPr>
        <w:spacing w:before="319" w:line="221" w:lineRule="auto"/>
        <w:ind w:left="1321"/>
        <w:rPr>
          <w:rFonts w:ascii="宋体" w:hAnsi="宋体" w:eastAsia="宋体" w:cs="宋体"/>
          <w:sz w:val="31"/>
          <w:szCs w:val="31"/>
        </w:rPr>
      </w:pPr>
      <w:r>
        <w:rPr>
          <w:rFonts w:ascii="宋体" w:hAnsi="宋体" w:eastAsia="宋体" w:cs="宋体"/>
          <w:spacing w:val="7"/>
          <w:sz w:val="31"/>
          <w:szCs w:val="31"/>
        </w:rPr>
        <w:t>本标段招标公告同时在湖北省公共资源交易</w:t>
      </w:r>
      <w:r>
        <w:rPr>
          <w:rFonts w:ascii="宋体" w:hAnsi="宋体" w:eastAsia="宋体" w:cs="宋体"/>
          <w:spacing w:val="6"/>
          <w:sz w:val="31"/>
          <w:szCs w:val="31"/>
        </w:rPr>
        <w:t>电子</w:t>
      </w:r>
    </w:p>
    <w:p w14:paraId="4B2FFBF3">
      <w:pPr>
        <w:spacing w:before="243" w:line="377" w:lineRule="auto"/>
        <w:ind w:left="42" w:firstLine="1"/>
        <w:rPr>
          <w:rFonts w:ascii="宋体" w:hAnsi="宋体" w:eastAsia="宋体" w:cs="宋体"/>
          <w:sz w:val="31"/>
          <w:szCs w:val="31"/>
        </w:rPr>
      </w:pPr>
      <w:r>
        <w:rPr>
          <w:rFonts w:ascii="宋体" w:hAnsi="宋体" w:eastAsia="宋体" w:cs="宋体"/>
          <w:spacing w:val="8"/>
          <w:sz w:val="31"/>
          <w:szCs w:val="31"/>
        </w:rPr>
        <w:t>服务系统（网址：</w:t>
      </w:r>
      <w:r>
        <w:fldChar w:fldCharType="begin"/>
      </w:r>
      <w:r>
        <w:instrText xml:space="preserve"> HYPERLINK "https://www.hbggzyfwpt.cn" </w:instrText>
      </w:r>
      <w:r>
        <w:fldChar w:fldCharType="separate"/>
      </w:r>
      <w:r>
        <w:rPr>
          <w:rFonts w:ascii="宋体" w:hAnsi="宋体" w:eastAsia="宋体" w:cs="宋体"/>
          <w:sz w:val="31"/>
          <w:szCs w:val="31"/>
        </w:rPr>
        <w:t>www</w:t>
      </w:r>
      <w:r>
        <w:rPr>
          <w:rFonts w:ascii="宋体" w:hAnsi="宋体" w:eastAsia="宋体" w:cs="宋体"/>
          <w:spacing w:val="8"/>
          <w:sz w:val="31"/>
          <w:szCs w:val="31"/>
        </w:rPr>
        <w:t>.</w:t>
      </w:r>
      <w:r>
        <w:rPr>
          <w:rFonts w:ascii="宋体" w:hAnsi="宋体" w:eastAsia="宋体" w:cs="宋体"/>
          <w:sz w:val="31"/>
          <w:szCs w:val="31"/>
        </w:rPr>
        <w:t>hbggzyfwpt</w:t>
      </w:r>
      <w:r>
        <w:rPr>
          <w:rFonts w:ascii="宋体" w:hAnsi="宋体" w:eastAsia="宋体" w:cs="宋体"/>
          <w:spacing w:val="8"/>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8"/>
          <w:sz w:val="31"/>
          <w:szCs w:val="31"/>
        </w:rPr>
        <w:t>）</w:t>
      </w:r>
      <w:r>
        <w:rPr>
          <w:rFonts w:ascii="宋体" w:hAnsi="宋体" w:eastAsia="宋体" w:cs="宋体"/>
          <w:spacing w:val="-82"/>
          <w:sz w:val="31"/>
          <w:szCs w:val="31"/>
        </w:rPr>
        <w:t xml:space="preserve"> </w:t>
      </w:r>
      <w:r>
        <w:rPr>
          <w:rFonts w:ascii="宋体" w:hAnsi="宋体" w:eastAsia="宋体" w:cs="宋体"/>
          <w:spacing w:val="8"/>
          <w:sz w:val="31"/>
          <w:szCs w:val="31"/>
        </w:rPr>
        <w:t>(发布公告的媒介名</w:t>
      </w:r>
      <w:r>
        <w:rPr>
          <w:rFonts w:ascii="宋体" w:hAnsi="宋体" w:eastAsia="宋体" w:cs="宋体"/>
          <w:spacing w:val="-3"/>
          <w:sz w:val="31"/>
          <w:szCs w:val="31"/>
        </w:rPr>
        <w:t>称)上发布。</w:t>
      </w:r>
    </w:p>
    <w:p w14:paraId="0A194B40">
      <w:pPr>
        <w:spacing w:before="55" w:line="224" w:lineRule="auto"/>
        <w:ind w:left="44"/>
        <w:rPr>
          <w:rFonts w:ascii="宋体" w:hAnsi="宋体" w:eastAsia="宋体" w:cs="宋体"/>
          <w:sz w:val="31"/>
          <w:szCs w:val="31"/>
        </w:rPr>
      </w:pPr>
      <w:r>
        <w:rPr>
          <w:rFonts w:ascii="宋体" w:hAnsi="宋体" w:eastAsia="宋体" w:cs="宋体"/>
          <w:spacing w:val="4"/>
          <w:sz w:val="31"/>
          <w:szCs w:val="31"/>
        </w:rPr>
        <w:t>9.联系方式</w:t>
      </w:r>
    </w:p>
    <w:p w14:paraId="6060AC68">
      <w:pPr>
        <w:spacing w:before="103"/>
      </w:pPr>
    </w:p>
    <w:tbl>
      <w:tblPr>
        <w:tblStyle w:val="5"/>
        <w:tblW w:w="8056" w:type="dxa"/>
        <w:tblInd w:w="8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856"/>
        <w:gridCol w:w="1285"/>
        <w:gridCol w:w="2915"/>
      </w:tblGrid>
      <w:tr w14:paraId="4CFEEE2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24" w:hRule="atLeast"/>
        </w:trPr>
        <w:tc>
          <w:tcPr>
            <w:tcW w:w="3856" w:type="dxa"/>
            <w:vAlign w:val="top"/>
          </w:tcPr>
          <w:p w14:paraId="3A8F8982">
            <w:pPr>
              <w:pStyle w:val="6"/>
              <w:spacing w:before="2" w:line="331" w:lineRule="auto"/>
              <w:ind w:left="1189" w:right="155" w:firstLine="2"/>
            </w:pPr>
            <w:r>
              <w:pict>
                <v:shape id="_x0000_s1026" o:spid="_x0000_s1026" o:spt="202" type="#_x0000_t202" style="position:absolute;left:0pt;margin-left:-0.8pt;margin-top:14.85pt;height:20.8pt;width:56.55pt;z-index:251668480;mso-width-relative:page;mso-height-relative:page;" filled="f" stroked="f" coordsize="21600,21600">
                  <v:path/>
                  <v:fill on="f" focussize="0,0"/>
                  <v:stroke on="f"/>
                  <v:imagedata o:title=""/>
                  <o:lock v:ext="edit" aspectratio="f"/>
                  <v:textbox inset="0mm,0mm,0mm,0mm">
                    <w:txbxContent>
                      <w:p w14:paraId="4D8A9239">
                        <w:pPr>
                          <w:pStyle w:val="6"/>
                          <w:spacing w:before="19" w:line="224" w:lineRule="auto"/>
                          <w:jc w:val="right"/>
                        </w:pPr>
                        <w:r>
                          <w:rPr>
                            <w:spacing w:val="1"/>
                          </w:rPr>
                          <w:t>招标人:</w:t>
                        </w:r>
                      </w:p>
                    </w:txbxContent>
                  </v:textbox>
                </v:shape>
              </w:pict>
            </w:r>
            <w:r>
              <w:rPr>
                <w:spacing w:val="3"/>
              </w:rPr>
              <w:t>罗田县胜利镇韩塔寺村村民委员会</w:t>
            </w:r>
          </w:p>
        </w:tc>
        <w:tc>
          <w:tcPr>
            <w:tcW w:w="1285" w:type="dxa"/>
            <w:vAlign w:val="top"/>
          </w:tcPr>
          <w:p w14:paraId="49FE035A">
            <w:pPr>
              <w:pStyle w:val="6"/>
              <w:spacing w:before="2" w:line="331" w:lineRule="auto"/>
              <w:ind w:left="175" w:right="179" w:hanging="5"/>
            </w:pPr>
            <w:r>
              <w:rPr>
                <w:spacing w:val="1"/>
              </w:rPr>
              <w:t>代理机</w:t>
            </w:r>
            <w:r>
              <w:rPr>
                <w:spacing w:val="24"/>
              </w:rPr>
              <w:t>构:</w:t>
            </w:r>
          </w:p>
        </w:tc>
        <w:tc>
          <w:tcPr>
            <w:tcW w:w="2915" w:type="dxa"/>
            <w:vAlign w:val="top"/>
          </w:tcPr>
          <w:p w14:paraId="6737C418">
            <w:pPr>
              <w:pStyle w:val="6"/>
              <w:spacing w:before="2" w:line="331" w:lineRule="auto"/>
              <w:ind w:left="92" w:hanging="3"/>
              <w:rPr>
                <w:rFonts w:hint="eastAsia" w:eastAsia="宋体"/>
                <w:lang w:eastAsia="zh-CN"/>
              </w:rPr>
            </w:pPr>
            <w:r>
              <w:rPr>
                <w:rFonts w:hint="eastAsia"/>
                <w:spacing w:val="3"/>
                <w:lang w:eastAsia="zh-CN"/>
              </w:rPr>
              <w:t>湖北宏顺项目管理有限公司</w:t>
            </w:r>
          </w:p>
        </w:tc>
      </w:tr>
      <w:tr w14:paraId="60A8A4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96" w:hRule="atLeast"/>
        </w:trPr>
        <w:tc>
          <w:tcPr>
            <w:tcW w:w="3856" w:type="dxa"/>
            <w:vAlign w:val="top"/>
          </w:tcPr>
          <w:p w14:paraId="61E17E4F">
            <w:pPr>
              <w:pStyle w:val="6"/>
              <w:spacing w:before="182" w:line="181" w:lineRule="auto"/>
              <w:ind w:left="1191"/>
            </w:pPr>
            <w:r>
              <w:rPr>
                <w:spacing w:val="3"/>
              </w:rPr>
              <w:t>罗田县胜利镇韩塔</w:t>
            </w:r>
          </w:p>
        </w:tc>
        <w:tc>
          <w:tcPr>
            <w:tcW w:w="1285" w:type="dxa"/>
            <w:vAlign w:val="top"/>
          </w:tcPr>
          <w:p w14:paraId="22C700B0">
            <w:pPr>
              <w:rPr>
                <w:rFonts w:ascii="Arial"/>
                <w:sz w:val="21"/>
              </w:rPr>
            </w:pPr>
          </w:p>
        </w:tc>
        <w:tc>
          <w:tcPr>
            <w:tcW w:w="2915" w:type="dxa"/>
            <w:vAlign w:val="top"/>
          </w:tcPr>
          <w:p w14:paraId="4869C519">
            <w:pPr>
              <w:pStyle w:val="6"/>
              <w:spacing w:before="182" w:line="181" w:lineRule="auto"/>
              <w:jc w:val="right"/>
              <w:rPr>
                <w:rFonts w:hint="default" w:eastAsia="宋体"/>
                <w:lang w:val="en-US" w:eastAsia="zh-CN"/>
              </w:rPr>
            </w:pPr>
            <w:r>
              <w:rPr>
                <w:rFonts w:hint="eastAsia"/>
                <w:spacing w:val="3"/>
                <w:lang w:val="en-US" w:eastAsia="zh-CN"/>
              </w:rPr>
              <w:t>罗田县凤山镇阳光尚城</w:t>
            </w:r>
          </w:p>
        </w:tc>
      </w:tr>
      <w:tr w14:paraId="1C146A3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7" w:hRule="atLeast"/>
        </w:trPr>
        <w:tc>
          <w:tcPr>
            <w:tcW w:w="3856" w:type="dxa"/>
            <w:vAlign w:val="top"/>
          </w:tcPr>
          <w:p w14:paraId="00624835">
            <w:pPr>
              <w:pStyle w:val="6"/>
              <w:spacing w:before="1" w:line="176" w:lineRule="auto"/>
              <w:ind w:left="2"/>
            </w:pPr>
            <w:r>
              <w:rPr>
                <w:spacing w:val="19"/>
              </w:rPr>
              <w:t>地址:</w:t>
            </w:r>
          </w:p>
        </w:tc>
        <w:tc>
          <w:tcPr>
            <w:tcW w:w="1285" w:type="dxa"/>
            <w:vAlign w:val="top"/>
          </w:tcPr>
          <w:p w14:paraId="19E8E866">
            <w:pPr>
              <w:pStyle w:val="6"/>
              <w:spacing w:before="1" w:line="176" w:lineRule="auto"/>
              <w:ind w:left="171"/>
            </w:pPr>
            <w:r>
              <w:rPr>
                <w:spacing w:val="19"/>
              </w:rPr>
              <w:t>地址:</w:t>
            </w:r>
          </w:p>
        </w:tc>
        <w:tc>
          <w:tcPr>
            <w:tcW w:w="2915" w:type="dxa"/>
            <w:vAlign w:val="top"/>
          </w:tcPr>
          <w:p w14:paraId="03B7F46C">
            <w:pPr>
              <w:rPr>
                <w:rFonts w:ascii="Arial"/>
                <w:sz w:val="21"/>
              </w:rPr>
            </w:pPr>
          </w:p>
        </w:tc>
      </w:tr>
      <w:tr w14:paraId="5C74846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11" w:hRule="atLeast"/>
        </w:trPr>
        <w:tc>
          <w:tcPr>
            <w:tcW w:w="3856" w:type="dxa"/>
            <w:vAlign w:val="top"/>
          </w:tcPr>
          <w:p w14:paraId="4768D618">
            <w:pPr>
              <w:pStyle w:val="6"/>
              <w:spacing w:before="9" w:line="222" w:lineRule="auto"/>
              <w:ind w:left="1189"/>
            </w:pPr>
            <w:r>
              <w:rPr>
                <w:spacing w:val="-4"/>
              </w:rPr>
              <w:t>寺村</w:t>
            </w:r>
            <w:r>
              <w:rPr>
                <w:spacing w:val="-64"/>
              </w:rPr>
              <w:t xml:space="preserve"> </w:t>
            </w:r>
            <w:r>
              <w:rPr>
                <w:spacing w:val="-4"/>
              </w:rPr>
              <w:t>9</w:t>
            </w:r>
            <w:r>
              <w:rPr>
                <w:spacing w:val="-57"/>
              </w:rPr>
              <w:t xml:space="preserve"> </w:t>
            </w:r>
            <w:r>
              <w:rPr>
                <w:spacing w:val="-4"/>
              </w:rPr>
              <w:t>组</w:t>
            </w:r>
          </w:p>
        </w:tc>
        <w:tc>
          <w:tcPr>
            <w:tcW w:w="1285" w:type="dxa"/>
            <w:vAlign w:val="top"/>
          </w:tcPr>
          <w:p w14:paraId="16856B9E">
            <w:pPr>
              <w:rPr>
                <w:rFonts w:ascii="Arial"/>
                <w:sz w:val="21"/>
              </w:rPr>
            </w:pPr>
          </w:p>
        </w:tc>
        <w:tc>
          <w:tcPr>
            <w:tcW w:w="2915" w:type="dxa"/>
            <w:vAlign w:val="top"/>
          </w:tcPr>
          <w:p w14:paraId="186CE656">
            <w:pPr>
              <w:pStyle w:val="6"/>
              <w:spacing w:before="9" w:line="222" w:lineRule="auto"/>
              <w:ind w:left="91"/>
              <w:rPr>
                <w:rFonts w:hint="default"/>
                <w:lang w:val="en-US"/>
              </w:rPr>
            </w:pPr>
          </w:p>
        </w:tc>
      </w:tr>
      <w:tr w14:paraId="043E4A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2" w:hRule="atLeast"/>
        </w:trPr>
        <w:tc>
          <w:tcPr>
            <w:tcW w:w="3856" w:type="dxa"/>
            <w:vAlign w:val="top"/>
          </w:tcPr>
          <w:p w14:paraId="42D59206">
            <w:pPr>
              <w:pStyle w:val="6"/>
              <w:spacing w:before="189" w:line="223" w:lineRule="auto"/>
              <w:ind w:left="25"/>
            </w:pPr>
            <w:r>
              <w:rPr>
                <w:spacing w:val="2"/>
              </w:rPr>
              <w:t>邮编:</w:t>
            </w:r>
            <w:r>
              <w:rPr>
                <w:spacing w:val="49"/>
              </w:rPr>
              <w:t xml:space="preserve">  </w:t>
            </w:r>
            <w:r>
              <w:rPr>
                <w:spacing w:val="2"/>
              </w:rPr>
              <w:t>438600</w:t>
            </w:r>
          </w:p>
        </w:tc>
        <w:tc>
          <w:tcPr>
            <w:tcW w:w="1285" w:type="dxa"/>
            <w:vAlign w:val="top"/>
          </w:tcPr>
          <w:p w14:paraId="6BA66C59">
            <w:pPr>
              <w:pStyle w:val="6"/>
              <w:spacing w:before="189" w:line="223" w:lineRule="auto"/>
              <w:ind w:left="194"/>
            </w:pPr>
            <w:r>
              <w:rPr>
                <w:spacing w:val="11"/>
              </w:rPr>
              <w:t>邮编:</w:t>
            </w:r>
          </w:p>
        </w:tc>
        <w:tc>
          <w:tcPr>
            <w:tcW w:w="2915" w:type="dxa"/>
            <w:vAlign w:val="top"/>
          </w:tcPr>
          <w:p w14:paraId="2D999797">
            <w:pPr>
              <w:pStyle w:val="6"/>
              <w:spacing w:before="189" w:line="408" w:lineRule="exact"/>
              <w:ind w:left="86"/>
            </w:pPr>
            <w:r>
              <w:rPr>
                <w:spacing w:val="6"/>
                <w:position w:val="1"/>
              </w:rPr>
              <w:t>438600</w:t>
            </w:r>
          </w:p>
        </w:tc>
      </w:tr>
      <w:tr w14:paraId="2BD290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4" w:hRule="atLeast"/>
        </w:trPr>
        <w:tc>
          <w:tcPr>
            <w:tcW w:w="3856" w:type="dxa"/>
            <w:vAlign w:val="top"/>
          </w:tcPr>
          <w:p w14:paraId="738D24A4">
            <w:pPr>
              <w:pStyle w:val="6"/>
              <w:spacing w:before="182" w:line="223" w:lineRule="auto"/>
              <w:ind w:left="3"/>
              <w:rPr>
                <w:rFonts w:hint="default" w:eastAsia="宋体"/>
                <w:lang w:val="en-US" w:eastAsia="zh-CN"/>
              </w:rPr>
            </w:pPr>
            <w:r>
              <w:rPr>
                <w:spacing w:val="1"/>
              </w:rPr>
              <w:t>联系人:</w:t>
            </w:r>
            <w:r>
              <w:rPr>
                <w:spacing w:val="-59"/>
              </w:rPr>
              <w:t xml:space="preserve"> </w:t>
            </w:r>
            <w:r>
              <w:rPr>
                <w:spacing w:val="1"/>
              </w:rPr>
              <w:t>方</w:t>
            </w:r>
            <w:r>
              <w:rPr>
                <w:rFonts w:hint="eastAsia"/>
                <w:spacing w:val="1"/>
                <w:lang w:val="en-US" w:eastAsia="zh-CN"/>
              </w:rPr>
              <w:t>巧玲</w:t>
            </w:r>
          </w:p>
        </w:tc>
        <w:tc>
          <w:tcPr>
            <w:tcW w:w="1285" w:type="dxa"/>
            <w:vAlign w:val="top"/>
          </w:tcPr>
          <w:p w14:paraId="07F89E60">
            <w:pPr>
              <w:pStyle w:val="6"/>
              <w:spacing w:before="182" w:line="225" w:lineRule="auto"/>
              <w:jc w:val="right"/>
            </w:pPr>
            <w:r>
              <w:rPr>
                <w:spacing w:val="1"/>
              </w:rPr>
              <w:t>联系人:</w:t>
            </w:r>
          </w:p>
        </w:tc>
        <w:tc>
          <w:tcPr>
            <w:tcW w:w="2915" w:type="dxa"/>
            <w:vAlign w:val="top"/>
          </w:tcPr>
          <w:p w14:paraId="6E1152DD">
            <w:pPr>
              <w:pStyle w:val="6"/>
              <w:spacing w:before="182" w:line="223" w:lineRule="auto"/>
              <w:ind w:left="86"/>
              <w:rPr>
                <w:rFonts w:hint="eastAsia" w:eastAsia="宋体"/>
                <w:lang w:eastAsia="zh-CN"/>
              </w:rPr>
            </w:pPr>
            <w:r>
              <w:rPr>
                <w:rFonts w:hint="eastAsia"/>
                <w:spacing w:val="-1"/>
                <w:lang w:val="en-US" w:eastAsia="zh-CN"/>
              </w:rPr>
              <w:t>方鉴</w:t>
            </w:r>
          </w:p>
        </w:tc>
      </w:tr>
      <w:tr w14:paraId="5665B3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1" w:hRule="atLeast"/>
        </w:trPr>
        <w:tc>
          <w:tcPr>
            <w:tcW w:w="3856" w:type="dxa"/>
            <w:vAlign w:val="top"/>
          </w:tcPr>
          <w:p w14:paraId="6192981A">
            <w:pPr>
              <w:pStyle w:val="6"/>
              <w:spacing w:before="189" w:line="225" w:lineRule="auto"/>
              <w:ind w:left="39"/>
            </w:pPr>
            <w:r>
              <w:rPr>
                <w:spacing w:val="2"/>
              </w:rPr>
              <w:t>电话:</w:t>
            </w:r>
            <w:r>
              <w:rPr>
                <w:spacing w:val="62"/>
              </w:rPr>
              <w:t xml:space="preserve">  </w:t>
            </w:r>
            <w:r>
              <w:rPr>
                <w:spacing w:val="2"/>
              </w:rPr>
              <w:t>13986531966</w:t>
            </w:r>
          </w:p>
        </w:tc>
        <w:tc>
          <w:tcPr>
            <w:tcW w:w="1285" w:type="dxa"/>
            <w:vAlign w:val="top"/>
          </w:tcPr>
          <w:p w14:paraId="53084C03">
            <w:pPr>
              <w:pStyle w:val="6"/>
              <w:spacing w:before="189" w:line="225" w:lineRule="auto"/>
              <w:ind w:left="208"/>
            </w:pPr>
            <w:r>
              <w:rPr>
                <w:spacing w:val="7"/>
              </w:rPr>
              <w:t>电话:</w:t>
            </w:r>
          </w:p>
        </w:tc>
        <w:tc>
          <w:tcPr>
            <w:tcW w:w="2915" w:type="dxa"/>
            <w:vAlign w:val="top"/>
          </w:tcPr>
          <w:p w14:paraId="5480AA7D">
            <w:pPr>
              <w:pStyle w:val="6"/>
              <w:spacing w:before="189" w:line="408" w:lineRule="exact"/>
              <w:ind w:left="111"/>
              <w:rPr>
                <w:rFonts w:hint="default" w:eastAsia="宋体"/>
                <w:lang w:val="en-US" w:eastAsia="zh-CN"/>
              </w:rPr>
            </w:pPr>
            <w:r>
              <w:rPr>
                <w:rFonts w:hint="eastAsia"/>
                <w:spacing w:val="6"/>
                <w:position w:val="1"/>
                <w:lang w:val="en-US" w:eastAsia="zh-CN"/>
              </w:rPr>
              <w:t>17572365821</w:t>
            </w:r>
          </w:p>
        </w:tc>
      </w:tr>
      <w:tr w14:paraId="0A51FBB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6" w:hRule="atLeast"/>
        </w:trPr>
        <w:tc>
          <w:tcPr>
            <w:tcW w:w="3856" w:type="dxa"/>
            <w:vAlign w:val="top"/>
          </w:tcPr>
          <w:p w14:paraId="7A725B38">
            <w:pPr>
              <w:pStyle w:val="6"/>
              <w:spacing w:before="184" w:line="222" w:lineRule="auto"/>
            </w:pPr>
            <w:r>
              <w:rPr>
                <w:spacing w:val="20"/>
              </w:rPr>
              <w:t>传真:</w:t>
            </w:r>
          </w:p>
        </w:tc>
        <w:tc>
          <w:tcPr>
            <w:tcW w:w="1285" w:type="dxa"/>
            <w:vAlign w:val="top"/>
          </w:tcPr>
          <w:p w14:paraId="1573EDC4">
            <w:pPr>
              <w:pStyle w:val="6"/>
              <w:spacing w:before="184" w:line="222" w:lineRule="auto"/>
              <w:ind w:left="169"/>
            </w:pPr>
            <w:r>
              <w:rPr>
                <w:spacing w:val="20"/>
              </w:rPr>
              <w:t>传真:</w:t>
            </w:r>
          </w:p>
        </w:tc>
        <w:tc>
          <w:tcPr>
            <w:tcW w:w="2915" w:type="dxa"/>
            <w:vAlign w:val="top"/>
          </w:tcPr>
          <w:p w14:paraId="57514E39">
            <w:pPr>
              <w:rPr>
                <w:rFonts w:ascii="Arial"/>
                <w:sz w:val="21"/>
              </w:rPr>
            </w:pPr>
          </w:p>
        </w:tc>
      </w:tr>
      <w:tr w14:paraId="472790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0" w:hRule="atLeast"/>
        </w:trPr>
        <w:tc>
          <w:tcPr>
            <w:tcW w:w="3856" w:type="dxa"/>
            <w:vAlign w:val="top"/>
          </w:tcPr>
          <w:p w14:paraId="68016086">
            <w:pPr>
              <w:pStyle w:val="6"/>
              <w:spacing w:before="187" w:line="224" w:lineRule="auto"/>
              <w:ind w:left="39"/>
            </w:pPr>
            <w:r>
              <w:rPr>
                <w:spacing w:val="-8"/>
              </w:rPr>
              <w:t>电子邮</w:t>
            </w:r>
          </w:p>
        </w:tc>
        <w:tc>
          <w:tcPr>
            <w:tcW w:w="1285" w:type="dxa"/>
            <w:vAlign w:val="top"/>
          </w:tcPr>
          <w:p w14:paraId="5A1865A8">
            <w:pPr>
              <w:pStyle w:val="6"/>
              <w:spacing w:before="187" w:line="224" w:lineRule="auto"/>
              <w:ind w:left="208"/>
            </w:pPr>
            <w:r>
              <w:rPr>
                <w:spacing w:val="-8"/>
              </w:rPr>
              <w:t>电子邮</w:t>
            </w:r>
          </w:p>
        </w:tc>
        <w:tc>
          <w:tcPr>
            <w:tcW w:w="2915" w:type="dxa"/>
            <w:vAlign w:val="top"/>
          </w:tcPr>
          <w:p w14:paraId="6BA58933">
            <w:pPr>
              <w:rPr>
                <w:rFonts w:ascii="Arial"/>
                <w:sz w:val="21"/>
              </w:rPr>
            </w:pPr>
          </w:p>
        </w:tc>
      </w:tr>
      <w:tr w14:paraId="3ADD85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3" w:hRule="atLeast"/>
        </w:trPr>
        <w:tc>
          <w:tcPr>
            <w:tcW w:w="3856" w:type="dxa"/>
            <w:vAlign w:val="top"/>
          </w:tcPr>
          <w:p w14:paraId="5B170014">
            <w:pPr>
              <w:pStyle w:val="6"/>
              <w:spacing w:before="159" w:line="223" w:lineRule="auto"/>
              <w:ind w:left="1"/>
            </w:pPr>
            <w:r>
              <w:rPr>
                <w:spacing w:val="26"/>
              </w:rPr>
              <w:t>件:</w:t>
            </w:r>
          </w:p>
        </w:tc>
        <w:tc>
          <w:tcPr>
            <w:tcW w:w="1285" w:type="dxa"/>
            <w:vAlign w:val="top"/>
          </w:tcPr>
          <w:p w14:paraId="10D738BD">
            <w:pPr>
              <w:pStyle w:val="6"/>
              <w:spacing w:before="159" w:line="223" w:lineRule="auto"/>
              <w:ind w:left="170"/>
            </w:pPr>
            <w:r>
              <w:rPr>
                <w:spacing w:val="26"/>
              </w:rPr>
              <w:t>件:</w:t>
            </w:r>
          </w:p>
        </w:tc>
        <w:tc>
          <w:tcPr>
            <w:tcW w:w="2915" w:type="dxa"/>
            <w:vAlign w:val="top"/>
          </w:tcPr>
          <w:p w14:paraId="15C07294">
            <w:pPr>
              <w:rPr>
                <w:rFonts w:ascii="Arial"/>
                <w:sz w:val="21"/>
              </w:rPr>
            </w:pPr>
          </w:p>
        </w:tc>
      </w:tr>
      <w:tr w14:paraId="058627A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79" w:hRule="atLeast"/>
        </w:trPr>
        <w:tc>
          <w:tcPr>
            <w:tcW w:w="3856" w:type="dxa"/>
            <w:vAlign w:val="top"/>
          </w:tcPr>
          <w:p w14:paraId="4EF8A66F">
            <w:pPr>
              <w:pStyle w:val="6"/>
              <w:spacing w:before="181" w:line="228" w:lineRule="auto"/>
              <w:ind w:left="27"/>
            </w:pPr>
            <w:r>
              <w:rPr>
                <w:spacing w:val="10"/>
              </w:rPr>
              <w:t>网址:</w:t>
            </w:r>
          </w:p>
        </w:tc>
        <w:tc>
          <w:tcPr>
            <w:tcW w:w="1285" w:type="dxa"/>
            <w:vAlign w:val="top"/>
          </w:tcPr>
          <w:p w14:paraId="3DC507FE">
            <w:pPr>
              <w:pStyle w:val="6"/>
              <w:spacing w:before="181" w:line="228" w:lineRule="auto"/>
              <w:ind w:left="196"/>
            </w:pPr>
            <w:r>
              <w:rPr>
                <w:spacing w:val="11"/>
              </w:rPr>
              <w:t>网址:</w:t>
            </w:r>
          </w:p>
        </w:tc>
        <w:tc>
          <w:tcPr>
            <w:tcW w:w="2915" w:type="dxa"/>
            <w:vAlign w:val="top"/>
          </w:tcPr>
          <w:p w14:paraId="5F21678A">
            <w:pPr>
              <w:rPr>
                <w:rFonts w:ascii="Arial"/>
                <w:sz w:val="21"/>
              </w:rPr>
            </w:pPr>
          </w:p>
        </w:tc>
      </w:tr>
      <w:tr w14:paraId="4AC94D7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7" w:hRule="atLeast"/>
        </w:trPr>
        <w:tc>
          <w:tcPr>
            <w:tcW w:w="3856" w:type="dxa"/>
            <w:vAlign w:val="top"/>
          </w:tcPr>
          <w:p w14:paraId="31CA6DF2">
            <w:pPr>
              <w:pStyle w:val="6"/>
              <w:spacing w:before="192" w:line="224" w:lineRule="auto"/>
              <w:ind w:left="3"/>
            </w:pPr>
            <w:r>
              <w:t>开户银</w:t>
            </w:r>
          </w:p>
        </w:tc>
        <w:tc>
          <w:tcPr>
            <w:tcW w:w="1285" w:type="dxa"/>
            <w:vAlign w:val="top"/>
          </w:tcPr>
          <w:p w14:paraId="4AD896FA">
            <w:pPr>
              <w:pStyle w:val="6"/>
              <w:spacing w:before="192" w:line="224" w:lineRule="auto"/>
              <w:ind w:left="172"/>
            </w:pPr>
            <w:r>
              <w:t>开户银</w:t>
            </w:r>
          </w:p>
        </w:tc>
        <w:tc>
          <w:tcPr>
            <w:tcW w:w="2915" w:type="dxa"/>
            <w:vAlign w:val="top"/>
          </w:tcPr>
          <w:p w14:paraId="7E49EF04">
            <w:pPr>
              <w:rPr>
                <w:rFonts w:ascii="Arial"/>
                <w:sz w:val="21"/>
              </w:rPr>
            </w:pPr>
          </w:p>
        </w:tc>
      </w:tr>
      <w:tr w14:paraId="4033A54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3856" w:type="dxa"/>
            <w:vAlign w:val="top"/>
          </w:tcPr>
          <w:p w14:paraId="5E4A7587">
            <w:pPr>
              <w:pStyle w:val="6"/>
              <w:spacing w:before="151" w:line="182" w:lineRule="auto"/>
              <w:ind w:left="7"/>
            </w:pPr>
            <w:r>
              <w:rPr>
                <w:spacing w:val="23"/>
              </w:rPr>
              <w:t>行:</w:t>
            </w:r>
          </w:p>
        </w:tc>
        <w:tc>
          <w:tcPr>
            <w:tcW w:w="1285" w:type="dxa"/>
            <w:vAlign w:val="top"/>
          </w:tcPr>
          <w:p w14:paraId="7144D290">
            <w:pPr>
              <w:pStyle w:val="6"/>
              <w:spacing w:before="151" w:line="182" w:lineRule="auto"/>
              <w:ind w:left="176"/>
            </w:pPr>
            <w:r>
              <w:rPr>
                <w:spacing w:val="23"/>
              </w:rPr>
              <w:t>行:</w:t>
            </w:r>
          </w:p>
        </w:tc>
        <w:tc>
          <w:tcPr>
            <w:tcW w:w="2915" w:type="dxa"/>
            <w:vAlign w:val="top"/>
          </w:tcPr>
          <w:p w14:paraId="13803668">
            <w:pPr>
              <w:rPr>
                <w:rFonts w:ascii="Arial"/>
                <w:sz w:val="21"/>
              </w:rPr>
            </w:pPr>
          </w:p>
        </w:tc>
      </w:tr>
    </w:tbl>
    <w:p w14:paraId="37A2F4C0">
      <w:pPr>
        <w:pStyle w:val="2"/>
      </w:pPr>
    </w:p>
    <w:p w14:paraId="082A5EE2">
      <w:pPr>
        <w:sectPr>
          <w:footerReference r:id="rId24" w:type="default"/>
          <w:pgSz w:w="11910" w:h="16845"/>
          <w:pgMar w:top="1431" w:right="1785" w:bottom="1065" w:left="1786" w:header="0" w:footer="838" w:gutter="0"/>
          <w:cols w:space="720" w:num="1"/>
        </w:sectPr>
      </w:pPr>
    </w:p>
    <w:p w14:paraId="518DE083">
      <w:pPr>
        <w:spacing w:before="219" w:line="224" w:lineRule="auto"/>
        <w:ind w:left="93"/>
        <w:rPr>
          <w:rFonts w:ascii="宋体" w:hAnsi="宋体" w:eastAsia="宋体" w:cs="宋体"/>
          <w:sz w:val="31"/>
          <w:szCs w:val="31"/>
        </w:rPr>
      </w:pPr>
      <w:r>
        <w:rPr>
          <w:rFonts w:ascii="宋体" w:hAnsi="宋体" w:eastAsia="宋体" w:cs="宋体"/>
          <w:spacing w:val="1"/>
          <w:sz w:val="31"/>
          <w:szCs w:val="31"/>
        </w:rPr>
        <w:t>账</w:t>
      </w:r>
      <w:r>
        <w:rPr>
          <w:rFonts w:ascii="宋体" w:hAnsi="宋体" w:eastAsia="宋体" w:cs="宋体"/>
          <w:spacing w:val="32"/>
          <w:sz w:val="31"/>
          <w:szCs w:val="31"/>
        </w:rPr>
        <w:t xml:space="preserve"> </w:t>
      </w:r>
      <w:r>
        <w:rPr>
          <w:rFonts w:ascii="宋体" w:hAnsi="宋体" w:eastAsia="宋体" w:cs="宋体"/>
          <w:spacing w:val="1"/>
          <w:sz w:val="31"/>
          <w:szCs w:val="31"/>
        </w:rPr>
        <w:t>号:</w:t>
      </w:r>
      <w:r>
        <w:rPr>
          <w:rFonts w:ascii="宋体" w:hAnsi="宋体" w:eastAsia="宋体" w:cs="宋体"/>
          <w:spacing w:val="7"/>
          <w:sz w:val="31"/>
          <w:szCs w:val="31"/>
        </w:rPr>
        <w:t xml:space="preserve">                   </w:t>
      </w:r>
      <w:r>
        <w:rPr>
          <w:rFonts w:ascii="宋体" w:hAnsi="宋体" w:eastAsia="宋体" w:cs="宋体"/>
          <w:spacing w:val="1"/>
          <w:sz w:val="31"/>
          <w:szCs w:val="31"/>
        </w:rPr>
        <w:t>账</w:t>
      </w:r>
      <w:r>
        <w:rPr>
          <w:rFonts w:ascii="宋体" w:hAnsi="宋体" w:eastAsia="宋体" w:cs="宋体"/>
          <w:spacing w:val="40"/>
          <w:sz w:val="31"/>
          <w:szCs w:val="31"/>
        </w:rPr>
        <w:t xml:space="preserve"> </w:t>
      </w:r>
      <w:r>
        <w:rPr>
          <w:rFonts w:ascii="宋体" w:hAnsi="宋体" w:eastAsia="宋体" w:cs="宋体"/>
          <w:spacing w:val="1"/>
          <w:sz w:val="31"/>
          <w:szCs w:val="31"/>
        </w:rPr>
        <w:t>号:</w:t>
      </w:r>
    </w:p>
    <w:p w14:paraId="31E18393">
      <w:pPr>
        <w:pStyle w:val="2"/>
        <w:spacing w:line="256" w:lineRule="auto"/>
      </w:pPr>
    </w:p>
    <w:p w14:paraId="2F73A011">
      <w:pPr>
        <w:spacing w:before="101" w:line="223" w:lineRule="auto"/>
        <w:jc w:val="right"/>
        <w:rPr>
          <w:rFonts w:ascii="宋体" w:hAnsi="宋体" w:eastAsia="宋体" w:cs="宋体"/>
          <w:sz w:val="31"/>
          <w:szCs w:val="31"/>
        </w:rPr>
      </w:pPr>
      <w:r>
        <w:rPr>
          <w:rFonts w:ascii="宋体" w:hAnsi="宋体" w:eastAsia="宋体" w:cs="宋体"/>
          <w:spacing w:val="-9"/>
          <w:sz w:val="31"/>
          <w:szCs w:val="31"/>
        </w:rPr>
        <w:t>202</w:t>
      </w:r>
      <w:r>
        <w:rPr>
          <w:rFonts w:hint="eastAsia" w:ascii="宋体" w:hAnsi="宋体" w:eastAsia="宋体" w:cs="宋体"/>
          <w:spacing w:val="-9"/>
          <w:sz w:val="31"/>
          <w:szCs w:val="31"/>
          <w:lang w:val="en-US" w:eastAsia="zh-CN"/>
        </w:rPr>
        <w:t>6</w:t>
      </w:r>
      <w:r>
        <w:rPr>
          <w:rFonts w:ascii="宋体" w:hAnsi="宋体" w:eastAsia="宋体" w:cs="宋体"/>
          <w:spacing w:val="-49"/>
          <w:sz w:val="31"/>
          <w:szCs w:val="31"/>
        </w:rPr>
        <w:t xml:space="preserve"> </w:t>
      </w:r>
      <w:r>
        <w:rPr>
          <w:rFonts w:ascii="宋体" w:hAnsi="宋体" w:eastAsia="宋体" w:cs="宋体"/>
          <w:spacing w:val="-9"/>
          <w:sz w:val="31"/>
          <w:szCs w:val="31"/>
        </w:rPr>
        <w:t>年</w:t>
      </w:r>
      <w:r>
        <w:rPr>
          <w:rFonts w:ascii="宋体" w:hAnsi="宋体" w:eastAsia="宋体" w:cs="宋体"/>
          <w:spacing w:val="-45"/>
          <w:sz w:val="31"/>
          <w:szCs w:val="31"/>
        </w:rPr>
        <w:t xml:space="preserve"> </w:t>
      </w:r>
      <w:r>
        <w:rPr>
          <w:rFonts w:hint="eastAsia" w:ascii="宋体" w:hAnsi="宋体" w:eastAsia="宋体" w:cs="宋体"/>
          <w:spacing w:val="-9"/>
          <w:sz w:val="31"/>
          <w:szCs w:val="31"/>
          <w:lang w:val="en-US" w:eastAsia="zh-CN"/>
        </w:rPr>
        <w:t>5</w:t>
      </w:r>
      <w:r>
        <w:rPr>
          <w:rFonts w:ascii="宋体" w:hAnsi="宋体" w:eastAsia="宋体" w:cs="宋体"/>
          <w:spacing w:val="-52"/>
          <w:sz w:val="31"/>
          <w:szCs w:val="31"/>
        </w:rPr>
        <w:t xml:space="preserve"> </w:t>
      </w:r>
      <w:r>
        <w:rPr>
          <w:rFonts w:ascii="宋体" w:hAnsi="宋体" w:eastAsia="宋体" w:cs="宋体"/>
          <w:spacing w:val="-9"/>
          <w:sz w:val="31"/>
          <w:szCs w:val="31"/>
        </w:rPr>
        <w:t>月</w:t>
      </w:r>
      <w:r>
        <w:rPr>
          <w:rFonts w:ascii="宋体" w:hAnsi="宋体" w:eastAsia="宋体" w:cs="宋体"/>
          <w:spacing w:val="-65"/>
          <w:sz w:val="31"/>
          <w:szCs w:val="31"/>
        </w:rPr>
        <w:t xml:space="preserve"> </w:t>
      </w:r>
      <w:r>
        <w:rPr>
          <w:rFonts w:hint="eastAsia" w:ascii="宋体" w:hAnsi="宋体" w:eastAsia="宋体" w:cs="宋体"/>
          <w:spacing w:val="-9"/>
          <w:sz w:val="31"/>
          <w:szCs w:val="31"/>
          <w:lang w:val="en-US" w:eastAsia="zh-CN"/>
        </w:rPr>
        <w:t>22</w:t>
      </w:r>
      <w:r>
        <w:rPr>
          <w:rFonts w:ascii="宋体" w:hAnsi="宋体" w:eastAsia="宋体" w:cs="宋体"/>
          <w:spacing w:val="-9"/>
          <w:sz w:val="31"/>
          <w:szCs w:val="31"/>
        </w:rPr>
        <w:t>日</w:t>
      </w:r>
    </w:p>
    <w:p w14:paraId="7B278C06">
      <w:pPr>
        <w:pStyle w:val="2"/>
        <w:spacing w:line="295" w:lineRule="auto"/>
      </w:pPr>
    </w:p>
    <w:p w14:paraId="7AB647B7">
      <w:pPr>
        <w:pStyle w:val="2"/>
        <w:spacing w:line="295" w:lineRule="auto"/>
      </w:pPr>
    </w:p>
    <w:p w14:paraId="4ECAC4B0">
      <w:pPr>
        <w:pStyle w:val="2"/>
        <w:spacing w:line="296" w:lineRule="auto"/>
      </w:pPr>
    </w:p>
    <w:p w14:paraId="630FF9E0">
      <w:pPr>
        <w:spacing w:before="100" w:line="224" w:lineRule="auto"/>
        <w:ind w:left="47"/>
        <w:rPr>
          <w:rFonts w:ascii="宋体" w:hAnsi="宋体" w:eastAsia="宋体" w:cs="宋体"/>
          <w:sz w:val="31"/>
          <w:szCs w:val="31"/>
        </w:rPr>
      </w:pPr>
      <w:r>
        <w:rPr>
          <w:rFonts w:ascii="宋体" w:hAnsi="宋体" w:eastAsia="宋体" w:cs="宋体"/>
          <w:spacing w:val="17"/>
          <w:sz w:val="31"/>
          <w:szCs w:val="31"/>
        </w:rPr>
        <w:t>备注:</w:t>
      </w:r>
    </w:p>
    <w:p w14:paraId="7731FA75">
      <w:pPr>
        <w:spacing w:line="224" w:lineRule="auto"/>
        <w:rPr>
          <w:rFonts w:ascii="宋体" w:hAnsi="宋体" w:eastAsia="宋体" w:cs="宋体"/>
          <w:sz w:val="31"/>
          <w:szCs w:val="31"/>
        </w:rPr>
        <w:sectPr>
          <w:footerReference r:id="rId25" w:type="default"/>
          <w:pgSz w:w="11910" w:h="16845"/>
          <w:pgMar w:top="1431" w:right="1771" w:bottom="1065" w:left="1786" w:header="0" w:footer="837" w:gutter="0"/>
          <w:cols w:space="720" w:num="1"/>
        </w:sectPr>
      </w:pPr>
    </w:p>
    <w:p w14:paraId="3FC5C21E">
      <w:pPr>
        <w:pStyle w:val="2"/>
        <w:spacing w:line="338" w:lineRule="auto"/>
      </w:pPr>
    </w:p>
    <w:p w14:paraId="12C4B5F4">
      <w:pPr>
        <w:pStyle w:val="2"/>
        <w:spacing w:line="339" w:lineRule="auto"/>
      </w:pPr>
    </w:p>
    <w:p w14:paraId="3832622A">
      <w:pPr>
        <w:spacing w:before="140" w:line="221" w:lineRule="auto"/>
        <w:ind w:left="1625"/>
        <w:outlineLvl w:val="0"/>
        <w:rPr>
          <w:rFonts w:ascii="宋体" w:hAnsi="宋体" w:eastAsia="宋体" w:cs="宋体"/>
          <w:sz w:val="43"/>
          <w:szCs w:val="43"/>
        </w:rPr>
      </w:pPr>
      <w:bookmarkStart w:id="2" w:name="bookmark3"/>
      <w:bookmarkEnd w:id="2"/>
      <w:bookmarkStart w:id="3" w:name="bookmark4"/>
      <w:bookmarkEnd w:id="3"/>
      <w:r>
        <w:rPr>
          <w:rFonts w:ascii="宋体" w:hAnsi="宋体" w:eastAsia="宋体" w:cs="宋体"/>
          <w:b/>
          <w:bCs/>
          <w:spacing w:val="8"/>
          <w:sz w:val="43"/>
          <w:szCs w:val="43"/>
        </w:rPr>
        <w:t>第二章</w:t>
      </w:r>
      <w:r>
        <w:rPr>
          <w:rFonts w:ascii="宋体" w:hAnsi="宋体" w:eastAsia="宋体" w:cs="宋体"/>
          <w:spacing w:val="8"/>
          <w:sz w:val="43"/>
          <w:szCs w:val="43"/>
        </w:rPr>
        <w:t xml:space="preserve">  </w:t>
      </w:r>
      <w:r>
        <w:rPr>
          <w:rFonts w:ascii="宋体" w:hAnsi="宋体" w:eastAsia="宋体" w:cs="宋体"/>
          <w:b/>
          <w:bCs/>
          <w:spacing w:val="8"/>
          <w:sz w:val="43"/>
          <w:szCs w:val="43"/>
        </w:rPr>
        <w:t>投标人须知</w:t>
      </w:r>
    </w:p>
    <w:p w14:paraId="17591AD6">
      <w:pPr>
        <w:pStyle w:val="2"/>
        <w:spacing w:line="257" w:lineRule="auto"/>
      </w:pPr>
    </w:p>
    <w:p w14:paraId="58738EF2">
      <w:pPr>
        <w:pStyle w:val="2"/>
        <w:spacing w:line="257" w:lineRule="auto"/>
      </w:pPr>
    </w:p>
    <w:p w14:paraId="584CD9B0">
      <w:pPr>
        <w:pStyle w:val="2"/>
        <w:spacing w:line="257" w:lineRule="auto"/>
      </w:pPr>
    </w:p>
    <w:p w14:paraId="270B7B2D">
      <w:pPr>
        <w:pStyle w:val="2"/>
        <w:spacing w:line="257" w:lineRule="auto"/>
      </w:pPr>
    </w:p>
    <w:p w14:paraId="3A2A922A">
      <w:pPr>
        <w:spacing w:before="100" w:line="221" w:lineRule="auto"/>
        <w:ind w:left="25"/>
        <w:outlineLvl w:val="1"/>
        <w:rPr>
          <w:rFonts w:ascii="黑体" w:hAnsi="黑体" w:eastAsia="黑体" w:cs="黑体"/>
          <w:sz w:val="31"/>
          <w:szCs w:val="31"/>
        </w:rPr>
      </w:pPr>
      <w:bookmarkStart w:id="4" w:name="bookmark622"/>
      <w:bookmarkEnd w:id="4"/>
      <w:r>
        <w:rPr>
          <w:rFonts w:ascii="黑体" w:hAnsi="黑体" w:eastAsia="黑体" w:cs="黑体"/>
          <w:b/>
          <w:bCs/>
          <w:spacing w:val="12"/>
          <w:sz w:val="31"/>
          <w:szCs w:val="31"/>
        </w:rPr>
        <w:t>投标人须知前附表</w:t>
      </w:r>
    </w:p>
    <w:p w14:paraId="41C34FE5">
      <w:pPr>
        <w:spacing w:before="107"/>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19753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952" w:type="dxa"/>
            <w:vAlign w:val="top"/>
          </w:tcPr>
          <w:p w14:paraId="691616DE">
            <w:pPr>
              <w:pStyle w:val="6"/>
              <w:spacing w:before="44" w:line="220" w:lineRule="auto"/>
              <w:ind w:left="129"/>
              <w:rPr>
                <w:sz w:val="21"/>
                <w:szCs w:val="21"/>
              </w:rPr>
            </w:pPr>
            <w:r>
              <w:rPr>
                <w:b/>
                <w:bCs/>
                <w:spacing w:val="4"/>
                <w:sz w:val="21"/>
                <w:szCs w:val="21"/>
              </w:rPr>
              <w:t>条款号</w:t>
            </w:r>
          </w:p>
        </w:tc>
        <w:tc>
          <w:tcPr>
            <w:tcW w:w="2084" w:type="dxa"/>
            <w:vAlign w:val="top"/>
          </w:tcPr>
          <w:p w14:paraId="795037EF">
            <w:pPr>
              <w:pStyle w:val="6"/>
              <w:spacing w:before="44" w:line="220" w:lineRule="auto"/>
              <w:ind w:left="604"/>
              <w:rPr>
                <w:sz w:val="21"/>
                <w:szCs w:val="21"/>
              </w:rPr>
            </w:pPr>
            <w:r>
              <w:rPr>
                <w:b/>
                <w:bCs/>
                <w:spacing w:val="6"/>
                <w:sz w:val="21"/>
                <w:szCs w:val="21"/>
              </w:rPr>
              <w:t>条款名称</w:t>
            </w:r>
          </w:p>
        </w:tc>
        <w:tc>
          <w:tcPr>
            <w:tcW w:w="5194" w:type="dxa"/>
            <w:vAlign w:val="top"/>
          </w:tcPr>
          <w:p w14:paraId="491665FA">
            <w:pPr>
              <w:pStyle w:val="6"/>
              <w:spacing w:before="44" w:line="220" w:lineRule="auto"/>
              <w:ind w:left="2155"/>
              <w:rPr>
                <w:sz w:val="21"/>
                <w:szCs w:val="21"/>
              </w:rPr>
            </w:pPr>
            <w:r>
              <w:rPr>
                <w:b/>
                <w:bCs/>
                <w:spacing w:val="6"/>
                <w:sz w:val="21"/>
                <w:szCs w:val="21"/>
              </w:rPr>
              <w:t>编列内容</w:t>
            </w:r>
          </w:p>
        </w:tc>
      </w:tr>
      <w:tr w14:paraId="0678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952" w:type="dxa"/>
            <w:vAlign w:val="top"/>
          </w:tcPr>
          <w:p w14:paraId="5AA65F2C">
            <w:pPr>
              <w:spacing w:line="304" w:lineRule="auto"/>
              <w:rPr>
                <w:rFonts w:ascii="Arial"/>
                <w:sz w:val="21"/>
              </w:rPr>
            </w:pPr>
          </w:p>
          <w:p w14:paraId="60FA8908">
            <w:pPr>
              <w:spacing w:line="304" w:lineRule="auto"/>
              <w:rPr>
                <w:rFonts w:ascii="Arial"/>
                <w:sz w:val="21"/>
              </w:rPr>
            </w:pPr>
          </w:p>
          <w:p w14:paraId="0F3624D0">
            <w:pPr>
              <w:spacing w:before="64" w:line="266" w:lineRule="exact"/>
              <w:ind w:left="257"/>
              <w:rPr>
                <w:rFonts w:ascii="Calibri" w:hAnsi="Calibri" w:eastAsia="Calibri" w:cs="Calibri"/>
                <w:sz w:val="21"/>
                <w:szCs w:val="21"/>
              </w:rPr>
            </w:pPr>
            <w:r>
              <w:rPr>
                <w:rFonts w:ascii="Calibri" w:hAnsi="Calibri" w:eastAsia="Calibri" w:cs="Calibri"/>
                <w:spacing w:val="-2"/>
                <w:position w:val="1"/>
                <w:sz w:val="21"/>
                <w:szCs w:val="21"/>
              </w:rPr>
              <w:t>1.1.2</w:t>
            </w:r>
          </w:p>
        </w:tc>
        <w:tc>
          <w:tcPr>
            <w:tcW w:w="2084" w:type="dxa"/>
            <w:vAlign w:val="top"/>
          </w:tcPr>
          <w:p w14:paraId="294DE031">
            <w:pPr>
              <w:spacing w:line="291" w:lineRule="auto"/>
              <w:rPr>
                <w:rFonts w:ascii="Arial"/>
                <w:sz w:val="21"/>
              </w:rPr>
            </w:pPr>
          </w:p>
          <w:p w14:paraId="0ED25ECC">
            <w:pPr>
              <w:spacing w:line="291" w:lineRule="auto"/>
              <w:rPr>
                <w:rFonts w:ascii="Arial"/>
                <w:sz w:val="21"/>
              </w:rPr>
            </w:pPr>
          </w:p>
          <w:p w14:paraId="22CFAD64">
            <w:pPr>
              <w:pStyle w:val="6"/>
              <w:spacing w:before="68" w:line="220" w:lineRule="auto"/>
              <w:ind w:left="723"/>
              <w:rPr>
                <w:sz w:val="21"/>
                <w:szCs w:val="21"/>
              </w:rPr>
            </w:pPr>
            <w:r>
              <w:rPr>
                <w:spacing w:val="-2"/>
                <w:sz w:val="21"/>
                <w:szCs w:val="21"/>
              </w:rPr>
              <w:t>招标人</w:t>
            </w:r>
          </w:p>
        </w:tc>
        <w:tc>
          <w:tcPr>
            <w:tcW w:w="5194" w:type="dxa"/>
            <w:vAlign w:val="top"/>
          </w:tcPr>
          <w:p w14:paraId="7954F388">
            <w:pPr>
              <w:pStyle w:val="6"/>
              <w:spacing w:before="37" w:line="219" w:lineRule="auto"/>
              <w:ind w:left="113"/>
              <w:rPr>
                <w:sz w:val="21"/>
                <w:szCs w:val="21"/>
              </w:rPr>
            </w:pPr>
            <w:r>
              <w:rPr>
                <w:spacing w:val="-1"/>
                <w:sz w:val="21"/>
                <w:szCs w:val="21"/>
              </w:rPr>
              <w:t>名称：</w:t>
            </w:r>
            <w:r>
              <w:rPr>
                <w:color w:val="0000FF"/>
                <w:spacing w:val="-1"/>
                <w:sz w:val="21"/>
                <w:szCs w:val="21"/>
              </w:rPr>
              <w:t>罗田县胜利镇韩塔寺村村民委员会</w:t>
            </w:r>
          </w:p>
          <w:p w14:paraId="1F8723C0">
            <w:pPr>
              <w:pStyle w:val="6"/>
              <w:spacing w:before="51" w:line="239" w:lineRule="auto"/>
              <w:ind w:left="111"/>
              <w:rPr>
                <w:sz w:val="21"/>
                <w:szCs w:val="21"/>
              </w:rPr>
            </w:pPr>
            <w:r>
              <w:rPr>
                <w:spacing w:val="-1"/>
                <w:sz w:val="21"/>
                <w:szCs w:val="21"/>
              </w:rPr>
              <w:t>地址：</w:t>
            </w:r>
            <w:r>
              <w:rPr>
                <w:color w:val="0000FF"/>
                <w:spacing w:val="-1"/>
                <w:sz w:val="21"/>
                <w:szCs w:val="21"/>
              </w:rPr>
              <w:t>罗田县胜利镇韩塔寺村</w:t>
            </w:r>
            <w:r>
              <w:rPr>
                <w:color w:val="0000FF"/>
                <w:spacing w:val="-36"/>
                <w:sz w:val="21"/>
                <w:szCs w:val="21"/>
              </w:rPr>
              <w:t xml:space="preserve"> </w:t>
            </w:r>
            <w:r>
              <w:rPr>
                <w:rFonts w:ascii="Calibri" w:hAnsi="Calibri" w:eastAsia="Calibri" w:cs="Calibri"/>
                <w:color w:val="0000FF"/>
                <w:spacing w:val="-1"/>
                <w:sz w:val="21"/>
                <w:szCs w:val="21"/>
              </w:rPr>
              <w:t>9</w:t>
            </w:r>
            <w:r>
              <w:rPr>
                <w:rFonts w:ascii="Calibri" w:hAnsi="Calibri" w:eastAsia="Calibri" w:cs="Calibri"/>
                <w:color w:val="0000FF"/>
                <w:spacing w:val="22"/>
                <w:sz w:val="21"/>
                <w:szCs w:val="21"/>
              </w:rPr>
              <w:t xml:space="preserve"> </w:t>
            </w:r>
            <w:r>
              <w:rPr>
                <w:color w:val="0000FF"/>
                <w:spacing w:val="-1"/>
                <w:sz w:val="21"/>
                <w:szCs w:val="21"/>
              </w:rPr>
              <w:t>组</w:t>
            </w:r>
          </w:p>
          <w:p w14:paraId="525DCFEA">
            <w:pPr>
              <w:pStyle w:val="6"/>
              <w:spacing w:before="43" w:line="220" w:lineRule="auto"/>
              <w:ind w:left="112"/>
              <w:rPr>
                <w:sz w:val="21"/>
                <w:szCs w:val="21"/>
              </w:rPr>
            </w:pPr>
            <w:r>
              <w:rPr>
                <w:spacing w:val="-1"/>
                <w:sz w:val="21"/>
                <w:szCs w:val="21"/>
              </w:rPr>
              <w:t>联系人：</w:t>
            </w:r>
            <w:r>
              <w:rPr>
                <w:color w:val="0000FF"/>
                <w:spacing w:val="-1"/>
                <w:sz w:val="21"/>
                <w:szCs w:val="21"/>
              </w:rPr>
              <w:t>方巧玲</w:t>
            </w:r>
          </w:p>
          <w:p w14:paraId="027191E9">
            <w:pPr>
              <w:pStyle w:val="6"/>
              <w:spacing w:before="64" w:line="242" w:lineRule="auto"/>
              <w:ind w:left="135"/>
              <w:rPr>
                <w:rFonts w:ascii="Calibri" w:hAnsi="Calibri" w:eastAsia="Calibri" w:cs="Calibri"/>
                <w:sz w:val="21"/>
                <w:szCs w:val="21"/>
              </w:rPr>
            </w:pPr>
            <w:r>
              <w:rPr>
                <w:spacing w:val="-4"/>
                <w:sz w:val="21"/>
                <w:szCs w:val="21"/>
              </w:rPr>
              <w:t>电话：</w:t>
            </w:r>
            <w:r>
              <w:rPr>
                <w:rFonts w:ascii="Calibri" w:hAnsi="Calibri" w:eastAsia="Calibri" w:cs="Calibri"/>
                <w:color w:val="0000FF"/>
                <w:spacing w:val="-4"/>
                <w:sz w:val="21"/>
                <w:szCs w:val="21"/>
              </w:rPr>
              <w:t>13986531966</w:t>
            </w:r>
          </w:p>
          <w:p w14:paraId="2C5584C2">
            <w:pPr>
              <w:pStyle w:val="6"/>
              <w:spacing w:before="41" w:line="232" w:lineRule="auto"/>
              <w:ind w:left="135"/>
              <w:rPr>
                <w:rFonts w:ascii="Calibri" w:hAnsi="Calibri" w:eastAsia="Calibri" w:cs="Calibri"/>
                <w:sz w:val="21"/>
                <w:szCs w:val="21"/>
              </w:rPr>
            </w:pPr>
            <w:r>
              <w:rPr>
                <w:spacing w:val="-6"/>
                <w:sz w:val="21"/>
                <w:szCs w:val="21"/>
              </w:rPr>
              <w:t>电子邮件：</w:t>
            </w:r>
            <w:r>
              <w:rPr>
                <w:rFonts w:ascii="Calibri" w:hAnsi="Calibri" w:eastAsia="Calibri" w:cs="Calibri"/>
                <w:color w:val="0000FF"/>
                <w:spacing w:val="-6"/>
                <w:sz w:val="21"/>
                <w:szCs w:val="21"/>
              </w:rPr>
              <w:t>/</w:t>
            </w:r>
          </w:p>
        </w:tc>
      </w:tr>
      <w:tr w14:paraId="0E28D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4" w:hRule="atLeast"/>
        </w:trPr>
        <w:tc>
          <w:tcPr>
            <w:tcW w:w="952" w:type="dxa"/>
            <w:vAlign w:val="top"/>
          </w:tcPr>
          <w:p w14:paraId="6E311E58">
            <w:pPr>
              <w:spacing w:line="305" w:lineRule="auto"/>
              <w:rPr>
                <w:rFonts w:ascii="Arial"/>
                <w:sz w:val="21"/>
              </w:rPr>
            </w:pPr>
          </w:p>
          <w:p w14:paraId="0BC298AB">
            <w:pPr>
              <w:spacing w:line="306" w:lineRule="auto"/>
              <w:rPr>
                <w:rFonts w:ascii="Arial"/>
                <w:sz w:val="21"/>
              </w:rPr>
            </w:pPr>
          </w:p>
          <w:p w14:paraId="6C0C8ACC">
            <w:pPr>
              <w:spacing w:before="64" w:line="264" w:lineRule="exact"/>
              <w:ind w:left="257"/>
              <w:rPr>
                <w:rFonts w:ascii="Calibri" w:hAnsi="Calibri" w:eastAsia="Calibri" w:cs="Calibri"/>
                <w:sz w:val="21"/>
                <w:szCs w:val="21"/>
              </w:rPr>
            </w:pPr>
            <w:r>
              <w:rPr>
                <w:rFonts w:ascii="Calibri" w:hAnsi="Calibri" w:eastAsia="Calibri" w:cs="Calibri"/>
                <w:spacing w:val="-2"/>
                <w:position w:val="1"/>
                <w:sz w:val="21"/>
                <w:szCs w:val="21"/>
              </w:rPr>
              <w:t>1.1.3</w:t>
            </w:r>
          </w:p>
        </w:tc>
        <w:tc>
          <w:tcPr>
            <w:tcW w:w="2084" w:type="dxa"/>
            <w:vAlign w:val="top"/>
          </w:tcPr>
          <w:p w14:paraId="660FA977">
            <w:pPr>
              <w:spacing w:line="291" w:lineRule="auto"/>
              <w:rPr>
                <w:rFonts w:ascii="Arial"/>
                <w:sz w:val="21"/>
              </w:rPr>
            </w:pPr>
          </w:p>
          <w:p w14:paraId="1D74D4BE">
            <w:pPr>
              <w:spacing w:line="292" w:lineRule="auto"/>
              <w:rPr>
                <w:rFonts w:ascii="Arial"/>
                <w:sz w:val="21"/>
              </w:rPr>
            </w:pPr>
          </w:p>
          <w:p w14:paraId="33A76671">
            <w:pPr>
              <w:pStyle w:val="6"/>
              <w:spacing w:before="69" w:line="219" w:lineRule="auto"/>
              <w:ind w:left="108"/>
              <w:rPr>
                <w:sz w:val="21"/>
                <w:szCs w:val="21"/>
              </w:rPr>
            </w:pPr>
            <w:r>
              <w:rPr>
                <w:spacing w:val="-1"/>
                <w:sz w:val="21"/>
                <w:szCs w:val="21"/>
              </w:rPr>
              <w:t>招标代理机构</w:t>
            </w:r>
          </w:p>
        </w:tc>
        <w:tc>
          <w:tcPr>
            <w:tcW w:w="5194" w:type="dxa"/>
            <w:vAlign w:val="top"/>
          </w:tcPr>
          <w:p w14:paraId="74897D31">
            <w:pPr>
              <w:pStyle w:val="6"/>
              <w:spacing w:before="25" w:line="219" w:lineRule="auto"/>
              <w:ind w:left="113"/>
              <w:rPr>
                <w:rFonts w:hint="eastAsia" w:eastAsia="宋体"/>
                <w:sz w:val="21"/>
                <w:szCs w:val="21"/>
                <w:lang w:eastAsia="zh-CN"/>
              </w:rPr>
            </w:pPr>
            <w:r>
              <w:rPr>
                <w:spacing w:val="-1"/>
                <w:sz w:val="21"/>
                <w:szCs w:val="21"/>
              </w:rPr>
              <w:t>名称：</w:t>
            </w:r>
            <w:r>
              <w:rPr>
                <w:rFonts w:hint="eastAsia"/>
                <w:color w:val="0000FF"/>
                <w:spacing w:val="-1"/>
                <w:sz w:val="21"/>
                <w:szCs w:val="21"/>
                <w:lang w:eastAsia="zh-CN"/>
              </w:rPr>
              <w:t>湖北宏顺项目管理有限公司</w:t>
            </w:r>
          </w:p>
          <w:p w14:paraId="7D63A594">
            <w:pPr>
              <w:pStyle w:val="6"/>
              <w:spacing w:before="66" w:line="239" w:lineRule="auto"/>
              <w:ind w:left="111"/>
              <w:rPr>
                <w:rFonts w:hint="default" w:ascii="Calibri" w:hAnsi="Calibri" w:eastAsia="宋体" w:cs="Calibri"/>
                <w:sz w:val="21"/>
                <w:szCs w:val="21"/>
                <w:lang w:val="en-US" w:eastAsia="zh-CN"/>
              </w:rPr>
            </w:pPr>
            <w:r>
              <w:rPr>
                <w:spacing w:val="-1"/>
                <w:sz w:val="21"/>
                <w:szCs w:val="21"/>
              </w:rPr>
              <w:t>地址</w:t>
            </w:r>
            <w:r>
              <w:rPr>
                <w:rFonts w:ascii="Calibri" w:hAnsi="Calibri" w:eastAsia="Calibri" w:cs="Calibri"/>
                <w:spacing w:val="-1"/>
                <w:sz w:val="21"/>
                <w:szCs w:val="21"/>
              </w:rPr>
              <w:t>:</w:t>
            </w:r>
            <w:r>
              <w:rPr>
                <w:color w:val="0000FF"/>
                <w:spacing w:val="-1"/>
                <w:sz w:val="21"/>
                <w:szCs w:val="21"/>
              </w:rPr>
              <w:t>罗田县凤山镇</w:t>
            </w:r>
            <w:r>
              <w:rPr>
                <w:rFonts w:hint="eastAsia"/>
                <w:color w:val="0000FF"/>
                <w:spacing w:val="-1"/>
                <w:sz w:val="21"/>
                <w:szCs w:val="21"/>
                <w:lang w:val="en-US" w:eastAsia="zh-CN"/>
              </w:rPr>
              <w:t>阳光尚城</w:t>
            </w:r>
          </w:p>
          <w:p w14:paraId="207F33DD">
            <w:pPr>
              <w:pStyle w:val="6"/>
              <w:spacing w:before="42" w:line="220" w:lineRule="auto"/>
              <w:ind w:left="112"/>
              <w:rPr>
                <w:rFonts w:hint="eastAsia" w:eastAsia="宋体"/>
                <w:sz w:val="21"/>
                <w:szCs w:val="21"/>
                <w:lang w:val="en-US" w:eastAsia="zh-CN"/>
              </w:rPr>
            </w:pPr>
            <w:r>
              <w:rPr>
                <w:spacing w:val="-1"/>
                <w:sz w:val="21"/>
                <w:szCs w:val="21"/>
              </w:rPr>
              <w:t>联系人：</w:t>
            </w:r>
            <w:r>
              <w:rPr>
                <w:rFonts w:hint="eastAsia"/>
                <w:spacing w:val="-1"/>
                <w:sz w:val="21"/>
                <w:szCs w:val="21"/>
                <w:lang w:val="en-US" w:eastAsia="zh-CN"/>
              </w:rPr>
              <w:t>方鉴</w:t>
            </w:r>
          </w:p>
          <w:p w14:paraId="56D4549C">
            <w:pPr>
              <w:pStyle w:val="6"/>
              <w:spacing w:before="65" w:line="242" w:lineRule="auto"/>
              <w:ind w:left="135"/>
              <w:rPr>
                <w:rFonts w:hint="default" w:ascii="Calibri" w:hAnsi="Calibri" w:eastAsia="宋体" w:cs="Calibri"/>
                <w:sz w:val="21"/>
                <w:szCs w:val="21"/>
                <w:lang w:val="en-US" w:eastAsia="zh-CN"/>
              </w:rPr>
            </w:pPr>
            <w:r>
              <w:rPr>
                <w:spacing w:val="-4"/>
                <w:sz w:val="21"/>
                <w:szCs w:val="21"/>
              </w:rPr>
              <w:t>电话：</w:t>
            </w:r>
            <w:r>
              <w:rPr>
                <w:rFonts w:ascii="Calibri" w:hAnsi="Calibri" w:eastAsia="Calibri" w:cs="Calibri"/>
                <w:color w:val="0000FF"/>
                <w:spacing w:val="-4"/>
                <w:sz w:val="21"/>
                <w:szCs w:val="21"/>
              </w:rPr>
              <w:t>1</w:t>
            </w:r>
            <w:r>
              <w:rPr>
                <w:rFonts w:hint="eastAsia" w:ascii="Calibri" w:hAnsi="Calibri" w:cs="Calibri"/>
                <w:color w:val="0000FF"/>
                <w:spacing w:val="-4"/>
                <w:sz w:val="21"/>
                <w:szCs w:val="21"/>
                <w:lang w:val="en-US" w:eastAsia="zh-CN"/>
              </w:rPr>
              <w:t>7572365821</w:t>
            </w:r>
          </w:p>
          <w:p w14:paraId="2715C1EE">
            <w:pPr>
              <w:pStyle w:val="6"/>
              <w:spacing w:before="24" w:line="226" w:lineRule="auto"/>
              <w:ind w:left="135"/>
              <w:rPr>
                <w:rFonts w:ascii="Calibri" w:hAnsi="Calibri" w:eastAsia="Calibri" w:cs="Calibri"/>
                <w:sz w:val="21"/>
                <w:szCs w:val="21"/>
              </w:rPr>
            </w:pPr>
            <w:r>
              <w:rPr>
                <w:spacing w:val="-2"/>
                <w:sz w:val="21"/>
                <w:szCs w:val="21"/>
              </w:rPr>
              <w:t>电子邮件</w:t>
            </w:r>
            <w:r>
              <w:rPr>
                <w:rFonts w:ascii="Calibri" w:hAnsi="Calibri" w:eastAsia="Calibri" w:cs="Calibri"/>
                <w:spacing w:val="-2"/>
                <w:sz w:val="21"/>
                <w:szCs w:val="21"/>
              </w:rPr>
              <w:t>:</w:t>
            </w:r>
            <w:r>
              <w:fldChar w:fldCharType="begin"/>
            </w:r>
            <w:r>
              <w:instrText xml:space="preserve"> HYPERLINK "1158250544@qq.com" </w:instrText>
            </w:r>
            <w:r>
              <w:fldChar w:fldCharType="separate"/>
            </w:r>
            <w:r>
              <w:rPr>
                <w:rFonts w:hint="eastAsia" w:ascii="Calibri" w:hAnsi="Calibri" w:cs="Calibri"/>
                <w:color w:val="0000FF"/>
                <w:spacing w:val="-2"/>
                <w:sz w:val="21"/>
                <w:szCs w:val="21"/>
                <w:lang w:val="en-US" w:eastAsia="zh-CN"/>
              </w:rPr>
              <w:t>226396573</w:t>
            </w:r>
            <w:r>
              <w:rPr>
                <w:rFonts w:ascii="Calibri" w:hAnsi="Calibri" w:eastAsia="Calibri" w:cs="Calibri"/>
                <w:color w:val="0000FF"/>
                <w:spacing w:val="-2"/>
                <w:sz w:val="21"/>
                <w:szCs w:val="21"/>
              </w:rPr>
              <w:t>@qq.com</w:t>
            </w:r>
            <w:r>
              <w:rPr>
                <w:rFonts w:ascii="Calibri" w:hAnsi="Calibri" w:eastAsia="Calibri" w:cs="Calibri"/>
                <w:color w:val="0000FF"/>
                <w:spacing w:val="-2"/>
                <w:sz w:val="21"/>
                <w:szCs w:val="21"/>
              </w:rPr>
              <w:fldChar w:fldCharType="end"/>
            </w:r>
          </w:p>
        </w:tc>
      </w:tr>
      <w:tr w14:paraId="54BEA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952" w:type="dxa"/>
            <w:vAlign w:val="top"/>
          </w:tcPr>
          <w:p w14:paraId="6CDB6FD1">
            <w:pPr>
              <w:spacing w:before="65" w:line="223" w:lineRule="auto"/>
              <w:ind w:left="257"/>
              <w:rPr>
                <w:rFonts w:ascii="Calibri" w:hAnsi="Calibri" w:eastAsia="Calibri" w:cs="Calibri"/>
                <w:sz w:val="21"/>
                <w:szCs w:val="21"/>
              </w:rPr>
            </w:pPr>
            <w:r>
              <w:rPr>
                <w:rFonts w:ascii="Calibri" w:hAnsi="Calibri" w:eastAsia="Calibri" w:cs="Calibri"/>
                <w:spacing w:val="-2"/>
                <w:sz w:val="21"/>
                <w:szCs w:val="21"/>
              </w:rPr>
              <w:t>1.1.4</w:t>
            </w:r>
          </w:p>
        </w:tc>
        <w:tc>
          <w:tcPr>
            <w:tcW w:w="2084" w:type="dxa"/>
            <w:vAlign w:val="top"/>
          </w:tcPr>
          <w:p w14:paraId="5C7E63CF">
            <w:pPr>
              <w:pStyle w:val="6"/>
              <w:spacing w:before="43" w:line="220" w:lineRule="auto"/>
              <w:ind w:left="621"/>
              <w:rPr>
                <w:sz w:val="21"/>
                <w:szCs w:val="21"/>
              </w:rPr>
            </w:pPr>
            <w:r>
              <w:rPr>
                <w:spacing w:val="-2"/>
                <w:sz w:val="21"/>
                <w:szCs w:val="21"/>
              </w:rPr>
              <w:t>项目名称</w:t>
            </w:r>
          </w:p>
        </w:tc>
        <w:tc>
          <w:tcPr>
            <w:tcW w:w="5194" w:type="dxa"/>
            <w:vAlign w:val="top"/>
          </w:tcPr>
          <w:p w14:paraId="320F9EFB">
            <w:pPr>
              <w:pStyle w:val="6"/>
              <w:spacing w:before="42" w:line="219" w:lineRule="auto"/>
              <w:ind w:left="112"/>
              <w:rPr>
                <w:rFonts w:hint="eastAsia" w:eastAsia="宋体"/>
                <w:sz w:val="21"/>
                <w:szCs w:val="21"/>
                <w:lang w:eastAsia="zh-CN"/>
              </w:rPr>
            </w:pPr>
            <w:r>
              <w:rPr>
                <w:rFonts w:hint="eastAsia"/>
                <w:color w:val="0000FF"/>
                <w:sz w:val="21"/>
                <w:szCs w:val="21"/>
                <w:lang w:eastAsia="zh-CN"/>
              </w:rPr>
              <w:t>罗田县胜利镇韩塔寺村集装袋生产项目(二期）工程</w:t>
            </w:r>
          </w:p>
        </w:tc>
      </w:tr>
      <w:tr w14:paraId="64962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52" w:type="dxa"/>
            <w:vAlign w:val="top"/>
          </w:tcPr>
          <w:p w14:paraId="05778B1A">
            <w:pPr>
              <w:spacing w:before="52" w:line="222" w:lineRule="auto"/>
              <w:ind w:left="257"/>
              <w:rPr>
                <w:rFonts w:ascii="Calibri" w:hAnsi="Calibri" w:eastAsia="Calibri" w:cs="Calibri"/>
                <w:sz w:val="21"/>
                <w:szCs w:val="21"/>
              </w:rPr>
            </w:pPr>
            <w:r>
              <w:rPr>
                <w:rFonts w:ascii="Calibri" w:hAnsi="Calibri" w:eastAsia="Calibri" w:cs="Calibri"/>
                <w:spacing w:val="-2"/>
                <w:sz w:val="21"/>
                <w:szCs w:val="21"/>
              </w:rPr>
              <w:t>1.1.5</w:t>
            </w:r>
          </w:p>
        </w:tc>
        <w:tc>
          <w:tcPr>
            <w:tcW w:w="2084" w:type="dxa"/>
            <w:vAlign w:val="top"/>
          </w:tcPr>
          <w:p w14:paraId="7D5559D9">
            <w:pPr>
              <w:pStyle w:val="6"/>
              <w:spacing w:before="29" w:line="221" w:lineRule="auto"/>
              <w:ind w:left="620"/>
              <w:rPr>
                <w:sz w:val="21"/>
                <w:szCs w:val="21"/>
              </w:rPr>
            </w:pPr>
            <w:r>
              <w:rPr>
                <w:spacing w:val="-2"/>
                <w:sz w:val="21"/>
                <w:szCs w:val="21"/>
              </w:rPr>
              <w:t>建设地点</w:t>
            </w:r>
          </w:p>
        </w:tc>
        <w:tc>
          <w:tcPr>
            <w:tcW w:w="5194" w:type="dxa"/>
            <w:vAlign w:val="top"/>
          </w:tcPr>
          <w:p w14:paraId="7B9F2AEA">
            <w:pPr>
              <w:pStyle w:val="6"/>
              <w:spacing w:before="29" w:line="220" w:lineRule="auto"/>
              <w:ind w:left="112"/>
              <w:rPr>
                <w:sz w:val="21"/>
                <w:szCs w:val="21"/>
              </w:rPr>
            </w:pPr>
            <w:r>
              <w:rPr>
                <w:color w:val="0000FF"/>
                <w:spacing w:val="-2"/>
                <w:sz w:val="21"/>
                <w:szCs w:val="21"/>
              </w:rPr>
              <w:t>罗田县胜利镇</w:t>
            </w:r>
          </w:p>
        </w:tc>
      </w:tr>
      <w:tr w14:paraId="6C4E5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2" w:type="dxa"/>
            <w:vAlign w:val="top"/>
          </w:tcPr>
          <w:p w14:paraId="65F955AE">
            <w:pPr>
              <w:spacing w:before="67" w:line="222" w:lineRule="auto"/>
              <w:ind w:left="257"/>
              <w:rPr>
                <w:rFonts w:ascii="Calibri" w:hAnsi="Calibri" w:eastAsia="Calibri" w:cs="Calibri"/>
                <w:sz w:val="21"/>
                <w:szCs w:val="21"/>
              </w:rPr>
            </w:pPr>
            <w:r>
              <w:rPr>
                <w:rFonts w:ascii="Calibri" w:hAnsi="Calibri" w:eastAsia="Calibri" w:cs="Calibri"/>
                <w:spacing w:val="-2"/>
                <w:sz w:val="21"/>
                <w:szCs w:val="21"/>
              </w:rPr>
              <w:t>1.1.6</w:t>
            </w:r>
          </w:p>
        </w:tc>
        <w:tc>
          <w:tcPr>
            <w:tcW w:w="2084" w:type="dxa"/>
            <w:vAlign w:val="top"/>
          </w:tcPr>
          <w:p w14:paraId="200045C1">
            <w:pPr>
              <w:pStyle w:val="6"/>
              <w:spacing w:before="44" w:line="221" w:lineRule="auto"/>
              <w:ind w:left="726"/>
              <w:rPr>
                <w:sz w:val="21"/>
                <w:szCs w:val="21"/>
              </w:rPr>
            </w:pPr>
            <w:r>
              <w:rPr>
                <w:spacing w:val="-3"/>
                <w:sz w:val="21"/>
                <w:szCs w:val="21"/>
              </w:rPr>
              <w:t>设计人</w:t>
            </w:r>
          </w:p>
        </w:tc>
        <w:tc>
          <w:tcPr>
            <w:tcW w:w="5194" w:type="dxa"/>
            <w:vAlign w:val="top"/>
          </w:tcPr>
          <w:p w14:paraId="4B3907E7">
            <w:pPr>
              <w:spacing w:before="67" w:line="222" w:lineRule="auto"/>
              <w:ind w:left="103"/>
              <w:rPr>
                <w:rFonts w:ascii="Calibri" w:hAnsi="Calibri" w:eastAsia="Calibri" w:cs="Calibri"/>
                <w:sz w:val="21"/>
                <w:szCs w:val="21"/>
              </w:rPr>
            </w:pPr>
            <w:r>
              <w:rPr>
                <w:rFonts w:ascii="Calibri" w:hAnsi="Calibri" w:eastAsia="Calibri" w:cs="Calibri"/>
                <w:color w:val="0000FF"/>
                <w:sz w:val="21"/>
                <w:szCs w:val="21"/>
              </w:rPr>
              <w:t>/</w:t>
            </w:r>
          </w:p>
        </w:tc>
      </w:tr>
      <w:tr w14:paraId="379FF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52" w:type="dxa"/>
            <w:vAlign w:val="top"/>
          </w:tcPr>
          <w:p w14:paraId="5FCD3F64">
            <w:pPr>
              <w:spacing w:before="52" w:line="222" w:lineRule="auto"/>
              <w:ind w:left="257"/>
              <w:rPr>
                <w:rFonts w:ascii="Calibri" w:hAnsi="Calibri" w:eastAsia="Calibri" w:cs="Calibri"/>
                <w:sz w:val="21"/>
                <w:szCs w:val="21"/>
              </w:rPr>
            </w:pPr>
            <w:r>
              <w:rPr>
                <w:rFonts w:ascii="Calibri" w:hAnsi="Calibri" w:eastAsia="Calibri" w:cs="Calibri"/>
                <w:spacing w:val="-2"/>
                <w:sz w:val="21"/>
                <w:szCs w:val="21"/>
              </w:rPr>
              <w:t>1.1.7</w:t>
            </w:r>
          </w:p>
        </w:tc>
        <w:tc>
          <w:tcPr>
            <w:tcW w:w="2084" w:type="dxa"/>
            <w:vAlign w:val="top"/>
          </w:tcPr>
          <w:p w14:paraId="109E5E65">
            <w:pPr>
              <w:pStyle w:val="6"/>
              <w:spacing w:before="30" w:line="222" w:lineRule="auto"/>
              <w:ind w:left="723"/>
              <w:rPr>
                <w:sz w:val="21"/>
                <w:szCs w:val="21"/>
              </w:rPr>
            </w:pPr>
            <w:r>
              <w:rPr>
                <w:spacing w:val="-2"/>
                <w:sz w:val="21"/>
                <w:szCs w:val="21"/>
              </w:rPr>
              <w:t>监理人</w:t>
            </w:r>
          </w:p>
        </w:tc>
        <w:tc>
          <w:tcPr>
            <w:tcW w:w="5194" w:type="dxa"/>
            <w:vAlign w:val="top"/>
          </w:tcPr>
          <w:p w14:paraId="1C11C67F">
            <w:pPr>
              <w:spacing w:before="52" w:line="222" w:lineRule="auto"/>
              <w:ind w:left="103"/>
              <w:rPr>
                <w:rFonts w:ascii="Calibri" w:hAnsi="Calibri" w:eastAsia="Calibri" w:cs="Calibri"/>
                <w:sz w:val="21"/>
                <w:szCs w:val="21"/>
              </w:rPr>
            </w:pPr>
            <w:r>
              <w:rPr>
                <w:rFonts w:ascii="Calibri" w:hAnsi="Calibri" w:eastAsia="Calibri" w:cs="Calibri"/>
                <w:color w:val="0000FF"/>
                <w:sz w:val="21"/>
                <w:szCs w:val="21"/>
              </w:rPr>
              <w:t>/</w:t>
            </w:r>
          </w:p>
        </w:tc>
      </w:tr>
      <w:tr w14:paraId="62193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2" w:type="dxa"/>
            <w:vAlign w:val="top"/>
          </w:tcPr>
          <w:p w14:paraId="652FCEB9">
            <w:pPr>
              <w:spacing w:before="67" w:line="222" w:lineRule="auto"/>
              <w:ind w:left="257"/>
              <w:rPr>
                <w:rFonts w:ascii="Calibri" w:hAnsi="Calibri" w:eastAsia="Calibri" w:cs="Calibri"/>
                <w:sz w:val="21"/>
                <w:szCs w:val="21"/>
              </w:rPr>
            </w:pPr>
            <w:r>
              <w:rPr>
                <w:rFonts w:ascii="Calibri" w:hAnsi="Calibri" w:eastAsia="Calibri" w:cs="Calibri"/>
                <w:spacing w:val="-2"/>
                <w:sz w:val="21"/>
                <w:szCs w:val="21"/>
              </w:rPr>
              <w:t>1.1.8</w:t>
            </w:r>
          </w:p>
        </w:tc>
        <w:tc>
          <w:tcPr>
            <w:tcW w:w="2084" w:type="dxa"/>
            <w:vAlign w:val="top"/>
          </w:tcPr>
          <w:p w14:paraId="4C6244E8">
            <w:pPr>
              <w:pStyle w:val="6"/>
              <w:spacing w:before="44" w:line="220" w:lineRule="auto"/>
              <w:ind w:left="722"/>
              <w:rPr>
                <w:sz w:val="21"/>
                <w:szCs w:val="21"/>
              </w:rPr>
            </w:pPr>
            <w:r>
              <w:rPr>
                <w:spacing w:val="-2"/>
                <w:sz w:val="21"/>
                <w:szCs w:val="21"/>
              </w:rPr>
              <w:t>代建人</w:t>
            </w:r>
          </w:p>
        </w:tc>
        <w:tc>
          <w:tcPr>
            <w:tcW w:w="5194" w:type="dxa"/>
            <w:vAlign w:val="top"/>
          </w:tcPr>
          <w:p w14:paraId="5BD3B31A">
            <w:pPr>
              <w:spacing w:before="67" w:line="222" w:lineRule="auto"/>
              <w:ind w:left="103"/>
              <w:rPr>
                <w:rFonts w:ascii="Calibri" w:hAnsi="Calibri" w:eastAsia="Calibri" w:cs="Calibri"/>
                <w:sz w:val="21"/>
                <w:szCs w:val="21"/>
              </w:rPr>
            </w:pPr>
            <w:r>
              <w:rPr>
                <w:rFonts w:ascii="Calibri" w:hAnsi="Calibri" w:eastAsia="Calibri" w:cs="Calibri"/>
                <w:color w:val="0000FF"/>
                <w:sz w:val="21"/>
                <w:szCs w:val="21"/>
              </w:rPr>
              <w:t>/</w:t>
            </w:r>
          </w:p>
        </w:tc>
      </w:tr>
      <w:tr w14:paraId="3BA4A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52" w:type="dxa"/>
            <w:vAlign w:val="top"/>
          </w:tcPr>
          <w:p w14:paraId="294A37E0">
            <w:pPr>
              <w:spacing w:before="53" w:line="221" w:lineRule="auto"/>
              <w:ind w:left="257"/>
              <w:rPr>
                <w:rFonts w:ascii="Calibri" w:hAnsi="Calibri" w:eastAsia="Calibri" w:cs="Calibri"/>
                <w:sz w:val="21"/>
                <w:szCs w:val="21"/>
              </w:rPr>
            </w:pPr>
            <w:r>
              <w:rPr>
                <w:rFonts w:ascii="Calibri" w:hAnsi="Calibri" w:eastAsia="Calibri" w:cs="Calibri"/>
                <w:spacing w:val="-2"/>
                <w:sz w:val="21"/>
                <w:szCs w:val="21"/>
              </w:rPr>
              <w:t>1.2.1</w:t>
            </w:r>
          </w:p>
        </w:tc>
        <w:tc>
          <w:tcPr>
            <w:tcW w:w="2084" w:type="dxa"/>
            <w:vAlign w:val="top"/>
          </w:tcPr>
          <w:p w14:paraId="08571AA8">
            <w:pPr>
              <w:pStyle w:val="6"/>
              <w:spacing w:before="30" w:line="220" w:lineRule="auto"/>
              <w:ind w:left="627"/>
              <w:rPr>
                <w:sz w:val="21"/>
                <w:szCs w:val="21"/>
              </w:rPr>
            </w:pPr>
            <w:r>
              <w:rPr>
                <w:spacing w:val="-3"/>
                <w:sz w:val="21"/>
                <w:szCs w:val="21"/>
              </w:rPr>
              <w:t>资金来源</w:t>
            </w:r>
          </w:p>
        </w:tc>
        <w:tc>
          <w:tcPr>
            <w:tcW w:w="5194" w:type="dxa"/>
            <w:vAlign w:val="top"/>
          </w:tcPr>
          <w:p w14:paraId="5BFBFA36">
            <w:pPr>
              <w:pStyle w:val="6"/>
              <w:spacing w:before="30" w:line="220" w:lineRule="auto"/>
              <w:ind w:left="112"/>
              <w:rPr>
                <w:sz w:val="21"/>
                <w:szCs w:val="21"/>
              </w:rPr>
            </w:pPr>
            <w:r>
              <w:rPr>
                <w:color w:val="0000FF"/>
                <w:spacing w:val="-2"/>
                <w:sz w:val="21"/>
                <w:szCs w:val="21"/>
              </w:rPr>
              <w:t>财政补助</w:t>
            </w:r>
          </w:p>
        </w:tc>
      </w:tr>
      <w:tr w14:paraId="5341D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2" w:type="dxa"/>
            <w:vAlign w:val="top"/>
          </w:tcPr>
          <w:p w14:paraId="69884124">
            <w:pPr>
              <w:spacing w:before="68" w:line="221" w:lineRule="auto"/>
              <w:ind w:left="257"/>
              <w:rPr>
                <w:rFonts w:ascii="Calibri" w:hAnsi="Calibri" w:eastAsia="Calibri" w:cs="Calibri"/>
                <w:sz w:val="21"/>
                <w:szCs w:val="21"/>
              </w:rPr>
            </w:pPr>
            <w:r>
              <w:rPr>
                <w:rFonts w:ascii="Calibri" w:hAnsi="Calibri" w:eastAsia="Calibri" w:cs="Calibri"/>
                <w:spacing w:val="-2"/>
                <w:sz w:val="21"/>
                <w:szCs w:val="21"/>
              </w:rPr>
              <w:t>1.2.2</w:t>
            </w:r>
          </w:p>
        </w:tc>
        <w:tc>
          <w:tcPr>
            <w:tcW w:w="2084" w:type="dxa"/>
            <w:vAlign w:val="top"/>
          </w:tcPr>
          <w:p w14:paraId="0A158772">
            <w:pPr>
              <w:pStyle w:val="6"/>
              <w:spacing w:before="45" w:line="221" w:lineRule="auto"/>
              <w:ind w:left="636"/>
              <w:rPr>
                <w:sz w:val="21"/>
                <w:szCs w:val="21"/>
              </w:rPr>
            </w:pPr>
            <w:r>
              <w:rPr>
                <w:spacing w:val="-5"/>
                <w:sz w:val="21"/>
                <w:szCs w:val="21"/>
              </w:rPr>
              <w:t>出资比例</w:t>
            </w:r>
          </w:p>
        </w:tc>
        <w:tc>
          <w:tcPr>
            <w:tcW w:w="5194" w:type="dxa"/>
            <w:vAlign w:val="top"/>
          </w:tcPr>
          <w:p w14:paraId="0068CBB5">
            <w:pPr>
              <w:spacing w:before="68" w:line="221" w:lineRule="auto"/>
              <w:ind w:left="120"/>
              <w:rPr>
                <w:rFonts w:ascii="Calibri" w:hAnsi="Calibri" w:eastAsia="Calibri" w:cs="Calibri"/>
                <w:sz w:val="21"/>
                <w:szCs w:val="21"/>
              </w:rPr>
            </w:pPr>
            <w:r>
              <w:rPr>
                <w:rFonts w:ascii="Calibri" w:hAnsi="Calibri" w:eastAsia="Calibri" w:cs="Calibri"/>
                <w:color w:val="0000FF"/>
                <w:spacing w:val="-6"/>
                <w:sz w:val="21"/>
                <w:szCs w:val="21"/>
              </w:rPr>
              <w:t>100%</w:t>
            </w:r>
          </w:p>
        </w:tc>
      </w:tr>
      <w:tr w14:paraId="728E6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52" w:type="dxa"/>
            <w:vAlign w:val="top"/>
          </w:tcPr>
          <w:p w14:paraId="65A519A7">
            <w:pPr>
              <w:spacing w:before="53" w:line="221" w:lineRule="auto"/>
              <w:ind w:left="257"/>
              <w:rPr>
                <w:rFonts w:ascii="Calibri" w:hAnsi="Calibri" w:eastAsia="Calibri" w:cs="Calibri"/>
                <w:sz w:val="21"/>
                <w:szCs w:val="21"/>
              </w:rPr>
            </w:pPr>
            <w:r>
              <w:rPr>
                <w:rFonts w:ascii="Calibri" w:hAnsi="Calibri" w:eastAsia="Calibri" w:cs="Calibri"/>
                <w:spacing w:val="-2"/>
                <w:sz w:val="21"/>
                <w:szCs w:val="21"/>
              </w:rPr>
              <w:t>1.2.3</w:t>
            </w:r>
          </w:p>
        </w:tc>
        <w:tc>
          <w:tcPr>
            <w:tcW w:w="2084" w:type="dxa"/>
            <w:vAlign w:val="top"/>
          </w:tcPr>
          <w:p w14:paraId="0E65C32D">
            <w:pPr>
              <w:pStyle w:val="6"/>
              <w:spacing w:before="31" w:line="220" w:lineRule="auto"/>
              <w:ind w:left="416"/>
              <w:rPr>
                <w:sz w:val="21"/>
                <w:szCs w:val="21"/>
              </w:rPr>
            </w:pPr>
            <w:r>
              <w:rPr>
                <w:spacing w:val="-3"/>
                <w:sz w:val="21"/>
                <w:szCs w:val="21"/>
              </w:rPr>
              <w:t>资金落实情况</w:t>
            </w:r>
          </w:p>
        </w:tc>
        <w:tc>
          <w:tcPr>
            <w:tcW w:w="5194" w:type="dxa"/>
            <w:vAlign w:val="top"/>
          </w:tcPr>
          <w:p w14:paraId="0FDD2C14">
            <w:pPr>
              <w:pStyle w:val="6"/>
              <w:spacing w:before="31" w:line="220" w:lineRule="auto"/>
              <w:ind w:left="134"/>
              <w:rPr>
                <w:sz w:val="21"/>
                <w:szCs w:val="21"/>
              </w:rPr>
            </w:pPr>
            <w:r>
              <w:rPr>
                <w:color w:val="0000FF"/>
                <w:spacing w:val="-7"/>
                <w:sz w:val="21"/>
                <w:szCs w:val="21"/>
              </w:rPr>
              <w:t>已落实</w:t>
            </w:r>
          </w:p>
        </w:tc>
      </w:tr>
      <w:tr w14:paraId="6C382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952" w:type="dxa"/>
            <w:vAlign w:val="top"/>
          </w:tcPr>
          <w:p w14:paraId="323B0079">
            <w:pPr>
              <w:spacing w:line="467" w:lineRule="auto"/>
              <w:rPr>
                <w:rFonts w:ascii="Arial"/>
                <w:sz w:val="21"/>
              </w:rPr>
            </w:pPr>
          </w:p>
          <w:p w14:paraId="3009BA26">
            <w:pPr>
              <w:spacing w:before="64" w:line="266" w:lineRule="exact"/>
              <w:ind w:left="257"/>
              <w:rPr>
                <w:rFonts w:ascii="Calibri" w:hAnsi="Calibri" w:eastAsia="Calibri" w:cs="Calibri"/>
                <w:sz w:val="21"/>
                <w:szCs w:val="21"/>
              </w:rPr>
            </w:pPr>
            <w:r>
              <w:rPr>
                <w:rFonts w:ascii="Calibri" w:hAnsi="Calibri" w:eastAsia="Calibri" w:cs="Calibri"/>
                <w:spacing w:val="-2"/>
                <w:position w:val="1"/>
                <w:sz w:val="21"/>
                <w:szCs w:val="21"/>
              </w:rPr>
              <w:t>1.2.4</w:t>
            </w:r>
          </w:p>
        </w:tc>
        <w:tc>
          <w:tcPr>
            <w:tcW w:w="2084" w:type="dxa"/>
            <w:vAlign w:val="top"/>
          </w:tcPr>
          <w:p w14:paraId="69CC8A42">
            <w:pPr>
              <w:spacing w:line="440" w:lineRule="auto"/>
              <w:rPr>
                <w:rFonts w:ascii="Arial"/>
                <w:sz w:val="21"/>
              </w:rPr>
            </w:pPr>
          </w:p>
          <w:p w14:paraId="4E0637DD">
            <w:pPr>
              <w:pStyle w:val="6"/>
              <w:spacing w:before="69" w:line="220" w:lineRule="auto"/>
              <w:ind w:left="621"/>
              <w:rPr>
                <w:sz w:val="21"/>
                <w:szCs w:val="21"/>
              </w:rPr>
            </w:pPr>
            <w:r>
              <w:rPr>
                <w:spacing w:val="-2"/>
                <w:sz w:val="21"/>
                <w:szCs w:val="21"/>
              </w:rPr>
              <w:t>项目性质</w:t>
            </w:r>
          </w:p>
        </w:tc>
        <w:tc>
          <w:tcPr>
            <w:tcW w:w="5194" w:type="dxa"/>
            <w:vAlign w:val="top"/>
          </w:tcPr>
          <w:p w14:paraId="77E72078">
            <w:pPr>
              <w:pStyle w:val="6"/>
              <w:spacing w:before="45" w:line="265" w:lineRule="auto"/>
              <w:ind w:left="112" w:right="55" w:firstLine="19"/>
              <w:jc w:val="both"/>
              <w:rPr>
                <w:sz w:val="21"/>
                <w:szCs w:val="21"/>
              </w:rPr>
            </w:pPr>
            <w:r>
              <w:rPr>
                <w:color w:val="0000FF"/>
                <w:spacing w:val="-2"/>
                <w:sz w:val="21"/>
                <w:szCs w:val="21"/>
              </w:rPr>
              <w:t>□</w:t>
            </w:r>
            <w:r>
              <w:rPr>
                <w:spacing w:val="-2"/>
                <w:sz w:val="21"/>
                <w:szCs w:val="21"/>
              </w:rPr>
              <w:t>本项目不属于政府采购工程，不执行政府采购</w:t>
            </w:r>
            <w:r>
              <w:rPr>
                <w:spacing w:val="-3"/>
                <w:sz w:val="21"/>
                <w:szCs w:val="21"/>
              </w:rPr>
              <w:t>政策。</w:t>
            </w:r>
            <w:r>
              <w:rPr>
                <w:sz w:val="21"/>
                <w:szCs w:val="21"/>
              </w:rPr>
              <w:t xml:space="preserve"> </w:t>
            </w:r>
            <w:r>
              <w:rPr>
                <w:rFonts w:ascii="Segoe UI Symbol" w:hAnsi="Segoe UI Symbol" w:eastAsia="Segoe UI Symbol" w:cs="Segoe UI Symbol"/>
                <w:color w:val="0000FF"/>
                <w:spacing w:val="-2"/>
                <w:sz w:val="21"/>
                <w:szCs w:val="21"/>
              </w:rPr>
              <w:t>☑</w:t>
            </w:r>
            <w:r>
              <w:rPr>
                <w:spacing w:val="-2"/>
                <w:sz w:val="21"/>
                <w:szCs w:val="21"/>
              </w:rPr>
              <w:t>本项目属于政府采购工程，执行支持中小企业发展政</w:t>
            </w:r>
            <w:r>
              <w:rPr>
                <w:spacing w:val="-10"/>
                <w:sz w:val="21"/>
                <w:szCs w:val="21"/>
              </w:rPr>
              <w:t>策。</w:t>
            </w:r>
          </w:p>
          <w:p w14:paraId="1E479E0A">
            <w:pPr>
              <w:pStyle w:val="6"/>
              <w:spacing w:before="11" w:line="219" w:lineRule="auto"/>
              <w:ind w:left="110"/>
              <w:rPr>
                <w:sz w:val="21"/>
                <w:szCs w:val="21"/>
              </w:rPr>
            </w:pPr>
            <w:r>
              <w:rPr>
                <w:spacing w:val="-1"/>
                <w:sz w:val="21"/>
                <w:szCs w:val="21"/>
              </w:rPr>
              <w:t>采购标的对应的中小企业划型标准所属行业为建</w:t>
            </w:r>
            <w:r>
              <w:rPr>
                <w:spacing w:val="-2"/>
                <w:sz w:val="21"/>
                <w:szCs w:val="21"/>
              </w:rPr>
              <w:t>筑业。</w:t>
            </w:r>
          </w:p>
        </w:tc>
      </w:tr>
      <w:tr w14:paraId="68883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52" w:type="dxa"/>
            <w:vAlign w:val="top"/>
          </w:tcPr>
          <w:p w14:paraId="27470839">
            <w:pPr>
              <w:spacing w:before="71" w:line="205" w:lineRule="auto"/>
              <w:ind w:left="257"/>
              <w:rPr>
                <w:rFonts w:ascii="Calibri" w:hAnsi="Calibri" w:eastAsia="Calibri" w:cs="Calibri"/>
                <w:sz w:val="21"/>
                <w:szCs w:val="21"/>
              </w:rPr>
            </w:pPr>
            <w:r>
              <w:rPr>
                <w:rFonts w:ascii="Calibri" w:hAnsi="Calibri" w:eastAsia="Calibri" w:cs="Calibri"/>
                <w:spacing w:val="-2"/>
                <w:sz w:val="21"/>
                <w:szCs w:val="21"/>
              </w:rPr>
              <w:t>1.3.1</w:t>
            </w:r>
          </w:p>
        </w:tc>
        <w:tc>
          <w:tcPr>
            <w:tcW w:w="2084" w:type="dxa"/>
            <w:vAlign w:val="top"/>
          </w:tcPr>
          <w:p w14:paraId="532B6F01">
            <w:pPr>
              <w:pStyle w:val="6"/>
              <w:spacing w:before="48" w:line="212" w:lineRule="auto"/>
              <w:ind w:left="619"/>
              <w:rPr>
                <w:sz w:val="21"/>
                <w:szCs w:val="21"/>
              </w:rPr>
            </w:pPr>
            <w:r>
              <w:rPr>
                <w:spacing w:val="-2"/>
                <w:sz w:val="21"/>
                <w:szCs w:val="21"/>
              </w:rPr>
              <w:t>招标范围</w:t>
            </w:r>
          </w:p>
        </w:tc>
        <w:tc>
          <w:tcPr>
            <w:tcW w:w="5194" w:type="dxa"/>
            <w:vAlign w:val="top"/>
          </w:tcPr>
          <w:p w14:paraId="0B6BB8EC">
            <w:pPr>
              <w:pStyle w:val="6"/>
              <w:spacing w:before="48" w:line="212" w:lineRule="auto"/>
              <w:jc w:val="right"/>
              <w:rPr>
                <w:sz w:val="21"/>
                <w:szCs w:val="21"/>
              </w:rPr>
            </w:pPr>
            <w:r>
              <w:rPr>
                <w:spacing w:val="-9"/>
                <w:sz w:val="21"/>
                <w:szCs w:val="21"/>
              </w:rPr>
              <w:t>关于招标范围的详细说明见第七章“技术标准和要求”。</w:t>
            </w:r>
          </w:p>
        </w:tc>
      </w:tr>
      <w:tr w14:paraId="1C914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952" w:type="dxa"/>
            <w:vAlign w:val="top"/>
          </w:tcPr>
          <w:p w14:paraId="30714542">
            <w:pPr>
              <w:spacing w:line="317" w:lineRule="auto"/>
              <w:rPr>
                <w:rFonts w:ascii="Arial"/>
                <w:sz w:val="21"/>
              </w:rPr>
            </w:pPr>
          </w:p>
          <w:p w14:paraId="2EA8048C">
            <w:pPr>
              <w:spacing w:line="317" w:lineRule="auto"/>
              <w:rPr>
                <w:rFonts w:ascii="Arial"/>
                <w:sz w:val="21"/>
              </w:rPr>
            </w:pPr>
          </w:p>
          <w:p w14:paraId="627609AE">
            <w:pPr>
              <w:spacing w:before="64" w:line="265" w:lineRule="exact"/>
              <w:ind w:left="257"/>
              <w:rPr>
                <w:rFonts w:ascii="Calibri" w:hAnsi="Calibri" w:eastAsia="Calibri" w:cs="Calibri"/>
                <w:sz w:val="21"/>
                <w:szCs w:val="21"/>
              </w:rPr>
            </w:pPr>
            <w:r>
              <w:rPr>
                <w:rFonts w:ascii="Calibri" w:hAnsi="Calibri" w:eastAsia="Calibri" w:cs="Calibri"/>
                <w:spacing w:val="-2"/>
                <w:position w:val="1"/>
                <w:sz w:val="21"/>
                <w:szCs w:val="21"/>
              </w:rPr>
              <w:t>1.3.2</w:t>
            </w:r>
          </w:p>
        </w:tc>
        <w:tc>
          <w:tcPr>
            <w:tcW w:w="2084" w:type="dxa"/>
            <w:vAlign w:val="top"/>
          </w:tcPr>
          <w:p w14:paraId="60F332F1">
            <w:pPr>
              <w:spacing w:line="303" w:lineRule="auto"/>
              <w:rPr>
                <w:rFonts w:ascii="Arial"/>
                <w:sz w:val="21"/>
              </w:rPr>
            </w:pPr>
          </w:p>
          <w:p w14:paraId="0176F8FB">
            <w:pPr>
              <w:spacing w:line="304" w:lineRule="auto"/>
              <w:rPr>
                <w:rFonts w:ascii="Arial"/>
                <w:sz w:val="21"/>
              </w:rPr>
            </w:pPr>
          </w:p>
          <w:p w14:paraId="48FB1D46">
            <w:pPr>
              <w:pStyle w:val="6"/>
              <w:spacing w:before="69" w:line="220" w:lineRule="auto"/>
              <w:ind w:left="618"/>
              <w:rPr>
                <w:sz w:val="21"/>
                <w:szCs w:val="21"/>
              </w:rPr>
            </w:pPr>
            <w:r>
              <w:rPr>
                <w:spacing w:val="-2"/>
                <w:sz w:val="21"/>
                <w:szCs w:val="21"/>
              </w:rPr>
              <w:t>计划工期</w:t>
            </w:r>
          </w:p>
        </w:tc>
        <w:tc>
          <w:tcPr>
            <w:tcW w:w="5194" w:type="dxa"/>
            <w:vAlign w:val="top"/>
          </w:tcPr>
          <w:p w14:paraId="3B84E4E6">
            <w:pPr>
              <w:pStyle w:val="6"/>
              <w:spacing w:before="49"/>
              <w:ind w:left="111"/>
              <w:rPr>
                <w:sz w:val="21"/>
                <w:szCs w:val="21"/>
              </w:rPr>
            </w:pPr>
            <w:r>
              <w:rPr>
                <w:spacing w:val="-3"/>
                <w:sz w:val="21"/>
                <w:szCs w:val="21"/>
              </w:rPr>
              <w:t>计划工期：</w:t>
            </w:r>
            <w:r>
              <w:rPr>
                <w:rFonts w:ascii="Calibri" w:hAnsi="Calibri" w:eastAsia="Calibri" w:cs="Calibri"/>
                <w:color w:val="0000FF"/>
                <w:spacing w:val="-3"/>
                <w:sz w:val="21"/>
                <w:szCs w:val="21"/>
              </w:rPr>
              <w:t>1</w:t>
            </w:r>
            <w:r>
              <w:rPr>
                <w:rFonts w:hint="eastAsia" w:ascii="Calibri" w:hAnsi="Calibri" w:cs="Calibri"/>
                <w:color w:val="0000FF"/>
                <w:spacing w:val="-3"/>
                <w:sz w:val="21"/>
                <w:szCs w:val="21"/>
                <w:lang w:val="en-US" w:eastAsia="zh-CN"/>
              </w:rPr>
              <w:t>2</w:t>
            </w:r>
            <w:r>
              <w:rPr>
                <w:rFonts w:ascii="Calibri" w:hAnsi="Calibri" w:eastAsia="Calibri" w:cs="Calibri"/>
                <w:color w:val="0000FF"/>
                <w:spacing w:val="-3"/>
                <w:sz w:val="21"/>
                <w:szCs w:val="21"/>
              </w:rPr>
              <w:t xml:space="preserve">0  </w:t>
            </w:r>
            <w:r>
              <w:rPr>
                <w:spacing w:val="-3"/>
                <w:sz w:val="21"/>
                <w:szCs w:val="21"/>
              </w:rPr>
              <w:t>日历天</w:t>
            </w:r>
          </w:p>
          <w:p w14:paraId="38E69BD8">
            <w:pPr>
              <w:pStyle w:val="6"/>
              <w:spacing w:before="42"/>
              <w:ind w:left="111"/>
              <w:rPr>
                <w:rFonts w:ascii="Calibri" w:hAnsi="Calibri" w:eastAsia="Calibri" w:cs="Calibri"/>
                <w:sz w:val="21"/>
                <w:szCs w:val="21"/>
              </w:rPr>
            </w:pPr>
            <w:r>
              <w:rPr>
                <w:spacing w:val="-1"/>
                <w:sz w:val="21"/>
                <w:szCs w:val="21"/>
              </w:rPr>
              <w:t>计划开工日期：</w:t>
            </w:r>
            <w:r>
              <w:rPr>
                <w:rFonts w:ascii="Calibri" w:hAnsi="Calibri" w:eastAsia="Calibri" w:cs="Calibri"/>
                <w:color w:val="0000FF"/>
                <w:spacing w:val="-1"/>
                <w:sz w:val="21"/>
                <w:szCs w:val="21"/>
              </w:rPr>
              <w:t>202</w:t>
            </w:r>
            <w:r>
              <w:rPr>
                <w:rFonts w:hint="eastAsia" w:ascii="Calibri" w:hAnsi="Calibri" w:cs="Calibri"/>
                <w:color w:val="0000FF"/>
                <w:spacing w:val="-1"/>
                <w:sz w:val="21"/>
                <w:szCs w:val="21"/>
                <w:lang w:val="en-US" w:eastAsia="zh-CN"/>
              </w:rPr>
              <w:t>6</w:t>
            </w:r>
            <w:r>
              <w:rPr>
                <w:rFonts w:ascii="Calibri" w:hAnsi="Calibri" w:eastAsia="Calibri" w:cs="Calibri"/>
                <w:color w:val="0000FF"/>
                <w:spacing w:val="-1"/>
                <w:sz w:val="21"/>
                <w:szCs w:val="21"/>
              </w:rPr>
              <w:t>-</w:t>
            </w:r>
            <w:r>
              <w:rPr>
                <w:rFonts w:hint="eastAsia" w:ascii="Calibri" w:hAnsi="Calibri" w:cs="Calibri"/>
                <w:color w:val="0000FF"/>
                <w:spacing w:val="-1"/>
                <w:sz w:val="21"/>
                <w:szCs w:val="21"/>
                <w:lang w:val="en-US" w:eastAsia="zh-CN"/>
              </w:rPr>
              <w:t>7</w:t>
            </w:r>
            <w:r>
              <w:rPr>
                <w:rFonts w:ascii="Calibri" w:hAnsi="Calibri" w:eastAsia="Calibri" w:cs="Calibri"/>
                <w:color w:val="0000FF"/>
                <w:spacing w:val="-1"/>
                <w:sz w:val="21"/>
                <w:szCs w:val="21"/>
              </w:rPr>
              <w:t>-01</w:t>
            </w:r>
            <w:r>
              <w:rPr>
                <w:rFonts w:ascii="Calibri" w:hAnsi="Calibri" w:eastAsia="Calibri" w:cs="Calibri"/>
                <w:color w:val="0000FF"/>
                <w:spacing w:val="18"/>
                <w:w w:val="101"/>
                <w:sz w:val="21"/>
                <w:szCs w:val="21"/>
              </w:rPr>
              <w:t xml:space="preserve"> </w:t>
            </w:r>
            <w:r>
              <w:rPr>
                <w:rFonts w:ascii="Calibri" w:hAnsi="Calibri" w:eastAsia="Calibri" w:cs="Calibri"/>
                <w:color w:val="0000FF"/>
                <w:spacing w:val="-1"/>
                <w:sz w:val="21"/>
                <w:szCs w:val="21"/>
              </w:rPr>
              <w:t>09</w:t>
            </w:r>
            <w:r>
              <w:rPr>
                <w:rFonts w:ascii="Calibri" w:hAnsi="Calibri" w:eastAsia="Calibri" w:cs="Calibri"/>
                <w:color w:val="0000FF"/>
                <w:spacing w:val="-2"/>
                <w:sz w:val="21"/>
                <w:szCs w:val="21"/>
              </w:rPr>
              <w:t>:00:00</w:t>
            </w:r>
          </w:p>
          <w:p w14:paraId="6B84DFA8">
            <w:pPr>
              <w:pStyle w:val="6"/>
              <w:spacing w:before="41"/>
              <w:ind w:left="111"/>
              <w:rPr>
                <w:rFonts w:ascii="Calibri" w:hAnsi="Calibri" w:eastAsia="Calibri" w:cs="Calibri"/>
                <w:sz w:val="21"/>
                <w:szCs w:val="21"/>
              </w:rPr>
            </w:pPr>
            <w:r>
              <w:rPr>
                <w:spacing w:val="-2"/>
                <w:sz w:val="21"/>
                <w:szCs w:val="21"/>
              </w:rPr>
              <w:t>计划竣工日期：</w:t>
            </w:r>
            <w:r>
              <w:rPr>
                <w:rFonts w:ascii="Calibri" w:hAnsi="Calibri" w:eastAsia="Calibri" w:cs="Calibri"/>
                <w:color w:val="0000FF"/>
                <w:spacing w:val="-2"/>
                <w:sz w:val="21"/>
                <w:szCs w:val="21"/>
              </w:rPr>
              <w:t>202</w:t>
            </w:r>
            <w:r>
              <w:rPr>
                <w:rFonts w:hint="eastAsia" w:ascii="Calibri" w:hAnsi="Calibri" w:cs="Calibri"/>
                <w:color w:val="0000FF"/>
                <w:spacing w:val="-2"/>
                <w:sz w:val="21"/>
                <w:szCs w:val="21"/>
                <w:lang w:val="en-US" w:eastAsia="zh-CN"/>
              </w:rPr>
              <w:t>6</w:t>
            </w:r>
            <w:r>
              <w:rPr>
                <w:rFonts w:ascii="Calibri" w:hAnsi="Calibri" w:eastAsia="Calibri" w:cs="Calibri"/>
                <w:color w:val="0000FF"/>
                <w:spacing w:val="-2"/>
                <w:sz w:val="21"/>
                <w:szCs w:val="21"/>
              </w:rPr>
              <w:t>-</w:t>
            </w:r>
            <w:r>
              <w:rPr>
                <w:rFonts w:hint="eastAsia" w:ascii="Calibri" w:hAnsi="Calibri" w:cs="Calibri"/>
                <w:color w:val="0000FF"/>
                <w:spacing w:val="-2"/>
                <w:sz w:val="21"/>
                <w:szCs w:val="21"/>
                <w:lang w:val="en-US" w:eastAsia="zh-CN"/>
              </w:rPr>
              <w:t>11</w:t>
            </w:r>
            <w:r>
              <w:rPr>
                <w:rFonts w:ascii="Calibri" w:hAnsi="Calibri" w:eastAsia="Calibri" w:cs="Calibri"/>
                <w:color w:val="0000FF"/>
                <w:spacing w:val="-2"/>
                <w:sz w:val="21"/>
                <w:szCs w:val="21"/>
              </w:rPr>
              <w:t>-31</w:t>
            </w:r>
            <w:r>
              <w:rPr>
                <w:rFonts w:ascii="Calibri" w:hAnsi="Calibri" w:eastAsia="Calibri" w:cs="Calibri"/>
                <w:color w:val="0000FF"/>
                <w:spacing w:val="37"/>
                <w:w w:val="101"/>
                <w:sz w:val="21"/>
                <w:szCs w:val="21"/>
              </w:rPr>
              <w:t xml:space="preserve"> </w:t>
            </w:r>
            <w:r>
              <w:rPr>
                <w:rFonts w:ascii="Calibri" w:hAnsi="Calibri" w:eastAsia="Calibri" w:cs="Calibri"/>
                <w:color w:val="0000FF"/>
                <w:spacing w:val="-2"/>
                <w:sz w:val="21"/>
                <w:szCs w:val="21"/>
              </w:rPr>
              <w:t>17:00:00</w:t>
            </w:r>
          </w:p>
          <w:p w14:paraId="3B9961AB">
            <w:pPr>
              <w:pStyle w:val="6"/>
              <w:spacing w:before="28" w:line="250" w:lineRule="auto"/>
              <w:ind w:left="112" w:right="371" w:firstLine="11"/>
              <w:rPr>
                <w:sz w:val="21"/>
                <w:szCs w:val="21"/>
              </w:rPr>
            </w:pPr>
            <w:r>
              <w:rPr>
                <w:spacing w:val="-1"/>
                <w:sz w:val="21"/>
                <w:szCs w:val="21"/>
              </w:rPr>
              <w:t>除上述总工期外，发包人还要求以下区段工期：</w:t>
            </w:r>
            <w:r>
              <w:rPr>
                <w:rFonts w:ascii="Calibri" w:hAnsi="Calibri" w:eastAsia="Calibri" w:cs="Calibri"/>
                <w:color w:val="0000FF"/>
                <w:spacing w:val="-1"/>
                <w:sz w:val="21"/>
                <w:szCs w:val="21"/>
              </w:rPr>
              <w:t>/</w:t>
            </w:r>
            <w:r>
              <w:rPr>
                <w:rFonts w:ascii="Calibri" w:hAnsi="Calibri" w:eastAsia="Calibri" w:cs="Calibri"/>
                <w:color w:val="0000FF"/>
                <w:spacing w:val="1"/>
                <w:sz w:val="21"/>
                <w:szCs w:val="21"/>
              </w:rPr>
              <w:t xml:space="preserve"> </w:t>
            </w:r>
            <w:r>
              <w:rPr>
                <w:spacing w:val="-6"/>
                <w:sz w:val="21"/>
                <w:szCs w:val="21"/>
              </w:rPr>
              <w:t>有关工期的详细要求见第七章“技术标准和要求”。</w:t>
            </w:r>
          </w:p>
        </w:tc>
      </w:tr>
      <w:tr w14:paraId="6087F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28B1455C">
            <w:pPr>
              <w:spacing w:before="224" w:line="264" w:lineRule="exact"/>
              <w:ind w:left="257"/>
              <w:rPr>
                <w:rFonts w:ascii="Calibri" w:hAnsi="Calibri" w:eastAsia="Calibri" w:cs="Calibri"/>
                <w:sz w:val="21"/>
                <w:szCs w:val="21"/>
              </w:rPr>
            </w:pPr>
            <w:r>
              <w:rPr>
                <w:rFonts w:ascii="Calibri" w:hAnsi="Calibri" w:eastAsia="Calibri" w:cs="Calibri"/>
                <w:spacing w:val="-2"/>
                <w:position w:val="1"/>
                <w:sz w:val="21"/>
                <w:szCs w:val="21"/>
              </w:rPr>
              <w:t>1.3.3</w:t>
            </w:r>
          </w:p>
        </w:tc>
        <w:tc>
          <w:tcPr>
            <w:tcW w:w="2084" w:type="dxa"/>
            <w:vAlign w:val="top"/>
          </w:tcPr>
          <w:p w14:paraId="031DA74A">
            <w:pPr>
              <w:pStyle w:val="6"/>
              <w:spacing w:before="201" w:line="220" w:lineRule="auto"/>
              <w:ind w:left="619"/>
              <w:rPr>
                <w:sz w:val="21"/>
                <w:szCs w:val="21"/>
              </w:rPr>
            </w:pPr>
            <w:r>
              <w:rPr>
                <w:spacing w:val="-2"/>
                <w:sz w:val="21"/>
                <w:szCs w:val="21"/>
              </w:rPr>
              <w:t>质量要求</w:t>
            </w:r>
          </w:p>
        </w:tc>
        <w:tc>
          <w:tcPr>
            <w:tcW w:w="5194" w:type="dxa"/>
            <w:vAlign w:val="top"/>
          </w:tcPr>
          <w:p w14:paraId="625849DC">
            <w:pPr>
              <w:pStyle w:val="6"/>
              <w:spacing w:before="50" w:line="220" w:lineRule="auto"/>
              <w:ind w:left="112"/>
              <w:rPr>
                <w:sz w:val="21"/>
                <w:szCs w:val="21"/>
              </w:rPr>
            </w:pPr>
            <w:r>
              <w:rPr>
                <w:spacing w:val="-1"/>
                <w:sz w:val="21"/>
                <w:szCs w:val="21"/>
              </w:rPr>
              <w:t>质量目标：</w:t>
            </w:r>
            <w:r>
              <w:rPr>
                <w:color w:val="0000FF"/>
                <w:spacing w:val="-1"/>
                <w:sz w:val="21"/>
                <w:szCs w:val="21"/>
              </w:rPr>
              <w:t>达到验收合格标准</w:t>
            </w:r>
          </w:p>
          <w:p w14:paraId="5479A8A7">
            <w:pPr>
              <w:pStyle w:val="6"/>
              <w:spacing w:before="50" w:line="219" w:lineRule="auto"/>
              <w:jc w:val="right"/>
              <w:rPr>
                <w:sz w:val="21"/>
                <w:szCs w:val="21"/>
              </w:rPr>
            </w:pPr>
            <w:r>
              <w:rPr>
                <w:spacing w:val="-9"/>
                <w:sz w:val="21"/>
                <w:szCs w:val="21"/>
              </w:rPr>
              <w:t>关于质量要求的详细说明见第七章“技术标准和要求”。</w:t>
            </w:r>
          </w:p>
        </w:tc>
      </w:tr>
      <w:tr w14:paraId="7DEF5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952" w:type="dxa"/>
            <w:vAlign w:val="top"/>
          </w:tcPr>
          <w:p w14:paraId="0AA57AEE">
            <w:pPr>
              <w:spacing w:before="224" w:line="265" w:lineRule="exact"/>
              <w:ind w:left="257"/>
              <w:rPr>
                <w:rFonts w:ascii="Calibri" w:hAnsi="Calibri" w:eastAsia="Calibri" w:cs="Calibri"/>
                <w:sz w:val="21"/>
                <w:szCs w:val="21"/>
              </w:rPr>
            </w:pPr>
            <w:r>
              <w:rPr>
                <w:rFonts w:ascii="Calibri" w:hAnsi="Calibri" w:eastAsia="Calibri" w:cs="Calibri"/>
                <w:spacing w:val="-2"/>
                <w:position w:val="1"/>
                <w:sz w:val="21"/>
                <w:szCs w:val="21"/>
              </w:rPr>
              <w:t>1.3.4</w:t>
            </w:r>
          </w:p>
        </w:tc>
        <w:tc>
          <w:tcPr>
            <w:tcW w:w="2084" w:type="dxa"/>
            <w:vAlign w:val="top"/>
          </w:tcPr>
          <w:p w14:paraId="1111A052">
            <w:pPr>
              <w:pStyle w:val="6"/>
              <w:spacing w:before="201" w:line="219" w:lineRule="auto"/>
              <w:ind w:left="406"/>
              <w:rPr>
                <w:sz w:val="21"/>
                <w:szCs w:val="21"/>
              </w:rPr>
            </w:pPr>
            <w:r>
              <w:rPr>
                <w:spacing w:val="-1"/>
                <w:sz w:val="21"/>
                <w:szCs w:val="21"/>
              </w:rPr>
              <w:t>政府采购政策</w:t>
            </w:r>
          </w:p>
        </w:tc>
        <w:tc>
          <w:tcPr>
            <w:tcW w:w="5194" w:type="dxa"/>
            <w:vAlign w:val="top"/>
          </w:tcPr>
          <w:p w14:paraId="5ACD8E6E">
            <w:pPr>
              <w:pStyle w:val="6"/>
              <w:spacing w:before="51"/>
              <w:ind w:left="119" w:right="101" w:hanging="8"/>
              <w:rPr>
                <w:sz w:val="21"/>
                <w:szCs w:val="21"/>
              </w:rPr>
            </w:pPr>
            <w:r>
              <w:rPr>
                <w:spacing w:val="-3"/>
                <w:sz w:val="21"/>
                <w:szCs w:val="21"/>
              </w:rPr>
              <w:t>根据相关规定，本项目采用以下方式支持中小企</w:t>
            </w:r>
            <w:r>
              <w:rPr>
                <w:spacing w:val="-4"/>
                <w:sz w:val="21"/>
                <w:szCs w:val="21"/>
              </w:rPr>
              <w:t>业发展</w:t>
            </w:r>
            <w:r>
              <w:rPr>
                <w:rFonts w:ascii="Segoe UI Symbol" w:hAnsi="Segoe UI Symbol" w:eastAsia="Segoe UI Symbol" w:cs="Segoe UI Symbol"/>
                <w:color w:val="0000FF"/>
                <w:spacing w:val="-5"/>
                <w:sz w:val="21"/>
                <w:szCs w:val="21"/>
              </w:rPr>
              <w:t>☑</w:t>
            </w:r>
            <w:r>
              <w:rPr>
                <w:spacing w:val="-5"/>
                <w:sz w:val="21"/>
                <w:szCs w:val="21"/>
              </w:rPr>
              <w:t>项目整体预留专门面向中小企业采购。</w:t>
            </w:r>
          </w:p>
        </w:tc>
      </w:tr>
    </w:tbl>
    <w:p w14:paraId="206786E9">
      <w:pPr>
        <w:pStyle w:val="2"/>
      </w:pPr>
    </w:p>
    <w:p w14:paraId="07E42D9B">
      <w:pPr>
        <w:sectPr>
          <w:footerReference r:id="rId26" w:type="default"/>
          <w:pgSz w:w="11910" w:h="16845"/>
          <w:pgMar w:top="1431" w:right="1786" w:bottom="1065" w:left="1786" w:header="0" w:footer="838" w:gutter="0"/>
          <w:cols w:space="720" w:num="1"/>
        </w:sectPr>
      </w:pPr>
    </w:p>
    <w:p w14:paraId="225F6AA6">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2C23A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952" w:type="dxa"/>
            <w:vAlign w:val="top"/>
          </w:tcPr>
          <w:p w14:paraId="6CEF1E29">
            <w:pPr>
              <w:pStyle w:val="6"/>
              <w:spacing w:before="44" w:line="220" w:lineRule="auto"/>
              <w:ind w:left="129"/>
              <w:rPr>
                <w:sz w:val="21"/>
                <w:szCs w:val="21"/>
              </w:rPr>
            </w:pPr>
            <w:r>
              <w:rPr>
                <w:b/>
                <w:bCs/>
                <w:spacing w:val="4"/>
                <w:sz w:val="21"/>
                <w:szCs w:val="21"/>
              </w:rPr>
              <w:t>条款号</w:t>
            </w:r>
          </w:p>
        </w:tc>
        <w:tc>
          <w:tcPr>
            <w:tcW w:w="2084" w:type="dxa"/>
            <w:vAlign w:val="top"/>
          </w:tcPr>
          <w:p w14:paraId="100B4D90">
            <w:pPr>
              <w:pStyle w:val="6"/>
              <w:spacing w:before="44" w:line="220" w:lineRule="auto"/>
              <w:ind w:left="604"/>
              <w:rPr>
                <w:sz w:val="21"/>
                <w:szCs w:val="21"/>
              </w:rPr>
            </w:pPr>
            <w:r>
              <w:rPr>
                <w:b/>
                <w:bCs/>
                <w:spacing w:val="6"/>
                <w:sz w:val="21"/>
                <w:szCs w:val="21"/>
              </w:rPr>
              <w:t>条款名称</w:t>
            </w:r>
          </w:p>
        </w:tc>
        <w:tc>
          <w:tcPr>
            <w:tcW w:w="5194" w:type="dxa"/>
            <w:vAlign w:val="top"/>
          </w:tcPr>
          <w:p w14:paraId="24B88693">
            <w:pPr>
              <w:pStyle w:val="6"/>
              <w:spacing w:before="44" w:line="220" w:lineRule="auto"/>
              <w:ind w:left="2155"/>
              <w:rPr>
                <w:sz w:val="21"/>
                <w:szCs w:val="21"/>
              </w:rPr>
            </w:pPr>
            <w:r>
              <w:rPr>
                <w:b/>
                <w:bCs/>
                <w:spacing w:val="6"/>
                <w:sz w:val="21"/>
                <w:szCs w:val="21"/>
              </w:rPr>
              <w:t>编列内容</w:t>
            </w:r>
          </w:p>
        </w:tc>
      </w:tr>
      <w:tr w14:paraId="101DF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4" w:hRule="atLeast"/>
        </w:trPr>
        <w:tc>
          <w:tcPr>
            <w:tcW w:w="952" w:type="dxa"/>
            <w:vAlign w:val="top"/>
          </w:tcPr>
          <w:p w14:paraId="44582769">
            <w:pPr>
              <w:rPr>
                <w:rFonts w:ascii="Arial"/>
                <w:sz w:val="21"/>
              </w:rPr>
            </w:pPr>
          </w:p>
        </w:tc>
        <w:tc>
          <w:tcPr>
            <w:tcW w:w="2084" w:type="dxa"/>
            <w:vAlign w:val="top"/>
          </w:tcPr>
          <w:p w14:paraId="754C55E2">
            <w:pPr>
              <w:rPr>
                <w:rFonts w:ascii="Arial"/>
                <w:sz w:val="21"/>
              </w:rPr>
            </w:pPr>
          </w:p>
        </w:tc>
        <w:tc>
          <w:tcPr>
            <w:tcW w:w="5194" w:type="dxa"/>
            <w:vAlign w:val="top"/>
          </w:tcPr>
          <w:p w14:paraId="5FD98059">
            <w:pPr>
              <w:pStyle w:val="6"/>
              <w:spacing w:before="37" w:line="219" w:lineRule="auto"/>
              <w:ind w:left="132"/>
              <w:rPr>
                <w:sz w:val="21"/>
                <w:szCs w:val="21"/>
              </w:rPr>
            </w:pPr>
            <w:r>
              <w:rPr>
                <w:color w:val="0000FF"/>
                <w:spacing w:val="-3"/>
                <w:sz w:val="21"/>
                <w:szCs w:val="21"/>
              </w:rPr>
              <w:t>□</w:t>
            </w:r>
            <w:r>
              <w:rPr>
                <w:spacing w:val="-3"/>
                <w:sz w:val="21"/>
                <w:szCs w:val="21"/>
              </w:rPr>
              <w:t>项目整体预留专门面向小微企业采购。</w:t>
            </w:r>
          </w:p>
          <w:p w14:paraId="3D673865">
            <w:pPr>
              <w:pStyle w:val="6"/>
              <w:spacing w:before="64" w:line="274" w:lineRule="auto"/>
              <w:ind w:left="109" w:right="100" w:firstLine="23"/>
              <w:rPr>
                <w:sz w:val="21"/>
                <w:szCs w:val="21"/>
              </w:rPr>
            </w:pPr>
            <w:r>
              <w:rPr>
                <w:color w:val="0000FF"/>
                <w:spacing w:val="-4"/>
                <w:sz w:val="21"/>
                <w:szCs w:val="21"/>
              </w:rPr>
              <w:t>□</w:t>
            </w:r>
            <w:r>
              <w:rPr>
                <w:spacing w:val="-4"/>
                <w:sz w:val="21"/>
                <w:szCs w:val="21"/>
              </w:rPr>
              <w:t>项目部分预留专门面向中小企业采购，具体的政府采</w:t>
            </w:r>
            <w:r>
              <w:rPr>
                <w:spacing w:val="-3"/>
                <w:sz w:val="21"/>
                <w:szCs w:val="21"/>
              </w:rPr>
              <w:t>购特别资格要求详见第二章投标人须知附录一“投标人</w:t>
            </w:r>
            <w:r>
              <w:rPr>
                <w:spacing w:val="-4"/>
                <w:sz w:val="21"/>
                <w:szCs w:val="21"/>
              </w:rPr>
              <w:t>资质条件、能力和信誉”。部分预留的工作详见第二章</w:t>
            </w:r>
            <w:r>
              <w:rPr>
                <w:spacing w:val="-6"/>
                <w:sz w:val="21"/>
                <w:szCs w:val="21"/>
              </w:rPr>
              <w:t>投标人须知附录二“政府采购工程预留工作及金额”。</w:t>
            </w:r>
          </w:p>
          <w:p w14:paraId="3D933EAC">
            <w:pPr>
              <w:spacing w:line="248" w:lineRule="auto"/>
              <w:rPr>
                <w:rFonts w:ascii="Arial"/>
                <w:sz w:val="21"/>
              </w:rPr>
            </w:pPr>
          </w:p>
          <w:p w14:paraId="235FF123">
            <w:pPr>
              <w:pStyle w:val="6"/>
              <w:spacing w:before="68" w:line="275" w:lineRule="auto"/>
              <w:ind w:left="109" w:right="85" w:firstLine="1"/>
              <w:jc w:val="both"/>
              <w:rPr>
                <w:sz w:val="21"/>
                <w:szCs w:val="21"/>
              </w:rPr>
            </w:pPr>
            <w:r>
              <w:rPr>
                <w:spacing w:val="-3"/>
                <w:sz w:val="21"/>
                <w:szCs w:val="21"/>
              </w:rPr>
              <w:t>根据相关规定，本项目未预留份额专门面向中</w:t>
            </w:r>
            <w:r>
              <w:rPr>
                <w:spacing w:val="-4"/>
                <w:sz w:val="21"/>
                <w:szCs w:val="21"/>
              </w:rPr>
              <w:t>小企业采</w:t>
            </w:r>
            <w:r>
              <w:rPr>
                <w:spacing w:val="-3"/>
                <w:sz w:val="21"/>
                <w:szCs w:val="21"/>
              </w:rPr>
              <w:t>购，但对符合政府采购特别资格要求（详见第二章投标</w:t>
            </w:r>
            <w:r>
              <w:rPr>
                <w:spacing w:val="-4"/>
                <w:sz w:val="21"/>
                <w:szCs w:val="21"/>
              </w:rPr>
              <w:t>人须知附录一“投标人资质条件、能力和信誉”）且满</w:t>
            </w:r>
            <w:r>
              <w:rPr>
                <w:spacing w:val="-3"/>
                <w:sz w:val="21"/>
                <w:szCs w:val="21"/>
              </w:rPr>
              <w:t>足一定条件的投标人（详见第三章评标办法“政府采购</w:t>
            </w:r>
            <w:r>
              <w:rPr>
                <w:spacing w:val="-1"/>
                <w:sz w:val="21"/>
                <w:szCs w:val="21"/>
              </w:rPr>
              <w:t>工程价格评审优惠”</w:t>
            </w:r>
            <w:r>
              <w:rPr>
                <w:spacing w:val="-28"/>
                <w:w w:val="51"/>
                <w:sz w:val="21"/>
                <w:szCs w:val="21"/>
              </w:rPr>
              <w:t>），</w:t>
            </w:r>
            <w:r>
              <w:rPr>
                <w:spacing w:val="-1"/>
                <w:sz w:val="21"/>
                <w:szCs w:val="21"/>
              </w:rPr>
              <w:t>在评标时享受价格扣除或增加价</w:t>
            </w:r>
            <w:r>
              <w:rPr>
                <w:spacing w:val="-4"/>
                <w:sz w:val="21"/>
                <w:szCs w:val="21"/>
              </w:rPr>
              <w:t>格分的优惠政策。</w:t>
            </w:r>
          </w:p>
          <w:p w14:paraId="48EEE0DF">
            <w:pPr>
              <w:spacing w:line="270" w:lineRule="auto"/>
              <w:rPr>
                <w:rFonts w:ascii="Arial"/>
                <w:sz w:val="21"/>
              </w:rPr>
            </w:pPr>
          </w:p>
          <w:p w14:paraId="7A0BB51D">
            <w:pPr>
              <w:spacing w:before="64" w:line="210" w:lineRule="auto"/>
              <w:ind w:left="103"/>
              <w:rPr>
                <w:rFonts w:ascii="Calibri" w:hAnsi="Calibri" w:eastAsia="Calibri" w:cs="Calibri"/>
                <w:sz w:val="21"/>
                <w:szCs w:val="21"/>
              </w:rPr>
            </w:pPr>
            <w:r>
              <w:rPr>
                <w:rFonts w:ascii="Calibri" w:hAnsi="Calibri" w:eastAsia="Calibri" w:cs="Calibri"/>
                <w:color w:val="0000FF"/>
                <w:sz w:val="21"/>
                <w:szCs w:val="21"/>
              </w:rPr>
              <w:t>/</w:t>
            </w:r>
          </w:p>
        </w:tc>
      </w:tr>
      <w:tr w14:paraId="3DE34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9" w:hRule="atLeast"/>
        </w:trPr>
        <w:tc>
          <w:tcPr>
            <w:tcW w:w="952" w:type="dxa"/>
            <w:vAlign w:val="top"/>
          </w:tcPr>
          <w:p w14:paraId="48991372">
            <w:pPr>
              <w:spacing w:line="308" w:lineRule="auto"/>
              <w:rPr>
                <w:rFonts w:ascii="Arial"/>
                <w:sz w:val="21"/>
              </w:rPr>
            </w:pPr>
          </w:p>
          <w:p w14:paraId="163E4997">
            <w:pPr>
              <w:spacing w:line="309" w:lineRule="auto"/>
              <w:rPr>
                <w:rFonts w:ascii="Arial"/>
                <w:sz w:val="21"/>
              </w:rPr>
            </w:pPr>
          </w:p>
          <w:p w14:paraId="5667CD01">
            <w:pPr>
              <w:spacing w:line="309" w:lineRule="auto"/>
              <w:rPr>
                <w:rFonts w:ascii="Arial"/>
                <w:sz w:val="21"/>
              </w:rPr>
            </w:pPr>
          </w:p>
          <w:p w14:paraId="713E63CC">
            <w:pPr>
              <w:spacing w:before="64" w:line="266" w:lineRule="exact"/>
              <w:ind w:left="257"/>
              <w:rPr>
                <w:rFonts w:ascii="Calibri" w:hAnsi="Calibri" w:eastAsia="Calibri" w:cs="Calibri"/>
                <w:sz w:val="21"/>
                <w:szCs w:val="21"/>
              </w:rPr>
            </w:pPr>
            <w:r>
              <w:rPr>
                <w:rFonts w:ascii="Calibri" w:hAnsi="Calibri" w:eastAsia="Calibri" w:cs="Calibri"/>
                <w:spacing w:val="-2"/>
                <w:position w:val="1"/>
                <w:sz w:val="21"/>
                <w:szCs w:val="21"/>
              </w:rPr>
              <w:t>1.4.1</w:t>
            </w:r>
          </w:p>
        </w:tc>
        <w:tc>
          <w:tcPr>
            <w:tcW w:w="2084" w:type="dxa"/>
            <w:vAlign w:val="top"/>
          </w:tcPr>
          <w:p w14:paraId="23826C74">
            <w:pPr>
              <w:spacing w:line="249" w:lineRule="auto"/>
              <w:rPr>
                <w:rFonts w:ascii="Arial"/>
                <w:sz w:val="21"/>
              </w:rPr>
            </w:pPr>
          </w:p>
          <w:p w14:paraId="2980A41E">
            <w:pPr>
              <w:spacing w:line="250" w:lineRule="auto"/>
              <w:rPr>
                <w:rFonts w:ascii="Arial"/>
                <w:sz w:val="21"/>
              </w:rPr>
            </w:pPr>
          </w:p>
          <w:p w14:paraId="448270DB">
            <w:pPr>
              <w:spacing w:line="250" w:lineRule="auto"/>
              <w:rPr>
                <w:rFonts w:ascii="Arial"/>
                <w:sz w:val="21"/>
              </w:rPr>
            </w:pPr>
          </w:p>
          <w:p w14:paraId="36DA9B50">
            <w:pPr>
              <w:pStyle w:val="6"/>
              <w:spacing w:before="68" w:line="279" w:lineRule="auto"/>
              <w:ind w:left="520" w:right="226" w:hanging="320"/>
              <w:rPr>
                <w:sz w:val="21"/>
                <w:szCs w:val="21"/>
              </w:rPr>
            </w:pPr>
            <w:r>
              <w:rPr>
                <w:spacing w:val="-5"/>
                <w:sz w:val="21"/>
                <w:szCs w:val="21"/>
              </w:rPr>
              <w:t>投标人资质条件、</w:t>
            </w:r>
            <w:r>
              <w:rPr>
                <w:spacing w:val="-3"/>
                <w:sz w:val="21"/>
                <w:szCs w:val="21"/>
              </w:rPr>
              <w:t>能力和信誉</w:t>
            </w:r>
          </w:p>
        </w:tc>
        <w:tc>
          <w:tcPr>
            <w:tcW w:w="5194" w:type="dxa"/>
            <w:vAlign w:val="top"/>
          </w:tcPr>
          <w:p w14:paraId="42045C67">
            <w:pPr>
              <w:pStyle w:val="6"/>
              <w:spacing w:before="42" w:line="219" w:lineRule="auto"/>
              <w:ind w:left="120"/>
              <w:rPr>
                <w:sz w:val="21"/>
                <w:szCs w:val="21"/>
              </w:rPr>
            </w:pPr>
            <w:r>
              <w:rPr>
                <w:spacing w:val="-1"/>
                <w:sz w:val="21"/>
                <w:szCs w:val="21"/>
              </w:rPr>
              <w:t>资质条件：    见本章附录一</w:t>
            </w:r>
          </w:p>
          <w:p w14:paraId="0DBA92D7">
            <w:pPr>
              <w:pStyle w:val="6"/>
              <w:spacing w:before="66" w:line="219" w:lineRule="auto"/>
              <w:ind w:left="112"/>
              <w:rPr>
                <w:sz w:val="21"/>
                <w:szCs w:val="21"/>
              </w:rPr>
            </w:pPr>
            <w:r>
              <w:rPr>
                <w:sz w:val="21"/>
                <w:szCs w:val="21"/>
              </w:rPr>
              <w:t>财务要求：    见本章附录一</w:t>
            </w:r>
          </w:p>
          <w:p w14:paraId="7D5097A8">
            <w:pPr>
              <w:pStyle w:val="6"/>
              <w:spacing w:before="67" w:line="265" w:lineRule="auto"/>
              <w:ind w:left="115" w:right="101" w:hanging="5"/>
              <w:rPr>
                <w:sz w:val="21"/>
                <w:szCs w:val="21"/>
              </w:rPr>
            </w:pPr>
            <w:r>
              <w:rPr>
                <w:spacing w:val="1"/>
                <w:sz w:val="21"/>
                <w:szCs w:val="21"/>
              </w:rPr>
              <w:t>业绩要求：   见本章附录一且与招标公告或投标邀请</w:t>
            </w:r>
            <w:r>
              <w:rPr>
                <w:spacing w:val="-3"/>
                <w:sz w:val="21"/>
                <w:szCs w:val="21"/>
              </w:rPr>
              <w:t>书要求一致</w:t>
            </w:r>
          </w:p>
          <w:p w14:paraId="5B0E5A04">
            <w:pPr>
              <w:pStyle w:val="6"/>
              <w:spacing w:before="11" w:line="219" w:lineRule="auto"/>
              <w:ind w:left="111"/>
              <w:rPr>
                <w:sz w:val="21"/>
                <w:szCs w:val="21"/>
              </w:rPr>
            </w:pPr>
            <w:r>
              <w:rPr>
                <w:sz w:val="21"/>
                <w:szCs w:val="21"/>
              </w:rPr>
              <w:t>信誉要求：    见本章附录一</w:t>
            </w:r>
          </w:p>
          <w:p w14:paraId="704DBFD2">
            <w:pPr>
              <w:pStyle w:val="6"/>
              <w:spacing w:before="65" w:line="219" w:lineRule="auto"/>
              <w:ind w:left="114"/>
              <w:rPr>
                <w:sz w:val="21"/>
                <w:szCs w:val="21"/>
              </w:rPr>
            </w:pPr>
            <w:r>
              <w:rPr>
                <w:sz w:val="21"/>
                <w:szCs w:val="21"/>
              </w:rPr>
              <w:t>项目经理资格：见本章附录一</w:t>
            </w:r>
          </w:p>
          <w:p w14:paraId="27D64BAD">
            <w:pPr>
              <w:pStyle w:val="6"/>
              <w:spacing w:before="66" w:line="219" w:lineRule="auto"/>
              <w:ind w:left="112"/>
              <w:rPr>
                <w:sz w:val="21"/>
                <w:szCs w:val="21"/>
              </w:rPr>
            </w:pPr>
            <w:r>
              <w:rPr>
                <w:sz w:val="21"/>
                <w:szCs w:val="21"/>
              </w:rPr>
              <w:t>其他要求：    见本章附录一</w:t>
            </w:r>
          </w:p>
        </w:tc>
      </w:tr>
      <w:tr w14:paraId="0B8E0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5" w:hRule="atLeast"/>
        </w:trPr>
        <w:tc>
          <w:tcPr>
            <w:tcW w:w="952" w:type="dxa"/>
            <w:vAlign w:val="top"/>
          </w:tcPr>
          <w:p w14:paraId="4FAB033F">
            <w:pPr>
              <w:spacing w:line="308" w:lineRule="auto"/>
              <w:rPr>
                <w:rFonts w:ascii="Arial"/>
                <w:sz w:val="21"/>
              </w:rPr>
            </w:pPr>
          </w:p>
          <w:p w14:paraId="282D161A">
            <w:pPr>
              <w:spacing w:line="308" w:lineRule="auto"/>
              <w:rPr>
                <w:rFonts w:ascii="Arial"/>
                <w:sz w:val="21"/>
              </w:rPr>
            </w:pPr>
          </w:p>
          <w:p w14:paraId="34966760">
            <w:pPr>
              <w:spacing w:before="64" w:line="265" w:lineRule="exact"/>
              <w:ind w:left="257"/>
              <w:rPr>
                <w:rFonts w:ascii="Calibri" w:hAnsi="Calibri" w:eastAsia="Calibri" w:cs="Calibri"/>
                <w:sz w:val="21"/>
                <w:szCs w:val="21"/>
              </w:rPr>
            </w:pPr>
            <w:r>
              <w:rPr>
                <w:rFonts w:ascii="Calibri" w:hAnsi="Calibri" w:eastAsia="Calibri" w:cs="Calibri"/>
                <w:spacing w:val="-2"/>
                <w:position w:val="1"/>
                <w:sz w:val="21"/>
                <w:szCs w:val="21"/>
              </w:rPr>
              <w:t>1.4.2</w:t>
            </w:r>
          </w:p>
        </w:tc>
        <w:tc>
          <w:tcPr>
            <w:tcW w:w="2084" w:type="dxa"/>
            <w:vAlign w:val="top"/>
          </w:tcPr>
          <w:p w14:paraId="41A47FA1">
            <w:pPr>
              <w:spacing w:line="424" w:lineRule="auto"/>
              <w:rPr>
                <w:rFonts w:ascii="Arial"/>
                <w:sz w:val="21"/>
              </w:rPr>
            </w:pPr>
          </w:p>
          <w:p w14:paraId="54C9E7DE">
            <w:pPr>
              <w:pStyle w:val="6"/>
              <w:spacing w:before="69" w:line="280" w:lineRule="auto"/>
              <w:ind w:left="934" w:right="195" w:hanging="733"/>
              <w:rPr>
                <w:sz w:val="21"/>
                <w:szCs w:val="21"/>
              </w:rPr>
            </w:pPr>
            <w:r>
              <w:rPr>
                <w:spacing w:val="-2"/>
                <w:sz w:val="21"/>
                <w:szCs w:val="21"/>
              </w:rPr>
              <w:t>是否接受联合体投</w:t>
            </w:r>
            <w:r>
              <w:rPr>
                <w:sz w:val="21"/>
                <w:szCs w:val="21"/>
              </w:rPr>
              <w:t>标</w:t>
            </w:r>
          </w:p>
        </w:tc>
        <w:tc>
          <w:tcPr>
            <w:tcW w:w="5194" w:type="dxa"/>
            <w:vAlign w:val="top"/>
          </w:tcPr>
          <w:p w14:paraId="2FD5E5F1">
            <w:pPr>
              <w:pStyle w:val="6"/>
              <w:spacing w:before="30"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不接受</w:t>
            </w:r>
          </w:p>
          <w:p w14:paraId="71503797">
            <w:pPr>
              <w:pStyle w:val="6"/>
              <w:spacing w:before="49" w:line="220" w:lineRule="auto"/>
              <w:ind w:left="132"/>
              <w:rPr>
                <w:sz w:val="21"/>
                <w:szCs w:val="21"/>
              </w:rPr>
            </w:pPr>
            <w:r>
              <w:rPr>
                <w:color w:val="0000FF"/>
                <w:spacing w:val="-6"/>
                <w:sz w:val="21"/>
                <w:szCs w:val="21"/>
              </w:rPr>
              <w:t>□</w:t>
            </w:r>
            <w:r>
              <w:rPr>
                <w:spacing w:val="-6"/>
                <w:sz w:val="21"/>
                <w:szCs w:val="21"/>
              </w:rPr>
              <w:t>接受，应满足下列要求：</w:t>
            </w:r>
          </w:p>
          <w:p w14:paraId="0CD67E7E">
            <w:pPr>
              <w:pStyle w:val="6"/>
              <w:spacing w:before="65" w:line="256" w:lineRule="auto"/>
              <w:ind w:left="113" w:right="105" w:hanging="1"/>
              <w:rPr>
                <w:sz w:val="21"/>
                <w:szCs w:val="21"/>
              </w:rPr>
            </w:pPr>
            <w:r>
              <w:rPr>
                <w:spacing w:val="-4"/>
                <w:sz w:val="21"/>
                <w:szCs w:val="21"/>
              </w:rPr>
              <w:t>其中联合体资质按照联合体协议约定的分工认定。其他</w:t>
            </w:r>
            <w:r>
              <w:rPr>
                <w:spacing w:val="5"/>
                <w:sz w:val="21"/>
                <w:szCs w:val="21"/>
              </w:rPr>
              <w:t>审查标准按联合体协议中约定的各成员分工所占合同</w:t>
            </w:r>
            <w:r>
              <w:rPr>
                <w:spacing w:val="-3"/>
                <w:sz w:val="21"/>
                <w:szCs w:val="21"/>
              </w:rPr>
              <w:t>工作量的比例，进行加权折算。</w:t>
            </w:r>
          </w:p>
        </w:tc>
      </w:tr>
      <w:tr w14:paraId="30FE4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52" w:type="dxa"/>
            <w:vAlign w:val="top"/>
          </w:tcPr>
          <w:p w14:paraId="09E13B89">
            <w:pPr>
              <w:spacing w:before="69" w:line="265" w:lineRule="exact"/>
              <w:ind w:left="257"/>
              <w:rPr>
                <w:rFonts w:ascii="Calibri" w:hAnsi="Calibri" w:eastAsia="Calibri" w:cs="Calibri"/>
                <w:sz w:val="21"/>
                <w:szCs w:val="21"/>
              </w:rPr>
            </w:pPr>
            <w:r>
              <w:rPr>
                <w:rFonts w:ascii="Calibri" w:hAnsi="Calibri" w:eastAsia="Calibri" w:cs="Calibri"/>
                <w:spacing w:val="-2"/>
                <w:position w:val="1"/>
                <w:sz w:val="21"/>
                <w:szCs w:val="21"/>
              </w:rPr>
              <w:t>1.4.3</w:t>
            </w:r>
          </w:p>
          <w:p w14:paraId="7CEB2466">
            <w:pPr>
              <w:pStyle w:val="6"/>
              <w:spacing w:before="28" w:line="226" w:lineRule="auto"/>
              <w:ind w:left="163"/>
              <w:rPr>
                <w:sz w:val="21"/>
                <w:szCs w:val="21"/>
              </w:rPr>
            </w:pPr>
            <w:r>
              <w:rPr>
                <w:spacing w:val="-4"/>
                <w:sz w:val="21"/>
                <w:szCs w:val="21"/>
              </w:rPr>
              <w:t>（</w:t>
            </w:r>
            <w:r>
              <w:rPr>
                <w:rFonts w:ascii="Calibri" w:hAnsi="Calibri" w:eastAsia="Calibri" w:cs="Calibri"/>
                <w:spacing w:val="-4"/>
                <w:sz w:val="21"/>
                <w:szCs w:val="21"/>
              </w:rPr>
              <w:t>19</w:t>
            </w:r>
            <w:r>
              <w:rPr>
                <w:spacing w:val="-4"/>
                <w:sz w:val="21"/>
                <w:szCs w:val="21"/>
              </w:rPr>
              <w:t>）</w:t>
            </w:r>
          </w:p>
        </w:tc>
        <w:tc>
          <w:tcPr>
            <w:tcW w:w="2084" w:type="dxa"/>
            <w:vAlign w:val="top"/>
          </w:tcPr>
          <w:p w14:paraId="278904FC">
            <w:pPr>
              <w:pStyle w:val="6"/>
              <w:spacing w:before="46" w:line="220" w:lineRule="auto"/>
              <w:ind w:left="201"/>
              <w:rPr>
                <w:sz w:val="21"/>
                <w:szCs w:val="21"/>
              </w:rPr>
            </w:pPr>
            <w:r>
              <w:rPr>
                <w:spacing w:val="-2"/>
                <w:sz w:val="21"/>
                <w:szCs w:val="21"/>
              </w:rPr>
              <w:t>不得存在的其他情</w:t>
            </w:r>
          </w:p>
          <w:p w14:paraId="289C8B1C">
            <w:pPr>
              <w:pStyle w:val="6"/>
              <w:spacing w:before="65" w:line="222" w:lineRule="auto"/>
              <w:ind w:left="936"/>
              <w:rPr>
                <w:sz w:val="21"/>
                <w:szCs w:val="21"/>
              </w:rPr>
            </w:pPr>
            <w:r>
              <w:rPr>
                <w:sz w:val="21"/>
                <w:szCs w:val="21"/>
              </w:rPr>
              <w:t>形</w:t>
            </w:r>
          </w:p>
        </w:tc>
        <w:tc>
          <w:tcPr>
            <w:tcW w:w="5194" w:type="dxa"/>
            <w:vAlign w:val="top"/>
          </w:tcPr>
          <w:p w14:paraId="6B6A95B9">
            <w:pPr>
              <w:pStyle w:val="6"/>
              <w:spacing w:before="46" w:line="252" w:lineRule="auto"/>
              <w:ind w:left="112" w:right="238" w:firstLine="1"/>
              <w:rPr>
                <w:sz w:val="21"/>
                <w:szCs w:val="21"/>
              </w:rPr>
            </w:pPr>
            <w:r>
              <w:rPr>
                <w:color w:val="0000FF"/>
                <w:sz w:val="21"/>
                <w:szCs w:val="21"/>
              </w:rPr>
              <w:t xml:space="preserve">详见投标人须知正文部分第 </w:t>
            </w:r>
            <w:r>
              <w:rPr>
                <w:rFonts w:ascii="Calibri" w:hAnsi="Calibri" w:eastAsia="Calibri" w:cs="Calibri"/>
                <w:color w:val="0000FF"/>
                <w:sz w:val="21"/>
                <w:szCs w:val="21"/>
              </w:rPr>
              <w:t xml:space="preserve">1.4.3  </w:t>
            </w:r>
            <w:r>
              <w:rPr>
                <w:color w:val="0000FF"/>
                <w:sz w:val="21"/>
                <w:szCs w:val="21"/>
              </w:rPr>
              <w:t>规定的不得存在的</w:t>
            </w:r>
            <w:r>
              <w:rPr>
                <w:color w:val="0000FF"/>
                <w:spacing w:val="-3"/>
                <w:sz w:val="21"/>
                <w:szCs w:val="21"/>
              </w:rPr>
              <w:t>情形</w:t>
            </w:r>
          </w:p>
        </w:tc>
      </w:tr>
      <w:tr w14:paraId="2265E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9" w:hRule="atLeast"/>
        </w:trPr>
        <w:tc>
          <w:tcPr>
            <w:tcW w:w="952" w:type="dxa"/>
            <w:vAlign w:val="top"/>
          </w:tcPr>
          <w:p w14:paraId="5939B5D4">
            <w:pPr>
              <w:spacing w:line="454" w:lineRule="auto"/>
              <w:rPr>
                <w:rFonts w:ascii="Arial"/>
                <w:sz w:val="21"/>
              </w:rPr>
            </w:pPr>
          </w:p>
          <w:p w14:paraId="3C8EE604">
            <w:pPr>
              <w:spacing w:before="64" w:line="264" w:lineRule="exact"/>
              <w:ind w:left="257"/>
              <w:rPr>
                <w:rFonts w:ascii="Calibri" w:hAnsi="Calibri" w:eastAsia="Calibri" w:cs="Calibri"/>
                <w:sz w:val="21"/>
                <w:szCs w:val="21"/>
              </w:rPr>
            </w:pPr>
            <w:r>
              <w:rPr>
                <w:rFonts w:ascii="Calibri" w:hAnsi="Calibri" w:eastAsia="Calibri" w:cs="Calibri"/>
                <w:spacing w:val="-2"/>
                <w:position w:val="1"/>
                <w:sz w:val="21"/>
                <w:szCs w:val="21"/>
              </w:rPr>
              <w:t>1.9.1</w:t>
            </w:r>
          </w:p>
        </w:tc>
        <w:tc>
          <w:tcPr>
            <w:tcW w:w="2084" w:type="dxa"/>
            <w:vAlign w:val="top"/>
          </w:tcPr>
          <w:p w14:paraId="2143732D">
            <w:pPr>
              <w:spacing w:line="426" w:lineRule="auto"/>
              <w:rPr>
                <w:rFonts w:ascii="Arial"/>
                <w:sz w:val="21"/>
              </w:rPr>
            </w:pPr>
          </w:p>
          <w:p w14:paraId="22A8F298">
            <w:pPr>
              <w:pStyle w:val="6"/>
              <w:spacing w:before="68" w:line="220" w:lineRule="auto"/>
              <w:ind w:left="619"/>
              <w:rPr>
                <w:sz w:val="21"/>
                <w:szCs w:val="21"/>
              </w:rPr>
            </w:pPr>
            <w:r>
              <w:rPr>
                <w:spacing w:val="-2"/>
                <w:sz w:val="21"/>
                <w:szCs w:val="21"/>
              </w:rPr>
              <w:t>踏勘现场</w:t>
            </w:r>
          </w:p>
        </w:tc>
        <w:tc>
          <w:tcPr>
            <w:tcW w:w="5194" w:type="dxa"/>
            <w:vAlign w:val="top"/>
          </w:tcPr>
          <w:p w14:paraId="4865048E">
            <w:pPr>
              <w:pStyle w:val="6"/>
              <w:spacing w:before="32" w:line="223"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不组织</w:t>
            </w:r>
          </w:p>
          <w:p w14:paraId="1AEC763F">
            <w:pPr>
              <w:pStyle w:val="6"/>
              <w:spacing w:before="47" w:line="224" w:lineRule="auto"/>
              <w:ind w:left="132"/>
              <w:rPr>
                <w:sz w:val="21"/>
                <w:szCs w:val="21"/>
              </w:rPr>
            </w:pPr>
            <w:r>
              <w:rPr>
                <w:color w:val="0000FF"/>
                <w:spacing w:val="-16"/>
                <w:sz w:val="21"/>
                <w:szCs w:val="21"/>
              </w:rPr>
              <w:t>□</w:t>
            </w:r>
            <w:r>
              <w:rPr>
                <w:spacing w:val="-16"/>
                <w:sz w:val="21"/>
                <w:szCs w:val="21"/>
              </w:rPr>
              <w:t>组织，</w:t>
            </w:r>
          </w:p>
          <w:p w14:paraId="75166DDC">
            <w:pPr>
              <w:pStyle w:val="6"/>
              <w:spacing w:before="60" w:line="220" w:lineRule="auto"/>
              <w:ind w:left="112"/>
              <w:rPr>
                <w:sz w:val="21"/>
                <w:szCs w:val="21"/>
              </w:rPr>
            </w:pPr>
            <w:r>
              <w:rPr>
                <w:spacing w:val="-9"/>
                <w:sz w:val="21"/>
                <w:szCs w:val="21"/>
              </w:rPr>
              <w:t>踏勘时间：</w:t>
            </w:r>
          </w:p>
          <w:p w14:paraId="1D452F30">
            <w:pPr>
              <w:pStyle w:val="6"/>
              <w:spacing w:before="65" w:line="211" w:lineRule="auto"/>
              <w:ind w:left="112"/>
              <w:rPr>
                <w:sz w:val="21"/>
                <w:szCs w:val="21"/>
              </w:rPr>
            </w:pPr>
            <w:r>
              <w:rPr>
                <w:spacing w:val="-7"/>
                <w:sz w:val="21"/>
                <w:szCs w:val="21"/>
              </w:rPr>
              <w:t>踏勘集中地点：</w:t>
            </w:r>
          </w:p>
        </w:tc>
      </w:tr>
      <w:tr w14:paraId="11D8B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952" w:type="dxa"/>
            <w:vAlign w:val="top"/>
          </w:tcPr>
          <w:p w14:paraId="456E2F3D">
            <w:pPr>
              <w:spacing w:line="470" w:lineRule="auto"/>
              <w:rPr>
                <w:rFonts w:ascii="Arial"/>
                <w:sz w:val="21"/>
              </w:rPr>
            </w:pPr>
          </w:p>
          <w:p w14:paraId="574F75DE">
            <w:pPr>
              <w:spacing w:before="65" w:line="264" w:lineRule="exact"/>
              <w:ind w:left="212"/>
              <w:rPr>
                <w:rFonts w:ascii="Calibri" w:hAnsi="Calibri" w:eastAsia="Calibri" w:cs="Calibri"/>
                <w:sz w:val="21"/>
                <w:szCs w:val="21"/>
              </w:rPr>
            </w:pPr>
            <w:r>
              <w:rPr>
                <w:rFonts w:ascii="Calibri" w:hAnsi="Calibri" w:eastAsia="Calibri" w:cs="Calibri"/>
                <w:spacing w:val="-2"/>
                <w:position w:val="1"/>
                <w:sz w:val="21"/>
                <w:szCs w:val="21"/>
              </w:rPr>
              <w:t>1.10.1</w:t>
            </w:r>
          </w:p>
        </w:tc>
        <w:tc>
          <w:tcPr>
            <w:tcW w:w="2084" w:type="dxa"/>
            <w:vAlign w:val="top"/>
          </w:tcPr>
          <w:p w14:paraId="34C5F12A">
            <w:pPr>
              <w:spacing w:line="443" w:lineRule="auto"/>
              <w:rPr>
                <w:rFonts w:ascii="Arial"/>
                <w:sz w:val="21"/>
              </w:rPr>
            </w:pPr>
          </w:p>
          <w:p w14:paraId="3C734997">
            <w:pPr>
              <w:pStyle w:val="6"/>
              <w:spacing w:before="69" w:line="219" w:lineRule="auto"/>
              <w:ind w:left="515"/>
              <w:rPr>
                <w:sz w:val="21"/>
                <w:szCs w:val="21"/>
              </w:rPr>
            </w:pPr>
            <w:r>
              <w:rPr>
                <w:spacing w:val="-2"/>
                <w:sz w:val="21"/>
                <w:szCs w:val="21"/>
              </w:rPr>
              <w:t>投标预备会</w:t>
            </w:r>
          </w:p>
        </w:tc>
        <w:tc>
          <w:tcPr>
            <w:tcW w:w="5194" w:type="dxa"/>
            <w:vAlign w:val="top"/>
          </w:tcPr>
          <w:p w14:paraId="324EA678">
            <w:pPr>
              <w:pStyle w:val="6"/>
              <w:spacing w:before="50"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不召开</w:t>
            </w:r>
          </w:p>
          <w:p w14:paraId="68290B77">
            <w:pPr>
              <w:pStyle w:val="6"/>
              <w:spacing w:before="49" w:line="221" w:lineRule="auto"/>
              <w:ind w:left="132"/>
              <w:rPr>
                <w:sz w:val="21"/>
                <w:szCs w:val="21"/>
              </w:rPr>
            </w:pPr>
            <w:r>
              <w:rPr>
                <w:color w:val="0000FF"/>
                <w:spacing w:val="-16"/>
                <w:sz w:val="21"/>
                <w:szCs w:val="21"/>
              </w:rPr>
              <w:t>□</w:t>
            </w:r>
            <w:r>
              <w:rPr>
                <w:spacing w:val="-16"/>
                <w:sz w:val="21"/>
                <w:szCs w:val="21"/>
              </w:rPr>
              <w:t>召开，</w:t>
            </w:r>
          </w:p>
          <w:p w14:paraId="2959F225">
            <w:pPr>
              <w:pStyle w:val="6"/>
              <w:spacing w:before="64" w:line="221" w:lineRule="auto"/>
              <w:ind w:left="119"/>
              <w:rPr>
                <w:sz w:val="21"/>
                <w:szCs w:val="21"/>
              </w:rPr>
            </w:pPr>
            <w:r>
              <w:rPr>
                <w:spacing w:val="-11"/>
                <w:sz w:val="21"/>
                <w:szCs w:val="21"/>
              </w:rPr>
              <w:t>召开时间：</w:t>
            </w:r>
          </w:p>
          <w:p w14:paraId="5EF50BC0">
            <w:pPr>
              <w:pStyle w:val="6"/>
              <w:spacing w:before="48" w:line="221" w:lineRule="auto"/>
              <w:ind w:left="119"/>
              <w:rPr>
                <w:sz w:val="21"/>
                <w:szCs w:val="21"/>
              </w:rPr>
            </w:pPr>
            <w:r>
              <w:rPr>
                <w:spacing w:val="-11"/>
                <w:sz w:val="21"/>
                <w:szCs w:val="21"/>
              </w:rPr>
              <w:t>召开地点：</w:t>
            </w:r>
          </w:p>
        </w:tc>
      </w:tr>
      <w:tr w14:paraId="50C25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52" w:type="dxa"/>
            <w:vAlign w:val="top"/>
          </w:tcPr>
          <w:p w14:paraId="44D3AFAE">
            <w:pPr>
              <w:spacing w:before="223" w:line="265" w:lineRule="exact"/>
              <w:ind w:left="212"/>
              <w:rPr>
                <w:rFonts w:ascii="Calibri" w:hAnsi="Calibri" w:eastAsia="Calibri" w:cs="Calibri"/>
                <w:sz w:val="21"/>
                <w:szCs w:val="21"/>
              </w:rPr>
            </w:pPr>
            <w:r>
              <w:rPr>
                <w:rFonts w:ascii="Calibri" w:hAnsi="Calibri" w:eastAsia="Calibri" w:cs="Calibri"/>
                <w:spacing w:val="-2"/>
                <w:position w:val="1"/>
                <w:sz w:val="21"/>
                <w:szCs w:val="21"/>
              </w:rPr>
              <w:t>1.10.2</w:t>
            </w:r>
          </w:p>
        </w:tc>
        <w:tc>
          <w:tcPr>
            <w:tcW w:w="2084" w:type="dxa"/>
            <w:vAlign w:val="top"/>
          </w:tcPr>
          <w:p w14:paraId="7247D74B">
            <w:pPr>
              <w:pStyle w:val="6"/>
              <w:spacing w:before="51" w:line="250" w:lineRule="auto"/>
              <w:ind w:left="617" w:right="195" w:hanging="417"/>
              <w:rPr>
                <w:sz w:val="21"/>
                <w:szCs w:val="21"/>
              </w:rPr>
            </w:pPr>
            <w:r>
              <w:rPr>
                <w:spacing w:val="-1"/>
                <w:sz w:val="21"/>
                <w:szCs w:val="21"/>
              </w:rPr>
              <w:t>投标人提出问题的</w:t>
            </w:r>
            <w:r>
              <w:rPr>
                <w:spacing w:val="-2"/>
                <w:sz w:val="21"/>
                <w:szCs w:val="21"/>
              </w:rPr>
              <w:t>截止时间</w:t>
            </w:r>
          </w:p>
        </w:tc>
        <w:tc>
          <w:tcPr>
            <w:tcW w:w="5194" w:type="dxa"/>
            <w:vAlign w:val="top"/>
          </w:tcPr>
          <w:p w14:paraId="3C6E42D9">
            <w:pPr>
              <w:pStyle w:val="6"/>
              <w:spacing w:before="201" w:line="233" w:lineRule="auto"/>
              <w:ind w:left="119"/>
              <w:rPr>
                <w:sz w:val="21"/>
                <w:szCs w:val="21"/>
              </w:rPr>
            </w:pPr>
            <w:r>
              <w:rPr>
                <w:spacing w:val="-3"/>
                <w:sz w:val="21"/>
                <w:szCs w:val="21"/>
              </w:rPr>
              <w:t xml:space="preserve">召开投标预备会之日  </w:t>
            </w:r>
            <w:r>
              <w:rPr>
                <w:rFonts w:ascii="Calibri" w:hAnsi="Calibri" w:eastAsia="Calibri" w:cs="Calibri"/>
                <w:color w:val="0000FF"/>
                <w:spacing w:val="-3"/>
                <w:sz w:val="21"/>
                <w:szCs w:val="21"/>
              </w:rPr>
              <w:t xml:space="preserve">/   </w:t>
            </w:r>
            <w:r>
              <w:rPr>
                <w:spacing w:val="-3"/>
                <w:sz w:val="21"/>
                <w:szCs w:val="21"/>
              </w:rPr>
              <w:t>日前</w:t>
            </w:r>
          </w:p>
        </w:tc>
      </w:tr>
      <w:tr w14:paraId="7F982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2" w:hRule="atLeast"/>
        </w:trPr>
        <w:tc>
          <w:tcPr>
            <w:tcW w:w="952" w:type="dxa"/>
            <w:vAlign w:val="top"/>
          </w:tcPr>
          <w:p w14:paraId="3E7F0423">
            <w:pPr>
              <w:spacing w:line="310" w:lineRule="auto"/>
              <w:rPr>
                <w:rFonts w:ascii="Arial"/>
                <w:sz w:val="21"/>
              </w:rPr>
            </w:pPr>
          </w:p>
          <w:p w14:paraId="226223B6">
            <w:pPr>
              <w:spacing w:line="311" w:lineRule="auto"/>
              <w:rPr>
                <w:rFonts w:ascii="Arial"/>
                <w:sz w:val="21"/>
              </w:rPr>
            </w:pPr>
          </w:p>
          <w:p w14:paraId="6D9E5D90">
            <w:pPr>
              <w:spacing w:before="65" w:line="265" w:lineRule="exact"/>
              <w:ind w:left="287"/>
              <w:rPr>
                <w:rFonts w:ascii="Calibri" w:hAnsi="Calibri" w:eastAsia="Calibri" w:cs="Calibri"/>
                <w:sz w:val="21"/>
                <w:szCs w:val="21"/>
              </w:rPr>
            </w:pPr>
            <w:r>
              <w:rPr>
                <w:rFonts w:ascii="Calibri" w:hAnsi="Calibri" w:eastAsia="Calibri" w:cs="Calibri"/>
                <w:spacing w:val="-4"/>
                <w:position w:val="1"/>
                <w:sz w:val="21"/>
                <w:szCs w:val="21"/>
              </w:rPr>
              <w:t>1.11</w:t>
            </w:r>
          </w:p>
        </w:tc>
        <w:tc>
          <w:tcPr>
            <w:tcW w:w="2084" w:type="dxa"/>
            <w:vAlign w:val="top"/>
          </w:tcPr>
          <w:p w14:paraId="1A7D9D71">
            <w:pPr>
              <w:spacing w:line="297" w:lineRule="auto"/>
              <w:rPr>
                <w:rFonts w:ascii="Arial"/>
                <w:sz w:val="21"/>
              </w:rPr>
            </w:pPr>
          </w:p>
          <w:p w14:paraId="739A42BE">
            <w:pPr>
              <w:spacing w:line="298" w:lineRule="auto"/>
              <w:rPr>
                <w:rFonts w:ascii="Arial"/>
                <w:sz w:val="21"/>
              </w:rPr>
            </w:pPr>
          </w:p>
          <w:p w14:paraId="74C9D758">
            <w:pPr>
              <w:pStyle w:val="6"/>
              <w:spacing w:before="68" w:line="220" w:lineRule="auto"/>
              <w:ind w:left="725"/>
              <w:rPr>
                <w:sz w:val="21"/>
                <w:szCs w:val="21"/>
              </w:rPr>
            </w:pPr>
            <w:r>
              <w:rPr>
                <w:spacing w:val="-6"/>
                <w:sz w:val="21"/>
                <w:szCs w:val="21"/>
              </w:rPr>
              <w:t>分</w:t>
            </w:r>
            <w:r>
              <w:rPr>
                <w:spacing w:val="4"/>
                <w:sz w:val="21"/>
                <w:szCs w:val="21"/>
              </w:rPr>
              <w:t xml:space="preserve">  </w:t>
            </w:r>
            <w:r>
              <w:rPr>
                <w:spacing w:val="-6"/>
                <w:sz w:val="21"/>
                <w:szCs w:val="21"/>
              </w:rPr>
              <w:t>包</w:t>
            </w:r>
          </w:p>
        </w:tc>
        <w:tc>
          <w:tcPr>
            <w:tcW w:w="5194" w:type="dxa"/>
            <w:vAlign w:val="top"/>
          </w:tcPr>
          <w:p w14:paraId="12E8FCDE">
            <w:pPr>
              <w:pStyle w:val="6"/>
              <w:spacing w:before="36" w:line="220"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不允许</w:t>
            </w:r>
          </w:p>
          <w:p w14:paraId="195E7866">
            <w:pPr>
              <w:pStyle w:val="6"/>
              <w:spacing w:before="50" w:line="220" w:lineRule="auto"/>
              <w:ind w:left="132"/>
              <w:rPr>
                <w:sz w:val="21"/>
                <w:szCs w:val="21"/>
              </w:rPr>
            </w:pPr>
            <w:r>
              <w:rPr>
                <w:color w:val="0000FF"/>
                <w:spacing w:val="-16"/>
                <w:sz w:val="21"/>
                <w:szCs w:val="21"/>
              </w:rPr>
              <w:t>□</w:t>
            </w:r>
            <w:r>
              <w:rPr>
                <w:spacing w:val="-16"/>
                <w:sz w:val="21"/>
                <w:szCs w:val="21"/>
              </w:rPr>
              <w:t>允许，</w:t>
            </w:r>
          </w:p>
          <w:p w14:paraId="38788B21">
            <w:pPr>
              <w:pStyle w:val="6"/>
              <w:spacing w:before="64" w:line="220" w:lineRule="auto"/>
              <w:ind w:left="113"/>
              <w:rPr>
                <w:sz w:val="21"/>
                <w:szCs w:val="21"/>
              </w:rPr>
            </w:pPr>
            <w:r>
              <w:rPr>
                <w:spacing w:val="-7"/>
                <w:sz w:val="21"/>
                <w:szCs w:val="21"/>
              </w:rPr>
              <w:t>分包内容要求：</w:t>
            </w:r>
          </w:p>
          <w:p w14:paraId="677FB044">
            <w:pPr>
              <w:pStyle w:val="6"/>
              <w:spacing w:before="65" w:line="220" w:lineRule="auto"/>
              <w:ind w:left="113"/>
              <w:rPr>
                <w:sz w:val="21"/>
                <w:szCs w:val="21"/>
              </w:rPr>
            </w:pPr>
            <w:r>
              <w:rPr>
                <w:spacing w:val="-7"/>
                <w:sz w:val="21"/>
                <w:szCs w:val="21"/>
              </w:rPr>
              <w:t>分包金额要求：</w:t>
            </w:r>
          </w:p>
          <w:p w14:paraId="456EA0BB">
            <w:pPr>
              <w:pStyle w:val="6"/>
              <w:spacing w:before="49" w:line="220" w:lineRule="auto"/>
              <w:ind w:left="110"/>
              <w:rPr>
                <w:sz w:val="21"/>
                <w:szCs w:val="21"/>
              </w:rPr>
            </w:pPr>
            <w:r>
              <w:rPr>
                <w:spacing w:val="-4"/>
                <w:sz w:val="21"/>
                <w:szCs w:val="21"/>
              </w:rPr>
              <w:t>接受分包的第三人资质要求：</w:t>
            </w:r>
          </w:p>
        </w:tc>
      </w:tr>
    </w:tbl>
    <w:p w14:paraId="18B07281">
      <w:pPr>
        <w:pStyle w:val="2"/>
      </w:pPr>
    </w:p>
    <w:p w14:paraId="3331C347">
      <w:pPr>
        <w:sectPr>
          <w:footerReference r:id="rId27" w:type="default"/>
          <w:pgSz w:w="11910" w:h="16845"/>
          <w:pgMar w:top="1431" w:right="1786" w:bottom="1065" w:left="1786" w:header="0" w:footer="838" w:gutter="0"/>
          <w:cols w:space="720" w:num="1"/>
        </w:sectPr>
      </w:pPr>
    </w:p>
    <w:p w14:paraId="38F8CBCD">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6C410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952" w:type="dxa"/>
            <w:vAlign w:val="top"/>
          </w:tcPr>
          <w:p w14:paraId="64530035">
            <w:pPr>
              <w:pStyle w:val="6"/>
              <w:spacing w:before="44" w:line="220" w:lineRule="auto"/>
              <w:ind w:left="129"/>
              <w:rPr>
                <w:sz w:val="21"/>
                <w:szCs w:val="21"/>
              </w:rPr>
            </w:pPr>
            <w:r>
              <w:rPr>
                <w:b/>
                <w:bCs/>
                <w:spacing w:val="4"/>
                <w:sz w:val="21"/>
                <w:szCs w:val="21"/>
              </w:rPr>
              <w:t>条款号</w:t>
            </w:r>
          </w:p>
        </w:tc>
        <w:tc>
          <w:tcPr>
            <w:tcW w:w="2084" w:type="dxa"/>
            <w:vAlign w:val="top"/>
          </w:tcPr>
          <w:p w14:paraId="5817E923">
            <w:pPr>
              <w:pStyle w:val="6"/>
              <w:spacing w:before="44" w:line="220" w:lineRule="auto"/>
              <w:ind w:left="604"/>
              <w:rPr>
                <w:sz w:val="21"/>
                <w:szCs w:val="21"/>
              </w:rPr>
            </w:pPr>
            <w:r>
              <w:rPr>
                <w:b/>
                <w:bCs/>
                <w:spacing w:val="6"/>
                <w:sz w:val="21"/>
                <w:szCs w:val="21"/>
              </w:rPr>
              <w:t>条款名称</w:t>
            </w:r>
          </w:p>
        </w:tc>
        <w:tc>
          <w:tcPr>
            <w:tcW w:w="5194" w:type="dxa"/>
            <w:vAlign w:val="top"/>
          </w:tcPr>
          <w:p w14:paraId="2F077EFA">
            <w:pPr>
              <w:pStyle w:val="6"/>
              <w:spacing w:before="44" w:line="220" w:lineRule="auto"/>
              <w:ind w:left="2155"/>
              <w:rPr>
                <w:sz w:val="21"/>
                <w:szCs w:val="21"/>
              </w:rPr>
            </w:pPr>
            <w:r>
              <w:rPr>
                <w:b/>
                <w:bCs/>
                <w:spacing w:val="6"/>
                <w:sz w:val="21"/>
                <w:szCs w:val="21"/>
              </w:rPr>
              <w:t>编列内容</w:t>
            </w:r>
          </w:p>
        </w:tc>
      </w:tr>
      <w:tr w14:paraId="674BC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5" w:hRule="atLeast"/>
        </w:trPr>
        <w:tc>
          <w:tcPr>
            <w:tcW w:w="952" w:type="dxa"/>
            <w:vAlign w:val="top"/>
          </w:tcPr>
          <w:p w14:paraId="5E1D8A9C">
            <w:pPr>
              <w:spacing w:line="257" w:lineRule="auto"/>
              <w:rPr>
                <w:rFonts w:ascii="Arial"/>
                <w:sz w:val="21"/>
              </w:rPr>
            </w:pPr>
          </w:p>
          <w:p w14:paraId="46C91B7B">
            <w:pPr>
              <w:spacing w:line="257" w:lineRule="auto"/>
              <w:rPr>
                <w:rFonts w:ascii="Arial"/>
                <w:sz w:val="21"/>
              </w:rPr>
            </w:pPr>
          </w:p>
          <w:p w14:paraId="1A3A4F8A">
            <w:pPr>
              <w:spacing w:line="258" w:lineRule="auto"/>
              <w:rPr>
                <w:rFonts w:ascii="Arial"/>
                <w:sz w:val="21"/>
              </w:rPr>
            </w:pPr>
          </w:p>
          <w:p w14:paraId="1539F92E">
            <w:pPr>
              <w:spacing w:before="64" w:line="266" w:lineRule="exact"/>
              <w:ind w:left="287"/>
              <w:rPr>
                <w:rFonts w:ascii="Calibri" w:hAnsi="Calibri" w:eastAsia="Calibri" w:cs="Calibri"/>
                <w:sz w:val="21"/>
                <w:szCs w:val="21"/>
              </w:rPr>
            </w:pPr>
            <w:r>
              <w:rPr>
                <w:rFonts w:ascii="Calibri" w:hAnsi="Calibri" w:eastAsia="Calibri" w:cs="Calibri"/>
                <w:spacing w:val="-4"/>
                <w:position w:val="1"/>
                <w:sz w:val="21"/>
                <w:szCs w:val="21"/>
              </w:rPr>
              <w:t>1.12</w:t>
            </w:r>
          </w:p>
        </w:tc>
        <w:tc>
          <w:tcPr>
            <w:tcW w:w="2084" w:type="dxa"/>
            <w:vAlign w:val="top"/>
          </w:tcPr>
          <w:p w14:paraId="5172E6A7">
            <w:pPr>
              <w:spacing w:line="248" w:lineRule="auto"/>
              <w:rPr>
                <w:rFonts w:ascii="Arial"/>
                <w:sz w:val="21"/>
              </w:rPr>
            </w:pPr>
          </w:p>
          <w:p w14:paraId="228433CD">
            <w:pPr>
              <w:spacing w:line="248" w:lineRule="auto"/>
              <w:rPr>
                <w:rFonts w:ascii="Arial"/>
                <w:sz w:val="21"/>
              </w:rPr>
            </w:pPr>
          </w:p>
          <w:p w14:paraId="66A654B9">
            <w:pPr>
              <w:spacing w:line="249" w:lineRule="auto"/>
              <w:rPr>
                <w:rFonts w:ascii="Arial"/>
                <w:sz w:val="21"/>
              </w:rPr>
            </w:pPr>
          </w:p>
          <w:p w14:paraId="5B9BCCFA">
            <w:pPr>
              <w:pStyle w:val="6"/>
              <w:spacing w:before="68" w:line="220" w:lineRule="auto"/>
              <w:ind w:left="723"/>
              <w:rPr>
                <w:sz w:val="21"/>
                <w:szCs w:val="21"/>
              </w:rPr>
            </w:pPr>
            <w:r>
              <w:rPr>
                <w:spacing w:val="-5"/>
                <w:sz w:val="21"/>
                <w:szCs w:val="21"/>
              </w:rPr>
              <w:t>偏</w:t>
            </w:r>
            <w:r>
              <w:rPr>
                <w:spacing w:val="6"/>
                <w:sz w:val="21"/>
                <w:szCs w:val="21"/>
              </w:rPr>
              <w:t xml:space="preserve">  </w:t>
            </w:r>
            <w:r>
              <w:rPr>
                <w:spacing w:val="-5"/>
                <w:sz w:val="21"/>
                <w:szCs w:val="21"/>
              </w:rPr>
              <w:t>离</w:t>
            </w:r>
          </w:p>
        </w:tc>
        <w:tc>
          <w:tcPr>
            <w:tcW w:w="5194" w:type="dxa"/>
            <w:vAlign w:val="top"/>
          </w:tcPr>
          <w:p w14:paraId="0A6830B1">
            <w:pPr>
              <w:pStyle w:val="6"/>
              <w:spacing w:before="37" w:line="220" w:lineRule="auto"/>
              <w:ind w:left="120"/>
              <w:rPr>
                <w:sz w:val="21"/>
                <w:szCs w:val="21"/>
              </w:rPr>
            </w:pPr>
            <w:r>
              <w:rPr>
                <w:rFonts w:ascii="Segoe UI Symbol" w:hAnsi="Segoe UI Symbol" w:eastAsia="Segoe UI Symbol" w:cs="Segoe UI Symbol"/>
                <w:color w:val="0000FF"/>
                <w:spacing w:val="-8"/>
                <w:sz w:val="21"/>
                <w:szCs w:val="21"/>
              </w:rPr>
              <w:t>☑</w:t>
            </w:r>
            <w:r>
              <w:rPr>
                <w:spacing w:val="-8"/>
                <w:sz w:val="21"/>
                <w:szCs w:val="21"/>
              </w:rPr>
              <w:t>不允许，不允许偏离的范围：</w:t>
            </w:r>
          </w:p>
          <w:p w14:paraId="72514D9C">
            <w:pPr>
              <w:pStyle w:val="6"/>
              <w:spacing w:before="50" w:line="220" w:lineRule="auto"/>
              <w:ind w:left="132"/>
              <w:rPr>
                <w:sz w:val="21"/>
                <w:szCs w:val="21"/>
              </w:rPr>
            </w:pPr>
            <w:r>
              <w:rPr>
                <w:color w:val="0000FF"/>
                <w:spacing w:val="-16"/>
                <w:sz w:val="21"/>
                <w:szCs w:val="21"/>
              </w:rPr>
              <w:t>□</w:t>
            </w:r>
            <w:r>
              <w:rPr>
                <w:spacing w:val="-16"/>
                <w:sz w:val="21"/>
                <w:szCs w:val="21"/>
              </w:rPr>
              <w:t>允许，</w:t>
            </w:r>
          </w:p>
          <w:p w14:paraId="3713BECF">
            <w:pPr>
              <w:pStyle w:val="6"/>
              <w:spacing w:before="65" w:line="219" w:lineRule="auto"/>
              <w:ind w:left="112"/>
              <w:rPr>
                <w:sz w:val="21"/>
                <w:szCs w:val="21"/>
              </w:rPr>
            </w:pPr>
            <w:r>
              <w:rPr>
                <w:spacing w:val="-1"/>
                <w:sz w:val="21"/>
                <w:szCs w:val="21"/>
              </w:rPr>
              <w:t>可偏离的项目和范围见第七章</w:t>
            </w:r>
          </w:p>
          <w:p w14:paraId="50A1401D">
            <w:pPr>
              <w:pStyle w:val="6"/>
              <w:spacing w:before="66" w:line="233" w:lineRule="auto"/>
              <w:ind w:left="96"/>
              <w:rPr>
                <w:rFonts w:ascii="Calibri" w:hAnsi="Calibri" w:eastAsia="Calibri" w:cs="Calibri"/>
                <w:sz w:val="21"/>
                <w:szCs w:val="21"/>
              </w:rPr>
            </w:pPr>
            <w:r>
              <w:rPr>
                <w:spacing w:val="-9"/>
                <w:sz w:val="21"/>
                <w:szCs w:val="21"/>
              </w:rPr>
              <w:t>“技术标准和要求”：</w:t>
            </w:r>
            <w:r>
              <w:rPr>
                <w:rFonts w:ascii="Calibri" w:hAnsi="Calibri" w:eastAsia="Calibri" w:cs="Calibri"/>
                <w:color w:val="0000FF"/>
                <w:spacing w:val="-9"/>
                <w:sz w:val="21"/>
                <w:szCs w:val="21"/>
              </w:rPr>
              <w:t>/</w:t>
            </w:r>
          </w:p>
          <w:p w14:paraId="60794B29">
            <w:pPr>
              <w:pStyle w:val="6"/>
              <w:spacing w:before="35" w:line="233" w:lineRule="auto"/>
              <w:ind w:left="118"/>
              <w:rPr>
                <w:rFonts w:ascii="Calibri" w:hAnsi="Calibri" w:eastAsia="Calibri" w:cs="Calibri"/>
                <w:sz w:val="21"/>
                <w:szCs w:val="21"/>
              </w:rPr>
            </w:pPr>
            <w:r>
              <w:rPr>
                <w:spacing w:val="-2"/>
                <w:sz w:val="21"/>
                <w:szCs w:val="21"/>
              </w:rPr>
              <w:t>允许偏离最高项数：</w:t>
            </w:r>
            <w:r>
              <w:rPr>
                <w:rFonts w:ascii="Calibri" w:hAnsi="Calibri" w:eastAsia="Calibri" w:cs="Calibri"/>
                <w:color w:val="0000FF"/>
                <w:spacing w:val="-2"/>
                <w:sz w:val="21"/>
                <w:szCs w:val="21"/>
              </w:rPr>
              <w:t>/</w:t>
            </w:r>
          </w:p>
          <w:p w14:paraId="18C721FB">
            <w:pPr>
              <w:pStyle w:val="6"/>
              <w:spacing w:before="50" w:line="233" w:lineRule="auto"/>
              <w:ind w:left="321"/>
              <w:rPr>
                <w:rFonts w:ascii="Calibri" w:hAnsi="Calibri" w:eastAsia="Calibri" w:cs="Calibri"/>
                <w:sz w:val="21"/>
                <w:szCs w:val="21"/>
              </w:rPr>
            </w:pPr>
            <w:r>
              <w:rPr>
                <w:spacing w:val="-1"/>
                <w:sz w:val="21"/>
                <w:szCs w:val="21"/>
              </w:rPr>
              <w:t>偏差调整方法：</w:t>
            </w:r>
            <w:r>
              <w:rPr>
                <w:rFonts w:ascii="Calibri" w:hAnsi="Calibri" w:eastAsia="Calibri" w:cs="Calibri"/>
                <w:color w:val="0000FF"/>
                <w:spacing w:val="-1"/>
                <w:sz w:val="21"/>
                <w:szCs w:val="21"/>
              </w:rPr>
              <w:t>/</w:t>
            </w:r>
          </w:p>
        </w:tc>
      </w:tr>
      <w:tr w14:paraId="79C5E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7949DB02">
            <w:pPr>
              <w:spacing w:before="212" w:line="265" w:lineRule="exact"/>
              <w:ind w:left="251"/>
              <w:rPr>
                <w:rFonts w:ascii="Calibri" w:hAnsi="Calibri" w:eastAsia="Calibri" w:cs="Calibri"/>
                <w:sz w:val="21"/>
                <w:szCs w:val="21"/>
              </w:rPr>
            </w:pPr>
            <w:r>
              <w:rPr>
                <w:rFonts w:ascii="Calibri" w:hAnsi="Calibri" w:eastAsia="Calibri" w:cs="Calibri"/>
                <w:spacing w:val="-1"/>
                <w:position w:val="1"/>
                <w:sz w:val="21"/>
                <w:szCs w:val="21"/>
              </w:rPr>
              <w:t>2.1.1</w:t>
            </w:r>
          </w:p>
        </w:tc>
        <w:tc>
          <w:tcPr>
            <w:tcW w:w="2084" w:type="dxa"/>
            <w:vAlign w:val="top"/>
          </w:tcPr>
          <w:p w14:paraId="18D24F42">
            <w:pPr>
              <w:pStyle w:val="6"/>
              <w:spacing w:before="38" w:line="249" w:lineRule="auto"/>
              <w:ind w:left="722" w:right="195" w:hanging="522"/>
              <w:rPr>
                <w:sz w:val="21"/>
                <w:szCs w:val="21"/>
              </w:rPr>
            </w:pPr>
            <w:r>
              <w:rPr>
                <w:spacing w:val="-1"/>
                <w:sz w:val="21"/>
                <w:szCs w:val="21"/>
              </w:rPr>
              <w:t>构成招标文件的其</w:t>
            </w:r>
            <w:r>
              <w:rPr>
                <w:spacing w:val="-2"/>
                <w:sz w:val="21"/>
                <w:szCs w:val="21"/>
              </w:rPr>
              <w:t>他材料</w:t>
            </w:r>
          </w:p>
        </w:tc>
        <w:tc>
          <w:tcPr>
            <w:tcW w:w="5194" w:type="dxa"/>
            <w:vAlign w:val="top"/>
          </w:tcPr>
          <w:p w14:paraId="27529E6B">
            <w:pPr>
              <w:pStyle w:val="6"/>
              <w:spacing w:before="38" w:line="249" w:lineRule="auto"/>
              <w:ind w:left="114" w:right="86" w:hanging="4"/>
              <w:rPr>
                <w:sz w:val="21"/>
                <w:szCs w:val="21"/>
              </w:rPr>
            </w:pPr>
            <w:r>
              <w:rPr>
                <w:color w:val="0000FF"/>
                <w:spacing w:val="-3"/>
                <w:sz w:val="21"/>
                <w:szCs w:val="21"/>
              </w:rPr>
              <w:t>施工图纸、工程量清单、答疑或澄清文件（如有）等与</w:t>
            </w:r>
            <w:r>
              <w:rPr>
                <w:color w:val="0000FF"/>
                <w:spacing w:val="-5"/>
                <w:sz w:val="21"/>
                <w:szCs w:val="21"/>
              </w:rPr>
              <w:t>该项目相关内容。</w:t>
            </w:r>
          </w:p>
        </w:tc>
      </w:tr>
      <w:tr w14:paraId="2BF93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952" w:type="dxa"/>
            <w:vAlign w:val="top"/>
          </w:tcPr>
          <w:p w14:paraId="71D5E7CA">
            <w:pPr>
              <w:spacing w:before="62" w:line="266" w:lineRule="exact"/>
              <w:ind w:left="251"/>
              <w:rPr>
                <w:rFonts w:ascii="Calibri" w:hAnsi="Calibri" w:eastAsia="Calibri" w:cs="Calibri"/>
                <w:sz w:val="21"/>
                <w:szCs w:val="21"/>
              </w:rPr>
            </w:pPr>
            <w:r>
              <w:rPr>
                <w:rFonts w:ascii="Calibri" w:hAnsi="Calibri" w:eastAsia="Calibri" w:cs="Calibri"/>
                <w:spacing w:val="-1"/>
                <w:position w:val="1"/>
                <w:sz w:val="21"/>
                <w:szCs w:val="21"/>
              </w:rPr>
              <w:t>2.1.2</w:t>
            </w:r>
          </w:p>
          <w:p w14:paraId="78D9FB83">
            <w:pPr>
              <w:pStyle w:val="6"/>
              <w:spacing w:before="26" w:line="219" w:lineRule="auto"/>
              <w:ind w:left="208"/>
              <w:rPr>
                <w:sz w:val="21"/>
                <w:szCs w:val="21"/>
              </w:rPr>
            </w:pPr>
            <w:r>
              <w:rPr>
                <w:spacing w:val="-5"/>
                <w:sz w:val="21"/>
                <w:szCs w:val="21"/>
              </w:rPr>
              <w:t>（</w:t>
            </w:r>
            <w:r>
              <w:rPr>
                <w:rFonts w:ascii="Calibri" w:hAnsi="Calibri" w:eastAsia="Calibri" w:cs="Calibri"/>
                <w:spacing w:val="-5"/>
                <w:sz w:val="21"/>
                <w:szCs w:val="21"/>
              </w:rPr>
              <w:t>1</w:t>
            </w:r>
            <w:r>
              <w:rPr>
                <w:spacing w:val="-5"/>
                <w:sz w:val="21"/>
                <w:szCs w:val="21"/>
              </w:rPr>
              <w:t>）</w:t>
            </w:r>
          </w:p>
        </w:tc>
        <w:tc>
          <w:tcPr>
            <w:tcW w:w="2084" w:type="dxa"/>
            <w:vAlign w:val="top"/>
          </w:tcPr>
          <w:p w14:paraId="23BAB56D">
            <w:pPr>
              <w:pStyle w:val="6"/>
              <w:spacing w:before="189" w:line="219" w:lineRule="auto"/>
              <w:ind w:left="198"/>
              <w:rPr>
                <w:sz w:val="21"/>
                <w:szCs w:val="21"/>
              </w:rPr>
            </w:pPr>
            <w:r>
              <w:rPr>
                <w:spacing w:val="-1"/>
                <w:sz w:val="21"/>
                <w:szCs w:val="21"/>
              </w:rPr>
              <w:t>本工程的计税方法</w:t>
            </w:r>
          </w:p>
        </w:tc>
        <w:tc>
          <w:tcPr>
            <w:tcW w:w="5194" w:type="dxa"/>
            <w:vAlign w:val="top"/>
          </w:tcPr>
          <w:p w14:paraId="707369AD">
            <w:pPr>
              <w:pStyle w:val="6"/>
              <w:spacing w:before="39" w:line="221" w:lineRule="auto"/>
              <w:ind w:left="120"/>
              <w:rPr>
                <w:sz w:val="21"/>
                <w:szCs w:val="21"/>
              </w:rPr>
            </w:pPr>
            <w:r>
              <w:rPr>
                <w:rFonts w:ascii="Segoe UI Symbol" w:hAnsi="Segoe UI Symbol" w:eastAsia="Segoe UI Symbol" w:cs="Segoe UI Symbol"/>
                <w:color w:val="0000FF"/>
                <w:spacing w:val="-4"/>
                <w:sz w:val="21"/>
                <w:szCs w:val="21"/>
              </w:rPr>
              <w:t>☑</w:t>
            </w:r>
            <w:r>
              <w:rPr>
                <w:rFonts w:ascii="Segoe UI Symbol" w:hAnsi="Segoe UI Symbol" w:eastAsia="Segoe UI Symbol" w:cs="Segoe UI Symbol"/>
                <w:color w:val="0000FF"/>
                <w:spacing w:val="14"/>
                <w:sz w:val="21"/>
                <w:szCs w:val="21"/>
              </w:rPr>
              <w:t xml:space="preserve"> </w:t>
            </w:r>
            <w:r>
              <w:rPr>
                <w:spacing w:val="-4"/>
                <w:sz w:val="21"/>
                <w:szCs w:val="21"/>
              </w:rPr>
              <w:t>一般计税方法</w:t>
            </w:r>
          </w:p>
          <w:p w14:paraId="1B4A9067">
            <w:pPr>
              <w:pStyle w:val="6"/>
              <w:spacing w:before="49" w:line="219" w:lineRule="auto"/>
              <w:ind w:left="132"/>
              <w:rPr>
                <w:sz w:val="21"/>
                <w:szCs w:val="21"/>
              </w:rPr>
            </w:pPr>
            <w:r>
              <w:rPr>
                <w:color w:val="0000FF"/>
                <w:spacing w:val="-4"/>
                <w:sz w:val="21"/>
                <w:szCs w:val="21"/>
              </w:rPr>
              <w:t>□</w:t>
            </w:r>
            <w:r>
              <w:rPr>
                <w:spacing w:val="-4"/>
                <w:sz w:val="21"/>
                <w:szCs w:val="21"/>
              </w:rPr>
              <w:t>简易计税方法</w:t>
            </w:r>
          </w:p>
        </w:tc>
      </w:tr>
      <w:tr w14:paraId="7C525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952" w:type="dxa"/>
            <w:vAlign w:val="top"/>
          </w:tcPr>
          <w:p w14:paraId="0DC92B8A">
            <w:pPr>
              <w:spacing w:before="229" w:line="266" w:lineRule="exact"/>
              <w:ind w:left="251"/>
              <w:rPr>
                <w:rFonts w:ascii="Calibri" w:hAnsi="Calibri" w:eastAsia="Calibri" w:cs="Calibri"/>
                <w:sz w:val="21"/>
                <w:szCs w:val="21"/>
              </w:rPr>
            </w:pPr>
            <w:r>
              <w:rPr>
                <w:rFonts w:ascii="Calibri" w:hAnsi="Calibri" w:eastAsia="Calibri" w:cs="Calibri"/>
                <w:spacing w:val="-1"/>
                <w:position w:val="1"/>
                <w:sz w:val="21"/>
                <w:szCs w:val="21"/>
              </w:rPr>
              <w:t>2.1.2</w:t>
            </w:r>
          </w:p>
          <w:p w14:paraId="27363649">
            <w:pPr>
              <w:pStyle w:val="6"/>
              <w:spacing w:before="11" w:line="287" w:lineRule="exact"/>
              <w:ind w:left="208"/>
              <w:rPr>
                <w:sz w:val="21"/>
                <w:szCs w:val="21"/>
              </w:rPr>
            </w:pPr>
            <w:r>
              <w:rPr>
                <w:spacing w:val="-5"/>
                <w:position w:val="1"/>
                <w:sz w:val="21"/>
                <w:szCs w:val="21"/>
              </w:rPr>
              <w:t>（</w:t>
            </w:r>
            <w:r>
              <w:rPr>
                <w:rFonts w:ascii="Calibri" w:hAnsi="Calibri" w:eastAsia="Calibri" w:cs="Calibri"/>
                <w:spacing w:val="-5"/>
                <w:position w:val="1"/>
                <w:sz w:val="21"/>
                <w:szCs w:val="21"/>
              </w:rPr>
              <w:t>2</w:t>
            </w:r>
            <w:r>
              <w:rPr>
                <w:spacing w:val="-5"/>
                <w:position w:val="1"/>
                <w:sz w:val="21"/>
                <w:szCs w:val="21"/>
              </w:rPr>
              <w:t>）</w:t>
            </w:r>
          </w:p>
        </w:tc>
        <w:tc>
          <w:tcPr>
            <w:tcW w:w="2084" w:type="dxa"/>
            <w:vAlign w:val="top"/>
          </w:tcPr>
          <w:p w14:paraId="29059A66">
            <w:pPr>
              <w:pStyle w:val="6"/>
              <w:spacing w:before="41" w:line="218" w:lineRule="auto"/>
              <w:ind w:left="200"/>
              <w:rPr>
                <w:sz w:val="21"/>
                <w:szCs w:val="21"/>
              </w:rPr>
            </w:pPr>
            <w:r>
              <w:rPr>
                <w:spacing w:val="-1"/>
                <w:sz w:val="21"/>
                <w:szCs w:val="21"/>
              </w:rPr>
              <w:t>最高投标限价或最</w:t>
            </w:r>
          </w:p>
          <w:p w14:paraId="26F54CC4">
            <w:pPr>
              <w:pStyle w:val="6"/>
              <w:spacing w:before="67" w:line="218" w:lineRule="auto"/>
              <w:ind w:left="203"/>
              <w:rPr>
                <w:sz w:val="21"/>
                <w:szCs w:val="21"/>
              </w:rPr>
            </w:pPr>
            <w:r>
              <w:rPr>
                <w:spacing w:val="-2"/>
                <w:sz w:val="21"/>
                <w:szCs w:val="21"/>
              </w:rPr>
              <w:t>高投标限价的计算</w:t>
            </w:r>
          </w:p>
          <w:p w14:paraId="2D8A095E">
            <w:pPr>
              <w:pStyle w:val="6"/>
              <w:spacing w:before="66" w:line="221" w:lineRule="auto"/>
              <w:ind w:left="829"/>
              <w:rPr>
                <w:sz w:val="21"/>
                <w:szCs w:val="21"/>
              </w:rPr>
            </w:pPr>
            <w:r>
              <w:rPr>
                <w:spacing w:val="-3"/>
                <w:sz w:val="21"/>
                <w:szCs w:val="21"/>
              </w:rPr>
              <w:t>方法</w:t>
            </w:r>
          </w:p>
        </w:tc>
        <w:tc>
          <w:tcPr>
            <w:tcW w:w="5194" w:type="dxa"/>
            <w:vAlign w:val="top"/>
          </w:tcPr>
          <w:p w14:paraId="38DADE23">
            <w:pPr>
              <w:pStyle w:val="6"/>
              <w:spacing w:before="41" w:line="269" w:lineRule="auto"/>
              <w:ind w:left="113" w:right="133"/>
              <w:rPr>
                <w:sz w:val="21"/>
                <w:szCs w:val="21"/>
              </w:rPr>
            </w:pPr>
            <w:r>
              <w:rPr>
                <w:spacing w:val="-1"/>
                <w:sz w:val="21"/>
                <w:szCs w:val="21"/>
              </w:rPr>
              <w:t>最高投标限价为：</w:t>
            </w:r>
            <w:r>
              <w:rPr>
                <w:rFonts w:hint="eastAsia" w:ascii="Calibri" w:hAnsi="Calibri" w:cs="Calibri"/>
                <w:color w:val="0000FF"/>
                <w:spacing w:val="-1"/>
                <w:sz w:val="21"/>
                <w:szCs w:val="21"/>
                <w:lang w:val="en-US" w:eastAsia="zh-CN"/>
              </w:rPr>
              <w:t>4889316.19</w:t>
            </w:r>
            <w:r>
              <w:rPr>
                <w:rFonts w:ascii="Calibri" w:hAnsi="Calibri" w:eastAsia="Calibri" w:cs="Calibri"/>
                <w:color w:val="0000FF"/>
                <w:spacing w:val="18"/>
                <w:w w:val="101"/>
                <w:sz w:val="21"/>
                <w:szCs w:val="21"/>
              </w:rPr>
              <w:t xml:space="preserve">  </w:t>
            </w:r>
            <w:r>
              <w:rPr>
                <w:color w:val="0000FF"/>
                <w:spacing w:val="-1"/>
                <w:sz w:val="21"/>
                <w:szCs w:val="21"/>
              </w:rPr>
              <w:t>固</w:t>
            </w:r>
            <w:r>
              <w:rPr>
                <w:color w:val="0000FF"/>
                <w:spacing w:val="-2"/>
                <w:sz w:val="21"/>
                <w:szCs w:val="21"/>
              </w:rPr>
              <w:t xml:space="preserve">定下浮 </w:t>
            </w:r>
            <w:r>
              <w:rPr>
                <w:rFonts w:ascii="Calibri" w:hAnsi="Calibri" w:eastAsia="Calibri" w:cs="Calibri"/>
                <w:color w:val="0000FF"/>
                <w:spacing w:val="-2"/>
                <w:sz w:val="21"/>
                <w:szCs w:val="21"/>
              </w:rPr>
              <w:t>5%</w:t>
            </w:r>
            <w:r>
              <w:rPr>
                <w:color w:val="0000FF"/>
                <w:spacing w:val="-2"/>
                <w:sz w:val="21"/>
                <w:szCs w:val="21"/>
              </w:rPr>
              <w:t>（按规定不参与下浮的部分不下浮）</w:t>
            </w:r>
            <w:r>
              <w:rPr>
                <w:spacing w:val="-2"/>
                <w:sz w:val="21"/>
                <w:szCs w:val="21"/>
              </w:rPr>
              <w:t>元。</w:t>
            </w:r>
          </w:p>
          <w:p w14:paraId="23049466">
            <w:pPr>
              <w:pStyle w:val="6"/>
              <w:spacing w:before="18" w:line="231" w:lineRule="auto"/>
              <w:ind w:left="113"/>
              <w:rPr>
                <w:rFonts w:ascii="Calibri" w:hAnsi="Calibri" w:eastAsia="Calibri" w:cs="Calibri"/>
                <w:sz w:val="21"/>
                <w:szCs w:val="21"/>
              </w:rPr>
            </w:pPr>
            <w:r>
              <w:rPr>
                <w:spacing w:val="-1"/>
                <w:sz w:val="21"/>
                <w:szCs w:val="21"/>
              </w:rPr>
              <w:t>最高投标限价的计算方法：</w:t>
            </w:r>
            <w:r>
              <w:rPr>
                <w:rFonts w:ascii="Calibri" w:hAnsi="Calibri" w:eastAsia="Calibri" w:cs="Calibri"/>
                <w:color w:val="0000FF"/>
                <w:spacing w:val="-1"/>
                <w:sz w:val="21"/>
                <w:szCs w:val="21"/>
              </w:rPr>
              <w:t>/</w:t>
            </w:r>
          </w:p>
        </w:tc>
      </w:tr>
      <w:tr w14:paraId="5CFFC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0B8B67E1">
            <w:pPr>
              <w:spacing w:before="215" w:line="265" w:lineRule="exact"/>
              <w:ind w:left="251"/>
              <w:rPr>
                <w:rFonts w:ascii="Calibri" w:hAnsi="Calibri" w:eastAsia="Calibri" w:cs="Calibri"/>
                <w:sz w:val="21"/>
                <w:szCs w:val="21"/>
              </w:rPr>
            </w:pPr>
            <w:r>
              <w:rPr>
                <w:rFonts w:ascii="Calibri" w:hAnsi="Calibri" w:eastAsia="Calibri" w:cs="Calibri"/>
                <w:spacing w:val="-1"/>
                <w:position w:val="1"/>
                <w:sz w:val="21"/>
                <w:szCs w:val="21"/>
              </w:rPr>
              <w:t>2.2.1</w:t>
            </w:r>
          </w:p>
        </w:tc>
        <w:tc>
          <w:tcPr>
            <w:tcW w:w="2084" w:type="dxa"/>
            <w:vAlign w:val="top"/>
          </w:tcPr>
          <w:p w14:paraId="014306F4">
            <w:pPr>
              <w:pStyle w:val="6"/>
              <w:spacing w:before="27" w:line="254" w:lineRule="auto"/>
              <w:ind w:left="108" w:right="77" w:firstLine="1"/>
              <w:rPr>
                <w:sz w:val="21"/>
                <w:szCs w:val="21"/>
              </w:rPr>
            </w:pPr>
            <w:r>
              <w:rPr>
                <w:spacing w:val="25"/>
                <w:sz w:val="21"/>
                <w:szCs w:val="21"/>
              </w:rPr>
              <w:t>投标人要求澄清招</w:t>
            </w:r>
            <w:r>
              <w:rPr>
                <w:spacing w:val="-1"/>
                <w:sz w:val="21"/>
                <w:szCs w:val="21"/>
              </w:rPr>
              <w:t>标文件的截止时间</w:t>
            </w:r>
          </w:p>
        </w:tc>
        <w:tc>
          <w:tcPr>
            <w:tcW w:w="5194" w:type="dxa"/>
            <w:vAlign w:val="top"/>
          </w:tcPr>
          <w:p w14:paraId="02512DBF">
            <w:pPr>
              <w:pStyle w:val="6"/>
              <w:spacing w:before="192"/>
              <w:ind w:left="112"/>
              <w:rPr>
                <w:sz w:val="21"/>
                <w:szCs w:val="21"/>
              </w:rPr>
            </w:pPr>
            <w:r>
              <w:rPr>
                <w:spacing w:val="-3"/>
                <w:sz w:val="21"/>
                <w:szCs w:val="21"/>
              </w:rPr>
              <w:t>递交投标文件截止之日</w:t>
            </w:r>
            <w:r>
              <w:rPr>
                <w:spacing w:val="-20"/>
                <w:sz w:val="21"/>
                <w:szCs w:val="21"/>
              </w:rPr>
              <w:t xml:space="preserve"> </w:t>
            </w:r>
            <w:r>
              <w:rPr>
                <w:rFonts w:ascii="Calibri" w:hAnsi="Calibri" w:eastAsia="Calibri" w:cs="Calibri"/>
                <w:color w:val="0000FF"/>
                <w:spacing w:val="-3"/>
                <w:sz w:val="21"/>
                <w:szCs w:val="21"/>
              </w:rPr>
              <w:t xml:space="preserve">15  </w:t>
            </w:r>
            <w:r>
              <w:rPr>
                <w:spacing w:val="-3"/>
                <w:sz w:val="21"/>
                <w:szCs w:val="21"/>
              </w:rPr>
              <w:t>日前</w:t>
            </w:r>
          </w:p>
        </w:tc>
      </w:tr>
      <w:tr w14:paraId="7612E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2A67A421">
            <w:pPr>
              <w:spacing w:before="215" w:line="265" w:lineRule="exact"/>
              <w:ind w:left="250"/>
              <w:rPr>
                <w:rFonts w:ascii="Calibri" w:hAnsi="Calibri" w:eastAsia="Calibri" w:cs="Calibri"/>
                <w:sz w:val="21"/>
                <w:szCs w:val="21"/>
              </w:rPr>
            </w:pPr>
            <w:r>
              <w:rPr>
                <w:rFonts w:ascii="Calibri" w:hAnsi="Calibri" w:eastAsia="Calibri" w:cs="Calibri"/>
                <w:position w:val="1"/>
                <w:sz w:val="21"/>
                <w:szCs w:val="21"/>
              </w:rPr>
              <w:t>3.1.1</w:t>
            </w:r>
          </w:p>
        </w:tc>
        <w:tc>
          <w:tcPr>
            <w:tcW w:w="2084" w:type="dxa"/>
            <w:vAlign w:val="top"/>
          </w:tcPr>
          <w:p w14:paraId="03152994">
            <w:pPr>
              <w:pStyle w:val="6"/>
              <w:spacing w:before="27" w:line="254" w:lineRule="auto"/>
              <w:ind w:left="722" w:right="195" w:hanging="522"/>
              <w:rPr>
                <w:sz w:val="21"/>
                <w:szCs w:val="21"/>
              </w:rPr>
            </w:pPr>
            <w:r>
              <w:rPr>
                <w:spacing w:val="-1"/>
                <w:sz w:val="21"/>
                <w:szCs w:val="21"/>
              </w:rPr>
              <w:t>构成投标文件的其</w:t>
            </w:r>
            <w:r>
              <w:rPr>
                <w:spacing w:val="-2"/>
                <w:sz w:val="21"/>
                <w:szCs w:val="21"/>
              </w:rPr>
              <w:t>他材料</w:t>
            </w:r>
          </w:p>
        </w:tc>
        <w:tc>
          <w:tcPr>
            <w:tcW w:w="5194" w:type="dxa"/>
            <w:vAlign w:val="top"/>
          </w:tcPr>
          <w:p w14:paraId="7400E046">
            <w:pPr>
              <w:spacing w:before="216" w:line="222" w:lineRule="auto"/>
              <w:ind w:left="103"/>
              <w:rPr>
                <w:rFonts w:ascii="Calibri" w:hAnsi="Calibri" w:eastAsia="Calibri" w:cs="Calibri"/>
                <w:sz w:val="21"/>
                <w:szCs w:val="21"/>
              </w:rPr>
            </w:pPr>
            <w:r>
              <w:rPr>
                <w:rFonts w:ascii="Calibri" w:hAnsi="Calibri" w:eastAsia="Calibri" w:cs="Calibri"/>
                <w:color w:val="0000FF"/>
                <w:sz w:val="21"/>
                <w:szCs w:val="21"/>
              </w:rPr>
              <w:t>/</w:t>
            </w:r>
          </w:p>
        </w:tc>
      </w:tr>
      <w:tr w14:paraId="0178B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952" w:type="dxa"/>
            <w:vAlign w:val="top"/>
          </w:tcPr>
          <w:p w14:paraId="611D74F0">
            <w:pPr>
              <w:spacing w:before="66" w:line="222" w:lineRule="auto"/>
              <w:ind w:left="250"/>
              <w:rPr>
                <w:rFonts w:ascii="Calibri" w:hAnsi="Calibri" w:eastAsia="Calibri" w:cs="Calibri"/>
                <w:sz w:val="21"/>
                <w:szCs w:val="21"/>
              </w:rPr>
            </w:pPr>
            <w:r>
              <w:rPr>
                <w:rFonts w:ascii="Calibri" w:hAnsi="Calibri" w:eastAsia="Calibri" w:cs="Calibri"/>
                <w:sz w:val="21"/>
                <w:szCs w:val="21"/>
              </w:rPr>
              <w:t>3.3.1</w:t>
            </w:r>
          </w:p>
        </w:tc>
        <w:tc>
          <w:tcPr>
            <w:tcW w:w="2084" w:type="dxa"/>
            <w:vAlign w:val="top"/>
          </w:tcPr>
          <w:p w14:paraId="7108030C">
            <w:pPr>
              <w:pStyle w:val="6"/>
              <w:spacing w:before="43" w:line="220" w:lineRule="auto"/>
              <w:ind w:left="515"/>
              <w:rPr>
                <w:sz w:val="21"/>
                <w:szCs w:val="21"/>
              </w:rPr>
            </w:pPr>
            <w:r>
              <w:rPr>
                <w:spacing w:val="-2"/>
                <w:sz w:val="21"/>
                <w:szCs w:val="21"/>
              </w:rPr>
              <w:t>投标有效期</w:t>
            </w:r>
          </w:p>
        </w:tc>
        <w:tc>
          <w:tcPr>
            <w:tcW w:w="5194" w:type="dxa"/>
            <w:vAlign w:val="top"/>
          </w:tcPr>
          <w:p w14:paraId="27BDB280">
            <w:pPr>
              <w:pStyle w:val="6"/>
              <w:spacing w:before="43" w:line="229" w:lineRule="auto"/>
              <w:ind w:left="145"/>
              <w:rPr>
                <w:sz w:val="21"/>
                <w:szCs w:val="21"/>
              </w:rPr>
            </w:pPr>
            <w:r>
              <w:rPr>
                <w:spacing w:val="-5"/>
                <w:sz w:val="21"/>
                <w:szCs w:val="21"/>
              </w:rPr>
              <w:t>自投标截止之日起</w:t>
            </w:r>
            <w:r>
              <w:rPr>
                <w:spacing w:val="-32"/>
                <w:sz w:val="21"/>
                <w:szCs w:val="21"/>
              </w:rPr>
              <w:t xml:space="preserve"> </w:t>
            </w:r>
            <w:r>
              <w:rPr>
                <w:rFonts w:ascii="Calibri" w:hAnsi="Calibri" w:eastAsia="Calibri" w:cs="Calibri"/>
                <w:color w:val="0000FF"/>
                <w:spacing w:val="-5"/>
                <w:sz w:val="21"/>
                <w:szCs w:val="21"/>
              </w:rPr>
              <w:t xml:space="preserve">90  </w:t>
            </w:r>
            <w:r>
              <w:rPr>
                <w:spacing w:val="-5"/>
                <w:sz w:val="21"/>
                <w:szCs w:val="21"/>
              </w:rPr>
              <w:t>日内有效</w:t>
            </w:r>
          </w:p>
        </w:tc>
      </w:tr>
      <w:tr w14:paraId="55A56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1" w:hRule="atLeast"/>
        </w:trPr>
        <w:tc>
          <w:tcPr>
            <w:tcW w:w="952" w:type="dxa"/>
            <w:vAlign w:val="top"/>
          </w:tcPr>
          <w:p w14:paraId="76F13221">
            <w:pPr>
              <w:spacing w:line="247" w:lineRule="auto"/>
              <w:rPr>
                <w:rFonts w:ascii="Arial"/>
                <w:sz w:val="21"/>
              </w:rPr>
            </w:pPr>
          </w:p>
          <w:p w14:paraId="737028C2">
            <w:pPr>
              <w:spacing w:line="248" w:lineRule="auto"/>
              <w:rPr>
                <w:rFonts w:ascii="Arial"/>
                <w:sz w:val="21"/>
              </w:rPr>
            </w:pPr>
          </w:p>
          <w:p w14:paraId="0657F0DB">
            <w:pPr>
              <w:spacing w:line="248" w:lineRule="auto"/>
              <w:rPr>
                <w:rFonts w:ascii="Arial"/>
                <w:sz w:val="21"/>
              </w:rPr>
            </w:pPr>
          </w:p>
          <w:p w14:paraId="132DD279">
            <w:pPr>
              <w:spacing w:line="248" w:lineRule="auto"/>
              <w:rPr>
                <w:rFonts w:ascii="Arial"/>
                <w:sz w:val="21"/>
              </w:rPr>
            </w:pPr>
          </w:p>
          <w:p w14:paraId="3FFB3888">
            <w:pPr>
              <w:spacing w:line="248" w:lineRule="auto"/>
              <w:rPr>
                <w:rFonts w:ascii="Arial"/>
                <w:sz w:val="21"/>
              </w:rPr>
            </w:pPr>
          </w:p>
          <w:p w14:paraId="1ED23B16">
            <w:pPr>
              <w:spacing w:line="248" w:lineRule="auto"/>
              <w:rPr>
                <w:rFonts w:ascii="Arial"/>
                <w:sz w:val="21"/>
              </w:rPr>
            </w:pPr>
          </w:p>
          <w:p w14:paraId="3BC45B9A">
            <w:pPr>
              <w:spacing w:line="248" w:lineRule="auto"/>
              <w:rPr>
                <w:rFonts w:ascii="Arial"/>
                <w:sz w:val="21"/>
              </w:rPr>
            </w:pPr>
          </w:p>
          <w:p w14:paraId="25337D8A">
            <w:pPr>
              <w:spacing w:line="248" w:lineRule="auto"/>
              <w:rPr>
                <w:rFonts w:ascii="Arial"/>
                <w:sz w:val="21"/>
              </w:rPr>
            </w:pPr>
          </w:p>
          <w:p w14:paraId="17BBF4F7">
            <w:pPr>
              <w:spacing w:line="248" w:lineRule="auto"/>
              <w:rPr>
                <w:rFonts w:ascii="Arial"/>
                <w:sz w:val="21"/>
              </w:rPr>
            </w:pPr>
          </w:p>
          <w:p w14:paraId="5AA3EEBC">
            <w:pPr>
              <w:spacing w:line="248" w:lineRule="auto"/>
              <w:rPr>
                <w:rFonts w:ascii="Arial"/>
                <w:sz w:val="21"/>
              </w:rPr>
            </w:pPr>
          </w:p>
          <w:p w14:paraId="4AE33B30">
            <w:pPr>
              <w:spacing w:line="248" w:lineRule="auto"/>
              <w:rPr>
                <w:rFonts w:ascii="Arial"/>
                <w:sz w:val="21"/>
              </w:rPr>
            </w:pPr>
          </w:p>
          <w:p w14:paraId="58773B2E">
            <w:pPr>
              <w:spacing w:line="248" w:lineRule="auto"/>
              <w:rPr>
                <w:rFonts w:ascii="Arial"/>
                <w:sz w:val="21"/>
              </w:rPr>
            </w:pPr>
          </w:p>
          <w:p w14:paraId="2B67CE11">
            <w:pPr>
              <w:spacing w:line="248" w:lineRule="auto"/>
              <w:rPr>
                <w:rFonts w:ascii="Arial"/>
                <w:sz w:val="21"/>
              </w:rPr>
            </w:pPr>
          </w:p>
          <w:p w14:paraId="56923227">
            <w:pPr>
              <w:spacing w:line="248" w:lineRule="auto"/>
              <w:rPr>
                <w:rFonts w:ascii="Arial"/>
                <w:sz w:val="21"/>
              </w:rPr>
            </w:pPr>
          </w:p>
          <w:p w14:paraId="684726DD">
            <w:pPr>
              <w:spacing w:line="248" w:lineRule="auto"/>
              <w:rPr>
                <w:rFonts w:ascii="Arial"/>
                <w:sz w:val="21"/>
              </w:rPr>
            </w:pPr>
          </w:p>
          <w:p w14:paraId="6CF5D8BF">
            <w:pPr>
              <w:spacing w:before="64" w:line="265" w:lineRule="exact"/>
              <w:ind w:left="250"/>
              <w:rPr>
                <w:rFonts w:ascii="Calibri" w:hAnsi="Calibri" w:eastAsia="Calibri" w:cs="Calibri"/>
                <w:sz w:val="21"/>
                <w:szCs w:val="21"/>
              </w:rPr>
            </w:pPr>
            <w:r>
              <w:rPr>
                <w:rFonts w:ascii="Calibri" w:hAnsi="Calibri" w:eastAsia="Calibri" w:cs="Calibri"/>
                <w:position w:val="1"/>
                <w:sz w:val="21"/>
                <w:szCs w:val="21"/>
              </w:rPr>
              <w:t>3.4.1</w:t>
            </w:r>
          </w:p>
        </w:tc>
        <w:tc>
          <w:tcPr>
            <w:tcW w:w="2084" w:type="dxa"/>
            <w:vAlign w:val="top"/>
          </w:tcPr>
          <w:p w14:paraId="20B64B32">
            <w:pPr>
              <w:spacing w:line="246" w:lineRule="auto"/>
              <w:rPr>
                <w:rFonts w:ascii="Arial"/>
                <w:sz w:val="21"/>
              </w:rPr>
            </w:pPr>
          </w:p>
          <w:p w14:paraId="5F843810">
            <w:pPr>
              <w:spacing w:line="246" w:lineRule="auto"/>
              <w:rPr>
                <w:rFonts w:ascii="Arial"/>
                <w:sz w:val="21"/>
              </w:rPr>
            </w:pPr>
          </w:p>
          <w:p w14:paraId="5E22F7E4">
            <w:pPr>
              <w:spacing w:line="246" w:lineRule="auto"/>
              <w:rPr>
                <w:rFonts w:ascii="Arial"/>
                <w:sz w:val="21"/>
              </w:rPr>
            </w:pPr>
          </w:p>
          <w:p w14:paraId="6B4A0414">
            <w:pPr>
              <w:spacing w:line="246" w:lineRule="auto"/>
              <w:rPr>
                <w:rFonts w:ascii="Arial"/>
                <w:sz w:val="21"/>
              </w:rPr>
            </w:pPr>
          </w:p>
          <w:p w14:paraId="2D66D9F8">
            <w:pPr>
              <w:spacing w:line="246" w:lineRule="auto"/>
              <w:rPr>
                <w:rFonts w:ascii="Arial"/>
                <w:sz w:val="21"/>
              </w:rPr>
            </w:pPr>
          </w:p>
          <w:p w14:paraId="2FC5DA3C">
            <w:pPr>
              <w:spacing w:line="246" w:lineRule="auto"/>
              <w:rPr>
                <w:rFonts w:ascii="Arial"/>
                <w:sz w:val="21"/>
              </w:rPr>
            </w:pPr>
          </w:p>
          <w:p w14:paraId="3AF8DAB9">
            <w:pPr>
              <w:spacing w:line="246" w:lineRule="auto"/>
              <w:rPr>
                <w:rFonts w:ascii="Arial"/>
                <w:sz w:val="21"/>
              </w:rPr>
            </w:pPr>
          </w:p>
          <w:p w14:paraId="6E3D5147">
            <w:pPr>
              <w:spacing w:line="246" w:lineRule="auto"/>
              <w:rPr>
                <w:rFonts w:ascii="Arial"/>
                <w:sz w:val="21"/>
              </w:rPr>
            </w:pPr>
          </w:p>
          <w:p w14:paraId="318F5BA4">
            <w:pPr>
              <w:spacing w:line="246" w:lineRule="auto"/>
              <w:rPr>
                <w:rFonts w:ascii="Arial"/>
                <w:sz w:val="21"/>
              </w:rPr>
            </w:pPr>
          </w:p>
          <w:p w14:paraId="7331FB52">
            <w:pPr>
              <w:spacing w:line="246" w:lineRule="auto"/>
              <w:rPr>
                <w:rFonts w:ascii="Arial"/>
                <w:sz w:val="21"/>
              </w:rPr>
            </w:pPr>
          </w:p>
          <w:p w14:paraId="4EC690DB">
            <w:pPr>
              <w:spacing w:line="246" w:lineRule="auto"/>
              <w:rPr>
                <w:rFonts w:ascii="Arial"/>
                <w:sz w:val="21"/>
              </w:rPr>
            </w:pPr>
          </w:p>
          <w:p w14:paraId="6076E159">
            <w:pPr>
              <w:spacing w:line="246" w:lineRule="auto"/>
              <w:rPr>
                <w:rFonts w:ascii="Arial"/>
                <w:sz w:val="21"/>
              </w:rPr>
            </w:pPr>
          </w:p>
          <w:p w14:paraId="2F136F7E">
            <w:pPr>
              <w:spacing w:line="246" w:lineRule="auto"/>
              <w:rPr>
                <w:rFonts w:ascii="Arial"/>
                <w:sz w:val="21"/>
              </w:rPr>
            </w:pPr>
          </w:p>
          <w:p w14:paraId="26CD7575">
            <w:pPr>
              <w:spacing w:line="247" w:lineRule="auto"/>
              <w:rPr>
                <w:rFonts w:ascii="Arial"/>
                <w:sz w:val="21"/>
              </w:rPr>
            </w:pPr>
          </w:p>
          <w:p w14:paraId="35E4F306">
            <w:pPr>
              <w:spacing w:line="247" w:lineRule="auto"/>
              <w:rPr>
                <w:rFonts w:ascii="Arial"/>
                <w:sz w:val="21"/>
              </w:rPr>
            </w:pPr>
          </w:p>
          <w:p w14:paraId="027F6E9B">
            <w:pPr>
              <w:pStyle w:val="6"/>
              <w:spacing w:before="69" w:line="220" w:lineRule="auto"/>
              <w:ind w:left="515"/>
              <w:rPr>
                <w:sz w:val="21"/>
                <w:szCs w:val="21"/>
              </w:rPr>
            </w:pPr>
            <w:r>
              <w:rPr>
                <w:spacing w:val="-2"/>
                <w:sz w:val="21"/>
                <w:szCs w:val="21"/>
              </w:rPr>
              <w:t>投标保证金</w:t>
            </w:r>
          </w:p>
        </w:tc>
        <w:tc>
          <w:tcPr>
            <w:tcW w:w="5194" w:type="dxa"/>
            <w:vAlign w:val="top"/>
          </w:tcPr>
          <w:p w14:paraId="14BB2D7E">
            <w:pPr>
              <w:pStyle w:val="6"/>
              <w:spacing w:before="29"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4D4E3864">
            <w:pPr>
              <w:pStyle w:val="6"/>
              <w:spacing w:before="50" w:line="220" w:lineRule="auto"/>
              <w:ind w:left="132"/>
              <w:rPr>
                <w:sz w:val="21"/>
                <w:szCs w:val="21"/>
              </w:rPr>
            </w:pPr>
            <w:r>
              <w:rPr>
                <w:color w:val="0000FF"/>
                <w:spacing w:val="-16"/>
                <w:sz w:val="21"/>
                <w:szCs w:val="21"/>
              </w:rPr>
              <w:t>□</w:t>
            </w:r>
            <w:r>
              <w:rPr>
                <w:spacing w:val="-16"/>
                <w:sz w:val="21"/>
                <w:szCs w:val="21"/>
              </w:rPr>
              <w:t>提交，</w:t>
            </w:r>
          </w:p>
          <w:p w14:paraId="187A8183">
            <w:pPr>
              <w:pStyle w:val="6"/>
              <w:spacing w:before="64" w:line="239" w:lineRule="auto"/>
              <w:jc w:val="right"/>
              <w:rPr>
                <w:sz w:val="21"/>
                <w:szCs w:val="21"/>
              </w:rPr>
            </w:pPr>
            <w:r>
              <w:rPr>
                <w:rFonts w:ascii="Calibri" w:hAnsi="Calibri" w:eastAsia="Calibri" w:cs="Calibri"/>
                <w:spacing w:val="-6"/>
                <w:sz w:val="21"/>
                <w:szCs w:val="21"/>
              </w:rPr>
              <w:t>1.</w:t>
            </w:r>
            <w:r>
              <w:rPr>
                <w:spacing w:val="-6"/>
                <w:sz w:val="21"/>
                <w:szCs w:val="21"/>
              </w:rPr>
              <w:t>递交截止时间（到账时间</w:t>
            </w:r>
            <w:r>
              <w:rPr>
                <w:spacing w:val="-13"/>
                <w:sz w:val="21"/>
                <w:szCs w:val="21"/>
              </w:rPr>
              <w:t>）：</w:t>
            </w:r>
            <w:r>
              <w:rPr>
                <w:spacing w:val="-6"/>
                <w:sz w:val="21"/>
                <w:szCs w:val="21"/>
              </w:rPr>
              <w:t>同本标段投标截止时间。</w:t>
            </w:r>
          </w:p>
          <w:p w14:paraId="5FC58E9D">
            <w:pPr>
              <w:pStyle w:val="6"/>
              <w:spacing w:before="43"/>
              <w:ind w:left="114"/>
              <w:rPr>
                <w:sz w:val="21"/>
                <w:szCs w:val="21"/>
              </w:rPr>
            </w:pPr>
            <w:r>
              <w:rPr>
                <w:rFonts w:ascii="Calibri" w:hAnsi="Calibri" w:eastAsia="Calibri" w:cs="Calibri"/>
                <w:spacing w:val="-4"/>
                <w:sz w:val="21"/>
                <w:szCs w:val="21"/>
              </w:rPr>
              <w:t>2.</w:t>
            </w:r>
            <w:r>
              <w:rPr>
                <w:spacing w:val="-4"/>
                <w:sz w:val="21"/>
                <w:szCs w:val="21"/>
              </w:rPr>
              <w:t>金额：</w:t>
            </w:r>
            <w:r>
              <w:rPr>
                <w:rFonts w:ascii="Calibri" w:hAnsi="Calibri" w:eastAsia="Calibri" w:cs="Calibri"/>
                <w:color w:val="0000FF"/>
                <w:spacing w:val="-4"/>
                <w:sz w:val="21"/>
                <w:szCs w:val="21"/>
              </w:rPr>
              <w:t>0</w:t>
            </w:r>
            <w:r>
              <w:rPr>
                <w:rFonts w:ascii="Calibri" w:hAnsi="Calibri" w:eastAsia="Calibri" w:cs="Calibri"/>
                <w:color w:val="0000FF"/>
                <w:spacing w:val="26"/>
                <w:w w:val="101"/>
                <w:sz w:val="21"/>
                <w:szCs w:val="21"/>
              </w:rPr>
              <w:t xml:space="preserve"> </w:t>
            </w:r>
            <w:r>
              <w:rPr>
                <w:spacing w:val="-4"/>
                <w:sz w:val="21"/>
                <w:szCs w:val="21"/>
              </w:rPr>
              <w:t>元。</w:t>
            </w:r>
          </w:p>
          <w:p w14:paraId="06E20D91">
            <w:pPr>
              <w:pStyle w:val="6"/>
              <w:spacing w:before="28" w:line="269" w:lineRule="auto"/>
              <w:ind w:left="112" w:right="94" w:firstLine="1"/>
              <w:rPr>
                <w:sz w:val="21"/>
                <w:szCs w:val="21"/>
              </w:rPr>
            </w:pPr>
            <w:r>
              <w:rPr>
                <w:rFonts w:ascii="Calibri" w:hAnsi="Calibri" w:eastAsia="Calibri" w:cs="Calibri"/>
                <w:spacing w:val="-1"/>
                <w:sz w:val="21"/>
                <w:szCs w:val="21"/>
              </w:rPr>
              <w:t>3.</w:t>
            </w:r>
            <w:r>
              <w:rPr>
                <w:spacing w:val="-1"/>
                <w:sz w:val="21"/>
                <w:szCs w:val="21"/>
              </w:rPr>
              <w:t>形式：投标人应当采用现金、电子银行保函、电子担</w:t>
            </w:r>
            <w:r>
              <w:rPr>
                <w:spacing w:val="-2"/>
                <w:sz w:val="21"/>
                <w:szCs w:val="21"/>
              </w:rPr>
              <w:t>保保函、电子保险保单中的一种形式递交投标担保。</w:t>
            </w:r>
          </w:p>
          <w:p w14:paraId="389B06E6">
            <w:pPr>
              <w:pStyle w:val="6"/>
              <w:spacing w:before="17" w:line="241" w:lineRule="auto"/>
              <w:ind w:left="107"/>
              <w:rPr>
                <w:sz w:val="21"/>
                <w:szCs w:val="21"/>
              </w:rPr>
            </w:pPr>
            <w:r>
              <w:rPr>
                <w:rFonts w:ascii="Calibri" w:hAnsi="Calibri" w:eastAsia="Calibri" w:cs="Calibri"/>
                <w:spacing w:val="-6"/>
                <w:sz w:val="21"/>
                <w:szCs w:val="21"/>
              </w:rPr>
              <w:t>4.</w:t>
            </w:r>
            <w:r>
              <w:rPr>
                <w:rFonts w:ascii="Calibri" w:hAnsi="Calibri" w:eastAsia="Calibri" w:cs="Calibri"/>
                <w:spacing w:val="16"/>
                <w:sz w:val="21"/>
                <w:szCs w:val="21"/>
              </w:rPr>
              <w:t xml:space="preserve">  </w:t>
            </w:r>
            <w:r>
              <w:rPr>
                <w:spacing w:val="-6"/>
                <w:sz w:val="21"/>
                <w:szCs w:val="21"/>
              </w:rPr>
              <w:t>递交方式及要求：</w:t>
            </w:r>
          </w:p>
          <w:p w14:paraId="16F35FDE">
            <w:pPr>
              <w:pStyle w:val="6"/>
              <w:spacing w:before="42" w:line="239" w:lineRule="auto"/>
              <w:ind w:left="116"/>
              <w:rPr>
                <w:sz w:val="21"/>
                <w:szCs w:val="21"/>
              </w:rPr>
            </w:pPr>
            <w:r>
              <w:rPr>
                <w:spacing w:val="-3"/>
                <w:sz w:val="21"/>
                <w:szCs w:val="21"/>
              </w:rPr>
              <w:t>（</w:t>
            </w:r>
            <w:r>
              <w:rPr>
                <w:rFonts w:ascii="Calibri" w:hAnsi="Calibri" w:eastAsia="Calibri" w:cs="Calibri"/>
                <w:spacing w:val="-3"/>
                <w:sz w:val="21"/>
                <w:szCs w:val="21"/>
              </w:rPr>
              <w:t>1</w:t>
            </w:r>
            <w:r>
              <w:rPr>
                <w:spacing w:val="-3"/>
                <w:sz w:val="21"/>
                <w:szCs w:val="21"/>
              </w:rPr>
              <w:t>）采用现金方式</w:t>
            </w:r>
          </w:p>
          <w:p w14:paraId="61664E41">
            <w:pPr>
              <w:pStyle w:val="6"/>
              <w:spacing w:before="43" w:line="257" w:lineRule="auto"/>
              <w:ind w:left="114" w:right="126" w:firstLine="6"/>
              <w:rPr>
                <w:sz w:val="21"/>
                <w:szCs w:val="21"/>
              </w:rPr>
            </w:pPr>
            <w:r>
              <w:rPr>
                <w:rFonts w:ascii="Calibri" w:hAnsi="Calibri" w:eastAsia="Calibri" w:cs="Calibri"/>
                <w:spacing w:val="-1"/>
                <w:sz w:val="21"/>
                <w:szCs w:val="21"/>
              </w:rPr>
              <w:t>1</w:t>
            </w:r>
            <w:r>
              <w:rPr>
                <w:spacing w:val="-1"/>
                <w:sz w:val="21"/>
                <w:szCs w:val="21"/>
              </w:rPr>
              <w:t>）必须从投标人的基本账户汇至招标人指定的账户及</w:t>
            </w:r>
            <w:r>
              <w:rPr>
                <w:spacing w:val="-10"/>
                <w:sz w:val="21"/>
                <w:szCs w:val="21"/>
              </w:rPr>
              <w:t>账号。</w:t>
            </w:r>
          </w:p>
          <w:p w14:paraId="3D784C27">
            <w:pPr>
              <w:pStyle w:val="6"/>
              <w:spacing w:before="31" w:line="233" w:lineRule="auto"/>
              <w:ind w:left="112"/>
              <w:rPr>
                <w:sz w:val="21"/>
                <w:szCs w:val="21"/>
              </w:rPr>
            </w:pPr>
            <w:r>
              <w:rPr>
                <w:spacing w:val="-1"/>
                <w:sz w:val="21"/>
                <w:szCs w:val="21"/>
              </w:rPr>
              <w:t>保证金账号：</w:t>
            </w:r>
            <w:r>
              <w:rPr>
                <w:rFonts w:ascii="Calibri" w:hAnsi="Calibri" w:eastAsia="Calibri" w:cs="Calibri"/>
                <w:color w:val="0000FF"/>
                <w:spacing w:val="-1"/>
                <w:sz w:val="21"/>
                <w:szCs w:val="21"/>
              </w:rPr>
              <w:t>/</w:t>
            </w:r>
            <w:r>
              <w:rPr>
                <w:spacing w:val="-1"/>
                <w:sz w:val="21"/>
                <w:szCs w:val="21"/>
              </w:rPr>
              <w:t>；</w:t>
            </w:r>
          </w:p>
          <w:p w14:paraId="0D65373B">
            <w:pPr>
              <w:pStyle w:val="6"/>
              <w:spacing w:before="50" w:line="233" w:lineRule="auto"/>
              <w:ind w:left="114"/>
              <w:rPr>
                <w:sz w:val="21"/>
                <w:szCs w:val="21"/>
              </w:rPr>
            </w:pPr>
            <w:r>
              <w:rPr>
                <w:spacing w:val="-2"/>
                <w:sz w:val="21"/>
                <w:szCs w:val="21"/>
              </w:rPr>
              <w:t>账户名称：</w:t>
            </w:r>
            <w:r>
              <w:rPr>
                <w:rFonts w:ascii="Calibri" w:hAnsi="Calibri" w:eastAsia="Calibri" w:cs="Calibri"/>
                <w:color w:val="0000FF"/>
                <w:spacing w:val="-2"/>
                <w:sz w:val="21"/>
                <w:szCs w:val="21"/>
              </w:rPr>
              <w:t>/</w:t>
            </w:r>
            <w:r>
              <w:rPr>
                <w:spacing w:val="-2"/>
                <w:sz w:val="21"/>
                <w:szCs w:val="21"/>
              </w:rPr>
              <w:t>；</w:t>
            </w:r>
          </w:p>
          <w:p w14:paraId="7A62130E">
            <w:pPr>
              <w:pStyle w:val="6"/>
              <w:spacing w:before="51" w:line="233" w:lineRule="auto"/>
              <w:ind w:left="112"/>
              <w:rPr>
                <w:sz w:val="21"/>
                <w:szCs w:val="21"/>
              </w:rPr>
            </w:pPr>
            <w:r>
              <w:rPr>
                <w:spacing w:val="-2"/>
                <w:sz w:val="21"/>
                <w:szCs w:val="21"/>
              </w:rPr>
              <w:t>开户银行：</w:t>
            </w:r>
            <w:r>
              <w:rPr>
                <w:rFonts w:ascii="Calibri" w:hAnsi="Calibri" w:eastAsia="Calibri" w:cs="Calibri"/>
                <w:color w:val="0000FF"/>
                <w:spacing w:val="-2"/>
                <w:sz w:val="21"/>
                <w:szCs w:val="21"/>
              </w:rPr>
              <w:t>/</w:t>
            </w:r>
            <w:r>
              <w:rPr>
                <w:spacing w:val="-2"/>
                <w:sz w:val="21"/>
                <w:szCs w:val="21"/>
              </w:rPr>
              <w:t>；</w:t>
            </w:r>
          </w:p>
          <w:p w14:paraId="01606999">
            <w:pPr>
              <w:pStyle w:val="6"/>
              <w:spacing w:before="50" w:line="233" w:lineRule="auto"/>
              <w:ind w:left="112"/>
              <w:rPr>
                <w:sz w:val="21"/>
                <w:szCs w:val="21"/>
              </w:rPr>
            </w:pPr>
            <w:r>
              <w:rPr>
                <w:spacing w:val="-2"/>
                <w:sz w:val="21"/>
                <w:szCs w:val="21"/>
              </w:rPr>
              <w:t>其他要求：</w:t>
            </w:r>
            <w:r>
              <w:rPr>
                <w:rFonts w:ascii="Calibri" w:hAnsi="Calibri" w:eastAsia="Calibri" w:cs="Calibri"/>
                <w:color w:val="0000FF"/>
                <w:spacing w:val="-2"/>
                <w:sz w:val="21"/>
                <w:szCs w:val="21"/>
              </w:rPr>
              <w:t>/</w:t>
            </w:r>
            <w:r>
              <w:rPr>
                <w:spacing w:val="-2"/>
                <w:sz w:val="21"/>
                <w:szCs w:val="21"/>
              </w:rPr>
              <w:t>。</w:t>
            </w:r>
          </w:p>
          <w:p w14:paraId="705BC6BA">
            <w:pPr>
              <w:pStyle w:val="6"/>
              <w:spacing w:before="35" w:line="277" w:lineRule="auto"/>
              <w:ind w:left="112" w:right="100" w:firstLine="1"/>
              <w:rPr>
                <w:sz w:val="21"/>
                <w:szCs w:val="21"/>
              </w:rPr>
            </w:pPr>
            <w:r>
              <w:rPr>
                <w:rFonts w:ascii="Calibri" w:hAnsi="Calibri" w:eastAsia="Calibri" w:cs="Calibri"/>
                <w:sz w:val="21"/>
                <w:szCs w:val="21"/>
              </w:rPr>
              <w:t>2</w:t>
            </w:r>
            <w:r>
              <w:rPr>
                <w:sz w:val="21"/>
                <w:szCs w:val="21"/>
              </w:rPr>
              <w:t>）基本账户信息将以投标人办理交易主体注册登记所</w:t>
            </w:r>
            <w:r>
              <w:rPr>
                <w:spacing w:val="-3"/>
                <w:sz w:val="21"/>
                <w:szCs w:val="21"/>
              </w:rPr>
              <w:t>填基本账户信息为准，若投标人汇款账户与注册</w:t>
            </w:r>
            <w:r>
              <w:rPr>
                <w:spacing w:val="-4"/>
                <w:sz w:val="21"/>
                <w:szCs w:val="21"/>
              </w:rPr>
              <w:t>登记时</w:t>
            </w:r>
            <w:r>
              <w:rPr>
                <w:spacing w:val="-3"/>
                <w:sz w:val="21"/>
                <w:szCs w:val="21"/>
              </w:rPr>
              <w:t>的基本账户信息不相符，由此造成投标保证金递</w:t>
            </w:r>
            <w:r>
              <w:rPr>
                <w:spacing w:val="-4"/>
                <w:sz w:val="21"/>
                <w:szCs w:val="21"/>
              </w:rPr>
              <w:t>交失败</w:t>
            </w:r>
            <w:r>
              <w:rPr>
                <w:spacing w:val="-3"/>
                <w:sz w:val="21"/>
                <w:szCs w:val="21"/>
              </w:rPr>
              <w:t>的责任由投标人自行承担。</w:t>
            </w:r>
          </w:p>
          <w:p w14:paraId="162E9DD2">
            <w:pPr>
              <w:pStyle w:val="6"/>
              <w:spacing w:before="1" w:line="233" w:lineRule="auto"/>
              <w:ind w:left="113"/>
              <w:rPr>
                <w:sz w:val="21"/>
                <w:szCs w:val="21"/>
              </w:rPr>
            </w:pPr>
            <w:r>
              <w:rPr>
                <w:rFonts w:ascii="Calibri" w:hAnsi="Calibri" w:eastAsia="Calibri" w:cs="Calibri"/>
                <w:spacing w:val="-1"/>
                <w:sz w:val="21"/>
                <w:szCs w:val="21"/>
              </w:rPr>
              <w:t>3</w:t>
            </w:r>
            <w:r>
              <w:rPr>
                <w:spacing w:val="-1"/>
                <w:sz w:val="21"/>
                <w:szCs w:val="21"/>
              </w:rPr>
              <w:t>）投标保证金到账查询方法及其它要求：</w:t>
            </w:r>
            <w:r>
              <w:rPr>
                <w:rFonts w:ascii="Calibri" w:hAnsi="Calibri" w:eastAsia="Calibri" w:cs="Calibri"/>
                <w:color w:val="0000FF"/>
                <w:spacing w:val="-1"/>
                <w:sz w:val="21"/>
                <w:szCs w:val="21"/>
              </w:rPr>
              <w:t>/</w:t>
            </w:r>
            <w:r>
              <w:rPr>
                <w:spacing w:val="-1"/>
                <w:sz w:val="21"/>
                <w:szCs w:val="21"/>
              </w:rPr>
              <w:t>。</w:t>
            </w:r>
          </w:p>
          <w:p w14:paraId="66CE12A2">
            <w:pPr>
              <w:pStyle w:val="6"/>
              <w:spacing w:before="34" w:line="269" w:lineRule="auto"/>
              <w:ind w:left="112" w:right="122" w:firstLine="3"/>
              <w:rPr>
                <w:sz w:val="21"/>
                <w:szCs w:val="21"/>
              </w:rPr>
            </w:pPr>
            <w:r>
              <w:rPr>
                <w:sz w:val="21"/>
                <w:szCs w:val="21"/>
              </w:rPr>
              <w:t>（</w:t>
            </w:r>
            <w:r>
              <w:rPr>
                <w:rFonts w:ascii="Calibri" w:hAnsi="Calibri" w:eastAsia="Calibri" w:cs="Calibri"/>
                <w:sz w:val="21"/>
                <w:szCs w:val="21"/>
              </w:rPr>
              <w:t>2</w:t>
            </w:r>
            <w:r>
              <w:rPr>
                <w:sz w:val="21"/>
                <w:szCs w:val="21"/>
              </w:rPr>
              <w:t>）采用电子银行保函、电子担保保函、电子保险保</w:t>
            </w:r>
            <w:r>
              <w:rPr>
                <w:spacing w:val="-2"/>
                <w:sz w:val="21"/>
                <w:szCs w:val="21"/>
              </w:rPr>
              <w:t>单方式（以下简称保函、保单）</w:t>
            </w:r>
          </w:p>
          <w:p w14:paraId="3A1E421C">
            <w:pPr>
              <w:pStyle w:val="6"/>
              <w:spacing w:before="19" w:line="269" w:lineRule="auto"/>
              <w:ind w:left="112" w:right="117" w:firstLine="7"/>
              <w:rPr>
                <w:sz w:val="21"/>
                <w:szCs w:val="21"/>
              </w:rPr>
            </w:pPr>
            <w:r>
              <w:rPr>
                <w:rFonts w:ascii="Calibri" w:hAnsi="Calibri" w:eastAsia="Calibri" w:cs="Calibri"/>
                <w:sz w:val="21"/>
                <w:szCs w:val="21"/>
              </w:rPr>
              <w:t>1</w:t>
            </w:r>
            <w:r>
              <w:rPr>
                <w:sz w:val="21"/>
                <w:szCs w:val="21"/>
              </w:rPr>
              <w:t>）投标人须及时登录“电子交易平台”选择所投标段</w:t>
            </w:r>
            <w:r>
              <w:rPr>
                <w:spacing w:val="-2"/>
                <w:sz w:val="21"/>
                <w:szCs w:val="21"/>
              </w:rPr>
              <w:t>按系统引导的程序申请电子保函或保单。</w:t>
            </w:r>
          </w:p>
          <w:p w14:paraId="7A65514D">
            <w:pPr>
              <w:pStyle w:val="6"/>
              <w:spacing w:before="19" w:line="246" w:lineRule="auto"/>
              <w:ind w:left="137" w:right="86" w:hanging="23"/>
              <w:rPr>
                <w:sz w:val="21"/>
                <w:szCs w:val="21"/>
              </w:rPr>
            </w:pPr>
            <w:r>
              <w:rPr>
                <w:rFonts w:ascii="Calibri" w:hAnsi="Calibri" w:eastAsia="Calibri" w:cs="Calibri"/>
                <w:sz w:val="21"/>
                <w:szCs w:val="21"/>
              </w:rPr>
              <w:t>2</w:t>
            </w:r>
            <w:r>
              <w:rPr>
                <w:sz w:val="21"/>
                <w:szCs w:val="21"/>
              </w:rPr>
              <w:t>）投标人可在“电子交易平台”查询保函或保单是否</w:t>
            </w:r>
            <w:r>
              <w:rPr>
                <w:spacing w:val="-4"/>
                <w:sz w:val="21"/>
                <w:szCs w:val="21"/>
              </w:rPr>
              <w:t>申请成功，开具成功后可下载电子保函或保单。电子保</w:t>
            </w:r>
          </w:p>
        </w:tc>
      </w:tr>
    </w:tbl>
    <w:p w14:paraId="7FFA114A">
      <w:pPr>
        <w:pStyle w:val="2"/>
      </w:pPr>
    </w:p>
    <w:p w14:paraId="2BF42078">
      <w:pPr>
        <w:sectPr>
          <w:footerReference r:id="rId28" w:type="default"/>
          <w:pgSz w:w="11910" w:h="16845"/>
          <w:pgMar w:top="1431" w:right="1786" w:bottom="1065" w:left="1786" w:header="0" w:footer="838" w:gutter="0"/>
          <w:cols w:space="720" w:num="1"/>
        </w:sectPr>
      </w:pPr>
    </w:p>
    <w:p w14:paraId="38C63A95">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0D3D9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952" w:type="dxa"/>
            <w:vAlign w:val="top"/>
          </w:tcPr>
          <w:p w14:paraId="79CCD79A">
            <w:pPr>
              <w:pStyle w:val="6"/>
              <w:spacing w:before="44" w:line="220" w:lineRule="auto"/>
              <w:ind w:left="129"/>
              <w:rPr>
                <w:sz w:val="21"/>
                <w:szCs w:val="21"/>
              </w:rPr>
            </w:pPr>
            <w:r>
              <w:rPr>
                <w:b/>
                <w:bCs/>
                <w:spacing w:val="4"/>
                <w:sz w:val="21"/>
                <w:szCs w:val="21"/>
              </w:rPr>
              <w:t>条款号</w:t>
            </w:r>
          </w:p>
        </w:tc>
        <w:tc>
          <w:tcPr>
            <w:tcW w:w="2084" w:type="dxa"/>
            <w:vAlign w:val="top"/>
          </w:tcPr>
          <w:p w14:paraId="5C396351">
            <w:pPr>
              <w:pStyle w:val="6"/>
              <w:spacing w:before="44" w:line="220" w:lineRule="auto"/>
              <w:ind w:left="604"/>
              <w:rPr>
                <w:sz w:val="21"/>
                <w:szCs w:val="21"/>
              </w:rPr>
            </w:pPr>
            <w:r>
              <w:rPr>
                <w:b/>
                <w:bCs/>
                <w:spacing w:val="6"/>
                <w:sz w:val="21"/>
                <w:szCs w:val="21"/>
              </w:rPr>
              <w:t>条款名称</w:t>
            </w:r>
          </w:p>
        </w:tc>
        <w:tc>
          <w:tcPr>
            <w:tcW w:w="5194" w:type="dxa"/>
            <w:vAlign w:val="top"/>
          </w:tcPr>
          <w:p w14:paraId="162EF9A9">
            <w:pPr>
              <w:pStyle w:val="6"/>
              <w:spacing w:before="44" w:line="220" w:lineRule="auto"/>
              <w:ind w:left="2155"/>
              <w:rPr>
                <w:sz w:val="21"/>
                <w:szCs w:val="21"/>
              </w:rPr>
            </w:pPr>
            <w:r>
              <w:rPr>
                <w:b/>
                <w:bCs/>
                <w:spacing w:val="6"/>
                <w:sz w:val="21"/>
                <w:szCs w:val="21"/>
              </w:rPr>
              <w:t>编列内容</w:t>
            </w:r>
          </w:p>
        </w:tc>
      </w:tr>
      <w:tr w14:paraId="6EF2D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9" w:hRule="atLeast"/>
        </w:trPr>
        <w:tc>
          <w:tcPr>
            <w:tcW w:w="952" w:type="dxa"/>
            <w:vAlign w:val="top"/>
          </w:tcPr>
          <w:p w14:paraId="2EDB41D4">
            <w:pPr>
              <w:rPr>
                <w:rFonts w:ascii="Arial"/>
                <w:sz w:val="21"/>
              </w:rPr>
            </w:pPr>
          </w:p>
        </w:tc>
        <w:tc>
          <w:tcPr>
            <w:tcW w:w="2084" w:type="dxa"/>
            <w:vAlign w:val="top"/>
          </w:tcPr>
          <w:p w14:paraId="5B0A024D">
            <w:pPr>
              <w:rPr>
                <w:rFonts w:ascii="Arial"/>
                <w:sz w:val="21"/>
              </w:rPr>
            </w:pPr>
          </w:p>
        </w:tc>
        <w:tc>
          <w:tcPr>
            <w:tcW w:w="5194" w:type="dxa"/>
            <w:vAlign w:val="top"/>
          </w:tcPr>
          <w:p w14:paraId="4A83061D">
            <w:pPr>
              <w:pStyle w:val="6"/>
              <w:spacing w:before="37" w:line="274" w:lineRule="auto"/>
              <w:ind w:left="112" w:right="71" w:firstLine="12"/>
              <w:jc w:val="both"/>
              <w:rPr>
                <w:sz w:val="21"/>
                <w:szCs w:val="21"/>
              </w:rPr>
            </w:pPr>
            <w:r>
              <w:rPr>
                <w:spacing w:val="-5"/>
                <w:sz w:val="21"/>
                <w:szCs w:val="21"/>
              </w:rPr>
              <w:t>函或保单应载明：保函或保单受益人（招标人）、标段</w:t>
            </w:r>
            <w:r>
              <w:rPr>
                <w:spacing w:val="-3"/>
                <w:sz w:val="21"/>
                <w:szCs w:val="21"/>
              </w:rPr>
              <w:t>名称、标段编号、担保内容、担保金额、保函或保单有</w:t>
            </w:r>
            <w:r>
              <w:rPr>
                <w:spacing w:val="-2"/>
                <w:sz w:val="21"/>
                <w:szCs w:val="21"/>
              </w:rPr>
              <w:t>效期等信息，检查其内容符合招标文件的相关约定后，上传至投标文件的“投标保证金”栏目中。</w:t>
            </w:r>
          </w:p>
          <w:p w14:paraId="3CE716CB">
            <w:pPr>
              <w:pStyle w:val="6"/>
              <w:spacing w:line="262" w:lineRule="auto"/>
              <w:ind w:left="110" w:right="100" w:firstLine="3"/>
              <w:jc w:val="both"/>
              <w:rPr>
                <w:sz w:val="21"/>
                <w:szCs w:val="21"/>
              </w:rPr>
            </w:pPr>
            <w:r>
              <w:rPr>
                <w:rFonts w:ascii="Calibri" w:hAnsi="Calibri" w:eastAsia="Calibri" w:cs="Calibri"/>
                <w:sz w:val="21"/>
                <w:szCs w:val="21"/>
              </w:rPr>
              <w:t>3</w:t>
            </w:r>
            <w:r>
              <w:rPr>
                <w:sz w:val="21"/>
                <w:szCs w:val="21"/>
              </w:rPr>
              <w:t>）开标后，电子交易平台将自动比对投标截止时间前</w:t>
            </w:r>
            <w:r>
              <w:rPr>
                <w:spacing w:val="-3"/>
                <w:sz w:val="21"/>
                <w:szCs w:val="21"/>
              </w:rPr>
              <w:t>收到的电子保函或保单情况；评标时评标委员会可以直</w:t>
            </w:r>
            <w:r>
              <w:rPr>
                <w:spacing w:val="-2"/>
                <w:sz w:val="21"/>
                <w:szCs w:val="21"/>
              </w:rPr>
              <w:t>接在投标文件中查验电子保函或保单。</w:t>
            </w:r>
          </w:p>
        </w:tc>
      </w:tr>
      <w:tr w14:paraId="5E5F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0" w:hRule="atLeast"/>
        </w:trPr>
        <w:tc>
          <w:tcPr>
            <w:tcW w:w="952" w:type="dxa"/>
            <w:vAlign w:val="top"/>
          </w:tcPr>
          <w:p w14:paraId="208137B8">
            <w:pPr>
              <w:spacing w:line="253" w:lineRule="auto"/>
              <w:rPr>
                <w:rFonts w:ascii="Arial"/>
                <w:sz w:val="21"/>
              </w:rPr>
            </w:pPr>
          </w:p>
          <w:p w14:paraId="6060D0BC">
            <w:pPr>
              <w:spacing w:line="253" w:lineRule="auto"/>
              <w:rPr>
                <w:rFonts w:ascii="Arial"/>
                <w:sz w:val="21"/>
              </w:rPr>
            </w:pPr>
          </w:p>
          <w:p w14:paraId="45548D74">
            <w:pPr>
              <w:spacing w:line="254" w:lineRule="auto"/>
              <w:rPr>
                <w:rFonts w:ascii="Arial"/>
                <w:sz w:val="21"/>
              </w:rPr>
            </w:pPr>
          </w:p>
          <w:p w14:paraId="378E5DC5">
            <w:pPr>
              <w:spacing w:before="64" w:line="265" w:lineRule="exact"/>
              <w:ind w:left="250"/>
              <w:rPr>
                <w:rFonts w:ascii="Calibri" w:hAnsi="Calibri" w:eastAsia="Calibri" w:cs="Calibri"/>
                <w:sz w:val="21"/>
                <w:szCs w:val="21"/>
              </w:rPr>
            </w:pPr>
            <w:r>
              <w:rPr>
                <w:rFonts w:ascii="Calibri" w:hAnsi="Calibri" w:eastAsia="Calibri" w:cs="Calibri"/>
                <w:position w:val="1"/>
                <w:sz w:val="21"/>
                <w:szCs w:val="21"/>
              </w:rPr>
              <w:t>3.4.3</w:t>
            </w:r>
          </w:p>
        </w:tc>
        <w:tc>
          <w:tcPr>
            <w:tcW w:w="2084" w:type="dxa"/>
            <w:vAlign w:val="top"/>
          </w:tcPr>
          <w:p w14:paraId="53FC5A95">
            <w:pPr>
              <w:spacing w:line="292" w:lineRule="auto"/>
              <w:rPr>
                <w:rFonts w:ascii="Arial"/>
                <w:sz w:val="21"/>
              </w:rPr>
            </w:pPr>
          </w:p>
          <w:p w14:paraId="7CEE9780">
            <w:pPr>
              <w:spacing w:line="292" w:lineRule="auto"/>
              <w:rPr>
                <w:rFonts w:ascii="Arial"/>
                <w:sz w:val="21"/>
              </w:rPr>
            </w:pPr>
          </w:p>
          <w:p w14:paraId="32A01E50">
            <w:pPr>
              <w:pStyle w:val="6"/>
              <w:spacing w:before="68" w:line="280" w:lineRule="auto"/>
              <w:ind w:left="721" w:right="301" w:hanging="418"/>
              <w:rPr>
                <w:sz w:val="21"/>
                <w:szCs w:val="21"/>
              </w:rPr>
            </w:pPr>
            <w:r>
              <w:rPr>
                <w:spacing w:val="-1"/>
                <w:sz w:val="21"/>
                <w:szCs w:val="21"/>
              </w:rPr>
              <w:t>退还投标保证金</w:t>
            </w:r>
            <w:r>
              <w:rPr>
                <w:spacing w:val="-2"/>
                <w:sz w:val="21"/>
                <w:szCs w:val="21"/>
              </w:rPr>
              <w:t>及利息</w:t>
            </w:r>
          </w:p>
        </w:tc>
        <w:tc>
          <w:tcPr>
            <w:tcW w:w="5194" w:type="dxa"/>
            <w:vAlign w:val="top"/>
          </w:tcPr>
          <w:p w14:paraId="1488DBD3">
            <w:pPr>
              <w:pStyle w:val="6"/>
              <w:spacing w:before="25" w:line="239" w:lineRule="auto"/>
              <w:ind w:left="120"/>
              <w:rPr>
                <w:sz w:val="21"/>
                <w:szCs w:val="21"/>
              </w:rPr>
            </w:pPr>
            <w:r>
              <w:rPr>
                <w:rFonts w:ascii="Calibri" w:hAnsi="Calibri" w:eastAsia="Calibri" w:cs="Calibri"/>
                <w:spacing w:val="-3"/>
                <w:sz w:val="21"/>
                <w:szCs w:val="21"/>
              </w:rPr>
              <w:t>1</w:t>
            </w:r>
            <w:r>
              <w:rPr>
                <w:rFonts w:ascii="Calibri" w:hAnsi="Calibri" w:eastAsia="Calibri" w:cs="Calibri"/>
                <w:spacing w:val="11"/>
                <w:sz w:val="21"/>
                <w:szCs w:val="21"/>
              </w:rPr>
              <w:t xml:space="preserve"> </w:t>
            </w:r>
            <w:r>
              <w:rPr>
                <w:rFonts w:ascii="Calibri" w:hAnsi="Calibri" w:eastAsia="Calibri" w:cs="Calibri"/>
                <w:spacing w:val="-3"/>
                <w:sz w:val="21"/>
                <w:szCs w:val="21"/>
              </w:rPr>
              <w:t>.</w:t>
            </w:r>
            <w:r>
              <w:rPr>
                <w:spacing w:val="-3"/>
                <w:sz w:val="21"/>
                <w:szCs w:val="21"/>
              </w:rPr>
              <w:t>采用现金方式</w:t>
            </w:r>
          </w:p>
          <w:p w14:paraId="61798276">
            <w:pPr>
              <w:pStyle w:val="6"/>
              <w:spacing w:before="42" w:line="220" w:lineRule="auto"/>
              <w:ind w:left="111"/>
              <w:rPr>
                <w:sz w:val="21"/>
                <w:szCs w:val="21"/>
              </w:rPr>
            </w:pPr>
            <w:r>
              <w:rPr>
                <w:spacing w:val="-1"/>
                <w:sz w:val="21"/>
                <w:szCs w:val="21"/>
              </w:rPr>
              <w:t>计息标准：</w:t>
            </w:r>
            <w:r>
              <w:rPr>
                <w:color w:val="0000FF"/>
                <w:spacing w:val="-1"/>
                <w:sz w:val="21"/>
                <w:szCs w:val="21"/>
              </w:rPr>
              <w:t>人民银行同期活期存款利率</w:t>
            </w:r>
          </w:p>
          <w:p w14:paraId="78021E09">
            <w:pPr>
              <w:pStyle w:val="6"/>
              <w:spacing w:before="65" w:line="220" w:lineRule="auto"/>
              <w:ind w:left="111"/>
              <w:rPr>
                <w:sz w:val="21"/>
                <w:szCs w:val="21"/>
              </w:rPr>
            </w:pPr>
            <w:r>
              <w:rPr>
                <w:sz w:val="21"/>
                <w:szCs w:val="21"/>
              </w:rPr>
              <w:t>计息时间：</w:t>
            </w:r>
            <w:r>
              <w:rPr>
                <w:color w:val="0000FF"/>
                <w:sz w:val="21"/>
                <w:szCs w:val="21"/>
              </w:rPr>
              <w:t>投标保证金到账之日至退还的前一日</w:t>
            </w:r>
          </w:p>
          <w:p w14:paraId="1C8FD37F">
            <w:pPr>
              <w:pStyle w:val="6"/>
              <w:spacing w:before="65" w:line="233" w:lineRule="auto"/>
              <w:ind w:left="112"/>
              <w:rPr>
                <w:sz w:val="21"/>
                <w:szCs w:val="21"/>
              </w:rPr>
            </w:pPr>
            <w:r>
              <w:rPr>
                <w:spacing w:val="-1"/>
                <w:sz w:val="21"/>
                <w:szCs w:val="21"/>
              </w:rPr>
              <w:t>退还办法：</w:t>
            </w:r>
            <w:r>
              <w:rPr>
                <w:rFonts w:ascii="Calibri" w:hAnsi="Calibri" w:eastAsia="Calibri" w:cs="Calibri"/>
                <w:color w:val="0000FF"/>
                <w:spacing w:val="-1"/>
                <w:sz w:val="21"/>
                <w:szCs w:val="21"/>
              </w:rPr>
              <w:t xml:space="preserve">/  </w:t>
            </w:r>
            <w:r>
              <w:rPr>
                <w:spacing w:val="-1"/>
                <w:sz w:val="21"/>
                <w:szCs w:val="21"/>
              </w:rPr>
              <w:t>。</w:t>
            </w:r>
          </w:p>
          <w:p w14:paraId="4989A8A9">
            <w:pPr>
              <w:pStyle w:val="6"/>
              <w:spacing w:before="51" w:line="247" w:lineRule="auto"/>
              <w:ind w:left="113" w:right="117" w:firstLine="1"/>
              <w:rPr>
                <w:sz w:val="21"/>
                <w:szCs w:val="21"/>
              </w:rPr>
            </w:pPr>
            <w:r>
              <w:rPr>
                <w:rFonts w:ascii="Calibri" w:hAnsi="Calibri" w:eastAsia="Calibri" w:cs="Calibri"/>
                <w:spacing w:val="3"/>
                <w:sz w:val="21"/>
                <w:szCs w:val="21"/>
              </w:rPr>
              <w:t xml:space="preserve">2.  </w:t>
            </w:r>
            <w:r>
              <w:rPr>
                <w:spacing w:val="3"/>
                <w:sz w:val="21"/>
                <w:szCs w:val="21"/>
              </w:rPr>
              <w:t>采用电子保函或保单方式，不产生</w:t>
            </w:r>
            <w:r>
              <w:rPr>
                <w:spacing w:val="2"/>
                <w:sz w:val="21"/>
                <w:szCs w:val="21"/>
              </w:rPr>
              <w:t>利息，电子保函</w:t>
            </w:r>
            <w:r>
              <w:rPr>
                <w:spacing w:val="-3"/>
                <w:sz w:val="21"/>
                <w:szCs w:val="21"/>
              </w:rPr>
              <w:t>或保单到期后自动失效。</w:t>
            </w:r>
          </w:p>
        </w:tc>
      </w:tr>
      <w:tr w14:paraId="48264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50C5436D">
            <w:pPr>
              <w:spacing w:before="215" w:line="264" w:lineRule="exact"/>
              <w:ind w:left="250"/>
              <w:rPr>
                <w:rFonts w:ascii="Calibri" w:hAnsi="Calibri" w:eastAsia="Calibri" w:cs="Calibri"/>
                <w:sz w:val="21"/>
                <w:szCs w:val="21"/>
              </w:rPr>
            </w:pPr>
            <w:r>
              <w:rPr>
                <w:rFonts w:ascii="Calibri" w:hAnsi="Calibri" w:eastAsia="Calibri" w:cs="Calibri"/>
                <w:position w:val="1"/>
                <w:sz w:val="21"/>
                <w:szCs w:val="21"/>
              </w:rPr>
              <w:t>3.5.2</w:t>
            </w:r>
          </w:p>
        </w:tc>
        <w:tc>
          <w:tcPr>
            <w:tcW w:w="2084" w:type="dxa"/>
            <w:vAlign w:val="top"/>
          </w:tcPr>
          <w:p w14:paraId="6F1B03C6">
            <w:pPr>
              <w:pStyle w:val="6"/>
              <w:spacing w:before="43" w:line="247" w:lineRule="auto"/>
              <w:ind w:left="106" w:right="77"/>
              <w:rPr>
                <w:sz w:val="21"/>
                <w:szCs w:val="21"/>
              </w:rPr>
            </w:pPr>
            <w:r>
              <w:rPr>
                <w:spacing w:val="18"/>
                <w:sz w:val="21"/>
                <w:szCs w:val="21"/>
              </w:rPr>
              <w:t>近年财务状况</w:t>
            </w:r>
            <w:r>
              <w:rPr>
                <w:spacing w:val="-45"/>
                <w:sz w:val="21"/>
                <w:szCs w:val="21"/>
              </w:rPr>
              <w:t xml:space="preserve"> </w:t>
            </w:r>
            <w:r>
              <w:rPr>
                <w:spacing w:val="18"/>
                <w:sz w:val="21"/>
                <w:szCs w:val="21"/>
              </w:rPr>
              <w:t>的年</w:t>
            </w:r>
            <w:r>
              <w:rPr>
                <w:spacing w:val="-2"/>
                <w:sz w:val="21"/>
                <w:szCs w:val="21"/>
              </w:rPr>
              <w:t>份要求</w:t>
            </w:r>
          </w:p>
        </w:tc>
        <w:tc>
          <w:tcPr>
            <w:tcW w:w="5194" w:type="dxa"/>
            <w:vAlign w:val="top"/>
          </w:tcPr>
          <w:p w14:paraId="401386A1">
            <w:pPr>
              <w:pStyle w:val="6"/>
              <w:spacing w:before="192"/>
              <w:ind w:left="110"/>
              <w:rPr>
                <w:sz w:val="21"/>
                <w:szCs w:val="21"/>
              </w:rPr>
            </w:pPr>
            <w:r>
              <w:rPr>
                <w:spacing w:val="-4"/>
                <w:sz w:val="21"/>
                <w:szCs w:val="21"/>
              </w:rPr>
              <w:t>近</w:t>
            </w:r>
            <w:r>
              <w:rPr>
                <w:spacing w:val="-33"/>
                <w:sz w:val="21"/>
                <w:szCs w:val="21"/>
              </w:rPr>
              <w:t xml:space="preserve"> </w:t>
            </w:r>
            <w:r>
              <w:rPr>
                <w:rFonts w:ascii="Calibri" w:hAnsi="Calibri" w:eastAsia="Calibri" w:cs="Calibri"/>
                <w:color w:val="0000FF"/>
                <w:spacing w:val="-4"/>
                <w:sz w:val="21"/>
                <w:szCs w:val="21"/>
              </w:rPr>
              <w:t>3</w:t>
            </w:r>
            <w:r>
              <w:rPr>
                <w:rFonts w:ascii="Calibri" w:hAnsi="Calibri" w:eastAsia="Calibri" w:cs="Calibri"/>
                <w:color w:val="0000FF"/>
                <w:spacing w:val="20"/>
                <w:sz w:val="21"/>
                <w:szCs w:val="21"/>
              </w:rPr>
              <w:t xml:space="preserve"> </w:t>
            </w:r>
            <w:r>
              <w:rPr>
                <w:spacing w:val="-4"/>
                <w:sz w:val="21"/>
                <w:szCs w:val="21"/>
              </w:rPr>
              <w:t>年：是指</w:t>
            </w:r>
            <w:r>
              <w:rPr>
                <w:spacing w:val="-34"/>
                <w:sz w:val="21"/>
                <w:szCs w:val="21"/>
              </w:rPr>
              <w:t xml:space="preserve"> </w:t>
            </w:r>
            <w:r>
              <w:rPr>
                <w:rFonts w:ascii="Calibri" w:hAnsi="Calibri" w:eastAsia="Calibri" w:cs="Calibri"/>
                <w:color w:val="0000FF"/>
                <w:spacing w:val="-4"/>
                <w:sz w:val="21"/>
                <w:szCs w:val="21"/>
              </w:rPr>
              <w:t>202</w:t>
            </w:r>
            <w:r>
              <w:rPr>
                <w:rFonts w:hint="eastAsia" w:ascii="Calibri" w:hAnsi="Calibri" w:cs="Calibri"/>
                <w:color w:val="0000FF"/>
                <w:spacing w:val="-4"/>
                <w:sz w:val="21"/>
                <w:szCs w:val="21"/>
                <w:lang w:val="en-US" w:eastAsia="zh-CN"/>
              </w:rPr>
              <w:t>3</w:t>
            </w:r>
            <w:r>
              <w:rPr>
                <w:rFonts w:ascii="Calibri" w:hAnsi="Calibri" w:eastAsia="Calibri" w:cs="Calibri"/>
                <w:color w:val="0000FF"/>
                <w:spacing w:val="20"/>
                <w:w w:val="101"/>
                <w:sz w:val="21"/>
                <w:szCs w:val="21"/>
              </w:rPr>
              <w:t xml:space="preserve"> </w:t>
            </w:r>
            <w:r>
              <w:rPr>
                <w:spacing w:val="-4"/>
                <w:sz w:val="21"/>
                <w:szCs w:val="21"/>
              </w:rPr>
              <w:t>年至</w:t>
            </w:r>
            <w:r>
              <w:rPr>
                <w:spacing w:val="-33"/>
                <w:sz w:val="21"/>
                <w:szCs w:val="21"/>
              </w:rPr>
              <w:t xml:space="preserve"> </w:t>
            </w:r>
            <w:r>
              <w:rPr>
                <w:rFonts w:ascii="Calibri" w:hAnsi="Calibri" w:eastAsia="Calibri" w:cs="Calibri"/>
                <w:color w:val="0000FF"/>
                <w:spacing w:val="-4"/>
                <w:sz w:val="21"/>
                <w:szCs w:val="21"/>
              </w:rPr>
              <w:t>202</w:t>
            </w:r>
            <w:r>
              <w:rPr>
                <w:rFonts w:hint="eastAsia" w:ascii="Calibri" w:hAnsi="Calibri" w:cs="Calibri"/>
                <w:color w:val="0000FF"/>
                <w:spacing w:val="-4"/>
                <w:sz w:val="21"/>
                <w:szCs w:val="21"/>
                <w:lang w:val="en-US" w:eastAsia="zh-CN"/>
              </w:rPr>
              <w:t>5</w:t>
            </w:r>
            <w:r>
              <w:rPr>
                <w:rFonts w:ascii="Calibri" w:hAnsi="Calibri" w:eastAsia="Calibri" w:cs="Calibri"/>
                <w:color w:val="0000FF"/>
                <w:spacing w:val="21"/>
                <w:sz w:val="21"/>
                <w:szCs w:val="21"/>
              </w:rPr>
              <w:t xml:space="preserve"> </w:t>
            </w:r>
            <w:r>
              <w:rPr>
                <w:spacing w:val="-4"/>
                <w:sz w:val="21"/>
                <w:szCs w:val="21"/>
              </w:rPr>
              <w:t>年</w:t>
            </w:r>
          </w:p>
        </w:tc>
      </w:tr>
      <w:tr w14:paraId="01DC7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52" w:type="dxa"/>
            <w:vAlign w:val="top"/>
          </w:tcPr>
          <w:p w14:paraId="71BCF39A">
            <w:pPr>
              <w:spacing w:before="230" w:line="265" w:lineRule="exact"/>
              <w:ind w:left="250"/>
              <w:rPr>
                <w:rFonts w:ascii="Calibri" w:hAnsi="Calibri" w:eastAsia="Calibri" w:cs="Calibri"/>
                <w:sz w:val="21"/>
                <w:szCs w:val="21"/>
              </w:rPr>
            </w:pPr>
            <w:r>
              <w:rPr>
                <w:rFonts w:ascii="Calibri" w:hAnsi="Calibri" w:eastAsia="Calibri" w:cs="Calibri"/>
                <w:position w:val="1"/>
                <w:sz w:val="21"/>
                <w:szCs w:val="21"/>
              </w:rPr>
              <w:t>3.5.3</w:t>
            </w:r>
          </w:p>
        </w:tc>
        <w:tc>
          <w:tcPr>
            <w:tcW w:w="2084" w:type="dxa"/>
            <w:vAlign w:val="top"/>
          </w:tcPr>
          <w:p w14:paraId="4D8AD527">
            <w:pPr>
              <w:pStyle w:val="6"/>
              <w:spacing w:before="42" w:line="254" w:lineRule="auto"/>
              <w:ind w:left="446" w:right="195" w:hanging="250"/>
              <w:rPr>
                <w:sz w:val="21"/>
                <w:szCs w:val="21"/>
              </w:rPr>
            </w:pPr>
            <w:r>
              <w:rPr>
                <w:spacing w:val="-1"/>
                <w:sz w:val="21"/>
                <w:szCs w:val="21"/>
              </w:rPr>
              <w:t>近年完成的类似项</w:t>
            </w:r>
            <w:r>
              <w:rPr>
                <w:spacing w:val="-8"/>
                <w:sz w:val="21"/>
                <w:szCs w:val="21"/>
              </w:rPr>
              <w:t>目的年份要求</w:t>
            </w:r>
          </w:p>
        </w:tc>
        <w:tc>
          <w:tcPr>
            <w:tcW w:w="5194" w:type="dxa"/>
            <w:vAlign w:val="top"/>
          </w:tcPr>
          <w:p w14:paraId="6A337EA5">
            <w:pPr>
              <w:pStyle w:val="6"/>
              <w:spacing w:before="207"/>
              <w:ind w:left="110"/>
              <w:rPr>
                <w:sz w:val="21"/>
                <w:szCs w:val="21"/>
              </w:rPr>
            </w:pPr>
            <w:r>
              <w:rPr>
                <w:spacing w:val="-2"/>
                <w:sz w:val="21"/>
                <w:szCs w:val="21"/>
              </w:rPr>
              <w:t>近</w:t>
            </w:r>
            <w:r>
              <w:rPr>
                <w:spacing w:val="-35"/>
                <w:sz w:val="21"/>
                <w:szCs w:val="21"/>
              </w:rPr>
              <w:t xml:space="preserve"> </w:t>
            </w:r>
            <w:r>
              <w:rPr>
                <w:rFonts w:ascii="Calibri" w:hAnsi="Calibri" w:eastAsia="Calibri" w:cs="Calibri"/>
                <w:color w:val="0000FF"/>
                <w:spacing w:val="-2"/>
                <w:sz w:val="21"/>
                <w:szCs w:val="21"/>
              </w:rPr>
              <w:t>5</w:t>
            </w:r>
            <w:r>
              <w:rPr>
                <w:rFonts w:ascii="Calibri" w:hAnsi="Calibri" w:eastAsia="Calibri" w:cs="Calibri"/>
                <w:color w:val="0000FF"/>
                <w:spacing w:val="20"/>
                <w:sz w:val="21"/>
                <w:szCs w:val="21"/>
              </w:rPr>
              <w:t xml:space="preserve"> </w:t>
            </w:r>
            <w:r>
              <w:rPr>
                <w:spacing w:val="-2"/>
                <w:sz w:val="21"/>
                <w:szCs w:val="21"/>
              </w:rPr>
              <w:t>年：是指至（投标截止之日往前推算</w:t>
            </w:r>
            <w:r>
              <w:rPr>
                <w:spacing w:val="-37"/>
                <w:sz w:val="21"/>
                <w:szCs w:val="21"/>
              </w:rPr>
              <w:t xml:space="preserve"> </w:t>
            </w:r>
            <w:r>
              <w:rPr>
                <w:rFonts w:ascii="Calibri" w:hAnsi="Calibri" w:eastAsia="Calibri" w:cs="Calibri"/>
                <w:color w:val="0000FF"/>
                <w:spacing w:val="-2"/>
                <w:sz w:val="21"/>
                <w:szCs w:val="21"/>
              </w:rPr>
              <w:t>5</w:t>
            </w:r>
            <w:r>
              <w:rPr>
                <w:rFonts w:ascii="Calibri" w:hAnsi="Calibri" w:eastAsia="Calibri" w:cs="Calibri"/>
                <w:color w:val="0000FF"/>
                <w:spacing w:val="20"/>
                <w:w w:val="101"/>
                <w:sz w:val="21"/>
                <w:szCs w:val="21"/>
              </w:rPr>
              <w:t xml:space="preserve"> </w:t>
            </w:r>
            <w:r>
              <w:rPr>
                <w:spacing w:val="-2"/>
                <w:sz w:val="21"/>
                <w:szCs w:val="21"/>
              </w:rPr>
              <w:t>年）</w:t>
            </w:r>
          </w:p>
        </w:tc>
      </w:tr>
      <w:tr w14:paraId="63A5C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952" w:type="dxa"/>
            <w:vAlign w:val="top"/>
          </w:tcPr>
          <w:p w14:paraId="04A835C4">
            <w:pPr>
              <w:spacing w:line="300" w:lineRule="auto"/>
              <w:rPr>
                <w:rFonts w:ascii="Arial"/>
                <w:sz w:val="21"/>
              </w:rPr>
            </w:pPr>
          </w:p>
          <w:p w14:paraId="257E8313">
            <w:pPr>
              <w:spacing w:before="65" w:line="264" w:lineRule="exact"/>
              <w:ind w:left="250"/>
              <w:rPr>
                <w:rFonts w:ascii="Calibri" w:hAnsi="Calibri" w:eastAsia="Calibri" w:cs="Calibri"/>
                <w:sz w:val="21"/>
                <w:szCs w:val="21"/>
              </w:rPr>
            </w:pPr>
            <w:r>
              <w:rPr>
                <w:rFonts w:ascii="Calibri" w:hAnsi="Calibri" w:eastAsia="Calibri" w:cs="Calibri"/>
                <w:position w:val="1"/>
                <w:sz w:val="21"/>
                <w:szCs w:val="21"/>
              </w:rPr>
              <w:t>3.5.5</w:t>
            </w:r>
          </w:p>
        </w:tc>
        <w:tc>
          <w:tcPr>
            <w:tcW w:w="2084" w:type="dxa"/>
            <w:vAlign w:val="top"/>
          </w:tcPr>
          <w:p w14:paraId="5ABABB10">
            <w:pPr>
              <w:pStyle w:val="6"/>
              <w:spacing w:before="27" w:line="220" w:lineRule="auto"/>
              <w:ind w:left="196"/>
              <w:rPr>
                <w:sz w:val="21"/>
                <w:szCs w:val="21"/>
              </w:rPr>
            </w:pPr>
            <w:r>
              <w:rPr>
                <w:spacing w:val="-1"/>
                <w:sz w:val="21"/>
                <w:szCs w:val="21"/>
              </w:rPr>
              <w:t>近年完成的诉讼及</w:t>
            </w:r>
          </w:p>
          <w:p w14:paraId="647BAA3F">
            <w:pPr>
              <w:pStyle w:val="6"/>
              <w:spacing w:before="65" w:line="220" w:lineRule="auto"/>
              <w:ind w:left="196"/>
              <w:rPr>
                <w:sz w:val="21"/>
                <w:szCs w:val="21"/>
              </w:rPr>
            </w:pPr>
            <w:r>
              <w:rPr>
                <w:spacing w:val="-1"/>
                <w:sz w:val="21"/>
                <w:szCs w:val="21"/>
              </w:rPr>
              <w:t>仲裁情况的年份要</w:t>
            </w:r>
          </w:p>
          <w:p w14:paraId="43614902">
            <w:pPr>
              <w:pStyle w:val="6"/>
              <w:spacing w:before="65" w:line="221" w:lineRule="auto"/>
              <w:ind w:left="935"/>
              <w:rPr>
                <w:sz w:val="21"/>
                <w:szCs w:val="21"/>
              </w:rPr>
            </w:pPr>
            <w:r>
              <w:rPr>
                <w:sz w:val="21"/>
                <w:szCs w:val="21"/>
              </w:rPr>
              <w:t>求</w:t>
            </w:r>
          </w:p>
        </w:tc>
        <w:tc>
          <w:tcPr>
            <w:tcW w:w="5194" w:type="dxa"/>
            <w:vAlign w:val="top"/>
          </w:tcPr>
          <w:p w14:paraId="4065277A">
            <w:pPr>
              <w:pStyle w:val="6"/>
              <w:spacing w:before="193"/>
              <w:ind w:left="110"/>
              <w:rPr>
                <w:sz w:val="21"/>
                <w:szCs w:val="21"/>
              </w:rPr>
            </w:pPr>
            <w:r>
              <w:rPr>
                <w:spacing w:val="-4"/>
                <w:sz w:val="21"/>
                <w:szCs w:val="21"/>
              </w:rPr>
              <w:t>近</w:t>
            </w:r>
            <w:r>
              <w:rPr>
                <w:spacing w:val="-33"/>
                <w:sz w:val="21"/>
                <w:szCs w:val="21"/>
              </w:rPr>
              <w:t xml:space="preserve"> </w:t>
            </w:r>
            <w:r>
              <w:rPr>
                <w:rFonts w:ascii="Calibri" w:hAnsi="Calibri" w:eastAsia="Calibri" w:cs="Calibri"/>
                <w:color w:val="0000FF"/>
                <w:spacing w:val="-4"/>
                <w:sz w:val="21"/>
                <w:szCs w:val="21"/>
              </w:rPr>
              <w:t>3</w:t>
            </w:r>
            <w:r>
              <w:rPr>
                <w:rFonts w:ascii="Calibri" w:hAnsi="Calibri" w:eastAsia="Calibri" w:cs="Calibri"/>
                <w:color w:val="0000FF"/>
                <w:spacing w:val="20"/>
                <w:w w:val="101"/>
                <w:sz w:val="21"/>
                <w:szCs w:val="21"/>
              </w:rPr>
              <w:t xml:space="preserve"> </w:t>
            </w:r>
            <w:r>
              <w:rPr>
                <w:spacing w:val="-4"/>
                <w:sz w:val="21"/>
                <w:szCs w:val="21"/>
              </w:rPr>
              <w:t>年：是指至</w:t>
            </w:r>
          </w:p>
          <w:p w14:paraId="397E2B76">
            <w:pPr>
              <w:pStyle w:val="6"/>
              <w:spacing w:before="41"/>
              <w:ind w:left="116"/>
              <w:rPr>
                <w:sz w:val="21"/>
                <w:szCs w:val="21"/>
              </w:rPr>
            </w:pPr>
            <w:r>
              <w:rPr>
                <w:spacing w:val="-3"/>
                <w:sz w:val="21"/>
                <w:szCs w:val="21"/>
              </w:rPr>
              <w:t>（投标截止之日往前推算</w:t>
            </w:r>
            <w:r>
              <w:rPr>
                <w:spacing w:val="-27"/>
                <w:sz w:val="21"/>
                <w:szCs w:val="21"/>
              </w:rPr>
              <w:t xml:space="preserve"> </w:t>
            </w:r>
            <w:r>
              <w:rPr>
                <w:rFonts w:ascii="Calibri" w:hAnsi="Calibri" w:eastAsia="Calibri" w:cs="Calibri"/>
                <w:color w:val="0000FF"/>
                <w:spacing w:val="-3"/>
                <w:sz w:val="21"/>
                <w:szCs w:val="21"/>
              </w:rPr>
              <w:t>3</w:t>
            </w:r>
            <w:r>
              <w:rPr>
                <w:rFonts w:ascii="Calibri" w:hAnsi="Calibri" w:eastAsia="Calibri" w:cs="Calibri"/>
                <w:color w:val="0000FF"/>
                <w:spacing w:val="20"/>
                <w:w w:val="101"/>
                <w:sz w:val="21"/>
                <w:szCs w:val="21"/>
              </w:rPr>
              <w:t xml:space="preserve"> </w:t>
            </w:r>
            <w:r>
              <w:rPr>
                <w:spacing w:val="-3"/>
                <w:sz w:val="21"/>
                <w:szCs w:val="21"/>
              </w:rPr>
              <w:t>年）</w:t>
            </w:r>
          </w:p>
        </w:tc>
      </w:tr>
      <w:tr w14:paraId="00682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5" w:hRule="atLeast"/>
        </w:trPr>
        <w:tc>
          <w:tcPr>
            <w:tcW w:w="952" w:type="dxa"/>
            <w:vAlign w:val="top"/>
          </w:tcPr>
          <w:p w14:paraId="4A77043B">
            <w:pPr>
              <w:spacing w:line="465" w:lineRule="auto"/>
              <w:rPr>
                <w:rFonts w:ascii="Arial"/>
                <w:sz w:val="21"/>
              </w:rPr>
            </w:pPr>
          </w:p>
          <w:p w14:paraId="29080E81">
            <w:pPr>
              <w:spacing w:before="65" w:line="264" w:lineRule="exact"/>
              <w:ind w:left="250"/>
              <w:rPr>
                <w:rFonts w:ascii="Calibri" w:hAnsi="Calibri" w:eastAsia="Calibri" w:cs="Calibri"/>
                <w:sz w:val="21"/>
                <w:szCs w:val="21"/>
              </w:rPr>
            </w:pPr>
            <w:r>
              <w:rPr>
                <w:rFonts w:ascii="Calibri" w:hAnsi="Calibri" w:eastAsia="Calibri" w:cs="Calibri"/>
                <w:position w:val="1"/>
                <w:sz w:val="21"/>
                <w:szCs w:val="21"/>
              </w:rPr>
              <w:t>3.5.6</w:t>
            </w:r>
          </w:p>
        </w:tc>
        <w:tc>
          <w:tcPr>
            <w:tcW w:w="2084" w:type="dxa"/>
            <w:vAlign w:val="top"/>
          </w:tcPr>
          <w:p w14:paraId="2C36EC51">
            <w:pPr>
              <w:pStyle w:val="6"/>
              <w:spacing w:before="194" w:line="219" w:lineRule="auto"/>
              <w:ind w:left="201"/>
              <w:rPr>
                <w:sz w:val="21"/>
                <w:szCs w:val="21"/>
              </w:rPr>
            </w:pPr>
            <w:r>
              <w:rPr>
                <w:spacing w:val="-1"/>
                <w:sz w:val="21"/>
                <w:szCs w:val="21"/>
              </w:rPr>
              <w:t>项目管理机构、信</w:t>
            </w:r>
          </w:p>
          <w:p w14:paraId="3B2318E7">
            <w:pPr>
              <w:pStyle w:val="6"/>
              <w:spacing w:before="66" w:line="219" w:lineRule="auto"/>
              <w:ind w:left="106"/>
              <w:rPr>
                <w:sz w:val="21"/>
                <w:szCs w:val="21"/>
              </w:rPr>
            </w:pPr>
            <w:r>
              <w:rPr>
                <w:spacing w:val="-3"/>
                <w:sz w:val="21"/>
                <w:szCs w:val="21"/>
              </w:rPr>
              <w:t>誉、其他要求中应附</w:t>
            </w:r>
          </w:p>
          <w:p w14:paraId="2D253A42">
            <w:pPr>
              <w:pStyle w:val="6"/>
              <w:spacing w:before="50" w:line="219" w:lineRule="auto"/>
              <w:ind w:left="319"/>
              <w:rPr>
                <w:sz w:val="21"/>
                <w:szCs w:val="21"/>
              </w:rPr>
            </w:pPr>
            <w:r>
              <w:rPr>
                <w:spacing w:val="-4"/>
                <w:sz w:val="21"/>
                <w:szCs w:val="21"/>
              </w:rPr>
              <w:t>的证明材料要求</w:t>
            </w:r>
          </w:p>
        </w:tc>
        <w:tc>
          <w:tcPr>
            <w:tcW w:w="5194" w:type="dxa"/>
            <w:vAlign w:val="top"/>
          </w:tcPr>
          <w:p w14:paraId="05994195">
            <w:pPr>
              <w:pStyle w:val="6"/>
              <w:spacing w:before="29" w:line="219" w:lineRule="auto"/>
              <w:ind w:left="114"/>
              <w:rPr>
                <w:sz w:val="21"/>
                <w:szCs w:val="21"/>
              </w:rPr>
            </w:pPr>
            <w:r>
              <w:rPr>
                <w:spacing w:val="-1"/>
                <w:sz w:val="21"/>
                <w:szCs w:val="21"/>
              </w:rPr>
              <w:t>项目管理机构：</w:t>
            </w:r>
            <w:r>
              <w:rPr>
                <w:color w:val="0000FF"/>
                <w:spacing w:val="-1"/>
                <w:sz w:val="21"/>
                <w:szCs w:val="21"/>
              </w:rPr>
              <w:t>详见招标文件对应部分的具体要求</w:t>
            </w:r>
          </w:p>
          <w:p w14:paraId="274D5F74">
            <w:pPr>
              <w:pStyle w:val="6"/>
              <w:spacing w:before="65" w:line="219" w:lineRule="auto"/>
              <w:ind w:left="111"/>
              <w:rPr>
                <w:sz w:val="21"/>
                <w:szCs w:val="21"/>
              </w:rPr>
            </w:pPr>
            <w:r>
              <w:rPr>
                <w:spacing w:val="-1"/>
                <w:sz w:val="21"/>
                <w:szCs w:val="21"/>
              </w:rPr>
              <w:t>信誉：</w:t>
            </w:r>
            <w:r>
              <w:rPr>
                <w:color w:val="0000FF"/>
                <w:spacing w:val="-1"/>
                <w:sz w:val="21"/>
                <w:szCs w:val="21"/>
              </w:rPr>
              <w:t>详见招标文件对应部分的具体要求</w:t>
            </w:r>
          </w:p>
          <w:p w14:paraId="144981BF">
            <w:pPr>
              <w:pStyle w:val="6"/>
              <w:spacing w:before="66" w:line="253" w:lineRule="auto"/>
              <w:ind w:left="113" w:right="102" w:hanging="1"/>
              <w:rPr>
                <w:sz w:val="21"/>
                <w:szCs w:val="21"/>
              </w:rPr>
            </w:pPr>
            <w:r>
              <w:rPr>
                <w:spacing w:val="-4"/>
                <w:sz w:val="21"/>
                <w:szCs w:val="21"/>
              </w:rPr>
              <w:t>其他要求中应附的证明材料要求：</w:t>
            </w:r>
            <w:r>
              <w:rPr>
                <w:color w:val="0000FF"/>
                <w:spacing w:val="-4"/>
                <w:sz w:val="21"/>
                <w:szCs w:val="21"/>
              </w:rPr>
              <w:t>详见招标文件对应部</w:t>
            </w:r>
            <w:r>
              <w:rPr>
                <w:color w:val="0000FF"/>
                <w:spacing w:val="-2"/>
                <w:sz w:val="21"/>
                <w:szCs w:val="21"/>
              </w:rPr>
              <w:t>分的具体要求</w:t>
            </w:r>
          </w:p>
        </w:tc>
      </w:tr>
      <w:tr w14:paraId="13278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952" w:type="dxa"/>
            <w:vAlign w:val="top"/>
          </w:tcPr>
          <w:p w14:paraId="2F472EF1">
            <w:pPr>
              <w:spacing w:line="466" w:lineRule="auto"/>
              <w:rPr>
                <w:rFonts w:ascii="Arial"/>
                <w:sz w:val="21"/>
              </w:rPr>
            </w:pPr>
          </w:p>
          <w:p w14:paraId="03B1B02B">
            <w:pPr>
              <w:spacing w:before="65" w:line="264" w:lineRule="exact"/>
              <w:ind w:left="250"/>
              <w:rPr>
                <w:rFonts w:ascii="Calibri" w:hAnsi="Calibri" w:eastAsia="Calibri" w:cs="Calibri"/>
                <w:sz w:val="21"/>
                <w:szCs w:val="21"/>
              </w:rPr>
            </w:pPr>
            <w:r>
              <w:rPr>
                <w:rFonts w:ascii="Calibri" w:hAnsi="Calibri" w:eastAsia="Calibri" w:cs="Calibri"/>
                <w:position w:val="1"/>
                <w:sz w:val="21"/>
                <w:szCs w:val="21"/>
              </w:rPr>
              <w:t>3.5.7</w:t>
            </w:r>
          </w:p>
        </w:tc>
        <w:tc>
          <w:tcPr>
            <w:tcW w:w="2084" w:type="dxa"/>
            <w:vAlign w:val="top"/>
          </w:tcPr>
          <w:p w14:paraId="1B5A7F9D">
            <w:pPr>
              <w:pStyle w:val="6"/>
              <w:spacing w:before="195" w:line="220" w:lineRule="auto"/>
              <w:ind w:left="198"/>
              <w:rPr>
                <w:sz w:val="21"/>
                <w:szCs w:val="21"/>
              </w:rPr>
            </w:pPr>
            <w:r>
              <w:rPr>
                <w:spacing w:val="-1"/>
                <w:sz w:val="21"/>
                <w:szCs w:val="21"/>
              </w:rPr>
              <w:t>其他涉及资格审查</w:t>
            </w:r>
          </w:p>
          <w:p w14:paraId="5CBD5689">
            <w:pPr>
              <w:pStyle w:val="6"/>
              <w:spacing w:before="65" w:line="219" w:lineRule="auto"/>
              <w:ind w:left="200"/>
              <w:rPr>
                <w:sz w:val="21"/>
                <w:szCs w:val="21"/>
              </w:rPr>
            </w:pPr>
            <w:r>
              <w:rPr>
                <w:spacing w:val="-1"/>
                <w:sz w:val="21"/>
                <w:szCs w:val="21"/>
              </w:rPr>
              <w:t>或评标的材料的具</w:t>
            </w:r>
          </w:p>
          <w:p w14:paraId="59CEC543">
            <w:pPr>
              <w:pStyle w:val="6"/>
              <w:spacing w:before="51" w:line="220" w:lineRule="auto"/>
              <w:ind w:left="512"/>
              <w:rPr>
                <w:sz w:val="21"/>
                <w:szCs w:val="21"/>
              </w:rPr>
            </w:pPr>
            <w:r>
              <w:rPr>
                <w:spacing w:val="-1"/>
                <w:sz w:val="21"/>
                <w:szCs w:val="21"/>
              </w:rPr>
              <w:t>体年份要求</w:t>
            </w:r>
          </w:p>
        </w:tc>
        <w:tc>
          <w:tcPr>
            <w:tcW w:w="5194" w:type="dxa"/>
            <w:vAlign w:val="top"/>
          </w:tcPr>
          <w:p w14:paraId="1E876715">
            <w:pPr>
              <w:pStyle w:val="6"/>
              <w:spacing w:before="31" w:line="277" w:lineRule="auto"/>
              <w:ind w:left="111" w:right="87" w:hanging="1"/>
              <w:jc w:val="both"/>
              <w:rPr>
                <w:sz w:val="21"/>
                <w:szCs w:val="21"/>
              </w:rPr>
            </w:pPr>
            <w:r>
              <w:rPr>
                <w:spacing w:val="5"/>
                <w:sz w:val="21"/>
                <w:szCs w:val="21"/>
              </w:rPr>
              <w:t>近年投标人工程获奖情况、近年项目经理工程获奖情</w:t>
            </w:r>
            <w:r>
              <w:rPr>
                <w:spacing w:val="-3"/>
                <w:sz w:val="21"/>
                <w:szCs w:val="21"/>
              </w:rPr>
              <w:t>况、近年项目经理获表彰情况、近年企业及个人获表彰情况</w:t>
            </w:r>
          </w:p>
          <w:p w14:paraId="0BB02E7C">
            <w:pPr>
              <w:pStyle w:val="6"/>
              <w:spacing w:line="219" w:lineRule="auto"/>
              <w:ind w:left="110"/>
              <w:rPr>
                <w:sz w:val="21"/>
                <w:szCs w:val="21"/>
              </w:rPr>
            </w:pPr>
            <w:r>
              <w:rPr>
                <w:spacing w:val="-1"/>
                <w:sz w:val="21"/>
                <w:szCs w:val="21"/>
              </w:rPr>
              <w:t>近年：是指至</w:t>
            </w:r>
            <w:r>
              <w:rPr>
                <w:spacing w:val="110"/>
                <w:sz w:val="21"/>
                <w:szCs w:val="21"/>
              </w:rPr>
              <w:t xml:space="preserve"> </w:t>
            </w:r>
            <w:r>
              <w:rPr>
                <w:spacing w:val="-1"/>
                <w:sz w:val="21"/>
                <w:szCs w:val="21"/>
              </w:rPr>
              <w:t>（投标截止之日往前推算年）</w:t>
            </w:r>
          </w:p>
        </w:tc>
      </w:tr>
      <w:tr w14:paraId="50902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5" w:hRule="atLeast"/>
        </w:trPr>
        <w:tc>
          <w:tcPr>
            <w:tcW w:w="952" w:type="dxa"/>
            <w:vAlign w:val="top"/>
          </w:tcPr>
          <w:p w14:paraId="6CC0C5E4">
            <w:pPr>
              <w:spacing w:line="309" w:lineRule="auto"/>
              <w:rPr>
                <w:rFonts w:ascii="Arial"/>
                <w:sz w:val="21"/>
              </w:rPr>
            </w:pPr>
          </w:p>
          <w:p w14:paraId="3E452DBB">
            <w:pPr>
              <w:spacing w:line="309" w:lineRule="auto"/>
              <w:rPr>
                <w:rFonts w:ascii="Arial"/>
                <w:sz w:val="21"/>
              </w:rPr>
            </w:pPr>
          </w:p>
          <w:p w14:paraId="0024D4FB">
            <w:pPr>
              <w:spacing w:before="64" w:line="265" w:lineRule="exact"/>
              <w:ind w:left="250"/>
              <w:rPr>
                <w:rFonts w:ascii="Calibri" w:hAnsi="Calibri" w:eastAsia="Calibri" w:cs="Calibri"/>
                <w:sz w:val="21"/>
                <w:szCs w:val="21"/>
              </w:rPr>
            </w:pPr>
            <w:r>
              <w:rPr>
                <w:rFonts w:ascii="Calibri" w:hAnsi="Calibri" w:eastAsia="Calibri" w:cs="Calibri"/>
                <w:position w:val="1"/>
                <w:sz w:val="21"/>
                <w:szCs w:val="21"/>
              </w:rPr>
              <w:t>3.5.8</w:t>
            </w:r>
          </w:p>
        </w:tc>
        <w:tc>
          <w:tcPr>
            <w:tcW w:w="2084" w:type="dxa"/>
            <w:vAlign w:val="top"/>
          </w:tcPr>
          <w:p w14:paraId="65E2DA4D">
            <w:pPr>
              <w:spacing w:line="295" w:lineRule="auto"/>
              <w:rPr>
                <w:rFonts w:ascii="Arial"/>
                <w:sz w:val="21"/>
              </w:rPr>
            </w:pPr>
          </w:p>
          <w:p w14:paraId="456E71B7">
            <w:pPr>
              <w:spacing w:line="296" w:lineRule="auto"/>
              <w:rPr>
                <w:rFonts w:ascii="Arial"/>
                <w:sz w:val="21"/>
              </w:rPr>
            </w:pPr>
          </w:p>
          <w:p w14:paraId="0F4604D3">
            <w:pPr>
              <w:pStyle w:val="6"/>
              <w:spacing w:before="68" w:line="220" w:lineRule="auto"/>
              <w:ind w:left="618"/>
              <w:rPr>
                <w:sz w:val="21"/>
                <w:szCs w:val="21"/>
              </w:rPr>
            </w:pPr>
            <w:r>
              <w:rPr>
                <w:spacing w:val="-2"/>
                <w:sz w:val="21"/>
                <w:szCs w:val="21"/>
              </w:rPr>
              <w:t>类似项目</w:t>
            </w:r>
          </w:p>
        </w:tc>
        <w:tc>
          <w:tcPr>
            <w:tcW w:w="5194" w:type="dxa"/>
            <w:vAlign w:val="top"/>
          </w:tcPr>
          <w:p w14:paraId="2B1770E8">
            <w:pPr>
              <w:pStyle w:val="6"/>
              <w:spacing w:before="33" w:line="264" w:lineRule="auto"/>
              <w:ind w:left="110" w:right="88"/>
              <w:jc w:val="both"/>
              <w:rPr>
                <w:sz w:val="21"/>
                <w:szCs w:val="21"/>
              </w:rPr>
            </w:pPr>
            <w:r>
              <w:rPr>
                <w:spacing w:val="-6"/>
                <w:sz w:val="21"/>
                <w:szCs w:val="21"/>
              </w:rPr>
              <w:t>类似项目是指</w:t>
            </w:r>
            <w:r>
              <w:rPr>
                <w:spacing w:val="-5"/>
                <w:sz w:val="21"/>
                <w:szCs w:val="21"/>
              </w:rPr>
              <w:t>：</w:t>
            </w:r>
            <w:r>
              <w:rPr>
                <w:color w:val="0000FF"/>
                <w:spacing w:val="-5"/>
                <w:sz w:val="21"/>
                <w:szCs w:val="21"/>
              </w:rPr>
              <w:t>：</w:t>
            </w:r>
            <w:r>
              <w:rPr>
                <w:color w:val="0000FF"/>
                <w:spacing w:val="-6"/>
                <w:sz w:val="21"/>
                <w:szCs w:val="21"/>
              </w:rPr>
              <w:t xml:space="preserve">单项合同金额 </w:t>
            </w:r>
            <w:r>
              <w:rPr>
                <w:rFonts w:hint="eastAsia" w:ascii="Calibri" w:hAnsi="Calibri" w:cs="Calibri"/>
                <w:color w:val="0000FF"/>
                <w:spacing w:val="-6"/>
                <w:sz w:val="21"/>
                <w:szCs w:val="21"/>
                <w:lang w:val="en-US" w:eastAsia="zh-CN"/>
              </w:rPr>
              <w:t>400</w:t>
            </w:r>
            <w:r>
              <w:rPr>
                <w:rFonts w:ascii="Calibri" w:hAnsi="Calibri" w:eastAsia="Calibri" w:cs="Calibri"/>
                <w:color w:val="0000FF"/>
                <w:spacing w:val="40"/>
                <w:w w:val="101"/>
                <w:sz w:val="21"/>
                <w:szCs w:val="21"/>
              </w:rPr>
              <w:t xml:space="preserve"> </w:t>
            </w:r>
            <w:r>
              <w:rPr>
                <w:color w:val="0000FF"/>
                <w:spacing w:val="-6"/>
                <w:sz w:val="21"/>
                <w:szCs w:val="21"/>
              </w:rPr>
              <w:t>万元及以上的房建</w:t>
            </w:r>
            <w:r>
              <w:rPr>
                <w:color w:val="0000FF"/>
                <w:spacing w:val="-4"/>
                <w:sz w:val="21"/>
                <w:szCs w:val="21"/>
              </w:rPr>
              <w:t>工程。以中标通知书、合同协议书、工程接收证书或工</w:t>
            </w:r>
            <w:r>
              <w:rPr>
                <w:color w:val="0000FF"/>
                <w:spacing w:val="-3"/>
                <w:sz w:val="21"/>
                <w:szCs w:val="21"/>
              </w:rPr>
              <w:t>程竣工验收证书或工程竣工验收报告扫描件</w:t>
            </w:r>
            <w:r>
              <w:rPr>
                <w:color w:val="0000FF"/>
                <w:spacing w:val="-4"/>
                <w:sz w:val="21"/>
                <w:szCs w:val="21"/>
              </w:rPr>
              <w:t>。时间以工</w:t>
            </w:r>
            <w:r>
              <w:rPr>
                <w:color w:val="0000FF"/>
                <w:spacing w:val="5"/>
                <w:sz w:val="21"/>
                <w:szCs w:val="21"/>
              </w:rPr>
              <w:t>程接收证书或工程竣工验收证书或工程竣工验收报告</w:t>
            </w:r>
            <w:r>
              <w:rPr>
                <w:color w:val="0000FF"/>
                <w:spacing w:val="-5"/>
                <w:sz w:val="21"/>
                <w:szCs w:val="21"/>
              </w:rPr>
              <w:t>上时间为准。</w:t>
            </w:r>
          </w:p>
        </w:tc>
      </w:tr>
      <w:tr w14:paraId="72ABD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2173A17C">
            <w:pPr>
              <w:spacing w:before="222" w:line="264" w:lineRule="exact"/>
              <w:ind w:left="341"/>
              <w:rPr>
                <w:rFonts w:ascii="Calibri" w:hAnsi="Calibri" w:eastAsia="Calibri" w:cs="Calibri"/>
                <w:sz w:val="21"/>
                <w:szCs w:val="21"/>
              </w:rPr>
            </w:pPr>
            <w:r>
              <w:rPr>
                <w:rFonts w:ascii="Calibri" w:hAnsi="Calibri" w:eastAsia="Calibri" w:cs="Calibri"/>
                <w:spacing w:val="-2"/>
                <w:position w:val="1"/>
                <w:sz w:val="21"/>
                <w:szCs w:val="21"/>
              </w:rPr>
              <w:t>3.6</w:t>
            </w:r>
          </w:p>
        </w:tc>
        <w:tc>
          <w:tcPr>
            <w:tcW w:w="2084" w:type="dxa"/>
            <w:vAlign w:val="top"/>
          </w:tcPr>
          <w:p w14:paraId="6A985CD7">
            <w:pPr>
              <w:pStyle w:val="6"/>
              <w:spacing w:before="49" w:line="244" w:lineRule="auto"/>
              <w:ind w:left="410" w:right="406"/>
              <w:rPr>
                <w:sz w:val="21"/>
                <w:szCs w:val="21"/>
              </w:rPr>
            </w:pPr>
            <w:r>
              <w:rPr>
                <w:spacing w:val="-2"/>
                <w:sz w:val="21"/>
                <w:szCs w:val="21"/>
              </w:rPr>
              <w:t>是否允许递交备选投标方案</w:t>
            </w:r>
          </w:p>
        </w:tc>
        <w:tc>
          <w:tcPr>
            <w:tcW w:w="5194" w:type="dxa"/>
            <w:vAlign w:val="top"/>
          </w:tcPr>
          <w:p w14:paraId="20883A97">
            <w:pPr>
              <w:pStyle w:val="6"/>
              <w:spacing w:before="48" w:line="238" w:lineRule="auto"/>
              <w:ind w:left="120" w:right="4309" w:firstLine="12"/>
              <w:rPr>
                <w:sz w:val="21"/>
                <w:szCs w:val="21"/>
              </w:rPr>
            </w:pPr>
            <w:r>
              <w:rPr>
                <w:color w:val="0000FF"/>
                <w:spacing w:val="-10"/>
                <w:sz w:val="21"/>
                <w:szCs w:val="21"/>
              </w:rPr>
              <w:t>□</w:t>
            </w:r>
            <w:r>
              <w:rPr>
                <w:spacing w:val="-10"/>
                <w:sz w:val="21"/>
                <w:szCs w:val="21"/>
              </w:rPr>
              <w:t>允许</w:t>
            </w:r>
            <w:r>
              <w:rPr>
                <w:rFonts w:ascii="Segoe UI Symbol" w:hAnsi="Segoe UI Symbol" w:eastAsia="Segoe UI Symbol" w:cs="Segoe UI Symbol"/>
                <w:color w:val="0000FF"/>
                <w:spacing w:val="-16"/>
                <w:sz w:val="21"/>
                <w:szCs w:val="21"/>
              </w:rPr>
              <w:t>☑</w:t>
            </w:r>
            <w:r>
              <w:rPr>
                <w:spacing w:val="-16"/>
                <w:sz w:val="21"/>
                <w:szCs w:val="21"/>
              </w:rPr>
              <w:t>不允许</w:t>
            </w:r>
          </w:p>
        </w:tc>
      </w:tr>
      <w:tr w14:paraId="0923E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52" w:type="dxa"/>
            <w:vAlign w:val="top"/>
          </w:tcPr>
          <w:p w14:paraId="6757E086">
            <w:pPr>
              <w:spacing w:before="72" w:line="218" w:lineRule="auto"/>
              <w:ind w:left="244"/>
              <w:rPr>
                <w:rFonts w:ascii="Calibri" w:hAnsi="Calibri" w:eastAsia="Calibri" w:cs="Calibri"/>
                <w:sz w:val="21"/>
                <w:szCs w:val="21"/>
              </w:rPr>
            </w:pPr>
            <w:r>
              <w:rPr>
                <w:rFonts w:ascii="Calibri" w:hAnsi="Calibri" w:eastAsia="Calibri" w:cs="Calibri"/>
                <w:spacing w:val="1"/>
                <w:sz w:val="21"/>
                <w:szCs w:val="21"/>
              </w:rPr>
              <w:t>4.2.1</w:t>
            </w:r>
          </w:p>
        </w:tc>
        <w:tc>
          <w:tcPr>
            <w:tcW w:w="2084" w:type="dxa"/>
            <w:vAlign w:val="top"/>
          </w:tcPr>
          <w:p w14:paraId="0B2F4FA4">
            <w:pPr>
              <w:pStyle w:val="6"/>
              <w:spacing w:before="49" w:line="220" w:lineRule="auto"/>
              <w:ind w:left="410"/>
              <w:rPr>
                <w:sz w:val="21"/>
                <w:szCs w:val="21"/>
              </w:rPr>
            </w:pPr>
            <w:r>
              <w:rPr>
                <w:spacing w:val="-2"/>
                <w:sz w:val="21"/>
                <w:szCs w:val="21"/>
              </w:rPr>
              <w:t>投标截止时间</w:t>
            </w:r>
          </w:p>
        </w:tc>
        <w:tc>
          <w:tcPr>
            <w:tcW w:w="5194" w:type="dxa"/>
            <w:vAlign w:val="top"/>
          </w:tcPr>
          <w:p w14:paraId="12D5EA57">
            <w:pPr>
              <w:spacing w:before="72" w:line="218" w:lineRule="auto"/>
              <w:ind w:left="219"/>
              <w:rPr>
                <w:rFonts w:ascii="Calibri" w:hAnsi="Calibri" w:eastAsia="Calibri" w:cs="Calibri"/>
                <w:sz w:val="21"/>
                <w:szCs w:val="21"/>
              </w:rPr>
            </w:pPr>
            <w:r>
              <w:rPr>
                <w:rFonts w:ascii="Calibri" w:hAnsi="Calibri" w:eastAsia="Calibri" w:cs="Calibri"/>
                <w:color w:val="0000FF"/>
                <w:spacing w:val="-2"/>
                <w:sz w:val="21"/>
                <w:szCs w:val="21"/>
              </w:rPr>
              <w:t>202</w:t>
            </w:r>
            <w:r>
              <w:rPr>
                <w:rFonts w:hint="eastAsia" w:ascii="Calibri" w:hAnsi="Calibri" w:eastAsia="宋体" w:cs="Calibri"/>
                <w:color w:val="0000FF"/>
                <w:spacing w:val="-2"/>
                <w:sz w:val="21"/>
                <w:szCs w:val="21"/>
                <w:lang w:val="en-US" w:eastAsia="zh-CN"/>
              </w:rPr>
              <w:t>6</w:t>
            </w:r>
            <w:r>
              <w:rPr>
                <w:rFonts w:ascii="Calibri" w:hAnsi="Calibri" w:eastAsia="Calibri" w:cs="Calibri"/>
                <w:color w:val="0000FF"/>
                <w:spacing w:val="-2"/>
                <w:sz w:val="21"/>
                <w:szCs w:val="21"/>
              </w:rPr>
              <w:t>-</w:t>
            </w:r>
            <w:r>
              <w:rPr>
                <w:rFonts w:hint="eastAsia" w:ascii="Calibri" w:hAnsi="Calibri" w:eastAsia="宋体" w:cs="Calibri"/>
                <w:color w:val="0000FF"/>
                <w:spacing w:val="-2"/>
                <w:sz w:val="21"/>
                <w:szCs w:val="21"/>
                <w:lang w:val="en-US" w:eastAsia="zh-CN"/>
              </w:rPr>
              <w:t>6</w:t>
            </w:r>
            <w:r>
              <w:rPr>
                <w:rFonts w:ascii="Calibri" w:hAnsi="Calibri" w:eastAsia="Calibri" w:cs="Calibri"/>
                <w:color w:val="0000FF"/>
                <w:spacing w:val="-2"/>
                <w:sz w:val="21"/>
                <w:szCs w:val="21"/>
              </w:rPr>
              <w:t>-</w:t>
            </w:r>
            <w:r>
              <w:rPr>
                <w:rFonts w:hint="eastAsia" w:ascii="Calibri" w:hAnsi="Calibri" w:eastAsia="宋体" w:cs="Calibri"/>
                <w:color w:val="0000FF"/>
                <w:spacing w:val="-2"/>
                <w:sz w:val="21"/>
                <w:szCs w:val="21"/>
                <w:lang w:val="en-US" w:eastAsia="zh-CN"/>
              </w:rPr>
              <w:t>23</w:t>
            </w:r>
            <w:r>
              <w:rPr>
                <w:rFonts w:ascii="Calibri" w:hAnsi="Calibri" w:eastAsia="Calibri" w:cs="Calibri"/>
                <w:color w:val="0000FF"/>
                <w:spacing w:val="18"/>
                <w:sz w:val="21"/>
                <w:szCs w:val="21"/>
              </w:rPr>
              <w:t xml:space="preserve"> </w:t>
            </w:r>
            <w:r>
              <w:rPr>
                <w:rFonts w:ascii="Calibri" w:hAnsi="Calibri" w:eastAsia="Calibri" w:cs="Calibri"/>
                <w:color w:val="0000FF"/>
                <w:spacing w:val="-2"/>
                <w:sz w:val="21"/>
                <w:szCs w:val="21"/>
              </w:rPr>
              <w:t>09:00:00</w:t>
            </w:r>
          </w:p>
        </w:tc>
      </w:tr>
      <w:tr w14:paraId="6D10D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1A09FDCD">
            <w:pPr>
              <w:spacing w:before="222" w:line="265" w:lineRule="exact"/>
              <w:ind w:left="244"/>
              <w:rPr>
                <w:rFonts w:ascii="Calibri" w:hAnsi="Calibri" w:eastAsia="Calibri" w:cs="Calibri"/>
                <w:sz w:val="21"/>
                <w:szCs w:val="21"/>
              </w:rPr>
            </w:pPr>
            <w:r>
              <w:rPr>
                <w:rFonts w:ascii="Calibri" w:hAnsi="Calibri" w:eastAsia="Calibri" w:cs="Calibri"/>
                <w:spacing w:val="1"/>
                <w:position w:val="1"/>
                <w:sz w:val="21"/>
                <w:szCs w:val="21"/>
              </w:rPr>
              <w:t>4.2.3</w:t>
            </w:r>
          </w:p>
        </w:tc>
        <w:tc>
          <w:tcPr>
            <w:tcW w:w="2084" w:type="dxa"/>
            <w:vAlign w:val="top"/>
          </w:tcPr>
          <w:p w14:paraId="45E39BB1">
            <w:pPr>
              <w:pStyle w:val="6"/>
              <w:spacing w:before="199" w:line="220" w:lineRule="auto"/>
              <w:ind w:left="201"/>
              <w:rPr>
                <w:sz w:val="21"/>
                <w:szCs w:val="21"/>
              </w:rPr>
            </w:pPr>
            <w:r>
              <w:rPr>
                <w:spacing w:val="-1"/>
                <w:sz w:val="21"/>
                <w:szCs w:val="21"/>
              </w:rPr>
              <w:t>是否退还投标文件</w:t>
            </w:r>
          </w:p>
        </w:tc>
        <w:tc>
          <w:tcPr>
            <w:tcW w:w="5194" w:type="dxa"/>
            <w:vAlign w:val="top"/>
          </w:tcPr>
          <w:p w14:paraId="65520939">
            <w:pPr>
              <w:pStyle w:val="6"/>
              <w:spacing w:before="49" w:line="221" w:lineRule="auto"/>
              <w:ind w:left="120"/>
              <w:rPr>
                <w:sz w:val="21"/>
                <w:szCs w:val="21"/>
              </w:rPr>
            </w:pPr>
            <w:r>
              <w:rPr>
                <w:rFonts w:ascii="Segoe UI Symbol" w:hAnsi="Segoe UI Symbol" w:eastAsia="Segoe UI Symbol" w:cs="Segoe UI Symbol"/>
                <w:color w:val="0000FF"/>
                <w:spacing w:val="-9"/>
                <w:sz w:val="21"/>
                <w:szCs w:val="21"/>
              </w:rPr>
              <w:t>☑</w:t>
            </w:r>
            <w:r>
              <w:rPr>
                <w:spacing w:val="-9"/>
                <w:sz w:val="21"/>
                <w:szCs w:val="21"/>
              </w:rPr>
              <w:t>否</w:t>
            </w:r>
          </w:p>
          <w:p w14:paraId="639E7F0E">
            <w:pPr>
              <w:pStyle w:val="6"/>
              <w:spacing w:before="35" w:line="221" w:lineRule="auto"/>
              <w:ind w:left="132"/>
              <w:rPr>
                <w:sz w:val="21"/>
                <w:szCs w:val="21"/>
              </w:rPr>
            </w:pPr>
            <w:r>
              <w:rPr>
                <w:color w:val="0000FF"/>
                <w:spacing w:val="-9"/>
                <w:sz w:val="21"/>
                <w:szCs w:val="21"/>
              </w:rPr>
              <w:t>□</w:t>
            </w:r>
            <w:r>
              <w:rPr>
                <w:spacing w:val="-9"/>
                <w:sz w:val="21"/>
                <w:szCs w:val="21"/>
              </w:rPr>
              <w:t>是，退还安排：</w:t>
            </w:r>
          </w:p>
        </w:tc>
      </w:tr>
      <w:tr w14:paraId="54C9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952" w:type="dxa"/>
            <w:vAlign w:val="top"/>
          </w:tcPr>
          <w:p w14:paraId="21D07AC5">
            <w:pPr>
              <w:spacing w:before="73" w:line="216" w:lineRule="auto"/>
              <w:ind w:left="250"/>
              <w:rPr>
                <w:rFonts w:ascii="Calibri" w:hAnsi="Calibri" w:eastAsia="Calibri" w:cs="Calibri"/>
                <w:sz w:val="21"/>
                <w:szCs w:val="21"/>
              </w:rPr>
            </w:pPr>
            <w:r>
              <w:rPr>
                <w:rFonts w:ascii="Calibri" w:hAnsi="Calibri" w:eastAsia="Calibri" w:cs="Calibri"/>
                <w:sz w:val="21"/>
                <w:szCs w:val="21"/>
              </w:rPr>
              <w:t>5.1.2</w:t>
            </w:r>
          </w:p>
        </w:tc>
        <w:tc>
          <w:tcPr>
            <w:tcW w:w="2084" w:type="dxa"/>
            <w:vAlign w:val="top"/>
          </w:tcPr>
          <w:p w14:paraId="7ED4987B">
            <w:pPr>
              <w:pStyle w:val="6"/>
              <w:spacing w:before="50" w:line="220" w:lineRule="auto"/>
              <w:ind w:left="410"/>
              <w:rPr>
                <w:sz w:val="21"/>
                <w:szCs w:val="21"/>
              </w:rPr>
            </w:pPr>
            <w:r>
              <w:rPr>
                <w:spacing w:val="-2"/>
                <w:sz w:val="21"/>
                <w:szCs w:val="21"/>
              </w:rPr>
              <w:t>组织开标地点</w:t>
            </w:r>
          </w:p>
        </w:tc>
        <w:tc>
          <w:tcPr>
            <w:tcW w:w="5194" w:type="dxa"/>
            <w:vAlign w:val="top"/>
          </w:tcPr>
          <w:p w14:paraId="0D524286">
            <w:pPr>
              <w:pStyle w:val="6"/>
              <w:spacing w:before="50" w:line="223" w:lineRule="auto"/>
              <w:ind w:left="112"/>
              <w:rPr>
                <w:sz w:val="21"/>
                <w:szCs w:val="21"/>
              </w:rPr>
            </w:pPr>
            <w:r>
              <w:rPr>
                <w:color w:val="0000FF"/>
                <w:spacing w:val="-1"/>
                <w:sz w:val="21"/>
                <w:szCs w:val="21"/>
              </w:rPr>
              <w:t xml:space="preserve">罗田县公共资源交易中心 </w:t>
            </w:r>
            <w:r>
              <w:rPr>
                <w:rFonts w:ascii="Calibri" w:hAnsi="Calibri" w:eastAsia="Calibri" w:cs="Calibri"/>
                <w:color w:val="0000FF"/>
                <w:spacing w:val="-1"/>
                <w:sz w:val="21"/>
                <w:szCs w:val="21"/>
              </w:rPr>
              <w:t xml:space="preserve">5  </w:t>
            </w:r>
            <w:r>
              <w:rPr>
                <w:color w:val="0000FF"/>
                <w:spacing w:val="-1"/>
                <w:sz w:val="21"/>
                <w:szCs w:val="21"/>
              </w:rPr>
              <w:t>楼</w:t>
            </w:r>
            <w:r>
              <w:rPr>
                <w:color w:val="0000FF"/>
                <w:spacing w:val="23"/>
                <w:sz w:val="21"/>
                <w:szCs w:val="21"/>
              </w:rPr>
              <w:t xml:space="preserve"> </w:t>
            </w:r>
            <w:r>
              <w:rPr>
                <w:color w:val="0000FF"/>
                <w:spacing w:val="-1"/>
                <w:sz w:val="21"/>
                <w:szCs w:val="21"/>
              </w:rPr>
              <w:t>开标厅</w:t>
            </w:r>
          </w:p>
        </w:tc>
      </w:tr>
      <w:tr w14:paraId="5759D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952" w:type="dxa"/>
            <w:vAlign w:val="top"/>
          </w:tcPr>
          <w:p w14:paraId="00C4D630">
            <w:pPr>
              <w:spacing w:before="224" w:line="265" w:lineRule="exact"/>
              <w:ind w:left="250"/>
              <w:rPr>
                <w:rFonts w:ascii="Calibri" w:hAnsi="Calibri" w:eastAsia="Calibri" w:cs="Calibri"/>
                <w:sz w:val="21"/>
                <w:szCs w:val="21"/>
              </w:rPr>
            </w:pPr>
            <w:r>
              <w:rPr>
                <w:rFonts w:ascii="Calibri" w:hAnsi="Calibri" w:eastAsia="Calibri" w:cs="Calibri"/>
                <w:position w:val="1"/>
                <w:sz w:val="21"/>
                <w:szCs w:val="21"/>
              </w:rPr>
              <w:t>5.2.1</w:t>
            </w:r>
          </w:p>
          <w:p w14:paraId="7A2C02EB">
            <w:pPr>
              <w:pStyle w:val="6"/>
              <w:spacing w:before="28" w:line="286" w:lineRule="exact"/>
              <w:ind w:left="208"/>
              <w:rPr>
                <w:sz w:val="21"/>
                <w:szCs w:val="21"/>
              </w:rPr>
            </w:pPr>
            <w:r>
              <w:rPr>
                <w:spacing w:val="-5"/>
                <w:position w:val="1"/>
                <w:sz w:val="21"/>
                <w:szCs w:val="21"/>
              </w:rPr>
              <w:t>（</w:t>
            </w:r>
            <w:r>
              <w:rPr>
                <w:rFonts w:ascii="Calibri" w:hAnsi="Calibri" w:eastAsia="Calibri" w:cs="Calibri"/>
                <w:spacing w:val="-5"/>
                <w:position w:val="1"/>
                <w:sz w:val="21"/>
                <w:szCs w:val="21"/>
              </w:rPr>
              <w:t>5</w:t>
            </w:r>
            <w:r>
              <w:rPr>
                <w:spacing w:val="-5"/>
                <w:position w:val="1"/>
                <w:sz w:val="21"/>
                <w:szCs w:val="21"/>
              </w:rPr>
              <w:t>）</w:t>
            </w:r>
          </w:p>
        </w:tc>
        <w:tc>
          <w:tcPr>
            <w:tcW w:w="2084" w:type="dxa"/>
            <w:vAlign w:val="top"/>
          </w:tcPr>
          <w:p w14:paraId="67E23CF8">
            <w:pPr>
              <w:spacing w:line="282" w:lineRule="auto"/>
              <w:rPr>
                <w:rFonts w:ascii="Arial"/>
                <w:sz w:val="21"/>
              </w:rPr>
            </w:pPr>
          </w:p>
          <w:p w14:paraId="1BF653E0">
            <w:pPr>
              <w:pStyle w:val="6"/>
              <w:spacing w:before="68" w:line="220" w:lineRule="auto"/>
              <w:ind w:left="617"/>
              <w:rPr>
                <w:sz w:val="21"/>
                <w:szCs w:val="21"/>
              </w:rPr>
            </w:pPr>
            <w:r>
              <w:rPr>
                <w:spacing w:val="-2"/>
                <w:sz w:val="21"/>
                <w:szCs w:val="21"/>
              </w:rPr>
              <w:t>解密时间</w:t>
            </w:r>
          </w:p>
        </w:tc>
        <w:tc>
          <w:tcPr>
            <w:tcW w:w="5194" w:type="dxa"/>
            <w:vAlign w:val="top"/>
          </w:tcPr>
          <w:p w14:paraId="380F730B">
            <w:pPr>
              <w:pStyle w:val="6"/>
              <w:spacing w:before="36"/>
              <w:ind w:left="112"/>
              <w:rPr>
                <w:sz w:val="21"/>
                <w:szCs w:val="21"/>
              </w:rPr>
            </w:pPr>
            <w:r>
              <w:rPr>
                <w:spacing w:val="-1"/>
                <w:sz w:val="21"/>
                <w:szCs w:val="21"/>
              </w:rPr>
              <w:t xml:space="preserve">招标人发出解密提示后  </w:t>
            </w:r>
            <w:r>
              <w:rPr>
                <w:rFonts w:ascii="Calibri" w:hAnsi="Calibri" w:eastAsia="Calibri" w:cs="Calibri"/>
                <w:spacing w:val="-1"/>
                <w:sz w:val="21"/>
                <w:szCs w:val="21"/>
              </w:rPr>
              <w:t>30</w:t>
            </w:r>
            <w:r>
              <w:rPr>
                <w:rFonts w:ascii="Calibri" w:hAnsi="Calibri" w:eastAsia="Calibri" w:cs="Calibri"/>
                <w:spacing w:val="7"/>
                <w:sz w:val="21"/>
                <w:szCs w:val="21"/>
              </w:rPr>
              <w:t xml:space="preserve">    </w:t>
            </w:r>
            <w:r>
              <w:rPr>
                <w:spacing w:val="-1"/>
                <w:sz w:val="21"/>
                <w:szCs w:val="21"/>
              </w:rPr>
              <w:t>分钟内</w:t>
            </w:r>
          </w:p>
          <w:p w14:paraId="6A328DA1">
            <w:pPr>
              <w:pStyle w:val="6"/>
              <w:spacing w:before="41" w:line="250" w:lineRule="auto"/>
              <w:ind w:left="112" w:right="107" w:firstLine="4"/>
              <w:rPr>
                <w:sz w:val="21"/>
                <w:szCs w:val="21"/>
              </w:rPr>
            </w:pPr>
            <w:r>
              <w:rPr>
                <w:spacing w:val="-4"/>
                <w:sz w:val="21"/>
                <w:szCs w:val="21"/>
              </w:rPr>
              <w:t>（招标人应充分考虑标段数和投标人数量，合理设置解</w:t>
            </w:r>
            <w:r>
              <w:rPr>
                <w:spacing w:val="-3"/>
                <w:sz w:val="21"/>
                <w:szCs w:val="21"/>
              </w:rPr>
              <w:t>密时间，该时间不应少于</w:t>
            </w:r>
            <w:r>
              <w:rPr>
                <w:spacing w:val="-22"/>
                <w:sz w:val="21"/>
                <w:szCs w:val="21"/>
              </w:rPr>
              <w:t xml:space="preserve"> </w:t>
            </w:r>
            <w:r>
              <w:rPr>
                <w:rFonts w:ascii="Calibri" w:hAnsi="Calibri" w:eastAsia="Calibri" w:cs="Calibri"/>
                <w:spacing w:val="-3"/>
                <w:sz w:val="21"/>
                <w:szCs w:val="21"/>
              </w:rPr>
              <w:t>20</w:t>
            </w:r>
            <w:r>
              <w:rPr>
                <w:rFonts w:ascii="Calibri" w:hAnsi="Calibri" w:eastAsia="Calibri" w:cs="Calibri"/>
                <w:spacing w:val="23"/>
                <w:sz w:val="21"/>
                <w:szCs w:val="21"/>
              </w:rPr>
              <w:t xml:space="preserve"> </w:t>
            </w:r>
            <w:r>
              <w:rPr>
                <w:spacing w:val="-3"/>
                <w:sz w:val="21"/>
                <w:szCs w:val="21"/>
              </w:rPr>
              <w:t>分钟）</w:t>
            </w:r>
          </w:p>
        </w:tc>
      </w:tr>
      <w:tr w14:paraId="71D5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952" w:type="dxa"/>
            <w:vAlign w:val="top"/>
          </w:tcPr>
          <w:p w14:paraId="3B6CABC4">
            <w:pPr>
              <w:spacing w:before="60" w:line="222" w:lineRule="auto"/>
              <w:ind w:left="250"/>
              <w:rPr>
                <w:rFonts w:ascii="Calibri" w:hAnsi="Calibri" w:eastAsia="Calibri" w:cs="Calibri"/>
                <w:sz w:val="21"/>
                <w:szCs w:val="21"/>
              </w:rPr>
            </w:pPr>
            <w:r>
              <w:rPr>
                <w:rFonts w:ascii="Calibri" w:hAnsi="Calibri" w:eastAsia="Calibri" w:cs="Calibri"/>
                <w:spacing w:val="-1"/>
                <w:sz w:val="21"/>
                <w:szCs w:val="21"/>
              </w:rPr>
              <w:t>6.1.1</w:t>
            </w:r>
          </w:p>
        </w:tc>
        <w:tc>
          <w:tcPr>
            <w:tcW w:w="2084" w:type="dxa"/>
            <w:vAlign w:val="top"/>
          </w:tcPr>
          <w:p w14:paraId="3D09519D">
            <w:pPr>
              <w:pStyle w:val="6"/>
              <w:spacing w:before="37" w:line="219" w:lineRule="auto"/>
              <w:ind w:left="196"/>
              <w:rPr>
                <w:sz w:val="21"/>
                <w:szCs w:val="21"/>
              </w:rPr>
            </w:pPr>
            <w:r>
              <w:rPr>
                <w:spacing w:val="-1"/>
                <w:sz w:val="21"/>
                <w:szCs w:val="21"/>
              </w:rPr>
              <w:t>评标委员会的组建</w:t>
            </w:r>
          </w:p>
        </w:tc>
        <w:tc>
          <w:tcPr>
            <w:tcW w:w="5194" w:type="dxa"/>
            <w:vAlign w:val="top"/>
          </w:tcPr>
          <w:p w14:paraId="2C7591AA">
            <w:pPr>
              <w:pStyle w:val="6"/>
              <w:spacing w:before="37" w:line="229" w:lineRule="auto"/>
              <w:ind w:left="110"/>
              <w:rPr>
                <w:rFonts w:ascii="Calibri" w:hAnsi="Calibri" w:eastAsia="Calibri" w:cs="Calibri"/>
                <w:sz w:val="21"/>
                <w:szCs w:val="21"/>
              </w:rPr>
            </w:pPr>
            <w:r>
              <w:rPr>
                <w:spacing w:val="-2"/>
                <w:sz w:val="21"/>
                <w:szCs w:val="21"/>
              </w:rPr>
              <w:t>评标委员会构成：</w:t>
            </w:r>
            <w:r>
              <w:rPr>
                <w:rFonts w:ascii="Calibri" w:hAnsi="Calibri" w:eastAsia="Calibri" w:cs="Calibri"/>
                <w:color w:val="0000FF"/>
                <w:spacing w:val="-2"/>
                <w:sz w:val="21"/>
                <w:szCs w:val="21"/>
              </w:rPr>
              <w:t>5</w:t>
            </w:r>
            <w:r>
              <w:rPr>
                <w:rFonts w:ascii="Calibri" w:hAnsi="Calibri" w:eastAsia="Calibri" w:cs="Calibri"/>
                <w:color w:val="0000FF"/>
                <w:spacing w:val="30"/>
                <w:w w:val="102"/>
                <w:sz w:val="21"/>
                <w:szCs w:val="21"/>
              </w:rPr>
              <w:t xml:space="preserve"> </w:t>
            </w:r>
            <w:r>
              <w:rPr>
                <w:spacing w:val="-2"/>
                <w:sz w:val="21"/>
                <w:szCs w:val="21"/>
              </w:rPr>
              <w:t>人，其中招标人代表</w:t>
            </w:r>
            <w:r>
              <w:rPr>
                <w:spacing w:val="-29"/>
                <w:sz w:val="21"/>
                <w:szCs w:val="21"/>
              </w:rPr>
              <w:t xml:space="preserve"> </w:t>
            </w:r>
            <w:r>
              <w:rPr>
                <w:rFonts w:ascii="Calibri" w:hAnsi="Calibri" w:eastAsia="Calibri" w:cs="Calibri"/>
                <w:color w:val="0000FF"/>
                <w:spacing w:val="-2"/>
                <w:sz w:val="21"/>
                <w:szCs w:val="21"/>
              </w:rPr>
              <w:t>1</w:t>
            </w:r>
            <w:r>
              <w:rPr>
                <w:rFonts w:ascii="Calibri" w:hAnsi="Calibri" w:eastAsia="Calibri" w:cs="Calibri"/>
                <w:color w:val="0000FF"/>
                <w:spacing w:val="21"/>
                <w:sz w:val="21"/>
                <w:szCs w:val="21"/>
              </w:rPr>
              <w:t xml:space="preserve"> </w:t>
            </w:r>
            <w:r>
              <w:rPr>
                <w:spacing w:val="-2"/>
                <w:sz w:val="21"/>
                <w:szCs w:val="21"/>
              </w:rPr>
              <w:t>人，专家</w:t>
            </w:r>
            <w:r>
              <w:rPr>
                <w:spacing w:val="-41"/>
                <w:sz w:val="21"/>
                <w:szCs w:val="21"/>
              </w:rPr>
              <w:t xml:space="preserve"> </w:t>
            </w:r>
            <w:r>
              <w:rPr>
                <w:rFonts w:ascii="Calibri" w:hAnsi="Calibri" w:eastAsia="Calibri" w:cs="Calibri"/>
                <w:color w:val="0000FF"/>
                <w:spacing w:val="-2"/>
                <w:sz w:val="21"/>
                <w:szCs w:val="21"/>
              </w:rPr>
              <w:t>4</w:t>
            </w:r>
          </w:p>
        </w:tc>
      </w:tr>
    </w:tbl>
    <w:p w14:paraId="512ECD7A">
      <w:pPr>
        <w:pStyle w:val="2"/>
      </w:pPr>
    </w:p>
    <w:p w14:paraId="105B276C">
      <w:pPr>
        <w:sectPr>
          <w:footerReference r:id="rId29" w:type="default"/>
          <w:pgSz w:w="11910" w:h="16845"/>
          <w:pgMar w:top="1431" w:right="1786" w:bottom="1065" w:left="1786" w:header="0" w:footer="837" w:gutter="0"/>
          <w:cols w:space="720" w:num="1"/>
        </w:sectPr>
      </w:pPr>
    </w:p>
    <w:p w14:paraId="1AD87A12">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533EE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952" w:type="dxa"/>
            <w:vAlign w:val="top"/>
          </w:tcPr>
          <w:p w14:paraId="4E62AD97">
            <w:pPr>
              <w:pStyle w:val="6"/>
              <w:spacing w:before="44" w:line="220" w:lineRule="auto"/>
              <w:ind w:left="129"/>
              <w:rPr>
                <w:sz w:val="21"/>
                <w:szCs w:val="21"/>
              </w:rPr>
            </w:pPr>
            <w:r>
              <w:rPr>
                <w:b/>
                <w:bCs/>
                <w:spacing w:val="4"/>
                <w:sz w:val="21"/>
                <w:szCs w:val="21"/>
              </w:rPr>
              <w:t>条款号</w:t>
            </w:r>
          </w:p>
        </w:tc>
        <w:tc>
          <w:tcPr>
            <w:tcW w:w="2084" w:type="dxa"/>
            <w:vAlign w:val="top"/>
          </w:tcPr>
          <w:p w14:paraId="07DC65F3">
            <w:pPr>
              <w:pStyle w:val="6"/>
              <w:spacing w:before="44" w:line="220" w:lineRule="auto"/>
              <w:ind w:left="604"/>
              <w:rPr>
                <w:sz w:val="21"/>
                <w:szCs w:val="21"/>
              </w:rPr>
            </w:pPr>
            <w:r>
              <w:rPr>
                <w:b/>
                <w:bCs/>
                <w:spacing w:val="6"/>
                <w:sz w:val="21"/>
                <w:szCs w:val="21"/>
              </w:rPr>
              <w:t>条款名称</w:t>
            </w:r>
          </w:p>
        </w:tc>
        <w:tc>
          <w:tcPr>
            <w:tcW w:w="5194" w:type="dxa"/>
            <w:vAlign w:val="top"/>
          </w:tcPr>
          <w:p w14:paraId="5B2544B0">
            <w:pPr>
              <w:pStyle w:val="6"/>
              <w:spacing w:before="44" w:line="220" w:lineRule="auto"/>
              <w:ind w:left="2155"/>
              <w:rPr>
                <w:sz w:val="21"/>
                <w:szCs w:val="21"/>
              </w:rPr>
            </w:pPr>
            <w:r>
              <w:rPr>
                <w:b/>
                <w:bCs/>
                <w:spacing w:val="6"/>
                <w:sz w:val="21"/>
                <w:szCs w:val="21"/>
              </w:rPr>
              <w:t>编列内容</w:t>
            </w:r>
          </w:p>
        </w:tc>
      </w:tr>
      <w:tr w14:paraId="5D3C7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952" w:type="dxa"/>
            <w:vAlign w:val="top"/>
          </w:tcPr>
          <w:p w14:paraId="0C1E608F">
            <w:pPr>
              <w:rPr>
                <w:rFonts w:ascii="Arial"/>
                <w:sz w:val="21"/>
              </w:rPr>
            </w:pPr>
          </w:p>
        </w:tc>
        <w:tc>
          <w:tcPr>
            <w:tcW w:w="2084" w:type="dxa"/>
            <w:vAlign w:val="top"/>
          </w:tcPr>
          <w:p w14:paraId="3DCD5F23">
            <w:pPr>
              <w:rPr>
                <w:rFonts w:ascii="Arial"/>
                <w:sz w:val="21"/>
              </w:rPr>
            </w:pPr>
          </w:p>
        </w:tc>
        <w:tc>
          <w:tcPr>
            <w:tcW w:w="5194" w:type="dxa"/>
            <w:vAlign w:val="top"/>
          </w:tcPr>
          <w:p w14:paraId="2BC478E4">
            <w:pPr>
              <w:pStyle w:val="6"/>
              <w:spacing w:before="37" w:line="222" w:lineRule="auto"/>
              <w:ind w:left="112"/>
              <w:rPr>
                <w:sz w:val="21"/>
                <w:szCs w:val="21"/>
              </w:rPr>
            </w:pPr>
            <w:r>
              <w:rPr>
                <w:spacing w:val="-15"/>
                <w:sz w:val="21"/>
                <w:szCs w:val="21"/>
              </w:rPr>
              <w:t>人；</w:t>
            </w:r>
          </w:p>
          <w:p w14:paraId="4A89CADD">
            <w:pPr>
              <w:pStyle w:val="6"/>
              <w:spacing w:before="62" w:line="256" w:lineRule="auto"/>
              <w:ind w:left="110" w:right="102"/>
              <w:rPr>
                <w:sz w:val="21"/>
                <w:szCs w:val="21"/>
              </w:rPr>
            </w:pPr>
            <w:r>
              <w:rPr>
                <w:spacing w:val="-3"/>
                <w:sz w:val="21"/>
                <w:szCs w:val="21"/>
              </w:rPr>
              <w:t>评标专家确定方式：</w:t>
            </w:r>
            <w:r>
              <w:rPr>
                <w:color w:val="0000FF"/>
                <w:spacing w:val="-3"/>
                <w:sz w:val="21"/>
                <w:szCs w:val="21"/>
              </w:rPr>
              <w:t>从湖北省综合评标专家总库</w:t>
            </w:r>
            <w:r>
              <w:rPr>
                <w:color w:val="0000FF"/>
                <w:spacing w:val="-4"/>
                <w:sz w:val="21"/>
                <w:szCs w:val="21"/>
              </w:rPr>
              <w:t>相应专业中随机抽取产生。</w:t>
            </w:r>
          </w:p>
        </w:tc>
      </w:tr>
      <w:tr w14:paraId="27771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0" w:hRule="atLeast"/>
        </w:trPr>
        <w:tc>
          <w:tcPr>
            <w:tcW w:w="952" w:type="dxa"/>
            <w:vAlign w:val="top"/>
          </w:tcPr>
          <w:p w14:paraId="2C0E12FC">
            <w:pPr>
              <w:spacing w:line="445" w:lineRule="auto"/>
              <w:rPr>
                <w:rFonts w:ascii="Arial"/>
                <w:sz w:val="21"/>
              </w:rPr>
            </w:pPr>
          </w:p>
          <w:p w14:paraId="4DEC9BA7">
            <w:pPr>
              <w:spacing w:before="64" w:line="264" w:lineRule="exact"/>
              <w:ind w:left="341"/>
              <w:rPr>
                <w:rFonts w:ascii="Calibri" w:hAnsi="Calibri" w:eastAsia="Calibri" w:cs="Calibri"/>
                <w:sz w:val="21"/>
                <w:szCs w:val="21"/>
              </w:rPr>
            </w:pPr>
            <w:r>
              <w:rPr>
                <w:rFonts w:ascii="Calibri" w:hAnsi="Calibri" w:eastAsia="Calibri" w:cs="Calibri"/>
                <w:spacing w:val="-2"/>
                <w:position w:val="1"/>
                <w:sz w:val="21"/>
                <w:szCs w:val="21"/>
              </w:rPr>
              <w:t>6.4</w:t>
            </w:r>
          </w:p>
        </w:tc>
        <w:tc>
          <w:tcPr>
            <w:tcW w:w="2084" w:type="dxa"/>
            <w:vAlign w:val="top"/>
          </w:tcPr>
          <w:p w14:paraId="5EA75A46">
            <w:pPr>
              <w:spacing w:line="269" w:lineRule="auto"/>
              <w:rPr>
                <w:rFonts w:ascii="Arial"/>
                <w:sz w:val="21"/>
              </w:rPr>
            </w:pPr>
          </w:p>
          <w:p w14:paraId="0DF761E7">
            <w:pPr>
              <w:pStyle w:val="6"/>
              <w:spacing w:before="68" w:line="278" w:lineRule="auto"/>
              <w:ind w:left="216" w:right="195" w:hanging="20"/>
              <w:rPr>
                <w:sz w:val="21"/>
                <w:szCs w:val="21"/>
              </w:rPr>
            </w:pPr>
            <w:r>
              <w:rPr>
                <w:spacing w:val="-1"/>
                <w:sz w:val="21"/>
                <w:szCs w:val="21"/>
              </w:rPr>
              <w:t>评标结果公示媒介</w:t>
            </w:r>
            <w:r>
              <w:rPr>
                <w:spacing w:val="-4"/>
                <w:sz w:val="21"/>
                <w:szCs w:val="21"/>
              </w:rPr>
              <w:t>中标结果公告媒介</w:t>
            </w:r>
          </w:p>
        </w:tc>
        <w:tc>
          <w:tcPr>
            <w:tcW w:w="5194" w:type="dxa"/>
            <w:vAlign w:val="top"/>
          </w:tcPr>
          <w:p w14:paraId="14CFA18E">
            <w:pPr>
              <w:pStyle w:val="6"/>
              <w:spacing w:before="22" w:line="220" w:lineRule="auto"/>
              <w:ind w:left="110"/>
              <w:rPr>
                <w:sz w:val="21"/>
                <w:szCs w:val="21"/>
              </w:rPr>
            </w:pPr>
            <w:r>
              <w:rPr>
                <w:color w:val="0000FF"/>
                <w:spacing w:val="-1"/>
                <w:sz w:val="21"/>
                <w:szCs w:val="21"/>
              </w:rPr>
              <w:t>湖北省电子招投标交易平台</w:t>
            </w:r>
          </w:p>
          <w:p w14:paraId="0BA8CB23">
            <w:pPr>
              <w:pStyle w:val="6"/>
              <w:spacing w:before="65" w:line="279" w:lineRule="exact"/>
              <w:ind w:left="127"/>
              <w:rPr>
                <w:rFonts w:ascii="Calibri" w:hAnsi="Calibri" w:eastAsia="Calibri" w:cs="Calibri"/>
                <w:sz w:val="21"/>
                <w:szCs w:val="21"/>
              </w:rPr>
            </w:pPr>
            <w:r>
              <w:rPr>
                <w:spacing w:val="-4"/>
                <w:position w:val="1"/>
                <w:sz w:val="21"/>
                <w:szCs w:val="21"/>
              </w:rPr>
              <w:t>网址：</w:t>
            </w:r>
            <w:r>
              <w:fldChar w:fldCharType="begin"/>
            </w:r>
            <w:r>
              <w:instrText xml:space="preserve"> HYPERLINK "https://www.hbbidcloud.cn" </w:instrText>
            </w:r>
            <w:r>
              <w:fldChar w:fldCharType="separate"/>
            </w:r>
            <w:r>
              <w:rPr>
                <w:rFonts w:ascii="Calibri" w:hAnsi="Calibri" w:eastAsia="Calibri" w:cs="Calibri"/>
                <w:color w:val="0000FF"/>
                <w:spacing w:val="-4"/>
                <w:position w:val="1"/>
                <w:sz w:val="21"/>
                <w:szCs w:val="21"/>
              </w:rPr>
              <w:t>www.hbbidcloud.cn</w:t>
            </w:r>
            <w:r>
              <w:rPr>
                <w:rFonts w:ascii="Calibri" w:hAnsi="Calibri" w:eastAsia="Calibri" w:cs="Calibri"/>
                <w:color w:val="0000FF"/>
                <w:spacing w:val="-4"/>
                <w:position w:val="1"/>
                <w:sz w:val="21"/>
                <w:szCs w:val="21"/>
              </w:rPr>
              <w:fldChar w:fldCharType="end"/>
            </w:r>
          </w:p>
          <w:p w14:paraId="2FC477DE">
            <w:pPr>
              <w:pStyle w:val="6"/>
              <w:spacing w:before="36" w:line="220" w:lineRule="auto"/>
              <w:ind w:left="110"/>
              <w:rPr>
                <w:sz w:val="21"/>
                <w:szCs w:val="21"/>
              </w:rPr>
            </w:pPr>
            <w:r>
              <w:rPr>
                <w:color w:val="0000FF"/>
                <w:spacing w:val="-1"/>
                <w:sz w:val="21"/>
                <w:szCs w:val="21"/>
              </w:rPr>
              <w:t>湖北省公共资源交易电子服务系统</w:t>
            </w:r>
          </w:p>
          <w:p w14:paraId="0CCB9922">
            <w:pPr>
              <w:pStyle w:val="6"/>
              <w:spacing w:before="66" w:line="220" w:lineRule="auto"/>
              <w:ind w:left="127"/>
              <w:rPr>
                <w:rFonts w:ascii="Calibri" w:hAnsi="Calibri" w:eastAsia="Calibri" w:cs="Calibri"/>
                <w:sz w:val="21"/>
                <w:szCs w:val="21"/>
              </w:rPr>
            </w:pPr>
            <w:r>
              <w:rPr>
                <w:spacing w:val="-2"/>
                <w:sz w:val="21"/>
                <w:szCs w:val="21"/>
              </w:rPr>
              <w:t>网址：</w:t>
            </w:r>
            <w:r>
              <w:fldChar w:fldCharType="begin"/>
            </w:r>
            <w:r>
              <w:instrText xml:space="preserve"> HYPERLINK "https://www.hbggzyfwpt.cn" </w:instrText>
            </w:r>
            <w:r>
              <w:fldChar w:fldCharType="separate"/>
            </w:r>
            <w:r>
              <w:rPr>
                <w:rFonts w:ascii="Calibri" w:hAnsi="Calibri" w:eastAsia="Calibri" w:cs="Calibri"/>
                <w:color w:val="0000FF"/>
                <w:spacing w:val="-2"/>
                <w:sz w:val="21"/>
                <w:szCs w:val="21"/>
              </w:rPr>
              <w:t>www.hbggzyfwpt.cn</w:t>
            </w:r>
            <w:r>
              <w:rPr>
                <w:rFonts w:ascii="Calibri" w:hAnsi="Calibri" w:eastAsia="Calibri" w:cs="Calibri"/>
                <w:color w:val="0000FF"/>
                <w:spacing w:val="-2"/>
                <w:sz w:val="21"/>
                <w:szCs w:val="21"/>
              </w:rPr>
              <w:fldChar w:fldCharType="end"/>
            </w:r>
          </w:p>
        </w:tc>
      </w:tr>
      <w:tr w14:paraId="552A2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952" w:type="dxa"/>
            <w:vAlign w:val="top"/>
          </w:tcPr>
          <w:p w14:paraId="16A2F18F">
            <w:pPr>
              <w:spacing w:line="311" w:lineRule="auto"/>
              <w:rPr>
                <w:rFonts w:ascii="Arial"/>
                <w:sz w:val="21"/>
              </w:rPr>
            </w:pPr>
          </w:p>
          <w:p w14:paraId="4D563657">
            <w:pPr>
              <w:spacing w:before="64" w:line="266" w:lineRule="exact"/>
              <w:ind w:left="340"/>
              <w:rPr>
                <w:rFonts w:ascii="Calibri" w:hAnsi="Calibri" w:eastAsia="Calibri" w:cs="Calibri"/>
                <w:sz w:val="21"/>
                <w:szCs w:val="21"/>
              </w:rPr>
            </w:pPr>
            <w:r>
              <w:rPr>
                <w:rFonts w:ascii="Calibri" w:hAnsi="Calibri" w:eastAsia="Calibri" w:cs="Calibri"/>
                <w:spacing w:val="-2"/>
                <w:position w:val="1"/>
                <w:sz w:val="21"/>
                <w:szCs w:val="21"/>
              </w:rPr>
              <w:t>7.1</w:t>
            </w:r>
          </w:p>
        </w:tc>
        <w:tc>
          <w:tcPr>
            <w:tcW w:w="2084" w:type="dxa"/>
            <w:vAlign w:val="top"/>
          </w:tcPr>
          <w:p w14:paraId="612056D7">
            <w:pPr>
              <w:pStyle w:val="6"/>
              <w:spacing w:before="189" w:line="279" w:lineRule="auto"/>
              <w:ind w:left="406" w:right="195" w:hanging="205"/>
              <w:rPr>
                <w:sz w:val="21"/>
                <w:szCs w:val="21"/>
              </w:rPr>
            </w:pPr>
            <w:r>
              <w:rPr>
                <w:spacing w:val="-2"/>
                <w:sz w:val="21"/>
                <w:szCs w:val="21"/>
              </w:rPr>
              <w:t>是否授权评标委员</w:t>
            </w:r>
            <w:r>
              <w:rPr>
                <w:spacing w:val="-1"/>
                <w:sz w:val="21"/>
                <w:szCs w:val="21"/>
              </w:rPr>
              <w:t>会确定中标人</w:t>
            </w:r>
          </w:p>
        </w:tc>
        <w:tc>
          <w:tcPr>
            <w:tcW w:w="5194" w:type="dxa"/>
            <w:vAlign w:val="top"/>
          </w:tcPr>
          <w:p w14:paraId="5485D777">
            <w:pPr>
              <w:pStyle w:val="6"/>
              <w:spacing w:before="40" w:line="223" w:lineRule="auto"/>
              <w:ind w:left="132"/>
              <w:rPr>
                <w:sz w:val="21"/>
                <w:szCs w:val="21"/>
              </w:rPr>
            </w:pPr>
            <w:r>
              <w:rPr>
                <w:color w:val="0000FF"/>
                <w:spacing w:val="-15"/>
                <w:sz w:val="21"/>
                <w:szCs w:val="21"/>
              </w:rPr>
              <w:t>□</w:t>
            </w:r>
            <w:r>
              <w:rPr>
                <w:spacing w:val="-15"/>
                <w:sz w:val="21"/>
                <w:szCs w:val="21"/>
              </w:rPr>
              <w:t>是</w:t>
            </w:r>
          </w:p>
          <w:p w14:paraId="23B10B7D">
            <w:pPr>
              <w:pStyle w:val="6"/>
              <w:spacing w:before="60" w:line="242" w:lineRule="auto"/>
              <w:ind w:left="112" w:right="119" w:firstLine="7"/>
              <w:rPr>
                <w:sz w:val="21"/>
                <w:szCs w:val="21"/>
              </w:rPr>
            </w:pPr>
            <w:r>
              <w:rPr>
                <w:rFonts w:ascii="Segoe UI Symbol" w:hAnsi="Segoe UI Symbol" w:eastAsia="Segoe UI Symbol" w:cs="Segoe UI Symbol"/>
                <w:color w:val="0000FF"/>
                <w:spacing w:val="-12"/>
                <w:sz w:val="21"/>
                <w:szCs w:val="21"/>
              </w:rPr>
              <w:t>☑</w:t>
            </w:r>
            <w:r>
              <w:rPr>
                <w:spacing w:val="-12"/>
                <w:sz w:val="21"/>
                <w:szCs w:val="21"/>
              </w:rPr>
              <w:t>否，推荐的中标候选人数：</w:t>
            </w:r>
            <w:r>
              <w:rPr>
                <w:rFonts w:ascii="Calibri" w:hAnsi="Calibri" w:eastAsia="Calibri" w:cs="Calibri"/>
                <w:color w:val="0000FF"/>
                <w:spacing w:val="-12"/>
                <w:sz w:val="21"/>
                <w:szCs w:val="21"/>
              </w:rPr>
              <w:t>3</w:t>
            </w:r>
            <w:r>
              <w:rPr>
                <w:color w:val="0000FF"/>
                <w:spacing w:val="-12"/>
                <w:sz w:val="21"/>
                <w:szCs w:val="21"/>
              </w:rPr>
              <w:t>（定标候选人</w:t>
            </w:r>
            <w:r>
              <w:rPr>
                <w:color w:val="0000FF"/>
                <w:spacing w:val="-13"/>
                <w:sz w:val="21"/>
                <w:szCs w:val="21"/>
              </w:rPr>
              <w:t>排名不分</w:t>
            </w:r>
            <w:r>
              <w:rPr>
                <w:color w:val="0000FF"/>
                <w:spacing w:val="20"/>
                <w:sz w:val="21"/>
                <w:szCs w:val="21"/>
              </w:rPr>
              <w:t xml:space="preserve"> </w:t>
            </w:r>
            <w:r>
              <w:rPr>
                <w:color w:val="0000FF"/>
                <w:spacing w:val="-13"/>
                <w:sz w:val="21"/>
                <w:szCs w:val="21"/>
              </w:rPr>
              <w:t>先</w:t>
            </w:r>
            <w:r>
              <w:rPr>
                <w:color w:val="0000FF"/>
                <w:spacing w:val="-6"/>
                <w:sz w:val="21"/>
                <w:szCs w:val="21"/>
              </w:rPr>
              <w:t>后）</w:t>
            </w:r>
          </w:p>
        </w:tc>
      </w:tr>
      <w:tr w14:paraId="68B09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952" w:type="dxa"/>
            <w:vAlign w:val="top"/>
          </w:tcPr>
          <w:p w14:paraId="066A3908">
            <w:pPr>
              <w:spacing w:line="258" w:lineRule="auto"/>
              <w:rPr>
                <w:rFonts w:ascii="Arial"/>
                <w:sz w:val="21"/>
              </w:rPr>
            </w:pPr>
          </w:p>
          <w:p w14:paraId="1FBED5B3">
            <w:pPr>
              <w:spacing w:line="258" w:lineRule="auto"/>
              <w:rPr>
                <w:rFonts w:ascii="Arial"/>
                <w:sz w:val="21"/>
              </w:rPr>
            </w:pPr>
          </w:p>
          <w:p w14:paraId="61D5A7A0">
            <w:pPr>
              <w:spacing w:line="259" w:lineRule="auto"/>
              <w:rPr>
                <w:rFonts w:ascii="Arial"/>
                <w:sz w:val="21"/>
              </w:rPr>
            </w:pPr>
          </w:p>
          <w:p w14:paraId="5EA5F9F1">
            <w:pPr>
              <w:spacing w:before="64" w:line="265" w:lineRule="exact"/>
              <w:ind w:left="249"/>
              <w:rPr>
                <w:rFonts w:ascii="Calibri" w:hAnsi="Calibri" w:eastAsia="Calibri" w:cs="Calibri"/>
                <w:sz w:val="21"/>
                <w:szCs w:val="21"/>
              </w:rPr>
            </w:pPr>
            <w:r>
              <w:rPr>
                <w:rFonts w:ascii="Calibri" w:hAnsi="Calibri" w:eastAsia="Calibri" w:cs="Calibri"/>
                <w:position w:val="1"/>
                <w:sz w:val="21"/>
                <w:szCs w:val="21"/>
              </w:rPr>
              <w:t>7.3.1</w:t>
            </w:r>
          </w:p>
        </w:tc>
        <w:tc>
          <w:tcPr>
            <w:tcW w:w="2084" w:type="dxa"/>
            <w:vAlign w:val="top"/>
          </w:tcPr>
          <w:p w14:paraId="297F68FC">
            <w:pPr>
              <w:spacing w:line="249" w:lineRule="auto"/>
              <w:rPr>
                <w:rFonts w:ascii="Arial"/>
                <w:sz w:val="21"/>
              </w:rPr>
            </w:pPr>
          </w:p>
          <w:p w14:paraId="00547D6D">
            <w:pPr>
              <w:spacing w:line="250" w:lineRule="auto"/>
              <w:rPr>
                <w:rFonts w:ascii="Arial"/>
                <w:sz w:val="21"/>
              </w:rPr>
            </w:pPr>
          </w:p>
          <w:p w14:paraId="3ADE73F1">
            <w:pPr>
              <w:spacing w:line="250" w:lineRule="auto"/>
              <w:rPr>
                <w:rFonts w:ascii="Arial"/>
                <w:sz w:val="21"/>
              </w:rPr>
            </w:pPr>
          </w:p>
          <w:p w14:paraId="2A672CD2">
            <w:pPr>
              <w:pStyle w:val="6"/>
              <w:spacing w:before="68" w:line="220" w:lineRule="auto"/>
              <w:ind w:left="516"/>
              <w:rPr>
                <w:sz w:val="21"/>
                <w:szCs w:val="21"/>
              </w:rPr>
            </w:pPr>
            <w:r>
              <w:rPr>
                <w:spacing w:val="-2"/>
                <w:sz w:val="21"/>
                <w:szCs w:val="21"/>
              </w:rPr>
              <w:t>履约保证金</w:t>
            </w:r>
          </w:p>
        </w:tc>
        <w:tc>
          <w:tcPr>
            <w:tcW w:w="5194" w:type="dxa"/>
            <w:vAlign w:val="top"/>
          </w:tcPr>
          <w:p w14:paraId="7B2E9053">
            <w:pPr>
              <w:pStyle w:val="6"/>
              <w:spacing w:before="39" w:line="221" w:lineRule="auto"/>
              <w:ind w:left="120"/>
              <w:rPr>
                <w:sz w:val="21"/>
                <w:szCs w:val="21"/>
              </w:rPr>
            </w:pPr>
            <w:r>
              <w:rPr>
                <w:rFonts w:ascii="Segoe UI Symbol" w:hAnsi="Segoe UI Symbol" w:eastAsia="Segoe UI Symbol" w:cs="Segoe UI Symbol"/>
                <w:color w:val="0000FF"/>
                <w:spacing w:val="-12"/>
                <w:sz w:val="21"/>
                <w:szCs w:val="21"/>
              </w:rPr>
              <w:t>☑</w:t>
            </w:r>
            <w:r>
              <w:rPr>
                <w:spacing w:val="-12"/>
                <w:sz w:val="21"/>
                <w:szCs w:val="21"/>
              </w:rPr>
              <w:t>不提交</w:t>
            </w:r>
          </w:p>
          <w:p w14:paraId="2BF024D2">
            <w:pPr>
              <w:pStyle w:val="6"/>
              <w:spacing w:before="50" w:line="220" w:lineRule="auto"/>
              <w:ind w:left="132"/>
              <w:rPr>
                <w:sz w:val="21"/>
                <w:szCs w:val="21"/>
              </w:rPr>
            </w:pPr>
            <w:r>
              <w:rPr>
                <w:color w:val="0000FF"/>
                <w:spacing w:val="-5"/>
                <w:sz w:val="21"/>
                <w:szCs w:val="21"/>
              </w:rPr>
              <w:t>□</w:t>
            </w:r>
            <w:r>
              <w:rPr>
                <w:spacing w:val="-5"/>
                <w:sz w:val="21"/>
                <w:szCs w:val="21"/>
              </w:rPr>
              <w:t>提交，履约保证金的形式：</w:t>
            </w:r>
          </w:p>
          <w:p w14:paraId="6830880A">
            <w:pPr>
              <w:pStyle w:val="6"/>
              <w:spacing w:before="64" w:line="220" w:lineRule="auto"/>
              <w:ind w:left="132"/>
              <w:rPr>
                <w:sz w:val="21"/>
                <w:szCs w:val="21"/>
              </w:rPr>
            </w:pPr>
            <w:r>
              <w:rPr>
                <w:color w:val="0000FF"/>
                <w:spacing w:val="-6"/>
                <w:sz w:val="21"/>
                <w:szCs w:val="21"/>
              </w:rPr>
              <w:t>□</w:t>
            </w:r>
            <w:r>
              <w:rPr>
                <w:spacing w:val="-6"/>
                <w:sz w:val="21"/>
                <w:szCs w:val="21"/>
              </w:rPr>
              <w:t>银行保函</w:t>
            </w:r>
          </w:p>
          <w:p w14:paraId="0DD19776">
            <w:pPr>
              <w:pStyle w:val="6"/>
              <w:spacing w:before="65" w:line="220" w:lineRule="auto"/>
              <w:ind w:left="132"/>
              <w:rPr>
                <w:sz w:val="21"/>
                <w:szCs w:val="21"/>
              </w:rPr>
            </w:pPr>
            <w:r>
              <w:rPr>
                <w:color w:val="0000FF"/>
                <w:spacing w:val="-6"/>
                <w:sz w:val="21"/>
                <w:szCs w:val="21"/>
              </w:rPr>
              <w:t>□</w:t>
            </w:r>
            <w:r>
              <w:rPr>
                <w:spacing w:val="-6"/>
                <w:sz w:val="21"/>
                <w:szCs w:val="21"/>
              </w:rPr>
              <w:t>保证保险</w:t>
            </w:r>
          </w:p>
          <w:p w14:paraId="65352138">
            <w:pPr>
              <w:pStyle w:val="6"/>
              <w:spacing w:before="51" w:line="220" w:lineRule="auto"/>
              <w:ind w:left="132"/>
              <w:rPr>
                <w:sz w:val="21"/>
                <w:szCs w:val="21"/>
              </w:rPr>
            </w:pPr>
            <w:r>
              <w:rPr>
                <w:color w:val="0000FF"/>
                <w:spacing w:val="-6"/>
                <w:sz w:val="21"/>
                <w:szCs w:val="21"/>
              </w:rPr>
              <w:t>□</w:t>
            </w:r>
            <w:r>
              <w:rPr>
                <w:spacing w:val="-6"/>
                <w:sz w:val="21"/>
                <w:szCs w:val="21"/>
              </w:rPr>
              <w:t>其他形式</w:t>
            </w:r>
          </w:p>
          <w:p w14:paraId="4D433D43">
            <w:pPr>
              <w:pStyle w:val="6"/>
              <w:spacing w:before="64" w:line="230" w:lineRule="auto"/>
              <w:ind w:left="114"/>
              <w:rPr>
                <w:rFonts w:ascii="Calibri" w:hAnsi="Calibri" w:eastAsia="Calibri" w:cs="Calibri"/>
                <w:sz w:val="21"/>
                <w:szCs w:val="21"/>
              </w:rPr>
            </w:pPr>
            <w:r>
              <w:rPr>
                <w:spacing w:val="-1"/>
                <w:sz w:val="21"/>
                <w:szCs w:val="21"/>
              </w:rPr>
              <w:t>履约保证金的金额：合同总价的</w:t>
            </w:r>
            <w:r>
              <w:rPr>
                <w:rFonts w:ascii="Calibri" w:hAnsi="Calibri" w:eastAsia="Calibri" w:cs="Calibri"/>
                <w:spacing w:val="-1"/>
                <w:sz w:val="21"/>
                <w:szCs w:val="21"/>
              </w:rPr>
              <w:t>%</w:t>
            </w:r>
          </w:p>
        </w:tc>
      </w:tr>
      <w:tr w14:paraId="4E089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0" w:hRule="atLeast"/>
        </w:trPr>
        <w:tc>
          <w:tcPr>
            <w:tcW w:w="952" w:type="dxa"/>
            <w:vMerge w:val="restart"/>
            <w:tcBorders>
              <w:bottom w:val="nil"/>
            </w:tcBorders>
            <w:vAlign w:val="top"/>
          </w:tcPr>
          <w:p w14:paraId="6DEFDD21">
            <w:pPr>
              <w:spacing w:line="280" w:lineRule="auto"/>
              <w:rPr>
                <w:rFonts w:ascii="Arial"/>
                <w:sz w:val="21"/>
              </w:rPr>
            </w:pPr>
          </w:p>
          <w:p w14:paraId="3747A580">
            <w:pPr>
              <w:spacing w:line="281" w:lineRule="auto"/>
              <w:rPr>
                <w:rFonts w:ascii="Arial"/>
                <w:sz w:val="21"/>
              </w:rPr>
            </w:pPr>
          </w:p>
          <w:p w14:paraId="37E2FF49">
            <w:pPr>
              <w:spacing w:line="281" w:lineRule="auto"/>
              <w:rPr>
                <w:rFonts w:ascii="Arial"/>
                <w:sz w:val="21"/>
              </w:rPr>
            </w:pPr>
          </w:p>
          <w:p w14:paraId="36448E15">
            <w:pPr>
              <w:spacing w:line="281" w:lineRule="auto"/>
              <w:rPr>
                <w:rFonts w:ascii="Arial"/>
                <w:sz w:val="21"/>
              </w:rPr>
            </w:pPr>
          </w:p>
          <w:p w14:paraId="54676FC8">
            <w:pPr>
              <w:spacing w:line="281" w:lineRule="auto"/>
              <w:rPr>
                <w:rFonts w:ascii="Arial"/>
                <w:sz w:val="21"/>
              </w:rPr>
            </w:pPr>
          </w:p>
          <w:p w14:paraId="22318A68">
            <w:pPr>
              <w:spacing w:before="64" w:line="265" w:lineRule="exact"/>
              <w:ind w:left="338"/>
              <w:rPr>
                <w:rFonts w:ascii="Calibri" w:hAnsi="Calibri" w:eastAsia="Calibri" w:cs="Calibri"/>
                <w:sz w:val="21"/>
                <w:szCs w:val="21"/>
              </w:rPr>
            </w:pPr>
            <w:r>
              <w:rPr>
                <w:rFonts w:ascii="Calibri" w:hAnsi="Calibri" w:eastAsia="Calibri" w:cs="Calibri"/>
                <w:spacing w:val="-1"/>
                <w:position w:val="1"/>
                <w:sz w:val="21"/>
                <w:szCs w:val="21"/>
              </w:rPr>
              <w:t>9.5</w:t>
            </w:r>
          </w:p>
        </w:tc>
        <w:tc>
          <w:tcPr>
            <w:tcW w:w="2084" w:type="dxa"/>
            <w:vAlign w:val="top"/>
          </w:tcPr>
          <w:p w14:paraId="61980954">
            <w:pPr>
              <w:spacing w:line="293" w:lineRule="auto"/>
              <w:rPr>
                <w:rFonts w:ascii="Arial"/>
                <w:sz w:val="21"/>
              </w:rPr>
            </w:pPr>
          </w:p>
          <w:p w14:paraId="337CF141">
            <w:pPr>
              <w:spacing w:line="293" w:lineRule="auto"/>
              <w:rPr>
                <w:rFonts w:ascii="Arial"/>
                <w:sz w:val="21"/>
              </w:rPr>
            </w:pPr>
          </w:p>
          <w:p w14:paraId="1213CB1E">
            <w:pPr>
              <w:pStyle w:val="6"/>
              <w:spacing w:before="68" w:line="220" w:lineRule="auto"/>
              <w:ind w:left="411"/>
              <w:rPr>
                <w:sz w:val="21"/>
                <w:szCs w:val="21"/>
              </w:rPr>
            </w:pPr>
            <w:r>
              <w:rPr>
                <w:spacing w:val="-2"/>
                <w:sz w:val="21"/>
                <w:szCs w:val="21"/>
              </w:rPr>
              <w:t>行政监督部门</w:t>
            </w:r>
          </w:p>
        </w:tc>
        <w:tc>
          <w:tcPr>
            <w:tcW w:w="5194" w:type="dxa"/>
            <w:vAlign w:val="top"/>
          </w:tcPr>
          <w:p w14:paraId="28A789D2">
            <w:pPr>
              <w:pStyle w:val="6"/>
              <w:spacing w:before="43" w:line="220" w:lineRule="auto"/>
              <w:ind w:left="113"/>
              <w:rPr>
                <w:sz w:val="21"/>
                <w:szCs w:val="21"/>
              </w:rPr>
            </w:pPr>
            <w:r>
              <w:rPr>
                <w:spacing w:val="-1"/>
                <w:sz w:val="21"/>
                <w:szCs w:val="21"/>
              </w:rPr>
              <w:t>名    称：</w:t>
            </w:r>
            <w:r>
              <w:rPr>
                <w:color w:val="0000FF"/>
                <w:spacing w:val="-1"/>
                <w:sz w:val="21"/>
                <w:szCs w:val="21"/>
              </w:rPr>
              <w:t>罗田县住房和城乡建设局</w:t>
            </w:r>
          </w:p>
          <w:p w14:paraId="367B9CB1">
            <w:pPr>
              <w:pStyle w:val="6"/>
              <w:spacing w:before="49" w:line="220" w:lineRule="auto"/>
              <w:ind w:left="111"/>
              <w:rPr>
                <w:sz w:val="21"/>
                <w:szCs w:val="21"/>
              </w:rPr>
            </w:pPr>
            <w:r>
              <w:rPr>
                <w:spacing w:val="-1"/>
                <w:sz w:val="21"/>
                <w:szCs w:val="21"/>
              </w:rPr>
              <w:t>地    址：</w:t>
            </w:r>
            <w:r>
              <w:rPr>
                <w:color w:val="0000FF"/>
                <w:spacing w:val="-1"/>
                <w:sz w:val="21"/>
                <w:szCs w:val="21"/>
              </w:rPr>
              <w:t>罗田县义水南路</w:t>
            </w:r>
          </w:p>
          <w:p w14:paraId="11E3228B">
            <w:pPr>
              <w:pStyle w:val="6"/>
              <w:spacing w:before="65"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0713-5103918</w:t>
            </w:r>
          </w:p>
          <w:p w14:paraId="6760EAB5">
            <w:pPr>
              <w:pStyle w:val="6"/>
              <w:spacing w:before="40" w:line="233" w:lineRule="auto"/>
              <w:ind w:left="109"/>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0ADDCAEE">
            <w:pPr>
              <w:pStyle w:val="6"/>
              <w:spacing w:before="50" w:line="229" w:lineRule="auto"/>
              <w:ind w:left="126"/>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438600</w:t>
            </w:r>
          </w:p>
        </w:tc>
      </w:tr>
      <w:tr w14:paraId="40606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5" w:hRule="atLeast"/>
        </w:trPr>
        <w:tc>
          <w:tcPr>
            <w:tcW w:w="952" w:type="dxa"/>
            <w:vMerge w:val="continue"/>
            <w:tcBorders>
              <w:top w:val="nil"/>
            </w:tcBorders>
            <w:vAlign w:val="top"/>
          </w:tcPr>
          <w:p w14:paraId="4F7BB388">
            <w:pPr>
              <w:rPr>
                <w:rFonts w:ascii="Arial"/>
                <w:sz w:val="21"/>
              </w:rPr>
            </w:pPr>
          </w:p>
        </w:tc>
        <w:tc>
          <w:tcPr>
            <w:tcW w:w="2084" w:type="dxa"/>
            <w:vAlign w:val="top"/>
          </w:tcPr>
          <w:p w14:paraId="39123408">
            <w:pPr>
              <w:spacing w:line="424" w:lineRule="auto"/>
              <w:rPr>
                <w:rFonts w:ascii="Arial"/>
                <w:sz w:val="21"/>
              </w:rPr>
            </w:pPr>
          </w:p>
          <w:p w14:paraId="7B5972FD">
            <w:pPr>
              <w:pStyle w:val="6"/>
              <w:spacing w:before="68" w:line="279" w:lineRule="auto"/>
              <w:ind w:left="109" w:right="707" w:firstLine="3"/>
              <w:rPr>
                <w:sz w:val="21"/>
                <w:szCs w:val="21"/>
              </w:rPr>
            </w:pPr>
            <w:r>
              <w:rPr>
                <w:spacing w:val="-3"/>
                <w:sz w:val="21"/>
                <w:szCs w:val="21"/>
              </w:rPr>
              <w:t>公共资源交易</w:t>
            </w:r>
            <w:r>
              <w:rPr>
                <w:spacing w:val="-2"/>
                <w:sz w:val="21"/>
                <w:szCs w:val="21"/>
              </w:rPr>
              <w:t>综合监管机构</w:t>
            </w:r>
          </w:p>
        </w:tc>
        <w:tc>
          <w:tcPr>
            <w:tcW w:w="5194" w:type="dxa"/>
            <w:vAlign w:val="top"/>
          </w:tcPr>
          <w:p w14:paraId="1C10BF2F">
            <w:pPr>
              <w:pStyle w:val="6"/>
              <w:spacing w:before="28" w:line="220" w:lineRule="auto"/>
              <w:ind w:left="113"/>
              <w:rPr>
                <w:sz w:val="21"/>
                <w:szCs w:val="21"/>
              </w:rPr>
            </w:pPr>
            <w:r>
              <w:rPr>
                <w:spacing w:val="-1"/>
                <w:sz w:val="21"/>
                <w:szCs w:val="21"/>
              </w:rPr>
              <w:t>名    称：</w:t>
            </w:r>
            <w:r>
              <w:rPr>
                <w:color w:val="0000FF"/>
                <w:spacing w:val="-1"/>
                <w:sz w:val="21"/>
                <w:szCs w:val="21"/>
              </w:rPr>
              <w:t>罗田县发展和改革局</w:t>
            </w:r>
          </w:p>
          <w:p w14:paraId="77F58171">
            <w:pPr>
              <w:pStyle w:val="6"/>
              <w:spacing w:before="66" w:line="220" w:lineRule="auto"/>
              <w:ind w:left="111"/>
              <w:rPr>
                <w:sz w:val="21"/>
                <w:szCs w:val="21"/>
              </w:rPr>
            </w:pPr>
            <w:r>
              <w:rPr>
                <w:spacing w:val="-1"/>
                <w:sz w:val="21"/>
                <w:szCs w:val="21"/>
              </w:rPr>
              <w:t>地    址：</w:t>
            </w:r>
            <w:r>
              <w:rPr>
                <w:color w:val="0000FF"/>
                <w:spacing w:val="-1"/>
                <w:sz w:val="21"/>
                <w:szCs w:val="21"/>
              </w:rPr>
              <w:t>罗田县王葆心大道</w:t>
            </w:r>
          </w:p>
          <w:p w14:paraId="03E9CE0B">
            <w:pPr>
              <w:pStyle w:val="6"/>
              <w:spacing w:before="64" w:line="242" w:lineRule="auto"/>
              <w:ind w:left="135"/>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0713-5052077</w:t>
            </w:r>
          </w:p>
          <w:p w14:paraId="7FC0173B">
            <w:pPr>
              <w:pStyle w:val="6"/>
              <w:spacing w:before="40" w:line="233" w:lineRule="auto"/>
              <w:ind w:left="109"/>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3D79EBF6">
            <w:pPr>
              <w:pStyle w:val="6"/>
              <w:spacing w:before="35" w:line="228" w:lineRule="auto"/>
              <w:ind w:left="126"/>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438600</w:t>
            </w:r>
          </w:p>
        </w:tc>
      </w:tr>
      <w:tr w14:paraId="01935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4" w:hRule="atLeast"/>
        </w:trPr>
        <w:tc>
          <w:tcPr>
            <w:tcW w:w="952" w:type="dxa"/>
            <w:vAlign w:val="top"/>
          </w:tcPr>
          <w:p w14:paraId="55673DC8">
            <w:pPr>
              <w:spacing w:line="259" w:lineRule="auto"/>
              <w:rPr>
                <w:rFonts w:ascii="Arial"/>
                <w:sz w:val="21"/>
              </w:rPr>
            </w:pPr>
          </w:p>
          <w:p w14:paraId="7AF1D616">
            <w:pPr>
              <w:spacing w:line="259" w:lineRule="auto"/>
              <w:rPr>
                <w:rFonts w:ascii="Arial"/>
                <w:sz w:val="21"/>
              </w:rPr>
            </w:pPr>
          </w:p>
          <w:p w14:paraId="5E0071E9">
            <w:pPr>
              <w:spacing w:line="259" w:lineRule="auto"/>
              <w:rPr>
                <w:rFonts w:ascii="Arial"/>
                <w:sz w:val="21"/>
              </w:rPr>
            </w:pPr>
          </w:p>
          <w:p w14:paraId="77F21F00">
            <w:pPr>
              <w:spacing w:line="259" w:lineRule="auto"/>
              <w:rPr>
                <w:rFonts w:ascii="Arial"/>
                <w:sz w:val="21"/>
              </w:rPr>
            </w:pPr>
          </w:p>
          <w:p w14:paraId="0CC99544">
            <w:pPr>
              <w:spacing w:line="260" w:lineRule="auto"/>
              <w:rPr>
                <w:rFonts w:ascii="Arial"/>
                <w:sz w:val="21"/>
              </w:rPr>
            </w:pPr>
          </w:p>
          <w:p w14:paraId="509413F7">
            <w:pPr>
              <w:spacing w:line="260" w:lineRule="auto"/>
              <w:rPr>
                <w:rFonts w:ascii="Arial"/>
                <w:sz w:val="21"/>
              </w:rPr>
            </w:pPr>
          </w:p>
          <w:p w14:paraId="5BF200AB">
            <w:pPr>
              <w:spacing w:before="64" w:line="265" w:lineRule="exact"/>
              <w:ind w:left="287"/>
              <w:rPr>
                <w:rFonts w:ascii="Calibri" w:hAnsi="Calibri" w:eastAsia="Calibri" w:cs="Calibri"/>
                <w:sz w:val="21"/>
                <w:szCs w:val="21"/>
              </w:rPr>
            </w:pPr>
            <w:r>
              <w:rPr>
                <w:rFonts w:ascii="Calibri" w:hAnsi="Calibri" w:eastAsia="Calibri" w:cs="Calibri"/>
                <w:spacing w:val="-4"/>
                <w:position w:val="1"/>
                <w:sz w:val="21"/>
                <w:szCs w:val="21"/>
              </w:rPr>
              <w:t>10.1</w:t>
            </w:r>
          </w:p>
        </w:tc>
        <w:tc>
          <w:tcPr>
            <w:tcW w:w="2084" w:type="dxa"/>
            <w:vAlign w:val="top"/>
          </w:tcPr>
          <w:p w14:paraId="609611FD">
            <w:pPr>
              <w:spacing w:line="255" w:lineRule="auto"/>
              <w:rPr>
                <w:rFonts w:ascii="Arial"/>
                <w:sz w:val="21"/>
              </w:rPr>
            </w:pPr>
          </w:p>
          <w:p w14:paraId="790044FC">
            <w:pPr>
              <w:spacing w:line="255" w:lineRule="auto"/>
              <w:rPr>
                <w:rFonts w:ascii="Arial"/>
                <w:sz w:val="21"/>
              </w:rPr>
            </w:pPr>
          </w:p>
          <w:p w14:paraId="7377AA68">
            <w:pPr>
              <w:spacing w:line="255" w:lineRule="auto"/>
              <w:rPr>
                <w:rFonts w:ascii="Arial"/>
                <w:sz w:val="21"/>
              </w:rPr>
            </w:pPr>
          </w:p>
          <w:p w14:paraId="1B8D03F0">
            <w:pPr>
              <w:spacing w:line="255" w:lineRule="auto"/>
              <w:rPr>
                <w:rFonts w:ascii="Arial"/>
                <w:sz w:val="21"/>
              </w:rPr>
            </w:pPr>
          </w:p>
          <w:p w14:paraId="18C19B34">
            <w:pPr>
              <w:spacing w:line="255" w:lineRule="auto"/>
              <w:rPr>
                <w:rFonts w:ascii="Arial"/>
                <w:sz w:val="21"/>
              </w:rPr>
            </w:pPr>
          </w:p>
          <w:p w14:paraId="1E4D9A3E">
            <w:pPr>
              <w:spacing w:line="255" w:lineRule="auto"/>
              <w:rPr>
                <w:rFonts w:ascii="Arial"/>
                <w:sz w:val="21"/>
              </w:rPr>
            </w:pPr>
          </w:p>
          <w:p w14:paraId="00FB199B">
            <w:pPr>
              <w:pStyle w:val="6"/>
              <w:spacing w:before="68" w:line="220" w:lineRule="auto"/>
              <w:ind w:left="522"/>
              <w:rPr>
                <w:sz w:val="21"/>
                <w:szCs w:val="21"/>
              </w:rPr>
            </w:pPr>
            <w:r>
              <w:rPr>
                <w:spacing w:val="-3"/>
                <w:sz w:val="21"/>
                <w:szCs w:val="21"/>
              </w:rPr>
              <w:t>多标段投标</w:t>
            </w:r>
          </w:p>
        </w:tc>
        <w:tc>
          <w:tcPr>
            <w:tcW w:w="5194" w:type="dxa"/>
            <w:vAlign w:val="top"/>
          </w:tcPr>
          <w:p w14:paraId="4C378E8A">
            <w:pPr>
              <w:pStyle w:val="6"/>
              <w:spacing w:before="45" w:line="269" w:lineRule="auto"/>
              <w:ind w:left="112" w:right="89"/>
              <w:rPr>
                <w:sz w:val="21"/>
                <w:szCs w:val="21"/>
              </w:rPr>
            </w:pPr>
            <w:r>
              <w:rPr>
                <w:spacing w:val="-5"/>
                <w:sz w:val="21"/>
                <w:szCs w:val="21"/>
              </w:rPr>
              <w:t>投标人可同时对本次招标标段中的</w:t>
            </w:r>
            <w:r>
              <w:rPr>
                <w:spacing w:val="-14"/>
                <w:sz w:val="21"/>
                <w:szCs w:val="21"/>
              </w:rPr>
              <w:t xml:space="preserve"> </w:t>
            </w:r>
            <w:r>
              <w:rPr>
                <w:rFonts w:ascii="Calibri" w:hAnsi="Calibri" w:eastAsia="Calibri" w:cs="Calibri"/>
                <w:color w:val="0000FF"/>
                <w:spacing w:val="-5"/>
                <w:sz w:val="21"/>
                <w:szCs w:val="21"/>
              </w:rPr>
              <w:t>1</w:t>
            </w:r>
            <w:r>
              <w:rPr>
                <w:rFonts w:ascii="Calibri" w:hAnsi="Calibri" w:eastAsia="Calibri" w:cs="Calibri"/>
                <w:color w:val="0000FF"/>
                <w:spacing w:val="19"/>
                <w:sz w:val="21"/>
                <w:szCs w:val="21"/>
              </w:rPr>
              <w:t xml:space="preserve"> </w:t>
            </w:r>
            <w:r>
              <w:rPr>
                <w:spacing w:val="-5"/>
                <w:sz w:val="21"/>
                <w:szCs w:val="21"/>
              </w:rPr>
              <w:t>个标段投标。招标人按下列原则选择中标人：</w:t>
            </w:r>
          </w:p>
          <w:p w14:paraId="30F73F6C">
            <w:pPr>
              <w:pStyle w:val="6"/>
              <w:spacing w:before="18" w:line="220" w:lineRule="auto"/>
              <w:ind w:left="132"/>
              <w:rPr>
                <w:sz w:val="21"/>
                <w:szCs w:val="21"/>
              </w:rPr>
            </w:pPr>
            <w:r>
              <w:rPr>
                <w:color w:val="0000FF"/>
                <w:spacing w:val="-4"/>
                <w:sz w:val="21"/>
                <w:szCs w:val="21"/>
              </w:rPr>
              <w:t>□</w:t>
            </w:r>
            <w:r>
              <w:rPr>
                <w:spacing w:val="-4"/>
                <w:sz w:val="21"/>
                <w:szCs w:val="21"/>
              </w:rPr>
              <w:t>招标人按标段择优选择中标人。</w:t>
            </w:r>
          </w:p>
          <w:p w14:paraId="61343C88">
            <w:pPr>
              <w:pStyle w:val="6"/>
              <w:spacing w:before="51" w:line="277" w:lineRule="auto"/>
              <w:ind w:left="121" w:right="115" w:firstLine="11"/>
              <w:rPr>
                <w:sz w:val="21"/>
                <w:szCs w:val="21"/>
              </w:rPr>
            </w:pPr>
            <w:r>
              <w:rPr>
                <w:color w:val="0000FF"/>
                <w:spacing w:val="-1"/>
                <w:sz w:val="21"/>
                <w:szCs w:val="21"/>
              </w:rPr>
              <w:t xml:space="preserve">□ </w:t>
            </w:r>
            <w:r>
              <w:rPr>
                <w:spacing w:val="-1"/>
                <w:sz w:val="21"/>
                <w:szCs w:val="21"/>
              </w:rPr>
              <w:t>投标人最多只允许中标个标段。如果同一投标人在</w:t>
            </w:r>
            <w:r>
              <w:rPr>
                <w:spacing w:val="-3"/>
                <w:sz w:val="21"/>
                <w:szCs w:val="21"/>
              </w:rPr>
              <w:t>多个标段中均排序第一，推荐中标候选人顺序为：</w:t>
            </w:r>
          </w:p>
          <w:p w14:paraId="644EC315">
            <w:pPr>
              <w:pStyle w:val="6"/>
              <w:spacing w:line="277" w:lineRule="auto"/>
              <w:ind w:left="112" w:right="54" w:firstLine="20"/>
              <w:rPr>
                <w:sz w:val="21"/>
                <w:szCs w:val="21"/>
              </w:rPr>
            </w:pPr>
            <w:r>
              <w:rPr>
                <w:color w:val="0000FF"/>
                <w:spacing w:val="-4"/>
                <w:sz w:val="21"/>
                <w:szCs w:val="21"/>
              </w:rPr>
              <w:t>□</w:t>
            </w:r>
            <w:r>
              <w:rPr>
                <w:spacing w:val="-4"/>
                <w:sz w:val="21"/>
                <w:szCs w:val="21"/>
              </w:rPr>
              <w:t>按照标段顺序，投标人在前面标段被推荐为第一</w:t>
            </w:r>
            <w:r>
              <w:rPr>
                <w:spacing w:val="-5"/>
                <w:sz w:val="21"/>
                <w:szCs w:val="21"/>
              </w:rPr>
              <w:t>中标</w:t>
            </w:r>
            <w:r>
              <w:rPr>
                <w:spacing w:val="-1"/>
                <w:sz w:val="21"/>
                <w:szCs w:val="21"/>
              </w:rPr>
              <w:t>候选人后，所投其他标段将不再被推荐为中</w:t>
            </w:r>
            <w:r>
              <w:rPr>
                <w:spacing w:val="-2"/>
                <w:sz w:val="21"/>
                <w:szCs w:val="21"/>
              </w:rPr>
              <w:t>标候选人。</w:t>
            </w:r>
          </w:p>
          <w:p w14:paraId="770FE9C1">
            <w:pPr>
              <w:pStyle w:val="6"/>
              <w:spacing w:before="2" w:line="271" w:lineRule="auto"/>
              <w:ind w:left="112" w:right="100" w:firstLine="20"/>
              <w:rPr>
                <w:sz w:val="21"/>
                <w:szCs w:val="21"/>
              </w:rPr>
            </w:pPr>
            <w:r>
              <w:rPr>
                <w:color w:val="0000FF"/>
                <w:spacing w:val="-4"/>
                <w:sz w:val="21"/>
                <w:szCs w:val="21"/>
              </w:rPr>
              <w:t>□</w:t>
            </w:r>
            <w:r>
              <w:rPr>
                <w:spacing w:val="-4"/>
                <w:sz w:val="21"/>
                <w:szCs w:val="21"/>
              </w:rPr>
              <w:t>按照标段最高投标限价从大到小的顺序，投标人在最</w:t>
            </w:r>
            <w:r>
              <w:rPr>
                <w:spacing w:val="-3"/>
                <w:sz w:val="21"/>
                <w:szCs w:val="21"/>
              </w:rPr>
              <w:t>高投标限价大的标段被推荐为第一中标候选人后</w:t>
            </w:r>
            <w:r>
              <w:rPr>
                <w:spacing w:val="-4"/>
                <w:sz w:val="21"/>
                <w:szCs w:val="21"/>
              </w:rPr>
              <w:t>，所投</w:t>
            </w:r>
            <w:r>
              <w:rPr>
                <w:spacing w:val="-2"/>
                <w:sz w:val="21"/>
                <w:szCs w:val="21"/>
              </w:rPr>
              <w:t>其他标段将不再被推荐为中标候选人。</w:t>
            </w:r>
          </w:p>
          <w:p w14:paraId="3AE70F95">
            <w:pPr>
              <w:pStyle w:val="6"/>
              <w:spacing w:before="3" w:line="212" w:lineRule="auto"/>
              <w:ind w:left="120"/>
              <w:rPr>
                <w:sz w:val="21"/>
                <w:szCs w:val="21"/>
              </w:rPr>
            </w:pPr>
            <w:r>
              <w:rPr>
                <w:rFonts w:ascii="Segoe UI Symbol" w:hAnsi="Segoe UI Symbol" w:eastAsia="Segoe UI Symbol" w:cs="Segoe UI Symbol"/>
                <w:color w:val="0000FF"/>
                <w:spacing w:val="-3"/>
                <w:sz w:val="21"/>
                <w:szCs w:val="21"/>
              </w:rPr>
              <w:t>☑</w:t>
            </w:r>
            <w:r>
              <w:rPr>
                <w:color w:val="0000FF"/>
                <w:spacing w:val="-3"/>
                <w:sz w:val="21"/>
                <w:szCs w:val="21"/>
              </w:rPr>
              <w:t>本项目采用“评定分离”方式确定中标人</w:t>
            </w:r>
            <w:r>
              <w:rPr>
                <w:spacing w:val="-3"/>
                <w:sz w:val="21"/>
                <w:szCs w:val="21"/>
              </w:rPr>
              <w:t>。</w:t>
            </w:r>
          </w:p>
        </w:tc>
      </w:tr>
      <w:tr w14:paraId="7835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34CC44C0">
            <w:pPr>
              <w:spacing w:before="223" w:line="264" w:lineRule="exact"/>
              <w:ind w:left="212"/>
              <w:rPr>
                <w:rFonts w:ascii="Calibri" w:hAnsi="Calibri" w:eastAsia="Calibri" w:cs="Calibri"/>
                <w:sz w:val="21"/>
                <w:szCs w:val="21"/>
              </w:rPr>
            </w:pPr>
            <w:r>
              <w:rPr>
                <w:rFonts w:ascii="Calibri" w:hAnsi="Calibri" w:eastAsia="Calibri" w:cs="Calibri"/>
                <w:spacing w:val="-2"/>
                <w:position w:val="1"/>
                <w:sz w:val="21"/>
                <w:szCs w:val="21"/>
              </w:rPr>
              <w:t>10.2.1</w:t>
            </w:r>
          </w:p>
        </w:tc>
        <w:tc>
          <w:tcPr>
            <w:tcW w:w="2084" w:type="dxa"/>
            <w:vAlign w:val="top"/>
          </w:tcPr>
          <w:p w14:paraId="709193A9">
            <w:pPr>
              <w:pStyle w:val="6"/>
              <w:spacing w:before="35" w:line="218" w:lineRule="auto"/>
              <w:ind w:left="196"/>
              <w:rPr>
                <w:sz w:val="21"/>
                <w:szCs w:val="21"/>
              </w:rPr>
            </w:pPr>
            <w:r>
              <w:rPr>
                <w:spacing w:val="-1"/>
                <w:sz w:val="21"/>
                <w:szCs w:val="21"/>
              </w:rPr>
              <w:t>评标基准价下浮系</w:t>
            </w:r>
          </w:p>
          <w:p w14:paraId="394F1ED3">
            <w:pPr>
              <w:pStyle w:val="6"/>
              <w:spacing w:before="66" w:line="220" w:lineRule="auto"/>
              <w:ind w:left="935"/>
              <w:rPr>
                <w:sz w:val="21"/>
                <w:szCs w:val="21"/>
              </w:rPr>
            </w:pPr>
            <w:r>
              <w:rPr>
                <w:sz w:val="21"/>
                <w:szCs w:val="21"/>
              </w:rPr>
              <w:t>数</w:t>
            </w:r>
          </w:p>
        </w:tc>
        <w:tc>
          <w:tcPr>
            <w:tcW w:w="5194" w:type="dxa"/>
            <w:vAlign w:val="top"/>
          </w:tcPr>
          <w:p w14:paraId="1A16D37F">
            <w:pPr>
              <w:pStyle w:val="6"/>
              <w:spacing w:before="200"/>
              <w:ind w:left="120"/>
              <w:rPr>
                <w:rFonts w:hint="eastAsia" w:ascii="Calibri" w:hAnsi="Calibri" w:eastAsia="宋体" w:cs="Calibri"/>
                <w:sz w:val="21"/>
                <w:szCs w:val="21"/>
                <w:lang w:eastAsia="zh-CN"/>
              </w:rPr>
            </w:pPr>
            <w:r>
              <w:rPr>
                <w:rFonts w:ascii="Calibri" w:hAnsi="Calibri" w:eastAsia="Calibri" w:cs="Calibri"/>
                <w:spacing w:val="-6"/>
                <w:sz w:val="21"/>
                <w:szCs w:val="21"/>
              </w:rPr>
              <w:t>E</w:t>
            </w:r>
            <w:r>
              <w:rPr>
                <w:rFonts w:ascii="Calibri" w:hAnsi="Calibri" w:eastAsia="Calibri" w:cs="Calibri"/>
                <w:spacing w:val="45"/>
                <w:sz w:val="21"/>
                <w:szCs w:val="21"/>
              </w:rPr>
              <w:t xml:space="preserve"> </w:t>
            </w:r>
            <w:r>
              <w:rPr>
                <w:spacing w:val="-6"/>
                <w:sz w:val="21"/>
                <w:szCs w:val="21"/>
              </w:rPr>
              <w:t>的取值：</w:t>
            </w:r>
            <w:r>
              <w:rPr>
                <w:rFonts w:hint="eastAsia" w:ascii="Calibri" w:hAnsi="Calibri" w:cs="Calibri"/>
                <w:color w:val="0000FF"/>
                <w:spacing w:val="-6"/>
                <w:sz w:val="21"/>
                <w:szCs w:val="21"/>
                <w:lang w:val="en-US" w:eastAsia="zh-CN"/>
              </w:rPr>
              <w:t>3</w:t>
            </w:r>
          </w:p>
        </w:tc>
      </w:tr>
      <w:tr w14:paraId="385F5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952" w:type="dxa"/>
            <w:vAlign w:val="top"/>
          </w:tcPr>
          <w:p w14:paraId="554E71C4">
            <w:pPr>
              <w:spacing w:before="74" w:line="202" w:lineRule="auto"/>
              <w:ind w:left="212"/>
              <w:rPr>
                <w:rFonts w:ascii="Calibri" w:hAnsi="Calibri" w:eastAsia="Calibri" w:cs="Calibri"/>
                <w:sz w:val="21"/>
                <w:szCs w:val="21"/>
              </w:rPr>
            </w:pPr>
            <w:r>
              <w:rPr>
                <w:rFonts w:ascii="Calibri" w:hAnsi="Calibri" w:eastAsia="Calibri" w:cs="Calibri"/>
                <w:spacing w:val="-2"/>
                <w:sz w:val="21"/>
                <w:szCs w:val="21"/>
              </w:rPr>
              <w:t>10.2.2</w:t>
            </w:r>
          </w:p>
        </w:tc>
        <w:tc>
          <w:tcPr>
            <w:tcW w:w="2084" w:type="dxa"/>
            <w:vAlign w:val="top"/>
          </w:tcPr>
          <w:p w14:paraId="69FA46F0">
            <w:pPr>
              <w:pStyle w:val="6"/>
              <w:spacing w:before="51" w:line="210" w:lineRule="auto"/>
              <w:ind w:left="305"/>
              <w:rPr>
                <w:sz w:val="21"/>
                <w:szCs w:val="21"/>
              </w:rPr>
            </w:pPr>
            <w:r>
              <w:rPr>
                <w:spacing w:val="-1"/>
                <w:sz w:val="21"/>
                <w:szCs w:val="21"/>
              </w:rPr>
              <w:t>投标报价基准分</w:t>
            </w:r>
          </w:p>
        </w:tc>
        <w:tc>
          <w:tcPr>
            <w:tcW w:w="5194" w:type="dxa"/>
            <w:vAlign w:val="top"/>
          </w:tcPr>
          <w:p w14:paraId="08F15725">
            <w:pPr>
              <w:pStyle w:val="6"/>
              <w:spacing w:before="51" w:line="210" w:lineRule="auto"/>
              <w:ind w:left="104"/>
              <w:rPr>
                <w:sz w:val="21"/>
                <w:szCs w:val="21"/>
              </w:rPr>
            </w:pPr>
            <w:r>
              <w:rPr>
                <w:spacing w:val="-3"/>
                <w:sz w:val="21"/>
                <w:szCs w:val="21"/>
              </w:rPr>
              <w:t>M</w:t>
            </w:r>
            <w:r>
              <w:rPr>
                <w:spacing w:val="-20"/>
                <w:sz w:val="21"/>
                <w:szCs w:val="21"/>
              </w:rPr>
              <w:t xml:space="preserve"> </w:t>
            </w:r>
            <w:r>
              <w:rPr>
                <w:spacing w:val="-3"/>
                <w:sz w:val="21"/>
                <w:szCs w:val="21"/>
              </w:rPr>
              <w:t>的取值：</w:t>
            </w:r>
            <w:r>
              <w:rPr>
                <w:color w:val="0000FF"/>
                <w:spacing w:val="-3"/>
                <w:sz w:val="21"/>
                <w:szCs w:val="21"/>
              </w:rPr>
              <w:t>70</w:t>
            </w:r>
          </w:p>
        </w:tc>
      </w:tr>
      <w:tr w14:paraId="5E037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52" w:type="dxa"/>
            <w:vAlign w:val="top"/>
          </w:tcPr>
          <w:p w14:paraId="2ED42111">
            <w:pPr>
              <w:spacing w:before="239" w:line="264" w:lineRule="exact"/>
              <w:ind w:left="212"/>
              <w:rPr>
                <w:rFonts w:ascii="Calibri" w:hAnsi="Calibri" w:eastAsia="Calibri" w:cs="Calibri"/>
                <w:sz w:val="21"/>
                <w:szCs w:val="21"/>
              </w:rPr>
            </w:pPr>
            <w:r>
              <w:rPr>
                <w:rFonts w:ascii="Calibri" w:hAnsi="Calibri" w:eastAsia="Calibri" w:cs="Calibri"/>
                <w:spacing w:val="-2"/>
                <w:position w:val="1"/>
                <w:sz w:val="21"/>
                <w:szCs w:val="21"/>
              </w:rPr>
              <w:t>10.2.3</w:t>
            </w:r>
          </w:p>
        </w:tc>
        <w:tc>
          <w:tcPr>
            <w:tcW w:w="2084" w:type="dxa"/>
            <w:vAlign w:val="top"/>
          </w:tcPr>
          <w:p w14:paraId="6C63CF28">
            <w:pPr>
              <w:pStyle w:val="6"/>
              <w:spacing w:before="51" w:line="250" w:lineRule="auto"/>
              <w:ind w:left="413" w:right="195" w:hanging="210"/>
              <w:rPr>
                <w:sz w:val="21"/>
                <w:szCs w:val="21"/>
              </w:rPr>
            </w:pPr>
            <w:r>
              <w:rPr>
                <w:spacing w:val="-2"/>
                <w:sz w:val="21"/>
                <w:szCs w:val="21"/>
              </w:rPr>
              <w:t>小微企业报价优惠</w:t>
            </w:r>
            <w:r>
              <w:rPr>
                <w:spacing w:val="-3"/>
                <w:sz w:val="21"/>
                <w:szCs w:val="21"/>
              </w:rPr>
              <w:t>（扣除）系数</w:t>
            </w:r>
          </w:p>
        </w:tc>
        <w:tc>
          <w:tcPr>
            <w:tcW w:w="5194" w:type="dxa"/>
            <w:vAlign w:val="top"/>
          </w:tcPr>
          <w:p w14:paraId="1DDBE83E">
            <w:pPr>
              <w:pStyle w:val="6"/>
              <w:spacing w:before="215" w:line="220" w:lineRule="auto"/>
              <w:ind w:left="107"/>
              <w:rPr>
                <w:sz w:val="21"/>
                <w:szCs w:val="21"/>
              </w:rPr>
            </w:pPr>
            <w:r>
              <w:rPr>
                <w:spacing w:val="-4"/>
                <w:sz w:val="21"/>
                <w:szCs w:val="21"/>
              </w:rPr>
              <w:t>P</w:t>
            </w:r>
            <w:r>
              <w:rPr>
                <w:spacing w:val="-19"/>
                <w:sz w:val="21"/>
                <w:szCs w:val="21"/>
              </w:rPr>
              <w:t xml:space="preserve"> </w:t>
            </w:r>
            <w:r>
              <w:rPr>
                <w:spacing w:val="-4"/>
                <w:sz w:val="21"/>
                <w:szCs w:val="21"/>
              </w:rPr>
              <w:t>的取值：</w:t>
            </w:r>
            <w:r>
              <w:rPr>
                <w:color w:val="0000FF"/>
                <w:spacing w:val="-4"/>
                <w:sz w:val="21"/>
                <w:szCs w:val="21"/>
              </w:rPr>
              <w:t>/</w:t>
            </w:r>
          </w:p>
        </w:tc>
      </w:tr>
      <w:tr w14:paraId="315B8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952" w:type="dxa"/>
            <w:vAlign w:val="top"/>
          </w:tcPr>
          <w:p w14:paraId="0980676E">
            <w:pPr>
              <w:spacing w:before="59" w:line="222" w:lineRule="auto"/>
              <w:ind w:left="212"/>
              <w:rPr>
                <w:rFonts w:ascii="Calibri" w:hAnsi="Calibri" w:eastAsia="Calibri" w:cs="Calibri"/>
                <w:sz w:val="21"/>
                <w:szCs w:val="21"/>
              </w:rPr>
            </w:pPr>
            <w:r>
              <w:rPr>
                <w:rFonts w:ascii="Calibri" w:hAnsi="Calibri" w:eastAsia="Calibri" w:cs="Calibri"/>
                <w:spacing w:val="-2"/>
                <w:sz w:val="21"/>
                <w:szCs w:val="21"/>
              </w:rPr>
              <w:t>10.2.4</w:t>
            </w:r>
          </w:p>
        </w:tc>
        <w:tc>
          <w:tcPr>
            <w:tcW w:w="2084" w:type="dxa"/>
            <w:vAlign w:val="top"/>
          </w:tcPr>
          <w:p w14:paraId="7EAC6425">
            <w:pPr>
              <w:pStyle w:val="6"/>
              <w:spacing w:before="35" w:line="220" w:lineRule="auto"/>
              <w:ind w:left="197"/>
              <w:rPr>
                <w:sz w:val="21"/>
                <w:szCs w:val="21"/>
              </w:rPr>
            </w:pPr>
            <w:r>
              <w:rPr>
                <w:spacing w:val="-1"/>
                <w:sz w:val="21"/>
                <w:szCs w:val="21"/>
              </w:rPr>
              <w:t>满足条件的联合体</w:t>
            </w:r>
          </w:p>
        </w:tc>
        <w:tc>
          <w:tcPr>
            <w:tcW w:w="5194" w:type="dxa"/>
            <w:vAlign w:val="top"/>
          </w:tcPr>
          <w:p w14:paraId="64670AF2">
            <w:pPr>
              <w:pStyle w:val="6"/>
              <w:spacing w:before="35" w:line="220" w:lineRule="auto"/>
              <w:ind w:left="109"/>
              <w:rPr>
                <w:sz w:val="21"/>
                <w:szCs w:val="21"/>
              </w:rPr>
            </w:pPr>
            <w:r>
              <w:rPr>
                <w:spacing w:val="-4"/>
                <w:sz w:val="21"/>
                <w:szCs w:val="21"/>
              </w:rPr>
              <w:t>Q</w:t>
            </w:r>
            <w:r>
              <w:rPr>
                <w:spacing w:val="-20"/>
                <w:sz w:val="21"/>
                <w:szCs w:val="21"/>
              </w:rPr>
              <w:t xml:space="preserve"> </w:t>
            </w:r>
            <w:r>
              <w:rPr>
                <w:spacing w:val="-4"/>
                <w:sz w:val="21"/>
                <w:szCs w:val="21"/>
              </w:rPr>
              <w:t>的取值：</w:t>
            </w:r>
            <w:r>
              <w:rPr>
                <w:color w:val="0000FF"/>
                <w:spacing w:val="-4"/>
                <w:sz w:val="21"/>
                <w:szCs w:val="21"/>
              </w:rPr>
              <w:t>/</w:t>
            </w:r>
          </w:p>
        </w:tc>
      </w:tr>
    </w:tbl>
    <w:p w14:paraId="3B1CD8A3">
      <w:pPr>
        <w:pStyle w:val="2"/>
      </w:pPr>
    </w:p>
    <w:p w14:paraId="0E52FFBE">
      <w:pPr>
        <w:sectPr>
          <w:footerReference r:id="rId30" w:type="default"/>
          <w:pgSz w:w="11910" w:h="16845"/>
          <w:pgMar w:top="1431" w:right="1786" w:bottom="1065" w:left="1786" w:header="0" w:footer="837" w:gutter="0"/>
          <w:cols w:space="720" w:num="1"/>
        </w:sectPr>
      </w:pPr>
    </w:p>
    <w:p w14:paraId="6E2E8820">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57797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952" w:type="dxa"/>
            <w:vAlign w:val="top"/>
          </w:tcPr>
          <w:p w14:paraId="47B998FE">
            <w:pPr>
              <w:pStyle w:val="6"/>
              <w:spacing w:before="44" w:line="220" w:lineRule="auto"/>
              <w:ind w:left="129"/>
              <w:rPr>
                <w:sz w:val="21"/>
                <w:szCs w:val="21"/>
              </w:rPr>
            </w:pPr>
            <w:r>
              <w:rPr>
                <w:b/>
                <w:bCs/>
                <w:spacing w:val="4"/>
                <w:sz w:val="21"/>
                <w:szCs w:val="21"/>
              </w:rPr>
              <w:t>条款号</w:t>
            </w:r>
          </w:p>
        </w:tc>
        <w:tc>
          <w:tcPr>
            <w:tcW w:w="2084" w:type="dxa"/>
            <w:vAlign w:val="top"/>
          </w:tcPr>
          <w:p w14:paraId="09C1A5AA">
            <w:pPr>
              <w:pStyle w:val="6"/>
              <w:spacing w:before="44" w:line="220" w:lineRule="auto"/>
              <w:ind w:left="604"/>
              <w:rPr>
                <w:sz w:val="21"/>
                <w:szCs w:val="21"/>
              </w:rPr>
            </w:pPr>
            <w:r>
              <w:rPr>
                <w:b/>
                <w:bCs/>
                <w:spacing w:val="6"/>
                <w:sz w:val="21"/>
                <w:szCs w:val="21"/>
              </w:rPr>
              <w:t>条款名称</w:t>
            </w:r>
          </w:p>
        </w:tc>
        <w:tc>
          <w:tcPr>
            <w:tcW w:w="5194" w:type="dxa"/>
            <w:vAlign w:val="top"/>
          </w:tcPr>
          <w:p w14:paraId="375E9771">
            <w:pPr>
              <w:pStyle w:val="6"/>
              <w:spacing w:before="44" w:line="220" w:lineRule="auto"/>
              <w:ind w:left="2155"/>
              <w:rPr>
                <w:sz w:val="21"/>
                <w:szCs w:val="21"/>
              </w:rPr>
            </w:pPr>
            <w:r>
              <w:rPr>
                <w:b/>
                <w:bCs/>
                <w:spacing w:val="6"/>
                <w:sz w:val="21"/>
                <w:szCs w:val="21"/>
              </w:rPr>
              <w:t>编列内容</w:t>
            </w:r>
          </w:p>
        </w:tc>
      </w:tr>
      <w:tr w14:paraId="0A9D8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952" w:type="dxa"/>
            <w:vAlign w:val="top"/>
          </w:tcPr>
          <w:p w14:paraId="55F04383">
            <w:pPr>
              <w:rPr>
                <w:rFonts w:ascii="Arial"/>
                <w:sz w:val="21"/>
              </w:rPr>
            </w:pPr>
          </w:p>
        </w:tc>
        <w:tc>
          <w:tcPr>
            <w:tcW w:w="2084" w:type="dxa"/>
            <w:vAlign w:val="top"/>
          </w:tcPr>
          <w:p w14:paraId="4FF595CE">
            <w:pPr>
              <w:pStyle w:val="6"/>
              <w:spacing w:before="37" w:line="256" w:lineRule="auto"/>
              <w:ind w:left="301" w:right="195" w:hanging="101"/>
              <w:rPr>
                <w:sz w:val="21"/>
                <w:szCs w:val="21"/>
              </w:rPr>
            </w:pPr>
            <w:r>
              <w:rPr>
                <w:spacing w:val="-1"/>
                <w:sz w:val="21"/>
                <w:szCs w:val="21"/>
              </w:rPr>
              <w:t>或者分包企业报价</w:t>
            </w:r>
            <w:r>
              <w:rPr>
                <w:spacing w:val="-7"/>
                <w:sz w:val="21"/>
                <w:szCs w:val="21"/>
              </w:rPr>
              <w:t>优惠</w:t>
            </w:r>
            <w:r>
              <w:rPr>
                <w:spacing w:val="-56"/>
                <w:sz w:val="21"/>
                <w:szCs w:val="21"/>
              </w:rPr>
              <w:t xml:space="preserve"> </w:t>
            </w:r>
            <w:r>
              <w:rPr>
                <w:spacing w:val="-7"/>
                <w:sz w:val="21"/>
                <w:szCs w:val="21"/>
              </w:rPr>
              <w:t>(扣除)系数</w:t>
            </w:r>
          </w:p>
        </w:tc>
        <w:tc>
          <w:tcPr>
            <w:tcW w:w="5194" w:type="dxa"/>
            <w:vAlign w:val="top"/>
          </w:tcPr>
          <w:p w14:paraId="521A4D7E">
            <w:pPr>
              <w:rPr>
                <w:rFonts w:ascii="Arial"/>
                <w:sz w:val="21"/>
              </w:rPr>
            </w:pPr>
          </w:p>
        </w:tc>
      </w:tr>
      <w:tr w14:paraId="3B641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236367E0">
            <w:pPr>
              <w:spacing w:before="211" w:line="264" w:lineRule="exact"/>
              <w:ind w:left="287"/>
              <w:rPr>
                <w:rFonts w:ascii="Calibri" w:hAnsi="Calibri" w:eastAsia="Calibri" w:cs="Calibri"/>
                <w:sz w:val="21"/>
                <w:szCs w:val="21"/>
              </w:rPr>
            </w:pPr>
            <w:r>
              <w:rPr>
                <w:rFonts w:ascii="Calibri" w:hAnsi="Calibri" w:eastAsia="Calibri" w:cs="Calibri"/>
                <w:spacing w:val="-4"/>
                <w:position w:val="1"/>
                <w:sz w:val="21"/>
                <w:szCs w:val="21"/>
              </w:rPr>
              <w:t>10.3</w:t>
            </w:r>
          </w:p>
        </w:tc>
        <w:tc>
          <w:tcPr>
            <w:tcW w:w="2084" w:type="dxa"/>
            <w:vAlign w:val="top"/>
          </w:tcPr>
          <w:p w14:paraId="4EFB438C">
            <w:pPr>
              <w:pStyle w:val="6"/>
              <w:spacing w:before="22" w:line="256" w:lineRule="auto"/>
              <w:ind w:left="408" w:right="301" w:hanging="86"/>
              <w:rPr>
                <w:sz w:val="21"/>
                <w:szCs w:val="21"/>
              </w:rPr>
            </w:pPr>
            <w:r>
              <w:rPr>
                <w:spacing w:val="-4"/>
                <w:sz w:val="21"/>
                <w:szCs w:val="21"/>
              </w:rPr>
              <w:t>中标后须提交的</w:t>
            </w:r>
            <w:r>
              <w:rPr>
                <w:spacing w:val="-2"/>
                <w:sz w:val="21"/>
                <w:szCs w:val="21"/>
              </w:rPr>
              <w:t>纸质投标文件</w:t>
            </w:r>
          </w:p>
        </w:tc>
        <w:tc>
          <w:tcPr>
            <w:tcW w:w="5194" w:type="dxa"/>
            <w:vAlign w:val="top"/>
          </w:tcPr>
          <w:p w14:paraId="067E42EC">
            <w:pPr>
              <w:pStyle w:val="6"/>
              <w:spacing w:before="22" w:line="256" w:lineRule="auto"/>
              <w:ind w:left="128" w:right="115" w:hanging="17"/>
              <w:rPr>
                <w:sz w:val="21"/>
                <w:szCs w:val="21"/>
              </w:rPr>
            </w:pPr>
            <w:r>
              <w:rPr>
                <w:spacing w:val="-2"/>
                <w:sz w:val="21"/>
                <w:szCs w:val="21"/>
              </w:rPr>
              <w:t>份数：</w:t>
            </w:r>
            <w:r>
              <w:rPr>
                <w:rFonts w:ascii="Calibri" w:hAnsi="Calibri" w:eastAsia="Calibri" w:cs="Calibri"/>
                <w:color w:val="0000FF"/>
                <w:spacing w:val="-2"/>
                <w:sz w:val="21"/>
                <w:szCs w:val="21"/>
              </w:rPr>
              <w:t>3</w:t>
            </w:r>
            <w:r>
              <w:rPr>
                <w:rFonts w:ascii="Calibri" w:hAnsi="Calibri" w:eastAsia="Calibri" w:cs="Calibri"/>
                <w:color w:val="0000FF"/>
                <w:spacing w:val="20"/>
                <w:w w:val="101"/>
                <w:sz w:val="21"/>
                <w:szCs w:val="21"/>
              </w:rPr>
              <w:t xml:space="preserve"> </w:t>
            </w:r>
            <w:r>
              <w:rPr>
                <w:color w:val="0000FF"/>
                <w:spacing w:val="-2"/>
                <w:sz w:val="21"/>
                <w:szCs w:val="21"/>
              </w:rPr>
              <w:t>份</w:t>
            </w:r>
            <w:r>
              <w:rPr>
                <w:spacing w:val="-2"/>
                <w:sz w:val="21"/>
                <w:szCs w:val="21"/>
              </w:rPr>
              <w:t>，中标人提交的纸质投标文件应</w:t>
            </w:r>
            <w:r>
              <w:rPr>
                <w:spacing w:val="-3"/>
                <w:sz w:val="21"/>
                <w:szCs w:val="21"/>
              </w:rPr>
              <w:t>当与投标时的电子投标文件内容一致。</w:t>
            </w:r>
          </w:p>
        </w:tc>
      </w:tr>
      <w:tr w14:paraId="5E572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952" w:type="dxa"/>
            <w:vAlign w:val="top"/>
          </w:tcPr>
          <w:p w14:paraId="3AD921A5">
            <w:pPr>
              <w:spacing w:before="211" w:line="265" w:lineRule="exact"/>
              <w:ind w:left="287"/>
              <w:rPr>
                <w:rFonts w:ascii="Calibri" w:hAnsi="Calibri" w:eastAsia="Calibri" w:cs="Calibri"/>
                <w:sz w:val="21"/>
                <w:szCs w:val="21"/>
              </w:rPr>
            </w:pPr>
            <w:r>
              <w:rPr>
                <w:rFonts w:ascii="Calibri" w:hAnsi="Calibri" w:eastAsia="Calibri" w:cs="Calibri"/>
                <w:spacing w:val="-4"/>
                <w:position w:val="1"/>
                <w:sz w:val="21"/>
                <w:szCs w:val="21"/>
              </w:rPr>
              <w:t>10.4</w:t>
            </w:r>
          </w:p>
        </w:tc>
        <w:tc>
          <w:tcPr>
            <w:tcW w:w="2084" w:type="dxa"/>
            <w:vAlign w:val="top"/>
          </w:tcPr>
          <w:p w14:paraId="177942D9">
            <w:pPr>
              <w:pStyle w:val="6"/>
              <w:spacing w:before="38" w:line="249" w:lineRule="auto"/>
              <w:ind w:left="512" w:right="512" w:firstLine="109"/>
              <w:rPr>
                <w:sz w:val="21"/>
                <w:szCs w:val="21"/>
              </w:rPr>
            </w:pPr>
            <w:r>
              <w:rPr>
                <w:spacing w:val="-3"/>
                <w:sz w:val="21"/>
                <w:szCs w:val="21"/>
              </w:rPr>
              <w:t>交易平台</w:t>
            </w:r>
            <w:r>
              <w:rPr>
                <w:spacing w:val="-2"/>
                <w:sz w:val="21"/>
                <w:szCs w:val="21"/>
              </w:rPr>
              <w:t>信息服务费</w:t>
            </w:r>
          </w:p>
        </w:tc>
        <w:tc>
          <w:tcPr>
            <w:tcW w:w="5194" w:type="dxa"/>
            <w:vAlign w:val="top"/>
          </w:tcPr>
          <w:p w14:paraId="2261D8B5">
            <w:pPr>
              <w:spacing w:before="212" w:line="222" w:lineRule="auto"/>
              <w:ind w:left="103"/>
              <w:rPr>
                <w:rFonts w:ascii="Calibri" w:hAnsi="Calibri" w:eastAsia="Calibri" w:cs="Calibri"/>
                <w:sz w:val="21"/>
                <w:szCs w:val="21"/>
              </w:rPr>
            </w:pPr>
            <w:r>
              <w:rPr>
                <w:rFonts w:ascii="Calibri" w:hAnsi="Calibri" w:eastAsia="Calibri" w:cs="Calibri"/>
                <w:color w:val="0000FF"/>
                <w:sz w:val="21"/>
                <w:szCs w:val="21"/>
              </w:rPr>
              <w:t>/</w:t>
            </w:r>
          </w:p>
        </w:tc>
      </w:tr>
      <w:tr w14:paraId="69593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4" w:hRule="atLeast"/>
        </w:trPr>
        <w:tc>
          <w:tcPr>
            <w:tcW w:w="952" w:type="dxa"/>
            <w:vAlign w:val="top"/>
          </w:tcPr>
          <w:p w14:paraId="26B8FE09">
            <w:pPr>
              <w:spacing w:line="258" w:lineRule="auto"/>
              <w:rPr>
                <w:rFonts w:ascii="Arial"/>
                <w:sz w:val="21"/>
              </w:rPr>
            </w:pPr>
          </w:p>
          <w:p w14:paraId="1225D8AE">
            <w:pPr>
              <w:spacing w:line="258" w:lineRule="auto"/>
              <w:rPr>
                <w:rFonts w:ascii="Arial"/>
                <w:sz w:val="21"/>
              </w:rPr>
            </w:pPr>
          </w:p>
          <w:p w14:paraId="6DB6AF19">
            <w:pPr>
              <w:spacing w:line="258" w:lineRule="auto"/>
              <w:rPr>
                <w:rFonts w:ascii="Arial"/>
                <w:sz w:val="21"/>
              </w:rPr>
            </w:pPr>
          </w:p>
          <w:p w14:paraId="7010BD3B">
            <w:pPr>
              <w:spacing w:line="258" w:lineRule="auto"/>
              <w:rPr>
                <w:rFonts w:ascii="Arial"/>
                <w:sz w:val="21"/>
              </w:rPr>
            </w:pPr>
          </w:p>
          <w:p w14:paraId="242299D8">
            <w:pPr>
              <w:spacing w:line="259" w:lineRule="auto"/>
              <w:rPr>
                <w:rFonts w:ascii="Arial"/>
                <w:sz w:val="21"/>
              </w:rPr>
            </w:pPr>
          </w:p>
          <w:p w14:paraId="56E8476A">
            <w:pPr>
              <w:spacing w:line="259" w:lineRule="auto"/>
              <w:rPr>
                <w:rFonts w:ascii="Arial"/>
                <w:sz w:val="21"/>
              </w:rPr>
            </w:pPr>
          </w:p>
          <w:p w14:paraId="1E032B34">
            <w:pPr>
              <w:spacing w:before="64" w:line="264" w:lineRule="exact"/>
              <w:ind w:left="287"/>
              <w:rPr>
                <w:rFonts w:ascii="Calibri" w:hAnsi="Calibri" w:eastAsia="Calibri" w:cs="Calibri"/>
                <w:sz w:val="21"/>
                <w:szCs w:val="21"/>
              </w:rPr>
            </w:pPr>
            <w:r>
              <w:rPr>
                <w:rFonts w:ascii="Calibri" w:hAnsi="Calibri" w:eastAsia="Calibri" w:cs="Calibri"/>
                <w:spacing w:val="-4"/>
                <w:position w:val="1"/>
                <w:sz w:val="21"/>
                <w:szCs w:val="21"/>
              </w:rPr>
              <w:t>10.5</w:t>
            </w:r>
          </w:p>
        </w:tc>
        <w:tc>
          <w:tcPr>
            <w:tcW w:w="2084" w:type="dxa"/>
            <w:vAlign w:val="top"/>
          </w:tcPr>
          <w:p w14:paraId="4D6118DF">
            <w:pPr>
              <w:spacing w:line="253" w:lineRule="auto"/>
              <w:rPr>
                <w:rFonts w:ascii="Arial"/>
                <w:sz w:val="21"/>
              </w:rPr>
            </w:pPr>
          </w:p>
          <w:p w14:paraId="2B54ED2F">
            <w:pPr>
              <w:spacing w:line="253" w:lineRule="auto"/>
              <w:rPr>
                <w:rFonts w:ascii="Arial"/>
                <w:sz w:val="21"/>
              </w:rPr>
            </w:pPr>
          </w:p>
          <w:p w14:paraId="446EA8E9">
            <w:pPr>
              <w:spacing w:line="254" w:lineRule="auto"/>
              <w:rPr>
                <w:rFonts w:ascii="Arial"/>
                <w:sz w:val="21"/>
              </w:rPr>
            </w:pPr>
          </w:p>
          <w:p w14:paraId="21A73B76">
            <w:pPr>
              <w:spacing w:line="254" w:lineRule="auto"/>
              <w:rPr>
                <w:rFonts w:ascii="Arial"/>
                <w:sz w:val="21"/>
              </w:rPr>
            </w:pPr>
          </w:p>
          <w:p w14:paraId="77447AEB">
            <w:pPr>
              <w:spacing w:line="254" w:lineRule="auto"/>
              <w:rPr>
                <w:rFonts w:ascii="Arial"/>
                <w:sz w:val="21"/>
              </w:rPr>
            </w:pPr>
          </w:p>
          <w:p w14:paraId="268EFF55">
            <w:pPr>
              <w:spacing w:line="254" w:lineRule="auto"/>
              <w:rPr>
                <w:rFonts w:ascii="Arial"/>
                <w:sz w:val="21"/>
              </w:rPr>
            </w:pPr>
          </w:p>
          <w:p w14:paraId="254FDF1A">
            <w:pPr>
              <w:pStyle w:val="6"/>
              <w:spacing w:before="69" w:line="220" w:lineRule="auto"/>
              <w:ind w:left="303"/>
              <w:rPr>
                <w:sz w:val="21"/>
                <w:szCs w:val="21"/>
              </w:rPr>
            </w:pPr>
            <w:r>
              <w:rPr>
                <w:spacing w:val="-1"/>
                <w:sz w:val="21"/>
                <w:szCs w:val="21"/>
              </w:rPr>
              <w:t>招标代理服务费</w:t>
            </w:r>
          </w:p>
        </w:tc>
        <w:tc>
          <w:tcPr>
            <w:tcW w:w="5194" w:type="dxa"/>
            <w:vAlign w:val="top"/>
          </w:tcPr>
          <w:p w14:paraId="10203DDA">
            <w:pPr>
              <w:pStyle w:val="6"/>
              <w:spacing w:before="39" w:line="219" w:lineRule="auto"/>
              <w:ind w:left="132"/>
              <w:rPr>
                <w:sz w:val="21"/>
                <w:szCs w:val="21"/>
              </w:rPr>
            </w:pPr>
            <w:r>
              <w:rPr>
                <w:color w:val="0000FF"/>
                <w:spacing w:val="-4"/>
                <w:sz w:val="21"/>
                <w:szCs w:val="21"/>
              </w:rPr>
              <w:t>□</w:t>
            </w:r>
            <w:r>
              <w:rPr>
                <w:spacing w:val="-4"/>
                <w:sz w:val="21"/>
                <w:szCs w:val="21"/>
              </w:rPr>
              <w:t>本次招标没有招标代理服务费。</w:t>
            </w:r>
          </w:p>
          <w:p w14:paraId="1D8EE49E">
            <w:pPr>
              <w:pStyle w:val="6"/>
              <w:spacing w:before="66" w:line="264" w:lineRule="auto"/>
              <w:ind w:left="110" w:right="104" w:firstLine="9"/>
              <w:rPr>
                <w:sz w:val="21"/>
                <w:szCs w:val="21"/>
              </w:rPr>
            </w:pPr>
            <w:r>
              <w:rPr>
                <w:rFonts w:ascii="Segoe UI Symbol" w:hAnsi="Segoe UI Symbol" w:eastAsia="Segoe UI Symbol" w:cs="Segoe UI Symbol"/>
                <w:color w:val="0000FF"/>
                <w:spacing w:val="-3"/>
                <w:sz w:val="21"/>
                <w:szCs w:val="21"/>
              </w:rPr>
              <w:t>☑</w:t>
            </w:r>
            <w:r>
              <w:rPr>
                <w:spacing w:val="-3"/>
                <w:sz w:val="21"/>
                <w:szCs w:val="21"/>
              </w:rPr>
              <w:t>本次招标有招标代理服务费。根据招标人和招标代理</w:t>
            </w:r>
            <w:r>
              <w:rPr>
                <w:spacing w:val="-2"/>
                <w:sz w:val="21"/>
                <w:szCs w:val="21"/>
              </w:rPr>
              <w:t>机构委托代理合同的约定，本项目招标代理服务费：</w:t>
            </w:r>
          </w:p>
          <w:p w14:paraId="0251BC54">
            <w:pPr>
              <w:pStyle w:val="6"/>
              <w:spacing w:line="219" w:lineRule="auto"/>
              <w:ind w:left="132"/>
              <w:rPr>
                <w:sz w:val="21"/>
                <w:szCs w:val="21"/>
              </w:rPr>
            </w:pPr>
            <w:r>
              <w:rPr>
                <w:color w:val="0000FF"/>
                <w:spacing w:val="-7"/>
                <w:sz w:val="21"/>
                <w:szCs w:val="21"/>
              </w:rPr>
              <w:t>□</w:t>
            </w:r>
            <w:r>
              <w:rPr>
                <w:spacing w:val="-7"/>
                <w:sz w:val="21"/>
                <w:szCs w:val="21"/>
              </w:rPr>
              <w:t>由招标人支付。</w:t>
            </w:r>
          </w:p>
          <w:p w14:paraId="58AB6103">
            <w:pPr>
              <w:pStyle w:val="6"/>
              <w:spacing w:before="65" w:line="220" w:lineRule="auto"/>
              <w:ind w:left="120"/>
              <w:rPr>
                <w:sz w:val="21"/>
                <w:szCs w:val="21"/>
              </w:rPr>
            </w:pPr>
            <w:r>
              <w:rPr>
                <w:rFonts w:ascii="Segoe UI Symbol" w:hAnsi="Segoe UI Symbol" w:eastAsia="Segoe UI Symbol" w:cs="Segoe UI Symbol"/>
                <w:color w:val="0000FF"/>
                <w:spacing w:val="-10"/>
                <w:sz w:val="21"/>
                <w:szCs w:val="21"/>
              </w:rPr>
              <w:t>☑</w:t>
            </w:r>
            <w:r>
              <w:rPr>
                <w:spacing w:val="-10"/>
                <w:sz w:val="21"/>
                <w:szCs w:val="21"/>
              </w:rPr>
              <w:t>由中标人支付。</w:t>
            </w:r>
          </w:p>
          <w:p w14:paraId="2E08EE97">
            <w:pPr>
              <w:pStyle w:val="6"/>
              <w:spacing w:before="50" w:line="274" w:lineRule="auto"/>
              <w:ind w:left="112" w:right="87"/>
              <w:rPr>
                <w:sz w:val="21"/>
                <w:szCs w:val="21"/>
              </w:rPr>
            </w:pPr>
            <w:r>
              <w:rPr>
                <w:spacing w:val="-3"/>
                <w:sz w:val="21"/>
                <w:szCs w:val="21"/>
              </w:rPr>
              <w:t>支付标准：</w:t>
            </w:r>
            <w:r>
              <w:rPr>
                <w:color w:val="0000FF"/>
                <w:spacing w:val="-3"/>
                <w:sz w:val="21"/>
                <w:szCs w:val="21"/>
              </w:rPr>
              <w:t>按照《国家发改委关于进一步放开建设项目</w:t>
            </w:r>
            <w:r>
              <w:rPr>
                <w:color w:val="0000FF"/>
                <w:spacing w:val="-15"/>
                <w:sz w:val="21"/>
                <w:szCs w:val="21"/>
              </w:rPr>
              <w:t>专业服务价格的通知》（发改价格【</w:t>
            </w:r>
            <w:r>
              <w:rPr>
                <w:rFonts w:ascii="Calibri" w:hAnsi="Calibri" w:eastAsia="Calibri" w:cs="Calibri"/>
                <w:color w:val="0000FF"/>
                <w:spacing w:val="-15"/>
                <w:sz w:val="21"/>
                <w:szCs w:val="21"/>
              </w:rPr>
              <w:t>2015</w:t>
            </w:r>
            <w:r>
              <w:rPr>
                <w:color w:val="0000FF"/>
                <w:spacing w:val="-15"/>
                <w:sz w:val="21"/>
                <w:szCs w:val="21"/>
              </w:rPr>
              <w:t>】</w:t>
            </w:r>
            <w:r>
              <w:rPr>
                <w:rFonts w:ascii="Calibri" w:hAnsi="Calibri" w:eastAsia="Calibri" w:cs="Calibri"/>
                <w:color w:val="0000FF"/>
                <w:spacing w:val="-15"/>
                <w:sz w:val="21"/>
                <w:szCs w:val="21"/>
              </w:rPr>
              <w:t>299</w:t>
            </w:r>
            <w:r>
              <w:rPr>
                <w:rFonts w:ascii="Calibri" w:hAnsi="Calibri" w:eastAsia="Calibri" w:cs="Calibri"/>
                <w:color w:val="0000FF"/>
                <w:spacing w:val="12"/>
                <w:w w:val="102"/>
                <w:sz w:val="21"/>
                <w:szCs w:val="21"/>
              </w:rPr>
              <w:t xml:space="preserve">  </w:t>
            </w:r>
            <w:r>
              <w:rPr>
                <w:color w:val="0000FF"/>
                <w:spacing w:val="-15"/>
                <w:sz w:val="21"/>
                <w:szCs w:val="21"/>
              </w:rPr>
              <w:t>号）文 件</w:t>
            </w:r>
            <w:r>
              <w:rPr>
                <w:color w:val="0000FF"/>
                <w:spacing w:val="5"/>
                <w:sz w:val="21"/>
                <w:szCs w:val="21"/>
              </w:rPr>
              <w:t>要求，参照省住建厅《湖北省招标代理收费参考标准</w:t>
            </w:r>
            <w:r>
              <w:rPr>
                <w:color w:val="0000FF"/>
                <w:spacing w:val="-13"/>
                <w:sz w:val="21"/>
                <w:szCs w:val="21"/>
              </w:rPr>
              <w:t>（试行）》（鄂建文</w:t>
            </w:r>
            <w:r>
              <w:rPr>
                <w:rFonts w:ascii="Calibri" w:hAnsi="Calibri" w:eastAsia="Calibri" w:cs="Calibri"/>
                <w:color w:val="0000FF"/>
                <w:spacing w:val="-13"/>
                <w:sz w:val="21"/>
                <w:szCs w:val="21"/>
              </w:rPr>
              <w:t>[</w:t>
            </w:r>
            <w:r>
              <w:fldChar w:fldCharType="begin"/>
            </w:r>
            <w:r>
              <w:instrText xml:space="preserve"> HYPERLINK \l "bookmark623" </w:instrText>
            </w:r>
            <w:r>
              <w:fldChar w:fldCharType="separate"/>
            </w:r>
            <w:r>
              <w:rPr>
                <w:rFonts w:ascii="Calibri" w:hAnsi="Calibri" w:eastAsia="Calibri" w:cs="Calibri"/>
                <w:color w:val="0000FF"/>
                <w:spacing w:val="-13"/>
                <w:sz w:val="21"/>
                <w:szCs w:val="21"/>
              </w:rPr>
              <w:t>2023</w:t>
            </w:r>
            <w:r>
              <w:rPr>
                <w:rFonts w:ascii="Calibri" w:hAnsi="Calibri" w:eastAsia="Calibri" w:cs="Calibri"/>
                <w:color w:val="0000FF"/>
                <w:spacing w:val="-13"/>
                <w:sz w:val="21"/>
                <w:szCs w:val="21"/>
              </w:rPr>
              <w:fldChar w:fldCharType="end"/>
            </w:r>
            <w:r>
              <w:rPr>
                <w:rFonts w:ascii="Calibri" w:hAnsi="Calibri" w:eastAsia="Calibri" w:cs="Calibri"/>
                <w:color w:val="0000FF"/>
                <w:spacing w:val="-13"/>
                <w:sz w:val="21"/>
                <w:szCs w:val="21"/>
              </w:rPr>
              <w:t xml:space="preserve">]35  </w:t>
            </w:r>
            <w:r>
              <w:rPr>
                <w:rFonts w:ascii="Calibri" w:hAnsi="Calibri" w:eastAsia="Calibri" w:cs="Calibri"/>
                <w:color w:val="0000FF"/>
                <w:spacing w:val="-14"/>
                <w:sz w:val="21"/>
                <w:szCs w:val="21"/>
              </w:rPr>
              <w:t xml:space="preserve"> </w:t>
            </w:r>
            <w:r>
              <w:rPr>
                <w:color w:val="0000FF"/>
                <w:spacing w:val="-14"/>
                <w:sz w:val="21"/>
                <w:szCs w:val="21"/>
              </w:rPr>
              <w:t>号）收取</w:t>
            </w:r>
            <w:r>
              <w:rPr>
                <w:color w:val="0000FF"/>
                <w:spacing w:val="-9"/>
                <w:sz w:val="21"/>
                <w:szCs w:val="21"/>
              </w:rPr>
              <w:t>；</w:t>
            </w:r>
            <w:r>
              <w:rPr>
                <w:spacing w:val="-9"/>
                <w:sz w:val="21"/>
                <w:szCs w:val="21"/>
              </w:rPr>
              <w:t>；</w:t>
            </w:r>
          </w:p>
          <w:p w14:paraId="26C1ED47">
            <w:pPr>
              <w:pStyle w:val="6"/>
              <w:spacing w:line="219" w:lineRule="auto"/>
              <w:ind w:left="112"/>
              <w:rPr>
                <w:sz w:val="21"/>
                <w:szCs w:val="21"/>
              </w:rPr>
            </w:pPr>
            <w:r>
              <w:rPr>
                <w:spacing w:val="-1"/>
                <w:sz w:val="21"/>
                <w:szCs w:val="21"/>
              </w:rPr>
              <w:t>支付方式：</w:t>
            </w:r>
            <w:r>
              <w:rPr>
                <w:color w:val="0000FF"/>
                <w:spacing w:val="-1"/>
                <w:sz w:val="21"/>
                <w:szCs w:val="21"/>
              </w:rPr>
              <w:t>现金或转账</w:t>
            </w:r>
            <w:r>
              <w:rPr>
                <w:spacing w:val="-1"/>
                <w:sz w:val="21"/>
                <w:szCs w:val="21"/>
              </w:rPr>
              <w:t>；</w:t>
            </w:r>
          </w:p>
          <w:p w14:paraId="679D36E5">
            <w:pPr>
              <w:pStyle w:val="6"/>
              <w:spacing w:before="65" w:line="219" w:lineRule="auto"/>
              <w:ind w:left="112"/>
              <w:rPr>
                <w:sz w:val="21"/>
                <w:szCs w:val="21"/>
              </w:rPr>
            </w:pPr>
            <w:r>
              <w:rPr>
                <w:spacing w:val="-1"/>
                <w:sz w:val="21"/>
                <w:szCs w:val="21"/>
              </w:rPr>
              <w:t>支付时间：</w:t>
            </w:r>
            <w:r>
              <w:rPr>
                <w:color w:val="0000FF"/>
                <w:spacing w:val="-1"/>
                <w:sz w:val="21"/>
                <w:szCs w:val="21"/>
              </w:rPr>
              <w:t>领取中标通知书时</w:t>
            </w:r>
            <w:r>
              <w:rPr>
                <w:spacing w:val="-1"/>
                <w:sz w:val="21"/>
                <w:szCs w:val="21"/>
              </w:rPr>
              <w:t>；</w:t>
            </w:r>
          </w:p>
        </w:tc>
      </w:tr>
      <w:tr w14:paraId="7053F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4" w:hRule="atLeast"/>
        </w:trPr>
        <w:tc>
          <w:tcPr>
            <w:tcW w:w="952" w:type="dxa"/>
            <w:vAlign w:val="top"/>
          </w:tcPr>
          <w:p w14:paraId="1664AF1C">
            <w:pPr>
              <w:spacing w:line="248" w:lineRule="auto"/>
              <w:rPr>
                <w:rFonts w:ascii="Arial"/>
                <w:sz w:val="21"/>
              </w:rPr>
            </w:pPr>
          </w:p>
          <w:p w14:paraId="324B371F">
            <w:pPr>
              <w:spacing w:line="248" w:lineRule="auto"/>
              <w:rPr>
                <w:rFonts w:ascii="Arial"/>
                <w:sz w:val="21"/>
              </w:rPr>
            </w:pPr>
          </w:p>
          <w:p w14:paraId="00BD1067">
            <w:pPr>
              <w:spacing w:line="248" w:lineRule="auto"/>
              <w:rPr>
                <w:rFonts w:ascii="Arial"/>
                <w:sz w:val="21"/>
              </w:rPr>
            </w:pPr>
          </w:p>
          <w:p w14:paraId="3F4463A0">
            <w:pPr>
              <w:spacing w:line="248" w:lineRule="auto"/>
              <w:rPr>
                <w:rFonts w:ascii="Arial"/>
                <w:sz w:val="21"/>
              </w:rPr>
            </w:pPr>
          </w:p>
          <w:p w14:paraId="45DA8555">
            <w:pPr>
              <w:spacing w:line="248" w:lineRule="auto"/>
              <w:rPr>
                <w:rFonts w:ascii="Arial"/>
                <w:sz w:val="21"/>
              </w:rPr>
            </w:pPr>
          </w:p>
          <w:p w14:paraId="07517710">
            <w:pPr>
              <w:spacing w:before="64" w:line="265" w:lineRule="exact"/>
              <w:ind w:left="287"/>
              <w:rPr>
                <w:rFonts w:ascii="Calibri" w:hAnsi="Calibri" w:eastAsia="Calibri" w:cs="Calibri"/>
                <w:sz w:val="21"/>
                <w:szCs w:val="21"/>
              </w:rPr>
            </w:pPr>
            <w:r>
              <w:rPr>
                <w:rFonts w:ascii="Calibri" w:hAnsi="Calibri" w:eastAsia="Calibri" w:cs="Calibri"/>
                <w:spacing w:val="-4"/>
                <w:position w:val="1"/>
                <w:sz w:val="21"/>
                <w:szCs w:val="21"/>
              </w:rPr>
              <w:t>10.6</w:t>
            </w:r>
          </w:p>
        </w:tc>
        <w:tc>
          <w:tcPr>
            <w:tcW w:w="2084" w:type="dxa"/>
            <w:vAlign w:val="top"/>
          </w:tcPr>
          <w:p w14:paraId="0B99D414">
            <w:pPr>
              <w:spacing w:line="262" w:lineRule="auto"/>
              <w:rPr>
                <w:rFonts w:ascii="Arial"/>
                <w:sz w:val="21"/>
              </w:rPr>
            </w:pPr>
          </w:p>
          <w:p w14:paraId="3712BEE6">
            <w:pPr>
              <w:spacing w:line="262" w:lineRule="auto"/>
              <w:rPr>
                <w:rFonts w:ascii="Arial"/>
                <w:sz w:val="21"/>
              </w:rPr>
            </w:pPr>
          </w:p>
          <w:p w14:paraId="1D70219A">
            <w:pPr>
              <w:spacing w:line="262" w:lineRule="auto"/>
              <w:rPr>
                <w:rFonts w:ascii="Arial"/>
                <w:sz w:val="21"/>
              </w:rPr>
            </w:pPr>
          </w:p>
          <w:p w14:paraId="14CF8B28">
            <w:pPr>
              <w:spacing w:line="263" w:lineRule="auto"/>
              <w:rPr>
                <w:rFonts w:ascii="Arial"/>
                <w:sz w:val="21"/>
              </w:rPr>
            </w:pPr>
          </w:p>
          <w:p w14:paraId="6C53C315">
            <w:pPr>
              <w:pStyle w:val="6"/>
              <w:spacing w:before="68" w:line="219" w:lineRule="auto"/>
              <w:ind w:left="527"/>
              <w:rPr>
                <w:sz w:val="21"/>
                <w:szCs w:val="21"/>
              </w:rPr>
            </w:pPr>
            <w:r>
              <w:rPr>
                <w:spacing w:val="-2"/>
                <w:sz w:val="21"/>
                <w:szCs w:val="21"/>
              </w:rPr>
              <w:t>政府采购</w:t>
            </w:r>
          </w:p>
          <w:p w14:paraId="5F43CE5D">
            <w:pPr>
              <w:pStyle w:val="6"/>
              <w:spacing w:before="66" w:line="220" w:lineRule="auto"/>
              <w:ind w:left="408"/>
              <w:rPr>
                <w:sz w:val="21"/>
                <w:szCs w:val="21"/>
              </w:rPr>
            </w:pPr>
            <w:r>
              <w:rPr>
                <w:spacing w:val="-1"/>
                <w:sz w:val="21"/>
                <w:szCs w:val="21"/>
              </w:rPr>
              <w:t>合同融资政策</w:t>
            </w:r>
          </w:p>
        </w:tc>
        <w:tc>
          <w:tcPr>
            <w:tcW w:w="5194" w:type="dxa"/>
            <w:vAlign w:val="top"/>
          </w:tcPr>
          <w:p w14:paraId="791692F7">
            <w:pPr>
              <w:pStyle w:val="6"/>
              <w:spacing w:before="25" w:line="275" w:lineRule="auto"/>
              <w:ind w:left="110" w:right="38"/>
              <w:rPr>
                <w:sz w:val="21"/>
                <w:szCs w:val="21"/>
              </w:rPr>
            </w:pPr>
            <w:r>
              <w:rPr>
                <w:spacing w:val="-4"/>
                <w:sz w:val="21"/>
                <w:szCs w:val="21"/>
              </w:rPr>
              <w:t>政府采购合同融资（以下简称“政采贷”）指参与政府</w:t>
            </w:r>
            <w:r>
              <w:rPr>
                <w:spacing w:val="-1"/>
                <w:sz w:val="21"/>
                <w:szCs w:val="21"/>
              </w:rPr>
              <w:t>采购活动的中小微企业，在获得政府采购中标（成交）</w:t>
            </w:r>
            <w:r>
              <w:rPr>
                <w:spacing w:val="-4"/>
                <w:sz w:val="21"/>
                <w:szCs w:val="21"/>
              </w:rPr>
              <w:t>通知书后，即可向开展“政采贷”业务的金融机构提出申请，金融机构依据政府采购中标（成交）通知书和政</w:t>
            </w:r>
            <w:r>
              <w:rPr>
                <w:spacing w:val="-2"/>
                <w:sz w:val="21"/>
                <w:szCs w:val="21"/>
              </w:rPr>
              <w:t>府采购合同，为中小微企业提供融资服务。</w:t>
            </w:r>
          </w:p>
          <w:p w14:paraId="638E0D1F">
            <w:pPr>
              <w:pStyle w:val="6"/>
              <w:spacing w:line="277" w:lineRule="auto"/>
              <w:ind w:left="111" w:right="115" w:hanging="15"/>
              <w:rPr>
                <w:sz w:val="21"/>
                <w:szCs w:val="21"/>
              </w:rPr>
            </w:pPr>
            <w:r>
              <w:rPr>
                <w:spacing w:val="-3"/>
                <w:sz w:val="21"/>
                <w:szCs w:val="21"/>
              </w:rPr>
              <w:t>“政采贷”业务政策：《湖北省政府采购合同融资</w:t>
            </w:r>
            <w:r>
              <w:rPr>
                <w:spacing w:val="-4"/>
                <w:sz w:val="21"/>
                <w:szCs w:val="21"/>
              </w:rPr>
              <w:t>实施</w:t>
            </w:r>
            <w:r>
              <w:rPr>
                <w:spacing w:val="-9"/>
                <w:sz w:val="21"/>
                <w:szCs w:val="21"/>
              </w:rPr>
              <w:t>方案》（鄂财采发</w:t>
            </w:r>
            <w:r>
              <w:rPr>
                <w:rFonts w:ascii="Calibri" w:hAnsi="Calibri" w:eastAsia="Calibri" w:cs="Calibri"/>
                <w:spacing w:val="-9"/>
                <w:sz w:val="21"/>
                <w:szCs w:val="21"/>
              </w:rPr>
              <w:t>[</w:t>
            </w:r>
            <w:r>
              <w:fldChar w:fldCharType="begin"/>
            </w:r>
            <w:r>
              <w:instrText xml:space="preserve"> HYPERLINK \l "bookmark624" </w:instrText>
            </w:r>
            <w:r>
              <w:fldChar w:fldCharType="separate"/>
            </w:r>
            <w:r>
              <w:rPr>
                <w:rFonts w:ascii="Calibri" w:hAnsi="Calibri" w:eastAsia="Calibri" w:cs="Calibri"/>
                <w:spacing w:val="-9"/>
                <w:sz w:val="21"/>
                <w:szCs w:val="21"/>
              </w:rPr>
              <w:t>2020</w:t>
            </w:r>
            <w:r>
              <w:rPr>
                <w:rFonts w:ascii="Calibri" w:hAnsi="Calibri" w:eastAsia="Calibri" w:cs="Calibri"/>
                <w:spacing w:val="-9"/>
                <w:sz w:val="21"/>
                <w:szCs w:val="21"/>
              </w:rPr>
              <w:fldChar w:fldCharType="end"/>
            </w:r>
            <w:r>
              <w:rPr>
                <w:rFonts w:ascii="Calibri" w:hAnsi="Calibri" w:eastAsia="Calibri" w:cs="Calibri"/>
                <w:spacing w:val="-9"/>
                <w:sz w:val="21"/>
                <w:szCs w:val="21"/>
              </w:rPr>
              <w:t>]5</w:t>
            </w:r>
            <w:r>
              <w:rPr>
                <w:rFonts w:ascii="Calibri" w:hAnsi="Calibri" w:eastAsia="Calibri" w:cs="Calibri"/>
                <w:spacing w:val="37"/>
                <w:sz w:val="21"/>
                <w:szCs w:val="21"/>
              </w:rPr>
              <w:t xml:space="preserve"> </w:t>
            </w:r>
            <w:r>
              <w:rPr>
                <w:spacing w:val="-9"/>
                <w:sz w:val="21"/>
                <w:szCs w:val="21"/>
              </w:rPr>
              <w:t>号）</w:t>
            </w:r>
          </w:p>
          <w:p w14:paraId="2F5FBFBF">
            <w:pPr>
              <w:pStyle w:val="6"/>
              <w:spacing w:line="252" w:lineRule="auto"/>
              <w:ind w:left="116" w:right="117" w:hanging="20"/>
              <w:rPr>
                <w:sz w:val="21"/>
                <w:szCs w:val="21"/>
              </w:rPr>
            </w:pPr>
            <w:r>
              <w:rPr>
                <w:spacing w:val="5"/>
                <w:sz w:val="21"/>
                <w:szCs w:val="21"/>
              </w:rPr>
              <w:t>“政采贷”业务申请：湖北省政府采购合同融资平台</w:t>
            </w:r>
            <w:r>
              <w:rPr>
                <w:spacing w:val="-2"/>
                <w:sz w:val="21"/>
                <w:szCs w:val="21"/>
              </w:rPr>
              <w:t>（</w:t>
            </w:r>
            <w:r>
              <w:fldChar w:fldCharType="begin"/>
            </w:r>
            <w:r>
              <w:instrText xml:space="preserve"> HYPERLINK "https://czt.hubei.gov.cn/zcd/homepage" </w:instrText>
            </w:r>
            <w:r>
              <w:fldChar w:fldCharType="separate"/>
            </w:r>
            <w:r>
              <w:rPr>
                <w:rFonts w:ascii="Calibri" w:hAnsi="Calibri" w:eastAsia="Calibri" w:cs="Calibri"/>
                <w:spacing w:val="-2"/>
                <w:sz w:val="21"/>
                <w:szCs w:val="21"/>
              </w:rPr>
              <w:t>https://czt.hubei.gov.cn/zcd/homepage</w:t>
            </w:r>
            <w:r>
              <w:rPr>
                <w:rFonts w:ascii="Calibri" w:hAnsi="Calibri" w:eastAsia="Calibri" w:cs="Calibri"/>
                <w:spacing w:val="-2"/>
                <w:sz w:val="21"/>
                <w:szCs w:val="21"/>
              </w:rPr>
              <w:fldChar w:fldCharType="end"/>
            </w:r>
            <w:r>
              <w:rPr>
                <w:spacing w:val="-2"/>
                <w:sz w:val="21"/>
                <w:szCs w:val="21"/>
              </w:rPr>
              <w:t>）</w:t>
            </w:r>
          </w:p>
        </w:tc>
      </w:tr>
      <w:tr w14:paraId="244B4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01" w:hRule="atLeast"/>
        </w:trPr>
        <w:tc>
          <w:tcPr>
            <w:tcW w:w="952" w:type="dxa"/>
            <w:vAlign w:val="top"/>
          </w:tcPr>
          <w:p w14:paraId="5023F217">
            <w:pPr>
              <w:spacing w:line="248" w:lineRule="auto"/>
              <w:rPr>
                <w:rFonts w:ascii="Arial"/>
                <w:sz w:val="21"/>
              </w:rPr>
            </w:pPr>
          </w:p>
          <w:p w14:paraId="5DDE39D5">
            <w:pPr>
              <w:spacing w:line="248" w:lineRule="auto"/>
              <w:rPr>
                <w:rFonts w:ascii="Arial"/>
                <w:sz w:val="21"/>
              </w:rPr>
            </w:pPr>
          </w:p>
          <w:p w14:paraId="4E71252A">
            <w:pPr>
              <w:spacing w:line="248" w:lineRule="auto"/>
              <w:rPr>
                <w:rFonts w:ascii="Arial"/>
                <w:sz w:val="21"/>
              </w:rPr>
            </w:pPr>
          </w:p>
          <w:p w14:paraId="732B5FD2">
            <w:pPr>
              <w:spacing w:line="248" w:lineRule="auto"/>
              <w:rPr>
                <w:rFonts w:ascii="Arial"/>
                <w:sz w:val="21"/>
              </w:rPr>
            </w:pPr>
          </w:p>
          <w:p w14:paraId="4E06E8D6">
            <w:pPr>
              <w:spacing w:line="248" w:lineRule="auto"/>
              <w:rPr>
                <w:rFonts w:ascii="Arial"/>
                <w:sz w:val="21"/>
              </w:rPr>
            </w:pPr>
          </w:p>
          <w:p w14:paraId="66306300">
            <w:pPr>
              <w:spacing w:line="248" w:lineRule="auto"/>
              <w:rPr>
                <w:rFonts w:ascii="Arial"/>
                <w:sz w:val="21"/>
              </w:rPr>
            </w:pPr>
          </w:p>
          <w:p w14:paraId="173742E4">
            <w:pPr>
              <w:spacing w:line="248" w:lineRule="auto"/>
              <w:rPr>
                <w:rFonts w:ascii="Arial"/>
                <w:sz w:val="21"/>
              </w:rPr>
            </w:pPr>
          </w:p>
          <w:p w14:paraId="2F57A842">
            <w:pPr>
              <w:spacing w:line="249" w:lineRule="auto"/>
              <w:rPr>
                <w:rFonts w:ascii="Arial"/>
                <w:sz w:val="21"/>
              </w:rPr>
            </w:pPr>
          </w:p>
          <w:p w14:paraId="6C70EA76">
            <w:pPr>
              <w:spacing w:line="249" w:lineRule="auto"/>
              <w:rPr>
                <w:rFonts w:ascii="Arial"/>
                <w:sz w:val="21"/>
              </w:rPr>
            </w:pPr>
          </w:p>
          <w:p w14:paraId="3B1358A6">
            <w:pPr>
              <w:spacing w:line="249" w:lineRule="auto"/>
              <w:rPr>
                <w:rFonts w:ascii="Arial"/>
                <w:sz w:val="21"/>
              </w:rPr>
            </w:pPr>
          </w:p>
          <w:p w14:paraId="1BF0B14C">
            <w:pPr>
              <w:spacing w:before="64" w:line="264" w:lineRule="exact"/>
              <w:ind w:left="287"/>
              <w:rPr>
                <w:rFonts w:ascii="Calibri" w:hAnsi="Calibri" w:eastAsia="Calibri" w:cs="Calibri"/>
                <w:sz w:val="21"/>
                <w:szCs w:val="21"/>
              </w:rPr>
            </w:pPr>
            <w:r>
              <w:rPr>
                <w:rFonts w:ascii="Calibri" w:hAnsi="Calibri" w:eastAsia="Calibri" w:cs="Calibri"/>
                <w:spacing w:val="-4"/>
                <w:position w:val="1"/>
                <w:sz w:val="21"/>
                <w:szCs w:val="21"/>
              </w:rPr>
              <w:t>10.7</w:t>
            </w:r>
          </w:p>
        </w:tc>
        <w:tc>
          <w:tcPr>
            <w:tcW w:w="2084" w:type="dxa"/>
            <w:vAlign w:val="top"/>
          </w:tcPr>
          <w:p w14:paraId="688FB853">
            <w:pPr>
              <w:spacing w:line="254" w:lineRule="auto"/>
              <w:rPr>
                <w:rFonts w:ascii="Arial"/>
                <w:sz w:val="21"/>
              </w:rPr>
            </w:pPr>
          </w:p>
          <w:p w14:paraId="7C0BB4B1">
            <w:pPr>
              <w:spacing w:line="254" w:lineRule="auto"/>
              <w:rPr>
                <w:rFonts w:ascii="Arial"/>
                <w:sz w:val="21"/>
              </w:rPr>
            </w:pPr>
          </w:p>
          <w:p w14:paraId="5DFED2E9">
            <w:pPr>
              <w:spacing w:line="254" w:lineRule="auto"/>
              <w:rPr>
                <w:rFonts w:ascii="Arial"/>
                <w:sz w:val="21"/>
              </w:rPr>
            </w:pPr>
          </w:p>
          <w:p w14:paraId="4003FE30">
            <w:pPr>
              <w:spacing w:line="255" w:lineRule="auto"/>
              <w:rPr>
                <w:rFonts w:ascii="Arial"/>
                <w:sz w:val="21"/>
              </w:rPr>
            </w:pPr>
          </w:p>
          <w:p w14:paraId="2B4DF1D2">
            <w:pPr>
              <w:spacing w:line="255" w:lineRule="auto"/>
              <w:rPr>
                <w:rFonts w:ascii="Arial"/>
                <w:sz w:val="21"/>
              </w:rPr>
            </w:pPr>
          </w:p>
          <w:p w14:paraId="3EFAFA3A">
            <w:pPr>
              <w:spacing w:line="255" w:lineRule="auto"/>
              <w:rPr>
                <w:rFonts w:ascii="Arial"/>
                <w:sz w:val="21"/>
              </w:rPr>
            </w:pPr>
          </w:p>
          <w:p w14:paraId="1CB68BF5">
            <w:pPr>
              <w:spacing w:line="255" w:lineRule="auto"/>
              <w:rPr>
                <w:rFonts w:ascii="Arial"/>
                <w:sz w:val="21"/>
              </w:rPr>
            </w:pPr>
          </w:p>
          <w:p w14:paraId="6742EACA">
            <w:pPr>
              <w:spacing w:line="255" w:lineRule="auto"/>
              <w:rPr>
                <w:rFonts w:ascii="Arial"/>
                <w:sz w:val="21"/>
              </w:rPr>
            </w:pPr>
          </w:p>
          <w:p w14:paraId="7B39694E">
            <w:pPr>
              <w:spacing w:line="255" w:lineRule="auto"/>
              <w:rPr>
                <w:rFonts w:ascii="Arial"/>
                <w:sz w:val="21"/>
              </w:rPr>
            </w:pPr>
          </w:p>
          <w:p w14:paraId="0A4FEDB7">
            <w:pPr>
              <w:pStyle w:val="6"/>
              <w:spacing w:before="68" w:line="279" w:lineRule="auto"/>
              <w:ind w:left="853" w:right="195" w:hanging="655"/>
              <w:rPr>
                <w:sz w:val="21"/>
                <w:szCs w:val="21"/>
              </w:rPr>
            </w:pPr>
            <w:r>
              <w:rPr>
                <w:spacing w:val="-1"/>
                <w:sz w:val="21"/>
                <w:szCs w:val="21"/>
              </w:rPr>
              <w:t>招标人补充的其他</w:t>
            </w:r>
            <w:r>
              <w:rPr>
                <w:spacing w:val="-9"/>
                <w:sz w:val="21"/>
                <w:szCs w:val="21"/>
              </w:rPr>
              <w:t>内容</w:t>
            </w:r>
          </w:p>
        </w:tc>
        <w:tc>
          <w:tcPr>
            <w:tcW w:w="5194" w:type="dxa"/>
            <w:vAlign w:val="top"/>
          </w:tcPr>
          <w:p w14:paraId="5B96ACBF">
            <w:pPr>
              <w:pStyle w:val="6"/>
              <w:spacing w:before="29" w:line="274" w:lineRule="auto"/>
              <w:ind w:left="111" w:right="100" w:firstLine="3"/>
              <w:rPr>
                <w:sz w:val="21"/>
                <w:szCs w:val="21"/>
              </w:rPr>
            </w:pPr>
            <w:r>
              <w:rPr>
                <w:color w:val="0000FF"/>
                <w:spacing w:val="-1"/>
                <w:sz w:val="21"/>
                <w:szCs w:val="21"/>
              </w:rPr>
              <w:t>一、投标报价要求：</w:t>
            </w:r>
            <w:r>
              <w:rPr>
                <w:rFonts w:ascii="Calibri" w:hAnsi="Calibri" w:eastAsia="Calibri" w:cs="Calibri"/>
                <w:color w:val="0000FF"/>
                <w:spacing w:val="-1"/>
                <w:sz w:val="21"/>
                <w:szCs w:val="21"/>
              </w:rPr>
              <w:t>1.</w:t>
            </w:r>
            <w:r>
              <w:rPr>
                <w:color w:val="0000FF"/>
                <w:spacing w:val="-1"/>
                <w:sz w:val="21"/>
                <w:szCs w:val="21"/>
              </w:rPr>
              <w:t>本项目经罗田县政府投</w:t>
            </w:r>
            <w:r>
              <w:rPr>
                <w:color w:val="0000FF"/>
                <w:spacing w:val="-2"/>
                <w:sz w:val="21"/>
                <w:szCs w:val="21"/>
              </w:rPr>
              <w:t>资项目服务中心评审，送审金额为：</w:t>
            </w:r>
            <w:r>
              <w:rPr>
                <w:rFonts w:hint="eastAsia" w:ascii="Calibri" w:hAnsi="Calibri" w:cs="Calibri"/>
                <w:color w:val="0000FF"/>
                <w:spacing w:val="-2"/>
                <w:sz w:val="21"/>
                <w:szCs w:val="21"/>
                <w:lang w:val="en-US" w:eastAsia="zh-CN"/>
              </w:rPr>
              <w:t>5216767.97</w:t>
            </w:r>
            <w:r>
              <w:rPr>
                <w:rFonts w:ascii="Calibri" w:hAnsi="Calibri" w:eastAsia="Calibri" w:cs="Calibri"/>
                <w:color w:val="0000FF"/>
                <w:spacing w:val="-2"/>
                <w:sz w:val="21"/>
                <w:szCs w:val="21"/>
              </w:rPr>
              <w:t xml:space="preserve"> </w:t>
            </w:r>
            <w:r>
              <w:rPr>
                <w:color w:val="0000FF"/>
                <w:spacing w:val="-2"/>
                <w:sz w:val="21"/>
                <w:szCs w:val="21"/>
              </w:rPr>
              <w:t>元，评审后金</w:t>
            </w:r>
            <w:r>
              <w:rPr>
                <w:color w:val="0000FF"/>
                <w:spacing w:val="-1"/>
                <w:sz w:val="21"/>
                <w:szCs w:val="21"/>
              </w:rPr>
              <w:t>额为：</w:t>
            </w:r>
            <w:r>
              <w:rPr>
                <w:rFonts w:hint="eastAsia" w:ascii="Calibri" w:hAnsi="Calibri" w:cs="Calibri"/>
                <w:color w:val="0000FF"/>
                <w:spacing w:val="-1"/>
                <w:sz w:val="21"/>
                <w:szCs w:val="21"/>
                <w:lang w:val="en-US" w:eastAsia="zh-CN"/>
              </w:rPr>
              <w:t>4889316.19</w:t>
            </w:r>
            <w:r>
              <w:rPr>
                <w:rFonts w:ascii="Calibri" w:hAnsi="Calibri" w:eastAsia="Calibri" w:cs="Calibri"/>
                <w:color w:val="0000FF"/>
                <w:spacing w:val="33"/>
                <w:w w:val="102"/>
                <w:sz w:val="21"/>
                <w:szCs w:val="21"/>
              </w:rPr>
              <w:t xml:space="preserve"> </w:t>
            </w:r>
            <w:r>
              <w:rPr>
                <w:color w:val="0000FF"/>
                <w:spacing w:val="-1"/>
                <w:sz w:val="21"/>
                <w:szCs w:val="21"/>
              </w:rPr>
              <w:t>元，评审时下调了较大幅度，故对</w:t>
            </w:r>
            <w:r>
              <w:rPr>
                <w:color w:val="0000FF"/>
                <w:spacing w:val="-3"/>
                <w:sz w:val="21"/>
                <w:szCs w:val="21"/>
              </w:rPr>
              <w:t>投标报价要求如下：当投标人的投标报价的评标价</w:t>
            </w:r>
            <w:r>
              <w:rPr>
                <w:color w:val="0000FF"/>
                <w:spacing w:val="-4"/>
                <w:sz w:val="21"/>
                <w:szCs w:val="21"/>
              </w:rPr>
              <w:t>低于</w:t>
            </w:r>
            <w:r>
              <w:rPr>
                <w:rFonts w:hint="eastAsia"/>
                <w:color w:val="0000FF"/>
                <w:spacing w:val="-1"/>
                <w:sz w:val="21"/>
                <w:szCs w:val="21"/>
                <w:highlight w:val="none"/>
                <w:lang w:val="en-US" w:eastAsia="zh-CN"/>
              </w:rPr>
              <w:t>招标控制价</w:t>
            </w:r>
            <w:r>
              <w:rPr>
                <w:color w:val="0000FF"/>
                <w:spacing w:val="-1"/>
                <w:sz w:val="21"/>
                <w:szCs w:val="21"/>
              </w:rPr>
              <w:t xml:space="preserve">的评标价的 </w:t>
            </w:r>
            <w:r>
              <w:rPr>
                <w:rFonts w:ascii="Calibri" w:hAnsi="Calibri" w:eastAsia="Calibri" w:cs="Calibri"/>
                <w:color w:val="0000FF"/>
                <w:spacing w:val="-1"/>
                <w:sz w:val="21"/>
                <w:szCs w:val="21"/>
              </w:rPr>
              <w:t>H%(H</w:t>
            </w:r>
            <w:r>
              <w:rPr>
                <w:rFonts w:ascii="Calibri" w:hAnsi="Calibri" w:eastAsia="Calibri" w:cs="Calibri"/>
                <w:color w:val="0000FF"/>
                <w:spacing w:val="19"/>
                <w:sz w:val="21"/>
                <w:szCs w:val="21"/>
              </w:rPr>
              <w:t xml:space="preserve">  </w:t>
            </w:r>
            <w:r>
              <w:rPr>
                <w:color w:val="0000FF"/>
                <w:spacing w:val="-1"/>
                <w:sz w:val="21"/>
                <w:szCs w:val="21"/>
              </w:rPr>
              <w:t>为低于成本的报价系数</w:t>
            </w:r>
            <w:r>
              <w:rPr>
                <w:rFonts w:ascii="Calibri" w:hAnsi="Calibri" w:eastAsia="Calibri" w:cs="Calibri"/>
                <w:color w:val="0000FF"/>
                <w:spacing w:val="-2"/>
                <w:sz w:val="21"/>
                <w:szCs w:val="21"/>
              </w:rPr>
              <w:t>H=92)</w:t>
            </w:r>
            <w:r>
              <w:rPr>
                <w:color w:val="0000FF"/>
                <w:spacing w:val="-2"/>
                <w:sz w:val="21"/>
                <w:szCs w:val="21"/>
              </w:rPr>
              <w:t>时，</w:t>
            </w:r>
            <w:r>
              <w:rPr>
                <w:rFonts w:hint="eastAsia"/>
                <w:color w:val="0000FF"/>
                <w:spacing w:val="-2"/>
                <w:sz w:val="21"/>
                <w:szCs w:val="21"/>
                <w:lang w:val="en-US" w:eastAsia="zh-CN"/>
              </w:rPr>
              <w:t>视为不平衡报价，扣5分。</w:t>
            </w:r>
          </w:p>
          <w:p w14:paraId="340A54B5">
            <w:pPr>
              <w:pStyle w:val="6"/>
              <w:spacing w:before="13" w:line="270" w:lineRule="auto"/>
              <w:ind w:left="110" w:right="44" w:firstLine="1"/>
              <w:rPr>
                <w:sz w:val="21"/>
                <w:szCs w:val="21"/>
              </w:rPr>
            </w:pPr>
            <w:r>
              <w:rPr>
                <w:rFonts w:ascii="Calibri" w:hAnsi="Calibri" w:eastAsia="Calibri" w:cs="Calibri"/>
                <w:color w:val="0000FF"/>
                <w:spacing w:val="-1"/>
                <w:sz w:val="21"/>
                <w:szCs w:val="21"/>
              </w:rPr>
              <w:t>2.</w:t>
            </w:r>
            <w:r>
              <w:rPr>
                <w:color w:val="0000FF"/>
                <w:spacing w:val="-1"/>
                <w:sz w:val="21"/>
                <w:szCs w:val="21"/>
              </w:rPr>
              <w:t>当投标报价的评标价高于投标最高限价视为未响</w:t>
            </w:r>
          </w:p>
        </w:tc>
      </w:tr>
    </w:tbl>
    <w:p w14:paraId="315523A1">
      <w:pPr>
        <w:pStyle w:val="2"/>
      </w:pPr>
    </w:p>
    <w:p w14:paraId="0827DB31">
      <w:pPr>
        <w:sectPr>
          <w:footerReference r:id="rId31" w:type="default"/>
          <w:pgSz w:w="11910" w:h="16845"/>
          <w:pgMar w:top="1431" w:right="1786" w:bottom="1065" w:left="1786" w:header="0" w:footer="838" w:gutter="0"/>
          <w:cols w:space="720" w:num="1"/>
        </w:sectPr>
      </w:pPr>
    </w:p>
    <w:p w14:paraId="12D3602B">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2084"/>
        <w:gridCol w:w="5194"/>
      </w:tblGrid>
      <w:tr w14:paraId="2D8A7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7" w:hRule="atLeast"/>
        </w:trPr>
        <w:tc>
          <w:tcPr>
            <w:tcW w:w="952" w:type="dxa"/>
            <w:vAlign w:val="top"/>
          </w:tcPr>
          <w:p w14:paraId="70575B25">
            <w:pPr>
              <w:pStyle w:val="6"/>
              <w:spacing w:before="44" w:line="220" w:lineRule="auto"/>
              <w:ind w:left="129"/>
              <w:rPr>
                <w:sz w:val="21"/>
                <w:szCs w:val="21"/>
              </w:rPr>
            </w:pPr>
            <w:r>
              <w:rPr>
                <w:b/>
                <w:bCs/>
                <w:spacing w:val="4"/>
                <w:sz w:val="21"/>
                <w:szCs w:val="21"/>
              </w:rPr>
              <w:t>条款号</w:t>
            </w:r>
          </w:p>
        </w:tc>
        <w:tc>
          <w:tcPr>
            <w:tcW w:w="2084" w:type="dxa"/>
            <w:vAlign w:val="top"/>
          </w:tcPr>
          <w:p w14:paraId="5193BB0F">
            <w:pPr>
              <w:pStyle w:val="6"/>
              <w:spacing w:before="44" w:line="220" w:lineRule="auto"/>
              <w:ind w:left="604"/>
              <w:rPr>
                <w:sz w:val="21"/>
                <w:szCs w:val="21"/>
              </w:rPr>
            </w:pPr>
            <w:r>
              <w:rPr>
                <w:b/>
                <w:bCs/>
                <w:spacing w:val="6"/>
                <w:sz w:val="21"/>
                <w:szCs w:val="21"/>
              </w:rPr>
              <w:t>条款名称</w:t>
            </w:r>
          </w:p>
        </w:tc>
        <w:tc>
          <w:tcPr>
            <w:tcW w:w="5194" w:type="dxa"/>
            <w:vAlign w:val="top"/>
          </w:tcPr>
          <w:p w14:paraId="1AC4D2D1">
            <w:pPr>
              <w:pStyle w:val="6"/>
              <w:spacing w:before="44" w:line="220" w:lineRule="auto"/>
              <w:ind w:left="2155"/>
              <w:rPr>
                <w:sz w:val="21"/>
                <w:szCs w:val="21"/>
              </w:rPr>
            </w:pPr>
            <w:r>
              <w:rPr>
                <w:b/>
                <w:bCs/>
                <w:spacing w:val="6"/>
                <w:sz w:val="21"/>
                <w:szCs w:val="21"/>
              </w:rPr>
              <w:t>编列内容</w:t>
            </w:r>
          </w:p>
        </w:tc>
      </w:tr>
      <w:tr w14:paraId="373B0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77" w:hRule="atLeast"/>
        </w:trPr>
        <w:tc>
          <w:tcPr>
            <w:tcW w:w="952" w:type="dxa"/>
            <w:vAlign w:val="top"/>
          </w:tcPr>
          <w:p w14:paraId="7095565E">
            <w:pPr>
              <w:rPr>
                <w:rFonts w:ascii="Arial"/>
                <w:sz w:val="21"/>
              </w:rPr>
            </w:pPr>
          </w:p>
        </w:tc>
        <w:tc>
          <w:tcPr>
            <w:tcW w:w="2084" w:type="dxa"/>
            <w:vAlign w:val="top"/>
          </w:tcPr>
          <w:p w14:paraId="4706D303">
            <w:pPr>
              <w:rPr>
                <w:rFonts w:ascii="Arial"/>
                <w:sz w:val="21"/>
              </w:rPr>
            </w:pPr>
          </w:p>
        </w:tc>
        <w:tc>
          <w:tcPr>
            <w:tcW w:w="5194" w:type="dxa"/>
            <w:vAlign w:val="top"/>
          </w:tcPr>
          <w:p w14:paraId="0450F4BD">
            <w:pPr>
              <w:pStyle w:val="6"/>
              <w:spacing w:before="40" w:line="273" w:lineRule="auto"/>
              <w:ind w:right="43"/>
              <w:jc w:val="both"/>
              <w:rPr>
                <w:sz w:val="21"/>
                <w:szCs w:val="21"/>
              </w:rPr>
            </w:pPr>
            <w:r>
              <w:rPr>
                <w:color w:val="0000FF"/>
                <w:spacing w:val="-1"/>
                <w:sz w:val="21"/>
                <w:szCs w:val="21"/>
              </w:rPr>
              <w:t>应投标报价的要求。二、关于评定分离：</w:t>
            </w:r>
            <w:r>
              <w:rPr>
                <w:rFonts w:ascii="Calibri" w:hAnsi="Calibri" w:eastAsia="Calibri" w:cs="Calibri"/>
                <w:color w:val="0000FF"/>
                <w:spacing w:val="-1"/>
                <w:sz w:val="21"/>
                <w:szCs w:val="21"/>
              </w:rPr>
              <w:t>1</w:t>
            </w:r>
            <w:r>
              <w:rPr>
                <w:color w:val="0000FF"/>
                <w:spacing w:val="-1"/>
                <w:sz w:val="21"/>
                <w:szCs w:val="21"/>
              </w:rPr>
              <w:t>、评定分离</w:t>
            </w:r>
            <w:r>
              <w:rPr>
                <w:color w:val="0000FF"/>
                <w:spacing w:val="-4"/>
                <w:sz w:val="21"/>
                <w:szCs w:val="21"/>
              </w:rPr>
              <w:t>依据：本次招标评标办法采用综合评估法。按照《罗田</w:t>
            </w:r>
            <w:r>
              <w:rPr>
                <w:color w:val="0000FF"/>
                <w:spacing w:val="-11"/>
                <w:sz w:val="21"/>
                <w:szCs w:val="21"/>
              </w:rPr>
              <w:t>县招标投标“评定分离”改革实施办法（试行）》（罗政</w:t>
            </w:r>
            <w:r>
              <w:rPr>
                <w:color w:val="0000FF"/>
                <w:spacing w:val="-4"/>
                <w:sz w:val="21"/>
                <w:szCs w:val="21"/>
              </w:rPr>
              <w:t>规〔</w:t>
            </w:r>
            <w:r>
              <w:rPr>
                <w:rFonts w:ascii="Calibri" w:hAnsi="Calibri" w:eastAsia="Calibri" w:cs="Calibri"/>
                <w:color w:val="0000FF"/>
                <w:spacing w:val="-4"/>
                <w:sz w:val="21"/>
                <w:szCs w:val="21"/>
              </w:rPr>
              <w:t>2021</w:t>
            </w:r>
            <w:r>
              <w:rPr>
                <w:color w:val="0000FF"/>
                <w:spacing w:val="-4"/>
                <w:sz w:val="21"/>
                <w:szCs w:val="21"/>
              </w:rPr>
              <w:t>〕</w:t>
            </w:r>
            <w:r>
              <w:rPr>
                <w:rFonts w:ascii="Calibri" w:hAnsi="Calibri" w:eastAsia="Calibri" w:cs="Calibri"/>
                <w:color w:val="0000FF"/>
                <w:spacing w:val="-4"/>
                <w:sz w:val="21"/>
                <w:szCs w:val="21"/>
              </w:rPr>
              <w:t>7</w:t>
            </w:r>
            <w:r>
              <w:rPr>
                <w:rFonts w:ascii="Calibri" w:hAnsi="Calibri" w:eastAsia="Calibri" w:cs="Calibri"/>
                <w:color w:val="0000FF"/>
                <w:spacing w:val="11"/>
                <w:sz w:val="21"/>
                <w:szCs w:val="21"/>
              </w:rPr>
              <w:t xml:space="preserve">  </w:t>
            </w:r>
            <w:r>
              <w:rPr>
                <w:color w:val="0000FF"/>
                <w:spacing w:val="-4"/>
                <w:sz w:val="21"/>
                <w:szCs w:val="21"/>
              </w:rPr>
              <w:t>号）精神，本项目采用“评定</w:t>
            </w:r>
            <w:r>
              <w:rPr>
                <w:color w:val="0000FF"/>
                <w:spacing w:val="-5"/>
                <w:sz w:val="21"/>
                <w:szCs w:val="21"/>
              </w:rPr>
              <w:t>分离”方法</w:t>
            </w:r>
            <w:r>
              <w:rPr>
                <w:color w:val="0000FF"/>
                <w:spacing w:val="-3"/>
                <w:sz w:val="21"/>
                <w:szCs w:val="21"/>
              </w:rPr>
              <w:t>实施招投标。</w:t>
            </w:r>
            <w:r>
              <w:rPr>
                <w:rFonts w:ascii="Calibri" w:hAnsi="Calibri" w:eastAsia="Calibri" w:cs="Calibri"/>
                <w:color w:val="0000FF"/>
                <w:spacing w:val="-3"/>
                <w:sz w:val="21"/>
                <w:szCs w:val="21"/>
              </w:rPr>
              <w:t>2</w:t>
            </w:r>
            <w:r>
              <w:rPr>
                <w:color w:val="0000FF"/>
                <w:spacing w:val="-3"/>
                <w:sz w:val="21"/>
                <w:szCs w:val="21"/>
              </w:rPr>
              <w:t>、推荐定标候选人：① 评标完成后，评标委员会应向招标人提交书面评标报告，按照详细评审</w:t>
            </w:r>
            <w:r>
              <w:rPr>
                <w:color w:val="0000FF"/>
                <w:sz w:val="21"/>
                <w:szCs w:val="21"/>
              </w:rPr>
              <w:t xml:space="preserve">最终得分由高到低的顺序向招标人推荐 </w:t>
            </w:r>
            <w:r>
              <w:rPr>
                <w:rFonts w:ascii="Calibri" w:hAnsi="Calibri" w:eastAsia="Calibri" w:cs="Calibri"/>
                <w:color w:val="0000FF"/>
                <w:sz w:val="21"/>
                <w:szCs w:val="21"/>
              </w:rPr>
              <w:t xml:space="preserve">3  </w:t>
            </w:r>
            <w:r>
              <w:rPr>
                <w:color w:val="0000FF"/>
                <w:sz w:val="21"/>
                <w:szCs w:val="21"/>
              </w:rPr>
              <w:t>家不标明顺序的定标候选人；② 若符合招标文件要求的定标</w:t>
            </w:r>
            <w:r>
              <w:rPr>
                <w:color w:val="0000FF"/>
                <w:spacing w:val="-1"/>
                <w:sz w:val="21"/>
                <w:szCs w:val="21"/>
              </w:rPr>
              <w:t>候选</w:t>
            </w:r>
            <w:r>
              <w:rPr>
                <w:color w:val="0000FF"/>
                <w:sz w:val="21"/>
                <w:szCs w:val="21"/>
              </w:rPr>
              <w:t xml:space="preserve">人数量不足 </w:t>
            </w:r>
            <w:r>
              <w:rPr>
                <w:rFonts w:ascii="Calibri" w:hAnsi="Calibri" w:eastAsia="Calibri" w:cs="Calibri"/>
                <w:color w:val="0000FF"/>
                <w:sz w:val="21"/>
                <w:szCs w:val="21"/>
              </w:rPr>
              <w:t xml:space="preserve">3  </w:t>
            </w:r>
            <w:r>
              <w:rPr>
                <w:color w:val="0000FF"/>
                <w:sz w:val="21"/>
                <w:szCs w:val="21"/>
              </w:rPr>
              <w:t>家时，由评标委员会作出是否具备竞争</w:t>
            </w:r>
            <w:r>
              <w:rPr>
                <w:color w:val="0000FF"/>
                <w:spacing w:val="-9"/>
                <w:sz w:val="21"/>
                <w:szCs w:val="21"/>
              </w:rPr>
              <w:t>性判定，如具备竞争性，可继续推荐定标候选人。否则，</w:t>
            </w:r>
            <w:r>
              <w:rPr>
                <w:color w:val="0000FF"/>
                <w:spacing w:val="-4"/>
                <w:sz w:val="21"/>
                <w:szCs w:val="21"/>
              </w:rPr>
              <w:t>招标人应重新招标；③ 在评标结果</w:t>
            </w:r>
            <w:r>
              <w:rPr>
                <w:rFonts w:ascii="Calibri" w:hAnsi="Calibri" w:eastAsia="Calibri" w:cs="Calibri"/>
                <w:color w:val="0000FF"/>
                <w:spacing w:val="-4"/>
                <w:sz w:val="21"/>
                <w:szCs w:val="21"/>
              </w:rPr>
              <w:t>(</w:t>
            </w:r>
            <w:r>
              <w:rPr>
                <w:color w:val="0000FF"/>
                <w:spacing w:val="-4"/>
                <w:sz w:val="21"/>
                <w:szCs w:val="21"/>
              </w:rPr>
              <w:t>定标候选人</w:t>
            </w:r>
            <w:r>
              <w:rPr>
                <w:rFonts w:ascii="Calibri" w:hAnsi="Calibri" w:eastAsia="Calibri" w:cs="Calibri"/>
                <w:color w:val="0000FF"/>
                <w:spacing w:val="-4"/>
                <w:sz w:val="21"/>
                <w:szCs w:val="21"/>
              </w:rPr>
              <w:t>)</w:t>
            </w:r>
            <w:r>
              <w:rPr>
                <w:color w:val="0000FF"/>
                <w:spacing w:val="-4"/>
                <w:sz w:val="21"/>
                <w:szCs w:val="21"/>
              </w:rPr>
              <w:t>公示期</w:t>
            </w:r>
            <w:r>
              <w:rPr>
                <w:color w:val="0000FF"/>
                <w:spacing w:val="-3"/>
                <w:sz w:val="21"/>
                <w:szCs w:val="21"/>
              </w:rPr>
              <w:t>间，定标候选人放弃中标或被查实存在违法违规行</w:t>
            </w:r>
            <w:r>
              <w:rPr>
                <w:color w:val="0000FF"/>
                <w:spacing w:val="-4"/>
                <w:sz w:val="21"/>
                <w:szCs w:val="21"/>
              </w:rPr>
              <w:t>为被</w:t>
            </w:r>
            <w:r>
              <w:rPr>
                <w:color w:val="0000FF"/>
                <w:sz w:val="21"/>
                <w:szCs w:val="21"/>
              </w:rPr>
              <w:t xml:space="preserve">取消定标候选人资格的，若剩余定标候选人小于 </w:t>
            </w:r>
            <w:r>
              <w:rPr>
                <w:rFonts w:ascii="Calibri" w:hAnsi="Calibri" w:eastAsia="Calibri" w:cs="Calibri"/>
                <w:color w:val="0000FF"/>
                <w:sz w:val="21"/>
                <w:szCs w:val="21"/>
              </w:rPr>
              <w:t xml:space="preserve">3  </w:t>
            </w:r>
            <w:r>
              <w:rPr>
                <w:color w:val="0000FF"/>
                <w:sz w:val="21"/>
                <w:szCs w:val="21"/>
              </w:rPr>
              <w:t>家</w:t>
            </w:r>
            <w:r>
              <w:rPr>
                <w:color w:val="0000FF"/>
                <w:spacing w:val="-12"/>
                <w:sz w:val="21"/>
                <w:szCs w:val="21"/>
              </w:rPr>
              <w:t>时，招标人可以继续定标，也可以重新招标。</w:t>
            </w:r>
            <w:r>
              <w:rPr>
                <w:rFonts w:ascii="Calibri" w:hAnsi="Calibri" w:eastAsia="Calibri" w:cs="Calibri"/>
                <w:color w:val="0000FF"/>
                <w:spacing w:val="-12"/>
                <w:sz w:val="21"/>
                <w:szCs w:val="21"/>
              </w:rPr>
              <w:t>3</w:t>
            </w:r>
            <w:r>
              <w:rPr>
                <w:color w:val="0000FF"/>
                <w:spacing w:val="-12"/>
                <w:sz w:val="21"/>
                <w:szCs w:val="21"/>
              </w:rPr>
              <w:t>、组建 定</w:t>
            </w:r>
            <w:r>
              <w:rPr>
                <w:color w:val="0000FF"/>
                <w:sz w:val="21"/>
                <w:szCs w:val="21"/>
              </w:rPr>
              <w:t>标委员会和定标监督小组：① 招标人组建的定标委员</w:t>
            </w:r>
            <w:r>
              <w:rPr>
                <w:color w:val="0000FF"/>
                <w:spacing w:val="-4"/>
                <w:sz w:val="21"/>
                <w:szCs w:val="21"/>
              </w:rPr>
              <w:t>会成员人数：</w:t>
            </w:r>
            <w:r>
              <w:rPr>
                <w:rFonts w:ascii="Calibri" w:hAnsi="Calibri" w:eastAsia="Calibri" w:cs="Calibri"/>
                <w:color w:val="0000FF"/>
                <w:spacing w:val="-4"/>
                <w:sz w:val="21"/>
                <w:szCs w:val="21"/>
              </w:rPr>
              <w:t xml:space="preserve">7  </w:t>
            </w:r>
            <w:r>
              <w:rPr>
                <w:color w:val="0000FF"/>
                <w:spacing w:val="-4"/>
                <w:sz w:val="21"/>
                <w:szCs w:val="21"/>
              </w:rPr>
              <w:t>人。（成员从招标人、项目业主或使用</w:t>
            </w:r>
            <w:r>
              <w:rPr>
                <w:color w:val="0000FF"/>
                <w:spacing w:val="-3"/>
                <w:sz w:val="21"/>
                <w:szCs w:val="21"/>
              </w:rPr>
              <w:t>单位的领导班子成员、经营管理人员、经济技术人员中</w:t>
            </w:r>
            <w:r>
              <w:rPr>
                <w:color w:val="0000FF"/>
                <w:spacing w:val="-7"/>
                <w:sz w:val="21"/>
                <w:szCs w:val="21"/>
              </w:rPr>
              <w:t>产生，还可以从招标人的上下级单位人员中增补）。 ②</w:t>
            </w:r>
            <w:r>
              <w:rPr>
                <w:color w:val="0000FF"/>
                <w:sz w:val="21"/>
                <w:szCs w:val="21"/>
              </w:rPr>
              <w:t xml:space="preserve">招标人组建由 </w:t>
            </w:r>
            <w:r>
              <w:rPr>
                <w:rFonts w:ascii="Calibri" w:hAnsi="Calibri" w:eastAsia="Calibri" w:cs="Calibri"/>
                <w:color w:val="0000FF"/>
                <w:sz w:val="21"/>
                <w:szCs w:val="21"/>
              </w:rPr>
              <w:t xml:space="preserve">3  </w:t>
            </w:r>
            <w:r>
              <w:rPr>
                <w:color w:val="0000FF"/>
                <w:sz w:val="21"/>
                <w:szCs w:val="21"/>
              </w:rPr>
              <w:t>人组成的定标监督小组。对定标过程</w:t>
            </w:r>
            <w:r>
              <w:rPr>
                <w:color w:val="0000FF"/>
                <w:spacing w:val="-3"/>
                <w:sz w:val="21"/>
                <w:szCs w:val="21"/>
              </w:rPr>
              <w:t>进行全程监督，发现异常情况及时提醒纠正，但不得就评标、定标涉及的实质内容发表意见或者参</w:t>
            </w:r>
            <w:r>
              <w:rPr>
                <w:color w:val="0000FF"/>
                <w:spacing w:val="-4"/>
                <w:sz w:val="21"/>
                <w:szCs w:val="21"/>
              </w:rPr>
              <w:t>与评标、定</w:t>
            </w:r>
            <w:r>
              <w:rPr>
                <w:color w:val="0000FF"/>
                <w:spacing w:val="-1"/>
                <w:sz w:val="21"/>
                <w:szCs w:val="21"/>
              </w:rPr>
              <w:t>标讨论。</w:t>
            </w:r>
            <w:r>
              <w:rPr>
                <w:rFonts w:ascii="Calibri" w:hAnsi="Calibri" w:eastAsia="Calibri" w:cs="Calibri"/>
                <w:color w:val="0000FF"/>
                <w:spacing w:val="-1"/>
                <w:sz w:val="21"/>
                <w:szCs w:val="21"/>
              </w:rPr>
              <w:t>4</w:t>
            </w:r>
            <w:r>
              <w:rPr>
                <w:color w:val="0000FF"/>
                <w:spacing w:val="-1"/>
                <w:sz w:val="21"/>
                <w:szCs w:val="21"/>
              </w:rPr>
              <w:t>、定标要素：①投标报价：按照招标文件规</w:t>
            </w:r>
            <w:r>
              <w:rPr>
                <w:color w:val="0000FF"/>
                <w:spacing w:val="-3"/>
                <w:sz w:val="21"/>
                <w:szCs w:val="21"/>
              </w:rPr>
              <w:t>定的报价竞争方法，重点关注报价合理性分析。②企业</w:t>
            </w:r>
            <w:r>
              <w:rPr>
                <w:color w:val="0000FF"/>
                <w:spacing w:val="-13"/>
                <w:sz w:val="21"/>
                <w:szCs w:val="21"/>
              </w:rPr>
              <w:t>实力（近</w:t>
            </w:r>
            <w:r>
              <w:rPr>
                <w:color w:val="0000FF"/>
                <w:spacing w:val="19"/>
                <w:sz w:val="21"/>
                <w:szCs w:val="21"/>
              </w:rPr>
              <w:t xml:space="preserve"> </w:t>
            </w:r>
            <w:r>
              <w:rPr>
                <w:rFonts w:ascii="Calibri" w:hAnsi="Calibri" w:eastAsia="Calibri" w:cs="Calibri"/>
                <w:color w:val="0000FF"/>
                <w:spacing w:val="-13"/>
                <w:sz w:val="21"/>
                <w:szCs w:val="21"/>
              </w:rPr>
              <w:t>3</w:t>
            </w:r>
            <w:r>
              <w:rPr>
                <w:rFonts w:ascii="Calibri" w:hAnsi="Calibri" w:eastAsia="Calibri" w:cs="Calibri"/>
                <w:color w:val="0000FF"/>
                <w:spacing w:val="9"/>
                <w:sz w:val="21"/>
                <w:szCs w:val="21"/>
              </w:rPr>
              <w:t xml:space="preserve">  </w:t>
            </w:r>
            <w:r>
              <w:rPr>
                <w:color w:val="0000FF"/>
                <w:spacing w:val="-13"/>
                <w:sz w:val="21"/>
                <w:szCs w:val="21"/>
              </w:rPr>
              <w:t>年</w:t>
            </w:r>
            <w:r>
              <w:rPr>
                <w:color w:val="0000FF"/>
                <w:spacing w:val="-31"/>
                <w:sz w:val="21"/>
                <w:szCs w:val="21"/>
              </w:rPr>
              <w:t>）：</w:t>
            </w:r>
            <w:r>
              <w:rPr>
                <w:color w:val="0000FF"/>
                <w:spacing w:val="-13"/>
                <w:sz w:val="21"/>
                <w:szCs w:val="21"/>
              </w:rPr>
              <w:t>财务状况（净资产、流动资金、项</w:t>
            </w:r>
            <w:r>
              <w:rPr>
                <w:color w:val="0000FF"/>
                <w:spacing w:val="48"/>
                <w:sz w:val="21"/>
                <w:szCs w:val="21"/>
              </w:rPr>
              <w:t xml:space="preserve"> </w:t>
            </w:r>
            <w:r>
              <w:rPr>
                <w:color w:val="0000FF"/>
                <w:spacing w:val="-13"/>
                <w:sz w:val="21"/>
                <w:szCs w:val="21"/>
              </w:rPr>
              <w:t>目</w:t>
            </w:r>
            <w:r>
              <w:rPr>
                <w:color w:val="0000FF"/>
                <w:spacing w:val="-8"/>
                <w:sz w:val="21"/>
                <w:szCs w:val="21"/>
              </w:rPr>
              <w:t xml:space="preserve">资金保障）等。③企业信誉（近 </w:t>
            </w:r>
            <w:r>
              <w:rPr>
                <w:rFonts w:ascii="Calibri" w:hAnsi="Calibri" w:eastAsia="Calibri" w:cs="Calibri"/>
                <w:color w:val="0000FF"/>
                <w:spacing w:val="-8"/>
                <w:sz w:val="21"/>
                <w:szCs w:val="21"/>
              </w:rPr>
              <w:t>3</w:t>
            </w:r>
            <w:r>
              <w:rPr>
                <w:rFonts w:ascii="Calibri" w:hAnsi="Calibri" w:eastAsia="Calibri" w:cs="Calibri"/>
                <w:color w:val="0000FF"/>
                <w:spacing w:val="9"/>
                <w:sz w:val="21"/>
                <w:szCs w:val="21"/>
              </w:rPr>
              <w:t xml:space="preserve">  </w:t>
            </w:r>
            <w:r>
              <w:rPr>
                <w:color w:val="0000FF"/>
                <w:spacing w:val="-8"/>
                <w:sz w:val="21"/>
                <w:szCs w:val="21"/>
              </w:rPr>
              <w:t>年</w:t>
            </w:r>
            <w:r>
              <w:rPr>
                <w:color w:val="0000FF"/>
                <w:spacing w:val="-31"/>
                <w:sz w:val="21"/>
                <w:szCs w:val="21"/>
              </w:rPr>
              <w:t>）：</w:t>
            </w:r>
            <w:r>
              <w:rPr>
                <w:color w:val="0000FF"/>
                <w:spacing w:val="-8"/>
                <w:sz w:val="21"/>
                <w:szCs w:val="21"/>
              </w:rPr>
              <w:t>履约情况</w:t>
            </w:r>
            <w:r>
              <w:rPr>
                <w:color w:val="0000FF"/>
                <w:spacing w:val="-43"/>
                <w:sz w:val="21"/>
                <w:szCs w:val="21"/>
              </w:rPr>
              <w:t xml:space="preserve"> </w:t>
            </w:r>
            <w:r>
              <w:rPr>
                <w:color w:val="0000FF"/>
                <w:spacing w:val="-8"/>
                <w:sz w:val="21"/>
                <w:szCs w:val="21"/>
              </w:rPr>
              <w:t>（过</w:t>
            </w:r>
            <w:r>
              <w:rPr>
                <w:color w:val="0000FF"/>
                <w:spacing w:val="-3"/>
                <w:sz w:val="21"/>
                <w:szCs w:val="21"/>
              </w:rPr>
              <w:t>往项目班组成员到岗情况、履约记录、建设单位履约评价）等。④其他：招标人认为其他必要的定标要素</w:t>
            </w:r>
            <w:r>
              <w:rPr>
                <w:color w:val="0000FF"/>
                <w:spacing w:val="-4"/>
                <w:sz w:val="21"/>
                <w:szCs w:val="21"/>
              </w:rPr>
              <w:t>（如</w:t>
            </w:r>
            <w:r>
              <w:rPr>
                <w:color w:val="0000FF"/>
                <w:spacing w:val="-7"/>
                <w:sz w:val="21"/>
                <w:szCs w:val="21"/>
              </w:rPr>
              <w:t>质量安全保证措施、评标报告等）。</w:t>
            </w:r>
            <w:r>
              <w:rPr>
                <w:rFonts w:ascii="Calibri" w:hAnsi="Calibri" w:eastAsia="Calibri" w:cs="Calibri"/>
                <w:color w:val="0000FF"/>
                <w:spacing w:val="-7"/>
                <w:sz w:val="21"/>
                <w:szCs w:val="21"/>
              </w:rPr>
              <w:t>5</w:t>
            </w:r>
            <w:r>
              <w:rPr>
                <w:color w:val="0000FF"/>
                <w:spacing w:val="-7"/>
                <w:sz w:val="21"/>
                <w:szCs w:val="21"/>
              </w:rPr>
              <w:t>、定标办法：票决</w:t>
            </w:r>
            <w:r>
              <w:rPr>
                <w:color w:val="0000FF"/>
                <w:spacing w:val="-1"/>
                <w:sz w:val="21"/>
                <w:szCs w:val="21"/>
              </w:rPr>
              <w:t>数量法。定标委员会成员对定标候选人进行记名投票，</w:t>
            </w:r>
            <w:r>
              <w:rPr>
                <w:color w:val="0000FF"/>
                <w:spacing w:val="-7"/>
                <w:sz w:val="21"/>
                <w:szCs w:val="21"/>
              </w:rPr>
              <w:t>得票最高的即为中标人。当最高得票相同时， 对得票最</w:t>
            </w:r>
            <w:r>
              <w:rPr>
                <w:color w:val="0000FF"/>
                <w:spacing w:val="-1"/>
                <w:sz w:val="21"/>
                <w:szCs w:val="21"/>
              </w:rPr>
              <w:t>高的中标候选人再次进行记名投票，直至选出中标</w:t>
            </w:r>
            <w:r>
              <w:rPr>
                <w:color w:val="0000FF"/>
                <w:spacing w:val="-2"/>
                <w:sz w:val="21"/>
                <w:szCs w:val="21"/>
              </w:rPr>
              <w:t>人。</w:t>
            </w:r>
          </w:p>
        </w:tc>
      </w:tr>
    </w:tbl>
    <w:p w14:paraId="73CEB898">
      <w:pPr>
        <w:pStyle w:val="2"/>
        <w:spacing w:line="248" w:lineRule="auto"/>
      </w:pPr>
    </w:p>
    <w:p w14:paraId="72045D82">
      <w:pPr>
        <w:pStyle w:val="2"/>
        <w:spacing w:line="248" w:lineRule="auto"/>
      </w:pPr>
    </w:p>
    <w:p w14:paraId="1C6FFD33">
      <w:pPr>
        <w:pStyle w:val="2"/>
        <w:spacing w:line="248" w:lineRule="auto"/>
      </w:pPr>
    </w:p>
    <w:p w14:paraId="041B7D82">
      <w:pPr>
        <w:pStyle w:val="2"/>
        <w:spacing w:line="249" w:lineRule="auto"/>
      </w:pPr>
    </w:p>
    <w:p w14:paraId="39561E3D">
      <w:pPr>
        <w:pStyle w:val="2"/>
        <w:spacing w:line="249" w:lineRule="auto"/>
      </w:pPr>
    </w:p>
    <w:p w14:paraId="7FFC0FC7">
      <w:pPr>
        <w:spacing w:before="101" w:line="221" w:lineRule="auto"/>
        <w:ind w:left="25"/>
        <w:outlineLvl w:val="1"/>
        <w:rPr>
          <w:rFonts w:ascii="黑体" w:hAnsi="黑体" w:eastAsia="黑体" w:cs="黑体"/>
          <w:sz w:val="31"/>
          <w:szCs w:val="31"/>
        </w:rPr>
      </w:pPr>
      <w:bookmarkStart w:id="5" w:name="bookmark5"/>
      <w:bookmarkEnd w:id="5"/>
      <w:bookmarkStart w:id="6" w:name="bookmark6"/>
      <w:bookmarkEnd w:id="6"/>
      <w:r>
        <w:rPr>
          <w:rFonts w:ascii="黑体" w:hAnsi="黑体" w:eastAsia="黑体" w:cs="黑体"/>
          <w:b/>
          <w:bCs/>
          <w:spacing w:val="11"/>
          <w:sz w:val="31"/>
          <w:szCs w:val="31"/>
        </w:rPr>
        <w:t>投标人须知正文部分</w:t>
      </w:r>
    </w:p>
    <w:p w14:paraId="3BF493F2">
      <w:pPr>
        <w:pStyle w:val="2"/>
        <w:spacing w:line="415" w:lineRule="auto"/>
      </w:pPr>
    </w:p>
    <w:p w14:paraId="78147528">
      <w:pPr>
        <w:spacing w:before="91" w:line="369" w:lineRule="exact"/>
        <w:ind w:left="40"/>
        <w:outlineLvl w:val="2"/>
        <w:rPr>
          <w:rFonts w:ascii="黑体" w:hAnsi="黑体" w:eastAsia="黑体" w:cs="黑体"/>
          <w:sz w:val="28"/>
          <w:szCs w:val="28"/>
        </w:rPr>
      </w:pPr>
      <w:bookmarkStart w:id="7" w:name="bookmark625"/>
      <w:bookmarkEnd w:id="7"/>
      <w:r>
        <w:rPr>
          <w:rFonts w:ascii="Calibri" w:hAnsi="Calibri" w:eastAsia="Calibri" w:cs="Calibri"/>
          <w:spacing w:val="-2"/>
          <w:position w:val="1"/>
          <w:sz w:val="28"/>
          <w:szCs w:val="28"/>
        </w:rPr>
        <w:t>1.</w:t>
      </w:r>
      <w:r>
        <w:rPr>
          <w:rFonts w:ascii="Calibri" w:hAnsi="Calibri" w:eastAsia="Calibri" w:cs="Calibri"/>
          <w:spacing w:val="15"/>
          <w:position w:val="1"/>
          <w:sz w:val="28"/>
          <w:szCs w:val="28"/>
        </w:rPr>
        <w:t xml:space="preserve">  </w:t>
      </w:r>
      <w:r>
        <w:rPr>
          <w:rFonts w:ascii="黑体" w:hAnsi="黑体" w:eastAsia="黑体" w:cs="黑体"/>
          <w:spacing w:val="-2"/>
          <w:position w:val="1"/>
          <w:sz w:val="28"/>
          <w:szCs w:val="28"/>
        </w:rPr>
        <w:t>总则</w:t>
      </w:r>
    </w:p>
    <w:p w14:paraId="73D5033D">
      <w:pPr>
        <w:pStyle w:val="2"/>
        <w:spacing w:line="454" w:lineRule="auto"/>
      </w:pPr>
    </w:p>
    <w:p w14:paraId="7ECC8A59">
      <w:pPr>
        <w:spacing w:before="91" w:line="242" w:lineRule="auto"/>
        <w:ind w:left="40"/>
        <w:outlineLvl w:val="3"/>
        <w:rPr>
          <w:rFonts w:ascii="黑体" w:hAnsi="黑体" w:eastAsia="黑体" w:cs="黑体"/>
          <w:sz w:val="28"/>
          <w:szCs w:val="28"/>
        </w:rPr>
      </w:pPr>
      <w:r>
        <w:rPr>
          <w:rFonts w:ascii="Calibri" w:hAnsi="Calibri" w:eastAsia="Calibri" w:cs="Calibri"/>
          <w:spacing w:val="4"/>
          <w:sz w:val="28"/>
          <w:szCs w:val="28"/>
        </w:rPr>
        <w:t xml:space="preserve">1.1  </w:t>
      </w:r>
      <w:r>
        <w:rPr>
          <w:rFonts w:ascii="黑体" w:hAnsi="黑体" w:eastAsia="黑体" w:cs="黑体"/>
          <w:spacing w:val="4"/>
          <w:sz w:val="28"/>
          <w:szCs w:val="28"/>
        </w:rPr>
        <w:t>项目概况</w:t>
      </w:r>
    </w:p>
    <w:p w14:paraId="4BE54136">
      <w:pPr>
        <w:spacing w:line="242" w:lineRule="auto"/>
        <w:rPr>
          <w:rFonts w:ascii="黑体" w:hAnsi="黑体" w:eastAsia="黑体" w:cs="黑体"/>
          <w:sz w:val="28"/>
          <w:szCs w:val="28"/>
        </w:rPr>
        <w:sectPr>
          <w:footerReference r:id="rId32" w:type="default"/>
          <w:pgSz w:w="11910" w:h="16845"/>
          <w:pgMar w:top="1431" w:right="1786" w:bottom="1065" w:left="1786" w:header="0" w:footer="837" w:gutter="0"/>
          <w:cols w:space="720" w:num="1"/>
        </w:sectPr>
      </w:pPr>
    </w:p>
    <w:p w14:paraId="15EE1C55">
      <w:pPr>
        <w:spacing w:before="53" w:line="269" w:lineRule="auto"/>
        <w:ind w:left="64" w:right="8" w:firstLine="390"/>
        <w:rPr>
          <w:rFonts w:ascii="宋体" w:hAnsi="宋体" w:eastAsia="宋体" w:cs="宋体"/>
          <w:sz w:val="21"/>
          <w:szCs w:val="21"/>
        </w:rPr>
      </w:pPr>
      <w:r>
        <w:rPr>
          <w:rFonts w:ascii="Calibri" w:hAnsi="Calibri" w:eastAsia="Calibri" w:cs="Calibri"/>
          <w:sz w:val="21"/>
          <w:szCs w:val="21"/>
        </w:rPr>
        <w:t xml:space="preserve">1.1.1  </w:t>
      </w:r>
      <w:r>
        <w:rPr>
          <w:rFonts w:ascii="宋体" w:hAnsi="宋体" w:eastAsia="宋体" w:cs="宋体"/>
          <w:sz w:val="21"/>
          <w:szCs w:val="21"/>
        </w:rPr>
        <w:t>根据《中华人民共和国招标投标法》等有关法律、法规和规章的规定，本招标项</w:t>
      </w:r>
      <w:r>
        <w:rPr>
          <w:rFonts w:ascii="宋体" w:hAnsi="宋体" w:eastAsia="宋体" w:cs="宋体"/>
          <w:spacing w:val="-4"/>
          <w:sz w:val="21"/>
          <w:szCs w:val="21"/>
        </w:rPr>
        <w:t>目已具备招标条件，现对本标段施工进行招标。</w:t>
      </w:r>
    </w:p>
    <w:p w14:paraId="0468553B">
      <w:pPr>
        <w:spacing w:before="19" w:line="239" w:lineRule="auto"/>
        <w:ind w:left="454"/>
        <w:rPr>
          <w:rFonts w:ascii="宋体" w:hAnsi="宋体" w:eastAsia="宋体" w:cs="宋体"/>
          <w:sz w:val="21"/>
          <w:szCs w:val="21"/>
        </w:rPr>
      </w:pPr>
      <w:r>
        <w:rPr>
          <w:rFonts w:ascii="Calibri" w:hAnsi="Calibri" w:eastAsia="Calibri" w:cs="Calibri"/>
          <w:spacing w:val="-2"/>
          <w:sz w:val="21"/>
          <w:szCs w:val="21"/>
        </w:rPr>
        <w:t xml:space="preserve">1.1.2  </w:t>
      </w:r>
      <w:r>
        <w:rPr>
          <w:rFonts w:ascii="宋体" w:hAnsi="宋体" w:eastAsia="宋体" w:cs="宋体"/>
          <w:spacing w:val="-2"/>
          <w:sz w:val="21"/>
          <w:szCs w:val="21"/>
        </w:rPr>
        <w:t>本招标项目招标人：见投标人须知前附表。</w:t>
      </w:r>
    </w:p>
    <w:p w14:paraId="3D1139BE">
      <w:pPr>
        <w:spacing w:before="28" w:line="239" w:lineRule="auto"/>
        <w:ind w:left="454"/>
        <w:rPr>
          <w:rFonts w:ascii="宋体" w:hAnsi="宋体" w:eastAsia="宋体" w:cs="宋体"/>
          <w:sz w:val="21"/>
          <w:szCs w:val="21"/>
        </w:rPr>
      </w:pPr>
      <w:r>
        <w:rPr>
          <w:rFonts w:ascii="Calibri" w:hAnsi="Calibri" w:eastAsia="Calibri" w:cs="Calibri"/>
          <w:spacing w:val="-1"/>
          <w:sz w:val="21"/>
          <w:szCs w:val="21"/>
        </w:rPr>
        <w:t xml:space="preserve">1.1.3  </w:t>
      </w:r>
      <w:r>
        <w:rPr>
          <w:rFonts w:ascii="宋体" w:hAnsi="宋体" w:eastAsia="宋体" w:cs="宋体"/>
          <w:spacing w:val="-1"/>
          <w:sz w:val="21"/>
          <w:szCs w:val="21"/>
        </w:rPr>
        <w:t>本标段招标代理机构：见投标人</w:t>
      </w:r>
      <w:r>
        <w:rPr>
          <w:rFonts w:ascii="宋体" w:hAnsi="宋体" w:eastAsia="宋体" w:cs="宋体"/>
          <w:spacing w:val="-2"/>
          <w:sz w:val="21"/>
          <w:szCs w:val="21"/>
        </w:rPr>
        <w:t>须知前附表。</w:t>
      </w:r>
    </w:p>
    <w:p w14:paraId="7062B2B8">
      <w:pPr>
        <w:spacing w:before="43" w:line="239" w:lineRule="auto"/>
        <w:ind w:left="454"/>
        <w:rPr>
          <w:rFonts w:ascii="宋体" w:hAnsi="宋体" w:eastAsia="宋体" w:cs="宋体"/>
          <w:sz w:val="21"/>
          <w:szCs w:val="21"/>
        </w:rPr>
      </w:pPr>
      <w:r>
        <w:rPr>
          <w:rFonts w:ascii="Calibri" w:hAnsi="Calibri" w:eastAsia="Calibri" w:cs="Calibri"/>
          <w:spacing w:val="-2"/>
          <w:sz w:val="21"/>
          <w:szCs w:val="21"/>
        </w:rPr>
        <w:t xml:space="preserve">1.1.4  </w:t>
      </w:r>
      <w:r>
        <w:rPr>
          <w:rFonts w:ascii="宋体" w:hAnsi="宋体" w:eastAsia="宋体" w:cs="宋体"/>
          <w:spacing w:val="-2"/>
          <w:sz w:val="21"/>
          <w:szCs w:val="21"/>
        </w:rPr>
        <w:t>本招标项目名称：见投标人须知前附表。</w:t>
      </w:r>
    </w:p>
    <w:p w14:paraId="0EEEAD86">
      <w:pPr>
        <w:spacing w:before="43" w:line="239" w:lineRule="auto"/>
        <w:ind w:left="454"/>
        <w:rPr>
          <w:rFonts w:ascii="宋体" w:hAnsi="宋体" w:eastAsia="宋体" w:cs="宋体"/>
          <w:sz w:val="21"/>
          <w:szCs w:val="21"/>
        </w:rPr>
      </w:pPr>
      <w:r>
        <w:rPr>
          <w:rFonts w:ascii="Calibri" w:hAnsi="Calibri" w:eastAsia="Calibri" w:cs="Calibri"/>
          <w:spacing w:val="-2"/>
          <w:sz w:val="21"/>
          <w:szCs w:val="21"/>
        </w:rPr>
        <w:t xml:space="preserve">1.1.5  </w:t>
      </w:r>
      <w:r>
        <w:rPr>
          <w:rFonts w:ascii="宋体" w:hAnsi="宋体" w:eastAsia="宋体" w:cs="宋体"/>
          <w:spacing w:val="-2"/>
          <w:sz w:val="21"/>
          <w:szCs w:val="21"/>
        </w:rPr>
        <w:t>本标段建设地点：见投标人须知前附表。</w:t>
      </w:r>
    </w:p>
    <w:p w14:paraId="39827827">
      <w:pPr>
        <w:spacing w:before="43" w:line="239" w:lineRule="auto"/>
        <w:ind w:left="454"/>
        <w:rPr>
          <w:rFonts w:ascii="宋体" w:hAnsi="宋体" w:eastAsia="宋体" w:cs="宋体"/>
          <w:sz w:val="21"/>
          <w:szCs w:val="21"/>
        </w:rPr>
      </w:pPr>
      <w:r>
        <w:rPr>
          <w:rFonts w:ascii="Calibri" w:hAnsi="Calibri" w:eastAsia="Calibri" w:cs="Calibri"/>
          <w:spacing w:val="-2"/>
          <w:sz w:val="21"/>
          <w:szCs w:val="21"/>
        </w:rPr>
        <w:t xml:space="preserve">1.1.6  </w:t>
      </w:r>
      <w:r>
        <w:rPr>
          <w:rFonts w:ascii="宋体" w:hAnsi="宋体" w:eastAsia="宋体" w:cs="宋体"/>
          <w:spacing w:val="-2"/>
          <w:sz w:val="21"/>
          <w:szCs w:val="21"/>
        </w:rPr>
        <w:t>本标段设计人：见申请人须知前附表。</w:t>
      </w:r>
    </w:p>
    <w:p w14:paraId="53ED5743">
      <w:pPr>
        <w:spacing w:before="43" w:line="239" w:lineRule="auto"/>
        <w:ind w:left="454"/>
        <w:rPr>
          <w:rFonts w:ascii="宋体" w:hAnsi="宋体" w:eastAsia="宋体" w:cs="宋体"/>
          <w:sz w:val="21"/>
          <w:szCs w:val="21"/>
        </w:rPr>
      </w:pPr>
      <w:r>
        <w:rPr>
          <w:rFonts w:ascii="Calibri" w:hAnsi="Calibri" w:eastAsia="Calibri" w:cs="Calibri"/>
          <w:spacing w:val="-2"/>
          <w:sz w:val="21"/>
          <w:szCs w:val="21"/>
        </w:rPr>
        <w:t xml:space="preserve">1.1.7  </w:t>
      </w:r>
      <w:r>
        <w:rPr>
          <w:rFonts w:ascii="宋体" w:hAnsi="宋体" w:eastAsia="宋体" w:cs="宋体"/>
          <w:spacing w:val="-2"/>
          <w:sz w:val="21"/>
          <w:szCs w:val="21"/>
        </w:rPr>
        <w:t>本标段监理人：见申请人须知前附表。</w:t>
      </w:r>
    </w:p>
    <w:p w14:paraId="27991D3D">
      <w:pPr>
        <w:spacing w:before="29" w:line="239" w:lineRule="auto"/>
        <w:ind w:left="454"/>
        <w:rPr>
          <w:rFonts w:ascii="宋体" w:hAnsi="宋体" w:eastAsia="宋体" w:cs="宋体"/>
          <w:sz w:val="21"/>
          <w:szCs w:val="21"/>
        </w:rPr>
      </w:pPr>
      <w:r>
        <w:rPr>
          <w:rFonts w:ascii="Calibri" w:hAnsi="Calibri" w:eastAsia="Calibri" w:cs="Calibri"/>
          <w:spacing w:val="-2"/>
          <w:sz w:val="21"/>
          <w:szCs w:val="21"/>
        </w:rPr>
        <w:t xml:space="preserve">1.1.8  </w:t>
      </w:r>
      <w:r>
        <w:rPr>
          <w:rFonts w:ascii="宋体" w:hAnsi="宋体" w:eastAsia="宋体" w:cs="宋体"/>
          <w:spacing w:val="-2"/>
          <w:sz w:val="21"/>
          <w:szCs w:val="21"/>
        </w:rPr>
        <w:t>本标段代建人：见申请人须知前附表。</w:t>
      </w:r>
    </w:p>
    <w:p w14:paraId="7CF1F150">
      <w:pPr>
        <w:pStyle w:val="2"/>
        <w:spacing w:line="350" w:lineRule="auto"/>
      </w:pPr>
    </w:p>
    <w:p w14:paraId="34C0D559">
      <w:pPr>
        <w:spacing w:before="92" w:line="242" w:lineRule="auto"/>
        <w:ind w:left="40"/>
        <w:outlineLvl w:val="3"/>
        <w:rPr>
          <w:rFonts w:ascii="黑体" w:hAnsi="黑体" w:eastAsia="黑体" w:cs="黑体"/>
          <w:sz w:val="28"/>
          <w:szCs w:val="28"/>
        </w:rPr>
      </w:pPr>
      <w:r>
        <w:rPr>
          <w:rFonts w:ascii="Calibri" w:hAnsi="Calibri" w:eastAsia="Calibri" w:cs="Calibri"/>
          <w:spacing w:val="3"/>
          <w:sz w:val="28"/>
          <w:szCs w:val="28"/>
        </w:rPr>
        <w:t xml:space="preserve">1.2  </w:t>
      </w:r>
      <w:r>
        <w:rPr>
          <w:rFonts w:ascii="黑体" w:hAnsi="黑体" w:eastAsia="黑体" w:cs="黑体"/>
          <w:spacing w:val="3"/>
          <w:sz w:val="28"/>
          <w:szCs w:val="28"/>
        </w:rPr>
        <w:t>资金来源和落实情况</w:t>
      </w:r>
    </w:p>
    <w:p w14:paraId="7BE3B50F">
      <w:pPr>
        <w:pStyle w:val="2"/>
        <w:spacing w:line="362" w:lineRule="auto"/>
      </w:pPr>
    </w:p>
    <w:p w14:paraId="11EB37C8">
      <w:pPr>
        <w:spacing w:before="69" w:line="239" w:lineRule="auto"/>
        <w:ind w:left="454"/>
        <w:rPr>
          <w:rFonts w:ascii="宋体" w:hAnsi="宋体" w:eastAsia="宋体" w:cs="宋体"/>
          <w:sz w:val="21"/>
          <w:szCs w:val="21"/>
        </w:rPr>
      </w:pPr>
      <w:r>
        <w:rPr>
          <w:rFonts w:ascii="Calibri" w:hAnsi="Calibri" w:eastAsia="Calibri" w:cs="Calibri"/>
          <w:spacing w:val="-1"/>
          <w:sz w:val="21"/>
          <w:szCs w:val="21"/>
        </w:rPr>
        <w:t xml:space="preserve">1.2.1  </w:t>
      </w:r>
      <w:r>
        <w:rPr>
          <w:rFonts w:ascii="宋体" w:hAnsi="宋体" w:eastAsia="宋体" w:cs="宋体"/>
          <w:spacing w:val="-1"/>
          <w:sz w:val="21"/>
          <w:szCs w:val="21"/>
        </w:rPr>
        <w:t>本招标项目的资金来源：见投标人须</w:t>
      </w:r>
      <w:r>
        <w:rPr>
          <w:rFonts w:ascii="宋体" w:hAnsi="宋体" w:eastAsia="宋体" w:cs="宋体"/>
          <w:spacing w:val="-2"/>
          <w:sz w:val="21"/>
          <w:szCs w:val="21"/>
        </w:rPr>
        <w:t>知前附表。</w:t>
      </w:r>
    </w:p>
    <w:p w14:paraId="2777D698">
      <w:pPr>
        <w:spacing w:before="43" w:line="239" w:lineRule="auto"/>
        <w:ind w:left="454"/>
        <w:rPr>
          <w:rFonts w:ascii="宋体" w:hAnsi="宋体" w:eastAsia="宋体" w:cs="宋体"/>
          <w:sz w:val="21"/>
          <w:szCs w:val="21"/>
        </w:rPr>
      </w:pPr>
      <w:r>
        <w:rPr>
          <w:rFonts w:ascii="Calibri" w:hAnsi="Calibri" w:eastAsia="Calibri" w:cs="Calibri"/>
          <w:spacing w:val="-1"/>
          <w:sz w:val="21"/>
          <w:szCs w:val="21"/>
        </w:rPr>
        <w:t xml:space="preserve">1.2.2  </w:t>
      </w:r>
      <w:r>
        <w:rPr>
          <w:rFonts w:ascii="宋体" w:hAnsi="宋体" w:eastAsia="宋体" w:cs="宋体"/>
          <w:spacing w:val="-1"/>
          <w:sz w:val="21"/>
          <w:szCs w:val="21"/>
        </w:rPr>
        <w:t>本招标项目的出资比例：见投标人须</w:t>
      </w:r>
      <w:r>
        <w:rPr>
          <w:rFonts w:ascii="宋体" w:hAnsi="宋体" w:eastAsia="宋体" w:cs="宋体"/>
          <w:spacing w:val="-2"/>
          <w:sz w:val="21"/>
          <w:szCs w:val="21"/>
        </w:rPr>
        <w:t>知前附表。</w:t>
      </w:r>
    </w:p>
    <w:p w14:paraId="22E318BA">
      <w:pPr>
        <w:spacing w:before="29" w:line="239" w:lineRule="auto"/>
        <w:ind w:left="454"/>
        <w:rPr>
          <w:rFonts w:ascii="宋体" w:hAnsi="宋体" w:eastAsia="宋体" w:cs="宋体"/>
          <w:sz w:val="21"/>
          <w:szCs w:val="21"/>
        </w:rPr>
      </w:pPr>
      <w:r>
        <w:rPr>
          <w:rFonts w:ascii="Calibri" w:hAnsi="Calibri" w:eastAsia="Calibri" w:cs="Calibri"/>
          <w:spacing w:val="-1"/>
          <w:sz w:val="21"/>
          <w:szCs w:val="21"/>
        </w:rPr>
        <w:t xml:space="preserve">1.2.3  </w:t>
      </w:r>
      <w:r>
        <w:rPr>
          <w:rFonts w:ascii="宋体" w:hAnsi="宋体" w:eastAsia="宋体" w:cs="宋体"/>
          <w:spacing w:val="-1"/>
          <w:sz w:val="21"/>
          <w:szCs w:val="21"/>
        </w:rPr>
        <w:t>本招标项目的资金落实情况：见投标人须知前附</w:t>
      </w:r>
      <w:r>
        <w:rPr>
          <w:rFonts w:ascii="宋体" w:hAnsi="宋体" w:eastAsia="宋体" w:cs="宋体"/>
          <w:spacing w:val="-2"/>
          <w:sz w:val="21"/>
          <w:szCs w:val="21"/>
        </w:rPr>
        <w:t>表。</w:t>
      </w:r>
    </w:p>
    <w:p w14:paraId="2DE28908">
      <w:pPr>
        <w:spacing w:before="43" w:line="239" w:lineRule="auto"/>
        <w:ind w:left="454"/>
        <w:rPr>
          <w:rFonts w:ascii="宋体" w:hAnsi="宋体" w:eastAsia="宋体" w:cs="宋体"/>
          <w:sz w:val="21"/>
          <w:szCs w:val="21"/>
        </w:rPr>
      </w:pPr>
      <w:r>
        <w:rPr>
          <w:rFonts w:ascii="Calibri" w:hAnsi="Calibri" w:eastAsia="Calibri" w:cs="Calibri"/>
          <w:spacing w:val="-2"/>
          <w:sz w:val="21"/>
          <w:szCs w:val="21"/>
        </w:rPr>
        <w:t xml:space="preserve">1.2.4  </w:t>
      </w:r>
      <w:r>
        <w:rPr>
          <w:rFonts w:ascii="宋体" w:hAnsi="宋体" w:eastAsia="宋体" w:cs="宋体"/>
          <w:spacing w:val="-2"/>
          <w:sz w:val="21"/>
          <w:szCs w:val="21"/>
        </w:rPr>
        <w:t>本招标项目性质：见投标人须知前附表。</w:t>
      </w:r>
    </w:p>
    <w:p w14:paraId="6E94FCF3">
      <w:pPr>
        <w:pStyle w:val="2"/>
        <w:spacing w:line="332" w:lineRule="auto"/>
      </w:pPr>
    </w:p>
    <w:p w14:paraId="483CFF47">
      <w:pPr>
        <w:pStyle w:val="2"/>
        <w:spacing w:line="332" w:lineRule="auto"/>
      </w:pPr>
    </w:p>
    <w:p w14:paraId="4CB3C55F">
      <w:pPr>
        <w:spacing w:before="91" w:line="370" w:lineRule="exact"/>
        <w:ind w:left="40"/>
        <w:outlineLvl w:val="3"/>
        <w:rPr>
          <w:rFonts w:ascii="黑体" w:hAnsi="黑体" w:eastAsia="黑体" w:cs="黑体"/>
          <w:sz w:val="28"/>
          <w:szCs w:val="28"/>
        </w:rPr>
      </w:pPr>
      <w:r>
        <w:rPr>
          <w:rFonts w:ascii="Calibri" w:hAnsi="Calibri" w:eastAsia="Calibri" w:cs="Calibri"/>
          <w:spacing w:val="2"/>
          <w:position w:val="1"/>
          <w:sz w:val="28"/>
          <w:szCs w:val="28"/>
        </w:rPr>
        <w:t xml:space="preserve">1.3  </w:t>
      </w:r>
      <w:r>
        <w:rPr>
          <w:rFonts w:ascii="黑体" w:hAnsi="黑体" w:eastAsia="黑体" w:cs="黑体"/>
          <w:spacing w:val="2"/>
          <w:position w:val="1"/>
          <w:sz w:val="28"/>
          <w:szCs w:val="28"/>
        </w:rPr>
        <w:t>招标范围、计划工期和质量要求</w:t>
      </w:r>
    </w:p>
    <w:p w14:paraId="684D6DB6">
      <w:pPr>
        <w:pStyle w:val="2"/>
        <w:spacing w:line="345" w:lineRule="auto"/>
      </w:pPr>
    </w:p>
    <w:p w14:paraId="358430F1">
      <w:pPr>
        <w:spacing w:before="68" w:line="239" w:lineRule="auto"/>
        <w:ind w:left="454"/>
        <w:rPr>
          <w:rFonts w:ascii="宋体" w:hAnsi="宋体" w:eastAsia="宋体" w:cs="宋体"/>
          <w:sz w:val="21"/>
          <w:szCs w:val="21"/>
        </w:rPr>
      </w:pPr>
      <w:r>
        <w:rPr>
          <w:rFonts w:ascii="Calibri" w:hAnsi="Calibri" w:eastAsia="Calibri" w:cs="Calibri"/>
          <w:spacing w:val="-2"/>
          <w:sz w:val="21"/>
          <w:szCs w:val="21"/>
        </w:rPr>
        <w:t xml:space="preserve">1.3.1  </w:t>
      </w:r>
      <w:r>
        <w:rPr>
          <w:rFonts w:ascii="宋体" w:hAnsi="宋体" w:eastAsia="宋体" w:cs="宋体"/>
          <w:spacing w:val="-2"/>
          <w:sz w:val="21"/>
          <w:szCs w:val="21"/>
        </w:rPr>
        <w:t>本次招标范围：见投标人须知前附表。</w:t>
      </w:r>
    </w:p>
    <w:p w14:paraId="16AE6A11">
      <w:pPr>
        <w:spacing w:before="44" w:line="239" w:lineRule="auto"/>
        <w:ind w:left="454"/>
        <w:rPr>
          <w:rFonts w:ascii="宋体" w:hAnsi="宋体" w:eastAsia="宋体" w:cs="宋体"/>
          <w:sz w:val="21"/>
          <w:szCs w:val="21"/>
        </w:rPr>
      </w:pPr>
      <w:r>
        <w:rPr>
          <w:rFonts w:ascii="Calibri" w:hAnsi="Calibri" w:eastAsia="Calibri" w:cs="Calibri"/>
          <w:spacing w:val="-2"/>
          <w:sz w:val="21"/>
          <w:szCs w:val="21"/>
        </w:rPr>
        <w:t xml:space="preserve">1.3.2  </w:t>
      </w:r>
      <w:r>
        <w:rPr>
          <w:rFonts w:ascii="宋体" w:hAnsi="宋体" w:eastAsia="宋体" w:cs="宋体"/>
          <w:spacing w:val="-2"/>
          <w:sz w:val="21"/>
          <w:szCs w:val="21"/>
        </w:rPr>
        <w:t>本标段的计划工期：见投标人须知前附表。</w:t>
      </w:r>
    </w:p>
    <w:p w14:paraId="334FD4F9">
      <w:pPr>
        <w:spacing w:before="43" w:line="239" w:lineRule="auto"/>
        <w:ind w:left="454"/>
        <w:rPr>
          <w:rFonts w:ascii="宋体" w:hAnsi="宋体" w:eastAsia="宋体" w:cs="宋体"/>
          <w:sz w:val="21"/>
          <w:szCs w:val="21"/>
        </w:rPr>
      </w:pPr>
      <w:r>
        <w:rPr>
          <w:rFonts w:ascii="Calibri" w:hAnsi="Calibri" w:eastAsia="Calibri" w:cs="Calibri"/>
          <w:spacing w:val="-2"/>
          <w:sz w:val="21"/>
          <w:szCs w:val="21"/>
        </w:rPr>
        <w:t xml:space="preserve">1.3.3  </w:t>
      </w:r>
      <w:r>
        <w:rPr>
          <w:rFonts w:ascii="宋体" w:hAnsi="宋体" w:eastAsia="宋体" w:cs="宋体"/>
          <w:spacing w:val="-2"/>
          <w:sz w:val="21"/>
          <w:szCs w:val="21"/>
        </w:rPr>
        <w:t>本标段的质量要求：见投标人须知前附表。</w:t>
      </w:r>
    </w:p>
    <w:p w14:paraId="0DFCD18B">
      <w:pPr>
        <w:spacing w:before="44" w:line="239" w:lineRule="auto"/>
        <w:ind w:left="454"/>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本标段执行的政府采购政策：见投标人须知前附</w:t>
      </w:r>
      <w:r>
        <w:rPr>
          <w:rFonts w:ascii="宋体" w:hAnsi="宋体" w:eastAsia="宋体" w:cs="宋体"/>
          <w:spacing w:val="-2"/>
          <w:sz w:val="21"/>
          <w:szCs w:val="21"/>
        </w:rPr>
        <w:t>表。</w:t>
      </w:r>
    </w:p>
    <w:p w14:paraId="54490036">
      <w:pPr>
        <w:pStyle w:val="2"/>
        <w:spacing w:line="324" w:lineRule="auto"/>
      </w:pPr>
    </w:p>
    <w:p w14:paraId="46DE1B19">
      <w:pPr>
        <w:pStyle w:val="2"/>
        <w:spacing w:line="325" w:lineRule="auto"/>
      </w:pPr>
    </w:p>
    <w:p w14:paraId="56DA5AC0">
      <w:pPr>
        <w:spacing w:before="91" w:line="369" w:lineRule="exact"/>
        <w:ind w:left="40"/>
        <w:outlineLvl w:val="3"/>
        <w:rPr>
          <w:rFonts w:ascii="黑体" w:hAnsi="黑体" w:eastAsia="黑体" w:cs="黑体"/>
          <w:sz w:val="28"/>
          <w:szCs w:val="28"/>
        </w:rPr>
      </w:pPr>
      <w:r>
        <w:rPr>
          <w:rFonts w:ascii="Calibri" w:hAnsi="Calibri" w:eastAsia="Calibri" w:cs="Calibri"/>
          <w:spacing w:val="1"/>
          <w:position w:val="1"/>
          <w:sz w:val="28"/>
          <w:szCs w:val="28"/>
        </w:rPr>
        <w:t xml:space="preserve">1.4  </w:t>
      </w:r>
      <w:r>
        <w:rPr>
          <w:rFonts w:ascii="黑体" w:hAnsi="黑体" w:eastAsia="黑体" w:cs="黑体"/>
          <w:spacing w:val="1"/>
          <w:position w:val="1"/>
          <w:sz w:val="28"/>
          <w:szCs w:val="28"/>
        </w:rPr>
        <w:t>投标人资格要求（适用于未进行资格预审的）</w:t>
      </w:r>
    </w:p>
    <w:p w14:paraId="5372581C">
      <w:pPr>
        <w:pStyle w:val="2"/>
        <w:spacing w:line="361" w:lineRule="auto"/>
      </w:pPr>
    </w:p>
    <w:p w14:paraId="20E2E43A">
      <w:pPr>
        <w:spacing w:before="68" w:line="239" w:lineRule="auto"/>
        <w:ind w:left="454"/>
        <w:rPr>
          <w:rFonts w:ascii="宋体" w:hAnsi="宋体" w:eastAsia="宋体" w:cs="宋体"/>
          <w:sz w:val="21"/>
          <w:szCs w:val="21"/>
        </w:rPr>
      </w:pP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rFonts w:ascii="宋体" w:hAnsi="宋体" w:eastAsia="宋体" w:cs="宋体"/>
          <w:spacing w:val="-1"/>
          <w:sz w:val="21"/>
          <w:szCs w:val="21"/>
        </w:rPr>
        <w:t>投标人应具备承担本标段施工的资质条件</w:t>
      </w:r>
      <w:r>
        <w:rPr>
          <w:rFonts w:ascii="宋体" w:hAnsi="宋体" w:eastAsia="宋体" w:cs="宋体"/>
          <w:spacing w:val="-2"/>
          <w:sz w:val="21"/>
          <w:szCs w:val="21"/>
        </w:rPr>
        <w:t>、能力和信誉。</w:t>
      </w:r>
    </w:p>
    <w:p w14:paraId="0E759464">
      <w:pPr>
        <w:spacing w:before="44"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）资质条件：见投标人须知前附表；</w:t>
      </w:r>
    </w:p>
    <w:p w14:paraId="5026C6C6">
      <w:pPr>
        <w:spacing w:before="4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）财务要求：见投标人须知前附表；</w:t>
      </w:r>
    </w:p>
    <w:p w14:paraId="41CCFDA3">
      <w:pPr>
        <w:spacing w:before="29"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）业绩要求：见投标人须知前附表；</w:t>
      </w:r>
    </w:p>
    <w:p w14:paraId="0157ED7B">
      <w:pPr>
        <w:spacing w:before="43" w:line="232" w:lineRule="auto"/>
        <w:ind w:left="450"/>
        <w:rPr>
          <w:rFonts w:ascii="Calibri" w:hAnsi="Calibri" w:eastAsia="Calibri" w:cs="Calibri"/>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）信誉要求：见投标人须知前附表</w:t>
      </w:r>
      <w:r>
        <w:rPr>
          <w:rFonts w:ascii="Calibri" w:hAnsi="Calibri" w:eastAsia="Calibri" w:cs="Calibri"/>
          <w:spacing w:val="-1"/>
          <w:sz w:val="21"/>
          <w:szCs w:val="21"/>
        </w:rPr>
        <w:t>;</w:t>
      </w:r>
    </w:p>
    <w:p w14:paraId="68884C30">
      <w:pPr>
        <w:spacing w:before="52"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）项目经理资格：见投标人须知前附表；</w:t>
      </w:r>
    </w:p>
    <w:p w14:paraId="0821572F">
      <w:pPr>
        <w:spacing w:before="4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）其他要求：见投标人须知前附表。</w:t>
      </w:r>
    </w:p>
    <w:p w14:paraId="7E956865">
      <w:pPr>
        <w:spacing w:before="43" w:line="256" w:lineRule="auto"/>
        <w:ind w:left="27" w:firstLine="426"/>
        <w:rPr>
          <w:rFonts w:ascii="宋体" w:hAnsi="宋体" w:eastAsia="宋体" w:cs="宋体"/>
          <w:sz w:val="21"/>
          <w:szCs w:val="21"/>
        </w:rPr>
      </w:pPr>
      <w:r>
        <w:rPr>
          <w:rFonts w:ascii="Calibri" w:hAnsi="Calibri" w:eastAsia="Calibri" w:cs="Calibri"/>
          <w:spacing w:val="-3"/>
          <w:sz w:val="21"/>
          <w:szCs w:val="21"/>
        </w:rPr>
        <w:t xml:space="preserve">1.4.2  </w:t>
      </w:r>
      <w:r>
        <w:rPr>
          <w:rFonts w:ascii="宋体" w:hAnsi="宋体" w:eastAsia="宋体" w:cs="宋体"/>
          <w:spacing w:val="-3"/>
          <w:sz w:val="21"/>
          <w:szCs w:val="21"/>
        </w:rPr>
        <w:t>投标人须知前附表规定接受联合体投标的，除应符合本章第</w:t>
      </w:r>
      <w:r>
        <w:rPr>
          <w:rFonts w:ascii="宋体" w:hAnsi="宋体" w:eastAsia="宋体" w:cs="宋体"/>
          <w:spacing w:val="-20"/>
          <w:sz w:val="21"/>
          <w:szCs w:val="21"/>
        </w:rPr>
        <w:t xml:space="preserve"> </w:t>
      </w:r>
      <w:r>
        <w:rPr>
          <w:rFonts w:ascii="Calibri" w:hAnsi="Calibri" w:eastAsia="Calibri" w:cs="Calibri"/>
          <w:spacing w:val="-3"/>
          <w:sz w:val="21"/>
          <w:szCs w:val="21"/>
        </w:rPr>
        <w:t>1.4.1</w:t>
      </w:r>
      <w:r>
        <w:rPr>
          <w:rFonts w:ascii="Calibri" w:hAnsi="Calibri" w:eastAsia="Calibri" w:cs="Calibri"/>
          <w:spacing w:val="24"/>
          <w:sz w:val="21"/>
          <w:szCs w:val="21"/>
        </w:rPr>
        <w:t xml:space="preserve"> </w:t>
      </w:r>
      <w:r>
        <w:rPr>
          <w:rFonts w:ascii="宋体" w:hAnsi="宋体" w:eastAsia="宋体" w:cs="宋体"/>
          <w:spacing w:val="-3"/>
          <w:sz w:val="21"/>
          <w:szCs w:val="21"/>
        </w:rPr>
        <w:t>项和投标人须知前附表的要求外，还应遵守以下规定：</w:t>
      </w:r>
    </w:p>
    <w:p w14:paraId="2A0383B0">
      <w:pPr>
        <w:spacing w:before="34" w:line="269" w:lineRule="auto"/>
        <w:ind w:left="25" w:right="32"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）联合体各方应按招标文件提供的格式签订联合体协议书，明</w:t>
      </w:r>
      <w:r>
        <w:rPr>
          <w:rFonts w:ascii="宋体" w:hAnsi="宋体" w:eastAsia="宋体" w:cs="宋体"/>
          <w:spacing w:val="-1"/>
          <w:sz w:val="21"/>
          <w:szCs w:val="21"/>
        </w:rPr>
        <w:t>确联合体牵头人和各</w:t>
      </w:r>
      <w:r>
        <w:rPr>
          <w:rFonts w:ascii="宋体" w:hAnsi="宋体" w:eastAsia="宋体" w:cs="宋体"/>
          <w:spacing w:val="-8"/>
          <w:sz w:val="21"/>
          <w:szCs w:val="21"/>
        </w:rPr>
        <w:t>方权利义务；</w:t>
      </w:r>
    </w:p>
    <w:p w14:paraId="78C7249C">
      <w:pPr>
        <w:spacing w:before="18"/>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55867257">
      <w:pPr>
        <w:spacing w:before="42"/>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）联合体各方不得再以自己名义单独或参加其他联合体在同一标段中投标。</w:t>
      </w:r>
    </w:p>
    <w:p w14:paraId="477D6A9A">
      <w:pPr>
        <w:spacing w:before="27"/>
        <w:ind w:left="454"/>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3082C96D">
      <w:pPr>
        <w:rPr>
          <w:rFonts w:ascii="宋体" w:hAnsi="宋体" w:eastAsia="宋体" w:cs="宋体"/>
          <w:sz w:val="21"/>
          <w:szCs w:val="21"/>
        </w:rPr>
        <w:sectPr>
          <w:footerReference r:id="rId33" w:type="default"/>
          <w:pgSz w:w="11910" w:h="16845"/>
          <w:pgMar w:top="1431" w:right="1771" w:bottom="1065" w:left="1786" w:header="0" w:footer="838" w:gutter="0"/>
          <w:cols w:space="720" w:num="1"/>
        </w:sectPr>
      </w:pPr>
    </w:p>
    <w:p w14:paraId="1ED1148F">
      <w:pPr>
        <w:spacing w:before="54" w:line="239" w:lineRule="auto"/>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）为招标人不具有独立法人资格的附属机构（单位</w:t>
      </w:r>
      <w:r>
        <w:rPr>
          <w:rFonts w:ascii="宋体" w:hAnsi="宋体" w:eastAsia="宋体" w:cs="宋体"/>
          <w:spacing w:val="-2"/>
          <w:sz w:val="21"/>
          <w:szCs w:val="21"/>
        </w:rPr>
        <w:t>）；</w:t>
      </w:r>
    </w:p>
    <w:p w14:paraId="3FB8576A">
      <w:pPr>
        <w:spacing w:before="4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）与招标人存在利害关系且可能影响招</w:t>
      </w:r>
      <w:r>
        <w:rPr>
          <w:rFonts w:ascii="宋体" w:hAnsi="宋体" w:eastAsia="宋体" w:cs="宋体"/>
          <w:spacing w:val="-3"/>
          <w:sz w:val="21"/>
          <w:szCs w:val="21"/>
        </w:rPr>
        <w:t>标公正性；</w:t>
      </w:r>
    </w:p>
    <w:p w14:paraId="421F4338">
      <w:pPr>
        <w:spacing w:before="42"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）与本标段的其他投标人为同一个单位</w:t>
      </w:r>
      <w:r>
        <w:rPr>
          <w:rFonts w:ascii="宋体" w:hAnsi="宋体" w:eastAsia="宋体" w:cs="宋体"/>
          <w:spacing w:val="-3"/>
          <w:sz w:val="21"/>
          <w:szCs w:val="21"/>
        </w:rPr>
        <w:t>负责人；</w:t>
      </w:r>
    </w:p>
    <w:p w14:paraId="535374F1">
      <w:pPr>
        <w:spacing w:before="2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）与本标段的其他投标人存在控股、管理关系；</w:t>
      </w:r>
    </w:p>
    <w:p w14:paraId="41CC6832">
      <w:pPr>
        <w:spacing w:before="4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）为本标段前期准备提供设计或咨询服务的；</w:t>
      </w:r>
    </w:p>
    <w:p w14:paraId="1C5428C3">
      <w:pPr>
        <w:spacing w:before="43" w:line="239" w:lineRule="auto"/>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6</w:t>
      </w:r>
      <w:r>
        <w:rPr>
          <w:rFonts w:ascii="宋体" w:hAnsi="宋体" w:eastAsia="宋体" w:cs="宋体"/>
          <w:spacing w:val="-5"/>
          <w:sz w:val="21"/>
          <w:szCs w:val="21"/>
        </w:rPr>
        <w:t>）为本标段的监理人；</w:t>
      </w:r>
    </w:p>
    <w:p w14:paraId="317208D5">
      <w:pPr>
        <w:spacing w:before="43" w:line="239" w:lineRule="auto"/>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）为本标段的代建人；</w:t>
      </w:r>
    </w:p>
    <w:p w14:paraId="3DFBA253">
      <w:pPr>
        <w:spacing w:before="43" w:line="239"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）为本标段提供招标代理服务；</w:t>
      </w:r>
    </w:p>
    <w:p w14:paraId="1377B26F">
      <w:pPr>
        <w:spacing w:before="29"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）与本标段的监理人或代建人或招标代</w:t>
      </w:r>
      <w:r>
        <w:rPr>
          <w:rFonts w:ascii="宋体" w:hAnsi="宋体" w:eastAsia="宋体" w:cs="宋体"/>
          <w:spacing w:val="-2"/>
          <w:sz w:val="21"/>
          <w:szCs w:val="21"/>
        </w:rPr>
        <w:t>理机构同为一个法定代表人；</w:t>
      </w:r>
    </w:p>
    <w:p w14:paraId="3715AE43">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）与本标段的监理人或代建人或招标代理机构相互控股或参股；</w:t>
      </w:r>
    </w:p>
    <w:p w14:paraId="647AC274">
      <w:pPr>
        <w:spacing w:before="44"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）与本标段的监理人或代建人或招标代理机构相互任职或工作；</w:t>
      </w:r>
    </w:p>
    <w:p w14:paraId="591EF7B0">
      <w:pPr>
        <w:spacing w:before="43" w:line="269" w:lineRule="auto"/>
        <w:ind w:left="28" w:right="230" w:firstLine="42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12</w:t>
      </w:r>
      <w:r>
        <w:rPr>
          <w:rFonts w:ascii="宋体" w:hAnsi="宋体" w:eastAsia="宋体" w:cs="宋体"/>
          <w:spacing w:val="-3"/>
          <w:sz w:val="21"/>
          <w:szCs w:val="21"/>
        </w:rPr>
        <w:t>）被依法暂停或取消投标资格（指被本招标项目所在地县级及以上招标投标行政监</w:t>
      </w:r>
      <w:r>
        <w:rPr>
          <w:rFonts w:ascii="宋体" w:hAnsi="宋体" w:eastAsia="宋体" w:cs="宋体"/>
          <w:spacing w:val="-4"/>
          <w:sz w:val="21"/>
          <w:szCs w:val="21"/>
        </w:rPr>
        <w:t>督部门暂停或取消投标资格或禁止进入该区域建设市场且处于有效期内</w:t>
      </w:r>
      <w:r>
        <w:rPr>
          <w:rFonts w:ascii="宋体" w:hAnsi="宋体" w:eastAsia="宋体" w:cs="宋体"/>
          <w:spacing w:val="2"/>
          <w:sz w:val="21"/>
          <w:szCs w:val="21"/>
        </w:rPr>
        <w:t>）；</w:t>
      </w:r>
    </w:p>
    <w:p w14:paraId="3644CEC5">
      <w:pPr>
        <w:spacing w:before="4"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13</w:t>
      </w:r>
      <w:r>
        <w:rPr>
          <w:rFonts w:ascii="宋体" w:hAnsi="宋体" w:eastAsia="宋体" w:cs="宋体"/>
          <w:spacing w:val="-2"/>
          <w:sz w:val="21"/>
          <w:szCs w:val="21"/>
        </w:rPr>
        <w:t>）被责令停产停业、暂扣或者吊销许可证、暂扣或者吊销执照；</w:t>
      </w:r>
    </w:p>
    <w:p w14:paraId="14F025DB">
      <w:pPr>
        <w:spacing w:before="44" w:line="238"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14</w:t>
      </w:r>
      <w:r>
        <w:rPr>
          <w:rFonts w:ascii="宋体" w:hAnsi="宋体" w:eastAsia="宋体" w:cs="宋体"/>
          <w:spacing w:val="-2"/>
          <w:sz w:val="21"/>
          <w:szCs w:val="21"/>
        </w:rPr>
        <w:t>）进入清算程序，或被宣告破产，或其他丧失履约能力的情形；</w:t>
      </w:r>
    </w:p>
    <w:p w14:paraId="490534F6">
      <w:pPr>
        <w:spacing w:before="43" w:line="269" w:lineRule="auto"/>
        <w:ind w:left="25" w:right="250" w:firstLine="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15</w:t>
      </w:r>
      <w:r>
        <w:rPr>
          <w:rFonts w:ascii="宋体" w:hAnsi="宋体" w:eastAsia="宋体" w:cs="宋体"/>
          <w:spacing w:val="-3"/>
          <w:sz w:val="21"/>
          <w:szCs w:val="21"/>
        </w:rPr>
        <w:t>）在最近三年内发生重大工程质量问题（以相关行业主管部门的行政处</w:t>
      </w:r>
      <w:r>
        <w:rPr>
          <w:rFonts w:ascii="宋体" w:hAnsi="宋体" w:eastAsia="宋体" w:cs="宋体"/>
          <w:spacing w:val="-4"/>
          <w:sz w:val="21"/>
          <w:szCs w:val="21"/>
        </w:rPr>
        <w:t>罚决定或司</w:t>
      </w:r>
      <w:r>
        <w:rPr>
          <w:rFonts w:ascii="宋体" w:hAnsi="宋体" w:eastAsia="宋体" w:cs="宋体"/>
          <w:spacing w:val="-9"/>
          <w:sz w:val="21"/>
          <w:szCs w:val="21"/>
        </w:rPr>
        <w:t>法机关出具的有关法律文书为准</w:t>
      </w:r>
      <w:r>
        <w:rPr>
          <w:rFonts w:ascii="宋体" w:hAnsi="宋体" w:eastAsia="宋体" w:cs="宋体"/>
          <w:spacing w:val="2"/>
          <w:sz w:val="21"/>
          <w:szCs w:val="21"/>
        </w:rPr>
        <w:t>）；</w:t>
      </w:r>
    </w:p>
    <w:p w14:paraId="46A1AD61">
      <w:pPr>
        <w:spacing w:before="19" w:line="257" w:lineRule="auto"/>
        <w:ind w:left="23" w:right="233" w:firstLine="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16</w:t>
      </w:r>
      <w:r>
        <w:rPr>
          <w:rFonts w:ascii="宋体" w:hAnsi="宋体" w:eastAsia="宋体" w:cs="宋体"/>
          <w:spacing w:val="-5"/>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5"/>
          <w:sz w:val="21"/>
          <w:szCs w:val="21"/>
        </w:rPr>
        <w:t>www.gsxt.gov.cn</w:t>
      </w:r>
      <w:r>
        <w:rPr>
          <w:rFonts w:ascii="Calibri" w:hAnsi="Calibri" w:eastAsia="Calibri" w:cs="Calibri"/>
          <w:spacing w:val="-5"/>
          <w:sz w:val="21"/>
          <w:szCs w:val="21"/>
        </w:rPr>
        <w:fldChar w:fldCharType="end"/>
      </w:r>
      <w:r>
        <w:rPr>
          <w:rFonts w:ascii="Calibri" w:hAnsi="Calibri" w:eastAsia="Calibri" w:cs="Calibri"/>
          <w:spacing w:val="-3"/>
          <w:sz w:val="21"/>
          <w:szCs w:val="21"/>
        </w:rPr>
        <w:t xml:space="preserve"> </w:t>
      </w:r>
      <w:r>
        <w:rPr>
          <w:rFonts w:ascii="宋体" w:hAnsi="宋体" w:eastAsia="宋体" w:cs="宋体"/>
          <w:spacing w:val="-5"/>
          <w:sz w:val="21"/>
          <w:szCs w:val="21"/>
        </w:rPr>
        <w:t>）中被列入严重违法失信企</w:t>
      </w:r>
      <w:r>
        <w:rPr>
          <w:rFonts w:ascii="宋体" w:hAnsi="宋体" w:eastAsia="宋体" w:cs="宋体"/>
          <w:spacing w:val="-11"/>
          <w:sz w:val="21"/>
          <w:szCs w:val="21"/>
        </w:rPr>
        <w:t>业名单；</w:t>
      </w:r>
    </w:p>
    <w:p w14:paraId="4DB4E750">
      <w:pPr>
        <w:spacing w:before="121" w:line="350" w:lineRule="auto"/>
        <w:ind w:left="29" w:firstLine="420"/>
        <w:rPr>
          <w:rFonts w:ascii="宋体" w:hAnsi="宋体" w:eastAsia="宋体" w:cs="宋体"/>
          <w:sz w:val="21"/>
          <w:szCs w:val="21"/>
        </w:rPr>
      </w:pPr>
      <w:r>
        <w:rPr>
          <w:rFonts w:ascii="宋体" w:hAnsi="宋体" w:eastAsia="宋体" w:cs="宋体"/>
          <w:spacing w:val="18"/>
          <w:sz w:val="21"/>
          <w:szCs w:val="21"/>
        </w:rPr>
        <w:t>（</w:t>
      </w:r>
      <w:r>
        <w:rPr>
          <w:rFonts w:ascii="宋体" w:hAnsi="宋体" w:eastAsia="宋体" w:cs="宋体"/>
          <w:spacing w:val="-56"/>
          <w:sz w:val="21"/>
          <w:szCs w:val="21"/>
        </w:rPr>
        <w:t xml:space="preserve"> </w:t>
      </w:r>
      <w:r>
        <w:rPr>
          <w:rFonts w:ascii="Calibri" w:hAnsi="Calibri" w:eastAsia="Calibri" w:cs="Calibri"/>
          <w:spacing w:val="18"/>
          <w:sz w:val="21"/>
          <w:szCs w:val="21"/>
        </w:rPr>
        <w:t xml:space="preserve">17 </w:t>
      </w:r>
      <w:r>
        <w:rPr>
          <w:rFonts w:ascii="宋体" w:hAnsi="宋体" w:eastAsia="宋体" w:cs="宋体"/>
          <w:spacing w:val="18"/>
          <w:sz w:val="21"/>
          <w:szCs w:val="21"/>
        </w:rPr>
        <w:t>）在</w:t>
      </w:r>
      <w:r>
        <w:rPr>
          <w:rFonts w:ascii="宋体" w:hAnsi="宋体" w:eastAsia="宋体" w:cs="宋体"/>
          <w:spacing w:val="-75"/>
          <w:sz w:val="21"/>
          <w:szCs w:val="21"/>
        </w:rPr>
        <w:t xml:space="preserve"> </w:t>
      </w:r>
      <w:r>
        <w:rPr>
          <w:rFonts w:ascii="Calibri" w:hAnsi="Calibri" w:eastAsia="Calibri" w:cs="Calibri"/>
          <w:spacing w:val="18"/>
          <w:sz w:val="21"/>
          <w:szCs w:val="21"/>
        </w:rPr>
        <w:t>“</w:t>
      </w:r>
      <w:r>
        <w:rPr>
          <w:rFonts w:ascii="Calibri" w:hAnsi="Calibri" w:eastAsia="Calibri" w:cs="Calibri"/>
          <w:spacing w:val="-7"/>
          <w:sz w:val="21"/>
          <w:szCs w:val="21"/>
        </w:rPr>
        <w:t xml:space="preserve"> </w:t>
      </w:r>
      <w:r>
        <w:rPr>
          <w:rFonts w:ascii="宋体" w:hAnsi="宋体" w:eastAsia="宋体" w:cs="宋体"/>
          <w:spacing w:val="18"/>
          <w:sz w:val="21"/>
          <w:szCs w:val="21"/>
        </w:rPr>
        <w:t>信用中国</w:t>
      </w:r>
      <w:r>
        <w:rPr>
          <w:rFonts w:ascii="宋体" w:hAnsi="宋体" w:eastAsia="宋体" w:cs="宋体"/>
          <w:spacing w:val="-70"/>
          <w:sz w:val="21"/>
          <w:szCs w:val="21"/>
        </w:rPr>
        <w:t xml:space="preserve"> </w:t>
      </w:r>
      <w:r>
        <w:rPr>
          <w:rFonts w:ascii="Calibri" w:hAnsi="Calibri" w:eastAsia="Calibri" w:cs="Calibri"/>
          <w:spacing w:val="18"/>
          <w:sz w:val="21"/>
          <w:szCs w:val="21"/>
        </w:rPr>
        <w:t xml:space="preserve">” </w:t>
      </w:r>
      <w:r>
        <w:rPr>
          <w:rFonts w:ascii="宋体" w:hAnsi="宋体" w:eastAsia="宋体" w:cs="宋体"/>
          <w:spacing w:val="18"/>
          <w:sz w:val="21"/>
          <w:szCs w:val="21"/>
        </w:rPr>
        <w:t>网站（</w:t>
      </w:r>
      <w:r>
        <w:fldChar w:fldCharType="begin"/>
      </w:r>
      <w:r>
        <w:instrText xml:space="preserve"> HYPERLINK "http://www.creditchina.gov.cn/" </w:instrText>
      </w:r>
      <w:r>
        <w:fldChar w:fldCharType="separate"/>
      </w:r>
      <w:r>
        <w:rPr>
          <w:rFonts w:ascii="Calibri" w:hAnsi="Calibri" w:eastAsia="Calibri" w:cs="Calibri"/>
          <w:sz w:val="21"/>
          <w:szCs w:val="21"/>
          <w:u w:val="single" w:color="auto"/>
        </w:rPr>
        <w:t>www</w:t>
      </w:r>
      <w:r>
        <w:rPr>
          <w:rFonts w:ascii="Calibri" w:hAnsi="Calibri" w:eastAsia="Calibri" w:cs="Calibri"/>
          <w:spacing w:val="18"/>
          <w:sz w:val="21"/>
          <w:szCs w:val="21"/>
          <w:u w:val="single" w:color="auto"/>
        </w:rPr>
        <w:t>.</w:t>
      </w:r>
      <w:r>
        <w:rPr>
          <w:rFonts w:ascii="Calibri" w:hAnsi="Calibri" w:eastAsia="Calibri" w:cs="Calibri"/>
          <w:sz w:val="21"/>
          <w:szCs w:val="21"/>
          <w:u w:val="single" w:color="auto"/>
        </w:rPr>
        <w:t>creditchina</w:t>
      </w:r>
      <w:r>
        <w:rPr>
          <w:rFonts w:ascii="Calibri" w:hAnsi="Calibri" w:eastAsia="Calibri" w:cs="Calibri"/>
          <w:spacing w:val="18"/>
          <w:sz w:val="21"/>
          <w:szCs w:val="21"/>
          <w:u w:val="single" w:color="auto"/>
        </w:rPr>
        <w:t>.</w:t>
      </w:r>
      <w:r>
        <w:rPr>
          <w:rFonts w:ascii="Calibri" w:hAnsi="Calibri" w:eastAsia="Calibri" w:cs="Calibri"/>
          <w:sz w:val="21"/>
          <w:szCs w:val="21"/>
          <w:u w:val="single" w:color="auto"/>
        </w:rPr>
        <w:t>gov</w:t>
      </w:r>
      <w:r>
        <w:rPr>
          <w:rFonts w:ascii="Calibri" w:hAnsi="Calibri" w:eastAsia="Calibri" w:cs="Calibri"/>
          <w:spacing w:val="18"/>
          <w:sz w:val="21"/>
          <w:szCs w:val="21"/>
          <w:u w:val="single" w:color="auto"/>
        </w:rPr>
        <w:t>.</w:t>
      </w:r>
      <w:r>
        <w:rPr>
          <w:rFonts w:ascii="Calibri" w:hAnsi="Calibri" w:eastAsia="Calibri" w:cs="Calibri"/>
          <w:sz w:val="21"/>
          <w:szCs w:val="21"/>
          <w:u w:val="single" w:color="auto"/>
        </w:rPr>
        <w:t>cn</w:t>
      </w:r>
      <w:r>
        <w:rPr>
          <w:rFonts w:ascii="Calibri" w:hAnsi="Calibri" w:eastAsia="Calibri" w:cs="Calibri"/>
          <w:sz w:val="21"/>
          <w:szCs w:val="21"/>
          <w:u w:val="single" w:color="auto"/>
        </w:rPr>
        <w:fldChar w:fldCharType="end"/>
      </w:r>
      <w:r>
        <w:rPr>
          <w:rFonts w:ascii="宋体" w:hAnsi="宋体" w:eastAsia="宋体" w:cs="宋体"/>
          <w:spacing w:val="18"/>
          <w:sz w:val="21"/>
          <w:szCs w:val="21"/>
        </w:rPr>
        <w:t>）或“中国执行信息公开网”</w:t>
      </w:r>
      <w:r>
        <w:rPr>
          <w:rFonts w:ascii="宋体" w:hAnsi="宋体" w:eastAsia="宋体" w:cs="宋体"/>
          <w:sz w:val="21"/>
          <w:szCs w:val="21"/>
        </w:rPr>
        <w:t xml:space="preserve"> </w:t>
      </w:r>
      <w:r>
        <w:rPr>
          <w:rFonts w:ascii="宋体" w:hAnsi="宋体" w:eastAsia="宋体" w:cs="宋体"/>
          <w:spacing w:val="-3"/>
          <w:sz w:val="21"/>
          <w:szCs w:val="21"/>
        </w:rPr>
        <w:t>（</w:t>
      </w:r>
      <w:r>
        <w:fldChar w:fldCharType="begin"/>
      </w:r>
      <w:r>
        <w:instrText xml:space="preserve"> HYPERLINK "http://zxgk.court.gov.cn/shixin/" </w:instrText>
      </w:r>
      <w:r>
        <w:fldChar w:fldCharType="separate"/>
      </w:r>
      <w:r>
        <w:rPr>
          <w:rFonts w:ascii="Calibri" w:hAnsi="Calibri" w:eastAsia="Calibri" w:cs="Calibri"/>
          <w:spacing w:val="-3"/>
          <w:sz w:val="21"/>
          <w:szCs w:val="21"/>
        </w:rPr>
        <w:t>http://zxgk.court.gov.cn/shixin/</w:t>
      </w:r>
      <w:r>
        <w:rPr>
          <w:rFonts w:ascii="Calibri" w:hAnsi="Calibri" w:eastAsia="Calibri" w:cs="Calibri"/>
          <w:spacing w:val="-3"/>
          <w:sz w:val="21"/>
          <w:szCs w:val="21"/>
        </w:rPr>
        <w:fldChar w:fldCharType="end"/>
      </w:r>
      <w:r>
        <w:rPr>
          <w:rFonts w:ascii="Calibri" w:hAnsi="Calibri" w:eastAsia="Calibri" w:cs="Calibri"/>
          <w:spacing w:val="-6"/>
          <w:sz w:val="21"/>
          <w:szCs w:val="21"/>
        </w:rPr>
        <w:t xml:space="preserve"> </w:t>
      </w:r>
      <w:r>
        <w:rPr>
          <w:rFonts w:ascii="宋体" w:hAnsi="宋体" w:eastAsia="宋体" w:cs="宋体"/>
          <w:spacing w:val="-3"/>
          <w:sz w:val="21"/>
          <w:szCs w:val="21"/>
        </w:rPr>
        <w:t>）被列入失信被执行人名单；</w:t>
      </w:r>
    </w:p>
    <w:p w14:paraId="1351BFF3">
      <w:pPr>
        <w:spacing w:before="225"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18</w:t>
      </w:r>
      <w:r>
        <w:rPr>
          <w:rFonts w:ascii="宋体" w:hAnsi="宋体" w:eastAsia="宋体" w:cs="宋体"/>
          <w:spacing w:val="-1"/>
          <w:sz w:val="21"/>
          <w:szCs w:val="21"/>
        </w:rPr>
        <w:t>）在近三年内投标人或其法定代表人、拟委</w:t>
      </w:r>
      <w:r>
        <w:rPr>
          <w:rFonts w:ascii="宋体" w:hAnsi="宋体" w:eastAsia="宋体" w:cs="宋体"/>
          <w:spacing w:val="-2"/>
          <w:sz w:val="21"/>
          <w:szCs w:val="21"/>
        </w:rPr>
        <w:t>任的项目经理有行贿犯罪行为；</w:t>
      </w:r>
    </w:p>
    <w:p w14:paraId="4CD2FEA8">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19</w:t>
      </w:r>
      <w:r>
        <w:rPr>
          <w:rFonts w:ascii="宋体" w:hAnsi="宋体" w:eastAsia="宋体" w:cs="宋体"/>
          <w:spacing w:val="-2"/>
          <w:sz w:val="21"/>
          <w:szCs w:val="21"/>
        </w:rPr>
        <w:t>）法律法规或投标人须知前附表规定的其他情形。</w:t>
      </w:r>
    </w:p>
    <w:p w14:paraId="0A06474B">
      <w:pPr>
        <w:pStyle w:val="2"/>
        <w:spacing w:line="351" w:lineRule="auto"/>
      </w:pPr>
    </w:p>
    <w:p w14:paraId="49841112">
      <w:pPr>
        <w:spacing w:before="91" w:line="370" w:lineRule="exact"/>
        <w:ind w:left="40"/>
        <w:outlineLvl w:val="3"/>
        <w:rPr>
          <w:rFonts w:ascii="黑体" w:hAnsi="黑体" w:eastAsia="黑体" w:cs="黑体"/>
          <w:sz w:val="28"/>
          <w:szCs w:val="28"/>
        </w:rPr>
      </w:pPr>
      <w:r>
        <w:rPr>
          <w:rFonts w:ascii="Calibri" w:hAnsi="Calibri" w:eastAsia="Calibri" w:cs="Calibri"/>
          <w:spacing w:val="4"/>
          <w:position w:val="1"/>
          <w:sz w:val="28"/>
          <w:szCs w:val="28"/>
        </w:rPr>
        <w:t xml:space="preserve">1.5  </w:t>
      </w:r>
      <w:r>
        <w:rPr>
          <w:rFonts w:ascii="黑体" w:hAnsi="黑体" w:eastAsia="黑体" w:cs="黑体"/>
          <w:spacing w:val="4"/>
          <w:position w:val="1"/>
          <w:sz w:val="28"/>
          <w:szCs w:val="28"/>
        </w:rPr>
        <w:t>费用承担</w:t>
      </w:r>
    </w:p>
    <w:p w14:paraId="288AFEA6">
      <w:pPr>
        <w:pStyle w:val="2"/>
        <w:spacing w:line="360" w:lineRule="auto"/>
      </w:pPr>
    </w:p>
    <w:p w14:paraId="0CB6C0B8">
      <w:pPr>
        <w:spacing w:before="69" w:line="220" w:lineRule="auto"/>
        <w:ind w:left="447"/>
        <w:rPr>
          <w:rFonts w:ascii="宋体" w:hAnsi="宋体" w:eastAsia="宋体" w:cs="宋体"/>
          <w:sz w:val="21"/>
          <w:szCs w:val="21"/>
        </w:rPr>
      </w:pPr>
      <w:r>
        <w:rPr>
          <w:rFonts w:ascii="宋体" w:hAnsi="宋体" w:eastAsia="宋体" w:cs="宋体"/>
          <w:spacing w:val="-2"/>
          <w:sz w:val="21"/>
          <w:szCs w:val="21"/>
        </w:rPr>
        <w:t>投标人准备和参加投标活动发生的费用自理。</w:t>
      </w:r>
    </w:p>
    <w:p w14:paraId="27300A9A">
      <w:pPr>
        <w:pStyle w:val="2"/>
        <w:spacing w:line="357" w:lineRule="auto"/>
      </w:pPr>
    </w:p>
    <w:p w14:paraId="6CD980FB">
      <w:pPr>
        <w:spacing w:before="91" w:line="242" w:lineRule="auto"/>
        <w:ind w:left="40"/>
        <w:outlineLvl w:val="3"/>
        <w:rPr>
          <w:rFonts w:ascii="黑体" w:hAnsi="黑体" w:eastAsia="黑体" w:cs="黑体"/>
          <w:sz w:val="28"/>
          <w:szCs w:val="28"/>
        </w:rPr>
      </w:pPr>
      <w:r>
        <w:rPr>
          <w:rFonts w:ascii="Calibri" w:hAnsi="Calibri" w:eastAsia="Calibri" w:cs="Calibri"/>
          <w:spacing w:val="2"/>
          <w:sz w:val="28"/>
          <w:szCs w:val="28"/>
        </w:rPr>
        <w:t xml:space="preserve">1.6  </w:t>
      </w:r>
      <w:r>
        <w:rPr>
          <w:rFonts w:ascii="黑体" w:hAnsi="黑体" w:eastAsia="黑体" w:cs="黑体"/>
          <w:spacing w:val="2"/>
          <w:sz w:val="28"/>
          <w:szCs w:val="28"/>
        </w:rPr>
        <w:t>保密</w:t>
      </w:r>
    </w:p>
    <w:p w14:paraId="2E765D50">
      <w:pPr>
        <w:pStyle w:val="2"/>
        <w:spacing w:line="362" w:lineRule="auto"/>
      </w:pPr>
    </w:p>
    <w:p w14:paraId="696F7F5D">
      <w:pPr>
        <w:spacing w:before="69" w:line="279" w:lineRule="auto"/>
        <w:ind w:left="23" w:right="217" w:firstLine="423"/>
        <w:rPr>
          <w:rFonts w:ascii="宋体" w:hAnsi="宋体" w:eastAsia="宋体" w:cs="宋体"/>
          <w:sz w:val="21"/>
          <w:szCs w:val="21"/>
        </w:rPr>
      </w:pPr>
      <w:r>
        <w:rPr>
          <w:rFonts w:ascii="宋体" w:hAnsi="宋体" w:eastAsia="宋体" w:cs="宋体"/>
          <w:spacing w:val="-2"/>
          <w:sz w:val="21"/>
          <w:szCs w:val="21"/>
        </w:rPr>
        <w:t>参与招标投标活动的各方应对招标文件和投标文件中的商业和技术等秘</w:t>
      </w:r>
      <w:r>
        <w:rPr>
          <w:rFonts w:ascii="宋体" w:hAnsi="宋体" w:eastAsia="宋体" w:cs="宋体"/>
          <w:spacing w:val="-3"/>
          <w:sz w:val="21"/>
          <w:szCs w:val="21"/>
        </w:rPr>
        <w:t>密保密，违者应</w:t>
      </w:r>
      <w:r>
        <w:rPr>
          <w:rFonts w:ascii="宋体" w:hAnsi="宋体" w:eastAsia="宋体" w:cs="宋体"/>
          <w:spacing w:val="-2"/>
          <w:sz w:val="21"/>
          <w:szCs w:val="21"/>
        </w:rPr>
        <w:t>对由此造成的后果承担法律责任。</w:t>
      </w:r>
    </w:p>
    <w:p w14:paraId="103556D2">
      <w:pPr>
        <w:pStyle w:val="2"/>
        <w:spacing w:line="303" w:lineRule="auto"/>
      </w:pPr>
    </w:p>
    <w:p w14:paraId="1CC885E5">
      <w:pPr>
        <w:spacing w:before="92" w:line="368" w:lineRule="exact"/>
        <w:ind w:left="40"/>
        <w:outlineLvl w:val="3"/>
        <w:rPr>
          <w:rFonts w:ascii="黑体" w:hAnsi="黑体" w:eastAsia="黑体" w:cs="黑体"/>
          <w:sz w:val="28"/>
          <w:szCs w:val="28"/>
        </w:rPr>
      </w:pPr>
      <w:r>
        <w:rPr>
          <w:rFonts w:ascii="Calibri" w:hAnsi="Calibri" w:eastAsia="Calibri" w:cs="Calibri"/>
          <w:spacing w:val="4"/>
          <w:position w:val="1"/>
          <w:sz w:val="28"/>
          <w:szCs w:val="28"/>
        </w:rPr>
        <w:t xml:space="preserve">1.7  </w:t>
      </w:r>
      <w:r>
        <w:rPr>
          <w:rFonts w:ascii="黑体" w:hAnsi="黑体" w:eastAsia="黑体" w:cs="黑体"/>
          <w:spacing w:val="4"/>
          <w:position w:val="1"/>
          <w:sz w:val="28"/>
          <w:szCs w:val="28"/>
        </w:rPr>
        <w:t>语言文字</w:t>
      </w:r>
    </w:p>
    <w:p w14:paraId="1AB22B61">
      <w:pPr>
        <w:pStyle w:val="2"/>
        <w:spacing w:line="346" w:lineRule="auto"/>
      </w:pPr>
    </w:p>
    <w:p w14:paraId="1E076E81">
      <w:pPr>
        <w:spacing w:before="69" w:line="219" w:lineRule="auto"/>
        <w:ind w:left="457"/>
        <w:rPr>
          <w:rFonts w:ascii="宋体" w:hAnsi="宋体" w:eastAsia="宋体" w:cs="宋体"/>
          <w:sz w:val="21"/>
          <w:szCs w:val="21"/>
        </w:rPr>
      </w:pPr>
      <w:r>
        <w:rPr>
          <w:rFonts w:ascii="宋体" w:hAnsi="宋体" w:eastAsia="宋体" w:cs="宋体"/>
          <w:spacing w:val="-1"/>
          <w:sz w:val="21"/>
          <w:szCs w:val="21"/>
        </w:rPr>
        <w:t>除专用术语外，与招标投标有关的语言均使用中文。必要时专用术语应附有中文注释。</w:t>
      </w:r>
    </w:p>
    <w:p w14:paraId="6D930464">
      <w:pPr>
        <w:pStyle w:val="2"/>
        <w:spacing w:line="373" w:lineRule="auto"/>
      </w:pPr>
    </w:p>
    <w:p w14:paraId="3BCA4CD7">
      <w:pPr>
        <w:spacing w:before="91" w:line="370" w:lineRule="exact"/>
        <w:ind w:left="40"/>
        <w:rPr>
          <w:rFonts w:ascii="黑体" w:hAnsi="黑体" w:eastAsia="黑体" w:cs="黑体"/>
          <w:sz w:val="28"/>
          <w:szCs w:val="28"/>
        </w:rPr>
      </w:pPr>
      <w:r>
        <w:rPr>
          <w:rFonts w:ascii="Calibri" w:hAnsi="Calibri" w:eastAsia="Calibri" w:cs="Calibri"/>
          <w:spacing w:val="4"/>
          <w:position w:val="1"/>
          <w:sz w:val="28"/>
          <w:szCs w:val="28"/>
        </w:rPr>
        <w:t xml:space="preserve">1.8  </w:t>
      </w:r>
      <w:r>
        <w:rPr>
          <w:rFonts w:ascii="黑体" w:hAnsi="黑体" w:eastAsia="黑体" w:cs="黑体"/>
          <w:spacing w:val="4"/>
          <w:position w:val="1"/>
          <w:sz w:val="28"/>
          <w:szCs w:val="28"/>
        </w:rPr>
        <w:t>计量单位</w:t>
      </w:r>
    </w:p>
    <w:p w14:paraId="3CDBA78E">
      <w:pPr>
        <w:spacing w:line="370" w:lineRule="exact"/>
        <w:rPr>
          <w:rFonts w:ascii="黑体" w:hAnsi="黑体" w:eastAsia="黑体" w:cs="黑体"/>
          <w:sz w:val="28"/>
          <w:szCs w:val="28"/>
        </w:rPr>
        <w:sectPr>
          <w:footerReference r:id="rId34" w:type="default"/>
          <w:pgSz w:w="11910" w:h="16845"/>
          <w:pgMar w:top="1431" w:right="1561" w:bottom="1065" w:left="1786" w:header="0" w:footer="838" w:gutter="0"/>
          <w:cols w:space="720" w:num="1"/>
        </w:sectPr>
      </w:pPr>
    </w:p>
    <w:p w14:paraId="2E605529">
      <w:pPr>
        <w:spacing w:before="54" w:line="219" w:lineRule="auto"/>
        <w:ind w:left="444"/>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0CDACF08">
      <w:pPr>
        <w:pStyle w:val="2"/>
        <w:spacing w:line="373" w:lineRule="auto"/>
      </w:pPr>
    </w:p>
    <w:p w14:paraId="3F3536D9">
      <w:pPr>
        <w:spacing w:before="91" w:line="368" w:lineRule="exact"/>
        <w:ind w:left="40"/>
        <w:outlineLvl w:val="3"/>
        <w:rPr>
          <w:rFonts w:ascii="黑体" w:hAnsi="黑体" w:eastAsia="黑体" w:cs="黑体"/>
          <w:sz w:val="28"/>
          <w:szCs w:val="28"/>
        </w:rPr>
      </w:pPr>
      <w:r>
        <w:rPr>
          <w:rFonts w:ascii="Calibri" w:hAnsi="Calibri" w:eastAsia="Calibri" w:cs="Calibri"/>
          <w:spacing w:val="4"/>
          <w:position w:val="1"/>
          <w:sz w:val="28"/>
          <w:szCs w:val="28"/>
        </w:rPr>
        <w:t xml:space="preserve">1.9  </w:t>
      </w:r>
      <w:r>
        <w:rPr>
          <w:rFonts w:ascii="黑体" w:hAnsi="黑体" w:eastAsia="黑体" w:cs="黑体"/>
          <w:spacing w:val="4"/>
          <w:position w:val="1"/>
          <w:sz w:val="28"/>
          <w:szCs w:val="28"/>
        </w:rPr>
        <w:t>踏勘现场</w:t>
      </w:r>
    </w:p>
    <w:p w14:paraId="1A143533">
      <w:pPr>
        <w:pStyle w:val="2"/>
        <w:spacing w:line="346" w:lineRule="auto"/>
      </w:pPr>
    </w:p>
    <w:p w14:paraId="584A7E87">
      <w:pPr>
        <w:spacing w:before="68" w:line="269" w:lineRule="auto"/>
        <w:ind w:left="24" w:firstLine="430"/>
        <w:rPr>
          <w:rFonts w:ascii="宋体" w:hAnsi="宋体" w:eastAsia="宋体" w:cs="宋体"/>
          <w:sz w:val="21"/>
          <w:szCs w:val="21"/>
        </w:rPr>
      </w:pPr>
      <w:r>
        <w:rPr>
          <w:rFonts w:ascii="Calibri" w:hAnsi="Calibri" w:eastAsia="Calibri" w:cs="Calibri"/>
          <w:spacing w:val="-2"/>
          <w:sz w:val="21"/>
          <w:szCs w:val="21"/>
        </w:rPr>
        <w:t xml:space="preserve">1.9.1  </w:t>
      </w:r>
      <w:r>
        <w:rPr>
          <w:rFonts w:ascii="宋体" w:hAnsi="宋体" w:eastAsia="宋体" w:cs="宋体"/>
          <w:spacing w:val="-2"/>
          <w:sz w:val="21"/>
          <w:szCs w:val="21"/>
        </w:rPr>
        <w:t>投标人须知前附表规定组织踏勘现场的，招标</w:t>
      </w:r>
      <w:r>
        <w:rPr>
          <w:rFonts w:ascii="宋体" w:hAnsi="宋体" w:eastAsia="宋体" w:cs="宋体"/>
          <w:spacing w:val="-3"/>
          <w:sz w:val="21"/>
          <w:szCs w:val="21"/>
        </w:rPr>
        <w:t>人按投标人须知前附表规定的时间、地点组织投标人踏勘项目现场。</w:t>
      </w:r>
    </w:p>
    <w:p w14:paraId="2F3D219D">
      <w:pPr>
        <w:spacing w:before="18"/>
        <w:ind w:left="454"/>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5112E519">
      <w:pPr>
        <w:spacing w:before="42"/>
        <w:jc w:val="right"/>
        <w:rPr>
          <w:rFonts w:ascii="宋体" w:hAnsi="宋体" w:eastAsia="宋体" w:cs="宋体"/>
          <w:sz w:val="21"/>
          <w:szCs w:val="21"/>
        </w:rPr>
      </w:pPr>
      <w:r>
        <w:rPr>
          <w:rFonts w:ascii="Calibri" w:hAnsi="Calibri" w:eastAsia="Calibri" w:cs="Calibri"/>
          <w:spacing w:val="-3"/>
          <w:sz w:val="21"/>
          <w:szCs w:val="21"/>
        </w:rPr>
        <w:t>1.9.3</w:t>
      </w:r>
      <w:r>
        <w:rPr>
          <w:rFonts w:ascii="Calibri" w:hAnsi="Calibri" w:eastAsia="Calibri" w:cs="Calibri"/>
          <w:spacing w:val="15"/>
          <w:w w:val="101"/>
          <w:sz w:val="21"/>
          <w:szCs w:val="21"/>
        </w:rPr>
        <w:t xml:space="preserve">  </w:t>
      </w:r>
      <w:r>
        <w:rPr>
          <w:rFonts w:ascii="宋体" w:hAnsi="宋体" w:eastAsia="宋体" w:cs="宋体"/>
          <w:spacing w:val="-3"/>
          <w:sz w:val="21"/>
          <w:szCs w:val="21"/>
        </w:rPr>
        <w:t>除招标人的原因外，投标人自行负责在踏勘现场中所发生的</w:t>
      </w:r>
      <w:r>
        <w:rPr>
          <w:rFonts w:ascii="宋体" w:hAnsi="宋体" w:eastAsia="宋体" w:cs="宋体"/>
          <w:spacing w:val="-4"/>
          <w:sz w:val="21"/>
          <w:szCs w:val="21"/>
        </w:rPr>
        <w:t>人员伤亡和财产损失。</w:t>
      </w:r>
    </w:p>
    <w:p w14:paraId="1A20D1FD">
      <w:pPr>
        <w:spacing w:before="44" w:line="256" w:lineRule="auto"/>
        <w:ind w:left="25" w:right="89" w:firstLine="429"/>
        <w:rPr>
          <w:rFonts w:ascii="宋体" w:hAnsi="宋体" w:eastAsia="宋体" w:cs="宋体"/>
          <w:sz w:val="21"/>
          <w:szCs w:val="21"/>
        </w:rPr>
      </w:pPr>
      <w:r>
        <w:rPr>
          <w:rFonts w:ascii="Calibri" w:hAnsi="Calibri" w:eastAsia="Calibri" w:cs="Calibri"/>
          <w:sz w:val="21"/>
          <w:szCs w:val="21"/>
        </w:rPr>
        <w:t xml:space="preserve">1.9.4  </w:t>
      </w:r>
      <w:r>
        <w:rPr>
          <w:rFonts w:ascii="宋体" w:hAnsi="宋体" w:eastAsia="宋体" w:cs="宋体"/>
          <w:sz w:val="21"/>
          <w:szCs w:val="21"/>
        </w:rPr>
        <w:t>招标人在踏勘现场中介绍的工程场地和相关的周边环境情况，供投标人在编制投</w:t>
      </w:r>
      <w:r>
        <w:rPr>
          <w:rFonts w:ascii="宋体" w:hAnsi="宋体" w:eastAsia="宋体" w:cs="宋体"/>
          <w:spacing w:val="-1"/>
          <w:sz w:val="21"/>
          <w:szCs w:val="21"/>
        </w:rPr>
        <w:t>标文件时参考，招标人不对投标人据此作出的判断和决策负责。</w:t>
      </w:r>
    </w:p>
    <w:p w14:paraId="1D9AC6A3">
      <w:pPr>
        <w:pStyle w:val="2"/>
        <w:spacing w:line="339" w:lineRule="auto"/>
      </w:pPr>
    </w:p>
    <w:p w14:paraId="296387EE">
      <w:pPr>
        <w:spacing w:before="91" w:line="369" w:lineRule="exact"/>
        <w:ind w:left="40"/>
        <w:outlineLvl w:val="3"/>
        <w:rPr>
          <w:rFonts w:ascii="黑体" w:hAnsi="黑体" w:eastAsia="黑体" w:cs="黑体"/>
          <w:sz w:val="28"/>
          <w:szCs w:val="28"/>
        </w:rPr>
      </w:pPr>
      <w:r>
        <w:rPr>
          <w:rFonts w:ascii="Calibri" w:hAnsi="Calibri" w:eastAsia="Calibri" w:cs="Calibri"/>
          <w:spacing w:val="5"/>
          <w:position w:val="1"/>
          <w:sz w:val="28"/>
          <w:szCs w:val="28"/>
        </w:rPr>
        <w:t>1.10</w:t>
      </w:r>
      <w:r>
        <w:rPr>
          <w:rFonts w:ascii="Calibri" w:hAnsi="Calibri" w:eastAsia="Calibri" w:cs="Calibri"/>
          <w:spacing w:val="57"/>
          <w:w w:val="101"/>
          <w:position w:val="1"/>
          <w:sz w:val="28"/>
          <w:szCs w:val="28"/>
        </w:rPr>
        <w:t xml:space="preserve"> </w:t>
      </w:r>
      <w:r>
        <w:rPr>
          <w:rFonts w:ascii="黑体" w:hAnsi="黑体" w:eastAsia="黑体" w:cs="黑体"/>
          <w:spacing w:val="5"/>
          <w:position w:val="1"/>
          <w:sz w:val="28"/>
          <w:szCs w:val="28"/>
        </w:rPr>
        <w:t>投标预备会</w:t>
      </w:r>
    </w:p>
    <w:p w14:paraId="2C1D5F89">
      <w:pPr>
        <w:pStyle w:val="2"/>
        <w:spacing w:line="360" w:lineRule="auto"/>
      </w:pPr>
    </w:p>
    <w:p w14:paraId="7DBBDA75">
      <w:pPr>
        <w:spacing w:before="69" w:line="269" w:lineRule="auto"/>
        <w:ind w:left="40" w:right="75" w:firstLine="413"/>
        <w:rPr>
          <w:rFonts w:ascii="宋体" w:hAnsi="宋体" w:eastAsia="宋体" w:cs="宋体"/>
          <w:sz w:val="21"/>
          <w:szCs w:val="21"/>
        </w:rPr>
      </w:pPr>
      <w:r>
        <w:rPr>
          <w:rFonts w:ascii="Calibri" w:hAnsi="Calibri" w:eastAsia="Calibri" w:cs="Calibri"/>
          <w:spacing w:val="-2"/>
          <w:sz w:val="21"/>
          <w:szCs w:val="21"/>
        </w:rPr>
        <w:t xml:space="preserve">1.10.1  </w:t>
      </w:r>
      <w:r>
        <w:rPr>
          <w:rFonts w:ascii="宋体" w:hAnsi="宋体" w:eastAsia="宋体" w:cs="宋体"/>
          <w:spacing w:val="-2"/>
          <w:sz w:val="21"/>
          <w:szCs w:val="21"/>
        </w:rPr>
        <w:t>投标人须知前附表规定召开投标预备会的，招标人按投标人须知前附表规定的时间和地点召开投标预备会，澄清投标人提出的问题。</w:t>
      </w:r>
    </w:p>
    <w:p w14:paraId="2462F504">
      <w:pPr>
        <w:spacing w:before="4" w:line="276" w:lineRule="auto"/>
        <w:ind w:left="23" w:right="96" w:firstLine="431"/>
        <w:rPr>
          <w:rFonts w:ascii="宋体" w:hAnsi="宋体" w:eastAsia="宋体" w:cs="宋体"/>
          <w:sz w:val="21"/>
          <w:szCs w:val="21"/>
        </w:rPr>
      </w:pPr>
      <w:r>
        <w:rPr>
          <w:rFonts w:ascii="Calibri" w:hAnsi="Calibri" w:eastAsia="Calibri" w:cs="Calibri"/>
          <w:spacing w:val="-1"/>
          <w:sz w:val="21"/>
          <w:szCs w:val="21"/>
        </w:rPr>
        <w:t xml:space="preserve">1.10.2  </w:t>
      </w:r>
      <w:r>
        <w:rPr>
          <w:rFonts w:ascii="宋体" w:hAnsi="宋体" w:eastAsia="宋体" w:cs="宋体"/>
          <w:spacing w:val="-1"/>
          <w:sz w:val="21"/>
          <w:szCs w:val="21"/>
        </w:rPr>
        <w:t>在投标人须知前附表规定的时间前，投标人应使用</w:t>
      </w:r>
      <w:r>
        <w:rPr>
          <w:rFonts w:ascii="宋体" w:hAnsi="宋体" w:eastAsia="宋体" w:cs="宋体"/>
          <w:spacing w:val="-40"/>
          <w:sz w:val="21"/>
          <w:szCs w:val="21"/>
        </w:rPr>
        <w:t xml:space="preserve"> </w:t>
      </w:r>
      <w:r>
        <w:rPr>
          <w:rFonts w:ascii="Calibri" w:hAnsi="Calibri" w:eastAsia="Calibri" w:cs="Calibri"/>
          <w:spacing w:val="-1"/>
          <w:sz w:val="21"/>
          <w:szCs w:val="21"/>
        </w:rPr>
        <w:t>CA</w:t>
      </w:r>
      <w:r>
        <w:rPr>
          <w:rFonts w:ascii="Calibri" w:hAnsi="Calibri" w:eastAsia="Calibri" w:cs="Calibri"/>
          <w:spacing w:val="21"/>
          <w:w w:val="101"/>
          <w:sz w:val="21"/>
          <w:szCs w:val="21"/>
        </w:rPr>
        <w:t xml:space="preserve"> </w:t>
      </w:r>
      <w:r>
        <w:rPr>
          <w:rFonts w:ascii="宋体" w:hAnsi="宋体" w:eastAsia="宋体" w:cs="宋体"/>
          <w:spacing w:val="-1"/>
          <w:sz w:val="21"/>
          <w:szCs w:val="21"/>
        </w:rPr>
        <w:t>数字证书登录“电子交易</w:t>
      </w:r>
      <w:r>
        <w:rPr>
          <w:rFonts w:ascii="宋体" w:hAnsi="宋体" w:eastAsia="宋体" w:cs="宋体"/>
          <w:spacing w:val="-2"/>
          <w:sz w:val="21"/>
          <w:szCs w:val="21"/>
        </w:rPr>
        <w:t>平台”，在“投标答疑”菜单以书面形式将提出的</w:t>
      </w:r>
      <w:r>
        <w:rPr>
          <w:rFonts w:ascii="宋体" w:hAnsi="宋体" w:eastAsia="宋体" w:cs="宋体"/>
          <w:spacing w:val="-3"/>
          <w:sz w:val="21"/>
          <w:szCs w:val="21"/>
        </w:rPr>
        <w:t>问题送达招标人，以便招标人在会议期间</w:t>
      </w:r>
      <w:r>
        <w:rPr>
          <w:rFonts w:ascii="宋体" w:hAnsi="宋体" w:eastAsia="宋体" w:cs="宋体"/>
          <w:spacing w:val="-9"/>
          <w:sz w:val="21"/>
          <w:szCs w:val="21"/>
        </w:rPr>
        <w:t>澄清。</w:t>
      </w:r>
    </w:p>
    <w:p w14:paraId="33CEAE3D">
      <w:pPr>
        <w:spacing w:before="4" w:line="269" w:lineRule="auto"/>
        <w:ind w:left="24" w:right="78" w:firstLine="430"/>
        <w:rPr>
          <w:rFonts w:ascii="宋体" w:hAnsi="宋体" w:eastAsia="宋体" w:cs="宋体"/>
          <w:sz w:val="21"/>
          <w:szCs w:val="21"/>
        </w:rPr>
      </w:pPr>
      <w:r>
        <w:rPr>
          <w:rFonts w:ascii="Calibri" w:hAnsi="Calibri" w:eastAsia="Calibri" w:cs="Calibri"/>
          <w:sz w:val="21"/>
          <w:szCs w:val="21"/>
        </w:rPr>
        <w:t xml:space="preserve">1.10.3  </w:t>
      </w:r>
      <w:r>
        <w:rPr>
          <w:rFonts w:ascii="宋体" w:hAnsi="宋体" w:eastAsia="宋体" w:cs="宋体"/>
          <w:sz w:val="21"/>
          <w:szCs w:val="21"/>
        </w:rPr>
        <w:t>投标预备会后，招标人在本章第</w:t>
      </w:r>
      <w:r>
        <w:rPr>
          <w:rFonts w:ascii="宋体" w:hAnsi="宋体" w:eastAsia="宋体" w:cs="宋体"/>
          <w:spacing w:val="-36"/>
          <w:sz w:val="21"/>
          <w:szCs w:val="21"/>
        </w:rPr>
        <w:t xml:space="preserve"> </w:t>
      </w:r>
      <w:r>
        <w:rPr>
          <w:rFonts w:ascii="Calibri" w:hAnsi="Calibri" w:eastAsia="Calibri" w:cs="Calibri"/>
          <w:sz w:val="21"/>
          <w:szCs w:val="21"/>
        </w:rPr>
        <w:t>2.2.2</w:t>
      </w:r>
      <w:r>
        <w:rPr>
          <w:rFonts w:ascii="Calibri" w:hAnsi="Calibri" w:eastAsia="Calibri" w:cs="Calibri"/>
          <w:spacing w:val="24"/>
          <w:sz w:val="21"/>
          <w:szCs w:val="21"/>
        </w:rPr>
        <w:t xml:space="preserve"> </w:t>
      </w:r>
      <w:r>
        <w:rPr>
          <w:rFonts w:ascii="宋体" w:hAnsi="宋体" w:eastAsia="宋体" w:cs="宋体"/>
          <w:sz w:val="21"/>
          <w:szCs w:val="21"/>
        </w:rPr>
        <w:t>项规定的时</w:t>
      </w:r>
      <w:r>
        <w:rPr>
          <w:rFonts w:ascii="宋体" w:hAnsi="宋体" w:eastAsia="宋体" w:cs="宋体"/>
          <w:spacing w:val="-1"/>
          <w:sz w:val="21"/>
          <w:szCs w:val="21"/>
        </w:rPr>
        <w:t>间内，将对投标人所提问题的</w:t>
      </w:r>
      <w:r>
        <w:rPr>
          <w:rFonts w:ascii="宋体" w:hAnsi="宋体" w:eastAsia="宋体" w:cs="宋体"/>
          <w:spacing w:val="-2"/>
          <w:sz w:val="21"/>
          <w:szCs w:val="21"/>
        </w:rPr>
        <w:t>澄清，以书面形式通过“电子交易平台”通知所有下载招标文件的投标人。该澄清内容为招</w:t>
      </w:r>
      <w:r>
        <w:rPr>
          <w:rFonts w:ascii="宋体" w:hAnsi="宋体" w:eastAsia="宋体" w:cs="宋体"/>
          <w:spacing w:val="-4"/>
          <w:sz w:val="21"/>
          <w:szCs w:val="21"/>
        </w:rPr>
        <w:t>标文件的组成部分。</w:t>
      </w:r>
    </w:p>
    <w:p w14:paraId="736BD011">
      <w:pPr>
        <w:pStyle w:val="2"/>
        <w:spacing w:line="320" w:lineRule="auto"/>
      </w:pPr>
    </w:p>
    <w:p w14:paraId="3A0394BC">
      <w:pPr>
        <w:spacing w:before="92" w:line="369" w:lineRule="exact"/>
        <w:ind w:left="40"/>
        <w:outlineLvl w:val="3"/>
        <w:rPr>
          <w:rFonts w:ascii="黑体" w:hAnsi="黑体" w:eastAsia="黑体" w:cs="黑体"/>
          <w:sz w:val="28"/>
          <w:szCs w:val="28"/>
        </w:rPr>
      </w:pPr>
      <w:r>
        <w:rPr>
          <w:rFonts w:ascii="Calibri" w:hAnsi="Calibri" w:eastAsia="Calibri" w:cs="Calibri"/>
          <w:spacing w:val="1"/>
          <w:position w:val="1"/>
          <w:sz w:val="28"/>
          <w:szCs w:val="28"/>
        </w:rPr>
        <w:t xml:space="preserve">1.11  </w:t>
      </w:r>
      <w:r>
        <w:rPr>
          <w:rFonts w:ascii="黑体" w:hAnsi="黑体" w:eastAsia="黑体" w:cs="黑体"/>
          <w:spacing w:val="1"/>
          <w:position w:val="1"/>
          <w:sz w:val="28"/>
          <w:szCs w:val="28"/>
        </w:rPr>
        <w:t>分包</w:t>
      </w:r>
    </w:p>
    <w:p w14:paraId="06E8A09A">
      <w:pPr>
        <w:pStyle w:val="2"/>
        <w:spacing w:line="359" w:lineRule="auto"/>
      </w:pPr>
    </w:p>
    <w:p w14:paraId="0B0654ED">
      <w:pPr>
        <w:spacing w:before="69" w:line="279" w:lineRule="auto"/>
        <w:ind w:left="27" w:right="89" w:firstLine="419"/>
        <w:rPr>
          <w:rFonts w:ascii="宋体" w:hAnsi="宋体" w:eastAsia="宋体" w:cs="宋体"/>
          <w:sz w:val="21"/>
          <w:szCs w:val="21"/>
        </w:rPr>
      </w:pPr>
      <w:r>
        <w:rPr>
          <w:rFonts w:ascii="宋体" w:hAnsi="宋体" w:eastAsia="宋体" w:cs="宋体"/>
          <w:spacing w:val="-4"/>
          <w:sz w:val="21"/>
          <w:szCs w:val="21"/>
        </w:rPr>
        <w:t>投标人拟在中标后将中标项目的部分非主体、非关键性工作进行分包的，</w:t>
      </w:r>
      <w:r>
        <w:rPr>
          <w:rFonts w:ascii="宋体" w:hAnsi="宋体" w:eastAsia="宋体" w:cs="宋体"/>
          <w:spacing w:val="-38"/>
          <w:sz w:val="21"/>
          <w:szCs w:val="21"/>
        </w:rPr>
        <w:t xml:space="preserve"> </w:t>
      </w:r>
      <w:r>
        <w:rPr>
          <w:rFonts w:ascii="宋体" w:hAnsi="宋体" w:eastAsia="宋体" w:cs="宋体"/>
          <w:spacing w:val="-4"/>
          <w:sz w:val="21"/>
          <w:szCs w:val="21"/>
        </w:rPr>
        <w:t>应符合投标人</w:t>
      </w:r>
      <w:r>
        <w:rPr>
          <w:rFonts w:ascii="宋体" w:hAnsi="宋体" w:eastAsia="宋体" w:cs="宋体"/>
          <w:spacing w:val="-1"/>
          <w:sz w:val="21"/>
          <w:szCs w:val="21"/>
        </w:rPr>
        <w:t>须知前附表规定的分包内容、分包金额和接受分包的第三人资质要求等限制性条件。</w:t>
      </w:r>
    </w:p>
    <w:p w14:paraId="06520631">
      <w:pPr>
        <w:pStyle w:val="2"/>
        <w:spacing w:line="289" w:lineRule="auto"/>
      </w:pPr>
    </w:p>
    <w:p w14:paraId="44ABB5E5">
      <w:pPr>
        <w:spacing w:before="92" w:line="369" w:lineRule="exact"/>
        <w:ind w:left="40"/>
        <w:outlineLvl w:val="3"/>
        <w:rPr>
          <w:rFonts w:ascii="黑体" w:hAnsi="黑体" w:eastAsia="黑体" w:cs="黑体"/>
          <w:sz w:val="28"/>
          <w:szCs w:val="28"/>
        </w:rPr>
      </w:pPr>
      <w:r>
        <w:rPr>
          <w:rFonts w:ascii="Calibri" w:hAnsi="Calibri" w:eastAsia="Calibri" w:cs="Calibri"/>
          <w:spacing w:val="2"/>
          <w:position w:val="1"/>
          <w:sz w:val="28"/>
          <w:szCs w:val="28"/>
        </w:rPr>
        <w:t>1.12</w:t>
      </w:r>
      <w:r>
        <w:rPr>
          <w:rFonts w:ascii="Calibri" w:hAnsi="Calibri" w:eastAsia="Calibri" w:cs="Calibri"/>
          <w:spacing w:val="59"/>
          <w:position w:val="1"/>
          <w:sz w:val="28"/>
          <w:szCs w:val="28"/>
        </w:rPr>
        <w:t xml:space="preserve"> </w:t>
      </w:r>
      <w:r>
        <w:rPr>
          <w:rFonts w:ascii="黑体" w:hAnsi="黑体" w:eastAsia="黑体" w:cs="黑体"/>
          <w:spacing w:val="2"/>
          <w:position w:val="1"/>
          <w:sz w:val="28"/>
          <w:szCs w:val="28"/>
        </w:rPr>
        <w:t>偏离</w:t>
      </w:r>
    </w:p>
    <w:p w14:paraId="2736B288">
      <w:pPr>
        <w:pStyle w:val="2"/>
        <w:spacing w:line="359" w:lineRule="auto"/>
      </w:pPr>
    </w:p>
    <w:p w14:paraId="5B070DA3">
      <w:pPr>
        <w:spacing w:before="69" w:line="279" w:lineRule="auto"/>
        <w:ind w:left="41" w:right="89" w:firstLine="405"/>
        <w:rPr>
          <w:rFonts w:ascii="宋体" w:hAnsi="宋体" w:eastAsia="宋体" w:cs="宋体"/>
          <w:sz w:val="21"/>
          <w:szCs w:val="21"/>
        </w:rPr>
      </w:pPr>
      <w:r>
        <w:rPr>
          <w:rFonts w:ascii="宋体" w:hAnsi="宋体" w:eastAsia="宋体" w:cs="宋体"/>
          <w:spacing w:val="-2"/>
          <w:sz w:val="21"/>
          <w:szCs w:val="21"/>
        </w:rPr>
        <w:t>投标人须知前附表允许投标文件偏离招标文件某些要求的，偏离应当</w:t>
      </w:r>
      <w:r>
        <w:rPr>
          <w:rFonts w:ascii="宋体" w:hAnsi="宋体" w:eastAsia="宋体" w:cs="宋体"/>
          <w:spacing w:val="-3"/>
          <w:sz w:val="21"/>
          <w:szCs w:val="21"/>
        </w:rPr>
        <w:t>符合招标文件规定</w:t>
      </w:r>
      <w:r>
        <w:rPr>
          <w:rFonts w:ascii="宋体" w:hAnsi="宋体" w:eastAsia="宋体" w:cs="宋体"/>
          <w:spacing w:val="-6"/>
          <w:sz w:val="21"/>
          <w:szCs w:val="21"/>
        </w:rPr>
        <w:t>的偏离范围和幅度。</w:t>
      </w:r>
    </w:p>
    <w:p w14:paraId="79716507">
      <w:pPr>
        <w:pStyle w:val="2"/>
        <w:spacing w:line="289" w:lineRule="auto"/>
      </w:pPr>
    </w:p>
    <w:p w14:paraId="24A49DE9">
      <w:pPr>
        <w:spacing w:before="92" w:line="368" w:lineRule="exact"/>
        <w:ind w:left="31"/>
        <w:outlineLvl w:val="2"/>
        <w:rPr>
          <w:rFonts w:ascii="黑体" w:hAnsi="黑体" w:eastAsia="黑体" w:cs="黑体"/>
          <w:sz w:val="28"/>
          <w:szCs w:val="28"/>
        </w:rPr>
      </w:pPr>
      <w:bookmarkStart w:id="8" w:name="bookmark7"/>
      <w:bookmarkEnd w:id="8"/>
      <w:r>
        <w:rPr>
          <w:rFonts w:ascii="Calibri" w:hAnsi="Calibri" w:eastAsia="Calibri" w:cs="Calibri"/>
          <w:spacing w:val="5"/>
          <w:position w:val="1"/>
          <w:sz w:val="28"/>
          <w:szCs w:val="28"/>
        </w:rPr>
        <w:t>2.</w:t>
      </w:r>
      <w:r>
        <w:rPr>
          <w:rFonts w:ascii="Calibri" w:hAnsi="Calibri" w:eastAsia="Calibri" w:cs="Calibri"/>
          <w:spacing w:val="13"/>
          <w:position w:val="1"/>
          <w:sz w:val="28"/>
          <w:szCs w:val="28"/>
        </w:rPr>
        <w:t xml:space="preserve">  </w:t>
      </w:r>
      <w:r>
        <w:rPr>
          <w:rFonts w:ascii="黑体" w:hAnsi="黑体" w:eastAsia="黑体" w:cs="黑体"/>
          <w:spacing w:val="5"/>
          <w:position w:val="1"/>
          <w:sz w:val="28"/>
          <w:szCs w:val="28"/>
        </w:rPr>
        <w:t>招标文件</w:t>
      </w:r>
    </w:p>
    <w:p w14:paraId="24AE8422">
      <w:pPr>
        <w:pStyle w:val="2"/>
        <w:spacing w:line="438" w:lineRule="auto"/>
      </w:pPr>
    </w:p>
    <w:p w14:paraId="75F6BA83">
      <w:pPr>
        <w:spacing w:before="92" w:line="368" w:lineRule="exact"/>
        <w:ind w:left="31"/>
        <w:outlineLvl w:val="3"/>
        <w:rPr>
          <w:rFonts w:ascii="黑体" w:hAnsi="黑体" w:eastAsia="黑体" w:cs="黑体"/>
          <w:sz w:val="28"/>
          <w:szCs w:val="28"/>
        </w:rPr>
      </w:pPr>
      <w:r>
        <w:rPr>
          <w:rFonts w:ascii="Calibri" w:hAnsi="Calibri" w:eastAsia="Calibri" w:cs="Calibri"/>
          <w:spacing w:val="4"/>
          <w:position w:val="1"/>
          <w:sz w:val="28"/>
          <w:szCs w:val="28"/>
        </w:rPr>
        <w:t xml:space="preserve">2.1  </w:t>
      </w:r>
      <w:r>
        <w:rPr>
          <w:rFonts w:ascii="黑体" w:hAnsi="黑体" w:eastAsia="黑体" w:cs="黑体"/>
          <w:spacing w:val="4"/>
          <w:position w:val="1"/>
          <w:sz w:val="28"/>
          <w:szCs w:val="28"/>
        </w:rPr>
        <w:t>招标文件的组成</w:t>
      </w:r>
    </w:p>
    <w:p w14:paraId="47C13133">
      <w:pPr>
        <w:pStyle w:val="2"/>
        <w:spacing w:line="346" w:lineRule="auto"/>
      </w:pPr>
    </w:p>
    <w:p w14:paraId="1A630A42">
      <w:pPr>
        <w:spacing w:before="69" w:line="239" w:lineRule="auto"/>
        <w:ind w:left="448"/>
        <w:rPr>
          <w:rFonts w:ascii="宋体" w:hAnsi="宋体" w:eastAsia="宋体" w:cs="宋体"/>
          <w:sz w:val="21"/>
          <w:szCs w:val="21"/>
        </w:rPr>
      </w:pPr>
      <w:r>
        <w:rPr>
          <w:rFonts w:ascii="Calibri" w:hAnsi="Calibri" w:eastAsia="Calibri" w:cs="Calibri"/>
          <w:spacing w:val="-4"/>
          <w:sz w:val="21"/>
          <w:szCs w:val="21"/>
        </w:rPr>
        <w:t>2.1.1</w:t>
      </w:r>
      <w:r>
        <w:rPr>
          <w:rFonts w:ascii="Calibri" w:hAnsi="Calibri" w:eastAsia="Calibri" w:cs="Calibri"/>
          <w:spacing w:val="23"/>
          <w:w w:val="102"/>
          <w:sz w:val="21"/>
          <w:szCs w:val="21"/>
        </w:rPr>
        <w:t xml:space="preserve"> </w:t>
      </w:r>
      <w:r>
        <w:rPr>
          <w:rFonts w:ascii="宋体" w:hAnsi="宋体" w:eastAsia="宋体" w:cs="宋体"/>
          <w:spacing w:val="-4"/>
          <w:sz w:val="21"/>
          <w:szCs w:val="21"/>
        </w:rPr>
        <w:t>本招标文件包括：</w:t>
      </w:r>
    </w:p>
    <w:p w14:paraId="7B4DC48F">
      <w:pPr>
        <w:spacing w:before="44" w:line="238" w:lineRule="auto"/>
        <w:ind w:left="450"/>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1</w:t>
      </w:r>
      <w:r>
        <w:rPr>
          <w:rFonts w:ascii="宋体" w:hAnsi="宋体" w:eastAsia="宋体" w:cs="宋体"/>
          <w:spacing w:val="-9"/>
          <w:sz w:val="21"/>
          <w:szCs w:val="21"/>
        </w:rPr>
        <w:t>）招标公告（或投标邀请书</w:t>
      </w:r>
      <w:r>
        <w:rPr>
          <w:rFonts w:ascii="宋体" w:hAnsi="宋体" w:eastAsia="宋体" w:cs="宋体"/>
          <w:spacing w:val="-2"/>
          <w:sz w:val="21"/>
          <w:szCs w:val="21"/>
        </w:rPr>
        <w:t>）；</w:t>
      </w:r>
    </w:p>
    <w:p w14:paraId="5688DE46">
      <w:pPr>
        <w:spacing w:before="44"/>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2</w:t>
      </w:r>
      <w:r>
        <w:rPr>
          <w:rFonts w:ascii="宋体" w:hAnsi="宋体" w:eastAsia="宋体" w:cs="宋体"/>
          <w:spacing w:val="-7"/>
          <w:sz w:val="21"/>
          <w:szCs w:val="21"/>
        </w:rPr>
        <w:t>）投标人须知；</w:t>
      </w:r>
    </w:p>
    <w:p w14:paraId="1BFC84B3">
      <w:pPr>
        <w:rPr>
          <w:rFonts w:ascii="宋体" w:hAnsi="宋体" w:eastAsia="宋体" w:cs="宋体"/>
          <w:sz w:val="21"/>
          <w:szCs w:val="21"/>
        </w:rPr>
        <w:sectPr>
          <w:footerReference r:id="rId35" w:type="default"/>
          <w:pgSz w:w="11910" w:h="16845"/>
          <w:pgMar w:top="1431" w:right="1689" w:bottom="1065" w:left="1786" w:header="0" w:footer="837" w:gutter="0"/>
          <w:cols w:space="720" w:num="1"/>
        </w:sectPr>
      </w:pPr>
    </w:p>
    <w:p w14:paraId="437D140B">
      <w:pPr>
        <w:spacing w:before="53"/>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）评标办法；</w:t>
      </w:r>
    </w:p>
    <w:p w14:paraId="59FD3F66">
      <w:pPr>
        <w:spacing w:before="42"/>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）合同条款及格式；</w:t>
      </w:r>
    </w:p>
    <w:p w14:paraId="146D0F90">
      <w:pPr>
        <w:spacing w:before="42"/>
        <w:ind w:left="45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）工程量清单；</w:t>
      </w:r>
    </w:p>
    <w:p w14:paraId="47C0CD1F">
      <w:pPr>
        <w:spacing w:before="27" w:line="241" w:lineRule="auto"/>
        <w:ind w:left="450"/>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6</w:t>
      </w:r>
      <w:r>
        <w:rPr>
          <w:rFonts w:ascii="宋体" w:hAnsi="宋体" w:eastAsia="宋体" w:cs="宋体"/>
          <w:spacing w:val="-9"/>
          <w:sz w:val="21"/>
          <w:szCs w:val="21"/>
        </w:rPr>
        <w:t>）图纸；</w:t>
      </w:r>
    </w:p>
    <w:p w14:paraId="1D995779">
      <w:pPr>
        <w:spacing w:before="40"/>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）技术标准和要求；</w:t>
      </w:r>
    </w:p>
    <w:p w14:paraId="7AAA81A5">
      <w:pPr>
        <w:spacing w:before="43"/>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8</w:t>
      </w:r>
      <w:r>
        <w:rPr>
          <w:rFonts w:ascii="宋体" w:hAnsi="宋体" w:eastAsia="宋体" w:cs="宋体"/>
          <w:spacing w:val="-6"/>
          <w:sz w:val="21"/>
          <w:szCs w:val="21"/>
        </w:rPr>
        <w:t>）投标文件格式；</w:t>
      </w:r>
    </w:p>
    <w:p w14:paraId="5AC8BDEA">
      <w:pPr>
        <w:spacing w:before="42"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9</w:t>
      </w:r>
      <w:r>
        <w:rPr>
          <w:rFonts w:ascii="宋体" w:hAnsi="宋体" w:eastAsia="宋体" w:cs="宋体"/>
          <w:spacing w:val="-2"/>
          <w:sz w:val="21"/>
          <w:szCs w:val="21"/>
        </w:rPr>
        <w:t>）投标人须知前附表规定的其他材料。</w:t>
      </w:r>
    </w:p>
    <w:p w14:paraId="619A085E">
      <w:pPr>
        <w:spacing w:before="43" w:line="257" w:lineRule="auto"/>
        <w:ind w:left="41" w:firstLine="403"/>
        <w:rPr>
          <w:rFonts w:ascii="宋体" w:hAnsi="宋体" w:eastAsia="宋体" w:cs="宋体"/>
          <w:sz w:val="21"/>
          <w:szCs w:val="21"/>
        </w:rPr>
      </w:pPr>
      <w:r>
        <w:rPr>
          <w:rFonts w:ascii="宋体" w:hAnsi="宋体" w:eastAsia="宋体" w:cs="宋体"/>
          <w:spacing w:val="-7"/>
          <w:sz w:val="21"/>
          <w:szCs w:val="21"/>
        </w:rPr>
        <w:t>根据本章第</w:t>
      </w:r>
      <w:r>
        <w:rPr>
          <w:rFonts w:ascii="宋体" w:hAnsi="宋体" w:eastAsia="宋体" w:cs="宋体"/>
          <w:spacing w:val="-21"/>
          <w:sz w:val="21"/>
          <w:szCs w:val="21"/>
        </w:rPr>
        <w:t xml:space="preserve"> </w:t>
      </w:r>
      <w:r>
        <w:rPr>
          <w:rFonts w:ascii="Calibri" w:hAnsi="Calibri" w:eastAsia="Calibri" w:cs="Calibri"/>
          <w:spacing w:val="-7"/>
          <w:sz w:val="21"/>
          <w:szCs w:val="21"/>
        </w:rPr>
        <w:t>1.10</w:t>
      </w:r>
      <w:r>
        <w:rPr>
          <w:rFonts w:ascii="Calibri" w:hAnsi="Calibri" w:eastAsia="Calibri" w:cs="Calibri"/>
          <w:spacing w:val="20"/>
          <w:w w:val="102"/>
          <w:sz w:val="21"/>
          <w:szCs w:val="21"/>
        </w:rPr>
        <w:t xml:space="preserve"> </w:t>
      </w:r>
      <w:r>
        <w:rPr>
          <w:rFonts w:ascii="宋体" w:hAnsi="宋体" w:eastAsia="宋体" w:cs="宋体"/>
          <w:spacing w:val="-7"/>
          <w:sz w:val="21"/>
          <w:szCs w:val="21"/>
        </w:rPr>
        <w:t>款、第</w:t>
      </w:r>
      <w:r>
        <w:rPr>
          <w:rFonts w:ascii="宋体" w:hAnsi="宋体" w:eastAsia="宋体" w:cs="宋体"/>
          <w:spacing w:val="-34"/>
          <w:sz w:val="21"/>
          <w:szCs w:val="21"/>
        </w:rPr>
        <w:t xml:space="preserve"> </w:t>
      </w:r>
      <w:r>
        <w:rPr>
          <w:rFonts w:ascii="Calibri" w:hAnsi="Calibri" w:eastAsia="Calibri" w:cs="Calibri"/>
          <w:spacing w:val="-7"/>
          <w:sz w:val="21"/>
          <w:szCs w:val="21"/>
        </w:rPr>
        <w:t>2.2</w:t>
      </w:r>
      <w:r>
        <w:rPr>
          <w:rFonts w:ascii="Calibri" w:hAnsi="Calibri" w:eastAsia="Calibri" w:cs="Calibri"/>
          <w:spacing w:val="21"/>
          <w:sz w:val="21"/>
          <w:szCs w:val="21"/>
        </w:rPr>
        <w:t xml:space="preserve"> </w:t>
      </w:r>
      <w:r>
        <w:rPr>
          <w:rFonts w:ascii="宋体" w:hAnsi="宋体" w:eastAsia="宋体" w:cs="宋体"/>
          <w:spacing w:val="-7"/>
          <w:sz w:val="21"/>
          <w:szCs w:val="21"/>
        </w:rPr>
        <w:t>款和第</w:t>
      </w:r>
      <w:r>
        <w:rPr>
          <w:rFonts w:ascii="宋体" w:hAnsi="宋体" w:eastAsia="宋体" w:cs="宋体"/>
          <w:spacing w:val="-33"/>
          <w:sz w:val="21"/>
          <w:szCs w:val="21"/>
        </w:rPr>
        <w:t xml:space="preserve"> </w:t>
      </w:r>
      <w:r>
        <w:rPr>
          <w:rFonts w:ascii="Calibri" w:hAnsi="Calibri" w:eastAsia="Calibri" w:cs="Calibri"/>
          <w:spacing w:val="-7"/>
          <w:sz w:val="21"/>
          <w:szCs w:val="21"/>
        </w:rPr>
        <w:t>2.3</w:t>
      </w:r>
      <w:r>
        <w:rPr>
          <w:rFonts w:ascii="Calibri" w:hAnsi="Calibri" w:eastAsia="Calibri" w:cs="Calibri"/>
          <w:spacing w:val="20"/>
          <w:w w:val="102"/>
          <w:sz w:val="21"/>
          <w:szCs w:val="21"/>
        </w:rPr>
        <w:t xml:space="preserve"> </w:t>
      </w:r>
      <w:r>
        <w:rPr>
          <w:rFonts w:ascii="宋体" w:hAnsi="宋体" w:eastAsia="宋体" w:cs="宋体"/>
          <w:spacing w:val="-7"/>
          <w:sz w:val="21"/>
          <w:szCs w:val="21"/>
        </w:rPr>
        <w:t>款对招标文件所作的澄清、修改，</w:t>
      </w:r>
      <w:r>
        <w:rPr>
          <w:rFonts w:ascii="宋体" w:hAnsi="宋体" w:eastAsia="宋体" w:cs="宋体"/>
          <w:spacing w:val="43"/>
          <w:sz w:val="21"/>
          <w:szCs w:val="21"/>
        </w:rPr>
        <w:t xml:space="preserve"> </w:t>
      </w:r>
      <w:r>
        <w:rPr>
          <w:rFonts w:ascii="宋体" w:hAnsi="宋体" w:eastAsia="宋体" w:cs="宋体"/>
          <w:spacing w:val="-7"/>
          <w:sz w:val="21"/>
          <w:szCs w:val="21"/>
        </w:rPr>
        <w:t>构成招标文件</w:t>
      </w:r>
      <w:r>
        <w:rPr>
          <w:rFonts w:ascii="宋体" w:hAnsi="宋体" w:eastAsia="宋体" w:cs="宋体"/>
          <w:spacing w:val="-8"/>
          <w:sz w:val="21"/>
          <w:szCs w:val="21"/>
        </w:rPr>
        <w:t>的组成部分。</w:t>
      </w:r>
    </w:p>
    <w:p w14:paraId="64D35A83">
      <w:pPr>
        <w:spacing w:before="32" w:line="238" w:lineRule="auto"/>
        <w:ind w:left="448"/>
        <w:rPr>
          <w:rFonts w:ascii="宋体" w:hAnsi="宋体" w:eastAsia="宋体" w:cs="宋体"/>
          <w:sz w:val="21"/>
          <w:szCs w:val="21"/>
        </w:rPr>
      </w:pPr>
      <w:r>
        <w:rPr>
          <w:rFonts w:ascii="Calibri" w:hAnsi="Calibri" w:eastAsia="Calibri" w:cs="Calibri"/>
          <w:spacing w:val="-1"/>
          <w:sz w:val="21"/>
          <w:szCs w:val="21"/>
        </w:rPr>
        <w:t xml:space="preserve">2.1.2  </w:t>
      </w:r>
      <w:r>
        <w:rPr>
          <w:rFonts w:ascii="宋体" w:hAnsi="宋体" w:eastAsia="宋体" w:cs="宋体"/>
          <w:spacing w:val="-1"/>
          <w:sz w:val="21"/>
          <w:szCs w:val="21"/>
        </w:rPr>
        <w:t>最高投标限价</w:t>
      </w:r>
    </w:p>
    <w:p w14:paraId="34B67FCF">
      <w:pPr>
        <w:spacing w:before="44"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）本工程的计税方法见投标人须知前附表。</w:t>
      </w:r>
    </w:p>
    <w:p w14:paraId="0D2C7B22">
      <w:pPr>
        <w:spacing w:before="43" w:line="269" w:lineRule="auto"/>
        <w:ind w:left="27" w:right="35" w:firstLine="422"/>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）招标人将设置最高投标限价，最高投标限价或最高投标限价的</w:t>
      </w:r>
      <w:r>
        <w:rPr>
          <w:rFonts w:ascii="宋体" w:hAnsi="宋体" w:eastAsia="宋体" w:cs="宋体"/>
          <w:spacing w:val="-1"/>
          <w:sz w:val="21"/>
          <w:szCs w:val="21"/>
        </w:rPr>
        <w:t>计算方法见投标人</w:t>
      </w:r>
      <w:r>
        <w:rPr>
          <w:rFonts w:ascii="宋体" w:hAnsi="宋体" w:eastAsia="宋体" w:cs="宋体"/>
          <w:spacing w:val="-6"/>
          <w:sz w:val="21"/>
          <w:szCs w:val="21"/>
        </w:rPr>
        <w:t>须知前附表。</w:t>
      </w:r>
    </w:p>
    <w:p w14:paraId="6ED7314A">
      <w:pPr>
        <w:pStyle w:val="2"/>
        <w:spacing w:line="312" w:lineRule="auto"/>
      </w:pPr>
    </w:p>
    <w:p w14:paraId="1D3B4192">
      <w:pPr>
        <w:spacing w:before="91" w:line="368" w:lineRule="exact"/>
        <w:ind w:left="31"/>
        <w:outlineLvl w:val="3"/>
        <w:rPr>
          <w:rFonts w:ascii="黑体" w:hAnsi="黑体" w:eastAsia="黑体" w:cs="黑体"/>
          <w:sz w:val="28"/>
          <w:szCs w:val="28"/>
        </w:rPr>
      </w:pPr>
      <w:r>
        <w:rPr>
          <w:rFonts w:ascii="Calibri" w:hAnsi="Calibri" w:eastAsia="Calibri" w:cs="Calibri"/>
          <w:spacing w:val="4"/>
          <w:position w:val="1"/>
          <w:sz w:val="28"/>
          <w:szCs w:val="28"/>
        </w:rPr>
        <w:t xml:space="preserve">2.2  </w:t>
      </w:r>
      <w:r>
        <w:rPr>
          <w:rFonts w:ascii="黑体" w:hAnsi="黑体" w:eastAsia="黑体" w:cs="黑体"/>
          <w:spacing w:val="4"/>
          <w:position w:val="1"/>
          <w:sz w:val="28"/>
          <w:szCs w:val="28"/>
        </w:rPr>
        <w:t>招标文件的澄清</w:t>
      </w:r>
    </w:p>
    <w:p w14:paraId="3443BE5B">
      <w:pPr>
        <w:pStyle w:val="2"/>
        <w:spacing w:line="360" w:lineRule="auto"/>
      </w:pPr>
    </w:p>
    <w:p w14:paraId="712485BF">
      <w:pPr>
        <w:spacing w:before="69" w:line="273" w:lineRule="auto"/>
        <w:ind w:left="24" w:right="4" w:firstLine="424"/>
        <w:rPr>
          <w:rFonts w:ascii="宋体" w:hAnsi="宋体" w:eastAsia="宋体" w:cs="宋体"/>
          <w:sz w:val="21"/>
          <w:szCs w:val="21"/>
        </w:rPr>
      </w:pPr>
      <w:r>
        <w:rPr>
          <w:rFonts w:ascii="Calibri" w:hAnsi="Calibri" w:eastAsia="Calibri" w:cs="Calibri"/>
          <w:spacing w:val="1"/>
          <w:sz w:val="21"/>
          <w:szCs w:val="21"/>
        </w:rPr>
        <w:t xml:space="preserve">2.2.1  </w:t>
      </w:r>
      <w:r>
        <w:rPr>
          <w:rFonts w:ascii="宋体" w:hAnsi="宋体" w:eastAsia="宋体" w:cs="宋体"/>
          <w:spacing w:val="1"/>
          <w:sz w:val="21"/>
          <w:szCs w:val="21"/>
        </w:rPr>
        <w:t>投标人应仔细阅读和检查招标文件的全</w:t>
      </w:r>
      <w:r>
        <w:rPr>
          <w:rFonts w:ascii="宋体" w:hAnsi="宋体" w:eastAsia="宋体" w:cs="宋体"/>
          <w:sz w:val="21"/>
          <w:szCs w:val="21"/>
        </w:rPr>
        <w:t>部内容。如发现缺页或附件不全，应及时</w:t>
      </w:r>
      <w:r>
        <w:rPr>
          <w:rFonts w:ascii="宋体" w:hAnsi="宋体" w:eastAsia="宋体" w:cs="宋体"/>
          <w:spacing w:val="-1"/>
          <w:sz w:val="21"/>
          <w:szCs w:val="21"/>
        </w:rPr>
        <w:t>向招标人提出，以便补齐。如有疑问，应在投标人须知前附表规定的时间前，使用</w:t>
      </w:r>
      <w:r>
        <w:rPr>
          <w:rFonts w:ascii="宋体" w:hAnsi="宋体" w:eastAsia="宋体" w:cs="宋体"/>
          <w:spacing w:val="-21"/>
          <w:sz w:val="21"/>
          <w:szCs w:val="21"/>
        </w:rPr>
        <w:t xml:space="preserve"> </w:t>
      </w:r>
      <w:r>
        <w:rPr>
          <w:rFonts w:ascii="Calibri" w:hAnsi="Calibri" w:eastAsia="Calibri" w:cs="Calibri"/>
          <w:spacing w:val="-1"/>
          <w:sz w:val="21"/>
          <w:szCs w:val="21"/>
        </w:rPr>
        <w:t>CA</w:t>
      </w:r>
      <w:r>
        <w:rPr>
          <w:rFonts w:ascii="Calibri" w:hAnsi="Calibri" w:eastAsia="Calibri" w:cs="Calibri"/>
          <w:spacing w:val="21"/>
          <w:sz w:val="21"/>
          <w:szCs w:val="21"/>
        </w:rPr>
        <w:t xml:space="preserve"> </w:t>
      </w:r>
      <w:r>
        <w:rPr>
          <w:rFonts w:ascii="宋体" w:hAnsi="宋体" w:eastAsia="宋体" w:cs="宋体"/>
          <w:spacing w:val="-1"/>
          <w:sz w:val="21"/>
          <w:szCs w:val="21"/>
        </w:rPr>
        <w:t>数字</w:t>
      </w:r>
      <w:r>
        <w:rPr>
          <w:rFonts w:ascii="宋体" w:hAnsi="宋体" w:eastAsia="宋体" w:cs="宋体"/>
          <w:spacing w:val="-3"/>
          <w:sz w:val="21"/>
          <w:szCs w:val="21"/>
        </w:rPr>
        <w:t>证书登录“电子交易平台”，在“投标答疑”菜单以书面形式要求招标人对招标文件予以澄</w:t>
      </w:r>
      <w:r>
        <w:rPr>
          <w:rFonts w:ascii="宋体" w:hAnsi="宋体" w:eastAsia="宋体" w:cs="宋体"/>
          <w:spacing w:val="-10"/>
          <w:sz w:val="21"/>
          <w:szCs w:val="21"/>
        </w:rPr>
        <w:t>清。</w:t>
      </w:r>
    </w:p>
    <w:p w14:paraId="606372DF">
      <w:pPr>
        <w:spacing w:before="4" w:line="274" w:lineRule="auto"/>
        <w:ind w:left="20" w:right="1" w:firstLine="427"/>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招标人对招标文件的澄清通过“电子交</w:t>
      </w:r>
      <w:r>
        <w:rPr>
          <w:rFonts w:ascii="宋体" w:hAnsi="宋体" w:eastAsia="宋体" w:cs="宋体"/>
          <w:sz w:val="21"/>
          <w:szCs w:val="21"/>
        </w:rPr>
        <w:t>易平台”以书面形式发给所有下载招标文</w:t>
      </w:r>
      <w:r>
        <w:rPr>
          <w:rFonts w:ascii="宋体" w:hAnsi="宋体" w:eastAsia="宋体" w:cs="宋体"/>
          <w:spacing w:val="3"/>
          <w:sz w:val="21"/>
          <w:szCs w:val="21"/>
        </w:rPr>
        <w:t>件的投标人，但不指明澄清问题的来源。如果澄清通知发出的时间距投标人须知前</w:t>
      </w:r>
      <w:r>
        <w:rPr>
          <w:rFonts w:ascii="宋体" w:hAnsi="宋体" w:eastAsia="宋体" w:cs="宋体"/>
          <w:spacing w:val="2"/>
          <w:sz w:val="21"/>
          <w:szCs w:val="21"/>
        </w:rPr>
        <w:t>附表第</w:t>
      </w:r>
      <w:r>
        <w:rPr>
          <w:rFonts w:ascii="Calibri" w:hAnsi="Calibri" w:eastAsia="Calibri" w:cs="Calibri"/>
          <w:spacing w:val="-2"/>
          <w:sz w:val="21"/>
          <w:szCs w:val="21"/>
        </w:rPr>
        <w:t>4.2.1</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项规定的投标截止时间不足</w:t>
      </w:r>
      <w:r>
        <w:rPr>
          <w:rFonts w:ascii="宋体" w:hAnsi="宋体" w:eastAsia="宋体" w:cs="宋体"/>
          <w:spacing w:val="-29"/>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日，并且澄清的</w:t>
      </w:r>
      <w:r>
        <w:rPr>
          <w:rFonts w:ascii="宋体" w:hAnsi="宋体" w:eastAsia="宋体" w:cs="宋体"/>
          <w:spacing w:val="-3"/>
          <w:sz w:val="21"/>
          <w:szCs w:val="21"/>
        </w:rPr>
        <w:t>内容影响投标文件编制的，相应延长投</w:t>
      </w:r>
      <w:r>
        <w:rPr>
          <w:rFonts w:ascii="宋体" w:hAnsi="宋体" w:eastAsia="宋体" w:cs="宋体"/>
          <w:spacing w:val="-5"/>
          <w:sz w:val="21"/>
          <w:szCs w:val="21"/>
        </w:rPr>
        <w:t>标截止时间。</w:t>
      </w:r>
    </w:p>
    <w:p w14:paraId="18E8DFED">
      <w:pPr>
        <w:spacing w:before="1" w:line="269" w:lineRule="auto"/>
        <w:ind w:left="34" w:right="19" w:firstLine="414"/>
        <w:rPr>
          <w:rFonts w:ascii="宋体" w:hAnsi="宋体" w:eastAsia="宋体" w:cs="宋体"/>
          <w:sz w:val="21"/>
          <w:szCs w:val="21"/>
        </w:rPr>
      </w:pPr>
      <w:r>
        <w:rPr>
          <w:rFonts w:ascii="Calibri" w:hAnsi="Calibri" w:eastAsia="Calibri" w:cs="Calibri"/>
          <w:sz w:val="21"/>
          <w:szCs w:val="21"/>
        </w:rPr>
        <w:t xml:space="preserve">2.2.3  </w:t>
      </w:r>
      <w:r>
        <w:rPr>
          <w:rFonts w:ascii="宋体" w:hAnsi="宋体" w:eastAsia="宋体" w:cs="宋体"/>
          <w:sz w:val="21"/>
          <w:szCs w:val="21"/>
        </w:rPr>
        <w:t>投标人应实时关注“电子交易平台”上发出的澄清通知，因投标人自身原因未及</w:t>
      </w:r>
      <w:r>
        <w:rPr>
          <w:rFonts w:ascii="宋体" w:hAnsi="宋体" w:eastAsia="宋体" w:cs="宋体"/>
          <w:spacing w:val="-2"/>
          <w:sz w:val="21"/>
          <w:szCs w:val="21"/>
        </w:rPr>
        <w:t>时获知澄清内容而导致的任何后果将由投标人自行承担。</w:t>
      </w:r>
    </w:p>
    <w:p w14:paraId="7AEC415D">
      <w:pPr>
        <w:pStyle w:val="2"/>
        <w:spacing w:line="326" w:lineRule="auto"/>
      </w:pPr>
    </w:p>
    <w:p w14:paraId="4F8C60ED">
      <w:pPr>
        <w:spacing w:before="91" w:line="368" w:lineRule="exact"/>
        <w:ind w:left="31"/>
        <w:outlineLvl w:val="3"/>
        <w:rPr>
          <w:rFonts w:ascii="黑体" w:hAnsi="黑体" w:eastAsia="黑体" w:cs="黑体"/>
          <w:sz w:val="28"/>
          <w:szCs w:val="28"/>
        </w:rPr>
      </w:pPr>
      <w:r>
        <w:rPr>
          <w:rFonts w:ascii="Calibri" w:hAnsi="Calibri" w:eastAsia="Calibri" w:cs="Calibri"/>
          <w:spacing w:val="4"/>
          <w:position w:val="1"/>
          <w:sz w:val="28"/>
          <w:szCs w:val="28"/>
        </w:rPr>
        <w:t xml:space="preserve">2.3  </w:t>
      </w:r>
      <w:r>
        <w:rPr>
          <w:rFonts w:ascii="黑体" w:hAnsi="黑体" w:eastAsia="黑体" w:cs="黑体"/>
          <w:spacing w:val="4"/>
          <w:position w:val="1"/>
          <w:sz w:val="28"/>
          <w:szCs w:val="28"/>
        </w:rPr>
        <w:t>招标文件的修改</w:t>
      </w:r>
    </w:p>
    <w:p w14:paraId="51F91BC3">
      <w:pPr>
        <w:pStyle w:val="2"/>
        <w:spacing w:line="360" w:lineRule="auto"/>
      </w:pPr>
    </w:p>
    <w:p w14:paraId="2932D607">
      <w:pPr>
        <w:spacing w:before="69" w:line="271" w:lineRule="auto"/>
        <w:ind w:left="25" w:right="3" w:firstLine="423"/>
        <w:rPr>
          <w:rFonts w:ascii="宋体" w:hAnsi="宋体" w:eastAsia="宋体" w:cs="宋体"/>
          <w:sz w:val="21"/>
          <w:szCs w:val="21"/>
        </w:rPr>
      </w:pPr>
      <w:r>
        <w:rPr>
          <w:rFonts w:ascii="Calibri" w:hAnsi="Calibri" w:eastAsia="Calibri" w:cs="Calibri"/>
          <w:spacing w:val="1"/>
          <w:sz w:val="21"/>
          <w:szCs w:val="21"/>
        </w:rPr>
        <w:t xml:space="preserve">2.3.1  </w:t>
      </w:r>
      <w:r>
        <w:rPr>
          <w:rFonts w:ascii="宋体" w:hAnsi="宋体" w:eastAsia="宋体" w:cs="宋体"/>
          <w:spacing w:val="1"/>
          <w:sz w:val="21"/>
          <w:szCs w:val="21"/>
        </w:rPr>
        <w:t>招标人可以书面形式修改招标文件，并</w:t>
      </w:r>
      <w:r>
        <w:rPr>
          <w:rFonts w:ascii="宋体" w:hAnsi="宋体" w:eastAsia="宋体" w:cs="宋体"/>
          <w:sz w:val="21"/>
          <w:szCs w:val="21"/>
        </w:rPr>
        <w:t>通过“电子交易平台”通知所有已下载招标文件的投标人。如果修改通知发出的时间距投标人须知前附表第</w:t>
      </w:r>
      <w:r>
        <w:rPr>
          <w:rFonts w:ascii="宋体" w:hAnsi="宋体" w:eastAsia="宋体" w:cs="宋体"/>
          <w:spacing w:val="-45"/>
          <w:sz w:val="21"/>
          <w:szCs w:val="21"/>
        </w:rPr>
        <w:t xml:space="preserve"> </w:t>
      </w:r>
      <w:r>
        <w:rPr>
          <w:rFonts w:ascii="Calibri" w:hAnsi="Calibri" w:eastAsia="Calibri" w:cs="Calibri"/>
          <w:sz w:val="21"/>
          <w:szCs w:val="21"/>
        </w:rPr>
        <w:t>4.2.1</w:t>
      </w:r>
      <w:r>
        <w:rPr>
          <w:rFonts w:ascii="Calibri" w:hAnsi="Calibri" w:eastAsia="Calibri" w:cs="Calibri"/>
          <w:spacing w:val="24"/>
          <w:sz w:val="21"/>
          <w:szCs w:val="21"/>
        </w:rPr>
        <w:t xml:space="preserve"> </w:t>
      </w:r>
      <w:r>
        <w:rPr>
          <w:rFonts w:ascii="宋体" w:hAnsi="宋体" w:eastAsia="宋体" w:cs="宋体"/>
          <w:sz w:val="21"/>
          <w:szCs w:val="21"/>
        </w:rPr>
        <w:t>项规定的投标截止</w:t>
      </w:r>
      <w:r>
        <w:rPr>
          <w:rFonts w:ascii="宋体" w:hAnsi="宋体" w:eastAsia="宋体" w:cs="宋体"/>
          <w:spacing w:val="-2"/>
          <w:sz w:val="21"/>
          <w:szCs w:val="21"/>
        </w:rPr>
        <w:t>时间不足</w:t>
      </w:r>
      <w:r>
        <w:rPr>
          <w:rFonts w:ascii="宋体" w:hAnsi="宋体" w:eastAsia="宋体" w:cs="宋体"/>
          <w:spacing w:val="-28"/>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日，并且修改的内容影响投标文件编制的，相应延长投标截止时</w:t>
      </w:r>
      <w:r>
        <w:rPr>
          <w:rFonts w:ascii="宋体" w:hAnsi="宋体" w:eastAsia="宋体" w:cs="宋体"/>
          <w:spacing w:val="-3"/>
          <w:sz w:val="21"/>
          <w:szCs w:val="21"/>
        </w:rPr>
        <w:t>间。</w:t>
      </w:r>
    </w:p>
    <w:p w14:paraId="0C674A99">
      <w:pPr>
        <w:spacing w:before="6" w:line="269" w:lineRule="auto"/>
        <w:ind w:left="34" w:right="19" w:firstLine="414"/>
        <w:rPr>
          <w:rFonts w:ascii="宋体" w:hAnsi="宋体" w:eastAsia="宋体" w:cs="宋体"/>
          <w:sz w:val="21"/>
          <w:szCs w:val="21"/>
        </w:rPr>
      </w:pPr>
      <w:r>
        <w:rPr>
          <w:rFonts w:ascii="Calibri" w:hAnsi="Calibri" w:eastAsia="Calibri" w:cs="Calibri"/>
          <w:sz w:val="21"/>
          <w:szCs w:val="21"/>
        </w:rPr>
        <w:t xml:space="preserve">2.3.2  </w:t>
      </w:r>
      <w:r>
        <w:rPr>
          <w:rFonts w:ascii="宋体" w:hAnsi="宋体" w:eastAsia="宋体" w:cs="宋体"/>
          <w:sz w:val="21"/>
          <w:szCs w:val="21"/>
        </w:rPr>
        <w:t>投标人应实时关注“电子交易平台”上发出的修改通知，因投标人自身原因未及</w:t>
      </w:r>
      <w:r>
        <w:rPr>
          <w:rFonts w:ascii="宋体" w:hAnsi="宋体" w:eastAsia="宋体" w:cs="宋体"/>
          <w:spacing w:val="-2"/>
          <w:sz w:val="21"/>
          <w:szCs w:val="21"/>
        </w:rPr>
        <w:t>时获知修改内容而导致的任何后果将由投标人自行承担。</w:t>
      </w:r>
    </w:p>
    <w:p w14:paraId="13DF39C1">
      <w:pPr>
        <w:pStyle w:val="2"/>
        <w:spacing w:line="327" w:lineRule="auto"/>
      </w:pPr>
    </w:p>
    <w:p w14:paraId="4A13A3E3">
      <w:pPr>
        <w:spacing w:before="91" w:line="369" w:lineRule="exact"/>
        <w:ind w:left="31"/>
        <w:outlineLvl w:val="3"/>
        <w:rPr>
          <w:rFonts w:ascii="黑体" w:hAnsi="黑体" w:eastAsia="黑体" w:cs="黑体"/>
          <w:sz w:val="28"/>
          <w:szCs w:val="28"/>
        </w:rPr>
      </w:pPr>
      <w:r>
        <w:rPr>
          <w:rFonts w:ascii="Calibri" w:hAnsi="Calibri" w:eastAsia="Calibri" w:cs="Calibri"/>
          <w:spacing w:val="4"/>
          <w:position w:val="1"/>
          <w:sz w:val="28"/>
          <w:szCs w:val="28"/>
        </w:rPr>
        <w:t xml:space="preserve">2.4  </w:t>
      </w:r>
      <w:r>
        <w:rPr>
          <w:rFonts w:ascii="黑体" w:hAnsi="黑体" w:eastAsia="黑体" w:cs="黑体"/>
          <w:spacing w:val="4"/>
          <w:position w:val="1"/>
          <w:sz w:val="28"/>
          <w:szCs w:val="28"/>
        </w:rPr>
        <w:t>招标文件的异议</w:t>
      </w:r>
    </w:p>
    <w:p w14:paraId="3C2B31F9">
      <w:pPr>
        <w:pStyle w:val="2"/>
        <w:spacing w:line="343" w:lineRule="auto"/>
      </w:pPr>
    </w:p>
    <w:p w14:paraId="2F396965">
      <w:pPr>
        <w:spacing w:before="69" w:line="272" w:lineRule="auto"/>
        <w:ind w:left="25" w:right="3" w:firstLine="423"/>
        <w:jc w:val="both"/>
        <w:rPr>
          <w:rFonts w:ascii="宋体" w:hAnsi="宋体" w:eastAsia="宋体" w:cs="宋体"/>
          <w:sz w:val="21"/>
          <w:szCs w:val="21"/>
        </w:rPr>
      </w:pPr>
      <w:r>
        <w:rPr>
          <w:rFonts w:ascii="Calibri" w:hAnsi="Calibri" w:eastAsia="Calibri" w:cs="Calibri"/>
          <w:spacing w:val="1"/>
          <w:sz w:val="21"/>
          <w:szCs w:val="21"/>
        </w:rPr>
        <w:t xml:space="preserve">2.4.1  </w:t>
      </w:r>
      <w:r>
        <w:rPr>
          <w:rFonts w:ascii="宋体" w:hAnsi="宋体" w:eastAsia="宋体" w:cs="宋体"/>
          <w:spacing w:val="1"/>
          <w:sz w:val="21"/>
          <w:szCs w:val="21"/>
        </w:rPr>
        <w:t>投标人或者其他利害关系人对招标文件</w:t>
      </w:r>
      <w:r>
        <w:rPr>
          <w:rFonts w:ascii="宋体" w:hAnsi="宋体" w:eastAsia="宋体" w:cs="宋体"/>
          <w:sz w:val="21"/>
          <w:szCs w:val="21"/>
        </w:rPr>
        <w:t>（包括对招标文件澄清和修改的内容）有</w:t>
      </w:r>
      <w:r>
        <w:rPr>
          <w:rFonts w:ascii="宋体" w:hAnsi="宋体" w:eastAsia="宋体" w:cs="宋体"/>
          <w:spacing w:val="-4"/>
          <w:sz w:val="21"/>
          <w:szCs w:val="21"/>
        </w:rPr>
        <w:t>异议的，应当在投标人须知前附表第</w:t>
      </w:r>
      <w:r>
        <w:rPr>
          <w:rFonts w:ascii="宋体" w:hAnsi="宋体" w:eastAsia="宋体" w:cs="宋体"/>
          <w:spacing w:val="-39"/>
          <w:sz w:val="21"/>
          <w:szCs w:val="21"/>
        </w:rPr>
        <w:t xml:space="preserve"> </w:t>
      </w:r>
      <w:r>
        <w:rPr>
          <w:rFonts w:ascii="Calibri" w:hAnsi="Calibri" w:eastAsia="Calibri" w:cs="Calibri"/>
          <w:spacing w:val="-4"/>
          <w:sz w:val="21"/>
          <w:szCs w:val="21"/>
        </w:rPr>
        <w:t>4.2.1</w:t>
      </w:r>
      <w:r>
        <w:rPr>
          <w:rFonts w:ascii="Calibri" w:hAnsi="Calibri" w:eastAsia="Calibri" w:cs="Calibri"/>
          <w:spacing w:val="24"/>
          <w:sz w:val="21"/>
          <w:szCs w:val="21"/>
        </w:rPr>
        <w:t xml:space="preserve"> </w:t>
      </w:r>
      <w:r>
        <w:rPr>
          <w:rFonts w:ascii="宋体" w:hAnsi="宋体" w:eastAsia="宋体" w:cs="宋体"/>
          <w:spacing w:val="-4"/>
          <w:sz w:val="21"/>
          <w:szCs w:val="21"/>
        </w:rPr>
        <w:t>项规定的投标截止时间</w:t>
      </w:r>
      <w:r>
        <w:rPr>
          <w:rFonts w:ascii="宋体" w:hAnsi="宋体" w:eastAsia="宋体" w:cs="宋体"/>
          <w:spacing w:val="-30"/>
          <w:sz w:val="21"/>
          <w:szCs w:val="21"/>
        </w:rPr>
        <w:t xml:space="preserve"> </w:t>
      </w:r>
      <w:r>
        <w:rPr>
          <w:rFonts w:ascii="Calibri" w:hAnsi="Calibri" w:eastAsia="Calibri" w:cs="Calibri"/>
          <w:spacing w:val="-4"/>
          <w:sz w:val="21"/>
          <w:szCs w:val="21"/>
        </w:rPr>
        <w:t xml:space="preserve">10  </w:t>
      </w:r>
      <w:r>
        <w:rPr>
          <w:rFonts w:ascii="宋体" w:hAnsi="宋体" w:eastAsia="宋体" w:cs="宋体"/>
          <w:spacing w:val="-4"/>
          <w:sz w:val="21"/>
          <w:szCs w:val="21"/>
        </w:rPr>
        <w:t>日前提出。招标人自收到异议之日起</w:t>
      </w:r>
      <w:r>
        <w:rPr>
          <w:rFonts w:ascii="宋体" w:hAnsi="宋体" w:eastAsia="宋体" w:cs="宋体"/>
          <w:spacing w:val="-30"/>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日内作出答复；作出答复前，招标人将暂停招标投标活动。逾期提出的，招</w:t>
      </w:r>
      <w:r>
        <w:rPr>
          <w:rFonts w:ascii="宋体" w:hAnsi="宋体" w:eastAsia="宋体" w:cs="宋体"/>
          <w:spacing w:val="-2"/>
          <w:sz w:val="21"/>
          <w:szCs w:val="21"/>
        </w:rPr>
        <w:t>标人可不予受理。异议与答复应通过“电子交易平台”在“异议与答复”菜单以书面形式进</w:t>
      </w:r>
      <w:r>
        <w:rPr>
          <w:rFonts w:ascii="宋体" w:hAnsi="宋体" w:eastAsia="宋体" w:cs="宋体"/>
          <w:spacing w:val="-10"/>
          <w:sz w:val="21"/>
          <w:szCs w:val="21"/>
        </w:rPr>
        <w:t>行。</w:t>
      </w:r>
    </w:p>
    <w:p w14:paraId="7868B6F9">
      <w:pPr>
        <w:spacing w:line="272" w:lineRule="auto"/>
        <w:rPr>
          <w:rFonts w:ascii="宋体" w:hAnsi="宋体" w:eastAsia="宋体" w:cs="宋体"/>
          <w:sz w:val="21"/>
          <w:szCs w:val="21"/>
        </w:rPr>
        <w:sectPr>
          <w:footerReference r:id="rId36" w:type="default"/>
          <w:pgSz w:w="11910" w:h="16845"/>
          <w:pgMar w:top="1431" w:right="1767" w:bottom="1065" w:left="1786" w:header="0" w:footer="838" w:gutter="0"/>
          <w:cols w:space="720" w:num="1"/>
        </w:sectPr>
      </w:pPr>
    </w:p>
    <w:p w14:paraId="31BD3D6A">
      <w:pPr>
        <w:spacing w:before="53" w:line="273" w:lineRule="auto"/>
        <w:ind w:left="31" w:firstLine="413"/>
        <w:jc w:val="both"/>
        <w:rPr>
          <w:rFonts w:ascii="宋体" w:hAnsi="宋体" w:eastAsia="宋体" w:cs="宋体"/>
          <w:sz w:val="21"/>
          <w:szCs w:val="21"/>
        </w:rPr>
      </w:pPr>
      <w:r>
        <w:rPr>
          <w:rFonts w:ascii="宋体" w:hAnsi="宋体" w:eastAsia="宋体" w:cs="宋体"/>
          <w:spacing w:val="-2"/>
          <w:sz w:val="21"/>
          <w:szCs w:val="21"/>
        </w:rPr>
        <w:t>本处所称异议是指投标人或者其他利害关系人认为招标文件的内容违反</w:t>
      </w:r>
      <w:r>
        <w:rPr>
          <w:rFonts w:ascii="宋体" w:hAnsi="宋体" w:eastAsia="宋体" w:cs="宋体"/>
          <w:spacing w:val="-3"/>
          <w:sz w:val="21"/>
          <w:szCs w:val="21"/>
        </w:rPr>
        <w:t>法律、法规、规</w:t>
      </w:r>
      <w:r>
        <w:rPr>
          <w:rFonts w:ascii="宋体" w:hAnsi="宋体" w:eastAsia="宋体" w:cs="宋体"/>
          <w:spacing w:val="-2"/>
          <w:sz w:val="21"/>
          <w:szCs w:val="21"/>
        </w:rPr>
        <w:t>章的强制性规定，违反公开、公平、公正和诚实信用原则，影响投标人投标而向招标人提出</w:t>
      </w:r>
      <w:r>
        <w:rPr>
          <w:rFonts w:ascii="宋体" w:hAnsi="宋体" w:eastAsia="宋体" w:cs="宋体"/>
          <w:spacing w:val="-9"/>
          <w:sz w:val="21"/>
          <w:szCs w:val="21"/>
        </w:rPr>
        <w:t>的质疑。</w:t>
      </w:r>
    </w:p>
    <w:p w14:paraId="601607C4">
      <w:pPr>
        <w:spacing w:line="277" w:lineRule="auto"/>
        <w:ind w:left="25" w:right="23" w:firstLine="423"/>
        <w:rPr>
          <w:rFonts w:ascii="宋体" w:hAnsi="宋体" w:eastAsia="宋体" w:cs="宋体"/>
          <w:sz w:val="21"/>
          <w:szCs w:val="21"/>
        </w:rPr>
      </w:pPr>
      <w:r>
        <w:rPr>
          <w:rFonts w:ascii="Calibri" w:hAnsi="Calibri" w:eastAsia="Calibri" w:cs="Calibri"/>
          <w:spacing w:val="1"/>
          <w:sz w:val="21"/>
          <w:szCs w:val="21"/>
        </w:rPr>
        <w:t xml:space="preserve">2.4.2  </w:t>
      </w:r>
      <w:r>
        <w:rPr>
          <w:rFonts w:ascii="宋体" w:hAnsi="宋体" w:eastAsia="宋体" w:cs="宋体"/>
          <w:spacing w:val="1"/>
          <w:sz w:val="21"/>
          <w:szCs w:val="21"/>
        </w:rPr>
        <w:t>招标人对异议的答复构成对招标文件澄</w:t>
      </w:r>
      <w:r>
        <w:rPr>
          <w:rFonts w:ascii="宋体" w:hAnsi="宋体" w:eastAsia="宋体" w:cs="宋体"/>
          <w:sz w:val="21"/>
          <w:szCs w:val="21"/>
        </w:rPr>
        <w:t>清或者修改的，</w:t>
      </w:r>
      <w:r>
        <w:rPr>
          <w:rFonts w:ascii="宋体" w:hAnsi="宋体" w:eastAsia="宋体" w:cs="宋体"/>
          <w:spacing w:val="-63"/>
          <w:sz w:val="21"/>
          <w:szCs w:val="21"/>
        </w:rPr>
        <w:t xml:space="preserve"> </w:t>
      </w:r>
      <w:r>
        <w:rPr>
          <w:rFonts w:ascii="宋体" w:hAnsi="宋体" w:eastAsia="宋体" w:cs="宋体"/>
          <w:sz w:val="21"/>
          <w:szCs w:val="21"/>
        </w:rPr>
        <w:t xml:space="preserve">招标人将按照本章第 </w:t>
      </w:r>
      <w:r>
        <w:rPr>
          <w:rFonts w:ascii="Calibri" w:hAnsi="Calibri" w:eastAsia="Calibri" w:cs="Calibri"/>
          <w:sz w:val="21"/>
          <w:szCs w:val="21"/>
        </w:rPr>
        <w:t>2.2</w:t>
      </w:r>
      <w:r>
        <w:rPr>
          <w:rFonts w:ascii="宋体" w:hAnsi="宋体" w:eastAsia="宋体" w:cs="宋体"/>
          <w:spacing w:val="-4"/>
          <w:sz w:val="21"/>
          <w:szCs w:val="21"/>
        </w:rPr>
        <w:t>款、第</w:t>
      </w:r>
      <w:r>
        <w:rPr>
          <w:rFonts w:ascii="宋体" w:hAnsi="宋体" w:eastAsia="宋体" w:cs="宋体"/>
          <w:spacing w:val="-32"/>
          <w:sz w:val="21"/>
          <w:szCs w:val="21"/>
        </w:rPr>
        <w:t xml:space="preserve"> </w:t>
      </w:r>
      <w:r>
        <w:rPr>
          <w:rFonts w:ascii="Calibri" w:hAnsi="Calibri" w:eastAsia="Calibri" w:cs="Calibri"/>
          <w:spacing w:val="-4"/>
          <w:sz w:val="21"/>
          <w:szCs w:val="21"/>
        </w:rPr>
        <w:t>2.3</w:t>
      </w:r>
      <w:r>
        <w:rPr>
          <w:rFonts w:ascii="Calibri" w:hAnsi="Calibri" w:eastAsia="Calibri" w:cs="Calibri"/>
          <w:spacing w:val="20"/>
          <w:w w:val="101"/>
          <w:sz w:val="21"/>
          <w:szCs w:val="21"/>
        </w:rPr>
        <w:t xml:space="preserve"> </w:t>
      </w:r>
      <w:r>
        <w:rPr>
          <w:rFonts w:ascii="宋体" w:hAnsi="宋体" w:eastAsia="宋体" w:cs="宋体"/>
          <w:spacing w:val="-4"/>
          <w:sz w:val="21"/>
          <w:szCs w:val="21"/>
        </w:rPr>
        <w:t>款规定办理。</w:t>
      </w:r>
    </w:p>
    <w:p w14:paraId="4CDA3DE1">
      <w:pPr>
        <w:pStyle w:val="2"/>
        <w:spacing w:line="292" w:lineRule="auto"/>
      </w:pPr>
    </w:p>
    <w:p w14:paraId="56DF0E16">
      <w:pPr>
        <w:spacing w:before="91" w:line="368" w:lineRule="exact"/>
        <w:ind w:left="30"/>
        <w:outlineLvl w:val="2"/>
        <w:rPr>
          <w:rFonts w:ascii="黑体" w:hAnsi="黑体" w:eastAsia="黑体" w:cs="黑体"/>
          <w:sz w:val="28"/>
          <w:szCs w:val="28"/>
        </w:rPr>
      </w:pPr>
      <w:bookmarkStart w:id="9" w:name="bookmark8"/>
      <w:bookmarkEnd w:id="9"/>
      <w:r>
        <w:rPr>
          <w:rFonts w:ascii="Calibri" w:hAnsi="Calibri" w:eastAsia="Calibri" w:cs="Calibri"/>
          <w:spacing w:val="6"/>
          <w:position w:val="1"/>
          <w:sz w:val="28"/>
          <w:szCs w:val="28"/>
        </w:rPr>
        <w:t>3.</w:t>
      </w:r>
      <w:r>
        <w:rPr>
          <w:rFonts w:ascii="Calibri" w:hAnsi="Calibri" w:eastAsia="Calibri" w:cs="Calibri"/>
          <w:spacing w:val="10"/>
          <w:position w:val="1"/>
          <w:sz w:val="28"/>
          <w:szCs w:val="28"/>
        </w:rPr>
        <w:t xml:space="preserve">  </w:t>
      </w:r>
      <w:r>
        <w:rPr>
          <w:rFonts w:ascii="黑体" w:hAnsi="黑体" w:eastAsia="黑体" w:cs="黑体"/>
          <w:spacing w:val="6"/>
          <w:position w:val="1"/>
          <w:sz w:val="28"/>
          <w:szCs w:val="28"/>
        </w:rPr>
        <w:t>投标文件</w:t>
      </w:r>
    </w:p>
    <w:p w14:paraId="0EF2FF41">
      <w:pPr>
        <w:pStyle w:val="2"/>
        <w:spacing w:line="438" w:lineRule="auto"/>
      </w:pPr>
    </w:p>
    <w:p w14:paraId="18A6A14A">
      <w:pPr>
        <w:spacing w:before="91" w:line="369" w:lineRule="exact"/>
        <w:ind w:left="30"/>
        <w:outlineLvl w:val="3"/>
        <w:rPr>
          <w:rFonts w:ascii="黑体" w:hAnsi="黑体" w:eastAsia="黑体" w:cs="黑体"/>
          <w:sz w:val="28"/>
          <w:szCs w:val="28"/>
        </w:rPr>
      </w:pPr>
      <w:r>
        <w:rPr>
          <w:rFonts w:ascii="Calibri" w:hAnsi="Calibri" w:eastAsia="Calibri" w:cs="Calibri"/>
          <w:spacing w:val="4"/>
          <w:position w:val="1"/>
          <w:sz w:val="28"/>
          <w:szCs w:val="28"/>
        </w:rPr>
        <w:t xml:space="preserve">3.1  </w:t>
      </w:r>
      <w:r>
        <w:rPr>
          <w:rFonts w:ascii="黑体" w:hAnsi="黑体" w:eastAsia="黑体" w:cs="黑体"/>
          <w:spacing w:val="4"/>
          <w:position w:val="1"/>
          <w:sz w:val="28"/>
          <w:szCs w:val="28"/>
        </w:rPr>
        <w:t>投标文件的组成</w:t>
      </w:r>
    </w:p>
    <w:p w14:paraId="037F7AA4">
      <w:pPr>
        <w:pStyle w:val="2"/>
        <w:spacing w:line="361" w:lineRule="auto"/>
      </w:pPr>
    </w:p>
    <w:p w14:paraId="6B4E4A60">
      <w:pPr>
        <w:spacing w:before="68"/>
        <w:ind w:left="446"/>
        <w:rPr>
          <w:rFonts w:ascii="宋体" w:hAnsi="宋体" w:eastAsia="宋体" w:cs="宋体"/>
          <w:sz w:val="21"/>
          <w:szCs w:val="21"/>
        </w:rPr>
      </w:pPr>
      <w:r>
        <w:rPr>
          <w:rFonts w:ascii="Calibri" w:hAnsi="Calibri" w:eastAsia="Calibri" w:cs="Calibri"/>
          <w:spacing w:val="-3"/>
          <w:sz w:val="21"/>
          <w:szCs w:val="21"/>
        </w:rPr>
        <w:t>3.1.1</w:t>
      </w:r>
      <w:r>
        <w:rPr>
          <w:rFonts w:ascii="Calibri" w:hAnsi="Calibri" w:eastAsia="Calibri" w:cs="Calibri"/>
          <w:spacing w:val="23"/>
          <w:w w:val="102"/>
          <w:sz w:val="21"/>
          <w:szCs w:val="21"/>
        </w:rPr>
        <w:t xml:space="preserve"> </w:t>
      </w:r>
      <w:r>
        <w:rPr>
          <w:rFonts w:ascii="宋体" w:hAnsi="宋体" w:eastAsia="宋体" w:cs="宋体"/>
          <w:spacing w:val="-3"/>
          <w:sz w:val="21"/>
          <w:szCs w:val="21"/>
        </w:rPr>
        <w:t>投标文件应包括下列内容：</w:t>
      </w:r>
    </w:p>
    <w:p w14:paraId="07DC744F">
      <w:pPr>
        <w:spacing w:before="118" w:line="239" w:lineRule="auto"/>
        <w:ind w:left="39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）投标函及投标函附录；</w:t>
      </w:r>
    </w:p>
    <w:p w14:paraId="253C8863">
      <w:pPr>
        <w:spacing w:before="133"/>
        <w:ind w:left="39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）法定代表人身份证明；</w:t>
      </w:r>
    </w:p>
    <w:p w14:paraId="1DFC33D9">
      <w:pPr>
        <w:spacing w:before="133"/>
        <w:ind w:left="390"/>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）投标保证金；</w:t>
      </w:r>
    </w:p>
    <w:p w14:paraId="05B04543">
      <w:pPr>
        <w:spacing w:before="117" w:line="239" w:lineRule="auto"/>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）联合体协议书；</w:t>
      </w:r>
    </w:p>
    <w:p w14:paraId="506E7218">
      <w:pPr>
        <w:spacing w:before="134" w:line="239" w:lineRule="auto"/>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）拟分包项目情况表（适用于非政府采购工程</w:t>
      </w:r>
      <w:r>
        <w:rPr>
          <w:rFonts w:ascii="宋体" w:hAnsi="宋体" w:eastAsia="宋体" w:cs="宋体"/>
          <w:spacing w:val="2"/>
          <w:sz w:val="21"/>
          <w:szCs w:val="21"/>
        </w:rPr>
        <w:t>）；</w:t>
      </w:r>
    </w:p>
    <w:p w14:paraId="61FA56D6">
      <w:pPr>
        <w:spacing w:before="133" w:line="239" w:lineRule="auto"/>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）分包意向协议书（适用于政府采购工程</w:t>
      </w:r>
      <w:r>
        <w:rPr>
          <w:rFonts w:ascii="宋体" w:hAnsi="宋体" w:eastAsia="宋体" w:cs="宋体"/>
          <w:spacing w:val="-4"/>
          <w:sz w:val="21"/>
          <w:szCs w:val="21"/>
        </w:rPr>
        <w:t>）；</w:t>
      </w:r>
    </w:p>
    <w:p w14:paraId="611CAADD">
      <w:pPr>
        <w:spacing w:before="119" w:line="239" w:lineRule="auto"/>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）中小企业声明函（适用于政府采购工程</w:t>
      </w:r>
      <w:r>
        <w:rPr>
          <w:rFonts w:ascii="宋体" w:hAnsi="宋体" w:eastAsia="宋体" w:cs="宋体"/>
          <w:spacing w:val="-4"/>
          <w:sz w:val="21"/>
          <w:szCs w:val="21"/>
        </w:rPr>
        <w:t>）；</w:t>
      </w:r>
    </w:p>
    <w:p w14:paraId="1C5B02FC">
      <w:pPr>
        <w:spacing w:before="133" w:line="239" w:lineRule="auto"/>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）项目管理机构；</w:t>
      </w:r>
    </w:p>
    <w:p w14:paraId="4E037F07">
      <w:pPr>
        <w:spacing w:before="133"/>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8</w:t>
      </w:r>
      <w:r>
        <w:rPr>
          <w:rFonts w:ascii="宋体" w:hAnsi="宋体" w:eastAsia="宋体" w:cs="宋体"/>
          <w:spacing w:val="-6"/>
          <w:sz w:val="21"/>
          <w:szCs w:val="21"/>
        </w:rPr>
        <w:t>）资格审查资料；</w:t>
      </w:r>
    </w:p>
    <w:p w14:paraId="27AC18DC">
      <w:pPr>
        <w:spacing w:before="118" w:line="238" w:lineRule="auto"/>
        <w:ind w:left="39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）已标价工程量清单；</w:t>
      </w:r>
    </w:p>
    <w:p w14:paraId="684B2E0D">
      <w:pPr>
        <w:spacing w:before="135" w:line="241" w:lineRule="auto"/>
        <w:ind w:left="39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10</w:t>
      </w:r>
      <w:r>
        <w:rPr>
          <w:rFonts w:ascii="宋体" w:hAnsi="宋体" w:eastAsia="宋体" w:cs="宋体"/>
          <w:spacing w:val="-6"/>
          <w:sz w:val="21"/>
          <w:szCs w:val="21"/>
        </w:rPr>
        <w:t>）施工组织设计；</w:t>
      </w:r>
    </w:p>
    <w:p w14:paraId="1CF706C6">
      <w:pPr>
        <w:spacing w:before="41"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）投标人须知前附表规定的其他材料。</w:t>
      </w:r>
    </w:p>
    <w:p w14:paraId="2AFB8FD8">
      <w:pPr>
        <w:spacing w:before="28" w:line="277" w:lineRule="auto"/>
        <w:ind w:left="25" w:right="24" w:firstLine="421"/>
        <w:rPr>
          <w:rFonts w:ascii="宋体" w:hAnsi="宋体" w:eastAsia="宋体" w:cs="宋体"/>
          <w:sz w:val="21"/>
          <w:szCs w:val="21"/>
        </w:rPr>
      </w:pPr>
      <w:r>
        <w:rPr>
          <w:rFonts w:ascii="Calibri" w:hAnsi="Calibri" w:eastAsia="Calibri" w:cs="Calibri"/>
          <w:sz w:val="21"/>
          <w:szCs w:val="21"/>
        </w:rPr>
        <w:t xml:space="preserve">3.1.2  </w:t>
      </w:r>
      <w:r>
        <w:rPr>
          <w:rFonts w:ascii="宋体" w:hAnsi="宋体" w:eastAsia="宋体" w:cs="宋体"/>
          <w:sz w:val="21"/>
          <w:szCs w:val="21"/>
        </w:rPr>
        <w:t>投标人须知前附表规定不接受联合体投标的，或投标人没有组成联合体的，投标</w:t>
      </w:r>
      <w:r>
        <w:rPr>
          <w:rFonts w:ascii="宋体" w:hAnsi="宋体" w:eastAsia="宋体" w:cs="宋体"/>
          <w:spacing w:val="-1"/>
          <w:sz w:val="21"/>
          <w:szCs w:val="21"/>
        </w:rPr>
        <w:t>文件不包括本章第</w:t>
      </w:r>
      <w:r>
        <w:rPr>
          <w:rFonts w:ascii="宋体" w:hAnsi="宋体" w:eastAsia="宋体" w:cs="宋体"/>
          <w:spacing w:val="-36"/>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w:t>
      </w:r>
      <w:r>
        <w:rPr>
          <w:rFonts w:ascii="宋体" w:hAnsi="宋体" w:eastAsia="宋体" w:cs="宋体"/>
          <w:spacing w:val="-2"/>
          <w:sz w:val="21"/>
          <w:szCs w:val="21"/>
        </w:rPr>
        <w:t>体协议书。</w:t>
      </w:r>
    </w:p>
    <w:p w14:paraId="1318C2A8">
      <w:pPr>
        <w:pStyle w:val="2"/>
        <w:spacing w:line="307" w:lineRule="auto"/>
      </w:pPr>
    </w:p>
    <w:p w14:paraId="7F4AE019">
      <w:pPr>
        <w:spacing w:before="92" w:line="369" w:lineRule="exact"/>
        <w:ind w:left="30"/>
        <w:outlineLvl w:val="3"/>
        <w:rPr>
          <w:rFonts w:ascii="黑体" w:hAnsi="黑体" w:eastAsia="黑体" w:cs="黑体"/>
          <w:sz w:val="28"/>
          <w:szCs w:val="28"/>
        </w:rPr>
      </w:pPr>
      <w:r>
        <w:rPr>
          <w:rFonts w:ascii="Calibri" w:hAnsi="Calibri" w:eastAsia="Calibri" w:cs="Calibri"/>
          <w:spacing w:val="5"/>
          <w:position w:val="1"/>
          <w:sz w:val="28"/>
          <w:szCs w:val="28"/>
        </w:rPr>
        <w:t xml:space="preserve">3.2  </w:t>
      </w:r>
      <w:r>
        <w:rPr>
          <w:rFonts w:ascii="黑体" w:hAnsi="黑体" w:eastAsia="黑体" w:cs="黑体"/>
          <w:spacing w:val="5"/>
          <w:position w:val="1"/>
          <w:sz w:val="28"/>
          <w:szCs w:val="28"/>
        </w:rPr>
        <w:t>投标报价</w:t>
      </w:r>
    </w:p>
    <w:p w14:paraId="65D93A0E">
      <w:pPr>
        <w:pStyle w:val="2"/>
        <w:spacing w:line="361" w:lineRule="auto"/>
      </w:pPr>
    </w:p>
    <w:p w14:paraId="7E4887CE">
      <w:pPr>
        <w:spacing w:before="69" w:line="256" w:lineRule="auto"/>
        <w:ind w:left="64" w:right="23" w:firstLine="382"/>
        <w:rPr>
          <w:rFonts w:ascii="宋体" w:hAnsi="宋体" w:eastAsia="宋体" w:cs="宋体"/>
          <w:sz w:val="21"/>
          <w:szCs w:val="21"/>
        </w:rPr>
      </w:pPr>
      <w:r>
        <w:rPr>
          <w:rFonts w:ascii="Calibri" w:hAnsi="Calibri" w:eastAsia="Calibri" w:cs="Calibri"/>
          <w:sz w:val="21"/>
          <w:szCs w:val="21"/>
        </w:rPr>
        <w:t xml:space="preserve">3.2.1  </w:t>
      </w:r>
      <w:r>
        <w:rPr>
          <w:rFonts w:ascii="宋体" w:hAnsi="宋体" w:eastAsia="宋体" w:cs="宋体"/>
          <w:sz w:val="21"/>
          <w:szCs w:val="21"/>
        </w:rPr>
        <w:t xml:space="preserve">投标人应按第五章“工程量清单”的要求填写相应表格，并按本章第 </w:t>
      </w:r>
      <w:r>
        <w:rPr>
          <w:rFonts w:ascii="Calibri" w:hAnsi="Calibri" w:eastAsia="Calibri" w:cs="Calibri"/>
          <w:sz w:val="21"/>
          <w:szCs w:val="21"/>
        </w:rPr>
        <w:t>2.1.2</w:t>
      </w: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w:t>
      </w:r>
      <w:r>
        <w:rPr>
          <w:rFonts w:ascii="宋体" w:hAnsi="宋体" w:eastAsia="宋体" w:cs="宋体"/>
          <w:spacing w:val="-2"/>
          <w:sz w:val="21"/>
          <w:szCs w:val="21"/>
        </w:rPr>
        <w:t>目约定的计税方法计税。未按约定的计税方法计税的，其投标将被否</w:t>
      </w:r>
      <w:r>
        <w:rPr>
          <w:rFonts w:ascii="宋体" w:hAnsi="宋体" w:eastAsia="宋体" w:cs="宋体"/>
          <w:spacing w:val="-3"/>
          <w:sz w:val="21"/>
          <w:szCs w:val="21"/>
        </w:rPr>
        <w:t>决。</w:t>
      </w:r>
    </w:p>
    <w:p w14:paraId="1FF7A1B3">
      <w:pPr>
        <w:spacing w:before="33" w:line="277" w:lineRule="auto"/>
        <w:ind w:left="24" w:right="16" w:firstLine="422"/>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投标人在投标截止时间前修改投标函中的</w:t>
      </w:r>
      <w:r>
        <w:rPr>
          <w:rFonts w:ascii="宋体" w:hAnsi="宋体" w:eastAsia="宋体" w:cs="宋体"/>
          <w:sz w:val="21"/>
          <w:szCs w:val="21"/>
        </w:rPr>
        <w:t>投标总报价，应同时修改第五章“工程</w:t>
      </w:r>
      <w:r>
        <w:rPr>
          <w:rFonts w:ascii="宋体" w:hAnsi="宋体" w:eastAsia="宋体" w:cs="宋体"/>
          <w:spacing w:val="-1"/>
          <w:sz w:val="21"/>
          <w:szCs w:val="21"/>
        </w:rPr>
        <w:t>量清单”中的相应报价。此修改须符合本章第</w:t>
      </w:r>
      <w:r>
        <w:rPr>
          <w:rFonts w:ascii="宋体" w:hAnsi="宋体" w:eastAsia="宋体" w:cs="宋体"/>
          <w:spacing w:val="-45"/>
          <w:sz w:val="21"/>
          <w:szCs w:val="21"/>
        </w:rPr>
        <w:t xml:space="preserve"> </w:t>
      </w:r>
      <w:r>
        <w:rPr>
          <w:rFonts w:ascii="Calibri" w:hAnsi="Calibri" w:eastAsia="Calibri" w:cs="Calibri"/>
          <w:spacing w:val="-1"/>
          <w:sz w:val="21"/>
          <w:szCs w:val="21"/>
        </w:rPr>
        <w:t>4.3</w:t>
      </w:r>
      <w:r>
        <w:rPr>
          <w:rFonts w:ascii="Calibri" w:hAnsi="Calibri" w:eastAsia="Calibri" w:cs="Calibri"/>
          <w:spacing w:val="20"/>
          <w:w w:val="101"/>
          <w:sz w:val="21"/>
          <w:szCs w:val="21"/>
        </w:rPr>
        <w:t xml:space="preserve"> </w:t>
      </w:r>
      <w:r>
        <w:rPr>
          <w:rFonts w:ascii="宋体" w:hAnsi="宋体" w:eastAsia="宋体" w:cs="宋体"/>
          <w:spacing w:val="-1"/>
          <w:sz w:val="21"/>
          <w:szCs w:val="21"/>
        </w:rPr>
        <w:t>款的有关要求。</w:t>
      </w:r>
    </w:p>
    <w:p w14:paraId="76786863">
      <w:pPr>
        <w:spacing w:before="2" w:line="268" w:lineRule="auto"/>
        <w:ind w:left="41" w:right="36" w:firstLine="405"/>
        <w:rPr>
          <w:rFonts w:ascii="宋体" w:hAnsi="宋体" w:eastAsia="宋体" w:cs="宋体"/>
          <w:sz w:val="21"/>
          <w:szCs w:val="21"/>
        </w:rPr>
      </w:pPr>
      <w:r>
        <w:rPr>
          <w:rFonts w:ascii="Calibri" w:hAnsi="Calibri" w:eastAsia="Calibri" w:cs="Calibri"/>
          <w:spacing w:val="5"/>
          <w:sz w:val="21"/>
          <w:szCs w:val="21"/>
        </w:rPr>
        <w:t xml:space="preserve">3.2.3  </w:t>
      </w:r>
      <w:r>
        <w:rPr>
          <w:rFonts w:ascii="宋体" w:hAnsi="宋体" w:eastAsia="宋体" w:cs="宋体"/>
          <w:spacing w:val="5"/>
          <w:sz w:val="21"/>
          <w:szCs w:val="21"/>
        </w:rPr>
        <w:t>投标人投标函中的大写报价或算术错误修正后的投标总报价大于最高投标限价</w:t>
      </w:r>
      <w:r>
        <w:rPr>
          <w:rFonts w:ascii="宋体" w:hAnsi="宋体" w:eastAsia="宋体" w:cs="宋体"/>
          <w:spacing w:val="-3"/>
          <w:sz w:val="21"/>
          <w:szCs w:val="21"/>
        </w:rPr>
        <w:t>的，其投标将被否决。</w:t>
      </w:r>
    </w:p>
    <w:p w14:paraId="16DCC5EB">
      <w:pPr>
        <w:pStyle w:val="2"/>
        <w:spacing w:line="311" w:lineRule="auto"/>
      </w:pPr>
    </w:p>
    <w:p w14:paraId="24EC74EB">
      <w:pPr>
        <w:spacing w:before="92" w:line="242" w:lineRule="auto"/>
        <w:ind w:left="30"/>
        <w:outlineLvl w:val="3"/>
        <w:rPr>
          <w:rFonts w:ascii="黑体" w:hAnsi="黑体" w:eastAsia="黑体" w:cs="黑体"/>
          <w:sz w:val="28"/>
          <w:szCs w:val="28"/>
        </w:rPr>
      </w:pPr>
      <w:r>
        <w:rPr>
          <w:rFonts w:ascii="Calibri" w:hAnsi="Calibri" w:eastAsia="Calibri" w:cs="Calibri"/>
          <w:spacing w:val="5"/>
          <w:sz w:val="28"/>
          <w:szCs w:val="28"/>
        </w:rPr>
        <w:t xml:space="preserve">3.3  </w:t>
      </w:r>
      <w:r>
        <w:rPr>
          <w:rFonts w:ascii="黑体" w:hAnsi="黑体" w:eastAsia="黑体" w:cs="黑体"/>
          <w:spacing w:val="5"/>
          <w:sz w:val="28"/>
          <w:szCs w:val="28"/>
        </w:rPr>
        <w:t>投标有效期</w:t>
      </w:r>
    </w:p>
    <w:p w14:paraId="4F2922F3">
      <w:pPr>
        <w:pStyle w:val="2"/>
        <w:spacing w:line="362" w:lineRule="auto"/>
      </w:pPr>
    </w:p>
    <w:p w14:paraId="36BB1A7B">
      <w:pPr>
        <w:spacing w:before="69" w:line="239" w:lineRule="auto"/>
        <w:ind w:right="17"/>
        <w:jc w:val="right"/>
        <w:rPr>
          <w:rFonts w:ascii="宋体" w:hAnsi="宋体" w:eastAsia="宋体" w:cs="宋体"/>
          <w:sz w:val="21"/>
          <w:szCs w:val="21"/>
        </w:rPr>
      </w:pPr>
      <w:r>
        <w:rPr>
          <w:rFonts w:ascii="Calibri" w:hAnsi="Calibri" w:eastAsia="Calibri" w:cs="Calibri"/>
          <w:spacing w:val="1"/>
          <w:sz w:val="21"/>
          <w:szCs w:val="21"/>
        </w:rPr>
        <w:t xml:space="preserve">3.3.1  </w:t>
      </w:r>
      <w:r>
        <w:rPr>
          <w:rFonts w:ascii="宋体" w:hAnsi="宋体" w:eastAsia="宋体" w:cs="宋体"/>
          <w:spacing w:val="1"/>
          <w:sz w:val="21"/>
          <w:szCs w:val="21"/>
        </w:rPr>
        <w:t>在投标人须知前附表规定的投标有效期内</w:t>
      </w:r>
      <w:r>
        <w:rPr>
          <w:rFonts w:ascii="宋体" w:hAnsi="宋体" w:eastAsia="宋体" w:cs="宋体"/>
          <w:sz w:val="21"/>
          <w:szCs w:val="21"/>
        </w:rPr>
        <w:t>，投标人不得要求撤销或修改其投标文</w:t>
      </w:r>
    </w:p>
    <w:p w14:paraId="1BAF276C">
      <w:pPr>
        <w:spacing w:line="239" w:lineRule="auto"/>
        <w:rPr>
          <w:rFonts w:ascii="宋体" w:hAnsi="宋体" w:eastAsia="宋体" w:cs="宋体"/>
          <w:sz w:val="21"/>
          <w:szCs w:val="21"/>
        </w:rPr>
        <w:sectPr>
          <w:footerReference r:id="rId37" w:type="default"/>
          <w:pgSz w:w="11910" w:h="16845"/>
          <w:pgMar w:top="1431" w:right="1762" w:bottom="1065" w:left="1786" w:header="0" w:footer="838" w:gutter="0"/>
          <w:cols w:space="720" w:num="1"/>
        </w:sectPr>
      </w:pPr>
    </w:p>
    <w:p w14:paraId="73CD402A">
      <w:pPr>
        <w:spacing w:before="53" w:line="220" w:lineRule="auto"/>
        <w:ind w:left="23"/>
        <w:rPr>
          <w:rFonts w:ascii="宋体" w:hAnsi="宋体" w:eastAsia="宋体" w:cs="宋体"/>
          <w:sz w:val="21"/>
          <w:szCs w:val="21"/>
        </w:rPr>
      </w:pPr>
      <w:r>
        <w:rPr>
          <w:rFonts w:ascii="宋体" w:hAnsi="宋体" w:eastAsia="宋体" w:cs="宋体"/>
          <w:spacing w:val="-10"/>
          <w:sz w:val="21"/>
          <w:szCs w:val="21"/>
        </w:rPr>
        <w:t>件。</w:t>
      </w:r>
    </w:p>
    <w:p w14:paraId="31D52E74">
      <w:pPr>
        <w:spacing w:before="65" w:line="269" w:lineRule="auto"/>
        <w:ind w:left="25" w:firstLine="421"/>
        <w:jc w:val="both"/>
        <w:rPr>
          <w:rFonts w:ascii="宋体" w:hAnsi="宋体" w:eastAsia="宋体" w:cs="宋体"/>
          <w:sz w:val="21"/>
          <w:szCs w:val="21"/>
        </w:rPr>
      </w:pPr>
      <w:r>
        <w:rPr>
          <w:rFonts w:ascii="Calibri" w:hAnsi="Calibri" w:eastAsia="Calibri" w:cs="Calibri"/>
          <w:sz w:val="21"/>
          <w:szCs w:val="21"/>
        </w:rPr>
        <w:t>3.3.2</w:t>
      </w:r>
      <w:r>
        <w:rPr>
          <w:rFonts w:ascii="Calibri" w:hAnsi="Calibri" w:eastAsia="Calibri" w:cs="Calibri"/>
          <w:spacing w:val="17"/>
          <w:w w:val="101"/>
          <w:sz w:val="21"/>
          <w:szCs w:val="21"/>
        </w:rPr>
        <w:t xml:space="preserve">  </w:t>
      </w:r>
      <w:r>
        <w:rPr>
          <w:rFonts w:ascii="宋体" w:hAnsi="宋体" w:eastAsia="宋体" w:cs="宋体"/>
          <w:sz w:val="21"/>
          <w:szCs w:val="21"/>
        </w:rPr>
        <w:t>出现特殊情况需要延长投标有效期的，招标人以书面形式</w:t>
      </w:r>
      <w:r>
        <w:rPr>
          <w:rFonts w:ascii="宋体" w:hAnsi="宋体" w:eastAsia="宋体" w:cs="宋体"/>
          <w:spacing w:val="-1"/>
          <w:sz w:val="21"/>
          <w:szCs w:val="21"/>
        </w:rPr>
        <w:t>通知所有投标人延长投</w:t>
      </w:r>
      <w:r>
        <w:rPr>
          <w:rFonts w:ascii="宋体" w:hAnsi="宋体" w:eastAsia="宋体" w:cs="宋体"/>
          <w:spacing w:val="-2"/>
          <w:sz w:val="21"/>
          <w:szCs w:val="21"/>
        </w:rPr>
        <w:t>标有效期。投标人同意延长的，应相应延长其投标保证金的有效期，但不得要</w:t>
      </w:r>
      <w:r>
        <w:rPr>
          <w:rFonts w:ascii="宋体" w:hAnsi="宋体" w:eastAsia="宋体" w:cs="宋体"/>
          <w:spacing w:val="-3"/>
          <w:sz w:val="21"/>
          <w:szCs w:val="21"/>
        </w:rPr>
        <w:t>求或被允许修</w:t>
      </w:r>
      <w:r>
        <w:rPr>
          <w:rFonts w:ascii="宋体" w:hAnsi="宋体" w:eastAsia="宋体" w:cs="宋体"/>
          <w:sz w:val="21"/>
          <w:szCs w:val="21"/>
        </w:rPr>
        <w:t>改或撤销其投标文件；投标人拒绝延长的，</w:t>
      </w:r>
      <w:r>
        <w:rPr>
          <w:rFonts w:ascii="宋体" w:hAnsi="宋体" w:eastAsia="宋体" w:cs="宋体"/>
          <w:spacing w:val="-1"/>
          <w:sz w:val="21"/>
          <w:szCs w:val="21"/>
        </w:rPr>
        <w:t>其投标失效，但投标人有权收回其投标保证金。</w:t>
      </w:r>
    </w:p>
    <w:p w14:paraId="02615F46">
      <w:pPr>
        <w:pStyle w:val="2"/>
        <w:spacing w:line="320" w:lineRule="auto"/>
      </w:pPr>
    </w:p>
    <w:p w14:paraId="0972A5F5">
      <w:pPr>
        <w:spacing w:before="91" w:line="369" w:lineRule="exact"/>
        <w:ind w:left="30"/>
        <w:outlineLvl w:val="3"/>
        <w:rPr>
          <w:rFonts w:ascii="黑体" w:hAnsi="黑体" w:eastAsia="黑体" w:cs="黑体"/>
          <w:sz w:val="28"/>
          <w:szCs w:val="28"/>
        </w:rPr>
      </w:pPr>
      <w:r>
        <w:rPr>
          <w:rFonts w:ascii="Calibri" w:hAnsi="Calibri" w:eastAsia="Calibri" w:cs="Calibri"/>
          <w:spacing w:val="5"/>
          <w:position w:val="1"/>
          <w:sz w:val="28"/>
          <w:szCs w:val="28"/>
        </w:rPr>
        <w:t xml:space="preserve">3.4  </w:t>
      </w:r>
      <w:r>
        <w:rPr>
          <w:rFonts w:ascii="黑体" w:hAnsi="黑体" w:eastAsia="黑体" w:cs="黑体"/>
          <w:spacing w:val="5"/>
          <w:position w:val="1"/>
          <w:sz w:val="28"/>
          <w:szCs w:val="28"/>
        </w:rPr>
        <w:t>投标保证金</w:t>
      </w:r>
    </w:p>
    <w:p w14:paraId="75AA1023">
      <w:pPr>
        <w:pStyle w:val="2"/>
        <w:spacing w:line="362" w:lineRule="auto"/>
      </w:pPr>
    </w:p>
    <w:p w14:paraId="103AFCB0">
      <w:pPr>
        <w:spacing w:before="69" w:line="272" w:lineRule="auto"/>
        <w:ind w:left="26" w:right="59" w:firstLine="420"/>
        <w:rPr>
          <w:rFonts w:ascii="宋体" w:hAnsi="宋体" w:eastAsia="宋体" w:cs="宋体"/>
          <w:sz w:val="21"/>
          <w:szCs w:val="21"/>
        </w:rPr>
      </w:pPr>
      <w:r>
        <w:rPr>
          <w:rFonts w:ascii="Calibri" w:hAnsi="Calibri" w:eastAsia="Calibri" w:cs="Calibri"/>
          <w:spacing w:val="1"/>
          <w:sz w:val="21"/>
          <w:szCs w:val="21"/>
        </w:rPr>
        <w:t xml:space="preserve">3.4.1  </w:t>
      </w:r>
      <w:r>
        <w:rPr>
          <w:rFonts w:ascii="宋体" w:hAnsi="宋体" w:eastAsia="宋体" w:cs="宋体"/>
          <w:spacing w:val="1"/>
          <w:sz w:val="21"/>
          <w:szCs w:val="21"/>
        </w:rPr>
        <w:t>投标人须知前附表规定提交投标保证金的</w:t>
      </w:r>
      <w:r>
        <w:rPr>
          <w:rFonts w:ascii="宋体" w:hAnsi="宋体" w:eastAsia="宋体" w:cs="宋体"/>
          <w:sz w:val="21"/>
          <w:szCs w:val="21"/>
        </w:rPr>
        <w:t>，投标人在递交投标文件的同时，应按</w:t>
      </w:r>
      <w:r>
        <w:rPr>
          <w:rFonts w:ascii="宋体" w:hAnsi="宋体" w:eastAsia="宋体" w:cs="宋体"/>
          <w:spacing w:val="-2"/>
          <w:sz w:val="21"/>
          <w:szCs w:val="21"/>
        </w:rPr>
        <w:t>投标人须知前附表规定的形式、金额、递交截止时间、递交方式提交投标保证金，并</w:t>
      </w:r>
      <w:r>
        <w:rPr>
          <w:rFonts w:ascii="宋体" w:hAnsi="宋体" w:eastAsia="宋体" w:cs="宋体"/>
          <w:spacing w:val="-3"/>
          <w:sz w:val="21"/>
          <w:szCs w:val="21"/>
        </w:rPr>
        <w:t>作为其</w:t>
      </w:r>
      <w:r>
        <w:rPr>
          <w:rFonts w:ascii="宋体" w:hAnsi="宋体" w:eastAsia="宋体" w:cs="宋体"/>
          <w:spacing w:val="-2"/>
          <w:sz w:val="21"/>
          <w:szCs w:val="21"/>
        </w:rPr>
        <w:t>投标文件的组成部分。联合体投标的，其投标保证金由牵头人递交，并</w:t>
      </w:r>
      <w:r>
        <w:rPr>
          <w:rFonts w:ascii="宋体" w:hAnsi="宋体" w:eastAsia="宋体" w:cs="宋体"/>
          <w:spacing w:val="-3"/>
          <w:sz w:val="21"/>
          <w:szCs w:val="21"/>
        </w:rPr>
        <w:t>应符合投标人须知前</w:t>
      </w:r>
      <w:r>
        <w:rPr>
          <w:rFonts w:ascii="宋体" w:hAnsi="宋体" w:eastAsia="宋体" w:cs="宋体"/>
          <w:spacing w:val="-6"/>
          <w:sz w:val="21"/>
          <w:szCs w:val="21"/>
        </w:rPr>
        <w:t>附表的规定。</w:t>
      </w:r>
    </w:p>
    <w:p w14:paraId="6F7D8B77">
      <w:pPr>
        <w:spacing w:before="6" w:line="239" w:lineRule="auto"/>
        <w:ind w:left="446"/>
        <w:rPr>
          <w:rFonts w:ascii="宋体" w:hAnsi="宋体" w:eastAsia="宋体" w:cs="宋体"/>
          <w:sz w:val="21"/>
          <w:szCs w:val="21"/>
        </w:rPr>
      </w:pPr>
      <w:r>
        <w:rPr>
          <w:rFonts w:ascii="Calibri" w:hAnsi="Calibri" w:eastAsia="Calibri" w:cs="Calibri"/>
          <w:sz w:val="21"/>
          <w:szCs w:val="21"/>
        </w:rPr>
        <w:t xml:space="preserve">3.4.2  </w:t>
      </w:r>
      <w:r>
        <w:rPr>
          <w:rFonts w:ascii="宋体" w:hAnsi="宋体" w:eastAsia="宋体" w:cs="宋体"/>
          <w:sz w:val="21"/>
          <w:szCs w:val="21"/>
        </w:rPr>
        <w:t>投标人不按本章第</w:t>
      </w:r>
      <w:r>
        <w:rPr>
          <w:rFonts w:ascii="宋体" w:hAnsi="宋体" w:eastAsia="宋体" w:cs="宋体"/>
          <w:spacing w:val="-36"/>
          <w:sz w:val="21"/>
          <w:szCs w:val="21"/>
        </w:rPr>
        <w:t xml:space="preserve"> </w:t>
      </w:r>
      <w:r>
        <w:rPr>
          <w:rFonts w:ascii="Calibri" w:hAnsi="Calibri" w:eastAsia="Calibri" w:cs="Calibri"/>
          <w:sz w:val="21"/>
          <w:szCs w:val="21"/>
        </w:rPr>
        <w:t>3.4.1</w:t>
      </w:r>
      <w:r>
        <w:rPr>
          <w:rFonts w:ascii="Calibri" w:hAnsi="Calibri" w:eastAsia="Calibri" w:cs="Calibri"/>
          <w:spacing w:val="24"/>
          <w:sz w:val="21"/>
          <w:szCs w:val="21"/>
        </w:rPr>
        <w:t xml:space="preserve"> </w:t>
      </w:r>
      <w:r>
        <w:rPr>
          <w:rFonts w:ascii="宋体" w:hAnsi="宋体" w:eastAsia="宋体" w:cs="宋体"/>
          <w:sz w:val="21"/>
          <w:szCs w:val="21"/>
        </w:rPr>
        <w:t>项要求提交投标保证金的</w:t>
      </w:r>
      <w:r>
        <w:rPr>
          <w:rFonts w:ascii="宋体" w:hAnsi="宋体" w:eastAsia="宋体" w:cs="宋体"/>
          <w:spacing w:val="-1"/>
          <w:sz w:val="21"/>
          <w:szCs w:val="21"/>
        </w:rPr>
        <w:t>，其投标将被否决。</w:t>
      </w:r>
    </w:p>
    <w:p w14:paraId="08486E1E">
      <w:pPr>
        <w:spacing w:before="43" w:line="269" w:lineRule="auto"/>
        <w:ind w:left="25" w:right="49" w:firstLine="421"/>
        <w:rPr>
          <w:rFonts w:ascii="宋体" w:hAnsi="宋体" w:eastAsia="宋体" w:cs="宋体"/>
          <w:sz w:val="21"/>
          <w:szCs w:val="21"/>
        </w:rPr>
      </w:pPr>
      <w:r>
        <w:rPr>
          <w:rFonts w:ascii="Calibri" w:hAnsi="Calibri" w:eastAsia="Calibri" w:cs="Calibri"/>
          <w:sz w:val="21"/>
          <w:szCs w:val="21"/>
        </w:rPr>
        <w:t xml:space="preserve">3.4.3  </w:t>
      </w:r>
      <w:r>
        <w:rPr>
          <w:rFonts w:ascii="宋体" w:hAnsi="宋体" w:eastAsia="宋体" w:cs="宋体"/>
          <w:sz w:val="21"/>
          <w:szCs w:val="21"/>
        </w:rPr>
        <w:t>招标人最迟在与中标人签订合同后</w:t>
      </w:r>
      <w:r>
        <w:rPr>
          <w:rFonts w:ascii="宋体" w:hAnsi="宋体" w:eastAsia="宋体" w:cs="宋体"/>
          <w:spacing w:val="-38"/>
          <w:sz w:val="21"/>
          <w:szCs w:val="21"/>
        </w:rPr>
        <w:t xml:space="preserve"> </w:t>
      </w:r>
      <w:r>
        <w:rPr>
          <w:rFonts w:ascii="Calibri" w:hAnsi="Calibri" w:eastAsia="Calibri" w:cs="Calibri"/>
          <w:spacing w:val="-1"/>
          <w:sz w:val="21"/>
          <w:szCs w:val="21"/>
        </w:rPr>
        <w:t xml:space="preserve">5  </w:t>
      </w:r>
      <w:r>
        <w:rPr>
          <w:rFonts w:ascii="宋体" w:hAnsi="宋体" w:eastAsia="宋体" w:cs="宋体"/>
          <w:spacing w:val="-1"/>
          <w:sz w:val="21"/>
          <w:szCs w:val="21"/>
        </w:rPr>
        <w:t>日内，向未中标的投标人和中标人退还投标</w:t>
      </w:r>
      <w:r>
        <w:rPr>
          <w:rFonts w:ascii="宋体" w:hAnsi="宋体" w:eastAsia="宋体" w:cs="宋体"/>
          <w:spacing w:val="-2"/>
          <w:sz w:val="21"/>
          <w:szCs w:val="21"/>
        </w:rPr>
        <w:t>保证金。招标人同时退还投标保证金的银行同期存款利息。投标保证金及利息的</w:t>
      </w:r>
      <w:r>
        <w:rPr>
          <w:rFonts w:ascii="宋体" w:hAnsi="宋体" w:eastAsia="宋体" w:cs="宋体"/>
          <w:spacing w:val="-3"/>
          <w:sz w:val="21"/>
          <w:szCs w:val="21"/>
        </w:rPr>
        <w:t>计息标准和退还方式见投标人须知前附表。</w:t>
      </w:r>
    </w:p>
    <w:p w14:paraId="18F1A179">
      <w:pPr>
        <w:spacing w:before="13"/>
        <w:ind w:left="446"/>
        <w:rPr>
          <w:rFonts w:ascii="宋体" w:hAnsi="宋体" w:eastAsia="宋体" w:cs="宋体"/>
          <w:sz w:val="21"/>
          <w:szCs w:val="21"/>
        </w:rPr>
      </w:pPr>
      <w:r>
        <w:rPr>
          <w:rFonts w:ascii="Calibri" w:hAnsi="Calibri" w:eastAsia="Calibri" w:cs="Calibri"/>
          <w:spacing w:val="-2"/>
          <w:sz w:val="21"/>
          <w:szCs w:val="21"/>
        </w:rPr>
        <w:t xml:space="preserve">3.4.4  </w:t>
      </w:r>
      <w:r>
        <w:rPr>
          <w:rFonts w:ascii="宋体" w:hAnsi="宋体" w:eastAsia="宋体" w:cs="宋体"/>
          <w:spacing w:val="-2"/>
          <w:sz w:val="21"/>
          <w:szCs w:val="21"/>
        </w:rPr>
        <w:t>有下列情形之一的，投标保证金将不予退还：</w:t>
      </w:r>
    </w:p>
    <w:p w14:paraId="459A00CD">
      <w:pPr>
        <w:spacing w:before="42"/>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）投标人在规定的投标有效期内撤销或修改其投标文件；</w:t>
      </w:r>
    </w:p>
    <w:p w14:paraId="784BEBEA">
      <w:pPr>
        <w:spacing w:before="42" w:line="269" w:lineRule="auto"/>
        <w:ind w:left="40" w:right="81" w:firstLine="409"/>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）中标人在收到中标通知书后，无正当理由拒签合同、在签订合同时向</w:t>
      </w:r>
      <w:r>
        <w:rPr>
          <w:rFonts w:ascii="宋体" w:hAnsi="宋体" w:eastAsia="宋体" w:cs="宋体"/>
          <w:spacing w:val="-1"/>
          <w:sz w:val="21"/>
          <w:szCs w:val="21"/>
        </w:rPr>
        <w:t>招标人提出</w:t>
      </w:r>
      <w:r>
        <w:rPr>
          <w:rFonts w:ascii="宋体" w:hAnsi="宋体" w:eastAsia="宋体" w:cs="宋体"/>
          <w:spacing w:val="-2"/>
          <w:sz w:val="21"/>
          <w:szCs w:val="21"/>
        </w:rPr>
        <w:t>附加条件或未按招标文件规定提交履约保证</w:t>
      </w:r>
      <w:r>
        <w:rPr>
          <w:rFonts w:ascii="宋体" w:hAnsi="宋体" w:eastAsia="宋体" w:cs="宋体"/>
          <w:spacing w:val="-3"/>
          <w:sz w:val="21"/>
          <w:szCs w:val="21"/>
        </w:rPr>
        <w:t>金。</w:t>
      </w:r>
    </w:p>
    <w:p w14:paraId="644F7394">
      <w:pPr>
        <w:pStyle w:val="2"/>
        <w:spacing w:line="312" w:lineRule="auto"/>
      </w:pPr>
    </w:p>
    <w:p w14:paraId="0218B44B">
      <w:pPr>
        <w:spacing w:before="91" w:line="369" w:lineRule="exact"/>
        <w:ind w:left="30"/>
        <w:outlineLvl w:val="3"/>
        <w:rPr>
          <w:rFonts w:ascii="黑体" w:hAnsi="黑体" w:eastAsia="黑体" w:cs="黑体"/>
          <w:sz w:val="28"/>
          <w:szCs w:val="28"/>
        </w:rPr>
      </w:pPr>
      <w:r>
        <w:rPr>
          <w:rFonts w:ascii="Calibri" w:hAnsi="Calibri" w:eastAsia="Calibri" w:cs="Calibri"/>
          <w:spacing w:val="2"/>
          <w:position w:val="1"/>
          <w:sz w:val="28"/>
          <w:szCs w:val="28"/>
        </w:rPr>
        <w:t xml:space="preserve">3.5  </w:t>
      </w:r>
      <w:r>
        <w:rPr>
          <w:rFonts w:ascii="黑体" w:hAnsi="黑体" w:eastAsia="黑体" w:cs="黑体"/>
          <w:spacing w:val="2"/>
          <w:position w:val="1"/>
          <w:sz w:val="28"/>
          <w:szCs w:val="28"/>
        </w:rPr>
        <w:t>资格审查资料（适用于未进行资</w:t>
      </w:r>
      <w:r>
        <w:rPr>
          <w:rFonts w:ascii="黑体" w:hAnsi="黑体" w:eastAsia="黑体" w:cs="黑体"/>
          <w:spacing w:val="1"/>
          <w:position w:val="1"/>
          <w:sz w:val="28"/>
          <w:szCs w:val="28"/>
        </w:rPr>
        <w:t>格预审的）</w:t>
      </w:r>
    </w:p>
    <w:p w14:paraId="4B5D44C9">
      <w:pPr>
        <w:pStyle w:val="2"/>
        <w:spacing w:line="360" w:lineRule="auto"/>
      </w:pPr>
    </w:p>
    <w:p w14:paraId="34B46A76">
      <w:pPr>
        <w:spacing w:before="69" w:line="273" w:lineRule="auto"/>
        <w:ind w:left="24" w:right="68" w:firstLine="422"/>
        <w:rPr>
          <w:rFonts w:ascii="宋体" w:hAnsi="宋体" w:eastAsia="宋体" w:cs="宋体"/>
          <w:sz w:val="21"/>
          <w:szCs w:val="21"/>
        </w:rPr>
      </w:pPr>
      <w:r>
        <w:rPr>
          <w:rFonts w:ascii="Calibri" w:hAnsi="Calibri" w:eastAsia="Calibri" w:cs="Calibri"/>
          <w:sz w:val="21"/>
          <w:szCs w:val="21"/>
        </w:rPr>
        <w:t xml:space="preserve">3.5.1  </w:t>
      </w:r>
      <w:r>
        <w:rPr>
          <w:rFonts w:ascii="宋体" w:hAnsi="宋体" w:eastAsia="宋体" w:cs="宋体"/>
          <w:sz w:val="21"/>
          <w:szCs w:val="21"/>
        </w:rPr>
        <w:t>“投标人基本情况表”应附投标人营业执照、资质证书和安全生产许可证、基本</w:t>
      </w:r>
      <w:r>
        <w:rPr>
          <w:rFonts w:ascii="宋体" w:hAnsi="宋体" w:eastAsia="宋体" w:cs="宋体"/>
          <w:spacing w:val="-3"/>
          <w:sz w:val="21"/>
          <w:szCs w:val="21"/>
        </w:rPr>
        <w:t>账户开户许可证（基本存款账户信息）、质量、环境、职业健康安全管理体系认证证书等材</w:t>
      </w:r>
      <w:r>
        <w:rPr>
          <w:rFonts w:ascii="宋体" w:hAnsi="宋体" w:eastAsia="宋体" w:cs="宋体"/>
          <w:spacing w:val="-6"/>
          <w:sz w:val="21"/>
          <w:szCs w:val="21"/>
        </w:rPr>
        <w:t>料的扫描件。</w:t>
      </w:r>
    </w:p>
    <w:p w14:paraId="21CC435E">
      <w:pPr>
        <w:spacing w:before="1" w:line="275" w:lineRule="auto"/>
        <w:ind w:left="27" w:right="60" w:firstLine="419"/>
        <w:rPr>
          <w:rFonts w:ascii="宋体" w:hAnsi="宋体" w:eastAsia="宋体" w:cs="宋体"/>
          <w:sz w:val="21"/>
          <w:szCs w:val="21"/>
        </w:rPr>
      </w:pPr>
      <w:r>
        <w:rPr>
          <w:rFonts w:ascii="Calibri" w:hAnsi="Calibri" w:eastAsia="Calibri" w:cs="Calibri"/>
          <w:sz w:val="21"/>
          <w:szCs w:val="21"/>
        </w:rPr>
        <w:t>3.5.2</w:t>
      </w:r>
      <w:r>
        <w:rPr>
          <w:rFonts w:ascii="Calibri" w:hAnsi="Calibri" w:eastAsia="Calibri" w:cs="Calibri"/>
          <w:spacing w:val="13"/>
          <w:sz w:val="21"/>
          <w:szCs w:val="21"/>
        </w:rPr>
        <w:t xml:space="preserve">  </w:t>
      </w:r>
      <w:r>
        <w:rPr>
          <w:rFonts w:ascii="宋体" w:hAnsi="宋体" w:eastAsia="宋体" w:cs="宋体"/>
          <w:sz w:val="21"/>
          <w:szCs w:val="21"/>
        </w:rPr>
        <w:t>“近年财务状况表”应附经会计师事务所或审计机构审计的财务会计报表，包括</w:t>
      </w:r>
      <w:r>
        <w:rPr>
          <w:rFonts w:ascii="宋体" w:hAnsi="宋体" w:eastAsia="宋体" w:cs="宋体"/>
          <w:spacing w:val="-2"/>
          <w:sz w:val="21"/>
          <w:szCs w:val="21"/>
        </w:rPr>
        <w:t>资产负债表、现金流量表、利润表和财务情况说明书的扫描件，具体年份</w:t>
      </w:r>
      <w:r>
        <w:rPr>
          <w:rFonts w:ascii="宋体" w:hAnsi="宋体" w:eastAsia="宋体" w:cs="宋体"/>
          <w:spacing w:val="-3"/>
          <w:sz w:val="21"/>
          <w:szCs w:val="21"/>
        </w:rPr>
        <w:t>要求见投标人须知</w:t>
      </w:r>
      <w:r>
        <w:rPr>
          <w:rFonts w:ascii="宋体" w:hAnsi="宋体" w:eastAsia="宋体" w:cs="宋体"/>
          <w:spacing w:val="-8"/>
          <w:sz w:val="21"/>
          <w:szCs w:val="21"/>
        </w:rPr>
        <w:t>前附表。</w:t>
      </w:r>
    </w:p>
    <w:p w14:paraId="0FD45392">
      <w:pPr>
        <w:spacing w:before="95" w:line="350" w:lineRule="auto"/>
        <w:ind w:left="23" w:right="1" w:firstLine="423"/>
        <w:rPr>
          <w:rFonts w:ascii="宋体" w:hAnsi="宋体" w:eastAsia="宋体" w:cs="宋体"/>
          <w:sz w:val="21"/>
          <w:szCs w:val="21"/>
        </w:rPr>
      </w:pPr>
      <w:r>
        <w:rPr>
          <w:rFonts w:ascii="Calibri" w:hAnsi="Calibri" w:eastAsia="Calibri" w:cs="Calibri"/>
          <w:spacing w:val="-5"/>
          <w:sz w:val="21"/>
          <w:szCs w:val="21"/>
        </w:rPr>
        <w:t xml:space="preserve">3.5.3  </w:t>
      </w:r>
      <w:r>
        <w:rPr>
          <w:rFonts w:ascii="宋体" w:hAnsi="宋体" w:eastAsia="宋体" w:cs="宋体"/>
          <w:spacing w:val="-5"/>
          <w:sz w:val="21"/>
          <w:szCs w:val="21"/>
        </w:rPr>
        <w:t>近年完成的类似项目情况表”应附中标通知书（如有）、合同协议书、施工许可证</w:t>
      </w:r>
      <w:r>
        <w:rPr>
          <w:rFonts w:ascii="宋体" w:hAnsi="宋体" w:eastAsia="宋体" w:cs="宋体"/>
          <w:spacing w:val="-3"/>
          <w:sz w:val="21"/>
          <w:szCs w:val="21"/>
        </w:rPr>
        <w:t>（如有）、工程接收证书或工程竣工验收证书（工程竣工验收备案证）的扫描件，招标发包</w:t>
      </w:r>
      <w:r>
        <w:rPr>
          <w:rFonts w:ascii="宋体" w:hAnsi="宋体" w:eastAsia="宋体" w:cs="宋体"/>
          <w:spacing w:val="-2"/>
          <w:sz w:val="21"/>
          <w:szCs w:val="21"/>
        </w:rPr>
        <w:t>的工程应附中标通知书，工程总承包发包、施工总承包发包、独立发包的施工专业承包应附</w:t>
      </w:r>
      <w:r>
        <w:rPr>
          <w:rFonts w:ascii="宋体" w:hAnsi="宋体" w:eastAsia="宋体" w:cs="宋体"/>
          <w:sz w:val="21"/>
          <w:szCs w:val="21"/>
        </w:rPr>
        <w:t>施工许可证，具体年份要求见投标人须知前</w:t>
      </w:r>
      <w:r>
        <w:rPr>
          <w:rFonts w:ascii="宋体" w:hAnsi="宋体" w:eastAsia="宋体" w:cs="宋体"/>
          <w:spacing w:val="-1"/>
          <w:sz w:val="21"/>
          <w:szCs w:val="21"/>
        </w:rPr>
        <w:t>附表。每张表格只填写一个项目，并标明序号。</w:t>
      </w:r>
    </w:p>
    <w:p w14:paraId="1D872E4B">
      <w:pPr>
        <w:spacing w:before="1" w:line="351" w:lineRule="auto"/>
        <w:ind w:left="24" w:right="50" w:firstLine="422"/>
        <w:rPr>
          <w:rFonts w:ascii="宋体" w:hAnsi="宋体" w:eastAsia="宋体" w:cs="宋体"/>
          <w:sz w:val="21"/>
          <w:szCs w:val="21"/>
        </w:rPr>
      </w:pPr>
      <w:r>
        <w:rPr>
          <w:rFonts w:ascii="Calibri" w:hAnsi="Calibri" w:eastAsia="Calibri" w:cs="Calibri"/>
          <w:spacing w:val="-4"/>
          <w:sz w:val="21"/>
          <w:szCs w:val="21"/>
        </w:rPr>
        <w:t xml:space="preserve">3.5.4  </w:t>
      </w:r>
      <w:r>
        <w:rPr>
          <w:rFonts w:ascii="宋体" w:hAnsi="宋体" w:eastAsia="宋体" w:cs="宋体"/>
          <w:spacing w:val="-4"/>
          <w:sz w:val="21"/>
          <w:szCs w:val="21"/>
        </w:rPr>
        <w:t>“正在施工和新承接的项目情况表”应附中标通知书（如有）、合同</w:t>
      </w:r>
      <w:r>
        <w:rPr>
          <w:rFonts w:ascii="宋体" w:hAnsi="宋体" w:eastAsia="宋体" w:cs="宋体"/>
          <w:spacing w:val="-5"/>
          <w:sz w:val="21"/>
          <w:szCs w:val="21"/>
        </w:rPr>
        <w:t>协议书、施工</w:t>
      </w:r>
      <w:r>
        <w:rPr>
          <w:rFonts w:ascii="宋体" w:hAnsi="宋体" w:eastAsia="宋体" w:cs="宋体"/>
          <w:spacing w:val="-2"/>
          <w:sz w:val="21"/>
          <w:szCs w:val="21"/>
        </w:rPr>
        <w:t>许可证（如有）扫描件。招标发包的工程应附中标通知书，工程总承包发包、施工总承包发包、独立发包的施工专业承包正在施工的应附施工许可证。每张表格</w:t>
      </w:r>
      <w:r>
        <w:rPr>
          <w:rFonts w:ascii="宋体" w:hAnsi="宋体" w:eastAsia="宋体" w:cs="宋体"/>
          <w:spacing w:val="-3"/>
          <w:sz w:val="21"/>
          <w:szCs w:val="21"/>
        </w:rPr>
        <w:t>只填写一个项目，并标</w:t>
      </w:r>
      <w:r>
        <w:rPr>
          <w:rFonts w:ascii="宋体" w:hAnsi="宋体" w:eastAsia="宋体" w:cs="宋体"/>
          <w:spacing w:val="-7"/>
          <w:sz w:val="21"/>
          <w:szCs w:val="21"/>
        </w:rPr>
        <w:t>明序号。</w:t>
      </w:r>
    </w:p>
    <w:p w14:paraId="38403507">
      <w:pPr>
        <w:spacing w:before="233" w:line="269" w:lineRule="auto"/>
        <w:ind w:left="30" w:right="60" w:firstLine="416"/>
        <w:rPr>
          <w:rFonts w:ascii="宋体" w:hAnsi="宋体" w:eastAsia="宋体" w:cs="宋体"/>
          <w:sz w:val="21"/>
          <w:szCs w:val="21"/>
        </w:rPr>
      </w:pPr>
      <w:r>
        <w:rPr>
          <w:rFonts w:ascii="Calibri" w:hAnsi="Calibri" w:eastAsia="Calibri" w:cs="Calibri"/>
          <w:sz w:val="21"/>
          <w:szCs w:val="21"/>
        </w:rPr>
        <w:t>3.5.5</w:t>
      </w:r>
      <w:r>
        <w:rPr>
          <w:rFonts w:ascii="Calibri" w:hAnsi="Calibri" w:eastAsia="Calibri" w:cs="Calibri"/>
          <w:spacing w:val="13"/>
          <w:sz w:val="21"/>
          <w:szCs w:val="21"/>
        </w:rPr>
        <w:t xml:space="preserve">  </w:t>
      </w:r>
      <w:r>
        <w:rPr>
          <w:rFonts w:ascii="宋体" w:hAnsi="宋体" w:eastAsia="宋体" w:cs="宋体"/>
          <w:sz w:val="21"/>
          <w:szCs w:val="21"/>
        </w:rPr>
        <w:t>“近年发生的诉讼及仲裁情况”应说明相关情况，并附法院或仲裁机构作出的判</w:t>
      </w:r>
      <w:r>
        <w:rPr>
          <w:rFonts w:ascii="宋体" w:hAnsi="宋体" w:eastAsia="宋体" w:cs="宋体"/>
          <w:spacing w:val="-1"/>
          <w:sz w:val="21"/>
          <w:szCs w:val="21"/>
        </w:rPr>
        <w:t>决、裁决等有关法律文书扫描件，具体年份要求见投标人须知前附表。</w:t>
      </w:r>
    </w:p>
    <w:p w14:paraId="6A8676D1">
      <w:pPr>
        <w:spacing w:before="19" w:line="239" w:lineRule="auto"/>
        <w:ind w:left="446"/>
        <w:rPr>
          <w:rFonts w:ascii="宋体" w:hAnsi="宋体" w:eastAsia="宋体" w:cs="宋体"/>
          <w:sz w:val="21"/>
          <w:szCs w:val="21"/>
        </w:rPr>
      </w:pPr>
      <w:r>
        <w:rPr>
          <w:rFonts w:ascii="Calibri" w:hAnsi="Calibri" w:eastAsia="Calibri" w:cs="Calibri"/>
          <w:spacing w:val="-9"/>
          <w:sz w:val="21"/>
          <w:szCs w:val="21"/>
        </w:rPr>
        <w:t xml:space="preserve">3.5.6  </w:t>
      </w:r>
      <w:r>
        <w:rPr>
          <w:rFonts w:ascii="宋体" w:hAnsi="宋体" w:eastAsia="宋体" w:cs="宋体"/>
          <w:spacing w:val="-9"/>
          <w:sz w:val="21"/>
          <w:szCs w:val="21"/>
        </w:rPr>
        <w:t>“项目管理机构”、“信誉”、“其他要求”中应附的证明材料要求见投标人须知前</w:t>
      </w:r>
    </w:p>
    <w:p w14:paraId="440FEA33">
      <w:pPr>
        <w:spacing w:line="239" w:lineRule="auto"/>
        <w:rPr>
          <w:rFonts w:ascii="宋体" w:hAnsi="宋体" w:eastAsia="宋体" w:cs="宋体"/>
          <w:sz w:val="21"/>
          <w:szCs w:val="21"/>
        </w:rPr>
        <w:sectPr>
          <w:footerReference r:id="rId38" w:type="default"/>
          <w:pgSz w:w="11910" w:h="16845"/>
          <w:pgMar w:top="1431" w:right="1718" w:bottom="1065" w:left="1786" w:header="0" w:footer="838" w:gutter="0"/>
          <w:cols w:space="720" w:num="1"/>
        </w:sectPr>
      </w:pPr>
    </w:p>
    <w:p w14:paraId="325FF9B5">
      <w:pPr>
        <w:spacing w:before="54" w:line="219" w:lineRule="auto"/>
        <w:ind w:left="40"/>
        <w:rPr>
          <w:rFonts w:ascii="宋体" w:hAnsi="宋体" w:eastAsia="宋体" w:cs="宋体"/>
          <w:sz w:val="21"/>
          <w:szCs w:val="21"/>
        </w:rPr>
      </w:pPr>
      <w:r>
        <w:rPr>
          <w:rFonts w:ascii="宋体" w:hAnsi="宋体" w:eastAsia="宋体" w:cs="宋体"/>
          <w:spacing w:val="-13"/>
          <w:sz w:val="21"/>
          <w:szCs w:val="21"/>
        </w:rPr>
        <w:t>附表。</w:t>
      </w:r>
    </w:p>
    <w:p w14:paraId="3843E789">
      <w:pPr>
        <w:spacing w:before="66" w:line="239" w:lineRule="auto"/>
        <w:ind w:left="446"/>
        <w:rPr>
          <w:rFonts w:ascii="宋体" w:hAnsi="宋体" w:eastAsia="宋体" w:cs="宋体"/>
          <w:sz w:val="21"/>
          <w:szCs w:val="21"/>
        </w:rPr>
      </w:pPr>
      <w:r>
        <w:rPr>
          <w:rFonts w:ascii="Calibri" w:hAnsi="Calibri" w:eastAsia="Calibri" w:cs="Calibri"/>
          <w:spacing w:val="-1"/>
          <w:sz w:val="21"/>
          <w:szCs w:val="21"/>
        </w:rPr>
        <w:t xml:space="preserve">3.5.7  </w:t>
      </w:r>
      <w:r>
        <w:rPr>
          <w:rFonts w:ascii="宋体" w:hAnsi="宋体" w:eastAsia="宋体" w:cs="宋体"/>
          <w:spacing w:val="-1"/>
          <w:sz w:val="21"/>
          <w:szCs w:val="21"/>
        </w:rPr>
        <w:t>其他涉及资格审查或评标的材料的具体年份要求见投标人须知前附表。</w:t>
      </w:r>
    </w:p>
    <w:p w14:paraId="2CE975F7">
      <w:pPr>
        <w:spacing w:before="43" w:line="239" w:lineRule="auto"/>
        <w:ind w:left="446"/>
        <w:rPr>
          <w:rFonts w:ascii="宋体" w:hAnsi="宋体" w:eastAsia="宋体" w:cs="宋体"/>
          <w:sz w:val="21"/>
          <w:szCs w:val="21"/>
        </w:rPr>
      </w:pPr>
      <w:r>
        <w:rPr>
          <w:rFonts w:ascii="Calibri" w:hAnsi="Calibri" w:eastAsia="Calibri" w:cs="Calibri"/>
          <w:spacing w:val="-1"/>
          <w:sz w:val="21"/>
          <w:szCs w:val="21"/>
        </w:rPr>
        <w:t>3.5.8</w:t>
      </w:r>
      <w:r>
        <w:rPr>
          <w:rFonts w:ascii="Calibri" w:hAnsi="Calibri" w:eastAsia="Calibri" w:cs="Calibri"/>
          <w:spacing w:val="23"/>
          <w:w w:val="101"/>
          <w:sz w:val="21"/>
          <w:szCs w:val="21"/>
        </w:rPr>
        <w:t xml:space="preserve"> </w:t>
      </w:r>
      <w:r>
        <w:rPr>
          <w:rFonts w:ascii="宋体" w:hAnsi="宋体" w:eastAsia="宋体" w:cs="宋体"/>
          <w:spacing w:val="-1"/>
          <w:sz w:val="21"/>
          <w:szCs w:val="21"/>
        </w:rPr>
        <w:t>本招标文件中“类似项目”的定义见投标人须知前附表。</w:t>
      </w:r>
    </w:p>
    <w:p w14:paraId="6636B880">
      <w:pPr>
        <w:spacing w:before="27" w:line="269" w:lineRule="auto"/>
        <w:ind w:left="24" w:right="210" w:firstLine="422"/>
        <w:rPr>
          <w:rFonts w:ascii="宋体" w:hAnsi="宋体" w:eastAsia="宋体" w:cs="宋体"/>
          <w:sz w:val="21"/>
          <w:szCs w:val="21"/>
        </w:rPr>
      </w:pPr>
      <w:r>
        <w:rPr>
          <w:rFonts w:ascii="Calibri" w:hAnsi="Calibri" w:eastAsia="Calibri" w:cs="Calibri"/>
          <w:spacing w:val="-2"/>
          <w:sz w:val="21"/>
          <w:szCs w:val="21"/>
        </w:rPr>
        <w:t xml:space="preserve">3.5.9  </w:t>
      </w:r>
      <w:r>
        <w:rPr>
          <w:rFonts w:ascii="宋体" w:hAnsi="宋体" w:eastAsia="宋体" w:cs="宋体"/>
          <w:spacing w:val="-2"/>
          <w:sz w:val="21"/>
          <w:szCs w:val="21"/>
        </w:rPr>
        <w:t>投标人须知前附表规定接受联合体投标的，本章第</w:t>
      </w:r>
      <w:r>
        <w:rPr>
          <w:rFonts w:ascii="宋体" w:hAnsi="宋体" w:eastAsia="宋体" w:cs="宋体"/>
          <w:spacing w:val="-39"/>
          <w:sz w:val="21"/>
          <w:szCs w:val="21"/>
        </w:rPr>
        <w:t xml:space="preserve"> </w:t>
      </w:r>
      <w:r>
        <w:rPr>
          <w:rFonts w:ascii="Calibri" w:hAnsi="Calibri" w:eastAsia="Calibri" w:cs="Calibri"/>
          <w:spacing w:val="-2"/>
          <w:sz w:val="21"/>
          <w:szCs w:val="21"/>
        </w:rPr>
        <w:t>3.5</w:t>
      </w:r>
      <w:r>
        <w:rPr>
          <w:rFonts w:ascii="Calibri" w:hAnsi="Calibri" w:eastAsia="Calibri" w:cs="Calibri"/>
          <w:spacing w:val="-3"/>
          <w:sz w:val="21"/>
          <w:szCs w:val="21"/>
        </w:rPr>
        <w:t xml:space="preserve">.1  </w:t>
      </w:r>
      <w:r>
        <w:rPr>
          <w:rFonts w:ascii="宋体" w:hAnsi="宋体" w:eastAsia="宋体" w:cs="宋体"/>
          <w:spacing w:val="-3"/>
          <w:sz w:val="21"/>
          <w:szCs w:val="21"/>
        </w:rPr>
        <w:t>项至第</w:t>
      </w:r>
      <w:r>
        <w:rPr>
          <w:rFonts w:ascii="宋体" w:hAnsi="宋体" w:eastAsia="宋体" w:cs="宋体"/>
          <w:spacing w:val="-34"/>
          <w:sz w:val="21"/>
          <w:szCs w:val="21"/>
        </w:rPr>
        <w:t xml:space="preserve"> </w:t>
      </w:r>
      <w:r>
        <w:rPr>
          <w:rFonts w:ascii="Calibri" w:hAnsi="Calibri" w:eastAsia="Calibri" w:cs="Calibri"/>
          <w:spacing w:val="-3"/>
          <w:sz w:val="21"/>
          <w:szCs w:val="21"/>
        </w:rPr>
        <w:t>3.5.7</w:t>
      </w:r>
      <w:r>
        <w:rPr>
          <w:rFonts w:ascii="Calibri" w:hAnsi="Calibri" w:eastAsia="Calibri" w:cs="Calibri"/>
          <w:spacing w:val="10"/>
          <w:sz w:val="21"/>
          <w:szCs w:val="21"/>
        </w:rPr>
        <w:t xml:space="preserve">  </w:t>
      </w:r>
      <w:r>
        <w:rPr>
          <w:rFonts w:ascii="宋体" w:hAnsi="宋体" w:eastAsia="宋体" w:cs="宋体"/>
          <w:spacing w:val="-3"/>
          <w:sz w:val="21"/>
          <w:szCs w:val="21"/>
        </w:rPr>
        <w:t>项规定的表</w:t>
      </w:r>
      <w:r>
        <w:rPr>
          <w:rFonts w:ascii="宋体" w:hAnsi="宋体" w:eastAsia="宋体" w:cs="宋体"/>
          <w:spacing w:val="-2"/>
          <w:sz w:val="21"/>
          <w:szCs w:val="21"/>
        </w:rPr>
        <w:t>格和资料应包括联合体各方相关情况。</w:t>
      </w:r>
    </w:p>
    <w:p w14:paraId="6FD6F511">
      <w:pPr>
        <w:pStyle w:val="2"/>
        <w:spacing w:line="327" w:lineRule="auto"/>
      </w:pPr>
    </w:p>
    <w:p w14:paraId="71EF71B1">
      <w:pPr>
        <w:spacing w:before="91" w:line="242" w:lineRule="auto"/>
        <w:ind w:left="30"/>
        <w:outlineLvl w:val="3"/>
        <w:rPr>
          <w:rFonts w:ascii="黑体" w:hAnsi="黑体" w:eastAsia="黑体" w:cs="黑体"/>
          <w:sz w:val="28"/>
          <w:szCs w:val="28"/>
        </w:rPr>
      </w:pPr>
      <w:r>
        <w:rPr>
          <w:rFonts w:ascii="Calibri" w:hAnsi="Calibri" w:eastAsia="Calibri" w:cs="Calibri"/>
          <w:spacing w:val="5"/>
          <w:sz w:val="28"/>
          <w:szCs w:val="28"/>
        </w:rPr>
        <w:t xml:space="preserve">3.6  </w:t>
      </w:r>
      <w:r>
        <w:rPr>
          <w:rFonts w:ascii="黑体" w:hAnsi="黑体" w:eastAsia="黑体" w:cs="黑体"/>
          <w:spacing w:val="5"/>
          <w:sz w:val="28"/>
          <w:szCs w:val="28"/>
        </w:rPr>
        <w:t>备选投标方案</w:t>
      </w:r>
    </w:p>
    <w:p w14:paraId="4455618B">
      <w:pPr>
        <w:pStyle w:val="2"/>
        <w:spacing w:line="362" w:lineRule="auto"/>
      </w:pPr>
    </w:p>
    <w:p w14:paraId="1C255E25">
      <w:pPr>
        <w:spacing w:before="69" w:line="274" w:lineRule="auto"/>
        <w:ind w:left="25" w:right="218" w:firstLine="431"/>
        <w:jc w:val="both"/>
        <w:rPr>
          <w:rFonts w:ascii="宋体" w:hAnsi="宋体" w:eastAsia="宋体" w:cs="宋体"/>
          <w:sz w:val="21"/>
          <w:szCs w:val="21"/>
        </w:rPr>
      </w:pPr>
      <w:r>
        <w:rPr>
          <w:rFonts w:ascii="宋体" w:hAnsi="宋体" w:eastAsia="宋体" w:cs="宋体"/>
          <w:spacing w:val="-2"/>
          <w:sz w:val="21"/>
          <w:szCs w:val="21"/>
        </w:rPr>
        <w:t>除投标人须知前附表另有规定外，投标人不</w:t>
      </w:r>
      <w:r>
        <w:rPr>
          <w:rFonts w:ascii="宋体" w:hAnsi="宋体" w:eastAsia="宋体" w:cs="宋体"/>
          <w:spacing w:val="-3"/>
          <w:sz w:val="21"/>
          <w:szCs w:val="21"/>
        </w:rPr>
        <w:t>得递交备选投标方案。允许投标人递交备选</w:t>
      </w:r>
      <w:r>
        <w:rPr>
          <w:rFonts w:ascii="宋体" w:hAnsi="宋体" w:eastAsia="宋体" w:cs="宋体"/>
          <w:spacing w:val="-2"/>
          <w:sz w:val="21"/>
          <w:szCs w:val="21"/>
        </w:rPr>
        <w:t>投标方案的，只有中标人所递交的备选投标方案方可予以考虑。评标委员会认</w:t>
      </w:r>
      <w:r>
        <w:rPr>
          <w:rFonts w:ascii="宋体" w:hAnsi="宋体" w:eastAsia="宋体" w:cs="宋体"/>
          <w:spacing w:val="-3"/>
          <w:sz w:val="21"/>
          <w:szCs w:val="21"/>
        </w:rPr>
        <w:t>为中标候选人</w:t>
      </w:r>
      <w:r>
        <w:rPr>
          <w:rFonts w:ascii="宋体" w:hAnsi="宋体" w:eastAsia="宋体" w:cs="宋体"/>
          <w:spacing w:val="3"/>
          <w:sz w:val="21"/>
          <w:szCs w:val="21"/>
        </w:rPr>
        <w:t>的备选投标方案优于其按照招标文件要求编制的投标方案的，该中标候</w:t>
      </w:r>
      <w:r>
        <w:rPr>
          <w:rFonts w:ascii="宋体" w:hAnsi="宋体" w:eastAsia="宋体" w:cs="宋体"/>
          <w:spacing w:val="2"/>
          <w:sz w:val="21"/>
          <w:szCs w:val="21"/>
        </w:rPr>
        <w:t>选人被确定中标人</w:t>
      </w:r>
      <w:r>
        <w:rPr>
          <w:rFonts w:ascii="宋体" w:hAnsi="宋体" w:eastAsia="宋体" w:cs="宋体"/>
          <w:spacing w:val="-2"/>
          <w:sz w:val="21"/>
          <w:szCs w:val="21"/>
        </w:rPr>
        <w:t>后，招标人可以接受该备选投标方案。</w:t>
      </w:r>
    </w:p>
    <w:p w14:paraId="0667CBC6">
      <w:pPr>
        <w:pStyle w:val="2"/>
        <w:spacing w:line="307" w:lineRule="auto"/>
      </w:pPr>
    </w:p>
    <w:p w14:paraId="0989EC6D">
      <w:pPr>
        <w:spacing w:before="91" w:line="242" w:lineRule="auto"/>
        <w:ind w:left="30"/>
        <w:outlineLvl w:val="3"/>
        <w:rPr>
          <w:rFonts w:ascii="黑体" w:hAnsi="黑体" w:eastAsia="黑体" w:cs="黑体"/>
          <w:sz w:val="28"/>
          <w:szCs w:val="28"/>
        </w:rPr>
      </w:pPr>
      <w:r>
        <w:rPr>
          <w:rFonts w:ascii="Calibri" w:hAnsi="Calibri" w:eastAsia="Calibri" w:cs="Calibri"/>
          <w:spacing w:val="4"/>
          <w:sz w:val="28"/>
          <w:szCs w:val="28"/>
        </w:rPr>
        <w:t xml:space="preserve">3.7  </w:t>
      </w:r>
      <w:r>
        <w:rPr>
          <w:rFonts w:ascii="黑体" w:hAnsi="黑体" w:eastAsia="黑体" w:cs="黑体"/>
          <w:spacing w:val="4"/>
          <w:sz w:val="28"/>
          <w:szCs w:val="28"/>
        </w:rPr>
        <w:t>投标文件的编制</w:t>
      </w:r>
    </w:p>
    <w:p w14:paraId="688C9B51">
      <w:pPr>
        <w:pStyle w:val="2"/>
        <w:spacing w:line="346" w:lineRule="auto"/>
      </w:pPr>
    </w:p>
    <w:p w14:paraId="020AD6D4">
      <w:pPr>
        <w:spacing w:before="68" w:line="276" w:lineRule="auto"/>
        <w:ind w:left="26" w:right="218" w:firstLine="420"/>
        <w:rPr>
          <w:rFonts w:ascii="宋体" w:hAnsi="宋体" w:eastAsia="宋体" w:cs="宋体"/>
          <w:sz w:val="21"/>
          <w:szCs w:val="21"/>
        </w:rPr>
      </w:pPr>
      <w:r>
        <w:rPr>
          <w:rFonts w:ascii="Calibri" w:hAnsi="Calibri" w:eastAsia="Calibri" w:cs="Calibri"/>
          <w:spacing w:val="1"/>
          <w:sz w:val="21"/>
          <w:szCs w:val="21"/>
        </w:rPr>
        <w:t xml:space="preserve">3.7.1  </w:t>
      </w:r>
      <w:r>
        <w:rPr>
          <w:rFonts w:ascii="宋体" w:hAnsi="宋体" w:eastAsia="宋体" w:cs="宋体"/>
          <w:spacing w:val="1"/>
          <w:sz w:val="21"/>
          <w:szCs w:val="21"/>
        </w:rPr>
        <w:t>投标文件应按第八章“投标文件格式”进</w:t>
      </w:r>
      <w:r>
        <w:rPr>
          <w:rFonts w:ascii="宋体" w:hAnsi="宋体" w:eastAsia="宋体" w:cs="宋体"/>
          <w:sz w:val="21"/>
          <w:szCs w:val="21"/>
        </w:rPr>
        <w:t>行编写，如有必要，可以增加附页，作</w:t>
      </w:r>
      <w:r>
        <w:rPr>
          <w:rFonts w:ascii="宋体" w:hAnsi="宋体" w:eastAsia="宋体" w:cs="宋体"/>
          <w:spacing w:val="-5"/>
          <w:sz w:val="21"/>
          <w:szCs w:val="21"/>
        </w:rPr>
        <w:t>为投标文件的组成部分。其中， 投标函附录在满足招标文件实质性要求的基础上，可以提出</w:t>
      </w:r>
      <w:r>
        <w:rPr>
          <w:rFonts w:ascii="宋体" w:hAnsi="宋体" w:eastAsia="宋体" w:cs="宋体"/>
          <w:spacing w:val="-2"/>
          <w:sz w:val="21"/>
          <w:szCs w:val="21"/>
        </w:rPr>
        <w:t>比招标文件要求更有利于招标人的承诺。</w:t>
      </w:r>
    </w:p>
    <w:p w14:paraId="058F87DD">
      <w:pPr>
        <w:spacing w:before="5" w:line="269" w:lineRule="auto"/>
        <w:ind w:left="25" w:right="248" w:firstLine="421"/>
        <w:rPr>
          <w:rFonts w:ascii="宋体" w:hAnsi="宋体" w:eastAsia="宋体" w:cs="宋体"/>
          <w:sz w:val="21"/>
          <w:szCs w:val="21"/>
        </w:rPr>
      </w:pPr>
      <w:r>
        <w:rPr>
          <w:rFonts w:ascii="Calibri" w:hAnsi="Calibri" w:eastAsia="Calibri" w:cs="Calibri"/>
          <w:sz w:val="21"/>
          <w:szCs w:val="21"/>
        </w:rPr>
        <w:t xml:space="preserve">3.7.2  </w:t>
      </w:r>
      <w:r>
        <w:rPr>
          <w:rFonts w:ascii="宋体" w:hAnsi="宋体" w:eastAsia="宋体" w:cs="宋体"/>
          <w:sz w:val="21"/>
          <w:szCs w:val="21"/>
        </w:rPr>
        <w:t>投标文件应当对招标文件有关工期、投标有效期、质量要求、技术标</w:t>
      </w:r>
      <w:r>
        <w:rPr>
          <w:rFonts w:ascii="宋体" w:hAnsi="宋体" w:eastAsia="宋体" w:cs="宋体"/>
          <w:spacing w:val="-1"/>
          <w:sz w:val="21"/>
          <w:szCs w:val="21"/>
        </w:rPr>
        <w:t>准和要求、</w:t>
      </w:r>
      <w:r>
        <w:rPr>
          <w:rFonts w:ascii="宋体" w:hAnsi="宋体" w:eastAsia="宋体" w:cs="宋体"/>
          <w:spacing w:val="-3"/>
          <w:sz w:val="21"/>
          <w:szCs w:val="21"/>
        </w:rPr>
        <w:t>招标范围等实质性内容作出响应。</w:t>
      </w:r>
    </w:p>
    <w:p w14:paraId="44CFE935">
      <w:pPr>
        <w:spacing w:before="4"/>
        <w:ind w:left="446"/>
        <w:rPr>
          <w:rFonts w:ascii="宋体" w:hAnsi="宋体" w:eastAsia="宋体" w:cs="宋体"/>
          <w:sz w:val="21"/>
          <w:szCs w:val="21"/>
        </w:rPr>
      </w:pPr>
      <w:r>
        <w:rPr>
          <w:rFonts w:ascii="Calibri" w:hAnsi="Calibri" w:eastAsia="Calibri" w:cs="Calibri"/>
          <w:spacing w:val="-2"/>
          <w:sz w:val="21"/>
          <w:szCs w:val="21"/>
        </w:rPr>
        <w:t>3.7.3</w:t>
      </w:r>
      <w:r>
        <w:rPr>
          <w:rFonts w:ascii="Calibri" w:hAnsi="Calibri" w:eastAsia="Calibri" w:cs="Calibri"/>
          <w:spacing w:val="13"/>
          <w:w w:val="101"/>
          <w:sz w:val="21"/>
          <w:szCs w:val="21"/>
        </w:rPr>
        <w:t xml:space="preserve">  </w:t>
      </w:r>
      <w:r>
        <w:rPr>
          <w:rFonts w:ascii="宋体" w:hAnsi="宋体" w:eastAsia="宋体" w:cs="宋体"/>
          <w:spacing w:val="-2"/>
          <w:sz w:val="21"/>
          <w:szCs w:val="21"/>
        </w:rPr>
        <w:t>电子投标文件制作</w:t>
      </w:r>
    </w:p>
    <w:p w14:paraId="3725B34A">
      <w:pPr>
        <w:spacing w:before="42" w:line="269" w:lineRule="auto"/>
        <w:ind w:left="25" w:right="136"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）电子投标文件由投标人使用“电子交易平台</w:t>
      </w:r>
      <w:r>
        <w:rPr>
          <w:rFonts w:ascii="宋体" w:hAnsi="宋体" w:eastAsia="宋体" w:cs="宋体"/>
          <w:spacing w:val="-72"/>
          <w:sz w:val="21"/>
          <w:szCs w:val="21"/>
        </w:rPr>
        <w:t xml:space="preserve"> </w:t>
      </w:r>
      <w:r>
        <w:rPr>
          <w:rFonts w:ascii="宋体" w:hAnsi="宋体" w:eastAsia="宋体" w:cs="宋体"/>
          <w:spacing w:val="1"/>
          <w:sz w:val="21"/>
          <w:szCs w:val="21"/>
        </w:rPr>
        <w:t>”提供的“电子投标文件制作软件</w:t>
      </w:r>
      <w:r>
        <w:rPr>
          <w:rFonts w:ascii="宋体" w:hAnsi="宋体" w:eastAsia="宋体" w:cs="宋体"/>
          <w:spacing w:val="-78"/>
          <w:sz w:val="21"/>
          <w:szCs w:val="21"/>
        </w:rPr>
        <w:t xml:space="preserve"> </w:t>
      </w:r>
      <w:r>
        <w:rPr>
          <w:rFonts w:ascii="宋体" w:hAnsi="宋体" w:eastAsia="宋体" w:cs="宋体"/>
          <w:spacing w:val="1"/>
          <w:sz w:val="21"/>
          <w:szCs w:val="21"/>
        </w:rPr>
        <w:t>”</w:t>
      </w:r>
      <w:r>
        <w:rPr>
          <w:rFonts w:ascii="宋体" w:hAnsi="宋体" w:eastAsia="宋体" w:cs="宋体"/>
          <w:spacing w:val="-6"/>
          <w:sz w:val="21"/>
          <w:szCs w:val="21"/>
        </w:rPr>
        <w:t>制作生成。</w:t>
      </w:r>
    </w:p>
    <w:p w14:paraId="63DBBAF3">
      <w:pPr>
        <w:spacing w:before="19"/>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）投标人在编制电子投标文件时应当建立分级目录，并按照标签提示导入相关内容。</w:t>
      </w:r>
    </w:p>
    <w:p w14:paraId="53075F54">
      <w:pPr>
        <w:spacing w:before="44" w:line="269" w:lineRule="auto"/>
        <w:ind w:left="25" w:firstLine="425"/>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）电子投标文件中的证明资料均为“扫描件</w:t>
      </w:r>
      <w:r>
        <w:rPr>
          <w:rFonts w:ascii="宋体" w:hAnsi="宋体" w:eastAsia="宋体" w:cs="宋体"/>
          <w:spacing w:val="-77"/>
          <w:sz w:val="21"/>
          <w:szCs w:val="21"/>
        </w:rPr>
        <w:t xml:space="preserve"> </w:t>
      </w:r>
      <w:r>
        <w:rPr>
          <w:rFonts w:ascii="宋体" w:hAnsi="宋体" w:eastAsia="宋体" w:cs="宋体"/>
          <w:spacing w:val="-3"/>
          <w:sz w:val="21"/>
          <w:szCs w:val="21"/>
        </w:rPr>
        <w:t>”，应从“电子交易平台</w:t>
      </w:r>
      <w:r>
        <w:rPr>
          <w:rFonts w:ascii="Calibri" w:hAnsi="Calibri" w:eastAsia="Calibri" w:cs="Calibri"/>
          <w:spacing w:val="-3"/>
          <w:sz w:val="21"/>
          <w:szCs w:val="21"/>
        </w:rPr>
        <w:t>”</w:t>
      </w:r>
      <w:r>
        <w:rPr>
          <w:rFonts w:ascii="宋体" w:hAnsi="宋体" w:eastAsia="宋体" w:cs="宋体"/>
          <w:spacing w:val="-3"/>
          <w:sz w:val="21"/>
          <w:szCs w:val="21"/>
        </w:rPr>
        <w:t>交</w:t>
      </w:r>
      <w:r>
        <w:rPr>
          <w:rFonts w:ascii="宋体" w:hAnsi="宋体" w:eastAsia="宋体" w:cs="宋体"/>
          <w:spacing w:val="-4"/>
          <w:sz w:val="21"/>
          <w:szCs w:val="21"/>
        </w:rPr>
        <w:t>易主体诚信</w:t>
      </w:r>
      <w:r>
        <w:rPr>
          <w:rFonts w:ascii="宋体" w:hAnsi="宋体" w:eastAsia="宋体" w:cs="宋体"/>
          <w:sz w:val="21"/>
          <w:szCs w:val="21"/>
        </w:rPr>
        <w:t xml:space="preserve"> </w:t>
      </w:r>
      <w:r>
        <w:rPr>
          <w:rFonts w:ascii="宋体" w:hAnsi="宋体" w:eastAsia="宋体" w:cs="宋体"/>
          <w:spacing w:val="-4"/>
          <w:sz w:val="21"/>
          <w:szCs w:val="21"/>
        </w:rPr>
        <w:t>库中选择，交易主体诚信库中没有的“扫描件”，应以附件形式直接导入，未标示</w:t>
      </w:r>
      <w:r>
        <w:rPr>
          <w:rFonts w:ascii="宋体" w:hAnsi="宋体" w:eastAsia="宋体" w:cs="宋体"/>
          <w:spacing w:val="-15"/>
          <w:sz w:val="21"/>
          <w:szCs w:val="21"/>
        </w:rPr>
        <w:t xml:space="preserve"> </w:t>
      </w:r>
      <w:r>
        <w:rPr>
          <w:rFonts w:ascii="宋体" w:hAnsi="宋体" w:eastAsia="宋体" w:cs="宋体"/>
          <w:spacing w:val="-4"/>
          <w:sz w:val="21"/>
          <w:szCs w:val="21"/>
        </w:rPr>
        <w:t>“扫描件”</w:t>
      </w:r>
      <w:r>
        <w:rPr>
          <w:rFonts w:ascii="宋体" w:hAnsi="宋体" w:eastAsia="宋体" w:cs="宋体"/>
          <w:spacing w:val="-3"/>
          <w:sz w:val="21"/>
          <w:szCs w:val="21"/>
        </w:rPr>
        <w:t>的证明资料均应直接制作生成。</w:t>
      </w:r>
    </w:p>
    <w:p w14:paraId="5F421AD8">
      <w:pPr>
        <w:spacing w:before="11" w:line="274" w:lineRule="auto"/>
        <w:ind w:left="23" w:right="205" w:firstLine="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）第八章投标文件格式文件要求“盖单位章</w:t>
      </w:r>
      <w:r>
        <w:rPr>
          <w:rFonts w:ascii="宋体" w:hAnsi="宋体" w:eastAsia="宋体" w:cs="宋体"/>
          <w:spacing w:val="-1"/>
          <w:sz w:val="21"/>
          <w:szCs w:val="21"/>
        </w:rPr>
        <w:t xml:space="preserve">”的地方，投标人应使用 </w:t>
      </w:r>
      <w:r>
        <w:rPr>
          <w:rFonts w:ascii="Calibri" w:hAnsi="Calibri" w:eastAsia="Calibri" w:cs="Calibri"/>
          <w:spacing w:val="-1"/>
          <w:sz w:val="21"/>
          <w:szCs w:val="21"/>
        </w:rPr>
        <w:t xml:space="preserve">CA  </w:t>
      </w:r>
      <w:r>
        <w:rPr>
          <w:rFonts w:ascii="宋体" w:hAnsi="宋体" w:eastAsia="宋体" w:cs="宋体"/>
          <w:spacing w:val="-1"/>
          <w:sz w:val="21"/>
          <w:szCs w:val="21"/>
        </w:rPr>
        <w:t>数字证书加盖投标人的单位电子印章；要求“签字”的地方，投标人</w:t>
      </w:r>
      <w:r>
        <w:rPr>
          <w:rFonts w:ascii="宋体" w:hAnsi="宋体" w:eastAsia="宋体" w:cs="宋体"/>
          <w:spacing w:val="-2"/>
          <w:sz w:val="21"/>
          <w:szCs w:val="21"/>
        </w:rPr>
        <w:t>应使用</w:t>
      </w:r>
      <w:r>
        <w:rPr>
          <w:rFonts w:ascii="宋体" w:hAnsi="宋体" w:eastAsia="宋体" w:cs="宋体"/>
          <w:spacing w:val="-42"/>
          <w:sz w:val="21"/>
          <w:szCs w:val="21"/>
        </w:rPr>
        <w:t xml:space="preserve"> </w:t>
      </w:r>
      <w:r>
        <w:rPr>
          <w:rFonts w:ascii="Calibri" w:hAnsi="Calibri" w:eastAsia="Calibri" w:cs="Calibri"/>
          <w:spacing w:val="-2"/>
          <w:sz w:val="21"/>
          <w:szCs w:val="21"/>
        </w:rPr>
        <w:t xml:space="preserve">CA  </w:t>
      </w:r>
      <w:r>
        <w:rPr>
          <w:rFonts w:ascii="宋体" w:hAnsi="宋体" w:eastAsia="宋体" w:cs="宋体"/>
          <w:spacing w:val="-2"/>
          <w:sz w:val="21"/>
          <w:szCs w:val="21"/>
        </w:rPr>
        <w:t>数字证书加盖法定代</w:t>
      </w:r>
      <w:r>
        <w:rPr>
          <w:rFonts w:ascii="宋体" w:hAnsi="宋体" w:eastAsia="宋体" w:cs="宋体"/>
          <w:spacing w:val="-3"/>
          <w:sz w:val="21"/>
          <w:szCs w:val="21"/>
        </w:rPr>
        <w:t>表人的个人电子印章或电子签名章。联合体投</w:t>
      </w:r>
      <w:r>
        <w:rPr>
          <w:rFonts w:ascii="宋体" w:hAnsi="宋体" w:eastAsia="宋体" w:cs="宋体"/>
          <w:spacing w:val="-4"/>
          <w:sz w:val="21"/>
          <w:szCs w:val="21"/>
        </w:rPr>
        <w:t>标的，</w:t>
      </w:r>
      <w:r>
        <w:rPr>
          <w:rFonts w:ascii="宋体" w:hAnsi="宋体" w:eastAsia="宋体" w:cs="宋体"/>
          <w:spacing w:val="-45"/>
          <w:sz w:val="21"/>
          <w:szCs w:val="21"/>
        </w:rPr>
        <w:t xml:space="preserve"> </w:t>
      </w:r>
      <w:r>
        <w:rPr>
          <w:rFonts w:ascii="宋体" w:hAnsi="宋体" w:eastAsia="宋体" w:cs="宋体"/>
          <w:spacing w:val="-4"/>
          <w:sz w:val="21"/>
          <w:szCs w:val="21"/>
        </w:rPr>
        <w:t>投标文件由联合体牵头人按上述规定在</w:t>
      </w:r>
      <w:r>
        <w:rPr>
          <w:rFonts w:ascii="宋体" w:hAnsi="宋体" w:eastAsia="宋体" w:cs="宋体"/>
          <w:spacing w:val="-2"/>
          <w:sz w:val="21"/>
          <w:szCs w:val="21"/>
        </w:rPr>
        <w:t>要求“盖单位章”的地方加盖联合体牵头人单位电子印章；在要求“签字”的地方加盖联合</w:t>
      </w:r>
      <w:r>
        <w:rPr>
          <w:rFonts w:ascii="宋体" w:hAnsi="宋体" w:eastAsia="宋体" w:cs="宋体"/>
          <w:spacing w:val="-1"/>
          <w:sz w:val="21"/>
          <w:szCs w:val="21"/>
        </w:rPr>
        <w:t>体牵头人法定代表人的个人电子印章或电子签名章。招标文件有特别说明的除外。</w:t>
      </w:r>
    </w:p>
    <w:p w14:paraId="1514B832">
      <w:pPr>
        <w:spacing w:before="2" w:line="269" w:lineRule="auto"/>
        <w:ind w:left="25" w:right="240"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）电子投标文件制作完成后，将生成一份加密的电子投标文件（后缀名为</w:t>
      </w:r>
      <w:r>
        <w:rPr>
          <w:rFonts w:ascii="Calibri" w:hAnsi="Calibri" w:eastAsia="Calibri" w:cs="Calibri"/>
          <w:sz w:val="21"/>
          <w:szCs w:val="21"/>
        </w:rPr>
        <w:t>.</w:t>
      </w:r>
      <w:r>
        <w:rPr>
          <w:rFonts w:ascii="Calibri" w:hAnsi="Calibri" w:eastAsia="Calibri" w:cs="Calibri"/>
          <w:spacing w:val="-17"/>
          <w:sz w:val="21"/>
          <w:szCs w:val="21"/>
        </w:rPr>
        <w:t xml:space="preserve"> </w:t>
      </w:r>
      <w:r>
        <w:rPr>
          <w:rFonts w:ascii="Calibri" w:hAnsi="Calibri" w:eastAsia="Calibri" w:cs="Calibri"/>
          <w:sz w:val="21"/>
          <w:szCs w:val="21"/>
        </w:rPr>
        <w:t>HBSTF</w:t>
      </w:r>
      <w:r>
        <w:rPr>
          <w:rFonts w:ascii="宋体" w:hAnsi="宋体" w:eastAsia="宋体" w:cs="宋体"/>
          <w:sz w:val="21"/>
          <w:szCs w:val="21"/>
        </w:rPr>
        <w:t>）</w:t>
      </w:r>
      <w:r>
        <w:rPr>
          <w:rFonts w:ascii="宋体" w:hAnsi="宋体" w:eastAsia="宋体" w:cs="宋体"/>
          <w:spacing w:val="-3"/>
          <w:sz w:val="21"/>
          <w:szCs w:val="21"/>
        </w:rPr>
        <w:t>和一份不加密的电子投标文件（后缀名为</w:t>
      </w:r>
      <w:r>
        <w:rPr>
          <w:rFonts w:ascii="Calibri" w:hAnsi="Calibri" w:eastAsia="Calibri" w:cs="Calibri"/>
          <w:spacing w:val="-3"/>
          <w:sz w:val="21"/>
          <w:szCs w:val="21"/>
        </w:rPr>
        <w:t>.</w:t>
      </w:r>
      <w:r>
        <w:rPr>
          <w:rFonts w:ascii="Calibri" w:hAnsi="Calibri" w:eastAsia="Calibri" w:cs="Calibri"/>
          <w:spacing w:val="-23"/>
          <w:sz w:val="21"/>
          <w:szCs w:val="21"/>
        </w:rPr>
        <w:t xml:space="preserve"> </w:t>
      </w:r>
      <w:r>
        <w:rPr>
          <w:rFonts w:ascii="Calibri" w:hAnsi="Calibri" w:eastAsia="Calibri" w:cs="Calibri"/>
          <w:spacing w:val="-4"/>
          <w:sz w:val="21"/>
          <w:szCs w:val="21"/>
        </w:rPr>
        <w:t>NHBSTF</w:t>
      </w:r>
      <w:r>
        <w:rPr>
          <w:rFonts w:ascii="宋体" w:hAnsi="宋体" w:eastAsia="宋体" w:cs="宋体"/>
          <w:spacing w:val="-4"/>
          <w:sz w:val="21"/>
          <w:szCs w:val="21"/>
        </w:rPr>
        <w:t>）。</w:t>
      </w:r>
    </w:p>
    <w:p w14:paraId="12070F9A">
      <w:pPr>
        <w:spacing w:before="20"/>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）电子投标文件制作的具体方法详见“电子投标文件制作软件”中的帮助文档。</w:t>
      </w:r>
    </w:p>
    <w:p w14:paraId="10DBAA19">
      <w:pPr>
        <w:pStyle w:val="2"/>
        <w:spacing w:line="319" w:lineRule="auto"/>
      </w:pPr>
    </w:p>
    <w:p w14:paraId="703BDC5A">
      <w:pPr>
        <w:spacing w:before="91" w:line="370" w:lineRule="exact"/>
        <w:ind w:left="22"/>
        <w:outlineLvl w:val="2"/>
        <w:rPr>
          <w:rFonts w:ascii="黑体" w:hAnsi="黑体" w:eastAsia="黑体" w:cs="黑体"/>
          <w:sz w:val="28"/>
          <w:szCs w:val="28"/>
        </w:rPr>
      </w:pPr>
      <w:bookmarkStart w:id="10" w:name="bookmark9"/>
      <w:bookmarkEnd w:id="10"/>
      <w:r>
        <w:rPr>
          <w:rFonts w:ascii="Calibri" w:hAnsi="Calibri" w:eastAsia="Calibri" w:cs="Calibri"/>
          <w:spacing w:val="4"/>
          <w:position w:val="1"/>
          <w:sz w:val="28"/>
          <w:szCs w:val="28"/>
        </w:rPr>
        <w:t>4.</w:t>
      </w:r>
      <w:r>
        <w:rPr>
          <w:rFonts w:ascii="Calibri" w:hAnsi="Calibri" w:eastAsia="Calibri" w:cs="Calibri"/>
          <w:spacing w:val="11"/>
          <w:position w:val="1"/>
          <w:sz w:val="28"/>
          <w:szCs w:val="28"/>
        </w:rPr>
        <w:t xml:space="preserve">  </w:t>
      </w:r>
      <w:r>
        <w:rPr>
          <w:rFonts w:ascii="黑体" w:hAnsi="黑体" w:eastAsia="黑体" w:cs="黑体"/>
          <w:spacing w:val="4"/>
          <w:position w:val="1"/>
          <w:sz w:val="28"/>
          <w:szCs w:val="28"/>
        </w:rPr>
        <w:t>投标</w:t>
      </w:r>
    </w:p>
    <w:p w14:paraId="3713D1E8">
      <w:pPr>
        <w:pStyle w:val="2"/>
        <w:spacing w:line="452" w:lineRule="auto"/>
      </w:pPr>
    </w:p>
    <w:p w14:paraId="3C015264">
      <w:pPr>
        <w:spacing w:before="92" w:line="242" w:lineRule="auto"/>
        <w:ind w:left="22"/>
        <w:outlineLvl w:val="3"/>
        <w:rPr>
          <w:rFonts w:ascii="黑体" w:hAnsi="黑体" w:eastAsia="黑体" w:cs="黑体"/>
          <w:sz w:val="28"/>
          <w:szCs w:val="28"/>
        </w:rPr>
      </w:pPr>
      <w:r>
        <w:rPr>
          <w:rFonts w:ascii="Calibri" w:hAnsi="Calibri" w:eastAsia="Calibri" w:cs="Calibri"/>
          <w:spacing w:val="5"/>
          <w:sz w:val="28"/>
          <w:szCs w:val="28"/>
        </w:rPr>
        <w:t xml:space="preserve">4.1  </w:t>
      </w:r>
      <w:r>
        <w:rPr>
          <w:rFonts w:ascii="黑体" w:hAnsi="黑体" w:eastAsia="黑体" w:cs="黑体"/>
          <w:spacing w:val="5"/>
          <w:sz w:val="28"/>
          <w:szCs w:val="28"/>
        </w:rPr>
        <w:t>投标文件的加密</w:t>
      </w:r>
    </w:p>
    <w:p w14:paraId="56C763C4">
      <w:pPr>
        <w:pStyle w:val="2"/>
        <w:spacing w:line="347" w:lineRule="auto"/>
      </w:pPr>
    </w:p>
    <w:p w14:paraId="5ED55976">
      <w:pPr>
        <w:spacing w:before="69" w:line="239" w:lineRule="auto"/>
        <w:ind w:left="447"/>
        <w:rPr>
          <w:rFonts w:ascii="宋体" w:hAnsi="宋体" w:eastAsia="宋体" w:cs="宋体"/>
          <w:sz w:val="21"/>
          <w:szCs w:val="21"/>
        </w:rPr>
      </w:pPr>
      <w:r>
        <w:rPr>
          <w:rFonts w:ascii="宋体" w:hAnsi="宋体" w:eastAsia="宋体" w:cs="宋体"/>
          <w:sz w:val="21"/>
          <w:szCs w:val="21"/>
        </w:rPr>
        <w:t>投标人应当按照本章第</w:t>
      </w:r>
      <w:r>
        <w:rPr>
          <w:rFonts w:ascii="宋体" w:hAnsi="宋体" w:eastAsia="宋体" w:cs="宋体"/>
          <w:spacing w:val="-34"/>
          <w:sz w:val="21"/>
          <w:szCs w:val="21"/>
        </w:rPr>
        <w:t xml:space="preserve"> </w:t>
      </w:r>
      <w:r>
        <w:rPr>
          <w:rFonts w:ascii="Calibri" w:hAnsi="Calibri" w:eastAsia="Calibri" w:cs="Calibri"/>
          <w:sz w:val="21"/>
          <w:szCs w:val="21"/>
        </w:rPr>
        <w:t>3.7.3</w:t>
      </w:r>
      <w:r>
        <w:rPr>
          <w:rFonts w:ascii="Calibri" w:hAnsi="Calibri" w:eastAsia="Calibri" w:cs="Calibri"/>
          <w:spacing w:val="23"/>
          <w:w w:val="101"/>
          <w:sz w:val="21"/>
          <w:szCs w:val="21"/>
        </w:rPr>
        <w:t xml:space="preserve"> </w:t>
      </w:r>
      <w:r>
        <w:rPr>
          <w:rFonts w:ascii="宋体" w:hAnsi="宋体" w:eastAsia="宋体" w:cs="宋体"/>
          <w:sz w:val="21"/>
          <w:szCs w:val="21"/>
        </w:rPr>
        <w:t>项要求制作电子投标文件，并在投</w:t>
      </w:r>
      <w:r>
        <w:rPr>
          <w:rFonts w:ascii="宋体" w:hAnsi="宋体" w:eastAsia="宋体" w:cs="宋体"/>
          <w:spacing w:val="-1"/>
          <w:sz w:val="21"/>
          <w:szCs w:val="21"/>
        </w:rPr>
        <w:t>标时上传加密的电子投</w:t>
      </w:r>
    </w:p>
    <w:p w14:paraId="32DA83CD">
      <w:pPr>
        <w:spacing w:line="239" w:lineRule="auto"/>
        <w:rPr>
          <w:rFonts w:ascii="宋体" w:hAnsi="宋体" w:eastAsia="宋体" w:cs="宋体"/>
          <w:sz w:val="21"/>
          <w:szCs w:val="21"/>
        </w:rPr>
        <w:sectPr>
          <w:footerReference r:id="rId39" w:type="default"/>
          <w:pgSz w:w="11910" w:h="16845"/>
          <w:pgMar w:top="1431" w:right="1560" w:bottom="1065" w:left="1786" w:header="0" w:footer="837" w:gutter="0"/>
          <w:cols w:space="720" w:num="1"/>
        </w:sectPr>
      </w:pPr>
    </w:p>
    <w:p w14:paraId="48D08C52">
      <w:pPr>
        <w:spacing w:before="53" w:line="220" w:lineRule="auto"/>
        <w:ind w:left="25"/>
        <w:rPr>
          <w:rFonts w:ascii="宋体" w:hAnsi="宋体" w:eastAsia="宋体" w:cs="宋体"/>
          <w:sz w:val="21"/>
          <w:szCs w:val="21"/>
        </w:rPr>
      </w:pPr>
      <w:r>
        <w:rPr>
          <w:rFonts w:ascii="宋体" w:hAnsi="宋体" w:eastAsia="宋体" w:cs="宋体"/>
          <w:spacing w:val="-6"/>
          <w:sz w:val="21"/>
          <w:szCs w:val="21"/>
        </w:rPr>
        <w:t>标文件，未加密的电子投标文件，招标人（</w:t>
      </w:r>
      <w:r>
        <w:rPr>
          <w:rFonts w:ascii="宋体" w:hAnsi="宋体" w:eastAsia="宋体" w:cs="宋体"/>
          <w:spacing w:val="-7"/>
          <w:sz w:val="21"/>
          <w:szCs w:val="21"/>
        </w:rPr>
        <w:t>“电子交易平台”）将拒收并提示。</w:t>
      </w:r>
    </w:p>
    <w:p w14:paraId="678350F7">
      <w:pPr>
        <w:pStyle w:val="2"/>
        <w:spacing w:line="372" w:lineRule="auto"/>
      </w:pPr>
    </w:p>
    <w:p w14:paraId="2940AE1D">
      <w:pPr>
        <w:spacing w:before="91" w:line="369" w:lineRule="exact"/>
        <w:ind w:left="22"/>
        <w:outlineLvl w:val="3"/>
        <w:rPr>
          <w:rFonts w:ascii="黑体" w:hAnsi="黑体" w:eastAsia="黑体" w:cs="黑体"/>
          <w:sz w:val="28"/>
          <w:szCs w:val="28"/>
        </w:rPr>
      </w:pPr>
      <w:r>
        <w:rPr>
          <w:rFonts w:ascii="Calibri" w:hAnsi="Calibri" w:eastAsia="Calibri" w:cs="Calibri"/>
          <w:spacing w:val="5"/>
          <w:position w:val="1"/>
          <w:sz w:val="28"/>
          <w:szCs w:val="28"/>
        </w:rPr>
        <w:t xml:space="preserve">4.2  </w:t>
      </w:r>
      <w:r>
        <w:rPr>
          <w:rFonts w:ascii="黑体" w:hAnsi="黑体" w:eastAsia="黑体" w:cs="黑体"/>
          <w:spacing w:val="5"/>
          <w:position w:val="1"/>
          <w:sz w:val="28"/>
          <w:szCs w:val="28"/>
        </w:rPr>
        <w:t>投标文件的递交</w:t>
      </w:r>
    </w:p>
    <w:p w14:paraId="008DF72A">
      <w:pPr>
        <w:pStyle w:val="2"/>
        <w:spacing w:line="346" w:lineRule="auto"/>
      </w:pPr>
    </w:p>
    <w:p w14:paraId="578062AB">
      <w:pPr>
        <w:spacing w:before="69" w:line="239" w:lineRule="auto"/>
        <w:ind w:left="441"/>
        <w:rPr>
          <w:rFonts w:ascii="宋体" w:hAnsi="宋体" w:eastAsia="宋体" w:cs="宋体"/>
          <w:sz w:val="21"/>
          <w:szCs w:val="21"/>
        </w:rPr>
      </w:pPr>
      <w:r>
        <w:rPr>
          <w:rFonts w:ascii="Calibri" w:hAnsi="Calibri" w:eastAsia="Calibri" w:cs="Calibri"/>
          <w:spacing w:val="-3"/>
          <w:sz w:val="21"/>
          <w:szCs w:val="21"/>
        </w:rPr>
        <w:t xml:space="preserve">4.2.1  </w:t>
      </w:r>
      <w:r>
        <w:rPr>
          <w:rFonts w:ascii="宋体" w:hAnsi="宋体" w:eastAsia="宋体" w:cs="宋体"/>
          <w:spacing w:val="-3"/>
          <w:sz w:val="21"/>
          <w:szCs w:val="21"/>
        </w:rPr>
        <w:t>投标人递交投标文件的截止时间（投标截止时间）：见投标人须知前附表。</w:t>
      </w:r>
    </w:p>
    <w:p w14:paraId="2A27AD60">
      <w:pPr>
        <w:spacing w:before="44" w:line="274" w:lineRule="auto"/>
        <w:ind w:left="23" w:right="13" w:firstLine="417"/>
        <w:rPr>
          <w:rFonts w:ascii="宋体" w:hAnsi="宋体" w:eastAsia="宋体" w:cs="宋体"/>
          <w:sz w:val="21"/>
          <w:szCs w:val="21"/>
        </w:rPr>
      </w:pPr>
      <w:r>
        <w:rPr>
          <w:rFonts w:ascii="Calibri" w:hAnsi="Calibri" w:eastAsia="Calibri" w:cs="Calibri"/>
          <w:sz w:val="21"/>
          <w:szCs w:val="21"/>
        </w:rPr>
        <w:t xml:space="preserve">4.2.2  </w:t>
      </w:r>
      <w:r>
        <w:rPr>
          <w:rFonts w:ascii="宋体" w:hAnsi="宋体" w:eastAsia="宋体" w:cs="宋体"/>
          <w:sz w:val="21"/>
          <w:szCs w:val="21"/>
        </w:rPr>
        <w:t xml:space="preserve">投标人应当在投标截止时间前，通过互联网使用 </w:t>
      </w:r>
      <w:r>
        <w:rPr>
          <w:rFonts w:ascii="Calibri" w:hAnsi="Calibri" w:eastAsia="Calibri" w:cs="Calibri"/>
          <w:sz w:val="21"/>
          <w:szCs w:val="21"/>
        </w:rPr>
        <w:t>CA</w:t>
      </w:r>
      <w:r>
        <w:rPr>
          <w:rFonts w:ascii="Calibri" w:hAnsi="Calibri" w:eastAsia="Calibri" w:cs="Calibri"/>
          <w:spacing w:val="13"/>
          <w:w w:val="102"/>
          <w:sz w:val="21"/>
          <w:szCs w:val="21"/>
        </w:rPr>
        <w:t xml:space="preserve">  </w:t>
      </w:r>
      <w:r>
        <w:rPr>
          <w:rFonts w:ascii="宋体" w:hAnsi="宋体" w:eastAsia="宋体" w:cs="宋体"/>
          <w:sz w:val="21"/>
          <w:szCs w:val="21"/>
        </w:rPr>
        <w:t>数字证书登录“电子交易平</w:t>
      </w:r>
      <w:r>
        <w:rPr>
          <w:rFonts w:ascii="宋体" w:hAnsi="宋体" w:eastAsia="宋体" w:cs="宋体"/>
          <w:spacing w:val="-7"/>
          <w:sz w:val="21"/>
          <w:szCs w:val="21"/>
        </w:rPr>
        <w:t>台”，选择所投标段将加密的电子投标文件上传。投标人完成投标文</w:t>
      </w:r>
      <w:r>
        <w:rPr>
          <w:rFonts w:ascii="宋体" w:hAnsi="宋体" w:eastAsia="宋体" w:cs="宋体"/>
          <w:spacing w:val="-8"/>
          <w:sz w:val="21"/>
          <w:szCs w:val="21"/>
        </w:rPr>
        <w:t>件上传后，“电子交易平</w:t>
      </w:r>
      <w:r>
        <w:rPr>
          <w:rFonts w:ascii="宋体" w:hAnsi="宋体" w:eastAsia="宋体" w:cs="宋体"/>
          <w:spacing w:val="-1"/>
          <w:sz w:val="21"/>
          <w:szCs w:val="21"/>
        </w:rPr>
        <w:t>台”即时向投标人发出电子签收凭证，递交时间以电子签收凭证载明的传输完成时间为准。投标人应充分考虑上传文件时的不可预见因素，投标文件未在投标截止时间前完成上传的，</w:t>
      </w:r>
      <w:r>
        <w:rPr>
          <w:rFonts w:ascii="宋体" w:hAnsi="宋体" w:eastAsia="宋体" w:cs="宋体"/>
          <w:spacing w:val="-10"/>
          <w:sz w:val="21"/>
          <w:szCs w:val="21"/>
        </w:rPr>
        <w:t>视为逾期送达，招标人（“电子交易平台”）将拒收。</w:t>
      </w:r>
    </w:p>
    <w:p w14:paraId="34D1030B">
      <w:pPr>
        <w:spacing w:before="1" w:line="239" w:lineRule="auto"/>
        <w:ind w:left="441"/>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除投标人须知前附表另有规定外，投</w:t>
      </w:r>
      <w:r>
        <w:rPr>
          <w:rFonts w:ascii="宋体" w:hAnsi="宋体" w:eastAsia="宋体" w:cs="宋体"/>
          <w:spacing w:val="-1"/>
          <w:sz w:val="21"/>
          <w:szCs w:val="21"/>
        </w:rPr>
        <w:t>标人所递交的投标文件不予退还。</w:t>
      </w:r>
    </w:p>
    <w:p w14:paraId="14D1C4B9">
      <w:pPr>
        <w:pStyle w:val="2"/>
        <w:spacing w:line="350" w:lineRule="auto"/>
      </w:pPr>
    </w:p>
    <w:p w14:paraId="52FCCF21">
      <w:pPr>
        <w:spacing w:before="91" w:line="369" w:lineRule="exact"/>
        <w:ind w:left="22"/>
        <w:outlineLvl w:val="3"/>
        <w:rPr>
          <w:rFonts w:ascii="黑体" w:hAnsi="黑体" w:eastAsia="黑体" w:cs="黑体"/>
          <w:sz w:val="28"/>
          <w:szCs w:val="28"/>
        </w:rPr>
      </w:pPr>
      <w:r>
        <w:rPr>
          <w:rFonts w:ascii="Calibri" w:hAnsi="Calibri" w:eastAsia="Calibri" w:cs="Calibri"/>
          <w:spacing w:val="4"/>
          <w:position w:val="1"/>
          <w:sz w:val="28"/>
          <w:szCs w:val="28"/>
        </w:rPr>
        <w:t xml:space="preserve">4.3  </w:t>
      </w:r>
      <w:r>
        <w:rPr>
          <w:rFonts w:ascii="黑体" w:hAnsi="黑体" w:eastAsia="黑体" w:cs="黑体"/>
          <w:spacing w:val="4"/>
          <w:position w:val="1"/>
          <w:sz w:val="28"/>
          <w:szCs w:val="28"/>
        </w:rPr>
        <w:t>投标文件的修改与撤回</w:t>
      </w:r>
    </w:p>
    <w:p w14:paraId="4604B52B">
      <w:pPr>
        <w:pStyle w:val="2"/>
        <w:spacing w:line="361" w:lineRule="auto"/>
      </w:pPr>
    </w:p>
    <w:p w14:paraId="0D085E48">
      <w:pPr>
        <w:spacing w:before="69" w:line="256" w:lineRule="auto"/>
        <w:ind w:left="23" w:right="54" w:firstLine="417"/>
        <w:rPr>
          <w:rFonts w:ascii="宋体" w:hAnsi="宋体" w:eastAsia="宋体" w:cs="宋体"/>
          <w:sz w:val="21"/>
          <w:szCs w:val="21"/>
        </w:rPr>
      </w:pPr>
      <w:r>
        <w:rPr>
          <w:rFonts w:ascii="Calibri" w:hAnsi="Calibri" w:eastAsia="Calibri" w:cs="Calibri"/>
          <w:spacing w:val="-2"/>
          <w:sz w:val="21"/>
          <w:szCs w:val="21"/>
        </w:rPr>
        <w:t xml:space="preserve">4.3.1  </w:t>
      </w:r>
      <w:r>
        <w:rPr>
          <w:rFonts w:ascii="宋体" w:hAnsi="宋体" w:eastAsia="宋体" w:cs="宋体"/>
          <w:spacing w:val="-2"/>
          <w:sz w:val="21"/>
          <w:szCs w:val="21"/>
        </w:rPr>
        <w:t>在本章第</w:t>
      </w:r>
      <w:r>
        <w:rPr>
          <w:rFonts w:ascii="宋体" w:hAnsi="宋体" w:eastAsia="宋体" w:cs="宋体"/>
          <w:spacing w:val="-41"/>
          <w:sz w:val="21"/>
          <w:szCs w:val="21"/>
        </w:rPr>
        <w:t xml:space="preserve"> </w:t>
      </w:r>
      <w:r>
        <w:rPr>
          <w:rFonts w:ascii="Calibri" w:hAnsi="Calibri" w:eastAsia="Calibri" w:cs="Calibri"/>
          <w:spacing w:val="-2"/>
          <w:sz w:val="21"/>
          <w:szCs w:val="21"/>
        </w:rPr>
        <w:t>4.2.1</w:t>
      </w:r>
      <w:r>
        <w:rPr>
          <w:rFonts w:ascii="Calibri" w:hAnsi="Calibri" w:eastAsia="Calibri" w:cs="Calibri"/>
          <w:spacing w:val="24"/>
          <w:sz w:val="21"/>
          <w:szCs w:val="21"/>
        </w:rPr>
        <w:t xml:space="preserve"> </w:t>
      </w:r>
      <w:r>
        <w:rPr>
          <w:rFonts w:ascii="宋体" w:hAnsi="宋体" w:eastAsia="宋体" w:cs="宋体"/>
          <w:spacing w:val="-2"/>
          <w:sz w:val="21"/>
          <w:szCs w:val="21"/>
        </w:rPr>
        <w:t>项规定的投标截止时间前，投标人可以修改或撤回已</w:t>
      </w:r>
      <w:r>
        <w:rPr>
          <w:rFonts w:ascii="宋体" w:hAnsi="宋体" w:eastAsia="宋体" w:cs="宋体"/>
          <w:spacing w:val="-3"/>
          <w:sz w:val="21"/>
          <w:szCs w:val="21"/>
        </w:rPr>
        <w:t>递交的投标文</w:t>
      </w:r>
      <w:r>
        <w:rPr>
          <w:rFonts w:ascii="宋体" w:hAnsi="宋体" w:eastAsia="宋体" w:cs="宋体"/>
          <w:spacing w:val="-10"/>
          <w:sz w:val="21"/>
          <w:szCs w:val="21"/>
        </w:rPr>
        <w:t>件。</w:t>
      </w:r>
    </w:p>
    <w:p w14:paraId="0CDC8ACA">
      <w:pPr>
        <w:spacing w:before="33"/>
        <w:ind w:left="441"/>
        <w:rPr>
          <w:rFonts w:ascii="宋体" w:hAnsi="宋体" w:eastAsia="宋体" w:cs="宋体"/>
          <w:sz w:val="21"/>
          <w:szCs w:val="21"/>
        </w:rPr>
      </w:pPr>
      <w:r>
        <w:rPr>
          <w:rFonts w:ascii="Calibri" w:hAnsi="Calibri" w:eastAsia="Calibri" w:cs="Calibri"/>
          <w:sz w:val="21"/>
          <w:szCs w:val="21"/>
        </w:rPr>
        <w:t xml:space="preserve">4.3.2  </w:t>
      </w:r>
      <w:r>
        <w:rPr>
          <w:rFonts w:ascii="宋体" w:hAnsi="宋体" w:eastAsia="宋体" w:cs="宋体"/>
          <w:sz w:val="21"/>
          <w:szCs w:val="21"/>
        </w:rPr>
        <w:t>投标人撤回投标文件的，在“电子交易平台”直接进行撤回操作。</w:t>
      </w:r>
    </w:p>
    <w:p w14:paraId="4337611C">
      <w:pPr>
        <w:spacing w:before="41" w:line="272" w:lineRule="auto"/>
        <w:ind w:left="25" w:right="59" w:firstLine="416"/>
        <w:rPr>
          <w:rFonts w:ascii="宋体" w:hAnsi="宋体" w:eastAsia="宋体" w:cs="宋体"/>
          <w:sz w:val="21"/>
          <w:szCs w:val="21"/>
        </w:rPr>
      </w:pPr>
      <w:r>
        <w:rPr>
          <w:rFonts w:ascii="Calibri" w:hAnsi="Calibri" w:eastAsia="Calibri" w:cs="Calibri"/>
          <w:spacing w:val="-7"/>
          <w:sz w:val="21"/>
          <w:szCs w:val="21"/>
        </w:rPr>
        <w:t>4.3.3</w:t>
      </w:r>
      <w:r>
        <w:rPr>
          <w:rFonts w:ascii="Calibri" w:hAnsi="Calibri" w:eastAsia="Calibri" w:cs="Calibri"/>
          <w:spacing w:val="10"/>
          <w:sz w:val="21"/>
          <w:szCs w:val="21"/>
        </w:rPr>
        <w:t xml:space="preserve">  </w:t>
      </w:r>
      <w:r>
        <w:rPr>
          <w:rFonts w:ascii="宋体" w:hAnsi="宋体" w:eastAsia="宋体" w:cs="宋体"/>
          <w:spacing w:val="-7"/>
          <w:sz w:val="21"/>
          <w:szCs w:val="21"/>
        </w:rPr>
        <w:t>投标人修改投标文件的，应当先按</w:t>
      </w:r>
      <w:r>
        <w:rPr>
          <w:rFonts w:ascii="宋体" w:hAnsi="宋体" w:eastAsia="宋体" w:cs="宋体"/>
          <w:spacing w:val="-8"/>
          <w:sz w:val="21"/>
          <w:szCs w:val="21"/>
        </w:rPr>
        <w:t>本章第</w:t>
      </w:r>
      <w:r>
        <w:rPr>
          <w:rFonts w:ascii="宋体" w:hAnsi="宋体" w:eastAsia="宋体" w:cs="宋体"/>
          <w:spacing w:val="-41"/>
          <w:sz w:val="21"/>
          <w:szCs w:val="21"/>
        </w:rPr>
        <w:t xml:space="preserve"> </w:t>
      </w:r>
      <w:r>
        <w:rPr>
          <w:rFonts w:ascii="Calibri" w:hAnsi="Calibri" w:eastAsia="Calibri" w:cs="Calibri"/>
          <w:spacing w:val="-8"/>
          <w:sz w:val="21"/>
          <w:szCs w:val="21"/>
        </w:rPr>
        <w:t>4.3.2</w:t>
      </w:r>
      <w:r>
        <w:rPr>
          <w:rFonts w:ascii="Calibri" w:hAnsi="Calibri" w:eastAsia="Calibri" w:cs="Calibri"/>
          <w:spacing w:val="24"/>
          <w:sz w:val="21"/>
          <w:szCs w:val="21"/>
        </w:rPr>
        <w:t xml:space="preserve"> </w:t>
      </w:r>
      <w:r>
        <w:rPr>
          <w:rFonts w:ascii="宋体" w:hAnsi="宋体" w:eastAsia="宋体" w:cs="宋体"/>
          <w:spacing w:val="-8"/>
          <w:sz w:val="21"/>
          <w:szCs w:val="21"/>
        </w:rPr>
        <w:t>项的规定撤回投标文件，再使用“电</w:t>
      </w:r>
      <w:r>
        <w:rPr>
          <w:rFonts w:ascii="宋体" w:hAnsi="宋体" w:eastAsia="宋体" w:cs="宋体"/>
          <w:spacing w:val="-4"/>
          <w:sz w:val="21"/>
          <w:szCs w:val="21"/>
        </w:rPr>
        <w:t>子投标文件制作软件</w:t>
      </w:r>
      <w:r>
        <w:rPr>
          <w:rFonts w:ascii="宋体" w:hAnsi="宋体" w:eastAsia="宋体" w:cs="宋体"/>
          <w:spacing w:val="-70"/>
          <w:sz w:val="21"/>
          <w:szCs w:val="21"/>
        </w:rPr>
        <w:t xml:space="preserve"> </w:t>
      </w:r>
      <w:r>
        <w:rPr>
          <w:rFonts w:ascii="宋体" w:hAnsi="宋体" w:eastAsia="宋体" w:cs="宋体"/>
          <w:spacing w:val="-4"/>
          <w:sz w:val="21"/>
          <w:szCs w:val="21"/>
        </w:rPr>
        <w:t>”制作成完整的投标文件，并按照本章第</w:t>
      </w:r>
      <w:r>
        <w:rPr>
          <w:rFonts w:ascii="宋体" w:hAnsi="宋体" w:eastAsia="宋体" w:cs="宋体"/>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21"/>
          <w:w w:val="102"/>
          <w:sz w:val="21"/>
          <w:szCs w:val="21"/>
        </w:rPr>
        <w:t xml:space="preserve"> </w:t>
      </w:r>
      <w:r>
        <w:rPr>
          <w:rFonts w:ascii="宋体" w:hAnsi="宋体" w:eastAsia="宋体" w:cs="宋体"/>
          <w:spacing w:val="-4"/>
          <w:sz w:val="21"/>
          <w:szCs w:val="21"/>
        </w:rPr>
        <w:t>条、第</w:t>
      </w:r>
      <w:r>
        <w:rPr>
          <w:rFonts w:ascii="宋体" w:hAnsi="宋体" w:eastAsia="宋体" w:cs="宋体"/>
          <w:spacing w:val="-56"/>
          <w:sz w:val="21"/>
          <w:szCs w:val="21"/>
        </w:rPr>
        <w:t xml:space="preserve"> </w:t>
      </w:r>
      <w:r>
        <w:rPr>
          <w:rFonts w:ascii="Calibri" w:hAnsi="Calibri" w:eastAsia="Calibri" w:cs="Calibri"/>
          <w:spacing w:val="-4"/>
          <w:sz w:val="21"/>
          <w:szCs w:val="21"/>
        </w:rPr>
        <w:t>4</w:t>
      </w:r>
      <w:r>
        <w:rPr>
          <w:rFonts w:ascii="Calibri" w:hAnsi="Calibri" w:eastAsia="Calibri" w:cs="Calibri"/>
          <w:spacing w:val="22"/>
          <w:sz w:val="21"/>
          <w:szCs w:val="21"/>
        </w:rPr>
        <w:t xml:space="preserve"> </w:t>
      </w:r>
      <w:r>
        <w:rPr>
          <w:rFonts w:ascii="宋体" w:hAnsi="宋体" w:eastAsia="宋体" w:cs="宋体"/>
          <w:spacing w:val="-4"/>
          <w:sz w:val="21"/>
          <w:szCs w:val="21"/>
        </w:rPr>
        <w:t>条规定进行编制和</w:t>
      </w:r>
      <w:r>
        <w:rPr>
          <w:rFonts w:ascii="宋体" w:hAnsi="宋体" w:eastAsia="宋体" w:cs="宋体"/>
          <w:spacing w:val="-9"/>
          <w:sz w:val="21"/>
          <w:szCs w:val="21"/>
        </w:rPr>
        <w:t>递交。</w:t>
      </w:r>
    </w:p>
    <w:p w14:paraId="7830D109">
      <w:pPr>
        <w:pStyle w:val="2"/>
        <w:spacing w:line="296" w:lineRule="auto"/>
      </w:pPr>
    </w:p>
    <w:p w14:paraId="7B006604">
      <w:pPr>
        <w:spacing w:before="92" w:line="373" w:lineRule="exact"/>
        <w:ind w:left="29"/>
        <w:outlineLvl w:val="2"/>
        <w:rPr>
          <w:rFonts w:ascii="黑体" w:hAnsi="黑体" w:eastAsia="黑体" w:cs="黑体"/>
          <w:sz w:val="28"/>
          <w:szCs w:val="28"/>
        </w:rPr>
      </w:pPr>
      <w:bookmarkStart w:id="11" w:name="bookmark10"/>
      <w:bookmarkEnd w:id="11"/>
      <w:r>
        <w:rPr>
          <w:rFonts w:ascii="Calibri" w:hAnsi="Calibri" w:eastAsia="Calibri" w:cs="Calibri"/>
          <w:spacing w:val="1"/>
          <w:position w:val="1"/>
          <w:sz w:val="28"/>
          <w:szCs w:val="28"/>
        </w:rPr>
        <w:t>5.</w:t>
      </w:r>
      <w:r>
        <w:rPr>
          <w:rFonts w:ascii="Calibri" w:hAnsi="Calibri" w:eastAsia="Calibri" w:cs="Calibri"/>
          <w:spacing w:val="14"/>
          <w:position w:val="1"/>
          <w:sz w:val="28"/>
          <w:szCs w:val="28"/>
        </w:rPr>
        <w:t xml:space="preserve">  </w:t>
      </w:r>
      <w:r>
        <w:rPr>
          <w:rFonts w:ascii="黑体" w:hAnsi="黑体" w:eastAsia="黑体" w:cs="黑体"/>
          <w:spacing w:val="1"/>
          <w:position w:val="1"/>
          <w:sz w:val="28"/>
          <w:szCs w:val="28"/>
        </w:rPr>
        <w:t>开标</w:t>
      </w:r>
    </w:p>
    <w:p w14:paraId="47DC5F29">
      <w:pPr>
        <w:pStyle w:val="2"/>
        <w:spacing w:line="449" w:lineRule="auto"/>
      </w:pPr>
    </w:p>
    <w:p w14:paraId="2D6C30D5">
      <w:pPr>
        <w:spacing w:before="91" w:line="371" w:lineRule="exact"/>
        <w:ind w:left="29"/>
        <w:outlineLvl w:val="3"/>
        <w:rPr>
          <w:rFonts w:ascii="黑体" w:hAnsi="黑体" w:eastAsia="黑体" w:cs="黑体"/>
          <w:sz w:val="28"/>
          <w:szCs w:val="28"/>
        </w:rPr>
      </w:pPr>
      <w:r>
        <w:rPr>
          <w:rFonts w:ascii="Calibri" w:hAnsi="Calibri" w:eastAsia="Calibri" w:cs="Calibri"/>
          <w:spacing w:val="4"/>
          <w:position w:val="1"/>
          <w:sz w:val="28"/>
          <w:szCs w:val="28"/>
        </w:rPr>
        <w:t xml:space="preserve">5.1  </w:t>
      </w:r>
      <w:r>
        <w:rPr>
          <w:rFonts w:ascii="黑体" w:hAnsi="黑体" w:eastAsia="黑体" w:cs="黑体"/>
          <w:spacing w:val="4"/>
          <w:position w:val="1"/>
          <w:sz w:val="28"/>
          <w:szCs w:val="28"/>
        </w:rPr>
        <w:t>开标时间和地点</w:t>
      </w:r>
    </w:p>
    <w:p w14:paraId="47E1B7C8">
      <w:pPr>
        <w:pStyle w:val="2"/>
        <w:spacing w:line="344" w:lineRule="auto"/>
      </w:pPr>
    </w:p>
    <w:p w14:paraId="04E6CF68">
      <w:pPr>
        <w:spacing w:before="68" w:line="269" w:lineRule="auto"/>
        <w:ind w:left="30" w:right="72" w:firstLine="416"/>
        <w:rPr>
          <w:rFonts w:ascii="宋体" w:hAnsi="宋体" w:eastAsia="宋体" w:cs="宋体"/>
          <w:sz w:val="21"/>
          <w:szCs w:val="21"/>
        </w:rPr>
      </w:pPr>
      <w:r>
        <w:rPr>
          <w:rFonts w:ascii="Calibri" w:hAnsi="Calibri" w:eastAsia="Calibri" w:cs="Calibri"/>
          <w:spacing w:val="-3"/>
          <w:sz w:val="21"/>
          <w:szCs w:val="21"/>
        </w:rPr>
        <w:t xml:space="preserve">5.1.1  </w:t>
      </w:r>
      <w:r>
        <w:rPr>
          <w:rFonts w:ascii="宋体" w:hAnsi="宋体" w:eastAsia="宋体" w:cs="宋体"/>
          <w:spacing w:val="-3"/>
          <w:sz w:val="21"/>
          <w:szCs w:val="21"/>
        </w:rPr>
        <w:t>招标人在本章第</w:t>
      </w:r>
      <w:r>
        <w:rPr>
          <w:rFonts w:ascii="宋体" w:hAnsi="宋体" w:eastAsia="宋体" w:cs="宋体"/>
          <w:spacing w:val="-24"/>
          <w:sz w:val="21"/>
          <w:szCs w:val="21"/>
        </w:rPr>
        <w:t xml:space="preserve"> </w:t>
      </w:r>
      <w:r>
        <w:rPr>
          <w:rFonts w:ascii="Calibri" w:hAnsi="Calibri" w:eastAsia="Calibri" w:cs="Calibri"/>
          <w:spacing w:val="-3"/>
          <w:sz w:val="21"/>
          <w:szCs w:val="21"/>
        </w:rPr>
        <w:t>4.2.1</w:t>
      </w:r>
      <w:r>
        <w:rPr>
          <w:rFonts w:ascii="Calibri" w:hAnsi="Calibri" w:eastAsia="Calibri" w:cs="Calibri"/>
          <w:spacing w:val="23"/>
          <w:sz w:val="21"/>
          <w:szCs w:val="21"/>
        </w:rPr>
        <w:t xml:space="preserve"> </w:t>
      </w:r>
      <w:r>
        <w:rPr>
          <w:rFonts w:ascii="宋体" w:hAnsi="宋体" w:eastAsia="宋体" w:cs="宋体"/>
          <w:spacing w:val="-3"/>
          <w:sz w:val="21"/>
          <w:szCs w:val="21"/>
        </w:rPr>
        <w:t>项规定的投标截止时间（开标时间）在“电子交易平台”上</w:t>
      </w:r>
      <w:r>
        <w:rPr>
          <w:rFonts w:ascii="宋体" w:hAnsi="宋体" w:eastAsia="宋体" w:cs="宋体"/>
          <w:spacing w:val="-2"/>
          <w:sz w:val="21"/>
          <w:szCs w:val="21"/>
        </w:rPr>
        <w:t>公开进行开标，所有投标人均应当准时在线参加开标。</w:t>
      </w:r>
    </w:p>
    <w:p w14:paraId="3F16A1BB">
      <w:pPr>
        <w:spacing w:before="19" w:line="265" w:lineRule="auto"/>
        <w:ind w:left="26" w:right="68" w:firstLine="420"/>
        <w:rPr>
          <w:rFonts w:ascii="宋体" w:hAnsi="宋体" w:eastAsia="宋体" w:cs="宋体"/>
          <w:sz w:val="21"/>
          <w:szCs w:val="21"/>
        </w:rPr>
      </w:pPr>
      <w:r>
        <w:rPr>
          <w:rFonts w:ascii="Calibri" w:hAnsi="Calibri" w:eastAsia="Calibri" w:cs="Calibri"/>
          <w:spacing w:val="1"/>
          <w:sz w:val="21"/>
          <w:szCs w:val="21"/>
        </w:rPr>
        <w:t xml:space="preserve">5.1.2  </w:t>
      </w:r>
      <w:r>
        <w:rPr>
          <w:rFonts w:ascii="宋体" w:hAnsi="宋体" w:eastAsia="宋体" w:cs="宋体"/>
          <w:spacing w:val="1"/>
          <w:sz w:val="21"/>
          <w:szCs w:val="21"/>
        </w:rPr>
        <w:t>招标人通过互联网在投标人须知前附表规定</w:t>
      </w:r>
      <w:r>
        <w:rPr>
          <w:rFonts w:ascii="宋体" w:hAnsi="宋体" w:eastAsia="宋体" w:cs="宋体"/>
          <w:sz w:val="21"/>
          <w:szCs w:val="21"/>
        </w:rPr>
        <w:t>的地点组织开标，并在投标截止时间</w:t>
      </w:r>
      <w:r>
        <w:rPr>
          <w:rFonts w:ascii="Calibri" w:hAnsi="Calibri" w:eastAsia="Calibri" w:cs="Calibri"/>
          <w:spacing w:val="-3"/>
          <w:sz w:val="21"/>
          <w:szCs w:val="21"/>
        </w:rPr>
        <w:t>30</w:t>
      </w:r>
      <w:r>
        <w:rPr>
          <w:rFonts w:ascii="Calibri" w:hAnsi="Calibri" w:eastAsia="Calibri" w:cs="Calibri"/>
          <w:spacing w:val="21"/>
          <w:w w:val="101"/>
          <w:sz w:val="21"/>
          <w:szCs w:val="21"/>
        </w:rPr>
        <w:t xml:space="preserve"> </w:t>
      </w:r>
      <w:r>
        <w:rPr>
          <w:rFonts w:ascii="宋体" w:hAnsi="宋体" w:eastAsia="宋体" w:cs="宋体"/>
          <w:spacing w:val="-3"/>
          <w:sz w:val="21"/>
          <w:szCs w:val="21"/>
        </w:rPr>
        <w:t>分钟前，使用</w:t>
      </w:r>
      <w:r>
        <w:rPr>
          <w:rFonts w:ascii="宋体" w:hAnsi="宋体" w:eastAsia="宋体" w:cs="宋体"/>
          <w:spacing w:val="-20"/>
          <w:sz w:val="21"/>
          <w:szCs w:val="21"/>
        </w:rPr>
        <w:t xml:space="preserve"> </w:t>
      </w:r>
      <w:r>
        <w:rPr>
          <w:rFonts w:ascii="Calibri" w:hAnsi="Calibri" w:eastAsia="Calibri" w:cs="Calibri"/>
          <w:spacing w:val="-3"/>
          <w:sz w:val="21"/>
          <w:szCs w:val="21"/>
        </w:rPr>
        <w:t>CA</w:t>
      </w:r>
      <w:r>
        <w:rPr>
          <w:rFonts w:ascii="Calibri" w:hAnsi="Calibri" w:eastAsia="Calibri" w:cs="Calibri"/>
          <w:spacing w:val="21"/>
          <w:sz w:val="21"/>
          <w:szCs w:val="21"/>
        </w:rPr>
        <w:t xml:space="preserve"> </w:t>
      </w:r>
      <w:r>
        <w:rPr>
          <w:rFonts w:ascii="宋体" w:hAnsi="宋体" w:eastAsia="宋体" w:cs="宋体"/>
          <w:spacing w:val="-3"/>
          <w:sz w:val="21"/>
          <w:szCs w:val="21"/>
        </w:rPr>
        <w:t>数字证书登录“电子交易</w:t>
      </w:r>
      <w:r>
        <w:rPr>
          <w:rFonts w:ascii="宋体" w:hAnsi="宋体" w:eastAsia="宋体" w:cs="宋体"/>
          <w:spacing w:val="-4"/>
          <w:sz w:val="21"/>
          <w:szCs w:val="21"/>
        </w:rPr>
        <w:t>平台”，进入“开标大厅”选择相应标段作在线开标的准备工作。</w:t>
      </w:r>
    </w:p>
    <w:p w14:paraId="06A4A044">
      <w:pPr>
        <w:spacing w:before="25" w:line="276" w:lineRule="auto"/>
        <w:ind w:left="22" w:firstLine="424"/>
        <w:rPr>
          <w:rFonts w:ascii="宋体" w:hAnsi="宋体" w:eastAsia="宋体" w:cs="宋体"/>
          <w:sz w:val="21"/>
          <w:szCs w:val="21"/>
        </w:rPr>
      </w:pPr>
      <w:r>
        <w:rPr>
          <w:rFonts w:ascii="Calibri" w:hAnsi="Calibri" w:eastAsia="Calibri" w:cs="Calibri"/>
          <w:spacing w:val="1"/>
          <w:sz w:val="21"/>
          <w:szCs w:val="21"/>
        </w:rPr>
        <w:t xml:space="preserve">5.1.3  </w:t>
      </w:r>
      <w:r>
        <w:rPr>
          <w:rFonts w:ascii="宋体" w:hAnsi="宋体" w:eastAsia="宋体" w:cs="宋体"/>
          <w:spacing w:val="1"/>
          <w:sz w:val="21"/>
          <w:szCs w:val="21"/>
        </w:rPr>
        <w:t>投标人应当在能够保证设施设备可靠、互联</w:t>
      </w:r>
      <w:r>
        <w:rPr>
          <w:rFonts w:ascii="宋体" w:hAnsi="宋体" w:eastAsia="宋体" w:cs="宋体"/>
          <w:sz w:val="21"/>
          <w:szCs w:val="21"/>
        </w:rPr>
        <w:t>网畅通的任意地点，通过互联网在线</w:t>
      </w:r>
      <w:r>
        <w:rPr>
          <w:rFonts w:ascii="宋体" w:hAnsi="宋体" w:eastAsia="宋体" w:cs="宋体"/>
          <w:spacing w:val="-4"/>
          <w:sz w:val="21"/>
          <w:szCs w:val="21"/>
        </w:rPr>
        <w:t>参加开标。在投标截止时间前，使用加密其投标文件的</w:t>
      </w:r>
      <w:r>
        <w:rPr>
          <w:rFonts w:ascii="宋体" w:hAnsi="宋体" w:eastAsia="宋体" w:cs="宋体"/>
          <w:spacing w:val="-37"/>
          <w:sz w:val="21"/>
          <w:szCs w:val="21"/>
        </w:rPr>
        <w:t xml:space="preserve"> </w:t>
      </w:r>
      <w:r>
        <w:rPr>
          <w:rFonts w:ascii="Calibri" w:hAnsi="Calibri" w:eastAsia="Calibri" w:cs="Calibri"/>
          <w:spacing w:val="-4"/>
          <w:sz w:val="21"/>
          <w:szCs w:val="21"/>
        </w:rPr>
        <w:t>CA</w:t>
      </w:r>
      <w:r>
        <w:rPr>
          <w:rFonts w:ascii="Calibri" w:hAnsi="Calibri" w:eastAsia="Calibri" w:cs="Calibri"/>
          <w:spacing w:val="21"/>
          <w:w w:val="101"/>
          <w:sz w:val="21"/>
          <w:szCs w:val="21"/>
        </w:rPr>
        <w:t xml:space="preserve"> </w:t>
      </w:r>
      <w:r>
        <w:rPr>
          <w:rFonts w:ascii="宋体" w:hAnsi="宋体" w:eastAsia="宋体" w:cs="宋体"/>
          <w:spacing w:val="-4"/>
          <w:sz w:val="21"/>
          <w:szCs w:val="21"/>
        </w:rPr>
        <w:t>数字证书登录“</w:t>
      </w:r>
      <w:r>
        <w:rPr>
          <w:rFonts w:ascii="宋体" w:hAnsi="宋体" w:eastAsia="宋体" w:cs="宋体"/>
          <w:spacing w:val="-5"/>
          <w:sz w:val="21"/>
          <w:szCs w:val="21"/>
        </w:rPr>
        <w:t>电子交易平台”，</w:t>
      </w:r>
      <w:r>
        <w:rPr>
          <w:rFonts w:ascii="宋体" w:hAnsi="宋体" w:eastAsia="宋体" w:cs="宋体"/>
          <w:spacing w:val="-1"/>
          <w:sz w:val="21"/>
          <w:szCs w:val="21"/>
        </w:rPr>
        <w:t>进入“开标大厅”选择所投标段进行签到，并实时在线关注招标人的操作情况。</w:t>
      </w:r>
    </w:p>
    <w:p w14:paraId="3A312B35">
      <w:pPr>
        <w:pStyle w:val="2"/>
        <w:spacing w:line="297" w:lineRule="auto"/>
      </w:pPr>
    </w:p>
    <w:p w14:paraId="4508B46D">
      <w:pPr>
        <w:spacing w:before="92" w:line="368" w:lineRule="exact"/>
        <w:ind w:left="29"/>
        <w:outlineLvl w:val="3"/>
        <w:rPr>
          <w:rFonts w:ascii="黑体" w:hAnsi="黑体" w:eastAsia="黑体" w:cs="黑体"/>
          <w:sz w:val="28"/>
          <w:szCs w:val="28"/>
        </w:rPr>
      </w:pPr>
      <w:r>
        <w:rPr>
          <w:rFonts w:ascii="Calibri" w:hAnsi="Calibri" w:eastAsia="Calibri" w:cs="Calibri"/>
          <w:spacing w:val="5"/>
          <w:position w:val="1"/>
          <w:sz w:val="28"/>
          <w:szCs w:val="28"/>
        </w:rPr>
        <w:t xml:space="preserve">5.2  </w:t>
      </w:r>
      <w:r>
        <w:rPr>
          <w:rFonts w:ascii="黑体" w:hAnsi="黑体" w:eastAsia="黑体" w:cs="黑体"/>
          <w:spacing w:val="5"/>
          <w:position w:val="1"/>
          <w:sz w:val="28"/>
          <w:szCs w:val="28"/>
        </w:rPr>
        <w:t>开标程序</w:t>
      </w:r>
    </w:p>
    <w:p w14:paraId="4FCAD437">
      <w:pPr>
        <w:pStyle w:val="2"/>
        <w:spacing w:line="361" w:lineRule="auto"/>
      </w:pPr>
    </w:p>
    <w:p w14:paraId="30876B8F">
      <w:pPr>
        <w:spacing w:before="69"/>
        <w:ind w:left="446"/>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主持人按下列程序在“电子交易平台”的“开标大厅”进行在线开标：</w:t>
      </w:r>
    </w:p>
    <w:p w14:paraId="1B2034E2">
      <w:pPr>
        <w:spacing w:before="43" w:line="239" w:lineRule="auto"/>
        <w:ind w:left="450"/>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）宣布开标纪律；</w:t>
      </w:r>
    </w:p>
    <w:p w14:paraId="6B7BDC1E">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1F2B8E8D">
      <w:pPr>
        <w:spacing w:before="28"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）公布在投标截止时间前投标文件的递交情况；</w:t>
      </w:r>
    </w:p>
    <w:p w14:paraId="280144F1">
      <w:pPr>
        <w:spacing w:line="239" w:lineRule="auto"/>
        <w:rPr>
          <w:rFonts w:ascii="宋体" w:hAnsi="宋体" w:eastAsia="宋体" w:cs="宋体"/>
          <w:sz w:val="21"/>
          <w:szCs w:val="21"/>
        </w:rPr>
        <w:sectPr>
          <w:footerReference r:id="rId40" w:type="default"/>
          <w:pgSz w:w="11910" w:h="16845"/>
          <w:pgMar w:top="1431" w:right="1711" w:bottom="1065" w:left="1786" w:header="0" w:footer="837" w:gutter="0"/>
          <w:cols w:space="720" w:num="1"/>
        </w:sectPr>
      </w:pPr>
    </w:p>
    <w:p w14:paraId="5C77317F">
      <w:pPr>
        <w:spacing w:before="54" w:line="239"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）公布投标保证金递交情况；</w:t>
      </w:r>
    </w:p>
    <w:p w14:paraId="15BAA25C">
      <w:pPr>
        <w:spacing w:before="43" w:line="239" w:lineRule="auto"/>
        <w:ind w:left="450"/>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）投标人根据提示在投标人须知前附表规定的时间</w:t>
      </w:r>
      <w:r>
        <w:rPr>
          <w:rFonts w:ascii="宋体" w:hAnsi="宋体" w:eastAsia="宋体" w:cs="宋体"/>
          <w:spacing w:val="-1"/>
          <w:sz w:val="21"/>
          <w:szCs w:val="21"/>
        </w:rPr>
        <w:t>内解密投标文件；</w:t>
      </w:r>
    </w:p>
    <w:p w14:paraId="0E3FC687">
      <w:pPr>
        <w:spacing w:before="42"/>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6</w:t>
      </w:r>
      <w:r>
        <w:rPr>
          <w:rFonts w:ascii="宋体" w:hAnsi="宋体" w:eastAsia="宋体" w:cs="宋体"/>
          <w:spacing w:val="-4"/>
          <w:sz w:val="21"/>
          <w:szCs w:val="21"/>
        </w:rPr>
        <w:t>）读取已解密的投标文件的内容；</w:t>
      </w:r>
    </w:p>
    <w:p w14:paraId="69411C6B">
      <w:pPr>
        <w:spacing w:before="117" w:line="317" w:lineRule="auto"/>
        <w:ind w:left="23" w:right="99" w:firstLine="427"/>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7</w:t>
      </w:r>
      <w:r>
        <w:rPr>
          <w:rFonts w:ascii="宋体" w:hAnsi="宋体" w:eastAsia="宋体" w:cs="宋体"/>
          <w:sz w:val="21"/>
          <w:szCs w:val="21"/>
        </w:rPr>
        <w:t>）公布投标人名称、标段名称、投标保证金的递交情况、投标报价、项目经理姓名</w:t>
      </w:r>
      <w:r>
        <w:rPr>
          <w:rFonts w:ascii="宋体" w:hAnsi="宋体" w:eastAsia="宋体" w:cs="宋体"/>
          <w:spacing w:val="-1"/>
          <w:sz w:val="21"/>
          <w:szCs w:val="21"/>
        </w:rPr>
        <w:t>及其他内容，并生成开标记录；</w:t>
      </w:r>
    </w:p>
    <w:p w14:paraId="564C735E">
      <w:pPr>
        <w:spacing w:line="239" w:lineRule="auto"/>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8</w:t>
      </w:r>
      <w:r>
        <w:rPr>
          <w:rFonts w:ascii="宋体" w:hAnsi="宋体" w:eastAsia="宋体" w:cs="宋体"/>
          <w:spacing w:val="-5"/>
          <w:sz w:val="21"/>
          <w:szCs w:val="21"/>
        </w:rPr>
        <w:t>）开标结束。</w:t>
      </w:r>
    </w:p>
    <w:p w14:paraId="00673280">
      <w:pPr>
        <w:spacing w:before="44" w:line="269" w:lineRule="auto"/>
        <w:ind w:left="26" w:right="71" w:firstLine="420"/>
        <w:jc w:val="both"/>
        <w:rPr>
          <w:rFonts w:ascii="宋体" w:hAnsi="宋体" w:eastAsia="宋体" w:cs="宋体"/>
          <w:sz w:val="21"/>
          <w:szCs w:val="21"/>
        </w:rPr>
      </w:pPr>
      <w:r>
        <w:rPr>
          <w:rFonts w:ascii="Calibri" w:hAnsi="Calibri" w:eastAsia="Calibri" w:cs="Calibri"/>
          <w:sz w:val="21"/>
          <w:szCs w:val="21"/>
        </w:rPr>
        <w:t xml:space="preserve">5.2.2  </w:t>
      </w:r>
      <w:r>
        <w:rPr>
          <w:rFonts w:ascii="宋体" w:hAnsi="宋体" w:eastAsia="宋体" w:cs="宋体"/>
          <w:sz w:val="21"/>
          <w:szCs w:val="21"/>
        </w:rPr>
        <w:t xml:space="preserve">在本章第 </w:t>
      </w:r>
      <w:r>
        <w:rPr>
          <w:rFonts w:ascii="Calibri" w:hAnsi="Calibri" w:eastAsia="Calibri" w:cs="Calibri"/>
          <w:sz w:val="21"/>
          <w:szCs w:val="21"/>
        </w:rPr>
        <w:t>5.2.1</w:t>
      </w: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w:t>
      </w:r>
      <w:r>
        <w:rPr>
          <w:rFonts w:ascii="宋体" w:hAnsi="宋体" w:eastAsia="宋体" w:cs="宋体"/>
          <w:spacing w:val="-56"/>
          <w:sz w:val="21"/>
          <w:szCs w:val="21"/>
        </w:rPr>
        <w:t xml:space="preserve"> </w:t>
      </w:r>
      <w:r>
        <w:rPr>
          <w:rFonts w:ascii="宋体" w:hAnsi="宋体" w:eastAsia="宋体" w:cs="宋体"/>
          <w:sz w:val="21"/>
          <w:szCs w:val="21"/>
        </w:rPr>
        <w:t>目规定的时间内，非</w:t>
      </w:r>
      <w:r>
        <w:rPr>
          <w:rFonts w:ascii="宋体" w:hAnsi="宋体" w:eastAsia="宋体" w:cs="宋体"/>
          <w:spacing w:val="-1"/>
          <w:sz w:val="21"/>
          <w:szCs w:val="21"/>
        </w:rPr>
        <w:t>因“电子交易平台”原因造成投标文件</w:t>
      </w:r>
      <w:r>
        <w:rPr>
          <w:rFonts w:ascii="宋体" w:hAnsi="宋体" w:eastAsia="宋体" w:cs="宋体"/>
          <w:spacing w:val="-2"/>
          <w:sz w:val="21"/>
          <w:szCs w:val="21"/>
        </w:rPr>
        <w:t>未解密的，视为投标人撤回投标文件。已解密的投标文件少于三个的，招标失败；已解密的投标文件不少于三个，开标继续进行。</w:t>
      </w:r>
    </w:p>
    <w:p w14:paraId="42A26512">
      <w:pPr>
        <w:pStyle w:val="2"/>
        <w:spacing w:line="319" w:lineRule="auto"/>
      </w:pPr>
    </w:p>
    <w:p w14:paraId="09A89A2B">
      <w:pPr>
        <w:spacing w:before="91" w:line="369" w:lineRule="exact"/>
        <w:ind w:left="29"/>
        <w:outlineLvl w:val="3"/>
        <w:rPr>
          <w:rFonts w:ascii="黑体" w:hAnsi="黑体" w:eastAsia="黑体" w:cs="黑体"/>
          <w:sz w:val="28"/>
          <w:szCs w:val="28"/>
        </w:rPr>
      </w:pPr>
      <w:r>
        <w:rPr>
          <w:rFonts w:ascii="Calibri" w:hAnsi="Calibri" w:eastAsia="Calibri" w:cs="Calibri"/>
          <w:spacing w:val="5"/>
          <w:position w:val="1"/>
          <w:sz w:val="28"/>
          <w:szCs w:val="28"/>
        </w:rPr>
        <w:t xml:space="preserve">5.3  </w:t>
      </w:r>
      <w:r>
        <w:rPr>
          <w:rFonts w:ascii="黑体" w:hAnsi="黑体" w:eastAsia="黑体" w:cs="黑体"/>
          <w:spacing w:val="5"/>
          <w:position w:val="1"/>
          <w:sz w:val="28"/>
          <w:szCs w:val="28"/>
        </w:rPr>
        <w:t>开标异议</w:t>
      </w:r>
    </w:p>
    <w:p w14:paraId="4BFD301C">
      <w:pPr>
        <w:pStyle w:val="2"/>
        <w:spacing w:line="361" w:lineRule="auto"/>
      </w:pPr>
    </w:p>
    <w:p w14:paraId="1CB647EE">
      <w:pPr>
        <w:spacing w:before="68" w:line="256" w:lineRule="auto"/>
        <w:ind w:left="29" w:firstLine="417"/>
        <w:rPr>
          <w:rFonts w:ascii="宋体" w:hAnsi="宋体" w:eastAsia="宋体" w:cs="宋体"/>
          <w:sz w:val="21"/>
          <w:szCs w:val="21"/>
        </w:rPr>
      </w:pPr>
      <w:r>
        <w:rPr>
          <w:rFonts w:ascii="Calibri" w:hAnsi="Calibri" w:eastAsia="Calibri" w:cs="Calibri"/>
          <w:sz w:val="21"/>
          <w:szCs w:val="21"/>
        </w:rPr>
        <w:t xml:space="preserve">5.3.1  </w:t>
      </w:r>
      <w:r>
        <w:rPr>
          <w:rFonts w:ascii="宋体" w:hAnsi="宋体" w:eastAsia="宋体" w:cs="宋体"/>
          <w:sz w:val="21"/>
          <w:szCs w:val="21"/>
        </w:rPr>
        <w:t>投标人对开标有异议的，应当在开标过程中提出；招标人当场对异议作出答复，</w:t>
      </w:r>
      <w:r>
        <w:rPr>
          <w:rFonts w:ascii="宋体" w:hAnsi="宋体" w:eastAsia="宋体" w:cs="宋体"/>
          <w:spacing w:val="-2"/>
          <w:sz w:val="21"/>
          <w:szCs w:val="21"/>
        </w:rPr>
        <w:t>并记入开标记录。异议与答复应通过</w:t>
      </w:r>
      <w:r>
        <w:rPr>
          <w:rFonts w:ascii="宋体" w:hAnsi="宋体" w:eastAsia="宋体" w:cs="宋体"/>
          <w:spacing w:val="-19"/>
          <w:sz w:val="21"/>
          <w:szCs w:val="21"/>
        </w:rPr>
        <w:t xml:space="preserve"> </w:t>
      </w:r>
      <w:r>
        <w:rPr>
          <w:rFonts w:ascii="宋体" w:hAnsi="宋体" w:eastAsia="宋体" w:cs="宋体"/>
          <w:spacing w:val="-2"/>
          <w:sz w:val="21"/>
          <w:szCs w:val="21"/>
        </w:rPr>
        <w:t>“开标大厅”在“异议与答复”菜单</w:t>
      </w:r>
      <w:r>
        <w:rPr>
          <w:rFonts w:ascii="宋体" w:hAnsi="宋体" w:eastAsia="宋体" w:cs="宋体"/>
          <w:spacing w:val="-3"/>
          <w:sz w:val="21"/>
          <w:szCs w:val="21"/>
        </w:rPr>
        <w:t>以书面形式进行。</w:t>
      </w:r>
    </w:p>
    <w:p w14:paraId="1D499AF4">
      <w:pPr>
        <w:spacing w:before="34" w:line="277" w:lineRule="auto"/>
        <w:ind w:left="25" w:right="92" w:firstLine="420"/>
        <w:rPr>
          <w:rFonts w:ascii="宋体" w:hAnsi="宋体" w:eastAsia="宋体" w:cs="宋体"/>
          <w:sz w:val="21"/>
          <w:szCs w:val="21"/>
        </w:rPr>
      </w:pPr>
      <w:r>
        <w:rPr>
          <w:rFonts w:ascii="宋体" w:hAnsi="宋体" w:eastAsia="宋体" w:cs="宋体"/>
          <w:spacing w:val="-2"/>
          <w:sz w:val="21"/>
          <w:szCs w:val="21"/>
        </w:rPr>
        <w:t>本处所称异议是指投标人在开标过程中对投标文件提交</w:t>
      </w:r>
      <w:r>
        <w:rPr>
          <w:rFonts w:ascii="宋体" w:hAnsi="宋体" w:eastAsia="宋体" w:cs="宋体"/>
          <w:spacing w:val="-3"/>
          <w:sz w:val="21"/>
          <w:szCs w:val="21"/>
        </w:rPr>
        <w:t>、投标截止时间、开标程序、开</w:t>
      </w:r>
      <w:r>
        <w:rPr>
          <w:rFonts w:ascii="宋体" w:hAnsi="宋体" w:eastAsia="宋体" w:cs="宋体"/>
          <w:spacing w:val="-1"/>
          <w:sz w:val="21"/>
          <w:szCs w:val="21"/>
        </w:rPr>
        <w:t>标记录以及投标人和招标人或者投标人相互之间存在利益冲突的情形等提出的质疑。</w:t>
      </w:r>
    </w:p>
    <w:p w14:paraId="2A6F7725">
      <w:pPr>
        <w:spacing w:before="2" w:line="268" w:lineRule="auto"/>
        <w:ind w:left="26" w:right="17" w:firstLine="420"/>
        <w:rPr>
          <w:rFonts w:ascii="宋体" w:hAnsi="宋体" w:eastAsia="宋体" w:cs="宋体"/>
          <w:sz w:val="21"/>
          <w:szCs w:val="21"/>
        </w:rPr>
      </w:pPr>
      <w:r>
        <w:rPr>
          <w:rFonts w:ascii="Calibri" w:hAnsi="Calibri" w:eastAsia="Calibri" w:cs="Calibri"/>
          <w:spacing w:val="-3"/>
          <w:sz w:val="21"/>
          <w:szCs w:val="21"/>
        </w:rPr>
        <w:t xml:space="preserve">5.3.2  </w:t>
      </w:r>
      <w:r>
        <w:rPr>
          <w:rFonts w:ascii="宋体" w:hAnsi="宋体" w:eastAsia="宋体" w:cs="宋体"/>
          <w:spacing w:val="-3"/>
          <w:sz w:val="21"/>
          <w:szCs w:val="21"/>
        </w:rPr>
        <w:t>投标人异议成立的，招标人将及时采取纠正措施，或者提交评标委员会评审确认；</w:t>
      </w:r>
      <w:r>
        <w:rPr>
          <w:rFonts w:ascii="宋体" w:hAnsi="宋体" w:eastAsia="宋体" w:cs="宋体"/>
          <w:spacing w:val="-2"/>
          <w:sz w:val="21"/>
          <w:szCs w:val="21"/>
        </w:rPr>
        <w:t>投标人异议不成立的，招标人将当场给予解释说明。</w:t>
      </w:r>
    </w:p>
    <w:p w14:paraId="752BDBF5">
      <w:pPr>
        <w:pStyle w:val="2"/>
        <w:spacing w:line="312" w:lineRule="auto"/>
      </w:pPr>
    </w:p>
    <w:p w14:paraId="2F59BC44">
      <w:pPr>
        <w:spacing w:before="91" w:line="368" w:lineRule="exact"/>
        <w:ind w:left="29"/>
        <w:outlineLvl w:val="3"/>
        <w:rPr>
          <w:rFonts w:ascii="黑体" w:hAnsi="黑体" w:eastAsia="黑体" w:cs="黑体"/>
          <w:sz w:val="28"/>
          <w:szCs w:val="28"/>
        </w:rPr>
      </w:pPr>
      <w:r>
        <w:rPr>
          <w:rFonts w:ascii="Calibri" w:hAnsi="Calibri" w:eastAsia="Calibri" w:cs="Calibri"/>
          <w:spacing w:val="4"/>
          <w:position w:val="1"/>
          <w:sz w:val="28"/>
          <w:szCs w:val="28"/>
        </w:rPr>
        <w:t xml:space="preserve">5.4  </w:t>
      </w:r>
      <w:r>
        <w:rPr>
          <w:rFonts w:ascii="黑体" w:hAnsi="黑体" w:eastAsia="黑体" w:cs="黑体"/>
          <w:spacing w:val="4"/>
          <w:position w:val="1"/>
          <w:sz w:val="28"/>
          <w:szCs w:val="28"/>
        </w:rPr>
        <w:t>特殊情况的处置</w:t>
      </w:r>
    </w:p>
    <w:p w14:paraId="2D8EC10D">
      <w:pPr>
        <w:pStyle w:val="2"/>
        <w:spacing w:line="360" w:lineRule="auto"/>
      </w:pPr>
    </w:p>
    <w:p w14:paraId="4D06BEC4">
      <w:pPr>
        <w:spacing w:before="69" w:line="273" w:lineRule="auto"/>
        <w:ind w:left="25" w:right="88" w:firstLine="420"/>
        <w:rPr>
          <w:rFonts w:ascii="宋体" w:hAnsi="宋体" w:eastAsia="宋体" w:cs="宋体"/>
          <w:sz w:val="21"/>
          <w:szCs w:val="21"/>
        </w:rPr>
      </w:pPr>
      <w:r>
        <w:rPr>
          <w:rFonts w:ascii="Calibri" w:hAnsi="Calibri" w:eastAsia="Calibri" w:cs="Calibri"/>
          <w:sz w:val="21"/>
          <w:szCs w:val="21"/>
        </w:rPr>
        <w:t>5.4.1</w:t>
      </w:r>
      <w:r>
        <w:rPr>
          <w:rFonts w:ascii="Calibri" w:hAnsi="Calibri" w:eastAsia="Calibri" w:cs="Calibri"/>
          <w:spacing w:val="17"/>
          <w:sz w:val="21"/>
          <w:szCs w:val="21"/>
        </w:rPr>
        <w:t xml:space="preserve">  </w:t>
      </w:r>
      <w:r>
        <w:rPr>
          <w:rFonts w:ascii="宋体" w:hAnsi="宋体" w:eastAsia="宋体" w:cs="宋体"/>
          <w:sz w:val="21"/>
          <w:szCs w:val="21"/>
        </w:rPr>
        <w:t>因“电子交易平台”系统故障导致无法投标的，交易</w:t>
      </w:r>
      <w:r>
        <w:rPr>
          <w:rFonts w:ascii="宋体" w:hAnsi="宋体" w:eastAsia="宋体" w:cs="宋体"/>
          <w:spacing w:val="-1"/>
          <w:sz w:val="21"/>
          <w:szCs w:val="21"/>
        </w:rPr>
        <w:t>中心及时通知招标人，招标</w:t>
      </w:r>
      <w:r>
        <w:rPr>
          <w:rFonts w:ascii="宋体" w:hAnsi="宋体" w:eastAsia="宋体" w:cs="宋体"/>
          <w:spacing w:val="-2"/>
          <w:sz w:val="21"/>
          <w:szCs w:val="21"/>
        </w:rPr>
        <w:t>人视情况决定是否顺延投标截止时间。因投标人自身原因导致无法完成投</w:t>
      </w:r>
      <w:r>
        <w:rPr>
          <w:rFonts w:ascii="宋体" w:hAnsi="宋体" w:eastAsia="宋体" w:cs="宋体"/>
          <w:spacing w:val="-3"/>
          <w:sz w:val="21"/>
          <w:szCs w:val="21"/>
        </w:rPr>
        <w:t>标的，由投标人自</w:t>
      </w:r>
      <w:r>
        <w:rPr>
          <w:rFonts w:ascii="宋体" w:hAnsi="宋体" w:eastAsia="宋体" w:cs="宋体"/>
          <w:spacing w:val="-6"/>
          <w:sz w:val="21"/>
          <w:szCs w:val="21"/>
        </w:rPr>
        <w:t>行承担后果。</w:t>
      </w:r>
    </w:p>
    <w:p w14:paraId="104AA8D3">
      <w:pPr>
        <w:spacing w:before="2" w:line="268" w:lineRule="auto"/>
        <w:ind w:left="25" w:right="101" w:firstLine="420"/>
        <w:rPr>
          <w:rFonts w:ascii="宋体" w:hAnsi="宋体" w:eastAsia="宋体" w:cs="宋体"/>
          <w:sz w:val="21"/>
          <w:szCs w:val="21"/>
        </w:rPr>
      </w:pPr>
      <w:r>
        <w:rPr>
          <w:rFonts w:ascii="Calibri" w:hAnsi="Calibri" w:eastAsia="Calibri" w:cs="Calibri"/>
          <w:spacing w:val="-1"/>
          <w:sz w:val="21"/>
          <w:szCs w:val="21"/>
        </w:rPr>
        <w:t>5.4.2</w:t>
      </w:r>
      <w:r>
        <w:rPr>
          <w:rFonts w:ascii="Calibri" w:hAnsi="Calibri" w:eastAsia="Calibri" w:cs="Calibri"/>
          <w:spacing w:val="24"/>
          <w:w w:val="101"/>
          <w:sz w:val="21"/>
          <w:szCs w:val="21"/>
        </w:rPr>
        <w:t xml:space="preserve">  </w:t>
      </w:r>
      <w:r>
        <w:rPr>
          <w:rFonts w:ascii="宋体" w:hAnsi="宋体" w:eastAsia="宋体" w:cs="宋体"/>
          <w:spacing w:val="-1"/>
          <w:sz w:val="21"/>
          <w:szCs w:val="21"/>
        </w:rPr>
        <w:t>因“电子交易平台”系统故障导致无法正常开标的，招标人将暂停开标，待系统</w:t>
      </w:r>
      <w:r>
        <w:rPr>
          <w:rFonts w:ascii="宋体" w:hAnsi="宋体" w:eastAsia="宋体" w:cs="宋体"/>
          <w:spacing w:val="-4"/>
          <w:sz w:val="21"/>
          <w:szCs w:val="21"/>
        </w:rPr>
        <w:t>恢复正常后继续开标。</w:t>
      </w:r>
    </w:p>
    <w:p w14:paraId="21184980">
      <w:pPr>
        <w:spacing w:before="19"/>
        <w:ind w:left="446"/>
        <w:rPr>
          <w:rFonts w:ascii="宋体" w:hAnsi="宋体" w:eastAsia="宋体" w:cs="宋体"/>
          <w:sz w:val="21"/>
          <w:szCs w:val="21"/>
        </w:rPr>
      </w:pPr>
      <w:r>
        <w:rPr>
          <w:rFonts w:ascii="Calibri" w:hAnsi="Calibri" w:eastAsia="Calibri" w:cs="Calibri"/>
          <w:spacing w:val="-2"/>
          <w:sz w:val="21"/>
          <w:szCs w:val="21"/>
        </w:rPr>
        <w:t>5.4.3</w:t>
      </w:r>
      <w:r>
        <w:rPr>
          <w:rFonts w:ascii="Calibri" w:hAnsi="Calibri" w:eastAsia="Calibri" w:cs="Calibri"/>
          <w:spacing w:val="52"/>
          <w:w w:val="101"/>
          <w:sz w:val="21"/>
          <w:szCs w:val="21"/>
        </w:rPr>
        <w:t xml:space="preserve"> </w:t>
      </w:r>
      <w:r>
        <w:rPr>
          <w:rFonts w:ascii="宋体" w:hAnsi="宋体" w:eastAsia="宋体" w:cs="宋体"/>
          <w:spacing w:val="-2"/>
          <w:sz w:val="21"/>
          <w:szCs w:val="21"/>
        </w:rPr>
        <w:t>“电子交易平台”系统故障是指下列情形：</w:t>
      </w:r>
    </w:p>
    <w:p w14:paraId="1C368D14">
      <w:pPr>
        <w:spacing w:before="42"/>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66929BC4">
      <w:pPr>
        <w:spacing w:before="42"/>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42AEB990">
      <w:pPr>
        <w:spacing w:before="29"/>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4E56D58F">
      <w:pPr>
        <w:spacing w:before="41"/>
        <w:ind w:left="450"/>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0B2D59AD">
      <w:pPr>
        <w:spacing w:before="4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38A0B359">
      <w:pPr>
        <w:pStyle w:val="2"/>
        <w:spacing w:line="334" w:lineRule="auto"/>
      </w:pPr>
    </w:p>
    <w:p w14:paraId="275498E6">
      <w:pPr>
        <w:spacing w:before="91" w:line="369" w:lineRule="exact"/>
        <w:ind w:left="30"/>
        <w:outlineLvl w:val="2"/>
        <w:rPr>
          <w:rFonts w:ascii="黑体" w:hAnsi="黑体" w:eastAsia="黑体" w:cs="黑体"/>
          <w:sz w:val="28"/>
          <w:szCs w:val="28"/>
        </w:rPr>
      </w:pPr>
      <w:bookmarkStart w:id="12" w:name="bookmark11"/>
      <w:bookmarkEnd w:id="12"/>
      <w:r>
        <w:rPr>
          <w:rFonts w:ascii="Calibri" w:hAnsi="Calibri" w:eastAsia="Calibri" w:cs="Calibri"/>
          <w:spacing w:val="2"/>
          <w:position w:val="1"/>
          <w:sz w:val="28"/>
          <w:szCs w:val="28"/>
        </w:rPr>
        <w:t>6.</w:t>
      </w:r>
      <w:r>
        <w:rPr>
          <w:rFonts w:ascii="Calibri" w:hAnsi="Calibri" w:eastAsia="Calibri" w:cs="Calibri"/>
          <w:spacing w:val="11"/>
          <w:position w:val="1"/>
          <w:sz w:val="28"/>
          <w:szCs w:val="28"/>
        </w:rPr>
        <w:t xml:space="preserve">  </w:t>
      </w:r>
      <w:r>
        <w:rPr>
          <w:rFonts w:ascii="黑体" w:hAnsi="黑体" w:eastAsia="黑体" w:cs="黑体"/>
          <w:spacing w:val="2"/>
          <w:position w:val="1"/>
          <w:sz w:val="28"/>
          <w:szCs w:val="28"/>
        </w:rPr>
        <w:t>评标</w:t>
      </w:r>
    </w:p>
    <w:p w14:paraId="27163663">
      <w:pPr>
        <w:pStyle w:val="2"/>
        <w:spacing w:line="438" w:lineRule="auto"/>
      </w:pPr>
    </w:p>
    <w:p w14:paraId="6D3F5E20">
      <w:pPr>
        <w:spacing w:before="92" w:line="242" w:lineRule="auto"/>
        <w:ind w:left="30"/>
        <w:outlineLvl w:val="3"/>
        <w:rPr>
          <w:rFonts w:ascii="黑体" w:hAnsi="黑体" w:eastAsia="黑体" w:cs="黑体"/>
          <w:sz w:val="28"/>
          <w:szCs w:val="28"/>
        </w:rPr>
      </w:pPr>
      <w:r>
        <w:rPr>
          <w:rFonts w:ascii="Calibri" w:hAnsi="Calibri" w:eastAsia="Calibri" w:cs="Calibri"/>
          <w:spacing w:val="5"/>
          <w:sz w:val="28"/>
          <w:szCs w:val="28"/>
        </w:rPr>
        <w:t xml:space="preserve">6.1  </w:t>
      </w:r>
      <w:r>
        <w:rPr>
          <w:rFonts w:ascii="黑体" w:hAnsi="黑体" w:eastAsia="黑体" w:cs="黑体"/>
          <w:spacing w:val="5"/>
          <w:sz w:val="28"/>
          <w:szCs w:val="28"/>
        </w:rPr>
        <w:t>评标委员会</w:t>
      </w:r>
    </w:p>
    <w:p w14:paraId="5BFD2FA1">
      <w:pPr>
        <w:pStyle w:val="2"/>
        <w:spacing w:line="348" w:lineRule="auto"/>
      </w:pPr>
    </w:p>
    <w:p w14:paraId="05C6C227">
      <w:pPr>
        <w:spacing w:before="69" w:line="275" w:lineRule="auto"/>
        <w:ind w:left="23" w:right="84" w:firstLine="424"/>
        <w:jc w:val="both"/>
        <w:rPr>
          <w:rFonts w:ascii="宋体" w:hAnsi="宋体" w:eastAsia="宋体" w:cs="宋体"/>
          <w:sz w:val="21"/>
          <w:szCs w:val="21"/>
        </w:rPr>
      </w:pPr>
      <w:r>
        <w:rPr>
          <w:rFonts w:ascii="Calibri" w:hAnsi="Calibri" w:eastAsia="Calibri" w:cs="Calibri"/>
          <w:spacing w:val="1"/>
          <w:sz w:val="21"/>
          <w:szCs w:val="21"/>
        </w:rPr>
        <w:t xml:space="preserve">6.1.1  </w:t>
      </w:r>
      <w:r>
        <w:rPr>
          <w:rFonts w:ascii="宋体" w:hAnsi="宋体" w:eastAsia="宋体" w:cs="宋体"/>
          <w:spacing w:val="1"/>
          <w:sz w:val="21"/>
          <w:szCs w:val="21"/>
        </w:rPr>
        <w:t>评标由招标人依法组建的评标委员会负责</w:t>
      </w:r>
      <w:r>
        <w:rPr>
          <w:rFonts w:ascii="宋体" w:hAnsi="宋体" w:eastAsia="宋体" w:cs="宋体"/>
          <w:sz w:val="21"/>
          <w:szCs w:val="21"/>
        </w:rPr>
        <w:t>。评标委员会由招标人或其委托的招标</w:t>
      </w:r>
      <w:r>
        <w:rPr>
          <w:rFonts w:ascii="宋体" w:hAnsi="宋体" w:eastAsia="宋体" w:cs="宋体"/>
          <w:spacing w:val="-2"/>
          <w:sz w:val="21"/>
          <w:szCs w:val="21"/>
        </w:rPr>
        <w:t>代理机构熟悉相关业务的代表，以及有关技术、经济等方面的专家组成。评标委员会成员人</w:t>
      </w:r>
      <w:r>
        <w:rPr>
          <w:rFonts w:ascii="宋体" w:hAnsi="宋体" w:eastAsia="宋体" w:cs="宋体"/>
          <w:spacing w:val="-1"/>
          <w:sz w:val="21"/>
          <w:szCs w:val="21"/>
        </w:rPr>
        <w:t>数以及技术、经济等方面专家的确定方式见投标人须知前附表。</w:t>
      </w:r>
    </w:p>
    <w:p w14:paraId="5304BCC4">
      <w:pPr>
        <w:spacing w:line="275" w:lineRule="auto"/>
        <w:rPr>
          <w:rFonts w:ascii="宋体" w:hAnsi="宋体" w:eastAsia="宋体" w:cs="宋体"/>
          <w:sz w:val="21"/>
          <w:szCs w:val="21"/>
        </w:rPr>
        <w:sectPr>
          <w:footerReference r:id="rId41" w:type="default"/>
          <w:pgSz w:w="11910" w:h="16845"/>
          <w:pgMar w:top="1431" w:right="1694" w:bottom="1065" w:left="1786" w:header="0" w:footer="838" w:gutter="0"/>
          <w:cols w:space="720" w:num="1"/>
        </w:sectPr>
      </w:pPr>
    </w:p>
    <w:p w14:paraId="3A7F351D">
      <w:pPr>
        <w:spacing w:before="54" w:line="239" w:lineRule="auto"/>
        <w:ind w:left="447"/>
        <w:rPr>
          <w:rFonts w:ascii="宋体" w:hAnsi="宋体" w:eastAsia="宋体" w:cs="宋体"/>
          <w:sz w:val="21"/>
          <w:szCs w:val="21"/>
        </w:rPr>
      </w:pPr>
      <w:r>
        <w:rPr>
          <w:rFonts w:ascii="Calibri" w:hAnsi="Calibri" w:eastAsia="Calibri" w:cs="Calibri"/>
          <w:spacing w:val="-2"/>
          <w:sz w:val="21"/>
          <w:szCs w:val="21"/>
        </w:rPr>
        <w:t xml:space="preserve">6.1.2  </w:t>
      </w:r>
      <w:r>
        <w:rPr>
          <w:rFonts w:ascii="宋体" w:hAnsi="宋体" w:eastAsia="宋体" w:cs="宋体"/>
          <w:spacing w:val="-2"/>
          <w:sz w:val="21"/>
          <w:szCs w:val="21"/>
        </w:rPr>
        <w:t>评标委员会成员有下列情形之一的，应当回避：</w:t>
      </w:r>
    </w:p>
    <w:p w14:paraId="0B769C36">
      <w:pPr>
        <w:spacing w:before="43"/>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）投标人或投标人的主要负责人的近亲属；</w:t>
      </w:r>
    </w:p>
    <w:p w14:paraId="521E6310">
      <w:pPr>
        <w:spacing w:before="41"/>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）项目主管部门或者行政监督部门的人员；</w:t>
      </w:r>
    </w:p>
    <w:p w14:paraId="45F816AB">
      <w:pPr>
        <w:spacing w:before="28"/>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）与投标人有经济利益关系或其他利害关系</w:t>
      </w:r>
      <w:r>
        <w:rPr>
          <w:rFonts w:ascii="宋体" w:hAnsi="宋体" w:eastAsia="宋体" w:cs="宋体"/>
          <w:spacing w:val="-2"/>
          <w:sz w:val="21"/>
          <w:szCs w:val="21"/>
        </w:rPr>
        <w:t>，可能影响对投标公正评审的；</w:t>
      </w:r>
    </w:p>
    <w:p w14:paraId="1FF7FAB2">
      <w:pPr>
        <w:spacing w:before="42" w:line="269" w:lineRule="auto"/>
        <w:ind w:left="26" w:right="56"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）曾因在招标、评标以及其他与招标投标有关活动中从事违法行为而受过行政处罚</w:t>
      </w:r>
      <w:r>
        <w:rPr>
          <w:rFonts w:ascii="宋体" w:hAnsi="宋体" w:eastAsia="宋体" w:cs="宋体"/>
          <w:spacing w:val="-5"/>
          <w:sz w:val="21"/>
          <w:szCs w:val="21"/>
        </w:rPr>
        <w:t>或刑事处罚的。</w:t>
      </w:r>
    </w:p>
    <w:p w14:paraId="77966263">
      <w:pPr>
        <w:pStyle w:val="2"/>
        <w:spacing w:line="325" w:lineRule="auto"/>
      </w:pPr>
    </w:p>
    <w:p w14:paraId="3E85EAE4">
      <w:pPr>
        <w:spacing w:before="91" w:line="368" w:lineRule="exact"/>
        <w:ind w:left="30"/>
        <w:outlineLvl w:val="3"/>
        <w:rPr>
          <w:rFonts w:ascii="黑体" w:hAnsi="黑体" w:eastAsia="黑体" w:cs="黑体"/>
          <w:sz w:val="28"/>
          <w:szCs w:val="28"/>
        </w:rPr>
      </w:pPr>
      <w:r>
        <w:rPr>
          <w:rFonts w:ascii="Calibri" w:hAnsi="Calibri" w:eastAsia="Calibri" w:cs="Calibri"/>
          <w:spacing w:val="5"/>
          <w:position w:val="1"/>
          <w:sz w:val="28"/>
          <w:szCs w:val="28"/>
        </w:rPr>
        <w:t xml:space="preserve">6.2  </w:t>
      </w:r>
      <w:r>
        <w:rPr>
          <w:rFonts w:ascii="黑体" w:hAnsi="黑体" w:eastAsia="黑体" w:cs="黑体"/>
          <w:spacing w:val="5"/>
          <w:position w:val="1"/>
          <w:sz w:val="28"/>
          <w:szCs w:val="28"/>
        </w:rPr>
        <w:t>评标原则</w:t>
      </w:r>
    </w:p>
    <w:p w14:paraId="5F81B0D6">
      <w:pPr>
        <w:pStyle w:val="2"/>
        <w:spacing w:line="346" w:lineRule="auto"/>
      </w:pPr>
    </w:p>
    <w:p w14:paraId="0861CF00">
      <w:pPr>
        <w:spacing w:before="69" w:line="219" w:lineRule="auto"/>
        <w:ind w:left="443"/>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7F637685">
      <w:pPr>
        <w:pStyle w:val="2"/>
        <w:spacing w:line="373" w:lineRule="auto"/>
      </w:pPr>
    </w:p>
    <w:p w14:paraId="09DCA83A">
      <w:pPr>
        <w:spacing w:before="92" w:line="369" w:lineRule="exact"/>
        <w:ind w:left="30"/>
        <w:outlineLvl w:val="3"/>
        <w:rPr>
          <w:rFonts w:ascii="黑体" w:hAnsi="黑体" w:eastAsia="黑体" w:cs="黑体"/>
          <w:sz w:val="28"/>
          <w:szCs w:val="28"/>
        </w:rPr>
      </w:pPr>
      <w:r>
        <w:rPr>
          <w:rFonts w:ascii="Calibri" w:hAnsi="Calibri" w:eastAsia="Calibri" w:cs="Calibri"/>
          <w:spacing w:val="3"/>
          <w:position w:val="1"/>
          <w:sz w:val="28"/>
          <w:szCs w:val="28"/>
        </w:rPr>
        <w:t xml:space="preserve">6.3  </w:t>
      </w:r>
      <w:r>
        <w:rPr>
          <w:rFonts w:ascii="黑体" w:hAnsi="黑体" w:eastAsia="黑体" w:cs="黑体"/>
          <w:spacing w:val="3"/>
          <w:position w:val="1"/>
          <w:sz w:val="28"/>
          <w:szCs w:val="28"/>
        </w:rPr>
        <w:t>评标</w:t>
      </w:r>
    </w:p>
    <w:p w14:paraId="7338C735">
      <w:pPr>
        <w:pStyle w:val="2"/>
        <w:spacing w:line="361" w:lineRule="auto"/>
      </w:pPr>
    </w:p>
    <w:p w14:paraId="273C1871">
      <w:pPr>
        <w:spacing w:before="68" w:line="279" w:lineRule="auto"/>
        <w:ind w:left="27" w:firstLine="416"/>
        <w:rPr>
          <w:rFonts w:ascii="宋体" w:hAnsi="宋体" w:eastAsia="宋体" w:cs="宋体"/>
          <w:sz w:val="21"/>
          <w:szCs w:val="21"/>
        </w:rPr>
      </w:pPr>
      <w:r>
        <w:rPr>
          <w:rFonts w:ascii="宋体" w:hAnsi="宋体" w:eastAsia="宋体" w:cs="宋体"/>
          <w:spacing w:val="-2"/>
          <w:sz w:val="21"/>
          <w:szCs w:val="21"/>
        </w:rPr>
        <w:t>评标委员会按照第三章“评标办法”规定的方法、评审因素、标准和程序对投标文件进</w:t>
      </w:r>
      <w:r>
        <w:rPr>
          <w:rFonts w:ascii="宋体" w:hAnsi="宋体" w:eastAsia="宋体" w:cs="宋体"/>
          <w:spacing w:val="-1"/>
          <w:sz w:val="21"/>
          <w:szCs w:val="21"/>
        </w:rPr>
        <w:t>行评审。第三章“评标办法”没有规定的方法、评审因素和标准，不作为评标依据。</w:t>
      </w:r>
    </w:p>
    <w:p w14:paraId="7D0ECC75">
      <w:pPr>
        <w:pStyle w:val="2"/>
        <w:spacing w:line="288" w:lineRule="auto"/>
      </w:pPr>
    </w:p>
    <w:p w14:paraId="02D44B4B">
      <w:pPr>
        <w:spacing w:before="92" w:line="368" w:lineRule="exact"/>
        <w:ind w:left="30"/>
        <w:outlineLvl w:val="3"/>
        <w:rPr>
          <w:rFonts w:ascii="黑体" w:hAnsi="黑体" w:eastAsia="黑体" w:cs="黑体"/>
          <w:sz w:val="28"/>
          <w:szCs w:val="28"/>
        </w:rPr>
      </w:pPr>
      <w:r>
        <w:rPr>
          <w:rFonts w:ascii="Calibri" w:hAnsi="Calibri" w:eastAsia="Calibri" w:cs="Calibri"/>
          <w:spacing w:val="5"/>
          <w:position w:val="1"/>
          <w:sz w:val="28"/>
          <w:szCs w:val="28"/>
        </w:rPr>
        <w:t xml:space="preserve">6.4  </w:t>
      </w:r>
      <w:r>
        <w:rPr>
          <w:rFonts w:ascii="黑体" w:hAnsi="黑体" w:eastAsia="黑体" w:cs="黑体"/>
          <w:spacing w:val="5"/>
          <w:position w:val="1"/>
          <w:sz w:val="28"/>
          <w:szCs w:val="28"/>
        </w:rPr>
        <w:t>评标结果公示</w:t>
      </w:r>
    </w:p>
    <w:p w14:paraId="0B1FC383">
      <w:pPr>
        <w:pStyle w:val="2"/>
        <w:spacing w:line="362" w:lineRule="auto"/>
      </w:pPr>
    </w:p>
    <w:p w14:paraId="1B244743">
      <w:pPr>
        <w:spacing w:before="69" w:line="277" w:lineRule="auto"/>
        <w:ind w:left="25" w:right="6" w:firstLine="419"/>
        <w:rPr>
          <w:rFonts w:ascii="宋体" w:hAnsi="宋体" w:eastAsia="宋体" w:cs="宋体"/>
          <w:sz w:val="21"/>
          <w:szCs w:val="21"/>
        </w:rPr>
      </w:pPr>
      <w:r>
        <w:rPr>
          <w:rFonts w:ascii="宋体" w:hAnsi="宋体" w:eastAsia="宋体" w:cs="宋体"/>
          <w:spacing w:val="-3"/>
          <w:sz w:val="21"/>
          <w:szCs w:val="21"/>
        </w:rPr>
        <w:t>招标人将自收到评标报告之日起</w:t>
      </w:r>
      <w:r>
        <w:rPr>
          <w:rFonts w:ascii="宋体" w:hAnsi="宋体" w:eastAsia="宋体" w:cs="宋体"/>
          <w:spacing w:val="-38"/>
          <w:sz w:val="21"/>
          <w:szCs w:val="21"/>
        </w:rPr>
        <w:t xml:space="preserve"> </w:t>
      </w:r>
      <w:r>
        <w:rPr>
          <w:rFonts w:ascii="Calibri" w:hAnsi="Calibri" w:eastAsia="Calibri" w:cs="Calibri"/>
          <w:spacing w:val="-3"/>
          <w:sz w:val="21"/>
          <w:szCs w:val="21"/>
        </w:rPr>
        <w:t xml:space="preserve">3  </w:t>
      </w:r>
      <w:r>
        <w:rPr>
          <w:rFonts w:ascii="宋体" w:hAnsi="宋体" w:eastAsia="宋体" w:cs="宋体"/>
          <w:spacing w:val="-3"/>
          <w:sz w:val="21"/>
          <w:szCs w:val="21"/>
        </w:rPr>
        <w:t>日内，在投标人须知前附</w:t>
      </w:r>
      <w:r>
        <w:rPr>
          <w:rFonts w:ascii="宋体" w:hAnsi="宋体" w:eastAsia="宋体" w:cs="宋体"/>
          <w:spacing w:val="-4"/>
          <w:sz w:val="21"/>
          <w:szCs w:val="21"/>
        </w:rPr>
        <w:t>表规定的媒介公示中标候选人。公示期不少于</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w:t>
      </w:r>
    </w:p>
    <w:p w14:paraId="7536178B">
      <w:pPr>
        <w:spacing w:line="267" w:lineRule="auto"/>
        <w:ind w:left="25" w:right="9" w:firstLine="422"/>
        <w:jc w:val="both"/>
        <w:rPr>
          <w:rFonts w:ascii="宋体" w:hAnsi="宋体" w:eastAsia="宋体" w:cs="宋体"/>
          <w:sz w:val="21"/>
          <w:szCs w:val="21"/>
        </w:rPr>
      </w:pPr>
      <w:r>
        <w:rPr>
          <w:rFonts w:ascii="宋体" w:hAnsi="宋体" w:eastAsia="宋体" w:cs="宋体"/>
          <w:spacing w:val="-2"/>
          <w:sz w:val="21"/>
          <w:szCs w:val="21"/>
        </w:rPr>
        <w:t>投标人或者其他利害关系人对评标结果有异议的，应当在评标结果</w:t>
      </w:r>
      <w:r>
        <w:rPr>
          <w:rFonts w:ascii="宋体" w:hAnsi="宋体" w:eastAsia="宋体" w:cs="宋体"/>
          <w:spacing w:val="-3"/>
          <w:sz w:val="21"/>
          <w:szCs w:val="21"/>
        </w:rPr>
        <w:t>公示期间提出。招标人自收到异议之日起</w:t>
      </w:r>
      <w:r>
        <w:rPr>
          <w:rFonts w:ascii="宋体" w:hAnsi="宋体" w:eastAsia="宋体" w:cs="宋体"/>
          <w:spacing w:val="-36"/>
          <w:sz w:val="21"/>
          <w:szCs w:val="21"/>
        </w:rPr>
        <w:t xml:space="preserve"> </w:t>
      </w:r>
      <w:r>
        <w:rPr>
          <w:rFonts w:ascii="Calibri" w:hAnsi="Calibri" w:eastAsia="Calibri" w:cs="Calibri"/>
          <w:spacing w:val="-3"/>
          <w:sz w:val="21"/>
          <w:szCs w:val="21"/>
        </w:rPr>
        <w:t xml:space="preserve">3  </w:t>
      </w:r>
      <w:r>
        <w:rPr>
          <w:rFonts w:ascii="宋体" w:hAnsi="宋体" w:eastAsia="宋体" w:cs="宋体"/>
          <w:spacing w:val="-3"/>
          <w:sz w:val="21"/>
          <w:szCs w:val="21"/>
        </w:rPr>
        <w:t>日内作出答复；作出答复前，暂停招标投标活</w:t>
      </w:r>
      <w:r>
        <w:rPr>
          <w:rFonts w:ascii="宋体" w:hAnsi="宋体" w:eastAsia="宋体" w:cs="宋体"/>
          <w:spacing w:val="-4"/>
          <w:sz w:val="21"/>
          <w:szCs w:val="21"/>
        </w:rPr>
        <w:t>动。异议与答复应当通</w:t>
      </w:r>
      <w:r>
        <w:rPr>
          <w:rFonts w:ascii="宋体" w:hAnsi="宋体" w:eastAsia="宋体" w:cs="宋体"/>
          <w:spacing w:val="-1"/>
          <w:sz w:val="21"/>
          <w:szCs w:val="21"/>
        </w:rPr>
        <w:t>过“电子交易平台”在“异议与答复”菜单以书面形式进行。</w:t>
      </w:r>
    </w:p>
    <w:p w14:paraId="67C9FBB6">
      <w:pPr>
        <w:pStyle w:val="2"/>
        <w:spacing w:line="326" w:lineRule="auto"/>
      </w:pPr>
    </w:p>
    <w:p w14:paraId="36A46994">
      <w:pPr>
        <w:spacing w:before="92" w:line="368" w:lineRule="exact"/>
        <w:ind w:left="30"/>
        <w:outlineLvl w:val="3"/>
        <w:rPr>
          <w:rFonts w:ascii="黑体" w:hAnsi="黑体" w:eastAsia="黑体" w:cs="黑体"/>
          <w:sz w:val="28"/>
          <w:szCs w:val="28"/>
        </w:rPr>
      </w:pPr>
      <w:r>
        <w:rPr>
          <w:rFonts w:ascii="Calibri" w:hAnsi="Calibri" w:eastAsia="Calibri" w:cs="Calibri"/>
          <w:spacing w:val="1"/>
          <w:position w:val="1"/>
          <w:sz w:val="28"/>
          <w:szCs w:val="28"/>
        </w:rPr>
        <w:t xml:space="preserve">6.5  </w:t>
      </w:r>
      <w:r>
        <w:rPr>
          <w:rFonts w:ascii="黑体" w:hAnsi="黑体" w:eastAsia="黑体" w:cs="黑体"/>
          <w:spacing w:val="1"/>
          <w:position w:val="1"/>
          <w:sz w:val="28"/>
          <w:szCs w:val="28"/>
        </w:rPr>
        <w:t>履约能力的审查（如有）</w:t>
      </w:r>
    </w:p>
    <w:p w14:paraId="6E3BE73A">
      <w:pPr>
        <w:pStyle w:val="2"/>
        <w:spacing w:line="362" w:lineRule="auto"/>
      </w:pPr>
    </w:p>
    <w:p w14:paraId="7C93DDFA">
      <w:pPr>
        <w:spacing w:before="68" w:line="272" w:lineRule="auto"/>
        <w:ind w:left="25" w:right="16" w:firstLine="422"/>
        <w:jc w:val="both"/>
        <w:rPr>
          <w:rFonts w:ascii="宋体" w:hAnsi="宋体" w:eastAsia="宋体" w:cs="宋体"/>
          <w:sz w:val="21"/>
          <w:szCs w:val="21"/>
        </w:rPr>
      </w:pPr>
      <w:r>
        <w:rPr>
          <w:rFonts w:ascii="宋体" w:hAnsi="宋体" w:eastAsia="宋体" w:cs="宋体"/>
          <w:spacing w:val="-4"/>
          <w:sz w:val="21"/>
          <w:szCs w:val="21"/>
        </w:rPr>
        <w:t>如果中标候选人的经营、财务状况发生较大变化或者存在违法行为，</w:t>
      </w:r>
      <w:r>
        <w:rPr>
          <w:rFonts w:ascii="宋体" w:hAnsi="宋体" w:eastAsia="宋体" w:cs="宋体"/>
          <w:spacing w:val="-39"/>
          <w:sz w:val="21"/>
          <w:szCs w:val="21"/>
        </w:rPr>
        <w:t xml:space="preserve"> </w:t>
      </w:r>
      <w:r>
        <w:rPr>
          <w:rFonts w:ascii="宋体" w:hAnsi="宋体" w:eastAsia="宋体" w:cs="宋体"/>
          <w:spacing w:val="-4"/>
          <w:sz w:val="21"/>
          <w:szCs w:val="21"/>
        </w:rPr>
        <w:t>招标人认为可能影</w:t>
      </w:r>
      <w:r>
        <w:rPr>
          <w:rFonts w:ascii="宋体" w:hAnsi="宋体" w:eastAsia="宋体" w:cs="宋体"/>
          <w:spacing w:val="-2"/>
          <w:sz w:val="21"/>
          <w:szCs w:val="21"/>
        </w:rPr>
        <w:t>响其履约能力的，将在发出中标通知书前报请行政监督部门后，召集原评标委员会按</w:t>
      </w:r>
      <w:r>
        <w:rPr>
          <w:rFonts w:ascii="宋体" w:hAnsi="宋体" w:eastAsia="宋体" w:cs="宋体"/>
          <w:spacing w:val="-3"/>
          <w:sz w:val="21"/>
          <w:szCs w:val="21"/>
        </w:rPr>
        <w:t>照招标文件规定的标准和方法审查确认。</w:t>
      </w:r>
    </w:p>
    <w:p w14:paraId="59C70D53">
      <w:pPr>
        <w:pStyle w:val="2"/>
        <w:spacing w:line="295" w:lineRule="auto"/>
      </w:pPr>
    </w:p>
    <w:p w14:paraId="2B24FBE5">
      <w:pPr>
        <w:spacing w:before="92" w:line="369" w:lineRule="exact"/>
        <w:ind w:left="29"/>
        <w:outlineLvl w:val="2"/>
        <w:rPr>
          <w:rFonts w:ascii="黑体" w:hAnsi="黑体" w:eastAsia="黑体" w:cs="黑体"/>
          <w:sz w:val="28"/>
          <w:szCs w:val="28"/>
        </w:rPr>
      </w:pPr>
      <w:bookmarkStart w:id="13" w:name="bookmark12"/>
      <w:bookmarkEnd w:id="13"/>
      <w:r>
        <w:rPr>
          <w:rFonts w:ascii="Calibri" w:hAnsi="Calibri" w:eastAsia="Calibri" w:cs="Calibri"/>
          <w:spacing w:val="5"/>
          <w:position w:val="1"/>
          <w:sz w:val="28"/>
          <w:szCs w:val="28"/>
        </w:rPr>
        <w:t>7.</w:t>
      </w:r>
      <w:r>
        <w:rPr>
          <w:rFonts w:ascii="Calibri" w:hAnsi="Calibri" w:eastAsia="Calibri" w:cs="Calibri"/>
          <w:spacing w:val="14"/>
          <w:position w:val="1"/>
          <w:sz w:val="28"/>
          <w:szCs w:val="28"/>
        </w:rPr>
        <w:t xml:space="preserve">  </w:t>
      </w:r>
      <w:r>
        <w:rPr>
          <w:rFonts w:ascii="黑体" w:hAnsi="黑体" w:eastAsia="黑体" w:cs="黑体"/>
          <w:spacing w:val="5"/>
          <w:position w:val="1"/>
          <w:sz w:val="28"/>
          <w:szCs w:val="28"/>
        </w:rPr>
        <w:t>合同授予</w:t>
      </w:r>
    </w:p>
    <w:p w14:paraId="26A24A09">
      <w:pPr>
        <w:pStyle w:val="2"/>
        <w:spacing w:line="438" w:lineRule="auto"/>
      </w:pPr>
    </w:p>
    <w:p w14:paraId="139A2E5A">
      <w:pPr>
        <w:spacing w:before="91" w:line="242" w:lineRule="auto"/>
        <w:ind w:left="29"/>
        <w:outlineLvl w:val="3"/>
        <w:rPr>
          <w:rFonts w:ascii="黑体" w:hAnsi="黑体" w:eastAsia="黑体" w:cs="黑体"/>
          <w:sz w:val="28"/>
          <w:szCs w:val="28"/>
        </w:rPr>
      </w:pPr>
      <w:r>
        <w:rPr>
          <w:rFonts w:ascii="Calibri" w:hAnsi="Calibri" w:eastAsia="Calibri" w:cs="Calibri"/>
          <w:spacing w:val="5"/>
          <w:sz w:val="28"/>
          <w:szCs w:val="28"/>
        </w:rPr>
        <w:t xml:space="preserve">7.1  </w:t>
      </w:r>
      <w:r>
        <w:rPr>
          <w:rFonts w:ascii="黑体" w:hAnsi="黑体" w:eastAsia="黑体" w:cs="黑体"/>
          <w:spacing w:val="5"/>
          <w:sz w:val="28"/>
          <w:szCs w:val="28"/>
        </w:rPr>
        <w:t>定标方式</w:t>
      </w:r>
    </w:p>
    <w:p w14:paraId="1CA23A4A">
      <w:pPr>
        <w:pStyle w:val="2"/>
        <w:spacing w:line="363" w:lineRule="auto"/>
      </w:pPr>
    </w:p>
    <w:p w14:paraId="3FCC791A">
      <w:pPr>
        <w:spacing w:before="69" w:line="265" w:lineRule="auto"/>
        <w:ind w:left="43" w:right="15" w:firstLine="413"/>
        <w:rPr>
          <w:rFonts w:ascii="宋体" w:hAnsi="宋体" w:eastAsia="宋体" w:cs="宋体"/>
          <w:sz w:val="21"/>
          <w:szCs w:val="21"/>
        </w:rPr>
      </w:pPr>
      <w:r>
        <w:rPr>
          <w:rFonts w:ascii="宋体" w:hAnsi="宋体" w:eastAsia="宋体" w:cs="宋体"/>
          <w:spacing w:val="-2"/>
          <w:sz w:val="21"/>
          <w:szCs w:val="21"/>
        </w:rPr>
        <w:t>除投标人须知前附表规定评标委员会直接确定</w:t>
      </w:r>
      <w:r>
        <w:rPr>
          <w:rFonts w:ascii="宋体" w:hAnsi="宋体" w:eastAsia="宋体" w:cs="宋体"/>
          <w:spacing w:val="-3"/>
          <w:sz w:val="21"/>
          <w:szCs w:val="21"/>
        </w:rPr>
        <w:t>中标人外，招标人依据评标委员会推荐的</w:t>
      </w:r>
      <w:r>
        <w:rPr>
          <w:rFonts w:ascii="宋体" w:hAnsi="宋体" w:eastAsia="宋体" w:cs="宋体"/>
          <w:spacing w:val="-1"/>
          <w:sz w:val="21"/>
          <w:szCs w:val="21"/>
        </w:rPr>
        <w:t>中标候选人确定中标人，评标委员会推荐中标候选人的人数见投标人须</w:t>
      </w:r>
      <w:r>
        <w:rPr>
          <w:rFonts w:ascii="宋体" w:hAnsi="宋体" w:eastAsia="宋体" w:cs="宋体"/>
          <w:spacing w:val="-2"/>
          <w:sz w:val="21"/>
          <w:szCs w:val="21"/>
        </w:rPr>
        <w:t>知前附表。</w:t>
      </w:r>
    </w:p>
    <w:p w14:paraId="767ACE75">
      <w:pPr>
        <w:pStyle w:val="2"/>
        <w:spacing w:line="319" w:lineRule="auto"/>
      </w:pPr>
    </w:p>
    <w:p w14:paraId="5C5CA3E6">
      <w:pPr>
        <w:spacing w:before="91" w:line="370" w:lineRule="exact"/>
        <w:ind w:left="29"/>
        <w:rPr>
          <w:rFonts w:ascii="黑体" w:hAnsi="黑体" w:eastAsia="黑体" w:cs="黑体"/>
          <w:sz w:val="28"/>
          <w:szCs w:val="28"/>
        </w:rPr>
      </w:pPr>
      <w:r>
        <w:rPr>
          <w:rFonts w:ascii="Calibri" w:hAnsi="Calibri" w:eastAsia="Calibri" w:cs="Calibri"/>
          <w:spacing w:val="2"/>
          <w:position w:val="1"/>
          <w:sz w:val="28"/>
          <w:szCs w:val="28"/>
        </w:rPr>
        <w:t>7.2</w:t>
      </w:r>
      <w:r>
        <w:rPr>
          <w:rFonts w:ascii="Calibri" w:hAnsi="Calibri" w:eastAsia="Calibri" w:cs="Calibri"/>
          <w:spacing w:val="18"/>
          <w:w w:val="101"/>
          <w:position w:val="1"/>
          <w:sz w:val="28"/>
          <w:szCs w:val="28"/>
        </w:rPr>
        <w:t xml:space="preserve">  </w:t>
      </w:r>
      <w:r>
        <w:rPr>
          <w:rFonts w:ascii="黑体" w:hAnsi="黑体" w:eastAsia="黑体" w:cs="黑体"/>
          <w:spacing w:val="2"/>
          <w:position w:val="1"/>
          <w:sz w:val="28"/>
          <w:szCs w:val="28"/>
        </w:rPr>
        <w:t>中标通知</w:t>
      </w:r>
    </w:p>
    <w:p w14:paraId="5ABBD6E1">
      <w:pPr>
        <w:spacing w:line="370" w:lineRule="exact"/>
        <w:rPr>
          <w:rFonts w:ascii="黑体" w:hAnsi="黑体" w:eastAsia="黑体" w:cs="黑体"/>
          <w:sz w:val="28"/>
          <w:szCs w:val="28"/>
        </w:rPr>
        <w:sectPr>
          <w:footerReference r:id="rId42" w:type="default"/>
          <w:pgSz w:w="11910" w:h="16845"/>
          <w:pgMar w:top="1431" w:right="1763" w:bottom="1065" w:left="1786" w:header="0" w:footer="837" w:gutter="0"/>
          <w:cols w:space="720" w:num="1"/>
        </w:sectPr>
      </w:pPr>
    </w:p>
    <w:p w14:paraId="6B358C06">
      <w:pPr>
        <w:spacing w:before="53" w:line="269" w:lineRule="auto"/>
        <w:ind w:left="40" w:right="78" w:firstLine="403"/>
        <w:rPr>
          <w:rFonts w:ascii="宋体" w:hAnsi="宋体" w:eastAsia="宋体" w:cs="宋体"/>
          <w:sz w:val="21"/>
          <w:szCs w:val="21"/>
        </w:rPr>
      </w:pPr>
      <w:r>
        <w:rPr>
          <w:rFonts w:ascii="宋体" w:hAnsi="宋体" w:eastAsia="宋体" w:cs="宋体"/>
          <w:spacing w:val="-1"/>
          <w:sz w:val="21"/>
          <w:szCs w:val="21"/>
        </w:rPr>
        <w:t>评标结果公示期满后，在本章第</w:t>
      </w:r>
      <w:r>
        <w:rPr>
          <w:rFonts w:ascii="宋体" w:hAnsi="宋体" w:eastAsia="宋体" w:cs="宋体"/>
          <w:spacing w:val="-38"/>
          <w:sz w:val="21"/>
          <w:szCs w:val="21"/>
        </w:rPr>
        <w:t xml:space="preserve"> </w:t>
      </w:r>
      <w:r>
        <w:rPr>
          <w:rFonts w:ascii="Calibri" w:hAnsi="Calibri" w:eastAsia="Calibri" w:cs="Calibri"/>
          <w:spacing w:val="-1"/>
          <w:sz w:val="21"/>
          <w:szCs w:val="21"/>
        </w:rPr>
        <w:t>3.3</w:t>
      </w:r>
      <w:r>
        <w:rPr>
          <w:rFonts w:ascii="Calibri" w:hAnsi="Calibri" w:eastAsia="Calibri" w:cs="Calibri"/>
          <w:spacing w:val="20"/>
          <w:w w:val="102"/>
          <w:sz w:val="21"/>
          <w:szCs w:val="21"/>
        </w:rPr>
        <w:t xml:space="preserve"> </w:t>
      </w:r>
      <w:r>
        <w:rPr>
          <w:rFonts w:ascii="宋体" w:hAnsi="宋体" w:eastAsia="宋体" w:cs="宋体"/>
          <w:spacing w:val="-1"/>
          <w:sz w:val="21"/>
          <w:szCs w:val="21"/>
        </w:rPr>
        <w:t>款规定的投标有效期内，</w:t>
      </w:r>
      <w:r>
        <w:rPr>
          <w:rFonts w:ascii="宋体" w:hAnsi="宋体" w:eastAsia="宋体" w:cs="宋体"/>
          <w:spacing w:val="-2"/>
          <w:sz w:val="21"/>
          <w:szCs w:val="21"/>
        </w:rPr>
        <w:t>招标人通过“电子交易平</w:t>
      </w:r>
      <w:r>
        <w:rPr>
          <w:rFonts w:ascii="宋体" w:hAnsi="宋体" w:eastAsia="宋体" w:cs="宋体"/>
          <w:spacing w:val="-1"/>
          <w:sz w:val="21"/>
          <w:szCs w:val="21"/>
        </w:rPr>
        <w:t>台”以书面形式向中标人发出中标通知书，同时将中标结果通知未中标的投标</w:t>
      </w:r>
      <w:r>
        <w:rPr>
          <w:rFonts w:ascii="宋体" w:hAnsi="宋体" w:eastAsia="宋体" w:cs="宋体"/>
          <w:spacing w:val="-2"/>
          <w:sz w:val="21"/>
          <w:szCs w:val="21"/>
        </w:rPr>
        <w:t>人。</w:t>
      </w:r>
    </w:p>
    <w:p w14:paraId="4DEF3EB0">
      <w:pPr>
        <w:spacing w:before="18" w:line="257" w:lineRule="auto"/>
        <w:ind w:left="28" w:right="81" w:firstLine="436"/>
        <w:rPr>
          <w:rFonts w:ascii="宋体" w:hAnsi="宋体" w:eastAsia="宋体" w:cs="宋体"/>
          <w:sz w:val="21"/>
          <w:szCs w:val="21"/>
        </w:rPr>
      </w:pPr>
      <w:r>
        <w:rPr>
          <w:rFonts w:ascii="宋体" w:hAnsi="宋体" w:eastAsia="宋体" w:cs="宋体"/>
          <w:spacing w:val="-2"/>
          <w:sz w:val="21"/>
          <w:szCs w:val="21"/>
        </w:rPr>
        <w:t>中标通知书发出的同时，招标人将在投标人须知前附表第</w:t>
      </w:r>
      <w:r>
        <w:rPr>
          <w:rFonts w:ascii="宋体" w:hAnsi="宋体" w:eastAsia="宋体" w:cs="宋体"/>
          <w:spacing w:val="-33"/>
          <w:sz w:val="21"/>
          <w:szCs w:val="21"/>
        </w:rPr>
        <w:t xml:space="preserve"> </w:t>
      </w:r>
      <w:r>
        <w:rPr>
          <w:rFonts w:ascii="Calibri" w:hAnsi="Calibri" w:eastAsia="Calibri" w:cs="Calibri"/>
          <w:spacing w:val="-2"/>
          <w:sz w:val="21"/>
          <w:szCs w:val="21"/>
        </w:rPr>
        <w:t>6.4</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款规定的媒介发布中标结</w:t>
      </w:r>
      <w:r>
        <w:rPr>
          <w:rFonts w:ascii="宋体" w:hAnsi="宋体" w:eastAsia="宋体" w:cs="宋体"/>
          <w:spacing w:val="-8"/>
          <w:sz w:val="21"/>
          <w:szCs w:val="21"/>
        </w:rPr>
        <w:t>果公示。</w:t>
      </w:r>
    </w:p>
    <w:p w14:paraId="4C2D964C">
      <w:pPr>
        <w:pStyle w:val="2"/>
        <w:spacing w:line="339" w:lineRule="auto"/>
      </w:pPr>
    </w:p>
    <w:p w14:paraId="39C31525">
      <w:pPr>
        <w:spacing w:before="91" w:line="368" w:lineRule="exact"/>
        <w:ind w:left="29"/>
        <w:outlineLvl w:val="3"/>
        <w:rPr>
          <w:rFonts w:ascii="黑体" w:hAnsi="黑体" w:eastAsia="黑体" w:cs="黑体"/>
          <w:sz w:val="28"/>
          <w:szCs w:val="28"/>
        </w:rPr>
      </w:pPr>
      <w:r>
        <w:rPr>
          <w:rFonts w:ascii="Calibri" w:hAnsi="Calibri" w:eastAsia="Calibri" w:cs="Calibri"/>
          <w:spacing w:val="5"/>
          <w:position w:val="1"/>
          <w:sz w:val="28"/>
          <w:szCs w:val="28"/>
        </w:rPr>
        <w:t xml:space="preserve">7.3  </w:t>
      </w:r>
      <w:r>
        <w:rPr>
          <w:rFonts w:ascii="黑体" w:hAnsi="黑体" w:eastAsia="黑体" w:cs="黑体"/>
          <w:spacing w:val="5"/>
          <w:position w:val="1"/>
          <w:sz w:val="28"/>
          <w:szCs w:val="28"/>
        </w:rPr>
        <w:t>履约保证金</w:t>
      </w:r>
    </w:p>
    <w:p w14:paraId="4286C626">
      <w:pPr>
        <w:pStyle w:val="2"/>
        <w:spacing w:line="363" w:lineRule="auto"/>
      </w:pPr>
    </w:p>
    <w:p w14:paraId="13FF80CC">
      <w:pPr>
        <w:spacing w:before="68" w:line="272" w:lineRule="auto"/>
        <w:ind w:left="24" w:right="90" w:firstLine="422"/>
        <w:jc w:val="both"/>
        <w:rPr>
          <w:rFonts w:ascii="宋体" w:hAnsi="宋体" w:eastAsia="宋体" w:cs="宋体"/>
          <w:sz w:val="21"/>
          <w:szCs w:val="21"/>
        </w:rPr>
      </w:pPr>
      <w:r>
        <w:rPr>
          <w:rFonts w:ascii="Calibri" w:hAnsi="Calibri" w:eastAsia="Calibri" w:cs="Calibri"/>
          <w:spacing w:val="1"/>
          <w:sz w:val="21"/>
          <w:szCs w:val="21"/>
        </w:rPr>
        <w:t xml:space="preserve">7.3.1  </w:t>
      </w:r>
      <w:r>
        <w:rPr>
          <w:rFonts w:ascii="宋体" w:hAnsi="宋体" w:eastAsia="宋体" w:cs="宋体"/>
          <w:spacing w:val="1"/>
          <w:sz w:val="21"/>
          <w:szCs w:val="21"/>
        </w:rPr>
        <w:t>在签订合同前，中标人应按投标人须知前附</w:t>
      </w:r>
      <w:r>
        <w:rPr>
          <w:rFonts w:ascii="宋体" w:hAnsi="宋体" w:eastAsia="宋体" w:cs="宋体"/>
          <w:sz w:val="21"/>
          <w:szCs w:val="21"/>
        </w:rPr>
        <w:t>表规定的金额、担保形式和招标文件</w:t>
      </w:r>
      <w:r>
        <w:rPr>
          <w:rFonts w:ascii="宋体" w:hAnsi="宋体" w:eastAsia="宋体" w:cs="宋体"/>
          <w:spacing w:val="-2"/>
          <w:sz w:val="21"/>
          <w:szCs w:val="21"/>
        </w:rPr>
        <w:t>第四章“合同条款及格式”规定的履约保证金格式或者事先经过招标人书面认可的</w:t>
      </w:r>
      <w:r>
        <w:rPr>
          <w:rFonts w:ascii="宋体" w:hAnsi="宋体" w:eastAsia="宋体" w:cs="宋体"/>
          <w:spacing w:val="-3"/>
          <w:sz w:val="21"/>
          <w:szCs w:val="21"/>
        </w:rPr>
        <w:t>履约保证</w:t>
      </w:r>
      <w:r>
        <w:rPr>
          <w:rFonts w:ascii="宋体" w:hAnsi="宋体" w:eastAsia="宋体" w:cs="宋体"/>
          <w:spacing w:val="-5"/>
          <w:sz w:val="21"/>
          <w:szCs w:val="21"/>
        </w:rPr>
        <w:t>金格式向招标人提交履约担保。联合体中标的， 其履约保证金由牵头人递交，并应符合投标</w:t>
      </w:r>
      <w:r>
        <w:rPr>
          <w:rFonts w:ascii="宋体" w:hAnsi="宋体" w:eastAsia="宋体" w:cs="宋体"/>
          <w:spacing w:val="-4"/>
          <w:sz w:val="21"/>
          <w:szCs w:val="21"/>
        </w:rPr>
        <w:t>人须知前附表的规定。</w:t>
      </w:r>
    </w:p>
    <w:p w14:paraId="201FC4CE">
      <w:pPr>
        <w:spacing w:before="6" w:line="276" w:lineRule="auto"/>
        <w:ind w:left="23" w:right="79" w:firstLine="423"/>
        <w:jc w:val="both"/>
        <w:rPr>
          <w:rFonts w:ascii="宋体" w:hAnsi="宋体" w:eastAsia="宋体" w:cs="宋体"/>
          <w:sz w:val="21"/>
          <w:szCs w:val="21"/>
        </w:rPr>
      </w:pPr>
      <w:r>
        <w:rPr>
          <w:rFonts w:ascii="Calibri" w:hAnsi="Calibri" w:eastAsia="Calibri" w:cs="Calibri"/>
          <w:spacing w:val="-3"/>
          <w:sz w:val="21"/>
          <w:szCs w:val="21"/>
        </w:rPr>
        <w:t>7.3.2</w:t>
      </w:r>
      <w:r>
        <w:rPr>
          <w:rFonts w:ascii="Calibri" w:hAnsi="Calibri" w:eastAsia="Calibri" w:cs="Calibri"/>
          <w:spacing w:val="18"/>
          <w:w w:val="101"/>
          <w:sz w:val="21"/>
          <w:szCs w:val="21"/>
        </w:rPr>
        <w:t xml:space="preserve">  </w:t>
      </w:r>
      <w:r>
        <w:rPr>
          <w:rFonts w:ascii="宋体" w:hAnsi="宋体" w:eastAsia="宋体" w:cs="宋体"/>
          <w:spacing w:val="-3"/>
          <w:sz w:val="21"/>
          <w:szCs w:val="21"/>
        </w:rPr>
        <w:t>中标人不能按本章第</w:t>
      </w:r>
      <w:r>
        <w:rPr>
          <w:rFonts w:ascii="宋体" w:hAnsi="宋体" w:eastAsia="宋体" w:cs="宋体"/>
          <w:spacing w:val="-35"/>
          <w:sz w:val="21"/>
          <w:szCs w:val="21"/>
        </w:rPr>
        <w:t xml:space="preserve"> </w:t>
      </w:r>
      <w:r>
        <w:rPr>
          <w:rFonts w:ascii="Calibri" w:hAnsi="Calibri" w:eastAsia="Calibri" w:cs="Calibri"/>
          <w:spacing w:val="-3"/>
          <w:sz w:val="21"/>
          <w:szCs w:val="21"/>
        </w:rPr>
        <w:t>7.3.1</w:t>
      </w:r>
      <w:r>
        <w:rPr>
          <w:rFonts w:ascii="Calibri" w:hAnsi="Calibri" w:eastAsia="Calibri" w:cs="Calibri"/>
          <w:spacing w:val="23"/>
          <w:w w:val="101"/>
          <w:sz w:val="21"/>
          <w:szCs w:val="21"/>
        </w:rPr>
        <w:t xml:space="preserve"> </w:t>
      </w:r>
      <w:r>
        <w:rPr>
          <w:rFonts w:ascii="宋体" w:hAnsi="宋体" w:eastAsia="宋体" w:cs="宋体"/>
          <w:spacing w:val="-3"/>
          <w:sz w:val="21"/>
          <w:szCs w:val="21"/>
        </w:rPr>
        <w:t>项要求提交履约</w:t>
      </w:r>
      <w:r>
        <w:rPr>
          <w:rFonts w:ascii="宋体" w:hAnsi="宋体" w:eastAsia="宋体" w:cs="宋体"/>
          <w:spacing w:val="-4"/>
          <w:sz w:val="21"/>
          <w:szCs w:val="21"/>
        </w:rPr>
        <w:t>保证金的，视为放弃中标，其投标保证</w:t>
      </w:r>
      <w:r>
        <w:rPr>
          <w:rFonts w:ascii="宋体" w:hAnsi="宋体" w:eastAsia="宋体" w:cs="宋体"/>
          <w:spacing w:val="-2"/>
          <w:sz w:val="21"/>
          <w:szCs w:val="21"/>
        </w:rPr>
        <w:t>金不予退还，给招标人造成的损失超过投标保证金数额的，中标人还应当对超过部</w:t>
      </w:r>
      <w:r>
        <w:rPr>
          <w:rFonts w:ascii="宋体" w:hAnsi="宋体" w:eastAsia="宋体" w:cs="宋体"/>
          <w:spacing w:val="-3"/>
          <w:sz w:val="21"/>
          <w:szCs w:val="21"/>
        </w:rPr>
        <w:t>分予以赔</w:t>
      </w:r>
      <w:r>
        <w:rPr>
          <w:rFonts w:ascii="宋体" w:hAnsi="宋体" w:eastAsia="宋体" w:cs="宋体"/>
          <w:spacing w:val="-10"/>
          <w:sz w:val="21"/>
          <w:szCs w:val="21"/>
        </w:rPr>
        <w:t>偿。</w:t>
      </w:r>
    </w:p>
    <w:p w14:paraId="3FF741A3">
      <w:pPr>
        <w:pStyle w:val="2"/>
        <w:spacing w:line="296" w:lineRule="auto"/>
      </w:pPr>
    </w:p>
    <w:p w14:paraId="26CD7BF7">
      <w:pPr>
        <w:spacing w:before="92" w:line="371" w:lineRule="exact"/>
        <w:ind w:left="29"/>
        <w:outlineLvl w:val="3"/>
        <w:rPr>
          <w:rFonts w:ascii="黑体" w:hAnsi="黑体" w:eastAsia="黑体" w:cs="黑体"/>
          <w:sz w:val="28"/>
          <w:szCs w:val="28"/>
        </w:rPr>
      </w:pPr>
      <w:r>
        <w:rPr>
          <w:rFonts w:ascii="Calibri" w:hAnsi="Calibri" w:eastAsia="Calibri" w:cs="Calibri"/>
          <w:spacing w:val="5"/>
          <w:position w:val="1"/>
          <w:sz w:val="28"/>
          <w:szCs w:val="28"/>
        </w:rPr>
        <w:t xml:space="preserve">7.4  </w:t>
      </w:r>
      <w:r>
        <w:rPr>
          <w:rFonts w:ascii="黑体" w:hAnsi="黑体" w:eastAsia="黑体" w:cs="黑体"/>
          <w:spacing w:val="5"/>
          <w:position w:val="1"/>
          <w:sz w:val="28"/>
          <w:szCs w:val="28"/>
        </w:rPr>
        <w:t>签订合同</w:t>
      </w:r>
    </w:p>
    <w:p w14:paraId="63E72B99">
      <w:pPr>
        <w:pStyle w:val="2"/>
        <w:spacing w:line="360" w:lineRule="auto"/>
      </w:pPr>
    </w:p>
    <w:p w14:paraId="13FEBA47">
      <w:pPr>
        <w:spacing w:before="69" w:line="274" w:lineRule="auto"/>
        <w:ind w:left="25" w:right="82" w:firstLine="421"/>
        <w:rPr>
          <w:rFonts w:ascii="宋体" w:hAnsi="宋体" w:eastAsia="宋体" w:cs="宋体"/>
          <w:sz w:val="21"/>
          <w:szCs w:val="21"/>
        </w:rPr>
      </w:pPr>
      <w:r>
        <w:rPr>
          <w:rFonts w:ascii="Calibri" w:hAnsi="Calibri" w:eastAsia="Calibri" w:cs="Calibri"/>
          <w:spacing w:val="-2"/>
          <w:sz w:val="21"/>
          <w:szCs w:val="21"/>
        </w:rPr>
        <w:t>7.4.1</w:t>
      </w:r>
      <w:r>
        <w:rPr>
          <w:rFonts w:ascii="Calibri" w:hAnsi="Calibri" w:eastAsia="Calibri" w:cs="Calibri"/>
          <w:spacing w:val="21"/>
          <w:sz w:val="21"/>
          <w:szCs w:val="21"/>
        </w:rPr>
        <w:t xml:space="preserve"> </w:t>
      </w:r>
      <w:r>
        <w:rPr>
          <w:rFonts w:ascii="宋体" w:hAnsi="宋体" w:eastAsia="宋体" w:cs="宋体"/>
          <w:spacing w:val="-2"/>
          <w:sz w:val="21"/>
          <w:szCs w:val="21"/>
        </w:rPr>
        <w:t>招标人和中标人应当在投标有效期内并自中标通知</w:t>
      </w:r>
      <w:r>
        <w:rPr>
          <w:rFonts w:ascii="宋体" w:hAnsi="宋体" w:eastAsia="宋体" w:cs="宋体"/>
          <w:spacing w:val="-3"/>
          <w:sz w:val="21"/>
          <w:szCs w:val="21"/>
        </w:rPr>
        <w:t>书发出之日起</w:t>
      </w:r>
      <w:r>
        <w:rPr>
          <w:rFonts w:ascii="宋体" w:hAnsi="宋体" w:eastAsia="宋体" w:cs="宋体"/>
          <w:spacing w:val="-41"/>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3"/>
          <w:sz w:val="21"/>
          <w:szCs w:val="21"/>
        </w:rPr>
        <w:t>日内，根据招</w:t>
      </w:r>
      <w:r>
        <w:rPr>
          <w:rFonts w:ascii="宋体" w:hAnsi="宋体" w:eastAsia="宋体" w:cs="宋体"/>
          <w:spacing w:val="-2"/>
          <w:sz w:val="21"/>
          <w:szCs w:val="21"/>
        </w:rPr>
        <w:t>标文件和中标人的投标文件（以经评标委员会评审的文件版本为准）订</w:t>
      </w:r>
      <w:r>
        <w:rPr>
          <w:rFonts w:ascii="宋体" w:hAnsi="宋体" w:eastAsia="宋体" w:cs="宋体"/>
          <w:spacing w:val="-3"/>
          <w:sz w:val="21"/>
          <w:szCs w:val="21"/>
        </w:rPr>
        <w:t>立书面合同。中标人</w:t>
      </w:r>
      <w:r>
        <w:rPr>
          <w:rFonts w:ascii="宋体" w:hAnsi="宋体" w:eastAsia="宋体" w:cs="宋体"/>
          <w:spacing w:val="-2"/>
          <w:sz w:val="21"/>
          <w:szCs w:val="21"/>
        </w:rPr>
        <w:t>无正当理由拒签合同或在签订合同时向招标人提出附加条件的，招标人取消其中标资格</w:t>
      </w:r>
      <w:r>
        <w:rPr>
          <w:rFonts w:ascii="宋体" w:hAnsi="宋体" w:eastAsia="宋体" w:cs="宋体"/>
          <w:spacing w:val="-3"/>
          <w:sz w:val="21"/>
          <w:szCs w:val="21"/>
        </w:rPr>
        <w:t>，其</w:t>
      </w:r>
      <w:r>
        <w:rPr>
          <w:rFonts w:ascii="宋体" w:hAnsi="宋体" w:eastAsia="宋体" w:cs="宋体"/>
          <w:spacing w:val="-2"/>
          <w:sz w:val="21"/>
          <w:szCs w:val="21"/>
        </w:rPr>
        <w:t>投标保证金不予退还；给招标人造成的损失超过投标保证金数额的，中标人还应当对超</w:t>
      </w:r>
      <w:r>
        <w:rPr>
          <w:rFonts w:ascii="宋体" w:hAnsi="宋体" w:eastAsia="宋体" w:cs="宋体"/>
          <w:spacing w:val="-3"/>
          <w:sz w:val="21"/>
          <w:szCs w:val="21"/>
        </w:rPr>
        <w:t>过部</w:t>
      </w:r>
      <w:r>
        <w:rPr>
          <w:rFonts w:ascii="宋体" w:hAnsi="宋体" w:eastAsia="宋体" w:cs="宋体"/>
          <w:spacing w:val="-6"/>
          <w:sz w:val="21"/>
          <w:szCs w:val="21"/>
        </w:rPr>
        <w:t>分予以赔偿。</w:t>
      </w:r>
    </w:p>
    <w:p w14:paraId="39E8E475">
      <w:pPr>
        <w:spacing w:before="1" w:line="269" w:lineRule="auto"/>
        <w:ind w:left="24" w:right="90" w:firstLine="422"/>
        <w:rPr>
          <w:rFonts w:ascii="宋体" w:hAnsi="宋体" w:eastAsia="宋体" w:cs="宋体"/>
          <w:sz w:val="21"/>
          <w:szCs w:val="21"/>
        </w:rPr>
      </w:pPr>
      <w:r>
        <w:rPr>
          <w:rFonts w:ascii="Calibri" w:hAnsi="Calibri" w:eastAsia="Calibri" w:cs="Calibri"/>
          <w:spacing w:val="1"/>
          <w:sz w:val="21"/>
          <w:szCs w:val="21"/>
        </w:rPr>
        <w:t xml:space="preserve">7.4.2  </w:t>
      </w:r>
      <w:r>
        <w:rPr>
          <w:rFonts w:ascii="宋体" w:hAnsi="宋体" w:eastAsia="宋体" w:cs="宋体"/>
          <w:spacing w:val="1"/>
          <w:sz w:val="21"/>
          <w:szCs w:val="21"/>
        </w:rPr>
        <w:t>发出中标通知书后，招标人无正当理由拒签</w:t>
      </w:r>
      <w:r>
        <w:rPr>
          <w:rFonts w:ascii="宋体" w:hAnsi="宋体" w:eastAsia="宋体" w:cs="宋体"/>
          <w:sz w:val="21"/>
          <w:szCs w:val="21"/>
        </w:rPr>
        <w:t>合同的，招标人向中标人退还投标保</w:t>
      </w:r>
      <w:r>
        <w:rPr>
          <w:rFonts w:ascii="宋体" w:hAnsi="宋体" w:eastAsia="宋体" w:cs="宋体"/>
          <w:spacing w:val="-2"/>
          <w:sz w:val="21"/>
          <w:szCs w:val="21"/>
        </w:rPr>
        <w:t>证金；给中标人造成损失的，还应当赔偿损失。</w:t>
      </w:r>
    </w:p>
    <w:p w14:paraId="2AF532BF">
      <w:pPr>
        <w:spacing w:before="19" w:line="238" w:lineRule="auto"/>
        <w:ind w:left="446"/>
        <w:rPr>
          <w:rFonts w:ascii="宋体" w:hAnsi="宋体" w:eastAsia="宋体" w:cs="宋体"/>
          <w:sz w:val="21"/>
          <w:szCs w:val="21"/>
        </w:rPr>
      </w:pPr>
      <w:r>
        <w:rPr>
          <w:rFonts w:ascii="Calibri" w:hAnsi="Calibri" w:eastAsia="Calibri" w:cs="Calibri"/>
          <w:spacing w:val="-3"/>
          <w:sz w:val="21"/>
          <w:szCs w:val="21"/>
        </w:rPr>
        <w:t xml:space="preserve">7.4.3  </w:t>
      </w:r>
      <w:r>
        <w:rPr>
          <w:rFonts w:ascii="宋体" w:hAnsi="宋体" w:eastAsia="宋体" w:cs="宋体"/>
          <w:spacing w:val="-3"/>
          <w:sz w:val="21"/>
          <w:szCs w:val="21"/>
        </w:rPr>
        <w:t>签约合同价的确定原则如下：</w:t>
      </w:r>
    </w:p>
    <w:p w14:paraId="3135DC44">
      <w:pPr>
        <w:spacing w:before="30" w:line="277" w:lineRule="auto"/>
        <w:ind w:left="25" w:firstLine="420"/>
        <w:rPr>
          <w:rFonts w:ascii="宋体" w:hAnsi="宋体" w:eastAsia="宋体" w:cs="宋体"/>
          <w:sz w:val="21"/>
          <w:szCs w:val="21"/>
        </w:rPr>
      </w:pPr>
      <w:r>
        <w:rPr>
          <w:rFonts w:ascii="宋体" w:hAnsi="宋体" w:eastAsia="宋体" w:cs="宋体"/>
          <w:spacing w:val="-2"/>
          <w:sz w:val="21"/>
          <w:szCs w:val="21"/>
        </w:rPr>
        <w:t>开标时投标函中大写投标总价应为签约合同价。按照第三章“评标办法”的规定，如投</w:t>
      </w:r>
      <w:r>
        <w:rPr>
          <w:rFonts w:ascii="宋体" w:hAnsi="宋体" w:eastAsia="宋体" w:cs="宋体"/>
          <w:spacing w:val="-5"/>
          <w:sz w:val="21"/>
          <w:szCs w:val="21"/>
        </w:rPr>
        <w:t>标报价有算术错误的，修正的价格经投标人书面确认后，以修正后的投标总价为签约合同价。</w:t>
      </w:r>
    </w:p>
    <w:p w14:paraId="56EF1841">
      <w:pPr>
        <w:spacing w:before="1" w:line="239" w:lineRule="auto"/>
        <w:jc w:val="right"/>
        <w:rPr>
          <w:rFonts w:ascii="宋体" w:hAnsi="宋体" w:eastAsia="宋体" w:cs="宋体"/>
          <w:sz w:val="21"/>
          <w:szCs w:val="21"/>
        </w:rPr>
      </w:pPr>
      <w:r>
        <w:rPr>
          <w:rFonts w:ascii="Calibri" w:hAnsi="Calibri" w:eastAsia="Calibri" w:cs="Calibri"/>
          <w:spacing w:val="-7"/>
          <w:sz w:val="21"/>
          <w:szCs w:val="21"/>
        </w:rPr>
        <w:t>7.4.4</w:t>
      </w:r>
      <w:r>
        <w:rPr>
          <w:rFonts w:ascii="Calibri" w:hAnsi="Calibri" w:eastAsia="Calibri" w:cs="Calibri"/>
          <w:spacing w:val="19"/>
          <w:sz w:val="21"/>
          <w:szCs w:val="21"/>
        </w:rPr>
        <w:t xml:space="preserve">  </w:t>
      </w:r>
      <w:r>
        <w:rPr>
          <w:rFonts w:ascii="宋体" w:hAnsi="宋体" w:eastAsia="宋体" w:cs="宋体"/>
          <w:spacing w:val="-7"/>
          <w:sz w:val="21"/>
          <w:szCs w:val="21"/>
        </w:rPr>
        <w:t>中标人应当在合同签订后</w:t>
      </w:r>
      <w:r>
        <w:rPr>
          <w:rFonts w:ascii="宋体" w:hAnsi="宋体" w:eastAsia="宋体" w:cs="宋体"/>
          <w:spacing w:val="-30"/>
          <w:sz w:val="21"/>
          <w:szCs w:val="21"/>
        </w:rPr>
        <w:t xml:space="preserve"> </w:t>
      </w:r>
      <w:r>
        <w:rPr>
          <w:rFonts w:ascii="Calibri" w:hAnsi="Calibri" w:eastAsia="Calibri" w:cs="Calibri"/>
          <w:spacing w:val="-7"/>
          <w:sz w:val="21"/>
          <w:szCs w:val="21"/>
        </w:rPr>
        <w:t xml:space="preserve">15  </w:t>
      </w:r>
      <w:r>
        <w:rPr>
          <w:rFonts w:ascii="宋体" w:hAnsi="宋体" w:eastAsia="宋体" w:cs="宋体"/>
          <w:spacing w:val="-7"/>
          <w:sz w:val="21"/>
          <w:szCs w:val="21"/>
        </w:rPr>
        <w:t>日内，登录“电子交易平台”提交电子合同文件</w:t>
      </w:r>
      <w:r>
        <w:rPr>
          <w:rFonts w:ascii="宋体" w:hAnsi="宋体" w:eastAsia="宋体" w:cs="宋体"/>
          <w:spacing w:val="-8"/>
          <w:sz w:val="21"/>
          <w:szCs w:val="21"/>
        </w:rPr>
        <w:t>归档。</w:t>
      </w:r>
    </w:p>
    <w:p w14:paraId="5CAF8621">
      <w:pPr>
        <w:pStyle w:val="2"/>
        <w:spacing w:line="335" w:lineRule="auto"/>
      </w:pPr>
    </w:p>
    <w:p w14:paraId="019078D3">
      <w:pPr>
        <w:spacing w:before="91" w:line="242" w:lineRule="auto"/>
        <w:ind w:left="27"/>
        <w:outlineLvl w:val="2"/>
        <w:rPr>
          <w:rFonts w:ascii="黑体" w:hAnsi="黑体" w:eastAsia="黑体" w:cs="黑体"/>
          <w:sz w:val="28"/>
          <w:szCs w:val="28"/>
        </w:rPr>
      </w:pPr>
      <w:bookmarkStart w:id="14" w:name="bookmark13"/>
      <w:bookmarkEnd w:id="14"/>
      <w:r>
        <w:rPr>
          <w:rFonts w:ascii="Calibri" w:hAnsi="Calibri" w:eastAsia="Calibri" w:cs="Calibri"/>
          <w:spacing w:val="3"/>
          <w:sz w:val="28"/>
          <w:szCs w:val="28"/>
        </w:rPr>
        <w:t xml:space="preserve">8.  </w:t>
      </w:r>
      <w:r>
        <w:rPr>
          <w:rFonts w:ascii="黑体" w:hAnsi="黑体" w:eastAsia="黑体" w:cs="黑体"/>
          <w:spacing w:val="3"/>
          <w:sz w:val="28"/>
          <w:szCs w:val="28"/>
        </w:rPr>
        <w:t>重新招标、不再招标和终止招标</w:t>
      </w:r>
    </w:p>
    <w:p w14:paraId="724E1030">
      <w:pPr>
        <w:pStyle w:val="2"/>
        <w:spacing w:line="440" w:lineRule="auto"/>
      </w:pPr>
    </w:p>
    <w:p w14:paraId="29737BAB">
      <w:pPr>
        <w:spacing w:before="91" w:line="242" w:lineRule="auto"/>
        <w:ind w:left="27"/>
        <w:outlineLvl w:val="3"/>
        <w:rPr>
          <w:rFonts w:ascii="黑体" w:hAnsi="黑体" w:eastAsia="黑体" w:cs="黑体"/>
          <w:sz w:val="28"/>
          <w:szCs w:val="28"/>
        </w:rPr>
      </w:pPr>
      <w:r>
        <w:rPr>
          <w:rFonts w:ascii="Calibri" w:hAnsi="Calibri" w:eastAsia="Calibri" w:cs="Calibri"/>
          <w:spacing w:val="5"/>
          <w:sz w:val="28"/>
          <w:szCs w:val="28"/>
        </w:rPr>
        <w:t>8.1</w:t>
      </w:r>
      <w:r>
        <w:rPr>
          <w:rFonts w:ascii="Calibri" w:hAnsi="Calibri" w:eastAsia="Calibri" w:cs="Calibri"/>
          <w:spacing w:val="9"/>
          <w:sz w:val="28"/>
          <w:szCs w:val="28"/>
        </w:rPr>
        <w:t xml:space="preserve">  </w:t>
      </w:r>
      <w:r>
        <w:rPr>
          <w:rFonts w:ascii="黑体" w:hAnsi="黑体" w:eastAsia="黑体" w:cs="黑体"/>
          <w:spacing w:val="5"/>
          <w:sz w:val="28"/>
          <w:szCs w:val="28"/>
        </w:rPr>
        <w:t>重新招标</w:t>
      </w:r>
    </w:p>
    <w:p w14:paraId="790E4650">
      <w:pPr>
        <w:pStyle w:val="2"/>
        <w:spacing w:line="346" w:lineRule="auto"/>
      </w:pPr>
    </w:p>
    <w:p w14:paraId="7AD13A91">
      <w:pPr>
        <w:spacing w:before="70" w:line="220" w:lineRule="auto"/>
        <w:ind w:left="445"/>
        <w:rPr>
          <w:rFonts w:ascii="宋体" w:hAnsi="宋体" w:eastAsia="宋体" w:cs="宋体"/>
          <w:sz w:val="21"/>
          <w:szCs w:val="21"/>
        </w:rPr>
      </w:pPr>
      <w:r>
        <w:rPr>
          <w:rFonts w:ascii="宋体" w:hAnsi="宋体" w:eastAsia="宋体" w:cs="宋体"/>
          <w:spacing w:val="-3"/>
          <w:sz w:val="21"/>
          <w:szCs w:val="21"/>
        </w:rPr>
        <w:t>有下列情形之一的，招标人将重新招标：</w:t>
      </w:r>
    </w:p>
    <w:p w14:paraId="2921869D">
      <w:pPr>
        <w:spacing w:before="65"/>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）投标截止时间止，投标人少于</w:t>
      </w:r>
      <w:r>
        <w:rPr>
          <w:rFonts w:ascii="宋体" w:hAnsi="宋体" w:eastAsia="宋体" w:cs="宋体"/>
          <w:spacing w:val="-35"/>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rFonts w:ascii="宋体" w:hAnsi="宋体" w:eastAsia="宋体" w:cs="宋体"/>
          <w:spacing w:val="-3"/>
          <w:sz w:val="21"/>
          <w:szCs w:val="21"/>
        </w:rPr>
        <w:t>个的；</w:t>
      </w:r>
    </w:p>
    <w:p w14:paraId="212254A0">
      <w:pPr>
        <w:spacing w:before="4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）经评标委员会评审后否决所有投标的；</w:t>
      </w:r>
    </w:p>
    <w:p w14:paraId="6C157589">
      <w:pPr>
        <w:spacing w:before="43"/>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）第一中标候选人或所有中标候选人均未与招标人签订合同的；</w:t>
      </w:r>
    </w:p>
    <w:p w14:paraId="4F61DD2F">
      <w:pPr>
        <w:spacing w:before="42"/>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）法律、法规规定的其他情形。</w:t>
      </w:r>
    </w:p>
    <w:p w14:paraId="3E338CA8">
      <w:pPr>
        <w:pStyle w:val="2"/>
        <w:spacing w:line="334" w:lineRule="auto"/>
      </w:pPr>
    </w:p>
    <w:p w14:paraId="6C7B6BCA">
      <w:pPr>
        <w:spacing w:before="92" w:line="369" w:lineRule="exact"/>
        <w:ind w:left="27"/>
        <w:outlineLvl w:val="3"/>
        <w:rPr>
          <w:rFonts w:ascii="黑体" w:hAnsi="黑体" w:eastAsia="黑体" w:cs="黑体"/>
          <w:sz w:val="28"/>
          <w:szCs w:val="28"/>
        </w:rPr>
      </w:pPr>
      <w:r>
        <w:rPr>
          <w:rFonts w:ascii="Calibri" w:hAnsi="Calibri" w:eastAsia="Calibri" w:cs="Calibri"/>
          <w:spacing w:val="6"/>
          <w:position w:val="1"/>
          <w:sz w:val="28"/>
          <w:szCs w:val="28"/>
        </w:rPr>
        <w:t xml:space="preserve">8.2  </w:t>
      </w:r>
      <w:r>
        <w:rPr>
          <w:rFonts w:ascii="黑体" w:hAnsi="黑体" w:eastAsia="黑体" w:cs="黑体"/>
          <w:spacing w:val="6"/>
          <w:position w:val="1"/>
          <w:sz w:val="28"/>
          <w:szCs w:val="28"/>
        </w:rPr>
        <w:t>不再招标</w:t>
      </w:r>
    </w:p>
    <w:p w14:paraId="759F0208">
      <w:pPr>
        <w:spacing w:line="369" w:lineRule="exact"/>
        <w:rPr>
          <w:rFonts w:ascii="黑体" w:hAnsi="黑体" w:eastAsia="黑体" w:cs="黑体"/>
          <w:sz w:val="28"/>
          <w:szCs w:val="28"/>
        </w:rPr>
        <w:sectPr>
          <w:footerReference r:id="rId43" w:type="default"/>
          <w:pgSz w:w="11910" w:h="16845"/>
          <w:pgMar w:top="1431" w:right="1688" w:bottom="1065" w:left="1786" w:header="0" w:footer="838" w:gutter="0"/>
          <w:cols w:space="720" w:num="1"/>
        </w:sectPr>
      </w:pPr>
    </w:p>
    <w:p w14:paraId="47FD91F2">
      <w:pPr>
        <w:spacing w:before="54" w:line="269" w:lineRule="auto"/>
        <w:ind w:left="27" w:right="74" w:firstLine="417"/>
        <w:rPr>
          <w:rFonts w:ascii="宋体" w:hAnsi="宋体" w:eastAsia="宋体" w:cs="宋体"/>
          <w:sz w:val="21"/>
          <w:szCs w:val="21"/>
        </w:rPr>
      </w:pPr>
      <w:r>
        <w:rPr>
          <w:rFonts w:ascii="宋体" w:hAnsi="宋体" w:eastAsia="宋体" w:cs="宋体"/>
          <w:spacing w:val="-3"/>
          <w:sz w:val="21"/>
          <w:szCs w:val="21"/>
        </w:rPr>
        <w:t>重新招标后投标人仍少于</w:t>
      </w:r>
      <w:r>
        <w:rPr>
          <w:rFonts w:ascii="宋体" w:hAnsi="宋体" w:eastAsia="宋体" w:cs="宋体"/>
          <w:spacing w:val="-25"/>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rFonts w:ascii="宋体" w:hAnsi="宋体" w:eastAsia="宋体" w:cs="宋体"/>
          <w:spacing w:val="-3"/>
          <w:sz w:val="21"/>
          <w:szCs w:val="21"/>
        </w:rPr>
        <w:t>个或者所有投标被否决的，属于必须审批或核准的工程建设</w:t>
      </w:r>
      <w:r>
        <w:rPr>
          <w:rFonts w:ascii="宋体" w:hAnsi="宋体" w:eastAsia="宋体" w:cs="宋体"/>
          <w:spacing w:val="-2"/>
          <w:sz w:val="21"/>
          <w:szCs w:val="21"/>
        </w:rPr>
        <w:t>项目，经原审批或核准部门批准后不再进行招标。</w:t>
      </w:r>
    </w:p>
    <w:p w14:paraId="57C85D95">
      <w:pPr>
        <w:pStyle w:val="2"/>
        <w:spacing w:line="326" w:lineRule="auto"/>
      </w:pPr>
    </w:p>
    <w:p w14:paraId="44E38252">
      <w:pPr>
        <w:spacing w:before="91" w:line="370" w:lineRule="exact"/>
        <w:ind w:left="27"/>
        <w:outlineLvl w:val="3"/>
        <w:rPr>
          <w:rFonts w:ascii="黑体" w:hAnsi="黑体" w:eastAsia="黑体" w:cs="黑体"/>
          <w:sz w:val="28"/>
          <w:szCs w:val="28"/>
        </w:rPr>
      </w:pPr>
      <w:r>
        <w:rPr>
          <w:rFonts w:ascii="Calibri" w:hAnsi="Calibri" w:eastAsia="Calibri" w:cs="Calibri"/>
          <w:spacing w:val="6"/>
          <w:position w:val="1"/>
          <w:sz w:val="28"/>
          <w:szCs w:val="28"/>
        </w:rPr>
        <w:t xml:space="preserve">8.3  </w:t>
      </w:r>
      <w:r>
        <w:rPr>
          <w:rFonts w:ascii="黑体" w:hAnsi="黑体" w:eastAsia="黑体" w:cs="黑体"/>
          <w:spacing w:val="6"/>
          <w:position w:val="1"/>
          <w:sz w:val="28"/>
          <w:szCs w:val="28"/>
        </w:rPr>
        <w:t>终止招标</w:t>
      </w:r>
    </w:p>
    <w:p w14:paraId="31898D18">
      <w:pPr>
        <w:pStyle w:val="2"/>
        <w:spacing w:line="345" w:lineRule="auto"/>
      </w:pPr>
    </w:p>
    <w:p w14:paraId="6F47CFEE">
      <w:pPr>
        <w:spacing w:before="68" w:line="278" w:lineRule="auto"/>
        <w:ind w:left="23" w:right="70" w:firstLine="437"/>
        <w:jc w:val="both"/>
        <w:rPr>
          <w:rFonts w:ascii="宋体" w:hAnsi="宋体" w:eastAsia="宋体" w:cs="宋体"/>
          <w:sz w:val="21"/>
          <w:szCs w:val="21"/>
        </w:rPr>
      </w:pPr>
      <w:r>
        <w:rPr>
          <w:rFonts w:ascii="宋体" w:hAnsi="宋体" w:eastAsia="宋体" w:cs="宋体"/>
          <w:spacing w:val="-2"/>
          <w:sz w:val="21"/>
          <w:szCs w:val="21"/>
        </w:rPr>
        <w:t>因不可抗力等原因，招标人终止招标的，将通过“电子交易平台”及时发</w:t>
      </w:r>
      <w:r>
        <w:rPr>
          <w:rFonts w:ascii="宋体" w:hAnsi="宋体" w:eastAsia="宋体" w:cs="宋体"/>
          <w:spacing w:val="-3"/>
          <w:sz w:val="21"/>
          <w:szCs w:val="21"/>
        </w:rPr>
        <w:t>布公告，或者</w:t>
      </w:r>
      <w:r>
        <w:rPr>
          <w:rFonts w:ascii="宋体" w:hAnsi="宋体" w:eastAsia="宋体" w:cs="宋体"/>
          <w:spacing w:val="-2"/>
          <w:sz w:val="21"/>
          <w:szCs w:val="21"/>
        </w:rPr>
        <w:t>以书面形式通知被邀请的或者已经获取招标文件的潜在投标人。已经发出招标文件或者已经收取投标保证金的，招标人将及时退还所收取的招标文件的费用，以及所收取的投标</w:t>
      </w:r>
      <w:r>
        <w:rPr>
          <w:rFonts w:ascii="宋体" w:hAnsi="宋体" w:eastAsia="宋体" w:cs="宋体"/>
          <w:spacing w:val="-3"/>
          <w:sz w:val="21"/>
          <w:szCs w:val="21"/>
        </w:rPr>
        <w:t>保证金及银行同期存款利息。</w:t>
      </w:r>
    </w:p>
    <w:p w14:paraId="06461290">
      <w:pPr>
        <w:pStyle w:val="2"/>
        <w:spacing w:line="273" w:lineRule="auto"/>
      </w:pPr>
    </w:p>
    <w:p w14:paraId="334CF7FA">
      <w:pPr>
        <w:spacing w:before="91" w:line="242" w:lineRule="auto"/>
        <w:ind w:left="27"/>
        <w:outlineLvl w:val="2"/>
        <w:rPr>
          <w:rFonts w:ascii="黑体" w:hAnsi="黑体" w:eastAsia="黑体" w:cs="黑体"/>
          <w:sz w:val="28"/>
          <w:szCs w:val="28"/>
        </w:rPr>
      </w:pPr>
      <w:bookmarkStart w:id="15" w:name="bookmark14"/>
      <w:bookmarkEnd w:id="15"/>
      <w:r>
        <w:rPr>
          <w:rFonts w:ascii="Calibri" w:hAnsi="Calibri" w:eastAsia="Calibri" w:cs="Calibri"/>
          <w:spacing w:val="4"/>
          <w:sz w:val="28"/>
          <w:szCs w:val="28"/>
        </w:rPr>
        <w:t>9.</w:t>
      </w:r>
      <w:r>
        <w:rPr>
          <w:rFonts w:ascii="Calibri" w:hAnsi="Calibri" w:eastAsia="Calibri" w:cs="Calibri"/>
          <w:spacing w:val="16"/>
          <w:sz w:val="28"/>
          <w:szCs w:val="28"/>
        </w:rPr>
        <w:t xml:space="preserve">  </w:t>
      </w:r>
      <w:r>
        <w:rPr>
          <w:rFonts w:ascii="黑体" w:hAnsi="黑体" w:eastAsia="黑体" w:cs="黑体"/>
          <w:spacing w:val="4"/>
          <w:sz w:val="28"/>
          <w:szCs w:val="28"/>
        </w:rPr>
        <w:t>纪律和监督</w:t>
      </w:r>
    </w:p>
    <w:p w14:paraId="0213CB2C">
      <w:pPr>
        <w:pStyle w:val="2"/>
        <w:spacing w:line="455" w:lineRule="auto"/>
      </w:pPr>
    </w:p>
    <w:p w14:paraId="05D3A51C">
      <w:pPr>
        <w:spacing w:before="91" w:line="369" w:lineRule="exact"/>
        <w:ind w:left="27"/>
        <w:outlineLvl w:val="3"/>
        <w:rPr>
          <w:rFonts w:ascii="黑体" w:hAnsi="黑体" w:eastAsia="黑体" w:cs="黑体"/>
          <w:sz w:val="28"/>
          <w:szCs w:val="28"/>
        </w:rPr>
      </w:pPr>
      <w:r>
        <w:rPr>
          <w:rFonts w:ascii="Calibri" w:hAnsi="Calibri" w:eastAsia="Calibri" w:cs="Calibri"/>
          <w:spacing w:val="4"/>
          <w:position w:val="1"/>
          <w:sz w:val="28"/>
          <w:szCs w:val="28"/>
        </w:rPr>
        <w:t xml:space="preserve">9.1  </w:t>
      </w:r>
      <w:r>
        <w:rPr>
          <w:rFonts w:ascii="黑体" w:hAnsi="黑体" w:eastAsia="黑体" w:cs="黑体"/>
          <w:spacing w:val="4"/>
          <w:position w:val="1"/>
          <w:sz w:val="28"/>
          <w:szCs w:val="28"/>
        </w:rPr>
        <w:t>对招标人的纪律要求</w:t>
      </w:r>
    </w:p>
    <w:p w14:paraId="2885BF1A">
      <w:pPr>
        <w:pStyle w:val="2"/>
        <w:spacing w:line="345" w:lineRule="auto"/>
      </w:pPr>
    </w:p>
    <w:p w14:paraId="1D84B0C2">
      <w:pPr>
        <w:spacing w:before="69" w:line="279" w:lineRule="auto"/>
        <w:ind w:left="25" w:right="86" w:firstLine="419"/>
        <w:rPr>
          <w:rFonts w:ascii="宋体" w:hAnsi="宋体" w:eastAsia="宋体" w:cs="宋体"/>
          <w:sz w:val="21"/>
          <w:szCs w:val="21"/>
        </w:rPr>
      </w:pPr>
      <w:r>
        <w:rPr>
          <w:rFonts w:ascii="宋体" w:hAnsi="宋体" w:eastAsia="宋体" w:cs="宋体"/>
          <w:spacing w:val="-2"/>
          <w:sz w:val="21"/>
          <w:szCs w:val="21"/>
        </w:rPr>
        <w:t>招标人不得泄漏招标投标活动中应当保密的情况和资料，不得与投标人</w:t>
      </w:r>
      <w:r>
        <w:rPr>
          <w:rFonts w:ascii="宋体" w:hAnsi="宋体" w:eastAsia="宋体" w:cs="宋体"/>
          <w:spacing w:val="-3"/>
          <w:sz w:val="21"/>
          <w:szCs w:val="21"/>
        </w:rPr>
        <w:t>串通损害国家利</w:t>
      </w:r>
      <w:r>
        <w:rPr>
          <w:rFonts w:ascii="宋体" w:hAnsi="宋体" w:eastAsia="宋体" w:cs="宋体"/>
          <w:spacing w:val="-2"/>
          <w:sz w:val="21"/>
          <w:szCs w:val="21"/>
        </w:rPr>
        <w:t>益、社会公共利益或者他人合法权益。</w:t>
      </w:r>
    </w:p>
    <w:p w14:paraId="3ABECC5B">
      <w:pPr>
        <w:pStyle w:val="2"/>
        <w:spacing w:line="303" w:lineRule="auto"/>
      </w:pPr>
    </w:p>
    <w:p w14:paraId="3B4764E2">
      <w:pPr>
        <w:spacing w:before="91" w:line="370" w:lineRule="exact"/>
        <w:ind w:left="27"/>
        <w:outlineLvl w:val="3"/>
        <w:rPr>
          <w:rFonts w:ascii="黑体" w:hAnsi="黑体" w:eastAsia="黑体" w:cs="黑体"/>
          <w:sz w:val="28"/>
          <w:szCs w:val="28"/>
        </w:rPr>
      </w:pPr>
      <w:r>
        <w:rPr>
          <w:rFonts w:ascii="Calibri" w:hAnsi="Calibri" w:eastAsia="Calibri" w:cs="Calibri"/>
          <w:spacing w:val="4"/>
          <w:position w:val="1"/>
          <w:sz w:val="28"/>
          <w:szCs w:val="28"/>
        </w:rPr>
        <w:t xml:space="preserve">9.2  </w:t>
      </w:r>
      <w:r>
        <w:rPr>
          <w:rFonts w:ascii="黑体" w:hAnsi="黑体" w:eastAsia="黑体" w:cs="黑体"/>
          <w:spacing w:val="4"/>
          <w:position w:val="1"/>
          <w:sz w:val="28"/>
          <w:szCs w:val="28"/>
        </w:rPr>
        <w:t>对投标人的纪律要求</w:t>
      </w:r>
    </w:p>
    <w:p w14:paraId="4B7609B9">
      <w:pPr>
        <w:pStyle w:val="2"/>
        <w:spacing w:line="347" w:lineRule="auto"/>
      </w:pPr>
    </w:p>
    <w:p w14:paraId="5AF35BE3">
      <w:pPr>
        <w:spacing w:before="68" w:line="278" w:lineRule="auto"/>
        <w:ind w:left="23" w:right="86" w:firstLine="423"/>
        <w:jc w:val="both"/>
        <w:rPr>
          <w:rFonts w:ascii="宋体" w:hAnsi="宋体" w:eastAsia="宋体" w:cs="宋体"/>
          <w:sz w:val="21"/>
          <w:szCs w:val="21"/>
        </w:rPr>
      </w:pPr>
      <w:r>
        <w:rPr>
          <w:rFonts w:ascii="宋体" w:hAnsi="宋体" w:eastAsia="宋体" w:cs="宋体"/>
          <w:spacing w:val="-2"/>
          <w:sz w:val="21"/>
          <w:szCs w:val="21"/>
        </w:rPr>
        <w:t>投标人不得相互串通投标或者与招标人串通投标，不得向招标人或者</w:t>
      </w:r>
      <w:r>
        <w:rPr>
          <w:rFonts w:ascii="宋体" w:hAnsi="宋体" w:eastAsia="宋体" w:cs="宋体"/>
          <w:spacing w:val="-3"/>
          <w:sz w:val="21"/>
          <w:szCs w:val="21"/>
        </w:rPr>
        <w:t>评标委员会成员行</w:t>
      </w:r>
      <w:r>
        <w:rPr>
          <w:rFonts w:ascii="宋体" w:hAnsi="宋体" w:eastAsia="宋体" w:cs="宋体"/>
          <w:spacing w:val="-2"/>
          <w:sz w:val="21"/>
          <w:szCs w:val="21"/>
        </w:rPr>
        <w:t>贿谋取中标，不得以他人名义投标或者以其他方式弄虚作假骗取中标；投标人不得以</w:t>
      </w:r>
      <w:r>
        <w:rPr>
          <w:rFonts w:ascii="宋体" w:hAnsi="宋体" w:eastAsia="宋体" w:cs="宋体"/>
          <w:spacing w:val="-3"/>
          <w:sz w:val="21"/>
          <w:szCs w:val="21"/>
        </w:rPr>
        <w:t>任何方式干扰、影响评标工作。</w:t>
      </w:r>
    </w:p>
    <w:p w14:paraId="2A7C62F0">
      <w:pPr>
        <w:pStyle w:val="2"/>
        <w:spacing w:line="303" w:lineRule="auto"/>
      </w:pPr>
    </w:p>
    <w:p w14:paraId="393454E5">
      <w:pPr>
        <w:spacing w:before="92" w:line="242" w:lineRule="auto"/>
        <w:ind w:left="27"/>
        <w:outlineLvl w:val="3"/>
        <w:rPr>
          <w:rFonts w:ascii="黑体" w:hAnsi="黑体" w:eastAsia="黑体" w:cs="黑体"/>
          <w:sz w:val="28"/>
          <w:szCs w:val="28"/>
        </w:rPr>
      </w:pPr>
      <w:r>
        <w:rPr>
          <w:rFonts w:ascii="Calibri" w:hAnsi="Calibri" w:eastAsia="Calibri" w:cs="Calibri"/>
          <w:spacing w:val="3"/>
          <w:sz w:val="28"/>
          <w:szCs w:val="28"/>
        </w:rPr>
        <w:t xml:space="preserve">9.3  </w:t>
      </w:r>
      <w:r>
        <w:rPr>
          <w:rFonts w:ascii="黑体" w:hAnsi="黑体" w:eastAsia="黑体" w:cs="黑体"/>
          <w:spacing w:val="3"/>
          <w:sz w:val="28"/>
          <w:szCs w:val="28"/>
        </w:rPr>
        <w:t>对评标委员会成员的纪律要求</w:t>
      </w:r>
    </w:p>
    <w:p w14:paraId="7919FE2F">
      <w:pPr>
        <w:pStyle w:val="2"/>
        <w:spacing w:line="345" w:lineRule="auto"/>
      </w:pPr>
    </w:p>
    <w:p w14:paraId="00F5192C">
      <w:pPr>
        <w:spacing w:before="69" w:line="276" w:lineRule="auto"/>
        <w:ind w:left="23" w:firstLine="420"/>
        <w:jc w:val="both"/>
        <w:rPr>
          <w:rFonts w:ascii="宋体" w:hAnsi="宋体" w:eastAsia="宋体" w:cs="宋体"/>
          <w:sz w:val="21"/>
          <w:szCs w:val="21"/>
        </w:rPr>
      </w:pPr>
      <w:r>
        <w:rPr>
          <w:rFonts w:ascii="宋体" w:hAnsi="宋体" w:eastAsia="宋体" w:cs="宋体"/>
          <w:spacing w:val="-2"/>
          <w:sz w:val="21"/>
          <w:szCs w:val="21"/>
        </w:rPr>
        <w:t>评标委员会成员不得与任何投标人或者与招标结果有利害关系的人</w:t>
      </w:r>
      <w:r>
        <w:rPr>
          <w:rFonts w:ascii="宋体" w:hAnsi="宋体" w:eastAsia="宋体" w:cs="宋体"/>
          <w:spacing w:val="-3"/>
          <w:sz w:val="21"/>
          <w:szCs w:val="21"/>
        </w:rPr>
        <w:t>进行私下接触，不得</w:t>
      </w:r>
      <w:r>
        <w:rPr>
          <w:rFonts w:ascii="宋体" w:hAnsi="宋体" w:eastAsia="宋体" w:cs="宋体"/>
          <w:spacing w:val="-2"/>
          <w:sz w:val="21"/>
          <w:szCs w:val="21"/>
        </w:rPr>
        <w:t>收受投标人、中介人、其他利害关系人的财物或者其他好处，不得向他人透漏对投标</w:t>
      </w:r>
      <w:r>
        <w:rPr>
          <w:rFonts w:ascii="宋体" w:hAnsi="宋体" w:eastAsia="宋体" w:cs="宋体"/>
          <w:spacing w:val="-3"/>
          <w:sz w:val="21"/>
          <w:szCs w:val="21"/>
        </w:rPr>
        <w:t>文件的</w:t>
      </w:r>
      <w:r>
        <w:rPr>
          <w:rFonts w:ascii="宋体" w:hAnsi="宋体" w:eastAsia="宋体" w:cs="宋体"/>
          <w:spacing w:val="-2"/>
          <w:sz w:val="21"/>
          <w:szCs w:val="21"/>
        </w:rPr>
        <w:t>评审和比较、中标候选人的推荐情况以及评标有关的其他情况。在评标活动中，评标</w:t>
      </w:r>
      <w:r>
        <w:rPr>
          <w:rFonts w:ascii="宋体" w:hAnsi="宋体" w:eastAsia="宋体" w:cs="宋体"/>
          <w:spacing w:val="-3"/>
          <w:sz w:val="21"/>
          <w:szCs w:val="21"/>
        </w:rPr>
        <w:t>委员会</w:t>
      </w:r>
      <w:r>
        <w:rPr>
          <w:rFonts w:ascii="宋体" w:hAnsi="宋体" w:eastAsia="宋体" w:cs="宋体"/>
          <w:spacing w:val="-2"/>
          <w:sz w:val="21"/>
          <w:szCs w:val="21"/>
        </w:rPr>
        <w:t>成员不得应当回避而不回避，不得擅离职守，影响评标程序正常进行，不得向招标人征询其确定中标人的意向，不得接受任何单位或者个人明示或者暗示提出的倾向或者排斥特定投标</w:t>
      </w:r>
      <w:r>
        <w:rPr>
          <w:rFonts w:ascii="宋体" w:hAnsi="宋体" w:eastAsia="宋体" w:cs="宋体"/>
          <w:spacing w:val="-5"/>
          <w:sz w:val="21"/>
          <w:szCs w:val="21"/>
        </w:rPr>
        <w:t>人的要求，不得对依法应当否决的投标不提出否决意见，不得暗示或者诱导投标人作出澄清、</w:t>
      </w:r>
      <w:r>
        <w:rPr>
          <w:rFonts w:ascii="宋体" w:hAnsi="宋体" w:eastAsia="宋体" w:cs="宋体"/>
          <w:spacing w:val="-4"/>
          <w:sz w:val="21"/>
          <w:szCs w:val="21"/>
        </w:rPr>
        <w:t>说明或者接受投标人主动提出的澄清、说明； 不得使用第三章</w:t>
      </w:r>
      <w:r>
        <w:rPr>
          <w:rFonts w:ascii="宋体" w:hAnsi="宋体" w:eastAsia="宋体" w:cs="宋体"/>
          <w:spacing w:val="-5"/>
          <w:sz w:val="21"/>
          <w:szCs w:val="21"/>
        </w:rPr>
        <w:t>“评标办法”没有规定的评审</w:t>
      </w:r>
      <w:r>
        <w:rPr>
          <w:rFonts w:ascii="宋体" w:hAnsi="宋体" w:eastAsia="宋体" w:cs="宋体"/>
          <w:spacing w:val="-3"/>
          <w:sz w:val="21"/>
          <w:szCs w:val="21"/>
        </w:rPr>
        <w:t>因素和标准进行评标。</w:t>
      </w:r>
    </w:p>
    <w:p w14:paraId="44829806">
      <w:pPr>
        <w:pStyle w:val="2"/>
        <w:spacing w:line="305" w:lineRule="auto"/>
      </w:pPr>
    </w:p>
    <w:p w14:paraId="2452C954">
      <w:pPr>
        <w:spacing w:before="92" w:line="242" w:lineRule="auto"/>
        <w:ind w:left="27"/>
        <w:outlineLvl w:val="3"/>
        <w:rPr>
          <w:rFonts w:ascii="黑体" w:hAnsi="黑体" w:eastAsia="黑体" w:cs="黑体"/>
          <w:sz w:val="28"/>
          <w:szCs w:val="28"/>
        </w:rPr>
      </w:pPr>
      <w:r>
        <w:rPr>
          <w:rFonts w:ascii="Calibri" w:hAnsi="Calibri" w:eastAsia="Calibri" w:cs="Calibri"/>
          <w:spacing w:val="2"/>
          <w:sz w:val="28"/>
          <w:szCs w:val="28"/>
        </w:rPr>
        <w:t xml:space="preserve">9.4  </w:t>
      </w:r>
      <w:r>
        <w:rPr>
          <w:rFonts w:ascii="黑体" w:hAnsi="黑体" w:eastAsia="黑体" w:cs="黑体"/>
          <w:spacing w:val="2"/>
          <w:sz w:val="28"/>
          <w:szCs w:val="28"/>
        </w:rPr>
        <w:t>对与评标活动有关的工作人员的纪律要求</w:t>
      </w:r>
    </w:p>
    <w:p w14:paraId="1E49BCF6">
      <w:pPr>
        <w:pStyle w:val="2"/>
        <w:spacing w:line="346" w:lineRule="auto"/>
      </w:pPr>
    </w:p>
    <w:p w14:paraId="798319AA">
      <w:pPr>
        <w:spacing w:before="68" w:line="279" w:lineRule="auto"/>
        <w:ind w:left="25" w:right="86" w:firstLine="423"/>
        <w:jc w:val="both"/>
        <w:rPr>
          <w:rFonts w:ascii="宋体" w:hAnsi="宋体" w:eastAsia="宋体" w:cs="宋体"/>
          <w:sz w:val="21"/>
          <w:szCs w:val="21"/>
        </w:rPr>
      </w:pPr>
      <w:r>
        <w:rPr>
          <w:rFonts w:ascii="宋体" w:hAnsi="宋体" w:eastAsia="宋体" w:cs="宋体"/>
          <w:spacing w:val="-2"/>
          <w:sz w:val="21"/>
          <w:szCs w:val="21"/>
        </w:rPr>
        <w:t>与评标活动有关的工作人员不得收受他人的财物或者其他好处，</w:t>
      </w:r>
      <w:r>
        <w:rPr>
          <w:rFonts w:ascii="宋体" w:hAnsi="宋体" w:eastAsia="宋体" w:cs="宋体"/>
          <w:spacing w:val="-3"/>
          <w:sz w:val="21"/>
          <w:szCs w:val="21"/>
        </w:rPr>
        <w:t>不得向他人透漏对投标</w:t>
      </w:r>
      <w:r>
        <w:rPr>
          <w:rFonts w:ascii="宋体" w:hAnsi="宋体" w:eastAsia="宋体" w:cs="宋体"/>
          <w:spacing w:val="-5"/>
          <w:sz w:val="21"/>
          <w:szCs w:val="21"/>
        </w:rPr>
        <w:t>文件的评审和比较、中标候选人的推荐情况以及评标有关的其他情况。在评标活动中， 与评</w:t>
      </w:r>
      <w:r>
        <w:rPr>
          <w:rFonts w:ascii="宋体" w:hAnsi="宋体" w:eastAsia="宋体" w:cs="宋体"/>
          <w:spacing w:val="-1"/>
          <w:sz w:val="21"/>
          <w:szCs w:val="21"/>
        </w:rPr>
        <w:t>标活动有关的工作人员不得擅离职守，影响评标程序正常进行。</w:t>
      </w:r>
    </w:p>
    <w:p w14:paraId="6BDF5E74">
      <w:pPr>
        <w:spacing w:line="279" w:lineRule="auto"/>
        <w:rPr>
          <w:rFonts w:ascii="宋体" w:hAnsi="宋体" w:eastAsia="宋体" w:cs="宋体"/>
          <w:sz w:val="21"/>
          <w:szCs w:val="21"/>
        </w:rPr>
        <w:sectPr>
          <w:footerReference r:id="rId44" w:type="default"/>
          <w:pgSz w:w="11910" w:h="16845"/>
          <w:pgMar w:top="1431" w:right="1692" w:bottom="1065" w:left="1786" w:header="0" w:footer="838" w:gutter="0"/>
          <w:cols w:space="720" w:num="1"/>
        </w:sectPr>
      </w:pPr>
    </w:p>
    <w:p w14:paraId="591DC9F9">
      <w:pPr>
        <w:spacing w:before="170" w:line="241" w:lineRule="auto"/>
        <w:ind w:left="27"/>
        <w:outlineLvl w:val="3"/>
        <w:rPr>
          <w:rFonts w:ascii="黑体" w:hAnsi="黑体" w:eastAsia="黑体" w:cs="黑体"/>
          <w:sz w:val="28"/>
          <w:szCs w:val="28"/>
        </w:rPr>
      </w:pPr>
      <w:r>
        <w:rPr>
          <w:rFonts w:ascii="Calibri" w:hAnsi="Calibri" w:eastAsia="Calibri" w:cs="Calibri"/>
          <w:spacing w:val="4"/>
          <w:sz w:val="28"/>
          <w:szCs w:val="28"/>
        </w:rPr>
        <w:t xml:space="preserve">9.5  </w:t>
      </w:r>
      <w:r>
        <w:rPr>
          <w:rFonts w:ascii="黑体" w:hAnsi="黑体" w:eastAsia="黑体" w:cs="黑体"/>
          <w:spacing w:val="4"/>
          <w:sz w:val="28"/>
          <w:szCs w:val="28"/>
        </w:rPr>
        <w:t>投诉</w:t>
      </w:r>
    </w:p>
    <w:p w14:paraId="56240649">
      <w:pPr>
        <w:pStyle w:val="2"/>
        <w:spacing w:line="363" w:lineRule="auto"/>
      </w:pPr>
    </w:p>
    <w:p w14:paraId="71D44E6A">
      <w:pPr>
        <w:spacing w:before="68" w:line="219" w:lineRule="auto"/>
        <w:ind w:left="445"/>
        <w:rPr>
          <w:rFonts w:ascii="宋体" w:hAnsi="宋体" w:eastAsia="宋体" w:cs="宋体"/>
          <w:sz w:val="21"/>
          <w:szCs w:val="21"/>
        </w:rPr>
      </w:pPr>
      <w:r>
        <w:rPr>
          <w:rFonts w:ascii="宋体" w:hAnsi="宋体" w:eastAsia="宋体" w:cs="宋体"/>
          <w:spacing w:val="-1"/>
          <w:sz w:val="21"/>
          <w:szCs w:val="21"/>
        </w:rPr>
        <w:t>本次招标投标活动及其相关当事人应当接受有关行政监督部门依法实施的监督。</w:t>
      </w:r>
    </w:p>
    <w:p w14:paraId="656DA3D6">
      <w:pPr>
        <w:spacing w:before="156" w:line="310" w:lineRule="auto"/>
        <w:ind w:left="27" w:right="87" w:firstLine="418"/>
        <w:rPr>
          <w:rFonts w:ascii="宋体" w:hAnsi="宋体" w:eastAsia="宋体" w:cs="宋体"/>
          <w:sz w:val="21"/>
          <w:szCs w:val="21"/>
        </w:rPr>
      </w:pPr>
      <w:r>
        <w:rPr>
          <w:rFonts w:ascii="宋体" w:hAnsi="宋体" w:eastAsia="宋体" w:cs="宋体"/>
          <w:spacing w:val="-2"/>
          <w:sz w:val="21"/>
          <w:szCs w:val="21"/>
        </w:rPr>
        <w:t>依据《中华人民共和国招标投标法实施条例》第四条第三款的</w:t>
      </w:r>
      <w:r>
        <w:rPr>
          <w:rFonts w:ascii="宋体" w:hAnsi="宋体" w:eastAsia="宋体" w:cs="宋体"/>
          <w:spacing w:val="-3"/>
          <w:sz w:val="21"/>
          <w:szCs w:val="21"/>
        </w:rPr>
        <w:t>规定，财政部门依法对实</w:t>
      </w:r>
      <w:r>
        <w:rPr>
          <w:rFonts w:ascii="宋体" w:hAnsi="宋体" w:eastAsia="宋体" w:cs="宋体"/>
          <w:spacing w:val="-1"/>
          <w:sz w:val="21"/>
          <w:szCs w:val="21"/>
        </w:rPr>
        <w:t>行招标投标的政府采购工程建设项目的政府采购政策执行情况实施监督。</w:t>
      </w:r>
    </w:p>
    <w:p w14:paraId="59F1E5BC">
      <w:pPr>
        <w:spacing w:before="1" w:line="269" w:lineRule="auto"/>
        <w:ind w:left="25" w:right="84" w:firstLine="422"/>
        <w:jc w:val="both"/>
        <w:rPr>
          <w:rFonts w:ascii="宋体" w:hAnsi="宋体" w:eastAsia="宋体" w:cs="宋体"/>
          <w:sz w:val="21"/>
          <w:szCs w:val="21"/>
        </w:rPr>
      </w:pPr>
      <w:r>
        <w:rPr>
          <w:rFonts w:ascii="宋体" w:hAnsi="宋体" w:eastAsia="宋体" w:cs="宋体"/>
          <w:spacing w:val="-4"/>
          <w:sz w:val="21"/>
          <w:szCs w:val="21"/>
        </w:rPr>
        <w:t>投标人和其他利害关系人认为本次招标活动违反法律、法规和规章规定的，</w:t>
      </w:r>
      <w:r>
        <w:rPr>
          <w:rFonts w:ascii="宋体" w:hAnsi="宋体" w:eastAsia="宋体" w:cs="宋体"/>
          <w:spacing w:val="-38"/>
          <w:sz w:val="21"/>
          <w:szCs w:val="21"/>
        </w:rPr>
        <w:t xml:space="preserve"> </w:t>
      </w:r>
      <w:r>
        <w:rPr>
          <w:rFonts w:ascii="宋体" w:hAnsi="宋体" w:eastAsia="宋体" w:cs="宋体"/>
          <w:spacing w:val="-4"/>
          <w:sz w:val="21"/>
          <w:szCs w:val="21"/>
        </w:rPr>
        <w:t>有权自知道</w:t>
      </w:r>
      <w:r>
        <w:rPr>
          <w:rFonts w:ascii="宋体" w:hAnsi="宋体" w:eastAsia="宋体" w:cs="宋体"/>
          <w:spacing w:val="-1"/>
          <w:sz w:val="21"/>
          <w:szCs w:val="21"/>
        </w:rPr>
        <w:t>或者应当知道之日起</w:t>
      </w:r>
      <w:r>
        <w:rPr>
          <w:rFonts w:ascii="宋体" w:hAnsi="宋体" w:eastAsia="宋体" w:cs="宋体"/>
          <w:spacing w:val="-29"/>
          <w:sz w:val="21"/>
          <w:szCs w:val="21"/>
        </w:rPr>
        <w:t xml:space="preserve"> </w:t>
      </w:r>
      <w:r>
        <w:rPr>
          <w:rFonts w:ascii="Calibri" w:hAnsi="Calibri" w:eastAsia="Calibri" w:cs="Calibri"/>
          <w:spacing w:val="-1"/>
          <w:sz w:val="21"/>
          <w:szCs w:val="21"/>
        </w:rPr>
        <w:t xml:space="preserve">10  </w:t>
      </w:r>
      <w:r>
        <w:rPr>
          <w:rFonts w:ascii="宋体" w:hAnsi="宋体" w:eastAsia="宋体" w:cs="宋体"/>
          <w:spacing w:val="-1"/>
          <w:sz w:val="21"/>
          <w:szCs w:val="21"/>
        </w:rPr>
        <w:t>日内向有关行政监督部门投诉，其中对招标文件的内</w:t>
      </w:r>
      <w:r>
        <w:rPr>
          <w:rFonts w:ascii="宋体" w:hAnsi="宋体" w:eastAsia="宋体" w:cs="宋体"/>
          <w:spacing w:val="-2"/>
          <w:sz w:val="21"/>
          <w:szCs w:val="21"/>
        </w:rPr>
        <w:t>容、开标、评</w:t>
      </w:r>
      <w:r>
        <w:rPr>
          <w:rFonts w:ascii="宋体" w:hAnsi="宋体" w:eastAsia="宋体" w:cs="宋体"/>
          <w:spacing w:val="-1"/>
          <w:sz w:val="21"/>
          <w:szCs w:val="21"/>
        </w:rPr>
        <w:t>标结果进行投诉的，应当按本章第</w:t>
      </w:r>
      <w:r>
        <w:rPr>
          <w:rFonts w:ascii="宋体" w:hAnsi="宋体" w:eastAsia="宋体" w:cs="宋体"/>
          <w:spacing w:val="-32"/>
          <w:sz w:val="21"/>
          <w:szCs w:val="21"/>
        </w:rPr>
        <w:t xml:space="preserve"> </w:t>
      </w:r>
      <w:r>
        <w:rPr>
          <w:rFonts w:ascii="Calibri" w:hAnsi="Calibri" w:eastAsia="Calibri" w:cs="Calibri"/>
          <w:spacing w:val="-1"/>
          <w:sz w:val="21"/>
          <w:szCs w:val="21"/>
        </w:rPr>
        <w:t>2.4</w:t>
      </w:r>
      <w:r>
        <w:rPr>
          <w:rFonts w:ascii="Calibri" w:hAnsi="Calibri" w:eastAsia="Calibri" w:cs="Calibri"/>
          <w:spacing w:val="20"/>
          <w:w w:val="101"/>
          <w:sz w:val="21"/>
          <w:szCs w:val="21"/>
        </w:rPr>
        <w:t xml:space="preserve"> </w:t>
      </w:r>
      <w:r>
        <w:rPr>
          <w:rFonts w:ascii="宋体" w:hAnsi="宋体" w:eastAsia="宋体" w:cs="宋体"/>
          <w:spacing w:val="-1"/>
          <w:sz w:val="21"/>
          <w:szCs w:val="21"/>
        </w:rPr>
        <w:t>款、第</w:t>
      </w:r>
      <w:r>
        <w:rPr>
          <w:rFonts w:ascii="宋体" w:hAnsi="宋体" w:eastAsia="宋体" w:cs="宋体"/>
          <w:spacing w:val="-35"/>
          <w:sz w:val="21"/>
          <w:szCs w:val="21"/>
        </w:rPr>
        <w:t xml:space="preserve"> </w:t>
      </w:r>
      <w:r>
        <w:rPr>
          <w:rFonts w:ascii="Calibri" w:hAnsi="Calibri" w:eastAsia="Calibri" w:cs="Calibri"/>
          <w:spacing w:val="-1"/>
          <w:sz w:val="21"/>
          <w:szCs w:val="21"/>
        </w:rPr>
        <w:t>5.3</w:t>
      </w:r>
      <w:r>
        <w:rPr>
          <w:rFonts w:ascii="Calibri" w:hAnsi="Calibri" w:eastAsia="Calibri" w:cs="Calibri"/>
          <w:spacing w:val="20"/>
          <w:w w:val="101"/>
          <w:sz w:val="21"/>
          <w:szCs w:val="21"/>
        </w:rPr>
        <w:t xml:space="preserve"> </w:t>
      </w:r>
      <w:r>
        <w:rPr>
          <w:rFonts w:ascii="宋体" w:hAnsi="宋体" w:eastAsia="宋体" w:cs="宋体"/>
          <w:spacing w:val="-1"/>
          <w:sz w:val="21"/>
          <w:szCs w:val="21"/>
        </w:rPr>
        <w:t>款、第</w:t>
      </w:r>
      <w:r>
        <w:rPr>
          <w:rFonts w:ascii="宋体" w:hAnsi="宋体" w:eastAsia="宋体" w:cs="宋体"/>
          <w:spacing w:val="-34"/>
          <w:sz w:val="21"/>
          <w:szCs w:val="21"/>
        </w:rPr>
        <w:t xml:space="preserve"> </w:t>
      </w:r>
      <w:r>
        <w:rPr>
          <w:rFonts w:ascii="Calibri" w:hAnsi="Calibri" w:eastAsia="Calibri" w:cs="Calibri"/>
          <w:spacing w:val="-1"/>
          <w:sz w:val="21"/>
          <w:szCs w:val="21"/>
        </w:rPr>
        <w:t>6.4</w:t>
      </w:r>
      <w:r>
        <w:rPr>
          <w:rFonts w:ascii="Calibri" w:hAnsi="Calibri" w:eastAsia="Calibri" w:cs="Calibri"/>
          <w:spacing w:val="20"/>
          <w:w w:val="101"/>
          <w:sz w:val="21"/>
          <w:szCs w:val="21"/>
        </w:rPr>
        <w:t xml:space="preserve"> </w:t>
      </w:r>
      <w:r>
        <w:rPr>
          <w:rFonts w:ascii="宋体" w:hAnsi="宋体" w:eastAsia="宋体" w:cs="宋体"/>
          <w:spacing w:val="-1"/>
          <w:sz w:val="21"/>
          <w:szCs w:val="21"/>
        </w:rPr>
        <w:t>款的规定先向招标人提出异议后，方可向有关行政监督部门投诉，异议答复期不计算在规定的投诉时效期限内。</w:t>
      </w:r>
    </w:p>
    <w:p w14:paraId="319075F9">
      <w:pPr>
        <w:spacing w:before="21" w:line="277" w:lineRule="auto"/>
        <w:ind w:left="25" w:right="84" w:firstLine="422"/>
        <w:rPr>
          <w:rFonts w:ascii="宋体" w:hAnsi="宋体" w:eastAsia="宋体" w:cs="宋体"/>
          <w:sz w:val="21"/>
          <w:szCs w:val="21"/>
        </w:rPr>
      </w:pPr>
      <w:r>
        <w:rPr>
          <w:rFonts w:ascii="宋体" w:hAnsi="宋体" w:eastAsia="宋体" w:cs="宋体"/>
          <w:spacing w:val="-2"/>
          <w:sz w:val="21"/>
          <w:szCs w:val="21"/>
        </w:rPr>
        <w:t>投标人和其他利害关系人的投诉应按照《工程建设项目招标投标活</w:t>
      </w:r>
      <w:r>
        <w:rPr>
          <w:rFonts w:ascii="宋体" w:hAnsi="宋体" w:eastAsia="宋体" w:cs="宋体"/>
          <w:spacing w:val="-3"/>
          <w:sz w:val="21"/>
          <w:szCs w:val="21"/>
        </w:rPr>
        <w:t>动投诉处理办法》或</w:t>
      </w:r>
      <w:r>
        <w:rPr>
          <w:rFonts w:ascii="宋体" w:hAnsi="宋体" w:eastAsia="宋体" w:cs="宋体"/>
          <w:spacing w:val="-1"/>
          <w:sz w:val="21"/>
          <w:szCs w:val="21"/>
        </w:rPr>
        <w:t>《湖北省公共资源招标投标投诉处理办法》的规定进行。</w:t>
      </w:r>
    </w:p>
    <w:p w14:paraId="0B97A628">
      <w:pPr>
        <w:spacing w:before="1" w:line="218" w:lineRule="auto"/>
        <w:ind w:left="445"/>
        <w:rPr>
          <w:rFonts w:ascii="宋体" w:hAnsi="宋体" w:eastAsia="宋体" w:cs="宋体"/>
          <w:sz w:val="21"/>
          <w:szCs w:val="21"/>
        </w:rPr>
      </w:pPr>
      <w:r>
        <w:rPr>
          <w:rFonts w:ascii="宋体" w:hAnsi="宋体" w:eastAsia="宋体" w:cs="宋体"/>
          <w:spacing w:val="-2"/>
          <w:sz w:val="21"/>
          <w:szCs w:val="21"/>
        </w:rPr>
        <w:t>有关行政监督部门的联系方式见投标人须知前附表。</w:t>
      </w:r>
    </w:p>
    <w:p w14:paraId="2C14070E">
      <w:pPr>
        <w:pStyle w:val="2"/>
        <w:spacing w:line="358" w:lineRule="auto"/>
      </w:pPr>
    </w:p>
    <w:p w14:paraId="59E0A485">
      <w:pPr>
        <w:spacing w:before="92" w:line="369" w:lineRule="exact"/>
        <w:ind w:left="40"/>
        <w:outlineLvl w:val="2"/>
        <w:rPr>
          <w:rFonts w:ascii="黑体" w:hAnsi="黑体" w:eastAsia="黑体" w:cs="黑体"/>
          <w:sz w:val="28"/>
          <w:szCs w:val="28"/>
        </w:rPr>
      </w:pPr>
      <w:bookmarkStart w:id="16" w:name="bookmark15"/>
      <w:bookmarkEnd w:id="16"/>
      <w:r>
        <w:rPr>
          <w:rFonts w:ascii="Calibri" w:hAnsi="Calibri" w:eastAsia="Calibri" w:cs="Calibri"/>
          <w:spacing w:val="3"/>
          <w:position w:val="1"/>
          <w:sz w:val="28"/>
          <w:szCs w:val="28"/>
        </w:rPr>
        <w:t xml:space="preserve">10.  </w:t>
      </w:r>
      <w:r>
        <w:rPr>
          <w:rFonts w:ascii="黑体" w:hAnsi="黑体" w:eastAsia="黑体" w:cs="黑体"/>
          <w:spacing w:val="3"/>
          <w:position w:val="1"/>
          <w:sz w:val="28"/>
          <w:szCs w:val="28"/>
        </w:rPr>
        <w:t>需要补充的其他内容</w:t>
      </w:r>
    </w:p>
    <w:p w14:paraId="6AFB1C96">
      <w:pPr>
        <w:pStyle w:val="2"/>
        <w:spacing w:line="437" w:lineRule="auto"/>
      </w:pPr>
    </w:p>
    <w:p w14:paraId="178CA34A">
      <w:pPr>
        <w:spacing w:before="92" w:line="368" w:lineRule="exact"/>
        <w:ind w:left="40"/>
        <w:outlineLvl w:val="3"/>
        <w:rPr>
          <w:rFonts w:ascii="黑体" w:hAnsi="黑体" w:eastAsia="黑体" w:cs="黑体"/>
          <w:sz w:val="28"/>
          <w:szCs w:val="28"/>
        </w:rPr>
      </w:pPr>
      <w:r>
        <w:rPr>
          <w:rFonts w:ascii="Calibri" w:hAnsi="Calibri" w:eastAsia="Calibri" w:cs="Calibri"/>
          <w:spacing w:val="3"/>
          <w:position w:val="1"/>
          <w:sz w:val="28"/>
          <w:szCs w:val="28"/>
        </w:rPr>
        <w:t xml:space="preserve">10.1  </w:t>
      </w:r>
      <w:r>
        <w:rPr>
          <w:rFonts w:ascii="黑体" w:hAnsi="黑体" w:eastAsia="黑体" w:cs="黑体"/>
          <w:spacing w:val="3"/>
          <w:position w:val="1"/>
          <w:sz w:val="28"/>
          <w:szCs w:val="28"/>
        </w:rPr>
        <w:t>多标段投标</w:t>
      </w:r>
    </w:p>
    <w:p w14:paraId="4C11A72D">
      <w:pPr>
        <w:pStyle w:val="2"/>
        <w:spacing w:line="346" w:lineRule="auto"/>
      </w:pPr>
    </w:p>
    <w:p w14:paraId="4D37DB81">
      <w:pPr>
        <w:spacing w:before="69" w:line="219" w:lineRule="auto"/>
        <w:ind w:left="454"/>
        <w:rPr>
          <w:rFonts w:ascii="宋体" w:hAnsi="宋体" w:eastAsia="宋体" w:cs="宋体"/>
          <w:sz w:val="21"/>
          <w:szCs w:val="21"/>
        </w:rPr>
      </w:pPr>
      <w:r>
        <w:rPr>
          <w:rFonts w:ascii="宋体" w:hAnsi="宋体" w:eastAsia="宋体" w:cs="宋体"/>
          <w:spacing w:val="-3"/>
          <w:sz w:val="21"/>
          <w:szCs w:val="21"/>
        </w:rPr>
        <w:t>多标段投标规定：见投标人须知前附表。</w:t>
      </w:r>
    </w:p>
    <w:p w14:paraId="17ECD52C">
      <w:pPr>
        <w:spacing w:before="66"/>
        <w:ind w:left="454"/>
        <w:rPr>
          <w:rFonts w:ascii="宋体" w:hAnsi="宋体" w:eastAsia="宋体" w:cs="宋体"/>
          <w:sz w:val="21"/>
          <w:szCs w:val="21"/>
        </w:rPr>
      </w:pPr>
      <w:r>
        <w:rPr>
          <w:rFonts w:ascii="Calibri" w:hAnsi="Calibri" w:eastAsia="Calibri" w:cs="Calibri"/>
          <w:spacing w:val="-1"/>
          <w:sz w:val="21"/>
          <w:szCs w:val="21"/>
        </w:rPr>
        <w:t>10.2</w:t>
      </w:r>
      <w:r>
        <w:rPr>
          <w:rFonts w:ascii="Calibri" w:hAnsi="Calibri" w:eastAsia="Calibri" w:cs="Calibri"/>
          <w:spacing w:val="20"/>
          <w:sz w:val="21"/>
          <w:szCs w:val="21"/>
        </w:rPr>
        <w:t xml:space="preserve"> </w:t>
      </w:r>
      <w:r>
        <w:rPr>
          <w:rFonts w:ascii="宋体" w:hAnsi="宋体" w:eastAsia="宋体" w:cs="宋体"/>
          <w:spacing w:val="-1"/>
          <w:sz w:val="21"/>
          <w:szCs w:val="21"/>
        </w:rPr>
        <w:t>评标办法中的有关系数的取值</w:t>
      </w:r>
    </w:p>
    <w:p w14:paraId="775B8EF6">
      <w:pPr>
        <w:spacing w:before="133" w:line="332" w:lineRule="auto"/>
        <w:ind w:left="23" w:right="74" w:firstLine="431"/>
        <w:rPr>
          <w:rFonts w:ascii="宋体" w:hAnsi="宋体" w:eastAsia="宋体" w:cs="宋体"/>
          <w:sz w:val="21"/>
          <w:szCs w:val="21"/>
        </w:rPr>
      </w:pPr>
      <w:r>
        <w:rPr>
          <w:rFonts w:ascii="Calibri" w:hAnsi="Calibri" w:eastAsia="Calibri" w:cs="Calibri"/>
          <w:spacing w:val="-1"/>
          <w:sz w:val="21"/>
          <w:szCs w:val="21"/>
        </w:rPr>
        <w:t xml:space="preserve">10.2.1  </w:t>
      </w:r>
      <w:r>
        <w:rPr>
          <w:rFonts w:ascii="宋体" w:hAnsi="宋体" w:eastAsia="宋体" w:cs="宋体"/>
          <w:spacing w:val="-1"/>
          <w:sz w:val="21"/>
          <w:szCs w:val="21"/>
        </w:rPr>
        <w:t>第三章评标办法前附表中“评标基</w:t>
      </w:r>
      <w:r>
        <w:rPr>
          <w:rFonts w:ascii="宋体" w:hAnsi="宋体" w:eastAsia="宋体" w:cs="宋体"/>
          <w:spacing w:val="-2"/>
          <w:sz w:val="21"/>
          <w:szCs w:val="21"/>
        </w:rPr>
        <w:t>准价下浮系数”</w:t>
      </w:r>
      <w:r>
        <w:rPr>
          <w:rFonts w:ascii="Calibri" w:hAnsi="Calibri" w:eastAsia="Calibri" w:cs="Calibri"/>
          <w:spacing w:val="-2"/>
          <w:sz w:val="21"/>
          <w:szCs w:val="21"/>
        </w:rPr>
        <w:t xml:space="preserve">E  </w:t>
      </w:r>
      <w:r>
        <w:rPr>
          <w:rFonts w:ascii="宋体" w:hAnsi="宋体" w:eastAsia="宋体" w:cs="宋体"/>
          <w:spacing w:val="-2"/>
          <w:sz w:val="21"/>
          <w:szCs w:val="21"/>
        </w:rPr>
        <w:t>的取值：见投标人须知前附</w:t>
      </w:r>
      <w:r>
        <w:rPr>
          <w:rFonts w:ascii="宋体" w:hAnsi="宋体" w:eastAsia="宋体" w:cs="宋体"/>
          <w:spacing w:val="-10"/>
          <w:sz w:val="21"/>
          <w:szCs w:val="21"/>
        </w:rPr>
        <w:t>表。</w:t>
      </w:r>
    </w:p>
    <w:p w14:paraId="1D6D5D7C">
      <w:pPr>
        <w:spacing w:before="40" w:line="238" w:lineRule="auto"/>
        <w:jc w:val="right"/>
        <w:rPr>
          <w:rFonts w:ascii="宋体" w:hAnsi="宋体" w:eastAsia="宋体" w:cs="宋体"/>
          <w:sz w:val="21"/>
          <w:szCs w:val="21"/>
        </w:rPr>
      </w:pPr>
      <w:r>
        <w:rPr>
          <w:rFonts w:ascii="Calibri" w:hAnsi="Calibri" w:eastAsia="Calibri" w:cs="Calibri"/>
          <w:spacing w:val="-2"/>
          <w:sz w:val="21"/>
          <w:szCs w:val="21"/>
        </w:rPr>
        <w:t xml:space="preserve">10.2.2  </w:t>
      </w:r>
      <w:r>
        <w:rPr>
          <w:rFonts w:ascii="宋体" w:hAnsi="宋体" w:eastAsia="宋体" w:cs="宋体"/>
          <w:spacing w:val="-2"/>
          <w:sz w:val="21"/>
          <w:szCs w:val="21"/>
        </w:rPr>
        <w:t>第三章评标办法前附表中“投标报价基准分</w:t>
      </w:r>
      <w:r>
        <w:rPr>
          <w:rFonts w:ascii="宋体" w:hAnsi="宋体" w:eastAsia="宋体" w:cs="宋体"/>
          <w:spacing w:val="-81"/>
          <w:sz w:val="21"/>
          <w:szCs w:val="21"/>
        </w:rPr>
        <w:t xml:space="preserve"> </w:t>
      </w:r>
      <w:r>
        <w:rPr>
          <w:rFonts w:ascii="宋体" w:hAnsi="宋体" w:eastAsia="宋体" w:cs="宋体"/>
          <w:spacing w:val="-2"/>
          <w:sz w:val="21"/>
          <w:szCs w:val="21"/>
        </w:rPr>
        <w:t>”</w:t>
      </w:r>
      <w:r>
        <w:rPr>
          <w:rFonts w:ascii="Calibri" w:hAnsi="Calibri" w:eastAsia="Calibri" w:cs="Calibri"/>
          <w:spacing w:val="-2"/>
          <w:sz w:val="21"/>
          <w:szCs w:val="21"/>
        </w:rPr>
        <w:t xml:space="preserve">M  </w:t>
      </w:r>
      <w:r>
        <w:rPr>
          <w:rFonts w:ascii="宋体" w:hAnsi="宋体" w:eastAsia="宋体" w:cs="宋体"/>
          <w:spacing w:val="-2"/>
          <w:sz w:val="21"/>
          <w:szCs w:val="21"/>
        </w:rPr>
        <w:t>的取值：见投标人须知前</w:t>
      </w:r>
      <w:r>
        <w:rPr>
          <w:rFonts w:ascii="宋体" w:hAnsi="宋体" w:eastAsia="宋体" w:cs="宋体"/>
          <w:spacing w:val="-3"/>
          <w:sz w:val="21"/>
          <w:szCs w:val="21"/>
        </w:rPr>
        <w:t>附表。</w:t>
      </w:r>
    </w:p>
    <w:p w14:paraId="481C17CD">
      <w:pPr>
        <w:spacing w:before="135" w:line="331" w:lineRule="auto"/>
        <w:ind w:left="25" w:right="91" w:firstLine="429"/>
        <w:rPr>
          <w:rFonts w:ascii="宋体" w:hAnsi="宋体" w:eastAsia="宋体" w:cs="宋体"/>
          <w:sz w:val="21"/>
          <w:szCs w:val="21"/>
        </w:rPr>
      </w:pPr>
      <w:r>
        <w:rPr>
          <w:rFonts w:ascii="Calibri" w:hAnsi="Calibri" w:eastAsia="Calibri" w:cs="Calibri"/>
          <w:spacing w:val="-1"/>
          <w:sz w:val="21"/>
          <w:szCs w:val="21"/>
        </w:rPr>
        <w:t xml:space="preserve">10.2.3  </w:t>
      </w:r>
      <w:r>
        <w:rPr>
          <w:rFonts w:ascii="宋体" w:hAnsi="宋体" w:eastAsia="宋体" w:cs="宋体"/>
          <w:spacing w:val="-1"/>
          <w:sz w:val="21"/>
          <w:szCs w:val="21"/>
        </w:rPr>
        <w:t xml:space="preserve">第三章评标办法前附表中“小微企业报价优惠（扣除）系数” </w:t>
      </w:r>
      <w:r>
        <w:rPr>
          <w:rFonts w:ascii="Calibri" w:hAnsi="Calibri" w:eastAsia="Calibri" w:cs="Calibri"/>
          <w:spacing w:val="-1"/>
          <w:sz w:val="21"/>
          <w:szCs w:val="21"/>
        </w:rPr>
        <w:t xml:space="preserve">P   </w:t>
      </w:r>
      <w:r>
        <w:rPr>
          <w:rFonts w:ascii="宋体" w:hAnsi="宋体" w:eastAsia="宋体" w:cs="宋体"/>
          <w:spacing w:val="-1"/>
          <w:sz w:val="21"/>
          <w:szCs w:val="21"/>
        </w:rPr>
        <w:t>的取值：见投</w:t>
      </w:r>
      <w:r>
        <w:rPr>
          <w:rFonts w:ascii="宋体" w:hAnsi="宋体" w:eastAsia="宋体" w:cs="宋体"/>
          <w:spacing w:val="-4"/>
          <w:sz w:val="21"/>
          <w:szCs w:val="21"/>
        </w:rPr>
        <w:t>标人须知前附表。</w:t>
      </w:r>
    </w:p>
    <w:p w14:paraId="2ED597F2">
      <w:pPr>
        <w:spacing w:before="43" w:line="310" w:lineRule="auto"/>
        <w:ind w:left="25" w:right="72" w:firstLine="428"/>
        <w:rPr>
          <w:rFonts w:ascii="宋体" w:hAnsi="宋体" w:eastAsia="宋体" w:cs="宋体"/>
          <w:sz w:val="21"/>
          <w:szCs w:val="21"/>
        </w:rPr>
      </w:pPr>
      <w:r>
        <w:rPr>
          <w:rFonts w:ascii="Calibri" w:hAnsi="Calibri" w:eastAsia="Calibri" w:cs="Calibri"/>
          <w:spacing w:val="-2"/>
          <w:sz w:val="21"/>
          <w:szCs w:val="21"/>
        </w:rPr>
        <w:t xml:space="preserve">10.2.4  </w:t>
      </w:r>
      <w:r>
        <w:rPr>
          <w:rFonts w:ascii="宋体" w:hAnsi="宋体" w:eastAsia="宋体" w:cs="宋体"/>
          <w:spacing w:val="-2"/>
          <w:sz w:val="21"/>
          <w:szCs w:val="21"/>
        </w:rPr>
        <w:t>第三章评标办法前附表中“满足条件的联合体或者分包企业报价优惠（扣除）系</w:t>
      </w:r>
      <w:r>
        <w:rPr>
          <w:rFonts w:ascii="宋体" w:hAnsi="宋体" w:eastAsia="宋体" w:cs="宋体"/>
          <w:spacing w:val="-3"/>
          <w:sz w:val="21"/>
          <w:szCs w:val="21"/>
        </w:rPr>
        <w:t xml:space="preserve">数” </w:t>
      </w:r>
      <w:r>
        <w:rPr>
          <w:rFonts w:ascii="Calibri" w:hAnsi="Calibri" w:eastAsia="Calibri" w:cs="Calibri"/>
          <w:spacing w:val="-3"/>
          <w:sz w:val="21"/>
          <w:szCs w:val="21"/>
        </w:rPr>
        <w:t>Q</w:t>
      </w:r>
      <w:r>
        <w:rPr>
          <w:rFonts w:ascii="Calibri" w:hAnsi="Calibri" w:eastAsia="Calibri" w:cs="Calibri"/>
          <w:spacing w:val="29"/>
          <w:sz w:val="21"/>
          <w:szCs w:val="21"/>
        </w:rPr>
        <w:t xml:space="preserve"> </w:t>
      </w:r>
      <w:r>
        <w:rPr>
          <w:rFonts w:ascii="宋体" w:hAnsi="宋体" w:eastAsia="宋体" w:cs="宋体"/>
          <w:spacing w:val="-3"/>
          <w:sz w:val="21"/>
          <w:szCs w:val="21"/>
        </w:rPr>
        <w:t>的取值：见投标人须知前附表。</w:t>
      </w:r>
    </w:p>
    <w:p w14:paraId="6358FE8C">
      <w:pPr>
        <w:spacing w:line="239" w:lineRule="auto"/>
        <w:ind w:left="454"/>
        <w:rPr>
          <w:rFonts w:ascii="宋体" w:hAnsi="宋体" w:eastAsia="宋体" w:cs="宋体"/>
          <w:sz w:val="21"/>
          <w:szCs w:val="21"/>
        </w:rPr>
      </w:pPr>
      <w:r>
        <w:rPr>
          <w:rFonts w:ascii="Calibri" w:hAnsi="Calibri" w:eastAsia="Calibri" w:cs="Calibri"/>
          <w:spacing w:val="-3"/>
          <w:sz w:val="21"/>
          <w:szCs w:val="21"/>
        </w:rPr>
        <w:t>10.3</w:t>
      </w:r>
      <w:r>
        <w:rPr>
          <w:rFonts w:ascii="Calibri" w:hAnsi="Calibri" w:eastAsia="Calibri" w:cs="Calibri"/>
          <w:spacing w:val="18"/>
          <w:w w:val="101"/>
          <w:sz w:val="21"/>
          <w:szCs w:val="21"/>
        </w:rPr>
        <w:t xml:space="preserve">  </w:t>
      </w:r>
      <w:r>
        <w:rPr>
          <w:rFonts w:ascii="宋体" w:hAnsi="宋体" w:eastAsia="宋体" w:cs="宋体"/>
          <w:spacing w:val="-3"/>
          <w:sz w:val="21"/>
          <w:szCs w:val="21"/>
        </w:rPr>
        <w:t>中标人的投标文件</w:t>
      </w:r>
    </w:p>
    <w:p w14:paraId="3402C5D1">
      <w:pPr>
        <w:spacing w:before="43" w:line="219" w:lineRule="auto"/>
        <w:ind w:right="22"/>
        <w:jc w:val="right"/>
        <w:rPr>
          <w:rFonts w:ascii="宋体" w:hAnsi="宋体" w:eastAsia="宋体" w:cs="宋体"/>
          <w:sz w:val="21"/>
          <w:szCs w:val="21"/>
        </w:rPr>
      </w:pPr>
      <w:r>
        <w:rPr>
          <w:rFonts w:ascii="宋体" w:hAnsi="宋体" w:eastAsia="宋体" w:cs="宋体"/>
          <w:spacing w:val="-1"/>
          <w:sz w:val="21"/>
          <w:szCs w:val="21"/>
        </w:rPr>
        <w:t>中标人在签订合同前须向招标人另行提交的纸质投标文件份数：见投标人须知前附</w:t>
      </w:r>
      <w:r>
        <w:rPr>
          <w:rFonts w:ascii="宋体" w:hAnsi="宋体" w:eastAsia="宋体" w:cs="宋体"/>
          <w:spacing w:val="-2"/>
          <w:sz w:val="21"/>
          <w:szCs w:val="21"/>
        </w:rPr>
        <w:t>表。</w:t>
      </w:r>
    </w:p>
    <w:p w14:paraId="778BCDF6">
      <w:pPr>
        <w:spacing w:before="66"/>
        <w:ind w:left="454"/>
        <w:rPr>
          <w:rFonts w:ascii="宋体" w:hAnsi="宋体" w:eastAsia="宋体" w:cs="宋体"/>
          <w:sz w:val="21"/>
          <w:szCs w:val="21"/>
        </w:rPr>
      </w:pPr>
      <w:r>
        <w:rPr>
          <w:rFonts w:ascii="Calibri" w:hAnsi="Calibri" w:eastAsia="Calibri" w:cs="Calibri"/>
          <w:spacing w:val="-2"/>
          <w:sz w:val="21"/>
          <w:szCs w:val="21"/>
        </w:rPr>
        <w:t>10.4</w:t>
      </w:r>
      <w:r>
        <w:rPr>
          <w:rFonts w:ascii="Calibri" w:hAnsi="Calibri" w:eastAsia="Calibri" w:cs="Calibri"/>
          <w:spacing w:val="12"/>
          <w:w w:val="101"/>
          <w:sz w:val="21"/>
          <w:szCs w:val="21"/>
        </w:rPr>
        <w:t xml:space="preserve">  </w:t>
      </w:r>
      <w:r>
        <w:rPr>
          <w:rFonts w:ascii="宋体" w:hAnsi="宋体" w:eastAsia="宋体" w:cs="宋体"/>
          <w:spacing w:val="-2"/>
          <w:sz w:val="21"/>
          <w:szCs w:val="21"/>
        </w:rPr>
        <w:t>交易平台信息服务费</w:t>
      </w:r>
    </w:p>
    <w:p w14:paraId="7470E427">
      <w:pPr>
        <w:spacing w:before="42" w:line="219" w:lineRule="auto"/>
        <w:ind w:left="448"/>
        <w:rPr>
          <w:rFonts w:ascii="宋体" w:hAnsi="宋体" w:eastAsia="宋体" w:cs="宋体"/>
          <w:sz w:val="21"/>
          <w:szCs w:val="21"/>
        </w:rPr>
      </w:pPr>
      <w:r>
        <w:rPr>
          <w:rFonts w:ascii="宋体" w:hAnsi="宋体" w:eastAsia="宋体" w:cs="宋体"/>
          <w:spacing w:val="-1"/>
          <w:sz w:val="21"/>
          <w:szCs w:val="21"/>
        </w:rPr>
        <w:t>交易平台信息服务费缴费规定：见投标人须知前附表。</w:t>
      </w:r>
    </w:p>
    <w:p w14:paraId="2B2404E9">
      <w:pPr>
        <w:spacing w:before="67"/>
        <w:ind w:left="454"/>
        <w:rPr>
          <w:rFonts w:ascii="宋体" w:hAnsi="宋体" w:eastAsia="宋体" w:cs="宋体"/>
          <w:sz w:val="21"/>
          <w:szCs w:val="21"/>
        </w:rPr>
      </w:pPr>
      <w:r>
        <w:rPr>
          <w:rFonts w:ascii="Calibri" w:hAnsi="Calibri" w:eastAsia="Calibri" w:cs="Calibri"/>
          <w:spacing w:val="-2"/>
          <w:sz w:val="21"/>
          <w:szCs w:val="21"/>
        </w:rPr>
        <w:t>10.5</w:t>
      </w:r>
      <w:r>
        <w:rPr>
          <w:rFonts w:ascii="Calibri" w:hAnsi="Calibri" w:eastAsia="Calibri" w:cs="Calibri"/>
          <w:spacing w:val="10"/>
          <w:sz w:val="21"/>
          <w:szCs w:val="21"/>
        </w:rPr>
        <w:t xml:space="preserve">  </w:t>
      </w:r>
      <w:r>
        <w:rPr>
          <w:rFonts w:ascii="宋体" w:hAnsi="宋体" w:eastAsia="宋体" w:cs="宋体"/>
          <w:spacing w:val="-2"/>
          <w:sz w:val="21"/>
          <w:szCs w:val="21"/>
        </w:rPr>
        <w:t>招标代理服务费</w:t>
      </w:r>
    </w:p>
    <w:p w14:paraId="0E283EDC">
      <w:pPr>
        <w:spacing w:before="27" w:line="219" w:lineRule="auto"/>
        <w:ind w:left="445"/>
        <w:rPr>
          <w:rFonts w:ascii="宋体" w:hAnsi="宋体" w:eastAsia="宋体" w:cs="宋体"/>
          <w:sz w:val="21"/>
          <w:szCs w:val="21"/>
        </w:rPr>
      </w:pPr>
      <w:r>
        <w:rPr>
          <w:rFonts w:ascii="宋体" w:hAnsi="宋体" w:eastAsia="宋体" w:cs="宋体"/>
          <w:spacing w:val="-1"/>
          <w:sz w:val="21"/>
          <w:szCs w:val="21"/>
        </w:rPr>
        <w:t>招标代理服务费收取约定：见投标人须知前附表。</w:t>
      </w:r>
    </w:p>
    <w:p w14:paraId="5BB621A8">
      <w:pPr>
        <w:spacing w:before="66" w:line="239" w:lineRule="auto"/>
        <w:ind w:left="454"/>
        <w:rPr>
          <w:rFonts w:ascii="宋体" w:hAnsi="宋体" w:eastAsia="宋体" w:cs="宋体"/>
          <w:sz w:val="21"/>
          <w:szCs w:val="21"/>
        </w:rPr>
      </w:pPr>
      <w:r>
        <w:rPr>
          <w:rFonts w:ascii="Calibri" w:hAnsi="Calibri" w:eastAsia="Calibri" w:cs="Calibri"/>
          <w:sz w:val="21"/>
          <w:szCs w:val="21"/>
        </w:rPr>
        <w:t xml:space="preserve">10.6  </w:t>
      </w:r>
      <w:r>
        <w:rPr>
          <w:rFonts w:ascii="宋体" w:hAnsi="宋体" w:eastAsia="宋体" w:cs="宋体"/>
          <w:sz w:val="21"/>
          <w:szCs w:val="21"/>
        </w:rPr>
        <w:t>政府采购合同融资政策</w:t>
      </w:r>
    </w:p>
    <w:p w14:paraId="52EA048B">
      <w:pPr>
        <w:spacing w:before="134" w:line="219" w:lineRule="auto"/>
        <w:ind w:left="443"/>
        <w:rPr>
          <w:rFonts w:ascii="宋体" w:hAnsi="宋体" w:eastAsia="宋体" w:cs="宋体"/>
          <w:sz w:val="21"/>
          <w:szCs w:val="21"/>
        </w:rPr>
      </w:pPr>
      <w:r>
        <w:rPr>
          <w:rFonts w:ascii="宋体" w:hAnsi="宋体" w:eastAsia="宋体" w:cs="宋体"/>
          <w:spacing w:val="-2"/>
          <w:sz w:val="21"/>
          <w:szCs w:val="21"/>
        </w:rPr>
        <w:t>政府采购合同融资政策：见投标人须知前附表。</w:t>
      </w:r>
    </w:p>
    <w:p w14:paraId="4C200587">
      <w:pPr>
        <w:spacing w:before="125"/>
        <w:ind w:left="454"/>
        <w:rPr>
          <w:rFonts w:ascii="宋体" w:hAnsi="宋体" w:eastAsia="宋体" w:cs="宋体"/>
          <w:sz w:val="21"/>
          <w:szCs w:val="21"/>
        </w:rPr>
      </w:pPr>
      <w:r>
        <w:rPr>
          <w:rFonts w:ascii="Calibri" w:hAnsi="Calibri" w:eastAsia="Calibri" w:cs="Calibri"/>
          <w:sz w:val="21"/>
          <w:szCs w:val="21"/>
        </w:rPr>
        <w:t xml:space="preserve">10.7  </w:t>
      </w:r>
      <w:r>
        <w:rPr>
          <w:rFonts w:ascii="宋体" w:hAnsi="宋体" w:eastAsia="宋体" w:cs="宋体"/>
          <w:sz w:val="21"/>
          <w:szCs w:val="21"/>
        </w:rPr>
        <w:t>招标人补充的其他内容</w:t>
      </w:r>
    </w:p>
    <w:p w14:paraId="627E58EB">
      <w:pPr>
        <w:spacing w:before="133" w:line="219" w:lineRule="auto"/>
        <w:ind w:left="445"/>
        <w:rPr>
          <w:rFonts w:ascii="宋体" w:hAnsi="宋体" w:eastAsia="宋体" w:cs="宋体"/>
          <w:sz w:val="21"/>
          <w:szCs w:val="21"/>
        </w:rPr>
      </w:pPr>
      <w:r>
        <w:rPr>
          <w:rFonts w:ascii="宋体" w:hAnsi="宋体" w:eastAsia="宋体" w:cs="宋体"/>
          <w:spacing w:val="-2"/>
          <w:sz w:val="21"/>
          <w:szCs w:val="21"/>
        </w:rPr>
        <w:t>招标人补充的其他内容：见投标人须知前附表。</w:t>
      </w:r>
    </w:p>
    <w:p w14:paraId="2B9DE3B9">
      <w:pPr>
        <w:spacing w:line="219" w:lineRule="auto"/>
        <w:rPr>
          <w:rFonts w:ascii="宋体" w:hAnsi="宋体" w:eastAsia="宋体" w:cs="宋体"/>
          <w:sz w:val="21"/>
          <w:szCs w:val="21"/>
        </w:rPr>
        <w:sectPr>
          <w:footerReference r:id="rId45" w:type="default"/>
          <w:pgSz w:w="11910" w:h="16845"/>
          <w:pgMar w:top="1431" w:right="1695" w:bottom="1065" w:left="1786" w:header="0" w:footer="837" w:gutter="0"/>
          <w:cols w:space="720" w:num="1"/>
        </w:sectPr>
      </w:pPr>
    </w:p>
    <w:p w14:paraId="0F65654E">
      <w:pPr>
        <w:pStyle w:val="2"/>
        <w:spacing w:line="319" w:lineRule="auto"/>
      </w:pPr>
    </w:p>
    <w:p w14:paraId="7F042944">
      <w:pPr>
        <w:pStyle w:val="2"/>
        <w:spacing w:line="320" w:lineRule="auto"/>
      </w:pPr>
    </w:p>
    <w:p w14:paraId="7A9364A9">
      <w:pPr>
        <w:spacing w:before="101" w:line="222" w:lineRule="auto"/>
        <w:ind w:left="45"/>
        <w:outlineLvl w:val="1"/>
        <w:rPr>
          <w:rFonts w:ascii="黑体" w:hAnsi="黑体" w:eastAsia="黑体" w:cs="黑体"/>
          <w:sz w:val="31"/>
          <w:szCs w:val="31"/>
        </w:rPr>
      </w:pPr>
      <w:bookmarkStart w:id="17" w:name="bookmark16"/>
      <w:bookmarkEnd w:id="17"/>
      <w:r>
        <w:rPr>
          <w:rFonts w:ascii="黑体" w:hAnsi="黑体" w:eastAsia="黑体" w:cs="黑体"/>
          <w:b/>
          <w:bCs/>
          <w:spacing w:val="9"/>
          <w:sz w:val="31"/>
          <w:szCs w:val="31"/>
        </w:rPr>
        <w:t>附录一：投标人资质条件、能力和信誉</w:t>
      </w:r>
    </w:p>
    <w:p w14:paraId="1FA27CB7">
      <w:pPr>
        <w:pStyle w:val="2"/>
        <w:spacing w:line="324" w:lineRule="auto"/>
      </w:pPr>
    </w:p>
    <w:p w14:paraId="0D568DC1">
      <w:pPr>
        <w:spacing w:before="68" w:line="257" w:lineRule="auto"/>
        <w:ind w:left="24" w:firstLine="422"/>
        <w:rPr>
          <w:rFonts w:ascii="宋体" w:hAnsi="宋体" w:eastAsia="宋体" w:cs="宋体"/>
          <w:sz w:val="21"/>
          <w:szCs w:val="21"/>
        </w:rPr>
      </w:pPr>
      <w:r>
        <w:rPr>
          <w:rFonts w:hint="eastAsia" w:ascii="宋体" w:hAnsi="宋体" w:eastAsia="宋体" w:cs="宋体"/>
          <w:color w:val="0000FF"/>
          <w:spacing w:val="-2"/>
          <w:sz w:val="21"/>
          <w:szCs w:val="21"/>
          <w:lang w:eastAsia="zh-CN"/>
        </w:rPr>
        <w:t>罗田县胜利镇韩塔寺村集装袋生产项目(二期）工程</w:t>
      </w:r>
      <w:r>
        <w:rPr>
          <w:rFonts w:ascii="宋体" w:hAnsi="宋体" w:eastAsia="宋体" w:cs="宋体"/>
          <w:spacing w:val="-2"/>
          <w:sz w:val="21"/>
          <w:szCs w:val="21"/>
        </w:rPr>
        <w:t>（项目</w:t>
      </w:r>
      <w:r>
        <w:rPr>
          <w:rFonts w:ascii="宋体" w:hAnsi="宋体" w:eastAsia="宋体" w:cs="宋体"/>
          <w:spacing w:val="-3"/>
          <w:sz w:val="21"/>
          <w:szCs w:val="21"/>
        </w:rPr>
        <w:t>名称）</w:t>
      </w:r>
      <w:r>
        <w:rPr>
          <w:rFonts w:hint="eastAsia" w:ascii="宋体" w:hAnsi="宋体" w:eastAsia="宋体" w:cs="宋体"/>
          <w:color w:val="0000FF"/>
          <w:spacing w:val="-3"/>
          <w:sz w:val="21"/>
          <w:szCs w:val="21"/>
          <w:lang w:eastAsia="zh-CN"/>
        </w:rPr>
        <w:t>罗田县胜利镇韩塔寺村集装袋生产项目(二期）工程</w:t>
      </w:r>
      <w:r>
        <w:rPr>
          <w:rFonts w:ascii="宋体" w:hAnsi="宋体" w:eastAsia="宋体" w:cs="宋体"/>
          <w:spacing w:val="-1"/>
          <w:sz w:val="21"/>
          <w:szCs w:val="21"/>
        </w:rPr>
        <w:t>（标段名称）</w:t>
      </w: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6746"/>
        <w:gridCol w:w="847"/>
      </w:tblGrid>
      <w:tr w14:paraId="521E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637" w:type="dxa"/>
            <w:textDirection w:val="tbRlV"/>
            <w:vAlign w:val="top"/>
          </w:tcPr>
          <w:p w14:paraId="747B3DE3">
            <w:pPr>
              <w:pStyle w:val="6"/>
              <w:spacing w:before="217" w:line="197" w:lineRule="auto"/>
              <w:ind w:left="30"/>
              <w:rPr>
                <w:sz w:val="21"/>
                <w:szCs w:val="21"/>
              </w:rPr>
            </w:pPr>
            <w:r>
              <w:rPr>
                <w:b/>
                <w:bCs/>
                <w:spacing w:val="-2"/>
                <w:sz w:val="21"/>
                <w:szCs w:val="21"/>
              </w:rPr>
              <w:t>项</w:t>
            </w:r>
            <w:r>
              <w:rPr>
                <w:spacing w:val="-2"/>
                <w:sz w:val="21"/>
                <w:szCs w:val="21"/>
              </w:rPr>
              <w:t xml:space="preserve"> </w:t>
            </w:r>
            <w:r>
              <w:rPr>
                <w:b/>
                <w:bCs/>
                <w:spacing w:val="-2"/>
                <w:position w:val="1"/>
                <w:sz w:val="21"/>
                <w:szCs w:val="21"/>
              </w:rPr>
              <w:t>目</w:t>
            </w:r>
          </w:p>
        </w:tc>
        <w:tc>
          <w:tcPr>
            <w:tcW w:w="6746" w:type="dxa"/>
            <w:vAlign w:val="top"/>
          </w:tcPr>
          <w:p w14:paraId="5BF41122">
            <w:pPr>
              <w:pStyle w:val="6"/>
              <w:spacing w:before="194" w:line="221" w:lineRule="auto"/>
              <w:ind w:left="3156"/>
              <w:rPr>
                <w:sz w:val="21"/>
                <w:szCs w:val="21"/>
              </w:rPr>
            </w:pPr>
            <w:r>
              <w:rPr>
                <w:b/>
                <w:bCs/>
                <w:spacing w:val="1"/>
                <w:sz w:val="21"/>
                <w:szCs w:val="21"/>
              </w:rPr>
              <w:t>要求</w:t>
            </w:r>
          </w:p>
        </w:tc>
        <w:tc>
          <w:tcPr>
            <w:tcW w:w="847" w:type="dxa"/>
            <w:vAlign w:val="top"/>
          </w:tcPr>
          <w:p w14:paraId="30BCA749">
            <w:pPr>
              <w:pStyle w:val="6"/>
              <w:spacing w:before="194" w:line="221" w:lineRule="auto"/>
              <w:ind w:left="212"/>
              <w:rPr>
                <w:sz w:val="21"/>
                <w:szCs w:val="21"/>
              </w:rPr>
            </w:pPr>
            <w:r>
              <w:rPr>
                <w:b/>
                <w:bCs/>
                <w:sz w:val="21"/>
                <w:szCs w:val="21"/>
              </w:rPr>
              <w:t>备注</w:t>
            </w:r>
          </w:p>
        </w:tc>
      </w:tr>
      <w:tr w14:paraId="7992B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637" w:type="dxa"/>
            <w:textDirection w:val="tbRlV"/>
            <w:vAlign w:val="top"/>
          </w:tcPr>
          <w:p w14:paraId="7DB16A67">
            <w:pPr>
              <w:pStyle w:val="6"/>
              <w:spacing w:before="216" w:line="209" w:lineRule="auto"/>
              <w:ind w:left="37"/>
              <w:rPr>
                <w:sz w:val="21"/>
                <w:szCs w:val="21"/>
              </w:rPr>
            </w:pPr>
            <w:r>
              <w:rPr>
                <w:sz w:val="21"/>
                <w:szCs w:val="21"/>
              </w:rPr>
              <w:t>资</w:t>
            </w:r>
            <w:r>
              <w:rPr>
                <w:spacing w:val="-15"/>
                <w:sz w:val="21"/>
                <w:szCs w:val="21"/>
              </w:rPr>
              <w:t xml:space="preserve"> </w:t>
            </w:r>
            <w:r>
              <w:rPr>
                <w:sz w:val="21"/>
                <w:szCs w:val="21"/>
              </w:rPr>
              <w:t>质 条 件</w:t>
            </w:r>
          </w:p>
        </w:tc>
        <w:tc>
          <w:tcPr>
            <w:tcW w:w="6746" w:type="dxa"/>
            <w:vAlign w:val="top"/>
          </w:tcPr>
          <w:p w14:paraId="67F37742">
            <w:pPr>
              <w:pStyle w:val="6"/>
              <w:spacing w:before="189" w:line="278" w:lineRule="auto"/>
              <w:ind w:left="106" w:right="140" w:firstLine="5"/>
              <w:jc w:val="both"/>
              <w:rPr>
                <w:sz w:val="21"/>
                <w:szCs w:val="21"/>
              </w:rPr>
            </w:pPr>
            <w:r>
              <w:rPr>
                <w:spacing w:val="-1"/>
                <w:sz w:val="21"/>
                <w:szCs w:val="21"/>
              </w:rPr>
              <w:t>具备住房城乡建设主管部门颁发的有效的</w:t>
            </w:r>
            <w:r>
              <w:rPr>
                <w:color w:val="0000FF"/>
                <w:spacing w:val="-1"/>
                <w:sz w:val="21"/>
                <w:szCs w:val="21"/>
              </w:rPr>
              <w:t>建筑工程施工总承包</w:t>
            </w:r>
            <w:r>
              <w:rPr>
                <w:spacing w:val="-1"/>
                <w:sz w:val="21"/>
                <w:szCs w:val="21"/>
              </w:rPr>
              <w:t>（资</w:t>
            </w:r>
            <w:r>
              <w:rPr>
                <w:spacing w:val="-2"/>
                <w:sz w:val="21"/>
                <w:szCs w:val="21"/>
              </w:rPr>
              <w:t>质名</w:t>
            </w:r>
            <w:r>
              <w:rPr>
                <w:spacing w:val="-1"/>
                <w:sz w:val="21"/>
                <w:szCs w:val="21"/>
              </w:rPr>
              <w:t>称和类别）</w:t>
            </w:r>
            <w:r>
              <w:rPr>
                <w:color w:val="0000FF"/>
                <w:spacing w:val="-1"/>
                <w:sz w:val="21"/>
                <w:szCs w:val="21"/>
              </w:rPr>
              <w:t>叁级及以上资质</w:t>
            </w:r>
            <w:r>
              <w:rPr>
                <w:spacing w:val="-1"/>
                <w:sz w:val="21"/>
                <w:szCs w:val="21"/>
              </w:rPr>
              <w:t>级资质证书，具备有效的安全生产许可证，具备市场监督管理部门核发的有效企业法人</w:t>
            </w:r>
            <w:r>
              <w:rPr>
                <w:spacing w:val="-2"/>
                <w:sz w:val="21"/>
                <w:szCs w:val="21"/>
              </w:rPr>
              <w:t>营业执照。</w:t>
            </w:r>
          </w:p>
        </w:tc>
        <w:tc>
          <w:tcPr>
            <w:tcW w:w="847" w:type="dxa"/>
            <w:vAlign w:val="top"/>
          </w:tcPr>
          <w:p w14:paraId="75CC5A94">
            <w:pPr>
              <w:rPr>
                <w:rFonts w:ascii="Arial"/>
                <w:sz w:val="21"/>
              </w:rPr>
            </w:pPr>
          </w:p>
        </w:tc>
      </w:tr>
      <w:tr w14:paraId="3DDA2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637" w:type="dxa"/>
            <w:textDirection w:val="tbRlV"/>
            <w:vAlign w:val="top"/>
          </w:tcPr>
          <w:p w14:paraId="5365173A">
            <w:pPr>
              <w:pStyle w:val="6"/>
              <w:spacing w:before="217" w:line="207" w:lineRule="auto"/>
              <w:ind w:left="24"/>
              <w:rPr>
                <w:sz w:val="21"/>
                <w:szCs w:val="21"/>
              </w:rPr>
            </w:pPr>
            <w:r>
              <w:rPr>
                <w:sz w:val="21"/>
                <w:szCs w:val="21"/>
              </w:rPr>
              <w:t>财 务 要 求</w:t>
            </w:r>
          </w:p>
        </w:tc>
        <w:tc>
          <w:tcPr>
            <w:tcW w:w="6746" w:type="dxa"/>
            <w:vAlign w:val="top"/>
          </w:tcPr>
          <w:p w14:paraId="69D0F97D">
            <w:pPr>
              <w:spacing w:line="269" w:lineRule="auto"/>
              <w:rPr>
                <w:rFonts w:ascii="Arial"/>
                <w:sz w:val="21"/>
              </w:rPr>
            </w:pPr>
          </w:p>
          <w:p w14:paraId="1CFB37BF">
            <w:pPr>
              <w:pStyle w:val="6"/>
              <w:spacing w:before="69"/>
              <w:ind w:left="116"/>
              <w:rPr>
                <w:sz w:val="21"/>
                <w:szCs w:val="21"/>
              </w:rPr>
            </w:pPr>
            <w:r>
              <w:rPr>
                <w:rFonts w:ascii="Calibri" w:hAnsi="Calibri" w:eastAsia="Calibri" w:cs="Calibri"/>
                <w:spacing w:val="-4"/>
                <w:sz w:val="21"/>
                <w:szCs w:val="21"/>
              </w:rPr>
              <w:t>1.</w:t>
            </w:r>
            <w:r>
              <w:rPr>
                <w:spacing w:val="-4"/>
                <w:sz w:val="21"/>
                <w:szCs w:val="21"/>
              </w:rPr>
              <w:t>投标人近</w:t>
            </w:r>
            <w:r>
              <w:rPr>
                <w:spacing w:val="-24"/>
                <w:sz w:val="21"/>
                <w:szCs w:val="21"/>
              </w:rPr>
              <w:t xml:space="preserve"> </w:t>
            </w:r>
            <w:r>
              <w:rPr>
                <w:rFonts w:ascii="Calibri" w:hAnsi="Calibri" w:eastAsia="Calibri" w:cs="Calibri"/>
                <w:spacing w:val="-4"/>
                <w:sz w:val="21"/>
                <w:szCs w:val="21"/>
              </w:rPr>
              <w:t>3</w:t>
            </w:r>
            <w:r>
              <w:rPr>
                <w:rFonts w:ascii="Calibri" w:hAnsi="Calibri" w:eastAsia="Calibri" w:cs="Calibri"/>
                <w:spacing w:val="21"/>
                <w:sz w:val="21"/>
                <w:szCs w:val="21"/>
              </w:rPr>
              <w:t xml:space="preserve"> </w:t>
            </w:r>
            <w:r>
              <w:rPr>
                <w:spacing w:val="-4"/>
                <w:sz w:val="21"/>
                <w:szCs w:val="21"/>
              </w:rPr>
              <w:t>年平均利润大于</w:t>
            </w:r>
            <w:r>
              <w:rPr>
                <w:spacing w:val="-38"/>
                <w:sz w:val="21"/>
                <w:szCs w:val="21"/>
              </w:rPr>
              <w:t xml:space="preserve"> </w:t>
            </w:r>
            <w:r>
              <w:rPr>
                <w:rFonts w:ascii="Calibri" w:hAnsi="Calibri" w:eastAsia="Calibri" w:cs="Calibri"/>
                <w:spacing w:val="-4"/>
                <w:sz w:val="21"/>
                <w:szCs w:val="21"/>
              </w:rPr>
              <w:t>0</w:t>
            </w:r>
            <w:r>
              <w:rPr>
                <w:rFonts w:ascii="Calibri" w:hAnsi="Calibri" w:eastAsia="Calibri" w:cs="Calibri"/>
                <w:spacing w:val="21"/>
                <w:sz w:val="21"/>
                <w:szCs w:val="21"/>
              </w:rPr>
              <w:t xml:space="preserve"> </w:t>
            </w:r>
            <w:r>
              <w:rPr>
                <w:spacing w:val="-4"/>
                <w:sz w:val="21"/>
                <w:szCs w:val="21"/>
              </w:rPr>
              <w:t>元。</w:t>
            </w:r>
          </w:p>
          <w:p w14:paraId="66903682">
            <w:pPr>
              <w:pStyle w:val="6"/>
              <w:spacing w:before="42"/>
              <w:ind w:left="110"/>
              <w:rPr>
                <w:sz w:val="21"/>
                <w:szCs w:val="21"/>
              </w:rPr>
            </w:pPr>
            <w:r>
              <w:rPr>
                <w:rFonts w:ascii="Calibri" w:hAnsi="Calibri" w:eastAsia="Calibri" w:cs="Calibri"/>
                <w:spacing w:val="1"/>
                <w:sz w:val="21"/>
                <w:szCs w:val="21"/>
              </w:rPr>
              <w:t>2.</w:t>
            </w:r>
            <w:r>
              <w:rPr>
                <w:spacing w:val="1"/>
                <w:sz w:val="21"/>
                <w:szCs w:val="21"/>
              </w:rPr>
              <w:t>投标人用于投标项目（标段）的流动资金不应少于</w:t>
            </w:r>
            <w:r>
              <w:rPr>
                <w:rFonts w:ascii="Calibri" w:hAnsi="Calibri" w:eastAsia="Calibri" w:cs="Calibri"/>
                <w:color w:val="0000FF"/>
                <w:spacing w:val="1"/>
                <w:sz w:val="21"/>
                <w:szCs w:val="21"/>
              </w:rPr>
              <w:t>0</w:t>
            </w:r>
            <w:r>
              <w:rPr>
                <w:rFonts w:ascii="Calibri" w:hAnsi="Calibri" w:eastAsia="Calibri" w:cs="Calibri"/>
                <w:color w:val="0000FF"/>
                <w:spacing w:val="27"/>
                <w:sz w:val="21"/>
                <w:szCs w:val="21"/>
              </w:rPr>
              <w:t xml:space="preserve"> </w:t>
            </w:r>
            <w:r>
              <w:rPr>
                <w:spacing w:val="1"/>
                <w:sz w:val="21"/>
                <w:szCs w:val="21"/>
              </w:rPr>
              <w:t>万元。</w:t>
            </w:r>
          </w:p>
        </w:tc>
        <w:tc>
          <w:tcPr>
            <w:tcW w:w="847" w:type="dxa"/>
            <w:vAlign w:val="top"/>
          </w:tcPr>
          <w:p w14:paraId="6C061C14">
            <w:pPr>
              <w:rPr>
                <w:rFonts w:ascii="Arial"/>
                <w:sz w:val="21"/>
              </w:rPr>
            </w:pPr>
          </w:p>
        </w:tc>
      </w:tr>
      <w:tr w14:paraId="6C8BC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637" w:type="dxa"/>
            <w:textDirection w:val="tbRlV"/>
            <w:vAlign w:val="top"/>
          </w:tcPr>
          <w:p w14:paraId="6D6B5FE3">
            <w:pPr>
              <w:pStyle w:val="6"/>
              <w:spacing w:before="217" w:line="209" w:lineRule="auto"/>
              <w:ind w:left="26"/>
              <w:rPr>
                <w:sz w:val="21"/>
                <w:szCs w:val="21"/>
              </w:rPr>
            </w:pPr>
            <w:r>
              <w:rPr>
                <w:sz w:val="21"/>
                <w:szCs w:val="21"/>
              </w:rPr>
              <w:t>业 绩 要 求</w:t>
            </w:r>
          </w:p>
        </w:tc>
        <w:tc>
          <w:tcPr>
            <w:tcW w:w="6746" w:type="dxa"/>
            <w:vAlign w:val="top"/>
          </w:tcPr>
          <w:p w14:paraId="518AD71B">
            <w:pPr>
              <w:spacing w:line="435" w:lineRule="auto"/>
              <w:rPr>
                <w:rFonts w:ascii="Arial"/>
                <w:sz w:val="21"/>
              </w:rPr>
            </w:pPr>
          </w:p>
          <w:p w14:paraId="31A9FCDA">
            <w:pPr>
              <w:pStyle w:val="6"/>
              <w:spacing w:before="68"/>
              <w:ind w:left="109"/>
              <w:rPr>
                <w:sz w:val="21"/>
                <w:szCs w:val="21"/>
              </w:rPr>
            </w:pPr>
            <w:r>
              <w:rPr>
                <w:spacing w:val="-2"/>
                <w:sz w:val="21"/>
                <w:szCs w:val="21"/>
              </w:rPr>
              <w:t>投标人近</w:t>
            </w:r>
            <w:r>
              <w:rPr>
                <w:spacing w:val="-25"/>
                <w:sz w:val="21"/>
                <w:szCs w:val="21"/>
              </w:rPr>
              <w:t xml:space="preserve"> </w:t>
            </w:r>
            <w:r>
              <w:rPr>
                <w:rFonts w:ascii="Calibri" w:hAnsi="Calibri" w:eastAsia="Calibri" w:cs="Calibri"/>
                <w:color w:val="0000FF"/>
                <w:spacing w:val="-2"/>
                <w:sz w:val="21"/>
                <w:szCs w:val="21"/>
              </w:rPr>
              <w:t>5</w:t>
            </w:r>
            <w:r>
              <w:rPr>
                <w:rFonts w:ascii="Calibri" w:hAnsi="Calibri" w:eastAsia="Calibri" w:cs="Calibri"/>
                <w:color w:val="0000FF"/>
                <w:spacing w:val="19"/>
                <w:w w:val="101"/>
                <w:sz w:val="21"/>
                <w:szCs w:val="21"/>
              </w:rPr>
              <w:t xml:space="preserve"> </w:t>
            </w:r>
            <w:r>
              <w:rPr>
                <w:spacing w:val="-2"/>
                <w:sz w:val="21"/>
                <w:szCs w:val="21"/>
              </w:rPr>
              <w:t>年完成过</w:t>
            </w:r>
            <w:r>
              <w:rPr>
                <w:spacing w:val="-27"/>
                <w:sz w:val="21"/>
                <w:szCs w:val="21"/>
              </w:rPr>
              <w:t xml:space="preserve"> </w:t>
            </w:r>
            <w:r>
              <w:rPr>
                <w:rFonts w:ascii="Calibri" w:hAnsi="Calibri" w:eastAsia="Calibri" w:cs="Calibri"/>
                <w:spacing w:val="-2"/>
                <w:sz w:val="21"/>
                <w:szCs w:val="21"/>
              </w:rPr>
              <w:t xml:space="preserve">1  </w:t>
            </w:r>
            <w:r>
              <w:rPr>
                <w:spacing w:val="-2"/>
                <w:sz w:val="21"/>
                <w:szCs w:val="21"/>
              </w:rPr>
              <w:t>项</w:t>
            </w:r>
            <w:r>
              <w:rPr>
                <w:color w:val="0000FF"/>
                <w:spacing w:val="-2"/>
                <w:sz w:val="21"/>
                <w:szCs w:val="21"/>
              </w:rPr>
              <w:t>房建工程</w:t>
            </w:r>
            <w:r>
              <w:rPr>
                <w:spacing w:val="-2"/>
                <w:sz w:val="21"/>
                <w:szCs w:val="21"/>
              </w:rPr>
              <w:t>（类似项目描述）的业绩。</w:t>
            </w:r>
          </w:p>
        </w:tc>
        <w:tc>
          <w:tcPr>
            <w:tcW w:w="847" w:type="dxa"/>
            <w:vAlign w:val="top"/>
          </w:tcPr>
          <w:p w14:paraId="096C101D">
            <w:pPr>
              <w:rPr>
                <w:rFonts w:ascii="Arial"/>
                <w:sz w:val="21"/>
              </w:rPr>
            </w:pPr>
          </w:p>
        </w:tc>
      </w:tr>
      <w:tr w14:paraId="4B130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4" w:hRule="atLeast"/>
        </w:trPr>
        <w:tc>
          <w:tcPr>
            <w:tcW w:w="637" w:type="dxa"/>
            <w:textDirection w:val="tbRlV"/>
            <w:vAlign w:val="top"/>
          </w:tcPr>
          <w:p w14:paraId="65BD6259">
            <w:pPr>
              <w:pStyle w:val="6"/>
              <w:spacing w:before="216" w:line="208" w:lineRule="auto"/>
              <w:ind w:left="1275"/>
              <w:rPr>
                <w:sz w:val="21"/>
                <w:szCs w:val="21"/>
              </w:rPr>
            </w:pPr>
            <w:r>
              <w:rPr>
                <w:sz w:val="21"/>
                <w:szCs w:val="21"/>
              </w:rPr>
              <w:t>信 誉 要 求</w:t>
            </w:r>
          </w:p>
        </w:tc>
        <w:tc>
          <w:tcPr>
            <w:tcW w:w="6746" w:type="dxa"/>
            <w:vAlign w:val="top"/>
          </w:tcPr>
          <w:p w14:paraId="3F6A11D1">
            <w:pPr>
              <w:pStyle w:val="6"/>
              <w:spacing w:before="28" w:line="239" w:lineRule="auto"/>
              <w:ind w:left="116"/>
              <w:rPr>
                <w:sz w:val="21"/>
                <w:szCs w:val="21"/>
              </w:rPr>
            </w:pPr>
            <w:r>
              <w:rPr>
                <w:rFonts w:ascii="Calibri" w:hAnsi="Calibri" w:eastAsia="Calibri" w:cs="Calibri"/>
                <w:spacing w:val="-4"/>
                <w:sz w:val="21"/>
                <w:szCs w:val="21"/>
              </w:rPr>
              <w:t>1.</w:t>
            </w:r>
            <w:r>
              <w:rPr>
                <w:spacing w:val="-4"/>
                <w:sz w:val="21"/>
                <w:szCs w:val="21"/>
              </w:rPr>
              <w:t>没有被依法暂停或取消投标资格；</w:t>
            </w:r>
          </w:p>
          <w:p w14:paraId="7E1531CE">
            <w:pPr>
              <w:pStyle w:val="6"/>
              <w:spacing w:before="43" w:line="239" w:lineRule="auto"/>
              <w:ind w:left="110"/>
              <w:rPr>
                <w:sz w:val="21"/>
                <w:szCs w:val="21"/>
              </w:rPr>
            </w:pPr>
            <w:r>
              <w:rPr>
                <w:rFonts w:ascii="Calibri" w:hAnsi="Calibri" w:eastAsia="Calibri" w:cs="Calibri"/>
                <w:spacing w:val="-1"/>
                <w:sz w:val="21"/>
                <w:szCs w:val="21"/>
              </w:rPr>
              <w:t>2.</w:t>
            </w:r>
            <w:r>
              <w:rPr>
                <w:spacing w:val="-1"/>
                <w:sz w:val="21"/>
                <w:szCs w:val="21"/>
              </w:rPr>
              <w:t>没有被责令停产停业、暂扣或者吊销许</w:t>
            </w:r>
            <w:r>
              <w:rPr>
                <w:spacing w:val="-2"/>
                <w:sz w:val="21"/>
                <w:szCs w:val="21"/>
              </w:rPr>
              <w:t>可证、暂扣或者吊销执照；</w:t>
            </w:r>
          </w:p>
          <w:p w14:paraId="7D3E5045">
            <w:pPr>
              <w:pStyle w:val="6"/>
              <w:spacing w:before="44" w:line="238" w:lineRule="auto"/>
              <w:ind w:left="109"/>
              <w:rPr>
                <w:sz w:val="21"/>
                <w:szCs w:val="21"/>
              </w:rPr>
            </w:pPr>
            <w:r>
              <w:rPr>
                <w:rFonts w:ascii="Calibri" w:hAnsi="Calibri" w:eastAsia="Calibri" w:cs="Calibri"/>
                <w:spacing w:val="-1"/>
                <w:sz w:val="21"/>
                <w:szCs w:val="21"/>
              </w:rPr>
              <w:t>3.</w:t>
            </w:r>
            <w:r>
              <w:rPr>
                <w:spacing w:val="-1"/>
                <w:sz w:val="21"/>
                <w:szCs w:val="21"/>
              </w:rPr>
              <w:t>没有进入清算程序，或被宣告破产，或其他</w:t>
            </w:r>
            <w:r>
              <w:rPr>
                <w:spacing w:val="-2"/>
                <w:sz w:val="21"/>
                <w:szCs w:val="21"/>
              </w:rPr>
              <w:t>丧失履约能力的情形；</w:t>
            </w:r>
          </w:p>
          <w:p w14:paraId="08824152">
            <w:pPr>
              <w:pStyle w:val="6"/>
              <w:spacing w:before="43"/>
              <w:ind w:left="103"/>
              <w:rPr>
                <w:sz w:val="21"/>
                <w:szCs w:val="21"/>
              </w:rPr>
            </w:pPr>
            <w:r>
              <w:rPr>
                <w:rFonts w:ascii="Calibri" w:hAnsi="Calibri" w:eastAsia="Calibri" w:cs="Calibri"/>
                <w:spacing w:val="-2"/>
                <w:sz w:val="21"/>
                <w:szCs w:val="21"/>
              </w:rPr>
              <w:t>4.</w:t>
            </w:r>
            <w:r>
              <w:rPr>
                <w:spacing w:val="-2"/>
                <w:sz w:val="21"/>
                <w:szCs w:val="21"/>
              </w:rPr>
              <w:t>在最近三年内没有发生重大工程质量问题；</w:t>
            </w:r>
          </w:p>
          <w:p w14:paraId="6C68F18D">
            <w:pPr>
              <w:pStyle w:val="6"/>
              <w:spacing w:before="27" w:line="269" w:lineRule="auto"/>
              <w:ind w:left="107" w:right="78" w:firstLine="2"/>
              <w:rPr>
                <w:sz w:val="21"/>
                <w:szCs w:val="21"/>
              </w:rPr>
            </w:pPr>
            <w:r>
              <w:rPr>
                <w:rFonts w:ascii="Calibri" w:hAnsi="Calibri" w:eastAsia="Calibri" w:cs="Calibri"/>
                <w:spacing w:val="-5"/>
                <w:sz w:val="21"/>
                <w:szCs w:val="21"/>
              </w:rPr>
              <w:t>5.</w:t>
            </w:r>
            <w:r>
              <w:rPr>
                <w:spacing w:val="-5"/>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5"/>
                <w:sz w:val="21"/>
                <w:szCs w:val="21"/>
              </w:rPr>
              <w:t>www.gsxt.gov.cn</w:t>
            </w:r>
            <w:r>
              <w:rPr>
                <w:rFonts w:ascii="Calibri" w:hAnsi="Calibri" w:eastAsia="Calibri" w:cs="Calibri"/>
                <w:spacing w:val="-5"/>
                <w:sz w:val="21"/>
                <w:szCs w:val="21"/>
              </w:rPr>
              <w:fldChar w:fldCharType="end"/>
            </w:r>
            <w:r>
              <w:rPr>
                <w:spacing w:val="-6"/>
                <w:sz w:val="21"/>
                <w:szCs w:val="21"/>
              </w:rPr>
              <w:t>）没有被列入严重违法失信企业名单；</w:t>
            </w:r>
          </w:p>
          <w:p w14:paraId="21682902">
            <w:pPr>
              <w:pStyle w:val="6"/>
              <w:spacing w:before="18" w:line="271" w:lineRule="auto"/>
              <w:ind w:left="112" w:hanging="2"/>
              <w:rPr>
                <w:sz w:val="21"/>
                <w:szCs w:val="21"/>
              </w:rPr>
            </w:pPr>
            <w:r>
              <w:rPr>
                <w:rFonts w:ascii="Calibri" w:hAnsi="Calibri" w:eastAsia="Calibri" w:cs="Calibri"/>
                <w:spacing w:val="-4"/>
                <w:sz w:val="21"/>
                <w:szCs w:val="21"/>
              </w:rPr>
              <w:t>6.</w:t>
            </w:r>
            <w:r>
              <w:rPr>
                <w:spacing w:val="-4"/>
                <w:sz w:val="21"/>
                <w:szCs w:val="21"/>
              </w:rPr>
              <w:t>在</w:t>
            </w:r>
            <w:r>
              <w:rPr>
                <w:rFonts w:ascii="Calibri" w:hAnsi="Calibri" w:eastAsia="Calibri" w:cs="Calibri"/>
                <w:spacing w:val="-4"/>
                <w:sz w:val="21"/>
                <w:szCs w:val="21"/>
              </w:rPr>
              <w:t>“</w:t>
            </w:r>
            <w:r>
              <w:rPr>
                <w:spacing w:val="-4"/>
                <w:sz w:val="21"/>
                <w:szCs w:val="21"/>
              </w:rPr>
              <w:t>信用中国</w:t>
            </w:r>
            <w:r>
              <w:rPr>
                <w:rFonts w:ascii="Calibri" w:hAnsi="Calibri" w:eastAsia="Calibri" w:cs="Calibri"/>
                <w:spacing w:val="-4"/>
                <w:sz w:val="21"/>
                <w:szCs w:val="21"/>
              </w:rPr>
              <w:t>”</w:t>
            </w:r>
            <w:r>
              <w:rPr>
                <w:rFonts w:ascii="Calibri" w:hAnsi="Calibri" w:eastAsia="Calibri" w:cs="Calibri"/>
                <w:spacing w:val="-24"/>
                <w:sz w:val="21"/>
                <w:szCs w:val="21"/>
              </w:rPr>
              <w:t xml:space="preserve"> </w:t>
            </w:r>
            <w:r>
              <w:rPr>
                <w:spacing w:val="-4"/>
                <w:sz w:val="21"/>
                <w:szCs w:val="21"/>
              </w:rPr>
              <w:t>网站（</w:t>
            </w:r>
            <w:r>
              <w:fldChar w:fldCharType="begin"/>
            </w:r>
            <w:r>
              <w:instrText xml:space="preserve"> HYPERLINK "http://www.creditchina.gov.cn/" </w:instrText>
            </w:r>
            <w:r>
              <w:fldChar w:fldCharType="separate"/>
            </w:r>
            <w:r>
              <w:rPr>
                <w:rFonts w:ascii="Calibri" w:hAnsi="Calibri" w:eastAsia="Calibri" w:cs="Calibri"/>
                <w:spacing w:val="-4"/>
                <w:sz w:val="21"/>
                <w:szCs w:val="21"/>
                <w:u w:val="single" w:color="auto"/>
              </w:rPr>
              <w:t>www.cre</w:t>
            </w:r>
            <w:r>
              <w:rPr>
                <w:rFonts w:ascii="Calibri" w:hAnsi="Calibri" w:eastAsia="Calibri" w:cs="Calibri"/>
                <w:spacing w:val="-5"/>
                <w:sz w:val="21"/>
                <w:szCs w:val="21"/>
                <w:u w:val="single" w:color="auto"/>
              </w:rPr>
              <w:t>ditchina.gov.cn</w:t>
            </w:r>
            <w:r>
              <w:rPr>
                <w:rFonts w:ascii="Calibri" w:hAnsi="Calibri" w:eastAsia="Calibri" w:cs="Calibri"/>
                <w:spacing w:val="-5"/>
                <w:sz w:val="21"/>
                <w:szCs w:val="21"/>
                <w:u w:val="single" w:color="auto"/>
              </w:rPr>
              <w:fldChar w:fldCharType="end"/>
            </w:r>
            <w:r>
              <w:rPr>
                <w:spacing w:val="-5"/>
                <w:sz w:val="21"/>
                <w:szCs w:val="21"/>
              </w:rPr>
              <w:t>）或“中国执行信息公开网”</w:t>
            </w:r>
            <w:r>
              <w:rPr>
                <w:sz w:val="21"/>
                <w:szCs w:val="21"/>
              </w:rPr>
              <w:t xml:space="preserve"> </w:t>
            </w:r>
            <w:r>
              <w:rPr>
                <w:spacing w:val="-4"/>
                <w:sz w:val="21"/>
                <w:szCs w:val="21"/>
              </w:rPr>
              <w:t>（</w:t>
            </w:r>
            <w:r>
              <w:fldChar w:fldCharType="begin"/>
            </w:r>
            <w:r>
              <w:instrText xml:space="preserve"> HYPERLINK "http://zxgk.court.gov.cn/shixin/" </w:instrText>
            </w:r>
            <w:r>
              <w:fldChar w:fldCharType="separate"/>
            </w:r>
            <w:r>
              <w:rPr>
                <w:rFonts w:ascii="Calibri" w:hAnsi="Calibri" w:eastAsia="Calibri" w:cs="Calibri"/>
                <w:spacing w:val="-4"/>
                <w:sz w:val="21"/>
                <w:szCs w:val="21"/>
              </w:rPr>
              <w:t>http://zxgk.court.gov.cn/shixin/</w:t>
            </w:r>
            <w:r>
              <w:rPr>
                <w:rFonts w:ascii="Calibri" w:hAnsi="Calibri" w:eastAsia="Calibri" w:cs="Calibri"/>
                <w:spacing w:val="-4"/>
                <w:sz w:val="21"/>
                <w:szCs w:val="21"/>
              </w:rPr>
              <w:fldChar w:fldCharType="end"/>
            </w:r>
            <w:r>
              <w:rPr>
                <w:spacing w:val="-4"/>
                <w:sz w:val="21"/>
                <w:szCs w:val="21"/>
              </w:rPr>
              <w:t>）没</w:t>
            </w:r>
            <w:r>
              <w:rPr>
                <w:spacing w:val="-5"/>
                <w:sz w:val="21"/>
                <w:szCs w:val="21"/>
              </w:rPr>
              <w:t>有被列入失信被执行人名单；</w:t>
            </w:r>
          </w:p>
          <w:p w14:paraId="6402AEAB">
            <w:pPr>
              <w:pStyle w:val="6"/>
              <w:spacing w:before="14" w:line="257" w:lineRule="auto"/>
              <w:ind w:left="110" w:right="152" w:hanging="1"/>
              <w:rPr>
                <w:sz w:val="21"/>
                <w:szCs w:val="21"/>
              </w:rPr>
            </w:pPr>
            <w:r>
              <w:rPr>
                <w:rFonts w:ascii="Calibri" w:hAnsi="Calibri" w:eastAsia="Calibri" w:cs="Calibri"/>
                <w:sz w:val="21"/>
                <w:szCs w:val="21"/>
              </w:rPr>
              <w:t>7.</w:t>
            </w:r>
            <w:r>
              <w:rPr>
                <w:sz w:val="21"/>
                <w:szCs w:val="21"/>
              </w:rPr>
              <w:t>在近三年内投标人或其法定代表人、拟委任的项目经理没有行贿犯罪</w:t>
            </w:r>
            <w:r>
              <w:rPr>
                <w:spacing w:val="-14"/>
                <w:sz w:val="21"/>
                <w:szCs w:val="21"/>
              </w:rPr>
              <w:t>行为；</w:t>
            </w:r>
          </w:p>
          <w:p w14:paraId="17EE8E2A">
            <w:pPr>
              <w:pStyle w:val="6"/>
              <w:spacing w:before="31" w:line="252" w:lineRule="auto"/>
              <w:ind w:left="124" w:right="93" w:hanging="17"/>
              <w:rPr>
                <w:sz w:val="21"/>
                <w:szCs w:val="21"/>
              </w:rPr>
            </w:pPr>
            <w:r>
              <w:rPr>
                <w:rFonts w:ascii="Calibri" w:hAnsi="Calibri" w:eastAsia="Calibri" w:cs="Calibri"/>
                <w:sz w:val="21"/>
                <w:szCs w:val="21"/>
              </w:rPr>
              <w:t>8.</w:t>
            </w:r>
            <w:r>
              <w:rPr>
                <w:sz w:val="21"/>
                <w:szCs w:val="21"/>
              </w:rPr>
              <w:t>不存在法律法规或投标人须知前附表第</w:t>
            </w:r>
            <w:r>
              <w:rPr>
                <w:spacing w:val="-31"/>
                <w:sz w:val="21"/>
                <w:szCs w:val="21"/>
              </w:rPr>
              <w:t xml:space="preserve"> </w:t>
            </w:r>
            <w:r>
              <w:rPr>
                <w:rFonts w:ascii="Calibri" w:hAnsi="Calibri" w:eastAsia="Calibri" w:cs="Calibri"/>
                <w:sz w:val="21"/>
                <w:szCs w:val="21"/>
              </w:rPr>
              <w:t>1.4.</w:t>
            </w:r>
            <w:r>
              <w:rPr>
                <w:rFonts w:ascii="Calibri" w:hAnsi="Calibri" w:eastAsia="Calibri" w:cs="Calibri"/>
                <w:spacing w:val="-1"/>
                <w:sz w:val="21"/>
                <w:szCs w:val="21"/>
              </w:rPr>
              <w:t>3</w:t>
            </w:r>
            <w:r>
              <w:rPr>
                <w:spacing w:val="-1"/>
                <w:sz w:val="21"/>
                <w:szCs w:val="21"/>
              </w:rPr>
              <w:t>（</w:t>
            </w:r>
            <w:r>
              <w:rPr>
                <w:rFonts w:ascii="Calibri" w:hAnsi="Calibri" w:eastAsia="Calibri" w:cs="Calibri"/>
                <w:spacing w:val="-1"/>
                <w:sz w:val="21"/>
                <w:szCs w:val="21"/>
              </w:rPr>
              <w:t>19</w:t>
            </w:r>
            <w:r>
              <w:rPr>
                <w:spacing w:val="-1"/>
                <w:sz w:val="21"/>
                <w:szCs w:val="21"/>
              </w:rPr>
              <w:t>）目规定的不得存在</w:t>
            </w:r>
            <w:r>
              <w:rPr>
                <w:spacing w:val="-8"/>
                <w:sz w:val="21"/>
                <w:szCs w:val="21"/>
              </w:rPr>
              <w:t>的其他情形。</w:t>
            </w:r>
          </w:p>
        </w:tc>
        <w:tc>
          <w:tcPr>
            <w:tcW w:w="847" w:type="dxa"/>
            <w:vAlign w:val="top"/>
          </w:tcPr>
          <w:p w14:paraId="1208C17D">
            <w:pPr>
              <w:rPr>
                <w:rFonts w:ascii="Arial"/>
                <w:sz w:val="21"/>
              </w:rPr>
            </w:pPr>
          </w:p>
        </w:tc>
      </w:tr>
      <w:tr w14:paraId="0BBAC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59" w:hRule="atLeast"/>
        </w:trPr>
        <w:tc>
          <w:tcPr>
            <w:tcW w:w="637" w:type="dxa"/>
            <w:textDirection w:val="tbRlV"/>
            <w:vAlign w:val="top"/>
          </w:tcPr>
          <w:p w14:paraId="5E2A2B86">
            <w:pPr>
              <w:pStyle w:val="6"/>
              <w:spacing w:before="217" w:line="199" w:lineRule="auto"/>
              <w:ind w:left="33"/>
              <w:rPr>
                <w:sz w:val="21"/>
                <w:szCs w:val="21"/>
              </w:rPr>
            </w:pPr>
            <w:r>
              <w:rPr>
                <w:spacing w:val="-2"/>
                <w:sz w:val="21"/>
                <w:szCs w:val="21"/>
              </w:rPr>
              <w:t xml:space="preserve">项 </w:t>
            </w:r>
            <w:r>
              <w:rPr>
                <w:spacing w:val="-2"/>
                <w:position w:val="1"/>
                <w:sz w:val="21"/>
                <w:szCs w:val="21"/>
              </w:rPr>
              <w:t xml:space="preserve">目 </w:t>
            </w:r>
            <w:r>
              <w:rPr>
                <w:spacing w:val="-2"/>
                <w:sz w:val="21"/>
                <w:szCs w:val="21"/>
              </w:rPr>
              <w:t>经 理 资 格</w:t>
            </w:r>
          </w:p>
        </w:tc>
        <w:tc>
          <w:tcPr>
            <w:tcW w:w="6746" w:type="dxa"/>
            <w:vAlign w:val="top"/>
          </w:tcPr>
          <w:p w14:paraId="03AC4E48">
            <w:pPr>
              <w:spacing w:line="295" w:lineRule="auto"/>
              <w:rPr>
                <w:rFonts w:ascii="Arial"/>
                <w:sz w:val="21"/>
              </w:rPr>
            </w:pPr>
          </w:p>
          <w:p w14:paraId="7A0D12CC">
            <w:pPr>
              <w:spacing w:line="296" w:lineRule="auto"/>
              <w:rPr>
                <w:rFonts w:ascii="Arial"/>
                <w:sz w:val="21"/>
              </w:rPr>
            </w:pPr>
          </w:p>
          <w:p w14:paraId="5C8942C1">
            <w:pPr>
              <w:pStyle w:val="6"/>
              <w:spacing w:before="68" w:line="279" w:lineRule="auto"/>
              <w:ind w:left="108" w:right="109" w:firstLine="3"/>
              <w:rPr>
                <w:sz w:val="21"/>
                <w:szCs w:val="21"/>
              </w:rPr>
            </w:pPr>
            <w:r>
              <w:rPr>
                <w:sz w:val="21"/>
                <w:szCs w:val="21"/>
              </w:rPr>
              <w:t>具备</w:t>
            </w:r>
            <w:r>
              <w:rPr>
                <w:color w:val="0000FF"/>
                <w:sz w:val="21"/>
                <w:szCs w:val="21"/>
              </w:rPr>
              <w:t>建筑</w:t>
            </w:r>
            <w:r>
              <w:rPr>
                <w:sz w:val="21"/>
                <w:szCs w:val="21"/>
              </w:rPr>
              <w:t>专业</w:t>
            </w:r>
            <w:r>
              <w:rPr>
                <w:color w:val="0000FF"/>
                <w:sz w:val="21"/>
                <w:szCs w:val="21"/>
              </w:rPr>
              <w:t>一级或二级</w:t>
            </w:r>
            <w:r>
              <w:rPr>
                <w:sz w:val="21"/>
                <w:szCs w:val="21"/>
              </w:rPr>
              <w:t>级注册建造师执业资格和有效的安全生产考核</w:t>
            </w:r>
            <w:r>
              <w:rPr>
                <w:spacing w:val="-2"/>
                <w:sz w:val="21"/>
                <w:szCs w:val="21"/>
              </w:rPr>
              <w:t>合格证书（</w:t>
            </w:r>
            <w:r>
              <w:rPr>
                <w:rFonts w:ascii="Calibri" w:hAnsi="Calibri" w:eastAsia="Calibri" w:cs="Calibri"/>
                <w:spacing w:val="-2"/>
                <w:sz w:val="21"/>
                <w:szCs w:val="21"/>
              </w:rPr>
              <w:t>B</w:t>
            </w:r>
            <w:r>
              <w:rPr>
                <w:rFonts w:ascii="Calibri" w:hAnsi="Calibri" w:eastAsia="Calibri" w:cs="Calibri"/>
                <w:spacing w:val="28"/>
                <w:w w:val="101"/>
                <w:sz w:val="21"/>
                <w:szCs w:val="21"/>
              </w:rPr>
              <w:t xml:space="preserve"> </w:t>
            </w:r>
            <w:r>
              <w:rPr>
                <w:spacing w:val="-2"/>
                <w:sz w:val="21"/>
                <w:szCs w:val="21"/>
              </w:rPr>
              <w:t>证</w:t>
            </w:r>
            <w:r>
              <w:rPr>
                <w:spacing w:val="-31"/>
                <w:sz w:val="21"/>
                <w:szCs w:val="21"/>
              </w:rPr>
              <w:t>），</w:t>
            </w:r>
            <w:r>
              <w:rPr>
                <w:spacing w:val="-2"/>
                <w:sz w:val="21"/>
                <w:szCs w:val="21"/>
              </w:rPr>
              <w:t>且未担任其他在施建设工程项目的项目经理。</w:t>
            </w:r>
          </w:p>
        </w:tc>
        <w:tc>
          <w:tcPr>
            <w:tcW w:w="847" w:type="dxa"/>
            <w:vAlign w:val="top"/>
          </w:tcPr>
          <w:p w14:paraId="2F59B331">
            <w:pPr>
              <w:rPr>
                <w:rFonts w:ascii="Arial"/>
                <w:sz w:val="21"/>
              </w:rPr>
            </w:pPr>
          </w:p>
        </w:tc>
      </w:tr>
      <w:tr w14:paraId="4A3EC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67" w:hRule="atLeast"/>
        </w:trPr>
        <w:tc>
          <w:tcPr>
            <w:tcW w:w="637" w:type="dxa"/>
            <w:textDirection w:val="tbRlV"/>
            <w:vAlign w:val="top"/>
          </w:tcPr>
          <w:p w14:paraId="6F7DB516">
            <w:pPr>
              <w:pStyle w:val="6"/>
              <w:spacing w:before="216" w:line="209" w:lineRule="auto"/>
              <w:ind w:left="201"/>
              <w:rPr>
                <w:sz w:val="21"/>
                <w:szCs w:val="21"/>
              </w:rPr>
            </w:pPr>
            <w:r>
              <w:rPr>
                <w:sz w:val="21"/>
                <w:szCs w:val="21"/>
              </w:rPr>
              <w:t>其 他 要 求</w:t>
            </w:r>
          </w:p>
        </w:tc>
        <w:tc>
          <w:tcPr>
            <w:tcW w:w="6746" w:type="dxa"/>
            <w:vAlign w:val="top"/>
          </w:tcPr>
          <w:p w14:paraId="422382E5">
            <w:pPr>
              <w:pStyle w:val="6"/>
              <w:spacing w:before="50" w:line="219" w:lineRule="auto"/>
              <w:ind w:left="106"/>
              <w:rPr>
                <w:sz w:val="21"/>
                <w:szCs w:val="21"/>
              </w:rPr>
            </w:pPr>
            <w:r>
              <w:rPr>
                <w:spacing w:val="-5"/>
                <w:sz w:val="21"/>
                <w:szCs w:val="21"/>
              </w:rPr>
              <w:t>政府采购特别资格要求：</w:t>
            </w:r>
          </w:p>
          <w:p w14:paraId="75BA2E1F">
            <w:pPr>
              <w:pStyle w:val="6"/>
              <w:spacing w:before="66" w:line="219" w:lineRule="auto"/>
              <w:ind w:left="116"/>
              <w:rPr>
                <w:sz w:val="21"/>
                <w:szCs w:val="21"/>
              </w:rPr>
            </w:pPr>
            <w:r>
              <w:rPr>
                <w:rFonts w:ascii="Segoe UI Symbol" w:hAnsi="Segoe UI Symbol" w:eastAsia="Segoe UI Symbol" w:cs="Segoe UI Symbol"/>
                <w:color w:val="0000FF"/>
                <w:spacing w:val="-5"/>
                <w:sz w:val="21"/>
                <w:szCs w:val="21"/>
              </w:rPr>
              <w:t>☑</w:t>
            </w:r>
            <w:r>
              <w:rPr>
                <w:spacing w:val="-5"/>
                <w:sz w:val="21"/>
                <w:szCs w:val="21"/>
              </w:rPr>
              <w:t>采购项目整体预留专门面向中小企业采购。</w:t>
            </w:r>
          </w:p>
          <w:p w14:paraId="669D1EDC">
            <w:pPr>
              <w:pStyle w:val="6"/>
              <w:spacing w:before="51" w:line="219" w:lineRule="auto"/>
              <w:ind w:left="128"/>
              <w:rPr>
                <w:sz w:val="21"/>
                <w:szCs w:val="21"/>
              </w:rPr>
            </w:pPr>
            <w:r>
              <w:rPr>
                <w:color w:val="0000FF"/>
                <w:spacing w:val="-3"/>
                <w:sz w:val="21"/>
                <w:szCs w:val="21"/>
              </w:rPr>
              <w:t>□</w:t>
            </w:r>
            <w:r>
              <w:rPr>
                <w:spacing w:val="-3"/>
                <w:sz w:val="21"/>
                <w:szCs w:val="21"/>
              </w:rPr>
              <w:t>采购项目整体预留专门面向小微企业采购。</w:t>
            </w:r>
          </w:p>
          <w:p w14:paraId="5B166687">
            <w:pPr>
              <w:pStyle w:val="6"/>
              <w:spacing w:before="51" w:line="219" w:lineRule="auto"/>
              <w:ind w:left="128"/>
              <w:rPr>
                <w:sz w:val="21"/>
                <w:szCs w:val="21"/>
              </w:rPr>
            </w:pPr>
            <w:r>
              <w:rPr>
                <w:color w:val="0000FF"/>
                <w:spacing w:val="-3"/>
                <w:sz w:val="21"/>
                <w:szCs w:val="21"/>
              </w:rPr>
              <w:t>□</w:t>
            </w:r>
            <w:r>
              <w:rPr>
                <w:spacing w:val="-3"/>
                <w:sz w:val="21"/>
                <w:szCs w:val="21"/>
              </w:rPr>
              <w:t>采购项目部分预留专门面向中小企业采购。</w:t>
            </w:r>
          </w:p>
          <w:p w14:paraId="2302D8D8">
            <w:pPr>
              <w:pStyle w:val="6"/>
              <w:spacing w:before="66" w:line="220" w:lineRule="auto"/>
              <w:ind w:left="108"/>
              <w:rPr>
                <w:sz w:val="21"/>
                <w:szCs w:val="21"/>
              </w:rPr>
            </w:pPr>
            <w:r>
              <w:rPr>
                <w:sz w:val="21"/>
                <w:szCs w:val="21"/>
              </w:rPr>
              <w:t>要求大企业与中小企业组成联合体的形式参加投标，且联合体中中小企</w:t>
            </w:r>
          </w:p>
        </w:tc>
        <w:tc>
          <w:tcPr>
            <w:tcW w:w="847" w:type="dxa"/>
            <w:vAlign w:val="top"/>
          </w:tcPr>
          <w:p w14:paraId="1EF50DF5">
            <w:pPr>
              <w:rPr>
                <w:rFonts w:ascii="Arial"/>
                <w:sz w:val="21"/>
              </w:rPr>
            </w:pPr>
          </w:p>
        </w:tc>
      </w:tr>
    </w:tbl>
    <w:p w14:paraId="0E9149D5">
      <w:pPr>
        <w:pStyle w:val="2"/>
      </w:pPr>
    </w:p>
    <w:p w14:paraId="6CEFDD9A">
      <w:pPr>
        <w:sectPr>
          <w:footerReference r:id="rId46" w:type="default"/>
          <w:pgSz w:w="11910" w:h="16845"/>
          <w:pgMar w:top="1431" w:right="1785" w:bottom="1065" w:left="1786" w:header="0" w:footer="838" w:gutter="0"/>
          <w:cols w:space="720" w:num="1"/>
        </w:sectPr>
      </w:pPr>
    </w:p>
    <w:p w14:paraId="3DDC8D57">
      <w:pPr>
        <w:spacing w:line="102"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6746"/>
        <w:gridCol w:w="847"/>
      </w:tblGrid>
      <w:tr w14:paraId="60616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637" w:type="dxa"/>
            <w:textDirection w:val="tbRlV"/>
            <w:vAlign w:val="top"/>
          </w:tcPr>
          <w:p w14:paraId="4A4B30F1">
            <w:pPr>
              <w:pStyle w:val="6"/>
              <w:spacing w:before="217" w:line="197" w:lineRule="auto"/>
              <w:ind w:left="44"/>
              <w:rPr>
                <w:sz w:val="21"/>
                <w:szCs w:val="21"/>
              </w:rPr>
            </w:pPr>
            <w:r>
              <w:rPr>
                <w:b/>
                <w:bCs/>
                <w:spacing w:val="-3"/>
                <w:sz w:val="21"/>
                <w:szCs w:val="21"/>
              </w:rPr>
              <w:t>项</w:t>
            </w:r>
            <w:r>
              <w:rPr>
                <w:spacing w:val="-15"/>
                <w:sz w:val="21"/>
                <w:szCs w:val="21"/>
              </w:rPr>
              <w:t xml:space="preserve"> </w:t>
            </w:r>
            <w:r>
              <w:rPr>
                <w:b/>
                <w:bCs/>
                <w:spacing w:val="-3"/>
                <w:position w:val="1"/>
                <w:sz w:val="21"/>
                <w:szCs w:val="21"/>
              </w:rPr>
              <w:t>目</w:t>
            </w:r>
          </w:p>
        </w:tc>
        <w:tc>
          <w:tcPr>
            <w:tcW w:w="6746" w:type="dxa"/>
            <w:vAlign w:val="top"/>
          </w:tcPr>
          <w:p w14:paraId="5405EB3B">
            <w:pPr>
              <w:pStyle w:val="6"/>
              <w:spacing w:before="194" w:line="221" w:lineRule="auto"/>
              <w:ind w:left="3156"/>
              <w:rPr>
                <w:sz w:val="21"/>
                <w:szCs w:val="21"/>
              </w:rPr>
            </w:pPr>
            <w:r>
              <w:rPr>
                <w:b/>
                <w:bCs/>
                <w:spacing w:val="1"/>
                <w:sz w:val="21"/>
                <w:szCs w:val="21"/>
              </w:rPr>
              <w:t>要求</w:t>
            </w:r>
          </w:p>
        </w:tc>
        <w:tc>
          <w:tcPr>
            <w:tcW w:w="847" w:type="dxa"/>
            <w:vAlign w:val="top"/>
          </w:tcPr>
          <w:p w14:paraId="2C060516">
            <w:pPr>
              <w:pStyle w:val="6"/>
              <w:spacing w:before="194" w:line="221" w:lineRule="auto"/>
              <w:ind w:left="212"/>
              <w:rPr>
                <w:sz w:val="21"/>
                <w:szCs w:val="21"/>
              </w:rPr>
            </w:pPr>
            <w:r>
              <w:rPr>
                <w:b/>
                <w:bCs/>
                <w:sz w:val="21"/>
                <w:szCs w:val="21"/>
              </w:rPr>
              <w:t>备注</w:t>
            </w:r>
          </w:p>
        </w:tc>
      </w:tr>
      <w:tr w14:paraId="366B5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18" w:hRule="atLeast"/>
        </w:trPr>
        <w:tc>
          <w:tcPr>
            <w:tcW w:w="637" w:type="dxa"/>
            <w:vAlign w:val="top"/>
          </w:tcPr>
          <w:p w14:paraId="619DA194">
            <w:pPr>
              <w:rPr>
                <w:rFonts w:ascii="Arial"/>
                <w:sz w:val="21"/>
              </w:rPr>
            </w:pPr>
          </w:p>
        </w:tc>
        <w:tc>
          <w:tcPr>
            <w:tcW w:w="6746" w:type="dxa"/>
            <w:vAlign w:val="top"/>
          </w:tcPr>
          <w:p w14:paraId="1FDA5AFD">
            <w:pPr>
              <w:pStyle w:val="6"/>
              <w:spacing w:before="40" w:line="271" w:lineRule="auto"/>
              <w:ind w:left="106" w:right="95"/>
              <w:jc w:val="both"/>
              <w:rPr>
                <w:sz w:val="21"/>
                <w:szCs w:val="21"/>
              </w:rPr>
            </w:pPr>
            <w:r>
              <w:rPr>
                <w:sz w:val="21"/>
                <w:szCs w:val="21"/>
              </w:rPr>
              <w:t>业承担的部分达到项目合同总金额的</w:t>
            </w:r>
            <w:r>
              <w:rPr>
                <w:rFonts w:ascii="Calibri" w:hAnsi="Calibri" w:eastAsia="Calibri" w:cs="Calibri"/>
                <w:color w:val="0000FF"/>
                <w:sz w:val="21"/>
                <w:szCs w:val="21"/>
              </w:rPr>
              <w:t>/</w:t>
            </w:r>
            <w:r>
              <w:rPr>
                <w:rFonts w:ascii="Calibri" w:hAnsi="Calibri" w:eastAsia="Calibri" w:cs="Calibri"/>
                <w:sz w:val="21"/>
                <w:szCs w:val="21"/>
              </w:rPr>
              <w:t>%</w:t>
            </w:r>
            <w:r>
              <w:rPr>
                <w:sz w:val="21"/>
                <w:szCs w:val="21"/>
              </w:rPr>
              <w:t>以上，其中小微企业承</w:t>
            </w:r>
            <w:r>
              <w:rPr>
                <w:spacing w:val="-1"/>
                <w:sz w:val="21"/>
                <w:szCs w:val="21"/>
              </w:rPr>
              <w:t>担的比例</w:t>
            </w:r>
            <w:r>
              <w:rPr>
                <w:sz w:val="21"/>
                <w:szCs w:val="21"/>
              </w:rPr>
              <w:t>不低于</w:t>
            </w:r>
            <w:r>
              <w:rPr>
                <w:rFonts w:ascii="Calibri" w:hAnsi="Calibri" w:eastAsia="Calibri" w:cs="Calibri"/>
                <w:color w:val="0000FF"/>
                <w:sz w:val="21"/>
                <w:szCs w:val="21"/>
              </w:rPr>
              <w:t>/</w:t>
            </w:r>
            <w:r>
              <w:rPr>
                <w:rFonts w:ascii="Calibri" w:hAnsi="Calibri" w:eastAsia="Calibri" w:cs="Calibri"/>
                <w:sz w:val="21"/>
                <w:szCs w:val="21"/>
              </w:rPr>
              <w:t>%</w:t>
            </w:r>
            <w:r>
              <w:rPr>
                <w:sz w:val="21"/>
                <w:szCs w:val="21"/>
              </w:rPr>
              <w:t>。组成联合体的中小企业与联合体内</w:t>
            </w:r>
            <w:r>
              <w:rPr>
                <w:spacing w:val="-1"/>
                <w:sz w:val="21"/>
                <w:szCs w:val="21"/>
              </w:rPr>
              <w:t>其他企业之间不得存在直</w:t>
            </w:r>
            <w:r>
              <w:rPr>
                <w:spacing w:val="-4"/>
                <w:sz w:val="21"/>
                <w:szCs w:val="21"/>
              </w:rPr>
              <w:t>接控股、管理关系。（前述比例由招标人根据项目的具体情况约定）</w:t>
            </w:r>
          </w:p>
          <w:p w14:paraId="1AF4D545">
            <w:pPr>
              <w:pStyle w:val="6"/>
              <w:spacing w:before="5" w:line="219" w:lineRule="auto"/>
              <w:ind w:left="128"/>
              <w:rPr>
                <w:sz w:val="21"/>
                <w:szCs w:val="21"/>
              </w:rPr>
            </w:pPr>
            <w:r>
              <w:rPr>
                <w:color w:val="0000FF"/>
                <w:spacing w:val="-3"/>
                <w:sz w:val="21"/>
                <w:szCs w:val="21"/>
              </w:rPr>
              <w:t>□</w:t>
            </w:r>
            <w:r>
              <w:rPr>
                <w:spacing w:val="-3"/>
                <w:sz w:val="21"/>
                <w:szCs w:val="21"/>
              </w:rPr>
              <w:t>采购项目部分预留专门面向中小企业采购。</w:t>
            </w:r>
          </w:p>
          <w:p w14:paraId="6C74A5A3">
            <w:pPr>
              <w:pStyle w:val="6"/>
              <w:spacing w:before="64" w:line="274" w:lineRule="auto"/>
              <w:ind w:left="106" w:right="92" w:firstLine="1"/>
              <w:rPr>
                <w:sz w:val="21"/>
                <w:szCs w:val="21"/>
              </w:rPr>
            </w:pPr>
            <w:r>
              <w:rPr>
                <w:spacing w:val="1"/>
                <w:sz w:val="21"/>
                <w:szCs w:val="21"/>
              </w:rPr>
              <w:t>要求大企业向中小企业分包的形式参加投标</w:t>
            </w:r>
            <w:r>
              <w:rPr>
                <w:sz w:val="21"/>
                <w:szCs w:val="21"/>
              </w:rPr>
              <w:t>，且接受分包的中小企业承担的部分达到项目合同总金额的</w:t>
            </w:r>
            <w:r>
              <w:rPr>
                <w:rFonts w:ascii="Calibri" w:hAnsi="Calibri" w:eastAsia="Calibri" w:cs="Calibri"/>
                <w:color w:val="0000FF"/>
                <w:sz w:val="21"/>
                <w:szCs w:val="21"/>
              </w:rPr>
              <w:t>/</w:t>
            </w:r>
            <w:r>
              <w:rPr>
                <w:rFonts w:ascii="Calibri" w:hAnsi="Calibri" w:eastAsia="Calibri" w:cs="Calibri"/>
                <w:sz w:val="21"/>
                <w:szCs w:val="21"/>
              </w:rPr>
              <w:t>%</w:t>
            </w:r>
            <w:r>
              <w:rPr>
                <w:sz w:val="21"/>
                <w:szCs w:val="21"/>
              </w:rPr>
              <w:t>以上，其中接受分包的小微</w:t>
            </w:r>
            <w:r>
              <w:rPr>
                <w:spacing w:val="-1"/>
                <w:sz w:val="21"/>
                <w:szCs w:val="21"/>
              </w:rPr>
              <w:t>企业承担</w:t>
            </w:r>
            <w:r>
              <w:rPr>
                <w:sz w:val="21"/>
                <w:szCs w:val="21"/>
              </w:rPr>
              <w:t>的比例不低于</w:t>
            </w:r>
            <w:r>
              <w:rPr>
                <w:rFonts w:ascii="Calibri" w:hAnsi="Calibri" w:eastAsia="Calibri" w:cs="Calibri"/>
                <w:color w:val="0000FF"/>
                <w:sz w:val="21"/>
                <w:szCs w:val="21"/>
              </w:rPr>
              <w:t>/</w:t>
            </w:r>
            <w:r>
              <w:rPr>
                <w:rFonts w:ascii="Calibri" w:hAnsi="Calibri" w:eastAsia="Calibri" w:cs="Calibri"/>
                <w:sz w:val="21"/>
                <w:szCs w:val="21"/>
              </w:rPr>
              <w:t>%</w:t>
            </w:r>
            <w:r>
              <w:rPr>
                <w:sz w:val="21"/>
                <w:szCs w:val="21"/>
              </w:rPr>
              <w:t>。接受分包合同的中小企业</w:t>
            </w:r>
            <w:r>
              <w:rPr>
                <w:spacing w:val="-1"/>
                <w:sz w:val="21"/>
                <w:szCs w:val="21"/>
              </w:rPr>
              <w:t>与分包企业之间不得存在直</w:t>
            </w:r>
            <w:r>
              <w:rPr>
                <w:spacing w:val="-4"/>
                <w:sz w:val="21"/>
                <w:szCs w:val="21"/>
              </w:rPr>
              <w:t>接控股、管理关系。（前述比例由招标人根据项目的具体情况约定）</w:t>
            </w:r>
          </w:p>
          <w:p w14:paraId="65FAFD79">
            <w:pPr>
              <w:pStyle w:val="6"/>
              <w:spacing w:line="219" w:lineRule="auto"/>
              <w:ind w:left="128"/>
              <w:rPr>
                <w:sz w:val="21"/>
                <w:szCs w:val="21"/>
              </w:rPr>
            </w:pPr>
            <w:r>
              <w:rPr>
                <w:color w:val="0000FF"/>
                <w:spacing w:val="-3"/>
                <w:sz w:val="21"/>
                <w:szCs w:val="21"/>
              </w:rPr>
              <w:t>□</w:t>
            </w:r>
            <w:r>
              <w:rPr>
                <w:spacing w:val="-3"/>
                <w:sz w:val="21"/>
                <w:szCs w:val="21"/>
              </w:rPr>
              <w:t>采购项目未预留份额专门面向中小企业采购。</w:t>
            </w:r>
          </w:p>
          <w:p w14:paraId="5BD27DD0">
            <w:pPr>
              <w:pStyle w:val="6"/>
              <w:spacing w:before="66" w:line="220" w:lineRule="auto"/>
              <w:ind w:left="128"/>
              <w:rPr>
                <w:sz w:val="21"/>
                <w:szCs w:val="21"/>
              </w:rPr>
            </w:pPr>
            <w:r>
              <w:rPr>
                <w:color w:val="0000FF"/>
                <w:spacing w:val="-3"/>
                <w:sz w:val="21"/>
                <w:szCs w:val="21"/>
              </w:rPr>
              <w:t>□</w:t>
            </w:r>
            <w:r>
              <w:rPr>
                <w:spacing w:val="-3"/>
                <w:sz w:val="21"/>
                <w:szCs w:val="21"/>
              </w:rPr>
              <w:t>不接受</w:t>
            </w:r>
            <w:r>
              <w:rPr>
                <w:color w:val="0000FF"/>
                <w:spacing w:val="-3"/>
                <w:sz w:val="21"/>
                <w:szCs w:val="21"/>
              </w:rPr>
              <w:t>□</w:t>
            </w:r>
            <w:r>
              <w:rPr>
                <w:spacing w:val="-3"/>
                <w:sz w:val="21"/>
                <w:szCs w:val="21"/>
              </w:rPr>
              <w:t>接受大中型企业与小微企业组成联合体。</w:t>
            </w:r>
          </w:p>
          <w:p w14:paraId="3DE3F8AF">
            <w:pPr>
              <w:pStyle w:val="6"/>
              <w:spacing w:before="66" w:line="215" w:lineRule="auto"/>
              <w:ind w:left="128"/>
              <w:rPr>
                <w:sz w:val="21"/>
                <w:szCs w:val="21"/>
              </w:rPr>
            </w:pPr>
            <w:r>
              <w:rPr>
                <w:color w:val="0000FF"/>
                <w:spacing w:val="-2"/>
                <w:sz w:val="21"/>
                <w:szCs w:val="21"/>
              </w:rPr>
              <w:t>□</w:t>
            </w:r>
            <w:r>
              <w:rPr>
                <w:spacing w:val="-2"/>
                <w:sz w:val="21"/>
                <w:szCs w:val="21"/>
              </w:rPr>
              <w:t>不允许</w:t>
            </w:r>
            <w:r>
              <w:rPr>
                <w:color w:val="0000FF"/>
                <w:spacing w:val="-2"/>
                <w:sz w:val="21"/>
                <w:szCs w:val="21"/>
              </w:rPr>
              <w:t>□</w:t>
            </w:r>
            <w:r>
              <w:rPr>
                <w:spacing w:val="-2"/>
                <w:sz w:val="21"/>
                <w:szCs w:val="21"/>
              </w:rPr>
              <w:t>允许大中型企业向一家或者多家小微企业分包。</w:t>
            </w:r>
          </w:p>
        </w:tc>
        <w:tc>
          <w:tcPr>
            <w:tcW w:w="847" w:type="dxa"/>
            <w:vAlign w:val="top"/>
          </w:tcPr>
          <w:p w14:paraId="56A61882">
            <w:pPr>
              <w:rPr>
                <w:rFonts w:ascii="Arial"/>
                <w:sz w:val="21"/>
              </w:rPr>
            </w:pPr>
          </w:p>
        </w:tc>
      </w:tr>
    </w:tbl>
    <w:p w14:paraId="0A662CB7">
      <w:pPr>
        <w:pStyle w:val="2"/>
      </w:pPr>
    </w:p>
    <w:p w14:paraId="294305CD">
      <w:pPr>
        <w:sectPr>
          <w:footerReference r:id="rId47" w:type="default"/>
          <w:pgSz w:w="11910" w:h="16845"/>
          <w:pgMar w:top="1431" w:right="1786" w:bottom="1065" w:left="1786" w:header="0" w:footer="838" w:gutter="0"/>
          <w:cols w:space="720" w:num="1"/>
        </w:sectPr>
      </w:pPr>
    </w:p>
    <w:p w14:paraId="300D7B65">
      <w:pPr>
        <w:spacing w:before="51" w:line="275" w:lineRule="auto"/>
        <w:ind w:left="639" w:right="90" w:firstLine="17"/>
        <w:jc w:val="both"/>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16"/>
          <w:w w:val="101"/>
          <w:sz w:val="21"/>
          <w:szCs w:val="21"/>
        </w:rPr>
        <w:t xml:space="preserve">  </w:t>
      </w:r>
      <w:r>
        <w:rPr>
          <w:rFonts w:ascii="宋体" w:hAnsi="宋体" w:eastAsia="宋体" w:cs="宋体"/>
          <w:sz w:val="21"/>
          <w:szCs w:val="21"/>
        </w:rPr>
        <w:t>“类似项目”是指与招标项目在建设规模、</w:t>
      </w:r>
      <w:r>
        <w:rPr>
          <w:rFonts w:ascii="宋体" w:hAnsi="宋体" w:eastAsia="宋体" w:cs="宋体"/>
          <w:spacing w:val="-1"/>
          <w:sz w:val="21"/>
          <w:szCs w:val="21"/>
        </w:rPr>
        <w:t>结构形式、使用功能、复杂难</w:t>
      </w:r>
      <w:r>
        <w:rPr>
          <w:rFonts w:ascii="宋体" w:hAnsi="宋体" w:eastAsia="宋体" w:cs="宋体"/>
          <w:spacing w:val="-2"/>
          <w:sz w:val="21"/>
          <w:szCs w:val="21"/>
        </w:rPr>
        <w:t>易程度相同或相近的项目。招标人在招标文件中应准确、简洁的工程特征指标予以定</w:t>
      </w:r>
      <w:r>
        <w:rPr>
          <w:rFonts w:ascii="宋体" w:hAnsi="宋体" w:eastAsia="宋体" w:cs="宋体"/>
          <w:spacing w:val="-3"/>
          <w:sz w:val="21"/>
          <w:szCs w:val="21"/>
        </w:rPr>
        <w:t>义，且方便投标人使用中标通知书（如有）、合同协议书、工程接收证书或工程竣工</w:t>
      </w:r>
      <w:r>
        <w:rPr>
          <w:rFonts w:ascii="宋体" w:hAnsi="宋体" w:eastAsia="宋体" w:cs="宋体"/>
          <w:spacing w:val="-2"/>
          <w:sz w:val="21"/>
          <w:szCs w:val="21"/>
        </w:rPr>
        <w:t>验收证书（工程竣工验收备案证）及其他证明材料证实。“类似项</w:t>
      </w:r>
      <w:r>
        <w:rPr>
          <w:rFonts w:ascii="宋体" w:hAnsi="宋体" w:eastAsia="宋体" w:cs="宋体"/>
          <w:spacing w:val="-3"/>
          <w:sz w:val="21"/>
          <w:szCs w:val="21"/>
        </w:rPr>
        <w:t>目”的定义中不含</w:t>
      </w:r>
      <w:r>
        <w:rPr>
          <w:rFonts w:ascii="宋体" w:hAnsi="宋体" w:eastAsia="宋体" w:cs="宋体"/>
          <w:spacing w:val="-9"/>
          <w:sz w:val="21"/>
          <w:szCs w:val="21"/>
        </w:rPr>
        <w:t>“近</w:t>
      </w:r>
      <w:r>
        <w:rPr>
          <w:rFonts w:ascii="宋体" w:hAnsi="宋体" w:eastAsia="宋体" w:cs="宋体"/>
          <w:spacing w:val="-33"/>
          <w:sz w:val="21"/>
          <w:szCs w:val="21"/>
        </w:rPr>
        <w:t xml:space="preserve"> </w:t>
      </w:r>
      <w:r>
        <w:rPr>
          <w:rFonts w:ascii="Calibri" w:hAnsi="Calibri" w:eastAsia="Calibri" w:cs="Calibri"/>
          <w:spacing w:val="-9"/>
          <w:sz w:val="21"/>
          <w:szCs w:val="21"/>
        </w:rPr>
        <w:t>5</w:t>
      </w:r>
      <w:r>
        <w:rPr>
          <w:rFonts w:ascii="Calibri" w:hAnsi="Calibri" w:eastAsia="Calibri" w:cs="Calibri"/>
          <w:spacing w:val="21"/>
          <w:sz w:val="21"/>
          <w:szCs w:val="21"/>
        </w:rPr>
        <w:t xml:space="preserve"> </w:t>
      </w:r>
      <w:r>
        <w:rPr>
          <w:rFonts w:ascii="宋体" w:hAnsi="宋体" w:eastAsia="宋体" w:cs="宋体"/>
          <w:spacing w:val="-9"/>
          <w:sz w:val="21"/>
          <w:szCs w:val="21"/>
        </w:rPr>
        <w:t>年”“近</w:t>
      </w:r>
      <w:r>
        <w:rPr>
          <w:rFonts w:ascii="宋体" w:hAnsi="宋体" w:eastAsia="宋体" w:cs="宋体"/>
          <w:spacing w:val="-34"/>
          <w:sz w:val="21"/>
          <w:szCs w:val="21"/>
        </w:rPr>
        <w:t xml:space="preserve"> </w:t>
      </w:r>
      <w:r>
        <w:rPr>
          <w:rFonts w:ascii="Calibri" w:hAnsi="Calibri" w:eastAsia="Calibri" w:cs="Calibri"/>
          <w:spacing w:val="-9"/>
          <w:sz w:val="21"/>
          <w:szCs w:val="21"/>
        </w:rPr>
        <w:t>3</w:t>
      </w:r>
      <w:r>
        <w:rPr>
          <w:rFonts w:ascii="Calibri" w:hAnsi="Calibri" w:eastAsia="Calibri" w:cs="Calibri"/>
          <w:spacing w:val="20"/>
          <w:sz w:val="21"/>
          <w:szCs w:val="21"/>
        </w:rPr>
        <w:t xml:space="preserve"> </w:t>
      </w:r>
      <w:r>
        <w:rPr>
          <w:rFonts w:ascii="宋体" w:hAnsi="宋体" w:eastAsia="宋体" w:cs="宋体"/>
          <w:spacing w:val="-9"/>
          <w:sz w:val="21"/>
          <w:szCs w:val="21"/>
        </w:rPr>
        <w:t>年”等时间限制条件。</w:t>
      </w:r>
    </w:p>
    <w:p w14:paraId="3B8C3638">
      <w:pPr>
        <w:spacing w:before="3" w:line="274" w:lineRule="auto"/>
        <w:ind w:left="655" w:right="81" w:firstLine="2"/>
        <w:rPr>
          <w:rFonts w:ascii="宋体" w:hAnsi="宋体" w:eastAsia="宋体" w:cs="宋体"/>
          <w:sz w:val="21"/>
          <w:szCs w:val="21"/>
        </w:rPr>
      </w:pPr>
      <w:r>
        <w:rPr>
          <w:rFonts w:ascii="Calibri" w:hAnsi="Calibri" w:eastAsia="Calibri" w:cs="Calibri"/>
          <w:sz w:val="21"/>
          <w:szCs w:val="21"/>
        </w:rPr>
        <w:t xml:space="preserve">2.  </w:t>
      </w:r>
      <w:r>
        <w:rPr>
          <w:rFonts w:ascii="宋体" w:hAnsi="宋体" w:eastAsia="宋体" w:cs="宋体"/>
          <w:sz w:val="21"/>
          <w:szCs w:val="21"/>
        </w:rPr>
        <w:t>“投标人用于投标项目（标段）的流动资金”</w:t>
      </w:r>
      <w:r>
        <w:rPr>
          <w:rFonts w:ascii="宋体" w:hAnsi="宋体" w:eastAsia="宋体" w:cs="宋体"/>
          <w:spacing w:val="-1"/>
          <w:sz w:val="21"/>
          <w:szCs w:val="21"/>
        </w:rPr>
        <w:t xml:space="preserve"> ：一般而言，在有正常的预付款和工程款支付的情况下，承包人仍需要投入合同总</w:t>
      </w:r>
      <w:r>
        <w:rPr>
          <w:rFonts w:ascii="宋体" w:hAnsi="宋体" w:eastAsia="宋体" w:cs="宋体"/>
          <w:spacing w:val="-2"/>
          <w:sz w:val="21"/>
          <w:szCs w:val="21"/>
        </w:rPr>
        <w:t>价</w:t>
      </w:r>
      <w:r>
        <w:rPr>
          <w:rFonts w:ascii="Calibri" w:hAnsi="Calibri" w:eastAsia="Calibri" w:cs="Calibri"/>
          <w:spacing w:val="-2"/>
          <w:sz w:val="21"/>
          <w:szCs w:val="21"/>
        </w:rPr>
        <w:t>/T</w:t>
      </w:r>
      <w:r>
        <w:rPr>
          <w:rFonts w:ascii="Calibri" w:hAnsi="Calibri" w:eastAsia="Calibri" w:cs="Calibri"/>
          <w:spacing w:val="41"/>
          <w:w w:val="101"/>
          <w:sz w:val="21"/>
          <w:szCs w:val="21"/>
        </w:rPr>
        <w:t xml:space="preserve"> </w:t>
      </w:r>
      <w:r>
        <w:rPr>
          <w:rFonts w:ascii="宋体" w:hAnsi="宋体" w:eastAsia="宋体" w:cs="宋体"/>
          <w:spacing w:val="-2"/>
          <w:sz w:val="21"/>
          <w:szCs w:val="21"/>
        </w:rPr>
        <w:t>的</w:t>
      </w:r>
      <w:r>
        <w:rPr>
          <w:rFonts w:ascii="宋体" w:hAnsi="宋体" w:eastAsia="宋体" w:cs="宋体"/>
          <w:spacing w:val="-27"/>
          <w:sz w:val="21"/>
          <w:szCs w:val="21"/>
        </w:rPr>
        <w:t xml:space="preserve"> </w:t>
      </w:r>
      <w:r>
        <w:rPr>
          <w:rFonts w:ascii="Calibri" w:hAnsi="Calibri" w:eastAsia="Calibri" w:cs="Calibri"/>
          <w:spacing w:val="-2"/>
          <w:sz w:val="21"/>
          <w:szCs w:val="21"/>
        </w:rPr>
        <w:t>10-15%</w:t>
      </w:r>
      <w:r>
        <w:rPr>
          <w:rFonts w:ascii="宋体" w:hAnsi="宋体" w:eastAsia="宋体" w:cs="宋体"/>
          <w:spacing w:val="-2"/>
          <w:sz w:val="21"/>
          <w:szCs w:val="21"/>
        </w:rPr>
        <w:t>左右的流动资金用于项目周转性生产。招标人宜根据项目情况合理设</w:t>
      </w:r>
      <w:r>
        <w:rPr>
          <w:rFonts w:ascii="宋体" w:hAnsi="宋体" w:eastAsia="宋体" w:cs="宋体"/>
          <w:spacing w:val="-3"/>
          <w:sz w:val="21"/>
          <w:szCs w:val="21"/>
        </w:rPr>
        <w:t>置投标人用于投标项目（标段）的流</w:t>
      </w:r>
      <w:r>
        <w:rPr>
          <w:rFonts w:ascii="宋体" w:hAnsi="宋体" w:eastAsia="宋体" w:cs="宋体"/>
          <w:spacing w:val="-1"/>
          <w:sz w:val="21"/>
          <w:szCs w:val="21"/>
        </w:rPr>
        <w:t>动资金数额。</w:t>
      </w:r>
      <w:r>
        <w:rPr>
          <w:rFonts w:ascii="Calibri" w:hAnsi="Calibri" w:eastAsia="Calibri" w:cs="Calibri"/>
          <w:spacing w:val="-1"/>
          <w:sz w:val="21"/>
          <w:szCs w:val="21"/>
        </w:rPr>
        <w:t>T=</w:t>
      </w:r>
      <w:r>
        <w:rPr>
          <w:rFonts w:ascii="宋体" w:hAnsi="宋体" w:eastAsia="宋体" w:cs="宋体"/>
          <w:spacing w:val="-1"/>
          <w:sz w:val="21"/>
          <w:szCs w:val="21"/>
        </w:rPr>
        <w:t>（标段）计划工期（年）</w:t>
      </w:r>
      <w:r>
        <w:rPr>
          <w:rFonts w:ascii="Calibri" w:hAnsi="Calibri" w:eastAsia="Calibri" w:cs="Calibri"/>
          <w:spacing w:val="-1"/>
          <w:sz w:val="21"/>
          <w:szCs w:val="21"/>
        </w:rPr>
        <w:t>=</w:t>
      </w:r>
      <w:r>
        <w:rPr>
          <w:rFonts w:ascii="宋体" w:hAnsi="宋体" w:eastAsia="宋体" w:cs="宋体"/>
          <w:spacing w:val="-1"/>
          <w:sz w:val="21"/>
          <w:szCs w:val="21"/>
        </w:rPr>
        <w:t>（标段）计划工</w:t>
      </w:r>
      <w:r>
        <w:rPr>
          <w:rFonts w:ascii="宋体" w:hAnsi="宋体" w:eastAsia="宋体" w:cs="宋体"/>
          <w:spacing w:val="-2"/>
          <w:sz w:val="21"/>
          <w:szCs w:val="21"/>
        </w:rPr>
        <w:t>期（日历天）</w:t>
      </w:r>
      <w:r>
        <w:rPr>
          <w:rFonts w:ascii="Calibri" w:hAnsi="Calibri" w:eastAsia="Calibri" w:cs="Calibri"/>
          <w:spacing w:val="-2"/>
          <w:sz w:val="21"/>
          <w:szCs w:val="21"/>
        </w:rPr>
        <w:t>/365</w:t>
      </w:r>
      <w:r>
        <w:rPr>
          <w:rFonts w:ascii="宋体" w:hAnsi="宋体" w:eastAsia="宋体" w:cs="宋体"/>
          <w:spacing w:val="-2"/>
          <w:sz w:val="21"/>
          <w:szCs w:val="21"/>
        </w:rPr>
        <w:t>。计划</w:t>
      </w:r>
      <w:r>
        <w:rPr>
          <w:rFonts w:ascii="宋体" w:hAnsi="宋体" w:eastAsia="宋体" w:cs="宋体"/>
          <w:spacing w:val="-5"/>
          <w:sz w:val="21"/>
          <w:szCs w:val="21"/>
        </w:rPr>
        <w:t>工期少于</w:t>
      </w:r>
      <w:r>
        <w:rPr>
          <w:rFonts w:ascii="宋体" w:hAnsi="宋体" w:eastAsia="宋体" w:cs="宋体"/>
          <w:spacing w:val="-25"/>
          <w:sz w:val="21"/>
          <w:szCs w:val="21"/>
        </w:rPr>
        <w:t xml:space="preserve"> </w:t>
      </w:r>
      <w:r>
        <w:rPr>
          <w:rFonts w:ascii="Calibri" w:hAnsi="Calibri" w:eastAsia="Calibri" w:cs="Calibri"/>
          <w:spacing w:val="-5"/>
          <w:sz w:val="21"/>
          <w:szCs w:val="21"/>
        </w:rPr>
        <w:t>12</w:t>
      </w:r>
      <w:r>
        <w:rPr>
          <w:rFonts w:ascii="Calibri" w:hAnsi="Calibri" w:eastAsia="Calibri" w:cs="Calibri"/>
          <w:spacing w:val="20"/>
          <w:sz w:val="21"/>
          <w:szCs w:val="21"/>
        </w:rPr>
        <w:t xml:space="preserve"> </w:t>
      </w:r>
      <w:r>
        <w:rPr>
          <w:rFonts w:ascii="宋体" w:hAnsi="宋体" w:eastAsia="宋体" w:cs="宋体"/>
          <w:spacing w:val="-5"/>
          <w:sz w:val="21"/>
          <w:szCs w:val="21"/>
        </w:rPr>
        <w:t>个月的，</w:t>
      </w:r>
      <w:r>
        <w:rPr>
          <w:rFonts w:ascii="Calibri" w:hAnsi="Calibri" w:eastAsia="Calibri" w:cs="Calibri"/>
          <w:spacing w:val="-5"/>
          <w:sz w:val="21"/>
          <w:szCs w:val="21"/>
        </w:rPr>
        <w:t>T</w:t>
      </w:r>
      <w:r>
        <w:rPr>
          <w:rFonts w:ascii="Calibri" w:hAnsi="Calibri" w:eastAsia="Calibri" w:cs="Calibri"/>
          <w:spacing w:val="25"/>
          <w:w w:val="101"/>
          <w:sz w:val="21"/>
          <w:szCs w:val="21"/>
        </w:rPr>
        <w:t xml:space="preserve"> </w:t>
      </w:r>
      <w:r>
        <w:rPr>
          <w:rFonts w:ascii="宋体" w:hAnsi="宋体" w:eastAsia="宋体" w:cs="宋体"/>
          <w:spacing w:val="-5"/>
          <w:sz w:val="21"/>
          <w:szCs w:val="21"/>
        </w:rPr>
        <w:t>按</w:t>
      </w:r>
      <w:r>
        <w:rPr>
          <w:rFonts w:ascii="宋体" w:hAnsi="宋体" w:eastAsia="宋体" w:cs="宋体"/>
          <w:spacing w:val="-27"/>
          <w:sz w:val="21"/>
          <w:szCs w:val="21"/>
        </w:rPr>
        <w:t xml:space="preserve"> </w:t>
      </w:r>
      <w:r>
        <w:rPr>
          <w:rFonts w:ascii="Calibri" w:hAnsi="Calibri" w:eastAsia="Calibri" w:cs="Calibri"/>
          <w:spacing w:val="-5"/>
          <w:sz w:val="21"/>
          <w:szCs w:val="21"/>
        </w:rPr>
        <w:t>1</w:t>
      </w:r>
      <w:r>
        <w:rPr>
          <w:rFonts w:ascii="Calibri" w:hAnsi="Calibri" w:eastAsia="Calibri" w:cs="Calibri"/>
          <w:spacing w:val="20"/>
          <w:sz w:val="21"/>
          <w:szCs w:val="21"/>
        </w:rPr>
        <w:t xml:space="preserve"> </w:t>
      </w:r>
      <w:r>
        <w:rPr>
          <w:rFonts w:ascii="宋体" w:hAnsi="宋体" w:eastAsia="宋体" w:cs="宋体"/>
          <w:spacing w:val="-5"/>
          <w:sz w:val="21"/>
          <w:szCs w:val="21"/>
        </w:rPr>
        <w:t>计算。当</w:t>
      </w:r>
      <w:r>
        <w:rPr>
          <w:rFonts w:ascii="宋体" w:hAnsi="宋体" w:eastAsia="宋体" w:cs="宋体"/>
          <w:spacing w:val="-44"/>
          <w:sz w:val="21"/>
          <w:szCs w:val="21"/>
        </w:rPr>
        <w:t xml:space="preserve"> </w:t>
      </w:r>
      <w:r>
        <w:rPr>
          <w:rFonts w:ascii="Calibri" w:hAnsi="Calibri" w:eastAsia="Calibri" w:cs="Calibri"/>
          <w:spacing w:val="-5"/>
          <w:sz w:val="21"/>
          <w:szCs w:val="21"/>
        </w:rPr>
        <w:t>T&lt;1</w:t>
      </w:r>
      <w:r>
        <w:rPr>
          <w:rFonts w:ascii="Calibri" w:hAnsi="Calibri" w:eastAsia="Calibri" w:cs="Calibri"/>
          <w:spacing w:val="-23"/>
          <w:sz w:val="21"/>
          <w:szCs w:val="21"/>
        </w:rPr>
        <w:t xml:space="preserve"> </w:t>
      </w:r>
      <w:r>
        <w:rPr>
          <w:rFonts w:ascii="宋体" w:hAnsi="宋体" w:eastAsia="宋体" w:cs="宋体"/>
          <w:spacing w:val="-5"/>
          <w:sz w:val="21"/>
          <w:szCs w:val="21"/>
        </w:rPr>
        <w:t>，</w:t>
      </w:r>
      <w:r>
        <w:rPr>
          <w:rFonts w:ascii="Calibri" w:hAnsi="Calibri" w:eastAsia="Calibri" w:cs="Calibri"/>
          <w:spacing w:val="-5"/>
          <w:sz w:val="21"/>
          <w:szCs w:val="21"/>
        </w:rPr>
        <w:t>T</w:t>
      </w:r>
      <w:r>
        <w:rPr>
          <w:rFonts w:ascii="Calibri" w:hAnsi="Calibri" w:eastAsia="Calibri" w:cs="Calibri"/>
          <w:spacing w:val="11"/>
          <w:sz w:val="21"/>
          <w:szCs w:val="21"/>
        </w:rPr>
        <w:t xml:space="preserve"> </w:t>
      </w:r>
      <w:r>
        <w:rPr>
          <w:rFonts w:ascii="宋体" w:hAnsi="宋体" w:eastAsia="宋体" w:cs="宋体"/>
          <w:spacing w:val="-5"/>
          <w:sz w:val="21"/>
          <w:szCs w:val="21"/>
        </w:rPr>
        <w:t>取</w:t>
      </w:r>
      <w:r>
        <w:rPr>
          <w:rFonts w:ascii="宋体" w:hAnsi="宋体" w:eastAsia="宋体" w:cs="宋体"/>
          <w:spacing w:val="-27"/>
          <w:sz w:val="21"/>
          <w:szCs w:val="21"/>
        </w:rPr>
        <w:t xml:space="preserve"> </w:t>
      </w:r>
      <w:r>
        <w:rPr>
          <w:rFonts w:ascii="Calibri" w:hAnsi="Calibri" w:eastAsia="Calibri" w:cs="Calibri"/>
          <w:spacing w:val="-5"/>
          <w:sz w:val="21"/>
          <w:szCs w:val="21"/>
        </w:rPr>
        <w:t>1</w:t>
      </w:r>
      <w:r>
        <w:rPr>
          <w:rFonts w:ascii="宋体" w:hAnsi="宋体" w:eastAsia="宋体" w:cs="宋体"/>
          <w:spacing w:val="-5"/>
          <w:sz w:val="21"/>
          <w:szCs w:val="21"/>
        </w:rPr>
        <w:t>。</w:t>
      </w:r>
    </w:p>
    <w:p w14:paraId="5C9C3E41">
      <w:pPr>
        <w:spacing w:before="2" w:line="272" w:lineRule="auto"/>
        <w:ind w:left="655" w:firstLine="1"/>
        <w:rPr>
          <w:rFonts w:ascii="宋体" w:hAnsi="宋体" w:eastAsia="宋体" w:cs="宋体"/>
          <w:sz w:val="21"/>
          <w:szCs w:val="21"/>
        </w:rPr>
      </w:pPr>
      <w:r>
        <w:rPr>
          <w:rFonts w:ascii="Calibri" w:hAnsi="Calibri" w:eastAsia="Calibri" w:cs="Calibri"/>
          <w:spacing w:val="-2"/>
          <w:sz w:val="21"/>
          <w:szCs w:val="21"/>
        </w:rPr>
        <w:t>3.</w:t>
      </w:r>
      <w:r>
        <w:rPr>
          <w:rFonts w:ascii="Calibri" w:hAnsi="Calibri" w:eastAsia="Calibri" w:cs="Calibri"/>
          <w:spacing w:val="18"/>
          <w:w w:val="102"/>
          <w:sz w:val="21"/>
          <w:szCs w:val="21"/>
        </w:rPr>
        <w:t xml:space="preserve">  </w:t>
      </w:r>
      <w:r>
        <w:rPr>
          <w:rFonts w:ascii="宋体" w:hAnsi="宋体" w:eastAsia="宋体" w:cs="宋体"/>
          <w:spacing w:val="-2"/>
          <w:sz w:val="21"/>
          <w:szCs w:val="21"/>
        </w:rPr>
        <w:t>政府采购工程是指国家机关、事业单位、团体组织使用财政性资金采购建设工程。财政性资金是指纳入预算管理的资金。以财政</w:t>
      </w:r>
      <w:r>
        <w:rPr>
          <w:rFonts w:ascii="宋体" w:hAnsi="宋体" w:eastAsia="宋体" w:cs="宋体"/>
          <w:spacing w:val="-3"/>
          <w:sz w:val="21"/>
          <w:szCs w:val="21"/>
        </w:rPr>
        <w:t>性资金作为还款来源的借贷资金，视同</w:t>
      </w:r>
      <w:r>
        <w:rPr>
          <w:rFonts w:ascii="宋体" w:hAnsi="宋体" w:eastAsia="宋体" w:cs="宋体"/>
          <w:spacing w:val="-6"/>
          <w:sz w:val="21"/>
          <w:szCs w:val="21"/>
        </w:rPr>
        <w:t>财政性资金。</w:t>
      </w:r>
    </w:p>
    <w:p w14:paraId="15BFD965">
      <w:pPr>
        <w:spacing w:before="2" w:line="275" w:lineRule="auto"/>
        <w:ind w:left="653" w:right="4" w:firstLine="2"/>
        <w:jc w:val="both"/>
        <w:rPr>
          <w:rFonts w:ascii="宋体" w:hAnsi="宋体" w:eastAsia="宋体" w:cs="宋体"/>
          <w:sz w:val="21"/>
          <w:szCs w:val="21"/>
        </w:rPr>
      </w:pPr>
      <w:r>
        <w:rPr>
          <w:rFonts w:ascii="宋体" w:hAnsi="宋体" w:eastAsia="宋体" w:cs="宋体"/>
          <w:spacing w:val="-6"/>
          <w:sz w:val="21"/>
          <w:szCs w:val="21"/>
        </w:rPr>
        <w:t>本招标文件所称中、小、微企业，</w:t>
      </w:r>
      <w:r>
        <w:rPr>
          <w:rFonts w:ascii="宋体" w:hAnsi="宋体" w:eastAsia="宋体" w:cs="宋体"/>
          <w:spacing w:val="44"/>
          <w:sz w:val="21"/>
          <w:szCs w:val="21"/>
        </w:rPr>
        <w:t xml:space="preserve"> </w:t>
      </w:r>
      <w:r>
        <w:rPr>
          <w:rFonts w:ascii="宋体" w:hAnsi="宋体" w:eastAsia="宋体" w:cs="宋体"/>
          <w:spacing w:val="-6"/>
          <w:sz w:val="21"/>
          <w:szCs w:val="21"/>
        </w:rPr>
        <w:t>是指在中华人民共和国境</w:t>
      </w:r>
      <w:r>
        <w:rPr>
          <w:rFonts w:ascii="宋体" w:hAnsi="宋体" w:eastAsia="宋体" w:cs="宋体"/>
          <w:spacing w:val="-7"/>
          <w:sz w:val="21"/>
          <w:szCs w:val="21"/>
        </w:rPr>
        <w:t>内依法设立，依据《中小</w:t>
      </w:r>
      <w:r>
        <w:rPr>
          <w:rFonts w:ascii="宋体" w:hAnsi="宋体" w:eastAsia="宋体" w:cs="宋体"/>
          <w:spacing w:val="-5"/>
          <w:sz w:val="21"/>
          <w:szCs w:val="21"/>
        </w:rPr>
        <w:t>企业划型标准规定》（工信部联企业</w:t>
      </w:r>
      <w:r>
        <w:rPr>
          <w:rFonts w:ascii="Calibri" w:hAnsi="Calibri" w:eastAsia="Calibri" w:cs="Calibri"/>
          <w:spacing w:val="-5"/>
          <w:sz w:val="21"/>
          <w:szCs w:val="21"/>
        </w:rPr>
        <w:t>[</w:t>
      </w:r>
      <w:r>
        <w:fldChar w:fldCharType="begin"/>
      </w:r>
      <w:r>
        <w:instrText xml:space="preserve"> HYPERLINK \l "bookmark626" </w:instrText>
      </w:r>
      <w:r>
        <w:fldChar w:fldCharType="separate"/>
      </w:r>
      <w:r>
        <w:rPr>
          <w:rFonts w:ascii="Calibri" w:hAnsi="Calibri" w:eastAsia="Calibri" w:cs="Calibri"/>
          <w:spacing w:val="-5"/>
          <w:sz w:val="21"/>
          <w:szCs w:val="21"/>
        </w:rPr>
        <w:t>2011</w:t>
      </w:r>
      <w:r>
        <w:rPr>
          <w:rFonts w:ascii="Calibri" w:hAnsi="Calibri" w:eastAsia="Calibri" w:cs="Calibri"/>
          <w:spacing w:val="-5"/>
          <w:sz w:val="21"/>
          <w:szCs w:val="21"/>
        </w:rPr>
        <w:fldChar w:fldCharType="end"/>
      </w:r>
      <w:r>
        <w:rPr>
          <w:rFonts w:ascii="Calibri" w:hAnsi="Calibri" w:eastAsia="Calibri" w:cs="Calibri"/>
          <w:spacing w:val="-5"/>
          <w:sz w:val="21"/>
          <w:szCs w:val="21"/>
        </w:rPr>
        <w:t>]</w:t>
      </w:r>
      <w:r>
        <w:rPr>
          <w:rFonts w:ascii="Calibri" w:hAnsi="Calibri" w:eastAsia="Calibri" w:cs="Calibri"/>
          <w:spacing w:val="-26"/>
          <w:sz w:val="21"/>
          <w:szCs w:val="21"/>
        </w:rPr>
        <w:t xml:space="preserve"> </w:t>
      </w:r>
      <w:r>
        <w:rPr>
          <w:rFonts w:ascii="Calibri" w:hAnsi="Calibri" w:eastAsia="Calibri" w:cs="Calibri"/>
          <w:spacing w:val="-5"/>
          <w:sz w:val="21"/>
          <w:szCs w:val="21"/>
        </w:rPr>
        <w:t>3</w:t>
      </w:r>
      <w:r>
        <w:rPr>
          <w:rFonts w:ascii="Calibri" w:hAnsi="Calibri" w:eastAsia="Calibri" w:cs="Calibri"/>
          <w:spacing w:val="-6"/>
          <w:sz w:val="21"/>
          <w:szCs w:val="21"/>
        </w:rPr>
        <w:t>00</w:t>
      </w:r>
      <w:r>
        <w:rPr>
          <w:rFonts w:ascii="Calibri" w:hAnsi="Calibri" w:eastAsia="Calibri" w:cs="Calibri"/>
          <w:spacing w:val="25"/>
          <w:sz w:val="21"/>
          <w:szCs w:val="21"/>
        </w:rPr>
        <w:t xml:space="preserve"> </w:t>
      </w:r>
      <w:r>
        <w:rPr>
          <w:rFonts w:ascii="宋体" w:hAnsi="宋体" w:eastAsia="宋体" w:cs="宋体"/>
          <w:spacing w:val="-6"/>
          <w:sz w:val="21"/>
          <w:szCs w:val="21"/>
        </w:rPr>
        <w:t>号）确定的中型企业、小型企业和微型</w:t>
      </w:r>
      <w:r>
        <w:rPr>
          <w:rFonts w:ascii="宋体" w:hAnsi="宋体" w:eastAsia="宋体" w:cs="宋体"/>
          <w:spacing w:val="-5"/>
          <w:sz w:val="21"/>
          <w:szCs w:val="21"/>
        </w:rPr>
        <w:t>企业，但与大企业的负责人为同一人，或者与大企业</w:t>
      </w:r>
      <w:r>
        <w:rPr>
          <w:rFonts w:ascii="宋体" w:hAnsi="宋体" w:eastAsia="宋体" w:cs="宋体"/>
          <w:spacing w:val="-6"/>
          <w:sz w:val="21"/>
          <w:szCs w:val="21"/>
        </w:rPr>
        <w:t>存在直接控股、管理关系的除外。</w:t>
      </w:r>
      <w:r>
        <w:rPr>
          <w:rFonts w:ascii="宋体" w:hAnsi="宋体" w:eastAsia="宋体" w:cs="宋体"/>
          <w:spacing w:val="-2"/>
          <w:sz w:val="21"/>
          <w:szCs w:val="21"/>
        </w:rPr>
        <w:t>预留份额专门面向中小企业采购的项目中（包括整体预留专门面向中</w:t>
      </w:r>
      <w:r>
        <w:rPr>
          <w:rFonts w:ascii="宋体" w:hAnsi="宋体" w:eastAsia="宋体" w:cs="宋体"/>
          <w:spacing w:val="-3"/>
          <w:sz w:val="21"/>
          <w:szCs w:val="21"/>
        </w:rPr>
        <w:t>小企业、整体预留专门面向小微企业、部分预留专门面向中小企业</w:t>
      </w:r>
      <w:r>
        <w:rPr>
          <w:rFonts w:ascii="宋体" w:hAnsi="宋体" w:eastAsia="宋体" w:cs="宋体"/>
          <w:sz w:val="21"/>
          <w:szCs w:val="21"/>
        </w:rPr>
        <w:t>），</w:t>
      </w:r>
      <w:r>
        <w:rPr>
          <w:rFonts w:ascii="宋体" w:hAnsi="宋体" w:eastAsia="宋体" w:cs="宋体"/>
          <w:spacing w:val="-3"/>
          <w:sz w:val="21"/>
          <w:szCs w:val="21"/>
        </w:rPr>
        <w:t>部分预留专门面向中小企业采</w:t>
      </w:r>
      <w:r>
        <w:rPr>
          <w:rFonts w:ascii="宋体" w:hAnsi="宋体" w:eastAsia="宋体" w:cs="宋体"/>
          <w:spacing w:val="-2"/>
          <w:sz w:val="21"/>
          <w:szCs w:val="21"/>
        </w:rPr>
        <w:t>购的项目，招标人要明确预留的工作和金额。招标人要求大企</w:t>
      </w:r>
      <w:r>
        <w:rPr>
          <w:rFonts w:ascii="宋体" w:hAnsi="宋体" w:eastAsia="宋体" w:cs="宋体"/>
          <w:spacing w:val="-3"/>
          <w:sz w:val="21"/>
          <w:szCs w:val="21"/>
        </w:rPr>
        <w:t>业与中小企业组成联合</w:t>
      </w:r>
      <w:r>
        <w:rPr>
          <w:rFonts w:ascii="宋体" w:hAnsi="宋体" w:eastAsia="宋体" w:cs="宋体"/>
          <w:spacing w:val="-2"/>
          <w:sz w:val="21"/>
          <w:szCs w:val="21"/>
        </w:rPr>
        <w:t>体形式或者要求大企业向中小企业分包的形式参加投标的，应</w:t>
      </w:r>
      <w:r>
        <w:rPr>
          <w:rFonts w:ascii="宋体" w:hAnsi="宋体" w:eastAsia="宋体" w:cs="宋体"/>
          <w:spacing w:val="-3"/>
          <w:sz w:val="21"/>
          <w:szCs w:val="21"/>
        </w:rPr>
        <w:t>当明确联合协议或者分</w:t>
      </w:r>
      <w:r>
        <w:rPr>
          <w:rFonts w:ascii="宋体" w:hAnsi="宋体" w:eastAsia="宋体" w:cs="宋体"/>
          <w:spacing w:val="-2"/>
          <w:sz w:val="21"/>
          <w:szCs w:val="21"/>
        </w:rPr>
        <w:t>包意向协议中中小企业合同金额应当达到的比例，并作为投标人资格</w:t>
      </w:r>
      <w:r>
        <w:rPr>
          <w:rFonts w:ascii="宋体" w:hAnsi="宋体" w:eastAsia="宋体" w:cs="宋体"/>
          <w:spacing w:val="-3"/>
          <w:sz w:val="21"/>
          <w:szCs w:val="21"/>
        </w:rPr>
        <w:t>条件。联合体各</w:t>
      </w:r>
      <w:r>
        <w:rPr>
          <w:rFonts w:ascii="宋体" w:hAnsi="宋体" w:eastAsia="宋体" w:cs="宋体"/>
          <w:spacing w:val="-2"/>
          <w:sz w:val="21"/>
          <w:szCs w:val="21"/>
        </w:rPr>
        <w:t>方均为中小企业的，联合体视同中小企业；联合体各方均为小微企业</w:t>
      </w:r>
      <w:r>
        <w:rPr>
          <w:rFonts w:ascii="宋体" w:hAnsi="宋体" w:eastAsia="宋体" w:cs="宋体"/>
          <w:spacing w:val="-3"/>
          <w:sz w:val="21"/>
          <w:szCs w:val="21"/>
        </w:rPr>
        <w:t>的，联合体视同</w:t>
      </w:r>
      <w:r>
        <w:rPr>
          <w:rFonts w:ascii="宋体" w:hAnsi="宋体" w:eastAsia="宋体" w:cs="宋体"/>
          <w:spacing w:val="-2"/>
          <w:sz w:val="21"/>
          <w:szCs w:val="21"/>
        </w:rPr>
        <w:t>小微企业。招标人要求以联合体形式参加或者合同分包的，小</w:t>
      </w:r>
      <w:r>
        <w:rPr>
          <w:rFonts w:ascii="宋体" w:hAnsi="宋体" w:eastAsia="宋体" w:cs="宋体"/>
          <w:spacing w:val="-3"/>
          <w:sz w:val="21"/>
          <w:szCs w:val="21"/>
        </w:rPr>
        <w:t>微企业可以独立参加投</w:t>
      </w:r>
      <w:r>
        <w:rPr>
          <w:rFonts w:ascii="宋体" w:hAnsi="宋体" w:eastAsia="宋体" w:cs="宋体"/>
          <w:spacing w:val="-2"/>
          <w:sz w:val="21"/>
          <w:szCs w:val="21"/>
        </w:rPr>
        <w:t>标，无须以联合体的形式参加或进行合同分包。该类项目因落</w:t>
      </w:r>
      <w:r>
        <w:rPr>
          <w:rFonts w:ascii="宋体" w:hAnsi="宋体" w:eastAsia="宋体" w:cs="宋体"/>
          <w:spacing w:val="-3"/>
          <w:sz w:val="21"/>
          <w:szCs w:val="21"/>
        </w:rPr>
        <w:t>实了政府采购预留份额</w:t>
      </w:r>
      <w:r>
        <w:rPr>
          <w:rFonts w:ascii="宋体" w:hAnsi="宋体" w:eastAsia="宋体" w:cs="宋体"/>
          <w:spacing w:val="-2"/>
          <w:sz w:val="21"/>
          <w:szCs w:val="21"/>
        </w:rPr>
        <w:t>支持中小企业发展政策，在评标时，小微企业不享受价格扣除或增加</w:t>
      </w:r>
      <w:r>
        <w:rPr>
          <w:rFonts w:ascii="宋体" w:hAnsi="宋体" w:eastAsia="宋体" w:cs="宋体"/>
          <w:spacing w:val="-3"/>
          <w:sz w:val="21"/>
          <w:szCs w:val="21"/>
        </w:rPr>
        <w:t>价格分的优惠政</w:t>
      </w:r>
      <w:r>
        <w:rPr>
          <w:rFonts w:ascii="宋体" w:hAnsi="宋体" w:eastAsia="宋体" w:cs="宋体"/>
          <w:spacing w:val="-10"/>
          <w:sz w:val="21"/>
          <w:szCs w:val="21"/>
        </w:rPr>
        <w:t>策。</w:t>
      </w:r>
    </w:p>
    <w:p w14:paraId="6C2C79BC">
      <w:pPr>
        <w:spacing w:before="3" w:line="273" w:lineRule="auto"/>
        <w:ind w:left="653" w:right="90" w:firstLine="4"/>
        <w:jc w:val="both"/>
        <w:rPr>
          <w:rFonts w:ascii="宋体" w:hAnsi="宋体" w:eastAsia="宋体" w:cs="宋体"/>
          <w:sz w:val="21"/>
          <w:szCs w:val="21"/>
        </w:rPr>
      </w:pPr>
      <w:r>
        <w:rPr>
          <w:rFonts w:ascii="宋体" w:hAnsi="宋体" w:eastAsia="宋体" w:cs="宋体"/>
          <w:spacing w:val="-2"/>
          <w:sz w:val="21"/>
          <w:szCs w:val="21"/>
        </w:rPr>
        <w:t>未预留份额专门面向中小企业采购的项目，对小微企业，</w:t>
      </w:r>
      <w:r>
        <w:rPr>
          <w:rFonts w:ascii="宋体" w:hAnsi="宋体" w:eastAsia="宋体" w:cs="宋体"/>
          <w:spacing w:val="-3"/>
          <w:sz w:val="21"/>
          <w:szCs w:val="21"/>
        </w:rPr>
        <w:t>对接受大中型企业与小微企</w:t>
      </w:r>
      <w:r>
        <w:rPr>
          <w:rFonts w:ascii="宋体" w:hAnsi="宋体" w:eastAsia="宋体" w:cs="宋体"/>
          <w:spacing w:val="-2"/>
          <w:sz w:val="21"/>
          <w:szCs w:val="21"/>
        </w:rPr>
        <w:t>业组成联合体或者允许大中型企业向一家或者多家小微企业分包</w:t>
      </w:r>
      <w:r>
        <w:rPr>
          <w:rFonts w:ascii="宋体" w:hAnsi="宋体" w:eastAsia="宋体" w:cs="宋体"/>
          <w:spacing w:val="-3"/>
          <w:sz w:val="21"/>
          <w:szCs w:val="21"/>
        </w:rPr>
        <w:t>的项目，对于联合协议或者分包意向协议约定小微企业的合同份额占到项目合同总金额</w:t>
      </w:r>
      <w:r>
        <w:rPr>
          <w:rFonts w:ascii="宋体" w:hAnsi="宋体" w:eastAsia="宋体" w:cs="宋体"/>
          <w:spacing w:val="-23"/>
          <w:sz w:val="21"/>
          <w:szCs w:val="21"/>
        </w:rPr>
        <w:t xml:space="preserve"> </w:t>
      </w:r>
      <w:r>
        <w:rPr>
          <w:rFonts w:ascii="Calibri" w:hAnsi="Calibri" w:eastAsia="Calibri" w:cs="Calibri"/>
          <w:spacing w:val="-3"/>
          <w:sz w:val="21"/>
          <w:szCs w:val="21"/>
        </w:rPr>
        <w:t>30%</w:t>
      </w:r>
      <w:r>
        <w:rPr>
          <w:rFonts w:ascii="宋体" w:hAnsi="宋体" w:eastAsia="宋体" w:cs="宋体"/>
          <w:spacing w:val="-3"/>
          <w:sz w:val="21"/>
          <w:szCs w:val="21"/>
        </w:rPr>
        <w:t>以上的，对小</w:t>
      </w:r>
      <w:r>
        <w:rPr>
          <w:rFonts w:ascii="宋体" w:hAnsi="宋体" w:eastAsia="宋体" w:cs="宋体"/>
          <w:spacing w:val="-2"/>
          <w:sz w:val="21"/>
          <w:szCs w:val="21"/>
        </w:rPr>
        <w:t>微企业、对大中型企业与小微企业组成的联合体或者向一家或</w:t>
      </w:r>
      <w:r>
        <w:rPr>
          <w:rFonts w:ascii="宋体" w:hAnsi="宋体" w:eastAsia="宋体" w:cs="宋体"/>
          <w:spacing w:val="-3"/>
          <w:sz w:val="21"/>
          <w:szCs w:val="21"/>
        </w:rPr>
        <w:t>者多家小微企业分包的</w:t>
      </w:r>
      <w:r>
        <w:rPr>
          <w:rFonts w:ascii="宋体" w:hAnsi="宋体" w:eastAsia="宋体" w:cs="宋体"/>
          <w:spacing w:val="-2"/>
          <w:sz w:val="21"/>
          <w:szCs w:val="21"/>
        </w:rPr>
        <w:t>大中型企业，在评标时享受价格扣除或增加价格分的优惠政策</w:t>
      </w:r>
      <w:r>
        <w:rPr>
          <w:rFonts w:ascii="宋体" w:hAnsi="宋体" w:eastAsia="宋体" w:cs="宋体"/>
          <w:spacing w:val="-3"/>
          <w:sz w:val="21"/>
          <w:szCs w:val="21"/>
        </w:rPr>
        <w:t>。组成联合体或者接受</w:t>
      </w:r>
      <w:r>
        <w:rPr>
          <w:rFonts w:ascii="宋体" w:hAnsi="宋体" w:eastAsia="宋体" w:cs="宋体"/>
          <w:spacing w:val="-2"/>
          <w:sz w:val="21"/>
          <w:szCs w:val="21"/>
        </w:rPr>
        <w:t>分包的小微企业与联合体内其他企业、分包企业之间存在直接控股</w:t>
      </w:r>
      <w:r>
        <w:rPr>
          <w:rFonts w:ascii="宋体" w:hAnsi="宋体" w:eastAsia="宋体" w:cs="宋体"/>
          <w:spacing w:val="-3"/>
          <w:sz w:val="21"/>
          <w:szCs w:val="21"/>
        </w:rPr>
        <w:t>、管理关系的不享</w:t>
      </w:r>
      <w:r>
        <w:rPr>
          <w:rFonts w:ascii="宋体" w:hAnsi="宋体" w:eastAsia="宋体" w:cs="宋体"/>
          <w:spacing w:val="-5"/>
          <w:sz w:val="21"/>
          <w:szCs w:val="21"/>
        </w:rPr>
        <w:t>受评标优惠。</w:t>
      </w:r>
    </w:p>
    <w:p w14:paraId="6BE43A50">
      <w:pPr>
        <w:spacing w:before="2" w:line="278" w:lineRule="auto"/>
        <w:ind w:left="653" w:right="90" w:firstLine="1"/>
        <w:rPr>
          <w:rFonts w:ascii="宋体" w:hAnsi="宋体" w:eastAsia="宋体" w:cs="宋体"/>
          <w:sz w:val="21"/>
          <w:szCs w:val="21"/>
        </w:rPr>
      </w:pPr>
      <w:r>
        <w:rPr>
          <w:rFonts w:ascii="宋体" w:hAnsi="宋体" w:eastAsia="宋体" w:cs="宋体"/>
          <w:spacing w:val="-2"/>
          <w:sz w:val="21"/>
          <w:szCs w:val="21"/>
        </w:rPr>
        <w:t>享受扶持政策获得政府采购合同的，小微企业不得将合同分包</w:t>
      </w:r>
      <w:r>
        <w:rPr>
          <w:rFonts w:ascii="宋体" w:hAnsi="宋体" w:eastAsia="宋体" w:cs="宋体"/>
          <w:spacing w:val="-3"/>
          <w:sz w:val="21"/>
          <w:szCs w:val="21"/>
        </w:rPr>
        <w:t>给大中型企业，中型企业不得将合同分包给大型企业。</w:t>
      </w:r>
    </w:p>
    <w:p w14:paraId="67643BB9">
      <w:pPr>
        <w:spacing w:before="84" w:line="357" w:lineRule="auto"/>
        <w:ind w:left="550" w:right="23" w:firstLine="108"/>
        <w:rPr>
          <w:rFonts w:ascii="宋体" w:hAnsi="宋体" w:eastAsia="宋体" w:cs="宋体"/>
          <w:sz w:val="21"/>
          <w:szCs w:val="21"/>
        </w:rPr>
      </w:pPr>
      <w:r>
        <w:rPr>
          <w:rFonts w:ascii="宋体" w:hAnsi="宋体" w:eastAsia="宋体" w:cs="宋体"/>
          <w:spacing w:val="-8"/>
          <w:sz w:val="21"/>
          <w:szCs w:val="21"/>
        </w:rPr>
        <w:t>具体的政策依据详见《政府采购促进中小企业发展管理办法》（财库〔</w:t>
      </w:r>
      <w:r>
        <w:rPr>
          <w:rFonts w:ascii="Calibri" w:hAnsi="Calibri" w:eastAsia="Calibri" w:cs="Calibri"/>
          <w:spacing w:val="-8"/>
          <w:sz w:val="21"/>
          <w:szCs w:val="21"/>
        </w:rPr>
        <w:t>2020</w:t>
      </w:r>
      <w:r>
        <w:rPr>
          <w:rFonts w:ascii="宋体" w:hAnsi="宋体" w:eastAsia="宋体" w:cs="宋体"/>
          <w:spacing w:val="-8"/>
          <w:sz w:val="21"/>
          <w:szCs w:val="21"/>
        </w:rPr>
        <w:t>〕</w:t>
      </w:r>
      <w:r>
        <w:rPr>
          <w:rFonts w:ascii="Calibri" w:hAnsi="Calibri" w:eastAsia="Calibri" w:cs="Calibri"/>
          <w:spacing w:val="-8"/>
          <w:sz w:val="21"/>
          <w:szCs w:val="21"/>
        </w:rPr>
        <w:t>46</w:t>
      </w:r>
      <w:r>
        <w:rPr>
          <w:rFonts w:ascii="Calibri" w:hAnsi="Calibri" w:eastAsia="Calibri" w:cs="Calibri"/>
          <w:spacing w:val="43"/>
          <w:sz w:val="21"/>
          <w:szCs w:val="21"/>
        </w:rPr>
        <w:t xml:space="preserve"> </w:t>
      </w:r>
      <w:r>
        <w:rPr>
          <w:rFonts w:ascii="宋体" w:hAnsi="宋体" w:eastAsia="宋体" w:cs="宋体"/>
          <w:spacing w:val="-8"/>
          <w:sz w:val="21"/>
          <w:szCs w:val="21"/>
        </w:rPr>
        <w:t>号）、</w:t>
      </w:r>
      <w:r>
        <w:rPr>
          <w:rFonts w:ascii="宋体" w:hAnsi="宋体" w:eastAsia="宋体" w:cs="宋体"/>
          <w:sz w:val="21"/>
          <w:szCs w:val="21"/>
        </w:rPr>
        <w:t xml:space="preserve"> </w:t>
      </w:r>
      <w:r>
        <w:rPr>
          <w:rFonts w:ascii="宋体" w:hAnsi="宋体" w:eastAsia="宋体" w:cs="宋体"/>
          <w:spacing w:val="-6"/>
          <w:sz w:val="21"/>
          <w:szCs w:val="21"/>
        </w:rPr>
        <w:t>《关于进一步加大政府采购支持中小企业力</w:t>
      </w:r>
      <w:r>
        <w:rPr>
          <w:rFonts w:ascii="宋体" w:hAnsi="宋体" w:eastAsia="宋体" w:cs="宋体"/>
          <w:spacing w:val="-7"/>
          <w:sz w:val="21"/>
          <w:szCs w:val="21"/>
        </w:rPr>
        <w:t>度的通知》（财库〔</w:t>
      </w:r>
      <w:r>
        <w:rPr>
          <w:rFonts w:ascii="Calibri" w:hAnsi="Calibri" w:eastAsia="Calibri" w:cs="Calibri"/>
          <w:spacing w:val="-7"/>
          <w:sz w:val="21"/>
          <w:szCs w:val="21"/>
        </w:rPr>
        <w:t>2022</w:t>
      </w:r>
      <w:r>
        <w:rPr>
          <w:rFonts w:ascii="宋体" w:hAnsi="宋体" w:eastAsia="宋体" w:cs="宋体"/>
          <w:spacing w:val="-7"/>
          <w:sz w:val="21"/>
          <w:szCs w:val="21"/>
        </w:rPr>
        <w:t>〕</w:t>
      </w:r>
      <w:r>
        <w:rPr>
          <w:rFonts w:ascii="Calibri" w:hAnsi="Calibri" w:eastAsia="Calibri" w:cs="Calibri"/>
          <w:spacing w:val="-7"/>
          <w:sz w:val="21"/>
          <w:szCs w:val="21"/>
        </w:rPr>
        <w:t>19</w:t>
      </w:r>
      <w:r>
        <w:rPr>
          <w:rFonts w:ascii="Calibri" w:hAnsi="Calibri" w:eastAsia="Calibri" w:cs="Calibri"/>
          <w:spacing w:val="25"/>
          <w:w w:val="101"/>
          <w:sz w:val="21"/>
          <w:szCs w:val="21"/>
        </w:rPr>
        <w:t xml:space="preserve"> </w:t>
      </w:r>
      <w:r>
        <w:rPr>
          <w:rFonts w:ascii="宋体" w:hAnsi="宋体" w:eastAsia="宋体" w:cs="宋体"/>
          <w:spacing w:val="-7"/>
          <w:sz w:val="21"/>
          <w:szCs w:val="21"/>
        </w:rPr>
        <w:t>号）。</w:t>
      </w:r>
    </w:p>
    <w:p w14:paraId="7CA90732">
      <w:pPr>
        <w:spacing w:line="357" w:lineRule="auto"/>
        <w:rPr>
          <w:rFonts w:ascii="宋体" w:hAnsi="宋体" w:eastAsia="宋体" w:cs="宋体"/>
          <w:sz w:val="21"/>
          <w:szCs w:val="21"/>
        </w:rPr>
        <w:sectPr>
          <w:footerReference r:id="rId48" w:type="default"/>
          <w:pgSz w:w="11910" w:h="16845"/>
          <w:pgMar w:top="1431" w:right="1689" w:bottom="1065" w:left="1786" w:header="0" w:footer="838" w:gutter="0"/>
          <w:cols w:space="720" w:num="1"/>
        </w:sectPr>
      </w:pPr>
    </w:p>
    <w:p w14:paraId="0EA3A66B">
      <w:pPr>
        <w:spacing w:before="118" w:line="219" w:lineRule="auto"/>
        <w:ind w:left="128"/>
        <w:outlineLvl w:val="1"/>
        <w:rPr>
          <w:rFonts w:ascii="黑体" w:hAnsi="黑体" w:eastAsia="黑体" w:cs="黑体"/>
          <w:sz w:val="24"/>
          <w:szCs w:val="24"/>
        </w:rPr>
      </w:pPr>
      <w:bookmarkStart w:id="18" w:name="bookmark17"/>
      <w:bookmarkEnd w:id="18"/>
      <w:r>
        <w:rPr>
          <w:rFonts w:ascii="黑体" w:hAnsi="黑体" w:eastAsia="黑体" w:cs="黑体"/>
          <w:b/>
          <w:bCs/>
          <w:sz w:val="24"/>
          <w:szCs w:val="24"/>
        </w:rPr>
        <w:t>附录二：政府采购工程预留工作及金额</w:t>
      </w:r>
    </w:p>
    <w:p w14:paraId="5977C3D1">
      <w:pPr>
        <w:spacing w:before="7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5"/>
        <w:gridCol w:w="1821"/>
      </w:tblGrid>
      <w:tr w14:paraId="19850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0" w:hRule="atLeast"/>
        </w:trPr>
        <w:tc>
          <w:tcPr>
            <w:tcW w:w="742" w:type="dxa"/>
            <w:vAlign w:val="top"/>
          </w:tcPr>
          <w:p w14:paraId="6D0DA7B8">
            <w:pPr>
              <w:spacing w:line="289" w:lineRule="auto"/>
              <w:rPr>
                <w:rFonts w:ascii="Arial"/>
                <w:sz w:val="21"/>
              </w:rPr>
            </w:pPr>
          </w:p>
          <w:p w14:paraId="768DC609">
            <w:pPr>
              <w:pStyle w:val="6"/>
              <w:spacing w:before="69" w:line="221" w:lineRule="auto"/>
              <w:ind w:left="157"/>
              <w:rPr>
                <w:sz w:val="21"/>
                <w:szCs w:val="21"/>
              </w:rPr>
            </w:pPr>
            <w:r>
              <w:rPr>
                <w:spacing w:val="-2"/>
                <w:sz w:val="21"/>
                <w:szCs w:val="21"/>
              </w:rPr>
              <w:t>序号</w:t>
            </w:r>
          </w:p>
        </w:tc>
        <w:tc>
          <w:tcPr>
            <w:tcW w:w="3193" w:type="dxa"/>
            <w:vAlign w:val="top"/>
          </w:tcPr>
          <w:p w14:paraId="4E3F452F">
            <w:pPr>
              <w:spacing w:line="289" w:lineRule="auto"/>
              <w:rPr>
                <w:rFonts w:ascii="Arial"/>
                <w:sz w:val="21"/>
              </w:rPr>
            </w:pPr>
          </w:p>
          <w:p w14:paraId="2843FCDB">
            <w:pPr>
              <w:pStyle w:val="6"/>
              <w:spacing w:before="68" w:line="220" w:lineRule="auto"/>
              <w:ind w:left="754"/>
              <w:rPr>
                <w:sz w:val="21"/>
                <w:szCs w:val="21"/>
              </w:rPr>
            </w:pPr>
            <w:r>
              <w:rPr>
                <w:spacing w:val="-1"/>
                <w:sz w:val="21"/>
                <w:szCs w:val="21"/>
              </w:rPr>
              <w:t>预留工作内容名称</w:t>
            </w:r>
          </w:p>
        </w:tc>
        <w:tc>
          <w:tcPr>
            <w:tcW w:w="1424" w:type="dxa"/>
            <w:vAlign w:val="top"/>
          </w:tcPr>
          <w:p w14:paraId="19A5B5C1">
            <w:pPr>
              <w:pStyle w:val="6"/>
              <w:spacing w:before="45" w:line="262" w:lineRule="auto"/>
              <w:ind w:left="189" w:right="176" w:firstLine="105"/>
              <w:jc w:val="both"/>
              <w:rPr>
                <w:sz w:val="21"/>
                <w:szCs w:val="21"/>
              </w:rPr>
            </w:pPr>
            <w:r>
              <w:rPr>
                <w:spacing w:val="-3"/>
                <w:sz w:val="21"/>
                <w:szCs w:val="21"/>
              </w:rPr>
              <w:t>预留工作</w:t>
            </w:r>
            <w:r>
              <w:rPr>
                <w:spacing w:val="-2"/>
                <w:sz w:val="21"/>
                <w:szCs w:val="21"/>
              </w:rPr>
              <w:t>合同估算价</w:t>
            </w:r>
            <w:r>
              <w:rPr>
                <w:spacing w:val="20"/>
                <w:sz w:val="21"/>
                <w:szCs w:val="21"/>
              </w:rPr>
              <w:t>（万元）</w:t>
            </w:r>
          </w:p>
        </w:tc>
        <w:tc>
          <w:tcPr>
            <w:tcW w:w="1335" w:type="dxa"/>
            <w:vAlign w:val="top"/>
          </w:tcPr>
          <w:p w14:paraId="568B63B1">
            <w:pPr>
              <w:pStyle w:val="6"/>
              <w:spacing w:before="45" w:line="262" w:lineRule="auto"/>
              <w:ind w:left="253" w:right="129" w:hanging="105"/>
              <w:jc w:val="right"/>
              <w:rPr>
                <w:sz w:val="21"/>
                <w:szCs w:val="21"/>
              </w:rPr>
            </w:pPr>
            <w:r>
              <w:rPr>
                <w:spacing w:val="-2"/>
                <w:sz w:val="21"/>
                <w:szCs w:val="21"/>
              </w:rPr>
              <w:t>预留合同估</w:t>
            </w:r>
            <w:r>
              <w:rPr>
                <w:spacing w:val="-3"/>
                <w:sz w:val="21"/>
                <w:szCs w:val="21"/>
              </w:rPr>
              <w:t>算价占比</w:t>
            </w:r>
            <w:r>
              <w:rPr>
                <w:spacing w:val="26"/>
                <w:sz w:val="21"/>
                <w:szCs w:val="21"/>
              </w:rPr>
              <w:t>(%)</w:t>
            </w:r>
          </w:p>
        </w:tc>
        <w:tc>
          <w:tcPr>
            <w:tcW w:w="1821" w:type="dxa"/>
            <w:vAlign w:val="top"/>
          </w:tcPr>
          <w:p w14:paraId="44EF4544">
            <w:pPr>
              <w:spacing w:line="289" w:lineRule="auto"/>
              <w:rPr>
                <w:rFonts w:ascii="Arial"/>
                <w:sz w:val="21"/>
              </w:rPr>
            </w:pPr>
          </w:p>
          <w:p w14:paraId="07199F78">
            <w:pPr>
              <w:pStyle w:val="6"/>
              <w:spacing w:before="69" w:line="221" w:lineRule="auto"/>
              <w:ind w:left="706"/>
              <w:rPr>
                <w:sz w:val="21"/>
                <w:szCs w:val="21"/>
              </w:rPr>
            </w:pPr>
            <w:r>
              <w:rPr>
                <w:spacing w:val="-3"/>
                <w:sz w:val="21"/>
                <w:szCs w:val="21"/>
              </w:rPr>
              <w:t>备注</w:t>
            </w:r>
          </w:p>
        </w:tc>
      </w:tr>
      <w:tr w14:paraId="00192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7D2206F2">
            <w:pPr>
              <w:pStyle w:val="6"/>
              <w:spacing w:before="136" w:line="176" w:lineRule="auto"/>
              <w:ind w:left="325"/>
              <w:rPr>
                <w:sz w:val="21"/>
                <w:szCs w:val="21"/>
              </w:rPr>
            </w:pPr>
            <w:r>
              <w:rPr>
                <w:sz w:val="21"/>
                <w:szCs w:val="21"/>
              </w:rPr>
              <w:t>1</w:t>
            </w:r>
          </w:p>
        </w:tc>
        <w:tc>
          <w:tcPr>
            <w:tcW w:w="3193" w:type="dxa"/>
            <w:vAlign w:val="top"/>
          </w:tcPr>
          <w:p w14:paraId="3B698244">
            <w:pPr>
              <w:rPr>
                <w:rFonts w:ascii="Arial"/>
                <w:sz w:val="21"/>
              </w:rPr>
            </w:pPr>
          </w:p>
        </w:tc>
        <w:tc>
          <w:tcPr>
            <w:tcW w:w="1424" w:type="dxa"/>
            <w:vAlign w:val="top"/>
          </w:tcPr>
          <w:p w14:paraId="50DBA382">
            <w:pPr>
              <w:rPr>
                <w:rFonts w:ascii="Arial"/>
                <w:sz w:val="21"/>
              </w:rPr>
            </w:pPr>
          </w:p>
        </w:tc>
        <w:tc>
          <w:tcPr>
            <w:tcW w:w="1335" w:type="dxa"/>
            <w:vAlign w:val="top"/>
          </w:tcPr>
          <w:p w14:paraId="67E2E8EA">
            <w:pPr>
              <w:rPr>
                <w:rFonts w:ascii="Arial"/>
                <w:sz w:val="21"/>
              </w:rPr>
            </w:pPr>
          </w:p>
        </w:tc>
        <w:tc>
          <w:tcPr>
            <w:tcW w:w="1821" w:type="dxa"/>
            <w:vAlign w:val="top"/>
          </w:tcPr>
          <w:p w14:paraId="5F7D1456">
            <w:pPr>
              <w:rPr>
                <w:rFonts w:ascii="Arial"/>
                <w:sz w:val="21"/>
              </w:rPr>
            </w:pPr>
          </w:p>
        </w:tc>
      </w:tr>
      <w:tr w14:paraId="61ACB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61FF3D66">
            <w:pPr>
              <w:pStyle w:val="6"/>
              <w:spacing w:before="149" w:line="178" w:lineRule="auto"/>
              <w:ind w:left="318"/>
              <w:rPr>
                <w:sz w:val="21"/>
                <w:szCs w:val="21"/>
              </w:rPr>
            </w:pPr>
            <w:r>
              <w:rPr>
                <w:sz w:val="21"/>
                <w:szCs w:val="21"/>
              </w:rPr>
              <w:t>2</w:t>
            </w:r>
          </w:p>
        </w:tc>
        <w:tc>
          <w:tcPr>
            <w:tcW w:w="3193" w:type="dxa"/>
            <w:vAlign w:val="top"/>
          </w:tcPr>
          <w:p w14:paraId="5D6C6E03">
            <w:pPr>
              <w:rPr>
                <w:rFonts w:ascii="Arial"/>
                <w:sz w:val="21"/>
              </w:rPr>
            </w:pPr>
          </w:p>
        </w:tc>
        <w:tc>
          <w:tcPr>
            <w:tcW w:w="1424" w:type="dxa"/>
            <w:vAlign w:val="top"/>
          </w:tcPr>
          <w:p w14:paraId="7637478C">
            <w:pPr>
              <w:rPr>
                <w:rFonts w:ascii="Arial"/>
                <w:sz w:val="21"/>
              </w:rPr>
            </w:pPr>
          </w:p>
        </w:tc>
        <w:tc>
          <w:tcPr>
            <w:tcW w:w="1335" w:type="dxa"/>
            <w:vAlign w:val="top"/>
          </w:tcPr>
          <w:p w14:paraId="7A4698AA">
            <w:pPr>
              <w:rPr>
                <w:rFonts w:ascii="Arial"/>
                <w:sz w:val="21"/>
              </w:rPr>
            </w:pPr>
          </w:p>
        </w:tc>
        <w:tc>
          <w:tcPr>
            <w:tcW w:w="1821" w:type="dxa"/>
            <w:vAlign w:val="top"/>
          </w:tcPr>
          <w:p w14:paraId="53A6FF73">
            <w:pPr>
              <w:rPr>
                <w:rFonts w:ascii="Arial"/>
                <w:sz w:val="21"/>
              </w:rPr>
            </w:pPr>
          </w:p>
        </w:tc>
      </w:tr>
      <w:tr w14:paraId="6178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6ACA9201">
            <w:pPr>
              <w:pStyle w:val="6"/>
              <w:spacing w:before="151" w:line="177" w:lineRule="auto"/>
              <w:ind w:left="316"/>
              <w:rPr>
                <w:sz w:val="21"/>
                <w:szCs w:val="21"/>
              </w:rPr>
            </w:pPr>
            <w:r>
              <w:rPr>
                <w:sz w:val="21"/>
                <w:szCs w:val="21"/>
              </w:rPr>
              <w:t>3</w:t>
            </w:r>
          </w:p>
        </w:tc>
        <w:tc>
          <w:tcPr>
            <w:tcW w:w="3193" w:type="dxa"/>
            <w:vAlign w:val="top"/>
          </w:tcPr>
          <w:p w14:paraId="3029AF72">
            <w:pPr>
              <w:rPr>
                <w:rFonts w:ascii="Arial"/>
                <w:sz w:val="21"/>
              </w:rPr>
            </w:pPr>
          </w:p>
        </w:tc>
        <w:tc>
          <w:tcPr>
            <w:tcW w:w="1424" w:type="dxa"/>
            <w:vAlign w:val="top"/>
          </w:tcPr>
          <w:p w14:paraId="22E73838">
            <w:pPr>
              <w:rPr>
                <w:rFonts w:ascii="Arial"/>
                <w:sz w:val="21"/>
              </w:rPr>
            </w:pPr>
          </w:p>
        </w:tc>
        <w:tc>
          <w:tcPr>
            <w:tcW w:w="1335" w:type="dxa"/>
            <w:vAlign w:val="top"/>
          </w:tcPr>
          <w:p w14:paraId="5EC165F7">
            <w:pPr>
              <w:rPr>
                <w:rFonts w:ascii="Arial"/>
                <w:sz w:val="21"/>
              </w:rPr>
            </w:pPr>
          </w:p>
        </w:tc>
        <w:tc>
          <w:tcPr>
            <w:tcW w:w="1821" w:type="dxa"/>
            <w:vAlign w:val="top"/>
          </w:tcPr>
          <w:p w14:paraId="5BDDA1DB">
            <w:pPr>
              <w:rPr>
                <w:rFonts w:ascii="Arial"/>
                <w:sz w:val="21"/>
              </w:rPr>
            </w:pPr>
          </w:p>
        </w:tc>
      </w:tr>
      <w:tr w14:paraId="0E409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30DCD534">
            <w:pPr>
              <w:pStyle w:val="6"/>
              <w:spacing w:before="151" w:line="179" w:lineRule="auto"/>
              <w:ind w:left="308"/>
              <w:rPr>
                <w:sz w:val="21"/>
                <w:szCs w:val="21"/>
              </w:rPr>
            </w:pPr>
            <w:r>
              <w:rPr>
                <w:sz w:val="21"/>
                <w:szCs w:val="21"/>
              </w:rPr>
              <w:t>4</w:t>
            </w:r>
          </w:p>
        </w:tc>
        <w:tc>
          <w:tcPr>
            <w:tcW w:w="3193" w:type="dxa"/>
            <w:vAlign w:val="top"/>
          </w:tcPr>
          <w:p w14:paraId="0EBA5B61">
            <w:pPr>
              <w:rPr>
                <w:rFonts w:ascii="Arial"/>
                <w:sz w:val="21"/>
              </w:rPr>
            </w:pPr>
          </w:p>
        </w:tc>
        <w:tc>
          <w:tcPr>
            <w:tcW w:w="1424" w:type="dxa"/>
            <w:vAlign w:val="top"/>
          </w:tcPr>
          <w:p w14:paraId="3EE1DA25">
            <w:pPr>
              <w:rPr>
                <w:rFonts w:ascii="Arial"/>
                <w:sz w:val="21"/>
              </w:rPr>
            </w:pPr>
          </w:p>
        </w:tc>
        <w:tc>
          <w:tcPr>
            <w:tcW w:w="1335" w:type="dxa"/>
            <w:vAlign w:val="top"/>
          </w:tcPr>
          <w:p w14:paraId="7FF1576D">
            <w:pPr>
              <w:rPr>
                <w:rFonts w:ascii="Arial"/>
                <w:sz w:val="21"/>
              </w:rPr>
            </w:pPr>
          </w:p>
        </w:tc>
        <w:tc>
          <w:tcPr>
            <w:tcW w:w="1821" w:type="dxa"/>
            <w:vAlign w:val="top"/>
          </w:tcPr>
          <w:p w14:paraId="599BE5BD">
            <w:pPr>
              <w:rPr>
                <w:rFonts w:ascii="Arial"/>
                <w:sz w:val="21"/>
              </w:rPr>
            </w:pPr>
          </w:p>
        </w:tc>
      </w:tr>
      <w:tr w14:paraId="20BE6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67EA4101">
            <w:pPr>
              <w:pStyle w:val="6"/>
              <w:spacing w:before="150" w:line="180" w:lineRule="auto"/>
              <w:ind w:left="318"/>
              <w:rPr>
                <w:sz w:val="21"/>
                <w:szCs w:val="21"/>
              </w:rPr>
            </w:pPr>
            <w:r>
              <w:rPr>
                <w:sz w:val="21"/>
                <w:szCs w:val="21"/>
              </w:rPr>
              <w:t>5</w:t>
            </w:r>
          </w:p>
        </w:tc>
        <w:tc>
          <w:tcPr>
            <w:tcW w:w="3193" w:type="dxa"/>
            <w:vAlign w:val="top"/>
          </w:tcPr>
          <w:p w14:paraId="7E438C65">
            <w:pPr>
              <w:rPr>
                <w:rFonts w:ascii="Arial"/>
                <w:sz w:val="21"/>
              </w:rPr>
            </w:pPr>
          </w:p>
        </w:tc>
        <w:tc>
          <w:tcPr>
            <w:tcW w:w="1424" w:type="dxa"/>
            <w:vAlign w:val="top"/>
          </w:tcPr>
          <w:p w14:paraId="20D91FDC">
            <w:pPr>
              <w:rPr>
                <w:rFonts w:ascii="Arial"/>
                <w:sz w:val="21"/>
              </w:rPr>
            </w:pPr>
          </w:p>
        </w:tc>
        <w:tc>
          <w:tcPr>
            <w:tcW w:w="1335" w:type="dxa"/>
            <w:vAlign w:val="top"/>
          </w:tcPr>
          <w:p w14:paraId="4EB7D207">
            <w:pPr>
              <w:rPr>
                <w:rFonts w:ascii="Arial"/>
                <w:sz w:val="21"/>
              </w:rPr>
            </w:pPr>
          </w:p>
        </w:tc>
        <w:tc>
          <w:tcPr>
            <w:tcW w:w="1821" w:type="dxa"/>
            <w:vAlign w:val="top"/>
          </w:tcPr>
          <w:p w14:paraId="3DD22605">
            <w:pPr>
              <w:rPr>
                <w:rFonts w:ascii="Arial"/>
                <w:sz w:val="21"/>
              </w:rPr>
            </w:pPr>
          </w:p>
        </w:tc>
      </w:tr>
      <w:tr w14:paraId="60F72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49B2E117">
            <w:pPr>
              <w:pStyle w:val="6"/>
              <w:spacing w:before="157" w:line="176" w:lineRule="auto"/>
              <w:ind w:left="318"/>
              <w:rPr>
                <w:sz w:val="21"/>
                <w:szCs w:val="21"/>
              </w:rPr>
            </w:pPr>
            <w:r>
              <w:rPr>
                <w:sz w:val="21"/>
                <w:szCs w:val="21"/>
              </w:rPr>
              <w:t>6</w:t>
            </w:r>
          </w:p>
        </w:tc>
        <w:tc>
          <w:tcPr>
            <w:tcW w:w="3193" w:type="dxa"/>
            <w:vAlign w:val="top"/>
          </w:tcPr>
          <w:p w14:paraId="6C43A763">
            <w:pPr>
              <w:rPr>
                <w:rFonts w:ascii="Arial"/>
                <w:sz w:val="21"/>
              </w:rPr>
            </w:pPr>
          </w:p>
        </w:tc>
        <w:tc>
          <w:tcPr>
            <w:tcW w:w="1424" w:type="dxa"/>
            <w:vAlign w:val="top"/>
          </w:tcPr>
          <w:p w14:paraId="2D40062D">
            <w:pPr>
              <w:rPr>
                <w:rFonts w:ascii="Arial"/>
                <w:sz w:val="21"/>
              </w:rPr>
            </w:pPr>
          </w:p>
        </w:tc>
        <w:tc>
          <w:tcPr>
            <w:tcW w:w="1335" w:type="dxa"/>
            <w:vAlign w:val="top"/>
          </w:tcPr>
          <w:p w14:paraId="71F166D7">
            <w:pPr>
              <w:rPr>
                <w:rFonts w:ascii="Arial"/>
                <w:sz w:val="21"/>
              </w:rPr>
            </w:pPr>
          </w:p>
        </w:tc>
        <w:tc>
          <w:tcPr>
            <w:tcW w:w="1821" w:type="dxa"/>
            <w:vAlign w:val="top"/>
          </w:tcPr>
          <w:p w14:paraId="616D31F1">
            <w:pPr>
              <w:rPr>
                <w:rFonts w:ascii="Arial"/>
                <w:sz w:val="21"/>
              </w:rPr>
            </w:pPr>
          </w:p>
        </w:tc>
      </w:tr>
      <w:tr w14:paraId="4A2D3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42" w:type="dxa"/>
            <w:vAlign w:val="top"/>
          </w:tcPr>
          <w:p w14:paraId="21FF4038">
            <w:pPr>
              <w:rPr>
                <w:rFonts w:ascii="Arial"/>
                <w:sz w:val="21"/>
              </w:rPr>
            </w:pPr>
          </w:p>
        </w:tc>
        <w:tc>
          <w:tcPr>
            <w:tcW w:w="3193" w:type="dxa"/>
            <w:vAlign w:val="top"/>
          </w:tcPr>
          <w:p w14:paraId="13032971">
            <w:pPr>
              <w:pStyle w:val="6"/>
              <w:spacing w:before="124" w:line="221" w:lineRule="auto"/>
              <w:ind w:left="1385"/>
              <w:rPr>
                <w:sz w:val="21"/>
                <w:szCs w:val="21"/>
              </w:rPr>
            </w:pPr>
            <w:r>
              <w:rPr>
                <w:spacing w:val="-3"/>
                <w:sz w:val="21"/>
                <w:szCs w:val="21"/>
              </w:rPr>
              <w:t>合计</w:t>
            </w:r>
          </w:p>
        </w:tc>
        <w:tc>
          <w:tcPr>
            <w:tcW w:w="1424" w:type="dxa"/>
            <w:vAlign w:val="top"/>
          </w:tcPr>
          <w:p w14:paraId="43AF7F62">
            <w:pPr>
              <w:rPr>
                <w:rFonts w:ascii="Arial"/>
                <w:sz w:val="21"/>
              </w:rPr>
            </w:pPr>
          </w:p>
        </w:tc>
        <w:tc>
          <w:tcPr>
            <w:tcW w:w="1335" w:type="dxa"/>
            <w:vAlign w:val="top"/>
          </w:tcPr>
          <w:p w14:paraId="56A2E4CB">
            <w:pPr>
              <w:rPr>
                <w:rFonts w:ascii="Arial"/>
                <w:sz w:val="21"/>
              </w:rPr>
            </w:pPr>
          </w:p>
        </w:tc>
        <w:tc>
          <w:tcPr>
            <w:tcW w:w="1821" w:type="dxa"/>
            <w:vAlign w:val="top"/>
          </w:tcPr>
          <w:p w14:paraId="7C38F516">
            <w:pPr>
              <w:rPr>
                <w:rFonts w:ascii="Arial"/>
                <w:sz w:val="21"/>
              </w:rPr>
            </w:pPr>
          </w:p>
        </w:tc>
      </w:tr>
      <w:tr w14:paraId="0A854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7F6721D6">
            <w:pPr>
              <w:rPr>
                <w:rFonts w:ascii="Arial"/>
                <w:sz w:val="21"/>
              </w:rPr>
            </w:pPr>
          </w:p>
        </w:tc>
        <w:tc>
          <w:tcPr>
            <w:tcW w:w="3193" w:type="dxa"/>
            <w:vAlign w:val="top"/>
          </w:tcPr>
          <w:p w14:paraId="608F1A67">
            <w:pPr>
              <w:pStyle w:val="6"/>
              <w:spacing w:before="111" w:line="218" w:lineRule="auto"/>
              <w:ind w:left="333"/>
              <w:rPr>
                <w:sz w:val="21"/>
                <w:szCs w:val="21"/>
              </w:rPr>
            </w:pPr>
            <w:r>
              <w:rPr>
                <w:spacing w:val="-2"/>
                <w:sz w:val="21"/>
                <w:szCs w:val="21"/>
              </w:rPr>
              <w:t>本项目合同估算价（万元）</w:t>
            </w:r>
          </w:p>
        </w:tc>
        <w:tc>
          <w:tcPr>
            <w:tcW w:w="2759" w:type="dxa"/>
            <w:gridSpan w:val="2"/>
            <w:vAlign w:val="top"/>
          </w:tcPr>
          <w:p w14:paraId="60609100">
            <w:pPr>
              <w:rPr>
                <w:rFonts w:ascii="Arial"/>
                <w:sz w:val="21"/>
              </w:rPr>
            </w:pPr>
          </w:p>
        </w:tc>
        <w:tc>
          <w:tcPr>
            <w:tcW w:w="1821" w:type="dxa"/>
            <w:vAlign w:val="top"/>
          </w:tcPr>
          <w:p w14:paraId="02944A4C">
            <w:pPr>
              <w:rPr>
                <w:rFonts w:ascii="Arial"/>
                <w:sz w:val="21"/>
              </w:rPr>
            </w:pPr>
          </w:p>
        </w:tc>
      </w:tr>
    </w:tbl>
    <w:p w14:paraId="1E8F7303">
      <w:pPr>
        <w:pStyle w:val="2"/>
        <w:spacing w:line="364" w:lineRule="auto"/>
      </w:pPr>
    </w:p>
    <w:p w14:paraId="24D33FC9">
      <w:pPr>
        <w:spacing w:before="68" w:line="239" w:lineRule="auto"/>
        <w:ind w:left="116"/>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12"/>
          <w:w w:val="102"/>
          <w:sz w:val="21"/>
          <w:szCs w:val="21"/>
        </w:rPr>
        <w:t xml:space="preserve">  </w:t>
      </w:r>
      <w:r>
        <w:rPr>
          <w:rFonts w:ascii="宋体" w:hAnsi="宋体" w:eastAsia="宋体" w:cs="宋体"/>
          <w:sz w:val="21"/>
          <w:szCs w:val="21"/>
        </w:rPr>
        <w:t>政府采购工程采用部分预留专门面向中小企业的，招标人应当明确预留</w:t>
      </w:r>
      <w:r>
        <w:rPr>
          <w:rFonts w:ascii="宋体" w:hAnsi="宋体" w:eastAsia="宋体" w:cs="宋体"/>
          <w:spacing w:val="-1"/>
          <w:sz w:val="21"/>
          <w:szCs w:val="21"/>
        </w:rPr>
        <w:t>工作、预</w:t>
      </w:r>
    </w:p>
    <w:p w14:paraId="032CCC56">
      <w:pPr>
        <w:spacing w:before="43" w:line="218" w:lineRule="auto"/>
        <w:ind w:left="1075"/>
        <w:rPr>
          <w:rFonts w:ascii="宋体" w:hAnsi="宋体" w:eastAsia="宋体" w:cs="宋体"/>
          <w:sz w:val="21"/>
          <w:szCs w:val="21"/>
        </w:rPr>
      </w:pPr>
      <w:r>
        <w:rPr>
          <w:rFonts w:ascii="宋体" w:hAnsi="宋体" w:eastAsia="宋体" w:cs="宋体"/>
          <w:spacing w:val="-2"/>
          <w:sz w:val="21"/>
          <w:szCs w:val="21"/>
        </w:rPr>
        <w:t>留工作合同估算价及预留合同估算价与项目合同估算价的占比。</w:t>
      </w:r>
    </w:p>
    <w:p w14:paraId="01206DA4">
      <w:pPr>
        <w:spacing w:before="68" w:line="274" w:lineRule="auto"/>
        <w:ind w:left="1059" w:right="100" w:hanging="312"/>
        <w:rPr>
          <w:rFonts w:ascii="宋体" w:hAnsi="宋体" w:eastAsia="宋体" w:cs="宋体"/>
          <w:sz w:val="21"/>
          <w:szCs w:val="21"/>
        </w:rPr>
      </w:pPr>
      <w:r>
        <w:rPr>
          <w:rFonts w:ascii="Calibri" w:hAnsi="Calibri" w:eastAsia="Calibri" w:cs="Calibri"/>
          <w:spacing w:val="-9"/>
          <w:sz w:val="21"/>
          <w:szCs w:val="21"/>
        </w:rPr>
        <w:t>2.</w:t>
      </w:r>
      <w:r>
        <w:rPr>
          <w:rFonts w:ascii="Calibri" w:hAnsi="Calibri" w:eastAsia="Calibri" w:cs="Calibri"/>
          <w:spacing w:val="13"/>
          <w:w w:val="101"/>
          <w:sz w:val="21"/>
          <w:szCs w:val="21"/>
        </w:rPr>
        <w:t xml:space="preserve">  </w:t>
      </w:r>
      <w:r>
        <w:rPr>
          <w:rFonts w:ascii="宋体" w:hAnsi="宋体" w:eastAsia="宋体" w:cs="宋体"/>
          <w:spacing w:val="-9"/>
          <w:sz w:val="21"/>
          <w:szCs w:val="21"/>
        </w:rPr>
        <w:t>招标人部分预留专门面向中小企业时，应</w:t>
      </w:r>
      <w:r>
        <w:rPr>
          <w:rFonts w:ascii="宋体" w:hAnsi="宋体" w:eastAsia="宋体" w:cs="宋体"/>
          <w:spacing w:val="-10"/>
          <w:sz w:val="21"/>
          <w:szCs w:val="21"/>
        </w:rPr>
        <w:t>根据项目的实际情况，结合《建筑法》《招</w:t>
      </w:r>
      <w:r>
        <w:rPr>
          <w:rFonts w:ascii="宋体" w:hAnsi="宋体" w:eastAsia="宋体" w:cs="宋体"/>
          <w:spacing w:val="-6"/>
          <w:sz w:val="21"/>
          <w:szCs w:val="21"/>
        </w:rPr>
        <w:t>标投标法》《建筑业企业资质标准》《政府采购促进中小企业发展管理办法》的相</w:t>
      </w:r>
      <w:r>
        <w:rPr>
          <w:rFonts w:ascii="宋体" w:hAnsi="宋体" w:eastAsia="宋体" w:cs="宋体"/>
          <w:sz w:val="21"/>
          <w:szCs w:val="21"/>
        </w:rPr>
        <w:t>关规定，合理设置政府采购特别资格要求，充分考虑预留工作与要求以联合体形式参加或者要求进行合同分包的适配性，以及联合协议或者分包意向协议中中小</w:t>
      </w:r>
      <w:r>
        <w:rPr>
          <w:rFonts w:ascii="宋体" w:hAnsi="宋体" w:eastAsia="宋体" w:cs="宋体"/>
          <w:spacing w:val="-2"/>
          <w:sz w:val="21"/>
          <w:szCs w:val="21"/>
        </w:rPr>
        <w:t>企业合同金额应当达到的比例的适配性。</w:t>
      </w:r>
    </w:p>
    <w:p w14:paraId="58E99C8C">
      <w:pPr>
        <w:spacing w:before="2" w:line="269" w:lineRule="auto"/>
        <w:ind w:left="955" w:right="157" w:hanging="209"/>
        <w:rPr>
          <w:rFonts w:ascii="宋体" w:hAnsi="宋体" w:eastAsia="宋体" w:cs="宋体"/>
          <w:sz w:val="21"/>
          <w:szCs w:val="21"/>
        </w:rPr>
      </w:pPr>
      <w:r>
        <w:rPr>
          <w:rFonts w:ascii="Calibri" w:hAnsi="Calibri" w:eastAsia="Calibri" w:cs="Calibri"/>
          <w:sz w:val="21"/>
          <w:szCs w:val="21"/>
        </w:rPr>
        <w:t>3.</w:t>
      </w:r>
      <w:r>
        <w:rPr>
          <w:rFonts w:ascii="Calibri" w:hAnsi="Calibri" w:eastAsia="Calibri" w:cs="Calibri"/>
          <w:spacing w:val="13"/>
          <w:w w:val="101"/>
          <w:sz w:val="21"/>
          <w:szCs w:val="21"/>
        </w:rPr>
        <w:t xml:space="preserve">  </w:t>
      </w:r>
      <w:r>
        <w:rPr>
          <w:rFonts w:ascii="宋体" w:hAnsi="宋体" w:eastAsia="宋体" w:cs="宋体"/>
          <w:sz w:val="21"/>
          <w:szCs w:val="21"/>
        </w:rPr>
        <w:t>预留工作中包含专业工程暂估价的，则在备注栏中标注采用工程招</w:t>
      </w:r>
      <w:r>
        <w:rPr>
          <w:rFonts w:ascii="宋体" w:hAnsi="宋体" w:eastAsia="宋体" w:cs="宋体"/>
          <w:spacing w:val="-1"/>
          <w:sz w:val="21"/>
          <w:szCs w:val="21"/>
        </w:rPr>
        <w:t>标或政府采购</w:t>
      </w:r>
      <w:r>
        <w:rPr>
          <w:rFonts w:ascii="宋体" w:hAnsi="宋体" w:eastAsia="宋体" w:cs="宋体"/>
          <w:spacing w:val="-3"/>
          <w:sz w:val="21"/>
          <w:szCs w:val="21"/>
        </w:rPr>
        <w:t>方式专门面向中小（小微）企业。</w:t>
      </w:r>
    </w:p>
    <w:p w14:paraId="09950C59">
      <w:pPr>
        <w:spacing w:line="269" w:lineRule="auto"/>
        <w:rPr>
          <w:rFonts w:ascii="宋体" w:hAnsi="宋体" w:eastAsia="宋体" w:cs="宋体"/>
          <w:sz w:val="21"/>
          <w:szCs w:val="21"/>
        </w:rPr>
        <w:sectPr>
          <w:footerReference r:id="rId49" w:type="default"/>
          <w:pgSz w:w="11910" w:h="16845"/>
          <w:pgMar w:top="1431" w:right="1682" w:bottom="1065" w:left="1697" w:header="0" w:footer="838" w:gutter="0"/>
          <w:cols w:space="720" w:num="1"/>
        </w:sectPr>
      </w:pPr>
    </w:p>
    <w:p w14:paraId="15FE1064">
      <w:pPr>
        <w:spacing w:before="118" w:line="219" w:lineRule="auto"/>
        <w:ind w:left="128"/>
        <w:outlineLvl w:val="1"/>
        <w:rPr>
          <w:rFonts w:ascii="黑体" w:hAnsi="黑体" w:eastAsia="黑体" w:cs="黑体"/>
          <w:sz w:val="24"/>
          <w:szCs w:val="24"/>
        </w:rPr>
      </w:pPr>
      <w:bookmarkStart w:id="19" w:name="bookmark18"/>
      <w:bookmarkEnd w:id="19"/>
      <w:r>
        <w:rPr>
          <w:rFonts w:ascii="黑体" w:hAnsi="黑体" w:eastAsia="黑体" w:cs="黑体"/>
          <w:b/>
          <w:bCs/>
          <w:sz w:val="24"/>
          <w:szCs w:val="24"/>
        </w:rPr>
        <w:t>附录三：政府采购工程适合小微企业承担的工作</w:t>
      </w:r>
      <w:r>
        <w:rPr>
          <w:rFonts w:ascii="黑体" w:hAnsi="黑体" w:eastAsia="黑体" w:cs="黑体"/>
          <w:b/>
          <w:bCs/>
          <w:spacing w:val="-1"/>
          <w:sz w:val="24"/>
          <w:szCs w:val="24"/>
        </w:rPr>
        <w:t>及金额</w:t>
      </w:r>
    </w:p>
    <w:p w14:paraId="361C761E">
      <w:pPr>
        <w:spacing w:before="70"/>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3193"/>
        <w:gridCol w:w="1424"/>
        <w:gridCol w:w="1335"/>
        <w:gridCol w:w="1821"/>
      </w:tblGrid>
      <w:tr w14:paraId="68DC7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0" w:hRule="atLeast"/>
        </w:trPr>
        <w:tc>
          <w:tcPr>
            <w:tcW w:w="742" w:type="dxa"/>
            <w:vAlign w:val="top"/>
          </w:tcPr>
          <w:p w14:paraId="226895C3">
            <w:pPr>
              <w:spacing w:line="289" w:lineRule="auto"/>
              <w:rPr>
                <w:rFonts w:ascii="Arial"/>
                <w:sz w:val="21"/>
              </w:rPr>
            </w:pPr>
          </w:p>
          <w:p w14:paraId="6307C4D1">
            <w:pPr>
              <w:pStyle w:val="6"/>
              <w:spacing w:before="69" w:line="221" w:lineRule="auto"/>
              <w:ind w:left="157"/>
              <w:rPr>
                <w:sz w:val="21"/>
                <w:szCs w:val="21"/>
              </w:rPr>
            </w:pPr>
            <w:r>
              <w:rPr>
                <w:spacing w:val="-2"/>
                <w:sz w:val="21"/>
                <w:szCs w:val="21"/>
              </w:rPr>
              <w:t>序号</w:t>
            </w:r>
          </w:p>
        </w:tc>
        <w:tc>
          <w:tcPr>
            <w:tcW w:w="3193" w:type="dxa"/>
            <w:vAlign w:val="top"/>
          </w:tcPr>
          <w:p w14:paraId="50577CD3">
            <w:pPr>
              <w:spacing w:line="289" w:lineRule="auto"/>
              <w:rPr>
                <w:rFonts w:ascii="Arial"/>
                <w:sz w:val="21"/>
              </w:rPr>
            </w:pPr>
          </w:p>
          <w:p w14:paraId="1AAFB471">
            <w:pPr>
              <w:pStyle w:val="6"/>
              <w:spacing w:before="68" w:line="220" w:lineRule="auto"/>
              <w:ind w:left="753"/>
              <w:rPr>
                <w:sz w:val="21"/>
                <w:szCs w:val="21"/>
              </w:rPr>
            </w:pPr>
            <w:r>
              <w:rPr>
                <w:spacing w:val="-1"/>
                <w:sz w:val="21"/>
                <w:szCs w:val="21"/>
              </w:rPr>
              <w:t>适合工作内容名称</w:t>
            </w:r>
          </w:p>
        </w:tc>
        <w:tc>
          <w:tcPr>
            <w:tcW w:w="1424" w:type="dxa"/>
            <w:vAlign w:val="top"/>
          </w:tcPr>
          <w:p w14:paraId="06CFA120">
            <w:pPr>
              <w:pStyle w:val="6"/>
              <w:spacing w:before="45" w:line="262" w:lineRule="auto"/>
              <w:ind w:left="189" w:right="176" w:firstLine="104"/>
              <w:jc w:val="both"/>
              <w:rPr>
                <w:sz w:val="21"/>
                <w:szCs w:val="21"/>
              </w:rPr>
            </w:pPr>
            <w:r>
              <w:rPr>
                <w:spacing w:val="-2"/>
                <w:sz w:val="21"/>
                <w:szCs w:val="21"/>
              </w:rPr>
              <w:t>适合工作合同估算价</w:t>
            </w:r>
            <w:r>
              <w:rPr>
                <w:spacing w:val="20"/>
                <w:sz w:val="21"/>
                <w:szCs w:val="21"/>
              </w:rPr>
              <w:t>（万元）</w:t>
            </w:r>
          </w:p>
        </w:tc>
        <w:tc>
          <w:tcPr>
            <w:tcW w:w="1335" w:type="dxa"/>
            <w:vAlign w:val="top"/>
          </w:tcPr>
          <w:p w14:paraId="2B9A6E1D">
            <w:pPr>
              <w:pStyle w:val="6"/>
              <w:spacing w:before="44" w:line="220" w:lineRule="auto"/>
              <w:ind w:left="146"/>
              <w:rPr>
                <w:sz w:val="21"/>
                <w:szCs w:val="21"/>
              </w:rPr>
            </w:pPr>
            <w:r>
              <w:rPr>
                <w:spacing w:val="-1"/>
                <w:sz w:val="21"/>
                <w:szCs w:val="21"/>
              </w:rPr>
              <w:t>适合工作合</w:t>
            </w:r>
          </w:p>
          <w:p w14:paraId="0A8A56EA">
            <w:pPr>
              <w:pStyle w:val="6"/>
              <w:spacing w:before="64" w:line="255" w:lineRule="auto"/>
              <w:ind w:left="274" w:right="129" w:hanging="107"/>
              <w:rPr>
                <w:sz w:val="21"/>
                <w:szCs w:val="21"/>
              </w:rPr>
            </w:pPr>
            <w:r>
              <w:rPr>
                <w:spacing w:val="-6"/>
                <w:sz w:val="21"/>
                <w:szCs w:val="21"/>
              </w:rPr>
              <w:t>同估算价占</w:t>
            </w:r>
            <w:r>
              <w:rPr>
                <w:spacing w:val="18"/>
                <w:w w:val="118"/>
                <w:sz w:val="21"/>
                <w:szCs w:val="21"/>
              </w:rPr>
              <w:t>比(%)</w:t>
            </w:r>
          </w:p>
        </w:tc>
        <w:tc>
          <w:tcPr>
            <w:tcW w:w="1821" w:type="dxa"/>
            <w:vAlign w:val="top"/>
          </w:tcPr>
          <w:p w14:paraId="710E63CB">
            <w:pPr>
              <w:spacing w:line="289" w:lineRule="auto"/>
              <w:rPr>
                <w:rFonts w:ascii="Arial"/>
                <w:sz w:val="21"/>
              </w:rPr>
            </w:pPr>
          </w:p>
          <w:p w14:paraId="34872154">
            <w:pPr>
              <w:pStyle w:val="6"/>
              <w:spacing w:before="69" w:line="221" w:lineRule="auto"/>
              <w:ind w:left="706"/>
              <w:rPr>
                <w:sz w:val="21"/>
                <w:szCs w:val="21"/>
              </w:rPr>
            </w:pPr>
            <w:r>
              <w:rPr>
                <w:spacing w:val="-3"/>
                <w:sz w:val="21"/>
                <w:szCs w:val="21"/>
              </w:rPr>
              <w:t>备注</w:t>
            </w:r>
          </w:p>
        </w:tc>
      </w:tr>
      <w:tr w14:paraId="5E0D4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42" w:type="dxa"/>
            <w:vAlign w:val="top"/>
          </w:tcPr>
          <w:p w14:paraId="0091F253">
            <w:pPr>
              <w:pStyle w:val="6"/>
              <w:spacing w:before="136" w:line="176" w:lineRule="auto"/>
              <w:ind w:left="325"/>
              <w:rPr>
                <w:sz w:val="21"/>
                <w:szCs w:val="21"/>
              </w:rPr>
            </w:pPr>
            <w:r>
              <w:rPr>
                <w:sz w:val="21"/>
                <w:szCs w:val="21"/>
              </w:rPr>
              <w:t>1</w:t>
            </w:r>
          </w:p>
        </w:tc>
        <w:tc>
          <w:tcPr>
            <w:tcW w:w="3193" w:type="dxa"/>
            <w:vAlign w:val="top"/>
          </w:tcPr>
          <w:p w14:paraId="497C68A3">
            <w:pPr>
              <w:rPr>
                <w:rFonts w:ascii="Arial"/>
                <w:sz w:val="21"/>
              </w:rPr>
            </w:pPr>
          </w:p>
        </w:tc>
        <w:tc>
          <w:tcPr>
            <w:tcW w:w="1424" w:type="dxa"/>
            <w:vAlign w:val="top"/>
          </w:tcPr>
          <w:p w14:paraId="108EC39A">
            <w:pPr>
              <w:rPr>
                <w:rFonts w:ascii="Arial"/>
                <w:sz w:val="21"/>
              </w:rPr>
            </w:pPr>
          </w:p>
        </w:tc>
        <w:tc>
          <w:tcPr>
            <w:tcW w:w="1335" w:type="dxa"/>
            <w:vAlign w:val="top"/>
          </w:tcPr>
          <w:p w14:paraId="2C66EA1C">
            <w:pPr>
              <w:rPr>
                <w:rFonts w:ascii="Arial"/>
                <w:sz w:val="21"/>
              </w:rPr>
            </w:pPr>
          </w:p>
        </w:tc>
        <w:tc>
          <w:tcPr>
            <w:tcW w:w="1821" w:type="dxa"/>
            <w:vAlign w:val="top"/>
          </w:tcPr>
          <w:p w14:paraId="3EC14DCE">
            <w:pPr>
              <w:rPr>
                <w:rFonts w:ascii="Arial"/>
                <w:sz w:val="21"/>
              </w:rPr>
            </w:pPr>
          </w:p>
        </w:tc>
      </w:tr>
      <w:tr w14:paraId="3867B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2140EB55">
            <w:pPr>
              <w:pStyle w:val="6"/>
              <w:spacing w:before="149" w:line="178" w:lineRule="auto"/>
              <w:ind w:left="318"/>
              <w:rPr>
                <w:sz w:val="21"/>
                <w:szCs w:val="21"/>
              </w:rPr>
            </w:pPr>
            <w:r>
              <w:rPr>
                <w:sz w:val="21"/>
                <w:szCs w:val="21"/>
              </w:rPr>
              <w:t>2</w:t>
            </w:r>
          </w:p>
        </w:tc>
        <w:tc>
          <w:tcPr>
            <w:tcW w:w="3193" w:type="dxa"/>
            <w:vAlign w:val="top"/>
          </w:tcPr>
          <w:p w14:paraId="2C5103FB">
            <w:pPr>
              <w:rPr>
                <w:rFonts w:ascii="Arial"/>
                <w:sz w:val="21"/>
              </w:rPr>
            </w:pPr>
          </w:p>
        </w:tc>
        <w:tc>
          <w:tcPr>
            <w:tcW w:w="1424" w:type="dxa"/>
            <w:vAlign w:val="top"/>
          </w:tcPr>
          <w:p w14:paraId="15DC4EBD">
            <w:pPr>
              <w:rPr>
                <w:rFonts w:ascii="Arial"/>
                <w:sz w:val="21"/>
              </w:rPr>
            </w:pPr>
          </w:p>
        </w:tc>
        <w:tc>
          <w:tcPr>
            <w:tcW w:w="1335" w:type="dxa"/>
            <w:vAlign w:val="top"/>
          </w:tcPr>
          <w:p w14:paraId="4EC40FA7">
            <w:pPr>
              <w:rPr>
                <w:rFonts w:ascii="Arial"/>
                <w:sz w:val="21"/>
              </w:rPr>
            </w:pPr>
          </w:p>
        </w:tc>
        <w:tc>
          <w:tcPr>
            <w:tcW w:w="1821" w:type="dxa"/>
            <w:vAlign w:val="top"/>
          </w:tcPr>
          <w:p w14:paraId="1EB9D3E7">
            <w:pPr>
              <w:rPr>
                <w:rFonts w:ascii="Arial"/>
                <w:sz w:val="21"/>
              </w:rPr>
            </w:pPr>
          </w:p>
        </w:tc>
      </w:tr>
      <w:tr w14:paraId="3EC20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5DBCEA6">
            <w:pPr>
              <w:pStyle w:val="6"/>
              <w:spacing w:before="151" w:line="177" w:lineRule="auto"/>
              <w:ind w:left="316"/>
              <w:rPr>
                <w:sz w:val="21"/>
                <w:szCs w:val="21"/>
              </w:rPr>
            </w:pPr>
            <w:r>
              <w:rPr>
                <w:sz w:val="21"/>
                <w:szCs w:val="21"/>
              </w:rPr>
              <w:t>3</w:t>
            </w:r>
          </w:p>
        </w:tc>
        <w:tc>
          <w:tcPr>
            <w:tcW w:w="3193" w:type="dxa"/>
            <w:vAlign w:val="top"/>
          </w:tcPr>
          <w:p w14:paraId="5648197F">
            <w:pPr>
              <w:rPr>
                <w:rFonts w:ascii="Arial"/>
                <w:sz w:val="21"/>
              </w:rPr>
            </w:pPr>
          </w:p>
        </w:tc>
        <w:tc>
          <w:tcPr>
            <w:tcW w:w="1424" w:type="dxa"/>
            <w:vAlign w:val="top"/>
          </w:tcPr>
          <w:p w14:paraId="7FD96071">
            <w:pPr>
              <w:rPr>
                <w:rFonts w:ascii="Arial"/>
                <w:sz w:val="21"/>
              </w:rPr>
            </w:pPr>
          </w:p>
        </w:tc>
        <w:tc>
          <w:tcPr>
            <w:tcW w:w="1335" w:type="dxa"/>
            <w:vAlign w:val="top"/>
          </w:tcPr>
          <w:p w14:paraId="2B634232">
            <w:pPr>
              <w:rPr>
                <w:rFonts w:ascii="Arial"/>
                <w:sz w:val="21"/>
              </w:rPr>
            </w:pPr>
          </w:p>
        </w:tc>
        <w:tc>
          <w:tcPr>
            <w:tcW w:w="1821" w:type="dxa"/>
            <w:vAlign w:val="top"/>
          </w:tcPr>
          <w:p w14:paraId="0D2382E2">
            <w:pPr>
              <w:rPr>
                <w:rFonts w:ascii="Arial"/>
                <w:sz w:val="21"/>
              </w:rPr>
            </w:pPr>
          </w:p>
        </w:tc>
      </w:tr>
      <w:tr w14:paraId="2C7F4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59331B48">
            <w:pPr>
              <w:pStyle w:val="6"/>
              <w:spacing w:before="151" w:line="179" w:lineRule="auto"/>
              <w:ind w:left="308"/>
              <w:rPr>
                <w:sz w:val="21"/>
                <w:szCs w:val="21"/>
              </w:rPr>
            </w:pPr>
            <w:r>
              <w:rPr>
                <w:sz w:val="21"/>
                <w:szCs w:val="21"/>
              </w:rPr>
              <w:t>4</w:t>
            </w:r>
          </w:p>
        </w:tc>
        <w:tc>
          <w:tcPr>
            <w:tcW w:w="3193" w:type="dxa"/>
            <w:vAlign w:val="top"/>
          </w:tcPr>
          <w:p w14:paraId="490DFB46">
            <w:pPr>
              <w:rPr>
                <w:rFonts w:ascii="Arial"/>
                <w:sz w:val="21"/>
              </w:rPr>
            </w:pPr>
          </w:p>
        </w:tc>
        <w:tc>
          <w:tcPr>
            <w:tcW w:w="1424" w:type="dxa"/>
            <w:vAlign w:val="top"/>
          </w:tcPr>
          <w:p w14:paraId="31C1DDBA">
            <w:pPr>
              <w:rPr>
                <w:rFonts w:ascii="Arial"/>
                <w:sz w:val="21"/>
              </w:rPr>
            </w:pPr>
          </w:p>
        </w:tc>
        <w:tc>
          <w:tcPr>
            <w:tcW w:w="1335" w:type="dxa"/>
            <w:vAlign w:val="top"/>
          </w:tcPr>
          <w:p w14:paraId="6332256B">
            <w:pPr>
              <w:rPr>
                <w:rFonts w:ascii="Arial"/>
                <w:sz w:val="21"/>
              </w:rPr>
            </w:pPr>
          </w:p>
        </w:tc>
        <w:tc>
          <w:tcPr>
            <w:tcW w:w="1821" w:type="dxa"/>
            <w:vAlign w:val="top"/>
          </w:tcPr>
          <w:p w14:paraId="02FB96C3">
            <w:pPr>
              <w:rPr>
                <w:rFonts w:ascii="Arial"/>
                <w:sz w:val="21"/>
              </w:rPr>
            </w:pPr>
          </w:p>
        </w:tc>
      </w:tr>
      <w:tr w14:paraId="35F27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10F8FC48">
            <w:pPr>
              <w:pStyle w:val="6"/>
              <w:spacing w:before="150" w:line="180" w:lineRule="auto"/>
              <w:ind w:left="318"/>
              <w:rPr>
                <w:sz w:val="21"/>
                <w:szCs w:val="21"/>
              </w:rPr>
            </w:pPr>
            <w:r>
              <w:rPr>
                <w:sz w:val="21"/>
                <w:szCs w:val="21"/>
              </w:rPr>
              <w:t>5</w:t>
            </w:r>
          </w:p>
        </w:tc>
        <w:tc>
          <w:tcPr>
            <w:tcW w:w="3193" w:type="dxa"/>
            <w:vAlign w:val="top"/>
          </w:tcPr>
          <w:p w14:paraId="03A100AB">
            <w:pPr>
              <w:rPr>
                <w:rFonts w:ascii="Arial"/>
                <w:sz w:val="21"/>
              </w:rPr>
            </w:pPr>
          </w:p>
        </w:tc>
        <w:tc>
          <w:tcPr>
            <w:tcW w:w="1424" w:type="dxa"/>
            <w:vAlign w:val="top"/>
          </w:tcPr>
          <w:p w14:paraId="2999DE0F">
            <w:pPr>
              <w:rPr>
                <w:rFonts w:ascii="Arial"/>
                <w:sz w:val="21"/>
              </w:rPr>
            </w:pPr>
          </w:p>
        </w:tc>
        <w:tc>
          <w:tcPr>
            <w:tcW w:w="1335" w:type="dxa"/>
            <w:vAlign w:val="top"/>
          </w:tcPr>
          <w:p w14:paraId="145BB70D">
            <w:pPr>
              <w:rPr>
                <w:rFonts w:ascii="Arial"/>
                <w:sz w:val="21"/>
              </w:rPr>
            </w:pPr>
          </w:p>
        </w:tc>
        <w:tc>
          <w:tcPr>
            <w:tcW w:w="1821" w:type="dxa"/>
            <w:vAlign w:val="top"/>
          </w:tcPr>
          <w:p w14:paraId="277C39EA">
            <w:pPr>
              <w:rPr>
                <w:rFonts w:ascii="Arial"/>
                <w:sz w:val="21"/>
              </w:rPr>
            </w:pPr>
          </w:p>
        </w:tc>
      </w:tr>
      <w:tr w14:paraId="4C021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42" w:type="dxa"/>
            <w:vAlign w:val="top"/>
          </w:tcPr>
          <w:p w14:paraId="074EBCD9">
            <w:pPr>
              <w:pStyle w:val="6"/>
              <w:spacing w:before="157" w:line="176" w:lineRule="auto"/>
              <w:ind w:left="318"/>
              <w:rPr>
                <w:sz w:val="21"/>
                <w:szCs w:val="21"/>
              </w:rPr>
            </w:pPr>
            <w:r>
              <w:rPr>
                <w:sz w:val="21"/>
                <w:szCs w:val="21"/>
              </w:rPr>
              <w:t>6</w:t>
            </w:r>
          </w:p>
        </w:tc>
        <w:tc>
          <w:tcPr>
            <w:tcW w:w="3193" w:type="dxa"/>
            <w:vAlign w:val="top"/>
          </w:tcPr>
          <w:p w14:paraId="089CA92F">
            <w:pPr>
              <w:rPr>
                <w:rFonts w:ascii="Arial"/>
                <w:sz w:val="21"/>
              </w:rPr>
            </w:pPr>
          </w:p>
        </w:tc>
        <w:tc>
          <w:tcPr>
            <w:tcW w:w="1424" w:type="dxa"/>
            <w:vAlign w:val="top"/>
          </w:tcPr>
          <w:p w14:paraId="6CBE2C7C">
            <w:pPr>
              <w:rPr>
                <w:rFonts w:ascii="Arial"/>
                <w:sz w:val="21"/>
              </w:rPr>
            </w:pPr>
          </w:p>
        </w:tc>
        <w:tc>
          <w:tcPr>
            <w:tcW w:w="1335" w:type="dxa"/>
            <w:vAlign w:val="top"/>
          </w:tcPr>
          <w:p w14:paraId="4EDBBBA6">
            <w:pPr>
              <w:rPr>
                <w:rFonts w:ascii="Arial"/>
                <w:sz w:val="21"/>
              </w:rPr>
            </w:pPr>
          </w:p>
        </w:tc>
        <w:tc>
          <w:tcPr>
            <w:tcW w:w="1821" w:type="dxa"/>
            <w:vAlign w:val="top"/>
          </w:tcPr>
          <w:p w14:paraId="3616940B">
            <w:pPr>
              <w:rPr>
                <w:rFonts w:ascii="Arial"/>
                <w:sz w:val="21"/>
              </w:rPr>
            </w:pPr>
          </w:p>
        </w:tc>
      </w:tr>
      <w:tr w14:paraId="62F2E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42" w:type="dxa"/>
            <w:vAlign w:val="top"/>
          </w:tcPr>
          <w:p w14:paraId="365A46F2">
            <w:pPr>
              <w:rPr>
                <w:rFonts w:ascii="Arial"/>
                <w:sz w:val="21"/>
              </w:rPr>
            </w:pPr>
          </w:p>
        </w:tc>
        <w:tc>
          <w:tcPr>
            <w:tcW w:w="3193" w:type="dxa"/>
            <w:vAlign w:val="top"/>
          </w:tcPr>
          <w:p w14:paraId="28A22E06">
            <w:pPr>
              <w:pStyle w:val="6"/>
              <w:spacing w:before="124" w:line="221" w:lineRule="auto"/>
              <w:ind w:left="1385"/>
              <w:rPr>
                <w:sz w:val="21"/>
                <w:szCs w:val="21"/>
              </w:rPr>
            </w:pPr>
            <w:r>
              <w:rPr>
                <w:spacing w:val="-3"/>
                <w:sz w:val="21"/>
                <w:szCs w:val="21"/>
              </w:rPr>
              <w:t>合计</w:t>
            </w:r>
          </w:p>
        </w:tc>
        <w:tc>
          <w:tcPr>
            <w:tcW w:w="1424" w:type="dxa"/>
            <w:vAlign w:val="top"/>
          </w:tcPr>
          <w:p w14:paraId="7B59C7B8">
            <w:pPr>
              <w:rPr>
                <w:rFonts w:ascii="Arial"/>
                <w:sz w:val="21"/>
              </w:rPr>
            </w:pPr>
          </w:p>
        </w:tc>
        <w:tc>
          <w:tcPr>
            <w:tcW w:w="1335" w:type="dxa"/>
            <w:vAlign w:val="top"/>
          </w:tcPr>
          <w:p w14:paraId="655994D7">
            <w:pPr>
              <w:rPr>
                <w:rFonts w:ascii="Arial"/>
                <w:sz w:val="21"/>
              </w:rPr>
            </w:pPr>
          </w:p>
        </w:tc>
        <w:tc>
          <w:tcPr>
            <w:tcW w:w="1821" w:type="dxa"/>
            <w:vAlign w:val="top"/>
          </w:tcPr>
          <w:p w14:paraId="0F02EAB7">
            <w:pPr>
              <w:rPr>
                <w:rFonts w:ascii="Arial"/>
                <w:sz w:val="21"/>
              </w:rPr>
            </w:pPr>
          </w:p>
        </w:tc>
      </w:tr>
      <w:tr w14:paraId="5395F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42" w:type="dxa"/>
            <w:vAlign w:val="top"/>
          </w:tcPr>
          <w:p w14:paraId="08FB88F6">
            <w:pPr>
              <w:rPr>
                <w:rFonts w:ascii="Arial"/>
                <w:sz w:val="21"/>
              </w:rPr>
            </w:pPr>
          </w:p>
        </w:tc>
        <w:tc>
          <w:tcPr>
            <w:tcW w:w="3193" w:type="dxa"/>
            <w:vAlign w:val="top"/>
          </w:tcPr>
          <w:p w14:paraId="16C7A2B4">
            <w:pPr>
              <w:pStyle w:val="6"/>
              <w:spacing w:before="111" w:line="218" w:lineRule="auto"/>
              <w:ind w:left="333"/>
              <w:rPr>
                <w:sz w:val="21"/>
                <w:szCs w:val="21"/>
              </w:rPr>
            </w:pPr>
            <w:r>
              <w:rPr>
                <w:spacing w:val="-2"/>
                <w:sz w:val="21"/>
                <w:szCs w:val="21"/>
              </w:rPr>
              <w:t>本项目合同估算价（万元）</w:t>
            </w:r>
          </w:p>
        </w:tc>
        <w:tc>
          <w:tcPr>
            <w:tcW w:w="2759" w:type="dxa"/>
            <w:gridSpan w:val="2"/>
            <w:vAlign w:val="top"/>
          </w:tcPr>
          <w:p w14:paraId="1090AA03">
            <w:pPr>
              <w:rPr>
                <w:rFonts w:ascii="Arial"/>
                <w:sz w:val="21"/>
              </w:rPr>
            </w:pPr>
          </w:p>
        </w:tc>
        <w:tc>
          <w:tcPr>
            <w:tcW w:w="1821" w:type="dxa"/>
            <w:vAlign w:val="top"/>
          </w:tcPr>
          <w:p w14:paraId="3BEA3517">
            <w:pPr>
              <w:rPr>
                <w:rFonts w:ascii="Arial"/>
                <w:sz w:val="21"/>
              </w:rPr>
            </w:pPr>
          </w:p>
        </w:tc>
      </w:tr>
    </w:tbl>
    <w:p w14:paraId="63863708">
      <w:pPr>
        <w:pStyle w:val="2"/>
        <w:spacing w:line="362" w:lineRule="auto"/>
      </w:pPr>
    </w:p>
    <w:p w14:paraId="59EC34B0">
      <w:pPr>
        <w:spacing w:before="68" w:line="275" w:lineRule="auto"/>
        <w:ind w:left="1059" w:right="118" w:hanging="943"/>
        <w:rPr>
          <w:rFonts w:ascii="宋体" w:hAnsi="宋体" w:eastAsia="宋体" w:cs="宋体"/>
          <w:sz w:val="21"/>
          <w:szCs w:val="21"/>
        </w:rPr>
      </w:pPr>
      <w:r>
        <w:rPr>
          <w:rFonts w:ascii="宋体" w:hAnsi="宋体" w:eastAsia="宋体" w:cs="宋体"/>
          <w:sz w:val="21"/>
          <w:szCs w:val="21"/>
        </w:rPr>
        <w:t>备注：</w:t>
      </w:r>
      <w:r>
        <w:rPr>
          <w:rFonts w:ascii="Calibri" w:hAnsi="Calibri" w:eastAsia="Calibri" w:cs="Calibri"/>
          <w:sz w:val="21"/>
          <w:szCs w:val="21"/>
        </w:rPr>
        <w:t>1.</w:t>
      </w:r>
      <w:r>
        <w:rPr>
          <w:rFonts w:ascii="Calibri" w:hAnsi="Calibri" w:eastAsia="Calibri" w:cs="Calibri"/>
          <w:spacing w:val="12"/>
          <w:w w:val="101"/>
          <w:sz w:val="21"/>
          <w:szCs w:val="21"/>
        </w:rPr>
        <w:t xml:space="preserve">  </w:t>
      </w:r>
      <w:r>
        <w:rPr>
          <w:rFonts w:ascii="宋体" w:hAnsi="宋体" w:eastAsia="宋体" w:cs="宋体"/>
          <w:sz w:val="21"/>
          <w:szCs w:val="21"/>
        </w:rPr>
        <w:t>政府采购工程未预留份额面向中小企业采购的，如果招标</w:t>
      </w:r>
      <w:r>
        <w:rPr>
          <w:rFonts w:ascii="宋体" w:hAnsi="宋体" w:eastAsia="宋体" w:cs="宋体"/>
          <w:spacing w:val="-1"/>
          <w:sz w:val="21"/>
          <w:szCs w:val="21"/>
        </w:rPr>
        <w:t>人接受大中型企业与小</w:t>
      </w:r>
      <w:r>
        <w:rPr>
          <w:rFonts w:ascii="宋体" w:hAnsi="宋体" w:eastAsia="宋体" w:cs="宋体"/>
          <w:sz w:val="21"/>
          <w:szCs w:val="21"/>
        </w:rPr>
        <w:t>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w:t>
      </w:r>
      <w:r>
        <w:rPr>
          <w:rFonts w:ascii="宋体" w:hAnsi="宋体" w:eastAsia="宋体" w:cs="宋体"/>
          <w:spacing w:val="-2"/>
          <w:sz w:val="21"/>
          <w:szCs w:val="21"/>
        </w:rPr>
        <w:t>联合体或签订分包意向协议时参考。</w:t>
      </w:r>
    </w:p>
    <w:p w14:paraId="4DF56C5B">
      <w:pPr>
        <w:spacing w:before="2" w:line="268" w:lineRule="auto"/>
        <w:ind w:left="1059" w:right="157" w:hanging="312"/>
        <w:rPr>
          <w:rFonts w:ascii="宋体" w:hAnsi="宋体" w:eastAsia="宋体" w:cs="宋体"/>
          <w:sz w:val="21"/>
          <w:szCs w:val="21"/>
        </w:rPr>
      </w:pPr>
      <w:r>
        <w:rPr>
          <w:rFonts w:ascii="Calibri" w:hAnsi="Calibri" w:eastAsia="Calibri" w:cs="Calibri"/>
          <w:sz w:val="21"/>
          <w:szCs w:val="21"/>
        </w:rPr>
        <w:t>2.</w:t>
      </w:r>
      <w:r>
        <w:rPr>
          <w:rFonts w:ascii="Calibri" w:hAnsi="Calibri" w:eastAsia="Calibri" w:cs="Calibri"/>
          <w:spacing w:val="13"/>
          <w:sz w:val="21"/>
          <w:szCs w:val="21"/>
        </w:rPr>
        <w:t xml:space="preserve">  </w:t>
      </w:r>
      <w:r>
        <w:rPr>
          <w:rFonts w:ascii="宋体" w:hAnsi="宋体" w:eastAsia="宋体" w:cs="宋体"/>
          <w:sz w:val="21"/>
          <w:szCs w:val="21"/>
        </w:rPr>
        <w:t>适合工作中包含专业工程暂估价的，则在备注栏中标注采用工程招</w:t>
      </w:r>
      <w:r>
        <w:rPr>
          <w:rFonts w:ascii="宋体" w:hAnsi="宋体" w:eastAsia="宋体" w:cs="宋体"/>
          <w:spacing w:val="-1"/>
          <w:sz w:val="21"/>
          <w:szCs w:val="21"/>
        </w:rPr>
        <w:t>标或政府采购</w:t>
      </w:r>
      <w:r>
        <w:rPr>
          <w:rFonts w:ascii="宋体" w:hAnsi="宋体" w:eastAsia="宋体" w:cs="宋体"/>
          <w:spacing w:val="-3"/>
          <w:sz w:val="21"/>
          <w:szCs w:val="21"/>
        </w:rPr>
        <w:t>方式专门面向中小（小微）企业。</w:t>
      </w:r>
    </w:p>
    <w:p w14:paraId="4AE0E048">
      <w:pPr>
        <w:spacing w:line="268" w:lineRule="auto"/>
        <w:rPr>
          <w:rFonts w:ascii="宋体" w:hAnsi="宋体" w:eastAsia="宋体" w:cs="宋体"/>
          <w:sz w:val="21"/>
          <w:szCs w:val="21"/>
        </w:rPr>
        <w:sectPr>
          <w:footerReference r:id="rId50" w:type="default"/>
          <w:pgSz w:w="11910" w:h="16845"/>
          <w:pgMar w:top="1431" w:right="1682" w:bottom="1065" w:left="1697" w:header="0" w:footer="838" w:gutter="0"/>
          <w:cols w:space="720" w:num="1"/>
        </w:sectPr>
      </w:pPr>
    </w:p>
    <w:p w14:paraId="6C715752">
      <w:pPr>
        <w:pStyle w:val="2"/>
        <w:spacing w:line="319" w:lineRule="auto"/>
      </w:pPr>
    </w:p>
    <w:p w14:paraId="6325432F">
      <w:pPr>
        <w:pStyle w:val="2"/>
        <w:spacing w:line="320" w:lineRule="auto"/>
      </w:pPr>
    </w:p>
    <w:p w14:paraId="660558E8">
      <w:pPr>
        <w:spacing w:before="101" w:line="222" w:lineRule="auto"/>
        <w:ind w:left="45"/>
        <w:outlineLvl w:val="1"/>
        <w:rPr>
          <w:rFonts w:ascii="黑体" w:hAnsi="黑体" w:eastAsia="黑体" w:cs="黑体"/>
          <w:sz w:val="31"/>
          <w:szCs w:val="31"/>
        </w:rPr>
      </w:pPr>
      <w:bookmarkStart w:id="20" w:name="bookmark19"/>
      <w:bookmarkEnd w:id="20"/>
      <w:r>
        <w:rPr>
          <w:rFonts w:ascii="黑体" w:hAnsi="黑体" w:eastAsia="黑体" w:cs="黑体"/>
          <w:b/>
          <w:bCs/>
          <w:spacing w:val="6"/>
          <w:sz w:val="31"/>
          <w:szCs w:val="31"/>
        </w:rPr>
        <w:t>附表一：招标文件澄清申请函</w:t>
      </w:r>
    </w:p>
    <w:p w14:paraId="52089F97">
      <w:pPr>
        <w:pStyle w:val="2"/>
        <w:spacing w:line="255" w:lineRule="auto"/>
      </w:pPr>
    </w:p>
    <w:p w14:paraId="51EF580A">
      <w:pPr>
        <w:pStyle w:val="2"/>
        <w:spacing w:line="255" w:lineRule="auto"/>
      </w:pPr>
    </w:p>
    <w:p w14:paraId="0D3489A2">
      <w:pPr>
        <w:pStyle w:val="2"/>
        <w:spacing w:line="255" w:lineRule="auto"/>
      </w:pPr>
    </w:p>
    <w:p w14:paraId="4E956B19">
      <w:pPr>
        <w:pStyle w:val="2"/>
        <w:spacing w:line="255" w:lineRule="auto"/>
      </w:pPr>
    </w:p>
    <w:p w14:paraId="73EAC5F3">
      <w:pPr>
        <w:pStyle w:val="2"/>
        <w:spacing w:line="256" w:lineRule="auto"/>
      </w:pPr>
    </w:p>
    <w:p w14:paraId="0AD9AC89">
      <w:pPr>
        <w:pStyle w:val="2"/>
        <w:spacing w:line="256" w:lineRule="auto"/>
      </w:pPr>
    </w:p>
    <w:p w14:paraId="43DEBB94">
      <w:pPr>
        <w:pStyle w:val="2"/>
        <w:spacing w:line="256" w:lineRule="auto"/>
      </w:pPr>
    </w:p>
    <w:p w14:paraId="6828485B">
      <w:pPr>
        <w:spacing w:before="91" w:line="222" w:lineRule="auto"/>
        <w:ind w:left="2894"/>
        <w:rPr>
          <w:rFonts w:ascii="黑体" w:hAnsi="黑体" w:eastAsia="黑体" w:cs="黑体"/>
          <w:sz w:val="28"/>
          <w:szCs w:val="28"/>
        </w:rPr>
      </w:pPr>
      <w:r>
        <w:rPr>
          <w:rFonts w:ascii="黑体" w:hAnsi="黑体" w:eastAsia="黑体" w:cs="黑体"/>
          <w:spacing w:val="5"/>
          <w:sz w:val="28"/>
          <w:szCs w:val="28"/>
        </w:rPr>
        <w:t>招标文件澄清申请函</w:t>
      </w:r>
    </w:p>
    <w:p w14:paraId="2D7D1B27">
      <w:pPr>
        <w:pStyle w:val="2"/>
        <w:spacing w:line="300" w:lineRule="auto"/>
      </w:pPr>
    </w:p>
    <w:p w14:paraId="26D2E9C8">
      <w:pPr>
        <w:pStyle w:val="2"/>
        <w:spacing w:line="301" w:lineRule="auto"/>
      </w:pPr>
    </w:p>
    <w:p w14:paraId="5C921450">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0E47EE2">
      <w:pPr>
        <w:pStyle w:val="2"/>
        <w:spacing w:line="257" w:lineRule="auto"/>
      </w:pPr>
    </w:p>
    <w:p w14:paraId="2783CC92">
      <w:pPr>
        <w:pStyle w:val="2"/>
        <w:spacing w:line="258" w:lineRule="auto"/>
      </w:pPr>
    </w:p>
    <w:p w14:paraId="14EC6DB8">
      <w:pPr>
        <w:pStyle w:val="2"/>
        <w:spacing w:line="258" w:lineRule="auto"/>
      </w:pPr>
    </w:p>
    <w:p w14:paraId="5656901D">
      <w:pPr>
        <w:tabs>
          <w:tab w:val="left" w:pos="1593"/>
        </w:tabs>
        <w:spacing w:before="68" w:line="220" w:lineRule="auto"/>
        <w:ind w:left="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7"/>
          <w:sz w:val="21"/>
          <w:szCs w:val="21"/>
        </w:rPr>
        <w:t xml:space="preserve"> </w:t>
      </w:r>
      <w:r>
        <w:rPr>
          <w:rFonts w:ascii="宋体" w:hAnsi="宋体" w:eastAsia="宋体" w:cs="宋体"/>
          <w:spacing w:val="-6"/>
          <w:sz w:val="21"/>
          <w:szCs w:val="21"/>
        </w:rPr>
        <w:t>(招标人名称)：</w:t>
      </w:r>
    </w:p>
    <w:p w14:paraId="4A90975E">
      <w:pPr>
        <w:pStyle w:val="2"/>
        <w:spacing w:line="251" w:lineRule="auto"/>
      </w:pPr>
    </w:p>
    <w:p w14:paraId="28ADD73E">
      <w:pPr>
        <w:spacing w:before="68" w:line="389" w:lineRule="auto"/>
        <w:ind w:left="24" w:right="23" w:firstLine="422"/>
        <w:rPr>
          <w:rFonts w:ascii="宋体" w:hAnsi="宋体" w:eastAsia="宋体" w:cs="宋体"/>
          <w:sz w:val="21"/>
          <w:szCs w:val="21"/>
        </w:rPr>
      </w:pPr>
      <w:r>
        <w:rPr>
          <w:rFonts w:ascii="宋体" w:hAnsi="宋体" w:eastAsia="宋体" w:cs="宋体"/>
          <w:spacing w:val="-4"/>
          <w:sz w:val="21"/>
          <w:szCs w:val="21"/>
        </w:rPr>
        <w:t>经过仔细阅读</w:t>
      </w:r>
      <w:r>
        <w:rPr>
          <w:rFonts w:ascii="宋体" w:hAnsi="宋体" w:eastAsia="宋体" w:cs="宋体"/>
          <w:spacing w:val="-4"/>
          <w:sz w:val="21"/>
          <w:szCs w:val="21"/>
          <w:u w:val="single" w:color="auto"/>
        </w:rPr>
        <w:t xml:space="preserve">      </w:t>
      </w:r>
      <w:r>
        <w:rPr>
          <w:rFonts w:ascii="宋体" w:hAnsi="宋体" w:eastAsia="宋体" w:cs="宋体"/>
          <w:spacing w:val="-43"/>
          <w:sz w:val="21"/>
          <w:szCs w:val="21"/>
        </w:rPr>
        <w:t xml:space="preserve"> </w:t>
      </w:r>
      <w:r>
        <w:rPr>
          <w:rFonts w:ascii="宋体" w:hAnsi="宋体" w:eastAsia="宋体" w:cs="宋体"/>
          <w:spacing w:val="-4"/>
          <w:sz w:val="21"/>
          <w:szCs w:val="21"/>
        </w:rPr>
        <w:t>(项目名称)</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（标段名称）施工招标文件后，我方申请对以下问</w:t>
      </w:r>
      <w:r>
        <w:rPr>
          <w:rFonts w:ascii="宋体" w:hAnsi="宋体" w:eastAsia="宋体" w:cs="宋体"/>
          <w:spacing w:val="-8"/>
          <w:sz w:val="21"/>
          <w:szCs w:val="21"/>
        </w:rPr>
        <w:t>题予以澄清：</w:t>
      </w:r>
    </w:p>
    <w:p w14:paraId="50ABD081">
      <w:pPr>
        <w:spacing w:line="293" w:lineRule="exact"/>
        <w:ind w:left="454"/>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32444F9C">
      <w:pPr>
        <w:spacing w:before="22" w:line="293" w:lineRule="exact"/>
        <w:ind w:left="448"/>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423F9F56">
      <w:pPr>
        <w:pStyle w:val="2"/>
        <w:spacing w:line="268" w:lineRule="auto"/>
      </w:pPr>
    </w:p>
    <w:p w14:paraId="3A5A1F26">
      <w:pPr>
        <w:pStyle w:val="2"/>
        <w:spacing w:line="268" w:lineRule="auto"/>
      </w:pPr>
    </w:p>
    <w:p w14:paraId="547D936D">
      <w:pPr>
        <w:pStyle w:val="2"/>
        <w:spacing w:line="268" w:lineRule="auto"/>
      </w:pPr>
    </w:p>
    <w:p w14:paraId="186E5D1E">
      <w:pPr>
        <w:pStyle w:val="2"/>
        <w:spacing w:line="269" w:lineRule="auto"/>
      </w:pPr>
    </w:p>
    <w:p w14:paraId="333EBCA5">
      <w:pPr>
        <w:spacing w:before="69" w:line="219" w:lineRule="auto"/>
        <w:ind w:right="11"/>
        <w:jc w:val="right"/>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08FFEBEA">
      <w:pPr>
        <w:tabs>
          <w:tab w:val="left" w:pos="6864"/>
        </w:tabs>
        <w:spacing w:before="276" w:line="220" w:lineRule="auto"/>
        <w:ind w:left="602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8D790A2">
      <w:pPr>
        <w:spacing w:before="95" w:line="219" w:lineRule="auto"/>
        <w:ind w:left="447"/>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504DC5EB">
      <w:pPr>
        <w:spacing w:line="219" w:lineRule="auto"/>
        <w:rPr>
          <w:rFonts w:ascii="宋体" w:hAnsi="宋体" w:eastAsia="宋体" w:cs="宋体"/>
          <w:sz w:val="21"/>
          <w:szCs w:val="21"/>
        </w:rPr>
        <w:sectPr>
          <w:footerReference r:id="rId51" w:type="default"/>
          <w:pgSz w:w="11910" w:h="16845"/>
          <w:pgMar w:top="1431" w:right="1786" w:bottom="1065" w:left="1786" w:header="0" w:footer="838" w:gutter="0"/>
          <w:cols w:space="720" w:num="1"/>
        </w:sectPr>
      </w:pPr>
    </w:p>
    <w:p w14:paraId="390C0852">
      <w:pPr>
        <w:pStyle w:val="2"/>
        <w:spacing w:line="326" w:lineRule="auto"/>
      </w:pPr>
    </w:p>
    <w:p w14:paraId="0CE24B88">
      <w:pPr>
        <w:spacing w:before="101" w:line="222" w:lineRule="auto"/>
        <w:ind w:left="45"/>
        <w:outlineLvl w:val="1"/>
        <w:rPr>
          <w:rFonts w:ascii="黑体" w:hAnsi="黑体" w:eastAsia="黑体" w:cs="黑体"/>
          <w:sz w:val="31"/>
          <w:szCs w:val="31"/>
        </w:rPr>
      </w:pPr>
      <w:bookmarkStart w:id="21" w:name="bookmark20"/>
      <w:bookmarkEnd w:id="21"/>
      <w:r>
        <w:rPr>
          <w:rFonts w:ascii="黑体" w:hAnsi="黑体" w:eastAsia="黑体" w:cs="黑体"/>
          <w:b/>
          <w:bCs/>
          <w:spacing w:val="9"/>
          <w:sz w:val="31"/>
          <w:szCs w:val="31"/>
        </w:rPr>
        <w:t>附表二：招标文件文件澄清通知</w:t>
      </w:r>
    </w:p>
    <w:p w14:paraId="01E70A03">
      <w:pPr>
        <w:pStyle w:val="2"/>
        <w:spacing w:line="253" w:lineRule="auto"/>
      </w:pPr>
    </w:p>
    <w:p w14:paraId="600D165B">
      <w:pPr>
        <w:pStyle w:val="2"/>
        <w:spacing w:line="253" w:lineRule="auto"/>
      </w:pPr>
    </w:p>
    <w:p w14:paraId="54FCD6D9">
      <w:pPr>
        <w:pStyle w:val="2"/>
        <w:spacing w:line="253" w:lineRule="auto"/>
      </w:pPr>
    </w:p>
    <w:p w14:paraId="3CA177BB">
      <w:pPr>
        <w:pStyle w:val="2"/>
        <w:spacing w:line="253" w:lineRule="auto"/>
      </w:pPr>
    </w:p>
    <w:p w14:paraId="169CAC4B">
      <w:pPr>
        <w:spacing w:before="91" w:line="222" w:lineRule="auto"/>
        <w:ind w:left="3044"/>
        <w:rPr>
          <w:rFonts w:ascii="黑体" w:hAnsi="黑体" w:eastAsia="黑体" w:cs="黑体"/>
          <w:sz w:val="28"/>
          <w:szCs w:val="28"/>
        </w:rPr>
      </w:pPr>
      <w:r>
        <w:rPr>
          <w:rFonts w:ascii="黑体" w:hAnsi="黑体" w:eastAsia="黑体" w:cs="黑体"/>
          <w:spacing w:val="6"/>
          <w:sz w:val="28"/>
          <w:szCs w:val="28"/>
        </w:rPr>
        <w:t>招标文件澄清通知</w:t>
      </w:r>
    </w:p>
    <w:p w14:paraId="608D1AA3">
      <w:pPr>
        <w:pStyle w:val="2"/>
        <w:spacing w:line="300" w:lineRule="auto"/>
      </w:pPr>
    </w:p>
    <w:p w14:paraId="5F0F15DA">
      <w:pPr>
        <w:pStyle w:val="2"/>
        <w:spacing w:line="301" w:lineRule="auto"/>
      </w:pPr>
    </w:p>
    <w:p w14:paraId="61D198BC">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C8E34CF">
      <w:pPr>
        <w:pStyle w:val="2"/>
        <w:spacing w:line="310" w:lineRule="auto"/>
      </w:pPr>
    </w:p>
    <w:p w14:paraId="7C3D019D">
      <w:pPr>
        <w:spacing w:before="69" w:line="220" w:lineRule="auto"/>
        <w:ind w:left="447"/>
        <w:rPr>
          <w:rFonts w:ascii="宋体" w:hAnsi="宋体" w:eastAsia="宋体" w:cs="宋体"/>
          <w:sz w:val="21"/>
          <w:szCs w:val="21"/>
        </w:rPr>
      </w:pPr>
      <w:r>
        <w:rPr>
          <w:rFonts w:ascii="宋体" w:hAnsi="宋体" w:eastAsia="宋体" w:cs="宋体"/>
          <w:spacing w:val="-10"/>
          <w:sz w:val="21"/>
          <w:szCs w:val="21"/>
        </w:rPr>
        <w:t>各投标人：</w:t>
      </w:r>
    </w:p>
    <w:p w14:paraId="4D200F02">
      <w:pPr>
        <w:spacing w:before="65" w:line="227" w:lineRule="auto"/>
        <w:ind w:left="446"/>
        <w:rPr>
          <w:rFonts w:ascii="宋体" w:hAnsi="宋体" w:eastAsia="宋体" w:cs="宋体"/>
          <w:sz w:val="21"/>
          <w:szCs w:val="21"/>
        </w:rPr>
      </w:pPr>
      <w:r>
        <w:rPr>
          <w:rFonts w:ascii="宋体" w:hAnsi="宋体" w:eastAsia="宋体" w:cs="宋体"/>
          <w:spacing w:val="-1"/>
          <w:sz w:val="21"/>
          <w:szCs w:val="21"/>
        </w:rPr>
        <w:t>经研究，对</w:t>
      </w:r>
      <w:r>
        <w:rPr>
          <w:rFonts w:ascii="宋体" w:hAnsi="宋体" w:eastAsia="宋体" w:cs="宋体"/>
          <w:spacing w:val="-1"/>
          <w:sz w:val="21"/>
          <w:szCs w:val="21"/>
          <w:u w:val="single" w:color="auto"/>
        </w:rPr>
        <w:t xml:space="preserve">       </w:t>
      </w:r>
      <w:r>
        <w:rPr>
          <w:rFonts w:ascii="宋体" w:hAnsi="宋体" w:eastAsia="宋体" w:cs="宋体"/>
          <w:spacing w:val="-79"/>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（标段名称）施工招标文件，作如下澄清：</w:t>
      </w:r>
    </w:p>
    <w:p w14:paraId="4DC49FD7">
      <w:pPr>
        <w:spacing w:before="56" w:line="293" w:lineRule="exact"/>
        <w:ind w:left="454"/>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2E0B275F">
      <w:pPr>
        <w:spacing w:before="7" w:line="293" w:lineRule="exact"/>
        <w:ind w:left="448"/>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678C22DE">
      <w:pPr>
        <w:pStyle w:val="2"/>
        <w:spacing w:line="271" w:lineRule="auto"/>
      </w:pPr>
    </w:p>
    <w:p w14:paraId="6C31CC8F">
      <w:pPr>
        <w:pStyle w:val="2"/>
        <w:spacing w:line="271" w:lineRule="auto"/>
      </w:pPr>
    </w:p>
    <w:p w14:paraId="74BE5C3D">
      <w:pPr>
        <w:pStyle w:val="2"/>
        <w:spacing w:line="271" w:lineRule="auto"/>
      </w:pPr>
    </w:p>
    <w:p w14:paraId="25402A9A">
      <w:pPr>
        <w:pStyle w:val="2"/>
        <w:spacing w:line="271" w:lineRule="auto"/>
      </w:pPr>
    </w:p>
    <w:p w14:paraId="16DDBE12">
      <w:pPr>
        <w:pStyle w:val="2"/>
        <w:spacing w:line="271" w:lineRule="auto"/>
      </w:pPr>
    </w:p>
    <w:p w14:paraId="7BEC7292">
      <w:pPr>
        <w:pStyle w:val="2"/>
        <w:spacing w:line="271" w:lineRule="auto"/>
      </w:pPr>
    </w:p>
    <w:p w14:paraId="2B5E49DC">
      <w:pPr>
        <w:tabs>
          <w:tab w:val="left" w:pos="6864"/>
        </w:tabs>
        <w:spacing w:before="68" w:line="477" w:lineRule="auto"/>
        <w:ind w:left="5918" w:right="5" w:hanging="1673"/>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2"/>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4F893188">
      <w:pPr>
        <w:pStyle w:val="2"/>
        <w:spacing w:line="279" w:lineRule="auto"/>
      </w:pPr>
    </w:p>
    <w:p w14:paraId="3302B2C7">
      <w:pPr>
        <w:pStyle w:val="2"/>
        <w:spacing w:line="279" w:lineRule="auto"/>
      </w:pPr>
    </w:p>
    <w:p w14:paraId="538BFA42">
      <w:pPr>
        <w:pStyle w:val="2"/>
        <w:spacing w:line="279" w:lineRule="auto"/>
      </w:pPr>
    </w:p>
    <w:p w14:paraId="0A3180F6">
      <w:pPr>
        <w:spacing w:before="69" w:line="279" w:lineRule="auto"/>
        <w:ind w:left="40" w:firstLine="406"/>
        <w:rPr>
          <w:rFonts w:ascii="宋体" w:hAnsi="宋体" w:eastAsia="宋体" w:cs="宋体"/>
          <w:sz w:val="21"/>
          <w:szCs w:val="21"/>
        </w:rPr>
      </w:pPr>
      <w:r>
        <w:rPr>
          <w:rFonts w:ascii="宋体" w:hAnsi="宋体" w:eastAsia="宋体" w:cs="宋体"/>
          <w:spacing w:val="-2"/>
          <w:sz w:val="21"/>
          <w:szCs w:val="21"/>
        </w:rPr>
        <w:t>备注：招标人对招标文件有关问题澄清时，适用本格式。招</w:t>
      </w:r>
      <w:r>
        <w:rPr>
          <w:rFonts w:ascii="宋体" w:hAnsi="宋体" w:eastAsia="宋体" w:cs="宋体"/>
          <w:spacing w:val="-3"/>
          <w:sz w:val="21"/>
          <w:szCs w:val="21"/>
        </w:rPr>
        <w:t>标人可根据需要将附表二与</w:t>
      </w:r>
      <w:r>
        <w:rPr>
          <w:rFonts w:ascii="宋体" w:hAnsi="宋体" w:eastAsia="宋体" w:cs="宋体"/>
          <w:spacing w:val="-5"/>
          <w:sz w:val="21"/>
          <w:szCs w:val="21"/>
        </w:rPr>
        <w:t>附表三内容合并发出。</w:t>
      </w:r>
    </w:p>
    <w:p w14:paraId="614F8D5A">
      <w:pPr>
        <w:spacing w:line="279" w:lineRule="auto"/>
        <w:rPr>
          <w:rFonts w:ascii="宋体" w:hAnsi="宋体" w:eastAsia="宋体" w:cs="宋体"/>
          <w:sz w:val="21"/>
          <w:szCs w:val="21"/>
        </w:rPr>
        <w:sectPr>
          <w:footerReference r:id="rId52" w:type="default"/>
          <w:pgSz w:w="11910" w:h="16845"/>
          <w:pgMar w:top="1431" w:right="1782" w:bottom="1065" w:left="1786" w:header="0" w:footer="838" w:gutter="0"/>
          <w:cols w:space="720" w:num="1"/>
        </w:sectPr>
      </w:pPr>
    </w:p>
    <w:p w14:paraId="71B8C432">
      <w:pPr>
        <w:pStyle w:val="2"/>
        <w:spacing w:line="246" w:lineRule="auto"/>
      </w:pPr>
    </w:p>
    <w:p w14:paraId="5B51699A">
      <w:pPr>
        <w:pStyle w:val="2"/>
        <w:spacing w:line="246" w:lineRule="auto"/>
      </w:pPr>
    </w:p>
    <w:p w14:paraId="7A4AD7DB">
      <w:pPr>
        <w:pStyle w:val="2"/>
        <w:spacing w:line="246" w:lineRule="auto"/>
      </w:pPr>
    </w:p>
    <w:p w14:paraId="3B76AAFF">
      <w:pPr>
        <w:pStyle w:val="2"/>
        <w:spacing w:line="246" w:lineRule="auto"/>
      </w:pPr>
    </w:p>
    <w:p w14:paraId="04B09198">
      <w:pPr>
        <w:spacing w:before="91" w:line="222" w:lineRule="auto"/>
        <w:ind w:left="3044"/>
        <w:outlineLvl w:val="1"/>
        <w:rPr>
          <w:rFonts w:ascii="黑体" w:hAnsi="黑体" w:eastAsia="黑体" w:cs="黑体"/>
          <w:sz w:val="28"/>
          <w:szCs w:val="28"/>
        </w:rPr>
      </w:pPr>
      <w:bookmarkStart w:id="22" w:name="bookmark21"/>
      <w:bookmarkEnd w:id="22"/>
      <w:r>
        <w:rPr>
          <w:rFonts w:ascii="黑体" w:hAnsi="黑体" w:eastAsia="黑体" w:cs="黑体"/>
          <w:spacing w:val="6"/>
          <w:sz w:val="28"/>
          <w:szCs w:val="28"/>
        </w:rPr>
        <w:t>招标文件修改通知</w:t>
      </w:r>
    </w:p>
    <w:p w14:paraId="73160A53">
      <w:pPr>
        <w:pStyle w:val="2"/>
        <w:spacing w:line="300" w:lineRule="auto"/>
      </w:pPr>
    </w:p>
    <w:p w14:paraId="6812D1D6">
      <w:pPr>
        <w:pStyle w:val="2"/>
        <w:spacing w:line="301" w:lineRule="auto"/>
      </w:pPr>
    </w:p>
    <w:p w14:paraId="12A8EC01">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EF619E4">
      <w:pPr>
        <w:pStyle w:val="2"/>
        <w:spacing w:line="310" w:lineRule="auto"/>
      </w:pPr>
    </w:p>
    <w:p w14:paraId="3141420D">
      <w:pPr>
        <w:spacing w:before="69" w:line="220" w:lineRule="auto"/>
        <w:ind w:left="447"/>
        <w:rPr>
          <w:rFonts w:ascii="宋体" w:hAnsi="宋体" w:eastAsia="宋体" w:cs="宋体"/>
          <w:sz w:val="21"/>
          <w:szCs w:val="21"/>
        </w:rPr>
      </w:pPr>
      <w:r>
        <w:rPr>
          <w:rFonts w:ascii="宋体" w:hAnsi="宋体" w:eastAsia="宋体" w:cs="宋体"/>
          <w:spacing w:val="-10"/>
          <w:sz w:val="21"/>
          <w:szCs w:val="21"/>
        </w:rPr>
        <w:t>各投标人：</w:t>
      </w:r>
    </w:p>
    <w:p w14:paraId="655BDFE0">
      <w:pPr>
        <w:spacing w:before="65" w:line="227" w:lineRule="auto"/>
        <w:ind w:left="446"/>
        <w:rPr>
          <w:rFonts w:ascii="宋体" w:hAnsi="宋体" w:eastAsia="宋体" w:cs="宋体"/>
          <w:sz w:val="21"/>
          <w:szCs w:val="21"/>
        </w:rPr>
      </w:pPr>
      <w:r>
        <w:rPr>
          <w:rFonts w:ascii="宋体" w:hAnsi="宋体" w:eastAsia="宋体" w:cs="宋体"/>
          <w:spacing w:val="-1"/>
          <w:sz w:val="21"/>
          <w:szCs w:val="21"/>
        </w:rPr>
        <w:t>经研究，对</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项目名称</w:t>
      </w:r>
      <w:r>
        <w:rPr>
          <w:rFonts w:ascii="Calibri" w:hAnsi="Calibri" w:eastAsia="Calibri" w:cs="Calibri"/>
          <w:spacing w:val="-1"/>
          <w:sz w:val="21"/>
          <w:szCs w:val="21"/>
        </w:rPr>
        <w:t>)</w:t>
      </w:r>
      <w:r>
        <w:rPr>
          <w:rFonts w:ascii="Calibri" w:hAnsi="Calibri" w:eastAsia="Calibri" w:cs="Calibri"/>
          <w:spacing w:val="-1"/>
          <w:sz w:val="21"/>
          <w:szCs w:val="21"/>
          <w:u w:val="single" w:color="auto"/>
        </w:rPr>
        <w:t xml:space="preserve">            </w:t>
      </w:r>
      <w:r>
        <w:rPr>
          <w:rFonts w:ascii="Calibri" w:hAnsi="Calibri" w:eastAsia="Calibri" w:cs="Calibri"/>
          <w:spacing w:val="-2"/>
          <w:sz w:val="21"/>
          <w:szCs w:val="21"/>
          <w:u w:val="single" w:color="auto"/>
        </w:rPr>
        <w:t xml:space="preserve">  </w:t>
      </w:r>
      <w:r>
        <w:rPr>
          <w:rFonts w:ascii="宋体" w:hAnsi="宋体" w:eastAsia="宋体" w:cs="宋体"/>
          <w:spacing w:val="-2"/>
          <w:sz w:val="21"/>
          <w:szCs w:val="21"/>
        </w:rPr>
        <w:t>（标段名称）施工招标文件，作如下修改：</w:t>
      </w:r>
    </w:p>
    <w:p w14:paraId="73E82A09">
      <w:pPr>
        <w:spacing w:before="56" w:line="293" w:lineRule="exact"/>
        <w:ind w:left="454"/>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290A31DC">
      <w:pPr>
        <w:spacing w:before="7" w:line="293" w:lineRule="exact"/>
        <w:ind w:left="448"/>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66C353FC">
      <w:pPr>
        <w:pStyle w:val="2"/>
        <w:spacing w:line="243" w:lineRule="auto"/>
      </w:pPr>
    </w:p>
    <w:p w14:paraId="112F87C9">
      <w:pPr>
        <w:pStyle w:val="2"/>
        <w:spacing w:line="243" w:lineRule="auto"/>
      </w:pPr>
    </w:p>
    <w:p w14:paraId="1A97E419">
      <w:pPr>
        <w:pStyle w:val="2"/>
        <w:spacing w:line="243" w:lineRule="auto"/>
      </w:pPr>
    </w:p>
    <w:p w14:paraId="0B475612">
      <w:pPr>
        <w:pStyle w:val="2"/>
        <w:spacing w:line="243" w:lineRule="auto"/>
      </w:pPr>
    </w:p>
    <w:p w14:paraId="59C8B04A">
      <w:pPr>
        <w:pStyle w:val="2"/>
        <w:spacing w:line="244" w:lineRule="auto"/>
      </w:pPr>
    </w:p>
    <w:p w14:paraId="0FF7CADD">
      <w:pPr>
        <w:pStyle w:val="2"/>
        <w:spacing w:line="244" w:lineRule="auto"/>
      </w:pPr>
    </w:p>
    <w:p w14:paraId="45BCB09B">
      <w:pPr>
        <w:pStyle w:val="2"/>
        <w:spacing w:line="244" w:lineRule="auto"/>
      </w:pPr>
    </w:p>
    <w:p w14:paraId="6AED0A5D">
      <w:pPr>
        <w:pStyle w:val="2"/>
        <w:spacing w:line="244" w:lineRule="auto"/>
      </w:pPr>
    </w:p>
    <w:p w14:paraId="1AE048C6">
      <w:pPr>
        <w:pStyle w:val="2"/>
        <w:spacing w:line="244" w:lineRule="auto"/>
      </w:pPr>
    </w:p>
    <w:p w14:paraId="32399E48">
      <w:pPr>
        <w:tabs>
          <w:tab w:val="left" w:pos="6864"/>
        </w:tabs>
        <w:spacing w:before="69" w:line="464" w:lineRule="auto"/>
        <w:ind w:left="5918" w:hanging="1673"/>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2"/>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5D880D8">
      <w:pPr>
        <w:pStyle w:val="2"/>
        <w:spacing w:line="284" w:lineRule="auto"/>
      </w:pPr>
    </w:p>
    <w:p w14:paraId="4B7C9619">
      <w:pPr>
        <w:pStyle w:val="2"/>
        <w:spacing w:line="284" w:lineRule="auto"/>
      </w:pPr>
    </w:p>
    <w:p w14:paraId="130657D5">
      <w:pPr>
        <w:pStyle w:val="2"/>
        <w:spacing w:line="284" w:lineRule="auto"/>
      </w:pPr>
    </w:p>
    <w:p w14:paraId="2DB1B8AD">
      <w:pPr>
        <w:spacing w:before="69" w:line="219" w:lineRule="auto"/>
        <w:ind w:left="447"/>
        <w:rPr>
          <w:rFonts w:ascii="宋体" w:hAnsi="宋体" w:eastAsia="宋体" w:cs="宋体"/>
          <w:sz w:val="21"/>
          <w:szCs w:val="21"/>
        </w:rPr>
      </w:pPr>
      <w:r>
        <w:rPr>
          <w:rFonts w:ascii="宋体" w:hAnsi="宋体" w:eastAsia="宋体" w:cs="宋体"/>
          <w:spacing w:val="-1"/>
          <w:sz w:val="21"/>
          <w:szCs w:val="21"/>
        </w:rPr>
        <w:t>备注：招标人对招标文件有关问题修改时，适用</w:t>
      </w:r>
      <w:r>
        <w:rPr>
          <w:rFonts w:ascii="宋体" w:hAnsi="宋体" w:eastAsia="宋体" w:cs="宋体"/>
          <w:spacing w:val="-2"/>
          <w:sz w:val="21"/>
          <w:szCs w:val="21"/>
        </w:rPr>
        <w:t>本格式。</w:t>
      </w:r>
    </w:p>
    <w:p w14:paraId="2C0F04FD">
      <w:pPr>
        <w:spacing w:line="219" w:lineRule="auto"/>
        <w:rPr>
          <w:rFonts w:ascii="宋体" w:hAnsi="宋体" w:eastAsia="宋体" w:cs="宋体"/>
          <w:sz w:val="21"/>
          <w:szCs w:val="21"/>
        </w:rPr>
        <w:sectPr>
          <w:headerReference r:id="rId53" w:type="default"/>
          <w:footerReference r:id="rId54" w:type="default"/>
          <w:pgSz w:w="11910" w:h="16845"/>
          <w:pgMar w:top="2261" w:right="1786" w:bottom="1065" w:left="1786" w:header="1776" w:footer="838" w:gutter="0"/>
          <w:cols w:space="720" w:num="1"/>
        </w:sectPr>
      </w:pPr>
    </w:p>
    <w:p w14:paraId="0E99E86B">
      <w:pPr>
        <w:pStyle w:val="2"/>
        <w:spacing w:line="270" w:lineRule="auto"/>
      </w:pPr>
    </w:p>
    <w:p w14:paraId="76E495D2">
      <w:pPr>
        <w:pStyle w:val="2"/>
        <w:spacing w:line="270" w:lineRule="auto"/>
      </w:pPr>
    </w:p>
    <w:p w14:paraId="1E15B994">
      <w:pPr>
        <w:pStyle w:val="2"/>
        <w:spacing w:line="270" w:lineRule="auto"/>
      </w:pPr>
    </w:p>
    <w:p w14:paraId="3AAD41FD">
      <w:pPr>
        <w:pStyle w:val="2"/>
        <w:spacing w:line="271" w:lineRule="auto"/>
      </w:pPr>
    </w:p>
    <w:p w14:paraId="5C746278">
      <w:pPr>
        <w:pStyle w:val="2"/>
        <w:spacing w:line="271" w:lineRule="auto"/>
      </w:pPr>
    </w:p>
    <w:p w14:paraId="16A726E3">
      <w:pPr>
        <w:spacing w:before="101" w:line="221" w:lineRule="auto"/>
        <w:ind w:left="45"/>
        <w:outlineLvl w:val="1"/>
        <w:rPr>
          <w:rFonts w:ascii="黑体" w:hAnsi="黑体" w:eastAsia="黑体" w:cs="黑体"/>
          <w:sz w:val="31"/>
          <w:szCs w:val="31"/>
        </w:rPr>
      </w:pPr>
      <w:bookmarkStart w:id="23" w:name="bookmark22"/>
      <w:bookmarkEnd w:id="23"/>
      <w:r>
        <w:rPr>
          <w:rFonts w:ascii="黑体" w:hAnsi="黑体" w:eastAsia="黑体" w:cs="黑体"/>
          <w:b/>
          <w:bCs/>
          <w:spacing w:val="9"/>
          <w:sz w:val="31"/>
          <w:szCs w:val="31"/>
        </w:rPr>
        <w:t>附表四：投标文件递交签收凭证</w:t>
      </w:r>
    </w:p>
    <w:p w14:paraId="326C7E3A">
      <w:pPr>
        <w:pStyle w:val="2"/>
        <w:spacing w:line="247" w:lineRule="auto"/>
      </w:pPr>
    </w:p>
    <w:p w14:paraId="135DD6BA">
      <w:pPr>
        <w:pStyle w:val="2"/>
        <w:spacing w:line="247" w:lineRule="auto"/>
      </w:pPr>
    </w:p>
    <w:p w14:paraId="42CB593E">
      <w:pPr>
        <w:pStyle w:val="2"/>
        <w:spacing w:line="247" w:lineRule="auto"/>
      </w:pPr>
    </w:p>
    <w:p w14:paraId="315FF16E">
      <w:pPr>
        <w:pStyle w:val="2"/>
        <w:spacing w:line="247" w:lineRule="auto"/>
      </w:pPr>
    </w:p>
    <w:p w14:paraId="0ABE93AC">
      <w:pPr>
        <w:pStyle w:val="2"/>
        <w:spacing w:line="248" w:lineRule="auto"/>
      </w:pPr>
    </w:p>
    <w:p w14:paraId="3C209E20">
      <w:pPr>
        <w:spacing w:before="91" w:line="222" w:lineRule="auto"/>
        <w:ind w:left="2758"/>
        <w:rPr>
          <w:rFonts w:ascii="黑体" w:hAnsi="黑体" w:eastAsia="黑体" w:cs="黑体"/>
          <w:sz w:val="28"/>
          <w:szCs w:val="28"/>
        </w:rPr>
      </w:pPr>
      <w:r>
        <w:rPr>
          <w:rFonts w:ascii="黑体" w:hAnsi="黑体" w:eastAsia="黑体" w:cs="黑体"/>
          <w:spacing w:val="4"/>
          <w:sz w:val="28"/>
          <w:szCs w:val="28"/>
        </w:rPr>
        <w:t>投标文件递交签收凭证</w:t>
      </w:r>
    </w:p>
    <w:p w14:paraId="016C1B94">
      <w:pPr>
        <w:pStyle w:val="2"/>
        <w:spacing w:line="288" w:lineRule="auto"/>
      </w:pPr>
    </w:p>
    <w:p w14:paraId="07570938">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8344333">
      <w:pPr>
        <w:spacing w:line="20" w:lineRule="exact"/>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61"/>
        <w:gridCol w:w="6169"/>
      </w:tblGrid>
      <w:tr w14:paraId="67896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061" w:type="dxa"/>
            <w:vAlign w:val="top"/>
          </w:tcPr>
          <w:p w14:paraId="3FE74264">
            <w:pPr>
              <w:pStyle w:val="6"/>
              <w:spacing w:before="225" w:line="220" w:lineRule="auto"/>
              <w:ind w:left="611"/>
              <w:rPr>
                <w:sz w:val="21"/>
                <w:szCs w:val="21"/>
              </w:rPr>
            </w:pPr>
            <w:r>
              <w:rPr>
                <w:spacing w:val="-2"/>
                <w:sz w:val="21"/>
                <w:szCs w:val="21"/>
              </w:rPr>
              <w:t>工程名称</w:t>
            </w:r>
          </w:p>
        </w:tc>
        <w:tc>
          <w:tcPr>
            <w:tcW w:w="6169" w:type="dxa"/>
            <w:vAlign w:val="top"/>
          </w:tcPr>
          <w:p w14:paraId="77671715">
            <w:pPr>
              <w:pStyle w:val="6"/>
              <w:tabs>
                <w:tab w:val="left" w:pos="2128"/>
              </w:tabs>
              <w:spacing w:before="225" w:line="220" w:lineRule="auto"/>
              <w:ind w:left="657"/>
              <w:rPr>
                <w:sz w:val="21"/>
                <w:szCs w:val="21"/>
              </w:rPr>
            </w:pPr>
            <w:r>
              <w:rPr>
                <w:sz w:val="21"/>
                <w:szCs w:val="21"/>
                <w:u w:val="single" w:color="auto"/>
              </w:rPr>
              <w:tab/>
            </w:r>
            <w:r>
              <w:rPr>
                <w:spacing w:val="-1"/>
                <w:sz w:val="21"/>
                <w:szCs w:val="21"/>
              </w:rPr>
              <w:t>（项目名称</w:t>
            </w:r>
            <w:r>
              <w:rPr>
                <w:sz w:val="21"/>
                <w:szCs w:val="21"/>
              </w:rPr>
              <w:t>）</w:t>
            </w:r>
            <w:r>
              <w:rPr>
                <w:sz w:val="21"/>
                <w:szCs w:val="21"/>
                <w:u w:val="single" w:color="auto"/>
              </w:rPr>
              <w:t xml:space="preserve">        </w:t>
            </w:r>
            <w:r>
              <w:rPr>
                <w:sz w:val="21"/>
                <w:szCs w:val="21"/>
              </w:rPr>
              <w:t>（</w:t>
            </w:r>
            <w:r>
              <w:rPr>
                <w:spacing w:val="-1"/>
                <w:sz w:val="21"/>
                <w:szCs w:val="21"/>
              </w:rPr>
              <w:t>标段名称）</w:t>
            </w:r>
          </w:p>
        </w:tc>
      </w:tr>
      <w:tr w14:paraId="59D2E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39F986A0">
            <w:pPr>
              <w:pStyle w:val="6"/>
              <w:spacing w:before="220" w:line="220" w:lineRule="auto"/>
              <w:ind w:left="715"/>
              <w:rPr>
                <w:sz w:val="21"/>
                <w:szCs w:val="21"/>
              </w:rPr>
            </w:pPr>
            <w:r>
              <w:rPr>
                <w:spacing w:val="-2"/>
                <w:sz w:val="21"/>
                <w:szCs w:val="21"/>
              </w:rPr>
              <w:t>招标人</w:t>
            </w:r>
          </w:p>
        </w:tc>
        <w:tc>
          <w:tcPr>
            <w:tcW w:w="6169" w:type="dxa"/>
            <w:vAlign w:val="top"/>
          </w:tcPr>
          <w:p w14:paraId="0A203B51">
            <w:pPr>
              <w:rPr>
                <w:rFonts w:ascii="Arial"/>
                <w:sz w:val="21"/>
              </w:rPr>
            </w:pPr>
          </w:p>
        </w:tc>
      </w:tr>
      <w:tr w14:paraId="56A0D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47580E9B">
            <w:pPr>
              <w:pStyle w:val="6"/>
              <w:spacing w:before="222" w:line="219" w:lineRule="auto"/>
              <w:ind w:left="399"/>
              <w:rPr>
                <w:sz w:val="21"/>
                <w:szCs w:val="21"/>
              </w:rPr>
            </w:pPr>
            <w:r>
              <w:rPr>
                <w:spacing w:val="-2"/>
                <w:sz w:val="21"/>
                <w:szCs w:val="21"/>
              </w:rPr>
              <w:t>招标代理机构</w:t>
            </w:r>
          </w:p>
        </w:tc>
        <w:tc>
          <w:tcPr>
            <w:tcW w:w="6169" w:type="dxa"/>
            <w:vAlign w:val="top"/>
          </w:tcPr>
          <w:p w14:paraId="1C0160E0">
            <w:pPr>
              <w:rPr>
                <w:rFonts w:ascii="Arial"/>
                <w:sz w:val="21"/>
              </w:rPr>
            </w:pPr>
          </w:p>
        </w:tc>
      </w:tr>
      <w:tr w14:paraId="05331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4E734EFF">
            <w:pPr>
              <w:pStyle w:val="6"/>
              <w:spacing w:before="226" w:line="220" w:lineRule="auto"/>
              <w:ind w:left="716"/>
              <w:rPr>
                <w:sz w:val="21"/>
                <w:szCs w:val="21"/>
              </w:rPr>
            </w:pPr>
            <w:r>
              <w:rPr>
                <w:spacing w:val="-3"/>
                <w:sz w:val="21"/>
                <w:szCs w:val="21"/>
              </w:rPr>
              <w:t>投标人</w:t>
            </w:r>
          </w:p>
        </w:tc>
        <w:tc>
          <w:tcPr>
            <w:tcW w:w="6169" w:type="dxa"/>
            <w:vAlign w:val="top"/>
          </w:tcPr>
          <w:p w14:paraId="7BC8C470">
            <w:pPr>
              <w:rPr>
                <w:rFonts w:ascii="Arial"/>
                <w:sz w:val="21"/>
              </w:rPr>
            </w:pPr>
          </w:p>
        </w:tc>
      </w:tr>
      <w:tr w14:paraId="1F04A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061" w:type="dxa"/>
            <w:vAlign w:val="top"/>
          </w:tcPr>
          <w:p w14:paraId="3F23FBD6">
            <w:pPr>
              <w:pStyle w:val="6"/>
              <w:spacing w:before="228" w:line="220" w:lineRule="auto"/>
              <w:ind w:left="190"/>
              <w:rPr>
                <w:sz w:val="21"/>
                <w:szCs w:val="21"/>
              </w:rPr>
            </w:pPr>
            <w:r>
              <w:rPr>
                <w:spacing w:val="-1"/>
                <w:sz w:val="21"/>
                <w:szCs w:val="21"/>
              </w:rPr>
              <w:t>投标文件递交时间</w:t>
            </w:r>
          </w:p>
        </w:tc>
        <w:tc>
          <w:tcPr>
            <w:tcW w:w="6169" w:type="dxa"/>
            <w:vAlign w:val="top"/>
          </w:tcPr>
          <w:p w14:paraId="626369A3">
            <w:pPr>
              <w:pStyle w:val="6"/>
              <w:tabs>
                <w:tab w:val="left" w:pos="2173"/>
              </w:tabs>
              <w:spacing w:before="228" w:line="220" w:lineRule="auto"/>
              <w:ind w:left="1228"/>
              <w:rPr>
                <w:sz w:val="21"/>
                <w:szCs w:val="21"/>
              </w:rPr>
            </w:pPr>
            <w:r>
              <w:rPr>
                <w:sz w:val="21"/>
                <w:szCs w:val="21"/>
                <w:u w:val="single" w:color="auto"/>
              </w:rPr>
              <w:tab/>
            </w:r>
            <w:r>
              <w:rPr>
                <w:spacing w:val="-96"/>
                <w:sz w:val="21"/>
                <w:szCs w:val="21"/>
              </w:rPr>
              <w:t xml:space="preserve"> </w:t>
            </w:r>
            <w:r>
              <w:rPr>
                <w:spacing w:val="-17"/>
                <w:sz w:val="21"/>
                <w:szCs w:val="21"/>
              </w:rPr>
              <w:t>年</w:t>
            </w:r>
            <w:r>
              <w:rPr>
                <w:sz w:val="21"/>
                <w:szCs w:val="21"/>
                <w:u w:val="single" w:color="auto"/>
              </w:rPr>
              <w:t xml:space="preserve">    </w:t>
            </w:r>
            <w:r>
              <w:rPr>
                <w:spacing w:val="-92"/>
                <w:sz w:val="21"/>
                <w:szCs w:val="21"/>
              </w:rPr>
              <w:t xml:space="preserve"> </w:t>
            </w:r>
            <w:r>
              <w:rPr>
                <w:spacing w:val="-17"/>
                <w:sz w:val="21"/>
                <w:szCs w:val="21"/>
              </w:rPr>
              <w:t>月</w:t>
            </w:r>
            <w:r>
              <w:rPr>
                <w:spacing w:val="-104"/>
                <w:sz w:val="21"/>
                <w:szCs w:val="21"/>
              </w:rPr>
              <w:t xml:space="preserve"> </w:t>
            </w:r>
            <w:r>
              <w:rPr>
                <w:sz w:val="21"/>
                <w:szCs w:val="21"/>
                <w:u w:val="single" w:color="auto"/>
              </w:rPr>
              <w:t xml:space="preserve">    </w:t>
            </w:r>
            <w:r>
              <w:rPr>
                <w:spacing w:val="-61"/>
                <w:sz w:val="21"/>
                <w:szCs w:val="21"/>
              </w:rPr>
              <w:t xml:space="preserve"> </w:t>
            </w:r>
            <w:r>
              <w:rPr>
                <w:spacing w:val="-17"/>
                <w:sz w:val="21"/>
                <w:szCs w:val="21"/>
              </w:rPr>
              <w:t>日</w:t>
            </w:r>
            <w:r>
              <w:rPr>
                <w:spacing w:val="-104"/>
                <w:sz w:val="21"/>
                <w:szCs w:val="21"/>
              </w:rPr>
              <w:t xml:space="preserve"> </w:t>
            </w:r>
            <w:r>
              <w:rPr>
                <w:sz w:val="21"/>
                <w:szCs w:val="21"/>
                <w:u w:val="single" w:color="auto"/>
              </w:rPr>
              <w:t xml:space="preserve">    </w:t>
            </w:r>
            <w:r>
              <w:rPr>
                <w:spacing w:val="-87"/>
                <w:sz w:val="21"/>
                <w:szCs w:val="21"/>
              </w:rPr>
              <w:t xml:space="preserve"> </w:t>
            </w:r>
            <w:r>
              <w:rPr>
                <w:spacing w:val="-17"/>
                <w:sz w:val="21"/>
                <w:szCs w:val="21"/>
              </w:rPr>
              <w:t>时</w:t>
            </w:r>
            <w:r>
              <w:rPr>
                <w:spacing w:val="-105"/>
                <w:sz w:val="21"/>
                <w:szCs w:val="21"/>
              </w:rPr>
              <w:t xml:space="preserve"> </w:t>
            </w:r>
            <w:r>
              <w:rPr>
                <w:sz w:val="21"/>
                <w:szCs w:val="21"/>
                <w:u w:val="single" w:color="auto"/>
              </w:rPr>
              <w:t xml:space="preserve">    </w:t>
            </w:r>
            <w:r>
              <w:rPr>
                <w:spacing w:val="-93"/>
                <w:sz w:val="21"/>
                <w:szCs w:val="21"/>
              </w:rPr>
              <w:t xml:space="preserve"> </w:t>
            </w:r>
            <w:r>
              <w:rPr>
                <w:spacing w:val="-17"/>
                <w:sz w:val="21"/>
                <w:szCs w:val="21"/>
              </w:rPr>
              <w:t>分</w:t>
            </w:r>
          </w:p>
        </w:tc>
      </w:tr>
      <w:tr w14:paraId="469E7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061" w:type="dxa"/>
            <w:vAlign w:val="top"/>
          </w:tcPr>
          <w:p w14:paraId="04D2FC0E">
            <w:pPr>
              <w:pStyle w:val="6"/>
              <w:spacing w:before="230" w:line="220" w:lineRule="auto"/>
              <w:ind w:left="190"/>
              <w:rPr>
                <w:sz w:val="21"/>
                <w:szCs w:val="21"/>
              </w:rPr>
            </w:pPr>
            <w:r>
              <w:rPr>
                <w:spacing w:val="-1"/>
                <w:sz w:val="21"/>
                <w:szCs w:val="21"/>
              </w:rPr>
              <w:t>投标文件是否加密</w:t>
            </w:r>
          </w:p>
        </w:tc>
        <w:tc>
          <w:tcPr>
            <w:tcW w:w="6169" w:type="dxa"/>
            <w:vAlign w:val="top"/>
          </w:tcPr>
          <w:p w14:paraId="6DF80A4E">
            <w:pPr>
              <w:rPr>
                <w:rFonts w:ascii="Arial"/>
                <w:sz w:val="21"/>
              </w:rPr>
            </w:pPr>
          </w:p>
        </w:tc>
      </w:tr>
    </w:tbl>
    <w:p w14:paraId="7C68B929">
      <w:pPr>
        <w:pStyle w:val="2"/>
      </w:pPr>
    </w:p>
    <w:p w14:paraId="70A9CE6A">
      <w:pPr>
        <w:sectPr>
          <w:headerReference r:id="rId55" w:type="default"/>
          <w:footerReference r:id="rId56" w:type="default"/>
          <w:pgSz w:w="11910" w:h="16845"/>
          <w:pgMar w:top="400" w:right="1786" w:bottom="1065" w:left="1786" w:header="0" w:footer="838" w:gutter="0"/>
          <w:cols w:space="720" w:num="1"/>
        </w:sectPr>
      </w:pPr>
    </w:p>
    <w:p w14:paraId="73BC114D">
      <w:pPr>
        <w:pStyle w:val="2"/>
      </w:pPr>
    </w:p>
    <w:p w14:paraId="74AE73C4">
      <w:pPr>
        <w:pStyle w:val="2"/>
      </w:pPr>
    </w:p>
    <w:p w14:paraId="3E7AD5C3">
      <w:pPr>
        <w:pStyle w:val="2"/>
      </w:pPr>
    </w:p>
    <w:p w14:paraId="3391EE98">
      <w:pPr>
        <w:pStyle w:val="2"/>
      </w:pPr>
    </w:p>
    <w:p w14:paraId="0AFDDB48">
      <w:pPr>
        <w:pStyle w:val="2"/>
        <w:spacing w:line="241" w:lineRule="auto"/>
      </w:pPr>
    </w:p>
    <w:p w14:paraId="691DC337">
      <w:pPr>
        <w:pStyle w:val="2"/>
        <w:spacing w:line="241" w:lineRule="auto"/>
      </w:pPr>
    </w:p>
    <w:p w14:paraId="5EB33DCC">
      <w:pPr>
        <w:spacing w:before="101" w:line="222" w:lineRule="auto"/>
        <w:ind w:left="74"/>
        <w:outlineLvl w:val="1"/>
        <w:rPr>
          <w:rFonts w:ascii="黑体" w:hAnsi="黑体" w:eastAsia="黑体" w:cs="黑体"/>
          <w:sz w:val="31"/>
          <w:szCs w:val="31"/>
        </w:rPr>
      </w:pPr>
      <w:bookmarkStart w:id="24" w:name="bookmark23"/>
      <w:bookmarkEnd w:id="24"/>
      <w:r>
        <w:rPr>
          <w:rFonts w:ascii="黑体" w:hAnsi="黑体" w:eastAsia="黑体" w:cs="黑体"/>
          <w:b/>
          <w:bCs/>
          <w:spacing w:val="8"/>
          <w:sz w:val="31"/>
          <w:szCs w:val="31"/>
        </w:rPr>
        <w:t>附表五：开标记录表</w:t>
      </w:r>
    </w:p>
    <w:p w14:paraId="47F95CF9">
      <w:pPr>
        <w:pStyle w:val="2"/>
        <w:spacing w:line="475" w:lineRule="auto"/>
      </w:pPr>
    </w:p>
    <w:p w14:paraId="38C1A8D4">
      <w:pPr>
        <w:tabs>
          <w:tab w:val="left" w:pos="4307"/>
        </w:tabs>
        <w:spacing w:before="91" w:line="222" w:lineRule="auto"/>
        <w:ind w:left="3453"/>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7"/>
          <w:sz w:val="28"/>
          <w:szCs w:val="28"/>
        </w:rPr>
        <w:t>（项目名称</w:t>
      </w:r>
      <w:r>
        <w:rPr>
          <w:rFonts w:ascii="黑体" w:hAnsi="黑体" w:eastAsia="黑体" w:cs="黑体"/>
          <w:spacing w:val="-19"/>
          <w:sz w:val="28"/>
          <w:szCs w:val="28"/>
        </w:rPr>
        <w:t>）</w:t>
      </w:r>
      <w:r>
        <w:rPr>
          <w:rFonts w:ascii="黑体" w:hAnsi="黑体" w:eastAsia="黑体" w:cs="黑体"/>
          <w:spacing w:val="22"/>
          <w:sz w:val="28"/>
          <w:szCs w:val="28"/>
          <w:u w:val="single" w:color="auto"/>
        </w:rPr>
        <w:t xml:space="preserve">     </w:t>
      </w:r>
      <w:r>
        <w:rPr>
          <w:rFonts w:ascii="黑体" w:hAnsi="黑体" w:eastAsia="黑体" w:cs="黑体"/>
          <w:spacing w:val="-19"/>
          <w:sz w:val="28"/>
          <w:szCs w:val="28"/>
        </w:rPr>
        <w:t>（</w:t>
      </w:r>
      <w:r>
        <w:rPr>
          <w:rFonts w:ascii="黑体" w:hAnsi="黑体" w:eastAsia="黑体" w:cs="黑体"/>
          <w:spacing w:val="7"/>
          <w:sz w:val="28"/>
          <w:szCs w:val="28"/>
        </w:rPr>
        <w:t>标段名称）施工开标记录表</w:t>
      </w:r>
    </w:p>
    <w:p w14:paraId="6B082525">
      <w:pPr>
        <w:pStyle w:val="2"/>
        <w:spacing w:line="422" w:lineRule="auto"/>
      </w:pPr>
    </w:p>
    <w:p w14:paraId="7B42DE56">
      <w:pPr>
        <w:spacing w:before="68" w:line="220" w:lineRule="auto"/>
        <w:ind w:left="159"/>
        <w:rPr>
          <w:rFonts w:ascii="宋体" w:hAnsi="宋体" w:eastAsia="宋体" w:cs="宋体"/>
          <w:sz w:val="21"/>
          <w:szCs w:val="21"/>
        </w:rPr>
      </w:pPr>
      <w:r>
        <w:rPr>
          <w:rFonts w:ascii="宋体" w:hAnsi="宋体" w:eastAsia="宋体" w:cs="宋体"/>
          <w:spacing w:val="-5"/>
          <w:sz w:val="21"/>
          <w:szCs w:val="21"/>
        </w:rPr>
        <w:t>开标时间：</w:t>
      </w:r>
      <w:r>
        <w:rPr>
          <w:rFonts w:ascii="宋体" w:hAnsi="宋体" w:eastAsia="宋体" w:cs="宋体"/>
          <w:spacing w:val="-5"/>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5"/>
          <w:sz w:val="21"/>
          <w:szCs w:val="21"/>
        </w:rPr>
        <w:t>年</w:t>
      </w:r>
      <w:r>
        <w:rPr>
          <w:rFonts w:ascii="宋体" w:hAnsi="宋体" w:eastAsia="宋体" w:cs="宋体"/>
          <w:spacing w:val="-5"/>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5"/>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5"/>
          <w:sz w:val="21"/>
          <w:szCs w:val="21"/>
        </w:rPr>
        <w:t>日</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5"/>
          <w:sz w:val="21"/>
          <w:szCs w:val="21"/>
        </w:rPr>
        <w:t>时</w:t>
      </w:r>
      <w:r>
        <w:rPr>
          <w:rFonts w:ascii="宋体" w:hAnsi="宋体" w:eastAsia="宋体" w:cs="宋体"/>
          <w:spacing w:val="35"/>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5"/>
          <w:sz w:val="21"/>
          <w:szCs w:val="21"/>
        </w:rPr>
        <w:t>分</w:t>
      </w:r>
      <w:r>
        <w:rPr>
          <w:rFonts w:ascii="宋体" w:hAnsi="宋体" w:eastAsia="宋体" w:cs="宋体"/>
          <w:sz w:val="21"/>
          <w:szCs w:val="21"/>
        </w:rPr>
        <w:t xml:space="preserve">                                          </w:t>
      </w:r>
      <w:r>
        <w:rPr>
          <w:rFonts w:ascii="宋体" w:hAnsi="宋体" w:eastAsia="宋体" w:cs="宋体"/>
          <w:spacing w:val="-5"/>
          <w:sz w:val="21"/>
          <w:szCs w:val="21"/>
        </w:rPr>
        <w:t>开标地点：</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p>
    <w:p w14:paraId="70933CD1">
      <w:pPr>
        <w:spacing w:line="58" w:lineRule="auto"/>
        <w:rPr>
          <w:rFonts w:ascii="Arial"/>
          <w:sz w:val="2"/>
        </w:rPr>
      </w:pPr>
    </w:p>
    <w:tbl>
      <w:tblPr>
        <w:tblStyle w:val="5"/>
        <w:tblW w:w="1336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474"/>
        <w:gridCol w:w="1410"/>
        <w:gridCol w:w="1140"/>
        <w:gridCol w:w="1140"/>
        <w:gridCol w:w="839"/>
        <w:gridCol w:w="1995"/>
        <w:gridCol w:w="1409"/>
        <w:gridCol w:w="855"/>
        <w:gridCol w:w="1417"/>
      </w:tblGrid>
      <w:tr w14:paraId="4FB76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trPr>
        <w:tc>
          <w:tcPr>
            <w:tcW w:w="682" w:type="dxa"/>
            <w:vMerge w:val="restart"/>
            <w:tcBorders>
              <w:bottom w:val="nil"/>
            </w:tcBorders>
            <w:vAlign w:val="top"/>
          </w:tcPr>
          <w:p w14:paraId="124A68DA">
            <w:pPr>
              <w:pStyle w:val="6"/>
              <w:spacing w:before="210" w:line="221" w:lineRule="auto"/>
              <w:ind w:left="112"/>
              <w:rPr>
                <w:sz w:val="21"/>
                <w:szCs w:val="21"/>
              </w:rPr>
            </w:pPr>
            <w:r>
              <w:rPr>
                <w:b/>
                <w:bCs/>
                <w:spacing w:val="1"/>
                <w:sz w:val="21"/>
                <w:szCs w:val="21"/>
              </w:rPr>
              <w:t>序号</w:t>
            </w:r>
          </w:p>
        </w:tc>
        <w:tc>
          <w:tcPr>
            <w:tcW w:w="2474" w:type="dxa"/>
            <w:vMerge w:val="restart"/>
            <w:tcBorders>
              <w:bottom w:val="nil"/>
            </w:tcBorders>
            <w:vAlign w:val="top"/>
          </w:tcPr>
          <w:p w14:paraId="0A5EE74D">
            <w:pPr>
              <w:pStyle w:val="6"/>
              <w:spacing w:before="209" w:line="221" w:lineRule="auto"/>
              <w:ind w:left="679"/>
              <w:rPr>
                <w:sz w:val="21"/>
                <w:szCs w:val="21"/>
              </w:rPr>
            </w:pPr>
            <w:r>
              <w:rPr>
                <w:b/>
                <w:bCs/>
                <w:spacing w:val="4"/>
                <w:sz w:val="21"/>
                <w:szCs w:val="21"/>
              </w:rPr>
              <w:t>投标人名称</w:t>
            </w:r>
          </w:p>
        </w:tc>
        <w:tc>
          <w:tcPr>
            <w:tcW w:w="1410" w:type="dxa"/>
            <w:vMerge w:val="restart"/>
            <w:tcBorders>
              <w:bottom w:val="nil"/>
            </w:tcBorders>
            <w:vAlign w:val="top"/>
          </w:tcPr>
          <w:p w14:paraId="6E8255EF">
            <w:pPr>
              <w:pStyle w:val="6"/>
              <w:spacing w:before="209" w:line="219" w:lineRule="auto"/>
              <w:jc w:val="right"/>
              <w:rPr>
                <w:sz w:val="21"/>
                <w:szCs w:val="21"/>
              </w:rPr>
            </w:pPr>
            <w:r>
              <w:rPr>
                <w:b/>
                <w:bCs/>
                <w:spacing w:val="-19"/>
                <w:sz w:val="21"/>
                <w:szCs w:val="21"/>
              </w:rPr>
              <w:t>投标报价（元）</w:t>
            </w:r>
          </w:p>
        </w:tc>
        <w:tc>
          <w:tcPr>
            <w:tcW w:w="1140" w:type="dxa"/>
            <w:vMerge w:val="restart"/>
            <w:tcBorders>
              <w:bottom w:val="nil"/>
            </w:tcBorders>
            <w:vAlign w:val="top"/>
          </w:tcPr>
          <w:p w14:paraId="5DAE9EDB">
            <w:pPr>
              <w:pStyle w:val="6"/>
              <w:spacing w:before="44" w:line="221" w:lineRule="auto"/>
              <w:ind w:left="353"/>
              <w:rPr>
                <w:sz w:val="21"/>
                <w:szCs w:val="21"/>
              </w:rPr>
            </w:pPr>
            <w:r>
              <w:rPr>
                <w:b/>
                <w:bCs/>
                <w:sz w:val="21"/>
                <w:szCs w:val="21"/>
              </w:rPr>
              <w:t>工期</w:t>
            </w:r>
          </w:p>
          <w:p w14:paraId="71ABEA5B">
            <w:pPr>
              <w:pStyle w:val="6"/>
              <w:spacing w:before="63" w:line="221" w:lineRule="auto"/>
              <w:ind w:left="42"/>
              <w:rPr>
                <w:sz w:val="21"/>
                <w:szCs w:val="21"/>
              </w:rPr>
            </w:pPr>
            <w:r>
              <w:rPr>
                <w:b/>
                <w:bCs/>
                <w:spacing w:val="1"/>
                <w:sz w:val="21"/>
                <w:szCs w:val="21"/>
              </w:rPr>
              <w:t>（日历天）</w:t>
            </w:r>
          </w:p>
        </w:tc>
        <w:tc>
          <w:tcPr>
            <w:tcW w:w="1140" w:type="dxa"/>
            <w:vMerge w:val="restart"/>
            <w:tcBorders>
              <w:bottom w:val="nil"/>
            </w:tcBorders>
            <w:vAlign w:val="top"/>
          </w:tcPr>
          <w:p w14:paraId="76F7E3CA">
            <w:pPr>
              <w:pStyle w:val="6"/>
              <w:spacing w:before="209" w:line="221" w:lineRule="auto"/>
              <w:ind w:left="128"/>
              <w:rPr>
                <w:sz w:val="21"/>
                <w:szCs w:val="21"/>
              </w:rPr>
            </w:pPr>
            <w:r>
              <w:rPr>
                <w:b/>
                <w:bCs/>
                <w:spacing w:val="6"/>
                <w:sz w:val="21"/>
                <w:szCs w:val="21"/>
              </w:rPr>
              <w:t>质量目标</w:t>
            </w:r>
          </w:p>
        </w:tc>
        <w:tc>
          <w:tcPr>
            <w:tcW w:w="4243" w:type="dxa"/>
            <w:gridSpan w:val="3"/>
            <w:vAlign w:val="top"/>
          </w:tcPr>
          <w:p w14:paraId="39F9B4B4">
            <w:pPr>
              <w:pStyle w:val="6"/>
              <w:spacing w:before="44" w:line="221" w:lineRule="auto"/>
              <w:ind w:left="1693"/>
              <w:rPr>
                <w:sz w:val="21"/>
                <w:szCs w:val="21"/>
              </w:rPr>
            </w:pPr>
            <w:r>
              <w:rPr>
                <w:b/>
                <w:bCs/>
                <w:spacing w:val="6"/>
                <w:sz w:val="21"/>
                <w:szCs w:val="21"/>
              </w:rPr>
              <w:t>项目经理</w:t>
            </w:r>
          </w:p>
        </w:tc>
        <w:tc>
          <w:tcPr>
            <w:tcW w:w="855" w:type="dxa"/>
            <w:vMerge w:val="restart"/>
            <w:tcBorders>
              <w:bottom w:val="nil"/>
            </w:tcBorders>
            <w:vAlign w:val="top"/>
          </w:tcPr>
          <w:p w14:paraId="14A6E346">
            <w:pPr>
              <w:pStyle w:val="6"/>
              <w:spacing w:before="43" w:line="256" w:lineRule="auto"/>
              <w:ind w:left="207" w:right="83" w:hanging="101"/>
              <w:rPr>
                <w:sz w:val="21"/>
                <w:szCs w:val="21"/>
              </w:rPr>
            </w:pPr>
            <w:r>
              <w:rPr>
                <w:b/>
                <w:bCs/>
                <w:spacing w:val="4"/>
                <w:sz w:val="21"/>
                <w:szCs w:val="21"/>
              </w:rPr>
              <w:t>投标人</w:t>
            </w:r>
            <w:r>
              <w:rPr>
                <w:b/>
                <w:bCs/>
                <w:spacing w:val="1"/>
                <w:sz w:val="21"/>
                <w:szCs w:val="21"/>
              </w:rPr>
              <w:t>代表</w:t>
            </w:r>
          </w:p>
        </w:tc>
        <w:tc>
          <w:tcPr>
            <w:tcW w:w="1417" w:type="dxa"/>
            <w:vMerge w:val="restart"/>
            <w:tcBorders>
              <w:bottom w:val="nil"/>
            </w:tcBorders>
            <w:vAlign w:val="top"/>
          </w:tcPr>
          <w:p w14:paraId="20E33E09">
            <w:pPr>
              <w:pStyle w:val="6"/>
              <w:spacing w:before="209" w:line="222" w:lineRule="auto"/>
              <w:ind w:left="271"/>
              <w:rPr>
                <w:sz w:val="21"/>
                <w:szCs w:val="21"/>
              </w:rPr>
            </w:pPr>
            <w:r>
              <w:rPr>
                <w:b/>
                <w:bCs/>
                <w:spacing w:val="6"/>
                <w:sz w:val="21"/>
                <w:szCs w:val="21"/>
              </w:rPr>
              <w:t>联系电话</w:t>
            </w:r>
          </w:p>
        </w:tc>
      </w:tr>
      <w:tr w14:paraId="39488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682" w:type="dxa"/>
            <w:vMerge w:val="continue"/>
            <w:tcBorders>
              <w:top w:val="nil"/>
            </w:tcBorders>
            <w:vAlign w:val="top"/>
          </w:tcPr>
          <w:p w14:paraId="08C3DBF8">
            <w:pPr>
              <w:rPr>
                <w:rFonts w:ascii="Arial"/>
                <w:sz w:val="21"/>
              </w:rPr>
            </w:pPr>
          </w:p>
        </w:tc>
        <w:tc>
          <w:tcPr>
            <w:tcW w:w="2474" w:type="dxa"/>
            <w:vMerge w:val="continue"/>
            <w:tcBorders>
              <w:top w:val="nil"/>
            </w:tcBorders>
            <w:vAlign w:val="top"/>
          </w:tcPr>
          <w:p w14:paraId="280051CC">
            <w:pPr>
              <w:rPr>
                <w:rFonts w:ascii="Arial"/>
                <w:sz w:val="21"/>
              </w:rPr>
            </w:pPr>
          </w:p>
        </w:tc>
        <w:tc>
          <w:tcPr>
            <w:tcW w:w="1410" w:type="dxa"/>
            <w:vMerge w:val="continue"/>
            <w:tcBorders>
              <w:top w:val="nil"/>
            </w:tcBorders>
            <w:vAlign w:val="top"/>
          </w:tcPr>
          <w:p w14:paraId="4CE076C3">
            <w:pPr>
              <w:rPr>
                <w:rFonts w:ascii="Arial"/>
                <w:sz w:val="21"/>
              </w:rPr>
            </w:pPr>
          </w:p>
        </w:tc>
        <w:tc>
          <w:tcPr>
            <w:tcW w:w="1140" w:type="dxa"/>
            <w:vMerge w:val="continue"/>
            <w:tcBorders>
              <w:top w:val="nil"/>
            </w:tcBorders>
            <w:vAlign w:val="top"/>
          </w:tcPr>
          <w:p w14:paraId="4908DA4D">
            <w:pPr>
              <w:rPr>
                <w:rFonts w:ascii="Arial"/>
                <w:sz w:val="21"/>
              </w:rPr>
            </w:pPr>
          </w:p>
        </w:tc>
        <w:tc>
          <w:tcPr>
            <w:tcW w:w="1140" w:type="dxa"/>
            <w:vMerge w:val="continue"/>
            <w:tcBorders>
              <w:top w:val="nil"/>
            </w:tcBorders>
            <w:vAlign w:val="top"/>
          </w:tcPr>
          <w:p w14:paraId="40D19DAE">
            <w:pPr>
              <w:rPr>
                <w:rFonts w:ascii="Arial"/>
                <w:sz w:val="21"/>
              </w:rPr>
            </w:pPr>
          </w:p>
        </w:tc>
        <w:tc>
          <w:tcPr>
            <w:tcW w:w="839" w:type="dxa"/>
            <w:vAlign w:val="top"/>
          </w:tcPr>
          <w:p w14:paraId="46E26EF2">
            <w:pPr>
              <w:pStyle w:val="6"/>
              <w:spacing w:before="37" w:line="220" w:lineRule="auto"/>
              <w:ind w:left="203"/>
              <w:rPr>
                <w:sz w:val="21"/>
                <w:szCs w:val="21"/>
              </w:rPr>
            </w:pPr>
            <w:r>
              <w:rPr>
                <w:b/>
                <w:bCs/>
                <w:spacing w:val="1"/>
                <w:sz w:val="21"/>
                <w:szCs w:val="21"/>
              </w:rPr>
              <w:t>姓名</w:t>
            </w:r>
          </w:p>
        </w:tc>
        <w:tc>
          <w:tcPr>
            <w:tcW w:w="1995" w:type="dxa"/>
            <w:vAlign w:val="top"/>
          </w:tcPr>
          <w:p w14:paraId="3258F861">
            <w:pPr>
              <w:pStyle w:val="6"/>
              <w:spacing w:before="37" w:line="219" w:lineRule="auto"/>
              <w:ind w:left="565"/>
              <w:rPr>
                <w:sz w:val="21"/>
                <w:szCs w:val="21"/>
              </w:rPr>
            </w:pPr>
            <w:r>
              <w:rPr>
                <w:b/>
                <w:bCs/>
                <w:spacing w:val="7"/>
                <w:sz w:val="21"/>
                <w:szCs w:val="21"/>
              </w:rPr>
              <w:t>证书名称</w:t>
            </w:r>
          </w:p>
        </w:tc>
        <w:tc>
          <w:tcPr>
            <w:tcW w:w="1409" w:type="dxa"/>
            <w:vAlign w:val="top"/>
          </w:tcPr>
          <w:p w14:paraId="57FFB0DC">
            <w:pPr>
              <w:pStyle w:val="6"/>
              <w:spacing w:before="37" w:line="219" w:lineRule="auto"/>
              <w:ind w:left="266"/>
              <w:rPr>
                <w:sz w:val="21"/>
                <w:szCs w:val="21"/>
              </w:rPr>
            </w:pPr>
            <w:r>
              <w:rPr>
                <w:b/>
                <w:bCs/>
                <w:spacing w:val="7"/>
                <w:sz w:val="21"/>
                <w:szCs w:val="21"/>
              </w:rPr>
              <w:t>证书编号</w:t>
            </w:r>
          </w:p>
        </w:tc>
        <w:tc>
          <w:tcPr>
            <w:tcW w:w="855" w:type="dxa"/>
            <w:vMerge w:val="continue"/>
            <w:tcBorders>
              <w:top w:val="nil"/>
            </w:tcBorders>
            <w:vAlign w:val="top"/>
          </w:tcPr>
          <w:p w14:paraId="11024E6A">
            <w:pPr>
              <w:rPr>
                <w:rFonts w:ascii="Arial"/>
                <w:sz w:val="21"/>
              </w:rPr>
            </w:pPr>
          </w:p>
        </w:tc>
        <w:tc>
          <w:tcPr>
            <w:tcW w:w="1417" w:type="dxa"/>
            <w:vMerge w:val="continue"/>
            <w:tcBorders>
              <w:top w:val="nil"/>
            </w:tcBorders>
            <w:vAlign w:val="top"/>
          </w:tcPr>
          <w:p w14:paraId="195A2D01">
            <w:pPr>
              <w:rPr>
                <w:rFonts w:ascii="Arial"/>
                <w:sz w:val="21"/>
              </w:rPr>
            </w:pPr>
          </w:p>
        </w:tc>
      </w:tr>
      <w:tr w14:paraId="73D73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682" w:type="dxa"/>
            <w:vAlign w:val="top"/>
          </w:tcPr>
          <w:p w14:paraId="0B2F5D30">
            <w:pPr>
              <w:rPr>
                <w:rFonts w:ascii="Arial"/>
                <w:sz w:val="21"/>
              </w:rPr>
            </w:pPr>
          </w:p>
        </w:tc>
        <w:tc>
          <w:tcPr>
            <w:tcW w:w="2474" w:type="dxa"/>
            <w:vAlign w:val="top"/>
          </w:tcPr>
          <w:p w14:paraId="15693210">
            <w:pPr>
              <w:rPr>
                <w:rFonts w:ascii="Arial"/>
                <w:sz w:val="21"/>
              </w:rPr>
            </w:pPr>
          </w:p>
        </w:tc>
        <w:tc>
          <w:tcPr>
            <w:tcW w:w="1410" w:type="dxa"/>
            <w:vAlign w:val="top"/>
          </w:tcPr>
          <w:p w14:paraId="6725070A">
            <w:pPr>
              <w:rPr>
                <w:rFonts w:ascii="Arial"/>
                <w:sz w:val="21"/>
              </w:rPr>
            </w:pPr>
          </w:p>
        </w:tc>
        <w:tc>
          <w:tcPr>
            <w:tcW w:w="1140" w:type="dxa"/>
            <w:vAlign w:val="top"/>
          </w:tcPr>
          <w:p w14:paraId="15365A18">
            <w:pPr>
              <w:rPr>
                <w:rFonts w:ascii="Arial"/>
                <w:sz w:val="21"/>
              </w:rPr>
            </w:pPr>
          </w:p>
        </w:tc>
        <w:tc>
          <w:tcPr>
            <w:tcW w:w="1140" w:type="dxa"/>
            <w:vAlign w:val="top"/>
          </w:tcPr>
          <w:p w14:paraId="2A73355A">
            <w:pPr>
              <w:rPr>
                <w:rFonts w:ascii="Arial"/>
                <w:sz w:val="21"/>
              </w:rPr>
            </w:pPr>
          </w:p>
        </w:tc>
        <w:tc>
          <w:tcPr>
            <w:tcW w:w="839" w:type="dxa"/>
            <w:vAlign w:val="top"/>
          </w:tcPr>
          <w:p w14:paraId="3EECA344">
            <w:pPr>
              <w:rPr>
                <w:rFonts w:ascii="Arial"/>
                <w:sz w:val="21"/>
              </w:rPr>
            </w:pPr>
          </w:p>
        </w:tc>
        <w:tc>
          <w:tcPr>
            <w:tcW w:w="1995" w:type="dxa"/>
            <w:vAlign w:val="top"/>
          </w:tcPr>
          <w:p w14:paraId="4A341FC3">
            <w:pPr>
              <w:rPr>
                <w:rFonts w:ascii="Arial"/>
                <w:sz w:val="21"/>
              </w:rPr>
            </w:pPr>
          </w:p>
        </w:tc>
        <w:tc>
          <w:tcPr>
            <w:tcW w:w="1409" w:type="dxa"/>
            <w:vAlign w:val="top"/>
          </w:tcPr>
          <w:p w14:paraId="5EF6BF1D">
            <w:pPr>
              <w:rPr>
                <w:rFonts w:ascii="Arial"/>
                <w:sz w:val="21"/>
              </w:rPr>
            </w:pPr>
          </w:p>
        </w:tc>
        <w:tc>
          <w:tcPr>
            <w:tcW w:w="855" w:type="dxa"/>
            <w:vAlign w:val="top"/>
          </w:tcPr>
          <w:p w14:paraId="3157BF9D">
            <w:pPr>
              <w:rPr>
                <w:rFonts w:ascii="Arial"/>
                <w:sz w:val="21"/>
              </w:rPr>
            </w:pPr>
          </w:p>
        </w:tc>
        <w:tc>
          <w:tcPr>
            <w:tcW w:w="1417" w:type="dxa"/>
            <w:vAlign w:val="top"/>
          </w:tcPr>
          <w:p w14:paraId="4B95584D">
            <w:pPr>
              <w:rPr>
                <w:rFonts w:ascii="Arial"/>
                <w:sz w:val="21"/>
              </w:rPr>
            </w:pPr>
          </w:p>
        </w:tc>
      </w:tr>
      <w:tr w14:paraId="3018F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82" w:type="dxa"/>
            <w:vAlign w:val="top"/>
          </w:tcPr>
          <w:p w14:paraId="0A000CCF">
            <w:pPr>
              <w:rPr>
                <w:rFonts w:ascii="Arial"/>
                <w:sz w:val="21"/>
              </w:rPr>
            </w:pPr>
          </w:p>
        </w:tc>
        <w:tc>
          <w:tcPr>
            <w:tcW w:w="2474" w:type="dxa"/>
            <w:vAlign w:val="top"/>
          </w:tcPr>
          <w:p w14:paraId="47D97E78">
            <w:pPr>
              <w:rPr>
                <w:rFonts w:ascii="Arial"/>
                <w:sz w:val="21"/>
              </w:rPr>
            </w:pPr>
          </w:p>
        </w:tc>
        <w:tc>
          <w:tcPr>
            <w:tcW w:w="1410" w:type="dxa"/>
            <w:vAlign w:val="top"/>
          </w:tcPr>
          <w:p w14:paraId="7059039D">
            <w:pPr>
              <w:rPr>
                <w:rFonts w:ascii="Arial"/>
                <w:sz w:val="21"/>
              </w:rPr>
            </w:pPr>
          </w:p>
        </w:tc>
        <w:tc>
          <w:tcPr>
            <w:tcW w:w="1140" w:type="dxa"/>
            <w:vAlign w:val="top"/>
          </w:tcPr>
          <w:p w14:paraId="209806E1">
            <w:pPr>
              <w:rPr>
                <w:rFonts w:ascii="Arial"/>
                <w:sz w:val="21"/>
              </w:rPr>
            </w:pPr>
          </w:p>
        </w:tc>
        <w:tc>
          <w:tcPr>
            <w:tcW w:w="1140" w:type="dxa"/>
            <w:vAlign w:val="top"/>
          </w:tcPr>
          <w:p w14:paraId="087BCE26">
            <w:pPr>
              <w:rPr>
                <w:rFonts w:ascii="Arial"/>
                <w:sz w:val="21"/>
              </w:rPr>
            </w:pPr>
          </w:p>
        </w:tc>
        <w:tc>
          <w:tcPr>
            <w:tcW w:w="839" w:type="dxa"/>
            <w:vAlign w:val="top"/>
          </w:tcPr>
          <w:p w14:paraId="25360C30">
            <w:pPr>
              <w:rPr>
                <w:rFonts w:ascii="Arial"/>
                <w:sz w:val="21"/>
              </w:rPr>
            </w:pPr>
          </w:p>
        </w:tc>
        <w:tc>
          <w:tcPr>
            <w:tcW w:w="1995" w:type="dxa"/>
            <w:vAlign w:val="top"/>
          </w:tcPr>
          <w:p w14:paraId="7013B007">
            <w:pPr>
              <w:rPr>
                <w:rFonts w:ascii="Arial"/>
                <w:sz w:val="21"/>
              </w:rPr>
            </w:pPr>
          </w:p>
        </w:tc>
        <w:tc>
          <w:tcPr>
            <w:tcW w:w="1409" w:type="dxa"/>
            <w:vAlign w:val="top"/>
          </w:tcPr>
          <w:p w14:paraId="0FE6FDD5">
            <w:pPr>
              <w:rPr>
                <w:rFonts w:ascii="Arial"/>
                <w:sz w:val="21"/>
              </w:rPr>
            </w:pPr>
          </w:p>
        </w:tc>
        <w:tc>
          <w:tcPr>
            <w:tcW w:w="855" w:type="dxa"/>
            <w:vAlign w:val="top"/>
          </w:tcPr>
          <w:p w14:paraId="6B1F38FA">
            <w:pPr>
              <w:rPr>
                <w:rFonts w:ascii="Arial"/>
                <w:sz w:val="21"/>
              </w:rPr>
            </w:pPr>
          </w:p>
        </w:tc>
        <w:tc>
          <w:tcPr>
            <w:tcW w:w="1417" w:type="dxa"/>
            <w:vAlign w:val="top"/>
          </w:tcPr>
          <w:p w14:paraId="74BD4B40">
            <w:pPr>
              <w:rPr>
                <w:rFonts w:ascii="Arial"/>
                <w:sz w:val="21"/>
              </w:rPr>
            </w:pPr>
          </w:p>
        </w:tc>
      </w:tr>
      <w:tr w14:paraId="59C0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17BF9DC4">
            <w:pPr>
              <w:rPr>
                <w:rFonts w:ascii="Arial"/>
                <w:sz w:val="21"/>
              </w:rPr>
            </w:pPr>
          </w:p>
        </w:tc>
        <w:tc>
          <w:tcPr>
            <w:tcW w:w="2474" w:type="dxa"/>
            <w:vAlign w:val="top"/>
          </w:tcPr>
          <w:p w14:paraId="4D5A0D63">
            <w:pPr>
              <w:rPr>
                <w:rFonts w:ascii="Arial"/>
                <w:sz w:val="21"/>
              </w:rPr>
            </w:pPr>
          </w:p>
        </w:tc>
        <w:tc>
          <w:tcPr>
            <w:tcW w:w="1410" w:type="dxa"/>
            <w:vAlign w:val="top"/>
          </w:tcPr>
          <w:p w14:paraId="201D1502">
            <w:pPr>
              <w:rPr>
                <w:rFonts w:ascii="Arial"/>
                <w:sz w:val="21"/>
              </w:rPr>
            </w:pPr>
          </w:p>
        </w:tc>
        <w:tc>
          <w:tcPr>
            <w:tcW w:w="1140" w:type="dxa"/>
            <w:vAlign w:val="top"/>
          </w:tcPr>
          <w:p w14:paraId="7756C83E">
            <w:pPr>
              <w:rPr>
                <w:rFonts w:ascii="Arial"/>
                <w:sz w:val="21"/>
              </w:rPr>
            </w:pPr>
          </w:p>
        </w:tc>
        <w:tc>
          <w:tcPr>
            <w:tcW w:w="1140" w:type="dxa"/>
            <w:vAlign w:val="top"/>
          </w:tcPr>
          <w:p w14:paraId="30863093">
            <w:pPr>
              <w:rPr>
                <w:rFonts w:ascii="Arial"/>
                <w:sz w:val="21"/>
              </w:rPr>
            </w:pPr>
          </w:p>
        </w:tc>
        <w:tc>
          <w:tcPr>
            <w:tcW w:w="839" w:type="dxa"/>
            <w:vAlign w:val="top"/>
          </w:tcPr>
          <w:p w14:paraId="5D4899EF">
            <w:pPr>
              <w:rPr>
                <w:rFonts w:ascii="Arial"/>
                <w:sz w:val="21"/>
              </w:rPr>
            </w:pPr>
          </w:p>
        </w:tc>
        <w:tc>
          <w:tcPr>
            <w:tcW w:w="1995" w:type="dxa"/>
            <w:vAlign w:val="top"/>
          </w:tcPr>
          <w:p w14:paraId="5903851A">
            <w:pPr>
              <w:rPr>
                <w:rFonts w:ascii="Arial"/>
                <w:sz w:val="21"/>
              </w:rPr>
            </w:pPr>
          </w:p>
        </w:tc>
        <w:tc>
          <w:tcPr>
            <w:tcW w:w="1409" w:type="dxa"/>
            <w:vAlign w:val="top"/>
          </w:tcPr>
          <w:p w14:paraId="1FD3D761">
            <w:pPr>
              <w:rPr>
                <w:rFonts w:ascii="Arial"/>
                <w:sz w:val="21"/>
              </w:rPr>
            </w:pPr>
          </w:p>
        </w:tc>
        <w:tc>
          <w:tcPr>
            <w:tcW w:w="855" w:type="dxa"/>
            <w:vAlign w:val="top"/>
          </w:tcPr>
          <w:p w14:paraId="4C9190AA">
            <w:pPr>
              <w:rPr>
                <w:rFonts w:ascii="Arial"/>
                <w:sz w:val="21"/>
              </w:rPr>
            </w:pPr>
          </w:p>
        </w:tc>
        <w:tc>
          <w:tcPr>
            <w:tcW w:w="1417" w:type="dxa"/>
            <w:vAlign w:val="top"/>
          </w:tcPr>
          <w:p w14:paraId="7F454949">
            <w:pPr>
              <w:rPr>
                <w:rFonts w:ascii="Arial"/>
                <w:sz w:val="21"/>
              </w:rPr>
            </w:pPr>
          </w:p>
        </w:tc>
      </w:tr>
      <w:tr w14:paraId="21861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82" w:type="dxa"/>
            <w:vAlign w:val="top"/>
          </w:tcPr>
          <w:p w14:paraId="12BE4AE8">
            <w:pPr>
              <w:rPr>
                <w:rFonts w:ascii="Arial"/>
                <w:sz w:val="21"/>
              </w:rPr>
            </w:pPr>
          </w:p>
        </w:tc>
        <w:tc>
          <w:tcPr>
            <w:tcW w:w="2474" w:type="dxa"/>
            <w:vAlign w:val="top"/>
          </w:tcPr>
          <w:p w14:paraId="4D7BD457">
            <w:pPr>
              <w:rPr>
                <w:rFonts w:ascii="Arial"/>
                <w:sz w:val="21"/>
              </w:rPr>
            </w:pPr>
          </w:p>
        </w:tc>
        <w:tc>
          <w:tcPr>
            <w:tcW w:w="1410" w:type="dxa"/>
            <w:vAlign w:val="top"/>
          </w:tcPr>
          <w:p w14:paraId="751B4D6D">
            <w:pPr>
              <w:rPr>
                <w:rFonts w:ascii="Arial"/>
                <w:sz w:val="21"/>
              </w:rPr>
            </w:pPr>
          </w:p>
        </w:tc>
        <w:tc>
          <w:tcPr>
            <w:tcW w:w="1140" w:type="dxa"/>
            <w:vAlign w:val="top"/>
          </w:tcPr>
          <w:p w14:paraId="1EE235EB">
            <w:pPr>
              <w:rPr>
                <w:rFonts w:ascii="Arial"/>
                <w:sz w:val="21"/>
              </w:rPr>
            </w:pPr>
          </w:p>
        </w:tc>
        <w:tc>
          <w:tcPr>
            <w:tcW w:w="1140" w:type="dxa"/>
            <w:vAlign w:val="top"/>
          </w:tcPr>
          <w:p w14:paraId="2DC4BCC7">
            <w:pPr>
              <w:rPr>
                <w:rFonts w:ascii="Arial"/>
                <w:sz w:val="21"/>
              </w:rPr>
            </w:pPr>
          </w:p>
        </w:tc>
        <w:tc>
          <w:tcPr>
            <w:tcW w:w="839" w:type="dxa"/>
            <w:vAlign w:val="top"/>
          </w:tcPr>
          <w:p w14:paraId="07CFA0A7">
            <w:pPr>
              <w:rPr>
                <w:rFonts w:ascii="Arial"/>
                <w:sz w:val="21"/>
              </w:rPr>
            </w:pPr>
          </w:p>
        </w:tc>
        <w:tc>
          <w:tcPr>
            <w:tcW w:w="1995" w:type="dxa"/>
            <w:vAlign w:val="top"/>
          </w:tcPr>
          <w:p w14:paraId="3F6241C1">
            <w:pPr>
              <w:rPr>
                <w:rFonts w:ascii="Arial"/>
                <w:sz w:val="21"/>
              </w:rPr>
            </w:pPr>
          </w:p>
        </w:tc>
        <w:tc>
          <w:tcPr>
            <w:tcW w:w="1409" w:type="dxa"/>
            <w:vAlign w:val="top"/>
          </w:tcPr>
          <w:p w14:paraId="65C70B74">
            <w:pPr>
              <w:rPr>
                <w:rFonts w:ascii="Arial"/>
                <w:sz w:val="21"/>
              </w:rPr>
            </w:pPr>
          </w:p>
        </w:tc>
        <w:tc>
          <w:tcPr>
            <w:tcW w:w="855" w:type="dxa"/>
            <w:vAlign w:val="top"/>
          </w:tcPr>
          <w:p w14:paraId="35E7C348">
            <w:pPr>
              <w:rPr>
                <w:rFonts w:ascii="Arial"/>
                <w:sz w:val="21"/>
              </w:rPr>
            </w:pPr>
          </w:p>
        </w:tc>
        <w:tc>
          <w:tcPr>
            <w:tcW w:w="1417" w:type="dxa"/>
            <w:vAlign w:val="top"/>
          </w:tcPr>
          <w:p w14:paraId="28F9CAA1">
            <w:pPr>
              <w:rPr>
                <w:rFonts w:ascii="Arial"/>
                <w:sz w:val="21"/>
              </w:rPr>
            </w:pPr>
          </w:p>
        </w:tc>
      </w:tr>
      <w:tr w14:paraId="0A7DC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682" w:type="dxa"/>
            <w:vAlign w:val="top"/>
          </w:tcPr>
          <w:p w14:paraId="2064A2E4">
            <w:pPr>
              <w:rPr>
                <w:rFonts w:ascii="Arial"/>
                <w:sz w:val="21"/>
              </w:rPr>
            </w:pPr>
          </w:p>
        </w:tc>
        <w:tc>
          <w:tcPr>
            <w:tcW w:w="2474" w:type="dxa"/>
            <w:vAlign w:val="top"/>
          </w:tcPr>
          <w:p w14:paraId="3747B3FD">
            <w:pPr>
              <w:rPr>
                <w:rFonts w:ascii="Arial"/>
                <w:sz w:val="21"/>
              </w:rPr>
            </w:pPr>
          </w:p>
        </w:tc>
        <w:tc>
          <w:tcPr>
            <w:tcW w:w="1410" w:type="dxa"/>
            <w:vAlign w:val="top"/>
          </w:tcPr>
          <w:p w14:paraId="7344D3AE">
            <w:pPr>
              <w:rPr>
                <w:rFonts w:ascii="Arial"/>
                <w:sz w:val="21"/>
              </w:rPr>
            </w:pPr>
          </w:p>
        </w:tc>
        <w:tc>
          <w:tcPr>
            <w:tcW w:w="1140" w:type="dxa"/>
            <w:vAlign w:val="top"/>
          </w:tcPr>
          <w:p w14:paraId="40065E01">
            <w:pPr>
              <w:rPr>
                <w:rFonts w:ascii="Arial"/>
                <w:sz w:val="21"/>
              </w:rPr>
            </w:pPr>
          </w:p>
        </w:tc>
        <w:tc>
          <w:tcPr>
            <w:tcW w:w="1140" w:type="dxa"/>
            <w:vAlign w:val="top"/>
          </w:tcPr>
          <w:p w14:paraId="4E53056A">
            <w:pPr>
              <w:rPr>
                <w:rFonts w:ascii="Arial"/>
                <w:sz w:val="21"/>
              </w:rPr>
            </w:pPr>
          </w:p>
        </w:tc>
        <w:tc>
          <w:tcPr>
            <w:tcW w:w="839" w:type="dxa"/>
            <w:vAlign w:val="top"/>
          </w:tcPr>
          <w:p w14:paraId="3EA25477">
            <w:pPr>
              <w:rPr>
                <w:rFonts w:ascii="Arial"/>
                <w:sz w:val="21"/>
              </w:rPr>
            </w:pPr>
          </w:p>
        </w:tc>
        <w:tc>
          <w:tcPr>
            <w:tcW w:w="1995" w:type="dxa"/>
            <w:vAlign w:val="top"/>
          </w:tcPr>
          <w:p w14:paraId="74D2587C">
            <w:pPr>
              <w:rPr>
                <w:rFonts w:ascii="Arial"/>
                <w:sz w:val="21"/>
              </w:rPr>
            </w:pPr>
          </w:p>
        </w:tc>
        <w:tc>
          <w:tcPr>
            <w:tcW w:w="1409" w:type="dxa"/>
            <w:vAlign w:val="top"/>
          </w:tcPr>
          <w:p w14:paraId="13CBFD2A">
            <w:pPr>
              <w:rPr>
                <w:rFonts w:ascii="Arial"/>
                <w:sz w:val="21"/>
              </w:rPr>
            </w:pPr>
          </w:p>
        </w:tc>
        <w:tc>
          <w:tcPr>
            <w:tcW w:w="855" w:type="dxa"/>
            <w:vAlign w:val="top"/>
          </w:tcPr>
          <w:p w14:paraId="2FAD7DBD">
            <w:pPr>
              <w:rPr>
                <w:rFonts w:ascii="Arial"/>
                <w:sz w:val="21"/>
              </w:rPr>
            </w:pPr>
          </w:p>
        </w:tc>
        <w:tc>
          <w:tcPr>
            <w:tcW w:w="1417" w:type="dxa"/>
            <w:vAlign w:val="top"/>
          </w:tcPr>
          <w:p w14:paraId="278FA338">
            <w:pPr>
              <w:rPr>
                <w:rFonts w:ascii="Arial"/>
                <w:sz w:val="21"/>
              </w:rPr>
            </w:pPr>
          </w:p>
        </w:tc>
      </w:tr>
      <w:tr w14:paraId="32241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82" w:type="dxa"/>
            <w:vAlign w:val="top"/>
          </w:tcPr>
          <w:p w14:paraId="225ADDC9">
            <w:pPr>
              <w:rPr>
                <w:rFonts w:ascii="Arial"/>
                <w:sz w:val="21"/>
              </w:rPr>
            </w:pPr>
          </w:p>
        </w:tc>
        <w:tc>
          <w:tcPr>
            <w:tcW w:w="2474" w:type="dxa"/>
            <w:vAlign w:val="top"/>
          </w:tcPr>
          <w:p w14:paraId="1C37586F">
            <w:pPr>
              <w:rPr>
                <w:rFonts w:ascii="Arial"/>
                <w:sz w:val="21"/>
              </w:rPr>
            </w:pPr>
          </w:p>
        </w:tc>
        <w:tc>
          <w:tcPr>
            <w:tcW w:w="1410" w:type="dxa"/>
            <w:vAlign w:val="top"/>
          </w:tcPr>
          <w:p w14:paraId="730B1BAD">
            <w:pPr>
              <w:rPr>
                <w:rFonts w:ascii="Arial"/>
                <w:sz w:val="21"/>
              </w:rPr>
            </w:pPr>
          </w:p>
        </w:tc>
        <w:tc>
          <w:tcPr>
            <w:tcW w:w="1140" w:type="dxa"/>
            <w:vAlign w:val="top"/>
          </w:tcPr>
          <w:p w14:paraId="30C426E3">
            <w:pPr>
              <w:rPr>
                <w:rFonts w:ascii="Arial"/>
                <w:sz w:val="21"/>
              </w:rPr>
            </w:pPr>
          </w:p>
        </w:tc>
        <w:tc>
          <w:tcPr>
            <w:tcW w:w="1140" w:type="dxa"/>
            <w:vAlign w:val="top"/>
          </w:tcPr>
          <w:p w14:paraId="2AD030A6">
            <w:pPr>
              <w:rPr>
                <w:rFonts w:ascii="Arial"/>
                <w:sz w:val="21"/>
              </w:rPr>
            </w:pPr>
          </w:p>
        </w:tc>
        <w:tc>
          <w:tcPr>
            <w:tcW w:w="839" w:type="dxa"/>
            <w:vAlign w:val="top"/>
          </w:tcPr>
          <w:p w14:paraId="43F78570">
            <w:pPr>
              <w:rPr>
                <w:rFonts w:ascii="Arial"/>
                <w:sz w:val="21"/>
              </w:rPr>
            </w:pPr>
          </w:p>
        </w:tc>
        <w:tc>
          <w:tcPr>
            <w:tcW w:w="1995" w:type="dxa"/>
            <w:vAlign w:val="top"/>
          </w:tcPr>
          <w:p w14:paraId="02AF9079">
            <w:pPr>
              <w:rPr>
                <w:rFonts w:ascii="Arial"/>
                <w:sz w:val="21"/>
              </w:rPr>
            </w:pPr>
          </w:p>
        </w:tc>
        <w:tc>
          <w:tcPr>
            <w:tcW w:w="1409" w:type="dxa"/>
            <w:vAlign w:val="top"/>
          </w:tcPr>
          <w:p w14:paraId="343CFC77">
            <w:pPr>
              <w:rPr>
                <w:rFonts w:ascii="Arial"/>
                <w:sz w:val="21"/>
              </w:rPr>
            </w:pPr>
          </w:p>
        </w:tc>
        <w:tc>
          <w:tcPr>
            <w:tcW w:w="855" w:type="dxa"/>
            <w:vAlign w:val="top"/>
          </w:tcPr>
          <w:p w14:paraId="0DAC49CD">
            <w:pPr>
              <w:rPr>
                <w:rFonts w:ascii="Arial"/>
                <w:sz w:val="21"/>
              </w:rPr>
            </w:pPr>
          </w:p>
        </w:tc>
        <w:tc>
          <w:tcPr>
            <w:tcW w:w="1417" w:type="dxa"/>
            <w:vAlign w:val="top"/>
          </w:tcPr>
          <w:p w14:paraId="45783170">
            <w:pPr>
              <w:rPr>
                <w:rFonts w:ascii="Arial"/>
                <w:sz w:val="21"/>
              </w:rPr>
            </w:pPr>
          </w:p>
        </w:tc>
      </w:tr>
      <w:tr w14:paraId="6B60B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3156" w:type="dxa"/>
            <w:gridSpan w:val="2"/>
            <w:vAlign w:val="top"/>
          </w:tcPr>
          <w:p w14:paraId="2FD8E704">
            <w:pPr>
              <w:pStyle w:val="6"/>
              <w:spacing w:before="93" w:line="219" w:lineRule="auto"/>
              <w:ind w:left="611"/>
              <w:rPr>
                <w:sz w:val="21"/>
                <w:szCs w:val="21"/>
              </w:rPr>
            </w:pPr>
            <w:r>
              <w:rPr>
                <w:b/>
                <w:bCs/>
                <w:sz w:val="21"/>
                <w:szCs w:val="21"/>
              </w:rPr>
              <w:t>最高投标限价（元）</w:t>
            </w:r>
          </w:p>
        </w:tc>
        <w:tc>
          <w:tcPr>
            <w:tcW w:w="10205" w:type="dxa"/>
            <w:gridSpan w:val="8"/>
            <w:vAlign w:val="top"/>
          </w:tcPr>
          <w:p w14:paraId="01C5E3C1">
            <w:pPr>
              <w:rPr>
                <w:rFonts w:ascii="Arial"/>
                <w:sz w:val="21"/>
              </w:rPr>
            </w:pPr>
          </w:p>
        </w:tc>
      </w:tr>
      <w:tr w14:paraId="524EB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6" w:hRule="atLeast"/>
        </w:trPr>
        <w:tc>
          <w:tcPr>
            <w:tcW w:w="3156" w:type="dxa"/>
            <w:gridSpan w:val="2"/>
            <w:vAlign w:val="top"/>
          </w:tcPr>
          <w:p w14:paraId="444674D0">
            <w:pPr>
              <w:pStyle w:val="6"/>
              <w:spacing w:before="109" w:line="221" w:lineRule="auto"/>
              <w:ind w:left="294"/>
              <w:rPr>
                <w:sz w:val="21"/>
                <w:szCs w:val="21"/>
              </w:rPr>
            </w:pPr>
            <w:r>
              <w:rPr>
                <w:b/>
                <w:bCs/>
                <w:spacing w:val="2"/>
                <w:sz w:val="21"/>
                <w:szCs w:val="21"/>
              </w:rPr>
              <w:t>开标过程需记录的其他事项</w:t>
            </w:r>
          </w:p>
        </w:tc>
        <w:tc>
          <w:tcPr>
            <w:tcW w:w="10205" w:type="dxa"/>
            <w:gridSpan w:val="8"/>
            <w:vAlign w:val="top"/>
          </w:tcPr>
          <w:p w14:paraId="01EAA2BD">
            <w:pPr>
              <w:rPr>
                <w:rFonts w:ascii="Arial"/>
                <w:sz w:val="21"/>
              </w:rPr>
            </w:pPr>
          </w:p>
        </w:tc>
      </w:tr>
    </w:tbl>
    <w:p w14:paraId="44EB6256">
      <w:pPr>
        <w:spacing w:before="44" w:line="220" w:lineRule="auto"/>
        <w:jc w:val="right"/>
        <w:rPr>
          <w:rFonts w:ascii="宋体" w:hAnsi="宋体" w:eastAsia="宋体" w:cs="宋体"/>
          <w:sz w:val="21"/>
          <w:szCs w:val="21"/>
        </w:rPr>
      </w:pPr>
      <w:r>
        <w:rPr>
          <w:rFonts w:ascii="宋体" w:hAnsi="宋体" w:eastAsia="宋体" w:cs="宋体"/>
          <w:spacing w:val="-6"/>
          <w:sz w:val="21"/>
          <w:szCs w:val="21"/>
        </w:rPr>
        <w:t>主持人：</w:t>
      </w:r>
      <w:r>
        <w:rPr>
          <w:rFonts w:ascii="宋体" w:hAnsi="宋体" w:eastAsia="宋体" w:cs="宋体"/>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6"/>
          <w:sz w:val="21"/>
          <w:szCs w:val="21"/>
        </w:rPr>
        <w:t>招标人代表：</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监标人：</w:t>
      </w:r>
    </w:p>
    <w:p w14:paraId="25FFD6BE">
      <w:pPr>
        <w:spacing w:line="220" w:lineRule="auto"/>
        <w:rPr>
          <w:rFonts w:ascii="宋体" w:hAnsi="宋体" w:eastAsia="宋体" w:cs="宋体"/>
          <w:sz w:val="21"/>
          <w:szCs w:val="21"/>
        </w:rPr>
        <w:sectPr>
          <w:footerReference r:id="rId57" w:type="default"/>
          <w:pgSz w:w="16845" w:h="11910"/>
          <w:pgMar w:top="400" w:right="1580" w:bottom="1066" w:left="1396" w:header="0" w:footer="839" w:gutter="0"/>
          <w:cols w:space="720" w:num="1"/>
        </w:sectPr>
      </w:pPr>
    </w:p>
    <w:p w14:paraId="167F6C2E">
      <w:pPr>
        <w:pStyle w:val="2"/>
        <w:spacing w:line="270" w:lineRule="auto"/>
      </w:pPr>
    </w:p>
    <w:p w14:paraId="23FA0869">
      <w:pPr>
        <w:pStyle w:val="2"/>
        <w:spacing w:line="270" w:lineRule="auto"/>
      </w:pPr>
    </w:p>
    <w:p w14:paraId="76619147">
      <w:pPr>
        <w:pStyle w:val="2"/>
        <w:spacing w:line="270" w:lineRule="auto"/>
      </w:pPr>
    </w:p>
    <w:p w14:paraId="4653D2C3">
      <w:pPr>
        <w:pStyle w:val="2"/>
        <w:spacing w:line="271" w:lineRule="auto"/>
      </w:pPr>
    </w:p>
    <w:p w14:paraId="614FA896">
      <w:pPr>
        <w:pStyle w:val="2"/>
        <w:spacing w:line="271" w:lineRule="auto"/>
      </w:pPr>
    </w:p>
    <w:p w14:paraId="2AF4DD30">
      <w:pPr>
        <w:spacing w:before="100" w:line="222" w:lineRule="auto"/>
        <w:ind w:left="45"/>
        <w:outlineLvl w:val="1"/>
        <w:rPr>
          <w:rFonts w:ascii="黑体" w:hAnsi="黑体" w:eastAsia="黑体" w:cs="黑体"/>
          <w:sz w:val="31"/>
          <w:szCs w:val="31"/>
        </w:rPr>
      </w:pPr>
      <w:bookmarkStart w:id="25" w:name="bookmark24"/>
      <w:bookmarkEnd w:id="25"/>
      <w:r>
        <w:rPr>
          <w:rFonts w:ascii="黑体" w:hAnsi="黑体" w:eastAsia="黑体" w:cs="黑体"/>
          <w:b/>
          <w:bCs/>
          <w:spacing w:val="9"/>
          <w:sz w:val="31"/>
          <w:szCs w:val="31"/>
        </w:rPr>
        <w:t>附表六：投标文件问题澄清通知</w:t>
      </w:r>
    </w:p>
    <w:p w14:paraId="67BC3780">
      <w:pPr>
        <w:pStyle w:val="2"/>
        <w:spacing w:line="253" w:lineRule="auto"/>
      </w:pPr>
    </w:p>
    <w:p w14:paraId="6854E620">
      <w:pPr>
        <w:pStyle w:val="2"/>
        <w:spacing w:line="253" w:lineRule="auto"/>
      </w:pPr>
    </w:p>
    <w:p w14:paraId="001522E7">
      <w:pPr>
        <w:pStyle w:val="2"/>
        <w:spacing w:line="253" w:lineRule="auto"/>
      </w:pPr>
    </w:p>
    <w:p w14:paraId="30012DD6">
      <w:pPr>
        <w:pStyle w:val="2"/>
        <w:spacing w:line="253" w:lineRule="auto"/>
      </w:pPr>
    </w:p>
    <w:p w14:paraId="4E338186">
      <w:pPr>
        <w:spacing w:before="91" w:line="222" w:lineRule="auto"/>
        <w:ind w:left="2758"/>
        <w:rPr>
          <w:rFonts w:ascii="黑体" w:hAnsi="黑体" w:eastAsia="黑体" w:cs="黑体"/>
          <w:sz w:val="28"/>
          <w:szCs w:val="28"/>
        </w:rPr>
      </w:pPr>
      <w:r>
        <w:rPr>
          <w:rFonts w:ascii="黑体" w:hAnsi="黑体" w:eastAsia="黑体" w:cs="黑体"/>
          <w:spacing w:val="4"/>
          <w:sz w:val="28"/>
          <w:szCs w:val="28"/>
        </w:rPr>
        <w:t>投标文件问题澄清通知</w:t>
      </w:r>
    </w:p>
    <w:p w14:paraId="54ADC86F">
      <w:pPr>
        <w:pStyle w:val="2"/>
        <w:spacing w:line="302" w:lineRule="auto"/>
      </w:pPr>
    </w:p>
    <w:p w14:paraId="2395FC52">
      <w:pPr>
        <w:spacing w:before="69"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A6E0934">
      <w:pPr>
        <w:tabs>
          <w:tab w:val="left" w:pos="2853"/>
        </w:tabs>
        <w:spacing w:before="215"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（投标人名称</w:t>
      </w:r>
      <w:r>
        <w:rPr>
          <w:rFonts w:ascii="宋体" w:hAnsi="宋体" w:eastAsia="宋体" w:cs="宋体"/>
          <w:spacing w:val="-54"/>
          <w:w w:val="97"/>
          <w:sz w:val="21"/>
          <w:szCs w:val="21"/>
        </w:rPr>
        <w:t>）：</w:t>
      </w:r>
    </w:p>
    <w:p w14:paraId="1EFCA56F">
      <w:pPr>
        <w:tabs>
          <w:tab w:val="left" w:pos="1908"/>
        </w:tabs>
        <w:spacing w:before="231" w:line="423" w:lineRule="auto"/>
        <w:ind w:left="22" w:firstLine="518"/>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2"/>
          <w:sz w:val="21"/>
          <w:szCs w:val="21"/>
        </w:rPr>
        <w:t>标段名称）施工招标的评标委员会，</w:t>
      </w:r>
      <w:r>
        <w:rPr>
          <w:rFonts w:ascii="宋体" w:hAnsi="宋体" w:eastAsia="宋体" w:cs="宋体"/>
          <w:spacing w:val="-3"/>
          <w:sz w:val="21"/>
          <w:szCs w:val="21"/>
        </w:rPr>
        <w:t>对你方的</w:t>
      </w:r>
      <w:r>
        <w:rPr>
          <w:rFonts w:ascii="宋体" w:hAnsi="宋体" w:eastAsia="宋体" w:cs="宋体"/>
          <w:spacing w:val="-4"/>
          <w:sz w:val="21"/>
          <w:szCs w:val="21"/>
        </w:rPr>
        <w:t>投标文件进行了仔细的审查，现需你方对下列</w:t>
      </w:r>
      <w:r>
        <w:rPr>
          <w:rFonts w:ascii="宋体" w:hAnsi="宋体" w:eastAsia="宋体" w:cs="宋体"/>
          <w:spacing w:val="-5"/>
          <w:sz w:val="21"/>
          <w:szCs w:val="21"/>
        </w:rPr>
        <w:t>问题以书面形式予以澄清、说明或者补正， 并</w:t>
      </w:r>
      <w:r>
        <w:rPr>
          <w:rFonts w:ascii="宋体" w:hAnsi="宋体" w:eastAsia="宋体" w:cs="宋体"/>
          <w:spacing w:val="-8"/>
          <w:sz w:val="21"/>
          <w:szCs w:val="21"/>
        </w:rPr>
        <w:t>将投标文件的澄清、说明或者补正于</w:t>
      </w:r>
      <w:r>
        <w:rPr>
          <w:rFonts w:ascii="宋体" w:hAnsi="宋体" w:eastAsia="宋体" w:cs="宋体"/>
          <w:spacing w:val="-8"/>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8"/>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8"/>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8"/>
          <w:sz w:val="21"/>
          <w:szCs w:val="21"/>
        </w:rPr>
        <w:t>时前，通过“电子</w:t>
      </w:r>
      <w:r>
        <w:rPr>
          <w:rFonts w:ascii="宋体" w:hAnsi="宋体" w:eastAsia="宋体" w:cs="宋体"/>
          <w:spacing w:val="-9"/>
          <w:sz w:val="21"/>
          <w:szCs w:val="21"/>
        </w:rPr>
        <w:t>交易平台”“投</w:t>
      </w:r>
      <w:r>
        <w:rPr>
          <w:rFonts w:ascii="宋体" w:hAnsi="宋体" w:eastAsia="宋体" w:cs="宋体"/>
          <w:spacing w:val="-2"/>
          <w:sz w:val="21"/>
          <w:szCs w:val="21"/>
        </w:rPr>
        <w:t>标文件澄清”菜单提交给本评标委员会。</w:t>
      </w:r>
    </w:p>
    <w:p w14:paraId="18C1D616">
      <w:pPr>
        <w:spacing w:before="19" w:line="265" w:lineRule="exact"/>
        <w:ind w:left="454"/>
        <w:rPr>
          <w:rFonts w:ascii="Calibri" w:hAnsi="Calibri" w:eastAsia="Calibri" w:cs="Calibri"/>
          <w:sz w:val="21"/>
          <w:szCs w:val="21"/>
        </w:rPr>
      </w:pPr>
      <w:r>
        <w:rPr>
          <w:rFonts w:ascii="Calibri" w:hAnsi="Calibri" w:eastAsia="Calibri" w:cs="Calibri"/>
          <w:spacing w:val="-7"/>
          <w:position w:val="1"/>
          <w:sz w:val="21"/>
          <w:szCs w:val="21"/>
        </w:rPr>
        <w:t>1.</w:t>
      </w:r>
    </w:p>
    <w:p w14:paraId="7BD1D3C1">
      <w:pPr>
        <w:spacing w:before="215" w:line="265" w:lineRule="exact"/>
        <w:ind w:left="448"/>
        <w:rPr>
          <w:rFonts w:ascii="Calibri" w:hAnsi="Calibri" w:eastAsia="Calibri" w:cs="Calibri"/>
          <w:sz w:val="21"/>
          <w:szCs w:val="21"/>
        </w:rPr>
      </w:pPr>
      <w:r>
        <w:rPr>
          <w:rFonts w:ascii="Calibri" w:hAnsi="Calibri" w:eastAsia="Calibri" w:cs="Calibri"/>
          <w:spacing w:val="-5"/>
          <w:position w:val="1"/>
          <w:sz w:val="21"/>
          <w:szCs w:val="21"/>
        </w:rPr>
        <w:t>2.</w:t>
      </w:r>
    </w:p>
    <w:p w14:paraId="4C7F91AB">
      <w:pPr>
        <w:tabs>
          <w:tab w:val="left" w:pos="3710"/>
        </w:tabs>
        <w:spacing w:before="193" w:line="422" w:lineRule="auto"/>
        <w:ind w:left="7931" w:right="14" w:hanging="516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z w:val="21"/>
          <w:szCs w:val="21"/>
        </w:rPr>
        <w:t>标段名称）施工招标评标委</w:t>
      </w:r>
      <w:r>
        <w:rPr>
          <w:rFonts w:ascii="宋体" w:hAnsi="宋体" w:eastAsia="宋体" w:cs="宋体"/>
          <w:spacing w:val="-8"/>
          <w:sz w:val="21"/>
          <w:szCs w:val="21"/>
        </w:rPr>
        <w:t>员会</w:t>
      </w:r>
    </w:p>
    <w:p w14:paraId="245A1CFB">
      <w:pPr>
        <w:tabs>
          <w:tab w:val="left" w:pos="6234"/>
        </w:tabs>
        <w:spacing w:before="1" w:line="424" w:lineRule="auto"/>
        <w:ind w:left="5602" w:right="16" w:hanging="2824"/>
        <w:rPr>
          <w:rFonts w:ascii="宋体" w:hAnsi="宋体" w:eastAsia="宋体" w:cs="宋体"/>
          <w:sz w:val="21"/>
          <w:szCs w:val="21"/>
        </w:rPr>
      </w:pPr>
      <w:r>
        <w:rPr>
          <w:rFonts w:ascii="宋体" w:hAnsi="宋体" w:eastAsia="宋体" w:cs="宋体"/>
          <w:spacing w:val="-5"/>
          <w:sz w:val="21"/>
          <w:szCs w:val="21"/>
        </w:rPr>
        <w:t>（经评标委员会授权的招标人代表签字或招标人盖单位章</w:t>
      </w:r>
      <w:r>
        <w:rPr>
          <w:rFonts w:ascii="宋体" w:hAnsi="宋体" w:eastAsia="宋体" w:cs="宋体"/>
          <w:spacing w:val="1"/>
          <w:sz w:val="21"/>
          <w:szCs w:val="21"/>
        </w:rPr>
        <w:t>）：</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DC256B4">
      <w:pPr>
        <w:spacing w:line="424" w:lineRule="auto"/>
        <w:rPr>
          <w:rFonts w:ascii="宋体" w:hAnsi="宋体" w:eastAsia="宋体" w:cs="宋体"/>
          <w:sz w:val="21"/>
          <w:szCs w:val="21"/>
        </w:rPr>
        <w:sectPr>
          <w:footerReference r:id="rId58" w:type="default"/>
          <w:pgSz w:w="11910" w:h="16845"/>
          <w:pgMar w:top="400" w:right="1771" w:bottom="1110" w:left="1786" w:header="0" w:footer="883" w:gutter="0"/>
          <w:cols w:space="720" w:num="1"/>
        </w:sectPr>
      </w:pPr>
    </w:p>
    <w:p w14:paraId="43DE38F8">
      <w:pPr>
        <w:pStyle w:val="2"/>
        <w:spacing w:line="270" w:lineRule="auto"/>
      </w:pPr>
    </w:p>
    <w:p w14:paraId="7B622748">
      <w:pPr>
        <w:pStyle w:val="2"/>
        <w:spacing w:line="270" w:lineRule="auto"/>
      </w:pPr>
    </w:p>
    <w:p w14:paraId="6712C149">
      <w:pPr>
        <w:pStyle w:val="2"/>
        <w:spacing w:line="270" w:lineRule="auto"/>
      </w:pPr>
    </w:p>
    <w:p w14:paraId="0B0F2BD0">
      <w:pPr>
        <w:pStyle w:val="2"/>
        <w:spacing w:line="271" w:lineRule="auto"/>
      </w:pPr>
    </w:p>
    <w:p w14:paraId="4E5AA844">
      <w:pPr>
        <w:pStyle w:val="2"/>
        <w:spacing w:line="271" w:lineRule="auto"/>
      </w:pPr>
    </w:p>
    <w:p w14:paraId="55132FD1">
      <w:pPr>
        <w:spacing w:before="100" w:line="222" w:lineRule="auto"/>
        <w:ind w:left="45"/>
        <w:outlineLvl w:val="1"/>
        <w:rPr>
          <w:rFonts w:ascii="黑体" w:hAnsi="黑体" w:eastAsia="黑体" w:cs="黑体"/>
          <w:sz w:val="31"/>
          <w:szCs w:val="31"/>
        </w:rPr>
      </w:pPr>
      <w:bookmarkStart w:id="26" w:name="bookmark25"/>
      <w:bookmarkEnd w:id="26"/>
      <w:r>
        <w:rPr>
          <w:rFonts w:ascii="黑体" w:hAnsi="黑体" w:eastAsia="黑体" w:cs="黑体"/>
          <w:b/>
          <w:bCs/>
          <w:spacing w:val="9"/>
          <w:sz w:val="31"/>
          <w:szCs w:val="31"/>
        </w:rPr>
        <w:t>附表七：投标文件问题的澄清</w:t>
      </w:r>
    </w:p>
    <w:p w14:paraId="77A283FC">
      <w:pPr>
        <w:pStyle w:val="2"/>
        <w:spacing w:line="293" w:lineRule="auto"/>
      </w:pPr>
    </w:p>
    <w:p w14:paraId="6964AD85">
      <w:pPr>
        <w:pStyle w:val="2"/>
        <w:spacing w:line="294" w:lineRule="auto"/>
      </w:pPr>
    </w:p>
    <w:p w14:paraId="2F521305">
      <w:pPr>
        <w:pStyle w:val="2"/>
        <w:spacing w:line="294" w:lineRule="auto"/>
      </w:pPr>
    </w:p>
    <w:p w14:paraId="5FEC492D">
      <w:pPr>
        <w:pStyle w:val="2"/>
        <w:spacing w:line="294" w:lineRule="auto"/>
      </w:pPr>
    </w:p>
    <w:p w14:paraId="278060D4">
      <w:pPr>
        <w:spacing w:before="91" w:line="222" w:lineRule="auto"/>
        <w:ind w:left="2052"/>
        <w:rPr>
          <w:rFonts w:ascii="黑体" w:hAnsi="黑体" w:eastAsia="黑体" w:cs="黑体"/>
          <w:sz w:val="28"/>
          <w:szCs w:val="28"/>
        </w:rPr>
      </w:pPr>
      <w:r>
        <w:rPr>
          <w:rFonts w:ascii="黑体" w:hAnsi="黑体" w:eastAsia="黑体" w:cs="黑体"/>
          <w:spacing w:val="3"/>
          <w:sz w:val="28"/>
          <w:szCs w:val="28"/>
        </w:rPr>
        <w:t>投标文件问题的澄清、说明或补正</w:t>
      </w:r>
    </w:p>
    <w:p w14:paraId="42C34910">
      <w:pPr>
        <w:pStyle w:val="2"/>
        <w:spacing w:line="303" w:lineRule="auto"/>
      </w:pPr>
    </w:p>
    <w:p w14:paraId="397655FC">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8EF0A0E">
      <w:pPr>
        <w:tabs>
          <w:tab w:val="left" w:pos="1908"/>
        </w:tabs>
        <w:spacing w:before="230" w:line="219" w:lineRule="auto"/>
        <w:ind w:left="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标段名称）施工招标评标委员会：</w:t>
      </w:r>
    </w:p>
    <w:p w14:paraId="4D642C2B">
      <w:pPr>
        <w:spacing w:before="232" w:line="446" w:lineRule="auto"/>
        <w:ind w:left="454" w:right="585" w:hanging="7"/>
        <w:rPr>
          <w:rFonts w:ascii="Calibri" w:hAnsi="Calibri" w:eastAsia="Calibri" w:cs="Calibri"/>
          <w:sz w:val="21"/>
          <w:szCs w:val="21"/>
        </w:rPr>
      </w:pPr>
      <w:r>
        <w:rPr>
          <w:rFonts w:ascii="宋体" w:hAnsi="宋体" w:eastAsia="宋体" w:cs="宋体"/>
          <w:spacing w:val="-2"/>
          <w:sz w:val="21"/>
          <w:szCs w:val="21"/>
        </w:rPr>
        <w:t>投标文件问题澄清通知（编号</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已收悉，现澄清、说明或者补正如下：</w:t>
      </w:r>
      <w:r>
        <w:rPr>
          <w:rFonts w:ascii="宋体" w:hAnsi="宋体" w:eastAsia="宋体" w:cs="宋体"/>
          <w:spacing w:val="1"/>
          <w:sz w:val="21"/>
          <w:szCs w:val="21"/>
        </w:rPr>
        <w:t xml:space="preserve"> </w:t>
      </w:r>
      <w:r>
        <w:rPr>
          <w:rFonts w:ascii="Calibri" w:hAnsi="Calibri" w:eastAsia="Calibri" w:cs="Calibri"/>
          <w:spacing w:val="-7"/>
          <w:sz w:val="21"/>
          <w:szCs w:val="21"/>
        </w:rPr>
        <w:t>1.</w:t>
      </w:r>
    </w:p>
    <w:p w14:paraId="2475BEEF">
      <w:pPr>
        <w:spacing w:line="265" w:lineRule="exact"/>
        <w:ind w:left="448"/>
        <w:rPr>
          <w:rFonts w:ascii="Calibri" w:hAnsi="Calibri" w:eastAsia="Calibri" w:cs="Calibri"/>
          <w:sz w:val="21"/>
          <w:szCs w:val="21"/>
        </w:rPr>
      </w:pPr>
      <w:r>
        <w:rPr>
          <w:rFonts w:ascii="Calibri" w:hAnsi="Calibri" w:eastAsia="Calibri" w:cs="Calibri"/>
          <w:spacing w:val="-5"/>
          <w:position w:val="1"/>
          <w:sz w:val="21"/>
          <w:szCs w:val="21"/>
        </w:rPr>
        <w:t>2.</w:t>
      </w:r>
    </w:p>
    <w:p w14:paraId="6BFFF518">
      <w:pPr>
        <w:pStyle w:val="2"/>
        <w:spacing w:line="247" w:lineRule="auto"/>
      </w:pPr>
    </w:p>
    <w:p w14:paraId="657E8178">
      <w:pPr>
        <w:pStyle w:val="2"/>
        <w:spacing w:line="247" w:lineRule="auto"/>
      </w:pPr>
    </w:p>
    <w:p w14:paraId="48B5F744">
      <w:pPr>
        <w:pStyle w:val="2"/>
        <w:spacing w:line="247" w:lineRule="auto"/>
      </w:pPr>
    </w:p>
    <w:p w14:paraId="27133E5F">
      <w:pPr>
        <w:pStyle w:val="2"/>
        <w:spacing w:line="247" w:lineRule="auto"/>
      </w:pPr>
    </w:p>
    <w:p w14:paraId="7261D065">
      <w:pPr>
        <w:pStyle w:val="2"/>
        <w:spacing w:line="247" w:lineRule="auto"/>
      </w:pPr>
    </w:p>
    <w:p w14:paraId="391A2F21">
      <w:pPr>
        <w:pStyle w:val="2"/>
        <w:spacing w:line="247" w:lineRule="auto"/>
      </w:pPr>
    </w:p>
    <w:p w14:paraId="2A18E65C">
      <w:pPr>
        <w:pStyle w:val="2"/>
        <w:spacing w:line="247" w:lineRule="auto"/>
      </w:pPr>
    </w:p>
    <w:p w14:paraId="667D2200">
      <w:pPr>
        <w:pStyle w:val="2"/>
        <w:spacing w:line="248" w:lineRule="auto"/>
      </w:pPr>
    </w:p>
    <w:p w14:paraId="7AC5CB4C">
      <w:pPr>
        <w:pStyle w:val="2"/>
        <w:spacing w:line="248" w:lineRule="auto"/>
      </w:pPr>
    </w:p>
    <w:p w14:paraId="4D1FB322">
      <w:pPr>
        <w:pStyle w:val="2"/>
        <w:spacing w:line="248" w:lineRule="auto"/>
      </w:pPr>
    </w:p>
    <w:p w14:paraId="2554A34C">
      <w:pPr>
        <w:pStyle w:val="2"/>
        <w:spacing w:line="248" w:lineRule="auto"/>
      </w:pPr>
    </w:p>
    <w:p w14:paraId="7AE6D9E1">
      <w:pPr>
        <w:pStyle w:val="2"/>
        <w:spacing w:line="248" w:lineRule="auto"/>
      </w:pPr>
    </w:p>
    <w:p w14:paraId="026CEE48">
      <w:pPr>
        <w:pStyle w:val="2"/>
        <w:spacing w:line="248" w:lineRule="auto"/>
      </w:pPr>
    </w:p>
    <w:p w14:paraId="32AEE377">
      <w:pPr>
        <w:pStyle w:val="2"/>
        <w:spacing w:line="248" w:lineRule="auto"/>
      </w:pPr>
    </w:p>
    <w:p w14:paraId="2F6E46AE">
      <w:pPr>
        <w:spacing w:before="69" w:line="219" w:lineRule="auto"/>
        <w:ind w:left="3195"/>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02B7C397">
      <w:pPr>
        <w:pStyle w:val="2"/>
        <w:spacing w:line="310" w:lineRule="auto"/>
      </w:pPr>
    </w:p>
    <w:p w14:paraId="7EC22BAE">
      <w:pPr>
        <w:spacing w:before="69" w:line="220" w:lineRule="auto"/>
        <w:ind w:left="319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6A89EE8F">
      <w:pPr>
        <w:pStyle w:val="2"/>
        <w:spacing w:line="310" w:lineRule="auto"/>
      </w:pPr>
    </w:p>
    <w:p w14:paraId="1D81FF5E">
      <w:pPr>
        <w:tabs>
          <w:tab w:val="left" w:pos="6654"/>
        </w:tabs>
        <w:spacing w:before="68" w:line="220" w:lineRule="auto"/>
        <w:ind w:left="602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5A009E9C">
      <w:pPr>
        <w:spacing w:line="220" w:lineRule="auto"/>
        <w:rPr>
          <w:rFonts w:ascii="宋体" w:hAnsi="宋体" w:eastAsia="宋体" w:cs="宋体"/>
          <w:sz w:val="21"/>
          <w:szCs w:val="21"/>
        </w:rPr>
        <w:sectPr>
          <w:footerReference r:id="rId59" w:type="default"/>
          <w:pgSz w:w="11910" w:h="16845"/>
          <w:pgMar w:top="400" w:right="1786" w:bottom="1110" w:left="1786" w:header="0" w:footer="883" w:gutter="0"/>
          <w:cols w:space="720" w:num="1"/>
        </w:sectPr>
      </w:pPr>
    </w:p>
    <w:p w14:paraId="3987CB18">
      <w:pPr>
        <w:pStyle w:val="2"/>
        <w:spacing w:line="270" w:lineRule="auto"/>
      </w:pPr>
    </w:p>
    <w:p w14:paraId="5427F408">
      <w:pPr>
        <w:pStyle w:val="2"/>
        <w:spacing w:line="270" w:lineRule="auto"/>
      </w:pPr>
    </w:p>
    <w:p w14:paraId="3A336E4A">
      <w:pPr>
        <w:pStyle w:val="2"/>
        <w:spacing w:line="270" w:lineRule="auto"/>
      </w:pPr>
    </w:p>
    <w:p w14:paraId="0FE487E9">
      <w:pPr>
        <w:pStyle w:val="2"/>
        <w:spacing w:line="270" w:lineRule="auto"/>
      </w:pPr>
    </w:p>
    <w:p w14:paraId="7C4CC257">
      <w:pPr>
        <w:pStyle w:val="2"/>
        <w:spacing w:line="271" w:lineRule="auto"/>
      </w:pPr>
    </w:p>
    <w:p w14:paraId="1E4B99C3">
      <w:pPr>
        <w:spacing w:before="101" w:line="223" w:lineRule="auto"/>
        <w:ind w:left="45"/>
        <w:outlineLvl w:val="1"/>
        <w:rPr>
          <w:rFonts w:ascii="黑体" w:hAnsi="黑体" w:eastAsia="黑体" w:cs="黑体"/>
          <w:sz w:val="31"/>
          <w:szCs w:val="31"/>
        </w:rPr>
      </w:pPr>
      <w:bookmarkStart w:id="27" w:name="bookmark26"/>
      <w:bookmarkEnd w:id="27"/>
      <w:r>
        <w:rPr>
          <w:rFonts w:ascii="黑体" w:hAnsi="黑体" w:eastAsia="黑体" w:cs="黑体"/>
          <w:b/>
          <w:bCs/>
          <w:sz w:val="31"/>
          <w:szCs w:val="31"/>
        </w:rPr>
        <w:t>附表八：</w:t>
      </w:r>
      <w:r>
        <w:rPr>
          <w:rFonts w:ascii="黑体" w:hAnsi="黑体" w:eastAsia="黑体" w:cs="黑体"/>
          <w:spacing w:val="-77"/>
          <w:sz w:val="31"/>
          <w:szCs w:val="31"/>
        </w:rPr>
        <w:t xml:space="preserve"> </w:t>
      </w:r>
      <w:r>
        <w:rPr>
          <w:rFonts w:ascii="黑体" w:hAnsi="黑体" w:eastAsia="黑体" w:cs="黑体"/>
          <w:b/>
          <w:bCs/>
          <w:sz w:val="31"/>
          <w:szCs w:val="31"/>
        </w:rPr>
        <w:t>中标通知书</w:t>
      </w:r>
    </w:p>
    <w:p w14:paraId="7D47FDF7">
      <w:pPr>
        <w:pStyle w:val="2"/>
        <w:spacing w:line="443" w:lineRule="auto"/>
      </w:pPr>
    </w:p>
    <w:p w14:paraId="492BAC9D">
      <w:pPr>
        <w:spacing w:before="91" w:line="223" w:lineRule="auto"/>
        <w:ind w:left="3488"/>
        <w:rPr>
          <w:rFonts w:ascii="黑体" w:hAnsi="黑体" w:eastAsia="黑体" w:cs="黑体"/>
          <w:sz w:val="28"/>
          <w:szCs w:val="28"/>
        </w:rPr>
      </w:pPr>
      <w:r>
        <w:rPr>
          <w:rFonts w:ascii="黑体" w:hAnsi="黑体" w:eastAsia="黑体" w:cs="黑体"/>
          <w:spacing w:val="4"/>
          <w:sz w:val="28"/>
          <w:szCs w:val="28"/>
        </w:rPr>
        <w:t>中标通知书</w:t>
      </w:r>
    </w:p>
    <w:p w14:paraId="098BF434">
      <w:pPr>
        <w:pStyle w:val="2"/>
        <w:spacing w:line="301" w:lineRule="auto"/>
      </w:pPr>
    </w:p>
    <w:p w14:paraId="289DBFF3">
      <w:pPr>
        <w:spacing w:before="69" w:line="220" w:lineRule="auto"/>
        <w:ind w:left="5492"/>
        <w:rPr>
          <w:rFonts w:ascii="宋体" w:hAnsi="宋体" w:eastAsia="宋体" w:cs="宋体"/>
          <w:sz w:val="21"/>
          <w:szCs w:val="21"/>
        </w:rPr>
      </w:pPr>
      <w:r>
        <w:rPr>
          <w:rFonts w:ascii="宋体" w:hAnsi="宋体" w:eastAsia="宋体" w:cs="宋体"/>
          <w:spacing w:val="-2"/>
          <w:sz w:val="21"/>
          <w:szCs w:val="21"/>
        </w:rPr>
        <w:t>招标编号：</w:t>
      </w:r>
      <w:r>
        <w:rPr>
          <w:rFonts w:ascii="宋体" w:hAnsi="宋体" w:eastAsia="宋体" w:cs="宋体"/>
          <w:sz w:val="21"/>
          <w:szCs w:val="21"/>
          <w:u w:val="single" w:color="auto"/>
        </w:rPr>
        <w:t xml:space="preserve">            </w:t>
      </w:r>
    </w:p>
    <w:p w14:paraId="2B24AB6F">
      <w:pPr>
        <w:tabs>
          <w:tab w:val="left" w:pos="1593"/>
        </w:tabs>
        <w:spacing w:before="215"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7"/>
          <w:sz w:val="21"/>
          <w:szCs w:val="21"/>
        </w:rPr>
        <w:t>）：</w:t>
      </w:r>
    </w:p>
    <w:p w14:paraId="3B5D1006">
      <w:pPr>
        <w:spacing w:before="231" w:line="422" w:lineRule="auto"/>
        <w:ind w:left="23" w:right="27" w:firstLine="422"/>
        <w:rPr>
          <w:rFonts w:ascii="宋体" w:hAnsi="宋体" w:eastAsia="宋体" w:cs="宋体"/>
          <w:sz w:val="21"/>
          <w:szCs w:val="21"/>
        </w:rPr>
      </w:pPr>
      <w:r>
        <w:rPr>
          <w:rFonts w:ascii="宋体" w:hAnsi="宋体" w:eastAsia="宋体" w:cs="宋体"/>
          <w:spacing w:val="-2"/>
          <w:sz w:val="21"/>
          <w:szCs w:val="21"/>
        </w:rPr>
        <w:t>你方于</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（投标日期）所递交的</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8"/>
          <w:sz w:val="21"/>
          <w:szCs w:val="21"/>
        </w:rPr>
        <w:t>（</w:t>
      </w:r>
      <w:r>
        <w:rPr>
          <w:rFonts w:ascii="宋体" w:hAnsi="宋体" w:eastAsia="宋体" w:cs="宋体"/>
          <w:spacing w:val="-2"/>
          <w:sz w:val="21"/>
          <w:szCs w:val="21"/>
        </w:rPr>
        <w:t>标段名</w:t>
      </w:r>
      <w:r>
        <w:rPr>
          <w:rFonts w:ascii="宋体" w:hAnsi="宋体" w:eastAsia="宋体" w:cs="宋体"/>
          <w:spacing w:val="-1"/>
          <w:sz w:val="21"/>
          <w:szCs w:val="21"/>
        </w:rPr>
        <w:t>称）施工投标文件已被我方接受，被确定为</w:t>
      </w:r>
      <w:r>
        <w:rPr>
          <w:rFonts w:ascii="宋体" w:hAnsi="宋体" w:eastAsia="宋体" w:cs="宋体"/>
          <w:spacing w:val="-2"/>
          <w:sz w:val="21"/>
          <w:szCs w:val="21"/>
        </w:rPr>
        <w:t>中标人。</w:t>
      </w:r>
    </w:p>
    <w:p w14:paraId="3BA6C109">
      <w:pPr>
        <w:spacing w:line="218" w:lineRule="auto"/>
        <w:ind w:left="464"/>
        <w:rPr>
          <w:rFonts w:ascii="宋体" w:hAnsi="宋体" w:eastAsia="宋体" w:cs="宋体"/>
          <w:sz w:val="21"/>
          <w:szCs w:val="21"/>
        </w:rPr>
      </w:pPr>
      <w:r>
        <w:rPr>
          <w:rFonts w:ascii="宋体" w:hAnsi="宋体" w:eastAsia="宋体" w:cs="宋体"/>
          <w:spacing w:val="-5"/>
          <w:sz w:val="21"/>
          <w:szCs w:val="21"/>
        </w:rPr>
        <w:t>中标价：</w:t>
      </w:r>
      <w:r>
        <w:rPr>
          <w:rFonts w:ascii="宋体" w:hAnsi="宋体" w:eastAsia="宋体" w:cs="宋体"/>
          <w:spacing w:val="-5"/>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5"/>
          <w:sz w:val="21"/>
          <w:szCs w:val="21"/>
        </w:rPr>
        <w:t>元。</w:t>
      </w:r>
    </w:p>
    <w:p w14:paraId="345911E3">
      <w:pPr>
        <w:spacing w:before="232" w:line="220" w:lineRule="auto"/>
        <w:ind w:left="447"/>
        <w:rPr>
          <w:rFonts w:ascii="宋体" w:hAnsi="宋体" w:eastAsia="宋体" w:cs="宋体"/>
          <w:sz w:val="21"/>
          <w:szCs w:val="21"/>
        </w:rPr>
      </w:pPr>
      <w:r>
        <w:rPr>
          <w:rFonts w:ascii="宋体" w:hAnsi="宋体" w:eastAsia="宋体" w:cs="宋体"/>
          <w:spacing w:val="-6"/>
          <w:sz w:val="21"/>
          <w:szCs w:val="21"/>
        </w:rPr>
        <w:t>工</w:t>
      </w:r>
      <w:r>
        <w:rPr>
          <w:rFonts w:ascii="宋体" w:hAnsi="宋体" w:eastAsia="宋体" w:cs="宋体"/>
          <w:spacing w:val="5"/>
          <w:sz w:val="21"/>
          <w:szCs w:val="21"/>
        </w:rPr>
        <w:t xml:space="preserve">  </w:t>
      </w:r>
      <w:r>
        <w:rPr>
          <w:rFonts w:ascii="宋体" w:hAnsi="宋体" w:eastAsia="宋体" w:cs="宋体"/>
          <w:spacing w:val="-6"/>
          <w:sz w:val="21"/>
          <w:szCs w:val="21"/>
        </w:rPr>
        <w:t>期：</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日历天。</w:t>
      </w:r>
    </w:p>
    <w:p w14:paraId="1CB6169E">
      <w:pPr>
        <w:spacing w:before="230" w:line="220" w:lineRule="auto"/>
        <w:ind w:left="447"/>
        <w:rPr>
          <w:rFonts w:ascii="宋体" w:hAnsi="宋体" w:eastAsia="宋体" w:cs="宋体"/>
          <w:sz w:val="21"/>
          <w:szCs w:val="21"/>
        </w:rPr>
      </w:pPr>
      <w:r>
        <w:rPr>
          <w:rFonts w:ascii="宋体" w:hAnsi="宋体" w:eastAsia="宋体" w:cs="宋体"/>
          <w:sz w:val="21"/>
          <w:szCs w:val="21"/>
        </w:rPr>
        <w:t>工程质量：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92FE2DF">
      <w:pPr>
        <w:spacing w:before="230" w:line="220" w:lineRule="auto"/>
        <w:ind w:left="448"/>
        <w:rPr>
          <w:rFonts w:ascii="宋体" w:hAnsi="宋体" w:eastAsia="宋体" w:cs="宋体"/>
          <w:sz w:val="21"/>
          <w:szCs w:val="21"/>
        </w:rPr>
      </w:pPr>
      <w:r>
        <w:rPr>
          <w:rFonts w:ascii="宋体" w:hAnsi="宋体" w:eastAsia="宋体" w:cs="宋体"/>
          <w:spacing w:val="-16"/>
          <w:sz w:val="21"/>
          <w:szCs w:val="21"/>
        </w:rPr>
        <w:t>项目经理</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6"/>
          <w:sz w:val="21"/>
          <w:szCs w:val="21"/>
        </w:rPr>
        <w:t>姓名）。</w:t>
      </w:r>
    </w:p>
    <w:p w14:paraId="368DF8AF">
      <w:pPr>
        <w:pStyle w:val="2"/>
        <w:spacing w:line="319" w:lineRule="auto"/>
      </w:pPr>
    </w:p>
    <w:p w14:paraId="7E032760">
      <w:pPr>
        <w:pStyle w:val="2"/>
        <w:spacing w:line="319" w:lineRule="auto"/>
      </w:pPr>
    </w:p>
    <w:p w14:paraId="7913D7C9">
      <w:pPr>
        <w:spacing w:before="69" w:line="417" w:lineRule="auto"/>
        <w:ind w:left="25" w:firstLine="417"/>
        <w:jc w:val="both"/>
        <w:rPr>
          <w:rFonts w:ascii="宋体" w:hAnsi="宋体" w:eastAsia="宋体" w:cs="宋体"/>
          <w:sz w:val="21"/>
          <w:szCs w:val="21"/>
        </w:rPr>
      </w:pPr>
      <w:r>
        <w:rPr>
          <w:rFonts w:ascii="宋体" w:hAnsi="宋体" w:eastAsia="宋体" w:cs="宋体"/>
          <w:spacing w:val="-1"/>
          <w:sz w:val="21"/>
          <w:szCs w:val="21"/>
        </w:rPr>
        <w:t>请你方在接到本通知书后的</w:t>
      </w:r>
      <w:r>
        <w:rPr>
          <w:rFonts w:ascii="宋体" w:hAnsi="宋体" w:eastAsia="宋体" w:cs="宋体"/>
          <w:spacing w:val="-1"/>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
          <w:sz w:val="21"/>
          <w:szCs w:val="21"/>
        </w:rPr>
        <w:t>日内到</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指定地点）与</w:t>
      </w:r>
      <w:r>
        <w:rPr>
          <w:rFonts w:ascii="宋体" w:hAnsi="宋体" w:eastAsia="宋体" w:cs="宋体"/>
          <w:spacing w:val="-1"/>
          <w:sz w:val="21"/>
          <w:szCs w:val="21"/>
        </w:rPr>
        <w:t>我方签订施工承包合同，在此之前按招标文件第二章“投标人须知”</w:t>
      </w:r>
      <w:r>
        <w:rPr>
          <w:rFonts w:ascii="宋体" w:hAnsi="宋体" w:eastAsia="宋体" w:cs="宋体"/>
          <w:spacing w:val="-2"/>
          <w:sz w:val="21"/>
          <w:szCs w:val="21"/>
        </w:rPr>
        <w:t>第</w:t>
      </w:r>
      <w:r>
        <w:rPr>
          <w:rFonts w:ascii="宋体" w:hAnsi="宋体" w:eastAsia="宋体" w:cs="宋体"/>
          <w:spacing w:val="-42"/>
          <w:sz w:val="21"/>
          <w:szCs w:val="21"/>
        </w:rPr>
        <w:t xml:space="preserve"> </w:t>
      </w:r>
      <w:r>
        <w:rPr>
          <w:rFonts w:ascii="Calibri" w:hAnsi="Calibri" w:eastAsia="Calibri" w:cs="Calibri"/>
          <w:spacing w:val="-2"/>
          <w:sz w:val="21"/>
          <w:szCs w:val="21"/>
        </w:rPr>
        <w:t>7.3</w:t>
      </w:r>
      <w:r>
        <w:rPr>
          <w:rFonts w:ascii="Calibri" w:hAnsi="Calibri" w:eastAsia="Calibri" w:cs="Calibri"/>
          <w:spacing w:val="21"/>
          <w:sz w:val="21"/>
          <w:szCs w:val="21"/>
        </w:rPr>
        <w:t xml:space="preserve"> </w:t>
      </w:r>
      <w:r>
        <w:rPr>
          <w:rFonts w:ascii="宋体" w:hAnsi="宋体" w:eastAsia="宋体" w:cs="宋体"/>
          <w:spacing w:val="-2"/>
          <w:sz w:val="21"/>
          <w:szCs w:val="21"/>
        </w:rPr>
        <w:t>款规定向我方提</w:t>
      </w:r>
      <w:r>
        <w:rPr>
          <w:rFonts w:ascii="宋体" w:hAnsi="宋体" w:eastAsia="宋体" w:cs="宋体"/>
          <w:spacing w:val="-6"/>
          <w:sz w:val="21"/>
          <w:szCs w:val="21"/>
        </w:rPr>
        <w:t>交履约担保。</w:t>
      </w:r>
    </w:p>
    <w:p w14:paraId="7A971629">
      <w:pPr>
        <w:spacing w:before="17" w:line="423" w:lineRule="auto"/>
        <w:ind w:left="444" w:right="53" w:firstLine="11"/>
        <w:rPr>
          <w:rFonts w:ascii="宋体" w:hAnsi="宋体" w:eastAsia="宋体" w:cs="宋体"/>
          <w:sz w:val="21"/>
          <w:szCs w:val="21"/>
        </w:rPr>
      </w:pPr>
      <w:r>
        <w:rPr>
          <w:rFonts w:ascii="宋体" w:hAnsi="宋体" w:eastAsia="宋体" w:cs="宋体"/>
          <w:spacing w:val="-4"/>
          <w:sz w:val="21"/>
          <w:szCs w:val="21"/>
        </w:rPr>
        <w:t>随附的投标文件澄清、说明、补正事项纪要（如果有</w:t>
      </w:r>
      <w:r>
        <w:rPr>
          <w:rFonts w:ascii="宋体" w:hAnsi="宋体" w:eastAsia="宋体" w:cs="宋体"/>
          <w:spacing w:val="2"/>
          <w:sz w:val="21"/>
          <w:szCs w:val="21"/>
        </w:rPr>
        <w:t>），</w:t>
      </w:r>
      <w:r>
        <w:rPr>
          <w:rFonts w:ascii="宋体" w:hAnsi="宋体" w:eastAsia="宋体" w:cs="宋体"/>
          <w:spacing w:val="-4"/>
          <w:sz w:val="21"/>
          <w:szCs w:val="21"/>
        </w:rPr>
        <w:t>是本中标通知书的组成部分。</w:t>
      </w:r>
      <w:r>
        <w:rPr>
          <w:rFonts w:ascii="宋体" w:hAnsi="宋体" w:eastAsia="宋体" w:cs="宋体"/>
          <w:spacing w:val="-6"/>
          <w:sz w:val="21"/>
          <w:szCs w:val="21"/>
        </w:rPr>
        <w:t>特此通知。</w:t>
      </w:r>
    </w:p>
    <w:p w14:paraId="588DF7B8">
      <w:pPr>
        <w:spacing w:line="218" w:lineRule="auto"/>
        <w:ind w:left="461"/>
        <w:rPr>
          <w:rFonts w:ascii="宋体" w:hAnsi="宋体" w:eastAsia="宋体" w:cs="宋体"/>
          <w:sz w:val="21"/>
          <w:szCs w:val="21"/>
        </w:rPr>
      </w:pPr>
      <w:r>
        <w:rPr>
          <w:rFonts w:ascii="宋体" w:hAnsi="宋体" w:eastAsia="宋体" w:cs="宋体"/>
          <w:spacing w:val="-2"/>
          <w:sz w:val="21"/>
          <w:szCs w:val="21"/>
        </w:rPr>
        <w:t>附：澄清、说明、补正事项纪要</w:t>
      </w:r>
    </w:p>
    <w:p w14:paraId="4DFE5BC2">
      <w:pPr>
        <w:pStyle w:val="2"/>
        <w:spacing w:line="265" w:lineRule="auto"/>
      </w:pPr>
    </w:p>
    <w:p w14:paraId="5EA79579">
      <w:pPr>
        <w:pStyle w:val="2"/>
        <w:spacing w:line="265" w:lineRule="auto"/>
      </w:pPr>
    </w:p>
    <w:p w14:paraId="6A94439F">
      <w:pPr>
        <w:pStyle w:val="2"/>
        <w:spacing w:line="266" w:lineRule="auto"/>
      </w:pPr>
    </w:p>
    <w:p w14:paraId="7463905B">
      <w:pPr>
        <w:pStyle w:val="2"/>
        <w:spacing w:line="266" w:lineRule="auto"/>
      </w:pPr>
    </w:p>
    <w:p w14:paraId="1B857982">
      <w:pPr>
        <w:pStyle w:val="2"/>
        <w:spacing w:line="266" w:lineRule="auto"/>
      </w:pPr>
    </w:p>
    <w:p w14:paraId="0051AA7F">
      <w:pPr>
        <w:pStyle w:val="2"/>
        <w:spacing w:line="266" w:lineRule="auto"/>
      </w:pPr>
    </w:p>
    <w:p w14:paraId="06F74687">
      <w:pPr>
        <w:spacing w:before="69" w:line="219" w:lineRule="auto"/>
        <w:ind w:right="26"/>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9B755DB">
      <w:pPr>
        <w:tabs>
          <w:tab w:val="left" w:pos="6654"/>
        </w:tabs>
        <w:spacing w:before="230" w:line="425" w:lineRule="auto"/>
        <w:ind w:left="5812" w:right="16" w:hanging="1462"/>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72321D4">
      <w:pPr>
        <w:pStyle w:val="2"/>
      </w:pPr>
    </w:p>
    <w:p w14:paraId="5F86FADE">
      <w:pPr>
        <w:spacing w:before="69" w:line="219" w:lineRule="auto"/>
        <w:ind w:left="447"/>
        <w:rPr>
          <w:rFonts w:ascii="宋体" w:hAnsi="宋体" w:eastAsia="宋体" w:cs="宋体"/>
          <w:sz w:val="21"/>
          <w:szCs w:val="21"/>
        </w:rPr>
      </w:pPr>
      <w:r>
        <w:rPr>
          <w:rFonts w:ascii="宋体" w:hAnsi="宋体" w:eastAsia="宋体" w:cs="宋体"/>
          <w:spacing w:val="-1"/>
          <w:sz w:val="21"/>
          <w:szCs w:val="21"/>
        </w:rPr>
        <w:t>备注：行政主管部门对中标通知书有备案管理程序的，从其规定。</w:t>
      </w:r>
    </w:p>
    <w:p w14:paraId="5B27BC52">
      <w:pPr>
        <w:spacing w:line="219" w:lineRule="auto"/>
        <w:rPr>
          <w:rFonts w:ascii="宋体" w:hAnsi="宋体" w:eastAsia="宋体" w:cs="宋体"/>
          <w:sz w:val="21"/>
          <w:szCs w:val="21"/>
        </w:rPr>
        <w:sectPr>
          <w:footerReference r:id="rId60" w:type="default"/>
          <w:pgSz w:w="11910" w:h="16845"/>
          <w:pgMar w:top="400" w:right="1771" w:bottom="1110" w:left="1786" w:header="0" w:footer="883" w:gutter="0"/>
          <w:cols w:space="720" w:num="1"/>
        </w:sectPr>
      </w:pPr>
    </w:p>
    <w:p w14:paraId="50A71465">
      <w:pPr>
        <w:pStyle w:val="2"/>
        <w:spacing w:line="270" w:lineRule="auto"/>
      </w:pPr>
    </w:p>
    <w:p w14:paraId="2DF89494">
      <w:pPr>
        <w:pStyle w:val="2"/>
        <w:spacing w:line="270" w:lineRule="auto"/>
      </w:pPr>
    </w:p>
    <w:p w14:paraId="7CE06002">
      <w:pPr>
        <w:pStyle w:val="2"/>
        <w:spacing w:line="270" w:lineRule="auto"/>
      </w:pPr>
    </w:p>
    <w:p w14:paraId="27914333">
      <w:pPr>
        <w:pStyle w:val="2"/>
        <w:spacing w:line="270" w:lineRule="auto"/>
      </w:pPr>
    </w:p>
    <w:p w14:paraId="7CC5586C">
      <w:pPr>
        <w:pStyle w:val="2"/>
        <w:spacing w:line="271" w:lineRule="auto"/>
      </w:pPr>
    </w:p>
    <w:p w14:paraId="115CF1C3">
      <w:pPr>
        <w:spacing w:before="101" w:line="223" w:lineRule="auto"/>
        <w:ind w:left="45"/>
        <w:outlineLvl w:val="1"/>
        <w:rPr>
          <w:rFonts w:ascii="黑体" w:hAnsi="黑体" w:eastAsia="黑体" w:cs="黑体"/>
          <w:sz w:val="31"/>
          <w:szCs w:val="31"/>
        </w:rPr>
      </w:pPr>
      <w:bookmarkStart w:id="28" w:name="bookmark27"/>
      <w:bookmarkEnd w:id="28"/>
      <w:r>
        <w:rPr>
          <w:rFonts w:ascii="黑体" w:hAnsi="黑体" w:eastAsia="黑体" w:cs="黑体"/>
          <w:b/>
          <w:bCs/>
          <w:spacing w:val="2"/>
          <w:sz w:val="31"/>
          <w:szCs w:val="31"/>
        </w:rPr>
        <w:t>附表九：</w:t>
      </w:r>
      <w:r>
        <w:rPr>
          <w:rFonts w:ascii="黑体" w:hAnsi="黑体" w:eastAsia="黑体" w:cs="黑体"/>
          <w:spacing w:val="-80"/>
          <w:sz w:val="31"/>
          <w:szCs w:val="31"/>
        </w:rPr>
        <w:t xml:space="preserve"> </w:t>
      </w:r>
      <w:r>
        <w:rPr>
          <w:rFonts w:ascii="黑体" w:hAnsi="黑体" w:eastAsia="黑体" w:cs="黑体"/>
          <w:b/>
          <w:bCs/>
          <w:spacing w:val="2"/>
          <w:sz w:val="31"/>
          <w:szCs w:val="31"/>
        </w:rPr>
        <w:t>中标结果通知书</w:t>
      </w:r>
    </w:p>
    <w:p w14:paraId="5EE08CD8">
      <w:pPr>
        <w:pStyle w:val="2"/>
        <w:spacing w:line="443" w:lineRule="auto"/>
      </w:pPr>
    </w:p>
    <w:p w14:paraId="410B1F87">
      <w:pPr>
        <w:spacing w:before="91" w:line="223" w:lineRule="auto"/>
        <w:ind w:left="3203"/>
        <w:rPr>
          <w:rFonts w:ascii="黑体" w:hAnsi="黑体" w:eastAsia="黑体" w:cs="黑体"/>
          <w:sz w:val="28"/>
          <w:szCs w:val="28"/>
        </w:rPr>
      </w:pPr>
      <w:r>
        <w:rPr>
          <w:rFonts w:ascii="黑体" w:hAnsi="黑体" w:eastAsia="黑体" w:cs="黑体"/>
          <w:spacing w:val="3"/>
          <w:sz w:val="28"/>
          <w:szCs w:val="28"/>
        </w:rPr>
        <w:t>中标结果通知书</w:t>
      </w:r>
    </w:p>
    <w:p w14:paraId="450625FB">
      <w:pPr>
        <w:pStyle w:val="2"/>
        <w:spacing w:line="466" w:lineRule="auto"/>
      </w:pPr>
    </w:p>
    <w:p w14:paraId="1A915F3D">
      <w:pPr>
        <w:tabs>
          <w:tab w:val="left" w:pos="2328"/>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（未中标人名称</w:t>
      </w:r>
      <w:r>
        <w:rPr>
          <w:rFonts w:ascii="宋体" w:hAnsi="宋体" w:eastAsia="宋体" w:cs="宋体"/>
          <w:spacing w:val="-6"/>
          <w:sz w:val="21"/>
          <w:szCs w:val="21"/>
        </w:rPr>
        <w:t>）：</w:t>
      </w:r>
    </w:p>
    <w:p w14:paraId="2F989308">
      <w:pPr>
        <w:spacing w:before="229" w:line="424" w:lineRule="auto"/>
        <w:ind w:left="25" w:right="37" w:firstLine="421"/>
        <w:jc w:val="both"/>
        <w:rPr>
          <w:rFonts w:ascii="宋体" w:hAnsi="宋体" w:eastAsia="宋体" w:cs="宋体"/>
          <w:sz w:val="21"/>
          <w:szCs w:val="21"/>
        </w:rPr>
      </w:pPr>
      <w:r>
        <w:rPr>
          <w:rFonts w:ascii="宋体" w:hAnsi="宋体" w:eastAsia="宋体" w:cs="宋体"/>
          <w:spacing w:val="-8"/>
          <w:sz w:val="21"/>
          <w:szCs w:val="21"/>
        </w:rPr>
        <w:t>我方已接受</w:t>
      </w:r>
      <w:r>
        <w:rPr>
          <w:rFonts w:ascii="宋体" w:hAnsi="宋体" w:eastAsia="宋体" w:cs="宋体"/>
          <w:sz w:val="21"/>
          <w:szCs w:val="21"/>
          <w:u w:val="single" w:color="auto"/>
        </w:rPr>
        <w:t xml:space="preserve">                   </w:t>
      </w:r>
      <w:r>
        <w:rPr>
          <w:rFonts w:ascii="宋体" w:hAnsi="宋体" w:eastAsia="宋体" w:cs="宋体"/>
          <w:spacing w:val="-8"/>
          <w:sz w:val="21"/>
          <w:szCs w:val="21"/>
        </w:rPr>
        <w:t>（中标人名称）于</w:t>
      </w:r>
      <w:r>
        <w:rPr>
          <w:rFonts w:ascii="宋体" w:hAnsi="宋体" w:eastAsia="宋体" w:cs="宋体"/>
          <w:spacing w:val="-10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
          <w:sz w:val="21"/>
          <w:szCs w:val="21"/>
        </w:rPr>
        <w:t>（投标日</w:t>
      </w:r>
      <w:r>
        <w:rPr>
          <w:rFonts w:ascii="宋体" w:hAnsi="宋体" w:eastAsia="宋体" w:cs="宋体"/>
          <w:spacing w:val="-16"/>
          <w:sz w:val="21"/>
          <w:szCs w:val="21"/>
        </w:rPr>
        <w:t>期）所递交的</w:t>
      </w:r>
      <w:r>
        <w:rPr>
          <w:rFonts w:ascii="宋体" w:hAnsi="宋体" w:eastAsia="宋体" w:cs="宋体"/>
          <w:spacing w:val="-105"/>
          <w:sz w:val="21"/>
          <w:szCs w:val="21"/>
        </w:rPr>
        <w:t xml:space="preserve"> </w:t>
      </w:r>
      <w:r>
        <w:rPr>
          <w:rFonts w:ascii="宋体" w:hAnsi="宋体" w:eastAsia="宋体" w:cs="宋体"/>
          <w:spacing w:val="-16"/>
          <w:sz w:val="21"/>
          <w:szCs w:val="21"/>
          <w:u w:val="single" w:color="auto"/>
        </w:rPr>
        <w:t xml:space="preserve">            </w:t>
      </w:r>
      <w:r>
        <w:rPr>
          <w:rFonts w:ascii="宋体" w:hAnsi="宋体" w:eastAsia="宋体" w:cs="宋体"/>
          <w:spacing w:val="-16"/>
          <w:sz w:val="21"/>
          <w:szCs w:val="21"/>
        </w:rPr>
        <w:t>（项目名称</w:t>
      </w:r>
      <w:r>
        <w:rPr>
          <w:rFonts w:ascii="宋体" w:hAnsi="宋体" w:eastAsia="宋体" w:cs="宋体"/>
          <w:spacing w:val="-40"/>
          <w:sz w:val="21"/>
          <w:szCs w:val="21"/>
        </w:rPr>
        <w:t>）</w:t>
      </w:r>
      <w:r>
        <w:rPr>
          <w:rFonts w:ascii="宋体" w:hAnsi="宋体" w:eastAsia="宋体" w:cs="宋体"/>
          <w:sz w:val="21"/>
          <w:szCs w:val="21"/>
          <w:u w:val="single" w:color="auto"/>
        </w:rPr>
        <w:t xml:space="preserve">       </w:t>
      </w:r>
      <w:r>
        <w:rPr>
          <w:rFonts w:ascii="宋体" w:hAnsi="宋体" w:eastAsia="宋体" w:cs="宋体"/>
          <w:spacing w:val="-40"/>
          <w:sz w:val="21"/>
          <w:szCs w:val="21"/>
        </w:rPr>
        <w:t>（</w:t>
      </w:r>
      <w:r>
        <w:rPr>
          <w:rFonts w:ascii="宋体" w:hAnsi="宋体" w:eastAsia="宋体" w:cs="宋体"/>
          <w:spacing w:val="-16"/>
          <w:sz w:val="21"/>
          <w:szCs w:val="21"/>
        </w:rPr>
        <w:t>标段名称）施工投标文件，确定</w:t>
      </w:r>
      <w:r>
        <w:rPr>
          <w:rFonts w:ascii="宋体" w:hAnsi="宋体" w:eastAsia="宋体" w:cs="宋体"/>
          <w:spacing w:val="-16"/>
          <w:sz w:val="21"/>
          <w:szCs w:val="21"/>
          <w:u w:val="single" w:color="auto"/>
        </w:rPr>
        <w:t xml:space="preserve">          </w:t>
      </w:r>
      <w:r>
        <w:rPr>
          <w:rFonts w:ascii="宋体" w:hAnsi="宋体" w:eastAsia="宋体" w:cs="宋体"/>
          <w:spacing w:val="-16"/>
          <w:sz w:val="21"/>
          <w:szCs w:val="21"/>
        </w:rPr>
        <w:t>（中</w:t>
      </w:r>
      <w:r>
        <w:rPr>
          <w:rFonts w:ascii="宋体" w:hAnsi="宋体" w:eastAsia="宋体" w:cs="宋体"/>
          <w:spacing w:val="-4"/>
          <w:sz w:val="21"/>
          <w:szCs w:val="21"/>
        </w:rPr>
        <w:t>标人名称）为中标人。</w:t>
      </w:r>
    </w:p>
    <w:p w14:paraId="2D665269">
      <w:pPr>
        <w:pStyle w:val="2"/>
        <w:spacing w:line="404" w:lineRule="auto"/>
      </w:pPr>
    </w:p>
    <w:p w14:paraId="07B0D9E6">
      <w:pPr>
        <w:spacing w:before="68"/>
        <w:ind w:left="445"/>
        <w:rPr>
          <w:rFonts w:ascii="Calibri" w:hAnsi="Calibri" w:eastAsia="Calibri" w:cs="Calibri"/>
          <w:sz w:val="21"/>
          <w:szCs w:val="21"/>
        </w:rPr>
      </w:pPr>
      <w:r>
        <w:rPr>
          <w:rFonts w:ascii="宋体" w:hAnsi="宋体" w:eastAsia="宋体" w:cs="宋体"/>
          <w:spacing w:val="-1"/>
          <w:sz w:val="21"/>
          <w:szCs w:val="21"/>
        </w:rPr>
        <w:t>感谢你单位对我方工作的大力支持</w:t>
      </w:r>
      <w:r>
        <w:rPr>
          <w:rFonts w:ascii="Calibri" w:hAnsi="Calibri" w:eastAsia="Calibri" w:cs="Calibri"/>
          <w:spacing w:val="-1"/>
          <w:sz w:val="21"/>
          <w:szCs w:val="21"/>
        </w:rPr>
        <w:t>!</w:t>
      </w:r>
    </w:p>
    <w:p w14:paraId="6523C822">
      <w:pPr>
        <w:pStyle w:val="2"/>
        <w:spacing w:line="256" w:lineRule="auto"/>
      </w:pPr>
    </w:p>
    <w:p w14:paraId="4FDAA11B">
      <w:pPr>
        <w:pStyle w:val="2"/>
        <w:spacing w:line="256" w:lineRule="auto"/>
      </w:pPr>
    </w:p>
    <w:p w14:paraId="37D84318">
      <w:pPr>
        <w:pStyle w:val="2"/>
        <w:spacing w:line="256" w:lineRule="auto"/>
      </w:pPr>
    </w:p>
    <w:p w14:paraId="52F42AFD">
      <w:pPr>
        <w:pStyle w:val="2"/>
        <w:spacing w:line="256" w:lineRule="auto"/>
      </w:pPr>
    </w:p>
    <w:p w14:paraId="78FBB0EB">
      <w:pPr>
        <w:pStyle w:val="2"/>
        <w:spacing w:line="256" w:lineRule="auto"/>
      </w:pPr>
    </w:p>
    <w:p w14:paraId="6EC67DE5">
      <w:pPr>
        <w:pStyle w:val="2"/>
        <w:spacing w:line="256" w:lineRule="auto"/>
      </w:pPr>
    </w:p>
    <w:p w14:paraId="12C41007">
      <w:pPr>
        <w:pStyle w:val="2"/>
        <w:spacing w:line="256" w:lineRule="auto"/>
      </w:pPr>
    </w:p>
    <w:p w14:paraId="28B0A919">
      <w:pPr>
        <w:pStyle w:val="2"/>
        <w:spacing w:line="256" w:lineRule="auto"/>
      </w:pPr>
    </w:p>
    <w:p w14:paraId="33BB346C">
      <w:pPr>
        <w:spacing w:before="69" w:line="219" w:lineRule="auto"/>
        <w:ind w:right="14"/>
        <w:jc w:val="right"/>
        <w:rPr>
          <w:rFonts w:ascii="宋体" w:hAnsi="宋体" w:eastAsia="宋体" w:cs="宋体"/>
          <w:sz w:val="21"/>
          <w:szCs w:val="21"/>
        </w:rPr>
      </w:pPr>
      <w:r>
        <w:rPr>
          <w:rFonts w:ascii="宋体" w:hAnsi="宋体" w:eastAsia="宋体" w:cs="宋体"/>
          <w:spacing w:val="-3"/>
          <w:sz w:val="21"/>
          <w:szCs w:val="21"/>
        </w:rPr>
        <w:t>招标人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68503FE3">
      <w:pPr>
        <w:tabs>
          <w:tab w:val="left" w:pos="6234"/>
        </w:tabs>
        <w:spacing w:before="232" w:line="424" w:lineRule="auto"/>
        <w:ind w:left="5497" w:hanging="832"/>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58909AD">
      <w:pPr>
        <w:spacing w:line="424" w:lineRule="auto"/>
        <w:rPr>
          <w:rFonts w:ascii="宋体" w:hAnsi="宋体" w:eastAsia="宋体" w:cs="宋体"/>
          <w:sz w:val="21"/>
          <w:szCs w:val="21"/>
        </w:rPr>
        <w:sectPr>
          <w:footerReference r:id="rId61" w:type="default"/>
          <w:pgSz w:w="11910" w:h="16845"/>
          <w:pgMar w:top="400" w:right="1786" w:bottom="1110" w:left="1786" w:header="0" w:footer="882" w:gutter="0"/>
          <w:cols w:space="720" w:num="1"/>
        </w:sectPr>
      </w:pPr>
    </w:p>
    <w:p w14:paraId="61F49273">
      <w:pPr>
        <w:pStyle w:val="2"/>
        <w:spacing w:line="270" w:lineRule="auto"/>
      </w:pPr>
    </w:p>
    <w:p w14:paraId="52645B4B">
      <w:pPr>
        <w:pStyle w:val="2"/>
        <w:spacing w:line="270" w:lineRule="auto"/>
      </w:pPr>
    </w:p>
    <w:p w14:paraId="06B0A67C">
      <w:pPr>
        <w:pStyle w:val="2"/>
        <w:spacing w:line="270" w:lineRule="auto"/>
      </w:pPr>
    </w:p>
    <w:p w14:paraId="5733E57E">
      <w:pPr>
        <w:pStyle w:val="2"/>
        <w:spacing w:line="271" w:lineRule="auto"/>
      </w:pPr>
    </w:p>
    <w:p w14:paraId="6E43AF2C">
      <w:pPr>
        <w:pStyle w:val="2"/>
        <w:spacing w:line="271" w:lineRule="auto"/>
      </w:pPr>
    </w:p>
    <w:p w14:paraId="76191962">
      <w:pPr>
        <w:spacing w:before="100" w:line="222" w:lineRule="auto"/>
        <w:ind w:left="45"/>
        <w:outlineLvl w:val="1"/>
        <w:rPr>
          <w:rFonts w:ascii="黑体" w:hAnsi="黑体" w:eastAsia="黑体" w:cs="黑体"/>
          <w:sz w:val="31"/>
          <w:szCs w:val="31"/>
        </w:rPr>
      </w:pPr>
      <w:bookmarkStart w:id="29" w:name="bookmark28"/>
      <w:bookmarkEnd w:id="29"/>
      <w:r>
        <w:rPr>
          <w:rFonts w:ascii="黑体" w:hAnsi="黑体" w:eastAsia="黑体" w:cs="黑体"/>
          <w:b/>
          <w:bCs/>
          <w:spacing w:val="10"/>
          <w:sz w:val="31"/>
          <w:szCs w:val="31"/>
        </w:rPr>
        <w:t>附表十：您议函</w:t>
      </w:r>
    </w:p>
    <w:p w14:paraId="61B9CF1F">
      <w:pPr>
        <w:pStyle w:val="2"/>
        <w:spacing w:line="253" w:lineRule="auto"/>
      </w:pPr>
    </w:p>
    <w:p w14:paraId="036165DC">
      <w:pPr>
        <w:pStyle w:val="2"/>
        <w:spacing w:line="253" w:lineRule="auto"/>
      </w:pPr>
    </w:p>
    <w:p w14:paraId="4CBE00FE">
      <w:pPr>
        <w:pStyle w:val="2"/>
        <w:spacing w:line="253" w:lineRule="auto"/>
      </w:pPr>
    </w:p>
    <w:p w14:paraId="096078C8">
      <w:pPr>
        <w:pStyle w:val="2"/>
        <w:spacing w:line="253" w:lineRule="auto"/>
      </w:pPr>
    </w:p>
    <w:p w14:paraId="6E1859A6">
      <w:pPr>
        <w:spacing w:before="91" w:line="222" w:lineRule="auto"/>
        <w:ind w:left="3742"/>
        <w:rPr>
          <w:rFonts w:ascii="黑体" w:hAnsi="黑体" w:eastAsia="黑体" w:cs="黑体"/>
          <w:sz w:val="28"/>
          <w:szCs w:val="28"/>
        </w:rPr>
      </w:pPr>
      <w:r>
        <w:rPr>
          <w:rFonts w:ascii="黑体" w:hAnsi="黑体" w:eastAsia="黑体" w:cs="黑体"/>
          <w:spacing w:val="9"/>
          <w:sz w:val="28"/>
          <w:szCs w:val="28"/>
        </w:rPr>
        <w:t>您议函</w:t>
      </w:r>
    </w:p>
    <w:p w14:paraId="1FFB73B1">
      <w:pPr>
        <w:pStyle w:val="2"/>
        <w:spacing w:line="392" w:lineRule="auto"/>
      </w:pPr>
    </w:p>
    <w:p w14:paraId="5FE63333">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3B1BCD0D">
      <w:pPr>
        <w:tabs>
          <w:tab w:val="left" w:pos="750"/>
        </w:tabs>
        <w:spacing w:before="215"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7"/>
          <w:sz w:val="21"/>
          <w:szCs w:val="21"/>
        </w:rPr>
        <w:t xml:space="preserve"> </w:t>
      </w:r>
      <w:r>
        <w:rPr>
          <w:rFonts w:ascii="宋体" w:hAnsi="宋体" w:eastAsia="宋体" w:cs="宋体"/>
          <w:spacing w:val="-6"/>
          <w:sz w:val="21"/>
          <w:szCs w:val="21"/>
        </w:rPr>
        <w:t>(招标人名称)：</w:t>
      </w:r>
    </w:p>
    <w:p w14:paraId="6109BD1B">
      <w:pPr>
        <w:spacing w:before="214" w:line="219" w:lineRule="auto"/>
        <w:ind w:left="446"/>
        <w:rPr>
          <w:rFonts w:ascii="宋体" w:hAnsi="宋体" w:eastAsia="宋体" w:cs="宋体"/>
          <w:sz w:val="21"/>
          <w:szCs w:val="21"/>
        </w:rPr>
      </w:pPr>
      <w:r>
        <w:rPr>
          <w:rFonts w:ascii="宋体" w:hAnsi="宋体" w:eastAsia="宋体" w:cs="宋体"/>
          <w:sz w:val="21"/>
          <w:szCs w:val="21"/>
        </w:rPr>
        <w:t>我方已研究（看到）你方发出的</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（项目名称）</w:t>
      </w:r>
      <w:r>
        <w:rPr>
          <w:rFonts w:ascii="宋体" w:hAnsi="宋体" w:eastAsia="宋体" w:cs="宋体"/>
          <w:sz w:val="21"/>
          <w:szCs w:val="21"/>
          <w:u w:val="single" w:color="auto"/>
        </w:rPr>
        <w:t xml:space="preserve">      </w:t>
      </w:r>
      <w:r>
        <w:rPr>
          <w:rFonts w:ascii="宋体" w:hAnsi="宋体" w:eastAsia="宋体" w:cs="宋体"/>
          <w:spacing w:val="-1"/>
          <w:sz w:val="21"/>
          <w:szCs w:val="21"/>
        </w:rPr>
        <w:t>（标段名称）</w:t>
      </w:r>
    </w:p>
    <w:p w14:paraId="1D20B965">
      <w:pPr>
        <w:spacing w:before="216" w:line="220" w:lineRule="auto"/>
        <w:ind w:left="23"/>
        <w:rPr>
          <w:rFonts w:ascii="宋体" w:hAnsi="宋体" w:eastAsia="宋体" w:cs="宋体"/>
          <w:sz w:val="21"/>
          <w:szCs w:val="21"/>
        </w:rPr>
      </w:pPr>
      <w:r>
        <w:rPr>
          <w:rFonts w:ascii="宋体" w:hAnsi="宋体" w:eastAsia="宋体" w:cs="宋体"/>
          <w:spacing w:val="-4"/>
          <w:sz w:val="21"/>
          <w:szCs w:val="21"/>
        </w:rPr>
        <w:t>施工招标文件（或评标结果公示</w:t>
      </w:r>
      <w:r>
        <w:rPr>
          <w:rFonts w:ascii="宋体" w:hAnsi="宋体" w:eastAsia="宋体" w:cs="宋体"/>
          <w:spacing w:val="-5"/>
          <w:sz w:val="21"/>
          <w:szCs w:val="21"/>
        </w:rPr>
        <w:t>），</w:t>
      </w:r>
      <w:r>
        <w:rPr>
          <w:rFonts w:ascii="宋体" w:hAnsi="宋体" w:eastAsia="宋体" w:cs="宋体"/>
          <w:spacing w:val="-4"/>
          <w:sz w:val="21"/>
          <w:szCs w:val="21"/>
        </w:rPr>
        <w:t>现对下列问</w:t>
      </w:r>
      <w:r>
        <w:rPr>
          <w:rFonts w:ascii="宋体" w:hAnsi="宋体" w:eastAsia="宋体" w:cs="宋体"/>
          <w:spacing w:val="-5"/>
          <w:sz w:val="21"/>
          <w:szCs w:val="21"/>
        </w:rPr>
        <w:t>题提出异议，请予以解释：</w:t>
      </w:r>
    </w:p>
    <w:p w14:paraId="1EC39AAF">
      <w:pPr>
        <w:spacing w:before="216" w:line="239" w:lineRule="auto"/>
        <w:ind w:left="460"/>
        <w:rPr>
          <w:rFonts w:ascii="宋体" w:hAnsi="宋体" w:eastAsia="宋体" w:cs="宋体"/>
          <w:sz w:val="21"/>
          <w:szCs w:val="21"/>
        </w:rPr>
      </w:pPr>
      <w:r>
        <w:rPr>
          <w:rFonts w:ascii="宋体" w:hAnsi="宋体" w:eastAsia="宋体" w:cs="宋体"/>
          <w:spacing w:val="-6"/>
          <w:sz w:val="21"/>
          <w:szCs w:val="21"/>
        </w:rPr>
        <w:t>l.……</w:t>
      </w:r>
    </w:p>
    <w:p w14:paraId="359D83B2">
      <w:pPr>
        <w:spacing w:before="209" w:line="239" w:lineRule="auto"/>
        <w:ind w:left="447"/>
        <w:rPr>
          <w:rFonts w:ascii="宋体" w:hAnsi="宋体" w:eastAsia="宋体" w:cs="宋体"/>
          <w:sz w:val="21"/>
          <w:szCs w:val="21"/>
        </w:rPr>
      </w:pPr>
      <w:r>
        <w:rPr>
          <w:rFonts w:ascii="宋体" w:hAnsi="宋体" w:eastAsia="宋体" w:cs="宋体"/>
          <w:spacing w:val="-3"/>
          <w:sz w:val="21"/>
          <w:szCs w:val="21"/>
        </w:rPr>
        <w:t>2.……</w:t>
      </w:r>
    </w:p>
    <w:p w14:paraId="16D64E33">
      <w:pPr>
        <w:pStyle w:val="2"/>
        <w:spacing w:line="293" w:lineRule="auto"/>
      </w:pPr>
    </w:p>
    <w:p w14:paraId="6A550409">
      <w:pPr>
        <w:pStyle w:val="2"/>
        <w:spacing w:line="294" w:lineRule="auto"/>
      </w:pPr>
    </w:p>
    <w:p w14:paraId="168E0DB5">
      <w:pPr>
        <w:spacing w:before="68" w:line="219" w:lineRule="auto"/>
        <w:ind w:left="4141"/>
        <w:rPr>
          <w:rFonts w:ascii="宋体" w:hAnsi="宋体" w:eastAsia="宋体" w:cs="宋体"/>
          <w:sz w:val="21"/>
          <w:szCs w:val="21"/>
        </w:rPr>
      </w:pPr>
      <w:r>
        <w:rPr>
          <w:rFonts w:ascii="宋体" w:hAnsi="宋体" w:eastAsia="宋体" w:cs="宋体"/>
          <w:spacing w:val="-2"/>
          <w:sz w:val="21"/>
          <w:szCs w:val="21"/>
        </w:rPr>
        <w:t>投标人或利害关系人：</w:t>
      </w:r>
      <w:r>
        <w:rPr>
          <w:rFonts w:ascii="宋体" w:hAnsi="宋体" w:eastAsia="宋体" w:cs="宋体"/>
          <w:spacing w:val="-2"/>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(盖单位章)</w:t>
      </w:r>
    </w:p>
    <w:p w14:paraId="1BA9A2BF">
      <w:pPr>
        <w:tabs>
          <w:tab w:val="left" w:pos="6654"/>
        </w:tabs>
        <w:spacing w:before="216" w:line="411" w:lineRule="auto"/>
        <w:ind w:left="6127" w:right="78" w:hanging="1147"/>
        <w:rPr>
          <w:rFonts w:ascii="宋体" w:hAnsi="宋体" w:eastAsia="宋体" w:cs="宋体"/>
          <w:sz w:val="21"/>
          <w:szCs w:val="21"/>
        </w:rPr>
      </w:pPr>
      <w:r>
        <w:rPr>
          <w:rFonts w:ascii="宋体" w:hAnsi="宋体" w:eastAsia="宋体" w:cs="宋体"/>
          <w:spacing w:val="-6"/>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51"/>
          <w:sz w:val="21"/>
          <w:szCs w:val="21"/>
        </w:rPr>
        <w:t xml:space="preserve"> </w:t>
      </w:r>
      <w:r>
        <w:rPr>
          <w:rFonts w:ascii="宋体" w:hAnsi="宋体" w:eastAsia="宋体" w:cs="宋体"/>
          <w:spacing w:val="-6"/>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3D3CE54">
      <w:pPr>
        <w:pStyle w:val="2"/>
        <w:spacing w:line="244" w:lineRule="auto"/>
      </w:pPr>
    </w:p>
    <w:p w14:paraId="4675FF85">
      <w:pPr>
        <w:pStyle w:val="2"/>
        <w:spacing w:line="244" w:lineRule="auto"/>
      </w:pPr>
    </w:p>
    <w:p w14:paraId="7467E301">
      <w:pPr>
        <w:pStyle w:val="2"/>
        <w:spacing w:line="244" w:lineRule="auto"/>
      </w:pPr>
    </w:p>
    <w:p w14:paraId="68C9AE79">
      <w:pPr>
        <w:pStyle w:val="2"/>
        <w:spacing w:line="244" w:lineRule="auto"/>
      </w:pPr>
    </w:p>
    <w:p w14:paraId="73D3F88A">
      <w:pPr>
        <w:pStyle w:val="2"/>
        <w:spacing w:line="245" w:lineRule="auto"/>
      </w:pPr>
    </w:p>
    <w:p w14:paraId="742E101D">
      <w:pPr>
        <w:pStyle w:val="2"/>
        <w:spacing w:line="245" w:lineRule="auto"/>
      </w:pPr>
    </w:p>
    <w:p w14:paraId="598F901C">
      <w:pPr>
        <w:pStyle w:val="2"/>
        <w:spacing w:line="245" w:lineRule="auto"/>
      </w:pPr>
    </w:p>
    <w:p w14:paraId="07DC38B2">
      <w:pPr>
        <w:pStyle w:val="2"/>
        <w:spacing w:line="245" w:lineRule="auto"/>
      </w:pPr>
    </w:p>
    <w:p w14:paraId="062D9462">
      <w:pPr>
        <w:spacing w:before="69" w:line="279" w:lineRule="auto"/>
        <w:ind w:left="24" w:firstLine="423"/>
        <w:rPr>
          <w:rFonts w:ascii="宋体" w:hAnsi="宋体" w:eastAsia="宋体" w:cs="宋体"/>
          <w:sz w:val="21"/>
          <w:szCs w:val="21"/>
        </w:rPr>
      </w:pPr>
      <w:r>
        <w:rPr>
          <w:rFonts w:ascii="宋体" w:hAnsi="宋体" w:eastAsia="宋体" w:cs="宋体"/>
          <w:spacing w:val="-6"/>
          <w:sz w:val="21"/>
          <w:szCs w:val="21"/>
        </w:rPr>
        <w:t>备注：投标人或利害关系人对招标文件的内容或对评标结果有异议，要求招标人解释的，适用本格式。</w:t>
      </w:r>
    </w:p>
    <w:p w14:paraId="6C5D79A0">
      <w:pPr>
        <w:spacing w:line="279" w:lineRule="auto"/>
        <w:rPr>
          <w:rFonts w:ascii="宋体" w:hAnsi="宋体" w:eastAsia="宋体" w:cs="宋体"/>
          <w:sz w:val="21"/>
          <w:szCs w:val="21"/>
        </w:rPr>
        <w:sectPr>
          <w:footerReference r:id="rId62" w:type="default"/>
          <w:pgSz w:w="11910" w:h="16845"/>
          <w:pgMar w:top="400" w:right="1708" w:bottom="1110" w:left="1786" w:header="0" w:footer="882" w:gutter="0"/>
          <w:cols w:space="720" w:num="1"/>
        </w:sectPr>
      </w:pPr>
    </w:p>
    <w:p w14:paraId="74FBE555">
      <w:pPr>
        <w:pStyle w:val="2"/>
        <w:spacing w:line="270" w:lineRule="auto"/>
      </w:pPr>
    </w:p>
    <w:p w14:paraId="184E65F9">
      <w:pPr>
        <w:pStyle w:val="2"/>
        <w:spacing w:line="270" w:lineRule="auto"/>
      </w:pPr>
    </w:p>
    <w:p w14:paraId="1DF074A6">
      <w:pPr>
        <w:pStyle w:val="2"/>
        <w:spacing w:line="270" w:lineRule="auto"/>
      </w:pPr>
    </w:p>
    <w:p w14:paraId="5E24B23B">
      <w:pPr>
        <w:pStyle w:val="2"/>
        <w:spacing w:line="271" w:lineRule="auto"/>
      </w:pPr>
    </w:p>
    <w:p w14:paraId="0A71A57B">
      <w:pPr>
        <w:pStyle w:val="2"/>
        <w:spacing w:line="271" w:lineRule="auto"/>
      </w:pPr>
    </w:p>
    <w:p w14:paraId="2114DC99">
      <w:pPr>
        <w:spacing w:before="100" w:line="222" w:lineRule="auto"/>
        <w:ind w:left="45"/>
        <w:outlineLvl w:val="1"/>
        <w:rPr>
          <w:rFonts w:ascii="黑体" w:hAnsi="黑体" w:eastAsia="黑体" w:cs="黑体"/>
          <w:sz w:val="31"/>
          <w:szCs w:val="31"/>
        </w:rPr>
      </w:pPr>
      <w:bookmarkStart w:id="30" w:name="bookmark29"/>
      <w:bookmarkEnd w:id="30"/>
      <w:r>
        <w:rPr>
          <w:rFonts w:ascii="黑体" w:hAnsi="黑体" w:eastAsia="黑体" w:cs="黑体"/>
          <w:b/>
          <w:bCs/>
          <w:spacing w:val="7"/>
          <w:sz w:val="31"/>
          <w:szCs w:val="31"/>
        </w:rPr>
        <w:t>附表十一：异议答复函</w:t>
      </w:r>
    </w:p>
    <w:p w14:paraId="053A3EE8">
      <w:pPr>
        <w:pStyle w:val="2"/>
        <w:spacing w:line="253" w:lineRule="auto"/>
      </w:pPr>
    </w:p>
    <w:p w14:paraId="2D015133">
      <w:pPr>
        <w:pStyle w:val="2"/>
        <w:spacing w:line="253" w:lineRule="auto"/>
      </w:pPr>
    </w:p>
    <w:p w14:paraId="5DD72F91">
      <w:pPr>
        <w:pStyle w:val="2"/>
        <w:spacing w:line="253" w:lineRule="auto"/>
      </w:pPr>
    </w:p>
    <w:p w14:paraId="1E27E521">
      <w:pPr>
        <w:pStyle w:val="2"/>
        <w:spacing w:line="253" w:lineRule="auto"/>
      </w:pPr>
    </w:p>
    <w:p w14:paraId="220B4D97">
      <w:pPr>
        <w:spacing w:before="91" w:line="222" w:lineRule="auto"/>
        <w:ind w:left="3471"/>
        <w:rPr>
          <w:rFonts w:ascii="黑体" w:hAnsi="黑体" w:eastAsia="黑体" w:cs="黑体"/>
          <w:sz w:val="28"/>
          <w:szCs w:val="28"/>
        </w:rPr>
      </w:pPr>
      <w:r>
        <w:rPr>
          <w:rFonts w:ascii="黑体" w:hAnsi="黑体" w:eastAsia="黑体" w:cs="黑体"/>
          <w:spacing w:val="8"/>
          <w:sz w:val="28"/>
          <w:szCs w:val="28"/>
        </w:rPr>
        <w:t>异议答复函</w:t>
      </w:r>
    </w:p>
    <w:p w14:paraId="714B11EE">
      <w:pPr>
        <w:pStyle w:val="2"/>
        <w:spacing w:line="392" w:lineRule="auto"/>
      </w:pPr>
    </w:p>
    <w:p w14:paraId="74A72476">
      <w:pPr>
        <w:spacing w:before="68"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C6EF9BC">
      <w:pPr>
        <w:tabs>
          <w:tab w:val="left" w:pos="855"/>
        </w:tabs>
        <w:spacing w:before="215"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46"/>
          <w:sz w:val="21"/>
          <w:szCs w:val="21"/>
        </w:rPr>
        <w:t xml:space="preserve"> </w:t>
      </w:r>
      <w:r>
        <w:rPr>
          <w:rFonts w:ascii="宋体" w:hAnsi="宋体" w:eastAsia="宋体" w:cs="宋体"/>
          <w:spacing w:val="-4"/>
          <w:sz w:val="21"/>
          <w:szCs w:val="21"/>
        </w:rPr>
        <w:t>(投标人或利害关系人名称)：</w:t>
      </w:r>
    </w:p>
    <w:p w14:paraId="547D0879">
      <w:pPr>
        <w:spacing w:before="125" w:line="269" w:lineRule="auto"/>
        <w:ind w:left="25" w:right="8" w:firstLine="420"/>
        <w:rPr>
          <w:rFonts w:ascii="宋体" w:hAnsi="宋体" w:eastAsia="宋体" w:cs="宋体"/>
          <w:sz w:val="21"/>
          <w:szCs w:val="21"/>
        </w:rPr>
      </w:pPr>
      <w:r>
        <w:rPr>
          <w:rFonts w:ascii="宋体" w:hAnsi="宋体" w:eastAsia="宋体" w:cs="宋体"/>
          <w:sz w:val="21"/>
          <w:szCs w:val="21"/>
        </w:rPr>
        <w:t>你方提出的有关</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1"/>
          <w:sz w:val="21"/>
          <w:szCs w:val="21"/>
          <w:u w:val="single" w:color="auto"/>
        </w:rPr>
        <w:t xml:space="preserve">        </w:t>
      </w:r>
      <w:r>
        <w:rPr>
          <w:rFonts w:ascii="宋体" w:hAnsi="宋体" w:eastAsia="宋体" w:cs="宋体"/>
          <w:spacing w:val="-1"/>
          <w:sz w:val="21"/>
          <w:szCs w:val="21"/>
        </w:rPr>
        <w:t>（标段名称）施工招标文件（或评标结果公</w:t>
      </w:r>
      <w:r>
        <w:rPr>
          <w:rFonts w:ascii="宋体" w:hAnsi="宋体" w:eastAsia="宋体" w:cs="宋体"/>
          <w:spacing w:val="-3"/>
          <w:sz w:val="21"/>
          <w:szCs w:val="21"/>
        </w:rPr>
        <w:t>示）的异议已收悉，现答复如下：</w:t>
      </w:r>
    </w:p>
    <w:p w14:paraId="79162EA6">
      <w:pPr>
        <w:spacing w:before="109" w:line="239" w:lineRule="auto"/>
        <w:ind w:left="460"/>
        <w:rPr>
          <w:rFonts w:ascii="宋体" w:hAnsi="宋体" w:eastAsia="宋体" w:cs="宋体"/>
          <w:sz w:val="21"/>
          <w:szCs w:val="21"/>
        </w:rPr>
      </w:pPr>
      <w:r>
        <w:rPr>
          <w:rFonts w:ascii="宋体" w:hAnsi="宋体" w:eastAsia="宋体" w:cs="宋体"/>
          <w:spacing w:val="-6"/>
          <w:sz w:val="21"/>
          <w:szCs w:val="21"/>
        </w:rPr>
        <w:t>l.……</w:t>
      </w:r>
    </w:p>
    <w:p w14:paraId="3C7A496C">
      <w:pPr>
        <w:spacing w:before="193" w:line="239" w:lineRule="auto"/>
        <w:ind w:left="447"/>
        <w:rPr>
          <w:rFonts w:ascii="宋体" w:hAnsi="宋体" w:eastAsia="宋体" w:cs="宋体"/>
          <w:sz w:val="21"/>
          <w:szCs w:val="21"/>
        </w:rPr>
      </w:pPr>
      <w:r>
        <w:rPr>
          <w:rFonts w:ascii="宋体" w:hAnsi="宋体" w:eastAsia="宋体" w:cs="宋体"/>
          <w:spacing w:val="-3"/>
          <w:sz w:val="21"/>
          <w:szCs w:val="21"/>
        </w:rPr>
        <w:t>2.……</w:t>
      </w:r>
    </w:p>
    <w:p w14:paraId="3265E9A1">
      <w:pPr>
        <w:pStyle w:val="2"/>
        <w:spacing w:line="254" w:lineRule="auto"/>
      </w:pPr>
    </w:p>
    <w:p w14:paraId="1F776746">
      <w:pPr>
        <w:pStyle w:val="2"/>
        <w:spacing w:line="254" w:lineRule="auto"/>
      </w:pPr>
    </w:p>
    <w:p w14:paraId="56860AE4">
      <w:pPr>
        <w:pStyle w:val="2"/>
        <w:spacing w:line="255" w:lineRule="auto"/>
      </w:pPr>
    </w:p>
    <w:p w14:paraId="2D401A1E">
      <w:pPr>
        <w:pStyle w:val="2"/>
        <w:spacing w:line="255" w:lineRule="auto"/>
      </w:pPr>
    </w:p>
    <w:p w14:paraId="7710DD7D">
      <w:pPr>
        <w:pStyle w:val="2"/>
        <w:spacing w:line="255" w:lineRule="auto"/>
      </w:pPr>
    </w:p>
    <w:p w14:paraId="0D03D4E2">
      <w:pPr>
        <w:pStyle w:val="2"/>
        <w:spacing w:line="255" w:lineRule="auto"/>
      </w:pPr>
    </w:p>
    <w:p w14:paraId="643FA53F">
      <w:pPr>
        <w:tabs>
          <w:tab w:val="left" w:pos="6654"/>
        </w:tabs>
        <w:spacing w:before="68" w:line="411" w:lineRule="auto"/>
        <w:ind w:left="5707" w:hanging="1147"/>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2"/>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31A665D5">
      <w:pPr>
        <w:spacing w:line="411" w:lineRule="auto"/>
        <w:rPr>
          <w:rFonts w:ascii="宋体" w:hAnsi="宋体" w:eastAsia="宋体" w:cs="宋体"/>
          <w:sz w:val="21"/>
          <w:szCs w:val="21"/>
        </w:rPr>
        <w:sectPr>
          <w:footerReference r:id="rId63" w:type="default"/>
          <w:pgSz w:w="11910" w:h="16845"/>
          <w:pgMar w:top="400" w:right="1786" w:bottom="1110" w:left="1786" w:header="0" w:footer="883" w:gutter="0"/>
          <w:cols w:space="720" w:num="1"/>
        </w:sectPr>
      </w:pPr>
    </w:p>
    <w:p w14:paraId="5CFBCC42">
      <w:pPr>
        <w:pStyle w:val="2"/>
        <w:spacing w:line="270" w:lineRule="auto"/>
      </w:pPr>
    </w:p>
    <w:p w14:paraId="69C116E5">
      <w:pPr>
        <w:pStyle w:val="2"/>
        <w:spacing w:line="270" w:lineRule="auto"/>
      </w:pPr>
    </w:p>
    <w:p w14:paraId="4737F63E">
      <w:pPr>
        <w:pStyle w:val="2"/>
        <w:spacing w:line="270" w:lineRule="auto"/>
      </w:pPr>
    </w:p>
    <w:p w14:paraId="1CC7A634">
      <w:pPr>
        <w:pStyle w:val="2"/>
        <w:spacing w:line="271" w:lineRule="auto"/>
      </w:pPr>
    </w:p>
    <w:p w14:paraId="7DFEEC2B">
      <w:pPr>
        <w:pStyle w:val="2"/>
        <w:spacing w:line="271" w:lineRule="auto"/>
      </w:pPr>
    </w:p>
    <w:p w14:paraId="6B3E3D3D">
      <w:pPr>
        <w:spacing w:before="100" w:line="222" w:lineRule="auto"/>
        <w:ind w:left="45"/>
        <w:outlineLvl w:val="1"/>
        <w:rPr>
          <w:rFonts w:ascii="黑体" w:hAnsi="黑体" w:eastAsia="黑体" w:cs="黑体"/>
          <w:sz w:val="31"/>
          <w:szCs w:val="31"/>
        </w:rPr>
      </w:pPr>
      <w:bookmarkStart w:id="31" w:name="bookmark30"/>
      <w:bookmarkEnd w:id="31"/>
      <w:r>
        <w:rPr>
          <w:rFonts w:ascii="黑体" w:hAnsi="黑体" w:eastAsia="黑体" w:cs="黑体"/>
          <w:b/>
          <w:bCs/>
          <w:spacing w:val="9"/>
          <w:sz w:val="31"/>
          <w:szCs w:val="31"/>
        </w:rPr>
        <w:t>附表十二：投标确认书</w:t>
      </w:r>
    </w:p>
    <w:p w14:paraId="44D03FC0">
      <w:pPr>
        <w:pStyle w:val="2"/>
        <w:spacing w:line="253" w:lineRule="auto"/>
      </w:pPr>
    </w:p>
    <w:p w14:paraId="1136C6F2">
      <w:pPr>
        <w:pStyle w:val="2"/>
        <w:spacing w:line="253" w:lineRule="auto"/>
      </w:pPr>
    </w:p>
    <w:p w14:paraId="3EAFF0F5">
      <w:pPr>
        <w:pStyle w:val="2"/>
        <w:spacing w:line="253" w:lineRule="auto"/>
      </w:pPr>
    </w:p>
    <w:p w14:paraId="51D35095">
      <w:pPr>
        <w:pStyle w:val="2"/>
        <w:spacing w:line="253" w:lineRule="auto"/>
      </w:pPr>
    </w:p>
    <w:p w14:paraId="4D3231B4">
      <w:pPr>
        <w:spacing w:before="91" w:line="222" w:lineRule="auto"/>
        <w:ind w:left="3463"/>
        <w:rPr>
          <w:rFonts w:ascii="黑体" w:hAnsi="黑体" w:eastAsia="黑体" w:cs="黑体"/>
          <w:sz w:val="28"/>
          <w:szCs w:val="28"/>
        </w:rPr>
      </w:pPr>
      <w:r>
        <w:rPr>
          <w:rFonts w:ascii="黑体" w:hAnsi="黑体" w:eastAsia="黑体" w:cs="黑体"/>
          <w:spacing w:val="9"/>
          <w:sz w:val="28"/>
          <w:szCs w:val="28"/>
        </w:rPr>
        <w:t>投标确认书</w:t>
      </w:r>
    </w:p>
    <w:p w14:paraId="4F4B22BC">
      <w:pPr>
        <w:pStyle w:val="2"/>
        <w:spacing w:line="302" w:lineRule="auto"/>
      </w:pPr>
    </w:p>
    <w:p w14:paraId="018024F9">
      <w:pPr>
        <w:spacing w:before="69" w:line="220" w:lineRule="auto"/>
        <w:ind w:left="549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CA6A4C4">
      <w:pPr>
        <w:tabs>
          <w:tab w:val="left" w:pos="1171"/>
        </w:tabs>
        <w:spacing w:before="276" w:line="227" w:lineRule="auto"/>
        <w:ind w:left="15"/>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27"/>
          <w:sz w:val="21"/>
          <w:szCs w:val="21"/>
        </w:rPr>
        <w:t xml:space="preserve"> </w:t>
      </w:r>
      <w:r>
        <w:rPr>
          <w:rFonts w:ascii="Calibri" w:hAnsi="Calibri" w:eastAsia="Calibri" w:cs="Calibri"/>
          <w:spacing w:val="-3"/>
          <w:sz w:val="21"/>
          <w:szCs w:val="21"/>
        </w:rPr>
        <w:t>(</w:t>
      </w:r>
      <w:r>
        <w:rPr>
          <w:rFonts w:ascii="宋体" w:hAnsi="宋体" w:eastAsia="宋体" w:cs="宋体"/>
          <w:spacing w:val="-3"/>
          <w:sz w:val="21"/>
          <w:szCs w:val="21"/>
        </w:rPr>
        <w:t>招标人名称</w:t>
      </w:r>
      <w:r>
        <w:rPr>
          <w:rFonts w:ascii="Calibri" w:hAnsi="Calibri" w:eastAsia="Calibri" w:cs="Calibri"/>
          <w:spacing w:val="-3"/>
          <w:sz w:val="21"/>
          <w:szCs w:val="21"/>
        </w:rPr>
        <w:t>)</w:t>
      </w:r>
      <w:r>
        <w:rPr>
          <w:rFonts w:ascii="宋体" w:hAnsi="宋体" w:eastAsia="宋体" w:cs="宋体"/>
          <w:spacing w:val="-3"/>
          <w:sz w:val="21"/>
          <w:szCs w:val="21"/>
        </w:rPr>
        <w:t>：</w:t>
      </w:r>
    </w:p>
    <w:p w14:paraId="39D17E35">
      <w:pPr>
        <w:pStyle w:val="2"/>
        <w:spacing w:line="241" w:lineRule="auto"/>
      </w:pPr>
    </w:p>
    <w:p w14:paraId="264640FA">
      <w:pPr>
        <w:spacing w:before="68" w:line="483" w:lineRule="auto"/>
        <w:ind w:left="25" w:right="19" w:firstLine="420"/>
        <w:rPr>
          <w:rFonts w:ascii="宋体" w:hAnsi="宋体" w:eastAsia="宋体" w:cs="宋体"/>
          <w:sz w:val="21"/>
          <w:szCs w:val="21"/>
        </w:rPr>
      </w:pPr>
      <w:r>
        <w:rPr>
          <w:rFonts w:ascii="宋体" w:hAnsi="宋体" w:eastAsia="宋体" w:cs="宋体"/>
          <w:spacing w:val="-2"/>
          <w:sz w:val="21"/>
          <w:szCs w:val="21"/>
        </w:rPr>
        <w:t>我方已收到你方发送的</w:t>
      </w:r>
      <w:r>
        <w:rPr>
          <w:rFonts w:ascii="宋体" w:hAnsi="宋体" w:eastAsia="宋体" w:cs="宋体"/>
          <w:spacing w:val="-2"/>
          <w:sz w:val="21"/>
          <w:szCs w:val="21"/>
          <w:u w:val="single" w:color="auto"/>
        </w:rPr>
        <w:t xml:space="preserve">  资格预审通过通知书/投标邀请书 </w:t>
      </w:r>
      <w:r>
        <w:rPr>
          <w:rFonts w:ascii="宋体" w:hAnsi="宋体" w:eastAsia="宋体" w:cs="宋体"/>
          <w:spacing w:val="-2"/>
          <w:sz w:val="21"/>
          <w:szCs w:val="21"/>
        </w:rPr>
        <w:t>，我方将</w:t>
      </w:r>
      <w:r>
        <w:rPr>
          <w:rFonts w:ascii="宋体" w:hAnsi="宋体" w:eastAsia="宋体" w:cs="宋体"/>
          <w:spacing w:val="-8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参加</w:t>
      </w:r>
      <w:r>
        <w:rPr>
          <w:rFonts w:ascii="Calibri" w:hAnsi="Calibri" w:eastAsia="Calibri" w:cs="Calibri"/>
          <w:spacing w:val="-2"/>
          <w:sz w:val="21"/>
          <w:szCs w:val="21"/>
        </w:rPr>
        <w:t>/</w:t>
      </w:r>
      <w:r>
        <w:rPr>
          <w:rFonts w:ascii="宋体" w:hAnsi="宋体" w:eastAsia="宋体" w:cs="宋体"/>
          <w:spacing w:val="-2"/>
          <w:sz w:val="21"/>
          <w:szCs w:val="21"/>
        </w:rPr>
        <w:t>不参加</w:t>
      </w:r>
      <w:r>
        <w:rPr>
          <w:rFonts w:ascii="Calibri" w:hAnsi="Calibri" w:eastAsia="Calibri" w:cs="Calibri"/>
          <w:spacing w:val="-2"/>
          <w:sz w:val="21"/>
          <w:szCs w:val="21"/>
        </w:rPr>
        <w:t>)</w:t>
      </w:r>
      <w:r>
        <w:rPr>
          <w:rFonts w:ascii="Calibri" w:hAnsi="Calibri" w:eastAsia="Calibri" w:cs="Calibri"/>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22"/>
          <w:sz w:val="21"/>
          <w:szCs w:val="21"/>
        </w:rPr>
        <w:t>）（</w:t>
      </w:r>
      <w:r>
        <w:rPr>
          <w:rFonts w:ascii="宋体" w:hAnsi="宋体" w:eastAsia="宋体" w:cs="宋体"/>
          <w:spacing w:val="-2"/>
          <w:sz w:val="21"/>
          <w:szCs w:val="21"/>
        </w:rPr>
        <w:t>标段名称）投标。</w:t>
      </w:r>
    </w:p>
    <w:p w14:paraId="46FAD017">
      <w:pPr>
        <w:spacing w:before="12" w:line="220" w:lineRule="auto"/>
        <w:ind w:left="444"/>
        <w:rPr>
          <w:rFonts w:ascii="宋体" w:hAnsi="宋体" w:eastAsia="宋体" w:cs="宋体"/>
          <w:sz w:val="21"/>
          <w:szCs w:val="21"/>
        </w:rPr>
      </w:pPr>
      <w:r>
        <w:rPr>
          <w:rFonts w:ascii="宋体" w:hAnsi="宋体" w:eastAsia="宋体" w:cs="宋体"/>
          <w:spacing w:val="-6"/>
          <w:sz w:val="21"/>
          <w:szCs w:val="21"/>
        </w:rPr>
        <w:t>特此确认。</w:t>
      </w:r>
    </w:p>
    <w:p w14:paraId="0B6806B5">
      <w:pPr>
        <w:pStyle w:val="2"/>
        <w:spacing w:line="271" w:lineRule="auto"/>
      </w:pPr>
    </w:p>
    <w:p w14:paraId="27AED541">
      <w:pPr>
        <w:pStyle w:val="2"/>
        <w:spacing w:line="271" w:lineRule="auto"/>
      </w:pPr>
    </w:p>
    <w:p w14:paraId="04BF703F">
      <w:pPr>
        <w:pStyle w:val="2"/>
        <w:spacing w:line="271" w:lineRule="auto"/>
      </w:pPr>
    </w:p>
    <w:p w14:paraId="230337F5">
      <w:pPr>
        <w:pStyle w:val="2"/>
        <w:spacing w:line="271" w:lineRule="auto"/>
      </w:pPr>
    </w:p>
    <w:p w14:paraId="3FC80DC9">
      <w:pPr>
        <w:pStyle w:val="2"/>
        <w:spacing w:line="271" w:lineRule="auto"/>
      </w:pPr>
    </w:p>
    <w:p w14:paraId="725100D9">
      <w:pPr>
        <w:spacing w:before="69" w:line="227" w:lineRule="auto"/>
        <w:jc w:val="right"/>
        <w:rPr>
          <w:rFonts w:ascii="Calibri" w:hAnsi="Calibri" w:eastAsia="Calibri" w:cs="Calibri"/>
          <w:sz w:val="21"/>
          <w:szCs w:val="21"/>
        </w:rPr>
      </w:pPr>
      <w:r>
        <w:rPr>
          <w:rFonts w:ascii="宋体" w:hAnsi="宋体" w:eastAsia="宋体" w:cs="宋体"/>
          <w:spacing w:val="-1"/>
          <w:sz w:val="21"/>
          <w:szCs w:val="21"/>
        </w:rPr>
        <w:t>潜在投标人：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盖单位章</w:t>
      </w:r>
      <w:r>
        <w:rPr>
          <w:rFonts w:ascii="Calibri" w:hAnsi="Calibri" w:eastAsia="Calibri" w:cs="Calibri"/>
          <w:spacing w:val="-1"/>
          <w:sz w:val="21"/>
          <w:szCs w:val="21"/>
        </w:rPr>
        <w:t>)</w:t>
      </w:r>
    </w:p>
    <w:p w14:paraId="2AAE9A82">
      <w:pPr>
        <w:pStyle w:val="2"/>
        <w:spacing w:line="241" w:lineRule="auto"/>
      </w:pPr>
    </w:p>
    <w:p w14:paraId="1AE34427">
      <w:pPr>
        <w:tabs>
          <w:tab w:val="left" w:pos="6654"/>
        </w:tabs>
        <w:spacing w:before="68" w:line="470" w:lineRule="auto"/>
        <w:ind w:left="6127" w:hanging="1056"/>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签字</w:t>
      </w:r>
      <w:r>
        <w:rPr>
          <w:rFonts w:ascii="Calibri" w:hAnsi="Calibri" w:eastAsia="Calibri" w:cs="Calibri"/>
          <w:spacing w:val="-1"/>
          <w:sz w:val="21"/>
          <w:szCs w:val="21"/>
        </w:rPr>
        <w:t>)</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2000E33E">
      <w:pPr>
        <w:pStyle w:val="2"/>
        <w:spacing w:line="260" w:lineRule="auto"/>
      </w:pPr>
    </w:p>
    <w:p w14:paraId="567E20C4">
      <w:pPr>
        <w:pStyle w:val="2"/>
        <w:spacing w:line="260" w:lineRule="auto"/>
      </w:pPr>
    </w:p>
    <w:p w14:paraId="047411FA">
      <w:pPr>
        <w:pStyle w:val="2"/>
        <w:spacing w:line="260" w:lineRule="auto"/>
      </w:pPr>
    </w:p>
    <w:p w14:paraId="3428AC90">
      <w:pPr>
        <w:pStyle w:val="2"/>
        <w:spacing w:line="260" w:lineRule="auto"/>
      </w:pPr>
    </w:p>
    <w:p w14:paraId="5A7471C6">
      <w:pPr>
        <w:pStyle w:val="2"/>
        <w:spacing w:line="261" w:lineRule="auto"/>
      </w:pPr>
    </w:p>
    <w:p w14:paraId="0AA07DE9">
      <w:pPr>
        <w:spacing w:before="69" w:line="269" w:lineRule="auto"/>
        <w:ind w:left="26" w:right="16" w:firstLine="420"/>
        <w:rPr>
          <w:rFonts w:ascii="宋体" w:hAnsi="宋体" w:eastAsia="宋体" w:cs="宋体"/>
          <w:sz w:val="21"/>
          <w:szCs w:val="21"/>
        </w:rPr>
      </w:pPr>
      <w:r>
        <w:rPr>
          <w:rFonts w:ascii="宋体" w:hAnsi="宋体" w:eastAsia="宋体" w:cs="宋体"/>
          <w:spacing w:val="1"/>
          <w:sz w:val="21"/>
          <w:szCs w:val="21"/>
        </w:rPr>
        <w:t>备注：潜在投标人收到资格预审通过通知书</w:t>
      </w:r>
      <w:r>
        <w:rPr>
          <w:rFonts w:ascii="Calibri" w:hAnsi="Calibri" w:eastAsia="Calibri" w:cs="Calibri"/>
          <w:spacing w:val="1"/>
          <w:sz w:val="21"/>
          <w:szCs w:val="21"/>
        </w:rPr>
        <w:t>/</w:t>
      </w:r>
      <w:r>
        <w:rPr>
          <w:rFonts w:ascii="宋体" w:hAnsi="宋体" w:eastAsia="宋体" w:cs="宋体"/>
          <w:spacing w:val="1"/>
          <w:sz w:val="21"/>
          <w:szCs w:val="21"/>
        </w:rPr>
        <w:t>投标邀</w:t>
      </w:r>
      <w:r>
        <w:rPr>
          <w:rFonts w:ascii="宋体" w:hAnsi="宋体" w:eastAsia="宋体" w:cs="宋体"/>
          <w:sz w:val="21"/>
          <w:szCs w:val="21"/>
        </w:rPr>
        <w:t>请书并向招标人确认是否继续参加</w:t>
      </w:r>
      <w:r>
        <w:rPr>
          <w:rFonts w:ascii="宋体" w:hAnsi="宋体" w:eastAsia="宋体" w:cs="宋体"/>
          <w:spacing w:val="-3"/>
          <w:sz w:val="21"/>
          <w:szCs w:val="21"/>
        </w:rPr>
        <w:t>投标时，适用于本格式。</w:t>
      </w:r>
    </w:p>
    <w:p w14:paraId="3B3C4C67">
      <w:pPr>
        <w:spacing w:line="269" w:lineRule="auto"/>
        <w:rPr>
          <w:rFonts w:ascii="宋体" w:hAnsi="宋体" w:eastAsia="宋体" w:cs="宋体"/>
          <w:sz w:val="21"/>
          <w:szCs w:val="21"/>
        </w:rPr>
        <w:sectPr>
          <w:footerReference r:id="rId64" w:type="default"/>
          <w:pgSz w:w="11910" w:h="16845"/>
          <w:pgMar w:top="400" w:right="1783" w:bottom="1110" w:left="1786" w:header="0" w:footer="882" w:gutter="0"/>
          <w:cols w:space="720" w:num="1"/>
        </w:sectPr>
      </w:pPr>
    </w:p>
    <w:p w14:paraId="293E41D9">
      <w:pPr>
        <w:pStyle w:val="2"/>
        <w:spacing w:line="270" w:lineRule="auto"/>
      </w:pPr>
    </w:p>
    <w:p w14:paraId="53184C42">
      <w:pPr>
        <w:pStyle w:val="2"/>
        <w:spacing w:line="270" w:lineRule="auto"/>
      </w:pPr>
    </w:p>
    <w:p w14:paraId="475F6913">
      <w:pPr>
        <w:pStyle w:val="2"/>
        <w:spacing w:line="270" w:lineRule="auto"/>
      </w:pPr>
    </w:p>
    <w:p w14:paraId="667F8C22">
      <w:pPr>
        <w:pStyle w:val="2"/>
        <w:spacing w:line="270" w:lineRule="auto"/>
      </w:pPr>
    </w:p>
    <w:p w14:paraId="27136922">
      <w:pPr>
        <w:pStyle w:val="2"/>
        <w:spacing w:line="271" w:lineRule="auto"/>
      </w:pPr>
    </w:p>
    <w:p w14:paraId="71B4ED7A">
      <w:pPr>
        <w:spacing w:before="101" w:line="223" w:lineRule="auto"/>
        <w:ind w:left="45"/>
        <w:outlineLvl w:val="1"/>
        <w:rPr>
          <w:rFonts w:ascii="黑体" w:hAnsi="黑体" w:eastAsia="黑体" w:cs="黑体"/>
          <w:sz w:val="31"/>
          <w:szCs w:val="31"/>
        </w:rPr>
      </w:pPr>
      <w:bookmarkStart w:id="32" w:name="bookmark31"/>
      <w:bookmarkEnd w:id="32"/>
      <w:r>
        <w:rPr>
          <w:rFonts w:ascii="黑体" w:hAnsi="黑体" w:eastAsia="黑体" w:cs="黑体"/>
          <w:b/>
          <w:bCs/>
          <w:spacing w:val="7"/>
          <w:sz w:val="31"/>
          <w:szCs w:val="31"/>
        </w:rPr>
        <w:t>附表十三：授权委托书</w:t>
      </w:r>
    </w:p>
    <w:p w14:paraId="2B399FD1">
      <w:pPr>
        <w:pStyle w:val="2"/>
        <w:spacing w:line="278" w:lineRule="auto"/>
      </w:pPr>
    </w:p>
    <w:p w14:paraId="36C7271B">
      <w:pPr>
        <w:pStyle w:val="2"/>
        <w:spacing w:line="279" w:lineRule="auto"/>
      </w:pPr>
    </w:p>
    <w:p w14:paraId="3D509336">
      <w:pPr>
        <w:pStyle w:val="2"/>
        <w:spacing w:line="279" w:lineRule="auto"/>
      </w:pPr>
    </w:p>
    <w:p w14:paraId="109B5133">
      <w:pPr>
        <w:pStyle w:val="2"/>
        <w:spacing w:line="279" w:lineRule="auto"/>
      </w:pPr>
    </w:p>
    <w:p w14:paraId="15773A45">
      <w:pPr>
        <w:spacing w:before="91" w:line="223" w:lineRule="auto"/>
        <w:ind w:left="3463"/>
        <w:rPr>
          <w:rFonts w:ascii="黑体" w:hAnsi="黑体" w:eastAsia="黑体" w:cs="黑体"/>
          <w:sz w:val="28"/>
          <w:szCs w:val="28"/>
        </w:rPr>
      </w:pPr>
      <w:r>
        <w:rPr>
          <w:rFonts w:ascii="黑体" w:hAnsi="黑体" w:eastAsia="黑体" w:cs="黑体"/>
          <w:spacing w:val="9"/>
          <w:sz w:val="28"/>
          <w:szCs w:val="28"/>
        </w:rPr>
        <w:t>授权委托书</w:t>
      </w:r>
    </w:p>
    <w:p w14:paraId="1130D601">
      <w:pPr>
        <w:pStyle w:val="2"/>
      </w:pPr>
    </w:p>
    <w:p w14:paraId="208DCE4A">
      <w:pPr>
        <w:pStyle w:val="2"/>
        <w:spacing w:line="241" w:lineRule="auto"/>
      </w:pPr>
    </w:p>
    <w:p w14:paraId="3F27BECC">
      <w:pPr>
        <w:spacing w:before="68" w:line="441" w:lineRule="auto"/>
        <w:ind w:left="26" w:right="30" w:firstLine="418"/>
        <w:jc w:val="both"/>
        <w:rPr>
          <w:rFonts w:ascii="宋体" w:hAnsi="宋体" w:eastAsia="宋体" w:cs="宋体"/>
          <w:sz w:val="21"/>
          <w:szCs w:val="21"/>
        </w:rPr>
      </w:pPr>
      <w:r>
        <w:rPr>
          <w:rFonts w:ascii="宋体" w:hAnsi="宋体" w:eastAsia="宋体" w:cs="宋体"/>
          <w:spacing w:val="-1"/>
          <w:sz w:val="21"/>
          <w:szCs w:val="21"/>
        </w:rPr>
        <w:t>本人</w:t>
      </w:r>
      <w:r>
        <w:rPr>
          <w:rFonts w:ascii="宋体" w:hAnsi="宋体" w:eastAsia="宋体" w:cs="宋体"/>
          <w:spacing w:val="-9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（姓名）系</w:t>
      </w:r>
      <w:r>
        <w:rPr>
          <w:rFonts w:ascii="宋体" w:hAnsi="宋体" w:eastAsia="宋体" w:cs="宋体"/>
          <w:spacing w:val="-8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（投标人名称）的法定代表人，现委托</w:t>
      </w:r>
      <w:r>
        <w:rPr>
          <w:rFonts w:ascii="宋体" w:hAnsi="宋体" w:eastAsia="宋体" w:cs="宋体"/>
          <w:spacing w:val="-101"/>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w:t>
      </w:r>
      <w:r>
        <w:rPr>
          <w:rFonts w:ascii="宋体" w:hAnsi="宋体" w:eastAsia="宋体" w:cs="宋体"/>
          <w:spacing w:val="-2"/>
          <w:sz w:val="21"/>
          <w:szCs w:val="21"/>
        </w:rPr>
        <w:t>为我方代理人。代理人根据授权，以我方名</w:t>
      </w:r>
      <w:r>
        <w:rPr>
          <w:rFonts w:ascii="宋体" w:hAnsi="宋体" w:eastAsia="宋体" w:cs="宋体"/>
          <w:spacing w:val="-3"/>
          <w:sz w:val="21"/>
          <w:szCs w:val="21"/>
        </w:rPr>
        <w:t>义签署、澄清、说明、补正、递交、撤回、修改</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标段名称）施工投标文件、签订合同和</w:t>
      </w:r>
      <w:r>
        <w:rPr>
          <w:rFonts w:ascii="宋体" w:hAnsi="宋体" w:eastAsia="宋体" w:cs="宋体"/>
          <w:spacing w:val="-1"/>
          <w:sz w:val="21"/>
          <w:szCs w:val="21"/>
        </w:rPr>
        <w:t>处理有关事宜，其法律后</w:t>
      </w:r>
      <w:r>
        <w:rPr>
          <w:rFonts w:ascii="宋体" w:hAnsi="宋体" w:eastAsia="宋体" w:cs="宋体"/>
          <w:spacing w:val="-5"/>
          <w:sz w:val="21"/>
          <w:szCs w:val="21"/>
        </w:rPr>
        <w:t>果由我方承担。</w:t>
      </w:r>
    </w:p>
    <w:p w14:paraId="53ED8A86">
      <w:pPr>
        <w:spacing w:before="140" w:line="220" w:lineRule="auto"/>
        <w:ind w:left="443"/>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3B873D5C">
      <w:pPr>
        <w:pStyle w:val="2"/>
        <w:spacing w:line="325" w:lineRule="auto"/>
      </w:pPr>
    </w:p>
    <w:p w14:paraId="1CED9A8A">
      <w:pPr>
        <w:tabs>
          <w:tab w:val="left" w:pos="7480"/>
        </w:tabs>
        <w:spacing w:before="68" w:line="93" w:lineRule="auto"/>
        <w:ind w:left="148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AD4B959">
      <w:pPr>
        <w:pStyle w:val="2"/>
        <w:spacing w:line="241" w:lineRule="auto"/>
      </w:pPr>
    </w:p>
    <w:p w14:paraId="4CB47D7D">
      <w:pPr>
        <w:pStyle w:val="2"/>
        <w:spacing w:line="241" w:lineRule="auto"/>
      </w:pPr>
    </w:p>
    <w:p w14:paraId="6FB285F0">
      <w:pPr>
        <w:spacing w:before="68" w:line="220" w:lineRule="auto"/>
        <w:ind w:left="443"/>
        <w:rPr>
          <w:rFonts w:ascii="宋体" w:hAnsi="宋体" w:eastAsia="宋体" w:cs="宋体"/>
          <w:sz w:val="21"/>
          <w:szCs w:val="21"/>
        </w:rPr>
      </w:pPr>
      <w:r>
        <w:rPr>
          <w:rFonts w:ascii="宋体" w:hAnsi="宋体" w:eastAsia="宋体" w:cs="宋体"/>
          <w:spacing w:val="-4"/>
          <w:sz w:val="21"/>
          <w:szCs w:val="21"/>
        </w:rPr>
        <w:t>代理人无转委托权。</w:t>
      </w:r>
    </w:p>
    <w:p w14:paraId="72B6B4C8">
      <w:pPr>
        <w:pStyle w:val="2"/>
        <w:spacing w:line="252" w:lineRule="auto"/>
      </w:pPr>
    </w:p>
    <w:p w14:paraId="3F779361">
      <w:pPr>
        <w:pStyle w:val="2"/>
        <w:spacing w:line="252" w:lineRule="auto"/>
      </w:pPr>
    </w:p>
    <w:p w14:paraId="2C587D32">
      <w:pPr>
        <w:spacing w:before="69" w:line="219" w:lineRule="auto"/>
        <w:ind w:left="461"/>
        <w:rPr>
          <w:rFonts w:ascii="宋体" w:hAnsi="宋体" w:eastAsia="宋体" w:cs="宋体"/>
          <w:sz w:val="21"/>
          <w:szCs w:val="21"/>
        </w:rPr>
      </w:pPr>
      <w:r>
        <w:rPr>
          <w:rFonts w:ascii="宋体" w:hAnsi="宋体" w:eastAsia="宋体" w:cs="宋体"/>
          <w:spacing w:val="-2"/>
          <w:sz w:val="21"/>
          <w:szCs w:val="21"/>
        </w:rPr>
        <w:t>附：法定代表人身份证明</w:t>
      </w:r>
    </w:p>
    <w:p w14:paraId="273D00EF">
      <w:pPr>
        <w:pStyle w:val="2"/>
        <w:spacing w:line="312" w:lineRule="auto"/>
      </w:pPr>
    </w:p>
    <w:p w14:paraId="64F150C3">
      <w:pPr>
        <w:pStyle w:val="2"/>
        <w:spacing w:line="312" w:lineRule="auto"/>
      </w:pPr>
    </w:p>
    <w:p w14:paraId="7FE2FB0F">
      <w:pPr>
        <w:pStyle w:val="2"/>
        <w:spacing w:line="313" w:lineRule="auto"/>
      </w:pPr>
    </w:p>
    <w:p w14:paraId="1993E42E">
      <w:pPr>
        <w:spacing w:before="69" w:line="219" w:lineRule="auto"/>
        <w:jc w:val="right"/>
        <w:rPr>
          <w:rFonts w:ascii="宋体" w:hAnsi="宋体" w:eastAsia="宋体" w:cs="宋体"/>
          <w:sz w:val="21"/>
          <w:szCs w:val="21"/>
        </w:rPr>
      </w:pPr>
      <w:r>
        <w:rPr>
          <w:rFonts w:ascii="宋体" w:hAnsi="宋体" w:eastAsia="宋体" w:cs="宋体"/>
          <w:spacing w:val="-20"/>
          <w:sz w:val="21"/>
          <w:szCs w:val="21"/>
        </w:rPr>
        <w:t>投</w:t>
      </w:r>
      <w:r>
        <w:rPr>
          <w:rFonts w:ascii="宋体" w:hAnsi="宋体" w:eastAsia="宋体" w:cs="宋体"/>
          <w:spacing w:val="5"/>
          <w:sz w:val="21"/>
          <w:szCs w:val="21"/>
        </w:rPr>
        <w:t xml:space="preserve">  </w:t>
      </w:r>
      <w:r>
        <w:rPr>
          <w:rFonts w:ascii="宋体" w:hAnsi="宋体" w:eastAsia="宋体" w:cs="宋体"/>
          <w:spacing w:val="-20"/>
          <w:sz w:val="21"/>
          <w:szCs w:val="21"/>
        </w:rPr>
        <w:t>标</w:t>
      </w:r>
      <w:r>
        <w:rPr>
          <w:rFonts w:ascii="宋体" w:hAnsi="宋体" w:eastAsia="宋体" w:cs="宋体"/>
          <w:spacing w:val="5"/>
          <w:sz w:val="21"/>
          <w:szCs w:val="21"/>
        </w:rPr>
        <w:t xml:space="preserve">  </w:t>
      </w:r>
      <w:r>
        <w:rPr>
          <w:rFonts w:ascii="宋体" w:hAnsi="宋体" w:eastAsia="宋体" w:cs="宋体"/>
          <w:spacing w:val="-20"/>
          <w:sz w:val="21"/>
          <w:szCs w:val="21"/>
        </w:rPr>
        <w:t>人</w:t>
      </w:r>
      <w:r>
        <w:rPr>
          <w:rFonts w:ascii="宋体" w:hAnsi="宋体" w:eastAsia="宋体" w:cs="宋体"/>
          <w:spacing w:val="-31"/>
          <w:sz w:val="21"/>
          <w:szCs w:val="21"/>
        </w:rPr>
        <w:t>：</w:t>
      </w:r>
      <w:r>
        <w:rPr>
          <w:rFonts w:ascii="宋体" w:hAnsi="宋体" w:eastAsia="宋体" w:cs="宋体"/>
          <w:sz w:val="21"/>
          <w:szCs w:val="21"/>
          <w:u w:val="single" w:color="auto"/>
        </w:rPr>
        <w:t xml:space="preserve">                        </w:t>
      </w:r>
      <w:r>
        <w:rPr>
          <w:rFonts w:ascii="宋体" w:hAnsi="宋体" w:eastAsia="宋体" w:cs="宋体"/>
          <w:spacing w:val="-31"/>
          <w:sz w:val="21"/>
          <w:szCs w:val="21"/>
        </w:rPr>
        <w:t>（</w:t>
      </w:r>
      <w:r>
        <w:rPr>
          <w:rFonts w:ascii="宋体" w:hAnsi="宋体" w:eastAsia="宋体" w:cs="宋体"/>
          <w:spacing w:val="-20"/>
          <w:sz w:val="21"/>
          <w:szCs w:val="21"/>
        </w:rPr>
        <w:t>盖单位章）</w:t>
      </w:r>
    </w:p>
    <w:p w14:paraId="1BDAF1B4">
      <w:pPr>
        <w:pStyle w:val="2"/>
        <w:spacing w:line="311" w:lineRule="auto"/>
      </w:pPr>
    </w:p>
    <w:p w14:paraId="715D0996">
      <w:pPr>
        <w:spacing w:before="68" w:line="220" w:lineRule="auto"/>
        <w:jc w:val="right"/>
        <w:rPr>
          <w:rFonts w:ascii="宋体" w:hAnsi="宋体" w:eastAsia="宋体" w:cs="宋体"/>
          <w:sz w:val="21"/>
          <w:szCs w:val="21"/>
        </w:rPr>
      </w:pPr>
      <w:r>
        <w:rPr>
          <w:rFonts w:ascii="宋体" w:hAnsi="宋体" w:eastAsia="宋体" w:cs="宋体"/>
          <w:spacing w:val="-20"/>
          <w:sz w:val="21"/>
          <w:szCs w:val="21"/>
        </w:rPr>
        <w:t>法定代表人</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20"/>
          <w:sz w:val="21"/>
          <w:szCs w:val="21"/>
        </w:rPr>
        <w:t>签字）</w:t>
      </w:r>
    </w:p>
    <w:p w14:paraId="25E98366">
      <w:pPr>
        <w:pStyle w:val="2"/>
        <w:spacing w:line="295" w:lineRule="auto"/>
      </w:pPr>
    </w:p>
    <w:p w14:paraId="2B30252D">
      <w:pPr>
        <w:spacing w:before="69" w:line="220" w:lineRule="auto"/>
        <w:ind w:left="3604"/>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01248CEA">
      <w:pPr>
        <w:pStyle w:val="2"/>
        <w:spacing w:line="310" w:lineRule="auto"/>
      </w:pPr>
    </w:p>
    <w:p w14:paraId="3C7B01E3">
      <w:pPr>
        <w:spacing w:before="68" w:line="220" w:lineRule="auto"/>
        <w:jc w:val="right"/>
        <w:rPr>
          <w:rFonts w:ascii="宋体" w:hAnsi="宋体" w:eastAsia="宋体" w:cs="宋体"/>
          <w:sz w:val="21"/>
          <w:szCs w:val="21"/>
        </w:rPr>
      </w:pPr>
      <w:r>
        <w:rPr>
          <w:rFonts w:ascii="宋体" w:hAnsi="宋体" w:eastAsia="宋体" w:cs="宋体"/>
          <w:spacing w:val="-20"/>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20"/>
          <w:sz w:val="21"/>
          <w:szCs w:val="21"/>
        </w:rPr>
        <w:t>（签字）</w:t>
      </w:r>
    </w:p>
    <w:p w14:paraId="09D5404A">
      <w:pPr>
        <w:pStyle w:val="2"/>
        <w:spacing w:line="295" w:lineRule="auto"/>
      </w:pPr>
    </w:p>
    <w:p w14:paraId="17FBB9C0">
      <w:pPr>
        <w:spacing w:before="69" w:line="220" w:lineRule="auto"/>
        <w:ind w:left="3604"/>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794292C0">
      <w:pPr>
        <w:pStyle w:val="2"/>
        <w:spacing w:line="310" w:lineRule="auto"/>
      </w:pPr>
    </w:p>
    <w:p w14:paraId="6303003D">
      <w:pPr>
        <w:tabs>
          <w:tab w:val="left" w:pos="6022"/>
        </w:tabs>
        <w:spacing w:before="68" w:line="220" w:lineRule="auto"/>
        <w:ind w:left="51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DACC54F">
      <w:pPr>
        <w:spacing w:line="220" w:lineRule="auto"/>
        <w:rPr>
          <w:rFonts w:ascii="宋体" w:hAnsi="宋体" w:eastAsia="宋体" w:cs="宋体"/>
          <w:sz w:val="21"/>
          <w:szCs w:val="21"/>
        </w:rPr>
        <w:sectPr>
          <w:footerReference r:id="rId65" w:type="default"/>
          <w:pgSz w:w="11910" w:h="16845"/>
          <w:pgMar w:top="400" w:right="1679" w:bottom="1110" w:left="1786" w:header="0" w:footer="883" w:gutter="0"/>
          <w:cols w:space="720" w:num="1"/>
        </w:sectPr>
      </w:pPr>
    </w:p>
    <w:p w14:paraId="7378DF61">
      <w:pPr>
        <w:pStyle w:val="2"/>
        <w:spacing w:line="277" w:lineRule="auto"/>
      </w:pPr>
    </w:p>
    <w:p w14:paraId="6BC7E354">
      <w:pPr>
        <w:pStyle w:val="2"/>
        <w:spacing w:line="278" w:lineRule="auto"/>
      </w:pPr>
    </w:p>
    <w:p w14:paraId="66F056D5">
      <w:pPr>
        <w:pStyle w:val="2"/>
        <w:spacing w:line="278" w:lineRule="auto"/>
      </w:pPr>
    </w:p>
    <w:p w14:paraId="58C85879">
      <w:pPr>
        <w:pStyle w:val="2"/>
        <w:spacing w:line="278" w:lineRule="auto"/>
      </w:pPr>
    </w:p>
    <w:p w14:paraId="769AAD1D">
      <w:pPr>
        <w:pStyle w:val="2"/>
        <w:spacing w:line="278" w:lineRule="auto"/>
      </w:pPr>
    </w:p>
    <w:p w14:paraId="361A0077">
      <w:pPr>
        <w:spacing w:before="140" w:line="221" w:lineRule="auto"/>
        <w:ind w:left="2510"/>
        <w:outlineLvl w:val="0"/>
        <w:rPr>
          <w:rFonts w:ascii="宋体" w:hAnsi="宋体" w:eastAsia="宋体" w:cs="宋体"/>
          <w:sz w:val="43"/>
          <w:szCs w:val="43"/>
        </w:rPr>
      </w:pPr>
      <w:bookmarkStart w:id="33" w:name="bookmark32"/>
      <w:bookmarkEnd w:id="33"/>
      <w:bookmarkStart w:id="34" w:name="bookmark34"/>
      <w:bookmarkEnd w:id="34"/>
      <w:bookmarkStart w:id="35" w:name="bookmark33"/>
      <w:bookmarkEnd w:id="35"/>
      <w:r>
        <w:rPr>
          <w:rFonts w:ascii="宋体" w:hAnsi="宋体" w:eastAsia="宋体" w:cs="宋体"/>
          <w:b/>
          <w:bCs/>
          <w:spacing w:val="7"/>
          <w:sz w:val="43"/>
          <w:szCs w:val="43"/>
        </w:rPr>
        <w:t>第三章</w:t>
      </w:r>
      <w:r>
        <w:rPr>
          <w:rFonts w:ascii="宋体" w:hAnsi="宋体" w:eastAsia="宋体" w:cs="宋体"/>
          <w:spacing w:val="7"/>
          <w:sz w:val="43"/>
          <w:szCs w:val="43"/>
        </w:rPr>
        <w:t xml:space="preserve">  </w:t>
      </w:r>
      <w:r>
        <w:rPr>
          <w:rFonts w:ascii="宋体" w:hAnsi="宋体" w:eastAsia="宋体" w:cs="宋体"/>
          <w:b/>
          <w:bCs/>
          <w:spacing w:val="7"/>
          <w:sz w:val="43"/>
          <w:szCs w:val="43"/>
        </w:rPr>
        <w:t>评标办法</w:t>
      </w:r>
    </w:p>
    <w:p w14:paraId="40484BDB">
      <w:pPr>
        <w:pStyle w:val="2"/>
        <w:spacing w:line="256" w:lineRule="auto"/>
      </w:pPr>
    </w:p>
    <w:p w14:paraId="0F505964">
      <w:pPr>
        <w:pStyle w:val="2"/>
        <w:spacing w:line="257" w:lineRule="auto"/>
      </w:pPr>
    </w:p>
    <w:p w14:paraId="28ABB748">
      <w:pPr>
        <w:pStyle w:val="2"/>
        <w:spacing w:line="257" w:lineRule="auto"/>
      </w:pPr>
    </w:p>
    <w:p w14:paraId="473D8FC7">
      <w:pPr>
        <w:pStyle w:val="2"/>
        <w:spacing w:line="257" w:lineRule="auto"/>
      </w:pPr>
    </w:p>
    <w:p w14:paraId="79A6E3BD">
      <w:pPr>
        <w:spacing w:before="101" w:line="221" w:lineRule="auto"/>
        <w:ind w:left="132"/>
        <w:outlineLvl w:val="1"/>
        <w:rPr>
          <w:rFonts w:ascii="黑体" w:hAnsi="黑体" w:eastAsia="黑体" w:cs="黑体"/>
          <w:sz w:val="31"/>
          <w:szCs w:val="31"/>
        </w:rPr>
      </w:pPr>
      <w:r>
        <w:rPr>
          <w:rFonts w:ascii="黑体" w:hAnsi="黑体" w:eastAsia="黑体" w:cs="黑体"/>
          <w:b/>
          <w:bCs/>
          <w:spacing w:val="8"/>
          <w:sz w:val="31"/>
          <w:szCs w:val="31"/>
        </w:rPr>
        <w:t>第三章</w:t>
      </w:r>
      <w:r>
        <w:rPr>
          <w:rFonts w:ascii="黑体" w:hAnsi="黑体" w:eastAsia="黑体" w:cs="黑体"/>
          <w:spacing w:val="7"/>
          <w:sz w:val="31"/>
          <w:szCs w:val="31"/>
        </w:rPr>
        <w:t xml:space="preserve">  </w:t>
      </w:r>
      <w:r>
        <w:rPr>
          <w:rFonts w:ascii="黑体" w:hAnsi="黑体" w:eastAsia="黑体" w:cs="黑体"/>
          <w:b/>
          <w:bCs/>
          <w:spacing w:val="8"/>
          <w:sz w:val="31"/>
          <w:szCs w:val="31"/>
        </w:rPr>
        <w:t>评标办法（综合评估法）</w:t>
      </w:r>
    </w:p>
    <w:p w14:paraId="5FDD3C1B">
      <w:pPr>
        <w:pStyle w:val="2"/>
        <w:spacing w:line="430" w:lineRule="auto"/>
      </w:pPr>
    </w:p>
    <w:p w14:paraId="7FB29657">
      <w:pPr>
        <w:spacing w:before="91" w:line="222" w:lineRule="auto"/>
        <w:ind w:left="130"/>
        <w:outlineLvl w:val="2"/>
        <w:rPr>
          <w:rFonts w:ascii="黑体" w:hAnsi="黑体" w:eastAsia="黑体" w:cs="黑体"/>
          <w:sz w:val="28"/>
          <w:szCs w:val="28"/>
        </w:rPr>
      </w:pPr>
      <w:bookmarkStart w:id="36" w:name="bookmark627"/>
      <w:bookmarkEnd w:id="36"/>
      <w:r>
        <w:rPr>
          <w:rFonts w:ascii="黑体" w:hAnsi="黑体" w:eastAsia="黑体" w:cs="黑体"/>
          <w:spacing w:val="6"/>
          <w:sz w:val="28"/>
          <w:szCs w:val="28"/>
        </w:rPr>
        <w:t>评标办法前附表</w:t>
      </w:r>
    </w:p>
    <w:p w14:paraId="66B0951F">
      <w:pPr>
        <w:spacing w:before="103"/>
      </w:pPr>
    </w:p>
    <w:p w14:paraId="5A269412">
      <w:pPr>
        <w:spacing w:before="103"/>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719"/>
        <w:gridCol w:w="1964"/>
        <w:gridCol w:w="5135"/>
      </w:tblGrid>
      <w:tr w14:paraId="2FC84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431" w:type="dxa"/>
            <w:gridSpan w:val="2"/>
            <w:vAlign w:val="top"/>
          </w:tcPr>
          <w:p w14:paraId="43CABF29">
            <w:pPr>
              <w:pStyle w:val="6"/>
              <w:spacing w:before="134" w:line="220" w:lineRule="auto"/>
              <w:ind w:left="400"/>
              <w:rPr>
                <w:sz w:val="21"/>
                <w:szCs w:val="21"/>
              </w:rPr>
            </w:pPr>
            <w:r>
              <w:rPr>
                <w:spacing w:val="-2"/>
                <w:sz w:val="21"/>
                <w:szCs w:val="21"/>
              </w:rPr>
              <w:t>条款号</w:t>
            </w:r>
          </w:p>
        </w:tc>
        <w:tc>
          <w:tcPr>
            <w:tcW w:w="1964" w:type="dxa"/>
            <w:vAlign w:val="top"/>
          </w:tcPr>
          <w:p w14:paraId="2AFCD760">
            <w:pPr>
              <w:pStyle w:val="6"/>
              <w:spacing w:before="134" w:line="220" w:lineRule="auto"/>
              <w:ind w:left="108"/>
              <w:rPr>
                <w:sz w:val="21"/>
                <w:szCs w:val="21"/>
              </w:rPr>
            </w:pPr>
            <w:r>
              <w:rPr>
                <w:spacing w:val="-2"/>
                <w:sz w:val="21"/>
                <w:szCs w:val="21"/>
              </w:rPr>
              <w:t>评审因素</w:t>
            </w:r>
          </w:p>
        </w:tc>
        <w:tc>
          <w:tcPr>
            <w:tcW w:w="5135" w:type="dxa"/>
            <w:vAlign w:val="top"/>
          </w:tcPr>
          <w:p w14:paraId="6A70927B">
            <w:pPr>
              <w:pStyle w:val="6"/>
              <w:spacing w:before="135" w:line="220" w:lineRule="auto"/>
              <w:ind w:left="2154"/>
              <w:rPr>
                <w:sz w:val="21"/>
                <w:szCs w:val="21"/>
              </w:rPr>
            </w:pPr>
            <w:r>
              <w:rPr>
                <w:spacing w:val="-2"/>
                <w:sz w:val="21"/>
                <w:szCs w:val="21"/>
              </w:rPr>
              <w:t>评审标准</w:t>
            </w:r>
          </w:p>
        </w:tc>
      </w:tr>
      <w:tr w14:paraId="030C3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restart"/>
            <w:tcBorders>
              <w:bottom w:val="nil"/>
            </w:tcBorders>
            <w:vAlign w:val="top"/>
          </w:tcPr>
          <w:p w14:paraId="525FC6AE">
            <w:pPr>
              <w:spacing w:line="272" w:lineRule="auto"/>
              <w:rPr>
                <w:rFonts w:ascii="Arial"/>
                <w:sz w:val="21"/>
              </w:rPr>
            </w:pPr>
          </w:p>
          <w:p w14:paraId="07BB6695">
            <w:pPr>
              <w:spacing w:line="272" w:lineRule="auto"/>
              <w:rPr>
                <w:rFonts w:ascii="Arial"/>
                <w:sz w:val="21"/>
              </w:rPr>
            </w:pPr>
          </w:p>
          <w:p w14:paraId="1CD9179C">
            <w:pPr>
              <w:spacing w:line="273" w:lineRule="auto"/>
              <w:rPr>
                <w:rFonts w:ascii="Arial"/>
                <w:sz w:val="21"/>
              </w:rPr>
            </w:pPr>
          </w:p>
          <w:p w14:paraId="69D0D219">
            <w:pPr>
              <w:spacing w:line="273" w:lineRule="auto"/>
              <w:rPr>
                <w:rFonts w:ascii="Arial"/>
                <w:sz w:val="21"/>
              </w:rPr>
            </w:pPr>
          </w:p>
          <w:p w14:paraId="0ABE1674">
            <w:pPr>
              <w:spacing w:line="273" w:lineRule="auto"/>
              <w:rPr>
                <w:rFonts w:ascii="Arial"/>
                <w:sz w:val="21"/>
              </w:rPr>
            </w:pPr>
          </w:p>
          <w:p w14:paraId="43E67A82">
            <w:pPr>
              <w:spacing w:line="273" w:lineRule="auto"/>
              <w:rPr>
                <w:rFonts w:ascii="Arial"/>
                <w:sz w:val="21"/>
              </w:rPr>
            </w:pPr>
          </w:p>
          <w:p w14:paraId="42B7C009">
            <w:pPr>
              <w:spacing w:line="273" w:lineRule="auto"/>
              <w:rPr>
                <w:rFonts w:ascii="Arial"/>
                <w:sz w:val="21"/>
              </w:rPr>
            </w:pPr>
          </w:p>
          <w:p w14:paraId="72CCFC16">
            <w:pPr>
              <w:pStyle w:val="6"/>
              <w:spacing w:before="69" w:line="239" w:lineRule="auto"/>
              <w:ind w:left="146"/>
              <w:rPr>
                <w:sz w:val="21"/>
                <w:szCs w:val="21"/>
              </w:rPr>
            </w:pPr>
            <w:r>
              <w:rPr>
                <w:spacing w:val="-3"/>
                <w:sz w:val="21"/>
                <w:szCs w:val="21"/>
              </w:rPr>
              <w:t>2.1.</w:t>
            </w:r>
          </w:p>
          <w:p w14:paraId="1E48FFA9">
            <w:pPr>
              <w:pStyle w:val="6"/>
              <w:spacing w:before="43" w:line="241" w:lineRule="auto"/>
              <w:ind w:left="324"/>
              <w:rPr>
                <w:sz w:val="21"/>
                <w:szCs w:val="21"/>
              </w:rPr>
            </w:pPr>
            <w:r>
              <w:rPr>
                <w:sz w:val="21"/>
                <w:szCs w:val="21"/>
              </w:rPr>
              <w:t>1</w:t>
            </w:r>
          </w:p>
        </w:tc>
        <w:tc>
          <w:tcPr>
            <w:tcW w:w="719" w:type="dxa"/>
            <w:vMerge w:val="restart"/>
            <w:tcBorders>
              <w:bottom w:val="nil"/>
            </w:tcBorders>
            <w:vAlign w:val="top"/>
          </w:tcPr>
          <w:p w14:paraId="40442396">
            <w:pPr>
              <w:spacing w:line="251" w:lineRule="auto"/>
              <w:rPr>
                <w:rFonts w:ascii="Arial"/>
                <w:sz w:val="21"/>
              </w:rPr>
            </w:pPr>
          </w:p>
          <w:p w14:paraId="6E28CBE3">
            <w:pPr>
              <w:spacing w:line="251" w:lineRule="auto"/>
              <w:rPr>
                <w:rFonts w:ascii="Arial"/>
                <w:sz w:val="21"/>
              </w:rPr>
            </w:pPr>
          </w:p>
          <w:p w14:paraId="1DC30270">
            <w:pPr>
              <w:spacing w:line="251" w:lineRule="auto"/>
              <w:rPr>
                <w:rFonts w:ascii="Arial"/>
                <w:sz w:val="21"/>
              </w:rPr>
            </w:pPr>
          </w:p>
          <w:p w14:paraId="51B169A6">
            <w:pPr>
              <w:spacing w:line="252" w:lineRule="auto"/>
              <w:rPr>
                <w:rFonts w:ascii="Arial"/>
                <w:sz w:val="21"/>
              </w:rPr>
            </w:pPr>
          </w:p>
          <w:p w14:paraId="44744446">
            <w:pPr>
              <w:spacing w:line="252" w:lineRule="auto"/>
              <w:rPr>
                <w:rFonts w:ascii="Arial"/>
                <w:sz w:val="21"/>
              </w:rPr>
            </w:pPr>
          </w:p>
          <w:p w14:paraId="40193247">
            <w:pPr>
              <w:spacing w:line="252" w:lineRule="auto"/>
              <w:rPr>
                <w:rFonts w:ascii="Arial"/>
                <w:sz w:val="21"/>
              </w:rPr>
            </w:pPr>
          </w:p>
          <w:p w14:paraId="5C0F2E43">
            <w:pPr>
              <w:spacing w:line="252" w:lineRule="auto"/>
              <w:rPr>
                <w:rFonts w:ascii="Arial"/>
                <w:sz w:val="21"/>
              </w:rPr>
            </w:pPr>
          </w:p>
          <w:p w14:paraId="0CA20F85">
            <w:pPr>
              <w:pStyle w:val="6"/>
              <w:spacing w:before="68" w:line="272" w:lineRule="auto"/>
              <w:ind w:left="136" w:right="154" w:firstLine="3"/>
              <w:jc w:val="both"/>
              <w:rPr>
                <w:sz w:val="21"/>
                <w:szCs w:val="21"/>
              </w:rPr>
            </w:pPr>
            <w:r>
              <w:rPr>
                <w:spacing w:val="-6"/>
                <w:sz w:val="21"/>
                <w:szCs w:val="21"/>
              </w:rPr>
              <w:t>形式</w:t>
            </w:r>
            <w:r>
              <w:rPr>
                <w:spacing w:val="-4"/>
                <w:sz w:val="21"/>
                <w:szCs w:val="21"/>
              </w:rPr>
              <w:t>评审标准</w:t>
            </w:r>
          </w:p>
        </w:tc>
        <w:tc>
          <w:tcPr>
            <w:tcW w:w="1964" w:type="dxa"/>
            <w:vAlign w:val="top"/>
          </w:tcPr>
          <w:p w14:paraId="27EE2F52">
            <w:pPr>
              <w:pStyle w:val="6"/>
              <w:spacing w:before="127" w:line="220" w:lineRule="auto"/>
              <w:ind w:left="562"/>
              <w:rPr>
                <w:sz w:val="21"/>
                <w:szCs w:val="21"/>
              </w:rPr>
            </w:pPr>
            <w:r>
              <w:rPr>
                <w:spacing w:val="-2"/>
                <w:sz w:val="21"/>
                <w:szCs w:val="21"/>
              </w:rPr>
              <w:t>投标文件</w:t>
            </w:r>
          </w:p>
        </w:tc>
        <w:tc>
          <w:tcPr>
            <w:tcW w:w="5135" w:type="dxa"/>
            <w:vAlign w:val="top"/>
          </w:tcPr>
          <w:p w14:paraId="76129B74">
            <w:pPr>
              <w:pStyle w:val="6"/>
              <w:spacing w:before="127" w:line="220" w:lineRule="auto"/>
              <w:ind w:left="1632"/>
              <w:rPr>
                <w:sz w:val="21"/>
                <w:szCs w:val="21"/>
              </w:rPr>
            </w:pPr>
            <w:r>
              <w:rPr>
                <w:spacing w:val="-1"/>
                <w:sz w:val="21"/>
                <w:szCs w:val="21"/>
              </w:rPr>
              <w:t>投标文件能正常打开</w:t>
            </w:r>
          </w:p>
        </w:tc>
      </w:tr>
      <w:tr w14:paraId="619BD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712" w:type="dxa"/>
            <w:vMerge w:val="continue"/>
            <w:tcBorders>
              <w:top w:val="nil"/>
              <w:bottom w:val="nil"/>
            </w:tcBorders>
            <w:vAlign w:val="top"/>
          </w:tcPr>
          <w:p w14:paraId="168EF3BC">
            <w:pPr>
              <w:rPr>
                <w:rFonts w:ascii="Arial"/>
                <w:sz w:val="21"/>
              </w:rPr>
            </w:pPr>
          </w:p>
        </w:tc>
        <w:tc>
          <w:tcPr>
            <w:tcW w:w="719" w:type="dxa"/>
            <w:vMerge w:val="continue"/>
            <w:tcBorders>
              <w:top w:val="nil"/>
              <w:bottom w:val="nil"/>
            </w:tcBorders>
            <w:vAlign w:val="top"/>
          </w:tcPr>
          <w:p w14:paraId="2DCD80E1">
            <w:pPr>
              <w:rPr>
                <w:rFonts w:ascii="Arial"/>
                <w:sz w:val="21"/>
              </w:rPr>
            </w:pPr>
          </w:p>
        </w:tc>
        <w:tc>
          <w:tcPr>
            <w:tcW w:w="1964" w:type="dxa"/>
            <w:vAlign w:val="top"/>
          </w:tcPr>
          <w:p w14:paraId="1D9EDFA7">
            <w:pPr>
              <w:pStyle w:val="6"/>
              <w:spacing w:before="294" w:line="220" w:lineRule="auto"/>
              <w:ind w:left="457"/>
              <w:rPr>
                <w:sz w:val="21"/>
                <w:szCs w:val="21"/>
              </w:rPr>
            </w:pPr>
            <w:r>
              <w:rPr>
                <w:spacing w:val="-2"/>
                <w:sz w:val="21"/>
                <w:szCs w:val="21"/>
              </w:rPr>
              <w:t>投标人名称</w:t>
            </w:r>
          </w:p>
        </w:tc>
        <w:tc>
          <w:tcPr>
            <w:tcW w:w="5135" w:type="dxa"/>
            <w:vAlign w:val="top"/>
          </w:tcPr>
          <w:p w14:paraId="28A0054F">
            <w:pPr>
              <w:pStyle w:val="6"/>
              <w:spacing w:before="128" w:line="219" w:lineRule="auto"/>
              <w:ind w:left="161"/>
              <w:rPr>
                <w:sz w:val="21"/>
                <w:szCs w:val="21"/>
              </w:rPr>
            </w:pPr>
            <w:r>
              <w:rPr>
                <w:sz w:val="21"/>
                <w:szCs w:val="21"/>
              </w:rPr>
              <w:t>与营业执照、资质证书（如有要求）、安全生</w:t>
            </w:r>
            <w:r>
              <w:rPr>
                <w:spacing w:val="-1"/>
                <w:sz w:val="21"/>
                <w:szCs w:val="21"/>
              </w:rPr>
              <w:t>产许可</w:t>
            </w:r>
          </w:p>
          <w:p w14:paraId="5FC749C6">
            <w:pPr>
              <w:pStyle w:val="6"/>
              <w:spacing w:before="66" w:line="220" w:lineRule="auto"/>
              <w:ind w:left="1629"/>
              <w:rPr>
                <w:sz w:val="21"/>
                <w:szCs w:val="21"/>
              </w:rPr>
            </w:pPr>
            <w:r>
              <w:rPr>
                <w:spacing w:val="-1"/>
                <w:sz w:val="21"/>
                <w:szCs w:val="21"/>
              </w:rPr>
              <w:t>证（如有要求）一致</w:t>
            </w:r>
          </w:p>
        </w:tc>
      </w:tr>
      <w:tr w14:paraId="69E04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bottom w:val="nil"/>
            </w:tcBorders>
            <w:vAlign w:val="top"/>
          </w:tcPr>
          <w:p w14:paraId="11757268">
            <w:pPr>
              <w:rPr>
                <w:rFonts w:ascii="Arial"/>
                <w:sz w:val="21"/>
              </w:rPr>
            </w:pPr>
          </w:p>
        </w:tc>
        <w:tc>
          <w:tcPr>
            <w:tcW w:w="719" w:type="dxa"/>
            <w:vMerge w:val="continue"/>
            <w:tcBorders>
              <w:top w:val="nil"/>
              <w:bottom w:val="nil"/>
            </w:tcBorders>
            <w:vAlign w:val="top"/>
          </w:tcPr>
          <w:p w14:paraId="37F126C3">
            <w:pPr>
              <w:rPr>
                <w:rFonts w:ascii="Arial"/>
                <w:sz w:val="21"/>
              </w:rPr>
            </w:pPr>
          </w:p>
        </w:tc>
        <w:tc>
          <w:tcPr>
            <w:tcW w:w="1964" w:type="dxa"/>
            <w:vAlign w:val="top"/>
          </w:tcPr>
          <w:p w14:paraId="240531F1">
            <w:pPr>
              <w:pStyle w:val="6"/>
              <w:spacing w:before="130" w:line="219" w:lineRule="auto"/>
              <w:ind w:left="141"/>
              <w:rPr>
                <w:sz w:val="21"/>
                <w:szCs w:val="21"/>
              </w:rPr>
            </w:pPr>
            <w:r>
              <w:rPr>
                <w:spacing w:val="-1"/>
                <w:sz w:val="21"/>
                <w:szCs w:val="21"/>
              </w:rPr>
              <w:t>投标文件签字盖章</w:t>
            </w:r>
          </w:p>
        </w:tc>
        <w:tc>
          <w:tcPr>
            <w:tcW w:w="5135" w:type="dxa"/>
            <w:vAlign w:val="top"/>
          </w:tcPr>
          <w:p w14:paraId="55C4988C">
            <w:pPr>
              <w:pStyle w:val="6"/>
              <w:spacing w:before="130" w:line="219" w:lineRule="auto"/>
              <w:ind w:left="339"/>
              <w:rPr>
                <w:sz w:val="21"/>
                <w:szCs w:val="21"/>
              </w:rPr>
            </w:pPr>
            <w:r>
              <w:rPr>
                <w:spacing w:val="-3"/>
                <w:sz w:val="21"/>
                <w:szCs w:val="21"/>
              </w:rPr>
              <w:t>符合第二章“投标人须知</w:t>
            </w:r>
            <w:r>
              <w:rPr>
                <w:spacing w:val="-62"/>
                <w:sz w:val="21"/>
                <w:szCs w:val="21"/>
              </w:rPr>
              <w:t xml:space="preserve"> </w:t>
            </w:r>
            <w:r>
              <w:rPr>
                <w:spacing w:val="-3"/>
                <w:sz w:val="21"/>
                <w:szCs w:val="21"/>
              </w:rPr>
              <w:t>”第</w:t>
            </w:r>
            <w:r>
              <w:rPr>
                <w:spacing w:val="-32"/>
                <w:sz w:val="21"/>
                <w:szCs w:val="21"/>
              </w:rPr>
              <w:t xml:space="preserve"> </w:t>
            </w:r>
            <w:r>
              <w:rPr>
                <w:spacing w:val="-3"/>
                <w:sz w:val="21"/>
                <w:szCs w:val="21"/>
              </w:rPr>
              <w:t>3.7.3（4）目规定</w:t>
            </w:r>
          </w:p>
        </w:tc>
      </w:tr>
      <w:tr w14:paraId="17EA5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712" w:type="dxa"/>
            <w:vMerge w:val="continue"/>
            <w:tcBorders>
              <w:top w:val="nil"/>
              <w:bottom w:val="nil"/>
            </w:tcBorders>
            <w:vAlign w:val="top"/>
          </w:tcPr>
          <w:p w14:paraId="13EA3962">
            <w:pPr>
              <w:rPr>
                <w:rFonts w:ascii="Arial"/>
                <w:sz w:val="21"/>
              </w:rPr>
            </w:pPr>
          </w:p>
        </w:tc>
        <w:tc>
          <w:tcPr>
            <w:tcW w:w="719" w:type="dxa"/>
            <w:vMerge w:val="continue"/>
            <w:tcBorders>
              <w:top w:val="nil"/>
              <w:bottom w:val="nil"/>
            </w:tcBorders>
            <w:vAlign w:val="top"/>
          </w:tcPr>
          <w:p w14:paraId="2507D02C">
            <w:pPr>
              <w:rPr>
                <w:rFonts w:ascii="Arial"/>
                <w:sz w:val="21"/>
              </w:rPr>
            </w:pPr>
          </w:p>
        </w:tc>
        <w:tc>
          <w:tcPr>
            <w:tcW w:w="1964" w:type="dxa"/>
            <w:vAlign w:val="top"/>
          </w:tcPr>
          <w:p w14:paraId="7E235C99">
            <w:pPr>
              <w:pStyle w:val="6"/>
              <w:spacing w:before="130" w:line="220" w:lineRule="auto"/>
              <w:ind w:left="141"/>
              <w:rPr>
                <w:sz w:val="21"/>
                <w:szCs w:val="21"/>
              </w:rPr>
            </w:pPr>
            <w:r>
              <w:rPr>
                <w:spacing w:val="-1"/>
                <w:sz w:val="21"/>
                <w:szCs w:val="21"/>
              </w:rPr>
              <w:t>投标文件格式、内</w:t>
            </w:r>
          </w:p>
          <w:p w14:paraId="35665546">
            <w:pPr>
              <w:pStyle w:val="6"/>
              <w:spacing w:before="65" w:line="220" w:lineRule="auto"/>
              <w:ind w:left="877"/>
              <w:rPr>
                <w:sz w:val="21"/>
                <w:szCs w:val="21"/>
              </w:rPr>
            </w:pPr>
            <w:r>
              <w:rPr>
                <w:sz w:val="21"/>
                <w:szCs w:val="21"/>
              </w:rPr>
              <w:t>容</w:t>
            </w:r>
          </w:p>
        </w:tc>
        <w:tc>
          <w:tcPr>
            <w:tcW w:w="5135" w:type="dxa"/>
            <w:vAlign w:val="top"/>
          </w:tcPr>
          <w:p w14:paraId="1B8ACCC2">
            <w:pPr>
              <w:pStyle w:val="6"/>
              <w:spacing w:before="130" w:line="219" w:lineRule="auto"/>
              <w:ind w:left="159"/>
              <w:rPr>
                <w:sz w:val="21"/>
                <w:szCs w:val="21"/>
              </w:rPr>
            </w:pPr>
            <w:r>
              <w:rPr>
                <w:spacing w:val="-2"/>
                <w:sz w:val="21"/>
                <w:szCs w:val="21"/>
              </w:rPr>
              <w:t>符合第八章“投标文件格式</w:t>
            </w:r>
            <w:r>
              <w:rPr>
                <w:spacing w:val="-60"/>
                <w:sz w:val="21"/>
                <w:szCs w:val="21"/>
              </w:rPr>
              <w:t xml:space="preserve"> </w:t>
            </w:r>
            <w:r>
              <w:rPr>
                <w:spacing w:val="-2"/>
                <w:sz w:val="21"/>
                <w:szCs w:val="21"/>
              </w:rPr>
              <w:t>”的要求，实质性内容齐</w:t>
            </w:r>
          </w:p>
          <w:p w14:paraId="19B443C2">
            <w:pPr>
              <w:pStyle w:val="6"/>
              <w:spacing w:before="65" w:line="220" w:lineRule="auto"/>
              <w:ind w:left="1524"/>
              <w:rPr>
                <w:sz w:val="21"/>
                <w:szCs w:val="21"/>
              </w:rPr>
            </w:pPr>
            <w:r>
              <w:rPr>
                <w:spacing w:val="-1"/>
                <w:sz w:val="21"/>
                <w:szCs w:val="21"/>
              </w:rPr>
              <w:t>全、关键字迹清晰可辨</w:t>
            </w:r>
          </w:p>
        </w:tc>
      </w:tr>
      <w:tr w14:paraId="1D8C4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712" w:type="dxa"/>
            <w:vMerge w:val="continue"/>
            <w:tcBorders>
              <w:top w:val="nil"/>
              <w:bottom w:val="nil"/>
            </w:tcBorders>
            <w:vAlign w:val="top"/>
          </w:tcPr>
          <w:p w14:paraId="1E00CB7F">
            <w:pPr>
              <w:rPr>
                <w:rFonts w:ascii="Arial"/>
                <w:sz w:val="21"/>
              </w:rPr>
            </w:pPr>
          </w:p>
        </w:tc>
        <w:tc>
          <w:tcPr>
            <w:tcW w:w="719" w:type="dxa"/>
            <w:vMerge w:val="continue"/>
            <w:tcBorders>
              <w:top w:val="nil"/>
              <w:bottom w:val="nil"/>
            </w:tcBorders>
            <w:vAlign w:val="top"/>
          </w:tcPr>
          <w:p w14:paraId="20B95B55">
            <w:pPr>
              <w:rPr>
                <w:rFonts w:ascii="Arial"/>
                <w:sz w:val="21"/>
              </w:rPr>
            </w:pPr>
          </w:p>
        </w:tc>
        <w:tc>
          <w:tcPr>
            <w:tcW w:w="1964" w:type="dxa"/>
            <w:vAlign w:val="top"/>
          </w:tcPr>
          <w:p w14:paraId="1529C251">
            <w:pPr>
              <w:pStyle w:val="6"/>
              <w:spacing w:before="131" w:line="220" w:lineRule="auto"/>
              <w:ind w:left="140"/>
              <w:rPr>
                <w:sz w:val="21"/>
                <w:szCs w:val="21"/>
              </w:rPr>
            </w:pPr>
            <w:r>
              <w:rPr>
                <w:spacing w:val="-1"/>
                <w:sz w:val="21"/>
                <w:szCs w:val="21"/>
              </w:rPr>
              <w:t>联合体投标人（如</w:t>
            </w:r>
          </w:p>
          <w:p w14:paraId="42631406">
            <w:pPr>
              <w:pStyle w:val="6"/>
              <w:spacing w:before="65" w:line="220" w:lineRule="auto"/>
              <w:ind w:left="771"/>
              <w:rPr>
                <w:sz w:val="21"/>
                <w:szCs w:val="21"/>
              </w:rPr>
            </w:pPr>
            <w:r>
              <w:rPr>
                <w:spacing w:val="-6"/>
                <w:sz w:val="21"/>
                <w:szCs w:val="21"/>
              </w:rPr>
              <w:t>有）</w:t>
            </w:r>
          </w:p>
        </w:tc>
        <w:tc>
          <w:tcPr>
            <w:tcW w:w="5135" w:type="dxa"/>
            <w:vAlign w:val="top"/>
          </w:tcPr>
          <w:p w14:paraId="085928CA">
            <w:pPr>
              <w:pStyle w:val="6"/>
              <w:spacing w:before="296" w:line="219" w:lineRule="auto"/>
              <w:ind w:left="684"/>
              <w:rPr>
                <w:sz w:val="21"/>
                <w:szCs w:val="21"/>
              </w:rPr>
            </w:pPr>
            <w:r>
              <w:rPr>
                <w:spacing w:val="-1"/>
                <w:sz w:val="21"/>
                <w:szCs w:val="21"/>
              </w:rPr>
              <w:t>提交联合体协议书，并明确联合体牵头人</w:t>
            </w:r>
          </w:p>
        </w:tc>
      </w:tr>
      <w:tr w14:paraId="7653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12" w:type="dxa"/>
            <w:vMerge w:val="continue"/>
            <w:tcBorders>
              <w:top w:val="nil"/>
              <w:bottom w:val="nil"/>
            </w:tcBorders>
            <w:vAlign w:val="top"/>
          </w:tcPr>
          <w:p w14:paraId="01E2FB07">
            <w:pPr>
              <w:rPr>
                <w:rFonts w:ascii="Arial"/>
                <w:sz w:val="21"/>
              </w:rPr>
            </w:pPr>
          </w:p>
        </w:tc>
        <w:tc>
          <w:tcPr>
            <w:tcW w:w="719" w:type="dxa"/>
            <w:vMerge w:val="continue"/>
            <w:tcBorders>
              <w:top w:val="nil"/>
              <w:bottom w:val="nil"/>
            </w:tcBorders>
            <w:vAlign w:val="top"/>
          </w:tcPr>
          <w:p w14:paraId="7DD06AF0">
            <w:pPr>
              <w:rPr>
                <w:rFonts w:ascii="Arial"/>
                <w:sz w:val="21"/>
              </w:rPr>
            </w:pPr>
          </w:p>
        </w:tc>
        <w:tc>
          <w:tcPr>
            <w:tcW w:w="1964" w:type="dxa"/>
            <w:vAlign w:val="top"/>
          </w:tcPr>
          <w:p w14:paraId="63971065">
            <w:pPr>
              <w:pStyle w:val="6"/>
              <w:spacing w:before="133" w:line="218" w:lineRule="auto"/>
              <w:ind w:left="558"/>
              <w:rPr>
                <w:sz w:val="21"/>
                <w:szCs w:val="21"/>
              </w:rPr>
            </w:pPr>
            <w:r>
              <w:rPr>
                <w:spacing w:val="1"/>
                <w:sz w:val="21"/>
                <w:szCs w:val="21"/>
              </w:rPr>
              <w:t>报价唯一</w:t>
            </w:r>
          </w:p>
        </w:tc>
        <w:tc>
          <w:tcPr>
            <w:tcW w:w="5135" w:type="dxa"/>
            <w:vAlign w:val="top"/>
          </w:tcPr>
          <w:p w14:paraId="385B8C40">
            <w:pPr>
              <w:pStyle w:val="6"/>
              <w:spacing w:before="133" w:line="218" w:lineRule="auto"/>
              <w:ind w:left="380"/>
              <w:rPr>
                <w:sz w:val="21"/>
                <w:szCs w:val="21"/>
              </w:rPr>
            </w:pPr>
            <w:r>
              <w:rPr>
                <w:spacing w:val="-2"/>
                <w:sz w:val="21"/>
                <w:szCs w:val="21"/>
              </w:rPr>
              <w:t>只能有一个有效报价（指投标函中的大写报价）</w:t>
            </w:r>
          </w:p>
        </w:tc>
      </w:tr>
      <w:tr w14:paraId="3912C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712" w:type="dxa"/>
            <w:vMerge w:val="continue"/>
            <w:tcBorders>
              <w:top w:val="nil"/>
            </w:tcBorders>
            <w:vAlign w:val="top"/>
          </w:tcPr>
          <w:p w14:paraId="6526EC1E">
            <w:pPr>
              <w:rPr>
                <w:rFonts w:ascii="Arial"/>
                <w:sz w:val="21"/>
              </w:rPr>
            </w:pPr>
          </w:p>
        </w:tc>
        <w:tc>
          <w:tcPr>
            <w:tcW w:w="719" w:type="dxa"/>
            <w:vMerge w:val="continue"/>
            <w:tcBorders>
              <w:top w:val="nil"/>
            </w:tcBorders>
            <w:vAlign w:val="top"/>
          </w:tcPr>
          <w:p w14:paraId="0D6C66A1">
            <w:pPr>
              <w:rPr>
                <w:rFonts w:ascii="Arial"/>
                <w:sz w:val="21"/>
              </w:rPr>
            </w:pPr>
          </w:p>
        </w:tc>
        <w:tc>
          <w:tcPr>
            <w:tcW w:w="1964" w:type="dxa"/>
            <w:vAlign w:val="top"/>
          </w:tcPr>
          <w:p w14:paraId="38F11CC5">
            <w:pPr>
              <w:pStyle w:val="6"/>
              <w:spacing w:before="135" w:line="220" w:lineRule="auto"/>
              <w:ind w:left="464"/>
              <w:rPr>
                <w:sz w:val="21"/>
                <w:szCs w:val="21"/>
              </w:rPr>
            </w:pPr>
            <w:r>
              <w:rPr>
                <w:spacing w:val="-3"/>
                <w:sz w:val="21"/>
                <w:szCs w:val="21"/>
              </w:rPr>
              <w:t>多标段投标</w:t>
            </w:r>
          </w:p>
        </w:tc>
        <w:tc>
          <w:tcPr>
            <w:tcW w:w="5135" w:type="dxa"/>
            <w:vAlign w:val="top"/>
          </w:tcPr>
          <w:p w14:paraId="4D0C9584">
            <w:pPr>
              <w:pStyle w:val="6"/>
              <w:spacing w:before="134" w:line="219" w:lineRule="auto"/>
              <w:ind w:left="625"/>
              <w:rPr>
                <w:sz w:val="21"/>
                <w:szCs w:val="21"/>
              </w:rPr>
            </w:pPr>
            <w:r>
              <w:rPr>
                <w:spacing w:val="-4"/>
                <w:sz w:val="21"/>
                <w:szCs w:val="21"/>
              </w:rPr>
              <w:t>符合第二章“投标人须知</w:t>
            </w:r>
            <w:r>
              <w:rPr>
                <w:spacing w:val="-63"/>
                <w:sz w:val="21"/>
                <w:szCs w:val="21"/>
              </w:rPr>
              <w:t xml:space="preserve"> </w:t>
            </w:r>
            <w:r>
              <w:rPr>
                <w:spacing w:val="-4"/>
                <w:sz w:val="21"/>
                <w:szCs w:val="21"/>
              </w:rPr>
              <w:t>”第</w:t>
            </w:r>
            <w:r>
              <w:rPr>
                <w:spacing w:val="-20"/>
                <w:sz w:val="21"/>
                <w:szCs w:val="21"/>
              </w:rPr>
              <w:t xml:space="preserve"> </w:t>
            </w:r>
            <w:r>
              <w:rPr>
                <w:spacing w:val="-4"/>
                <w:sz w:val="21"/>
                <w:szCs w:val="21"/>
              </w:rPr>
              <w:t>10.1</w:t>
            </w:r>
            <w:r>
              <w:rPr>
                <w:spacing w:val="-36"/>
                <w:sz w:val="21"/>
                <w:szCs w:val="21"/>
              </w:rPr>
              <w:t xml:space="preserve"> </w:t>
            </w:r>
            <w:r>
              <w:rPr>
                <w:spacing w:val="-4"/>
                <w:sz w:val="21"/>
                <w:szCs w:val="21"/>
              </w:rPr>
              <w:t>款规定</w:t>
            </w:r>
          </w:p>
        </w:tc>
      </w:tr>
      <w:tr w14:paraId="2D189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712" w:type="dxa"/>
            <w:vMerge w:val="restart"/>
            <w:tcBorders>
              <w:bottom w:val="nil"/>
            </w:tcBorders>
            <w:vAlign w:val="top"/>
          </w:tcPr>
          <w:p w14:paraId="2A545B3B">
            <w:pPr>
              <w:spacing w:line="265" w:lineRule="auto"/>
              <w:rPr>
                <w:rFonts w:ascii="Arial"/>
                <w:sz w:val="21"/>
              </w:rPr>
            </w:pPr>
          </w:p>
          <w:p w14:paraId="2F8B2774">
            <w:pPr>
              <w:spacing w:line="265" w:lineRule="auto"/>
              <w:rPr>
                <w:rFonts w:ascii="Arial"/>
                <w:sz w:val="21"/>
              </w:rPr>
            </w:pPr>
          </w:p>
          <w:p w14:paraId="4A9E2F2F">
            <w:pPr>
              <w:spacing w:line="265" w:lineRule="auto"/>
              <w:rPr>
                <w:rFonts w:ascii="Arial"/>
                <w:sz w:val="21"/>
              </w:rPr>
            </w:pPr>
          </w:p>
          <w:p w14:paraId="10F2083E">
            <w:pPr>
              <w:spacing w:line="265" w:lineRule="auto"/>
              <w:rPr>
                <w:rFonts w:ascii="Arial"/>
                <w:sz w:val="21"/>
              </w:rPr>
            </w:pPr>
          </w:p>
          <w:p w14:paraId="29CCDF50">
            <w:pPr>
              <w:spacing w:line="265" w:lineRule="auto"/>
              <w:rPr>
                <w:rFonts w:ascii="Arial"/>
                <w:sz w:val="21"/>
              </w:rPr>
            </w:pPr>
          </w:p>
          <w:p w14:paraId="4372B989">
            <w:pPr>
              <w:spacing w:line="266" w:lineRule="auto"/>
              <w:rPr>
                <w:rFonts w:ascii="Arial"/>
                <w:sz w:val="21"/>
              </w:rPr>
            </w:pPr>
          </w:p>
          <w:p w14:paraId="3FCBAB85">
            <w:pPr>
              <w:spacing w:line="266" w:lineRule="auto"/>
              <w:rPr>
                <w:rFonts w:ascii="Arial"/>
                <w:sz w:val="21"/>
              </w:rPr>
            </w:pPr>
          </w:p>
          <w:p w14:paraId="2A347581">
            <w:pPr>
              <w:pStyle w:val="6"/>
              <w:spacing w:before="68" w:line="239" w:lineRule="auto"/>
              <w:ind w:left="146"/>
              <w:rPr>
                <w:sz w:val="21"/>
                <w:szCs w:val="21"/>
              </w:rPr>
            </w:pPr>
            <w:r>
              <w:rPr>
                <w:spacing w:val="-3"/>
                <w:sz w:val="21"/>
                <w:szCs w:val="21"/>
              </w:rPr>
              <w:t>2.1.</w:t>
            </w:r>
          </w:p>
          <w:p w14:paraId="048E8A73">
            <w:pPr>
              <w:pStyle w:val="6"/>
              <w:spacing w:before="43" w:line="241" w:lineRule="auto"/>
              <w:ind w:left="311"/>
              <w:rPr>
                <w:sz w:val="21"/>
                <w:szCs w:val="21"/>
              </w:rPr>
            </w:pPr>
            <w:r>
              <w:rPr>
                <w:sz w:val="21"/>
                <w:szCs w:val="21"/>
              </w:rPr>
              <w:t>2</w:t>
            </w:r>
          </w:p>
        </w:tc>
        <w:tc>
          <w:tcPr>
            <w:tcW w:w="719" w:type="dxa"/>
            <w:vMerge w:val="restart"/>
            <w:tcBorders>
              <w:bottom w:val="nil"/>
            </w:tcBorders>
            <w:vAlign w:val="top"/>
          </w:tcPr>
          <w:p w14:paraId="42B1EE3C">
            <w:pPr>
              <w:spacing w:line="278" w:lineRule="auto"/>
              <w:rPr>
                <w:rFonts w:ascii="Arial"/>
                <w:sz w:val="21"/>
              </w:rPr>
            </w:pPr>
          </w:p>
          <w:p w14:paraId="7615ADA3">
            <w:pPr>
              <w:spacing w:line="278" w:lineRule="auto"/>
              <w:rPr>
                <w:rFonts w:ascii="Arial"/>
                <w:sz w:val="21"/>
              </w:rPr>
            </w:pPr>
          </w:p>
          <w:p w14:paraId="1F0E4157">
            <w:pPr>
              <w:spacing w:line="279" w:lineRule="auto"/>
              <w:rPr>
                <w:rFonts w:ascii="Arial"/>
                <w:sz w:val="21"/>
              </w:rPr>
            </w:pPr>
          </w:p>
          <w:p w14:paraId="0EFFE051">
            <w:pPr>
              <w:spacing w:line="279" w:lineRule="auto"/>
              <w:rPr>
                <w:rFonts w:ascii="Arial"/>
                <w:sz w:val="21"/>
              </w:rPr>
            </w:pPr>
          </w:p>
          <w:p w14:paraId="6E205D90">
            <w:pPr>
              <w:spacing w:line="279" w:lineRule="auto"/>
              <w:rPr>
                <w:rFonts w:ascii="Arial"/>
                <w:sz w:val="21"/>
              </w:rPr>
            </w:pPr>
          </w:p>
          <w:p w14:paraId="07AE8611">
            <w:pPr>
              <w:pStyle w:val="6"/>
              <w:spacing w:before="68" w:line="275" w:lineRule="auto"/>
              <w:ind w:left="136" w:right="154" w:firstLine="9"/>
              <w:jc w:val="both"/>
              <w:rPr>
                <w:sz w:val="21"/>
                <w:szCs w:val="21"/>
              </w:rPr>
            </w:pPr>
            <w:r>
              <w:rPr>
                <w:spacing w:val="-9"/>
                <w:sz w:val="21"/>
                <w:szCs w:val="21"/>
              </w:rPr>
              <w:t>资格</w:t>
            </w:r>
            <w:r>
              <w:rPr>
                <w:spacing w:val="-4"/>
                <w:sz w:val="21"/>
                <w:szCs w:val="21"/>
              </w:rPr>
              <w:t>评审标准</w:t>
            </w:r>
            <w:r>
              <w:rPr>
                <w:spacing w:val="-12"/>
                <w:sz w:val="21"/>
                <w:szCs w:val="21"/>
              </w:rPr>
              <w:t>﹙后</w:t>
            </w:r>
            <w:r>
              <w:rPr>
                <w:spacing w:val="-23"/>
                <w:sz w:val="21"/>
                <w:szCs w:val="21"/>
              </w:rPr>
              <w:t>审﹚</w:t>
            </w:r>
          </w:p>
        </w:tc>
        <w:tc>
          <w:tcPr>
            <w:tcW w:w="1964" w:type="dxa"/>
            <w:vAlign w:val="top"/>
          </w:tcPr>
          <w:p w14:paraId="257A89D1">
            <w:pPr>
              <w:pStyle w:val="6"/>
              <w:spacing w:before="135" w:line="220" w:lineRule="auto"/>
              <w:ind w:left="566"/>
              <w:rPr>
                <w:sz w:val="21"/>
                <w:szCs w:val="21"/>
              </w:rPr>
            </w:pPr>
            <w:r>
              <w:rPr>
                <w:spacing w:val="-3"/>
                <w:sz w:val="21"/>
                <w:szCs w:val="21"/>
              </w:rPr>
              <w:t>营业执照</w:t>
            </w:r>
          </w:p>
        </w:tc>
        <w:tc>
          <w:tcPr>
            <w:tcW w:w="5135" w:type="dxa"/>
            <w:vAlign w:val="top"/>
          </w:tcPr>
          <w:p w14:paraId="65D39151">
            <w:pPr>
              <w:pStyle w:val="6"/>
              <w:spacing w:before="135" w:line="220" w:lineRule="auto"/>
              <w:ind w:left="1633"/>
              <w:rPr>
                <w:sz w:val="21"/>
                <w:szCs w:val="21"/>
              </w:rPr>
            </w:pPr>
            <w:r>
              <w:rPr>
                <w:spacing w:val="-1"/>
                <w:sz w:val="21"/>
                <w:szCs w:val="21"/>
              </w:rPr>
              <w:t>具备有效的营业执照</w:t>
            </w:r>
          </w:p>
        </w:tc>
      </w:tr>
      <w:tr w14:paraId="30325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bottom w:val="nil"/>
            </w:tcBorders>
            <w:vAlign w:val="top"/>
          </w:tcPr>
          <w:p w14:paraId="45281388">
            <w:pPr>
              <w:rPr>
                <w:rFonts w:ascii="Arial"/>
                <w:sz w:val="21"/>
              </w:rPr>
            </w:pPr>
          </w:p>
        </w:tc>
        <w:tc>
          <w:tcPr>
            <w:tcW w:w="719" w:type="dxa"/>
            <w:vMerge w:val="continue"/>
            <w:tcBorders>
              <w:top w:val="nil"/>
              <w:bottom w:val="nil"/>
            </w:tcBorders>
            <w:vAlign w:val="top"/>
          </w:tcPr>
          <w:p w14:paraId="0B7A1439">
            <w:pPr>
              <w:rPr>
                <w:rFonts w:ascii="Arial"/>
                <w:sz w:val="21"/>
              </w:rPr>
            </w:pPr>
          </w:p>
        </w:tc>
        <w:tc>
          <w:tcPr>
            <w:tcW w:w="1964" w:type="dxa"/>
            <w:vAlign w:val="top"/>
          </w:tcPr>
          <w:p w14:paraId="7C3D372D">
            <w:pPr>
              <w:pStyle w:val="6"/>
              <w:spacing w:before="136" w:line="220" w:lineRule="auto"/>
              <w:ind w:left="248"/>
              <w:rPr>
                <w:sz w:val="21"/>
                <w:szCs w:val="21"/>
              </w:rPr>
            </w:pPr>
            <w:r>
              <w:rPr>
                <w:spacing w:val="-2"/>
                <w:sz w:val="21"/>
                <w:szCs w:val="21"/>
              </w:rPr>
              <w:t>安全生产许可证</w:t>
            </w:r>
          </w:p>
        </w:tc>
        <w:tc>
          <w:tcPr>
            <w:tcW w:w="5135" w:type="dxa"/>
            <w:vAlign w:val="top"/>
          </w:tcPr>
          <w:p w14:paraId="049CB4DB">
            <w:pPr>
              <w:pStyle w:val="6"/>
              <w:spacing w:before="136" w:line="220" w:lineRule="auto"/>
              <w:ind w:left="687"/>
              <w:rPr>
                <w:sz w:val="21"/>
                <w:szCs w:val="21"/>
              </w:rPr>
            </w:pPr>
            <w:r>
              <w:rPr>
                <w:spacing w:val="-1"/>
                <w:sz w:val="21"/>
                <w:szCs w:val="21"/>
              </w:rPr>
              <w:t>具备有效的安全生产许可证（如有要求）</w:t>
            </w:r>
          </w:p>
        </w:tc>
      </w:tr>
      <w:tr w14:paraId="3776B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712" w:type="dxa"/>
            <w:vMerge w:val="continue"/>
            <w:tcBorders>
              <w:top w:val="nil"/>
              <w:bottom w:val="nil"/>
            </w:tcBorders>
            <w:vAlign w:val="top"/>
          </w:tcPr>
          <w:p w14:paraId="4276053A">
            <w:pPr>
              <w:rPr>
                <w:rFonts w:ascii="Arial"/>
                <w:sz w:val="21"/>
              </w:rPr>
            </w:pPr>
          </w:p>
        </w:tc>
        <w:tc>
          <w:tcPr>
            <w:tcW w:w="719" w:type="dxa"/>
            <w:vMerge w:val="continue"/>
            <w:tcBorders>
              <w:top w:val="nil"/>
              <w:bottom w:val="nil"/>
            </w:tcBorders>
            <w:vAlign w:val="top"/>
          </w:tcPr>
          <w:p w14:paraId="736EF08F">
            <w:pPr>
              <w:rPr>
                <w:rFonts w:ascii="Arial"/>
                <w:sz w:val="21"/>
              </w:rPr>
            </w:pPr>
          </w:p>
        </w:tc>
        <w:tc>
          <w:tcPr>
            <w:tcW w:w="1964" w:type="dxa"/>
            <w:vAlign w:val="top"/>
          </w:tcPr>
          <w:p w14:paraId="3CA993AA">
            <w:pPr>
              <w:pStyle w:val="6"/>
              <w:spacing w:before="302" w:line="220" w:lineRule="auto"/>
              <w:ind w:left="568"/>
              <w:rPr>
                <w:sz w:val="21"/>
                <w:szCs w:val="21"/>
              </w:rPr>
            </w:pPr>
            <w:r>
              <w:rPr>
                <w:spacing w:val="-3"/>
                <w:sz w:val="21"/>
                <w:szCs w:val="21"/>
              </w:rPr>
              <w:t>资质等级</w:t>
            </w:r>
          </w:p>
        </w:tc>
        <w:tc>
          <w:tcPr>
            <w:tcW w:w="5135" w:type="dxa"/>
            <w:vAlign w:val="top"/>
          </w:tcPr>
          <w:p w14:paraId="2DA0ACA0">
            <w:pPr>
              <w:pStyle w:val="6"/>
              <w:spacing w:before="136" w:line="219" w:lineRule="auto"/>
              <w:ind w:left="144"/>
              <w:rPr>
                <w:sz w:val="21"/>
                <w:szCs w:val="21"/>
              </w:rPr>
            </w:pPr>
            <w:r>
              <w:rPr>
                <w:spacing w:val="-3"/>
                <w:sz w:val="21"/>
                <w:szCs w:val="21"/>
              </w:rPr>
              <w:t>符合第二章“投标人须知</w:t>
            </w:r>
            <w:r>
              <w:rPr>
                <w:spacing w:val="-69"/>
                <w:sz w:val="21"/>
                <w:szCs w:val="21"/>
              </w:rPr>
              <w:t xml:space="preserve"> </w:t>
            </w:r>
            <w:r>
              <w:rPr>
                <w:spacing w:val="-3"/>
                <w:sz w:val="21"/>
                <w:szCs w:val="21"/>
              </w:rPr>
              <w:t>”第</w:t>
            </w:r>
            <w:r>
              <w:rPr>
                <w:spacing w:val="-21"/>
                <w:sz w:val="21"/>
                <w:szCs w:val="21"/>
              </w:rPr>
              <w:t xml:space="preserve"> </w:t>
            </w:r>
            <w:r>
              <w:rPr>
                <w:spacing w:val="-3"/>
                <w:sz w:val="21"/>
                <w:szCs w:val="21"/>
              </w:rPr>
              <w:t>1.4.1</w:t>
            </w:r>
            <w:r>
              <w:rPr>
                <w:spacing w:val="-33"/>
                <w:sz w:val="21"/>
                <w:szCs w:val="21"/>
              </w:rPr>
              <w:t xml:space="preserve"> </w:t>
            </w:r>
            <w:r>
              <w:rPr>
                <w:spacing w:val="-3"/>
                <w:sz w:val="21"/>
                <w:szCs w:val="21"/>
              </w:rPr>
              <w:t>项规定（如有要</w:t>
            </w:r>
          </w:p>
          <w:p w14:paraId="56E1E9C3">
            <w:pPr>
              <w:pStyle w:val="6"/>
              <w:spacing w:before="66" w:line="221" w:lineRule="auto"/>
              <w:ind w:left="2367"/>
              <w:rPr>
                <w:sz w:val="21"/>
                <w:szCs w:val="21"/>
              </w:rPr>
            </w:pPr>
            <w:r>
              <w:rPr>
                <w:spacing w:val="-6"/>
                <w:sz w:val="21"/>
                <w:szCs w:val="21"/>
              </w:rPr>
              <w:t>求）</w:t>
            </w:r>
          </w:p>
        </w:tc>
      </w:tr>
      <w:tr w14:paraId="7491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bottom w:val="nil"/>
            </w:tcBorders>
            <w:vAlign w:val="top"/>
          </w:tcPr>
          <w:p w14:paraId="4FDFE699">
            <w:pPr>
              <w:rPr>
                <w:rFonts w:ascii="Arial"/>
                <w:sz w:val="21"/>
              </w:rPr>
            </w:pPr>
          </w:p>
        </w:tc>
        <w:tc>
          <w:tcPr>
            <w:tcW w:w="719" w:type="dxa"/>
            <w:vMerge w:val="continue"/>
            <w:tcBorders>
              <w:top w:val="nil"/>
              <w:bottom w:val="nil"/>
            </w:tcBorders>
            <w:vAlign w:val="top"/>
          </w:tcPr>
          <w:p w14:paraId="7266FB12">
            <w:pPr>
              <w:rPr>
                <w:rFonts w:ascii="Arial"/>
                <w:sz w:val="21"/>
              </w:rPr>
            </w:pPr>
          </w:p>
        </w:tc>
        <w:tc>
          <w:tcPr>
            <w:tcW w:w="1964" w:type="dxa"/>
            <w:vAlign w:val="top"/>
          </w:tcPr>
          <w:p w14:paraId="02A02916">
            <w:pPr>
              <w:pStyle w:val="6"/>
              <w:spacing w:before="138" w:line="220" w:lineRule="auto"/>
              <w:ind w:left="560"/>
              <w:rPr>
                <w:sz w:val="21"/>
                <w:szCs w:val="21"/>
              </w:rPr>
            </w:pPr>
            <w:r>
              <w:rPr>
                <w:spacing w:val="-2"/>
                <w:sz w:val="21"/>
                <w:szCs w:val="21"/>
              </w:rPr>
              <w:t>财务状况</w:t>
            </w:r>
          </w:p>
        </w:tc>
        <w:tc>
          <w:tcPr>
            <w:tcW w:w="5135" w:type="dxa"/>
            <w:vAlign w:val="top"/>
          </w:tcPr>
          <w:p w14:paraId="0AF46F2F">
            <w:pPr>
              <w:pStyle w:val="6"/>
              <w:spacing w:before="138"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1DE9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712" w:type="dxa"/>
            <w:vMerge w:val="continue"/>
            <w:tcBorders>
              <w:top w:val="nil"/>
              <w:bottom w:val="nil"/>
            </w:tcBorders>
            <w:vAlign w:val="top"/>
          </w:tcPr>
          <w:p w14:paraId="79AD3F38">
            <w:pPr>
              <w:rPr>
                <w:rFonts w:ascii="Arial"/>
                <w:sz w:val="21"/>
              </w:rPr>
            </w:pPr>
          </w:p>
        </w:tc>
        <w:tc>
          <w:tcPr>
            <w:tcW w:w="719" w:type="dxa"/>
            <w:vMerge w:val="continue"/>
            <w:tcBorders>
              <w:top w:val="nil"/>
              <w:bottom w:val="nil"/>
            </w:tcBorders>
            <w:vAlign w:val="top"/>
          </w:tcPr>
          <w:p w14:paraId="1414DEC2">
            <w:pPr>
              <w:rPr>
                <w:rFonts w:ascii="Arial"/>
                <w:sz w:val="21"/>
              </w:rPr>
            </w:pPr>
          </w:p>
        </w:tc>
        <w:tc>
          <w:tcPr>
            <w:tcW w:w="1964" w:type="dxa"/>
            <w:vAlign w:val="top"/>
          </w:tcPr>
          <w:p w14:paraId="7085CE23">
            <w:pPr>
              <w:pStyle w:val="6"/>
              <w:spacing w:before="139" w:line="220" w:lineRule="auto"/>
              <w:ind w:left="349"/>
              <w:rPr>
                <w:sz w:val="21"/>
                <w:szCs w:val="21"/>
              </w:rPr>
            </w:pPr>
            <w:r>
              <w:rPr>
                <w:spacing w:val="-1"/>
                <w:sz w:val="21"/>
                <w:szCs w:val="21"/>
              </w:rPr>
              <w:t>类似项目业绩</w:t>
            </w:r>
          </w:p>
        </w:tc>
        <w:tc>
          <w:tcPr>
            <w:tcW w:w="5135" w:type="dxa"/>
            <w:vAlign w:val="top"/>
          </w:tcPr>
          <w:p w14:paraId="7AB085AD">
            <w:pPr>
              <w:pStyle w:val="6"/>
              <w:spacing w:before="139"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13DEE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bottom w:val="nil"/>
            </w:tcBorders>
            <w:vAlign w:val="top"/>
          </w:tcPr>
          <w:p w14:paraId="307A8C48">
            <w:pPr>
              <w:rPr>
                <w:rFonts w:ascii="Arial"/>
                <w:sz w:val="21"/>
              </w:rPr>
            </w:pPr>
          </w:p>
        </w:tc>
        <w:tc>
          <w:tcPr>
            <w:tcW w:w="719" w:type="dxa"/>
            <w:vMerge w:val="continue"/>
            <w:tcBorders>
              <w:top w:val="nil"/>
              <w:bottom w:val="nil"/>
            </w:tcBorders>
            <w:vAlign w:val="top"/>
          </w:tcPr>
          <w:p w14:paraId="7672A999">
            <w:pPr>
              <w:rPr>
                <w:rFonts w:ascii="Arial"/>
                <w:sz w:val="21"/>
              </w:rPr>
            </w:pPr>
          </w:p>
        </w:tc>
        <w:tc>
          <w:tcPr>
            <w:tcW w:w="1964" w:type="dxa"/>
            <w:vAlign w:val="top"/>
          </w:tcPr>
          <w:p w14:paraId="41E97E38">
            <w:pPr>
              <w:pStyle w:val="6"/>
              <w:spacing w:before="140" w:line="219" w:lineRule="auto"/>
              <w:ind w:left="770"/>
              <w:rPr>
                <w:sz w:val="21"/>
                <w:szCs w:val="21"/>
              </w:rPr>
            </w:pPr>
            <w:r>
              <w:rPr>
                <w:spacing w:val="-2"/>
                <w:sz w:val="21"/>
                <w:szCs w:val="21"/>
              </w:rPr>
              <w:t>信誉</w:t>
            </w:r>
          </w:p>
        </w:tc>
        <w:tc>
          <w:tcPr>
            <w:tcW w:w="5135" w:type="dxa"/>
            <w:vAlign w:val="top"/>
          </w:tcPr>
          <w:p w14:paraId="48A6C95A">
            <w:pPr>
              <w:pStyle w:val="6"/>
              <w:spacing w:before="140"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0C1F0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712" w:type="dxa"/>
            <w:vMerge w:val="continue"/>
            <w:tcBorders>
              <w:top w:val="nil"/>
              <w:bottom w:val="nil"/>
            </w:tcBorders>
            <w:vAlign w:val="top"/>
          </w:tcPr>
          <w:p w14:paraId="42FB9D91">
            <w:pPr>
              <w:rPr>
                <w:rFonts w:ascii="Arial"/>
                <w:sz w:val="21"/>
              </w:rPr>
            </w:pPr>
          </w:p>
        </w:tc>
        <w:tc>
          <w:tcPr>
            <w:tcW w:w="719" w:type="dxa"/>
            <w:vMerge w:val="continue"/>
            <w:tcBorders>
              <w:top w:val="nil"/>
              <w:bottom w:val="nil"/>
            </w:tcBorders>
            <w:vAlign w:val="top"/>
          </w:tcPr>
          <w:p w14:paraId="3EA94556">
            <w:pPr>
              <w:rPr>
                <w:rFonts w:ascii="Arial"/>
                <w:sz w:val="21"/>
              </w:rPr>
            </w:pPr>
          </w:p>
        </w:tc>
        <w:tc>
          <w:tcPr>
            <w:tcW w:w="1964" w:type="dxa"/>
            <w:vAlign w:val="top"/>
          </w:tcPr>
          <w:p w14:paraId="5CC98164">
            <w:pPr>
              <w:pStyle w:val="6"/>
              <w:spacing w:before="141" w:line="220" w:lineRule="auto"/>
              <w:ind w:left="352"/>
              <w:rPr>
                <w:sz w:val="21"/>
                <w:szCs w:val="21"/>
              </w:rPr>
            </w:pPr>
            <w:r>
              <w:rPr>
                <w:spacing w:val="-2"/>
                <w:sz w:val="21"/>
                <w:szCs w:val="21"/>
              </w:rPr>
              <w:t>项目经理资格</w:t>
            </w:r>
          </w:p>
        </w:tc>
        <w:tc>
          <w:tcPr>
            <w:tcW w:w="5135" w:type="dxa"/>
            <w:vAlign w:val="top"/>
          </w:tcPr>
          <w:p w14:paraId="39771107">
            <w:pPr>
              <w:pStyle w:val="6"/>
              <w:spacing w:before="141"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r w14:paraId="10E6A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712" w:type="dxa"/>
            <w:vMerge w:val="continue"/>
            <w:tcBorders>
              <w:top w:val="nil"/>
            </w:tcBorders>
            <w:vAlign w:val="top"/>
          </w:tcPr>
          <w:p w14:paraId="6357D171">
            <w:pPr>
              <w:rPr>
                <w:rFonts w:ascii="Arial"/>
                <w:sz w:val="21"/>
              </w:rPr>
            </w:pPr>
          </w:p>
        </w:tc>
        <w:tc>
          <w:tcPr>
            <w:tcW w:w="719" w:type="dxa"/>
            <w:vMerge w:val="continue"/>
            <w:tcBorders>
              <w:top w:val="nil"/>
            </w:tcBorders>
            <w:vAlign w:val="top"/>
          </w:tcPr>
          <w:p w14:paraId="5FDC867D">
            <w:pPr>
              <w:rPr>
                <w:rFonts w:ascii="Arial"/>
                <w:sz w:val="21"/>
              </w:rPr>
            </w:pPr>
          </w:p>
        </w:tc>
        <w:tc>
          <w:tcPr>
            <w:tcW w:w="1964" w:type="dxa"/>
            <w:vAlign w:val="top"/>
          </w:tcPr>
          <w:p w14:paraId="2740D5B4">
            <w:pPr>
              <w:pStyle w:val="6"/>
              <w:spacing w:before="142" w:line="220" w:lineRule="auto"/>
              <w:ind w:left="560"/>
              <w:rPr>
                <w:sz w:val="21"/>
                <w:szCs w:val="21"/>
              </w:rPr>
            </w:pPr>
            <w:r>
              <w:rPr>
                <w:spacing w:val="-2"/>
                <w:sz w:val="21"/>
                <w:szCs w:val="21"/>
              </w:rPr>
              <w:t>其他要求</w:t>
            </w:r>
          </w:p>
        </w:tc>
        <w:tc>
          <w:tcPr>
            <w:tcW w:w="5135" w:type="dxa"/>
            <w:vAlign w:val="top"/>
          </w:tcPr>
          <w:p w14:paraId="25874E23">
            <w:pPr>
              <w:pStyle w:val="6"/>
              <w:spacing w:before="141"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1.4.1</w:t>
            </w:r>
            <w:r>
              <w:rPr>
                <w:spacing w:val="-33"/>
                <w:sz w:val="21"/>
                <w:szCs w:val="21"/>
              </w:rPr>
              <w:t xml:space="preserve"> </w:t>
            </w:r>
            <w:r>
              <w:rPr>
                <w:spacing w:val="-4"/>
                <w:sz w:val="21"/>
                <w:szCs w:val="21"/>
              </w:rPr>
              <w:t>项规定</w:t>
            </w:r>
          </w:p>
        </w:tc>
      </w:tr>
    </w:tbl>
    <w:p w14:paraId="4AE03EC4">
      <w:pPr>
        <w:pStyle w:val="2"/>
      </w:pPr>
    </w:p>
    <w:p w14:paraId="40A54584">
      <w:pPr>
        <w:sectPr>
          <w:footerReference r:id="rId66" w:type="default"/>
          <w:pgSz w:w="11910" w:h="16845"/>
          <w:pgMar w:top="400" w:right="1682" w:bottom="1110" w:left="1681" w:header="0" w:footer="883" w:gutter="0"/>
          <w:cols w:space="720" w:num="1"/>
        </w:sectPr>
      </w:pPr>
    </w:p>
    <w:p w14:paraId="22A4BF9A">
      <w:pPr>
        <w:spacing w:before="19"/>
      </w:pPr>
    </w:p>
    <w:p w14:paraId="3B001E37">
      <w:pPr>
        <w:spacing w:before="19"/>
      </w:pPr>
    </w:p>
    <w:p w14:paraId="44EC58ED">
      <w:pPr>
        <w:spacing w:before="19"/>
      </w:pPr>
    </w:p>
    <w:p w14:paraId="6897DEEB">
      <w:pPr>
        <w:spacing w:before="18"/>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719"/>
        <w:gridCol w:w="1964"/>
        <w:gridCol w:w="5135"/>
      </w:tblGrid>
      <w:tr w14:paraId="7E427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712" w:type="dxa"/>
            <w:vMerge w:val="restart"/>
            <w:tcBorders>
              <w:bottom w:val="nil"/>
            </w:tcBorders>
            <w:vAlign w:val="top"/>
          </w:tcPr>
          <w:p w14:paraId="72B9D649">
            <w:pPr>
              <w:rPr>
                <w:rFonts w:ascii="Arial"/>
                <w:sz w:val="21"/>
              </w:rPr>
            </w:pPr>
          </w:p>
        </w:tc>
        <w:tc>
          <w:tcPr>
            <w:tcW w:w="719" w:type="dxa"/>
            <w:vMerge w:val="restart"/>
            <w:tcBorders>
              <w:bottom w:val="nil"/>
            </w:tcBorders>
            <w:vAlign w:val="top"/>
          </w:tcPr>
          <w:p w14:paraId="3DA0A315">
            <w:pPr>
              <w:rPr>
                <w:rFonts w:ascii="Arial"/>
                <w:sz w:val="21"/>
              </w:rPr>
            </w:pPr>
          </w:p>
        </w:tc>
        <w:tc>
          <w:tcPr>
            <w:tcW w:w="1964" w:type="dxa"/>
            <w:vAlign w:val="top"/>
          </w:tcPr>
          <w:p w14:paraId="16F4BEA5">
            <w:pPr>
              <w:pStyle w:val="6"/>
              <w:spacing w:before="134" w:line="220" w:lineRule="auto"/>
              <w:ind w:left="140"/>
              <w:rPr>
                <w:sz w:val="21"/>
                <w:szCs w:val="21"/>
              </w:rPr>
            </w:pPr>
            <w:r>
              <w:rPr>
                <w:spacing w:val="-1"/>
                <w:sz w:val="21"/>
                <w:szCs w:val="21"/>
              </w:rPr>
              <w:t>联合体投标人（如</w:t>
            </w:r>
          </w:p>
          <w:p w14:paraId="56CABFAC">
            <w:pPr>
              <w:pStyle w:val="6"/>
              <w:spacing w:before="65" w:line="220" w:lineRule="auto"/>
              <w:ind w:left="771"/>
              <w:rPr>
                <w:sz w:val="21"/>
                <w:szCs w:val="21"/>
              </w:rPr>
            </w:pPr>
            <w:r>
              <w:rPr>
                <w:spacing w:val="-6"/>
                <w:sz w:val="21"/>
                <w:szCs w:val="21"/>
              </w:rPr>
              <w:t>有）</w:t>
            </w:r>
          </w:p>
        </w:tc>
        <w:tc>
          <w:tcPr>
            <w:tcW w:w="5135" w:type="dxa"/>
            <w:vAlign w:val="top"/>
          </w:tcPr>
          <w:p w14:paraId="6CF7EA2C">
            <w:pPr>
              <w:pStyle w:val="6"/>
              <w:spacing w:before="284"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1.4.2</w:t>
            </w:r>
            <w:r>
              <w:rPr>
                <w:spacing w:val="-33"/>
                <w:sz w:val="21"/>
                <w:szCs w:val="21"/>
              </w:rPr>
              <w:t xml:space="preserve"> </w:t>
            </w:r>
            <w:r>
              <w:rPr>
                <w:spacing w:val="-4"/>
                <w:sz w:val="21"/>
                <w:szCs w:val="21"/>
              </w:rPr>
              <w:t>项规定</w:t>
            </w:r>
          </w:p>
        </w:tc>
      </w:tr>
      <w:tr w14:paraId="7B25F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712" w:type="dxa"/>
            <w:vMerge w:val="continue"/>
            <w:tcBorders>
              <w:top w:val="nil"/>
            </w:tcBorders>
            <w:vAlign w:val="top"/>
          </w:tcPr>
          <w:p w14:paraId="69ADDC38">
            <w:pPr>
              <w:rPr>
                <w:rFonts w:ascii="Arial"/>
                <w:sz w:val="21"/>
              </w:rPr>
            </w:pPr>
          </w:p>
        </w:tc>
        <w:tc>
          <w:tcPr>
            <w:tcW w:w="719" w:type="dxa"/>
            <w:vMerge w:val="continue"/>
            <w:tcBorders>
              <w:top w:val="nil"/>
            </w:tcBorders>
            <w:vAlign w:val="top"/>
          </w:tcPr>
          <w:p w14:paraId="08F38924">
            <w:pPr>
              <w:rPr>
                <w:rFonts w:ascii="Arial"/>
                <w:sz w:val="21"/>
              </w:rPr>
            </w:pPr>
          </w:p>
        </w:tc>
        <w:tc>
          <w:tcPr>
            <w:tcW w:w="1964" w:type="dxa"/>
            <w:vAlign w:val="top"/>
          </w:tcPr>
          <w:p w14:paraId="2616D118">
            <w:pPr>
              <w:pStyle w:val="6"/>
              <w:spacing w:before="129" w:line="279" w:lineRule="auto"/>
              <w:ind w:left="770" w:right="134" w:hanging="628"/>
              <w:rPr>
                <w:sz w:val="21"/>
                <w:szCs w:val="21"/>
              </w:rPr>
            </w:pPr>
            <w:r>
              <w:rPr>
                <w:spacing w:val="-2"/>
                <w:sz w:val="21"/>
                <w:szCs w:val="21"/>
              </w:rPr>
              <w:t>不存在禁止投标的</w:t>
            </w:r>
            <w:r>
              <w:rPr>
                <w:spacing w:val="-3"/>
                <w:sz w:val="21"/>
                <w:szCs w:val="21"/>
              </w:rPr>
              <w:t>情形</w:t>
            </w:r>
          </w:p>
        </w:tc>
        <w:tc>
          <w:tcPr>
            <w:tcW w:w="5135" w:type="dxa"/>
            <w:vAlign w:val="top"/>
          </w:tcPr>
          <w:p w14:paraId="6AC64D9C">
            <w:pPr>
              <w:pStyle w:val="6"/>
              <w:spacing w:before="128" w:line="219" w:lineRule="auto"/>
              <w:ind w:left="146"/>
              <w:rPr>
                <w:sz w:val="21"/>
                <w:szCs w:val="21"/>
              </w:rPr>
            </w:pPr>
            <w:r>
              <w:rPr>
                <w:spacing w:val="-3"/>
                <w:sz w:val="21"/>
                <w:szCs w:val="21"/>
              </w:rPr>
              <w:t>不存在第二章“投标人须知</w:t>
            </w:r>
            <w:r>
              <w:rPr>
                <w:spacing w:val="-71"/>
                <w:sz w:val="21"/>
                <w:szCs w:val="21"/>
              </w:rPr>
              <w:t xml:space="preserve"> </w:t>
            </w:r>
            <w:r>
              <w:rPr>
                <w:spacing w:val="-3"/>
                <w:sz w:val="21"/>
                <w:szCs w:val="21"/>
              </w:rPr>
              <w:t>”第</w:t>
            </w:r>
            <w:r>
              <w:rPr>
                <w:spacing w:val="-21"/>
                <w:sz w:val="21"/>
                <w:szCs w:val="21"/>
              </w:rPr>
              <w:t xml:space="preserve"> </w:t>
            </w:r>
            <w:r>
              <w:rPr>
                <w:spacing w:val="-3"/>
                <w:sz w:val="21"/>
                <w:szCs w:val="21"/>
              </w:rPr>
              <w:t>1.4.3</w:t>
            </w:r>
            <w:r>
              <w:rPr>
                <w:spacing w:val="-32"/>
                <w:sz w:val="21"/>
                <w:szCs w:val="21"/>
              </w:rPr>
              <w:t xml:space="preserve"> </w:t>
            </w:r>
            <w:r>
              <w:rPr>
                <w:spacing w:val="-3"/>
                <w:sz w:val="21"/>
                <w:szCs w:val="21"/>
              </w:rPr>
              <w:t>项规定的任何</w:t>
            </w:r>
          </w:p>
          <w:p w14:paraId="3FC10A8F">
            <w:pPr>
              <w:pStyle w:val="6"/>
              <w:spacing w:before="66" w:line="220" w:lineRule="auto"/>
              <w:ind w:left="2159"/>
              <w:rPr>
                <w:sz w:val="21"/>
                <w:szCs w:val="21"/>
              </w:rPr>
            </w:pPr>
            <w:r>
              <w:rPr>
                <w:spacing w:val="-3"/>
                <w:sz w:val="21"/>
                <w:szCs w:val="21"/>
              </w:rPr>
              <w:t>一种情形</w:t>
            </w:r>
          </w:p>
        </w:tc>
      </w:tr>
      <w:tr w14:paraId="45E04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restart"/>
            <w:tcBorders>
              <w:bottom w:val="nil"/>
            </w:tcBorders>
            <w:vAlign w:val="top"/>
          </w:tcPr>
          <w:p w14:paraId="0538E982">
            <w:pPr>
              <w:spacing w:line="248" w:lineRule="auto"/>
              <w:rPr>
                <w:rFonts w:ascii="Arial"/>
                <w:sz w:val="21"/>
              </w:rPr>
            </w:pPr>
          </w:p>
          <w:p w14:paraId="679427FF">
            <w:pPr>
              <w:spacing w:line="248" w:lineRule="auto"/>
              <w:rPr>
                <w:rFonts w:ascii="Arial"/>
                <w:sz w:val="21"/>
              </w:rPr>
            </w:pPr>
          </w:p>
          <w:p w14:paraId="0D67BE75">
            <w:pPr>
              <w:spacing w:line="248" w:lineRule="auto"/>
              <w:rPr>
                <w:rFonts w:ascii="Arial"/>
                <w:sz w:val="21"/>
              </w:rPr>
            </w:pPr>
          </w:p>
          <w:p w14:paraId="2EC70EE7">
            <w:pPr>
              <w:spacing w:line="248" w:lineRule="auto"/>
              <w:rPr>
                <w:rFonts w:ascii="Arial"/>
                <w:sz w:val="21"/>
              </w:rPr>
            </w:pPr>
          </w:p>
          <w:p w14:paraId="5941EAC2">
            <w:pPr>
              <w:spacing w:line="248" w:lineRule="auto"/>
              <w:rPr>
                <w:rFonts w:ascii="Arial"/>
                <w:sz w:val="21"/>
              </w:rPr>
            </w:pPr>
          </w:p>
          <w:p w14:paraId="44D74B8D">
            <w:pPr>
              <w:spacing w:line="248" w:lineRule="auto"/>
              <w:rPr>
                <w:rFonts w:ascii="Arial"/>
                <w:sz w:val="21"/>
              </w:rPr>
            </w:pPr>
          </w:p>
          <w:p w14:paraId="3433E0E1">
            <w:pPr>
              <w:spacing w:line="248" w:lineRule="auto"/>
              <w:rPr>
                <w:rFonts w:ascii="Arial"/>
                <w:sz w:val="21"/>
              </w:rPr>
            </w:pPr>
          </w:p>
          <w:p w14:paraId="0648BCCF">
            <w:pPr>
              <w:spacing w:line="248" w:lineRule="auto"/>
              <w:rPr>
                <w:rFonts w:ascii="Arial"/>
                <w:sz w:val="21"/>
              </w:rPr>
            </w:pPr>
          </w:p>
          <w:p w14:paraId="69B6225F">
            <w:pPr>
              <w:spacing w:line="248" w:lineRule="auto"/>
              <w:rPr>
                <w:rFonts w:ascii="Arial"/>
                <w:sz w:val="21"/>
              </w:rPr>
            </w:pPr>
          </w:p>
          <w:p w14:paraId="470B3BFE">
            <w:pPr>
              <w:spacing w:line="248" w:lineRule="auto"/>
              <w:rPr>
                <w:rFonts w:ascii="Arial"/>
                <w:sz w:val="21"/>
              </w:rPr>
            </w:pPr>
          </w:p>
          <w:p w14:paraId="3EB8FD91">
            <w:pPr>
              <w:spacing w:line="248" w:lineRule="auto"/>
              <w:rPr>
                <w:rFonts w:ascii="Arial"/>
                <w:sz w:val="21"/>
              </w:rPr>
            </w:pPr>
          </w:p>
          <w:p w14:paraId="4050A92B">
            <w:pPr>
              <w:spacing w:line="248" w:lineRule="auto"/>
              <w:rPr>
                <w:rFonts w:ascii="Arial"/>
                <w:sz w:val="21"/>
              </w:rPr>
            </w:pPr>
          </w:p>
          <w:p w14:paraId="60C248F8">
            <w:pPr>
              <w:spacing w:line="248" w:lineRule="auto"/>
              <w:rPr>
                <w:rFonts w:ascii="Arial"/>
                <w:sz w:val="21"/>
              </w:rPr>
            </w:pPr>
          </w:p>
          <w:p w14:paraId="00214811">
            <w:pPr>
              <w:spacing w:line="248" w:lineRule="auto"/>
              <w:rPr>
                <w:rFonts w:ascii="Arial"/>
                <w:sz w:val="21"/>
              </w:rPr>
            </w:pPr>
          </w:p>
          <w:p w14:paraId="6C4B3DE3">
            <w:pPr>
              <w:spacing w:line="248" w:lineRule="auto"/>
              <w:rPr>
                <w:rFonts w:ascii="Arial"/>
                <w:sz w:val="21"/>
              </w:rPr>
            </w:pPr>
          </w:p>
          <w:p w14:paraId="57516C06">
            <w:pPr>
              <w:spacing w:line="249" w:lineRule="auto"/>
              <w:rPr>
                <w:rFonts w:ascii="Arial"/>
                <w:sz w:val="21"/>
              </w:rPr>
            </w:pPr>
          </w:p>
          <w:p w14:paraId="3C7A1F38">
            <w:pPr>
              <w:pStyle w:val="6"/>
              <w:spacing w:before="69" w:line="239" w:lineRule="auto"/>
              <w:ind w:left="146"/>
              <w:rPr>
                <w:sz w:val="21"/>
                <w:szCs w:val="21"/>
              </w:rPr>
            </w:pPr>
            <w:r>
              <w:rPr>
                <w:spacing w:val="-3"/>
                <w:sz w:val="21"/>
                <w:szCs w:val="21"/>
              </w:rPr>
              <w:t>2.1.</w:t>
            </w:r>
          </w:p>
          <w:p w14:paraId="3C916DCE">
            <w:pPr>
              <w:pStyle w:val="6"/>
              <w:spacing w:before="43"/>
              <w:ind w:left="312"/>
              <w:rPr>
                <w:sz w:val="21"/>
                <w:szCs w:val="21"/>
              </w:rPr>
            </w:pPr>
            <w:r>
              <w:rPr>
                <w:sz w:val="21"/>
                <w:szCs w:val="21"/>
              </w:rPr>
              <w:t>3</w:t>
            </w:r>
          </w:p>
        </w:tc>
        <w:tc>
          <w:tcPr>
            <w:tcW w:w="719" w:type="dxa"/>
            <w:vMerge w:val="restart"/>
            <w:tcBorders>
              <w:bottom w:val="nil"/>
            </w:tcBorders>
            <w:vAlign w:val="top"/>
          </w:tcPr>
          <w:p w14:paraId="1889970F">
            <w:pPr>
              <w:spacing w:line="243" w:lineRule="auto"/>
              <w:rPr>
                <w:rFonts w:ascii="Arial"/>
                <w:sz w:val="21"/>
              </w:rPr>
            </w:pPr>
          </w:p>
          <w:p w14:paraId="293A37AB">
            <w:pPr>
              <w:spacing w:line="243" w:lineRule="auto"/>
              <w:rPr>
                <w:rFonts w:ascii="Arial"/>
                <w:sz w:val="21"/>
              </w:rPr>
            </w:pPr>
          </w:p>
          <w:p w14:paraId="5D233283">
            <w:pPr>
              <w:spacing w:line="244" w:lineRule="auto"/>
              <w:rPr>
                <w:rFonts w:ascii="Arial"/>
                <w:sz w:val="21"/>
              </w:rPr>
            </w:pPr>
          </w:p>
          <w:p w14:paraId="3C78D8BC">
            <w:pPr>
              <w:spacing w:line="244" w:lineRule="auto"/>
              <w:rPr>
                <w:rFonts w:ascii="Arial"/>
                <w:sz w:val="21"/>
              </w:rPr>
            </w:pPr>
          </w:p>
          <w:p w14:paraId="0F402B7B">
            <w:pPr>
              <w:spacing w:line="244" w:lineRule="auto"/>
              <w:rPr>
                <w:rFonts w:ascii="Arial"/>
                <w:sz w:val="21"/>
              </w:rPr>
            </w:pPr>
          </w:p>
          <w:p w14:paraId="508F4193">
            <w:pPr>
              <w:spacing w:line="244" w:lineRule="auto"/>
              <w:rPr>
                <w:rFonts w:ascii="Arial"/>
                <w:sz w:val="21"/>
              </w:rPr>
            </w:pPr>
          </w:p>
          <w:p w14:paraId="1EDDAACF">
            <w:pPr>
              <w:spacing w:line="244" w:lineRule="auto"/>
              <w:rPr>
                <w:rFonts w:ascii="Arial"/>
                <w:sz w:val="21"/>
              </w:rPr>
            </w:pPr>
          </w:p>
          <w:p w14:paraId="0B1085B9">
            <w:pPr>
              <w:spacing w:line="244" w:lineRule="auto"/>
              <w:rPr>
                <w:rFonts w:ascii="Arial"/>
                <w:sz w:val="21"/>
              </w:rPr>
            </w:pPr>
          </w:p>
          <w:p w14:paraId="5AB28A48">
            <w:pPr>
              <w:spacing w:line="244" w:lineRule="auto"/>
              <w:rPr>
                <w:rFonts w:ascii="Arial"/>
                <w:sz w:val="21"/>
              </w:rPr>
            </w:pPr>
          </w:p>
          <w:p w14:paraId="71C5FA8A">
            <w:pPr>
              <w:spacing w:line="244" w:lineRule="auto"/>
              <w:rPr>
                <w:rFonts w:ascii="Arial"/>
                <w:sz w:val="21"/>
              </w:rPr>
            </w:pPr>
          </w:p>
          <w:p w14:paraId="216CD8F9">
            <w:pPr>
              <w:spacing w:line="244" w:lineRule="auto"/>
              <w:rPr>
                <w:rFonts w:ascii="Arial"/>
                <w:sz w:val="21"/>
              </w:rPr>
            </w:pPr>
          </w:p>
          <w:p w14:paraId="5883DCF0">
            <w:pPr>
              <w:spacing w:line="244" w:lineRule="auto"/>
              <w:rPr>
                <w:rFonts w:ascii="Arial"/>
                <w:sz w:val="21"/>
              </w:rPr>
            </w:pPr>
          </w:p>
          <w:p w14:paraId="0CAAA80C">
            <w:pPr>
              <w:spacing w:line="244" w:lineRule="auto"/>
              <w:rPr>
                <w:rFonts w:ascii="Arial"/>
                <w:sz w:val="21"/>
              </w:rPr>
            </w:pPr>
          </w:p>
          <w:p w14:paraId="21C11EEC">
            <w:pPr>
              <w:spacing w:line="244" w:lineRule="auto"/>
              <w:rPr>
                <w:rFonts w:ascii="Arial"/>
                <w:sz w:val="21"/>
              </w:rPr>
            </w:pPr>
          </w:p>
          <w:p w14:paraId="7FAC388E">
            <w:pPr>
              <w:spacing w:line="244" w:lineRule="auto"/>
              <w:rPr>
                <w:rFonts w:ascii="Arial"/>
                <w:sz w:val="21"/>
              </w:rPr>
            </w:pPr>
          </w:p>
          <w:p w14:paraId="1B82014C">
            <w:pPr>
              <w:pStyle w:val="6"/>
              <w:spacing w:before="69" w:line="278" w:lineRule="auto"/>
              <w:ind w:left="140" w:right="154" w:firstLine="8"/>
              <w:jc w:val="both"/>
              <w:rPr>
                <w:sz w:val="21"/>
                <w:szCs w:val="21"/>
              </w:rPr>
            </w:pPr>
            <w:r>
              <w:rPr>
                <w:spacing w:val="-10"/>
                <w:sz w:val="21"/>
                <w:szCs w:val="21"/>
              </w:rPr>
              <w:t>响应</w:t>
            </w:r>
            <w:r>
              <w:rPr>
                <w:spacing w:val="-6"/>
                <w:sz w:val="21"/>
                <w:szCs w:val="21"/>
              </w:rPr>
              <w:t>性评审标</w:t>
            </w:r>
            <w:r>
              <w:rPr>
                <w:spacing w:val="39"/>
                <w:w w:val="126"/>
                <w:sz w:val="21"/>
                <w:szCs w:val="21"/>
              </w:rPr>
              <w:t>准</w:t>
            </w:r>
          </w:p>
        </w:tc>
        <w:tc>
          <w:tcPr>
            <w:tcW w:w="1964" w:type="dxa"/>
            <w:vAlign w:val="top"/>
          </w:tcPr>
          <w:p w14:paraId="1E4131E2">
            <w:pPr>
              <w:pStyle w:val="6"/>
              <w:spacing w:before="128" w:line="220" w:lineRule="auto"/>
              <w:ind w:left="562"/>
              <w:rPr>
                <w:sz w:val="21"/>
                <w:szCs w:val="21"/>
              </w:rPr>
            </w:pPr>
            <w:r>
              <w:rPr>
                <w:spacing w:val="-2"/>
                <w:sz w:val="21"/>
                <w:szCs w:val="21"/>
              </w:rPr>
              <w:t>投标内容</w:t>
            </w:r>
          </w:p>
        </w:tc>
        <w:tc>
          <w:tcPr>
            <w:tcW w:w="5135" w:type="dxa"/>
            <w:vAlign w:val="top"/>
          </w:tcPr>
          <w:p w14:paraId="391CD8BE">
            <w:pPr>
              <w:pStyle w:val="6"/>
              <w:spacing w:before="128"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1.3.1</w:t>
            </w:r>
            <w:r>
              <w:rPr>
                <w:spacing w:val="-33"/>
                <w:sz w:val="21"/>
                <w:szCs w:val="21"/>
              </w:rPr>
              <w:t xml:space="preserve"> </w:t>
            </w:r>
            <w:r>
              <w:rPr>
                <w:spacing w:val="-4"/>
                <w:sz w:val="21"/>
                <w:szCs w:val="21"/>
              </w:rPr>
              <w:t>项规定</w:t>
            </w:r>
          </w:p>
        </w:tc>
      </w:tr>
      <w:tr w14:paraId="02AE9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4" w:hRule="atLeast"/>
        </w:trPr>
        <w:tc>
          <w:tcPr>
            <w:tcW w:w="712" w:type="dxa"/>
            <w:vMerge w:val="continue"/>
            <w:tcBorders>
              <w:top w:val="nil"/>
              <w:bottom w:val="nil"/>
            </w:tcBorders>
            <w:vAlign w:val="top"/>
          </w:tcPr>
          <w:p w14:paraId="12D40B9E">
            <w:pPr>
              <w:rPr>
                <w:rFonts w:ascii="Arial"/>
                <w:sz w:val="21"/>
              </w:rPr>
            </w:pPr>
          </w:p>
        </w:tc>
        <w:tc>
          <w:tcPr>
            <w:tcW w:w="719" w:type="dxa"/>
            <w:vMerge w:val="continue"/>
            <w:tcBorders>
              <w:top w:val="nil"/>
              <w:bottom w:val="nil"/>
            </w:tcBorders>
            <w:vAlign w:val="top"/>
          </w:tcPr>
          <w:p w14:paraId="49899DF2">
            <w:pPr>
              <w:rPr>
                <w:rFonts w:ascii="Arial"/>
                <w:sz w:val="21"/>
              </w:rPr>
            </w:pPr>
          </w:p>
        </w:tc>
        <w:tc>
          <w:tcPr>
            <w:tcW w:w="1964" w:type="dxa"/>
            <w:vAlign w:val="top"/>
          </w:tcPr>
          <w:p w14:paraId="343D83F3">
            <w:pPr>
              <w:pStyle w:val="6"/>
              <w:spacing w:before="129" w:line="220" w:lineRule="auto"/>
              <w:ind w:left="772"/>
              <w:rPr>
                <w:sz w:val="21"/>
                <w:szCs w:val="21"/>
              </w:rPr>
            </w:pPr>
            <w:r>
              <w:rPr>
                <w:spacing w:val="-3"/>
                <w:sz w:val="21"/>
                <w:szCs w:val="21"/>
              </w:rPr>
              <w:t>工期</w:t>
            </w:r>
          </w:p>
        </w:tc>
        <w:tc>
          <w:tcPr>
            <w:tcW w:w="5135" w:type="dxa"/>
            <w:vAlign w:val="top"/>
          </w:tcPr>
          <w:p w14:paraId="63A6C924">
            <w:pPr>
              <w:pStyle w:val="6"/>
              <w:spacing w:before="129"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1.3.2</w:t>
            </w:r>
            <w:r>
              <w:rPr>
                <w:spacing w:val="-33"/>
                <w:sz w:val="21"/>
                <w:szCs w:val="21"/>
              </w:rPr>
              <w:t xml:space="preserve"> </w:t>
            </w:r>
            <w:r>
              <w:rPr>
                <w:spacing w:val="-4"/>
                <w:sz w:val="21"/>
                <w:szCs w:val="21"/>
              </w:rPr>
              <w:t>项规定</w:t>
            </w:r>
          </w:p>
        </w:tc>
      </w:tr>
      <w:tr w14:paraId="1F9CD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0" w:hRule="atLeast"/>
        </w:trPr>
        <w:tc>
          <w:tcPr>
            <w:tcW w:w="712" w:type="dxa"/>
            <w:vMerge w:val="continue"/>
            <w:tcBorders>
              <w:top w:val="nil"/>
              <w:bottom w:val="nil"/>
            </w:tcBorders>
            <w:vAlign w:val="top"/>
          </w:tcPr>
          <w:p w14:paraId="300DBD1A">
            <w:pPr>
              <w:rPr>
                <w:rFonts w:ascii="Arial"/>
                <w:sz w:val="21"/>
              </w:rPr>
            </w:pPr>
          </w:p>
        </w:tc>
        <w:tc>
          <w:tcPr>
            <w:tcW w:w="719" w:type="dxa"/>
            <w:vMerge w:val="continue"/>
            <w:tcBorders>
              <w:top w:val="nil"/>
              <w:bottom w:val="nil"/>
            </w:tcBorders>
            <w:vAlign w:val="top"/>
          </w:tcPr>
          <w:p w14:paraId="7C40D252">
            <w:pPr>
              <w:rPr>
                <w:rFonts w:ascii="Arial"/>
                <w:sz w:val="21"/>
              </w:rPr>
            </w:pPr>
          </w:p>
        </w:tc>
        <w:tc>
          <w:tcPr>
            <w:tcW w:w="1964" w:type="dxa"/>
            <w:vAlign w:val="top"/>
          </w:tcPr>
          <w:p w14:paraId="5350C061">
            <w:pPr>
              <w:spacing w:line="270" w:lineRule="auto"/>
              <w:rPr>
                <w:rFonts w:ascii="Arial"/>
                <w:sz w:val="21"/>
              </w:rPr>
            </w:pPr>
          </w:p>
          <w:p w14:paraId="6DDA6037">
            <w:pPr>
              <w:spacing w:line="270" w:lineRule="auto"/>
              <w:rPr>
                <w:rFonts w:ascii="Arial"/>
                <w:sz w:val="21"/>
              </w:rPr>
            </w:pPr>
          </w:p>
          <w:p w14:paraId="0F25FBF7">
            <w:pPr>
              <w:pStyle w:val="6"/>
              <w:spacing w:before="68" w:line="220" w:lineRule="auto"/>
              <w:ind w:left="562"/>
              <w:rPr>
                <w:sz w:val="21"/>
                <w:szCs w:val="21"/>
              </w:rPr>
            </w:pPr>
            <w:r>
              <w:rPr>
                <w:spacing w:val="-2"/>
                <w:sz w:val="21"/>
                <w:szCs w:val="21"/>
              </w:rPr>
              <w:t>工程质量</w:t>
            </w:r>
          </w:p>
        </w:tc>
        <w:tc>
          <w:tcPr>
            <w:tcW w:w="5135" w:type="dxa"/>
            <w:vAlign w:val="top"/>
          </w:tcPr>
          <w:p w14:paraId="2AF7BC06">
            <w:pPr>
              <w:pStyle w:val="6"/>
              <w:spacing w:before="130" w:line="219" w:lineRule="auto"/>
              <w:ind w:left="565"/>
              <w:rPr>
                <w:sz w:val="21"/>
                <w:szCs w:val="21"/>
              </w:rPr>
            </w:pPr>
            <w:r>
              <w:rPr>
                <w:spacing w:val="-4"/>
                <w:sz w:val="21"/>
                <w:szCs w:val="21"/>
              </w:rPr>
              <w:t>符合第二章“投标人须知</w:t>
            </w:r>
            <w:r>
              <w:rPr>
                <w:spacing w:val="-60"/>
                <w:sz w:val="21"/>
                <w:szCs w:val="21"/>
              </w:rPr>
              <w:t xml:space="preserve"> </w:t>
            </w:r>
            <w:r>
              <w:rPr>
                <w:spacing w:val="-4"/>
                <w:sz w:val="21"/>
                <w:szCs w:val="21"/>
              </w:rPr>
              <w:t>”第</w:t>
            </w:r>
            <w:r>
              <w:rPr>
                <w:spacing w:val="-21"/>
                <w:sz w:val="21"/>
                <w:szCs w:val="21"/>
              </w:rPr>
              <w:t xml:space="preserve"> </w:t>
            </w:r>
            <w:r>
              <w:rPr>
                <w:spacing w:val="-4"/>
                <w:sz w:val="21"/>
                <w:szCs w:val="21"/>
              </w:rPr>
              <w:t>1.3.3</w:t>
            </w:r>
            <w:r>
              <w:rPr>
                <w:spacing w:val="-33"/>
                <w:sz w:val="21"/>
                <w:szCs w:val="21"/>
              </w:rPr>
              <w:t xml:space="preserve"> </w:t>
            </w:r>
            <w:r>
              <w:rPr>
                <w:spacing w:val="-4"/>
                <w:sz w:val="21"/>
                <w:szCs w:val="21"/>
              </w:rPr>
              <w:t>项规定</w:t>
            </w:r>
          </w:p>
          <w:p w14:paraId="109B72D1">
            <w:pPr>
              <w:pStyle w:val="6"/>
              <w:spacing w:before="65" w:line="220" w:lineRule="auto"/>
              <w:ind w:left="163"/>
              <w:rPr>
                <w:sz w:val="21"/>
                <w:szCs w:val="21"/>
              </w:rPr>
            </w:pPr>
            <w:r>
              <w:rPr>
                <w:spacing w:val="-1"/>
                <w:sz w:val="21"/>
                <w:szCs w:val="21"/>
              </w:rPr>
              <w:t>（投标文件中载明的质量标准、质量奖项必须达到招</w:t>
            </w:r>
          </w:p>
          <w:p w14:paraId="6B4C2D47">
            <w:pPr>
              <w:pStyle w:val="6"/>
              <w:spacing w:before="64" w:line="220" w:lineRule="auto"/>
              <w:ind w:left="158"/>
              <w:rPr>
                <w:sz w:val="21"/>
                <w:szCs w:val="21"/>
              </w:rPr>
            </w:pPr>
            <w:r>
              <w:rPr>
                <w:sz w:val="21"/>
                <w:szCs w:val="21"/>
              </w:rPr>
              <w:t>标文件规定的质量标准、质量奖项，不能以质量奖项</w:t>
            </w:r>
          </w:p>
          <w:p w14:paraId="4C31FEBF">
            <w:pPr>
              <w:pStyle w:val="6"/>
              <w:spacing w:before="65" w:line="220" w:lineRule="auto"/>
              <w:ind w:left="1839"/>
              <w:rPr>
                <w:sz w:val="21"/>
                <w:szCs w:val="21"/>
              </w:rPr>
            </w:pPr>
            <w:r>
              <w:rPr>
                <w:spacing w:val="-3"/>
                <w:sz w:val="21"/>
                <w:szCs w:val="21"/>
              </w:rPr>
              <w:t>代替质量标准）</w:t>
            </w:r>
          </w:p>
        </w:tc>
      </w:tr>
      <w:tr w14:paraId="769CB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712" w:type="dxa"/>
            <w:vMerge w:val="continue"/>
            <w:tcBorders>
              <w:top w:val="nil"/>
              <w:bottom w:val="nil"/>
            </w:tcBorders>
            <w:vAlign w:val="top"/>
          </w:tcPr>
          <w:p w14:paraId="347F0B45">
            <w:pPr>
              <w:rPr>
                <w:rFonts w:ascii="Arial"/>
                <w:sz w:val="21"/>
              </w:rPr>
            </w:pPr>
          </w:p>
        </w:tc>
        <w:tc>
          <w:tcPr>
            <w:tcW w:w="719" w:type="dxa"/>
            <w:vMerge w:val="continue"/>
            <w:tcBorders>
              <w:top w:val="nil"/>
              <w:bottom w:val="nil"/>
            </w:tcBorders>
            <w:vAlign w:val="top"/>
          </w:tcPr>
          <w:p w14:paraId="16F5CF3A">
            <w:pPr>
              <w:rPr>
                <w:rFonts w:ascii="Arial"/>
                <w:sz w:val="21"/>
              </w:rPr>
            </w:pPr>
          </w:p>
        </w:tc>
        <w:tc>
          <w:tcPr>
            <w:tcW w:w="1964" w:type="dxa"/>
            <w:vAlign w:val="top"/>
          </w:tcPr>
          <w:p w14:paraId="60AEB925">
            <w:pPr>
              <w:pStyle w:val="6"/>
              <w:spacing w:before="132" w:line="220" w:lineRule="auto"/>
              <w:ind w:left="457"/>
              <w:rPr>
                <w:sz w:val="21"/>
                <w:szCs w:val="21"/>
              </w:rPr>
            </w:pPr>
            <w:r>
              <w:rPr>
                <w:spacing w:val="-2"/>
                <w:sz w:val="21"/>
                <w:szCs w:val="21"/>
              </w:rPr>
              <w:t>投标有效期</w:t>
            </w:r>
          </w:p>
        </w:tc>
        <w:tc>
          <w:tcPr>
            <w:tcW w:w="5135" w:type="dxa"/>
            <w:vAlign w:val="top"/>
          </w:tcPr>
          <w:p w14:paraId="10ADC8F4">
            <w:pPr>
              <w:pStyle w:val="6"/>
              <w:spacing w:before="132" w:line="219" w:lineRule="auto"/>
              <w:ind w:left="565"/>
              <w:rPr>
                <w:sz w:val="21"/>
                <w:szCs w:val="21"/>
              </w:rPr>
            </w:pPr>
            <w:r>
              <w:rPr>
                <w:spacing w:val="-3"/>
                <w:sz w:val="21"/>
                <w:szCs w:val="21"/>
              </w:rPr>
              <w:t>符合第二章“投标人须知</w:t>
            </w:r>
            <w:r>
              <w:rPr>
                <w:spacing w:val="-70"/>
                <w:sz w:val="21"/>
                <w:szCs w:val="21"/>
              </w:rPr>
              <w:t xml:space="preserve"> </w:t>
            </w:r>
            <w:r>
              <w:rPr>
                <w:spacing w:val="-3"/>
                <w:sz w:val="21"/>
                <w:szCs w:val="21"/>
              </w:rPr>
              <w:t>”第</w:t>
            </w:r>
            <w:r>
              <w:rPr>
                <w:spacing w:val="-32"/>
                <w:sz w:val="21"/>
                <w:szCs w:val="21"/>
              </w:rPr>
              <w:t xml:space="preserve"> </w:t>
            </w:r>
            <w:r>
              <w:rPr>
                <w:spacing w:val="-3"/>
                <w:sz w:val="21"/>
                <w:szCs w:val="21"/>
              </w:rPr>
              <w:t>3.3.1</w:t>
            </w:r>
            <w:r>
              <w:rPr>
                <w:spacing w:val="-33"/>
                <w:sz w:val="21"/>
                <w:szCs w:val="21"/>
              </w:rPr>
              <w:t xml:space="preserve"> </w:t>
            </w:r>
            <w:r>
              <w:rPr>
                <w:spacing w:val="-3"/>
                <w:sz w:val="21"/>
                <w:szCs w:val="21"/>
              </w:rPr>
              <w:t>项规定</w:t>
            </w:r>
          </w:p>
        </w:tc>
      </w:tr>
      <w:tr w14:paraId="61789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54" w:hRule="atLeast"/>
        </w:trPr>
        <w:tc>
          <w:tcPr>
            <w:tcW w:w="712" w:type="dxa"/>
            <w:vMerge w:val="continue"/>
            <w:tcBorders>
              <w:top w:val="nil"/>
              <w:bottom w:val="nil"/>
            </w:tcBorders>
            <w:vAlign w:val="top"/>
          </w:tcPr>
          <w:p w14:paraId="1CE39C64">
            <w:pPr>
              <w:rPr>
                <w:rFonts w:ascii="Arial"/>
                <w:sz w:val="21"/>
              </w:rPr>
            </w:pPr>
          </w:p>
        </w:tc>
        <w:tc>
          <w:tcPr>
            <w:tcW w:w="719" w:type="dxa"/>
            <w:vMerge w:val="continue"/>
            <w:tcBorders>
              <w:top w:val="nil"/>
              <w:bottom w:val="nil"/>
            </w:tcBorders>
            <w:vAlign w:val="top"/>
          </w:tcPr>
          <w:p w14:paraId="4870B24E">
            <w:pPr>
              <w:rPr>
                <w:rFonts w:ascii="Arial"/>
                <w:sz w:val="21"/>
              </w:rPr>
            </w:pPr>
          </w:p>
        </w:tc>
        <w:tc>
          <w:tcPr>
            <w:tcW w:w="1964" w:type="dxa"/>
            <w:vAlign w:val="top"/>
          </w:tcPr>
          <w:p w14:paraId="1C93A820">
            <w:pPr>
              <w:spacing w:line="280" w:lineRule="auto"/>
              <w:rPr>
                <w:rFonts w:ascii="Arial"/>
                <w:sz w:val="21"/>
              </w:rPr>
            </w:pPr>
          </w:p>
          <w:p w14:paraId="5F727C6A">
            <w:pPr>
              <w:spacing w:line="280" w:lineRule="auto"/>
              <w:rPr>
                <w:rFonts w:ascii="Arial"/>
                <w:sz w:val="21"/>
              </w:rPr>
            </w:pPr>
          </w:p>
          <w:p w14:paraId="53D004C7">
            <w:pPr>
              <w:spacing w:line="280" w:lineRule="auto"/>
              <w:rPr>
                <w:rFonts w:ascii="Arial"/>
                <w:sz w:val="21"/>
              </w:rPr>
            </w:pPr>
          </w:p>
          <w:p w14:paraId="15795632">
            <w:pPr>
              <w:pStyle w:val="6"/>
              <w:spacing w:before="68" w:line="220" w:lineRule="auto"/>
              <w:ind w:left="457"/>
              <w:rPr>
                <w:sz w:val="21"/>
                <w:szCs w:val="21"/>
              </w:rPr>
            </w:pPr>
            <w:r>
              <w:rPr>
                <w:spacing w:val="-2"/>
                <w:sz w:val="21"/>
                <w:szCs w:val="21"/>
              </w:rPr>
              <w:t>投标保证金</w:t>
            </w:r>
          </w:p>
        </w:tc>
        <w:tc>
          <w:tcPr>
            <w:tcW w:w="5135" w:type="dxa"/>
            <w:vAlign w:val="top"/>
          </w:tcPr>
          <w:p w14:paraId="699BD3D5">
            <w:pPr>
              <w:pStyle w:val="6"/>
              <w:spacing w:before="132" w:line="219" w:lineRule="auto"/>
              <w:ind w:left="565"/>
              <w:rPr>
                <w:sz w:val="21"/>
                <w:szCs w:val="21"/>
              </w:rPr>
            </w:pPr>
            <w:r>
              <w:rPr>
                <w:spacing w:val="-3"/>
                <w:sz w:val="21"/>
                <w:szCs w:val="21"/>
              </w:rPr>
              <w:t>符合第二章“投标人须知</w:t>
            </w:r>
            <w:r>
              <w:rPr>
                <w:spacing w:val="-70"/>
                <w:sz w:val="21"/>
                <w:szCs w:val="21"/>
              </w:rPr>
              <w:t xml:space="preserve"> </w:t>
            </w:r>
            <w:r>
              <w:rPr>
                <w:spacing w:val="-3"/>
                <w:sz w:val="21"/>
                <w:szCs w:val="21"/>
              </w:rPr>
              <w:t>”第</w:t>
            </w:r>
            <w:r>
              <w:rPr>
                <w:spacing w:val="-32"/>
                <w:sz w:val="21"/>
                <w:szCs w:val="21"/>
              </w:rPr>
              <w:t xml:space="preserve"> </w:t>
            </w:r>
            <w:r>
              <w:rPr>
                <w:spacing w:val="-3"/>
                <w:sz w:val="21"/>
                <w:szCs w:val="21"/>
              </w:rPr>
              <w:t>3.4.1</w:t>
            </w:r>
            <w:r>
              <w:rPr>
                <w:spacing w:val="-33"/>
                <w:sz w:val="21"/>
                <w:szCs w:val="21"/>
              </w:rPr>
              <w:t xml:space="preserve"> </w:t>
            </w:r>
            <w:r>
              <w:rPr>
                <w:spacing w:val="-3"/>
                <w:sz w:val="21"/>
                <w:szCs w:val="21"/>
              </w:rPr>
              <w:t>项规定</w:t>
            </w:r>
          </w:p>
          <w:p w14:paraId="2412E8DA">
            <w:pPr>
              <w:pStyle w:val="6"/>
              <w:spacing w:before="65" w:line="220" w:lineRule="auto"/>
              <w:ind w:left="268"/>
              <w:rPr>
                <w:sz w:val="21"/>
                <w:szCs w:val="21"/>
              </w:rPr>
            </w:pPr>
            <w:r>
              <w:rPr>
                <w:spacing w:val="-1"/>
                <w:sz w:val="21"/>
                <w:szCs w:val="21"/>
              </w:rPr>
              <w:t>（投标保证金符合要求是指投标保证金的形式、金</w:t>
            </w:r>
          </w:p>
          <w:p w14:paraId="291717FC">
            <w:pPr>
              <w:pStyle w:val="6"/>
              <w:spacing w:before="50" w:line="220" w:lineRule="auto"/>
              <w:ind w:left="157"/>
              <w:rPr>
                <w:sz w:val="21"/>
                <w:szCs w:val="21"/>
              </w:rPr>
            </w:pPr>
            <w:r>
              <w:rPr>
                <w:sz w:val="21"/>
                <w:szCs w:val="21"/>
              </w:rPr>
              <w:t>额、递交截止时间、递交方式符合招标文件规定；以</w:t>
            </w:r>
          </w:p>
          <w:p w14:paraId="59285645">
            <w:pPr>
              <w:pStyle w:val="6"/>
              <w:spacing w:before="65" w:line="219" w:lineRule="auto"/>
              <w:ind w:left="159"/>
              <w:rPr>
                <w:sz w:val="21"/>
                <w:szCs w:val="21"/>
              </w:rPr>
            </w:pPr>
            <w:r>
              <w:rPr>
                <w:sz w:val="21"/>
                <w:szCs w:val="21"/>
              </w:rPr>
              <w:t>现金、支票方式提交的应从投标人基本账户转出，即</w:t>
            </w:r>
          </w:p>
          <w:p w14:paraId="71B90C01">
            <w:pPr>
              <w:pStyle w:val="6"/>
              <w:spacing w:before="66" w:line="219" w:lineRule="auto"/>
              <w:ind w:left="160"/>
              <w:rPr>
                <w:sz w:val="21"/>
                <w:szCs w:val="21"/>
              </w:rPr>
            </w:pPr>
            <w:r>
              <w:rPr>
                <w:sz w:val="21"/>
                <w:szCs w:val="21"/>
              </w:rPr>
              <w:t>投标人汇款凭证的账户号与其基本账户开户许可证的</w:t>
            </w:r>
          </w:p>
          <w:p w14:paraId="498D9843">
            <w:pPr>
              <w:pStyle w:val="6"/>
              <w:spacing w:before="66" w:line="220" w:lineRule="auto"/>
              <w:ind w:left="1948"/>
              <w:rPr>
                <w:sz w:val="21"/>
                <w:szCs w:val="21"/>
              </w:rPr>
            </w:pPr>
            <w:r>
              <w:rPr>
                <w:spacing w:val="-3"/>
                <w:sz w:val="21"/>
                <w:szCs w:val="21"/>
              </w:rPr>
              <w:t>账户号一致）</w:t>
            </w:r>
          </w:p>
        </w:tc>
      </w:tr>
      <w:tr w14:paraId="2614C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712" w:type="dxa"/>
            <w:vMerge w:val="continue"/>
            <w:tcBorders>
              <w:top w:val="nil"/>
              <w:bottom w:val="nil"/>
            </w:tcBorders>
            <w:vAlign w:val="top"/>
          </w:tcPr>
          <w:p w14:paraId="0DF422D1">
            <w:pPr>
              <w:rPr>
                <w:rFonts w:ascii="Arial"/>
                <w:sz w:val="21"/>
              </w:rPr>
            </w:pPr>
          </w:p>
        </w:tc>
        <w:tc>
          <w:tcPr>
            <w:tcW w:w="719" w:type="dxa"/>
            <w:vMerge w:val="continue"/>
            <w:tcBorders>
              <w:top w:val="nil"/>
              <w:bottom w:val="nil"/>
            </w:tcBorders>
            <w:vAlign w:val="top"/>
          </w:tcPr>
          <w:p w14:paraId="793CEC93">
            <w:pPr>
              <w:rPr>
                <w:rFonts w:ascii="Arial"/>
                <w:sz w:val="21"/>
              </w:rPr>
            </w:pPr>
          </w:p>
        </w:tc>
        <w:tc>
          <w:tcPr>
            <w:tcW w:w="1964" w:type="dxa"/>
            <w:vAlign w:val="top"/>
          </w:tcPr>
          <w:p w14:paraId="07230BB5">
            <w:pPr>
              <w:pStyle w:val="6"/>
              <w:spacing w:before="300" w:line="220" w:lineRule="auto"/>
              <w:ind w:left="558"/>
              <w:rPr>
                <w:sz w:val="21"/>
                <w:szCs w:val="21"/>
              </w:rPr>
            </w:pPr>
            <w:r>
              <w:rPr>
                <w:spacing w:val="-2"/>
                <w:sz w:val="21"/>
                <w:szCs w:val="21"/>
              </w:rPr>
              <w:t>权利义务</w:t>
            </w:r>
          </w:p>
        </w:tc>
        <w:tc>
          <w:tcPr>
            <w:tcW w:w="5135" w:type="dxa"/>
            <w:vAlign w:val="top"/>
          </w:tcPr>
          <w:p w14:paraId="77ADAE9E">
            <w:pPr>
              <w:pStyle w:val="6"/>
              <w:spacing w:before="135" w:line="219" w:lineRule="auto"/>
              <w:ind w:left="160"/>
              <w:rPr>
                <w:sz w:val="21"/>
                <w:szCs w:val="21"/>
              </w:rPr>
            </w:pPr>
            <w:r>
              <w:rPr>
                <w:spacing w:val="-1"/>
                <w:sz w:val="21"/>
                <w:szCs w:val="21"/>
              </w:rPr>
              <w:t>投标函附录中的相关承诺符合或优于第四章“合同条</w:t>
            </w:r>
          </w:p>
          <w:p w14:paraId="4572FF89">
            <w:pPr>
              <w:pStyle w:val="6"/>
              <w:spacing w:before="66" w:line="220" w:lineRule="auto"/>
              <w:ind w:left="1525"/>
              <w:rPr>
                <w:sz w:val="21"/>
                <w:szCs w:val="21"/>
              </w:rPr>
            </w:pPr>
            <w:r>
              <w:rPr>
                <w:spacing w:val="-3"/>
                <w:sz w:val="21"/>
                <w:szCs w:val="21"/>
              </w:rPr>
              <w:t>款及格式</w:t>
            </w:r>
            <w:r>
              <w:rPr>
                <w:spacing w:val="-77"/>
                <w:sz w:val="21"/>
                <w:szCs w:val="21"/>
              </w:rPr>
              <w:t xml:space="preserve"> </w:t>
            </w:r>
            <w:r>
              <w:rPr>
                <w:spacing w:val="-3"/>
                <w:sz w:val="21"/>
                <w:szCs w:val="21"/>
              </w:rPr>
              <w:t>”的相关规定</w:t>
            </w:r>
          </w:p>
        </w:tc>
      </w:tr>
      <w:tr w14:paraId="02830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bottom w:val="nil"/>
            </w:tcBorders>
            <w:vAlign w:val="top"/>
          </w:tcPr>
          <w:p w14:paraId="02380FFD">
            <w:pPr>
              <w:rPr>
                <w:rFonts w:ascii="Arial"/>
                <w:sz w:val="21"/>
              </w:rPr>
            </w:pPr>
          </w:p>
        </w:tc>
        <w:tc>
          <w:tcPr>
            <w:tcW w:w="719" w:type="dxa"/>
            <w:vMerge w:val="continue"/>
            <w:tcBorders>
              <w:top w:val="nil"/>
              <w:bottom w:val="nil"/>
            </w:tcBorders>
            <w:vAlign w:val="top"/>
          </w:tcPr>
          <w:p w14:paraId="760CB3D7">
            <w:pPr>
              <w:rPr>
                <w:rFonts w:ascii="Arial"/>
                <w:sz w:val="21"/>
              </w:rPr>
            </w:pPr>
          </w:p>
        </w:tc>
        <w:tc>
          <w:tcPr>
            <w:tcW w:w="1964" w:type="dxa"/>
            <w:vAlign w:val="top"/>
          </w:tcPr>
          <w:p w14:paraId="681FF3EE">
            <w:pPr>
              <w:pStyle w:val="6"/>
              <w:spacing w:before="136" w:line="220" w:lineRule="auto"/>
              <w:ind w:left="245"/>
              <w:rPr>
                <w:sz w:val="21"/>
                <w:szCs w:val="21"/>
              </w:rPr>
            </w:pPr>
            <w:r>
              <w:rPr>
                <w:spacing w:val="-1"/>
                <w:sz w:val="21"/>
                <w:szCs w:val="21"/>
              </w:rPr>
              <w:t>技术标准和要求</w:t>
            </w:r>
          </w:p>
        </w:tc>
        <w:tc>
          <w:tcPr>
            <w:tcW w:w="5135" w:type="dxa"/>
            <w:vAlign w:val="top"/>
          </w:tcPr>
          <w:p w14:paraId="0EEFAAB9">
            <w:pPr>
              <w:pStyle w:val="6"/>
              <w:spacing w:before="136" w:line="219" w:lineRule="auto"/>
              <w:ind w:left="895"/>
              <w:rPr>
                <w:sz w:val="21"/>
                <w:szCs w:val="21"/>
              </w:rPr>
            </w:pPr>
            <w:r>
              <w:rPr>
                <w:spacing w:val="-3"/>
                <w:sz w:val="21"/>
                <w:szCs w:val="21"/>
              </w:rPr>
              <w:t>符合第七章“技术标准和要求</w:t>
            </w:r>
            <w:r>
              <w:rPr>
                <w:spacing w:val="-64"/>
                <w:sz w:val="21"/>
                <w:szCs w:val="21"/>
              </w:rPr>
              <w:t xml:space="preserve"> </w:t>
            </w:r>
            <w:r>
              <w:rPr>
                <w:spacing w:val="-3"/>
                <w:sz w:val="21"/>
                <w:szCs w:val="21"/>
              </w:rPr>
              <w:t>”规定</w:t>
            </w:r>
          </w:p>
        </w:tc>
      </w:tr>
      <w:tr w14:paraId="31C8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bottom w:val="nil"/>
            </w:tcBorders>
            <w:vAlign w:val="top"/>
          </w:tcPr>
          <w:p w14:paraId="3F8194B8">
            <w:pPr>
              <w:rPr>
                <w:rFonts w:ascii="Arial"/>
                <w:sz w:val="21"/>
              </w:rPr>
            </w:pPr>
          </w:p>
        </w:tc>
        <w:tc>
          <w:tcPr>
            <w:tcW w:w="719" w:type="dxa"/>
            <w:vMerge w:val="continue"/>
            <w:tcBorders>
              <w:top w:val="nil"/>
              <w:bottom w:val="nil"/>
            </w:tcBorders>
            <w:vAlign w:val="top"/>
          </w:tcPr>
          <w:p w14:paraId="59F7DB49">
            <w:pPr>
              <w:rPr>
                <w:rFonts w:ascii="Arial"/>
                <w:sz w:val="21"/>
              </w:rPr>
            </w:pPr>
          </w:p>
        </w:tc>
        <w:tc>
          <w:tcPr>
            <w:tcW w:w="1964" w:type="dxa"/>
            <w:vAlign w:val="top"/>
          </w:tcPr>
          <w:p w14:paraId="5CAF7971">
            <w:pPr>
              <w:pStyle w:val="6"/>
              <w:spacing w:before="137" w:line="220" w:lineRule="auto"/>
              <w:ind w:left="562"/>
              <w:rPr>
                <w:sz w:val="21"/>
                <w:szCs w:val="21"/>
              </w:rPr>
            </w:pPr>
            <w:r>
              <w:rPr>
                <w:spacing w:val="-2"/>
                <w:sz w:val="21"/>
                <w:szCs w:val="21"/>
              </w:rPr>
              <w:t>分包计划</w:t>
            </w:r>
          </w:p>
        </w:tc>
        <w:tc>
          <w:tcPr>
            <w:tcW w:w="5135" w:type="dxa"/>
            <w:vAlign w:val="top"/>
          </w:tcPr>
          <w:p w14:paraId="0253C6D6">
            <w:pPr>
              <w:pStyle w:val="6"/>
              <w:spacing w:before="136" w:line="219" w:lineRule="auto"/>
              <w:ind w:left="625"/>
              <w:rPr>
                <w:sz w:val="21"/>
                <w:szCs w:val="21"/>
              </w:rPr>
            </w:pPr>
            <w:r>
              <w:rPr>
                <w:spacing w:val="-4"/>
                <w:sz w:val="21"/>
                <w:szCs w:val="21"/>
              </w:rPr>
              <w:t>符合第二章“投标人须知</w:t>
            </w:r>
            <w:r>
              <w:rPr>
                <w:spacing w:val="-63"/>
                <w:sz w:val="21"/>
                <w:szCs w:val="21"/>
              </w:rPr>
              <w:t xml:space="preserve"> </w:t>
            </w:r>
            <w:r>
              <w:rPr>
                <w:spacing w:val="-4"/>
                <w:sz w:val="21"/>
                <w:szCs w:val="21"/>
              </w:rPr>
              <w:t>”第</w:t>
            </w:r>
            <w:r>
              <w:rPr>
                <w:spacing w:val="-20"/>
                <w:sz w:val="21"/>
                <w:szCs w:val="21"/>
              </w:rPr>
              <w:t xml:space="preserve"> </w:t>
            </w:r>
            <w:r>
              <w:rPr>
                <w:spacing w:val="-4"/>
                <w:sz w:val="21"/>
                <w:szCs w:val="21"/>
              </w:rPr>
              <w:t>1.11</w:t>
            </w:r>
            <w:r>
              <w:rPr>
                <w:spacing w:val="-36"/>
                <w:sz w:val="21"/>
                <w:szCs w:val="21"/>
              </w:rPr>
              <w:t xml:space="preserve"> </w:t>
            </w:r>
            <w:r>
              <w:rPr>
                <w:spacing w:val="-4"/>
                <w:sz w:val="21"/>
                <w:szCs w:val="21"/>
              </w:rPr>
              <w:t>款规定</w:t>
            </w:r>
          </w:p>
        </w:tc>
      </w:tr>
      <w:tr w14:paraId="0FED9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5" w:hRule="atLeast"/>
        </w:trPr>
        <w:tc>
          <w:tcPr>
            <w:tcW w:w="712" w:type="dxa"/>
            <w:vMerge w:val="continue"/>
            <w:tcBorders>
              <w:top w:val="nil"/>
            </w:tcBorders>
            <w:vAlign w:val="top"/>
          </w:tcPr>
          <w:p w14:paraId="061CA2F0">
            <w:pPr>
              <w:rPr>
                <w:rFonts w:ascii="Arial"/>
                <w:sz w:val="21"/>
              </w:rPr>
            </w:pPr>
          </w:p>
        </w:tc>
        <w:tc>
          <w:tcPr>
            <w:tcW w:w="719" w:type="dxa"/>
            <w:vMerge w:val="continue"/>
            <w:tcBorders>
              <w:top w:val="nil"/>
            </w:tcBorders>
            <w:vAlign w:val="top"/>
          </w:tcPr>
          <w:p w14:paraId="0C227221">
            <w:pPr>
              <w:rPr>
                <w:rFonts w:ascii="Arial"/>
                <w:sz w:val="21"/>
              </w:rPr>
            </w:pPr>
          </w:p>
        </w:tc>
        <w:tc>
          <w:tcPr>
            <w:tcW w:w="1964" w:type="dxa"/>
            <w:vAlign w:val="top"/>
          </w:tcPr>
          <w:p w14:paraId="7BE8F6BF">
            <w:pPr>
              <w:spacing w:line="347" w:lineRule="auto"/>
              <w:rPr>
                <w:rFonts w:ascii="Arial"/>
                <w:sz w:val="21"/>
              </w:rPr>
            </w:pPr>
          </w:p>
          <w:p w14:paraId="1CEE3DDC">
            <w:pPr>
              <w:spacing w:line="348" w:lineRule="auto"/>
              <w:rPr>
                <w:rFonts w:ascii="Arial"/>
                <w:sz w:val="21"/>
              </w:rPr>
            </w:pPr>
          </w:p>
          <w:p w14:paraId="765173AC">
            <w:pPr>
              <w:pStyle w:val="6"/>
              <w:spacing w:before="68" w:line="218" w:lineRule="auto"/>
              <w:ind w:left="562"/>
              <w:rPr>
                <w:sz w:val="21"/>
                <w:szCs w:val="21"/>
              </w:rPr>
            </w:pPr>
            <w:r>
              <w:rPr>
                <w:spacing w:val="-2"/>
                <w:sz w:val="21"/>
                <w:szCs w:val="21"/>
              </w:rPr>
              <w:t>投标价格</w:t>
            </w:r>
          </w:p>
        </w:tc>
        <w:tc>
          <w:tcPr>
            <w:tcW w:w="5135" w:type="dxa"/>
            <w:vAlign w:val="top"/>
          </w:tcPr>
          <w:p w14:paraId="1F16CFD0">
            <w:pPr>
              <w:pStyle w:val="6"/>
              <w:spacing w:before="137" w:line="277" w:lineRule="auto"/>
              <w:ind w:left="2161" w:right="94" w:hanging="2033"/>
              <w:rPr>
                <w:sz w:val="21"/>
                <w:szCs w:val="21"/>
              </w:rPr>
            </w:pPr>
            <w:r>
              <w:rPr>
                <w:spacing w:val="-2"/>
                <w:sz w:val="21"/>
                <w:szCs w:val="21"/>
              </w:rPr>
              <w:t>1）投标函中的大写报价与已标价工程量清单中的投标</w:t>
            </w:r>
            <w:r>
              <w:rPr>
                <w:spacing w:val="-4"/>
                <w:sz w:val="21"/>
                <w:szCs w:val="21"/>
              </w:rPr>
              <w:t>总价一致</w:t>
            </w:r>
          </w:p>
          <w:p w14:paraId="5B5FEDF8">
            <w:pPr>
              <w:pStyle w:val="6"/>
              <w:spacing w:line="218" w:lineRule="auto"/>
              <w:ind w:left="205"/>
              <w:rPr>
                <w:sz w:val="21"/>
                <w:szCs w:val="21"/>
              </w:rPr>
            </w:pPr>
            <w:r>
              <w:rPr>
                <w:spacing w:val="-1"/>
                <w:sz w:val="21"/>
                <w:szCs w:val="21"/>
              </w:rPr>
              <w:t>2）投标函中的大写报价不大于本标段最高投标限价</w:t>
            </w:r>
          </w:p>
          <w:p w14:paraId="7D3714E8">
            <w:pPr>
              <w:pStyle w:val="6"/>
              <w:spacing w:before="67" w:line="218" w:lineRule="auto"/>
              <w:ind w:left="116"/>
              <w:rPr>
                <w:sz w:val="21"/>
                <w:szCs w:val="21"/>
              </w:rPr>
            </w:pPr>
            <w:r>
              <w:rPr>
                <w:spacing w:val="-1"/>
                <w:sz w:val="21"/>
                <w:szCs w:val="21"/>
              </w:rPr>
              <w:t>3）算术错误修正后的投标总报价不大于最高投标限价</w:t>
            </w:r>
          </w:p>
          <w:p w14:paraId="44C6A60D">
            <w:pPr>
              <w:pStyle w:val="6"/>
              <w:spacing w:before="67" w:line="218" w:lineRule="auto"/>
              <w:ind w:left="1358"/>
              <w:rPr>
                <w:sz w:val="21"/>
                <w:szCs w:val="21"/>
              </w:rPr>
            </w:pPr>
            <w:r>
              <w:rPr>
                <w:spacing w:val="-1"/>
                <w:sz w:val="21"/>
                <w:szCs w:val="21"/>
              </w:rPr>
              <w:t>4）投标报价不低于其成本</w:t>
            </w:r>
          </w:p>
        </w:tc>
      </w:tr>
      <w:tr w14:paraId="2C14C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431" w:type="dxa"/>
            <w:gridSpan w:val="2"/>
            <w:vAlign w:val="top"/>
          </w:tcPr>
          <w:p w14:paraId="54E83F35">
            <w:pPr>
              <w:pStyle w:val="6"/>
              <w:spacing w:before="303" w:line="239" w:lineRule="auto"/>
              <w:ind w:left="447"/>
              <w:rPr>
                <w:sz w:val="21"/>
                <w:szCs w:val="21"/>
              </w:rPr>
            </w:pPr>
            <w:r>
              <w:rPr>
                <w:spacing w:val="-2"/>
                <w:sz w:val="21"/>
                <w:szCs w:val="21"/>
              </w:rPr>
              <w:t>3.2.2</w:t>
            </w:r>
          </w:p>
        </w:tc>
        <w:tc>
          <w:tcPr>
            <w:tcW w:w="7099" w:type="dxa"/>
            <w:gridSpan w:val="2"/>
            <w:vAlign w:val="top"/>
          </w:tcPr>
          <w:p w14:paraId="7D0D50E2">
            <w:pPr>
              <w:pStyle w:val="6"/>
              <w:spacing w:before="138" w:line="220" w:lineRule="auto"/>
              <w:ind w:left="111"/>
              <w:rPr>
                <w:sz w:val="21"/>
                <w:szCs w:val="21"/>
              </w:rPr>
            </w:pPr>
            <w:r>
              <w:rPr>
                <w:spacing w:val="-4"/>
                <w:sz w:val="21"/>
                <w:szCs w:val="21"/>
              </w:rPr>
              <w:t>投标人不得存在的其他情形：</w:t>
            </w:r>
          </w:p>
        </w:tc>
      </w:tr>
      <w:tr w14:paraId="7CB1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431" w:type="dxa"/>
            <w:gridSpan w:val="2"/>
            <w:vAlign w:val="top"/>
          </w:tcPr>
          <w:p w14:paraId="05430DC4">
            <w:pPr>
              <w:pStyle w:val="6"/>
              <w:spacing w:before="139" w:line="220" w:lineRule="auto"/>
              <w:ind w:left="400"/>
              <w:rPr>
                <w:sz w:val="21"/>
                <w:szCs w:val="21"/>
              </w:rPr>
            </w:pPr>
            <w:r>
              <w:rPr>
                <w:spacing w:val="-2"/>
                <w:sz w:val="21"/>
                <w:szCs w:val="21"/>
              </w:rPr>
              <w:t>条款号</w:t>
            </w:r>
          </w:p>
        </w:tc>
        <w:tc>
          <w:tcPr>
            <w:tcW w:w="1964" w:type="dxa"/>
            <w:vAlign w:val="top"/>
          </w:tcPr>
          <w:p w14:paraId="50A11EDC">
            <w:pPr>
              <w:pStyle w:val="6"/>
              <w:spacing w:before="139" w:line="220" w:lineRule="auto"/>
              <w:ind w:left="110"/>
              <w:rPr>
                <w:sz w:val="21"/>
                <w:szCs w:val="21"/>
              </w:rPr>
            </w:pPr>
            <w:r>
              <w:rPr>
                <w:spacing w:val="-2"/>
                <w:sz w:val="21"/>
                <w:szCs w:val="21"/>
              </w:rPr>
              <w:t>条款内容</w:t>
            </w:r>
          </w:p>
        </w:tc>
        <w:tc>
          <w:tcPr>
            <w:tcW w:w="5135" w:type="dxa"/>
            <w:vAlign w:val="top"/>
          </w:tcPr>
          <w:p w14:paraId="49A30E48">
            <w:pPr>
              <w:pStyle w:val="6"/>
              <w:spacing w:before="139" w:line="220" w:lineRule="auto"/>
              <w:ind w:left="2157"/>
              <w:rPr>
                <w:sz w:val="21"/>
                <w:szCs w:val="21"/>
              </w:rPr>
            </w:pPr>
            <w:r>
              <w:rPr>
                <w:spacing w:val="-2"/>
                <w:sz w:val="21"/>
                <w:szCs w:val="21"/>
              </w:rPr>
              <w:t>编列内容</w:t>
            </w:r>
          </w:p>
        </w:tc>
      </w:tr>
      <w:tr w14:paraId="77F16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31" w:type="dxa"/>
            <w:gridSpan w:val="2"/>
            <w:vAlign w:val="top"/>
          </w:tcPr>
          <w:p w14:paraId="541DD2A8">
            <w:pPr>
              <w:spacing w:line="266" w:lineRule="auto"/>
              <w:rPr>
                <w:rFonts w:ascii="Arial"/>
                <w:sz w:val="21"/>
              </w:rPr>
            </w:pPr>
          </w:p>
          <w:p w14:paraId="5FD9A189">
            <w:pPr>
              <w:spacing w:line="267" w:lineRule="auto"/>
              <w:rPr>
                <w:rFonts w:ascii="Arial"/>
                <w:sz w:val="21"/>
              </w:rPr>
            </w:pPr>
          </w:p>
          <w:p w14:paraId="589307CB">
            <w:pPr>
              <w:pStyle w:val="6"/>
              <w:spacing w:before="69" w:line="239" w:lineRule="auto"/>
              <w:ind w:left="446"/>
              <w:rPr>
                <w:sz w:val="21"/>
                <w:szCs w:val="21"/>
              </w:rPr>
            </w:pPr>
            <w:r>
              <w:rPr>
                <w:spacing w:val="-2"/>
                <w:sz w:val="21"/>
                <w:szCs w:val="21"/>
              </w:rPr>
              <w:t>2.2.1</w:t>
            </w:r>
          </w:p>
        </w:tc>
        <w:tc>
          <w:tcPr>
            <w:tcW w:w="1964" w:type="dxa"/>
            <w:vAlign w:val="top"/>
          </w:tcPr>
          <w:p w14:paraId="3EAC87BA">
            <w:pPr>
              <w:pStyle w:val="6"/>
              <w:spacing w:before="289" w:line="220" w:lineRule="auto"/>
              <w:ind w:left="111"/>
              <w:rPr>
                <w:sz w:val="21"/>
                <w:szCs w:val="21"/>
              </w:rPr>
            </w:pPr>
            <w:r>
              <w:rPr>
                <w:spacing w:val="-2"/>
                <w:sz w:val="21"/>
                <w:szCs w:val="21"/>
              </w:rPr>
              <w:t>分值构成</w:t>
            </w:r>
          </w:p>
          <w:p w14:paraId="67F45B17">
            <w:pPr>
              <w:pStyle w:val="6"/>
              <w:spacing w:before="65" w:line="220" w:lineRule="auto"/>
              <w:ind w:left="114"/>
              <w:rPr>
                <w:sz w:val="21"/>
                <w:szCs w:val="21"/>
              </w:rPr>
            </w:pPr>
            <w:r>
              <w:rPr>
                <w:spacing w:val="-6"/>
                <w:sz w:val="21"/>
                <w:szCs w:val="21"/>
              </w:rPr>
              <w:t>（总分 100.00</w:t>
            </w:r>
            <w:r>
              <w:rPr>
                <w:spacing w:val="-33"/>
                <w:sz w:val="21"/>
                <w:szCs w:val="21"/>
              </w:rPr>
              <w:t xml:space="preserve"> </w:t>
            </w:r>
            <w:r>
              <w:rPr>
                <w:spacing w:val="-6"/>
                <w:sz w:val="21"/>
                <w:szCs w:val="21"/>
              </w:rPr>
              <w:t>分）</w:t>
            </w:r>
          </w:p>
        </w:tc>
        <w:tc>
          <w:tcPr>
            <w:tcW w:w="5135" w:type="dxa"/>
            <w:vAlign w:val="top"/>
          </w:tcPr>
          <w:p w14:paraId="48A1A81E">
            <w:pPr>
              <w:pStyle w:val="6"/>
              <w:spacing w:before="140" w:line="218" w:lineRule="auto"/>
              <w:ind w:left="806"/>
              <w:rPr>
                <w:sz w:val="21"/>
                <w:szCs w:val="21"/>
              </w:rPr>
            </w:pPr>
            <w:r>
              <w:rPr>
                <w:spacing w:val="-2"/>
                <w:sz w:val="21"/>
                <w:szCs w:val="21"/>
              </w:rPr>
              <w:t>投标报价：</w:t>
            </w:r>
            <w:r>
              <w:rPr>
                <w:sz w:val="21"/>
                <w:szCs w:val="21"/>
              </w:rPr>
              <w:t xml:space="preserve">                </w:t>
            </w:r>
            <w:r>
              <w:rPr>
                <w:spacing w:val="-2"/>
                <w:sz w:val="21"/>
                <w:szCs w:val="21"/>
              </w:rPr>
              <w:t>70.00</w:t>
            </w:r>
            <w:r>
              <w:rPr>
                <w:spacing w:val="-20"/>
                <w:sz w:val="21"/>
                <w:szCs w:val="21"/>
              </w:rPr>
              <w:t xml:space="preserve"> </w:t>
            </w:r>
            <w:r>
              <w:rPr>
                <w:spacing w:val="-2"/>
                <w:sz w:val="21"/>
                <w:szCs w:val="21"/>
              </w:rPr>
              <w:t>分</w:t>
            </w:r>
          </w:p>
          <w:p w14:paraId="545734DA">
            <w:pPr>
              <w:pStyle w:val="6"/>
              <w:spacing w:before="67" w:line="220" w:lineRule="auto"/>
              <w:ind w:left="802"/>
              <w:rPr>
                <w:sz w:val="21"/>
                <w:szCs w:val="21"/>
              </w:rPr>
            </w:pPr>
            <w:r>
              <w:rPr>
                <w:spacing w:val="-3"/>
                <w:sz w:val="21"/>
                <w:szCs w:val="21"/>
              </w:rPr>
              <w:t>施工组织设计：</w:t>
            </w:r>
            <w:r>
              <w:rPr>
                <w:spacing w:val="2"/>
                <w:sz w:val="21"/>
                <w:szCs w:val="21"/>
              </w:rPr>
              <w:t xml:space="preserve">            </w:t>
            </w:r>
            <w:r>
              <w:rPr>
                <w:spacing w:val="-3"/>
                <w:sz w:val="21"/>
                <w:szCs w:val="21"/>
              </w:rPr>
              <w:t>16.00</w:t>
            </w:r>
            <w:r>
              <w:rPr>
                <w:spacing w:val="-24"/>
                <w:sz w:val="21"/>
                <w:szCs w:val="21"/>
              </w:rPr>
              <w:t xml:space="preserve"> </w:t>
            </w:r>
            <w:r>
              <w:rPr>
                <w:spacing w:val="-3"/>
                <w:sz w:val="21"/>
                <w:szCs w:val="21"/>
              </w:rPr>
              <w:t>分</w:t>
            </w:r>
          </w:p>
          <w:p w14:paraId="7DD0F888">
            <w:pPr>
              <w:pStyle w:val="6"/>
              <w:spacing w:before="49" w:line="219" w:lineRule="auto"/>
              <w:ind w:left="867"/>
              <w:rPr>
                <w:sz w:val="21"/>
                <w:szCs w:val="21"/>
              </w:rPr>
            </w:pPr>
            <w:r>
              <w:rPr>
                <w:spacing w:val="-1"/>
                <w:sz w:val="21"/>
                <w:szCs w:val="21"/>
              </w:rPr>
              <w:t>项目管理机构：            6.00</w:t>
            </w:r>
            <w:r>
              <w:rPr>
                <w:spacing w:val="-19"/>
                <w:sz w:val="21"/>
                <w:szCs w:val="21"/>
              </w:rPr>
              <w:t xml:space="preserve"> </w:t>
            </w:r>
            <w:r>
              <w:rPr>
                <w:spacing w:val="-1"/>
                <w:sz w:val="21"/>
                <w:szCs w:val="21"/>
              </w:rPr>
              <w:t>分</w:t>
            </w:r>
          </w:p>
          <w:p w14:paraId="201A973F">
            <w:pPr>
              <w:pStyle w:val="6"/>
              <w:spacing w:before="66" w:line="220" w:lineRule="auto"/>
              <w:ind w:left="864"/>
              <w:rPr>
                <w:sz w:val="21"/>
                <w:szCs w:val="21"/>
              </w:rPr>
            </w:pPr>
            <w:r>
              <w:rPr>
                <w:spacing w:val="-1"/>
                <w:sz w:val="21"/>
                <w:szCs w:val="21"/>
              </w:rPr>
              <w:t>其他评分因素：            8.00</w:t>
            </w:r>
            <w:r>
              <w:rPr>
                <w:spacing w:val="-16"/>
                <w:sz w:val="21"/>
                <w:szCs w:val="21"/>
              </w:rPr>
              <w:t xml:space="preserve"> </w:t>
            </w:r>
            <w:r>
              <w:rPr>
                <w:spacing w:val="-1"/>
                <w:sz w:val="21"/>
                <w:szCs w:val="21"/>
              </w:rPr>
              <w:t>分</w:t>
            </w:r>
          </w:p>
        </w:tc>
      </w:tr>
      <w:tr w14:paraId="0F82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431" w:type="dxa"/>
            <w:gridSpan w:val="2"/>
            <w:vAlign w:val="top"/>
          </w:tcPr>
          <w:p w14:paraId="026C7AE4">
            <w:pPr>
              <w:pStyle w:val="6"/>
              <w:spacing w:before="142" w:line="239" w:lineRule="auto"/>
              <w:ind w:left="446"/>
              <w:rPr>
                <w:sz w:val="21"/>
                <w:szCs w:val="21"/>
              </w:rPr>
            </w:pPr>
            <w:r>
              <w:rPr>
                <w:spacing w:val="-2"/>
                <w:sz w:val="21"/>
                <w:szCs w:val="21"/>
              </w:rPr>
              <w:t>2.2.2</w:t>
            </w:r>
          </w:p>
        </w:tc>
        <w:tc>
          <w:tcPr>
            <w:tcW w:w="1964" w:type="dxa"/>
            <w:vAlign w:val="top"/>
          </w:tcPr>
          <w:p w14:paraId="3C7B5C73">
            <w:pPr>
              <w:pStyle w:val="6"/>
              <w:spacing w:before="142" w:line="218" w:lineRule="auto"/>
              <w:ind w:left="108"/>
              <w:rPr>
                <w:sz w:val="21"/>
                <w:szCs w:val="21"/>
              </w:rPr>
            </w:pPr>
            <w:r>
              <w:rPr>
                <w:spacing w:val="-1"/>
                <w:sz w:val="21"/>
                <w:szCs w:val="21"/>
              </w:rPr>
              <w:t>评标价确定方法</w:t>
            </w:r>
          </w:p>
        </w:tc>
        <w:tc>
          <w:tcPr>
            <w:tcW w:w="5135" w:type="dxa"/>
            <w:vAlign w:val="top"/>
          </w:tcPr>
          <w:p w14:paraId="10F28595">
            <w:pPr>
              <w:pStyle w:val="6"/>
              <w:spacing w:before="142" w:line="218" w:lineRule="auto"/>
              <w:ind w:left="156"/>
              <w:rPr>
                <w:sz w:val="21"/>
                <w:szCs w:val="21"/>
              </w:rPr>
            </w:pPr>
            <w:r>
              <w:rPr>
                <w:sz w:val="21"/>
                <w:szCs w:val="21"/>
              </w:rPr>
              <w:t>评标价＝投标函大写投标报价（经投标人书面确认的</w:t>
            </w:r>
          </w:p>
        </w:tc>
      </w:tr>
    </w:tbl>
    <w:p w14:paraId="7A26E125">
      <w:pPr>
        <w:pStyle w:val="2"/>
      </w:pPr>
    </w:p>
    <w:p w14:paraId="6A33DFAE">
      <w:pPr>
        <w:sectPr>
          <w:footerReference r:id="rId67" w:type="default"/>
          <w:pgSz w:w="11910" w:h="16845"/>
          <w:pgMar w:top="400" w:right="1682" w:bottom="1110" w:left="1681" w:header="0" w:footer="882" w:gutter="0"/>
          <w:cols w:space="720" w:num="1"/>
        </w:sectPr>
      </w:pPr>
    </w:p>
    <w:p w14:paraId="5C7B2104">
      <w:pPr>
        <w:spacing w:before="19"/>
      </w:pPr>
    </w:p>
    <w:p w14:paraId="1A23BF46">
      <w:pPr>
        <w:spacing w:before="19"/>
      </w:pPr>
    </w:p>
    <w:p w14:paraId="25CFBD5C">
      <w:pPr>
        <w:spacing w:before="19"/>
      </w:pPr>
    </w:p>
    <w:p w14:paraId="3167B316">
      <w:pPr>
        <w:spacing w:before="18"/>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720"/>
        <w:gridCol w:w="1964"/>
        <w:gridCol w:w="794"/>
        <w:gridCol w:w="4340"/>
      </w:tblGrid>
      <w:tr w14:paraId="23A08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1432" w:type="dxa"/>
            <w:gridSpan w:val="2"/>
            <w:vAlign w:val="top"/>
          </w:tcPr>
          <w:p w14:paraId="7D405B81">
            <w:pPr>
              <w:pStyle w:val="6"/>
              <w:spacing w:before="134" w:line="232" w:lineRule="auto"/>
              <w:ind w:left="449"/>
              <w:rPr>
                <w:sz w:val="21"/>
                <w:szCs w:val="21"/>
              </w:rPr>
            </w:pPr>
            <w:r>
              <w:rPr>
                <w:spacing w:val="-5"/>
                <w:sz w:val="21"/>
                <w:szCs w:val="21"/>
              </w:rPr>
              <w:t>（1）</w:t>
            </w:r>
          </w:p>
        </w:tc>
        <w:tc>
          <w:tcPr>
            <w:tcW w:w="1964" w:type="dxa"/>
            <w:vAlign w:val="top"/>
          </w:tcPr>
          <w:p w14:paraId="14DAEEFE">
            <w:pPr>
              <w:rPr>
                <w:rFonts w:ascii="Arial"/>
                <w:sz w:val="21"/>
              </w:rPr>
            </w:pPr>
          </w:p>
        </w:tc>
        <w:tc>
          <w:tcPr>
            <w:tcW w:w="5134" w:type="dxa"/>
            <w:gridSpan w:val="2"/>
            <w:vAlign w:val="top"/>
          </w:tcPr>
          <w:p w14:paraId="2106E706">
            <w:pPr>
              <w:pStyle w:val="6"/>
              <w:spacing w:before="134" w:line="218" w:lineRule="auto"/>
              <w:ind w:left="113"/>
              <w:rPr>
                <w:sz w:val="21"/>
                <w:szCs w:val="21"/>
              </w:rPr>
            </w:pPr>
            <w:r>
              <w:rPr>
                <w:sz w:val="21"/>
                <w:szCs w:val="21"/>
              </w:rPr>
              <w:t>算术错误修正后的投标总报价）-（暂列金额+税金）-</w:t>
            </w:r>
          </w:p>
          <w:p w14:paraId="4789DEF3">
            <w:pPr>
              <w:pStyle w:val="6"/>
              <w:spacing w:before="67" w:line="218" w:lineRule="auto"/>
              <w:ind w:left="1364"/>
              <w:rPr>
                <w:sz w:val="21"/>
                <w:szCs w:val="21"/>
              </w:rPr>
            </w:pPr>
            <w:r>
              <w:rPr>
                <w:spacing w:val="-2"/>
                <w:sz w:val="21"/>
                <w:szCs w:val="21"/>
              </w:rPr>
              <w:t>（专业工程暂估价+税金）</w:t>
            </w:r>
          </w:p>
        </w:tc>
      </w:tr>
      <w:tr w14:paraId="49DC4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4" w:hRule="atLeast"/>
        </w:trPr>
        <w:tc>
          <w:tcPr>
            <w:tcW w:w="1432" w:type="dxa"/>
            <w:gridSpan w:val="2"/>
            <w:vAlign w:val="top"/>
          </w:tcPr>
          <w:p w14:paraId="188EE9C0">
            <w:pPr>
              <w:spacing w:line="343" w:lineRule="auto"/>
              <w:rPr>
                <w:rFonts w:ascii="Arial"/>
                <w:sz w:val="21"/>
              </w:rPr>
            </w:pPr>
          </w:p>
          <w:p w14:paraId="51830CCE">
            <w:pPr>
              <w:spacing w:line="343" w:lineRule="auto"/>
              <w:rPr>
                <w:rFonts w:ascii="Arial"/>
                <w:sz w:val="21"/>
              </w:rPr>
            </w:pPr>
          </w:p>
          <w:p w14:paraId="124A28A2">
            <w:pPr>
              <w:pStyle w:val="6"/>
              <w:spacing w:before="68" w:line="239" w:lineRule="auto"/>
              <w:ind w:left="446"/>
              <w:rPr>
                <w:sz w:val="21"/>
                <w:szCs w:val="21"/>
              </w:rPr>
            </w:pPr>
            <w:r>
              <w:rPr>
                <w:spacing w:val="-2"/>
                <w:sz w:val="21"/>
                <w:szCs w:val="21"/>
              </w:rPr>
              <w:t>2.2.2</w:t>
            </w:r>
          </w:p>
          <w:p w14:paraId="389107C5">
            <w:pPr>
              <w:pStyle w:val="6"/>
              <w:spacing w:before="42" w:line="232" w:lineRule="auto"/>
              <w:ind w:left="449"/>
              <w:rPr>
                <w:sz w:val="21"/>
                <w:szCs w:val="21"/>
              </w:rPr>
            </w:pPr>
            <w:r>
              <w:rPr>
                <w:spacing w:val="-5"/>
                <w:sz w:val="21"/>
                <w:szCs w:val="21"/>
              </w:rPr>
              <w:t>（2）</w:t>
            </w:r>
          </w:p>
        </w:tc>
        <w:tc>
          <w:tcPr>
            <w:tcW w:w="1964" w:type="dxa"/>
            <w:vAlign w:val="top"/>
          </w:tcPr>
          <w:p w14:paraId="3FD13E6E">
            <w:pPr>
              <w:spacing w:line="278" w:lineRule="auto"/>
              <w:rPr>
                <w:rFonts w:ascii="Arial"/>
                <w:sz w:val="21"/>
              </w:rPr>
            </w:pPr>
          </w:p>
          <w:p w14:paraId="2FCD95C2">
            <w:pPr>
              <w:spacing w:line="279" w:lineRule="auto"/>
              <w:rPr>
                <w:rFonts w:ascii="Arial"/>
                <w:sz w:val="21"/>
              </w:rPr>
            </w:pPr>
          </w:p>
          <w:p w14:paraId="3CCD65D9">
            <w:pPr>
              <w:spacing w:line="279" w:lineRule="auto"/>
              <w:rPr>
                <w:rFonts w:ascii="Arial"/>
                <w:sz w:val="21"/>
              </w:rPr>
            </w:pPr>
          </w:p>
          <w:p w14:paraId="45B971D5">
            <w:pPr>
              <w:pStyle w:val="6"/>
              <w:spacing w:before="68" w:line="282" w:lineRule="auto"/>
              <w:ind w:left="108" w:right="165" w:hanging="1"/>
              <w:rPr>
                <w:sz w:val="21"/>
                <w:szCs w:val="21"/>
              </w:rPr>
            </w:pPr>
            <w:r>
              <w:rPr>
                <w:spacing w:val="-1"/>
                <w:sz w:val="21"/>
                <w:szCs w:val="21"/>
              </w:rPr>
              <w:t>评标基准价计算方</w:t>
            </w:r>
            <w:r>
              <w:rPr>
                <w:sz w:val="21"/>
                <w:szCs w:val="21"/>
              </w:rPr>
              <w:t>法</w:t>
            </w:r>
          </w:p>
        </w:tc>
        <w:tc>
          <w:tcPr>
            <w:tcW w:w="5134" w:type="dxa"/>
            <w:gridSpan w:val="2"/>
            <w:vAlign w:val="top"/>
          </w:tcPr>
          <w:p w14:paraId="3106718D">
            <w:pPr>
              <w:pStyle w:val="6"/>
              <w:spacing w:before="128" w:line="218" w:lineRule="auto"/>
              <w:ind w:left="156"/>
              <w:rPr>
                <w:sz w:val="21"/>
                <w:szCs w:val="21"/>
              </w:rPr>
            </w:pPr>
            <w:r>
              <w:rPr>
                <w:spacing w:val="-1"/>
                <w:sz w:val="21"/>
                <w:szCs w:val="21"/>
              </w:rPr>
              <w:t>所有有效投标的评标价去掉六分之一（不能整除的按</w:t>
            </w:r>
          </w:p>
          <w:p w14:paraId="369CC2FB">
            <w:pPr>
              <w:pStyle w:val="6"/>
              <w:spacing w:before="67" w:line="218" w:lineRule="auto"/>
              <w:ind w:left="162"/>
              <w:rPr>
                <w:sz w:val="21"/>
                <w:szCs w:val="21"/>
              </w:rPr>
            </w:pPr>
            <w:r>
              <w:rPr>
                <w:sz w:val="21"/>
                <w:szCs w:val="21"/>
              </w:rPr>
              <w:t>小数前整数取整，不足六家报价则不去掉）</w:t>
            </w:r>
            <w:r>
              <w:rPr>
                <w:spacing w:val="-1"/>
                <w:sz w:val="21"/>
                <w:szCs w:val="21"/>
              </w:rPr>
              <w:t>的最低价</w:t>
            </w:r>
          </w:p>
          <w:p w14:paraId="741F2418">
            <w:pPr>
              <w:pStyle w:val="6"/>
              <w:spacing w:before="67" w:line="218" w:lineRule="auto"/>
              <w:ind w:left="127"/>
              <w:rPr>
                <w:sz w:val="21"/>
                <w:szCs w:val="21"/>
              </w:rPr>
            </w:pPr>
            <w:r>
              <w:rPr>
                <w:spacing w:val="-1"/>
                <w:sz w:val="21"/>
                <w:szCs w:val="21"/>
              </w:rPr>
              <w:t>和相同数量的最高价后的算术平均值下浮</w:t>
            </w:r>
            <w:r>
              <w:rPr>
                <w:spacing w:val="-31"/>
                <w:sz w:val="21"/>
                <w:szCs w:val="21"/>
              </w:rPr>
              <w:t xml:space="preserve"> </w:t>
            </w:r>
            <w:r>
              <w:rPr>
                <w:spacing w:val="-1"/>
                <w:sz w:val="21"/>
                <w:szCs w:val="21"/>
              </w:rPr>
              <w:t>E%，作为评</w:t>
            </w:r>
          </w:p>
          <w:p w14:paraId="7C068B09">
            <w:pPr>
              <w:pStyle w:val="6"/>
              <w:spacing w:before="67" w:line="218" w:lineRule="auto"/>
              <w:ind w:left="2050"/>
              <w:rPr>
                <w:sz w:val="21"/>
                <w:szCs w:val="21"/>
              </w:rPr>
            </w:pPr>
            <w:r>
              <w:rPr>
                <w:spacing w:val="-6"/>
                <w:sz w:val="21"/>
                <w:szCs w:val="21"/>
              </w:rPr>
              <w:t>标基准价。</w:t>
            </w:r>
          </w:p>
          <w:p w14:paraId="1705B9EA">
            <w:pPr>
              <w:pStyle w:val="6"/>
              <w:spacing w:before="52" w:line="218" w:lineRule="auto"/>
              <w:ind w:left="139"/>
              <w:rPr>
                <w:sz w:val="21"/>
                <w:szCs w:val="21"/>
              </w:rPr>
            </w:pPr>
            <w:r>
              <w:rPr>
                <w:spacing w:val="-2"/>
                <w:sz w:val="21"/>
                <w:szCs w:val="21"/>
              </w:rPr>
              <w:t>E:为评标基准价下浮系数，范围为</w:t>
            </w:r>
            <w:r>
              <w:rPr>
                <w:spacing w:val="-17"/>
                <w:sz w:val="21"/>
                <w:szCs w:val="21"/>
              </w:rPr>
              <w:t xml:space="preserve"> </w:t>
            </w:r>
            <w:r>
              <w:rPr>
                <w:spacing w:val="-2"/>
                <w:sz w:val="21"/>
                <w:szCs w:val="21"/>
              </w:rPr>
              <w:t>1-3</w:t>
            </w:r>
            <w:r>
              <w:rPr>
                <w:spacing w:val="-19"/>
                <w:sz w:val="21"/>
                <w:szCs w:val="21"/>
              </w:rPr>
              <w:t xml:space="preserve"> </w:t>
            </w:r>
            <w:r>
              <w:rPr>
                <w:spacing w:val="-2"/>
                <w:sz w:val="21"/>
                <w:szCs w:val="21"/>
              </w:rPr>
              <w:t>的整数，由招</w:t>
            </w:r>
          </w:p>
          <w:p w14:paraId="61456970">
            <w:pPr>
              <w:pStyle w:val="6"/>
              <w:spacing w:before="67" w:line="219" w:lineRule="auto"/>
              <w:ind w:left="112"/>
              <w:rPr>
                <w:sz w:val="21"/>
                <w:szCs w:val="21"/>
              </w:rPr>
            </w:pPr>
            <w:r>
              <w:rPr>
                <w:spacing w:val="-7"/>
                <w:sz w:val="21"/>
                <w:szCs w:val="21"/>
              </w:rPr>
              <w:t>标人确定。E</w:t>
            </w:r>
            <w:r>
              <w:rPr>
                <w:spacing w:val="-17"/>
                <w:sz w:val="21"/>
                <w:szCs w:val="21"/>
              </w:rPr>
              <w:t xml:space="preserve"> </w:t>
            </w:r>
            <w:r>
              <w:rPr>
                <w:spacing w:val="-7"/>
                <w:sz w:val="21"/>
                <w:szCs w:val="21"/>
              </w:rPr>
              <w:t>的取值见第二章投标人须知前附表第</w:t>
            </w:r>
            <w:r>
              <w:rPr>
                <w:spacing w:val="-39"/>
                <w:sz w:val="21"/>
                <w:szCs w:val="21"/>
              </w:rPr>
              <w:t xml:space="preserve"> </w:t>
            </w:r>
            <w:r>
              <w:rPr>
                <w:spacing w:val="-7"/>
                <w:sz w:val="21"/>
                <w:szCs w:val="21"/>
              </w:rPr>
              <w:t>10.2</w:t>
            </w:r>
          </w:p>
          <w:p w14:paraId="552944FC">
            <w:pPr>
              <w:pStyle w:val="6"/>
              <w:spacing w:before="66" w:line="221" w:lineRule="auto"/>
              <w:ind w:left="2365"/>
              <w:rPr>
                <w:sz w:val="21"/>
                <w:szCs w:val="21"/>
              </w:rPr>
            </w:pPr>
            <w:r>
              <w:rPr>
                <w:spacing w:val="-10"/>
                <w:sz w:val="21"/>
                <w:szCs w:val="21"/>
              </w:rPr>
              <w:t>款。</w:t>
            </w:r>
          </w:p>
        </w:tc>
      </w:tr>
      <w:tr w14:paraId="6134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0" w:hRule="atLeast"/>
        </w:trPr>
        <w:tc>
          <w:tcPr>
            <w:tcW w:w="1432" w:type="dxa"/>
            <w:gridSpan w:val="2"/>
            <w:vAlign w:val="top"/>
          </w:tcPr>
          <w:p w14:paraId="31ECD7B7">
            <w:pPr>
              <w:pStyle w:val="6"/>
              <w:spacing w:before="280" w:line="220" w:lineRule="auto"/>
              <w:ind w:left="400"/>
              <w:rPr>
                <w:sz w:val="21"/>
                <w:szCs w:val="21"/>
              </w:rPr>
            </w:pPr>
            <w:r>
              <w:rPr>
                <w:spacing w:val="-2"/>
                <w:sz w:val="21"/>
                <w:szCs w:val="21"/>
              </w:rPr>
              <w:t>条款号</w:t>
            </w:r>
          </w:p>
        </w:tc>
        <w:tc>
          <w:tcPr>
            <w:tcW w:w="1964" w:type="dxa"/>
            <w:vAlign w:val="top"/>
          </w:tcPr>
          <w:p w14:paraId="57C68036">
            <w:pPr>
              <w:pStyle w:val="6"/>
              <w:spacing w:before="280" w:line="220" w:lineRule="auto"/>
              <w:ind w:left="107"/>
              <w:rPr>
                <w:sz w:val="21"/>
                <w:szCs w:val="21"/>
              </w:rPr>
            </w:pPr>
            <w:r>
              <w:rPr>
                <w:spacing w:val="-2"/>
                <w:sz w:val="21"/>
                <w:szCs w:val="21"/>
              </w:rPr>
              <w:t>评分因素</w:t>
            </w:r>
          </w:p>
        </w:tc>
        <w:tc>
          <w:tcPr>
            <w:tcW w:w="794" w:type="dxa"/>
            <w:vAlign w:val="top"/>
          </w:tcPr>
          <w:p w14:paraId="329033B0">
            <w:pPr>
              <w:pStyle w:val="6"/>
              <w:spacing w:before="130" w:line="267" w:lineRule="auto"/>
              <w:ind w:left="294" w:right="179" w:hanging="106"/>
              <w:rPr>
                <w:sz w:val="21"/>
                <w:szCs w:val="21"/>
              </w:rPr>
            </w:pPr>
            <w:r>
              <w:rPr>
                <w:spacing w:val="-5"/>
                <w:sz w:val="21"/>
                <w:szCs w:val="21"/>
              </w:rPr>
              <w:t>标准</w:t>
            </w:r>
            <w:r>
              <w:rPr>
                <w:sz w:val="21"/>
                <w:szCs w:val="21"/>
              </w:rPr>
              <w:t>分</w:t>
            </w:r>
          </w:p>
        </w:tc>
        <w:tc>
          <w:tcPr>
            <w:tcW w:w="4340" w:type="dxa"/>
            <w:vAlign w:val="top"/>
          </w:tcPr>
          <w:p w14:paraId="0C2D73D6">
            <w:pPr>
              <w:pStyle w:val="6"/>
              <w:spacing w:before="281" w:line="220" w:lineRule="auto"/>
              <w:ind w:left="1750"/>
              <w:rPr>
                <w:sz w:val="21"/>
                <w:szCs w:val="21"/>
              </w:rPr>
            </w:pPr>
            <w:r>
              <w:rPr>
                <w:spacing w:val="-2"/>
                <w:sz w:val="21"/>
                <w:szCs w:val="21"/>
              </w:rPr>
              <w:t>评分标准</w:t>
            </w:r>
          </w:p>
        </w:tc>
      </w:tr>
      <w:tr w14:paraId="61644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84" w:hRule="atLeast"/>
        </w:trPr>
        <w:tc>
          <w:tcPr>
            <w:tcW w:w="712" w:type="dxa"/>
            <w:vMerge w:val="restart"/>
            <w:tcBorders>
              <w:bottom w:val="nil"/>
            </w:tcBorders>
            <w:vAlign w:val="top"/>
          </w:tcPr>
          <w:p w14:paraId="741C48F7">
            <w:pPr>
              <w:spacing w:line="250" w:lineRule="auto"/>
              <w:rPr>
                <w:rFonts w:ascii="Arial"/>
                <w:sz w:val="21"/>
              </w:rPr>
            </w:pPr>
          </w:p>
          <w:p w14:paraId="59B3C698">
            <w:pPr>
              <w:spacing w:line="250" w:lineRule="auto"/>
              <w:rPr>
                <w:rFonts w:ascii="Arial"/>
                <w:sz w:val="21"/>
              </w:rPr>
            </w:pPr>
          </w:p>
          <w:p w14:paraId="617A238C">
            <w:pPr>
              <w:spacing w:line="250" w:lineRule="auto"/>
              <w:rPr>
                <w:rFonts w:ascii="Arial"/>
                <w:sz w:val="21"/>
              </w:rPr>
            </w:pPr>
          </w:p>
          <w:p w14:paraId="00E89862">
            <w:pPr>
              <w:spacing w:line="250" w:lineRule="auto"/>
              <w:rPr>
                <w:rFonts w:ascii="Arial"/>
                <w:sz w:val="21"/>
              </w:rPr>
            </w:pPr>
          </w:p>
          <w:p w14:paraId="15218896">
            <w:pPr>
              <w:spacing w:line="250" w:lineRule="auto"/>
              <w:rPr>
                <w:rFonts w:ascii="Arial"/>
                <w:sz w:val="21"/>
              </w:rPr>
            </w:pPr>
          </w:p>
          <w:p w14:paraId="6CC76A92">
            <w:pPr>
              <w:spacing w:line="250" w:lineRule="auto"/>
              <w:rPr>
                <w:rFonts w:ascii="Arial"/>
                <w:sz w:val="21"/>
              </w:rPr>
            </w:pPr>
          </w:p>
          <w:p w14:paraId="03A001F1">
            <w:pPr>
              <w:spacing w:line="250" w:lineRule="auto"/>
              <w:rPr>
                <w:rFonts w:ascii="Arial"/>
                <w:sz w:val="21"/>
              </w:rPr>
            </w:pPr>
          </w:p>
          <w:p w14:paraId="18DDDD2D">
            <w:pPr>
              <w:spacing w:line="250" w:lineRule="auto"/>
              <w:rPr>
                <w:rFonts w:ascii="Arial"/>
                <w:sz w:val="21"/>
              </w:rPr>
            </w:pPr>
          </w:p>
          <w:p w14:paraId="35D5F158">
            <w:pPr>
              <w:spacing w:line="251" w:lineRule="auto"/>
              <w:rPr>
                <w:rFonts w:ascii="Arial"/>
                <w:sz w:val="21"/>
              </w:rPr>
            </w:pPr>
          </w:p>
          <w:p w14:paraId="0834AAE1">
            <w:pPr>
              <w:spacing w:line="251" w:lineRule="auto"/>
              <w:rPr>
                <w:rFonts w:ascii="Arial"/>
                <w:sz w:val="21"/>
              </w:rPr>
            </w:pPr>
          </w:p>
          <w:p w14:paraId="0D976D8B">
            <w:pPr>
              <w:spacing w:line="251" w:lineRule="auto"/>
              <w:rPr>
                <w:rFonts w:ascii="Arial"/>
                <w:sz w:val="21"/>
              </w:rPr>
            </w:pPr>
          </w:p>
          <w:p w14:paraId="5AFA3E61">
            <w:pPr>
              <w:spacing w:line="251" w:lineRule="auto"/>
              <w:rPr>
                <w:rFonts w:ascii="Arial"/>
                <w:sz w:val="21"/>
              </w:rPr>
            </w:pPr>
          </w:p>
          <w:p w14:paraId="6E27926F">
            <w:pPr>
              <w:spacing w:line="251" w:lineRule="auto"/>
              <w:rPr>
                <w:rFonts w:ascii="Arial"/>
                <w:sz w:val="21"/>
              </w:rPr>
            </w:pPr>
          </w:p>
          <w:p w14:paraId="7939FCB0">
            <w:pPr>
              <w:spacing w:line="251" w:lineRule="auto"/>
              <w:rPr>
                <w:rFonts w:ascii="Arial"/>
                <w:sz w:val="21"/>
              </w:rPr>
            </w:pPr>
          </w:p>
          <w:p w14:paraId="43493751">
            <w:pPr>
              <w:spacing w:line="251" w:lineRule="auto"/>
              <w:rPr>
                <w:rFonts w:ascii="Arial"/>
                <w:sz w:val="21"/>
              </w:rPr>
            </w:pPr>
          </w:p>
          <w:p w14:paraId="49A2CB21">
            <w:pPr>
              <w:spacing w:line="251" w:lineRule="auto"/>
              <w:rPr>
                <w:rFonts w:ascii="Arial"/>
                <w:sz w:val="21"/>
              </w:rPr>
            </w:pPr>
          </w:p>
          <w:p w14:paraId="4B2B4142">
            <w:pPr>
              <w:spacing w:line="251" w:lineRule="auto"/>
              <w:rPr>
                <w:rFonts w:ascii="Arial"/>
                <w:sz w:val="21"/>
              </w:rPr>
            </w:pPr>
          </w:p>
          <w:p w14:paraId="0AD23C82">
            <w:pPr>
              <w:spacing w:line="251" w:lineRule="auto"/>
              <w:rPr>
                <w:rFonts w:ascii="Arial"/>
                <w:sz w:val="21"/>
              </w:rPr>
            </w:pPr>
          </w:p>
          <w:p w14:paraId="665F242C">
            <w:pPr>
              <w:pStyle w:val="6"/>
              <w:spacing w:before="68" w:line="239" w:lineRule="auto"/>
              <w:ind w:left="146"/>
              <w:rPr>
                <w:sz w:val="21"/>
                <w:szCs w:val="21"/>
              </w:rPr>
            </w:pPr>
            <w:r>
              <w:rPr>
                <w:spacing w:val="-3"/>
                <w:sz w:val="21"/>
                <w:szCs w:val="21"/>
              </w:rPr>
              <w:t>2.2.</w:t>
            </w:r>
          </w:p>
          <w:p w14:paraId="0ABC9443">
            <w:pPr>
              <w:pStyle w:val="6"/>
              <w:spacing w:before="43" w:line="222" w:lineRule="auto"/>
              <w:ind w:left="142"/>
              <w:rPr>
                <w:sz w:val="21"/>
                <w:szCs w:val="21"/>
              </w:rPr>
            </w:pPr>
            <w:r>
              <w:rPr>
                <w:spacing w:val="-2"/>
                <w:sz w:val="21"/>
                <w:szCs w:val="21"/>
              </w:rPr>
              <w:t>4(1)</w:t>
            </w:r>
          </w:p>
        </w:tc>
        <w:tc>
          <w:tcPr>
            <w:tcW w:w="720" w:type="dxa"/>
            <w:vMerge w:val="restart"/>
            <w:tcBorders>
              <w:bottom w:val="nil"/>
            </w:tcBorders>
            <w:vAlign w:val="top"/>
          </w:tcPr>
          <w:p w14:paraId="33E7506E">
            <w:pPr>
              <w:spacing w:line="246" w:lineRule="auto"/>
              <w:rPr>
                <w:rFonts w:ascii="Arial"/>
                <w:sz w:val="21"/>
              </w:rPr>
            </w:pPr>
          </w:p>
          <w:p w14:paraId="6A6131FC">
            <w:pPr>
              <w:spacing w:line="246" w:lineRule="auto"/>
              <w:rPr>
                <w:rFonts w:ascii="Arial"/>
                <w:sz w:val="21"/>
              </w:rPr>
            </w:pPr>
          </w:p>
          <w:p w14:paraId="4577BFA2">
            <w:pPr>
              <w:spacing w:line="247" w:lineRule="auto"/>
              <w:rPr>
                <w:rFonts w:ascii="Arial"/>
                <w:sz w:val="21"/>
              </w:rPr>
            </w:pPr>
          </w:p>
          <w:p w14:paraId="77F89BE8">
            <w:pPr>
              <w:spacing w:line="247" w:lineRule="auto"/>
              <w:rPr>
                <w:rFonts w:ascii="Arial"/>
                <w:sz w:val="21"/>
              </w:rPr>
            </w:pPr>
          </w:p>
          <w:p w14:paraId="1C7D364F">
            <w:pPr>
              <w:spacing w:line="247" w:lineRule="auto"/>
              <w:rPr>
                <w:rFonts w:ascii="Arial"/>
                <w:sz w:val="21"/>
              </w:rPr>
            </w:pPr>
          </w:p>
          <w:p w14:paraId="3135C393">
            <w:pPr>
              <w:spacing w:line="247" w:lineRule="auto"/>
              <w:rPr>
                <w:rFonts w:ascii="Arial"/>
                <w:sz w:val="21"/>
              </w:rPr>
            </w:pPr>
          </w:p>
          <w:p w14:paraId="0673389C">
            <w:pPr>
              <w:spacing w:line="247" w:lineRule="auto"/>
              <w:rPr>
                <w:rFonts w:ascii="Arial"/>
                <w:sz w:val="21"/>
              </w:rPr>
            </w:pPr>
          </w:p>
          <w:p w14:paraId="3FE607A6">
            <w:pPr>
              <w:spacing w:line="247" w:lineRule="auto"/>
              <w:rPr>
                <w:rFonts w:ascii="Arial"/>
                <w:sz w:val="21"/>
              </w:rPr>
            </w:pPr>
          </w:p>
          <w:p w14:paraId="5DFB04F1">
            <w:pPr>
              <w:spacing w:line="247" w:lineRule="auto"/>
              <w:rPr>
                <w:rFonts w:ascii="Arial"/>
                <w:sz w:val="21"/>
              </w:rPr>
            </w:pPr>
          </w:p>
          <w:p w14:paraId="5AFCCCEC">
            <w:pPr>
              <w:spacing w:line="247" w:lineRule="auto"/>
              <w:rPr>
                <w:rFonts w:ascii="Arial"/>
                <w:sz w:val="21"/>
              </w:rPr>
            </w:pPr>
          </w:p>
          <w:p w14:paraId="5FD6FAE8">
            <w:pPr>
              <w:spacing w:line="247" w:lineRule="auto"/>
              <w:rPr>
                <w:rFonts w:ascii="Arial"/>
                <w:sz w:val="21"/>
              </w:rPr>
            </w:pPr>
          </w:p>
          <w:p w14:paraId="15C7822D">
            <w:pPr>
              <w:spacing w:line="247" w:lineRule="auto"/>
              <w:rPr>
                <w:rFonts w:ascii="Arial"/>
                <w:sz w:val="21"/>
              </w:rPr>
            </w:pPr>
          </w:p>
          <w:p w14:paraId="65A5FCA7">
            <w:pPr>
              <w:spacing w:line="247" w:lineRule="auto"/>
              <w:rPr>
                <w:rFonts w:ascii="Arial"/>
                <w:sz w:val="21"/>
              </w:rPr>
            </w:pPr>
          </w:p>
          <w:p w14:paraId="39C465F7">
            <w:pPr>
              <w:spacing w:line="247" w:lineRule="auto"/>
              <w:rPr>
                <w:rFonts w:ascii="Arial"/>
                <w:sz w:val="21"/>
              </w:rPr>
            </w:pPr>
          </w:p>
          <w:p w14:paraId="0763EAF5">
            <w:pPr>
              <w:spacing w:line="247" w:lineRule="auto"/>
              <w:rPr>
                <w:rFonts w:ascii="Arial"/>
                <w:sz w:val="21"/>
              </w:rPr>
            </w:pPr>
          </w:p>
          <w:p w14:paraId="6A28E9F0">
            <w:pPr>
              <w:spacing w:line="247" w:lineRule="auto"/>
              <w:rPr>
                <w:rFonts w:ascii="Arial"/>
                <w:sz w:val="21"/>
              </w:rPr>
            </w:pPr>
          </w:p>
          <w:p w14:paraId="6A15C195">
            <w:pPr>
              <w:spacing w:line="247" w:lineRule="auto"/>
              <w:rPr>
                <w:rFonts w:ascii="Arial"/>
                <w:sz w:val="21"/>
              </w:rPr>
            </w:pPr>
          </w:p>
          <w:p w14:paraId="7FF1B719">
            <w:pPr>
              <w:pStyle w:val="6"/>
              <w:spacing w:before="68" w:line="274" w:lineRule="auto"/>
              <w:ind w:left="135" w:right="155" w:firstLine="4"/>
              <w:jc w:val="both"/>
              <w:rPr>
                <w:sz w:val="21"/>
                <w:szCs w:val="21"/>
              </w:rPr>
            </w:pPr>
            <w:r>
              <w:rPr>
                <w:spacing w:val="-6"/>
                <w:sz w:val="21"/>
                <w:szCs w:val="21"/>
              </w:rPr>
              <w:t>投标</w:t>
            </w:r>
            <w:r>
              <w:rPr>
                <w:spacing w:val="-4"/>
                <w:sz w:val="21"/>
                <w:szCs w:val="21"/>
              </w:rPr>
              <w:t>报价评分标准</w:t>
            </w:r>
          </w:p>
        </w:tc>
        <w:tc>
          <w:tcPr>
            <w:tcW w:w="1964" w:type="dxa"/>
            <w:vAlign w:val="top"/>
          </w:tcPr>
          <w:p w14:paraId="314B1ADB">
            <w:pPr>
              <w:spacing w:line="288" w:lineRule="auto"/>
              <w:rPr>
                <w:rFonts w:ascii="Arial"/>
                <w:sz w:val="21"/>
              </w:rPr>
            </w:pPr>
          </w:p>
          <w:p w14:paraId="68EC6BAB">
            <w:pPr>
              <w:spacing w:line="288" w:lineRule="auto"/>
              <w:rPr>
                <w:rFonts w:ascii="Arial"/>
                <w:sz w:val="21"/>
              </w:rPr>
            </w:pPr>
          </w:p>
          <w:p w14:paraId="738CC10F">
            <w:pPr>
              <w:spacing w:line="288" w:lineRule="auto"/>
              <w:rPr>
                <w:rFonts w:ascii="Arial"/>
                <w:sz w:val="21"/>
              </w:rPr>
            </w:pPr>
          </w:p>
          <w:p w14:paraId="22909971">
            <w:pPr>
              <w:spacing w:line="288" w:lineRule="auto"/>
              <w:rPr>
                <w:rFonts w:ascii="Arial"/>
                <w:sz w:val="21"/>
              </w:rPr>
            </w:pPr>
          </w:p>
          <w:p w14:paraId="786932A0">
            <w:pPr>
              <w:pStyle w:val="6"/>
              <w:spacing w:before="68" w:line="218" w:lineRule="auto"/>
              <w:ind w:left="110"/>
              <w:rPr>
                <w:sz w:val="21"/>
                <w:szCs w:val="21"/>
              </w:rPr>
            </w:pPr>
            <w:r>
              <w:rPr>
                <w:spacing w:val="-2"/>
                <w:sz w:val="21"/>
                <w:szCs w:val="21"/>
              </w:rPr>
              <w:t>投标报价</w:t>
            </w:r>
          </w:p>
        </w:tc>
        <w:tc>
          <w:tcPr>
            <w:tcW w:w="794" w:type="dxa"/>
            <w:vAlign w:val="top"/>
          </w:tcPr>
          <w:p w14:paraId="1A9FE4D6">
            <w:pPr>
              <w:spacing w:line="288" w:lineRule="auto"/>
              <w:rPr>
                <w:rFonts w:ascii="Arial"/>
                <w:sz w:val="21"/>
              </w:rPr>
            </w:pPr>
          </w:p>
          <w:p w14:paraId="3BC88708">
            <w:pPr>
              <w:spacing w:line="288" w:lineRule="auto"/>
              <w:rPr>
                <w:rFonts w:ascii="Arial"/>
                <w:sz w:val="21"/>
              </w:rPr>
            </w:pPr>
          </w:p>
          <w:p w14:paraId="6403FDCB">
            <w:pPr>
              <w:spacing w:line="288" w:lineRule="auto"/>
              <w:rPr>
                <w:rFonts w:ascii="Arial"/>
                <w:sz w:val="21"/>
              </w:rPr>
            </w:pPr>
          </w:p>
          <w:p w14:paraId="18BCCD16">
            <w:pPr>
              <w:spacing w:line="288" w:lineRule="auto"/>
              <w:rPr>
                <w:rFonts w:ascii="Arial"/>
                <w:sz w:val="21"/>
              </w:rPr>
            </w:pPr>
          </w:p>
          <w:p w14:paraId="5F6CB9A0">
            <w:pPr>
              <w:pStyle w:val="6"/>
              <w:spacing w:before="68" w:line="239" w:lineRule="auto"/>
              <w:ind w:left="116"/>
              <w:rPr>
                <w:sz w:val="21"/>
                <w:szCs w:val="21"/>
              </w:rPr>
            </w:pPr>
            <w:r>
              <w:rPr>
                <w:spacing w:val="-3"/>
                <w:sz w:val="21"/>
                <w:szCs w:val="21"/>
              </w:rPr>
              <w:t>70.0</w:t>
            </w:r>
          </w:p>
        </w:tc>
        <w:tc>
          <w:tcPr>
            <w:tcW w:w="4340" w:type="dxa"/>
            <w:vAlign w:val="top"/>
          </w:tcPr>
          <w:p w14:paraId="34027681">
            <w:pPr>
              <w:pStyle w:val="6"/>
              <w:spacing w:before="131" w:line="271" w:lineRule="auto"/>
              <w:ind w:left="115" w:right="74" w:hanging="5"/>
              <w:rPr>
                <w:sz w:val="21"/>
                <w:szCs w:val="21"/>
              </w:rPr>
            </w:pPr>
            <w:r>
              <w:rPr>
                <w:spacing w:val="-3"/>
                <w:sz w:val="21"/>
                <w:szCs w:val="21"/>
              </w:rPr>
              <w:t>F＝M-（投标人评标价-评标基准价）÷评标基</w:t>
            </w:r>
            <w:r>
              <w:rPr>
                <w:spacing w:val="-1"/>
                <w:sz w:val="21"/>
                <w:szCs w:val="21"/>
              </w:rPr>
              <w:t>准价×100×3   （评标价＞基准价时）</w:t>
            </w:r>
          </w:p>
          <w:p w14:paraId="47267716">
            <w:pPr>
              <w:pStyle w:val="6"/>
              <w:spacing w:line="277" w:lineRule="auto"/>
              <w:ind w:left="115" w:right="74" w:hanging="5"/>
              <w:rPr>
                <w:sz w:val="21"/>
                <w:szCs w:val="21"/>
              </w:rPr>
            </w:pPr>
            <w:r>
              <w:rPr>
                <w:spacing w:val="-3"/>
                <w:sz w:val="21"/>
                <w:szCs w:val="21"/>
              </w:rPr>
              <w:t>F＝M-（评标基准价-投标人评标价）÷评标基</w:t>
            </w:r>
            <w:r>
              <w:rPr>
                <w:spacing w:val="-1"/>
                <w:sz w:val="21"/>
                <w:szCs w:val="21"/>
              </w:rPr>
              <w:t>准价×100×2   （评标价≤基准价时）</w:t>
            </w:r>
          </w:p>
          <w:p w14:paraId="697C4F29">
            <w:pPr>
              <w:pStyle w:val="6"/>
              <w:spacing w:line="220" w:lineRule="auto"/>
              <w:ind w:left="114"/>
              <w:rPr>
                <w:sz w:val="21"/>
                <w:szCs w:val="21"/>
              </w:rPr>
            </w:pPr>
            <w:r>
              <w:rPr>
                <w:spacing w:val="-1"/>
                <w:sz w:val="21"/>
                <w:szCs w:val="21"/>
              </w:rPr>
              <w:t>其中：F≥0；M≥60。</w:t>
            </w:r>
          </w:p>
          <w:p w14:paraId="0E89EE21">
            <w:pPr>
              <w:pStyle w:val="6"/>
              <w:spacing w:before="64" w:line="272" w:lineRule="auto"/>
              <w:ind w:left="112" w:right="86" w:hanging="5"/>
              <w:jc w:val="both"/>
              <w:rPr>
                <w:sz w:val="21"/>
                <w:szCs w:val="21"/>
              </w:rPr>
            </w:pPr>
            <w:r>
              <w:rPr>
                <w:spacing w:val="-2"/>
                <w:sz w:val="21"/>
                <w:szCs w:val="21"/>
              </w:rPr>
              <w:t>M：为投标报价基准分，范围为</w:t>
            </w:r>
            <w:r>
              <w:rPr>
                <w:spacing w:val="-27"/>
                <w:sz w:val="21"/>
                <w:szCs w:val="21"/>
              </w:rPr>
              <w:t xml:space="preserve"> </w:t>
            </w:r>
            <w:r>
              <w:rPr>
                <w:spacing w:val="-2"/>
                <w:sz w:val="21"/>
                <w:szCs w:val="21"/>
              </w:rPr>
              <w:t>60-100，</w:t>
            </w:r>
            <w:r>
              <w:rPr>
                <w:spacing w:val="-3"/>
                <w:sz w:val="21"/>
                <w:szCs w:val="21"/>
              </w:rPr>
              <w:t>由招标人确定。M</w:t>
            </w:r>
            <w:r>
              <w:rPr>
                <w:spacing w:val="-16"/>
                <w:sz w:val="21"/>
                <w:szCs w:val="21"/>
              </w:rPr>
              <w:t xml:space="preserve"> </w:t>
            </w:r>
            <w:r>
              <w:rPr>
                <w:spacing w:val="-3"/>
                <w:sz w:val="21"/>
                <w:szCs w:val="21"/>
              </w:rPr>
              <w:t>的取值见第二章投标人须知前附</w:t>
            </w:r>
            <w:r>
              <w:rPr>
                <w:spacing w:val="-6"/>
                <w:sz w:val="21"/>
                <w:szCs w:val="21"/>
              </w:rPr>
              <w:t>表第</w:t>
            </w:r>
            <w:r>
              <w:rPr>
                <w:spacing w:val="-14"/>
                <w:sz w:val="21"/>
                <w:szCs w:val="21"/>
              </w:rPr>
              <w:t xml:space="preserve"> </w:t>
            </w:r>
            <w:r>
              <w:rPr>
                <w:spacing w:val="-6"/>
                <w:sz w:val="21"/>
                <w:szCs w:val="21"/>
              </w:rPr>
              <w:t>10.2.2</w:t>
            </w:r>
            <w:r>
              <w:rPr>
                <w:spacing w:val="-33"/>
                <w:sz w:val="21"/>
                <w:szCs w:val="21"/>
              </w:rPr>
              <w:t xml:space="preserve"> </w:t>
            </w:r>
            <w:r>
              <w:rPr>
                <w:spacing w:val="-6"/>
                <w:sz w:val="21"/>
                <w:szCs w:val="21"/>
              </w:rPr>
              <w:t>项。</w:t>
            </w:r>
          </w:p>
        </w:tc>
      </w:tr>
      <w:tr w14:paraId="15C8E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41" w:hRule="atLeast"/>
        </w:trPr>
        <w:tc>
          <w:tcPr>
            <w:tcW w:w="712" w:type="dxa"/>
            <w:vMerge w:val="continue"/>
            <w:tcBorders>
              <w:top w:val="nil"/>
            </w:tcBorders>
            <w:vAlign w:val="top"/>
          </w:tcPr>
          <w:p w14:paraId="37E95B50">
            <w:pPr>
              <w:rPr>
                <w:rFonts w:ascii="Arial"/>
                <w:sz w:val="21"/>
              </w:rPr>
            </w:pPr>
          </w:p>
        </w:tc>
        <w:tc>
          <w:tcPr>
            <w:tcW w:w="720" w:type="dxa"/>
            <w:vMerge w:val="continue"/>
            <w:tcBorders>
              <w:top w:val="nil"/>
            </w:tcBorders>
            <w:vAlign w:val="top"/>
          </w:tcPr>
          <w:p w14:paraId="61190CAC">
            <w:pPr>
              <w:rPr>
                <w:rFonts w:ascii="Arial"/>
                <w:sz w:val="21"/>
              </w:rPr>
            </w:pPr>
          </w:p>
        </w:tc>
        <w:tc>
          <w:tcPr>
            <w:tcW w:w="1964" w:type="dxa"/>
            <w:vAlign w:val="top"/>
          </w:tcPr>
          <w:p w14:paraId="12F5A7BA">
            <w:pPr>
              <w:spacing w:line="243" w:lineRule="auto"/>
              <w:rPr>
                <w:rFonts w:ascii="Arial"/>
                <w:sz w:val="21"/>
              </w:rPr>
            </w:pPr>
          </w:p>
          <w:p w14:paraId="5859FA70">
            <w:pPr>
              <w:spacing w:line="243" w:lineRule="auto"/>
              <w:rPr>
                <w:rFonts w:ascii="Arial"/>
                <w:sz w:val="21"/>
              </w:rPr>
            </w:pPr>
          </w:p>
          <w:p w14:paraId="05137A6F">
            <w:pPr>
              <w:spacing w:line="244" w:lineRule="auto"/>
              <w:rPr>
                <w:rFonts w:ascii="Arial"/>
                <w:sz w:val="21"/>
              </w:rPr>
            </w:pPr>
          </w:p>
          <w:p w14:paraId="1B46DBF9">
            <w:pPr>
              <w:spacing w:line="244" w:lineRule="auto"/>
              <w:rPr>
                <w:rFonts w:ascii="Arial"/>
                <w:sz w:val="21"/>
              </w:rPr>
            </w:pPr>
          </w:p>
          <w:p w14:paraId="6C202621">
            <w:pPr>
              <w:spacing w:line="244" w:lineRule="auto"/>
              <w:rPr>
                <w:rFonts w:ascii="Arial"/>
                <w:sz w:val="21"/>
              </w:rPr>
            </w:pPr>
          </w:p>
          <w:p w14:paraId="1BEAFDB0">
            <w:pPr>
              <w:spacing w:line="244" w:lineRule="auto"/>
              <w:rPr>
                <w:rFonts w:ascii="Arial"/>
                <w:sz w:val="21"/>
              </w:rPr>
            </w:pPr>
          </w:p>
          <w:p w14:paraId="0D61D1CE">
            <w:pPr>
              <w:spacing w:line="244" w:lineRule="auto"/>
              <w:rPr>
                <w:rFonts w:ascii="Arial"/>
                <w:sz w:val="21"/>
              </w:rPr>
            </w:pPr>
          </w:p>
          <w:p w14:paraId="0AEF4C5B">
            <w:pPr>
              <w:spacing w:line="244" w:lineRule="auto"/>
              <w:rPr>
                <w:rFonts w:ascii="Arial"/>
                <w:sz w:val="21"/>
              </w:rPr>
            </w:pPr>
          </w:p>
          <w:p w14:paraId="7F00D8F3">
            <w:pPr>
              <w:spacing w:line="244" w:lineRule="auto"/>
              <w:rPr>
                <w:rFonts w:ascii="Arial"/>
                <w:sz w:val="21"/>
              </w:rPr>
            </w:pPr>
          </w:p>
          <w:p w14:paraId="2E752A50">
            <w:pPr>
              <w:spacing w:line="244" w:lineRule="auto"/>
              <w:rPr>
                <w:rFonts w:ascii="Arial"/>
                <w:sz w:val="21"/>
              </w:rPr>
            </w:pPr>
          </w:p>
          <w:p w14:paraId="10BA596D">
            <w:pPr>
              <w:spacing w:line="244" w:lineRule="auto"/>
              <w:rPr>
                <w:rFonts w:ascii="Arial"/>
                <w:sz w:val="21"/>
              </w:rPr>
            </w:pPr>
          </w:p>
          <w:p w14:paraId="632ECBEC">
            <w:pPr>
              <w:spacing w:line="244" w:lineRule="auto"/>
              <w:rPr>
                <w:rFonts w:ascii="Arial"/>
                <w:sz w:val="21"/>
              </w:rPr>
            </w:pPr>
          </w:p>
          <w:p w14:paraId="33FB8B68">
            <w:pPr>
              <w:spacing w:line="244" w:lineRule="auto"/>
              <w:rPr>
                <w:rFonts w:ascii="Arial"/>
                <w:sz w:val="21"/>
              </w:rPr>
            </w:pPr>
          </w:p>
          <w:p w14:paraId="46BD7AD6">
            <w:pPr>
              <w:pStyle w:val="6"/>
              <w:spacing w:before="68" w:line="279" w:lineRule="auto"/>
              <w:ind w:left="108" w:right="586" w:hanging="1"/>
              <w:rPr>
                <w:sz w:val="21"/>
                <w:szCs w:val="21"/>
              </w:rPr>
            </w:pPr>
            <w:r>
              <w:rPr>
                <w:spacing w:val="-1"/>
                <w:sz w:val="21"/>
                <w:szCs w:val="21"/>
              </w:rPr>
              <w:t>政府采购工程</w:t>
            </w:r>
            <w:r>
              <w:rPr>
                <w:spacing w:val="-2"/>
                <w:sz w:val="21"/>
                <w:szCs w:val="21"/>
              </w:rPr>
              <w:t>价格评审优惠</w:t>
            </w:r>
          </w:p>
        </w:tc>
        <w:tc>
          <w:tcPr>
            <w:tcW w:w="794" w:type="dxa"/>
            <w:vAlign w:val="top"/>
          </w:tcPr>
          <w:p w14:paraId="2C5D33FA">
            <w:pPr>
              <w:rPr>
                <w:rFonts w:ascii="Arial"/>
                <w:sz w:val="21"/>
              </w:rPr>
            </w:pPr>
          </w:p>
        </w:tc>
        <w:tc>
          <w:tcPr>
            <w:tcW w:w="4340" w:type="dxa"/>
            <w:vAlign w:val="top"/>
          </w:tcPr>
          <w:p w14:paraId="12B30B24">
            <w:pPr>
              <w:pStyle w:val="6"/>
              <w:spacing w:before="137" w:line="273" w:lineRule="auto"/>
              <w:ind w:left="112" w:right="70"/>
              <w:rPr>
                <w:sz w:val="21"/>
                <w:szCs w:val="21"/>
              </w:rPr>
            </w:pPr>
            <w:r>
              <w:rPr>
                <w:spacing w:val="-1"/>
                <w:sz w:val="21"/>
                <w:szCs w:val="21"/>
              </w:rPr>
              <w:t>对项目未预留份额专门面向中小企业采购的</w:t>
            </w:r>
            <w:r>
              <w:rPr>
                <w:spacing w:val="8"/>
                <w:sz w:val="21"/>
                <w:szCs w:val="21"/>
              </w:rPr>
              <w:t xml:space="preserve"> </w:t>
            </w:r>
            <w:r>
              <w:rPr>
                <w:spacing w:val="-3"/>
                <w:sz w:val="21"/>
                <w:szCs w:val="21"/>
              </w:rPr>
              <w:t>1.如投标人属于小微企业的，评标时在其投标</w:t>
            </w:r>
            <w:r>
              <w:rPr>
                <w:sz w:val="21"/>
                <w:szCs w:val="21"/>
              </w:rPr>
              <w:t>报价得分的基础上增加  P%  作为其投</w:t>
            </w:r>
            <w:r>
              <w:rPr>
                <w:spacing w:val="-1"/>
                <w:sz w:val="21"/>
                <w:szCs w:val="21"/>
              </w:rPr>
              <w:t>标报</w:t>
            </w:r>
            <w:r>
              <w:rPr>
                <w:spacing w:val="-5"/>
                <w:sz w:val="21"/>
                <w:szCs w:val="21"/>
              </w:rPr>
              <w:t>价最终得分。</w:t>
            </w:r>
          </w:p>
          <w:p w14:paraId="19190534">
            <w:pPr>
              <w:pStyle w:val="6"/>
              <w:spacing w:before="2" w:line="220" w:lineRule="auto"/>
              <w:ind w:left="129"/>
              <w:rPr>
                <w:sz w:val="21"/>
                <w:szCs w:val="21"/>
              </w:rPr>
            </w:pPr>
            <w:r>
              <w:rPr>
                <w:spacing w:val="-3"/>
                <w:sz w:val="21"/>
                <w:szCs w:val="21"/>
              </w:rPr>
              <w:t>即</w:t>
            </w:r>
            <w:r>
              <w:rPr>
                <w:spacing w:val="-33"/>
                <w:sz w:val="21"/>
                <w:szCs w:val="21"/>
              </w:rPr>
              <w:t xml:space="preserve"> </w:t>
            </w:r>
            <w:r>
              <w:rPr>
                <w:spacing w:val="-3"/>
                <w:sz w:val="21"/>
                <w:szCs w:val="21"/>
              </w:rPr>
              <w:t>S= F×(1+P%)</w:t>
            </w:r>
          </w:p>
          <w:p w14:paraId="2127285E">
            <w:pPr>
              <w:pStyle w:val="6"/>
              <w:spacing w:before="63" w:line="272" w:lineRule="auto"/>
              <w:ind w:left="114" w:right="72" w:hanging="4"/>
              <w:jc w:val="both"/>
              <w:rPr>
                <w:sz w:val="21"/>
                <w:szCs w:val="21"/>
              </w:rPr>
            </w:pPr>
            <w:r>
              <w:rPr>
                <w:spacing w:val="-3"/>
                <w:sz w:val="21"/>
                <w:szCs w:val="21"/>
              </w:rPr>
              <w:t>P：为小微企业报价优惠系数，范围为</w:t>
            </w:r>
            <w:r>
              <w:rPr>
                <w:spacing w:val="-9"/>
                <w:sz w:val="21"/>
                <w:szCs w:val="21"/>
              </w:rPr>
              <w:t xml:space="preserve"> </w:t>
            </w:r>
            <w:r>
              <w:rPr>
                <w:spacing w:val="-3"/>
                <w:sz w:val="21"/>
                <w:szCs w:val="21"/>
              </w:rPr>
              <w:t>3-5</w:t>
            </w:r>
            <w:r>
              <w:rPr>
                <w:spacing w:val="-19"/>
                <w:sz w:val="21"/>
                <w:szCs w:val="21"/>
              </w:rPr>
              <w:t xml:space="preserve"> </w:t>
            </w:r>
            <w:r>
              <w:rPr>
                <w:spacing w:val="-3"/>
                <w:sz w:val="21"/>
                <w:szCs w:val="21"/>
              </w:rPr>
              <w:t>的整数，由招标人确定。P</w:t>
            </w:r>
            <w:r>
              <w:rPr>
                <w:spacing w:val="-4"/>
                <w:sz w:val="21"/>
                <w:szCs w:val="21"/>
              </w:rPr>
              <w:t xml:space="preserve"> </w:t>
            </w:r>
            <w:r>
              <w:rPr>
                <w:spacing w:val="-3"/>
                <w:sz w:val="21"/>
                <w:szCs w:val="21"/>
              </w:rPr>
              <w:t>的取值见第二章投标</w:t>
            </w:r>
            <w:r>
              <w:rPr>
                <w:spacing w:val="-4"/>
                <w:sz w:val="21"/>
                <w:szCs w:val="21"/>
              </w:rPr>
              <w:t>人须知前附表第</w:t>
            </w:r>
            <w:r>
              <w:rPr>
                <w:spacing w:val="-14"/>
                <w:sz w:val="21"/>
                <w:szCs w:val="21"/>
              </w:rPr>
              <w:t xml:space="preserve"> </w:t>
            </w:r>
            <w:r>
              <w:rPr>
                <w:spacing w:val="-4"/>
                <w:sz w:val="21"/>
                <w:szCs w:val="21"/>
              </w:rPr>
              <w:t>10.2.3</w:t>
            </w:r>
            <w:r>
              <w:rPr>
                <w:spacing w:val="-33"/>
                <w:sz w:val="21"/>
                <w:szCs w:val="21"/>
              </w:rPr>
              <w:t xml:space="preserve"> </w:t>
            </w:r>
            <w:r>
              <w:rPr>
                <w:spacing w:val="-4"/>
                <w:sz w:val="21"/>
                <w:szCs w:val="21"/>
              </w:rPr>
              <w:t>项。</w:t>
            </w:r>
          </w:p>
          <w:p w14:paraId="1625502A">
            <w:pPr>
              <w:pStyle w:val="6"/>
              <w:spacing w:before="3" w:line="279" w:lineRule="auto"/>
              <w:ind w:left="112" w:right="70" w:firstLine="4"/>
              <w:rPr>
                <w:sz w:val="21"/>
                <w:szCs w:val="21"/>
              </w:rPr>
            </w:pPr>
            <w:r>
              <w:rPr>
                <w:spacing w:val="-4"/>
                <w:sz w:val="21"/>
                <w:szCs w:val="21"/>
              </w:rPr>
              <w:t>如招标人接受联合体，联合体各方均为小微企</w:t>
            </w:r>
            <w:r>
              <w:rPr>
                <w:spacing w:val="-1"/>
                <w:sz w:val="21"/>
                <w:szCs w:val="21"/>
              </w:rPr>
              <w:t>业的，联合体视同小微企业 。</w:t>
            </w:r>
          </w:p>
          <w:p w14:paraId="5A209F52">
            <w:pPr>
              <w:spacing w:line="244" w:lineRule="auto"/>
              <w:rPr>
                <w:rFonts w:ascii="Arial"/>
                <w:sz w:val="21"/>
              </w:rPr>
            </w:pPr>
          </w:p>
          <w:p w14:paraId="36B1B678">
            <w:pPr>
              <w:pStyle w:val="6"/>
              <w:spacing w:before="68" w:line="273" w:lineRule="auto"/>
              <w:ind w:left="114" w:right="70" w:firstLine="1"/>
              <w:rPr>
                <w:sz w:val="21"/>
                <w:szCs w:val="21"/>
              </w:rPr>
            </w:pPr>
            <w:r>
              <w:rPr>
                <w:spacing w:val="-1"/>
                <w:sz w:val="21"/>
                <w:szCs w:val="21"/>
              </w:rPr>
              <w:t>2.如招标人接受大中型企业与小微企业组成联合体或者允许大中型企业向一家或者多家</w:t>
            </w:r>
            <w:r>
              <w:rPr>
                <w:spacing w:val="-4"/>
                <w:sz w:val="21"/>
                <w:szCs w:val="21"/>
              </w:rPr>
              <w:t>小微企业分包的采购项目，对于联合协议或者</w:t>
            </w:r>
            <w:r>
              <w:rPr>
                <w:spacing w:val="-1"/>
                <w:sz w:val="21"/>
                <w:szCs w:val="21"/>
              </w:rPr>
              <w:t>分包意向协议约定小微企业的合同份额占到</w:t>
            </w:r>
            <w:r>
              <w:rPr>
                <w:spacing w:val="-3"/>
                <w:sz w:val="21"/>
                <w:szCs w:val="21"/>
              </w:rPr>
              <w:t>合同总金额 30%以上的，评标时在其报价得分</w:t>
            </w:r>
            <w:r>
              <w:rPr>
                <w:spacing w:val="-1"/>
                <w:sz w:val="21"/>
                <w:szCs w:val="21"/>
              </w:rPr>
              <w:t>的基础上增加  Q%  作为其投标报价最终得</w:t>
            </w:r>
            <w:r>
              <w:rPr>
                <w:spacing w:val="-10"/>
                <w:sz w:val="21"/>
                <w:szCs w:val="21"/>
              </w:rPr>
              <w:t>分。</w:t>
            </w:r>
          </w:p>
          <w:p w14:paraId="0EEBE062">
            <w:pPr>
              <w:pStyle w:val="6"/>
              <w:spacing w:before="1" w:line="220" w:lineRule="auto"/>
              <w:ind w:left="129"/>
              <w:rPr>
                <w:sz w:val="21"/>
                <w:szCs w:val="21"/>
              </w:rPr>
            </w:pPr>
            <w:r>
              <w:rPr>
                <w:spacing w:val="-3"/>
                <w:sz w:val="21"/>
                <w:szCs w:val="21"/>
              </w:rPr>
              <w:t>即</w:t>
            </w:r>
            <w:r>
              <w:rPr>
                <w:spacing w:val="-33"/>
                <w:sz w:val="21"/>
                <w:szCs w:val="21"/>
              </w:rPr>
              <w:t xml:space="preserve"> </w:t>
            </w:r>
            <w:r>
              <w:rPr>
                <w:spacing w:val="-3"/>
                <w:sz w:val="21"/>
                <w:szCs w:val="21"/>
              </w:rPr>
              <w:t>S= F×(1+Q%)</w:t>
            </w:r>
          </w:p>
          <w:p w14:paraId="369918AC">
            <w:pPr>
              <w:pStyle w:val="6"/>
              <w:spacing w:before="66" w:line="278" w:lineRule="auto"/>
              <w:ind w:left="112" w:right="73"/>
              <w:jc w:val="both"/>
              <w:rPr>
                <w:sz w:val="21"/>
                <w:szCs w:val="21"/>
              </w:rPr>
            </w:pPr>
            <w:r>
              <w:rPr>
                <w:spacing w:val="-1"/>
                <w:sz w:val="21"/>
                <w:szCs w:val="21"/>
              </w:rPr>
              <w:t>Q：为满足条件的联合体或者分包企业报价优</w:t>
            </w:r>
            <w:r>
              <w:rPr>
                <w:spacing w:val="-7"/>
                <w:sz w:val="21"/>
                <w:szCs w:val="21"/>
              </w:rPr>
              <w:t>惠系数，范围为</w:t>
            </w:r>
            <w:r>
              <w:rPr>
                <w:spacing w:val="-13"/>
                <w:sz w:val="21"/>
                <w:szCs w:val="21"/>
              </w:rPr>
              <w:t xml:space="preserve"> </w:t>
            </w:r>
            <w:r>
              <w:rPr>
                <w:spacing w:val="-7"/>
                <w:sz w:val="21"/>
                <w:szCs w:val="21"/>
              </w:rPr>
              <w:t>1-2 的整数，由招标人确定。</w:t>
            </w:r>
            <w:r>
              <w:rPr>
                <w:sz w:val="21"/>
                <w:szCs w:val="21"/>
              </w:rPr>
              <w:t xml:space="preserve"> </w:t>
            </w:r>
            <w:r>
              <w:rPr>
                <w:spacing w:val="-2"/>
                <w:sz w:val="21"/>
                <w:szCs w:val="21"/>
              </w:rPr>
              <w:t>Q</w:t>
            </w:r>
            <w:r>
              <w:rPr>
                <w:spacing w:val="-10"/>
                <w:sz w:val="21"/>
                <w:szCs w:val="21"/>
              </w:rPr>
              <w:t xml:space="preserve"> </w:t>
            </w:r>
            <w:r>
              <w:rPr>
                <w:spacing w:val="-2"/>
                <w:sz w:val="21"/>
                <w:szCs w:val="21"/>
              </w:rPr>
              <w:t>的取值见第二章投标人须知前附表第</w:t>
            </w:r>
          </w:p>
        </w:tc>
      </w:tr>
    </w:tbl>
    <w:p w14:paraId="18F42FE8">
      <w:pPr>
        <w:pStyle w:val="2"/>
      </w:pPr>
    </w:p>
    <w:p w14:paraId="17C9D7C5">
      <w:pPr>
        <w:sectPr>
          <w:footerReference r:id="rId68" w:type="default"/>
          <w:pgSz w:w="11910" w:h="16845"/>
          <w:pgMar w:top="400" w:right="1682" w:bottom="1110" w:left="1681" w:header="0" w:footer="883" w:gutter="0"/>
          <w:cols w:space="720" w:num="1"/>
        </w:sectPr>
      </w:pPr>
    </w:p>
    <w:p w14:paraId="7364B23A">
      <w:pPr>
        <w:spacing w:before="19"/>
      </w:pPr>
    </w:p>
    <w:p w14:paraId="69D5E9C0">
      <w:pPr>
        <w:spacing w:before="19"/>
      </w:pPr>
    </w:p>
    <w:p w14:paraId="74E8E660">
      <w:pPr>
        <w:spacing w:before="19"/>
      </w:pPr>
    </w:p>
    <w:p w14:paraId="7F6F22E0">
      <w:pPr>
        <w:spacing w:before="18"/>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720"/>
        <w:gridCol w:w="1964"/>
        <w:gridCol w:w="794"/>
        <w:gridCol w:w="4340"/>
      </w:tblGrid>
      <w:tr w14:paraId="69DFE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2" w:hRule="atLeast"/>
        </w:trPr>
        <w:tc>
          <w:tcPr>
            <w:tcW w:w="712" w:type="dxa"/>
            <w:vMerge w:val="restart"/>
            <w:tcBorders>
              <w:bottom w:val="nil"/>
            </w:tcBorders>
            <w:vAlign w:val="top"/>
          </w:tcPr>
          <w:p w14:paraId="155D4963">
            <w:pPr>
              <w:rPr>
                <w:rFonts w:ascii="Arial"/>
                <w:sz w:val="21"/>
              </w:rPr>
            </w:pPr>
          </w:p>
        </w:tc>
        <w:tc>
          <w:tcPr>
            <w:tcW w:w="720" w:type="dxa"/>
            <w:vMerge w:val="restart"/>
            <w:tcBorders>
              <w:bottom w:val="nil"/>
            </w:tcBorders>
            <w:vAlign w:val="top"/>
          </w:tcPr>
          <w:p w14:paraId="1D740BFB">
            <w:pPr>
              <w:rPr>
                <w:rFonts w:ascii="Arial"/>
                <w:sz w:val="21"/>
              </w:rPr>
            </w:pPr>
          </w:p>
        </w:tc>
        <w:tc>
          <w:tcPr>
            <w:tcW w:w="1964" w:type="dxa"/>
            <w:vAlign w:val="top"/>
          </w:tcPr>
          <w:p w14:paraId="56FDE4C3">
            <w:pPr>
              <w:rPr>
                <w:rFonts w:ascii="Arial"/>
                <w:sz w:val="21"/>
              </w:rPr>
            </w:pPr>
          </w:p>
        </w:tc>
        <w:tc>
          <w:tcPr>
            <w:tcW w:w="794" w:type="dxa"/>
            <w:vAlign w:val="top"/>
          </w:tcPr>
          <w:p w14:paraId="086B9368">
            <w:pPr>
              <w:rPr>
                <w:rFonts w:ascii="Arial"/>
                <w:sz w:val="21"/>
              </w:rPr>
            </w:pPr>
          </w:p>
        </w:tc>
        <w:tc>
          <w:tcPr>
            <w:tcW w:w="4340" w:type="dxa"/>
            <w:vAlign w:val="top"/>
          </w:tcPr>
          <w:p w14:paraId="7A9E8B5C">
            <w:pPr>
              <w:pStyle w:val="6"/>
              <w:spacing w:before="134" w:line="220" w:lineRule="auto"/>
              <w:ind w:left="129"/>
              <w:rPr>
                <w:sz w:val="21"/>
                <w:szCs w:val="21"/>
              </w:rPr>
            </w:pPr>
            <w:r>
              <w:rPr>
                <w:spacing w:val="-6"/>
                <w:sz w:val="21"/>
                <w:szCs w:val="21"/>
              </w:rPr>
              <w:t>10.2.4</w:t>
            </w:r>
            <w:r>
              <w:rPr>
                <w:spacing w:val="-31"/>
                <w:sz w:val="21"/>
                <w:szCs w:val="21"/>
              </w:rPr>
              <w:t xml:space="preserve"> </w:t>
            </w:r>
            <w:r>
              <w:rPr>
                <w:spacing w:val="-6"/>
                <w:sz w:val="21"/>
                <w:szCs w:val="21"/>
              </w:rPr>
              <w:t>项。</w:t>
            </w:r>
          </w:p>
          <w:p w14:paraId="1E20D738">
            <w:pPr>
              <w:spacing w:line="311" w:lineRule="auto"/>
              <w:rPr>
                <w:rFonts w:ascii="Arial"/>
                <w:sz w:val="21"/>
              </w:rPr>
            </w:pPr>
          </w:p>
          <w:p w14:paraId="638BFB96">
            <w:pPr>
              <w:pStyle w:val="6"/>
              <w:spacing w:before="68" w:line="271" w:lineRule="auto"/>
              <w:ind w:left="113" w:right="86" w:firstLine="4"/>
              <w:jc w:val="both"/>
              <w:rPr>
                <w:sz w:val="21"/>
                <w:szCs w:val="21"/>
              </w:rPr>
            </w:pPr>
            <w:r>
              <w:rPr>
                <w:spacing w:val="-1"/>
                <w:sz w:val="21"/>
                <w:szCs w:val="21"/>
              </w:rPr>
              <w:t>3.组成联合体或者接受分包的小微企业与联</w:t>
            </w:r>
            <w:r>
              <w:rPr>
                <w:sz w:val="21"/>
                <w:szCs w:val="21"/>
              </w:rPr>
              <w:t>合体内其他企业、分包企业之间存在直接控</w:t>
            </w:r>
            <w:r>
              <w:rPr>
                <w:spacing w:val="-4"/>
                <w:sz w:val="21"/>
                <w:szCs w:val="21"/>
              </w:rPr>
              <w:t>股、管理关系的，不享受价格评审优惠政策。</w:t>
            </w:r>
          </w:p>
        </w:tc>
      </w:tr>
      <w:tr w14:paraId="02886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712" w:type="dxa"/>
            <w:vMerge w:val="continue"/>
            <w:tcBorders>
              <w:top w:val="nil"/>
            </w:tcBorders>
            <w:vAlign w:val="top"/>
          </w:tcPr>
          <w:p w14:paraId="39905EC1">
            <w:pPr>
              <w:rPr>
                <w:rFonts w:ascii="Arial"/>
                <w:sz w:val="21"/>
              </w:rPr>
            </w:pPr>
          </w:p>
        </w:tc>
        <w:tc>
          <w:tcPr>
            <w:tcW w:w="720" w:type="dxa"/>
            <w:vMerge w:val="continue"/>
            <w:tcBorders>
              <w:top w:val="nil"/>
            </w:tcBorders>
            <w:vAlign w:val="top"/>
          </w:tcPr>
          <w:p w14:paraId="08570AF5">
            <w:pPr>
              <w:rPr>
                <w:rFonts w:ascii="Arial"/>
                <w:sz w:val="21"/>
              </w:rPr>
            </w:pPr>
          </w:p>
        </w:tc>
        <w:tc>
          <w:tcPr>
            <w:tcW w:w="1964" w:type="dxa"/>
            <w:vAlign w:val="top"/>
          </w:tcPr>
          <w:p w14:paraId="3CE4502D">
            <w:pPr>
              <w:pStyle w:val="6"/>
              <w:spacing w:before="129" w:line="218" w:lineRule="auto"/>
              <w:ind w:left="110"/>
              <w:rPr>
                <w:sz w:val="21"/>
                <w:szCs w:val="21"/>
              </w:rPr>
            </w:pPr>
            <w:r>
              <w:rPr>
                <w:spacing w:val="-1"/>
                <w:sz w:val="21"/>
                <w:szCs w:val="21"/>
              </w:rPr>
              <w:t>投标报价最终得分</w:t>
            </w:r>
          </w:p>
        </w:tc>
        <w:tc>
          <w:tcPr>
            <w:tcW w:w="794" w:type="dxa"/>
            <w:vAlign w:val="top"/>
          </w:tcPr>
          <w:p w14:paraId="031B3503">
            <w:pPr>
              <w:rPr>
                <w:rFonts w:ascii="Arial"/>
                <w:sz w:val="21"/>
              </w:rPr>
            </w:pPr>
          </w:p>
        </w:tc>
        <w:tc>
          <w:tcPr>
            <w:tcW w:w="4340" w:type="dxa"/>
            <w:vAlign w:val="top"/>
          </w:tcPr>
          <w:p w14:paraId="378CBCCF">
            <w:pPr>
              <w:pStyle w:val="6"/>
              <w:spacing w:before="129" w:line="222" w:lineRule="auto"/>
              <w:ind w:left="114"/>
              <w:rPr>
                <w:sz w:val="21"/>
                <w:szCs w:val="21"/>
              </w:rPr>
            </w:pPr>
            <w:r>
              <w:rPr>
                <w:spacing w:val="-1"/>
                <w:sz w:val="21"/>
                <w:szCs w:val="21"/>
              </w:rPr>
              <w:t>S= F×(1+P%) 或</w:t>
            </w:r>
            <w:r>
              <w:rPr>
                <w:spacing w:val="-34"/>
                <w:sz w:val="21"/>
                <w:szCs w:val="21"/>
              </w:rPr>
              <w:t xml:space="preserve"> </w:t>
            </w:r>
            <w:r>
              <w:rPr>
                <w:spacing w:val="-1"/>
                <w:sz w:val="21"/>
                <w:szCs w:val="21"/>
              </w:rPr>
              <w:t>S=</w:t>
            </w:r>
            <w:r>
              <w:rPr>
                <w:spacing w:val="4"/>
                <w:sz w:val="21"/>
                <w:szCs w:val="21"/>
              </w:rPr>
              <w:t xml:space="preserve"> </w:t>
            </w:r>
            <w:r>
              <w:rPr>
                <w:spacing w:val="-1"/>
                <w:sz w:val="21"/>
                <w:szCs w:val="21"/>
              </w:rPr>
              <w:t>F×(1+Q%)</w:t>
            </w:r>
          </w:p>
        </w:tc>
      </w:tr>
      <w:tr w14:paraId="635E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4" w:hRule="atLeast"/>
        </w:trPr>
        <w:tc>
          <w:tcPr>
            <w:tcW w:w="712" w:type="dxa"/>
            <w:vMerge w:val="restart"/>
            <w:tcBorders>
              <w:bottom w:val="nil"/>
            </w:tcBorders>
            <w:vAlign w:val="top"/>
          </w:tcPr>
          <w:p w14:paraId="0611AC53">
            <w:pPr>
              <w:spacing w:line="244" w:lineRule="auto"/>
              <w:rPr>
                <w:rFonts w:ascii="Arial"/>
                <w:sz w:val="21"/>
              </w:rPr>
            </w:pPr>
          </w:p>
          <w:p w14:paraId="1ADF3499">
            <w:pPr>
              <w:spacing w:line="244" w:lineRule="auto"/>
              <w:rPr>
                <w:rFonts w:ascii="Arial"/>
                <w:sz w:val="21"/>
              </w:rPr>
            </w:pPr>
          </w:p>
          <w:p w14:paraId="1204CDC8">
            <w:pPr>
              <w:spacing w:line="244" w:lineRule="auto"/>
              <w:rPr>
                <w:rFonts w:ascii="Arial"/>
                <w:sz w:val="21"/>
              </w:rPr>
            </w:pPr>
          </w:p>
          <w:p w14:paraId="6A85969A">
            <w:pPr>
              <w:spacing w:line="244" w:lineRule="auto"/>
              <w:rPr>
                <w:rFonts w:ascii="Arial"/>
                <w:sz w:val="21"/>
              </w:rPr>
            </w:pPr>
          </w:p>
          <w:p w14:paraId="4B5AB0C7">
            <w:pPr>
              <w:spacing w:line="244" w:lineRule="auto"/>
              <w:rPr>
                <w:rFonts w:ascii="Arial"/>
                <w:sz w:val="21"/>
              </w:rPr>
            </w:pPr>
          </w:p>
          <w:p w14:paraId="132BF7F7">
            <w:pPr>
              <w:spacing w:line="244" w:lineRule="auto"/>
              <w:rPr>
                <w:rFonts w:ascii="Arial"/>
                <w:sz w:val="21"/>
              </w:rPr>
            </w:pPr>
          </w:p>
          <w:p w14:paraId="760F01CB">
            <w:pPr>
              <w:spacing w:line="244" w:lineRule="auto"/>
              <w:rPr>
                <w:rFonts w:ascii="Arial"/>
                <w:sz w:val="21"/>
              </w:rPr>
            </w:pPr>
          </w:p>
          <w:p w14:paraId="0A502A7B">
            <w:pPr>
              <w:spacing w:line="245" w:lineRule="auto"/>
              <w:rPr>
                <w:rFonts w:ascii="Arial"/>
                <w:sz w:val="21"/>
              </w:rPr>
            </w:pPr>
          </w:p>
          <w:p w14:paraId="53075803">
            <w:pPr>
              <w:spacing w:line="245" w:lineRule="auto"/>
              <w:rPr>
                <w:rFonts w:ascii="Arial"/>
                <w:sz w:val="21"/>
              </w:rPr>
            </w:pPr>
          </w:p>
          <w:p w14:paraId="3F849590">
            <w:pPr>
              <w:spacing w:line="245" w:lineRule="auto"/>
              <w:rPr>
                <w:rFonts w:ascii="Arial"/>
                <w:sz w:val="21"/>
              </w:rPr>
            </w:pPr>
          </w:p>
          <w:p w14:paraId="7434E80A">
            <w:pPr>
              <w:spacing w:line="245" w:lineRule="auto"/>
              <w:rPr>
                <w:rFonts w:ascii="Arial"/>
                <w:sz w:val="21"/>
              </w:rPr>
            </w:pPr>
          </w:p>
          <w:p w14:paraId="183BDDFD">
            <w:pPr>
              <w:spacing w:line="245" w:lineRule="auto"/>
              <w:rPr>
                <w:rFonts w:ascii="Arial"/>
                <w:sz w:val="21"/>
              </w:rPr>
            </w:pPr>
          </w:p>
          <w:p w14:paraId="0E21898C">
            <w:pPr>
              <w:spacing w:line="245" w:lineRule="auto"/>
              <w:rPr>
                <w:rFonts w:ascii="Arial"/>
                <w:sz w:val="21"/>
              </w:rPr>
            </w:pPr>
          </w:p>
          <w:p w14:paraId="66DE93C0">
            <w:pPr>
              <w:spacing w:line="245" w:lineRule="auto"/>
              <w:rPr>
                <w:rFonts w:ascii="Arial"/>
                <w:sz w:val="21"/>
              </w:rPr>
            </w:pPr>
          </w:p>
          <w:p w14:paraId="5FBF2D06">
            <w:pPr>
              <w:spacing w:line="245" w:lineRule="auto"/>
              <w:rPr>
                <w:rFonts w:ascii="Arial"/>
                <w:sz w:val="21"/>
              </w:rPr>
            </w:pPr>
          </w:p>
          <w:p w14:paraId="65E06D16">
            <w:pPr>
              <w:spacing w:line="245" w:lineRule="auto"/>
              <w:rPr>
                <w:rFonts w:ascii="Arial"/>
                <w:sz w:val="21"/>
              </w:rPr>
            </w:pPr>
          </w:p>
          <w:p w14:paraId="0F0569C9">
            <w:pPr>
              <w:spacing w:line="245" w:lineRule="auto"/>
              <w:rPr>
                <w:rFonts w:ascii="Arial"/>
                <w:sz w:val="21"/>
              </w:rPr>
            </w:pPr>
          </w:p>
          <w:p w14:paraId="701E13C3">
            <w:pPr>
              <w:spacing w:line="245" w:lineRule="auto"/>
              <w:rPr>
                <w:rFonts w:ascii="Arial"/>
                <w:sz w:val="21"/>
              </w:rPr>
            </w:pPr>
          </w:p>
          <w:p w14:paraId="4091E403">
            <w:pPr>
              <w:pStyle w:val="6"/>
              <w:spacing w:before="68" w:line="239" w:lineRule="auto"/>
              <w:ind w:left="146"/>
              <w:rPr>
                <w:sz w:val="21"/>
                <w:szCs w:val="21"/>
              </w:rPr>
            </w:pPr>
            <w:r>
              <w:rPr>
                <w:spacing w:val="-3"/>
                <w:sz w:val="21"/>
                <w:szCs w:val="21"/>
              </w:rPr>
              <w:t>2.2.</w:t>
            </w:r>
          </w:p>
          <w:p w14:paraId="2FF623D8">
            <w:pPr>
              <w:pStyle w:val="6"/>
              <w:spacing w:before="44" w:line="222" w:lineRule="auto"/>
              <w:ind w:left="142"/>
              <w:rPr>
                <w:sz w:val="21"/>
                <w:szCs w:val="21"/>
              </w:rPr>
            </w:pPr>
            <w:r>
              <w:rPr>
                <w:spacing w:val="-2"/>
                <w:sz w:val="21"/>
                <w:szCs w:val="21"/>
              </w:rPr>
              <w:t>4(2)</w:t>
            </w:r>
          </w:p>
        </w:tc>
        <w:tc>
          <w:tcPr>
            <w:tcW w:w="720" w:type="dxa"/>
            <w:vMerge w:val="restart"/>
            <w:tcBorders>
              <w:bottom w:val="nil"/>
            </w:tcBorders>
            <w:vAlign w:val="top"/>
          </w:tcPr>
          <w:p w14:paraId="3029DAF9">
            <w:pPr>
              <w:spacing w:line="246" w:lineRule="auto"/>
              <w:rPr>
                <w:rFonts w:ascii="Arial"/>
                <w:sz w:val="21"/>
              </w:rPr>
            </w:pPr>
          </w:p>
          <w:p w14:paraId="67B8C0DB">
            <w:pPr>
              <w:spacing w:line="246" w:lineRule="auto"/>
              <w:rPr>
                <w:rFonts w:ascii="Arial"/>
                <w:sz w:val="21"/>
              </w:rPr>
            </w:pPr>
          </w:p>
          <w:p w14:paraId="6BA5A061">
            <w:pPr>
              <w:spacing w:line="246" w:lineRule="auto"/>
              <w:rPr>
                <w:rFonts w:ascii="Arial"/>
                <w:sz w:val="21"/>
              </w:rPr>
            </w:pPr>
          </w:p>
          <w:p w14:paraId="22F31B85">
            <w:pPr>
              <w:spacing w:line="246" w:lineRule="auto"/>
              <w:rPr>
                <w:rFonts w:ascii="Arial"/>
                <w:sz w:val="21"/>
              </w:rPr>
            </w:pPr>
          </w:p>
          <w:p w14:paraId="2F7BE25C">
            <w:pPr>
              <w:spacing w:line="246" w:lineRule="auto"/>
              <w:rPr>
                <w:rFonts w:ascii="Arial"/>
                <w:sz w:val="21"/>
              </w:rPr>
            </w:pPr>
          </w:p>
          <w:p w14:paraId="20A4A772">
            <w:pPr>
              <w:spacing w:line="246" w:lineRule="auto"/>
              <w:rPr>
                <w:rFonts w:ascii="Arial"/>
                <w:sz w:val="21"/>
              </w:rPr>
            </w:pPr>
          </w:p>
          <w:p w14:paraId="3F8F0292">
            <w:pPr>
              <w:spacing w:line="246" w:lineRule="auto"/>
              <w:rPr>
                <w:rFonts w:ascii="Arial"/>
                <w:sz w:val="21"/>
              </w:rPr>
            </w:pPr>
          </w:p>
          <w:p w14:paraId="40ECD406">
            <w:pPr>
              <w:spacing w:line="246" w:lineRule="auto"/>
              <w:rPr>
                <w:rFonts w:ascii="Arial"/>
                <w:sz w:val="21"/>
              </w:rPr>
            </w:pPr>
          </w:p>
          <w:p w14:paraId="206EE4ED">
            <w:pPr>
              <w:spacing w:line="246" w:lineRule="auto"/>
              <w:rPr>
                <w:rFonts w:ascii="Arial"/>
                <w:sz w:val="21"/>
              </w:rPr>
            </w:pPr>
          </w:p>
          <w:p w14:paraId="3C90F093">
            <w:pPr>
              <w:spacing w:line="246" w:lineRule="auto"/>
              <w:rPr>
                <w:rFonts w:ascii="Arial"/>
                <w:sz w:val="21"/>
              </w:rPr>
            </w:pPr>
          </w:p>
          <w:p w14:paraId="412A16DB">
            <w:pPr>
              <w:spacing w:line="246" w:lineRule="auto"/>
              <w:rPr>
                <w:rFonts w:ascii="Arial"/>
                <w:sz w:val="21"/>
              </w:rPr>
            </w:pPr>
          </w:p>
          <w:p w14:paraId="6AAA0532">
            <w:pPr>
              <w:spacing w:line="246" w:lineRule="auto"/>
              <w:rPr>
                <w:rFonts w:ascii="Arial"/>
                <w:sz w:val="21"/>
              </w:rPr>
            </w:pPr>
          </w:p>
          <w:p w14:paraId="13D7725B">
            <w:pPr>
              <w:spacing w:line="246" w:lineRule="auto"/>
              <w:rPr>
                <w:rFonts w:ascii="Arial"/>
                <w:sz w:val="21"/>
              </w:rPr>
            </w:pPr>
          </w:p>
          <w:p w14:paraId="2F464A64">
            <w:pPr>
              <w:spacing w:line="247" w:lineRule="auto"/>
              <w:rPr>
                <w:rFonts w:ascii="Arial"/>
                <w:sz w:val="21"/>
              </w:rPr>
            </w:pPr>
          </w:p>
          <w:p w14:paraId="3C88F260">
            <w:pPr>
              <w:spacing w:line="247" w:lineRule="auto"/>
              <w:rPr>
                <w:rFonts w:ascii="Arial"/>
                <w:sz w:val="21"/>
              </w:rPr>
            </w:pPr>
          </w:p>
          <w:p w14:paraId="71475EBC">
            <w:pPr>
              <w:spacing w:line="247" w:lineRule="auto"/>
              <w:rPr>
                <w:rFonts w:ascii="Arial"/>
                <w:sz w:val="21"/>
              </w:rPr>
            </w:pPr>
          </w:p>
          <w:p w14:paraId="25235299">
            <w:pPr>
              <w:pStyle w:val="6"/>
              <w:spacing w:before="69" w:line="275" w:lineRule="auto"/>
              <w:ind w:left="136" w:right="155"/>
              <w:jc w:val="both"/>
              <w:rPr>
                <w:sz w:val="21"/>
                <w:szCs w:val="21"/>
              </w:rPr>
            </w:pPr>
            <w:r>
              <w:rPr>
                <w:spacing w:val="-4"/>
                <w:sz w:val="21"/>
                <w:szCs w:val="21"/>
              </w:rPr>
              <w:t>施工组织设计评分标准</w:t>
            </w:r>
          </w:p>
        </w:tc>
        <w:tc>
          <w:tcPr>
            <w:tcW w:w="1964" w:type="dxa"/>
            <w:vAlign w:val="top"/>
          </w:tcPr>
          <w:p w14:paraId="798825B3">
            <w:pPr>
              <w:spacing w:line="373" w:lineRule="auto"/>
              <w:rPr>
                <w:rFonts w:ascii="Arial"/>
                <w:sz w:val="21"/>
              </w:rPr>
            </w:pPr>
          </w:p>
          <w:p w14:paraId="276A257E">
            <w:pPr>
              <w:pStyle w:val="6"/>
              <w:spacing w:before="69" w:line="220" w:lineRule="auto"/>
              <w:ind w:left="110"/>
              <w:rPr>
                <w:sz w:val="21"/>
                <w:szCs w:val="21"/>
              </w:rPr>
            </w:pPr>
            <w:r>
              <w:rPr>
                <w:spacing w:val="-2"/>
                <w:sz w:val="21"/>
                <w:szCs w:val="21"/>
              </w:rPr>
              <w:t>工程概况</w:t>
            </w:r>
          </w:p>
        </w:tc>
        <w:tc>
          <w:tcPr>
            <w:tcW w:w="794" w:type="dxa"/>
            <w:vAlign w:val="top"/>
          </w:tcPr>
          <w:p w14:paraId="6E3E9936">
            <w:pPr>
              <w:spacing w:line="374" w:lineRule="auto"/>
              <w:rPr>
                <w:rFonts w:ascii="Arial"/>
                <w:sz w:val="21"/>
              </w:rPr>
            </w:pPr>
          </w:p>
          <w:p w14:paraId="1BAC4F20">
            <w:pPr>
              <w:pStyle w:val="6"/>
              <w:spacing w:before="68" w:line="239" w:lineRule="auto"/>
              <w:ind w:left="127"/>
              <w:rPr>
                <w:sz w:val="21"/>
                <w:szCs w:val="21"/>
              </w:rPr>
            </w:pPr>
            <w:r>
              <w:rPr>
                <w:spacing w:val="-6"/>
                <w:sz w:val="21"/>
                <w:szCs w:val="21"/>
              </w:rPr>
              <w:t>1.0</w:t>
            </w:r>
          </w:p>
        </w:tc>
        <w:tc>
          <w:tcPr>
            <w:tcW w:w="4340" w:type="dxa"/>
            <w:vAlign w:val="top"/>
          </w:tcPr>
          <w:p w14:paraId="31FBC790">
            <w:pPr>
              <w:pStyle w:val="6"/>
              <w:spacing w:before="129" w:line="220" w:lineRule="auto"/>
              <w:ind w:left="115"/>
              <w:rPr>
                <w:sz w:val="21"/>
                <w:szCs w:val="21"/>
              </w:rPr>
            </w:pPr>
            <w:r>
              <w:rPr>
                <w:spacing w:val="-2"/>
                <w:sz w:val="21"/>
                <w:szCs w:val="21"/>
              </w:rPr>
              <w:t>描述准确、清晰</w:t>
            </w:r>
            <w:r>
              <w:rPr>
                <w:spacing w:val="22"/>
                <w:sz w:val="21"/>
                <w:szCs w:val="21"/>
              </w:rPr>
              <w:t xml:space="preserve"> </w:t>
            </w:r>
            <w:r>
              <w:rPr>
                <w:spacing w:val="-2"/>
                <w:sz w:val="21"/>
                <w:szCs w:val="21"/>
              </w:rPr>
              <w:t>1 分</w:t>
            </w:r>
          </w:p>
          <w:p w14:paraId="6EE9E1B7">
            <w:pPr>
              <w:pStyle w:val="6"/>
              <w:spacing w:before="64" w:line="219" w:lineRule="auto"/>
              <w:ind w:left="115"/>
              <w:rPr>
                <w:sz w:val="21"/>
                <w:szCs w:val="21"/>
              </w:rPr>
            </w:pPr>
            <w:r>
              <w:rPr>
                <w:spacing w:val="-1"/>
                <w:sz w:val="21"/>
                <w:szCs w:val="21"/>
              </w:rPr>
              <w:t>描述基本准确 0.9-0.8</w:t>
            </w:r>
            <w:r>
              <w:rPr>
                <w:spacing w:val="17"/>
                <w:sz w:val="21"/>
                <w:szCs w:val="21"/>
              </w:rPr>
              <w:t xml:space="preserve"> </w:t>
            </w:r>
            <w:r>
              <w:rPr>
                <w:spacing w:val="-1"/>
                <w:sz w:val="21"/>
                <w:szCs w:val="21"/>
              </w:rPr>
              <w:t>分</w:t>
            </w:r>
          </w:p>
          <w:p w14:paraId="666E2D61">
            <w:pPr>
              <w:pStyle w:val="6"/>
              <w:spacing w:before="66" w:line="220" w:lineRule="auto"/>
              <w:ind w:left="115"/>
              <w:rPr>
                <w:sz w:val="21"/>
                <w:szCs w:val="21"/>
              </w:rPr>
            </w:pPr>
            <w:r>
              <w:rPr>
                <w:spacing w:val="-2"/>
                <w:sz w:val="21"/>
                <w:szCs w:val="21"/>
              </w:rPr>
              <w:t>描述不准确 0</w:t>
            </w:r>
            <w:r>
              <w:rPr>
                <w:spacing w:val="17"/>
                <w:sz w:val="21"/>
                <w:szCs w:val="21"/>
              </w:rPr>
              <w:t xml:space="preserve"> </w:t>
            </w:r>
            <w:r>
              <w:rPr>
                <w:spacing w:val="-2"/>
                <w:sz w:val="21"/>
                <w:szCs w:val="21"/>
              </w:rPr>
              <w:t>分</w:t>
            </w:r>
          </w:p>
        </w:tc>
      </w:tr>
      <w:tr w14:paraId="0530E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712" w:type="dxa"/>
            <w:vMerge w:val="continue"/>
            <w:tcBorders>
              <w:top w:val="nil"/>
              <w:bottom w:val="nil"/>
            </w:tcBorders>
            <w:vAlign w:val="top"/>
          </w:tcPr>
          <w:p w14:paraId="35BD59BD">
            <w:pPr>
              <w:rPr>
                <w:rFonts w:ascii="Arial"/>
                <w:sz w:val="21"/>
              </w:rPr>
            </w:pPr>
          </w:p>
        </w:tc>
        <w:tc>
          <w:tcPr>
            <w:tcW w:w="720" w:type="dxa"/>
            <w:vMerge w:val="continue"/>
            <w:tcBorders>
              <w:top w:val="nil"/>
              <w:bottom w:val="nil"/>
            </w:tcBorders>
            <w:vAlign w:val="top"/>
          </w:tcPr>
          <w:p w14:paraId="4EA01F31">
            <w:pPr>
              <w:rPr>
                <w:rFonts w:ascii="Arial"/>
                <w:sz w:val="21"/>
              </w:rPr>
            </w:pPr>
          </w:p>
        </w:tc>
        <w:tc>
          <w:tcPr>
            <w:tcW w:w="1964" w:type="dxa"/>
            <w:vAlign w:val="top"/>
          </w:tcPr>
          <w:p w14:paraId="70BAE009">
            <w:pPr>
              <w:spacing w:line="375" w:lineRule="auto"/>
              <w:rPr>
                <w:rFonts w:ascii="Arial"/>
                <w:sz w:val="21"/>
              </w:rPr>
            </w:pPr>
          </w:p>
          <w:p w14:paraId="1030C56D">
            <w:pPr>
              <w:pStyle w:val="6"/>
              <w:spacing w:before="69" w:line="220" w:lineRule="auto"/>
              <w:ind w:left="107"/>
              <w:rPr>
                <w:sz w:val="21"/>
                <w:szCs w:val="21"/>
              </w:rPr>
            </w:pPr>
            <w:r>
              <w:rPr>
                <w:spacing w:val="-2"/>
                <w:sz w:val="21"/>
                <w:szCs w:val="21"/>
              </w:rPr>
              <w:t>施工部署</w:t>
            </w:r>
          </w:p>
        </w:tc>
        <w:tc>
          <w:tcPr>
            <w:tcW w:w="794" w:type="dxa"/>
            <w:vAlign w:val="top"/>
          </w:tcPr>
          <w:p w14:paraId="0747A173">
            <w:pPr>
              <w:spacing w:line="376" w:lineRule="auto"/>
              <w:rPr>
                <w:rFonts w:ascii="Arial"/>
                <w:sz w:val="21"/>
              </w:rPr>
            </w:pPr>
          </w:p>
          <w:p w14:paraId="62D55CEB">
            <w:pPr>
              <w:pStyle w:val="6"/>
              <w:spacing w:before="68" w:line="239" w:lineRule="auto"/>
              <w:ind w:left="127"/>
              <w:rPr>
                <w:sz w:val="21"/>
                <w:szCs w:val="21"/>
              </w:rPr>
            </w:pPr>
            <w:r>
              <w:rPr>
                <w:spacing w:val="-6"/>
                <w:sz w:val="21"/>
                <w:szCs w:val="21"/>
              </w:rPr>
              <w:t>1.0</w:t>
            </w:r>
          </w:p>
        </w:tc>
        <w:tc>
          <w:tcPr>
            <w:tcW w:w="4340" w:type="dxa"/>
            <w:vAlign w:val="top"/>
          </w:tcPr>
          <w:p w14:paraId="76C35E4D">
            <w:pPr>
              <w:pStyle w:val="6"/>
              <w:spacing w:before="131" w:line="219" w:lineRule="auto"/>
              <w:ind w:left="113"/>
              <w:rPr>
                <w:sz w:val="21"/>
                <w:szCs w:val="21"/>
              </w:rPr>
            </w:pPr>
            <w:r>
              <w:rPr>
                <w:spacing w:val="-2"/>
                <w:sz w:val="21"/>
                <w:szCs w:val="21"/>
              </w:rPr>
              <w:t>科学、合理、针对性强</w:t>
            </w:r>
            <w:r>
              <w:rPr>
                <w:spacing w:val="30"/>
                <w:sz w:val="21"/>
                <w:szCs w:val="21"/>
              </w:rPr>
              <w:t xml:space="preserve"> </w:t>
            </w:r>
            <w:r>
              <w:rPr>
                <w:spacing w:val="-2"/>
                <w:sz w:val="21"/>
                <w:szCs w:val="21"/>
              </w:rPr>
              <w:t>1 分</w:t>
            </w:r>
          </w:p>
          <w:p w14:paraId="4002279A">
            <w:pPr>
              <w:pStyle w:val="6"/>
              <w:spacing w:before="66" w:line="220" w:lineRule="auto"/>
              <w:ind w:left="114"/>
              <w:rPr>
                <w:sz w:val="21"/>
                <w:szCs w:val="21"/>
              </w:rPr>
            </w:pPr>
            <w:r>
              <w:rPr>
                <w:spacing w:val="-1"/>
                <w:sz w:val="21"/>
                <w:szCs w:val="21"/>
              </w:rPr>
              <w:t>合理、可行 0.9-0.8</w:t>
            </w:r>
            <w:r>
              <w:rPr>
                <w:spacing w:val="17"/>
                <w:sz w:val="21"/>
                <w:szCs w:val="21"/>
              </w:rPr>
              <w:t xml:space="preserve"> </w:t>
            </w:r>
            <w:r>
              <w:rPr>
                <w:spacing w:val="-1"/>
                <w:sz w:val="21"/>
                <w:szCs w:val="21"/>
              </w:rPr>
              <w:t>分</w:t>
            </w:r>
          </w:p>
          <w:p w14:paraId="36D6FC02">
            <w:pPr>
              <w:pStyle w:val="6"/>
              <w:spacing w:before="63" w:line="220" w:lineRule="auto"/>
              <w:ind w:left="117"/>
              <w:rPr>
                <w:sz w:val="21"/>
                <w:szCs w:val="21"/>
              </w:rPr>
            </w:pPr>
            <w:r>
              <w:rPr>
                <w:sz w:val="21"/>
                <w:szCs w:val="21"/>
              </w:rPr>
              <w:t>不可行，不能满足工程需要 0 分</w:t>
            </w:r>
          </w:p>
        </w:tc>
      </w:tr>
      <w:tr w14:paraId="6330A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712" w:type="dxa"/>
            <w:vMerge w:val="continue"/>
            <w:tcBorders>
              <w:top w:val="nil"/>
              <w:bottom w:val="nil"/>
            </w:tcBorders>
            <w:vAlign w:val="top"/>
          </w:tcPr>
          <w:p w14:paraId="08CF0D92">
            <w:pPr>
              <w:rPr>
                <w:rFonts w:ascii="Arial"/>
                <w:sz w:val="21"/>
              </w:rPr>
            </w:pPr>
          </w:p>
        </w:tc>
        <w:tc>
          <w:tcPr>
            <w:tcW w:w="720" w:type="dxa"/>
            <w:vMerge w:val="continue"/>
            <w:tcBorders>
              <w:top w:val="nil"/>
              <w:bottom w:val="nil"/>
            </w:tcBorders>
            <w:vAlign w:val="top"/>
          </w:tcPr>
          <w:p w14:paraId="775CAB6E">
            <w:pPr>
              <w:rPr>
                <w:rFonts w:ascii="Arial"/>
                <w:sz w:val="21"/>
              </w:rPr>
            </w:pPr>
          </w:p>
        </w:tc>
        <w:tc>
          <w:tcPr>
            <w:tcW w:w="1964" w:type="dxa"/>
            <w:vAlign w:val="top"/>
          </w:tcPr>
          <w:p w14:paraId="3D6CBB80">
            <w:pPr>
              <w:spacing w:line="263" w:lineRule="auto"/>
              <w:rPr>
                <w:rFonts w:ascii="Arial"/>
                <w:sz w:val="21"/>
              </w:rPr>
            </w:pPr>
          </w:p>
          <w:p w14:paraId="5A0F154B">
            <w:pPr>
              <w:spacing w:line="263" w:lineRule="auto"/>
              <w:rPr>
                <w:rFonts w:ascii="Arial"/>
                <w:sz w:val="21"/>
              </w:rPr>
            </w:pPr>
          </w:p>
          <w:p w14:paraId="414CF2BC">
            <w:pPr>
              <w:pStyle w:val="6"/>
              <w:spacing w:before="69" w:line="220" w:lineRule="auto"/>
              <w:ind w:left="107"/>
              <w:rPr>
                <w:sz w:val="21"/>
                <w:szCs w:val="21"/>
              </w:rPr>
            </w:pPr>
            <w:r>
              <w:rPr>
                <w:spacing w:val="-1"/>
                <w:sz w:val="21"/>
                <w:szCs w:val="21"/>
              </w:rPr>
              <w:t>施工进度计划</w:t>
            </w:r>
          </w:p>
        </w:tc>
        <w:tc>
          <w:tcPr>
            <w:tcW w:w="794" w:type="dxa"/>
            <w:vAlign w:val="top"/>
          </w:tcPr>
          <w:p w14:paraId="2C4E20FE">
            <w:pPr>
              <w:spacing w:line="263" w:lineRule="auto"/>
              <w:rPr>
                <w:rFonts w:ascii="Arial"/>
                <w:sz w:val="21"/>
              </w:rPr>
            </w:pPr>
          </w:p>
          <w:p w14:paraId="7DD73F25">
            <w:pPr>
              <w:spacing w:line="263" w:lineRule="auto"/>
              <w:rPr>
                <w:rFonts w:ascii="Arial"/>
                <w:sz w:val="21"/>
              </w:rPr>
            </w:pPr>
          </w:p>
          <w:p w14:paraId="31A6924A">
            <w:pPr>
              <w:pStyle w:val="6"/>
              <w:spacing w:before="68" w:line="239" w:lineRule="auto"/>
              <w:ind w:left="114"/>
              <w:rPr>
                <w:sz w:val="21"/>
                <w:szCs w:val="21"/>
              </w:rPr>
            </w:pPr>
            <w:r>
              <w:rPr>
                <w:spacing w:val="-3"/>
                <w:sz w:val="21"/>
                <w:szCs w:val="21"/>
              </w:rPr>
              <w:t>2.0</w:t>
            </w:r>
          </w:p>
        </w:tc>
        <w:tc>
          <w:tcPr>
            <w:tcW w:w="4340" w:type="dxa"/>
            <w:vAlign w:val="top"/>
          </w:tcPr>
          <w:p w14:paraId="17D745A2">
            <w:pPr>
              <w:pStyle w:val="6"/>
              <w:spacing w:before="133" w:line="277" w:lineRule="auto"/>
              <w:ind w:left="113" w:right="1170"/>
              <w:rPr>
                <w:sz w:val="21"/>
                <w:szCs w:val="21"/>
              </w:rPr>
            </w:pPr>
            <w:r>
              <w:rPr>
                <w:spacing w:val="-1"/>
                <w:sz w:val="21"/>
                <w:szCs w:val="21"/>
              </w:rPr>
              <w:t>科学、合理、针对性强 2-1.9 分</w:t>
            </w:r>
            <w:r>
              <w:rPr>
                <w:spacing w:val="-2"/>
                <w:sz w:val="21"/>
                <w:szCs w:val="21"/>
              </w:rPr>
              <w:t>合理、可行、</w:t>
            </w:r>
            <w:r>
              <w:rPr>
                <w:spacing w:val="33"/>
                <w:sz w:val="21"/>
                <w:szCs w:val="21"/>
              </w:rPr>
              <w:t xml:space="preserve"> </w:t>
            </w:r>
            <w:r>
              <w:rPr>
                <w:spacing w:val="-2"/>
                <w:sz w:val="21"/>
                <w:szCs w:val="21"/>
              </w:rPr>
              <w:t>1.8-1.6 分</w:t>
            </w:r>
          </w:p>
          <w:p w14:paraId="46250B8C">
            <w:pPr>
              <w:pStyle w:val="6"/>
              <w:spacing w:line="218" w:lineRule="auto"/>
              <w:ind w:left="114"/>
              <w:rPr>
                <w:sz w:val="21"/>
                <w:szCs w:val="21"/>
              </w:rPr>
            </w:pPr>
            <w:r>
              <w:rPr>
                <w:spacing w:val="-1"/>
                <w:sz w:val="21"/>
                <w:szCs w:val="21"/>
              </w:rPr>
              <w:t>欠合理，基本可行 1.5-1.4</w:t>
            </w:r>
            <w:r>
              <w:rPr>
                <w:spacing w:val="21"/>
                <w:sz w:val="21"/>
                <w:szCs w:val="21"/>
              </w:rPr>
              <w:t xml:space="preserve"> </w:t>
            </w:r>
            <w:r>
              <w:rPr>
                <w:spacing w:val="-1"/>
                <w:sz w:val="21"/>
                <w:szCs w:val="21"/>
              </w:rPr>
              <w:t>分</w:t>
            </w:r>
          </w:p>
          <w:p w14:paraId="19C38420">
            <w:pPr>
              <w:pStyle w:val="6"/>
              <w:spacing w:before="65" w:line="220" w:lineRule="auto"/>
              <w:ind w:left="117"/>
              <w:rPr>
                <w:sz w:val="21"/>
                <w:szCs w:val="21"/>
              </w:rPr>
            </w:pPr>
            <w:r>
              <w:rPr>
                <w:sz w:val="21"/>
                <w:szCs w:val="21"/>
              </w:rPr>
              <w:t>不可行，不能满足招标文件要求 0 分</w:t>
            </w:r>
          </w:p>
        </w:tc>
      </w:tr>
      <w:tr w14:paraId="5AE9C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0" w:hRule="atLeast"/>
        </w:trPr>
        <w:tc>
          <w:tcPr>
            <w:tcW w:w="712" w:type="dxa"/>
            <w:vMerge w:val="continue"/>
            <w:tcBorders>
              <w:top w:val="nil"/>
              <w:bottom w:val="nil"/>
            </w:tcBorders>
            <w:vAlign w:val="top"/>
          </w:tcPr>
          <w:p w14:paraId="64C8674A">
            <w:pPr>
              <w:rPr>
                <w:rFonts w:ascii="Arial"/>
                <w:sz w:val="21"/>
              </w:rPr>
            </w:pPr>
          </w:p>
        </w:tc>
        <w:tc>
          <w:tcPr>
            <w:tcW w:w="720" w:type="dxa"/>
            <w:vMerge w:val="continue"/>
            <w:tcBorders>
              <w:top w:val="nil"/>
              <w:bottom w:val="nil"/>
            </w:tcBorders>
            <w:vAlign w:val="top"/>
          </w:tcPr>
          <w:p w14:paraId="217D5A03">
            <w:pPr>
              <w:rPr>
                <w:rFonts w:ascii="Arial"/>
                <w:sz w:val="21"/>
              </w:rPr>
            </w:pPr>
          </w:p>
        </w:tc>
        <w:tc>
          <w:tcPr>
            <w:tcW w:w="1964" w:type="dxa"/>
            <w:vAlign w:val="top"/>
          </w:tcPr>
          <w:p w14:paraId="0522003F">
            <w:pPr>
              <w:spacing w:line="379" w:lineRule="auto"/>
              <w:rPr>
                <w:rFonts w:ascii="Arial"/>
                <w:sz w:val="21"/>
              </w:rPr>
            </w:pPr>
          </w:p>
          <w:p w14:paraId="0F5E2F22">
            <w:pPr>
              <w:pStyle w:val="6"/>
              <w:spacing w:before="68" w:line="280" w:lineRule="auto"/>
              <w:ind w:left="106" w:right="165"/>
              <w:rPr>
                <w:sz w:val="21"/>
                <w:szCs w:val="21"/>
              </w:rPr>
            </w:pPr>
            <w:r>
              <w:rPr>
                <w:spacing w:val="-1"/>
                <w:sz w:val="21"/>
                <w:szCs w:val="21"/>
              </w:rPr>
              <w:t>施工准备与资源配</w:t>
            </w:r>
            <w:r>
              <w:rPr>
                <w:spacing w:val="-2"/>
                <w:sz w:val="21"/>
                <w:szCs w:val="21"/>
              </w:rPr>
              <w:t>置计划</w:t>
            </w:r>
          </w:p>
        </w:tc>
        <w:tc>
          <w:tcPr>
            <w:tcW w:w="794" w:type="dxa"/>
            <w:vAlign w:val="top"/>
          </w:tcPr>
          <w:p w14:paraId="722B9275">
            <w:pPr>
              <w:spacing w:line="264" w:lineRule="auto"/>
              <w:rPr>
                <w:rFonts w:ascii="Arial"/>
                <w:sz w:val="21"/>
              </w:rPr>
            </w:pPr>
          </w:p>
          <w:p w14:paraId="1836751F">
            <w:pPr>
              <w:spacing w:line="264" w:lineRule="auto"/>
              <w:rPr>
                <w:rFonts w:ascii="Arial"/>
                <w:sz w:val="21"/>
              </w:rPr>
            </w:pPr>
          </w:p>
          <w:p w14:paraId="04216519">
            <w:pPr>
              <w:pStyle w:val="6"/>
              <w:spacing w:before="69" w:line="239" w:lineRule="auto"/>
              <w:ind w:left="114"/>
              <w:rPr>
                <w:sz w:val="21"/>
                <w:szCs w:val="21"/>
              </w:rPr>
            </w:pPr>
            <w:r>
              <w:rPr>
                <w:spacing w:val="-3"/>
                <w:sz w:val="21"/>
                <w:szCs w:val="21"/>
              </w:rPr>
              <w:t>2.0</w:t>
            </w:r>
          </w:p>
        </w:tc>
        <w:tc>
          <w:tcPr>
            <w:tcW w:w="4340" w:type="dxa"/>
            <w:vAlign w:val="top"/>
          </w:tcPr>
          <w:p w14:paraId="315AA8ED">
            <w:pPr>
              <w:pStyle w:val="6"/>
              <w:spacing w:before="135" w:line="277" w:lineRule="auto"/>
              <w:ind w:left="139" w:right="750"/>
              <w:rPr>
                <w:sz w:val="21"/>
                <w:szCs w:val="21"/>
              </w:rPr>
            </w:pPr>
            <w:r>
              <w:rPr>
                <w:spacing w:val="-2"/>
                <w:sz w:val="21"/>
                <w:szCs w:val="21"/>
              </w:rPr>
              <w:t>内容完备，合理、针对性强 2-1.9 分</w:t>
            </w:r>
            <w:r>
              <w:rPr>
                <w:spacing w:val="-3"/>
                <w:sz w:val="21"/>
                <w:szCs w:val="21"/>
              </w:rPr>
              <w:t>内容完备，可行</w:t>
            </w:r>
            <w:r>
              <w:rPr>
                <w:spacing w:val="27"/>
                <w:sz w:val="21"/>
                <w:szCs w:val="21"/>
              </w:rPr>
              <w:t xml:space="preserve"> </w:t>
            </w:r>
            <w:r>
              <w:rPr>
                <w:spacing w:val="-3"/>
                <w:sz w:val="21"/>
                <w:szCs w:val="21"/>
              </w:rPr>
              <w:t>1.8-1.6 分</w:t>
            </w:r>
          </w:p>
          <w:p w14:paraId="2B783059">
            <w:pPr>
              <w:pStyle w:val="6"/>
              <w:spacing w:before="1" w:line="279" w:lineRule="auto"/>
              <w:ind w:left="117" w:right="960" w:firstLine="22"/>
              <w:rPr>
                <w:sz w:val="21"/>
                <w:szCs w:val="21"/>
              </w:rPr>
            </w:pPr>
            <w:r>
              <w:rPr>
                <w:spacing w:val="-3"/>
                <w:sz w:val="21"/>
                <w:szCs w:val="21"/>
              </w:rPr>
              <w:t>内容欠完备，基本可行 1.5-1.4</w:t>
            </w:r>
            <w:r>
              <w:rPr>
                <w:spacing w:val="26"/>
                <w:sz w:val="21"/>
                <w:szCs w:val="21"/>
              </w:rPr>
              <w:t xml:space="preserve"> </w:t>
            </w:r>
            <w:r>
              <w:rPr>
                <w:spacing w:val="-3"/>
                <w:sz w:val="21"/>
                <w:szCs w:val="21"/>
              </w:rPr>
              <w:t>分</w:t>
            </w:r>
            <w:r>
              <w:rPr>
                <w:spacing w:val="-5"/>
                <w:sz w:val="21"/>
                <w:szCs w:val="21"/>
              </w:rPr>
              <w:t>不可行</w:t>
            </w:r>
            <w:r>
              <w:rPr>
                <w:spacing w:val="13"/>
                <w:sz w:val="21"/>
                <w:szCs w:val="21"/>
              </w:rPr>
              <w:t xml:space="preserve"> </w:t>
            </w:r>
            <w:r>
              <w:rPr>
                <w:spacing w:val="-5"/>
                <w:sz w:val="21"/>
                <w:szCs w:val="21"/>
              </w:rPr>
              <w:t>0</w:t>
            </w:r>
            <w:r>
              <w:rPr>
                <w:spacing w:val="11"/>
                <w:sz w:val="21"/>
                <w:szCs w:val="21"/>
              </w:rPr>
              <w:t xml:space="preserve"> </w:t>
            </w:r>
            <w:r>
              <w:rPr>
                <w:spacing w:val="-5"/>
                <w:sz w:val="21"/>
                <w:szCs w:val="21"/>
              </w:rPr>
              <w:t>分</w:t>
            </w:r>
          </w:p>
        </w:tc>
      </w:tr>
      <w:tr w14:paraId="13179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0" w:hRule="atLeast"/>
        </w:trPr>
        <w:tc>
          <w:tcPr>
            <w:tcW w:w="712" w:type="dxa"/>
            <w:vMerge w:val="continue"/>
            <w:tcBorders>
              <w:top w:val="nil"/>
              <w:bottom w:val="nil"/>
            </w:tcBorders>
            <w:vAlign w:val="top"/>
          </w:tcPr>
          <w:p w14:paraId="48E54694">
            <w:pPr>
              <w:rPr>
                <w:rFonts w:ascii="Arial"/>
                <w:sz w:val="21"/>
              </w:rPr>
            </w:pPr>
          </w:p>
        </w:tc>
        <w:tc>
          <w:tcPr>
            <w:tcW w:w="720" w:type="dxa"/>
            <w:vMerge w:val="continue"/>
            <w:tcBorders>
              <w:top w:val="nil"/>
              <w:bottom w:val="nil"/>
            </w:tcBorders>
            <w:vAlign w:val="top"/>
          </w:tcPr>
          <w:p w14:paraId="33CCB90F">
            <w:pPr>
              <w:rPr>
                <w:rFonts w:ascii="Arial"/>
                <w:sz w:val="21"/>
              </w:rPr>
            </w:pPr>
          </w:p>
        </w:tc>
        <w:tc>
          <w:tcPr>
            <w:tcW w:w="1964" w:type="dxa"/>
            <w:vAlign w:val="top"/>
          </w:tcPr>
          <w:p w14:paraId="317E0877">
            <w:pPr>
              <w:spacing w:line="265" w:lineRule="auto"/>
              <w:rPr>
                <w:rFonts w:ascii="Arial"/>
                <w:sz w:val="21"/>
              </w:rPr>
            </w:pPr>
          </w:p>
          <w:p w14:paraId="667A48E8">
            <w:pPr>
              <w:spacing w:line="265" w:lineRule="auto"/>
              <w:rPr>
                <w:rFonts w:ascii="Arial"/>
                <w:sz w:val="21"/>
              </w:rPr>
            </w:pPr>
          </w:p>
          <w:p w14:paraId="258A49FE">
            <w:pPr>
              <w:pStyle w:val="6"/>
              <w:spacing w:before="68" w:line="220" w:lineRule="auto"/>
              <w:ind w:left="109"/>
              <w:rPr>
                <w:sz w:val="21"/>
                <w:szCs w:val="21"/>
              </w:rPr>
            </w:pPr>
            <w:r>
              <w:rPr>
                <w:spacing w:val="-2"/>
                <w:sz w:val="21"/>
                <w:szCs w:val="21"/>
              </w:rPr>
              <w:t>主要施工方案</w:t>
            </w:r>
          </w:p>
        </w:tc>
        <w:tc>
          <w:tcPr>
            <w:tcW w:w="794" w:type="dxa"/>
            <w:vAlign w:val="top"/>
          </w:tcPr>
          <w:p w14:paraId="318414B2">
            <w:pPr>
              <w:spacing w:line="265" w:lineRule="auto"/>
              <w:rPr>
                <w:rFonts w:ascii="Arial"/>
                <w:sz w:val="21"/>
              </w:rPr>
            </w:pPr>
          </w:p>
          <w:p w14:paraId="561D060C">
            <w:pPr>
              <w:spacing w:line="265" w:lineRule="auto"/>
              <w:rPr>
                <w:rFonts w:ascii="Arial"/>
                <w:sz w:val="21"/>
              </w:rPr>
            </w:pPr>
          </w:p>
          <w:p w14:paraId="684D2E95">
            <w:pPr>
              <w:pStyle w:val="6"/>
              <w:spacing w:before="68" w:line="239" w:lineRule="auto"/>
              <w:ind w:left="115"/>
              <w:rPr>
                <w:sz w:val="21"/>
                <w:szCs w:val="21"/>
              </w:rPr>
            </w:pPr>
            <w:r>
              <w:rPr>
                <w:spacing w:val="-3"/>
                <w:sz w:val="21"/>
                <w:szCs w:val="21"/>
              </w:rPr>
              <w:t>5.0</w:t>
            </w:r>
          </w:p>
        </w:tc>
        <w:tc>
          <w:tcPr>
            <w:tcW w:w="4340" w:type="dxa"/>
            <w:vAlign w:val="top"/>
          </w:tcPr>
          <w:p w14:paraId="232ECC8D">
            <w:pPr>
              <w:pStyle w:val="6"/>
              <w:spacing w:before="136" w:line="277" w:lineRule="auto"/>
              <w:ind w:left="113" w:right="1170"/>
              <w:rPr>
                <w:sz w:val="21"/>
                <w:szCs w:val="21"/>
              </w:rPr>
            </w:pPr>
            <w:r>
              <w:rPr>
                <w:spacing w:val="-1"/>
                <w:sz w:val="21"/>
                <w:szCs w:val="21"/>
              </w:rPr>
              <w:t>科学、合理、针对性强 5-4.6 分合理、可行 4.5-4</w:t>
            </w:r>
            <w:r>
              <w:rPr>
                <w:spacing w:val="15"/>
                <w:sz w:val="21"/>
                <w:szCs w:val="21"/>
              </w:rPr>
              <w:t xml:space="preserve"> </w:t>
            </w:r>
            <w:r>
              <w:rPr>
                <w:spacing w:val="-1"/>
                <w:sz w:val="21"/>
                <w:szCs w:val="21"/>
              </w:rPr>
              <w:t>分</w:t>
            </w:r>
          </w:p>
          <w:p w14:paraId="5163C3AE">
            <w:pPr>
              <w:pStyle w:val="6"/>
              <w:spacing w:line="218" w:lineRule="auto"/>
              <w:ind w:left="114"/>
              <w:rPr>
                <w:sz w:val="21"/>
                <w:szCs w:val="21"/>
              </w:rPr>
            </w:pPr>
            <w:r>
              <w:rPr>
                <w:sz w:val="21"/>
                <w:szCs w:val="21"/>
              </w:rPr>
              <w:t>欠合理，基本可行 3.9-3.5 分</w:t>
            </w:r>
          </w:p>
          <w:p w14:paraId="1770A1EC">
            <w:pPr>
              <w:pStyle w:val="6"/>
              <w:spacing w:before="50" w:line="220" w:lineRule="auto"/>
              <w:ind w:left="117"/>
              <w:rPr>
                <w:sz w:val="21"/>
                <w:szCs w:val="21"/>
              </w:rPr>
            </w:pPr>
            <w:r>
              <w:rPr>
                <w:sz w:val="21"/>
                <w:szCs w:val="21"/>
              </w:rPr>
              <w:t>不可行，不能满足工程需要 0 分</w:t>
            </w:r>
          </w:p>
        </w:tc>
      </w:tr>
      <w:tr w14:paraId="69934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712" w:type="dxa"/>
            <w:vMerge w:val="continue"/>
            <w:tcBorders>
              <w:top w:val="nil"/>
              <w:bottom w:val="nil"/>
            </w:tcBorders>
            <w:vAlign w:val="top"/>
          </w:tcPr>
          <w:p w14:paraId="75D9670F">
            <w:pPr>
              <w:rPr>
                <w:rFonts w:ascii="Arial"/>
                <w:sz w:val="21"/>
              </w:rPr>
            </w:pPr>
          </w:p>
        </w:tc>
        <w:tc>
          <w:tcPr>
            <w:tcW w:w="720" w:type="dxa"/>
            <w:vMerge w:val="continue"/>
            <w:tcBorders>
              <w:top w:val="nil"/>
              <w:bottom w:val="nil"/>
            </w:tcBorders>
            <w:vAlign w:val="top"/>
          </w:tcPr>
          <w:p w14:paraId="793A741A">
            <w:pPr>
              <w:rPr>
                <w:rFonts w:ascii="Arial"/>
                <w:sz w:val="21"/>
              </w:rPr>
            </w:pPr>
          </w:p>
        </w:tc>
        <w:tc>
          <w:tcPr>
            <w:tcW w:w="1964" w:type="dxa"/>
            <w:vAlign w:val="top"/>
          </w:tcPr>
          <w:p w14:paraId="20FEC8DA">
            <w:pPr>
              <w:spacing w:line="265" w:lineRule="auto"/>
              <w:rPr>
                <w:rFonts w:ascii="Arial"/>
                <w:sz w:val="21"/>
              </w:rPr>
            </w:pPr>
          </w:p>
          <w:p w14:paraId="147FFA8A">
            <w:pPr>
              <w:spacing w:line="266" w:lineRule="auto"/>
              <w:rPr>
                <w:rFonts w:ascii="Arial"/>
                <w:sz w:val="21"/>
              </w:rPr>
            </w:pPr>
          </w:p>
          <w:p w14:paraId="03A65E75">
            <w:pPr>
              <w:pStyle w:val="6"/>
              <w:spacing w:before="68" w:line="219" w:lineRule="auto"/>
              <w:ind w:left="107"/>
              <w:rPr>
                <w:sz w:val="21"/>
                <w:szCs w:val="21"/>
              </w:rPr>
            </w:pPr>
            <w:r>
              <w:rPr>
                <w:spacing w:val="-1"/>
                <w:sz w:val="21"/>
                <w:szCs w:val="21"/>
              </w:rPr>
              <w:t>施工现场平面布置</w:t>
            </w:r>
          </w:p>
        </w:tc>
        <w:tc>
          <w:tcPr>
            <w:tcW w:w="794" w:type="dxa"/>
            <w:vAlign w:val="top"/>
          </w:tcPr>
          <w:p w14:paraId="16181272">
            <w:pPr>
              <w:spacing w:line="265" w:lineRule="auto"/>
              <w:rPr>
                <w:rFonts w:ascii="Arial"/>
                <w:sz w:val="21"/>
              </w:rPr>
            </w:pPr>
          </w:p>
          <w:p w14:paraId="36D4834C">
            <w:pPr>
              <w:spacing w:line="266" w:lineRule="auto"/>
              <w:rPr>
                <w:rFonts w:ascii="Arial"/>
                <w:sz w:val="21"/>
              </w:rPr>
            </w:pPr>
          </w:p>
          <w:p w14:paraId="694FF38D">
            <w:pPr>
              <w:pStyle w:val="6"/>
              <w:spacing w:before="68" w:line="239" w:lineRule="auto"/>
              <w:ind w:left="114"/>
              <w:rPr>
                <w:sz w:val="21"/>
                <w:szCs w:val="21"/>
              </w:rPr>
            </w:pPr>
            <w:r>
              <w:rPr>
                <w:spacing w:val="-3"/>
                <w:sz w:val="21"/>
                <w:szCs w:val="21"/>
              </w:rPr>
              <w:t>2.0</w:t>
            </w:r>
          </w:p>
        </w:tc>
        <w:tc>
          <w:tcPr>
            <w:tcW w:w="4340" w:type="dxa"/>
            <w:vAlign w:val="top"/>
          </w:tcPr>
          <w:p w14:paraId="6A68DD97">
            <w:pPr>
              <w:pStyle w:val="6"/>
              <w:spacing w:before="137" w:line="219" w:lineRule="auto"/>
              <w:ind w:left="115"/>
              <w:rPr>
                <w:sz w:val="21"/>
                <w:szCs w:val="21"/>
              </w:rPr>
            </w:pPr>
            <w:r>
              <w:rPr>
                <w:spacing w:val="-1"/>
                <w:sz w:val="21"/>
                <w:szCs w:val="21"/>
              </w:rPr>
              <w:t>现场布置合理 2-1.9</w:t>
            </w:r>
            <w:r>
              <w:rPr>
                <w:spacing w:val="15"/>
                <w:sz w:val="21"/>
                <w:szCs w:val="21"/>
              </w:rPr>
              <w:t xml:space="preserve"> </w:t>
            </w:r>
            <w:r>
              <w:rPr>
                <w:spacing w:val="-1"/>
                <w:sz w:val="21"/>
                <w:szCs w:val="21"/>
              </w:rPr>
              <w:t>分</w:t>
            </w:r>
          </w:p>
          <w:p w14:paraId="0548C8C9">
            <w:pPr>
              <w:pStyle w:val="6"/>
              <w:spacing w:before="66" w:line="219" w:lineRule="auto"/>
              <w:ind w:left="115"/>
              <w:rPr>
                <w:sz w:val="21"/>
                <w:szCs w:val="21"/>
              </w:rPr>
            </w:pPr>
            <w:r>
              <w:rPr>
                <w:spacing w:val="-2"/>
                <w:sz w:val="21"/>
                <w:szCs w:val="21"/>
              </w:rPr>
              <w:t>现场布置可行</w:t>
            </w:r>
            <w:r>
              <w:rPr>
                <w:spacing w:val="32"/>
                <w:sz w:val="21"/>
                <w:szCs w:val="21"/>
              </w:rPr>
              <w:t xml:space="preserve"> </w:t>
            </w:r>
            <w:r>
              <w:rPr>
                <w:spacing w:val="-2"/>
                <w:sz w:val="21"/>
                <w:szCs w:val="21"/>
              </w:rPr>
              <w:t>1.8-1.6 分</w:t>
            </w:r>
          </w:p>
          <w:p w14:paraId="77C43B16">
            <w:pPr>
              <w:pStyle w:val="6"/>
              <w:spacing w:before="51" w:line="279" w:lineRule="auto"/>
              <w:ind w:left="115" w:right="1381"/>
              <w:rPr>
                <w:sz w:val="21"/>
                <w:szCs w:val="21"/>
              </w:rPr>
            </w:pPr>
            <w:r>
              <w:rPr>
                <w:spacing w:val="-2"/>
                <w:sz w:val="21"/>
                <w:szCs w:val="21"/>
              </w:rPr>
              <w:t>现场布置基本可行 1.5-1.4</w:t>
            </w:r>
            <w:r>
              <w:rPr>
                <w:spacing w:val="26"/>
                <w:sz w:val="21"/>
                <w:szCs w:val="21"/>
              </w:rPr>
              <w:t xml:space="preserve"> </w:t>
            </w:r>
            <w:r>
              <w:rPr>
                <w:spacing w:val="-2"/>
                <w:sz w:val="21"/>
                <w:szCs w:val="21"/>
              </w:rPr>
              <w:t>分</w:t>
            </w:r>
            <w:r>
              <w:rPr>
                <w:spacing w:val="-1"/>
                <w:sz w:val="21"/>
                <w:szCs w:val="21"/>
              </w:rPr>
              <w:t>现场布置不可行 0</w:t>
            </w:r>
            <w:r>
              <w:rPr>
                <w:spacing w:val="12"/>
                <w:sz w:val="21"/>
                <w:szCs w:val="21"/>
              </w:rPr>
              <w:t xml:space="preserve"> </w:t>
            </w:r>
            <w:r>
              <w:rPr>
                <w:spacing w:val="-1"/>
                <w:sz w:val="21"/>
                <w:szCs w:val="21"/>
              </w:rPr>
              <w:t>分</w:t>
            </w:r>
          </w:p>
        </w:tc>
      </w:tr>
      <w:tr w14:paraId="62B06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0" w:hRule="atLeast"/>
        </w:trPr>
        <w:tc>
          <w:tcPr>
            <w:tcW w:w="712" w:type="dxa"/>
            <w:vMerge w:val="continue"/>
            <w:tcBorders>
              <w:top w:val="nil"/>
            </w:tcBorders>
            <w:vAlign w:val="top"/>
          </w:tcPr>
          <w:p w14:paraId="38FC9E1B">
            <w:pPr>
              <w:rPr>
                <w:rFonts w:ascii="Arial"/>
                <w:sz w:val="21"/>
              </w:rPr>
            </w:pPr>
          </w:p>
        </w:tc>
        <w:tc>
          <w:tcPr>
            <w:tcW w:w="720" w:type="dxa"/>
            <w:vMerge w:val="continue"/>
            <w:tcBorders>
              <w:top w:val="nil"/>
            </w:tcBorders>
            <w:vAlign w:val="top"/>
          </w:tcPr>
          <w:p w14:paraId="4FD46D99">
            <w:pPr>
              <w:rPr>
                <w:rFonts w:ascii="Arial"/>
                <w:sz w:val="21"/>
              </w:rPr>
            </w:pPr>
          </w:p>
        </w:tc>
        <w:tc>
          <w:tcPr>
            <w:tcW w:w="1964" w:type="dxa"/>
            <w:vAlign w:val="top"/>
          </w:tcPr>
          <w:p w14:paraId="4B3BC0C8">
            <w:pPr>
              <w:spacing w:line="266" w:lineRule="auto"/>
              <w:rPr>
                <w:rFonts w:ascii="Arial"/>
                <w:sz w:val="21"/>
              </w:rPr>
            </w:pPr>
          </w:p>
          <w:p w14:paraId="0FE3DD57">
            <w:pPr>
              <w:spacing w:line="267" w:lineRule="auto"/>
              <w:rPr>
                <w:rFonts w:ascii="Arial"/>
                <w:sz w:val="21"/>
              </w:rPr>
            </w:pPr>
          </w:p>
          <w:p w14:paraId="7B18FFFB">
            <w:pPr>
              <w:pStyle w:val="6"/>
              <w:spacing w:before="68" w:line="220" w:lineRule="auto"/>
              <w:ind w:left="109"/>
              <w:rPr>
                <w:sz w:val="21"/>
                <w:szCs w:val="21"/>
              </w:rPr>
            </w:pPr>
            <w:r>
              <w:rPr>
                <w:spacing w:val="-1"/>
                <w:sz w:val="21"/>
                <w:szCs w:val="21"/>
              </w:rPr>
              <w:t>主要施工管理计划</w:t>
            </w:r>
          </w:p>
        </w:tc>
        <w:tc>
          <w:tcPr>
            <w:tcW w:w="794" w:type="dxa"/>
            <w:vAlign w:val="top"/>
          </w:tcPr>
          <w:p w14:paraId="019DA742">
            <w:pPr>
              <w:spacing w:line="267" w:lineRule="auto"/>
              <w:rPr>
                <w:rFonts w:ascii="Arial"/>
                <w:sz w:val="21"/>
              </w:rPr>
            </w:pPr>
          </w:p>
          <w:p w14:paraId="07770D24">
            <w:pPr>
              <w:spacing w:line="267" w:lineRule="auto"/>
              <w:rPr>
                <w:rFonts w:ascii="Arial"/>
                <w:sz w:val="21"/>
              </w:rPr>
            </w:pPr>
          </w:p>
          <w:p w14:paraId="46F77593">
            <w:pPr>
              <w:pStyle w:val="6"/>
              <w:spacing w:before="68" w:line="239" w:lineRule="auto"/>
              <w:ind w:left="115"/>
              <w:rPr>
                <w:sz w:val="21"/>
                <w:szCs w:val="21"/>
              </w:rPr>
            </w:pPr>
            <w:r>
              <w:rPr>
                <w:spacing w:val="-3"/>
                <w:sz w:val="21"/>
                <w:szCs w:val="21"/>
              </w:rPr>
              <w:t>3.0</w:t>
            </w:r>
          </w:p>
        </w:tc>
        <w:tc>
          <w:tcPr>
            <w:tcW w:w="4340" w:type="dxa"/>
            <w:vAlign w:val="top"/>
          </w:tcPr>
          <w:p w14:paraId="21336DB1">
            <w:pPr>
              <w:pStyle w:val="6"/>
              <w:spacing w:before="138" w:line="271" w:lineRule="auto"/>
              <w:ind w:left="139" w:right="750"/>
              <w:rPr>
                <w:sz w:val="21"/>
                <w:szCs w:val="21"/>
              </w:rPr>
            </w:pPr>
            <w:r>
              <w:rPr>
                <w:spacing w:val="-2"/>
                <w:sz w:val="21"/>
                <w:szCs w:val="21"/>
              </w:rPr>
              <w:t>内容完备，合理、针对性强 3-2.8 分内容完备，可行 2.7-2.4</w:t>
            </w:r>
            <w:r>
              <w:rPr>
                <w:spacing w:val="11"/>
                <w:sz w:val="21"/>
                <w:szCs w:val="21"/>
              </w:rPr>
              <w:t xml:space="preserve"> </w:t>
            </w:r>
            <w:r>
              <w:rPr>
                <w:spacing w:val="-2"/>
                <w:sz w:val="21"/>
                <w:szCs w:val="21"/>
              </w:rPr>
              <w:t>分</w:t>
            </w:r>
          </w:p>
          <w:p w14:paraId="24DB4F0D">
            <w:pPr>
              <w:pStyle w:val="6"/>
              <w:spacing w:before="1" w:line="279" w:lineRule="auto"/>
              <w:ind w:left="117" w:right="960" w:firstLine="22"/>
              <w:rPr>
                <w:sz w:val="21"/>
                <w:szCs w:val="21"/>
              </w:rPr>
            </w:pPr>
            <w:r>
              <w:rPr>
                <w:spacing w:val="-2"/>
                <w:sz w:val="21"/>
                <w:szCs w:val="21"/>
              </w:rPr>
              <w:t>内容欠完备，基本可行 2.3-2.1 分</w:t>
            </w:r>
            <w:r>
              <w:rPr>
                <w:spacing w:val="-5"/>
                <w:sz w:val="21"/>
                <w:szCs w:val="21"/>
              </w:rPr>
              <w:t>不可行</w:t>
            </w:r>
            <w:r>
              <w:rPr>
                <w:spacing w:val="13"/>
                <w:sz w:val="21"/>
                <w:szCs w:val="21"/>
              </w:rPr>
              <w:t xml:space="preserve"> </w:t>
            </w:r>
            <w:r>
              <w:rPr>
                <w:spacing w:val="-5"/>
                <w:sz w:val="21"/>
                <w:szCs w:val="21"/>
              </w:rPr>
              <w:t>0</w:t>
            </w:r>
            <w:r>
              <w:rPr>
                <w:spacing w:val="11"/>
                <w:sz w:val="21"/>
                <w:szCs w:val="21"/>
              </w:rPr>
              <w:t xml:space="preserve"> </w:t>
            </w:r>
            <w:r>
              <w:rPr>
                <w:spacing w:val="-5"/>
                <w:sz w:val="21"/>
                <w:szCs w:val="21"/>
              </w:rPr>
              <w:t>分</w:t>
            </w:r>
          </w:p>
        </w:tc>
      </w:tr>
      <w:tr w14:paraId="46093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712" w:type="dxa"/>
            <w:vMerge w:val="restart"/>
            <w:tcBorders>
              <w:bottom w:val="nil"/>
            </w:tcBorders>
            <w:vAlign w:val="top"/>
          </w:tcPr>
          <w:p w14:paraId="34C6749D">
            <w:pPr>
              <w:spacing w:line="319" w:lineRule="auto"/>
              <w:rPr>
                <w:rFonts w:ascii="Arial"/>
                <w:sz w:val="21"/>
              </w:rPr>
            </w:pPr>
          </w:p>
          <w:p w14:paraId="3C7AB0BC">
            <w:pPr>
              <w:spacing w:line="320" w:lineRule="auto"/>
              <w:rPr>
                <w:rFonts w:ascii="Arial"/>
                <w:sz w:val="21"/>
              </w:rPr>
            </w:pPr>
          </w:p>
          <w:p w14:paraId="308AD94E">
            <w:pPr>
              <w:pStyle w:val="6"/>
              <w:spacing w:before="69" w:line="239" w:lineRule="auto"/>
              <w:ind w:left="146"/>
              <w:rPr>
                <w:sz w:val="21"/>
                <w:szCs w:val="21"/>
              </w:rPr>
            </w:pPr>
            <w:r>
              <w:rPr>
                <w:spacing w:val="-3"/>
                <w:sz w:val="21"/>
                <w:szCs w:val="21"/>
              </w:rPr>
              <w:t>2.2.</w:t>
            </w:r>
          </w:p>
          <w:p w14:paraId="290D9E02">
            <w:pPr>
              <w:pStyle w:val="6"/>
              <w:spacing w:before="28" w:line="222" w:lineRule="auto"/>
              <w:ind w:left="142"/>
              <w:rPr>
                <w:sz w:val="21"/>
                <w:szCs w:val="21"/>
              </w:rPr>
            </w:pPr>
            <w:r>
              <w:rPr>
                <w:spacing w:val="-2"/>
                <w:sz w:val="21"/>
                <w:szCs w:val="21"/>
              </w:rPr>
              <w:t>4(3)</w:t>
            </w:r>
          </w:p>
        </w:tc>
        <w:tc>
          <w:tcPr>
            <w:tcW w:w="720" w:type="dxa"/>
            <w:vMerge w:val="restart"/>
            <w:tcBorders>
              <w:bottom w:val="nil"/>
            </w:tcBorders>
            <w:vAlign w:val="top"/>
          </w:tcPr>
          <w:p w14:paraId="1C0C8E35">
            <w:pPr>
              <w:pStyle w:val="6"/>
              <w:spacing w:before="231" w:line="220" w:lineRule="auto"/>
              <w:ind w:left="140"/>
              <w:rPr>
                <w:sz w:val="21"/>
                <w:szCs w:val="21"/>
              </w:rPr>
            </w:pPr>
            <w:r>
              <w:rPr>
                <w:spacing w:val="-3"/>
                <w:sz w:val="21"/>
                <w:szCs w:val="21"/>
              </w:rPr>
              <w:t>项目</w:t>
            </w:r>
          </w:p>
          <w:p w14:paraId="7FDE5364">
            <w:pPr>
              <w:pStyle w:val="6"/>
              <w:spacing w:before="63" w:line="220" w:lineRule="auto"/>
              <w:ind w:left="142"/>
              <w:rPr>
                <w:sz w:val="21"/>
                <w:szCs w:val="21"/>
              </w:rPr>
            </w:pPr>
            <w:r>
              <w:rPr>
                <w:spacing w:val="-4"/>
                <w:sz w:val="21"/>
                <w:szCs w:val="21"/>
              </w:rPr>
              <w:t>管理</w:t>
            </w:r>
          </w:p>
          <w:p w14:paraId="46BB58F6">
            <w:pPr>
              <w:pStyle w:val="6"/>
              <w:spacing w:before="65" w:line="219" w:lineRule="auto"/>
              <w:ind w:left="136"/>
              <w:rPr>
                <w:sz w:val="21"/>
                <w:szCs w:val="21"/>
              </w:rPr>
            </w:pPr>
            <w:r>
              <w:rPr>
                <w:spacing w:val="-2"/>
                <w:sz w:val="21"/>
                <w:szCs w:val="21"/>
              </w:rPr>
              <w:t>机构</w:t>
            </w:r>
          </w:p>
          <w:p w14:paraId="6EF5DEC3">
            <w:pPr>
              <w:pStyle w:val="6"/>
              <w:spacing w:before="66" w:line="220" w:lineRule="auto"/>
              <w:ind w:left="136"/>
              <w:rPr>
                <w:sz w:val="21"/>
                <w:szCs w:val="21"/>
              </w:rPr>
            </w:pPr>
            <w:r>
              <w:rPr>
                <w:spacing w:val="-2"/>
                <w:sz w:val="21"/>
                <w:szCs w:val="21"/>
              </w:rPr>
              <w:t>评分</w:t>
            </w:r>
          </w:p>
          <w:p w14:paraId="72950FEB">
            <w:pPr>
              <w:pStyle w:val="6"/>
              <w:spacing w:before="65" w:line="220" w:lineRule="auto"/>
              <w:ind w:left="138"/>
              <w:rPr>
                <w:sz w:val="21"/>
                <w:szCs w:val="21"/>
              </w:rPr>
            </w:pPr>
            <w:r>
              <w:rPr>
                <w:spacing w:val="-3"/>
                <w:sz w:val="21"/>
                <w:szCs w:val="21"/>
              </w:rPr>
              <w:t>标准</w:t>
            </w:r>
          </w:p>
        </w:tc>
        <w:tc>
          <w:tcPr>
            <w:tcW w:w="1964" w:type="dxa"/>
            <w:vAlign w:val="top"/>
          </w:tcPr>
          <w:p w14:paraId="6EDEE4FB">
            <w:pPr>
              <w:spacing w:line="371" w:lineRule="auto"/>
              <w:rPr>
                <w:rFonts w:ascii="Arial"/>
                <w:sz w:val="21"/>
              </w:rPr>
            </w:pPr>
          </w:p>
          <w:p w14:paraId="459B9A9C">
            <w:pPr>
              <w:pStyle w:val="6"/>
              <w:spacing w:before="68" w:line="220" w:lineRule="auto"/>
              <w:ind w:left="111"/>
              <w:rPr>
                <w:sz w:val="21"/>
                <w:szCs w:val="21"/>
              </w:rPr>
            </w:pPr>
            <w:r>
              <w:rPr>
                <w:spacing w:val="-1"/>
                <w:sz w:val="21"/>
                <w:szCs w:val="21"/>
              </w:rPr>
              <w:t>项目经理 职称</w:t>
            </w:r>
          </w:p>
        </w:tc>
        <w:tc>
          <w:tcPr>
            <w:tcW w:w="794" w:type="dxa"/>
            <w:vAlign w:val="top"/>
          </w:tcPr>
          <w:p w14:paraId="1695AF15">
            <w:pPr>
              <w:spacing w:line="370" w:lineRule="auto"/>
              <w:rPr>
                <w:rFonts w:ascii="Arial"/>
                <w:sz w:val="21"/>
              </w:rPr>
            </w:pPr>
          </w:p>
          <w:p w14:paraId="13459BCA">
            <w:pPr>
              <w:pStyle w:val="6"/>
              <w:spacing w:before="69" w:line="239" w:lineRule="auto"/>
              <w:ind w:left="127"/>
              <w:rPr>
                <w:sz w:val="21"/>
                <w:szCs w:val="21"/>
              </w:rPr>
            </w:pPr>
            <w:r>
              <w:rPr>
                <w:spacing w:val="-6"/>
                <w:sz w:val="21"/>
                <w:szCs w:val="21"/>
              </w:rPr>
              <w:t>1.0</w:t>
            </w:r>
          </w:p>
        </w:tc>
        <w:tc>
          <w:tcPr>
            <w:tcW w:w="4340" w:type="dxa"/>
            <w:vAlign w:val="top"/>
          </w:tcPr>
          <w:p w14:paraId="24DD0503">
            <w:pPr>
              <w:pStyle w:val="6"/>
              <w:spacing w:before="140" w:line="220" w:lineRule="auto"/>
              <w:ind w:left="113"/>
              <w:rPr>
                <w:sz w:val="21"/>
                <w:szCs w:val="21"/>
              </w:rPr>
            </w:pPr>
            <w:r>
              <w:rPr>
                <w:sz w:val="21"/>
                <w:szCs w:val="21"/>
              </w:rPr>
              <w:t>相关专业中级及以上职称（工程师） 1 分</w:t>
            </w:r>
          </w:p>
          <w:p w14:paraId="2A4C9A35">
            <w:pPr>
              <w:pStyle w:val="6"/>
              <w:spacing w:before="50" w:line="280" w:lineRule="auto"/>
              <w:ind w:left="113" w:right="329"/>
              <w:rPr>
                <w:sz w:val="21"/>
                <w:szCs w:val="21"/>
              </w:rPr>
            </w:pPr>
            <w:r>
              <w:rPr>
                <w:spacing w:val="-1"/>
                <w:sz w:val="21"/>
                <w:szCs w:val="21"/>
              </w:rPr>
              <w:t>相关专业初级职称（助理工程师） 0.8 分</w:t>
            </w:r>
            <w:r>
              <w:rPr>
                <w:spacing w:val="-5"/>
                <w:sz w:val="21"/>
                <w:szCs w:val="21"/>
              </w:rPr>
              <w:t>其他</w:t>
            </w:r>
            <w:r>
              <w:rPr>
                <w:spacing w:val="10"/>
                <w:sz w:val="21"/>
                <w:szCs w:val="21"/>
              </w:rPr>
              <w:t xml:space="preserve"> </w:t>
            </w:r>
            <w:r>
              <w:rPr>
                <w:spacing w:val="-5"/>
                <w:sz w:val="21"/>
                <w:szCs w:val="21"/>
              </w:rPr>
              <w:t>0</w:t>
            </w:r>
            <w:r>
              <w:rPr>
                <w:spacing w:val="11"/>
                <w:sz w:val="21"/>
                <w:szCs w:val="21"/>
              </w:rPr>
              <w:t xml:space="preserve"> </w:t>
            </w:r>
            <w:r>
              <w:rPr>
                <w:spacing w:val="-5"/>
                <w:sz w:val="21"/>
                <w:szCs w:val="21"/>
              </w:rPr>
              <w:t>分</w:t>
            </w:r>
          </w:p>
        </w:tc>
      </w:tr>
      <w:tr w14:paraId="71E51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712" w:type="dxa"/>
            <w:vMerge w:val="continue"/>
            <w:tcBorders>
              <w:top w:val="nil"/>
            </w:tcBorders>
            <w:vAlign w:val="top"/>
          </w:tcPr>
          <w:p w14:paraId="42C632B9">
            <w:pPr>
              <w:rPr>
                <w:rFonts w:ascii="Arial"/>
                <w:sz w:val="21"/>
              </w:rPr>
            </w:pPr>
          </w:p>
        </w:tc>
        <w:tc>
          <w:tcPr>
            <w:tcW w:w="720" w:type="dxa"/>
            <w:vMerge w:val="continue"/>
            <w:tcBorders>
              <w:top w:val="nil"/>
            </w:tcBorders>
            <w:vAlign w:val="top"/>
          </w:tcPr>
          <w:p w14:paraId="649162AD">
            <w:pPr>
              <w:rPr>
                <w:rFonts w:ascii="Arial"/>
                <w:sz w:val="21"/>
              </w:rPr>
            </w:pPr>
          </w:p>
        </w:tc>
        <w:tc>
          <w:tcPr>
            <w:tcW w:w="1964" w:type="dxa"/>
            <w:vAlign w:val="top"/>
          </w:tcPr>
          <w:p w14:paraId="782FACF9">
            <w:pPr>
              <w:pStyle w:val="6"/>
              <w:spacing w:before="142" w:line="266" w:lineRule="auto"/>
              <w:ind w:left="147" w:right="271" w:hanging="36"/>
              <w:rPr>
                <w:sz w:val="21"/>
                <w:szCs w:val="21"/>
              </w:rPr>
            </w:pPr>
            <w:r>
              <w:rPr>
                <w:spacing w:val="-2"/>
                <w:sz w:val="21"/>
                <w:szCs w:val="21"/>
              </w:rPr>
              <w:t>项目经理 类似项</w:t>
            </w:r>
            <w:r>
              <w:rPr>
                <w:spacing w:val="-18"/>
                <w:sz w:val="21"/>
                <w:szCs w:val="21"/>
              </w:rPr>
              <w:t>目</w:t>
            </w:r>
            <w:r>
              <w:rPr>
                <w:spacing w:val="9"/>
                <w:sz w:val="21"/>
                <w:szCs w:val="21"/>
              </w:rPr>
              <w:t xml:space="preserve"> </w:t>
            </w:r>
            <w:r>
              <w:rPr>
                <w:spacing w:val="-18"/>
                <w:sz w:val="21"/>
                <w:szCs w:val="21"/>
              </w:rPr>
              <w:t>业绩</w:t>
            </w:r>
          </w:p>
        </w:tc>
        <w:tc>
          <w:tcPr>
            <w:tcW w:w="794" w:type="dxa"/>
            <w:vAlign w:val="top"/>
          </w:tcPr>
          <w:p w14:paraId="010B7A84">
            <w:pPr>
              <w:pStyle w:val="6"/>
              <w:spacing w:before="292" w:line="239" w:lineRule="auto"/>
              <w:ind w:left="127"/>
              <w:rPr>
                <w:sz w:val="21"/>
                <w:szCs w:val="21"/>
              </w:rPr>
            </w:pPr>
            <w:r>
              <w:rPr>
                <w:spacing w:val="-6"/>
                <w:sz w:val="21"/>
                <w:szCs w:val="21"/>
              </w:rPr>
              <w:t>1.0</w:t>
            </w:r>
          </w:p>
        </w:tc>
        <w:tc>
          <w:tcPr>
            <w:tcW w:w="4340" w:type="dxa"/>
            <w:vAlign w:val="top"/>
          </w:tcPr>
          <w:p w14:paraId="23AF259E">
            <w:pPr>
              <w:pStyle w:val="6"/>
              <w:spacing w:before="291" w:line="220" w:lineRule="auto"/>
              <w:ind w:left="137"/>
              <w:rPr>
                <w:sz w:val="21"/>
                <w:szCs w:val="21"/>
              </w:rPr>
            </w:pPr>
            <w:r>
              <w:rPr>
                <w:spacing w:val="-4"/>
                <w:sz w:val="21"/>
                <w:szCs w:val="21"/>
              </w:rPr>
              <w:t>以项目经理身份主持过 1</w:t>
            </w:r>
            <w:r>
              <w:rPr>
                <w:spacing w:val="24"/>
                <w:sz w:val="21"/>
                <w:szCs w:val="21"/>
              </w:rPr>
              <w:t xml:space="preserve"> </w:t>
            </w:r>
            <w:r>
              <w:rPr>
                <w:spacing w:val="-4"/>
                <w:sz w:val="21"/>
                <w:szCs w:val="21"/>
              </w:rPr>
              <w:t>个类似项目</w:t>
            </w:r>
            <w:r>
              <w:rPr>
                <w:spacing w:val="24"/>
                <w:sz w:val="21"/>
                <w:szCs w:val="21"/>
              </w:rPr>
              <w:t xml:space="preserve"> </w:t>
            </w:r>
            <w:r>
              <w:rPr>
                <w:spacing w:val="-4"/>
                <w:sz w:val="21"/>
                <w:szCs w:val="21"/>
              </w:rPr>
              <w:t>1</w:t>
            </w:r>
            <w:r>
              <w:rPr>
                <w:spacing w:val="10"/>
                <w:sz w:val="21"/>
                <w:szCs w:val="21"/>
              </w:rPr>
              <w:t xml:space="preserve"> </w:t>
            </w:r>
            <w:r>
              <w:rPr>
                <w:spacing w:val="-4"/>
                <w:sz w:val="21"/>
                <w:szCs w:val="21"/>
              </w:rPr>
              <w:t>分</w:t>
            </w:r>
          </w:p>
        </w:tc>
      </w:tr>
    </w:tbl>
    <w:p w14:paraId="08EAB80F">
      <w:pPr>
        <w:pStyle w:val="2"/>
      </w:pPr>
    </w:p>
    <w:p w14:paraId="44576485">
      <w:pPr>
        <w:sectPr>
          <w:footerReference r:id="rId69" w:type="default"/>
          <w:pgSz w:w="11910" w:h="16845"/>
          <w:pgMar w:top="400" w:right="1682" w:bottom="1110" w:left="1681" w:header="0" w:footer="883" w:gutter="0"/>
          <w:cols w:space="720" w:num="1"/>
        </w:sectPr>
      </w:pPr>
    </w:p>
    <w:p w14:paraId="59ED47A6">
      <w:pPr>
        <w:spacing w:before="19"/>
      </w:pPr>
    </w:p>
    <w:p w14:paraId="6B20FEC9">
      <w:pPr>
        <w:spacing w:before="19"/>
      </w:pPr>
    </w:p>
    <w:p w14:paraId="217E8015">
      <w:pPr>
        <w:spacing w:before="19"/>
      </w:pPr>
    </w:p>
    <w:p w14:paraId="070D1158">
      <w:pPr>
        <w:spacing w:before="18"/>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720"/>
        <w:gridCol w:w="1964"/>
        <w:gridCol w:w="794"/>
        <w:gridCol w:w="4340"/>
      </w:tblGrid>
      <w:tr w14:paraId="27968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712" w:type="dxa"/>
            <w:vMerge w:val="restart"/>
            <w:tcBorders>
              <w:bottom w:val="nil"/>
            </w:tcBorders>
            <w:vAlign w:val="top"/>
          </w:tcPr>
          <w:p w14:paraId="7A73F636">
            <w:pPr>
              <w:rPr>
                <w:rFonts w:ascii="Arial"/>
                <w:sz w:val="21"/>
              </w:rPr>
            </w:pPr>
          </w:p>
        </w:tc>
        <w:tc>
          <w:tcPr>
            <w:tcW w:w="720" w:type="dxa"/>
            <w:vMerge w:val="restart"/>
            <w:tcBorders>
              <w:bottom w:val="nil"/>
            </w:tcBorders>
            <w:vAlign w:val="top"/>
          </w:tcPr>
          <w:p w14:paraId="3308E4AB">
            <w:pPr>
              <w:rPr>
                <w:rFonts w:ascii="Arial"/>
                <w:sz w:val="21"/>
              </w:rPr>
            </w:pPr>
          </w:p>
        </w:tc>
        <w:tc>
          <w:tcPr>
            <w:tcW w:w="1964" w:type="dxa"/>
            <w:vAlign w:val="top"/>
          </w:tcPr>
          <w:p w14:paraId="504229E2">
            <w:pPr>
              <w:pStyle w:val="6"/>
              <w:spacing w:before="284" w:line="220" w:lineRule="auto"/>
              <w:ind w:left="109"/>
              <w:rPr>
                <w:sz w:val="21"/>
                <w:szCs w:val="21"/>
              </w:rPr>
            </w:pPr>
            <w:r>
              <w:rPr>
                <w:spacing w:val="-1"/>
                <w:sz w:val="21"/>
                <w:szCs w:val="21"/>
              </w:rPr>
              <w:t>技术负责 人职称</w:t>
            </w:r>
          </w:p>
        </w:tc>
        <w:tc>
          <w:tcPr>
            <w:tcW w:w="794" w:type="dxa"/>
            <w:vAlign w:val="top"/>
          </w:tcPr>
          <w:p w14:paraId="272CF952">
            <w:pPr>
              <w:pStyle w:val="6"/>
              <w:spacing w:before="284" w:line="239" w:lineRule="auto"/>
              <w:ind w:left="127"/>
              <w:rPr>
                <w:sz w:val="21"/>
                <w:szCs w:val="21"/>
              </w:rPr>
            </w:pPr>
            <w:r>
              <w:rPr>
                <w:spacing w:val="-6"/>
                <w:sz w:val="21"/>
                <w:szCs w:val="21"/>
              </w:rPr>
              <w:t>1.0</w:t>
            </w:r>
          </w:p>
        </w:tc>
        <w:tc>
          <w:tcPr>
            <w:tcW w:w="4340" w:type="dxa"/>
            <w:vAlign w:val="top"/>
          </w:tcPr>
          <w:p w14:paraId="48018BE2">
            <w:pPr>
              <w:pStyle w:val="6"/>
              <w:spacing w:before="133" w:line="280" w:lineRule="auto"/>
              <w:ind w:left="113" w:right="329"/>
              <w:rPr>
                <w:sz w:val="21"/>
                <w:szCs w:val="21"/>
              </w:rPr>
            </w:pPr>
            <w:r>
              <w:rPr>
                <w:spacing w:val="-1"/>
                <w:sz w:val="21"/>
                <w:szCs w:val="21"/>
              </w:rPr>
              <w:t>相关专业初级职称（助理工程师） 0.8 分</w:t>
            </w:r>
            <w:r>
              <w:rPr>
                <w:spacing w:val="-5"/>
                <w:sz w:val="21"/>
                <w:szCs w:val="21"/>
              </w:rPr>
              <w:t>其他</w:t>
            </w:r>
            <w:r>
              <w:rPr>
                <w:spacing w:val="10"/>
                <w:sz w:val="21"/>
                <w:szCs w:val="21"/>
              </w:rPr>
              <w:t xml:space="preserve"> </w:t>
            </w:r>
            <w:r>
              <w:rPr>
                <w:spacing w:val="-5"/>
                <w:sz w:val="21"/>
                <w:szCs w:val="21"/>
              </w:rPr>
              <w:t>0</w:t>
            </w:r>
            <w:r>
              <w:rPr>
                <w:spacing w:val="11"/>
                <w:sz w:val="21"/>
                <w:szCs w:val="21"/>
              </w:rPr>
              <w:t xml:space="preserve"> </w:t>
            </w:r>
            <w:r>
              <w:rPr>
                <w:spacing w:val="-5"/>
                <w:sz w:val="21"/>
                <w:szCs w:val="21"/>
              </w:rPr>
              <w:t>分</w:t>
            </w:r>
          </w:p>
        </w:tc>
      </w:tr>
      <w:tr w14:paraId="7F209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712" w:type="dxa"/>
            <w:vMerge w:val="continue"/>
            <w:tcBorders>
              <w:top w:val="nil"/>
              <w:bottom w:val="nil"/>
            </w:tcBorders>
            <w:vAlign w:val="top"/>
          </w:tcPr>
          <w:p w14:paraId="74B65508">
            <w:pPr>
              <w:rPr>
                <w:rFonts w:ascii="Arial"/>
                <w:sz w:val="21"/>
              </w:rPr>
            </w:pPr>
          </w:p>
        </w:tc>
        <w:tc>
          <w:tcPr>
            <w:tcW w:w="720" w:type="dxa"/>
            <w:vMerge w:val="continue"/>
            <w:tcBorders>
              <w:top w:val="nil"/>
              <w:bottom w:val="nil"/>
            </w:tcBorders>
            <w:vAlign w:val="top"/>
          </w:tcPr>
          <w:p w14:paraId="5CFDC356">
            <w:pPr>
              <w:rPr>
                <w:rFonts w:ascii="Arial"/>
                <w:sz w:val="21"/>
              </w:rPr>
            </w:pPr>
          </w:p>
        </w:tc>
        <w:tc>
          <w:tcPr>
            <w:tcW w:w="1964" w:type="dxa"/>
            <w:vAlign w:val="top"/>
          </w:tcPr>
          <w:p w14:paraId="43E78514">
            <w:pPr>
              <w:spacing w:line="371" w:lineRule="auto"/>
              <w:rPr>
                <w:rFonts w:ascii="Arial"/>
                <w:sz w:val="21"/>
              </w:rPr>
            </w:pPr>
          </w:p>
          <w:p w14:paraId="2D3C5DD6">
            <w:pPr>
              <w:pStyle w:val="6"/>
              <w:spacing w:before="69" w:line="280" w:lineRule="auto"/>
              <w:ind w:left="107" w:right="165" w:firstLine="1"/>
              <w:rPr>
                <w:sz w:val="21"/>
                <w:szCs w:val="21"/>
              </w:rPr>
            </w:pPr>
            <w:r>
              <w:rPr>
                <w:spacing w:val="-1"/>
                <w:sz w:val="21"/>
                <w:szCs w:val="21"/>
              </w:rPr>
              <w:t>技术负责人从事专业工作年限</w:t>
            </w:r>
          </w:p>
        </w:tc>
        <w:tc>
          <w:tcPr>
            <w:tcW w:w="794" w:type="dxa"/>
            <w:vAlign w:val="top"/>
          </w:tcPr>
          <w:p w14:paraId="066C54A8">
            <w:pPr>
              <w:spacing w:line="261" w:lineRule="auto"/>
              <w:rPr>
                <w:rFonts w:ascii="Arial"/>
                <w:sz w:val="21"/>
              </w:rPr>
            </w:pPr>
          </w:p>
          <w:p w14:paraId="48BCE939">
            <w:pPr>
              <w:spacing w:line="261" w:lineRule="auto"/>
              <w:rPr>
                <w:rFonts w:ascii="Arial"/>
                <w:sz w:val="21"/>
              </w:rPr>
            </w:pPr>
          </w:p>
          <w:p w14:paraId="2583E3AA">
            <w:pPr>
              <w:pStyle w:val="6"/>
              <w:spacing w:before="68" w:line="239" w:lineRule="auto"/>
              <w:ind w:left="127"/>
              <w:rPr>
                <w:sz w:val="21"/>
                <w:szCs w:val="21"/>
              </w:rPr>
            </w:pPr>
            <w:r>
              <w:rPr>
                <w:spacing w:val="-6"/>
                <w:sz w:val="21"/>
                <w:szCs w:val="21"/>
              </w:rPr>
              <w:t>1.0</w:t>
            </w:r>
          </w:p>
        </w:tc>
        <w:tc>
          <w:tcPr>
            <w:tcW w:w="4340" w:type="dxa"/>
            <w:vAlign w:val="top"/>
          </w:tcPr>
          <w:p w14:paraId="53500373">
            <w:pPr>
              <w:pStyle w:val="6"/>
              <w:spacing w:before="127" w:line="220" w:lineRule="auto"/>
              <w:ind w:left="129"/>
              <w:rPr>
                <w:sz w:val="21"/>
                <w:szCs w:val="21"/>
              </w:rPr>
            </w:pPr>
            <w:r>
              <w:rPr>
                <w:spacing w:val="-7"/>
                <w:sz w:val="21"/>
                <w:szCs w:val="21"/>
              </w:rPr>
              <w:t>10</w:t>
            </w:r>
            <w:r>
              <w:rPr>
                <w:spacing w:val="9"/>
                <w:sz w:val="21"/>
                <w:szCs w:val="21"/>
              </w:rPr>
              <w:t xml:space="preserve"> </w:t>
            </w:r>
            <w:r>
              <w:rPr>
                <w:spacing w:val="-7"/>
                <w:sz w:val="21"/>
                <w:szCs w:val="21"/>
              </w:rPr>
              <w:t>年及以上</w:t>
            </w:r>
            <w:r>
              <w:rPr>
                <w:spacing w:val="24"/>
                <w:sz w:val="21"/>
                <w:szCs w:val="21"/>
              </w:rPr>
              <w:t xml:space="preserve"> </w:t>
            </w:r>
            <w:r>
              <w:rPr>
                <w:spacing w:val="-7"/>
                <w:sz w:val="21"/>
                <w:szCs w:val="21"/>
              </w:rPr>
              <w:t>1</w:t>
            </w:r>
            <w:r>
              <w:rPr>
                <w:spacing w:val="10"/>
                <w:sz w:val="21"/>
                <w:szCs w:val="21"/>
              </w:rPr>
              <w:t xml:space="preserve"> </w:t>
            </w:r>
            <w:r>
              <w:rPr>
                <w:spacing w:val="-7"/>
                <w:sz w:val="21"/>
                <w:szCs w:val="21"/>
              </w:rPr>
              <w:t>分</w:t>
            </w:r>
          </w:p>
          <w:p w14:paraId="3718FFE4">
            <w:pPr>
              <w:pStyle w:val="6"/>
              <w:spacing w:before="64" w:line="220" w:lineRule="auto"/>
              <w:ind w:left="117"/>
              <w:rPr>
                <w:sz w:val="21"/>
                <w:szCs w:val="21"/>
              </w:rPr>
            </w:pPr>
            <w:r>
              <w:rPr>
                <w:spacing w:val="-4"/>
                <w:sz w:val="21"/>
                <w:szCs w:val="21"/>
              </w:rPr>
              <w:t>5</w:t>
            </w:r>
            <w:r>
              <w:rPr>
                <w:spacing w:val="17"/>
                <w:sz w:val="21"/>
                <w:szCs w:val="21"/>
              </w:rPr>
              <w:t xml:space="preserve"> </w:t>
            </w:r>
            <w:r>
              <w:rPr>
                <w:spacing w:val="-4"/>
                <w:sz w:val="21"/>
                <w:szCs w:val="21"/>
              </w:rPr>
              <w:t>年-9 年</w:t>
            </w:r>
            <w:r>
              <w:rPr>
                <w:spacing w:val="11"/>
                <w:sz w:val="21"/>
                <w:szCs w:val="21"/>
              </w:rPr>
              <w:t xml:space="preserve"> </w:t>
            </w:r>
            <w:r>
              <w:rPr>
                <w:spacing w:val="-4"/>
                <w:sz w:val="21"/>
                <w:szCs w:val="21"/>
              </w:rPr>
              <w:t>0.8</w:t>
            </w:r>
            <w:r>
              <w:rPr>
                <w:spacing w:val="11"/>
                <w:sz w:val="21"/>
                <w:szCs w:val="21"/>
              </w:rPr>
              <w:t xml:space="preserve"> </w:t>
            </w:r>
            <w:r>
              <w:rPr>
                <w:spacing w:val="-4"/>
                <w:sz w:val="21"/>
                <w:szCs w:val="21"/>
              </w:rPr>
              <w:t>分</w:t>
            </w:r>
          </w:p>
          <w:p w14:paraId="1B289EC1">
            <w:pPr>
              <w:pStyle w:val="6"/>
              <w:spacing w:before="65" w:line="220" w:lineRule="auto"/>
              <w:ind w:left="112"/>
              <w:rPr>
                <w:sz w:val="21"/>
                <w:szCs w:val="21"/>
              </w:rPr>
            </w:pPr>
            <w:r>
              <w:rPr>
                <w:spacing w:val="-3"/>
                <w:sz w:val="21"/>
                <w:szCs w:val="21"/>
              </w:rPr>
              <w:t>4</w:t>
            </w:r>
            <w:r>
              <w:rPr>
                <w:spacing w:val="12"/>
                <w:sz w:val="21"/>
                <w:szCs w:val="21"/>
              </w:rPr>
              <w:t xml:space="preserve"> </w:t>
            </w:r>
            <w:r>
              <w:rPr>
                <w:spacing w:val="-3"/>
                <w:sz w:val="21"/>
                <w:szCs w:val="21"/>
              </w:rPr>
              <w:t>年-2 年</w:t>
            </w:r>
            <w:r>
              <w:rPr>
                <w:spacing w:val="11"/>
                <w:sz w:val="21"/>
                <w:szCs w:val="21"/>
              </w:rPr>
              <w:t xml:space="preserve"> </w:t>
            </w:r>
            <w:r>
              <w:rPr>
                <w:spacing w:val="-3"/>
                <w:sz w:val="21"/>
                <w:szCs w:val="21"/>
              </w:rPr>
              <w:t>0.6</w:t>
            </w:r>
            <w:r>
              <w:rPr>
                <w:spacing w:val="11"/>
                <w:sz w:val="21"/>
                <w:szCs w:val="21"/>
              </w:rPr>
              <w:t xml:space="preserve"> </w:t>
            </w:r>
            <w:r>
              <w:rPr>
                <w:spacing w:val="-3"/>
                <w:sz w:val="21"/>
                <w:szCs w:val="21"/>
              </w:rPr>
              <w:t>分</w:t>
            </w:r>
          </w:p>
          <w:p w14:paraId="4382643E">
            <w:pPr>
              <w:pStyle w:val="6"/>
              <w:spacing w:before="64" w:line="220" w:lineRule="auto"/>
              <w:ind w:left="117"/>
              <w:rPr>
                <w:sz w:val="21"/>
                <w:szCs w:val="21"/>
              </w:rPr>
            </w:pPr>
            <w:r>
              <w:rPr>
                <w:spacing w:val="-7"/>
                <w:sz w:val="21"/>
                <w:szCs w:val="21"/>
              </w:rPr>
              <w:t>不足</w:t>
            </w:r>
            <w:r>
              <w:rPr>
                <w:spacing w:val="11"/>
                <w:sz w:val="21"/>
                <w:szCs w:val="21"/>
              </w:rPr>
              <w:t xml:space="preserve"> </w:t>
            </w:r>
            <w:r>
              <w:rPr>
                <w:spacing w:val="-7"/>
                <w:sz w:val="21"/>
                <w:szCs w:val="21"/>
              </w:rPr>
              <w:t>2</w:t>
            </w:r>
            <w:r>
              <w:rPr>
                <w:spacing w:val="9"/>
                <w:sz w:val="21"/>
                <w:szCs w:val="21"/>
              </w:rPr>
              <w:t xml:space="preserve"> </w:t>
            </w:r>
            <w:r>
              <w:rPr>
                <w:spacing w:val="-7"/>
                <w:sz w:val="21"/>
                <w:szCs w:val="21"/>
              </w:rPr>
              <w:t>年</w:t>
            </w:r>
            <w:r>
              <w:rPr>
                <w:spacing w:val="10"/>
                <w:sz w:val="21"/>
                <w:szCs w:val="21"/>
              </w:rPr>
              <w:t xml:space="preserve"> </w:t>
            </w:r>
            <w:r>
              <w:rPr>
                <w:spacing w:val="-7"/>
                <w:sz w:val="21"/>
                <w:szCs w:val="21"/>
              </w:rPr>
              <w:t>0</w:t>
            </w:r>
            <w:r>
              <w:rPr>
                <w:spacing w:val="11"/>
                <w:sz w:val="21"/>
                <w:szCs w:val="21"/>
              </w:rPr>
              <w:t xml:space="preserve"> </w:t>
            </w:r>
            <w:r>
              <w:rPr>
                <w:spacing w:val="-7"/>
                <w:sz w:val="21"/>
                <w:szCs w:val="21"/>
              </w:rPr>
              <w:t>分</w:t>
            </w:r>
          </w:p>
        </w:tc>
      </w:tr>
      <w:tr w14:paraId="105DA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4" w:hRule="atLeast"/>
        </w:trPr>
        <w:tc>
          <w:tcPr>
            <w:tcW w:w="712" w:type="dxa"/>
            <w:vMerge w:val="continue"/>
            <w:tcBorders>
              <w:top w:val="nil"/>
            </w:tcBorders>
            <w:vAlign w:val="top"/>
          </w:tcPr>
          <w:p w14:paraId="663086BA">
            <w:pPr>
              <w:rPr>
                <w:rFonts w:ascii="Arial"/>
                <w:sz w:val="21"/>
              </w:rPr>
            </w:pPr>
          </w:p>
        </w:tc>
        <w:tc>
          <w:tcPr>
            <w:tcW w:w="720" w:type="dxa"/>
            <w:vMerge w:val="continue"/>
            <w:tcBorders>
              <w:top w:val="nil"/>
            </w:tcBorders>
            <w:vAlign w:val="top"/>
          </w:tcPr>
          <w:p w14:paraId="255F2D52">
            <w:pPr>
              <w:rPr>
                <w:rFonts w:ascii="Arial"/>
                <w:sz w:val="21"/>
              </w:rPr>
            </w:pPr>
          </w:p>
        </w:tc>
        <w:tc>
          <w:tcPr>
            <w:tcW w:w="1964" w:type="dxa"/>
            <w:vAlign w:val="top"/>
          </w:tcPr>
          <w:p w14:paraId="77911A8A">
            <w:pPr>
              <w:spacing w:line="375" w:lineRule="auto"/>
              <w:rPr>
                <w:rFonts w:ascii="Arial"/>
                <w:sz w:val="21"/>
              </w:rPr>
            </w:pPr>
          </w:p>
          <w:p w14:paraId="66A4F824">
            <w:pPr>
              <w:pStyle w:val="6"/>
              <w:spacing w:before="68" w:line="220" w:lineRule="auto"/>
              <w:ind w:left="109"/>
              <w:rPr>
                <w:sz w:val="21"/>
                <w:szCs w:val="21"/>
              </w:rPr>
            </w:pPr>
            <w:r>
              <w:rPr>
                <w:spacing w:val="-1"/>
                <w:sz w:val="21"/>
                <w:szCs w:val="21"/>
              </w:rPr>
              <w:t>其他主要人员</w:t>
            </w:r>
          </w:p>
        </w:tc>
        <w:tc>
          <w:tcPr>
            <w:tcW w:w="794" w:type="dxa"/>
            <w:vAlign w:val="top"/>
          </w:tcPr>
          <w:p w14:paraId="1B4C6EA3">
            <w:pPr>
              <w:spacing w:line="375" w:lineRule="auto"/>
              <w:rPr>
                <w:rFonts w:ascii="Arial"/>
                <w:sz w:val="21"/>
              </w:rPr>
            </w:pPr>
          </w:p>
          <w:p w14:paraId="3D9E4F38">
            <w:pPr>
              <w:pStyle w:val="6"/>
              <w:spacing w:before="68" w:line="239" w:lineRule="auto"/>
              <w:ind w:left="114"/>
              <w:rPr>
                <w:sz w:val="21"/>
                <w:szCs w:val="21"/>
              </w:rPr>
            </w:pPr>
            <w:r>
              <w:rPr>
                <w:spacing w:val="-3"/>
                <w:sz w:val="21"/>
                <w:szCs w:val="21"/>
              </w:rPr>
              <w:t>2.0</w:t>
            </w:r>
          </w:p>
        </w:tc>
        <w:tc>
          <w:tcPr>
            <w:tcW w:w="4340" w:type="dxa"/>
            <w:vAlign w:val="top"/>
          </w:tcPr>
          <w:p w14:paraId="4DE44171">
            <w:pPr>
              <w:pStyle w:val="6"/>
              <w:spacing w:before="129" w:line="220" w:lineRule="auto"/>
              <w:ind w:left="115"/>
              <w:rPr>
                <w:sz w:val="21"/>
                <w:szCs w:val="21"/>
              </w:rPr>
            </w:pPr>
            <w:r>
              <w:rPr>
                <w:sz w:val="21"/>
                <w:szCs w:val="21"/>
              </w:rPr>
              <w:t>人员配备合理，满足需要 2 分</w:t>
            </w:r>
          </w:p>
          <w:p w14:paraId="044B772C">
            <w:pPr>
              <w:pStyle w:val="6"/>
              <w:spacing w:before="66" w:line="279" w:lineRule="auto"/>
              <w:ind w:left="115" w:right="434"/>
              <w:rPr>
                <w:sz w:val="21"/>
                <w:szCs w:val="21"/>
              </w:rPr>
            </w:pPr>
            <w:r>
              <w:rPr>
                <w:spacing w:val="-1"/>
                <w:sz w:val="21"/>
                <w:szCs w:val="21"/>
              </w:rPr>
              <w:t>人员配备基本合理,基本满足需要 1.6</w:t>
            </w:r>
            <w:r>
              <w:rPr>
                <w:spacing w:val="14"/>
                <w:sz w:val="21"/>
                <w:szCs w:val="21"/>
              </w:rPr>
              <w:t xml:space="preserve"> </w:t>
            </w:r>
            <w:r>
              <w:rPr>
                <w:spacing w:val="-1"/>
                <w:sz w:val="21"/>
                <w:szCs w:val="21"/>
              </w:rPr>
              <w:t>分人员配备不合理 0</w:t>
            </w:r>
            <w:r>
              <w:rPr>
                <w:spacing w:val="12"/>
                <w:sz w:val="21"/>
                <w:szCs w:val="21"/>
              </w:rPr>
              <w:t xml:space="preserve"> </w:t>
            </w:r>
            <w:r>
              <w:rPr>
                <w:spacing w:val="-1"/>
                <w:sz w:val="21"/>
                <w:szCs w:val="21"/>
              </w:rPr>
              <w:t>分</w:t>
            </w:r>
          </w:p>
        </w:tc>
      </w:tr>
      <w:tr w14:paraId="0D877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68" w:hRule="atLeast"/>
        </w:trPr>
        <w:tc>
          <w:tcPr>
            <w:tcW w:w="712" w:type="dxa"/>
            <w:vMerge w:val="restart"/>
            <w:tcBorders>
              <w:bottom w:val="nil"/>
            </w:tcBorders>
            <w:vAlign w:val="top"/>
          </w:tcPr>
          <w:p w14:paraId="4AA39645">
            <w:pPr>
              <w:spacing w:line="249" w:lineRule="auto"/>
              <w:rPr>
                <w:rFonts w:ascii="Arial"/>
                <w:sz w:val="21"/>
              </w:rPr>
            </w:pPr>
          </w:p>
          <w:p w14:paraId="5EB2A5C6">
            <w:pPr>
              <w:spacing w:line="249" w:lineRule="auto"/>
              <w:rPr>
                <w:rFonts w:ascii="Arial"/>
                <w:sz w:val="21"/>
              </w:rPr>
            </w:pPr>
          </w:p>
          <w:p w14:paraId="3C31203E">
            <w:pPr>
              <w:spacing w:line="249" w:lineRule="auto"/>
              <w:rPr>
                <w:rFonts w:ascii="Arial"/>
                <w:sz w:val="21"/>
              </w:rPr>
            </w:pPr>
          </w:p>
          <w:p w14:paraId="50A31A98">
            <w:pPr>
              <w:spacing w:line="249" w:lineRule="auto"/>
              <w:rPr>
                <w:rFonts w:ascii="Arial"/>
                <w:sz w:val="21"/>
              </w:rPr>
            </w:pPr>
          </w:p>
          <w:p w14:paraId="346F2FFE">
            <w:pPr>
              <w:spacing w:line="250" w:lineRule="auto"/>
              <w:rPr>
                <w:rFonts w:ascii="Arial"/>
                <w:sz w:val="21"/>
              </w:rPr>
            </w:pPr>
          </w:p>
          <w:p w14:paraId="154E9F02">
            <w:pPr>
              <w:spacing w:line="250" w:lineRule="auto"/>
              <w:rPr>
                <w:rFonts w:ascii="Arial"/>
                <w:sz w:val="21"/>
              </w:rPr>
            </w:pPr>
          </w:p>
          <w:p w14:paraId="407775C8">
            <w:pPr>
              <w:spacing w:line="250" w:lineRule="auto"/>
              <w:rPr>
                <w:rFonts w:ascii="Arial"/>
                <w:sz w:val="21"/>
              </w:rPr>
            </w:pPr>
          </w:p>
          <w:p w14:paraId="23E476B9">
            <w:pPr>
              <w:spacing w:line="250" w:lineRule="auto"/>
              <w:rPr>
                <w:rFonts w:ascii="Arial"/>
                <w:sz w:val="21"/>
              </w:rPr>
            </w:pPr>
          </w:p>
          <w:p w14:paraId="1F5CE252">
            <w:pPr>
              <w:spacing w:line="250" w:lineRule="auto"/>
              <w:rPr>
                <w:rFonts w:ascii="Arial"/>
                <w:sz w:val="21"/>
              </w:rPr>
            </w:pPr>
          </w:p>
          <w:p w14:paraId="5B251EB1">
            <w:pPr>
              <w:spacing w:line="250" w:lineRule="auto"/>
              <w:rPr>
                <w:rFonts w:ascii="Arial"/>
                <w:sz w:val="21"/>
              </w:rPr>
            </w:pPr>
          </w:p>
          <w:p w14:paraId="3A2C0F5D">
            <w:pPr>
              <w:pStyle w:val="6"/>
              <w:spacing w:before="68" w:line="239" w:lineRule="auto"/>
              <w:ind w:left="146"/>
              <w:rPr>
                <w:sz w:val="21"/>
                <w:szCs w:val="21"/>
              </w:rPr>
            </w:pPr>
            <w:r>
              <w:rPr>
                <w:spacing w:val="-3"/>
                <w:sz w:val="21"/>
                <w:szCs w:val="21"/>
              </w:rPr>
              <w:t>2.2.</w:t>
            </w:r>
          </w:p>
          <w:p w14:paraId="31117B74">
            <w:pPr>
              <w:pStyle w:val="6"/>
              <w:spacing w:before="43" w:line="222" w:lineRule="auto"/>
              <w:ind w:left="142"/>
              <w:rPr>
                <w:sz w:val="21"/>
                <w:szCs w:val="21"/>
              </w:rPr>
            </w:pPr>
            <w:r>
              <w:rPr>
                <w:spacing w:val="-2"/>
                <w:sz w:val="21"/>
                <w:szCs w:val="21"/>
              </w:rPr>
              <w:t>4(4)</w:t>
            </w:r>
          </w:p>
        </w:tc>
        <w:tc>
          <w:tcPr>
            <w:tcW w:w="720" w:type="dxa"/>
            <w:vMerge w:val="restart"/>
            <w:tcBorders>
              <w:bottom w:val="nil"/>
            </w:tcBorders>
            <w:vAlign w:val="top"/>
          </w:tcPr>
          <w:p w14:paraId="22967A60">
            <w:pPr>
              <w:spacing w:line="242" w:lineRule="auto"/>
              <w:rPr>
                <w:rFonts w:ascii="Arial"/>
                <w:sz w:val="21"/>
              </w:rPr>
            </w:pPr>
          </w:p>
          <w:p w14:paraId="0F564A08">
            <w:pPr>
              <w:spacing w:line="242" w:lineRule="auto"/>
              <w:rPr>
                <w:rFonts w:ascii="Arial"/>
                <w:sz w:val="21"/>
              </w:rPr>
            </w:pPr>
          </w:p>
          <w:p w14:paraId="3A6C56C7">
            <w:pPr>
              <w:spacing w:line="242" w:lineRule="auto"/>
              <w:rPr>
                <w:rFonts w:ascii="Arial"/>
                <w:sz w:val="21"/>
              </w:rPr>
            </w:pPr>
          </w:p>
          <w:p w14:paraId="079C7AC4">
            <w:pPr>
              <w:spacing w:line="243" w:lineRule="auto"/>
              <w:rPr>
                <w:rFonts w:ascii="Arial"/>
                <w:sz w:val="21"/>
              </w:rPr>
            </w:pPr>
          </w:p>
          <w:p w14:paraId="7609F103">
            <w:pPr>
              <w:spacing w:line="243" w:lineRule="auto"/>
              <w:rPr>
                <w:rFonts w:ascii="Arial"/>
                <w:sz w:val="21"/>
              </w:rPr>
            </w:pPr>
          </w:p>
          <w:p w14:paraId="529C59B7">
            <w:pPr>
              <w:spacing w:line="243" w:lineRule="auto"/>
              <w:rPr>
                <w:rFonts w:ascii="Arial"/>
                <w:sz w:val="21"/>
              </w:rPr>
            </w:pPr>
          </w:p>
          <w:p w14:paraId="26F4C223">
            <w:pPr>
              <w:spacing w:line="243" w:lineRule="auto"/>
              <w:rPr>
                <w:rFonts w:ascii="Arial"/>
                <w:sz w:val="21"/>
              </w:rPr>
            </w:pPr>
          </w:p>
          <w:p w14:paraId="76E5E30C">
            <w:pPr>
              <w:spacing w:line="243" w:lineRule="auto"/>
              <w:rPr>
                <w:rFonts w:ascii="Arial"/>
                <w:sz w:val="21"/>
              </w:rPr>
            </w:pPr>
          </w:p>
          <w:p w14:paraId="4D534020">
            <w:pPr>
              <w:spacing w:line="243" w:lineRule="auto"/>
              <w:rPr>
                <w:rFonts w:ascii="Arial"/>
                <w:sz w:val="21"/>
              </w:rPr>
            </w:pPr>
          </w:p>
          <w:p w14:paraId="65D8440A">
            <w:pPr>
              <w:pStyle w:val="6"/>
              <w:spacing w:before="68" w:line="278" w:lineRule="auto"/>
              <w:ind w:left="136" w:right="155" w:firstLine="1"/>
              <w:jc w:val="both"/>
              <w:rPr>
                <w:sz w:val="21"/>
                <w:szCs w:val="21"/>
              </w:rPr>
            </w:pPr>
            <w:r>
              <w:rPr>
                <w:spacing w:val="-5"/>
                <w:sz w:val="21"/>
                <w:szCs w:val="21"/>
              </w:rPr>
              <w:t>其他</w:t>
            </w:r>
            <w:r>
              <w:rPr>
                <w:spacing w:val="-4"/>
                <w:sz w:val="21"/>
                <w:szCs w:val="21"/>
              </w:rPr>
              <w:t>因素评分标准</w:t>
            </w:r>
          </w:p>
        </w:tc>
        <w:tc>
          <w:tcPr>
            <w:tcW w:w="1964" w:type="dxa"/>
            <w:vAlign w:val="top"/>
          </w:tcPr>
          <w:p w14:paraId="331BD31A">
            <w:pPr>
              <w:spacing w:line="250" w:lineRule="auto"/>
              <w:rPr>
                <w:rFonts w:ascii="Arial"/>
                <w:sz w:val="21"/>
              </w:rPr>
            </w:pPr>
          </w:p>
          <w:p w14:paraId="68CEB1E9">
            <w:pPr>
              <w:spacing w:line="251" w:lineRule="auto"/>
              <w:rPr>
                <w:rFonts w:ascii="Arial"/>
                <w:sz w:val="21"/>
              </w:rPr>
            </w:pPr>
          </w:p>
          <w:p w14:paraId="453D294C">
            <w:pPr>
              <w:spacing w:line="251" w:lineRule="auto"/>
              <w:rPr>
                <w:rFonts w:ascii="Arial"/>
                <w:sz w:val="21"/>
              </w:rPr>
            </w:pPr>
          </w:p>
          <w:p w14:paraId="6B8318FB">
            <w:pPr>
              <w:spacing w:line="251" w:lineRule="auto"/>
              <w:rPr>
                <w:rFonts w:ascii="Arial"/>
                <w:sz w:val="21"/>
              </w:rPr>
            </w:pPr>
          </w:p>
          <w:p w14:paraId="2B77A31B">
            <w:pPr>
              <w:pStyle w:val="6"/>
              <w:spacing w:before="68" w:line="220" w:lineRule="auto"/>
              <w:ind w:left="108"/>
              <w:rPr>
                <w:sz w:val="21"/>
                <w:szCs w:val="21"/>
              </w:rPr>
            </w:pPr>
            <w:r>
              <w:rPr>
                <w:spacing w:val="-1"/>
                <w:sz w:val="21"/>
                <w:szCs w:val="21"/>
              </w:rPr>
              <w:t>类似项目业绩</w:t>
            </w:r>
          </w:p>
        </w:tc>
        <w:tc>
          <w:tcPr>
            <w:tcW w:w="794" w:type="dxa"/>
            <w:vAlign w:val="top"/>
          </w:tcPr>
          <w:p w14:paraId="703A530D">
            <w:pPr>
              <w:spacing w:line="251" w:lineRule="auto"/>
              <w:rPr>
                <w:rFonts w:ascii="Arial"/>
                <w:sz w:val="21"/>
              </w:rPr>
            </w:pPr>
          </w:p>
          <w:p w14:paraId="7E920056">
            <w:pPr>
              <w:spacing w:line="251" w:lineRule="auto"/>
              <w:rPr>
                <w:rFonts w:ascii="Arial"/>
                <w:sz w:val="21"/>
              </w:rPr>
            </w:pPr>
          </w:p>
          <w:p w14:paraId="63FE1A11">
            <w:pPr>
              <w:spacing w:line="251" w:lineRule="auto"/>
              <w:rPr>
                <w:rFonts w:ascii="Arial"/>
                <w:sz w:val="21"/>
              </w:rPr>
            </w:pPr>
          </w:p>
          <w:p w14:paraId="7202CBE6">
            <w:pPr>
              <w:spacing w:line="251" w:lineRule="auto"/>
              <w:rPr>
                <w:rFonts w:ascii="Arial"/>
                <w:sz w:val="21"/>
              </w:rPr>
            </w:pPr>
          </w:p>
          <w:p w14:paraId="75B539B6">
            <w:pPr>
              <w:pStyle w:val="6"/>
              <w:spacing w:before="68" w:line="239" w:lineRule="auto"/>
              <w:ind w:left="115"/>
              <w:rPr>
                <w:sz w:val="21"/>
                <w:szCs w:val="21"/>
              </w:rPr>
            </w:pPr>
            <w:r>
              <w:rPr>
                <w:spacing w:val="-3"/>
                <w:sz w:val="21"/>
                <w:szCs w:val="21"/>
              </w:rPr>
              <w:t>5.0</w:t>
            </w:r>
          </w:p>
        </w:tc>
        <w:tc>
          <w:tcPr>
            <w:tcW w:w="4340" w:type="dxa"/>
            <w:vAlign w:val="top"/>
          </w:tcPr>
          <w:p w14:paraId="11426947">
            <w:pPr>
              <w:pStyle w:val="6"/>
              <w:spacing w:before="131" w:line="220" w:lineRule="auto"/>
              <w:ind w:left="112"/>
              <w:rPr>
                <w:sz w:val="21"/>
                <w:szCs w:val="21"/>
              </w:rPr>
            </w:pPr>
            <w:r>
              <w:rPr>
                <w:spacing w:val="-4"/>
                <w:sz w:val="21"/>
                <w:szCs w:val="21"/>
              </w:rPr>
              <w:t>近 5</w:t>
            </w:r>
            <w:r>
              <w:rPr>
                <w:spacing w:val="13"/>
                <w:sz w:val="21"/>
                <w:szCs w:val="21"/>
              </w:rPr>
              <w:t xml:space="preserve"> </w:t>
            </w:r>
            <w:r>
              <w:rPr>
                <w:spacing w:val="-4"/>
                <w:sz w:val="21"/>
                <w:szCs w:val="21"/>
              </w:rPr>
              <w:t>年有</w:t>
            </w:r>
            <w:r>
              <w:rPr>
                <w:spacing w:val="24"/>
                <w:sz w:val="21"/>
                <w:szCs w:val="21"/>
              </w:rPr>
              <w:t xml:space="preserve"> </w:t>
            </w:r>
            <w:r>
              <w:rPr>
                <w:spacing w:val="-4"/>
                <w:sz w:val="21"/>
                <w:szCs w:val="21"/>
              </w:rPr>
              <w:t>1</w:t>
            </w:r>
            <w:r>
              <w:rPr>
                <w:spacing w:val="8"/>
                <w:sz w:val="21"/>
                <w:szCs w:val="21"/>
              </w:rPr>
              <w:t xml:space="preserve"> </w:t>
            </w:r>
            <w:r>
              <w:rPr>
                <w:spacing w:val="-4"/>
                <w:sz w:val="21"/>
                <w:szCs w:val="21"/>
              </w:rPr>
              <w:t>个类似项目业绩</w:t>
            </w:r>
            <w:r>
              <w:rPr>
                <w:spacing w:val="10"/>
                <w:sz w:val="21"/>
                <w:szCs w:val="21"/>
              </w:rPr>
              <w:t xml:space="preserve"> </w:t>
            </w:r>
            <w:r>
              <w:rPr>
                <w:spacing w:val="-4"/>
                <w:sz w:val="21"/>
                <w:szCs w:val="21"/>
              </w:rPr>
              <w:t>2</w:t>
            </w:r>
            <w:r>
              <w:rPr>
                <w:spacing w:val="11"/>
                <w:sz w:val="21"/>
                <w:szCs w:val="21"/>
              </w:rPr>
              <w:t xml:space="preserve"> </w:t>
            </w:r>
            <w:r>
              <w:rPr>
                <w:spacing w:val="-4"/>
                <w:sz w:val="21"/>
                <w:szCs w:val="21"/>
              </w:rPr>
              <w:t>分</w:t>
            </w:r>
          </w:p>
          <w:p w14:paraId="62EB40FA">
            <w:pPr>
              <w:pStyle w:val="6"/>
              <w:spacing w:before="65" w:line="220" w:lineRule="auto"/>
              <w:ind w:left="112"/>
              <w:rPr>
                <w:sz w:val="21"/>
                <w:szCs w:val="21"/>
              </w:rPr>
            </w:pPr>
            <w:r>
              <w:rPr>
                <w:spacing w:val="-2"/>
                <w:sz w:val="21"/>
                <w:szCs w:val="21"/>
              </w:rPr>
              <w:t>近 5 年有</w:t>
            </w:r>
            <w:r>
              <w:rPr>
                <w:spacing w:val="11"/>
                <w:sz w:val="21"/>
                <w:szCs w:val="21"/>
              </w:rPr>
              <w:t xml:space="preserve"> </w:t>
            </w:r>
            <w:r>
              <w:rPr>
                <w:spacing w:val="-2"/>
                <w:sz w:val="21"/>
                <w:szCs w:val="21"/>
              </w:rPr>
              <w:t>2</w:t>
            </w:r>
            <w:r>
              <w:rPr>
                <w:spacing w:val="9"/>
                <w:sz w:val="21"/>
                <w:szCs w:val="21"/>
              </w:rPr>
              <w:t xml:space="preserve"> </w:t>
            </w:r>
            <w:r>
              <w:rPr>
                <w:spacing w:val="-2"/>
                <w:sz w:val="21"/>
                <w:szCs w:val="21"/>
              </w:rPr>
              <w:t>个类似项目业绩</w:t>
            </w:r>
            <w:r>
              <w:rPr>
                <w:spacing w:val="11"/>
                <w:sz w:val="21"/>
                <w:szCs w:val="21"/>
              </w:rPr>
              <w:t xml:space="preserve"> </w:t>
            </w:r>
            <w:r>
              <w:rPr>
                <w:spacing w:val="-2"/>
                <w:sz w:val="21"/>
                <w:szCs w:val="21"/>
              </w:rPr>
              <w:t>3.5</w:t>
            </w:r>
            <w:r>
              <w:rPr>
                <w:spacing w:val="11"/>
                <w:sz w:val="21"/>
                <w:szCs w:val="21"/>
              </w:rPr>
              <w:t xml:space="preserve"> </w:t>
            </w:r>
            <w:r>
              <w:rPr>
                <w:spacing w:val="-2"/>
                <w:sz w:val="21"/>
                <w:szCs w:val="21"/>
              </w:rPr>
              <w:t>分</w:t>
            </w:r>
          </w:p>
          <w:p w14:paraId="45D44A69">
            <w:pPr>
              <w:pStyle w:val="6"/>
              <w:spacing w:before="64" w:line="220" w:lineRule="auto"/>
              <w:ind w:left="112"/>
              <w:rPr>
                <w:sz w:val="21"/>
                <w:szCs w:val="21"/>
              </w:rPr>
            </w:pPr>
            <w:r>
              <w:rPr>
                <w:spacing w:val="-4"/>
                <w:sz w:val="21"/>
                <w:szCs w:val="21"/>
              </w:rPr>
              <w:t>近 5</w:t>
            </w:r>
            <w:r>
              <w:rPr>
                <w:spacing w:val="23"/>
                <w:sz w:val="21"/>
                <w:szCs w:val="21"/>
              </w:rPr>
              <w:t xml:space="preserve"> </w:t>
            </w:r>
            <w:r>
              <w:rPr>
                <w:spacing w:val="-4"/>
                <w:sz w:val="21"/>
                <w:szCs w:val="21"/>
              </w:rPr>
              <w:t>年有</w:t>
            </w:r>
            <w:r>
              <w:rPr>
                <w:spacing w:val="12"/>
                <w:sz w:val="21"/>
                <w:szCs w:val="21"/>
              </w:rPr>
              <w:t xml:space="preserve"> </w:t>
            </w:r>
            <w:r>
              <w:rPr>
                <w:spacing w:val="-4"/>
                <w:sz w:val="21"/>
                <w:szCs w:val="21"/>
              </w:rPr>
              <w:t>3</w:t>
            </w:r>
            <w:r>
              <w:rPr>
                <w:spacing w:val="9"/>
                <w:sz w:val="21"/>
                <w:szCs w:val="21"/>
              </w:rPr>
              <w:t xml:space="preserve"> </w:t>
            </w:r>
            <w:r>
              <w:rPr>
                <w:spacing w:val="-4"/>
                <w:sz w:val="21"/>
                <w:szCs w:val="21"/>
              </w:rPr>
              <w:t>个类似项目业绩</w:t>
            </w:r>
            <w:r>
              <w:rPr>
                <w:spacing w:val="11"/>
                <w:sz w:val="21"/>
                <w:szCs w:val="21"/>
              </w:rPr>
              <w:t xml:space="preserve"> </w:t>
            </w:r>
            <w:r>
              <w:rPr>
                <w:spacing w:val="-4"/>
                <w:sz w:val="21"/>
                <w:szCs w:val="21"/>
              </w:rPr>
              <w:t>5</w:t>
            </w:r>
            <w:r>
              <w:rPr>
                <w:spacing w:val="11"/>
                <w:sz w:val="21"/>
                <w:szCs w:val="21"/>
              </w:rPr>
              <w:t xml:space="preserve"> </w:t>
            </w:r>
            <w:r>
              <w:rPr>
                <w:spacing w:val="-4"/>
                <w:sz w:val="21"/>
                <w:szCs w:val="21"/>
              </w:rPr>
              <w:t>分</w:t>
            </w:r>
          </w:p>
          <w:p w14:paraId="2665C7D6">
            <w:pPr>
              <w:pStyle w:val="6"/>
              <w:spacing w:before="67" w:line="273" w:lineRule="auto"/>
              <w:ind w:left="112" w:right="72"/>
              <w:rPr>
                <w:sz w:val="21"/>
                <w:szCs w:val="21"/>
              </w:rPr>
            </w:pPr>
            <w:r>
              <w:rPr>
                <w:spacing w:val="-5"/>
                <w:sz w:val="21"/>
                <w:szCs w:val="21"/>
              </w:rPr>
              <w:t>评审依据：中标通知书、合同协议书、工程接</w:t>
            </w:r>
            <w:r>
              <w:rPr>
                <w:sz w:val="21"/>
                <w:szCs w:val="21"/>
              </w:rPr>
              <w:t>收证书或工程竣工验收证书或工程竣工验收</w:t>
            </w:r>
            <w:r>
              <w:rPr>
                <w:spacing w:val="-3"/>
                <w:sz w:val="21"/>
                <w:szCs w:val="21"/>
              </w:rPr>
              <w:t>报告扫描件。时间以工程接收证书或工程竣工</w:t>
            </w:r>
            <w:r>
              <w:rPr>
                <w:spacing w:val="-2"/>
                <w:sz w:val="21"/>
                <w:szCs w:val="21"/>
              </w:rPr>
              <w:t>验收证书或工程竣工验收报告上时间为准。</w:t>
            </w:r>
          </w:p>
        </w:tc>
      </w:tr>
      <w:tr w14:paraId="65B97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5" w:hRule="atLeast"/>
        </w:trPr>
        <w:tc>
          <w:tcPr>
            <w:tcW w:w="712" w:type="dxa"/>
            <w:vMerge w:val="continue"/>
            <w:tcBorders>
              <w:top w:val="nil"/>
            </w:tcBorders>
            <w:vAlign w:val="top"/>
          </w:tcPr>
          <w:p w14:paraId="0A6FB027">
            <w:pPr>
              <w:rPr>
                <w:rFonts w:ascii="Arial"/>
                <w:sz w:val="21"/>
              </w:rPr>
            </w:pPr>
          </w:p>
        </w:tc>
        <w:tc>
          <w:tcPr>
            <w:tcW w:w="720" w:type="dxa"/>
            <w:vMerge w:val="continue"/>
            <w:tcBorders>
              <w:top w:val="nil"/>
            </w:tcBorders>
            <w:vAlign w:val="top"/>
          </w:tcPr>
          <w:p w14:paraId="4CE742DD">
            <w:pPr>
              <w:rPr>
                <w:rFonts w:ascii="Arial"/>
                <w:sz w:val="21"/>
              </w:rPr>
            </w:pPr>
          </w:p>
        </w:tc>
        <w:tc>
          <w:tcPr>
            <w:tcW w:w="1964" w:type="dxa"/>
            <w:vAlign w:val="top"/>
          </w:tcPr>
          <w:p w14:paraId="79AA7324">
            <w:pPr>
              <w:spacing w:line="245" w:lineRule="auto"/>
              <w:rPr>
                <w:rFonts w:ascii="Arial"/>
                <w:sz w:val="21"/>
              </w:rPr>
            </w:pPr>
          </w:p>
          <w:p w14:paraId="6DFCAD0E">
            <w:pPr>
              <w:spacing w:line="245" w:lineRule="auto"/>
              <w:rPr>
                <w:rFonts w:ascii="Arial"/>
                <w:sz w:val="21"/>
              </w:rPr>
            </w:pPr>
          </w:p>
          <w:p w14:paraId="15779D99">
            <w:pPr>
              <w:spacing w:line="245" w:lineRule="auto"/>
              <w:rPr>
                <w:rFonts w:ascii="Arial"/>
                <w:sz w:val="21"/>
              </w:rPr>
            </w:pPr>
          </w:p>
          <w:p w14:paraId="6EF796ED">
            <w:pPr>
              <w:spacing w:line="245" w:lineRule="auto"/>
              <w:rPr>
                <w:rFonts w:ascii="Arial"/>
                <w:sz w:val="21"/>
              </w:rPr>
            </w:pPr>
          </w:p>
          <w:p w14:paraId="5FC1FA72">
            <w:pPr>
              <w:spacing w:line="245" w:lineRule="auto"/>
              <w:rPr>
                <w:rFonts w:ascii="Arial"/>
                <w:sz w:val="21"/>
              </w:rPr>
            </w:pPr>
          </w:p>
          <w:p w14:paraId="68FB15C7">
            <w:pPr>
              <w:spacing w:line="245" w:lineRule="auto"/>
              <w:rPr>
                <w:rFonts w:ascii="Arial"/>
                <w:sz w:val="21"/>
              </w:rPr>
            </w:pPr>
          </w:p>
          <w:p w14:paraId="275A6760">
            <w:pPr>
              <w:pStyle w:val="6"/>
              <w:spacing w:before="68" w:line="221" w:lineRule="auto"/>
              <w:ind w:left="108"/>
              <w:rPr>
                <w:sz w:val="21"/>
                <w:szCs w:val="21"/>
              </w:rPr>
            </w:pPr>
            <w:r>
              <w:rPr>
                <w:spacing w:val="-2"/>
                <w:sz w:val="21"/>
                <w:szCs w:val="21"/>
              </w:rPr>
              <w:t>认证体系</w:t>
            </w:r>
          </w:p>
        </w:tc>
        <w:tc>
          <w:tcPr>
            <w:tcW w:w="794" w:type="dxa"/>
            <w:vAlign w:val="top"/>
          </w:tcPr>
          <w:p w14:paraId="387D74D1">
            <w:pPr>
              <w:spacing w:line="245" w:lineRule="auto"/>
              <w:rPr>
                <w:rFonts w:ascii="Arial"/>
                <w:sz w:val="21"/>
              </w:rPr>
            </w:pPr>
          </w:p>
          <w:p w14:paraId="267F6B44">
            <w:pPr>
              <w:spacing w:line="245" w:lineRule="auto"/>
              <w:rPr>
                <w:rFonts w:ascii="Arial"/>
                <w:sz w:val="21"/>
              </w:rPr>
            </w:pPr>
          </w:p>
          <w:p w14:paraId="063A43DB">
            <w:pPr>
              <w:spacing w:line="245" w:lineRule="auto"/>
              <w:rPr>
                <w:rFonts w:ascii="Arial"/>
                <w:sz w:val="21"/>
              </w:rPr>
            </w:pPr>
          </w:p>
          <w:p w14:paraId="18EB2DF0">
            <w:pPr>
              <w:spacing w:line="245" w:lineRule="auto"/>
              <w:rPr>
                <w:rFonts w:ascii="Arial"/>
                <w:sz w:val="21"/>
              </w:rPr>
            </w:pPr>
          </w:p>
          <w:p w14:paraId="23D3B595">
            <w:pPr>
              <w:spacing w:line="245" w:lineRule="auto"/>
              <w:rPr>
                <w:rFonts w:ascii="Arial"/>
                <w:sz w:val="21"/>
              </w:rPr>
            </w:pPr>
          </w:p>
          <w:p w14:paraId="085D3B9D">
            <w:pPr>
              <w:spacing w:line="245" w:lineRule="auto"/>
              <w:rPr>
                <w:rFonts w:ascii="Arial"/>
                <w:sz w:val="21"/>
              </w:rPr>
            </w:pPr>
          </w:p>
          <w:p w14:paraId="5C6E241D">
            <w:pPr>
              <w:pStyle w:val="6"/>
              <w:spacing w:before="68" w:line="239" w:lineRule="auto"/>
              <w:ind w:left="115"/>
              <w:rPr>
                <w:sz w:val="21"/>
                <w:szCs w:val="21"/>
              </w:rPr>
            </w:pPr>
            <w:r>
              <w:rPr>
                <w:spacing w:val="-3"/>
                <w:sz w:val="21"/>
                <w:szCs w:val="21"/>
              </w:rPr>
              <w:t>3.0</w:t>
            </w:r>
          </w:p>
        </w:tc>
        <w:tc>
          <w:tcPr>
            <w:tcW w:w="4340" w:type="dxa"/>
            <w:vAlign w:val="top"/>
          </w:tcPr>
          <w:p w14:paraId="5E9A4FD9">
            <w:pPr>
              <w:pStyle w:val="6"/>
              <w:spacing w:before="137" w:line="277" w:lineRule="auto"/>
              <w:ind w:left="113" w:right="125" w:firstLine="4"/>
              <w:rPr>
                <w:sz w:val="21"/>
                <w:szCs w:val="21"/>
              </w:rPr>
            </w:pPr>
            <w:r>
              <w:rPr>
                <w:spacing w:val="-1"/>
                <w:sz w:val="21"/>
                <w:szCs w:val="21"/>
              </w:rPr>
              <w:t>具有有效的 ISO9001（GB/T19001）质量管理</w:t>
            </w:r>
            <w:r>
              <w:rPr>
                <w:spacing w:val="-2"/>
                <w:sz w:val="21"/>
                <w:szCs w:val="21"/>
              </w:rPr>
              <w:t>体系认证</w:t>
            </w:r>
          </w:p>
          <w:p w14:paraId="35066149">
            <w:pPr>
              <w:pStyle w:val="6"/>
              <w:spacing w:line="218" w:lineRule="auto"/>
              <w:ind w:left="113"/>
              <w:rPr>
                <w:sz w:val="21"/>
                <w:szCs w:val="21"/>
              </w:rPr>
            </w:pPr>
            <w:r>
              <w:rPr>
                <w:spacing w:val="-7"/>
                <w:sz w:val="21"/>
                <w:szCs w:val="21"/>
              </w:rPr>
              <w:t>证书，1</w:t>
            </w:r>
            <w:r>
              <w:rPr>
                <w:spacing w:val="15"/>
                <w:sz w:val="21"/>
                <w:szCs w:val="21"/>
              </w:rPr>
              <w:t xml:space="preserve"> </w:t>
            </w:r>
            <w:r>
              <w:rPr>
                <w:spacing w:val="-7"/>
                <w:sz w:val="21"/>
                <w:szCs w:val="21"/>
              </w:rPr>
              <w:t>分；</w:t>
            </w:r>
          </w:p>
          <w:p w14:paraId="482235AE">
            <w:pPr>
              <w:pStyle w:val="6"/>
              <w:spacing w:before="65" w:line="271" w:lineRule="auto"/>
              <w:ind w:left="116" w:right="224" w:firstLine="1"/>
              <w:rPr>
                <w:sz w:val="21"/>
                <w:szCs w:val="21"/>
              </w:rPr>
            </w:pPr>
            <w:r>
              <w:rPr>
                <w:spacing w:val="-2"/>
                <w:sz w:val="21"/>
                <w:szCs w:val="21"/>
              </w:rPr>
              <w:t>具有有效的 ISO14001</w:t>
            </w:r>
            <w:r>
              <w:rPr>
                <w:spacing w:val="45"/>
                <w:sz w:val="21"/>
                <w:szCs w:val="21"/>
              </w:rPr>
              <w:t xml:space="preserve"> </w:t>
            </w:r>
            <w:r>
              <w:rPr>
                <w:spacing w:val="-2"/>
                <w:sz w:val="21"/>
                <w:szCs w:val="21"/>
              </w:rPr>
              <w:t>(GB/T</w:t>
            </w:r>
            <w:r>
              <w:rPr>
                <w:spacing w:val="-3"/>
                <w:sz w:val="21"/>
                <w:szCs w:val="21"/>
              </w:rPr>
              <w:t>24001)</w:t>
            </w:r>
            <w:r>
              <w:rPr>
                <w:spacing w:val="12"/>
                <w:sz w:val="21"/>
                <w:szCs w:val="21"/>
              </w:rPr>
              <w:t xml:space="preserve"> </w:t>
            </w:r>
            <w:r>
              <w:rPr>
                <w:spacing w:val="-3"/>
                <w:sz w:val="21"/>
                <w:szCs w:val="21"/>
              </w:rPr>
              <w:t>环境管</w:t>
            </w:r>
            <w:r>
              <w:rPr>
                <w:spacing w:val="-2"/>
                <w:sz w:val="21"/>
                <w:szCs w:val="21"/>
              </w:rPr>
              <w:t>理体系认</w:t>
            </w:r>
          </w:p>
          <w:p w14:paraId="710FB1B1">
            <w:pPr>
              <w:pStyle w:val="6"/>
              <w:spacing w:line="218" w:lineRule="auto"/>
              <w:ind w:left="113"/>
              <w:rPr>
                <w:sz w:val="21"/>
                <w:szCs w:val="21"/>
              </w:rPr>
            </w:pPr>
            <w:r>
              <w:rPr>
                <w:spacing w:val="-6"/>
                <w:sz w:val="21"/>
                <w:szCs w:val="21"/>
              </w:rPr>
              <w:t>证证书，1</w:t>
            </w:r>
            <w:r>
              <w:rPr>
                <w:spacing w:val="15"/>
                <w:sz w:val="21"/>
                <w:szCs w:val="21"/>
              </w:rPr>
              <w:t xml:space="preserve"> </w:t>
            </w:r>
            <w:r>
              <w:rPr>
                <w:spacing w:val="-6"/>
                <w:sz w:val="21"/>
                <w:szCs w:val="21"/>
              </w:rPr>
              <w:t>分；</w:t>
            </w:r>
          </w:p>
          <w:p w14:paraId="6EA8C734">
            <w:pPr>
              <w:pStyle w:val="6"/>
              <w:spacing w:before="67" w:line="220" w:lineRule="auto"/>
              <w:ind w:left="117"/>
              <w:rPr>
                <w:sz w:val="21"/>
                <w:szCs w:val="21"/>
              </w:rPr>
            </w:pPr>
            <w:r>
              <w:rPr>
                <w:spacing w:val="-2"/>
                <w:sz w:val="21"/>
                <w:szCs w:val="21"/>
              </w:rPr>
              <w:t>具有有效的</w:t>
            </w:r>
            <w:r>
              <w:rPr>
                <w:spacing w:val="30"/>
                <w:sz w:val="21"/>
                <w:szCs w:val="21"/>
              </w:rPr>
              <w:t xml:space="preserve"> </w:t>
            </w:r>
            <w:r>
              <w:rPr>
                <w:spacing w:val="-2"/>
                <w:sz w:val="21"/>
                <w:szCs w:val="21"/>
              </w:rPr>
              <w:t>ISO45001 或</w:t>
            </w:r>
          </w:p>
          <w:p w14:paraId="6AEAB6B9">
            <w:pPr>
              <w:pStyle w:val="6"/>
              <w:spacing w:before="65" w:line="222" w:lineRule="auto"/>
              <w:ind w:left="112"/>
              <w:rPr>
                <w:sz w:val="21"/>
                <w:szCs w:val="21"/>
              </w:rPr>
            </w:pPr>
            <w:r>
              <w:rPr>
                <w:spacing w:val="-1"/>
                <w:sz w:val="21"/>
                <w:szCs w:val="21"/>
              </w:rPr>
              <w:t>OHSAS18001(GB/T28001)</w:t>
            </w:r>
          </w:p>
          <w:p w14:paraId="64F867B4">
            <w:pPr>
              <w:pStyle w:val="6"/>
              <w:spacing w:before="62" w:line="279" w:lineRule="auto"/>
              <w:ind w:left="112" w:right="645" w:firstLine="1"/>
              <w:rPr>
                <w:sz w:val="21"/>
                <w:szCs w:val="21"/>
              </w:rPr>
            </w:pPr>
            <w:r>
              <w:rPr>
                <w:spacing w:val="-1"/>
                <w:sz w:val="21"/>
                <w:szCs w:val="21"/>
              </w:rPr>
              <w:t>职业健康安全管理体系认证证书，1 分评审依据：有效的认证证书扫描件</w:t>
            </w:r>
          </w:p>
        </w:tc>
      </w:tr>
    </w:tbl>
    <w:p w14:paraId="6E708D12">
      <w:pPr>
        <w:pStyle w:val="2"/>
        <w:spacing w:line="302" w:lineRule="auto"/>
      </w:pPr>
    </w:p>
    <w:p w14:paraId="4C8AFE6A">
      <w:pPr>
        <w:pStyle w:val="2"/>
        <w:spacing w:line="302" w:lineRule="auto"/>
      </w:pPr>
    </w:p>
    <w:p w14:paraId="66CCB914">
      <w:pPr>
        <w:spacing w:before="68" w:line="270" w:lineRule="auto"/>
        <w:ind w:left="128" w:right="44" w:firstLine="423"/>
        <w:jc w:val="both"/>
        <w:rPr>
          <w:rFonts w:ascii="宋体" w:hAnsi="宋体" w:eastAsia="宋体" w:cs="宋体"/>
          <w:sz w:val="21"/>
          <w:szCs w:val="21"/>
        </w:rPr>
      </w:pPr>
      <w:r>
        <w:rPr>
          <w:rFonts w:ascii="宋体" w:hAnsi="宋体" w:eastAsia="宋体" w:cs="宋体"/>
          <w:spacing w:val="-11"/>
          <w:sz w:val="21"/>
          <w:szCs w:val="21"/>
        </w:rPr>
        <w:t>备注：根据《关于建立部分专业技术类职业资格与职称对应关系的通知（鄂人社发〔</w:t>
      </w:r>
      <w:r>
        <w:rPr>
          <w:rFonts w:ascii="Calibri" w:hAnsi="Calibri" w:eastAsia="Calibri" w:cs="Calibri"/>
          <w:spacing w:val="-11"/>
          <w:sz w:val="21"/>
          <w:szCs w:val="21"/>
        </w:rPr>
        <w:t>2018</w:t>
      </w:r>
      <w:r>
        <w:rPr>
          <w:rFonts w:ascii="宋体" w:hAnsi="宋体" w:eastAsia="宋体" w:cs="宋体"/>
          <w:spacing w:val="-11"/>
          <w:sz w:val="21"/>
          <w:szCs w:val="21"/>
        </w:rPr>
        <w:t>〕</w:t>
      </w:r>
      <w:r>
        <w:rPr>
          <w:rFonts w:ascii="宋体" w:hAnsi="宋体" w:eastAsia="宋体" w:cs="宋体"/>
          <w:spacing w:val="5"/>
          <w:sz w:val="21"/>
          <w:szCs w:val="21"/>
        </w:rPr>
        <w:t xml:space="preserve"> </w:t>
      </w:r>
      <w:r>
        <w:rPr>
          <w:rFonts w:ascii="Calibri" w:hAnsi="Calibri" w:eastAsia="Calibri" w:cs="Calibri"/>
          <w:spacing w:val="-4"/>
          <w:sz w:val="21"/>
          <w:szCs w:val="21"/>
        </w:rPr>
        <w:t>30</w:t>
      </w:r>
      <w:r>
        <w:rPr>
          <w:rFonts w:ascii="Calibri" w:hAnsi="Calibri" w:eastAsia="Calibri" w:cs="Calibri"/>
          <w:spacing w:val="24"/>
          <w:w w:val="101"/>
          <w:sz w:val="21"/>
          <w:szCs w:val="21"/>
        </w:rPr>
        <w:t xml:space="preserve"> </w:t>
      </w:r>
      <w:r>
        <w:rPr>
          <w:rFonts w:ascii="宋体" w:hAnsi="宋体" w:eastAsia="宋体" w:cs="宋体"/>
          <w:spacing w:val="-4"/>
          <w:sz w:val="21"/>
          <w:szCs w:val="21"/>
        </w:rPr>
        <w:t>号）》造价工程师、一级注册建筑师、一级建造师、一级注册结构</w:t>
      </w:r>
      <w:r>
        <w:rPr>
          <w:rFonts w:ascii="宋体" w:hAnsi="宋体" w:eastAsia="宋体" w:cs="宋体"/>
          <w:spacing w:val="-5"/>
          <w:sz w:val="21"/>
          <w:szCs w:val="21"/>
        </w:rPr>
        <w:t>工程师、其他勘察设计</w:t>
      </w:r>
      <w:r>
        <w:rPr>
          <w:rFonts w:ascii="宋体" w:hAnsi="宋体" w:eastAsia="宋体" w:cs="宋体"/>
          <w:spacing w:val="-1"/>
          <w:sz w:val="21"/>
          <w:szCs w:val="21"/>
        </w:rPr>
        <w:t>注册工程师等，其职业资格直接对应相应系列的中级职称。二级注册建筑师、二级建造师、二级注册结构工程师等，其职业资格直接对应相应系列的初级职称。</w:t>
      </w:r>
    </w:p>
    <w:p w14:paraId="5DF4668F">
      <w:pPr>
        <w:pStyle w:val="2"/>
        <w:spacing w:line="308" w:lineRule="auto"/>
      </w:pPr>
    </w:p>
    <w:p w14:paraId="4F5E8E57">
      <w:pPr>
        <w:spacing w:before="91" w:line="222" w:lineRule="auto"/>
        <w:ind w:left="130"/>
        <w:outlineLvl w:val="2"/>
        <w:rPr>
          <w:rFonts w:ascii="黑体" w:hAnsi="黑体" w:eastAsia="黑体" w:cs="黑体"/>
          <w:sz w:val="28"/>
          <w:szCs w:val="28"/>
        </w:rPr>
      </w:pPr>
      <w:bookmarkStart w:id="37" w:name="bookmark35"/>
      <w:bookmarkEnd w:id="37"/>
      <w:r>
        <w:rPr>
          <w:rFonts w:ascii="黑体" w:hAnsi="黑体" w:eastAsia="黑体" w:cs="黑体"/>
          <w:spacing w:val="6"/>
          <w:sz w:val="28"/>
          <w:szCs w:val="28"/>
        </w:rPr>
        <w:t>评标办法正文部分</w:t>
      </w:r>
    </w:p>
    <w:p w14:paraId="10A8CE2F">
      <w:pPr>
        <w:pStyle w:val="2"/>
        <w:spacing w:line="242" w:lineRule="auto"/>
      </w:pPr>
    </w:p>
    <w:p w14:paraId="020F8F9A">
      <w:pPr>
        <w:pStyle w:val="2"/>
        <w:spacing w:line="243" w:lineRule="auto"/>
      </w:pPr>
    </w:p>
    <w:p w14:paraId="3D9440EB">
      <w:pPr>
        <w:spacing w:before="91" w:line="242" w:lineRule="auto"/>
        <w:ind w:left="144"/>
        <w:outlineLvl w:val="3"/>
        <w:rPr>
          <w:rFonts w:ascii="黑体" w:hAnsi="黑体" w:eastAsia="黑体" w:cs="黑体"/>
          <w:sz w:val="28"/>
          <w:szCs w:val="28"/>
        </w:rPr>
      </w:pPr>
      <w:r>
        <w:rPr>
          <w:rFonts w:ascii="Calibri" w:hAnsi="Calibri" w:eastAsia="Calibri" w:cs="Calibri"/>
          <w:spacing w:val="4"/>
          <w:sz w:val="28"/>
          <w:szCs w:val="28"/>
        </w:rPr>
        <w:t>1.</w:t>
      </w:r>
      <w:r>
        <w:rPr>
          <w:rFonts w:ascii="Calibri" w:hAnsi="Calibri" w:eastAsia="Calibri" w:cs="Calibri"/>
          <w:spacing w:val="11"/>
          <w:sz w:val="28"/>
          <w:szCs w:val="28"/>
        </w:rPr>
        <w:t xml:space="preserve">  </w:t>
      </w:r>
      <w:r>
        <w:rPr>
          <w:rFonts w:ascii="黑体" w:hAnsi="黑体" w:eastAsia="黑体" w:cs="黑体"/>
          <w:spacing w:val="4"/>
          <w:sz w:val="28"/>
          <w:szCs w:val="28"/>
        </w:rPr>
        <w:t>评标方法</w:t>
      </w:r>
    </w:p>
    <w:p w14:paraId="0DA1367D">
      <w:pPr>
        <w:pStyle w:val="2"/>
        <w:spacing w:line="347" w:lineRule="auto"/>
      </w:pPr>
    </w:p>
    <w:p w14:paraId="03DFEBC8">
      <w:pPr>
        <w:spacing w:before="69" w:line="289" w:lineRule="auto"/>
        <w:ind w:left="136" w:right="81" w:firstLine="413"/>
        <w:rPr>
          <w:rFonts w:ascii="宋体" w:hAnsi="宋体" w:eastAsia="宋体" w:cs="宋体"/>
          <w:sz w:val="21"/>
          <w:szCs w:val="21"/>
        </w:rPr>
      </w:pPr>
      <w:r>
        <w:rPr>
          <w:rFonts w:ascii="宋体" w:hAnsi="宋体" w:eastAsia="宋体" w:cs="宋体"/>
          <w:spacing w:val="-4"/>
          <w:sz w:val="21"/>
          <w:szCs w:val="21"/>
        </w:rPr>
        <w:t>本次评标采用综合评估法。评标委员会对满足招标文件实质性要求的投标文件，</w:t>
      </w:r>
      <w:r>
        <w:rPr>
          <w:rFonts w:ascii="宋体" w:hAnsi="宋体" w:eastAsia="宋体" w:cs="宋体"/>
          <w:spacing w:val="-36"/>
          <w:sz w:val="21"/>
          <w:szCs w:val="21"/>
        </w:rPr>
        <w:t xml:space="preserve"> </w:t>
      </w:r>
      <w:r>
        <w:rPr>
          <w:rFonts w:ascii="宋体" w:hAnsi="宋体" w:eastAsia="宋体" w:cs="宋体"/>
          <w:spacing w:val="-4"/>
          <w:sz w:val="21"/>
          <w:szCs w:val="21"/>
        </w:rPr>
        <w:t>按照本</w:t>
      </w:r>
      <w:r>
        <w:rPr>
          <w:rFonts w:ascii="宋体" w:hAnsi="宋体" w:eastAsia="宋体" w:cs="宋体"/>
          <w:spacing w:val="-1"/>
          <w:sz w:val="21"/>
          <w:szCs w:val="21"/>
        </w:rPr>
        <w:t>章第</w:t>
      </w:r>
      <w:r>
        <w:rPr>
          <w:rFonts w:ascii="宋体" w:hAnsi="宋体" w:eastAsia="宋体" w:cs="宋体"/>
          <w:spacing w:val="-33"/>
          <w:sz w:val="21"/>
          <w:szCs w:val="21"/>
        </w:rPr>
        <w:t xml:space="preserve"> </w:t>
      </w:r>
      <w:r>
        <w:rPr>
          <w:rFonts w:ascii="Calibri" w:hAnsi="Calibri" w:eastAsia="Calibri" w:cs="Calibri"/>
          <w:spacing w:val="-1"/>
          <w:sz w:val="21"/>
          <w:szCs w:val="21"/>
        </w:rPr>
        <w:t>2.2</w:t>
      </w:r>
      <w:r>
        <w:rPr>
          <w:rFonts w:ascii="Calibri" w:hAnsi="Calibri" w:eastAsia="Calibri" w:cs="Calibri"/>
          <w:spacing w:val="20"/>
          <w:w w:val="102"/>
          <w:sz w:val="21"/>
          <w:szCs w:val="21"/>
        </w:rPr>
        <w:t xml:space="preserve"> </w:t>
      </w:r>
      <w:r>
        <w:rPr>
          <w:rFonts w:ascii="宋体" w:hAnsi="宋体" w:eastAsia="宋体" w:cs="宋体"/>
          <w:spacing w:val="-1"/>
          <w:sz w:val="21"/>
          <w:szCs w:val="21"/>
        </w:rPr>
        <w:t>款规定的评分标准进行打分，并按得分由</w:t>
      </w:r>
      <w:r>
        <w:rPr>
          <w:rFonts w:ascii="宋体" w:hAnsi="宋体" w:eastAsia="宋体" w:cs="宋体"/>
          <w:spacing w:val="-2"/>
          <w:sz w:val="21"/>
          <w:szCs w:val="21"/>
        </w:rPr>
        <w:t>高到低顺序推荐中标候选人，或根据招标</w:t>
      </w:r>
    </w:p>
    <w:p w14:paraId="62A23B5D">
      <w:pPr>
        <w:spacing w:line="289" w:lineRule="auto"/>
        <w:rPr>
          <w:rFonts w:ascii="宋体" w:hAnsi="宋体" w:eastAsia="宋体" w:cs="宋体"/>
          <w:sz w:val="21"/>
          <w:szCs w:val="21"/>
        </w:rPr>
        <w:sectPr>
          <w:footerReference r:id="rId70" w:type="default"/>
          <w:pgSz w:w="11910" w:h="16845"/>
          <w:pgMar w:top="400" w:right="1682" w:bottom="1110" w:left="1681" w:header="0" w:footer="883" w:gutter="0"/>
          <w:cols w:space="720" w:num="1"/>
        </w:sectPr>
      </w:pPr>
    </w:p>
    <w:p w14:paraId="68044EF5">
      <w:pPr>
        <w:pStyle w:val="2"/>
        <w:spacing w:line="252" w:lineRule="auto"/>
      </w:pPr>
    </w:p>
    <w:p w14:paraId="055FFCF0">
      <w:pPr>
        <w:pStyle w:val="2"/>
        <w:spacing w:line="252" w:lineRule="auto"/>
      </w:pPr>
    </w:p>
    <w:p w14:paraId="291DC675">
      <w:pPr>
        <w:pStyle w:val="2"/>
        <w:spacing w:line="253" w:lineRule="auto"/>
      </w:pPr>
    </w:p>
    <w:p w14:paraId="53D097C4">
      <w:pPr>
        <w:pStyle w:val="2"/>
        <w:spacing w:line="253" w:lineRule="auto"/>
      </w:pPr>
    </w:p>
    <w:p w14:paraId="3213EF36">
      <w:pPr>
        <w:spacing w:before="69" w:line="279" w:lineRule="auto"/>
        <w:ind w:left="23" w:right="9" w:firstLine="2"/>
        <w:rPr>
          <w:rFonts w:ascii="宋体" w:hAnsi="宋体" w:eastAsia="宋体" w:cs="宋体"/>
          <w:sz w:val="21"/>
          <w:szCs w:val="21"/>
        </w:rPr>
      </w:pPr>
      <w:r>
        <w:rPr>
          <w:rFonts w:ascii="宋体" w:hAnsi="宋体" w:eastAsia="宋体" w:cs="宋体"/>
          <w:spacing w:val="-5"/>
          <w:sz w:val="21"/>
          <w:szCs w:val="21"/>
        </w:rPr>
        <w:t>人授权直接确定中标人，但投标报价低于其成本的除外。综合评分相等时， 以投标报价低的</w:t>
      </w:r>
      <w:r>
        <w:rPr>
          <w:rFonts w:ascii="宋体" w:hAnsi="宋体" w:eastAsia="宋体" w:cs="宋体"/>
          <w:spacing w:val="-2"/>
          <w:sz w:val="21"/>
          <w:szCs w:val="21"/>
        </w:rPr>
        <w:t>优先；投标报价也相等的，由招标人自行确定。</w:t>
      </w:r>
    </w:p>
    <w:p w14:paraId="0A5200A5">
      <w:pPr>
        <w:pStyle w:val="2"/>
        <w:spacing w:line="304" w:lineRule="auto"/>
      </w:pPr>
    </w:p>
    <w:p w14:paraId="17A1ED26">
      <w:pPr>
        <w:spacing w:before="91" w:line="368" w:lineRule="exact"/>
        <w:ind w:left="31"/>
        <w:outlineLvl w:val="3"/>
        <w:rPr>
          <w:rFonts w:ascii="黑体" w:hAnsi="黑体" w:eastAsia="黑体" w:cs="黑体"/>
          <w:sz w:val="28"/>
          <w:szCs w:val="28"/>
        </w:rPr>
      </w:pPr>
      <w:r>
        <w:rPr>
          <w:rFonts w:ascii="Calibri" w:hAnsi="Calibri" w:eastAsia="Calibri" w:cs="Calibri"/>
          <w:spacing w:val="5"/>
          <w:position w:val="1"/>
          <w:sz w:val="28"/>
          <w:szCs w:val="28"/>
        </w:rPr>
        <w:t>2.</w:t>
      </w:r>
      <w:r>
        <w:rPr>
          <w:rFonts w:ascii="Calibri" w:hAnsi="Calibri" w:eastAsia="Calibri" w:cs="Calibri"/>
          <w:spacing w:val="13"/>
          <w:position w:val="1"/>
          <w:sz w:val="28"/>
          <w:szCs w:val="28"/>
        </w:rPr>
        <w:t xml:space="preserve">  </w:t>
      </w:r>
      <w:r>
        <w:rPr>
          <w:rFonts w:ascii="黑体" w:hAnsi="黑体" w:eastAsia="黑体" w:cs="黑体"/>
          <w:spacing w:val="5"/>
          <w:position w:val="1"/>
          <w:sz w:val="28"/>
          <w:szCs w:val="28"/>
        </w:rPr>
        <w:t>评审标准</w:t>
      </w:r>
    </w:p>
    <w:p w14:paraId="590B2052">
      <w:pPr>
        <w:pStyle w:val="2"/>
        <w:spacing w:line="438" w:lineRule="auto"/>
      </w:pPr>
    </w:p>
    <w:p w14:paraId="29EFA6D5">
      <w:pPr>
        <w:spacing w:before="91" w:line="369" w:lineRule="exact"/>
        <w:ind w:left="31"/>
        <w:outlineLvl w:val="4"/>
        <w:rPr>
          <w:rFonts w:ascii="黑体" w:hAnsi="黑体" w:eastAsia="黑体" w:cs="黑体"/>
          <w:sz w:val="28"/>
          <w:szCs w:val="28"/>
        </w:rPr>
      </w:pPr>
      <w:r>
        <w:rPr>
          <w:rFonts w:ascii="Calibri" w:hAnsi="Calibri" w:eastAsia="Calibri" w:cs="Calibri"/>
          <w:spacing w:val="5"/>
          <w:position w:val="1"/>
          <w:sz w:val="28"/>
          <w:szCs w:val="28"/>
        </w:rPr>
        <w:t xml:space="preserve">2.1  </w:t>
      </w:r>
      <w:r>
        <w:rPr>
          <w:rFonts w:ascii="黑体" w:hAnsi="黑体" w:eastAsia="黑体" w:cs="黑体"/>
          <w:spacing w:val="5"/>
          <w:position w:val="1"/>
          <w:sz w:val="28"/>
          <w:szCs w:val="28"/>
        </w:rPr>
        <w:t>初步评审标准</w:t>
      </w:r>
    </w:p>
    <w:p w14:paraId="2D91D59D">
      <w:pPr>
        <w:spacing w:before="146" w:line="239" w:lineRule="auto"/>
        <w:ind w:left="448"/>
        <w:rPr>
          <w:rFonts w:ascii="宋体" w:hAnsi="宋体" w:eastAsia="宋体" w:cs="宋体"/>
          <w:sz w:val="21"/>
          <w:szCs w:val="21"/>
        </w:rPr>
      </w:pPr>
      <w:r>
        <w:rPr>
          <w:rFonts w:ascii="Calibri" w:hAnsi="Calibri" w:eastAsia="Calibri" w:cs="Calibri"/>
          <w:spacing w:val="-2"/>
          <w:sz w:val="21"/>
          <w:szCs w:val="21"/>
        </w:rPr>
        <w:t xml:space="preserve">2.1.1  </w:t>
      </w:r>
      <w:r>
        <w:rPr>
          <w:rFonts w:ascii="宋体" w:hAnsi="宋体" w:eastAsia="宋体" w:cs="宋体"/>
          <w:spacing w:val="-2"/>
          <w:sz w:val="21"/>
          <w:szCs w:val="21"/>
        </w:rPr>
        <w:t>形式评审标准：见评标办法前附表。</w:t>
      </w:r>
    </w:p>
    <w:p w14:paraId="71F49CD3">
      <w:pPr>
        <w:spacing w:before="43" w:line="239" w:lineRule="auto"/>
        <w:ind w:left="448"/>
        <w:rPr>
          <w:rFonts w:ascii="宋体" w:hAnsi="宋体" w:eastAsia="宋体" w:cs="宋体"/>
          <w:sz w:val="21"/>
          <w:szCs w:val="21"/>
        </w:rPr>
      </w:pPr>
      <w:r>
        <w:rPr>
          <w:rFonts w:ascii="Calibri" w:hAnsi="Calibri" w:eastAsia="Calibri" w:cs="Calibri"/>
          <w:spacing w:val="-1"/>
          <w:sz w:val="21"/>
          <w:szCs w:val="21"/>
        </w:rPr>
        <w:t xml:space="preserve">2.1.2  </w:t>
      </w:r>
      <w:r>
        <w:rPr>
          <w:rFonts w:ascii="宋体" w:hAnsi="宋体" w:eastAsia="宋体" w:cs="宋体"/>
          <w:spacing w:val="-1"/>
          <w:sz w:val="21"/>
          <w:szCs w:val="21"/>
        </w:rPr>
        <w:t>资格评审标准：见评标办法前</w:t>
      </w:r>
      <w:r>
        <w:rPr>
          <w:rFonts w:ascii="宋体" w:hAnsi="宋体" w:eastAsia="宋体" w:cs="宋体"/>
          <w:spacing w:val="-2"/>
          <w:sz w:val="21"/>
          <w:szCs w:val="21"/>
        </w:rPr>
        <w:t>附表。</w:t>
      </w:r>
    </w:p>
    <w:p w14:paraId="3AE1CBCC">
      <w:pPr>
        <w:spacing w:before="28" w:line="239" w:lineRule="auto"/>
        <w:ind w:left="448"/>
        <w:rPr>
          <w:rFonts w:ascii="宋体" w:hAnsi="宋体" w:eastAsia="宋体" w:cs="宋体"/>
          <w:sz w:val="21"/>
          <w:szCs w:val="21"/>
        </w:rPr>
      </w:pPr>
      <w:r>
        <w:rPr>
          <w:rFonts w:ascii="Calibri" w:hAnsi="Calibri" w:eastAsia="Calibri" w:cs="Calibri"/>
          <w:spacing w:val="-1"/>
          <w:sz w:val="21"/>
          <w:szCs w:val="21"/>
        </w:rPr>
        <w:t xml:space="preserve">2.1.3  </w:t>
      </w:r>
      <w:r>
        <w:rPr>
          <w:rFonts w:ascii="宋体" w:hAnsi="宋体" w:eastAsia="宋体" w:cs="宋体"/>
          <w:spacing w:val="-1"/>
          <w:sz w:val="21"/>
          <w:szCs w:val="21"/>
        </w:rPr>
        <w:t>响应性评审标准：见评标办法</w:t>
      </w:r>
      <w:r>
        <w:rPr>
          <w:rFonts w:ascii="宋体" w:hAnsi="宋体" w:eastAsia="宋体" w:cs="宋体"/>
          <w:spacing w:val="-2"/>
          <w:sz w:val="21"/>
          <w:szCs w:val="21"/>
        </w:rPr>
        <w:t>前附表。</w:t>
      </w:r>
    </w:p>
    <w:p w14:paraId="7A93466C">
      <w:pPr>
        <w:spacing w:before="159" w:line="368" w:lineRule="exact"/>
        <w:ind w:left="31"/>
        <w:outlineLvl w:val="4"/>
        <w:rPr>
          <w:rFonts w:ascii="黑体" w:hAnsi="黑体" w:eastAsia="黑体" w:cs="黑体"/>
          <w:sz w:val="28"/>
          <w:szCs w:val="28"/>
        </w:rPr>
      </w:pPr>
      <w:r>
        <w:rPr>
          <w:rFonts w:ascii="Calibri" w:hAnsi="Calibri" w:eastAsia="Calibri" w:cs="Calibri"/>
          <w:spacing w:val="4"/>
          <w:position w:val="1"/>
          <w:sz w:val="28"/>
          <w:szCs w:val="28"/>
        </w:rPr>
        <w:t xml:space="preserve">2.2  </w:t>
      </w:r>
      <w:r>
        <w:rPr>
          <w:rFonts w:ascii="黑体" w:hAnsi="黑体" w:eastAsia="黑体" w:cs="黑体"/>
          <w:spacing w:val="4"/>
          <w:position w:val="1"/>
          <w:sz w:val="28"/>
          <w:szCs w:val="28"/>
        </w:rPr>
        <w:t>分值构成与评分标准</w:t>
      </w:r>
    </w:p>
    <w:p w14:paraId="70BB3A1E">
      <w:pPr>
        <w:spacing w:before="147"/>
        <w:ind w:left="448"/>
        <w:rPr>
          <w:rFonts w:ascii="宋体" w:hAnsi="宋体" w:eastAsia="宋体" w:cs="宋体"/>
          <w:sz w:val="21"/>
          <w:szCs w:val="21"/>
        </w:rPr>
      </w:pPr>
      <w:r>
        <w:rPr>
          <w:rFonts w:ascii="Calibri" w:hAnsi="Calibri" w:eastAsia="Calibri" w:cs="Calibri"/>
          <w:spacing w:val="-1"/>
          <w:sz w:val="21"/>
          <w:szCs w:val="21"/>
        </w:rPr>
        <w:t xml:space="preserve">2.2.1  </w:t>
      </w:r>
      <w:r>
        <w:rPr>
          <w:rFonts w:ascii="宋体" w:hAnsi="宋体" w:eastAsia="宋体" w:cs="宋体"/>
          <w:spacing w:val="-1"/>
          <w:sz w:val="21"/>
          <w:szCs w:val="21"/>
        </w:rPr>
        <w:t>分值构成</w:t>
      </w:r>
    </w:p>
    <w:p w14:paraId="6FB23B3E">
      <w:pPr>
        <w:spacing w:before="43" w:line="238" w:lineRule="auto"/>
        <w:ind w:left="45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）投标报价：见评标办法前附表；</w:t>
      </w:r>
    </w:p>
    <w:p w14:paraId="53ABC3F5">
      <w:pPr>
        <w:spacing w:before="29"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）施工组织设计：见评标办法前附表；</w:t>
      </w:r>
    </w:p>
    <w:p w14:paraId="43E5BB32">
      <w:pPr>
        <w:spacing w:before="43"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）项目管理机构：见评标办法前附表；</w:t>
      </w:r>
    </w:p>
    <w:p w14:paraId="10C66528">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）其他评分因素：见评标办法前附表。</w:t>
      </w:r>
    </w:p>
    <w:p w14:paraId="1B789423">
      <w:pPr>
        <w:spacing w:before="45" w:line="238" w:lineRule="auto"/>
        <w:ind w:left="448"/>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评标基准价计算</w:t>
      </w:r>
    </w:p>
    <w:p w14:paraId="224A602D">
      <w:pPr>
        <w:spacing w:before="44" w:line="238"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）评标价确定方法：见评标办法前附表；</w:t>
      </w:r>
    </w:p>
    <w:p w14:paraId="61BC3D98">
      <w:pPr>
        <w:spacing w:before="29" w:line="238"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）评标基准价计算方法：见评标办法前附表。</w:t>
      </w:r>
    </w:p>
    <w:p w14:paraId="25B4A74A">
      <w:pPr>
        <w:spacing w:before="45" w:line="238" w:lineRule="auto"/>
        <w:ind w:left="448"/>
        <w:rPr>
          <w:rFonts w:ascii="宋体" w:hAnsi="宋体" w:eastAsia="宋体" w:cs="宋体"/>
          <w:sz w:val="21"/>
          <w:szCs w:val="21"/>
        </w:rPr>
      </w:pPr>
      <w:r>
        <w:rPr>
          <w:rFonts w:ascii="Calibri" w:hAnsi="Calibri" w:eastAsia="Calibri" w:cs="Calibri"/>
          <w:spacing w:val="-1"/>
          <w:sz w:val="21"/>
          <w:szCs w:val="21"/>
        </w:rPr>
        <w:t xml:space="preserve">2.2.3  </w:t>
      </w:r>
      <w:r>
        <w:rPr>
          <w:rFonts w:ascii="宋体" w:hAnsi="宋体" w:eastAsia="宋体" w:cs="宋体"/>
          <w:spacing w:val="-1"/>
          <w:sz w:val="21"/>
          <w:szCs w:val="21"/>
        </w:rPr>
        <w:t>投标报价的偏差率计算</w:t>
      </w:r>
    </w:p>
    <w:p w14:paraId="1EE231CD">
      <w:pPr>
        <w:spacing w:before="44" w:line="218" w:lineRule="auto"/>
        <w:ind w:left="447"/>
        <w:rPr>
          <w:rFonts w:ascii="宋体" w:hAnsi="宋体" w:eastAsia="宋体" w:cs="宋体"/>
          <w:sz w:val="21"/>
          <w:szCs w:val="21"/>
        </w:rPr>
      </w:pPr>
      <w:r>
        <w:rPr>
          <w:rFonts w:ascii="宋体" w:hAnsi="宋体" w:eastAsia="宋体" w:cs="宋体"/>
          <w:spacing w:val="-2"/>
          <w:sz w:val="21"/>
          <w:szCs w:val="21"/>
        </w:rPr>
        <w:t>投标报价的偏差率计算公式：见评标办法前附表。</w:t>
      </w:r>
    </w:p>
    <w:p w14:paraId="48297372">
      <w:pPr>
        <w:spacing w:before="68"/>
        <w:ind w:left="448"/>
        <w:rPr>
          <w:rFonts w:ascii="宋体" w:hAnsi="宋体" w:eastAsia="宋体" w:cs="宋体"/>
          <w:sz w:val="21"/>
          <w:szCs w:val="21"/>
        </w:rPr>
      </w:pPr>
      <w:r>
        <w:rPr>
          <w:rFonts w:ascii="Calibri" w:hAnsi="Calibri" w:eastAsia="Calibri" w:cs="Calibri"/>
          <w:spacing w:val="-1"/>
          <w:sz w:val="21"/>
          <w:szCs w:val="21"/>
        </w:rPr>
        <w:t xml:space="preserve">2.2.4  </w:t>
      </w:r>
      <w:r>
        <w:rPr>
          <w:rFonts w:ascii="宋体" w:hAnsi="宋体" w:eastAsia="宋体" w:cs="宋体"/>
          <w:spacing w:val="-1"/>
          <w:sz w:val="21"/>
          <w:szCs w:val="21"/>
        </w:rPr>
        <w:t>评分标准</w:t>
      </w:r>
    </w:p>
    <w:p w14:paraId="0F699775">
      <w:pPr>
        <w:spacing w:before="42" w:line="238"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）投标报价评分（审）标准：见评标办法前附表；</w:t>
      </w:r>
    </w:p>
    <w:p w14:paraId="12CF1CA0">
      <w:pPr>
        <w:spacing w:before="29"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）施工组织设计评分标准：见评标办法前附表；</w:t>
      </w:r>
    </w:p>
    <w:p w14:paraId="1BF4CF5F">
      <w:pPr>
        <w:spacing w:before="44" w:line="239" w:lineRule="auto"/>
        <w:ind w:left="450"/>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）项目管理机构评分标准：见评标办法前附表；</w:t>
      </w:r>
    </w:p>
    <w:p w14:paraId="2222CD57">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）其他因素评分标准：见评标办法前附表。</w:t>
      </w:r>
    </w:p>
    <w:p w14:paraId="754667CC">
      <w:pPr>
        <w:pStyle w:val="2"/>
        <w:spacing w:line="350" w:lineRule="auto"/>
      </w:pPr>
    </w:p>
    <w:p w14:paraId="409CDEB8">
      <w:pPr>
        <w:spacing w:before="92" w:line="369" w:lineRule="exact"/>
        <w:ind w:left="30"/>
        <w:outlineLvl w:val="3"/>
        <w:rPr>
          <w:rFonts w:ascii="黑体" w:hAnsi="黑体" w:eastAsia="黑体" w:cs="黑体"/>
          <w:sz w:val="28"/>
          <w:szCs w:val="28"/>
        </w:rPr>
      </w:pPr>
      <w:r>
        <w:rPr>
          <w:rFonts w:ascii="Calibri" w:hAnsi="Calibri" w:eastAsia="Calibri" w:cs="Calibri"/>
          <w:spacing w:val="6"/>
          <w:position w:val="1"/>
          <w:sz w:val="28"/>
          <w:szCs w:val="28"/>
        </w:rPr>
        <w:t>3.</w:t>
      </w:r>
      <w:r>
        <w:rPr>
          <w:rFonts w:ascii="Calibri" w:hAnsi="Calibri" w:eastAsia="Calibri" w:cs="Calibri"/>
          <w:spacing w:val="11"/>
          <w:position w:val="1"/>
          <w:sz w:val="28"/>
          <w:szCs w:val="28"/>
        </w:rPr>
        <w:t xml:space="preserve">  </w:t>
      </w:r>
      <w:r>
        <w:rPr>
          <w:rFonts w:ascii="黑体" w:hAnsi="黑体" w:eastAsia="黑体" w:cs="黑体"/>
          <w:spacing w:val="6"/>
          <w:position w:val="1"/>
          <w:sz w:val="28"/>
          <w:szCs w:val="28"/>
        </w:rPr>
        <w:t>评标程序</w:t>
      </w:r>
    </w:p>
    <w:p w14:paraId="2E9FC315">
      <w:pPr>
        <w:pStyle w:val="2"/>
        <w:spacing w:line="438" w:lineRule="auto"/>
      </w:pPr>
    </w:p>
    <w:p w14:paraId="45DEA943">
      <w:pPr>
        <w:spacing w:before="91" w:line="369" w:lineRule="exact"/>
        <w:ind w:left="30"/>
        <w:outlineLvl w:val="4"/>
        <w:rPr>
          <w:rFonts w:ascii="黑体" w:hAnsi="黑体" w:eastAsia="黑体" w:cs="黑体"/>
          <w:sz w:val="28"/>
          <w:szCs w:val="28"/>
        </w:rPr>
      </w:pPr>
      <w:r>
        <w:rPr>
          <w:rFonts w:ascii="Calibri" w:hAnsi="Calibri" w:eastAsia="Calibri" w:cs="Calibri"/>
          <w:spacing w:val="5"/>
          <w:position w:val="1"/>
          <w:sz w:val="28"/>
          <w:szCs w:val="28"/>
        </w:rPr>
        <w:t xml:space="preserve">3.1  </w:t>
      </w:r>
      <w:r>
        <w:rPr>
          <w:rFonts w:ascii="黑体" w:hAnsi="黑体" w:eastAsia="黑体" w:cs="黑体"/>
          <w:spacing w:val="5"/>
          <w:position w:val="1"/>
          <w:sz w:val="28"/>
          <w:szCs w:val="28"/>
        </w:rPr>
        <w:t>初步评审</w:t>
      </w:r>
    </w:p>
    <w:p w14:paraId="0BFE8B0C">
      <w:pPr>
        <w:spacing w:before="146" w:line="271" w:lineRule="auto"/>
        <w:ind w:left="23" w:firstLine="423"/>
        <w:rPr>
          <w:rFonts w:ascii="宋体" w:hAnsi="宋体" w:eastAsia="宋体" w:cs="宋体"/>
          <w:sz w:val="21"/>
          <w:szCs w:val="21"/>
        </w:rPr>
      </w:pPr>
      <w:r>
        <w:rPr>
          <w:rFonts w:ascii="Calibri" w:hAnsi="Calibri" w:eastAsia="Calibri" w:cs="Calibri"/>
          <w:spacing w:val="-1"/>
          <w:sz w:val="21"/>
          <w:szCs w:val="21"/>
        </w:rPr>
        <w:t xml:space="preserve">3.1.1  </w:t>
      </w:r>
      <w:r>
        <w:rPr>
          <w:rFonts w:ascii="宋体" w:hAnsi="宋体" w:eastAsia="宋体" w:cs="宋体"/>
          <w:spacing w:val="-1"/>
          <w:sz w:val="21"/>
          <w:szCs w:val="21"/>
        </w:rPr>
        <w:t>评标委员会可以要求投标人提交第二章“投标人须知”第</w:t>
      </w:r>
      <w:r>
        <w:rPr>
          <w:rFonts w:ascii="宋体" w:hAnsi="宋体" w:eastAsia="宋体" w:cs="宋体"/>
          <w:spacing w:val="-37"/>
          <w:sz w:val="21"/>
          <w:szCs w:val="21"/>
        </w:rPr>
        <w:t xml:space="preserve"> </w:t>
      </w:r>
      <w:r>
        <w:rPr>
          <w:rFonts w:ascii="Calibri" w:hAnsi="Calibri" w:eastAsia="Calibri" w:cs="Calibri"/>
          <w:spacing w:val="-1"/>
          <w:sz w:val="21"/>
          <w:szCs w:val="21"/>
        </w:rPr>
        <w:t>3.5.1</w:t>
      </w:r>
      <w:r>
        <w:rPr>
          <w:rFonts w:ascii="Calibri" w:hAnsi="Calibri" w:eastAsia="Calibri" w:cs="Calibri"/>
          <w:spacing w:val="23"/>
          <w:w w:val="101"/>
          <w:sz w:val="21"/>
          <w:szCs w:val="21"/>
        </w:rPr>
        <w:t xml:space="preserve"> </w:t>
      </w:r>
      <w:r>
        <w:rPr>
          <w:rFonts w:ascii="宋体" w:hAnsi="宋体" w:eastAsia="宋体" w:cs="宋体"/>
          <w:spacing w:val="-1"/>
          <w:sz w:val="21"/>
          <w:szCs w:val="21"/>
        </w:rPr>
        <w:t>项至第</w:t>
      </w:r>
      <w:r>
        <w:rPr>
          <w:rFonts w:ascii="宋体" w:hAnsi="宋体" w:eastAsia="宋体" w:cs="宋体"/>
          <w:spacing w:val="-35"/>
          <w:sz w:val="21"/>
          <w:szCs w:val="21"/>
        </w:rPr>
        <w:t xml:space="preserve"> </w:t>
      </w:r>
      <w:r>
        <w:rPr>
          <w:rFonts w:ascii="Calibri" w:hAnsi="Calibri" w:eastAsia="Calibri" w:cs="Calibri"/>
          <w:spacing w:val="-1"/>
          <w:sz w:val="21"/>
          <w:szCs w:val="21"/>
        </w:rPr>
        <w:t>3.5.7</w:t>
      </w:r>
      <w:r>
        <w:rPr>
          <w:rFonts w:ascii="Calibri" w:hAnsi="Calibri" w:eastAsia="Calibri" w:cs="Calibri"/>
          <w:spacing w:val="23"/>
          <w:sz w:val="21"/>
          <w:szCs w:val="21"/>
        </w:rPr>
        <w:t xml:space="preserve"> </w:t>
      </w:r>
      <w:r>
        <w:rPr>
          <w:rFonts w:ascii="宋体" w:hAnsi="宋体" w:eastAsia="宋体" w:cs="宋体"/>
          <w:spacing w:val="-1"/>
          <w:sz w:val="21"/>
          <w:szCs w:val="21"/>
        </w:rPr>
        <w:t>项规定的有关证明和证件的原件，以便核验。评标委员会依据本章第</w:t>
      </w:r>
      <w:r>
        <w:rPr>
          <w:rFonts w:ascii="宋体" w:hAnsi="宋体" w:eastAsia="宋体" w:cs="宋体"/>
          <w:spacing w:val="-39"/>
          <w:sz w:val="21"/>
          <w:szCs w:val="21"/>
        </w:rPr>
        <w:t xml:space="preserve"> </w:t>
      </w:r>
      <w:r>
        <w:rPr>
          <w:rFonts w:ascii="Calibri" w:hAnsi="Calibri" w:eastAsia="Calibri" w:cs="Calibri"/>
          <w:spacing w:val="-1"/>
          <w:sz w:val="21"/>
          <w:szCs w:val="21"/>
        </w:rPr>
        <w:t>2.1</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款规定的标准对投标文</w:t>
      </w:r>
      <w:r>
        <w:rPr>
          <w:rFonts w:ascii="宋体" w:hAnsi="宋体" w:eastAsia="宋体" w:cs="宋体"/>
          <w:spacing w:val="-1"/>
          <w:sz w:val="21"/>
          <w:szCs w:val="21"/>
        </w:rPr>
        <w:t>件进行初步评审。有一项不符合评审标准的，评标委员会应当否决其投标。</w:t>
      </w:r>
    </w:p>
    <w:p w14:paraId="7D3B8200">
      <w:pPr>
        <w:spacing w:before="7" w:line="239" w:lineRule="auto"/>
        <w:ind w:left="446"/>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投标人有以下情形之一的，评标委员会</w:t>
      </w:r>
      <w:r>
        <w:rPr>
          <w:rFonts w:ascii="宋体" w:hAnsi="宋体" w:eastAsia="宋体" w:cs="宋体"/>
          <w:spacing w:val="-2"/>
          <w:sz w:val="21"/>
          <w:szCs w:val="21"/>
        </w:rPr>
        <w:t>应当否决其投标：</w:t>
      </w:r>
    </w:p>
    <w:p w14:paraId="4FD0A3F0">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）不按评标委员会要求澄清、说明或补正。</w:t>
      </w:r>
    </w:p>
    <w:p w14:paraId="4B53C38E">
      <w:pPr>
        <w:spacing w:before="43"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）有串通投标、弄虚作假、行贿或有其他违法</w:t>
      </w:r>
      <w:r>
        <w:rPr>
          <w:rFonts w:ascii="宋体" w:hAnsi="宋体" w:eastAsia="宋体" w:cs="宋体"/>
          <w:spacing w:val="-3"/>
          <w:sz w:val="21"/>
          <w:szCs w:val="21"/>
        </w:rPr>
        <w:t>行为；</w:t>
      </w:r>
    </w:p>
    <w:p w14:paraId="691502D0">
      <w:pPr>
        <w:spacing w:before="44"/>
        <w:ind w:left="454"/>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）有下列情形之一的，视为投标人相互串通投标：</w:t>
      </w:r>
    </w:p>
    <w:p w14:paraId="5E28E5C4">
      <w:pPr>
        <w:spacing w:before="43" w:line="217" w:lineRule="auto"/>
        <w:ind w:left="443"/>
        <w:rPr>
          <w:rFonts w:ascii="宋体" w:hAnsi="宋体" w:eastAsia="宋体" w:cs="宋体"/>
          <w:sz w:val="21"/>
          <w:szCs w:val="21"/>
        </w:rPr>
      </w:pPr>
      <w:r>
        <w:rPr>
          <w:rFonts w:ascii="宋体" w:hAnsi="宋体" w:eastAsia="宋体" w:cs="宋体"/>
          <w:spacing w:val="-2"/>
          <w:sz w:val="21"/>
          <w:szCs w:val="21"/>
        </w:rPr>
        <w:t>① 不同投标人的投标文件由同一单位或者个人编制；</w:t>
      </w:r>
    </w:p>
    <w:p w14:paraId="65DE2722">
      <w:pPr>
        <w:spacing w:before="53" w:line="217" w:lineRule="auto"/>
        <w:ind w:left="443"/>
        <w:rPr>
          <w:rFonts w:ascii="宋体" w:hAnsi="宋体" w:eastAsia="宋体" w:cs="宋体"/>
          <w:sz w:val="21"/>
          <w:szCs w:val="21"/>
        </w:rPr>
      </w:pPr>
      <w:r>
        <w:rPr>
          <w:rFonts w:ascii="宋体" w:hAnsi="宋体" w:eastAsia="宋体" w:cs="宋体"/>
          <w:spacing w:val="-2"/>
          <w:sz w:val="21"/>
          <w:szCs w:val="21"/>
        </w:rPr>
        <w:t>② 不同投标人委托同一单位或者个人办理投标事宜；</w:t>
      </w:r>
    </w:p>
    <w:p w14:paraId="731BCC8C">
      <w:pPr>
        <w:spacing w:before="68" w:line="217" w:lineRule="auto"/>
        <w:ind w:left="443"/>
        <w:rPr>
          <w:rFonts w:ascii="宋体" w:hAnsi="宋体" w:eastAsia="宋体" w:cs="宋体"/>
          <w:sz w:val="21"/>
          <w:szCs w:val="21"/>
        </w:rPr>
      </w:pPr>
      <w:r>
        <w:rPr>
          <w:rFonts w:ascii="宋体" w:hAnsi="宋体" w:eastAsia="宋体" w:cs="宋体"/>
          <w:spacing w:val="-1"/>
          <w:sz w:val="21"/>
          <w:szCs w:val="21"/>
        </w:rPr>
        <w:t>③ 不同投标人的投标文件载明的项目管理成员为同一人；</w:t>
      </w:r>
    </w:p>
    <w:p w14:paraId="15DB97D2">
      <w:pPr>
        <w:spacing w:before="69" w:line="217" w:lineRule="auto"/>
        <w:ind w:left="443"/>
        <w:rPr>
          <w:rFonts w:ascii="宋体" w:hAnsi="宋体" w:eastAsia="宋体" w:cs="宋体"/>
          <w:sz w:val="21"/>
          <w:szCs w:val="21"/>
        </w:rPr>
      </w:pPr>
      <w:r>
        <w:rPr>
          <w:rFonts w:ascii="宋体" w:hAnsi="宋体" w:eastAsia="宋体" w:cs="宋体"/>
          <w:spacing w:val="-2"/>
          <w:sz w:val="21"/>
          <w:szCs w:val="21"/>
        </w:rPr>
        <w:t>④ 不同投标人的投标文件异常一致或者投标报价呈规律性差异；</w:t>
      </w:r>
    </w:p>
    <w:p w14:paraId="3ABBB9F4">
      <w:pPr>
        <w:spacing w:line="217" w:lineRule="auto"/>
        <w:rPr>
          <w:rFonts w:ascii="宋体" w:hAnsi="宋体" w:eastAsia="宋体" w:cs="宋体"/>
          <w:sz w:val="21"/>
          <w:szCs w:val="21"/>
        </w:rPr>
        <w:sectPr>
          <w:footerReference r:id="rId71" w:type="default"/>
          <w:pgSz w:w="11910" w:h="16845"/>
          <w:pgMar w:top="400" w:right="1770" w:bottom="1110" w:left="1786" w:header="0" w:footer="883" w:gutter="0"/>
          <w:cols w:space="720" w:num="1"/>
        </w:sectPr>
      </w:pPr>
    </w:p>
    <w:p w14:paraId="2ADCEDA9">
      <w:pPr>
        <w:pStyle w:val="2"/>
        <w:spacing w:line="253" w:lineRule="auto"/>
      </w:pPr>
    </w:p>
    <w:p w14:paraId="1D1999C1">
      <w:pPr>
        <w:pStyle w:val="2"/>
        <w:spacing w:line="253" w:lineRule="auto"/>
      </w:pPr>
    </w:p>
    <w:p w14:paraId="2117F89D">
      <w:pPr>
        <w:pStyle w:val="2"/>
        <w:spacing w:line="253" w:lineRule="auto"/>
      </w:pPr>
    </w:p>
    <w:p w14:paraId="4A6F98A0">
      <w:pPr>
        <w:pStyle w:val="2"/>
        <w:spacing w:line="253" w:lineRule="auto"/>
      </w:pPr>
    </w:p>
    <w:p w14:paraId="4E05EA53">
      <w:pPr>
        <w:spacing w:before="68" w:line="217" w:lineRule="auto"/>
        <w:ind w:left="443"/>
        <w:rPr>
          <w:rFonts w:ascii="宋体" w:hAnsi="宋体" w:eastAsia="宋体" w:cs="宋体"/>
          <w:sz w:val="21"/>
          <w:szCs w:val="21"/>
        </w:rPr>
      </w:pPr>
      <w:r>
        <w:rPr>
          <w:rFonts w:ascii="宋体" w:hAnsi="宋体" w:eastAsia="宋体" w:cs="宋体"/>
          <w:spacing w:val="-3"/>
          <w:sz w:val="21"/>
          <w:szCs w:val="21"/>
        </w:rPr>
        <w:t>⑤ 不同投标人的投标文件相互混装；</w:t>
      </w:r>
    </w:p>
    <w:p w14:paraId="44E87CA1">
      <w:pPr>
        <w:spacing w:before="68" w:line="217" w:lineRule="auto"/>
        <w:ind w:left="443"/>
        <w:rPr>
          <w:rFonts w:ascii="宋体" w:hAnsi="宋体" w:eastAsia="宋体" w:cs="宋体"/>
          <w:sz w:val="21"/>
          <w:szCs w:val="21"/>
        </w:rPr>
      </w:pPr>
      <w:r>
        <w:rPr>
          <w:rFonts w:ascii="宋体" w:hAnsi="宋体" w:eastAsia="宋体" w:cs="宋体"/>
          <w:spacing w:val="-2"/>
          <w:sz w:val="21"/>
          <w:szCs w:val="21"/>
        </w:rPr>
        <w:t>⑥ 不同投标人的投标保证金从同一单位或者个人的账户转出；</w:t>
      </w:r>
    </w:p>
    <w:p w14:paraId="335E84CF">
      <w:pPr>
        <w:spacing w:before="67" w:line="239" w:lineRule="auto"/>
        <w:ind w:left="446"/>
        <w:rPr>
          <w:rFonts w:ascii="宋体" w:hAnsi="宋体" w:eastAsia="宋体" w:cs="宋体"/>
          <w:sz w:val="21"/>
          <w:szCs w:val="21"/>
        </w:rPr>
      </w:pPr>
      <w:r>
        <w:rPr>
          <w:rFonts w:ascii="Calibri" w:hAnsi="Calibri" w:eastAsia="Calibri" w:cs="Calibri"/>
          <w:spacing w:val="-6"/>
          <w:sz w:val="21"/>
          <w:szCs w:val="21"/>
        </w:rPr>
        <w:t>7</w:t>
      </w:r>
      <w:r>
        <w:rPr>
          <w:rFonts w:ascii="Calibri" w:hAnsi="Calibri" w:eastAsia="Calibri" w:cs="Calibri"/>
          <w:spacing w:val="28"/>
          <w:w w:val="101"/>
          <w:sz w:val="21"/>
          <w:szCs w:val="21"/>
        </w:rPr>
        <w:t xml:space="preserve"> </w:t>
      </w:r>
      <w:r>
        <w:rPr>
          <w:rFonts w:ascii="宋体" w:hAnsi="宋体" w:eastAsia="宋体" w:cs="宋体"/>
          <w:spacing w:val="-6"/>
          <w:sz w:val="21"/>
          <w:szCs w:val="21"/>
        </w:rPr>
        <w:t>不同投标人的投标文件存在“文件创建标识码”、“文件制作机器码”一致等情形。</w:t>
      </w:r>
    </w:p>
    <w:p w14:paraId="026F3326">
      <w:pPr>
        <w:spacing w:before="28" w:line="239" w:lineRule="auto"/>
        <w:ind w:left="448"/>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）有下列情形之一的，属于弄虚作假行为：</w:t>
      </w:r>
    </w:p>
    <w:p w14:paraId="766AFF83">
      <w:pPr>
        <w:spacing w:before="43" w:line="217" w:lineRule="auto"/>
        <w:ind w:right="2"/>
        <w:jc w:val="right"/>
        <w:rPr>
          <w:rFonts w:ascii="宋体" w:hAnsi="宋体" w:eastAsia="宋体" w:cs="宋体"/>
          <w:sz w:val="21"/>
          <w:szCs w:val="21"/>
        </w:rPr>
      </w:pPr>
      <w:r>
        <w:rPr>
          <w:rFonts w:ascii="宋体" w:hAnsi="宋体" w:eastAsia="宋体" w:cs="宋体"/>
          <w:spacing w:val="-5"/>
          <w:sz w:val="21"/>
          <w:szCs w:val="21"/>
        </w:rPr>
        <w:t>① 使用通过受让或者租借等方式获取的资格、资质证书投标的，</w:t>
      </w:r>
      <w:r>
        <w:rPr>
          <w:rFonts w:ascii="宋体" w:hAnsi="宋体" w:eastAsia="宋体" w:cs="宋体"/>
          <w:spacing w:val="-17"/>
          <w:sz w:val="21"/>
          <w:szCs w:val="21"/>
        </w:rPr>
        <w:t xml:space="preserve"> </w:t>
      </w:r>
      <w:r>
        <w:rPr>
          <w:rFonts w:ascii="宋体" w:hAnsi="宋体" w:eastAsia="宋体" w:cs="宋体"/>
          <w:spacing w:val="-5"/>
          <w:sz w:val="21"/>
          <w:szCs w:val="21"/>
        </w:rPr>
        <w:t>即以他人名义投标的。</w:t>
      </w:r>
    </w:p>
    <w:p w14:paraId="72A28225">
      <w:pPr>
        <w:spacing w:before="69" w:line="217" w:lineRule="auto"/>
        <w:ind w:left="443"/>
        <w:rPr>
          <w:rFonts w:ascii="宋体" w:hAnsi="宋体" w:eastAsia="宋体" w:cs="宋体"/>
          <w:sz w:val="21"/>
          <w:szCs w:val="21"/>
        </w:rPr>
      </w:pPr>
      <w:r>
        <w:rPr>
          <w:rFonts w:ascii="宋体" w:hAnsi="宋体" w:eastAsia="宋体" w:cs="宋体"/>
          <w:spacing w:val="-4"/>
          <w:sz w:val="21"/>
          <w:szCs w:val="21"/>
        </w:rPr>
        <w:t>② 使用伪造、变造的许可证件；</w:t>
      </w:r>
    </w:p>
    <w:p w14:paraId="0046862A">
      <w:pPr>
        <w:spacing w:before="68" w:line="217" w:lineRule="auto"/>
        <w:ind w:left="443"/>
        <w:rPr>
          <w:rFonts w:ascii="宋体" w:hAnsi="宋体" w:eastAsia="宋体" w:cs="宋体"/>
          <w:sz w:val="21"/>
          <w:szCs w:val="21"/>
        </w:rPr>
      </w:pPr>
      <w:r>
        <w:rPr>
          <w:rFonts w:ascii="宋体" w:hAnsi="宋体" w:eastAsia="宋体" w:cs="宋体"/>
          <w:spacing w:val="-3"/>
          <w:sz w:val="21"/>
          <w:szCs w:val="21"/>
        </w:rPr>
        <w:t>③ 提供虚假的财务状况或者业绩；</w:t>
      </w:r>
    </w:p>
    <w:p w14:paraId="089CCC8C">
      <w:pPr>
        <w:spacing w:before="69" w:line="217" w:lineRule="auto"/>
        <w:ind w:left="443"/>
        <w:rPr>
          <w:rFonts w:ascii="宋体" w:hAnsi="宋体" w:eastAsia="宋体" w:cs="宋体"/>
          <w:sz w:val="21"/>
          <w:szCs w:val="21"/>
        </w:rPr>
      </w:pPr>
      <w:r>
        <w:rPr>
          <w:rFonts w:ascii="宋体" w:hAnsi="宋体" w:eastAsia="宋体" w:cs="宋体"/>
          <w:spacing w:val="-2"/>
          <w:sz w:val="21"/>
          <w:szCs w:val="21"/>
        </w:rPr>
        <w:t>④ 提供虚假的项目负责人或者主要技术人员简历、劳动关系证明；</w:t>
      </w:r>
    </w:p>
    <w:p w14:paraId="78336D9F">
      <w:pPr>
        <w:spacing w:before="54" w:line="217" w:lineRule="auto"/>
        <w:ind w:left="443"/>
        <w:rPr>
          <w:rFonts w:ascii="宋体" w:hAnsi="宋体" w:eastAsia="宋体" w:cs="宋体"/>
          <w:sz w:val="21"/>
          <w:szCs w:val="21"/>
        </w:rPr>
      </w:pPr>
      <w:r>
        <w:rPr>
          <w:rFonts w:ascii="宋体" w:hAnsi="宋体" w:eastAsia="宋体" w:cs="宋体"/>
          <w:spacing w:val="-4"/>
          <w:sz w:val="21"/>
          <w:szCs w:val="21"/>
        </w:rPr>
        <w:t>⑤ 提供虚假的信用状况；</w:t>
      </w:r>
    </w:p>
    <w:p w14:paraId="17B37D76">
      <w:pPr>
        <w:spacing w:before="68" w:line="217" w:lineRule="auto"/>
        <w:ind w:left="488"/>
        <w:rPr>
          <w:rFonts w:ascii="宋体" w:hAnsi="宋体" w:eastAsia="宋体" w:cs="宋体"/>
          <w:sz w:val="21"/>
          <w:szCs w:val="21"/>
        </w:rPr>
      </w:pPr>
      <w:r>
        <w:rPr>
          <w:rFonts w:ascii="宋体" w:hAnsi="宋体" w:eastAsia="宋体" w:cs="宋体"/>
          <w:spacing w:val="-3"/>
          <w:sz w:val="21"/>
          <w:szCs w:val="21"/>
        </w:rPr>
        <w:t>⑥ 其他弄虚作假的行为。</w:t>
      </w:r>
    </w:p>
    <w:p w14:paraId="391C82EB">
      <w:pPr>
        <w:spacing w:before="67" w:line="273" w:lineRule="auto"/>
        <w:ind w:left="24" w:right="81" w:firstLine="422"/>
        <w:jc w:val="both"/>
        <w:rPr>
          <w:rFonts w:ascii="宋体" w:hAnsi="宋体" w:eastAsia="宋体" w:cs="宋体"/>
          <w:sz w:val="21"/>
          <w:szCs w:val="21"/>
        </w:rPr>
      </w:pPr>
      <w:r>
        <w:rPr>
          <w:rFonts w:ascii="Calibri" w:hAnsi="Calibri" w:eastAsia="Calibri" w:cs="Calibri"/>
          <w:spacing w:val="1"/>
          <w:sz w:val="21"/>
          <w:szCs w:val="21"/>
        </w:rPr>
        <w:t xml:space="preserve">3.1.3  </w:t>
      </w:r>
      <w:r>
        <w:rPr>
          <w:rFonts w:ascii="宋体" w:hAnsi="宋体" w:eastAsia="宋体" w:cs="宋体"/>
          <w:spacing w:val="1"/>
          <w:sz w:val="21"/>
          <w:szCs w:val="21"/>
        </w:rPr>
        <w:t>投标报价有算术错误的，评标委员会按以</w:t>
      </w:r>
      <w:r>
        <w:rPr>
          <w:rFonts w:ascii="宋体" w:hAnsi="宋体" w:eastAsia="宋体" w:cs="宋体"/>
          <w:sz w:val="21"/>
          <w:szCs w:val="21"/>
        </w:rPr>
        <w:t>下原则对投标报价进行修正，修正的价</w:t>
      </w:r>
      <w:r>
        <w:rPr>
          <w:rFonts w:ascii="宋体" w:hAnsi="宋体" w:eastAsia="宋体" w:cs="宋体"/>
          <w:spacing w:val="-4"/>
          <w:sz w:val="21"/>
          <w:szCs w:val="21"/>
        </w:rPr>
        <w:t>格经投标人书面确认后具有约束力。投标人不接受修正价格的，</w:t>
      </w:r>
      <w:r>
        <w:rPr>
          <w:rFonts w:ascii="宋体" w:hAnsi="宋体" w:eastAsia="宋体" w:cs="宋体"/>
          <w:spacing w:val="-26"/>
          <w:sz w:val="21"/>
          <w:szCs w:val="21"/>
        </w:rPr>
        <w:t xml:space="preserve"> </w:t>
      </w:r>
      <w:r>
        <w:rPr>
          <w:rFonts w:ascii="宋体" w:hAnsi="宋体" w:eastAsia="宋体" w:cs="宋体"/>
          <w:spacing w:val="-4"/>
          <w:sz w:val="21"/>
          <w:szCs w:val="21"/>
        </w:rPr>
        <w:t>或者修正后的投标报价超过</w:t>
      </w:r>
      <w:r>
        <w:rPr>
          <w:rFonts w:ascii="宋体" w:hAnsi="宋体" w:eastAsia="宋体" w:cs="宋体"/>
          <w:spacing w:val="-1"/>
          <w:sz w:val="21"/>
          <w:szCs w:val="21"/>
        </w:rPr>
        <w:t>最高投标限价的（如有</w:t>
      </w:r>
      <w:r>
        <w:rPr>
          <w:rFonts w:ascii="宋体" w:hAnsi="宋体" w:eastAsia="宋体" w:cs="宋体"/>
          <w:spacing w:val="-50"/>
          <w:sz w:val="21"/>
          <w:szCs w:val="21"/>
        </w:rPr>
        <w:t>），</w:t>
      </w:r>
      <w:r>
        <w:rPr>
          <w:rFonts w:ascii="宋体" w:hAnsi="宋体" w:eastAsia="宋体" w:cs="宋体"/>
          <w:spacing w:val="-1"/>
          <w:sz w:val="21"/>
          <w:szCs w:val="21"/>
        </w:rPr>
        <w:t>评标委员会应当否决其投标。</w:t>
      </w:r>
    </w:p>
    <w:p w14:paraId="5753AC88">
      <w:pPr>
        <w:spacing w:before="1" w:line="239" w:lineRule="auto"/>
        <w:ind w:left="450"/>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）投标文件中的大写金额与小写金额不一致的，以大写金额为准；</w:t>
      </w:r>
    </w:p>
    <w:p w14:paraId="30A5F17B">
      <w:pPr>
        <w:spacing w:before="42" w:line="269" w:lineRule="auto"/>
        <w:ind w:left="25" w:right="96" w:firstLine="424"/>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）总价金额与依据单价计算出的结果不一致的，以单价金额为准修正总价，但单价</w:t>
      </w:r>
      <w:r>
        <w:rPr>
          <w:rFonts w:ascii="宋体" w:hAnsi="宋体" w:eastAsia="宋体" w:cs="宋体"/>
          <w:spacing w:val="-3"/>
          <w:sz w:val="21"/>
          <w:szCs w:val="21"/>
        </w:rPr>
        <w:t>金额小数点有明显错误的除外。</w:t>
      </w:r>
    </w:p>
    <w:p w14:paraId="774A1988">
      <w:pPr>
        <w:spacing w:before="20" w:line="272" w:lineRule="auto"/>
        <w:ind w:left="25" w:right="81" w:firstLine="421"/>
        <w:rPr>
          <w:rFonts w:ascii="宋体" w:hAnsi="宋体" w:eastAsia="宋体" w:cs="宋体"/>
          <w:sz w:val="21"/>
          <w:szCs w:val="21"/>
        </w:rPr>
      </w:pPr>
      <w:r>
        <w:rPr>
          <w:rFonts w:ascii="Calibri" w:hAnsi="Calibri" w:eastAsia="Calibri" w:cs="Calibri"/>
          <w:spacing w:val="1"/>
          <w:sz w:val="21"/>
          <w:szCs w:val="21"/>
        </w:rPr>
        <w:t xml:space="preserve">3.1.4  </w:t>
      </w:r>
      <w:r>
        <w:rPr>
          <w:rFonts w:ascii="宋体" w:hAnsi="宋体" w:eastAsia="宋体" w:cs="宋体"/>
          <w:spacing w:val="1"/>
          <w:sz w:val="21"/>
          <w:szCs w:val="21"/>
        </w:rPr>
        <w:t>评标委员会发现投标人的报价明显低于其</w:t>
      </w:r>
      <w:r>
        <w:rPr>
          <w:rFonts w:ascii="宋体" w:hAnsi="宋体" w:eastAsia="宋体" w:cs="宋体"/>
          <w:sz w:val="21"/>
          <w:szCs w:val="21"/>
        </w:rPr>
        <w:t>他投标报价，或者在设有最高投标限价</w:t>
      </w:r>
      <w:r>
        <w:rPr>
          <w:rFonts w:ascii="宋体" w:hAnsi="宋体" w:eastAsia="宋体" w:cs="宋体"/>
          <w:spacing w:val="-2"/>
          <w:sz w:val="21"/>
          <w:szCs w:val="21"/>
        </w:rPr>
        <w:t>时明显低于最高投标限价，使得其投标报价可能低于其个别成本的，应当要求该投标人</w:t>
      </w:r>
      <w:r>
        <w:rPr>
          <w:rFonts w:ascii="宋体" w:hAnsi="宋体" w:eastAsia="宋体" w:cs="宋体"/>
          <w:spacing w:val="-3"/>
          <w:sz w:val="21"/>
          <w:szCs w:val="21"/>
        </w:rPr>
        <w:t>作出</w:t>
      </w:r>
      <w:r>
        <w:rPr>
          <w:rFonts w:ascii="宋体" w:hAnsi="宋体" w:eastAsia="宋体" w:cs="宋体"/>
          <w:spacing w:val="-5"/>
          <w:sz w:val="21"/>
          <w:szCs w:val="21"/>
        </w:rPr>
        <w:t>书面说明并提供相应的证明材料。投标人不能合理说明或者不能提供相应证明材料的， 由评</w:t>
      </w:r>
      <w:r>
        <w:rPr>
          <w:rFonts w:ascii="宋体" w:hAnsi="宋体" w:eastAsia="宋体" w:cs="宋体"/>
          <w:spacing w:val="-1"/>
          <w:sz w:val="21"/>
          <w:szCs w:val="21"/>
        </w:rPr>
        <w:t>标委员会认定该投标人以低于成本报价竞标，否决其投标。</w:t>
      </w:r>
    </w:p>
    <w:p w14:paraId="0DDD2E9F">
      <w:pPr>
        <w:spacing w:before="6" w:line="269" w:lineRule="auto"/>
        <w:ind w:left="23" w:right="128" w:firstLine="423"/>
        <w:rPr>
          <w:rFonts w:ascii="宋体" w:hAnsi="宋体" w:eastAsia="宋体" w:cs="宋体"/>
          <w:sz w:val="21"/>
          <w:szCs w:val="21"/>
        </w:rPr>
      </w:pPr>
      <w:r>
        <w:rPr>
          <w:rFonts w:ascii="Calibri" w:hAnsi="Calibri" w:eastAsia="Calibri" w:cs="Calibri"/>
          <w:sz w:val="21"/>
          <w:szCs w:val="21"/>
        </w:rPr>
        <w:t xml:space="preserve">3.1.5  </w:t>
      </w:r>
      <w:r>
        <w:rPr>
          <w:rFonts w:ascii="宋体" w:hAnsi="宋体" w:eastAsia="宋体" w:cs="宋体"/>
          <w:sz w:val="21"/>
          <w:szCs w:val="21"/>
        </w:rPr>
        <w:t>评标委员会否决不合格投标后</w:t>
      </w:r>
      <w:r>
        <w:rPr>
          <w:rFonts w:ascii="宋体" w:hAnsi="宋体" w:eastAsia="宋体" w:cs="宋体"/>
          <w:spacing w:val="-1"/>
          <w:sz w:val="21"/>
          <w:szCs w:val="21"/>
        </w:rPr>
        <w:t>，因有效投标不足三个使得投标明显缺乏竞争的，</w:t>
      </w:r>
      <w:r>
        <w:rPr>
          <w:rFonts w:ascii="宋体" w:hAnsi="宋体" w:eastAsia="宋体" w:cs="宋体"/>
          <w:spacing w:val="-3"/>
          <w:sz w:val="21"/>
          <w:szCs w:val="21"/>
        </w:rPr>
        <w:t>评标委员会可以否决全部投标。</w:t>
      </w:r>
    </w:p>
    <w:p w14:paraId="24CDDFF8">
      <w:pPr>
        <w:spacing w:before="136" w:line="368" w:lineRule="exact"/>
        <w:ind w:left="30"/>
        <w:outlineLvl w:val="4"/>
        <w:rPr>
          <w:rFonts w:ascii="黑体" w:hAnsi="黑体" w:eastAsia="黑体" w:cs="黑体"/>
          <w:sz w:val="28"/>
          <w:szCs w:val="28"/>
        </w:rPr>
      </w:pPr>
      <w:r>
        <w:rPr>
          <w:rFonts w:ascii="Calibri" w:hAnsi="Calibri" w:eastAsia="Calibri" w:cs="Calibri"/>
          <w:spacing w:val="5"/>
          <w:position w:val="1"/>
          <w:sz w:val="28"/>
          <w:szCs w:val="28"/>
        </w:rPr>
        <w:t xml:space="preserve">3.2  </w:t>
      </w:r>
      <w:r>
        <w:rPr>
          <w:rFonts w:ascii="黑体" w:hAnsi="黑体" w:eastAsia="黑体" w:cs="黑体"/>
          <w:spacing w:val="5"/>
          <w:position w:val="1"/>
          <w:sz w:val="28"/>
          <w:szCs w:val="28"/>
        </w:rPr>
        <w:t>详细评审</w:t>
      </w:r>
    </w:p>
    <w:p w14:paraId="3F5A14A5">
      <w:pPr>
        <w:spacing w:before="131" w:line="239" w:lineRule="auto"/>
        <w:ind w:left="446"/>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评标委员会对通过了初步评审的投标文件进行详细评审。</w:t>
      </w:r>
    </w:p>
    <w:p w14:paraId="7C37CBFD">
      <w:pPr>
        <w:spacing w:before="44" w:line="269" w:lineRule="auto"/>
        <w:ind w:left="25" w:right="84" w:firstLine="421"/>
        <w:rPr>
          <w:rFonts w:ascii="宋体" w:hAnsi="宋体" w:eastAsia="宋体" w:cs="宋体"/>
          <w:sz w:val="21"/>
          <w:szCs w:val="21"/>
        </w:rPr>
      </w:pPr>
      <w:r>
        <w:rPr>
          <w:rFonts w:ascii="Calibri" w:hAnsi="Calibri" w:eastAsia="Calibri" w:cs="Calibri"/>
          <w:sz w:val="21"/>
          <w:szCs w:val="21"/>
        </w:rPr>
        <w:t xml:space="preserve">3.2.2  </w:t>
      </w:r>
      <w:r>
        <w:rPr>
          <w:rFonts w:ascii="宋体" w:hAnsi="宋体" w:eastAsia="宋体" w:cs="宋体"/>
          <w:sz w:val="21"/>
          <w:szCs w:val="21"/>
        </w:rPr>
        <w:t>评标委员会按本章第</w:t>
      </w:r>
      <w:r>
        <w:rPr>
          <w:rFonts w:ascii="宋体" w:hAnsi="宋体" w:eastAsia="宋体" w:cs="宋体"/>
          <w:spacing w:val="-20"/>
          <w:sz w:val="21"/>
          <w:szCs w:val="21"/>
        </w:rPr>
        <w:t xml:space="preserve"> </w:t>
      </w:r>
      <w:r>
        <w:rPr>
          <w:rFonts w:ascii="Calibri" w:hAnsi="Calibri" w:eastAsia="Calibri" w:cs="Calibri"/>
          <w:sz w:val="21"/>
          <w:szCs w:val="21"/>
        </w:rPr>
        <w:t xml:space="preserve">2.2  </w:t>
      </w:r>
      <w:r>
        <w:rPr>
          <w:rFonts w:ascii="宋体" w:hAnsi="宋体" w:eastAsia="宋体" w:cs="宋体"/>
          <w:sz w:val="21"/>
          <w:szCs w:val="21"/>
        </w:rPr>
        <w:t>款规定的量化因素和分值进行打分，并计算出综</w:t>
      </w:r>
      <w:r>
        <w:rPr>
          <w:rFonts w:ascii="宋体" w:hAnsi="宋体" w:eastAsia="宋体" w:cs="宋体"/>
          <w:spacing w:val="-1"/>
          <w:sz w:val="21"/>
          <w:szCs w:val="21"/>
        </w:rPr>
        <w:t>合评估</w:t>
      </w:r>
      <w:r>
        <w:rPr>
          <w:rFonts w:ascii="宋体" w:hAnsi="宋体" w:eastAsia="宋体" w:cs="宋体"/>
          <w:spacing w:val="-9"/>
          <w:sz w:val="21"/>
          <w:szCs w:val="21"/>
        </w:rPr>
        <w:t>得分。</w:t>
      </w:r>
    </w:p>
    <w:p w14:paraId="2301D8A7">
      <w:pPr>
        <w:spacing w:before="19" w:line="238"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15"/>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）目规定的评审因素和分值对投标报价计算出得分</w:t>
      </w:r>
      <w:r>
        <w:rPr>
          <w:rFonts w:ascii="宋体" w:hAnsi="宋体" w:eastAsia="宋体" w:cs="宋体"/>
          <w:spacing w:val="-3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2E5768FD">
      <w:pPr>
        <w:spacing w:before="29"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）目规定的评审因素和分值对施工组织设计计</w:t>
      </w:r>
      <w:r>
        <w:rPr>
          <w:rFonts w:ascii="宋体" w:hAnsi="宋体" w:eastAsia="宋体" w:cs="宋体"/>
          <w:spacing w:val="-2"/>
          <w:sz w:val="21"/>
          <w:szCs w:val="21"/>
        </w:rPr>
        <w:t>算出得分</w:t>
      </w:r>
      <w:r>
        <w:rPr>
          <w:rFonts w:ascii="宋体" w:hAnsi="宋体" w:eastAsia="宋体" w:cs="宋体"/>
          <w:spacing w:val="-24"/>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p>
    <w:p w14:paraId="3BD7DD65">
      <w:pPr>
        <w:spacing w:before="43"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14"/>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）目规定的评审因素和分值对项目管理机构计算出得分</w:t>
      </w:r>
      <w:r>
        <w:rPr>
          <w:rFonts w:ascii="宋体" w:hAnsi="宋体" w:eastAsia="宋体" w:cs="宋体"/>
          <w:spacing w:val="-36"/>
          <w:sz w:val="21"/>
          <w:szCs w:val="21"/>
        </w:rPr>
        <w:t xml:space="preserve"> </w:t>
      </w:r>
      <w:r>
        <w:rPr>
          <w:rFonts w:ascii="Calibri" w:hAnsi="Calibri" w:eastAsia="Calibri" w:cs="Calibri"/>
          <w:spacing w:val="-1"/>
          <w:sz w:val="21"/>
          <w:szCs w:val="21"/>
        </w:rPr>
        <w:t>C</w:t>
      </w:r>
      <w:r>
        <w:rPr>
          <w:rFonts w:ascii="宋体" w:hAnsi="宋体" w:eastAsia="宋体" w:cs="宋体"/>
          <w:spacing w:val="-1"/>
          <w:sz w:val="21"/>
          <w:szCs w:val="21"/>
        </w:rPr>
        <w:t>；</w:t>
      </w:r>
    </w:p>
    <w:p w14:paraId="5F991099">
      <w:pPr>
        <w:spacing w:before="44" w:line="239" w:lineRule="auto"/>
        <w:ind w:left="45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）目规定的评审因素和分值对其他</w:t>
      </w:r>
      <w:r>
        <w:rPr>
          <w:rFonts w:ascii="宋体" w:hAnsi="宋体" w:eastAsia="宋体" w:cs="宋体"/>
          <w:spacing w:val="-2"/>
          <w:sz w:val="21"/>
          <w:szCs w:val="21"/>
        </w:rPr>
        <w:t>部分计算出得分</w:t>
      </w:r>
      <w:r>
        <w:rPr>
          <w:rFonts w:ascii="宋体" w:hAnsi="宋体" w:eastAsia="宋体" w:cs="宋体"/>
          <w:spacing w:val="-23"/>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019FB349">
      <w:pPr>
        <w:spacing w:before="43"/>
        <w:ind w:left="446"/>
        <w:rPr>
          <w:rFonts w:ascii="宋体" w:hAnsi="宋体" w:eastAsia="宋体" w:cs="宋体"/>
          <w:sz w:val="21"/>
          <w:szCs w:val="21"/>
        </w:rPr>
      </w:pPr>
      <w:r>
        <w:rPr>
          <w:rFonts w:ascii="Calibri" w:hAnsi="Calibri" w:eastAsia="Calibri" w:cs="Calibri"/>
          <w:sz w:val="21"/>
          <w:szCs w:val="21"/>
        </w:rPr>
        <w:t xml:space="preserve">3.2.2  </w:t>
      </w:r>
      <w:r>
        <w:rPr>
          <w:rFonts w:ascii="宋体" w:hAnsi="宋体" w:eastAsia="宋体" w:cs="宋体"/>
          <w:sz w:val="21"/>
          <w:szCs w:val="21"/>
        </w:rPr>
        <w:t>评分分值计算保留小数点后两位，小数点后第三位“四舍五入”。</w:t>
      </w:r>
    </w:p>
    <w:p w14:paraId="5845A57E">
      <w:pPr>
        <w:spacing w:before="42"/>
        <w:ind w:left="446"/>
        <w:rPr>
          <w:rFonts w:ascii="宋体" w:hAnsi="宋体" w:eastAsia="宋体" w:cs="宋体"/>
          <w:sz w:val="21"/>
          <w:szCs w:val="21"/>
        </w:rPr>
      </w:pPr>
      <w:r>
        <w:rPr>
          <w:rFonts w:ascii="Calibri" w:hAnsi="Calibri" w:eastAsia="Calibri" w:cs="Calibri"/>
          <w:spacing w:val="-1"/>
          <w:sz w:val="21"/>
          <w:szCs w:val="21"/>
        </w:rPr>
        <w:t xml:space="preserve">3.2.3  </w:t>
      </w:r>
      <w:r>
        <w:rPr>
          <w:rFonts w:ascii="宋体" w:hAnsi="宋体" w:eastAsia="宋体" w:cs="宋体"/>
          <w:spacing w:val="-1"/>
          <w:sz w:val="21"/>
          <w:szCs w:val="21"/>
        </w:rPr>
        <w:t>投标人得分</w:t>
      </w:r>
      <w:r>
        <w:rPr>
          <w:rFonts w:ascii="Calibri" w:hAnsi="Calibri" w:eastAsia="Calibri" w:cs="Calibri"/>
          <w:spacing w:val="-1"/>
          <w:sz w:val="21"/>
          <w:szCs w:val="21"/>
        </w:rPr>
        <w:t>=A+B+C+D</w:t>
      </w:r>
      <w:r>
        <w:rPr>
          <w:rFonts w:ascii="宋体" w:hAnsi="宋体" w:eastAsia="宋体" w:cs="宋体"/>
          <w:spacing w:val="-1"/>
          <w:sz w:val="21"/>
          <w:szCs w:val="21"/>
        </w:rPr>
        <w:t>。</w:t>
      </w:r>
    </w:p>
    <w:p w14:paraId="0DD64883">
      <w:pPr>
        <w:spacing w:before="27" w:line="269" w:lineRule="auto"/>
        <w:ind w:left="26" w:right="87" w:firstLine="420"/>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各投标人最终得分的确定办法</w:t>
      </w:r>
      <w:r>
        <w:rPr>
          <w:rFonts w:ascii="宋体" w:hAnsi="宋体" w:eastAsia="宋体" w:cs="宋体"/>
          <w:sz w:val="21"/>
          <w:szCs w:val="21"/>
        </w:rPr>
        <w:t>为：所有评标委员会成员的综合评分去掉一个最高</w:t>
      </w:r>
      <w:r>
        <w:rPr>
          <w:rFonts w:ascii="宋体" w:hAnsi="宋体" w:eastAsia="宋体" w:cs="宋体"/>
          <w:spacing w:val="-1"/>
          <w:sz w:val="21"/>
          <w:szCs w:val="21"/>
        </w:rPr>
        <w:t>分和一个最低分之后的算术平均值。</w:t>
      </w:r>
    </w:p>
    <w:p w14:paraId="414931ED">
      <w:pPr>
        <w:spacing w:before="135" w:line="368" w:lineRule="exact"/>
        <w:ind w:left="30"/>
        <w:outlineLvl w:val="4"/>
        <w:rPr>
          <w:rFonts w:ascii="黑体" w:hAnsi="黑体" w:eastAsia="黑体" w:cs="黑体"/>
          <w:sz w:val="28"/>
          <w:szCs w:val="28"/>
        </w:rPr>
      </w:pPr>
      <w:r>
        <w:rPr>
          <w:rFonts w:ascii="Calibri" w:hAnsi="Calibri" w:eastAsia="Calibri" w:cs="Calibri"/>
          <w:spacing w:val="3"/>
          <w:position w:val="1"/>
          <w:sz w:val="28"/>
          <w:szCs w:val="28"/>
        </w:rPr>
        <w:t xml:space="preserve">3.3  </w:t>
      </w:r>
      <w:r>
        <w:rPr>
          <w:rFonts w:ascii="黑体" w:hAnsi="黑体" w:eastAsia="黑体" w:cs="黑体"/>
          <w:spacing w:val="3"/>
          <w:position w:val="1"/>
          <w:sz w:val="28"/>
          <w:szCs w:val="28"/>
        </w:rPr>
        <w:t>投标文件的澄清和补正</w:t>
      </w:r>
    </w:p>
    <w:p w14:paraId="7D045BA9">
      <w:pPr>
        <w:spacing w:before="147" w:line="269" w:lineRule="auto"/>
        <w:ind w:left="23" w:firstLine="423"/>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在评标过程中，评标委员会可以书面形式要求投标人对投标文件中含</w:t>
      </w:r>
      <w:r>
        <w:rPr>
          <w:rFonts w:ascii="宋体" w:hAnsi="宋体" w:eastAsia="宋体" w:cs="宋体"/>
          <w:spacing w:val="-1"/>
          <w:sz w:val="21"/>
          <w:szCs w:val="21"/>
        </w:rPr>
        <w:t>义不明确、</w:t>
      </w:r>
      <w:r>
        <w:rPr>
          <w:rFonts w:ascii="宋体" w:hAnsi="宋体" w:eastAsia="宋体" w:cs="宋体"/>
          <w:spacing w:val="-5"/>
          <w:sz w:val="21"/>
          <w:szCs w:val="21"/>
        </w:rPr>
        <w:t>对同类问题表述不一致或者有明显文字和计算错误的内容作必要的澄清、说明或补正</w:t>
      </w:r>
      <w:r>
        <w:rPr>
          <w:rFonts w:ascii="宋体" w:hAnsi="宋体" w:eastAsia="宋体" w:cs="宋体"/>
          <w:spacing w:val="-6"/>
          <w:sz w:val="21"/>
          <w:szCs w:val="21"/>
        </w:rPr>
        <w:t>。澄清、</w:t>
      </w:r>
      <w:r>
        <w:rPr>
          <w:rFonts w:ascii="宋体" w:hAnsi="宋体" w:eastAsia="宋体" w:cs="宋体"/>
          <w:sz w:val="21"/>
          <w:szCs w:val="21"/>
        </w:rPr>
        <w:t>说明或补正应以书面方式进行。评标委员会</w:t>
      </w:r>
      <w:r>
        <w:rPr>
          <w:rFonts w:ascii="宋体" w:hAnsi="宋体" w:eastAsia="宋体" w:cs="宋体"/>
          <w:spacing w:val="-1"/>
          <w:sz w:val="21"/>
          <w:szCs w:val="21"/>
        </w:rPr>
        <w:t>不接受投标人主动提出的澄清、说明或补正。</w:t>
      </w:r>
    </w:p>
    <w:p w14:paraId="30D45656">
      <w:pPr>
        <w:spacing w:before="12" w:line="269" w:lineRule="auto"/>
        <w:ind w:left="25" w:right="95" w:firstLine="421"/>
        <w:rPr>
          <w:rFonts w:ascii="宋体" w:hAnsi="宋体" w:eastAsia="宋体" w:cs="宋体"/>
          <w:sz w:val="21"/>
          <w:szCs w:val="21"/>
        </w:rPr>
      </w:pPr>
      <w:r>
        <w:rPr>
          <w:rFonts w:ascii="Calibri" w:hAnsi="Calibri" w:eastAsia="Calibri" w:cs="Calibri"/>
          <w:spacing w:val="-5"/>
          <w:sz w:val="21"/>
          <w:szCs w:val="21"/>
        </w:rPr>
        <w:t xml:space="preserve">3.3.2  </w:t>
      </w:r>
      <w:r>
        <w:rPr>
          <w:rFonts w:ascii="宋体" w:hAnsi="宋体" w:eastAsia="宋体" w:cs="宋体"/>
          <w:spacing w:val="-5"/>
          <w:sz w:val="21"/>
          <w:szCs w:val="21"/>
        </w:rPr>
        <w:t>澄清、说明和补正不得超出投标文件的范围且不得改变投标文件的实质性内容（算</w:t>
      </w:r>
      <w:r>
        <w:rPr>
          <w:rFonts w:ascii="宋体" w:hAnsi="宋体" w:eastAsia="宋体" w:cs="宋体"/>
          <w:spacing w:val="-4"/>
          <w:sz w:val="21"/>
          <w:szCs w:val="21"/>
        </w:rPr>
        <w:t>术错误修正的除外）。投标人的书面澄清、说明和补正属于投标文件的组成部分。</w:t>
      </w:r>
    </w:p>
    <w:p w14:paraId="3127E11B">
      <w:pPr>
        <w:spacing w:before="19" w:line="256" w:lineRule="auto"/>
        <w:ind w:left="24" w:right="81" w:firstLine="422"/>
        <w:rPr>
          <w:rFonts w:ascii="宋体" w:hAnsi="宋体" w:eastAsia="宋体" w:cs="宋体"/>
          <w:sz w:val="21"/>
          <w:szCs w:val="21"/>
        </w:rPr>
      </w:pPr>
      <w:r>
        <w:rPr>
          <w:rFonts w:ascii="Calibri" w:hAnsi="Calibri" w:eastAsia="Calibri" w:cs="Calibri"/>
          <w:spacing w:val="1"/>
          <w:sz w:val="21"/>
          <w:szCs w:val="21"/>
        </w:rPr>
        <w:t xml:space="preserve">3.3.3  </w:t>
      </w:r>
      <w:r>
        <w:rPr>
          <w:rFonts w:ascii="宋体" w:hAnsi="宋体" w:eastAsia="宋体" w:cs="宋体"/>
          <w:spacing w:val="1"/>
          <w:sz w:val="21"/>
          <w:szCs w:val="21"/>
        </w:rPr>
        <w:t>评标委员会对投标人提交的澄清、说明或</w:t>
      </w:r>
      <w:r>
        <w:rPr>
          <w:rFonts w:ascii="宋体" w:hAnsi="宋体" w:eastAsia="宋体" w:cs="宋体"/>
          <w:sz w:val="21"/>
          <w:szCs w:val="21"/>
        </w:rPr>
        <w:t>补正有疑问的，可以要求投标人进一步</w:t>
      </w:r>
      <w:r>
        <w:rPr>
          <w:rFonts w:ascii="宋体" w:hAnsi="宋体" w:eastAsia="宋体" w:cs="宋体"/>
          <w:spacing w:val="-2"/>
          <w:sz w:val="21"/>
          <w:szCs w:val="21"/>
        </w:rPr>
        <w:t>澄清、说明或补正，直至满足评标委员会的要求。</w:t>
      </w:r>
    </w:p>
    <w:p w14:paraId="3A6B11AA">
      <w:pPr>
        <w:spacing w:line="256" w:lineRule="auto"/>
        <w:rPr>
          <w:rFonts w:ascii="宋体" w:hAnsi="宋体" w:eastAsia="宋体" w:cs="宋体"/>
          <w:sz w:val="21"/>
          <w:szCs w:val="21"/>
        </w:rPr>
        <w:sectPr>
          <w:footerReference r:id="rId72" w:type="default"/>
          <w:pgSz w:w="11910" w:h="16845"/>
          <w:pgMar w:top="400" w:right="1697" w:bottom="1110" w:left="1786" w:header="0" w:footer="883" w:gutter="0"/>
          <w:cols w:space="720" w:num="1"/>
        </w:sectPr>
      </w:pPr>
    </w:p>
    <w:p w14:paraId="162F6718">
      <w:pPr>
        <w:pStyle w:val="2"/>
        <w:spacing w:line="252" w:lineRule="auto"/>
      </w:pPr>
    </w:p>
    <w:p w14:paraId="288ABDAB">
      <w:pPr>
        <w:pStyle w:val="2"/>
        <w:spacing w:line="252" w:lineRule="auto"/>
      </w:pPr>
    </w:p>
    <w:p w14:paraId="714784EB">
      <w:pPr>
        <w:pStyle w:val="2"/>
        <w:spacing w:line="253" w:lineRule="auto"/>
      </w:pPr>
    </w:p>
    <w:p w14:paraId="4F77C203">
      <w:pPr>
        <w:pStyle w:val="2"/>
        <w:spacing w:line="253" w:lineRule="auto"/>
      </w:pPr>
    </w:p>
    <w:p w14:paraId="4067E98F">
      <w:pPr>
        <w:spacing w:before="68" w:line="269" w:lineRule="auto"/>
        <w:ind w:left="24" w:right="85" w:firstLine="422"/>
        <w:rPr>
          <w:rFonts w:ascii="宋体" w:hAnsi="宋体" w:eastAsia="宋体" w:cs="宋体"/>
          <w:sz w:val="21"/>
          <w:szCs w:val="21"/>
        </w:rPr>
      </w:pPr>
      <w:r>
        <w:rPr>
          <w:rFonts w:ascii="Calibri" w:hAnsi="Calibri" w:eastAsia="Calibri" w:cs="Calibri"/>
          <w:spacing w:val="1"/>
          <w:sz w:val="21"/>
          <w:szCs w:val="21"/>
        </w:rPr>
        <w:t xml:space="preserve">3.3.4  </w:t>
      </w:r>
      <w:r>
        <w:rPr>
          <w:rFonts w:ascii="宋体" w:hAnsi="宋体" w:eastAsia="宋体" w:cs="宋体"/>
          <w:spacing w:val="1"/>
          <w:sz w:val="21"/>
          <w:szCs w:val="21"/>
        </w:rPr>
        <w:t>评标委员会要求投标人对投标文件问题澄</w:t>
      </w:r>
      <w:r>
        <w:rPr>
          <w:rFonts w:ascii="宋体" w:hAnsi="宋体" w:eastAsia="宋体" w:cs="宋体"/>
          <w:sz w:val="21"/>
          <w:szCs w:val="21"/>
        </w:rPr>
        <w:t>清的通知，以及投标人对投标文件的澄</w:t>
      </w:r>
      <w:r>
        <w:rPr>
          <w:rFonts w:ascii="宋体" w:hAnsi="宋体" w:eastAsia="宋体" w:cs="宋体"/>
          <w:spacing w:val="-4"/>
          <w:sz w:val="21"/>
          <w:szCs w:val="21"/>
        </w:rPr>
        <w:t>清通过“电子交易平台”“投标文件澄清”菜</w:t>
      </w:r>
      <w:r>
        <w:rPr>
          <w:rFonts w:ascii="宋体" w:hAnsi="宋体" w:eastAsia="宋体" w:cs="宋体"/>
          <w:spacing w:val="-5"/>
          <w:sz w:val="21"/>
          <w:szCs w:val="21"/>
        </w:rPr>
        <w:t>单以书面形式进行。</w:t>
      </w:r>
    </w:p>
    <w:p w14:paraId="327F03CE">
      <w:pPr>
        <w:spacing w:before="134" w:line="369" w:lineRule="exact"/>
        <w:ind w:left="30"/>
        <w:outlineLvl w:val="4"/>
        <w:rPr>
          <w:rFonts w:ascii="黑体" w:hAnsi="黑体" w:eastAsia="黑体" w:cs="黑体"/>
          <w:sz w:val="28"/>
          <w:szCs w:val="28"/>
        </w:rPr>
      </w:pPr>
      <w:r>
        <w:rPr>
          <w:rFonts w:ascii="Calibri" w:hAnsi="Calibri" w:eastAsia="Calibri" w:cs="Calibri"/>
          <w:spacing w:val="5"/>
          <w:position w:val="1"/>
          <w:sz w:val="28"/>
          <w:szCs w:val="28"/>
        </w:rPr>
        <w:t xml:space="preserve">3.4  </w:t>
      </w:r>
      <w:r>
        <w:rPr>
          <w:rFonts w:ascii="黑体" w:hAnsi="黑体" w:eastAsia="黑体" w:cs="黑体"/>
          <w:spacing w:val="5"/>
          <w:position w:val="1"/>
          <w:sz w:val="28"/>
          <w:szCs w:val="28"/>
        </w:rPr>
        <w:t>评标结果</w:t>
      </w:r>
    </w:p>
    <w:p w14:paraId="6768EC09">
      <w:pPr>
        <w:spacing w:before="131" w:line="269" w:lineRule="auto"/>
        <w:ind w:left="25" w:right="74" w:firstLine="421"/>
        <w:rPr>
          <w:rFonts w:ascii="宋体" w:hAnsi="宋体" w:eastAsia="宋体" w:cs="宋体"/>
          <w:sz w:val="21"/>
          <w:szCs w:val="21"/>
        </w:rPr>
      </w:pPr>
      <w:r>
        <w:rPr>
          <w:rFonts w:ascii="Calibri" w:hAnsi="Calibri" w:eastAsia="Calibri" w:cs="Calibri"/>
          <w:spacing w:val="-3"/>
          <w:sz w:val="21"/>
          <w:szCs w:val="21"/>
        </w:rPr>
        <w:t>3.4.1</w:t>
      </w:r>
      <w:r>
        <w:rPr>
          <w:rFonts w:ascii="Calibri" w:hAnsi="Calibri" w:eastAsia="Calibri" w:cs="Calibri"/>
          <w:spacing w:val="32"/>
          <w:w w:val="101"/>
          <w:sz w:val="21"/>
          <w:szCs w:val="21"/>
        </w:rPr>
        <w:t xml:space="preserve"> </w:t>
      </w:r>
      <w:r>
        <w:rPr>
          <w:rFonts w:ascii="宋体" w:hAnsi="宋体" w:eastAsia="宋体" w:cs="宋体"/>
          <w:spacing w:val="-3"/>
          <w:sz w:val="21"/>
          <w:szCs w:val="21"/>
        </w:rPr>
        <w:t>除第二章“投标人须知”前附表第</w:t>
      </w:r>
      <w:r>
        <w:rPr>
          <w:rFonts w:ascii="宋体" w:hAnsi="宋体" w:eastAsia="宋体" w:cs="宋体"/>
          <w:spacing w:val="-37"/>
          <w:sz w:val="21"/>
          <w:szCs w:val="21"/>
        </w:rPr>
        <w:t xml:space="preserve"> </w:t>
      </w:r>
      <w:r>
        <w:rPr>
          <w:rFonts w:ascii="Calibri" w:hAnsi="Calibri" w:eastAsia="Calibri" w:cs="Calibri"/>
          <w:spacing w:val="-3"/>
          <w:sz w:val="21"/>
          <w:szCs w:val="21"/>
        </w:rPr>
        <w:t>7.1</w:t>
      </w:r>
      <w:r>
        <w:rPr>
          <w:rFonts w:ascii="Calibri" w:hAnsi="Calibri" w:eastAsia="Calibri" w:cs="Calibri"/>
          <w:spacing w:val="21"/>
          <w:sz w:val="21"/>
          <w:szCs w:val="21"/>
        </w:rPr>
        <w:t xml:space="preserve"> </w:t>
      </w:r>
      <w:r>
        <w:rPr>
          <w:rFonts w:ascii="宋体" w:hAnsi="宋体" w:eastAsia="宋体" w:cs="宋体"/>
          <w:spacing w:val="-3"/>
          <w:sz w:val="21"/>
          <w:szCs w:val="21"/>
        </w:rPr>
        <w:t>款授权直</w:t>
      </w:r>
      <w:r>
        <w:rPr>
          <w:rFonts w:ascii="宋体" w:hAnsi="宋体" w:eastAsia="宋体" w:cs="宋体"/>
          <w:spacing w:val="-4"/>
          <w:sz w:val="21"/>
          <w:szCs w:val="21"/>
        </w:rPr>
        <w:t>接确定中标人外，评标委员会按照</w:t>
      </w:r>
      <w:r>
        <w:rPr>
          <w:rFonts w:ascii="宋体" w:hAnsi="宋体" w:eastAsia="宋体" w:cs="宋体"/>
          <w:spacing w:val="-2"/>
          <w:sz w:val="21"/>
          <w:szCs w:val="21"/>
        </w:rPr>
        <w:t>得分由高到低的顺序推荐中标候选人。</w:t>
      </w:r>
    </w:p>
    <w:p w14:paraId="250D2D71">
      <w:pPr>
        <w:spacing w:before="18" w:line="271" w:lineRule="auto"/>
        <w:ind w:left="25" w:firstLine="421"/>
        <w:rPr>
          <w:rFonts w:ascii="宋体" w:hAnsi="宋体" w:eastAsia="宋体" w:cs="宋体"/>
          <w:sz w:val="21"/>
          <w:szCs w:val="21"/>
        </w:rPr>
      </w:pPr>
      <w:r>
        <w:rPr>
          <w:rFonts w:ascii="Calibri" w:hAnsi="Calibri" w:eastAsia="Calibri" w:cs="Calibri"/>
          <w:spacing w:val="-3"/>
          <w:sz w:val="21"/>
          <w:szCs w:val="21"/>
        </w:rPr>
        <w:t>3.4.2</w:t>
      </w:r>
      <w:r>
        <w:rPr>
          <w:rFonts w:ascii="Calibri" w:hAnsi="Calibri" w:eastAsia="Calibri" w:cs="Calibri"/>
          <w:spacing w:val="21"/>
          <w:sz w:val="21"/>
          <w:szCs w:val="21"/>
        </w:rPr>
        <w:t xml:space="preserve"> </w:t>
      </w:r>
      <w:r>
        <w:rPr>
          <w:rFonts w:ascii="宋体" w:hAnsi="宋体" w:eastAsia="宋体" w:cs="宋体"/>
          <w:spacing w:val="-3"/>
          <w:sz w:val="21"/>
          <w:szCs w:val="21"/>
        </w:rPr>
        <w:t>招标文件允许多标段投标、多标段</w:t>
      </w:r>
      <w:r>
        <w:rPr>
          <w:rFonts w:ascii="宋体" w:hAnsi="宋体" w:eastAsia="宋体" w:cs="宋体"/>
          <w:spacing w:val="-4"/>
          <w:sz w:val="21"/>
          <w:szCs w:val="21"/>
        </w:rPr>
        <w:t>中标的，各标段中标候选人的推荐按第二章“投</w:t>
      </w:r>
      <w:r>
        <w:rPr>
          <w:rFonts w:ascii="宋体" w:hAnsi="宋体" w:eastAsia="宋体" w:cs="宋体"/>
          <w:spacing w:val="-3"/>
          <w:sz w:val="21"/>
          <w:szCs w:val="21"/>
        </w:rPr>
        <w:t>标人须知”</w:t>
      </w:r>
      <w:r>
        <w:rPr>
          <w:rFonts w:ascii="宋体" w:hAnsi="宋体" w:eastAsia="宋体" w:cs="宋体"/>
          <w:spacing w:val="-68"/>
          <w:sz w:val="21"/>
          <w:szCs w:val="21"/>
        </w:rPr>
        <w:t xml:space="preserve"> </w:t>
      </w:r>
      <w:r>
        <w:rPr>
          <w:rFonts w:ascii="宋体" w:hAnsi="宋体" w:eastAsia="宋体" w:cs="宋体"/>
          <w:spacing w:val="-3"/>
          <w:sz w:val="21"/>
          <w:szCs w:val="21"/>
        </w:rPr>
        <w:t>第</w:t>
      </w:r>
      <w:r>
        <w:rPr>
          <w:rFonts w:ascii="宋体" w:hAnsi="宋体" w:eastAsia="宋体" w:cs="宋体"/>
          <w:spacing w:val="-26"/>
          <w:sz w:val="21"/>
          <w:szCs w:val="21"/>
        </w:rPr>
        <w:t xml:space="preserve"> </w:t>
      </w:r>
      <w:r>
        <w:rPr>
          <w:rFonts w:ascii="Calibri" w:hAnsi="Calibri" w:eastAsia="Calibri" w:cs="Calibri"/>
          <w:spacing w:val="-3"/>
          <w:sz w:val="21"/>
          <w:szCs w:val="21"/>
        </w:rPr>
        <w:t>10.1</w:t>
      </w:r>
      <w:r>
        <w:rPr>
          <w:rFonts w:ascii="Calibri" w:hAnsi="Calibri" w:eastAsia="Calibri" w:cs="Calibri"/>
          <w:spacing w:val="21"/>
          <w:sz w:val="21"/>
          <w:szCs w:val="21"/>
        </w:rPr>
        <w:t xml:space="preserve"> </w:t>
      </w:r>
      <w:r>
        <w:rPr>
          <w:rFonts w:ascii="宋体" w:hAnsi="宋体" w:eastAsia="宋体" w:cs="宋体"/>
          <w:spacing w:val="-3"/>
          <w:sz w:val="21"/>
          <w:szCs w:val="21"/>
        </w:rPr>
        <w:t>款规定执行，对某些标段由此产生的空缺由排序在后的投</w:t>
      </w:r>
      <w:r>
        <w:rPr>
          <w:rFonts w:ascii="宋体" w:hAnsi="宋体" w:eastAsia="宋体" w:cs="宋体"/>
          <w:spacing w:val="-4"/>
          <w:sz w:val="21"/>
          <w:szCs w:val="21"/>
        </w:rPr>
        <w:t>标人依次替补。</w:t>
      </w:r>
    </w:p>
    <w:p w14:paraId="796DA52F">
      <w:pPr>
        <w:spacing w:line="238" w:lineRule="auto"/>
        <w:ind w:left="446"/>
        <w:rPr>
          <w:rFonts w:ascii="宋体" w:hAnsi="宋体" w:eastAsia="宋体" w:cs="宋体"/>
          <w:sz w:val="21"/>
          <w:szCs w:val="21"/>
        </w:rPr>
      </w:pPr>
      <w:r>
        <w:rPr>
          <w:rFonts w:ascii="Calibri" w:hAnsi="Calibri" w:eastAsia="Calibri" w:cs="Calibri"/>
          <w:spacing w:val="-1"/>
          <w:sz w:val="21"/>
          <w:szCs w:val="21"/>
        </w:rPr>
        <w:t xml:space="preserve">3.4.3  </w:t>
      </w:r>
      <w:r>
        <w:rPr>
          <w:rFonts w:ascii="宋体" w:hAnsi="宋体" w:eastAsia="宋体" w:cs="宋体"/>
          <w:spacing w:val="-1"/>
          <w:sz w:val="21"/>
          <w:szCs w:val="21"/>
        </w:rPr>
        <w:t>评标委员会完成评标后，应当向招标人提交书面评标报告。</w:t>
      </w:r>
    </w:p>
    <w:p w14:paraId="0A9E67C2">
      <w:pPr>
        <w:spacing w:line="238" w:lineRule="auto"/>
        <w:rPr>
          <w:rFonts w:ascii="宋体" w:hAnsi="宋体" w:eastAsia="宋体" w:cs="宋体"/>
          <w:sz w:val="21"/>
          <w:szCs w:val="21"/>
        </w:rPr>
        <w:sectPr>
          <w:footerReference r:id="rId73" w:type="default"/>
          <w:pgSz w:w="11910" w:h="16845"/>
          <w:pgMar w:top="400" w:right="1693" w:bottom="1110" w:left="1786" w:header="0" w:footer="883" w:gutter="0"/>
          <w:cols w:space="720" w:num="1"/>
        </w:sectPr>
      </w:pPr>
    </w:p>
    <w:p w14:paraId="0C9E75A0">
      <w:pPr>
        <w:pStyle w:val="2"/>
        <w:spacing w:line="243" w:lineRule="auto"/>
      </w:pPr>
    </w:p>
    <w:p w14:paraId="486E5917">
      <w:pPr>
        <w:pStyle w:val="2"/>
        <w:spacing w:line="243" w:lineRule="auto"/>
      </w:pPr>
    </w:p>
    <w:p w14:paraId="773AEFC8">
      <w:pPr>
        <w:pStyle w:val="2"/>
        <w:spacing w:line="243" w:lineRule="auto"/>
      </w:pPr>
    </w:p>
    <w:p w14:paraId="1B33A9DD">
      <w:pPr>
        <w:pStyle w:val="2"/>
        <w:spacing w:line="243" w:lineRule="auto"/>
      </w:pPr>
    </w:p>
    <w:p w14:paraId="0493C5C5">
      <w:pPr>
        <w:pStyle w:val="2"/>
        <w:spacing w:line="243" w:lineRule="auto"/>
      </w:pPr>
    </w:p>
    <w:p w14:paraId="024F58B2">
      <w:pPr>
        <w:pStyle w:val="2"/>
        <w:spacing w:line="244" w:lineRule="auto"/>
      </w:pPr>
    </w:p>
    <w:p w14:paraId="20D9578F">
      <w:pPr>
        <w:pStyle w:val="2"/>
        <w:spacing w:line="244" w:lineRule="auto"/>
      </w:pPr>
    </w:p>
    <w:p w14:paraId="653EDB8B">
      <w:pPr>
        <w:spacing w:before="140" w:line="221" w:lineRule="auto"/>
        <w:ind w:left="1850"/>
        <w:outlineLvl w:val="0"/>
        <w:rPr>
          <w:rFonts w:ascii="宋体" w:hAnsi="宋体" w:eastAsia="宋体" w:cs="宋体"/>
          <w:sz w:val="43"/>
          <w:szCs w:val="43"/>
        </w:rPr>
      </w:pPr>
      <w:bookmarkStart w:id="38" w:name="bookmark36"/>
      <w:bookmarkEnd w:id="38"/>
      <w:bookmarkStart w:id="39" w:name="bookmark37"/>
      <w:bookmarkEnd w:id="39"/>
      <w:r>
        <w:rPr>
          <w:rFonts w:ascii="宋体" w:hAnsi="宋体" w:eastAsia="宋体" w:cs="宋体"/>
          <w:b/>
          <w:bCs/>
          <w:spacing w:val="9"/>
          <w:sz w:val="43"/>
          <w:szCs w:val="43"/>
        </w:rPr>
        <w:t>第四章</w:t>
      </w:r>
      <w:r>
        <w:rPr>
          <w:rFonts w:ascii="宋体" w:hAnsi="宋体" w:eastAsia="宋体" w:cs="宋体"/>
          <w:spacing w:val="9"/>
          <w:sz w:val="43"/>
          <w:szCs w:val="43"/>
        </w:rPr>
        <w:t xml:space="preserve"> </w:t>
      </w:r>
      <w:r>
        <w:rPr>
          <w:rFonts w:ascii="宋体" w:hAnsi="宋体" w:eastAsia="宋体" w:cs="宋体"/>
          <w:b/>
          <w:bCs/>
          <w:spacing w:val="9"/>
          <w:sz w:val="43"/>
          <w:szCs w:val="43"/>
        </w:rPr>
        <w:t>合同条款及格式</w:t>
      </w:r>
    </w:p>
    <w:p w14:paraId="051D0FF7">
      <w:pPr>
        <w:pStyle w:val="2"/>
        <w:spacing w:line="254" w:lineRule="auto"/>
      </w:pPr>
    </w:p>
    <w:p w14:paraId="727BB69A">
      <w:pPr>
        <w:pStyle w:val="2"/>
        <w:spacing w:line="254" w:lineRule="auto"/>
      </w:pPr>
    </w:p>
    <w:p w14:paraId="7F3277DD">
      <w:pPr>
        <w:pStyle w:val="2"/>
        <w:spacing w:line="254" w:lineRule="auto"/>
      </w:pPr>
    </w:p>
    <w:p w14:paraId="702D15FE">
      <w:pPr>
        <w:pStyle w:val="2"/>
        <w:spacing w:line="254" w:lineRule="auto"/>
      </w:pPr>
    </w:p>
    <w:p w14:paraId="0653F58D">
      <w:pPr>
        <w:pStyle w:val="2"/>
        <w:spacing w:line="254" w:lineRule="auto"/>
      </w:pPr>
    </w:p>
    <w:p w14:paraId="372BCE37">
      <w:pPr>
        <w:pStyle w:val="2"/>
        <w:spacing w:line="254" w:lineRule="auto"/>
      </w:pPr>
    </w:p>
    <w:p w14:paraId="5BD830BC">
      <w:pPr>
        <w:pStyle w:val="2"/>
        <w:spacing w:line="254" w:lineRule="auto"/>
      </w:pPr>
    </w:p>
    <w:p w14:paraId="60A08670">
      <w:pPr>
        <w:pStyle w:val="2"/>
        <w:spacing w:line="254" w:lineRule="auto"/>
      </w:pPr>
    </w:p>
    <w:p w14:paraId="324573A7">
      <w:pPr>
        <w:spacing w:before="91" w:line="222" w:lineRule="auto"/>
        <w:ind w:left="2760"/>
        <w:outlineLvl w:val="1"/>
        <w:rPr>
          <w:rFonts w:ascii="黑体" w:hAnsi="黑体" w:eastAsia="黑体" w:cs="黑体"/>
          <w:sz w:val="28"/>
          <w:szCs w:val="28"/>
        </w:rPr>
      </w:pPr>
      <w:r>
        <w:rPr>
          <w:rFonts w:ascii="黑体" w:hAnsi="黑体" w:eastAsia="黑体" w:cs="黑体"/>
          <w:spacing w:val="8"/>
          <w:sz w:val="28"/>
          <w:szCs w:val="28"/>
        </w:rPr>
        <w:t>第一节</w:t>
      </w:r>
      <w:r>
        <w:rPr>
          <w:rFonts w:ascii="黑体" w:hAnsi="黑体" w:eastAsia="黑体" w:cs="黑体"/>
          <w:spacing w:val="112"/>
          <w:sz w:val="28"/>
          <w:szCs w:val="28"/>
        </w:rPr>
        <w:t xml:space="preserve"> </w:t>
      </w:r>
      <w:r>
        <w:rPr>
          <w:rFonts w:ascii="黑体" w:hAnsi="黑体" w:eastAsia="黑体" w:cs="黑体"/>
          <w:spacing w:val="8"/>
          <w:sz w:val="28"/>
          <w:szCs w:val="28"/>
        </w:rPr>
        <w:t>通用合同条款</w:t>
      </w:r>
    </w:p>
    <w:p w14:paraId="2A8EEBAB">
      <w:pPr>
        <w:spacing w:line="222" w:lineRule="auto"/>
        <w:rPr>
          <w:rFonts w:ascii="黑体" w:hAnsi="黑体" w:eastAsia="黑体" w:cs="黑体"/>
          <w:sz w:val="28"/>
          <w:szCs w:val="28"/>
        </w:rPr>
        <w:sectPr>
          <w:footerReference r:id="rId74" w:type="default"/>
          <w:pgSz w:w="11910" w:h="16845"/>
          <w:pgMar w:top="400" w:right="1786" w:bottom="1110" w:left="1786" w:header="0" w:footer="883" w:gutter="0"/>
          <w:cols w:space="720" w:num="1"/>
        </w:sectPr>
      </w:pPr>
    </w:p>
    <w:p w14:paraId="75DBE9FD">
      <w:pPr>
        <w:pStyle w:val="2"/>
        <w:spacing w:line="261" w:lineRule="auto"/>
      </w:pPr>
    </w:p>
    <w:p w14:paraId="2B6E3D8C">
      <w:pPr>
        <w:pStyle w:val="2"/>
        <w:spacing w:line="261" w:lineRule="auto"/>
      </w:pPr>
    </w:p>
    <w:p w14:paraId="7AEED14D">
      <w:pPr>
        <w:pStyle w:val="2"/>
        <w:spacing w:line="261" w:lineRule="auto"/>
      </w:pPr>
    </w:p>
    <w:p w14:paraId="4603A07F">
      <w:pPr>
        <w:pStyle w:val="2"/>
        <w:spacing w:line="262" w:lineRule="auto"/>
      </w:pPr>
    </w:p>
    <w:p w14:paraId="570EF059">
      <w:pPr>
        <w:pStyle w:val="2"/>
        <w:spacing w:line="262" w:lineRule="auto"/>
      </w:pPr>
    </w:p>
    <w:p w14:paraId="3AA9DAC5">
      <w:pPr>
        <w:pStyle w:val="2"/>
        <w:spacing w:line="262" w:lineRule="auto"/>
      </w:pPr>
    </w:p>
    <w:p w14:paraId="6AA3688C">
      <w:pPr>
        <w:pStyle w:val="2"/>
        <w:spacing w:line="262" w:lineRule="auto"/>
      </w:pPr>
    </w:p>
    <w:p w14:paraId="68E6FB3E">
      <w:pPr>
        <w:pStyle w:val="2"/>
        <w:spacing w:line="262" w:lineRule="auto"/>
      </w:pPr>
    </w:p>
    <w:p w14:paraId="4D63A6A8">
      <w:pPr>
        <w:pStyle w:val="2"/>
        <w:spacing w:line="262" w:lineRule="auto"/>
      </w:pPr>
    </w:p>
    <w:p w14:paraId="5CBE6FC2">
      <w:pPr>
        <w:pStyle w:val="2"/>
        <w:spacing w:line="262" w:lineRule="auto"/>
      </w:pPr>
    </w:p>
    <w:p w14:paraId="462F42E0">
      <w:pPr>
        <w:pStyle w:val="2"/>
        <w:spacing w:line="262" w:lineRule="auto"/>
      </w:pPr>
    </w:p>
    <w:p w14:paraId="57BD82C6">
      <w:pPr>
        <w:spacing w:before="91" w:line="223" w:lineRule="auto"/>
        <w:ind w:left="3313"/>
        <w:rPr>
          <w:rFonts w:ascii="黑体" w:hAnsi="黑体" w:eastAsia="黑体" w:cs="黑体"/>
          <w:sz w:val="28"/>
          <w:szCs w:val="28"/>
        </w:rPr>
      </w:pPr>
      <w:r>
        <w:rPr>
          <w:rFonts w:ascii="黑体" w:hAnsi="黑体" w:eastAsia="黑体" w:cs="黑体"/>
          <w:spacing w:val="8"/>
          <w:sz w:val="28"/>
          <w:szCs w:val="28"/>
        </w:rPr>
        <w:t>通用合同条款</w:t>
      </w:r>
    </w:p>
    <w:p w14:paraId="4F300211">
      <w:pPr>
        <w:pStyle w:val="2"/>
        <w:spacing w:line="269" w:lineRule="auto"/>
      </w:pPr>
    </w:p>
    <w:p w14:paraId="6A2281FB">
      <w:pPr>
        <w:pStyle w:val="2"/>
        <w:spacing w:line="269" w:lineRule="auto"/>
      </w:pPr>
    </w:p>
    <w:p w14:paraId="077C48D7">
      <w:pPr>
        <w:pStyle w:val="2"/>
        <w:spacing w:line="269" w:lineRule="auto"/>
      </w:pPr>
    </w:p>
    <w:p w14:paraId="777EF0B3">
      <w:pPr>
        <w:pStyle w:val="2"/>
        <w:spacing w:line="269" w:lineRule="auto"/>
      </w:pPr>
    </w:p>
    <w:p w14:paraId="457CA7F3">
      <w:pPr>
        <w:pStyle w:val="2"/>
        <w:spacing w:line="270" w:lineRule="auto"/>
      </w:pPr>
    </w:p>
    <w:p w14:paraId="6B9FFFA2">
      <w:pPr>
        <w:pStyle w:val="2"/>
        <w:spacing w:line="270" w:lineRule="auto"/>
      </w:pPr>
    </w:p>
    <w:p w14:paraId="34CD89A8">
      <w:pPr>
        <w:spacing w:before="91" w:line="236" w:lineRule="auto"/>
        <w:ind w:left="49"/>
        <w:outlineLvl w:val="1"/>
        <w:rPr>
          <w:rFonts w:ascii="黑体" w:hAnsi="黑体" w:eastAsia="黑体" w:cs="黑体"/>
          <w:sz w:val="28"/>
          <w:szCs w:val="28"/>
        </w:rPr>
      </w:pPr>
      <w:bookmarkStart w:id="40" w:name="bookmark38"/>
      <w:bookmarkEnd w:id="40"/>
      <w:bookmarkStart w:id="41" w:name="bookmark39"/>
      <w:bookmarkEnd w:id="41"/>
      <w:r>
        <w:rPr>
          <w:rFonts w:ascii="Times New Roman" w:hAnsi="Times New Roman" w:eastAsia="Times New Roman" w:cs="Times New Roman"/>
          <w:spacing w:val="-1"/>
          <w:sz w:val="28"/>
          <w:szCs w:val="28"/>
        </w:rPr>
        <w:t>1.</w:t>
      </w:r>
      <w:r>
        <w:rPr>
          <w:rFonts w:ascii="Times New Roman" w:hAnsi="Times New Roman" w:eastAsia="Times New Roman" w:cs="Times New Roman"/>
          <w:spacing w:val="9"/>
          <w:sz w:val="28"/>
          <w:szCs w:val="28"/>
        </w:rPr>
        <w:t xml:space="preserve">  </w:t>
      </w:r>
      <w:r>
        <w:rPr>
          <w:rFonts w:ascii="黑体" w:hAnsi="黑体" w:eastAsia="黑体" w:cs="黑体"/>
          <w:spacing w:val="-1"/>
          <w:sz w:val="28"/>
          <w:szCs w:val="28"/>
        </w:rPr>
        <w:t>一般约定</w:t>
      </w:r>
    </w:p>
    <w:p w14:paraId="0C45E4FF">
      <w:pPr>
        <w:spacing w:before="87" w:line="233" w:lineRule="auto"/>
        <w:ind w:left="44"/>
        <w:outlineLvl w:val="2"/>
        <w:rPr>
          <w:rFonts w:ascii="黑体" w:hAnsi="黑体" w:eastAsia="黑体" w:cs="黑体"/>
          <w:sz w:val="24"/>
          <w:szCs w:val="24"/>
        </w:rPr>
      </w:pPr>
      <w:bookmarkStart w:id="42" w:name="bookmark628"/>
      <w:bookmarkEnd w:id="42"/>
      <w:r>
        <w:rPr>
          <w:rFonts w:ascii="Times New Roman" w:hAnsi="Times New Roman" w:eastAsia="Times New Roman" w:cs="Times New Roman"/>
          <w:spacing w:val="-6"/>
          <w:sz w:val="24"/>
          <w:szCs w:val="24"/>
        </w:rPr>
        <w:t>1.1</w:t>
      </w:r>
      <w:r>
        <w:rPr>
          <w:rFonts w:ascii="Times New Roman" w:hAnsi="Times New Roman" w:eastAsia="Times New Roman" w:cs="Times New Roman"/>
          <w:spacing w:val="8"/>
          <w:sz w:val="24"/>
          <w:szCs w:val="24"/>
        </w:rPr>
        <w:t xml:space="preserve">  </w:t>
      </w:r>
      <w:r>
        <w:rPr>
          <w:rFonts w:ascii="黑体" w:hAnsi="黑体" w:eastAsia="黑体" w:cs="黑体"/>
          <w:spacing w:val="-6"/>
          <w:sz w:val="24"/>
          <w:szCs w:val="24"/>
        </w:rPr>
        <w:t>词语定义</w:t>
      </w:r>
    </w:p>
    <w:p w14:paraId="73F7C8F4">
      <w:pPr>
        <w:spacing w:before="112" w:line="219" w:lineRule="auto"/>
        <w:ind w:left="444"/>
        <w:rPr>
          <w:rFonts w:ascii="宋体" w:hAnsi="宋体" w:eastAsia="宋体" w:cs="宋体"/>
          <w:sz w:val="21"/>
          <w:szCs w:val="21"/>
        </w:rPr>
      </w:pPr>
      <w:r>
        <w:rPr>
          <w:rFonts w:ascii="宋体" w:hAnsi="宋体" w:eastAsia="宋体" w:cs="宋体"/>
          <w:spacing w:val="-1"/>
          <w:sz w:val="21"/>
          <w:szCs w:val="21"/>
        </w:rPr>
        <w:t>通用合同条款、专用合同条款中的下列词语应具有本款所赋予的含义。</w:t>
      </w:r>
    </w:p>
    <w:p w14:paraId="440550FC">
      <w:pPr>
        <w:spacing w:before="156" w:line="234" w:lineRule="auto"/>
        <w:ind w:left="461"/>
        <w:rPr>
          <w:rFonts w:ascii="黑体" w:hAnsi="黑体" w:eastAsia="黑体" w:cs="黑体"/>
          <w:sz w:val="21"/>
          <w:szCs w:val="21"/>
        </w:rPr>
      </w:pPr>
      <w:r>
        <w:rPr>
          <w:rFonts w:ascii="Times New Roman" w:hAnsi="Times New Roman" w:eastAsia="Times New Roman" w:cs="Times New Roman"/>
          <w:spacing w:val="-3"/>
          <w:sz w:val="21"/>
          <w:szCs w:val="21"/>
        </w:rPr>
        <w:t>1.1.1</w:t>
      </w:r>
      <w:r>
        <w:rPr>
          <w:rFonts w:ascii="Times New Roman" w:hAnsi="Times New Roman" w:eastAsia="Times New Roman" w:cs="Times New Roman"/>
          <w:spacing w:val="53"/>
          <w:sz w:val="21"/>
          <w:szCs w:val="21"/>
        </w:rPr>
        <w:t xml:space="preserve"> </w:t>
      </w:r>
      <w:r>
        <w:rPr>
          <w:rFonts w:ascii="黑体" w:hAnsi="黑体" w:eastAsia="黑体" w:cs="黑体"/>
          <w:spacing w:val="-3"/>
          <w:sz w:val="21"/>
          <w:szCs w:val="21"/>
        </w:rPr>
        <w:t>合同</w:t>
      </w:r>
    </w:p>
    <w:p w14:paraId="4E2DB592">
      <w:pPr>
        <w:spacing w:before="141" w:line="348" w:lineRule="auto"/>
        <w:ind w:left="25" w:firstLine="736"/>
        <w:rPr>
          <w:rFonts w:ascii="宋体" w:hAnsi="宋体" w:eastAsia="宋体" w:cs="宋体"/>
          <w:sz w:val="21"/>
          <w:szCs w:val="21"/>
        </w:rPr>
      </w:pPr>
      <w:r>
        <w:rPr>
          <w:rFonts w:ascii="Times New Roman" w:hAnsi="Times New Roman" w:eastAsia="Times New Roman" w:cs="Times New Roman"/>
          <w:spacing w:val="-2"/>
          <w:sz w:val="21"/>
          <w:szCs w:val="21"/>
        </w:rPr>
        <w:t xml:space="preserve">1.1.1.1  </w:t>
      </w:r>
      <w:r>
        <w:rPr>
          <w:rFonts w:ascii="宋体" w:hAnsi="宋体" w:eastAsia="宋体" w:cs="宋体"/>
          <w:spacing w:val="-2"/>
          <w:sz w:val="21"/>
          <w:szCs w:val="21"/>
        </w:rPr>
        <w:t>合同文件（或称合同</w:t>
      </w:r>
      <w:r>
        <w:rPr>
          <w:rFonts w:ascii="宋体" w:hAnsi="宋体" w:eastAsia="宋体" w:cs="宋体"/>
          <w:spacing w:val="-29"/>
          <w:sz w:val="21"/>
          <w:szCs w:val="21"/>
        </w:rPr>
        <w:t>）：</w:t>
      </w:r>
      <w:r>
        <w:rPr>
          <w:rFonts w:ascii="宋体" w:hAnsi="宋体" w:eastAsia="宋体" w:cs="宋体"/>
          <w:spacing w:val="-2"/>
          <w:sz w:val="21"/>
          <w:szCs w:val="21"/>
        </w:rPr>
        <w:t>指合同协议书、中标</w:t>
      </w:r>
      <w:r>
        <w:rPr>
          <w:rFonts w:ascii="宋体" w:hAnsi="宋体" w:eastAsia="宋体" w:cs="宋体"/>
          <w:spacing w:val="-3"/>
          <w:sz w:val="21"/>
          <w:szCs w:val="21"/>
        </w:rPr>
        <w:t>通知书、投标函及投标函附录、</w:t>
      </w:r>
      <w:r>
        <w:rPr>
          <w:rFonts w:ascii="宋体" w:hAnsi="宋体" w:eastAsia="宋体" w:cs="宋体"/>
          <w:spacing w:val="-2"/>
          <w:sz w:val="21"/>
          <w:szCs w:val="21"/>
        </w:rPr>
        <w:t>专用合同条款、通用合同条款、技术标准和要求、图纸、已标价工程量清单，以及其他合同</w:t>
      </w:r>
      <w:r>
        <w:rPr>
          <w:rFonts w:ascii="宋体" w:hAnsi="宋体" w:eastAsia="宋体" w:cs="宋体"/>
          <w:spacing w:val="-9"/>
          <w:sz w:val="21"/>
          <w:szCs w:val="21"/>
        </w:rPr>
        <w:t>文件。</w:t>
      </w:r>
    </w:p>
    <w:p w14:paraId="286DC540">
      <w:pPr>
        <w:spacing w:before="12" w:line="233"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1.1.1.2</w:t>
      </w:r>
      <w:r>
        <w:rPr>
          <w:rFonts w:ascii="Times New Roman" w:hAnsi="Times New Roman" w:eastAsia="Times New Roman" w:cs="Times New Roman"/>
          <w:spacing w:val="48"/>
          <w:sz w:val="21"/>
          <w:szCs w:val="21"/>
        </w:rPr>
        <w:t xml:space="preserve"> </w:t>
      </w:r>
      <w:r>
        <w:rPr>
          <w:rFonts w:ascii="宋体" w:hAnsi="宋体" w:eastAsia="宋体" w:cs="宋体"/>
          <w:spacing w:val="-2"/>
          <w:sz w:val="21"/>
          <w:szCs w:val="21"/>
        </w:rPr>
        <w:t>合同协议书：指第</w:t>
      </w:r>
      <w:r>
        <w:rPr>
          <w:rFonts w:ascii="宋体" w:hAnsi="宋体" w:eastAsia="宋体" w:cs="宋体"/>
          <w:spacing w:val="-22"/>
          <w:sz w:val="21"/>
          <w:szCs w:val="21"/>
        </w:rPr>
        <w:t xml:space="preserve"> </w:t>
      </w:r>
      <w:r>
        <w:rPr>
          <w:rFonts w:ascii="Times New Roman" w:hAnsi="Times New Roman" w:eastAsia="Times New Roman" w:cs="Times New Roman"/>
          <w:spacing w:val="-2"/>
          <w:sz w:val="21"/>
          <w:szCs w:val="21"/>
        </w:rPr>
        <w:t>1.5</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款所指的合同协议</w:t>
      </w:r>
      <w:r>
        <w:rPr>
          <w:rFonts w:ascii="宋体" w:hAnsi="宋体" w:eastAsia="宋体" w:cs="宋体"/>
          <w:spacing w:val="-3"/>
          <w:sz w:val="21"/>
          <w:szCs w:val="21"/>
        </w:rPr>
        <w:t>书。</w:t>
      </w:r>
    </w:p>
    <w:p w14:paraId="22C51F2A">
      <w:pPr>
        <w:spacing w:before="125" w:line="348" w:lineRule="auto"/>
        <w:ind w:left="43" w:right="84" w:firstLine="717"/>
        <w:rPr>
          <w:rFonts w:ascii="宋体" w:hAnsi="宋体" w:eastAsia="宋体" w:cs="宋体"/>
          <w:sz w:val="21"/>
          <w:szCs w:val="21"/>
        </w:rPr>
      </w:pPr>
      <w:r>
        <w:rPr>
          <w:rFonts w:ascii="Times New Roman" w:hAnsi="Times New Roman" w:eastAsia="Times New Roman" w:cs="Times New Roman"/>
          <w:spacing w:val="-1"/>
          <w:sz w:val="21"/>
          <w:szCs w:val="21"/>
        </w:rPr>
        <w:t>1.1.1.3</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中标通知书：指发包人通知承包人</w:t>
      </w:r>
      <w:r>
        <w:rPr>
          <w:rFonts w:ascii="宋体" w:hAnsi="宋体" w:eastAsia="宋体" w:cs="宋体"/>
          <w:spacing w:val="-2"/>
          <w:sz w:val="21"/>
          <w:szCs w:val="21"/>
        </w:rPr>
        <w:t>中标的函件。中标通知书随附的澄清、说明、补正事项纪要等，是中标通知书的组成</w:t>
      </w:r>
      <w:r>
        <w:rPr>
          <w:rFonts w:ascii="宋体" w:hAnsi="宋体" w:eastAsia="宋体" w:cs="宋体"/>
          <w:spacing w:val="-3"/>
          <w:sz w:val="21"/>
          <w:szCs w:val="21"/>
        </w:rPr>
        <w:t>部分。</w:t>
      </w:r>
    </w:p>
    <w:p w14:paraId="271E0D22">
      <w:pPr>
        <w:spacing w:before="20"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1.1.1.4</w:t>
      </w:r>
      <w:r>
        <w:rPr>
          <w:rFonts w:ascii="Times New Roman" w:hAnsi="Times New Roman" w:eastAsia="Times New Roman" w:cs="Times New Roman"/>
          <w:spacing w:val="57"/>
          <w:sz w:val="21"/>
          <w:szCs w:val="21"/>
        </w:rPr>
        <w:t xml:space="preserve"> </w:t>
      </w:r>
      <w:r>
        <w:rPr>
          <w:rFonts w:ascii="宋体" w:hAnsi="宋体" w:eastAsia="宋体" w:cs="宋体"/>
          <w:spacing w:val="-1"/>
          <w:sz w:val="21"/>
          <w:szCs w:val="21"/>
        </w:rPr>
        <w:t>投标函：指构成合同文件组成部分的由承包人填写并签署的投标函。</w:t>
      </w:r>
    </w:p>
    <w:p w14:paraId="79E38DC2">
      <w:pPr>
        <w:spacing w:before="124"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1.1.1.5</w:t>
      </w:r>
      <w:r>
        <w:rPr>
          <w:rFonts w:ascii="Times New Roman" w:hAnsi="Times New Roman" w:eastAsia="Times New Roman" w:cs="Times New Roman"/>
          <w:spacing w:val="51"/>
          <w:w w:val="101"/>
          <w:sz w:val="21"/>
          <w:szCs w:val="21"/>
        </w:rPr>
        <w:t xml:space="preserve"> </w:t>
      </w:r>
      <w:r>
        <w:rPr>
          <w:rFonts w:ascii="宋体" w:hAnsi="宋体" w:eastAsia="宋体" w:cs="宋体"/>
          <w:spacing w:val="-1"/>
          <w:sz w:val="21"/>
          <w:szCs w:val="21"/>
        </w:rPr>
        <w:t>投标函附录：指附在投标函后构成合同文件的投标函附录。</w:t>
      </w:r>
    </w:p>
    <w:p w14:paraId="3139169B">
      <w:pPr>
        <w:spacing w:before="142" w:line="348" w:lineRule="auto"/>
        <w:ind w:left="24" w:right="103" w:firstLine="736"/>
        <w:rPr>
          <w:rFonts w:ascii="宋体" w:hAnsi="宋体" w:eastAsia="宋体" w:cs="宋体"/>
          <w:sz w:val="21"/>
          <w:szCs w:val="21"/>
        </w:rPr>
      </w:pPr>
      <w:r>
        <w:rPr>
          <w:rFonts w:ascii="Times New Roman" w:hAnsi="Times New Roman" w:eastAsia="Times New Roman" w:cs="Times New Roman"/>
          <w:spacing w:val="-1"/>
          <w:sz w:val="21"/>
          <w:szCs w:val="21"/>
        </w:rPr>
        <w:t xml:space="preserve">1.1.1.6  </w:t>
      </w:r>
      <w:r>
        <w:rPr>
          <w:rFonts w:ascii="宋体" w:hAnsi="宋体" w:eastAsia="宋体" w:cs="宋体"/>
          <w:spacing w:val="-1"/>
          <w:sz w:val="21"/>
          <w:szCs w:val="21"/>
        </w:rPr>
        <w:t>技术标准和要求：指构成合同文件组成部分的名为技术标准和</w:t>
      </w:r>
      <w:r>
        <w:rPr>
          <w:rFonts w:ascii="宋体" w:hAnsi="宋体" w:eastAsia="宋体" w:cs="宋体"/>
          <w:spacing w:val="-2"/>
          <w:sz w:val="21"/>
          <w:szCs w:val="21"/>
        </w:rPr>
        <w:t>要求的文件，包括合同双方当事人约定对其所作的修改或补充。</w:t>
      </w:r>
    </w:p>
    <w:p w14:paraId="42E47D3C">
      <w:pPr>
        <w:spacing w:before="4" w:line="348" w:lineRule="auto"/>
        <w:ind w:left="26" w:right="72" w:firstLine="734"/>
        <w:rPr>
          <w:rFonts w:ascii="宋体" w:hAnsi="宋体" w:eastAsia="宋体" w:cs="宋体"/>
          <w:sz w:val="21"/>
          <w:szCs w:val="21"/>
        </w:rPr>
      </w:pPr>
      <w:r>
        <w:rPr>
          <w:rFonts w:ascii="Times New Roman" w:hAnsi="Times New Roman" w:eastAsia="Times New Roman" w:cs="Times New Roman"/>
          <w:sz w:val="21"/>
          <w:szCs w:val="21"/>
        </w:rPr>
        <w:t xml:space="preserve">1.1.1.7  </w:t>
      </w:r>
      <w:r>
        <w:rPr>
          <w:rFonts w:ascii="宋体" w:hAnsi="宋体" w:eastAsia="宋体" w:cs="宋体"/>
          <w:sz w:val="21"/>
          <w:szCs w:val="21"/>
        </w:rPr>
        <w:t>图纸：指包含在合同中的工程图纸，</w:t>
      </w:r>
      <w:r>
        <w:rPr>
          <w:rFonts w:ascii="宋体" w:hAnsi="宋体" w:eastAsia="宋体" w:cs="宋体"/>
          <w:spacing w:val="-1"/>
          <w:sz w:val="21"/>
          <w:szCs w:val="21"/>
        </w:rPr>
        <w:t>以及由发包人按合同约定提供的任何补</w:t>
      </w:r>
      <w:r>
        <w:rPr>
          <w:rFonts w:ascii="宋体" w:hAnsi="宋体" w:eastAsia="宋体" w:cs="宋体"/>
          <w:spacing w:val="-2"/>
          <w:sz w:val="21"/>
          <w:szCs w:val="21"/>
        </w:rPr>
        <w:t>充和修改的图纸，包括配套的说明。</w:t>
      </w:r>
    </w:p>
    <w:p w14:paraId="558D89D0">
      <w:pPr>
        <w:spacing w:before="19" w:line="334" w:lineRule="auto"/>
        <w:ind w:left="25" w:right="71" w:firstLine="736"/>
        <w:rPr>
          <w:rFonts w:ascii="宋体" w:hAnsi="宋体" w:eastAsia="宋体" w:cs="宋体"/>
          <w:sz w:val="21"/>
          <w:szCs w:val="21"/>
        </w:rPr>
      </w:pPr>
      <w:r>
        <w:rPr>
          <w:rFonts w:ascii="Times New Roman" w:hAnsi="Times New Roman" w:eastAsia="Times New Roman" w:cs="Times New Roman"/>
          <w:spacing w:val="-1"/>
          <w:sz w:val="21"/>
          <w:szCs w:val="21"/>
        </w:rPr>
        <w:t>1.1.1.8</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已标价工程量清单：指构成合同文件组成部分的由承包</w:t>
      </w:r>
      <w:r>
        <w:rPr>
          <w:rFonts w:ascii="宋体" w:hAnsi="宋体" w:eastAsia="宋体" w:cs="宋体"/>
          <w:spacing w:val="-2"/>
          <w:sz w:val="21"/>
          <w:szCs w:val="21"/>
        </w:rPr>
        <w:t>人按照规定的格式和要求填写并标明价格的工程量清单。</w:t>
      </w:r>
    </w:p>
    <w:p w14:paraId="02BCCED1">
      <w:pPr>
        <w:spacing w:before="35"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1.1.1.9</w:t>
      </w:r>
      <w:r>
        <w:rPr>
          <w:rFonts w:ascii="Times New Roman" w:hAnsi="Times New Roman" w:eastAsia="Times New Roman" w:cs="Times New Roman"/>
          <w:spacing w:val="57"/>
          <w:sz w:val="21"/>
          <w:szCs w:val="21"/>
        </w:rPr>
        <w:t xml:space="preserve"> </w:t>
      </w:r>
      <w:r>
        <w:rPr>
          <w:rFonts w:ascii="宋体" w:hAnsi="宋体" w:eastAsia="宋体" w:cs="宋体"/>
          <w:spacing w:val="-1"/>
          <w:sz w:val="21"/>
          <w:szCs w:val="21"/>
        </w:rPr>
        <w:t>其他合同文件：指经合同双方当事人确认构成合同文件的其他文件。</w:t>
      </w:r>
    </w:p>
    <w:p w14:paraId="6974304D">
      <w:pPr>
        <w:spacing w:before="140" w:line="232" w:lineRule="auto"/>
        <w:ind w:left="461"/>
        <w:rPr>
          <w:rFonts w:ascii="黑体" w:hAnsi="黑体" w:eastAsia="黑体" w:cs="黑体"/>
          <w:sz w:val="21"/>
          <w:szCs w:val="21"/>
        </w:rPr>
      </w:pPr>
      <w:r>
        <w:rPr>
          <w:rFonts w:ascii="Times New Roman" w:hAnsi="Times New Roman" w:eastAsia="Times New Roman" w:cs="Times New Roman"/>
          <w:spacing w:val="-2"/>
          <w:sz w:val="21"/>
          <w:szCs w:val="21"/>
        </w:rPr>
        <w:t>1.1.2</w:t>
      </w:r>
      <w:r>
        <w:rPr>
          <w:rFonts w:ascii="Times New Roman" w:hAnsi="Times New Roman" w:eastAsia="Times New Roman" w:cs="Times New Roman"/>
          <w:spacing w:val="57"/>
          <w:w w:val="101"/>
          <w:sz w:val="21"/>
          <w:szCs w:val="21"/>
        </w:rPr>
        <w:t xml:space="preserve"> </w:t>
      </w:r>
      <w:r>
        <w:rPr>
          <w:rFonts w:ascii="黑体" w:hAnsi="黑体" w:eastAsia="黑体" w:cs="黑体"/>
          <w:spacing w:val="-2"/>
          <w:sz w:val="21"/>
          <w:szCs w:val="21"/>
        </w:rPr>
        <w:t>合同当事人和人员</w:t>
      </w:r>
    </w:p>
    <w:p w14:paraId="32C87A52">
      <w:pPr>
        <w:spacing w:before="127" w:line="233"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1.1.2.1</w:t>
      </w:r>
      <w:r>
        <w:rPr>
          <w:rFonts w:ascii="Times New Roman" w:hAnsi="Times New Roman" w:eastAsia="Times New Roman" w:cs="Times New Roman"/>
          <w:spacing w:val="51"/>
          <w:w w:val="101"/>
          <w:sz w:val="21"/>
          <w:szCs w:val="21"/>
        </w:rPr>
        <w:t xml:space="preserve"> </w:t>
      </w:r>
      <w:r>
        <w:rPr>
          <w:rFonts w:ascii="宋体" w:hAnsi="宋体" w:eastAsia="宋体" w:cs="宋体"/>
          <w:spacing w:val="-2"/>
          <w:sz w:val="21"/>
          <w:szCs w:val="21"/>
        </w:rPr>
        <w:t>合同当事人</w:t>
      </w:r>
      <w:r>
        <w:rPr>
          <w:rFonts w:ascii="Times New Roman" w:hAnsi="Times New Roman" w:eastAsia="Times New Roman" w:cs="Times New Roman"/>
          <w:spacing w:val="-2"/>
          <w:sz w:val="21"/>
          <w:szCs w:val="21"/>
        </w:rPr>
        <w:t>:</w:t>
      </w:r>
      <w:r>
        <w:rPr>
          <w:rFonts w:ascii="宋体" w:hAnsi="宋体" w:eastAsia="宋体" w:cs="宋体"/>
          <w:spacing w:val="-2"/>
          <w:sz w:val="21"/>
          <w:szCs w:val="21"/>
        </w:rPr>
        <w:t>指发包人和（或）承包人。</w:t>
      </w:r>
    </w:p>
    <w:p w14:paraId="361F0B6F">
      <w:pPr>
        <w:spacing w:before="139" w:line="233" w:lineRule="auto"/>
        <w:ind w:left="761"/>
        <w:rPr>
          <w:rFonts w:ascii="宋体" w:hAnsi="宋体" w:eastAsia="宋体" w:cs="宋体"/>
          <w:sz w:val="21"/>
          <w:szCs w:val="21"/>
        </w:rPr>
      </w:pPr>
      <w:r>
        <w:rPr>
          <w:rFonts w:ascii="Times New Roman" w:hAnsi="Times New Roman" w:eastAsia="Times New Roman" w:cs="Times New Roman"/>
          <w:sz w:val="21"/>
          <w:szCs w:val="21"/>
        </w:rPr>
        <w:t xml:space="preserve">1.1.2.2  </w:t>
      </w:r>
      <w:r>
        <w:rPr>
          <w:rFonts w:ascii="宋体" w:hAnsi="宋体" w:eastAsia="宋体" w:cs="宋体"/>
          <w:sz w:val="21"/>
          <w:szCs w:val="21"/>
        </w:rPr>
        <w:t>发包人：指专用合同条款中指明并与承包人在合同协议书中签字的当事人。</w:t>
      </w:r>
    </w:p>
    <w:p w14:paraId="7F9A85C9">
      <w:pPr>
        <w:spacing w:before="141"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1.1.2.3</w:t>
      </w:r>
      <w:r>
        <w:rPr>
          <w:rFonts w:ascii="Times New Roman" w:hAnsi="Times New Roman" w:eastAsia="Times New Roman" w:cs="Times New Roman"/>
          <w:spacing w:val="47"/>
          <w:sz w:val="21"/>
          <w:szCs w:val="21"/>
        </w:rPr>
        <w:t xml:space="preserve"> </w:t>
      </w:r>
      <w:r>
        <w:rPr>
          <w:rFonts w:ascii="宋体" w:hAnsi="宋体" w:eastAsia="宋体" w:cs="宋体"/>
          <w:spacing w:val="-1"/>
          <w:sz w:val="21"/>
          <w:szCs w:val="21"/>
        </w:rPr>
        <w:t>承包人：指与发包人签订合同协议书的当</w:t>
      </w:r>
      <w:r>
        <w:rPr>
          <w:rFonts w:ascii="宋体" w:hAnsi="宋体" w:eastAsia="宋体" w:cs="宋体"/>
          <w:spacing w:val="-2"/>
          <w:sz w:val="21"/>
          <w:szCs w:val="21"/>
        </w:rPr>
        <w:t>事人。</w:t>
      </w:r>
    </w:p>
    <w:p w14:paraId="1784B31C">
      <w:pPr>
        <w:spacing w:before="126"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1.1.2.4</w:t>
      </w:r>
      <w:r>
        <w:rPr>
          <w:rFonts w:ascii="Times New Roman" w:hAnsi="Times New Roman" w:eastAsia="Times New Roman" w:cs="Times New Roman"/>
          <w:spacing w:val="50"/>
          <w:sz w:val="21"/>
          <w:szCs w:val="21"/>
        </w:rPr>
        <w:t xml:space="preserve"> </w:t>
      </w:r>
      <w:r>
        <w:rPr>
          <w:rFonts w:ascii="宋体" w:hAnsi="宋体" w:eastAsia="宋体" w:cs="宋体"/>
          <w:spacing w:val="-1"/>
          <w:sz w:val="21"/>
          <w:szCs w:val="21"/>
        </w:rPr>
        <w:t>承包人项目经理：指承包人派驻施工场地的全权负责人。</w:t>
      </w:r>
    </w:p>
    <w:p w14:paraId="5366A982">
      <w:pPr>
        <w:spacing w:before="141" w:line="233" w:lineRule="auto"/>
        <w:ind w:left="761"/>
        <w:rPr>
          <w:rFonts w:ascii="宋体" w:hAnsi="宋体" w:eastAsia="宋体" w:cs="宋体"/>
          <w:sz w:val="21"/>
          <w:szCs w:val="21"/>
        </w:rPr>
      </w:pPr>
      <w:r>
        <w:rPr>
          <w:rFonts w:ascii="Times New Roman" w:hAnsi="Times New Roman" w:eastAsia="Times New Roman" w:cs="Times New Roman"/>
          <w:sz w:val="21"/>
          <w:szCs w:val="21"/>
        </w:rPr>
        <w:t xml:space="preserve">1.1.2.5  </w:t>
      </w:r>
      <w:r>
        <w:rPr>
          <w:rFonts w:ascii="宋体" w:hAnsi="宋体" w:eastAsia="宋体" w:cs="宋体"/>
          <w:sz w:val="21"/>
          <w:szCs w:val="21"/>
        </w:rPr>
        <w:t>分包人：指从承包人处分包合同</w:t>
      </w:r>
      <w:r>
        <w:rPr>
          <w:rFonts w:ascii="宋体" w:hAnsi="宋体" w:eastAsia="宋体" w:cs="宋体"/>
          <w:spacing w:val="-1"/>
          <w:sz w:val="21"/>
          <w:szCs w:val="21"/>
        </w:rPr>
        <w:t>中某一部分工程，并与其签订分包合同的分</w:t>
      </w:r>
    </w:p>
    <w:p w14:paraId="1EB2C07A">
      <w:pPr>
        <w:spacing w:line="233" w:lineRule="auto"/>
        <w:rPr>
          <w:rFonts w:ascii="宋体" w:hAnsi="宋体" w:eastAsia="宋体" w:cs="宋体"/>
          <w:sz w:val="21"/>
          <w:szCs w:val="21"/>
        </w:rPr>
        <w:sectPr>
          <w:footerReference r:id="rId75" w:type="default"/>
          <w:pgSz w:w="11910" w:h="16845"/>
          <w:pgMar w:top="400" w:right="1692" w:bottom="1110" w:left="1786" w:header="0" w:footer="883" w:gutter="0"/>
          <w:cols w:space="720" w:num="1"/>
        </w:sectPr>
      </w:pPr>
    </w:p>
    <w:p w14:paraId="4FBA9BCF">
      <w:pPr>
        <w:pStyle w:val="2"/>
        <w:spacing w:line="275" w:lineRule="auto"/>
      </w:pPr>
    </w:p>
    <w:p w14:paraId="1B6A1C50">
      <w:pPr>
        <w:pStyle w:val="2"/>
        <w:spacing w:line="275" w:lineRule="auto"/>
      </w:pPr>
    </w:p>
    <w:p w14:paraId="1CEA42F0">
      <w:pPr>
        <w:pStyle w:val="2"/>
        <w:spacing w:line="275" w:lineRule="auto"/>
      </w:pPr>
    </w:p>
    <w:p w14:paraId="15588FC7">
      <w:pPr>
        <w:pStyle w:val="2"/>
        <w:spacing w:line="276" w:lineRule="auto"/>
      </w:pPr>
    </w:p>
    <w:p w14:paraId="32549676">
      <w:pPr>
        <w:spacing w:before="68" w:line="222" w:lineRule="auto"/>
        <w:ind w:left="24"/>
        <w:rPr>
          <w:rFonts w:ascii="宋体" w:hAnsi="宋体" w:eastAsia="宋体" w:cs="宋体"/>
          <w:sz w:val="21"/>
          <w:szCs w:val="21"/>
        </w:rPr>
      </w:pPr>
      <w:r>
        <w:rPr>
          <w:rFonts w:ascii="宋体" w:hAnsi="宋体" w:eastAsia="宋体" w:cs="宋体"/>
          <w:spacing w:val="-9"/>
          <w:sz w:val="21"/>
          <w:szCs w:val="21"/>
        </w:rPr>
        <w:t>包人。</w:t>
      </w:r>
    </w:p>
    <w:p w14:paraId="77F1DD53">
      <w:pPr>
        <w:spacing w:before="152" w:line="336" w:lineRule="auto"/>
        <w:ind w:left="25" w:right="3" w:firstLine="736"/>
        <w:rPr>
          <w:rFonts w:ascii="宋体" w:hAnsi="宋体" w:eastAsia="宋体" w:cs="宋体"/>
          <w:sz w:val="21"/>
          <w:szCs w:val="21"/>
        </w:rPr>
      </w:pPr>
      <w:r>
        <w:rPr>
          <w:rFonts w:ascii="Times New Roman" w:hAnsi="Times New Roman" w:eastAsia="Times New Roman" w:cs="Times New Roman"/>
          <w:sz w:val="21"/>
          <w:szCs w:val="21"/>
        </w:rPr>
        <w:t xml:space="preserve">1.1.2.6  </w:t>
      </w:r>
      <w:r>
        <w:rPr>
          <w:rFonts w:ascii="宋体" w:hAnsi="宋体" w:eastAsia="宋体" w:cs="宋体"/>
          <w:sz w:val="21"/>
          <w:szCs w:val="21"/>
        </w:rPr>
        <w:t>监理人：指在专用合同条</w:t>
      </w:r>
      <w:r>
        <w:rPr>
          <w:rFonts w:ascii="宋体" w:hAnsi="宋体" w:eastAsia="宋体" w:cs="宋体"/>
          <w:spacing w:val="-1"/>
          <w:sz w:val="21"/>
          <w:szCs w:val="21"/>
        </w:rPr>
        <w:t>款中指明的，受发包人委托对合同履行实施管理的</w:t>
      </w:r>
      <w:r>
        <w:rPr>
          <w:rFonts w:ascii="宋体" w:hAnsi="宋体" w:eastAsia="宋体" w:cs="宋体"/>
          <w:spacing w:val="-4"/>
          <w:sz w:val="21"/>
          <w:szCs w:val="21"/>
        </w:rPr>
        <w:t>法人或其他组织。</w:t>
      </w:r>
    </w:p>
    <w:p w14:paraId="1A46CA49">
      <w:pPr>
        <w:spacing w:before="32" w:line="348" w:lineRule="auto"/>
        <w:ind w:left="41" w:right="28" w:firstLine="719"/>
        <w:rPr>
          <w:rFonts w:ascii="宋体" w:hAnsi="宋体" w:eastAsia="宋体" w:cs="宋体"/>
          <w:sz w:val="21"/>
          <w:szCs w:val="21"/>
        </w:rPr>
      </w:pPr>
      <w:r>
        <w:rPr>
          <w:rFonts w:ascii="Times New Roman" w:hAnsi="Times New Roman" w:eastAsia="Times New Roman" w:cs="Times New Roman"/>
          <w:spacing w:val="-1"/>
          <w:sz w:val="21"/>
          <w:szCs w:val="21"/>
        </w:rPr>
        <w:t xml:space="preserve">1.1.2.7  </w:t>
      </w:r>
      <w:r>
        <w:rPr>
          <w:rFonts w:ascii="宋体" w:hAnsi="宋体" w:eastAsia="宋体" w:cs="宋体"/>
          <w:spacing w:val="-1"/>
          <w:sz w:val="21"/>
          <w:szCs w:val="21"/>
        </w:rPr>
        <w:t>总监理工程师（总监</w:t>
      </w:r>
      <w:r>
        <w:rPr>
          <w:rFonts w:ascii="宋体" w:hAnsi="宋体" w:eastAsia="宋体" w:cs="宋体"/>
          <w:spacing w:val="-4"/>
          <w:sz w:val="21"/>
          <w:szCs w:val="21"/>
        </w:rPr>
        <w:t>）：</w:t>
      </w:r>
      <w:r>
        <w:rPr>
          <w:rFonts w:ascii="宋体" w:hAnsi="宋体" w:eastAsia="宋体" w:cs="宋体"/>
          <w:spacing w:val="-1"/>
          <w:sz w:val="21"/>
          <w:szCs w:val="21"/>
        </w:rPr>
        <w:t>指由监理人委派常驻施工场地对合同履行实施管理</w:t>
      </w:r>
      <w:r>
        <w:rPr>
          <w:rFonts w:ascii="宋体" w:hAnsi="宋体" w:eastAsia="宋体" w:cs="宋体"/>
          <w:spacing w:val="-7"/>
          <w:sz w:val="21"/>
          <w:szCs w:val="21"/>
        </w:rPr>
        <w:t>的全权负责人。</w:t>
      </w:r>
    </w:p>
    <w:p w14:paraId="087D24AC">
      <w:pPr>
        <w:spacing w:before="2"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1.1.3</w:t>
      </w:r>
      <w:r>
        <w:rPr>
          <w:rFonts w:ascii="Times New Roman" w:hAnsi="Times New Roman" w:eastAsia="Times New Roman" w:cs="Times New Roman"/>
          <w:spacing w:val="50"/>
          <w:w w:val="101"/>
          <w:sz w:val="21"/>
          <w:szCs w:val="21"/>
        </w:rPr>
        <w:t xml:space="preserve"> </w:t>
      </w:r>
      <w:r>
        <w:rPr>
          <w:rFonts w:ascii="黑体" w:hAnsi="黑体" w:eastAsia="黑体" w:cs="黑体"/>
          <w:spacing w:val="-2"/>
          <w:sz w:val="21"/>
          <w:szCs w:val="21"/>
        </w:rPr>
        <w:t>工程和设备</w:t>
      </w:r>
    </w:p>
    <w:p w14:paraId="7369A78F">
      <w:pPr>
        <w:spacing w:before="141" w:line="233"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1.1.3.1</w:t>
      </w:r>
      <w:r>
        <w:rPr>
          <w:rFonts w:ascii="Times New Roman" w:hAnsi="Times New Roman" w:eastAsia="Times New Roman" w:cs="Times New Roman"/>
          <w:spacing w:val="62"/>
          <w:w w:val="101"/>
          <w:sz w:val="21"/>
          <w:szCs w:val="21"/>
        </w:rPr>
        <w:t xml:space="preserve"> </w:t>
      </w:r>
      <w:r>
        <w:rPr>
          <w:rFonts w:ascii="宋体" w:hAnsi="宋体" w:eastAsia="宋体" w:cs="宋体"/>
          <w:spacing w:val="-2"/>
          <w:sz w:val="21"/>
          <w:szCs w:val="21"/>
        </w:rPr>
        <w:t>工程：指永久工程和（或）临时工程。</w:t>
      </w:r>
    </w:p>
    <w:p w14:paraId="6CE6C3A2">
      <w:pPr>
        <w:spacing w:before="140"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1.1.3.2</w:t>
      </w:r>
      <w:r>
        <w:rPr>
          <w:rFonts w:ascii="Times New Roman" w:hAnsi="Times New Roman" w:eastAsia="Times New Roman" w:cs="Times New Roman"/>
          <w:spacing w:val="58"/>
          <w:w w:val="101"/>
          <w:sz w:val="21"/>
          <w:szCs w:val="21"/>
        </w:rPr>
        <w:t xml:space="preserve"> </w:t>
      </w:r>
      <w:r>
        <w:rPr>
          <w:rFonts w:ascii="宋体" w:hAnsi="宋体" w:eastAsia="宋体" w:cs="宋体"/>
          <w:spacing w:val="-1"/>
          <w:sz w:val="21"/>
          <w:szCs w:val="21"/>
        </w:rPr>
        <w:t>永久工程：指按合同约定建造并移交给发包人的工程，包括工程设备。</w:t>
      </w:r>
    </w:p>
    <w:p w14:paraId="30DCA49D">
      <w:pPr>
        <w:spacing w:before="125" w:line="349" w:lineRule="auto"/>
        <w:ind w:left="23" w:firstLine="737"/>
        <w:rPr>
          <w:rFonts w:ascii="宋体" w:hAnsi="宋体" w:eastAsia="宋体" w:cs="宋体"/>
          <w:sz w:val="21"/>
          <w:szCs w:val="21"/>
        </w:rPr>
      </w:pPr>
      <w:r>
        <w:rPr>
          <w:rFonts w:ascii="Times New Roman" w:hAnsi="Times New Roman" w:eastAsia="Times New Roman" w:cs="Times New Roman"/>
          <w:sz w:val="21"/>
          <w:szCs w:val="21"/>
        </w:rPr>
        <w:t xml:space="preserve">1.1.3.3  </w:t>
      </w:r>
      <w:r>
        <w:rPr>
          <w:rFonts w:ascii="宋体" w:hAnsi="宋体" w:eastAsia="宋体" w:cs="宋体"/>
          <w:sz w:val="21"/>
          <w:szCs w:val="21"/>
        </w:rPr>
        <w:t>临时工程：指为完成合同约定的</w:t>
      </w:r>
      <w:r>
        <w:rPr>
          <w:rFonts w:ascii="宋体" w:hAnsi="宋体" w:eastAsia="宋体" w:cs="宋体"/>
          <w:spacing w:val="-1"/>
          <w:sz w:val="21"/>
          <w:szCs w:val="21"/>
        </w:rPr>
        <w:t>永久工程所修建的各类临时性工程，不包括</w:t>
      </w:r>
      <w:r>
        <w:rPr>
          <w:rFonts w:ascii="宋体" w:hAnsi="宋体" w:eastAsia="宋体" w:cs="宋体"/>
          <w:spacing w:val="-6"/>
          <w:sz w:val="21"/>
          <w:szCs w:val="21"/>
        </w:rPr>
        <w:t>施工设备。</w:t>
      </w:r>
    </w:p>
    <w:p w14:paraId="0C47F610">
      <w:pPr>
        <w:spacing w:before="17" w:line="233" w:lineRule="auto"/>
        <w:ind w:left="761"/>
        <w:rPr>
          <w:rFonts w:ascii="宋体" w:hAnsi="宋体" w:eastAsia="宋体" w:cs="宋体"/>
          <w:sz w:val="21"/>
          <w:szCs w:val="21"/>
        </w:rPr>
      </w:pPr>
      <w:r>
        <w:rPr>
          <w:rFonts w:ascii="Times New Roman" w:hAnsi="Times New Roman" w:eastAsia="Times New Roman" w:cs="Times New Roman"/>
          <w:spacing w:val="-1"/>
          <w:sz w:val="21"/>
          <w:szCs w:val="21"/>
        </w:rPr>
        <w:t>1.1.3.4</w:t>
      </w:r>
      <w:r>
        <w:rPr>
          <w:rFonts w:ascii="Times New Roman" w:hAnsi="Times New Roman" w:eastAsia="Times New Roman" w:cs="Times New Roman"/>
          <w:spacing w:val="50"/>
          <w:sz w:val="21"/>
          <w:szCs w:val="21"/>
        </w:rPr>
        <w:t xml:space="preserve"> </w:t>
      </w:r>
      <w:r>
        <w:rPr>
          <w:rFonts w:ascii="宋体" w:hAnsi="宋体" w:eastAsia="宋体" w:cs="宋体"/>
          <w:spacing w:val="-1"/>
          <w:sz w:val="21"/>
          <w:szCs w:val="21"/>
        </w:rPr>
        <w:t>单位工程：指专用合同条款中指明特定范围的永久工程。</w:t>
      </w:r>
    </w:p>
    <w:p w14:paraId="70F166C5">
      <w:pPr>
        <w:spacing w:before="126" w:line="348" w:lineRule="auto"/>
        <w:ind w:left="25" w:right="17" w:firstLine="736"/>
        <w:rPr>
          <w:rFonts w:ascii="宋体" w:hAnsi="宋体" w:eastAsia="宋体" w:cs="宋体"/>
          <w:sz w:val="21"/>
          <w:szCs w:val="21"/>
        </w:rPr>
      </w:pPr>
      <w:r>
        <w:rPr>
          <w:rFonts w:ascii="Times New Roman" w:hAnsi="Times New Roman" w:eastAsia="Times New Roman" w:cs="Times New Roman"/>
          <w:spacing w:val="-1"/>
          <w:sz w:val="21"/>
          <w:szCs w:val="21"/>
        </w:rPr>
        <w:t xml:space="preserve">1.1.3.5  </w:t>
      </w:r>
      <w:r>
        <w:rPr>
          <w:rFonts w:ascii="宋体" w:hAnsi="宋体" w:eastAsia="宋体" w:cs="宋体"/>
          <w:spacing w:val="-1"/>
          <w:sz w:val="21"/>
          <w:szCs w:val="21"/>
        </w:rPr>
        <w:t>工程设备：指构成或计划构成永久工程一部分的机电设备、金属结构设备、</w:t>
      </w:r>
      <w:r>
        <w:rPr>
          <w:rFonts w:ascii="宋体" w:hAnsi="宋体" w:eastAsia="宋体" w:cs="宋体"/>
          <w:spacing w:val="-2"/>
          <w:sz w:val="21"/>
          <w:szCs w:val="21"/>
        </w:rPr>
        <w:t>仪器装置及其他类似的设备和装置。</w:t>
      </w:r>
    </w:p>
    <w:p w14:paraId="45A6DE3B">
      <w:pPr>
        <w:spacing w:before="18" w:line="335" w:lineRule="auto"/>
        <w:ind w:left="24" w:right="11" w:firstLine="736"/>
        <w:rPr>
          <w:rFonts w:ascii="宋体" w:hAnsi="宋体" w:eastAsia="宋体" w:cs="宋体"/>
          <w:sz w:val="21"/>
          <w:szCs w:val="21"/>
        </w:rPr>
      </w:pPr>
      <w:r>
        <w:rPr>
          <w:rFonts w:ascii="Times New Roman" w:hAnsi="Times New Roman" w:eastAsia="Times New Roman" w:cs="Times New Roman"/>
          <w:spacing w:val="-1"/>
          <w:sz w:val="21"/>
          <w:szCs w:val="21"/>
        </w:rPr>
        <w:t xml:space="preserve">1.1.3.6  </w:t>
      </w:r>
      <w:r>
        <w:rPr>
          <w:rFonts w:ascii="宋体" w:hAnsi="宋体" w:eastAsia="宋体" w:cs="宋体"/>
          <w:spacing w:val="-1"/>
          <w:sz w:val="21"/>
          <w:szCs w:val="21"/>
        </w:rPr>
        <w:t>施工设备：指为完成合同约定的各项工作所需的设备、器具和其他物品，不</w:t>
      </w:r>
      <w:r>
        <w:rPr>
          <w:rFonts w:ascii="宋体" w:hAnsi="宋体" w:eastAsia="宋体" w:cs="宋体"/>
          <w:spacing w:val="-4"/>
          <w:sz w:val="21"/>
          <w:szCs w:val="21"/>
        </w:rPr>
        <w:t>包括临时工程和材料。</w:t>
      </w:r>
    </w:p>
    <w:p w14:paraId="629FDEA0">
      <w:pPr>
        <w:spacing w:before="34" w:line="233" w:lineRule="auto"/>
        <w:jc w:val="right"/>
        <w:rPr>
          <w:rFonts w:ascii="宋体" w:hAnsi="宋体" w:eastAsia="宋体" w:cs="宋体"/>
          <w:sz w:val="21"/>
          <w:szCs w:val="21"/>
        </w:rPr>
      </w:pPr>
      <w:r>
        <w:rPr>
          <w:rFonts w:ascii="Times New Roman" w:hAnsi="Times New Roman" w:eastAsia="Times New Roman" w:cs="Times New Roman"/>
          <w:spacing w:val="-1"/>
          <w:sz w:val="21"/>
          <w:szCs w:val="21"/>
        </w:rPr>
        <w:t xml:space="preserve">1.1.3.7  </w:t>
      </w:r>
      <w:r>
        <w:rPr>
          <w:rFonts w:ascii="宋体" w:hAnsi="宋体" w:eastAsia="宋体" w:cs="宋体"/>
          <w:spacing w:val="-1"/>
          <w:sz w:val="21"/>
          <w:szCs w:val="21"/>
        </w:rPr>
        <w:t>临时设施：指为完成合同约定的各项工作所服务的临时性生产和生活设施。</w:t>
      </w:r>
    </w:p>
    <w:p w14:paraId="3E3F22EB">
      <w:pPr>
        <w:spacing w:before="141" w:line="233"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1.1.3.8</w:t>
      </w:r>
      <w:r>
        <w:rPr>
          <w:rFonts w:ascii="Times New Roman" w:hAnsi="Times New Roman" w:eastAsia="Times New Roman" w:cs="Times New Roman"/>
          <w:spacing w:val="65"/>
          <w:sz w:val="21"/>
          <w:szCs w:val="21"/>
        </w:rPr>
        <w:t xml:space="preserve"> </w:t>
      </w:r>
      <w:r>
        <w:rPr>
          <w:rFonts w:ascii="宋体" w:hAnsi="宋体" w:eastAsia="宋体" w:cs="宋体"/>
          <w:spacing w:val="-2"/>
          <w:sz w:val="21"/>
          <w:szCs w:val="21"/>
        </w:rPr>
        <w:t>承包人设备：指承包人自带的施工设备。</w:t>
      </w:r>
    </w:p>
    <w:p w14:paraId="64BB08CD">
      <w:pPr>
        <w:spacing w:before="125" w:line="348" w:lineRule="auto"/>
        <w:ind w:left="26" w:right="51" w:firstLine="734"/>
        <w:rPr>
          <w:rFonts w:ascii="宋体" w:hAnsi="宋体" w:eastAsia="宋体" w:cs="宋体"/>
          <w:sz w:val="21"/>
          <w:szCs w:val="21"/>
        </w:rPr>
      </w:pPr>
      <w:r>
        <w:rPr>
          <w:rFonts w:ascii="Times New Roman" w:hAnsi="Times New Roman" w:eastAsia="Times New Roman" w:cs="Times New Roman"/>
          <w:spacing w:val="-2"/>
          <w:sz w:val="21"/>
          <w:szCs w:val="21"/>
        </w:rPr>
        <w:t xml:space="preserve">1.1.3.9  </w:t>
      </w:r>
      <w:r>
        <w:rPr>
          <w:rFonts w:ascii="宋体" w:hAnsi="宋体" w:eastAsia="宋体" w:cs="宋体"/>
          <w:spacing w:val="-2"/>
          <w:sz w:val="21"/>
          <w:szCs w:val="21"/>
        </w:rPr>
        <w:t>施工场地（或称工地、现场</w:t>
      </w:r>
      <w:r>
        <w:rPr>
          <w:rFonts w:ascii="宋体" w:hAnsi="宋体" w:eastAsia="宋体" w:cs="宋体"/>
          <w:spacing w:val="4"/>
          <w:sz w:val="21"/>
          <w:szCs w:val="21"/>
        </w:rPr>
        <w:t>）：</w:t>
      </w:r>
      <w:r>
        <w:rPr>
          <w:rFonts w:ascii="宋体" w:hAnsi="宋体" w:eastAsia="宋体" w:cs="宋体"/>
          <w:spacing w:val="-2"/>
          <w:sz w:val="21"/>
          <w:szCs w:val="21"/>
        </w:rPr>
        <w:t>指用于合同工程施工的场所，以及在合同中</w:t>
      </w:r>
      <w:r>
        <w:rPr>
          <w:rFonts w:ascii="宋体" w:hAnsi="宋体" w:eastAsia="宋体" w:cs="宋体"/>
          <w:spacing w:val="-1"/>
          <w:sz w:val="21"/>
          <w:szCs w:val="21"/>
        </w:rPr>
        <w:t>指定作为施工场地组成部分的其他场所，包括永久占地和临时占地。</w:t>
      </w:r>
    </w:p>
    <w:p w14:paraId="6EDF10B9">
      <w:pPr>
        <w:spacing w:before="19" w:line="233" w:lineRule="auto"/>
        <w:ind w:left="761"/>
        <w:rPr>
          <w:rFonts w:ascii="宋体" w:hAnsi="宋体" w:eastAsia="宋体" w:cs="宋体"/>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1"/>
          <w:sz w:val="21"/>
          <w:szCs w:val="21"/>
        </w:rPr>
        <w:t>1.1.3.10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60"/>
          <w:sz w:val="21"/>
          <w:szCs w:val="21"/>
        </w:rPr>
        <w:t xml:space="preserve"> </w:t>
      </w:r>
      <w:r>
        <w:rPr>
          <w:rFonts w:ascii="宋体" w:hAnsi="宋体" w:eastAsia="宋体" w:cs="宋体"/>
          <w:spacing w:val="-1"/>
          <w:sz w:val="21"/>
          <w:szCs w:val="21"/>
        </w:rPr>
        <w:t>永久占地：指专用合同条款中指明为实施合同工程需永久占用的土地。</w:t>
      </w:r>
    </w:p>
    <w:p w14:paraId="2B190A81">
      <w:pPr>
        <w:spacing w:before="125" w:line="233" w:lineRule="auto"/>
        <w:ind w:left="761"/>
        <w:rPr>
          <w:rFonts w:ascii="宋体" w:hAnsi="宋体" w:eastAsia="宋体" w:cs="宋体"/>
          <w:sz w:val="21"/>
          <w:szCs w:val="21"/>
        </w:rPr>
      </w:pPr>
      <w:r>
        <w:fldChar w:fldCharType="begin"/>
      </w:r>
      <w:r>
        <w:instrText xml:space="preserve"> HYPERLINK "1.1.3.11" </w:instrText>
      </w:r>
      <w:r>
        <w:fldChar w:fldCharType="separate"/>
      </w:r>
      <w:r>
        <w:rPr>
          <w:rFonts w:ascii="Times New Roman" w:hAnsi="Times New Roman" w:eastAsia="Times New Roman" w:cs="Times New Roman"/>
          <w:spacing w:val="-1"/>
          <w:sz w:val="21"/>
          <w:szCs w:val="21"/>
        </w:rPr>
        <w:t>1.1.3.11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临时占地：指专用合同条款中指明为实施合同工程需临时</w:t>
      </w:r>
      <w:r>
        <w:rPr>
          <w:rFonts w:ascii="宋体" w:hAnsi="宋体" w:eastAsia="宋体" w:cs="宋体"/>
          <w:spacing w:val="-2"/>
          <w:sz w:val="21"/>
          <w:szCs w:val="21"/>
        </w:rPr>
        <w:t>占用的土地。</w:t>
      </w:r>
    </w:p>
    <w:p w14:paraId="63506991">
      <w:pPr>
        <w:spacing w:before="140" w:line="235" w:lineRule="auto"/>
        <w:ind w:left="461"/>
        <w:rPr>
          <w:rFonts w:ascii="黑体" w:hAnsi="黑体" w:eastAsia="黑体" w:cs="黑体"/>
          <w:sz w:val="21"/>
          <w:szCs w:val="21"/>
        </w:rPr>
      </w:pPr>
      <w:r>
        <w:rPr>
          <w:rFonts w:ascii="Times New Roman" w:hAnsi="Times New Roman" w:eastAsia="Times New Roman" w:cs="Times New Roman"/>
          <w:spacing w:val="-5"/>
          <w:sz w:val="21"/>
          <w:szCs w:val="21"/>
        </w:rPr>
        <w:t>1.1.4</w:t>
      </w:r>
      <w:r>
        <w:rPr>
          <w:rFonts w:ascii="Times New Roman" w:hAnsi="Times New Roman" w:eastAsia="Times New Roman" w:cs="Times New Roman"/>
          <w:spacing w:val="15"/>
          <w:sz w:val="21"/>
          <w:szCs w:val="21"/>
        </w:rPr>
        <w:t xml:space="preserve">  </w:t>
      </w:r>
      <w:r>
        <w:rPr>
          <w:rFonts w:ascii="黑体" w:hAnsi="黑体" w:eastAsia="黑体" w:cs="黑体"/>
          <w:spacing w:val="-5"/>
          <w:sz w:val="21"/>
          <w:szCs w:val="21"/>
        </w:rPr>
        <w:t>日期</w:t>
      </w:r>
    </w:p>
    <w:p w14:paraId="560BA72E">
      <w:pPr>
        <w:spacing w:before="138" w:line="233"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1.1.4.1</w:t>
      </w:r>
      <w:r>
        <w:rPr>
          <w:rFonts w:ascii="Times New Roman" w:hAnsi="Times New Roman" w:eastAsia="Times New Roman" w:cs="Times New Roman"/>
          <w:spacing w:val="48"/>
          <w:sz w:val="21"/>
          <w:szCs w:val="21"/>
        </w:rPr>
        <w:t xml:space="preserve"> </w:t>
      </w:r>
      <w:r>
        <w:rPr>
          <w:rFonts w:ascii="宋体" w:hAnsi="宋体" w:eastAsia="宋体" w:cs="宋体"/>
          <w:spacing w:val="-2"/>
          <w:sz w:val="21"/>
          <w:szCs w:val="21"/>
        </w:rPr>
        <w:t>开工通知：指监理人按第</w:t>
      </w:r>
      <w:r>
        <w:rPr>
          <w:rFonts w:ascii="宋体" w:hAnsi="宋体" w:eastAsia="宋体" w:cs="宋体"/>
          <w:spacing w:val="-23"/>
          <w:sz w:val="21"/>
          <w:szCs w:val="21"/>
        </w:rPr>
        <w:t xml:space="preserve"> </w:t>
      </w:r>
      <w:r>
        <w:rPr>
          <w:rFonts w:ascii="Times New Roman" w:hAnsi="Times New Roman" w:eastAsia="Times New Roman" w:cs="Times New Roman"/>
          <w:spacing w:val="-2"/>
          <w:sz w:val="21"/>
          <w:szCs w:val="21"/>
        </w:rPr>
        <w:t>11.1</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款通知承包人开工的</w:t>
      </w:r>
      <w:r>
        <w:rPr>
          <w:rFonts w:ascii="宋体" w:hAnsi="宋体" w:eastAsia="宋体" w:cs="宋体"/>
          <w:spacing w:val="-3"/>
          <w:sz w:val="21"/>
          <w:szCs w:val="21"/>
        </w:rPr>
        <w:t>函件。</w:t>
      </w:r>
    </w:p>
    <w:p w14:paraId="5FD5FD45">
      <w:pPr>
        <w:spacing w:before="126" w:line="233"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1.1.4.2</w:t>
      </w:r>
      <w:r>
        <w:rPr>
          <w:rFonts w:ascii="Times New Roman" w:hAnsi="Times New Roman" w:eastAsia="Times New Roman" w:cs="Times New Roman"/>
          <w:spacing w:val="56"/>
          <w:w w:val="101"/>
          <w:sz w:val="21"/>
          <w:szCs w:val="21"/>
        </w:rPr>
        <w:t xml:space="preserve"> </w:t>
      </w:r>
      <w:r>
        <w:rPr>
          <w:rFonts w:ascii="宋体" w:hAnsi="宋体" w:eastAsia="宋体" w:cs="宋体"/>
          <w:spacing w:val="-2"/>
          <w:sz w:val="21"/>
          <w:szCs w:val="21"/>
        </w:rPr>
        <w:t>开工日期：指监理人按第</w:t>
      </w:r>
      <w:r>
        <w:rPr>
          <w:rFonts w:ascii="宋体" w:hAnsi="宋体" w:eastAsia="宋体" w:cs="宋体"/>
          <w:spacing w:val="-23"/>
          <w:sz w:val="21"/>
          <w:szCs w:val="21"/>
        </w:rPr>
        <w:t xml:space="preserve"> </w:t>
      </w:r>
      <w:r>
        <w:rPr>
          <w:rFonts w:ascii="Times New Roman" w:hAnsi="Times New Roman" w:eastAsia="Times New Roman" w:cs="Times New Roman"/>
          <w:spacing w:val="-2"/>
          <w:sz w:val="21"/>
          <w:szCs w:val="21"/>
        </w:rPr>
        <w:t>11.1</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款发出的开工通知中写明的开工日期。</w:t>
      </w:r>
    </w:p>
    <w:p w14:paraId="5A581A17">
      <w:pPr>
        <w:spacing w:before="139" w:line="350" w:lineRule="auto"/>
        <w:ind w:left="25" w:right="5" w:firstLine="736"/>
        <w:rPr>
          <w:rFonts w:ascii="宋体" w:hAnsi="宋体" w:eastAsia="宋体" w:cs="宋体"/>
          <w:sz w:val="21"/>
          <w:szCs w:val="21"/>
        </w:rPr>
      </w:pPr>
      <w:r>
        <w:rPr>
          <w:rFonts w:ascii="Times New Roman" w:hAnsi="Times New Roman" w:eastAsia="Times New Roman" w:cs="Times New Roman"/>
          <w:spacing w:val="-1"/>
          <w:sz w:val="21"/>
          <w:szCs w:val="21"/>
        </w:rPr>
        <w:t>1.1.4.3</w:t>
      </w:r>
      <w:r>
        <w:rPr>
          <w:rFonts w:ascii="Times New Roman" w:hAnsi="Times New Roman" w:eastAsia="Times New Roman" w:cs="Times New Roman"/>
          <w:spacing w:val="35"/>
          <w:sz w:val="21"/>
          <w:szCs w:val="21"/>
        </w:rPr>
        <w:t xml:space="preserve"> </w:t>
      </w:r>
      <w:r>
        <w:rPr>
          <w:rFonts w:ascii="宋体" w:hAnsi="宋体" w:eastAsia="宋体" w:cs="宋体"/>
          <w:spacing w:val="-1"/>
          <w:sz w:val="21"/>
          <w:szCs w:val="21"/>
        </w:rPr>
        <w:t>工期：指承包人在投标函中承诺的完成合同工</w:t>
      </w:r>
      <w:r>
        <w:rPr>
          <w:rFonts w:ascii="宋体" w:hAnsi="宋体" w:eastAsia="宋体" w:cs="宋体"/>
          <w:spacing w:val="-2"/>
          <w:sz w:val="21"/>
          <w:szCs w:val="21"/>
        </w:rPr>
        <w:t xml:space="preserve">程所需的期限，包括按第 </w:t>
      </w:r>
      <w:r>
        <w:rPr>
          <w:rFonts w:ascii="Times New Roman" w:hAnsi="Times New Roman" w:eastAsia="Times New Roman" w:cs="Times New Roman"/>
          <w:spacing w:val="-2"/>
          <w:sz w:val="21"/>
          <w:szCs w:val="21"/>
        </w:rPr>
        <w:t>11.3</w:t>
      </w:r>
      <w:r>
        <w:rPr>
          <w:rFonts w:ascii="宋体" w:hAnsi="宋体" w:eastAsia="宋体" w:cs="宋体"/>
          <w:spacing w:val="-5"/>
          <w:sz w:val="21"/>
          <w:szCs w:val="21"/>
        </w:rPr>
        <w:t>款、第</w:t>
      </w:r>
      <w:r>
        <w:rPr>
          <w:rFonts w:ascii="宋体" w:hAnsi="宋体" w:eastAsia="宋体" w:cs="宋体"/>
          <w:spacing w:val="-19"/>
          <w:sz w:val="21"/>
          <w:szCs w:val="21"/>
        </w:rPr>
        <w:t xml:space="preserve"> </w:t>
      </w:r>
      <w:r>
        <w:rPr>
          <w:rFonts w:ascii="Times New Roman" w:hAnsi="Times New Roman" w:eastAsia="Times New Roman" w:cs="Times New Roman"/>
          <w:spacing w:val="-5"/>
          <w:sz w:val="21"/>
          <w:szCs w:val="21"/>
        </w:rPr>
        <w:t>11.4</w:t>
      </w:r>
      <w:r>
        <w:rPr>
          <w:rFonts w:ascii="Times New Roman" w:hAnsi="Times New Roman" w:eastAsia="Times New Roman" w:cs="Times New Roman"/>
          <w:spacing w:val="17"/>
          <w:sz w:val="21"/>
          <w:szCs w:val="21"/>
        </w:rPr>
        <w:t xml:space="preserve"> </w:t>
      </w:r>
      <w:r>
        <w:rPr>
          <w:rFonts w:ascii="宋体" w:hAnsi="宋体" w:eastAsia="宋体" w:cs="宋体"/>
          <w:spacing w:val="-5"/>
          <w:sz w:val="21"/>
          <w:szCs w:val="21"/>
        </w:rPr>
        <w:t>款和第</w:t>
      </w:r>
      <w:r>
        <w:rPr>
          <w:rFonts w:ascii="宋体" w:hAnsi="宋体" w:eastAsia="宋体" w:cs="宋体"/>
          <w:spacing w:val="-21"/>
          <w:sz w:val="21"/>
          <w:szCs w:val="21"/>
        </w:rPr>
        <w:t xml:space="preserve"> </w:t>
      </w:r>
      <w:r>
        <w:rPr>
          <w:rFonts w:ascii="Times New Roman" w:hAnsi="Times New Roman" w:eastAsia="Times New Roman" w:cs="Times New Roman"/>
          <w:spacing w:val="-5"/>
          <w:sz w:val="21"/>
          <w:szCs w:val="21"/>
        </w:rPr>
        <w:t>11.6</w:t>
      </w:r>
      <w:r>
        <w:rPr>
          <w:rFonts w:ascii="Times New Roman" w:hAnsi="Times New Roman" w:eastAsia="Times New Roman" w:cs="Times New Roman"/>
          <w:spacing w:val="17"/>
          <w:w w:val="101"/>
          <w:sz w:val="21"/>
          <w:szCs w:val="21"/>
        </w:rPr>
        <w:t xml:space="preserve"> </w:t>
      </w:r>
      <w:r>
        <w:rPr>
          <w:rFonts w:ascii="宋体" w:hAnsi="宋体" w:eastAsia="宋体" w:cs="宋体"/>
          <w:spacing w:val="-5"/>
          <w:sz w:val="21"/>
          <w:szCs w:val="21"/>
        </w:rPr>
        <w:t>款约定所作的变更。</w:t>
      </w:r>
    </w:p>
    <w:p w14:paraId="566C03F0">
      <w:pPr>
        <w:spacing w:line="348" w:lineRule="auto"/>
        <w:ind w:left="24" w:firstLine="736"/>
        <w:rPr>
          <w:rFonts w:ascii="宋体" w:hAnsi="宋体" w:eastAsia="宋体" w:cs="宋体"/>
          <w:sz w:val="21"/>
          <w:szCs w:val="21"/>
        </w:rPr>
      </w:pPr>
      <w:r>
        <w:rPr>
          <w:rFonts w:ascii="Times New Roman" w:hAnsi="Times New Roman" w:eastAsia="Times New Roman" w:cs="Times New Roman"/>
          <w:spacing w:val="-3"/>
          <w:sz w:val="21"/>
          <w:szCs w:val="21"/>
        </w:rPr>
        <w:t xml:space="preserve">1.1.4.4  </w:t>
      </w:r>
      <w:r>
        <w:rPr>
          <w:rFonts w:ascii="宋体" w:hAnsi="宋体" w:eastAsia="宋体" w:cs="宋体"/>
          <w:spacing w:val="-3"/>
          <w:sz w:val="21"/>
          <w:szCs w:val="21"/>
        </w:rPr>
        <w:t>竣工日期：指第</w:t>
      </w:r>
      <w:r>
        <w:rPr>
          <w:rFonts w:ascii="宋体" w:hAnsi="宋体" w:eastAsia="宋体" w:cs="宋体"/>
          <w:spacing w:val="-20"/>
          <w:sz w:val="21"/>
          <w:szCs w:val="21"/>
        </w:rPr>
        <w:t xml:space="preserve"> </w:t>
      </w:r>
      <w:r>
        <w:fldChar w:fldCharType="begin"/>
      </w:r>
      <w:r>
        <w:instrText xml:space="preserve"> HYPERLINK "1.1.4.3" </w:instrText>
      </w:r>
      <w:r>
        <w:fldChar w:fldCharType="separate"/>
      </w:r>
      <w:r>
        <w:rPr>
          <w:rFonts w:ascii="Times New Roman" w:hAnsi="Times New Roman" w:eastAsia="Times New Roman" w:cs="Times New Roman"/>
          <w:spacing w:val="-3"/>
          <w:sz w:val="21"/>
          <w:szCs w:val="21"/>
        </w:rPr>
        <w:t>1.1.4.3</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3"/>
          <w:sz w:val="21"/>
          <w:szCs w:val="21"/>
        </w:rPr>
        <w:t xml:space="preserve">  </w:t>
      </w:r>
      <w:r>
        <w:rPr>
          <w:rFonts w:ascii="宋体" w:hAnsi="宋体" w:eastAsia="宋体" w:cs="宋体"/>
          <w:spacing w:val="-3"/>
          <w:sz w:val="21"/>
          <w:szCs w:val="21"/>
        </w:rPr>
        <w:t>目约定工期届满时的日期</w:t>
      </w:r>
      <w:r>
        <w:rPr>
          <w:rFonts w:ascii="宋体" w:hAnsi="宋体" w:eastAsia="宋体" w:cs="宋体"/>
          <w:spacing w:val="-4"/>
          <w:sz w:val="21"/>
          <w:szCs w:val="21"/>
        </w:rPr>
        <w:t>。实际竣工日期以工程接收</w:t>
      </w:r>
      <w:r>
        <w:rPr>
          <w:rFonts w:ascii="宋体" w:hAnsi="宋体" w:eastAsia="宋体" w:cs="宋体"/>
          <w:spacing w:val="-3"/>
          <w:sz w:val="21"/>
          <w:szCs w:val="21"/>
        </w:rPr>
        <w:t>证书中写明的日期为准。</w:t>
      </w:r>
    </w:p>
    <w:p w14:paraId="03458B29">
      <w:pPr>
        <w:spacing w:before="19" w:line="344" w:lineRule="auto"/>
        <w:ind w:left="25" w:firstLine="735"/>
        <w:rPr>
          <w:rFonts w:ascii="宋体" w:hAnsi="宋体" w:eastAsia="宋体" w:cs="宋体"/>
          <w:sz w:val="21"/>
          <w:szCs w:val="21"/>
        </w:rPr>
      </w:pPr>
      <w:r>
        <w:rPr>
          <w:rFonts w:ascii="Times New Roman" w:hAnsi="Times New Roman" w:eastAsia="Times New Roman" w:cs="Times New Roman"/>
          <w:spacing w:val="-3"/>
          <w:sz w:val="21"/>
          <w:szCs w:val="21"/>
        </w:rPr>
        <w:t xml:space="preserve">1.1.4.5  </w:t>
      </w:r>
      <w:r>
        <w:rPr>
          <w:rFonts w:ascii="宋体" w:hAnsi="宋体" w:eastAsia="宋体" w:cs="宋体"/>
          <w:spacing w:val="-3"/>
          <w:sz w:val="21"/>
          <w:szCs w:val="21"/>
        </w:rPr>
        <w:t>缺陷责任期：指履行第</w:t>
      </w:r>
      <w:r>
        <w:rPr>
          <w:rFonts w:ascii="宋体" w:hAnsi="宋体" w:eastAsia="宋体" w:cs="宋体"/>
          <w:spacing w:val="-10"/>
          <w:sz w:val="21"/>
          <w:szCs w:val="21"/>
        </w:rPr>
        <w:t xml:space="preserve"> </w:t>
      </w:r>
      <w:r>
        <w:rPr>
          <w:rFonts w:ascii="Times New Roman" w:hAnsi="Times New Roman" w:eastAsia="Times New Roman" w:cs="Times New Roman"/>
          <w:spacing w:val="-3"/>
          <w:sz w:val="21"/>
          <w:szCs w:val="21"/>
        </w:rPr>
        <w:t>19.2</w:t>
      </w:r>
      <w:r>
        <w:rPr>
          <w:rFonts w:ascii="Times New Roman" w:hAnsi="Times New Roman" w:eastAsia="Times New Roman" w:cs="Times New Roman"/>
          <w:spacing w:val="18"/>
          <w:sz w:val="21"/>
          <w:szCs w:val="21"/>
        </w:rPr>
        <w:t xml:space="preserve"> </w:t>
      </w:r>
      <w:r>
        <w:rPr>
          <w:rFonts w:ascii="宋体" w:hAnsi="宋体" w:eastAsia="宋体" w:cs="宋体"/>
          <w:spacing w:val="-3"/>
          <w:sz w:val="21"/>
          <w:szCs w:val="21"/>
        </w:rPr>
        <w:t>款约定的缺陷责任的期限，具体期限由专用合同条款约定，包括根据第</w:t>
      </w:r>
      <w:r>
        <w:rPr>
          <w:rFonts w:ascii="宋体" w:hAnsi="宋体" w:eastAsia="宋体" w:cs="宋体"/>
          <w:spacing w:val="-9"/>
          <w:sz w:val="21"/>
          <w:szCs w:val="21"/>
        </w:rPr>
        <w:t xml:space="preserve"> </w:t>
      </w:r>
      <w:r>
        <w:rPr>
          <w:rFonts w:ascii="Times New Roman" w:hAnsi="Times New Roman" w:eastAsia="Times New Roman" w:cs="Times New Roman"/>
          <w:spacing w:val="-3"/>
          <w:sz w:val="21"/>
          <w:szCs w:val="21"/>
        </w:rPr>
        <w:t>19.3</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款约定所作的延长。</w:t>
      </w:r>
    </w:p>
    <w:p w14:paraId="0470BCB6">
      <w:pPr>
        <w:spacing w:before="13" w:line="234" w:lineRule="auto"/>
        <w:ind w:left="761"/>
        <w:rPr>
          <w:rFonts w:ascii="宋体" w:hAnsi="宋体" w:eastAsia="宋体" w:cs="宋体"/>
          <w:sz w:val="21"/>
          <w:szCs w:val="21"/>
        </w:rPr>
      </w:pPr>
      <w:r>
        <w:rPr>
          <w:rFonts w:ascii="Times New Roman" w:hAnsi="Times New Roman" w:eastAsia="Times New Roman" w:cs="Times New Roman"/>
          <w:spacing w:val="-2"/>
          <w:sz w:val="21"/>
          <w:szCs w:val="21"/>
        </w:rPr>
        <w:t>1.1.4.6</w:t>
      </w:r>
      <w:r>
        <w:rPr>
          <w:rFonts w:ascii="Times New Roman" w:hAnsi="Times New Roman" w:eastAsia="Times New Roman" w:cs="Times New Roman"/>
          <w:spacing w:val="58"/>
          <w:sz w:val="21"/>
          <w:szCs w:val="21"/>
        </w:rPr>
        <w:t xml:space="preserve"> </w:t>
      </w:r>
      <w:r>
        <w:rPr>
          <w:rFonts w:ascii="宋体" w:hAnsi="宋体" w:eastAsia="宋体" w:cs="宋体"/>
          <w:spacing w:val="-2"/>
          <w:sz w:val="21"/>
          <w:szCs w:val="21"/>
        </w:rPr>
        <w:t>基准日期：指投标截止时间前</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天的日期。</w:t>
      </w:r>
    </w:p>
    <w:p w14:paraId="3E44B93E">
      <w:pPr>
        <w:spacing w:before="140" w:line="344" w:lineRule="auto"/>
        <w:ind w:left="26" w:right="29" w:firstLine="734"/>
        <w:rPr>
          <w:rFonts w:ascii="宋体" w:hAnsi="宋体" w:eastAsia="宋体" w:cs="宋体"/>
          <w:sz w:val="21"/>
          <w:szCs w:val="21"/>
        </w:rPr>
      </w:pPr>
      <w:r>
        <w:rPr>
          <w:rFonts w:ascii="Times New Roman" w:hAnsi="Times New Roman" w:eastAsia="Times New Roman" w:cs="Times New Roman"/>
          <w:spacing w:val="-1"/>
          <w:sz w:val="21"/>
          <w:szCs w:val="21"/>
        </w:rPr>
        <w:t xml:space="preserve">1.1.4.7  </w:t>
      </w:r>
      <w:r>
        <w:rPr>
          <w:rFonts w:ascii="宋体" w:hAnsi="宋体" w:eastAsia="宋体" w:cs="宋体"/>
          <w:spacing w:val="-1"/>
          <w:sz w:val="21"/>
          <w:szCs w:val="21"/>
        </w:rPr>
        <w:t>天：除特别指明外，指日历天。合同中按天计算时间的，开始</w:t>
      </w:r>
      <w:r>
        <w:rPr>
          <w:rFonts w:ascii="宋体" w:hAnsi="宋体" w:eastAsia="宋体" w:cs="宋体"/>
          <w:spacing w:val="-2"/>
          <w:sz w:val="21"/>
          <w:szCs w:val="21"/>
        </w:rPr>
        <w:t>当天不计入，</w:t>
      </w:r>
      <w:r>
        <w:rPr>
          <w:rFonts w:ascii="宋体" w:hAnsi="宋体" w:eastAsia="宋体" w:cs="宋体"/>
          <w:spacing w:val="-1"/>
          <w:sz w:val="21"/>
          <w:szCs w:val="21"/>
        </w:rPr>
        <w:t>从次日开始计算。期限最后一天的截止时间为当天</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24:00</w:t>
      </w:r>
      <w:r>
        <w:rPr>
          <w:rFonts w:ascii="宋体" w:hAnsi="宋体" w:eastAsia="宋体" w:cs="宋体"/>
          <w:spacing w:val="-1"/>
          <w:sz w:val="21"/>
          <w:szCs w:val="21"/>
        </w:rPr>
        <w:t>。</w:t>
      </w:r>
    </w:p>
    <w:p w14:paraId="30B56561">
      <w:pPr>
        <w:spacing w:before="12"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1.1.5</w:t>
      </w:r>
      <w:r>
        <w:rPr>
          <w:rFonts w:ascii="Times New Roman" w:hAnsi="Times New Roman" w:eastAsia="Times New Roman" w:cs="Times New Roman"/>
          <w:spacing w:val="55"/>
          <w:sz w:val="21"/>
          <w:szCs w:val="21"/>
        </w:rPr>
        <w:t xml:space="preserve"> </w:t>
      </w:r>
      <w:r>
        <w:rPr>
          <w:rFonts w:ascii="黑体" w:hAnsi="黑体" w:eastAsia="黑体" w:cs="黑体"/>
          <w:spacing w:val="-2"/>
          <w:sz w:val="21"/>
          <w:szCs w:val="21"/>
        </w:rPr>
        <w:t>合同价格和费用</w:t>
      </w:r>
    </w:p>
    <w:p w14:paraId="2876C499">
      <w:pPr>
        <w:spacing w:line="233" w:lineRule="auto"/>
        <w:rPr>
          <w:rFonts w:ascii="黑体" w:hAnsi="黑体" w:eastAsia="黑体" w:cs="黑体"/>
          <w:sz w:val="21"/>
          <w:szCs w:val="21"/>
        </w:rPr>
        <w:sectPr>
          <w:footerReference r:id="rId76" w:type="default"/>
          <w:pgSz w:w="11910" w:h="16845"/>
          <w:pgMar w:top="400" w:right="1767" w:bottom="1110" w:left="1786" w:header="0" w:footer="883" w:gutter="0"/>
          <w:cols w:space="720" w:num="1"/>
        </w:sectPr>
      </w:pPr>
    </w:p>
    <w:p w14:paraId="7CCBB93D">
      <w:pPr>
        <w:pStyle w:val="2"/>
        <w:spacing w:line="275" w:lineRule="auto"/>
      </w:pPr>
    </w:p>
    <w:p w14:paraId="51AB1192">
      <w:pPr>
        <w:pStyle w:val="2"/>
        <w:spacing w:line="275" w:lineRule="auto"/>
      </w:pPr>
    </w:p>
    <w:p w14:paraId="74170BAF">
      <w:pPr>
        <w:pStyle w:val="2"/>
        <w:spacing w:line="275" w:lineRule="auto"/>
      </w:pPr>
    </w:p>
    <w:p w14:paraId="232A5D24">
      <w:pPr>
        <w:pStyle w:val="2"/>
        <w:spacing w:line="276" w:lineRule="auto"/>
      </w:pPr>
    </w:p>
    <w:p w14:paraId="389B10FB">
      <w:pPr>
        <w:spacing w:before="69" w:line="348" w:lineRule="auto"/>
        <w:ind w:left="41" w:right="10" w:firstLine="719"/>
        <w:rPr>
          <w:rFonts w:ascii="宋体" w:hAnsi="宋体" w:eastAsia="宋体" w:cs="宋体"/>
          <w:sz w:val="21"/>
          <w:szCs w:val="21"/>
        </w:rPr>
      </w:pPr>
      <w:r>
        <w:rPr>
          <w:rFonts w:ascii="Times New Roman" w:hAnsi="Times New Roman" w:eastAsia="Times New Roman" w:cs="Times New Roman"/>
          <w:spacing w:val="-1"/>
          <w:sz w:val="21"/>
          <w:szCs w:val="21"/>
        </w:rPr>
        <w:t xml:space="preserve">1.1.5.1  </w:t>
      </w:r>
      <w:r>
        <w:rPr>
          <w:rFonts w:ascii="宋体" w:hAnsi="宋体" w:eastAsia="宋体" w:cs="宋体"/>
          <w:spacing w:val="-1"/>
          <w:sz w:val="21"/>
          <w:szCs w:val="21"/>
        </w:rPr>
        <w:t>签约合同价：指签订合同时合同协议书中写明的，包括了暂列金额、暂估价</w:t>
      </w:r>
      <w:r>
        <w:rPr>
          <w:rFonts w:ascii="宋体" w:hAnsi="宋体" w:eastAsia="宋体" w:cs="宋体"/>
          <w:spacing w:val="-7"/>
          <w:sz w:val="21"/>
          <w:szCs w:val="21"/>
        </w:rPr>
        <w:t>的合同总金额。</w:t>
      </w:r>
    </w:p>
    <w:p w14:paraId="140939D0">
      <w:pPr>
        <w:spacing w:before="3" w:line="348" w:lineRule="auto"/>
        <w:ind w:left="25" w:right="36" w:firstLine="735"/>
        <w:rPr>
          <w:rFonts w:ascii="宋体" w:hAnsi="宋体" w:eastAsia="宋体" w:cs="宋体"/>
          <w:sz w:val="21"/>
          <w:szCs w:val="21"/>
        </w:rPr>
      </w:pPr>
      <w:r>
        <w:rPr>
          <w:rFonts w:ascii="Times New Roman" w:hAnsi="Times New Roman" w:eastAsia="Times New Roman" w:cs="Times New Roman"/>
          <w:spacing w:val="4"/>
          <w:sz w:val="21"/>
          <w:szCs w:val="21"/>
        </w:rPr>
        <w:t xml:space="preserve">1.1.5.2  </w:t>
      </w:r>
      <w:r>
        <w:rPr>
          <w:rFonts w:ascii="宋体" w:hAnsi="宋体" w:eastAsia="宋体" w:cs="宋体"/>
          <w:spacing w:val="4"/>
          <w:sz w:val="21"/>
          <w:szCs w:val="21"/>
        </w:rPr>
        <w:t>合同价格：指承包人按合同约定完成了包括缺陷责任期内</w:t>
      </w:r>
      <w:r>
        <w:rPr>
          <w:rFonts w:ascii="宋体" w:hAnsi="宋体" w:eastAsia="宋体" w:cs="宋体"/>
          <w:spacing w:val="3"/>
          <w:sz w:val="21"/>
          <w:szCs w:val="21"/>
        </w:rPr>
        <w:t>的全部承包工作</w:t>
      </w:r>
      <w:r>
        <w:rPr>
          <w:rFonts w:ascii="宋体" w:hAnsi="宋体" w:eastAsia="宋体" w:cs="宋体"/>
          <w:spacing w:val="-1"/>
          <w:sz w:val="21"/>
          <w:szCs w:val="21"/>
        </w:rPr>
        <w:t>后，发包人应付给承包人的金额，包括在履行合同过程中按合同约定进行的变更和调整。</w:t>
      </w:r>
    </w:p>
    <w:p w14:paraId="3E55ADA1">
      <w:pPr>
        <w:spacing w:before="18" w:line="336" w:lineRule="auto"/>
        <w:ind w:left="26" w:right="2" w:firstLine="734"/>
        <w:rPr>
          <w:rFonts w:ascii="宋体" w:hAnsi="宋体" w:eastAsia="宋体" w:cs="宋体"/>
          <w:sz w:val="21"/>
          <w:szCs w:val="21"/>
        </w:rPr>
      </w:pPr>
      <w:r>
        <w:rPr>
          <w:rFonts w:ascii="Times New Roman" w:hAnsi="Times New Roman" w:eastAsia="Times New Roman" w:cs="Times New Roman"/>
          <w:sz w:val="21"/>
          <w:szCs w:val="21"/>
        </w:rPr>
        <w:t xml:space="preserve">1.1.5.3  </w:t>
      </w:r>
      <w:r>
        <w:rPr>
          <w:rFonts w:ascii="宋体" w:hAnsi="宋体" w:eastAsia="宋体" w:cs="宋体"/>
          <w:sz w:val="21"/>
          <w:szCs w:val="21"/>
        </w:rPr>
        <w:t>费用：指为履行合同所发生的或</w:t>
      </w:r>
      <w:r>
        <w:rPr>
          <w:rFonts w:ascii="宋体" w:hAnsi="宋体" w:eastAsia="宋体" w:cs="宋体"/>
          <w:spacing w:val="-1"/>
          <w:sz w:val="21"/>
          <w:szCs w:val="21"/>
        </w:rPr>
        <w:t>将要发生的所有合理开支，包括管理费和应</w:t>
      </w:r>
      <w:r>
        <w:rPr>
          <w:rFonts w:ascii="宋体" w:hAnsi="宋体" w:eastAsia="宋体" w:cs="宋体"/>
          <w:spacing w:val="-3"/>
          <w:sz w:val="21"/>
          <w:szCs w:val="21"/>
        </w:rPr>
        <w:t>分摊的其他费用，但不包括利润。</w:t>
      </w:r>
    </w:p>
    <w:p w14:paraId="1B51C6FC">
      <w:pPr>
        <w:spacing w:before="32" w:line="348" w:lineRule="auto"/>
        <w:ind w:left="25" w:right="2" w:firstLine="736"/>
        <w:rPr>
          <w:rFonts w:ascii="宋体" w:hAnsi="宋体" w:eastAsia="宋体" w:cs="宋体"/>
          <w:sz w:val="21"/>
          <w:szCs w:val="21"/>
        </w:rPr>
      </w:pPr>
      <w:r>
        <w:rPr>
          <w:rFonts w:ascii="Times New Roman" w:hAnsi="Times New Roman" w:eastAsia="Times New Roman" w:cs="Times New Roman"/>
          <w:sz w:val="21"/>
          <w:szCs w:val="21"/>
        </w:rPr>
        <w:t xml:space="preserve">1.1.5.4  </w:t>
      </w:r>
      <w:r>
        <w:rPr>
          <w:rFonts w:ascii="宋体" w:hAnsi="宋体" w:eastAsia="宋体" w:cs="宋体"/>
          <w:sz w:val="21"/>
          <w:szCs w:val="21"/>
        </w:rPr>
        <w:t>暂列金额：指已标价工程量清单</w:t>
      </w:r>
      <w:r>
        <w:rPr>
          <w:rFonts w:ascii="宋体" w:hAnsi="宋体" w:eastAsia="宋体" w:cs="宋体"/>
          <w:spacing w:val="-1"/>
          <w:sz w:val="21"/>
          <w:szCs w:val="21"/>
        </w:rPr>
        <w:t>中所列的暂列金额，用于在签订协议书时尚</w:t>
      </w:r>
      <w:r>
        <w:rPr>
          <w:rFonts w:ascii="宋体" w:hAnsi="宋体" w:eastAsia="宋体" w:cs="宋体"/>
          <w:spacing w:val="-5"/>
          <w:sz w:val="21"/>
          <w:szCs w:val="21"/>
        </w:rPr>
        <w:t>未确定或不可预见变更的施工及其所需材料、工程设备、服务等的金额， 包括以计日工方式</w:t>
      </w:r>
      <w:r>
        <w:rPr>
          <w:rFonts w:ascii="宋体" w:hAnsi="宋体" w:eastAsia="宋体" w:cs="宋体"/>
          <w:spacing w:val="-6"/>
          <w:sz w:val="21"/>
          <w:szCs w:val="21"/>
        </w:rPr>
        <w:t>支付的金额。</w:t>
      </w:r>
    </w:p>
    <w:p w14:paraId="681E4397">
      <w:pPr>
        <w:spacing w:before="13" w:line="347" w:lineRule="auto"/>
        <w:ind w:left="25" w:firstLine="736"/>
        <w:rPr>
          <w:rFonts w:ascii="宋体" w:hAnsi="宋体" w:eastAsia="宋体" w:cs="宋体"/>
          <w:sz w:val="21"/>
          <w:szCs w:val="21"/>
        </w:rPr>
      </w:pPr>
      <w:r>
        <w:rPr>
          <w:rFonts w:ascii="Times New Roman" w:hAnsi="Times New Roman" w:eastAsia="Times New Roman" w:cs="Times New Roman"/>
          <w:sz w:val="21"/>
          <w:szCs w:val="21"/>
        </w:rPr>
        <w:t xml:space="preserve">1.1.5.5  </w:t>
      </w:r>
      <w:r>
        <w:rPr>
          <w:rFonts w:ascii="宋体" w:hAnsi="宋体" w:eastAsia="宋体" w:cs="宋体"/>
          <w:sz w:val="21"/>
          <w:szCs w:val="21"/>
        </w:rPr>
        <w:t>暂估价：指发包人在工程量清单中给</w:t>
      </w:r>
      <w:r>
        <w:rPr>
          <w:rFonts w:ascii="宋体" w:hAnsi="宋体" w:eastAsia="宋体" w:cs="宋体"/>
          <w:spacing w:val="-1"/>
          <w:sz w:val="21"/>
          <w:szCs w:val="21"/>
        </w:rPr>
        <w:t>定的用于支付必然发生但暂时不能确定</w:t>
      </w:r>
      <w:r>
        <w:rPr>
          <w:rFonts w:ascii="宋体" w:hAnsi="宋体" w:eastAsia="宋体" w:cs="宋体"/>
          <w:spacing w:val="-2"/>
          <w:sz w:val="21"/>
          <w:szCs w:val="21"/>
        </w:rPr>
        <w:t>价格的材料、设备以及专业工程的金额。</w:t>
      </w:r>
    </w:p>
    <w:p w14:paraId="234D7D81">
      <w:pPr>
        <w:spacing w:before="4" w:line="348" w:lineRule="auto"/>
        <w:ind w:left="25" w:right="2" w:firstLine="736"/>
        <w:rPr>
          <w:rFonts w:ascii="宋体" w:hAnsi="宋体" w:eastAsia="宋体" w:cs="宋体"/>
          <w:sz w:val="21"/>
          <w:szCs w:val="21"/>
        </w:rPr>
      </w:pPr>
      <w:r>
        <w:rPr>
          <w:rFonts w:ascii="Times New Roman" w:hAnsi="Times New Roman" w:eastAsia="Times New Roman" w:cs="Times New Roman"/>
          <w:sz w:val="21"/>
          <w:szCs w:val="21"/>
        </w:rPr>
        <w:t xml:space="preserve">1.1.5.6  </w:t>
      </w:r>
      <w:r>
        <w:rPr>
          <w:rFonts w:ascii="宋体" w:hAnsi="宋体" w:eastAsia="宋体" w:cs="宋体"/>
          <w:sz w:val="21"/>
          <w:szCs w:val="21"/>
        </w:rPr>
        <w:t>计日工：指对零星工作采取的一</w:t>
      </w:r>
      <w:r>
        <w:rPr>
          <w:rFonts w:ascii="宋体" w:hAnsi="宋体" w:eastAsia="宋体" w:cs="宋体"/>
          <w:spacing w:val="-1"/>
          <w:sz w:val="21"/>
          <w:szCs w:val="21"/>
        </w:rPr>
        <w:t>种计价方式，按合同中的计日工子目及其单</w:t>
      </w:r>
      <w:r>
        <w:rPr>
          <w:rFonts w:ascii="宋体" w:hAnsi="宋体" w:eastAsia="宋体" w:cs="宋体"/>
          <w:spacing w:val="-6"/>
          <w:sz w:val="21"/>
          <w:szCs w:val="21"/>
        </w:rPr>
        <w:t>价计价付款。</w:t>
      </w:r>
    </w:p>
    <w:p w14:paraId="33330965">
      <w:pPr>
        <w:spacing w:before="21" w:line="335" w:lineRule="auto"/>
        <w:ind w:left="27" w:right="4" w:firstLine="733"/>
        <w:rPr>
          <w:rFonts w:ascii="宋体" w:hAnsi="宋体" w:eastAsia="宋体" w:cs="宋体"/>
          <w:sz w:val="21"/>
          <w:szCs w:val="21"/>
        </w:rPr>
      </w:pPr>
      <w:r>
        <w:rPr>
          <w:rFonts w:ascii="Times New Roman" w:hAnsi="Times New Roman" w:eastAsia="Times New Roman" w:cs="Times New Roman"/>
          <w:spacing w:val="-2"/>
          <w:sz w:val="21"/>
          <w:szCs w:val="21"/>
        </w:rPr>
        <w:t xml:space="preserve">1.1.5.7  </w:t>
      </w:r>
      <w:r>
        <w:rPr>
          <w:rFonts w:ascii="宋体" w:hAnsi="宋体" w:eastAsia="宋体" w:cs="宋体"/>
          <w:spacing w:val="-2"/>
          <w:sz w:val="21"/>
          <w:szCs w:val="21"/>
        </w:rPr>
        <w:t>质量保证金（或称保留金</w:t>
      </w:r>
      <w:r>
        <w:rPr>
          <w:rFonts w:ascii="宋体" w:hAnsi="宋体" w:eastAsia="宋体" w:cs="宋体"/>
          <w:spacing w:val="-5"/>
          <w:sz w:val="21"/>
          <w:szCs w:val="21"/>
        </w:rPr>
        <w:t>）：</w:t>
      </w:r>
      <w:r>
        <w:rPr>
          <w:rFonts w:ascii="宋体" w:hAnsi="宋体" w:eastAsia="宋体" w:cs="宋体"/>
          <w:spacing w:val="-2"/>
          <w:sz w:val="21"/>
          <w:szCs w:val="21"/>
        </w:rPr>
        <w:t>指按</w:t>
      </w:r>
      <w:r>
        <w:rPr>
          <w:rFonts w:ascii="宋体" w:hAnsi="宋体" w:eastAsia="宋体" w:cs="宋体"/>
          <w:spacing w:val="-3"/>
          <w:sz w:val="21"/>
          <w:szCs w:val="21"/>
        </w:rPr>
        <w:t xml:space="preserve">第 </w:t>
      </w:r>
      <w:r>
        <w:rPr>
          <w:rFonts w:ascii="Times New Roman" w:hAnsi="Times New Roman" w:eastAsia="Times New Roman" w:cs="Times New Roman"/>
          <w:spacing w:val="-3"/>
          <w:sz w:val="21"/>
          <w:szCs w:val="21"/>
        </w:rPr>
        <w:t xml:space="preserve">17.4.1  </w:t>
      </w:r>
      <w:r>
        <w:rPr>
          <w:rFonts w:ascii="宋体" w:hAnsi="宋体" w:eastAsia="宋体" w:cs="宋体"/>
          <w:spacing w:val="-3"/>
          <w:sz w:val="21"/>
          <w:szCs w:val="21"/>
        </w:rPr>
        <w:t>项约定用于保证在缺陷责任期内履行缺陷修复义务的金额。</w:t>
      </w:r>
    </w:p>
    <w:p w14:paraId="5910B9AB">
      <w:pPr>
        <w:spacing w:before="33" w:line="233" w:lineRule="auto"/>
        <w:ind w:left="461"/>
        <w:rPr>
          <w:rFonts w:ascii="黑体" w:hAnsi="黑体" w:eastAsia="黑体" w:cs="黑体"/>
          <w:sz w:val="21"/>
          <w:szCs w:val="21"/>
        </w:rPr>
      </w:pPr>
      <w:r>
        <w:rPr>
          <w:rFonts w:ascii="Times New Roman" w:hAnsi="Times New Roman" w:eastAsia="Times New Roman" w:cs="Times New Roman"/>
          <w:spacing w:val="-3"/>
          <w:sz w:val="21"/>
          <w:szCs w:val="21"/>
        </w:rPr>
        <w:t>1.1.6</w:t>
      </w:r>
      <w:r>
        <w:rPr>
          <w:rFonts w:ascii="Times New Roman" w:hAnsi="Times New Roman" w:eastAsia="Times New Roman" w:cs="Times New Roman"/>
          <w:spacing w:val="54"/>
          <w:sz w:val="21"/>
          <w:szCs w:val="21"/>
        </w:rPr>
        <w:t xml:space="preserve"> </w:t>
      </w:r>
      <w:r>
        <w:rPr>
          <w:rFonts w:ascii="黑体" w:hAnsi="黑体" w:eastAsia="黑体" w:cs="黑体"/>
          <w:spacing w:val="-3"/>
          <w:sz w:val="21"/>
          <w:szCs w:val="21"/>
        </w:rPr>
        <w:t>其他</w:t>
      </w:r>
    </w:p>
    <w:p w14:paraId="54D27BA1">
      <w:pPr>
        <w:spacing w:before="140" w:line="336" w:lineRule="auto"/>
        <w:ind w:left="28" w:right="2" w:firstLine="732"/>
        <w:rPr>
          <w:rFonts w:ascii="宋体" w:hAnsi="宋体" w:eastAsia="宋体" w:cs="宋体"/>
          <w:sz w:val="21"/>
          <w:szCs w:val="21"/>
        </w:rPr>
      </w:pPr>
      <w:r>
        <w:rPr>
          <w:rFonts w:ascii="Times New Roman" w:hAnsi="Times New Roman" w:eastAsia="Times New Roman" w:cs="Times New Roman"/>
          <w:sz w:val="21"/>
          <w:szCs w:val="21"/>
        </w:rPr>
        <w:t xml:space="preserve">1.1.6.1  </w:t>
      </w:r>
      <w:r>
        <w:rPr>
          <w:rFonts w:ascii="宋体" w:hAnsi="宋体" w:eastAsia="宋体" w:cs="宋体"/>
          <w:sz w:val="21"/>
          <w:szCs w:val="21"/>
        </w:rPr>
        <w:t>书面形式：指合同文件、信函、</w:t>
      </w:r>
      <w:r>
        <w:rPr>
          <w:rFonts w:ascii="宋体" w:hAnsi="宋体" w:eastAsia="宋体" w:cs="宋体"/>
          <w:spacing w:val="-1"/>
          <w:sz w:val="21"/>
          <w:szCs w:val="21"/>
        </w:rPr>
        <w:t>电报、传真等可以有形地表现所载内容的形</w:t>
      </w:r>
      <w:r>
        <w:rPr>
          <w:rFonts w:ascii="宋体" w:hAnsi="宋体" w:eastAsia="宋体" w:cs="宋体"/>
          <w:spacing w:val="-11"/>
          <w:sz w:val="21"/>
          <w:szCs w:val="21"/>
        </w:rPr>
        <w:t>式。</w:t>
      </w:r>
    </w:p>
    <w:p w14:paraId="4E2246AA">
      <w:pPr>
        <w:spacing w:before="5" w:line="233" w:lineRule="auto"/>
        <w:ind w:left="44"/>
        <w:outlineLvl w:val="2"/>
        <w:rPr>
          <w:rFonts w:ascii="黑体" w:hAnsi="黑体" w:eastAsia="黑体" w:cs="黑体"/>
          <w:sz w:val="24"/>
          <w:szCs w:val="24"/>
        </w:rPr>
      </w:pPr>
      <w:bookmarkStart w:id="43" w:name="bookmark40"/>
      <w:bookmarkEnd w:id="43"/>
      <w:r>
        <w:rPr>
          <w:rFonts w:ascii="Times New Roman" w:hAnsi="Times New Roman" w:eastAsia="Times New Roman" w:cs="Times New Roman"/>
          <w:spacing w:val="-3"/>
          <w:sz w:val="24"/>
          <w:szCs w:val="24"/>
        </w:rPr>
        <w:t xml:space="preserve">1.2  </w:t>
      </w:r>
      <w:r>
        <w:rPr>
          <w:rFonts w:ascii="黑体" w:hAnsi="黑体" w:eastAsia="黑体" w:cs="黑体"/>
          <w:spacing w:val="-3"/>
          <w:sz w:val="24"/>
          <w:szCs w:val="24"/>
        </w:rPr>
        <w:t>语言文字</w:t>
      </w:r>
    </w:p>
    <w:p w14:paraId="18E21B6E">
      <w:pPr>
        <w:spacing w:before="129" w:line="219" w:lineRule="auto"/>
        <w:ind w:left="457"/>
        <w:rPr>
          <w:rFonts w:ascii="宋体" w:hAnsi="宋体" w:eastAsia="宋体" w:cs="宋体"/>
          <w:sz w:val="21"/>
          <w:szCs w:val="21"/>
        </w:rPr>
      </w:pPr>
      <w:r>
        <w:rPr>
          <w:rFonts w:ascii="宋体" w:hAnsi="宋体" w:eastAsia="宋体" w:cs="宋体"/>
          <w:spacing w:val="-1"/>
          <w:sz w:val="21"/>
          <w:szCs w:val="21"/>
        </w:rPr>
        <w:t>除专用术语外，合同使用的语言文字为中文。必要时专用术语应附有中文注释。</w:t>
      </w:r>
    </w:p>
    <w:p w14:paraId="755EBD21">
      <w:pPr>
        <w:spacing w:before="116" w:line="233" w:lineRule="auto"/>
        <w:ind w:left="44"/>
        <w:outlineLvl w:val="2"/>
        <w:rPr>
          <w:rFonts w:ascii="黑体" w:hAnsi="黑体" w:eastAsia="黑体" w:cs="黑体"/>
          <w:sz w:val="24"/>
          <w:szCs w:val="24"/>
        </w:rPr>
      </w:pPr>
      <w:bookmarkStart w:id="44" w:name="bookmark41"/>
      <w:bookmarkEnd w:id="44"/>
      <w:r>
        <w:rPr>
          <w:rFonts w:ascii="Times New Roman" w:hAnsi="Times New Roman" w:eastAsia="Times New Roman" w:cs="Times New Roman"/>
          <w:spacing w:val="-7"/>
          <w:sz w:val="24"/>
          <w:szCs w:val="24"/>
        </w:rPr>
        <w:t>1.3</w:t>
      </w:r>
      <w:r>
        <w:rPr>
          <w:rFonts w:ascii="Times New Roman" w:hAnsi="Times New Roman" w:eastAsia="Times New Roman" w:cs="Times New Roman"/>
          <w:spacing w:val="6"/>
          <w:sz w:val="24"/>
          <w:szCs w:val="24"/>
        </w:rPr>
        <w:t xml:space="preserve">  </w:t>
      </w:r>
      <w:r>
        <w:rPr>
          <w:rFonts w:ascii="黑体" w:hAnsi="黑体" w:eastAsia="黑体" w:cs="黑体"/>
          <w:spacing w:val="-7"/>
          <w:sz w:val="24"/>
          <w:szCs w:val="24"/>
        </w:rPr>
        <w:t>法律</w:t>
      </w:r>
    </w:p>
    <w:p w14:paraId="2D31AF36">
      <w:pPr>
        <w:spacing w:before="126" w:line="339" w:lineRule="auto"/>
        <w:ind w:left="24" w:right="14" w:firstLine="420"/>
        <w:rPr>
          <w:rFonts w:ascii="宋体" w:hAnsi="宋体" w:eastAsia="宋体" w:cs="宋体"/>
          <w:sz w:val="21"/>
          <w:szCs w:val="21"/>
        </w:rPr>
      </w:pPr>
      <w:r>
        <w:rPr>
          <w:rFonts w:ascii="宋体" w:hAnsi="宋体" w:eastAsia="宋体" w:cs="宋体"/>
          <w:spacing w:val="-5"/>
          <w:sz w:val="21"/>
          <w:szCs w:val="21"/>
        </w:rPr>
        <w:t>适用于合同的法律包括中华人民共和国法律、行政法规、部门规章， 以及工程所在地的</w:t>
      </w:r>
      <w:r>
        <w:rPr>
          <w:rFonts w:ascii="宋体" w:hAnsi="宋体" w:eastAsia="宋体" w:cs="宋体"/>
          <w:spacing w:val="-2"/>
          <w:sz w:val="21"/>
          <w:szCs w:val="21"/>
        </w:rPr>
        <w:t>地方法规、自治条例、单行条例和地方政府规章。</w:t>
      </w:r>
    </w:p>
    <w:p w14:paraId="128723EC">
      <w:pPr>
        <w:spacing w:before="2" w:line="231" w:lineRule="auto"/>
        <w:ind w:left="44"/>
        <w:outlineLvl w:val="2"/>
        <w:rPr>
          <w:rFonts w:ascii="黑体" w:hAnsi="黑体" w:eastAsia="黑体" w:cs="黑体"/>
          <w:sz w:val="24"/>
          <w:szCs w:val="24"/>
        </w:rPr>
      </w:pPr>
      <w:bookmarkStart w:id="45" w:name="bookmark42"/>
      <w:bookmarkEnd w:id="45"/>
      <w:r>
        <w:rPr>
          <w:rFonts w:ascii="Times New Roman" w:hAnsi="Times New Roman" w:eastAsia="Times New Roman" w:cs="Times New Roman"/>
          <w:spacing w:val="-2"/>
          <w:sz w:val="24"/>
          <w:szCs w:val="24"/>
        </w:rPr>
        <w:t xml:space="preserve">1.4  </w:t>
      </w:r>
      <w:r>
        <w:rPr>
          <w:rFonts w:ascii="黑体" w:hAnsi="黑体" w:eastAsia="黑体" w:cs="黑体"/>
          <w:spacing w:val="-2"/>
          <w:sz w:val="24"/>
          <w:szCs w:val="24"/>
        </w:rPr>
        <w:t>合同文件的优先顺序</w:t>
      </w:r>
    </w:p>
    <w:p w14:paraId="13348C51">
      <w:pPr>
        <w:spacing w:before="129" w:line="350" w:lineRule="auto"/>
        <w:ind w:left="23" w:right="14" w:firstLine="423"/>
        <w:rPr>
          <w:rFonts w:ascii="宋体" w:hAnsi="宋体" w:eastAsia="宋体" w:cs="宋体"/>
          <w:sz w:val="21"/>
          <w:szCs w:val="21"/>
        </w:rPr>
      </w:pPr>
      <w:r>
        <w:rPr>
          <w:rFonts w:ascii="宋体" w:hAnsi="宋体" w:eastAsia="宋体" w:cs="宋体"/>
          <w:spacing w:val="-5"/>
          <w:sz w:val="21"/>
          <w:szCs w:val="21"/>
        </w:rPr>
        <w:t>组成合同的各项文件应互相解释，互为说明。除专用合同条款另有约定外， 解释合同文</w:t>
      </w:r>
      <w:r>
        <w:rPr>
          <w:rFonts w:ascii="宋体" w:hAnsi="宋体" w:eastAsia="宋体" w:cs="宋体"/>
          <w:spacing w:val="-6"/>
          <w:sz w:val="21"/>
          <w:szCs w:val="21"/>
        </w:rPr>
        <w:t>件的优先顺序如下：</w:t>
      </w:r>
    </w:p>
    <w:p w14:paraId="2FC49BA0">
      <w:pPr>
        <w:spacing w:line="232" w:lineRule="auto"/>
        <w:ind w:left="39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）合同协议书；</w:t>
      </w:r>
    </w:p>
    <w:p w14:paraId="375048E0">
      <w:pPr>
        <w:spacing w:before="141" w:line="233" w:lineRule="auto"/>
        <w:ind w:left="39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）中标通知书；</w:t>
      </w:r>
    </w:p>
    <w:p w14:paraId="3F412526">
      <w:pPr>
        <w:spacing w:before="140" w:line="233" w:lineRule="auto"/>
        <w:ind w:left="39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）投标函及投标函附录；</w:t>
      </w:r>
    </w:p>
    <w:p w14:paraId="63E81A45">
      <w:pPr>
        <w:spacing w:before="126" w:line="233" w:lineRule="auto"/>
        <w:ind w:left="39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4</w:t>
      </w:r>
      <w:r>
        <w:rPr>
          <w:rFonts w:ascii="宋体" w:hAnsi="宋体" w:eastAsia="宋体" w:cs="宋体"/>
          <w:spacing w:val="-6"/>
          <w:sz w:val="21"/>
          <w:szCs w:val="21"/>
        </w:rPr>
        <w:t>）专用合同条款；</w:t>
      </w:r>
    </w:p>
    <w:p w14:paraId="2C7C4248">
      <w:pPr>
        <w:spacing w:before="140" w:line="233" w:lineRule="auto"/>
        <w:ind w:left="39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）通用合同条款；</w:t>
      </w:r>
    </w:p>
    <w:p w14:paraId="004201AC">
      <w:pPr>
        <w:spacing w:before="140" w:line="233" w:lineRule="auto"/>
        <w:ind w:left="39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6</w:t>
      </w:r>
      <w:r>
        <w:rPr>
          <w:rFonts w:ascii="宋体" w:hAnsi="宋体" w:eastAsia="宋体" w:cs="宋体"/>
          <w:spacing w:val="-5"/>
          <w:sz w:val="21"/>
          <w:szCs w:val="21"/>
        </w:rPr>
        <w:t>）技术标准和要求；</w:t>
      </w:r>
    </w:p>
    <w:p w14:paraId="015E9287">
      <w:pPr>
        <w:spacing w:before="125" w:line="235" w:lineRule="auto"/>
        <w:ind w:left="390"/>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7</w:t>
      </w:r>
      <w:r>
        <w:rPr>
          <w:rFonts w:ascii="宋体" w:hAnsi="宋体" w:eastAsia="宋体" w:cs="宋体"/>
          <w:spacing w:val="-9"/>
          <w:sz w:val="21"/>
          <w:szCs w:val="21"/>
        </w:rPr>
        <w:t>）图纸；</w:t>
      </w:r>
    </w:p>
    <w:p w14:paraId="0D483EA3">
      <w:pPr>
        <w:spacing w:before="139" w:line="232" w:lineRule="auto"/>
        <w:ind w:left="39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8</w:t>
      </w:r>
      <w:r>
        <w:rPr>
          <w:rFonts w:ascii="宋体" w:hAnsi="宋体" w:eastAsia="宋体" w:cs="宋体"/>
          <w:spacing w:val="-5"/>
          <w:sz w:val="21"/>
          <w:szCs w:val="21"/>
        </w:rPr>
        <w:t>）已标价工程量清单；</w:t>
      </w:r>
    </w:p>
    <w:p w14:paraId="2D0A5F8E">
      <w:pPr>
        <w:spacing w:line="232" w:lineRule="auto"/>
        <w:rPr>
          <w:rFonts w:ascii="宋体" w:hAnsi="宋体" w:eastAsia="宋体" w:cs="宋体"/>
          <w:sz w:val="21"/>
          <w:szCs w:val="21"/>
        </w:rPr>
        <w:sectPr>
          <w:footerReference r:id="rId77" w:type="default"/>
          <w:pgSz w:w="11910" w:h="16845"/>
          <w:pgMar w:top="400" w:right="1765" w:bottom="1110" w:left="1786" w:header="0" w:footer="883" w:gutter="0"/>
          <w:cols w:space="720" w:num="1"/>
        </w:sectPr>
      </w:pPr>
    </w:p>
    <w:p w14:paraId="456AE129">
      <w:pPr>
        <w:pStyle w:val="2"/>
        <w:spacing w:line="275" w:lineRule="auto"/>
      </w:pPr>
    </w:p>
    <w:p w14:paraId="5EFF6C5D">
      <w:pPr>
        <w:pStyle w:val="2"/>
        <w:spacing w:line="275" w:lineRule="auto"/>
      </w:pPr>
    </w:p>
    <w:p w14:paraId="0528632D">
      <w:pPr>
        <w:pStyle w:val="2"/>
        <w:spacing w:line="275" w:lineRule="auto"/>
      </w:pPr>
    </w:p>
    <w:p w14:paraId="50A00AF2">
      <w:pPr>
        <w:pStyle w:val="2"/>
        <w:spacing w:line="276" w:lineRule="auto"/>
      </w:pPr>
    </w:p>
    <w:p w14:paraId="521F83DD">
      <w:pPr>
        <w:spacing w:before="68" w:line="233" w:lineRule="auto"/>
        <w:ind w:left="39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9</w:t>
      </w:r>
      <w:r>
        <w:rPr>
          <w:rFonts w:ascii="宋体" w:hAnsi="宋体" w:eastAsia="宋体" w:cs="宋体"/>
          <w:spacing w:val="-4"/>
          <w:sz w:val="21"/>
          <w:szCs w:val="21"/>
        </w:rPr>
        <w:t>）其他合同文件。</w:t>
      </w:r>
    </w:p>
    <w:p w14:paraId="71FFA862">
      <w:pPr>
        <w:spacing w:before="113" w:line="233" w:lineRule="auto"/>
        <w:ind w:left="44"/>
        <w:outlineLvl w:val="2"/>
        <w:rPr>
          <w:rFonts w:ascii="黑体" w:hAnsi="黑体" w:eastAsia="黑体" w:cs="黑体"/>
          <w:sz w:val="24"/>
          <w:szCs w:val="24"/>
        </w:rPr>
      </w:pPr>
      <w:bookmarkStart w:id="46" w:name="bookmark43"/>
      <w:bookmarkEnd w:id="46"/>
      <w:r>
        <w:rPr>
          <w:rFonts w:ascii="Times New Roman" w:hAnsi="Times New Roman" w:eastAsia="Times New Roman" w:cs="Times New Roman"/>
          <w:spacing w:val="-3"/>
          <w:sz w:val="24"/>
          <w:szCs w:val="24"/>
        </w:rPr>
        <w:t xml:space="preserve">1.5  </w:t>
      </w:r>
      <w:r>
        <w:rPr>
          <w:rFonts w:ascii="黑体" w:hAnsi="黑体" w:eastAsia="黑体" w:cs="黑体"/>
          <w:spacing w:val="-3"/>
          <w:sz w:val="24"/>
          <w:szCs w:val="24"/>
        </w:rPr>
        <w:t>合同协议书</w:t>
      </w:r>
    </w:p>
    <w:p w14:paraId="2AF08B91">
      <w:pPr>
        <w:spacing w:before="115" w:line="344" w:lineRule="auto"/>
        <w:ind w:left="25" w:firstLine="419"/>
        <w:jc w:val="both"/>
        <w:rPr>
          <w:rFonts w:ascii="宋体" w:hAnsi="宋体" w:eastAsia="宋体" w:cs="宋体"/>
          <w:sz w:val="21"/>
          <w:szCs w:val="21"/>
        </w:rPr>
      </w:pPr>
      <w:r>
        <w:rPr>
          <w:rFonts w:ascii="宋体" w:hAnsi="宋体" w:eastAsia="宋体" w:cs="宋体"/>
          <w:spacing w:val="-2"/>
          <w:sz w:val="21"/>
          <w:szCs w:val="21"/>
        </w:rPr>
        <w:t>承包人按中标通知书规定的时间与发包人签订合同协议书。除法律另有规</w:t>
      </w:r>
      <w:r>
        <w:rPr>
          <w:rFonts w:ascii="宋体" w:hAnsi="宋体" w:eastAsia="宋体" w:cs="宋体"/>
          <w:spacing w:val="-3"/>
          <w:sz w:val="21"/>
          <w:szCs w:val="21"/>
        </w:rPr>
        <w:t>定或合同另有</w:t>
      </w:r>
      <w:r>
        <w:rPr>
          <w:rFonts w:ascii="宋体" w:hAnsi="宋体" w:eastAsia="宋体" w:cs="宋体"/>
          <w:spacing w:val="-1"/>
          <w:sz w:val="21"/>
          <w:szCs w:val="21"/>
        </w:rPr>
        <w:t>约定外，发包人和承包人的法定代表人或其委托代理人在合同协议书上签字并盖</w:t>
      </w:r>
      <w:r>
        <w:rPr>
          <w:rFonts w:ascii="宋体" w:hAnsi="宋体" w:eastAsia="宋体" w:cs="宋体"/>
          <w:spacing w:val="-2"/>
          <w:sz w:val="21"/>
          <w:szCs w:val="21"/>
        </w:rPr>
        <w:t>单位章后，</w:t>
      </w:r>
      <w:r>
        <w:rPr>
          <w:rFonts w:ascii="宋体" w:hAnsi="宋体" w:eastAsia="宋体" w:cs="宋体"/>
          <w:spacing w:val="-6"/>
          <w:sz w:val="21"/>
          <w:szCs w:val="21"/>
        </w:rPr>
        <w:t>合同生效。</w:t>
      </w:r>
    </w:p>
    <w:p w14:paraId="133FADAF">
      <w:pPr>
        <w:spacing w:line="232" w:lineRule="auto"/>
        <w:ind w:left="44"/>
        <w:outlineLvl w:val="2"/>
        <w:rPr>
          <w:rFonts w:ascii="黑体" w:hAnsi="黑体" w:eastAsia="黑体" w:cs="黑体"/>
          <w:sz w:val="24"/>
          <w:szCs w:val="24"/>
        </w:rPr>
      </w:pPr>
      <w:bookmarkStart w:id="47" w:name="bookmark44"/>
      <w:bookmarkEnd w:id="47"/>
      <w:r>
        <w:rPr>
          <w:rFonts w:ascii="Times New Roman" w:hAnsi="Times New Roman" w:eastAsia="Times New Roman" w:cs="Times New Roman"/>
          <w:spacing w:val="-5"/>
          <w:sz w:val="24"/>
          <w:szCs w:val="24"/>
        </w:rPr>
        <w:t>1.6</w:t>
      </w:r>
      <w:r>
        <w:rPr>
          <w:rFonts w:ascii="Times New Roman" w:hAnsi="Times New Roman" w:eastAsia="Times New Roman" w:cs="Times New Roman"/>
          <w:spacing w:val="16"/>
          <w:sz w:val="24"/>
          <w:szCs w:val="24"/>
        </w:rPr>
        <w:t xml:space="preserve">  </w:t>
      </w:r>
      <w:r>
        <w:rPr>
          <w:rFonts w:ascii="黑体" w:hAnsi="黑体" w:eastAsia="黑体" w:cs="黑体"/>
          <w:spacing w:val="-5"/>
          <w:sz w:val="24"/>
          <w:szCs w:val="24"/>
        </w:rPr>
        <w:t>图纸和承包人文件</w:t>
      </w:r>
    </w:p>
    <w:p w14:paraId="5B5FB3BA">
      <w:pPr>
        <w:spacing w:before="129" w:line="233" w:lineRule="auto"/>
        <w:ind w:left="461"/>
        <w:rPr>
          <w:rFonts w:ascii="黑体" w:hAnsi="黑体" w:eastAsia="黑体" w:cs="黑体"/>
          <w:sz w:val="21"/>
          <w:szCs w:val="21"/>
        </w:rPr>
      </w:pPr>
      <w:r>
        <w:rPr>
          <w:rFonts w:ascii="Times New Roman" w:hAnsi="Times New Roman" w:eastAsia="Times New Roman" w:cs="Times New Roman"/>
          <w:spacing w:val="-3"/>
          <w:sz w:val="21"/>
          <w:szCs w:val="21"/>
        </w:rPr>
        <w:t>1.6.1</w:t>
      </w:r>
      <w:r>
        <w:rPr>
          <w:rFonts w:ascii="Times New Roman" w:hAnsi="Times New Roman" w:eastAsia="Times New Roman" w:cs="Times New Roman"/>
          <w:spacing w:val="33"/>
          <w:sz w:val="21"/>
          <w:szCs w:val="21"/>
        </w:rPr>
        <w:t xml:space="preserve"> </w:t>
      </w:r>
      <w:r>
        <w:rPr>
          <w:rFonts w:ascii="黑体" w:hAnsi="黑体" w:eastAsia="黑体" w:cs="黑体"/>
          <w:spacing w:val="-3"/>
          <w:sz w:val="21"/>
          <w:szCs w:val="21"/>
        </w:rPr>
        <w:t>图纸的提供</w:t>
      </w:r>
    </w:p>
    <w:p w14:paraId="7D2F8E52">
      <w:pPr>
        <w:spacing w:before="140" w:line="350" w:lineRule="auto"/>
        <w:ind w:left="25" w:right="55" w:firstLine="431"/>
        <w:rPr>
          <w:rFonts w:ascii="宋体" w:hAnsi="宋体" w:eastAsia="宋体" w:cs="宋体"/>
          <w:sz w:val="21"/>
          <w:szCs w:val="21"/>
        </w:rPr>
      </w:pPr>
      <w:r>
        <w:rPr>
          <w:rFonts w:ascii="宋体" w:hAnsi="宋体" w:eastAsia="宋体" w:cs="宋体"/>
          <w:spacing w:val="3"/>
          <w:sz w:val="21"/>
          <w:szCs w:val="21"/>
        </w:rPr>
        <w:t>除专用合同条款另有约定外，图纸应在合理的期限内</w:t>
      </w:r>
      <w:r>
        <w:rPr>
          <w:rFonts w:ascii="宋体" w:hAnsi="宋体" w:eastAsia="宋体" w:cs="宋体"/>
          <w:spacing w:val="2"/>
          <w:sz w:val="21"/>
          <w:szCs w:val="21"/>
        </w:rPr>
        <w:t>按照合同约定的数量提供给承包</w:t>
      </w:r>
      <w:r>
        <w:rPr>
          <w:rFonts w:ascii="宋体" w:hAnsi="宋体" w:eastAsia="宋体" w:cs="宋体"/>
          <w:spacing w:val="-2"/>
          <w:sz w:val="21"/>
          <w:szCs w:val="21"/>
        </w:rPr>
        <w:t>人。由于发包人未按时提供图纸造成工期延误的，按第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11.3</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款的约定办理。</w:t>
      </w:r>
    </w:p>
    <w:p w14:paraId="60521318">
      <w:pPr>
        <w:spacing w:line="232" w:lineRule="auto"/>
        <w:ind w:left="461"/>
        <w:rPr>
          <w:rFonts w:ascii="黑体" w:hAnsi="黑体" w:eastAsia="黑体" w:cs="黑体"/>
          <w:sz w:val="21"/>
          <w:szCs w:val="21"/>
        </w:rPr>
      </w:pPr>
      <w:r>
        <w:rPr>
          <w:rFonts w:ascii="Times New Roman" w:hAnsi="Times New Roman" w:eastAsia="Times New Roman" w:cs="Times New Roman"/>
          <w:spacing w:val="-2"/>
          <w:sz w:val="21"/>
          <w:szCs w:val="21"/>
        </w:rPr>
        <w:t>1.6.2</w:t>
      </w:r>
      <w:r>
        <w:rPr>
          <w:rFonts w:ascii="Times New Roman" w:hAnsi="Times New Roman" w:eastAsia="Times New Roman" w:cs="Times New Roman"/>
          <w:spacing w:val="57"/>
          <w:sz w:val="21"/>
          <w:szCs w:val="21"/>
        </w:rPr>
        <w:t xml:space="preserve"> </w:t>
      </w:r>
      <w:r>
        <w:rPr>
          <w:rFonts w:ascii="黑体" w:hAnsi="黑体" w:eastAsia="黑体" w:cs="黑体"/>
          <w:spacing w:val="-2"/>
          <w:sz w:val="21"/>
          <w:szCs w:val="21"/>
        </w:rPr>
        <w:t>承包人提供的文件</w:t>
      </w:r>
    </w:p>
    <w:p w14:paraId="3681B30F">
      <w:pPr>
        <w:spacing w:before="142" w:line="345" w:lineRule="auto"/>
        <w:ind w:left="24" w:right="37" w:firstLine="422"/>
        <w:rPr>
          <w:rFonts w:ascii="宋体" w:hAnsi="宋体" w:eastAsia="宋体" w:cs="宋体"/>
          <w:sz w:val="21"/>
          <w:szCs w:val="21"/>
        </w:rPr>
      </w:pPr>
      <w:r>
        <w:rPr>
          <w:rFonts w:ascii="宋体" w:hAnsi="宋体" w:eastAsia="宋体" w:cs="宋体"/>
          <w:spacing w:val="-5"/>
          <w:sz w:val="21"/>
          <w:szCs w:val="21"/>
        </w:rPr>
        <w:t>按专用合同条款约定由承包人提供的文件，包括部分工程的大样图、加工图等， 承包人</w:t>
      </w:r>
      <w:r>
        <w:rPr>
          <w:rFonts w:ascii="宋体" w:hAnsi="宋体" w:eastAsia="宋体" w:cs="宋体"/>
          <w:spacing w:val="-1"/>
          <w:sz w:val="21"/>
          <w:szCs w:val="21"/>
        </w:rPr>
        <w:t>应按约定的数量和期限报送监理人。监理人应在专用合同条款约定的期限内批复。</w:t>
      </w:r>
    </w:p>
    <w:p w14:paraId="1FC600B6">
      <w:pPr>
        <w:spacing w:before="9"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 xml:space="preserve">1.6.3  </w:t>
      </w:r>
      <w:r>
        <w:rPr>
          <w:rFonts w:ascii="黑体" w:hAnsi="黑体" w:eastAsia="黑体" w:cs="黑体"/>
          <w:spacing w:val="-2"/>
          <w:sz w:val="21"/>
          <w:szCs w:val="21"/>
        </w:rPr>
        <w:t>图纸的修改</w:t>
      </w:r>
    </w:p>
    <w:p w14:paraId="54F88BDA">
      <w:pPr>
        <w:spacing w:before="141" w:line="351" w:lineRule="auto"/>
        <w:ind w:left="25" w:right="37" w:firstLine="439"/>
        <w:rPr>
          <w:rFonts w:ascii="宋体" w:hAnsi="宋体" w:eastAsia="宋体" w:cs="宋体"/>
          <w:sz w:val="21"/>
          <w:szCs w:val="21"/>
        </w:rPr>
      </w:pPr>
      <w:r>
        <w:rPr>
          <w:rFonts w:ascii="宋体" w:hAnsi="宋体" w:eastAsia="宋体" w:cs="宋体"/>
          <w:spacing w:val="-3"/>
          <w:sz w:val="21"/>
          <w:szCs w:val="21"/>
        </w:rPr>
        <w:t>图纸需要修改和补充的，应由监理人取得发包人同意后，在该工程或工程相应部位施工</w:t>
      </w:r>
      <w:r>
        <w:rPr>
          <w:rFonts w:ascii="宋体" w:hAnsi="宋体" w:eastAsia="宋体" w:cs="宋体"/>
          <w:spacing w:val="-2"/>
          <w:sz w:val="21"/>
          <w:szCs w:val="21"/>
        </w:rPr>
        <w:t>前的合理期限内签发图纸修改图给承包人，具体签发期限在专用合同条款中约定。</w:t>
      </w:r>
      <w:r>
        <w:rPr>
          <w:rFonts w:ascii="宋体" w:hAnsi="宋体" w:eastAsia="宋体" w:cs="宋体"/>
          <w:spacing w:val="-3"/>
          <w:sz w:val="21"/>
          <w:szCs w:val="21"/>
        </w:rPr>
        <w:t>承包人应</w:t>
      </w:r>
      <w:r>
        <w:rPr>
          <w:rFonts w:ascii="宋体" w:hAnsi="宋体" w:eastAsia="宋体" w:cs="宋体"/>
          <w:spacing w:val="-4"/>
          <w:sz w:val="21"/>
          <w:szCs w:val="21"/>
        </w:rPr>
        <w:t>按修改后的图纸施工。</w:t>
      </w:r>
    </w:p>
    <w:p w14:paraId="1217B8C3">
      <w:pPr>
        <w:spacing w:before="3"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 xml:space="preserve">1.6.4  </w:t>
      </w:r>
      <w:r>
        <w:rPr>
          <w:rFonts w:ascii="黑体" w:hAnsi="黑体" w:eastAsia="黑体" w:cs="黑体"/>
          <w:spacing w:val="-2"/>
          <w:sz w:val="21"/>
          <w:szCs w:val="21"/>
        </w:rPr>
        <w:t>图纸的错误</w:t>
      </w:r>
    </w:p>
    <w:p w14:paraId="7DB629D5">
      <w:pPr>
        <w:spacing w:before="125" w:line="219" w:lineRule="auto"/>
        <w:ind w:left="444"/>
        <w:rPr>
          <w:rFonts w:ascii="宋体" w:hAnsi="宋体" w:eastAsia="宋体" w:cs="宋体"/>
          <w:sz w:val="21"/>
          <w:szCs w:val="21"/>
        </w:rPr>
      </w:pPr>
      <w:r>
        <w:rPr>
          <w:rFonts w:ascii="宋体" w:hAnsi="宋体" w:eastAsia="宋体" w:cs="宋体"/>
          <w:spacing w:val="-1"/>
          <w:sz w:val="21"/>
          <w:szCs w:val="21"/>
        </w:rPr>
        <w:t>承包人发现发包人提供的图纸存在明显错误或疏忽，应及时通知监理人。</w:t>
      </w:r>
    </w:p>
    <w:p w14:paraId="50D4A417">
      <w:pPr>
        <w:spacing w:before="156" w:line="233" w:lineRule="auto"/>
        <w:ind w:left="461"/>
        <w:rPr>
          <w:rFonts w:ascii="黑体" w:hAnsi="黑体" w:eastAsia="黑体" w:cs="黑体"/>
          <w:sz w:val="21"/>
          <w:szCs w:val="21"/>
        </w:rPr>
      </w:pPr>
      <w:r>
        <w:rPr>
          <w:rFonts w:ascii="Times New Roman" w:hAnsi="Times New Roman" w:eastAsia="Times New Roman" w:cs="Times New Roman"/>
          <w:spacing w:val="-1"/>
          <w:sz w:val="21"/>
          <w:szCs w:val="21"/>
        </w:rPr>
        <w:t xml:space="preserve">1.6.5  </w:t>
      </w:r>
      <w:r>
        <w:rPr>
          <w:rFonts w:ascii="黑体" w:hAnsi="黑体" w:eastAsia="黑体" w:cs="黑体"/>
          <w:spacing w:val="-1"/>
          <w:sz w:val="21"/>
          <w:szCs w:val="21"/>
        </w:rPr>
        <w:t>图纸和承包人文件的保管</w:t>
      </w:r>
    </w:p>
    <w:p w14:paraId="721C7C0F">
      <w:pPr>
        <w:spacing w:before="141" w:line="336" w:lineRule="auto"/>
        <w:ind w:left="27" w:right="30" w:firstLine="417"/>
        <w:rPr>
          <w:rFonts w:ascii="宋体" w:hAnsi="宋体" w:eastAsia="宋体" w:cs="宋体"/>
          <w:sz w:val="21"/>
          <w:szCs w:val="21"/>
        </w:rPr>
      </w:pPr>
      <w:r>
        <w:rPr>
          <w:rFonts w:ascii="宋体" w:hAnsi="宋体" w:eastAsia="宋体" w:cs="宋体"/>
          <w:spacing w:val="-6"/>
          <w:sz w:val="21"/>
          <w:szCs w:val="21"/>
        </w:rPr>
        <w:t>监理人和承包人均应在施工场地各保存一套完整的包含第</w:t>
      </w:r>
      <w:r>
        <w:rPr>
          <w:rFonts w:ascii="宋体" w:hAnsi="宋体" w:eastAsia="宋体" w:cs="宋体"/>
          <w:spacing w:val="-26"/>
          <w:sz w:val="21"/>
          <w:szCs w:val="21"/>
        </w:rPr>
        <w:t xml:space="preserve"> </w:t>
      </w:r>
      <w:r>
        <w:rPr>
          <w:rFonts w:ascii="Times New Roman" w:hAnsi="Times New Roman" w:eastAsia="Times New Roman" w:cs="Times New Roman"/>
          <w:spacing w:val="-6"/>
          <w:sz w:val="21"/>
          <w:szCs w:val="21"/>
        </w:rPr>
        <w:t>1.6.1</w:t>
      </w:r>
      <w:r>
        <w:rPr>
          <w:rFonts w:ascii="Times New Roman" w:hAnsi="Times New Roman" w:eastAsia="Times New Roman" w:cs="Times New Roman"/>
          <w:spacing w:val="20"/>
          <w:w w:val="101"/>
          <w:sz w:val="21"/>
          <w:szCs w:val="21"/>
        </w:rPr>
        <w:t xml:space="preserve"> </w:t>
      </w:r>
      <w:r>
        <w:rPr>
          <w:rFonts w:ascii="宋体" w:hAnsi="宋体" w:eastAsia="宋体" w:cs="宋体"/>
          <w:spacing w:val="-6"/>
          <w:sz w:val="21"/>
          <w:szCs w:val="21"/>
        </w:rPr>
        <w:t xml:space="preserve">项、第 </w:t>
      </w:r>
      <w:r>
        <w:rPr>
          <w:rFonts w:ascii="Times New Roman" w:hAnsi="Times New Roman" w:eastAsia="Times New Roman" w:cs="Times New Roman"/>
          <w:spacing w:val="-6"/>
          <w:sz w:val="21"/>
          <w:szCs w:val="21"/>
        </w:rPr>
        <w:t>1.</w:t>
      </w:r>
      <w:r>
        <w:rPr>
          <w:rFonts w:ascii="Times New Roman" w:hAnsi="Times New Roman" w:eastAsia="Times New Roman" w:cs="Times New Roman"/>
          <w:spacing w:val="-7"/>
          <w:sz w:val="21"/>
          <w:szCs w:val="21"/>
        </w:rPr>
        <w:t>6.2</w:t>
      </w:r>
      <w:r>
        <w:rPr>
          <w:rFonts w:ascii="Times New Roman" w:hAnsi="Times New Roman" w:eastAsia="Times New Roman" w:cs="Times New Roman"/>
          <w:spacing w:val="19"/>
          <w:w w:val="101"/>
          <w:sz w:val="21"/>
          <w:szCs w:val="21"/>
        </w:rPr>
        <w:t xml:space="preserve"> </w:t>
      </w:r>
      <w:r>
        <w:rPr>
          <w:rFonts w:ascii="宋体" w:hAnsi="宋体" w:eastAsia="宋体" w:cs="宋体"/>
          <w:spacing w:val="-7"/>
          <w:sz w:val="21"/>
          <w:szCs w:val="21"/>
        </w:rPr>
        <w:t xml:space="preserve">项、第 </w:t>
      </w:r>
      <w:r>
        <w:rPr>
          <w:rFonts w:ascii="Times New Roman" w:hAnsi="Times New Roman" w:eastAsia="Times New Roman" w:cs="Times New Roman"/>
          <w:spacing w:val="-7"/>
          <w:sz w:val="21"/>
          <w:szCs w:val="21"/>
        </w:rPr>
        <w:t>1.6.3</w:t>
      </w:r>
      <w:r>
        <w:rPr>
          <w:rFonts w:ascii="宋体" w:hAnsi="宋体" w:eastAsia="宋体" w:cs="宋体"/>
          <w:spacing w:val="-3"/>
          <w:sz w:val="21"/>
          <w:szCs w:val="21"/>
        </w:rPr>
        <w:t>项约定内容的图纸和承包人文件。</w:t>
      </w:r>
    </w:p>
    <w:p w14:paraId="3446E4C7">
      <w:pPr>
        <w:spacing w:before="6" w:line="232" w:lineRule="auto"/>
        <w:ind w:left="44"/>
        <w:outlineLvl w:val="2"/>
        <w:rPr>
          <w:rFonts w:ascii="黑体" w:hAnsi="黑体" w:eastAsia="黑体" w:cs="黑体"/>
          <w:sz w:val="24"/>
          <w:szCs w:val="24"/>
        </w:rPr>
      </w:pPr>
      <w:bookmarkStart w:id="48" w:name="bookmark45"/>
      <w:bookmarkEnd w:id="48"/>
      <w:r>
        <w:rPr>
          <w:rFonts w:ascii="Times New Roman" w:hAnsi="Times New Roman" w:eastAsia="Times New Roman" w:cs="Times New Roman"/>
          <w:spacing w:val="-7"/>
          <w:sz w:val="24"/>
          <w:szCs w:val="24"/>
        </w:rPr>
        <w:t>1.7</w:t>
      </w:r>
      <w:r>
        <w:rPr>
          <w:rFonts w:ascii="Times New Roman" w:hAnsi="Times New Roman" w:eastAsia="Times New Roman" w:cs="Times New Roman"/>
          <w:spacing w:val="5"/>
          <w:sz w:val="24"/>
          <w:szCs w:val="24"/>
        </w:rPr>
        <w:t xml:space="preserve">  </w:t>
      </w:r>
      <w:r>
        <w:rPr>
          <w:rFonts w:ascii="黑体" w:hAnsi="黑体" w:eastAsia="黑体" w:cs="黑体"/>
          <w:spacing w:val="-7"/>
          <w:sz w:val="24"/>
          <w:szCs w:val="24"/>
        </w:rPr>
        <w:t>联络</w:t>
      </w:r>
    </w:p>
    <w:p w14:paraId="5F1D0D91">
      <w:pPr>
        <w:spacing w:before="130" w:line="335" w:lineRule="auto"/>
        <w:ind w:left="25" w:right="36" w:firstLine="436"/>
        <w:rPr>
          <w:rFonts w:ascii="宋体" w:hAnsi="宋体" w:eastAsia="宋体" w:cs="宋体"/>
          <w:sz w:val="21"/>
          <w:szCs w:val="21"/>
        </w:rPr>
      </w:pPr>
      <w:r>
        <w:rPr>
          <w:rFonts w:ascii="Times New Roman" w:hAnsi="Times New Roman" w:eastAsia="Times New Roman" w:cs="Times New Roman"/>
          <w:sz w:val="21"/>
          <w:szCs w:val="21"/>
        </w:rPr>
        <w:t xml:space="preserve">1.7.1  </w:t>
      </w:r>
      <w:r>
        <w:rPr>
          <w:rFonts w:ascii="宋体" w:hAnsi="宋体" w:eastAsia="宋体" w:cs="宋体"/>
          <w:sz w:val="21"/>
          <w:szCs w:val="21"/>
        </w:rPr>
        <w:t>与合同有关的通知、批准、证明、证书、指示、要求、请求、同意、意见、确定</w:t>
      </w:r>
      <w:r>
        <w:rPr>
          <w:rFonts w:ascii="宋体" w:hAnsi="宋体" w:eastAsia="宋体" w:cs="宋体"/>
          <w:spacing w:val="-3"/>
          <w:sz w:val="21"/>
          <w:szCs w:val="21"/>
        </w:rPr>
        <w:t>和决定等，均应采用书面形式。</w:t>
      </w:r>
    </w:p>
    <w:p w14:paraId="31B4CFD6">
      <w:pPr>
        <w:spacing w:before="32" w:line="339" w:lineRule="auto"/>
        <w:ind w:left="25" w:right="55" w:firstLine="436"/>
        <w:rPr>
          <w:rFonts w:ascii="宋体" w:hAnsi="宋体" w:eastAsia="宋体" w:cs="宋体"/>
          <w:sz w:val="21"/>
          <w:szCs w:val="21"/>
        </w:rPr>
      </w:pPr>
      <w:r>
        <w:rPr>
          <w:rFonts w:ascii="Times New Roman" w:hAnsi="Times New Roman" w:eastAsia="Times New Roman" w:cs="Times New Roman"/>
          <w:spacing w:val="-4"/>
          <w:sz w:val="21"/>
          <w:szCs w:val="21"/>
        </w:rPr>
        <w:t xml:space="preserve">1.7.2  </w:t>
      </w:r>
      <w:r>
        <w:rPr>
          <w:rFonts w:ascii="宋体" w:hAnsi="宋体" w:eastAsia="宋体" w:cs="宋体"/>
          <w:spacing w:val="-4"/>
          <w:sz w:val="21"/>
          <w:szCs w:val="21"/>
        </w:rPr>
        <w:t>第</w:t>
      </w:r>
      <w:r>
        <w:rPr>
          <w:rFonts w:ascii="宋体" w:hAnsi="宋体" w:eastAsia="宋体" w:cs="宋体"/>
          <w:spacing w:val="-10"/>
          <w:sz w:val="21"/>
          <w:szCs w:val="21"/>
        </w:rPr>
        <w:t xml:space="preserve"> </w:t>
      </w:r>
      <w:r>
        <w:rPr>
          <w:rFonts w:ascii="Times New Roman" w:hAnsi="Times New Roman" w:eastAsia="Times New Roman" w:cs="Times New Roman"/>
          <w:spacing w:val="-4"/>
          <w:sz w:val="21"/>
          <w:szCs w:val="21"/>
        </w:rPr>
        <w:t>1.7.1</w:t>
      </w:r>
      <w:r>
        <w:rPr>
          <w:rFonts w:ascii="Times New Roman" w:hAnsi="Times New Roman" w:eastAsia="Times New Roman" w:cs="Times New Roman"/>
          <w:spacing w:val="20"/>
          <w:w w:val="101"/>
          <w:sz w:val="21"/>
          <w:szCs w:val="21"/>
        </w:rPr>
        <w:t xml:space="preserve"> </w:t>
      </w:r>
      <w:r>
        <w:rPr>
          <w:rFonts w:ascii="宋体" w:hAnsi="宋体" w:eastAsia="宋体" w:cs="宋体"/>
          <w:spacing w:val="-4"/>
          <w:sz w:val="21"/>
          <w:szCs w:val="21"/>
        </w:rPr>
        <w:t>项中的通知、批准、证明、证书、指示、要求、请求、同意、意见、确定</w:t>
      </w:r>
      <w:r>
        <w:rPr>
          <w:rFonts w:ascii="宋体" w:hAnsi="宋体" w:eastAsia="宋体" w:cs="宋体"/>
          <w:spacing w:val="-1"/>
          <w:sz w:val="21"/>
          <w:szCs w:val="21"/>
        </w:rPr>
        <w:t>和决定等来往函件，均应在合同约定的期限内送达指定地点和接收人，并办理签收手续。</w:t>
      </w:r>
    </w:p>
    <w:p w14:paraId="1F7D5B04">
      <w:pPr>
        <w:spacing w:before="1" w:line="232" w:lineRule="auto"/>
        <w:ind w:left="44"/>
        <w:outlineLvl w:val="2"/>
        <w:rPr>
          <w:rFonts w:ascii="黑体" w:hAnsi="黑体" w:eastAsia="黑体" w:cs="黑体"/>
          <w:sz w:val="24"/>
          <w:szCs w:val="24"/>
        </w:rPr>
      </w:pPr>
      <w:bookmarkStart w:id="49" w:name="bookmark46"/>
      <w:bookmarkEnd w:id="49"/>
      <w:r>
        <w:rPr>
          <w:rFonts w:ascii="Times New Roman" w:hAnsi="Times New Roman" w:eastAsia="Times New Roman" w:cs="Times New Roman"/>
          <w:spacing w:val="-7"/>
          <w:sz w:val="24"/>
          <w:szCs w:val="24"/>
        </w:rPr>
        <w:t>1.8</w:t>
      </w:r>
      <w:r>
        <w:rPr>
          <w:rFonts w:ascii="Times New Roman" w:hAnsi="Times New Roman" w:eastAsia="Times New Roman" w:cs="Times New Roman"/>
          <w:spacing w:val="5"/>
          <w:sz w:val="24"/>
          <w:szCs w:val="24"/>
        </w:rPr>
        <w:t xml:space="preserve">  </w:t>
      </w:r>
      <w:r>
        <w:rPr>
          <w:rFonts w:ascii="黑体" w:hAnsi="黑体" w:eastAsia="黑体" w:cs="黑体"/>
          <w:spacing w:val="-7"/>
          <w:sz w:val="24"/>
          <w:szCs w:val="24"/>
        </w:rPr>
        <w:t>转让</w:t>
      </w:r>
    </w:p>
    <w:p w14:paraId="27D75558">
      <w:pPr>
        <w:spacing w:before="129" w:line="338" w:lineRule="auto"/>
        <w:ind w:left="25" w:right="37" w:firstLine="432"/>
        <w:rPr>
          <w:rFonts w:ascii="宋体" w:hAnsi="宋体" w:eastAsia="宋体" w:cs="宋体"/>
          <w:sz w:val="21"/>
          <w:szCs w:val="21"/>
        </w:rPr>
      </w:pPr>
      <w:r>
        <w:rPr>
          <w:rFonts w:ascii="宋体" w:hAnsi="宋体" w:eastAsia="宋体" w:cs="宋体"/>
          <w:spacing w:val="-2"/>
          <w:sz w:val="21"/>
          <w:szCs w:val="21"/>
        </w:rPr>
        <w:t>除合同另有约定外，未经对方当事人同意，</w:t>
      </w:r>
      <w:r>
        <w:rPr>
          <w:rFonts w:ascii="宋体" w:hAnsi="宋体" w:eastAsia="宋体" w:cs="宋体"/>
          <w:spacing w:val="-3"/>
          <w:sz w:val="21"/>
          <w:szCs w:val="21"/>
        </w:rPr>
        <w:t>一方当事人不得将合同权利全部或部分转让</w:t>
      </w:r>
      <w:r>
        <w:rPr>
          <w:rFonts w:ascii="宋体" w:hAnsi="宋体" w:eastAsia="宋体" w:cs="宋体"/>
          <w:spacing w:val="-2"/>
          <w:sz w:val="21"/>
          <w:szCs w:val="21"/>
        </w:rPr>
        <w:t>给第三人，也不得全部或部分转移合同义务。</w:t>
      </w:r>
    </w:p>
    <w:p w14:paraId="3CBEB897">
      <w:pPr>
        <w:spacing w:before="1" w:line="232" w:lineRule="auto"/>
        <w:ind w:left="44"/>
        <w:outlineLvl w:val="2"/>
        <w:rPr>
          <w:rFonts w:ascii="黑体" w:hAnsi="黑体" w:eastAsia="黑体" w:cs="黑体"/>
          <w:sz w:val="24"/>
          <w:szCs w:val="24"/>
        </w:rPr>
      </w:pPr>
      <w:bookmarkStart w:id="50" w:name="bookmark47"/>
      <w:bookmarkEnd w:id="50"/>
      <w:r>
        <w:rPr>
          <w:rFonts w:ascii="Times New Roman" w:hAnsi="Times New Roman" w:eastAsia="Times New Roman" w:cs="Times New Roman"/>
          <w:spacing w:val="-5"/>
          <w:sz w:val="24"/>
          <w:szCs w:val="24"/>
        </w:rPr>
        <w:t>1.9</w:t>
      </w:r>
      <w:r>
        <w:rPr>
          <w:rFonts w:ascii="Times New Roman" w:hAnsi="Times New Roman" w:eastAsia="Times New Roman" w:cs="Times New Roman"/>
          <w:spacing w:val="4"/>
          <w:sz w:val="24"/>
          <w:szCs w:val="24"/>
        </w:rPr>
        <w:t xml:space="preserve">  </w:t>
      </w:r>
      <w:r>
        <w:rPr>
          <w:rFonts w:ascii="黑体" w:hAnsi="黑体" w:eastAsia="黑体" w:cs="黑体"/>
          <w:spacing w:val="-5"/>
          <w:sz w:val="24"/>
          <w:szCs w:val="24"/>
        </w:rPr>
        <w:t>严禁贿赂</w:t>
      </w:r>
    </w:p>
    <w:p w14:paraId="7A52FD8F">
      <w:pPr>
        <w:spacing w:before="130" w:line="338" w:lineRule="auto"/>
        <w:ind w:left="23" w:right="37" w:firstLine="422"/>
        <w:rPr>
          <w:rFonts w:ascii="宋体" w:hAnsi="宋体" w:eastAsia="宋体" w:cs="宋体"/>
          <w:sz w:val="21"/>
          <w:szCs w:val="21"/>
        </w:rPr>
      </w:pPr>
      <w:r>
        <w:rPr>
          <w:rFonts w:ascii="宋体" w:hAnsi="宋体" w:eastAsia="宋体" w:cs="宋体"/>
          <w:spacing w:val="-2"/>
          <w:sz w:val="21"/>
          <w:szCs w:val="21"/>
        </w:rPr>
        <w:t>合同双方当事人不得以贿赂或变相贿赂的方式，谋取不当利益或损害对</w:t>
      </w:r>
      <w:r>
        <w:rPr>
          <w:rFonts w:ascii="宋体" w:hAnsi="宋体" w:eastAsia="宋体" w:cs="宋体"/>
          <w:spacing w:val="-3"/>
          <w:sz w:val="21"/>
          <w:szCs w:val="21"/>
        </w:rPr>
        <w:t>方权益。因贿赂</w:t>
      </w:r>
      <w:r>
        <w:rPr>
          <w:rFonts w:ascii="宋体" w:hAnsi="宋体" w:eastAsia="宋体" w:cs="宋体"/>
          <w:spacing w:val="-1"/>
          <w:sz w:val="21"/>
          <w:szCs w:val="21"/>
        </w:rPr>
        <w:t>造成对方损失的，行为人应赔偿损失，并承担相应的法律责任。</w:t>
      </w:r>
    </w:p>
    <w:p w14:paraId="37F2F9FE">
      <w:pPr>
        <w:spacing w:line="232" w:lineRule="auto"/>
        <w:ind w:left="44"/>
        <w:outlineLvl w:val="2"/>
        <w:rPr>
          <w:rFonts w:ascii="黑体" w:hAnsi="黑体" w:eastAsia="黑体" w:cs="黑体"/>
          <w:sz w:val="24"/>
          <w:szCs w:val="24"/>
        </w:rPr>
      </w:pPr>
      <w:bookmarkStart w:id="51" w:name="bookmark48"/>
      <w:bookmarkEnd w:id="51"/>
      <w:r>
        <w:rPr>
          <w:rFonts w:ascii="Times New Roman" w:hAnsi="Times New Roman" w:eastAsia="Times New Roman" w:cs="Times New Roman"/>
          <w:spacing w:val="-3"/>
          <w:sz w:val="24"/>
          <w:szCs w:val="24"/>
        </w:rPr>
        <w:t xml:space="preserve">1.10  </w:t>
      </w:r>
      <w:r>
        <w:rPr>
          <w:rFonts w:ascii="黑体" w:hAnsi="黑体" w:eastAsia="黑体" w:cs="黑体"/>
          <w:spacing w:val="-3"/>
          <w:sz w:val="24"/>
          <w:szCs w:val="24"/>
        </w:rPr>
        <w:t>化石、文物</w:t>
      </w:r>
    </w:p>
    <w:p w14:paraId="780C35C8">
      <w:pPr>
        <w:spacing w:before="129" w:line="232" w:lineRule="auto"/>
        <w:ind w:right="29"/>
        <w:jc w:val="right"/>
        <w:rPr>
          <w:rFonts w:ascii="宋体" w:hAnsi="宋体" w:eastAsia="宋体" w:cs="宋体"/>
          <w:sz w:val="21"/>
          <w:szCs w:val="21"/>
        </w:rPr>
      </w:pPr>
      <w:r>
        <w:rPr>
          <w:rFonts w:ascii="Times New Roman" w:hAnsi="Times New Roman" w:eastAsia="Times New Roman" w:cs="Times New Roman"/>
          <w:spacing w:val="-2"/>
          <w:sz w:val="21"/>
          <w:szCs w:val="21"/>
        </w:rPr>
        <w:t xml:space="preserve">1.10.1  </w:t>
      </w:r>
      <w:r>
        <w:rPr>
          <w:rFonts w:ascii="宋体" w:hAnsi="宋体" w:eastAsia="宋体" w:cs="宋体"/>
          <w:spacing w:val="-2"/>
          <w:sz w:val="21"/>
          <w:szCs w:val="21"/>
        </w:rPr>
        <w:t>在施工场地发掘的所有文物、古迹以及具有地质研究或考古价值的其</w:t>
      </w:r>
      <w:r>
        <w:rPr>
          <w:rFonts w:ascii="宋体" w:hAnsi="宋体" w:eastAsia="宋体" w:cs="宋体"/>
          <w:spacing w:val="-3"/>
          <w:sz w:val="21"/>
          <w:szCs w:val="21"/>
        </w:rPr>
        <w:t>他遗迹、化</w:t>
      </w:r>
    </w:p>
    <w:p w14:paraId="77394D7D">
      <w:pPr>
        <w:spacing w:line="232" w:lineRule="auto"/>
        <w:rPr>
          <w:rFonts w:ascii="宋体" w:hAnsi="宋体" w:eastAsia="宋体" w:cs="宋体"/>
          <w:sz w:val="21"/>
          <w:szCs w:val="21"/>
        </w:rPr>
        <w:sectPr>
          <w:footerReference r:id="rId78" w:type="default"/>
          <w:pgSz w:w="11910" w:h="16845"/>
          <w:pgMar w:top="400" w:right="1742" w:bottom="1110" w:left="1786" w:header="0" w:footer="883" w:gutter="0"/>
          <w:cols w:space="720" w:num="1"/>
        </w:sectPr>
      </w:pPr>
    </w:p>
    <w:p w14:paraId="55485310">
      <w:pPr>
        <w:pStyle w:val="2"/>
        <w:spacing w:line="275" w:lineRule="auto"/>
      </w:pPr>
    </w:p>
    <w:p w14:paraId="11AF4257">
      <w:pPr>
        <w:pStyle w:val="2"/>
        <w:spacing w:line="275" w:lineRule="auto"/>
      </w:pPr>
    </w:p>
    <w:p w14:paraId="7D152826">
      <w:pPr>
        <w:pStyle w:val="2"/>
        <w:spacing w:line="275" w:lineRule="auto"/>
      </w:pPr>
    </w:p>
    <w:p w14:paraId="2F225D14">
      <w:pPr>
        <w:pStyle w:val="2"/>
        <w:spacing w:line="275" w:lineRule="auto"/>
      </w:pPr>
    </w:p>
    <w:p w14:paraId="3A22BB79">
      <w:pPr>
        <w:spacing w:before="69" w:line="353" w:lineRule="auto"/>
        <w:ind w:left="25"/>
        <w:jc w:val="both"/>
        <w:rPr>
          <w:rFonts w:ascii="宋体" w:hAnsi="宋体" w:eastAsia="宋体" w:cs="宋体"/>
          <w:sz w:val="21"/>
          <w:szCs w:val="21"/>
        </w:rPr>
      </w:pPr>
      <w:r>
        <w:rPr>
          <w:rFonts w:ascii="宋体" w:hAnsi="宋体" w:eastAsia="宋体" w:cs="宋体"/>
          <w:spacing w:val="-2"/>
          <w:sz w:val="21"/>
          <w:szCs w:val="21"/>
        </w:rPr>
        <w:t>石、钱币或物品属于国家所有。一旦发现上述文物，承包人应采取有效合理的保护措施，防</w:t>
      </w:r>
      <w:r>
        <w:rPr>
          <w:rFonts w:ascii="宋体" w:hAnsi="宋体" w:eastAsia="宋体" w:cs="宋体"/>
          <w:spacing w:val="-5"/>
          <w:sz w:val="21"/>
          <w:szCs w:val="21"/>
        </w:rPr>
        <w:t>止任何人员移动或损坏上述物品，并立即报告当地文物行政部门，同时通知监理人。发包人、</w:t>
      </w:r>
      <w:r>
        <w:rPr>
          <w:rFonts w:ascii="宋体" w:hAnsi="宋体" w:eastAsia="宋体" w:cs="宋体"/>
          <w:spacing w:val="-2"/>
          <w:sz w:val="21"/>
          <w:szCs w:val="21"/>
        </w:rPr>
        <w:t>监理人和承包人应按文物行政部门要求采取妥善保护措施，由此导致费用增加和（或）</w:t>
      </w:r>
      <w:r>
        <w:rPr>
          <w:rFonts w:ascii="宋体" w:hAnsi="宋体" w:eastAsia="宋体" w:cs="宋体"/>
          <w:spacing w:val="-3"/>
          <w:sz w:val="21"/>
          <w:szCs w:val="21"/>
        </w:rPr>
        <w:t>工期</w:t>
      </w:r>
      <w:r>
        <w:rPr>
          <w:rFonts w:ascii="宋体" w:hAnsi="宋体" w:eastAsia="宋体" w:cs="宋体"/>
          <w:spacing w:val="-4"/>
          <w:sz w:val="21"/>
          <w:szCs w:val="21"/>
        </w:rPr>
        <w:t>延误由发包人承担。</w:t>
      </w:r>
    </w:p>
    <w:p w14:paraId="39842F4D">
      <w:pPr>
        <w:spacing w:before="1" w:line="335" w:lineRule="auto"/>
        <w:ind w:left="29" w:right="17" w:firstLine="431"/>
        <w:rPr>
          <w:rFonts w:ascii="宋体" w:hAnsi="宋体" w:eastAsia="宋体" w:cs="宋体"/>
          <w:sz w:val="21"/>
          <w:szCs w:val="21"/>
        </w:rPr>
      </w:pPr>
      <w:r>
        <w:rPr>
          <w:rFonts w:ascii="Times New Roman" w:hAnsi="Times New Roman" w:eastAsia="Times New Roman" w:cs="Times New Roman"/>
          <w:spacing w:val="-5"/>
          <w:sz w:val="21"/>
          <w:szCs w:val="21"/>
        </w:rPr>
        <w:t xml:space="preserve">1.10.2  </w:t>
      </w:r>
      <w:r>
        <w:rPr>
          <w:rFonts w:ascii="宋体" w:hAnsi="宋体" w:eastAsia="宋体" w:cs="宋体"/>
          <w:spacing w:val="-5"/>
          <w:sz w:val="21"/>
          <w:szCs w:val="21"/>
        </w:rPr>
        <w:t>承包人发现文物后不及时报告或隐瞒不报，致</w:t>
      </w:r>
      <w:r>
        <w:rPr>
          <w:rFonts w:ascii="宋体" w:hAnsi="宋体" w:eastAsia="宋体" w:cs="宋体"/>
          <w:spacing w:val="-6"/>
          <w:sz w:val="21"/>
          <w:szCs w:val="21"/>
        </w:rPr>
        <w:t>使文物丢失或损坏的，应赔偿损失，</w:t>
      </w:r>
      <w:r>
        <w:rPr>
          <w:rFonts w:ascii="宋体" w:hAnsi="宋体" w:eastAsia="宋体" w:cs="宋体"/>
          <w:spacing w:val="-4"/>
          <w:sz w:val="21"/>
          <w:szCs w:val="21"/>
        </w:rPr>
        <w:t>并承担相应的法律责任。</w:t>
      </w:r>
    </w:p>
    <w:p w14:paraId="643182C1">
      <w:pPr>
        <w:spacing w:before="6" w:line="233" w:lineRule="auto"/>
        <w:ind w:left="44"/>
        <w:outlineLvl w:val="2"/>
        <w:rPr>
          <w:rFonts w:ascii="黑体" w:hAnsi="黑体" w:eastAsia="黑体" w:cs="黑体"/>
          <w:sz w:val="24"/>
          <w:szCs w:val="24"/>
        </w:rPr>
      </w:pPr>
      <w:bookmarkStart w:id="52" w:name="bookmark49"/>
      <w:bookmarkEnd w:id="52"/>
      <w:r>
        <w:rPr>
          <w:rFonts w:ascii="Times New Roman" w:hAnsi="Times New Roman" w:eastAsia="Times New Roman" w:cs="Times New Roman"/>
          <w:spacing w:val="-7"/>
          <w:sz w:val="24"/>
          <w:szCs w:val="24"/>
        </w:rPr>
        <w:t>1.11</w:t>
      </w:r>
      <w:r>
        <w:rPr>
          <w:rFonts w:ascii="Times New Roman" w:hAnsi="Times New Roman" w:eastAsia="Times New Roman" w:cs="Times New Roman"/>
          <w:spacing w:val="8"/>
          <w:sz w:val="24"/>
          <w:szCs w:val="24"/>
        </w:rPr>
        <w:t xml:space="preserve">  </w:t>
      </w:r>
      <w:r>
        <w:rPr>
          <w:rFonts w:ascii="黑体" w:hAnsi="黑体" w:eastAsia="黑体" w:cs="黑体"/>
          <w:spacing w:val="-7"/>
          <w:sz w:val="24"/>
          <w:szCs w:val="24"/>
        </w:rPr>
        <w:t>专利技术</w:t>
      </w:r>
    </w:p>
    <w:p w14:paraId="23DF76BF">
      <w:pPr>
        <w:spacing w:before="129" w:line="348" w:lineRule="auto"/>
        <w:ind w:left="23" w:right="76" w:firstLine="437"/>
        <w:rPr>
          <w:rFonts w:ascii="宋体" w:hAnsi="宋体" w:eastAsia="宋体" w:cs="宋体"/>
          <w:sz w:val="21"/>
          <w:szCs w:val="21"/>
        </w:rPr>
      </w:pPr>
      <w:r>
        <w:rPr>
          <w:rFonts w:ascii="Times New Roman" w:hAnsi="Times New Roman" w:eastAsia="Times New Roman" w:cs="Times New Roman"/>
          <w:spacing w:val="-5"/>
          <w:sz w:val="21"/>
          <w:szCs w:val="21"/>
        </w:rPr>
        <w:t>1.11.1</w:t>
      </w:r>
      <w:r>
        <w:rPr>
          <w:rFonts w:ascii="Times New Roman" w:hAnsi="Times New Roman" w:eastAsia="Times New Roman" w:cs="Times New Roman"/>
          <w:spacing w:val="12"/>
          <w:sz w:val="21"/>
          <w:szCs w:val="21"/>
        </w:rPr>
        <w:t xml:space="preserve">  </w:t>
      </w:r>
      <w:r>
        <w:rPr>
          <w:rFonts w:ascii="宋体" w:hAnsi="宋体" w:eastAsia="宋体" w:cs="宋体"/>
          <w:spacing w:val="-5"/>
          <w:sz w:val="21"/>
          <w:szCs w:val="21"/>
        </w:rPr>
        <w:t>承包人在使用任何材料、承包人设备、工程设备或采用施工工艺时， 因</w:t>
      </w:r>
      <w:r>
        <w:rPr>
          <w:rFonts w:ascii="宋体" w:hAnsi="宋体" w:eastAsia="宋体" w:cs="宋体"/>
          <w:spacing w:val="-6"/>
          <w:sz w:val="21"/>
          <w:szCs w:val="21"/>
        </w:rPr>
        <w:t>侵犯专利</w:t>
      </w:r>
      <w:r>
        <w:rPr>
          <w:rFonts w:ascii="宋体" w:hAnsi="宋体" w:eastAsia="宋体" w:cs="宋体"/>
          <w:spacing w:val="-2"/>
          <w:sz w:val="21"/>
          <w:szCs w:val="21"/>
        </w:rPr>
        <w:t>权或其他知识产权所引起的责任，由承包人承担，但由于遵照发包人提供的设</w:t>
      </w:r>
      <w:r>
        <w:rPr>
          <w:rFonts w:ascii="宋体" w:hAnsi="宋体" w:eastAsia="宋体" w:cs="宋体"/>
          <w:spacing w:val="-3"/>
          <w:sz w:val="21"/>
          <w:szCs w:val="21"/>
        </w:rPr>
        <w:t>计或技术标准</w:t>
      </w:r>
      <w:r>
        <w:rPr>
          <w:rFonts w:ascii="宋体" w:hAnsi="宋体" w:eastAsia="宋体" w:cs="宋体"/>
          <w:spacing w:val="-4"/>
          <w:sz w:val="21"/>
          <w:szCs w:val="21"/>
        </w:rPr>
        <w:t>和要求引起的除外。</w:t>
      </w:r>
    </w:p>
    <w:p w14:paraId="3DDA3D75">
      <w:pPr>
        <w:spacing w:before="12"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1.11.2  </w:t>
      </w:r>
      <w:r>
        <w:rPr>
          <w:rFonts w:ascii="宋体" w:hAnsi="宋体" w:eastAsia="宋体" w:cs="宋体"/>
          <w:spacing w:val="-1"/>
          <w:sz w:val="21"/>
          <w:szCs w:val="21"/>
        </w:rPr>
        <w:t>承包人在投标文件中采用专利技术的，专利技术的使用费包含在投标报价内。</w:t>
      </w:r>
    </w:p>
    <w:p w14:paraId="2480B43C">
      <w:pPr>
        <w:spacing w:before="127" w:line="345" w:lineRule="auto"/>
        <w:ind w:left="28" w:right="75" w:firstLine="432"/>
        <w:rPr>
          <w:rFonts w:ascii="宋体" w:hAnsi="宋体" w:eastAsia="宋体" w:cs="宋体"/>
          <w:sz w:val="21"/>
          <w:szCs w:val="21"/>
        </w:rPr>
      </w:pPr>
      <w:r>
        <w:rPr>
          <w:rFonts w:ascii="Times New Roman" w:hAnsi="Times New Roman" w:eastAsia="Times New Roman" w:cs="Times New Roman"/>
          <w:spacing w:val="-2"/>
          <w:sz w:val="21"/>
          <w:szCs w:val="21"/>
        </w:rPr>
        <w:t xml:space="preserve">1.11.3  </w:t>
      </w:r>
      <w:r>
        <w:rPr>
          <w:rFonts w:ascii="宋体" w:hAnsi="宋体" w:eastAsia="宋体" w:cs="宋体"/>
          <w:spacing w:val="-2"/>
          <w:sz w:val="21"/>
          <w:szCs w:val="21"/>
        </w:rPr>
        <w:t>承包人的技术秘密和声明需要保密的资料和信息，发包人和监理人不得为合同以</w:t>
      </w:r>
      <w:r>
        <w:rPr>
          <w:rFonts w:ascii="宋体" w:hAnsi="宋体" w:eastAsia="宋体" w:cs="宋体"/>
          <w:spacing w:val="-4"/>
          <w:sz w:val="21"/>
          <w:szCs w:val="21"/>
        </w:rPr>
        <w:t>外的目的泄露给他人。</w:t>
      </w:r>
    </w:p>
    <w:p w14:paraId="7638A70A">
      <w:pPr>
        <w:spacing w:before="1" w:line="231" w:lineRule="auto"/>
        <w:ind w:left="44"/>
        <w:outlineLvl w:val="2"/>
        <w:rPr>
          <w:rFonts w:ascii="黑体" w:hAnsi="黑体" w:eastAsia="黑体" w:cs="黑体"/>
          <w:sz w:val="24"/>
          <w:szCs w:val="24"/>
        </w:rPr>
      </w:pPr>
      <w:bookmarkStart w:id="53" w:name="bookmark50"/>
      <w:bookmarkEnd w:id="53"/>
      <w:r>
        <w:rPr>
          <w:rFonts w:ascii="Times New Roman" w:hAnsi="Times New Roman" w:eastAsia="Times New Roman" w:cs="Times New Roman"/>
          <w:spacing w:val="-4"/>
          <w:sz w:val="24"/>
          <w:szCs w:val="24"/>
        </w:rPr>
        <w:t>1.12</w:t>
      </w:r>
      <w:r>
        <w:rPr>
          <w:rFonts w:ascii="Times New Roman" w:hAnsi="Times New Roman" w:eastAsia="Times New Roman" w:cs="Times New Roman"/>
          <w:spacing w:val="12"/>
          <w:sz w:val="24"/>
          <w:szCs w:val="24"/>
        </w:rPr>
        <w:t xml:space="preserve">  </w:t>
      </w:r>
      <w:r>
        <w:rPr>
          <w:rFonts w:ascii="黑体" w:hAnsi="黑体" w:eastAsia="黑体" w:cs="黑体"/>
          <w:spacing w:val="-4"/>
          <w:sz w:val="24"/>
          <w:szCs w:val="24"/>
        </w:rPr>
        <w:t>图纸和文件的保密</w:t>
      </w:r>
    </w:p>
    <w:p w14:paraId="635576EF">
      <w:pPr>
        <w:spacing w:before="113" w:line="349" w:lineRule="auto"/>
        <w:ind w:left="25" w:right="76"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1.12.1  </w:t>
      </w:r>
      <w:r>
        <w:rPr>
          <w:rFonts w:ascii="宋体" w:hAnsi="宋体" w:eastAsia="宋体" w:cs="宋体"/>
          <w:spacing w:val="-2"/>
          <w:sz w:val="21"/>
          <w:szCs w:val="21"/>
        </w:rPr>
        <w:t>发包人提供的图纸和文件，未经发包人同意，承包人不得为合同以外的目的泄露</w:t>
      </w:r>
      <w:r>
        <w:rPr>
          <w:rFonts w:ascii="宋体" w:hAnsi="宋体" w:eastAsia="宋体" w:cs="宋体"/>
          <w:spacing w:val="-3"/>
          <w:sz w:val="21"/>
          <w:szCs w:val="21"/>
        </w:rPr>
        <w:t>给他人或公开发表与引用。</w:t>
      </w:r>
    </w:p>
    <w:p w14:paraId="337F630B">
      <w:pPr>
        <w:spacing w:before="17" w:line="336" w:lineRule="auto"/>
        <w:ind w:left="29" w:right="76" w:firstLine="431"/>
        <w:rPr>
          <w:rFonts w:ascii="宋体" w:hAnsi="宋体" w:eastAsia="宋体" w:cs="宋体"/>
          <w:sz w:val="21"/>
          <w:szCs w:val="21"/>
        </w:rPr>
      </w:pPr>
      <w:r>
        <w:rPr>
          <w:rFonts w:ascii="Times New Roman" w:hAnsi="Times New Roman" w:eastAsia="Times New Roman" w:cs="Times New Roman"/>
          <w:spacing w:val="-2"/>
          <w:sz w:val="21"/>
          <w:szCs w:val="21"/>
        </w:rPr>
        <w:t xml:space="preserve">1.12.2  </w:t>
      </w:r>
      <w:r>
        <w:rPr>
          <w:rFonts w:ascii="宋体" w:hAnsi="宋体" w:eastAsia="宋体" w:cs="宋体"/>
          <w:spacing w:val="-2"/>
          <w:sz w:val="21"/>
          <w:szCs w:val="21"/>
        </w:rPr>
        <w:t>承包人提供的文件，未经承包人同意，发包人和监理人不得为合同以外的目的泄</w:t>
      </w:r>
      <w:r>
        <w:rPr>
          <w:rFonts w:ascii="宋体" w:hAnsi="宋体" w:eastAsia="宋体" w:cs="宋体"/>
          <w:spacing w:val="-3"/>
          <w:sz w:val="21"/>
          <w:szCs w:val="21"/>
        </w:rPr>
        <w:t>露给他人或公开发表与引用。</w:t>
      </w:r>
    </w:p>
    <w:p w14:paraId="590BE7B6">
      <w:pPr>
        <w:spacing w:before="72" w:line="236" w:lineRule="auto"/>
        <w:ind w:left="21"/>
        <w:outlineLvl w:val="1"/>
        <w:rPr>
          <w:rFonts w:ascii="黑体" w:hAnsi="黑体" w:eastAsia="黑体" w:cs="黑体"/>
          <w:sz w:val="28"/>
          <w:szCs w:val="28"/>
        </w:rPr>
      </w:pPr>
      <w:bookmarkStart w:id="54" w:name="bookmark52"/>
      <w:bookmarkEnd w:id="54"/>
      <w:bookmarkStart w:id="55" w:name="bookmark51"/>
      <w:bookmarkEnd w:id="55"/>
      <w:r>
        <w:rPr>
          <w:rFonts w:ascii="Times New Roman" w:hAnsi="Times New Roman" w:eastAsia="Times New Roman" w:cs="Times New Roman"/>
          <w:spacing w:val="5"/>
          <w:sz w:val="28"/>
          <w:szCs w:val="28"/>
        </w:rPr>
        <w:t xml:space="preserve">2.  </w:t>
      </w:r>
      <w:r>
        <w:rPr>
          <w:rFonts w:ascii="黑体" w:hAnsi="黑体" w:eastAsia="黑体" w:cs="黑体"/>
          <w:spacing w:val="5"/>
          <w:sz w:val="28"/>
          <w:szCs w:val="28"/>
        </w:rPr>
        <w:t>发包人义务</w:t>
      </w:r>
    </w:p>
    <w:p w14:paraId="43DF399A">
      <w:pPr>
        <w:spacing w:before="71" w:line="233" w:lineRule="auto"/>
        <w:ind w:left="21"/>
        <w:outlineLvl w:val="2"/>
        <w:rPr>
          <w:rFonts w:ascii="黑体" w:hAnsi="黑体" w:eastAsia="黑体" w:cs="黑体"/>
          <w:sz w:val="24"/>
          <w:szCs w:val="24"/>
        </w:rPr>
      </w:pPr>
      <w:bookmarkStart w:id="56" w:name="bookmark629"/>
      <w:bookmarkEnd w:id="56"/>
      <w:r>
        <w:rPr>
          <w:rFonts w:ascii="Times New Roman" w:hAnsi="Times New Roman" w:eastAsia="Times New Roman" w:cs="Times New Roman"/>
          <w:spacing w:val="-2"/>
          <w:sz w:val="24"/>
          <w:szCs w:val="24"/>
        </w:rPr>
        <w:t>2.1</w:t>
      </w:r>
      <w:r>
        <w:rPr>
          <w:rFonts w:ascii="Times New Roman" w:hAnsi="Times New Roman" w:eastAsia="Times New Roman" w:cs="Times New Roman"/>
          <w:spacing w:val="6"/>
          <w:sz w:val="24"/>
          <w:szCs w:val="24"/>
        </w:rPr>
        <w:t xml:space="preserve">  </w:t>
      </w:r>
      <w:r>
        <w:rPr>
          <w:rFonts w:ascii="黑体" w:hAnsi="黑体" w:eastAsia="黑体" w:cs="黑体"/>
          <w:spacing w:val="-2"/>
          <w:sz w:val="24"/>
          <w:szCs w:val="24"/>
        </w:rPr>
        <w:t>遵守法律</w:t>
      </w:r>
    </w:p>
    <w:p w14:paraId="6C3D92B3">
      <w:pPr>
        <w:spacing w:before="130" w:line="338" w:lineRule="auto"/>
        <w:ind w:left="41" w:right="89" w:firstLine="406"/>
        <w:rPr>
          <w:rFonts w:ascii="宋体" w:hAnsi="宋体" w:eastAsia="宋体" w:cs="宋体"/>
          <w:sz w:val="21"/>
          <w:szCs w:val="21"/>
        </w:rPr>
      </w:pPr>
      <w:r>
        <w:rPr>
          <w:rFonts w:ascii="宋体" w:hAnsi="宋体" w:eastAsia="宋体" w:cs="宋体"/>
          <w:spacing w:val="-2"/>
          <w:sz w:val="21"/>
          <w:szCs w:val="21"/>
        </w:rPr>
        <w:t>发包人在履行合同过程中应遵守法律，并保证承包人免于承担因发</w:t>
      </w:r>
      <w:r>
        <w:rPr>
          <w:rFonts w:ascii="宋体" w:hAnsi="宋体" w:eastAsia="宋体" w:cs="宋体"/>
          <w:spacing w:val="-3"/>
          <w:sz w:val="21"/>
          <w:szCs w:val="21"/>
        </w:rPr>
        <w:t>包人违反法律而引起</w:t>
      </w:r>
      <w:r>
        <w:rPr>
          <w:rFonts w:ascii="宋体" w:hAnsi="宋体" w:eastAsia="宋体" w:cs="宋体"/>
          <w:spacing w:val="-8"/>
          <w:sz w:val="21"/>
          <w:szCs w:val="21"/>
        </w:rPr>
        <w:t>的任何责任。</w:t>
      </w:r>
    </w:p>
    <w:p w14:paraId="4A1C8C30">
      <w:pPr>
        <w:spacing w:before="1" w:line="231" w:lineRule="auto"/>
        <w:ind w:left="21"/>
        <w:outlineLvl w:val="2"/>
        <w:rPr>
          <w:rFonts w:ascii="黑体" w:hAnsi="黑体" w:eastAsia="黑体" w:cs="黑体"/>
          <w:sz w:val="24"/>
          <w:szCs w:val="24"/>
        </w:rPr>
      </w:pPr>
      <w:bookmarkStart w:id="57" w:name="bookmark53"/>
      <w:bookmarkEnd w:id="57"/>
      <w:r>
        <w:rPr>
          <w:rFonts w:ascii="Times New Roman" w:hAnsi="Times New Roman" w:eastAsia="Times New Roman" w:cs="Times New Roman"/>
          <w:spacing w:val="-1"/>
          <w:sz w:val="24"/>
          <w:szCs w:val="24"/>
        </w:rPr>
        <w:t xml:space="preserve">2.2  </w:t>
      </w:r>
      <w:r>
        <w:rPr>
          <w:rFonts w:ascii="黑体" w:hAnsi="黑体" w:eastAsia="黑体" w:cs="黑体"/>
          <w:spacing w:val="-1"/>
          <w:sz w:val="24"/>
          <w:szCs w:val="24"/>
        </w:rPr>
        <w:t>发出开工通知</w:t>
      </w:r>
    </w:p>
    <w:p w14:paraId="2C92D41E">
      <w:pPr>
        <w:spacing w:before="130" w:line="233" w:lineRule="auto"/>
        <w:ind w:left="448"/>
        <w:rPr>
          <w:rFonts w:ascii="宋体" w:hAnsi="宋体" w:eastAsia="宋体" w:cs="宋体"/>
          <w:sz w:val="21"/>
          <w:szCs w:val="21"/>
        </w:rPr>
      </w:pPr>
      <w:r>
        <w:rPr>
          <w:rFonts w:ascii="宋体" w:hAnsi="宋体" w:eastAsia="宋体" w:cs="宋体"/>
          <w:spacing w:val="-2"/>
          <w:sz w:val="21"/>
          <w:szCs w:val="21"/>
        </w:rPr>
        <w:t>发包人应委托监理人按第</w:t>
      </w:r>
      <w:r>
        <w:rPr>
          <w:rFonts w:ascii="宋体" w:hAnsi="宋体" w:eastAsia="宋体" w:cs="宋体"/>
          <w:spacing w:val="-23"/>
          <w:sz w:val="21"/>
          <w:szCs w:val="21"/>
        </w:rPr>
        <w:t xml:space="preserve"> </w:t>
      </w:r>
      <w:r>
        <w:rPr>
          <w:rFonts w:ascii="Times New Roman" w:hAnsi="Times New Roman" w:eastAsia="Times New Roman" w:cs="Times New Roman"/>
          <w:spacing w:val="-2"/>
          <w:sz w:val="21"/>
          <w:szCs w:val="21"/>
        </w:rPr>
        <w:t>11.1</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款的约定向</w:t>
      </w:r>
      <w:r>
        <w:rPr>
          <w:rFonts w:ascii="宋体" w:hAnsi="宋体" w:eastAsia="宋体" w:cs="宋体"/>
          <w:spacing w:val="-3"/>
          <w:sz w:val="21"/>
          <w:szCs w:val="21"/>
        </w:rPr>
        <w:t>承包人发出开工通知。</w:t>
      </w:r>
    </w:p>
    <w:p w14:paraId="1F087C31">
      <w:pPr>
        <w:spacing w:before="115" w:line="233" w:lineRule="auto"/>
        <w:ind w:left="21"/>
        <w:outlineLvl w:val="2"/>
        <w:rPr>
          <w:rFonts w:ascii="黑体" w:hAnsi="黑体" w:eastAsia="黑体" w:cs="黑体"/>
          <w:sz w:val="24"/>
          <w:szCs w:val="24"/>
        </w:rPr>
      </w:pPr>
      <w:bookmarkStart w:id="58" w:name="bookmark54"/>
      <w:bookmarkEnd w:id="58"/>
      <w:r>
        <w:rPr>
          <w:rFonts w:ascii="Times New Roman" w:hAnsi="Times New Roman" w:eastAsia="Times New Roman" w:cs="Times New Roman"/>
          <w:spacing w:val="-1"/>
          <w:sz w:val="24"/>
          <w:szCs w:val="24"/>
        </w:rPr>
        <w:t xml:space="preserve">2.3  </w:t>
      </w:r>
      <w:r>
        <w:rPr>
          <w:rFonts w:ascii="黑体" w:hAnsi="黑体" w:eastAsia="黑体" w:cs="黑体"/>
          <w:spacing w:val="-1"/>
          <w:sz w:val="24"/>
          <w:szCs w:val="24"/>
        </w:rPr>
        <w:t>提供施工场地</w:t>
      </w:r>
    </w:p>
    <w:p w14:paraId="41B01D42">
      <w:pPr>
        <w:spacing w:before="113" w:line="345" w:lineRule="auto"/>
        <w:ind w:left="27" w:right="89" w:firstLine="420"/>
        <w:rPr>
          <w:rFonts w:ascii="宋体" w:hAnsi="宋体" w:eastAsia="宋体" w:cs="宋体"/>
          <w:sz w:val="21"/>
          <w:szCs w:val="21"/>
        </w:rPr>
      </w:pPr>
      <w:r>
        <w:rPr>
          <w:rFonts w:ascii="宋体" w:hAnsi="宋体" w:eastAsia="宋体" w:cs="宋体"/>
          <w:spacing w:val="-2"/>
          <w:sz w:val="21"/>
          <w:szCs w:val="21"/>
        </w:rPr>
        <w:t>发包人应按专用合同条款约定向承包人提供施工场地，以及施工场</w:t>
      </w:r>
      <w:r>
        <w:rPr>
          <w:rFonts w:ascii="宋体" w:hAnsi="宋体" w:eastAsia="宋体" w:cs="宋体"/>
          <w:spacing w:val="-3"/>
          <w:sz w:val="21"/>
          <w:szCs w:val="21"/>
        </w:rPr>
        <w:t>地内地下管线和地下</w:t>
      </w:r>
      <w:r>
        <w:rPr>
          <w:rFonts w:ascii="宋体" w:hAnsi="宋体" w:eastAsia="宋体" w:cs="宋体"/>
          <w:spacing w:val="-2"/>
          <w:sz w:val="21"/>
          <w:szCs w:val="21"/>
        </w:rPr>
        <w:t>设施等有关资料，并保证资料的真实、准确、完整。</w:t>
      </w:r>
    </w:p>
    <w:p w14:paraId="1AE9C6AA">
      <w:pPr>
        <w:spacing w:before="1" w:line="231" w:lineRule="auto"/>
        <w:ind w:left="21"/>
        <w:outlineLvl w:val="2"/>
        <w:rPr>
          <w:rFonts w:ascii="黑体" w:hAnsi="黑体" w:eastAsia="黑体" w:cs="黑体"/>
          <w:sz w:val="24"/>
          <w:szCs w:val="24"/>
        </w:rPr>
      </w:pPr>
      <w:bookmarkStart w:id="59" w:name="bookmark55"/>
      <w:bookmarkEnd w:id="59"/>
      <w:r>
        <w:rPr>
          <w:rFonts w:ascii="Times New Roman" w:hAnsi="Times New Roman" w:eastAsia="Times New Roman" w:cs="Times New Roman"/>
          <w:sz w:val="24"/>
          <w:szCs w:val="24"/>
        </w:rPr>
        <w:t xml:space="preserve">2.4  </w:t>
      </w:r>
      <w:r>
        <w:rPr>
          <w:rFonts w:ascii="黑体" w:hAnsi="黑体" w:eastAsia="黑体" w:cs="黑体"/>
          <w:sz w:val="24"/>
          <w:szCs w:val="24"/>
        </w:rPr>
        <w:t>协助承包人办理证件和批件</w:t>
      </w:r>
    </w:p>
    <w:p w14:paraId="2D8F7138">
      <w:pPr>
        <w:spacing w:before="114" w:line="220" w:lineRule="auto"/>
        <w:ind w:left="448"/>
        <w:rPr>
          <w:rFonts w:ascii="宋体" w:hAnsi="宋体" w:eastAsia="宋体" w:cs="宋体"/>
          <w:sz w:val="21"/>
          <w:szCs w:val="21"/>
        </w:rPr>
      </w:pPr>
      <w:r>
        <w:rPr>
          <w:rFonts w:ascii="宋体" w:hAnsi="宋体" w:eastAsia="宋体" w:cs="宋体"/>
          <w:spacing w:val="-1"/>
          <w:sz w:val="21"/>
          <w:szCs w:val="21"/>
        </w:rPr>
        <w:t>发包人应协助承包人办理法律规定的有关施工证件</w:t>
      </w:r>
      <w:r>
        <w:rPr>
          <w:rFonts w:ascii="宋体" w:hAnsi="宋体" w:eastAsia="宋体" w:cs="宋体"/>
          <w:spacing w:val="-2"/>
          <w:sz w:val="21"/>
          <w:szCs w:val="21"/>
        </w:rPr>
        <w:t>和批件。</w:t>
      </w:r>
    </w:p>
    <w:p w14:paraId="4E242233">
      <w:pPr>
        <w:spacing w:before="129" w:line="233" w:lineRule="auto"/>
        <w:ind w:left="21"/>
        <w:outlineLvl w:val="2"/>
        <w:rPr>
          <w:rFonts w:ascii="黑体" w:hAnsi="黑体" w:eastAsia="黑体" w:cs="黑体"/>
          <w:sz w:val="24"/>
          <w:szCs w:val="24"/>
        </w:rPr>
      </w:pPr>
      <w:bookmarkStart w:id="60" w:name="bookmark56"/>
      <w:bookmarkEnd w:id="60"/>
      <w:r>
        <w:rPr>
          <w:rFonts w:ascii="Times New Roman" w:hAnsi="Times New Roman" w:eastAsia="Times New Roman" w:cs="Times New Roman"/>
          <w:spacing w:val="-1"/>
          <w:sz w:val="24"/>
          <w:szCs w:val="24"/>
        </w:rPr>
        <w:t xml:space="preserve">2.5  </w:t>
      </w:r>
      <w:r>
        <w:rPr>
          <w:rFonts w:ascii="黑体" w:hAnsi="黑体" w:eastAsia="黑体" w:cs="黑体"/>
          <w:spacing w:val="-1"/>
          <w:sz w:val="24"/>
          <w:szCs w:val="24"/>
        </w:rPr>
        <w:t>组织设计交底</w:t>
      </w:r>
    </w:p>
    <w:p w14:paraId="25B6B658">
      <w:pPr>
        <w:spacing w:before="129" w:line="220" w:lineRule="auto"/>
        <w:ind w:left="448"/>
        <w:rPr>
          <w:rFonts w:ascii="宋体" w:hAnsi="宋体" w:eastAsia="宋体" w:cs="宋体"/>
          <w:sz w:val="21"/>
          <w:szCs w:val="21"/>
        </w:rPr>
      </w:pPr>
      <w:r>
        <w:rPr>
          <w:rFonts w:ascii="宋体" w:hAnsi="宋体" w:eastAsia="宋体" w:cs="宋体"/>
          <w:spacing w:val="-1"/>
          <w:sz w:val="21"/>
          <w:szCs w:val="21"/>
        </w:rPr>
        <w:t>发包人应根据合同进度计划，组织设计单位向承包人进行设计交底。</w:t>
      </w:r>
    </w:p>
    <w:p w14:paraId="68BAEB56">
      <w:pPr>
        <w:spacing w:before="114" w:line="233" w:lineRule="auto"/>
        <w:ind w:left="21"/>
        <w:outlineLvl w:val="2"/>
        <w:rPr>
          <w:rFonts w:ascii="黑体" w:hAnsi="黑体" w:eastAsia="黑体" w:cs="黑体"/>
          <w:sz w:val="24"/>
          <w:szCs w:val="24"/>
        </w:rPr>
      </w:pPr>
      <w:bookmarkStart w:id="61" w:name="bookmark57"/>
      <w:bookmarkEnd w:id="61"/>
      <w:r>
        <w:rPr>
          <w:rFonts w:ascii="Times New Roman" w:hAnsi="Times New Roman" w:eastAsia="Times New Roman" w:cs="Times New Roman"/>
          <w:spacing w:val="-2"/>
          <w:sz w:val="24"/>
          <w:szCs w:val="24"/>
        </w:rPr>
        <w:t>2.6</w:t>
      </w:r>
      <w:r>
        <w:rPr>
          <w:rFonts w:ascii="Times New Roman" w:hAnsi="Times New Roman" w:eastAsia="Times New Roman" w:cs="Times New Roman"/>
          <w:spacing w:val="8"/>
          <w:sz w:val="24"/>
          <w:szCs w:val="24"/>
        </w:rPr>
        <w:t xml:space="preserve">  </w:t>
      </w:r>
      <w:r>
        <w:rPr>
          <w:rFonts w:ascii="黑体" w:hAnsi="黑体" w:eastAsia="黑体" w:cs="黑体"/>
          <w:spacing w:val="-2"/>
          <w:sz w:val="24"/>
          <w:szCs w:val="24"/>
        </w:rPr>
        <w:t>支付合同价款</w:t>
      </w:r>
    </w:p>
    <w:p w14:paraId="26207FA9">
      <w:pPr>
        <w:spacing w:before="129" w:line="218" w:lineRule="auto"/>
        <w:ind w:left="448"/>
        <w:rPr>
          <w:rFonts w:ascii="宋体" w:hAnsi="宋体" w:eastAsia="宋体" w:cs="宋体"/>
          <w:sz w:val="21"/>
          <w:szCs w:val="21"/>
        </w:rPr>
      </w:pPr>
      <w:r>
        <w:rPr>
          <w:rFonts w:ascii="宋体" w:hAnsi="宋体" w:eastAsia="宋体" w:cs="宋体"/>
          <w:spacing w:val="-2"/>
          <w:sz w:val="21"/>
          <w:szCs w:val="21"/>
        </w:rPr>
        <w:t>发包人应按合同约定向承包人及时支付合同价款。</w:t>
      </w:r>
    </w:p>
    <w:p w14:paraId="759C6666">
      <w:pPr>
        <w:spacing w:line="218" w:lineRule="auto"/>
        <w:rPr>
          <w:rFonts w:ascii="宋体" w:hAnsi="宋体" w:eastAsia="宋体" w:cs="宋体"/>
          <w:sz w:val="21"/>
          <w:szCs w:val="21"/>
        </w:rPr>
        <w:sectPr>
          <w:footerReference r:id="rId79" w:type="default"/>
          <w:pgSz w:w="11910" w:h="16845"/>
          <w:pgMar w:top="400" w:right="1689" w:bottom="1110" w:left="1786" w:header="0" w:footer="883" w:gutter="0"/>
          <w:cols w:space="720" w:num="1"/>
        </w:sectPr>
      </w:pPr>
    </w:p>
    <w:p w14:paraId="73BA3E3A">
      <w:pPr>
        <w:pStyle w:val="2"/>
        <w:spacing w:line="266" w:lineRule="auto"/>
      </w:pPr>
    </w:p>
    <w:p w14:paraId="374626F5">
      <w:pPr>
        <w:pStyle w:val="2"/>
        <w:spacing w:line="266" w:lineRule="auto"/>
      </w:pPr>
    </w:p>
    <w:p w14:paraId="60FE97B0">
      <w:pPr>
        <w:pStyle w:val="2"/>
        <w:spacing w:line="266" w:lineRule="auto"/>
      </w:pPr>
    </w:p>
    <w:p w14:paraId="4B3CA882">
      <w:pPr>
        <w:pStyle w:val="2"/>
        <w:spacing w:line="267" w:lineRule="auto"/>
      </w:pPr>
    </w:p>
    <w:p w14:paraId="6F3D2DF4">
      <w:pPr>
        <w:spacing w:before="78" w:line="232" w:lineRule="auto"/>
        <w:ind w:left="21"/>
        <w:outlineLvl w:val="2"/>
        <w:rPr>
          <w:rFonts w:ascii="黑体" w:hAnsi="黑体" w:eastAsia="黑体" w:cs="黑体"/>
          <w:sz w:val="24"/>
          <w:szCs w:val="24"/>
        </w:rPr>
      </w:pPr>
      <w:bookmarkStart w:id="62" w:name="bookmark58"/>
      <w:bookmarkEnd w:id="62"/>
      <w:r>
        <w:rPr>
          <w:rFonts w:ascii="Times New Roman" w:hAnsi="Times New Roman" w:eastAsia="Times New Roman" w:cs="Times New Roman"/>
          <w:spacing w:val="-1"/>
          <w:sz w:val="24"/>
          <w:szCs w:val="24"/>
        </w:rPr>
        <w:t xml:space="preserve">2.7  </w:t>
      </w:r>
      <w:r>
        <w:rPr>
          <w:rFonts w:ascii="黑体" w:hAnsi="黑体" w:eastAsia="黑体" w:cs="黑体"/>
          <w:spacing w:val="-1"/>
          <w:sz w:val="24"/>
          <w:szCs w:val="24"/>
        </w:rPr>
        <w:t>组织竣工验收</w:t>
      </w:r>
    </w:p>
    <w:p w14:paraId="312FC9D3">
      <w:pPr>
        <w:spacing w:before="129" w:line="220" w:lineRule="auto"/>
        <w:ind w:left="448"/>
        <w:rPr>
          <w:rFonts w:ascii="宋体" w:hAnsi="宋体" w:eastAsia="宋体" w:cs="宋体"/>
          <w:sz w:val="21"/>
          <w:szCs w:val="21"/>
        </w:rPr>
      </w:pPr>
      <w:r>
        <w:rPr>
          <w:rFonts w:ascii="宋体" w:hAnsi="宋体" w:eastAsia="宋体" w:cs="宋体"/>
          <w:spacing w:val="-2"/>
          <w:sz w:val="21"/>
          <w:szCs w:val="21"/>
        </w:rPr>
        <w:t>发包人应按合同约定及时组织竣工验收。</w:t>
      </w:r>
    </w:p>
    <w:p w14:paraId="4B8A336B">
      <w:pPr>
        <w:spacing w:before="114" w:line="232" w:lineRule="auto"/>
        <w:ind w:left="21"/>
        <w:outlineLvl w:val="2"/>
        <w:rPr>
          <w:rFonts w:ascii="黑体" w:hAnsi="黑体" w:eastAsia="黑体" w:cs="黑体"/>
          <w:sz w:val="24"/>
          <w:szCs w:val="24"/>
        </w:rPr>
      </w:pPr>
      <w:bookmarkStart w:id="63" w:name="bookmark59"/>
      <w:bookmarkEnd w:id="63"/>
      <w:r>
        <w:rPr>
          <w:rFonts w:ascii="Times New Roman" w:hAnsi="Times New Roman" w:eastAsia="Times New Roman" w:cs="Times New Roman"/>
          <w:spacing w:val="-2"/>
          <w:sz w:val="24"/>
          <w:szCs w:val="24"/>
        </w:rPr>
        <w:t>2.8</w:t>
      </w:r>
      <w:r>
        <w:rPr>
          <w:rFonts w:ascii="Times New Roman" w:hAnsi="Times New Roman" w:eastAsia="Times New Roman" w:cs="Times New Roman"/>
          <w:spacing w:val="6"/>
          <w:sz w:val="24"/>
          <w:szCs w:val="24"/>
        </w:rPr>
        <w:t xml:space="preserve">  </w:t>
      </w:r>
      <w:r>
        <w:rPr>
          <w:rFonts w:ascii="黑体" w:hAnsi="黑体" w:eastAsia="黑体" w:cs="黑体"/>
          <w:spacing w:val="-2"/>
          <w:sz w:val="24"/>
          <w:szCs w:val="24"/>
        </w:rPr>
        <w:t>其他义务</w:t>
      </w:r>
    </w:p>
    <w:p w14:paraId="32A10BD0">
      <w:pPr>
        <w:spacing w:before="128" w:line="220" w:lineRule="auto"/>
        <w:ind w:left="448"/>
        <w:rPr>
          <w:rFonts w:ascii="宋体" w:hAnsi="宋体" w:eastAsia="宋体" w:cs="宋体"/>
          <w:sz w:val="21"/>
          <w:szCs w:val="21"/>
        </w:rPr>
      </w:pPr>
      <w:r>
        <w:rPr>
          <w:rFonts w:ascii="宋体" w:hAnsi="宋体" w:eastAsia="宋体" w:cs="宋体"/>
          <w:spacing w:val="-3"/>
          <w:sz w:val="21"/>
          <w:szCs w:val="21"/>
        </w:rPr>
        <w:t>发包人应履行合同约定的其他义务。</w:t>
      </w:r>
    </w:p>
    <w:p w14:paraId="3514C5DD">
      <w:pPr>
        <w:spacing w:before="197" w:line="239" w:lineRule="auto"/>
        <w:ind w:left="27"/>
        <w:outlineLvl w:val="1"/>
        <w:rPr>
          <w:rFonts w:ascii="黑体" w:hAnsi="黑体" w:eastAsia="黑体" w:cs="黑体"/>
          <w:sz w:val="28"/>
          <w:szCs w:val="28"/>
        </w:rPr>
      </w:pPr>
      <w:bookmarkStart w:id="64" w:name="bookmark60"/>
      <w:bookmarkEnd w:id="64"/>
      <w:bookmarkStart w:id="65" w:name="bookmark61"/>
      <w:bookmarkEnd w:id="65"/>
      <w:r>
        <w:rPr>
          <w:rFonts w:ascii="Times New Roman" w:hAnsi="Times New Roman" w:eastAsia="Times New Roman" w:cs="Times New Roman"/>
          <w:spacing w:val="4"/>
          <w:sz w:val="28"/>
          <w:szCs w:val="28"/>
        </w:rPr>
        <w:t xml:space="preserve">3.  </w:t>
      </w:r>
      <w:r>
        <w:rPr>
          <w:rFonts w:ascii="黑体" w:hAnsi="黑体" w:eastAsia="黑体" w:cs="黑体"/>
          <w:spacing w:val="4"/>
          <w:sz w:val="28"/>
          <w:szCs w:val="28"/>
        </w:rPr>
        <w:t>监理人</w:t>
      </w:r>
    </w:p>
    <w:p w14:paraId="5A6591D1">
      <w:pPr>
        <w:spacing w:before="66" w:line="232" w:lineRule="auto"/>
        <w:ind w:left="25"/>
        <w:outlineLvl w:val="2"/>
        <w:rPr>
          <w:rFonts w:ascii="黑体" w:hAnsi="黑体" w:eastAsia="黑体" w:cs="黑体"/>
          <w:sz w:val="24"/>
          <w:szCs w:val="24"/>
        </w:rPr>
      </w:pPr>
      <w:bookmarkStart w:id="66" w:name="bookmark630"/>
      <w:bookmarkEnd w:id="66"/>
      <w:r>
        <w:rPr>
          <w:rFonts w:ascii="Times New Roman" w:hAnsi="Times New Roman" w:eastAsia="Times New Roman" w:cs="Times New Roman"/>
          <w:spacing w:val="-1"/>
          <w:sz w:val="24"/>
          <w:szCs w:val="24"/>
        </w:rPr>
        <w:t xml:space="preserve">3.1  </w:t>
      </w:r>
      <w:r>
        <w:rPr>
          <w:rFonts w:ascii="黑体" w:hAnsi="黑体" w:eastAsia="黑体" w:cs="黑体"/>
          <w:spacing w:val="-1"/>
          <w:sz w:val="24"/>
          <w:szCs w:val="24"/>
        </w:rPr>
        <w:t>监理人的职责和权力</w:t>
      </w:r>
    </w:p>
    <w:p w14:paraId="0DB6F948">
      <w:pPr>
        <w:spacing w:before="130" w:line="335" w:lineRule="auto"/>
        <w:ind w:left="24" w:right="72"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3.1.1  </w:t>
      </w:r>
      <w:r>
        <w:rPr>
          <w:rFonts w:ascii="宋体" w:hAnsi="宋体" w:eastAsia="宋体" w:cs="宋体"/>
          <w:spacing w:val="1"/>
          <w:sz w:val="21"/>
          <w:szCs w:val="21"/>
        </w:rPr>
        <w:t>监理人受发包人委托，享有合同约</w:t>
      </w:r>
      <w:r>
        <w:rPr>
          <w:rFonts w:ascii="宋体" w:hAnsi="宋体" w:eastAsia="宋体" w:cs="宋体"/>
          <w:sz w:val="21"/>
          <w:szCs w:val="21"/>
        </w:rPr>
        <w:t>定的权力。监理人在行使某项权力前需要经发</w:t>
      </w:r>
      <w:r>
        <w:rPr>
          <w:rFonts w:ascii="宋体" w:hAnsi="宋体" w:eastAsia="宋体" w:cs="宋体"/>
          <w:spacing w:val="-1"/>
          <w:sz w:val="21"/>
          <w:szCs w:val="21"/>
        </w:rPr>
        <w:t>包人事先批准而通用合同条款没有指明的，应在专用合同条款中指明。</w:t>
      </w:r>
    </w:p>
    <w:p w14:paraId="108D8FAA">
      <w:pPr>
        <w:spacing w:before="34" w:line="348" w:lineRule="auto"/>
        <w:ind w:left="44" w:right="72" w:firstLine="400"/>
        <w:rPr>
          <w:rFonts w:ascii="宋体" w:hAnsi="宋体" w:eastAsia="宋体" w:cs="宋体"/>
          <w:sz w:val="21"/>
          <w:szCs w:val="21"/>
        </w:rPr>
      </w:pPr>
      <w:r>
        <w:rPr>
          <w:rFonts w:ascii="Times New Roman" w:hAnsi="Times New Roman" w:eastAsia="Times New Roman" w:cs="Times New Roman"/>
          <w:spacing w:val="1"/>
          <w:sz w:val="21"/>
          <w:szCs w:val="21"/>
        </w:rPr>
        <w:t xml:space="preserve">3.1.2  </w:t>
      </w:r>
      <w:r>
        <w:rPr>
          <w:rFonts w:ascii="宋体" w:hAnsi="宋体" w:eastAsia="宋体" w:cs="宋体"/>
          <w:spacing w:val="1"/>
          <w:sz w:val="21"/>
          <w:szCs w:val="21"/>
        </w:rPr>
        <w:t>监理人发出的任何指示应视为已得</w:t>
      </w:r>
      <w:r>
        <w:rPr>
          <w:rFonts w:ascii="宋体" w:hAnsi="宋体" w:eastAsia="宋体" w:cs="宋体"/>
          <w:sz w:val="21"/>
          <w:szCs w:val="21"/>
        </w:rPr>
        <w:t>到发包人的批准，但监理人无权免除或变更合</w:t>
      </w:r>
      <w:r>
        <w:rPr>
          <w:rFonts w:ascii="宋体" w:hAnsi="宋体" w:eastAsia="宋体" w:cs="宋体"/>
          <w:spacing w:val="-3"/>
          <w:sz w:val="21"/>
          <w:szCs w:val="21"/>
        </w:rPr>
        <w:t>同约定的发包人和承包人的权利、义务和责任。</w:t>
      </w:r>
    </w:p>
    <w:p w14:paraId="1B1636A2">
      <w:pPr>
        <w:spacing w:before="5" w:line="344" w:lineRule="auto"/>
        <w:ind w:left="23" w:right="72"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3.1.3  </w:t>
      </w:r>
      <w:r>
        <w:rPr>
          <w:rFonts w:ascii="宋体" w:hAnsi="宋体" w:eastAsia="宋体" w:cs="宋体"/>
          <w:spacing w:val="1"/>
          <w:sz w:val="21"/>
          <w:szCs w:val="21"/>
        </w:rPr>
        <w:t>合同约定应由承包人承担的义务和</w:t>
      </w:r>
      <w:r>
        <w:rPr>
          <w:rFonts w:ascii="宋体" w:hAnsi="宋体" w:eastAsia="宋体" w:cs="宋体"/>
          <w:sz w:val="21"/>
          <w:szCs w:val="21"/>
        </w:rPr>
        <w:t>责任，不因监理人对承包人提交文件的审查或</w:t>
      </w:r>
      <w:r>
        <w:rPr>
          <w:rFonts w:ascii="宋体" w:hAnsi="宋体" w:eastAsia="宋体" w:cs="宋体"/>
          <w:spacing w:val="-2"/>
          <w:sz w:val="21"/>
          <w:szCs w:val="21"/>
        </w:rPr>
        <w:t>批准，对工程、材料和设备的检查和检验，以及为实施监理作出的指示等职务行为而</w:t>
      </w:r>
      <w:r>
        <w:rPr>
          <w:rFonts w:ascii="宋体" w:hAnsi="宋体" w:eastAsia="宋体" w:cs="宋体"/>
          <w:spacing w:val="-3"/>
          <w:sz w:val="21"/>
          <w:szCs w:val="21"/>
        </w:rPr>
        <w:t>减轻或</w:t>
      </w:r>
      <w:r>
        <w:rPr>
          <w:rFonts w:ascii="宋体" w:hAnsi="宋体" w:eastAsia="宋体" w:cs="宋体"/>
          <w:spacing w:val="-9"/>
          <w:sz w:val="21"/>
          <w:szCs w:val="21"/>
        </w:rPr>
        <w:t>解除。</w:t>
      </w:r>
    </w:p>
    <w:p w14:paraId="6848CE00">
      <w:pPr>
        <w:spacing w:before="1" w:line="232" w:lineRule="auto"/>
        <w:ind w:left="25"/>
        <w:outlineLvl w:val="2"/>
        <w:rPr>
          <w:rFonts w:ascii="黑体" w:hAnsi="黑体" w:eastAsia="黑体" w:cs="黑体"/>
          <w:sz w:val="24"/>
          <w:szCs w:val="24"/>
        </w:rPr>
      </w:pPr>
      <w:bookmarkStart w:id="67" w:name="bookmark62"/>
      <w:bookmarkEnd w:id="67"/>
      <w:r>
        <w:rPr>
          <w:rFonts w:ascii="Times New Roman" w:hAnsi="Times New Roman" w:eastAsia="Times New Roman" w:cs="Times New Roman"/>
          <w:spacing w:val="-1"/>
          <w:sz w:val="24"/>
          <w:szCs w:val="24"/>
        </w:rPr>
        <w:t xml:space="preserve">3.2  </w:t>
      </w:r>
      <w:r>
        <w:rPr>
          <w:rFonts w:ascii="黑体" w:hAnsi="黑体" w:eastAsia="黑体" w:cs="黑体"/>
          <w:spacing w:val="-1"/>
          <w:sz w:val="24"/>
          <w:szCs w:val="24"/>
        </w:rPr>
        <w:t>总监理工程师</w:t>
      </w:r>
    </w:p>
    <w:p w14:paraId="27154E06">
      <w:pPr>
        <w:spacing w:before="126" w:line="345" w:lineRule="auto"/>
        <w:ind w:left="24" w:firstLine="423"/>
        <w:jc w:val="both"/>
        <w:rPr>
          <w:rFonts w:ascii="宋体" w:hAnsi="宋体" w:eastAsia="宋体" w:cs="宋体"/>
          <w:sz w:val="21"/>
          <w:szCs w:val="21"/>
        </w:rPr>
      </w:pPr>
      <w:r>
        <w:rPr>
          <w:rFonts w:ascii="宋体" w:hAnsi="宋体" w:eastAsia="宋体" w:cs="宋体"/>
          <w:sz w:val="21"/>
          <w:szCs w:val="21"/>
        </w:rPr>
        <w:t>发包人应在发出开工通知前将总监理工程师的任命通知承</w:t>
      </w:r>
      <w:r>
        <w:rPr>
          <w:rFonts w:ascii="宋体" w:hAnsi="宋体" w:eastAsia="宋体" w:cs="宋体"/>
          <w:spacing w:val="-1"/>
          <w:sz w:val="21"/>
          <w:szCs w:val="21"/>
        </w:rPr>
        <w:t>包人。总监理工程师更换时，</w:t>
      </w:r>
      <w:r>
        <w:rPr>
          <w:rFonts w:ascii="宋体" w:hAnsi="宋体" w:eastAsia="宋体" w:cs="宋体"/>
          <w:spacing w:val="-5"/>
          <w:sz w:val="21"/>
          <w:szCs w:val="21"/>
        </w:rPr>
        <w:t>应在调离</w:t>
      </w:r>
      <w:r>
        <w:rPr>
          <w:rFonts w:ascii="宋体" w:hAnsi="宋体" w:eastAsia="宋体" w:cs="宋体"/>
          <w:spacing w:val="-21"/>
          <w:sz w:val="21"/>
          <w:szCs w:val="21"/>
        </w:rPr>
        <w:t xml:space="preserve"> </w:t>
      </w:r>
      <w:r>
        <w:rPr>
          <w:rFonts w:ascii="Times New Roman" w:hAnsi="Times New Roman" w:eastAsia="Times New Roman" w:cs="Times New Roman"/>
          <w:spacing w:val="-5"/>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5"/>
          <w:sz w:val="21"/>
          <w:szCs w:val="21"/>
        </w:rPr>
        <w:t>天前通知承包人。总监理工程</w:t>
      </w:r>
      <w:r>
        <w:rPr>
          <w:rFonts w:ascii="宋体" w:hAnsi="宋体" w:eastAsia="宋体" w:cs="宋体"/>
          <w:spacing w:val="-6"/>
          <w:sz w:val="21"/>
          <w:szCs w:val="21"/>
        </w:rPr>
        <w:t>师短期离开施工场地的，</w:t>
      </w:r>
      <w:r>
        <w:rPr>
          <w:rFonts w:ascii="宋体" w:hAnsi="宋体" w:eastAsia="宋体" w:cs="宋体"/>
          <w:spacing w:val="-44"/>
          <w:sz w:val="21"/>
          <w:szCs w:val="21"/>
        </w:rPr>
        <w:t xml:space="preserve"> </w:t>
      </w:r>
      <w:r>
        <w:rPr>
          <w:rFonts w:ascii="宋体" w:hAnsi="宋体" w:eastAsia="宋体" w:cs="宋体"/>
          <w:spacing w:val="-6"/>
          <w:sz w:val="21"/>
          <w:szCs w:val="21"/>
        </w:rPr>
        <w:t>应委派代表代行其职责，</w:t>
      </w:r>
      <w:r>
        <w:rPr>
          <w:rFonts w:ascii="宋体" w:hAnsi="宋体" w:eastAsia="宋体" w:cs="宋体"/>
          <w:spacing w:val="-5"/>
          <w:sz w:val="21"/>
          <w:szCs w:val="21"/>
        </w:rPr>
        <w:t>并通知承包人。</w:t>
      </w:r>
    </w:p>
    <w:p w14:paraId="4BD001B7">
      <w:pPr>
        <w:spacing w:before="2" w:line="231" w:lineRule="auto"/>
        <w:ind w:left="25"/>
        <w:outlineLvl w:val="2"/>
        <w:rPr>
          <w:rFonts w:ascii="黑体" w:hAnsi="黑体" w:eastAsia="黑体" w:cs="黑体"/>
          <w:sz w:val="24"/>
          <w:szCs w:val="24"/>
        </w:rPr>
      </w:pPr>
      <w:bookmarkStart w:id="68" w:name="bookmark63"/>
      <w:bookmarkEnd w:id="68"/>
      <w:r>
        <w:rPr>
          <w:rFonts w:ascii="Times New Roman" w:hAnsi="Times New Roman" w:eastAsia="Times New Roman" w:cs="Times New Roman"/>
          <w:spacing w:val="-1"/>
          <w:sz w:val="24"/>
          <w:szCs w:val="24"/>
        </w:rPr>
        <w:t xml:space="preserve">3.3  </w:t>
      </w:r>
      <w:r>
        <w:rPr>
          <w:rFonts w:ascii="黑体" w:hAnsi="黑体" w:eastAsia="黑体" w:cs="黑体"/>
          <w:spacing w:val="-1"/>
          <w:sz w:val="24"/>
          <w:szCs w:val="24"/>
        </w:rPr>
        <w:t>监理人员</w:t>
      </w:r>
    </w:p>
    <w:p w14:paraId="386C02C4">
      <w:pPr>
        <w:spacing w:before="128" w:line="350" w:lineRule="auto"/>
        <w:ind w:left="25" w:right="71"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3.3.1  </w:t>
      </w:r>
      <w:r>
        <w:rPr>
          <w:rFonts w:ascii="宋体" w:hAnsi="宋体" w:eastAsia="宋体" w:cs="宋体"/>
          <w:spacing w:val="1"/>
          <w:sz w:val="21"/>
          <w:szCs w:val="21"/>
        </w:rPr>
        <w:t>总监理工程师可以授权其他监理人</w:t>
      </w:r>
      <w:r>
        <w:rPr>
          <w:rFonts w:ascii="宋体" w:hAnsi="宋体" w:eastAsia="宋体" w:cs="宋体"/>
          <w:sz w:val="21"/>
          <w:szCs w:val="21"/>
        </w:rPr>
        <w:t>员负责执行其指派的一项或多项监理工作。总</w:t>
      </w:r>
      <w:r>
        <w:rPr>
          <w:rFonts w:ascii="宋体" w:hAnsi="宋体" w:eastAsia="宋体" w:cs="宋体"/>
          <w:spacing w:val="-2"/>
          <w:sz w:val="21"/>
          <w:szCs w:val="21"/>
        </w:rPr>
        <w:t>监理工程师应将被授权监理人员的姓名及其授权范围通知承包人。被授权</w:t>
      </w:r>
      <w:r>
        <w:rPr>
          <w:rFonts w:ascii="宋体" w:hAnsi="宋体" w:eastAsia="宋体" w:cs="宋体"/>
          <w:spacing w:val="-3"/>
          <w:sz w:val="21"/>
          <w:szCs w:val="21"/>
        </w:rPr>
        <w:t>的监理人员在授权</w:t>
      </w:r>
      <w:r>
        <w:rPr>
          <w:rFonts w:ascii="宋体" w:hAnsi="宋体" w:eastAsia="宋体" w:cs="宋体"/>
          <w:spacing w:val="-2"/>
          <w:sz w:val="21"/>
          <w:szCs w:val="21"/>
        </w:rPr>
        <w:t>范围内发出的指示视为已得到总监理工程师的同意，与总监理工程师发出的指示具有同</w:t>
      </w:r>
      <w:r>
        <w:rPr>
          <w:rFonts w:ascii="宋体" w:hAnsi="宋体" w:eastAsia="宋体" w:cs="宋体"/>
          <w:spacing w:val="-3"/>
          <w:sz w:val="21"/>
          <w:szCs w:val="21"/>
        </w:rPr>
        <w:t>等效</w:t>
      </w:r>
      <w:r>
        <w:rPr>
          <w:rFonts w:ascii="宋体" w:hAnsi="宋体" w:eastAsia="宋体" w:cs="宋体"/>
          <w:spacing w:val="-1"/>
          <w:sz w:val="21"/>
          <w:szCs w:val="21"/>
        </w:rPr>
        <w:t>力。总监理工程师撤销某项授权时，应将撤销授权的决定及时通知承包人。</w:t>
      </w:r>
    </w:p>
    <w:p w14:paraId="2067AB33">
      <w:pPr>
        <w:spacing w:line="352" w:lineRule="auto"/>
        <w:ind w:left="24" w:right="11"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3.3.2  </w:t>
      </w:r>
      <w:r>
        <w:rPr>
          <w:rFonts w:ascii="宋体" w:hAnsi="宋体" w:eastAsia="宋体" w:cs="宋体"/>
          <w:spacing w:val="1"/>
          <w:sz w:val="21"/>
          <w:szCs w:val="21"/>
        </w:rPr>
        <w:t>监理人员对承包人的任何工作、工</w:t>
      </w:r>
      <w:r>
        <w:rPr>
          <w:rFonts w:ascii="宋体" w:hAnsi="宋体" w:eastAsia="宋体" w:cs="宋体"/>
          <w:sz w:val="21"/>
          <w:szCs w:val="21"/>
        </w:rPr>
        <w:t>程或其采用的材料和工程设备未在约定的或合理的期限内提出否定意见的，视为已获批准</w:t>
      </w:r>
      <w:r>
        <w:rPr>
          <w:rFonts w:ascii="宋体" w:hAnsi="宋体" w:eastAsia="宋体" w:cs="宋体"/>
          <w:spacing w:val="-1"/>
          <w:sz w:val="21"/>
          <w:szCs w:val="21"/>
        </w:rPr>
        <w:t>，但不影响监理人在以后拒绝该项工作、工程、</w:t>
      </w:r>
      <w:r>
        <w:rPr>
          <w:rFonts w:ascii="宋体" w:hAnsi="宋体" w:eastAsia="宋体" w:cs="宋体"/>
          <w:spacing w:val="-3"/>
          <w:sz w:val="21"/>
          <w:szCs w:val="21"/>
        </w:rPr>
        <w:t>材料或工程设备的权利。</w:t>
      </w:r>
    </w:p>
    <w:p w14:paraId="537E4AC4">
      <w:pPr>
        <w:spacing w:before="1" w:line="356" w:lineRule="auto"/>
        <w:ind w:left="25" w:right="72"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3.3.3  </w:t>
      </w:r>
      <w:r>
        <w:rPr>
          <w:rFonts w:ascii="宋体" w:hAnsi="宋体" w:eastAsia="宋体" w:cs="宋体"/>
          <w:spacing w:val="1"/>
          <w:sz w:val="21"/>
          <w:szCs w:val="21"/>
        </w:rPr>
        <w:t>承包人对总监理工程师授权的监理</w:t>
      </w:r>
      <w:r>
        <w:rPr>
          <w:rFonts w:ascii="宋体" w:hAnsi="宋体" w:eastAsia="宋体" w:cs="宋体"/>
          <w:sz w:val="21"/>
          <w:szCs w:val="21"/>
        </w:rPr>
        <w:t>人员发出的指示有疑问的，可向总监理工程师</w:t>
      </w:r>
      <w:r>
        <w:rPr>
          <w:rFonts w:ascii="宋体" w:hAnsi="宋体" w:eastAsia="宋体" w:cs="宋体"/>
          <w:spacing w:val="-1"/>
          <w:sz w:val="21"/>
          <w:szCs w:val="21"/>
        </w:rPr>
        <w:t>提出书面异议，总监理工程师应在</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小时内对该指示予以确认、更改或</w:t>
      </w:r>
      <w:r>
        <w:rPr>
          <w:rFonts w:ascii="宋体" w:hAnsi="宋体" w:eastAsia="宋体" w:cs="宋体"/>
          <w:spacing w:val="-2"/>
          <w:sz w:val="21"/>
          <w:szCs w:val="21"/>
        </w:rPr>
        <w:t>撤销。</w:t>
      </w:r>
    </w:p>
    <w:p w14:paraId="7628EF48">
      <w:pPr>
        <w:spacing w:line="335" w:lineRule="auto"/>
        <w:ind w:left="27" w:right="63" w:firstLine="417"/>
        <w:rPr>
          <w:rFonts w:ascii="宋体" w:hAnsi="宋体" w:eastAsia="宋体" w:cs="宋体"/>
          <w:sz w:val="21"/>
          <w:szCs w:val="21"/>
        </w:rPr>
      </w:pPr>
      <w:r>
        <w:rPr>
          <w:rFonts w:ascii="Times New Roman" w:hAnsi="Times New Roman" w:eastAsia="Times New Roman" w:cs="Times New Roman"/>
          <w:sz w:val="21"/>
          <w:szCs w:val="21"/>
        </w:rPr>
        <w:t xml:space="preserve">3.3.4  </w:t>
      </w:r>
      <w:r>
        <w:rPr>
          <w:rFonts w:ascii="宋体" w:hAnsi="宋体" w:eastAsia="宋体" w:cs="宋体"/>
          <w:sz w:val="21"/>
          <w:szCs w:val="21"/>
        </w:rPr>
        <w:t>除专用合同条款另有约定外，总监理工程</w:t>
      </w:r>
      <w:r>
        <w:rPr>
          <w:rFonts w:ascii="宋体" w:hAnsi="宋体" w:eastAsia="宋体" w:cs="宋体"/>
          <w:spacing w:val="-1"/>
          <w:sz w:val="21"/>
          <w:szCs w:val="21"/>
        </w:rPr>
        <w:t xml:space="preserve">师不应将第 </w:t>
      </w:r>
      <w:r>
        <w:rPr>
          <w:rFonts w:ascii="Times New Roman" w:hAnsi="Times New Roman" w:eastAsia="Times New Roman" w:cs="Times New Roman"/>
          <w:spacing w:val="-1"/>
          <w:sz w:val="21"/>
          <w:szCs w:val="21"/>
        </w:rPr>
        <w:t xml:space="preserve">3.5  </w:t>
      </w:r>
      <w:r>
        <w:rPr>
          <w:rFonts w:ascii="宋体" w:hAnsi="宋体" w:eastAsia="宋体" w:cs="宋体"/>
          <w:spacing w:val="-1"/>
          <w:sz w:val="21"/>
          <w:szCs w:val="21"/>
        </w:rPr>
        <w:t>款约定应由总监理工程</w:t>
      </w:r>
      <w:r>
        <w:rPr>
          <w:rFonts w:ascii="宋体" w:hAnsi="宋体" w:eastAsia="宋体" w:cs="宋体"/>
          <w:spacing w:val="-2"/>
          <w:sz w:val="21"/>
          <w:szCs w:val="21"/>
        </w:rPr>
        <w:t>师作出确定的权力授权或委托给其他监理人员。</w:t>
      </w:r>
    </w:p>
    <w:p w14:paraId="1F9AF1C8">
      <w:pPr>
        <w:spacing w:before="7" w:line="233" w:lineRule="auto"/>
        <w:ind w:left="25"/>
        <w:outlineLvl w:val="2"/>
        <w:rPr>
          <w:rFonts w:ascii="黑体" w:hAnsi="黑体" w:eastAsia="黑体" w:cs="黑体"/>
          <w:sz w:val="24"/>
          <w:szCs w:val="24"/>
        </w:rPr>
      </w:pPr>
      <w:bookmarkStart w:id="69" w:name="bookmark64"/>
      <w:bookmarkEnd w:id="69"/>
      <w:r>
        <w:rPr>
          <w:rFonts w:ascii="Times New Roman" w:hAnsi="Times New Roman" w:eastAsia="Times New Roman" w:cs="Times New Roman"/>
          <w:spacing w:val="-1"/>
          <w:sz w:val="24"/>
          <w:szCs w:val="24"/>
        </w:rPr>
        <w:t xml:space="preserve">3.4  </w:t>
      </w:r>
      <w:r>
        <w:rPr>
          <w:rFonts w:ascii="黑体" w:hAnsi="黑体" w:eastAsia="黑体" w:cs="黑体"/>
          <w:spacing w:val="-1"/>
          <w:sz w:val="24"/>
          <w:szCs w:val="24"/>
        </w:rPr>
        <w:t>监理人的指示</w:t>
      </w:r>
    </w:p>
    <w:p w14:paraId="61E0723B">
      <w:pPr>
        <w:spacing w:before="129" w:line="344" w:lineRule="auto"/>
        <w:ind w:left="25" w:right="59" w:firstLine="420"/>
        <w:rPr>
          <w:rFonts w:ascii="宋体" w:hAnsi="宋体" w:eastAsia="宋体" w:cs="宋体"/>
          <w:sz w:val="21"/>
          <w:szCs w:val="21"/>
        </w:rPr>
      </w:pPr>
      <w:r>
        <w:rPr>
          <w:rFonts w:ascii="Times New Roman" w:hAnsi="Times New Roman" w:eastAsia="Times New Roman" w:cs="Times New Roman"/>
          <w:sz w:val="21"/>
          <w:szCs w:val="21"/>
        </w:rPr>
        <w:t xml:space="preserve">3.4.1  </w:t>
      </w:r>
      <w:r>
        <w:rPr>
          <w:rFonts w:ascii="宋体" w:hAnsi="宋体" w:eastAsia="宋体" w:cs="宋体"/>
          <w:sz w:val="21"/>
          <w:szCs w:val="21"/>
        </w:rPr>
        <w:t xml:space="preserve">监理人应按第 </w:t>
      </w:r>
      <w:r>
        <w:rPr>
          <w:rFonts w:ascii="Times New Roman" w:hAnsi="Times New Roman" w:eastAsia="Times New Roman" w:cs="Times New Roman"/>
          <w:sz w:val="21"/>
          <w:szCs w:val="21"/>
        </w:rPr>
        <w:t>3.1</w:t>
      </w:r>
      <w:r>
        <w:rPr>
          <w:rFonts w:ascii="Times New Roman" w:hAnsi="Times New Roman" w:eastAsia="Times New Roman" w:cs="Times New Roman"/>
          <w:spacing w:val="46"/>
          <w:w w:val="101"/>
          <w:sz w:val="21"/>
          <w:szCs w:val="21"/>
        </w:rPr>
        <w:t xml:space="preserve"> </w:t>
      </w:r>
      <w:r>
        <w:rPr>
          <w:rFonts w:ascii="宋体" w:hAnsi="宋体" w:eastAsia="宋体" w:cs="宋体"/>
          <w:sz w:val="21"/>
          <w:szCs w:val="21"/>
        </w:rPr>
        <w:t>款的约定向承包人发出指示，监理人</w:t>
      </w:r>
      <w:r>
        <w:rPr>
          <w:rFonts w:ascii="宋体" w:hAnsi="宋体" w:eastAsia="宋体" w:cs="宋体"/>
          <w:spacing w:val="-1"/>
          <w:sz w:val="21"/>
          <w:szCs w:val="21"/>
        </w:rPr>
        <w:t>的指示应盖有监理人授权</w:t>
      </w:r>
      <w:r>
        <w:rPr>
          <w:rFonts w:ascii="宋体" w:hAnsi="宋体" w:eastAsia="宋体" w:cs="宋体"/>
          <w:sz w:val="21"/>
          <w:szCs w:val="21"/>
        </w:rPr>
        <w:t>的施工场地机构章，并由总监理工程师或总监理工程师按第</w:t>
      </w:r>
      <w:r>
        <w:rPr>
          <w:rFonts w:ascii="宋体" w:hAnsi="宋体" w:eastAsia="宋体" w:cs="宋体"/>
          <w:spacing w:val="-40"/>
          <w:sz w:val="21"/>
          <w:szCs w:val="21"/>
        </w:rPr>
        <w:t xml:space="preserve"> </w:t>
      </w:r>
      <w:r>
        <w:rPr>
          <w:rFonts w:ascii="Times New Roman" w:hAnsi="Times New Roman" w:eastAsia="Times New Roman" w:cs="Times New Roman"/>
          <w:sz w:val="21"/>
          <w:szCs w:val="21"/>
        </w:rPr>
        <w:t>3.3.1</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项约定授权的监理人员签</w:t>
      </w:r>
      <w:r>
        <w:rPr>
          <w:rFonts w:ascii="宋体" w:hAnsi="宋体" w:eastAsia="宋体" w:cs="宋体"/>
          <w:spacing w:val="-10"/>
          <w:sz w:val="21"/>
          <w:szCs w:val="21"/>
        </w:rPr>
        <w:t>字。</w:t>
      </w:r>
    </w:p>
    <w:p w14:paraId="20E3F42B">
      <w:pPr>
        <w:spacing w:before="27" w:line="233" w:lineRule="auto"/>
        <w:ind w:left="445"/>
        <w:rPr>
          <w:rFonts w:ascii="宋体" w:hAnsi="宋体" w:eastAsia="宋体" w:cs="宋体"/>
          <w:sz w:val="21"/>
          <w:szCs w:val="21"/>
        </w:rPr>
      </w:pPr>
      <w:r>
        <w:rPr>
          <w:rFonts w:ascii="Times New Roman" w:hAnsi="Times New Roman" w:eastAsia="Times New Roman" w:cs="Times New Roman"/>
          <w:spacing w:val="-3"/>
          <w:sz w:val="21"/>
          <w:szCs w:val="21"/>
        </w:rPr>
        <w:t xml:space="preserve">3.4.2  </w:t>
      </w:r>
      <w:r>
        <w:rPr>
          <w:rFonts w:ascii="宋体" w:hAnsi="宋体" w:eastAsia="宋体" w:cs="宋体"/>
          <w:spacing w:val="-3"/>
          <w:sz w:val="21"/>
          <w:szCs w:val="21"/>
        </w:rPr>
        <w:t>承包人收到监理人按第</w:t>
      </w:r>
      <w:r>
        <w:rPr>
          <w:rFonts w:ascii="宋体" w:hAnsi="宋体" w:eastAsia="宋体" w:cs="宋体"/>
          <w:spacing w:val="-37"/>
          <w:sz w:val="21"/>
          <w:szCs w:val="21"/>
        </w:rPr>
        <w:t xml:space="preserve"> </w:t>
      </w:r>
      <w:r>
        <w:rPr>
          <w:rFonts w:ascii="Times New Roman" w:hAnsi="Times New Roman" w:eastAsia="Times New Roman" w:cs="Times New Roman"/>
          <w:spacing w:val="-3"/>
          <w:sz w:val="21"/>
          <w:szCs w:val="21"/>
        </w:rPr>
        <w:t>3.4.</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19"/>
          <w:w w:val="101"/>
          <w:sz w:val="21"/>
          <w:szCs w:val="21"/>
        </w:rPr>
        <w:t xml:space="preserve"> </w:t>
      </w:r>
      <w:r>
        <w:rPr>
          <w:rFonts w:ascii="宋体" w:hAnsi="宋体" w:eastAsia="宋体" w:cs="宋体"/>
          <w:spacing w:val="-4"/>
          <w:sz w:val="21"/>
          <w:szCs w:val="21"/>
        </w:rPr>
        <w:t>项作出的指示后应遵照执行。指示构成变更的，</w:t>
      </w:r>
      <w:r>
        <w:rPr>
          <w:rFonts w:ascii="宋体" w:hAnsi="宋体" w:eastAsia="宋体" w:cs="宋体"/>
          <w:spacing w:val="-48"/>
          <w:sz w:val="21"/>
          <w:szCs w:val="21"/>
        </w:rPr>
        <w:t xml:space="preserve"> </w:t>
      </w:r>
      <w:r>
        <w:rPr>
          <w:rFonts w:ascii="宋体" w:hAnsi="宋体" w:eastAsia="宋体" w:cs="宋体"/>
          <w:spacing w:val="-4"/>
          <w:sz w:val="21"/>
          <w:szCs w:val="21"/>
        </w:rPr>
        <w:t>应按</w:t>
      </w:r>
    </w:p>
    <w:p w14:paraId="1FDD806D">
      <w:pPr>
        <w:spacing w:line="233" w:lineRule="auto"/>
        <w:rPr>
          <w:rFonts w:ascii="宋体" w:hAnsi="宋体" w:eastAsia="宋体" w:cs="宋体"/>
          <w:sz w:val="21"/>
          <w:szCs w:val="21"/>
        </w:rPr>
        <w:sectPr>
          <w:footerReference r:id="rId80" w:type="default"/>
          <w:pgSz w:w="11910" w:h="16845"/>
          <w:pgMar w:top="400" w:right="1706" w:bottom="1110" w:left="1786" w:header="0" w:footer="883" w:gutter="0"/>
          <w:cols w:space="720" w:num="1"/>
        </w:sectPr>
      </w:pPr>
    </w:p>
    <w:p w14:paraId="7C835A94">
      <w:pPr>
        <w:pStyle w:val="2"/>
        <w:spacing w:line="275" w:lineRule="auto"/>
      </w:pPr>
    </w:p>
    <w:p w14:paraId="13D0DD0B">
      <w:pPr>
        <w:pStyle w:val="2"/>
        <w:spacing w:line="275" w:lineRule="auto"/>
      </w:pPr>
    </w:p>
    <w:p w14:paraId="25079B16">
      <w:pPr>
        <w:pStyle w:val="2"/>
        <w:spacing w:line="275" w:lineRule="auto"/>
      </w:pPr>
    </w:p>
    <w:p w14:paraId="288A90BC">
      <w:pPr>
        <w:pStyle w:val="2"/>
        <w:spacing w:line="276" w:lineRule="auto"/>
      </w:pPr>
    </w:p>
    <w:p w14:paraId="797AC538">
      <w:pPr>
        <w:spacing w:before="68" w:line="233" w:lineRule="auto"/>
        <w:ind w:left="24"/>
        <w:rPr>
          <w:rFonts w:ascii="宋体" w:hAnsi="宋体" w:eastAsia="宋体" w:cs="宋体"/>
          <w:sz w:val="21"/>
          <w:szCs w:val="21"/>
        </w:rPr>
      </w:pPr>
      <w:r>
        <w:rPr>
          <w:rFonts w:ascii="宋体" w:hAnsi="宋体" w:eastAsia="宋体" w:cs="宋体"/>
          <w:spacing w:val="-9"/>
          <w:sz w:val="21"/>
          <w:szCs w:val="21"/>
        </w:rPr>
        <w:t>第</w:t>
      </w:r>
      <w:r>
        <w:rPr>
          <w:rFonts w:ascii="宋体" w:hAnsi="宋体" w:eastAsia="宋体" w:cs="宋体"/>
          <w:spacing w:val="-21"/>
          <w:sz w:val="21"/>
          <w:szCs w:val="21"/>
        </w:rPr>
        <w:t xml:space="preserve"> </w:t>
      </w:r>
      <w:r>
        <w:rPr>
          <w:rFonts w:ascii="Times New Roman" w:hAnsi="Times New Roman" w:eastAsia="Times New Roman" w:cs="Times New Roman"/>
          <w:spacing w:val="-9"/>
          <w:sz w:val="21"/>
          <w:szCs w:val="21"/>
        </w:rPr>
        <w:t>15</w:t>
      </w:r>
      <w:r>
        <w:rPr>
          <w:rFonts w:ascii="Times New Roman" w:hAnsi="Times New Roman" w:eastAsia="Times New Roman" w:cs="Times New Roman"/>
          <w:spacing w:val="18"/>
          <w:w w:val="101"/>
          <w:sz w:val="21"/>
          <w:szCs w:val="21"/>
        </w:rPr>
        <w:t xml:space="preserve"> </w:t>
      </w:r>
      <w:r>
        <w:rPr>
          <w:rFonts w:ascii="宋体" w:hAnsi="宋体" w:eastAsia="宋体" w:cs="宋体"/>
          <w:spacing w:val="-9"/>
          <w:sz w:val="21"/>
          <w:szCs w:val="21"/>
        </w:rPr>
        <w:t>条处理。</w:t>
      </w:r>
    </w:p>
    <w:p w14:paraId="5239BA3F">
      <w:pPr>
        <w:spacing w:before="139" w:line="348" w:lineRule="auto"/>
        <w:ind w:left="24" w:right="46"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3.4.3  </w:t>
      </w:r>
      <w:r>
        <w:rPr>
          <w:rFonts w:ascii="宋体" w:hAnsi="宋体" w:eastAsia="宋体" w:cs="宋体"/>
          <w:spacing w:val="1"/>
          <w:sz w:val="21"/>
          <w:szCs w:val="21"/>
        </w:rPr>
        <w:t>在紧急情况下，总监理工程师</w:t>
      </w:r>
      <w:r>
        <w:rPr>
          <w:rFonts w:ascii="宋体" w:hAnsi="宋体" w:eastAsia="宋体" w:cs="宋体"/>
          <w:sz w:val="21"/>
          <w:szCs w:val="21"/>
        </w:rPr>
        <w:t>或被授权的监理人员可以当场签发临时书面指示，承包人应遵照执行。承包人应在收到上述临时书面指示后</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小时内</w:t>
      </w:r>
      <w:r>
        <w:rPr>
          <w:rFonts w:ascii="宋体" w:hAnsi="宋体" w:eastAsia="宋体" w:cs="宋体"/>
          <w:spacing w:val="-1"/>
          <w:sz w:val="21"/>
          <w:szCs w:val="21"/>
        </w:rPr>
        <w:t>，向监理人发出书面确</w:t>
      </w:r>
      <w:r>
        <w:rPr>
          <w:rFonts w:ascii="宋体" w:hAnsi="宋体" w:eastAsia="宋体" w:cs="宋体"/>
          <w:sz w:val="21"/>
          <w:szCs w:val="21"/>
        </w:rPr>
        <w:t>认函。监理人在收到书面确认函后</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1"/>
          <w:w w:val="101"/>
          <w:sz w:val="21"/>
          <w:szCs w:val="21"/>
        </w:rPr>
        <w:t xml:space="preserve"> </w:t>
      </w:r>
      <w:r>
        <w:rPr>
          <w:rFonts w:ascii="宋体" w:hAnsi="宋体" w:eastAsia="宋体" w:cs="宋体"/>
          <w:sz w:val="21"/>
          <w:szCs w:val="21"/>
        </w:rPr>
        <w:t>小时内未予答复的，该书面确</w:t>
      </w:r>
      <w:r>
        <w:rPr>
          <w:rFonts w:ascii="宋体" w:hAnsi="宋体" w:eastAsia="宋体" w:cs="宋体"/>
          <w:spacing w:val="-1"/>
          <w:sz w:val="21"/>
          <w:szCs w:val="21"/>
        </w:rPr>
        <w:t>认函应被视为监理人的</w:t>
      </w:r>
      <w:r>
        <w:rPr>
          <w:rFonts w:ascii="宋体" w:hAnsi="宋体" w:eastAsia="宋体" w:cs="宋体"/>
          <w:spacing w:val="-6"/>
          <w:sz w:val="21"/>
          <w:szCs w:val="21"/>
        </w:rPr>
        <w:t>正式指示。</w:t>
      </w:r>
    </w:p>
    <w:p w14:paraId="1E1D922E">
      <w:pPr>
        <w:spacing w:before="9" w:line="348" w:lineRule="auto"/>
        <w:ind w:left="26" w:right="34" w:firstLine="418"/>
        <w:rPr>
          <w:rFonts w:ascii="宋体" w:hAnsi="宋体" w:eastAsia="宋体" w:cs="宋体"/>
          <w:sz w:val="21"/>
          <w:szCs w:val="21"/>
        </w:rPr>
      </w:pPr>
      <w:r>
        <w:rPr>
          <w:rFonts w:ascii="Times New Roman" w:hAnsi="Times New Roman" w:eastAsia="Times New Roman" w:cs="Times New Roman"/>
          <w:spacing w:val="-2"/>
          <w:sz w:val="21"/>
          <w:szCs w:val="21"/>
        </w:rPr>
        <w:t xml:space="preserve">3.4.4  </w:t>
      </w:r>
      <w:r>
        <w:rPr>
          <w:rFonts w:ascii="宋体" w:hAnsi="宋体" w:eastAsia="宋体" w:cs="宋体"/>
          <w:spacing w:val="-2"/>
          <w:sz w:val="21"/>
          <w:szCs w:val="21"/>
        </w:rPr>
        <w:t>除合同另有约定外，承包人只从总监理工程师或按第</w:t>
      </w:r>
      <w:r>
        <w:rPr>
          <w:rFonts w:ascii="宋体" w:hAnsi="宋体" w:eastAsia="宋体" w:cs="宋体"/>
          <w:spacing w:val="-41"/>
          <w:sz w:val="21"/>
          <w:szCs w:val="21"/>
        </w:rPr>
        <w:t xml:space="preserve"> </w:t>
      </w:r>
      <w:r>
        <w:rPr>
          <w:rFonts w:ascii="Times New Roman" w:hAnsi="Times New Roman" w:eastAsia="Times New Roman" w:cs="Times New Roman"/>
          <w:spacing w:val="-3"/>
          <w:sz w:val="21"/>
          <w:szCs w:val="21"/>
        </w:rPr>
        <w:t>3.3.1</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项被授权的监理人员处</w:t>
      </w:r>
      <w:r>
        <w:rPr>
          <w:rFonts w:ascii="宋体" w:hAnsi="宋体" w:eastAsia="宋体" w:cs="宋体"/>
          <w:spacing w:val="-7"/>
          <w:sz w:val="21"/>
          <w:szCs w:val="21"/>
        </w:rPr>
        <w:t>取得指示。</w:t>
      </w:r>
    </w:p>
    <w:p w14:paraId="6D10741D">
      <w:pPr>
        <w:spacing w:before="16" w:line="336" w:lineRule="auto"/>
        <w:ind w:left="24" w:right="44" w:firstLine="420"/>
        <w:rPr>
          <w:rFonts w:ascii="宋体" w:hAnsi="宋体" w:eastAsia="宋体" w:cs="宋体"/>
          <w:sz w:val="21"/>
          <w:szCs w:val="21"/>
        </w:rPr>
      </w:pPr>
      <w:r>
        <w:rPr>
          <w:rFonts w:ascii="Times New Roman" w:hAnsi="Times New Roman" w:eastAsia="Times New Roman" w:cs="Times New Roman"/>
          <w:sz w:val="21"/>
          <w:szCs w:val="21"/>
        </w:rPr>
        <w:t>3.4.5</w:t>
      </w:r>
      <w:r>
        <w:rPr>
          <w:rFonts w:ascii="Times New Roman" w:hAnsi="Times New Roman" w:eastAsia="Times New Roman" w:cs="Times New Roman"/>
          <w:spacing w:val="17"/>
          <w:sz w:val="21"/>
          <w:szCs w:val="21"/>
        </w:rPr>
        <w:t xml:space="preserve">  </w:t>
      </w:r>
      <w:r>
        <w:rPr>
          <w:rFonts w:ascii="宋体" w:hAnsi="宋体" w:eastAsia="宋体" w:cs="宋体"/>
          <w:sz w:val="21"/>
          <w:szCs w:val="21"/>
        </w:rPr>
        <w:t>由于监理人未能按合同约定发出指示、指示延误或指</w:t>
      </w:r>
      <w:r>
        <w:rPr>
          <w:rFonts w:ascii="宋体" w:hAnsi="宋体" w:eastAsia="宋体" w:cs="宋体"/>
          <w:spacing w:val="-1"/>
          <w:sz w:val="21"/>
          <w:szCs w:val="21"/>
        </w:rPr>
        <w:t>示错误而导致承包人费用增</w:t>
      </w:r>
      <w:r>
        <w:rPr>
          <w:rFonts w:ascii="宋体" w:hAnsi="宋体" w:eastAsia="宋体" w:cs="宋体"/>
          <w:spacing w:val="-2"/>
          <w:sz w:val="21"/>
          <w:szCs w:val="21"/>
        </w:rPr>
        <w:t>加和（或）工期延误的，由发包人承担赔偿责任。</w:t>
      </w:r>
    </w:p>
    <w:p w14:paraId="7172B117">
      <w:pPr>
        <w:spacing w:before="7" w:line="233" w:lineRule="auto"/>
        <w:ind w:left="25"/>
        <w:outlineLvl w:val="2"/>
        <w:rPr>
          <w:rFonts w:ascii="黑体" w:hAnsi="黑体" w:eastAsia="黑体" w:cs="黑体"/>
          <w:sz w:val="24"/>
          <w:szCs w:val="24"/>
        </w:rPr>
      </w:pPr>
      <w:bookmarkStart w:id="70" w:name="bookmark65"/>
      <w:bookmarkEnd w:id="70"/>
      <w:r>
        <w:rPr>
          <w:rFonts w:ascii="Times New Roman" w:hAnsi="Times New Roman" w:eastAsia="Times New Roman" w:cs="Times New Roman"/>
          <w:spacing w:val="-3"/>
          <w:sz w:val="24"/>
          <w:szCs w:val="24"/>
        </w:rPr>
        <w:t>3.5</w:t>
      </w:r>
      <w:r>
        <w:rPr>
          <w:rFonts w:ascii="Times New Roman" w:hAnsi="Times New Roman" w:eastAsia="Times New Roman" w:cs="Times New Roman"/>
          <w:spacing w:val="9"/>
          <w:sz w:val="24"/>
          <w:szCs w:val="24"/>
        </w:rPr>
        <w:t xml:space="preserve">  </w:t>
      </w:r>
      <w:r>
        <w:rPr>
          <w:rFonts w:ascii="黑体" w:hAnsi="黑体" w:eastAsia="黑体" w:cs="黑体"/>
          <w:spacing w:val="-3"/>
          <w:sz w:val="24"/>
          <w:szCs w:val="24"/>
        </w:rPr>
        <w:t>商定或确定</w:t>
      </w:r>
    </w:p>
    <w:p w14:paraId="4A758DDA">
      <w:pPr>
        <w:spacing w:before="127" w:line="349" w:lineRule="auto"/>
        <w:ind w:left="24" w:right="44"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3.5.1  </w:t>
      </w:r>
      <w:r>
        <w:rPr>
          <w:rFonts w:ascii="宋体" w:hAnsi="宋体" w:eastAsia="宋体" w:cs="宋体"/>
          <w:spacing w:val="1"/>
          <w:sz w:val="21"/>
          <w:szCs w:val="21"/>
        </w:rPr>
        <w:t>合同约定总监理工程师应按照本款</w:t>
      </w:r>
      <w:r>
        <w:rPr>
          <w:rFonts w:ascii="宋体" w:hAnsi="宋体" w:eastAsia="宋体" w:cs="宋体"/>
          <w:sz w:val="21"/>
          <w:szCs w:val="21"/>
        </w:rPr>
        <w:t>对任何事项进行商定或确定时，总监理工程师</w:t>
      </w:r>
      <w:r>
        <w:rPr>
          <w:rFonts w:ascii="宋体" w:hAnsi="宋体" w:eastAsia="宋体" w:cs="宋体"/>
          <w:spacing w:val="-2"/>
          <w:sz w:val="21"/>
          <w:szCs w:val="21"/>
        </w:rPr>
        <w:t>应与合同当事人协商，尽量达成一致。不能达成一致的，总监理工程师应认真研究后审</w:t>
      </w:r>
      <w:r>
        <w:rPr>
          <w:rFonts w:ascii="宋体" w:hAnsi="宋体" w:eastAsia="宋体" w:cs="宋体"/>
          <w:spacing w:val="-3"/>
          <w:sz w:val="21"/>
          <w:szCs w:val="21"/>
        </w:rPr>
        <w:t>慎确</w:t>
      </w:r>
      <w:r>
        <w:rPr>
          <w:rFonts w:ascii="宋体" w:hAnsi="宋体" w:eastAsia="宋体" w:cs="宋体"/>
          <w:spacing w:val="-10"/>
          <w:sz w:val="21"/>
          <w:szCs w:val="21"/>
        </w:rPr>
        <w:t>定。</w:t>
      </w:r>
    </w:p>
    <w:p w14:paraId="7F2DE540">
      <w:pPr>
        <w:spacing w:before="9" w:line="348" w:lineRule="auto"/>
        <w:ind w:left="25" w:right="44"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3.5.2  </w:t>
      </w:r>
      <w:r>
        <w:rPr>
          <w:rFonts w:ascii="宋体" w:hAnsi="宋体" w:eastAsia="宋体" w:cs="宋体"/>
          <w:spacing w:val="1"/>
          <w:sz w:val="21"/>
          <w:szCs w:val="21"/>
        </w:rPr>
        <w:t>总监理工程师应将商定或确定的事</w:t>
      </w:r>
      <w:r>
        <w:rPr>
          <w:rFonts w:ascii="宋体" w:hAnsi="宋体" w:eastAsia="宋体" w:cs="宋体"/>
          <w:sz w:val="21"/>
          <w:szCs w:val="21"/>
        </w:rPr>
        <w:t>项通知合同当事人，并附详细依据。对总监理工程师的确定有异议的，构成争议，按照第</w:t>
      </w:r>
      <w:r>
        <w:rPr>
          <w:rFonts w:ascii="宋体" w:hAnsi="宋体" w:eastAsia="宋体" w:cs="宋体"/>
          <w:spacing w:val="-44"/>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条的约定处理。在争议解</w:t>
      </w:r>
      <w:r>
        <w:rPr>
          <w:rFonts w:ascii="宋体" w:hAnsi="宋体" w:eastAsia="宋体" w:cs="宋体"/>
          <w:spacing w:val="-1"/>
          <w:sz w:val="21"/>
          <w:szCs w:val="21"/>
        </w:rPr>
        <w:t>决前，双方应暂按</w:t>
      </w:r>
      <w:r>
        <w:rPr>
          <w:rFonts w:ascii="宋体" w:hAnsi="宋体" w:eastAsia="宋体" w:cs="宋体"/>
          <w:sz w:val="21"/>
          <w:szCs w:val="21"/>
        </w:rPr>
        <w:t>总监理工程师的确定执行，按照第</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18"/>
          <w:sz w:val="21"/>
          <w:szCs w:val="21"/>
        </w:rPr>
        <w:t xml:space="preserve"> </w:t>
      </w:r>
      <w:r>
        <w:rPr>
          <w:rFonts w:ascii="宋体" w:hAnsi="宋体" w:eastAsia="宋体" w:cs="宋体"/>
          <w:sz w:val="21"/>
          <w:szCs w:val="21"/>
        </w:rPr>
        <w:t>条的约定对总监理工程师的确定作</w:t>
      </w:r>
      <w:r>
        <w:rPr>
          <w:rFonts w:ascii="宋体" w:hAnsi="宋体" w:eastAsia="宋体" w:cs="宋体"/>
          <w:spacing w:val="-1"/>
          <w:sz w:val="21"/>
          <w:szCs w:val="21"/>
        </w:rPr>
        <w:t>出修改的，按修改</w:t>
      </w:r>
      <w:r>
        <w:rPr>
          <w:rFonts w:ascii="宋体" w:hAnsi="宋体" w:eastAsia="宋体" w:cs="宋体"/>
          <w:spacing w:val="-5"/>
          <w:sz w:val="21"/>
          <w:szCs w:val="21"/>
        </w:rPr>
        <w:t>后的结果执行。</w:t>
      </w:r>
    </w:p>
    <w:p w14:paraId="6D310CF1">
      <w:pPr>
        <w:spacing w:before="51" w:line="237" w:lineRule="auto"/>
        <w:ind w:left="20"/>
        <w:outlineLvl w:val="1"/>
        <w:rPr>
          <w:rFonts w:ascii="黑体" w:hAnsi="黑体" w:eastAsia="黑体" w:cs="黑体"/>
          <w:sz w:val="28"/>
          <w:szCs w:val="28"/>
        </w:rPr>
      </w:pPr>
      <w:bookmarkStart w:id="71" w:name="bookmark67"/>
      <w:bookmarkEnd w:id="71"/>
      <w:bookmarkStart w:id="72" w:name="bookmark66"/>
      <w:bookmarkEnd w:id="72"/>
      <w:r>
        <w:rPr>
          <w:rFonts w:ascii="Times New Roman" w:hAnsi="Times New Roman" w:eastAsia="Times New Roman" w:cs="Times New Roman"/>
          <w:spacing w:val="5"/>
          <w:sz w:val="28"/>
          <w:szCs w:val="28"/>
        </w:rPr>
        <w:t xml:space="preserve">4.  </w:t>
      </w:r>
      <w:r>
        <w:rPr>
          <w:rFonts w:ascii="黑体" w:hAnsi="黑体" w:eastAsia="黑体" w:cs="黑体"/>
          <w:spacing w:val="5"/>
          <w:sz w:val="28"/>
          <w:szCs w:val="28"/>
        </w:rPr>
        <w:t>承包人</w:t>
      </w:r>
    </w:p>
    <w:p w14:paraId="4C7BFA47">
      <w:pPr>
        <w:spacing w:before="84" w:line="232" w:lineRule="auto"/>
        <w:ind w:left="19"/>
        <w:outlineLvl w:val="2"/>
        <w:rPr>
          <w:rFonts w:ascii="黑体" w:hAnsi="黑体" w:eastAsia="黑体" w:cs="黑体"/>
          <w:sz w:val="24"/>
          <w:szCs w:val="24"/>
        </w:rPr>
      </w:pPr>
      <w:bookmarkStart w:id="73" w:name="bookmark631"/>
      <w:bookmarkEnd w:id="73"/>
      <w:r>
        <w:rPr>
          <w:rFonts w:ascii="Times New Roman" w:hAnsi="Times New Roman" w:eastAsia="Times New Roman" w:cs="Times New Roman"/>
          <w:sz w:val="24"/>
          <w:szCs w:val="24"/>
        </w:rPr>
        <w:t xml:space="preserve">4.1  </w:t>
      </w:r>
      <w:r>
        <w:rPr>
          <w:rFonts w:ascii="黑体" w:hAnsi="黑体" w:eastAsia="黑体" w:cs="黑体"/>
          <w:sz w:val="24"/>
          <w:szCs w:val="24"/>
        </w:rPr>
        <w:t>承包人的一般义务</w:t>
      </w:r>
    </w:p>
    <w:p w14:paraId="38A36D3B">
      <w:pPr>
        <w:spacing w:before="114" w:line="233" w:lineRule="auto"/>
        <w:ind w:left="439"/>
        <w:rPr>
          <w:rFonts w:ascii="黑体" w:hAnsi="黑体" w:eastAsia="黑体" w:cs="黑体"/>
          <w:sz w:val="21"/>
          <w:szCs w:val="21"/>
        </w:rPr>
      </w:pPr>
      <w:r>
        <w:rPr>
          <w:rFonts w:ascii="Times New Roman" w:hAnsi="Times New Roman" w:eastAsia="Times New Roman" w:cs="Times New Roman"/>
          <w:sz w:val="21"/>
          <w:szCs w:val="21"/>
        </w:rPr>
        <w:t>4.1.1</w:t>
      </w:r>
      <w:r>
        <w:rPr>
          <w:rFonts w:ascii="Times New Roman" w:hAnsi="Times New Roman" w:eastAsia="Times New Roman" w:cs="Times New Roman"/>
          <w:spacing w:val="52"/>
          <w:sz w:val="21"/>
          <w:szCs w:val="21"/>
        </w:rPr>
        <w:t xml:space="preserve"> </w:t>
      </w:r>
      <w:r>
        <w:rPr>
          <w:rFonts w:ascii="黑体" w:hAnsi="黑体" w:eastAsia="黑体" w:cs="黑体"/>
          <w:sz w:val="21"/>
          <w:szCs w:val="21"/>
        </w:rPr>
        <w:t>遵守法律</w:t>
      </w:r>
    </w:p>
    <w:p w14:paraId="255C3DE2">
      <w:pPr>
        <w:spacing w:before="141" w:line="350" w:lineRule="auto"/>
        <w:ind w:left="41" w:right="43" w:firstLine="403"/>
        <w:rPr>
          <w:rFonts w:ascii="宋体" w:hAnsi="宋体" w:eastAsia="宋体" w:cs="宋体"/>
          <w:sz w:val="21"/>
          <w:szCs w:val="21"/>
        </w:rPr>
      </w:pPr>
      <w:r>
        <w:rPr>
          <w:rFonts w:ascii="宋体" w:hAnsi="宋体" w:eastAsia="宋体" w:cs="宋体"/>
          <w:spacing w:val="-2"/>
          <w:sz w:val="21"/>
          <w:szCs w:val="21"/>
        </w:rPr>
        <w:t>承包人在履行合同过程中应遵守法律，并保证发包人免于承担因承包人违</w:t>
      </w:r>
      <w:r>
        <w:rPr>
          <w:rFonts w:ascii="宋体" w:hAnsi="宋体" w:eastAsia="宋体" w:cs="宋体"/>
          <w:spacing w:val="-3"/>
          <w:sz w:val="21"/>
          <w:szCs w:val="21"/>
        </w:rPr>
        <w:t>反法律而引起</w:t>
      </w:r>
      <w:r>
        <w:rPr>
          <w:rFonts w:ascii="宋体" w:hAnsi="宋体" w:eastAsia="宋体" w:cs="宋体"/>
          <w:spacing w:val="-8"/>
          <w:sz w:val="21"/>
          <w:szCs w:val="21"/>
        </w:rPr>
        <w:t>的任何责任。</w:t>
      </w:r>
    </w:p>
    <w:p w14:paraId="591F691E">
      <w:pPr>
        <w:spacing w:before="1" w:line="231" w:lineRule="auto"/>
        <w:ind w:left="439"/>
        <w:rPr>
          <w:rFonts w:ascii="黑体" w:hAnsi="黑体" w:eastAsia="黑体" w:cs="黑体"/>
          <w:sz w:val="21"/>
          <w:szCs w:val="21"/>
        </w:rPr>
      </w:pPr>
      <w:r>
        <w:rPr>
          <w:rFonts w:ascii="Times New Roman" w:hAnsi="Times New Roman" w:eastAsia="Times New Roman" w:cs="Times New Roman"/>
          <w:sz w:val="21"/>
          <w:szCs w:val="21"/>
        </w:rPr>
        <w:t>4.1.2</w:t>
      </w:r>
      <w:r>
        <w:rPr>
          <w:rFonts w:ascii="Times New Roman" w:hAnsi="Times New Roman" w:eastAsia="Times New Roman" w:cs="Times New Roman"/>
          <w:spacing w:val="49"/>
          <w:w w:val="101"/>
          <w:sz w:val="21"/>
          <w:szCs w:val="21"/>
        </w:rPr>
        <w:t xml:space="preserve"> </w:t>
      </w:r>
      <w:r>
        <w:rPr>
          <w:rFonts w:ascii="黑体" w:hAnsi="黑体" w:eastAsia="黑体" w:cs="黑体"/>
          <w:sz w:val="21"/>
          <w:szCs w:val="21"/>
        </w:rPr>
        <w:t>依法纳税</w:t>
      </w:r>
    </w:p>
    <w:p w14:paraId="45AC13DE">
      <w:pPr>
        <w:spacing w:before="142" w:line="218" w:lineRule="auto"/>
        <w:ind w:left="444"/>
        <w:rPr>
          <w:rFonts w:ascii="宋体" w:hAnsi="宋体" w:eastAsia="宋体" w:cs="宋体"/>
          <w:sz w:val="21"/>
          <w:szCs w:val="21"/>
        </w:rPr>
      </w:pPr>
      <w:r>
        <w:rPr>
          <w:rFonts w:ascii="宋体" w:hAnsi="宋体" w:eastAsia="宋体" w:cs="宋体"/>
          <w:spacing w:val="-1"/>
          <w:sz w:val="21"/>
          <w:szCs w:val="21"/>
        </w:rPr>
        <w:t>承包人应按有关法律规定纳税，应缴纳的税金包括在合同价格内。</w:t>
      </w:r>
    </w:p>
    <w:p w14:paraId="036B5708">
      <w:pPr>
        <w:spacing w:before="157" w:line="232" w:lineRule="auto"/>
        <w:ind w:left="439"/>
        <w:rPr>
          <w:rFonts w:ascii="黑体" w:hAnsi="黑体" w:eastAsia="黑体" w:cs="黑体"/>
          <w:sz w:val="21"/>
          <w:szCs w:val="21"/>
        </w:rPr>
      </w:pPr>
      <w:r>
        <w:rPr>
          <w:rFonts w:ascii="Times New Roman" w:hAnsi="Times New Roman" w:eastAsia="Times New Roman" w:cs="Times New Roman"/>
          <w:sz w:val="21"/>
          <w:szCs w:val="21"/>
        </w:rPr>
        <w:t>4.1.3</w:t>
      </w:r>
      <w:r>
        <w:rPr>
          <w:rFonts w:ascii="Times New Roman" w:hAnsi="Times New Roman" w:eastAsia="Times New Roman" w:cs="Times New Roman"/>
          <w:spacing w:val="52"/>
          <w:w w:val="101"/>
          <w:sz w:val="21"/>
          <w:szCs w:val="21"/>
        </w:rPr>
        <w:t xml:space="preserve"> </w:t>
      </w:r>
      <w:r>
        <w:rPr>
          <w:rFonts w:ascii="黑体" w:hAnsi="黑体" w:eastAsia="黑体" w:cs="黑体"/>
          <w:sz w:val="21"/>
          <w:szCs w:val="21"/>
        </w:rPr>
        <w:t>完成各项承包工作</w:t>
      </w:r>
    </w:p>
    <w:p w14:paraId="23DF2BF1">
      <w:pPr>
        <w:spacing w:before="125" w:line="352" w:lineRule="auto"/>
        <w:ind w:left="24" w:right="34" w:firstLine="420"/>
        <w:rPr>
          <w:rFonts w:ascii="宋体" w:hAnsi="宋体" w:eastAsia="宋体" w:cs="宋体"/>
          <w:sz w:val="21"/>
          <w:szCs w:val="21"/>
        </w:rPr>
      </w:pPr>
      <w:r>
        <w:rPr>
          <w:rFonts w:ascii="宋体" w:hAnsi="宋体" w:eastAsia="宋体" w:cs="宋体"/>
          <w:spacing w:val="-1"/>
          <w:sz w:val="21"/>
          <w:szCs w:val="21"/>
        </w:rPr>
        <w:t>承包人应按合同约定以及监理人根据第</w:t>
      </w:r>
      <w:r>
        <w:rPr>
          <w:rFonts w:ascii="宋体" w:hAnsi="宋体" w:eastAsia="宋体" w:cs="宋体"/>
          <w:spacing w:val="-39"/>
          <w:sz w:val="21"/>
          <w:szCs w:val="21"/>
        </w:rPr>
        <w:t xml:space="preserve"> </w:t>
      </w:r>
      <w:r>
        <w:rPr>
          <w:rFonts w:ascii="Times New Roman" w:hAnsi="Times New Roman" w:eastAsia="Times New Roman" w:cs="Times New Roman"/>
          <w:spacing w:val="-1"/>
          <w:sz w:val="21"/>
          <w:szCs w:val="21"/>
        </w:rPr>
        <w:t>3.4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款作出的指示，实</w:t>
      </w:r>
      <w:r>
        <w:rPr>
          <w:rFonts w:ascii="宋体" w:hAnsi="宋体" w:eastAsia="宋体" w:cs="宋体"/>
          <w:spacing w:val="-2"/>
          <w:sz w:val="21"/>
          <w:szCs w:val="21"/>
        </w:rPr>
        <w:t>施、完成全部工程，并修</w:t>
      </w:r>
      <w:r>
        <w:rPr>
          <w:rFonts w:ascii="宋体" w:hAnsi="宋体" w:eastAsia="宋体" w:cs="宋体"/>
          <w:spacing w:val="-3"/>
          <w:sz w:val="21"/>
          <w:szCs w:val="21"/>
        </w:rPr>
        <w:t>补工程中的任何缺陷。除专用合同条款另有</w:t>
      </w:r>
      <w:r>
        <w:rPr>
          <w:rFonts w:ascii="宋体" w:hAnsi="宋体" w:eastAsia="宋体" w:cs="宋体"/>
          <w:spacing w:val="-4"/>
          <w:sz w:val="21"/>
          <w:szCs w:val="21"/>
        </w:rPr>
        <w:t>约定外，</w:t>
      </w:r>
      <w:r>
        <w:rPr>
          <w:rFonts w:ascii="宋体" w:hAnsi="宋体" w:eastAsia="宋体" w:cs="宋体"/>
          <w:spacing w:val="-45"/>
          <w:sz w:val="21"/>
          <w:szCs w:val="21"/>
        </w:rPr>
        <w:t xml:space="preserve"> </w:t>
      </w:r>
      <w:r>
        <w:rPr>
          <w:rFonts w:ascii="宋体" w:hAnsi="宋体" w:eastAsia="宋体" w:cs="宋体"/>
          <w:spacing w:val="-4"/>
          <w:sz w:val="21"/>
          <w:szCs w:val="21"/>
        </w:rPr>
        <w:t>承包人应提供为完成合同工作所需的劳</w:t>
      </w:r>
      <w:r>
        <w:rPr>
          <w:rFonts w:ascii="宋体" w:hAnsi="宋体" w:eastAsia="宋体" w:cs="宋体"/>
          <w:spacing w:val="-2"/>
          <w:sz w:val="21"/>
          <w:szCs w:val="21"/>
        </w:rPr>
        <w:t>务、材料、施工设备、工程设备和其他物品，并按合同约定负责临时设施的设计、建</w:t>
      </w:r>
      <w:r>
        <w:rPr>
          <w:rFonts w:ascii="宋体" w:hAnsi="宋体" w:eastAsia="宋体" w:cs="宋体"/>
          <w:spacing w:val="-3"/>
          <w:sz w:val="21"/>
          <w:szCs w:val="21"/>
        </w:rPr>
        <w:t>造、运行、维护、管理和拆除。</w:t>
      </w:r>
    </w:p>
    <w:p w14:paraId="2B626373">
      <w:pPr>
        <w:spacing w:before="6" w:line="232" w:lineRule="auto"/>
        <w:ind w:left="439"/>
        <w:rPr>
          <w:rFonts w:ascii="黑体" w:hAnsi="黑体" w:eastAsia="黑体" w:cs="黑体"/>
          <w:sz w:val="21"/>
          <w:szCs w:val="21"/>
        </w:rPr>
      </w:pPr>
      <w:r>
        <w:rPr>
          <w:rFonts w:ascii="Times New Roman" w:hAnsi="Times New Roman" w:eastAsia="Times New Roman" w:cs="Times New Roman"/>
          <w:sz w:val="21"/>
          <w:szCs w:val="21"/>
        </w:rPr>
        <w:t>4.1.4</w:t>
      </w:r>
      <w:r>
        <w:rPr>
          <w:rFonts w:ascii="Times New Roman" w:hAnsi="Times New Roman" w:eastAsia="Times New Roman" w:cs="Times New Roman"/>
          <w:spacing w:val="56"/>
          <w:sz w:val="21"/>
          <w:szCs w:val="21"/>
        </w:rPr>
        <w:t xml:space="preserve"> </w:t>
      </w:r>
      <w:r>
        <w:rPr>
          <w:rFonts w:ascii="黑体" w:hAnsi="黑体" w:eastAsia="黑体" w:cs="黑体"/>
          <w:sz w:val="21"/>
          <w:szCs w:val="21"/>
        </w:rPr>
        <w:t>对施工作业和施工方法的完备性负责</w:t>
      </w:r>
    </w:p>
    <w:p w14:paraId="08D4853A">
      <w:pPr>
        <w:spacing w:before="142" w:line="345" w:lineRule="auto"/>
        <w:ind w:left="29" w:firstLine="415"/>
        <w:rPr>
          <w:rFonts w:ascii="宋体" w:hAnsi="宋体" w:eastAsia="宋体" w:cs="宋体"/>
          <w:sz w:val="21"/>
          <w:szCs w:val="21"/>
        </w:rPr>
      </w:pPr>
      <w:r>
        <w:rPr>
          <w:rFonts w:ascii="宋体" w:hAnsi="宋体" w:eastAsia="宋体" w:cs="宋体"/>
          <w:spacing w:val="-1"/>
          <w:sz w:val="21"/>
          <w:szCs w:val="21"/>
        </w:rPr>
        <w:t>承包人应按合同约定的工作内容和施工进度要求，编制施工组织设计和施工措施计划，并对所有施工作业和施工方法的完备性和安</w:t>
      </w:r>
      <w:r>
        <w:rPr>
          <w:rFonts w:ascii="宋体" w:hAnsi="宋体" w:eastAsia="宋体" w:cs="宋体"/>
          <w:spacing w:val="-2"/>
          <w:sz w:val="21"/>
          <w:szCs w:val="21"/>
        </w:rPr>
        <w:t>全可靠性负责。</w:t>
      </w:r>
    </w:p>
    <w:p w14:paraId="11E665ED">
      <w:pPr>
        <w:spacing w:before="10" w:line="232" w:lineRule="auto"/>
        <w:ind w:left="439"/>
        <w:rPr>
          <w:rFonts w:ascii="黑体" w:hAnsi="黑体" w:eastAsia="黑体" w:cs="黑体"/>
          <w:sz w:val="21"/>
          <w:szCs w:val="21"/>
        </w:rPr>
      </w:pPr>
      <w:r>
        <w:rPr>
          <w:rFonts w:ascii="Times New Roman" w:hAnsi="Times New Roman" w:eastAsia="Times New Roman" w:cs="Times New Roman"/>
          <w:sz w:val="21"/>
          <w:szCs w:val="21"/>
        </w:rPr>
        <w:t>4.1.5</w:t>
      </w:r>
      <w:r>
        <w:rPr>
          <w:rFonts w:ascii="Times New Roman" w:hAnsi="Times New Roman" w:eastAsia="Times New Roman" w:cs="Times New Roman"/>
          <w:spacing w:val="54"/>
          <w:sz w:val="21"/>
          <w:szCs w:val="21"/>
        </w:rPr>
        <w:t xml:space="preserve"> </w:t>
      </w:r>
      <w:r>
        <w:rPr>
          <w:rFonts w:ascii="黑体" w:hAnsi="黑体" w:eastAsia="黑体" w:cs="黑体"/>
          <w:sz w:val="21"/>
          <w:szCs w:val="21"/>
        </w:rPr>
        <w:t>保证工程施工和人员的安全</w:t>
      </w:r>
    </w:p>
    <w:p w14:paraId="2E12221F">
      <w:pPr>
        <w:spacing w:before="141" w:line="233" w:lineRule="auto"/>
        <w:ind w:right="29"/>
        <w:jc w:val="right"/>
        <w:rPr>
          <w:rFonts w:ascii="宋体" w:hAnsi="宋体" w:eastAsia="宋体" w:cs="宋体"/>
          <w:sz w:val="21"/>
          <w:szCs w:val="21"/>
        </w:rPr>
      </w:pPr>
      <w:r>
        <w:rPr>
          <w:rFonts w:ascii="宋体" w:hAnsi="宋体" w:eastAsia="宋体" w:cs="宋体"/>
          <w:spacing w:val="-1"/>
          <w:sz w:val="21"/>
          <w:szCs w:val="21"/>
        </w:rPr>
        <w:t>承包人应按第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9.2</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款约定采取施工安全措施，确保工程及其人员、</w:t>
      </w:r>
      <w:r>
        <w:rPr>
          <w:rFonts w:ascii="宋体" w:hAnsi="宋体" w:eastAsia="宋体" w:cs="宋体"/>
          <w:spacing w:val="-2"/>
          <w:sz w:val="21"/>
          <w:szCs w:val="21"/>
        </w:rPr>
        <w:t>材料、设备和设施的</w:t>
      </w:r>
    </w:p>
    <w:p w14:paraId="6A53B80A">
      <w:pPr>
        <w:spacing w:line="233" w:lineRule="auto"/>
        <w:rPr>
          <w:rFonts w:ascii="宋体" w:hAnsi="宋体" w:eastAsia="宋体" w:cs="宋体"/>
          <w:sz w:val="21"/>
          <w:szCs w:val="21"/>
        </w:rPr>
        <w:sectPr>
          <w:footerReference r:id="rId81" w:type="default"/>
          <w:pgSz w:w="11910" w:h="16845"/>
          <w:pgMar w:top="400" w:right="1735" w:bottom="1110" w:left="1786" w:header="0" w:footer="883" w:gutter="0"/>
          <w:cols w:space="720" w:num="1"/>
        </w:sectPr>
      </w:pPr>
    </w:p>
    <w:p w14:paraId="1124A148">
      <w:pPr>
        <w:pStyle w:val="2"/>
        <w:spacing w:line="275" w:lineRule="auto"/>
      </w:pPr>
    </w:p>
    <w:p w14:paraId="6241E61B">
      <w:pPr>
        <w:pStyle w:val="2"/>
        <w:spacing w:line="275" w:lineRule="auto"/>
      </w:pPr>
    </w:p>
    <w:p w14:paraId="25319EF1">
      <w:pPr>
        <w:pStyle w:val="2"/>
        <w:spacing w:line="275" w:lineRule="auto"/>
      </w:pPr>
    </w:p>
    <w:p w14:paraId="32819365">
      <w:pPr>
        <w:pStyle w:val="2"/>
        <w:spacing w:line="275" w:lineRule="auto"/>
      </w:pPr>
    </w:p>
    <w:p w14:paraId="596B7035">
      <w:pPr>
        <w:spacing w:before="68" w:line="220" w:lineRule="auto"/>
        <w:ind w:left="28"/>
        <w:rPr>
          <w:rFonts w:ascii="宋体" w:hAnsi="宋体" w:eastAsia="宋体" w:cs="宋体"/>
          <w:sz w:val="21"/>
          <w:szCs w:val="21"/>
        </w:rPr>
      </w:pPr>
      <w:r>
        <w:rPr>
          <w:rFonts w:ascii="宋体" w:hAnsi="宋体" w:eastAsia="宋体" w:cs="宋体"/>
          <w:spacing w:val="-2"/>
          <w:sz w:val="21"/>
          <w:szCs w:val="21"/>
        </w:rPr>
        <w:t>安全，防止因工程施工造成的人身伤害和财产损失。</w:t>
      </w:r>
    </w:p>
    <w:p w14:paraId="2D20585D">
      <w:pPr>
        <w:spacing w:before="155" w:line="232" w:lineRule="auto"/>
        <w:ind w:left="439"/>
        <w:rPr>
          <w:rFonts w:ascii="黑体" w:hAnsi="黑体" w:eastAsia="黑体" w:cs="黑体"/>
          <w:sz w:val="21"/>
          <w:szCs w:val="21"/>
        </w:rPr>
      </w:pPr>
      <w:r>
        <w:rPr>
          <w:rFonts w:ascii="Times New Roman" w:hAnsi="Times New Roman" w:eastAsia="Times New Roman" w:cs="Times New Roman"/>
          <w:sz w:val="21"/>
          <w:szCs w:val="21"/>
        </w:rPr>
        <w:t>4.1.6</w:t>
      </w:r>
      <w:r>
        <w:rPr>
          <w:rFonts w:ascii="Times New Roman" w:hAnsi="Times New Roman" w:eastAsia="Times New Roman" w:cs="Times New Roman"/>
          <w:spacing w:val="58"/>
          <w:sz w:val="21"/>
          <w:szCs w:val="21"/>
        </w:rPr>
        <w:t xml:space="preserve"> </w:t>
      </w:r>
      <w:r>
        <w:rPr>
          <w:rFonts w:ascii="黑体" w:hAnsi="黑体" w:eastAsia="黑体" w:cs="黑体"/>
          <w:sz w:val="21"/>
          <w:szCs w:val="21"/>
        </w:rPr>
        <w:t>负责施工场地及其周边环境与生态的保护工作</w:t>
      </w:r>
    </w:p>
    <w:p w14:paraId="4DBDA46E">
      <w:pPr>
        <w:spacing w:before="127" w:line="233" w:lineRule="auto"/>
        <w:ind w:left="444"/>
        <w:rPr>
          <w:rFonts w:ascii="宋体" w:hAnsi="宋体" w:eastAsia="宋体" w:cs="宋体"/>
          <w:sz w:val="21"/>
          <w:szCs w:val="21"/>
        </w:rPr>
      </w:pPr>
      <w:r>
        <w:rPr>
          <w:rFonts w:ascii="宋体" w:hAnsi="宋体" w:eastAsia="宋体" w:cs="宋体"/>
          <w:spacing w:val="-1"/>
          <w:sz w:val="21"/>
          <w:szCs w:val="21"/>
        </w:rPr>
        <w:t>承包人应按照第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9.4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款约定负责施工场地及其周边环境与生态的保护工作。</w:t>
      </w:r>
    </w:p>
    <w:p w14:paraId="7283A609">
      <w:pPr>
        <w:spacing w:before="139" w:line="233" w:lineRule="auto"/>
        <w:ind w:left="439"/>
        <w:rPr>
          <w:rFonts w:ascii="黑体" w:hAnsi="黑体" w:eastAsia="黑体" w:cs="黑体"/>
          <w:sz w:val="21"/>
          <w:szCs w:val="21"/>
        </w:rPr>
      </w:pPr>
      <w:r>
        <w:rPr>
          <w:rFonts w:ascii="Times New Roman" w:hAnsi="Times New Roman" w:eastAsia="Times New Roman" w:cs="Times New Roman"/>
          <w:sz w:val="21"/>
          <w:szCs w:val="21"/>
        </w:rPr>
        <w:t>4.1.7</w:t>
      </w:r>
      <w:r>
        <w:rPr>
          <w:rFonts w:ascii="Times New Roman" w:hAnsi="Times New Roman" w:eastAsia="Times New Roman" w:cs="Times New Roman"/>
          <w:spacing w:val="56"/>
          <w:w w:val="101"/>
          <w:sz w:val="21"/>
          <w:szCs w:val="21"/>
        </w:rPr>
        <w:t xml:space="preserve"> </w:t>
      </w:r>
      <w:r>
        <w:rPr>
          <w:rFonts w:ascii="黑体" w:hAnsi="黑体" w:eastAsia="黑体" w:cs="黑体"/>
          <w:sz w:val="21"/>
          <w:szCs w:val="21"/>
        </w:rPr>
        <w:t>避免施工对公众与他人的利益造成损害</w:t>
      </w:r>
    </w:p>
    <w:p w14:paraId="079CD50B">
      <w:pPr>
        <w:spacing w:before="141" w:line="351" w:lineRule="auto"/>
        <w:ind w:left="23" w:right="72" w:firstLine="421"/>
        <w:rPr>
          <w:rFonts w:ascii="宋体" w:hAnsi="宋体" w:eastAsia="宋体" w:cs="宋体"/>
          <w:sz w:val="21"/>
          <w:szCs w:val="21"/>
        </w:rPr>
      </w:pPr>
      <w:r>
        <w:rPr>
          <w:rFonts w:ascii="宋体" w:hAnsi="宋体" w:eastAsia="宋体" w:cs="宋体"/>
          <w:spacing w:val="-2"/>
          <w:sz w:val="21"/>
          <w:szCs w:val="21"/>
        </w:rPr>
        <w:t>承包人在进行合同约定的各项工作时，不得侵害发包人与他人使用公用</w:t>
      </w:r>
      <w:r>
        <w:rPr>
          <w:rFonts w:ascii="宋体" w:hAnsi="宋体" w:eastAsia="宋体" w:cs="宋体"/>
          <w:spacing w:val="-3"/>
          <w:sz w:val="21"/>
          <w:szCs w:val="21"/>
        </w:rPr>
        <w:t>道路、水源、市</w:t>
      </w:r>
      <w:r>
        <w:rPr>
          <w:rFonts w:ascii="宋体" w:hAnsi="宋体" w:eastAsia="宋体" w:cs="宋体"/>
          <w:spacing w:val="-2"/>
          <w:sz w:val="21"/>
          <w:szCs w:val="21"/>
        </w:rPr>
        <w:t>政管网等公共设施的权利，避免对邻近的公共设施产生干扰。承包人占用或使用他人的施工场地，影响他人作业或生活的，应承担相应责任。</w:t>
      </w:r>
    </w:p>
    <w:p w14:paraId="7678795A">
      <w:pPr>
        <w:spacing w:before="2" w:line="232" w:lineRule="auto"/>
        <w:ind w:left="439"/>
        <w:rPr>
          <w:rFonts w:ascii="黑体" w:hAnsi="黑体" w:eastAsia="黑体" w:cs="黑体"/>
          <w:sz w:val="21"/>
          <w:szCs w:val="21"/>
        </w:rPr>
      </w:pPr>
      <w:r>
        <w:rPr>
          <w:rFonts w:ascii="Times New Roman" w:hAnsi="Times New Roman" w:eastAsia="Times New Roman" w:cs="Times New Roman"/>
          <w:sz w:val="21"/>
          <w:szCs w:val="21"/>
        </w:rPr>
        <w:t>4.1.8</w:t>
      </w:r>
      <w:r>
        <w:rPr>
          <w:rFonts w:ascii="Times New Roman" w:hAnsi="Times New Roman" w:eastAsia="Times New Roman" w:cs="Times New Roman"/>
          <w:spacing w:val="53"/>
          <w:sz w:val="21"/>
          <w:szCs w:val="21"/>
        </w:rPr>
        <w:t xml:space="preserve"> </w:t>
      </w:r>
      <w:r>
        <w:rPr>
          <w:rFonts w:ascii="黑体" w:hAnsi="黑体" w:eastAsia="黑体" w:cs="黑体"/>
          <w:sz w:val="21"/>
          <w:szCs w:val="21"/>
        </w:rPr>
        <w:t>为他人提供方便</w:t>
      </w:r>
    </w:p>
    <w:p w14:paraId="414F16DF">
      <w:pPr>
        <w:spacing w:before="127" w:line="352" w:lineRule="auto"/>
        <w:ind w:left="24" w:right="75" w:firstLine="420"/>
        <w:rPr>
          <w:rFonts w:ascii="宋体" w:hAnsi="宋体" w:eastAsia="宋体" w:cs="宋体"/>
          <w:sz w:val="21"/>
          <w:szCs w:val="21"/>
        </w:rPr>
      </w:pPr>
      <w:r>
        <w:rPr>
          <w:rFonts w:ascii="宋体" w:hAnsi="宋体" w:eastAsia="宋体" w:cs="宋体"/>
          <w:spacing w:val="3"/>
          <w:sz w:val="21"/>
          <w:szCs w:val="21"/>
        </w:rPr>
        <w:t>承包人应按监理人的指示为他人在施工场地或附近实施与工程有关的其他各项工作提</w:t>
      </w:r>
      <w:r>
        <w:rPr>
          <w:rFonts w:ascii="宋体" w:hAnsi="宋体" w:eastAsia="宋体" w:cs="宋体"/>
          <w:spacing w:val="-2"/>
          <w:sz w:val="21"/>
          <w:szCs w:val="21"/>
        </w:rPr>
        <w:t>供可能的条件。除合同另有约定外，提供有关条件的内容和可能发生的费用，由</w:t>
      </w:r>
      <w:r>
        <w:rPr>
          <w:rFonts w:ascii="宋体" w:hAnsi="宋体" w:eastAsia="宋体" w:cs="宋体"/>
          <w:spacing w:val="-3"/>
          <w:sz w:val="21"/>
          <w:szCs w:val="21"/>
        </w:rPr>
        <w:t>监理人按第</w:t>
      </w:r>
      <w:r>
        <w:rPr>
          <w:rFonts w:ascii="Times New Roman" w:hAnsi="Times New Roman" w:eastAsia="Times New Roman" w:cs="Times New Roman"/>
          <w:spacing w:val="-4"/>
          <w:sz w:val="21"/>
          <w:szCs w:val="21"/>
        </w:rPr>
        <w:t>3.5</w:t>
      </w:r>
      <w:r>
        <w:rPr>
          <w:rFonts w:ascii="Times New Roman" w:hAnsi="Times New Roman" w:eastAsia="Times New Roman" w:cs="Times New Roman"/>
          <w:spacing w:val="23"/>
          <w:sz w:val="21"/>
          <w:szCs w:val="21"/>
        </w:rPr>
        <w:t xml:space="preserve"> </w:t>
      </w:r>
      <w:r>
        <w:rPr>
          <w:rFonts w:ascii="宋体" w:hAnsi="宋体" w:eastAsia="宋体" w:cs="宋体"/>
          <w:spacing w:val="-4"/>
          <w:sz w:val="21"/>
          <w:szCs w:val="21"/>
        </w:rPr>
        <w:t>款商定或确定。</w:t>
      </w:r>
    </w:p>
    <w:p w14:paraId="5FF768C3">
      <w:pPr>
        <w:spacing w:before="1" w:line="232" w:lineRule="auto"/>
        <w:ind w:left="439"/>
        <w:rPr>
          <w:rFonts w:ascii="黑体" w:hAnsi="黑体" w:eastAsia="黑体" w:cs="黑体"/>
          <w:sz w:val="21"/>
          <w:szCs w:val="21"/>
        </w:rPr>
      </w:pPr>
      <w:r>
        <w:rPr>
          <w:rFonts w:ascii="Times New Roman" w:hAnsi="Times New Roman" w:eastAsia="Times New Roman" w:cs="Times New Roman"/>
          <w:sz w:val="21"/>
          <w:szCs w:val="21"/>
        </w:rPr>
        <w:t>4.1.9</w:t>
      </w:r>
      <w:r>
        <w:rPr>
          <w:rFonts w:ascii="Times New Roman" w:hAnsi="Times New Roman" w:eastAsia="Times New Roman" w:cs="Times New Roman"/>
          <w:spacing w:val="52"/>
          <w:w w:val="101"/>
          <w:sz w:val="21"/>
          <w:szCs w:val="21"/>
        </w:rPr>
        <w:t xml:space="preserve"> </w:t>
      </w:r>
      <w:r>
        <w:rPr>
          <w:rFonts w:ascii="黑体" w:hAnsi="黑体" w:eastAsia="黑体" w:cs="黑体"/>
          <w:sz w:val="21"/>
          <w:szCs w:val="21"/>
        </w:rPr>
        <w:t>工程的维护和照管</w:t>
      </w:r>
    </w:p>
    <w:p w14:paraId="2A3EFC88">
      <w:pPr>
        <w:spacing w:before="140" w:line="352" w:lineRule="auto"/>
        <w:ind w:left="25" w:right="72" w:firstLine="422"/>
        <w:rPr>
          <w:rFonts w:ascii="宋体" w:hAnsi="宋体" w:eastAsia="宋体" w:cs="宋体"/>
          <w:sz w:val="21"/>
          <w:szCs w:val="21"/>
        </w:rPr>
      </w:pPr>
      <w:r>
        <w:rPr>
          <w:rFonts w:ascii="宋体" w:hAnsi="宋体" w:eastAsia="宋体" w:cs="宋体"/>
          <w:spacing w:val="-2"/>
          <w:sz w:val="21"/>
          <w:szCs w:val="21"/>
        </w:rPr>
        <w:t>工程接收证书颁发前，承包人应负责照管和维护工程。工程接收证</w:t>
      </w:r>
      <w:r>
        <w:rPr>
          <w:rFonts w:ascii="宋体" w:hAnsi="宋体" w:eastAsia="宋体" w:cs="宋体"/>
          <w:spacing w:val="-3"/>
          <w:sz w:val="21"/>
          <w:szCs w:val="21"/>
        </w:rPr>
        <w:t>书颁发时尚有部分未</w:t>
      </w:r>
      <w:r>
        <w:rPr>
          <w:rFonts w:ascii="宋体" w:hAnsi="宋体" w:eastAsia="宋体" w:cs="宋体"/>
          <w:spacing w:val="-2"/>
          <w:sz w:val="21"/>
          <w:szCs w:val="21"/>
        </w:rPr>
        <w:t>竣工工程的，承包人还应负责该未竣工工程的照管和维护工作，直至竣工后移交</w:t>
      </w:r>
      <w:r>
        <w:rPr>
          <w:rFonts w:ascii="宋体" w:hAnsi="宋体" w:eastAsia="宋体" w:cs="宋体"/>
          <w:spacing w:val="-3"/>
          <w:sz w:val="21"/>
          <w:szCs w:val="21"/>
        </w:rPr>
        <w:t>给发包人为</w:t>
      </w:r>
      <w:r>
        <w:rPr>
          <w:rFonts w:ascii="宋体" w:hAnsi="宋体" w:eastAsia="宋体" w:cs="宋体"/>
          <w:spacing w:val="-10"/>
          <w:sz w:val="21"/>
          <w:szCs w:val="21"/>
        </w:rPr>
        <w:t>止。</w:t>
      </w:r>
    </w:p>
    <w:p w14:paraId="197DBFD8">
      <w:pPr>
        <w:spacing w:before="1" w:line="231" w:lineRule="auto"/>
        <w:ind w:left="439"/>
        <w:rPr>
          <w:rFonts w:ascii="黑体" w:hAnsi="黑体" w:eastAsia="黑体" w:cs="黑体"/>
          <w:sz w:val="21"/>
          <w:szCs w:val="21"/>
        </w:rPr>
      </w:pPr>
      <w:r>
        <w:rPr>
          <w:rFonts w:ascii="Times New Roman" w:hAnsi="Times New Roman" w:eastAsia="Times New Roman" w:cs="Times New Roman"/>
          <w:sz w:val="21"/>
          <w:szCs w:val="21"/>
        </w:rPr>
        <w:t>4.1.10</w:t>
      </w:r>
      <w:r>
        <w:rPr>
          <w:rFonts w:ascii="Times New Roman" w:hAnsi="Times New Roman" w:eastAsia="Times New Roman" w:cs="Times New Roman"/>
          <w:spacing w:val="52"/>
          <w:w w:val="101"/>
          <w:sz w:val="21"/>
          <w:szCs w:val="21"/>
        </w:rPr>
        <w:t xml:space="preserve"> </w:t>
      </w:r>
      <w:r>
        <w:rPr>
          <w:rFonts w:ascii="黑体" w:hAnsi="黑体" w:eastAsia="黑体" w:cs="黑体"/>
          <w:sz w:val="21"/>
          <w:szCs w:val="21"/>
        </w:rPr>
        <w:t>其他义务</w:t>
      </w:r>
    </w:p>
    <w:p w14:paraId="150F7FA9">
      <w:pPr>
        <w:spacing w:before="141" w:line="220" w:lineRule="auto"/>
        <w:ind w:left="444"/>
        <w:rPr>
          <w:rFonts w:ascii="宋体" w:hAnsi="宋体" w:eastAsia="宋体" w:cs="宋体"/>
          <w:sz w:val="21"/>
          <w:szCs w:val="21"/>
        </w:rPr>
      </w:pPr>
      <w:r>
        <w:rPr>
          <w:rFonts w:ascii="宋体" w:hAnsi="宋体" w:eastAsia="宋体" w:cs="宋体"/>
          <w:spacing w:val="-2"/>
          <w:sz w:val="21"/>
          <w:szCs w:val="21"/>
        </w:rPr>
        <w:t>承包人应履行合同约定的其他义务。</w:t>
      </w:r>
    </w:p>
    <w:p w14:paraId="50FAAC4A">
      <w:pPr>
        <w:spacing w:before="114" w:line="233" w:lineRule="auto"/>
        <w:ind w:left="19"/>
        <w:outlineLvl w:val="2"/>
        <w:rPr>
          <w:rFonts w:ascii="黑体" w:hAnsi="黑体" w:eastAsia="黑体" w:cs="黑体"/>
          <w:sz w:val="24"/>
          <w:szCs w:val="24"/>
        </w:rPr>
      </w:pPr>
      <w:bookmarkStart w:id="74" w:name="bookmark68"/>
      <w:bookmarkEnd w:id="74"/>
      <w:r>
        <w:rPr>
          <w:rFonts w:ascii="Times New Roman" w:hAnsi="Times New Roman" w:eastAsia="Times New Roman" w:cs="Times New Roman"/>
          <w:spacing w:val="-1"/>
          <w:sz w:val="24"/>
          <w:szCs w:val="24"/>
        </w:rPr>
        <w:t xml:space="preserve">4.2  </w:t>
      </w:r>
      <w:r>
        <w:rPr>
          <w:rFonts w:ascii="黑体" w:hAnsi="黑体" w:eastAsia="黑体" w:cs="黑体"/>
          <w:spacing w:val="-1"/>
          <w:sz w:val="24"/>
          <w:szCs w:val="24"/>
        </w:rPr>
        <w:t>履约担保</w:t>
      </w:r>
    </w:p>
    <w:p w14:paraId="274D150E">
      <w:pPr>
        <w:spacing w:before="128" w:line="339" w:lineRule="auto"/>
        <w:ind w:left="24" w:right="72" w:firstLine="420"/>
        <w:rPr>
          <w:rFonts w:ascii="宋体" w:hAnsi="宋体" w:eastAsia="宋体" w:cs="宋体"/>
          <w:sz w:val="21"/>
          <w:szCs w:val="21"/>
        </w:rPr>
      </w:pPr>
      <w:r>
        <w:rPr>
          <w:rFonts w:ascii="宋体" w:hAnsi="宋体" w:eastAsia="宋体" w:cs="宋体"/>
          <w:spacing w:val="-2"/>
          <w:sz w:val="21"/>
          <w:szCs w:val="21"/>
        </w:rPr>
        <w:t>承包人应保证其履约担保在发包人颁发工程接收证书前一直有效。发包人</w:t>
      </w:r>
      <w:r>
        <w:rPr>
          <w:rFonts w:ascii="宋体" w:hAnsi="宋体" w:eastAsia="宋体" w:cs="宋体"/>
          <w:spacing w:val="-3"/>
          <w:sz w:val="21"/>
          <w:szCs w:val="21"/>
        </w:rPr>
        <w:t>应在工程接收证书颁发后</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天内把履约担保退还给承包人。</w:t>
      </w:r>
    </w:p>
    <w:p w14:paraId="2ABFEAEB">
      <w:pPr>
        <w:spacing w:before="1" w:line="233" w:lineRule="auto"/>
        <w:ind w:left="19"/>
        <w:outlineLvl w:val="2"/>
        <w:rPr>
          <w:rFonts w:ascii="黑体" w:hAnsi="黑体" w:eastAsia="黑体" w:cs="黑体"/>
          <w:sz w:val="24"/>
          <w:szCs w:val="24"/>
        </w:rPr>
      </w:pPr>
      <w:bookmarkStart w:id="75" w:name="bookmark69"/>
      <w:bookmarkEnd w:id="75"/>
      <w:r>
        <w:rPr>
          <w:rFonts w:ascii="Times New Roman" w:hAnsi="Times New Roman" w:eastAsia="Times New Roman" w:cs="Times New Roman"/>
          <w:spacing w:val="-3"/>
          <w:sz w:val="24"/>
          <w:szCs w:val="24"/>
        </w:rPr>
        <w:t>4.3</w:t>
      </w:r>
      <w:r>
        <w:rPr>
          <w:rFonts w:ascii="Times New Roman" w:hAnsi="Times New Roman" w:eastAsia="Times New Roman" w:cs="Times New Roman"/>
          <w:spacing w:val="9"/>
          <w:sz w:val="24"/>
          <w:szCs w:val="24"/>
        </w:rPr>
        <w:t xml:space="preserve">  </w:t>
      </w:r>
      <w:r>
        <w:rPr>
          <w:rFonts w:ascii="黑体" w:hAnsi="黑体" w:eastAsia="黑体" w:cs="黑体"/>
          <w:spacing w:val="-3"/>
          <w:sz w:val="24"/>
          <w:szCs w:val="24"/>
        </w:rPr>
        <w:t>分包</w:t>
      </w:r>
    </w:p>
    <w:p w14:paraId="2AE0C15F">
      <w:pPr>
        <w:spacing w:before="128" w:line="348" w:lineRule="auto"/>
        <w:ind w:left="26" w:right="72"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4.3.1  </w:t>
      </w:r>
      <w:r>
        <w:rPr>
          <w:rFonts w:ascii="宋体" w:hAnsi="宋体" w:eastAsia="宋体" w:cs="宋体"/>
          <w:spacing w:val="1"/>
          <w:sz w:val="21"/>
          <w:szCs w:val="21"/>
        </w:rPr>
        <w:t>承包人不得将其承包的全部工程转包给第三人，</w:t>
      </w:r>
      <w:r>
        <w:rPr>
          <w:rFonts w:ascii="宋体" w:hAnsi="宋体" w:eastAsia="宋体" w:cs="宋体"/>
          <w:sz w:val="21"/>
          <w:szCs w:val="21"/>
        </w:rPr>
        <w:t>或将其承包的全部工程肢解后以</w:t>
      </w:r>
      <w:r>
        <w:rPr>
          <w:rFonts w:ascii="宋体" w:hAnsi="宋体" w:eastAsia="宋体" w:cs="宋体"/>
          <w:spacing w:val="-3"/>
          <w:sz w:val="21"/>
          <w:szCs w:val="21"/>
        </w:rPr>
        <w:t>分包的名义转包给第三人。</w:t>
      </w:r>
    </w:p>
    <w:p w14:paraId="7AE8289A">
      <w:pPr>
        <w:spacing w:before="3" w:line="348" w:lineRule="auto"/>
        <w:ind w:left="27" w:firstLine="412"/>
        <w:rPr>
          <w:rFonts w:ascii="宋体" w:hAnsi="宋体" w:eastAsia="宋体" w:cs="宋体"/>
          <w:sz w:val="21"/>
          <w:szCs w:val="21"/>
        </w:rPr>
      </w:pPr>
      <w:r>
        <w:rPr>
          <w:rFonts w:ascii="Times New Roman" w:hAnsi="Times New Roman" w:eastAsia="Times New Roman" w:cs="Times New Roman"/>
          <w:spacing w:val="-2"/>
          <w:sz w:val="21"/>
          <w:szCs w:val="21"/>
        </w:rPr>
        <w:t xml:space="preserve">4.3.2  </w:t>
      </w:r>
      <w:r>
        <w:rPr>
          <w:rFonts w:ascii="宋体" w:hAnsi="宋体" w:eastAsia="宋体" w:cs="宋体"/>
          <w:spacing w:val="-2"/>
          <w:sz w:val="21"/>
          <w:szCs w:val="21"/>
        </w:rPr>
        <w:t>承包人不得将工程主体、关</w:t>
      </w:r>
      <w:r>
        <w:rPr>
          <w:rFonts w:ascii="宋体" w:hAnsi="宋体" w:eastAsia="宋体" w:cs="宋体"/>
          <w:spacing w:val="-3"/>
          <w:sz w:val="21"/>
          <w:szCs w:val="21"/>
        </w:rPr>
        <w:t>键性工作分包给第三人。除专用合同条款另有约定外，</w:t>
      </w:r>
      <w:r>
        <w:rPr>
          <w:rFonts w:ascii="宋体" w:hAnsi="宋体" w:eastAsia="宋体" w:cs="宋体"/>
          <w:spacing w:val="-1"/>
          <w:sz w:val="21"/>
          <w:szCs w:val="21"/>
        </w:rPr>
        <w:t>未经发包人同意，承包人不得将工程的其他部分或工作分包给第三人。</w:t>
      </w:r>
    </w:p>
    <w:p w14:paraId="0532851F">
      <w:pPr>
        <w:spacing w:before="20"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4.3.3</w:t>
      </w:r>
      <w:r>
        <w:rPr>
          <w:rFonts w:ascii="Times New Roman" w:hAnsi="Times New Roman" w:eastAsia="Times New Roman" w:cs="Times New Roman"/>
          <w:spacing w:val="61"/>
          <w:sz w:val="21"/>
          <w:szCs w:val="21"/>
        </w:rPr>
        <w:t xml:space="preserve"> </w:t>
      </w:r>
      <w:r>
        <w:rPr>
          <w:rFonts w:ascii="宋体" w:hAnsi="宋体" w:eastAsia="宋体" w:cs="宋体"/>
          <w:spacing w:val="-1"/>
          <w:sz w:val="21"/>
          <w:szCs w:val="21"/>
        </w:rPr>
        <w:t>分包人的资格能力应与其分包工程的标准和规模相适应。</w:t>
      </w:r>
    </w:p>
    <w:p w14:paraId="4D9DE6A9">
      <w:pPr>
        <w:spacing w:before="124" w:line="233" w:lineRule="auto"/>
        <w:ind w:left="439"/>
        <w:rPr>
          <w:rFonts w:ascii="宋体" w:hAnsi="宋体" w:eastAsia="宋体" w:cs="宋体"/>
          <w:sz w:val="21"/>
          <w:szCs w:val="21"/>
        </w:rPr>
      </w:pPr>
      <w:r>
        <w:rPr>
          <w:rFonts w:ascii="Times New Roman" w:hAnsi="Times New Roman" w:eastAsia="Times New Roman" w:cs="Times New Roman"/>
          <w:sz w:val="21"/>
          <w:szCs w:val="21"/>
        </w:rPr>
        <w:t>4.3.4</w:t>
      </w:r>
      <w:r>
        <w:rPr>
          <w:rFonts w:ascii="Times New Roman" w:hAnsi="Times New Roman" w:eastAsia="Times New Roman" w:cs="Times New Roman"/>
          <w:spacing w:val="48"/>
          <w:w w:val="101"/>
          <w:sz w:val="21"/>
          <w:szCs w:val="21"/>
        </w:rPr>
        <w:t xml:space="preserve"> </w:t>
      </w:r>
      <w:r>
        <w:rPr>
          <w:rFonts w:ascii="宋体" w:hAnsi="宋体" w:eastAsia="宋体" w:cs="宋体"/>
          <w:sz w:val="21"/>
          <w:szCs w:val="21"/>
        </w:rPr>
        <w:t>按投标函附录约定分包工程的，承包人应向</w:t>
      </w:r>
      <w:r>
        <w:rPr>
          <w:rFonts w:ascii="宋体" w:hAnsi="宋体" w:eastAsia="宋体" w:cs="宋体"/>
          <w:spacing w:val="-1"/>
          <w:sz w:val="21"/>
          <w:szCs w:val="21"/>
        </w:rPr>
        <w:t>发包人和监理人提交分包合同副本。</w:t>
      </w:r>
    </w:p>
    <w:p w14:paraId="0D1F32C5">
      <w:pPr>
        <w:spacing w:before="142"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4.3.5</w:t>
      </w:r>
      <w:r>
        <w:rPr>
          <w:rFonts w:ascii="Times New Roman" w:hAnsi="Times New Roman" w:eastAsia="Times New Roman" w:cs="Times New Roman"/>
          <w:spacing w:val="59"/>
          <w:w w:val="101"/>
          <w:sz w:val="21"/>
          <w:szCs w:val="21"/>
        </w:rPr>
        <w:t xml:space="preserve"> </w:t>
      </w:r>
      <w:r>
        <w:rPr>
          <w:rFonts w:ascii="宋体" w:hAnsi="宋体" w:eastAsia="宋体" w:cs="宋体"/>
          <w:spacing w:val="-1"/>
          <w:sz w:val="21"/>
          <w:szCs w:val="21"/>
        </w:rPr>
        <w:t>承包人应与分包人就分包工程向发包人承担连带责任。</w:t>
      </w:r>
    </w:p>
    <w:p w14:paraId="5A1F53B4">
      <w:pPr>
        <w:spacing w:before="113" w:line="233" w:lineRule="auto"/>
        <w:ind w:left="19"/>
        <w:outlineLvl w:val="2"/>
        <w:rPr>
          <w:rFonts w:ascii="黑体" w:hAnsi="黑体" w:eastAsia="黑体" w:cs="黑体"/>
          <w:sz w:val="24"/>
          <w:szCs w:val="24"/>
        </w:rPr>
      </w:pPr>
      <w:bookmarkStart w:id="76" w:name="bookmark70"/>
      <w:bookmarkEnd w:id="76"/>
      <w:r>
        <w:rPr>
          <w:rFonts w:ascii="Times New Roman" w:hAnsi="Times New Roman" w:eastAsia="Times New Roman" w:cs="Times New Roman"/>
          <w:spacing w:val="-2"/>
          <w:sz w:val="24"/>
          <w:szCs w:val="24"/>
        </w:rPr>
        <w:t>4.4</w:t>
      </w:r>
      <w:r>
        <w:rPr>
          <w:rFonts w:ascii="Times New Roman" w:hAnsi="Times New Roman" w:eastAsia="Times New Roman" w:cs="Times New Roman"/>
          <w:spacing w:val="5"/>
          <w:sz w:val="24"/>
          <w:szCs w:val="24"/>
        </w:rPr>
        <w:t xml:space="preserve">  </w:t>
      </w:r>
      <w:r>
        <w:rPr>
          <w:rFonts w:ascii="黑体" w:hAnsi="黑体" w:eastAsia="黑体" w:cs="黑体"/>
          <w:spacing w:val="-2"/>
          <w:sz w:val="24"/>
          <w:szCs w:val="24"/>
        </w:rPr>
        <w:t>联合体</w:t>
      </w:r>
    </w:p>
    <w:p w14:paraId="33FBE8F6">
      <w:pPr>
        <w:spacing w:before="114" w:line="348" w:lineRule="auto"/>
        <w:ind w:left="31" w:right="72" w:firstLine="408"/>
        <w:rPr>
          <w:rFonts w:ascii="宋体" w:hAnsi="宋体" w:eastAsia="宋体" w:cs="宋体"/>
          <w:sz w:val="21"/>
          <w:szCs w:val="21"/>
        </w:rPr>
      </w:pPr>
      <w:r>
        <w:rPr>
          <w:rFonts w:ascii="Times New Roman" w:hAnsi="Times New Roman" w:eastAsia="Times New Roman" w:cs="Times New Roman"/>
          <w:spacing w:val="1"/>
          <w:sz w:val="21"/>
          <w:szCs w:val="21"/>
        </w:rPr>
        <w:t xml:space="preserve">4.4.1  </w:t>
      </w:r>
      <w:r>
        <w:rPr>
          <w:rFonts w:ascii="宋体" w:hAnsi="宋体" w:eastAsia="宋体" w:cs="宋体"/>
          <w:spacing w:val="1"/>
          <w:sz w:val="21"/>
          <w:szCs w:val="21"/>
        </w:rPr>
        <w:t>联合体各方应共同与发包人签订合同协议书。联</w:t>
      </w:r>
      <w:r>
        <w:rPr>
          <w:rFonts w:ascii="宋体" w:hAnsi="宋体" w:eastAsia="宋体" w:cs="宋体"/>
          <w:sz w:val="21"/>
          <w:szCs w:val="21"/>
        </w:rPr>
        <w:t>合体各方应为履行合同承担连带</w:t>
      </w:r>
      <w:r>
        <w:rPr>
          <w:rFonts w:ascii="宋体" w:hAnsi="宋体" w:eastAsia="宋体" w:cs="宋体"/>
          <w:spacing w:val="-10"/>
          <w:sz w:val="21"/>
          <w:szCs w:val="21"/>
        </w:rPr>
        <w:t>责任。</w:t>
      </w:r>
    </w:p>
    <w:p w14:paraId="63E0EE58">
      <w:pPr>
        <w:spacing w:before="18" w:line="336" w:lineRule="auto"/>
        <w:ind w:left="27" w:firstLine="412"/>
        <w:rPr>
          <w:rFonts w:ascii="宋体" w:hAnsi="宋体" w:eastAsia="宋体" w:cs="宋体"/>
          <w:sz w:val="21"/>
          <w:szCs w:val="21"/>
        </w:rPr>
      </w:pPr>
      <w:r>
        <w:rPr>
          <w:rFonts w:ascii="Times New Roman" w:hAnsi="Times New Roman" w:eastAsia="Times New Roman" w:cs="Times New Roman"/>
          <w:spacing w:val="-4"/>
          <w:sz w:val="21"/>
          <w:szCs w:val="21"/>
        </w:rPr>
        <w:t xml:space="preserve">4.4.2  </w:t>
      </w:r>
      <w:r>
        <w:rPr>
          <w:rFonts w:ascii="宋体" w:hAnsi="宋体" w:eastAsia="宋体" w:cs="宋体"/>
          <w:spacing w:val="-4"/>
          <w:sz w:val="21"/>
          <w:szCs w:val="21"/>
        </w:rPr>
        <w:t>联合体协议经发包人确认后作为合同附件。在履行合同过程中，</w:t>
      </w:r>
      <w:r>
        <w:rPr>
          <w:rFonts w:ascii="宋体" w:hAnsi="宋体" w:eastAsia="宋体" w:cs="宋体"/>
          <w:spacing w:val="-43"/>
          <w:sz w:val="21"/>
          <w:szCs w:val="21"/>
        </w:rPr>
        <w:t xml:space="preserve"> </w:t>
      </w:r>
      <w:r>
        <w:rPr>
          <w:rFonts w:ascii="宋体" w:hAnsi="宋体" w:eastAsia="宋体" w:cs="宋体"/>
          <w:spacing w:val="-4"/>
          <w:sz w:val="21"/>
          <w:szCs w:val="21"/>
        </w:rPr>
        <w:t>未经发包人同意，不得修改联合体协议。</w:t>
      </w:r>
    </w:p>
    <w:p w14:paraId="5AD4136E">
      <w:pPr>
        <w:spacing w:before="32"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4.4.3  </w:t>
      </w:r>
      <w:r>
        <w:rPr>
          <w:rFonts w:ascii="宋体" w:hAnsi="宋体" w:eastAsia="宋体" w:cs="宋体"/>
          <w:spacing w:val="1"/>
          <w:sz w:val="21"/>
          <w:szCs w:val="21"/>
        </w:rPr>
        <w:t>联合体牵头人负责与发包人和监理人联系，并接</w:t>
      </w:r>
      <w:r>
        <w:rPr>
          <w:rFonts w:ascii="宋体" w:hAnsi="宋体" w:eastAsia="宋体" w:cs="宋体"/>
          <w:sz w:val="21"/>
          <w:szCs w:val="21"/>
        </w:rPr>
        <w:t>受指示，负责组织联合体各成员</w:t>
      </w:r>
    </w:p>
    <w:p w14:paraId="37F34F77">
      <w:pPr>
        <w:spacing w:line="233" w:lineRule="auto"/>
        <w:rPr>
          <w:rFonts w:ascii="宋体" w:hAnsi="宋体" w:eastAsia="宋体" w:cs="宋体"/>
          <w:sz w:val="21"/>
          <w:szCs w:val="21"/>
        </w:rPr>
        <w:sectPr>
          <w:footerReference r:id="rId82" w:type="default"/>
          <w:pgSz w:w="11910" w:h="16845"/>
          <w:pgMar w:top="400" w:right="1706" w:bottom="1110" w:left="1786" w:header="0" w:footer="883" w:gutter="0"/>
          <w:cols w:space="720" w:num="1"/>
        </w:sectPr>
      </w:pPr>
    </w:p>
    <w:p w14:paraId="4C90F9FB">
      <w:pPr>
        <w:pStyle w:val="2"/>
        <w:spacing w:line="275" w:lineRule="auto"/>
      </w:pPr>
    </w:p>
    <w:p w14:paraId="506620B0">
      <w:pPr>
        <w:pStyle w:val="2"/>
        <w:spacing w:line="275" w:lineRule="auto"/>
      </w:pPr>
    </w:p>
    <w:p w14:paraId="186356E7">
      <w:pPr>
        <w:pStyle w:val="2"/>
        <w:spacing w:line="275" w:lineRule="auto"/>
      </w:pPr>
    </w:p>
    <w:p w14:paraId="02F2DE21">
      <w:pPr>
        <w:pStyle w:val="2"/>
        <w:spacing w:line="276" w:lineRule="auto"/>
      </w:pPr>
    </w:p>
    <w:p w14:paraId="5F32C2C2">
      <w:pPr>
        <w:spacing w:before="68" w:line="220" w:lineRule="auto"/>
        <w:ind w:left="24"/>
        <w:rPr>
          <w:rFonts w:ascii="宋体" w:hAnsi="宋体" w:eastAsia="宋体" w:cs="宋体"/>
          <w:sz w:val="21"/>
          <w:szCs w:val="21"/>
        </w:rPr>
      </w:pPr>
      <w:bookmarkStart w:id="77" w:name="bookmark71"/>
      <w:bookmarkEnd w:id="77"/>
      <w:r>
        <w:rPr>
          <w:rFonts w:ascii="宋体" w:hAnsi="宋体" w:eastAsia="宋体" w:cs="宋体"/>
          <w:spacing w:val="-5"/>
          <w:sz w:val="21"/>
          <w:szCs w:val="21"/>
        </w:rPr>
        <w:t>全面履行合同。</w:t>
      </w:r>
    </w:p>
    <w:p w14:paraId="57F5907E">
      <w:pPr>
        <w:spacing w:before="128" w:line="233" w:lineRule="auto"/>
        <w:ind w:left="19"/>
        <w:outlineLvl w:val="2"/>
        <w:rPr>
          <w:rFonts w:ascii="黑体" w:hAnsi="黑体" w:eastAsia="黑体" w:cs="黑体"/>
          <w:sz w:val="24"/>
          <w:szCs w:val="24"/>
        </w:rPr>
      </w:pPr>
      <w:bookmarkStart w:id="78" w:name="bookmark632"/>
      <w:bookmarkEnd w:id="78"/>
      <w:r>
        <w:rPr>
          <w:rFonts w:ascii="Times New Roman" w:hAnsi="Times New Roman" w:eastAsia="Times New Roman" w:cs="Times New Roman"/>
          <w:sz w:val="24"/>
          <w:szCs w:val="24"/>
        </w:rPr>
        <w:t xml:space="preserve">4.5  </w:t>
      </w:r>
      <w:r>
        <w:rPr>
          <w:rFonts w:ascii="黑体" w:hAnsi="黑体" w:eastAsia="黑体" w:cs="黑体"/>
          <w:sz w:val="24"/>
          <w:szCs w:val="24"/>
        </w:rPr>
        <w:t>承包人项目经理</w:t>
      </w:r>
    </w:p>
    <w:p w14:paraId="1D30E70B">
      <w:pPr>
        <w:spacing w:before="112" w:line="351" w:lineRule="auto"/>
        <w:ind w:left="26" w:right="89"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4.5.1  </w:t>
      </w:r>
      <w:r>
        <w:rPr>
          <w:rFonts w:ascii="宋体" w:hAnsi="宋体" w:eastAsia="宋体" w:cs="宋体"/>
          <w:spacing w:val="1"/>
          <w:sz w:val="21"/>
          <w:szCs w:val="21"/>
        </w:rPr>
        <w:t>承包人应按合同约定指派项目经理，并在约定的</w:t>
      </w:r>
      <w:r>
        <w:rPr>
          <w:rFonts w:ascii="宋体" w:hAnsi="宋体" w:eastAsia="宋体" w:cs="宋体"/>
          <w:sz w:val="21"/>
          <w:szCs w:val="21"/>
        </w:rPr>
        <w:t>期限内到职。承包人更换项目经</w:t>
      </w:r>
      <w:r>
        <w:rPr>
          <w:rFonts w:ascii="宋体" w:hAnsi="宋体" w:eastAsia="宋体" w:cs="宋体"/>
          <w:spacing w:val="-1"/>
          <w:sz w:val="21"/>
          <w:szCs w:val="21"/>
        </w:rPr>
        <w:t>理应事先征得发包人同意，并应在更换</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天前通知发包人和监理人。承包人项目经理短期离开施工场地，应事先征得监理人同意，并委派代表代行其职责。</w:t>
      </w:r>
    </w:p>
    <w:p w14:paraId="4C82BB61">
      <w:pPr>
        <w:spacing w:before="4" w:line="352" w:lineRule="auto"/>
        <w:ind w:left="26" w:right="79" w:firstLine="413"/>
        <w:rPr>
          <w:rFonts w:ascii="宋体" w:hAnsi="宋体" w:eastAsia="宋体" w:cs="宋体"/>
          <w:sz w:val="21"/>
          <w:szCs w:val="21"/>
        </w:rPr>
      </w:pPr>
      <w:r>
        <w:rPr>
          <w:rFonts w:ascii="Times New Roman" w:hAnsi="Times New Roman" w:eastAsia="Times New Roman" w:cs="Times New Roman"/>
          <w:sz w:val="21"/>
          <w:szCs w:val="21"/>
        </w:rPr>
        <w:t xml:space="preserve">4.5.2  </w:t>
      </w:r>
      <w:r>
        <w:rPr>
          <w:rFonts w:ascii="宋体" w:hAnsi="宋体" w:eastAsia="宋体" w:cs="宋体"/>
          <w:sz w:val="21"/>
          <w:szCs w:val="21"/>
        </w:rPr>
        <w:t xml:space="preserve">承包人项目经理应按合同约定以及监理人按第 </w:t>
      </w:r>
      <w:r>
        <w:rPr>
          <w:rFonts w:ascii="Times New Roman" w:hAnsi="Times New Roman" w:eastAsia="Times New Roman" w:cs="Times New Roman"/>
          <w:sz w:val="21"/>
          <w:szCs w:val="21"/>
        </w:rPr>
        <w:t>3.4</w:t>
      </w:r>
      <w:r>
        <w:rPr>
          <w:rFonts w:ascii="Times New Roman" w:hAnsi="Times New Roman" w:eastAsia="Times New Roman" w:cs="Times New Roman"/>
          <w:spacing w:val="47"/>
          <w:sz w:val="21"/>
          <w:szCs w:val="21"/>
        </w:rPr>
        <w:t xml:space="preserve"> </w:t>
      </w:r>
      <w:r>
        <w:rPr>
          <w:rFonts w:ascii="宋体" w:hAnsi="宋体" w:eastAsia="宋体" w:cs="宋体"/>
          <w:sz w:val="21"/>
          <w:szCs w:val="21"/>
        </w:rPr>
        <w:t>款作出的</w:t>
      </w:r>
      <w:r>
        <w:rPr>
          <w:rFonts w:ascii="宋体" w:hAnsi="宋体" w:eastAsia="宋体" w:cs="宋体"/>
          <w:spacing w:val="-1"/>
          <w:sz w:val="21"/>
          <w:szCs w:val="21"/>
        </w:rPr>
        <w:t>指示，负责组织合同</w:t>
      </w:r>
      <w:r>
        <w:rPr>
          <w:rFonts w:ascii="宋体" w:hAnsi="宋体" w:eastAsia="宋体" w:cs="宋体"/>
          <w:spacing w:val="-2"/>
          <w:sz w:val="21"/>
          <w:szCs w:val="21"/>
        </w:rPr>
        <w:t>工程的实施。在情况紧急且无法与监理人取得联系时，可采取保证工程和人</w:t>
      </w:r>
      <w:r>
        <w:rPr>
          <w:rFonts w:ascii="宋体" w:hAnsi="宋体" w:eastAsia="宋体" w:cs="宋体"/>
          <w:spacing w:val="-3"/>
          <w:sz w:val="21"/>
          <w:szCs w:val="21"/>
        </w:rPr>
        <w:t>员生命财产安全</w:t>
      </w:r>
      <w:r>
        <w:rPr>
          <w:rFonts w:ascii="宋体" w:hAnsi="宋体" w:eastAsia="宋体" w:cs="宋体"/>
          <w:spacing w:val="-2"/>
          <w:sz w:val="21"/>
          <w:szCs w:val="21"/>
        </w:rPr>
        <w:t>的紧急措施，并在采取措施后</w:t>
      </w:r>
      <w:r>
        <w:rPr>
          <w:rFonts w:ascii="宋体" w:hAnsi="宋体" w:eastAsia="宋体" w:cs="宋体"/>
          <w:spacing w:val="-31"/>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2"/>
          <w:w w:val="101"/>
          <w:sz w:val="21"/>
          <w:szCs w:val="21"/>
        </w:rPr>
        <w:t xml:space="preserve"> </w:t>
      </w:r>
      <w:r>
        <w:rPr>
          <w:rFonts w:ascii="宋体" w:hAnsi="宋体" w:eastAsia="宋体" w:cs="宋体"/>
          <w:spacing w:val="-2"/>
          <w:sz w:val="21"/>
          <w:szCs w:val="21"/>
        </w:rPr>
        <w:t>小时内向监理人提交书面报告。</w:t>
      </w:r>
    </w:p>
    <w:p w14:paraId="4694A77E">
      <w:pPr>
        <w:spacing w:before="1" w:line="348" w:lineRule="auto"/>
        <w:ind w:left="29" w:right="136" w:firstLine="410"/>
        <w:rPr>
          <w:rFonts w:ascii="宋体" w:hAnsi="宋体" w:eastAsia="宋体" w:cs="宋体"/>
          <w:sz w:val="21"/>
          <w:szCs w:val="21"/>
        </w:rPr>
      </w:pPr>
      <w:r>
        <w:rPr>
          <w:rFonts w:ascii="Times New Roman" w:hAnsi="Times New Roman" w:eastAsia="Times New Roman" w:cs="Times New Roman"/>
          <w:sz w:val="21"/>
          <w:szCs w:val="21"/>
        </w:rPr>
        <w:t xml:space="preserve">4.5.3  </w:t>
      </w:r>
      <w:r>
        <w:rPr>
          <w:rFonts w:ascii="宋体" w:hAnsi="宋体" w:eastAsia="宋体" w:cs="宋体"/>
          <w:sz w:val="21"/>
          <w:szCs w:val="21"/>
        </w:rPr>
        <w:t>承包人为履行合同发出的一切函件均</w:t>
      </w:r>
      <w:r>
        <w:rPr>
          <w:rFonts w:ascii="宋体" w:hAnsi="宋体" w:eastAsia="宋体" w:cs="宋体"/>
          <w:spacing w:val="-1"/>
          <w:sz w:val="21"/>
          <w:szCs w:val="21"/>
        </w:rPr>
        <w:t>应盖有承包人授权的施工场地管理机构章，</w:t>
      </w:r>
      <w:r>
        <w:rPr>
          <w:rFonts w:ascii="宋体" w:hAnsi="宋体" w:eastAsia="宋体" w:cs="宋体"/>
          <w:spacing w:val="-2"/>
          <w:sz w:val="21"/>
          <w:szCs w:val="21"/>
        </w:rPr>
        <w:t>并由承包人项目经理或其授权代表签字。</w:t>
      </w:r>
    </w:p>
    <w:p w14:paraId="3FFEEC20">
      <w:pPr>
        <w:spacing w:before="17" w:line="336" w:lineRule="auto"/>
        <w:ind w:left="26" w:right="92"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4.5.4  </w:t>
      </w:r>
      <w:r>
        <w:rPr>
          <w:rFonts w:ascii="宋体" w:hAnsi="宋体" w:eastAsia="宋体" w:cs="宋体"/>
          <w:spacing w:val="1"/>
          <w:sz w:val="21"/>
          <w:szCs w:val="21"/>
        </w:rPr>
        <w:t>承包人项目经理可以授权其下属人员履行</w:t>
      </w:r>
      <w:r>
        <w:rPr>
          <w:rFonts w:ascii="宋体" w:hAnsi="宋体" w:eastAsia="宋体" w:cs="宋体"/>
          <w:sz w:val="21"/>
          <w:szCs w:val="21"/>
        </w:rPr>
        <w:t>其某项职责，但事先应将这些人员的姓</w:t>
      </w:r>
      <w:r>
        <w:rPr>
          <w:rFonts w:ascii="宋体" w:hAnsi="宋体" w:eastAsia="宋体" w:cs="宋体"/>
          <w:spacing w:val="-3"/>
          <w:sz w:val="21"/>
          <w:szCs w:val="21"/>
        </w:rPr>
        <w:t>名和授权范围通知监理人。</w:t>
      </w:r>
    </w:p>
    <w:p w14:paraId="12BE083B">
      <w:pPr>
        <w:spacing w:before="6" w:line="232" w:lineRule="auto"/>
        <w:ind w:left="19"/>
        <w:outlineLvl w:val="2"/>
        <w:rPr>
          <w:rFonts w:ascii="黑体" w:hAnsi="黑体" w:eastAsia="黑体" w:cs="黑体"/>
          <w:sz w:val="24"/>
          <w:szCs w:val="24"/>
        </w:rPr>
      </w:pPr>
      <w:bookmarkStart w:id="79" w:name="bookmark72"/>
      <w:bookmarkEnd w:id="79"/>
      <w:r>
        <w:rPr>
          <w:rFonts w:ascii="Times New Roman" w:hAnsi="Times New Roman" w:eastAsia="Times New Roman" w:cs="Times New Roman"/>
          <w:sz w:val="24"/>
          <w:szCs w:val="24"/>
        </w:rPr>
        <w:t xml:space="preserve">4.6  </w:t>
      </w:r>
      <w:r>
        <w:rPr>
          <w:rFonts w:ascii="黑体" w:hAnsi="黑体" w:eastAsia="黑体" w:cs="黑体"/>
          <w:sz w:val="24"/>
          <w:szCs w:val="24"/>
        </w:rPr>
        <w:t>承包人人员的管理</w:t>
      </w:r>
    </w:p>
    <w:p w14:paraId="48E436F0">
      <w:pPr>
        <w:spacing w:before="128" w:line="350" w:lineRule="auto"/>
        <w:ind w:left="22" w:right="79" w:firstLine="417"/>
        <w:rPr>
          <w:rFonts w:ascii="宋体" w:hAnsi="宋体" w:eastAsia="宋体" w:cs="宋体"/>
          <w:sz w:val="21"/>
          <w:szCs w:val="21"/>
        </w:rPr>
      </w:pPr>
      <w:r>
        <w:rPr>
          <w:rFonts w:ascii="Times New Roman" w:hAnsi="Times New Roman" w:eastAsia="Times New Roman" w:cs="Times New Roman"/>
          <w:spacing w:val="-2"/>
          <w:sz w:val="21"/>
          <w:szCs w:val="21"/>
        </w:rPr>
        <w:t xml:space="preserve">4.6.1  </w:t>
      </w:r>
      <w:r>
        <w:rPr>
          <w:rFonts w:ascii="宋体" w:hAnsi="宋体" w:eastAsia="宋体" w:cs="宋体"/>
          <w:spacing w:val="-2"/>
          <w:sz w:val="21"/>
          <w:szCs w:val="21"/>
        </w:rPr>
        <w:t>承包人应在接到开工通知后</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天内，向监理人提交承包</w:t>
      </w:r>
      <w:r>
        <w:rPr>
          <w:rFonts w:ascii="宋体" w:hAnsi="宋体" w:eastAsia="宋体" w:cs="宋体"/>
          <w:spacing w:val="-3"/>
          <w:sz w:val="21"/>
          <w:szCs w:val="21"/>
        </w:rPr>
        <w:t>人在施工场地的管理机构</w:t>
      </w:r>
      <w:r>
        <w:rPr>
          <w:rFonts w:ascii="宋体" w:hAnsi="宋体" w:eastAsia="宋体" w:cs="宋体"/>
          <w:spacing w:val="-2"/>
          <w:sz w:val="21"/>
          <w:szCs w:val="21"/>
        </w:rPr>
        <w:t>以及人员安排的报告，其内容应包括管理机构的设置、各主要岗位的技术和管理人员名单及其资格，以及各工种技术工人的安排状况。承包人应向监理人提交施工场地人员变动情</w:t>
      </w:r>
      <w:r>
        <w:rPr>
          <w:rFonts w:ascii="宋体" w:hAnsi="宋体" w:eastAsia="宋体" w:cs="宋体"/>
          <w:spacing w:val="-3"/>
          <w:sz w:val="21"/>
          <w:szCs w:val="21"/>
        </w:rPr>
        <w:t>况的</w:t>
      </w:r>
      <w:r>
        <w:rPr>
          <w:rFonts w:ascii="宋体" w:hAnsi="宋体" w:eastAsia="宋体" w:cs="宋体"/>
          <w:spacing w:val="-8"/>
          <w:sz w:val="21"/>
          <w:szCs w:val="21"/>
        </w:rPr>
        <w:t>报告。</w:t>
      </w:r>
    </w:p>
    <w:p w14:paraId="2995C71D">
      <w:pPr>
        <w:spacing w:before="1" w:line="349" w:lineRule="auto"/>
        <w:ind w:left="32" w:right="89" w:firstLine="407"/>
        <w:rPr>
          <w:rFonts w:ascii="宋体" w:hAnsi="宋体" w:eastAsia="宋体" w:cs="宋体"/>
          <w:sz w:val="21"/>
          <w:szCs w:val="21"/>
        </w:rPr>
      </w:pPr>
      <w:r>
        <w:rPr>
          <w:rFonts w:ascii="Times New Roman" w:hAnsi="Times New Roman" w:eastAsia="Times New Roman" w:cs="Times New Roman"/>
          <w:spacing w:val="1"/>
          <w:sz w:val="21"/>
          <w:szCs w:val="21"/>
        </w:rPr>
        <w:t xml:space="preserve">4.6.2  </w:t>
      </w:r>
      <w:r>
        <w:rPr>
          <w:rFonts w:ascii="宋体" w:hAnsi="宋体" w:eastAsia="宋体" w:cs="宋体"/>
          <w:spacing w:val="1"/>
          <w:sz w:val="21"/>
          <w:szCs w:val="21"/>
        </w:rPr>
        <w:t>为完成合同约定的各项工作，承包人应向施工场</w:t>
      </w:r>
      <w:r>
        <w:rPr>
          <w:rFonts w:ascii="宋体" w:hAnsi="宋体" w:eastAsia="宋体" w:cs="宋体"/>
          <w:sz w:val="21"/>
          <w:szCs w:val="21"/>
        </w:rPr>
        <w:t>地派遣或雇佣足够数量的下列人</w:t>
      </w:r>
      <w:r>
        <w:rPr>
          <w:rFonts w:ascii="宋体" w:hAnsi="宋体" w:eastAsia="宋体" w:cs="宋体"/>
          <w:spacing w:val="-17"/>
          <w:sz w:val="21"/>
          <w:szCs w:val="21"/>
        </w:rPr>
        <w:t>员：</w:t>
      </w:r>
    </w:p>
    <w:p w14:paraId="6C10A951">
      <w:pPr>
        <w:spacing w:before="17" w:line="233" w:lineRule="auto"/>
        <w:ind w:left="7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）具有相应资格的专业技工和合格的普工；</w:t>
      </w:r>
    </w:p>
    <w:p w14:paraId="2EEC1286">
      <w:pPr>
        <w:spacing w:before="125" w:line="233" w:lineRule="auto"/>
        <w:ind w:left="7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）具有相应施工经验的技术人员；</w:t>
      </w:r>
    </w:p>
    <w:p w14:paraId="43926E9D">
      <w:pPr>
        <w:spacing w:before="140"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）具有相应岗位资格的各级管理人员。</w:t>
      </w:r>
    </w:p>
    <w:p w14:paraId="21026213">
      <w:pPr>
        <w:spacing w:before="141" w:line="335" w:lineRule="auto"/>
        <w:ind w:left="29" w:right="89" w:firstLine="410"/>
        <w:rPr>
          <w:rFonts w:ascii="宋体" w:hAnsi="宋体" w:eastAsia="宋体" w:cs="宋体"/>
          <w:sz w:val="21"/>
          <w:szCs w:val="21"/>
        </w:rPr>
      </w:pPr>
      <w:r>
        <w:rPr>
          <w:rFonts w:ascii="Times New Roman" w:hAnsi="Times New Roman" w:eastAsia="Times New Roman" w:cs="Times New Roman"/>
          <w:spacing w:val="1"/>
          <w:sz w:val="21"/>
          <w:szCs w:val="21"/>
        </w:rPr>
        <w:t xml:space="preserve">4.6.3  </w:t>
      </w:r>
      <w:r>
        <w:rPr>
          <w:rFonts w:ascii="宋体" w:hAnsi="宋体" w:eastAsia="宋体" w:cs="宋体"/>
          <w:spacing w:val="1"/>
          <w:sz w:val="21"/>
          <w:szCs w:val="21"/>
        </w:rPr>
        <w:t>承包人安排在施工场地的主要管理人员和技术骨</w:t>
      </w:r>
      <w:r>
        <w:rPr>
          <w:rFonts w:ascii="宋体" w:hAnsi="宋体" w:eastAsia="宋体" w:cs="宋体"/>
          <w:sz w:val="21"/>
          <w:szCs w:val="21"/>
        </w:rPr>
        <w:t>干应相对稳定。承包人更换主要</w:t>
      </w:r>
      <w:r>
        <w:rPr>
          <w:rFonts w:ascii="宋体" w:hAnsi="宋体" w:eastAsia="宋体" w:cs="宋体"/>
          <w:spacing w:val="-2"/>
          <w:sz w:val="21"/>
          <w:szCs w:val="21"/>
        </w:rPr>
        <w:t>管理人员和技术骨干时，应取得监理人的同意。</w:t>
      </w:r>
    </w:p>
    <w:p w14:paraId="7883EDFA">
      <w:pPr>
        <w:spacing w:before="32" w:line="339" w:lineRule="auto"/>
        <w:ind w:left="26" w:right="89"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4.6.4  </w:t>
      </w:r>
      <w:r>
        <w:rPr>
          <w:rFonts w:ascii="宋体" w:hAnsi="宋体" w:eastAsia="宋体" w:cs="宋体"/>
          <w:spacing w:val="1"/>
          <w:sz w:val="21"/>
          <w:szCs w:val="21"/>
        </w:rPr>
        <w:t>特殊岗位的工作人员均应持有相应的资格证明，</w:t>
      </w:r>
      <w:r>
        <w:rPr>
          <w:rFonts w:ascii="宋体" w:hAnsi="宋体" w:eastAsia="宋体" w:cs="宋体"/>
          <w:sz w:val="21"/>
          <w:szCs w:val="21"/>
        </w:rPr>
        <w:t>监理人有权随时检查。监理人认</w:t>
      </w:r>
      <w:r>
        <w:rPr>
          <w:rFonts w:ascii="宋体" w:hAnsi="宋体" w:eastAsia="宋体" w:cs="宋体"/>
          <w:spacing w:val="-3"/>
          <w:sz w:val="21"/>
          <w:szCs w:val="21"/>
        </w:rPr>
        <w:t>为有必要时，可进行现场考核。</w:t>
      </w:r>
    </w:p>
    <w:p w14:paraId="6B816E41">
      <w:pPr>
        <w:spacing w:before="1" w:line="231" w:lineRule="auto"/>
        <w:ind w:left="19"/>
        <w:outlineLvl w:val="2"/>
        <w:rPr>
          <w:rFonts w:ascii="黑体" w:hAnsi="黑体" w:eastAsia="黑体" w:cs="黑体"/>
          <w:sz w:val="24"/>
          <w:szCs w:val="24"/>
        </w:rPr>
      </w:pPr>
      <w:bookmarkStart w:id="80" w:name="bookmark73"/>
      <w:bookmarkEnd w:id="80"/>
      <w:r>
        <w:rPr>
          <w:rFonts w:ascii="Times New Roman" w:hAnsi="Times New Roman" w:eastAsia="Times New Roman" w:cs="Times New Roman"/>
          <w:sz w:val="24"/>
          <w:szCs w:val="24"/>
        </w:rPr>
        <w:t xml:space="preserve">4.7  </w:t>
      </w:r>
      <w:r>
        <w:rPr>
          <w:rFonts w:ascii="黑体" w:hAnsi="黑体" w:eastAsia="黑体" w:cs="黑体"/>
          <w:sz w:val="24"/>
          <w:szCs w:val="24"/>
        </w:rPr>
        <w:t>撤换承包人项目经理和其他人员</w:t>
      </w:r>
    </w:p>
    <w:p w14:paraId="2CE09E80">
      <w:pPr>
        <w:spacing w:before="131" w:line="338" w:lineRule="auto"/>
        <w:ind w:left="27" w:right="29" w:firstLine="417"/>
        <w:rPr>
          <w:rFonts w:ascii="宋体" w:hAnsi="宋体" w:eastAsia="宋体" w:cs="宋体"/>
          <w:sz w:val="21"/>
          <w:szCs w:val="21"/>
        </w:rPr>
      </w:pPr>
      <w:r>
        <w:rPr>
          <w:rFonts w:ascii="宋体" w:hAnsi="宋体" w:eastAsia="宋体" w:cs="宋体"/>
          <w:spacing w:val="-1"/>
          <w:sz w:val="21"/>
          <w:szCs w:val="21"/>
        </w:rPr>
        <w:t>承包人应对其项目经理和其他人员进行有效管理。监理人要求撤换不能胜任本职工作、行为不端或玩忽职守的承包人项目经理和其他人员的，承包人应予以撤换。</w:t>
      </w:r>
    </w:p>
    <w:p w14:paraId="66C22570">
      <w:pPr>
        <w:spacing w:before="1" w:line="231" w:lineRule="auto"/>
        <w:ind w:left="19"/>
        <w:outlineLvl w:val="2"/>
        <w:rPr>
          <w:rFonts w:ascii="黑体" w:hAnsi="黑体" w:eastAsia="黑体" w:cs="黑体"/>
          <w:sz w:val="24"/>
          <w:szCs w:val="24"/>
        </w:rPr>
      </w:pPr>
      <w:bookmarkStart w:id="81" w:name="bookmark74"/>
      <w:bookmarkEnd w:id="81"/>
      <w:r>
        <w:rPr>
          <w:rFonts w:ascii="Times New Roman" w:hAnsi="Times New Roman" w:eastAsia="Times New Roman" w:cs="Times New Roman"/>
          <w:sz w:val="24"/>
          <w:szCs w:val="24"/>
        </w:rPr>
        <w:t xml:space="preserve">4.8  </w:t>
      </w:r>
      <w:r>
        <w:rPr>
          <w:rFonts w:ascii="黑体" w:hAnsi="黑体" w:eastAsia="黑体" w:cs="黑体"/>
          <w:sz w:val="24"/>
          <w:szCs w:val="24"/>
        </w:rPr>
        <w:t>保障承包人人员的合法权益</w:t>
      </w:r>
    </w:p>
    <w:p w14:paraId="191318C0">
      <w:pPr>
        <w:spacing w:before="130"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4.8.1</w:t>
      </w:r>
      <w:r>
        <w:rPr>
          <w:rFonts w:ascii="Times New Roman" w:hAnsi="Times New Roman" w:eastAsia="Times New Roman" w:cs="Times New Roman"/>
          <w:spacing w:val="62"/>
          <w:w w:val="101"/>
          <w:sz w:val="21"/>
          <w:szCs w:val="21"/>
        </w:rPr>
        <w:t xml:space="preserve"> </w:t>
      </w:r>
      <w:r>
        <w:rPr>
          <w:rFonts w:ascii="宋体" w:hAnsi="宋体" w:eastAsia="宋体" w:cs="宋体"/>
          <w:spacing w:val="-1"/>
          <w:sz w:val="21"/>
          <w:szCs w:val="21"/>
        </w:rPr>
        <w:t>承包人应与其雇佣的人员签订劳动合同，并按时发放工资。</w:t>
      </w:r>
    </w:p>
    <w:p w14:paraId="3B7002BA">
      <w:pPr>
        <w:spacing w:before="141" w:line="348" w:lineRule="auto"/>
        <w:ind w:left="25" w:firstLine="414"/>
        <w:rPr>
          <w:rFonts w:ascii="宋体" w:hAnsi="宋体" w:eastAsia="宋体" w:cs="宋体"/>
          <w:sz w:val="21"/>
          <w:szCs w:val="21"/>
        </w:rPr>
      </w:pPr>
      <w:r>
        <w:rPr>
          <w:rFonts w:ascii="Times New Roman" w:hAnsi="Times New Roman" w:eastAsia="Times New Roman" w:cs="Times New Roman"/>
          <w:spacing w:val="-2"/>
          <w:sz w:val="21"/>
          <w:szCs w:val="21"/>
        </w:rPr>
        <w:t xml:space="preserve">4.8.2  </w:t>
      </w:r>
      <w:r>
        <w:rPr>
          <w:rFonts w:ascii="宋体" w:hAnsi="宋体" w:eastAsia="宋体" w:cs="宋体"/>
          <w:spacing w:val="-2"/>
          <w:sz w:val="21"/>
          <w:szCs w:val="21"/>
        </w:rPr>
        <w:t>承包人应按劳动法的规定安排工作时间，保证其雇佣人员享有休息</w:t>
      </w:r>
      <w:r>
        <w:rPr>
          <w:rFonts w:ascii="宋体" w:hAnsi="宋体" w:eastAsia="宋体" w:cs="宋体"/>
          <w:spacing w:val="-3"/>
          <w:sz w:val="21"/>
          <w:szCs w:val="21"/>
        </w:rPr>
        <w:t>和休假的权利。</w:t>
      </w:r>
      <w:r>
        <w:rPr>
          <w:rFonts w:ascii="宋体" w:hAnsi="宋体" w:eastAsia="宋体" w:cs="宋体"/>
          <w:spacing w:val="-2"/>
          <w:sz w:val="21"/>
          <w:szCs w:val="21"/>
        </w:rPr>
        <w:t>因工程施工的特殊需要占用休假日或延长工作时间的，应不超过法律规定的限度，并按</w:t>
      </w:r>
      <w:r>
        <w:rPr>
          <w:rFonts w:ascii="宋体" w:hAnsi="宋体" w:eastAsia="宋体" w:cs="宋体"/>
          <w:spacing w:val="-3"/>
          <w:sz w:val="21"/>
          <w:szCs w:val="21"/>
        </w:rPr>
        <w:t>法律</w:t>
      </w:r>
      <w:r>
        <w:rPr>
          <w:rFonts w:ascii="宋体" w:hAnsi="宋体" w:eastAsia="宋体" w:cs="宋体"/>
          <w:spacing w:val="-4"/>
          <w:sz w:val="21"/>
          <w:szCs w:val="21"/>
        </w:rPr>
        <w:t>规定给予补休或付酬。</w:t>
      </w:r>
    </w:p>
    <w:p w14:paraId="4ABAABE7">
      <w:pPr>
        <w:spacing w:line="348" w:lineRule="auto"/>
        <w:rPr>
          <w:rFonts w:ascii="宋体" w:hAnsi="宋体" w:eastAsia="宋体" w:cs="宋体"/>
          <w:sz w:val="21"/>
          <w:szCs w:val="21"/>
        </w:rPr>
        <w:sectPr>
          <w:footerReference r:id="rId83" w:type="default"/>
          <w:pgSz w:w="11910" w:h="16845"/>
          <w:pgMar w:top="400" w:right="1689" w:bottom="1110" w:left="1786" w:header="0" w:footer="883" w:gutter="0"/>
          <w:cols w:space="720" w:num="1"/>
        </w:sectPr>
      </w:pPr>
    </w:p>
    <w:p w14:paraId="7FDAABE6">
      <w:pPr>
        <w:pStyle w:val="2"/>
        <w:spacing w:line="275" w:lineRule="auto"/>
      </w:pPr>
    </w:p>
    <w:p w14:paraId="61C47745">
      <w:pPr>
        <w:pStyle w:val="2"/>
        <w:spacing w:line="275" w:lineRule="auto"/>
      </w:pPr>
    </w:p>
    <w:p w14:paraId="15E795BC">
      <w:pPr>
        <w:pStyle w:val="2"/>
        <w:spacing w:line="275" w:lineRule="auto"/>
      </w:pPr>
    </w:p>
    <w:p w14:paraId="29902726">
      <w:pPr>
        <w:pStyle w:val="2"/>
        <w:spacing w:line="276" w:lineRule="auto"/>
      </w:pPr>
    </w:p>
    <w:p w14:paraId="5FD99E92">
      <w:pPr>
        <w:spacing w:before="69" w:line="348" w:lineRule="auto"/>
        <w:ind w:left="27" w:right="28" w:firstLine="412"/>
        <w:rPr>
          <w:rFonts w:ascii="宋体" w:hAnsi="宋体" w:eastAsia="宋体" w:cs="宋体"/>
          <w:sz w:val="21"/>
          <w:szCs w:val="21"/>
        </w:rPr>
      </w:pPr>
      <w:r>
        <w:rPr>
          <w:rFonts w:ascii="Times New Roman" w:hAnsi="Times New Roman" w:eastAsia="Times New Roman" w:cs="Times New Roman"/>
          <w:spacing w:val="1"/>
          <w:sz w:val="21"/>
          <w:szCs w:val="21"/>
        </w:rPr>
        <w:t xml:space="preserve">4.8.3  </w:t>
      </w:r>
      <w:r>
        <w:rPr>
          <w:rFonts w:ascii="宋体" w:hAnsi="宋体" w:eastAsia="宋体" w:cs="宋体"/>
          <w:spacing w:val="1"/>
          <w:sz w:val="21"/>
          <w:szCs w:val="21"/>
        </w:rPr>
        <w:t>承包人应为其雇佣人员提供必要的食宿条件，以</w:t>
      </w:r>
      <w:r>
        <w:rPr>
          <w:rFonts w:ascii="宋体" w:hAnsi="宋体" w:eastAsia="宋体" w:cs="宋体"/>
          <w:sz w:val="21"/>
          <w:szCs w:val="21"/>
        </w:rPr>
        <w:t>及符合环境保护和卫生要求的生</w:t>
      </w:r>
      <w:r>
        <w:rPr>
          <w:rFonts w:ascii="宋体" w:hAnsi="宋体" w:eastAsia="宋体" w:cs="宋体"/>
          <w:spacing w:val="-1"/>
          <w:sz w:val="21"/>
          <w:szCs w:val="21"/>
        </w:rPr>
        <w:t>活环境，在远离城镇的施工场地，还应配备必要的伤病防治和急救的医务人员与医疗设施。</w:t>
      </w:r>
    </w:p>
    <w:p w14:paraId="0301709A">
      <w:pPr>
        <w:spacing w:before="3" w:line="352" w:lineRule="auto"/>
        <w:ind w:left="24" w:right="17"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4.8.4  </w:t>
      </w:r>
      <w:r>
        <w:rPr>
          <w:rFonts w:ascii="宋体" w:hAnsi="宋体" w:eastAsia="宋体" w:cs="宋体"/>
          <w:spacing w:val="1"/>
          <w:sz w:val="21"/>
          <w:szCs w:val="21"/>
        </w:rPr>
        <w:t>承包人应按国家有关劳动保护的规定，采取有效</w:t>
      </w:r>
      <w:r>
        <w:rPr>
          <w:rFonts w:ascii="宋体" w:hAnsi="宋体" w:eastAsia="宋体" w:cs="宋体"/>
          <w:sz w:val="21"/>
          <w:szCs w:val="21"/>
        </w:rPr>
        <w:t>的防止粉尘、降低噪声、控制有</w:t>
      </w:r>
      <w:r>
        <w:rPr>
          <w:rFonts w:ascii="宋体" w:hAnsi="宋体" w:eastAsia="宋体" w:cs="宋体"/>
          <w:spacing w:val="-5"/>
          <w:sz w:val="21"/>
          <w:szCs w:val="21"/>
        </w:rPr>
        <w:t>害气体和保障高温、高寒、高空作业安全等劳动保护措施。</w:t>
      </w:r>
      <w:r>
        <w:rPr>
          <w:rFonts w:ascii="宋体" w:hAnsi="宋体" w:eastAsia="宋体" w:cs="宋体"/>
          <w:spacing w:val="-6"/>
          <w:sz w:val="21"/>
          <w:szCs w:val="21"/>
        </w:rPr>
        <w:t>其雇佣人员在施工中受到伤害的，</w:t>
      </w:r>
      <w:r>
        <w:rPr>
          <w:rFonts w:ascii="宋体" w:hAnsi="宋体" w:eastAsia="宋体" w:cs="宋体"/>
          <w:spacing w:val="-2"/>
          <w:sz w:val="21"/>
          <w:szCs w:val="21"/>
        </w:rPr>
        <w:t>承包人应立即采取有效措施进行抢救和治疗。</w:t>
      </w:r>
    </w:p>
    <w:p w14:paraId="1216B25E">
      <w:pPr>
        <w:spacing w:line="233" w:lineRule="auto"/>
        <w:ind w:left="439"/>
        <w:rPr>
          <w:rFonts w:ascii="宋体" w:hAnsi="宋体" w:eastAsia="宋体" w:cs="宋体"/>
          <w:sz w:val="21"/>
          <w:szCs w:val="21"/>
        </w:rPr>
      </w:pPr>
      <w:r>
        <w:rPr>
          <w:rFonts w:ascii="Times New Roman" w:hAnsi="Times New Roman" w:eastAsia="Times New Roman" w:cs="Times New Roman"/>
          <w:sz w:val="21"/>
          <w:szCs w:val="21"/>
        </w:rPr>
        <w:t>4.8.5</w:t>
      </w:r>
      <w:r>
        <w:rPr>
          <w:rFonts w:ascii="Times New Roman" w:hAnsi="Times New Roman" w:eastAsia="Times New Roman" w:cs="Times New Roman"/>
          <w:spacing w:val="46"/>
          <w:w w:val="101"/>
          <w:sz w:val="21"/>
          <w:szCs w:val="21"/>
        </w:rPr>
        <w:t xml:space="preserve"> </w:t>
      </w:r>
      <w:r>
        <w:rPr>
          <w:rFonts w:ascii="宋体" w:hAnsi="宋体" w:eastAsia="宋体" w:cs="宋体"/>
          <w:sz w:val="21"/>
          <w:szCs w:val="21"/>
        </w:rPr>
        <w:t>承包人应按有关法律规定和合同</w:t>
      </w:r>
      <w:r>
        <w:rPr>
          <w:rFonts w:ascii="宋体" w:hAnsi="宋体" w:eastAsia="宋体" w:cs="宋体"/>
          <w:spacing w:val="-1"/>
          <w:sz w:val="21"/>
          <w:szCs w:val="21"/>
        </w:rPr>
        <w:t>约定，为其雇佣人员办理保险。</w:t>
      </w:r>
    </w:p>
    <w:p w14:paraId="6F21E440">
      <w:pPr>
        <w:spacing w:before="140"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4.8.6</w:t>
      </w:r>
      <w:r>
        <w:rPr>
          <w:rFonts w:ascii="Times New Roman" w:hAnsi="Times New Roman" w:eastAsia="Times New Roman" w:cs="Times New Roman"/>
          <w:spacing w:val="61"/>
          <w:sz w:val="21"/>
          <w:szCs w:val="21"/>
        </w:rPr>
        <w:t xml:space="preserve"> </w:t>
      </w:r>
      <w:r>
        <w:rPr>
          <w:rFonts w:ascii="宋体" w:hAnsi="宋体" w:eastAsia="宋体" w:cs="宋体"/>
          <w:spacing w:val="-1"/>
          <w:sz w:val="21"/>
          <w:szCs w:val="21"/>
        </w:rPr>
        <w:t>承包人应负责处理其雇佣人员因工伤亡事故的善后事宜。</w:t>
      </w:r>
    </w:p>
    <w:p w14:paraId="44555CBA">
      <w:pPr>
        <w:spacing w:before="113" w:line="233" w:lineRule="auto"/>
        <w:ind w:left="19"/>
        <w:outlineLvl w:val="2"/>
        <w:rPr>
          <w:rFonts w:ascii="黑体" w:hAnsi="黑体" w:eastAsia="黑体" w:cs="黑体"/>
          <w:sz w:val="24"/>
          <w:szCs w:val="24"/>
        </w:rPr>
      </w:pPr>
      <w:bookmarkStart w:id="82" w:name="bookmark75"/>
      <w:bookmarkEnd w:id="82"/>
      <w:r>
        <w:rPr>
          <w:rFonts w:ascii="Times New Roman" w:hAnsi="Times New Roman" w:eastAsia="Times New Roman" w:cs="Times New Roman"/>
          <w:sz w:val="24"/>
          <w:szCs w:val="24"/>
        </w:rPr>
        <w:t xml:space="preserve">4.9  </w:t>
      </w:r>
      <w:r>
        <w:rPr>
          <w:rFonts w:ascii="黑体" w:hAnsi="黑体" w:eastAsia="黑体" w:cs="黑体"/>
          <w:sz w:val="24"/>
          <w:szCs w:val="24"/>
        </w:rPr>
        <w:t>工程价款应专款专用</w:t>
      </w:r>
    </w:p>
    <w:p w14:paraId="1EDE5269">
      <w:pPr>
        <w:spacing w:before="113" w:line="218" w:lineRule="auto"/>
        <w:ind w:left="448"/>
        <w:rPr>
          <w:rFonts w:ascii="宋体" w:hAnsi="宋体" w:eastAsia="宋体" w:cs="宋体"/>
          <w:sz w:val="21"/>
          <w:szCs w:val="21"/>
        </w:rPr>
      </w:pPr>
      <w:r>
        <w:rPr>
          <w:rFonts w:ascii="宋体" w:hAnsi="宋体" w:eastAsia="宋体" w:cs="宋体"/>
          <w:spacing w:val="-1"/>
          <w:sz w:val="21"/>
          <w:szCs w:val="21"/>
        </w:rPr>
        <w:t>发包人按合同约定支付给承包人的各项价款应专用于合同工程。</w:t>
      </w:r>
    </w:p>
    <w:p w14:paraId="7C096CE1">
      <w:pPr>
        <w:spacing w:before="131" w:line="233" w:lineRule="auto"/>
        <w:ind w:left="19"/>
        <w:outlineLvl w:val="2"/>
        <w:rPr>
          <w:rFonts w:ascii="黑体" w:hAnsi="黑体" w:eastAsia="黑体" w:cs="黑体"/>
          <w:sz w:val="24"/>
          <w:szCs w:val="24"/>
        </w:rPr>
      </w:pPr>
      <w:bookmarkStart w:id="83" w:name="bookmark76"/>
      <w:bookmarkEnd w:id="83"/>
      <w:r>
        <w:rPr>
          <w:rFonts w:ascii="Times New Roman" w:hAnsi="Times New Roman" w:eastAsia="Times New Roman" w:cs="Times New Roman"/>
          <w:sz w:val="24"/>
          <w:szCs w:val="24"/>
        </w:rPr>
        <w:t xml:space="preserve">4.10  </w:t>
      </w:r>
      <w:r>
        <w:rPr>
          <w:rFonts w:ascii="黑体" w:hAnsi="黑体" w:eastAsia="黑体" w:cs="黑体"/>
          <w:sz w:val="24"/>
          <w:szCs w:val="24"/>
        </w:rPr>
        <w:t>承包人现场查勘</w:t>
      </w:r>
    </w:p>
    <w:p w14:paraId="0C1E02E3">
      <w:pPr>
        <w:spacing w:before="128" w:line="336" w:lineRule="auto"/>
        <w:ind w:left="24" w:right="75" w:firstLine="415"/>
        <w:rPr>
          <w:rFonts w:ascii="宋体" w:hAnsi="宋体" w:eastAsia="宋体" w:cs="宋体"/>
          <w:sz w:val="21"/>
          <w:szCs w:val="21"/>
        </w:rPr>
      </w:pPr>
      <w:r>
        <w:rPr>
          <w:rFonts w:ascii="Times New Roman" w:hAnsi="Times New Roman" w:eastAsia="Times New Roman" w:cs="Times New Roman"/>
          <w:spacing w:val="-3"/>
          <w:sz w:val="21"/>
          <w:szCs w:val="21"/>
        </w:rPr>
        <w:t xml:space="preserve">4.10.1  </w:t>
      </w:r>
      <w:r>
        <w:rPr>
          <w:rFonts w:ascii="宋体" w:hAnsi="宋体" w:eastAsia="宋体" w:cs="宋体"/>
          <w:spacing w:val="-3"/>
          <w:sz w:val="21"/>
          <w:szCs w:val="21"/>
        </w:rPr>
        <w:t>发包人应将其持有的现场地质勘探资料、水文气象资料提供给承包人，</w:t>
      </w:r>
      <w:r>
        <w:rPr>
          <w:rFonts w:ascii="宋体" w:hAnsi="宋体" w:eastAsia="宋体" w:cs="宋体"/>
          <w:spacing w:val="-39"/>
          <w:sz w:val="21"/>
          <w:szCs w:val="21"/>
        </w:rPr>
        <w:t xml:space="preserve"> </w:t>
      </w:r>
      <w:r>
        <w:rPr>
          <w:rFonts w:ascii="宋体" w:hAnsi="宋体" w:eastAsia="宋体" w:cs="宋体"/>
          <w:spacing w:val="-3"/>
          <w:sz w:val="21"/>
          <w:szCs w:val="21"/>
        </w:rPr>
        <w:t>并对其准</w:t>
      </w:r>
      <w:r>
        <w:rPr>
          <w:rFonts w:ascii="宋体" w:hAnsi="宋体" w:eastAsia="宋体" w:cs="宋体"/>
          <w:spacing w:val="-1"/>
          <w:sz w:val="21"/>
          <w:szCs w:val="21"/>
        </w:rPr>
        <w:t>确性负责。但承包人应对其阅读上述有关资料后所作出的解释和推断负责。</w:t>
      </w:r>
    </w:p>
    <w:p w14:paraId="7A3A261E">
      <w:pPr>
        <w:spacing w:before="34" w:line="344" w:lineRule="auto"/>
        <w:ind w:left="24" w:right="14" w:firstLine="415"/>
        <w:rPr>
          <w:rFonts w:ascii="宋体" w:hAnsi="宋体" w:eastAsia="宋体" w:cs="宋体"/>
          <w:sz w:val="21"/>
          <w:szCs w:val="21"/>
        </w:rPr>
      </w:pPr>
      <w:r>
        <w:rPr>
          <w:rFonts w:ascii="Times New Roman" w:hAnsi="Times New Roman" w:eastAsia="Times New Roman" w:cs="Times New Roman"/>
          <w:sz w:val="21"/>
          <w:szCs w:val="21"/>
        </w:rPr>
        <w:t xml:space="preserve">4.10.2  </w:t>
      </w:r>
      <w:r>
        <w:rPr>
          <w:rFonts w:ascii="宋体" w:hAnsi="宋体" w:eastAsia="宋体" w:cs="宋体"/>
          <w:sz w:val="21"/>
          <w:szCs w:val="21"/>
        </w:rPr>
        <w:t>承包人应对施工场地和周围环境进行查勘，并收集有关地质、水文、气象</w:t>
      </w:r>
      <w:r>
        <w:rPr>
          <w:rFonts w:ascii="宋体" w:hAnsi="宋体" w:eastAsia="宋体" w:cs="宋体"/>
          <w:spacing w:val="-1"/>
          <w:sz w:val="21"/>
          <w:szCs w:val="21"/>
        </w:rPr>
        <w:t>条件、</w:t>
      </w:r>
      <w:r>
        <w:rPr>
          <w:rFonts w:ascii="宋体" w:hAnsi="宋体" w:eastAsia="宋体" w:cs="宋体"/>
          <w:spacing w:val="-2"/>
          <w:sz w:val="21"/>
          <w:szCs w:val="21"/>
        </w:rPr>
        <w:t>交通条件、风俗习惯以及其他为完成合同工作有关的当地资料。在全部合同工作</w:t>
      </w:r>
      <w:r>
        <w:rPr>
          <w:rFonts w:ascii="宋体" w:hAnsi="宋体" w:eastAsia="宋体" w:cs="宋体"/>
          <w:spacing w:val="-3"/>
          <w:sz w:val="21"/>
          <w:szCs w:val="21"/>
        </w:rPr>
        <w:t>中，应视为</w:t>
      </w:r>
      <w:r>
        <w:rPr>
          <w:rFonts w:ascii="宋体" w:hAnsi="宋体" w:eastAsia="宋体" w:cs="宋体"/>
          <w:spacing w:val="-2"/>
          <w:sz w:val="21"/>
          <w:szCs w:val="21"/>
        </w:rPr>
        <w:t>承包人已充分估计了应承担的责任和风险。</w:t>
      </w:r>
    </w:p>
    <w:p w14:paraId="0FF23B36">
      <w:pPr>
        <w:spacing w:line="232" w:lineRule="auto"/>
        <w:ind w:left="19"/>
        <w:outlineLvl w:val="2"/>
        <w:rPr>
          <w:rFonts w:ascii="黑体" w:hAnsi="黑体" w:eastAsia="黑体" w:cs="黑体"/>
          <w:sz w:val="24"/>
          <w:szCs w:val="24"/>
        </w:rPr>
      </w:pPr>
      <w:bookmarkStart w:id="84" w:name="bookmark77"/>
      <w:bookmarkEnd w:id="84"/>
      <w:r>
        <w:rPr>
          <w:rFonts w:ascii="Times New Roman" w:hAnsi="Times New Roman" w:eastAsia="Times New Roman" w:cs="Times New Roman"/>
          <w:spacing w:val="-2"/>
          <w:sz w:val="24"/>
          <w:szCs w:val="24"/>
        </w:rPr>
        <w:t xml:space="preserve">4.11  </w:t>
      </w:r>
      <w:r>
        <w:rPr>
          <w:rFonts w:ascii="黑体" w:hAnsi="黑体" w:eastAsia="黑体" w:cs="黑体"/>
          <w:spacing w:val="-2"/>
          <w:sz w:val="24"/>
          <w:szCs w:val="24"/>
        </w:rPr>
        <w:t>不利物质条件</w:t>
      </w:r>
    </w:p>
    <w:p w14:paraId="683EE464">
      <w:pPr>
        <w:spacing w:before="130" w:line="348" w:lineRule="auto"/>
        <w:ind w:left="23" w:right="77" w:firstLine="416"/>
        <w:rPr>
          <w:rFonts w:ascii="宋体" w:hAnsi="宋体" w:eastAsia="宋体" w:cs="宋体"/>
          <w:sz w:val="21"/>
          <w:szCs w:val="21"/>
        </w:rPr>
      </w:pPr>
      <w:r>
        <w:rPr>
          <w:rFonts w:ascii="Times New Roman" w:hAnsi="Times New Roman" w:eastAsia="Times New Roman" w:cs="Times New Roman"/>
          <w:spacing w:val="-2"/>
          <w:sz w:val="21"/>
          <w:szCs w:val="21"/>
        </w:rPr>
        <w:t>4.11.1</w:t>
      </w:r>
      <w:r>
        <w:rPr>
          <w:rFonts w:ascii="Times New Roman" w:hAnsi="Times New Roman" w:eastAsia="Times New Roman" w:cs="Times New Roman"/>
          <w:spacing w:val="13"/>
          <w:w w:val="101"/>
          <w:sz w:val="21"/>
          <w:szCs w:val="21"/>
        </w:rPr>
        <w:t xml:space="preserve">  </w:t>
      </w:r>
      <w:r>
        <w:rPr>
          <w:rFonts w:ascii="宋体" w:hAnsi="宋体" w:eastAsia="宋体" w:cs="宋体"/>
          <w:spacing w:val="-2"/>
          <w:sz w:val="21"/>
          <w:szCs w:val="21"/>
        </w:rPr>
        <w:t>不利物质条件，除专用合同条款另有约定外，是指承包</w:t>
      </w:r>
      <w:r>
        <w:rPr>
          <w:rFonts w:ascii="宋体" w:hAnsi="宋体" w:eastAsia="宋体" w:cs="宋体"/>
          <w:spacing w:val="-3"/>
          <w:sz w:val="21"/>
          <w:szCs w:val="21"/>
        </w:rPr>
        <w:t>人在施工场地遇到的不可</w:t>
      </w:r>
      <w:r>
        <w:rPr>
          <w:rFonts w:ascii="宋体" w:hAnsi="宋体" w:eastAsia="宋体" w:cs="宋体"/>
          <w:spacing w:val="-4"/>
          <w:sz w:val="21"/>
          <w:szCs w:val="21"/>
        </w:rPr>
        <w:t>预见的自然物质条件、非自然的物质障碍和</w:t>
      </w:r>
      <w:r>
        <w:rPr>
          <w:rFonts w:ascii="宋体" w:hAnsi="宋体" w:eastAsia="宋体" w:cs="宋体"/>
          <w:spacing w:val="-5"/>
          <w:sz w:val="21"/>
          <w:szCs w:val="21"/>
        </w:rPr>
        <w:t>污染物， 包括地下和水文条件，但不包括气候条</w:t>
      </w:r>
      <w:r>
        <w:rPr>
          <w:rFonts w:ascii="宋体" w:hAnsi="宋体" w:eastAsia="宋体" w:cs="宋体"/>
          <w:spacing w:val="-10"/>
          <w:sz w:val="21"/>
          <w:szCs w:val="21"/>
        </w:rPr>
        <w:t>件。</w:t>
      </w:r>
    </w:p>
    <w:p w14:paraId="4CA8610B">
      <w:pPr>
        <w:spacing w:before="12" w:line="344" w:lineRule="auto"/>
        <w:ind w:left="23" w:firstLine="416"/>
        <w:rPr>
          <w:rFonts w:ascii="宋体" w:hAnsi="宋体" w:eastAsia="宋体" w:cs="宋体"/>
          <w:sz w:val="21"/>
          <w:szCs w:val="21"/>
        </w:rPr>
      </w:pPr>
      <w:r>
        <w:rPr>
          <w:rFonts w:ascii="Times New Roman" w:hAnsi="Times New Roman" w:eastAsia="Times New Roman" w:cs="Times New Roman"/>
          <w:spacing w:val="-1"/>
          <w:sz w:val="21"/>
          <w:szCs w:val="21"/>
        </w:rPr>
        <w:t xml:space="preserve">4.11.2  </w:t>
      </w:r>
      <w:r>
        <w:rPr>
          <w:rFonts w:ascii="宋体" w:hAnsi="宋体" w:eastAsia="宋体" w:cs="宋体"/>
          <w:spacing w:val="-1"/>
          <w:sz w:val="21"/>
          <w:szCs w:val="21"/>
        </w:rPr>
        <w:t>承包人遇到不利物质条件时，应采</w:t>
      </w:r>
      <w:r>
        <w:rPr>
          <w:rFonts w:ascii="宋体" w:hAnsi="宋体" w:eastAsia="宋体" w:cs="宋体"/>
          <w:spacing w:val="-2"/>
          <w:sz w:val="21"/>
          <w:szCs w:val="21"/>
        </w:rPr>
        <w:t>取适应不利物质条件的合理措施继续施工，并</w:t>
      </w:r>
      <w:r>
        <w:rPr>
          <w:rFonts w:ascii="宋体" w:hAnsi="宋体" w:eastAsia="宋体" w:cs="宋体"/>
          <w:spacing w:val="-1"/>
          <w:sz w:val="21"/>
          <w:szCs w:val="21"/>
        </w:rPr>
        <w:t>及时通知监理人。监理人应当及时发出指示，指示构成变更的，按第</w:t>
      </w:r>
      <w:r>
        <w:rPr>
          <w:rFonts w:ascii="宋体" w:hAnsi="宋体" w:eastAsia="宋体" w:cs="宋体"/>
          <w:spacing w:val="-12"/>
          <w:sz w:val="21"/>
          <w:szCs w:val="21"/>
        </w:rPr>
        <w:t xml:space="preserve"> </w:t>
      </w:r>
      <w:r>
        <w:rPr>
          <w:rFonts w:ascii="Times New Roman" w:hAnsi="Times New Roman" w:eastAsia="Times New Roman" w:cs="Times New Roman"/>
          <w:spacing w:val="-1"/>
          <w:sz w:val="21"/>
          <w:szCs w:val="21"/>
        </w:rPr>
        <w:t>15</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条约定办理。监理</w:t>
      </w:r>
      <w:r>
        <w:rPr>
          <w:rFonts w:ascii="宋体" w:hAnsi="宋体" w:eastAsia="宋体" w:cs="宋体"/>
          <w:spacing w:val="-5"/>
          <w:sz w:val="21"/>
          <w:szCs w:val="21"/>
        </w:rPr>
        <w:t>人没有发出指示的，承包人因采取合理措施而增加的费用和（或）工期延误，由发包人承担。</w:t>
      </w:r>
    </w:p>
    <w:p w14:paraId="70B79585">
      <w:pPr>
        <w:spacing w:before="67" w:line="237" w:lineRule="auto"/>
        <w:ind w:left="29"/>
        <w:outlineLvl w:val="1"/>
        <w:rPr>
          <w:rFonts w:ascii="黑体" w:hAnsi="黑体" w:eastAsia="黑体" w:cs="黑体"/>
          <w:sz w:val="28"/>
          <w:szCs w:val="28"/>
        </w:rPr>
      </w:pPr>
      <w:bookmarkStart w:id="85" w:name="bookmark79"/>
      <w:bookmarkEnd w:id="85"/>
      <w:bookmarkStart w:id="86" w:name="bookmark78"/>
      <w:bookmarkEnd w:id="86"/>
      <w:r>
        <w:rPr>
          <w:rFonts w:ascii="Times New Roman" w:hAnsi="Times New Roman" w:eastAsia="Times New Roman" w:cs="Times New Roman"/>
          <w:spacing w:val="4"/>
          <w:sz w:val="28"/>
          <w:szCs w:val="28"/>
        </w:rPr>
        <w:t xml:space="preserve">5.  </w:t>
      </w:r>
      <w:r>
        <w:rPr>
          <w:rFonts w:ascii="黑体" w:hAnsi="黑体" w:eastAsia="黑体" w:cs="黑体"/>
          <w:spacing w:val="4"/>
          <w:sz w:val="28"/>
          <w:szCs w:val="28"/>
        </w:rPr>
        <w:t>材料和工程设备</w:t>
      </w:r>
    </w:p>
    <w:p w14:paraId="0BCD8B14">
      <w:pPr>
        <w:spacing w:before="71" w:line="233" w:lineRule="auto"/>
        <w:ind w:left="27"/>
        <w:outlineLvl w:val="2"/>
        <w:rPr>
          <w:rFonts w:ascii="黑体" w:hAnsi="黑体" w:eastAsia="黑体" w:cs="黑体"/>
          <w:sz w:val="24"/>
          <w:szCs w:val="24"/>
        </w:rPr>
      </w:pPr>
      <w:bookmarkStart w:id="87" w:name="bookmark633"/>
      <w:bookmarkEnd w:id="87"/>
      <w:r>
        <w:rPr>
          <w:rFonts w:ascii="Times New Roman" w:hAnsi="Times New Roman" w:eastAsia="Times New Roman" w:cs="Times New Roman"/>
          <w:spacing w:val="-1"/>
          <w:sz w:val="24"/>
          <w:szCs w:val="24"/>
        </w:rPr>
        <w:t xml:space="preserve">5.1  </w:t>
      </w:r>
      <w:r>
        <w:rPr>
          <w:rFonts w:ascii="黑体" w:hAnsi="黑体" w:eastAsia="黑体" w:cs="黑体"/>
          <w:spacing w:val="-1"/>
          <w:sz w:val="24"/>
          <w:szCs w:val="24"/>
        </w:rPr>
        <w:t>承包人提供的材料和工程设备</w:t>
      </w:r>
    </w:p>
    <w:p w14:paraId="675EB371">
      <w:pPr>
        <w:spacing w:before="128" w:line="335" w:lineRule="auto"/>
        <w:ind w:left="24" w:firstLine="422"/>
        <w:rPr>
          <w:rFonts w:ascii="宋体" w:hAnsi="宋体" w:eastAsia="宋体" w:cs="宋体"/>
          <w:sz w:val="21"/>
          <w:szCs w:val="21"/>
        </w:rPr>
      </w:pPr>
      <w:r>
        <w:rPr>
          <w:rFonts w:ascii="Times New Roman" w:hAnsi="Times New Roman" w:eastAsia="Times New Roman" w:cs="Times New Roman"/>
          <w:spacing w:val="-2"/>
          <w:sz w:val="21"/>
          <w:szCs w:val="21"/>
        </w:rPr>
        <w:t xml:space="preserve">5.1.1  </w:t>
      </w:r>
      <w:r>
        <w:rPr>
          <w:rFonts w:ascii="宋体" w:hAnsi="宋体" w:eastAsia="宋体" w:cs="宋体"/>
          <w:spacing w:val="-2"/>
          <w:sz w:val="21"/>
          <w:szCs w:val="21"/>
        </w:rPr>
        <w:t>除专用合同条款另有约定外，承包人提供的材料和工</w:t>
      </w:r>
      <w:r>
        <w:rPr>
          <w:rFonts w:ascii="宋体" w:hAnsi="宋体" w:eastAsia="宋体" w:cs="宋体"/>
          <w:spacing w:val="-3"/>
          <w:sz w:val="21"/>
          <w:szCs w:val="21"/>
        </w:rPr>
        <w:t>程设备均由承包人负责采购、</w:t>
      </w:r>
      <w:r>
        <w:rPr>
          <w:rFonts w:ascii="宋体" w:hAnsi="宋体" w:eastAsia="宋体" w:cs="宋体"/>
          <w:spacing w:val="-1"/>
          <w:sz w:val="21"/>
          <w:szCs w:val="21"/>
        </w:rPr>
        <w:t>运输和保管。承包人应对其采购的材料和工程设备</w:t>
      </w:r>
      <w:r>
        <w:rPr>
          <w:rFonts w:ascii="宋体" w:hAnsi="宋体" w:eastAsia="宋体" w:cs="宋体"/>
          <w:spacing w:val="-2"/>
          <w:sz w:val="21"/>
          <w:szCs w:val="21"/>
        </w:rPr>
        <w:t>负责。</w:t>
      </w:r>
    </w:p>
    <w:p w14:paraId="0DE72A50">
      <w:pPr>
        <w:spacing w:before="34" w:line="348" w:lineRule="auto"/>
        <w:ind w:left="25" w:firstLine="421"/>
        <w:rPr>
          <w:rFonts w:ascii="宋体" w:hAnsi="宋体" w:eastAsia="宋体" w:cs="宋体"/>
          <w:sz w:val="21"/>
          <w:szCs w:val="21"/>
        </w:rPr>
      </w:pPr>
      <w:r>
        <w:rPr>
          <w:rFonts w:ascii="Times New Roman" w:hAnsi="Times New Roman" w:eastAsia="Times New Roman" w:cs="Times New Roman"/>
          <w:spacing w:val="-2"/>
          <w:sz w:val="21"/>
          <w:szCs w:val="21"/>
        </w:rPr>
        <w:t xml:space="preserve">5.1.2  </w:t>
      </w:r>
      <w:r>
        <w:rPr>
          <w:rFonts w:ascii="宋体" w:hAnsi="宋体" w:eastAsia="宋体" w:cs="宋体"/>
          <w:spacing w:val="-2"/>
          <w:sz w:val="21"/>
          <w:szCs w:val="21"/>
        </w:rPr>
        <w:t>承包人应按专用合同条款的约定，将各项材料和工</w:t>
      </w:r>
      <w:r>
        <w:rPr>
          <w:rFonts w:ascii="宋体" w:hAnsi="宋体" w:eastAsia="宋体" w:cs="宋体"/>
          <w:spacing w:val="-3"/>
          <w:sz w:val="21"/>
          <w:szCs w:val="21"/>
        </w:rPr>
        <w:t>程设备的供货人及品种、规格、</w:t>
      </w:r>
      <w:r>
        <w:rPr>
          <w:rFonts w:ascii="宋体" w:hAnsi="宋体" w:eastAsia="宋体" w:cs="宋体"/>
          <w:spacing w:val="-2"/>
          <w:sz w:val="21"/>
          <w:szCs w:val="21"/>
        </w:rPr>
        <w:t>数量和供货时间等报送监理人审批。承包人应向监理人提交其负责提供的材料和工程设</w:t>
      </w:r>
      <w:r>
        <w:rPr>
          <w:rFonts w:ascii="宋体" w:hAnsi="宋体" w:eastAsia="宋体" w:cs="宋体"/>
          <w:spacing w:val="-3"/>
          <w:sz w:val="21"/>
          <w:szCs w:val="21"/>
        </w:rPr>
        <w:t>备的</w:t>
      </w:r>
      <w:r>
        <w:rPr>
          <w:rFonts w:ascii="宋体" w:hAnsi="宋体" w:eastAsia="宋体" w:cs="宋体"/>
          <w:spacing w:val="-2"/>
          <w:sz w:val="21"/>
          <w:szCs w:val="21"/>
        </w:rPr>
        <w:t>质量证明文件，并满足合同约定的质量标准。</w:t>
      </w:r>
    </w:p>
    <w:p w14:paraId="53CDFBD2">
      <w:pPr>
        <w:spacing w:before="15" w:line="344" w:lineRule="auto"/>
        <w:ind w:left="23" w:right="89"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5.1.3  </w:t>
      </w:r>
      <w:r>
        <w:rPr>
          <w:rFonts w:ascii="宋体" w:hAnsi="宋体" w:eastAsia="宋体" w:cs="宋体"/>
          <w:spacing w:val="1"/>
          <w:sz w:val="21"/>
          <w:szCs w:val="21"/>
        </w:rPr>
        <w:t>对承包人提供的材料和工程设备</w:t>
      </w:r>
      <w:r>
        <w:rPr>
          <w:rFonts w:ascii="宋体" w:hAnsi="宋体" w:eastAsia="宋体" w:cs="宋体"/>
          <w:sz w:val="21"/>
          <w:szCs w:val="21"/>
        </w:rPr>
        <w:t>，承包人应会同监理人进行检验和交货验收，查</w:t>
      </w:r>
      <w:r>
        <w:rPr>
          <w:rFonts w:ascii="宋体" w:hAnsi="宋体" w:eastAsia="宋体" w:cs="宋体"/>
          <w:spacing w:val="-2"/>
          <w:sz w:val="21"/>
          <w:szCs w:val="21"/>
        </w:rPr>
        <w:t>验材料合格证明和产品合格证书，并按合同约定和监理人指示，进行材料的抽样检验和工程</w:t>
      </w:r>
      <w:r>
        <w:rPr>
          <w:rFonts w:ascii="宋体" w:hAnsi="宋体" w:eastAsia="宋体" w:cs="宋体"/>
          <w:spacing w:val="-1"/>
          <w:sz w:val="21"/>
          <w:szCs w:val="21"/>
        </w:rPr>
        <w:t>设备的检验测试，检验和测试结果应提交监理人，所需费用由承包人承担。</w:t>
      </w:r>
    </w:p>
    <w:p w14:paraId="39034C0A">
      <w:pPr>
        <w:spacing w:before="1" w:line="231" w:lineRule="auto"/>
        <w:ind w:left="27"/>
        <w:outlineLvl w:val="2"/>
        <w:rPr>
          <w:rFonts w:ascii="黑体" w:hAnsi="黑体" w:eastAsia="黑体" w:cs="黑体"/>
          <w:sz w:val="24"/>
          <w:szCs w:val="24"/>
        </w:rPr>
      </w:pPr>
      <w:bookmarkStart w:id="88" w:name="bookmark80"/>
      <w:bookmarkEnd w:id="88"/>
      <w:r>
        <w:rPr>
          <w:rFonts w:ascii="Times New Roman" w:hAnsi="Times New Roman" w:eastAsia="Times New Roman" w:cs="Times New Roman"/>
          <w:spacing w:val="-1"/>
          <w:sz w:val="24"/>
          <w:szCs w:val="24"/>
        </w:rPr>
        <w:t xml:space="preserve">5.2  </w:t>
      </w:r>
      <w:r>
        <w:rPr>
          <w:rFonts w:ascii="黑体" w:hAnsi="黑体" w:eastAsia="黑体" w:cs="黑体"/>
          <w:spacing w:val="-1"/>
          <w:sz w:val="24"/>
          <w:szCs w:val="24"/>
        </w:rPr>
        <w:t>发包人提供的材料和工程设备</w:t>
      </w:r>
    </w:p>
    <w:p w14:paraId="0989DC72">
      <w:pPr>
        <w:spacing w:before="129" w:line="233" w:lineRule="auto"/>
        <w:jc w:val="right"/>
        <w:rPr>
          <w:rFonts w:ascii="宋体" w:hAnsi="宋体" w:eastAsia="宋体" w:cs="宋体"/>
          <w:sz w:val="21"/>
          <w:szCs w:val="21"/>
        </w:rPr>
      </w:pPr>
      <w:r>
        <w:rPr>
          <w:rFonts w:ascii="Times New Roman" w:hAnsi="Times New Roman" w:eastAsia="Times New Roman" w:cs="Times New Roman"/>
          <w:spacing w:val="-2"/>
          <w:sz w:val="21"/>
          <w:szCs w:val="21"/>
        </w:rPr>
        <w:t xml:space="preserve">5.2.1  </w:t>
      </w:r>
      <w:r>
        <w:rPr>
          <w:rFonts w:ascii="宋体" w:hAnsi="宋体" w:eastAsia="宋体" w:cs="宋体"/>
          <w:spacing w:val="-2"/>
          <w:sz w:val="21"/>
          <w:szCs w:val="21"/>
        </w:rPr>
        <w:t>发包人提供的材料和工程设备，应在专用</w:t>
      </w:r>
      <w:r>
        <w:rPr>
          <w:rFonts w:ascii="宋体" w:hAnsi="宋体" w:eastAsia="宋体" w:cs="宋体"/>
          <w:spacing w:val="-3"/>
          <w:sz w:val="21"/>
          <w:szCs w:val="21"/>
        </w:rPr>
        <w:t>合同条款中写明材料和工程设备的名称、</w:t>
      </w:r>
    </w:p>
    <w:p w14:paraId="5F7306C4">
      <w:pPr>
        <w:spacing w:line="233" w:lineRule="auto"/>
        <w:rPr>
          <w:rFonts w:ascii="宋体" w:hAnsi="宋体" w:eastAsia="宋体" w:cs="宋体"/>
          <w:sz w:val="21"/>
          <w:szCs w:val="21"/>
        </w:rPr>
        <w:sectPr>
          <w:footerReference r:id="rId84" w:type="default"/>
          <w:pgSz w:w="11910" w:h="16845"/>
          <w:pgMar w:top="400" w:right="1689" w:bottom="1110" w:left="1786" w:header="0" w:footer="883" w:gutter="0"/>
          <w:cols w:space="720" w:num="1"/>
        </w:sectPr>
      </w:pPr>
    </w:p>
    <w:p w14:paraId="72DF2230">
      <w:pPr>
        <w:pStyle w:val="2"/>
        <w:spacing w:line="275" w:lineRule="auto"/>
      </w:pPr>
    </w:p>
    <w:p w14:paraId="3788AF5D">
      <w:pPr>
        <w:pStyle w:val="2"/>
        <w:spacing w:line="275" w:lineRule="auto"/>
      </w:pPr>
    </w:p>
    <w:p w14:paraId="01CFB81F">
      <w:pPr>
        <w:pStyle w:val="2"/>
        <w:spacing w:line="275" w:lineRule="auto"/>
      </w:pPr>
    </w:p>
    <w:p w14:paraId="43A941C3">
      <w:pPr>
        <w:pStyle w:val="2"/>
        <w:spacing w:line="276" w:lineRule="auto"/>
      </w:pPr>
    </w:p>
    <w:p w14:paraId="14AFAB67">
      <w:pPr>
        <w:spacing w:before="68" w:line="218" w:lineRule="auto"/>
        <w:ind w:left="25"/>
        <w:rPr>
          <w:rFonts w:ascii="宋体" w:hAnsi="宋体" w:eastAsia="宋体" w:cs="宋体"/>
          <w:sz w:val="21"/>
          <w:szCs w:val="21"/>
        </w:rPr>
      </w:pPr>
      <w:r>
        <w:rPr>
          <w:rFonts w:ascii="宋体" w:hAnsi="宋体" w:eastAsia="宋体" w:cs="宋体"/>
          <w:spacing w:val="-1"/>
          <w:sz w:val="21"/>
          <w:szCs w:val="21"/>
        </w:rPr>
        <w:t>规格、数量、价格、交货方式、交货地点和计划交货日期等。</w:t>
      </w:r>
    </w:p>
    <w:p w14:paraId="7103EF02">
      <w:pPr>
        <w:spacing w:before="157" w:line="335" w:lineRule="auto"/>
        <w:ind w:left="27" w:right="107" w:firstLine="419"/>
        <w:rPr>
          <w:rFonts w:ascii="宋体" w:hAnsi="宋体" w:eastAsia="宋体" w:cs="宋体"/>
          <w:sz w:val="21"/>
          <w:szCs w:val="21"/>
        </w:rPr>
      </w:pPr>
      <w:r>
        <w:rPr>
          <w:rFonts w:ascii="Times New Roman" w:hAnsi="Times New Roman" w:eastAsia="Times New Roman" w:cs="Times New Roman"/>
          <w:sz w:val="21"/>
          <w:szCs w:val="21"/>
        </w:rPr>
        <w:t xml:space="preserve">5.2.2  </w:t>
      </w:r>
      <w:r>
        <w:rPr>
          <w:rFonts w:ascii="宋体" w:hAnsi="宋体" w:eastAsia="宋体" w:cs="宋体"/>
          <w:sz w:val="21"/>
          <w:szCs w:val="21"/>
        </w:rPr>
        <w:t>承包人应根据合同进度计划的安排，向监理人报送要求发包</w:t>
      </w:r>
      <w:r>
        <w:rPr>
          <w:rFonts w:ascii="宋体" w:hAnsi="宋体" w:eastAsia="宋体" w:cs="宋体"/>
          <w:spacing w:val="-1"/>
          <w:sz w:val="21"/>
          <w:szCs w:val="21"/>
        </w:rPr>
        <w:t>人交货的日期计划。发包人应按照监理人与合同双方当事人商定的交货日期，向承包人提交材料和工程设备。</w:t>
      </w:r>
    </w:p>
    <w:p w14:paraId="6D94663B">
      <w:pPr>
        <w:spacing w:before="33" w:line="348" w:lineRule="auto"/>
        <w:ind w:left="23" w:right="66" w:firstLine="423"/>
        <w:rPr>
          <w:rFonts w:ascii="宋体" w:hAnsi="宋体" w:eastAsia="宋体" w:cs="宋体"/>
          <w:sz w:val="21"/>
          <w:szCs w:val="21"/>
        </w:rPr>
      </w:pPr>
      <w:r>
        <w:rPr>
          <w:rFonts w:ascii="Times New Roman" w:hAnsi="Times New Roman" w:eastAsia="Times New Roman" w:cs="Times New Roman"/>
          <w:sz w:val="21"/>
          <w:szCs w:val="21"/>
        </w:rPr>
        <w:t xml:space="preserve">5.2.3  </w:t>
      </w:r>
      <w:r>
        <w:rPr>
          <w:rFonts w:ascii="宋体" w:hAnsi="宋体" w:eastAsia="宋体" w:cs="宋体"/>
          <w:sz w:val="21"/>
          <w:szCs w:val="21"/>
        </w:rPr>
        <w:t>发包人应在材料和工程设备到货</w:t>
      </w:r>
      <w:r>
        <w:rPr>
          <w:rFonts w:ascii="宋体" w:hAnsi="宋体" w:eastAsia="宋体" w:cs="宋体"/>
          <w:spacing w:val="-40"/>
          <w:sz w:val="21"/>
          <w:szCs w:val="21"/>
        </w:rPr>
        <w:t xml:space="preserve"> </w:t>
      </w:r>
      <w:r>
        <w:rPr>
          <w:rFonts w:ascii="Times New Roman" w:hAnsi="Times New Roman" w:eastAsia="Times New Roman" w:cs="Times New Roman"/>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天前通知承包人，承包人应会同监理人在约定</w:t>
      </w:r>
      <w:r>
        <w:rPr>
          <w:rFonts w:ascii="宋体" w:hAnsi="宋体" w:eastAsia="宋体" w:cs="宋体"/>
          <w:spacing w:val="-2"/>
          <w:sz w:val="21"/>
          <w:szCs w:val="21"/>
        </w:rPr>
        <w:t>的时间内，赴交货地点共同进行验收。除专用合同条款另有约定外，发包人提供的</w:t>
      </w:r>
      <w:r>
        <w:rPr>
          <w:rFonts w:ascii="宋体" w:hAnsi="宋体" w:eastAsia="宋体" w:cs="宋体"/>
          <w:spacing w:val="-3"/>
          <w:sz w:val="21"/>
          <w:szCs w:val="21"/>
        </w:rPr>
        <w:t>材料和工</w:t>
      </w:r>
      <w:r>
        <w:rPr>
          <w:rFonts w:ascii="宋体" w:hAnsi="宋体" w:eastAsia="宋体" w:cs="宋体"/>
          <w:spacing w:val="-2"/>
          <w:sz w:val="21"/>
          <w:szCs w:val="21"/>
        </w:rPr>
        <w:t>程设备验收后，由承包人负责接收、运输和保管。</w:t>
      </w:r>
    </w:p>
    <w:p w14:paraId="40B76DE7">
      <w:pPr>
        <w:spacing w:before="13" w:line="348" w:lineRule="auto"/>
        <w:ind w:left="25" w:right="79"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5.2.4  </w:t>
      </w:r>
      <w:r>
        <w:rPr>
          <w:rFonts w:ascii="宋体" w:hAnsi="宋体" w:eastAsia="宋体" w:cs="宋体"/>
          <w:spacing w:val="1"/>
          <w:sz w:val="21"/>
          <w:szCs w:val="21"/>
        </w:rPr>
        <w:t>发包人要求向承包人提前交</w:t>
      </w:r>
      <w:r>
        <w:rPr>
          <w:rFonts w:ascii="宋体" w:hAnsi="宋体" w:eastAsia="宋体" w:cs="宋体"/>
          <w:sz w:val="21"/>
          <w:szCs w:val="21"/>
        </w:rPr>
        <w:t>货的，承包人不得拒绝，但发包人应承担承包人由此</w:t>
      </w:r>
      <w:r>
        <w:rPr>
          <w:rFonts w:ascii="宋体" w:hAnsi="宋体" w:eastAsia="宋体" w:cs="宋体"/>
          <w:spacing w:val="-6"/>
          <w:sz w:val="21"/>
          <w:szCs w:val="21"/>
        </w:rPr>
        <w:t>增加的费用。</w:t>
      </w:r>
    </w:p>
    <w:p w14:paraId="4622F904">
      <w:pPr>
        <w:spacing w:before="4" w:line="348" w:lineRule="auto"/>
        <w:ind w:left="31" w:right="77"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5.2.5  </w:t>
      </w:r>
      <w:r>
        <w:rPr>
          <w:rFonts w:ascii="宋体" w:hAnsi="宋体" w:eastAsia="宋体" w:cs="宋体"/>
          <w:spacing w:val="1"/>
          <w:sz w:val="21"/>
          <w:szCs w:val="21"/>
        </w:rPr>
        <w:t>承包人要求更改交货日期或地点</w:t>
      </w:r>
      <w:r>
        <w:rPr>
          <w:rFonts w:ascii="宋体" w:hAnsi="宋体" w:eastAsia="宋体" w:cs="宋体"/>
          <w:sz w:val="21"/>
          <w:szCs w:val="21"/>
        </w:rPr>
        <w:t>的，应事先报请监理人批准。由于承包人要求更</w:t>
      </w:r>
      <w:r>
        <w:rPr>
          <w:rFonts w:ascii="宋体" w:hAnsi="宋体" w:eastAsia="宋体" w:cs="宋体"/>
          <w:spacing w:val="-1"/>
          <w:sz w:val="21"/>
          <w:szCs w:val="21"/>
        </w:rPr>
        <w:t>改交货时间或地点所增加的费用和（或）工期延误由承包人</w:t>
      </w:r>
      <w:r>
        <w:rPr>
          <w:rFonts w:ascii="宋体" w:hAnsi="宋体" w:eastAsia="宋体" w:cs="宋体"/>
          <w:spacing w:val="-2"/>
          <w:sz w:val="21"/>
          <w:szCs w:val="21"/>
        </w:rPr>
        <w:t>承担。</w:t>
      </w:r>
    </w:p>
    <w:p w14:paraId="6088C034">
      <w:pPr>
        <w:spacing w:before="17" w:line="345" w:lineRule="auto"/>
        <w:ind w:left="25"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5.2.6  </w:t>
      </w:r>
      <w:r>
        <w:rPr>
          <w:rFonts w:ascii="宋体" w:hAnsi="宋体" w:eastAsia="宋体" w:cs="宋体"/>
          <w:spacing w:val="1"/>
          <w:sz w:val="21"/>
          <w:szCs w:val="21"/>
        </w:rPr>
        <w:t>发包人提供的材料和工程设备的</w:t>
      </w:r>
      <w:r>
        <w:rPr>
          <w:rFonts w:ascii="宋体" w:hAnsi="宋体" w:eastAsia="宋体" w:cs="宋体"/>
          <w:sz w:val="21"/>
          <w:szCs w:val="21"/>
        </w:rPr>
        <w:t>规格、数量或质量不符合合同要求，或由于发包人原因发生交货日期延误及交货地点变更等情况的，发包人应承担由此增加的</w:t>
      </w:r>
      <w:r>
        <w:rPr>
          <w:rFonts w:ascii="宋体" w:hAnsi="宋体" w:eastAsia="宋体" w:cs="宋体"/>
          <w:spacing w:val="-1"/>
          <w:sz w:val="21"/>
          <w:szCs w:val="21"/>
        </w:rPr>
        <w:t>费用和（或）</w:t>
      </w:r>
      <w:r>
        <w:rPr>
          <w:rFonts w:ascii="宋体" w:hAnsi="宋体" w:eastAsia="宋体" w:cs="宋体"/>
          <w:spacing w:val="-2"/>
          <w:sz w:val="21"/>
          <w:szCs w:val="21"/>
        </w:rPr>
        <w:t>工期延误，并向承包人支付合理利润。</w:t>
      </w:r>
    </w:p>
    <w:p w14:paraId="290B34A3">
      <w:pPr>
        <w:spacing w:before="1" w:line="232" w:lineRule="auto"/>
        <w:ind w:left="27"/>
        <w:outlineLvl w:val="2"/>
        <w:rPr>
          <w:rFonts w:ascii="黑体" w:hAnsi="黑体" w:eastAsia="黑体" w:cs="黑体"/>
          <w:sz w:val="24"/>
          <w:szCs w:val="24"/>
        </w:rPr>
      </w:pPr>
      <w:bookmarkStart w:id="89" w:name="bookmark81"/>
      <w:bookmarkEnd w:id="89"/>
      <w:r>
        <w:rPr>
          <w:rFonts w:ascii="Times New Roman" w:hAnsi="Times New Roman" w:eastAsia="Times New Roman" w:cs="Times New Roman"/>
          <w:spacing w:val="-1"/>
          <w:sz w:val="24"/>
          <w:szCs w:val="24"/>
        </w:rPr>
        <w:t xml:space="preserve">5.3  </w:t>
      </w:r>
      <w:r>
        <w:rPr>
          <w:rFonts w:ascii="黑体" w:hAnsi="黑体" w:eastAsia="黑体" w:cs="黑体"/>
          <w:spacing w:val="-1"/>
          <w:sz w:val="24"/>
          <w:szCs w:val="24"/>
        </w:rPr>
        <w:t>材料和工程设备专用于合同工程</w:t>
      </w:r>
    </w:p>
    <w:p w14:paraId="54146D59">
      <w:pPr>
        <w:spacing w:before="114" w:line="348" w:lineRule="auto"/>
        <w:ind w:left="27" w:right="130"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5.3.1  </w:t>
      </w:r>
      <w:r>
        <w:rPr>
          <w:rFonts w:ascii="宋体" w:hAnsi="宋体" w:eastAsia="宋体" w:cs="宋体"/>
          <w:spacing w:val="-1"/>
          <w:sz w:val="21"/>
          <w:szCs w:val="21"/>
        </w:rPr>
        <w:t>运入施工场地的材料、工程设备，包括备品备件、安装专用工器具与随机资料，必须专用于合同工程，未经监理人同意，承包人不得运出施工场地或挪作他用。</w:t>
      </w:r>
    </w:p>
    <w:p w14:paraId="7C716129">
      <w:pPr>
        <w:spacing w:before="19" w:line="344" w:lineRule="auto"/>
        <w:ind w:left="35" w:right="77" w:firstLine="410"/>
        <w:rPr>
          <w:rFonts w:ascii="宋体" w:hAnsi="宋体" w:eastAsia="宋体" w:cs="宋体"/>
          <w:sz w:val="21"/>
          <w:szCs w:val="21"/>
        </w:rPr>
      </w:pPr>
      <w:r>
        <w:rPr>
          <w:rFonts w:ascii="Times New Roman" w:hAnsi="Times New Roman" w:eastAsia="Times New Roman" w:cs="Times New Roman"/>
          <w:spacing w:val="1"/>
          <w:sz w:val="21"/>
          <w:szCs w:val="21"/>
        </w:rPr>
        <w:t xml:space="preserve">5.3.2  </w:t>
      </w:r>
      <w:r>
        <w:rPr>
          <w:rFonts w:ascii="宋体" w:hAnsi="宋体" w:eastAsia="宋体" w:cs="宋体"/>
          <w:spacing w:val="1"/>
          <w:sz w:val="21"/>
          <w:szCs w:val="21"/>
        </w:rPr>
        <w:t>随同工程设备运入施工场地的备</w:t>
      </w:r>
      <w:r>
        <w:rPr>
          <w:rFonts w:ascii="宋体" w:hAnsi="宋体" w:eastAsia="宋体" w:cs="宋体"/>
          <w:sz w:val="21"/>
          <w:szCs w:val="21"/>
        </w:rPr>
        <w:t>品备件、专用工器具与随机资料，应由承包人会</w:t>
      </w:r>
      <w:r>
        <w:rPr>
          <w:rFonts w:ascii="宋体" w:hAnsi="宋体" w:eastAsia="宋体" w:cs="宋体"/>
          <w:spacing w:val="-2"/>
          <w:sz w:val="21"/>
          <w:szCs w:val="21"/>
        </w:rPr>
        <w:t>同监理人按供货人的装箱单清点后共同封存，未经监理人同意</w:t>
      </w:r>
      <w:r>
        <w:rPr>
          <w:rFonts w:ascii="宋体" w:hAnsi="宋体" w:eastAsia="宋体" w:cs="宋体"/>
          <w:spacing w:val="-3"/>
          <w:sz w:val="21"/>
          <w:szCs w:val="21"/>
        </w:rPr>
        <w:t>不得启用。承包人因合同工作</w:t>
      </w:r>
      <w:r>
        <w:rPr>
          <w:rFonts w:ascii="宋体" w:hAnsi="宋体" w:eastAsia="宋体" w:cs="宋体"/>
          <w:spacing w:val="-2"/>
          <w:sz w:val="21"/>
          <w:szCs w:val="21"/>
        </w:rPr>
        <w:t>需要使用上述物品时，应向监理人提出申请。</w:t>
      </w:r>
    </w:p>
    <w:p w14:paraId="140ABB5C">
      <w:pPr>
        <w:spacing w:before="1" w:line="232" w:lineRule="auto"/>
        <w:ind w:left="27"/>
        <w:outlineLvl w:val="2"/>
        <w:rPr>
          <w:rFonts w:ascii="黑体" w:hAnsi="黑体" w:eastAsia="黑体" w:cs="黑体"/>
          <w:sz w:val="24"/>
          <w:szCs w:val="24"/>
        </w:rPr>
      </w:pPr>
      <w:bookmarkStart w:id="90" w:name="bookmark82"/>
      <w:bookmarkEnd w:id="90"/>
      <w:r>
        <w:rPr>
          <w:rFonts w:ascii="Times New Roman" w:hAnsi="Times New Roman" w:eastAsia="Times New Roman" w:cs="Times New Roman"/>
          <w:spacing w:val="-1"/>
          <w:sz w:val="24"/>
          <w:szCs w:val="24"/>
        </w:rPr>
        <w:t xml:space="preserve">5.4  </w:t>
      </w:r>
      <w:r>
        <w:rPr>
          <w:rFonts w:ascii="黑体" w:hAnsi="黑体" w:eastAsia="黑体" w:cs="黑体"/>
          <w:spacing w:val="-1"/>
          <w:sz w:val="24"/>
          <w:szCs w:val="24"/>
        </w:rPr>
        <w:t>禁止使用不合格的材料和工程设备</w:t>
      </w:r>
    </w:p>
    <w:p w14:paraId="4E41CDFB">
      <w:pPr>
        <w:spacing w:before="114" w:line="352" w:lineRule="auto"/>
        <w:ind w:left="25" w:right="63"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5.4.1  </w:t>
      </w:r>
      <w:r>
        <w:rPr>
          <w:rFonts w:ascii="宋体" w:hAnsi="宋体" w:eastAsia="宋体" w:cs="宋体"/>
          <w:spacing w:val="1"/>
          <w:sz w:val="21"/>
          <w:szCs w:val="21"/>
        </w:rPr>
        <w:t>监理人有权拒绝承包人提供的不</w:t>
      </w:r>
      <w:r>
        <w:rPr>
          <w:rFonts w:ascii="宋体" w:hAnsi="宋体" w:eastAsia="宋体" w:cs="宋体"/>
          <w:sz w:val="21"/>
          <w:szCs w:val="21"/>
        </w:rPr>
        <w:t>合格材料或工程设备，并要求承包人立即进行更</w:t>
      </w:r>
      <w:r>
        <w:rPr>
          <w:rFonts w:ascii="宋体" w:hAnsi="宋体" w:eastAsia="宋体" w:cs="宋体"/>
          <w:spacing w:val="-2"/>
          <w:sz w:val="21"/>
          <w:szCs w:val="21"/>
        </w:rPr>
        <w:t>换。监理人应在更换后再次进行检查和检验，由此增加的费用和（或）工期延误由承包人承</w:t>
      </w:r>
      <w:r>
        <w:rPr>
          <w:rFonts w:ascii="宋体" w:hAnsi="宋体" w:eastAsia="宋体" w:cs="宋体"/>
          <w:spacing w:val="-10"/>
          <w:sz w:val="21"/>
          <w:szCs w:val="21"/>
        </w:rPr>
        <w:t>担。</w:t>
      </w:r>
    </w:p>
    <w:p w14:paraId="5A555FC1">
      <w:pPr>
        <w:spacing w:before="1" w:line="347" w:lineRule="auto"/>
        <w:ind w:left="24" w:right="77"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5.4.2  </w:t>
      </w:r>
      <w:r>
        <w:rPr>
          <w:rFonts w:ascii="宋体" w:hAnsi="宋体" w:eastAsia="宋体" w:cs="宋体"/>
          <w:spacing w:val="1"/>
          <w:sz w:val="21"/>
          <w:szCs w:val="21"/>
        </w:rPr>
        <w:t>监理人发现承包人使用了不合格</w:t>
      </w:r>
      <w:r>
        <w:rPr>
          <w:rFonts w:ascii="宋体" w:hAnsi="宋体" w:eastAsia="宋体" w:cs="宋体"/>
          <w:sz w:val="21"/>
          <w:szCs w:val="21"/>
        </w:rPr>
        <w:t>的材料和工程设备，应即时发出指示要求承包人</w:t>
      </w:r>
      <w:r>
        <w:rPr>
          <w:rFonts w:ascii="宋体" w:hAnsi="宋体" w:eastAsia="宋体" w:cs="宋体"/>
          <w:spacing w:val="-1"/>
          <w:sz w:val="21"/>
          <w:szCs w:val="21"/>
        </w:rPr>
        <w:t>立即改正，并禁止在工程中继续使用不合格的材料和工程设备。</w:t>
      </w:r>
    </w:p>
    <w:p w14:paraId="2C54840E">
      <w:pPr>
        <w:spacing w:before="19" w:line="336" w:lineRule="auto"/>
        <w:ind w:left="24" w:right="77"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5.4.3  </w:t>
      </w:r>
      <w:r>
        <w:rPr>
          <w:rFonts w:ascii="宋体" w:hAnsi="宋体" w:eastAsia="宋体" w:cs="宋体"/>
          <w:spacing w:val="1"/>
          <w:sz w:val="21"/>
          <w:szCs w:val="21"/>
        </w:rPr>
        <w:t>发包人提供的材料或工程设备不</w:t>
      </w:r>
      <w:r>
        <w:rPr>
          <w:rFonts w:ascii="宋体" w:hAnsi="宋体" w:eastAsia="宋体" w:cs="宋体"/>
          <w:sz w:val="21"/>
          <w:szCs w:val="21"/>
        </w:rPr>
        <w:t>符合合同要求的，承包人有权拒绝，并可要求发</w:t>
      </w:r>
      <w:r>
        <w:rPr>
          <w:rFonts w:ascii="宋体" w:hAnsi="宋体" w:eastAsia="宋体" w:cs="宋体"/>
          <w:spacing w:val="-1"/>
          <w:sz w:val="21"/>
          <w:szCs w:val="21"/>
        </w:rPr>
        <w:t>包人更换，由此增加的费用和（或）工期延误由发包人承担。</w:t>
      </w:r>
    </w:p>
    <w:p w14:paraId="510FE679">
      <w:pPr>
        <w:spacing w:before="72" w:line="237" w:lineRule="auto"/>
        <w:ind w:left="28"/>
        <w:outlineLvl w:val="1"/>
        <w:rPr>
          <w:rFonts w:ascii="黑体" w:hAnsi="黑体" w:eastAsia="黑体" w:cs="黑体"/>
          <w:sz w:val="28"/>
          <w:szCs w:val="28"/>
        </w:rPr>
      </w:pPr>
      <w:bookmarkStart w:id="91" w:name="bookmark83"/>
      <w:bookmarkEnd w:id="91"/>
      <w:bookmarkStart w:id="92" w:name="bookmark84"/>
      <w:bookmarkEnd w:id="92"/>
      <w:r>
        <w:rPr>
          <w:rFonts w:ascii="Times New Roman" w:hAnsi="Times New Roman" w:eastAsia="Times New Roman" w:cs="Times New Roman"/>
          <w:spacing w:val="3"/>
          <w:sz w:val="28"/>
          <w:szCs w:val="28"/>
        </w:rPr>
        <w:t xml:space="preserve">6.  </w:t>
      </w:r>
      <w:r>
        <w:rPr>
          <w:rFonts w:ascii="黑体" w:hAnsi="黑体" w:eastAsia="黑体" w:cs="黑体"/>
          <w:spacing w:val="3"/>
          <w:sz w:val="28"/>
          <w:szCs w:val="28"/>
        </w:rPr>
        <w:t>施工设备和临时设施</w:t>
      </w:r>
    </w:p>
    <w:p w14:paraId="0071862F">
      <w:pPr>
        <w:spacing w:before="70" w:line="233" w:lineRule="auto"/>
        <w:ind w:left="26"/>
        <w:outlineLvl w:val="2"/>
        <w:rPr>
          <w:rFonts w:ascii="黑体" w:hAnsi="黑体" w:eastAsia="黑体" w:cs="黑体"/>
          <w:sz w:val="24"/>
          <w:szCs w:val="24"/>
        </w:rPr>
      </w:pPr>
      <w:bookmarkStart w:id="93" w:name="bookmark634"/>
      <w:bookmarkEnd w:id="93"/>
      <w:r>
        <w:rPr>
          <w:rFonts w:ascii="Times New Roman" w:hAnsi="Times New Roman" w:eastAsia="Times New Roman" w:cs="Times New Roman"/>
          <w:spacing w:val="-1"/>
          <w:sz w:val="24"/>
          <w:szCs w:val="24"/>
        </w:rPr>
        <w:t xml:space="preserve">6.1  </w:t>
      </w:r>
      <w:r>
        <w:rPr>
          <w:rFonts w:ascii="黑体" w:hAnsi="黑体" w:eastAsia="黑体" w:cs="黑体"/>
          <w:spacing w:val="-1"/>
          <w:sz w:val="24"/>
          <w:szCs w:val="24"/>
        </w:rPr>
        <w:t>承包人提供的施工设备和临时设施</w:t>
      </w:r>
    </w:p>
    <w:p w14:paraId="15AFE555">
      <w:pPr>
        <w:spacing w:before="130" w:line="348" w:lineRule="auto"/>
        <w:ind w:left="23" w:right="32"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6.1.1  </w:t>
      </w:r>
      <w:r>
        <w:rPr>
          <w:rFonts w:ascii="宋体" w:hAnsi="宋体" w:eastAsia="宋体" w:cs="宋体"/>
          <w:spacing w:val="1"/>
          <w:sz w:val="21"/>
          <w:szCs w:val="21"/>
        </w:rPr>
        <w:t>承包人应按合同进度计划的要求，</w:t>
      </w:r>
      <w:r>
        <w:rPr>
          <w:rFonts w:ascii="宋体" w:hAnsi="宋体" w:eastAsia="宋体" w:cs="宋体"/>
          <w:sz w:val="21"/>
          <w:szCs w:val="21"/>
        </w:rPr>
        <w:t>及时配置施工设备和修建临时设施。进入施工</w:t>
      </w:r>
      <w:r>
        <w:rPr>
          <w:rFonts w:ascii="宋体" w:hAnsi="宋体" w:eastAsia="宋体" w:cs="宋体"/>
          <w:spacing w:val="-1"/>
          <w:sz w:val="21"/>
          <w:szCs w:val="21"/>
        </w:rPr>
        <w:t>场地的承包人设备需经监理人核查后才能投入使用。承包人更换合同约定的承包人设备的，</w:t>
      </w:r>
      <w:r>
        <w:rPr>
          <w:rFonts w:ascii="宋体" w:hAnsi="宋体" w:eastAsia="宋体" w:cs="宋体"/>
          <w:spacing w:val="-4"/>
          <w:sz w:val="21"/>
          <w:szCs w:val="21"/>
        </w:rPr>
        <w:t>应报监理人批准。</w:t>
      </w:r>
    </w:p>
    <w:p w14:paraId="1CA2586C">
      <w:pPr>
        <w:spacing w:before="13" w:line="348" w:lineRule="auto"/>
        <w:ind w:left="58" w:right="77" w:firstLine="386"/>
        <w:rPr>
          <w:rFonts w:ascii="宋体" w:hAnsi="宋体" w:eastAsia="宋体" w:cs="宋体"/>
          <w:sz w:val="21"/>
          <w:szCs w:val="21"/>
        </w:rPr>
      </w:pPr>
      <w:r>
        <w:rPr>
          <w:rFonts w:ascii="Times New Roman" w:hAnsi="Times New Roman" w:eastAsia="Times New Roman" w:cs="Times New Roman"/>
          <w:spacing w:val="1"/>
          <w:sz w:val="21"/>
          <w:szCs w:val="21"/>
        </w:rPr>
        <w:t xml:space="preserve">6.1.2  </w:t>
      </w:r>
      <w:r>
        <w:rPr>
          <w:rFonts w:ascii="宋体" w:hAnsi="宋体" w:eastAsia="宋体" w:cs="宋体"/>
          <w:spacing w:val="1"/>
          <w:sz w:val="21"/>
          <w:szCs w:val="21"/>
        </w:rPr>
        <w:t>除专用合同条款另有约定外，承包</w:t>
      </w:r>
      <w:r>
        <w:rPr>
          <w:rFonts w:ascii="宋体" w:hAnsi="宋体" w:eastAsia="宋体" w:cs="宋体"/>
          <w:sz w:val="21"/>
          <w:szCs w:val="21"/>
        </w:rPr>
        <w:t>人应自行承担修建临时设施的费用，需要临时</w:t>
      </w:r>
      <w:r>
        <w:rPr>
          <w:rFonts w:ascii="宋体" w:hAnsi="宋体" w:eastAsia="宋体" w:cs="宋体"/>
          <w:spacing w:val="-3"/>
          <w:sz w:val="21"/>
          <w:szCs w:val="21"/>
        </w:rPr>
        <w:t>占地的，应由发包人办理申请手续并承担相应费用。</w:t>
      </w:r>
    </w:p>
    <w:p w14:paraId="4E8C94E0">
      <w:pPr>
        <w:spacing w:line="348" w:lineRule="auto"/>
        <w:rPr>
          <w:rFonts w:ascii="宋体" w:hAnsi="宋体" w:eastAsia="宋体" w:cs="宋体"/>
          <w:sz w:val="21"/>
          <w:szCs w:val="21"/>
        </w:rPr>
        <w:sectPr>
          <w:footerReference r:id="rId85" w:type="default"/>
          <w:pgSz w:w="11910" w:h="16845"/>
          <w:pgMar w:top="400" w:right="1701" w:bottom="1110" w:left="1786" w:header="0" w:footer="883" w:gutter="0"/>
          <w:cols w:space="720" w:num="1"/>
        </w:sectPr>
      </w:pPr>
    </w:p>
    <w:p w14:paraId="142A3BB0">
      <w:pPr>
        <w:pStyle w:val="2"/>
        <w:spacing w:line="266" w:lineRule="auto"/>
      </w:pPr>
    </w:p>
    <w:p w14:paraId="335A5CE3">
      <w:pPr>
        <w:pStyle w:val="2"/>
        <w:spacing w:line="266" w:lineRule="auto"/>
      </w:pPr>
    </w:p>
    <w:p w14:paraId="7FEB798E">
      <w:pPr>
        <w:pStyle w:val="2"/>
        <w:spacing w:line="266" w:lineRule="auto"/>
      </w:pPr>
    </w:p>
    <w:p w14:paraId="3E0FE722">
      <w:pPr>
        <w:pStyle w:val="2"/>
        <w:spacing w:line="267" w:lineRule="auto"/>
      </w:pPr>
    </w:p>
    <w:p w14:paraId="2C785753">
      <w:pPr>
        <w:spacing w:before="78" w:line="232" w:lineRule="auto"/>
        <w:ind w:left="26"/>
        <w:outlineLvl w:val="2"/>
        <w:rPr>
          <w:rFonts w:ascii="黑体" w:hAnsi="黑体" w:eastAsia="黑体" w:cs="黑体"/>
          <w:sz w:val="24"/>
          <w:szCs w:val="24"/>
        </w:rPr>
      </w:pPr>
      <w:bookmarkStart w:id="94" w:name="bookmark85"/>
      <w:bookmarkEnd w:id="94"/>
      <w:r>
        <w:rPr>
          <w:rFonts w:ascii="Times New Roman" w:hAnsi="Times New Roman" w:eastAsia="Times New Roman" w:cs="Times New Roman"/>
          <w:spacing w:val="-1"/>
          <w:sz w:val="24"/>
          <w:szCs w:val="24"/>
        </w:rPr>
        <w:t xml:space="preserve">6.2  </w:t>
      </w:r>
      <w:r>
        <w:rPr>
          <w:rFonts w:ascii="黑体" w:hAnsi="黑体" w:eastAsia="黑体" w:cs="黑体"/>
          <w:spacing w:val="-1"/>
          <w:sz w:val="24"/>
          <w:szCs w:val="24"/>
        </w:rPr>
        <w:t>发包人提供的施工设备和临时设施</w:t>
      </w:r>
    </w:p>
    <w:p w14:paraId="7E764070">
      <w:pPr>
        <w:spacing w:before="129" w:line="219" w:lineRule="auto"/>
        <w:ind w:left="448"/>
        <w:rPr>
          <w:rFonts w:ascii="宋体" w:hAnsi="宋体" w:eastAsia="宋体" w:cs="宋体"/>
          <w:sz w:val="21"/>
          <w:szCs w:val="21"/>
        </w:rPr>
      </w:pPr>
      <w:r>
        <w:rPr>
          <w:rFonts w:ascii="宋体" w:hAnsi="宋体" w:eastAsia="宋体" w:cs="宋体"/>
          <w:spacing w:val="-1"/>
          <w:sz w:val="21"/>
          <w:szCs w:val="21"/>
        </w:rPr>
        <w:t>发包人提供的施工设备或临时设施在专用合同条款</w:t>
      </w:r>
      <w:r>
        <w:rPr>
          <w:rFonts w:ascii="宋体" w:hAnsi="宋体" w:eastAsia="宋体" w:cs="宋体"/>
          <w:spacing w:val="-2"/>
          <w:sz w:val="21"/>
          <w:szCs w:val="21"/>
        </w:rPr>
        <w:t>中约定。</w:t>
      </w:r>
    </w:p>
    <w:p w14:paraId="5DB1ABEB">
      <w:pPr>
        <w:spacing w:before="115" w:line="233" w:lineRule="auto"/>
        <w:ind w:left="26"/>
        <w:outlineLvl w:val="2"/>
        <w:rPr>
          <w:rFonts w:ascii="黑体" w:hAnsi="黑体" w:eastAsia="黑体" w:cs="黑体"/>
          <w:sz w:val="24"/>
          <w:szCs w:val="24"/>
        </w:rPr>
      </w:pPr>
      <w:bookmarkStart w:id="95" w:name="bookmark86"/>
      <w:bookmarkEnd w:id="95"/>
      <w:r>
        <w:rPr>
          <w:rFonts w:ascii="Times New Roman" w:hAnsi="Times New Roman" w:eastAsia="Times New Roman" w:cs="Times New Roman"/>
          <w:spacing w:val="-1"/>
          <w:sz w:val="24"/>
          <w:szCs w:val="24"/>
        </w:rPr>
        <w:t xml:space="preserve">6.3  </w:t>
      </w:r>
      <w:r>
        <w:rPr>
          <w:rFonts w:ascii="黑体" w:hAnsi="黑体" w:eastAsia="黑体" w:cs="黑体"/>
          <w:spacing w:val="-1"/>
          <w:sz w:val="24"/>
          <w:szCs w:val="24"/>
        </w:rPr>
        <w:t>要求承包人增加或更换施工设备</w:t>
      </w:r>
    </w:p>
    <w:p w14:paraId="256DE095">
      <w:pPr>
        <w:spacing w:before="126" w:line="345" w:lineRule="auto"/>
        <w:ind w:left="24" w:right="24" w:firstLine="420"/>
        <w:jc w:val="both"/>
        <w:rPr>
          <w:rFonts w:ascii="宋体" w:hAnsi="宋体" w:eastAsia="宋体" w:cs="宋体"/>
          <w:sz w:val="21"/>
          <w:szCs w:val="21"/>
        </w:rPr>
      </w:pPr>
      <w:r>
        <w:rPr>
          <w:rFonts w:ascii="宋体" w:hAnsi="宋体" w:eastAsia="宋体" w:cs="宋体"/>
          <w:spacing w:val="-2"/>
          <w:sz w:val="21"/>
          <w:szCs w:val="21"/>
        </w:rPr>
        <w:t>承包人使用的施工设备不能满足合同进度计划和（或）质量要求时，监</w:t>
      </w:r>
      <w:r>
        <w:rPr>
          <w:rFonts w:ascii="宋体" w:hAnsi="宋体" w:eastAsia="宋体" w:cs="宋体"/>
          <w:spacing w:val="-3"/>
          <w:sz w:val="21"/>
          <w:szCs w:val="21"/>
        </w:rPr>
        <w:t>理人有权要求承</w:t>
      </w:r>
      <w:r>
        <w:rPr>
          <w:rFonts w:ascii="宋体" w:hAnsi="宋体" w:eastAsia="宋体" w:cs="宋体"/>
          <w:spacing w:val="-2"/>
          <w:sz w:val="21"/>
          <w:szCs w:val="21"/>
        </w:rPr>
        <w:t>包人增加或更换施工设备，承包人应及时增加或更换，由此增加的费用和（或）工期延误由</w:t>
      </w:r>
      <w:r>
        <w:rPr>
          <w:rFonts w:ascii="宋体" w:hAnsi="宋体" w:eastAsia="宋体" w:cs="宋体"/>
          <w:spacing w:val="-6"/>
          <w:sz w:val="21"/>
          <w:szCs w:val="21"/>
        </w:rPr>
        <w:t>承包人承担。</w:t>
      </w:r>
    </w:p>
    <w:p w14:paraId="1AE96EB1">
      <w:pPr>
        <w:spacing w:before="1" w:line="232" w:lineRule="auto"/>
        <w:ind w:left="26"/>
        <w:outlineLvl w:val="1"/>
        <w:rPr>
          <w:rFonts w:ascii="黑体" w:hAnsi="黑体" w:eastAsia="黑体" w:cs="黑体"/>
          <w:sz w:val="24"/>
          <w:szCs w:val="24"/>
        </w:rPr>
      </w:pPr>
      <w:bookmarkStart w:id="96" w:name="bookmark87"/>
      <w:bookmarkEnd w:id="96"/>
      <w:r>
        <w:rPr>
          <w:rFonts w:ascii="Times New Roman" w:hAnsi="Times New Roman" w:eastAsia="Times New Roman" w:cs="Times New Roman"/>
          <w:spacing w:val="-1"/>
          <w:sz w:val="24"/>
          <w:szCs w:val="24"/>
        </w:rPr>
        <w:t xml:space="preserve">6.4  </w:t>
      </w:r>
      <w:r>
        <w:rPr>
          <w:rFonts w:ascii="黑体" w:hAnsi="黑体" w:eastAsia="黑体" w:cs="黑体"/>
          <w:spacing w:val="-1"/>
          <w:sz w:val="24"/>
          <w:szCs w:val="24"/>
        </w:rPr>
        <w:t>施工设备和临时设施专用于合同工程</w:t>
      </w:r>
    </w:p>
    <w:p w14:paraId="4903C9D1">
      <w:pPr>
        <w:spacing w:before="127" w:line="349" w:lineRule="auto"/>
        <w:ind w:left="23" w:right="40"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6.4.1  </w:t>
      </w:r>
      <w:r>
        <w:rPr>
          <w:rFonts w:ascii="宋体" w:hAnsi="宋体" w:eastAsia="宋体" w:cs="宋体"/>
          <w:spacing w:val="1"/>
          <w:sz w:val="21"/>
          <w:szCs w:val="21"/>
        </w:rPr>
        <w:t>除合同另有约定外，运入施</w:t>
      </w:r>
      <w:r>
        <w:rPr>
          <w:rFonts w:ascii="宋体" w:hAnsi="宋体" w:eastAsia="宋体" w:cs="宋体"/>
          <w:sz w:val="21"/>
          <w:szCs w:val="21"/>
        </w:rPr>
        <w:t>工场地的所有施工设备以及在施工场地建设的临时设</w:t>
      </w:r>
      <w:r>
        <w:rPr>
          <w:rFonts w:ascii="宋体" w:hAnsi="宋体" w:eastAsia="宋体" w:cs="宋体"/>
          <w:spacing w:val="-3"/>
          <w:sz w:val="21"/>
          <w:szCs w:val="21"/>
        </w:rPr>
        <w:t>施应专用于合同工程。未经监理人同意，</w:t>
      </w:r>
      <w:r>
        <w:rPr>
          <w:rFonts w:ascii="宋体" w:hAnsi="宋体" w:eastAsia="宋体" w:cs="宋体"/>
          <w:spacing w:val="-44"/>
          <w:sz w:val="21"/>
          <w:szCs w:val="21"/>
        </w:rPr>
        <w:t xml:space="preserve"> </w:t>
      </w:r>
      <w:r>
        <w:rPr>
          <w:rFonts w:ascii="宋体" w:hAnsi="宋体" w:eastAsia="宋体" w:cs="宋体"/>
          <w:spacing w:val="-3"/>
          <w:sz w:val="21"/>
          <w:szCs w:val="21"/>
        </w:rPr>
        <w:t>不</w:t>
      </w:r>
      <w:r>
        <w:rPr>
          <w:rFonts w:ascii="宋体" w:hAnsi="宋体" w:eastAsia="宋体" w:cs="宋体"/>
          <w:spacing w:val="-4"/>
          <w:sz w:val="21"/>
          <w:szCs w:val="21"/>
        </w:rPr>
        <w:t>得将上述施工设备和临时设施中的任何部分运出</w:t>
      </w:r>
      <w:r>
        <w:rPr>
          <w:rFonts w:ascii="宋体" w:hAnsi="宋体" w:eastAsia="宋体" w:cs="宋体"/>
          <w:spacing w:val="-3"/>
          <w:sz w:val="21"/>
          <w:szCs w:val="21"/>
        </w:rPr>
        <w:t>施工场地或挪作他用。</w:t>
      </w:r>
    </w:p>
    <w:p w14:paraId="27151CBF">
      <w:pPr>
        <w:spacing w:before="11"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6.4.2</w:t>
      </w:r>
      <w:r>
        <w:rPr>
          <w:rFonts w:ascii="Times New Roman" w:hAnsi="Times New Roman" w:eastAsia="Times New Roman" w:cs="Times New Roman"/>
          <w:spacing w:val="61"/>
          <w:w w:val="101"/>
          <w:sz w:val="21"/>
          <w:szCs w:val="21"/>
        </w:rPr>
        <w:t xml:space="preserve"> </w:t>
      </w:r>
      <w:r>
        <w:rPr>
          <w:rFonts w:ascii="宋体" w:hAnsi="宋体" w:eastAsia="宋体" w:cs="宋体"/>
          <w:spacing w:val="-1"/>
          <w:sz w:val="21"/>
          <w:szCs w:val="21"/>
        </w:rPr>
        <w:t>经监理人同意，承包人可根据合同进度计划撤走闲置的施工设备。</w:t>
      </w:r>
    </w:p>
    <w:p w14:paraId="5BB53C6C">
      <w:pPr>
        <w:spacing w:before="165" w:line="237" w:lineRule="auto"/>
        <w:ind w:left="26"/>
        <w:outlineLvl w:val="0"/>
        <w:rPr>
          <w:rFonts w:ascii="黑体" w:hAnsi="黑体" w:eastAsia="黑体" w:cs="黑体"/>
          <w:sz w:val="28"/>
          <w:szCs w:val="28"/>
        </w:rPr>
      </w:pPr>
      <w:bookmarkStart w:id="97" w:name="bookmark89"/>
      <w:bookmarkEnd w:id="97"/>
      <w:bookmarkStart w:id="98" w:name="bookmark88"/>
      <w:bookmarkEnd w:id="98"/>
      <w:r>
        <w:rPr>
          <w:rFonts w:ascii="Times New Roman" w:hAnsi="Times New Roman" w:eastAsia="Times New Roman" w:cs="Times New Roman"/>
          <w:spacing w:val="3"/>
          <w:sz w:val="28"/>
          <w:szCs w:val="28"/>
        </w:rPr>
        <w:t>7.</w:t>
      </w:r>
      <w:r>
        <w:rPr>
          <w:rFonts w:ascii="Times New Roman" w:hAnsi="Times New Roman" w:eastAsia="Times New Roman" w:cs="Times New Roman"/>
          <w:spacing w:val="8"/>
          <w:sz w:val="28"/>
          <w:szCs w:val="28"/>
        </w:rPr>
        <w:t xml:space="preserve">  </w:t>
      </w:r>
      <w:r>
        <w:rPr>
          <w:rFonts w:ascii="黑体" w:hAnsi="黑体" w:eastAsia="黑体" w:cs="黑体"/>
          <w:spacing w:val="3"/>
          <w:sz w:val="28"/>
          <w:szCs w:val="28"/>
        </w:rPr>
        <w:t>交通运输</w:t>
      </w:r>
    </w:p>
    <w:p w14:paraId="6BB0C401">
      <w:pPr>
        <w:spacing w:before="85" w:line="233" w:lineRule="auto"/>
        <w:ind w:left="24"/>
        <w:outlineLvl w:val="1"/>
        <w:rPr>
          <w:rFonts w:ascii="黑体" w:hAnsi="黑体" w:eastAsia="黑体" w:cs="黑体"/>
          <w:sz w:val="24"/>
          <w:szCs w:val="24"/>
        </w:rPr>
      </w:pPr>
      <w:bookmarkStart w:id="99" w:name="bookmark635"/>
      <w:bookmarkEnd w:id="99"/>
      <w:r>
        <w:rPr>
          <w:rFonts w:ascii="Times New Roman" w:hAnsi="Times New Roman" w:eastAsia="Times New Roman" w:cs="Times New Roman"/>
          <w:spacing w:val="-1"/>
          <w:sz w:val="24"/>
          <w:szCs w:val="24"/>
        </w:rPr>
        <w:t xml:space="preserve">7.1  </w:t>
      </w:r>
      <w:r>
        <w:rPr>
          <w:rFonts w:ascii="黑体" w:hAnsi="黑体" w:eastAsia="黑体" w:cs="黑体"/>
          <w:spacing w:val="-1"/>
          <w:sz w:val="24"/>
          <w:szCs w:val="24"/>
        </w:rPr>
        <w:t>道路通行权和场外设施</w:t>
      </w:r>
    </w:p>
    <w:p w14:paraId="7089B5C5">
      <w:pPr>
        <w:spacing w:before="115" w:line="344" w:lineRule="auto"/>
        <w:ind w:left="25" w:right="40" w:firstLine="432"/>
        <w:jc w:val="both"/>
        <w:rPr>
          <w:rFonts w:ascii="宋体" w:hAnsi="宋体" w:eastAsia="宋体" w:cs="宋体"/>
          <w:sz w:val="21"/>
          <w:szCs w:val="21"/>
        </w:rPr>
      </w:pPr>
      <w:r>
        <w:rPr>
          <w:rFonts w:ascii="宋体" w:hAnsi="宋体" w:eastAsia="宋体" w:cs="宋体"/>
          <w:spacing w:val="-2"/>
          <w:sz w:val="21"/>
          <w:szCs w:val="21"/>
        </w:rPr>
        <w:t>除专用合同条款另有约定外，发包人应根据</w:t>
      </w:r>
      <w:r>
        <w:rPr>
          <w:rFonts w:ascii="宋体" w:hAnsi="宋体" w:eastAsia="宋体" w:cs="宋体"/>
          <w:spacing w:val="-3"/>
          <w:sz w:val="21"/>
          <w:szCs w:val="21"/>
        </w:rPr>
        <w:t>合同工程的施工需要，负责办理取得出入施</w:t>
      </w:r>
      <w:r>
        <w:rPr>
          <w:rFonts w:ascii="宋体" w:hAnsi="宋体" w:eastAsia="宋体" w:cs="宋体"/>
          <w:spacing w:val="-2"/>
          <w:sz w:val="21"/>
          <w:szCs w:val="21"/>
        </w:rPr>
        <w:t>工场地的专用和临时道路的通行权，以及取得为工程建设所需修建场外设施的权利，并</w:t>
      </w:r>
      <w:r>
        <w:rPr>
          <w:rFonts w:ascii="宋体" w:hAnsi="宋体" w:eastAsia="宋体" w:cs="宋体"/>
          <w:spacing w:val="-3"/>
          <w:sz w:val="21"/>
          <w:szCs w:val="21"/>
        </w:rPr>
        <w:t>承担</w:t>
      </w:r>
      <w:r>
        <w:rPr>
          <w:rFonts w:ascii="宋体" w:hAnsi="宋体" w:eastAsia="宋体" w:cs="宋体"/>
          <w:spacing w:val="-2"/>
          <w:sz w:val="21"/>
          <w:szCs w:val="21"/>
        </w:rPr>
        <w:t>有关费用。承包人应协助发包人办理上述手续。</w:t>
      </w:r>
    </w:p>
    <w:p w14:paraId="4196FFCA">
      <w:pPr>
        <w:spacing w:before="1" w:line="234" w:lineRule="auto"/>
        <w:ind w:left="24"/>
        <w:outlineLvl w:val="1"/>
        <w:rPr>
          <w:rFonts w:ascii="黑体" w:hAnsi="黑体" w:eastAsia="黑体" w:cs="黑体"/>
          <w:sz w:val="24"/>
          <w:szCs w:val="24"/>
        </w:rPr>
      </w:pPr>
      <w:bookmarkStart w:id="100" w:name="bookmark90"/>
      <w:bookmarkEnd w:id="100"/>
      <w:r>
        <w:rPr>
          <w:rFonts w:ascii="Times New Roman" w:hAnsi="Times New Roman" w:eastAsia="Times New Roman" w:cs="Times New Roman"/>
          <w:spacing w:val="-1"/>
          <w:sz w:val="24"/>
          <w:szCs w:val="24"/>
        </w:rPr>
        <w:t xml:space="preserve">7.2  </w:t>
      </w:r>
      <w:r>
        <w:rPr>
          <w:rFonts w:ascii="黑体" w:hAnsi="黑体" w:eastAsia="黑体" w:cs="黑体"/>
          <w:spacing w:val="-1"/>
          <w:sz w:val="24"/>
          <w:szCs w:val="24"/>
        </w:rPr>
        <w:t>场内施工道路</w:t>
      </w:r>
    </w:p>
    <w:p w14:paraId="0E2A90D9">
      <w:pPr>
        <w:spacing w:before="128" w:line="348" w:lineRule="auto"/>
        <w:ind w:left="25" w:right="41"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7.2.1  </w:t>
      </w:r>
      <w:r>
        <w:rPr>
          <w:rFonts w:ascii="宋体" w:hAnsi="宋体" w:eastAsia="宋体" w:cs="宋体"/>
          <w:spacing w:val="1"/>
          <w:sz w:val="21"/>
          <w:szCs w:val="21"/>
        </w:rPr>
        <w:t>除专用合同条款另有约定外，承</w:t>
      </w:r>
      <w:r>
        <w:rPr>
          <w:rFonts w:ascii="宋体" w:hAnsi="宋体" w:eastAsia="宋体" w:cs="宋体"/>
          <w:sz w:val="21"/>
          <w:szCs w:val="21"/>
        </w:rPr>
        <w:t>包人应负责修建、维修、养护和管理施工所需的</w:t>
      </w:r>
      <w:r>
        <w:rPr>
          <w:rFonts w:ascii="宋体" w:hAnsi="宋体" w:eastAsia="宋体" w:cs="宋体"/>
          <w:spacing w:val="-5"/>
          <w:sz w:val="21"/>
          <w:szCs w:val="21"/>
        </w:rPr>
        <w:t>临时道路和交通设施，包括维修、养护和管理发包人提供的道路和交通设施， 并承担相应费</w:t>
      </w:r>
      <w:r>
        <w:rPr>
          <w:rFonts w:ascii="宋体" w:hAnsi="宋体" w:eastAsia="宋体" w:cs="宋体"/>
          <w:spacing w:val="-10"/>
          <w:sz w:val="21"/>
          <w:szCs w:val="21"/>
        </w:rPr>
        <w:t>用。</w:t>
      </w:r>
    </w:p>
    <w:p w14:paraId="588432C5">
      <w:pPr>
        <w:spacing w:before="13" w:line="338" w:lineRule="auto"/>
        <w:ind w:left="25" w:right="41"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7.2.2  </w:t>
      </w:r>
      <w:r>
        <w:rPr>
          <w:rFonts w:ascii="宋体" w:hAnsi="宋体" w:eastAsia="宋体" w:cs="宋体"/>
          <w:spacing w:val="1"/>
          <w:sz w:val="21"/>
          <w:szCs w:val="21"/>
        </w:rPr>
        <w:t>除专用合同条款另有约定外，承包人</w:t>
      </w:r>
      <w:r>
        <w:rPr>
          <w:rFonts w:ascii="宋体" w:hAnsi="宋体" w:eastAsia="宋体" w:cs="宋体"/>
          <w:sz w:val="21"/>
          <w:szCs w:val="21"/>
        </w:rPr>
        <w:t>修建的临时道路和交通设施应免费提供发包</w:t>
      </w:r>
      <w:r>
        <w:rPr>
          <w:rFonts w:ascii="宋体" w:hAnsi="宋体" w:eastAsia="宋体" w:cs="宋体"/>
          <w:spacing w:val="-5"/>
          <w:sz w:val="21"/>
          <w:szCs w:val="21"/>
        </w:rPr>
        <w:t>人和监理人使用。</w:t>
      </w:r>
    </w:p>
    <w:p w14:paraId="51D360EA">
      <w:pPr>
        <w:spacing w:line="233" w:lineRule="auto"/>
        <w:ind w:left="24"/>
        <w:outlineLvl w:val="1"/>
        <w:rPr>
          <w:rFonts w:ascii="黑体" w:hAnsi="黑体" w:eastAsia="黑体" w:cs="黑体"/>
          <w:sz w:val="24"/>
          <w:szCs w:val="24"/>
        </w:rPr>
      </w:pPr>
      <w:bookmarkStart w:id="101" w:name="bookmark91"/>
      <w:bookmarkEnd w:id="101"/>
      <w:r>
        <w:rPr>
          <w:rFonts w:ascii="Times New Roman" w:hAnsi="Times New Roman" w:eastAsia="Times New Roman" w:cs="Times New Roman"/>
          <w:spacing w:val="-1"/>
          <w:sz w:val="24"/>
          <w:szCs w:val="24"/>
        </w:rPr>
        <w:t xml:space="preserve">7.3  </w:t>
      </w:r>
      <w:r>
        <w:rPr>
          <w:rFonts w:ascii="黑体" w:hAnsi="黑体" w:eastAsia="黑体" w:cs="黑体"/>
          <w:spacing w:val="-1"/>
          <w:sz w:val="24"/>
          <w:szCs w:val="24"/>
        </w:rPr>
        <w:t>场外交通</w:t>
      </w:r>
    </w:p>
    <w:p w14:paraId="47F6892C">
      <w:pPr>
        <w:spacing w:before="127" w:line="349" w:lineRule="auto"/>
        <w:ind w:left="25" w:right="41"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7.3.1  </w:t>
      </w:r>
      <w:r>
        <w:rPr>
          <w:rFonts w:ascii="宋体" w:hAnsi="宋体" w:eastAsia="宋体" w:cs="宋体"/>
          <w:spacing w:val="1"/>
          <w:sz w:val="21"/>
          <w:szCs w:val="21"/>
        </w:rPr>
        <w:t>承包人车辆外出行驶所需的场外公共</w:t>
      </w:r>
      <w:r>
        <w:rPr>
          <w:rFonts w:ascii="宋体" w:hAnsi="宋体" w:eastAsia="宋体" w:cs="宋体"/>
          <w:sz w:val="21"/>
          <w:szCs w:val="21"/>
        </w:rPr>
        <w:t>道路的通行费、养路费和税款等由承包人承</w:t>
      </w:r>
      <w:r>
        <w:rPr>
          <w:rFonts w:ascii="宋体" w:hAnsi="宋体" w:eastAsia="宋体" w:cs="宋体"/>
          <w:spacing w:val="-10"/>
          <w:sz w:val="21"/>
          <w:szCs w:val="21"/>
        </w:rPr>
        <w:t>担。</w:t>
      </w:r>
    </w:p>
    <w:p w14:paraId="340AF8CB">
      <w:pPr>
        <w:spacing w:before="3" w:line="345" w:lineRule="auto"/>
        <w:ind w:left="28" w:right="41"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7.3.2  </w:t>
      </w:r>
      <w:r>
        <w:rPr>
          <w:rFonts w:ascii="宋体" w:hAnsi="宋体" w:eastAsia="宋体" w:cs="宋体"/>
          <w:spacing w:val="1"/>
          <w:sz w:val="21"/>
          <w:szCs w:val="21"/>
        </w:rPr>
        <w:t>承包人应遵守有关交通法规，严格按</w:t>
      </w:r>
      <w:r>
        <w:rPr>
          <w:rFonts w:ascii="宋体" w:hAnsi="宋体" w:eastAsia="宋体" w:cs="宋体"/>
          <w:sz w:val="21"/>
          <w:szCs w:val="21"/>
        </w:rPr>
        <w:t>照道路和桥梁的限制荷重安全行驶，并服从</w:t>
      </w:r>
      <w:r>
        <w:rPr>
          <w:rFonts w:ascii="宋体" w:hAnsi="宋体" w:eastAsia="宋体" w:cs="宋体"/>
          <w:spacing w:val="-3"/>
          <w:sz w:val="21"/>
          <w:szCs w:val="21"/>
        </w:rPr>
        <w:t>交通管理部门的检查和监督。</w:t>
      </w:r>
    </w:p>
    <w:p w14:paraId="1DBA4E17">
      <w:pPr>
        <w:spacing w:before="1" w:line="232" w:lineRule="auto"/>
        <w:ind w:left="24"/>
        <w:outlineLvl w:val="1"/>
        <w:rPr>
          <w:rFonts w:ascii="黑体" w:hAnsi="黑体" w:eastAsia="黑体" w:cs="黑体"/>
          <w:sz w:val="24"/>
          <w:szCs w:val="24"/>
        </w:rPr>
      </w:pPr>
      <w:bookmarkStart w:id="102" w:name="bookmark92"/>
      <w:bookmarkEnd w:id="102"/>
      <w:r>
        <w:rPr>
          <w:rFonts w:ascii="Times New Roman" w:hAnsi="Times New Roman" w:eastAsia="Times New Roman" w:cs="Times New Roman"/>
          <w:spacing w:val="-1"/>
          <w:sz w:val="24"/>
          <w:szCs w:val="24"/>
        </w:rPr>
        <w:t xml:space="preserve">7.4  </w:t>
      </w:r>
      <w:r>
        <w:rPr>
          <w:rFonts w:ascii="黑体" w:hAnsi="黑体" w:eastAsia="黑体" w:cs="黑体"/>
          <w:spacing w:val="-1"/>
          <w:sz w:val="24"/>
          <w:szCs w:val="24"/>
        </w:rPr>
        <w:t>超大件和超重件的运输</w:t>
      </w:r>
    </w:p>
    <w:p w14:paraId="4CC2C763">
      <w:pPr>
        <w:spacing w:before="112" w:line="345" w:lineRule="auto"/>
        <w:ind w:left="25" w:firstLine="444"/>
        <w:jc w:val="both"/>
        <w:rPr>
          <w:rFonts w:ascii="宋体" w:hAnsi="宋体" w:eastAsia="宋体" w:cs="宋体"/>
          <w:sz w:val="21"/>
          <w:szCs w:val="21"/>
        </w:rPr>
      </w:pPr>
      <w:r>
        <w:rPr>
          <w:rFonts w:ascii="宋体" w:hAnsi="宋体" w:eastAsia="宋体" w:cs="宋体"/>
          <w:spacing w:val="-2"/>
          <w:sz w:val="21"/>
          <w:szCs w:val="21"/>
        </w:rPr>
        <w:t>由承包人负责运输的超大件或超重件，应由承包人负责向交通管理部门办理申请手续，</w:t>
      </w:r>
      <w:r>
        <w:rPr>
          <w:rFonts w:ascii="宋体" w:hAnsi="宋体" w:eastAsia="宋体" w:cs="宋体"/>
          <w:spacing w:val="3"/>
          <w:sz w:val="21"/>
          <w:szCs w:val="21"/>
        </w:rPr>
        <w:t>发包人给予协助。运输超大件或超重件所需的道路和桥梁临时加固改造</w:t>
      </w:r>
      <w:r>
        <w:rPr>
          <w:rFonts w:ascii="宋体" w:hAnsi="宋体" w:eastAsia="宋体" w:cs="宋体"/>
          <w:spacing w:val="2"/>
          <w:sz w:val="21"/>
          <w:szCs w:val="21"/>
        </w:rPr>
        <w:t>费用和其他有关费</w:t>
      </w:r>
      <w:r>
        <w:rPr>
          <w:rFonts w:ascii="宋体" w:hAnsi="宋体" w:eastAsia="宋体" w:cs="宋体"/>
          <w:spacing w:val="-2"/>
          <w:sz w:val="21"/>
          <w:szCs w:val="21"/>
        </w:rPr>
        <w:t>用，由承包人承担，但专用合同条款另有约定除外。</w:t>
      </w:r>
    </w:p>
    <w:p w14:paraId="558BD115">
      <w:pPr>
        <w:spacing w:before="1" w:line="231" w:lineRule="auto"/>
        <w:ind w:left="24"/>
        <w:outlineLvl w:val="1"/>
        <w:rPr>
          <w:rFonts w:ascii="黑体" w:hAnsi="黑体" w:eastAsia="黑体" w:cs="黑体"/>
          <w:sz w:val="24"/>
          <w:szCs w:val="24"/>
        </w:rPr>
      </w:pPr>
      <w:bookmarkStart w:id="103" w:name="bookmark93"/>
      <w:bookmarkEnd w:id="103"/>
      <w:r>
        <w:rPr>
          <w:rFonts w:ascii="Times New Roman" w:hAnsi="Times New Roman" w:eastAsia="Times New Roman" w:cs="Times New Roman"/>
          <w:spacing w:val="-1"/>
          <w:sz w:val="24"/>
          <w:szCs w:val="24"/>
        </w:rPr>
        <w:t xml:space="preserve">7.5  </w:t>
      </w:r>
      <w:r>
        <w:rPr>
          <w:rFonts w:ascii="黑体" w:hAnsi="黑体" w:eastAsia="黑体" w:cs="黑体"/>
          <w:spacing w:val="-1"/>
          <w:sz w:val="24"/>
          <w:szCs w:val="24"/>
        </w:rPr>
        <w:t>道路和桥梁的损坏责任</w:t>
      </w:r>
    </w:p>
    <w:p w14:paraId="62863278">
      <w:pPr>
        <w:spacing w:before="128" w:line="359" w:lineRule="auto"/>
        <w:ind w:left="35" w:right="40" w:firstLine="425"/>
        <w:rPr>
          <w:rFonts w:ascii="宋体" w:hAnsi="宋体" w:eastAsia="宋体" w:cs="宋体"/>
          <w:sz w:val="21"/>
          <w:szCs w:val="21"/>
        </w:rPr>
      </w:pPr>
      <w:r>
        <w:rPr>
          <w:rFonts w:ascii="宋体" w:hAnsi="宋体" w:eastAsia="宋体" w:cs="宋体"/>
          <w:spacing w:val="-3"/>
          <w:sz w:val="21"/>
          <w:szCs w:val="21"/>
        </w:rPr>
        <w:t>因承包人运输造成施工场地内外公共道路和桥梁损坏的，由承包人承担修复损坏的全部</w:t>
      </w:r>
      <w:r>
        <w:rPr>
          <w:rFonts w:ascii="宋体" w:hAnsi="宋体" w:eastAsia="宋体" w:cs="宋体"/>
          <w:spacing w:val="-4"/>
          <w:sz w:val="21"/>
          <w:szCs w:val="21"/>
        </w:rPr>
        <w:t>费用和可能引起的赔偿。</w:t>
      </w:r>
    </w:p>
    <w:p w14:paraId="2993E0DF">
      <w:pPr>
        <w:spacing w:line="359" w:lineRule="auto"/>
        <w:rPr>
          <w:rFonts w:ascii="宋体" w:hAnsi="宋体" w:eastAsia="宋体" w:cs="宋体"/>
          <w:sz w:val="21"/>
          <w:szCs w:val="21"/>
        </w:rPr>
        <w:sectPr>
          <w:footerReference r:id="rId86" w:type="default"/>
          <w:pgSz w:w="11910" w:h="16845"/>
          <w:pgMar w:top="400" w:right="1738" w:bottom="1110" w:left="1786" w:header="0" w:footer="883" w:gutter="0"/>
          <w:cols w:space="720" w:num="1"/>
        </w:sectPr>
      </w:pPr>
    </w:p>
    <w:p w14:paraId="34C3A785">
      <w:pPr>
        <w:pStyle w:val="2"/>
        <w:spacing w:line="266" w:lineRule="auto"/>
      </w:pPr>
    </w:p>
    <w:p w14:paraId="2E9F62E6">
      <w:pPr>
        <w:pStyle w:val="2"/>
        <w:spacing w:line="266" w:lineRule="auto"/>
      </w:pPr>
    </w:p>
    <w:p w14:paraId="709D1BEC">
      <w:pPr>
        <w:pStyle w:val="2"/>
        <w:spacing w:line="266" w:lineRule="auto"/>
      </w:pPr>
    </w:p>
    <w:p w14:paraId="351E3F88">
      <w:pPr>
        <w:pStyle w:val="2"/>
        <w:spacing w:line="267" w:lineRule="auto"/>
      </w:pPr>
    </w:p>
    <w:p w14:paraId="3C7AF498">
      <w:pPr>
        <w:spacing w:before="78" w:line="233" w:lineRule="auto"/>
        <w:ind w:left="24"/>
        <w:outlineLvl w:val="1"/>
        <w:rPr>
          <w:rFonts w:ascii="黑体" w:hAnsi="黑体" w:eastAsia="黑体" w:cs="黑体"/>
          <w:sz w:val="24"/>
          <w:szCs w:val="24"/>
        </w:rPr>
      </w:pPr>
      <w:bookmarkStart w:id="104" w:name="bookmark94"/>
      <w:bookmarkEnd w:id="104"/>
      <w:r>
        <w:rPr>
          <w:rFonts w:ascii="Times New Roman" w:hAnsi="Times New Roman" w:eastAsia="Times New Roman" w:cs="Times New Roman"/>
          <w:spacing w:val="-1"/>
          <w:sz w:val="24"/>
          <w:szCs w:val="24"/>
        </w:rPr>
        <w:t xml:space="preserve">7.6  </w:t>
      </w:r>
      <w:r>
        <w:rPr>
          <w:rFonts w:ascii="黑体" w:hAnsi="黑体" w:eastAsia="黑体" w:cs="黑体"/>
          <w:spacing w:val="-1"/>
          <w:sz w:val="24"/>
          <w:szCs w:val="24"/>
        </w:rPr>
        <w:t>水路和航空运输</w:t>
      </w:r>
    </w:p>
    <w:p w14:paraId="408F3CF7">
      <w:pPr>
        <w:spacing w:before="127" w:line="351" w:lineRule="auto"/>
        <w:ind w:left="24" w:right="29" w:firstLine="421"/>
        <w:jc w:val="both"/>
        <w:rPr>
          <w:rFonts w:ascii="宋体" w:hAnsi="宋体" w:eastAsia="宋体" w:cs="宋体"/>
          <w:sz w:val="21"/>
          <w:szCs w:val="21"/>
        </w:rPr>
      </w:pPr>
      <w:r>
        <w:rPr>
          <w:rFonts w:ascii="宋体" w:hAnsi="宋体" w:eastAsia="宋体" w:cs="宋体"/>
          <w:spacing w:val="-1"/>
          <w:sz w:val="21"/>
          <w:szCs w:val="21"/>
        </w:rPr>
        <w:t>本条上述各款的内容适用于水路运输和航空运输，其中“道路”一词的涵义包括河道、</w:t>
      </w:r>
      <w:r>
        <w:rPr>
          <w:rFonts w:ascii="宋体" w:hAnsi="宋体" w:eastAsia="宋体" w:cs="宋体"/>
          <w:spacing w:val="-2"/>
          <w:sz w:val="21"/>
          <w:szCs w:val="21"/>
        </w:rPr>
        <w:t>航线、船闸、机场、码头、堤防以及水路或航空运输中</w:t>
      </w:r>
      <w:r>
        <w:rPr>
          <w:rFonts w:ascii="宋体" w:hAnsi="宋体" w:eastAsia="宋体" w:cs="宋体"/>
          <w:spacing w:val="-3"/>
          <w:sz w:val="21"/>
          <w:szCs w:val="21"/>
        </w:rPr>
        <w:t>其他相似结构物；“车辆”一词的涵</w:t>
      </w:r>
      <w:r>
        <w:rPr>
          <w:rFonts w:ascii="宋体" w:hAnsi="宋体" w:eastAsia="宋体" w:cs="宋体"/>
          <w:spacing w:val="-4"/>
          <w:sz w:val="21"/>
          <w:szCs w:val="21"/>
        </w:rPr>
        <w:t>义包括船舶和飞机等。</w:t>
      </w:r>
    </w:p>
    <w:p w14:paraId="759AA212">
      <w:pPr>
        <w:spacing w:before="44" w:line="234" w:lineRule="auto"/>
        <w:ind w:left="33"/>
        <w:outlineLvl w:val="0"/>
        <w:rPr>
          <w:rFonts w:ascii="黑体" w:hAnsi="黑体" w:eastAsia="黑体" w:cs="黑体"/>
          <w:sz w:val="28"/>
          <w:szCs w:val="28"/>
        </w:rPr>
      </w:pPr>
      <w:bookmarkStart w:id="105" w:name="bookmark96"/>
      <w:bookmarkEnd w:id="105"/>
      <w:bookmarkStart w:id="106" w:name="bookmark95"/>
      <w:bookmarkEnd w:id="106"/>
      <w:r>
        <w:rPr>
          <w:rFonts w:ascii="Times New Roman" w:hAnsi="Times New Roman" w:eastAsia="Times New Roman" w:cs="Times New Roman"/>
          <w:spacing w:val="3"/>
          <w:sz w:val="28"/>
          <w:szCs w:val="28"/>
        </w:rPr>
        <w:t xml:space="preserve">8.  </w:t>
      </w:r>
      <w:r>
        <w:rPr>
          <w:rFonts w:ascii="黑体" w:hAnsi="黑体" w:eastAsia="黑体" w:cs="黑体"/>
          <w:spacing w:val="3"/>
          <w:sz w:val="28"/>
          <w:szCs w:val="28"/>
        </w:rPr>
        <w:t>测量放线</w:t>
      </w:r>
    </w:p>
    <w:p w14:paraId="5DB3C46E">
      <w:pPr>
        <w:spacing w:before="74" w:line="234" w:lineRule="auto"/>
        <w:ind w:left="30"/>
        <w:outlineLvl w:val="1"/>
        <w:rPr>
          <w:rFonts w:ascii="黑体" w:hAnsi="黑体" w:eastAsia="黑体" w:cs="黑体"/>
          <w:sz w:val="24"/>
          <w:szCs w:val="24"/>
        </w:rPr>
      </w:pPr>
      <w:bookmarkStart w:id="107" w:name="bookmark636"/>
      <w:bookmarkEnd w:id="107"/>
      <w:r>
        <w:rPr>
          <w:rFonts w:ascii="Times New Roman" w:hAnsi="Times New Roman" w:eastAsia="Times New Roman" w:cs="Times New Roman"/>
          <w:spacing w:val="-2"/>
          <w:sz w:val="24"/>
          <w:szCs w:val="24"/>
        </w:rPr>
        <w:t xml:space="preserve">8.1  </w:t>
      </w:r>
      <w:r>
        <w:rPr>
          <w:rFonts w:ascii="黑体" w:hAnsi="黑体" w:eastAsia="黑体" w:cs="黑体"/>
          <w:spacing w:val="-2"/>
          <w:sz w:val="24"/>
          <w:szCs w:val="24"/>
        </w:rPr>
        <w:t>施工控制网</w:t>
      </w:r>
    </w:p>
    <w:p w14:paraId="32E812F6">
      <w:pPr>
        <w:spacing w:before="126" w:line="350" w:lineRule="auto"/>
        <w:ind w:left="24" w:right="28" w:firstLine="425"/>
        <w:rPr>
          <w:rFonts w:ascii="宋体" w:hAnsi="宋体" w:eastAsia="宋体" w:cs="宋体"/>
          <w:sz w:val="21"/>
          <w:szCs w:val="21"/>
        </w:rPr>
      </w:pPr>
      <w:r>
        <w:rPr>
          <w:rFonts w:ascii="Times New Roman" w:hAnsi="Times New Roman" w:eastAsia="Times New Roman" w:cs="Times New Roman"/>
          <w:sz w:val="21"/>
          <w:szCs w:val="21"/>
        </w:rPr>
        <w:t xml:space="preserve">8.1.1  </w:t>
      </w:r>
      <w:r>
        <w:rPr>
          <w:rFonts w:ascii="宋体" w:hAnsi="宋体" w:eastAsia="宋体" w:cs="宋体"/>
          <w:sz w:val="21"/>
          <w:szCs w:val="21"/>
        </w:rPr>
        <w:t>发包人应在专用合同条款约定的期限内，通过监理人</w:t>
      </w:r>
      <w:r>
        <w:rPr>
          <w:rFonts w:ascii="宋体" w:hAnsi="宋体" w:eastAsia="宋体" w:cs="宋体"/>
          <w:spacing w:val="-1"/>
          <w:sz w:val="21"/>
          <w:szCs w:val="21"/>
        </w:rPr>
        <w:t>向承包人提供测量基准点、</w:t>
      </w:r>
      <w:r>
        <w:rPr>
          <w:rFonts w:ascii="宋体" w:hAnsi="宋体" w:eastAsia="宋体" w:cs="宋体"/>
          <w:sz w:val="21"/>
          <w:szCs w:val="21"/>
        </w:rPr>
        <w:t>基准线和水准点及其书面资料。除专用合同</w:t>
      </w:r>
      <w:r>
        <w:rPr>
          <w:rFonts w:ascii="宋体" w:hAnsi="宋体" w:eastAsia="宋体" w:cs="宋体"/>
          <w:spacing w:val="-1"/>
          <w:sz w:val="21"/>
          <w:szCs w:val="21"/>
        </w:rPr>
        <w:t>条款另有约定外，承包人应根据国家测绘基准、</w:t>
      </w:r>
      <w:r>
        <w:rPr>
          <w:rFonts w:ascii="宋体" w:hAnsi="宋体" w:eastAsia="宋体" w:cs="宋体"/>
          <w:spacing w:val="-2"/>
          <w:sz w:val="21"/>
          <w:szCs w:val="21"/>
        </w:rPr>
        <w:t>测绘系统和工程测量技术规范，按上述基准点（线）以及合同工程精度要求，测设施工控制</w:t>
      </w:r>
      <w:r>
        <w:rPr>
          <w:rFonts w:ascii="宋体" w:hAnsi="宋体" w:eastAsia="宋体" w:cs="宋体"/>
          <w:spacing w:val="-1"/>
          <w:sz w:val="21"/>
          <w:szCs w:val="21"/>
        </w:rPr>
        <w:t>网，并在专用合同条款约定的期限内，将施工控制网资料报送监理人审批。</w:t>
      </w:r>
    </w:p>
    <w:p w14:paraId="5E47EFD3">
      <w:pPr>
        <w:spacing w:before="1" w:line="344" w:lineRule="auto"/>
        <w:ind w:left="24" w:right="89" w:firstLine="425"/>
        <w:rPr>
          <w:rFonts w:ascii="宋体" w:hAnsi="宋体" w:eastAsia="宋体" w:cs="宋体"/>
          <w:sz w:val="21"/>
          <w:szCs w:val="21"/>
        </w:rPr>
      </w:pPr>
      <w:r>
        <w:rPr>
          <w:rFonts w:ascii="Times New Roman" w:hAnsi="Times New Roman" w:eastAsia="Times New Roman" w:cs="Times New Roman"/>
          <w:sz w:val="21"/>
          <w:szCs w:val="21"/>
        </w:rPr>
        <w:t xml:space="preserve">8.1.2  </w:t>
      </w:r>
      <w:r>
        <w:rPr>
          <w:rFonts w:ascii="宋体" w:hAnsi="宋体" w:eastAsia="宋体" w:cs="宋体"/>
          <w:sz w:val="21"/>
          <w:szCs w:val="21"/>
        </w:rPr>
        <w:t>承包人应负责管理施工控制网点。施工控制网点丢失或损坏的，承包人应及时修</w:t>
      </w:r>
      <w:r>
        <w:rPr>
          <w:rFonts w:ascii="宋体" w:hAnsi="宋体" w:eastAsia="宋体" w:cs="宋体"/>
          <w:spacing w:val="-2"/>
          <w:sz w:val="21"/>
          <w:szCs w:val="21"/>
        </w:rPr>
        <w:t>复。承包人应承担施工控制网点的管理与修复费用，并在工程竣工后将施工控制网</w:t>
      </w:r>
      <w:r>
        <w:rPr>
          <w:rFonts w:ascii="宋体" w:hAnsi="宋体" w:eastAsia="宋体" w:cs="宋体"/>
          <w:spacing w:val="-3"/>
          <w:sz w:val="21"/>
          <w:szCs w:val="21"/>
        </w:rPr>
        <w:t>点移交发</w:t>
      </w:r>
      <w:r>
        <w:rPr>
          <w:rFonts w:ascii="宋体" w:hAnsi="宋体" w:eastAsia="宋体" w:cs="宋体"/>
          <w:spacing w:val="-9"/>
          <w:sz w:val="21"/>
          <w:szCs w:val="21"/>
        </w:rPr>
        <w:t>包人。</w:t>
      </w:r>
    </w:p>
    <w:p w14:paraId="781BB5AF">
      <w:pPr>
        <w:spacing w:before="1" w:line="234" w:lineRule="auto"/>
        <w:ind w:left="30"/>
        <w:outlineLvl w:val="1"/>
        <w:rPr>
          <w:rFonts w:ascii="黑体" w:hAnsi="黑体" w:eastAsia="黑体" w:cs="黑体"/>
          <w:sz w:val="24"/>
          <w:szCs w:val="24"/>
        </w:rPr>
      </w:pPr>
      <w:bookmarkStart w:id="108" w:name="bookmark97"/>
      <w:bookmarkEnd w:id="108"/>
      <w:r>
        <w:rPr>
          <w:rFonts w:ascii="Times New Roman" w:hAnsi="Times New Roman" w:eastAsia="Times New Roman" w:cs="Times New Roman"/>
          <w:spacing w:val="-2"/>
          <w:sz w:val="24"/>
          <w:szCs w:val="24"/>
        </w:rPr>
        <w:t xml:space="preserve">8.2  </w:t>
      </w:r>
      <w:r>
        <w:rPr>
          <w:rFonts w:ascii="黑体" w:hAnsi="黑体" w:eastAsia="黑体" w:cs="黑体"/>
          <w:spacing w:val="-2"/>
          <w:sz w:val="24"/>
          <w:szCs w:val="24"/>
        </w:rPr>
        <w:t>施工测量</w:t>
      </w:r>
    </w:p>
    <w:p w14:paraId="7207C31C">
      <w:pPr>
        <w:spacing w:before="125" w:line="349" w:lineRule="auto"/>
        <w:ind w:left="27" w:right="119" w:firstLine="421"/>
        <w:rPr>
          <w:rFonts w:ascii="宋体" w:hAnsi="宋体" w:eastAsia="宋体" w:cs="宋体"/>
          <w:sz w:val="21"/>
          <w:szCs w:val="21"/>
        </w:rPr>
      </w:pPr>
      <w:r>
        <w:rPr>
          <w:rFonts w:ascii="Times New Roman" w:hAnsi="Times New Roman" w:eastAsia="Times New Roman" w:cs="Times New Roman"/>
          <w:sz w:val="21"/>
          <w:szCs w:val="21"/>
        </w:rPr>
        <w:t xml:space="preserve">8.2.1  </w:t>
      </w:r>
      <w:r>
        <w:rPr>
          <w:rFonts w:ascii="宋体" w:hAnsi="宋体" w:eastAsia="宋体" w:cs="宋体"/>
          <w:sz w:val="21"/>
          <w:szCs w:val="21"/>
        </w:rPr>
        <w:t>承包人应负责施工过程中的全部施工测量放线工作，</w:t>
      </w:r>
      <w:r>
        <w:rPr>
          <w:rFonts w:ascii="宋体" w:hAnsi="宋体" w:eastAsia="宋体" w:cs="宋体"/>
          <w:spacing w:val="-1"/>
          <w:sz w:val="21"/>
          <w:szCs w:val="21"/>
        </w:rPr>
        <w:t>并配置合格的人员、仪器、</w:t>
      </w:r>
      <w:r>
        <w:rPr>
          <w:rFonts w:ascii="宋体" w:hAnsi="宋体" w:eastAsia="宋体" w:cs="宋体"/>
          <w:spacing w:val="-5"/>
          <w:sz w:val="21"/>
          <w:szCs w:val="21"/>
        </w:rPr>
        <w:t>设备和其他物品。</w:t>
      </w:r>
    </w:p>
    <w:p w14:paraId="628662EC">
      <w:pPr>
        <w:spacing w:before="3" w:line="345" w:lineRule="auto"/>
        <w:ind w:left="26" w:right="89" w:firstLine="422"/>
        <w:rPr>
          <w:rFonts w:ascii="宋体" w:hAnsi="宋体" w:eastAsia="宋体" w:cs="宋体"/>
          <w:sz w:val="21"/>
          <w:szCs w:val="21"/>
        </w:rPr>
      </w:pPr>
      <w:r>
        <w:rPr>
          <w:rFonts w:ascii="Times New Roman" w:hAnsi="Times New Roman" w:eastAsia="Times New Roman" w:cs="Times New Roman"/>
          <w:sz w:val="21"/>
          <w:szCs w:val="21"/>
        </w:rPr>
        <w:t xml:space="preserve">8.2.2  </w:t>
      </w:r>
      <w:r>
        <w:rPr>
          <w:rFonts w:ascii="宋体" w:hAnsi="宋体" w:eastAsia="宋体" w:cs="宋体"/>
          <w:sz w:val="21"/>
          <w:szCs w:val="21"/>
        </w:rPr>
        <w:t>监理人可以指示承包人进行抽样复测，当复测中发现错误或出现超过合同约定的</w:t>
      </w:r>
      <w:r>
        <w:rPr>
          <w:rFonts w:ascii="宋体" w:hAnsi="宋体" w:eastAsia="宋体" w:cs="宋体"/>
          <w:spacing w:val="-1"/>
          <w:sz w:val="21"/>
          <w:szCs w:val="21"/>
        </w:rPr>
        <w:t>误差时，承包人应按监理人指示进行修正或补测，并承担相应的复测费用。</w:t>
      </w:r>
    </w:p>
    <w:p w14:paraId="06AC3E51">
      <w:pPr>
        <w:spacing w:before="1" w:line="231" w:lineRule="auto"/>
        <w:ind w:left="30"/>
        <w:outlineLvl w:val="1"/>
        <w:rPr>
          <w:rFonts w:ascii="黑体" w:hAnsi="黑体" w:eastAsia="黑体" w:cs="黑体"/>
          <w:sz w:val="24"/>
          <w:szCs w:val="24"/>
        </w:rPr>
      </w:pPr>
      <w:bookmarkStart w:id="109" w:name="bookmark98"/>
      <w:bookmarkEnd w:id="109"/>
      <w:r>
        <w:rPr>
          <w:rFonts w:ascii="Times New Roman" w:hAnsi="Times New Roman" w:eastAsia="Times New Roman" w:cs="Times New Roman"/>
          <w:spacing w:val="-1"/>
          <w:sz w:val="24"/>
          <w:szCs w:val="24"/>
        </w:rPr>
        <w:t xml:space="preserve">8.3  </w:t>
      </w:r>
      <w:r>
        <w:rPr>
          <w:rFonts w:ascii="黑体" w:hAnsi="黑体" w:eastAsia="黑体" w:cs="黑体"/>
          <w:spacing w:val="-1"/>
          <w:sz w:val="24"/>
          <w:szCs w:val="24"/>
        </w:rPr>
        <w:t>基准资料错误的责任</w:t>
      </w:r>
    </w:p>
    <w:p w14:paraId="71C4D3DE">
      <w:pPr>
        <w:spacing w:before="116" w:line="347" w:lineRule="auto"/>
        <w:ind w:left="25" w:right="81" w:firstLine="423"/>
        <w:jc w:val="both"/>
        <w:rPr>
          <w:rFonts w:ascii="宋体" w:hAnsi="宋体" w:eastAsia="宋体" w:cs="宋体"/>
          <w:sz w:val="21"/>
          <w:szCs w:val="21"/>
        </w:rPr>
      </w:pPr>
      <w:r>
        <w:rPr>
          <w:rFonts w:ascii="宋体" w:hAnsi="宋体" w:eastAsia="宋体" w:cs="宋体"/>
          <w:spacing w:val="-2"/>
          <w:sz w:val="21"/>
          <w:szCs w:val="21"/>
        </w:rPr>
        <w:t>发包人应对其提供的测量基准点、基准线和水准点及其书面资料</w:t>
      </w:r>
      <w:r>
        <w:rPr>
          <w:rFonts w:ascii="宋体" w:hAnsi="宋体" w:eastAsia="宋体" w:cs="宋体"/>
          <w:spacing w:val="-3"/>
          <w:sz w:val="21"/>
          <w:szCs w:val="21"/>
        </w:rPr>
        <w:t>的真实性、准确性和完</w:t>
      </w:r>
      <w:r>
        <w:rPr>
          <w:rFonts w:ascii="宋体" w:hAnsi="宋体" w:eastAsia="宋体" w:cs="宋体"/>
          <w:spacing w:val="3"/>
          <w:sz w:val="21"/>
          <w:szCs w:val="21"/>
        </w:rPr>
        <w:t>整性负责。发包人提供上述基准资料错误导致承包人测量放线工作的返工</w:t>
      </w:r>
      <w:r>
        <w:rPr>
          <w:rFonts w:ascii="宋体" w:hAnsi="宋体" w:eastAsia="宋体" w:cs="宋体"/>
          <w:spacing w:val="2"/>
          <w:sz w:val="21"/>
          <w:szCs w:val="21"/>
        </w:rPr>
        <w:t>或造成工程损失</w:t>
      </w:r>
      <w:r>
        <w:rPr>
          <w:rFonts w:ascii="宋体" w:hAnsi="宋体" w:eastAsia="宋体" w:cs="宋体"/>
          <w:spacing w:val="-2"/>
          <w:sz w:val="21"/>
          <w:szCs w:val="21"/>
        </w:rPr>
        <w:t>的，发包人应当承担由此增加的费用和（或）工期延误，并向承包人支付合理利润。承包人</w:t>
      </w:r>
      <w:r>
        <w:rPr>
          <w:rFonts w:ascii="宋体" w:hAnsi="宋体" w:eastAsia="宋体" w:cs="宋体"/>
          <w:spacing w:val="-1"/>
          <w:sz w:val="21"/>
          <w:szCs w:val="21"/>
        </w:rPr>
        <w:t>发现发包人提供的上述基准资料存在明显错误或疏忽的，应及时通知监理人。</w:t>
      </w:r>
    </w:p>
    <w:p w14:paraId="77DABCFC">
      <w:pPr>
        <w:spacing w:before="1" w:line="232" w:lineRule="auto"/>
        <w:ind w:left="30"/>
        <w:outlineLvl w:val="1"/>
        <w:rPr>
          <w:rFonts w:ascii="黑体" w:hAnsi="黑体" w:eastAsia="黑体" w:cs="黑体"/>
          <w:sz w:val="24"/>
          <w:szCs w:val="24"/>
        </w:rPr>
      </w:pPr>
      <w:bookmarkStart w:id="110" w:name="bookmark99"/>
      <w:bookmarkEnd w:id="110"/>
      <w:r>
        <w:rPr>
          <w:rFonts w:ascii="Times New Roman" w:hAnsi="Times New Roman" w:eastAsia="Times New Roman" w:cs="Times New Roman"/>
          <w:spacing w:val="-1"/>
          <w:sz w:val="24"/>
          <w:szCs w:val="24"/>
        </w:rPr>
        <w:t xml:space="preserve">8.4  </w:t>
      </w:r>
      <w:r>
        <w:rPr>
          <w:rFonts w:ascii="黑体" w:hAnsi="黑体" w:eastAsia="黑体" w:cs="黑体"/>
          <w:spacing w:val="-1"/>
          <w:sz w:val="24"/>
          <w:szCs w:val="24"/>
        </w:rPr>
        <w:t>监理人使用施工控制网</w:t>
      </w:r>
    </w:p>
    <w:p w14:paraId="6EB5AA92">
      <w:pPr>
        <w:spacing w:before="129" w:line="219" w:lineRule="auto"/>
        <w:ind w:right="28"/>
        <w:jc w:val="right"/>
        <w:rPr>
          <w:rFonts w:ascii="宋体" w:hAnsi="宋体" w:eastAsia="宋体" w:cs="宋体"/>
          <w:sz w:val="21"/>
          <w:szCs w:val="21"/>
        </w:rPr>
      </w:pPr>
      <w:r>
        <w:rPr>
          <w:rFonts w:ascii="宋体" w:hAnsi="宋体" w:eastAsia="宋体" w:cs="宋体"/>
          <w:spacing w:val="-1"/>
          <w:sz w:val="21"/>
          <w:szCs w:val="21"/>
        </w:rPr>
        <w:t>监理人需要使用施工控制网的，承包人应提供必要的协助，发包人不再为此支付费用。</w:t>
      </w:r>
    </w:p>
    <w:p w14:paraId="44287CCB">
      <w:pPr>
        <w:spacing w:before="181" w:line="237" w:lineRule="auto"/>
        <w:ind w:left="27"/>
        <w:outlineLvl w:val="0"/>
        <w:rPr>
          <w:rFonts w:ascii="黑体" w:hAnsi="黑体" w:eastAsia="黑体" w:cs="黑体"/>
          <w:sz w:val="28"/>
          <w:szCs w:val="28"/>
        </w:rPr>
      </w:pPr>
      <w:bookmarkStart w:id="111" w:name="bookmark101"/>
      <w:bookmarkEnd w:id="111"/>
      <w:bookmarkStart w:id="112" w:name="bookmark100"/>
      <w:bookmarkEnd w:id="112"/>
      <w:r>
        <w:rPr>
          <w:rFonts w:ascii="Times New Roman" w:hAnsi="Times New Roman" w:eastAsia="Times New Roman" w:cs="Times New Roman"/>
          <w:spacing w:val="2"/>
          <w:sz w:val="28"/>
          <w:szCs w:val="28"/>
        </w:rPr>
        <w:t xml:space="preserve">9.  </w:t>
      </w:r>
      <w:r>
        <w:rPr>
          <w:rFonts w:ascii="黑体" w:hAnsi="黑体" w:eastAsia="黑体" w:cs="黑体"/>
          <w:spacing w:val="2"/>
          <w:sz w:val="28"/>
          <w:szCs w:val="28"/>
        </w:rPr>
        <w:t>施工安全、治安保卫和环境保护</w:t>
      </w:r>
    </w:p>
    <w:p w14:paraId="636770C4">
      <w:pPr>
        <w:spacing w:before="85" w:line="232" w:lineRule="auto"/>
        <w:ind w:left="25"/>
        <w:outlineLvl w:val="1"/>
        <w:rPr>
          <w:rFonts w:ascii="黑体" w:hAnsi="黑体" w:eastAsia="黑体" w:cs="黑体"/>
          <w:sz w:val="24"/>
          <w:szCs w:val="24"/>
        </w:rPr>
      </w:pPr>
      <w:bookmarkStart w:id="113" w:name="bookmark637"/>
      <w:bookmarkEnd w:id="113"/>
      <w:r>
        <w:rPr>
          <w:rFonts w:ascii="Times New Roman" w:hAnsi="Times New Roman" w:eastAsia="Times New Roman" w:cs="Times New Roman"/>
          <w:spacing w:val="-1"/>
          <w:sz w:val="24"/>
          <w:szCs w:val="24"/>
        </w:rPr>
        <w:t xml:space="preserve">9.1  </w:t>
      </w:r>
      <w:r>
        <w:rPr>
          <w:rFonts w:ascii="黑体" w:hAnsi="黑体" w:eastAsia="黑体" w:cs="黑体"/>
          <w:spacing w:val="-1"/>
          <w:sz w:val="24"/>
          <w:szCs w:val="24"/>
        </w:rPr>
        <w:t>发包人的施工安全责任</w:t>
      </w:r>
    </w:p>
    <w:p w14:paraId="4441248A">
      <w:pPr>
        <w:spacing w:before="116" w:line="348" w:lineRule="auto"/>
        <w:ind w:left="24" w:firstLine="420"/>
        <w:rPr>
          <w:rFonts w:ascii="宋体" w:hAnsi="宋体" w:eastAsia="宋体" w:cs="宋体"/>
          <w:sz w:val="21"/>
          <w:szCs w:val="21"/>
        </w:rPr>
      </w:pPr>
      <w:r>
        <w:rPr>
          <w:rFonts w:ascii="Times New Roman" w:hAnsi="Times New Roman" w:eastAsia="Times New Roman" w:cs="Times New Roman"/>
          <w:spacing w:val="-2"/>
          <w:sz w:val="21"/>
          <w:szCs w:val="21"/>
        </w:rPr>
        <w:t xml:space="preserve">9.1.1  </w:t>
      </w:r>
      <w:r>
        <w:rPr>
          <w:rFonts w:ascii="宋体" w:hAnsi="宋体" w:eastAsia="宋体" w:cs="宋体"/>
          <w:spacing w:val="-2"/>
          <w:sz w:val="21"/>
          <w:szCs w:val="21"/>
        </w:rPr>
        <w:t>发包人应按合同约定履行安全职责，授权监理人按合同</w:t>
      </w:r>
      <w:r>
        <w:rPr>
          <w:rFonts w:ascii="宋体" w:hAnsi="宋体" w:eastAsia="宋体" w:cs="宋体"/>
          <w:spacing w:val="-3"/>
          <w:sz w:val="21"/>
          <w:szCs w:val="21"/>
        </w:rPr>
        <w:t>约定的安全工作内容监督、</w:t>
      </w:r>
      <w:r>
        <w:rPr>
          <w:rFonts w:ascii="宋体" w:hAnsi="宋体" w:eastAsia="宋体" w:cs="宋体"/>
          <w:spacing w:val="-1"/>
          <w:sz w:val="21"/>
          <w:szCs w:val="21"/>
        </w:rPr>
        <w:t>检查承包人安全工作的实施，组织承包人和有关单位进行安全检查。</w:t>
      </w:r>
    </w:p>
    <w:p w14:paraId="6C40E122">
      <w:pPr>
        <w:spacing w:before="17" w:line="336" w:lineRule="auto"/>
        <w:ind w:left="23" w:right="89"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9.1.2  </w:t>
      </w:r>
      <w:r>
        <w:rPr>
          <w:rFonts w:ascii="宋体" w:hAnsi="宋体" w:eastAsia="宋体" w:cs="宋体"/>
          <w:spacing w:val="1"/>
          <w:sz w:val="21"/>
          <w:szCs w:val="21"/>
        </w:rPr>
        <w:t>发包人应对其现场机构雇佣的全部人</w:t>
      </w:r>
      <w:r>
        <w:rPr>
          <w:rFonts w:ascii="宋体" w:hAnsi="宋体" w:eastAsia="宋体" w:cs="宋体"/>
          <w:sz w:val="21"/>
          <w:szCs w:val="21"/>
        </w:rPr>
        <w:t>员的工伤事故承担责任，但由于承包人原因</w:t>
      </w:r>
      <w:r>
        <w:rPr>
          <w:rFonts w:ascii="宋体" w:hAnsi="宋体" w:eastAsia="宋体" w:cs="宋体"/>
          <w:spacing w:val="-2"/>
          <w:sz w:val="21"/>
          <w:szCs w:val="21"/>
        </w:rPr>
        <w:t>造成发包人人员工伤的，应由承包人承担责任。</w:t>
      </w:r>
    </w:p>
    <w:p w14:paraId="1F6C629F">
      <w:pPr>
        <w:spacing w:before="33" w:line="233" w:lineRule="auto"/>
        <w:ind w:left="444"/>
        <w:rPr>
          <w:rFonts w:ascii="宋体" w:hAnsi="宋体" w:eastAsia="宋体" w:cs="宋体"/>
          <w:sz w:val="21"/>
          <w:szCs w:val="21"/>
        </w:rPr>
      </w:pPr>
      <w:r>
        <w:rPr>
          <w:rFonts w:ascii="Times New Roman" w:hAnsi="Times New Roman" w:eastAsia="Times New Roman" w:cs="Times New Roman"/>
          <w:spacing w:val="-1"/>
          <w:sz w:val="21"/>
          <w:szCs w:val="21"/>
        </w:rPr>
        <w:t>9.1.3</w:t>
      </w:r>
      <w:r>
        <w:rPr>
          <w:rFonts w:ascii="Times New Roman" w:hAnsi="Times New Roman" w:eastAsia="Times New Roman" w:cs="Times New Roman"/>
          <w:spacing w:val="50"/>
          <w:sz w:val="21"/>
          <w:szCs w:val="21"/>
        </w:rPr>
        <w:t xml:space="preserve"> </w:t>
      </w:r>
      <w:r>
        <w:rPr>
          <w:rFonts w:ascii="宋体" w:hAnsi="宋体" w:eastAsia="宋体" w:cs="宋体"/>
          <w:spacing w:val="-1"/>
          <w:sz w:val="21"/>
          <w:szCs w:val="21"/>
        </w:rPr>
        <w:t>发包人应负责赔偿以下各种情况造成的第三者人身伤亡和财</w:t>
      </w:r>
      <w:r>
        <w:rPr>
          <w:rFonts w:ascii="宋体" w:hAnsi="宋体" w:eastAsia="宋体" w:cs="宋体"/>
          <w:spacing w:val="-2"/>
          <w:sz w:val="21"/>
          <w:szCs w:val="21"/>
        </w:rPr>
        <w:t>产损失：</w:t>
      </w:r>
    </w:p>
    <w:p w14:paraId="3295AA11">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 工程或工程的任何部分对土地的占用所造成的第三者财产损失；</w:t>
      </w:r>
    </w:p>
    <w:p w14:paraId="18D14592">
      <w:pPr>
        <w:spacing w:before="125"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宋体" w:hAnsi="宋体" w:eastAsia="宋体" w:cs="宋体"/>
          <w:spacing w:val="47"/>
          <w:sz w:val="21"/>
          <w:szCs w:val="21"/>
        </w:rPr>
        <w:t xml:space="preserve"> </w:t>
      </w:r>
      <w:r>
        <w:rPr>
          <w:rFonts w:ascii="宋体" w:hAnsi="宋体" w:eastAsia="宋体" w:cs="宋体"/>
          <w:spacing w:val="-2"/>
          <w:sz w:val="21"/>
          <w:szCs w:val="21"/>
        </w:rPr>
        <w:t>由于发包人原因在施工场地及其毗邻地带造成的第三者人身伤亡和财产损失。</w:t>
      </w:r>
    </w:p>
    <w:p w14:paraId="64980BAF">
      <w:pPr>
        <w:spacing w:line="233" w:lineRule="auto"/>
        <w:rPr>
          <w:rFonts w:ascii="宋体" w:hAnsi="宋体" w:eastAsia="宋体" w:cs="宋体"/>
          <w:sz w:val="21"/>
          <w:szCs w:val="21"/>
        </w:rPr>
        <w:sectPr>
          <w:footerReference r:id="rId87" w:type="default"/>
          <w:pgSz w:w="11910" w:h="16845"/>
          <w:pgMar w:top="400" w:right="1689" w:bottom="1110" w:left="1786" w:header="0" w:footer="883" w:gutter="0"/>
          <w:cols w:space="720" w:num="1"/>
        </w:sectPr>
      </w:pPr>
    </w:p>
    <w:p w14:paraId="0C5069AD">
      <w:pPr>
        <w:pStyle w:val="2"/>
        <w:spacing w:line="266" w:lineRule="auto"/>
      </w:pPr>
    </w:p>
    <w:p w14:paraId="1BC7D204">
      <w:pPr>
        <w:pStyle w:val="2"/>
        <w:spacing w:line="266" w:lineRule="auto"/>
      </w:pPr>
    </w:p>
    <w:p w14:paraId="43033CB8">
      <w:pPr>
        <w:pStyle w:val="2"/>
        <w:spacing w:line="266" w:lineRule="auto"/>
      </w:pPr>
    </w:p>
    <w:p w14:paraId="7460EF37">
      <w:pPr>
        <w:pStyle w:val="2"/>
        <w:spacing w:line="267" w:lineRule="auto"/>
      </w:pPr>
    </w:p>
    <w:p w14:paraId="5B96986E">
      <w:pPr>
        <w:spacing w:before="78" w:line="232" w:lineRule="auto"/>
        <w:ind w:left="25"/>
        <w:outlineLvl w:val="1"/>
        <w:rPr>
          <w:rFonts w:ascii="黑体" w:hAnsi="黑体" w:eastAsia="黑体" w:cs="黑体"/>
          <w:sz w:val="24"/>
          <w:szCs w:val="24"/>
        </w:rPr>
      </w:pPr>
      <w:bookmarkStart w:id="114" w:name="bookmark102"/>
      <w:bookmarkEnd w:id="114"/>
      <w:r>
        <w:rPr>
          <w:rFonts w:ascii="Times New Roman" w:hAnsi="Times New Roman" w:eastAsia="Times New Roman" w:cs="Times New Roman"/>
          <w:spacing w:val="-1"/>
          <w:sz w:val="24"/>
          <w:szCs w:val="24"/>
        </w:rPr>
        <w:t xml:space="preserve">9.2  </w:t>
      </w:r>
      <w:r>
        <w:rPr>
          <w:rFonts w:ascii="黑体" w:hAnsi="黑体" w:eastAsia="黑体" w:cs="黑体"/>
          <w:spacing w:val="-1"/>
          <w:sz w:val="24"/>
          <w:szCs w:val="24"/>
        </w:rPr>
        <w:t>承包人的施工安全责任</w:t>
      </w:r>
    </w:p>
    <w:p w14:paraId="19D926C9">
      <w:pPr>
        <w:spacing w:before="128" w:line="336" w:lineRule="auto"/>
        <w:ind w:left="44" w:firstLine="400"/>
        <w:rPr>
          <w:rFonts w:ascii="宋体" w:hAnsi="宋体" w:eastAsia="宋体" w:cs="宋体"/>
          <w:sz w:val="21"/>
          <w:szCs w:val="21"/>
        </w:rPr>
      </w:pPr>
      <w:r>
        <w:rPr>
          <w:rFonts w:ascii="Times New Roman" w:hAnsi="Times New Roman" w:eastAsia="Times New Roman" w:cs="Times New Roman"/>
          <w:spacing w:val="3"/>
          <w:sz w:val="21"/>
          <w:szCs w:val="21"/>
        </w:rPr>
        <w:t xml:space="preserve">9.2.1  </w:t>
      </w:r>
      <w:r>
        <w:rPr>
          <w:rFonts w:ascii="宋体" w:hAnsi="宋体" w:eastAsia="宋体" w:cs="宋体"/>
          <w:spacing w:val="3"/>
          <w:sz w:val="21"/>
          <w:szCs w:val="21"/>
        </w:rPr>
        <w:t>承包人应按合同约定履行安全</w:t>
      </w:r>
      <w:r>
        <w:rPr>
          <w:rFonts w:ascii="宋体" w:hAnsi="宋体" w:eastAsia="宋体" w:cs="宋体"/>
          <w:spacing w:val="2"/>
          <w:sz w:val="21"/>
          <w:szCs w:val="21"/>
        </w:rPr>
        <w:t>职责</w:t>
      </w:r>
      <w:r>
        <w:rPr>
          <w:rFonts w:ascii="Times New Roman" w:hAnsi="Times New Roman" w:eastAsia="Times New Roman" w:cs="Times New Roman"/>
          <w:spacing w:val="2"/>
          <w:sz w:val="21"/>
          <w:szCs w:val="21"/>
        </w:rPr>
        <w:t>,</w:t>
      </w:r>
      <w:r>
        <w:rPr>
          <w:rFonts w:ascii="宋体" w:hAnsi="宋体" w:eastAsia="宋体" w:cs="宋体"/>
          <w:spacing w:val="2"/>
          <w:sz w:val="21"/>
          <w:szCs w:val="21"/>
        </w:rPr>
        <w:t>执行监理人有关安全工作的指示</w:t>
      </w:r>
      <w:r>
        <w:rPr>
          <w:rFonts w:ascii="Times New Roman" w:hAnsi="Times New Roman" w:eastAsia="Times New Roman" w:cs="Times New Roman"/>
          <w:spacing w:val="2"/>
          <w:sz w:val="21"/>
          <w:szCs w:val="21"/>
        </w:rPr>
        <w:t>,</w:t>
      </w:r>
      <w:r>
        <w:rPr>
          <w:rFonts w:ascii="宋体" w:hAnsi="宋体" w:eastAsia="宋体" w:cs="宋体"/>
          <w:spacing w:val="2"/>
          <w:sz w:val="21"/>
          <w:szCs w:val="21"/>
        </w:rPr>
        <w:t>并在专用合</w:t>
      </w:r>
      <w:r>
        <w:rPr>
          <w:rFonts w:ascii="宋体" w:hAnsi="宋体" w:eastAsia="宋体" w:cs="宋体"/>
          <w:spacing w:val="-5"/>
          <w:sz w:val="21"/>
          <w:szCs w:val="21"/>
        </w:rPr>
        <w:t>同条款约定的期限内，按合同约定的安全工作内容，编</w:t>
      </w:r>
      <w:r>
        <w:rPr>
          <w:rFonts w:ascii="宋体" w:hAnsi="宋体" w:eastAsia="宋体" w:cs="宋体"/>
          <w:spacing w:val="-6"/>
          <w:sz w:val="21"/>
          <w:szCs w:val="21"/>
        </w:rPr>
        <w:t>制施工安全措施计划报送监理人审批。</w:t>
      </w:r>
    </w:p>
    <w:p w14:paraId="3C024194">
      <w:pPr>
        <w:spacing w:before="31" w:line="348" w:lineRule="auto"/>
        <w:ind w:left="28" w:right="98" w:firstLine="416"/>
        <w:rPr>
          <w:rFonts w:ascii="宋体" w:hAnsi="宋体" w:eastAsia="宋体" w:cs="宋体"/>
          <w:sz w:val="21"/>
          <w:szCs w:val="21"/>
        </w:rPr>
      </w:pPr>
      <w:r>
        <w:rPr>
          <w:rFonts w:ascii="Times New Roman" w:hAnsi="Times New Roman" w:eastAsia="Times New Roman" w:cs="Times New Roman"/>
          <w:sz w:val="21"/>
          <w:szCs w:val="21"/>
        </w:rPr>
        <w:t xml:space="preserve">9.2.2  </w:t>
      </w:r>
      <w:r>
        <w:rPr>
          <w:rFonts w:ascii="宋体" w:hAnsi="宋体" w:eastAsia="宋体" w:cs="宋体"/>
          <w:sz w:val="21"/>
          <w:szCs w:val="21"/>
        </w:rPr>
        <w:t>承包人应加强施工作业安全管理，特别应加强易燃、易爆材料、火工器材、有毒</w:t>
      </w:r>
      <w:r>
        <w:rPr>
          <w:rFonts w:ascii="宋体" w:hAnsi="宋体" w:eastAsia="宋体" w:cs="宋体"/>
          <w:spacing w:val="-1"/>
          <w:sz w:val="21"/>
          <w:szCs w:val="21"/>
        </w:rPr>
        <w:t>与腐蚀性材料和其他危险品的管理，以及对爆破作业和地下工程施工等危险作业的管理。</w:t>
      </w:r>
    </w:p>
    <w:p w14:paraId="032D9B55">
      <w:pPr>
        <w:spacing w:before="5" w:line="348" w:lineRule="auto"/>
        <w:ind w:left="29" w:right="90"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9.2.3  </w:t>
      </w:r>
      <w:r>
        <w:rPr>
          <w:rFonts w:ascii="宋体" w:hAnsi="宋体" w:eastAsia="宋体" w:cs="宋体"/>
          <w:spacing w:val="1"/>
          <w:sz w:val="21"/>
          <w:szCs w:val="21"/>
        </w:rPr>
        <w:t>承包人应严格按照国家安全标准制定</w:t>
      </w:r>
      <w:r>
        <w:rPr>
          <w:rFonts w:ascii="宋体" w:hAnsi="宋体" w:eastAsia="宋体" w:cs="宋体"/>
          <w:sz w:val="21"/>
          <w:szCs w:val="21"/>
        </w:rPr>
        <w:t>施工安全操作规程，配备必要的安全生产和</w:t>
      </w:r>
      <w:r>
        <w:rPr>
          <w:rFonts w:ascii="宋体" w:hAnsi="宋体" w:eastAsia="宋体" w:cs="宋体"/>
          <w:spacing w:val="-1"/>
          <w:sz w:val="21"/>
          <w:szCs w:val="21"/>
        </w:rPr>
        <w:t>劳动保护设施，加强对承包人人员的安全教育，并发放安全工作手册和劳动保护用具。</w:t>
      </w:r>
    </w:p>
    <w:p w14:paraId="04F275D9">
      <w:pPr>
        <w:spacing w:before="18" w:line="351" w:lineRule="auto"/>
        <w:ind w:left="24" w:right="90"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9.2.4  </w:t>
      </w:r>
      <w:r>
        <w:rPr>
          <w:rFonts w:ascii="宋体" w:hAnsi="宋体" w:eastAsia="宋体" w:cs="宋体"/>
          <w:spacing w:val="1"/>
          <w:sz w:val="21"/>
          <w:szCs w:val="21"/>
        </w:rPr>
        <w:t>承包人应按监理人的指示制定应对灾</w:t>
      </w:r>
      <w:r>
        <w:rPr>
          <w:rFonts w:ascii="宋体" w:hAnsi="宋体" w:eastAsia="宋体" w:cs="宋体"/>
          <w:sz w:val="21"/>
          <w:szCs w:val="21"/>
        </w:rPr>
        <w:t>害的紧急预案，报送监理人审批。承包人还</w:t>
      </w:r>
      <w:r>
        <w:rPr>
          <w:rFonts w:ascii="宋体" w:hAnsi="宋体" w:eastAsia="宋体" w:cs="宋体"/>
          <w:spacing w:val="-2"/>
          <w:sz w:val="21"/>
          <w:szCs w:val="21"/>
        </w:rPr>
        <w:t>应按预案做好安全检查，配置必要的救助物资和器材，切实保护好有关人员的人身和财产安</w:t>
      </w:r>
      <w:r>
        <w:rPr>
          <w:rFonts w:ascii="宋体" w:hAnsi="宋体" w:eastAsia="宋体" w:cs="宋体"/>
          <w:spacing w:val="-10"/>
          <w:sz w:val="21"/>
          <w:szCs w:val="21"/>
        </w:rPr>
        <w:t>全。</w:t>
      </w:r>
    </w:p>
    <w:p w14:paraId="4E3D25F5">
      <w:pPr>
        <w:spacing w:before="4" w:line="352" w:lineRule="auto"/>
        <w:ind w:left="26" w:right="90"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9.2.5  </w:t>
      </w:r>
      <w:r>
        <w:rPr>
          <w:rFonts w:ascii="宋体" w:hAnsi="宋体" w:eastAsia="宋体" w:cs="宋体"/>
          <w:spacing w:val="1"/>
          <w:sz w:val="21"/>
          <w:szCs w:val="21"/>
        </w:rPr>
        <w:t>合同约定的安全作业环境及安全施工</w:t>
      </w:r>
      <w:r>
        <w:rPr>
          <w:rFonts w:ascii="宋体" w:hAnsi="宋体" w:eastAsia="宋体" w:cs="宋体"/>
          <w:sz w:val="21"/>
          <w:szCs w:val="21"/>
        </w:rPr>
        <w:t>措施所需费用应遵守有关规定，并包括在相</w:t>
      </w:r>
      <w:r>
        <w:rPr>
          <w:rFonts w:ascii="宋体" w:hAnsi="宋体" w:eastAsia="宋体" w:cs="宋体"/>
          <w:spacing w:val="-2"/>
          <w:sz w:val="21"/>
          <w:szCs w:val="21"/>
        </w:rPr>
        <w:t>关工作的合同价格中。因采取合同未约定的安全作业环境及安全施工措施增加</w:t>
      </w:r>
      <w:r>
        <w:rPr>
          <w:rFonts w:ascii="宋体" w:hAnsi="宋体" w:eastAsia="宋体" w:cs="宋体"/>
          <w:spacing w:val="-3"/>
          <w:sz w:val="21"/>
          <w:szCs w:val="21"/>
        </w:rPr>
        <w:t>的费用，由监理人按第</w:t>
      </w:r>
      <w:r>
        <w:rPr>
          <w:rFonts w:ascii="宋体" w:hAnsi="宋体" w:eastAsia="宋体" w:cs="宋体"/>
          <w:spacing w:val="-37"/>
          <w:sz w:val="21"/>
          <w:szCs w:val="21"/>
        </w:rPr>
        <w:t xml:space="preserve"> </w:t>
      </w:r>
      <w:r>
        <w:rPr>
          <w:rFonts w:ascii="Times New Roman" w:hAnsi="Times New Roman" w:eastAsia="Times New Roman" w:cs="Times New Roman"/>
          <w:spacing w:val="-3"/>
          <w:sz w:val="21"/>
          <w:szCs w:val="21"/>
        </w:rPr>
        <w:t>3.5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款商定或确定。</w:t>
      </w:r>
    </w:p>
    <w:p w14:paraId="03D4AA41">
      <w:pPr>
        <w:spacing w:line="335" w:lineRule="auto"/>
        <w:ind w:left="22" w:right="17" w:firstLine="422"/>
        <w:rPr>
          <w:rFonts w:ascii="宋体" w:hAnsi="宋体" w:eastAsia="宋体" w:cs="宋体"/>
          <w:sz w:val="21"/>
          <w:szCs w:val="21"/>
        </w:rPr>
      </w:pPr>
      <w:r>
        <w:rPr>
          <w:rFonts w:ascii="Times New Roman" w:hAnsi="Times New Roman" w:eastAsia="Times New Roman" w:cs="Times New Roman"/>
          <w:spacing w:val="-3"/>
          <w:sz w:val="21"/>
          <w:szCs w:val="21"/>
        </w:rPr>
        <w:t xml:space="preserve">9.2.6  </w:t>
      </w:r>
      <w:r>
        <w:rPr>
          <w:rFonts w:ascii="宋体" w:hAnsi="宋体" w:eastAsia="宋体" w:cs="宋体"/>
          <w:spacing w:val="-3"/>
          <w:sz w:val="21"/>
          <w:szCs w:val="21"/>
        </w:rPr>
        <w:t>承包人应对其履行合同所雇佣的全部人员，包括分包人人员的工伤事故承担责任，</w:t>
      </w:r>
      <w:r>
        <w:rPr>
          <w:rFonts w:ascii="宋体" w:hAnsi="宋体" w:eastAsia="宋体" w:cs="宋体"/>
          <w:spacing w:val="-1"/>
          <w:sz w:val="21"/>
          <w:szCs w:val="21"/>
        </w:rPr>
        <w:t>但由于发包人原因造成承包人人员工伤事故的，应由发包人承担责任。</w:t>
      </w:r>
    </w:p>
    <w:p w14:paraId="2F4370B4">
      <w:pPr>
        <w:spacing w:before="34" w:line="338" w:lineRule="auto"/>
        <w:ind w:left="49" w:right="137" w:firstLine="395"/>
        <w:rPr>
          <w:rFonts w:ascii="宋体" w:hAnsi="宋体" w:eastAsia="宋体" w:cs="宋体"/>
          <w:sz w:val="21"/>
          <w:szCs w:val="21"/>
        </w:rPr>
      </w:pPr>
      <w:r>
        <w:rPr>
          <w:rFonts w:ascii="Times New Roman" w:hAnsi="Times New Roman" w:eastAsia="Times New Roman" w:cs="Times New Roman"/>
          <w:spacing w:val="-1"/>
          <w:sz w:val="21"/>
          <w:szCs w:val="21"/>
        </w:rPr>
        <w:t>9.2.7</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由于承包人原因在施工场地内及其毗</w:t>
      </w:r>
      <w:r>
        <w:rPr>
          <w:rFonts w:ascii="宋体" w:hAnsi="宋体" w:eastAsia="宋体" w:cs="宋体"/>
          <w:spacing w:val="-2"/>
          <w:sz w:val="21"/>
          <w:szCs w:val="21"/>
        </w:rPr>
        <w:t>邻地带造成的第三者人员伤亡和财产损失，</w:t>
      </w:r>
      <w:r>
        <w:rPr>
          <w:rFonts w:ascii="宋体" w:hAnsi="宋体" w:eastAsia="宋体" w:cs="宋体"/>
          <w:spacing w:val="-6"/>
          <w:sz w:val="21"/>
          <w:szCs w:val="21"/>
        </w:rPr>
        <w:t>由承包人负责赔偿。</w:t>
      </w:r>
    </w:p>
    <w:p w14:paraId="4F6667CC">
      <w:pPr>
        <w:spacing w:before="1" w:line="232" w:lineRule="auto"/>
        <w:ind w:left="25"/>
        <w:outlineLvl w:val="1"/>
        <w:rPr>
          <w:rFonts w:ascii="黑体" w:hAnsi="黑体" w:eastAsia="黑体" w:cs="黑体"/>
          <w:sz w:val="24"/>
          <w:szCs w:val="24"/>
        </w:rPr>
      </w:pPr>
      <w:bookmarkStart w:id="115" w:name="bookmark103"/>
      <w:bookmarkEnd w:id="115"/>
      <w:r>
        <w:rPr>
          <w:rFonts w:ascii="Times New Roman" w:hAnsi="Times New Roman" w:eastAsia="Times New Roman" w:cs="Times New Roman"/>
          <w:spacing w:val="-3"/>
          <w:sz w:val="24"/>
          <w:szCs w:val="24"/>
        </w:rPr>
        <w:t>9.3</w:t>
      </w:r>
      <w:r>
        <w:rPr>
          <w:rFonts w:ascii="Times New Roman" w:hAnsi="Times New Roman" w:eastAsia="Times New Roman" w:cs="Times New Roman"/>
          <w:spacing w:val="7"/>
          <w:sz w:val="24"/>
          <w:szCs w:val="24"/>
        </w:rPr>
        <w:t xml:space="preserve">  </w:t>
      </w:r>
      <w:r>
        <w:rPr>
          <w:rFonts w:ascii="黑体" w:hAnsi="黑体" w:eastAsia="黑体" w:cs="黑体"/>
          <w:spacing w:val="-3"/>
          <w:sz w:val="24"/>
          <w:szCs w:val="24"/>
        </w:rPr>
        <w:t>治安保卫</w:t>
      </w:r>
    </w:p>
    <w:p w14:paraId="3BC0D265">
      <w:pPr>
        <w:spacing w:before="129" w:line="348" w:lineRule="auto"/>
        <w:ind w:left="25" w:right="90"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9.3.1  </w:t>
      </w:r>
      <w:r>
        <w:rPr>
          <w:rFonts w:ascii="宋体" w:hAnsi="宋体" w:eastAsia="宋体" w:cs="宋体"/>
          <w:spacing w:val="1"/>
          <w:sz w:val="21"/>
          <w:szCs w:val="21"/>
        </w:rPr>
        <w:t>除合同另有约定外，发包人应与当地</w:t>
      </w:r>
      <w:r>
        <w:rPr>
          <w:rFonts w:ascii="宋体" w:hAnsi="宋体" w:eastAsia="宋体" w:cs="宋体"/>
          <w:sz w:val="21"/>
          <w:szCs w:val="21"/>
        </w:rPr>
        <w:t>公安部门协商，在现场建立治安管理机构或</w:t>
      </w:r>
      <w:r>
        <w:rPr>
          <w:rFonts w:ascii="宋体" w:hAnsi="宋体" w:eastAsia="宋体" w:cs="宋体"/>
          <w:spacing w:val="-1"/>
          <w:sz w:val="21"/>
          <w:szCs w:val="21"/>
        </w:rPr>
        <w:t>联防组织，统一管理施工场地的治安保卫事项，履行合同工程的治安保卫职责。</w:t>
      </w:r>
    </w:p>
    <w:p w14:paraId="3B332833">
      <w:pPr>
        <w:spacing w:before="3" w:line="348" w:lineRule="auto"/>
        <w:ind w:left="28" w:right="90" w:firstLine="416"/>
        <w:rPr>
          <w:rFonts w:ascii="宋体" w:hAnsi="宋体" w:eastAsia="宋体" w:cs="宋体"/>
          <w:sz w:val="21"/>
          <w:szCs w:val="21"/>
        </w:rPr>
      </w:pPr>
      <w:r>
        <w:rPr>
          <w:rFonts w:ascii="Times New Roman" w:hAnsi="Times New Roman" w:eastAsia="Times New Roman" w:cs="Times New Roman"/>
          <w:spacing w:val="1"/>
          <w:sz w:val="21"/>
          <w:szCs w:val="21"/>
        </w:rPr>
        <w:t xml:space="preserve">9.3.2  </w:t>
      </w:r>
      <w:r>
        <w:rPr>
          <w:rFonts w:ascii="宋体" w:hAnsi="宋体" w:eastAsia="宋体" w:cs="宋体"/>
          <w:spacing w:val="1"/>
          <w:sz w:val="21"/>
          <w:szCs w:val="21"/>
        </w:rPr>
        <w:t>发包人和承包人除应协助现场治安管</w:t>
      </w:r>
      <w:r>
        <w:rPr>
          <w:rFonts w:ascii="宋体" w:hAnsi="宋体" w:eastAsia="宋体" w:cs="宋体"/>
          <w:sz w:val="21"/>
          <w:szCs w:val="21"/>
        </w:rPr>
        <w:t>理机构或联防组织维护施工场地的社会治安</w:t>
      </w:r>
      <w:r>
        <w:rPr>
          <w:rFonts w:ascii="宋体" w:hAnsi="宋体" w:eastAsia="宋体" w:cs="宋体"/>
          <w:spacing w:val="-1"/>
          <w:sz w:val="21"/>
          <w:szCs w:val="21"/>
        </w:rPr>
        <w:t>外，还应做好包括生活区在内的各自管辖区的治安保卫</w:t>
      </w:r>
      <w:r>
        <w:rPr>
          <w:rFonts w:ascii="宋体" w:hAnsi="宋体" w:eastAsia="宋体" w:cs="宋体"/>
          <w:spacing w:val="-2"/>
          <w:sz w:val="21"/>
          <w:szCs w:val="21"/>
        </w:rPr>
        <w:t>工作。</w:t>
      </w:r>
    </w:p>
    <w:p w14:paraId="0A64F813">
      <w:pPr>
        <w:spacing w:before="17" w:line="347" w:lineRule="auto"/>
        <w:ind w:left="24" w:right="29"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9.3.3  </w:t>
      </w:r>
      <w:r>
        <w:rPr>
          <w:rFonts w:ascii="宋体" w:hAnsi="宋体" w:eastAsia="宋体" w:cs="宋体"/>
          <w:spacing w:val="1"/>
          <w:sz w:val="21"/>
          <w:szCs w:val="21"/>
        </w:rPr>
        <w:t>除合同另有约定外，发包人和承包人</w:t>
      </w:r>
      <w:r>
        <w:rPr>
          <w:rFonts w:ascii="宋体" w:hAnsi="宋体" w:eastAsia="宋体" w:cs="宋体"/>
          <w:sz w:val="21"/>
          <w:szCs w:val="21"/>
        </w:rPr>
        <w:t>应在工程开工后，共同编制施工场地治安管</w:t>
      </w:r>
      <w:r>
        <w:rPr>
          <w:rFonts w:ascii="宋体" w:hAnsi="宋体" w:eastAsia="宋体" w:cs="宋体"/>
          <w:spacing w:val="-2"/>
          <w:sz w:val="21"/>
          <w:szCs w:val="21"/>
        </w:rPr>
        <w:t>理计划，并制定应对突发治安事件的紧急预案。在工程施工过程中，发生暴乱、爆炸等恐怖</w:t>
      </w:r>
      <w:r>
        <w:rPr>
          <w:rFonts w:ascii="宋体" w:hAnsi="宋体" w:eastAsia="宋体" w:cs="宋体"/>
          <w:sz w:val="21"/>
          <w:szCs w:val="21"/>
        </w:rPr>
        <w:t>事件，以及群殴、械斗等群体性突发治安事</w:t>
      </w:r>
      <w:r>
        <w:rPr>
          <w:rFonts w:ascii="宋体" w:hAnsi="宋体" w:eastAsia="宋体" w:cs="宋体"/>
          <w:spacing w:val="-1"/>
          <w:sz w:val="21"/>
          <w:szCs w:val="21"/>
        </w:rPr>
        <w:t>件的，发包人和承包人应立即向当地政府报告。</w:t>
      </w:r>
      <w:r>
        <w:rPr>
          <w:rFonts w:ascii="宋体" w:hAnsi="宋体" w:eastAsia="宋体" w:cs="宋体"/>
          <w:spacing w:val="-2"/>
          <w:sz w:val="21"/>
          <w:szCs w:val="21"/>
        </w:rPr>
        <w:t>发包人和承包人应积极协助当地有关部门采取措施平息事态，防止事态扩大，尽量减少财产</w:t>
      </w:r>
      <w:r>
        <w:rPr>
          <w:rFonts w:ascii="宋体" w:hAnsi="宋体" w:eastAsia="宋体" w:cs="宋体"/>
          <w:spacing w:val="-4"/>
          <w:sz w:val="21"/>
          <w:szCs w:val="21"/>
        </w:rPr>
        <w:t>损失和避免人员伤亡。</w:t>
      </w:r>
    </w:p>
    <w:p w14:paraId="6D6EA521">
      <w:pPr>
        <w:spacing w:before="1" w:line="232" w:lineRule="auto"/>
        <w:ind w:left="25"/>
        <w:outlineLvl w:val="1"/>
        <w:rPr>
          <w:rFonts w:ascii="黑体" w:hAnsi="黑体" w:eastAsia="黑体" w:cs="黑体"/>
          <w:sz w:val="24"/>
          <w:szCs w:val="24"/>
        </w:rPr>
      </w:pPr>
      <w:bookmarkStart w:id="116" w:name="bookmark104"/>
      <w:bookmarkEnd w:id="116"/>
      <w:r>
        <w:rPr>
          <w:rFonts w:ascii="Times New Roman" w:hAnsi="Times New Roman" w:eastAsia="Times New Roman" w:cs="Times New Roman"/>
          <w:spacing w:val="-1"/>
          <w:sz w:val="24"/>
          <w:szCs w:val="24"/>
        </w:rPr>
        <w:t xml:space="preserve">9.4  </w:t>
      </w:r>
      <w:r>
        <w:rPr>
          <w:rFonts w:ascii="黑体" w:hAnsi="黑体" w:eastAsia="黑体" w:cs="黑体"/>
          <w:spacing w:val="-1"/>
          <w:sz w:val="24"/>
          <w:szCs w:val="24"/>
        </w:rPr>
        <w:t>环境保护</w:t>
      </w:r>
    </w:p>
    <w:p w14:paraId="7DC7C446">
      <w:pPr>
        <w:spacing w:before="127" w:line="336" w:lineRule="auto"/>
        <w:ind w:left="25" w:right="90"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9.4.1  </w:t>
      </w:r>
      <w:r>
        <w:rPr>
          <w:rFonts w:ascii="宋体" w:hAnsi="宋体" w:eastAsia="宋体" w:cs="宋体"/>
          <w:spacing w:val="1"/>
          <w:sz w:val="21"/>
          <w:szCs w:val="21"/>
        </w:rPr>
        <w:t>承包人在施工过程中，应遵守有关环</w:t>
      </w:r>
      <w:r>
        <w:rPr>
          <w:rFonts w:ascii="宋体" w:hAnsi="宋体" w:eastAsia="宋体" w:cs="宋体"/>
          <w:sz w:val="21"/>
          <w:szCs w:val="21"/>
        </w:rPr>
        <w:t>境保护的法律，履行合同约定的环境保护义</w:t>
      </w:r>
      <w:r>
        <w:rPr>
          <w:rFonts w:ascii="宋体" w:hAnsi="宋体" w:eastAsia="宋体" w:cs="宋体"/>
          <w:spacing w:val="-1"/>
          <w:sz w:val="21"/>
          <w:szCs w:val="21"/>
        </w:rPr>
        <w:t>务，并对违反法律和合同约定义务所造成的环境破坏、人身伤害和财产损失负责。</w:t>
      </w:r>
    </w:p>
    <w:p w14:paraId="482527D4">
      <w:pPr>
        <w:spacing w:before="33" w:line="233" w:lineRule="auto"/>
        <w:jc w:val="right"/>
        <w:rPr>
          <w:rFonts w:ascii="宋体" w:hAnsi="宋体" w:eastAsia="宋体" w:cs="宋体"/>
          <w:sz w:val="21"/>
          <w:szCs w:val="21"/>
        </w:rPr>
      </w:pPr>
      <w:r>
        <w:rPr>
          <w:rFonts w:ascii="Times New Roman" w:hAnsi="Times New Roman" w:eastAsia="Times New Roman" w:cs="Times New Roman"/>
          <w:spacing w:val="-2"/>
          <w:sz w:val="21"/>
          <w:szCs w:val="21"/>
        </w:rPr>
        <w:t xml:space="preserve">9.4.2  </w:t>
      </w:r>
      <w:r>
        <w:rPr>
          <w:rFonts w:ascii="宋体" w:hAnsi="宋体" w:eastAsia="宋体" w:cs="宋体"/>
          <w:spacing w:val="-2"/>
          <w:sz w:val="21"/>
          <w:szCs w:val="21"/>
        </w:rPr>
        <w:t>承包人应按合同约定的环保工作内容，编制施工环保措</w:t>
      </w:r>
      <w:r>
        <w:rPr>
          <w:rFonts w:ascii="宋体" w:hAnsi="宋体" w:eastAsia="宋体" w:cs="宋体"/>
          <w:spacing w:val="-3"/>
          <w:sz w:val="21"/>
          <w:szCs w:val="21"/>
        </w:rPr>
        <w:t>施计划，报送监理人审批。</w:t>
      </w:r>
    </w:p>
    <w:p w14:paraId="54138183">
      <w:pPr>
        <w:spacing w:before="141" w:line="348" w:lineRule="auto"/>
        <w:ind w:left="25" w:right="29"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9.4.3  </w:t>
      </w:r>
      <w:r>
        <w:rPr>
          <w:rFonts w:ascii="宋体" w:hAnsi="宋体" w:eastAsia="宋体" w:cs="宋体"/>
          <w:spacing w:val="1"/>
          <w:sz w:val="21"/>
          <w:szCs w:val="21"/>
        </w:rPr>
        <w:t>承包人应按照批准的施工环保措施计</w:t>
      </w:r>
      <w:r>
        <w:rPr>
          <w:rFonts w:ascii="宋体" w:hAnsi="宋体" w:eastAsia="宋体" w:cs="宋体"/>
          <w:sz w:val="21"/>
          <w:szCs w:val="21"/>
        </w:rPr>
        <w:t>划有序地堆放和处理施工废弃物，避免对环境造成破坏。因承包人任意堆放或弃置施工</w:t>
      </w:r>
      <w:r>
        <w:rPr>
          <w:rFonts w:ascii="宋体" w:hAnsi="宋体" w:eastAsia="宋体" w:cs="宋体"/>
          <w:spacing w:val="-1"/>
          <w:sz w:val="21"/>
          <w:szCs w:val="21"/>
        </w:rPr>
        <w:t>废弃物造成妨碍公共交通、影响城镇居民生活、</w:t>
      </w:r>
      <w:r>
        <w:rPr>
          <w:rFonts w:ascii="宋体" w:hAnsi="宋体" w:eastAsia="宋体" w:cs="宋体"/>
          <w:spacing w:val="-5"/>
          <w:sz w:val="21"/>
          <w:szCs w:val="21"/>
        </w:rPr>
        <w:t>降低河流行洪能力、危及居民安全、破坏周边环境，</w:t>
      </w:r>
      <w:r>
        <w:rPr>
          <w:rFonts w:ascii="宋体" w:hAnsi="宋体" w:eastAsia="宋体" w:cs="宋体"/>
          <w:spacing w:val="44"/>
          <w:sz w:val="21"/>
          <w:szCs w:val="21"/>
        </w:rPr>
        <w:t xml:space="preserve"> </w:t>
      </w:r>
      <w:r>
        <w:rPr>
          <w:rFonts w:ascii="宋体" w:hAnsi="宋体" w:eastAsia="宋体" w:cs="宋体"/>
          <w:spacing w:val="-5"/>
          <w:sz w:val="21"/>
          <w:szCs w:val="21"/>
        </w:rPr>
        <w:t>或者影响其他承包人施工</w:t>
      </w:r>
      <w:r>
        <w:rPr>
          <w:rFonts w:ascii="宋体" w:hAnsi="宋体" w:eastAsia="宋体" w:cs="宋体"/>
          <w:spacing w:val="-6"/>
          <w:sz w:val="21"/>
          <w:szCs w:val="21"/>
        </w:rPr>
        <w:t>等后果的，承</w:t>
      </w:r>
    </w:p>
    <w:p w14:paraId="1E98B9C4">
      <w:pPr>
        <w:spacing w:line="348" w:lineRule="auto"/>
        <w:rPr>
          <w:rFonts w:ascii="宋体" w:hAnsi="宋体" w:eastAsia="宋体" w:cs="宋体"/>
          <w:sz w:val="21"/>
          <w:szCs w:val="21"/>
        </w:rPr>
        <w:sectPr>
          <w:footerReference r:id="rId88" w:type="default"/>
          <w:pgSz w:w="11910" w:h="16845"/>
          <w:pgMar w:top="400" w:right="1688" w:bottom="1110" w:left="1786" w:header="0" w:footer="883" w:gutter="0"/>
          <w:cols w:space="720" w:num="1"/>
        </w:sectPr>
      </w:pPr>
    </w:p>
    <w:p w14:paraId="7E17F383">
      <w:pPr>
        <w:pStyle w:val="2"/>
        <w:spacing w:line="275" w:lineRule="auto"/>
      </w:pPr>
    </w:p>
    <w:p w14:paraId="0BB677EF">
      <w:pPr>
        <w:pStyle w:val="2"/>
        <w:spacing w:line="275" w:lineRule="auto"/>
      </w:pPr>
    </w:p>
    <w:p w14:paraId="3F979AEA">
      <w:pPr>
        <w:pStyle w:val="2"/>
        <w:spacing w:line="275" w:lineRule="auto"/>
      </w:pPr>
    </w:p>
    <w:p w14:paraId="2D97B65F">
      <w:pPr>
        <w:pStyle w:val="2"/>
        <w:spacing w:line="275" w:lineRule="auto"/>
      </w:pPr>
    </w:p>
    <w:p w14:paraId="7159F72C">
      <w:pPr>
        <w:spacing w:before="68" w:line="220" w:lineRule="auto"/>
        <w:ind w:left="24"/>
        <w:rPr>
          <w:rFonts w:ascii="宋体" w:hAnsi="宋体" w:eastAsia="宋体" w:cs="宋体"/>
          <w:sz w:val="21"/>
          <w:szCs w:val="21"/>
        </w:rPr>
      </w:pPr>
      <w:r>
        <w:rPr>
          <w:rFonts w:ascii="宋体" w:hAnsi="宋体" w:eastAsia="宋体" w:cs="宋体"/>
          <w:spacing w:val="-4"/>
          <w:sz w:val="21"/>
          <w:szCs w:val="21"/>
        </w:rPr>
        <w:t>包人应承担责任。</w:t>
      </w:r>
    </w:p>
    <w:p w14:paraId="4B456EE1">
      <w:pPr>
        <w:spacing w:before="154" w:line="336" w:lineRule="auto"/>
        <w:ind w:left="23" w:right="82" w:firstLine="421"/>
        <w:rPr>
          <w:rFonts w:ascii="宋体" w:hAnsi="宋体" w:eastAsia="宋体" w:cs="宋体"/>
          <w:sz w:val="21"/>
          <w:szCs w:val="21"/>
        </w:rPr>
      </w:pPr>
      <w:r>
        <w:rPr>
          <w:rFonts w:ascii="Times New Roman" w:hAnsi="Times New Roman" w:eastAsia="Times New Roman" w:cs="Times New Roman"/>
          <w:sz w:val="21"/>
          <w:szCs w:val="21"/>
        </w:rPr>
        <w:t xml:space="preserve">9.4.4  </w:t>
      </w:r>
      <w:r>
        <w:rPr>
          <w:rFonts w:ascii="宋体" w:hAnsi="宋体" w:eastAsia="宋体" w:cs="宋体"/>
          <w:sz w:val="21"/>
          <w:szCs w:val="21"/>
        </w:rPr>
        <w:t>承包人应按合同约定采取有效措</w:t>
      </w:r>
      <w:r>
        <w:rPr>
          <w:rFonts w:ascii="宋体" w:hAnsi="宋体" w:eastAsia="宋体" w:cs="宋体"/>
          <w:spacing w:val="-1"/>
          <w:sz w:val="21"/>
          <w:szCs w:val="21"/>
        </w:rPr>
        <w:t>施，对施工开挖的边坡及时进行支护</w:t>
      </w:r>
      <w:r>
        <w:rPr>
          <w:rFonts w:ascii="Times New Roman" w:hAnsi="Times New Roman" w:eastAsia="Times New Roman" w:cs="Times New Roman"/>
          <w:spacing w:val="-1"/>
          <w:sz w:val="21"/>
          <w:szCs w:val="21"/>
        </w:rPr>
        <w:t>,</w:t>
      </w:r>
      <w:r>
        <w:rPr>
          <w:rFonts w:ascii="宋体" w:hAnsi="宋体" w:eastAsia="宋体" w:cs="宋体"/>
          <w:spacing w:val="-1"/>
          <w:sz w:val="21"/>
          <w:szCs w:val="21"/>
        </w:rPr>
        <w:t>维护排水设施，并进行水土保护，避免因施工造成的地</w:t>
      </w:r>
      <w:r>
        <w:rPr>
          <w:rFonts w:ascii="宋体" w:hAnsi="宋体" w:eastAsia="宋体" w:cs="宋体"/>
          <w:spacing w:val="-2"/>
          <w:sz w:val="21"/>
          <w:szCs w:val="21"/>
        </w:rPr>
        <w:t>质灾害。</w:t>
      </w:r>
    </w:p>
    <w:p w14:paraId="25585EF0">
      <w:pPr>
        <w:spacing w:before="33" w:line="348" w:lineRule="auto"/>
        <w:ind w:left="25" w:right="90"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9.4.5  </w:t>
      </w:r>
      <w:r>
        <w:rPr>
          <w:rFonts w:ascii="宋体" w:hAnsi="宋体" w:eastAsia="宋体" w:cs="宋体"/>
          <w:spacing w:val="1"/>
          <w:sz w:val="21"/>
          <w:szCs w:val="21"/>
        </w:rPr>
        <w:t>承包人应按国家饮用水管理标准定期</w:t>
      </w:r>
      <w:r>
        <w:rPr>
          <w:rFonts w:ascii="宋体" w:hAnsi="宋体" w:eastAsia="宋体" w:cs="宋体"/>
          <w:sz w:val="21"/>
          <w:szCs w:val="21"/>
        </w:rPr>
        <w:t>对饮用水源进行监测，防止施工活动污染饮</w:t>
      </w:r>
      <w:r>
        <w:rPr>
          <w:rFonts w:ascii="宋体" w:hAnsi="宋体" w:eastAsia="宋体" w:cs="宋体"/>
          <w:spacing w:val="-8"/>
          <w:sz w:val="21"/>
          <w:szCs w:val="21"/>
        </w:rPr>
        <w:t>用水源。</w:t>
      </w:r>
    </w:p>
    <w:p w14:paraId="4EA10BBF">
      <w:pPr>
        <w:spacing w:before="3" w:line="345" w:lineRule="auto"/>
        <w:ind w:left="34" w:right="90" w:firstLine="410"/>
        <w:rPr>
          <w:rFonts w:ascii="宋体" w:hAnsi="宋体" w:eastAsia="宋体" w:cs="宋体"/>
          <w:sz w:val="21"/>
          <w:szCs w:val="21"/>
        </w:rPr>
      </w:pPr>
      <w:r>
        <w:rPr>
          <w:rFonts w:ascii="Times New Roman" w:hAnsi="Times New Roman" w:eastAsia="Times New Roman" w:cs="Times New Roman"/>
          <w:spacing w:val="1"/>
          <w:sz w:val="21"/>
          <w:szCs w:val="21"/>
        </w:rPr>
        <w:t xml:space="preserve">9.4.6  </w:t>
      </w:r>
      <w:r>
        <w:rPr>
          <w:rFonts w:ascii="宋体" w:hAnsi="宋体" w:eastAsia="宋体" w:cs="宋体"/>
          <w:spacing w:val="1"/>
          <w:sz w:val="21"/>
          <w:szCs w:val="21"/>
        </w:rPr>
        <w:t>承包人应按合同约定，加强对噪声、</w:t>
      </w:r>
      <w:r>
        <w:rPr>
          <w:rFonts w:ascii="宋体" w:hAnsi="宋体" w:eastAsia="宋体" w:cs="宋体"/>
          <w:sz w:val="21"/>
          <w:szCs w:val="21"/>
        </w:rPr>
        <w:t>粉尘、废气、废水和废油的控制，努力降低</w:t>
      </w:r>
      <w:r>
        <w:rPr>
          <w:rFonts w:ascii="宋体" w:hAnsi="宋体" w:eastAsia="宋体" w:cs="宋体"/>
          <w:spacing w:val="-2"/>
          <w:sz w:val="21"/>
          <w:szCs w:val="21"/>
        </w:rPr>
        <w:t>噪声，控制粉尘和废气浓度，做好废水和废油的治理和排放。</w:t>
      </w:r>
    </w:p>
    <w:p w14:paraId="365CBA36">
      <w:pPr>
        <w:spacing w:line="234" w:lineRule="auto"/>
        <w:ind w:left="25"/>
        <w:outlineLvl w:val="1"/>
        <w:rPr>
          <w:rFonts w:ascii="黑体" w:hAnsi="黑体" w:eastAsia="黑体" w:cs="黑体"/>
          <w:sz w:val="24"/>
          <w:szCs w:val="24"/>
        </w:rPr>
      </w:pPr>
      <w:bookmarkStart w:id="117" w:name="bookmark105"/>
      <w:bookmarkEnd w:id="117"/>
      <w:r>
        <w:rPr>
          <w:rFonts w:ascii="Times New Roman" w:hAnsi="Times New Roman" w:eastAsia="Times New Roman" w:cs="Times New Roman"/>
          <w:spacing w:val="-3"/>
          <w:sz w:val="24"/>
          <w:szCs w:val="24"/>
        </w:rPr>
        <w:t>9.5</w:t>
      </w:r>
      <w:r>
        <w:rPr>
          <w:rFonts w:ascii="Times New Roman" w:hAnsi="Times New Roman" w:eastAsia="Times New Roman" w:cs="Times New Roman"/>
          <w:spacing w:val="8"/>
          <w:sz w:val="24"/>
          <w:szCs w:val="24"/>
        </w:rPr>
        <w:t xml:space="preserve">  </w:t>
      </w:r>
      <w:r>
        <w:rPr>
          <w:rFonts w:ascii="黑体" w:hAnsi="黑体" w:eastAsia="黑体" w:cs="黑体"/>
          <w:spacing w:val="-3"/>
          <w:sz w:val="24"/>
          <w:szCs w:val="24"/>
        </w:rPr>
        <w:t>事故处理</w:t>
      </w:r>
    </w:p>
    <w:p w14:paraId="59FCEE4B">
      <w:pPr>
        <w:spacing w:before="110" w:line="354" w:lineRule="auto"/>
        <w:ind w:left="23" w:right="77" w:firstLine="423"/>
        <w:jc w:val="both"/>
        <w:rPr>
          <w:rFonts w:ascii="宋体" w:hAnsi="宋体" w:eastAsia="宋体" w:cs="宋体"/>
          <w:sz w:val="21"/>
          <w:szCs w:val="21"/>
        </w:rPr>
      </w:pPr>
      <w:r>
        <w:rPr>
          <w:rFonts w:ascii="宋体" w:hAnsi="宋体" w:eastAsia="宋体" w:cs="宋体"/>
          <w:spacing w:val="-2"/>
          <w:sz w:val="21"/>
          <w:szCs w:val="21"/>
        </w:rPr>
        <w:t>工程施工过程中发生事故的，承包人应立即通知监理人，监理人应</w:t>
      </w:r>
      <w:r>
        <w:rPr>
          <w:rFonts w:ascii="宋体" w:hAnsi="宋体" w:eastAsia="宋体" w:cs="宋体"/>
          <w:spacing w:val="-3"/>
          <w:sz w:val="21"/>
          <w:szCs w:val="21"/>
        </w:rPr>
        <w:t>立即通知发包人。发</w:t>
      </w:r>
      <w:r>
        <w:rPr>
          <w:rFonts w:ascii="宋体" w:hAnsi="宋体" w:eastAsia="宋体" w:cs="宋体"/>
          <w:spacing w:val="-2"/>
          <w:sz w:val="21"/>
          <w:szCs w:val="21"/>
        </w:rPr>
        <w:t>包人和承包人应立即组织人员和设备进行紧急抢救和抢修，减少人员伤</w:t>
      </w:r>
      <w:r>
        <w:rPr>
          <w:rFonts w:ascii="宋体" w:hAnsi="宋体" w:eastAsia="宋体" w:cs="宋体"/>
          <w:spacing w:val="-3"/>
          <w:sz w:val="21"/>
          <w:szCs w:val="21"/>
        </w:rPr>
        <w:t>亡和财产损失，防止</w:t>
      </w:r>
      <w:r>
        <w:rPr>
          <w:rFonts w:ascii="宋体" w:hAnsi="宋体" w:eastAsia="宋体" w:cs="宋体"/>
          <w:spacing w:val="-2"/>
          <w:sz w:val="21"/>
          <w:szCs w:val="21"/>
        </w:rPr>
        <w:t>事故扩大，并保护事故现场。需要移动现场物品时，应作出标记和书面记录，妥善保管有关证据。发包人和承包人应按国家有关规定，及时如实地向有关部门报告事故发生的情</w:t>
      </w:r>
      <w:r>
        <w:rPr>
          <w:rFonts w:ascii="宋体" w:hAnsi="宋体" w:eastAsia="宋体" w:cs="宋体"/>
          <w:spacing w:val="-3"/>
          <w:sz w:val="21"/>
          <w:szCs w:val="21"/>
        </w:rPr>
        <w:t>况，以及正在采取的紧急措施等。</w:t>
      </w:r>
    </w:p>
    <w:p w14:paraId="0E10CEA9">
      <w:pPr>
        <w:spacing w:before="39" w:line="237" w:lineRule="auto"/>
        <w:ind w:left="49"/>
        <w:outlineLvl w:val="0"/>
        <w:rPr>
          <w:rFonts w:ascii="黑体" w:hAnsi="黑体" w:eastAsia="黑体" w:cs="黑体"/>
          <w:sz w:val="28"/>
          <w:szCs w:val="28"/>
        </w:rPr>
      </w:pPr>
      <w:bookmarkStart w:id="118" w:name="bookmark106"/>
      <w:bookmarkEnd w:id="118"/>
      <w:bookmarkStart w:id="119" w:name="bookmark107"/>
      <w:bookmarkEnd w:id="119"/>
      <w:r>
        <w:rPr>
          <w:rFonts w:ascii="Times New Roman" w:hAnsi="Times New Roman" w:eastAsia="Times New Roman" w:cs="Times New Roman"/>
          <w:sz w:val="28"/>
          <w:szCs w:val="28"/>
        </w:rPr>
        <w:t>10.</w:t>
      </w:r>
      <w:r>
        <w:rPr>
          <w:rFonts w:ascii="Times New Roman" w:hAnsi="Times New Roman" w:eastAsia="Times New Roman" w:cs="Times New Roman"/>
          <w:spacing w:val="11"/>
          <w:sz w:val="28"/>
          <w:szCs w:val="28"/>
        </w:rPr>
        <w:t xml:space="preserve">  </w:t>
      </w:r>
      <w:r>
        <w:rPr>
          <w:rFonts w:ascii="黑体" w:hAnsi="黑体" w:eastAsia="黑体" w:cs="黑体"/>
          <w:sz w:val="28"/>
          <w:szCs w:val="28"/>
        </w:rPr>
        <w:t>进度计划</w:t>
      </w:r>
    </w:p>
    <w:p w14:paraId="6B5BF243">
      <w:pPr>
        <w:spacing w:before="70" w:line="233" w:lineRule="auto"/>
        <w:ind w:left="44"/>
        <w:outlineLvl w:val="1"/>
        <w:rPr>
          <w:rFonts w:ascii="黑体" w:hAnsi="黑体" w:eastAsia="黑体" w:cs="黑体"/>
          <w:sz w:val="24"/>
          <w:szCs w:val="24"/>
        </w:rPr>
      </w:pPr>
      <w:bookmarkStart w:id="120" w:name="bookmark638"/>
      <w:bookmarkEnd w:id="120"/>
      <w:r>
        <w:rPr>
          <w:rFonts w:ascii="Times New Roman" w:hAnsi="Times New Roman" w:eastAsia="Times New Roman" w:cs="Times New Roman"/>
          <w:spacing w:val="-2"/>
          <w:sz w:val="24"/>
          <w:szCs w:val="24"/>
        </w:rPr>
        <w:t xml:space="preserve">10.1  </w:t>
      </w:r>
      <w:r>
        <w:rPr>
          <w:rFonts w:ascii="黑体" w:hAnsi="黑体" w:eastAsia="黑体" w:cs="黑体"/>
          <w:spacing w:val="-2"/>
          <w:sz w:val="24"/>
          <w:szCs w:val="24"/>
        </w:rPr>
        <w:t>合同进度计划</w:t>
      </w:r>
    </w:p>
    <w:p w14:paraId="08955413">
      <w:pPr>
        <w:spacing w:before="130" w:line="344" w:lineRule="auto"/>
        <w:ind w:left="22" w:right="4" w:firstLine="422"/>
        <w:jc w:val="both"/>
        <w:rPr>
          <w:rFonts w:ascii="宋体" w:hAnsi="宋体" w:eastAsia="宋体" w:cs="宋体"/>
          <w:sz w:val="21"/>
          <w:szCs w:val="21"/>
        </w:rPr>
      </w:pPr>
      <w:r>
        <w:rPr>
          <w:rFonts w:ascii="宋体" w:hAnsi="宋体" w:eastAsia="宋体" w:cs="宋体"/>
          <w:spacing w:val="-2"/>
          <w:sz w:val="21"/>
          <w:szCs w:val="21"/>
        </w:rPr>
        <w:t>承包人应按专用合同条款约定的内容和期限，编制详细的施工进度计划和</w:t>
      </w:r>
      <w:r>
        <w:rPr>
          <w:rFonts w:ascii="宋体" w:hAnsi="宋体" w:eastAsia="宋体" w:cs="宋体"/>
          <w:spacing w:val="-3"/>
          <w:sz w:val="21"/>
          <w:szCs w:val="21"/>
        </w:rPr>
        <w:t>施工方案说明</w:t>
      </w:r>
      <w:r>
        <w:rPr>
          <w:rFonts w:ascii="宋体" w:hAnsi="宋体" w:eastAsia="宋体" w:cs="宋体"/>
          <w:spacing w:val="-2"/>
          <w:sz w:val="21"/>
          <w:szCs w:val="21"/>
        </w:rPr>
        <w:t>报送监理人。监理人应在专用合同条款约定的期限内批复或提出修改意见，否则该进度</w:t>
      </w:r>
      <w:r>
        <w:rPr>
          <w:rFonts w:ascii="宋体" w:hAnsi="宋体" w:eastAsia="宋体" w:cs="宋体"/>
          <w:spacing w:val="-3"/>
          <w:sz w:val="21"/>
          <w:szCs w:val="21"/>
        </w:rPr>
        <w:t>计划</w:t>
      </w:r>
      <w:r>
        <w:rPr>
          <w:rFonts w:ascii="宋体" w:hAnsi="宋体" w:eastAsia="宋体" w:cs="宋体"/>
          <w:spacing w:val="-4"/>
          <w:sz w:val="21"/>
          <w:szCs w:val="21"/>
        </w:rPr>
        <w:t>视为已得到批准。经监理人批准的施工进度计划称合同进度计划，</w:t>
      </w:r>
      <w:r>
        <w:rPr>
          <w:rFonts w:ascii="宋体" w:hAnsi="宋体" w:eastAsia="宋体" w:cs="宋体"/>
          <w:spacing w:val="-25"/>
          <w:sz w:val="21"/>
          <w:szCs w:val="21"/>
        </w:rPr>
        <w:t xml:space="preserve"> </w:t>
      </w:r>
      <w:r>
        <w:rPr>
          <w:rFonts w:ascii="宋体" w:hAnsi="宋体" w:eastAsia="宋体" w:cs="宋体"/>
          <w:spacing w:val="-4"/>
          <w:sz w:val="21"/>
          <w:szCs w:val="21"/>
        </w:rPr>
        <w:t>是控制合同工程进度的依</w:t>
      </w:r>
      <w:r>
        <w:rPr>
          <w:rFonts w:ascii="宋体" w:hAnsi="宋体" w:eastAsia="宋体" w:cs="宋体"/>
          <w:spacing w:val="-5"/>
          <w:sz w:val="21"/>
          <w:szCs w:val="21"/>
        </w:rPr>
        <w:t>据。承包人还应根据合同进度计划，编制更为详细的分阶段或分项进度计划，报监理人审批。</w:t>
      </w:r>
    </w:p>
    <w:p w14:paraId="2717A860">
      <w:pPr>
        <w:spacing w:line="232" w:lineRule="auto"/>
        <w:ind w:left="44"/>
        <w:outlineLvl w:val="1"/>
        <w:rPr>
          <w:rFonts w:ascii="黑体" w:hAnsi="黑体" w:eastAsia="黑体" w:cs="黑体"/>
          <w:sz w:val="24"/>
          <w:szCs w:val="24"/>
        </w:rPr>
      </w:pPr>
      <w:bookmarkStart w:id="121" w:name="bookmark108"/>
      <w:bookmarkEnd w:id="121"/>
      <w:r>
        <w:rPr>
          <w:rFonts w:ascii="Times New Roman" w:hAnsi="Times New Roman" w:eastAsia="Times New Roman" w:cs="Times New Roman"/>
          <w:spacing w:val="-2"/>
          <w:sz w:val="24"/>
          <w:szCs w:val="24"/>
        </w:rPr>
        <w:t xml:space="preserve">10.2  </w:t>
      </w:r>
      <w:r>
        <w:rPr>
          <w:rFonts w:ascii="黑体" w:hAnsi="黑体" w:eastAsia="黑体" w:cs="黑体"/>
          <w:spacing w:val="-2"/>
          <w:sz w:val="24"/>
          <w:szCs w:val="24"/>
        </w:rPr>
        <w:t>合同进度计划的修订</w:t>
      </w:r>
    </w:p>
    <w:p w14:paraId="20338195">
      <w:pPr>
        <w:spacing w:before="131" w:line="353" w:lineRule="auto"/>
        <w:ind w:left="24" w:firstLine="423"/>
        <w:jc w:val="both"/>
        <w:rPr>
          <w:rFonts w:ascii="宋体" w:hAnsi="宋体" w:eastAsia="宋体" w:cs="宋体"/>
          <w:sz w:val="21"/>
          <w:szCs w:val="21"/>
        </w:rPr>
      </w:pPr>
      <w:r>
        <w:rPr>
          <w:rFonts w:ascii="宋体" w:hAnsi="宋体" w:eastAsia="宋体" w:cs="宋体"/>
          <w:sz w:val="21"/>
          <w:szCs w:val="21"/>
        </w:rPr>
        <w:t xml:space="preserve">不论何种原因造成工程的实际进度与第 </w:t>
      </w:r>
      <w:r>
        <w:rPr>
          <w:rFonts w:ascii="Times New Roman" w:hAnsi="Times New Roman" w:eastAsia="Times New Roman" w:cs="Times New Roman"/>
          <w:sz w:val="21"/>
          <w:szCs w:val="21"/>
        </w:rPr>
        <w:t>10</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款的合同进度计划不符时，承包人可以在</w:t>
      </w:r>
      <w:r>
        <w:rPr>
          <w:rFonts w:ascii="宋体" w:hAnsi="宋体" w:eastAsia="宋体" w:cs="宋体"/>
          <w:spacing w:val="-2"/>
          <w:sz w:val="21"/>
          <w:szCs w:val="21"/>
        </w:rPr>
        <w:t>专用合同条款约定的期限内向监理人提交修订合同进度计划的申请报告，并附有关措施和相关资料，报监理人审批；监理人也可以直接向承包人作出修订合同进度计划的指示</w:t>
      </w:r>
      <w:r>
        <w:rPr>
          <w:rFonts w:ascii="宋体" w:hAnsi="宋体" w:eastAsia="宋体" w:cs="宋体"/>
          <w:spacing w:val="-3"/>
          <w:sz w:val="21"/>
          <w:szCs w:val="21"/>
        </w:rPr>
        <w:t>，承包人</w:t>
      </w:r>
      <w:r>
        <w:rPr>
          <w:rFonts w:ascii="宋体" w:hAnsi="宋体" w:eastAsia="宋体" w:cs="宋体"/>
          <w:spacing w:val="-5"/>
          <w:sz w:val="21"/>
          <w:szCs w:val="21"/>
        </w:rPr>
        <w:t>应按该指示修订合同进度计划，报监理人审批。监理人应在专用合同条款约定的期限内批复。</w:t>
      </w:r>
      <w:r>
        <w:rPr>
          <w:rFonts w:ascii="宋体" w:hAnsi="宋体" w:eastAsia="宋体" w:cs="宋体"/>
          <w:spacing w:val="-2"/>
          <w:sz w:val="21"/>
          <w:szCs w:val="21"/>
        </w:rPr>
        <w:t>监理人在批复前应获得发包人同意。</w:t>
      </w:r>
    </w:p>
    <w:p w14:paraId="1F79B8DD">
      <w:pPr>
        <w:spacing w:before="28" w:line="236" w:lineRule="auto"/>
        <w:ind w:left="49"/>
        <w:outlineLvl w:val="0"/>
        <w:rPr>
          <w:rFonts w:ascii="黑体" w:hAnsi="黑体" w:eastAsia="黑体" w:cs="黑体"/>
          <w:sz w:val="28"/>
          <w:szCs w:val="28"/>
        </w:rPr>
      </w:pPr>
      <w:bookmarkStart w:id="122" w:name="bookmark109"/>
      <w:bookmarkEnd w:id="122"/>
      <w:bookmarkStart w:id="123" w:name="bookmark110"/>
      <w:bookmarkEnd w:id="123"/>
      <w:r>
        <w:rPr>
          <w:rFonts w:ascii="Times New Roman" w:hAnsi="Times New Roman" w:eastAsia="Times New Roman" w:cs="Times New Roman"/>
          <w:spacing w:val="-2"/>
          <w:sz w:val="28"/>
          <w:szCs w:val="28"/>
        </w:rPr>
        <w:t>11.</w:t>
      </w:r>
      <w:r>
        <w:rPr>
          <w:rFonts w:ascii="Times New Roman" w:hAnsi="Times New Roman" w:eastAsia="Times New Roman" w:cs="Times New Roman"/>
          <w:spacing w:val="14"/>
          <w:sz w:val="28"/>
          <w:szCs w:val="28"/>
        </w:rPr>
        <w:t xml:space="preserve">  </w:t>
      </w:r>
      <w:r>
        <w:rPr>
          <w:rFonts w:ascii="黑体" w:hAnsi="黑体" w:eastAsia="黑体" w:cs="黑体"/>
          <w:spacing w:val="-2"/>
          <w:sz w:val="28"/>
          <w:szCs w:val="28"/>
        </w:rPr>
        <w:t>开工和竣工</w:t>
      </w:r>
    </w:p>
    <w:p w14:paraId="1A428EFB">
      <w:pPr>
        <w:spacing w:before="85" w:line="236" w:lineRule="auto"/>
        <w:ind w:left="44"/>
        <w:outlineLvl w:val="1"/>
        <w:rPr>
          <w:rFonts w:ascii="黑体" w:hAnsi="黑体" w:eastAsia="黑体" w:cs="黑体"/>
          <w:sz w:val="24"/>
          <w:szCs w:val="24"/>
        </w:rPr>
      </w:pPr>
      <w:bookmarkStart w:id="124" w:name="bookmark639"/>
      <w:bookmarkEnd w:id="124"/>
      <w:r>
        <w:rPr>
          <w:rFonts w:ascii="Times New Roman" w:hAnsi="Times New Roman" w:eastAsia="Times New Roman" w:cs="Times New Roman"/>
          <w:spacing w:val="-9"/>
          <w:sz w:val="24"/>
          <w:szCs w:val="24"/>
        </w:rPr>
        <w:t>11.1</w:t>
      </w:r>
      <w:r>
        <w:rPr>
          <w:rFonts w:ascii="Times New Roman" w:hAnsi="Times New Roman" w:eastAsia="Times New Roman" w:cs="Times New Roman"/>
          <w:spacing w:val="8"/>
          <w:sz w:val="24"/>
          <w:szCs w:val="24"/>
        </w:rPr>
        <w:t xml:space="preserve">  </w:t>
      </w:r>
      <w:r>
        <w:rPr>
          <w:rFonts w:ascii="黑体" w:hAnsi="黑体" w:eastAsia="黑体" w:cs="黑体"/>
          <w:spacing w:val="-9"/>
          <w:sz w:val="24"/>
          <w:szCs w:val="24"/>
        </w:rPr>
        <w:t>开工</w:t>
      </w:r>
    </w:p>
    <w:p w14:paraId="59871D72">
      <w:pPr>
        <w:spacing w:before="110" w:line="352" w:lineRule="auto"/>
        <w:ind w:left="27" w:right="81" w:firstLine="433"/>
        <w:rPr>
          <w:rFonts w:ascii="宋体" w:hAnsi="宋体" w:eastAsia="宋体" w:cs="宋体"/>
          <w:sz w:val="21"/>
          <w:szCs w:val="21"/>
        </w:rPr>
      </w:pPr>
      <w:r>
        <w:rPr>
          <w:rFonts w:ascii="Times New Roman" w:hAnsi="Times New Roman" w:eastAsia="Times New Roman" w:cs="Times New Roman"/>
          <w:spacing w:val="-4"/>
          <w:sz w:val="21"/>
          <w:szCs w:val="21"/>
        </w:rPr>
        <w:t>11.1.1</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监理人应在开工日期</w:t>
      </w:r>
      <w:r>
        <w:rPr>
          <w:rFonts w:ascii="宋体" w:hAnsi="宋体" w:eastAsia="宋体" w:cs="宋体"/>
          <w:spacing w:val="-39"/>
          <w:sz w:val="21"/>
          <w:szCs w:val="21"/>
        </w:rPr>
        <w:t xml:space="preserve"> </w:t>
      </w:r>
      <w:r>
        <w:rPr>
          <w:rFonts w:ascii="Times New Roman" w:hAnsi="Times New Roman" w:eastAsia="Times New Roman" w:cs="Times New Roman"/>
          <w:spacing w:val="-4"/>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天前向承包人发出开工通知。监理人在发出开工通知前应</w:t>
      </w:r>
      <w:r>
        <w:rPr>
          <w:rFonts w:ascii="宋体" w:hAnsi="宋体" w:eastAsia="宋体" w:cs="宋体"/>
          <w:spacing w:val="-2"/>
          <w:sz w:val="21"/>
          <w:szCs w:val="21"/>
        </w:rPr>
        <w:t>获得发包人同意。工期自监理人发出的开工通知中载明的开工日期起计算。承包</w:t>
      </w:r>
      <w:r>
        <w:rPr>
          <w:rFonts w:ascii="宋体" w:hAnsi="宋体" w:eastAsia="宋体" w:cs="宋体"/>
          <w:spacing w:val="-3"/>
          <w:sz w:val="21"/>
          <w:szCs w:val="21"/>
        </w:rPr>
        <w:t>人应在开工</w:t>
      </w:r>
      <w:r>
        <w:rPr>
          <w:rFonts w:ascii="宋体" w:hAnsi="宋体" w:eastAsia="宋体" w:cs="宋体"/>
          <w:spacing w:val="-5"/>
          <w:sz w:val="21"/>
          <w:szCs w:val="21"/>
        </w:rPr>
        <w:t>日期后尽快施工。</w:t>
      </w:r>
    </w:p>
    <w:p w14:paraId="1395F451">
      <w:pPr>
        <w:spacing w:before="2" w:line="354" w:lineRule="auto"/>
        <w:ind w:left="25" w:right="77"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11.1.2  </w:t>
      </w:r>
      <w:r>
        <w:rPr>
          <w:rFonts w:ascii="宋体" w:hAnsi="宋体" w:eastAsia="宋体" w:cs="宋体"/>
          <w:spacing w:val="-1"/>
          <w:sz w:val="21"/>
          <w:szCs w:val="21"/>
        </w:rPr>
        <w:t xml:space="preserve">承包人应按第 </w:t>
      </w:r>
      <w:r>
        <w:rPr>
          <w:rFonts w:ascii="Times New Roman" w:hAnsi="Times New Roman" w:eastAsia="Times New Roman" w:cs="Times New Roman"/>
          <w:spacing w:val="-1"/>
          <w:sz w:val="21"/>
          <w:szCs w:val="21"/>
        </w:rPr>
        <w:t xml:space="preserve">10.1  </w:t>
      </w:r>
      <w:r>
        <w:rPr>
          <w:rFonts w:ascii="宋体" w:hAnsi="宋体" w:eastAsia="宋体" w:cs="宋体"/>
          <w:spacing w:val="-1"/>
          <w:sz w:val="21"/>
          <w:szCs w:val="21"/>
        </w:rPr>
        <w:t>款约定的合同进度计划，向监理人提交工程开工报审表，经</w:t>
      </w:r>
      <w:r>
        <w:rPr>
          <w:rFonts w:ascii="宋体" w:hAnsi="宋体" w:eastAsia="宋体" w:cs="宋体"/>
          <w:spacing w:val="-2"/>
          <w:sz w:val="21"/>
          <w:szCs w:val="21"/>
        </w:rPr>
        <w:t>监理人审批后执行。开工报审表应详细说明按合同进度计划正常施工所需的施工道路、</w:t>
      </w:r>
      <w:r>
        <w:rPr>
          <w:rFonts w:ascii="宋体" w:hAnsi="宋体" w:eastAsia="宋体" w:cs="宋体"/>
          <w:spacing w:val="-3"/>
          <w:sz w:val="21"/>
          <w:szCs w:val="21"/>
        </w:rPr>
        <w:t>临时</w:t>
      </w:r>
      <w:r>
        <w:rPr>
          <w:rFonts w:ascii="宋体" w:hAnsi="宋体" w:eastAsia="宋体" w:cs="宋体"/>
          <w:spacing w:val="-1"/>
          <w:sz w:val="21"/>
          <w:szCs w:val="21"/>
        </w:rPr>
        <w:t>设施、材料设备、施工人员等施工组织措施的落实情况以及工程的进度安排。</w:t>
      </w:r>
    </w:p>
    <w:p w14:paraId="031F23B0">
      <w:pPr>
        <w:spacing w:line="354" w:lineRule="auto"/>
        <w:rPr>
          <w:rFonts w:ascii="宋体" w:hAnsi="宋体" w:eastAsia="宋体" w:cs="宋体"/>
          <w:sz w:val="21"/>
          <w:szCs w:val="21"/>
        </w:rPr>
        <w:sectPr>
          <w:footerReference r:id="rId89" w:type="default"/>
          <w:pgSz w:w="11910" w:h="16845"/>
          <w:pgMar w:top="400" w:right="1688" w:bottom="1110" w:left="1786" w:header="0" w:footer="883" w:gutter="0"/>
          <w:cols w:space="720" w:num="1"/>
        </w:sectPr>
      </w:pPr>
    </w:p>
    <w:p w14:paraId="35496699">
      <w:pPr>
        <w:pStyle w:val="2"/>
        <w:spacing w:line="266" w:lineRule="auto"/>
      </w:pPr>
    </w:p>
    <w:p w14:paraId="1A5622F6">
      <w:pPr>
        <w:pStyle w:val="2"/>
        <w:spacing w:line="266" w:lineRule="auto"/>
      </w:pPr>
    </w:p>
    <w:p w14:paraId="35D84477">
      <w:pPr>
        <w:pStyle w:val="2"/>
        <w:spacing w:line="266" w:lineRule="auto"/>
      </w:pPr>
    </w:p>
    <w:p w14:paraId="4CE2AE11">
      <w:pPr>
        <w:pStyle w:val="2"/>
        <w:spacing w:line="267" w:lineRule="auto"/>
      </w:pPr>
    </w:p>
    <w:p w14:paraId="6ACE56EE">
      <w:pPr>
        <w:spacing w:before="78" w:line="232" w:lineRule="auto"/>
        <w:ind w:left="44"/>
        <w:outlineLvl w:val="1"/>
        <w:rPr>
          <w:rFonts w:ascii="黑体" w:hAnsi="黑体" w:eastAsia="黑体" w:cs="黑体"/>
          <w:sz w:val="24"/>
          <w:szCs w:val="24"/>
        </w:rPr>
      </w:pPr>
      <w:bookmarkStart w:id="125" w:name="bookmark112"/>
      <w:bookmarkEnd w:id="125"/>
      <w:bookmarkStart w:id="126" w:name="bookmark111"/>
      <w:bookmarkEnd w:id="126"/>
      <w:r>
        <w:rPr>
          <w:rFonts w:ascii="Times New Roman" w:hAnsi="Times New Roman" w:eastAsia="Times New Roman" w:cs="Times New Roman"/>
          <w:spacing w:val="-8"/>
          <w:sz w:val="24"/>
          <w:szCs w:val="24"/>
        </w:rPr>
        <w:t>11.2</w:t>
      </w:r>
      <w:r>
        <w:rPr>
          <w:rFonts w:ascii="Times New Roman" w:hAnsi="Times New Roman" w:eastAsia="Times New Roman" w:cs="Times New Roman"/>
          <w:spacing w:val="4"/>
          <w:sz w:val="24"/>
          <w:szCs w:val="24"/>
        </w:rPr>
        <w:t xml:space="preserve">  </w:t>
      </w:r>
      <w:r>
        <w:rPr>
          <w:rFonts w:ascii="黑体" w:hAnsi="黑体" w:eastAsia="黑体" w:cs="黑体"/>
          <w:spacing w:val="-8"/>
          <w:sz w:val="24"/>
          <w:szCs w:val="24"/>
        </w:rPr>
        <w:t>竣工</w:t>
      </w:r>
    </w:p>
    <w:p w14:paraId="3188EB24">
      <w:pPr>
        <w:spacing w:before="129" w:line="233" w:lineRule="auto"/>
        <w:jc w:val="right"/>
        <w:rPr>
          <w:rFonts w:ascii="宋体" w:hAnsi="宋体" w:eastAsia="宋体" w:cs="宋体"/>
          <w:sz w:val="21"/>
          <w:szCs w:val="21"/>
        </w:rPr>
      </w:pPr>
      <w:r>
        <w:rPr>
          <w:rFonts w:ascii="宋体" w:hAnsi="宋体" w:eastAsia="宋体" w:cs="宋体"/>
          <w:spacing w:val="-3"/>
          <w:sz w:val="21"/>
          <w:szCs w:val="21"/>
        </w:rPr>
        <w:t>承包人应在第</w:t>
      </w:r>
      <w:r>
        <w:rPr>
          <w:rFonts w:ascii="宋体" w:hAnsi="宋体" w:eastAsia="宋体" w:cs="宋体"/>
          <w:spacing w:val="-20"/>
          <w:sz w:val="21"/>
          <w:szCs w:val="21"/>
        </w:rPr>
        <w:t xml:space="preserve"> </w:t>
      </w:r>
      <w:r>
        <w:fldChar w:fldCharType="begin"/>
      </w:r>
      <w:r>
        <w:instrText xml:space="preserve"> HYPERLINK "1.1.4.3" </w:instrText>
      </w:r>
      <w:r>
        <w:fldChar w:fldCharType="separate"/>
      </w:r>
      <w:r>
        <w:rPr>
          <w:rFonts w:ascii="Times New Roman" w:hAnsi="Times New Roman" w:eastAsia="Times New Roman" w:cs="Times New Roman"/>
          <w:spacing w:val="-3"/>
          <w:sz w:val="21"/>
          <w:szCs w:val="21"/>
        </w:rPr>
        <w:t>1.1.4.3</w:t>
      </w:r>
      <w:r>
        <w:rPr>
          <w:rFonts w:ascii="Times New Roman" w:hAnsi="Times New Roman" w:eastAsia="Times New Roman" w:cs="Times New Roman"/>
          <w:spacing w:val="-3"/>
          <w:sz w:val="21"/>
          <w:szCs w:val="21"/>
        </w:rPr>
        <w:fldChar w:fldCharType="end"/>
      </w:r>
      <w:r>
        <w:rPr>
          <w:rFonts w:ascii="Times New Roman" w:hAnsi="Times New Roman" w:eastAsia="Times New Roman" w:cs="Times New Roman"/>
          <w:spacing w:val="-3"/>
          <w:sz w:val="21"/>
          <w:szCs w:val="21"/>
        </w:rPr>
        <w:t xml:space="preserve">  </w:t>
      </w:r>
      <w:r>
        <w:rPr>
          <w:rFonts w:ascii="宋体" w:hAnsi="宋体" w:eastAsia="宋体" w:cs="宋体"/>
          <w:spacing w:val="-3"/>
          <w:sz w:val="21"/>
          <w:szCs w:val="21"/>
        </w:rPr>
        <w:t>目约定的期限内完成合同工程。实际竣工日期在接收证书中写明。</w:t>
      </w:r>
    </w:p>
    <w:p w14:paraId="5CF0D532">
      <w:pPr>
        <w:spacing w:before="99" w:line="232" w:lineRule="auto"/>
        <w:ind w:left="44"/>
        <w:outlineLvl w:val="1"/>
        <w:rPr>
          <w:rFonts w:ascii="黑体" w:hAnsi="黑体" w:eastAsia="黑体" w:cs="黑体"/>
          <w:sz w:val="24"/>
          <w:szCs w:val="24"/>
        </w:rPr>
      </w:pPr>
      <w:bookmarkStart w:id="127" w:name="bookmark640"/>
      <w:bookmarkEnd w:id="127"/>
      <w:r>
        <w:rPr>
          <w:rFonts w:ascii="Times New Roman" w:hAnsi="Times New Roman" w:eastAsia="Times New Roman" w:cs="Times New Roman"/>
          <w:spacing w:val="-3"/>
          <w:sz w:val="24"/>
          <w:szCs w:val="24"/>
        </w:rPr>
        <w:t xml:space="preserve">11.3  </w:t>
      </w:r>
      <w:r>
        <w:rPr>
          <w:rFonts w:ascii="黑体" w:hAnsi="黑体" w:eastAsia="黑体" w:cs="黑体"/>
          <w:spacing w:val="-3"/>
          <w:sz w:val="24"/>
          <w:szCs w:val="24"/>
        </w:rPr>
        <w:t>发包人的工期延误</w:t>
      </w:r>
    </w:p>
    <w:p w14:paraId="46AB0705">
      <w:pPr>
        <w:spacing w:before="130" w:line="347" w:lineRule="auto"/>
        <w:ind w:left="25" w:right="80" w:firstLine="418"/>
        <w:jc w:val="both"/>
        <w:rPr>
          <w:rFonts w:ascii="宋体" w:hAnsi="宋体" w:eastAsia="宋体" w:cs="宋体"/>
          <w:sz w:val="21"/>
          <w:szCs w:val="21"/>
        </w:rPr>
      </w:pPr>
      <w:r>
        <w:rPr>
          <w:rFonts w:ascii="宋体" w:hAnsi="宋体" w:eastAsia="宋体" w:cs="宋体"/>
          <w:spacing w:val="-2"/>
          <w:sz w:val="21"/>
          <w:szCs w:val="21"/>
        </w:rPr>
        <w:t>在履行合同过程中，由于发包人的下列原因造成工期延误的，承包人有</w:t>
      </w:r>
      <w:r>
        <w:rPr>
          <w:rFonts w:ascii="宋体" w:hAnsi="宋体" w:eastAsia="宋体" w:cs="宋体"/>
          <w:spacing w:val="-3"/>
          <w:sz w:val="21"/>
          <w:szCs w:val="21"/>
        </w:rPr>
        <w:t>权要求发包人延</w:t>
      </w:r>
      <w:r>
        <w:rPr>
          <w:rFonts w:ascii="宋体" w:hAnsi="宋体" w:eastAsia="宋体" w:cs="宋体"/>
          <w:sz w:val="21"/>
          <w:szCs w:val="21"/>
        </w:rPr>
        <w:t>长工期和（或）增加费用，并支付合理利润。需要修订合</w:t>
      </w:r>
      <w:r>
        <w:rPr>
          <w:rFonts w:ascii="宋体" w:hAnsi="宋体" w:eastAsia="宋体" w:cs="宋体"/>
          <w:spacing w:val="-1"/>
          <w:sz w:val="21"/>
          <w:szCs w:val="21"/>
        </w:rPr>
        <w:t xml:space="preserve">同进度计划的，按照第 </w:t>
      </w:r>
      <w:r>
        <w:rPr>
          <w:rFonts w:ascii="Times New Roman" w:hAnsi="Times New Roman" w:eastAsia="Times New Roman" w:cs="Times New Roman"/>
          <w:spacing w:val="-1"/>
          <w:sz w:val="21"/>
          <w:szCs w:val="21"/>
        </w:rPr>
        <w:t>10.2</w:t>
      </w:r>
      <w:r>
        <w:rPr>
          <w:rFonts w:ascii="Times New Roman" w:hAnsi="Times New Roman" w:eastAsia="Times New Roman" w:cs="Times New Roman"/>
          <w:spacing w:val="47"/>
          <w:w w:val="101"/>
          <w:sz w:val="21"/>
          <w:szCs w:val="21"/>
        </w:rPr>
        <w:t xml:space="preserve"> </w:t>
      </w:r>
      <w:r>
        <w:rPr>
          <w:rFonts w:ascii="宋体" w:hAnsi="宋体" w:eastAsia="宋体" w:cs="宋体"/>
          <w:spacing w:val="-1"/>
          <w:sz w:val="21"/>
          <w:szCs w:val="21"/>
        </w:rPr>
        <w:t>款的</w:t>
      </w:r>
      <w:r>
        <w:rPr>
          <w:rFonts w:ascii="宋体" w:hAnsi="宋体" w:eastAsia="宋体" w:cs="宋体"/>
          <w:spacing w:val="-6"/>
          <w:sz w:val="21"/>
          <w:szCs w:val="21"/>
        </w:rPr>
        <w:t>约定办理。</w:t>
      </w:r>
    </w:p>
    <w:p w14:paraId="3387EC04">
      <w:pPr>
        <w:spacing w:before="17" w:line="233" w:lineRule="auto"/>
        <w:ind w:left="39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）增加合同工作内容；</w:t>
      </w:r>
    </w:p>
    <w:p w14:paraId="0A90A3E0">
      <w:pPr>
        <w:spacing w:before="140"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）改变合同中任何一项工作的质量要求或其他特性；</w:t>
      </w:r>
    </w:p>
    <w:p w14:paraId="5D42F96B">
      <w:pPr>
        <w:spacing w:before="124"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）发包人迟延提供材料、工程设备或变更交货地点的；</w:t>
      </w:r>
    </w:p>
    <w:p w14:paraId="2023F98F">
      <w:pPr>
        <w:spacing w:before="141" w:line="234" w:lineRule="auto"/>
        <w:ind w:left="39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）因发包人原因导致的暂停施工；</w:t>
      </w:r>
    </w:p>
    <w:p w14:paraId="28D1B0CB">
      <w:pPr>
        <w:spacing w:before="138" w:line="233" w:lineRule="auto"/>
        <w:ind w:left="39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）提供图纸延误；</w:t>
      </w:r>
    </w:p>
    <w:p w14:paraId="20B24C18">
      <w:pPr>
        <w:spacing w:before="127" w:line="233" w:lineRule="auto"/>
        <w:ind w:left="39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6</w:t>
      </w:r>
      <w:r>
        <w:rPr>
          <w:rFonts w:ascii="宋体" w:hAnsi="宋体" w:eastAsia="宋体" w:cs="宋体"/>
          <w:spacing w:val="-3"/>
          <w:sz w:val="21"/>
          <w:szCs w:val="21"/>
        </w:rPr>
        <w:t>）未按合同约定及时支付预付款、进度款；</w:t>
      </w:r>
    </w:p>
    <w:p w14:paraId="3EC8FD59">
      <w:pPr>
        <w:spacing w:before="140" w:line="234"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）发包人造成工期延误的其他原因。</w:t>
      </w:r>
    </w:p>
    <w:p w14:paraId="0A37C2E0">
      <w:pPr>
        <w:spacing w:before="113" w:line="232" w:lineRule="auto"/>
        <w:ind w:left="44"/>
        <w:outlineLvl w:val="1"/>
        <w:rPr>
          <w:rFonts w:ascii="黑体" w:hAnsi="黑体" w:eastAsia="黑体" w:cs="黑体"/>
          <w:sz w:val="24"/>
          <w:szCs w:val="24"/>
        </w:rPr>
      </w:pPr>
      <w:bookmarkStart w:id="128" w:name="bookmark113"/>
      <w:bookmarkEnd w:id="128"/>
      <w:r>
        <w:rPr>
          <w:rFonts w:ascii="Times New Roman" w:hAnsi="Times New Roman" w:eastAsia="Times New Roman" w:cs="Times New Roman"/>
          <w:spacing w:val="-3"/>
          <w:sz w:val="24"/>
          <w:szCs w:val="24"/>
        </w:rPr>
        <w:t xml:space="preserve">11.4  </w:t>
      </w:r>
      <w:r>
        <w:rPr>
          <w:rFonts w:ascii="黑体" w:hAnsi="黑体" w:eastAsia="黑体" w:cs="黑体"/>
          <w:spacing w:val="-3"/>
          <w:sz w:val="24"/>
          <w:szCs w:val="24"/>
        </w:rPr>
        <w:t>异常恶劣的气候条件</w:t>
      </w:r>
    </w:p>
    <w:p w14:paraId="0D05D82C">
      <w:pPr>
        <w:spacing w:before="115" w:line="345" w:lineRule="auto"/>
        <w:ind w:left="24" w:right="104" w:firstLine="385"/>
        <w:rPr>
          <w:rFonts w:ascii="宋体" w:hAnsi="宋体" w:eastAsia="宋体" w:cs="宋体"/>
          <w:sz w:val="21"/>
          <w:szCs w:val="21"/>
        </w:rPr>
      </w:pPr>
      <w:r>
        <w:rPr>
          <w:rFonts w:ascii="宋体" w:hAnsi="宋体" w:eastAsia="宋体" w:cs="宋体"/>
          <w:spacing w:val="-2"/>
          <w:sz w:val="21"/>
          <w:szCs w:val="21"/>
        </w:rPr>
        <w:t>由于出现专用合同条款规定的异常恶劣气候的条件导致工期延误的，承包人有权要求发</w:t>
      </w:r>
      <w:r>
        <w:rPr>
          <w:rFonts w:ascii="宋体" w:hAnsi="宋体" w:eastAsia="宋体" w:cs="宋体"/>
          <w:spacing w:val="-5"/>
          <w:sz w:val="21"/>
          <w:szCs w:val="21"/>
        </w:rPr>
        <w:t>包人延长工期。</w:t>
      </w:r>
    </w:p>
    <w:p w14:paraId="28D63757">
      <w:pPr>
        <w:spacing w:before="1" w:line="232" w:lineRule="auto"/>
        <w:ind w:left="44"/>
        <w:outlineLvl w:val="1"/>
        <w:rPr>
          <w:rFonts w:ascii="黑体" w:hAnsi="黑体" w:eastAsia="黑体" w:cs="黑体"/>
          <w:sz w:val="24"/>
          <w:szCs w:val="24"/>
        </w:rPr>
      </w:pPr>
      <w:bookmarkStart w:id="129" w:name="bookmark114"/>
      <w:bookmarkEnd w:id="129"/>
      <w:r>
        <w:rPr>
          <w:rFonts w:ascii="Times New Roman" w:hAnsi="Times New Roman" w:eastAsia="Times New Roman" w:cs="Times New Roman"/>
          <w:spacing w:val="-3"/>
          <w:sz w:val="24"/>
          <w:szCs w:val="24"/>
        </w:rPr>
        <w:t xml:space="preserve">11.5  </w:t>
      </w:r>
      <w:r>
        <w:rPr>
          <w:rFonts w:ascii="黑体" w:hAnsi="黑体" w:eastAsia="黑体" w:cs="黑体"/>
          <w:spacing w:val="-3"/>
          <w:sz w:val="24"/>
          <w:szCs w:val="24"/>
        </w:rPr>
        <w:t>承包人的工期延误</w:t>
      </w:r>
    </w:p>
    <w:p w14:paraId="134453D4">
      <w:pPr>
        <w:spacing w:before="115" w:line="347" w:lineRule="auto"/>
        <w:ind w:left="25" w:right="87" w:firstLine="444"/>
        <w:jc w:val="both"/>
        <w:rPr>
          <w:rFonts w:ascii="宋体" w:hAnsi="宋体" w:eastAsia="宋体" w:cs="宋体"/>
          <w:sz w:val="21"/>
          <w:szCs w:val="21"/>
        </w:rPr>
      </w:pPr>
      <w:r>
        <w:rPr>
          <w:rFonts w:ascii="宋体" w:hAnsi="宋体" w:eastAsia="宋体" w:cs="宋体"/>
          <w:spacing w:val="-3"/>
          <w:sz w:val="21"/>
          <w:szCs w:val="21"/>
        </w:rPr>
        <w:t>由于承包人原因，未能按合同进度计划完成工作，或监理人认为承包人施工进度不能满</w:t>
      </w:r>
      <w:r>
        <w:rPr>
          <w:rFonts w:ascii="宋体" w:hAnsi="宋体" w:eastAsia="宋体" w:cs="宋体"/>
          <w:spacing w:val="-2"/>
          <w:sz w:val="21"/>
          <w:szCs w:val="21"/>
        </w:rPr>
        <w:t>足合同工期要求的，承包人应采取措施加快进度，并承担加快进度所增加的费用。由</w:t>
      </w:r>
      <w:r>
        <w:rPr>
          <w:rFonts w:ascii="宋体" w:hAnsi="宋体" w:eastAsia="宋体" w:cs="宋体"/>
          <w:spacing w:val="-3"/>
          <w:sz w:val="21"/>
          <w:szCs w:val="21"/>
        </w:rPr>
        <w:t>于承包</w:t>
      </w:r>
      <w:r>
        <w:rPr>
          <w:rFonts w:ascii="宋体" w:hAnsi="宋体" w:eastAsia="宋体" w:cs="宋体"/>
          <w:spacing w:val="-2"/>
          <w:sz w:val="21"/>
          <w:szCs w:val="21"/>
        </w:rPr>
        <w:t>人原因造成工期延误，承包人应支付逾期竣工违约金。逾期竣工违约金的计算方法在</w:t>
      </w:r>
      <w:r>
        <w:rPr>
          <w:rFonts w:ascii="宋体" w:hAnsi="宋体" w:eastAsia="宋体" w:cs="宋体"/>
          <w:spacing w:val="-3"/>
          <w:sz w:val="21"/>
          <w:szCs w:val="21"/>
        </w:rPr>
        <w:t>专用合</w:t>
      </w:r>
      <w:r>
        <w:rPr>
          <w:rFonts w:ascii="宋体" w:hAnsi="宋体" w:eastAsia="宋体" w:cs="宋体"/>
          <w:spacing w:val="-1"/>
          <w:sz w:val="21"/>
          <w:szCs w:val="21"/>
        </w:rPr>
        <w:t>同条款中约定。承包人支付逾期竣工违约金，不免除承包人完成工程及修补缺陷的义务。</w:t>
      </w:r>
    </w:p>
    <w:p w14:paraId="7B3A959B">
      <w:pPr>
        <w:spacing w:line="233" w:lineRule="auto"/>
        <w:ind w:left="44"/>
        <w:outlineLvl w:val="1"/>
        <w:rPr>
          <w:rFonts w:ascii="黑体" w:hAnsi="黑体" w:eastAsia="黑体" w:cs="黑体"/>
          <w:sz w:val="24"/>
          <w:szCs w:val="24"/>
        </w:rPr>
      </w:pPr>
      <w:bookmarkStart w:id="130" w:name="bookmark115"/>
      <w:bookmarkEnd w:id="130"/>
      <w:r>
        <w:rPr>
          <w:rFonts w:ascii="Times New Roman" w:hAnsi="Times New Roman" w:eastAsia="Times New Roman" w:cs="Times New Roman"/>
          <w:spacing w:val="-7"/>
          <w:sz w:val="24"/>
          <w:szCs w:val="24"/>
        </w:rPr>
        <w:t>11.6</w:t>
      </w:r>
      <w:r>
        <w:rPr>
          <w:rFonts w:ascii="Times New Roman" w:hAnsi="Times New Roman" w:eastAsia="Times New Roman" w:cs="Times New Roman"/>
          <w:spacing w:val="8"/>
          <w:sz w:val="24"/>
          <w:szCs w:val="24"/>
        </w:rPr>
        <w:t xml:space="preserve">  </w:t>
      </w:r>
      <w:r>
        <w:rPr>
          <w:rFonts w:ascii="黑体" w:hAnsi="黑体" w:eastAsia="黑体" w:cs="黑体"/>
          <w:spacing w:val="-7"/>
          <w:sz w:val="24"/>
          <w:szCs w:val="24"/>
        </w:rPr>
        <w:t>工期提前</w:t>
      </w:r>
    </w:p>
    <w:p w14:paraId="3CBDBDF8">
      <w:pPr>
        <w:spacing w:before="129" w:line="351" w:lineRule="auto"/>
        <w:ind w:left="24" w:right="43" w:firstLine="423"/>
        <w:jc w:val="both"/>
        <w:rPr>
          <w:rFonts w:ascii="宋体" w:hAnsi="宋体" w:eastAsia="宋体" w:cs="宋体"/>
          <w:sz w:val="21"/>
          <w:szCs w:val="21"/>
        </w:rPr>
      </w:pPr>
      <w:r>
        <w:rPr>
          <w:rFonts w:ascii="宋体" w:hAnsi="宋体" w:eastAsia="宋体" w:cs="宋体"/>
          <w:spacing w:val="-1"/>
          <w:sz w:val="21"/>
          <w:szCs w:val="21"/>
        </w:rPr>
        <w:t>发包人要求承包人提前竣工，或承包人提出提前竣工的建议能够给发包人带来效</w:t>
      </w:r>
      <w:r>
        <w:rPr>
          <w:rFonts w:ascii="宋体" w:hAnsi="宋体" w:eastAsia="宋体" w:cs="宋体"/>
          <w:spacing w:val="-2"/>
          <w:sz w:val="21"/>
          <w:szCs w:val="21"/>
        </w:rPr>
        <w:t>益的，应由监理人与承包人共同协商采取加快工程进度的措施和修订合同进度计划。发</w:t>
      </w:r>
      <w:r>
        <w:rPr>
          <w:rFonts w:ascii="宋体" w:hAnsi="宋体" w:eastAsia="宋体" w:cs="宋体"/>
          <w:spacing w:val="-3"/>
          <w:sz w:val="21"/>
          <w:szCs w:val="21"/>
        </w:rPr>
        <w:t>包人应承担</w:t>
      </w:r>
      <w:r>
        <w:rPr>
          <w:rFonts w:ascii="宋体" w:hAnsi="宋体" w:eastAsia="宋体" w:cs="宋体"/>
          <w:spacing w:val="-1"/>
          <w:sz w:val="21"/>
          <w:szCs w:val="21"/>
        </w:rPr>
        <w:t>承包人由此增加的费用，并向承包人支付专用合同条款约定的相应奖金。</w:t>
      </w:r>
    </w:p>
    <w:p w14:paraId="5DD502C2">
      <w:pPr>
        <w:spacing w:before="43" w:line="238" w:lineRule="auto"/>
        <w:ind w:left="49"/>
        <w:outlineLvl w:val="0"/>
        <w:rPr>
          <w:rFonts w:ascii="黑体" w:hAnsi="黑体" w:eastAsia="黑体" w:cs="黑体"/>
          <w:sz w:val="28"/>
          <w:szCs w:val="28"/>
        </w:rPr>
      </w:pPr>
      <w:bookmarkStart w:id="131" w:name="bookmark116"/>
      <w:bookmarkEnd w:id="131"/>
      <w:bookmarkStart w:id="132" w:name="bookmark117"/>
      <w:bookmarkEnd w:id="132"/>
      <w:r>
        <w:rPr>
          <w:rFonts w:ascii="Times New Roman" w:hAnsi="Times New Roman" w:eastAsia="Times New Roman" w:cs="Times New Roman"/>
          <w:spacing w:val="-2"/>
          <w:sz w:val="28"/>
          <w:szCs w:val="28"/>
        </w:rPr>
        <w:t>12.</w:t>
      </w:r>
      <w:r>
        <w:rPr>
          <w:rFonts w:ascii="Times New Roman" w:hAnsi="Times New Roman" w:eastAsia="Times New Roman" w:cs="Times New Roman"/>
          <w:spacing w:val="18"/>
          <w:sz w:val="28"/>
          <w:szCs w:val="28"/>
        </w:rPr>
        <w:t xml:space="preserve">  </w:t>
      </w:r>
      <w:r>
        <w:rPr>
          <w:rFonts w:ascii="黑体" w:hAnsi="黑体" w:eastAsia="黑体" w:cs="黑体"/>
          <w:spacing w:val="-2"/>
          <w:sz w:val="28"/>
          <w:szCs w:val="28"/>
        </w:rPr>
        <w:t>暂停施工</w:t>
      </w:r>
    </w:p>
    <w:p w14:paraId="4C628B12">
      <w:pPr>
        <w:spacing w:before="68" w:line="232" w:lineRule="auto"/>
        <w:ind w:left="44"/>
        <w:outlineLvl w:val="1"/>
        <w:rPr>
          <w:rFonts w:ascii="黑体" w:hAnsi="黑体" w:eastAsia="黑体" w:cs="黑体"/>
          <w:sz w:val="24"/>
          <w:szCs w:val="24"/>
        </w:rPr>
      </w:pPr>
      <w:bookmarkStart w:id="133" w:name="bookmark641"/>
      <w:bookmarkEnd w:id="133"/>
      <w:r>
        <w:rPr>
          <w:rFonts w:ascii="Times New Roman" w:hAnsi="Times New Roman" w:eastAsia="Times New Roman" w:cs="Times New Roman"/>
          <w:spacing w:val="-2"/>
          <w:sz w:val="24"/>
          <w:szCs w:val="24"/>
        </w:rPr>
        <w:t xml:space="preserve">12.1  </w:t>
      </w:r>
      <w:r>
        <w:rPr>
          <w:rFonts w:ascii="黑体" w:hAnsi="黑体" w:eastAsia="黑体" w:cs="黑体"/>
          <w:spacing w:val="-2"/>
          <w:sz w:val="24"/>
          <w:szCs w:val="24"/>
        </w:rPr>
        <w:t>承包人暂停施工的责任</w:t>
      </w:r>
    </w:p>
    <w:p w14:paraId="65832060">
      <w:pPr>
        <w:spacing w:before="130" w:line="220" w:lineRule="auto"/>
        <w:ind w:left="461"/>
        <w:rPr>
          <w:rFonts w:ascii="宋体" w:hAnsi="宋体" w:eastAsia="宋体" w:cs="宋体"/>
          <w:sz w:val="21"/>
          <w:szCs w:val="21"/>
        </w:rPr>
      </w:pPr>
      <w:r>
        <w:rPr>
          <w:rFonts w:ascii="宋体" w:hAnsi="宋体" w:eastAsia="宋体" w:cs="宋体"/>
          <w:spacing w:val="-2"/>
          <w:sz w:val="21"/>
          <w:szCs w:val="21"/>
        </w:rPr>
        <w:t>因下列暂停施工增加的费用和（或）工期延误由承</w:t>
      </w:r>
      <w:r>
        <w:rPr>
          <w:rFonts w:ascii="宋体" w:hAnsi="宋体" w:eastAsia="宋体" w:cs="宋体"/>
          <w:spacing w:val="-3"/>
          <w:sz w:val="21"/>
          <w:szCs w:val="21"/>
        </w:rPr>
        <w:t>包人承担：</w:t>
      </w:r>
    </w:p>
    <w:p w14:paraId="11FDE10A">
      <w:pPr>
        <w:spacing w:before="140" w:line="233" w:lineRule="auto"/>
        <w:ind w:left="39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）承包人违约引起的暂停施工；</w:t>
      </w:r>
    </w:p>
    <w:p w14:paraId="2B52A86F">
      <w:pPr>
        <w:spacing w:before="141"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）由于承包人原因为工程合理施工和安全保障所必需的暂停施工；</w:t>
      </w:r>
    </w:p>
    <w:p w14:paraId="1DC1519A">
      <w:pPr>
        <w:spacing w:before="140" w:line="233" w:lineRule="auto"/>
        <w:ind w:left="39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）承包人擅自暂停施工；</w:t>
      </w:r>
    </w:p>
    <w:p w14:paraId="13FE4225">
      <w:pPr>
        <w:spacing w:before="126" w:line="233" w:lineRule="auto"/>
        <w:ind w:left="39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）承包人其他原因引起的暂停施工；</w:t>
      </w:r>
    </w:p>
    <w:p w14:paraId="3FAED1A9">
      <w:pPr>
        <w:spacing w:before="139"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）专用合同条款约定由承包人承担的其他暂停施工。</w:t>
      </w:r>
    </w:p>
    <w:p w14:paraId="70248821">
      <w:pPr>
        <w:spacing w:line="233" w:lineRule="auto"/>
        <w:rPr>
          <w:rFonts w:ascii="宋体" w:hAnsi="宋体" w:eastAsia="宋体" w:cs="宋体"/>
          <w:sz w:val="21"/>
          <w:szCs w:val="21"/>
        </w:rPr>
        <w:sectPr>
          <w:footerReference r:id="rId90" w:type="default"/>
          <w:pgSz w:w="11910" w:h="16845"/>
          <w:pgMar w:top="400" w:right="1691" w:bottom="1110" w:left="1786" w:header="0" w:footer="883" w:gutter="0"/>
          <w:cols w:space="720" w:num="1"/>
        </w:sectPr>
      </w:pPr>
    </w:p>
    <w:p w14:paraId="7898E265">
      <w:pPr>
        <w:pStyle w:val="2"/>
        <w:spacing w:line="266" w:lineRule="auto"/>
      </w:pPr>
    </w:p>
    <w:p w14:paraId="697A9948">
      <w:pPr>
        <w:pStyle w:val="2"/>
        <w:spacing w:line="266" w:lineRule="auto"/>
      </w:pPr>
    </w:p>
    <w:p w14:paraId="255ED9C1">
      <w:pPr>
        <w:pStyle w:val="2"/>
        <w:spacing w:line="266" w:lineRule="auto"/>
      </w:pPr>
    </w:p>
    <w:p w14:paraId="7E29475F">
      <w:pPr>
        <w:pStyle w:val="2"/>
        <w:spacing w:line="267" w:lineRule="auto"/>
      </w:pPr>
    </w:p>
    <w:p w14:paraId="376A3F92">
      <w:pPr>
        <w:spacing w:before="78" w:line="232" w:lineRule="auto"/>
        <w:ind w:left="44"/>
        <w:outlineLvl w:val="1"/>
        <w:rPr>
          <w:rFonts w:ascii="黑体" w:hAnsi="黑体" w:eastAsia="黑体" w:cs="黑体"/>
          <w:sz w:val="24"/>
          <w:szCs w:val="24"/>
        </w:rPr>
      </w:pPr>
      <w:bookmarkStart w:id="134" w:name="bookmark118"/>
      <w:bookmarkEnd w:id="134"/>
      <w:r>
        <w:rPr>
          <w:rFonts w:ascii="Times New Roman" w:hAnsi="Times New Roman" w:eastAsia="Times New Roman" w:cs="Times New Roman"/>
          <w:spacing w:val="-2"/>
          <w:sz w:val="24"/>
          <w:szCs w:val="24"/>
        </w:rPr>
        <w:t xml:space="preserve">12.2  </w:t>
      </w:r>
      <w:r>
        <w:rPr>
          <w:rFonts w:ascii="黑体" w:hAnsi="黑体" w:eastAsia="黑体" w:cs="黑体"/>
          <w:spacing w:val="-2"/>
          <w:sz w:val="24"/>
          <w:szCs w:val="24"/>
        </w:rPr>
        <w:t>发包人暂停施工的责任</w:t>
      </w:r>
    </w:p>
    <w:p w14:paraId="00C1A469">
      <w:pPr>
        <w:spacing w:before="130" w:line="338" w:lineRule="auto"/>
        <w:ind w:left="29" w:right="38" w:firstLine="440"/>
        <w:rPr>
          <w:rFonts w:ascii="宋体" w:hAnsi="宋体" w:eastAsia="宋体" w:cs="宋体"/>
          <w:sz w:val="21"/>
          <w:szCs w:val="21"/>
        </w:rPr>
      </w:pPr>
      <w:r>
        <w:rPr>
          <w:rFonts w:ascii="宋体" w:hAnsi="宋体" w:eastAsia="宋体" w:cs="宋体"/>
          <w:spacing w:val="2"/>
          <w:sz w:val="21"/>
          <w:szCs w:val="21"/>
        </w:rPr>
        <w:t>由于发包人原因引起的暂停施工造成工期延误的，承包人有权要求发包人延长工期和</w:t>
      </w:r>
      <w:r>
        <w:rPr>
          <w:rFonts w:ascii="宋体" w:hAnsi="宋体" w:eastAsia="宋体" w:cs="宋体"/>
          <w:spacing w:val="-3"/>
          <w:sz w:val="21"/>
          <w:szCs w:val="21"/>
        </w:rPr>
        <w:t>（或）增加费用，并支付合理利润。</w:t>
      </w:r>
    </w:p>
    <w:p w14:paraId="08B05EBC">
      <w:pPr>
        <w:spacing w:line="232" w:lineRule="auto"/>
        <w:ind w:left="44"/>
        <w:outlineLvl w:val="1"/>
        <w:rPr>
          <w:rFonts w:ascii="黑体" w:hAnsi="黑体" w:eastAsia="黑体" w:cs="黑体"/>
          <w:sz w:val="24"/>
          <w:szCs w:val="24"/>
        </w:rPr>
      </w:pPr>
      <w:bookmarkStart w:id="135" w:name="bookmark119"/>
      <w:bookmarkEnd w:id="135"/>
      <w:r>
        <w:rPr>
          <w:rFonts w:ascii="Times New Roman" w:hAnsi="Times New Roman" w:eastAsia="Times New Roman" w:cs="Times New Roman"/>
          <w:spacing w:val="-2"/>
          <w:sz w:val="24"/>
          <w:szCs w:val="24"/>
        </w:rPr>
        <w:t xml:space="preserve">12.3  </w:t>
      </w:r>
      <w:r>
        <w:rPr>
          <w:rFonts w:ascii="黑体" w:hAnsi="黑体" w:eastAsia="黑体" w:cs="黑体"/>
          <w:spacing w:val="-2"/>
          <w:sz w:val="24"/>
          <w:szCs w:val="24"/>
        </w:rPr>
        <w:t>监理人暂停施工指示</w:t>
      </w:r>
    </w:p>
    <w:p w14:paraId="24646675">
      <w:pPr>
        <w:spacing w:before="129" w:line="348" w:lineRule="auto"/>
        <w:ind w:left="25" w:right="2"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12.3.1  </w:t>
      </w:r>
      <w:r>
        <w:rPr>
          <w:rFonts w:ascii="宋体" w:hAnsi="宋体" w:eastAsia="宋体" w:cs="宋体"/>
          <w:spacing w:val="-2"/>
          <w:sz w:val="21"/>
          <w:szCs w:val="21"/>
        </w:rPr>
        <w:t>监理人认为有必要时，可向承包人作出暂停施工的指示，承包人应按监理人指示暂停施工。不论由于何种原因引起的暂停施工，暂停施工期间承包人应负责妥善</w:t>
      </w:r>
      <w:r>
        <w:rPr>
          <w:rFonts w:ascii="宋体" w:hAnsi="宋体" w:eastAsia="宋体" w:cs="宋体"/>
          <w:spacing w:val="-3"/>
          <w:sz w:val="21"/>
          <w:szCs w:val="21"/>
        </w:rPr>
        <w:t>保护工程并</w:t>
      </w:r>
      <w:r>
        <w:rPr>
          <w:rFonts w:ascii="宋体" w:hAnsi="宋体" w:eastAsia="宋体" w:cs="宋体"/>
          <w:spacing w:val="-5"/>
          <w:sz w:val="21"/>
          <w:szCs w:val="21"/>
        </w:rPr>
        <w:t>提供安全保障。</w:t>
      </w:r>
    </w:p>
    <w:p w14:paraId="4AC2B00F">
      <w:pPr>
        <w:spacing w:before="14" w:line="344" w:lineRule="auto"/>
        <w:ind w:left="22" w:right="2" w:firstLine="438"/>
        <w:rPr>
          <w:rFonts w:ascii="宋体" w:hAnsi="宋体" w:eastAsia="宋体" w:cs="宋体"/>
          <w:sz w:val="21"/>
          <w:szCs w:val="21"/>
        </w:rPr>
      </w:pPr>
      <w:r>
        <w:rPr>
          <w:rFonts w:ascii="Times New Roman" w:hAnsi="Times New Roman" w:eastAsia="Times New Roman" w:cs="Times New Roman"/>
          <w:spacing w:val="-3"/>
          <w:sz w:val="21"/>
          <w:szCs w:val="21"/>
        </w:rPr>
        <w:t>12.3.2</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由于发包人的原因发生暂停施工的紧急情况，且监理人未及时下达暂停施工指示</w:t>
      </w:r>
      <w:r>
        <w:rPr>
          <w:rFonts w:ascii="宋体" w:hAnsi="宋体" w:eastAsia="宋体" w:cs="宋体"/>
          <w:spacing w:val="-2"/>
          <w:sz w:val="21"/>
          <w:szCs w:val="21"/>
        </w:rPr>
        <w:t>的，承包人可先暂停施工，并及时向监理人提出暂停施工的书面请求。监理人应在接</w:t>
      </w:r>
      <w:r>
        <w:rPr>
          <w:rFonts w:ascii="宋体" w:hAnsi="宋体" w:eastAsia="宋体" w:cs="宋体"/>
          <w:spacing w:val="-3"/>
          <w:sz w:val="21"/>
          <w:szCs w:val="21"/>
        </w:rPr>
        <w:t>到书面</w:t>
      </w:r>
      <w:r>
        <w:rPr>
          <w:rFonts w:ascii="宋体" w:hAnsi="宋体" w:eastAsia="宋体" w:cs="宋体"/>
          <w:spacing w:val="-1"/>
          <w:sz w:val="21"/>
          <w:szCs w:val="21"/>
        </w:rPr>
        <w:t>请求后的</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w w:val="101"/>
          <w:sz w:val="21"/>
          <w:szCs w:val="21"/>
        </w:rPr>
        <w:t xml:space="preserve"> </w:t>
      </w:r>
      <w:r>
        <w:rPr>
          <w:rFonts w:ascii="宋体" w:hAnsi="宋体" w:eastAsia="宋体" w:cs="宋体"/>
          <w:spacing w:val="-1"/>
          <w:sz w:val="21"/>
          <w:szCs w:val="21"/>
        </w:rPr>
        <w:t>小时内予以答复，逾期未答复的，视为同意承包人的暂停施</w:t>
      </w:r>
      <w:r>
        <w:rPr>
          <w:rFonts w:ascii="宋体" w:hAnsi="宋体" w:eastAsia="宋体" w:cs="宋体"/>
          <w:spacing w:val="-2"/>
          <w:sz w:val="21"/>
          <w:szCs w:val="21"/>
        </w:rPr>
        <w:t>工请求。</w:t>
      </w:r>
    </w:p>
    <w:p w14:paraId="3FD547F8">
      <w:pPr>
        <w:spacing w:before="1" w:line="232" w:lineRule="auto"/>
        <w:ind w:left="44"/>
        <w:outlineLvl w:val="1"/>
        <w:rPr>
          <w:rFonts w:ascii="黑体" w:hAnsi="黑体" w:eastAsia="黑体" w:cs="黑体"/>
          <w:sz w:val="24"/>
          <w:szCs w:val="24"/>
        </w:rPr>
      </w:pPr>
      <w:bookmarkStart w:id="136" w:name="bookmark120"/>
      <w:bookmarkEnd w:id="136"/>
      <w:r>
        <w:rPr>
          <w:rFonts w:ascii="Times New Roman" w:hAnsi="Times New Roman" w:eastAsia="Times New Roman" w:cs="Times New Roman"/>
          <w:spacing w:val="-2"/>
          <w:sz w:val="24"/>
          <w:szCs w:val="24"/>
        </w:rPr>
        <w:t xml:space="preserve">12.4  </w:t>
      </w:r>
      <w:r>
        <w:rPr>
          <w:rFonts w:ascii="黑体" w:hAnsi="黑体" w:eastAsia="黑体" w:cs="黑体"/>
          <w:spacing w:val="-2"/>
          <w:sz w:val="24"/>
          <w:szCs w:val="24"/>
        </w:rPr>
        <w:t>暂停施工后的复工</w:t>
      </w:r>
    </w:p>
    <w:p w14:paraId="7B8C8C69">
      <w:pPr>
        <w:spacing w:before="114" w:line="352" w:lineRule="auto"/>
        <w:ind w:left="28" w:right="5" w:firstLine="432"/>
        <w:rPr>
          <w:rFonts w:ascii="宋体" w:hAnsi="宋体" w:eastAsia="宋体" w:cs="宋体"/>
          <w:sz w:val="21"/>
          <w:szCs w:val="21"/>
        </w:rPr>
      </w:pPr>
      <w:r>
        <w:rPr>
          <w:rFonts w:ascii="Times New Roman" w:hAnsi="Times New Roman" w:eastAsia="Times New Roman" w:cs="Times New Roman"/>
          <w:spacing w:val="-2"/>
          <w:sz w:val="21"/>
          <w:szCs w:val="21"/>
        </w:rPr>
        <w:t xml:space="preserve">12.4.1  </w:t>
      </w:r>
      <w:r>
        <w:rPr>
          <w:rFonts w:ascii="宋体" w:hAnsi="宋体" w:eastAsia="宋体" w:cs="宋体"/>
          <w:spacing w:val="-2"/>
          <w:sz w:val="21"/>
          <w:szCs w:val="21"/>
        </w:rPr>
        <w:t>暂停施工后，监理人应与发包人和承包人协商，采取有效措施积极消除暂停施工的影响。当工程具备复工条件时，监理人应立即向承包人发出复工通知</w:t>
      </w:r>
      <w:r>
        <w:rPr>
          <w:rFonts w:ascii="宋体" w:hAnsi="宋体" w:eastAsia="宋体" w:cs="宋体"/>
          <w:spacing w:val="-3"/>
          <w:sz w:val="21"/>
          <w:szCs w:val="21"/>
        </w:rPr>
        <w:t>。承包人收到复工通</w:t>
      </w:r>
      <w:r>
        <w:rPr>
          <w:rFonts w:ascii="宋体" w:hAnsi="宋体" w:eastAsia="宋体" w:cs="宋体"/>
          <w:spacing w:val="-2"/>
          <w:sz w:val="21"/>
          <w:szCs w:val="21"/>
        </w:rPr>
        <w:t>知后，应在监理人指定的期限内复工。</w:t>
      </w:r>
    </w:p>
    <w:p w14:paraId="2B2DE4E0">
      <w:pPr>
        <w:spacing w:before="1" w:line="344" w:lineRule="auto"/>
        <w:ind w:left="24"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12.4.2  </w:t>
      </w:r>
      <w:r>
        <w:rPr>
          <w:rFonts w:ascii="宋体" w:hAnsi="宋体" w:eastAsia="宋体" w:cs="宋体"/>
          <w:spacing w:val="-2"/>
          <w:sz w:val="21"/>
          <w:szCs w:val="21"/>
        </w:rPr>
        <w:t>承包人无故拖延和拒绝复工的，由此增加的费用和工期延误由承包人承担；因发包人原因无法按时复工的，承包人有权要求发包人延长工期和（或）增加费用，并支付合理</w:t>
      </w:r>
      <w:r>
        <w:rPr>
          <w:rFonts w:ascii="宋体" w:hAnsi="宋体" w:eastAsia="宋体" w:cs="宋体"/>
          <w:spacing w:val="-9"/>
          <w:sz w:val="21"/>
          <w:szCs w:val="21"/>
        </w:rPr>
        <w:t>利润。</w:t>
      </w:r>
    </w:p>
    <w:p w14:paraId="621924E5">
      <w:pPr>
        <w:spacing w:before="1" w:line="231" w:lineRule="auto"/>
        <w:ind w:left="44"/>
        <w:outlineLvl w:val="1"/>
        <w:rPr>
          <w:rFonts w:ascii="黑体" w:hAnsi="黑体" w:eastAsia="黑体" w:cs="黑体"/>
          <w:sz w:val="24"/>
          <w:szCs w:val="24"/>
        </w:rPr>
      </w:pPr>
      <w:bookmarkStart w:id="137" w:name="bookmark121"/>
      <w:bookmarkEnd w:id="137"/>
      <w:r>
        <w:rPr>
          <w:rFonts w:ascii="Times New Roman" w:hAnsi="Times New Roman" w:eastAsia="Times New Roman" w:cs="Times New Roman"/>
          <w:spacing w:val="-3"/>
          <w:sz w:val="24"/>
          <w:szCs w:val="24"/>
        </w:rPr>
        <w:t xml:space="preserve">12.5  </w:t>
      </w:r>
      <w:r>
        <w:rPr>
          <w:rFonts w:ascii="黑体" w:hAnsi="黑体" w:eastAsia="黑体" w:cs="黑体"/>
          <w:spacing w:val="-3"/>
          <w:sz w:val="24"/>
          <w:szCs w:val="24"/>
        </w:rPr>
        <w:t>暂停施工持续</w:t>
      </w:r>
      <w:r>
        <w:rPr>
          <w:rFonts w:ascii="黑体" w:hAnsi="黑体" w:eastAsia="黑体" w:cs="黑体"/>
          <w:spacing w:val="-41"/>
          <w:sz w:val="24"/>
          <w:szCs w:val="24"/>
        </w:rPr>
        <w:t xml:space="preserve"> </w:t>
      </w:r>
      <w:r>
        <w:rPr>
          <w:rFonts w:ascii="Times New Roman" w:hAnsi="Times New Roman" w:eastAsia="Times New Roman" w:cs="Times New Roman"/>
          <w:spacing w:val="-3"/>
          <w:sz w:val="24"/>
          <w:szCs w:val="24"/>
        </w:rPr>
        <w:t>56</w:t>
      </w:r>
      <w:r>
        <w:rPr>
          <w:rFonts w:ascii="Times New Roman" w:hAnsi="Times New Roman" w:eastAsia="Times New Roman" w:cs="Times New Roman"/>
          <w:spacing w:val="9"/>
          <w:sz w:val="24"/>
          <w:szCs w:val="24"/>
        </w:rPr>
        <w:t xml:space="preserve"> </w:t>
      </w:r>
      <w:r>
        <w:rPr>
          <w:rFonts w:ascii="黑体" w:hAnsi="黑体" w:eastAsia="黑体" w:cs="黑体"/>
          <w:spacing w:val="-3"/>
          <w:sz w:val="24"/>
          <w:szCs w:val="24"/>
        </w:rPr>
        <w:t>天以上</w:t>
      </w:r>
    </w:p>
    <w:p w14:paraId="7D0B948F">
      <w:pPr>
        <w:spacing w:before="131" w:line="351" w:lineRule="auto"/>
        <w:ind w:left="25" w:right="9"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12.5.1  </w:t>
      </w:r>
      <w:r>
        <w:rPr>
          <w:rFonts w:ascii="宋体" w:hAnsi="宋体" w:eastAsia="宋体" w:cs="宋体"/>
          <w:spacing w:val="-1"/>
          <w:sz w:val="21"/>
          <w:szCs w:val="21"/>
        </w:rPr>
        <w:t>监理人发出暂停施工指示后</w:t>
      </w:r>
      <w:r>
        <w:rPr>
          <w:rFonts w:ascii="宋体" w:hAnsi="宋体" w:eastAsia="宋体" w:cs="宋体"/>
          <w:spacing w:val="-16"/>
          <w:sz w:val="21"/>
          <w:szCs w:val="21"/>
        </w:rPr>
        <w:t xml:space="preserve"> </w:t>
      </w:r>
      <w:r>
        <w:rPr>
          <w:rFonts w:ascii="Times New Roman" w:hAnsi="Times New Roman" w:eastAsia="Times New Roman" w:cs="Times New Roman"/>
          <w:spacing w:val="-1"/>
          <w:sz w:val="21"/>
          <w:szCs w:val="21"/>
        </w:rPr>
        <w:t>56</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天内未向承包人发出复工通知，除了该项停工属于第</w:t>
      </w:r>
      <w:r>
        <w:rPr>
          <w:rFonts w:ascii="宋体" w:hAnsi="宋体" w:eastAsia="宋体" w:cs="宋体"/>
          <w:spacing w:val="-10"/>
          <w:sz w:val="21"/>
          <w:szCs w:val="21"/>
        </w:rPr>
        <w:t xml:space="preserve"> </w:t>
      </w:r>
      <w:r>
        <w:rPr>
          <w:rFonts w:ascii="Times New Roman" w:hAnsi="Times New Roman" w:eastAsia="Times New Roman" w:cs="Times New Roman"/>
          <w:spacing w:val="-1"/>
          <w:sz w:val="21"/>
          <w:szCs w:val="21"/>
        </w:rPr>
        <w:t>12.1</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款的情况外，承包人可向监理人提交书面通知，要求监理人在收到书面通知后</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28</w:t>
      </w:r>
      <w:r>
        <w:rPr>
          <w:rFonts w:ascii="宋体" w:hAnsi="宋体" w:eastAsia="宋体" w:cs="宋体"/>
          <w:spacing w:val="-2"/>
          <w:sz w:val="21"/>
          <w:szCs w:val="21"/>
        </w:rPr>
        <w:t>天内准许已暂停施工的工程或其中一部分工程继续施工。如监理人逾</w:t>
      </w:r>
      <w:r>
        <w:rPr>
          <w:rFonts w:ascii="宋体" w:hAnsi="宋体" w:eastAsia="宋体" w:cs="宋体"/>
          <w:spacing w:val="-3"/>
          <w:sz w:val="21"/>
          <w:szCs w:val="21"/>
        </w:rPr>
        <w:t>期不予批准，则承包人</w:t>
      </w:r>
      <w:r>
        <w:rPr>
          <w:rFonts w:ascii="宋体" w:hAnsi="宋体" w:eastAsia="宋体" w:cs="宋体"/>
          <w:sz w:val="21"/>
          <w:szCs w:val="21"/>
        </w:rPr>
        <w:t>可以通知监理人，将工程受影响的部分视为</w:t>
      </w:r>
      <w:r>
        <w:rPr>
          <w:rFonts w:ascii="宋体" w:hAnsi="宋体" w:eastAsia="宋体" w:cs="宋体"/>
          <w:spacing w:val="-1"/>
          <w:sz w:val="21"/>
          <w:szCs w:val="21"/>
        </w:rPr>
        <w:t xml:space="preserve">按第 </w:t>
      </w:r>
      <w:r>
        <w:rPr>
          <w:rFonts w:ascii="Times New Roman" w:hAnsi="Times New Roman" w:eastAsia="Times New Roman" w:cs="Times New Roman"/>
          <w:spacing w:val="-1"/>
          <w:sz w:val="21"/>
          <w:szCs w:val="21"/>
        </w:rPr>
        <w:t>15.1</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）项的可取消工作。如暂停施工影响到整个工程，可视为发包人违约，应按第</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22.2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款的规定办理。</w:t>
      </w:r>
    </w:p>
    <w:p w14:paraId="43D330D3">
      <w:pPr>
        <w:spacing w:before="1" w:line="350" w:lineRule="auto"/>
        <w:ind w:left="28" w:right="8" w:firstLine="432"/>
        <w:rPr>
          <w:rFonts w:ascii="宋体" w:hAnsi="宋体" w:eastAsia="宋体" w:cs="宋体"/>
          <w:sz w:val="21"/>
          <w:szCs w:val="21"/>
        </w:rPr>
      </w:pPr>
      <w:r>
        <w:rPr>
          <w:rFonts w:ascii="Times New Roman" w:hAnsi="Times New Roman" w:eastAsia="Times New Roman" w:cs="Times New Roman"/>
          <w:spacing w:val="-1"/>
          <w:sz w:val="21"/>
          <w:szCs w:val="21"/>
        </w:rPr>
        <w:t>12.5.2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由于承包人责任引起的暂停施工，如承</w:t>
      </w:r>
      <w:r>
        <w:rPr>
          <w:rFonts w:ascii="宋体" w:hAnsi="宋体" w:eastAsia="宋体" w:cs="宋体"/>
          <w:spacing w:val="-2"/>
          <w:sz w:val="21"/>
          <w:szCs w:val="21"/>
        </w:rPr>
        <w:t>包人在收到监理人暂停施工指示后</w:t>
      </w:r>
      <w:r>
        <w:rPr>
          <w:rFonts w:ascii="宋体" w:hAnsi="宋体" w:eastAsia="宋体" w:cs="宋体"/>
          <w:spacing w:val="-34"/>
          <w:sz w:val="21"/>
          <w:szCs w:val="21"/>
        </w:rPr>
        <w:t xml:space="preserve">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w:t>
      </w:r>
      <w:r>
        <w:rPr>
          <w:rFonts w:ascii="宋体" w:hAnsi="宋体" w:eastAsia="宋体" w:cs="宋体"/>
          <w:sz w:val="21"/>
          <w:szCs w:val="21"/>
        </w:rPr>
        <w:t>内不认真采取有效的复工措施，造成工期延误，可</w:t>
      </w:r>
      <w:r>
        <w:rPr>
          <w:rFonts w:ascii="宋体" w:hAnsi="宋体" w:eastAsia="宋体" w:cs="宋体"/>
          <w:spacing w:val="-1"/>
          <w:sz w:val="21"/>
          <w:szCs w:val="21"/>
        </w:rPr>
        <w:t xml:space="preserve">视为承包人违约，应按第 </w:t>
      </w:r>
      <w:r>
        <w:rPr>
          <w:rFonts w:ascii="Times New Roman" w:hAnsi="Times New Roman" w:eastAsia="Times New Roman" w:cs="Times New Roman"/>
          <w:spacing w:val="-1"/>
          <w:sz w:val="21"/>
          <w:szCs w:val="21"/>
        </w:rPr>
        <w:t>22.1</w:t>
      </w:r>
      <w:r>
        <w:rPr>
          <w:rFonts w:ascii="Times New Roman" w:hAnsi="Times New Roman" w:eastAsia="Times New Roman" w:cs="Times New Roman"/>
          <w:spacing w:val="47"/>
          <w:w w:val="101"/>
          <w:sz w:val="21"/>
          <w:szCs w:val="21"/>
        </w:rPr>
        <w:t xml:space="preserve"> </w:t>
      </w:r>
      <w:r>
        <w:rPr>
          <w:rFonts w:ascii="宋体" w:hAnsi="宋体" w:eastAsia="宋体" w:cs="宋体"/>
          <w:spacing w:val="-1"/>
          <w:sz w:val="21"/>
          <w:szCs w:val="21"/>
        </w:rPr>
        <w:t>款的规定</w:t>
      </w:r>
      <w:r>
        <w:rPr>
          <w:rFonts w:ascii="宋体" w:hAnsi="宋体" w:eastAsia="宋体" w:cs="宋体"/>
          <w:spacing w:val="-10"/>
          <w:sz w:val="21"/>
          <w:szCs w:val="21"/>
        </w:rPr>
        <w:t>办理。</w:t>
      </w:r>
    </w:p>
    <w:p w14:paraId="52B285E8">
      <w:pPr>
        <w:spacing w:before="45" w:line="237" w:lineRule="auto"/>
        <w:ind w:left="49"/>
        <w:outlineLvl w:val="0"/>
        <w:rPr>
          <w:rFonts w:ascii="黑体" w:hAnsi="黑体" w:eastAsia="黑体" w:cs="黑体"/>
          <w:sz w:val="28"/>
          <w:szCs w:val="28"/>
        </w:rPr>
      </w:pPr>
      <w:bookmarkStart w:id="138" w:name="bookmark123"/>
      <w:bookmarkEnd w:id="138"/>
      <w:bookmarkStart w:id="139" w:name="bookmark122"/>
      <w:bookmarkEnd w:id="139"/>
      <w:r>
        <w:rPr>
          <w:rFonts w:ascii="Times New Roman" w:hAnsi="Times New Roman" w:eastAsia="Times New Roman" w:cs="Times New Roman"/>
          <w:spacing w:val="-1"/>
          <w:sz w:val="28"/>
          <w:szCs w:val="28"/>
        </w:rPr>
        <w:t>13.</w:t>
      </w:r>
      <w:r>
        <w:rPr>
          <w:rFonts w:ascii="Times New Roman" w:hAnsi="Times New Roman" w:eastAsia="Times New Roman" w:cs="Times New Roman"/>
          <w:spacing w:val="14"/>
          <w:sz w:val="28"/>
          <w:szCs w:val="28"/>
        </w:rPr>
        <w:t xml:space="preserve">  </w:t>
      </w:r>
      <w:r>
        <w:rPr>
          <w:rFonts w:ascii="黑体" w:hAnsi="黑体" w:eastAsia="黑体" w:cs="黑体"/>
          <w:spacing w:val="-1"/>
          <w:sz w:val="28"/>
          <w:szCs w:val="28"/>
        </w:rPr>
        <w:t>工程质量</w:t>
      </w:r>
    </w:p>
    <w:p w14:paraId="518130D9">
      <w:pPr>
        <w:spacing w:before="85" w:line="233" w:lineRule="auto"/>
        <w:ind w:left="44"/>
        <w:outlineLvl w:val="1"/>
        <w:rPr>
          <w:rFonts w:ascii="黑体" w:hAnsi="黑体" w:eastAsia="黑体" w:cs="黑体"/>
          <w:sz w:val="24"/>
          <w:szCs w:val="24"/>
        </w:rPr>
      </w:pPr>
      <w:bookmarkStart w:id="140" w:name="bookmark642"/>
      <w:bookmarkEnd w:id="140"/>
      <w:r>
        <w:rPr>
          <w:rFonts w:ascii="Times New Roman" w:hAnsi="Times New Roman" w:eastAsia="Times New Roman" w:cs="Times New Roman"/>
          <w:spacing w:val="-2"/>
          <w:sz w:val="24"/>
          <w:szCs w:val="24"/>
        </w:rPr>
        <w:t xml:space="preserve">13.1  </w:t>
      </w:r>
      <w:r>
        <w:rPr>
          <w:rFonts w:ascii="黑体" w:hAnsi="黑体" w:eastAsia="黑体" w:cs="黑体"/>
          <w:spacing w:val="-2"/>
          <w:sz w:val="24"/>
          <w:szCs w:val="24"/>
        </w:rPr>
        <w:t>工程质量要求</w:t>
      </w:r>
    </w:p>
    <w:p w14:paraId="71FE4FE6">
      <w:pPr>
        <w:spacing w:before="114"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13.1.1</w:t>
      </w:r>
      <w:r>
        <w:rPr>
          <w:rFonts w:ascii="Times New Roman" w:hAnsi="Times New Roman" w:eastAsia="Times New Roman" w:cs="Times New Roman"/>
          <w:spacing w:val="55"/>
          <w:sz w:val="21"/>
          <w:szCs w:val="21"/>
        </w:rPr>
        <w:t xml:space="preserve"> </w:t>
      </w:r>
      <w:r>
        <w:rPr>
          <w:rFonts w:ascii="宋体" w:hAnsi="宋体" w:eastAsia="宋体" w:cs="宋体"/>
          <w:spacing w:val="-2"/>
          <w:sz w:val="21"/>
          <w:szCs w:val="21"/>
        </w:rPr>
        <w:t>工程质量验收按合同约定验收标准执行。</w:t>
      </w:r>
    </w:p>
    <w:p w14:paraId="18F23A84">
      <w:pPr>
        <w:spacing w:before="140" w:line="348" w:lineRule="auto"/>
        <w:ind w:left="25" w:right="2" w:firstLine="436"/>
        <w:rPr>
          <w:rFonts w:ascii="宋体" w:hAnsi="宋体" w:eastAsia="宋体" w:cs="宋体"/>
          <w:sz w:val="21"/>
          <w:szCs w:val="21"/>
        </w:rPr>
      </w:pPr>
      <w:r>
        <w:rPr>
          <w:rFonts w:ascii="Times New Roman" w:hAnsi="Times New Roman" w:eastAsia="Times New Roman" w:cs="Times New Roman"/>
          <w:spacing w:val="-3"/>
          <w:sz w:val="21"/>
          <w:szCs w:val="21"/>
        </w:rPr>
        <w:t>13.1.2</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因承包人原因造成工程质量达不到合同约定验收标准的，监理人有权要求承包人</w:t>
      </w:r>
      <w:r>
        <w:rPr>
          <w:rFonts w:ascii="宋体" w:hAnsi="宋体" w:eastAsia="宋体" w:cs="宋体"/>
          <w:spacing w:val="-1"/>
          <w:sz w:val="21"/>
          <w:szCs w:val="21"/>
        </w:rPr>
        <w:t>返工直至符合合同要求为止，由此造成的费用增加和（或）工期延误由承包人承担。</w:t>
      </w:r>
    </w:p>
    <w:p w14:paraId="450C936F">
      <w:pPr>
        <w:spacing w:before="4" w:line="348" w:lineRule="auto"/>
        <w:ind w:left="25" w:right="2" w:firstLine="435"/>
        <w:rPr>
          <w:rFonts w:ascii="宋体" w:hAnsi="宋体" w:eastAsia="宋体" w:cs="宋体"/>
          <w:sz w:val="21"/>
          <w:szCs w:val="21"/>
        </w:rPr>
      </w:pPr>
      <w:r>
        <w:rPr>
          <w:rFonts w:ascii="Times New Roman" w:hAnsi="Times New Roman" w:eastAsia="Times New Roman" w:cs="Times New Roman"/>
          <w:spacing w:val="-3"/>
          <w:sz w:val="21"/>
          <w:szCs w:val="21"/>
        </w:rPr>
        <w:t>13.1.3</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因发包人原因造成工程质量达不到合同约定验收标准的，发包人应承担由于承包</w:t>
      </w:r>
      <w:r>
        <w:rPr>
          <w:rFonts w:ascii="宋体" w:hAnsi="宋体" w:eastAsia="宋体" w:cs="宋体"/>
          <w:spacing w:val="-1"/>
          <w:sz w:val="21"/>
          <w:szCs w:val="21"/>
        </w:rPr>
        <w:t>人返工造成的费用增加和（或）工期延误，并支付承包人合理利润。</w:t>
      </w:r>
    </w:p>
    <w:p w14:paraId="28C8CFAF">
      <w:pPr>
        <w:spacing w:line="348" w:lineRule="auto"/>
        <w:rPr>
          <w:rFonts w:ascii="宋体" w:hAnsi="宋体" w:eastAsia="宋体" w:cs="宋体"/>
          <w:sz w:val="21"/>
          <w:szCs w:val="21"/>
        </w:rPr>
        <w:sectPr>
          <w:footerReference r:id="rId91" w:type="default"/>
          <w:pgSz w:w="11910" w:h="16845"/>
          <w:pgMar w:top="400" w:right="1762" w:bottom="1110" w:left="1786" w:header="0" w:footer="882" w:gutter="0"/>
          <w:cols w:space="720" w:num="1"/>
        </w:sectPr>
      </w:pPr>
    </w:p>
    <w:p w14:paraId="71C6AE57">
      <w:pPr>
        <w:pStyle w:val="2"/>
        <w:spacing w:line="266" w:lineRule="auto"/>
      </w:pPr>
    </w:p>
    <w:p w14:paraId="5048ED8B">
      <w:pPr>
        <w:pStyle w:val="2"/>
        <w:spacing w:line="266" w:lineRule="auto"/>
      </w:pPr>
    </w:p>
    <w:p w14:paraId="61B21292">
      <w:pPr>
        <w:pStyle w:val="2"/>
        <w:spacing w:line="267" w:lineRule="auto"/>
      </w:pPr>
    </w:p>
    <w:p w14:paraId="423AA437">
      <w:pPr>
        <w:pStyle w:val="2"/>
        <w:spacing w:line="267" w:lineRule="auto"/>
      </w:pPr>
    </w:p>
    <w:p w14:paraId="43D01A39">
      <w:pPr>
        <w:spacing w:before="78" w:line="233" w:lineRule="auto"/>
        <w:ind w:left="44"/>
        <w:outlineLvl w:val="1"/>
        <w:rPr>
          <w:rFonts w:ascii="黑体" w:hAnsi="黑体" w:eastAsia="黑体" w:cs="黑体"/>
          <w:sz w:val="24"/>
          <w:szCs w:val="24"/>
        </w:rPr>
      </w:pPr>
      <w:bookmarkStart w:id="141" w:name="bookmark124"/>
      <w:bookmarkEnd w:id="141"/>
      <w:r>
        <w:rPr>
          <w:rFonts w:ascii="Times New Roman" w:hAnsi="Times New Roman" w:eastAsia="Times New Roman" w:cs="Times New Roman"/>
          <w:spacing w:val="-2"/>
          <w:sz w:val="24"/>
          <w:szCs w:val="24"/>
        </w:rPr>
        <w:t xml:space="preserve">13.2  </w:t>
      </w:r>
      <w:r>
        <w:rPr>
          <w:rFonts w:ascii="黑体" w:hAnsi="黑体" w:eastAsia="黑体" w:cs="黑体"/>
          <w:spacing w:val="-2"/>
          <w:sz w:val="24"/>
          <w:szCs w:val="24"/>
        </w:rPr>
        <w:t>承包人的质量管理</w:t>
      </w:r>
    </w:p>
    <w:p w14:paraId="7897583C">
      <w:pPr>
        <w:spacing w:before="126" w:line="350" w:lineRule="auto"/>
        <w:ind w:left="23" w:right="2"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13.2.1  </w:t>
      </w:r>
      <w:r>
        <w:rPr>
          <w:rFonts w:ascii="宋体" w:hAnsi="宋体" w:eastAsia="宋体" w:cs="宋体"/>
          <w:spacing w:val="-2"/>
          <w:sz w:val="21"/>
          <w:szCs w:val="21"/>
        </w:rPr>
        <w:t>承包人应在施工场地设置专门的质量检查机构，配备专职质量检查人员，建立完善的质量检查制度。承包人应在合同约定的期限内，提交工程质量保证措施文件，包</w:t>
      </w:r>
      <w:r>
        <w:rPr>
          <w:rFonts w:ascii="宋体" w:hAnsi="宋体" w:eastAsia="宋体" w:cs="宋体"/>
          <w:spacing w:val="-3"/>
          <w:sz w:val="21"/>
          <w:szCs w:val="21"/>
        </w:rPr>
        <w:t>括质量</w:t>
      </w:r>
      <w:r>
        <w:rPr>
          <w:rFonts w:ascii="宋体" w:hAnsi="宋体" w:eastAsia="宋体" w:cs="宋体"/>
          <w:spacing w:val="-4"/>
          <w:sz w:val="21"/>
          <w:szCs w:val="21"/>
        </w:rPr>
        <w:t>检查机构的组织和岗位责任、质检人员的组</w:t>
      </w:r>
      <w:r>
        <w:rPr>
          <w:rFonts w:ascii="宋体" w:hAnsi="宋体" w:eastAsia="宋体" w:cs="宋体"/>
          <w:spacing w:val="-5"/>
          <w:sz w:val="21"/>
          <w:szCs w:val="21"/>
        </w:rPr>
        <w:t>成、质量检查程序和实施细则等， 报送监理人审</w:t>
      </w:r>
      <w:r>
        <w:rPr>
          <w:rFonts w:ascii="宋体" w:hAnsi="宋体" w:eastAsia="宋体" w:cs="宋体"/>
          <w:spacing w:val="-10"/>
          <w:sz w:val="21"/>
          <w:szCs w:val="21"/>
        </w:rPr>
        <w:t>批。</w:t>
      </w:r>
    </w:p>
    <w:p w14:paraId="7B661231">
      <w:pPr>
        <w:spacing w:before="2" w:line="344" w:lineRule="auto"/>
        <w:ind w:left="32" w:right="34" w:firstLine="428"/>
        <w:rPr>
          <w:rFonts w:ascii="宋体" w:hAnsi="宋体" w:eastAsia="宋体" w:cs="宋体"/>
          <w:sz w:val="21"/>
          <w:szCs w:val="21"/>
        </w:rPr>
      </w:pPr>
      <w:r>
        <w:rPr>
          <w:rFonts w:ascii="Times New Roman" w:hAnsi="Times New Roman" w:eastAsia="Times New Roman" w:cs="Times New Roman"/>
          <w:spacing w:val="2"/>
          <w:sz w:val="21"/>
          <w:szCs w:val="21"/>
        </w:rPr>
        <w:t xml:space="preserve">13.2.2  </w:t>
      </w:r>
      <w:r>
        <w:rPr>
          <w:rFonts w:ascii="宋体" w:hAnsi="宋体" w:eastAsia="宋体" w:cs="宋体"/>
          <w:spacing w:val="2"/>
          <w:sz w:val="21"/>
          <w:szCs w:val="21"/>
        </w:rPr>
        <w:t>承包人应加强对施工人员的质量教育和技术培训，定期考核施工人员的劳动技</w:t>
      </w:r>
      <w:r>
        <w:rPr>
          <w:rFonts w:ascii="宋体" w:hAnsi="宋体" w:eastAsia="宋体" w:cs="宋体"/>
          <w:spacing w:val="-3"/>
          <w:sz w:val="21"/>
          <w:szCs w:val="21"/>
        </w:rPr>
        <w:t>能，严格执行规范和操作规程。</w:t>
      </w:r>
    </w:p>
    <w:p w14:paraId="64E41DCD">
      <w:pPr>
        <w:spacing w:line="233" w:lineRule="auto"/>
        <w:ind w:left="44"/>
        <w:outlineLvl w:val="1"/>
        <w:rPr>
          <w:rFonts w:ascii="黑体" w:hAnsi="黑体" w:eastAsia="黑体" w:cs="黑体"/>
          <w:sz w:val="24"/>
          <w:szCs w:val="24"/>
        </w:rPr>
      </w:pPr>
      <w:bookmarkStart w:id="142" w:name="bookmark125"/>
      <w:bookmarkEnd w:id="142"/>
      <w:r>
        <w:rPr>
          <w:rFonts w:ascii="Times New Roman" w:hAnsi="Times New Roman" w:eastAsia="Times New Roman" w:cs="Times New Roman"/>
          <w:spacing w:val="-2"/>
          <w:sz w:val="24"/>
          <w:szCs w:val="24"/>
        </w:rPr>
        <w:t xml:space="preserve">13.3  </w:t>
      </w:r>
      <w:r>
        <w:rPr>
          <w:rFonts w:ascii="黑体" w:hAnsi="黑体" w:eastAsia="黑体" w:cs="黑体"/>
          <w:spacing w:val="-2"/>
          <w:sz w:val="24"/>
          <w:szCs w:val="24"/>
        </w:rPr>
        <w:t>承包人的质量检查</w:t>
      </w:r>
    </w:p>
    <w:p w14:paraId="088213D0">
      <w:pPr>
        <w:spacing w:before="112" w:line="345" w:lineRule="auto"/>
        <w:ind w:left="25" w:right="16" w:firstLine="419"/>
        <w:rPr>
          <w:rFonts w:ascii="宋体" w:hAnsi="宋体" w:eastAsia="宋体" w:cs="宋体"/>
          <w:sz w:val="21"/>
          <w:szCs w:val="21"/>
        </w:rPr>
      </w:pPr>
      <w:r>
        <w:rPr>
          <w:rFonts w:ascii="宋体" w:hAnsi="宋体" w:eastAsia="宋体" w:cs="宋体"/>
          <w:spacing w:val="-2"/>
          <w:sz w:val="21"/>
          <w:szCs w:val="21"/>
        </w:rPr>
        <w:t>承包人应按合同约定对材料、工程设备以及工程的所有部位及其施工工艺</w:t>
      </w:r>
      <w:r>
        <w:rPr>
          <w:rFonts w:ascii="宋体" w:hAnsi="宋体" w:eastAsia="宋体" w:cs="宋体"/>
          <w:spacing w:val="-3"/>
          <w:sz w:val="21"/>
          <w:szCs w:val="21"/>
        </w:rPr>
        <w:t>进行全过程的</w:t>
      </w:r>
      <w:r>
        <w:rPr>
          <w:rFonts w:ascii="宋体" w:hAnsi="宋体" w:eastAsia="宋体" w:cs="宋体"/>
          <w:spacing w:val="-1"/>
          <w:sz w:val="21"/>
          <w:szCs w:val="21"/>
        </w:rPr>
        <w:t>质量检查和检验，并作详细记录，编制工程质量报表，报送监理人审查。</w:t>
      </w:r>
    </w:p>
    <w:p w14:paraId="640F0D0F">
      <w:pPr>
        <w:spacing w:line="233" w:lineRule="auto"/>
        <w:ind w:left="44"/>
        <w:outlineLvl w:val="1"/>
        <w:rPr>
          <w:rFonts w:ascii="黑体" w:hAnsi="黑体" w:eastAsia="黑体" w:cs="黑体"/>
          <w:sz w:val="24"/>
          <w:szCs w:val="24"/>
        </w:rPr>
      </w:pPr>
      <w:bookmarkStart w:id="143" w:name="bookmark126"/>
      <w:bookmarkEnd w:id="143"/>
      <w:r>
        <w:rPr>
          <w:rFonts w:ascii="Times New Roman" w:hAnsi="Times New Roman" w:eastAsia="Times New Roman" w:cs="Times New Roman"/>
          <w:spacing w:val="-2"/>
          <w:sz w:val="24"/>
          <w:szCs w:val="24"/>
        </w:rPr>
        <w:t xml:space="preserve">13.4  </w:t>
      </w:r>
      <w:r>
        <w:rPr>
          <w:rFonts w:ascii="黑体" w:hAnsi="黑体" w:eastAsia="黑体" w:cs="黑体"/>
          <w:spacing w:val="-2"/>
          <w:sz w:val="24"/>
          <w:szCs w:val="24"/>
        </w:rPr>
        <w:t>监理人的质量检查</w:t>
      </w:r>
    </w:p>
    <w:p w14:paraId="113E19C9">
      <w:pPr>
        <w:spacing w:before="115" w:line="349" w:lineRule="auto"/>
        <w:ind w:left="24" w:firstLine="421"/>
        <w:jc w:val="both"/>
        <w:rPr>
          <w:rFonts w:ascii="宋体" w:hAnsi="宋体" w:eastAsia="宋体" w:cs="宋体"/>
          <w:sz w:val="21"/>
          <w:szCs w:val="21"/>
        </w:rPr>
      </w:pPr>
      <w:r>
        <w:rPr>
          <w:rFonts w:ascii="宋体" w:hAnsi="宋体" w:eastAsia="宋体" w:cs="宋体"/>
          <w:spacing w:val="-2"/>
          <w:sz w:val="21"/>
          <w:szCs w:val="21"/>
        </w:rPr>
        <w:t>监理人有权对工程的所有部位及其施工工艺、材料和工</w:t>
      </w:r>
      <w:r>
        <w:rPr>
          <w:rFonts w:ascii="宋体" w:hAnsi="宋体" w:eastAsia="宋体" w:cs="宋体"/>
          <w:spacing w:val="-3"/>
          <w:sz w:val="21"/>
          <w:szCs w:val="21"/>
        </w:rPr>
        <w:t>程设备进行检查和检验。承包人</w:t>
      </w:r>
      <w:r>
        <w:rPr>
          <w:rFonts w:ascii="宋体" w:hAnsi="宋体" w:eastAsia="宋体" w:cs="宋体"/>
          <w:spacing w:val="-2"/>
          <w:sz w:val="21"/>
          <w:szCs w:val="21"/>
        </w:rPr>
        <w:t>应为监理人的检查和检验提供方便，包括监理人到施工场地，或制造、加工地点，或合同约</w:t>
      </w:r>
      <w:r>
        <w:rPr>
          <w:rFonts w:ascii="宋体" w:hAnsi="宋体" w:eastAsia="宋体" w:cs="宋体"/>
          <w:spacing w:val="-3"/>
          <w:sz w:val="21"/>
          <w:szCs w:val="21"/>
        </w:rPr>
        <w:t>定的其他地方进行察看和查阅施工原始记录。承</w:t>
      </w:r>
      <w:r>
        <w:rPr>
          <w:rFonts w:ascii="宋体" w:hAnsi="宋体" w:eastAsia="宋体" w:cs="宋体"/>
          <w:spacing w:val="-4"/>
          <w:sz w:val="21"/>
          <w:szCs w:val="21"/>
        </w:rPr>
        <w:t>包人还应按监理人指示，</w:t>
      </w:r>
      <w:r>
        <w:rPr>
          <w:rFonts w:ascii="宋体" w:hAnsi="宋体" w:eastAsia="宋体" w:cs="宋体"/>
          <w:spacing w:val="-47"/>
          <w:sz w:val="21"/>
          <w:szCs w:val="21"/>
        </w:rPr>
        <w:t xml:space="preserve"> </w:t>
      </w:r>
      <w:r>
        <w:rPr>
          <w:rFonts w:ascii="宋体" w:hAnsi="宋体" w:eastAsia="宋体" w:cs="宋体"/>
          <w:spacing w:val="-4"/>
          <w:sz w:val="21"/>
          <w:szCs w:val="21"/>
        </w:rPr>
        <w:t>进行施工场地取样</w:t>
      </w:r>
      <w:r>
        <w:rPr>
          <w:rFonts w:ascii="宋体" w:hAnsi="宋体" w:eastAsia="宋体" w:cs="宋体"/>
          <w:spacing w:val="-2"/>
          <w:sz w:val="21"/>
          <w:szCs w:val="21"/>
        </w:rPr>
        <w:t>试验、工程复核测量和设备性能检测，提供试验样品、提交试验报告和测量成果</w:t>
      </w:r>
      <w:r>
        <w:rPr>
          <w:rFonts w:ascii="宋体" w:hAnsi="宋体" w:eastAsia="宋体" w:cs="宋体"/>
          <w:spacing w:val="-3"/>
          <w:sz w:val="21"/>
          <w:szCs w:val="21"/>
        </w:rPr>
        <w:t>以及监理人</w:t>
      </w:r>
      <w:r>
        <w:rPr>
          <w:rFonts w:ascii="宋体" w:hAnsi="宋体" w:eastAsia="宋体" w:cs="宋体"/>
          <w:spacing w:val="-1"/>
          <w:sz w:val="21"/>
          <w:szCs w:val="21"/>
        </w:rPr>
        <w:t>要求进行的其他工作。监理人的检查和检验，不免除承包人按合同约定应负的责任。</w:t>
      </w:r>
    </w:p>
    <w:p w14:paraId="16AA9DA4">
      <w:pPr>
        <w:spacing w:line="232" w:lineRule="auto"/>
        <w:ind w:left="44"/>
        <w:outlineLvl w:val="1"/>
        <w:rPr>
          <w:rFonts w:ascii="黑体" w:hAnsi="黑体" w:eastAsia="黑体" w:cs="黑体"/>
          <w:sz w:val="24"/>
          <w:szCs w:val="24"/>
        </w:rPr>
      </w:pPr>
      <w:bookmarkStart w:id="144" w:name="bookmark127"/>
      <w:bookmarkEnd w:id="144"/>
      <w:r>
        <w:rPr>
          <w:rFonts w:ascii="Times New Roman" w:hAnsi="Times New Roman" w:eastAsia="Times New Roman" w:cs="Times New Roman"/>
          <w:spacing w:val="-2"/>
          <w:sz w:val="24"/>
          <w:szCs w:val="24"/>
        </w:rPr>
        <w:t xml:space="preserve">13.5  </w:t>
      </w:r>
      <w:r>
        <w:rPr>
          <w:rFonts w:ascii="黑体" w:hAnsi="黑体" w:eastAsia="黑体" w:cs="黑体"/>
          <w:spacing w:val="-2"/>
          <w:sz w:val="24"/>
          <w:szCs w:val="24"/>
        </w:rPr>
        <w:t>工程隐蔽部位覆盖前的检查</w:t>
      </w:r>
    </w:p>
    <w:p w14:paraId="7D142903">
      <w:pPr>
        <w:spacing w:before="114" w:line="233" w:lineRule="auto"/>
        <w:ind w:left="461"/>
        <w:rPr>
          <w:rFonts w:ascii="黑体" w:hAnsi="黑体" w:eastAsia="黑体" w:cs="黑体"/>
          <w:sz w:val="21"/>
          <w:szCs w:val="21"/>
        </w:rPr>
      </w:pPr>
      <w:r>
        <w:rPr>
          <w:rFonts w:ascii="Times New Roman" w:hAnsi="Times New Roman" w:eastAsia="Times New Roman" w:cs="Times New Roman"/>
          <w:spacing w:val="-1"/>
          <w:sz w:val="21"/>
          <w:szCs w:val="21"/>
        </w:rPr>
        <w:t>13.5.1</w:t>
      </w:r>
      <w:r>
        <w:rPr>
          <w:rFonts w:ascii="Times New Roman" w:hAnsi="Times New Roman" w:eastAsia="Times New Roman" w:cs="Times New Roman"/>
          <w:spacing w:val="44"/>
          <w:w w:val="101"/>
          <w:sz w:val="21"/>
          <w:szCs w:val="21"/>
        </w:rPr>
        <w:t xml:space="preserve"> </w:t>
      </w:r>
      <w:r>
        <w:rPr>
          <w:rFonts w:ascii="黑体" w:hAnsi="黑体" w:eastAsia="黑体" w:cs="黑体"/>
          <w:spacing w:val="-1"/>
          <w:sz w:val="21"/>
          <w:szCs w:val="21"/>
        </w:rPr>
        <w:t>通知监理人检查</w:t>
      </w:r>
    </w:p>
    <w:p w14:paraId="42A91737">
      <w:pPr>
        <w:spacing w:before="140" w:line="353" w:lineRule="auto"/>
        <w:ind w:left="24" w:right="16" w:firstLine="422"/>
        <w:rPr>
          <w:rFonts w:ascii="宋体" w:hAnsi="宋体" w:eastAsia="宋体" w:cs="宋体"/>
          <w:sz w:val="21"/>
          <w:szCs w:val="21"/>
        </w:rPr>
      </w:pPr>
      <w:r>
        <w:rPr>
          <w:rFonts w:ascii="宋体" w:hAnsi="宋体" w:eastAsia="宋体" w:cs="宋体"/>
          <w:spacing w:val="-2"/>
          <w:sz w:val="21"/>
          <w:szCs w:val="21"/>
        </w:rPr>
        <w:t>经承包人自检确认的工程隐蔽部位具备覆盖条件后，承包人应通知监理</w:t>
      </w:r>
      <w:r>
        <w:rPr>
          <w:rFonts w:ascii="宋体" w:hAnsi="宋体" w:eastAsia="宋体" w:cs="宋体"/>
          <w:spacing w:val="-3"/>
          <w:sz w:val="21"/>
          <w:szCs w:val="21"/>
        </w:rPr>
        <w:t>人在约定的期限</w:t>
      </w:r>
      <w:r>
        <w:rPr>
          <w:rFonts w:ascii="宋体" w:hAnsi="宋体" w:eastAsia="宋体" w:cs="宋体"/>
          <w:spacing w:val="-2"/>
          <w:sz w:val="21"/>
          <w:szCs w:val="21"/>
        </w:rPr>
        <w:t>内检查。承包人的通知应附有自检记录和必要的检查资料。监理人应按时到</w:t>
      </w:r>
      <w:r>
        <w:rPr>
          <w:rFonts w:ascii="宋体" w:hAnsi="宋体" w:eastAsia="宋体" w:cs="宋体"/>
          <w:spacing w:val="-3"/>
          <w:sz w:val="21"/>
          <w:szCs w:val="21"/>
        </w:rPr>
        <w:t>场检查。经监理</w:t>
      </w:r>
      <w:r>
        <w:rPr>
          <w:rFonts w:ascii="宋体" w:hAnsi="宋体" w:eastAsia="宋体" w:cs="宋体"/>
          <w:spacing w:val="-2"/>
          <w:sz w:val="21"/>
          <w:szCs w:val="21"/>
        </w:rPr>
        <w:t>人检查确认质量符合隐蔽要求，并在检查记录上签字后，承包人才能进行覆盖。监理人</w:t>
      </w:r>
      <w:r>
        <w:rPr>
          <w:rFonts w:ascii="宋体" w:hAnsi="宋体" w:eastAsia="宋体" w:cs="宋体"/>
          <w:spacing w:val="-3"/>
          <w:sz w:val="21"/>
          <w:szCs w:val="21"/>
        </w:rPr>
        <w:t>检查</w:t>
      </w:r>
      <w:r>
        <w:rPr>
          <w:rFonts w:ascii="宋体" w:hAnsi="宋体" w:eastAsia="宋体" w:cs="宋体"/>
          <w:spacing w:val="-1"/>
          <w:sz w:val="21"/>
          <w:szCs w:val="21"/>
        </w:rPr>
        <w:t>确认质量不合格的，承包人应在监理人指示的时间内修整返工后，由监理人重新检查。</w:t>
      </w:r>
    </w:p>
    <w:p w14:paraId="037266C7">
      <w:pPr>
        <w:spacing w:before="1" w:line="232" w:lineRule="auto"/>
        <w:ind w:left="461"/>
        <w:rPr>
          <w:rFonts w:ascii="黑体" w:hAnsi="黑体" w:eastAsia="黑体" w:cs="黑体"/>
          <w:sz w:val="21"/>
          <w:szCs w:val="21"/>
        </w:rPr>
      </w:pPr>
      <w:r>
        <w:rPr>
          <w:rFonts w:ascii="Times New Roman" w:hAnsi="Times New Roman" w:eastAsia="Times New Roman" w:cs="Times New Roman"/>
          <w:spacing w:val="-1"/>
          <w:sz w:val="21"/>
          <w:szCs w:val="21"/>
        </w:rPr>
        <w:t>13.5.2</w:t>
      </w:r>
      <w:r>
        <w:rPr>
          <w:rFonts w:ascii="Times New Roman" w:hAnsi="Times New Roman" w:eastAsia="Times New Roman" w:cs="Times New Roman"/>
          <w:spacing w:val="45"/>
          <w:w w:val="101"/>
          <w:sz w:val="21"/>
          <w:szCs w:val="21"/>
        </w:rPr>
        <w:t xml:space="preserve"> </w:t>
      </w:r>
      <w:r>
        <w:rPr>
          <w:rFonts w:ascii="黑体" w:hAnsi="黑体" w:eastAsia="黑体" w:cs="黑体"/>
          <w:spacing w:val="-1"/>
          <w:sz w:val="21"/>
          <w:szCs w:val="21"/>
        </w:rPr>
        <w:t>监理人未到场检查</w:t>
      </w:r>
    </w:p>
    <w:p w14:paraId="17814C6F">
      <w:pPr>
        <w:spacing w:before="126" w:line="352" w:lineRule="auto"/>
        <w:ind w:left="25" w:right="4" w:firstLine="419"/>
        <w:rPr>
          <w:rFonts w:ascii="宋体" w:hAnsi="宋体" w:eastAsia="宋体" w:cs="宋体"/>
          <w:sz w:val="21"/>
          <w:szCs w:val="21"/>
        </w:rPr>
      </w:pPr>
      <w:r>
        <w:rPr>
          <w:rFonts w:ascii="宋体" w:hAnsi="宋体" w:eastAsia="宋体" w:cs="宋体"/>
          <w:spacing w:val="-3"/>
          <w:sz w:val="21"/>
          <w:szCs w:val="21"/>
        </w:rPr>
        <w:t>监理人未按第</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13.5.1</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项约定的时间进行检查的，除监理人另有指示外，承包人可自行完</w:t>
      </w:r>
      <w:r>
        <w:rPr>
          <w:rFonts w:ascii="宋体" w:hAnsi="宋体" w:eastAsia="宋体" w:cs="宋体"/>
          <w:spacing w:val="-2"/>
          <w:sz w:val="21"/>
          <w:szCs w:val="21"/>
        </w:rPr>
        <w:t>成覆盖工作，并作相应记录报送监理人，监理人应签字确认。监理人事后对检</w:t>
      </w:r>
      <w:r>
        <w:rPr>
          <w:rFonts w:ascii="宋体" w:hAnsi="宋体" w:eastAsia="宋体" w:cs="宋体"/>
          <w:spacing w:val="-3"/>
          <w:sz w:val="21"/>
          <w:szCs w:val="21"/>
        </w:rPr>
        <w:t>查记录有疑问的，可按第</w:t>
      </w:r>
      <w:r>
        <w:rPr>
          <w:rFonts w:ascii="宋体" w:hAnsi="宋体" w:eastAsia="宋体" w:cs="宋体"/>
          <w:spacing w:val="-14"/>
          <w:sz w:val="21"/>
          <w:szCs w:val="21"/>
        </w:rPr>
        <w:t xml:space="preserve"> </w:t>
      </w:r>
      <w:r>
        <w:rPr>
          <w:rFonts w:ascii="Times New Roman" w:hAnsi="Times New Roman" w:eastAsia="Times New Roman" w:cs="Times New Roman"/>
          <w:spacing w:val="-3"/>
          <w:sz w:val="21"/>
          <w:szCs w:val="21"/>
        </w:rPr>
        <w:t>13.5.3</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项的约定重新检查。</w:t>
      </w:r>
    </w:p>
    <w:p w14:paraId="71E9FE09">
      <w:pPr>
        <w:spacing w:before="1" w:line="231" w:lineRule="auto"/>
        <w:ind w:left="461"/>
        <w:rPr>
          <w:rFonts w:ascii="黑体" w:hAnsi="黑体" w:eastAsia="黑体" w:cs="黑体"/>
          <w:sz w:val="21"/>
          <w:szCs w:val="21"/>
        </w:rPr>
      </w:pPr>
      <w:r>
        <w:rPr>
          <w:rFonts w:ascii="Times New Roman" w:hAnsi="Times New Roman" w:eastAsia="Times New Roman" w:cs="Times New Roman"/>
          <w:spacing w:val="-2"/>
          <w:sz w:val="21"/>
          <w:szCs w:val="21"/>
        </w:rPr>
        <w:t>13.5.3</w:t>
      </w:r>
      <w:r>
        <w:rPr>
          <w:rFonts w:ascii="Times New Roman" w:hAnsi="Times New Roman" w:eastAsia="Times New Roman" w:cs="Times New Roman"/>
          <w:spacing w:val="57"/>
          <w:sz w:val="21"/>
          <w:szCs w:val="21"/>
        </w:rPr>
        <w:t xml:space="preserve"> </w:t>
      </w:r>
      <w:r>
        <w:rPr>
          <w:rFonts w:ascii="黑体" w:hAnsi="黑体" w:eastAsia="黑体" w:cs="黑体"/>
          <w:spacing w:val="-2"/>
          <w:sz w:val="21"/>
          <w:szCs w:val="21"/>
        </w:rPr>
        <w:t>监理人重新检查</w:t>
      </w:r>
    </w:p>
    <w:p w14:paraId="74D880A7">
      <w:pPr>
        <w:spacing w:before="142" w:line="351" w:lineRule="auto"/>
        <w:ind w:left="24" w:right="8" w:firstLine="420"/>
        <w:rPr>
          <w:rFonts w:ascii="宋体" w:hAnsi="宋体" w:eastAsia="宋体" w:cs="宋体"/>
          <w:sz w:val="21"/>
          <w:szCs w:val="21"/>
        </w:rPr>
      </w:pPr>
      <w:r>
        <w:rPr>
          <w:rFonts w:ascii="宋体" w:hAnsi="宋体" w:eastAsia="宋体" w:cs="宋体"/>
          <w:spacing w:val="-4"/>
          <w:sz w:val="21"/>
          <w:szCs w:val="21"/>
        </w:rPr>
        <w:t>承包人按第</w:t>
      </w:r>
      <w:r>
        <w:rPr>
          <w:rFonts w:ascii="宋体" w:hAnsi="宋体" w:eastAsia="宋体" w:cs="宋体"/>
          <w:spacing w:val="-21"/>
          <w:sz w:val="21"/>
          <w:szCs w:val="21"/>
        </w:rPr>
        <w:t xml:space="preserve"> </w:t>
      </w:r>
      <w:r>
        <w:rPr>
          <w:rFonts w:ascii="Times New Roman" w:hAnsi="Times New Roman" w:eastAsia="Times New Roman" w:cs="Times New Roman"/>
          <w:spacing w:val="-4"/>
          <w:sz w:val="21"/>
          <w:szCs w:val="21"/>
        </w:rPr>
        <w:t>13.5.1</w:t>
      </w:r>
      <w:r>
        <w:rPr>
          <w:rFonts w:ascii="Times New Roman" w:hAnsi="Times New Roman" w:eastAsia="Times New Roman" w:cs="Times New Roman"/>
          <w:spacing w:val="19"/>
          <w:w w:val="101"/>
          <w:sz w:val="21"/>
          <w:szCs w:val="21"/>
        </w:rPr>
        <w:t xml:space="preserve"> </w:t>
      </w:r>
      <w:r>
        <w:rPr>
          <w:rFonts w:ascii="宋体" w:hAnsi="宋体" w:eastAsia="宋体" w:cs="宋体"/>
          <w:spacing w:val="-4"/>
          <w:sz w:val="21"/>
          <w:szCs w:val="21"/>
        </w:rPr>
        <w:t>项或第</w:t>
      </w:r>
      <w:r>
        <w:rPr>
          <w:rFonts w:ascii="宋体" w:hAnsi="宋体" w:eastAsia="宋体" w:cs="宋体"/>
          <w:spacing w:val="-21"/>
          <w:sz w:val="21"/>
          <w:szCs w:val="21"/>
        </w:rPr>
        <w:t xml:space="preserve"> </w:t>
      </w:r>
      <w:r>
        <w:rPr>
          <w:rFonts w:ascii="Times New Roman" w:hAnsi="Times New Roman" w:eastAsia="Times New Roman" w:cs="Times New Roman"/>
          <w:spacing w:val="-4"/>
          <w:sz w:val="21"/>
          <w:szCs w:val="21"/>
        </w:rPr>
        <w:t>13.5.2</w:t>
      </w:r>
      <w:r>
        <w:rPr>
          <w:rFonts w:ascii="Times New Roman" w:hAnsi="Times New Roman" w:eastAsia="Times New Roman" w:cs="Times New Roman"/>
          <w:spacing w:val="20"/>
          <w:w w:val="101"/>
          <w:sz w:val="21"/>
          <w:szCs w:val="21"/>
        </w:rPr>
        <w:t xml:space="preserve"> </w:t>
      </w:r>
      <w:r>
        <w:rPr>
          <w:rFonts w:ascii="宋体" w:hAnsi="宋体" w:eastAsia="宋体" w:cs="宋体"/>
          <w:spacing w:val="-4"/>
          <w:sz w:val="21"/>
          <w:szCs w:val="21"/>
        </w:rPr>
        <w:t>项覆盖工程隐蔽部位后，监理人对质量有疑问的，可要</w:t>
      </w:r>
      <w:r>
        <w:rPr>
          <w:rFonts w:ascii="宋体" w:hAnsi="宋体" w:eastAsia="宋体" w:cs="宋体"/>
          <w:spacing w:val="-2"/>
          <w:sz w:val="21"/>
          <w:szCs w:val="21"/>
        </w:rPr>
        <w:t>求承包人对已覆盖的部位进行钻孔探测或揭开重新检验，承包人应遵照执行，并在检验后重</w:t>
      </w:r>
      <w:r>
        <w:rPr>
          <w:rFonts w:ascii="宋体" w:hAnsi="宋体" w:eastAsia="宋体" w:cs="宋体"/>
          <w:spacing w:val="2"/>
          <w:sz w:val="21"/>
          <w:szCs w:val="21"/>
        </w:rPr>
        <w:t>新覆盖恢复原状。经检验证明工程质量符合合同要</w:t>
      </w:r>
      <w:r>
        <w:rPr>
          <w:rFonts w:ascii="宋体" w:hAnsi="宋体" w:eastAsia="宋体" w:cs="宋体"/>
          <w:spacing w:val="1"/>
          <w:sz w:val="21"/>
          <w:szCs w:val="21"/>
        </w:rPr>
        <w:t>求的，</w:t>
      </w:r>
      <w:r>
        <w:rPr>
          <w:rFonts w:ascii="宋体" w:hAnsi="宋体" w:eastAsia="宋体" w:cs="宋体"/>
          <w:spacing w:val="-55"/>
          <w:sz w:val="21"/>
          <w:szCs w:val="21"/>
        </w:rPr>
        <w:t xml:space="preserve"> </w:t>
      </w:r>
      <w:r>
        <w:rPr>
          <w:rFonts w:ascii="宋体" w:hAnsi="宋体" w:eastAsia="宋体" w:cs="宋体"/>
          <w:spacing w:val="1"/>
          <w:sz w:val="21"/>
          <w:szCs w:val="21"/>
        </w:rPr>
        <w:t>由发包人承担由此增加的费用和</w:t>
      </w:r>
      <w:r>
        <w:rPr>
          <w:rFonts w:ascii="宋体" w:hAnsi="宋体" w:eastAsia="宋体" w:cs="宋体"/>
          <w:spacing w:val="-2"/>
          <w:sz w:val="21"/>
          <w:szCs w:val="21"/>
        </w:rPr>
        <w:t>（或）工期延误，并支付承包人合理利润；经检验证明工程质量不符合合同要求的，由此增加的费用和（或）工期延误由承包人承担。</w:t>
      </w:r>
    </w:p>
    <w:p w14:paraId="3AA6F4A6">
      <w:pPr>
        <w:spacing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13.5.4</w:t>
      </w:r>
      <w:r>
        <w:rPr>
          <w:rFonts w:ascii="Times New Roman" w:hAnsi="Times New Roman" w:eastAsia="Times New Roman" w:cs="Times New Roman"/>
          <w:spacing w:val="57"/>
          <w:sz w:val="21"/>
          <w:szCs w:val="21"/>
        </w:rPr>
        <w:t xml:space="preserve"> </w:t>
      </w:r>
      <w:r>
        <w:rPr>
          <w:rFonts w:ascii="黑体" w:hAnsi="黑体" w:eastAsia="黑体" w:cs="黑体"/>
          <w:spacing w:val="-2"/>
          <w:sz w:val="21"/>
          <w:szCs w:val="21"/>
        </w:rPr>
        <w:t>承包人私自覆盖</w:t>
      </w:r>
    </w:p>
    <w:p w14:paraId="5CB7A1D8">
      <w:pPr>
        <w:spacing w:before="140" w:line="220" w:lineRule="auto"/>
        <w:ind w:right="16"/>
        <w:jc w:val="right"/>
        <w:rPr>
          <w:rFonts w:ascii="宋体" w:hAnsi="宋体" w:eastAsia="宋体" w:cs="宋体"/>
          <w:sz w:val="21"/>
          <w:szCs w:val="21"/>
        </w:rPr>
      </w:pPr>
      <w:r>
        <w:rPr>
          <w:rFonts w:ascii="宋体" w:hAnsi="宋体" w:eastAsia="宋体" w:cs="宋体"/>
          <w:spacing w:val="-2"/>
          <w:sz w:val="21"/>
          <w:szCs w:val="21"/>
        </w:rPr>
        <w:t>承包人未通知监理人到场检查，私自将工程隐蔽部位覆盖的，监理人有权</w:t>
      </w:r>
      <w:r>
        <w:rPr>
          <w:rFonts w:ascii="宋体" w:hAnsi="宋体" w:eastAsia="宋体" w:cs="宋体"/>
          <w:spacing w:val="-3"/>
          <w:sz w:val="21"/>
          <w:szCs w:val="21"/>
        </w:rPr>
        <w:t>指示承包人钻</w:t>
      </w:r>
    </w:p>
    <w:p w14:paraId="1A7925AC">
      <w:pPr>
        <w:spacing w:line="220" w:lineRule="auto"/>
        <w:rPr>
          <w:rFonts w:ascii="宋体" w:hAnsi="宋体" w:eastAsia="宋体" w:cs="宋体"/>
          <w:sz w:val="21"/>
          <w:szCs w:val="21"/>
        </w:rPr>
        <w:sectPr>
          <w:footerReference r:id="rId92" w:type="default"/>
          <w:pgSz w:w="11910" w:h="16845"/>
          <w:pgMar w:top="400" w:right="1762" w:bottom="1110" w:left="1786" w:header="0" w:footer="882" w:gutter="0"/>
          <w:cols w:space="720" w:num="1"/>
        </w:sectPr>
      </w:pPr>
    </w:p>
    <w:p w14:paraId="39071159">
      <w:pPr>
        <w:pStyle w:val="2"/>
        <w:spacing w:line="275" w:lineRule="auto"/>
      </w:pPr>
    </w:p>
    <w:p w14:paraId="0745CD04">
      <w:pPr>
        <w:pStyle w:val="2"/>
        <w:spacing w:line="275" w:lineRule="auto"/>
      </w:pPr>
    </w:p>
    <w:p w14:paraId="102F1935">
      <w:pPr>
        <w:pStyle w:val="2"/>
        <w:spacing w:line="275" w:lineRule="auto"/>
      </w:pPr>
    </w:p>
    <w:p w14:paraId="6AE6CAEA">
      <w:pPr>
        <w:pStyle w:val="2"/>
        <w:spacing w:line="275" w:lineRule="auto"/>
      </w:pPr>
    </w:p>
    <w:p w14:paraId="12B0919E">
      <w:pPr>
        <w:spacing w:before="68" w:line="220" w:lineRule="auto"/>
        <w:ind w:left="25"/>
        <w:rPr>
          <w:rFonts w:ascii="宋体" w:hAnsi="宋体" w:eastAsia="宋体" w:cs="宋体"/>
          <w:sz w:val="21"/>
          <w:szCs w:val="21"/>
        </w:rPr>
      </w:pPr>
      <w:r>
        <w:rPr>
          <w:rFonts w:ascii="宋体" w:hAnsi="宋体" w:eastAsia="宋体" w:cs="宋体"/>
          <w:spacing w:val="-1"/>
          <w:sz w:val="21"/>
          <w:szCs w:val="21"/>
        </w:rPr>
        <w:t>孔探测或揭开检查，由此增加的费用和（或）工期延误由承包人承担。</w:t>
      </w:r>
    </w:p>
    <w:p w14:paraId="5EB411E1">
      <w:pPr>
        <w:spacing w:before="129" w:line="233" w:lineRule="auto"/>
        <w:ind w:left="44"/>
        <w:outlineLvl w:val="1"/>
        <w:rPr>
          <w:rFonts w:ascii="黑体" w:hAnsi="黑体" w:eastAsia="黑体" w:cs="黑体"/>
          <w:sz w:val="24"/>
          <w:szCs w:val="24"/>
        </w:rPr>
      </w:pPr>
      <w:bookmarkStart w:id="145" w:name="bookmark128"/>
      <w:bookmarkEnd w:id="145"/>
      <w:r>
        <w:rPr>
          <w:rFonts w:ascii="Times New Roman" w:hAnsi="Times New Roman" w:eastAsia="Times New Roman" w:cs="Times New Roman"/>
          <w:spacing w:val="-2"/>
          <w:sz w:val="24"/>
          <w:szCs w:val="24"/>
        </w:rPr>
        <w:t xml:space="preserve">13.6  </w:t>
      </w:r>
      <w:r>
        <w:rPr>
          <w:rFonts w:ascii="黑体" w:hAnsi="黑体" w:eastAsia="黑体" w:cs="黑体"/>
          <w:spacing w:val="-2"/>
          <w:sz w:val="24"/>
          <w:szCs w:val="24"/>
        </w:rPr>
        <w:t>清除不合格工程</w:t>
      </w:r>
    </w:p>
    <w:p w14:paraId="1470E128">
      <w:pPr>
        <w:spacing w:before="113" w:line="352" w:lineRule="auto"/>
        <w:ind w:left="25" w:right="42"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13.6.1  </w:t>
      </w:r>
      <w:r>
        <w:rPr>
          <w:rFonts w:ascii="宋体" w:hAnsi="宋体" w:eastAsia="宋体" w:cs="宋体"/>
          <w:spacing w:val="-2"/>
          <w:sz w:val="21"/>
          <w:szCs w:val="21"/>
        </w:rPr>
        <w:t>承包人使用不合格材料、工程设备，或采用不适当的施工工艺，或施工不当，造成工程不合格的，监理人可以随时发出指示，要求承包人立即采取措施进行补救，直至</w:t>
      </w:r>
      <w:r>
        <w:rPr>
          <w:rFonts w:ascii="宋体" w:hAnsi="宋体" w:eastAsia="宋体" w:cs="宋体"/>
          <w:spacing w:val="-3"/>
          <w:sz w:val="21"/>
          <w:szCs w:val="21"/>
        </w:rPr>
        <w:t>达到</w:t>
      </w:r>
      <w:r>
        <w:rPr>
          <w:rFonts w:ascii="宋体" w:hAnsi="宋体" w:eastAsia="宋体" w:cs="宋体"/>
          <w:spacing w:val="-1"/>
          <w:sz w:val="21"/>
          <w:szCs w:val="21"/>
        </w:rPr>
        <w:t>合同要求的质量标准，由此增加的费用和（或）工期延误由承包人承担。</w:t>
      </w:r>
    </w:p>
    <w:p w14:paraId="0A2C916C">
      <w:pPr>
        <w:spacing w:line="348" w:lineRule="auto"/>
        <w:ind w:left="23" w:right="43" w:firstLine="437"/>
        <w:rPr>
          <w:rFonts w:ascii="宋体" w:hAnsi="宋体" w:eastAsia="宋体" w:cs="宋体"/>
          <w:sz w:val="21"/>
          <w:szCs w:val="21"/>
        </w:rPr>
      </w:pPr>
      <w:r>
        <w:rPr>
          <w:rFonts w:ascii="Times New Roman" w:hAnsi="Times New Roman" w:eastAsia="Times New Roman" w:cs="Times New Roman"/>
          <w:spacing w:val="-3"/>
          <w:sz w:val="21"/>
          <w:szCs w:val="21"/>
        </w:rPr>
        <w:t>13.6.2</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由于发包人提供的材料或工程设备不合格造成的工程不合格，需要承包人采取措</w:t>
      </w:r>
      <w:r>
        <w:rPr>
          <w:rFonts w:ascii="宋体" w:hAnsi="宋体" w:eastAsia="宋体" w:cs="宋体"/>
          <w:spacing w:val="-1"/>
          <w:sz w:val="21"/>
          <w:szCs w:val="21"/>
        </w:rPr>
        <w:t>施补救的，发包人应承担由此增加的费用和（或）工期延误，并支付承包人合理利润。</w:t>
      </w:r>
    </w:p>
    <w:p w14:paraId="6BE604B2">
      <w:pPr>
        <w:spacing w:before="58" w:line="236" w:lineRule="auto"/>
        <w:ind w:left="49"/>
        <w:outlineLvl w:val="0"/>
        <w:rPr>
          <w:rFonts w:ascii="黑体" w:hAnsi="黑体" w:eastAsia="黑体" w:cs="黑体"/>
          <w:sz w:val="28"/>
          <w:szCs w:val="28"/>
        </w:rPr>
      </w:pPr>
      <w:bookmarkStart w:id="146" w:name="bookmark129"/>
      <w:bookmarkEnd w:id="146"/>
      <w:bookmarkStart w:id="147" w:name="bookmark130"/>
      <w:bookmarkEnd w:id="147"/>
      <w:r>
        <w:rPr>
          <w:rFonts w:ascii="Times New Roman" w:hAnsi="Times New Roman" w:eastAsia="Times New Roman" w:cs="Times New Roman"/>
          <w:spacing w:val="-1"/>
          <w:sz w:val="28"/>
          <w:szCs w:val="28"/>
        </w:rPr>
        <w:t>14.</w:t>
      </w:r>
      <w:r>
        <w:rPr>
          <w:rFonts w:ascii="Times New Roman" w:hAnsi="Times New Roman" w:eastAsia="Times New Roman" w:cs="Times New Roman"/>
          <w:spacing w:val="15"/>
          <w:sz w:val="28"/>
          <w:szCs w:val="28"/>
        </w:rPr>
        <w:t xml:space="preserve">  </w:t>
      </w:r>
      <w:r>
        <w:rPr>
          <w:rFonts w:ascii="黑体" w:hAnsi="黑体" w:eastAsia="黑体" w:cs="黑体"/>
          <w:spacing w:val="-1"/>
          <w:sz w:val="28"/>
          <w:szCs w:val="28"/>
        </w:rPr>
        <w:t>试验和检验</w:t>
      </w:r>
    </w:p>
    <w:p w14:paraId="56801F1B">
      <w:pPr>
        <w:spacing w:before="72" w:line="232" w:lineRule="auto"/>
        <w:ind w:left="44"/>
        <w:outlineLvl w:val="1"/>
        <w:rPr>
          <w:rFonts w:ascii="黑体" w:hAnsi="黑体" w:eastAsia="黑体" w:cs="黑体"/>
          <w:sz w:val="24"/>
          <w:szCs w:val="24"/>
        </w:rPr>
      </w:pPr>
      <w:bookmarkStart w:id="148" w:name="bookmark643"/>
      <w:bookmarkEnd w:id="148"/>
      <w:r>
        <w:rPr>
          <w:rFonts w:ascii="Times New Roman" w:hAnsi="Times New Roman" w:eastAsia="Times New Roman" w:cs="Times New Roman"/>
          <w:spacing w:val="-1"/>
          <w:sz w:val="24"/>
          <w:szCs w:val="24"/>
        </w:rPr>
        <w:t xml:space="preserve">14.1  </w:t>
      </w:r>
      <w:r>
        <w:rPr>
          <w:rFonts w:ascii="黑体" w:hAnsi="黑体" w:eastAsia="黑体" w:cs="黑体"/>
          <w:spacing w:val="-1"/>
          <w:sz w:val="24"/>
          <w:szCs w:val="24"/>
        </w:rPr>
        <w:t>材料、工程设备和工程的试验和检验</w:t>
      </w:r>
    </w:p>
    <w:p w14:paraId="0A67C850">
      <w:pPr>
        <w:spacing w:before="130" w:line="348" w:lineRule="auto"/>
        <w:ind w:left="24" w:right="48"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14.1.1  </w:t>
      </w:r>
      <w:r>
        <w:rPr>
          <w:rFonts w:ascii="宋体" w:hAnsi="宋体" w:eastAsia="宋体" w:cs="宋体"/>
          <w:spacing w:val="-2"/>
          <w:sz w:val="21"/>
          <w:szCs w:val="21"/>
        </w:rPr>
        <w:t>承包人应按合同约定进行材料、工程设备和工程的试验和检验，并为监理</w:t>
      </w:r>
      <w:r>
        <w:rPr>
          <w:rFonts w:ascii="宋体" w:hAnsi="宋体" w:eastAsia="宋体" w:cs="宋体"/>
          <w:spacing w:val="-3"/>
          <w:sz w:val="21"/>
          <w:szCs w:val="21"/>
        </w:rPr>
        <w:t>人对上</w:t>
      </w:r>
      <w:r>
        <w:rPr>
          <w:rFonts w:ascii="宋体" w:hAnsi="宋体" w:eastAsia="宋体" w:cs="宋体"/>
          <w:spacing w:val="-2"/>
          <w:sz w:val="21"/>
          <w:szCs w:val="21"/>
        </w:rPr>
        <w:t>述材料、工程设备和工程的质量检查提供必要的试验资料和原始记录。按合同约定</w:t>
      </w:r>
      <w:r>
        <w:rPr>
          <w:rFonts w:ascii="宋体" w:hAnsi="宋体" w:eastAsia="宋体" w:cs="宋体"/>
          <w:spacing w:val="-3"/>
          <w:sz w:val="21"/>
          <w:szCs w:val="21"/>
        </w:rPr>
        <w:t>应由监理</w:t>
      </w:r>
      <w:r>
        <w:rPr>
          <w:rFonts w:ascii="宋体" w:hAnsi="宋体" w:eastAsia="宋体" w:cs="宋体"/>
          <w:spacing w:val="-1"/>
          <w:sz w:val="21"/>
          <w:szCs w:val="21"/>
        </w:rPr>
        <w:t>人与承包人共同进行试验和检验的，由承包人负责提供必要的试验资料和原始记录。</w:t>
      </w:r>
    </w:p>
    <w:p w14:paraId="3A5DFDC3">
      <w:pPr>
        <w:spacing w:before="13" w:line="336" w:lineRule="auto"/>
        <w:ind w:left="27" w:right="44" w:firstLine="433"/>
        <w:rPr>
          <w:rFonts w:ascii="宋体" w:hAnsi="宋体" w:eastAsia="宋体" w:cs="宋体"/>
          <w:sz w:val="21"/>
          <w:szCs w:val="21"/>
        </w:rPr>
      </w:pPr>
      <w:r>
        <w:rPr>
          <w:rFonts w:ascii="Times New Roman" w:hAnsi="Times New Roman" w:eastAsia="Times New Roman" w:cs="Times New Roman"/>
          <w:spacing w:val="-2"/>
          <w:sz w:val="21"/>
          <w:szCs w:val="21"/>
        </w:rPr>
        <w:t xml:space="preserve">14.1.2  </w:t>
      </w:r>
      <w:r>
        <w:rPr>
          <w:rFonts w:ascii="宋体" w:hAnsi="宋体" w:eastAsia="宋体" w:cs="宋体"/>
          <w:spacing w:val="-2"/>
          <w:sz w:val="21"/>
          <w:szCs w:val="21"/>
        </w:rPr>
        <w:t>监理人未按合同约定派员参加试验和检验的，除监理人另有指示外，承包人可自</w:t>
      </w:r>
      <w:r>
        <w:rPr>
          <w:rFonts w:ascii="宋体" w:hAnsi="宋体" w:eastAsia="宋体" w:cs="宋体"/>
          <w:spacing w:val="-1"/>
          <w:sz w:val="21"/>
          <w:szCs w:val="21"/>
        </w:rPr>
        <w:t>行试验和检验，并应立即将试验和检验结果报送监理人，监理人应签字确认。</w:t>
      </w:r>
    </w:p>
    <w:p w14:paraId="4B510C73">
      <w:pPr>
        <w:spacing w:before="29" w:line="347" w:lineRule="auto"/>
        <w:ind w:left="25" w:right="43"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14.1.3  </w:t>
      </w:r>
      <w:r>
        <w:rPr>
          <w:rFonts w:ascii="宋体" w:hAnsi="宋体" w:eastAsia="宋体" w:cs="宋体"/>
          <w:spacing w:val="-2"/>
          <w:sz w:val="21"/>
          <w:szCs w:val="21"/>
        </w:rPr>
        <w:t>监理人对承包人的试验和检验结果有疑问的，或为查清承包人试验和检验成果的可靠性要求承包人重新试验和检验的，可按合同约定由监理人与承包人共同进行。重新</w:t>
      </w:r>
      <w:r>
        <w:rPr>
          <w:rFonts w:ascii="宋体" w:hAnsi="宋体" w:eastAsia="宋体" w:cs="宋体"/>
          <w:spacing w:val="-3"/>
          <w:sz w:val="21"/>
          <w:szCs w:val="21"/>
        </w:rPr>
        <w:t>试验</w:t>
      </w:r>
      <w:r>
        <w:rPr>
          <w:rFonts w:ascii="宋体" w:hAnsi="宋体" w:eastAsia="宋体" w:cs="宋体"/>
          <w:spacing w:val="-5"/>
          <w:sz w:val="21"/>
          <w:szCs w:val="21"/>
        </w:rPr>
        <w:t>和检验的结果证明该项材料、工程设备或工程的质量不符合合同要求的， 由此增加的费用和</w:t>
      </w:r>
      <w:r>
        <w:rPr>
          <w:rFonts w:ascii="宋体" w:hAnsi="宋体" w:eastAsia="宋体" w:cs="宋体"/>
          <w:spacing w:val="-2"/>
          <w:sz w:val="21"/>
          <w:szCs w:val="21"/>
        </w:rPr>
        <w:t>（或）工期延误由承包人承担；重新试验和检验结果证明该项材料、工程设备</w:t>
      </w:r>
      <w:r>
        <w:rPr>
          <w:rFonts w:ascii="宋体" w:hAnsi="宋体" w:eastAsia="宋体" w:cs="宋体"/>
          <w:spacing w:val="-3"/>
          <w:sz w:val="21"/>
          <w:szCs w:val="21"/>
        </w:rPr>
        <w:t>和工程符合合</w:t>
      </w:r>
      <w:r>
        <w:rPr>
          <w:rFonts w:ascii="宋体" w:hAnsi="宋体" w:eastAsia="宋体" w:cs="宋体"/>
          <w:spacing w:val="-1"/>
          <w:sz w:val="21"/>
          <w:szCs w:val="21"/>
        </w:rPr>
        <w:t>同要求，由发包人承担由此增加的费用和（或）工期延误，并支付承包人合理利润。</w:t>
      </w:r>
    </w:p>
    <w:p w14:paraId="10626A32">
      <w:pPr>
        <w:spacing w:before="1" w:line="231" w:lineRule="auto"/>
        <w:ind w:left="44"/>
        <w:outlineLvl w:val="1"/>
        <w:rPr>
          <w:rFonts w:ascii="黑体" w:hAnsi="黑体" w:eastAsia="黑体" w:cs="黑体"/>
          <w:sz w:val="24"/>
          <w:szCs w:val="24"/>
        </w:rPr>
      </w:pPr>
      <w:bookmarkStart w:id="149" w:name="bookmark131"/>
      <w:bookmarkEnd w:id="149"/>
      <w:r>
        <w:rPr>
          <w:rFonts w:ascii="Times New Roman" w:hAnsi="Times New Roman" w:eastAsia="Times New Roman" w:cs="Times New Roman"/>
          <w:spacing w:val="-2"/>
          <w:sz w:val="24"/>
          <w:szCs w:val="24"/>
        </w:rPr>
        <w:t xml:space="preserve">14.2  </w:t>
      </w:r>
      <w:r>
        <w:rPr>
          <w:rFonts w:ascii="黑体" w:hAnsi="黑体" w:eastAsia="黑体" w:cs="黑体"/>
          <w:spacing w:val="-2"/>
          <w:sz w:val="24"/>
          <w:szCs w:val="24"/>
        </w:rPr>
        <w:t>现场材料试验</w:t>
      </w:r>
    </w:p>
    <w:p w14:paraId="534C7840">
      <w:pPr>
        <w:spacing w:before="129" w:line="348" w:lineRule="auto"/>
        <w:ind w:left="24" w:right="43"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14.2.1  </w:t>
      </w:r>
      <w:r>
        <w:rPr>
          <w:rFonts w:ascii="宋体" w:hAnsi="宋体" w:eastAsia="宋体" w:cs="宋体"/>
          <w:spacing w:val="-2"/>
          <w:sz w:val="21"/>
          <w:szCs w:val="21"/>
        </w:rPr>
        <w:t>承包人根据合同约定或监理人指示进行的现场材料试验，应由承包人提供试验场</w:t>
      </w:r>
      <w:r>
        <w:rPr>
          <w:rFonts w:ascii="宋体" w:hAnsi="宋体" w:eastAsia="宋体" w:cs="宋体"/>
          <w:spacing w:val="-1"/>
          <w:sz w:val="21"/>
          <w:szCs w:val="21"/>
        </w:rPr>
        <w:t>所、试验人员、试验设备器材以及其他必要的试验条</w:t>
      </w:r>
      <w:r>
        <w:rPr>
          <w:rFonts w:ascii="宋体" w:hAnsi="宋体" w:eastAsia="宋体" w:cs="宋体"/>
          <w:spacing w:val="-2"/>
          <w:sz w:val="21"/>
          <w:szCs w:val="21"/>
        </w:rPr>
        <w:t>件。</w:t>
      </w:r>
    </w:p>
    <w:p w14:paraId="0F3E17B3">
      <w:pPr>
        <w:spacing w:before="5" w:line="345" w:lineRule="auto"/>
        <w:ind w:left="22"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14.2.2  </w:t>
      </w:r>
      <w:r>
        <w:rPr>
          <w:rFonts w:ascii="宋体" w:hAnsi="宋体" w:eastAsia="宋体" w:cs="宋体"/>
          <w:spacing w:val="-1"/>
          <w:sz w:val="21"/>
          <w:szCs w:val="21"/>
        </w:rPr>
        <w:t>监理人在必要时可以使用承包人的试验场所、试验设备器材以及其他试验条件，进行以工程质量检查为目的的复核性材料试验，承包人应予以协助。</w:t>
      </w:r>
    </w:p>
    <w:p w14:paraId="5B702DAC">
      <w:pPr>
        <w:spacing w:before="1" w:line="231" w:lineRule="auto"/>
        <w:ind w:left="44"/>
        <w:outlineLvl w:val="1"/>
        <w:rPr>
          <w:rFonts w:ascii="黑体" w:hAnsi="黑体" w:eastAsia="黑体" w:cs="黑体"/>
          <w:sz w:val="24"/>
          <w:szCs w:val="24"/>
        </w:rPr>
      </w:pPr>
      <w:bookmarkStart w:id="150" w:name="bookmark132"/>
      <w:bookmarkEnd w:id="150"/>
      <w:r>
        <w:rPr>
          <w:rFonts w:ascii="Times New Roman" w:hAnsi="Times New Roman" w:eastAsia="Times New Roman" w:cs="Times New Roman"/>
          <w:spacing w:val="-2"/>
          <w:sz w:val="24"/>
          <w:szCs w:val="24"/>
        </w:rPr>
        <w:t xml:space="preserve">14.3  </w:t>
      </w:r>
      <w:r>
        <w:rPr>
          <w:rFonts w:ascii="黑体" w:hAnsi="黑体" w:eastAsia="黑体" w:cs="黑体"/>
          <w:spacing w:val="-2"/>
          <w:sz w:val="24"/>
          <w:szCs w:val="24"/>
        </w:rPr>
        <w:t>现场工艺试验</w:t>
      </w:r>
    </w:p>
    <w:p w14:paraId="23B6DF05">
      <w:pPr>
        <w:spacing w:before="115" w:line="358" w:lineRule="auto"/>
        <w:ind w:left="24" w:right="58" w:firstLine="420"/>
        <w:jc w:val="both"/>
        <w:rPr>
          <w:rFonts w:ascii="宋体" w:hAnsi="宋体" w:eastAsia="宋体" w:cs="宋体"/>
          <w:sz w:val="21"/>
          <w:szCs w:val="21"/>
        </w:rPr>
      </w:pPr>
      <w:r>
        <w:rPr>
          <w:rFonts w:ascii="宋体" w:hAnsi="宋体" w:eastAsia="宋体" w:cs="宋体"/>
          <w:spacing w:val="-4"/>
          <w:sz w:val="21"/>
          <w:szCs w:val="21"/>
        </w:rPr>
        <w:t>承包人应按合同约定或监理人指示进行现场工艺试验。对大型的现场工艺试验，</w:t>
      </w:r>
      <w:r>
        <w:rPr>
          <w:rFonts w:ascii="宋体" w:hAnsi="宋体" w:eastAsia="宋体" w:cs="宋体"/>
          <w:spacing w:val="-35"/>
          <w:sz w:val="21"/>
          <w:szCs w:val="21"/>
        </w:rPr>
        <w:t xml:space="preserve"> </w:t>
      </w:r>
      <w:r>
        <w:rPr>
          <w:rFonts w:ascii="宋体" w:hAnsi="宋体" w:eastAsia="宋体" w:cs="宋体"/>
          <w:spacing w:val="-4"/>
          <w:sz w:val="21"/>
          <w:szCs w:val="21"/>
        </w:rPr>
        <w:t>监理人</w:t>
      </w:r>
      <w:r>
        <w:rPr>
          <w:rFonts w:ascii="宋体" w:hAnsi="宋体" w:eastAsia="宋体" w:cs="宋体"/>
          <w:spacing w:val="-2"/>
          <w:sz w:val="21"/>
          <w:szCs w:val="21"/>
        </w:rPr>
        <w:t>认为必要时，应由承包人根据监理人提出的工艺试验要求，编制工艺试验措施计划</w:t>
      </w:r>
      <w:r>
        <w:rPr>
          <w:rFonts w:ascii="宋体" w:hAnsi="宋体" w:eastAsia="宋体" w:cs="宋体"/>
          <w:spacing w:val="-3"/>
          <w:sz w:val="21"/>
          <w:szCs w:val="21"/>
        </w:rPr>
        <w:t>，报送监</w:t>
      </w:r>
      <w:r>
        <w:rPr>
          <w:rFonts w:ascii="宋体" w:hAnsi="宋体" w:eastAsia="宋体" w:cs="宋体"/>
          <w:spacing w:val="-6"/>
          <w:sz w:val="21"/>
          <w:szCs w:val="21"/>
        </w:rPr>
        <w:t>理人审批。</w:t>
      </w:r>
    </w:p>
    <w:p w14:paraId="3A0A206A">
      <w:pPr>
        <w:spacing w:before="19" w:line="237" w:lineRule="auto"/>
        <w:ind w:left="49"/>
        <w:outlineLvl w:val="0"/>
        <w:rPr>
          <w:rFonts w:ascii="黑体" w:hAnsi="黑体" w:eastAsia="黑体" w:cs="黑体"/>
          <w:sz w:val="28"/>
          <w:szCs w:val="28"/>
        </w:rPr>
      </w:pPr>
      <w:bookmarkStart w:id="151" w:name="bookmark133"/>
      <w:bookmarkEnd w:id="151"/>
      <w:bookmarkStart w:id="152" w:name="bookmark134"/>
      <w:bookmarkEnd w:id="152"/>
      <w:r>
        <w:rPr>
          <w:rFonts w:ascii="Times New Roman" w:hAnsi="Times New Roman" w:eastAsia="Times New Roman" w:cs="Times New Roman"/>
          <w:spacing w:val="-7"/>
          <w:sz w:val="28"/>
          <w:szCs w:val="28"/>
        </w:rPr>
        <w:t>15.</w:t>
      </w:r>
      <w:r>
        <w:rPr>
          <w:rFonts w:ascii="Times New Roman" w:hAnsi="Times New Roman" w:eastAsia="Times New Roman" w:cs="Times New Roman"/>
          <w:spacing w:val="16"/>
          <w:sz w:val="28"/>
          <w:szCs w:val="28"/>
        </w:rPr>
        <w:t xml:space="preserve">  </w:t>
      </w:r>
      <w:r>
        <w:rPr>
          <w:rFonts w:ascii="黑体" w:hAnsi="黑体" w:eastAsia="黑体" w:cs="黑体"/>
          <w:spacing w:val="-7"/>
          <w:sz w:val="28"/>
          <w:szCs w:val="28"/>
        </w:rPr>
        <w:t>变更</w:t>
      </w:r>
    </w:p>
    <w:p w14:paraId="103BC1D6">
      <w:pPr>
        <w:spacing w:before="85" w:line="233" w:lineRule="auto"/>
        <w:ind w:left="44"/>
        <w:outlineLvl w:val="1"/>
        <w:rPr>
          <w:rFonts w:ascii="黑体" w:hAnsi="黑体" w:eastAsia="黑体" w:cs="黑体"/>
          <w:sz w:val="24"/>
          <w:szCs w:val="24"/>
        </w:rPr>
      </w:pPr>
      <w:bookmarkStart w:id="153" w:name="bookmark644"/>
      <w:bookmarkEnd w:id="153"/>
      <w:r>
        <w:rPr>
          <w:rFonts w:ascii="Times New Roman" w:hAnsi="Times New Roman" w:eastAsia="Times New Roman" w:cs="Times New Roman"/>
          <w:spacing w:val="-2"/>
          <w:sz w:val="24"/>
          <w:szCs w:val="24"/>
        </w:rPr>
        <w:t xml:space="preserve">15.1  </w:t>
      </w:r>
      <w:r>
        <w:rPr>
          <w:rFonts w:ascii="黑体" w:hAnsi="黑体" w:eastAsia="黑体" w:cs="黑体"/>
          <w:spacing w:val="-2"/>
          <w:sz w:val="24"/>
          <w:szCs w:val="24"/>
        </w:rPr>
        <w:t>变更的范围和内容</w:t>
      </w:r>
    </w:p>
    <w:p w14:paraId="7D9101CA">
      <w:pPr>
        <w:spacing w:before="115" w:line="356" w:lineRule="auto"/>
        <w:ind w:left="26" w:right="67" w:firstLine="430"/>
        <w:rPr>
          <w:rFonts w:ascii="宋体" w:hAnsi="宋体" w:eastAsia="宋体" w:cs="宋体"/>
          <w:sz w:val="21"/>
          <w:szCs w:val="21"/>
        </w:rPr>
      </w:pPr>
      <w:r>
        <w:rPr>
          <w:rFonts w:ascii="宋体" w:hAnsi="宋体" w:eastAsia="宋体" w:cs="宋体"/>
          <w:spacing w:val="-3"/>
          <w:sz w:val="21"/>
          <w:szCs w:val="21"/>
        </w:rPr>
        <w:t>除专用合同条款另有约定外，在履行合同中发生以下情形之一，应按照本条规定进行变</w:t>
      </w:r>
      <w:r>
        <w:rPr>
          <w:rFonts w:ascii="宋体" w:hAnsi="宋体" w:eastAsia="宋体" w:cs="宋体"/>
          <w:spacing w:val="-11"/>
          <w:sz w:val="21"/>
          <w:szCs w:val="21"/>
        </w:rPr>
        <w:t>更。</w:t>
      </w:r>
    </w:p>
    <w:p w14:paraId="67369DFA">
      <w:pPr>
        <w:spacing w:line="233" w:lineRule="auto"/>
        <w:ind w:left="39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）取消合同中任何一项工作，但被取消的工作不能转</w:t>
      </w:r>
      <w:r>
        <w:rPr>
          <w:rFonts w:ascii="宋体" w:hAnsi="宋体" w:eastAsia="宋体" w:cs="宋体"/>
          <w:spacing w:val="-2"/>
          <w:sz w:val="21"/>
          <w:szCs w:val="21"/>
        </w:rPr>
        <w:t>由发包人或其他人实施；</w:t>
      </w:r>
    </w:p>
    <w:p w14:paraId="52301C4D">
      <w:pPr>
        <w:spacing w:before="125" w:line="233" w:lineRule="auto"/>
        <w:ind w:left="39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）改变合同中任何一项工作的质量或其他特性；</w:t>
      </w:r>
    </w:p>
    <w:p w14:paraId="04A3347D">
      <w:pPr>
        <w:spacing w:line="233" w:lineRule="auto"/>
        <w:rPr>
          <w:rFonts w:ascii="宋体" w:hAnsi="宋体" w:eastAsia="宋体" w:cs="宋体"/>
          <w:sz w:val="21"/>
          <w:szCs w:val="21"/>
        </w:rPr>
        <w:sectPr>
          <w:footerReference r:id="rId93" w:type="default"/>
          <w:pgSz w:w="11910" w:h="16845"/>
          <w:pgMar w:top="400" w:right="1721" w:bottom="1110" w:left="1786" w:header="0" w:footer="883" w:gutter="0"/>
          <w:cols w:space="720" w:num="1"/>
        </w:sectPr>
      </w:pPr>
    </w:p>
    <w:p w14:paraId="43811500">
      <w:pPr>
        <w:pStyle w:val="2"/>
        <w:spacing w:line="275" w:lineRule="auto"/>
      </w:pPr>
    </w:p>
    <w:p w14:paraId="46DD48B1">
      <w:pPr>
        <w:pStyle w:val="2"/>
        <w:spacing w:line="275" w:lineRule="auto"/>
      </w:pPr>
    </w:p>
    <w:p w14:paraId="185BDE44">
      <w:pPr>
        <w:pStyle w:val="2"/>
        <w:spacing w:line="275" w:lineRule="auto"/>
      </w:pPr>
    </w:p>
    <w:p w14:paraId="48503064">
      <w:pPr>
        <w:pStyle w:val="2"/>
        <w:spacing w:line="275" w:lineRule="auto"/>
      </w:pPr>
    </w:p>
    <w:p w14:paraId="665016FF">
      <w:pPr>
        <w:spacing w:before="69" w:line="233" w:lineRule="auto"/>
        <w:ind w:left="39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）改变合同工程的基线、标高、位置或尺寸；</w:t>
      </w:r>
    </w:p>
    <w:p w14:paraId="164537B5">
      <w:pPr>
        <w:spacing w:before="141" w:line="233" w:lineRule="auto"/>
        <w:ind w:left="39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）改变合同中任何一项工作的施工时间或改</w:t>
      </w:r>
      <w:r>
        <w:rPr>
          <w:rFonts w:ascii="宋体" w:hAnsi="宋体" w:eastAsia="宋体" w:cs="宋体"/>
          <w:spacing w:val="-2"/>
          <w:sz w:val="21"/>
          <w:szCs w:val="21"/>
        </w:rPr>
        <w:t>变已批准的施工工艺或顺序；</w:t>
      </w:r>
    </w:p>
    <w:p w14:paraId="49C770BC">
      <w:pPr>
        <w:spacing w:before="125"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）为完成工程需要追加的额外工作。</w:t>
      </w:r>
    </w:p>
    <w:p w14:paraId="3CE6D544">
      <w:pPr>
        <w:spacing w:before="113" w:line="233" w:lineRule="auto"/>
        <w:ind w:left="44"/>
        <w:outlineLvl w:val="1"/>
        <w:rPr>
          <w:rFonts w:ascii="黑体" w:hAnsi="黑体" w:eastAsia="黑体" w:cs="黑体"/>
          <w:sz w:val="24"/>
          <w:szCs w:val="24"/>
        </w:rPr>
      </w:pPr>
      <w:bookmarkStart w:id="154" w:name="bookmark135"/>
      <w:bookmarkEnd w:id="154"/>
      <w:r>
        <w:rPr>
          <w:rFonts w:ascii="Times New Roman" w:hAnsi="Times New Roman" w:eastAsia="Times New Roman" w:cs="Times New Roman"/>
          <w:spacing w:val="-6"/>
          <w:sz w:val="24"/>
          <w:szCs w:val="24"/>
        </w:rPr>
        <w:t>15.2</w:t>
      </w:r>
      <w:r>
        <w:rPr>
          <w:rFonts w:ascii="Times New Roman" w:hAnsi="Times New Roman" w:eastAsia="Times New Roman" w:cs="Times New Roman"/>
          <w:spacing w:val="9"/>
          <w:sz w:val="24"/>
          <w:szCs w:val="24"/>
        </w:rPr>
        <w:t xml:space="preserve">  </w:t>
      </w:r>
      <w:r>
        <w:rPr>
          <w:rFonts w:ascii="黑体" w:hAnsi="黑体" w:eastAsia="黑体" w:cs="黑体"/>
          <w:spacing w:val="-6"/>
          <w:sz w:val="24"/>
          <w:szCs w:val="24"/>
        </w:rPr>
        <w:t>变更权</w:t>
      </w:r>
    </w:p>
    <w:p w14:paraId="39712CEC">
      <w:pPr>
        <w:spacing w:before="127" w:line="336" w:lineRule="auto"/>
        <w:ind w:left="42" w:right="45" w:firstLine="401"/>
        <w:rPr>
          <w:rFonts w:ascii="宋体" w:hAnsi="宋体" w:eastAsia="宋体" w:cs="宋体"/>
          <w:sz w:val="21"/>
          <w:szCs w:val="21"/>
        </w:rPr>
      </w:pPr>
      <w:r>
        <w:rPr>
          <w:rFonts w:ascii="宋体" w:hAnsi="宋体" w:eastAsia="宋体" w:cs="宋体"/>
          <w:sz w:val="21"/>
          <w:szCs w:val="21"/>
        </w:rPr>
        <w:t xml:space="preserve">在履行合同过程中，经发包人同意，监理人可按第 </w:t>
      </w:r>
      <w:r>
        <w:rPr>
          <w:rFonts w:ascii="Times New Roman" w:hAnsi="Times New Roman" w:eastAsia="Times New Roman" w:cs="Times New Roman"/>
          <w:spacing w:val="-1"/>
          <w:sz w:val="21"/>
          <w:szCs w:val="21"/>
        </w:rPr>
        <w:t xml:space="preserve">15.3  </w:t>
      </w:r>
      <w:r>
        <w:rPr>
          <w:rFonts w:ascii="宋体" w:hAnsi="宋体" w:eastAsia="宋体" w:cs="宋体"/>
          <w:spacing w:val="-1"/>
          <w:sz w:val="21"/>
          <w:szCs w:val="21"/>
        </w:rPr>
        <w:t>款约定的变更程序向承包人作出变更指示，承包人应遵照执行。没有监理人的变更指示，承包人不得擅</w:t>
      </w:r>
      <w:r>
        <w:rPr>
          <w:rFonts w:ascii="宋体" w:hAnsi="宋体" w:eastAsia="宋体" w:cs="宋体"/>
          <w:spacing w:val="-2"/>
          <w:sz w:val="21"/>
          <w:szCs w:val="21"/>
        </w:rPr>
        <w:t>自变更。</w:t>
      </w:r>
    </w:p>
    <w:p w14:paraId="45DFE698">
      <w:pPr>
        <w:spacing w:before="6" w:line="233" w:lineRule="auto"/>
        <w:ind w:left="44"/>
        <w:outlineLvl w:val="1"/>
        <w:rPr>
          <w:rFonts w:ascii="黑体" w:hAnsi="黑体" w:eastAsia="黑体" w:cs="黑体"/>
          <w:sz w:val="24"/>
          <w:szCs w:val="24"/>
        </w:rPr>
      </w:pPr>
      <w:bookmarkStart w:id="155" w:name="bookmark136"/>
      <w:bookmarkEnd w:id="155"/>
      <w:r>
        <w:rPr>
          <w:rFonts w:ascii="Times New Roman" w:hAnsi="Times New Roman" w:eastAsia="Times New Roman" w:cs="Times New Roman"/>
          <w:spacing w:val="-5"/>
          <w:sz w:val="24"/>
          <w:szCs w:val="24"/>
        </w:rPr>
        <w:t>15.3</w:t>
      </w:r>
      <w:r>
        <w:rPr>
          <w:rFonts w:ascii="Times New Roman" w:hAnsi="Times New Roman" w:eastAsia="Times New Roman" w:cs="Times New Roman"/>
          <w:spacing w:val="8"/>
          <w:sz w:val="24"/>
          <w:szCs w:val="24"/>
        </w:rPr>
        <w:t xml:space="preserve">  </w:t>
      </w:r>
      <w:r>
        <w:rPr>
          <w:rFonts w:ascii="黑体" w:hAnsi="黑体" w:eastAsia="黑体" w:cs="黑体"/>
          <w:spacing w:val="-5"/>
          <w:sz w:val="24"/>
          <w:szCs w:val="24"/>
        </w:rPr>
        <w:t>变更程序</w:t>
      </w:r>
    </w:p>
    <w:p w14:paraId="696E24BF">
      <w:pPr>
        <w:spacing w:before="128"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15.3.1</w:t>
      </w:r>
      <w:r>
        <w:rPr>
          <w:rFonts w:ascii="Times New Roman" w:hAnsi="Times New Roman" w:eastAsia="Times New Roman" w:cs="Times New Roman"/>
          <w:spacing w:val="53"/>
          <w:w w:val="101"/>
          <w:sz w:val="21"/>
          <w:szCs w:val="21"/>
        </w:rPr>
        <w:t xml:space="preserve"> </w:t>
      </w:r>
      <w:r>
        <w:rPr>
          <w:rFonts w:ascii="黑体" w:hAnsi="黑体" w:eastAsia="黑体" w:cs="黑体"/>
          <w:spacing w:val="-2"/>
          <w:sz w:val="21"/>
          <w:szCs w:val="21"/>
        </w:rPr>
        <w:t>变更的提出</w:t>
      </w:r>
    </w:p>
    <w:p w14:paraId="0B8D9470">
      <w:pPr>
        <w:spacing w:before="124" w:line="354" w:lineRule="auto"/>
        <w:ind w:left="24" w:right="45" w:firstLine="4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）在合同履行过程中，可能发生第</w:t>
      </w:r>
      <w:r>
        <w:rPr>
          <w:rFonts w:ascii="宋体" w:hAnsi="宋体" w:eastAsia="宋体" w:cs="宋体"/>
          <w:spacing w:val="-15"/>
          <w:sz w:val="21"/>
          <w:szCs w:val="21"/>
        </w:rPr>
        <w:t xml:space="preserve"> </w:t>
      </w:r>
      <w:r>
        <w:rPr>
          <w:rFonts w:ascii="Times New Roman" w:hAnsi="Times New Roman" w:eastAsia="Times New Roman" w:cs="Times New Roman"/>
          <w:spacing w:val="-2"/>
          <w:sz w:val="21"/>
          <w:szCs w:val="21"/>
        </w:rPr>
        <w:t>15.1</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款约定情形的，监理人可向承包人发出变更意向书。变更意向书应说明变更的具体内容和发包人对变更的时间要求，并附必要</w:t>
      </w:r>
      <w:r>
        <w:rPr>
          <w:rFonts w:ascii="宋体" w:hAnsi="宋体" w:eastAsia="宋体" w:cs="宋体"/>
          <w:spacing w:val="-3"/>
          <w:sz w:val="21"/>
          <w:szCs w:val="21"/>
        </w:rPr>
        <w:t>的图纸和</w:t>
      </w:r>
      <w:r>
        <w:rPr>
          <w:rFonts w:ascii="宋体" w:hAnsi="宋体" w:eastAsia="宋体" w:cs="宋体"/>
          <w:spacing w:val="-2"/>
          <w:sz w:val="21"/>
          <w:szCs w:val="21"/>
        </w:rPr>
        <w:t>相关资料。变更意向书应要求承包人提交包括拟实施变更工作的计划、措施和竣</w:t>
      </w:r>
      <w:r>
        <w:rPr>
          <w:rFonts w:ascii="宋体" w:hAnsi="宋体" w:eastAsia="宋体" w:cs="宋体"/>
          <w:spacing w:val="-3"/>
          <w:sz w:val="21"/>
          <w:szCs w:val="21"/>
        </w:rPr>
        <w:t>工时间等内</w:t>
      </w:r>
      <w:r>
        <w:rPr>
          <w:rFonts w:ascii="宋体" w:hAnsi="宋体" w:eastAsia="宋体" w:cs="宋体"/>
          <w:spacing w:val="-2"/>
          <w:sz w:val="21"/>
          <w:szCs w:val="21"/>
        </w:rPr>
        <w:t>容的实施方案。发包人同意承包人根据变更意向书要求提交的变更实施方案的，由</w:t>
      </w:r>
      <w:r>
        <w:rPr>
          <w:rFonts w:ascii="宋体" w:hAnsi="宋体" w:eastAsia="宋体" w:cs="宋体"/>
          <w:spacing w:val="-3"/>
          <w:sz w:val="21"/>
          <w:szCs w:val="21"/>
        </w:rPr>
        <w:t>监理人按</w:t>
      </w:r>
      <w:r>
        <w:rPr>
          <w:rFonts w:ascii="宋体" w:hAnsi="宋体" w:eastAsia="宋体" w:cs="宋体"/>
          <w:spacing w:val="-4"/>
          <w:sz w:val="21"/>
          <w:szCs w:val="21"/>
        </w:rPr>
        <w:t>第</w:t>
      </w:r>
      <w:r>
        <w:rPr>
          <w:rFonts w:ascii="宋体" w:hAnsi="宋体" w:eastAsia="宋体" w:cs="宋体"/>
          <w:spacing w:val="-6"/>
          <w:sz w:val="21"/>
          <w:szCs w:val="21"/>
        </w:rPr>
        <w:t xml:space="preserve"> </w:t>
      </w:r>
      <w:r>
        <w:rPr>
          <w:rFonts w:ascii="Times New Roman" w:hAnsi="Times New Roman" w:eastAsia="Times New Roman" w:cs="Times New Roman"/>
          <w:spacing w:val="-4"/>
          <w:sz w:val="21"/>
          <w:szCs w:val="21"/>
        </w:rPr>
        <w:t>15.3.3</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项约定发出变更指示。</w:t>
      </w:r>
    </w:p>
    <w:p w14:paraId="10389270">
      <w:pPr>
        <w:spacing w:before="1" w:line="335" w:lineRule="auto"/>
        <w:ind w:left="24" w:right="47" w:firstLine="426"/>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）在合同履行过程中，发生第</w:t>
      </w:r>
      <w:r>
        <w:rPr>
          <w:rFonts w:ascii="宋体" w:hAnsi="宋体" w:eastAsia="宋体" w:cs="宋体"/>
          <w:spacing w:val="-18"/>
          <w:sz w:val="21"/>
          <w:szCs w:val="21"/>
        </w:rPr>
        <w:t xml:space="preserve"> </w:t>
      </w:r>
      <w:r>
        <w:rPr>
          <w:rFonts w:ascii="Times New Roman" w:hAnsi="Times New Roman" w:eastAsia="Times New Roman" w:cs="Times New Roman"/>
          <w:spacing w:val="-3"/>
          <w:sz w:val="21"/>
          <w:szCs w:val="21"/>
        </w:rPr>
        <w:t>15.1</w:t>
      </w:r>
      <w:r>
        <w:rPr>
          <w:rFonts w:ascii="Times New Roman" w:hAnsi="Times New Roman" w:eastAsia="Times New Roman" w:cs="Times New Roman"/>
          <w:spacing w:val="17"/>
          <w:w w:val="101"/>
          <w:sz w:val="21"/>
          <w:szCs w:val="21"/>
        </w:rPr>
        <w:t xml:space="preserve"> </w:t>
      </w:r>
      <w:r>
        <w:rPr>
          <w:rFonts w:ascii="宋体" w:hAnsi="宋体" w:eastAsia="宋体" w:cs="宋体"/>
          <w:spacing w:val="-3"/>
          <w:sz w:val="21"/>
          <w:szCs w:val="21"/>
        </w:rPr>
        <w:t>款约定情形的，监理人应按照第</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15.3.3</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项约定向</w:t>
      </w:r>
      <w:r>
        <w:rPr>
          <w:rFonts w:ascii="宋体" w:hAnsi="宋体" w:eastAsia="宋体" w:cs="宋体"/>
          <w:spacing w:val="-4"/>
          <w:sz w:val="21"/>
          <w:szCs w:val="21"/>
        </w:rPr>
        <w:t>承包人发出变更指示。</w:t>
      </w:r>
    </w:p>
    <w:p w14:paraId="4E6B6B94">
      <w:pPr>
        <w:spacing w:before="33" w:line="351" w:lineRule="auto"/>
        <w:ind w:left="28" w:right="42" w:firstLine="4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）承包人收到监理人按合同约定发出的图纸和文件，经检查认为其中存在第</w:t>
      </w:r>
      <w:r>
        <w:rPr>
          <w:rFonts w:ascii="宋体" w:hAnsi="宋体" w:eastAsia="宋体" w:cs="宋体"/>
          <w:spacing w:val="-18"/>
          <w:sz w:val="21"/>
          <w:szCs w:val="21"/>
        </w:rPr>
        <w:t xml:space="preserve"> </w:t>
      </w:r>
      <w:r>
        <w:rPr>
          <w:rFonts w:ascii="Times New Roman" w:hAnsi="Times New Roman" w:eastAsia="Times New Roman" w:cs="Times New Roman"/>
          <w:spacing w:val="-2"/>
          <w:sz w:val="21"/>
          <w:szCs w:val="21"/>
        </w:rPr>
        <w:t>15.1</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款约定情形的，可向监理人提出书面变更建议。变更建议应阐明要求变更的</w:t>
      </w:r>
      <w:r>
        <w:rPr>
          <w:rFonts w:ascii="宋体" w:hAnsi="宋体" w:eastAsia="宋体" w:cs="宋体"/>
          <w:spacing w:val="-3"/>
          <w:sz w:val="21"/>
          <w:szCs w:val="21"/>
        </w:rPr>
        <w:t>依据，并附必要的</w:t>
      </w:r>
      <w:r>
        <w:rPr>
          <w:rFonts w:ascii="宋体" w:hAnsi="宋体" w:eastAsia="宋体" w:cs="宋体"/>
          <w:spacing w:val="-2"/>
          <w:sz w:val="21"/>
          <w:szCs w:val="21"/>
        </w:rPr>
        <w:t>图纸和说明。监理人收到承包人书面建议后，应与发包人共同研究，确认存在变更的，应在</w:t>
      </w:r>
      <w:r>
        <w:rPr>
          <w:rFonts w:ascii="宋体" w:hAnsi="宋体" w:eastAsia="宋体" w:cs="宋体"/>
          <w:spacing w:val="-1"/>
          <w:sz w:val="21"/>
          <w:szCs w:val="21"/>
        </w:rPr>
        <w:t>收到承包人书面建议后的</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天内作出变更指示。经研究后不同意作为变更的，应由监理人</w:t>
      </w:r>
      <w:r>
        <w:rPr>
          <w:rFonts w:ascii="宋体" w:hAnsi="宋体" w:eastAsia="宋体" w:cs="宋体"/>
          <w:spacing w:val="-5"/>
          <w:sz w:val="21"/>
          <w:szCs w:val="21"/>
        </w:rPr>
        <w:t>书面答复承包人。</w:t>
      </w:r>
    </w:p>
    <w:p w14:paraId="0CDB8FD4">
      <w:pPr>
        <w:spacing w:before="3" w:line="351" w:lineRule="auto"/>
        <w:ind w:left="26" w:firstLine="42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）若承包人收到监理人的变更意向书后</w:t>
      </w:r>
      <w:r>
        <w:rPr>
          <w:rFonts w:ascii="宋体" w:hAnsi="宋体" w:eastAsia="宋体" w:cs="宋体"/>
          <w:spacing w:val="-4"/>
          <w:sz w:val="21"/>
          <w:szCs w:val="21"/>
        </w:rPr>
        <w:t>认为难以实施此项变更，应立即通知监理人，</w:t>
      </w:r>
      <w:r>
        <w:rPr>
          <w:rFonts w:ascii="宋体" w:hAnsi="宋体" w:eastAsia="宋体" w:cs="宋体"/>
          <w:spacing w:val="-2"/>
          <w:sz w:val="21"/>
          <w:szCs w:val="21"/>
        </w:rPr>
        <w:t>说明原因并附详细依据。监理人与承包人和发包人协商后确定撤销、</w:t>
      </w:r>
      <w:r>
        <w:rPr>
          <w:rFonts w:ascii="宋体" w:hAnsi="宋体" w:eastAsia="宋体" w:cs="宋体"/>
          <w:spacing w:val="-3"/>
          <w:sz w:val="21"/>
          <w:szCs w:val="21"/>
        </w:rPr>
        <w:t>改变或不改变原变更意</w:t>
      </w:r>
      <w:r>
        <w:rPr>
          <w:rFonts w:ascii="宋体" w:hAnsi="宋体" w:eastAsia="宋体" w:cs="宋体"/>
          <w:spacing w:val="-9"/>
          <w:sz w:val="21"/>
          <w:szCs w:val="21"/>
        </w:rPr>
        <w:t>向书。</w:t>
      </w:r>
    </w:p>
    <w:p w14:paraId="6874E2E6">
      <w:pPr>
        <w:spacing w:before="1" w:line="232" w:lineRule="auto"/>
        <w:ind w:left="461"/>
        <w:rPr>
          <w:rFonts w:ascii="黑体" w:hAnsi="黑体" w:eastAsia="黑体" w:cs="黑体"/>
          <w:sz w:val="21"/>
          <w:szCs w:val="21"/>
        </w:rPr>
      </w:pPr>
      <w:r>
        <w:rPr>
          <w:rFonts w:ascii="Times New Roman" w:hAnsi="Times New Roman" w:eastAsia="Times New Roman" w:cs="Times New Roman"/>
          <w:spacing w:val="-2"/>
          <w:sz w:val="21"/>
          <w:szCs w:val="21"/>
        </w:rPr>
        <w:t>15.3.2</w:t>
      </w:r>
      <w:r>
        <w:rPr>
          <w:rFonts w:ascii="Times New Roman" w:hAnsi="Times New Roman" w:eastAsia="Times New Roman" w:cs="Times New Roman"/>
          <w:spacing w:val="51"/>
          <w:w w:val="101"/>
          <w:sz w:val="21"/>
          <w:szCs w:val="21"/>
        </w:rPr>
        <w:t xml:space="preserve"> </w:t>
      </w:r>
      <w:r>
        <w:rPr>
          <w:rFonts w:ascii="黑体" w:hAnsi="黑体" w:eastAsia="黑体" w:cs="黑体"/>
          <w:spacing w:val="-2"/>
          <w:sz w:val="21"/>
          <w:szCs w:val="21"/>
        </w:rPr>
        <w:t>变更估价</w:t>
      </w:r>
    </w:p>
    <w:p w14:paraId="5AE87291">
      <w:pPr>
        <w:spacing w:before="140" w:line="344" w:lineRule="auto"/>
        <w:ind w:left="24" w:right="45" w:firstLine="42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）除专用合同条款对期限另有约定外，承包人应在</w:t>
      </w:r>
      <w:r>
        <w:rPr>
          <w:rFonts w:ascii="宋体" w:hAnsi="宋体" w:eastAsia="宋体" w:cs="宋体"/>
          <w:spacing w:val="-1"/>
          <w:sz w:val="21"/>
          <w:szCs w:val="21"/>
        </w:rPr>
        <w:t>收到变更指示或变更意向书后的</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30"/>
          <w:w w:val="101"/>
          <w:sz w:val="21"/>
          <w:szCs w:val="21"/>
        </w:rPr>
        <w:t xml:space="preserve"> </w:t>
      </w:r>
      <w:r>
        <w:rPr>
          <w:rFonts w:ascii="宋体" w:hAnsi="宋体" w:eastAsia="宋体" w:cs="宋体"/>
          <w:spacing w:val="-1"/>
          <w:sz w:val="21"/>
          <w:szCs w:val="21"/>
        </w:rPr>
        <w:t>天内，向监理人提交变更报价书，报价内容应根据第</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15.4</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款约定的估价原则，详细开列变更工作的价格组成及其依据，并附必要的施工方法说明和有关图纸。</w:t>
      </w:r>
    </w:p>
    <w:p w14:paraId="6BDDA314">
      <w:pPr>
        <w:spacing w:before="28" w:line="348" w:lineRule="auto"/>
        <w:ind w:left="25" w:firstLine="424"/>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）变更工作影响工期的，承包人应提出调整工期的具体细节。监理人认为有必要时，</w:t>
      </w:r>
      <w:r>
        <w:rPr>
          <w:rFonts w:ascii="宋体" w:hAnsi="宋体" w:eastAsia="宋体" w:cs="宋体"/>
          <w:spacing w:val="-1"/>
          <w:sz w:val="21"/>
          <w:szCs w:val="21"/>
        </w:rPr>
        <w:t>可要求承包人提交要求提前或延长工期的施工进度计划及相应施工措施等详细资料。</w:t>
      </w:r>
    </w:p>
    <w:p w14:paraId="4839EF54">
      <w:pPr>
        <w:spacing w:before="4" w:line="356" w:lineRule="auto"/>
        <w:ind w:left="24" w:right="4" w:firstLine="426"/>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 xml:space="preserve">）除专用合同条款对期限另有约定外，监理人收到承包人变更报价书后的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31"/>
          <w:sz w:val="21"/>
          <w:szCs w:val="21"/>
        </w:rPr>
        <w:t xml:space="preserve"> </w:t>
      </w:r>
      <w:r>
        <w:rPr>
          <w:rFonts w:ascii="宋体" w:hAnsi="宋体" w:eastAsia="宋体" w:cs="宋体"/>
          <w:spacing w:val="-3"/>
          <w:sz w:val="21"/>
          <w:szCs w:val="21"/>
        </w:rPr>
        <w:t>天内，</w:t>
      </w:r>
      <w:r>
        <w:rPr>
          <w:rFonts w:ascii="宋体" w:hAnsi="宋体" w:eastAsia="宋体" w:cs="宋体"/>
          <w:spacing w:val="-2"/>
          <w:sz w:val="21"/>
          <w:szCs w:val="21"/>
        </w:rPr>
        <w:t>根据第</w:t>
      </w:r>
      <w:r>
        <w:rPr>
          <w:rFonts w:ascii="宋体" w:hAnsi="宋体" w:eastAsia="宋体" w:cs="宋体"/>
          <w:spacing w:val="-17"/>
          <w:sz w:val="21"/>
          <w:szCs w:val="21"/>
        </w:rPr>
        <w:t xml:space="preserve"> </w:t>
      </w:r>
      <w:r>
        <w:rPr>
          <w:rFonts w:ascii="Times New Roman" w:hAnsi="Times New Roman" w:eastAsia="Times New Roman" w:cs="Times New Roman"/>
          <w:spacing w:val="-2"/>
          <w:sz w:val="21"/>
          <w:szCs w:val="21"/>
        </w:rPr>
        <w:t>15.4</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款约定的估价原则，按照第</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款商定或确定变更价格。</w:t>
      </w:r>
    </w:p>
    <w:p w14:paraId="72EB31DE">
      <w:pPr>
        <w:spacing w:before="1" w:line="232" w:lineRule="auto"/>
        <w:ind w:left="461"/>
        <w:rPr>
          <w:rFonts w:ascii="黑体" w:hAnsi="黑体" w:eastAsia="黑体" w:cs="黑体"/>
          <w:sz w:val="21"/>
          <w:szCs w:val="21"/>
        </w:rPr>
      </w:pPr>
      <w:r>
        <w:rPr>
          <w:rFonts w:ascii="Times New Roman" w:hAnsi="Times New Roman" w:eastAsia="Times New Roman" w:cs="Times New Roman"/>
          <w:spacing w:val="-2"/>
          <w:sz w:val="21"/>
          <w:szCs w:val="21"/>
        </w:rPr>
        <w:t>15.3.3</w:t>
      </w:r>
      <w:r>
        <w:rPr>
          <w:rFonts w:ascii="Times New Roman" w:hAnsi="Times New Roman" w:eastAsia="Times New Roman" w:cs="Times New Roman"/>
          <w:spacing w:val="51"/>
          <w:w w:val="101"/>
          <w:sz w:val="21"/>
          <w:szCs w:val="21"/>
        </w:rPr>
        <w:t xml:space="preserve"> </w:t>
      </w:r>
      <w:r>
        <w:rPr>
          <w:rFonts w:ascii="黑体" w:hAnsi="黑体" w:eastAsia="黑体" w:cs="黑体"/>
          <w:spacing w:val="-2"/>
          <w:sz w:val="21"/>
          <w:szCs w:val="21"/>
        </w:rPr>
        <w:t>变更指示</w:t>
      </w:r>
    </w:p>
    <w:p w14:paraId="3E987FB9">
      <w:pPr>
        <w:spacing w:before="126" w:line="234"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）变更指示只能由监理人发出。</w:t>
      </w:r>
    </w:p>
    <w:p w14:paraId="3F0ADD24">
      <w:pPr>
        <w:spacing w:before="140" w:line="233" w:lineRule="auto"/>
        <w:ind w:left="45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）变更指示应说明变更的目的、范围、变更内容以及变更的工程量</w:t>
      </w:r>
      <w:r>
        <w:rPr>
          <w:rFonts w:ascii="宋体" w:hAnsi="宋体" w:eastAsia="宋体" w:cs="宋体"/>
          <w:spacing w:val="-1"/>
          <w:sz w:val="21"/>
          <w:szCs w:val="21"/>
        </w:rPr>
        <w:t>及其进度和技术</w:t>
      </w:r>
    </w:p>
    <w:p w14:paraId="33AAB2CF">
      <w:pPr>
        <w:spacing w:line="233" w:lineRule="auto"/>
        <w:rPr>
          <w:rFonts w:ascii="宋体" w:hAnsi="宋体" w:eastAsia="宋体" w:cs="宋体"/>
          <w:sz w:val="21"/>
          <w:szCs w:val="21"/>
        </w:rPr>
        <w:sectPr>
          <w:footerReference r:id="rId94" w:type="default"/>
          <w:pgSz w:w="11910" w:h="16845"/>
          <w:pgMar w:top="400" w:right="1724" w:bottom="1110" w:left="1786" w:header="0" w:footer="882" w:gutter="0"/>
          <w:cols w:space="720" w:num="1"/>
        </w:sectPr>
      </w:pPr>
    </w:p>
    <w:p w14:paraId="7BE12D1A">
      <w:pPr>
        <w:pStyle w:val="2"/>
        <w:spacing w:line="275" w:lineRule="auto"/>
      </w:pPr>
    </w:p>
    <w:p w14:paraId="34AA1D28">
      <w:pPr>
        <w:pStyle w:val="2"/>
        <w:spacing w:line="275" w:lineRule="auto"/>
      </w:pPr>
    </w:p>
    <w:p w14:paraId="7B0ACEA0">
      <w:pPr>
        <w:pStyle w:val="2"/>
        <w:spacing w:line="275" w:lineRule="auto"/>
      </w:pPr>
    </w:p>
    <w:p w14:paraId="1721CE53">
      <w:pPr>
        <w:pStyle w:val="2"/>
        <w:spacing w:line="275" w:lineRule="auto"/>
      </w:pPr>
    </w:p>
    <w:p w14:paraId="58622C83">
      <w:pPr>
        <w:spacing w:before="69" w:line="219" w:lineRule="auto"/>
        <w:ind w:left="25"/>
        <w:rPr>
          <w:rFonts w:ascii="宋体" w:hAnsi="宋体" w:eastAsia="宋体" w:cs="宋体"/>
          <w:sz w:val="21"/>
          <w:szCs w:val="21"/>
        </w:rPr>
      </w:pPr>
      <w:r>
        <w:rPr>
          <w:rFonts w:ascii="宋体" w:hAnsi="宋体" w:eastAsia="宋体" w:cs="宋体"/>
          <w:spacing w:val="-1"/>
          <w:sz w:val="21"/>
          <w:szCs w:val="21"/>
        </w:rPr>
        <w:t>要求，并附有关图纸和文件。承包人收到变更指示后，应按变更指示进行变更工作。</w:t>
      </w:r>
    </w:p>
    <w:p w14:paraId="49190ACC">
      <w:pPr>
        <w:spacing w:before="130" w:line="233" w:lineRule="auto"/>
        <w:ind w:left="44"/>
        <w:outlineLvl w:val="1"/>
        <w:rPr>
          <w:rFonts w:ascii="黑体" w:hAnsi="黑体" w:eastAsia="黑体" w:cs="黑体"/>
          <w:sz w:val="24"/>
          <w:szCs w:val="24"/>
        </w:rPr>
      </w:pPr>
      <w:bookmarkStart w:id="156" w:name="bookmark137"/>
      <w:bookmarkEnd w:id="156"/>
      <w:r>
        <w:rPr>
          <w:rFonts w:ascii="Times New Roman" w:hAnsi="Times New Roman" w:eastAsia="Times New Roman" w:cs="Times New Roman"/>
          <w:spacing w:val="-2"/>
          <w:sz w:val="24"/>
          <w:szCs w:val="24"/>
        </w:rPr>
        <w:t xml:space="preserve">15.4  </w:t>
      </w:r>
      <w:r>
        <w:rPr>
          <w:rFonts w:ascii="黑体" w:hAnsi="黑体" w:eastAsia="黑体" w:cs="黑体"/>
          <w:spacing w:val="-2"/>
          <w:sz w:val="24"/>
          <w:szCs w:val="24"/>
        </w:rPr>
        <w:t>变更的估价原则</w:t>
      </w:r>
    </w:p>
    <w:p w14:paraId="27965065">
      <w:pPr>
        <w:spacing w:before="113" w:line="218" w:lineRule="auto"/>
        <w:ind w:left="457"/>
        <w:rPr>
          <w:rFonts w:ascii="宋体" w:hAnsi="宋体" w:eastAsia="宋体" w:cs="宋体"/>
          <w:sz w:val="21"/>
          <w:szCs w:val="21"/>
        </w:rPr>
      </w:pPr>
      <w:r>
        <w:rPr>
          <w:rFonts w:ascii="宋体" w:hAnsi="宋体" w:eastAsia="宋体" w:cs="宋体"/>
          <w:spacing w:val="-1"/>
          <w:sz w:val="21"/>
          <w:szCs w:val="21"/>
        </w:rPr>
        <w:t>除专用合同条款另有约定外，因变更引起的价格调整按照本款约</w:t>
      </w:r>
      <w:r>
        <w:rPr>
          <w:rFonts w:ascii="宋体" w:hAnsi="宋体" w:eastAsia="宋体" w:cs="宋体"/>
          <w:spacing w:val="-2"/>
          <w:sz w:val="21"/>
          <w:szCs w:val="21"/>
        </w:rPr>
        <w:t>定处理。</w:t>
      </w:r>
    </w:p>
    <w:p w14:paraId="67772DDD">
      <w:pPr>
        <w:spacing w:before="156"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15.4.1  </w:t>
      </w:r>
      <w:r>
        <w:rPr>
          <w:rFonts w:ascii="宋体" w:hAnsi="宋体" w:eastAsia="宋体" w:cs="宋体"/>
          <w:spacing w:val="-1"/>
          <w:sz w:val="21"/>
          <w:szCs w:val="21"/>
        </w:rPr>
        <w:t>已标价工程量清单中有适用于变更工作的子目的，采用该子目的单价。</w:t>
      </w:r>
    </w:p>
    <w:p w14:paraId="715CF98A">
      <w:pPr>
        <w:spacing w:before="142" w:line="343" w:lineRule="auto"/>
        <w:ind w:left="49" w:right="73" w:firstLine="411"/>
        <w:rPr>
          <w:rFonts w:ascii="宋体" w:hAnsi="宋体" w:eastAsia="宋体" w:cs="宋体"/>
          <w:sz w:val="21"/>
          <w:szCs w:val="21"/>
        </w:rPr>
      </w:pPr>
      <w:r>
        <w:rPr>
          <w:rFonts w:ascii="Times New Roman" w:hAnsi="Times New Roman" w:eastAsia="Times New Roman" w:cs="Times New Roman"/>
          <w:spacing w:val="-3"/>
          <w:sz w:val="21"/>
          <w:szCs w:val="21"/>
        </w:rPr>
        <w:t>15.4.2</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已标价工程量清单中无适用于变更工作的子目，但有类似子目的，可在合理范围</w:t>
      </w:r>
      <w:r>
        <w:rPr>
          <w:rFonts w:ascii="宋体" w:hAnsi="宋体" w:eastAsia="宋体" w:cs="宋体"/>
          <w:spacing w:val="-2"/>
          <w:sz w:val="21"/>
          <w:szCs w:val="21"/>
        </w:rPr>
        <w:t>内参照类似子目的单价，由监理人按第</w:t>
      </w:r>
      <w:r>
        <w:rPr>
          <w:rFonts w:ascii="宋体" w:hAnsi="宋体" w:eastAsia="宋体" w:cs="宋体"/>
          <w:spacing w:val="-31"/>
          <w:sz w:val="21"/>
          <w:szCs w:val="21"/>
        </w:rPr>
        <w:t xml:space="preserve"> </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款商定或确定变更工作的单价。</w:t>
      </w:r>
    </w:p>
    <w:p w14:paraId="6989B981">
      <w:pPr>
        <w:spacing w:before="16" w:line="338" w:lineRule="auto"/>
        <w:ind w:left="26" w:right="73" w:firstLine="434"/>
        <w:rPr>
          <w:rFonts w:ascii="宋体" w:hAnsi="宋体" w:eastAsia="宋体" w:cs="宋体"/>
          <w:sz w:val="21"/>
          <w:szCs w:val="21"/>
        </w:rPr>
      </w:pPr>
      <w:r>
        <w:rPr>
          <w:rFonts w:ascii="Times New Roman" w:hAnsi="Times New Roman" w:eastAsia="Times New Roman" w:cs="Times New Roman"/>
          <w:spacing w:val="-3"/>
          <w:sz w:val="21"/>
          <w:szCs w:val="21"/>
        </w:rPr>
        <w:t>15.4.3</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已标价工程量清单中无适用或类似子目的单价，可按照成本加利润的原则，由监</w:t>
      </w:r>
      <w:r>
        <w:rPr>
          <w:rFonts w:ascii="宋体" w:hAnsi="宋体" w:eastAsia="宋体" w:cs="宋体"/>
          <w:spacing w:val="-2"/>
          <w:sz w:val="21"/>
          <w:szCs w:val="21"/>
        </w:rPr>
        <w:t>理人按第</w:t>
      </w:r>
      <w:r>
        <w:rPr>
          <w:rFonts w:ascii="宋体" w:hAnsi="宋体" w:eastAsia="宋体" w:cs="宋体"/>
          <w:spacing w:val="-37"/>
          <w:sz w:val="21"/>
          <w:szCs w:val="21"/>
        </w:rPr>
        <w:t xml:space="preserve"> </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款商定或确定变更工作的单价。</w:t>
      </w:r>
    </w:p>
    <w:p w14:paraId="1BA98842">
      <w:pPr>
        <w:spacing w:before="1" w:line="232" w:lineRule="auto"/>
        <w:ind w:left="44"/>
        <w:outlineLvl w:val="1"/>
        <w:rPr>
          <w:rFonts w:ascii="黑体" w:hAnsi="黑体" w:eastAsia="黑体" w:cs="黑体"/>
          <w:sz w:val="24"/>
          <w:szCs w:val="24"/>
        </w:rPr>
      </w:pPr>
      <w:bookmarkStart w:id="157" w:name="bookmark138"/>
      <w:bookmarkEnd w:id="157"/>
      <w:r>
        <w:rPr>
          <w:rFonts w:ascii="Times New Roman" w:hAnsi="Times New Roman" w:eastAsia="Times New Roman" w:cs="Times New Roman"/>
          <w:spacing w:val="-2"/>
          <w:sz w:val="24"/>
          <w:szCs w:val="24"/>
        </w:rPr>
        <w:t xml:space="preserve">15.5  </w:t>
      </w:r>
      <w:r>
        <w:rPr>
          <w:rFonts w:ascii="黑体" w:hAnsi="黑体" w:eastAsia="黑体" w:cs="黑体"/>
          <w:spacing w:val="-2"/>
          <w:sz w:val="24"/>
          <w:szCs w:val="24"/>
        </w:rPr>
        <w:t>承包人的合理化建议</w:t>
      </w:r>
    </w:p>
    <w:p w14:paraId="35061825">
      <w:pPr>
        <w:spacing w:before="129" w:line="353" w:lineRule="auto"/>
        <w:ind w:left="22" w:firstLine="438"/>
        <w:rPr>
          <w:rFonts w:ascii="宋体" w:hAnsi="宋体" w:eastAsia="宋体" w:cs="宋体"/>
          <w:sz w:val="21"/>
          <w:szCs w:val="21"/>
        </w:rPr>
      </w:pPr>
      <w:r>
        <w:rPr>
          <w:rFonts w:ascii="Times New Roman" w:hAnsi="Times New Roman" w:eastAsia="Times New Roman" w:cs="Times New Roman"/>
          <w:spacing w:val="-2"/>
          <w:sz w:val="21"/>
          <w:szCs w:val="21"/>
        </w:rPr>
        <w:t xml:space="preserve">15.5.1  </w:t>
      </w:r>
      <w:r>
        <w:rPr>
          <w:rFonts w:ascii="宋体" w:hAnsi="宋体" w:eastAsia="宋体" w:cs="宋体"/>
          <w:spacing w:val="-2"/>
          <w:sz w:val="21"/>
          <w:szCs w:val="21"/>
        </w:rPr>
        <w:t>在履行合同过程中，承包人对发包人提供的图纸、技术要求以及其他方面提出的</w:t>
      </w:r>
      <w:r>
        <w:rPr>
          <w:rFonts w:ascii="宋体" w:hAnsi="宋体" w:eastAsia="宋体" w:cs="宋体"/>
          <w:spacing w:val="-5"/>
          <w:sz w:val="21"/>
          <w:szCs w:val="21"/>
        </w:rPr>
        <w:t>合理化建议，均应以书面形式提交监理人。合理化建议书的内容应包括建议工作的详细说明、</w:t>
      </w:r>
      <w:r>
        <w:rPr>
          <w:rFonts w:ascii="宋体" w:hAnsi="宋体" w:eastAsia="宋体" w:cs="宋体"/>
          <w:spacing w:val="-2"/>
          <w:sz w:val="21"/>
          <w:szCs w:val="21"/>
        </w:rPr>
        <w:t>进度计划和效益以及与其他工作的协调等，并附必要的设计文件。监理人应与发包人协商是</w:t>
      </w:r>
      <w:r>
        <w:rPr>
          <w:rFonts w:ascii="宋体" w:hAnsi="宋体" w:eastAsia="宋体" w:cs="宋体"/>
          <w:spacing w:val="-1"/>
          <w:sz w:val="21"/>
          <w:szCs w:val="21"/>
        </w:rPr>
        <w:t>否采纳建议。建议被采纳并构成变更的，应按第</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15.3.3</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项约定向承包人发出变更指示。</w:t>
      </w:r>
    </w:p>
    <w:p w14:paraId="2FB0AF55">
      <w:pPr>
        <w:spacing w:line="335" w:lineRule="auto"/>
        <w:ind w:left="41" w:right="72"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15.5.2  </w:t>
      </w:r>
      <w:r>
        <w:rPr>
          <w:rFonts w:ascii="宋体" w:hAnsi="宋体" w:eastAsia="宋体" w:cs="宋体"/>
          <w:spacing w:val="-2"/>
          <w:sz w:val="21"/>
          <w:szCs w:val="21"/>
        </w:rPr>
        <w:t>承包人提出的合理化建议降低了合同价格、缩短了工期或者提高了工程经济效益的，发包人可按国家有关规定在专用合同条款中约定给予奖励。</w:t>
      </w:r>
    </w:p>
    <w:p w14:paraId="26F1E00D">
      <w:pPr>
        <w:spacing w:before="7" w:line="233" w:lineRule="auto"/>
        <w:ind w:left="44"/>
        <w:outlineLvl w:val="1"/>
        <w:rPr>
          <w:rFonts w:ascii="黑体" w:hAnsi="黑体" w:eastAsia="黑体" w:cs="黑体"/>
          <w:sz w:val="24"/>
          <w:szCs w:val="24"/>
        </w:rPr>
      </w:pPr>
      <w:bookmarkStart w:id="158" w:name="bookmark139"/>
      <w:bookmarkEnd w:id="158"/>
      <w:r>
        <w:rPr>
          <w:rFonts w:ascii="Times New Roman" w:hAnsi="Times New Roman" w:eastAsia="Times New Roman" w:cs="Times New Roman"/>
          <w:spacing w:val="-6"/>
          <w:sz w:val="24"/>
          <w:szCs w:val="24"/>
        </w:rPr>
        <w:t>15.6</w:t>
      </w:r>
      <w:r>
        <w:rPr>
          <w:rFonts w:ascii="Times New Roman" w:hAnsi="Times New Roman" w:eastAsia="Times New Roman" w:cs="Times New Roman"/>
          <w:spacing w:val="12"/>
          <w:sz w:val="24"/>
          <w:szCs w:val="24"/>
        </w:rPr>
        <w:t xml:space="preserve">  </w:t>
      </w:r>
      <w:r>
        <w:rPr>
          <w:rFonts w:ascii="黑体" w:hAnsi="黑体" w:eastAsia="黑体" w:cs="黑体"/>
          <w:spacing w:val="-6"/>
          <w:sz w:val="24"/>
          <w:szCs w:val="24"/>
        </w:rPr>
        <w:t>暂列金额</w:t>
      </w:r>
    </w:p>
    <w:p w14:paraId="3B4DAD67">
      <w:pPr>
        <w:spacing w:before="129" w:line="218" w:lineRule="auto"/>
        <w:ind w:left="451"/>
        <w:rPr>
          <w:rFonts w:ascii="宋体" w:hAnsi="宋体" w:eastAsia="宋体" w:cs="宋体"/>
          <w:sz w:val="21"/>
          <w:szCs w:val="21"/>
        </w:rPr>
      </w:pPr>
      <w:r>
        <w:rPr>
          <w:rFonts w:ascii="宋体" w:hAnsi="宋体" w:eastAsia="宋体" w:cs="宋体"/>
          <w:spacing w:val="-1"/>
          <w:sz w:val="21"/>
          <w:szCs w:val="21"/>
        </w:rPr>
        <w:t>暂列金额只能按照监理人的指示使用，并对合同价格进行相应调整。</w:t>
      </w:r>
    </w:p>
    <w:p w14:paraId="20078CFC">
      <w:pPr>
        <w:spacing w:before="115" w:line="236" w:lineRule="auto"/>
        <w:ind w:left="44"/>
        <w:outlineLvl w:val="1"/>
        <w:rPr>
          <w:rFonts w:ascii="黑体" w:hAnsi="黑体" w:eastAsia="黑体" w:cs="黑体"/>
          <w:sz w:val="24"/>
          <w:szCs w:val="24"/>
        </w:rPr>
      </w:pPr>
      <w:bookmarkStart w:id="159" w:name="bookmark140"/>
      <w:bookmarkEnd w:id="159"/>
      <w:r>
        <w:rPr>
          <w:rFonts w:ascii="Times New Roman" w:hAnsi="Times New Roman" w:eastAsia="Times New Roman" w:cs="Times New Roman"/>
          <w:spacing w:val="-5"/>
          <w:sz w:val="24"/>
          <w:szCs w:val="24"/>
        </w:rPr>
        <w:t>15.7</w:t>
      </w:r>
      <w:r>
        <w:rPr>
          <w:rFonts w:ascii="Times New Roman" w:hAnsi="Times New Roman" w:eastAsia="Times New Roman" w:cs="Times New Roman"/>
          <w:spacing w:val="5"/>
          <w:sz w:val="24"/>
          <w:szCs w:val="24"/>
        </w:rPr>
        <w:t xml:space="preserve">  </w:t>
      </w:r>
      <w:r>
        <w:rPr>
          <w:rFonts w:ascii="黑体" w:hAnsi="黑体" w:eastAsia="黑体" w:cs="黑体"/>
          <w:spacing w:val="-5"/>
          <w:sz w:val="24"/>
          <w:szCs w:val="24"/>
        </w:rPr>
        <w:t>计日工</w:t>
      </w:r>
    </w:p>
    <w:p w14:paraId="41D5D0B2">
      <w:pPr>
        <w:spacing w:before="125" w:line="348" w:lineRule="auto"/>
        <w:ind w:left="25" w:right="14"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15.7.1  </w:t>
      </w:r>
      <w:r>
        <w:rPr>
          <w:rFonts w:ascii="宋体" w:hAnsi="宋体" w:eastAsia="宋体" w:cs="宋体"/>
          <w:spacing w:val="-1"/>
          <w:sz w:val="21"/>
          <w:szCs w:val="21"/>
        </w:rPr>
        <w:t>发包人认为有必要时，由监理人通知承包人以计日工方式实施变更的零星工作。其价款按列入已标价工程量清单中的计日工计价子目及其单价进行计算。</w:t>
      </w:r>
    </w:p>
    <w:p w14:paraId="60577B14">
      <w:pPr>
        <w:spacing w:before="5" w:line="348" w:lineRule="auto"/>
        <w:ind w:left="26" w:right="73" w:firstLine="434"/>
        <w:rPr>
          <w:rFonts w:ascii="宋体" w:hAnsi="宋体" w:eastAsia="宋体" w:cs="宋体"/>
          <w:sz w:val="21"/>
          <w:szCs w:val="21"/>
        </w:rPr>
      </w:pPr>
      <w:r>
        <w:rPr>
          <w:rFonts w:ascii="Times New Roman" w:hAnsi="Times New Roman" w:eastAsia="Times New Roman" w:cs="Times New Roman"/>
          <w:spacing w:val="-2"/>
          <w:sz w:val="21"/>
          <w:szCs w:val="21"/>
        </w:rPr>
        <w:t xml:space="preserve">15.7.2  </w:t>
      </w:r>
      <w:r>
        <w:rPr>
          <w:rFonts w:ascii="宋体" w:hAnsi="宋体" w:eastAsia="宋体" w:cs="宋体"/>
          <w:spacing w:val="-2"/>
          <w:sz w:val="21"/>
          <w:szCs w:val="21"/>
        </w:rPr>
        <w:t>采用计日工计价的任何一项变更工作，应从暂列金额中支付，承包人应在该项变更的实施过程中，每天提交以下报表和有关凭证报送监理人审批：</w:t>
      </w:r>
    </w:p>
    <w:p w14:paraId="33FEB178">
      <w:pPr>
        <w:spacing w:before="19" w:line="233" w:lineRule="auto"/>
        <w:ind w:left="7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）工作名称、内容和数量；</w:t>
      </w:r>
    </w:p>
    <w:p w14:paraId="49134C11">
      <w:pPr>
        <w:spacing w:before="126"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）投入该工作所有人员的姓名、工种、级别和耗用工时；</w:t>
      </w:r>
    </w:p>
    <w:p w14:paraId="1AAC2CED">
      <w:pPr>
        <w:spacing w:before="139" w:line="233" w:lineRule="auto"/>
        <w:ind w:left="7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）投入该工作的材料类别和数量；</w:t>
      </w:r>
    </w:p>
    <w:p w14:paraId="1CC289DA">
      <w:pPr>
        <w:spacing w:before="141"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）投入该工作的施工设备型号、台数和耗</w:t>
      </w:r>
      <w:r>
        <w:rPr>
          <w:rFonts w:ascii="宋体" w:hAnsi="宋体" w:eastAsia="宋体" w:cs="宋体"/>
          <w:spacing w:val="-3"/>
          <w:sz w:val="21"/>
          <w:szCs w:val="21"/>
        </w:rPr>
        <w:t>用台时；</w:t>
      </w:r>
    </w:p>
    <w:p w14:paraId="3A083930">
      <w:pPr>
        <w:spacing w:before="125"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）监理人要求提交的其他资料和凭证。</w:t>
      </w:r>
    </w:p>
    <w:p w14:paraId="67FED66A">
      <w:pPr>
        <w:spacing w:before="141" w:line="338" w:lineRule="auto"/>
        <w:ind w:left="26" w:right="76" w:firstLine="434"/>
        <w:rPr>
          <w:rFonts w:ascii="宋体" w:hAnsi="宋体" w:eastAsia="宋体" w:cs="宋体"/>
          <w:sz w:val="21"/>
          <w:szCs w:val="21"/>
        </w:rPr>
      </w:pPr>
      <w:r>
        <w:rPr>
          <w:rFonts w:ascii="Times New Roman" w:hAnsi="Times New Roman" w:eastAsia="Times New Roman" w:cs="Times New Roman"/>
          <w:spacing w:val="-3"/>
          <w:sz w:val="21"/>
          <w:szCs w:val="21"/>
        </w:rPr>
        <w:t xml:space="preserve">15.7.3  </w:t>
      </w:r>
      <w:r>
        <w:rPr>
          <w:rFonts w:ascii="宋体" w:hAnsi="宋体" w:eastAsia="宋体" w:cs="宋体"/>
          <w:spacing w:val="-3"/>
          <w:sz w:val="21"/>
          <w:szCs w:val="21"/>
        </w:rPr>
        <w:t>计日工由承包人汇总后，按第</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17.3.2</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项的约定列入进度付款申请单，由监理人复</w:t>
      </w:r>
      <w:r>
        <w:rPr>
          <w:rFonts w:ascii="宋体" w:hAnsi="宋体" w:eastAsia="宋体" w:cs="宋体"/>
          <w:spacing w:val="-2"/>
          <w:sz w:val="21"/>
          <w:szCs w:val="21"/>
        </w:rPr>
        <w:t>核并经发包人同意后列入进度付款。</w:t>
      </w:r>
    </w:p>
    <w:p w14:paraId="1E5963C6">
      <w:pPr>
        <w:spacing w:before="1" w:line="232" w:lineRule="auto"/>
        <w:ind w:left="44"/>
        <w:outlineLvl w:val="1"/>
        <w:rPr>
          <w:rFonts w:ascii="黑体" w:hAnsi="黑体" w:eastAsia="黑体" w:cs="黑体"/>
          <w:sz w:val="24"/>
          <w:szCs w:val="24"/>
        </w:rPr>
      </w:pPr>
      <w:bookmarkStart w:id="160" w:name="bookmark141"/>
      <w:bookmarkEnd w:id="160"/>
      <w:r>
        <w:rPr>
          <w:rFonts w:ascii="Times New Roman" w:hAnsi="Times New Roman" w:eastAsia="Times New Roman" w:cs="Times New Roman"/>
          <w:spacing w:val="-6"/>
          <w:sz w:val="24"/>
          <w:szCs w:val="24"/>
        </w:rPr>
        <w:t>15.8</w:t>
      </w:r>
      <w:r>
        <w:rPr>
          <w:rFonts w:ascii="Times New Roman" w:hAnsi="Times New Roman" w:eastAsia="Times New Roman" w:cs="Times New Roman"/>
          <w:spacing w:val="10"/>
          <w:sz w:val="24"/>
          <w:szCs w:val="24"/>
        </w:rPr>
        <w:t xml:space="preserve">  </w:t>
      </w:r>
      <w:r>
        <w:rPr>
          <w:rFonts w:ascii="黑体" w:hAnsi="黑体" w:eastAsia="黑体" w:cs="黑体"/>
          <w:spacing w:val="-6"/>
          <w:sz w:val="24"/>
          <w:szCs w:val="24"/>
        </w:rPr>
        <w:t>暂估价</w:t>
      </w:r>
    </w:p>
    <w:p w14:paraId="33D4EF05">
      <w:pPr>
        <w:spacing w:before="130" w:line="351" w:lineRule="auto"/>
        <w:ind w:left="24" w:right="26" w:firstLine="451"/>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15.8.1  </w:t>
      </w:r>
      <w:r>
        <w:rPr>
          <w:rFonts w:ascii="宋体" w:hAnsi="宋体" w:eastAsia="宋体" w:cs="宋体"/>
          <w:spacing w:val="-2"/>
          <w:sz w:val="21"/>
          <w:szCs w:val="21"/>
        </w:rPr>
        <w:t>发包人在工程量清单中给定暂估价的材料、工程设</w:t>
      </w:r>
      <w:r>
        <w:rPr>
          <w:rFonts w:ascii="宋体" w:hAnsi="宋体" w:eastAsia="宋体" w:cs="宋体"/>
          <w:spacing w:val="-3"/>
          <w:sz w:val="21"/>
          <w:szCs w:val="21"/>
        </w:rPr>
        <w:t>备和专业工程属于依法必须招</w:t>
      </w:r>
      <w:r>
        <w:rPr>
          <w:rFonts w:ascii="宋体" w:hAnsi="宋体" w:eastAsia="宋体" w:cs="宋体"/>
          <w:sz w:val="21"/>
          <w:szCs w:val="21"/>
        </w:rPr>
        <w:t>标的范围并达到规定的规模标准的，由发包</w:t>
      </w:r>
      <w:r>
        <w:rPr>
          <w:rFonts w:ascii="宋体" w:hAnsi="宋体" w:eastAsia="宋体" w:cs="宋体"/>
          <w:spacing w:val="-1"/>
          <w:sz w:val="21"/>
          <w:szCs w:val="21"/>
        </w:rPr>
        <w:t>人和承包人以招标的方式选择供应商或分包人。</w:t>
      </w:r>
      <w:r>
        <w:rPr>
          <w:rFonts w:ascii="宋体" w:hAnsi="宋体" w:eastAsia="宋体" w:cs="宋体"/>
          <w:spacing w:val="-2"/>
          <w:sz w:val="21"/>
          <w:szCs w:val="21"/>
        </w:rPr>
        <w:t>发包人和承包人的权利义务关系在专用合同条款中约定。中标金额与工程量清单中所列的暂</w:t>
      </w:r>
      <w:r>
        <w:rPr>
          <w:rFonts w:ascii="宋体" w:hAnsi="宋体" w:eastAsia="宋体" w:cs="宋体"/>
          <w:spacing w:val="-1"/>
          <w:sz w:val="21"/>
          <w:szCs w:val="21"/>
        </w:rPr>
        <w:t>估价的金额差以及相应的税金等其他费用列入合同价</w:t>
      </w:r>
      <w:r>
        <w:rPr>
          <w:rFonts w:ascii="宋体" w:hAnsi="宋体" w:eastAsia="宋体" w:cs="宋体"/>
          <w:spacing w:val="-2"/>
          <w:sz w:val="21"/>
          <w:szCs w:val="21"/>
        </w:rPr>
        <w:t>格。</w:t>
      </w:r>
    </w:p>
    <w:p w14:paraId="08D81CC3">
      <w:pPr>
        <w:spacing w:line="351" w:lineRule="auto"/>
        <w:rPr>
          <w:rFonts w:ascii="宋体" w:hAnsi="宋体" w:eastAsia="宋体" w:cs="宋体"/>
          <w:sz w:val="21"/>
          <w:szCs w:val="21"/>
        </w:rPr>
        <w:sectPr>
          <w:footerReference r:id="rId95" w:type="default"/>
          <w:pgSz w:w="11910" w:h="16845"/>
          <w:pgMar w:top="400" w:right="1692" w:bottom="1110" w:left="1786" w:header="0" w:footer="883" w:gutter="0"/>
          <w:cols w:space="720" w:num="1"/>
        </w:sectPr>
      </w:pPr>
    </w:p>
    <w:p w14:paraId="76C22200">
      <w:pPr>
        <w:pStyle w:val="2"/>
        <w:spacing w:line="275" w:lineRule="auto"/>
      </w:pPr>
    </w:p>
    <w:p w14:paraId="1D6E7159">
      <w:pPr>
        <w:pStyle w:val="2"/>
        <w:spacing w:line="275" w:lineRule="auto"/>
      </w:pPr>
    </w:p>
    <w:p w14:paraId="3536AD13">
      <w:pPr>
        <w:pStyle w:val="2"/>
        <w:spacing w:line="276" w:lineRule="auto"/>
      </w:pPr>
    </w:p>
    <w:p w14:paraId="31D1EA51">
      <w:pPr>
        <w:pStyle w:val="2"/>
        <w:spacing w:line="276" w:lineRule="auto"/>
      </w:pPr>
    </w:p>
    <w:p w14:paraId="727C5705">
      <w:pPr>
        <w:spacing w:before="68" w:line="349" w:lineRule="auto"/>
        <w:ind w:left="26" w:firstLine="434"/>
        <w:rPr>
          <w:rFonts w:ascii="宋体" w:hAnsi="宋体" w:eastAsia="宋体" w:cs="宋体"/>
          <w:sz w:val="21"/>
          <w:szCs w:val="21"/>
        </w:rPr>
      </w:pPr>
      <w:r>
        <w:rPr>
          <w:rFonts w:ascii="Times New Roman" w:hAnsi="Times New Roman" w:eastAsia="Times New Roman" w:cs="Times New Roman"/>
          <w:spacing w:val="2"/>
          <w:sz w:val="21"/>
          <w:szCs w:val="21"/>
        </w:rPr>
        <w:t xml:space="preserve">15.8.2  </w:t>
      </w:r>
      <w:r>
        <w:rPr>
          <w:rFonts w:ascii="宋体" w:hAnsi="宋体" w:eastAsia="宋体" w:cs="宋体"/>
          <w:spacing w:val="2"/>
          <w:sz w:val="21"/>
          <w:szCs w:val="21"/>
        </w:rPr>
        <w:t>发包人在工程量清单中给定暂估价的材料和工程设备不属于依法必须招标的范</w:t>
      </w:r>
      <w:r>
        <w:rPr>
          <w:rFonts w:ascii="宋体" w:hAnsi="宋体" w:eastAsia="宋体" w:cs="宋体"/>
          <w:spacing w:val="-1"/>
          <w:sz w:val="21"/>
          <w:szCs w:val="21"/>
        </w:rPr>
        <w:t>围或未达到规定的规模标准的，应由承包人按第</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5.1</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款的约定提供。</w:t>
      </w:r>
      <w:r>
        <w:rPr>
          <w:rFonts w:ascii="宋体" w:hAnsi="宋体" w:eastAsia="宋体" w:cs="宋体"/>
          <w:spacing w:val="-2"/>
          <w:sz w:val="21"/>
          <w:szCs w:val="21"/>
        </w:rPr>
        <w:t>经监理人确认的材料、</w:t>
      </w:r>
      <w:r>
        <w:rPr>
          <w:rFonts w:ascii="宋体" w:hAnsi="宋体" w:eastAsia="宋体" w:cs="宋体"/>
          <w:spacing w:val="3"/>
          <w:sz w:val="21"/>
          <w:szCs w:val="21"/>
        </w:rPr>
        <w:t>工程设备的价格与工程量清单中所列的暂估价的金额差以及相应的税</w:t>
      </w:r>
      <w:r>
        <w:rPr>
          <w:rFonts w:ascii="宋体" w:hAnsi="宋体" w:eastAsia="宋体" w:cs="宋体"/>
          <w:spacing w:val="2"/>
          <w:sz w:val="21"/>
          <w:szCs w:val="21"/>
        </w:rPr>
        <w:t>金等其他费用列入合</w:t>
      </w:r>
      <w:r>
        <w:rPr>
          <w:rFonts w:ascii="宋体" w:hAnsi="宋体" w:eastAsia="宋体" w:cs="宋体"/>
          <w:spacing w:val="-8"/>
          <w:sz w:val="21"/>
          <w:szCs w:val="21"/>
        </w:rPr>
        <w:t>同价格。</w:t>
      </w:r>
    </w:p>
    <w:p w14:paraId="59897213">
      <w:pPr>
        <w:spacing w:before="18" w:line="349" w:lineRule="auto"/>
        <w:ind w:left="23"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15.8.3  </w:t>
      </w:r>
      <w:r>
        <w:rPr>
          <w:rFonts w:ascii="宋体" w:hAnsi="宋体" w:eastAsia="宋体" w:cs="宋体"/>
          <w:spacing w:val="2"/>
          <w:sz w:val="21"/>
          <w:szCs w:val="21"/>
        </w:rPr>
        <w:t>发包人在工程量清单中给定暂估价的专业工程不属于依法必须招标的范围或未</w:t>
      </w:r>
      <w:r>
        <w:rPr>
          <w:rFonts w:ascii="宋体" w:hAnsi="宋体" w:eastAsia="宋体" w:cs="宋体"/>
          <w:sz w:val="21"/>
          <w:szCs w:val="21"/>
        </w:rPr>
        <w:t xml:space="preserve">达到规定的规模标准的，由监理人按照第 </w:t>
      </w:r>
      <w:r>
        <w:rPr>
          <w:rFonts w:ascii="Times New Roman" w:hAnsi="Times New Roman" w:eastAsia="Times New Roman" w:cs="Times New Roman"/>
          <w:sz w:val="21"/>
          <w:szCs w:val="21"/>
        </w:rPr>
        <w:t xml:space="preserve">15.4  </w:t>
      </w:r>
      <w:r>
        <w:rPr>
          <w:rFonts w:ascii="宋体" w:hAnsi="宋体" w:eastAsia="宋体" w:cs="宋体"/>
          <w:sz w:val="21"/>
          <w:szCs w:val="21"/>
        </w:rPr>
        <w:t>款进</w:t>
      </w:r>
      <w:r>
        <w:rPr>
          <w:rFonts w:ascii="宋体" w:hAnsi="宋体" w:eastAsia="宋体" w:cs="宋体"/>
          <w:spacing w:val="-1"/>
          <w:sz w:val="21"/>
          <w:szCs w:val="21"/>
        </w:rPr>
        <w:t>行估价，但专用合同条款另有约定的除</w:t>
      </w:r>
      <w:r>
        <w:rPr>
          <w:rFonts w:ascii="宋体" w:hAnsi="宋体" w:eastAsia="宋体" w:cs="宋体"/>
          <w:spacing w:val="-2"/>
          <w:sz w:val="21"/>
          <w:szCs w:val="21"/>
        </w:rPr>
        <w:t>外。经估价的专业工程与工程量清单中所列的暂估价的金额差以及相应的税金等其他</w:t>
      </w:r>
      <w:r>
        <w:rPr>
          <w:rFonts w:ascii="宋体" w:hAnsi="宋体" w:eastAsia="宋体" w:cs="宋体"/>
          <w:spacing w:val="-3"/>
          <w:sz w:val="21"/>
          <w:szCs w:val="21"/>
        </w:rPr>
        <w:t>费用列</w:t>
      </w:r>
      <w:r>
        <w:rPr>
          <w:rFonts w:ascii="宋体" w:hAnsi="宋体" w:eastAsia="宋体" w:cs="宋体"/>
          <w:spacing w:val="-5"/>
          <w:sz w:val="21"/>
          <w:szCs w:val="21"/>
        </w:rPr>
        <w:t>入合同价格。</w:t>
      </w:r>
    </w:p>
    <w:p w14:paraId="56E38661">
      <w:pPr>
        <w:spacing w:before="41" w:line="237" w:lineRule="auto"/>
        <w:ind w:left="49"/>
        <w:outlineLvl w:val="0"/>
        <w:rPr>
          <w:rFonts w:ascii="黑体" w:hAnsi="黑体" w:eastAsia="黑体" w:cs="黑体"/>
          <w:sz w:val="28"/>
          <w:szCs w:val="28"/>
        </w:rPr>
      </w:pPr>
      <w:bookmarkStart w:id="161" w:name="bookmark143"/>
      <w:bookmarkEnd w:id="161"/>
      <w:bookmarkStart w:id="162" w:name="bookmark142"/>
      <w:bookmarkEnd w:id="162"/>
      <w:r>
        <w:rPr>
          <w:rFonts w:ascii="Times New Roman" w:hAnsi="Times New Roman" w:eastAsia="Times New Roman" w:cs="Times New Roman"/>
          <w:spacing w:val="-1"/>
          <w:sz w:val="28"/>
          <w:szCs w:val="28"/>
        </w:rPr>
        <w:t>16.</w:t>
      </w:r>
      <w:r>
        <w:rPr>
          <w:rFonts w:ascii="Times New Roman" w:hAnsi="Times New Roman" w:eastAsia="Times New Roman" w:cs="Times New Roman"/>
          <w:spacing w:val="14"/>
          <w:sz w:val="28"/>
          <w:szCs w:val="28"/>
        </w:rPr>
        <w:t xml:space="preserve">  </w:t>
      </w:r>
      <w:r>
        <w:rPr>
          <w:rFonts w:ascii="黑体" w:hAnsi="黑体" w:eastAsia="黑体" w:cs="黑体"/>
          <w:spacing w:val="-1"/>
          <w:sz w:val="28"/>
          <w:szCs w:val="28"/>
        </w:rPr>
        <w:t>价格调整</w:t>
      </w:r>
    </w:p>
    <w:p w14:paraId="3F81CB94">
      <w:pPr>
        <w:spacing w:before="85" w:line="233" w:lineRule="auto"/>
        <w:ind w:left="44"/>
        <w:outlineLvl w:val="1"/>
        <w:rPr>
          <w:rFonts w:ascii="黑体" w:hAnsi="黑体" w:eastAsia="黑体" w:cs="黑体"/>
          <w:sz w:val="24"/>
          <w:szCs w:val="24"/>
        </w:rPr>
      </w:pPr>
      <w:bookmarkStart w:id="163" w:name="bookmark645"/>
      <w:bookmarkEnd w:id="163"/>
      <w:r>
        <w:rPr>
          <w:rFonts w:ascii="Times New Roman" w:hAnsi="Times New Roman" w:eastAsia="Times New Roman" w:cs="Times New Roman"/>
          <w:spacing w:val="-2"/>
          <w:sz w:val="24"/>
          <w:szCs w:val="24"/>
        </w:rPr>
        <w:t xml:space="preserve">16.1  </w:t>
      </w:r>
      <w:r>
        <w:rPr>
          <w:rFonts w:ascii="黑体" w:hAnsi="黑体" w:eastAsia="黑体" w:cs="黑体"/>
          <w:spacing w:val="-2"/>
          <w:sz w:val="24"/>
          <w:szCs w:val="24"/>
        </w:rPr>
        <w:t>物价波动引起的价格调整</w:t>
      </w:r>
    </w:p>
    <w:p w14:paraId="2FF750EE">
      <w:pPr>
        <w:spacing w:before="114" w:line="218" w:lineRule="auto"/>
        <w:ind w:left="457"/>
        <w:rPr>
          <w:rFonts w:ascii="宋体" w:hAnsi="宋体" w:eastAsia="宋体" w:cs="宋体"/>
          <w:sz w:val="21"/>
          <w:szCs w:val="21"/>
        </w:rPr>
      </w:pPr>
      <w:r>
        <w:rPr>
          <w:rFonts w:ascii="宋体" w:hAnsi="宋体" w:eastAsia="宋体" w:cs="宋体"/>
          <w:spacing w:val="-1"/>
          <w:sz w:val="21"/>
          <w:szCs w:val="21"/>
        </w:rPr>
        <w:t>除专用合同条款另有约定外，因物价波动引起的价格调整按照本款约定处理。</w:t>
      </w:r>
    </w:p>
    <w:p w14:paraId="083EECBE">
      <w:pPr>
        <w:spacing w:before="156" w:line="233" w:lineRule="auto"/>
        <w:ind w:left="461"/>
        <w:rPr>
          <w:rFonts w:ascii="黑体" w:hAnsi="黑体" w:eastAsia="黑体" w:cs="黑体"/>
          <w:sz w:val="21"/>
          <w:szCs w:val="21"/>
        </w:rPr>
      </w:pPr>
      <w:r>
        <w:rPr>
          <w:rFonts w:ascii="Times New Roman" w:hAnsi="Times New Roman" w:eastAsia="Times New Roman" w:cs="Times New Roman"/>
          <w:spacing w:val="-1"/>
          <w:sz w:val="21"/>
          <w:szCs w:val="21"/>
        </w:rPr>
        <w:t>16.1.1</w:t>
      </w:r>
      <w:r>
        <w:rPr>
          <w:rFonts w:ascii="Times New Roman" w:hAnsi="Times New Roman" w:eastAsia="Times New Roman" w:cs="Times New Roman"/>
          <w:spacing w:val="51"/>
          <w:sz w:val="21"/>
          <w:szCs w:val="21"/>
        </w:rPr>
        <w:t xml:space="preserve"> </w:t>
      </w:r>
      <w:r>
        <w:rPr>
          <w:rFonts w:ascii="黑体" w:hAnsi="黑体" w:eastAsia="黑体" w:cs="黑体"/>
          <w:spacing w:val="-1"/>
          <w:sz w:val="21"/>
          <w:szCs w:val="21"/>
        </w:rPr>
        <w:t>采用价格指数调整价格差额</w:t>
      </w:r>
    </w:p>
    <w:p w14:paraId="6706A824">
      <w:pPr>
        <w:spacing w:before="141" w:line="232" w:lineRule="auto"/>
        <w:ind w:left="461"/>
        <w:rPr>
          <w:rFonts w:ascii="宋体" w:hAnsi="宋体" w:eastAsia="宋体" w:cs="宋体"/>
          <w:sz w:val="21"/>
          <w:szCs w:val="21"/>
        </w:rPr>
      </w:pPr>
      <w:r>
        <w:fldChar w:fldCharType="begin"/>
      </w:r>
      <w:r>
        <w:instrText xml:space="preserve"> HYPERLINK "16.1.1.1" </w:instrText>
      </w:r>
      <w:r>
        <w:fldChar w:fldCharType="separate"/>
      </w:r>
      <w:r>
        <w:rPr>
          <w:rFonts w:ascii="Times New Roman" w:hAnsi="Times New Roman" w:eastAsia="Times New Roman" w:cs="Times New Roman"/>
          <w:spacing w:val="-1"/>
          <w:sz w:val="21"/>
          <w:szCs w:val="21"/>
        </w:rPr>
        <w:t>16.1.1.1</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53"/>
          <w:sz w:val="21"/>
          <w:szCs w:val="21"/>
        </w:rPr>
        <w:t xml:space="preserve"> </w:t>
      </w:r>
      <w:r>
        <w:rPr>
          <w:rFonts w:ascii="宋体" w:hAnsi="宋体" w:eastAsia="宋体" w:cs="宋体"/>
          <w:spacing w:val="-1"/>
          <w:sz w:val="21"/>
          <w:szCs w:val="21"/>
        </w:rPr>
        <w:t>价格调整公式</w:t>
      </w:r>
    </w:p>
    <w:p w14:paraId="58464DC0">
      <w:pPr>
        <w:spacing w:before="128" w:line="357" w:lineRule="auto"/>
        <w:ind w:left="23" w:right="14" w:firstLine="437"/>
        <w:rPr>
          <w:rFonts w:ascii="宋体" w:hAnsi="宋体" w:eastAsia="宋体" w:cs="宋体"/>
          <w:sz w:val="21"/>
          <w:szCs w:val="21"/>
        </w:rPr>
      </w:pPr>
      <w:r>
        <w:rPr>
          <w:rFonts w:ascii="宋体" w:hAnsi="宋体" w:eastAsia="宋体" w:cs="宋体"/>
          <w:spacing w:val="-3"/>
          <w:sz w:val="21"/>
          <w:szCs w:val="21"/>
        </w:rPr>
        <w:t>因人工、材料和设备等价格波动影响合同价格时，根据投标函附录中的价格指数和权重</w:t>
      </w:r>
      <w:r>
        <w:rPr>
          <w:rFonts w:ascii="宋体" w:hAnsi="宋体" w:eastAsia="宋体" w:cs="宋体"/>
          <w:spacing w:val="-1"/>
          <w:sz w:val="21"/>
          <w:szCs w:val="21"/>
        </w:rPr>
        <w:t>表约定的数据，按以下公式计算差额并调整合同</w:t>
      </w:r>
      <w:r>
        <w:rPr>
          <w:rFonts w:ascii="宋体" w:hAnsi="宋体" w:eastAsia="宋体" w:cs="宋体"/>
          <w:spacing w:val="-2"/>
          <w:sz w:val="21"/>
          <w:szCs w:val="21"/>
        </w:rPr>
        <w:t>价格。</w:t>
      </w:r>
    </w:p>
    <w:p w14:paraId="485E7BC5">
      <w:pPr>
        <w:pStyle w:val="2"/>
        <w:spacing w:line="422" w:lineRule="auto"/>
      </w:pPr>
    </w:p>
    <w:p w14:paraId="2D73D92E">
      <w:pPr>
        <w:spacing w:line="688" w:lineRule="exact"/>
        <w:ind w:left="1591"/>
      </w:pPr>
      <w:r>
        <w:rPr>
          <w:position w:val="-14"/>
        </w:rPr>
        <w:drawing>
          <wp:inline distT="0" distB="0" distL="0" distR="0">
            <wp:extent cx="4016375" cy="43688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57"/>
                    <a:stretch>
                      <a:fillRect/>
                    </a:stretch>
                  </pic:blipFill>
                  <pic:spPr>
                    <a:xfrm>
                      <a:off x="0" y="0"/>
                      <a:ext cx="4016433" cy="437130"/>
                    </a:xfrm>
                    <a:prstGeom prst="rect">
                      <a:avLst/>
                    </a:prstGeom>
                  </pic:spPr>
                </pic:pic>
              </a:graphicData>
            </a:graphic>
          </wp:inline>
        </w:drawing>
      </w:r>
    </w:p>
    <w:p w14:paraId="09ABD1B8">
      <w:pPr>
        <w:pStyle w:val="2"/>
        <w:spacing w:line="405" w:lineRule="auto"/>
      </w:pPr>
    </w:p>
    <w:p w14:paraId="2F2F463D">
      <w:pPr>
        <w:spacing w:before="68" w:line="218" w:lineRule="auto"/>
        <w:ind w:left="448"/>
        <w:rPr>
          <w:rFonts w:ascii="宋体" w:hAnsi="宋体" w:eastAsia="宋体" w:cs="宋体"/>
          <w:sz w:val="21"/>
          <w:szCs w:val="21"/>
        </w:rPr>
      </w:pPr>
      <w:r>
        <w:rPr>
          <w:rFonts w:ascii="宋体" w:hAnsi="宋体" w:eastAsia="宋体" w:cs="宋体"/>
          <w:spacing w:val="-4"/>
          <w:sz w:val="21"/>
          <w:szCs w:val="21"/>
        </w:rPr>
        <w:t>式中： △</w:t>
      </w:r>
      <w:r>
        <w:rPr>
          <w:rFonts w:ascii="Times New Roman" w:hAnsi="Times New Roman" w:eastAsia="Times New Roman" w:cs="Times New Roman"/>
          <w:spacing w:val="-4"/>
          <w:sz w:val="21"/>
          <w:szCs w:val="21"/>
        </w:rPr>
        <w:t>P --</w:t>
      </w:r>
      <w:r>
        <w:rPr>
          <w:rFonts w:ascii="Times New Roman" w:hAnsi="Times New Roman" w:eastAsia="Times New Roman" w:cs="Times New Roman"/>
          <w:spacing w:val="6"/>
          <w:sz w:val="21"/>
          <w:szCs w:val="21"/>
        </w:rPr>
        <w:t xml:space="preserve">  </w:t>
      </w:r>
      <w:r>
        <w:rPr>
          <w:rFonts w:ascii="宋体" w:hAnsi="宋体" w:eastAsia="宋体" w:cs="宋体"/>
          <w:spacing w:val="-4"/>
          <w:sz w:val="21"/>
          <w:szCs w:val="21"/>
        </w:rPr>
        <w:t>需调整的价格差额；</w:t>
      </w:r>
    </w:p>
    <w:p w14:paraId="5B009D34">
      <w:pPr>
        <w:spacing w:before="158" w:line="352" w:lineRule="auto"/>
        <w:ind w:left="25" w:firstLine="1256"/>
        <w:jc w:val="both"/>
        <w:rPr>
          <w:rFonts w:ascii="宋体" w:hAnsi="宋体" w:eastAsia="宋体" w:cs="宋体"/>
          <w:sz w:val="21"/>
          <w:szCs w:val="21"/>
        </w:rPr>
      </w:pPr>
      <w:r>
        <w:rPr>
          <w:rFonts w:ascii="Times New Roman" w:hAnsi="Times New Roman" w:eastAsia="Times New Roman" w:cs="Times New Roman"/>
          <w:spacing w:val="-3"/>
          <w:sz w:val="21"/>
          <w:szCs w:val="21"/>
        </w:rPr>
        <w:t>P</w:t>
      </w:r>
      <w:r>
        <w:rPr>
          <w:rFonts w:ascii="Times New Roman" w:hAnsi="Times New Roman" w:eastAsia="Times New Roman" w:cs="Times New Roman"/>
          <w:spacing w:val="-3"/>
          <w:position w:val="-1"/>
          <w:sz w:val="13"/>
          <w:szCs w:val="13"/>
        </w:rPr>
        <w:t>0</w:t>
      </w:r>
      <w:r>
        <w:rPr>
          <w:rFonts w:ascii="Times New Roman" w:hAnsi="Times New Roman" w:eastAsia="Times New Roman" w:cs="Times New Roman"/>
          <w:spacing w:val="8"/>
          <w:position w:val="-1"/>
          <w:sz w:val="13"/>
          <w:szCs w:val="13"/>
        </w:rPr>
        <w:t xml:space="preserve">   </w:t>
      </w:r>
      <w:r>
        <w:rPr>
          <w:rFonts w:ascii="Times New Roman" w:hAnsi="Times New Roman" w:eastAsia="Times New Roman" w:cs="Times New Roman"/>
          <w:spacing w:val="-3"/>
          <w:sz w:val="21"/>
          <w:szCs w:val="21"/>
        </w:rPr>
        <w:t xml:space="preserve">--  </w:t>
      </w:r>
      <w:r>
        <w:rPr>
          <w:rFonts w:ascii="宋体" w:hAnsi="宋体" w:eastAsia="宋体" w:cs="宋体"/>
          <w:spacing w:val="-3"/>
          <w:sz w:val="21"/>
          <w:szCs w:val="21"/>
        </w:rPr>
        <w:t>第</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17.3.3</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项、第</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17.5.2</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项和第</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17.6.2</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项约定的付款证书中承</w:t>
      </w:r>
      <w:r>
        <w:rPr>
          <w:rFonts w:ascii="宋体" w:hAnsi="宋体" w:eastAsia="宋体" w:cs="宋体"/>
          <w:spacing w:val="-4"/>
          <w:sz w:val="21"/>
          <w:szCs w:val="21"/>
        </w:rPr>
        <w:t>包人应得到</w:t>
      </w:r>
      <w:r>
        <w:rPr>
          <w:rFonts w:ascii="宋体" w:hAnsi="宋体" w:eastAsia="宋体" w:cs="宋体"/>
          <w:spacing w:val="-2"/>
          <w:sz w:val="21"/>
          <w:szCs w:val="21"/>
        </w:rPr>
        <w:t>的已完成工程量的金额。此项金额应不包括价格调整、不计质量保证金的扣留和支付、</w:t>
      </w:r>
      <w:r>
        <w:rPr>
          <w:rFonts w:ascii="宋体" w:hAnsi="宋体" w:eastAsia="宋体" w:cs="宋体"/>
          <w:spacing w:val="-3"/>
          <w:sz w:val="21"/>
          <w:szCs w:val="21"/>
        </w:rPr>
        <w:t>预付</w:t>
      </w:r>
      <w:r>
        <w:rPr>
          <w:rFonts w:ascii="宋体" w:hAnsi="宋体" w:eastAsia="宋体" w:cs="宋体"/>
          <w:spacing w:val="-2"/>
          <w:sz w:val="21"/>
          <w:szCs w:val="21"/>
        </w:rPr>
        <w:t>款的支付和扣回。第</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15</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条约定的变更及其他金额已按现行价格计价的，也不计在内；</w:t>
      </w:r>
    </w:p>
    <w:p w14:paraId="0DDD3189">
      <w:pPr>
        <w:spacing w:line="212" w:lineRule="auto"/>
        <w:ind w:left="1279"/>
        <w:rPr>
          <w:rFonts w:ascii="宋体" w:hAnsi="宋体" w:eastAsia="宋体" w:cs="宋体"/>
          <w:sz w:val="21"/>
          <w:szCs w:val="21"/>
        </w:rPr>
      </w:pPr>
      <w:r>
        <w:rPr>
          <w:rFonts w:ascii="Times New Roman" w:hAnsi="Times New Roman" w:eastAsia="Times New Roman" w:cs="Times New Roman"/>
          <w:spacing w:val="-1"/>
          <w:sz w:val="21"/>
          <w:szCs w:val="21"/>
        </w:rPr>
        <w:t xml:space="preserve">A --  </w:t>
      </w:r>
      <w:r>
        <w:rPr>
          <w:rFonts w:ascii="宋体" w:hAnsi="宋体" w:eastAsia="宋体" w:cs="宋体"/>
          <w:spacing w:val="-1"/>
          <w:sz w:val="21"/>
          <w:szCs w:val="21"/>
        </w:rPr>
        <w:t>定值权重</w:t>
      </w:r>
      <w:r>
        <w:rPr>
          <w:rFonts w:ascii="Times New Roman" w:hAnsi="Times New Roman" w:eastAsia="Times New Roman" w:cs="Times New Roman"/>
          <w:spacing w:val="-1"/>
          <w:sz w:val="21"/>
          <w:szCs w:val="21"/>
        </w:rPr>
        <w:t>(</w:t>
      </w:r>
      <w:r>
        <w:rPr>
          <w:rFonts w:ascii="宋体" w:hAnsi="宋体" w:eastAsia="宋体" w:cs="宋体"/>
          <w:spacing w:val="-1"/>
          <w:sz w:val="21"/>
          <w:szCs w:val="21"/>
        </w:rPr>
        <w:t>即不调部分的权重</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14:paraId="094AD752">
      <w:pPr>
        <w:spacing w:before="163" w:line="335" w:lineRule="auto"/>
        <w:ind w:left="23" w:right="2" w:firstLine="1257"/>
        <w:rPr>
          <w:rFonts w:ascii="宋体" w:hAnsi="宋体" w:eastAsia="宋体" w:cs="宋体"/>
          <w:sz w:val="21"/>
          <w:szCs w:val="21"/>
        </w:rPr>
      </w:pPr>
      <w:r>
        <w:rPr>
          <w:rFonts w:ascii="Times New Roman" w:hAnsi="Times New Roman" w:eastAsia="Times New Roman" w:cs="Times New Roman"/>
          <w:spacing w:val="-32"/>
          <w:sz w:val="21"/>
          <w:szCs w:val="21"/>
        </w:rPr>
        <w:t>B</w:t>
      </w:r>
      <w:r>
        <w:rPr>
          <w:rFonts w:ascii="Times New Roman" w:hAnsi="Times New Roman" w:eastAsia="Times New Roman" w:cs="Times New Roman"/>
          <w:spacing w:val="-32"/>
          <w:sz w:val="13"/>
          <w:szCs w:val="13"/>
        </w:rPr>
        <w:t>1</w:t>
      </w:r>
      <w:r>
        <w:rPr>
          <w:rFonts w:ascii="Times New Roman" w:hAnsi="Times New Roman" w:eastAsia="Times New Roman" w:cs="Times New Roman"/>
          <w:spacing w:val="-32"/>
          <w:sz w:val="15"/>
          <w:szCs w:val="15"/>
        </w:rPr>
        <w:t>;</w:t>
      </w:r>
      <w:r>
        <w:rPr>
          <w:rFonts w:ascii="Times New Roman" w:hAnsi="Times New Roman" w:eastAsia="Times New Roman" w:cs="Times New Roman"/>
          <w:spacing w:val="11"/>
          <w:w w:val="101"/>
          <w:sz w:val="15"/>
          <w:szCs w:val="15"/>
        </w:rPr>
        <w:t xml:space="preserve">  </w:t>
      </w:r>
      <w:r>
        <w:rPr>
          <w:rFonts w:ascii="Times New Roman" w:hAnsi="Times New Roman" w:eastAsia="Times New Roman" w:cs="Times New Roman"/>
          <w:spacing w:val="-32"/>
          <w:sz w:val="21"/>
          <w:szCs w:val="21"/>
        </w:rPr>
        <w:t>B</w:t>
      </w:r>
      <w:r>
        <w:rPr>
          <w:rFonts w:ascii="Times New Roman" w:hAnsi="Times New Roman" w:eastAsia="Times New Roman" w:cs="Times New Roman"/>
          <w:spacing w:val="-32"/>
          <w:position w:val="-1"/>
          <w:sz w:val="13"/>
          <w:szCs w:val="13"/>
        </w:rPr>
        <w:t>2</w:t>
      </w:r>
      <w:r>
        <w:rPr>
          <w:rFonts w:ascii="Times New Roman" w:hAnsi="Times New Roman" w:eastAsia="Times New Roman" w:cs="Times New Roman"/>
          <w:spacing w:val="4"/>
          <w:position w:val="-1"/>
          <w:sz w:val="13"/>
          <w:szCs w:val="13"/>
        </w:rPr>
        <w:t xml:space="preserve">   </w:t>
      </w:r>
      <w:r>
        <w:rPr>
          <w:rFonts w:ascii="Times New Roman" w:hAnsi="Times New Roman" w:eastAsia="Times New Roman" w:cs="Times New Roman"/>
          <w:spacing w:val="-32"/>
          <w:sz w:val="21"/>
          <w:szCs w:val="21"/>
        </w:rPr>
        <w:t>;B</w:t>
      </w:r>
      <w:r>
        <w:rPr>
          <w:rFonts w:ascii="Times New Roman" w:hAnsi="Times New Roman" w:eastAsia="Times New Roman" w:cs="Times New Roman"/>
          <w:spacing w:val="-32"/>
          <w:position w:val="-1"/>
          <w:sz w:val="13"/>
          <w:szCs w:val="13"/>
        </w:rPr>
        <w:t>3</w:t>
      </w:r>
      <w:r>
        <w:rPr>
          <w:rFonts w:ascii="Times New Roman" w:hAnsi="Times New Roman" w:eastAsia="Times New Roman" w:cs="Times New Roman"/>
          <w:spacing w:val="35"/>
          <w:position w:val="-1"/>
          <w:sz w:val="13"/>
          <w:szCs w:val="13"/>
        </w:rPr>
        <w:t xml:space="preserve"> </w:t>
      </w:r>
      <w:r>
        <w:rPr>
          <w:rFonts w:ascii="宋体" w:hAnsi="宋体" w:eastAsia="宋体" w:cs="宋体"/>
          <w:spacing w:val="-32"/>
          <w:sz w:val="15"/>
          <w:szCs w:val="15"/>
        </w:rPr>
        <w:t>·····</w:t>
      </w:r>
      <w:r>
        <w:rPr>
          <w:rFonts w:ascii="宋体" w:hAnsi="宋体" w:eastAsia="宋体" w:cs="宋体"/>
          <w:spacing w:val="-56"/>
          <w:sz w:val="15"/>
          <w:szCs w:val="15"/>
        </w:rPr>
        <w:t xml:space="preserve"> </w:t>
      </w:r>
      <w:r>
        <w:rPr>
          <w:rFonts w:ascii="Times New Roman" w:hAnsi="Times New Roman" w:eastAsia="Times New Roman" w:cs="Times New Roman"/>
          <w:sz w:val="21"/>
          <w:szCs w:val="21"/>
        </w:rPr>
        <w:t>B</w:t>
      </w:r>
      <w:r>
        <w:rPr>
          <w:rFonts w:ascii="Times New Roman" w:hAnsi="Times New Roman" w:eastAsia="Times New Roman" w:cs="Times New Roman"/>
          <w:position w:val="-1"/>
          <w:sz w:val="13"/>
          <w:szCs w:val="13"/>
        </w:rPr>
        <w:t xml:space="preserve">n   </w:t>
      </w:r>
      <w:r>
        <w:rPr>
          <w:rFonts w:ascii="Times New Roman" w:hAnsi="Times New Roman" w:eastAsia="Times New Roman" w:cs="Times New Roman"/>
          <w:sz w:val="21"/>
          <w:szCs w:val="21"/>
        </w:rPr>
        <w:t xml:space="preserve">--  </w:t>
      </w:r>
      <w:r>
        <w:rPr>
          <w:rFonts w:ascii="宋体" w:hAnsi="宋体" w:eastAsia="宋体" w:cs="宋体"/>
          <w:sz w:val="21"/>
          <w:szCs w:val="21"/>
        </w:rPr>
        <w:t>各可调因子的变值权重</w:t>
      </w:r>
      <w:r>
        <w:rPr>
          <w:rFonts w:ascii="Times New Roman" w:hAnsi="Times New Roman" w:eastAsia="Times New Roman" w:cs="Times New Roman"/>
          <w:sz w:val="21"/>
          <w:szCs w:val="21"/>
        </w:rPr>
        <w:t>(</w:t>
      </w:r>
      <w:r>
        <w:rPr>
          <w:rFonts w:ascii="宋体" w:hAnsi="宋体" w:eastAsia="宋体" w:cs="宋体"/>
          <w:sz w:val="21"/>
          <w:szCs w:val="21"/>
        </w:rPr>
        <w:t>即可调部分的权重</w:t>
      </w:r>
      <w:r>
        <w:rPr>
          <w:rFonts w:ascii="Times New Roman" w:hAnsi="Times New Roman" w:eastAsia="Times New Roman" w:cs="Times New Roman"/>
          <w:sz w:val="21"/>
          <w:szCs w:val="21"/>
        </w:rPr>
        <w:t>)</w:t>
      </w:r>
      <w:r>
        <w:rPr>
          <w:rFonts w:ascii="宋体" w:hAnsi="宋体" w:eastAsia="宋体" w:cs="宋体"/>
          <w:sz w:val="21"/>
          <w:szCs w:val="21"/>
        </w:rPr>
        <w:t>为各可调因子</w:t>
      </w:r>
      <w:r>
        <w:rPr>
          <w:rFonts w:ascii="宋体" w:hAnsi="宋体" w:eastAsia="宋体" w:cs="宋体"/>
          <w:spacing w:val="-3"/>
          <w:sz w:val="21"/>
          <w:szCs w:val="21"/>
        </w:rPr>
        <w:t>在投标函投标总报价中所占的比例；</w:t>
      </w:r>
    </w:p>
    <w:p w14:paraId="60C687FA">
      <w:pPr>
        <w:spacing w:before="34" w:line="350" w:lineRule="auto"/>
        <w:ind w:left="25" w:right="4" w:firstLine="1255"/>
        <w:rPr>
          <w:rFonts w:ascii="宋体" w:hAnsi="宋体" w:eastAsia="宋体" w:cs="宋体"/>
          <w:sz w:val="21"/>
          <w:szCs w:val="21"/>
        </w:rPr>
      </w:pP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t1</w:t>
      </w:r>
      <w:r>
        <w:rPr>
          <w:rFonts w:ascii="Times New Roman" w:hAnsi="Times New Roman" w:eastAsia="Times New Roman" w:cs="Times New Roman"/>
          <w:spacing w:val="10"/>
          <w:position w:val="-1"/>
          <w:sz w:val="13"/>
          <w:szCs w:val="13"/>
        </w:rPr>
        <w:t xml:space="preserve">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 xml:space="preserve">t2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t3</w:t>
      </w:r>
      <w:r>
        <w:rPr>
          <w:rFonts w:ascii="Times New Roman" w:hAnsi="Times New Roman" w:eastAsia="Times New Roman" w:cs="Times New Roman"/>
          <w:spacing w:val="32"/>
          <w:w w:val="102"/>
          <w:position w:val="-1"/>
          <w:sz w:val="13"/>
          <w:szCs w:val="13"/>
        </w:rPr>
        <w:t xml:space="preserve"> </w:t>
      </w:r>
      <w:r>
        <w:rPr>
          <w:rFonts w:ascii="宋体" w:hAnsi="宋体" w:eastAsia="宋体" w:cs="宋体"/>
          <w:spacing w:val="-21"/>
          <w:sz w:val="15"/>
          <w:szCs w:val="15"/>
        </w:rPr>
        <w:t>·····</w:t>
      </w:r>
      <w:r>
        <w:rPr>
          <w:rFonts w:ascii="Times New Roman" w:hAnsi="Times New Roman" w:eastAsia="Times New Roman" w:cs="Times New Roman"/>
          <w:spacing w:val="-5"/>
          <w:sz w:val="21"/>
          <w:szCs w:val="21"/>
        </w:rPr>
        <w:t>F</w:t>
      </w:r>
      <w:r>
        <w:rPr>
          <w:rFonts w:ascii="Times New Roman" w:hAnsi="Times New Roman" w:eastAsia="Times New Roman" w:cs="Times New Roman"/>
          <w:spacing w:val="-5"/>
          <w:position w:val="-1"/>
          <w:sz w:val="13"/>
          <w:szCs w:val="13"/>
        </w:rPr>
        <w:t>tn</w:t>
      </w:r>
      <w:r>
        <w:rPr>
          <w:rFonts w:ascii="Times New Roman" w:hAnsi="Times New Roman" w:eastAsia="Times New Roman" w:cs="Times New Roman"/>
          <w:spacing w:val="28"/>
          <w:w w:val="101"/>
          <w:position w:val="-1"/>
          <w:sz w:val="13"/>
          <w:szCs w:val="13"/>
        </w:rPr>
        <w:t xml:space="preserve"> </w:t>
      </w:r>
      <w:r>
        <w:rPr>
          <w:rFonts w:ascii="Times New Roman" w:hAnsi="Times New Roman" w:eastAsia="Times New Roman" w:cs="Times New Roman"/>
          <w:spacing w:val="-5"/>
          <w:sz w:val="21"/>
          <w:szCs w:val="21"/>
        </w:rPr>
        <w:t xml:space="preserve">--  </w:t>
      </w:r>
      <w:r>
        <w:rPr>
          <w:rFonts w:ascii="宋体" w:hAnsi="宋体" w:eastAsia="宋体" w:cs="宋体"/>
          <w:spacing w:val="-5"/>
          <w:sz w:val="21"/>
          <w:szCs w:val="21"/>
        </w:rPr>
        <w:t>各可调因子的现行价格指数，指第</w:t>
      </w:r>
      <w:r>
        <w:rPr>
          <w:rFonts w:ascii="宋体" w:hAnsi="宋体" w:eastAsia="宋体" w:cs="宋体"/>
          <w:spacing w:val="-23"/>
          <w:sz w:val="21"/>
          <w:szCs w:val="21"/>
        </w:rPr>
        <w:t xml:space="preserve"> </w:t>
      </w:r>
      <w:r>
        <w:rPr>
          <w:rFonts w:ascii="Times New Roman" w:hAnsi="Times New Roman" w:eastAsia="Times New Roman" w:cs="Times New Roman"/>
          <w:spacing w:val="-5"/>
          <w:sz w:val="21"/>
          <w:szCs w:val="21"/>
        </w:rPr>
        <w:t>17.3.3</w:t>
      </w:r>
      <w:r>
        <w:rPr>
          <w:rFonts w:ascii="Times New Roman" w:hAnsi="Times New Roman" w:eastAsia="Times New Roman" w:cs="Times New Roman"/>
          <w:spacing w:val="19"/>
          <w:w w:val="101"/>
          <w:sz w:val="21"/>
          <w:szCs w:val="21"/>
        </w:rPr>
        <w:t xml:space="preserve"> </w:t>
      </w:r>
      <w:r>
        <w:rPr>
          <w:rFonts w:ascii="宋体" w:hAnsi="宋体" w:eastAsia="宋体" w:cs="宋体"/>
          <w:spacing w:val="-5"/>
          <w:sz w:val="21"/>
          <w:szCs w:val="21"/>
        </w:rPr>
        <w:t xml:space="preserve">项、第 </w:t>
      </w:r>
      <w:r>
        <w:rPr>
          <w:rFonts w:ascii="Times New Roman" w:hAnsi="Times New Roman" w:eastAsia="Times New Roman" w:cs="Times New Roman"/>
          <w:spacing w:val="-5"/>
          <w:sz w:val="21"/>
          <w:szCs w:val="21"/>
        </w:rPr>
        <w:t>17.5.2</w:t>
      </w:r>
      <w:r>
        <w:rPr>
          <w:rFonts w:ascii="Times New Roman" w:hAnsi="Times New Roman" w:eastAsia="Times New Roman" w:cs="Times New Roman"/>
          <w:spacing w:val="20"/>
          <w:sz w:val="21"/>
          <w:szCs w:val="21"/>
        </w:rPr>
        <w:t xml:space="preserve"> </w:t>
      </w:r>
      <w:r>
        <w:rPr>
          <w:rFonts w:ascii="宋体" w:hAnsi="宋体" w:eastAsia="宋体" w:cs="宋体"/>
          <w:spacing w:val="-5"/>
          <w:sz w:val="21"/>
          <w:szCs w:val="21"/>
        </w:rPr>
        <w:t>项</w:t>
      </w:r>
      <w:r>
        <w:rPr>
          <w:rFonts w:ascii="宋体" w:hAnsi="宋体" w:eastAsia="宋体" w:cs="宋体"/>
          <w:spacing w:val="-2"/>
          <w:sz w:val="21"/>
          <w:szCs w:val="21"/>
        </w:rPr>
        <w:t>和第</w:t>
      </w:r>
      <w:r>
        <w:rPr>
          <w:rFonts w:ascii="宋体" w:hAnsi="宋体" w:eastAsia="宋体" w:cs="宋体"/>
          <w:spacing w:val="-16"/>
          <w:sz w:val="21"/>
          <w:szCs w:val="21"/>
        </w:rPr>
        <w:t xml:space="preserve"> </w:t>
      </w:r>
      <w:r>
        <w:rPr>
          <w:rFonts w:ascii="Times New Roman" w:hAnsi="Times New Roman" w:eastAsia="Times New Roman" w:cs="Times New Roman"/>
          <w:spacing w:val="-2"/>
          <w:sz w:val="21"/>
          <w:szCs w:val="21"/>
        </w:rPr>
        <w:t>17.6.2</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项约定的付款证书相关周期最后一天的前</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42</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天的各可调因子的价格指数；</w:t>
      </w:r>
    </w:p>
    <w:p w14:paraId="0EFBDBF3">
      <w:pPr>
        <w:spacing w:before="1" w:line="347" w:lineRule="auto"/>
        <w:ind w:left="41" w:firstLine="1239"/>
        <w:rPr>
          <w:rFonts w:ascii="宋体" w:hAnsi="宋体" w:eastAsia="宋体" w:cs="宋体"/>
          <w:sz w:val="21"/>
          <w:szCs w:val="21"/>
        </w:rPr>
      </w:pP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o1</w:t>
      </w:r>
      <w:r>
        <w:rPr>
          <w:rFonts w:ascii="Times New Roman" w:hAnsi="Times New Roman" w:eastAsia="Times New Roman" w:cs="Times New Roman"/>
          <w:spacing w:val="3"/>
          <w:position w:val="-1"/>
          <w:sz w:val="13"/>
          <w:szCs w:val="13"/>
        </w:rPr>
        <w:t xml:space="preserve"> </w:t>
      </w:r>
      <w:r>
        <w:rPr>
          <w:rFonts w:ascii="Times New Roman" w:hAnsi="Times New Roman" w:eastAsia="Times New Roman" w:cs="Times New Roman"/>
          <w:spacing w:val="-21"/>
          <w:sz w:val="21"/>
          <w:szCs w:val="21"/>
        </w:rPr>
        <w:t>;</w:t>
      </w:r>
      <w:r>
        <w:rPr>
          <w:rFonts w:ascii="Times New Roman" w:hAnsi="Times New Roman" w:eastAsia="Times New Roman" w:cs="Times New Roman"/>
          <w:spacing w:val="12"/>
          <w:sz w:val="21"/>
          <w:szCs w:val="21"/>
        </w:rPr>
        <w:t xml:space="preserve">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sz w:val="13"/>
          <w:szCs w:val="13"/>
        </w:rPr>
        <w:t>o2</w:t>
      </w:r>
      <w:r>
        <w:rPr>
          <w:rFonts w:ascii="Times New Roman" w:hAnsi="Times New Roman" w:eastAsia="Times New Roman" w:cs="Times New Roman"/>
          <w:spacing w:val="-21"/>
          <w:sz w:val="15"/>
          <w:szCs w:val="15"/>
        </w:rPr>
        <w:t xml:space="preserve">;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o3</w:t>
      </w:r>
      <w:r>
        <w:rPr>
          <w:rFonts w:ascii="Times New Roman" w:hAnsi="Times New Roman" w:eastAsia="Times New Roman" w:cs="Times New Roman"/>
          <w:spacing w:val="32"/>
          <w:w w:val="103"/>
          <w:position w:val="-1"/>
          <w:sz w:val="13"/>
          <w:szCs w:val="13"/>
        </w:rPr>
        <w:t xml:space="preserve"> </w:t>
      </w:r>
      <w:r>
        <w:rPr>
          <w:rFonts w:ascii="宋体" w:hAnsi="宋体" w:eastAsia="宋体" w:cs="宋体"/>
          <w:spacing w:val="-21"/>
          <w:sz w:val="15"/>
          <w:szCs w:val="15"/>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on</w:t>
      </w:r>
      <w:r>
        <w:rPr>
          <w:rFonts w:ascii="Times New Roman" w:hAnsi="Times New Roman" w:eastAsia="Times New Roman" w:cs="Times New Roman"/>
          <w:spacing w:val="28"/>
          <w:w w:val="101"/>
          <w:position w:val="-1"/>
          <w:sz w:val="13"/>
          <w:szCs w:val="13"/>
        </w:rPr>
        <w:t xml:space="preserve"> </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各可调因子的基本价格指数，指基准日期的各可调因子</w:t>
      </w:r>
      <w:r>
        <w:rPr>
          <w:rFonts w:ascii="宋体" w:hAnsi="宋体" w:eastAsia="宋体" w:cs="宋体"/>
          <w:spacing w:val="-8"/>
          <w:sz w:val="21"/>
          <w:szCs w:val="21"/>
        </w:rPr>
        <w:t>的价格指数。</w:t>
      </w:r>
    </w:p>
    <w:p w14:paraId="02CE5360">
      <w:pPr>
        <w:spacing w:before="19" w:line="351" w:lineRule="auto"/>
        <w:ind w:left="24" w:right="11" w:firstLine="444"/>
        <w:jc w:val="both"/>
        <w:rPr>
          <w:rFonts w:ascii="宋体" w:hAnsi="宋体" w:eastAsia="宋体" w:cs="宋体"/>
          <w:sz w:val="21"/>
          <w:szCs w:val="21"/>
        </w:rPr>
      </w:pPr>
      <w:r>
        <w:rPr>
          <w:rFonts w:ascii="宋体" w:hAnsi="宋体" w:eastAsia="宋体" w:cs="宋体"/>
          <w:spacing w:val="-5"/>
          <w:sz w:val="21"/>
          <w:szCs w:val="21"/>
        </w:rPr>
        <w:t>以上价格调整公式中的各可调因子、定值和变值权重，</w:t>
      </w:r>
      <w:r>
        <w:rPr>
          <w:rFonts w:ascii="宋体" w:hAnsi="宋体" w:eastAsia="宋体" w:cs="宋体"/>
          <w:spacing w:val="-21"/>
          <w:sz w:val="21"/>
          <w:szCs w:val="21"/>
        </w:rPr>
        <w:t xml:space="preserve"> </w:t>
      </w:r>
      <w:r>
        <w:rPr>
          <w:rFonts w:ascii="宋体" w:hAnsi="宋体" w:eastAsia="宋体" w:cs="宋体"/>
          <w:spacing w:val="-5"/>
          <w:sz w:val="21"/>
          <w:szCs w:val="21"/>
        </w:rPr>
        <w:t>以及基本价格指数及其来源在投</w:t>
      </w:r>
      <w:r>
        <w:rPr>
          <w:rFonts w:ascii="宋体" w:hAnsi="宋体" w:eastAsia="宋体" w:cs="宋体"/>
          <w:spacing w:val="-4"/>
          <w:sz w:val="21"/>
          <w:szCs w:val="21"/>
        </w:rPr>
        <w:t>标函附录价格指数和权重表中约定。价格指数应首先采用有关部门提供的价格指数，</w:t>
      </w:r>
      <w:r>
        <w:rPr>
          <w:rFonts w:ascii="宋体" w:hAnsi="宋体" w:eastAsia="宋体" w:cs="宋体"/>
          <w:spacing w:val="-26"/>
          <w:sz w:val="21"/>
          <w:szCs w:val="21"/>
        </w:rPr>
        <w:t xml:space="preserve"> </w:t>
      </w:r>
      <w:r>
        <w:rPr>
          <w:rFonts w:ascii="宋体" w:hAnsi="宋体" w:eastAsia="宋体" w:cs="宋体"/>
          <w:spacing w:val="-4"/>
          <w:sz w:val="21"/>
          <w:szCs w:val="21"/>
        </w:rPr>
        <w:t>缺乏上</w:t>
      </w:r>
      <w:r>
        <w:rPr>
          <w:rFonts w:ascii="宋体" w:hAnsi="宋体" w:eastAsia="宋体" w:cs="宋体"/>
          <w:spacing w:val="-2"/>
          <w:sz w:val="21"/>
          <w:szCs w:val="21"/>
        </w:rPr>
        <w:t>述价格指数时，可采用有关部门提供的价格代替。</w:t>
      </w:r>
    </w:p>
    <w:p w14:paraId="16EBC7A8">
      <w:pPr>
        <w:spacing w:before="5" w:line="233" w:lineRule="auto"/>
        <w:ind w:left="461"/>
        <w:rPr>
          <w:rFonts w:ascii="宋体" w:hAnsi="宋体" w:eastAsia="宋体" w:cs="宋体"/>
          <w:sz w:val="21"/>
          <w:szCs w:val="21"/>
        </w:rPr>
      </w:pPr>
      <w:r>
        <w:fldChar w:fldCharType="begin"/>
      </w:r>
      <w:r>
        <w:instrText xml:space="preserve"> HYPERLINK "16.1.1.2" </w:instrText>
      </w:r>
      <w:r>
        <w:fldChar w:fldCharType="separate"/>
      </w:r>
      <w:r>
        <w:rPr>
          <w:rFonts w:ascii="Times New Roman" w:hAnsi="Times New Roman" w:eastAsia="Times New Roman" w:cs="Times New Roman"/>
          <w:spacing w:val="-1"/>
          <w:sz w:val="21"/>
          <w:szCs w:val="21"/>
        </w:rPr>
        <w:t>16.1.1.2</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暂时确定调整差额</w:t>
      </w:r>
    </w:p>
    <w:p w14:paraId="5135AD11">
      <w:pPr>
        <w:spacing w:line="233" w:lineRule="auto"/>
        <w:rPr>
          <w:rFonts w:ascii="宋体" w:hAnsi="宋体" w:eastAsia="宋体" w:cs="宋体"/>
          <w:sz w:val="21"/>
          <w:szCs w:val="21"/>
        </w:rPr>
        <w:sectPr>
          <w:footerReference r:id="rId96" w:type="default"/>
          <w:pgSz w:w="11910" w:h="16845"/>
          <w:pgMar w:top="400" w:right="1768" w:bottom="1110" w:left="1786" w:header="0" w:footer="883" w:gutter="0"/>
          <w:cols w:space="720" w:num="1"/>
        </w:sectPr>
      </w:pPr>
    </w:p>
    <w:p w14:paraId="7F0DE4D0">
      <w:pPr>
        <w:pStyle w:val="2"/>
        <w:spacing w:line="275" w:lineRule="auto"/>
      </w:pPr>
    </w:p>
    <w:p w14:paraId="01C54B0E">
      <w:pPr>
        <w:pStyle w:val="2"/>
        <w:spacing w:line="275" w:lineRule="auto"/>
      </w:pPr>
    </w:p>
    <w:p w14:paraId="0173A4E7">
      <w:pPr>
        <w:pStyle w:val="2"/>
        <w:spacing w:line="275" w:lineRule="auto"/>
      </w:pPr>
    </w:p>
    <w:p w14:paraId="4787C70B">
      <w:pPr>
        <w:pStyle w:val="2"/>
        <w:spacing w:line="275" w:lineRule="auto"/>
      </w:pPr>
    </w:p>
    <w:p w14:paraId="2CB53365">
      <w:pPr>
        <w:spacing w:before="68" w:line="350" w:lineRule="auto"/>
        <w:ind w:left="25" w:right="17" w:firstLine="418"/>
        <w:rPr>
          <w:rFonts w:ascii="宋体" w:hAnsi="宋体" w:eastAsia="宋体" w:cs="宋体"/>
          <w:sz w:val="21"/>
          <w:szCs w:val="21"/>
        </w:rPr>
      </w:pPr>
      <w:r>
        <w:rPr>
          <w:rFonts w:ascii="宋体" w:hAnsi="宋体" w:eastAsia="宋体" w:cs="宋体"/>
          <w:spacing w:val="-2"/>
          <w:sz w:val="21"/>
          <w:szCs w:val="21"/>
        </w:rPr>
        <w:t>在计算调整差额时得不到现行价格指数的，可暂用上一次价格指数计算，并</w:t>
      </w:r>
      <w:r>
        <w:rPr>
          <w:rFonts w:ascii="宋体" w:hAnsi="宋体" w:eastAsia="宋体" w:cs="宋体"/>
          <w:spacing w:val="-3"/>
          <w:sz w:val="21"/>
          <w:szCs w:val="21"/>
        </w:rPr>
        <w:t>在以后的付款中再按实际价格指数进行调整。</w:t>
      </w:r>
    </w:p>
    <w:p w14:paraId="5D53FF13">
      <w:pPr>
        <w:spacing w:line="233" w:lineRule="auto"/>
        <w:ind w:left="461"/>
        <w:rPr>
          <w:rFonts w:ascii="宋体" w:hAnsi="宋体" w:eastAsia="宋体" w:cs="宋体"/>
          <w:sz w:val="21"/>
          <w:szCs w:val="21"/>
        </w:rPr>
      </w:pPr>
      <w:r>
        <w:fldChar w:fldCharType="begin"/>
      </w:r>
      <w:r>
        <w:instrText xml:space="preserve"> HYPERLINK "16.1.1.3" </w:instrText>
      </w:r>
      <w:r>
        <w:fldChar w:fldCharType="separate"/>
      </w:r>
      <w:r>
        <w:rPr>
          <w:rFonts w:ascii="Times New Roman" w:hAnsi="Times New Roman" w:eastAsia="Times New Roman" w:cs="Times New Roman"/>
          <w:spacing w:val="-1"/>
          <w:sz w:val="21"/>
          <w:szCs w:val="21"/>
        </w:rPr>
        <w:t>16.1.1.3</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51"/>
          <w:sz w:val="21"/>
          <w:szCs w:val="21"/>
        </w:rPr>
        <w:t xml:space="preserve"> </w:t>
      </w:r>
      <w:r>
        <w:rPr>
          <w:rFonts w:ascii="宋体" w:hAnsi="宋体" w:eastAsia="宋体" w:cs="宋体"/>
          <w:spacing w:val="-1"/>
          <w:sz w:val="21"/>
          <w:szCs w:val="21"/>
        </w:rPr>
        <w:t>权重的调整</w:t>
      </w:r>
    </w:p>
    <w:p w14:paraId="29AA4293">
      <w:pPr>
        <w:spacing w:before="139" w:line="349" w:lineRule="auto"/>
        <w:ind w:left="25" w:right="2" w:firstLine="421"/>
        <w:rPr>
          <w:rFonts w:ascii="宋体" w:hAnsi="宋体" w:eastAsia="宋体" w:cs="宋体"/>
          <w:sz w:val="21"/>
          <w:szCs w:val="21"/>
        </w:rPr>
      </w:pPr>
      <w:r>
        <w:rPr>
          <w:rFonts w:ascii="宋体" w:hAnsi="宋体" w:eastAsia="宋体" w:cs="宋体"/>
          <w:sz w:val="21"/>
          <w:szCs w:val="21"/>
        </w:rPr>
        <w:t xml:space="preserve">按第 </w:t>
      </w:r>
      <w:r>
        <w:rPr>
          <w:rFonts w:ascii="Times New Roman" w:hAnsi="Times New Roman" w:eastAsia="Times New Roman" w:cs="Times New Roman"/>
          <w:sz w:val="21"/>
          <w:szCs w:val="21"/>
        </w:rPr>
        <w:t xml:space="preserve">15.1  </w:t>
      </w:r>
      <w:r>
        <w:rPr>
          <w:rFonts w:ascii="宋体" w:hAnsi="宋体" w:eastAsia="宋体" w:cs="宋体"/>
          <w:sz w:val="21"/>
          <w:szCs w:val="21"/>
        </w:rPr>
        <w:t>款约定的变更导致原定合同中的权重</w:t>
      </w:r>
      <w:r>
        <w:rPr>
          <w:rFonts w:ascii="宋体" w:hAnsi="宋体" w:eastAsia="宋体" w:cs="宋体"/>
          <w:spacing w:val="-1"/>
          <w:sz w:val="21"/>
          <w:szCs w:val="21"/>
        </w:rPr>
        <w:t>不合理时，由监理人与承包人和发包人</w:t>
      </w:r>
      <w:r>
        <w:rPr>
          <w:rFonts w:ascii="宋体" w:hAnsi="宋体" w:eastAsia="宋体" w:cs="宋体"/>
          <w:spacing w:val="-4"/>
          <w:sz w:val="21"/>
          <w:szCs w:val="21"/>
        </w:rPr>
        <w:t>协商后进行调整。</w:t>
      </w:r>
    </w:p>
    <w:p w14:paraId="04B4930F">
      <w:pPr>
        <w:spacing w:before="2" w:line="232" w:lineRule="auto"/>
        <w:ind w:left="461"/>
        <w:rPr>
          <w:rFonts w:ascii="宋体" w:hAnsi="宋体" w:eastAsia="宋体" w:cs="宋体"/>
          <w:sz w:val="21"/>
          <w:szCs w:val="21"/>
        </w:rPr>
      </w:pPr>
      <w:r>
        <w:fldChar w:fldCharType="begin"/>
      </w:r>
      <w:r>
        <w:instrText xml:space="preserve"> HYPERLINK "16.1.1.4" </w:instrText>
      </w:r>
      <w:r>
        <w:fldChar w:fldCharType="separate"/>
      </w:r>
      <w:r>
        <w:rPr>
          <w:rFonts w:ascii="Times New Roman" w:hAnsi="Times New Roman" w:eastAsia="Times New Roman" w:cs="Times New Roman"/>
          <w:spacing w:val="-1"/>
          <w:sz w:val="21"/>
          <w:szCs w:val="21"/>
        </w:rPr>
        <w:t>16.1.1.4</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62"/>
          <w:w w:val="101"/>
          <w:sz w:val="21"/>
          <w:szCs w:val="21"/>
        </w:rPr>
        <w:t xml:space="preserve"> </w:t>
      </w:r>
      <w:r>
        <w:rPr>
          <w:rFonts w:ascii="宋体" w:hAnsi="宋体" w:eastAsia="宋体" w:cs="宋体"/>
          <w:spacing w:val="-1"/>
          <w:sz w:val="21"/>
          <w:szCs w:val="21"/>
        </w:rPr>
        <w:t>承包人工期延误后的价格调整</w:t>
      </w:r>
    </w:p>
    <w:p w14:paraId="2B330712">
      <w:pPr>
        <w:spacing w:before="140" w:line="347" w:lineRule="auto"/>
        <w:ind w:left="25" w:right="2" w:firstLine="445"/>
        <w:rPr>
          <w:rFonts w:ascii="宋体" w:hAnsi="宋体" w:eastAsia="宋体" w:cs="宋体"/>
          <w:sz w:val="21"/>
          <w:szCs w:val="21"/>
        </w:rPr>
      </w:pPr>
      <w:r>
        <w:rPr>
          <w:rFonts w:ascii="宋体" w:hAnsi="宋体" w:eastAsia="宋体" w:cs="宋体"/>
          <w:spacing w:val="-3"/>
          <w:sz w:val="21"/>
          <w:szCs w:val="21"/>
        </w:rPr>
        <w:t>由于承包人原因未在约定的工期内竣工的，则对原约定竣工日期后继续施工的工程，在</w:t>
      </w:r>
      <w:r>
        <w:rPr>
          <w:rFonts w:ascii="宋体" w:hAnsi="宋体" w:eastAsia="宋体" w:cs="宋体"/>
          <w:spacing w:val="-2"/>
          <w:sz w:val="21"/>
          <w:szCs w:val="21"/>
        </w:rPr>
        <w:t>使用第</w:t>
      </w:r>
      <w:r>
        <w:rPr>
          <w:rFonts w:ascii="宋体" w:hAnsi="宋体" w:eastAsia="宋体" w:cs="宋体"/>
          <w:spacing w:val="-21"/>
          <w:sz w:val="21"/>
          <w:szCs w:val="21"/>
        </w:rPr>
        <w:t xml:space="preserve"> </w:t>
      </w:r>
      <w:r>
        <w:fldChar w:fldCharType="begin"/>
      </w:r>
      <w:r>
        <w:instrText xml:space="preserve"> HYPERLINK "16.1.1.1" </w:instrText>
      </w:r>
      <w:r>
        <w:fldChar w:fldCharType="separate"/>
      </w:r>
      <w:r>
        <w:rPr>
          <w:rFonts w:ascii="Times New Roman" w:hAnsi="Times New Roman" w:eastAsia="Times New Roman" w:cs="Times New Roman"/>
          <w:spacing w:val="-2"/>
          <w:sz w:val="21"/>
          <w:szCs w:val="21"/>
        </w:rPr>
        <w:t>16.1.1.1</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目价格调整公式时，应采用原约定竣工日期与实际竣工日</w:t>
      </w:r>
      <w:r>
        <w:rPr>
          <w:rFonts w:ascii="宋体" w:hAnsi="宋体" w:eastAsia="宋体" w:cs="宋体"/>
          <w:spacing w:val="-3"/>
          <w:sz w:val="21"/>
          <w:szCs w:val="21"/>
        </w:rPr>
        <w:t>期的两个价格指数</w:t>
      </w:r>
      <w:r>
        <w:rPr>
          <w:rFonts w:ascii="宋体" w:hAnsi="宋体" w:eastAsia="宋体" w:cs="宋体"/>
          <w:spacing w:val="-2"/>
          <w:sz w:val="21"/>
          <w:szCs w:val="21"/>
        </w:rPr>
        <w:t>中较低的一个作为现行价格指数。</w:t>
      </w:r>
    </w:p>
    <w:p w14:paraId="6E3711C3">
      <w:pPr>
        <w:spacing w:before="18" w:line="219" w:lineRule="auto"/>
        <w:ind w:left="455"/>
        <w:rPr>
          <w:rFonts w:ascii="黑体" w:hAnsi="黑体" w:eastAsia="黑体" w:cs="黑体"/>
          <w:sz w:val="21"/>
          <w:szCs w:val="21"/>
        </w:rPr>
      </w:pPr>
      <w:r>
        <w:rPr>
          <w:rFonts w:ascii="黑体" w:hAnsi="黑体" w:eastAsia="黑体" w:cs="黑体"/>
          <w:spacing w:val="-1"/>
          <w:sz w:val="21"/>
          <w:szCs w:val="21"/>
        </w:rPr>
        <w:t>16.1.2 采用造价信息调整价格差额</w:t>
      </w:r>
    </w:p>
    <w:p w14:paraId="53C4AC46">
      <w:pPr>
        <w:spacing w:before="154" w:line="347" w:lineRule="auto"/>
        <w:ind w:left="25" w:right="3" w:firstLine="418"/>
        <w:rPr>
          <w:rFonts w:ascii="宋体" w:hAnsi="宋体" w:eastAsia="宋体" w:cs="宋体"/>
          <w:sz w:val="21"/>
          <w:szCs w:val="21"/>
        </w:rPr>
      </w:pPr>
      <w:r>
        <w:rPr>
          <w:rFonts w:ascii="宋体" w:hAnsi="宋体" w:eastAsia="宋体" w:cs="宋体"/>
          <w:spacing w:val="-2"/>
          <w:sz w:val="21"/>
          <w:szCs w:val="21"/>
        </w:rPr>
        <w:t>施工期内，因人工、材料、设备和机械台班价格波动影响合同价格时，人工、机械使用费按照国家或省、自治区、直辖市建设行政管理部门、行业建设管理部门或其授权的工</w:t>
      </w:r>
      <w:r>
        <w:rPr>
          <w:rFonts w:ascii="宋体" w:hAnsi="宋体" w:eastAsia="宋体" w:cs="宋体"/>
          <w:spacing w:val="-3"/>
          <w:sz w:val="21"/>
          <w:szCs w:val="21"/>
        </w:rPr>
        <w:t>程造</w:t>
      </w:r>
      <w:r>
        <w:rPr>
          <w:rFonts w:ascii="宋体" w:hAnsi="宋体" w:eastAsia="宋体" w:cs="宋体"/>
          <w:spacing w:val="-2"/>
          <w:sz w:val="21"/>
          <w:szCs w:val="21"/>
        </w:rPr>
        <w:t>价管理机构发布的人工成本信息、机械台班单价或机械使用费系数进</w:t>
      </w:r>
      <w:r>
        <w:rPr>
          <w:rFonts w:ascii="宋体" w:hAnsi="宋体" w:eastAsia="宋体" w:cs="宋体"/>
          <w:spacing w:val="-3"/>
          <w:sz w:val="21"/>
          <w:szCs w:val="21"/>
        </w:rPr>
        <w:t>行调整；需要进行价格</w:t>
      </w:r>
      <w:r>
        <w:rPr>
          <w:rFonts w:ascii="宋体" w:hAnsi="宋体" w:eastAsia="宋体" w:cs="宋体"/>
          <w:spacing w:val="-2"/>
          <w:sz w:val="21"/>
          <w:szCs w:val="21"/>
        </w:rPr>
        <w:t>调整的材料，其单价和采购数应由监理人复核，监理人确认需调整的材料单价</w:t>
      </w:r>
      <w:r>
        <w:rPr>
          <w:rFonts w:ascii="宋体" w:hAnsi="宋体" w:eastAsia="宋体" w:cs="宋体"/>
          <w:spacing w:val="-3"/>
          <w:sz w:val="21"/>
          <w:szCs w:val="21"/>
        </w:rPr>
        <w:t>及数量，作为调整工程合同价格差额的依据。</w:t>
      </w:r>
    </w:p>
    <w:p w14:paraId="2CA4C3A2">
      <w:pPr>
        <w:spacing w:line="232" w:lineRule="auto"/>
        <w:ind w:left="44"/>
        <w:outlineLvl w:val="1"/>
        <w:rPr>
          <w:rFonts w:ascii="黑体" w:hAnsi="黑体" w:eastAsia="黑体" w:cs="黑体"/>
          <w:sz w:val="24"/>
          <w:szCs w:val="24"/>
        </w:rPr>
      </w:pPr>
      <w:bookmarkStart w:id="164" w:name="bookmark144"/>
      <w:bookmarkEnd w:id="164"/>
      <w:r>
        <w:rPr>
          <w:rFonts w:ascii="Times New Roman" w:hAnsi="Times New Roman" w:eastAsia="Times New Roman" w:cs="Times New Roman"/>
          <w:spacing w:val="-2"/>
          <w:sz w:val="24"/>
          <w:szCs w:val="24"/>
        </w:rPr>
        <w:t xml:space="preserve">16.2  </w:t>
      </w:r>
      <w:r>
        <w:rPr>
          <w:rFonts w:ascii="黑体" w:hAnsi="黑体" w:eastAsia="黑体" w:cs="黑体"/>
          <w:spacing w:val="-2"/>
          <w:sz w:val="24"/>
          <w:szCs w:val="24"/>
        </w:rPr>
        <w:t>法律变化引起的价格调整</w:t>
      </w:r>
    </w:p>
    <w:p w14:paraId="5F6C697A">
      <w:pPr>
        <w:spacing w:before="130" w:line="354" w:lineRule="auto"/>
        <w:ind w:left="24" w:firstLine="419"/>
        <w:jc w:val="both"/>
        <w:rPr>
          <w:rFonts w:ascii="宋体" w:hAnsi="宋体" w:eastAsia="宋体" w:cs="宋体"/>
          <w:sz w:val="21"/>
          <w:szCs w:val="21"/>
        </w:rPr>
      </w:pPr>
      <w:r>
        <w:rPr>
          <w:rFonts w:ascii="宋体" w:hAnsi="宋体" w:eastAsia="宋体" w:cs="宋体"/>
          <w:sz w:val="21"/>
          <w:szCs w:val="21"/>
        </w:rPr>
        <w:t>在基准日后，因法律变化导致承包人在合同履行中所</w:t>
      </w:r>
      <w:r>
        <w:rPr>
          <w:rFonts w:ascii="宋体" w:hAnsi="宋体" w:eastAsia="宋体" w:cs="宋体"/>
          <w:spacing w:val="-1"/>
          <w:sz w:val="21"/>
          <w:szCs w:val="21"/>
        </w:rPr>
        <w:t xml:space="preserve">需要的工程费用发生除第 </w:t>
      </w:r>
      <w:r>
        <w:rPr>
          <w:rFonts w:ascii="Times New Roman" w:hAnsi="Times New Roman" w:eastAsia="Times New Roman" w:cs="Times New Roman"/>
          <w:spacing w:val="-1"/>
          <w:sz w:val="21"/>
          <w:szCs w:val="21"/>
        </w:rPr>
        <w:t>16.1</w:t>
      </w:r>
      <w:r>
        <w:rPr>
          <w:rFonts w:ascii="Times New Roman" w:hAnsi="Times New Roman" w:eastAsia="Times New Roman" w:cs="Times New Roman"/>
          <w:spacing w:val="48"/>
          <w:sz w:val="21"/>
          <w:szCs w:val="21"/>
        </w:rPr>
        <w:t xml:space="preserve"> </w:t>
      </w:r>
      <w:r>
        <w:rPr>
          <w:rFonts w:ascii="宋体" w:hAnsi="宋体" w:eastAsia="宋体" w:cs="宋体"/>
          <w:spacing w:val="-1"/>
          <w:sz w:val="21"/>
          <w:szCs w:val="21"/>
        </w:rPr>
        <w:t>款</w:t>
      </w:r>
      <w:r>
        <w:rPr>
          <w:rFonts w:ascii="宋体" w:hAnsi="宋体" w:eastAsia="宋体" w:cs="宋体"/>
          <w:spacing w:val="-5"/>
          <w:sz w:val="21"/>
          <w:szCs w:val="21"/>
        </w:rPr>
        <w:t>约定以外的增减时，监理人应根据法律、国家或省、自治区、直</w:t>
      </w:r>
      <w:r>
        <w:rPr>
          <w:rFonts w:ascii="宋体" w:hAnsi="宋体" w:eastAsia="宋体" w:cs="宋体"/>
          <w:spacing w:val="-6"/>
          <w:sz w:val="21"/>
          <w:szCs w:val="21"/>
        </w:rPr>
        <w:t>辖市有关部门的规定，</w:t>
      </w:r>
      <w:r>
        <w:rPr>
          <w:rFonts w:ascii="宋体" w:hAnsi="宋体" w:eastAsia="宋体" w:cs="宋体"/>
          <w:spacing w:val="42"/>
          <w:sz w:val="21"/>
          <w:szCs w:val="21"/>
        </w:rPr>
        <w:t xml:space="preserve"> </w:t>
      </w:r>
      <w:r>
        <w:rPr>
          <w:rFonts w:ascii="宋体" w:hAnsi="宋体" w:eastAsia="宋体" w:cs="宋体"/>
          <w:spacing w:val="-6"/>
          <w:sz w:val="21"/>
          <w:szCs w:val="21"/>
        </w:rPr>
        <w:t>按第</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款商定或确定需调整的合同价款。</w:t>
      </w:r>
    </w:p>
    <w:p w14:paraId="3E235702">
      <w:pPr>
        <w:spacing w:before="32" w:line="239" w:lineRule="auto"/>
        <w:ind w:left="49"/>
        <w:outlineLvl w:val="0"/>
        <w:rPr>
          <w:rFonts w:ascii="黑体" w:hAnsi="黑体" w:eastAsia="黑体" w:cs="黑体"/>
          <w:sz w:val="28"/>
          <w:szCs w:val="28"/>
        </w:rPr>
      </w:pPr>
      <w:bookmarkStart w:id="165" w:name="bookmark146"/>
      <w:bookmarkEnd w:id="165"/>
      <w:bookmarkStart w:id="166" w:name="bookmark145"/>
      <w:bookmarkEnd w:id="166"/>
      <w:r>
        <w:rPr>
          <w:rFonts w:ascii="Times New Roman" w:hAnsi="Times New Roman" w:eastAsia="Times New Roman" w:cs="Times New Roman"/>
          <w:spacing w:val="-1"/>
          <w:sz w:val="28"/>
          <w:szCs w:val="28"/>
        </w:rPr>
        <w:t>17.</w:t>
      </w:r>
      <w:r>
        <w:rPr>
          <w:rFonts w:ascii="Times New Roman" w:hAnsi="Times New Roman" w:eastAsia="Times New Roman" w:cs="Times New Roman"/>
          <w:spacing w:val="15"/>
          <w:sz w:val="28"/>
          <w:szCs w:val="28"/>
        </w:rPr>
        <w:t xml:space="preserve">  </w:t>
      </w:r>
      <w:r>
        <w:rPr>
          <w:rFonts w:ascii="黑体" w:hAnsi="黑体" w:eastAsia="黑体" w:cs="黑体"/>
          <w:spacing w:val="-1"/>
          <w:sz w:val="28"/>
          <w:szCs w:val="28"/>
        </w:rPr>
        <w:t>计量与支付</w:t>
      </w:r>
    </w:p>
    <w:p w14:paraId="3E4F268E">
      <w:pPr>
        <w:spacing w:before="68" w:line="236" w:lineRule="auto"/>
        <w:ind w:left="44"/>
        <w:outlineLvl w:val="1"/>
        <w:rPr>
          <w:rFonts w:ascii="黑体" w:hAnsi="黑体" w:eastAsia="黑体" w:cs="黑体"/>
          <w:sz w:val="24"/>
          <w:szCs w:val="24"/>
        </w:rPr>
      </w:pPr>
      <w:bookmarkStart w:id="167" w:name="bookmark646"/>
      <w:bookmarkEnd w:id="167"/>
      <w:r>
        <w:rPr>
          <w:rFonts w:ascii="Times New Roman" w:hAnsi="Times New Roman" w:eastAsia="Times New Roman" w:cs="Times New Roman"/>
          <w:spacing w:val="-6"/>
          <w:sz w:val="24"/>
          <w:szCs w:val="24"/>
        </w:rPr>
        <w:t>17.1</w:t>
      </w:r>
      <w:r>
        <w:rPr>
          <w:rFonts w:ascii="Times New Roman" w:hAnsi="Times New Roman" w:eastAsia="Times New Roman" w:cs="Times New Roman"/>
          <w:spacing w:val="6"/>
          <w:sz w:val="24"/>
          <w:szCs w:val="24"/>
        </w:rPr>
        <w:t xml:space="preserve">  </w:t>
      </w:r>
      <w:r>
        <w:rPr>
          <w:rFonts w:ascii="黑体" w:hAnsi="黑体" w:eastAsia="黑体" w:cs="黑体"/>
          <w:spacing w:val="-6"/>
          <w:sz w:val="24"/>
          <w:szCs w:val="24"/>
        </w:rPr>
        <w:t>计量</w:t>
      </w:r>
    </w:p>
    <w:p w14:paraId="6CFD121B">
      <w:pPr>
        <w:spacing w:before="124"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17.1.1</w:t>
      </w:r>
      <w:r>
        <w:rPr>
          <w:rFonts w:ascii="Times New Roman" w:hAnsi="Times New Roman" w:eastAsia="Times New Roman" w:cs="Times New Roman"/>
          <w:spacing w:val="50"/>
          <w:w w:val="101"/>
          <w:sz w:val="21"/>
          <w:szCs w:val="21"/>
        </w:rPr>
        <w:t xml:space="preserve"> </w:t>
      </w:r>
      <w:r>
        <w:rPr>
          <w:rFonts w:ascii="黑体" w:hAnsi="黑体" w:eastAsia="黑体" w:cs="黑体"/>
          <w:spacing w:val="-2"/>
          <w:sz w:val="21"/>
          <w:szCs w:val="21"/>
        </w:rPr>
        <w:t>计量单位</w:t>
      </w:r>
    </w:p>
    <w:p w14:paraId="7E0BFF9E">
      <w:pPr>
        <w:spacing w:before="125" w:line="219" w:lineRule="auto"/>
        <w:ind w:left="444"/>
        <w:rPr>
          <w:rFonts w:ascii="宋体" w:hAnsi="宋体" w:eastAsia="宋体" w:cs="宋体"/>
          <w:sz w:val="21"/>
          <w:szCs w:val="21"/>
        </w:rPr>
      </w:pPr>
      <w:r>
        <w:rPr>
          <w:rFonts w:ascii="宋体" w:hAnsi="宋体" w:eastAsia="宋体" w:cs="宋体"/>
          <w:spacing w:val="-3"/>
          <w:sz w:val="21"/>
          <w:szCs w:val="21"/>
        </w:rPr>
        <w:t>计量采用国家法定的计量单位。</w:t>
      </w:r>
    </w:p>
    <w:p w14:paraId="3DE48D0D">
      <w:pPr>
        <w:spacing w:before="156" w:line="232"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17.1.2</w:t>
      </w:r>
      <w:r>
        <w:rPr>
          <w:rFonts w:ascii="Times New Roman" w:hAnsi="Times New Roman" w:eastAsia="Times New Roman" w:cs="Times New Roman"/>
          <w:spacing w:val="50"/>
          <w:w w:val="101"/>
          <w:sz w:val="21"/>
          <w:szCs w:val="21"/>
        </w:rPr>
        <w:t xml:space="preserve"> </w:t>
      </w:r>
      <w:r>
        <w:rPr>
          <w:rFonts w:ascii="黑体" w:hAnsi="黑体" w:eastAsia="黑体" w:cs="黑体"/>
          <w:spacing w:val="-2"/>
          <w:sz w:val="21"/>
          <w:szCs w:val="21"/>
        </w:rPr>
        <w:t>计量方法</w:t>
      </w:r>
    </w:p>
    <w:p w14:paraId="019E8CCE">
      <w:pPr>
        <w:spacing w:before="142" w:line="345" w:lineRule="auto"/>
        <w:ind w:left="24" w:right="22" w:firstLine="423"/>
        <w:rPr>
          <w:rFonts w:ascii="宋体" w:hAnsi="宋体" w:eastAsia="宋体" w:cs="宋体"/>
          <w:sz w:val="21"/>
          <w:szCs w:val="21"/>
        </w:rPr>
      </w:pPr>
      <w:r>
        <w:rPr>
          <w:rFonts w:ascii="宋体" w:hAnsi="宋体" w:eastAsia="宋体" w:cs="宋体"/>
          <w:spacing w:val="-2"/>
          <w:sz w:val="21"/>
          <w:szCs w:val="21"/>
        </w:rPr>
        <w:t>工程量清单中的工程量计算规则应按有关国家标准、行</w:t>
      </w:r>
      <w:r>
        <w:rPr>
          <w:rFonts w:ascii="宋体" w:hAnsi="宋体" w:eastAsia="宋体" w:cs="宋体"/>
          <w:spacing w:val="-3"/>
          <w:sz w:val="21"/>
          <w:szCs w:val="21"/>
        </w:rPr>
        <w:t>业标准的规定，并在合同中约定</w:t>
      </w:r>
      <w:r>
        <w:rPr>
          <w:rFonts w:ascii="宋体" w:hAnsi="宋体" w:eastAsia="宋体" w:cs="宋体"/>
          <w:spacing w:val="-9"/>
          <w:sz w:val="21"/>
          <w:szCs w:val="21"/>
        </w:rPr>
        <w:t>执行。</w:t>
      </w:r>
    </w:p>
    <w:p w14:paraId="7899B4E4">
      <w:pPr>
        <w:spacing w:before="11" w:line="234"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17.1.3</w:t>
      </w:r>
      <w:r>
        <w:rPr>
          <w:rFonts w:ascii="Times New Roman" w:hAnsi="Times New Roman" w:eastAsia="Times New Roman" w:cs="Times New Roman"/>
          <w:spacing w:val="50"/>
          <w:w w:val="101"/>
          <w:sz w:val="21"/>
          <w:szCs w:val="21"/>
        </w:rPr>
        <w:t xml:space="preserve"> </w:t>
      </w:r>
      <w:r>
        <w:rPr>
          <w:rFonts w:ascii="黑体" w:hAnsi="黑体" w:eastAsia="黑体" w:cs="黑体"/>
          <w:spacing w:val="-2"/>
          <w:sz w:val="21"/>
          <w:szCs w:val="21"/>
        </w:rPr>
        <w:t>计量周期</w:t>
      </w:r>
    </w:p>
    <w:p w14:paraId="2DB30310">
      <w:pPr>
        <w:spacing w:before="139" w:line="344" w:lineRule="auto"/>
        <w:ind w:left="23" w:right="17" w:firstLine="433"/>
        <w:rPr>
          <w:rFonts w:ascii="宋体" w:hAnsi="宋体" w:eastAsia="宋体" w:cs="宋体"/>
          <w:sz w:val="21"/>
          <w:szCs w:val="21"/>
        </w:rPr>
      </w:pPr>
      <w:r>
        <w:rPr>
          <w:rFonts w:ascii="宋体" w:hAnsi="宋体" w:eastAsia="宋体" w:cs="宋体"/>
          <w:spacing w:val="-2"/>
          <w:sz w:val="21"/>
          <w:szCs w:val="21"/>
        </w:rPr>
        <w:t>除专用合同条款另有约定外，单价子目已完</w:t>
      </w:r>
      <w:r>
        <w:rPr>
          <w:rFonts w:ascii="宋体" w:hAnsi="宋体" w:eastAsia="宋体" w:cs="宋体"/>
          <w:spacing w:val="-3"/>
          <w:sz w:val="21"/>
          <w:szCs w:val="21"/>
        </w:rPr>
        <w:t>成工程量按月计量，总价子目的计量周期按批准的支付分解报告确定。</w:t>
      </w:r>
    </w:p>
    <w:p w14:paraId="0A098227">
      <w:pPr>
        <w:spacing w:before="12"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 xml:space="preserve">17.1.4  </w:t>
      </w:r>
      <w:r>
        <w:rPr>
          <w:rFonts w:ascii="黑体" w:hAnsi="黑体" w:eastAsia="黑体" w:cs="黑体"/>
          <w:spacing w:val="-2"/>
          <w:sz w:val="21"/>
          <w:szCs w:val="21"/>
        </w:rPr>
        <w:t>单价子目的计量</w:t>
      </w:r>
    </w:p>
    <w:p w14:paraId="7779061C">
      <w:pPr>
        <w:spacing w:before="140" w:line="336" w:lineRule="auto"/>
        <w:ind w:left="38" w:right="16" w:firstLine="71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）已标价工程量清单中的单价子目工程量为估算工程量。结算工程量是承包人实际完成的，并按合同约定的计量方法进行计量的工程量。</w:t>
      </w:r>
    </w:p>
    <w:p w14:paraId="07F9BBA4">
      <w:pPr>
        <w:spacing w:before="33" w:line="348" w:lineRule="auto"/>
        <w:ind w:left="24" w:right="43" w:firstLine="726"/>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）承包人对已完成的工程进行计量，向监理人提交进度付款申请单、已完成工程量报表和有关计量资料。</w:t>
      </w:r>
    </w:p>
    <w:p w14:paraId="3EEA22DE">
      <w:pPr>
        <w:spacing w:line="348" w:lineRule="auto"/>
        <w:rPr>
          <w:rFonts w:ascii="宋体" w:hAnsi="宋体" w:eastAsia="宋体" w:cs="宋体"/>
          <w:sz w:val="21"/>
          <w:szCs w:val="21"/>
        </w:rPr>
        <w:sectPr>
          <w:footerReference r:id="rId97" w:type="default"/>
          <w:pgSz w:w="11910" w:h="16845"/>
          <w:pgMar w:top="400" w:right="1762" w:bottom="1110" w:left="1786" w:header="0" w:footer="882" w:gutter="0"/>
          <w:cols w:space="720" w:num="1"/>
        </w:sectPr>
      </w:pPr>
    </w:p>
    <w:p w14:paraId="3D33AE0B">
      <w:pPr>
        <w:pStyle w:val="2"/>
        <w:spacing w:line="274" w:lineRule="auto"/>
      </w:pPr>
    </w:p>
    <w:p w14:paraId="14A85503">
      <w:pPr>
        <w:pStyle w:val="2"/>
        <w:spacing w:line="275" w:lineRule="auto"/>
      </w:pPr>
    </w:p>
    <w:p w14:paraId="1580CED9">
      <w:pPr>
        <w:pStyle w:val="2"/>
        <w:spacing w:line="275" w:lineRule="auto"/>
      </w:pPr>
    </w:p>
    <w:p w14:paraId="7BEF76C5">
      <w:pPr>
        <w:pStyle w:val="2"/>
        <w:spacing w:line="275" w:lineRule="auto"/>
      </w:pPr>
    </w:p>
    <w:p w14:paraId="26FF39A9">
      <w:pPr>
        <w:spacing w:before="68" w:line="350" w:lineRule="auto"/>
        <w:ind w:left="22" w:right="56" w:firstLine="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）监理人对承包人提交的工程量报表进</w:t>
      </w:r>
      <w:r>
        <w:rPr>
          <w:rFonts w:ascii="宋体" w:hAnsi="宋体" w:eastAsia="宋体" w:cs="宋体"/>
          <w:spacing w:val="-3"/>
          <w:sz w:val="21"/>
          <w:szCs w:val="21"/>
        </w:rPr>
        <w:t>行复核，以确定实际完成的工程量。对数</w:t>
      </w:r>
      <w:r>
        <w:rPr>
          <w:rFonts w:ascii="宋体" w:hAnsi="宋体" w:eastAsia="宋体" w:cs="宋体"/>
          <w:spacing w:val="-1"/>
          <w:sz w:val="21"/>
          <w:szCs w:val="21"/>
        </w:rPr>
        <w:t>量有异议的，可要求承包人按第</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8.2</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款约定进行共同复核和抽样复测</w:t>
      </w:r>
      <w:r>
        <w:rPr>
          <w:rFonts w:ascii="宋体" w:hAnsi="宋体" w:eastAsia="宋体" w:cs="宋体"/>
          <w:spacing w:val="-2"/>
          <w:sz w:val="21"/>
          <w:szCs w:val="21"/>
        </w:rPr>
        <w:t>。承包人应协助监理人</w:t>
      </w:r>
      <w:r>
        <w:rPr>
          <w:rFonts w:ascii="宋体" w:hAnsi="宋体" w:eastAsia="宋体" w:cs="宋体"/>
          <w:spacing w:val="-3"/>
          <w:sz w:val="21"/>
          <w:szCs w:val="21"/>
        </w:rPr>
        <w:t>进行复核并按监理人要求提供补充计量资料</w:t>
      </w:r>
      <w:r>
        <w:rPr>
          <w:rFonts w:ascii="宋体" w:hAnsi="宋体" w:eastAsia="宋体" w:cs="宋体"/>
          <w:spacing w:val="-4"/>
          <w:sz w:val="21"/>
          <w:szCs w:val="21"/>
        </w:rPr>
        <w:t>。承包人未按监理人要求参加复核，</w:t>
      </w:r>
      <w:r>
        <w:rPr>
          <w:rFonts w:ascii="宋体" w:hAnsi="宋体" w:eastAsia="宋体" w:cs="宋体"/>
          <w:spacing w:val="-44"/>
          <w:sz w:val="21"/>
          <w:szCs w:val="21"/>
        </w:rPr>
        <w:t xml:space="preserve"> </w:t>
      </w:r>
      <w:r>
        <w:rPr>
          <w:rFonts w:ascii="宋体" w:hAnsi="宋体" w:eastAsia="宋体" w:cs="宋体"/>
          <w:spacing w:val="-4"/>
          <w:sz w:val="21"/>
          <w:szCs w:val="21"/>
        </w:rPr>
        <w:t>监理人复核</w:t>
      </w:r>
      <w:r>
        <w:rPr>
          <w:rFonts w:ascii="宋体" w:hAnsi="宋体" w:eastAsia="宋体" w:cs="宋体"/>
          <w:spacing w:val="-2"/>
          <w:sz w:val="21"/>
          <w:szCs w:val="21"/>
        </w:rPr>
        <w:t>或修正的工程量视为承包人实际完成的工程量。</w:t>
      </w:r>
    </w:p>
    <w:p w14:paraId="045A4131">
      <w:pPr>
        <w:spacing w:before="14" w:line="336" w:lineRule="auto"/>
        <w:ind w:left="24" w:right="73"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）监理人认为有必要时，可通知承包人共同进行联合测量、计量，承包</w:t>
      </w:r>
      <w:r>
        <w:rPr>
          <w:rFonts w:ascii="宋体" w:hAnsi="宋体" w:eastAsia="宋体" w:cs="宋体"/>
          <w:spacing w:val="-3"/>
          <w:sz w:val="21"/>
          <w:szCs w:val="21"/>
        </w:rPr>
        <w:t>人应遵照</w:t>
      </w:r>
      <w:r>
        <w:rPr>
          <w:rFonts w:ascii="宋体" w:hAnsi="宋体" w:eastAsia="宋体" w:cs="宋体"/>
          <w:spacing w:val="-9"/>
          <w:sz w:val="21"/>
          <w:szCs w:val="21"/>
        </w:rPr>
        <w:t>执行。</w:t>
      </w:r>
    </w:p>
    <w:p w14:paraId="535B159B">
      <w:pPr>
        <w:spacing w:before="31" w:line="352" w:lineRule="auto"/>
        <w:ind w:left="23" w:right="24" w:firstLine="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）承包人完成工程量清单中每个子目的工程量后，监理人应要求承包人派员共同对每个子目的历次计量报表进行汇总，以核实最终结算工程量。监理人可要求承包人提供补</w:t>
      </w:r>
      <w:r>
        <w:rPr>
          <w:rFonts w:ascii="宋体" w:hAnsi="宋体" w:eastAsia="宋体" w:cs="宋体"/>
          <w:spacing w:val="-1"/>
          <w:sz w:val="21"/>
          <w:szCs w:val="21"/>
        </w:rPr>
        <w:t>充计量资料，以确定最后一次进度付款的准确工程量。承包人未按监理人要求派员参加的，监理人最终核实的工程量视为承包人完成该子目的准确工程量。</w:t>
      </w:r>
    </w:p>
    <w:p w14:paraId="058F10A2">
      <w:pPr>
        <w:spacing w:before="5" w:line="348" w:lineRule="auto"/>
        <w:ind w:left="24" w:right="60" w:firstLine="726"/>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6</w:t>
      </w:r>
      <w:r>
        <w:rPr>
          <w:rFonts w:ascii="宋体" w:hAnsi="宋体" w:eastAsia="宋体" w:cs="宋体"/>
          <w:spacing w:val="-3"/>
          <w:sz w:val="21"/>
          <w:szCs w:val="21"/>
        </w:rPr>
        <w:t>）监理人应在收到承包人提交的工程量报表后的</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天内进行复核，监理人未在约</w:t>
      </w:r>
      <w:r>
        <w:rPr>
          <w:rFonts w:ascii="宋体" w:hAnsi="宋体" w:eastAsia="宋体" w:cs="宋体"/>
          <w:spacing w:val="-2"/>
          <w:sz w:val="21"/>
          <w:szCs w:val="21"/>
        </w:rPr>
        <w:t>定时间内复核的，承包人提交的工程量报表中的工程量视为承包人实际完成的工程量，据此</w:t>
      </w:r>
      <w:r>
        <w:rPr>
          <w:rFonts w:ascii="宋体" w:hAnsi="宋体" w:eastAsia="宋体" w:cs="宋体"/>
          <w:spacing w:val="-5"/>
          <w:sz w:val="21"/>
          <w:szCs w:val="21"/>
        </w:rPr>
        <w:t>计算工程价款。</w:t>
      </w:r>
    </w:p>
    <w:p w14:paraId="78533338">
      <w:pPr>
        <w:spacing w:before="13"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17.1.5</w:t>
      </w:r>
      <w:r>
        <w:rPr>
          <w:rFonts w:ascii="Times New Roman" w:hAnsi="Times New Roman" w:eastAsia="Times New Roman" w:cs="Times New Roman"/>
          <w:spacing w:val="57"/>
          <w:w w:val="101"/>
          <w:sz w:val="21"/>
          <w:szCs w:val="21"/>
        </w:rPr>
        <w:t xml:space="preserve"> </w:t>
      </w:r>
      <w:r>
        <w:rPr>
          <w:rFonts w:ascii="黑体" w:hAnsi="黑体" w:eastAsia="黑体" w:cs="黑体"/>
          <w:spacing w:val="-2"/>
          <w:sz w:val="21"/>
          <w:szCs w:val="21"/>
        </w:rPr>
        <w:t>总价子目的计量</w:t>
      </w:r>
    </w:p>
    <w:p w14:paraId="166BED8D">
      <w:pPr>
        <w:spacing w:before="126" w:line="218" w:lineRule="auto"/>
        <w:ind w:left="667"/>
        <w:rPr>
          <w:rFonts w:ascii="宋体" w:hAnsi="宋体" w:eastAsia="宋体" w:cs="宋体"/>
          <w:sz w:val="21"/>
          <w:szCs w:val="21"/>
        </w:rPr>
      </w:pPr>
      <w:r>
        <w:rPr>
          <w:rFonts w:ascii="宋体" w:hAnsi="宋体" w:eastAsia="宋体" w:cs="宋体"/>
          <w:spacing w:val="-1"/>
          <w:sz w:val="21"/>
          <w:szCs w:val="21"/>
        </w:rPr>
        <w:t>除专用合同条款另有约定外，总价子目的分解和计量按照下述约</w:t>
      </w:r>
      <w:r>
        <w:rPr>
          <w:rFonts w:ascii="宋体" w:hAnsi="宋体" w:eastAsia="宋体" w:cs="宋体"/>
          <w:spacing w:val="-2"/>
          <w:sz w:val="21"/>
          <w:szCs w:val="21"/>
        </w:rPr>
        <w:t>定进行。</w:t>
      </w:r>
    </w:p>
    <w:p w14:paraId="4D349585">
      <w:pPr>
        <w:spacing w:before="156" w:line="350" w:lineRule="auto"/>
        <w:ind w:left="24" w:firstLine="636"/>
        <w:rPr>
          <w:rFonts w:ascii="宋体" w:hAnsi="宋体" w:eastAsia="宋体" w:cs="宋体"/>
          <w:sz w:val="21"/>
          <w:szCs w:val="21"/>
        </w:rPr>
      </w:pPr>
      <w:r>
        <w:rPr>
          <w:rFonts w:ascii="宋体" w:hAnsi="宋体" w:eastAsia="宋体" w:cs="宋体"/>
          <w:spacing w:val="-2"/>
          <w:sz w:val="21"/>
          <w:szCs w:val="21"/>
        </w:rPr>
        <w:t>（1）总价子目的计量和支付应以总价为基础，不因第 16.1</w:t>
      </w:r>
      <w:r>
        <w:rPr>
          <w:rFonts w:ascii="宋体" w:hAnsi="宋体" w:eastAsia="宋体" w:cs="宋体"/>
          <w:spacing w:val="-36"/>
          <w:sz w:val="21"/>
          <w:szCs w:val="21"/>
        </w:rPr>
        <w:t xml:space="preserve"> </w:t>
      </w:r>
      <w:r>
        <w:rPr>
          <w:rFonts w:ascii="宋体" w:hAnsi="宋体" w:eastAsia="宋体" w:cs="宋体"/>
          <w:spacing w:val="-2"/>
          <w:sz w:val="21"/>
          <w:szCs w:val="21"/>
        </w:rPr>
        <w:t>款中的</w:t>
      </w:r>
      <w:r>
        <w:rPr>
          <w:rFonts w:ascii="宋体" w:hAnsi="宋体" w:eastAsia="宋体" w:cs="宋体"/>
          <w:spacing w:val="-3"/>
          <w:sz w:val="21"/>
          <w:szCs w:val="21"/>
        </w:rPr>
        <w:t>因素而进行调整。</w:t>
      </w:r>
      <w:r>
        <w:rPr>
          <w:rFonts w:ascii="宋体" w:hAnsi="宋体" w:eastAsia="宋体" w:cs="宋体"/>
          <w:spacing w:val="-1"/>
          <w:sz w:val="21"/>
          <w:szCs w:val="21"/>
        </w:rPr>
        <w:t>承包人实际完成的工程量，是进行工程目标管理和控制进度支付的依据。</w:t>
      </w:r>
    </w:p>
    <w:p w14:paraId="1734E2B4">
      <w:pPr>
        <w:spacing w:before="1" w:line="352" w:lineRule="auto"/>
        <w:ind w:left="25" w:right="68" w:firstLine="635"/>
        <w:rPr>
          <w:rFonts w:ascii="宋体" w:hAnsi="宋体" w:eastAsia="宋体" w:cs="宋体"/>
          <w:sz w:val="21"/>
          <w:szCs w:val="21"/>
        </w:rPr>
      </w:pPr>
      <w:r>
        <w:rPr>
          <w:rFonts w:ascii="宋体" w:hAnsi="宋体" w:eastAsia="宋体" w:cs="宋体"/>
          <w:sz w:val="21"/>
          <w:szCs w:val="21"/>
        </w:rPr>
        <w:t>（2）承包人在合同约定的每个计量周期内，对已完成的工程进行计量，并向</w:t>
      </w:r>
      <w:r>
        <w:rPr>
          <w:rFonts w:ascii="宋体" w:hAnsi="宋体" w:eastAsia="宋体" w:cs="宋体"/>
          <w:spacing w:val="-1"/>
          <w:sz w:val="21"/>
          <w:szCs w:val="21"/>
        </w:rPr>
        <w:t>监理人</w:t>
      </w:r>
      <w:r>
        <w:rPr>
          <w:rFonts w:ascii="宋体" w:hAnsi="宋体" w:eastAsia="宋体" w:cs="宋体"/>
          <w:spacing w:val="-2"/>
          <w:sz w:val="21"/>
          <w:szCs w:val="21"/>
        </w:rPr>
        <w:t>提交进度付款申请单、专用合同条款约定的合同总价支付分解表所表示的阶段性或分项</w:t>
      </w:r>
      <w:r>
        <w:rPr>
          <w:rFonts w:ascii="宋体" w:hAnsi="宋体" w:eastAsia="宋体" w:cs="宋体"/>
          <w:spacing w:val="-3"/>
          <w:sz w:val="21"/>
          <w:szCs w:val="21"/>
        </w:rPr>
        <w:t>计量</w:t>
      </w:r>
      <w:r>
        <w:rPr>
          <w:rFonts w:ascii="宋体" w:hAnsi="宋体" w:eastAsia="宋体" w:cs="宋体"/>
          <w:spacing w:val="-1"/>
          <w:sz w:val="21"/>
          <w:szCs w:val="21"/>
        </w:rPr>
        <w:t>的支持性资料，以及所达到工程形象目标或分阶段需完成的工程量和有关计量资料。</w:t>
      </w:r>
    </w:p>
    <w:p w14:paraId="4FAA25F0">
      <w:pPr>
        <w:spacing w:line="356" w:lineRule="auto"/>
        <w:ind w:left="26" w:right="101" w:firstLine="633"/>
        <w:rPr>
          <w:rFonts w:ascii="宋体" w:hAnsi="宋体" w:eastAsia="宋体" w:cs="宋体"/>
          <w:sz w:val="21"/>
          <w:szCs w:val="21"/>
        </w:rPr>
      </w:pPr>
      <w:r>
        <w:rPr>
          <w:rFonts w:ascii="宋体" w:hAnsi="宋体" w:eastAsia="宋体" w:cs="宋体"/>
          <w:sz w:val="21"/>
          <w:szCs w:val="21"/>
        </w:rPr>
        <w:t>（3）监理人对承包人提交的上述资料进行复核，</w:t>
      </w:r>
      <w:r>
        <w:rPr>
          <w:rFonts w:ascii="宋体" w:hAnsi="宋体" w:eastAsia="宋体" w:cs="宋体"/>
          <w:spacing w:val="-1"/>
          <w:sz w:val="21"/>
          <w:szCs w:val="21"/>
        </w:rPr>
        <w:t>以确定分阶段实际完成的工程量和工程形象目标。对其有异议的，可要求承包人按第</w:t>
      </w:r>
      <w:r>
        <w:rPr>
          <w:rFonts w:ascii="宋体" w:hAnsi="宋体" w:eastAsia="宋体" w:cs="宋体"/>
          <w:spacing w:val="-41"/>
          <w:sz w:val="21"/>
          <w:szCs w:val="21"/>
        </w:rPr>
        <w:t xml:space="preserve"> </w:t>
      </w:r>
      <w:r>
        <w:rPr>
          <w:rFonts w:ascii="宋体" w:hAnsi="宋体" w:eastAsia="宋体" w:cs="宋体"/>
          <w:spacing w:val="-1"/>
          <w:sz w:val="21"/>
          <w:szCs w:val="21"/>
        </w:rPr>
        <w:t>8.2</w:t>
      </w:r>
      <w:r>
        <w:rPr>
          <w:rFonts w:ascii="宋体" w:hAnsi="宋体" w:eastAsia="宋体" w:cs="宋体"/>
          <w:spacing w:val="-36"/>
          <w:sz w:val="21"/>
          <w:szCs w:val="21"/>
        </w:rPr>
        <w:t xml:space="preserve"> </w:t>
      </w:r>
      <w:r>
        <w:rPr>
          <w:rFonts w:ascii="宋体" w:hAnsi="宋体" w:eastAsia="宋体" w:cs="宋体"/>
          <w:spacing w:val="-1"/>
          <w:sz w:val="21"/>
          <w:szCs w:val="21"/>
        </w:rPr>
        <w:t>款约定进行共同复核和抽样复测。</w:t>
      </w:r>
    </w:p>
    <w:p w14:paraId="543D2C3B">
      <w:pPr>
        <w:spacing w:before="1" w:line="338" w:lineRule="auto"/>
        <w:ind w:left="24" w:right="55" w:firstLine="636"/>
        <w:rPr>
          <w:rFonts w:ascii="宋体" w:hAnsi="宋体" w:eastAsia="宋体" w:cs="宋体"/>
          <w:sz w:val="21"/>
          <w:szCs w:val="21"/>
        </w:rPr>
      </w:pPr>
      <w:r>
        <w:rPr>
          <w:rFonts w:ascii="宋体" w:hAnsi="宋体" w:eastAsia="宋体" w:cs="宋体"/>
          <w:spacing w:val="-3"/>
          <w:sz w:val="21"/>
          <w:szCs w:val="21"/>
        </w:rPr>
        <w:t>（4）除按照第</w:t>
      </w:r>
      <w:r>
        <w:rPr>
          <w:rFonts w:ascii="宋体" w:hAnsi="宋体" w:eastAsia="宋体" w:cs="宋体"/>
          <w:spacing w:val="-21"/>
          <w:sz w:val="21"/>
          <w:szCs w:val="21"/>
        </w:rPr>
        <w:t xml:space="preserve"> </w:t>
      </w:r>
      <w:r>
        <w:rPr>
          <w:rFonts w:ascii="宋体" w:hAnsi="宋体" w:eastAsia="宋体" w:cs="宋体"/>
          <w:spacing w:val="-3"/>
          <w:sz w:val="21"/>
          <w:szCs w:val="21"/>
        </w:rPr>
        <w:t>15</w:t>
      </w:r>
      <w:r>
        <w:rPr>
          <w:rFonts w:ascii="宋体" w:hAnsi="宋体" w:eastAsia="宋体" w:cs="宋体"/>
          <w:spacing w:val="-35"/>
          <w:sz w:val="21"/>
          <w:szCs w:val="21"/>
        </w:rPr>
        <w:t xml:space="preserve"> </w:t>
      </w:r>
      <w:r>
        <w:rPr>
          <w:rFonts w:ascii="宋体" w:hAnsi="宋体" w:eastAsia="宋体" w:cs="宋体"/>
          <w:spacing w:val="-3"/>
          <w:sz w:val="21"/>
          <w:szCs w:val="21"/>
        </w:rPr>
        <w:t>条约定的变更外，总价子目的工程量是承包</w:t>
      </w:r>
      <w:r>
        <w:rPr>
          <w:rFonts w:ascii="宋体" w:hAnsi="宋体" w:eastAsia="宋体" w:cs="宋体"/>
          <w:spacing w:val="-4"/>
          <w:sz w:val="21"/>
          <w:szCs w:val="21"/>
        </w:rPr>
        <w:t>人用于结算的最终工程</w:t>
      </w:r>
      <w:r>
        <w:rPr>
          <w:rFonts w:ascii="宋体" w:hAnsi="宋体" w:eastAsia="宋体" w:cs="宋体"/>
          <w:spacing w:val="-10"/>
          <w:sz w:val="21"/>
          <w:szCs w:val="21"/>
        </w:rPr>
        <w:t>量。</w:t>
      </w:r>
    </w:p>
    <w:p w14:paraId="1C48DB62">
      <w:pPr>
        <w:spacing w:before="1" w:line="232" w:lineRule="auto"/>
        <w:ind w:left="44"/>
        <w:outlineLvl w:val="1"/>
        <w:rPr>
          <w:rFonts w:ascii="黑体" w:hAnsi="黑体" w:eastAsia="黑体" w:cs="黑体"/>
          <w:sz w:val="24"/>
          <w:szCs w:val="24"/>
        </w:rPr>
      </w:pPr>
      <w:bookmarkStart w:id="168" w:name="bookmark147"/>
      <w:bookmarkEnd w:id="168"/>
      <w:r>
        <w:rPr>
          <w:rFonts w:ascii="Times New Roman" w:hAnsi="Times New Roman" w:eastAsia="Times New Roman" w:cs="Times New Roman"/>
          <w:spacing w:val="-6"/>
          <w:sz w:val="24"/>
          <w:szCs w:val="24"/>
        </w:rPr>
        <w:t>17.2</w:t>
      </w:r>
      <w:r>
        <w:rPr>
          <w:rFonts w:ascii="Times New Roman" w:hAnsi="Times New Roman" w:eastAsia="Times New Roman" w:cs="Times New Roman"/>
          <w:spacing w:val="9"/>
          <w:sz w:val="24"/>
          <w:szCs w:val="24"/>
        </w:rPr>
        <w:t xml:space="preserve">  </w:t>
      </w:r>
      <w:r>
        <w:rPr>
          <w:rFonts w:ascii="黑体" w:hAnsi="黑体" w:eastAsia="黑体" w:cs="黑体"/>
          <w:spacing w:val="-6"/>
          <w:sz w:val="24"/>
          <w:szCs w:val="24"/>
        </w:rPr>
        <w:t>预付款</w:t>
      </w:r>
    </w:p>
    <w:p w14:paraId="18ACC176">
      <w:pPr>
        <w:spacing w:before="129"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17.2.1</w:t>
      </w:r>
      <w:r>
        <w:rPr>
          <w:rFonts w:ascii="Times New Roman" w:hAnsi="Times New Roman" w:eastAsia="Times New Roman" w:cs="Times New Roman"/>
          <w:spacing w:val="50"/>
          <w:sz w:val="21"/>
          <w:szCs w:val="21"/>
        </w:rPr>
        <w:t xml:space="preserve"> </w:t>
      </w:r>
      <w:r>
        <w:rPr>
          <w:rFonts w:ascii="黑体" w:hAnsi="黑体" w:eastAsia="黑体" w:cs="黑体"/>
          <w:spacing w:val="-2"/>
          <w:sz w:val="21"/>
          <w:szCs w:val="21"/>
        </w:rPr>
        <w:t>预付款</w:t>
      </w:r>
    </w:p>
    <w:p w14:paraId="0C6410D9">
      <w:pPr>
        <w:spacing w:before="125" w:line="352" w:lineRule="auto"/>
        <w:ind w:left="25" w:right="68" w:firstLine="421"/>
        <w:rPr>
          <w:rFonts w:ascii="宋体" w:hAnsi="宋体" w:eastAsia="宋体" w:cs="宋体"/>
          <w:sz w:val="21"/>
          <w:szCs w:val="21"/>
        </w:rPr>
      </w:pPr>
      <w:r>
        <w:rPr>
          <w:rFonts w:ascii="宋体" w:hAnsi="宋体" w:eastAsia="宋体" w:cs="宋体"/>
          <w:spacing w:val="-5"/>
          <w:sz w:val="21"/>
          <w:szCs w:val="21"/>
        </w:rPr>
        <w:t>预付款用于承包人为合同工程施工购置材料、工程设备、 施工设备、修建临时设施以及</w:t>
      </w:r>
      <w:r>
        <w:rPr>
          <w:rFonts w:ascii="宋体" w:hAnsi="宋体" w:eastAsia="宋体" w:cs="宋体"/>
          <w:spacing w:val="-2"/>
          <w:sz w:val="21"/>
          <w:szCs w:val="21"/>
        </w:rPr>
        <w:t>组织施工队伍进场等。预付款的额度和预付办法在专用合同条款中约定。预付款必须专</w:t>
      </w:r>
      <w:r>
        <w:rPr>
          <w:rFonts w:ascii="宋体" w:hAnsi="宋体" w:eastAsia="宋体" w:cs="宋体"/>
          <w:spacing w:val="-3"/>
          <w:sz w:val="21"/>
          <w:szCs w:val="21"/>
        </w:rPr>
        <w:t>用于</w:t>
      </w:r>
      <w:r>
        <w:rPr>
          <w:rFonts w:ascii="宋体" w:hAnsi="宋体" w:eastAsia="宋体" w:cs="宋体"/>
          <w:spacing w:val="-6"/>
          <w:sz w:val="21"/>
          <w:szCs w:val="21"/>
        </w:rPr>
        <w:t>合同工程。</w:t>
      </w:r>
    </w:p>
    <w:p w14:paraId="6EDADD59">
      <w:pPr>
        <w:spacing w:before="1" w:line="232"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17.2.2</w:t>
      </w:r>
      <w:r>
        <w:rPr>
          <w:rFonts w:ascii="Times New Roman" w:hAnsi="Times New Roman" w:eastAsia="Times New Roman" w:cs="Times New Roman"/>
          <w:spacing w:val="53"/>
          <w:sz w:val="21"/>
          <w:szCs w:val="21"/>
        </w:rPr>
        <w:t xml:space="preserve"> </w:t>
      </w:r>
      <w:r>
        <w:rPr>
          <w:rFonts w:ascii="黑体" w:hAnsi="黑体" w:eastAsia="黑体" w:cs="黑体"/>
          <w:spacing w:val="-2"/>
          <w:sz w:val="21"/>
          <w:szCs w:val="21"/>
        </w:rPr>
        <w:t>预付款保函</w:t>
      </w:r>
    </w:p>
    <w:p w14:paraId="1516E8A3">
      <w:pPr>
        <w:spacing w:before="139" w:line="352" w:lineRule="auto"/>
        <w:ind w:left="25" w:right="24" w:firstLine="432"/>
        <w:rPr>
          <w:rFonts w:ascii="宋体" w:hAnsi="宋体" w:eastAsia="宋体" w:cs="宋体"/>
          <w:sz w:val="21"/>
          <w:szCs w:val="21"/>
        </w:rPr>
      </w:pPr>
      <w:r>
        <w:rPr>
          <w:rFonts w:ascii="宋体" w:hAnsi="宋体" w:eastAsia="宋体" w:cs="宋体"/>
          <w:spacing w:val="-1"/>
          <w:sz w:val="21"/>
          <w:szCs w:val="21"/>
        </w:rPr>
        <w:t>除专用合同条款另有约定外，承包人应在收到预付款的同时</w:t>
      </w:r>
      <w:r>
        <w:rPr>
          <w:rFonts w:ascii="宋体" w:hAnsi="宋体" w:eastAsia="宋体" w:cs="宋体"/>
          <w:spacing w:val="-2"/>
          <w:sz w:val="21"/>
          <w:szCs w:val="21"/>
        </w:rPr>
        <w:t>向发包人提交预付款保函，预付款保函的担保金额应与预付款金额相同。保函的担保金额可根据预付款扣回的金额</w:t>
      </w:r>
      <w:r>
        <w:rPr>
          <w:rFonts w:ascii="宋体" w:hAnsi="宋体" w:eastAsia="宋体" w:cs="宋体"/>
          <w:spacing w:val="-3"/>
          <w:sz w:val="21"/>
          <w:szCs w:val="21"/>
        </w:rPr>
        <w:t>相应</w:t>
      </w:r>
      <w:r>
        <w:rPr>
          <w:rFonts w:ascii="宋体" w:hAnsi="宋体" w:eastAsia="宋体" w:cs="宋体"/>
          <w:spacing w:val="-9"/>
          <w:sz w:val="21"/>
          <w:szCs w:val="21"/>
        </w:rPr>
        <w:t>递减。</w:t>
      </w:r>
    </w:p>
    <w:p w14:paraId="62359DF8">
      <w:pPr>
        <w:spacing w:before="1"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17.2.3</w:t>
      </w:r>
      <w:r>
        <w:rPr>
          <w:rFonts w:ascii="Times New Roman" w:hAnsi="Times New Roman" w:eastAsia="Times New Roman" w:cs="Times New Roman"/>
          <w:spacing w:val="62"/>
          <w:sz w:val="21"/>
          <w:szCs w:val="21"/>
        </w:rPr>
        <w:t xml:space="preserve"> </w:t>
      </w:r>
      <w:r>
        <w:rPr>
          <w:rFonts w:ascii="黑体" w:hAnsi="黑体" w:eastAsia="黑体" w:cs="黑体"/>
          <w:spacing w:val="-2"/>
          <w:sz w:val="21"/>
          <w:szCs w:val="21"/>
        </w:rPr>
        <w:t>预付款的扣回与还清</w:t>
      </w:r>
    </w:p>
    <w:p w14:paraId="480BDBDA">
      <w:pPr>
        <w:spacing w:line="233" w:lineRule="auto"/>
        <w:rPr>
          <w:rFonts w:ascii="黑体" w:hAnsi="黑体" w:eastAsia="黑体" w:cs="黑体"/>
          <w:sz w:val="21"/>
          <w:szCs w:val="21"/>
        </w:rPr>
        <w:sectPr>
          <w:footerReference r:id="rId98" w:type="default"/>
          <w:pgSz w:w="11910" w:h="16845"/>
          <w:pgMar w:top="400" w:right="1710" w:bottom="1110" w:left="1786" w:header="0" w:footer="883" w:gutter="0"/>
          <w:cols w:space="720" w:num="1"/>
        </w:sectPr>
      </w:pPr>
    </w:p>
    <w:p w14:paraId="3AFB00B1">
      <w:pPr>
        <w:pStyle w:val="2"/>
        <w:spacing w:line="275" w:lineRule="auto"/>
      </w:pPr>
    </w:p>
    <w:p w14:paraId="6203B525">
      <w:pPr>
        <w:pStyle w:val="2"/>
        <w:spacing w:line="275" w:lineRule="auto"/>
      </w:pPr>
    </w:p>
    <w:p w14:paraId="45140BFB">
      <w:pPr>
        <w:pStyle w:val="2"/>
        <w:spacing w:line="276" w:lineRule="auto"/>
      </w:pPr>
    </w:p>
    <w:p w14:paraId="08EBD28C">
      <w:pPr>
        <w:pStyle w:val="2"/>
        <w:spacing w:line="276" w:lineRule="auto"/>
      </w:pPr>
    </w:p>
    <w:p w14:paraId="2E277351">
      <w:pPr>
        <w:spacing w:before="68" w:line="344" w:lineRule="auto"/>
        <w:ind w:left="24" w:right="14" w:firstLine="422"/>
        <w:jc w:val="both"/>
        <w:rPr>
          <w:rFonts w:ascii="宋体" w:hAnsi="宋体" w:eastAsia="宋体" w:cs="宋体"/>
          <w:sz w:val="21"/>
          <w:szCs w:val="21"/>
        </w:rPr>
      </w:pPr>
      <w:r>
        <w:rPr>
          <w:rFonts w:ascii="宋体" w:hAnsi="宋体" w:eastAsia="宋体" w:cs="宋体"/>
          <w:spacing w:val="-1"/>
          <w:sz w:val="21"/>
          <w:szCs w:val="21"/>
        </w:rPr>
        <w:t>预付款在进度付款中扣回，扣回办法在专用合同条款中约定。在颁发工程接收证书</w:t>
      </w:r>
      <w:r>
        <w:rPr>
          <w:rFonts w:ascii="宋体" w:hAnsi="宋体" w:eastAsia="宋体" w:cs="宋体"/>
          <w:spacing w:val="-2"/>
          <w:sz w:val="21"/>
          <w:szCs w:val="21"/>
        </w:rPr>
        <w:t>前，由于不可抗力或其他原因解除合同时，预付款尚未扣清的，尚未扣清的预付款余额应作为承</w:t>
      </w:r>
      <w:r>
        <w:rPr>
          <w:rFonts w:ascii="宋体" w:hAnsi="宋体" w:eastAsia="宋体" w:cs="宋体"/>
          <w:spacing w:val="-3"/>
          <w:sz w:val="21"/>
          <w:szCs w:val="21"/>
        </w:rPr>
        <w:t>包人的到期应付款。</w:t>
      </w:r>
    </w:p>
    <w:p w14:paraId="1328482C">
      <w:pPr>
        <w:spacing w:line="232" w:lineRule="auto"/>
        <w:ind w:left="44"/>
        <w:outlineLvl w:val="1"/>
        <w:rPr>
          <w:rFonts w:ascii="黑体" w:hAnsi="黑体" w:eastAsia="黑体" w:cs="黑体"/>
          <w:sz w:val="24"/>
          <w:szCs w:val="24"/>
        </w:rPr>
      </w:pPr>
      <w:bookmarkStart w:id="169" w:name="bookmark148"/>
      <w:bookmarkEnd w:id="169"/>
      <w:r>
        <w:rPr>
          <w:rFonts w:ascii="Times New Roman" w:hAnsi="Times New Roman" w:eastAsia="Times New Roman" w:cs="Times New Roman"/>
          <w:spacing w:val="-2"/>
          <w:sz w:val="24"/>
          <w:szCs w:val="24"/>
        </w:rPr>
        <w:t xml:space="preserve">17.3  </w:t>
      </w:r>
      <w:r>
        <w:rPr>
          <w:rFonts w:ascii="黑体" w:hAnsi="黑体" w:eastAsia="黑体" w:cs="黑体"/>
          <w:spacing w:val="-2"/>
          <w:sz w:val="24"/>
          <w:szCs w:val="24"/>
        </w:rPr>
        <w:t>工程进度付款</w:t>
      </w:r>
    </w:p>
    <w:p w14:paraId="16A83733">
      <w:pPr>
        <w:spacing w:before="129" w:line="234" w:lineRule="auto"/>
        <w:ind w:left="461"/>
        <w:rPr>
          <w:rFonts w:ascii="黑体" w:hAnsi="黑体" w:eastAsia="黑体" w:cs="黑体"/>
          <w:sz w:val="21"/>
          <w:szCs w:val="21"/>
        </w:rPr>
      </w:pPr>
      <w:r>
        <w:rPr>
          <w:rFonts w:ascii="Times New Roman" w:hAnsi="Times New Roman" w:eastAsia="Times New Roman" w:cs="Times New Roman"/>
          <w:spacing w:val="-2"/>
          <w:sz w:val="21"/>
          <w:szCs w:val="21"/>
        </w:rPr>
        <w:t>17.3.1</w:t>
      </w:r>
      <w:r>
        <w:rPr>
          <w:rFonts w:ascii="Times New Roman" w:hAnsi="Times New Roman" w:eastAsia="Times New Roman" w:cs="Times New Roman"/>
          <w:spacing w:val="51"/>
          <w:sz w:val="21"/>
          <w:szCs w:val="21"/>
        </w:rPr>
        <w:t xml:space="preserve"> </w:t>
      </w:r>
      <w:r>
        <w:rPr>
          <w:rFonts w:ascii="黑体" w:hAnsi="黑体" w:eastAsia="黑体" w:cs="黑体"/>
          <w:spacing w:val="-2"/>
          <w:sz w:val="21"/>
          <w:szCs w:val="21"/>
        </w:rPr>
        <w:t>付款周期</w:t>
      </w:r>
    </w:p>
    <w:p w14:paraId="582F2D6F">
      <w:pPr>
        <w:spacing w:before="123" w:line="220" w:lineRule="auto"/>
        <w:ind w:left="444"/>
        <w:rPr>
          <w:rFonts w:ascii="宋体" w:hAnsi="宋体" w:eastAsia="宋体" w:cs="宋体"/>
          <w:sz w:val="21"/>
          <w:szCs w:val="21"/>
        </w:rPr>
      </w:pPr>
      <w:r>
        <w:rPr>
          <w:rFonts w:ascii="宋体" w:hAnsi="宋体" w:eastAsia="宋体" w:cs="宋体"/>
          <w:spacing w:val="-4"/>
          <w:sz w:val="21"/>
          <w:szCs w:val="21"/>
        </w:rPr>
        <w:t>付款周期同计量周期。</w:t>
      </w:r>
    </w:p>
    <w:p w14:paraId="70DA54A5">
      <w:pPr>
        <w:spacing w:before="155" w:line="233" w:lineRule="auto"/>
        <w:ind w:left="461"/>
        <w:rPr>
          <w:rFonts w:ascii="黑体" w:hAnsi="黑体" w:eastAsia="黑体" w:cs="黑体"/>
          <w:sz w:val="21"/>
          <w:szCs w:val="21"/>
        </w:rPr>
      </w:pPr>
      <w:r>
        <w:rPr>
          <w:rFonts w:ascii="Times New Roman" w:hAnsi="Times New Roman" w:eastAsia="Times New Roman" w:cs="Times New Roman"/>
          <w:spacing w:val="-1"/>
          <w:sz w:val="21"/>
          <w:szCs w:val="21"/>
        </w:rPr>
        <w:t>17.3.2</w:t>
      </w:r>
      <w:r>
        <w:rPr>
          <w:rFonts w:ascii="Times New Roman" w:hAnsi="Times New Roman" w:eastAsia="Times New Roman" w:cs="Times New Roman"/>
          <w:spacing w:val="44"/>
          <w:w w:val="101"/>
          <w:sz w:val="21"/>
          <w:szCs w:val="21"/>
        </w:rPr>
        <w:t xml:space="preserve"> </w:t>
      </w:r>
      <w:r>
        <w:rPr>
          <w:rFonts w:ascii="黑体" w:hAnsi="黑体" w:eastAsia="黑体" w:cs="黑体"/>
          <w:spacing w:val="-1"/>
          <w:sz w:val="21"/>
          <w:szCs w:val="21"/>
        </w:rPr>
        <w:t>进度付款申请单</w:t>
      </w:r>
    </w:p>
    <w:p w14:paraId="6A69891D">
      <w:pPr>
        <w:spacing w:before="141" w:line="351" w:lineRule="auto"/>
        <w:ind w:left="25" w:right="59" w:firstLine="419"/>
        <w:rPr>
          <w:rFonts w:ascii="宋体" w:hAnsi="宋体" w:eastAsia="宋体" w:cs="宋体"/>
          <w:sz w:val="21"/>
          <w:szCs w:val="21"/>
        </w:rPr>
      </w:pPr>
      <w:r>
        <w:rPr>
          <w:rFonts w:ascii="宋体" w:hAnsi="宋体" w:eastAsia="宋体" w:cs="宋体"/>
          <w:spacing w:val="-2"/>
          <w:sz w:val="21"/>
          <w:szCs w:val="21"/>
        </w:rPr>
        <w:t>承包人应在每个付款周期末，按监理人批准的格式和专用合同条款约定的</w:t>
      </w:r>
      <w:r>
        <w:rPr>
          <w:rFonts w:ascii="宋体" w:hAnsi="宋体" w:eastAsia="宋体" w:cs="宋体"/>
          <w:spacing w:val="-3"/>
          <w:sz w:val="21"/>
          <w:szCs w:val="21"/>
        </w:rPr>
        <w:t>份数，向监理</w:t>
      </w:r>
      <w:r>
        <w:rPr>
          <w:rFonts w:ascii="宋体" w:hAnsi="宋体" w:eastAsia="宋体" w:cs="宋体"/>
          <w:spacing w:val="-5"/>
          <w:sz w:val="21"/>
          <w:szCs w:val="21"/>
        </w:rPr>
        <w:t>人提交进度付款申请单，并附相应的支持性证明文件。除专用合同条款另有约定外， 进度付</w:t>
      </w:r>
      <w:r>
        <w:rPr>
          <w:rFonts w:ascii="宋体" w:hAnsi="宋体" w:eastAsia="宋体" w:cs="宋体"/>
          <w:spacing w:val="-4"/>
          <w:sz w:val="21"/>
          <w:szCs w:val="21"/>
        </w:rPr>
        <w:t>款申请单应包括下列内容：</w:t>
      </w:r>
    </w:p>
    <w:p w14:paraId="5E721827">
      <w:pPr>
        <w:spacing w:before="2" w:line="232"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）截至本次付款周期末已实施工程的价款；</w:t>
      </w:r>
    </w:p>
    <w:p w14:paraId="51F9BF80">
      <w:pPr>
        <w:spacing w:before="128" w:line="233"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 xml:space="preserve">）根据第 </w:t>
      </w:r>
      <w:r>
        <w:rPr>
          <w:rFonts w:ascii="Times New Roman" w:hAnsi="Times New Roman" w:eastAsia="Times New Roman" w:cs="Times New Roman"/>
          <w:spacing w:val="-5"/>
          <w:sz w:val="21"/>
          <w:szCs w:val="21"/>
        </w:rPr>
        <w:t>15</w:t>
      </w:r>
      <w:r>
        <w:rPr>
          <w:rFonts w:ascii="Times New Roman" w:hAnsi="Times New Roman" w:eastAsia="Times New Roman" w:cs="Times New Roman"/>
          <w:spacing w:val="20"/>
          <w:w w:val="101"/>
          <w:sz w:val="21"/>
          <w:szCs w:val="21"/>
        </w:rPr>
        <w:t xml:space="preserve"> </w:t>
      </w:r>
      <w:r>
        <w:rPr>
          <w:rFonts w:ascii="宋体" w:hAnsi="宋体" w:eastAsia="宋体" w:cs="宋体"/>
          <w:spacing w:val="-5"/>
          <w:sz w:val="21"/>
          <w:szCs w:val="21"/>
        </w:rPr>
        <w:t>条应增加和扣减的变更金额；</w:t>
      </w:r>
    </w:p>
    <w:p w14:paraId="3882B273">
      <w:pPr>
        <w:spacing w:before="140"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）根据第</w:t>
      </w:r>
      <w:r>
        <w:rPr>
          <w:rFonts w:ascii="宋体" w:hAnsi="宋体" w:eastAsia="宋体" w:cs="宋体"/>
          <w:spacing w:val="-24"/>
          <w:sz w:val="21"/>
          <w:szCs w:val="21"/>
        </w:rPr>
        <w:t xml:space="preserve"> </w:t>
      </w:r>
      <w:r>
        <w:rPr>
          <w:rFonts w:ascii="Times New Roman" w:hAnsi="Times New Roman" w:eastAsia="Times New Roman" w:cs="Times New Roman"/>
          <w:spacing w:val="-4"/>
          <w:sz w:val="21"/>
          <w:szCs w:val="21"/>
        </w:rPr>
        <w:t>23</w:t>
      </w:r>
      <w:r>
        <w:rPr>
          <w:rFonts w:ascii="Times New Roman" w:hAnsi="Times New Roman" w:eastAsia="Times New Roman" w:cs="Times New Roman"/>
          <w:spacing w:val="18"/>
          <w:w w:val="101"/>
          <w:sz w:val="21"/>
          <w:szCs w:val="21"/>
        </w:rPr>
        <w:t xml:space="preserve"> </w:t>
      </w:r>
      <w:r>
        <w:rPr>
          <w:rFonts w:ascii="宋体" w:hAnsi="宋体" w:eastAsia="宋体" w:cs="宋体"/>
          <w:spacing w:val="-4"/>
          <w:sz w:val="21"/>
          <w:szCs w:val="21"/>
        </w:rPr>
        <w:t>条应增加和扣减的索赔金额；</w:t>
      </w:r>
    </w:p>
    <w:p w14:paraId="530447F3">
      <w:pPr>
        <w:spacing w:before="141"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17.2</w:t>
      </w:r>
      <w:r>
        <w:rPr>
          <w:rFonts w:ascii="Times New Roman" w:hAnsi="Times New Roman" w:eastAsia="Times New Roman" w:cs="Times New Roman"/>
          <w:spacing w:val="17"/>
          <w:w w:val="101"/>
          <w:sz w:val="21"/>
          <w:szCs w:val="21"/>
        </w:rPr>
        <w:t xml:space="preserve"> </w:t>
      </w:r>
      <w:r>
        <w:rPr>
          <w:rFonts w:ascii="宋体" w:hAnsi="宋体" w:eastAsia="宋体" w:cs="宋体"/>
          <w:spacing w:val="-3"/>
          <w:sz w:val="21"/>
          <w:szCs w:val="21"/>
        </w:rPr>
        <w:t>款约定应支付的预付款和扣减的返</w:t>
      </w:r>
      <w:r>
        <w:rPr>
          <w:rFonts w:ascii="宋体" w:hAnsi="宋体" w:eastAsia="宋体" w:cs="宋体"/>
          <w:spacing w:val="-4"/>
          <w:sz w:val="21"/>
          <w:szCs w:val="21"/>
        </w:rPr>
        <w:t>还预付款；</w:t>
      </w:r>
    </w:p>
    <w:p w14:paraId="3B620404">
      <w:pPr>
        <w:spacing w:before="125"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5</w:t>
      </w:r>
      <w:r>
        <w:rPr>
          <w:rFonts w:ascii="宋体" w:hAnsi="宋体" w:eastAsia="宋体" w:cs="宋体"/>
          <w:spacing w:val="-4"/>
          <w:sz w:val="21"/>
          <w:szCs w:val="21"/>
        </w:rPr>
        <w:t xml:space="preserve">）根据第 </w:t>
      </w:r>
      <w:r>
        <w:rPr>
          <w:rFonts w:ascii="Times New Roman" w:hAnsi="Times New Roman" w:eastAsia="Times New Roman" w:cs="Times New Roman"/>
          <w:spacing w:val="-4"/>
          <w:sz w:val="21"/>
          <w:szCs w:val="21"/>
        </w:rPr>
        <w:t>17.4.1</w:t>
      </w:r>
      <w:r>
        <w:rPr>
          <w:rFonts w:ascii="Times New Roman" w:hAnsi="Times New Roman" w:eastAsia="Times New Roman" w:cs="Times New Roman"/>
          <w:spacing w:val="29"/>
          <w:sz w:val="21"/>
          <w:szCs w:val="21"/>
        </w:rPr>
        <w:t xml:space="preserve"> </w:t>
      </w:r>
      <w:r>
        <w:rPr>
          <w:rFonts w:ascii="宋体" w:hAnsi="宋体" w:eastAsia="宋体" w:cs="宋体"/>
          <w:spacing w:val="-4"/>
          <w:sz w:val="21"/>
          <w:szCs w:val="21"/>
        </w:rPr>
        <w:t>项约定应扣减的质量保证金；</w:t>
      </w:r>
    </w:p>
    <w:p w14:paraId="303DAD02">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）根据合同应增加和扣减的其他金额。</w:t>
      </w:r>
    </w:p>
    <w:p w14:paraId="61BF66D7">
      <w:pPr>
        <w:spacing w:before="139" w:line="233" w:lineRule="auto"/>
        <w:ind w:left="461"/>
        <w:rPr>
          <w:rFonts w:ascii="黑体" w:hAnsi="黑体" w:eastAsia="黑体" w:cs="黑体"/>
          <w:sz w:val="21"/>
          <w:szCs w:val="21"/>
        </w:rPr>
      </w:pPr>
      <w:r>
        <w:rPr>
          <w:rFonts w:ascii="Times New Roman" w:hAnsi="Times New Roman" w:eastAsia="Times New Roman" w:cs="Times New Roman"/>
          <w:spacing w:val="-1"/>
          <w:sz w:val="21"/>
          <w:szCs w:val="21"/>
        </w:rPr>
        <w:t>17.3.3</w:t>
      </w:r>
      <w:r>
        <w:rPr>
          <w:rFonts w:ascii="Times New Roman" w:hAnsi="Times New Roman" w:eastAsia="Times New Roman" w:cs="Times New Roman"/>
          <w:spacing w:val="49"/>
          <w:w w:val="101"/>
          <w:sz w:val="21"/>
          <w:szCs w:val="21"/>
        </w:rPr>
        <w:t xml:space="preserve"> </w:t>
      </w:r>
      <w:r>
        <w:rPr>
          <w:rFonts w:ascii="黑体" w:hAnsi="黑体" w:eastAsia="黑体" w:cs="黑体"/>
          <w:spacing w:val="-1"/>
          <w:sz w:val="21"/>
          <w:szCs w:val="21"/>
        </w:rPr>
        <w:t>进度付款证书和支付时间</w:t>
      </w:r>
    </w:p>
    <w:p w14:paraId="25441AF6">
      <w:pPr>
        <w:spacing w:before="125" w:line="352" w:lineRule="auto"/>
        <w:ind w:left="25" w:right="51" w:firstLine="635"/>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）监理人在收到承包人进度付款申请单以及相应</w:t>
      </w:r>
      <w:r>
        <w:rPr>
          <w:rFonts w:ascii="宋体" w:hAnsi="宋体" w:eastAsia="宋体" w:cs="宋体"/>
          <w:spacing w:val="-4"/>
          <w:sz w:val="21"/>
          <w:szCs w:val="21"/>
        </w:rPr>
        <w:t>的支持性证明文件后的</w:t>
      </w:r>
      <w:r>
        <w:rPr>
          <w:rFonts w:ascii="宋体" w:hAnsi="宋体" w:eastAsia="宋体" w:cs="宋体"/>
          <w:spacing w:val="-24"/>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4"/>
          <w:sz w:val="21"/>
          <w:szCs w:val="21"/>
        </w:rPr>
        <w:t>天内完</w:t>
      </w:r>
      <w:r>
        <w:rPr>
          <w:rFonts w:ascii="宋体" w:hAnsi="宋体" w:eastAsia="宋体" w:cs="宋体"/>
          <w:spacing w:val="-2"/>
          <w:sz w:val="21"/>
          <w:szCs w:val="21"/>
        </w:rPr>
        <w:t>成核查，提出发包人到期应支付给承包人的金额以及相应的支持性材料，经发包</w:t>
      </w:r>
      <w:r>
        <w:rPr>
          <w:rFonts w:ascii="宋体" w:hAnsi="宋体" w:eastAsia="宋体" w:cs="宋体"/>
          <w:spacing w:val="-3"/>
          <w:sz w:val="21"/>
          <w:szCs w:val="21"/>
        </w:rPr>
        <w:t>人审查同意</w:t>
      </w:r>
      <w:r>
        <w:rPr>
          <w:rFonts w:ascii="宋体" w:hAnsi="宋体" w:eastAsia="宋体" w:cs="宋体"/>
          <w:spacing w:val="-2"/>
          <w:sz w:val="21"/>
          <w:szCs w:val="21"/>
        </w:rPr>
        <w:t>后，由监理人向承包人出具经发包人签认的进度付款证书。监理人有权扣发承包</w:t>
      </w:r>
      <w:r>
        <w:rPr>
          <w:rFonts w:ascii="宋体" w:hAnsi="宋体" w:eastAsia="宋体" w:cs="宋体"/>
          <w:spacing w:val="-3"/>
          <w:sz w:val="21"/>
          <w:szCs w:val="21"/>
        </w:rPr>
        <w:t>人未能按照</w:t>
      </w:r>
      <w:r>
        <w:rPr>
          <w:rFonts w:ascii="宋体" w:hAnsi="宋体" w:eastAsia="宋体" w:cs="宋体"/>
          <w:spacing w:val="-2"/>
          <w:sz w:val="21"/>
          <w:szCs w:val="21"/>
        </w:rPr>
        <w:t>合同要求履行任何工作或义务的相应金额。</w:t>
      </w:r>
    </w:p>
    <w:p w14:paraId="1725F932">
      <w:pPr>
        <w:spacing w:before="6" w:line="348" w:lineRule="auto"/>
        <w:ind w:left="24" w:right="49" w:firstLine="7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 xml:space="preserve">）发包人应在监理人收到进度付款申请单后的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36"/>
          <w:sz w:val="21"/>
          <w:szCs w:val="21"/>
        </w:rPr>
        <w:t xml:space="preserve"> </w:t>
      </w:r>
      <w:r>
        <w:rPr>
          <w:rFonts w:ascii="宋体" w:hAnsi="宋体" w:eastAsia="宋体" w:cs="宋体"/>
          <w:spacing w:val="-1"/>
          <w:sz w:val="21"/>
          <w:szCs w:val="21"/>
        </w:rPr>
        <w:t>天内，将进</w:t>
      </w:r>
      <w:r>
        <w:rPr>
          <w:rFonts w:ascii="宋体" w:hAnsi="宋体" w:eastAsia="宋体" w:cs="宋体"/>
          <w:spacing w:val="-2"/>
          <w:sz w:val="21"/>
          <w:szCs w:val="21"/>
        </w:rPr>
        <w:t>度应付款支付给承</w:t>
      </w:r>
      <w:r>
        <w:rPr>
          <w:rFonts w:ascii="宋体" w:hAnsi="宋体" w:eastAsia="宋体" w:cs="宋体"/>
          <w:sz w:val="21"/>
          <w:szCs w:val="21"/>
        </w:rPr>
        <w:t>包人。发包人不按期支付的，按专用合同条款</w:t>
      </w:r>
      <w:r>
        <w:rPr>
          <w:rFonts w:ascii="宋体" w:hAnsi="宋体" w:eastAsia="宋体" w:cs="宋体"/>
          <w:spacing w:val="-1"/>
          <w:sz w:val="21"/>
          <w:szCs w:val="21"/>
        </w:rPr>
        <w:t>的约定支付逾期付款违约金。</w:t>
      </w:r>
    </w:p>
    <w:p w14:paraId="0FCD7712">
      <w:pPr>
        <w:spacing w:before="4" w:line="348" w:lineRule="auto"/>
        <w:ind w:left="41" w:right="87" w:firstLine="708"/>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）监理人出具进度付款证书，不应视为监理人已同意、批准或接受了承包人完成</w:t>
      </w:r>
      <w:r>
        <w:rPr>
          <w:rFonts w:ascii="宋体" w:hAnsi="宋体" w:eastAsia="宋体" w:cs="宋体"/>
          <w:spacing w:val="-7"/>
          <w:sz w:val="21"/>
          <w:szCs w:val="21"/>
        </w:rPr>
        <w:t>的该部分工作。</w:t>
      </w:r>
    </w:p>
    <w:p w14:paraId="242C5CB1">
      <w:pPr>
        <w:spacing w:before="18" w:line="336" w:lineRule="auto"/>
        <w:ind w:left="25" w:right="66" w:firstLine="72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）进度付款涉及政府投资资金的，按照国库集中支付等国家相关规</w:t>
      </w:r>
      <w:r>
        <w:rPr>
          <w:rFonts w:ascii="宋体" w:hAnsi="宋体" w:eastAsia="宋体" w:cs="宋体"/>
          <w:spacing w:val="-3"/>
          <w:sz w:val="21"/>
          <w:szCs w:val="21"/>
        </w:rPr>
        <w:t>定和专用合同</w:t>
      </w:r>
      <w:r>
        <w:rPr>
          <w:rFonts w:ascii="宋体" w:hAnsi="宋体" w:eastAsia="宋体" w:cs="宋体"/>
          <w:spacing w:val="-5"/>
          <w:sz w:val="21"/>
          <w:szCs w:val="21"/>
        </w:rPr>
        <w:t>条款的约定办理。</w:t>
      </w:r>
    </w:p>
    <w:p w14:paraId="28E21082">
      <w:pPr>
        <w:spacing w:before="32" w:line="233" w:lineRule="auto"/>
        <w:ind w:left="461"/>
        <w:rPr>
          <w:rFonts w:ascii="黑体" w:hAnsi="黑体" w:eastAsia="黑体" w:cs="黑体"/>
          <w:sz w:val="21"/>
          <w:szCs w:val="21"/>
        </w:rPr>
      </w:pPr>
      <w:r>
        <w:rPr>
          <w:rFonts w:ascii="Times New Roman" w:hAnsi="Times New Roman" w:eastAsia="Times New Roman" w:cs="Times New Roman"/>
          <w:spacing w:val="-1"/>
          <w:sz w:val="21"/>
          <w:szCs w:val="21"/>
        </w:rPr>
        <w:t>17.3.4</w:t>
      </w:r>
      <w:r>
        <w:rPr>
          <w:rFonts w:ascii="Times New Roman" w:hAnsi="Times New Roman" w:eastAsia="Times New Roman" w:cs="Times New Roman"/>
          <w:spacing w:val="47"/>
          <w:sz w:val="21"/>
          <w:szCs w:val="21"/>
        </w:rPr>
        <w:t xml:space="preserve"> </w:t>
      </w:r>
      <w:r>
        <w:rPr>
          <w:rFonts w:ascii="黑体" w:hAnsi="黑体" w:eastAsia="黑体" w:cs="黑体"/>
          <w:spacing w:val="-1"/>
          <w:sz w:val="21"/>
          <w:szCs w:val="21"/>
        </w:rPr>
        <w:t>工程进度付款的修正</w:t>
      </w:r>
    </w:p>
    <w:p w14:paraId="4433FACE">
      <w:pPr>
        <w:spacing w:before="142" w:line="344" w:lineRule="auto"/>
        <w:ind w:left="23" w:right="59" w:firstLine="420"/>
        <w:rPr>
          <w:rFonts w:ascii="宋体" w:hAnsi="宋体" w:eastAsia="宋体" w:cs="宋体"/>
          <w:sz w:val="21"/>
          <w:szCs w:val="21"/>
        </w:rPr>
      </w:pPr>
      <w:r>
        <w:rPr>
          <w:rFonts w:ascii="宋体" w:hAnsi="宋体" w:eastAsia="宋体" w:cs="宋体"/>
          <w:spacing w:val="-4"/>
          <w:sz w:val="21"/>
          <w:szCs w:val="21"/>
        </w:rPr>
        <w:t>在对以往历次已签发的进度付款证书进行汇总和复核中发现错、漏或重复的，</w:t>
      </w:r>
      <w:r>
        <w:rPr>
          <w:rFonts w:ascii="宋体" w:hAnsi="宋体" w:eastAsia="宋体" w:cs="宋体"/>
          <w:spacing w:val="-34"/>
          <w:sz w:val="21"/>
          <w:szCs w:val="21"/>
        </w:rPr>
        <w:t xml:space="preserve"> </w:t>
      </w:r>
      <w:r>
        <w:rPr>
          <w:rFonts w:ascii="宋体" w:hAnsi="宋体" w:eastAsia="宋体" w:cs="宋体"/>
          <w:spacing w:val="-4"/>
          <w:sz w:val="21"/>
          <w:szCs w:val="21"/>
        </w:rPr>
        <w:t>监理人有</w:t>
      </w:r>
      <w:r>
        <w:rPr>
          <w:rFonts w:ascii="宋体" w:hAnsi="宋体" w:eastAsia="宋体" w:cs="宋体"/>
          <w:spacing w:val="-2"/>
          <w:sz w:val="21"/>
          <w:szCs w:val="21"/>
        </w:rPr>
        <w:t>权予以修正，承包人也有权提出修正申请。经双方复核同意的修正，应在本次进度</w:t>
      </w:r>
      <w:r>
        <w:rPr>
          <w:rFonts w:ascii="宋体" w:hAnsi="宋体" w:eastAsia="宋体" w:cs="宋体"/>
          <w:spacing w:val="-3"/>
          <w:sz w:val="21"/>
          <w:szCs w:val="21"/>
        </w:rPr>
        <w:t>付款中支</w:t>
      </w:r>
      <w:r>
        <w:rPr>
          <w:rFonts w:ascii="宋体" w:hAnsi="宋体" w:eastAsia="宋体" w:cs="宋体"/>
          <w:spacing w:val="-6"/>
          <w:sz w:val="21"/>
          <w:szCs w:val="21"/>
        </w:rPr>
        <w:t>付或扣除。</w:t>
      </w:r>
    </w:p>
    <w:p w14:paraId="0AD6F13A">
      <w:pPr>
        <w:spacing w:line="233" w:lineRule="auto"/>
        <w:ind w:left="44"/>
        <w:outlineLvl w:val="1"/>
        <w:rPr>
          <w:rFonts w:ascii="黑体" w:hAnsi="黑体" w:eastAsia="黑体" w:cs="黑体"/>
          <w:sz w:val="24"/>
          <w:szCs w:val="24"/>
        </w:rPr>
      </w:pPr>
      <w:bookmarkStart w:id="170" w:name="bookmark149"/>
      <w:bookmarkEnd w:id="170"/>
      <w:r>
        <w:rPr>
          <w:rFonts w:ascii="Times New Roman" w:hAnsi="Times New Roman" w:eastAsia="Times New Roman" w:cs="Times New Roman"/>
          <w:spacing w:val="-3"/>
          <w:sz w:val="24"/>
          <w:szCs w:val="24"/>
        </w:rPr>
        <w:t xml:space="preserve">17.4  </w:t>
      </w:r>
      <w:r>
        <w:rPr>
          <w:rFonts w:ascii="黑体" w:hAnsi="黑体" w:eastAsia="黑体" w:cs="黑体"/>
          <w:spacing w:val="-3"/>
          <w:sz w:val="24"/>
          <w:szCs w:val="24"/>
        </w:rPr>
        <w:t>质量保证金</w:t>
      </w:r>
    </w:p>
    <w:p w14:paraId="68C62B7C">
      <w:pPr>
        <w:spacing w:before="114" w:line="348" w:lineRule="auto"/>
        <w:ind w:left="29" w:firstLine="431"/>
        <w:rPr>
          <w:rFonts w:ascii="宋体" w:hAnsi="宋体" w:eastAsia="宋体" w:cs="宋体"/>
          <w:sz w:val="21"/>
          <w:szCs w:val="21"/>
        </w:rPr>
      </w:pPr>
      <w:r>
        <w:rPr>
          <w:rFonts w:ascii="Times New Roman" w:hAnsi="Times New Roman" w:eastAsia="Times New Roman" w:cs="Times New Roman"/>
          <w:spacing w:val="-2"/>
          <w:sz w:val="21"/>
          <w:szCs w:val="21"/>
        </w:rPr>
        <w:t xml:space="preserve">17.4.1  </w:t>
      </w:r>
      <w:r>
        <w:rPr>
          <w:rFonts w:ascii="宋体" w:hAnsi="宋体" w:eastAsia="宋体" w:cs="宋体"/>
          <w:spacing w:val="-2"/>
          <w:sz w:val="21"/>
          <w:szCs w:val="21"/>
        </w:rPr>
        <w:t>监理人应从第一个付款周期开始，在发包人的进度付款中，按专用合同条款的约</w:t>
      </w:r>
      <w:r>
        <w:rPr>
          <w:rFonts w:ascii="宋体" w:hAnsi="宋体" w:eastAsia="宋体" w:cs="宋体"/>
          <w:spacing w:val="-1"/>
          <w:sz w:val="21"/>
          <w:szCs w:val="21"/>
        </w:rPr>
        <w:t>定扣留质量保证金，直至扣留的质量保证金总额达到专用合同条款约定的金额或比例为止。</w:t>
      </w:r>
    </w:p>
    <w:p w14:paraId="558E495C">
      <w:pPr>
        <w:spacing w:line="348" w:lineRule="auto"/>
        <w:rPr>
          <w:rFonts w:ascii="宋体" w:hAnsi="宋体" w:eastAsia="宋体" w:cs="宋体"/>
          <w:sz w:val="21"/>
          <w:szCs w:val="21"/>
        </w:rPr>
        <w:sectPr>
          <w:footerReference r:id="rId99" w:type="default"/>
          <w:pgSz w:w="11910" w:h="16845"/>
          <w:pgMar w:top="400" w:right="1720" w:bottom="1110" w:left="1786" w:header="0" w:footer="883" w:gutter="0"/>
          <w:cols w:space="720" w:num="1"/>
        </w:sectPr>
      </w:pPr>
    </w:p>
    <w:p w14:paraId="745D26C8">
      <w:pPr>
        <w:pStyle w:val="2"/>
        <w:spacing w:line="275" w:lineRule="auto"/>
      </w:pPr>
    </w:p>
    <w:p w14:paraId="156DE97E">
      <w:pPr>
        <w:pStyle w:val="2"/>
        <w:spacing w:line="275" w:lineRule="auto"/>
      </w:pPr>
    </w:p>
    <w:p w14:paraId="7F4FCCD9">
      <w:pPr>
        <w:pStyle w:val="2"/>
        <w:spacing w:line="275" w:lineRule="auto"/>
      </w:pPr>
    </w:p>
    <w:p w14:paraId="72C2C2AD">
      <w:pPr>
        <w:pStyle w:val="2"/>
        <w:spacing w:line="276" w:lineRule="auto"/>
      </w:pPr>
    </w:p>
    <w:p w14:paraId="5FA69017">
      <w:pPr>
        <w:spacing w:before="68" w:line="218" w:lineRule="auto"/>
        <w:ind w:left="25"/>
        <w:rPr>
          <w:rFonts w:ascii="宋体" w:hAnsi="宋体" w:eastAsia="宋体" w:cs="宋体"/>
          <w:sz w:val="21"/>
          <w:szCs w:val="21"/>
        </w:rPr>
      </w:pPr>
      <w:r>
        <w:rPr>
          <w:rFonts w:ascii="宋体" w:hAnsi="宋体" w:eastAsia="宋体" w:cs="宋体"/>
          <w:spacing w:val="-1"/>
          <w:sz w:val="21"/>
          <w:szCs w:val="21"/>
        </w:rPr>
        <w:t>质量保证金的计算额度不包括预付款的支付、扣回以及价格调整的金额。</w:t>
      </w:r>
    </w:p>
    <w:p w14:paraId="0AC9034F">
      <w:pPr>
        <w:spacing w:before="157" w:line="344" w:lineRule="auto"/>
        <w:ind w:left="24" w:right="72"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17.4.2  </w:t>
      </w:r>
      <w:r>
        <w:rPr>
          <w:rFonts w:ascii="宋体" w:hAnsi="宋体" w:eastAsia="宋体" w:cs="宋体"/>
          <w:spacing w:val="-2"/>
          <w:sz w:val="21"/>
          <w:szCs w:val="21"/>
        </w:rPr>
        <w:t xml:space="preserve">在第 </w:t>
      </w:r>
      <w:r>
        <w:fldChar w:fldCharType="begin"/>
      </w:r>
      <w:r>
        <w:instrText xml:space="preserve"> HYPERLINK "1.1.4.5" </w:instrText>
      </w:r>
      <w:r>
        <w:fldChar w:fldCharType="separate"/>
      </w:r>
      <w:r>
        <w:rPr>
          <w:rFonts w:ascii="Times New Roman" w:hAnsi="Times New Roman" w:eastAsia="Times New Roman" w:cs="Times New Roman"/>
          <w:spacing w:val="-2"/>
          <w:sz w:val="21"/>
          <w:szCs w:val="21"/>
        </w:rPr>
        <w:t>1.1.4.5</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目约定的缺陷责任期满时，承包人向发包人申请到期应返还承包人</w:t>
      </w:r>
      <w:r>
        <w:rPr>
          <w:rFonts w:ascii="宋体" w:hAnsi="宋体" w:eastAsia="宋体" w:cs="宋体"/>
          <w:spacing w:val="-1"/>
          <w:sz w:val="21"/>
          <w:szCs w:val="21"/>
        </w:rPr>
        <w:t>剩余的质量保证金金额，发包人应在</w:t>
      </w:r>
      <w:r>
        <w:rPr>
          <w:rFonts w:ascii="宋体" w:hAnsi="宋体" w:eastAsia="宋体" w:cs="宋体"/>
          <w:spacing w:val="-12"/>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天内会同承包人按照合同约定的内容核实承包人是否完成缺陷责任。如无异议，发包人应当在核实后将剩余保证金返还承包人。</w:t>
      </w:r>
    </w:p>
    <w:p w14:paraId="47B3D63E">
      <w:pPr>
        <w:spacing w:before="27" w:line="344" w:lineRule="auto"/>
        <w:ind w:left="23" w:right="72"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17.4.3  </w:t>
      </w:r>
      <w:r>
        <w:rPr>
          <w:rFonts w:ascii="宋体" w:hAnsi="宋体" w:eastAsia="宋体" w:cs="宋体"/>
          <w:spacing w:val="-2"/>
          <w:sz w:val="21"/>
          <w:szCs w:val="21"/>
        </w:rPr>
        <w:t xml:space="preserve">在第 </w:t>
      </w:r>
      <w:r>
        <w:fldChar w:fldCharType="begin"/>
      </w:r>
      <w:r>
        <w:instrText xml:space="preserve"> HYPERLINK "1.1.4.5" </w:instrText>
      </w:r>
      <w:r>
        <w:fldChar w:fldCharType="separate"/>
      </w:r>
      <w:r>
        <w:rPr>
          <w:rFonts w:ascii="Times New Roman" w:hAnsi="Times New Roman" w:eastAsia="Times New Roman" w:cs="Times New Roman"/>
          <w:spacing w:val="-2"/>
          <w:sz w:val="21"/>
          <w:szCs w:val="21"/>
        </w:rPr>
        <w:t>1.1.4.5</w:t>
      </w:r>
      <w:r>
        <w:rPr>
          <w:rFonts w:ascii="Times New Roman" w:hAnsi="Times New Roman" w:eastAsia="Times New Roman" w:cs="Times New Roman"/>
          <w:spacing w:val="-2"/>
          <w:sz w:val="21"/>
          <w:szCs w:val="21"/>
        </w:rPr>
        <w:fldChar w:fldCharType="end"/>
      </w:r>
      <w:r>
        <w:rPr>
          <w:rFonts w:ascii="Times New Roman" w:hAnsi="Times New Roman" w:eastAsia="Times New Roman" w:cs="Times New Roman"/>
          <w:spacing w:val="-2"/>
          <w:sz w:val="21"/>
          <w:szCs w:val="21"/>
        </w:rPr>
        <w:t xml:space="preserve">   </w:t>
      </w:r>
      <w:r>
        <w:rPr>
          <w:rFonts w:ascii="宋体" w:hAnsi="宋体" w:eastAsia="宋体" w:cs="宋体"/>
          <w:spacing w:val="-2"/>
          <w:sz w:val="21"/>
          <w:szCs w:val="21"/>
        </w:rPr>
        <w:t>目约定的缺陷责任期满时，承包人没有完成缺陷责任的，发包人有</w:t>
      </w:r>
      <w:r>
        <w:rPr>
          <w:rFonts w:ascii="宋体" w:hAnsi="宋体" w:eastAsia="宋体" w:cs="宋体"/>
          <w:sz w:val="21"/>
          <w:szCs w:val="21"/>
        </w:rPr>
        <w:t>权扣留与未履行责任剩余工作所需金额相应的质量保</w:t>
      </w:r>
      <w:r>
        <w:rPr>
          <w:rFonts w:ascii="宋体" w:hAnsi="宋体" w:eastAsia="宋体" w:cs="宋体"/>
          <w:spacing w:val="-1"/>
          <w:sz w:val="21"/>
          <w:szCs w:val="21"/>
        </w:rPr>
        <w:t xml:space="preserve">证金余额，并有权根据第 </w:t>
      </w:r>
      <w:r>
        <w:rPr>
          <w:rFonts w:ascii="Times New Roman" w:hAnsi="Times New Roman" w:eastAsia="Times New Roman" w:cs="Times New Roman"/>
          <w:spacing w:val="-1"/>
          <w:sz w:val="21"/>
          <w:szCs w:val="21"/>
        </w:rPr>
        <w:t xml:space="preserve">19.3  </w:t>
      </w:r>
      <w:r>
        <w:rPr>
          <w:rFonts w:ascii="宋体" w:hAnsi="宋体" w:eastAsia="宋体" w:cs="宋体"/>
          <w:spacing w:val="-1"/>
          <w:sz w:val="21"/>
          <w:szCs w:val="21"/>
        </w:rPr>
        <w:t>款约定</w:t>
      </w:r>
      <w:r>
        <w:rPr>
          <w:rFonts w:ascii="宋体" w:hAnsi="宋体" w:eastAsia="宋体" w:cs="宋体"/>
          <w:spacing w:val="-2"/>
          <w:sz w:val="21"/>
          <w:szCs w:val="21"/>
        </w:rPr>
        <w:t>要求延长缺陷责任期，直至完成剩余工作为止。</w:t>
      </w:r>
    </w:p>
    <w:p w14:paraId="418262B1">
      <w:pPr>
        <w:spacing w:line="232" w:lineRule="auto"/>
        <w:ind w:left="44"/>
        <w:outlineLvl w:val="1"/>
        <w:rPr>
          <w:rFonts w:ascii="黑体" w:hAnsi="黑体" w:eastAsia="黑体" w:cs="黑体"/>
          <w:sz w:val="24"/>
          <w:szCs w:val="24"/>
        </w:rPr>
      </w:pPr>
      <w:bookmarkStart w:id="171" w:name="bookmark150"/>
      <w:bookmarkEnd w:id="171"/>
      <w:r>
        <w:rPr>
          <w:rFonts w:ascii="Times New Roman" w:hAnsi="Times New Roman" w:eastAsia="Times New Roman" w:cs="Times New Roman"/>
          <w:spacing w:val="-3"/>
          <w:sz w:val="24"/>
          <w:szCs w:val="24"/>
        </w:rPr>
        <w:t xml:space="preserve">17.5  </w:t>
      </w:r>
      <w:r>
        <w:rPr>
          <w:rFonts w:ascii="黑体" w:hAnsi="黑体" w:eastAsia="黑体" w:cs="黑体"/>
          <w:spacing w:val="-3"/>
          <w:sz w:val="24"/>
          <w:szCs w:val="24"/>
        </w:rPr>
        <w:t>竣工结算</w:t>
      </w:r>
    </w:p>
    <w:p w14:paraId="275CB2E1">
      <w:pPr>
        <w:spacing w:before="114" w:line="232" w:lineRule="auto"/>
        <w:ind w:left="461"/>
        <w:rPr>
          <w:rFonts w:ascii="黑体" w:hAnsi="黑体" w:eastAsia="黑体" w:cs="黑体"/>
          <w:sz w:val="21"/>
          <w:szCs w:val="21"/>
        </w:rPr>
      </w:pPr>
      <w:r>
        <w:rPr>
          <w:rFonts w:ascii="Times New Roman" w:hAnsi="Times New Roman" w:eastAsia="Times New Roman" w:cs="Times New Roman"/>
          <w:spacing w:val="-1"/>
          <w:sz w:val="21"/>
          <w:szCs w:val="21"/>
        </w:rPr>
        <w:t>17.5.1</w:t>
      </w:r>
      <w:r>
        <w:rPr>
          <w:rFonts w:ascii="Times New Roman" w:hAnsi="Times New Roman" w:eastAsia="Times New Roman" w:cs="Times New Roman"/>
          <w:spacing w:val="44"/>
          <w:w w:val="101"/>
          <w:sz w:val="21"/>
          <w:szCs w:val="21"/>
        </w:rPr>
        <w:t xml:space="preserve"> </w:t>
      </w:r>
      <w:r>
        <w:rPr>
          <w:rFonts w:ascii="黑体" w:hAnsi="黑体" w:eastAsia="黑体" w:cs="黑体"/>
          <w:spacing w:val="-1"/>
          <w:sz w:val="21"/>
          <w:szCs w:val="21"/>
        </w:rPr>
        <w:t>竣工付款申请单</w:t>
      </w:r>
    </w:p>
    <w:p w14:paraId="0066881E">
      <w:pPr>
        <w:spacing w:before="141" w:line="352" w:lineRule="auto"/>
        <w:ind w:left="24"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）工程接收证书颁发后，承包人应按专用合同条款约定的份数和期限向监理人提</w:t>
      </w:r>
      <w:r>
        <w:rPr>
          <w:rFonts w:ascii="宋体" w:hAnsi="宋体" w:eastAsia="宋体" w:cs="宋体"/>
          <w:spacing w:val="-5"/>
          <w:sz w:val="21"/>
          <w:szCs w:val="21"/>
        </w:rPr>
        <w:t>交竣工付款申请单，并提供相关证明材料。除专用合同条款另有约定外， 竣工付款申请单应包括下列内容：竣工结算合同总价、发包人已支付承包人的工程价款、应扣留的质量保证金、</w:t>
      </w:r>
      <w:r>
        <w:rPr>
          <w:rFonts w:ascii="宋体" w:hAnsi="宋体" w:eastAsia="宋体" w:cs="宋体"/>
          <w:spacing w:val="-3"/>
          <w:sz w:val="21"/>
          <w:szCs w:val="21"/>
        </w:rPr>
        <w:t>应支付的竣工付款金额。</w:t>
      </w:r>
    </w:p>
    <w:p w14:paraId="50B6510D">
      <w:pPr>
        <w:spacing w:before="6" w:line="335" w:lineRule="auto"/>
        <w:ind w:left="25" w:right="14" w:firstLine="724"/>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）监理人对竣工付款申请单有异议的，有权要求承包人进行修正和提供补充资料。</w:t>
      </w:r>
      <w:r>
        <w:rPr>
          <w:rFonts w:ascii="宋体" w:hAnsi="宋体" w:eastAsia="宋体" w:cs="宋体"/>
          <w:spacing w:val="-1"/>
          <w:sz w:val="21"/>
          <w:szCs w:val="21"/>
        </w:rPr>
        <w:t>经监理人和承包人协商后，由承包人向监理人提交修正后的竣工付款申请单。</w:t>
      </w:r>
    </w:p>
    <w:p w14:paraId="19422BD4">
      <w:pPr>
        <w:spacing w:before="33" w:line="232" w:lineRule="auto"/>
        <w:ind w:left="461"/>
        <w:rPr>
          <w:rFonts w:ascii="黑体" w:hAnsi="黑体" w:eastAsia="黑体" w:cs="黑体"/>
          <w:sz w:val="21"/>
          <w:szCs w:val="21"/>
        </w:rPr>
      </w:pPr>
      <w:r>
        <w:rPr>
          <w:rFonts w:ascii="Times New Roman" w:hAnsi="Times New Roman" w:eastAsia="Times New Roman" w:cs="Times New Roman"/>
          <w:spacing w:val="-1"/>
          <w:sz w:val="21"/>
          <w:szCs w:val="21"/>
        </w:rPr>
        <w:t>17.5.2</w:t>
      </w:r>
      <w:r>
        <w:rPr>
          <w:rFonts w:ascii="Times New Roman" w:hAnsi="Times New Roman" w:eastAsia="Times New Roman" w:cs="Times New Roman"/>
          <w:spacing w:val="49"/>
          <w:w w:val="101"/>
          <w:sz w:val="21"/>
          <w:szCs w:val="21"/>
        </w:rPr>
        <w:t xml:space="preserve"> </w:t>
      </w:r>
      <w:r>
        <w:rPr>
          <w:rFonts w:ascii="黑体" w:hAnsi="黑体" w:eastAsia="黑体" w:cs="黑体"/>
          <w:spacing w:val="-1"/>
          <w:sz w:val="21"/>
          <w:szCs w:val="21"/>
        </w:rPr>
        <w:t>竣工付款证书及支付时间</w:t>
      </w:r>
    </w:p>
    <w:p w14:paraId="4AD79A35">
      <w:pPr>
        <w:spacing w:before="140" w:line="351" w:lineRule="auto"/>
        <w:ind w:left="25" w:right="41" w:firstLine="7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）监理人在收到承包人提交的竣工付款申请单后的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35"/>
          <w:w w:val="101"/>
          <w:sz w:val="21"/>
          <w:szCs w:val="21"/>
        </w:rPr>
        <w:t xml:space="preserve"> </w:t>
      </w:r>
      <w:r>
        <w:rPr>
          <w:rFonts w:ascii="宋体" w:hAnsi="宋体" w:eastAsia="宋体" w:cs="宋体"/>
          <w:spacing w:val="-1"/>
          <w:sz w:val="21"/>
          <w:szCs w:val="21"/>
        </w:rPr>
        <w:t>天内完</w:t>
      </w:r>
      <w:r>
        <w:rPr>
          <w:rFonts w:ascii="宋体" w:hAnsi="宋体" w:eastAsia="宋体" w:cs="宋体"/>
          <w:spacing w:val="-2"/>
          <w:sz w:val="21"/>
          <w:szCs w:val="21"/>
        </w:rPr>
        <w:t>成核查，提出发包</w:t>
      </w:r>
      <w:r>
        <w:rPr>
          <w:rFonts w:ascii="宋体" w:hAnsi="宋体" w:eastAsia="宋体" w:cs="宋体"/>
          <w:spacing w:val="-1"/>
          <w:sz w:val="21"/>
          <w:szCs w:val="21"/>
        </w:rPr>
        <w:t>人到期应支付给承包人的价款送发包人审核并抄送承包人。发包人应在收到后</w:t>
      </w:r>
      <w:r>
        <w:rPr>
          <w:rFonts w:ascii="宋体" w:hAnsi="宋体" w:eastAsia="宋体" w:cs="宋体"/>
          <w:spacing w:val="-18"/>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天内审核完毕，由监理人向承包人出具经发包人签认的竣工付款证书。监理人未在约定时间内核查，</w:t>
      </w:r>
      <w:r>
        <w:rPr>
          <w:rFonts w:ascii="宋体" w:hAnsi="宋体" w:eastAsia="宋体" w:cs="宋体"/>
          <w:spacing w:val="-2"/>
          <w:sz w:val="21"/>
          <w:szCs w:val="21"/>
        </w:rPr>
        <w:t>又未提出具体意见的，视为承包人提交的竣工付款申请单已经监理人核查同意；发包</w:t>
      </w:r>
      <w:r>
        <w:rPr>
          <w:rFonts w:ascii="宋体" w:hAnsi="宋体" w:eastAsia="宋体" w:cs="宋体"/>
          <w:spacing w:val="-3"/>
          <w:sz w:val="21"/>
          <w:szCs w:val="21"/>
        </w:rPr>
        <w:t>人未在</w:t>
      </w:r>
      <w:r>
        <w:rPr>
          <w:rFonts w:ascii="宋体" w:hAnsi="宋体" w:eastAsia="宋体" w:cs="宋体"/>
          <w:spacing w:val="-2"/>
          <w:sz w:val="21"/>
          <w:szCs w:val="21"/>
        </w:rPr>
        <w:t>约定时间内审核又未提出具体意见的，监理人提出发包人到期应支付给承包人的价款视</w:t>
      </w:r>
      <w:r>
        <w:rPr>
          <w:rFonts w:ascii="宋体" w:hAnsi="宋体" w:eastAsia="宋体" w:cs="宋体"/>
          <w:spacing w:val="-3"/>
          <w:sz w:val="21"/>
          <w:szCs w:val="21"/>
        </w:rPr>
        <w:t>为已</w:t>
      </w:r>
      <w:r>
        <w:rPr>
          <w:rFonts w:ascii="宋体" w:hAnsi="宋体" w:eastAsia="宋体" w:cs="宋体"/>
          <w:spacing w:val="-5"/>
          <w:sz w:val="21"/>
          <w:szCs w:val="21"/>
        </w:rPr>
        <w:t>经发包人同意。</w:t>
      </w:r>
    </w:p>
    <w:p w14:paraId="6D35C9F9">
      <w:pPr>
        <w:spacing w:before="9" w:line="344" w:lineRule="auto"/>
        <w:ind w:left="27" w:right="3" w:firstLine="722"/>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）发包人应在监理人出具竣工付款证书后的</w:t>
      </w:r>
      <w:r>
        <w:rPr>
          <w:rFonts w:ascii="宋体" w:hAnsi="宋体" w:eastAsia="宋体" w:cs="宋体"/>
          <w:spacing w:val="-15"/>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天内，将应支付款支付给承包人。</w:t>
      </w:r>
      <w:r>
        <w:rPr>
          <w:rFonts w:ascii="宋体" w:hAnsi="宋体" w:eastAsia="宋体" w:cs="宋体"/>
          <w:spacing w:val="-1"/>
          <w:sz w:val="21"/>
          <w:szCs w:val="21"/>
        </w:rPr>
        <w:t>发包人不按期支付的，按第</w:t>
      </w:r>
      <w:r>
        <w:rPr>
          <w:rFonts w:ascii="宋体" w:hAnsi="宋体" w:eastAsia="宋体" w:cs="宋体"/>
          <w:spacing w:val="-18"/>
          <w:sz w:val="21"/>
          <w:szCs w:val="21"/>
        </w:rPr>
        <w:t xml:space="preserve"> </w:t>
      </w:r>
      <w:r>
        <w:rPr>
          <w:rFonts w:ascii="Times New Roman" w:hAnsi="Times New Roman" w:eastAsia="Times New Roman" w:cs="Times New Roman"/>
          <w:spacing w:val="-1"/>
          <w:sz w:val="21"/>
          <w:szCs w:val="21"/>
        </w:rPr>
        <w:t>17.3.3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）目的约定，将逾期付款违约金支付给承包人。</w:t>
      </w:r>
    </w:p>
    <w:p w14:paraId="28C08E1E">
      <w:pPr>
        <w:spacing w:before="12" w:line="350" w:lineRule="auto"/>
        <w:ind w:left="43" w:right="84" w:firstLine="70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）承包人对发包人签认的竣工付款证书有异议的，发包人可出具竣工付款申请单</w:t>
      </w:r>
      <w:r>
        <w:rPr>
          <w:rFonts w:ascii="宋体" w:hAnsi="宋体" w:eastAsia="宋体" w:cs="宋体"/>
          <w:spacing w:val="-1"/>
          <w:sz w:val="21"/>
          <w:szCs w:val="21"/>
        </w:rPr>
        <w:t>中承包人已同意部分的临时付款证书。存在</w:t>
      </w:r>
      <w:r>
        <w:rPr>
          <w:rFonts w:ascii="宋体" w:hAnsi="宋体" w:eastAsia="宋体" w:cs="宋体"/>
          <w:spacing w:val="-2"/>
          <w:sz w:val="21"/>
          <w:szCs w:val="21"/>
        </w:rPr>
        <w:t>争议的部分，按第</w:t>
      </w:r>
      <w:r>
        <w:rPr>
          <w:rFonts w:ascii="宋体" w:hAnsi="宋体" w:eastAsia="宋体" w:cs="宋体"/>
          <w:spacing w:val="-46"/>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条的约定办理。</w:t>
      </w:r>
    </w:p>
    <w:p w14:paraId="5D55219E">
      <w:pPr>
        <w:spacing w:before="1" w:line="232" w:lineRule="auto"/>
        <w:ind w:left="66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 xml:space="preserve">）竣工付款涉及政府投资资金的，按第 </w:t>
      </w:r>
      <w:r>
        <w:rPr>
          <w:rFonts w:ascii="Times New Roman" w:hAnsi="Times New Roman" w:eastAsia="Times New Roman" w:cs="Times New Roman"/>
          <w:spacing w:val="4"/>
          <w:sz w:val="21"/>
          <w:szCs w:val="21"/>
        </w:rPr>
        <w:t xml:space="preserve">17.3.3  </w:t>
      </w:r>
      <w:r>
        <w:rPr>
          <w:rFonts w:ascii="宋体" w:hAnsi="宋体" w:eastAsia="宋体" w:cs="宋体"/>
          <w:spacing w:val="4"/>
          <w:sz w:val="21"/>
          <w:szCs w:val="21"/>
        </w:rPr>
        <w:t>(4)</w:t>
      </w:r>
      <w:r>
        <w:rPr>
          <w:rFonts w:ascii="宋体" w:hAnsi="宋体" w:eastAsia="宋体" w:cs="宋体"/>
          <w:spacing w:val="3"/>
          <w:sz w:val="21"/>
          <w:szCs w:val="21"/>
        </w:rPr>
        <w:t>目的约定办理。</w:t>
      </w:r>
    </w:p>
    <w:p w14:paraId="4ED31501">
      <w:pPr>
        <w:spacing w:before="115" w:line="234" w:lineRule="auto"/>
        <w:ind w:left="44"/>
        <w:outlineLvl w:val="1"/>
        <w:rPr>
          <w:rFonts w:ascii="黑体" w:hAnsi="黑体" w:eastAsia="黑体" w:cs="黑体"/>
          <w:sz w:val="24"/>
          <w:szCs w:val="24"/>
        </w:rPr>
      </w:pPr>
      <w:bookmarkStart w:id="172" w:name="bookmark151"/>
      <w:bookmarkEnd w:id="172"/>
      <w:r>
        <w:rPr>
          <w:rFonts w:ascii="Times New Roman" w:hAnsi="Times New Roman" w:eastAsia="Times New Roman" w:cs="Times New Roman"/>
          <w:spacing w:val="-5"/>
          <w:sz w:val="24"/>
          <w:szCs w:val="24"/>
        </w:rPr>
        <w:t>17.6</w:t>
      </w:r>
      <w:r>
        <w:rPr>
          <w:rFonts w:ascii="Times New Roman" w:hAnsi="Times New Roman" w:eastAsia="Times New Roman" w:cs="Times New Roman"/>
          <w:spacing w:val="8"/>
          <w:sz w:val="24"/>
          <w:szCs w:val="24"/>
        </w:rPr>
        <w:t xml:space="preserve">  </w:t>
      </w:r>
      <w:r>
        <w:rPr>
          <w:rFonts w:ascii="黑体" w:hAnsi="黑体" w:eastAsia="黑体" w:cs="黑体"/>
          <w:spacing w:val="-5"/>
          <w:sz w:val="24"/>
          <w:szCs w:val="24"/>
        </w:rPr>
        <w:t>最终结清</w:t>
      </w:r>
    </w:p>
    <w:p w14:paraId="7380B654">
      <w:pPr>
        <w:spacing w:before="127" w:line="233" w:lineRule="auto"/>
        <w:ind w:left="461"/>
        <w:rPr>
          <w:rFonts w:ascii="黑体" w:hAnsi="黑体" w:eastAsia="黑体" w:cs="黑体"/>
          <w:sz w:val="21"/>
          <w:szCs w:val="21"/>
        </w:rPr>
      </w:pPr>
      <w:r>
        <w:rPr>
          <w:rFonts w:ascii="Times New Roman" w:hAnsi="Times New Roman" w:eastAsia="Times New Roman" w:cs="Times New Roman"/>
          <w:spacing w:val="-2"/>
          <w:sz w:val="21"/>
          <w:szCs w:val="21"/>
        </w:rPr>
        <w:t xml:space="preserve">17.6.1  </w:t>
      </w:r>
      <w:r>
        <w:rPr>
          <w:rFonts w:ascii="黑体" w:hAnsi="黑体" w:eastAsia="黑体" w:cs="黑体"/>
          <w:spacing w:val="-2"/>
          <w:sz w:val="21"/>
          <w:szCs w:val="21"/>
        </w:rPr>
        <w:t>最终结清申请单</w:t>
      </w:r>
    </w:p>
    <w:p w14:paraId="3441C37A">
      <w:pPr>
        <w:spacing w:before="125" w:line="348" w:lineRule="auto"/>
        <w:ind w:left="26" w:right="84" w:firstLine="723"/>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）缺陷责任期终止证书签发后，承包人可按专用合同条款约定的份数和期限向监理人提交最终结清申请单，并提供相关证明材料。</w:t>
      </w:r>
    </w:p>
    <w:p w14:paraId="3E3D1175">
      <w:pPr>
        <w:spacing w:before="18" w:line="336" w:lineRule="auto"/>
        <w:ind w:left="33" w:right="71" w:firstLine="71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）发包人对最终结清申请单内容有异议的，有权要求承包人进行修正和提供补充资料，由承包人向监理人提交修正后的最终结清申请单。</w:t>
      </w:r>
    </w:p>
    <w:p w14:paraId="37913AFF">
      <w:pPr>
        <w:spacing w:before="32" w:line="234" w:lineRule="auto"/>
        <w:ind w:left="461"/>
        <w:rPr>
          <w:rFonts w:ascii="黑体" w:hAnsi="黑体" w:eastAsia="黑体" w:cs="黑体"/>
          <w:sz w:val="21"/>
          <w:szCs w:val="21"/>
        </w:rPr>
      </w:pPr>
      <w:r>
        <w:rPr>
          <w:rFonts w:ascii="Times New Roman" w:hAnsi="Times New Roman" w:eastAsia="Times New Roman" w:cs="Times New Roman"/>
          <w:spacing w:val="-1"/>
          <w:sz w:val="21"/>
          <w:szCs w:val="21"/>
        </w:rPr>
        <w:t xml:space="preserve">17.6.2  </w:t>
      </w:r>
      <w:r>
        <w:rPr>
          <w:rFonts w:ascii="黑体" w:hAnsi="黑体" w:eastAsia="黑体" w:cs="黑体"/>
          <w:spacing w:val="-1"/>
          <w:sz w:val="21"/>
          <w:szCs w:val="21"/>
        </w:rPr>
        <w:t>最终结清证书和支付时间</w:t>
      </w:r>
    </w:p>
    <w:p w14:paraId="67913A94">
      <w:pPr>
        <w:spacing w:line="234" w:lineRule="auto"/>
        <w:rPr>
          <w:rFonts w:ascii="黑体" w:hAnsi="黑体" w:eastAsia="黑体" w:cs="黑体"/>
          <w:sz w:val="21"/>
          <w:szCs w:val="21"/>
        </w:rPr>
        <w:sectPr>
          <w:footerReference r:id="rId100" w:type="default"/>
          <w:pgSz w:w="11910" w:h="16845"/>
          <w:pgMar w:top="400" w:right="1693" w:bottom="1110" w:left="1786" w:header="0" w:footer="883" w:gutter="0"/>
          <w:cols w:space="720" w:num="1"/>
        </w:sectPr>
      </w:pPr>
    </w:p>
    <w:p w14:paraId="396DDF5F">
      <w:pPr>
        <w:pStyle w:val="2"/>
        <w:spacing w:line="275" w:lineRule="auto"/>
      </w:pPr>
    </w:p>
    <w:p w14:paraId="0D7BC21C">
      <w:pPr>
        <w:pStyle w:val="2"/>
        <w:spacing w:line="275" w:lineRule="auto"/>
      </w:pPr>
    </w:p>
    <w:p w14:paraId="054DA815">
      <w:pPr>
        <w:pStyle w:val="2"/>
        <w:spacing w:line="275" w:lineRule="auto"/>
      </w:pPr>
    </w:p>
    <w:p w14:paraId="6477BD28">
      <w:pPr>
        <w:pStyle w:val="2"/>
        <w:spacing w:line="276" w:lineRule="auto"/>
      </w:pPr>
    </w:p>
    <w:p w14:paraId="7DF9F25A">
      <w:pPr>
        <w:spacing w:before="68" w:line="351" w:lineRule="auto"/>
        <w:ind w:left="24" w:right="73" w:firstLine="7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）监理人收到承包人提交的最终结清申请单后的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36"/>
          <w:sz w:val="21"/>
          <w:szCs w:val="21"/>
        </w:rPr>
        <w:t xml:space="preserve"> </w:t>
      </w:r>
      <w:r>
        <w:rPr>
          <w:rFonts w:ascii="宋体" w:hAnsi="宋体" w:eastAsia="宋体" w:cs="宋体"/>
          <w:spacing w:val="-1"/>
          <w:sz w:val="21"/>
          <w:szCs w:val="21"/>
        </w:rPr>
        <w:t>天内，提</w:t>
      </w:r>
      <w:r>
        <w:rPr>
          <w:rFonts w:ascii="宋体" w:hAnsi="宋体" w:eastAsia="宋体" w:cs="宋体"/>
          <w:spacing w:val="-2"/>
          <w:sz w:val="21"/>
          <w:szCs w:val="21"/>
        </w:rPr>
        <w:t>出发包人应支付给</w:t>
      </w:r>
      <w:r>
        <w:rPr>
          <w:rFonts w:ascii="宋体" w:hAnsi="宋体" w:eastAsia="宋体" w:cs="宋体"/>
          <w:spacing w:val="-1"/>
          <w:sz w:val="21"/>
          <w:szCs w:val="21"/>
        </w:rPr>
        <w:t>承包人的价款送发包人审核并抄送承包人。发包人应在收到后</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天内审核完毕，由监理人</w:t>
      </w:r>
      <w:r>
        <w:rPr>
          <w:rFonts w:ascii="宋体" w:hAnsi="宋体" w:eastAsia="宋体" w:cs="宋体"/>
          <w:spacing w:val="-4"/>
          <w:sz w:val="21"/>
          <w:szCs w:val="21"/>
        </w:rPr>
        <w:t>向承包人出具经发包人签认的最终结清证书。监理人未在约定时间内核查，</w:t>
      </w:r>
      <w:r>
        <w:rPr>
          <w:rFonts w:ascii="宋体" w:hAnsi="宋体" w:eastAsia="宋体" w:cs="宋体"/>
          <w:spacing w:val="-26"/>
          <w:sz w:val="21"/>
          <w:szCs w:val="21"/>
        </w:rPr>
        <w:t xml:space="preserve"> </w:t>
      </w:r>
      <w:r>
        <w:rPr>
          <w:rFonts w:ascii="宋体" w:hAnsi="宋体" w:eastAsia="宋体" w:cs="宋体"/>
          <w:spacing w:val="-4"/>
          <w:sz w:val="21"/>
          <w:szCs w:val="21"/>
        </w:rPr>
        <w:t>又未提出具体意</w:t>
      </w:r>
      <w:r>
        <w:rPr>
          <w:rFonts w:ascii="宋体" w:hAnsi="宋体" w:eastAsia="宋体" w:cs="宋体"/>
          <w:spacing w:val="-2"/>
          <w:sz w:val="21"/>
          <w:szCs w:val="21"/>
        </w:rPr>
        <w:t>见的，视为承包人提交的最终结清申请已经监理人核查同意；发包人未在约定时间</w:t>
      </w:r>
      <w:r>
        <w:rPr>
          <w:rFonts w:ascii="宋体" w:hAnsi="宋体" w:eastAsia="宋体" w:cs="宋体"/>
          <w:spacing w:val="-3"/>
          <w:sz w:val="21"/>
          <w:szCs w:val="21"/>
        </w:rPr>
        <w:t>内审核又</w:t>
      </w:r>
      <w:r>
        <w:rPr>
          <w:rFonts w:ascii="宋体" w:hAnsi="宋体" w:eastAsia="宋体" w:cs="宋体"/>
          <w:spacing w:val="-1"/>
          <w:sz w:val="21"/>
          <w:szCs w:val="21"/>
        </w:rPr>
        <w:t>未提出具体意见的，监理人提出应支付给承包人的价款视为已经发包人同意。</w:t>
      </w:r>
    </w:p>
    <w:p w14:paraId="0351D6C4">
      <w:pPr>
        <w:spacing w:line="356" w:lineRule="auto"/>
        <w:ind w:left="27" w:firstLine="722"/>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）发包人应在监理人出具最终结清证书后的</w:t>
      </w:r>
      <w:r>
        <w:rPr>
          <w:rFonts w:ascii="宋体" w:hAnsi="宋体" w:eastAsia="宋体" w:cs="宋体"/>
          <w:spacing w:val="-15"/>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天内，将应支付款支付给承包人。</w:t>
      </w:r>
      <w:r>
        <w:rPr>
          <w:rFonts w:ascii="宋体" w:hAnsi="宋体" w:eastAsia="宋体" w:cs="宋体"/>
          <w:spacing w:val="-1"/>
          <w:sz w:val="21"/>
          <w:szCs w:val="21"/>
        </w:rPr>
        <w:t>发包人不按期支付的，按第</w:t>
      </w:r>
      <w:r>
        <w:rPr>
          <w:rFonts w:ascii="宋体" w:hAnsi="宋体" w:eastAsia="宋体" w:cs="宋体"/>
          <w:spacing w:val="-18"/>
          <w:sz w:val="21"/>
          <w:szCs w:val="21"/>
        </w:rPr>
        <w:t xml:space="preserve"> </w:t>
      </w:r>
      <w:r>
        <w:rPr>
          <w:rFonts w:ascii="Times New Roman" w:hAnsi="Times New Roman" w:eastAsia="Times New Roman" w:cs="Times New Roman"/>
          <w:spacing w:val="-1"/>
          <w:sz w:val="21"/>
          <w:szCs w:val="21"/>
        </w:rPr>
        <w:t>17.3.3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）目的约定，将逾期付款违约金支付给承包人。</w:t>
      </w:r>
    </w:p>
    <w:p w14:paraId="57CD0186">
      <w:pPr>
        <w:spacing w:line="232"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）承包人对发包人签认的最终结清证书有异议的，按第</w:t>
      </w:r>
      <w:r>
        <w:rPr>
          <w:rFonts w:ascii="宋体" w:hAnsi="宋体" w:eastAsia="宋体" w:cs="宋体"/>
          <w:spacing w:val="-15"/>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条的约定办理。</w:t>
      </w:r>
    </w:p>
    <w:p w14:paraId="520893D9">
      <w:pPr>
        <w:spacing w:before="125" w:line="233" w:lineRule="auto"/>
        <w:ind w:left="7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 xml:space="preserve">）最终结清付款涉及政府投资资金的，按第 </w:t>
      </w:r>
      <w:r>
        <w:rPr>
          <w:rFonts w:ascii="Times New Roman" w:hAnsi="Times New Roman" w:eastAsia="Times New Roman" w:cs="Times New Roman"/>
          <w:spacing w:val="4"/>
          <w:sz w:val="21"/>
          <w:szCs w:val="21"/>
        </w:rPr>
        <w:t>17.</w:t>
      </w:r>
      <w:r>
        <w:rPr>
          <w:rFonts w:ascii="Times New Roman" w:hAnsi="Times New Roman" w:eastAsia="Times New Roman" w:cs="Times New Roman"/>
          <w:spacing w:val="3"/>
          <w:sz w:val="21"/>
          <w:szCs w:val="21"/>
        </w:rPr>
        <w:t xml:space="preserve">3.3  </w:t>
      </w:r>
      <w:r>
        <w:rPr>
          <w:rFonts w:ascii="宋体" w:hAnsi="宋体" w:eastAsia="宋体" w:cs="宋体"/>
          <w:spacing w:val="3"/>
          <w:sz w:val="21"/>
          <w:szCs w:val="21"/>
        </w:rPr>
        <w:t>(4)目的约定办理。</w:t>
      </w:r>
    </w:p>
    <w:p w14:paraId="0647E327">
      <w:pPr>
        <w:spacing w:before="181" w:line="236" w:lineRule="auto"/>
        <w:ind w:left="49"/>
        <w:outlineLvl w:val="0"/>
        <w:rPr>
          <w:rFonts w:ascii="黑体" w:hAnsi="黑体" w:eastAsia="黑体" w:cs="黑体"/>
          <w:sz w:val="28"/>
          <w:szCs w:val="28"/>
        </w:rPr>
      </w:pPr>
      <w:bookmarkStart w:id="173" w:name="bookmark152"/>
      <w:bookmarkEnd w:id="173"/>
      <w:bookmarkStart w:id="174" w:name="bookmark153"/>
      <w:bookmarkEnd w:id="174"/>
      <w:r>
        <w:rPr>
          <w:rFonts w:ascii="Times New Roman" w:hAnsi="Times New Roman" w:eastAsia="Times New Roman" w:cs="Times New Roman"/>
          <w:sz w:val="28"/>
          <w:szCs w:val="28"/>
        </w:rPr>
        <w:t>18.</w:t>
      </w:r>
      <w:r>
        <w:rPr>
          <w:rFonts w:ascii="Times New Roman" w:hAnsi="Times New Roman" w:eastAsia="Times New Roman" w:cs="Times New Roman"/>
          <w:spacing w:val="11"/>
          <w:sz w:val="28"/>
          <w:szCs w:val="28"/>
        </w:rPr>
        <w:t xml:space="preserve">  </w:t>
      </w:r>
      <w:r>
        <w:rPr>
          <w:rFonts w:ascii="黑体" w:hAnsi="黑体" w:eastAsia="黑体" w:cs="黑体"/>
          <w:sz w:val="28"/>
          <w:szCs w:val="28"/>
        </w:rPr>
        <w:t>竣工验收</w:t>
      </w:r>
    </w:p>
    <w:p w14:paraId="5ECEB424">
      <w:pPr>
        <w:spacing w:before="72" w:line="232" w:lineRule="auto"/>
        <w:ind w:left="44"/>
        <w:outlineLvl w:val="1"/>
        <w:rPr>
          <w:rFonts w:ascii="黑体" w:hAnsi="黑体" w:eastAsia="黑体" w:cs="黑体"/>
          <w:sz w:val="24"/>
          <w:szCs w:val="24"/>
        </w:rPr>
      </w:pPr>
      <w:bookmarkStart w:id="175" w:name="bookmark647"/>
      <w:bookmarkEnd w:id="175"/>
      <w:r>
        <w:rPr>
          <w:rFonts w:ascii="Times New Roman" w:hAnsi="Times New Roman" w:eastAsia="Times New Roman" w:cs="Times New Roman"/>
          <w:spacing w:val="-2"/>
          <w:sz w:val="24"/>
          <w:szCs w:val="24"/>
        </w:rPr>
        <w:t xml:space="preserve">18.1  </w:t>
      </w:r>
      <w:r>
        <w:rPr>
          <w:rFonts w:ascii="黑体" w:hAnsi="黑体" w:eastAsia="黑体" w:cs="黑体"/>
          <w:spacing w:val="-2"/>
          <w:sz w:val="24"/>
          <w:szCs w:val="24"/>
        </w:rPr>
        <w:t>竣工验收的含义</w:t>
      </w:r>
    </w:p>
    <w:p w14:paraId="4923E347">
      <w:pPr>
        <w:spacing w:before="130"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18.1.1</w:t>
      </w:r>
      <w:r>
        <w:rPr>
          <w:rFonts w:ascii="Times New Roman" w:hAnsi="Times New Roman" w:eastAsia="Times New Roman" w:cs="Times New Roman"/>
          <w:spacing w:val="52"/>
          <w:w w:val="101"/>
          <w:sz w:val="21"/>
          <w:szCs w:val="21"/>
        </w:rPr>
        <w:t xml:space="preserve"> </w:t>
      </w:r>
      <w:r>
        <w:rPr>
          <w:rFonts w:ascii="宋体" w:hAnsi="宋体" w:eastAsia="宋体" w:cs="宋体"/>
          <w:spacing w:val="-1"/>
          <w:sz w:val="21"/>
          <w:szCs w:val="21"/>
        </w:rPr>
        <w:t>竣工验收指承包人完成了全部合同工作后，发包人按合同要求进行的验收。</w:t>
      </w:r>
    </w:p>
    <w:p w14:paraId="12767811">
      <w:pPr>
        <w:spacing w:before="139" w:line="336" w:lineRule="auto"/>
        <w:ind w:left="27" w:right="74" w:firstLine="433"/>
        <w:rPr>
          <w:rFonts w:ascii="宋体" w:hAnsi="宋体" w:eastAsia="宋体" w:cs="宋体"/>
          <w:sz w:val="21"/>
          <w:szCs w:val="21"/>
        </w:rPr>
      </w:pPr>
      <w:r>
        <w:rPr>
          <w:rFonts w:ascii="Times New Roman" w:hAnsi="Times New Roman" w:eastAsia="Times New Roman" w:cs="Times New Roman"/>
          <w:spacing w:val="-3"/>
          <w:sz w:val="21"/>
          <w:szCs w:val="21"/>
        </w:rPr>
        <w:t>18.1.2</w:t>
      </w:r>
      <w:r>
        <w:rPr>
          <w:rFonts w:ascii="Times New Roman" w:hAnsi="Times New Roman" w:eastAsia="Times New Roman" w:cs="Times New Roman"/>
          <w:spacing w:val="16"/>
          <w:w w:val="101"/>
          <w:sz w:val="21"/>
          <w:szCs w:val="21"/>
        </w:rPr>
        <w:t xml:space="preserve">  </w:t>
      </w:r>
      <w:r>
        <w:rPr>
          <w:rFonts w:ascii="宋体" w:hAnsi="宋体" w:eastAsia="宋体" w:cs="宋体"/>
          <w:spacing w:val="-3"/>
          <w:sz w:val="21"/>
          <w:szCs w:val="21"/>
        </w:rPr>
        <w:t>国家验收是政府有关部门根据法律、规范、规程和政策要求，针对发包人全面组</w:t>
      </w:r>
      <w:r>
        <w:rPr>
          <w:rFonts w:ascii="宋体" w:hAnsi="宋体" w:eastAsia="宋体" w:cs="宋体"/>
          <w:spacing w:val="-2"/>
          <w:sz w:val="21"/>
          <w:szCs w:val="21"/>
        </w:rPr>
        <w:t>织实施的整个工程正式交付投运前的验收。</w:t>
      </w:r>
    </w:p>
    <w:p w14:paraId="44C45BCE">
      <w:pPr>
        <w:spacing w:before="30" w:line="345" w:lineRule="auto"/>
        <w:ind w:left="25" w:right="69" w:firstLine="435"/>
        <w:rPr>
          <w:rFonts w:ascii="宋体" w:hAnsi="宋体" w:eastAsia="宋体" w:cs="宋体"/>
          <w:sz w:val="21"/>
          <w:szCs w:val="21"/>
        </w:rPr>
      </w:pPr>
      <w:r>
        <w:rPr>
          <w:rFonts w:ascii="Times New Roman" w:hAnsi="Times New Roman" w:eastAsia="Times New Roman" w:cs="Times New Roman"/>
          <w:spacing w:val="-2"/>
          <w:sz w:val="21"/>
          <w:szCs w:val="21"/>
        </w:rPr>
        <w:t xml:space="preserve">18.1.3  </w:t>
      </w:r>
      <w:r>
        <w:rPr>
          <w:rFonts w:ascii="宋体" w:hAnsi="宋体" w:eastAsia="宋体" w:cs="宋体"/>
          <w:spacing w:val="-2"/>
          <w:sz w:val="21"/>
          <w:szCs w:val="21"/>
        </w:rPr>
        <w:t>需要进行国家验收的，竣工验收是国家验收的一部分。竣工验收所采用的各项验收和评定标准应符合国家验收标准。发包人和承包人为竣工验收提供的各项竣工验收资</w:t>
      </w:r>
      <w:r>
        <w:rPr>
          <w:rFonts w:ascii="宋体" w:hAnsi="宋体" w:eastAsia="宋体" w:cs="宋体"/>
          <w:spacing w:val="-3"/>
          <w:sz w:val="21"/>
          <w:szCs w:val="21"/>
        </w:rPr>
        <w:t>料应</w:t>
      </w:r>
      <w:r>
        <w:rPr>
          <w:rFonts w:ascii="宋体" w:hAnsi="宋体" w:eastAsia="宋体" w:cs="宋体"/>
          <w:spacing w:val="-4"/>
          <w:sz w:val="21"/>
          <w:szCs w:val="21"/>
        </w:rPr>
        <w:t>符合国家验收的要求。</w:t>
      </w:r>
    </w:p>
    <w:p w14:paraId="3636D0CA">
      <w:pPr>
        <w:spacing w:before="1" w:line="231" w:lineRule="auto"/>
        <w:ind w:left="44"/>
        <w:outlineLvl w:val="1"/>
        <w:rPr>
          <w:rFonts w:ascii="黑体" w:hAnsi="黑体" w:eastAsia="黑体" w:cs="黑体"/>
          <w:sz w:val="24"/>
          <w:szCs w:val="24"/>
        </w:rPr>
      </w:pPr>
      <w:bookmarkStart w:id="176" w:name="bookmark154"/>
      <w:bookmarkEnd w:id="176"/>
      <w:r>
        <w:rPr>
          <w:rFonts w:ascii="Times New Roman" w:hAnsi="Times New Roman" w:eastAsia="Times New Roman" w:cs="Times New Roman"/>
          <w:spacing w:val="-2"/>
          <w:sz w:val="24"/>
          <w:szCs w:val="24"/>
        </w:rPr>
        <w:t xml:space="preserve">18.2  </w:t>
      </w:r>
      <w:r>
        <w:rPr>
          <w:rFonts w:ascii="黑体" w:hAnsi="黑体" w:eastAsia="黑体" w:cs="黑体"/>
          <w:spacing w:val="-2"/>
          <w:sz w:val="24"/>
          <w:szCs w:val="24"/>
        </w:rPr>
        <w:t>竣工验收申请报告</w:t>
      </w:r>
    </w:p>
    <w:p w14:paraId="6F24595D">
      <w:pPr>
        <w:spacing w:before="130" w:line="218" w:lineRule="auto"/>
        <w:ind w:left="457"/>
        <w:rPr>
          <w:rFonts w:ascii="宋体" w:hAnsi="宋体" w:eastAsia="宋体" w:cs="宋体"/>
          <w:sz w:val="21"/>
          <w:szCs w:val="21"/>
        </w:rPr>
      </w:pPr>
      <w:r>
        <w:rPr>
          <w:rFonts w:ascii="宋体" w:hAnsi="宋体" w:eastAsia="宋体" w:cs="宋体"/>
          <w:spacing w:val="-2"/>
          <w:sz w:val="21"/>
          <w:szCs w:val="21"/>
        </w:rPr>
        <w:t>当工程具备以下条件时，承包人即可向监理人报送竣工验收申请报告：</w:t>
      </w:r>
    </w:p>
    <w:p w14:paraId="33B848FB">
      <w:pPr>
        <w:spacing w:before="142" w:line="352" w:lineRule="auto"/>
        <w:ind w:left="25" w:right="82" w:firstLine="36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）除监理人同意列入缺陷责任期内完成的尾工（</w:t>
      </w:r>
      <w:r>
        <w:rPr>
          <w:rFonts w:ascii="宋体" w:hAnsi="宋体" w:eastAsia="宋体" w:cs="宋体"/>
          <w:spacing w:val="1"/>
          <w:sz w:val="21"/>
          <w:szCs w:val="21"/>
        </w:rPr>
        <w:t>甩项）工程和缺陷修补工作外，合</w:t>
      </w:r>
      <w:r>
        <w:rPr>
          <w:rFonts w:ascii="宋体" w:hAnsi="宋体" w:eastAsia="宋体" w:cs="宋体"/>
          <w:spacing w:val="-2"/>
          <w:sz w:val="21"/>
          <w:szCs w:val="21"/>
        </w:rPr>
        <w:t>同范围内的全部单位工程以及有关工作，包括合同要求的试验、试运行以及检验和验</w:t>
      </w:r>
      <w:r>
        <w:rPr>
          <w:rFonts w:ascii="宋体" w:hAnsi="宋体" w:eastAsia="宋体" w:cs="宋体"/>
          <w:spacing w:val="-3"/>
          <w:sz w:val="21"/>
          <w:szCs w:val="21"/>
        </w:rPr>
        <w:t>收均已</w:t>
      </w:r>
      <w:r>
        <w:rPr>
          <w:rFonts w:ascii="宋体" w:hAnsi="宋体" w:eastAsia="宋体" w:cs="宋体"/>
          <w:spacing w:val="-5"/>
          <w:sz w:val="21"/>
          <w:szCs w:val="21"/>
        </w:rPr>
        <w:t>完成，并符合合同要求；</w:t>
      </w:r>
    </w:p>
    <w:p w14:paraId="63903D8F">
      <w:pPr>
        <w:spacing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）已按合同约定的内容和份数备齐了符合要求的竣工资料；</w:t>
      </w:r>
    </w:p>
    <w:p w14:paraId="501522C5">
      <w:pPr>
        <w:spacing w:before="140" w:line="349" w:lineRule="auto"/>
        <w:ind w:left="25" w:right="110" w:firstLine="36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）已按监理人的要求编制了在缺陷责任期内完成的尾工（甩项）</w:t>
      </w:r>
      <w:r>
        <w:rPr>
          <w:rFonts w:ascii="宋体" w:hAnsi="宋体" w:eastAsia="宋体" w:cs="宋体"/>
          <w:spacing w:val="-56"/>
          <w:sz w:val="21"/>
          <w:szCs w:val="21"/>
        </w:rPr>
        <w:t xml:space="preserve"> </w:t>
      </w:r>
      <w:r>
        <w:rPr>
          <w:rFonts w:ascii="宋体" w:hAnsi="宋体" w:eastAsia="宋体" w:cs="宋体"/>
          <w:sz w:val="21"/>
          <w:szCs w:val="21"/>
        </w:rPr>
        <w:t>工程和缺陷修补工</w:t>
      </w:r>
      <w:r>
        <w:rPr>
          <w:rFonts w:ascii="宋体" w:hAnsi="宋体" w:eastAsia="宋体" w:cs="宋体"/>
          <w:spacing w:val="-5"/>
          <w:sz w:val="21"/>
          <w:szCs w:val="21"/>
        </w:rPr>
        <w:t>作清单以及相应施工计划；</w:t>
      </w:r>
    </w:p>
    <w:p w14:paraId="69827F4F">
      <w:pPr>
        <w:spacing w:before="2" w:line="233" w:lineRule="auto"/>
        <w:ind w:left="39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）监理人要求在竣工验收前应完成的其他工作；</w:t>
      </w:r>
    </w:p>
    <w:p w14:paraId="7552F28D">
      <w:pPr>
        <w:spacing w:before="141" w:line="233" w:lineRule="auto"/>
        <w:ind w:left="39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）监理人要求提交的竣工验收资料清单。</w:t>
      </w:r>
    </w:p>
    <w:p w14:paraId="44E95C33">
      <w:pPr>
        <w:spacing w:before="114" w:line="233" w:lineRule="auto"/>
        <w:ind w:left="44"/>
        <w:outlineLvl w:val="1"/>
        <w:rPr>
          <w:rFonts w:ascii="黑体" w:hAnsi="黑体" w:eastAsia="黑体" w:cs="黑体"/>
          <w:sz w:val="24"/>
          <w:szCs w:val="24"/>
        </w:rPr>
      </w:pPr>
      <w:bookmarkStart w:id="177" w:name="bookmark155"/>
      <w:bookmarkEnd w:id="177"/>
      <w:r>
        <w:rPr>
          <w:rFonts w:ascii="Times New Roman" w:hAnsi="Times New Roman" w:eastAsia="Times New Roman" w:cs="Times New Roman"/>
          <w:spacing w:val="-6"/>
          <w:sz w:val="24"/>
          <w:szCs w:val="24"/>
        </w:rPr>
        <w:t>18.3</w:t>
      </w:r>
      <w:r>
        <w:rPr>
          <w:rFonts w:ascii="Times New Roman" w:hAnsi="Times New Roman" w:eastAsia="Times New Roman" w:cs="Times New Roman"/>
          <w:spacing w:val="5"/>
          <w:sz w:val="24"/>
          <w:szCs w:val="24"/>
        </w:rPr>
        <w:t xml:space="preserve">  </w:t>
      </w:r>
      <w:r>
        <w:rPr>
          <w:rFonts w:ascii="黑体" w:hAnsi="黑体" w:eastAsia="黑体" w:cs="黑体"/>
          <w:spacing w:val="-6"/>
          <w:sz w:val="24"/>
          <w:szCs w:val="24"/>
        </w:rPr>
        <w:t>验收</w:t>
      </w:r>
    </w:p>
    <w:p w14:paraId="7F884E58">
      <w:pPr>
        <w:spacing w:before="114" w:line="348" w:lineRule="auto"/>
        <w:ind w:left="27" w:right="70" w:firstLine="417"/>
        <w:rPr>
          <w:rFonts w:ascii="宋体" w:hAnsi="宋体" w:eastAsia="宋体" w:cs="宋体"/>
          <w:sz w:val="21"/>
          <w:szCs w:val="21"/>
        </w:rPr>
      </w:pPr>
      <w:r>
        <w:rPr>
          <w:rFonts w:ascii="宋体" w:hAnsi="宋体" w:eastAsia="宋体" w:cs="宋体"/>
          <w:sz w:val="21"/>
          <w:szCs w:val="21"/>
        </w:rPr>
        <w:t xml:space="preserve">监理人收到承包人按第 </w:t>
      </w:r>
      <w:r>
        <w:rPr>
          <w:rFonts w:ascii="Times New Roman" w:hAnsi="Times New Roman" w:eastAsia="Times New Roman" w:cs="Times New Roman"/>
          <w:sz w:val="21"/>
          <w:szCs w:val="21"/>
        </w:rPr>
        <w:t xml:space="preserve">18.2  </w:t>
      </w:r>
      <w:r>
        <w:rPr>
          <w:rFonts w:ascii="宋体" w:hAnsi="宋体" w:eastAsia="宋体" w:cs="宋体"/>
          <w:sz w:val="21"/>
          <w:szCs w:val="21"/>
        </w:rPr>
        <w:t>款约定提交的竣工</w:t>
      </w:r>
      <w:r>
        <w:rPr>
          <w:rFonts w:ascii="宋体" w:hAnsi="宋体" w:eastAsia="宋体" w:cs="宋体"/>
          <w:spacing w:val="-1"/>
          <w:sz w:val="21"/>
          <w:szCs w:val="21"/>
        </w:rPr>
        <w:t>验收申请报告后，应审查申请报告的各</w:t>
      </w:r>
      <w:r>
        <w:rPr>
          <w:rFonts w:ascii="宋体" w:hAnsi="宋体" w:eastAsia="宋体" w:cs="宋体"/>
          <w:spacing w:val="-2"/>
          <w:sz w:val="21"/>
          <w:szCs w:val="21"/>
        </w:rPr>
        <w:t>项内容，并按以下不同情况进行处理。</w:t>
      </w:r>
    </w:p>
    <w:p w14:paraId="55E899F5">
      <w:pPr>
        <w:spacing w:before="17" w:line="344" w:lineRule="auto"/>
        <w:ind w:left="20" w:right="99" w:firstLine="440"/>
        <w:rPr>
          <w:rFonts w:ascii="宋体" w:hAnsi="宋体" w:eastAsia="宋体" w:cs="宋体"/>
          <w:sz w:val="21"/>
          <w:szCs w:val="21"/>
        </w:rPr>
      </w:pPr>
      <w:r>
        <w:rPr>
          <w:rFonts w:ascii="Times New Roman" w:hAnsi="Times New Roman" w:eastAsia="Times New Roman" w:cs="Times New Roman"/>
          <w:spacing w:val="2"/>
          <w:sz w:val="21"/>
          <w:szCs w:val="21"/>
        </w:rPr>
        <w:t xml:space="preserve">18.3.1  </w:t>
      </w:r>
      <w:r>
        <w:rPr>
          <w:rFonts w:ascii="宋体" w:hAnsi="宋体" w:eastAsia="宋体" w:cs="宋体"/>
          <w:spacing w:val="2"/>
          <w:sz w:val="21"/>
          <w:szCs w:val="21"/>
        </w:rPr>
        <w:t>监理人审查后认为尚不具备竣工验收条件的，应在收到竣工验收申请报告后的</w:t>
      </w:r>
      <w:r>
        <w:rPr>
          <w:rFonts w:ascii="Times New Roman" w:hAnsi="Times New Roman" w:eastAsia="Times New Roman" w:cs="Times New Roman"/>
          <w:sz w:val="21"/>
          <w:szCs w:val="21"/>
        </w:rPr>
        <w:t xml:space="preserve">28  </w:t>
      </w:r>
      <w:r>
        <w:rPr>
          <w:rFonts w:ascii="宋体" w:hAnsi="宋体" w:eastAsia="宋体" w:cs="宋体"/>
          <w:sz w:val="21"/>
          <w:szCs w:val="21"/>
        </w:rPr>
        <w:t>天内通知承包人，指出在颁发接收证书前承包人还需进行的工作内容。承包人完成监理</w:t>
      </w:r>
      <w:r>
        <w:rPr>
          <w:rFonts w:ascii="宋体" w:hAnsi="宋体" w:eastAsia="宋体" w:cs="宋体"/>
          <w:spacing w:val="-1"/>
          <w:sz w:val="21"/>
          <w:szCs w:val="21"/>
        </w:rPr>
        <w:t>人通知的全部工作内容后，应再次提交竣工验收申请报告，直至监理人同意为止。</w:t>
      </w:r>
    </w:p>
    <w:p w14:paraId="0F1D7DC0">
      <w:pPr>
        <w:spacing w:before="28" w:line="232" w:lineRule="auto"/>
        <w:ind w:left="461"/>
        <w:rPr>
          <w:rFonts w:ascii="Times New Roman" w:hAnsi="Times New Roman" w:eastAsia="Times New Roman" w:cs="Times New Roman"/>
          <w:sz w:val="21"/>
          <w:szCs w:val="21"/>
        </w:rPr>
      </w:pPr>
      <w:r>
        <w:rPr>
          <w:rFonts w:ascii="Times New Roman" w:hAnsi="Times New Roman" w:eastAsia="Times New Roman" w:cs="Times New Roman"/>
          <w:sz w:val="21"/>
          <w:szCs w:val="21"/>
        </w:rPr>
        <w:t xml:space="preserve">18.3.2  </w:t>
      </w:r>
      <w:r>
        <w:rPr>
          <w:rFonts w:ascii="宋体" w:hAnsi="宋体" w:eastAsia="宋体" w:cs="宋体"/>
          <w:sz w:val="21"/>
          <w:szCs w:val="21"/>
        </w:rPr>
        <w:t xml:space="preserve">监理人审查后认为已具备竣工验收条件的，应在收到竣工验收申请报告后的 </w:t>
      </w:r>
      <w:r>
        <w:rPr>
          <w:rFonts w:ascii="Times New Roman" w:hAnsi="Times New Roman" w:eastAsia="Times New Roman" w:cs="Times New Roman"/>
          <w:sz w:val="21"/>
          <w:szCs w:val="21"/>
        </w:rPr>
        <w:t>28</w:t>
      </w:r>
    </w:p>
    <w:p w14:paraId="72DFEE04">
      <w:pPr>
        <w:spacing w:line="232" w:lineRule="auto"/>
        <w:rPr>
          <w:rFonts w:ascii="Times New Roman" w:hAnsi="Times New Roman" w:eastAsia="Times New Roman" w:cs="Times New Roman"/>
          <w:sz w:val="21"/>
          <w:szCs w:val="21"/>
        </w:rPr>
        <w:sectPr>
          <w:footerReference r:id="rId101" w:type="default"/>
          <w:pgSz w:w="11910" w:h="16845"/>
          <w:pgMar w:top="400" w:right="1696" w:bottom="1110" w:left="1786" w:header="0" w:footer="883" w:gutter="0"/>
          <w:cols w:space="720" w:num="1"/>
        </w:sectPr>
      </w:pPr>
    </w:p>
    <w:p w14:paraId="12243031">
      <w:pPr>
        <w:pStyle w:val="2"/>
        <w:spacing w:line="275" w:lineRule="auto"/>
      </w:pPr>
    </w:p>
    <w:p w14:paraId="4F987E8A">
      <w:pPr>
        <w:pStyle w:val="2"/>
        <w:spacing w:line="275" w:lineRule="auto"/>
      </w:pPr>
    </w:p>
    <w:p w14:paraId="647AACB6">
      <w:pPr>
        <w:pStyle w:val="2"/>
        <w:spacing w:line="275" w:lineRule="auto"/>
      </w:pPr>
    </w:p>
    <w:p w14:paraId="408597A3">
      <w:pPr>
        <w:pStyle w:val="2"/>
        <w:spacing w:line="275" w:lineRule="auto"/>
      </w:pPr>
    </w:p>
    <w:p w14:paraId="1FE3F59C">
      <w:pPr>
        <w:spacing w:before="68" w:line="220" w:lineRule="auto"/>
        <w:ind w:left="28"/>
        <w:rPr>
          <w:rFonts w:ascii="宋体" w:hAnsi="宋体" w:eastAsia="宋体" w:cs="宋体"/>
          <w:sz w:val="21"/>
          <w:szCs w:val="21"/>
        </w:rPr>
      </w:pPr>
      <w:r>
        <w:rPr>
          <w:rFonts w:ascii="宋体" w:hAnsi="宋体" w:eastAsia="宋体" w:cs="宋体"/>
          <w:spacing w:val="-3"/>
          <w:sz w:val="21"/>
          <w:szCs w:val="21"/>
        </w:rPr>
        <w:t>天内提请发包人进行工程验收。</w:t>
      </w:r>
    </w:p>
    <w:p w14:paraId="670DB8CA">
      <w:pPr>
        <w:spacing w:before="154" w:line="350" w:lineRule="auto"/>
        <w:ind w:left="25" w:right="27" w:firstLine="436"/>
        <w:rPr>
          <w:rFonts w:ascii="宋体" w:hAnsi="宋体" w:eastAsia="宋体" w:cs="宋体"/>
          <w:sz w:val="21"/>
          <w:szCs w:val="21"/>
        </w:rPr>
      </w:pPr>
      <w:r>
        <w:rPr>
          <w:rFonts w:ascii="Times New Roman" w:hAnsi="Times New Roman" w:eastAsia="Times New Roman" w:cs="Times New Roman"/>
          <w:sz w:val="21"/>
          <w:szCs w:val="21"/>
        </w:rPr>
        <w:t xml:space="preserve">18.3.3  </w:t>
      </w:r>
      <w:r>
        <w:rPr>
          <w:rFonts w:ascii="宋体" w:hAnsi="宋体" w:eastAsia="宋体" w:cs="宋体"/>
          <w:sz w:val="21"/>
          <w:szCs w:val="21"/>
        </w:rPr>
        <w:t xml:space="preserve">发包人经过验收后同意接受工程的，应在监理人收到竣工验收申请报告后的 </w:t>
      </w:r>
      <w:r>
        <w:rPr>
          <w:rFonts w:ascii="Times New Roman" w:hAnsi="Times New Roman" w:eastAsia="Times New Roman" w:cs="Times New Roman"/>
          <w:sz w:val="21"/>
          <w:szCs w:val="21"/>
        </w:rPr>
        <w:t>56</w:t>
      </w:r>
      <w:r>
        <w:rPr>
          <w:rFonts w:ascii="宋体" w:hAnsi="宋体" w:eastAsia="宋体" w:cs="宋体"/>
          <w:spacing w:val="-2"/>
          <w:sz w:val="21"/>
          <w:szCs w:val="21"/>
        </w:rPr>
        <w:t>天内，由监理人向承包人出具经发包人签认的工程接收证书。发包人验收后同意</w:t>
      </w:r>
      <w:r>
        <w:rPr>
          <w:rFonts w:ascii="宋体" w:hAnsi="宋体" w:eastAsia="宋体" w:cs="宋体"/>
          <w:spacing w:val="-3"/>
          <w:sz w:val="21"/>
          <w:szCs w:val="21"/>
        </w:rPr>
        <w:t>接收工程但</w:t>
      </w:r>
      <w:r>
        <w:rPr>
          <w:rFonts w:ascii="宋体" w:hAnsi="宋体" w:eastAsia="宋体" w:cs="宋体"/>
          <w:spacing w:val="-2"/>
          <w:sz w:val="21"/>
          <w:szCs w:val="21"/>
        </w:rPr>
        <w:t>提出整修和完善要求的，限期修好，并缓发工程接收证书。整修和完善工作完成后，监理人</w:t>
      </w:r>
      <w:r>
        <w:rPr>
          <w:rFonts w:ascii="宋体" w:hAnsi="宋体" w:eastAsia="宋体" w:cs="宋体"/>
          <w:spacing w:val="-1"/>
          <w:sz w:val="21"/>
          <w:szCs w:val="21"/>
        </w:rPr>
        <w:t>复查达到要求的，经发包人同意后，再向承包人出具工程接收证书。</w:t>
      </w:r>
    </w:p>
    <w:p w14:paraId="37C5DB3B">
      <w:pPr>
        <w:spacing w:line="353" w:lineRule="auto"/>
        <w:ind w:left="25" w:right="30" w:firstLine="435"/>
        <w:rPr>
          <w:rFonts w:ascii="宋体" w:hAnsi="宋体" w:eastAsia="宋体" w:cs="宋体"/>
          <w:sz w:val="21"/>
          <w:szCs w:val="21"/>
        </w:rPr>
      </w:pPr>
      <w:r>
        <w:rPr>
          <w:rFonts w:ascii="Times New Roman" w:hAnsi="Times New Roman" w:eastAsia="Times New Roman" w:cs="Times New Roman"/>
          <w:spacing w:val="-2"/>
          <w:sz w:val="21"/>
          <w:szCs w:val="21"/>
        </w:rPr>
        <w:t xml:space="preserve">18.3.4  </w:t>
      </w:r>
      <w:r>
        <w:rPr>
          <w:rFonts w:ascii="宋体" w:hAnsi="宋体" w:eastAsia="宋体" w:cs="宋体"/>
          <w:spacing w:val="-2"/>
          <w:sz w:val="21"/>
          <w:szCs w:val="21"/>
        </w:rPr>
        <w:t>发包人验收后不同意接收工程的，监理人应按照发包人的验收意见发出指示，要求承包人对不合格工程认真返工重作或进行补救处理，并承担由此产生的费用。承包</w:t>
      </w:r>
      <w:r>
        <w:rPr>
          <w:rFonts w:ascii="宋体" w:hAnsi="宋体" w:eastAsia="宋体" w:cs="宋体"/>
          <w:spacing w:val="-3"/>
          <w:sz w:val="21"/>
          <w:szCs w:val="21"/>
        </w:rPr>
        <w:t>人在完成不合格工程的返工重作或补救工作后，应重新提交竣工验收申请报告，按第</w:t>
      </w:r>
      <w:r>
        <w:rPr>
          <w:rFonts w:ascii="宋体" w:hAnsi="宋体" w:eastAsia="宋体" w:cs="宋体"/>
          <w:spacing w:val="-19"/>
          <w:sz w:val="21"/>
          <w:szCs w:val="21"/>
        </w:rPr>
        <w:t xml:space="preserve"> </w:t>
      </w:r>
      <w:r>
        <w:rPr>
          <w:rFonts w:ascii="Times New Roman" w:hAnsi="Times New Roman" w:eastAsia="Times New Roman" w:cs="Times New Roman"/>
          <w:spacing w:val="-3"/>
          <w:sz w:val="21"/>
          <w:szCs w:val="21"/>
        </w:rPr>
        <w:t>18.3.1</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项、第</w:t>
      </w:r>
      <w:r>
        <w:rPr>
          <w:rFonts w:ascii="Times New Roman" w:hAnsi="Times New Roman" w:eastAsia="Times New Roman" w:cs="Times New Roman"/>
          <w:spacing w:val="-3"/>
          <w:sz w:val="21"/>
          <w:szCs w:val="21"/>
        </w:rPr>
        <w:t>18.3.2</w:t>
      </w:r>
      <w:r>
        <w:rPr>
          <w:rFonts w:ascii="Times New Roman" w:hAnsi="Times New Roman" w:eastAsia="Times New Roman" w:cs="Times New Roman"/>
          <w:spacing w:val="35"/>
          <w:w w:val="101"/>
          <w:sz w:val="21"/>
          <w:szCs w:val="21"/>
        </w:rPr>
        <w:t xml:space="preserve"> </w:t>
      </w:r>
      <w:r>
        <w:rPr>
          <w:rFonts w:ascii="宋体" w:hAnsi="宋体" w:eastAsia="宋体" w:cs="宋体"/>
          <w:spacing w:val="-3"/>
          <w:sz w:val="21"/>
          <w:szCs w:val="21"/>
        </w:rPr>
        <w:t>项和第</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18.3.3</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项的约定进行。</w:t>
      </w:r>
    </w:p>
    <w:p w14:paraId="1A23895A">
      <w:pPr>
        <w:spacing w:line="347" w:lineRule="auto"/>
        <w:ind w:left="51" w:right="30" w:firstLine="409"/>
        <w:rPr>
          <w:rFonts w:ascii="宋体" w:hAnsi="宋体" w:eastAsia="宋体" w:cs="宋体"/>
          <w:sz w:val="21"/>
          <w:szCs w:val="21"/>
        </w:rPr>
      </w:pPr>
      <w:r>
        <w:rPr>
          <w:rFonts w:ascii="Times New Roman" w:hAnsi="Times New Roman" w:eastAsia="Times New Roman" w:cs="Times New Roman"/>
          <w:spacing w:val="-2"/>
          <w:sz w:val="21"/>
          <w:szCs w:val="21"/>
        </w:rPr>
        <w:t xml:space="preserve">18.3.5  </w:t>
      </w:r>
      <w:r>
        <w:rPr>
          <w:rFonts w:ascii="宋体" w:hAnsi="宋体" w:eastAsia="宋体" w:cs="宋体"/>
          <w:spacing w:val="-2"/>
          <w:sz w:val="21"/>
          <w:szCs w:val="21"/>
        </w:rPr>
        <w:t>除专用合同条款另有约定外，经验收合格工程的实际竣工日期，以提交竣工验收</w:t>
      </w:r>
      <w:r>
        <w:rPr>
          <w:rFonts w:ascii="宋体" w:hAnsi="宋体" w:eastAsia="宋体" w:cs="宋体"/>
          <w:spacing w:val="-3"/>
          <w:sz w:val="21"/>
          <w:szCs w:val="21"/>
        </w:rPr>
        <w:t>申请报告的日期为准，并在工程接收证书中写明。</w:t>
      </w:r>
    </w:p>
    <w:p w14:paraId="3A0DA546">
      <w:pPr>
        <w:spacing w:before="7" w:line="344" w:lineRule="auto"/>
        <w:ind w:left="29" w:right="43"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18.3.6  </w:t>
      </w:r>
      <w:r>
        <w:rPr>
          <w:rFonts w:ascii="宋体" w:hAnsi="宋体" w:eastAsia="宋体" w:cs="宋体"/>
          <w:spacing w:val="-1"/>
          <w:sz w:val="21"/>
          <w:szCs w:val="21"/>
        </w:rPr>
        <w:t>发包人在收到承包人竣工验收申请报告</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56</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天后未进行验收的，视为验收合格，</w:t>
      </w:r>
      <w:r>
        <w:rPr>
          <w:rFonts w:ascii="宋体" w:hAnsi="宋体" w:eastAsia="宋体" w:cs="宋体"/>
          <w:spacing w:val="-2"/>
          <w:sz w:val="21"/>
          <w:szCs w:val="21"/>
        </w:rPr>
        <w:t>实际竣工日期以提交竣工验收申请报告的日期为准，但发包人由于不可抗力不</w:t>
      </w:r>
      <w:r>
        <w:rPr>
          <w:rFonts w:ascii="宋体" w:hAnsi="宋体" w:eastAsia="宋体" w:cs="宋体"/>
          <w:spacing w:val="-3"/>
          <w:sz w:val="21"/>
          <w:szCs w:val="21"/>
        </w:rPr>
        <w:t>能进行验收的</w:t>
      </w:r>
      <w:r>
        <w:rPr>
          <w:rFonts w:ascii="宋体" w:hAnsi="宋体" w:eastAsia="宋体" w:cs="宋体"/>
          <w:spacing w:val="-10"/>
          <w:sz w:val="21"/>
          <w:szCs w:val="21"/>
        </w:rPr>
        <w:t>除外。</w:t>
      </w:r>
    </w:p>
    <w:p w14:paraId="10C3D10A">
      <w:pPr>
        <w:spacing w:before="1" w:line="232" w:lineRule="auto"/>
        <w:ind w:left="44"/>
        <w:outlineLvl w:val="1"/>
        <w:rPr>
          <w:rFonts w:ascii="黑体" w:hAnsi="黑体" w:eastAsia="黑体" w:cs="黑体"/>
          <w:sz w:val="24"/>
          <w:szCs w:val="24"/>
        </w:rPr>
      </w:pPr>
      <w:bookmarkStart w:id="178" w:name="bookmark156"/>
      <w:bookmarkEnd w:id="178"/>
      <w:r>
        <w:rPr>
          <w:rFonts w:ascii="Times New Roman" w:hAnsi="Times New Roman" w:eastAsia="Times New Roman" w:cs="Times New Roman"/>
          <w:spacing w:val="-4"/>
          <w:sz w:val="24"/>
          <w:szCs w:val="24"/>
        </w:rPr>
        <w:t>18.4</w:t>
      </w:r>
      <w:r>
        <w:rPr>
          <w:rFonts w:ascii="Times New Roman" w:hAnsi="Times New Roman" w:eastAsia="Times New Roman" w:cs="Times New Roman"/>
          <w:spacing w:val="8"/>
          <w:sz w:val="24"/>
          <w:szCs w:val="24"/>
        </w:rPr>
        <w:t xml:space="preserve">  </w:t>
      </w:r>
      <w:r>
        <w:rPr>
          <w:rFonts w:ascii="黑体" w:hAnsi="黑体" w:eastAsia="黑体" w:cs="黑体"/>
          <w:spacing w:val="-4"/>
          <w:sz w:val="24"/>
          <w:szCs w:val="24"/>
        </w:rPr>
        <w:t>单位工程验收</w:t>
      </w:r>
    </w:p>
    <w:p w14:paraId="29C9F3B6">
      <w:pPr>
        <w:spacing w:before="131" w:line="350" w:lineRule="auto"/>
        <w:ind w:left="24" w:right="29"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18.4.1  </w:t>
      </w:r>
      <w:r>
        <w:rPr>
          <w:rFonts w:ascii="宋体" w:hAnsi="宋体" w:eastAsia="宋体" w:cs="宋体"/>
          <w:spacing w:val="-2"/>
          <w:sz w:val="21"/>
          <w:szCs w:val="21"/>
        </w:rPr>
        <w:t>发包人根据合同进度计划安排，在全部工程竣工前需要使用已经竣工的单位工程</w:t>
      </w:r>
      <w:r>
        <w:rPr>
          <w:rFonts w:ascii="宋体" w:hAnsi="宋体" w:eastAsia="宋体" w:cs="宋体"/>
          <w:sz w:val="21"/>
          <w:szCs w:val="21"/>
        </w:rPr>
        <w:t>时，或承包人提出经发包人同意时，可进行单位工程验收。</w:t>
      </w:r>
      <w:r>
        <w:rPr>
          <w:rFonts w:ascii="宋体" w:hAnsi="宋体" w:eastAsia="宋体" w:cs="宋体"/>
          <w:spacing w:val="-1"/>
          <w:sz w:val="21"/>
          <w:szCs w:val="21"/>
        </w:rPr>
        <w:t xml:space="preserve">验收的程序可参照第 </w:t>
      </w:r>
      <w:r>
        <w:rPr>
          <w:rFonts w:ascii="Times New Roman" w:hAnsi="Times New Roman" w:eastAsia="Times New Roman" w:cs="Times New Roman"/>
          <w:spacing w:val="-1"/>
          <w:sz w:val="21"/>
          <w:szCs w:val="21"/>
        </w:rPr>
        <w:t>18.2</w:t>
      </w:r>
      <w:r>
        <w:rPr>
          <w:rFonts w:ascii="Times New Roman" w:hAnsi="Times New Roman" w:eastAsia="Times New Roman" w:cs="Times New Roman"/>
          <w:spacing w:val="47"/>
          <w:sz w:val="21"/>
          <w:szCs w:val="21"/>
        </w:rPr>
        <w:t xml:space="preserve"> </w:t>
      </w:r>
      <w:r>
        <w:rPr>
          <w:rFonts w:ascii="宋体" w:hAnsi="宋体" w:eastAsia="宋体" w:cs="宋体"/>
          <w:spacing w:val="-1"/>
          <w:sz w:val="21"/>
          <w:szCs w:val="21"/>
        </w:rPr>
        <w:t>款与</w:t>
      </w:r>
      <w:r>
        <w:rPr>
          <w:rFonts w:ascii="宋体" w:hAnsi="宋体" w:eastAsia="宋体" w:cs="宋体"/>
          <w:sz w:val="21"/>
          <w:szCs w:val="21"/>
        </w:rPr>
        <w:t xml:space="preserve">第 </w:t>
      </w:r>
      <w:r>
        <w:rPr>
          <w:rFonts w:ascii="Times New Roman" w:hAnsi="Times New Roman" w:eastAsia="Times New Roman" w:cs="Times New Roman"/>
          <w:sz w:val="21"/>
          <w:szCs w:val="21"/>
        </w:rPr>
        <w:t xml:space="preserve">18.3  </w:t>
      </w:r>
      <w:r>
        <w:rPr>
          <w:rFonts w:ascii="宋体" w:hAnsi="宋体" w:eastAsia="宋体" w:cs="宋体"/>
          <w:sz w:val="21"/>
          <w:szCs w:val="21"/>
        </w:rPr>
        <w:t>款的约定进行。验收合格后，由监理人向承包人出</w:t>
      </w:r>
      <w:r>
        <w:rPr>
          <w:rFonts w:ascii="宋体" w:hAnsi="宋体" w:eastAsia="宋体" w:cs="宋体"/>
          <w:spacing w:val="-1"/>
          <w:sz w:val="21"/>
          <w:szCs w:val="21"/>
        </w:rPr>
        <w:t>具经发包人签认的单位工程验收</w:t>
      </w:r>
      <w:r>
        <w:rPr>
          <w:rFonts w:ascii="宋体" w:hAnsi="宋体" w:eastAsia="宋体" w:cs="宋体"/>
          <w:spacing w:val="-2"/>
          <w:sz w:val="21"/>
          <w:szCs w:val="21"/>
        </w:rPr>
        <w:t>证书。已签发单位工程接收证书的单位工程由发包人负责照管。单位工程的验收成</w:t>
      </w:r>
      <w:r>
        <w:rPr>
          <w:rFonts w:ascii="宋体" w:hAnsi="宋体" w:eastAsia="宋体" w:cs="宋体"/>
          <w:spacing w:val="-3"/>
          <w:sz w:val="21"/>
          <w:szCs w:val="21"/>
        </w:rPr>
        <w:t>果和结论</w:t>
      </w:r>
      <w:r>
        <w:rPr>
          <w:rFonts w:ascii="宋体" w:hAnsi="宋体" w:eastAsia="宋体" w:cs="宋体"/>
          <w:spacing w:val="-2"/>
          <w:sz w:val="21"/>
          <w:szCs w:val="21"/>
        </w:rPr>
        <w:t>作为全部工程竣工验收申请报告的附件。</w:t>
      </w:r>
    </w:p>
    <w:p w14:paraId="0E781184">
      <w:pPr>
        <w:spacing w:before="4" w:line="345" w:lineRule="auto"/>
        <w:ind w:left="25" w:right="30" w:firstLine="435"/>
        <w:rPr>
          <w:rFonts w:ascii="宋体" w:hAnsi="宋体" w:eastAsia="宋体" w:cs="宋体"/>
          <w:sz w:val="21"/>
          <w:szCs w:val="21"/>
        </w:rPr>
      </w:pPr>
      <w:r>
        <w:rPr>
          <w:rFonts w:ascii="Times New Roman" w:hAnsi="Times New Roman" w:eastAsia="Times New Roman" w:cs="Times New Roman"/>
          <w:spacing w:val="-2"/>
          <w:sz w:val="21"/>
          <w:szCs w:val="21"/>
        </w:rPr>
        <w:t xml:space="preserve">18.4.2  </w:t>
      </w:r>
      <w:r>
        <w:rPr>
          <w:rFonts w:ascii="宋体" w:hAnsi="宋体" w:eastAsia="宋体" w:cs="宋体"/>
          <w:spacing w:val="-2"/>
          <w:sz w:val="21"/>
          <w:szCs w:val="21"/>
        </w:rPr>
        <w:t>发包人在全部工程竣工前，使用已接收的单位工程导致承包人费用增加的，发包</w:t>
      </w:r>
      <w:r>
        <w:rPr>
          <w:rFonts w:ascii="宋体" w:hAnsi="宋体" w:eastAsia="宋体" w:cs="宋体"/>
          <w:spacing w:val="-1"/>
          <w:sz w:val="21"/>
          <w:szCs w:val="21"/>
        </w:rPr>
        <w:t>人应承担由此增加的费用和（或）工期延误，并支付承包人合理利润。</w:t>
      </w:r>
    </w:p>
    <w:p w14:paraId="7DF988C4">
      <w:pPr>
        <w:spacing w:line="232" w:lineRule="auto"/>
        <w:ind w:left="44"/>
        <w:outlineLvl w:val="1"/>
        <w:rPr>
          <w:rFonts w:ascii="黑体" w:hAnsi="黑体" w:eastAsia="黑体" w:cs="黑体"/>
          <w:sz w:val="24"/>
          <w:szCs w:val="24"/>
        </w:rPr>
      </w:pPr>
      <w:bookmarkStart w:id="179" w:name="bookmark157"/>
      <w:bookmarkEnd w:id="179"/>
      <w:r>
        <w:rPr>
          <w:rFonts w:ascii="Times New Roman" w:hAnsi="Times New Roman" w:eastAsia="Times New Roman" w:cs="Times New Roman"/>
          <w:spacing w:val="-3"/>
          <w:sz w:val="24"/>
          <w:szCs w:val="24"/>
        </w:rPr>
        <w:t xml:space="preserve">18.5  </w:t>
      </w:r>
      <w:r>
        <w:rPr>
          <w:rFonts w:ascii="黑体" w:hAnsi="黑体" w:eastAsia="黑体" w:cs="黑体"/>
          <w:spacing w:val="-3"/>
          <w:sz w:val="24"/>
          <w:szCs w:val="24"/>
        </w:rPr>
        <w:t>施工期运行</w:t>
      </w:r>
    </w:p>
    <w:p w14:paraId="1540CFA3">
      <w:pPr>
        <w:spacing w:before="115" w:line="350" w:lineRule="auto"/>
        <w:ind w:left="28" w:right="30" w:firstLine="432"/>
        <w:rPr>
          <w:rFonts w:ascii="宋体" w:hAnsi="宋体" w:eastAsia="宋体" w:cs="宋体"/>
          <w:sz w:val="21"/>
          <w:szCs w:val="21"/>
        </w:rPr>
      </w:pPr>
      <w:r>
        <w:rPr>
          <w:rFonts w:ascii="Times New Roman" w:hAnsi="Times New Roman" w:eastAsia="Times New Roman" w:cs="Times New Roman"/>
          <w:spacing w:val="-2"/>
          <w:sz w:val="21"/>
          <w:szCs w:val="21"/>
        </w:rPr>
        <w:t xml:space="preserve">18.5.1  </w:t>
      </w:r>
      <w:r>
        <w:rPr>
          <w:rFonts w:ascii="宋体" w:hAnsi="宋体" w:eastAsia="宋体" w:cs="宋体"/>
          <w:spacing w:val="-2"/>
          <w:sz w:val="21"/>
          <w:szCs w:val="21"/>
        </w:rPr>
        <w:t>施工期运行是指合同工程尚未全部竣工，其中某项或某几项单位工程或工程设备</w:t>
      </w:r>
      <w:r>
        <w:rPr>
          <w:rFonts w:ascii="宋体" w:hAnsi="宋体" w:eastAsia="宋体" w:cs="宋体"/>
          <w:sz w:val="21"/>
          <w:szCs w:val="21"/>
        </w:rPr>
        <w:t>安装已竣工，根据专用合同条款约定，需要投入施</w:t>
      </w:r>
      <w:r>
        <w:rPr>
          <w:rFonts w:ascii="宋体" w:hAnsi="宋体" w:eastAsia="宋体" w:cs="宋体"/>
          <w:spacing w:val="-1"/>
          <w:sz w:val="21"/>
          <w:szCs w:val="21"/>
        </w:rPr>
        <w:t xml:space="preserve">工期运行的，经发包人按第 </w:t>
      </w:r>
      <w:r>
        <w:rPr>
          <w:rFonts w:ascii="Times New Roman" w:hAnsi="Times New Roman" w:eastAsia="Times New Roman" w:cs="Times New Roman"/>
          <w:spacing w:val="-1"/>
          <w:sz w:val="21"/>
          <w:szCs w:val="21"/>
        </w:rPr>
        <w:t>18.4</w:t>
      </w:r>
      <w:r>
        <w:rPr>
          <w:rFonts w:ascii="Times New Roman" w:hAnsi="Times New Roman" w:eastAsia="Times New Roman" w:cs="Times New Roman"/>
          <w:spacing w:val="47"/>
          <w:sz w:val="21"/>
          <w:szCs w:val="21"/>
        </w:rPr>
        <w:t xml:space="preserve"> </w:t>
      </w:r>
      <w:r>
        <w:rPr>
          <w:rFonts w:ascii="宋体" w:hAnsi="宋体" w:eastAsia="宋体" w:cs="宋体"/>
          <w:spacing w:val="-1"/>
          <w:sz w:val="21"/>
          <w:szCs w:val="21"/>
        </w:rPr>
        <w:t>款的约定验收合格，证明能确保安全后，才能在施工期</w:t>
      </w:r>
      <w:r>
        <w:rPr>
          <w:rFonts w:ascii="宋体" w:hAnsi="宋体" w:eastAsia="宋体" w:cs="宋体"/>
          <w:spacing w:val="-2"/>
          <w:sz w:val="21"/>
          <w:szCs w:val="21"/>
        </w:rPr>
        <w:t>投入运行。</w:t>
      </w:r>
    </w:p>
    <w:p w14:paraId="69477E77">
      <w:pPr>
        <w:spacing w:before="6" w:line="345" w:lineRule="auto"/>
        <w:ind w:left="29" w:right="37"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18.5.2  </w:t>
      </w:r>
      <w:r>
        <w:rPr>
          <w:rFonts w:ascii="宋体" w:hAnsi="宋体" w:eastAsia="宋体" w:cs="宋体"/>
          <w:spacing w:val="-1"/>
          <w:sz w:val="21"/>
          <w:szCs w:val="21"/>
        </w:rPr>
        <w:t xml:space="preserve">在施工期运行中发现工程或工程设备损坏或存在缺陷的，由承包人按第 </w:t>
      </w:r>
      <w:r>
        <w:rPr>
          <w:rFonts w:ascii="Times New Roman" w:hAnsi="Times New Roman" w:eastAsia="Times New Roman" w:cs="Times New Roman"/>
          <w:spacing w:val="-1"/>
          <w:sz w:val="21"/>
          <w:szCs w:val="21"/>
        </w:rPr>
        <w:t xml:space="preserve">19.2  </w:t>
      </w:r>
      <w:r>
        <w:rPr>
          <w:rFonts w:ascii="宋体" w:hAnsi="宋体" w:eastAsia="宋体" w:cs="宋体"/>
          <w:spacing w:val="-1"/>
          <w:sz w:val="21"/>
          <w:szCs w:val="21"/>
        </w:rPr>
        <w:t>款</w:t>
      </w:r>
      <w:r>
        <w:rPr>
          <w:rFonts w:ascii="宋体" w:hAnsi="宋体" w:eastAsia="宋体" w:cs="宋体"/>
          <w:spacing w:val="-5"/>
          <w:sz w:val="21"/>
          <w:szCs w:val="21"/>
        </w:rPr>
        <w:t>约定进行修复。</w:t>
      </w:r>
    </w:p>
    <w:p w14:paraId="58533ACD">
      <w:pPr>
        <w:spacing w:before="1" w:line="231" w:lineRule="auto"/>
        <w:ind w:left="44"/>
        <w:outlineLvl w:val="1"/>
        <w:rPr>
          <w:rFonts w:ascii="黑体" w:hAnsi="黑体" w:eastAsia="黑体" w:cs="黑体"/>
          <w:sz w:val="24"/>
          <w:szCs w:val="24"/>
        </w:rPr>
      </w:pPr>
      <w:bookmarkStart w:id="180" w:name="bookmark158"/>
      <w:bookmarkEnd w:id="180"/>
      <w:r>
        <w:rPr>
          <w:rFonts w:ascii="Times New Roman" w:hAnsi="Times New Roman" w:eastAsia="Times New Roman" w:cs="Times New Roman"/>
          <w:spacing w:val="-5"/>
          <w:sz w:val="24"/>
          <w:szCs w:val="24"/>
        </w:rPr>
        <w:t>18.6</w:t>
      </w:r>
      <w:r>
        <w:rPr>
          <w:rFonts w:ascii="Times New Roman" w:hAnsi="Times New Roman" w:eastAsia="Times New Roman" w:cs="Times New Roman"/>
          <w:spacing w:val="5"/>
          <w:sz w:val="24"/>
          <w:szCs w:val="24"/>
        </w:rPr>
        <w:t xml:space="preserve">  </w:t>
      </w:r>
      <w:r>
        <w:rPr>
          <w:rFonts w:ascii="黑体" w:hAnsi="黑体" w:eastAsia="黑体" w:cs="黑体"/>
          <w:spacing w:val="-5"/>
          <w:sz w:val="24"/>
          <w:szCs w:val="24"/>
        </w:rPr>
        <w:t>试运行</w:t>
      </w:r>
    </w:p>
    <w:p w14:paraId="3B57A8C3">
      <w:pPr>
        <w:spacing w:before="115" w:line="348" w:lineRule="auto"/>
        <w:ind w:left="24" w:right="30"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18.6.1  </w:t>
      </w:r>
      <w:r>
        <w:rPr>
          <w:rFonts w:ascii="宋体" w:hAnsi="宋体" w:eastAsia="宋体" w:cs="宋体"/>
          <w:spacing w:val="-2"/>
          <w:sz w:val="21"/>
          <w:szCs w:val="21"/>
        </w:rPr>
        <w:t>除专用合同条款另有约定外，承包人应按专用合同条款约定进行工程及工程设备</w:t>
      </w:r>
      <w:r>
        <w:rPr>
          <w:rFonts w:ascii="宋体" w:hAnsi="宋体" w:eastAsia="宋体" w:cs="宋体"/>
          <w:spacing w:val="-1"/>
          <w:sz w:val="21"/>
          <w:szCs w:val="21"/>
        </w:rPr>
        <w:t>试运行，负责提供试运行所需的人员、器材和必要的条件，并承担全部试运行费用。</w:t>
      </w:r>
    </w:p>
    <w:p w14:paraId="7C460854">
      <w:pPr>
        <w:spacing w:before="20" w:line="348" w:lineRule="auto"/>
        <w:ind w:left="25" w:firstLine="436"/>
        <w:rPr>
          <w:rFonts w:ascii="宋体" w:hAnsi="宋体" w:eastAsia="宋体" w:cs="宋体"/>
          <w:sz w:val="21"/>
          <w:szCs w:val="21"/>
        </w:rPr>
      </w:pPr>
      <w:r>
        <w:rPr>
          <w:rFonts w:ascii="Times New Roman" w:hAnsi="Times New Roman" w:eastAsia="Times New Roman" w:cs="Times New Roman"/>
          <w:spacing w:val="-3"/>
          <w:sz w:val="21"/>
          <w:szCs w:val="21"/>
        </w:rPr>
        <w:t>18.6.2</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由于承包人的原因导致试运行失败的，承包人应采取措施保证试运行合格，并承</w:t>
      </w:r>
      <w:r>
        <w:rPr>
          <w:rFonts w:ascii="宋体" w:hAnsi="宋体" w:eastAsia="宋体" w:cs="宋体"/>
          <w:spacing w:val="-1"/>
          <w:sz w:val="21"/>
          <w:szCs w:val="21"/>
        </w:rPr>
        <w:t>担相应费用。由于发包人的原因导致试运行失败的，承包人应当采取措施保证试运行合格，发包人应承担由此产生的费用，并支付承包人合理</w:t>
      </w:r>
      <w:r>
        <w:rPr>
          <w:rFonts w:ascii="宋体" w:hAnsi="宋体" w:eastAsia="宋体" w:cs="宋体"/>
          <w:spacing w:val="-2"/>
          <w:sz w:val="21"/>
          <w:szCs w:val="21"/>
        </w:rPr>
        <w:t>利润。</w:t>
      </w:r>
    </w:p>
    <w:p w14:paraId="251D5588">
      <w:pPr>
        <w:spacing w:line="348" w:lineRule="auto"/>
        <w:rPr>
          <w:rFonts w:ascii="宋体" w:hAnsi="宋体" w:eastAsia="宋体" w:cs="宋体"/>
          <w:sz w:val="21"/>
          <w:szCs w:val="21"/>
        </w:rPr>
        <w:sectPr>
          <w:footerReference r:id="rId102" w:type="default"/>
          <w:pgSz w:w="11910" w:h="16845"/>
          <w:pgMar w:top="400" w:right="1734" w:bottom="1110" w:left="1786" w:header="0" w:footer="883" w:gutter="0"/>
          <w:cols w:space="720" w:num="1"/>
        </w:sectPr>
      </w:pPr>
    </w:p>
    <w:p w14:paraId="55EF1ACD">
      <w:pPr>
        <w:pStyle w:val="2"/>
        <w:spacing w:line="266" w:lineRule="auto"/>
      </w:pPr>
    </w:p>
    <w:p w14:paraId="6749A9AA">
      <w:pPr>
        <w:pStyle w:val="2"/>
        <w:spacing w:line="266" w:lineRule="auto"/>
      </w:pPr>
    </w:p>
    <w:p w14:paraId="49EE288B">
      <w:pPr>
        <w:pStyle w:val="2"/>
        <w:spacing w:line="266" w:lineRule="auto"/>
      </w:pPr>
    </w:p>
    <w:p w14:paraId="0CFAF868">
      <w:pPr>
        <w:pStyle w:val="2"/>
        <w:spacing w:line="267" w:lineRule="auto"/>
      </w:pPr>
    </w:p>
    <w:p w14:paraId="528116DB">
      <w:pPr>
        <w:spacing w:before="78" w:line="232" w:lineRule="auto"/>
        <w:ind w:left="44"/>
        <w:outlineLvl w:val="1"/>
        <w:rPr>
          <w:rFonts w:ascii="黑体" w:hAnsi="黑体" w:eastAsia="黑体" w:cs="黑体"/>
          <w:sz w:val="24"/>
          <w:szCs w:val="24"/>
        </w:rPr>
      </w:pPr>
      <w:bookmarkStart w:id="181" w:name="bookmark159"/>
      <w:bookmarkEnd w:id="181"/>
      <w:r>
        <w:rPr>
          <w:rFonts w:ascii="Times New Roman" w:hAnsi="Times New Roman" w:eastAsia="Times New Roman" w:cs="Times New Roman"/>
          <w:spacing w:val="-3"/>
          <w:sz w:val="24"/>
          <w:szCs w:val="24"/>
        </w:rPr>
        <w:t xml:space="preserve">18.7  </w:t>
      </w:r>
      <w:r>
        <w:rPr>
          <w:rFonts w:ascii="黑体" w:hAnsi="黑体" w:eastAsia="黑体" w:cs="黑体"/>
          <w:spacing w:val="-3"/>
          <w:sz w:val="24"/>
          <w:szCs w:val="24"/>
        </w:rPr>
        <w:t>竣工清场</w:t>
      </w:r>
    </w:p>
    <w:p w14:paraId="6E28D5D4">
      <w:pPr>
        <w:spacing w:before="128" w:line="336" w:lineRule="auto"/>
        <w:ind w:left="24" w:right="47"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18.7.1  </w:t>
      </w:r>
      <w:r>
        <w:rPr>
          <w:rFonts w:ascii="宋体" w:hAnsi="宋体" w:eastAsia="宋体" w:cs="宋体"/>
          <w:spacing w:val="-2"/>
          <w:sz w:val="21"/>
          <w:szCs w:val="21"/>
        </w:rPr>
        <w:t>除合同另有约定外，工程接收证书颁发后，承包人应按以下要求对施工场地进行</w:t>
      </w:r>
      <w:r>
        <w:rPr>
          <w:rFonts w:ascii="宋体" w:hAnsi="宋体" w:eastAsia="宋体" w:cs="宋体"/>
          <w:spacing w:val="-1"/>
          <w:sz w:val="21"/>
          <w:szCs w:val="21"/>
        </w:rPr>
        <w:t>清理，直至监理人检验合格为止。竣工清场费用由承包人承担。</w:t>
      </w:r>
    </w:p>
    <w:p w14:paraId="288E6880">
      <w:pPr>
        <w:spacing w:before="32" w:line="233" w:lineRule="auto"/>
        <w:ind w:left="7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）施工场地内残留的垃圾已全部清除出场；</w:t>
      </w:r>
    </w:p>
    <w:p w14:paraId="1F304A1E">
      <w:pPr>
        <w:spacing w:before="140"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）临时工程已拆除，场地已按合同要求进行清理、平整或复原；</w:t>
      </w:r>
    </w:p>
    <w:p w14:paraId="18FBC484">
      <w:pPr>
        <w:spacing w:before="126" w:line="348" w:lineRule="auto"/>
        <w:ind w:left="47" w:right="32" w:firstLine="70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）按合同约定应撤离的承包人设备和剩余的材料，包括废弃的</w:t>
      </w:r>
      <w:r>
        <w:rPr>
          <w:rFonts w:ascii="宋体" w:hAnsi="宋体" w:eastAsia="宋体" w:cs="宋体"/>
          <w:spacing w:val="-2"/>
          <w:sz w:val="21"/>
          <w:szCs w:val="21"/>
        </w:rPr>
        <w:t>施工设备和材料，</w:t>
      </w:r>
      <w:r>
        <w:rPr>
          <w:rFonts w:ascii="宋体" w:hAnsi="宋体" w:eastAsia="宋体" w:cs="宋体"/>
          <w:spacing w:val="-7"/>
          <w:sz w:val="21"/>
          <w:szCs w:val="21"/>
        </w:rPr>
        <w:t>已按计划撤离施工场地；</w:t>
      </w:r>
    </w:p>
    <w:p w14:paraId="45F6C030">
      <w:pPr>
        <w:spacing w:before="17" w:line="233" w:lineRule="auto"/>
        <w:jc w:val="right"/>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4</w:t>
      </w:r>
      <w:r>
        <w:rPr>
          <w:rFonts w:ascii="宋体" w:hAnsi="宋体" w:eastAsia="宋体" w:cs="宋体"/>
          <w:spacing w:val="-6"/>
          <w:sz w:val="21"/>
          <w:szCs w:val="21"/>
        </w:rPr>
        <w:t>）工程建筑物周边及其附近道路、河道的施工堆积物，已按监理人指示全部</w:t>
      </w:r>
      <w:r>
        <w:rPr>
          <w:rFonts w:ascii="宋体" w:hAnsi="宋体" w:eastAsia="宋体" w:cs="宋体"/>
          <w:spacing w:val="-7"/>
          <w:sz w:val="21"/>
          <w:szCs w:val="21"/>
        </w:rPr>
        <w:t>清理；</w:t>
      </w:r>
    </w:p>
    <w:p w14:paraId="282F40EC">
      <w:pPr>
        <w:spacing w:before="127"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）监理人指示的其他场地清理工作已全部完成。</w:t>
      </w:r>
    </w:p>
    <w:p w14:paraId="3D7C604F">
      <w:pPr>
        <w:spacing w:before="141" w:line="338" w:lineRule="auto"/>
        <w:ind w:left="25" w:right="47" w:firstLine="435"/>
        <w:rPr>
          <w:rFonts w:ascii="宋体" w:hAnsi="宋体" w:eastAsia="宋体" w:cs="宋体"/>
          <w:sz w:val="21"/>
          <w:szCs w:val="21"/>
        </w:rPr>
      </w:pPr>
      <w:r>
        <w:rPr>
          <w:rFonts w:ascii="Times New Roman" w:hAnsi="Times New Roman" w:eastAsia="Times New Roman" w:cs="Times New Roman"/>
          <w:spacing w:val="-2"/>
          <w:sz w:val="21"/>
          <w:szCs w:val="21"/>
        </w:rPr>
        <w:t xml:space="preserve">18.7.2  </w:t>
      </w:r>
      <w:r>
        <w:rPr>
          <w:rFonts w:ascii="宋体" w:hAnsi="宋体" w:eastAsia="宋体" w:cs="宋体"/>
          <w:spacing w:val="-2"/>
          <w:sz w:val="21"/>
          <w:szCs w:val="21"/>
        </w:rPr>
        <w:t>承包人未按监理人的要求恢复临时占地，或者场地清理未达到合同约定的，发包</w:t>
      </w:r>
      <w:r>
        <w:rPr>
          <w:rFonts w:ascii="宋体" w:hAnsi="宋体" w:eastAsia="宋体" w:cs="宋体"/>
          <w:spacing w:val="-1"/>
          <w:sz w:val="21"/>
          <w:szCs w:val="21"/>
        </w:rPr>
        <w:t>人有权委托其他人恢复或清理，所发生的金额从拟支付给承包人的款项中扣除。</w:t>
      </w:r>
    </w:p>
    <w:p w14:paraId="7DE7C27C">
      <w:pPr>
        <w:spacing w:line="233" w:lineRule="auto"/>
        <w:ind w:left="44"/>
        <w:outlineLvl w:val="1"/>
        <w:rPr>
          <w:rFonts w:ascii="黑体" w:hAnsi="黑体" w:eastAsia="黑体" w:cs="黑体"/>
          <w:sz w:val="24"/>
          <w:szCs w:val="24"/>
        </w:rPr>
      </w:pPr>
      <w:bookmarkStart w:id="182" w:name="bookmark160"/>
      <w:bookmarkEnd w:id="182"/>
      <w:r>
        <w:rPr>
          <w:rFonts w:ascii="Times New Roman" w:hAnsi="Times New Roman" w:eastAsia="Times New Roman" w:cs="Times New Roman"/>
          <w:spacing w:val="-2"/>
          <w:sz w:val="24"/>
          <w:szCs w:val="24"/>
        </w:rPr>
        <w:t xml:space="preserve">18.8  </w:t>
      </w:r>
      <w:r>
        <w:rPr>
          <w:rFonts w:ascii="黑体" w:hAnsi="黑体" w:eastAsia="黑体" w:cs="黑体"/>
          <w:spacing w:val="-2"/>
          <w:sz w:val="24"/>
          <w:szCs w:val="24"/>
        </w:rPr>
        <w:t>施工队伍的撤离</w:t>
      </w:r>
    </w:p>
    <w:p w14:paraId="495BD539">
      <w:pPr>
        <w:spacing w:before="128" w:line="348" w:lineRule="auto"/>
        <w:ind w:left="36" w:firstLine="410"/>
        <w:jc w:val="both"/>
        <w:rPr>
          <w:rFonts w:ascii="宋体" w:hAnsi="宋体" w:eastAsia="宋体" w:cs="宋体"/>
          <w:sz w:val="21"/>
          <w:szCs w:val="21"/>
        </w:rPr>
      </w:pPr>
      <w:r>
        <w:rPr>
          <w:rFonts w:ascii="宋体" w:hAnsi="宋体" w:eastAsia="宋体" w:cs="宋体"/>
          <w:sz w:val="21"/>
          <w:szCs w:val="21"/>
        </w:rPr>
        <w:t>工程接收证书颁发后的</w:t>
      </w:r>
      <w:r>
        <w:rPr>
          <w:rFonts w:ascii="宋体" w:hAnsi="宋体" w:eastAsia="宋体" w:cs="宋体"/>
          <w:spacing w:val="-37"/>
          <w:sz w:val="21"/>
          <w:szCs w:val="21"/>
        </w:rPr>
        <w:t xml:space="preserve"> </w:t>
      </w:r>
      <w:r>
        <w:rPr>
          <w:rFonts w:ascii="Times New Roman" w:hAnsi="Times New Roman" w:eastAsia="Times New Roman" w:cs="Times New Roman"/>
          <w:sz w:val="21"/>
          <w:szCs w:val="21"/>
        </w:rPr>
        <w:t>56</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天内，除了经监理</w:t>
      </w:r>
      <w:r>
        <w:rPr>
          <w:rFonts w:ascii="宋体" w:hAnsi="宋体" w:eastAsia="宋体" w:cs="宋体"/>
          <w:spacing w:val="-1"/>
          <w:sz w:val="21"/>
          <w:szCs w:val="21"/>
        </w:rPr>
        <w:t>人同意需在缺陷责任期内继续工作和使用</w:t>
      </w:r>
      <w:r>
        <w:rPr>
          <w:rFonts w:ascii="宋体" w:hAnsi="宋体" w:eastAsia="宋体" w:cs="宋体"/>
          <w:spacing w:val="-2"/>
          <w:sz w:val="21"/>
          <w:szCs w:val="21"/>
        </w:rPr>
        <w:t>的人员、施工设备和临时工程外，其余的人员、施工</w:t>
      </w:r>
      <w:r>
        <w:rPr>
          <w:rFonts w:ascii="宋体" w:hAnsi="宋体" w:eastAsia="宋体" w:cs="宋体"/>
          <w:spacing w:val="-3"/>
          <w:sz w:val="21"/>
          <w:szCs w:val="21"/>
        </w:rPr>
        <w:t>设备和临时工程均应撤离施工场地或拆</w:t>
      </w:r>
      <w:r>
        <w:rPr>
          <w:rFonts w:ascii="宋体" w:hAnsi="宋体" w:eastAsia="宋体" w:cs="宋体"/>
          <w:spacing w:val="-1"/>
          <w:sz w:val="21"/>
          <w:szCs w:val="21"/>
        </w:rPr>
        <w:t>除。除合同另有约定外，缺陷责任期满时，承包人的人员和施工设备应全部撤离施工场地。</w:t>
      </w:r>
    </w:p>
    <w:p w14:paraId="52E5ACD1">
      <w:pPr>
        <w:spacing w:before="53" w:line="236" w:lineRule="auto"/>
        <w:ind w:left="49"/>
        <w:outlineLvl w:val="0"/>
        <w:rPr>
          <w:rFonts w:ascii="黑体" w:hAnsi="黑体" w:eastAsia="黑体" w:cs="黑体"/>
          <w:sz w:val="28"/>
          <w:szCs w:val="28"/>
        </w:rPr>
      </w:pPr>
      <w:bookmarkStart w:id="183" w:name="bookmark162"/>
      <w:bookmarkEnd w:id="183"/>
      <w:bookmarkStart w:id="184" w:name="bookmark161"/>
      <w:bookmarkEnd w:id="184"/>
      <w:r>
        <w:rPr>
          <w:rFonts w:ascii="Times New Roman" w:hAnsi="Times New Roman" w:eastAsia="Times New Roman" w:cs="Times New Roman"/>
          <w:spacing w:val="1"/>
          <w:sz w:val="28"/>
          <w:szCs w:val="28"/>
        </w:rPr>
        <w:t xml:space="preserve">19.  </w:t>
      </w:r>
      <w:r>
        <w:rPr>
          <w:rFonts w:ascii="黑体" w:hAnsi="黑体" w:eastAsia="黑体" w:cs="黑体"/>
          <w:spacing w:val="1"/>
          <w:sz w:val="28"/>
          <w:szCs w:val="28"/>
        </w:rPr>
        <w:t>缺陷责任与保修责任</w:t>
      </w:r>
    </w:p>
    <w:p w14:paraId="4F0DE5FA">
      <w:pPr>
        <w:spacing w:before="72" w:line="232" w:lineRule="auto"/>
        <w:ind w:left="44"/>
        <w:outlineLvl w:val="1"/>
        <w:rPr>
          <w:rFonts w:ascii="黑体" w:hAnsi="黑体" w:eastAsia="黑体" w:cs="黑体"/>
          <w:sz w:val="24"/>
          <w:szCs w:val="24"/>
        </w:rPr>
      </w:pPr>
      <w:bookmarkStart w:id="185" w:name="bookmark648"/>
      <w:bookmarkEnd w:id="185"/>
      <w:r>
        <w:rPr>
          <w:rFonts w:ascii="Times New Roman" w:hAnsi="Times New Roman" w:eastAsia="Times New Roman" w:cs="Times New Roman"/>
          <w:spacing w:val="-2"/>
          <w:sz w:val="24"/>
          <w:szCs w:val="24"/>
        </w:rPr>
        <w:t xml:space="preserve">19.1  </w:t>
      </w:r>
      <w:r>
        <w:rPr>
          <w:rFonts w:ascii="黑体" w:hAnsi="黑体" w:eastAsia="黑体" w:cs="黑体"/>
          <w:spacing w:val="-2"/>
          <w:sz w:val="24"/>
          <w:szCs w:val="24"/>
        </w:rPr>
        <w:t>缺陷责任期的起算时间</w:t>
      </w:r>
    </w:p>
    <w:p w14:paraId="14C21235">
      <w:pPr>
        <w:spacing w:before="130" w:line="338" w:lineRule="auto"/>
        <w:ind w:left="24" w:right="61" w:firstLine="420"/>
        <w:rPr>
          <w:rFonts w:ascii="宋体" w:hAnsi="宋体" w:eastAsia="宋体" w:cs="宋体"/>
          <w:sz w:val="21"/>
          <w:szCs w:val="21"/>
        </w:rPr>
      </w:pPr>
      <w:r>
        <w:rPr>
          <w:rFonts w:ascii="宋体" w:hAnsi="宋体" w:eastAsia="宋体" w:cs="宋体"/>
          <w:spacing w:val="-4"/>
          <w:sz w:val="21"/>
          <w:szCs w:val="21"/>
        </w:rPr>
        <w:t>缺陷责任期自实际竣工日期起计算。在全部工程竣工验收前</w:t>
      </w:r>
      <w:r>
        <w:rPr>
          <w:rFonts w:ascii="宋体" w:hAnsi="宋体" w:eastAsia="宋体" w:cs="宋体"/>
          <w:spacing w:val="-5"/>
          <w:sz w:val="21"/>
          <w:szCs w:val="21"/>
        </w:rPr>
        <w:t>，</w:t>
      </w:r>
      <w:r>
        <w:rPr>
          <w:rFonts w:ascii="宋体" w:hAnsi="宋体" w:eastAsia="宋体" w:cs="宋体"/>
          <w:spacing w:val="-23"/>
          <w:sz w:val="21"/>
          <w:szCs w:val="21"/>
        </w:rPr>
        <w:t xml:space="preserve"> </w:t>
      </w:r>
      <w:r>
        <w:rPr>
          <w:rFonts w:ascii="宋体" w:hAnsi="宋体" w:eastAsia="宋体" w:cs="宋体"/>
          <w:spacing w:val="-5"/>
          <w:sz w:val="21"/>
          <w:szCs w:val="21"/>
        </w:rPr>
        <w:t>已经发包人提前验收的单</w:t>
      </w:r>
      <w:r>
        <w:rPr>
          <w:rFonts w:ascii="宋体" w:hAnsi="宋体" w:eastAsia="宋体" w:cs="宋体"/>
          <w:spacing w:val="-2"/>
          <w:sz w:val="21"/>
          <w:szCs w:val="21"/>
        </w:rPr>
        <w:t>位工程，其缺陷责任期的起算日期相应提前。</w:t>
      </w:r>
    </w:p>
    <w:p w14:paraId="36C4E304">
      <w:pPr>
        <w:spacing w:before="2" w:line="231" w:lineRule="auto"/>
        <w:ind w:left="44"/>
        <w:outlineLvl w:val="1"/>
        <w:rPr>
          <w:rFonts w:ascii="黑体" w:hAnsi="黑体" w:eastAsia="黑体" w:cs="黑体"/>
          <w:sz w:val="24"/>
          <w:szCs w:val="24"/>
        </w:rPr>
      </w:pPr>
      <w:bookmarkStart w:id="186" w:name="bookmark163"/>
      <w:bookmarkEnd w:id="186"/>
      <w:r>
        <w:rPr>
          <w:rFonts w:ascii="Times New Roman" w:hAnsi="Times New Roman" w:eastAsia="Times New Roman" w:cs="Times New Roman"/>
          <w:spacing w:val="-3"/>
          <w:sz w:val="24"/>
          <w:szCs w:val="24"/>
        </w:rPr>
        <w:t xml:space="preserve">19.2  </w:t>
      </w:r>
      <w:r>
        <w:rPr>
          <w:rFonts w:ascii="黑体" w:hAnsi="黑体" w:eastAsia="黑体" w:cs="黑体"/>
          <w:spacing w:val="-3"/>
          <w:sz w:val="24"/>
          <w:szCs w:val="24"/>
        </w:rPr>
        <w:t>缺陷责任</w:t>
      </w:r>
    </w:p>
    <w:p w14:paraId="49F2C792">
      <w:pPr>
        <w:spacing w:before="130"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19.2.1</w:t>
      </w:r>
      <w:r>
        <w:rPr>
          <w:rFonts w:ascii="Times New Roman" w:hAnsi="Times New Roman" w:eastAsia="Times New Roman" w:cs="Times New Roman"/>
          <w:spacing w:val="46"/>
          <w:w w:val="101"/>
          <w:sz w:val="21"/>
          <w:szCs w:val="21"/>
        </w:rPr>
        <w:t xml:space="preserve"> </w:t>
      </w:r>
      <w:r>
        <w:rPr>
          <w:rFonts w:ascii="宋体" w:hAnsi="宋体" w:eastAsia="宋体" w:cs="宋体"/>
          <w:spacing w:val="-1"/>
          <w:sz w:val="21"/>
          <w:szCs w:val="21"/>
        </w:rPr>
        <w:t>承包人应在缺陷责任期内对已交付使用的工程承担缺</w:t>
      </w:r>
      <w:r>
        <w:rPr>
          <w:rFonts w:ascii="宋体" w:hAnsi="宋体" w:eastAsia="宋体" w:cs="宋体"/>
          <w:spacing w:val="-2"/>
          <w:sz w:val="21"/>
          <w:szCs w:val="21"/>
        </w:rPr>
        <w:t>陷责任。</w:t>
      </w:r>
    </w:p>
    <w:p w14:paraId="5AF1F4C9">
      <w:pPr>
        <w:spacing w:before="141" w:line="348" w:lineRule="auto"/>
        <w:ind w:left="23" w:right="49"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19.2.2  </w:t>
      </w:r>
      <w:r>
        <w:rPr>
          <w:rFonts w:ascii="宋体" w:hAnsi="宋体" w:eastAsia="宋体" w:cs="宋体"/>
          <w:spacing w:val="-2"/>
          <w:sz w:val="21"/>
          <w:szCs w:val="21"/>
        </w:rPr>
        <w:t>缺陷责任期内，发包人对已接收使用的工程负责日常维护工作。发包人在使用过程中，发现已接收的工程存在新的缺陷或已修复的缺陷部位或部件又遭损坏的，承包</w:t>
      </w:r>
      <w:r>
        <w:rPr>
          <w:rFonts w:ascii="宋体" w:hAnsi="宋体" w:eastAsia="宋体" w:cs="宋体"/>
          <w:spacing w:val="-3"/>
          <w:sz w:val="21"/>
          <w:szCs w:val="21"/>
        </w:rPr>
        <w:t>人应负责修复，直至检验合格为止。</w:t>
      </w:r>
    </w:p>
    <w:p w14:paraId="0BB9C648">
      <w:pPr>
        <w:spacing w:before="13" w:line="348" w:lineRule="auto"/>
        <w:ind w:left="26" w:right="47" w:firstLine="434"/>
        <w:rPr>
          <w:rFonts w:ascii="宋体" w:hAnsi="宋体" w:eastAsia="宋体" w:cs="宋体"/>
          <w:sz w:val="21"/>
          <w:szCs w:val="21"/>
        </w:rPr>
      </w:pPr>
      <w:r>
        <w:rPr>
          <w:rFonts w:ascii="Times New Roman" w:hAnsi="Times New Roman" w:eastAsia="Times New Roman" w:cs="Times New Roman"/>
          <w:spacing w:val="-2"/>
          <w:sz w:val="21"/>
          <w:szCs w:val="21"/>
        </w:rPr>
        <w:t xml:space="preserve">19.2.3  </w:t>
      </w:r>
      <w:r>
        <w:rPr>
          <w:rFonts w:ascii="宋体" w:hAnsi="宋体" w:eastAsia="宋体" w:cs="宋体"/>
          <w:spacing w:val="-2"/>
          <w:sz w:val="21"/>
          <w:szCs w:val="21"/>
        </w:rPr>
        <w:t>监理人和承包人应共同查清缺陷和（或）损坏的原因。经查明属承包人原因造成的，应由承包人承担修复和查验的费用。经查验属发包人原因造成的，发包</w:t>
      </w:r>
      <w:r>
        <w:rPr>
          <w:rFonts w:ascii="宋体" w:hAnsi="宋体" w:eastAsia="宋体" w:cs="宋体"/>
          <w:spacing w:val="-3"/>
          <w:sz w:val="21"/>
          <w:szCs w:val="21"/>
        </w:rPr>
        <w:t>人应承担修复和</w:t>
      </w:r>
      <w:r>
        <w:rPr>
          <w:rFonts w:ascii="宋体" w:hAnsi="宋体" w:eastAsia="宋体" w:cs="宋体"/>
          <w:spacing w:val="-2"/>
          <w:sz w:val="21"/>
          <w:szCs w:val="21"/>
        </w:rPr>
        <w:t>查验的费用，并支付承包人合理利润。</w:t>
      </w:r>
    </w:p>
    <w:p w14:paraId="510EBB42">
      <w:pPr>
        <w:spacing w:before="14" w:line="338" w:lineRule="auto"/>
        <w:ind w:left="35" w:right="47" w:firstLine="425"/>
        <w:rPr>
          <w:rFonts w:ascii="宋体" w:hAnsi="宋体" w:eastAsia="宋体" w:cs="宋体"/>
          <w:sz w:val="21"/>
          <w:szCs w:val="21"/>
        </w:rPr>
      </w:pPr>
      <w:r>
        <w:rPr>
          <w:rFonts w:ascii="Times New Roman" w:hAnsi="Times New Roman" w:eastAsia="Times New Roman" w:cs="Times New Roman"/>
          <w:spacing w:val="-2"/>
          <w:sz w:val="21"/>
          <w:szCs w:val="21"/>
        </w:rPr>
        <w:t xml:space="preserve">19.2.4  </w:t>
      </w:r>
      <w:r>
        <w:rPr>
          <w:rFonts w:ascii="宋体" w:hAnsi="宋体" w:eastAsia="宋体" w:cs="宋体"/>
          <w:spacing w:val="-2"/>
          <w:sz w:val="21"/>
          <w:szCs w:val="21"/>
        </w:rPr>
        <w:t>承包人不能在合理时间内修复缺陷的，发包人可自行修复或委托其他人修复，所</w:t>
      </w:r>
      <w:r>
        <w:rPr>
          <w:rFonts w:ascii="宋体" w:hAnsi="宋体" w:eastAsia="宋体" w:cs="宋体"/>
          <w:spacing w:val="-3"/>
          <w:sz w:val="21"/>
          <w:szCs w:val="21"/>
        </w:rPr>
        <w:t xml:space="preserve">需费用和利润的承担，按第 </w:t>
      </w:r>
      <w:r>
        <w:rPr>
          <w:rFonts w:ascii="Times New Roman" w:hAnsi="Times New Roman" w:eastAsia="Times New Roman" w:cs="Times New Roman"/>
          <w:spacing w:val="-3"/>
          <w:sz w:val="21"/>
          <w:szCs w:val="21"/>
        </w:rPr>
        <w:t>19.2.3</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项约定办理。</w:t>
      </w:r>
    </w:p>
    <w:p w14:paraId="0ED3F6BD">
      <w:pPr>
        <w:spacing w:before="1" w:line="231" w:lineRule="auto"/>
        <w:ind w:left="44"/>
        <w:outlineLvl w:val="1"/>
        <w:rPr>
          <w:rFonts w:ascii="黑体" w:hAnsi="黑体" w:eastAsia="黑体" w:cs="黑体"/>
          <w:sz w:val="24"/>
          <w:szCs w:val="24"/>
        </w:rPr>
      </w:pPr>
      <w:bookmarkStart w:id="187" w:name="bookmark164"/>
      <w:bookmarkEnd w:id="187"/>
      <w:r>
        <w:rPr>
          <w:rFonts w:ascii="Times New Roman" w:hAnsi="Times New Roman" w:eastAsia="Times New Roman" w:cs="Times New Roman"/>
          <w:spacing w:val="-2"/>
          <w:sz w:val="24"/>
          <w:szCs w:val="24"/>
        </w:rPr>
        <w:t xml:space="preserve">19.3  </w:t>
      </w:r>
      <w:r>
        <w:rPr>
          <w:rFonts w:ascii="黑体" w:hAnsi="黑体" w:eastAsia="黑体" w:cs="黑体"/>
          <w:spacing w:val="-2"/>
          <w:sz w:val="24"/>
          <w:szCs w:val="24"/>
        </w:rPr>
        <w:t>缺陷责任期的延长</w:t>
      </w:r>
    </w:p>
    <w:p w14:paraId="32E207CF">
      <w:pPr>
        <w:spacing w:before="129" w:line="358" w:lineRule="auto"/>
        <w:ind w:left="25" w:right="63" w:firstLine="445"/>
        <w:jc w:val="both"/>
        <w:rPr>
          <w:rFonts w:ascii="宋体" w:hAnsi="宋体" w:eastAsia="宋体" w:cs="宋体"/>
          <w:sz w:val="21"/>
          <w:szCs w:val="21"/>
        </w:rPr>
      </w:pPr>
      <w:r>
        <w:rPr>
          <w:rFonts w:ascii="宋体" w:hAnsi="宋体" w:eastAsia="宋体" w:cs="宋体"/>
          <w:spacing w:val="2"/>
          <w:sz w:val="21"/>
          <w:szCs w:val="21"/>
        </w:rPr>
        <w:t>由于承包人原因造成某项缺陷或损坏使某项工程或工程设备不能按原定目标使用而需</w:t>
      </w:r>
      <w:r>
        <w:rPr>
          <w:rFonts w:ascii="宋体" w:hAnsi="宋体" w:eastAsia="宋体" w:cs="宋体"/>
          <w:spacing w:val="-2"/>
          <w:sz w:val="21"/>
          <w:szCs w:val="21"/>
        </w:rPr>
        <w:t>要再次检查、检验和修复的，发包人有权要求承包人相应延长缺陷责任期，但缺</w:t>
      </w:r>
      <w:r>
        <w:rPr>
          <w:rFonts w:ascii="宋体" w:hAnsi="宋体" w:eastAsia="宋体" w:cs="宋体"/>
          <w:spacing w:val="-3"/>
          <w:sz w:val="21"/>
          <w:szCs w:val="21"/>
        </w:rPr>
        <w:t>陷责任期最</w:t>
      </w:r>
      <w:r>
        <w:rPr>
          <w:rFonts w:ascii="宋体" w:hAnsi="宋体" w:eastAsia="宋体" w:cs="宋体"/>
          <w:spacing w:val="-5"/>
          <w:sz w:val="21"/>
          <w:szCs w:val="21"/>
        </w:rPr>
        <w:t>长不超过</w:t>
      </w:r>
      <w:r>
        <w:rPr>
          <w:rFonts w:ascii="宋体" w:hAnsi="宋体" w:eastAsia="宋体" w:cs="宋体"/>
          <w:spacing w:val="-39"/>
          <w:sz w:val="21"/>
          <w:szCs w:val="21"/>
        </w:rPr>
        <w:t xml:space="preserve"> </w:t>
      </w:r>
      <w:r>
        <w:rPr>
          <w:rFonts w:ascii="Times New Roman" w:hAnsi="Times New Roman" w:eastAsia="Times New Roman" w:cs="Times New Roman"/>
          <w:spacing w:val="-5"/>
          <w:sz w:val="21"/>
          <w:szCs w:val="21"/>
        </w:rPr>
        <w:t>2</w:t>
      </w:r>
      <w:r>
        <w:rPr>
          <w:rFonts w:ascii="Times New Roman" w:hAnsi="Times New Roman" w:eastAsia="Times New Roman" w:cs="Times New Roman"/>
          <w:spacing w:val="17"/>
          <w:sz w:val="21"/>
          <w:szCs w:val="21"/>
        </w:rPr>
        <w:t xml:space="preserve"> </w:t>
      </w:r>
      <w:r>
        <w:rPr>
          <w:rFonts w:ascii="宋体" w:hAnsi="宋体" w:eastAsia="宋体" w:cs="宋体"/>
          <w:spacing w:val="-5"/>
          <w:sz w:val="21"/>
          <w:szCs w:val="21"/>
        </w:rPr>
        <w:t>年。</w:t>
      </w:r>
    </w:p>
    <w:p w14:paraId="092D56AB">
      <w:pPr>
        <w:spacing w:line="358" w:lineRule="auto"/>
        <w:rPr>
          <w:rFonts w:ascii="宋体" w:hAnsi="宋体" w:eastAsia="宋体" w:cs="宋体"/>
          <w:sz w:val="21"/>
          <w:szCs w:val="21"/>
        </w:rPr>
        <w:sectPr>
          <w:footerReference r:id="rId103" w:type="default"/>
          <w:pgSz w:w="11910" w:h="16845"/>
          <w:pgMar w:top="400" w:right="1718" w:bottom="1110" w:left="1786" w:header="0" w:footer="883" w:gutter="0"/>
          <w:cols w:space="720" w:num="1"/>
        </w:sectPr>
      </w:pPr>
    </w:p>
    <w:p w14:paraId="4058845D">
      <w:pPr>
        <w:pStyle w:val="2"/>
        <w:spacing w:line="266" w:lineRule="auto"/>
      </w:pPr>
    </w:p>
    <w:p w14:paraId="1D783F04">
      <w:pPr>
        <w:pStyle w:val="2"/>
        <w:spacing w:line="266" w:lineRule="auto"/>
      </w:pPr>
    </w:p>
    <w:p w14:paraId="6259B1C3">
      <w:pPr>
        <w:pStyle w:val="2"/>
        <w:spacing w:line="266" w:lineRule="auto"/>
      </w:pPr>
    </w:p>
    <w:p w14:paraId="1A7776F2">
      <w:pPr>
        <w:pStyle w:val="2"/>
        <w:spacing w:line="267" w:lineRule="auto"/>
      </w:pPr>
    </w:p>
    <w:p w14:paraId="2322EF94">
      <w:pPr>
        <w:spacing w:before="78" w:line="232" w:lineRule="auto"/>
        <w:ind w:left="44"/>
        <w:outlineLvl w:val="1"/>
        <w:rPr>
          <w:rFonts w:ascii="黑体" w:hAnsi="黑体" w:eastAsia="黑体" w:cs="黑体"/>
          <w:sz w:val="24"/>
          <w:szCs w:val="24"/>
        </w:rPr>
      </w:pPr>
      <w:bookmarkStart w:id="188" w:name="bookmark165"/>
      <w:bookmarkEnd w:id="188"/>
      <w:r>
        <w:rPr>
          <w:rFonts w:ascii="Times New Roman" w:hAnsi="Times New Roman" w:eastAsia="Times New Roman" w:cs="Times New Roman"/>
          <w:spacing w:val="-2"/>
          <w:sz w:val="24"/>
          <w:szCs w:val="24"/>
        </w:rPr>
        <w:t xml:space="preserve">19.4  </w:t>
      </w:r>
      <w:r>
        <w:rPr>
          <w:rFonts w:ascii="黑体" w:hAnsi="黑体" w:eastAsia="黑体" w:cs="黑体"/>
          <w:spacing w:val="-2"/>
          <w:sz w:val="24"/>
          <w:szCs w:val="24"/>
        </w:rPr>
        <w:t>进一步试验和试运行</w:t>
      </w:r>
    </w:p>
    <w:p w14:paraId="51BD7212">
      <w:pPr>
        <w:spacing w:before="130" w:line="338" w:lineRule="auto"/>
        <w:ind w:left="24" w:right="90" w:firstLine="419"/>
        <w:rPr>
          <w:rFonts w:ascii="宋体" w:hAnsi="宋体" w:eastAsia="宋体" w:cs="宋体"/>
          <w:sz w:val="21"/>
          <w:szCs w:val="21"/>
        </w:rPr>
      </w:pPr>
      <w:r>
        <w:rPr>
          <w:rFonts w:ascii="宋体" w:hAnsi="宋体" w:eastAsia="宋体" w:cs="宋体"/>
          <w:spacing w:val="-2"/>
          <w:sz w:val="21"/>
          <w:szCs w:val="21"/>
        </w:rPr>
        <w:t>任何一项缺陷或损坏修复后，经检查证明其影响了工程或工程设备的使用性</w:t>
      </w:r>
      <w:r>
        <w:rPr>
          <w:rFonts w:ascii="宋体" w:hAnsi="宋体" w:eastAsia="宋体" w:cs="宋体"/>
          <w:spacing w:val="-3"/>
          <w:sz w:val="21"/>
          <w:szCs w:val="21"/>
        </w:rPr>
        <w:t>能，承包人</w:t>
      </w:r>
      <w:r>
        <w:rPr>
          <w:rFonts w:ascii="宋体" w:hAnsi="宋体" w:eastAsia="宋体" w:cs="宋体"/>
          <w:spacing w:val="-1"/>
          <w:sz w:val="21"/>
          <w:szCs w:val="21"/>
        </w:rPr>
        <w:t>应重新进行合同约定的试验和试运行，试验和试运行的全部费用应由责任方承担。</w:t>
      </w:r>
    </w:p>
    <w:p w14:paraId="7BCDDB75">
      <w:pPr>
        <w:spacing w:line="233" w:lineRule="auto"/>
        <w:ind w:left="44"/>
        <w:outlineLvl w:val="1"/>
        <w:rPr>
          <w:rFonts w:ascii="黑体" w:hAnsi="黑体" w:eastAsia="黑体" w:cs="黑体"/>
          <w:sz w:val="24"/>
          <w:szCs w:val="24"/>
        </w:rPr>
      </w:pPr>
      <w:bookmarkStart w:id="189" w:name="bookmark166"/>
      <w:bookmarkEnd w:id="189"/>
      <w:r>
        <w:rPr>
          <w:rFonts w:ascii="Times New Roman" w:hAnsi="Times New Roman" w:eastAsia="Times New Roman" w:cs="Times New Roman"/>
          <w:spacing w:val="-2"/>
          <w:sz w:val="24"/>
          <w:szCs w:val="24"/>
        </w:rPr>
        <w:t xml:space="preserve">19.5  </w:t>
      </w:r>
      <w:r>
        <w:rPr>
          <w:rFonts w:ascii="黑体" w:hAnsi="黑体" w:eastAsia="黑体" w:cs="黑体"/>
          <w:spacing w:val="-2"/>
          <w:sz w:val="24"/>
          <w:szCs w:val="24"/>
        </w:rPr>
        <w:t>承包人的进入权</w:t>
      </w:r>
    </w:p>
    <w:p w14:paraId="13E69E1F">
      <w:pPr>
        <w:spacing w:before="127" w:line="339" w:lineRule="auto"/>
        <w:ind w:left="25" w:right="90" w:firstLine="419"/>
        <w:rPr>
          <w:rFonts w:ascii="宋体" w:hAnsi="宋体" w:eastAsia="宋体" w:cs="宋体"/>
          <w:sz w:val="21"/>
          <w:szCs w:val="21"/>
        </w:rPr>
      </w:pPr>
      <w:r>
        <w:rPr>
          <w:rFonts w:ascii="宋体" w:hAnsi="宋体" w:eastAsia="宋体" w:cs="宋体"/>
          <w:spacing w:val="-2"/>
          <w:sz w:val="21"/>
          <w:szCs w:val="21"/>
        </w:rPr>
        <w:t>缺陷责任期内承包人为缺陷修复工作需要，有权进入工程现场，但应遵守</w:t>
      </w:r>
      <w:r>
        <w:rPr>
          <w:rFonts w:ascii="宋体" w:hAnsi="宋体" w:eastAsia="宋体" w:cs="宋体"/>
          <w:spacing w:val="-3"/>
          <w:sz w:val="21"/>
          <w:szCs w:val="21"/>
        </w:rPr>
        <w:t>发包人的保安</w:t>
      </w:r>
      <w:r>
        <w:rPr>
          <w:rFonts w:ascii="宋体" w:hAnsi="宋体" w:eastAsia="宋体" w:cs="宋体"/>
          <w:spacing w:val="-6"/>
          <w:sz w:val="21"/>
          <w:szCs w:val="21"/>
        </w:rPr>
        <w:t>和保密规定。</w:t>
      </w:r>
    </w:p>
    <w:p w14:paraId="4685BE0A">
      <w:pPr>
        <w:spacing w:before="1" w:line="231" w:lineRule="auto"/>
        <w:ind w:left="44"/>
        <w:outlineLvl w:val="1"/>
        <w:rPr>
          <w:rFonts w:ascii="黑体" w:hAnsi="黑体" w:eastAsia="黑体" w:cs="黑体"/>
          <w:sz w:val="24"/>
          <w:szCs w:val="24"/>
        </w:rPr>
      </w:pPr>
      <w:bookmarkStart w:id="190" w:name="bookmark167"/>
      <w:bookmarkEnd w:id="190"/>
      <w:r>
        <w:rPr>
          <w:rFonts w:ascii="Times New Roman" w:hAnsi="Times New Roman" w:eastAsia="Times New Roman" w:cs="Times New Roman"/>
          <w:spacing w:val="-2"/>
          <w:sz w:val="24"/>
          <w:szCs w:val="24"/>
        </w:rPr>
        <w:t xml:space="preserve">19.6  </w:t>
      </w:r>
      <w:r>
        <w:rPr>
          <w:rFonts w:ascii="黑体" w:hAnsi="黑体" w:eastAsia="黑体" w:cs="黑体"/>
          <w:spacing w:val="-2"/>
          <w:sz w:val="24"/>
          <w:szCs w:val="24"/>
        </w:rPr>
        <w:t>缺陷责任期终止证书</w:t>
      </w:r>
    </w:p>
    <w:p w14:paraId="324BCDEB">
      <w:pPr>
        <w:spacing w:before="129" w:line="335" w:lineRule="auto"/>
        <w:ind w:left="26" w:right="83" w:firstLine="417"/>
        <w:rPr>
          <w:rFonts w:ascii="宋体" w:hAnsi="宋体" w:eastAsia="宋体" w:cs="宋体"/>
          <w:sz w:val="21"/>
          <w:szCs w:val="21"/>
        </w:rPr>
      </w:pPr>
      <w:r>
        <w:rPr>
          <w:rFonts w:ascii="宋体" w:hAnsi="宋体" w:eastAsia="宋体" w:cs="宋体"/>
          <w:spacing w:val="-6"/>
          <w:sz w:val="21"/>
          <w:szCs w:val="21"/>
        </w:rPr>
        <w:t xml:space="preserve">在第 </w:t>
      </w:r>
      <w:r>
        <w:fldChar w:fldCharType="begin"/>
      </w:r>
      <w:r>
        <w:instrText xml:space="preserve"> HYPERLINK "1.1.4.5" </w:instrText>
      </w:r>
      <w:r>
        <w:fldChar w:fldCharType="separate"/>
      </w:r>
      <w:r>
        <w:rPr>
          <w:rFonts w:ascii="Times New Roman" w:hAnsi="Times New Roman" w:eastAsia="Times New Roman" w:cs="Times New Roman"/>
          <w:spacing w:val="-6"/>
          <w:sz w:val="21"/>
          <w:szCs w:val="21"/>
        </w:rPr>
        <w:t>1.1.4.5</w:t>
      </w:r>
      <w:r>
        <w:rPr>
          <w:rFonts w:ascii="Times New Roman" w:hAnsi="Times New Roman" w:eastAsia="Times New Roman" w:cs="Times New Roman"/>
          <w:spacing w:val="-6"/>
          <w:sz w:val="21"/>
          <w:szCs w:val="21"/>
        </w:rPr>
        <w:fldChar w:fldCharType="end"/>
      </w:r>
      <w:r>
        <w:rPr>
          <w:rFonts w:ascii="Times New Roman" w:hAnsi="Times New Roman" w:eastAsia="Times New Roman" w:cs="Times New Roman"/>
          <w:spacing w:val="-6"/>
          <w:sz w:val="21"/>
          <w:szCs w:val="21"/>
        </w:rPr>
        <w:t xml:space="preserve">  </w:t>
      </w:r>
      <w:r>
        <w:rPr>
          <w:rFonts w:ascii="宋体" w:hAnsi="宋体" w:eastAsia="宋体" w:cs="宋体"/>
          <w:spacing w:val="-6"/>
          <w:sz w:val="21"/>
          <w:szCs w:val="21"/>
        </w:rPr>
        <w:t>目约定的缺陷责任期，包括根据第</w:t>
      </w:r>
      <w:r>
        <w:rPr>
          <w:rFonts w:ascii="宋体" w:hAnsi="宋体" w:eastAsia="宋体" w:cs="宋体"/>
          <w:spacing w:val="-18"/>
          <w:sz w:val="21"/>
          <w:szCs w:val="21"/>
        </w:rPr>
        <w:t xml:space="preserve"> </w:t>
      </w:r>
      <w:r>
        <w:rPr>
          <w:rFonts w:ascii="Times New Roman" w:hAnsi="Times New Roman" w:eastAsia="Times New Roman" w:cs="Times New Roman"/>
          <w:spacing w:val="-6"/>
          <w:sz w:val="21"/>
          <w:szCs w:val="21"/>
        </w:rPr>
        <w:t>19.3</w:t>
      </w:r>
      <w:r>
        <w:rPr>
          <w:rFonts w:ascii="Times New Roman" w:hAnsi="Times New Roman" w:eastAsia="Times New Roman" w:cs="Times New Roman"/>
          <w:spacing w:val="18"/>
          <w:sz w:val="21"/>
          <w:szCs w:val="21"/>
        </w:rPr>
        <w:t xml:space="preserve"> </w:t>
      </w:r>
      <w:r>
        <w:rPr>
          <w:rFonts w:ascii="宋体" w:hAnsi="宋体" w:eastAsia="宋体" w:cs="宋体"/>
          <w:spacing w:val="-6"/>
          <w:sz w:val="21"/>
          <w:szCs w:val="21"/>
        </w:rPr>
        <w:t>款延长的期限终止后</w:t>
      </w:r>
      <w:r>
        <w:rPr>
          <w:rFonts w:ascii="宋体" w:hAnsi="宋体" w:eastAsia="宋体" w:cs="宋体"/>
          <w:spacing w:val="-22"/>
          <w:sz w:val="21"/>
          <w:szCs w:val="21"/>
        </w:rPr>
        <w:t xml:space="preserve"> </w:t>
      </w:r>
      <w:r>
        <w:rPr>
          <w:rFonts w:ascii="Times New Roman" w:hAnsi="Times New Roman" w:eastAsia="Times New Roman" w:cs="Times New Roman"/>
          <w:spacing w:val="-6"/>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6"/>
          <w:sz w:val="21"/>
          <w:szCs w:val="21"/>
        </w:rPr>
        <w:t>天内，由监</w:t>
      </w:r>
      <w:r>
        <w:rPr>
          <w:rFonts w:ascii="宋体" w:hAnsi="宋体" w:eastAsia="宋体" w:cs="宋体"/>
          <w:spacing w:val="-1"/>
          <w:sz w:val="21"/>
          <w:szCs w:val="21"/>
        </w:rPr>
        <w:t>理人向承包人出具经发包人签认的缺陷责任期终止证书，并退还剩余的质量保证金。</w:t>
      </w:r>
    </w:p>
    <w:p w14:paraId="15BEB78B">
      <w:pPr>
        <w:spacing w:before="8" w:line="232" w:lineRule="auto"/>
        <w:ind w:left="44"/>
        <w:outlineLvl w:val="1"/>
        <w:rPr>
          <w:rFonts w:ascii="黑体" w:hAnsi="黑体" w:eastAsia="黑体" w:cs="黑体"/>
          <w:sz w:val="24"/>
          <w:szCs w:val="24"/>
        </w:rPr>
      </w:pPr>
      <w:bookmarkStart w:id="191" w:name="bookmark168"/>
      <w:bookmarkEnd w:id="191"/>
      <w:r>
        <w:rPr>
          <w:rFonts w:ascii="Times New Roman" w:hAnsi="Times New Roman" w:eastAsia="Times New Roman" w:cs="Times New Roman"/>
          <w:spacing w:val="-3"/>
          <w:sz w:val="24"/>
          <w:szCs w:val="24"/>
        </w:rPr>
        <w:t xml:space="preserve">19.7  </w:t>
      </w:r>
      <w:r>
        <w:rPr>
          <w:rFonts w:ascii="黑体" w:hAnsi="黑体" w:eastAsia="黑体" w:cs="黑体"/>
          <w:spacing w:val="-3"/>
          <w:sz w:val="24"/>
          <w:szCs w:val="24"/>
        </w:rPr>
        <w:t>保修责任</w:t>
      </w:r>
    </w:p>
    <w:p w14:paraId="7B208857">
      <w:pPr>
        <w:spacing w:before="130" w:line="351" w:lineRule="auto"/>
        <w:ind w:left="25" w:firstLine="420"/>
        <w:jc w:val="both"/>
        <w:rPr>
          <w:rFonts w:ascii="宋体" w:hAnsi="宋体" w:eastAsia="宋体" w:cs="宋体"/>
          <w:sz w:val="21"/>
          <w:szCs w:val="21"/>
        </w:rPr>
      </w:pPr>
      <w:r>
        <w:rPr>
          <w:rFonts w:ascii="宋体" w:hAnsi="宋体" w:eastAsia="宋体" w:cs="宋体"/>
          <w:spacing w:val="-5"/>
          <w:sz w:val="21"/>
          <w:szCs w:val="21"/>
        </w:rPr>
        <w:t>合同当事人根据有关法律规定，在专用合同条款中约定工程质量保修范</w:t>
      </w:r>
      <w:r>
        <w:rPr>
          <w:rFonts w:ascii="宋体" w:hAnsi="宋体" w:eastAsia="宋体" w:cs="宋体"/>
          <w:spacing w:val="-6"/>
          <w:sz w:val="21"/>
          <w:szCs w:val="21"/>
        </w:rPr>
        <w:t>围、期限和责任。</w:t>
      </w:r>
      <w:r>
        <w:rPr>
          <w:rFonts w:ascii="宋体" w:hAnsi="宋体" w:eastAsia="宋体" w:cs="宋体"/>
          <w:sz w:val="21"/>
          <w:szCs w:val="21"/>
        </w:rPr>
        <w:t>保修期自实际竣工日期起计算。在全部工程竣工验收前，已经发包人提前验收的单位工</w:t>
      </w:r>
      <w:r>
        <w:rPr>
          <w:rFonts w:ascii="宋体" w:hAnsi="宋体" w:eastAsia="宋体" w:cs="宋体"/>
          <w:spacing w:val="-1"/>
          <w:sz w:val="21"/>
          <w:szCs w:val="21"/>
        </w:rPr>
        <w:t>程，</w:t>
      </w:r>
      <w:r>
        <w:rPr>
          <w:rFonts w:ascii="宋体" w:hAnsi="宋体" w:eastAsia="宋体" w:cs="宋体"/>
          <w:spacing w:val="-3"/>
          <w:sz w:val="21"/>
          <w:szCs w:val="21"/>
        </w:rPr>
        <w:t>其保修期的起算日期相应提前。</w:t>
      </w:r>
    </w:p>
    <w:p w14:paraId="29C3201E">
      <w:pPr>
        <w:spacing w:before="43" w:line="237" w:lineRule="auto"/>
        <w:ind w:left="21"/>
        <w:outlineLvl w:val="0"/>
        <w:rPr>
          <w:rFonts w:ascii="黑体" w:hAnsi="黑体" w:eastAsia="黑体" w:cs="黑体"/>
          <w:sz w:val="28"/>
          <w:szCs w:val="28"/>
        </w:rPr>
      </w:pPr>
      <w:bookmarkStart w:id="192" w:name="bookmark170"/>
      <w:bookmarkEnd w:id="192"/>
      <w:bookmarkStart w:id="193" w:name="bookmark169"/>
      <w:bookmarkEnd w:id="193"/>
      <w:r>
        <w:rPr>
          <w:rFonts w:ascii="Times New Roman" w:hAnsi="Times New Roman" w:eastAsia="Times New Roman" w:cs="Times New Roman"/>
          <w:sz w:val="28"/>
          <w:szCs w:val="28"/>
        </w:rPr>
        <w:t>20.</w:t>
      </w:r>
      <w:r>
        <w:rPr>
          <w:rFonts w:ascii="Times New Roman" w:hAnsi="Times New Roman" w:eastAsia="Times New Roman" w:cs="Times New Roman"/>
          <w:spacing w:val="12"/>
          <w:sz w:val="28"/>
          <w:szCs w:val="28"/>
        </w:rPr>
        <w:t xml:space="preserve">  </w:t>
      </w:r>
      <w:r>
        <w:rPr>
          <w:rFonts w:ascii="黑体" w:hAnsi="黑体" w:eastAsia="黑体" w:cs="黑体"/>
          <w:sz w:val="28"/>
          <w:szCs w:val="28"/>
        </w:rPr>
        <w:t>保险</w:t>
      </w:r>
    </w:p>
    <w:p w14:paraId="292ADC79">
      <w:pPr>
        <w:spacing w:before="69" w:line="233" w:lineRule="auto"/>
        <w:ind w:left="21"/>
        <w:outlineLvl w:val="1"/>
        <w:rPr>
          <w:rFonts w:ascii="黑体" w:hAnsi="黑体" w:eastAsia="黑体" w:cs="黑体"/>
          <w:sz w:val="24"/>
          <w:szCs w:val="24"/>
        </w:rPr>
      </w:pPr>
      <w:bookmarkStart w:id="194" w:name="bookmark649"/>
      <w:bookmarkEnd w:id="194"/>
      <w:r>
        <w:rPr>
          <w:rFonts w:ascii="Times New Roman" w:hAnsi="Times New Roman" w:eastAsia="Times New Roman" w:cs="Times New Roman"/>
          <w:spacing w:val="-1"/>
          <w:sz w:val="24"/>
          <w:szCs w:val="24"/>
        </w:rPr>
        <w:t xml:space="preserve">20.1  </w:t>
      </w:r>
      <w:r>
        <w:rPr>
          <w:rFonts w:ascii="黑体" w:hAnsi="黑体" w:eastAsia="黑体" w:cs="黑体"/>
          <w:spacing w:val="-1"/>
          <w:sz w:val="24"/>
          <w:szCs w:val="24"/>
        </w:rPr>
        <w:t>工程保险</w:t>
      </w:r>
    </w:p>
    <w:p w14:paraId="2F94C044">
      <w:pPr>
        <w:spacing w:before="114" w:line="331" w:lineRule="auto"/>
        <w:ind w:left="25" w:right="73" w:firstLine="431"/>
        <w:jc w:val="both"/>
        <w:rPr>
          <w:rFonts w:ascii="宋体" w:hAnsi="宋体" w:eastAsia="宋体" w:cs="宋体"/>
          <w:sz w:val="21"/>
          <w:szCs w:val="21"/>
        </w:rPr>
      </w:pPr>
      <w:r>
        <w:rPr>
          <w:rFonts w:ascii="宋体" w:hAnsi="宋体" w:eastAsia="宋体" w:cs="宋体"/>
          <w:spacing w:val="-3"/>
          <w:sz w:val="21"/>
          <w:szCs w:val="21"/>
        </w:rPr>
        <w:t>除专用合同条款另有约定外，承包人应以发包人和承包人的共同名义向双方同意的保险</w:t>
      </w:r>
      <w:r>
        <w:rPr>
          <w:rFonts w:ascii="宋体" w:hAnsi="宋体" w:eastAsia="宋体" w:cs="宋体"/>
          <w:spacing w:val="-2"/>
          <w:sz w:val="21"/>
          <w:szCs w:val="21"/>
        </w:rPr>
        <w:t>人投保建筑工程一切险、安装工程一切险。其具体的投保内容、保险金额、保险费率、保险期限等有关内容在专用合同条款中约定。</w:t>
      </w:r>
    </w:p>
    <w:p w14:paraId="70286A2A">
      <w:pPr>
        <w:spacing w:before="2" w:line="231" w:lineRule="auto"/>
        <w:ind w:left="21"/>
        <w:outlineLvl w:val="1"/>
        <w:rPr>
          <w:rFonts w:ascii="黑体" w:hAnsi="黑体" w:eastAsia="黑体" w:cs="黑体"/>
          <w:sz w:val="24"/>
          <w:szCs w:val="24"/>
        </w:rPr>
      </w:pPr>
      <w:bookmarkStart w:id="195" w:name="bookmark171"/>
      <w:bookmarkEnd w:id="195"/>
      <w:r>
        <w:rPr>
          <w:rFonts w:ascii="Times New Roman" w:hAnsi="Times New Roman" w:eastAsia="Times New Roman" w:cs="Times New Roman"/>
          <w:sz w:val="24"/>
          <w:szCs w:val="24"/>
        </w:rPr>
        <w:t xml:space="preserve">20.2  </w:t>
      </w:r>
      <w:r>
        <w:rPr>
          <w:rFonts w:ascii="黑体" w:hAnsi="黑体" w:eastAsia="黑体" w:cs="黑体"/>
          <w:sz w:val="24"/>
          <w:szCs w:val="24"/>
        </w:rPr>
        <w:t>人员工伤事故的保险</w:t>
      </w:r>
    </w:p>
    <w:p w14:paraId="253236DD">
      <w:pPr>
        <w:spacing w:before="99" w:line="232" w:lineRule="auto"/>
        <w:ind w:left="440"/>
        <w:rPr>
          <w:rFonts w:ascii="黑体" w:hAnsi="黑体" w:eastAsia="黑体" w:cs="黑体"/>
          <w:sz w:val="21"/>
          <w:szCs w:val="21"/>
        </w:rPr>
      </w:pPr>
      <w:r>
        <w:rPr>
          <w:rFonts w:ascii="Times New Roman" w:hAnsi="Times New Roman" w:eastAsia="Times New Roman" w:cs="Times New Roman"/>
          <w:sz w:val="21"/>
          <w:szCs w:val="21"/>
        </w:rPr>
        <w:t>20.2.1</w:t>
      </w:r>
      <w:r>
        <w:rPr>
          <w:rFonts w:ascii="Times New Roman" w:hAnsi="Times New Roman" w:eastAsia="Times New Roman" w:cs="Times New Roman"/>
          <w:spacing w:val="52"/>
          <w:w w:val="101"/>
          <w:sz w:val="21"/>
          <w:szCs w:val="21"/>
        </w:rPr>
        <w:t xml:space="preserve"> </w:t>
      </w:r>
      <w:r>
        <w:rPr>
          <w:rFonts w:ascii="黑体" w:hAnsi="黑体" w:eastAsia="黑体" w:cs="黑体"/>
          <w:sz w:val="21"/>
          <w:szCs w:val="21"/>
        </w:rPr>
        <w:t>承包人员工伤事故的保险</w:t>
      </w:r>
    </w:p>
    <w:p w14:paraId="54679C2C">
      <w:pPr>
        <w:spacing w:before="127" w:line="330" w:lineRule="auto"/>
        <w:ind w:left="25" w:right="97" w:firstLine="419"/>
        <w:rPr>
          <w:rFonts w:ascii="宋体" w:hAnsi="宋体" w:eastAsia="宋体" w:cs="宋体"/>
          <w:sz w:val="21"/>
          <w:szCs w:val="21"/>
        </w:rPr>
      </w:pPr>
      <w:r>
        <w:rPr>
          <w:rFonts w:ascii="宋体" w:hAnsi="宋体" w:eastAsia="宋体" w:cs="宋体"/>
          <w:spacing w:val="-2"/>
          <w:sz w:val="21"/>
          <w:szCs w:val="21"/>
        </w:rPr>
        <w:t>承包人应依照有关法律规定参加工伤保险，为其履行合同</w:t>
      </w:r>
      <w:r>
        <w:rPr>
          <w:rFonts w:ascii="宋体" w:hAnsi="宋体" w:eastAsia="宋体" w:cs="宋体"/>
          <w:spacing w:val="-3"/>
          <w:sz w:val="21"/>
          <w:szCs w:val="21"/>
        </w:rPr>
        <w:t>所雇佣的全部人员，缴纳工伤</w:t>
      </w:r>
      <w:r>
        <w:rPr>
          <w:rFonts w:ascii="宋体" w:hAnsi="宋体" w:eastAsia="宋体" w:cs="宋体"/>
          <w:spacing w:val="-2"/>
          <w:sz w:val="21"/>
          <w:szCs w:val="21"/>
        </w:rPr>
        <w:t>保险费，并要求其分包人也进行此项保险。</w:t>
      </w:r>
    </w:p>
    <w:p w14:paraId="32ED9D3E">
      <w:pPr>
        <w:spacing w:before="1" w:line="231" w:lineRule="auto"/>
        <w:ind w:left="440"/>
        <w:rPr>
          <w:rFonts w:ascii="黑体" w:hAnsi="黑体" w:eastAsia="黑体" w:cs="黑体"/>
          <w:sz w:val="21"/>
          <w:szCs w:val="21"/>
        </w:rPr>
      </w:pPr>
      <w:r>
        <w:rPr>
          <w:rFonts w:ascii="Times New Roman" w:hAnsi="Times New Roman" w:eastAsia="Times New Roman" w:cs="Times New Roman"/>
          <w:sz w:val="21"/>
          <w:szCs w:val="21"/>
        </w:rPr>
        <w:t>20.2.2</w:t>
      </w:r>
      <w:r>
        <w:rPr>
          <w:rFonts w:ascii="Times New Roman" w:hAnsi="Times New Roman" w:eastAsia="Times New Roman" w:cs="Times New Roman"/>
          <w:spacing w:val="53"/>
          <w:sz w:val="21"/>
          <w:szCs w:val="21"/>
        </w:rPr>
        <w:t xml:space="preserve"> </w:t>
      </w:r>
      <w:r>
        <w:rPr>
          <w:rFonts w:ascii="黑体" w:hAnsi="黑体" w:eastAsia="黑体" w:cs="黑体"/>
          <w:sz w:val="21"/>
          <w:szCs w:val="21"/>
        </w:rPr>
        <w:t>发包人员工伤事故的保险</w:t>
      </w:r>
    </w:p>
    <w:p w14:paraId="2316A188">
      <w:pPr>
        <w:spacing w:before="127" w:line="325" w:lineRule="auto"/>
        <w:ind w:left="35" w:right="97" w:firstLine="412"/>
        <w:rPr>
          <w:rFonts w:ascii="宋体" w:hAnsi="宋体" w:eastAsia="宋体" w:cs="宋体"/>
          <w:sz w:val="21"/>
          <w:szCs w:val="21"/>
        </w:rPr>
      </w:pPr>
      <w:r>
        <w:rPr>
          <w:rFonts w:ascii="宋体" w:hAnsi="宋体" w:eastAsia="宋体" w:cs="宋体"/>
          <w:spacing w:val="-2"/>
          <w:sz w:val="21"/>
          <w:szCs w:val="21"/>
        </w:rPr>
        <w:t>发包人应依照有关法律规定参加工伤保险，为其</w:t>
      </w:r>
      <w:r>
        <w:rPr>
          <w:rFonts w:ascii="宋体" w:hAnsi="宋体" w:eastAsia="宋体" w:cs="宋体"/>
          <w:spacing w:val="-3"/>
          <w:sz w:val="21"/>
          <w:szCs w:val="21"/>
        </w:rPr>
        <w:t>现场机构雇佣的全部人员，缴纳工伤保险费，并要求其监理人也进行此项保险。</w:t>
      </w:r>
    </w:p>
    <w:p w14:paraId="594CD1E1">
      <w:pPr>
        <w:spacing w:before="1" w:line="231" w:lineRule="auto"/>
        <w:ind w:left="21"/>
        <w:outlineLvl w:val="1"/>
        <w:rPr>
          <w:rFonts w:ascii="黑体" w:hAnsi="黑体" w:eastAsia="黑体" w:cs="黑体"/>
          <w:sz w:val="24"/>
          <w:szCs w:val="24"/>
        </w:rPr>
      </w:pPr>
      <w:bookmarkStart w:id="196" w:name="bookmark172"/>
      <w:bookmarkEnd w:id="196"/>
      <w:r>
        <w:rPr>
          <w:rFonts w:ascii="Times New Roman" w:hAnsi="Times New Roman" w:eastAsia="Times New Roman" w:cs="Times New Roman"/>
          <w:spacing w:val="-1"/>
          <w:sz w:val="24"/>
          <w:szCs w:val="24"/>
        </w:rPr>
        <w:t xml:space="preserve">20.3  </w:t>
      </w:r>
      <w:r>
        <w:rPr>
          <w:rFonts w:ascii="黑体" w:hAnsi="黑体" w:eastAsia="黑体" w:cs="黑体"/>
          <w:spacing w:val="-1"/>
          <w:sz w:val="24"/>
          <w:szCs w:val="24"/>
        </w:rPr>
        <w:t>人身意外伤害险</w:t>
      </w:r>
    </w:p>
    <w:p w14:paraId="19A727C3">
      <w:pPr>
        <w:spacing w:before="116" w:line="322" w:lineRule="auto"/>
        <w:ind w:left="22" w:right="32" w:firstLine="418"/>
        <w:rPr>
          <w:rFonts w:ascii="宋体" w:hAnsi="宋体" w:eastAsia="宋体" w:cs="宋体"/>
          <w:sz w:val="21"/>
          <w:szCs w:val="21"/>
        </w:rPr>
      </w:pPr>
      <w:r>
        <w:rPr>
          <w:rFonts w:ascii="Times New Roman" w:hAnsi="Times New Roman" w:eastAsia="Times New Roman" w:cs="Times New Roman"/>
          <w:sz w:val="21"/>
          <w:szCs w:val="21"/>
        </w:rPr>
        <w:t xml:space="preserve">20.3.1  </w:t>
      </w:r>
      <w:r>
        <w:rPr>
          <w:rFonts w:ascii="宋体" w:hAnsi="宋体" w:eastAsia="宋体" w:cs="宋体"/>
          <w:sz w:val="21"/>
          <w:szCs w:val="21"/>
        </w:rPr>
        <w:t>发包人应在整个施工期间为其现</w:t>
      </w:r>
      <w:r>
        <w:rPr>
          <w:rFonts w:ascii="宋体" w:hAnsi="宋体" w:eastAsia="宋体" w:cs="宋体"/>
          <w:spacing w:val="-1"/>
          <w:sz w:val="21"/>
          <w:szCs w:val="21"/>
        </w:rPr>
        <w:t>场机构雇用的全部人员，投保人身意外伤害险，</w:t>
      </w:r>
      <w:r>
        <w:rPr>
          <w:rFonts w:ascii="宋体" w:hAnsi="宋体" w:eastAsia="宋体" w:cs="宋体"/>
          <w:spacing w:val="-2"/>
          <w:sz w:val="21"/>
          <w:szCs w:val="21"/>
        </w:rPr>
        <w:t>缴纳保险费，并要求其监理人也进行此项保险。</w:t>
      </w:r>
    </w:p>
    <w:p w14:paraId="0E373AC0">
      <w:pPr>
        <w:spacing w:before="31" w:line="323" w:lineRule="auto"/>
        <w:ind w:left="22" w:right="31" w:firstLine="418"/>
        <w:rPr>
          <w:rFonts w:ascii="宋体" w:hAnsi="宋体" w:eastAsia="宋体" w:cs="宋体"/>
          <w:sz w:val="21"/>
          <w:szCs w:val="21"/>
        </w:rPr>
      </w:pPr>
      <w:r>
        <w:rPr>
          <w:rFonts w:ascii="Times New Roman" w:hAnsi="Times New Roman" w:eastAsia="Times New Roman" w:cs="Times New Roman"/>
          <w:sz w:val="21"/>
          <w:szCs w:val="21"/>
        </w:rPr>
        <w:t xml:space="preserve">20.3.2  </w:t>
      </w:r>
      <w:r>
        <w:rPr>
          <w:rFonts w:ascii="宋体" w:hAnsi="宋体" w:eastAsia="宋体" w:cs="宋体"/>
          <w:sz w:val="21"/>
          <w:szCs w:val="21"/>
        </w:rPr>
        <w:t>承包人应在整个施工期间为其现场</w:t>
      </w:r>
      <w:r>
        <w:rPr>
          <w:rFonts w:ascii="宋体" w:hAnsi="宋体" w:eastAsia="宋体" w:cs="宋体"/>
          <w:spacing w:val="-1"/>
          <w:sz w:val="21"/>
          <w:szCs w:val="21"/>
        </w:rPr>
        <w:t>机构雇用的全部人员，投保人身意外伤害险，</w:t>
      </w:r>
      <w:r>
        <w:rPr>
          <w:rFonts w:ascii="宋体" w:hAnsi="宋体" w:eastAsia="宋体" w:cs="宋体"/>
          <w:spacing w:val="-2"/>
          <w:sz w:val="21"/>
          <w:szCs w:val="21"/>
        </w:rPr>
        <w:t>缴纳保险费，并要求其分包人也进行此项保险。</w:t>
      </w:r>
    </w:p>
    <w:p w14:paraId="58F14108">
      <w:pPr>
        <w:spacing w:before="6" w:line="232" w:lineRule="auto"/>
        <w:ind w:left="21"/>
        <w:outlineLvl w:val="1"/>
        <w:rPr>
          <w:rFonts w:ascii="黑体" w:hAnsi="黑体" w:eastAsia="黑体" w:cs="黑体"/>
          <w:sz w:val="24"/>
          <w:szCs w:val="24"/>
        </w:rPr>
      </w:pPr>
      <w:bookmarkStart w:id="197" w:name="bookmark173"/>
      <w:bookmarkEnd w:id="197"/>
      <w:r>
        <w:rPr>
          <w:rFonts w:ascii="Times New Roman" w:hAnsi="Times New Roman" w:eastAsia="Times New Roman" w:cs="Times New Roman"/>
          <w:spacing w:val="-1"/>
          <w:sz w:val="24"/>
          <w:szCs w:val="24"/>
        </w:rPr>
        <w:t xml:space="preserve">20.4  </w:t>
      </w:r>
      <w:r>
        <w:rPr>
          <w:rFonts w:ascii="黑体" w:hAnsi="黑体" w:eastAsia="黑体" w:cs="黑体"/>
          <w:spacing w:val="-1"/>
          <w:sz w:val="24"/>
          <w:szCs w:val="24"/>
        </w:rPr>
        <w:t>第三者责任险</w:t>
      </w:r>
    </w:p>
    <w:p w14:paraId="3ACB9955">
      <w:pPr>
        <w:spacing w:before="116" w:line="334" w:lineRule="auto"/>
        <w:ind w:left="25" w:right="76"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20.4.1  </w:t>
      </w:r>
      <w:r>
        <w:rPr>
          <w:rFonts w:ascii="宋体" w:hAnsi="宋体" w:eastAsia="宋体" w:cs="宋体"/>
          <w:spacing w:val="-1"/>
          <w:sz w:val="21"/>
          <w:szCs w:val="21"/>
        </w:rPr>
        <w:t>第三者责任系指在保险期内，对</w:t>
      </w:r>
      <w:r>
        <w:rPr>
          <w:rFonts w:ascii="宋体" w:hAnsi="宋体" w:eastAsia="宋体" w:cs="宋体"/>
          <w:spacing w:val="-2"/>
          <w:sz w:val="21"/>
          <w:szCs w:val="21"/>
        </w:rPr>
        <w:t>因工程意外事故造成的、依法应由被保险人负责</w:t>
      </w:r>
      <w:r>
        <w:rPr>
          <w:rFonts w:ascii="宋体" w:hAnsi="宋体" w:eastAsia="宋体" w:cs="宋体"/>
          <w:spacing w:val="-3"/>
          <w:sz w:val="21"/>
          <w:szCs w:val="21"/>
        </w:rPr>
        <w:t>的工地上及毗邻地区的第三者人身伤亡、疾病或财产损失（本工程除外</w:t>
      </w:r>
      <w:r>
        <w:rPr>
          <w:rFonts w:ascii="宋体" w:hAnsi="宋体" w:eastAsia="宋体" w:cs="宋体"/>
          <w:spacing w:val="-2"/>
          <w:sz w:val="21"/>
          <w:szCs w:val="21"/>
        </w:rPr>
        <w:t>），</w:t>
      </w:r>
      <w:r>
        <w:rPr>
          <w:rFonts w:ascii="宋体" w:hAnsi="宋体" w:eastAsia="宋体" w:cs="宋体"/>
          <w:spacing w:val="-3"/>
          <w:sz w:val="21"/>
          <w:szCs w:val="21"/>
        </w:rPr>
        <w:t>以及被保险人因</w:t>
      </w:r>
      <w:r>
        <w:rPr>
          <w:rFonts w:ascii="宋体" w:hAnsi="宋体" w:eastAsia="宋体" w:cs="宋体"/>
          <w:spacing w:val="-1"/>
          <w:sz w:val="21"/>
          <w:szCs w:val="21"/>
        </w:rPr>
        <w:t>此而支付的诉讼费用和事先经保险人书面同意支付的其他费用等赔偿责任。</w:t>
      </w:r>
    </w:p>
    <w:p w14:paraId="1150E5C9">
      <w:pPr>
        <w:spacing w:line="232"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20.4.2  </w:t>
      </w:r>
      <w:r>
        <w:rPr>
          <w:rFonts w:ascii="宋体" w:hAnsi="宋体" w:eastAsia="宋体" w:cs="宋体"/>
          <w:spacing w:val="-1"/>
          <w:sz w:val="21"/>
          <w:szCs w:val="21"/>
        </w:rPr>
        <w:t>在缺陷责任期终止证书颁发前，承包</w:t>
      </w:r>
      <w:r>
        <w:rPr>
          <w:rFonts w:ascii="宋体" w:hAnsi="宋体" w:eastAsia="宋体" w:cs="宋体"/>
          <w:spacing w:val="-2"/>
          <w:sz w:val="21"/>
          <w:szCs w:val="21"/>
        </w:rPr>
        <w:t>人应以承包人和发包人的共同名义，投保第</w:t>
      </w:r>
    </w:p>
    <w:p w14:paraId="06A14238">
      <w:pPr>
        <w:spacing w:line="232" w:lineRule="auto"/>
        <w:rPr>
          <w:rFonts w:ascii="宋体" w:hAnsi="宋体" w:eastAsia="宋体" w:cs="宋体"/>
          <w:sz w:val="21"/>
          <w:szCs w:val="21"/>
        </w:rPr>
        <w:sectPr>
          <w:footerReference r:id="rId104" w:type="default"/>
          <w:pgSz w:w="11910" w:h="16845"/>
          <w:pgMar w:top="400" w:right="1689" w:bottom="1110" w:left="1786" w:header="0" w:footer="883" w:gutter="0"/>
          <w:cols w:space="720" w:num="1"/>
        </w:sectPr>
      </w:pPr>
    </w:p>
    <w:p w14:paraId="24927CCD">
      <w:pPr>
        <w:pStyle w:val="2"/>
        <w:spacing w:line="271" w:lineRule="auto"/>
      </w:pPr>
    </w:p>
    <w:p w14:paraId="1C958E1F">
      <w:pPr>
        <w:pStyle w:val="2"/>
        <w:spacing w:line="271" w:lineRule="auto"/>
      </w:pPr>
    </w:p>
    <w:p w14:paraId="31549E63">
      <w:pPr>
        <w:pStyle w:val="2"/>
        <w:spacing w:line="272" w:lineRule="auto"/>
      </w:pPr>
    </w:p>
    <w:p w14:paraId="1FB2AFA3">
      <w:pPr>
        <w:pStyle w:val="2"/>
        <w:spacing w:line="272" w:lineRule="auto"/>
      </w:pPr>
    </w:p>
    <w:p w14:paraId="50102C29">
      <w:pPr>
        <w:spacing w:before="68" w:line="233" w:lineRule="auto"/>
        <w:ind w:left="20"/>
        <w:rPr>
          <w:rFonts w:ascii="宋体" w:hAnsi="宋体" w:eastAsia="宋体" w:cs="宋体"/>
          <w:sz w:val="21"/>
          <w:szCs w:val="21"/>
        </w:rPr>
      </w:pPr>
      <w:r>
        <w:rPr>
          <w:rFonts w:ascii="Times New Roman" w:hAnsi="Times New Roman" w:eastAsia="Times New Roman" w:cs="Times New Roman"/>
          <w:sz w:val="21"/>
          <w:szCs w:val="21"/>
        </w:rPr>
        <w:t>20.4.1</w:t>
      </w:r>
      <w:r>
        <w:rPr>
          <w:rFonts w:ascii="Times New Roman" w:hAnsi="Times New Roman" w:eastAsia="Times New Roman" w:cs="Times New Roman"/>
          <w:spacing w:val="35"/>
          <w:sz w:val="21"/>
          <w:szCs w:val="21"/>
        </w:rPr>
        <w:t xml:space="preserve"> </w:t>
      </w:r>
      <w:r>
        <w:rPr>
          <w:rFonts w:ascii="宋体" w:hAnsi="宋体" w:eastAsia="宋体" w:cs="宋体"/>
          <w:sz w:val="21"/>
          <w:szCs w:val="21"/>
        </w:rPr>
        <w:t>项约定的第三者责任险，其保险费率、保险金额等有关内容在专用合同条款中约定。</w:t>
      </w:r>
    </w:p>
    <w:p w14:paraId="6ED49AFE">
      <w:pPr>
        <w:spacing w:before="99" w:line="233" w:lineRule="auto"/>
        <w:ind w:left="21"/>
        <w:outlineLvl w:val="1"/>
        <w:rPr>
          <w:rFonts w:ascii="黑体" w:hAnsi="黑体" w:eastAsia="黑体" w:cs="黑体"/>
          <w:sz w:val="24"/>
          <w:szCs w:val="24"/>
        </w:rPr>
      </w:pPr>
      <w:bookmarkStart w:id="198" w:name="bookmark174"/>
      <w:bookmarkEnd w:id="198"/>
      <w:r>
        <w:rPr>
          <w:rFonts w:ascii="Times New Roman" w:hAnsi="Times New Roman" w:eastAsia="Times New Roman" w:cs="Times New Roman"/>
          <w:spacing w:val="-2"/>
          <w:sz w:val="24"/>
          <w:szCs w:val="24"/>
        </w:rPr>
        <w:t>20.5</w:t>
      </w:r>
      <w:r>
        <w:rPr>
          <w:rFonts w:ascii="Times New Roman" w:hAnsi="Times New Roman" w:eastAsia="Times New Roman" w:cs="Times New Roman"/>
          <w:spacing w:val="7"/>
          <w:sz w:val="24"/>
          <w:szCs w:val="24"/>
        </w:rPr>
        <w:t xml:space="preserve">  </w:t>
      </w:r>
      <w:r>
        <w:rPr>
          <w:rFonts w:ascii="黑体" w:hAnsi="黑体" w:eastAsia="黑体" w:cs="黑体"/>
          <w:spacing w:val="-2"/>
          <w:sz w:val="24"/>
          <w:szCs w:val="24"/>
        </w:rPr>
        <w:t>其他保险</w:t>
      </w:r>
    </w:p>
    <w:p w14:paraId="4FD5EDE6">
      <w:pPr>
        <w:spacing w:before="112" w:line="332" w:lineRule="auto"/>
        <w:ind w:left="35" w:right="88" w:firstLine="421"/>
        <w:rPr>
          <w:rFonts w:ascii="宋体" w:hAnsi="宋体" w:eastAsia="宋体" w:cs="宋体"/>
          <w:sz w:val="21"/>
          <w:szCs w:val="21"/>
        </w:rPr>
      </w:pPr>
      <w:r>
        <w:rPr>
          <w:rFonts w:ascii="宋体" w:hAnsi="宋体" w:eastAsia="宋体" w:cs="宋体"/>
          <w:spacing w:val="-2"/>
          <w:sz w:val="21"/>
          <w:szCs w:val="21"/>
        </w:rPr>
        <w:t>除专用合同条款另有约定外，承包人应为其</w:t>
      </w:r>
      <w:r>
        <w:rPr>
          <w:rFonts w:ascii="宋体" w:hAnsi="宋体" w:eastAsia="宋体" w:cs="宋体"/>
          <w:spacing w:val="-3"/>
          <w:sz w:val="21"/>
          <w:szCs w:val="21"/>
        </w:rPr>
        <w:t>施工设备、进场的材料和工程设备等办理保</w:t>
      </w:r>
      <w:r>
        <w:rPr>
          <w:rFonts w:ascii="宋体" w:hAnsi="宋体" w:eastAsia="宋体" w:cs="宋体"/>
          <w:spacing w:val="-13"/>
          <w:sz w:val="21"/>
          <w:szCs w:val="21"/>
        </w:rPr>
        <w:t>险。</w:t>
      </w:r>
    </w:p>
    <w:p w14:paraId="0B07D2B7">
      <w:pPr>
        <w:spacing w:before="1" w:line="231" w:lineRule="auto"/>
        <w:ind w:left="21"/>
        <w:outlineLvl w:val="1"/>
        <w:rPr>
          <w:rFonts w:ascii="黑体" w:hAnsi="黑体" w:eastAsia="黑体" w:cs="黑体"/>
          <w:sz w:val="24"/>
          <w:szCs w:val="24"/>
        </w:rPr>
      </w:pPr>
      <w:bookmarkStart w:id="199" w:name="bookmark175"/>
      <w:bookmarkEnd w:id="199"/>
      <w:r>
        <w:rPr>
          <w:rFonts w:ascii="Times New Roman" w:hAnsi="Times New Roman" w:eastAsia="Times New Roman" w:cs="Times New Roman"/>
          <w:spacing w:val="-1"/>
          <w:sz w:val="24"/>
          <w:szCs w:val="24"/>
        </w:rPr>
        <w:t xml:space="preserve">20.6  </w:t>
      </w:r>
      <w:r>
        <w:rPr>
          <w:rFonts w:ascii="黑体" w:hAnsi="黑体" w:eastAsia="黑体" w:cs="黑体"/>
          <w:spacing w:val="-1"/>
          <w:sz w:val="24"/>
          <w:szCs w:val="24"/>
        </w:rPr>
        <w:t>对各项保险的一般要求</w:t>
      </w:r>
    </w:p>
    <w:p w14:paraId="3A7BBFED">
      <w:pPr>
        <w:spacing w:before="99" w:line="232" w:lineRule="auto"/>
        <w:ind w:left="440"/>
        <w:rPr>
          <w:rFonts w:ascii="黑体" w:hAnsi="黑体" w:eastAsia="黑体" w:cs="黑体"/>
          <w:sz w:val="21"/>
          <w:szCs w:val="21"/>
        </w:rPr>
      </w:pPr>
      <w:r>
        <w:rPr>
          <w:rFonts w:ascii="Times New Roman" w:hAnsi="Times New Roman" w:eastAsia="Times New Roman" w:cs="Times New Roman"/>
          <w:sz w:val="21"/>
          <w:szCs w:val="21"/>
        </w:rPr>
        <w:t>20.6.1</w:t>
      </w:r>
      <w:r>
        <w:rPr>
          <w:rFonts w:ascii="Times New Roman" w:hAnsi="Times New Roman" w:eastAsia="Times New Roman" w:cs="Times New Roman"/>
          <w:spacing w:val="50"/>
          <w:sz w:val="21"/>
          <w:szCs w:val="21"/>
        </w:rPr>
        <w:t xml:space="preserve"> </w:t>
      </w:r>
      <w:r>
        <w:rPr>
          <w:rFonts w:ascii="黑体" w:hAnsi="黑体" w:eastAsia="黑体" w:cs="黑体"/>
          <w:sz w:val="21"/>
          <w:szCs w:val="21"/>
        </w:rPr>
        <w:t>保险凭证</w:t>
      </w:r>
    </w:p>
    <w:p w14:paraId="3565DAD5">
      <w:pPr>
        <w:spacing w:before="127" w:line="330" w:lineRule="auto"/>
        <w:ind w:left="25" w:right="106" w:firstLine="419"/>
        <w:rPr>
          <w:rFonts w:ascii="宋体" w:hAnsi="宋体" w:eastAsia="宋体" w:cs="宋体"/>
          <w:sz w:val="21"/>
          <w:szCs w:val="21"/>
        </w:rPr>
      </w:pPr>
      <w:r>
        <w:rPr>
          <w:rFonts w:ascii="宋体" w:hAnsi="宋体" w:eastAsia="宋体" w:cs="宋体"/>
          <w:spacing w:val="3"/>
          <w:sz w:val="21"/>
          <w:szCs w:val="21"/>
        </w:rPr>
        <w:t>承包人应在专用合同条款约定的期限内向发包人提交各项保险生效的证据和保险单副</w:t>
      </w:r>
      <w:r>
        <w:rPr>
          <w:rFonts w:ascii="宋体" w:hAnsi="宋体" w:eastAsia="宋体" w:cs="宋体"/>
          <w:spacing w:val="-1"/>
          <w:sz w:val="21"/>
          <w:szCs w:val="21"/>
        </w:rPr>
        <w:t>本，保险单必须与专用合同条款约定的条件保持一致。</w:t>
      </w:r>
    </w:p>
    <w:p w14:paraId="71D3C715">
      <w:pPr>
        <w:spacing w:line="232" w:lineRule="auto"/>
        <w:ind w:left="440"/>
        <w:rPr>
          <w:rFonts w:ascii="黑体" w:hAnsi="黑体" w:eastAsia="黑体" w:cs="黑体"/>
          <w:sz w:val="21"/>
          <w:szCs w:val="21"/>
        </w:rPr>
      </w:pPr>
      <w:r>
        <w:rPr>
          <w:rFonts w:ascii="Times New Roman" w:hAnsi="Times New Roman" w:eastAsia="Times New Roman" w:cs="Times New Roman"/>
          <w:sz w:val="21"/>
          <w:szCs w:val="21"/>
        </w:rPr>
        <w:t>20.6.2</w:t>
      </w:r>
      <w:r>
        <w:rPr>
          <w:rFonts w:ascii="Times New Roman" w:hAnsi="Times New Roman" w:eastAsia="Times New Roman" w:cs="Times New Roman"/>
          <w:spacing w:val="51"/>
          <w:w w:val="101"/>
          <w:sz w:val="21"/>
          <w:szCs w:val="21"/>
        </w:rPr>
        <w:t xml:space="preserve"> </w:t>
      </w:r>
      <w:r>
        <w:rPr>
          <w:rFonts w:ascii="黑体" w:hAnsi="黑体" w:eastAsia="黑体" w:cs="黑体"/>
          <w:sz w:val="21"/>
          <w:szCs w:val="21"/>
        </w:rPr>
        <w:t>保险合同条款的变动</w:t>
      </w:r>
    </w:p>
    <w:p w14:paraId="4A822A6D">
      <w:pPr>
        <w:spacing w:before="126" w:line="330" w:lineRule="auto"/>
        <w:ind w:left="24" w:right="94" w:firstLine="420"/>
        <w:rPr>
          <w:rFonts w:ascii="宋体" w:hAnsi="宋体" w:eastAsia="宋体" w:cs="宋体"/>
          <w:sz w:val="21"/>
          <w:szCs w:val="21"/>
        </w:rPr>
      </w:pPr>
      <w:r>
        <w:rPr>
          <w:rFonts w:ascii="宋体" w:hAnsi="宋体" w:eastAsia="宋体" w:cs="宋体"/>
          <w:spacing w:val="-2"/>
          <w:sz w:val="21"/>
          <w:szCs w:val="21"/>
        </w:rPr>
        <w:t>承包人需要变动保险合同条款时，应事先征得发包人同意，</w:t>
      </w:r>
      <w:r>
        <w:rPr>
          <w:rFonts w:ascii="宋体" w:hAnsi="宋体" w:eastAsia="宋体" w:cs="宋体"/>
          <w:spacing w:val="-3"/>
          <w:sz w:val="21"/>
          <w:szCs w:val="21"/>
        </w:rPr>
        <w:t>并通知监理人。保险人作出</w:t>
      </w:r>
      <w:r>
        <w:rPr>
          <w:rFonts w:ascii="宋体" w:hAnsi="宋体" w:eastAsia="宋体" w:cs="宋体"/>
          <w:spacing w:val="-1"/>
          <w:sz w:val="21"/>
          <w:szCs w:val="21"/>
        </w:rPr>
        <w:t>变动的，承包人应在收到保险人通知后立即通知发包人和监理人。</w:t>
      </w:r>
    </w:p>
    <w:p w14:paraId="4A0A5BE2">
      <w:pPr>
        <w:spacing w:before="1" w:line="233" w:lineRule="auto"/>
        <w:ind w:left="440"/>
        <w:rPr>
          <w:rFonts w:ascii="黑体" w:hAnsi="黑体" w:eastAsia="黑体" w:cs="黑体"/>
          <w:sz w:val="21"/>
          <w:szCs w:val="21"/>
        </w:rPr>
      </w:pPr>
      <w:r>
        <w:rPr>
          <w:rFonts w:ascii="Times New Roman" w:hAnsi="Times New Roman" w:eastAsia="Times New Roman" w:cs="Times New Roman"/>
          <w:sz w:val="21"/>
          <w:szCs w:val="21"/>
        </w:rPr>
        <w:t>20.6.3</w:t>
      </w:r>
      <w:r>
        <w:rPr>
          <w:rFonts w:ascii="Times New Roman" w:hAnsi="Times New Roman" w:eastAsia="Times New Roman" w:cs="Times New Roman"/>
          <w:spacing w:val="50"/>
          <w:w w:val="101"/>
          <w:sz w:val="21"/>
          <w:szCs w:val="21"/>
        </w:rPr>
        <w:t xml:space="preserve"> </w:t>
      </w:r>
      <w:r>
        <w:rPr>
          <w:rFonts w:ascii="黑体" w:hAnsi="黑体" w:eastAsia="黑体" w:cs="黑体"/>
          <w:sz w:val="21"/>
          <w:szCs w:val="21"/>
        </w:rPr>
        <w:t>持续保险</w:t>
      </w:r>
    </w:p>
    <w:p w14:paraId="0E1FB565">
      <w:pPr>
        <w:spacing w:before="124" w:line="330" w:lineRule="auto"/>
        <w:ind w:left="25" w:right="88" w:firstLine="419"/>
        <w:rPr>
          <w:rFonts w:ascii="宋体" w:hAnsi="宋体" w:eastAsia="宋体" w:cs="宋体"/>
          <w:sz w:val="21"/>
          <w:szCs w:val="21"/>
        </w:rPr>
      </w:pPr>
      <w:r>
        <w:rPr>
          <w:rFonts w:ascii="宋体" w:hAnsi="宋体" w:eastAsia="宋体" w:cs="宋体"/>
          <w:spacing w:val="-2"/>
          <w:sz w:val="21"/>
          <w:szCs w:val="21"/>
        </w:rPr>
        <w:t>承包人应与保险人保持联系，使保险人能够随时了解工程实施中的变动，</w:t>
      </w:r>
      <w:r>
        <w:rPr>
          <w:rFonts w:ascii="宋体" w:hAnsi="宋体" w:eastAsia="宋体" w:cs="宋体"/>
          <w:spacing w:val="-3"/>
          <w:sz w:val="21"/>
          <w:szCs w:val="21"/>
        </w:rPr>
        <w:t>并确保按保险合同条款要求持续保险。</w:t>
      </w:r>
    </w:p>
    <w:p w14:paraId="5FC7CEB8">
      <w:pPr>
        <w:spacing w:before="1" w:line="233" w:lineRule="auto"/>
        <w:ind w:left="440"/>
        <w:rPr>
          <w:rFonts w:ascii="黑体" w:hAnsi="黑体" w:eastAsia="黑体" w:cs="黑体"/>
          <w:sz w:val="21"/>
          <w:szCs w:val="21"/>
        </w:rPr>
      </w:pPr>
      <w:r>
        <w:rPr>
          <w:rFonts w:ascii="Times New Roman" w:hAnsi="Times New Roman" w:eastAsia="Times New Roman" w:cs="Times New Roman"/>
          <w:sz w:val="21"/>
          <w:szCs w:val="21"/>
        </w:rPr>
        <w:t>20.6.4</w:t>
      </w:r>
      <w:r>
        <w:rPr>
          <w:rFonts w:ascii="Times New Roman" w:hAnsi="Times New Roman" w:eastAsia="Times New Roman" w:cs="Times New Roman"/>
          <w:spacing w:val="51"/>
          <w:w w:val="101"/>
          <w:sz w:val="21"/>
          <w:szCs w:val="21"/>
        </w:rPr>
        <w:t xml:space="preserve"> </w:t>
      </w:r>
      <w:r>
        <w:rPr>
          <w:rFonts w:ascii="黑体" w:hAnsi="黑体" w:eastAsia="黑体" w:cs="黑体"/>
          <w:sz w:val="21"/>
          <w:szCs w:val="21"/>
        </w:rPr>
        <w:t>保险金不足的补偿</w:t>
      </w:r>
    </w:p>
    <w:p w14:paraId="163942B4">
      <w:pPr>
        <w:spacing w:before="124" w:line="220" w:lineRule="auto"/>
        <w:ind w:left="445"/>
        <w:rPr>
          <w:rFonts w:ascii="宋体" w:hAnsi="宋体" w:eastAsia="宋体" w:cs="宋体"/>
          <w:sz w:val="21"/>
          <w:szCs w:val="21"/>
        </w:rPr>
      </w:pPr>
      <w:r>
        <w:rPr>
          <w:rFonts w:ascii="宋体" w:hAnsi="宋体" w:eastAsia="宋体" w:cs="宋体"/>
          <w:spacing w:val="-1"/>
          <w:sz w:val="21"/>
          <w:szCs w:val="21"/>
        </w:rPr>
        <w:t>保险金不足以补偿损失的，应由承包人和（或）发包人按合同约定负责补偿。</w:t>
      </w:r>
    </w:p>
    <w:p w14:paraId="00F94346">
      <w:pPr>
        <w:spacing w:before="126" w:line="233" w:lineRule="auto"/>
        <w:ind w:left="440"/>
        <w:rPr>
          <w:rFonts w:ascii="黑体" w:hAnsi="黑体" w:eastAsia="黑体" w:cs="黑体"/>
          <w:sz w:val="21"/>
          <w:szCs w:val="21"/>
        </w:rPr>
      </w:pPr>
      <w:r>
        <w:rPr>
          <w:rFonts w:ascii="Times New Roman" w:hAnsi="Times New Roman" w:eastAsia="Times New Roman" w:cs="Times New Roman"/>
          <w:sz w:val="21"/>
          <w:szCs w:val="21"/>
        </w:rPr>
        <w:t>20.6.5</w:t>
      </w:r>
      <w:r>
        <w:rPr>
          <w:rFonts w:ascii="Times New Roman" w:hAnsi="Times New Roman" w:eastAsia="Times New Roman" w:cs="Times New Roman"/>
          <w:spacing w:val="52"/>
          <w:sz w:val="21"/>
          <w:szCs w:val="21"/>
        </w:rPr>
        <w:t xml:space="preserve"> </w:t>
      </w:r>
      <w:r>
        <w:rPr>
          <w:rFonts w:ascii="黑体" w:hAnsi="黑体" w:eastAsia="黑体" w:cs="黑体"/>
          <w:sz w:val="21"/>
          <w:szCs w:val="21"/>
        </w:rPr>
        <w:t>未按约定投保的补救</w:t>
      </w:r>
    </w:p>
    <w:p w14:paraId="34636B63">
      <w:pPr>
        <w:spacing w:before="109" w:line="336" w:lineRule="auto"/>
        <w:ind w:left="41" w:right="103" w:firstLine="408"/>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）由于负有投保义务的一方当事人未按合同约定办理保险，或未能使保险持续有效</w:t>
      </w:r>
      <w:r>
        <w:rPr>
          <w:rFonts w:ascii="宋体" w:hAnsi="宋体" w:eastAsia="宋体" w:cs="宋体"/>
          <w:spacing w:val="-2"/>
          <w:sz w:val="21"/>
          <w:szCs w:val="21"/>
        </w:rPr>
        <w:t>的，另一方当事人可代为办理，所需费用由对方当事人承担。</w:t>
      </w:r>
    </w:p>
    <w:p w14:paraId="7B581093">
      <w:pPr>
        <w:spacing w:before="2" w:line="323" w:lineRule="auto"/>
        <w:ind w:left="29" w:right="106" w:firstLine="42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）由于负有投保义务的一方当事人未按合同约定办理某项保险，导致受益人未能得</w:t>
      </w:r>
      <w:r>
        <w:rPr>
          <w:rFonts w:ascii="宋体" w:hAnsi="宋体" w:eastAsia="宋体" w:cs="宋体"/>
          <w:spacing w:val="-1"/>
          <w:sz w:val="21"/>
          <w:szCs w:val="21"/>
        </w:rPr>
        <w:t>到保险人的赔偿，原应从该项保险得到的保险金应由负有投保义务的一方当事人支付。</w:t>
      </w:r>
    </w:p>
    <w:p w14:paraId="5418E578">
      <w:pPr>
        <w:spacing w:before="31" w:line="232" w:lineRule="auto"/>
        <w:ind w:left="440"/>
        <w:rPr>
          <w:rFonts w:ascii="黑体" w:hAnsi="黑体" w:eastAsia="黑体" w:cs="黑体"/>
          <w:sz w:val="21"/>
          <w:szCs w:val="21"/>
        </w:rPr>
      </w:pPr>
      <w:r>
        <w:rPr>
          <w:rFonts w:ascii="Times New Roman" w:hAnsi="Times New Roman" w:eastAsia="Times New Roman" w:cs="Times New Roman"/>
          <w:sz w:val="21"/>
          <w:szCs w:val="21"/>
        </w:rPr>
        <w:t>20.6.6</w:t>
      </w:r>
      <w:r>
        <w:rPr>
          <w:rFonts w:ascii="Times New Roman" w:hAnsi="Times New Roman" w:eastAsia="Times New Roman" w:cs="Times New Roman"/>
          <w:spacing w:val="50"/>
          <w:sz w:val="21"/>
          <w:szCs w:val="21"/>
        </w:rPr>
        <w:t xml:space="preserve"> </w:t>
      </w:r>
      <w:r>
        <w:rPr>
          <w:rFonts w:ascii="黑体" w:hAnsi="黑体" w:eastAsia="黑体" w:cs="黑体"/>
          <w:sz w:val="21"/>
          <w:szCs w:val="21"/>
        </w:rPr>
        <w:t>报告义务</w:t>
      </w:r>
    </w:p>
    <w:p w14:paraId="28042A67">
      <w:pPr>
        <w:spacing w:before="126" w:line="218" w:lineRule="auto"/>
        <w:ind w:left="457"/>
        <w:rPr>
          <w:rFonts w:ascii="宋体" w:hAnsi="宋体" w:eastAsia="宋体" w:cs="宋体"/>
          <w:sz w:val="21"/>
          <w:szCs w:val="21"/>
        </w:rPr>
      </w:pPr>
      <w:r>
        <w:rPr>
          <w:rFonts w:ascii="宋体" w:hAnsi="宋体" w:eastAsia="宋体" w:cs="宋体"/>
          <w:spacing w:val="-1"/>
          <w:sz w:val="21"/>
          <w:szCs w:val="21"/>
        </w:rPr>
        <w:t>当保险事故发生时，投保人应按照保险单规定的条件和期限及时向保险人报告。</w:t>
      </w:r>
    </w:p>
    <w:p w14:paraId="3725A101">
      <w:pPr>
        <w:spacing w:before="198" w:line="236" w:lineRule="auto"/>
        <w:ind w:left="21"/>
        <w:outlineLvl w:val="0"/>
        <w:rPr>
          <w:rFonts w:ascii="黑体" w:hAnsi="黑体" w:eastAsia="黑体" w:cs="黑体"/>
          <w:sz w:val="28"/>
          <w:szCs w:val="28"/>
        </w:rPr>
      </w:pPr>
      <w:bookmarkStart w:id="200" w:name="bookmark177"/>
      <w:bookmarkEnd w:id="200"/>
      <w:bookmarkStart w:id="201" w:name="bookmark176"/>
      <w:bookmarkEnd w:id="201"/>
      <w:r>
        <w:rPr>
          <w:rFonts w:ascii="Times New Roman" w:hAnsi="Times New Roman" w:eastAsia="Times New Roman" w:cs="Times New Roman"/>
          <w:spacing w:val="3"/>
          <w:sz w:val="28"/>
          <w:szCs w:val="28"/>
        </w:rPr>
        <w:t>21.</w:t>
      </w:r>
      <w:r>
        <w:rPr>
          <w:rFonts w:ascii="Times New Roman" w:hAnsi="Times New Roman" w:eastAsia="Times New Roman" w:cs="Times New Roman"/>
          <w:spacing w:val="14"/>
          <w:sz w:val="28"/>
          <w:szCs w:val="28"/>
        </w:rPr>
        <w:t xml:space="preserve">  </w:t>
      </w:r>
      <w:r>
        <w:rPr>
          <w:rFonts w:ascii="黑体" w:hAnsi="黑体" w:eastAsia="黑体" w:cs="黑体"/>
          <w:spacing w:val="3"/>
          <w:sz w:val="28"/>
          <w:szCs w:val="28"/>
        </w:rPr>
        <w:t>不可抗力</w:t>
      </w:r>
    </w:p>
    <w:p w14:paraId="54ABC73B">
      <w:pPr>
        <w:spacing w:before="72" w:line="232" w:lineRule="auto"/>
        <w:ind w:left="21"/>
        <w:outlineLvl w:val="1"/>
        <w:rPr>
          <w:rFonts w:ascii="黑体" w:hAnsi="黑体" w:eastAsia="黑体" w:cs="黑体"/>
          <w:sz w:val="24"/>
          <w:szCs w:val="24"/>
        </w:rPr>
      </w:pPr>
      <w:bookmarkStart w:id="202" w:name="bookmark650"/>
      <w:bookmarkEnd w:id="202"/>
      <w:r>
        <w:rPr>
          <w:rFonts w:ascii="Times New Roman" w:hAnsi="Times New Roman" w:eastAsia="Times New Roman" w:cs="Times New Roman"/>
          <w:spacing w:val="-1"/>
          <w:sz w:val="24"/>
          <w:szCs w:val="24"/>
        </w:rPr>
        <w:t xml:space="preserve">21.1  </w:t>
      </w:r>
      <w:r>
        <w:rPr>
          <w:rFonts w:ascii="黑体" w:hAnsi="黑体" w:eastAsia="黑体" w:cs="黑体"/>
          <w:spacing w:val="-1"/>
          <w:sz w:val="24"/>
          <w:szCs w:val="24"/>
        </w:rPr>
        <w:t>不可抗力的确认</w:t>
      </w:r>
    </w:p>
    <w:p w14:paraId="61F883E6">
      <w:pPr>
        <w:spacing w:before="130" w:line="348" w:lineRule="auto"/>
        <w:ind w:left="29" w:firstLine="411"/>
        <w:rPr>
          <w:rFonts w:ascii="宋体" w:hAnsi="宋体" w:eastAsia="宋体" w:cs="宋体"/>
          <w:sz w:val="21"/>
          <w:szCs w:val="21"/>
        </w:rPr>
      </w:pPr>
      <w:r>
        <w:rPr>
          <w:rFonts w:ascii="Times New Roman" w:hAnsi="Times New Roman" w:eastAsia="Times New Roman" w:cs="Times New Roman"/>
          <w:spacing w:val="-1"/>
          <w:sz w:val="21"/>
          <w:szCs w:val="21"/>
        </w:rPr>
        <w:t xml:space="preserve">21.1.1  </w:t>
      </w:r>
      <w:r>
        <w:rPr>
          <w:rFonts w:ascii="宋体" w:hAnsi="宋体" w:eastAsia="宋体" w:cs="宋体"/>
          <w:spacing w:val="-1"/>
          <w:sz w:val="21"/>
          <w:szCs w:val="21"/>
        </w:rPr>
        <w:t>不可抗力是指承包人和发包人在</w:t>
      </w:r>
      <w:r>
        <w:rPr>
          <w:rFonts w:ascii="宋体" w:hAnsi="宋体" w:eastAsia="宋体" w:cs="宋体"/>
          <w:spacing w:val="-2"/>
          <w:sz w:val="21"/>
          <w:szCs w:val="21"/>
        </w:rPr>
        <w:t>订立合同时不可预见，在工程施工过程中不可避</w:t>
      </w:r>
      <w:r>
        <w:rPr>
          <w:rFonts w:ascii="宋体" w:hAnsi="宋体" w:eastAsia="宋体" w:cs="宋体"/>
          <w:spacing w:val="-5"/>
          <w:sz w:val="21"/>
          <w:szCs w:val="21"/>
        </w:rPr>
        <w:t>免发生并不能克服的自然灾害和社会性突发事件，如地震、海啸、瘟疫、水灾、骚乱、</w:t>
      </w:r>
      <w:r>
        <w:rPr>
          <w:rFonts w:ascii="宋体" w:hAnsi="宋体" w:eastAsia="宋体" w:cs="宋体"/>
          <w:spacing w:val="-6"/>
          <w:sz w:val="21"/>
          <w:szCs w:val="21"/>
        </w:rPr>
        <w:t>暴动、</w:t>
      </w:r>
      <w:r>
        <w:rPr>
          <w:rFonts w:ascii="宋体" w:hAnsi="宋体" w:eastAsia="宋体" w:cs="宋体"/>
          <w:spacing w:val="-2"/>
          <w:sz w:val="21"/>
          <w:szCs w:val="21"/>
        </w:rPr>
        <w:t>战争和专用合同条款约定的其他情形。</w:t>
      </w:r>
    </w:p>
    <w:p w14:paraId="3D26D3D5">
      <w:pPr>
        <w:spacing w:before="14" w:line="344" w:lineRule="auto"/>
        <w:ind w:left="23" w:right="77"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21.1.2  </w:t>
      </w:r>
      <w:r>
        <w:rPr>
          <w:rFonts w:ascii="宋体" w:hAnsi="宋体" w:eastAsia="宋体" w:cs="宋体"/>
          <w:spacing w:val="-1"/>
          <w:sz w:val="21"/>
          <w:szCs w:val="21"/>
        </w:rPr>
        <w:t>不可抗力发生后，发包人</w:t>
      </w:r>
      <w:r>
        <w:rPr>
          <w:rFonts w:ascii="宋体" w:hAnsi="宋体" w:eastAsia="宋体" w:cs="宋体"/>
          <w:spacing w:val="-2"/>
          <w:sz w:val="21"/>
          <w:szCs w:val="21"/>
        </w:rPr>
        <w:t>和承包人应及时认真统计所造成的损失，收集不可抗力</w:t>
      </w:r>
      <w:r>
        <w:rPr>
          <w:rFonts w:ascii="宋体" w:hAnsi="宋体" w:eastAsia="宋体" w:cs="宋体"/>
          <w:spacing w:val="3"/>
          <w:sz w:val="21"/>
          <w:szCs w:val="21"/>
        </w:rPr>
        <w:t>造成损失的证据。合同双方对是否属于不可抗力或其损失的意见不一致的，</w:t>
      </w:r>
      <w:r>
        <w:rPr>
          <w:rFonts w:ascii="宋体" w:hAnsi="宋体" w:eastAsia="宋体" w:cs="宋体"/>
          <w:spacing w:val="2"/>
          <w:sz w:val="21"/>
          <w:szCs w:val="21"/>
        </w:rPr>
        <w:t>由监理人按第</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款商定或确定。发生争议时，按第</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条的约定办理。</w:t>
      </w:r>
    </w:p>
    <w:p w14:paraId="6276E9A5">
      <w:pPr>
        <w:spacing w:before="1" w:line="231" w:lineRule="auto"/>
        <w:ind w:left="21"/>
        <w:outlineLvl w:val="1"/>
        <w:rPr>
          <w:rFonts w:ascii="黑体" w:hAnsi="黑体" w:eastAsia="黑体" w:cs="黑体"/>
          <w:sz w:val="24"/>
          <w:szCs w:val="24"/>
        </w:rPr>
      </w:pPr>
      <w:bookmarkStart w:id="203" w:name="bookmark178"/>
      <w:bookmarkEnd w:id="203"/>
      <w:r>
        <w:rPr>
          <w:rFonts w:ascii="Times New Roman" w:hAnsi="Times New Roman" w:eastAsia="Times New Roman" w:cs="Times New Roman"/>
          <w:spacing w:val="-1"/>
          <w:sz w:val="24"/>
          <w:szCs w:val="24"/>
        </w:rPr>
        <w:t xml:space="preserve">21.2  </w:t>
      </w:r>
      <w:r>
        <w:rPr>
          <w:rFonts w:ascii="黑体" w:hAnsi="黑体" w:eastAsia="黑体" w:cs="黑体"/>
          <w:spacing w:val="-1"/>
          <w:sz w:val="24"/>
          <w:szCs w:val="24"/>
        </w:rPr>
        <w:t>不可抗力的通知</w:t>
      </w:r>
    </w:p>
    <w:p w14:paraId="0F6C3331">
      <w:pPr>
        <w:spacing w:before="114" w:line="348" w:lineRule="auto"/>
        <w:ind w:left="25" w:right="27"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21.2.1  </w:t>
      </w:r>
      <w:r>
        <w:rPr>
          <w:rFonts w:ascii="宋体" w:hAnsi="宋体" w:eastAsia="宋体" w:cs="宋体"/>
          <w:spacing w:val="-1"/>
          <w:sz w:val="21"/>
          <w:szCs w:val="21"/>
        </w:rPr>
        <w:t>合同一方当事人遇到不可抗力事</w:t>
      </w:r>
      <w:r>
        <w:rPr>
          <w:rFonts w:ascii="宋体" w:hAnsi="宋体" w:eastAsia="宋体" w:cs="宋体"/>
          <w:spacing w:val="-2"/>
          <w:sz w:val="21"/>
          <w:szCs w:val="21"/>
        </w:rPr>
        <w:t>件，使其履行合同义务受到阻碍时，应立即通知</w:t>
      </w:r>
      <w:r>
        <w:rPr>
          <w:rFonts w:ascii="宋体" w:hAnsi="宋体" w:eastAsia="宋体" w:cs="宋体"/>
          <w:sz w:val="21"/>
          <w:szCs w:val="21"/>
        </w:rPr>
        <w:t>合同另一方当事人和监理人，书面说明不可</w:t>
      </w:r>
      <w:r>
        <w:rPr>
          <w:rFonts w:ascii="宋体" w:hAnsi="宋体" w:eastAsia="宋体" w:cs="宋体"/>
          <w:spacing w:val="-1"/>
          <w:sz w:val="21"/>
          <w:szCs w:val="21"/>
        </w:rPr>
        <w:t>抗力和受阻碍的详细情况，并提供必要的证明。</w:t>
      </w:r>
    </w:p>
    <w:p w14:paraId="3B3657E5">
      <w:pPr>
        <w:spacing w:before="20" w:line="233"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21.2.2  </w:t>
      </w:r>
      <w:r>
        <w:rPr>
          <w:rFonts w:ascii="宋体" w:hAnsi="宋体" w:eastAsia="宋体" w:cs="宋体"/>
          <w:spacing w:val="-1"/>
          <w:sz w:val="21"/>
          <w:szCs w:val="21"/>
        </w:rPr>
        <w:t>如不可抗力持续发生，合同一方</w:t>
      </w:r>
      <w:r>
        <w:rPr>
          <w:rFonts w:ascii="宋体" w:hAnsi="宋体" w:eastAsia="宋体" w:cs="宋体"/>
          <w:spacing w:val="-2"/>
          <w:sz w:val="21"/>
          <w:szCs w:val="21"/>
        </w:rPr>
        <w:t>当事人应及时向合同另一方当事人和监理人提交</w:t>
      </w:r>
    </w:p>
    <w:p w14:paraId="3E01A68E">
      <w:pPr>
        <w:spacing w:line="233" w:lineRule="auto"/>
        <w:rPr>
          <w:rFonts w:ascii="宋体" w:hAnsi="宋体" w:eastAsia="宋体" w:cs="宋体"/>
          <w:sz w:val="21"/>
          <w:szCs w:val="21"/>
        </w:rPr>
        <w:sectPr>
          <w:footerReference r:id="rId105" w:type="default"/>
          <w:pgSz w:w="11910" w:h="16845"/>
          <w:pgMar w:top="400" w:right="1690" w:bottom="1110" w:left="1786" w:header="0" w:footer="883" w:gutter="0"/>
          <w:cols w:space="720" w:num="1"/>
        </w:sectPr>
      </w:pPr>
    </w:p>
    <w:p w14:paraId="0821EF9F">
      <w:pPr>
        <w:pStyle w:val="2"/>
        <w:spacing w:line="275" w:lineRule="auto"/>
      </w:pPr>
    </w:p>
    <w:p w14:paraId="0F44B761">
      <w:pPr>
        <w:pStyle w:val="2"/>
        <w:spacing w:line="275" w:lineRule="auto"/>
      </w:pPr>
    </w:p>
    <w:p w14:paraId="498164A9">
      <w:pPr>
        <w:pStyle w:val="2"/>
        <w:spacing w:line="276" w:lineRule="auto"/>
      </w:pPr>
    </w:p>
    <w:p w14:paraId="5BC18818">
      <w:pPr>
        <w:pStyle w:val="2"/>
        <w:spacing w:line="276" w:lineRule="auto"/>
      </w:pPr>
    </w:p>
    <w:p w14:paraId="36FB8C08">
      <w:pPr>
        <w:spacing w:before="68" w:line="338" w:lineRule="auto"/>
        <w:ind w:left="27" w:right="84" w:firstLine="16"/>
        <w:rPr>
          <w:rFonts w:ascii="宋体" w:hAnsi="宋体" w:eastAsia="宋体" w:cs="宋体"/>
          <w:sz w:val="21"/>
          <w:szCs w:val="21"/>
        </w:rPr>
      </w:pPr>
      <w:r>
        <w:rPr>
          <w:rFonts w:ascii="宋体" w:hAnsi="宋体" w:eastAsia="宋体" w:cs="宋体"/>
          <w:spacing w:val="-1"/>
          <w:sz w:val="21"/>
          <w:szCs w:val="21"/>
        </w:rPr>
        <w:t>中间报告，说明不可抗力和履行合同受阻的情况，并于不可抗力事件结束后</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天内提交最</w:t>
      </w:r>
      <w:r>
        <w:rPr>
          <w:rFonts w:ascii="宋体" w:hAnsi="宋体" w:eastAsia="宋体" w:cs="宋体"/>
          <w:spacing w:val="-4"/>
          <w:sz w:val="21"/>
          <w:szCs w:val="21"/>
        </w:rPr>
        <w:t>终报告及有关资料。</w:t>
      </w:r>
    </w:p>
    <w:p w14:paraId="1A808DA4">
      <w:pPr>
        <w:spacing w:before="1" w:line="231" w:lineRule="auto"/>
        <w:ind w:left="21"/>
        <w:outlineLvl w:val="1"/>
        <w:rPr>
          <w:rFonts w:ascii="黑体" w:hAnsi="黑体" w:eastAsia="黑体" w:cs="黑体"/>
          <w:sz w:val="24"/>
          <w:szCs w:val="24"/>
        </w:rPr>
      </w:pPr>
      <w:bookmarkStart w:id="204" w:name="bookmark179"/>
      <w:bookmarkEnd w:id="204"/>
      <w:r>
        <w:rPr>
          <w:rFonts w:ascii="Times New Roman" w:hAnsi="Times New Roman" w:eastAsia="Times New Roman" w:cs="Times New Roman"/>
          <w:sz w:val="24"/>
          <w:szCs w:val="24"/>
        </w:rPr>
        <w:t xml:space="preserve">21.3  </w:t>
      </w:r>
      <w:r>
        <w:rPr>
          <w:rFonts w:ascii="黑体" w:hAnsi="黑体" w:eastAsia="黑体" w:cs="黑体"/>
          <w:sz w:val="24"/>
          <w:szCs w:val="24"/>
        </w:rPr>
        <w:t>不可抗力后果及其处理</w:t>
      </w:r>
    </w:p>
    <w:p w14:paraId="77DEF747">
      <w:pPr>
        <w:spacing w:before="114" w:line="232" w:lineRule="auto"/>
        <w:ind w:left="440"/>
        <w:rPr>
          <w:rFonts w:ascii="黑体" w:hAnsi="黑体" w:eastAsia="黑体" w:cs="黑体"/>
          <w:sz w:val="21"/>
          <w:szCs w:val="21"/>
        </w:rPr>
      </w:pPr>
      <w:r>
        <w:rPr>
          <w:rFonts w:ascii="Times New Roman" w:hAnsi="Times New Roman" w:eastAsia="Times New Roman" w:cs="Times New Roman"/>
          <w:sz w:val="21"/>
          <w:szCs w:val="21"/>
        </w:rPr>
        <w:t>21.3.1</w:t>
      </w:r>
      <w:r>
        <w:rPr>
          <w:rFonts w:ascii="Times New Roman" w:hAnsi="Times New Roman" w:eastAsia="Times New Roman" w:cs="Times New Roman"/>
          <w:spacing w:val="53"/>
          <w:sz w:val="21"/>
          <w:szCs w:val="21"/>
        </w:rPr>
        <w:t xml:space="preserve"> </w:t>
      </w:r>
      <w:r>
        <w:rPr>
          <w:rFonts w:ascii="黑体" w:hAnsi="黑体" w:eastAsia="黑体" w:cs="黑体"/>
          <w:sz w:val="21"/>
          <w:szCs w:val="21"/>
        </w:rPr>
        <w:t>不可抗力造成损害的责任</w:t>
      </w:r>
    </w:p>
    <w:p w14:paraId="62253C14">
      <w:pPr>
        <w:spacing w:before="127" w:line="356" w:lineRule="auto"/>
        <w:ind w:left="26" w:firstLine="430"/>
        <w:rPr>
          <w:rFonts w:ascii="宋体" w:hAnsi="宋体" w:eastAsia="宋体" w:cs="宋体"/>
          <w:sz w:val="21"/>
          <w:szCs w:val="21"/>
        </w:rPr>
      </w:pPr>
      <w:r>
        <w:rPr>
          <w:rFonts w:ascii="宋体" w:hAnsi="宋体" w:eastAsia="宋体" w:cs="宋体"/>
          <w:sz w:val="21"/>
          <w:szCs w:val="21"/>
        </w:rPr>
        <w:t>除专用合同条款另有约定外，不可抗力导致的人</w:t>
      </w:r>
      <w:r>
        <w:rPr>
          <w:rFonts w:ascii="宋体" w:hAnsi="宋体" w:eastAsia="宋体" w:cs="宋体"/>
          <w:spacing w:val="-1"/>
          <w:sz w:val="21"/>
          <w:szCs w:val="21"/>
        </w:rPr>
        <w:t>员伤亡、财产损失、费用增加和（或）</w:t>
      </w:r>
      <w:r>
        <w:rPr>
          <w:rFonts w:ascii="宋体" w:hAnsi="宋体" w:eastAsia="宋体" w:cs="宋体"/>
          <w:spacing w:val="-3"/>
          <w:sz w:val="21"/>
          <w:szCs w:val="21"/>
        </w:rPr>
        <w:t>工期延误等后果，由合同双方按以下原则承担：</w:t>
      </w:r>
    </w:p>
    <w:p w14:paraId="3520A90A">
      <w:pPr>
        <w:spacing w:before="1" w:line="335" w:lineRule="auto"/>
        <w:ind w:left="25" w:right="104" w:firstLine="72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）永久工程，包括已运至施工场地的材料和工程设备的损害，以及因工程损害造成的第三者人员伤亡和财产损失由发包人承担；</w:t>
      </w:r>
    </w:p>
    <w:p w14:paraId="18ECE2EF">
      <w:pPr>
        <w:spacing w:before="32" w:line="233" w:lineRule="auto"/>
        <w:ind w:left="7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）承包人设备的损坏由承包人承担；</w:t>
      </w:r>
    </w:p>
    <w:p w14:paraId="3AC9B937">
      <w:pPr>
        <w:spacing w:before="141"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）发包人和承包人各自承担其人员伤亡和其他财产损失及其相关费用；</w:t>
      </w:r>
    </w:p>
    <w:p w14:paraId="2F9E90D8">
      <w:pPr>
        <w:spacing w:before="125" w:line="348" w:lineRule="auto"/>
        <w:ind w:left="24" w:right="38" w:firstLine="7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）承包人的停工损失由承包人承担，但停工期间应监理人要求照管工程和清理、</w:t>
      </w:r>
      <w:r>
        <w:rPr>
          <w:rFonts w:ascii="宋体" w:hAnsi="宋体" w:eastAsia="宋体" w:cs="宋体"/>
          <w:spacing w:val="-4"/>
          <w:sz w:val="21"/>
          <w:szCs w:val="21"/>
        </w:rPr>
        <w:t>修复工程的金额由发包人承担；</w:t>
      </w:r>
    </w:p>
    <w:p w14:paraId="1C5E9D18">
      <w:pPr>
        <w:spacing w:before="18" w:line="335" w:lineRule="auto"/>
        <w:ind w:left="25" w:right="73" w:firstLine="7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）不能按期竣工的，应合理延长工期，承包人不需支付逾期竣工违约金。发包人</w:t>
      </w:r>
      <w:r>
        <w:rPr>
          <w:rFonts w:ascii="宋体" w:hAnsi="宋体" w:eastAsia="宋体" w:cs="宋体"/>
          <w:spacing w:val="-1"/>
          <w:sz w:val="21"/>
          <w:szCs w:val="21"/>
        </w:rPr>
        <w:t>要求赶工的，承包人应采取赶工措施，赶工费用由发包人承担。</w:t>
      </w:r>
    </w:p>
    <w:p w14:paraId="3E53BEF7">
      <w:pPr>
        <w:spacing w:before="34" w:line="232" w:lineRule="auto"/>
        <w:ind w:left="440"/>
        <w:rPr>
          <w:rFonts w:ascii="黑体" w:hAnsi="黑体" w:eastAsia="黑体" w:cs="黑体"/>
          <w:sz w:val="21"/>
          <w:szCs w:val="21"/>
        </w:rPr>
      </w:pPr>
      <w:r>
        <w:rPr>
          <w:rFonts w:ascii="Times New Roman" w:hAnsi="Times New Roman" w:eastAsia="Times New Roman" w:cs="Times New Roman"/>
          <w:sz w:val="21"/>
          <w:szCs w:val="21"/>
        </w:rPr>
        <w:t>21.3.2</w:t>
      </w:r>
      <w:r>
        <w:rPr>
          <w:rFonts w:ascii="Times New Roman" w:hAnsi="Times New Roman" w:eastAsia="Times New Roman" w:cs="Times New Roman"/>
          <w:spacing w:val="53"/>
          <w:w w:val="101"/>
          <w:sz w:val="21"/>
          <w:szCs w:val="21"/>
        </w:rPr>
        <w:t xml:space="preserve"> </w:t>
      </w:r>
      <w:r>
        <w:rPr>
          <w:rFonts w:ascii="黑体" w:hAnsi="黑体" w:eastAsia="黑体" w:cs="黑体"/>
          <w:sz w:val="21"/>
          <w:szCs w:val="21"/>
        </w:rPr>
        <w:t>延迟履行期间发生的不可抗力</w:t>
      </w:r>
    </w:p>
    <w:p w14:paraId="0E378A23">
      <w:pPr>
        <w:spacing w:before="141" w:line="220" w:lineRule="auto"/>
        <w:ind w:left="445"/>
        <w:rPr>
          <w:rFonts w:ascii="宋体" w:hAnsi="宋体" w:eastAsia="宋体" w:cs="宋体"/>
          <w:sz w:val="21"/>
          <w:szCs w:val="21"/>
        </w:rPr>
      </w:pPr>
      <w:r>
        <w:rPr>
          <w:rFonts w:ascii="宋体" w:hAnsi="宋体" w:eastAsia="宋体" w:cs="宋体"/>
          <w:spacing w:val="-1"/>
          <w:sz w:val="21"/>
          <w:szCs w:val="21"/>
        </w:rPr>
        <w:t>合同一方当事人延迟履行，在延迟履行期间发生不可抗力的，不免除其责任。</w:t>
      </w:r>
    </w:p>
    <w:p w14:paraId="6446E3C3">
      <w:pPr>
        <w:spacing w:before="140" w:line="232" w:lineRule="auto"/>
        <w:ind w:left="440"/>
        <w:rPr>
          <w:rFonts w:ascii="黑体" w:hAnsi="黑体" w:eastAsia="黑体" w:cs="黑体"/>
          <w:sz w:val="21"/>
          <w:szCs w:val="21"/>
        </w:rPr>
      </w:pPr>
      <w:r>
        <w:rPr>
          <w:rFonts w:ascii="Times New Roman" w:hAnsi="Times New Roman" w:eastAsia="Times New Roman" w:cs="Times New Roman"/>
          <w:sz w:val="21"/>
          <w:szCs w:val="21"/>
        </w:rPr>
        <w:t>21.3.3</w:t>
      </w:r>
      <w:r>
        <w:rPr>
          <w:rFonts w:ascii="Times New Roman" w:hAnsi="Times New Roman" w:eastAsia="Times New Roman" w:cs="Times New Roman"/>
          <w:spacing w:val="52"/>
          <w:w w:val="101"/>
          <w:sz w:val="21"/>
          <w:szCs w:val="21"/>
        </w:rPr>
        <w:t xml:space="preserve"> </w:t>
      </w:r>
      <w:r>
        <w:rPr>
          <w:rFonts w:ascii="黑体" w:hAnsi="黑体" w:eastAsia="黑体" w:cs="黑体"/>
          <w:sz w:val="21"/>
          <w:szCs w:val="21"/>
        </w:rPr>
        <w:t>避免和减少不可抗力损失</w:t>
      </w:r>
    </w:p>
    <w:p w14:paraId="34083C47">
      <w:pPr>
        <w:spacing w:before="141" w:line="350" w:lineRule="auto"/>
        <w:ind w:left="27" w:right="77" w:firstLine="420"/>
        <w:rPr>
          <w:rFonts w:ascii="宋体" w:hAnsi="宋体" w:eastAsia="宋体" w:cs="宋体"/>
          <w:sz w:val="21"/>
          <w:szCs w:val="21"/>
        </w:rPr>
      </w:pPr>
      <w:r>
        <w:rPr>
          <w:rFonts w:ascii="宋体" w:hAnsi="宋体" w:eastAsia="宋体" w:cs="宋体"/>
          <w:spacing w:val="-2"/>
          <w:sz w:val="21"/>
          <w:szCs w:val="21"/>
        </w:rPr>
        <w:t>不可抗力发生后，发包人和承包人均应采取措施尽量避免和减少</w:t>
      </w:r>
      <w:r>
        <w:rPr>
          <w:rFonts w:ascii="宋体" w:hAnsi="宋体" w:eastAsia="宋体" w:cs="宋体"/>
          <w:spacing w:val="-3"/>
          <w:sz w:val="21"/>
          <w:szCs w:val="21"/>
        </w:rPr>
        <w:t>损失的扩大，任何一方</w:t>
      </w:r>
      <w:r>
        <w:rPr>
          <w:rFonts w:ascii="宋体" w:hAnsi="宋体" w:eastAsia="宋体" w:cs="宋体"/>
          <w:spacing w:val="-1"/>
          <w:sz w:val="21"/>
          <w:szCs w:val="21"/>
        </w:rPr>
        <w:t>没有采取有效措施导致损失扩大的，应对扩大的损失承担责任。</w:t>
      </w:r>
    </w:p>
    <w:p w14:paraId="7105ECB2">
      <w:pPr>
        <w:spacing w:before="1" w:line="231" w:lineRule="auto"/>
        <w:ind w:left="440"/>
        <w:rPr>
          <w:rFonts w:ascii="黑体" w:hAnsi="黑体" w:eastAsia="黑体" w:cs="黑体"/>
          <w:sz w:val="21"/>
          <w:szCs w:val="21"/>
        </w:rPr>
      </w:pPr>
      <w:r>
        <w:rPr>
          <w:rFonts w:ascii="Times New Roman" w:hAnsi="Times New Roman" w:eastAsia="Times New Roman" w:cs="Times New Roman"/>
          <w:sz w:val="21"/>
          <w:szCs w:val="21"/>
        </w:rPr>
        <w:t xml:space="preserve">21.3.4  </w:t>
      </w:r>
      <w:r>
        <w:rPr>
          <w:rFonts w:ascii="黑体" w:hAnsi="黑体" w:eastAsia="黑体" w:cs="黑体"/>
          <w:sz w:val="21"/>
          <w:szCs w:val="21"/>
        </w:rPr>
        <w:t>因不可抗力解除合同</w:t>
      </w:r>
    </w:p>
    <w:p w14:paraId="74E16664">
      <w:pPr>
        <w:spacing w:before="140" w:line="356" w:lineRule="auto"/>
        <w:ind w:left="24" w:right="5" w:firstLine="421"/>
        <w:rPr>
          <w:rFonts w:ascii="宋体" w:hAnsi="宋体" w:eastAsia="宋体" w:cs="宋体"/>
          <w:sz w:val="21"/>
          <w:szCs w:val="21"/>
        </w:rPr>
      </w:pPr>
      <w:r>
        <w:rPr>
          <w:rFonts w:ascii="宋体" w:hAnsi="宋体" w:eastAsia="宋体" w:cs="宋体"/>
          <w:spacing w:val="-6"/>
          <w:sz w:val="21"/>
          <w:szCs w:val="21"/>
        </w:rPr>
        <w:t>合同一方当事人因不可抗力不能履行合同的，应当及时通知对方解除合同。合同解除后，</w:t>
      </w:r>
      <w:r>
        <w:rPr>
          <w:rFonts w:ascii="宋体" w:hAnsi="宋体" w:eastAsia="宋体" w:cs="宋体"/>
          <w:spacing w:val="-2"/>
          <w:sz w:val="21"/>
          <w:szCs w:val="21"/>
        </w:rPr>
        <w:t>承包人应按照第</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22.2.5</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项约定撤离施工场地。已经订货的材</w:t>
      </w:r>
      <w:r>
        <w:rPr>
          <w:rFonts w:ascii="宋体" w:hAnsi="宋体" w:eastAsia="宋体" w:cs="宋体"/>
          <w:spacing w:val="-3"/>
          <w:sz w:val="21"/>
          <w:szCs w:val="21"/>
        </w:rPr>
        <w:t>料、设备由订货方负责退货或解</w:t>
      </w:r>
      <w:r>
        <w:rPr>
          <w:rFonts w:ascii="宋体" w:hAnsi="宋体" w:eastAsia="宋体" w:cs="宋体"/>
          <w:spacing w:val="-2"/>
          <w:sz w:val="21"/>
          <w:szCs w:val="21"/>
        </w:rPr>
        <w:t>除订货合同，不能退还的货款和因退货、解除订货合同发生的费用，由发包人承担，因未及</w:t>
      </w:r>
      <w:r>
        <w:rPr>
          <w:rFonts w:ascii="宋体" w:hAnsi="宋体" w:eastAsia="宋体" w:cs="宋体"/>
          <w:spacing w:val="-5"/>
          <w:sz w:val="21"/>
          <w:szCs w:val="21"/>
        </w:rPr>
        <w:t>时退货造成的损失由责任方承担。合同解除后的付款， 参照第</w:t>
      </w:r>
      <w:r>
        <w:rPr>
          <w:rFonts w:ascii="宋体" w:hAnsi="宋体" w:eastAsia="宋体" w:cs="宋体"/>
          <w:spacing w:val="-31"/>
          <w:sz w:val="21"/>
          <w:szCs w:val="21"/>
        </w:rPr>
        <w:t xml:space="preserve"> </w:t>
      </w:r>
      <w:r>
        <w:rPr>
          <w:rFonts w:ascii="Times New Roman" w:hAnsi="Times New Roman" w:eastAsia="Times New Roman" w:cs="Times New Roman"/>
          <w:spacing w:val="-5"/>
          <w:sz w:val="21"/>
          <w:szCs w:val="21"/>
        </w:rPr>
        <w:t>22.2.4</w:t>
      </w:r>
      <w:r>
        <w:rPr>
          <w:rFonts w:ascii="Times New Roman" w:hAnsi="Times New Roman" w:eastAsia="Times New Roman" w:cs="Times New Roman"/>
          <w:spacing w:val="20"/>
          <w:w w:val="101"/>
          <w:sz w:val="21"/>
          <w:szCs w:val="21"/>
        </w:rPr>
        <w:t xml:space="preserve"> </w:t>
      </w:r>
      <w:r>
        <w:rPr>
          <w:rFonts w:ascii="宋体" w:hAnsi="宋体" w:eastAsia="宋体" w:cs="宋体"/>
          <w:spacing w:val="-5"/>
          <w:sz w:val="21"/>
          <w:szCs w:val="21"/>
        </w:rPr>
        <w:t>项约定，由监理人按第</w:t>
      </w:r>
      <w:r>
        <w:rPr>
          <w:rFonts w:ascii="Times New Roman" w:hAnsi="Times New Roman" w:eastAsia="Times New Roman" w:cs="Times New Roman"/>
          <w:spacing w:val="-4"/>
          <w:sz w:val="21"/>
          <w:szCs w:val="21"/>
        </w:rPr>
        <w:t>3.5</w:t>
      </w:r>
      <w:r>
        <w:rPr>
          <w:rFonts w:ascii="Times New Roman" w:hAnsi="Times New Roman" w:eastAsia="Times New Roman" w:cs="Times New Roman"/>
          <w:spacing w:val="23"/>
          <w:sz w:val="21"/>
          <w:szCs w:val="21"/>
        </w:rPr>
        <w:t xml:space="preserve"> </w:t>
      </w:r>
      <w:r>
        <w:rPr>
          <w:rFonts w:ascii="宋体" w:hAnsi="宋体" w:eastAsia="宋体" w:cs="宋体"/>
          <w:spacing w:val="-4"/>
          <w:sz w:val="21"/>
          <w:szCs w:val="21"/>
        </w:rPr>
        <w:t>款商定或确定。</w:t>
      </w:r>
    </w:p>
    <w:p w14:paraId="00986819">
      <w:pPr>
        <w:spacing w:before="14" w:line="238" w:lineRule="auto"/>
        <w:ind w:left="21"/>
        <w:outlineLvl w:val="0"/>
        <w:rPr>
          <w:rFonts w:ascii="黑体" w:hAnsi="黑体" w:eastAsia="黑体" w:cs="黑体"/>
          <w:sz w:val="28"/>
          <w:szCs w:val="28"/>
        </w:rPr>
      </w:pPr>
      <w:bookmarkStart w:id="205" w:name="bookmark180"/>
      <w:bookmarkEnd w:id="205"/>
      <w:bookmarkStart w:id="206" w:name="bookmark181"/>
      <w:bookmarkEnd w:id="206"/>
      <w:r>
        <w:rPr>
          <w:rFonts w:ascii="Times New Roman" w:hAnsi="Times New Roman" w:eastAsia="Times New Roman" w:cs="Times New Roman"/>
          <w:sz w:val="28"/>
          <w:szCs w:val="28"/>
        </w:rPr>
        <w:t>22.</w:t>
      </w:r>
      <w:r>
        <w:rPr>
          <w:rFonts w:ascii="Times New Roman" w:hAnsi="Times New Roman" w:eastAsia="Times New Roman" w:cs="Times New Roman"/>
          <w:spacing w:val="12"/>
          <w:sz w:val="28"/>
          <w:szCs w:val="28"/>
        </w:rPr>
        <w:t xml:space="preserve">  </w:t>
      </w:r>
      <w:r>
        <w:rPr>
          <w:rFonts w:ascii="黑体" w:hAnsi="黑体" w:eastAsia="黑体" w:cs="黑体"/>
          <w:sz w:val="28"/>
          <w:szCs w:val="28"/>
        </w:rPr>
        <w:t>违约</w:t>
      </w:r>
    </w:p>
    <w:p w14:paraId="6A18DBF1">
      <w:pPr>
        <w:spacing w:before="84" w:line="233" w:lineRule="auto"/>
        <w:ind w:left="21"/>
        <w:outlineLvl w:val="1"/>
        <w:rPr>
          <w:rFonts w:ascii="黑体" w:hAnsi="黑体" w:eastAsia="黑体" w:cs="黑体"/>
          <w:sz w:val="24"/>
          <w:szCs w:val="24"/>
        </w:rPr>
      </w:pPr>
      <w:bookmarkStart w:id="207" w:name="bookmark651"/>
      <w:bookmarkEnd w:id="207"/>
      <w:r>
        <w:rPr>
          <w:rFonts w:ascii="Times New Roman" w:hAnsi="Times New Roman" w:eastAsia="Times New Roman" w:cs="Times New Roman"/>
          <w:spacing w:val="-1"/>
          <w:sz w:val="24"/>
          <w:szCs w:val="24"/>
        </w:rPr>
        <w:t xml:space="preserve">22.1  </w:t>
      </w:r>
      <w:r>
        <w:rPr>
          <w:rFonts w:ascii="黑体" w:hAnsi="黑体" w:eastAsia="黑体" w:cs="黑体"/>
          <w:spacing w:val="-1"/>
          <w:sz w:val="24"/>
          <w:szCs w:val="24"/>
        </w:rPr>
        <w:t>承包人违约</w:t>
      </w:r>
    </w:p>
    <w:p w14:paraId="64B584CE">
      <w:pPr>
        <w:spacing w:before="113" w:line="233" w:lineRule="auto"/>
        <w:ind w:left="440"/>
        <w:rPr>
          <w:rFonts w:ascii="黑体" w:hAnsi="黑体" w:eastAsia="黑体" w:cs="黑体"/>
          <w:sz w:val="21"/>
          <w:szCs w:val="21"/>
        </w:rPr>
      </w:pPr>
      <w:r>
        <w:rPr>
          <w:rFonts w:ascii="Times New Roman" w:hAnsi="Times New Roman" w:eastAsia="Times New Roman" w:cs="Times New Roman"/>
          <w:sz w:val="21"/>
          <w:szCs w:val="21"/>
        </w:rPr>
        <w:t>22.1.1</w:t>
      </w:r>
      <w:r>
        <w:rPr>
          <w:rFonts w:ascii="Times New Roman" w:hAnsi="Times New Roman" w:eastAsia="Times New Roman" w:cs="Times New Roman"/>
          <w:spacing w:val="51"/>
          <w:w w:val="101"/>
          <w:sz w:val="21"/>
          <w:szCs w:val="21"/>
        </w:rPr>
        <w:t xml:space="preserve"> </w:t>
      </w:r>
      <w:r>
        <w:rPr>
          <w:rFonts w:ascii="黑体" w:hAnsi="黑体" w:eastAsia="黑体" w:cs="黑体"/>
          <w:sz w:val="21"/>
          <w:szCs w:val="21"/>
        </w:rPr>
        <w:t>承包人违约的情形</w:t>
      </w:r>
    </w:p>
    <w:p w14:paraId="7200A50A">
      <w:pPr>
        <w:spacing w:before="139" w:line="220" w:lineRule="auto"/>
        <w:ind w:left="443"/>
        <w:rPr>
          <w:rFonts w:ascii="宋体" w:hAnsi="宋体" w:eastAsia="宋体" w:cs="宋体"/>
          <w:sz w:val="21"/>
          <w:szCs w:val="21"/>
        </w:rPr>
      </w:pPr>
      <w:r>
        <w:rPr>
          <w:rFonts w:ascii="宋体" w:hAnsi="宋体" w:eastAsia="宋体" w:cs="宋体"/>
          <w:spacing w:val="-2"/>
          <w:sz w:val="21"/>
          <w:szCs w:val="21"/>
        </w:rPr>
        <w:t>在履行合同过程中发生的下列情况属承包人违约：</w:t>
      </w:r>
    </w:p>
    <w:p w14:paraId="015A8A25">
      <w:pPr>
        <w:spacing w:before="155" w:line="336" w:lineRule="auto"/>
        <w:ind w:left="25" w:right="68" w:firstLine="7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）承包人违反第 </w:t>
      </w:r>
      <w:r>
        <w:rPr>
          <w:rFonts w:ascii="Times New Roman" w:hAnsi="Times New Roman" w:eastAsia="Times New Roman" w:cs="Times New Roman"/>
          <w:spacing w:val="-1"/>
          <w:sz w:val="21"/>
          <w:szCs w:val="21"/>
        </w:rPr>
        <w:t>1.8</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款或第</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4.3</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款的约定</w:t>
      </w:r>
      <w:r>
        <w:rPr>
          <w:rFonts w:ascii="宋体" w:hAnsi="宋体" w:eastAsia="宋体" w:cs="宋体"/>
          <w:spacing w:val="-2"/>
          <w:sz w:val="21"/>
          <w:szCs w:val="21"/>
        </w:rPr>
        <w:t>，私自将合同的全部或部分权利转让给其他人，或私自将合同的全部或部分义务转移给其他人；</w:t>
      </w:r>
    </w:p>
    <w:p w14:paraId="5F9E5307">
      <w:pPr>
        <w:spacing w:before="32" w:line="348" w:lineRule="auto"/>
        <w:ind w:left="29" w:right="65" w:firstLine="7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）承包人违反第</w:t>
      </w:r>
      <w:r>
        <w:rPr>
          <w:rFonts w:ascii="宋体" w:hAnsi="宋体" w:eastAsia="宋体" w:cs="宋体"/>
          <w:spacing w:val="-20"/>
          <w:sz w:val="21"/>
          <w:szCs w:val="21"/>
        </w:rPr>
        <w:t xml:space="preserve"> </w:t>
      </w:r>
      <w:r>
        <w:rPr>
          <w:rFonts w:ascii="Times New Roman" w:hAnsi="Times New Roman" w:eastAsia="Times New Roman" w:cs="Times New Roman"/>
          <w:spacing w:val="-1"/>
          <w:sz w:val="21"/>
          <w:szCs w:val="21"/>
        </w:rPr>
        <w:t>5.3</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款或第</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6.4</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款的约定，未经监理人批准，私自将已按合同约</w:t>
      </w:r>
      <w:r>
        <w:rPr>
          <w:rFonts w:ascii="宋体" w:hAnsi="宋体" w:eastAsia="宋体" w:cs="宋体"/>
          <w:spacing w:val="-2"/>
          <w:sz w:val="21"/>
          <w:szCs w:val="21"/>
        </w:rPr>
        <w:t>定进入施工场地的施工设备、临时设施或材料撤离施工场地；</w:t>
      </w:r>
    </w:p>
    <w:p w14:paraId="06AD491A">
      <w:pPr>
        <w:spacing w:before="4"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）承包人违反第</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5.4</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款的约定使用了不合格材料或工程设备，工程质量达</w:t>
      </w:r>
      <w:r>
        <w:rPr>
          <w:rFonts w:ascii="宋体" w:hAnsi="宋体" w:eastAsia="宋体" w:cs="宋体"/>
          <w:spacing w:val="-2"/>
          <w:sz w:val="21"/>
          <w:szCs w:val="21"/>
        </w:rPr>
        <w:t>不到标</w:t>
      </w:r>
    </w:p>
    <w:p w14:paraId="43652417">
      <w:pPr>
        <w:spacing w:line="233" w:lineRule="auto"/>
        <w:rPr>
          <w:rFonts w:ascii="宋体" w:hAnsi="宋体" w:eastAsia="宋体" w:cs="宋体"/>
          <w:sz w:val="21"/>
          <w:szCs w:val="21"/>
        </w:rPr>
        <w:sectPr>
          <w:footerReference r:id="rId106" w:type="default"/>
          <w:pgSz w:w="11910" w:h="16845"/>
          <w:pgMar w:top="400" w:right="1702" w:bottom="1110" w:left="1786" w:header="0" w:footer="883" w:gutter="0"/>
          <w:cols w:space="720" w:num="1"/>
        </w:sectPr>
      </w:pPr>
    </w:p>
    <w:p w14:paraId="6313FD21">
      <w:pPr>
        <w:pStyle w:val="2"/>
        <w:spacing w:line="275" w:lineRule="auto"/>
      </w:pPr>
    </w:p>
    <w:p w14:paraId="2197B458">
      <w:pPr>
        <w:pStyle w:val="2"/>
        <w:spacing w:line="275" w:lineRule="auto"/>
      </w:pPr>
    </w:p>
    <w:p w14:paraId="46B0E46C">
      <w:pPr>
        <w:pStyle w:val="2"/>
        <w:spacing w:line="275" w:lineRule="auto"/>
      </w:pPr>
    </w:p>
    <w:p w14:paraId="5C2E1CF9">
      <w:pPr>
        <w:pStyle w:val="2"/>
        <w:spacing w:line="275" w:lineRule="auto"/>
      </w:pPr>
    </w:p>
    <w:p w14:paraId="0999736C">
      <w:pPr>
        <w:spacing w:before="68" w:line="220" w:lineRule="auto"/>
        <w:ind w:left="25"/>
        <w:rPr>
          <w:rFonts w:ascii="宋体" w:hAnsi="宋体" w:eastAsia="宋体" w:cs="宋体"/>
          <w:sz w:val="21"/>
          <w:szCs w:val="21"/>
        </w:rPr>
      </w:pPr>
      <w:r>
        <w:rPr>
          <w:rFonts w:ascii="宋体" w:hAnsi="宋体" w:eastAsia="宋体" w:cs="宋体"/>
          <w:spacing w:val="-4"/>
          <w:sz w:val="21"/>
          <w:szCs w:val="21"/>
        </w:rPr>
        <w:t>准要求，又拒绝清除不合格工程；</w:t>
      </w:r>
    </w:p>
    <w:p w14:paraId="24C55B03">
      <w:pPr>
        <w:spacing w:before="156" w:line="336" w:lineRule="auto"/>
        <w:ind w:left="25" w:right="89" w:firstLine="7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）承包人未能按合同进度计划及时完成合同约定的工作，已造成或预期造成工期</w:t>
      </w:r>
      <w:r>
        <w:rPr>
          <w:rFonts w:ascii="宋体" w:hAnsi="宋体" w:eastAsia="宋体" w:cs="宋体"/>
          <w:spacing w:val="-13"/>
          <w:sz w:val="21"/>
          <w:szCs w:val="21"/>
        </w:rPr>
        <w:t>延误；</w:t>
      </w:r>
    </w:p>
    <w:p w14:paraId="487C522B">
      <w:pPr>
        <w:spacing w:before="31" w:line="348" w:lineRule="auto"/>
        <w:ind w:left="23" w:right="89" w:firstLine="72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）承包人在缺陷责任期内，未能对工程接收证书所列的缺陷清单的内容或缺陷责任期内发生的缺陷进行修复，而又拒绝按监理人指示再进行修补；</w:t>
      </w:r>
    </w:p>
    <w:p w14:paraId="767AB80D">
      <w:pPr>
        <w:spacing w:before="3"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）承包人无法继续履行或明确表示不履行或实质上已停止履行合同；</w:t>
      </w:r>
    </w:p>
    <w:p w14:paraId="285FBED0">
      <w:pPr>
        <w:spacing w:before="140"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）承包人不按合同约定履行义务的其他情况。</w:t>
      </w:r>
    </w:p>
    <w:p w14:paraId="0F02BB1C">
      <w:pPr>
        <w:spacing w:before="140" w:line="233" w:lineRule="auto"/>
        <w:ind w:left="440"/>
        <w:rPr>
          <w:rFonts w:ascii="黑体" w:hAnsi="黑体" w:eastAsia="黑体" w:cs="黑体"/>
          <w:sz w:val="21"/>
          <w:szCs w:val="21"/>
        </w:rPr>
      </w:pPr>
      <w:r>
        <w:rPr>
          <w:rFonts w:ascii="Times New Roman" w:hAnsi="Times New Roman" w:eastAsia="Times New Roman" w:cs="Times New Roman"/>
          <w:sz w:val="21"/>
          <w:szCs w:val="21"/>
        </w:rPr>
        <w:t>22.1.2</w:t>
      </w:r>
      <w:r>
        <w:rPr>
          <w:rFonts w:ascii="Times New Roman" w:hAnsi="Times New Roman" w:eastAsia="Times New Roman" w:cs="Times New Roman"/>
          <w:spacing w:val="51"/>
          <w:w w:val="101"/>
          <w:sz w:val="21"/>
          <w:szCs w:val="21"/>
        </w:rPr>
        <w:t xml:space="preserve"> </w:t>
      </w:r>
      <w:r>
        <w:rPr>
          <w:rFonts w:ascii="黑体" w:hAnsi="黑体" w:eastAsia="黑体" w:cs="黑体"/>
          <w:sz w:val="21"/>
          <w:szCs w:val="21"/>
        </w:rPr>
        <w:t>对承包人违约的处理</w:t>
      </w:r>
    </w:p>
    <w:p w14:paraId="6537BB67">
      <w:pPr>
        <w:spacing w:before="126" w:line="348" w:lineRule="auto"/>
        <w:ind w:left="36" w:right="111" w:firstLine="713"/>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 xml:space="preserve">）承包人发生第 </w:t>
      </w:r>
      <w:r>
        <w:rPr>
          <w:rFonts w:ascii="Times New Roman" w:hAnsi="Times New Roman" w:eastAsia="Times New Roman" w:cs="Times New Roman"/>
          <w:sz w:val="21"/>
          <w:szCs w:val="21"/>
        </w:rPr>
        <w:t>22.1.1</w:t>
      </w: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）目约定的违约情况时，发包人可通知承包人立即解</w:t>
      </w:r>
      <w:r>
        <w:rPr>
          <w:rFonts w:ascii="宋体" w:hAnsi="宋体" w:eastAsia="宋体" w:cs="宋体"/>
          <w:spacing w:val="-4"/>
          <w:sz w:val="21"/>
          <w:szCs w:val="21"/>
        </w:rPr>
        <w:t>除合同，并按有关法律处理。</w:t>
      </w:r>
    </w:p>
    <w:p w14:paraId="2B3FD528">
      <w:pPr>
        <w:spacing w:before="17" w:line="349" w:lineRule="auto"/>
        <w:ind w:left="25" w:right="104" w:firstLine="724"/>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 xml:space="preserve">）承包人发生除第 </w:t>
      </w:r>
      <w:r>
        <w:rPr>
          <w:rFonts w:ascii="Times New Roman" w:hAnsi="Times New Roman" w:eastAsia="Times New Roman" w:cs="Times New Roman"/>
          <w:sz w:val="21"/>
          <w:szCs w:val="21"/>
        </w:rPr>
        <w:t>22.1.1</w:t>
      </w: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）目约定以外的其他违约情况时，监理人可向承包</w:t>
      </w:r>
      <w:r>
        <w:rPr>
          <w:rFonts w:ascii="宋体" w:hAnsi="宋体" w:eastAsia="宋体" w:cs="宋体"/>
          <w:spacing w:val="3"/>
          <w:sz w:val="21"/>
          <w:szCs w:val="21"/>
        </w:rPr>
        <w:t>人发出整改通知，要求其在指定的期限内改正。承包人应承担其违约所</w:t>
      </w:r>
      <w:r>
        <w:rPr>
          <w:rFonts w:ascii="宋体" w:hAnsi="宋体" w:eastAsia="宋体" w:cs="宋体"/>
          <w:spacing w:val="2"/>
          <w:sz w:val="21"/>
          <w:szCs w:val="21"/>
        </w:rPr>
        <w:t>引起的费用增加和</w:t>
      </w:r>
      <w:r>
        <w:rPr>
          <w:rFonts w:ascii="宋体" w:hAnsi="宋体" w:eastAsia="宋体" w:cs="宋体"/>
          <w:spacing w:val="-5"/>
          <w:sz w:val="21"/>
          <w:szCs w:val="21"/>
        </w:rPr>
        <w:t>（或）工期延误。</w:t>
      </w:r>
    </w:p>
    <w:p w14:paraId="20557CDC">
      <w:pPr>
        <w:spacing w:before="11" w:line="336" w:lineRule="auto"/>
        <w:ind w:left="26" w:right="109" w:firstLine="72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）经检查证明承包人已采取了有效措施纠正违约行为，具备复工条件的，可由监理人签发复工通知复工。</w:t>
      </w:r>
    </w:p>
    <w:p w14:paraId="2398540C">
      <w:pPr>
        <w:spacing w:before="31" w:line="233" w:lineRule="auto"/>
        <w:ind w:left="440"/>
        <w:rPr>
          <w:rFonts w:ascii="黑体" w:hAnsi="黑体" w:eastAsia="黑体" w:cs="黑体"/>
          <w:sz w:val="21"/>
          <w:szCs w:val="21"/>
        </w:rPr>
      </w:pPr>
      <w:r>
        <w:rPr>
          <w:rFonts w:ascii="Times New Roman" w:hAnsi="Times New Roman" w:eastAsia="Times New Roman" w:cs="Times New Roman"/>
          <w:sz w:val="21"/>
          <w:szCs w:val="21"/>
        </w:rPr>
        <w:t>22.1.3</w:t>
      </w:r>
      <w:r>
        <w:rPr>
          <w:rFonts w:ascii="Times New Roman" w:hAnsi="Times New Roman" w:eastAsia="Times New Roman" w:cs="Times New Roman"/>
          <w:spacing w:val="52"/>
          <w:sz w:val="21"/>
          <w:szCs w:val="21"/>
        </w:rPr>
        <w:t xml:space="preserve"> </w:t>
      </w:r>
      <w:r>
        <w:rPr>
          <w:rFonts w:ascii="黑体" w:hAnsi="黑体" w:eastAsia="黑体" w:cs="黑体"/>
          <w:sz w:val="21"/>
          <w:szCs w:val="21"/>
        </w:rPr>
        <w:t>承包人违约解除合同</w:t>
      </w:r>
    </w:p>
    <w:p w14:paraId="52FD4C77">
      <w:pPr>
        <w:spacing w:before="141" w:line="350" w:lineRule="auto"/>
        <w:ind w:left="22" w:firstLine="423"/>
        <w:rPr>
          <w:rFonts w:ascii="宋体" w:hAnsi="宋体" w:eastAsia="宋体" w:cs="宋体"/>
          <w:sz w:val="21"/>
          <w:szCs w:val="21"/>
        </w:rPr>
      </w:pPr>
      <w:r>
        <w:rPr>
          <w:rFonts w:ascii="宋体" w:hAnsi="宋体" w:eastAsia="宋体" w:cs="宋体"/>
          <w:sz w:val="21"/>
          <w:szCs w:val="21"/>
        </w:rPr>
        <w:t>监理人发出整改通知</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天后，承包人仍不纠正违约行为的，发</w:t>
      </w:r>
      <w:r>
        <w:rPr>
          <w:rFonts w:ascii="宋体" w:hAnsi="宋体" w:eastAsia="宋体" w:cs="宋体"/>
          <w:spacing w:val="-1"/>
          <w:sz w:val="21"/>
          <w:szCs w:val="21"/>
        </w:rPr>
        <w:t>包人可向承包人发出解</w:t>
      </w:r>
      <w:r>
        <w:rPr>
          <w:rFonts w:ascii="宋体" w:hAnsi="宋体" w:eastAsia="宋体" w:cs="宋体"/>
          <w:spacing w:val="-2"/>
          <w:sz w:val="21"/>
          <w:szCs w:val="21"/>
        </w:rPr>
        <w:t>除合同通知。合同解除后，发包人可派员进驻施工场地，另行组织人员或委托其他承</w:t>
      </w:r>
      <w:r>
        <w:rPr>
          <w:rFonts w:ascii="宋体" w:hAnsi="宋体" w:eastAsia="宋体" w:cs="宋体"/>
          <w:spacing w:val="-3"/>
          <w:sz w:val="21"/>
          <w:szCs w:val="21"/>
        </w:rPr>
        <w:t>包人施</w:t>
      </w:r>
      <w:r>
        <w:rPr>
          <w:rFonts w:ascii="宋体" w:hAnsi="宋体" w:eastAsia="宋体" w:cs="宋体"/>
          <w:spacing w:val="-5"/>
          <w:sz w:val="21"/>
          <w:szCs w:val="21"/>
        </w:rPr>
        <w:t>工。发包人因继续完成该工程的需要，有权扣留使用承包人在现场的材料、设备和临时设施。</w:t>
      </w:r>
      <w:r>
        <w:rPr>
          <w:rFonts w:ascii="宋体" w:hAnsi="宋体" w:eastAsia="宋体" w:cs="宋体"/>
          <w:spacing w:val="-2"/>
          <w:sz w:val="21"/>
          <w:szCs w:val="21"/>
        </w:rPr>
        <w:t>但发包人的这一行动不免除承包人应承担的违约责任，也不影响发包人根据合同约定享有的</w:t>
      </w:r>
      <w:r>
        <w:rPr>
          <w:rFonts w:ascii="宋体" w:hAnsi="宋体" w:eastAsia="宋体" w:cs="宋体"/>
          <w:spacing w:val="-6"/>
          <w:sz w:val="21"/>
          <w:szCs w:val="21"/>
        </w:rPr>
        <w:t>索赔权利。</w:t>
      </w:r>
    </w:p>
    <w:p w14:paraId="08AE60A0">
      <w:pPr>
        <w:spacing w:before="6" w:line="233" w:lineRule="auto"/>
        <w:ind w:left="440"/>
        <w:rPr>
          <w:rFonts w:ascii="黑体" w:hAnsi="黑体" w:eastAsia="黑体" w:cs="黑体"/>
          <w:sz w:val="21"/>
          <w:szCs w:val="21"/>
        </w:rPr>
      </w:pPr>
      <w:r>
        <w:rPr>
          <w:rFonts w:ascii="Times New Roman" w:hAnsi="Times New Roman" w:eastAsia="Times New Roman" w:cs="Times New Roman"/>
          <w:sz w:val="21"/>
          <w:szCs w:val="21"/>
        </w:rPr>
        <w:t>22.1.4</w:t>
      </w:r>
      <w:r>
        <w:rPr>
          <w:rFonts w:ascii="Times New Roman" w:hAnsi="Times New Roman" w:eastAsia="Times New Roman" w:cs="Times New Roman"/>
          <w:spacing w:val="54"/>
          <w:sz w:val="21"/>
          <w:szCs w:val="21"/>
        </w:rPr>
        <w:t xml:space="preserve"> </w:t>
      </w:r>
      <w:r>
        <w:rPr>
          <w:rFonts w:ascii="黑体" w:hAnsi="黑体" w:eastAsia="黑体" w:cs="黑体"/>
          <w:sz w:val="21"/>
          <w:szCs w:val="21"/>
        </w:rPr>
        <w:t>合同解除后的估价、付款和结清</w:t>
      </w:r>
    </w:p>
    <w:p w14:paraId="41F80B08">
      <w:pPr>
        <w:spacing w:before="140" w:line="335" w:lineRule="auto"/>
        <w:ind w:left="24" w:right="79" w:firstLine="7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）合同解除后，监理人按第</w:t>
      </w:r>
      <w:r>
        <w:rPr>
          <w:rFonts w:ascii="宋体" w:hAnsi="宋体" w:eastAsia="宋体" w:cs="宋体"/>
          <w:spacing w:val="-7"/>
          <w:sz w:val="21"/>
          <w:szCs w:val="21"/>
        </w:rPr>
        <w:t xml:space="preserve"> </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款商定或确定承包人实际完成工作的价值，以及</w:t>
      </w:r>
      <w:r>
        <w:rPr>
          <w:rFonts w:ascii="宋体" w:hAnsi="宋体" w:eastAsia="宋体" w:cs="宋体"/>
          <w:spacing w:val="-1"/>
          <w:sz w:val="21"/>
          <w:szCs w:val="21"/>
        </w:rPr>
        <w:t>承包人已提供的材料、施工设备、工程设备和临时工程等的价值。</w:t>
      </w:r>
    </w:p>
    <w:p w14:paraId="012C3AF8">
      <w:pPr>
        <w:spacing w:before="35" w:line="348" w:lineRule="auto"/>
        <w:ind w:left="24" w:right="31" w:firstLine="726"/>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）合同解除后，发包人应暂停对承包人的一切付款，查清各项付款和已扣款金额，</w:t>
      </w:r>
      <w:r>
        <w:rPr>
          <w:rFonts w:ascii="宋体" w:hAnsi="宋体" w:eastAsia="宋体" w:cs="宋体"/>
          <w:spacing w:val="-3"/>
          <w:sz w:val="21"/>
          <w:szCs w:val="21"/>
        </w:rPr>
        <w:t>包括承包人应支付的违约金。</w:t>
      </w:r>
    </w:p>
    <w:p w14:paraId="20A68E62">
      <w:pPr>
        <w:spacing w:before="4" w:line="349" w:lineRule="auto"/>
        <w:ind w:left="25" w:right="90" w:firstLine="724"/>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 xml:space="preserve">）合同解除后，发包人应按第 </w:t>
      </w:r>
      <w:r>
        <w:rPr>
          <w:rFonts w:ascii="Times New Roman" w:hAnsi="Times New Roman" w:eastAsia="Times New Roman" w:cs="Times New Roman"/>
          <w:sz w:val="21"/>
          <w:szCs w:val="21"/>
        </w:rPr>
        <w:t>23.4</w:t>
      </w:r>
      <w:r>
        <w:rPr>
          <w:rFonts w:ascii="Times New Roman" w:hAnsi="Times New Roman" w:eastAsia="Times New Roman" w:cs="Times New Roman"/>
          <w:spacing w:val="47"/>
          <w:sz w:val="21"/>
          <w:szCs w:val="21"/>
        </w:rPr>
        <w:t xml:space="preserve"> </w:t>
      </w:r>
      <w:r>
        <w:rPr>
          <w:rFonts w:ascii="宋体" w:hAnsi="宋体" w:eastAsia="宋体" w:cs="宋体"/>
          <w:sz w:val="21"/>
          <w:szCs w:val="21"/>
        </w:rPr>
        <w:t>款</w:t>
      </w:r>
      <w:r>
        <w:rPr>
          <w:rFonts w:ascii="宋体" w:hAnsi="宋体" w:eastAsia="宋体" w:cs="宋体"/>
          <w:spacing w:val="-1"/>
          <w:sz w:val="21"/>
          <w:szCs w:val="21"/>
        </w:rPr>
        <w:t>的约定向承包人索赔由于解除合同给发包</w:t>
      </w:r>
      <w:r>
        <w:rPr>
          <w:rFonts w:ascii="宋体" w:hAnsi="宋体" w:eastAsia="宋体" w:cs="宋体"/>
          <w:spacing w:val="-5"/>
          <w:sz w:val="21"/>
          <w:szCs w:val="21"/>
        </w:rPr>
        <w:t>人造成的损失。</w:t>
      </w:r>
    </w:p>
    <w:p w14:paraId="3B7CE1C0">
      <w:pPr>
        <w:spacing w:before="15"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）合同双方确认上述往来款项后，出具最终结清付款证书，结清全部合同款项。</w:t>
      </w:r>
    </w:p>
    <w:p w14:paraId="6C89C46A">
      <w:pPr>
        <w:spacing w:before="127" w:line="348" w:lineRule="auto"/>
        <w:ind w:left="41" w:right="79" w:firstLine="708"/>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5</w:t>
      </w:r>
      <w:r>
        <w:rPr>
          <w:rFonts w:ascii="宋体" w:hAnsi="宋体" w:eastAsia="宋体" w:cs="宋体"/>
          <w:sz w:val="21"/>
          <w:szCs w:val="21"/>
        </w:rPr>
        <w:t>）发包人和承包人未能就解除合同后的结清达成</w:t>
      </w:r>
      <w:r>
        <w:rPr>
          <w:rFonts w:ascii="宋体" w:hAnsi="宋体" w:eastAsia="宋体" w:cs="宋体"/>
          <w:spacing w:val="-1"/>
          <w:sz w:val="21"/>
          <w:szCs w:val="21"/>
        </w:rPr>
        <w:t>一致而形成争议的，按第</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33"/>
          <w:sz w:val="21"/>
          <w:szCs w:val="21"/>
        </w:rPr>
        <w:t xml:space="preserve"> </w:t>
      </w:r>
      <w:r>
        <w:rPr>
          <w:rFonts w:ascii="宋体" w:hAnsi="宋体" w:eastAsia="宋体" w:cs="宋体"/>
          <w:spacing w:val="-1"/>
          <w:sz w:val="21"/>
          <w:szCs w:val="21"/>
        </w:rPr>
        <w:t>条</w:t>
      </w:r>
      <w:r>
        <w:rPr>
          <w:rFonts w:ascii="宋体" w:hAnsi="宋体" w:eastAsia="宋体" w:cs="宋体"/>
          <w:spacing w:val="-8"/>
          <w:sz w:val="21"/>
          <w:szCs w:val="21"/>
        </w:rPr>
        <w:t>的约定办理。</w:t>
      </w:r>
    </w:p>
    <w:p w14:paraId="6FE6FFA1">
      <w:pPr>
        <w:spacing w:before="18" w:line="233" w:lineRule="auto"/>
        <w:ind w:left="440"/>
        <w:rPr>
          <w:rFonts w:ascii="黑体" w:hAnsi="黑体" w:eastAsia="黑体" w:cs="黑体"/>
          <w:sz w:val="21"/>
          <w:szCs w:val="21"/>
        </w:rPr>
      </w:pPr>
      <w:r>
        <w:rPr>
          <w:rFonts w:ascii="Times New Roman" w:hAnsi="Times New Roman" w:eastAsia="Times New Roman" w:cs="Times New Roman"/>
          <w:sz w:val="21"/>
          <w:szCs w:val="21"/>
        </w:rPr>
        <w:t>22.1.5</w:t>
      </w:r>
      <w:r>
        <w:rPr>
          <w:rFonts w:ascii="Times New Roman" w:hAnsi="Times New Roman" w:eastAsia="Times New Roman" w:cs="Times New Roman"/>
          <w:spacing w:val="51"/>
          <w:sz w:val="21"/>
          <w:szCs w:val="21"/>
        </w:rPr>
        <w:t xml:space="preserve"> </w:t>
      </w:r>
      <w:r>
        <w:rPr>
          <w:rFonts w:ascii="黑体" w:hAnsi="黑体" w:eastAsia="黑体" w:cs="黑体"/>
          <w:sz w:val="21"/>
          <w:szCs w:val="21"/>
        </w:rPr>
        <w:t>协议利益的转让</w:t>
      </w:r>
    </w:p>
    <w:p w14:paraId="2FA5A55B">
      <w:pPr>
        <w:spacing w:before="126" w:line="368" w:lineRule="auto"/>
        <w:ind w:left="41" w:right="92" w:firstLine="419"/>
        <w:rPr>
          <w:rFonts w:ascii="宋体" w:hAnsi="宋体" w:eastAsia="宋体" w:cs="宋体"/>
          <w:sz w:val="21"/>
          <w:szCs w:val="21"/>
        </w:rPr>
      </w:pPr>
      <w:r>
        <w:rPr>
          <w:rFonts w:ascii="宋体" w:hAnsi="宋体" w:eastAsia="宋体" w:cs="宋体"/>
          <w:spacing w:val="-3"/>
          <w:sz w:val="21"/>
          <w:szCs w:val="21"/>
        </w:rPr>
        <w:t>因承包人违约解除合同的，发包人有权要求承包人将其为实施合同而签订的材料和设备</w:t>
      </w:r>
      <w:r>
        <w:rPr>
          <w:rFonts w:ascii="宋体" w:hAnsi="宋体" w:eastAsia="宋体" w:cs="宋体"/>
          <w:spacing w:val="-1"/>
          <w:sz w:val="21"/>
          <w:szCs w:val="21"/>
        </w:rPr>
        <w:t>的订货协议或任何服务协议利益转让给发包人，并在解除合同后的</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依法办理转让</w:t>
      </w:r>
    </w:p>
    <w:p w14:paraId="115E2021">
      <w:pPr>
        <w:spacing w:line="368" w:lineRule="auto"/>
        <w:rPr>
          <w:rFonts w:ascii="宋体" w:hAnsi="宋体" w:eastAsia="宋体" w:cs="宋体"/>
          <w:sz w:val="21"/>
          <w:szCs w:val="21"/>
        </w:rPr>
        <w:sectPr>
          <w:footerReference r:id="rId107" w:type="default"/>
          <w:pgSz w:w="11910" w:h="16845"/>
          <w:pgMar w:top="400" w:right="1692" w:bottom="1110" w:left="1786" w:header="0" w:footer="883" w:gutter="0"/>
          <w:cols w:space="720" w:num="1"/>
        </w:sectPr>
      </w:pPr>
    </w:p>
    <w:p w14:paraId="2A3BCA1C">
      <w:pPr>
        <w:pStyle w:val="2"/>
        <w:spacing w:line="275" w:lineRule="auto"/>
      </w:pPr>
    </w:p>
    <w:p w14:paraId="3D1B1A45">
      <w:pPr>
        <w:pStyle w:val="2"/>
        <w:spacing w:line="275" w:lineRule="auto"/>
      </w:pPr>
    </w:p>
    <w:p w14:paraId="62A739C4">
      <w:pPr>
        <w:pStyle w:val="2"/>
        <w:spacing w:line="275" w:lineRule="auto"/>
      </w:pPr>
    </w:p>
    <w:p w14:paraId="59423599">
      <w:pPr>
        <w:pStyle w:val="2"/>
        <w:spacing w:line="276" w:lineRule="auto"/>
      </w:pPr>
    </w:p>
    <w:p w14:paraId="33EEED13">
      <w:pPr>
        <w:spacing w:before="68" w:line="220" w:lineRule="auto"/>
        <w:ind w:left="24"/>
        <w:rPr>
          <w:rFonts w:ascii="宋体" w:hAnsi="宋体" w:eastAsia="宋体" w:cs="宋体"/>
          <w:sz w:val="21"/>
          <w:szCs w:val="21"/>
        </w:rPr>
      </w:pPr>
      <w:r>
        <w:rPr>
          <w:rFonts w:ascii="宋体" w:hAnsi="宋体" w:eastAsia="宋体" w:cs="宋体"/>
          <w:spacing w:val="-9"/>
          <w:sz w:val="21"/>
          <w:szCs w:val="21"/>
        </w:rPr>
        <w:t>手续。</w:t>
      </w:r>
    </w:p>
    <w:p w14:paraId="67F561C9">
      <w:pPr>
        <w:spacing w:before="155" w:line="231" w:lineRule="auto"/>
        <w:ind w:left="440"/>
        <w:rPr>
          <w:rFonts w:ascii="黑体" w:hAnsi="黑体" w:eastAsia="黑体" w:cs="黑体"/>
          <w:sz w:val="21"/>
          <w:szCs w:val="21"/>
        </w:rPr>
      </w:pPr>
      <w:r>
        <w:rPr>
          <w:rFonts w:ascii="Times New Roman" w:hAnsi="Times New Roman" w:eastAsia="Times New Roman" w:cs="Times New Roman"/>
          <w:sz w:val="21"/>
          <w:szCs w:val="21"/>
        </w:rPr>
        <w:t xml:space="preserve">22.1.6  </w:t>
      </w:r>
      <w:r>
        <w:rPr>
          <w:rFonts w:ascii="黑体" w:hAnsi="黑体" w:eastAsia="黑体" w:cs="黑体"/>
          <w:sz w:val="21"/>
          <w:szCs w:val="21"/>
        </w:rPr>
        <w:t>紧急情况下无能力或不愿进行抢救</w:t>
      </w:r>
    </w:p>
    <w:p w14:paraId="0B5063F7">
      <w:pPr>
        <w:spacing w:before="128" w:line="344" w:lineRule="auto"/>
        <w:ind w:left="25" w:right="70" w:firstLine="418"/>
        <w:rPr>
          <w:rFonts w:ascii="宋体" w:hAnsi="宋体" w:eastAsia="宋体" w:cs="宋体"/>
          <w:sz w:val="21"/>
          <w:szCs w:val="21"/>
        </w:rPr>
      </w:pPr>
      <w:r>
        <w:rPr>
          <w:rFonts w:ascii="宋体" w:hAnsi="宋体" w:eastAsia="宋体" w:cs="宋体"/>
          <w:spacing w:val="3"/>
          <w:sz w:val="21"/>
          <w:szCs w:val="21"/>
        </w:rPr>
        <w:t>在工程实施期间或缺陷责任期内发生危及工程安全的事件，监理人通知承包人进行抢</w:t>
      </w:r>
      <w:r>
        <w:rPr>
          <w:rFonts w:ascii="宋体" w:hAnsi="宋体" w:eastAsia="宋体" w:cs="宋体"/>
          <w:spacing w:val="-2"/>
          <w:sz w:val="21"/>
          <w:szCs w:val="21"/>
        </w:rPr>
        <w:t>救，承包人声明无能力或不愿立即执行的，发包人有权雇佣其他人员进行抢救。</w:t>
      </w:r>
      <w:r>
        <w:rPr>
          <w:rFonts w:ascii="宋体" w:hAnsi="宋体" w:eastAsia="宋体" w:cs="宋体"/>
          <w:spacing w:val="-3"/>
          <w:sz w:val="21"/>
          <w:szCs w:val="21"/>
        </w:rPr>
        <w:t>此类抢救按</w:t>
      </w:r>
      <w:r>
        <w:rPr>
          <w:rFonts w:ascii="宋体" w:hAnsi="宋体" w:eastAsia="宋体" w:cs="宋体"/>
          <w:spacing w:val="-1"/>
          <w:sz w:val="21"/>
          <w:szCs w:val="21"/>
        </w:rPr>
        <w:t>合同约定属于承包人义务的，由此发生的金额和（或）工期延误由承包人承担。</w:t>
      </w:r>
    </w:p>
    <w:p w14:paraId="6F85FE78">
      <w:pPr>
        <w:spacing w:before="1" w:line="231" w:lineRule="auto"/>
        <w:ind w:left="21"/>
        <w:outlineLvl w:val="1"/>
        <w:rPr>
          <w:rFonts w:ascii="黑体" w:hAnsi="黑体" w:eastAsia="黑体" w:cs="黑体"/>
          <w:sz w:val="24"/>
          <w:szCs w:val="24"/>
        </w:rPr>
      </w:pPr>
      <w:bookmarkStart w:id="208" w:name="bookmark182"/>
      <w:bookmarkEnd w:id="208"/>
      <w:r>
        <w:rPr>
          <w:rFonts w:ascii="Times New Roman" w:hAnsi="Times New Roman" w:eastAsia="Times New Roman" w:cs="Times New Roman"/>
          <w:spacing w:val="-1"/>
          <w:sz w:val="24"/>
          <w:szCs w:val="24"/>
        </w:rPr>
        <w:t xml:space="preserve">22.2  </w:t>
      </w:r>
      <w:r>
        <w:rPr>
          <w:rFonts w:ascii="黑体" w:hAnsi="黑体" w:eastAsia="黑体" w:cs="黑体"/>
          <w:spacing w:val="-1"/>
          <w:sz w:val="24"/>
          <w:szCs w:val="24"/>
        </w:rPr>
        <w:t>发包人违约</w:t>
      </w:r>
    </w:p>
    <w:p w14:paraId="360822A5">
      <w:pPr>
        <w:spacing w:before="129" w:line="232" w:lineRule="auto"/>
        <w:ind w:left="440"/>
        <w:rPr>
          <w:rFonts w:ascii="黑体" w:hAnsi="黑体" w:eastAsia="黑体" w:cs="黑体"/>
          <w:sz w:val="21"/>
          <w:szCs w:val="21"/>
        </w:rPr>
      </w:pPr>
      <w:r>
        <w:rPr>
          <w:rFonts w:ascii="Times New Roman" w:hAnsi="Times New Roman" w:eastAsia="Times New Roman" w:cs="Times New Roman"/>
          <w:sz w:val="21"/>
          <w:szCs w:val="21"/>
        </w:rPr>
        <w:t>22.2.1</w:t>
      </w:r>
      <w:r>
        <w:rPr>
          <w:rFonts w:ascii="Times New Roman" w:hAnsi="Times New Roman" w:eastAsia="Times New Roman" w:cs="Times New Roman"/>
          <w:spacing w:val="51"/>
          <w:w w:val="101"/>
          <w:sz w:val="21"/>
          <w:szCs w:val="21"/>
        </w:rPr>
        <w:t xml:space="preserve"> </w:t>
      </w:r>
      <w:r>
        <w:rPr>
          <w:rFonts w:ascii="黑体" w:hAnsi="黑体" w:eastAsia="黑体" w:cs="黑体"/>
          <w:sz w:val="21"/>
          <w:szCs w:val="21"/>
        </w:rPr>
        <w:t>发包人违约的情形</w:t>
      </w:r>
    </w:p>
    <w:p w14:paraId="0AF630F5">
      <w:pPr>
        <w:spacing w:before="141" w:line="220" w:lineRule="auto"/>
        <w:ind w:left="443"/>
        <w:rPr>
          <w:rFonts w:ascii="宋体" w:hAnsi="宋体" w:eastAsia="宋体" w:cs="宋体"/>
          <w:sz w:val="21"/>
          <w:szCs w:val="21"/>
        </w:rPr>
      </w:pPr>
      <w:r>
        <w:rPr>
          <w:rFonts w:ascii="宋体" w:hAnsi="宋体" w:eastAsia="宋体" w:cs="宋体"/>
          <w:spacing w:val="-2"/>
          <w:sz w:val="21"/>
          <w:szCs w:val="21"/>
        </w:rPr>
        <w:t>在履行合同过程中发生的下列情形，属发包人违约：</w:t>
      </w:r>
    </w:p>
    <w:p w14:paraId="6898B4C6">
      <w:pPr>
        <w:spacing w:before="141" w:line="348" w:lineRule="auto"/>
        <w:ind w:left="25" w:right="86" w:firstLine="725"/>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）发包人未能按合同约定支付预付款或合</w:t>
      </w:r>
      <w:r>
        <w:rPr>
          <w:rFonts w:ascii="宋体" w:hAnsi="宋体" w:eastAsia="宋体" w:cs="宋体"/>
          <w:spacing w:val="-3"/>
          <w:sz w:val="21"/>
          <w:szCs w:val="21"/>
        </w:rPr>
        <w:t>同价款，或拖延、拒绝批准付款申请和</w:t>
      </w:r>
      <w:r>
        <w:rPr>
          <w:rFonts w:ascii="宋体" w:hAnsi="宋体" w:eastAsia="宋体" w:cs="宋体"/>
          <w:spacing w:val="-4"/>
          <w:sz w:val="21"/>
          <w:szCs w:val="21"/>
        </w:rPr>
        <w:t>支付凭证，导致付款延误的；</w:t>
      </w:r>
    </w:p>
    <w:p w14:paraId="711EDB33">
      <w:pPr>
        <w:spacing w:before="18" w:line="234" w:lineRule="auto"/>
        <w:ind w:left="7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）发包人原因造成停工的；</w:t>
      </w:r>
    </w:p>
    <w:p w14:paraId="72D7FA56">
      <w:pPr>
        <w:spacing w:before="125"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）监理人无正当理由没有在约定期限内发出复工指示，导致</w:t>
      </w:r>
      <w:r>
        <w:rPr>
          <w:rFonts w:ascii="宋体" w:hAnsi="宋体" w:eastAsia="宋体" w:cs="宋体"/>
          <w:spacing w:val="-2"/>
          <w:sz w:val="21"/>
          <w:szCs w:val="21"/>
        </w:rPr>
        <w:t>承包人无法复工的；</w:t>
      </w:r>
    </w:p>
    <w:p w14:paraId="49FADECE">
      <w:pPr>
        <w:spacing w:before="140"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）发包人无法继续履行或明确表示不履行或实质上已停止履行合同的；</w:t>
      </w:r>
    </w:p>
    <w:p w14:paraId="31E9B321">
      <w:pPr>
        <w:spacing w:before="141"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）发包人不履行合同约定其他义务的。</w:t>
      </w:r>
    </w:p>
    <w:p w14:paraId="7A5669E7">
      <w:pPr>
        <w:spacing w:before="125" w:line="233" w:lineRule="auto"/>
        <w:ind w:left="440"/>
        <w:rPr>
          <w:rFonts w:ascii="黑体" w:hAnsi="黑体" w:eastAsia="黑体" w:cs="黑体"/>
          <w:sz w:val="21"/>
          <w:szCs w:val="21"/>
        </w:rPr>
      </w:pPr>
      <w:r>
        <w:rPr>
          <w:rFonts w:ascii="Times New Roman" w:hAnsi="Times New Roman" w:eastAsia="Times New Roman" w:cs="Times New Roman"/>
          <w:sz w:val="21"/>
          <w:szCs w:val="21"/>
        </w:rPr>
        <w:t>22.2.2</w:t>
      </w:r>
      <w:r>
        <w:rPr>
          <w:rFonts w:ascii="Times New Roman" w:hAnsi="Times New Roman" w:eastAsia="Times New Roman" w:cs="Times New Roman"/>
          <w:spacing w:val="52"/>
          <w:sz w:val="21"/>
          <w:szCs w:val="21"/>
        </w:rPr>
        <w:t xml:space="preserve"> </w:t>
      </w:r>
      <w:r>
        <w:rPr>
          <w:rFonts w:ascii="黑体" w:hAnsi="黑体" w:eastAsia="黑体" w:cs="黑体"/>
          <w:sz w:val="21"/>
          <w:szCs w:val="21"/>
        </w:rPr>
        <w:t>承包人有权暂停施工</w:t>
      </w:r>
    </w:p>
    <w:p w14:paraId="130C544B">
      <w:pPr>
        <w:spacing w:before="138" w:line="350" w:lineRule="auto"/>
        <w:ind w:left="24" w:firstLine="423"/>
        <w:rPr>
          <w:rFonts w:ascii="宋体" w:hAnsi="宋体" w:eastAsia="宋体" w:cs="宋体"/>
          <w:sz w:val="21"/>
          <w:szCs w:val="21"/>
        </w:rPr>
      </w:pPr>
      <w:r>
        <w:rPr>
          <w:rFonts w:ascii="宋体" w:hAnsi="宋体" w:eastAsia="宋体" w:cs="宋体"/>
          <w:sz w:val="21"/>
          <w:szCs w:val="21"/>
        </w:rPr>
        <w:t xml:space="preserve">发包人发生除第 </w:t>
      </w:r>
      <w:r>
        <w:rPr>
          <w:rFonts w:ascii="Times New Roman" w:hAnsi="Times New Roman" w:eastAsia="Times New Roman" w:cs="Times New Roman"/>
          <w:sz w:val="21"/>
          <w:szCs w:val="21"/>
        </w:rPr>
        <w:t>22.2.1</w:t>
      </w: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）目以外的违约情况时，承包人可向发包人发出通知，要求</w:t>
      </w:r>
      <w:r>
        <w:rPr>
          <w:rFonts w:ascii="宋体" w:hAnsi="宋体" w:eastAsia="宋体" w:cs="宋体"/>
          <w:spacing w:val="-3"/>
          <w:sz w:val="21"/>
          <w:szCs w:val="21"/>
        </w:rPr>
        <w:t>发包人采取有效措施纠正违约行为。发包人</w:t>
      </w:r>
      <w:r>
        <w:rPr>
          <w:rFonts w:ascii="宋体" w:hAnsi="宋体" w:eastAsia="宋体" w:cs="宋体"/>
          <w:spacing w:val="-4"/>
          <w:sz w:val="21"/>
          <w:szCs w:val="21"/>
        </w:rPr>
        <w:t>收到承包人通知后的</w:t>
      </w:r>
      <w:r>
        <w:rPr>
          <w:rFonts w:ascii="宋体" w:hAnsi="宋体" w:eastAsia="宋体" w:cs="宋体"/>
          <w:spacing w:val="-46"/>
          <w:sz w:val="21"/>
          <w:szCs w:val="21"/>
        </w:rPr>
        <w:t xml:space="preserve"> </w:t>
      </w:r>
      <w:r>
        <w:rPr>
          <w:rFonts w:ascii="Times New Roman" w:hAnsi="Times New Roman" w:eastAsia="Times New Roman" w:cs="Times New Roman"/>
          <w:spacing w:val="-4"/>
          <w:sz w:val="21"/>
          <w:szCs w:val="21"/>
        </w:rPr>
        <w:t>28</w:t>
      </w:r>
      <w:r>
        <w:rPr>
          <w:rFonts w:ascii="Times New Roman" w:hAnsi="Times New Roman" w:eastAsia="Times New Roman" w:cs="Times New Roman"/>
          <w:spacing w:val="19"/>
          <w:w w:val="101"/>
          <w:sz w:val="21"/>
          <w:szCs w:val="21"/>
        </w:rPr>
        <w:t xml:space="preserve"> </w:t>
      </w:r>
      <w:r>
        <w:rPr>
          <w:rFonts w:ascii="宋体" w:hAnsi="宋体" w:eastAsia="宋体" w:cs="宋体"/>
          <w:spacing w:val="-4"/>
          <w:sz w:val="21"/>
          <w:szCs w:val="21"/>
        </w:rPr>
        <w:t>天内仍不履行合同义务，</w:t>
      </w:r>
      <w:r>
        <w:rPr>
          <w:rFonts w:ascii="宋体" w:hAnsi="宋体" w:eastAsia="宋体" w:cs="宋体"/>
          <w:spacing w:val="-2"/>
          <w:sz w:val="21"/>
          <w:szCs w:val="21"/>
        </w:rPr>
        <w:t>承包人有权暂停施工，并通知监理人，发包人应承担由此增加的费用和（或）工期延误，并</w:t>
      </w:r>
      <w:r>
        <w:rPr>
          <w:rFonts w:ascii="宋体" w:hAnsi="宋体" w:eastAsia="宋体" w:cs="宋体"/>
          <w:spacing w:val="-4"/>
          <w:sz w:val="21"/>
          <w:szCs w:val="21"/>
        </w:rPr>
        <w:t>支付承包人合理利润。</w:t>
      </w:r>
    </w:p>
    <w:p w14:paraId="438D7FA3">
      <w:pPr>
        <w:spacing w:before="16" w:line="232" w:lineRule="auto"/>
        <w:ind w:left="440"/>
        <w:rPr>
          <w:rFonts w:ascii="黑体" w:hAnsi="黑体" w:eastAsia="黑体" w:cs="黑体"/>
          <w:sz w:val="21"/>
          <w:szCs w:val="21"/>
        </w:rPr>
      </w:pPr>
      <w:r>
        <w:rPr>
          <w:rFonts w:ascii="Times New Roman" w:hAnsi="Times New Roman" w:eastAsia="Times New Roman" w:cs="Times New Roman"/>
          <w:sz w:val="21"/>
          <w:szCs w:val="21"/>
        </w:rPr>
        <w:t>22.2.3</w:t>
      </w:r>
      <w:r>
        <w:rPr>
          <w:rFonts w:ascii="Times New Roman" w:hAnsi="Times New Roman" w:eastAsia="Times New Roman" w:cs="Times New Roman"/>
          <w:spacing w:val="52"/>
          <w:sz w:val="21"/>
          <w:szCs w:val="21"/>
        </w:rPr>
        <w:t xml:space="preserve"> </w:t>
      </w:r>
      <w:r>
        <w:rPr>
          <w:rFonts w:ascii="黑体" w:hAnsi="黑体" w:eastAsia="黑体" w:cs="黑体"/>
          <w:sz w:val="21"/>
          <w:szCs w:val="21"/>
        </w:rPr>
        <w:t>发包人违约解除合同</w:t>
      </w:r>
    </w:p>
    <w:p w14:paraId="30C53C44">
      <w:pPr>
        <w:spacing w:before="126"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）发生第</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22.2.1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）目的违约情况时，承包人可书面通知发包人解除合同。</w:t>
      </w:r>
    </w:p>
    <w:p w14:paraId="77580719">
      <w:pPr>
        <w:spacing w:before="141" w:line="348" w:lineRule="auto"/>
        <w:ind w:left="24" w:right="56" w:firstLine="7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）承包人按</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22.2.2</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项暂停施工</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天后，发包人仍不纠正违约行为的，承包人可</w:t>
      </w:r>
      <w:r>
        <w:rPr>
          <w:rFonts w:ascii="宋体" w:hAnsi="宋体" w:eastAsia="宋体" w:cs="宋体"/>
          <w:spacing w:val="-2"/>
          <w:sz w:val="21"/>
          <w:szCs w:val="21"/>
        </w:rPr>
        <w:t>向发包人发出解除合同通知。但承包人的这一行动不免除发包人承担的违约责任，也不影响承包人根据合同约定享有的索赔权利。</w:t>
      </w:r>
    </w:p>
    <w:p w14:paraId="56B2BFC6">
      <w:pPr>
        <w:spacing w:before="13" w:line="233" w:lineRule="auto"/>
        <w:ind w:left="440"/>
        <w:rPr>
          <w:rFonts w:ascii="黑体" w:hAnsi="黑体" w:eastAsia="黑体" w:cs="黑体"/>
          <w:sz w:val="21"/>
          <w:szCs w:val="21"/>
        </w:rPr>
      </w:pPr>
      <w:r>
        <w:rPr>
          <w:rFonts w:ascii="Times New Roman" w:hAnsi="Times New Roman" w:eastAsia="Times New Roman" w:cs="Times New Roman"/>
          <w:sz w:val="21"/>
          <w:szCs w:val="21"/>
        </w:rPr>
        <w:t>22.2.4</w:t>
      </w:r>
      <w:r>
        <w:rPr>
          <w:rFonts w:ascii="Times New Roman" w:hAnsi="Times New Roman" w:eastAsia="Times New Roman" w:cs="Times New Roman"/>
          <w:spacing w:val="51"/>
          <w:w w:val="101"/>
          <w:sz w:val="21"/>
          <w:szCs w:val="21"/>
        </w:rPr>
        <w:t xml:space="preserve"> </w:t>
      </w:r>
      <w:r>
        <w:rPr>
          <w:rFonts w:ascii="黑体" w:hAnsi="黑体" w:eastAsia="黑体" w:cs="黑体"/>
          <w:sz w:val="21"/>
          <w:szCs w:val="21"/>
        </w:rPr>
        <w:t>解除合同后的付款</w:t>
      </w:r>
    </w:p>
    <w:p w14:paraId="280C11FF">
      <w:pPr>
        <w:spacing w:before="139" w:line="336" w:lineRule="auto"/>
        <w:ind w:left="24" w:right="72" w:firstLine="436"/>
        <w:rPr>
          <w:rFonts w:ascii="宋体" w:hAnsi="宋体" w:eastAsia="宋体" w:cs="宋体"/>
          <w:sz w:val="21"/>
          <w:szCs w:val="21"/>
        </w:rPr>
      </w:pPr>
      <w:r>
        <w:rPr>
          <w:rFonts w:ascii="宋体" w:hAnsi="宋体" w:eastAsia="宋体" w:cs="宋体"/>
          <w:spacing w:val="-1"/>
          <w:sz w:val="21"/>
          <w:szCs w:val="21"/>
        </w:rPr>
        <w:t>因发包人违约解除合同的，发包人应在解除合同后</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天内向承包人支付下列金额，承包人应在此期限内及时向发包人提交要求支付下列金额</w:t>
      </w:r>
      <w:r>
        <w:rPr>
          <w:rFonts w:ascii="宋体" w:hAnsi="宋体" w:eastAsia="宋体" w:cs="宋体"/>
          <w:spacing w:val="-2"/>
          <w:sz w:val="21"/>
          <w:szCs w:val="21"/>
        </w:rPr>
        <w:t>的有关资料和凭证：</w:t>
      </w:r>
    </w:p>
    <w:p w14:paraId="269F635C">
      <w:pPr>
        <w:spacing w:before="33" w:line="232" w:lineRule="auto"/>
        <w:ind w:left="7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）合同解除日以前所完成工作的价款；</w:t>
      </w:r>
    </w:p>
    <w:p w14:paraId="314383A2">
      <w:pPr>
        <w:spacing w:before="142" w:line="335" w:lineRule="auto"/>
        <w:ind w:left="25" w:right="96" w:firstLine="72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）承包人为该工程施工订购并已付款的材料、工程设备和其他物品的金额。发包</w:t>
      </w:r>
      <w:r>
        <w:rPr>
          <w:rFonts w:ascii="宋体" w:hAnsi="宋体" w:eastAsia="宋体" w:cs="宋体"/>
          <w:spacing w:val="-2"/>
          <w:sz w:val="21"/>
          <w:szCs w:val="21"/>
        </w:rPr>
        <w:t>人付还后，该材料、工程设备和其他物品归发包人所有；</w:t>
      </w:r>
    </w:p>
    <w:p w14:paraId="3172FA3C">
      <w:pPr>
        <w:spacing w:before="33"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）承包人为完成工程所发生的，而发包人未支付的金额；</w:t>
      </w:r>
    </w:p>
    <w:p w14:paraId="3F7FD63B">
      <w:pPr>
        <w:spacing w:before="140" w:line="233" w:lineRule="auto"/>
        <w:ind w:left="7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）承包人撤离施工场地以及遣散承包人人员的金额；</w:t>
      </w:r>
    </w:p>
    <w:p w14:paraId="6CD280AB">
      <w:pPr>
        <w:spacing w:before="126" w:line="233" w:lineRule="auto"/>
        <w:ind w:left="7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）由于解除合同应赔偿的承包人损失；</w:t>
      </w:r>
    </w:p>
    <w:p w14:paraId="7E7A0B83">
      <w:pPr>
        <w:spacing w:before="140" w:line="233" w:lineRule="auto"/>
        <w:ind w:left="7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）按合同约定在合同解除日前应支付给承包人的其</w:t>
      </w:r>
      <w:r>
        <w:rPr>
          <w:rFonts w:ascii="宋体" w:hAnsi="宋体" w:eastAsia="宋体" w:cs="宋体"/>
          <w:spacing w:val="-2"/>
          <w:sz w:val="21"/>
          <w:szCs w:val="21"/>
        </w:rPr>
        <w:t>他金额。</w:t>
      </w:r>
    </w:p>
    <w:p w14:paraId="75203510">
      <w:pPr>
        <w:spacing w:line="233" w:lineRule="auto"/>
        <w:rPr>
          <w:rFonts w:ascii="宋体" w:hAnsi="宋体" w:eastAsia="宋体" w:cs="宋体"/>
          <w:sz w:val="21"/>
          <w:szCs w:val="21"/>
        </w:rPr>
        <w:sectPr>
          <w:footerReference r:id="rId108" w:type="default"/>
          <w:pgSz w:w="11910" w:h="16845"/>
          <w:pgMar w:top="400" w:right="1711" w:bottom="1110" w:left="1786" w:header="0" w:footer="883" w:gutter="0"/>
          <w:cols w:space="720" w:num="1"/>
        </w:sectPr>
      </w:pPr>
    </w:p>
    <w:p w14:paraId="34A46206">
      <w:pPr>
        <w:pStyle w:val="2"/>
        <w:spacing w:line="275" w:lineRule="auto"/>
      </w:pPr>
    </w:p>
    <w:p w14:paraId="1208A252">
      <w:pPr>
        <w:pStyle w:val="2"/>
        <w:spacing w:line="275" w:lineRule="auto"/>
      </w:pPr>
    </w:p>
    <w:p w14:paraId="248EC99F">
      <w:pPr>
        <w:pStyle w:val="2"/>
        <w:spacing w:line="275" w:lineRule="auto"/>
      </w:pPr>
    </w:p>
    <w:p w14:paraId="1A2CA355">
      <w:pPr>
        <w:pStyle w:val="2"/>
        <w:spacing w:line="275" w:lineRule="auto"/>
      </w:pPr>
    </w:p>
    <w:p w14:paraId="4EC6A5C1">
      <w:pPr>
        <w:spacing w:before="68" w:line="350" w:lineRule="auto"/>
        <w:ind w:left="24" w:right="13" w:firstLine="423"/>
        <w:rPr>
          <w:rFonts w:ascii="宋体" w:hAnsi="宋体" w:eastAsia="宋体" w:cs="宋体"/>
          <w:sz w:val="21"/>
          <w:szCs w:val="21"/>
        </w:rPr>
      </w:pPr>
      <w:r>
        <w:rPr>
          <w:rFonts w:ascii="宋体" w:hAnsi="宋体" w:eastAsia="宋体" w:cs="宋体"/>
          <w:spacing w:val="-2"/>
          <w:sz w:val="21"/>
          <w:szCs w:val="21"/>
        </w:rPr>
        <w:t>发包人应按本项约定支付上述金额并退还质量保证金和履约担保，</w:t>
      </w:r>
      <w:r>
        <w:rPr>
          <w:rFonts w:ascii="宋体" w:hAnsi="宋体" w:eastAsia="宋体" w:cs="宋体"/>
          <w:spacing w:val="-3"/>
          <w:sz w:val="21"/>
          <w:szCs w:val="21"/>
        </w:rPr>
        <w:t>但有权要求承包人支付应偿还给发包人的各项金额。</w:t>
      </w:r>
    </w:p>
    <w:p w14:paraId="6107169B">
      <w:pPr>
        <w:spacing w:line="232" w:lineRule="auto"/>
        <w:ind w:left="440"/>
        <w:rPr>
          <w:rFonts w:ascii="黑体" w:hAnsi="黑体" w:eastAsia="黑体" w:cs="黑体"/>
          <w:sz w:val="21"/>
          <w:szCs w:val="21"/>
        </w:rPr>
      </w:pPr>
      <w:r>
        <w:rPr>
          <w:rFonts w:ascii="Times New Roman" w:hAnsi="Times New Roman" w:eastAsia="Times New Roman" w:cs="Times New Roman"/>
          <w:sz w:val="21"/>
          <w:szCs w:val="21"/>
        </w:rPr>
        <w:t>22.2.5</w:t>
      </w:r>
      <w:r>
        <w:rPr>
          <w:rFonts w:ascii="Times New Roman" w:hAnsi="Times New Roman" w:eastAsia="Times New Roman" w:cs="Times New Roman"/>
          <w:spacing w:val="52"/>
          <w:w w:val="101"/>
          <w:sz w:val="21"/>
          <w:szCs w:val="21"/>
        </w:rPr>
        <w:t xml:space="preserve"> </w:t>
      </w:r>
      <w:r>
        <w:rPr>
          <w:rFonts w:ascii="黑体" w:hAnsi="黑体" w:eastAsia="黑体" w:cs="黑体"/>
          <w:sz w:val="21"/>
          <w:szCs w:val="21"/>
        </w:rPr>
        <w:t>解除合同后的承包人撤离</w:t>
      </w:r>
    </w:p>
    <w:p w14:paraId="6F5AEF8E">
      <w:pPr>
        <w:spacing w:before="138" w:line="345" w:lineRule="auto"/>
        <w:ind w:left="25" w:right="13" w:firstLine="436"/>
        <w:rPr>
          <w:rFonts w:ascii="宋体" w:hAnsi="宋体" w:eastAsia="宋体" w:cs="宋体"/>
          <w:sz w:val="21"/>
          <w:szCs w:val="21"/>
        </w:rPr>
      </w:pPr>
      <w:r>
        <w:rPr>
          <w:rFonts w:ascii="宋体" w:hAnsi="宋体" w:eastAsia="宋体" w:cs="宋体"/>
          <w:spacing w:val="-3"/>
          <w:sz w:val="21"/>
          <w:szCs w:val="21"/>
        </w:rPr>
        <w:t>因发包人违约而解除合同后，承包人应妥善做好已竣工工程和已购材料、设备的保护和</w:t>
      </w:r>
      <w:r>
        <w:rPr>
          <w:rFonts w:ascii="宋体" w:hAnsi="宋体" w:eastAsia="宋体" w:cs="宋体"/>
          <w:spacing w:val="-2"/>
          <w:sz w:val="21"/>
          <w:szCs w:val="21"/>
        </w:rPr>
        <w:t>移交工作，按发包人要求将承包人设备和人员撤出施工场地。承包人撤出施工场</w:t>
      </w:r>
      <w:r>
        <w:rPr>
          <w:rFonts w:ascii="宋体" w:hAnsi="宋体" w:eastAsia="宋体" w:cs="宋体"/>
          <w:spacing w:val="-3"/>
          <w:sz w:val="21"/>
          <w:szCs w:val="21"/>
        </w:rPr>
        <w:t>地应遵守第</w:t>
      </w:r>
      <w:r>
        <w:rPr>
          <w:rFonts w:ascii="Times New Roman" w:hAnsi="Times New Roman" w:eastAsia="Times New Roman" w:cs="Times New Roman"/>
          <w:spacing w:val="-1"/>
          <w:sz w:val="21"/>
          <w:szCs w:val="21"/>
        </w:rPr>
        <w:t>18.7.1</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项的约定，发包人应为承包人撤出提供必要条件。</w:t>
      </w:r>
    </w:p>
    <w:p w14:paraId="6C01FCC0">
      <w:pPr>
        <w:spacing w:before="1" w:line="232" w:lineRule="auto"/>
        <w:ind w:left="21"/>
        <w:outlineLvl w:val="1"/>
        <w:rPr>
          <w:rFonts w:ascii="黑体" w:hAnsi="黑体" w:eastAsia="黑体" w:cs="黑体"/>
          <w:sz w:val="24"/>
          <w:szCs w:val="24"/>
        </w:rPr>
      </w:pPr>
      <w:bookmarkStart w:id="209" w:name="bookmark183"/>
      <w:bookmarkEnd w:id="209"/>
      <w:r>
        <w:rPr>
          <w:rFonts w:ascii="Times New Roman" w:hAnsi="Times New Roman" w:eastAsia="Times New Roman" w:cs="Times New Roman"/>
          <w:spacing w:val="-1"/>
          <w:sz w:val="24"/>
          <w:szCs w:val="24"/>
        </w:rPr>
        <w:t xml:space="preserve">22.3  </w:t>
      </w:r>
      <w:r>
        <w:rPr>
          <w:rFonts w:ascii="黑体" w:hAnsi="黑体" w:eastAsia="黑体" w:cs="黑体"/>
          <w:spacing w:val="-1"/>
          <w:sz w:val="24"/>
          <w:szCs w:val="24"/>
        </w:rPr>
        <w:t>第三人造成的违约</w:t>
      </w:r>
    </w:p>
    <w:p w14:paraId="656B5926">
      <w:pPr>
        <w:spacing w:before="128" w:line="345" w:lineRule="auto"/>
        <w:ind w:left="29" w:right="13" w:firstLine="414"/>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在履行合同过程中，一方当事人因第三人的原因造成违约的，应当向对方当</w:t>
      </w:r>
      <w:r>
        <w:rPr>
          <w:rFonts w:ascii="宋体" w:hAnsi="宋体" w:eastAsia="宋体" w:cs="宋体"/>
          <w:spacing w:val="-3"/>
          <w:sz w:val="21"/>
          <w:szCs w:val="21"/>
        </w:rPr>
        <w:t>事人承担违</w:t>
      </w:r>
      <w:r>
        <w:rPr>
          <w:rFonts w:ascii="宋体" w:hAnsi="宋体" w:eastAsia="宋体" w:cs="宋体"/>
          <w:spacing w:val="-1"/>
          <w:sz w:val="21"/>
          <w:szCs w:val="21"/>
        </w:rPr>
        <w:t>约责任。一方当事人和第三人之间的纠纷，依照法律规定或者按照约定解决。</w:t>
      </w:r>
    </w:p>
    <w:p w14:paraId="58E5203C">
      <w:pPr>
        <w:spacing w:before="51" w:line="237" w:lineRule="auto"/>
        <w:ind w:left="21"/>
        <w:outlineLvl w:val="0"/>
        <w:rPr>
          <w:rFonts w:ascii="黑体" w:hAnsi="黑体" w:eastAsia="黑体" w:cs="黑体"/>
          <w:sz w:val="28"/>
          <w:szCs w:val="28"/>
        </w:rPr>
      </w:pPr>
      <w:bookmarkStart w:id="210" w:name="bookmark185"/>
      <w:bookmarkEnd w:id="210"/>
      <w:bookmarkStart w:id="211" w:name="bookmark184"/>
      <w:bookmarkEnd w:id="211"/>
      <w:r>
        <w:rPr>
          <w:rFonts w:ascii="Times New Roman" w:hAnsi="Times New Roman" w:eastAsia="Times New Roman" w:cs="Times New Roman"/>
          <w:spacing w:val="-2"/>
          <w:sz w:val="28"/>
          <w:szCs w:val="28"/>
        </w:rPr>
        <w:t>23.</w:t>
      </w:r>
      <w:r>
        <w:rPr>
          <w:rFonts w:ascii="Times New Roman" w:hAnsi="Times New Roman" w:eastAsia="Times New Roman" w:cs="Times New Roman"/>
          <w:spacing w:val="17"/>
          <w:sz w:val="28"/>
          <w:szCs w:val="28"/>
        </w:rPr>
        <w:t xml:space="preserve">  </w:t>
      </w:r>
      <w:r>
        <w:rPr>
          <w:rFonts w:ascii="黑体" w:hAnsi="黑体" w:eastAsia="黑体" w:cs="黑体"/>
          <w:spacing w:val="-2"/>
          <w:sz w:val="28"/>
          <w:szCs w:val="28"/>
        </w:rPr>
        <w:t>索赔</w:t>
      </w:r>
    </w:p>
    <w:p w14:paraId="2CCC66DA">
      <w:pPr>
        <w:spacing w:before="70" w:line="233" w:lineRule="auto"/>
        <w:ind w:left="21"/>
        <w:outlineLvl w:val="1"/>
        <w:rPr>
          <w:rFonts w:ascii="黑体" w:hAnsi="黑体" w:eastAsia="黑体" w:cs="黑体"/>
          <w:sz w:val="24"/>
          <w:szCs w:val="24"/>
        </w:rPr>
      </w:pPr>
      <w:bookmarkStart w:id="212" w:name="bookmark652"/>
      <w:bookmarkEnd w:id="212"/>
      <w:r>
        <w:rPr>
          <w:rFonts w:ascii="Times New Roman" w:hAnsi="Times New Roman" w:eastAsia="Times New Roman" w:cs="Times New Roman"/>
          <w:spacing w:val="-1"/>
          <w:sz w:val="24"/>
          <w:szCs w:val="24"/>
        </w:rPr>
        <w:t xml:space="preserve">23.1  </w:t>
      </w:r>
      <w:r>
        <w:rPr>
          <w:rFonts w:ascii="黑体" w:hAnsi="黑体" w:eastAsia="黑体" w:cs="黑体"/>
          <w:spacing w:val="-1"/>
          <w:sz w:val="24"/>
          <w:szCs w:val="24"/>
        </w:rPr>
        <w:t>承包人索赔的提出</w:t>
      </w:r>
    </w:p>
    <w:p w14:paraId="7871DA11">
      <w:pPr>
        <w:spacing w:before="128" w:line="350" w:lineRule="auto"/>
        <w:ind w:left="24" w:firstLine="420"/>
        <w:rPr>
          <w:rFonts w:ascii="宋体" w:hAnsi="宋体" w:eastAsia="宋体" w:cs="宋体"/>
          <w:sz w:val="21"/>
          <w:szCs w:val="21"/>
        </w:rPr>
      </w:pPr>
      <w:r>
        <w:rPr>
          <w:rFonts w:ascii="宋体" w:hAnsi="宋体" w:eastAsia="宋体" w:cs="宋体"/>
          <w:spacing w:val="-2"/>
          <w:sz w:val="21"/>
          <w:szCs w:val="21"/>
        </w:rPr>
        <w:t>根据合同约定，承包人认为有权得到追加付款和（或）延长工期的，应按以下程序向发</w:t>
      </w:r>
      <w:r>
        <w:rPr>
          <w:rFonts w:ascii="宋体" w:hAnsi="宋体" w:eastAsia="宋体" w:cs="宋体"/>
          <w:spacing w:val="-7"/>
          <w:sz w:val="21"/>
          <w:szCs w:val="21"/>
        </w:rPr>
        <w:t>包人提出索赔：</w:t>
      </w:r>
    </w:p>
    <w:p w14:paraId="69EA306C">
      <w:pPr>
        <w:spacing w:before="2" w:line="350" w:lineRule="auto"/>
        <w:ind w:left="25" w:right="4" w:firstLine="36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）承包人应在知道或应当知道索赔事件发生后</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天内，向监</w:t>
      </w:r>
      <w:r>
        <w:rPr>
          <w:rFonts w:ascii="宋体" w:hAnsi="宋体" w:eastAsia="宋体" w:cs="宋体"/>
          <w:spacing w:val="-2"/>
          <w:sz w:val="21"/>
          <w:szCs w:val="21"/>
        </w:rPr>
        <w:t>理人递交索赔意向通知</w:t>
      </w:r>
      <w:r>
        <w:rPr>
          <w:rFonts w:ascii="宋体" w:hAnsi="宋体" w:eastAsia="宋体" w:cs="宋体"/>
          <w:sz w:val="21"/>
          <w:szCs w:val="21"/>
        </w:rPr>
        <w:t>书，并说明发生索赔事件的事由。承包人未在前述</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天内发出索赔</w:t>
      </w:r>
      <w:r>
        <w:rPr>
          <w:rFonts w:ascii="宋体" w:hAnsi="宋体" w:eastAsia="宋体" w:cs="宋体"/>
          <w:spacing w:val="-1"/>
          <w:sz w:val="21"/>
          <w:szCs w:val="21"/>
        </w:rPr>
        <w:t>意向通知书的，丧失要</w:t>
      </w:r>
      <w:r>
        <w:rPr>
          <w:rFonts w:ascii="宋体" w:hAnsi="宋体" w:eastAsia="宋体" w:cs="宋体"/>
          <w:spacing w:val="-3"/>
          <w:sz w:val="21"/>
          <w:szCs w:val="21"/>
        </w:rPr>
        <w:t>求追加付款和（或）延长工期的权利；</w:t>
      </w:r>
    </w:p>
    <w:p w14:paraId="2E9593E7">
      <w:pPr>
        <w:spacing w:before="5" w:line="352" w:lineRule="auto"/>
        <w:ind w:left="24" w:right="13" w:firstLine="36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）承包人应在发出索赔意向通知书后</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天内，向监理人正式递交索赔通知书。索赔通知书应详细说明索赔理由以及要求追加的付款金额和（或）延长的工期，并附必要的</w:t>
      </w:r>
      <w:r>
        <w:rPr>
          <w:rFonts w:ascii="宋体" w:hAnsi="宋体" w:eastAsia="宋体" w:cs="宋体"/>
          <w:spacing w:val="-3"/>
          <w:sz w:val="21"/>
          <w:szCs w:val="21"/>
        </w:rPr>
        <w:t>记录</w:t>
      </w:r>
      <w:r>
        <w:rPr>
          <w:rFonts w:ascii="宋体" w:hAnsi="宋体" w:eastAsia="宋体" w:cs="宋体"/>
          <w:spacing w:val="-8"/>
          <w:sz w:val="21"/>
          <w:szCs w:val="21"/>
        </w:rPr>
        <w:t>和证明材料；</w:t>
      </w:r>
    </w:p>
    <w:p w14:paraId="7DEC79DA">
      <w:pPr>
        <w:spacing w:before="1" w:line="348" w:lineRule="auto"/>
        <w:ind w:left="43" w:right="36" w:firstLine="34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）索赔事件具有连续影响的，承包人应按合理时间间隔继续递交延续索赔通知，说</w:t>
      </w:r>
      <w:r>
        <w:rPr>
          <w:rFonts w:ascii="宋体" w:hAnsi="宋体" w:eastAsia="宋体" w:cs="宋体"/>
          <w:spacing w:val="-2"/>
          <w:sz w:val="21"/>
          <w:szCs w:val="21"/>
        </w:rPr>
        <w:t>明连续影响的实际情况和记录，列出累计的追加付款金额和（或）工期延长天数；</w:t>
      </w:r>
    </w:p>
    <w:p w14:paraId="0197DBFB">
      <w:pPr>
        <w:spacing w:before="18" w:line="335" w:lineRule="auto"/>
        <w:ind w:left="26" w:right="18" w:firstLine="363"/>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）在索赔事件影响结束后的</w:t>
      </w:r>
      <w:r>
        <w:rPr>
          <w:rFonts w:ascii="宋体" w:hAnsi="宋体" w:eastAsia="宋体" w:cs="宋体"/>
          <w:spacing w:val="-27"/>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天内，承包人应向监理人递交最终索赔通知书，说明</w:t>
      </w:r>
      <w:r>
        <w:rPr>
          <w:rFonts w:ascii="宋体" w:hAnsi="宋体" w:eastAsia="宋体" w:cs="宋体"/>
          <w:spacing w:val="-1"/>
          <w:sz w:val="21"/>
          <w:szCs w:val="21"/>
        </w:rPr>
        <w:t>最终要求索赔的追加付款金额和延长的工期，并附必要的记录和证明材料。</w:t>
      </w:r>
    </w:p>
    <w:p w14:paraId="26210211">
      <w:pPr>
        <w:spacing w:before="7" w:line="233" w:lineRule="auto"/>
        <w:ind w:left="21"/>
        <w:outlineLvl w:val="1"/>
        <w:rPr>
          <w:rFonts w:ascii="黑体" w:hAnsi="黑体" w:eastAsia="黑体" w:cs="黑体"/>
          <w:sz w:val="24"/>
          <w:szCs w:val="24"/>
        </w:rPr>
      </w:pPr>
      <w:bookmarkStart w:id="213" w:name="bookmark186"/>
      <w:bookmarkEnd w:id="213"/>
      <w:r>
        <w:rPr>
          <w:rFonts w:ascii="Times New Roman" w:hAnsi="Times New Roman" w:eastAsia="Times New Roman" w:cs="Times New Roman"/>
          <w:spacing w:val="-1"/>
          <w:sz w:val="24"/>
          <w:szCs w:val="24"/>
        </w:rPr>
        <w:t xml:space="preserve">23.2  </w:t>
      </w:r>
      <w:r>
        <w:rPr>
          <w:rFonts w:ascii="黑体" w:hAnsi="黑体" w:eastAsia="黑体" w:cs="黑体"/>
          <w:spacing w:val="-1"/>
          <w:sz w:val="24"/>
          <w:szCs w:val="24"/>
        </w:rPr>
        <w:t>承包人索赔处理程序</w:t>
      </w:r>
    </w:p>
    <w:p w14:paraId="32BCE86A">
      <w:pPr>
        <w:spacing w:before="129" w:line="335" w:lineRule="auto"/>
        <w:ind w:left="24" w:right="39" w:firstLine="36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）监理人收到承包人提交的索赔通知书后，应及时审查索赔通知书的内容、查验承</w:t>
      </w:r>
      <w:r>
        <w:rPr>
          <w:rFonts w:ascii="宋体" w:hAnsi="宋体" w:eastAsia="宋体" w:cs="宋体"/>
          <w:spacing w:val="-1"/>
          <w:sz w:val="21"/>
          <w:szCs w:val="21"/>
        </w:rPr>
        <w:t>包人的记录和证明材料，必要时监理人可要求承包人提交全部原始记录副本。</w:t>
      </w:r>
    </w:p>
    <w:p w14:paraId="28610074">
      <w:pPr>
        <w:spacing w:before="33" w:line="350" w:lineRule="auto"/>
        <w:ind w:left="24" w:firstLine="36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）监理人应按第</w:t>
      </w:r>
      <w:r>
        <w:rPr>
          <w:rFonts w:ascii="宋体" w:hAnsi="宋体" w:eastAsia="宋体" w:cs="宋体"/>
          <w:spacing w:val="-36"/>
          <w:sz w:val="21"/>
          <w:szCs w:val="21"/>
        </w:rPr>
        <w:t xml:space="preserve"> </w:t>
      </w:r>
      <w:r>
        <w:rPr>
          <w:rFonts w:ascii="Times New Roman" w:hAnsi="Times New Roman" w:eastAsia="Times New Roman" w:cs="Times New Roman"/>
          <w:spacing w:val="-2"/>
          <w:sz w:val="21"/>
          <w:szCs w:val="21"/>
        </w:rPr>
        <w:t>3.5</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款商定或确定追加</w:t>
      </w:r>
      <w:r>
        <w:rPr>
          <w:rFonts w:ascii="宋体" w:hAnsi="宋体" w:eastAsia="宋体" w:cs="宋体"/>
          <w:spacing w:val="-3"/>
          <w:sz w:val="21"/>
          <w:szCs w:val="21"/>
        </w:rPr>
        <w:t>的付款和（或）延长的工期，并在收到上述索</w:t>
      </w:r>
      <w:r>
        <w:rPr>
          <w:rFonts w:ascii="宋体" w:hAnsi="宋体" w:eastAsia="宋体" w:cs="宋体"/>
          <w:spacing w:val="-1"/>
          <w:sz w:val="21"/>
          <w:szCs w:val="21"/>
        </w:rPr>
        <w:t>赔通知书或有关索赔的进一步证明材料后的</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42</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天内，将索赔处理结果答复</w:t>
      </w:r>
      <w:r>
        <w:rPr>
          <w:rFonts w:ascii="宋体" w:hAnsi="宋体" w:eastAsia="宋体" w:cs="宋体"/>
          <w:spacing w:val="-2"/>
          <w:sz w:val="21"/>
          <w:szCs w:val="21"/>
        </w:rPr>
        <w:t>承包人。</w:t>
      </w:r>
    </w:p>
    <w:p w14:paraId="0AB94F37">
      <w:pPr>
        <w:spacing w:line="345" w:lineRule="auto"/>
        <w:ind w:left="24" w:right="5" w:firstLine="36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）承包人接受索赔处理结果的，发包人应在作出索赔处理结果答</w:t>
      </w:r>
      <w:r>
        <w:rPr>
          <w:rFonts w:ascii="宋体" w:hAnsi="宋体" w:eastAsia="宋体" w:cs="宋体"/>
          <w:spacing w:val="-2"/>
          <w:sz w:val="21"/>
          <w:szCs w:val="21"/>
        </w:rPr>
        <w:t>复后</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天内完成赔付。承包人不接受索赔处理结果的，按第</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条的约定办理。</w:t>
      </w:r>
    </w:p>
    <w:p w14:paraId="557935A0">
      <w:pPr>
        <w:spacing w:before="1" w:line="232" w:lineRule="auto"/>
        <w:ind w:left="21"/>
        <w:outlineLvl w:val="1"/>
        <w:rPr>
          <w:rFonts w:ascii="黑体" w:hAnsi="黑体" w:eastAsia="黑体" w:cs="黑体"/>
          <w:sz w:val="24"/>
          <w:szCs w:val="24"/>
        </w:rPr>
      </w:pPr>
      <w:bookmarkStart w:id="214" w:name="bookmark187"/>
      <w:bookmarkEnd w:id="214"/>
      <w:r>
        <w:rPr>
          <w:rFonts w:ascii="Times New Roman" w:hAnsi="Times New Roman" w:eastAsia="Times New Roman" w:cs="Times New Roman"/>
          <w:sz w:val="24"/>
          <w:szCs w:val="24"/>
        </w:rPr>
        <w:t xml:space="preserve">23.3  </w:t>
      </w:r>
      <w:r>
        <w:rPr>
          <w:rFonts w:ascii="黑体" w:hAnsi="黑体" w:eastAsia="黑体" w:cs="黑体"/>
          <w:sz w:val="24"/>
          <w:szCs w:val="24"/>
        </w:rPr>
        <w:t>承包人提出索赔的期限</w:t>
      </w:r>
    </w:p>
    <w:p w14:paraId="1C2AF76E">
      <w:pPr>
        <w:spacing w:before="113" w:line="348" w:lineRule="auto"/>
        <w:ind w:left="44" w:firstLine="396"/>
        <w:rPr>
          <w:rFonts w:ascii="宋体" w:hAnsi="宋体" w:eastAsia="宋体" w:cs="宋体"/>
          <w:sz w:val="21"/>
          <w:szCs w:val="21"/>
        </w:rPr>
      </w:pPr>
      <w:r>
        <w:rPr>
          <w:rFonts w:ascii="Times New Roman" w:hAnsi="Times New Roman" w:eastAsia="Times New Roman" w:cs="Times New Roman"/>
          <w:sz w:val="21"/>
          <w:szCs w:val="21"/>
        </w:rPr>
        <w:t xml:space="preserve">23.3.1  </w:t>
      </w:r>
      <w:r>
        <w:rPr>
          <w:rFonts w:ascii="宋体" w:hAnsi="宋体" w:eastAsia="宋体" w:cs="宋体"/>
          <w:sz w:val="21"/>
          <w:szCs w:val="21"/>
        </w:rPr>
        <w:t xml:space="preserve">承包人按第 </w:t>
      </w:r>
      <w:r>
        <w:rPr>
          <w:rFonts w:ascii="Times New Roman" w:hAnsi="Times New Roman" w:eastAsia="Times New Roman" w:cs="Times New Roman"/>
          <w:sz w:val="21"/>
          <w:szCs w:val="21"/>
        </w:rPr>
        <w:t xml:space="preserve">17.5  </w:t>
      </w:r>
      <w:r>
        <w:rPr>
          <w:rFonts w:ascii="宋体" w:hAnsi="宋体" w:eastAsia="宋体" w:cs="宋体"/>
          <w:sz w:val="21"/>
          <w:szCs w:val="21"/>
        </w:rPr>
        <w:t>款的约定接受了竣工付款证书后</w:t>
      </w:r>
      <w:r>
        <w:rPr>
          <w:rFonts w:ascii="宋体" w:hAnsi="宋体" w:eastAsia="宋体" w:cs="宋体"/>
          <w:spacing w:val="-1"/>
          <w:sz w:val="21"/>
          <w:szCs w:val="21"/>
        </w:rPr>
        <w:t>，应被认为已无权再提出在合</w:t>
      </w:r>
      <w:r>
        <w:rPr>
          <w:rFonts w:ascii="宋体" w:hAnsi="宋体" w:eastAsia="宋体" w:cs="宋体"/>
          <w:spacing w:val="-3"/>
          <w:sz w:val="21"/>
          <w:szCs w:val="21"/>
        </w:rPr>
        <w:t>同工程接收证书颁发前所发生的任何索赔。</w:t>
      </w:r>
    </w:p>
    <w:p w14:paraId="040F56C1">
      <w:pPr>
        <w:spacing w:before="19" w:line="233" w:lineRule="auto"/>
        <w:jc w:val="right"/>
        <w:rPr>
          <w:rFonts w:ascii="宋体" w:hAnsi="宋体" w:eastAsia="宋体" w:cs="宋体"/>
          <w:sz w:val="21"/>
          <w:szCs w:val="21"/>
        </w:rPr>
      </w:pPr>
      <w:r>
        <w:rPr>
          <w:rFonts w:ascii="Times New Roman" w:hAnsi="Times New Roman" w:eastAsia="Times New Roman" w:cs="Times New Roman"/>
          <w:sz w:val="21"/>
          <w:szCs w:val="21"/>
        </w:rPr>
        <w:t xml:space="preserve">23.3.2  </w:t>
      </w:r>
      <w:r>
        <w:rPr>
          <w:rFonts w:ascii="宋体" w:hAnsi="宋体" w:eastAsia="宋体" w:cs="宋体"/>
          <w:sz w:val="21"/>
          <w:szCs w:val="21"/>
        </w:rPr>
        <w:t xml:space="preserve">承包人按第 </w:t>
      </w:r>
      <w:r>
        <w:rPr>
          <w:rFonts w:ascii="Times New Roman" w:hAnsi="Times New Roman" w:eastAsia="Times New Roman" w:cs="Times New Roman"/>
          <w:sz w:val="21"/>
          <w:szCs w:val="21"/>
        </w:rPr>
        <w:t xml:space="preserve">17.6  </w:t>
      </w:r>
      <w:r>
        <w:rPr>
          <w:rFonts w:ascii="宋体" w:hAnsi="宋体" w:eastAsia="宋体" w:cs="宋体"/>
          <w:sz w:val="21"/>
          <w:szCs w:val="21"/>
        </w:rPr>
        <w:t>款的约定提交的最终结清申请单</w:t>
      </w:r>
      <w:r>
        <w:rPr>
          <w:rFonts w:ascii="宋体" w:hAnsi="宋体" w:eastAsia="宋体" w:cs="宋体"/>
          <w:spacing w:val="-1"/>
          <w:sz w:val="21"/>
          <w:szCs w:val="21"/>
        </w:rPr>
        <w:t>中，只限于提出工程接收证书</w:t>
      </w:r>
    </w:p>
    <w:p w14:paraId="50A2DBFE">
      <w:pPr>
        <w:spacing w:line="233" w:lineRule="auto"/>
        <w:rPr>
          <w:rFonts w:ascii="宋体" w:hAnsi="宋体" w:eastAsia="宋体" w:cs="宋体"/>
          <w:sz w:val="21"/>
          <w:szCs w:val="21"/>
        </w:rPr>
        <w:sectPr>
          <w:footerReference r:id="rId109" w:type="default"/>
          <w:pgSz w:w="11910" w:h="16845"/>
          <w:pgMar w:top="400" w:right="1765" w:bottom="1110" w:left="1786" w:header="0" w:footer="883" w:gutter="0"/>
          <w:cols w:space="720" w:num="1"/>
        </w:sectPr>
      </w:pPr>
    </w:p>
    <w:p w14:paraId="7399AB1C">
      <w:pPr>
        <w:pStyle w:val="2"/>
        <w:spacing w:line="275" w:lineRule="auto"/>
      </w:pPr>
    </w:p>
    <w:p w14:paraId="46903E03">
      <w:pPr>
        <w:pStyle w:val="2"/>
        <w:spacing w:line="275" w:lineRule="auto"/>
      </w:pPr>
    </w:p>
    <w:p w14:paraId="42270872">
      <w:pPr>
        <w:pStyle w:val="2"/>
        <w:spacing w:line="275" w:lineRule="auto"/>
      </w:pPr>
    </w:p>
    <w:p w14:paraId="6872DEEE">
      <w:pPr>
        <w:pStyle w:val="2"/>
        <w:spacing w:line="275" w:lineRule="auto"/>
      </w:pPr>
    </w:p>
    <w:p w14:paraId="2B15F40F">
      <w:pPr>
        <w:spacing w:before="69" w:line="219" w:lineRule="auto"/>
        <w:ind w:left="24"/>
        <w:rPr>
          <w:rFonts w:ascii="宋体" w:hAnsi="宋体" w:eastAsia="宋体" w:cs="宋体"/>
          <w:sz w:val="21"/>
          <w:szCs w:val="21"/>
        </w:rPr>
      </w:pPr>
      <w:r>
        <w:rPr>
          <w:rFonts w:ascii="宋体" w:hAnsi="宋体" w:eastAsia="宋体" w:cs="宋体"/>
          <w:spacing w:val="-1"/>
          <w:sz w:val="21"/>
          <w:szCs w:val="21"/>
        </w:rPr>
        <w:t>颁发后发生的索赔。提出索赔的期限自接受最终结清证书时终止。</w:t>
      </w:r>
    </w:p>
    <w:p w14:paraId="4852D2C7">
      <w:pPr>
        <w:spacing w:before="130" w:line="232" w:lineRule="auto"/>
        <w:ind w:left="21"/>
        <w:outlineLvl w:val="1"/>
        <w:rPr>
          <w:rFonts w:ascii="黑体" w:hAnsi="黑体" w:eastAsia="黑体" w:cs="黑体"/>
          <w:sz w:val="24"/>
          <w:szCs w:val="24"/>
        </w:rPr>
      </w:pPr>
      <w:bookmarkStart w:id="215" w:name="bookmark188"/>
      <w:bookmarkEnd w:id="215"/>
      <w:r>
        <w:rPr>
          <w:rFonts w:ascii="Times New Roman" w:hAnsi="Times New Roman" w:eastAsia="Times New Roman" w:cs="Times New Roman"/>
          <w:spacing w:val="-1"/>
          <w:sz w:val="24"/>
          <w:szCs w:val="24"/>
        </w:rPr>
        <w:t xml:space="preserve">23.4  </w:t>
      </w:r>
      <w:r>
        <w:rPr>
          <w:rFonts w:ascii="黑体" w:hAnsi="黑体" w:eastAsia="黑体" w:cs="黑体"/>
          <w:spacing w:val="-1"/>
          <w:sz w:val="24"/>
          <w:szCs w:val="24"/>
        </w:rPr>
        <w:t>发包人的索赔</w:t>
      </w:r>
    </w:p>
    <w:p w14:paraId="1AAE31B5">
      <w:pPr>
        <w:spacing w:before="113" w:line="351" w:lineRule="auto"/>
        <w:ind w:left="24" w:right="44" w:firstLine="416"/>
        <w:rPr>
          <w:rFonts w:ascii="宋体" w:hAnsi="宋体" w:eastAsia="宋体" w:cs="宋体"/>
          <w:sz w:val="21"/>
          <w:szCs w:val="21"/>
        </w:rPr>
      </w:pPr>
      <w:r>
        <w:rPr>
          <w:rFonts w:ascii="Times New Roman" w:hAnsi="Times New Roman" w:eastAsia="Times New Roman" w:cs="Times New Roman"/>
          <w:spacing w:val="-1"/>
          <w:sz w:val="21"/>
          <w:szCs w:val="21"/>
        </w:rPr>
        <w:t xml:space="preserve">23.4.1  </w:t>
      </w:r>
      <w:r>
        <w:rPr>
          <w:rFonts w:ascii="宋体" w:hAnsi="宋体" w:eastAsia="宋体" w:cs="宋体"/>
          <w:spacing w:val="-1"/>
          <w:sz w:val="21"/>
          <w:szCs w:val="21"/>
        </w:rPr>
        <w:t>发生索赔事件后，监理人应及时</w:t>
      </w:r>
      <w:r>
        <w:rPr>
          <w:rFonts w:ascii="宋体" w:hAnsi="宋体" w:eastAsia="宋体" w:cs="宋体"/>
          <w:spacing w:val="-2"/>
          <w:sz w:val="21"/>
          <w:szCs w:val="21"/>
        </w:rPr>
        <w:t>书面通知承包人，详细说明发包人有权得到的索</w:t>
      </w:r>
      <w:r>
        <w:rPr>
          <w:rFonts w:ascii="宋体" w:hAnsi="宋体" w:eastAsia="宋体" w:cs="宋体"/>
          <w:sz w:val="21"/>
          <w:szCs w:val="21"/>
        </w:rPr>
        <w:t>赔金额和（或）延长缺陷责任期的细节和依据。发包人提出索赔的期限和要求与第</w:t>
      </w:r>
      <w:r>
        <w:rPr>
          <w:rFonts w:ascii="宋体" w:hAnsi="宋体" w:eastAsia="宋体" w:cs="宋体"/>
          <w:spacing w:val="-17"/>
          <w:sz w:val="21"/>
          <w:szCs w:val="21"/>
        </w:rPr>
        <w:t xml:space="preserve"> </w:t>
      </w:r>
      <w:r>
        <w:rPr>
          <w:rFonts w:ascii="Times New Roman" w:hAnsi="Times New Roman" w:eastAsia="Times New Roman" w:cs="Times New Roman"/>
          <w:sz w:val="21"/>
          <w:szCs w:val="21"/>
        </w:rPr>
        <w:t>23.3</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款</w:t>
      </w:r>
      <w:r>
        <w:rPr>
          <w:rFonts w:ascii="宋体" w:hAnsi="宋体" w:eastAsia="宋体" w:cs="宋体"/>
          <w:spacing w:val="-1"/>
          <w:sz w:val="21"/>
          <w:szCs w:val="21"/>
        </w:rPr>
        <w:t>的约定相同，延长缺陷责任期的通知应在缺陷责任期届满前发出。</w:t>
      </w:r>
    </w:p>
    <w:p w14:paraId="3F8CDEF3">
      <w:pPr>
        <w:spacing w:before="3" w:line="355" w:lineRule="auto"/>
        <w:ind w:left="23" w:right="44"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23.4.2  </w:t>
      </w:r>
      <w:r>
        <w:rPr>
          <w:rFonts w:ascii="宋体" w:hAnsi="宋体" w:eastAsia="宋体" w:cs="宋体"/>
          <w:spacing w:val="-1"/>
          <w:sz w:val="21"/>
          <w:szCs w:val="21"/>
        </w:rPr>
        <w:t>监理人按第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3.5</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款商定或确定发包人从承包人处得到赔付的金额和（或）缺陷责</w:t>
      </w:r>
      <w:r>
        <w:rPr>
          <w:rFonts w:ascii="宋体" w:hAnsi="宋体" w:eastAsia="宋体" w:cs="宋体"/>
          <w:spacing w:val="-2"/>
          <w:sz w:val="21"/>
          <w:szCs w:val="21"/>
        </w:rPr>
        <w:t>任期的延长期。承包人应付给发包人的金额可从拟支付给承包人的合同价款中扣除，</w:t>
      </w:r>
      <w:r>
        <w:rPr>
          <w:rFonts w:ascii="宋体" w:hAnsi="宋体" w:eastAsia="宋体" w:cs="宋体"/>
          <w:spacing w:val="-3"/>
          <w:sz w:val="21"/>
          <w:szCs w:val="21"/>
        </w:rPr>
        <w:t>或由承包人以其他方式支付给发包人。</w:t>
      </w:r>
    </w:p>
    <w:p w14:paraId="1727236F">
      <w:pPr>
        <w:spacing w:before="30" w:line="237" w:lineRule="auto"/>
        <w:ind w:left="21"/>
        <w:outlineLvl w:val="0"/>
        <w:rPr>
          <w:rFonts w:ascii="黑体" w:hAnsi="黑体" w:eastAsia="黑体" w:cs="黑体"/>
          <w:sz w:val="28"/>
          <w:szCs w:val="28"/>
        </w:rPr>
      </w:pPr>
      <w:bookmarkStart w:id="216" w:name="bookmark189"/>
      <w:bookmarkEnd w:id="216"/>
      <w:bookmarkStart w:id="217" w:name="bookmark190"/>
      <w:bookmarkEnd w:id="217"/>
      <w:r>
        <w:rPr>
          <w:rFonts w:ascii="Times New Roman" w:hAnsi="Times New Roman" w:eastAsia="Times New Roman" w:cs="Times New Roman"/>
          <w:spacing w:val="2"/>
          <w:sz w:val="28"/>
          <w:szCs w:val="28"/>
        </w:rPr>
        <w:t>24.</w:t>
      </w:r>
      <w:r>
        <w:rPr>
          <w:rFonts w:ascii="Times New Roman" w:hAnsi="Times New Roman" w:eastAsia="Times New Roman" w:cs="Times New Roman"/>
          <w:spacing w:val="17"/>
          <w:sz w:val="28"/>
          <w:szCs w:val="28"/>
        </w:rPr>
        <w:t xml:space="preserve">  </w:t>
      </w:r>
      <w:r>
        <w:rPr>
          <w:rFonts w:ascii="黑体" w:hAnsi="黑体" w:eastAsia="黑体" w:cs="黑体"/>
          <w:spacing w:val="2"/>
          <w:sz w:val="28"/>
          <w:szCs w:val="28"/>
        </w:rPr>
        <w:t>争议的解决</w:t>
      </w:r>
    </w:p>
    <w:p w14:paraId="4C3EFE42">
      <w:pPr>
        <w:spacing w:before="85" w:line="232" w:lineRule="auto"/>
        <w:ind w:left="21"/>
        <w:outlineLvl w:val="1"/>
        <w:rPr>
          <w:rFonts w:ascii="黑体" w:hAnsi="黑体" w:eastAsia="黑体" w:cs="黑体"/>
          <w:sz w:val="24"/>
          <w:szCs w:val="24"/>
        </w:rPr>
      </w:pPr>
      <w:bookmarkStart w:id="218" w:name="bookmark653"/>
      <w:bookmarkEnd w:id="218"/>
      <w:r>
        <w:rPr>
          <w:rFonts w:ascii="Times New Roman" w:hAnsi="Times New Roman" w:eastAsia="Times New Roman" w:cs="Times New Roman"/>
          <w:sz w:val="24"/>
          <w:szCs w:val="24"/>
        </w:rPr>
        <w:t xml:space="preserve">24.1  </w:t>
      </w:r>
      <w:r>
        <w:rPr>
          <w:rFonts w:ascii="黑体" w:hAnsi="黑体" w:eastAsia="黑体" w:cs="黑体"/>
          <w:sz w:val="24"/>
          <w:szCs w:val="24"/>
        </w:rPr>
        <w:t>争议的解决方式</w:t>
      </w:r>
    </w:p>
    <w:p w14:paraId="2E3FE8BA">
      <w:pPr>
        <w:spacing w:before="115" w:line="352" w:lineRule="auto"/>
        <w:ind w:left="25" w:right="61" w:firstLine="423"/>
        <w:jc w:val="both"/>
        <w:rPr>
          <w:rFonts w:ascii="宋体" w:hAnsi="宋体" w:eastAsia="宋体" w:cs="宋体"/>
          <w:sz w:val="21"/>
          <w:szCs w:val="21"/>
        </w:rPr>
      </w:pPr>
      <w:r>
        <w:rPr>
          <w:rFonts w:ascii="宋体" w:hAnsi="宋体" w:eastAsia="宋体" w:cs="宋体"/>
          <w:spacing w:val="3"/>
          <w:sz w:val="21"/>
          <w:szCs w:val="21"/>
        </w:rPr>
        <w:t>发包人和承包人在履行合同中发生争议的，可以友好协商解决或者</w:t>
      </w:r>
      <w:r>
        <w:rPr>
          <w:rFonts w:ascii="宋体" w:hAnsi="宋体" w:eastAsia="宋体" w:cs="宋体"/>
          <w:spacing w:val="2"/>
          <w:sz w:val="21"/>
          <w:szCs w:val="21"/>
        </w:rPr>
        <w:t>提请争议评审组评</w:t>
      </w:r>
      <w:r>
        <w:rPr>
          <w:rFonts w:ascii="宋体" w:hAnsi="宋体" w:eastAsia="宋体" w:cs="宋体"/>
          <w:spacing w:val="-2"/>
          <w:sz w:val="21"/>
          <w:szCs w:val="21"/>
        </w:rPr>
        <w:t>审。合同当事人友好协商解决不成、不愿提请争议评审或者不接受争议评审组意</w:t>
      </w:r>
      <w:r>
        <w:rPr>
          <w:rFonts w:ascii="宋体" w:hAnsi="宋体" w:eastAsia="宋体" w:cs="宋体"/>
          <w:spacing w:val="-3"/>
          <w:sz w:val="21"/>
          <w:szCs w:val="21"/>
        </w:rPr>
        <w:t>见的，可在</w:t>
      </w:r>
      <w:r>
        <w:rPr>
          <w:rFonts w:ascii="宋体" w:hAnsi="宋体" w:eastAsia="宋体" w:cs="宋体"/>
          <w:spacing w:val="-2"/>
          <w:sz w:val="21"/>
          <w:szCs w:val="21"/>
        </w:rPr>
        <w:t>专用合同条款中约定下列一种方式解决。</w:t>
      </w:r>
    </w:p>
    <w:p w14:paraId="1D250B30">
      <w:pPr>
        <w:spacing w:line="232"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）向约定的仲裁委员会申请仲裁；</w:t>
      </w:r>
    </w:p>
    <w:p w14:paraId="0957002F">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）向有管辖权的人民法院提起诉讼。</w:t>
      </w:r>
    </w:p>
    <w:p w14:paraId="2D61C3C2">
      <w:pPr>
        <w:spacing w:before="116" w:line="233" w:lineRule="auto"/>
        <w:ind w:left="21"/>
        <w:outlineLvl w:val="1"/>
        <w:rPr>
          <w:rFonts w:ascii="黑体" w:hAnsi="黑体" w:eastAsia="黑体" w:cs="黑体"/>
          <w:sz w:val="24"/>
          <w:szCs w:val="24"/>
        </w:rPr>
      </w:pPr>
      <w:bookmarkStart w:id="219" w:name="bookmark191"/>
      <w:bookmarkEnd w:id="219"/>
      <w:r>
        <w:rPr>
          <w:rFonts w:ascii="Times New Roman" w:hAnsi="Times New Roman" w:eastAsia="Times New Roman" w:cs="Times New Roman"/>
          <w:spacing w:val="-1"/>
          <w:sz w:val="24"/>
          <w:szCs w:val="24"/>
        </w:rPr>
        <w:t xml:space="preserve">24.2  </w:t>
      </w:r>
      <w:r>
        <w:rPr>
          <w:rFonts w:ascii="黑体" w:hAnsi="黑体" w:eastAsia="黑体" w:cs="黑体"/>
          <w:spacing w:val="-1"/>
          <w:sz w:val="24"/>
          <w:szCs w:val="24"/>
        </w:rPr>
        <w:t>友好解决</w:t>
      </w:r>
    </w:p>
    <w:p w14:paraId="6A432DEA">
      <w:pPr>
        <w:spacing w:before="113" w:line="345" w:lineRule="auto"/>
        <w:ind w:left="24" w:right="41" w:firstLine="419"/>
        <w:rPr>
          <w:rFonts w:ascii="宋体" w:hAnsi="宋体" w:eastAsia="宋体" w:cs="宋体"/>
          <w:sz w:val="21"/>
          <w:szCs w:val="21"/>
        </w:rPr>
      </w:pPr>
      <w:r>
        <w:rPr>
          <w:rFonts w:ascii="宋体" w:hAnsi="宋体" w:eastAsia="宋体" w:cs="宋体"/>
          <w:spacing w:val="-6"/>
          <w:sz w:val="21"/>
          <w:szCs w:val="21"/>
        </w:rPr>
        <w:t>在提请争议评审、仲裁或者诉讼前，</w:t>
      </w:r>
      <w:r>
        <w:rPr>
          <w:rFonts w:ascii="宋体" w:hAnsi="宋体" w:eastAsia="宋体" w:cs="宋体"/>
          <w:spacing w:val="64"/>
          <w:sz w:val="21"/>
          <w:szCs w:val="21"/>
        </w:rPr>
        <w:t xml:space="preserve"> </w:t>
      </w:r>
      <w:r>
        <w:rPr>
          <w:rFonts w:ascii="宋体" w:hAnsi="宋体" w:eastAsia="宋体" w:cs="宋体"/>
          <w:spacing w:val="-6"/>
          <w:sz w:val="21"/>
          <w:szCs w:val="21"/>
        </w:rPr>
        <w:t>以及在争议评审、仲裁或诉讼过程中</w:t>
      </w:r>
      <w:r>
        <w:rPr>
          <w:rFonts w:ascii="宋体" w:hAnsi="宋体" w:eastAsia="宋体" w:cs="宋体"/>
          <w:spacing w:val="-7"/>
          <w:sz w:val="21"/>
          <w:szCs w:val="21"/>
        </w:rPr>
        <w:t>，发包人和承</w:t>
      </w:r>
      <w:r>
        <w:rPr>
          <w:rFonts w:ascii="宋体" w:hAnsi="宋体" w:eastAsia="宋体" w:cs="宋体"/>
          <w:spacing w:val="-2"/>
          <w:sz w:val="21"/>
          <w:szCs w:val="21"/>
        </w:rPr>
        <w:t>包人均可共同努力友好协商解决争议。</w:t>
      </w:r>
    </w:p>
    <w:p w14:paraId="2A827622">
      <w:pPr>
        <w:spacing w:line="232" w:lineRule="auto"/>
        <w:ind w:left="21"/>
        <w:outlineLvl w:val="1"/>
        <w:rPr>
          <w:rFonts w:ascii="黑体" w:hAnsi="黑体" w:eastAsia="黑体" w:cs="黑体"/>
          <w:sz w:val="24"/>
          <w:szCs w:val="24"/>
        </w:rPr>
      </w:pPr>
      <w:bookmarkStart w:id="220" w:name="bookmark192"/>
      <w:bookmarkEnd w:id="220"/>
      <w:r>
        <w:rPr>
          <w:rFonts w:ascii="Times New Roman" w:hAnsi="Times New Roman" w:eastAsia="Times New Roman" w:cs="Times New Roman"/>
          <w:spacing w:val="-3"/>
          <w:sz w:val="24"/>
          <w:szCs w:val="24"/>
        </w:rPr>
        <w:t>24.3</w:t>
      </w:r>
      <w:r>
        <w:rPr>
          <w:rFonts w:ascii="Times New Roman" w:hAnsi="Times New Roman" w:eastAsia="Times New Roman" w:cs="Times New Roman"/>
          <w:spacing w:val="11"/>
          <w:sz w:val="24"/>
          <w:szCs w:val="24"/>
        </w:rPr>
        <w:t xml:space="preserve">  </w:t>
      </w:r>
      <w:r>
        <w:rPr>
          <w:rFonts w:ascii="黑体" w:hAnsi="黑体" w:eastAsia="黑体" w:cs="黑体"/>
          <w:spacing w:val="-3"/>
          <w:sz w:val="24"/>
          <w:szCs w:val="24"/>
        </w:rPr>
        <w:t>争议评审</w:t>
      </w:r>
    </w:p>
    <w:p w14:paraId="56EBEAAA">
      <w:pPr>
        <w:spacing w:before="115" w:line="348" w:lineRule="auto"/>
        <w:ind w:left="28" w:right="48" w:firstLine="412"/>
        <w:rPr>
          <w:rFonts w:ascii="宋体" w:hAnsi="宋体" w:eastAsia="宋体" w:cs="宋体"/>
          <w:sz w:val="21"/>
          <w:szCs w:val="21"/>
        </w:rPr>
      </w:pPr>
      <w:r>
        <w:rPr>
          <w:rFonts w:ascii="Times New Roman" w:hAnsi="Times New Roman" w:eastAsia="Times New Roman" w:cs="Times New Roman"/>
          <w:sz w:val="21"/>
          <w:szCs w:val="21"/>
        </w:rPr>
        <w:t xml:space="preserve">24.3.1  </w:t>
      </w:r>
      <w:r>
        <w:rPr>
          <w:rFonts w:ascii="宋体" w:hAnsi="宋体" w:eastAsia="宋体" w:cs="宋体"/>
          <w:sz w:val="21"/>
          <w:szCs w:val="21"/>
        </w:rPr>
        <w:t>采用争议评审的，发包人和承包人应在开工日后的</w:t>
      </w:r>
      <w:r>
        <w:rPr>
          <w:rFonts w:ascii="宋体" w:hAnsi="宋体" w:eastAsia="宋体" w:cs="宋体"/>
          <w:spacing w:val="-37"/>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天内或在争议发生后，协</w:t>
      </w:r>
      <w:r>
        <w:rPr>
          <w:rFonts w:ascii="宋体" w:hAnsi="宋体" w:eastAsia="宋体" w:cs="宋体"/>
          <w:spacing w:val="-1"/>
          <w:sz w:val="21"/>
          <w:szCs w:val="21"/>
        </w:rPr>
        <w:t>商成立争议评审组。争议评审组由有合同管理和工程实践经验的专家组成。</w:t>
      </w:r>
    </w:p>
    <w:p w14:paraId="5C6BDF49">
      <w:pPr>
        <w:spacing w:before="19" w:line="349" w:lineRule="auto"/>
        <w:ind w:left="26" w:firstLine="414"/>
        <w:rPr>
          <w:rFonts w:ascii="宋体" w:hAnsi="宋体" w:eastAsia="宋体" w:cs="宋体"/>
          <w:sz w:val="21"/>
          <w:szCs w:val="21"/>
        </w:rPr>
      </w:pPr>
      <w:r>
        <w:rPr>
          <w:rFonts w:ascii="Times New Roman" w:hAnsi="Times New Roman" w:eastAsia="Times New Roman" w:cs="Times New Roman"/>
          <w:sz w:val="21"/>
          <w:szCs w:val="21"/>
        </w:rPr>
        <w:t xml:space="preserve">24.3.2  </w:t>
      </w:r>
      <w:r>
        <w:rPr>
          <w:rFonts w:ascii="宋体" w:hAnsi="宋体" w:eastAsia="宋体" w:cs="宋体"/>
          <w:sz w:val="21"/>
          <w:szCs w:val="21"/>
        </w:rPr>
        <w:t>合同双方的争议，应首先由申请人</w:t>
      </w:r>
      <w:r>
        <w:rPr>
          <w:rFonts w:ascii="宋体" w:hAnsi="宋体" w:eastAsia="宋体" w:cs="宋体"/>
          <w:spacing w:val="-1"/>
          <w:sz w:val="21"/>
          <w:szCs w:val="21"/>
        </w:rPr>
        <w:t>向争议评审组提交一份详细的评审申请报告，</w:t>
      </w:r>
      <w:r>
        <w:rPr>
          <w:rFonts w:ascii="宋体" w:hAnsi="宋体" w:eastAsia="宋体" w:cs="宋体"/>
          <w:spacing w:val="-4"/>
          <w:sz w:val="21"/>
          <w:szCs w:val="21"/>
        </w:rPr>
        <w:t>并附必要的文件、图纸和证明材料，</w:t>
      </w:r>
      <w:r>
        <w:rPr>
          <w:rFonts w:ascii="宋体" w:hAnsi="宋体" w:eastAsia="宋体" w:cs="宋体"/>
          <w:spacing w:val="-21"/>
          <w:sz w:val="21"/>
          <w:szCs w:val="21"/>
        </w:rPr>
        <w:t xml:space="preserve"> </w:t>
      </w:r>
      <w:r>
        <w:rPr>
          <w:rFonts w:ascii="宋体" w:hAnsi="宋体" w:eastAsia="宋体" w:cs="宋体"/>
          <w:spacing w:val="-4"/>
          <w:sz w:val="21"/>
          <w:szCs w:val="21"/>
        </w:rPr>
        <w:t>申请人还应将上述报告的副本同时提</w:t>
      </w:r>
      <w:r>
        <w:rPr>
          <w:rFonts w:ascii="宋体" w:hAnsi="宋体" w:eastAsia="宋体" w:cs="宋体"/>
          <w:spacing w:val="-5"/>
          <w:sz w:val="21"/>
          <w:szCs w:val="21"/>
        </w:rPr>
        <w:t>交给被申请人和监</w:t>
      </w:r>
      <w:r>
        <w:rPr>
          <w:rFonts w:ascii="宋体" w:hAnsi="宋体" w:eastAsia="宋体" w:cs="宋体"/>
          <w:spacing w:val="-9"/>
          <w:sz w:val="21"/>
          <w:szCs w:val="21"/>
        </w:rPr>
        <w:t>理人。</w:t>
      </w:r>
    </w:p>
    <w:p w14:paraId="6CABA48D">
      <w:pPr>
        <w:spacing w:before="9" w:line="335" w:lineRule="auto"/>
        <w:ind w:left="24" w:right="48" w:firstLine="416"/>
        <w:rPr>
          <w:rFonts w:ascii="宋体" w:hAnsi="宋体" w:eastAsia="宋体" w:cs="宋体"/>
          <w:sz w:val="21"/>
          <w:szCs w:val="21"/>
        </w:rPr>
      </w:pPr>
      <w:r>
        <w:rPr>
          <w:rFonts w:ascii="Times New Roman" w:hAnsi="Times New Roman" w:eastAsia="Times New Roman" w:cs="Times New Roman"/>
          <w:sz w:val="21"/>
          <w:szCs w:val="21"/>
        </w:rPr>
        <w:t xml:space="preserve">24.3.3  </w:t>
      </w:r>
      <w:r>
        <w:rPr>
          <w:rFonts w:ascii="宋体" w:hAnsi="宋体" w:eastAsia="宋体" w:cs="宋体"/>
          <w:sz w:val="21"/>
          <w:szCs w:val="21"/>
        </w:rPr>
        <w:t>被申请人在收到申请人评审申请报告副本后的</w:t>
      </w:r>
      <w:r>
        <w:rPr>
          <w:rFonts w:ascii="宋体" w:hAnsi="宋体" w:eastAsia="宋体" w:cs="宋体"/>
          <w:spacing w:val="-36"/>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天内，向争议评审组提交一份</w:t>
      </w:r>
      <w:r>
        <w:rPr>
          <w:rFonts w:ascii="宋体" w:hAnsi="宋体" w:eastAsia="宋体" w:cs="宋体"/>
          <w:spacing w:val="-1"/>
          <w:sz w:val="21"/>
          <w:szCs w:val="21"/>
        </w:rPr>
        <w:t>答辩报告，并附证明材料。被申请人应将答辩报告的副本同时提交给申请人和监理人。</w:t>
      </w:r>
    </w:p>
    <w:p w14:paraId="62541BC0">
      <w:pPr>
        <w:spacing w:before="33" w:line="348" w:lineRule="auto"/>
        <w:ind w:left="22" w:right="50" w:firstLine="418"/>
        <w:rPr>
          <w:rFonts w:ascii="宋体" w:hAnsi="宋体" w:eastAsia="宋体" w:cs="宋体"/>
          <w:sz w:val="21"/>
          <w:szCs w:val="21"/>
        </w:rPr>
      </w:pPr>
      <w:r>
        <w:rPr>
          <w:rFonts w:ascii="Times New Roman" w:hAnsi="Times New Roman" w:eastAsia="Times New Roman" w:cs="Times New Roman"/>
          <w:sz w:val="21"/>
          <w:szCs w:val="21"/>
        </w:rPr>
        <w:t xml:space="preserve">24.3.4  </w:t>
      </w:r>
      <w:r>
        <w:rPr>
          <w:rFonts w:ascii="宋体" w:hAnsi="宋体" w:eastAsia="宋体" w:cs="宋体"/>
          <w:sz w:val="21"/>
          <w:szCs w:val="21"/>
        </w:rPr>
        <w:t>除专用合同条款另有约定外，争议评审组在收到合同</w:t>
      </w:r>
      <w:r>
        <w:rPr>
          <w:rFonts w:ascii="宋体" w:hAnsi="宋体" w:eastAsia="宋体" w:cs="宋体"/>
          <w:spacing w:val="-1"/>
          <w:sz w:val="21"/>
          <w:szCs w:val="21"/>
        </w:rPr>
        <w:t>双方报告后的</w:t>
      </w:r>
      <w:r>
        <w:rPr>
          <w:rFonts w:ascii="宋体" w:hAnsi="宋体" w:eastAsia="宋体" w:cs="宋体"/>
          <w:spacing w:val="-26"/>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天内，邀</w:t>
      </w:r>
      <w:r>
        <w:rPr>
          <w:rFonts w:ascii="宋体" w:hAnsi="宋体" w:eastAsia="宋体" w:cs="宋体"/>
          <w:spacing w:val="-2"/>
          <w:sz w:val="21"/>
          <w:szCs w:val="21"/>
        </w:rPr>
        <w:t>请双方代表和有关人员举行调查会，向双方调查争议细节；必要时争议评审组可要求双方进</w:t>
      </w:r>
      <w:r>
        <w:rPr>
          <w:rFonts w:ascii="宋体" w:hAnsi="宋体" w:eastAsia="宋体" w:cs="宋体"/>
          <w:spacing w:val="-4"/>
          <w:sz w:val="21"/>
          <w:szCs w:val="21"/>
        </w:rPr>
        <w:t>一步提供补充材料。</w:t>
      </w:r>
    </w:p>
    <w:p w14:paraId="66BD95E8">
      <w:pPr>
        <w:spacing w:before="15" w:line="348" w:lineRule="auto"/>
        <w:ind w:left="23" w:right="41" w:firstLine="417"/>
        <w:rPr>
          <w:rFonts w:ascii="宋体" w:hAnsi="宋体" w:eastAsia="宋体" w:cs="宋体"/>
          <w:sz w:val="21"/>
          <w:szCs w:val="21"/>
        </w:rPr>
      </w:pPr>
      <w:r>
        <w:rPr>
          <w:rFonts w:ascii="Times New Roman" w:hAnsi="Times New Roman" w:eastAsia="Times New Roman" w:cs="Times New Roman"/>
          <w:sz w:val="21"/>
          <w:szCs w:val="21"/>
        </w:rPr>
        <w:t xml:space="preserve">24.3.5  </w:t>
      </w:r>
      <w:r>
        <w:rPr>
          <w:rFonts w:ascii="宋体" w:hAnsi="宋体" w:eastAsia="宋体" w:cs="宋体"/>
          <w:sz w:val="21"/>
          <w:szCs w:val="21"/>
        </w:rPr>
        <w:t>除专用合同条款另有约定外，在调查会结束后的</w:t>
      </w:r>
      <w:r>
        <w:rPr>
          <w:rFonts w:ascii="宋体" w:hAnsi="宋体" w:eastAsia="宋体" w:cs="宋体"/>
          <w:spacing w:val="-24"/>
          <w:sz w:val="21"/>
          <w:szCs w:val="21"/>
        </w:rPr>
        <w:t xml:space="preserve"> </w:t>
      </w:r>
      <w:r>
        <w:rPr>
          <w:rFonts w:ascii="Times New Roman" w:hAnsi="Times New Roman" w:eastAsia="Times New Roman" w:cs="Times New Roman"/>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天内，争议评审组应在不受</w:t>
      </w:r>
      <w:r>
        <w:rPr>
          <w:rFonts w:ascii="宋体" w:hAnsi="宋体" w:eastAsia="宋体" w:cs="宋体"/>
          <w:spacing w:val="-5"/>
          <w:sz w:val="21"/>
          <w:szCs w:val="21"/>
        </w:rPr>
        <w:t>任何干扰的情况下进行独立、公正的评审，</w:t>
      </w:r>
      <w:r>
        <w:rPr>
          <w:rFonts w:ascii="宋体" w:hAnsi="宋体" w:eastAsia="宋体" w:cs="宋体"/>
          <w:spacing w:val="41"/>
          <w:sz w:val="21"/>
          <w:szCs w:val="21"/>
        </w:rPr>
        <w:t xml:space="preserve"> </w:t>
      </w:r>
      <w:r>
        <w:rPr>
          <w:rFonts w:ascii="宋体" w:hAnsi="宋体" w:eastAsia="宋体" w:cs="宋体"/>
          <w:spacing w:val="-5"/>
          <w:sz w:val="21"/>
          <w:szCs w:val="21"/>
        </w:rPr>
        <w:t>作出书面评审意见，并说</w:t>
      </w:r>
      <w:r>
        <w:rPr>
          <w:rFonts w:ascii="宋体" w:hAnsi="宋体" w:eastAsia="宋体" w:cs="宋体"/>
          <w:spacing w:val="-6"/>
          <w:sz w:val="21"/>
          <w:szCs w:val="21"/>
        </w:rPr>
        <w:t>明理由。在争议评审期</w:t>
      </w:r>
      <w:r>
        <w:rPr>
          <w:rFonts w:ascii="宋体" w:hAnsi="宋体" w:eastAsia="宋体" w:cs="宋体"/>
          <w:spacing w:val="-2"/>
          <w:sz w:val="21"/>
          <w:szCs w:val="21"/>
        </w:rPr>
        <w:t>间，争议双方暂按总监理工程师的确定执行。</w:t>
      </w:r>
    </w:p>
    <w:p w14:paraId="02EA4F82">
      <w:pPr>
        <w:spacing w:before="14" w:line="348" w:lineRule="auto"/>
        <w:ind w:left="24" w:right="44" w:firstLine="416"/>
        <w:rPr>
          <w:rFonts w:ascii="宋体" w:hAnsi="宋体" w:eastAsia="宋体" w:cs="宋体"/>
          <w:sz w:val="21"/>
          <w:szCs w:val="21"/>
        </w:rPr>
      </w:pPr>
      <w:r>
        <w:rPr>
          <w:rFonts w:ascii="Times New Roman" w:hAnsi="Times New Roman" w:eastAsia="Times New Roman" w:cs="Times New Roman"/>
          <w:spacing w:val="-1"/>
          <w:sz w:val="21"/>
          <w:szCs w:val="21"/>
        </w:rPr>
        <w:t xml:space="preserve">24.3.6  </w:t>
      </w:r>
      <w:r>
        <w:rPr>
          <w:rFonts w:ascii="宋体" w:hAnsi="宋体" w:eastAsia="宋体" w:cs="宋体"/>
          <w:spacing w:val="-1"/>
          <w:sz w:val="21"/>
          <w:szCs w:val="21"/>
        </w:rPr>
        <w:t>发包人和承包人接受评审意见的</w:t>
      </w:r>
      <w:r>
        <w:rPr>
          <w:rFonts w:ascii="宋体" w:hAnsi="宋体" w:eastAsia="宋体" w:cs="宋体"/>
          <w:spacing w:val="-2"/>
          <w:sz w:val="21"/>
          <w:szCs w:val="21"/>
        </w:rPr>
        <w:t>，由监理人根据评审意见拟定执行协议，经争议双方签字后作为合同的补充文件，并遵照执行。</w:t>
      </w:r>
    </w:p>
    <w:p w14:paraId="75166C06">
      <w:pPr>
        <w:spacing w:line="348" w:lineRule="auto"/>
        <w:rPr>
          <w:rFonts w:ascii="宋体" w:hAnsi="宋体" w:eastAsia="宋体" w:cs="宋体"/>
          <w:sz w:val="21"/>
          <w:szCs w:val="21"/>
        </w:rPr>
        <w:sectPr>
          <w:footerReference r:id="rId110" w:type="default"/>
          <w:pgSz w:w="11910" w:h="16845"/>
          <w:pgMar w:top="400" w:right="1721" w:bottom="1110" w:left="1786" w:header="0" w:footer="883" w:gutter="0"/>
          <w:cols w:space="720" w:num="1"/>
        </w:sectPr>
      </w:pPr>
    </w:p>
    <w:p w14:paraId="793D419D">
      <w:pPr>
        <w:pStyle w:val="2"/>
        <w:spacing w:line="275" w:lineRule="auto"/>
      </w:pPr>
    </w:p>
    <w:p w14:paraId="5209E74D">
      <w:pPr>
        <w:pStyle w:val="2"/>
        <w:spacing w:line="275" w:lineRule="auto"/>
      </w:pPr>
    </w:p>
    <w:p w14:paraId="67F182DE">
      <w:pPr>
        <w:pStyle w:val="2"/>
        <w:spacing w:line="275" w:lineRule="auto"/>
      </w:pPr>
    </w:p>
    <w:p w14:paraId="548C2DFD">
      <w:pPr>
        <w:pStyle w:val="2"/>
        <w:spacing w:line="276" w:lineRule="auto"/>
      </w:pPr>
    </w:p>
    <w:p w14:paraId="434255F8">
      <w:pPr>
        <w:spacing w:before="69" w:line="344" w:lineRule="auto"/>
        <w:ind w:left="27" w:firstLine="413"/>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24.3.7  </w:t>
      </w:r>
      <w:r>
        <w:rPr>
          <w:rFonts w:ascii="宋体" w:hAnsi="宋体" w:eastAsia="宋体" w:cs="宋体"/>
          <w:spacing w:val="-1"/>
          <w:sz w:val="21"/>
          <w:szCs w:val="21"/>
        </w:rPr>
        <w:t>发包人或承包人不接受评审意见</w:t>
      </w:r>
      <w:r>
        <w:rPr>
          <w:rFonts w:ascii="宋体" w:hAnsi="宋体" w:eastAsia="宋体" w:cs="宋体"/>
          <w:spacing w:val="-2"/>
          <w:sz w:val="21"/>
          <w:szCs w:val="21"/>
        </w:rPr>
        <w:t>，并要求提交仲裁或提起诉讼的，应在收到评审</w:t>
      </w:r>
      <w:r>
        <w:rPr>
          <w:rFonts w:ascii="宋体" w:hAnsi="宋体" w:eastAsia="宋体" w:cs="宋体"/>
          <w:spacing w:val="-1"/>
          <w:sz w:val="21"/>
          <w:szCs w:val="21"/>
        </w:rPr>
        <w:t>意见后的</w:t>
      </w:r>
      <w:r>
        <w:rPr>
          <w:rFonts w:ascii="宋体" w:hAnsi="宋体" w:eastAsia="宋体" w:cs="宋体"/>
          <w:spacing w:val="-13"/>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天内将仲裁或起诉意向书面通知另一方，并抄送监理人，但在仲裁或诉讼结束</w:t>
      </w:r>
      <w:r>
        <w:rPr>
          <w:rFonts w:ascii="宋体" w:hAnsi="宋体" w:eastAsia="宋体" w:cs="宋体"/>
          <w:spacing w:val="-3"/>
          <w:sz w:val="21"/>
          <w:szCs w:val="21"/>
        </w:rPr>
        <w:t>前应暂按总监理工程师的确定执行。</w:t>
      </w:r>
    </w:p>
    <w:p w14:paraId="0A013314">
      <w:pPr>
        <w:spacing w:line="344" w:lineRule="auto"/>
        <w:rPr>
          <w:rFonts w:ascii="宋体" w:hAnsi="宋体" w:eastAsia="宋体" w:cs="宋体"/>
          <w:sz w:val="21"/>
          <w:szCs w:val="21"/>
        </w:rPr>
        <w:sectPr>
          <w:footerReference r:id="rId111" w:type="default"/>
          <w:pgSz w:w="11910" w:h="16845"/>
          <w:pgMar w:top="400" w:right="1765" w:bottom="1110" w:left="1786" w:header="0" w:footer="883" w:gutter="0"/>
          <w:cols w:space="720" w:num="1"/>
        </w:sectPr>
      </w:pPr>
    </w:p>
    <w:p w14:paraId="1C1CE2F3">
      <w:pPr>
        <w:pStyle w:val="2"/>
        <w:spacing w:line="253" w:lineRule="auto"/>
      </w:pPr>
    </w:p>
    <w:p w14:paraId="02C2224F">
      <w:pPr>
        <w:pStyle w:val="2"/>
        <w:spacing w:line="253" w:lineRule="auto"/>
      </w:pPr>
    </w:p>
    <w:p w14:paraId="28D73215">
      <w:pPr>
        <w:pStyle w:val="2"/>
        <w:spacing w:line="253" w:lineRule="auto"/>
      </w:pPr>
    </w:p>
    <w:p w14:paraId="4ED86A61">
      <w:pPr>
        <w:pStyle w:val="2"/>
        <w:spacing w:line="253" w:lineRule="auto"/>
      </w:pPr>
    </w:p>
    <w:p w14:paraId="02922DA2">
      <w:pPr>
        <w:pStyle w:val="2"/>
        <w:spacing w:line="253" w:lineRule="auto"/>
      </w:pPr>
    </w:p>
    <w:p w14:paraId="1CE45C17">
      <w:pPr>
        <w:pStyle w:val="2"/>
        <w:spacing w:line="254" w:lineRule="auto"/>
      </w:pPr>
    </w:p>
    <w:p w14:paraId="4942A132">
      <w:pPr>
        <w:pStyle w:val="2"/>
        <w:spacing w:line="254" w:lineRule="auto"/>
      </w:pPr>
    </w:p>
    <w:p w14:paraId="48ACE13D">
      <w:pPr>
        <w:pStyle w:val="2"/>
        <w:spacing w:line="254" w:lineRule="auto"/>
      </w:pPr>
    </w:p>
    <w:p w14:paraId="7D93495A">
      <w:pPr>
        <w:pStyle w:val="2"/>
        <w:spacing w:line="254" w:lineRule="auto"/>
      </w:pPr>
    </w:p>
    <w:p w14:paraId="7DD3677A">
      <w:pPr>
        <w:pStyle w:val="2"/>
        <w:spacing w:line="254" w:lineRule="auto"/>
      </w:pPr>
    </w:p>
    <w:p w14:paraId="1682624D">
      <w:pPr>
        <w:pStyle w:val="2"/>
        <w:spacing w:line="254" w:lineRule="auto"/>
      </w:pPr>
    </w:p>
    <w:p w14:paraId="7320B0B7">
      <w:pPr>
        <w:pStyle w:val="2"/>
        <w:spacing w:line="254" w:lineRule="auto"/>
      </w:pPr>
    </w:p>
    <w:p w14:paraId="1AA96835">
      <w:pPr>
        <w:pStyle w:val="2"/>
        <w:spacing w:line="254" w:lineRule="auto"/>
      </w:pPr>
    </w:p>
    <w:p w14:paraId="283328D8">
      <w:pPr>
        <w:spacing w:before="91" w:line="222" w:lineRule="auto"/>
        <w:ind w:left="2760"/>
        <w:outlineLvl w:val="0"/>
        <w:rPr>
          <w:rFonts w:ascii="黑体" w:hAnsi="黑体" w:eastAsia="黑体" w:cs="黑体"/>
          <w:sz w:val="28"/>
          <w:szCs w:val="28"/>
        </w:rPr>
      </w:pPr>
      <w:bookmarkStart w:id="221" w:name="bookmark193"/>
      <w:bookmarkEnd w:id="221"/>
      <w:r>
        <w:rPr>
          <w:rFonts w:ascii="黑体" w:hAnsi="黑体" w:eastAsia="黑体" w:cs="黑体"/>
          <w:spacing w:val="7"/>
          <w:sz w:val="28"/>
          <w:szCs w:val="28"/>
        </w:rPr>
        <w:t>第二节</w:t>
      </w:r>
      <w:r>
        <w:rPr>
          <w:rFonts w:ascii="黑体" w:hAnsi="黑体" w:eastAsia="黑体" w:cs="黑体"/>
          <w:spacing w:val="121"/>
          <w:sz w:val="28"/>
          <w:szCs w:val="28"/>
        </w:rPr>
        <w:t xml:space="preserve"> </w:t>
      </w:r>
      <w:r>
        <w:rPr>
          <w:rFonts w:ascii="黑体" w:hAnsi="黑体" w:eastAsia="黑体" w:cs="黑体"/>
          <w:spacing w:val="7"/>
          <w:sz w:val="28"/>
          <w:szCs w:val="28"/>
        </w:rPr>
        <w:t>专用合同条款</w:t>
      </w:r>
    </w:p>
    <w:p w14:paraId="5C2B8EE8">
      <w:pPr>
        <w:spacing w:line="222" w:lineRule="auto"/>
        <w:rPr>
          <w:rFonts w:ascii="黑体" w:hAnsi="黑体" w:eastAsia="黑体" w:cs="黑体"/>
          <w:sz w:val="28"/>
          <w:szCs w:val="28"/>
        </w:rPr>
        <w:sectPr>
          <w:footerReference r:id="rId112" w:type="default"/>
          <w:pgSz w:w="11910" w:h="16845"/>
          <w:pgMar w:top="400" w:right="1786" w:bottom="1110" w:left="1786" w:header="0" w:footer="883" w:gutter="0"/>
          <w:cols w:space="720" w:num="1"/>
        </w:sectPr>
      </w:pPr>
    </w:p>
    <w:p w14:paraId="662E8E9C">
      <w:pPr>
        <w:pStyle w:val="2"/>
        <w:spacing w:line="253" w:lineRule="auto"/>
      </w:pPr>
    </w:p>
    <w:p w14:paraId="767CB773">
      <w:pPr>
        <w:pStyle w:val="2"/>
        <w:spacing w:line="253" w:lineRule="auto"/>
      </w:pPr>
    </w:p>
    <w:p w14:paraId="6C95B584">
      <w:pPr>
        <w:pStyle w:val="2"/>
        <w:spacing w:line="253" w:lineRule="auto"/>
      </w:pPr>
    </w:p>
    <w:p w14:paraId="365AE576">
      <w:pPr>
        <w:pStyle w:val="2"/>
        <w:spacing w:line="254" w:lineRule="auto"/>
      </w:pPr>
    </w:p>
    <w:p w14:paraId="78330E50">
      <w:pPr>
        <w:spacing w:before="91" w:line="224" w:lineRule="auto"/>
        <w:ind w:left="3321"/>
        <w:rPr>
          <w:rFonts w:ascii="黑体" w:hAnsi="黑体" w:eastAsia="黑体" w:cs="黑体"/>
          <w:sz w:val="28"/>
          <w:szCs w:val="28"/>
        </w:rPr>
      </w:pPr>
      <w:bookmarkStart w:id="222" w:name="bookmark194"/>
      <w:bookmarkEnd w:id="222"/>
      <w:r>
        <w:rPr>
          <w:rFonts w:ascii="黑体" w:hAnsi="黑体" w:eastAsia="黑体" w:cs="黑体"/>
          <w:spacing w:val="6"/>
          <w:sz w:val="28"/>
          <w:szCs w:val="28"/>
        </w:rPr>
        <w:t>专用合同条款</w:t>
      </w:r>
    </w:p>
    <w:p w14:paraId="60B3E967">
      <w:pPr>
        <w:spacing w:before="170" w:line="236" w:lineRule="auto"/>
        <w:ind w:left="49"/>
        <w:outlineLvl w:val="0"/>
        <w:rPr>
          <w:rFonts w:ascii="黑体" w:hAnsi="黑体" w:eastAsia="黑体" w:cs="黑体"/>
          <w:sz w:val="28"/>
          <w:szCs w:val="28"/>
        </w:rPr>
      </w:pPr>
      <w:bookmarkStart w:id="223" w:name="bookmark195"/>
      <w:bookmarkEnd w:id="223"/>
      <w:r>
        <w:rPr>
          <w:rFonts w:ascii="Times New Roman" w:hAnsi="Times New Roman" w:eastAsia="Times New Roman" w:cs="Times New Roman"/>
          <w:spacing w:val="3"/>
          <w:sz w:val="28"/>
          <w:szCs w:val="28"/>
        </w:rPr>
        <w:t>1.</w:t>
      </w:r>
      <w:r>
        <w:rPr>
          <w:rFonts w:ascii="黑体" w:hAnsi="黑体" w:eastAsia="黑体" w:cs="黑体"/>
          <w:spacing w:val="3"/>
          <w:sz w:val="28"/>
          <w:szCs w:val="28"/>
        </w:rPr>
        <w:t>一般约定</w:t>
      </w:r>
    </w:p>
    <w:p w14:paraId="607F049F">
      <w:pPr>
        <w:spacing w:before="72" w:line="233" w:lineRule="auto"/>
        <w:ind w:left="44"/>
        <w:outlineLvl w:val="1"/>
        <w:rPr>
          <w:rFonts w:ascii="黑体" w:hAnsi="黑体" w:eastAsia="黑体" w:cs="黑体"/>
          <w:sz w:val="24"/>
          <w:szCs w:val="24"/>
        </w:rPr>
      </w:pPr>
      <w:bookmarkStart w:id="224" w:name="bookmark654"/>
      <w:bookmarkEnd w:id="224"/>
      <w:r>
        <w:rPr>
          <w:rFonts w:ascii="Times New Roman" w:hAnsi="Times New Roman" w:eastAsia="Times New Roman" w:cs="Times New Roman"/>
          <w:spacing w:val="-6"/>
          <w:sz w:val="24"/>
          <w:szCs w:val="24"/>
        </w:rPr>
        <w:t>1.1</w:t>
      </w:r>
      <w:r>
        <w:rPr>
          <w:rFonts w:ascii="Times New Roman" w:hAnsi="Times New Roman" w:eastAsia="Times New Roman" w:cs="Times New Roman"/>
          <w:spacing w:val="17"/>
          <w:w w:val="101"/>
          <w:sz w:val="24"/>
          <w:szCs w:val="24"/>
        </w:rPr>
        <w:t xml:space="preserve"> </w:t>
      </w:r>
      <w:r>
        <w:rPr>
          <w:rFonts w:ascii="黑体" w:hAnsi="黑体" w:eastAsia="黑体" w:cs="黑体"/>
          <w:spacing w:val="-6"/>
          <w:sz w:val="24"/>
          <w:szCs w:val="24"/>
        </w:rPr>
        <w:t>词语定义</w:t>
      </w:r>
    </w:p>
    <w:p w14:paraId="6229C4E8">
      <w:pPr>
        <w:spacing w:before="128" w:line="220" w:lineRule="auto"/>
        <w:ind w:left="460"/>
        <w:rPr>
          <w:rFonts w:ascii="宋体" w:hAnsi="宋体" w:eastAsia="宋体" w:cs="宋体"/>
          <w:sz w:val="21"/>
          <w:szCs w:val="21"/>
        </w:rPr>
      </w:pPr>
      <w:r>
        <w:rPr>
          <w:rFonts w:ascii="宋体" w:hAnsi="宋体" w:eastAsia="宋体" w:cs="宋体"/>
          <w:b/>
          <w:bCs/>
          <w:spacing w:val="-2"/>
          <w:sz w:val="21"/>
          <w:szCs w:val="21"/>
        </w:rPr>
        <w:t>1.1.2</w:t>
      </w:r>
      <w:r>
        <w:rPr>
          <w:rFonts w:ascii="宋体" w:hAnsi="宋体" w:eastAsia="宋体" w:cs="宋体"/>
          <w:spacing w:val="-23"/>
          <w:sz w:val="21"/>
          <w:szCs w:val="21"/>
        </w:rPr>
        <w:t xml:space="preserve"> </w:t>
      </w:r>
      <w:r>
        <w:rPr>
          <w:rFonts w:ascii="宋体" w:hAnsi="宋体" w:eastAsia="宋体" w:cs="宋体"/>
          <w:b/>
          <w:bCs/>
          <w:spacing w:val="-2"/>
          <w:sz w:val="21"/>
          <w:szCs w:val="21"/>
        </w:rPr>
        <w:t>合同当事人和人员</w:t>
      </w:r>
    </w:p>
    <w:p w14:paraId="6373EB32">
      <w:pPr>
        <w:spacing w:before="124" w:line="220" w:lineRule="auto"/>
        <w:jc w:val="right"/>
        <w:rPr>
          <w:rFonts w:ascii="宋体" w:hAnsi="宋体" w:eastAsia="宋体" w:cs="宋体"/>
          <w:sz w:val="21"/>
          <w:szCs w:val="21"/>
        </w:rPr>
      </w:pPr>
      <w:r>
        <w:fldChar w:fldCharType="begin"/>
      </w:r>
      <w:r>
        <w:instrText xml:space="preserve"> HYPERLINK "1.1.2.2" </w:instrText>
      </w:r>
      <w:r>
        <w:fldChar w:fldCharType="separate"/>
      </w:r>
      <w:r>
        <w:rPr>
          <w:rFonts w:ascii="宋体" w:hAnsi="宋体" w:eastAsia="宋体" w:cs="宋体"/>
          <w:spacing w:val="-5"/>
          <w:sz w:val="21"/>
          <w:szCs w:val="21"/>
        </w:rPr>
        <w:t>1.1.2.2</w:t>
      </w:r>
      <w:r>
        <w:rPr>
          <w:rFonts w:ascii="宋体" w:hAnsi="宋体" w:eastAsia="宋体" w:cs="宋体"/>
          <w:spacing w:val="-5"/>
          <w:sz w:val="21"/>
          <w:szCs w:val="21"/>
        </w:rPr>
        <w:fldChar w:fldCharType="end"/>
      </w:r>
      <w:r>
        <w:rPr>
          <w:rFonts w:ascii="宋体" w:hAnsi="宋体" w:eastAsia="宋体" w:cs="宋体"/>
          <w:spacing w:val="-33"/>
          <w:sz w:val="21"/>
          <w:szCs w:val="21"/>
        </w:rPr>
        <w:t xml:space="preserve"> </w:t>
      </w:r>
      <w:r>
        <w:rPr>
          <w:rFonts w:ascii="宋体" w:hAnsi="宋体" w:eastAsia="宋体" w:cs="宋体"/>
          <w:spacing w:val="-5"/>
          <w:sz w:val="21"/>
          <w:szCs w:val="21"/>
        </w:rPr>
        <w:t>发包人：</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p>
    <w:p w14:paraId="5679B498">
      <w:pPr>
        <w:spacing w:before="141" w:line="222" w:lineRule="auto"/>
        <w:jc w:val="right"/>
        <w:rPr>
          <w:rFonts w:ascii="宋体" w:hAnsi="宋体" w:eastAsia="宋体" w:cs="宋体"/>
          <w:sz w:val="21"/>
          <w:szCs w:val="21"/>
        </w:rPr>
      </w:pPr>
      <w:r>
        <w:fldChar w:fldCharType="begin"/>
      </w:r>
      <w:r>
        <w:instrText xml:space="preserve"> HYPERLINK "1.1.2.6" </w:instrText>
      </w:r>
      <w:r>
        <w:fldChar w:fldCharType="separate"/>
      </w:r>
      <w:r>
        <w:rPr>
          <w:rFonts w:ascii="宋体" w:hAnsi="宋体" w:eastAsia="宋体" w:cs="宋体"/>
          <w:spacing w:val="-5"/>
          <w:sz w:val="21"/>
          <w:szCs w:val="21"/>
        </w:rPr>
        <w:t>1.1.2.6</w:t>
      </w:r>
      <w:r>
        <w:rPr>
          <w:rFonts w:ascii="宋体" w:hAnsi="宋体" w:eastAsia="宋体" w:cs="宋体"/>
          <w:spacing w:val="-5"/>
          <w:sz w:val="21"/>
          <w:szCs w:val="21"/>
        </w:rPr>
        <w:fldChar w:fldCharType="end"/>
      </w:r>
      <w:r>
        <w:rPr>
          <w:rFonts w:ascii="宋体" w:hAnsi="宋体" w:eastAsia="宋体" w:cs="宋体"/>
          <w:spacing w:val="-35"/>
          <w:sz w:val="21"/>
          <w:szCs w:val="21"/>
        </w:rPr>
        <w:t xml:space="preserve"> </w:t>
      </w:r>
      <w:r>
        <w:rPr>
          <w:rFonts w:ascii="宋体" w:hAnsi="宋体" w:eastAsia="宋体" w:cs="宋体"/>
          <w:spacing w:val="-5"/>
          <w:sz w:val="21"/>
          <w:szCs w:val="21"/>
        </w:rPr>
        <w:t>监理人：</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p>
    <w:p w14:paraId="01301649">
      <w:pPr>
        <w:spacing w:before="137" w:line="220" w:lineRule="auto"/>
        <w:ind w:left="460"/>
        <w:rPr>
          <w:rFonts w:ascii="宋体" w:hAnsi="宋体" w:eastAsia="宋体" w:cs="宋体"/>
          <w:sz w:val="21"/>
          <w:szCs w:val="21"/>
        </w:rPr>
      </w:pPr>
      <w:r>
        <w:rPr>
          <w:rFonts w:ascii="宋体" w:hAnsi="宋体" w:eastAsia="宋体" w:cs="宋体"/>
          <w:spacing w:val="-2"/>
          <w:sz w:val="21"/>
          <w:szCs w:val="21"/>
        </w:rPr>
        <w:t>1.1.2.8</w:t>
      </w:r>
      <w:r>
        <w:rPr>
          <w:rFonts w:ascii="宋体" w:hAnsi="宋体" w:eastAsia="宋体" w:cs="宋体"/>
          <w:spacing w:val="-15"/>
          <w:sz w:val="21"/>
          <w:szCs w:val="21"/>
        </w:rPr>
        <w:t xml:space="preserve"> </w:t>
      </w:r>
      <w:r>
        <w:rPr>
          <w:rFonts w:ascii="宋体" w:hAnsi="宋体" w:eastAsia="宋体" w:cs="宋体"/>
          <w:spacing w:val="-2"/>
          <w:sz w:val="21"/>
          <w:szCs w:val="21"/>
        </w:rPr>
        <w:t>发包人代表：指发包人指定的派驻施工场地(现场)的全权代表。</w:t>
      </w:r>
    </w:p>
    <w:p w14:paraId="3BCE36DA">
      <w:pPr>
        <w:spacing w:before="139" w:line="220" w:lineRule="auto"/>
        <w:jc w:val="right"/>
        <w:rPr>
          <w:rFonts w:ascii="宋体" w:hAnsi="宋体" w:eastAsia="宋体" w:cs="宋体"/>
          <w:sz w:val="21"/>
          <w:szCs w:val="21"/>
        </w:rPr>
      </w:pPr>
      <w:r>
        <w:rPr>
          <w:rFonts w:ascii="宋体" w:hAnsi="宋体" w:eastAsia="宋体" w:cs="宋体"/>
          <w:spacing w:val="-35"/>
          <w:sz w:val="21"/>
          <w:szCs w:val="21"/>
        </w:rPr>
        <w:t>姓</w:t>
      </w:r>
      <w:r>
        <w:rPr>
          <w:rFonts w:ascii="宋体" w:hAnsi="宋体" w:eastAsia="宋体" w:cs="宋体"/>
          <w:spacing w:val="2"/>
          <w:sz w:val="21"/>
          <w:szCs w:val="21"/>
        </w:rPr>
        <w:t xml:space="preserve">    </w:t>
      </w:r>
      <w:r>
        <w:rPr>
          <w:rFonts w:ascii="宋体" w:hAnsi="宋体" w:eastAsia="宋体" w:cs="宋体"/>
          <w:spacing w:val="-35"/>
          <w:sz w:val="21"/>
          <w:szCs w:val="21"/>
        </w:rPr>
        <w:t>名：</w:t>
      </w:r>
      <w:r>
        <w:rPr>
          <w:rFonts w:ascii="宋体" w:hAnsi="宋体" w:eastAsia="宋体" w:cs="宋体"/>
          <w:sz w:val="21"/>
          <w:szCs w:val="21"/>
          <w:u w:val="single" w:color="auto"/>
        </w:rPr>
        <w:t xml:space="preserve">                                                                 </w:t>
      </w:r>
      <w:r>
        <w:rPr>
          <w:rFonts w:ascii="宋体" w:hAnsi="宋体" w:eastAsia="宋体" w:cs="宋体"/>
          <w:spacing w:val="-35"/>
          <w:sz w:val="21"/>
          <w:szCs w:val="21"/>
        </w:rPr>
        <w:t>。</w:t>
      </w:r>
    </w:p>
    <w:p w14:paraId="6ADE7E62">
      <w:pPr>
        <w:spacing w:before="141" w:line="222" w:lineRule="auto"/>
        <w:jc w:val="right"/>
        <w:rPr>
          <w:rFonts w:ascii="宋体" w:hAnsi="宋体" w:eastAsia="宋体" w:cs="宋体"/>
          <w:sz w:val="21"/>
          <w:szCs w:val="21"/>
        </w:rPr>
      </w:pPr>
      <w:r>
        <w:rPr>
          <w:rFonts w:ascii="宋体" w:hAnsi="宋体" w:eastAsia="宋体" w:cs="宋体"/>
          <w:spacing w:val="-35"/>
          <w:sz w:val="21"/>
          <w:szCs w:val="21"/>
        </w:rPr>
        <w:t>职</w:t>
      </w:r>
      <w:r>
        <w:rPr>
          <w:rFonts w:ascii="宋体" w:hAnsi="宋体" w:eastAsia="宋体" w:cs="宋体"/>
          <w:spacing w:val="2"/>
          <w:sz w:val="21"/>
          <w:szCs w:val="21"/>
        </w:rPr>
        <w:t xml:space="preserve">    </w:t>
      </w:r>
      <w:r>
        <w:rPr>
          <w:rFonts w:ascii="宋体" w:hAnsi="宋体" w:eastAsia="宋体" w:cs="宋体"/>
          <w:spacing w:val="-35"/>
          <w:sz w:val="21"/>
          <w:szCs w:val="21"/>
        </w:rPr>
        <w:t>称：</w:t>
      </w:r>
      <w:r>
        <w:rPr>
          <w:rFonts w:ascii="宋体" w:hAnsi="宋体" w:eastAsia="宋体" w:cs="宋体"/>
          <w:sz w:val="21"/>
          <w:szCs w:val="21"/>
          <w:u w:val="single" w:color="auto"/>
        </w:rPr>
        <w:t xml:space="preserve">                                                                 </w:t>
      </w:r>
      <w:r>
        <w:rPr>
          <w:rFonts w:ascii="宋体" w:hAnsi="宋体" w:eastAsia="宋体" w:cs="宋体"/>
          <w:spacing w:val="-35"/>
          <w:sz w:val="21"/>
          <w:szCs w:val="21"/>
        </w:rPr>
        <w:t>。</w:t>
      </w:r>
    </w:p>
    <w:p w14:paraId="1D0AF2D4">
      <w:pPr>
        <w:spacing w:before="138" w:line="222" w:lineRule="auto"/>
        <w:jc w:val="right"/>
        <w:rPr>
          <w:rFonts w:ascii="宋体" w:hAnsi="宋体" w:eastAsia="宋体" w:cs="宋体"/>
          <w:sz w:val="21"/>
          <w:szCs w:val="21"/>
        </w:rPr>
      </w:pPr>
      <w:r>
        <w:rPr>
          <w:rFonts w:ascii="宋体" w:hAnsi="宋体" w:eastAsia="宋体" w:cs="宋体"/>
          <w:spacing w:val="-22"/>
          <w:sz w:val="21"/>
          <w:szCs w:val="21"/>
        </w:rPr>
        <w:t>联系电话：</w:t>
      </w:r>
      <w:r>
        <w:rPr>
          <w:rFonts w:ascii="宋体" w:hAnsi="宋体" w:eastAsia="宋体" w:cs="宋体"/>
          <w:sz w:val="21"/>
          <w:szCs w:val="21"/>
          <w:u w:val="single" w:color="auto"/>
        </w:rPr>
        <w:t xml:space="preserve">                                                                 </w:t>
      </w:r>
      <w:r>
        <w:rPr>
          <w:rFonts w:ascii="宋体" w:hAnsi="宋体" w:eastAsia="宋体" w:cs="宋体"/>
          <w:spacing w:val="-22"/>
          <w:sz w:val="21"/>
          <w:szCs w:val="21"/>
        </w:rPr>
        <w:t>。</w:t>
      </w:r>
    </w:p>
    <w:p w14:paraId="7FC91E50">
      <w:pPr>
        <w:spacing w:before="137" w:line="220" w:lineRule="auto"/>
        <w:jc w:val="right"/>
        <w:rPr>
          <w:rFonts w:ascii="宋体" w:hAnsi="宋体" w:eastAsia="宋体" w:cs="宋体"/>
          <w:sz w:val="21"/>
          <w:szCs w:val="21"/>
        </w:rPr>
      </w:pPr>
      <w:r>
        <w:rPr>
          <w:rFonts w:ascii="宋体" w:hAnsi="宋体" w:eastAsia="宋体" w:cs="宋体"/>
          <w:spacing w:val="-26"/>
          <w:sz w:val="21"/>
          <w:szCs w:val="21"/>
        </w:rPr>
        <w:t>电子信箱：</w:t>
      </w:r>
      <w:r>
        <w:rPr>
          <w:rFonts w:ascii="宋体" w:hAnsi="宋体" w:eastAsia="宋体" w:cs="宋体"/>
          <w:sz w:val="21"/>
          <w:szCs w:val="21"/>
          <w:u w:val="single" w:color="auto"/>
        </w:rPr>
        <w:t xml:space="preserve">                                                                 </w:t>
      </w:r>
      <w:r>
        <w:rPr>
          <w:rFonts w:ascii="宋体" w:hAnsi="宋体" w:eastAsia="宋体" w:cs="宋体"/>
          <w:spacing w:val="-26"/>
          <w:sz w:val="21"/>
          <w:szCs w:val="21"/>
        </w:rPr>
        <w:t>。</w:t>
      </w:r>
    </w:p>
    <w:p w14:paraId="25337164">
      <w:pPr>
        <w:spacing w:before="141" w:line="220" w:lineRule="auto"/>
        <w:jc w:val="right"/>
        <w:rPr>
          <w:rFonts w:ascii="宋体" w:hAnsi="宋体" w:eastAsia="宋体" w:cs="宋体"/>
          <w:sz w:val="21"/>
          <w:szCs w:val="21"/>
        </w:rPr>
      </w:pPr>
      <w:r>
        <w:rPr>
          <w:rFonts w:ascii="宋体" w:hAnsi="宋体" w:eastAsia="宋体" w:cs="宋体"/>
          <w:spacing w:val="-22"/>
          <w:sz w:val="21"/>
          <w:szCs w:val="21"/>
        </w:rPr>
        <w:t>通信地址：</w:t>
      </w:r>
      <w:r>
        <w:rPr>
          <w:rFonts w:ascii="宋体" w:hAnsi="宋体" w:eastAsia="宋体" w:cs="宋体"/>
          <w:sz w:val="21"/>
          <w:szCs w:val="21"/>
          <w:u w:val="single" w:color="auto"/>
        </w:rPr>
        <w:t xml:space="preserve">                                                                 </w:t>
      </w:r>
      <w:r>
        <w:rPr>
          <w:rFonts w:ascii="宋体" w:hAnsi="宋体" w:eastAsia="宋体" w:cs="宋体"/>
          <w:spacing w:val="-22"/>
          <w:sz w:val="21"/>
          <w:szCs w:val="21"/>
        </w:rPr>
        <w:t>。</w:t>
      </w:r>
    </w:p>
    <w:p w14:paraId="404F2619">
      <w:pPr>
        <w:spacing w:before="140" w:line="343" w:lineRule="auto"/>
        <w:ind w:left="25" w:right="86" w:firstLine="435"/>
        <w:rPr>
          <w:rFonts w:ascii="宋体" w:hAnsi="宋体" w:eastAsia="宋体" w:cs="宋体"/>
          <w:sz w:val="21"/>
          <w:szCs w:val="21"/>
        </w:rPr>
      </w:pPr>
      <w:r>
        <w:rPr>
          <w:rFonts w:ascii="宋体" w:hAnsi="宋体" w:eastAsia="宋体" w:cs="宋体"/>
          <w:spacing w:val="-1"/>
          <w:sz w:val="21"/>
          <w:szCs w:val="21"/>
        </w:rPr>
        <w:t>1.1.2.9 专业分包人：指根据合同条款第</w:t>
      </w:r>
      <w:r>
        <w:rPr>
          <w:rFonts w:ascii="宋体" w:hAnsi="宋体" w:eastAsia="宋体" w:cs="宋体"/>
          <w:spacing w:val="-23"/>
          <w:sz w:val="21"/>
          <w:szCs w:val="21"/>
        </w:rPr>
        <w:t xml:space="preserve"> </w:t>
      </w:r>
      <w:r>
        <w:rPr>
          <w:rFonts w:ascii="宋体" w:hAnsi="宋体" w:eastAsia="宋体" w:cs="宋体"/>
          <w:spacing w:val="-1"/>
          <w:sz w:val="21"/>
          <w:szCs w:val="21"/>
        </w:rPr>
        <w:t>15.8.1</w:t>
      </w:r>
      <w:r>
        <w:rPr>
          <w:rFonts w:ascii="宋体" w:hAnsi="宋体" w:eastAsia="宋体" w:cs="宋体"/>
          <w:spacing w:val="-33"/>
          <w:sz w:val="21"/>
          <w:szCs w:val="21"/>
        </w:rPr>
        <w:t xml:space="preserve"> </w:t>
      </w:r>
      <w:r>
        <w:rPr>
          <w:rFonts w:ascii="宋体" w:hAnsi="宋体" w:eastAsia="宋体" w:cs="宋体"/>
          <w:spacing w:val="-1"/>
          <w:sz w:val="21"/>
          <w:szCs w:val="21"/>
        </w:rPr>
        <w:t>项的约定，由发包人和承包人以</w:t>
      </w:r>
      <w:r>
        <w:rPr>
          <w:rFonts w:ascii="宋体" w:hAnsi="宋体" w:eastAsia="宋体" w:cs="宋体"/>
          <w:spacing w:val="-2"/>
          <w:sz w:val="21"/>
          <w:szCs w:val="21"/>
        </w:rPr>
        <w:t>招标</w:t>
      </w:r>
      <w:r>
        <w:rPr>
          <w:rFonts w:ascii="宋体" w:hAnsi="宋体" w:eastAsia="宋体" w:cs="宋体"/>
          <w:spacing w:val="-4"/>
          <w:sz w:val="21"/>
          <w:szCs w:val="21"/>
        </w:rPr>
        <w:t>方式选择的分包人。</w:t>
      </w:r>
    </w:p>
    <w:p w14:paraId="1F8911EE">
      <w:pPr>
        <w:spacing w:before="1" w:line="343" w:lineRule="auto"/>
        <w:ind w:left="25" w:right="72" w:firstLine="435"/>
        <w:rPr>
          <w:rFonts w:ascii="宋体" w:hAnsi="宋体" w:eastAsia="宋体" w:cs="宋体"/>
          <w:sz w:val="21"/>
          <w:szCs w:val="21"/>
        </w:rPr>
      </w:pPr>
      <w:r>
        <w:fldChar w:fldCharType="begin"/>
      </w:r>
      <w:r>
        <w:instrText xml:space="preserve"> HYPERLINK "1.1.2.10" </w:instrText>
      </w:r>
      <w:r>
        <w:fldChar w:fldCharType="separate"/>
      </w:r>
      <w:r>
        <w:rPr>
          <w:rFonts w:ascii="宋体" w:hAnsi="宋体" w:eastAsia="宋体" w:cs="宋体"/>
          <w:spacing w:val="-3"/>
          <w:sz w:val="21"/>
          <w:szCs w:val="21"/>
        </w:rPr>
        <w:t>1.1.2.10</w:t>
      </w:r>
      <w:r>
        <w:rPr>
          <w:rFonts w:ascii="宋体" w:hAnsi="宋体" w:eastAsia="宋体" w:cs="宋体"/>
          <w:spacing w:val="-3"/>
          <w:sz w:val="21"/>
          <w:szCs w:val="21"/>
        </w:rPr>
        <w:fldChar w:fldCharType="end"/>
      </w:r>
      <w:r>
        <w:rPr>
          <w:rFonts w:ascii="宋体" w:hAnsi="宋体" w:eastAsia="宋体" w:cs="宋体"/>
          <w:spacing w:val="-3"/>
          <w:sz w:val="21"/>
          <w:szCs w:val="21"/>
        </w:rPr>
        <w:t xml:space="preserve"> 专项供应商：指根据合同条款第</w:t>
      </w:r>
      <w:r>
        <w:rPr>
          <w:rFonts w:ascii="宋体" w:hAnsi="宋体" w:eastAsia="宋体" w:cs="宋体"/>
          <w:spacing w:val="-22"/>
          <w:sz w:val="21"/>
          <w:szCs w:val="21"/>
        </w:rPr>
        <w:t xml:space="preserve"> </w:t>
      </w:r>
      <w:r>
        <w:rPr>
          <w:rFonts w:ascii="宋体" w:hAnsi="宋体" w:eastAsia="宋体" w:cs="宋体"/>
          <w:spacing w:val="-3"/>
          <w:sz w:val="21"/>
          <w:szCs w:val="21"/>
        </w:rPr>
        <w:t>15.8.1</w:t>
      </w:r>
      <w:r>
        <w:rPr>
          <w:rFonts w:ascii="宋体" w:hAnsi="宋体" w:eastAsia="宋体" w:cs="宋体"/>
          <w:spacing w:val="-32"/>
          <w:sz w:val="21"/>
          <w:szCs w:val="21"/>
        </w:rPr>
        <w:t xml:space="preserve"> </w:t>
      </w:r>
      <w:r>
        <w:rPr>
          <w:rFonts w:ascii="宋体" w:hAnsi="宋体" w:eastAsia="宋体" w:cs="宋体"/>
          <w:spacing w:val="-3"/>
          <w:sz w:val="21"/>
          <w:szCs w:val="21"/>
        </w:rPr>
        <w:t>项的约定，由发包人和承包</w:t>
      </w:r>
      <w:r>
        <w:rPr>
          <w:rFonts w:ascii="宋体" w:hAnsi="宋体" w:eastAsia="宋体" w:cs="宋体"/>
          <w:spacing w:val="-4"/>
          <w:sz w:val="21"/>
          <w:szCs w:val="21"/>
        </w:rPr>
        <w:t>人以招标方式选择的供应商。</w:t>
      </w:r>
    </w:p>
    <w:p w14:paraId="0AA8F672">
      <w:pPr>
        <w:spacing w:line="343" w:lineRule="auto"/>
        <w:ind w:left="24" w:right="97" w:firstLine="436"/>
        <w:rPr>
          <w:rFonts w:ascii="宋体" w:hAnsi="宋体" w:eastAsia="宋体" w:cs="宋体"/>
          <w:sz w:val="21"/>
          <w:szCs w:val="21"/>
        </w:rPr>
      </w:pPr>
      <w:r>
        <w:fldChar w:fldCharType="begin"/>
      </w:r>
      <w:r>
        <w:instrText xml:space="preserve"> HYPERLINK "1.1.2.11" </w:instrText>
      </w:r>
      <w:r>
        <w:fldChar w:fldCharType="separate"/>
      </w:r>
      <w:r>
        <w:rPr>
          <w:rFonts w:ascii="宋体" w:hAnsi="宋体" w:eastAsia="宋体" w:cs="宋体"/>
          <w:sz w:val="21"/>
          <w:szCs w:val="21"/>
        </w:rPr>
        <w:t>1.1.2.11</w:t>
      </w:r>
      <w:r>
        <w:rPr>
          <w:rFonts w:ascii="宋体" w:hAnsi="宋体" w:eastAsia="宋体" w:cs="宋体"/>
          <w:sz w:val="21"/>
          <w:szCs w:val="21"/>
        </w:rPr>
        <w:fldChar w:fldCharType="end"/>
      </w:r>
      <w:r>
        <w:rPr>
          <w:rFonts w:ascii="宋体" w:hAnsi="宋体" w:eastAsia="宋体" w:cs="宋体"/>
          <w:sz w:val="21"/>
          <w:szCs w:val="21"/>
        </w:rPr>
        <w:t xml:space="preserve"> 独立承包人：指与发包人直接订立工程承包合同，负责实</w:t>
      </w:r>
      <w:r>
        <w:rPr>
          <w:rFonts w:ascii="宋体" w:hAnsi="宋体" w:eastAsia="宋体" w:cs="宋体"/>
          <w:spacing w:val="-1"/>
          <w:sz w:val="21"/>
          <w:szCs w:val="21"/>
        </w:rPr>
        <w:t>施与工程有关的其</w:t>
      </w:r>
      <w:r>
        <w:rPr>
          <w:rFonts w:ascii="宋体" w:hAnsi="宋体" w:eastAsia="宋体" w:cs="宋体"/>
          <w:spacing w:val="-4"/>
          <w:sz w:val="21"/>
          <w:szCs w:val="21"/>
        </w:rPr>
        <w:t>他工作的当事人。</w:t>
      </w:r>
    </w:p>
    <w:p w14:paraId="38DB395E">
      <w:pPr>
        <w:spacing w:before="1" w:line="220" w:lineRule="auto"/>
        <w:ind w:left="460"/>
        <w:rPr>
          <w:rFonts w:ascii="宋体" w:hAnsi="宋体" w:eastAsia="宋体" w:cs="宋体"/>
          <w:sz w:val="21"/>
          <w:szCs w:val="21"/>
        </w:rPr>
      </w:pPr>
      <w:r>
        <w:rPr>
          <w:rFonts w:ascii="宋体" w:hAnsi="宋体" w:eastAsia="宋体" w:cs="宋体"/>
          <w:b/>
          <w:bCs/>
          <w:spacing w:val="-1"/>
          <w:sz w:val="21"/>
          <w:szCs w:val="21"/>
        </w:rPr>
        <w:t>1.1.3</w:t>
      </w:r>
      <w:r>
        <w:rPr>
          <w:rFonts w:ascii="宋体" w:hAnsi="宋体" w:eastAsia="宋体" w:cs="宋体"/>
          <w:spacing w:val="-33"/>
          <w:sz w:val="21"/>
          <w:szCs w:val="21"/>
        </w:rPr>
        <w:t xml:space="preserve"> </w:t>
      </w:r>
      <w:r>
        <w:rPr>
          <w:rFonts w:ascii="宋体" w:hAnsi="宋体" w:eastAsia="宋体" w:cs="宋体"/>
          <w:b/>
          <w:bCs/>
          <w:spacing w:val="-1"/>
          <w:sz w:val="21"/>
          <w:szCs w:val="21"/>
        </w:rPr>
        <w:t>工程和设备</w:t>
      </w:r>
    </w:p>
    <w:p w14:paraId="4B2C3B43">
      <w:pPr>
        <w:spacing w:before="140" w:line="220" w:lineRule="auto"/>
        <w:jc w:val="right"/>
        <w:rPr>
          <w:rFonts w:ascii="宋体" w:hAnsi="宋体" w:eastAsia="宋体" w:cs="宋体"/>
          <w:sz w:val="21"/>
          <w:szCs w:val="21"/>
        </w:rPr>
      </w:pPr>
      <w:r>
        <w:fldChar w:fldCharType="begin"/>
      </w:r>
      <w:r>
        <w:instrText xml:space="preserve"> HYPERLINK "1.1.3.2" </w:instrText>
      </w:r>
      <w:r>
        <w:fldChar w:fldCharType="separate"/>
      </w:r>
      <w:r>
        <w:rPr>
          <w:rFonts w:ascii="宋体" w:hAnsi="宋体" w:eastAsia="宋体" w:cs="宋体"/>
          <w:spacing w:val="-8"/>
          <w:sz w:val="21"/>
          <w:szCs w:val="21"/>
        </w:rPr>
        <w:t>1.1.3.2</w:t>
      </w:r>
      <w:r>
        <w:rPr>
          <w:rFonts w:ascii="宋体" w:hAnsi="宋体" w:eastAsia="宋体" w:cs="宋体"/>
          <w:spacing w:val="-8"/>
          <w:sz w:val="21"/>
          <w:szCs w:val="21"/>
        </w:rPr>
        <w:fldChar w:fldCharType="end"/>
      </w:r>
      <w:r>
        <w:rPr>
          <w:rFonts w:ascii="宋体" w:hAnsi="宋体" w:eastAsia="宋体" w:cs="宋体"/>
          <w:spacing w:val="-25"/>
          <w:sz w:val="21"/>
          <w:szCs w:val="21"/>
        </w:rPr>
        <w:t xml:space="preserve"> </w:t>
      </w:r>
      <w:r>
        <w:rPr>
          <w:rFonts w:ascii="宋体" w:hAnsi="宋体" w:eastAsia="宋体" w:cs="宋体"/>
          <w:spacing w:val="-8"/>
          <w:sz w:val="21"/>
          <w:szCs w:val="21"/>
        </w:rPr>
        <w:t>永久工程：</w:t>
      </w:r>
      <w:r>
        <w:rPr>
          <w:rFonts w:ascii="宋体" w:hAnsi="宋体" w:eastAsia="宋体" w:cs="宋体"/>
          <w:sz w:val="21"/>
          <w:szCs w:val="21"/>
          <w:u w:val="single" w:color="auto"/>
        </w:rPr>
        <w:t xml:space="preserve">                                                         </w:t>
      </w:r>
      <w:r>
        <w:rPr>
          <w:rFonts w:ascii="宋体" w:hAnsi="宋体" w:eastAsia="宋体" w:cs="宋体"/>
          <w:spacing w:val="-8"/>
          <w:sz w:val="21"/>
          <w:szCs w:val="21"/>
        </w:rPr>
        <w:t>。</w:t>
      </w:r>
    </w:p>
    <w:p w14:paraId="41256A88">
      <w:pPr>
        <w:spacing w:before="139" w:line="220" w:lineRule="auto"/>
        <w:jc w:val="right"/>
        <w:rPr>
          <w:rFonts w:ascii="宋体" w:hAnsi="宋体" w:eastAsia="宋体" w:cs="宋体"/>
          <w:sz w:val="21"/>
          <w:szCs w:val="21"/>
        </w:rPr>
      </w:pPr>
      <w:r>
        <w:fldChar w:fldCharType="begin"/>
      </w:r>
      <w:r>
        <w:instrText xml:space="preserve"> HYPERLINK "1.1.3.3" </w:instrText>
      </w:r>
      <w:r>
        <w:fldChar w:fldCharType="separate"/>
      </w:r>
      <w:r>
        <w:rPr>
          <w:rFonts w:ascii="宋体" w:hAnsi="宋体" w:eastAsia="宋体" w:cs="宋体"/>
          <w:spacing w:val="-5"/>
          <w:sz w:val="21"/>
          <w:szCs w:val="21"/>
        </w:rPr>
        <w:t>1.1.3.3</w:t>
      </w:r>
      <w:r>
        <w:rPr>
          <w:rFonts w:ascii="宋体" w:hAnsi="宋体" w:eastAsia="宋体" w:cs="宋体"/>
          <w:spacing w:val="-5"/>
          <w:sz w:val="21"/>
          <w:szCs w:val="21"/>
        </w:rPr>
        <w:fldChar w:fldCharType="end"/>
      </w:r>
      <w:r>
        <w:rPr>
          <w:rFonts w:ascii="宋体" w:hAnsi="宋体" w:eastAsia="宋体" w:cs="宋体"/>
          <w:spacing w:val="-25"/>
          <w:sz w:val="21"/>
          <w:szCs w:val="21"/>
        </w:rPr>
        <w:t xml:space="preserve"> </w:t>
      </w:r>
      <w:r>
        <w:rPr>
          <w:rFonts w:ascii="宋体" w:hAnsi="宋体" w:eastAsia="宋体" w:cs="宋体"/>
          <w:spacing w:val="-5"/>
          <w:sz w:val="21"/>
          <w:szCs w:val="21"/>
        </w:rPr>
        <w:t>临时工程：</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p>
    <w:p w14:paraId="1115FFEB">
      <w:pPr>
        <w:spacing w:before="141" w:line="343" w:lineRule="auto"/>
        <w:ind w:left="27" w:right="69" w:firstLine="432"/>
        <w:rPr>
          <w:rFonts w:ascii="宋体" w:hAnsi="宋体" w:eastAsia="宋体" w:cs="宋体"/>
          <w:sz w:val="21"/>
          <w:szCs w:val="21"/>
        </w:rPr>
      </w:pPr>
      <w:r>
        <w:rPr>
          <w:rFonts w:ascii="宋体" w:hAnsi="宋体" w:eastAsia="宋体" w:cs="宋体"/>
          <w:spacing w:val="-1"/>
          <w:sz w:val="21"/>
          <w:szCs w:val="21"/>
        </w:rPr>
        <w:t>1.1.3.4</w:t>
      </w:r>
      <w:r>
        <w:rPr>
          <w:rFonts w:ascii="宋体" w:hAnsi="宋体" w:eastAsia="宋体" w:cs="宋体"/>
          <w:spacing w:val="-35"/>
          <w:sz w:val="21"/>
          <w:szCs w:val="21"/>
        </w:rPr>
        <w:t xml:space="preserve"> </w:t>
      </w:r>
      <w:r>
        <w:rPr>
          <w:rFonts w:ascii="宋体" w:hAnsi="宋体" w:eastAsia="宋体" w:cs="宋体"/>
          <w:spacing w:val="-1"/>
          <w:sz w:val="21"/>
          <w:szCs w:val="21"/>
        </w:rPr>
        <w:t>单位工程：指具有相对独立的设计文件，能够独立组织</w:t>
      </w:r>
      <w:r>
        <w:rPr>
          <w:rFonts w:ascii="宋体" w:hAnsi="宋体" w:eastAsia="宋体" w:cs="宋体"/>
          <w:spacing w:val="-2"/>
          <w:sz w:val="21"/>
          <w:szCs w:val="21"/>
        </w:rPr>
        <w:t>施工并能形成独立使用</w:t>
      </w:r>
      <w:r>
        <w:rPr>
          <w:rFonts w:ascii="宋体" w:hAnsi="宋体" w:eastAsia="宋体" w:cs="宋体"/>
          <w:spacing w:val="-3"/>
          <w:sz w:val="21"/>
          <w:szCs w:val="21"/>
        </w:rPr>
        <w:t>功能的永久工程的组成部分。</w:t>
      </w:r>
    </w:p>
    <w:p w14:paraId="36A83BD3">
      <w:pPr>
        <w:spacing w:before="1" w:line="220" w:lineRule="auto"/>
        <w:jc w:val="right"/>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4"/>
          <w:sz w:val="21"/>
          <w:szCs w:val="21"/>
        </w:rPr>
        <w:t>1.1.3.10</w:t>
      </w:r>
      <w:r>
        <w:rPr>
          <w:rFonts w:ascii="宋体" w:hAnsi="宋体" w:eastAsia="宋体" w:cs="宋体"/>
          <w:spacing w:val="-4"/>
          <w:sz w:val="21"/>
          <w:szCs w:val="21"/>
        </w:rPr>
        <w:fldChar w:fldCharType="end"/>
      </w:r>
      <w:r>
        <w:rPr>
          <w:rFonts w:ascii="宋体" w:hAnsi="宋体" w:eastAsia="宋体" w:cs="宋体"/>
          <w:spacing w:val="-34"/>
          <w:sz w:val="21"/>
          <w:szCs w:val="21"/>
        </w:rPr>
        <w:t xml:space="preserve"> </w:t>
      </w:r>
      <w:r>
        <w:rPr>
          <w:rFonts w:ascii="宋体" w:hAnsi="宋体" w:eastAsia="宋体" w:cs="宋体"/>
          <w:spacing w:val="-4"/>
          <w:sz w:val="21"/>
          <w:szCs w:val="21"/>
        </w:rPr>
        <w:t>永久占地：</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5FB5AEB7">
      <w:pPr>
        <w:spacing w:before="138" w:line="220" w:lineRule="auto"/>
        <w:jc w:val="right"/>
        <w:rPr>
          <w:rFonts w:ascii="宋体" w:hAnsi="宋体" w:eastAsia="宋体" w:cs="宋体"/>
          <w:sz w:val="21"/>
          <w:szCs w:val="21"/>
        </w:rPr>
      </w:pPr>
      <w:r>
        <w:fldChar w:fldCharType="begin"/>
      </w:r>
      <w:r>
        <w:instrText xml:space="preserve"> HYPERLINK "1.1.3.11" </w:instrText>
      </w:r>
      <w:r>
        <w:fldChar w:fldCharType="separate"/>
      </w:r>
      <w:r>
        <w:rPr>
          <w:rFonts w:ascii="宋体" w:hAnsi="宋体" w:eastAsia="宋体" w:cs="宋体"/>
          <w:spacing w:val="-8"/>
          <w:sz w:val="21"/>
          <w:szCs w:val="21"/>
        </w:rPr>
        <w:t>1.1.3.11</w:t>
      </w:r>
      <w:r>
        <w:rPr>
          <w:rFonts w:ascii="宋体" w:hAnsi="宋体" w:eastAsia="宋体" w:cs="宋体"/>
          <w:spacing w:val="-8"/>
          <w:sz w:val="21"/>
          <w:szCs w:val="21"/>
        </w:rPr>
        <w:fldChar w:fldCharType="end"/>
      </w:r>
      <w:r>
        <w:rPr>
          <w:rFonts w:ascii="宋体" w:hAnsi="宋体" w:eastAsia="宋体" w:cs="宋体"/>
          <w:spacing w:val="-16"/>
          <w:sz w:val="21"/>
          <w:szCs w:val="21"/>
        </w:rPr>
        <w:t xml:space="preserve"> </w:t>
      </w:r>
      <w:r>
        <w:rPr>
          <w:rFonts w:ascii="宋体" w:hAnsi="宋体" w:eastAsia="宋体" w:cs="宋体"/>
          <w:spacing w:val="-8"/>
          <w:sz w:val="21"/>
          <w:szCs w:val="21"/>
        </w:rPr>
        <w:t>临时占地：</w:t>
      </w:r>
      <w:r>
        <w:rPr>
          <w:rFonts w:ascii="宋体" w:hAnsi="宋体" w:eastAsia="宋体" w:cs="宋体"/>
          <w:sz w:val="21"/>
          <w:szCs w:val="21"/>
          <w:u w:val="single" w:color="auto"/>
        </w:rPr>
        <w:t xml:space="preserve">                                                        </w:t>
      </w:r>
      <w:r>
        <w:rPr>
          <w:rFonts w:ascii="宋体" w:hAnsi="宋体" w:eastAsia="宋体" w:cs="宋体"/>
          <w:spacing w:val="-8"/>
          <w:sz w:val="21"/>
          <w:szCs w:val="21"/>
        </w:rPr>
        <w:t>。</w:t>
      </w:r>
    </w:p>
    <w:p w14:paraId="70AF50E2">
      <w:pPr>
        <w:spacing w:before="142" w:line="220" w:lineRule="auto"/>
        <w:ind w:left="460"/>
        <w:rPr>
          <w:rFonts w:ascii="宋体" w:hAnsi="宋体" w:eastAsia="宋体" w:cs="宋体"/>
          <w:sz w:val="21"/>
          <w:szCs w:val="21"/>
        </w:rPr>
      </w:pPr>
      <w:r>
        <w:rPr>
          <w:rFonts w:ascii="宋体" w:hAnsi="宋体" w:eastAsia="宋体" w:cs="宋体"/>
          <w:b/>
          <w:bCs/>
          <w:spacing w:val="-3"/>
          <w:sz w:val="21"/>
          <w:szCs w:val="21"/>
        </w:rPr>
        <w:t>1.1.4</w:t>
      </w:r>
      <w:r>
        <w:rPr>
          <w:rFonts w:ascii="宋体" w:hAnsi="宋体" w:eastAsia="宋体" w:cs="宋体"/>
          <w:spacing w:val="-3"/>
          <w:sz w:val="21"/>
          <w:szCs w:val="21"/>
        </w:rPr>
        <w:t xml:space="preserve"> </w:t>
      </w:r>
      <w:r>
        <w:rPr>
          <w:rFonts w:ascii="宋体" w:hAnsi="宋体" w:eastAsia="宋体" w:cs="宋体"/>
          <w:b/>
          <w:bCs/>
          <w:spacing w:val="-3"/>
          <w:sz w:val="21"/>
          <w:szCs w:val="21"/>
        </w:rPr>
        <w:t>日期</w:t>
      </w:r>
    </w:p>
    <w:p w14:paraId="64F9F73A">
      <w:pPr>
        <w:spacing w:before="139" w:line="220" w:lineRule="auto"/>
        <w:ind w:left="460"/>
        <w:rPr>
          <w:rFonts w:ascii="宋体" w:hAnsi="宋体" w:eastAsia="宋体" w:cs="宋体"/>
          <w:sz w:val="21"/>
          <w:szCs w:val="21"/>
        </w:rPr>
      </w:pPr>
      <w:r>
        <w:fldChar w:fldCharType="begin"/>
      </w:r>
      <w:r>
        <w:instrText xml:space="preserve"> HYPERLINK "1.1.4.5" </w:instrText>
      </w:r>
      <w:r>
        <w:fldChar w:fldCharType="separate"/>
      </w:r>
      <w:r>
        <w:rPr>
          <w:rFonts w:ascii="宋体" w:hAnsi="宋体" w:eastAsia="宋体" w:cs="宋体"/>
          <w:spacing w:val="-2"/>
          <w:sz w:val="21"/>
          <w:szCs w:val="21"/>
        </w:rPr>
        <w:t>1.1.4.5</w:t>
      </w:r>
      <w:r>
        <w:rPr>
          <w:rFonts w:ascii="宋体" w:hAnsi="宋体" w:eastAsia="宋体" w:cs="宋体"/>
          <w:spacing w:val="-2"/>
          <w:sz w:val="21"/>
          <w:szCs w:val="21"/>
        </w:rPr>
        <w:fldChar w:fldCharType="end"/>
      </w:r>
      <w:r>
        <w:rPr>
          <w:rFonts w:ascii="宋体" w:hAnsi="宋体" w:eastAsia="宋体" w:cs="宋体"/>
          <w:spacing w:val="-36"/>
          <w:sz w:val="21"/>
          <w:szCs w:val="21"/>
        </w:rPr>
        <w:t xml:space="preserve"> </w:t>
      </w:r>
      <w:r>
        <w:rPr>
          <w:rFonts w:ascii="宋体" w:hAnsi="宋体" w:eastAsia="宋体" w:cs="宋体"/>
          <w:spacing w:val="-2"/>
          <w:sz w:val="21"/>
          <w:szCs w:val="21"/>
        </w:rPr>
        <w:t>缺陷责任期期限：</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3"/>
          <w:sz w:val="21"/>
          <w:szCs w:val="21"/>
        </w:rPr>
        <w:t>月。</w:t>
      </w:r>
    </w:p>
    <w:p w14:paraId="417F078A">
      <w:pPr>
        <w:spacing w:before="141" w:line="343" w:lineRule="auto"/>
        <w:ind w:left="32" w:right="88" w:firstLine="427"/>
        <w:rPr>
          <w:rFonts w:ascii="宋体" w:hAnsi="宋体" w:eastAsia="宋体" w:cs="宋体"/>
          <w:sz w:val="21"/>
          <w:szCs w:val="21"/>
        </w:rPr>
      </w:pPr>
      <w:r>
        <w:rPr>
          <w:rFonts w:ascii="宋体" w:hAnsi="宋体" w:eastAsia="宋体" w:cs="宋体"/>
          <w:spacing w:val="-1"/>
          <w:sz w:val="21"/>
          <w:szCs w:val="21"/>
        </w:rPr>
        <w:t>1.1.4.8</w:t>
      </w:r>
      <w:r>
        <w:rPr>
          <w:rFonts w:ascii="宋体" w:hAnsi="宋体" w:eastAsia="宋体" w:cs="宋体"/>
          <w:spacing w:val="-20"/>
          <w:sz w:val="21"/>
          <w:szCs w:val="21"/>
        </w:rPr>
        <w:t xml:space="preserve"> </w:t>
      </w:r>
      <w:r>
        <w:rPr>
          <w:rFonts w:ascii="宋体" w:hAnsi="宋体" w:eastAsia="宋体" w:cs="宋体"/>
          <w:spacing w:val="-1"/>
          <w:sz w:val="21"/>
          <w:szCs w:val="21"/>
        </w:rPr>
        <w:t>保修期：是根据现行有关法律规定，</w:t>
      </w:r>
      <w:r>
        <w:rPr>
          <w:rFonts w:ascii="宋体" w:hAnsi="宋体" w:eastAsia="宋体" w:cs="宋体"/>
          <w:spacing w:val="-2"/>
          <w:sz w:val="21"/>
          <w:szCs w:val="21"/>
        </w:rPr>
        <w:t>在合同条款第 19.7</w:t>
      </w:r>
      <w:r>
        <w:rPr>
          <w:rFonts w:ascii="宋体" w:hAnsi="宋体" w:eastAsia="宋体" w:cs="宋体"/>
          <w:spacing w:val="-21"/>
          <w:sz w:val="21"/>
          <w:szCs w:val="21"/>
        </w:rPr>
        <w:t xml:space="preserve"> </w:t>
      </w:r>
      <w:r>
        <w:rPr>
          <w:rFonts w:ascii="宋体" w:hAnsi="宋体" w:eastAsia="宋体" w:cs="宋体"/>
          <w:spacing w:val="-2"/>
          <w:sz w:val="21"/>
          <w:szCs w:val="21"/>
        </w:rPr>
        <w:t>款中约定的由承包人</w:t>
      </w:r>
      <w:r>
        <w:rPr>
          <w:rFonts w:ascii="宋体" w:hAnsi="宋体" w:eastAsia="宋体" w:cs="宋体"/>
          <w:spacing w:val="3"/>
          <w:sz w:val="21"/>
          <w:szCs w:val="21"/>
        </w:rPr>
        <w:t>负责对合同约定的保修范围内发生的质量问题履行保修</w:t>
      </w:r>
      <w:r>
        <w:rPr>
          <w:rFonts w:ascii="宋体" w:hAnsi="宋体" w:eastAsia="宋体" w:cs="宋体"/>
          <w:spacing w:val="2"/>
          <w:sz w:val="21"/>
          <w:szCs w:val="21"/>
        </w:rPr>
        <w:t>义务并对造成的损失承担赔偿责任</w:t>
      </w:r>
      <w:r>
        <w:rPr>
          <w:rFonts w:ascii="宋体" w:hAnsi="宋体" w:eastAsia="宋体" w:cs="宋体"/>
          <w:spacing w:val="-9"/>
          <w:sz w:val="21"/>
          <w:szCs w:val="21"/>
        </w:rPr>
        <w:t>的期限。</w:t>
      </w:r>
    </w:p>
    <w:p w14:paraId="45C88A56">
      <w:pPr>
        <w:spacing w:line="220" w:lineRule="auto"/>
        <w:ind w:left="460"/>
        <w:rPr>
          <w:rFonts w:ascii="宋体" w:hAnsi="宋体" w:eastAsia="宋体" w:cs="宋体"/>
          <w:sz w:val="21"/>
          <w:szCs w:val="21"/>
        </w:rPr>
      </w:pPr>
      <w:r>
        <w:rPr>
          <w:rFonts w:ascii="宋体" w:hAnsi="宋体" w:eastAsia="宋体" w:cs="宋体"/>
          <w:b/>
          <w:bCs/>
          <w:sz w:val="21"/>
          <w:szCs w:val="21"/>
        </w:rPr>
        <w:t>1.1.6</w:t>
      </w:r>
      <w:r>
        <w:rPr>
          <w:rFonts w:ascii="宋体" w:hAnsi="宋体" w:eastAsia="宋体" w:cs="宋体"/>
          <w:spacing w:val="-35"/>
          <w:sz w:val="21"/>
          <w:szCs w:val="21"/>
        </w:rPr>
        <w:t xml:space="preserve"> </w:t>
      </w:r>
      <w:r>
        <w:rPr>
          <w:rFonts w:ascii="宋体" w:hAnsi="宋体" w:eastAsia="宋体" w:cs="宋体"/>
          <w:b/>
          <w:bCs/>
          <w:sz w:val="21"/>
          <w:szCs w:val="21"/>
        </w:rPr>
        <w:t>其他</w:t>
      </w:r>
    </w:p>
    <w:p w14:paraId="12A1F82D">
      <w:pPr>
        <w:spacing w:before="141" w:line="343" w:lineRule="auto"/>
        <w:ind w:left="44" w:right="83" w:firstLine="415"/>
        <w:rPr>
          <w:rFonts w:ascii="宋体" w:hAnsi="宋体" w:eastAsia="宋体" w:cs="宋体"/>
          <w:sz w:val="21"/>
          <w:szCs w:val="21"/>
        </w:rPr>
      </w:pPr>
      <w:r>
        <w:rPr>
          <w:rFonts w:ascii="宋体" w:hAnsi="宋体" w:eastAsia="宋体" w:cs="宋体"/>
          <w:spacing w:val="-1"/>
          <w:sz w:val="21"/>
          <w:szCs w:val="21"/>
        </w:rPr>
        <w:t>1.1.6.2</w:t>
      </w:r>
      <w:r>
        <w:rPr>
          <w:rFonts w:ascii="宋体" w:hAnsi="宋体" w:eastAsia="宋体" w:cs="宋体"/>
          <w:spacing w:val="-36"/>
          <w:sz w:val="21"/>
          <w:szCs w:val="21"/>
        </w:rPr>
        <w:t xml:space="preserve"> </w:t>
      </w:r>
      <w:r>
        <w:rPr>
          <w:rFonts w:ascii="宋体" w:hAnsi="宋体" w:eastAsia="宋体" w:cs="宋体"/>
          <w:spacing w:val="-1"/>
          <w:sz w:val="21"/>
          <w:szCs w:val="21"/>
        </w:rPr>
        <w:t>材料：指构成或将构成永久工程</w:t>
      </w:r>
      <w:r>
        <w:rPr>
          <w:rFonts w:ascii="宋体" w:hAnsi="宋体" w:eastAsia="宋体" w:cs="宋体"/>
          <w:spacing w:val="-2"/>
          <w:sz w:val="21"/>
          <w:szCs w:val="21"/>
        </w:rPr>
        <w:t>组成部分的各类物品(工程设备除外)，包括合</w:t>
      </w:r>
      <w:r>
        <w:rPr>
          <w:rFonts w:ascii="宋体" w:hAnsi="宋体" w:eastAsia="宋体" w:cs="宋体"/>
          <w:spacing w:val="-3"/>
          <w:sz w:val="21"/>
          <w:szCs w:val="21"/>
        </w:rPr>
        <w:t>同中可能约定的承包人仅负责供应的材料。</w:t>
      </w:r>
    </w:p>
    <w:p w14:paraId="1FFAEA81">
      <w:pPr>
        <w:spacing w:line="358" w:lineRule="auto"/>
        <w:ind w:left="35" w:right="69" w:firstLine="424"/>
        <w:rPr>
          <w:rFonts w:ascii="宋体" w:hAnsi="宋体" w:eastAsia="宋体" w:cs="宋体"/>
          <w:sz w:val="21"/>
          <w:szCs w:val="21"/>
        </w:rPr>
      </w:pPr>
      <w:r>
        <w:rPr>
          <w:rFonts w:ascii="宋体" w:hAnsi="宋体" w:eastAsia="宋体" w:cs="宋体"/>
          <w:spacing w:val="-1"/>
          <w:sz w:val="21"/>
          <w:szCs w:val="21"/>
        </w:rPr>
        <w:t>1.1.6.3</w:t>
      </w:r>
      <w:r>
        <w:rPr>
          <w:rFonts w:ascii="宋体" w:hAnsi="宋体" w:eastAsia="宋体" w:cs="宋体"/>
          <w:spacing w:val="-32"/>
          <w:sz w:val="21"/>
          <w:szCs w:val="21"/>
        </w:rPr>
        <w:t xml:space="preserve"> </w:t>
      </w:r>
      <w:r>
        <w:rPr>
          <w:rFonts w:ascii="宋体" w:hAnsi="宋体" w:eastAsia="宋体" w:cs="宋体"/>
          <w:spacing w:val="-1"/>
          <w:sz w:val="21"/>
          <w:szCs w:val="21"/>
        </w:rPr>
        <w:t>争议评审组：是由发包人和承包人共同聘请的人</w:t>
      </w:r>
      <w:r>
        <w:rPr>
          <w:rFonts w:ascii="宋体" w:hAnsi="宋体" w:eastAsia="宋体" w:cs="宋体"/>
          <w:spacing w:val="-2"/>
          <w:sz w:val="21"/>
          <w:szCs w:val="21"/>
        </w:rPr>
        <w:t>员组成的独立、公正的第三方</w:t>
      </w:r>
      <w:r>
        <w:rPr>
          <w:rFonts w:ascii="宋体" w:hAnsi="宋体" w:eastAsia="宋体" w:cs="宋体"/>
          <w:spacing w:val="-3"/>
          <w:sz w:val="21"/>
          <w:szCs w:val="21"/>
        </w:rPr>
        <w:t>临时性组织，一般由一名或者三名合同管理和</w:t>
      </w:r>
      <w:r>
        <w:rPr>
          <w:rFonts w:ascii="宋体" w:hAnsi="宋体" w:eastAsia="宋体" w:cs="宋体"/>
          <w:spacing w:val="-62"/>
          <w:sz w:val="21"/>
          <w:szCs w:val="21"/>
        </w:rPr>
        <w:t xml:space="preserve"> </w:t>
      </w:r>
      <w:r>
        <w:rPr>
          <w:rFonts w:ascii="宋体" w:hAnsi="宋体" w:eastAsia="宋体" w:cs="宋体"/>
          <w:spacing w:val="-3"/>
          <w:sz w:val="21"/>
          <w:szCs w:val="21"/>
        </w:rPr>
        <w:t>(或)</w:t>
      </w:r>
      <w:r>
        <w:rPr>
          <w:rFonts w:ascii="宋体" w:hAnsi="宋体" w:eastAsia="宋体" w:cs="宋体"/>
          <w:spacing w:val="-4"/>
          <w:sz w:val="21"/>
          <w:szCs w:val="21"/>
        </w:rPr>
        <w:t>工程管理专家组成。争议评审组负责对发</w:t>
      </w:r>
    </w:p>
    <w:p w14:paraId="3F0DE672">
      <w:pPr>
        <w:spacing w:line="358" w:lineRule="auto"/>
        <w:rPr>
          <w:rFonts w:ascii="宋体" w:hAnsi="宋体" w:eastAsia="宋体" w:cs="宋体"/>
          <w:sz w:val="21"/>
          <w:szCs w:val="21"/>
        </w:rPr>
        <w:sectPr>
          <w:footerReference r:id="rId113" w:type="default"/>
          <w:pgSz w:w="11910" w:h="16845"/>
          <w:pgMar w:top="400" w:right="1697" w:bottom="1110" w:left="1786" w:header="0" w:footer="883" w:gutter="0"/>
          <w:cols w:space="720" w:num="1"/>
        </w:sectPr>
      </w:pPr>
    </w:p>
    <w:p w14:paraId="759E8EA7">
      <w:pPr>
        <w:pStyle w:val="2"/>
        <w:spacing w:line="275" w:lineRule="auto"/>
      </w:pPr>
    </w:p>
    <w:p w14:paraId="086E704C">
      <w:pPr>
        <w:pStyle w:val="2"/>
        <w:spacing w:line="275" w:lineRule="auto"/>
      </w:pPr>
    </w:p>
    <w:p w14:paraId="6163E166">
      <w:pPr>
        <w:pStyle w:val="2"/>
        <w:spacing w:line="275" w:lineRule="auto"/>
      </w:pPr>
    </w:p>
    <w:p w14:paraId="7AD68239">
      <w:pPr>
        <w:pStyle w:val="2"/>
        <w:spacing w:line="275" w:lineRule="auto"/>
      </w:pPr>
    </w:p>
    <w:p w14:paraId="34A85DF1">
      <w:pPr>
        <w:spacing w:before="69" w:line="353" w:lineRule="auto"/>
        <w:ind w:left="24" w:right="69"/>
        <w:jc w:val="both"/>
        <w:rPr>
          <w:rFonts w:ascii="宋体" w:hAnsi="宋体" w:eastAsia="宋体" w:cs="宋体"/>
          <w:sz w:val="21"/>
          <w:szCs w:val="21"/>
        </w:rPr>
      </w:pPr>
      <w:r>
        <w:rPr>
          <w:rFonts w:ascii="宋体" w:hAnsi="宋体" w:eastAsia="宋体" w:cs="宋体"/>
          <w:spacing w:val="2"/>
          <w:sz w:val="21"/>
          <w:szCs w:val="21"/>
        </w:rPr>
        <w:t>包人和</w:t>
      </w:r>
      <w:r>
        <w:rPr>
          <w:rFonts w:ascii="宋体" w:hAnsi="宋体" w:eastAsia="宋体" w:cs="宋体"/>
          <w:spacing w:val="-60"/>
          <w:sz w:val="21"/>
          <w:szCs w:val="21"/>
        </w:rPr>
        <w:t xml:space="preserve"> </w:t>
      </w:r>
      <w:r>
        <w:rPr>
          <w:rFonts w:ascii="宋体" w:hAnsi="宋体" w:eastAsia="宋体" w:cs="宋体"/>
          <w:spacing w:val="2"/>
          <w:sz w:val="21"/>
          <w:szCs w:val="21"/>
        </w:rPr>
        <w:t>(或)承包人提请进行评审的本合同项下的争议进</w:t>
      </w:r>
      <w:r>
        <w:rPr>
          <w:rFonts w:ascii="宋体" w:hAnsi="宋体" w:eastAsia="宋体" w:cs="宋体"/>
          <w:spacing w:val="1"/>
          <w:sz w:val="21"/>
          <w:szCs w:val="21"/>
        </w:rPr>
        <w:t>行评审并在规定的期限内给出评审</w:t>
      </w:r>
      <w:r>
        <w:rPr>
          <w:rFonts w:ascii="宋体" w:hAnsi="宋体" w:eastAsia="宋体" w:cs="宋体"/>
          <w:spacing w:val="-2"/>
          <w:sz w:val="21"/>
          <w:szCs w:val="21"/>
        </w:rPr>
        <w:t>意见，合同双方在规定的期限内均未对评审意见提出异议时，评审意见对合同双</w:t>
      </w:r>
      <w:r>
        <w:rPr>
          <w:rFonts w:ascii="宋体" w:hAnsi="宋体" w:eastAsia="宋体" w:cs="宋体"/>
          <w:spacing w:val="-3"/>
          <w:sz w:val="21"/>
          <w:szCs w:val="21"/>
        </w:rPr>
        <w:t>方有最终约</w:t>
      </w:r>
      <w:r>
        <w:rPr>
          <w:rFonts w:ascii="宋体" w:hAnsi="宋体" w:eastAsia="宋体" w:cs="宋体"/>
          <w:spacing w:val="-2"/>
          <w:sz w:val="21"/>
          <w:szCs w:val="21"/>
        </w:rPr>
        <w:t>束力。发包人和承包人应当分别与接受聘请的争议评审专家签订聘用协议，就评</w:t>
      </w:r>
      <w:r>
        <w:rPr>
          <w:rFonts w:ascii="宋体" w:hAnsi="宋体" w:eastAsia="宋体" w:cs="宋体"/>
          <w:spacing w:val="-3"/>
          <w:sz w:val="21"/>
          <w:szCs w:val="21"/>
        </w:rPr>
        <w:t>审的争议范</w:t>
      </w:r>
      <w:r>
        <w:rPr>
          <w:rFonts w:ascii="宋体" w:hAnsi="宋体" w:eastAsia="宋体" w:cs="宋体"/>
          <w:spacing w:val="-1"/>
          <w:sz w:val="21"/>
          <w:szCs w:val="21"/>
        </w:rPr>
        <w:t>围、评审意见效力等必要事项做出约定。</w:t>
      </w:r>
    </w:p>
    <w:p w14:paraId="340F4DC8">
      <w:pPr>
        <w:spacing w:before="1" w:line="338" w:lineRule="auto"/>
        <w:ind w:left="25" w:right="66" w:firstLine="435"/>
        <w:rPr>
          <w:rFonts w:ascii="宋体" w:hAnsi="宋体" w:eastAsia="宋体" w:cs="宋体"/>
          <w:sz w:val="21"/>
          <w:szCs w:val="21"/>
        </w:rPr>
      </w:pPr>
      <w:r>
        <w:rPr>
          <w:rFonts w:ascii="宋体" w:hAnsi="宋体" w:eastAsia="宋体" w:cs="宋体"/>
          <w:spacing w:val="-2"/>
          <w:sz w:val="21"/>
          <w:szCs w:val="21"/>
        </w:rPr>
        <w:t>1.1.6.4</w:t>
      </w:r>
      <w:r>
        <w:rPr>
          <w:rFonts w:ascii="宋体" w:hAnsi="宋体" w:eastAsia="宋体" w:cs="宋体"/>
          <w:spacing w:val="-15"/>
          <w:sz w:val="21"/>
          <w:szCs w:val="21"/>
        </w:rPr>
        <w:t xml:space="preserve"> </w:t>
      </w:r>
      <w:r>
        <w:rPr>
          <w:rFonts w:ascii="宋体" w:hAnsi="宋体" w:eastAsia="宋体" w:cs="宋体"/>
          <w:spacing w:val="-2"/>
          <w:sz w:val="21"/>
          <w:szCs w:val="21"/>
        </w:rPr>
        <w:t>除另有特别指明外，专用合同条款中使用的措辞“合同条款”指通用合同条款</w:t>
      </w:r>
      <w:r>
        <w:rPr>
          <w:rFonts w:ascii="宋体" w:hAnsi="宋体" w:eastAsia="宋体" w:cs="宋体"/>
          <w:spacing w:val="-8"/>
          <w:sz w:val="21"/>
          <w:szCs w:val="21"/>
        </w:rPr>
        <w:t>和</w:t>
      </w:r>
      <w:r>
        <w:rPr>
          <w:rFonts w:ascii="宋体" w:hAnsi="宋体" w:eastAsia="宋体" w:cs="宋体"/>
          <w:spacing w:val="-51"/>
          <w:sz w:val="21"/>
          <w:szCs w:val="21"/>
        </w:rPr>
        <w:t xml:space="preserve"> </w:t>
      </w:r>
      <w:r>
        <w:rPr>
          <w:rFonts w:ascii="宋体" w:hAnsi="宋体" w:eastAsia="宋体" w:cs="宋体"/>
          <w:spacing w:val="-8"/>
          <w:sz w:val="21"/>
          <w:szCs w:val="21"/>
        </w:rPr>
        <w:t>(或)专用合同条款。</w:t>
      </w:r>
    </w:p>
    <w:p w14:paraId="740E36A7">
      <w:pPr>
        <w:spacing w:before="1" w:line="231" w:lineRule="auto"/>
        <w:ind w:left="44"/>
        <w:outlineLvl w:val="1"/>
        <w:rPr>
          <w:rFonts w:ascii="黑体" w:hAnsi="黑体" w:eastAsia="黑体" w:cs="黑体"/>
          <w:sz w:val="24"/>
          <w:szCs w:val="24"/>
        </w:rPr>
      </w:pPr>
      <w:bookmarkStart w:id="225" w:name="bookmark196"/>
      <w:bookmarkEnd w:id="225"/>
      <w:r>
        <w:rPr>
          <w:rFonts w:ascii="Times New Roman" w:hAnsi="Times New Roman" w:eastAsia="Times New Roman" w:cs="Times New Roman"/>
          <w:spacing w:val="-2"/>
          <w:sz w:val="24"/>
          <w:szCs w:val="24"/>
        </w:rPr>
        <w:t xml:space="preserve">1.4 </w:t>
      </w:r>
      <w:r>
        <w:rPr>
          <w:rFonts w:ascii="黑体" w:hAnsi="黑体" w:eastAsia="黑体" w:cs="黑体"/>
          <w:spacing w:val="-2"/>
          <w:sz w:val="24"/>
          <w:szCs w:val="24"/>
        </w:rPr>
        <w:t>合同文件的优先顺序</w:t>
      </w:r>
    </w:p>
    <w:p w14:paraId="2F563883">
      <w:pPr>
        <w:spacing w:before="128" w:line="220" w:lineRule="auto"/>
        <w:ind w:left="445"/>
        <w:rPr>
          <w:rFonts w:ascii="宋体" w:hAnsi="宋体" w:eastAsia="宋体" w:cs="宋体"/>
          <w:sz w:val="21"/>
          <w:szCs w:val="21"/>
        </w:rPr>
      </w:pPr>
      <w:r>
        <w:rPr>
          <w:rFonts w:ascii="宋体" w:hAnsi="宋体" w:eastAsia="宋体" w:cs="宋体"/>
          <w:spacing w:val="-4"/>
          <w:sz w:val="21"/>
          <w:szCs w:val="21"/>
        </w:rPr>
        <w:t>合同文件的优先解释顺序如下：</w:t>
      </w:r>
    </w:p>
    <w:p w14:paraId="24A0CF7E">
      <w:pPr>
        <w:spacing w:before="140" w:line="219" w:lineRule="auto"/>
        <w:ind w:left="481"/>
        <w:rPr>
          <w:rFonts w:ascii="宋体" w:hAnsi="宋体" w:eastAsia="宋体" w:cs="宋体"/>
          <w:sz w:val="21"/>
          <w:szCs w:val="21"/>
        </w:rPr>
      </w:pPr>
      <w:r>
        <w:rPr>
          <w:rFonts w:ascii="宋体" w:hAnsi="宋体" w:eastAsia="宋体" w:cs="宋体"/>
          <w:spacing w:val="-10"/>
          <w:sz w:val="21"/>
          <w:szCs w:val="21"/>
        </w:rPr>
        <w:t>(1)合同协议书；</w:t>
      </w:r>
    </w:p>
    <w:p w14:paraId="09074A77">
      <w:pPr>
        <w:spacing w:before="156" w:line="219" w:lineRule="auto"/>
        <w:ind w:left="481"/>
        <w:rPr>
          <w:rFonts w:ascii="宋体" w:hAnsi="宋体" w:eastAsia="宋体" w:cs="宋体"/>
          <w:sz w:val="21"/>
          <w:szCs w:val="21"/>
        </w:rPr>
      </w:pPr>
      <w:r>
        <w:rPr>
          <w:rFonts w:ascii="宋体" w:hAnsi="宋体" w:eastAsia="宋体" w:cs="宋体"/>
          <w:spacing w:val="-10"/>
          <w:sz w:val="21"/>
          <w:szCs w:val="21"/>
        </w:rPr>
        <w:t>(2)中标通知书；</w:t>
      </w:r>
    </w:p>
    <w:p w14:paraId="40EB5499">
      <w:pPr>
        <w:spacing w:before="156" w:line="219" w:lineRule="auto"/>
        <w:ind w:left="481"/>
        <w:rPr>
          <w:rFonts w:ascii="宋体" w:hAnsi="宋体" w:eastAsia="宋体" w:cs="宋体"/>
          <w:sz w:val="21"/>
          <w:szCs w:val="21"/>
        </w:rPr>
      </w:pPr>
      <w:r>
        <w:rPr>
          <w:rFonts w:ascii="宋体" w:hAnsi="宋体" w:eastAsia="宋体" w:cs="宋体"/>
          <w:spacing w:val="-7"/>
          <w:sz w:val="21"/>
          <w:szCs w:val="21"/>
        </w:rPr>
        <w:t>(3)投标函及投标函附录；</w:t>
      </w:r>
    </w:p>
    <w:p w14:paraId="5E1671CF">
      <w:pPr>
        <w:spacing w:before="141" w:line="220" w:lineRule="auto"/>
        <w:ind w:left="481"/>
        <w:rPr>
          <w:rFonts w:ascii="宋体" w:hAnsi="宋体" w:eastAsia="宋体" w:cs="宋体"/>
          <w:sz w:val="21"/>
          <w:szCs w:val="21"/>
        </w:rPr>
      </w:pPr>
      <w:r>
        <w:rPr>
          <w:rFonts w:ascii="宋体" w:hAnsi="宋体" w:eastAsia="宋体" w:cs="宋体"/>
          <w:spacing w:val="-9"/>
          <w:sz w:val="21"/>
          <w:szCs w:val="21"/>
        </w:rPr>
        <w:t>(4)专用合同条款；</w:t>
      </w:r>
    </w:p>
    <w:p w14:paraId="2EF241C5">
      <w:pPr>
        <w:spacing w:before="156" w:line="220" w:lineRule="auto"/>
        <w:ind w:left="481"/>
        <w:rPr>
          <w:rFonts w:ascii="宋体" w:hAnsi="宋体" w:eastAsia="宋体" w:cs="宋体"/>
          <w:sz w:val="21"/>
          <w:szCs w:val="21"/>
        </w:rPr>
      </w:pPr>
      <w:r>
        <w:rPr>
          <w:rFonts w:ascii="宋体" w:hAnsi="宋体" w:eastAsia="宋体" w:cs="宋体"/>
          <w:spacing w:val="-9"/>
          <w:sz w:val="21"/>
          <w:szCs w:val="21"/>
        </w:rPr>
        <w:t>(5)通用合同条款；</w:t>
      </w:r>
    </w:p>
    <w:p w14:paraId="4F8AED6E">
      <w:pPr>
        <w:spacing w:before="155" w:line="222" w:lineRule="auto"/>
        <w:ind w:left="481"/>
        <w:rPr>
          <w:rFonts w:ascii="宋体" w:hAnsi="宋体" w:eastAsia="宋体" w:cs="宋体"/>
          <w:sz w:val="21"/>
          <w:szCs w:val="21"/>
        </w:rPr>
      </w:pPr>
      <w:r>
        <w:rPr>
          <w:rFonts w:ascii="宋体" w:hAnsi="宋体" w:eastAsia="宋体" w:cs="宋体"/>
          <w:spacing w:val="-12"/>
          <w:sz w:val="21"/>
          <w:szCs w:val="21"/>
        </w:rPr>
        <w:t>(6)</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09732712">
      <w:pPr>
        <w:spacing w:before="138" w:line="222" w:lineRule="auto"/>
        <w:ind w:left="481"/>
        <w:rPr>
          <w:rFonts w:ascii="宋体" w:hAnsi="宋体" w:eastAsia="宋体" w:cs="宋体"/>
          <w:sz w:val="21"/>
          <w:szCs w:val="21"/>
        </w:rPr>
      </w:pPr>
      <w:r>
        <w:rPr>
          <w:rFonts w:ascii="宋体" w:hAnsi="宋体" w:eastAsia="宋体" w:cs="宋体"/>
          <w:spacing w:val="-12"/>
          <w:sz w:val="21"/>
          <w:szCs w:val="21"/>
        </w:rPr>
        <w:t>(7)</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0D5E4D14">
      <w:pPr>
        <w:spacing w:before="152" w:line="222" w:lineRule="auto"/>
        <w:ind w:left="481"/>
        <w:rPr>
          <w:rFonts w:ascii="宋体" w:hAnsi="宋体" w:eastAsia="宋体" w:cs="宋体"/>
          <w:sz w:val="21"/>
          <w:szCs w:val="21"/>
        </w:rPr>
      </w:pPr>
      <w:r>
        <w:rPr>
          <w:rFonts w:ascii="宋体" w:hAnsi="宋体" w:eastAsia="宋体" w:cs="宋体"/>
          <w:spacing w:val="-12"/>
          <w:sz w:val="21"/>
          <w:szCs w:val="21"/>
        </w:rPr>
        <w:t>(8)</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01BA0203">
      <w:pPr>
        <w:spacing w:before="154" w:line="222" w:lineRule="auto"/>
        <w:ind w:left="481"/>
        <w:rPr>
          <w:rFonts w:ascii="宋体" w:hAnsi="宋体" w:eastAsia="宋体" w:cs="宋体"/>
          <w:sz w:val="21"/>
          <w:szCs w:val="21"/>
        </w:rPr>
      </w:pPr>
      <w:r>
        <w:rPr>
          <w:rFonts w:ascii="宋体" w:hAnsi="宋体" w:eastAsia="宋体" w:cs="宋体"/>
          <w:spacing w:val="-12"/>
          <w:sz w:val="21"/>
          <w:szCs w:val="21"/>
        </w:rPr>
        <w:t>(9)</w:t>
      </w:r>
      <w:r>
        <w:rPr>
          <w:rFonts w:ascii="宋体" w:hAnsi="宋体" w:eastAsia="宋体" w:cs="宋体"/>
          <w:spacing w:val="-10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2"/>
          <w:sz w:val="21"/>
          <w:szCs w:val="21"/>
        </w:rPr>
        <w:t>。</w:t>
      </w:r>
    </w:p>
    <w:p w14:paraId="1583ABF3">
      <w:pPr>
        <w:spacing w:before="138" w:line="356" w:lineRule="auto"/>
        <w:ind w:left="25" w:right="53" w:firstLine="458"/>
        <w:rPr>
          <w:rFonts w:ascii="楷体" w:hAnsi="楷体" w:eastAsia="楷体" w:cs="楷体"/>
          <w:sz w:val="21"/>
          <w:szCs w:val="21"/>
        </w:rPr>
      </w:pPr>
      <w:r>
        <w:rPr>
          <w:rFonts w:ascii="楷体" w:hAnsi="楷体" w:eastAsia="楷体" w:cs="楷体"/>
          <w:spacing w:val="-2"/>
          <w:sz w:val="21"/>
          <w:szCs w:val="21"/>
        </w:rPr>
        <w:t>(说明：(6)、(7)、(8)填空内容分别</w:t>
      </w:r>
      <w:r>
        <w:rPr>
          <w:rFonts w:ascii="楷体" w:hAnsi="楷体" w:eastAsia="楷体" w:cs="楷体"/>
          <w:spacing w:val="-3"/>
          <w:sz w:val="21"/>
          <w:szCs w:val="21"/>
        </w:rPr>
        <w:t>限于技术标准和要求、图纸、已标价工程量清单三</w:t>
      </w:r>
      <w:r>
        <w:rPr>
          <w:rFonts w:ascii="楷体" w:hAnsi="楷体" w:eastAsia="楷体" w:cs="楷体"/>
          <w:spacing w:val="-1"/>
          <w:sz w:val="21"/>
          <w:szCs w:val="21"/>
        </w:rPr>
        <w:t>者之一。)</w:t>
      </w:r>
    </w:p>
    <w:p w14:paraId="4F5A3250">
      <w:pPr>
        <w:spacing w:before="1" w:line="345" w:lineRule="auto"/>
        <w:ind w:left="27" w:right="66" w:firstLine="417"/>
        <w:rPr>
          <w:rFonts w:ascii="宋体" w:hAnsi="宋体" w:eastAsia="宋体" w:cs="宋体"/>
          <w:sz w:val="21"/>
          <w:szCs w:val="21"/>
        </w:rPr>
      </w:pPr>
      <w:r>
        <w:rPr>
          <w:rFonts w:ascii="宋体" w:hAnsi="宋体" w:eastAsia="宋体" w:cs="宋体"/>
          <w:spacing w:val="-2"/>
          <w:sz w:val="21"/>
          <w:szCs w:val="21"/>
        </w:rPr>
        <w:t>合同协议书中约定采用总价合同形式的，已标价工程量清单中的各项工</w:t>
      </w:r>
      <w:r>
        <w:rPr>
          <w:rFonts w:ascii="宋体" w:hAnsi="宋体" w:eastAsia="宋体" w:cs="宋体"/>
          <w:spacing w:val="-3"/>
          <w:sz w:val="21"/>
          <w:szCs w:val="21"/>
        </w:rPr>
        <w:t>程量对合同双方</w:t>
      </w:r>
      <w:r>
        <w:rPr>
          <w:rFonts w:ascii="宋体" w:hAnsi="宋体" w:eastAsia="宋体" w:cs="宋体"/>
          <w:spacing w:val="-5"/>
          <w:sz w:val="21"/>
          <w:szCs w:val="21"/>
        </w:rPr>
        <w:t>不具合同约束力。</w:t>
      </w:r>
    </w:p>
    <w:p w14:paraId="256E3C1A">
      <w:pPr>
        <w:spacing w:before="10" w:line="219" w:lineRule="auto"/>
        <w:ind w:left="465"/>
        <w:rPr>
          <w:rFonts w:ascii="宋体" w:hAnsi="宋体" w:eastAsia="宋体" w:cs="宋体"/>
          <w:sz w:val="21"/>
          <w:szCs w:val="21"/>
        </w:rPr>
      </w:pPr>
      <w:r>
        <w:rPr>
          <w:rFonts w:ascii="宋体" w:hAnsi="宋体" w:eastAsia="宋体" w:cs="宋体"/>
          <w:spacing w:val="-1"/>
          <w:sz w:val="21"/>
          <w:szCs w:val="21"/>
        </w:rPr>
        <w:t>图纸与技术标准和要求之间有矛盾或者不一致的，以其中要求较严格</w:t>
      </w:r>
      <w:r>
        <w:rPr>
          <w:rFonts w:ascii="宋体" w:hAnsi="宋体" w:eastAsia="宋体" w:cs="宋体"/>
          <w:spacing w:val="-2"/>
          <w:sz w:val="21"/>
          <w:szCs w:val="21"/>
        </w:rPr>
        <w:t>的标准为准。</w:t>
      </w:r>
    </w:p>
    <w:p w14:paraId="50C517AE">
      <w:pPr>
        <w:spacing w:before="157" w:line="338" w:lineRule="auto"/>
        <w:ind w:left="25" w:right="73" w:firstLine="420"/>
        <w:rPr>
          <w:rFonts w:ascii="宋体" w:hAnsi="宋体" w:eastAsia="宋体" w:cs="宋体"/>
          <w:sz w:val="21"/>
          <w:szCs w:val="21"/>
        </w:rPr>
      </w:pPr>
      <w:r>
        <w:rPr>
          <w:rFonts w:ascii="宋体" w:hAnsi="宋体" w:eastAsia="宋体" w:cs="宋体"/>
          <w:spacing w:val="-2"/>
          <w:sz w:val="21"/>
          <w:szCs w:val="21"/>
        </w:rPr>
        <w:t>合同双方在合同履行过程中签订的补充协议亦构成合同文</w:t>
      </w:r>
      <w:r>
        <w:rPr>
          <w:rFonts w:ascii="宋体" w:hAnsi="宋体" w:eastAsia="宋体" w:cs="宋体"/>
          <w:spacing w:val="-3"/>
          <w:sz w:val="21"/>
          <w:szCs w:val="21"/>
        </w:rPr>
        <w:t>件的组成部分，其解释顺序视</w:t>
      </w:r>
      <w:r>
        <w:rPr>
          <w:rFonts w:ascii="宋体" w:hAnsi="宋体" w:eastAsia="宋体" w:cs="宋体"/>
          <w:spacing w:val="-2"/>
          <w:sz w:val="21"/>
          <w:szCs w:val="21"/>
        </w:rPr>
        <w:t>其内容与其他合同文件的相互关系而定。</w:t>
      </w:r>
    </w:p>
    <w:p w14:paraId="515D60CA">
      <w:pPr>
        <w:spacing w:before="1" w:line="232" w:lineRule="auto"/>
        <w:ind w:left="44"/>
        <w:outlineLvl w:val="1"/>
        <w:rPr>
          <w:rFonts w:ascii="黑体" w:hAnsi="黑体" w:eastAsia="黑体" w:cs="黑体"/>
          <w:sz w:val="24"/>
          <w:szCs w:val="24"/>
        </w:rPr>
      </w:pPr>
      <w:bookmarkStart w:id="226" w:name="bookmark197"/>
      <w:bookmarkEnd w:id="226"/>
      <w:r>
        <w:rPr>
          <w:rFonts w:ascii="Times New Roman" w:hAnsi="Times New Roman" w:eastAsia="Times New Roman" w:cs="Times New Roman"/>
          <w:spacing w:val="-3"/>
          <w:sz w:val="24"/>
          <w:szCs w:val="24"/>
        </w:rPr>
        <w:t xml:space="preserve">1.5 </w:t>
      </w:r>
      <w:r>
        <w:rPr>
          <w:rFonts w:ascii="黑体" w:hAnsi="黑体" w:eastAsia="黑体" w:cs="黑体"/>
          <w:spacing w:val="-3"/>
          <w:sz w:val="24"/>
          <w:szCs w:val="24"/>
        </w:rPr>
        <w:t>合同协议书</w:t>
      </w:r>
    </w:p>
    <w:p w14:paraId="6D126F5E">
      <w:pPr>
        <w:spacing w:before="293" w:line="220" w:lineRule="auto"/>
        <w:jc w:val="right"/>
        <w:rPr>
          <w:rFonts w:ascii="宋体" w:hAnsi="宋体" w:eastAsia="宋体" w:cs="宋体"/>
          <w:sz w:val="21"/>
          <w:szCs w:val="21"/>
        </w:rPr>
      </w:pPr>
      <w:r>
        <w:rPr>
          <w:rFonts w:ascii="宋体" w:hAnsi="宋体" w:eastAsia="宋体" w:cs="宋体"/>
          <w:spacing w:val="-15"/>
          <w:sz w:val="21"/>
          <w:szCs w:val="21"/>
        </w:rPr>
        <w:t>合同生效的条件：</w:t>
      </w:r>
      <w:r>
        <w:rPr>
          <w:rFonts w:ascii="宋体" w:hAnsi="宋体" w:eastAsia="宋体" w:cs="宋体"/>
          <w:sz w:val="21"/>
          <w:szCs w:val="21"/>
          <w:u w:val="single" w:color="auto"/>
        </w:rPr>
        <w:t xml:space="preserve">                                                           </w:t>
      </w:r>
      <w:r>
        <w:rPr>
          <w:rFonts w:ascii="宋体" w:hAnsi="宋体" w:eastAsia="宋体" w:cs="宋体"/>
          <w:spacing w:val="-15"/>
          <w:sz w:val="21"/>
          <w:szCs w:val="21"/>
        </w:rPr>
        <w:t>。</w:t>
      </w:r>
    </w:p>
    <w:p w14:paraId="32D20FD4">
      <w:pPr>
        <w:spacing w:before="265" w:line="233" w:lineRule="auto"/>
        <w:ind w:left="44"/>
        <w:outlineLvl w:val="1"/>
        <w:rPr>
          <w:rFonts w:ascii="黑体" w:hAnsi="黑体" w:eastAsia="黑体" w:cs="黑体"/>
          <w:sz w:val="24"/>
          <w:szCs w:val="24"/>
        </w:rPr>
      </w:pPr>
      <w:bookmarkStart w:id="227" w:name="bookmark655"/>
      <w:bookmarkEnd w:id="227"/>
      <w:r>
        <w:rPr>
          <w:rFonts w:ascii="Times New Roman" w:hAnsi="Times New Roman" w:eastAsia="Times New Roman" w:cs="Times New Roman"/>
          <w:spacing w:val="-5"/>
          <w:sz w:val="24"/>
          <w:szCs w:val="24"/>
        </w:rPr>
        <w:t>1.6</w:t>
      </w:r>
      <w:r>
        <w:rPr>
          <w:rFonts w:ascii="Times New Roman" w:hAnsi="Times New Roman" w:eastAsia="Times New Roman" w:cs="Times New Roman"/>
          <w:spacing w:val="32"/>
          <w:sz w:val="24"/>
          <w:szCs w:val="24"/>
        </w:rPr>
        <w:t xml:space="preserve"> </w:t>
      </w:r>
      <w:r>
        <w:rPr>
          <w:rFonts w:ascii="黑体" w:hAnsi="黑体" w:eastAsia="黑体" w:cs="黑体"/>
          <w:spacing w:val="-5"/>
          <w:sz w:val="24"/>
          <w:szCs w:val="24"/>
        </w:rPr>
        <w:t>图纸和承包人文件</w:t>
      </w:r>
    </w:p>
    <w:p w14:paraId="1E16DE27">
      <w:pPr>
        <w:spacing w:before="293" w:line="219" w:lineRule="auto"/>
        <w:ind w:left="460"/>
        <w:rPr>
          <w:rFonts w:ascii="宋体" w:hAnsi="宋体" w:eastAsia="宋体" w:cs="宋体"/>
          <w:sz w:val="21"/>
          <w:szCs w:val="21"/>
        </w:rPr>
      </w:pPr>
      <w:bookmarkStart w:id="228" w:name="bookmark198"/>
      <w:bookmarkEnd w:id="228"/>
      <w:r>
        <w:rPr>
          <w:rFonts w:ascii="宋体" w:hAnsi="宋体" w:eastAsia="宋体" w:cs="宋体"/>
          <w:b/>
          <w:bCs/>
          <w:spacing w:val="-4"/>
          <w:sz w:val="21"/>
          <w:szCs w:val="21"/>
        </w:rPr>
        <w:t>1.6.1</w:t>
      </w:r>
      <w:r>
        <w:rPr>
          <w:rFonts w:ascii="宋体" w:hAnsi="宋体" w:eastAsia="宋体" w:cs="宋体"/>
          <w:spacing w:val="-4"/>
          <w:sz w:val="21"/>
          <w:szCs w:val="21"/>
        </w:rPr>
        <w:t xml:space="preserve"> </w:t>
      </w:r>
      <w:r>
        <w:rPr>
          <w:rFonts w:ascii="宋体" w:hAnsi="宋体" w:eastAsia="宋体" w:cs="宋体"/>
          <w:b/>
          <w:bCs/>
          <w:spacing w:val="-4"/>
          <w:sz w:val="21"/>
          <w:szCs w:val="21"/>
        </w:rPr>
        <w:t>图纸的提供</w:t>
      </w:r>
    </w:p>
    <w:p w14:paraId="0DBFF39F">
      <w:pPr>
        <w:spacing w:before="293" w:line="356" w:lineRule="auto"/>
        <w:ind w:left="27" w:right="128" w:firstLine="454"/>
        <w:rPr>
          <w:rFonts w:ascii="宋体" w:hAnsi="宋体" w:eastAsia="宋体" w:cs="宋体"/>
          <w:sz w:val="21"/>
          <w:szCs w:val="21"/>
        </w:rPr>
      </w:pPr>
      <w:r>
        <w:rPr>
          <w:rFonts w:ascii="宋体" w:hAnsi="宋体" w:eastAsia="宋体" w:cs="宋体"/>
          <w:spacing w:val="-2"/>
          <w:sz w:val="21"/>
          <w:szCs w:val="21"/>
        </w:rPr>
        <w:t>(1)发包人按照合同条款本项的约定向承包人提供图纸。承包人需要增加图纸套数的，发包人应代为复制，复制费用由承包人承担。</w:t>
      </w:r>
    </w:p>
    <w:p w14:paraId="539DE0A4">
      <w:pPr>
        <w:spacing w:before="3" w:line="350" w:lineRule="auto"/>
        <w:ind w:left="24" w:right="57" w:firstLine="457"/>
        <w:rPr>
          <w:rFonts w:ascii="宋体" w:hAnsi="宋体" w:eastAsia="宋体" w:cs="宋体"/>
          <w:sz w:val="21"/>
          <w:szCs w:val="21"/>
        </w:rPr>
      </w:pPr>
      <w:r>
        <w:rPr>
          <w:rFonts w:ascii="宋体" w:hAnsi="宋体" w:eastAsia="宋体" w:cs="宋体"/>
          <w:spacing w:val="-2"/>
          <w:sz w:val="21"/>
          <w:szCs w:val="21"/>
        </w:rPr>
        <w:t>(2)在监理人批准合同条款第</w:t>
      </w:r>
      <w:r>
        <w:rPr>
          <w:rFonts w:ascii="宋体" w:hAnsi="宋体" w:eastAsia="宋体" w:cs="宋体"/>
          <w:spacing w:val="-23"/>
          <w:sz w:val="21"/>
          <w:szCs w:val="21"/>
        </w:rPr>
        <w:t xml:space="preserve"> </w:t>
      </w:r>
      <w:r>
        <w:rPr>
          <w:rFonts w:ascii="宋体" w:hAnsi="宋体" w:eastAsia="宋体" w:cs="宋体"/>
          <w:spacing w:val="-2"/>
          <w:sz w:val="21"/>
          <w:szCs w:val="21"/>
        </w:rPr>
        <w:t>10.1</w:t>
      </w:r>
      <w:r>
        <w:rPr>
          <w:rFonts w:ascii="宋体" w:hAnsi="宋体" w:eastAsia="宋体" w:cs="宋体"/>
          <w:spacing w:val="-35"/>
          <w:sz w:val="21"/>
          <w:szCs w:val="21"/>
        </w:rPr>
        <w:t xml:space="preserve"> </w:t>
      </w:r>
      <w:r>
        <w:rPr>
          <w:rFonts w:ascii="宋体" w:hAnsi="宋体" w:eastAsia="宋体" w:cs="宋体"/>
          <w:spacing w:val="-2"/>
          <w:sz w:val="21"/>
          <w:szCs w:val="21"/>
        </w:rPr>
        <w:t>款约定的合同进度计划</w:t>
      </w:r>
      <w:r>
        <w:rPr>
          <w:rFonts w:ascii="宋体" w:hAnsi="宋体" w:eastAsia="宋体" w:cs="宋体"/>
          <w:spacing w:val="-3"/>
          <w:sz w:val="21"/>
          <w:szCs w:val="21"/>
        </w:rPr>
        <w:t>或者合同条款</w:t>
      </w:r>
      <w:r>
        <w:rPr>
          <w:rFonts w:ascii="宋体" w:hAnsi="宋体" w:eastAsia="宋体" w:cs="宋体"/>
          <w:spacing w:val="-25"/>
          <w:sz w:val="21"/>
          <w:szCs w:val="21"/>
        </w:rPr>
        <w:t xml:space="preserve"> </w:t>
      </w:r>
      <w:r>
        <w:rPr>
          <w:rFonts w:ascii="宋体" w:hAnsi="宋体" w:eastAsia="宋体" w:cs="宋体"/>
          <w:spacing w:val="-3"/>
          <w:sz w:val="21"/>
          <w:szCs w:val="21"/>
        </w:rPr>
        <w:t>10.2</w:t>
      </w:r>
      <w:r>
        <w:rPr>
          <w:rFonts w:ascii="宋体" w:hAnsi="宋体" w:eastAsia="宋体" w:cs="宋体"/>
          <w:spacing w:val="-35"/>
          <w:sz w:val="21"/>
          <w:szCs w:val="21"/>
        </w:rPr>
        <w:t xml:space="preserve"> </w:t>
      </w:r>
      <w:r>
        <w:rPr>
          <w:rFonts w:ascii="宋体" w:hAnsi="宋体" w:eastAsia="宋体" w:cs="宋体"/>
          <w:spacing w:val="-3"/>
          <w:sz w:val="21"/>
          <w:szCs w:val="21"/>
        </w:rPr>
        <w:t>款约定的合同进度计划修改后</w:t>
      </w:r>
      <w:r>
        <w:rPr>
          <w:rFonts w:ascii="宋体" w:hAnsi="宋体" w:eastAsia="宋体" w:cs="宋体"/>
          <w:spacing w:val="-24"/>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天内，承包人应当根据合同进度计划和本项约定的图纸提供期限和数</w:t>
      </w:r>
      <w:r>
        <w:rPr>
          <w:rFonts w:ascii="宋体" w:hAnsi="宋体" w:eastAsia="宋体" w:cs="宋体"/>
          <w:spacing w:val="-2"/>
          <w:sz w:val="21"/>
          <w:szCs w:val="21"/>
        </w:rPr>
        <w:t>量，编制或者修改图纸供应计划并报送监理人，其中应当载明承包人对各区段最新</w:t>
      </w:r>
      <w:r>
        <w:rPr>
          <w:rFonts w:ascii="宋体" w:hAnsi="宋体" w:eastAsia="宋体" w:cs="宋体"/>
          <w:spacing w:val="-3"/>
          <w:sz w:val="21"/>
          <w:szCs w:val="21"/>
        </w:rPr>
        <w:t>版本图纸</w:t>
      </w:r>
    </w:p>
    <w:p w14:paraId="00E090C7">
      <w:pPr>
        <w:spacing w:line="350" w:lineRule="auto"/>
        <w:rPr>
          <w:rFonts w:ascii="宋体" w:hAnsi="宋体" w:eastAsia="宋体" w:cs="宋体"/>
          <w:sz w:val="21"/>
          <w:szCs w:val="21"/>
        </w:rPr>
        <w:sectPr>
          <w:footerReference r:id="rId114" w:type="default"/>
          <w:pgSz w:w="11910" w:h="16845"/>
          <w:pgMar w:top="400" w:right="1712" w:bottom="1110" w:left="1786" w:header="0" w:footer="883" w:gutter="0"/>
          <w:cols w:space="720" w:num="1"/>
        </w:sectPr>
      </w:pPr>
    </w:p>
    <w:p w14:paraId="62EDAA1B">
      <w:pPr>
        <w:pStyle w:val="2"/>
        <w:spacing w:line="274" w:lineRule="auto"/>
      </w:pPr>
    </w:p>
    <w:p w14:paraId="5791FFFC">
      <w:pPr>
        <w:pStyle w:val="2"/>
        <w:spacing w:line="274" w:lineRule="auto"/>
      </w:pPr>
    </w:p>
    <w:p w14:paraId="5C69E368">
      <w:pPr>
        <w:pStyle w:val="2"/>
        <w:spacing w:line="274" w:lineRule="auto"/>
      </w:pPr>
    </w:p>
    <w:p w14:paraId="118B4F97">
      <w:pPr>
        <w:pStyle w:val="2"/>
        <w:spacing w:line="275" w:lineRule="auto"/>
      </w:pPr>
    </w:p>
    <w:p w14:paraId="34C5431D">
      <w:pPr>
        <w:spacing w:before="69" w:line="353" w:lineRule="auto"/>
        <w:ind w:left="24" w:right="24" w:firstLine="36"/>
        <w:jc w:val="both"/>
        <w:rPr>
          <w:rFonts w:ascii="宋体" w:hAnsi="宋体" w:eastAsia="宋体" w:cs="宋体"/>
          <w:sz w:val="21"/>
          <w:szCs w:val="21"/>
        </w:rPr>
      </w:pPr>
      <w:r>
        <w:rPr>
          <w:rFonts w:ascii="宋体" w:hAnsi="宋体" w:eastAsia="宋体" w:cs="宋体"/>
          <w:spacing w:val="-4"/>
          <w:sz w:val="21"/>
          <w:szCs w:val="21"/>
        </w:rPr>
        <w:t>(包括合同条款第</w:t>
      </w:r>
      <w:r>
        <w:rPr>
          <w:rFonts w:ascii="宋体" w:hAnsi="宋体" w:eastAsia="宋体" w:cs="宋体"/>
          <w:spacing w:val="-8"/>
          <w:sz w:val="21"/>
          <w:szCs w:val="21"/>
        </w:rPr>
        <w:t xml:space="preserve"> </w:t>
      </w:r>
      <w:r>
        <w:rPr>
          <w:rFonts w:ascii="宋体" w:hAnsi="宋体" w:eastAsia="宋体" w:cs="宋体"/>
          <w:spacing w:val="-4"/>
          <w:sz w:val="21"/>
          <w:szCs w:val="21"/>
        </w:rPr>
        <w:t>1.6.3</w:t>
      </w:r>
      <w:r>
        <w:rPr>
          <w:rFonts w:ascii="宋体" w:hAnsi="宋体" w:eastAsia="宋体" w:cs="宋体"/>
          <w:spacing w:val="-33"/>
          <w:sz w:val="21"/>
          <w:szCs w:val="21"/>
        </w:rPr>
        <w:t xml:space="preserve"> </w:t>
      </w:r>
      <w:r>
        <w:rPr>
          <w:rFonts w:ascii="宋体" w:hAnsi="宋体" w:eastAsia="宋体" w:cs="宋体"/>
          <w:spacing w:val="-4"/>
          <w:sz w:val="21"/>
          <w:szCs w:val="21"/>
        </w:rPr>
        <w:t>项约定的图纸修改图)的最迟需求时间，监理人应当在收到图纸供应</w:t>
      </w:r>
      <w:r>
        <w:rPr>
          <w:rFonts w:ascii="宋体" w:hAnsi="宋体" w:eastAsia="宋体" w:cs="宋体"/>
          <w:spacing w:val="-3"/>
          <w:sz w:val="21"/>
          <w:szCs w:val="21"/>
        </w:rPr>
        <w:t>计划后</w:t>
      </w:r>
      <w:r>
        <w:rPr>
          <w:rFonts w:ascii="宋体" w:hAnsi="宋体" w:eastAsia="宋体" w:cs="宋体"/>
          <w:spacing w:val="-20"/>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天内批复或提出修改意见，否则该图纸供应计划视为得到批准。经监理人批准的最</w:t>
      </w:r>
      <w:r>
        <w:rPr>
          <w:rFonts w:ascii="宋体" w:hAnsi="宋体" w:eastAsia="宋体" w:cs="宋体"/>
          <w:spacing w:val="-2"/>
          <w:sz w:val="21"/>
          <w:szCs w:val="21"/>
        </w:rPr>
        <w:t>新的图纸供应计划对合同双方有合同约束力，作为发包人或者监理人向承包人提供图纸的主要依据。发包人或者监理人不按照图纸供应计划提供图纸而导致承包人费用增</w:t>
      </w:r>
      <w:r>
        <w:rPr>
          <w:rFonts w:ascii="宋体" w:hAnsi="宋体" w:eastAsia="宋体" w:cs="宋体"/>
          <w:spacing w:val="-3"/>
          <w:sz w:val="21"/>
          <w:szCs w:val="21"/>
        </w:rPr>
        <w:t>加和(或)工期</w:t>
      </w:r>
      <w:r>
        <w:rPr>
          <w:rFonts w:ascii="宋体" w:hAnsi="宋体" w:eastAsia="宋体" w:cs="宋体"/>
          <w:spacing w:val="-5"/>
          <w:sz w:val="21"/>
          <w:szCs w:val="21"/>
        </w:rPr>
        <w:t>延误的，由发包人承担赔偿责任。承包人未按</w:t>
      </w:r>
      <w:r>
        <w:rPr>
          <w:rFonts w:ascii="宋体" w:hAnsi="宋体" w:eastAsia="宋体" w:cs="宋体"/>
          <w:spacing w:val="-6"/>
          <w:sz w:val="21"/>
          <w:szCs w:val="21"/>
        </w:rPr>
        <w:t>照本目约定的时间向监理人提交图纸供应计划，</w:t>
      </w:r>
      <w:r>
        <w:rPr>
          <w:rFonts w:ascii="宋体" w:hAnsi="宋体" w:eastAsia="宋体" w:cs="宋体"/>
          <w:spacing w:val="3"/>
          <w:sz w:val="21"/>
          <w:szCs w:val="21"/>
        </w:rPr>
        <w:t>致使发包人或者监理人未能在合理的时间内提供相应图纸或者承包人未按照</w:t>
      </w:r>
      <w:r>
        <w:rPr>
          <w:rFonts w:ascii="宋体" w:hAnsi="宋体" w:eastAsia="宋体" w:cs="宋体"/>
          <w:spacing w:val="2"/>
          <w:sz w:val="21"/>
          <w:szCs w:val="21"/>
        </w:rPr>
        <w:t>图纸供应计划</w:t>
      </w:r>
      <w:r>
        <w:rPr>
          <w:rFonts w:ascii="宋体" w:hAnsi="宋体" w:eastAsia="宋体" w:cs="宋体"/>
          <w:spacing w:val="-3"/>
          <w:sz w:val="21"/>
          <w:szCs w:val="21"/>
        </w:rPr>
        <w:t>组织施工所造成的费用增加和</w:t>
      </w:r>
      <w:r>
        <w:rPr>
          <w:rFonts w:ascii="宋体" w:hAnsi="宋体" w:eastAsia="宋体" w:cs="宋体"/>
          <w:spacing w:val="-53"/>
          <w:sz w:val="21"/>
          <w:szCs w:val="21"/>
        </w:rPr>
        <w:t xml:space="preserve"> </w:t>
      </w:r>
      <w:r>
        <w:rPr>
          <w:rFonts w:ascii="宋体" w:hAnsi="宋体" w:eastAsia="宋体" w:cs="宋体"/>
          <w:spacing w:val="-3"/>
          <w:sz w:val="21"/>
          <w:szCs w:val="21"/>
        </w:rPr>
        <w:t>(或)工期延误由承包人承担。</w:t>
      </w:r>
    </w:p>
    <w:p w14:paraId="53F18560">
      <w:pPr>
        <w:spacing w:before="29" w:line="219" w:lineRule="auto"/>
        <w:jc w:val="right"/>
        <w:rPr>
          <w:rFonts w:ascii="宋体" w:hAnsi="宋体" w:eastAsia="宋体" w:cs="宋体"/>
          <w:sz w:val="21"/>
          <w:szCs w:val="21"/>
        </w:rPr>
      </w:pPr>
      <w:r>
        <w:rPr>
          <w:rFonts w:ascii="宋体" w:hAnsi="宋体" w:eastAsia="宋体" w:cs="宋体"/>
          <w:spacing w:val="-7"/>
          <w:sz w:val="21"/>
          <w:szCs w:val="21"/>
        </w:rPr>
        <w:t>(3)发包人提供图纸的期限：</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33C95240">
      <w:pPr>
        <w:spacing w:before="171" w:line="219" w:lineRule="auto"/>
        <w:jc w:val="right"/>
        <w:rPr>
          <w:rFonts w:ascii="宋体" w:hAnsi="宋体" w:eastAsia="宋体" w:cs="宋体"/>
          <w:sz w:val="21"/>
          <w:szCs w:val="21"/>
        </w:rPr>
      </w:pPr>
      <w:r>
        <w:rPr>
          <w:rFonts w:ascii="宋体" w:hAnsi="宋体" w:eastAsia="宋体" w:cs="宋体"/>
          <w:spacing w:val="-7"/>
          <w:sz w:val="21"/>
          <w:szCs w:val="21"/>
        </w:rPr>
        <w:t>(4)发包人提供图纸的数量：</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4E042E53">
      <w:pPr>
        <w:spacing w:before="171" w:line="219" w:lineRule="auto"/>
        <w:ind w:left="460"/>
        <w:rPr>
          <w:rFonts w:ascii="宋体" w:hAnsi="宋体" w:eastAsia="宋体" w:cs="宋体"/>
          <w:sz w:val="21"/>
          <w:szCs w:val="21"/>
        </w:rPr>
      </w:pPr>
      <w:r>
        <w:rPr>
          <w:rFonts w:ascii="宋体" w:hAnsi="宋体" w:eastAsia="宋体" w:cs="宋体"/>
          <w:b/>
          <w:bCs/>
          <w:spacing w:val="-1"/>
          <w:sz w:val="21"/>
          <w:szCs w:val="21"/>
        </w:rPr>
        <w:t>1.6.2</w:t>
      </w:r>
      <w:r>
        <w:rPr>
          <w:rFonts w:ascii="宋体" w:hAnsi="宋体" w:eastAsia="宋体" w:cs="宋体"/>
          <w:spacing w:val="-36"/>
          <w:sz w:val="21"/>
          <w:szCs w:val="21"/>
        </w:rPr>
        <w:t xml:space="preserve"> </w:t>
      </w:r>
      <w:r>
        <w:rPr>
          <w:rFonts w:ascii="宋体" w:hAnsi="宋体" w:eastAsia="宋体" w:cs="宋体"/>
          <w:b/>
          <w:bCs/>
          <w:spacing w:val="-1"/>
          <w:sz w:val="21"/>
          <w:szCs w:val="21"/>
        </w:rPr>
        <w:t>承包人提供的文件</w:t>
      </w:r>
    </w:p>
    <w:p w14:paraId="29260F83">
      <w:pPr>
        <w:pStyle w:val="2"/>
        <w:tabs>
          <w:tab w:val="left" w:pos="8335"/>
        </w:tabs>
        <w:spacing w:before="157" w:line="381" w:lineRule="auto"/>
        <w:ind w:left="15" w:firstLine="465"/>
        <w:jc w:val="both"/>
      </w:pPr>
      <w:r>
        <w:rPr>
          <w:rFonts w:ascii="宋体" w:hAnsi="宋体" w:eastAsia="宋体" w:cs="宋体"/>
          <w:spacing w:val="-2"/>
        </w:rPr>
        <w:t>(1)除专用合同条款第 4.1.10(1)</w:t>
      </w:r>
      <w:r>
        <w:rPr>
          <w:rFonts w:ascii="宋体" w:hAnsi="宋体" w:eastAsia="宋体" w:cs="宋体"/>
          <w:spacing w:val="-54"/>
        </w:rPr>
        <w:t xml:space="preserve"> </w:t>
      </w:r>
      <w:r>
        <w:rPr>
          <w:rFonts w:ascii="宋体" w:hAnsi="宋体" w:eastAsia="宋体" w:cs="宋体"/>
          <w:spacing w:val="-2"/>
        </w:rPr>
        <w:t>目约定的由承包人提供的设计文件外，本项约定的其</w:t>
      </w:r>
      <w:r>
        <w:rPr>
          <w:rFonts w:ascii="宋体" w:hAnsi="宋体" w:eastAsia="宋体" w:cs="宋体"/>
          <w:spacing w:val="-5"/>
        </w:rPr>
        <w:t>他应由承包人提供的文件，包括必要的加工图和大样图，均不是合同计量与支付的依据文件。</w:t>
      </w:r>
      <w:r>
        <w:rPr>
          <w:rFonts w:ascii="宋体" w:hAnsi="宋体" w:eastAsia="宋体" w:cs="宋体"/>
        </w:rPr>
        <w:t>由承包人提供的文件范围：</w:t>
      </w:r>
      <w:r>
        <w:rPr>
          <w:rFonts w:ascii="宋体" w:hAnsi="宋体" w:eastAsia="宋体" w:cs="宋体"/>
          <w:u w:val="single" w:color="auto"/>
        </w:rPr>
        <w:tab/>
      </w:r>
      <w:r>
        <w:rPr>
          <w:rFonts w:ascii="宋体" w:hAnsi="宋体" w:eastAsia="宋体" w:cs="宋体"/>
        </w:rPr>
        <w:t xml:space="preserve"> </w:t>
      </w:r>
      <w:r>
        <w:rPr>
          <w:u w:val="single" w:color="auto"/>
        </w:rPr>
        <w:tab/>
      </w:r>
    </w:p>
    <w:p w14:paraId="723EDFCD">
      <w:pPr>
        <w:tabs>
          <w:tab w:val="left" w:pos="8215"/>
        </w:tabs>
        <w:spacing w:before="87"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8B51AAE">
      <w:pPr>
        <w:spacing w:before="164" w:line="219" w:lineRule="auto"/>
        <w:ind w:left="481"/>
        <w:rPr>
          <w:rFonts w:ascii="宋体" w:hAnsi="宋体" w:eastAsia="宋体" w:cs="宋体"/>
          <w:sz w:val="21"/>
          <w:szCs w:val="21"/>
        </w:rPr>
      </w:pPr>
      <w:r>
        <w:rPr>
          <w:rFonts w:ascii="宋体" w:hAnsi="宋体" w:eastAsia="宋体" w:cs="宋体"/>
          <w:spacing w:val="-4"/>
          <w:sz w:val="21"/>
          <w:szCs w:val="21"/>
        </w:rPr>
        <w:t>(2)承包人提供文件的期限：</w:t>
      </w:r>
      <w:r>
        <w:rPr>
          <w:rFonts w:ascii="宋体" w:hAnsi="宋体" w:eastAsia="宋体" w:cs="宋体"/>
          <w:sz w:val="21"/>
          <w:szCs w:val="21"/>
          <w:u w:val="single" w:color="auto"/>
        </w:rPr>
        <w:t xml:space="preserve">                                                   </w:t>
      </w:r>
    </w:p>
    <w:p w14:paraId="439CD84B">
      <w:pPr>
        <w:tabs>
          <w:tab w:val="left" w:pos="8215"/>
        </w:tabs>
        <w:spacing w:before="307"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764F29D">
      <w:pPr>
        <w:spacing w:before="164" w:line="219" w:lineRule="auto"/>
        <w:ind w:left="481"/>
        <w:rPr>
          <w:rFonts w:ascii="宋体" w:hAnsi="宋体" w:eastAsia="宋体" w:cs="宋体"/>
          <w:sz w:val="21"/>
          <w:szCs w:val="21"/>
        </w:rPr>
      </w:pPr>
      <w:r>
        <w:rPr>
          <w:rFonts w:ascii="宋体" w:hAnsi="宋体" w:eastAsia="宋体" w:cs="宋体"/>
          <w:spacing w:val="-4"/>
          <w:sz w:val="21"/>
          <w:szCs w:val="21"/>
        </w:rPr>
        <w:t>(3)承包人提供文件的数量：</w:t>
      </w:r>
      <w:r>
        <w:rPr>
          <w:rFonts w:ascii="宋体" w:hAnsi="宋体" w:eastAsia="宋体" w:cs="宋体"/>
          <w:sz w:val="21"/>
          <w:szCs w:val="21"/>
          <w:u w:val="single" w:color="auto"/>
        </w:rPr>
        <w:t xml:space="preserve">                                                   </w:t>
      </w:r>
    </w:p>
    <w:p w14:paraId="7B68D21D">
      <w:pPr>
        <w:tabs>
          <w:tab w:val="left" w:pos="8215"/>
        </w:tabs>
        <w:spacing w:before="291"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9C66357">
      <w:pPr>
        <w:spacing w:before="180" w:line="219" w:lineRule="auto"/>
        <w:ind w:left="481"/>
        <w:rPr>
          <w:rFonts w:ascii="宋体" w:hAnsi="宋体" w:eastAsia="宋体" w:cs="宋体"/>
          <w:sz w:val="21"/>
          <w:szCs w:val="21"/>
        </w:rPr>
      </w:pPr>
      <w:r>
        <w:rPr>
          <w:rFonts w:ascii="宋体" w:hAnsi="宋体" w:eastAsia="宋体" w:cs="宋体"/>
          <w:spacing w:val="-2"/>
          <w:sz w:val="21"/>
          <w:szCs w:val="21"/>
        </w:rPr>
        <w:t>(4)监理人批复承包人提供文件的期限：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7ADFC67A">
      <w:pPr>
        <w:tabs>
          <w:tab w:val="left" w:pos="8215"/>
        </w:tabs>
        <w:spacing w:before="291"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F562C60">
      <w:pPr>
        <w:spacing w:before="165" w:line="220" w:lineRule="auto"/>
        <w:ind w:left="481"/>
        <w:rPr>
          <w:rFonts w:ascii="宋体" w:hAnsi="宋体" w:eastAsia="宋体" w:cs="宋体"/>
          <w:sz w:val="21"/>
          <w:szCs w:val="21"/>
        </w:rPr>
      </w:pPr>
      <w:r>
        <w:rPr>
          <w:rFonts w:ascii="宋体" w:hAnsi="宋体" w:eastAsia="宋体" w:cs="宋体"/>
          <w:spacing w:val="-6"/>
          <w:sz w:val="21"/>
          <w:szCs w:val="21"/>
        </w:rPr>
        <w:t>(5)其他约定：</w:t>
      </w:r>
      <w:r>
        <w:rPr>
          <w:rFonts w:ascii="宋体" w:hAnsi="宋体" w:eastAsia="宋体" w:cs="宋体"/>
          <w:sz w:val="21"/>
          <w:szCs w:val="21"/>
          <w:u w:val="single" w:color="auto"/>
        </w:rPr>
        <w:t xml:space="preserve">                                                               </w:t>
      </w:r>
    </w:p>
    <w:p w14:paraId="6C3CF273">
      <w:pPr>
        <w:tabs>
          <w:tab w:val="left" w:pos="8215"/>
        </w:tabs>
        <w:spacing w:before="305"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E565751">
      <w:pPr>
        <w:spacing w:before="179" w:line="220" w:lineRule="auto"/>
        <w:ind w:left="460"/>
        <w:rPr>
          <w:rFonts w:ascii="宋体" w:hAnsi="宋体" w:eastAsia="宋体" w:cs="宋体"/>
          <w:sz w:val="21"/>
          <w:szCs w:val="21"/>
        </w:rPr>
      </w:pPr>
      <w:r>
        <w:rPr>
          <w:rFonts w:ascii="宋体" w:hAnsi="宋体" w:eastAsia="宋体" w:cs="宋体"/>
          <w:b/>
          <w:bCs/>
          <w:spacing w:val="-4"/>
          <w:sz w:val="21"/>
          <w:szCs w:val="21"/>
        </w:rPr>
        <w:t>1.6.3</w:t>
      </w:r>
      <w:r>
        <w:rPr>
          <w:rFonts w:ascii="宋体" w:hAnsi="宋体" w:eastAsia="宋体" w:cs="宋体"/>
          <w:spacing w:val="-4"/>
          <w:sz w:val="21"/>
          <w:szCs w:val="21"/>
        </w:rPr>
        <w:t xml:space="preserve"> </w:t>
      </w:r>
      <w:r>
        <w:rPr>
          <w:rFonts w:ascii="宋体" w:hAnsi="宋体" w:eastAsia="宋体" w:cs="宋体"/>
          <w:b/>
          <w:bCs/>
          <w:spacing w:val="-4"/>
          <w:sz w:val="21"/>
          <w:szCs w:val="21"/>
        </w:rPr>
        <w:t>图纸的修改</w:t>
      </w:r>
    </w:p>
    <w:p w14:paraId="25929AD8">
      <w:pPr>
        <w:spacing w:before="140" w:line="332" w:lineRule="auto"/>
        <w:ind w:left="25" w:right="108" w:firstLine="419"/>
        <w:rPr>
          <w:rFonts w:ascii="宋体" w:hAnsi="宋体" w:eastAsia="宋体" w:cs="宋体"/>
          <w:sz w:val="21"/>
          <w:szCs w:val="21"/>
        </w:rPr>
      </w:pPr>
      <w:r>
        <w:rPr>
          <w:rFonts w:ascii="宋体" w:hAnsi="宋体" w:eastAsia="宋体" w:cs="宋体"/>
          <w:spacing w:val="-1"/>
          <w:sz w:val="21"/>
          <w:szCs w:val="21"/>
        </w:rPr>
        <w:t>监理人应当按照合同条款第 1.6.1(2)</w:t>
      </w:r>
      <w:r>
        <w:rPr>
          <w:rFonts w:ascii="宋体" w:hAnsi="宋体" w:eastAsia="宋体" w:cs="宋体"/>
          <w:spacing w:val="-55"/>
          <w:sz w:val="21"/>
          <w:szCs w:val="21"/>
        </w:rPr>
        <w:t xml:space="preserve"> </w:t>
      </w:r>
      <w:r>
        <w:rPr>
          <w:rFonts w:ascii="宋体" w:hAnsi="宋体" w:eastAsia="宋体" w:cs="宋体"/>
          <w:spacing w:val="-1"/>
          <w:sz w:val="21"/>
          <w:szCs w:val="21"/>
        </w:rPr>
        <w:t>目约定的有合同约束力的图纸供应计划</w:t>
      </w:r>
      <w:r>
        <w:rPr>
          <w:rFonts w:ascii="宋体" w:hAnsi="宋体" w:eastAsia="宋体" w:cs="宋体"/>
          <w:spacing w:val="-2"/>
          <w:sz w:val="21"/>
          <w:szCs w:val="21"/>
        </w:rPr>
        <w:t>，签发图</w:t>
      </w:r>
      <w:r>
        <w:rPr>
          <w:rFonts w:ascii="宋体" w:hAnsi="宋体" w:eastAsia="宋体" w:cs="宋体"/>
          <w:spacing w:val="-4"/>
          <w:sz w:val="21"/>
          <w:szCs w:val="21"/>
        </w:rPr>
        <w:t>纸修改图给承包人。</w:t>
      </w:r>
    </w:p>
    <w:p w14:paraId="1AC28D5C">
      <w:pPr>
        <w:spacing w:before="1" w:line="231" w:lineRule="auto"/>
        <w:ind w:left="44"/>
        <w:outlineLvl w:val="1"/>
        <w:rPr>
          <w:rFonts w:ascii="黑体" w:hAnsi="黑体" w:eastAsia="黑体" w:cs="黑体"/>
          <w:sz w:val="24"/>
          <w:szCs w:val="24"/>
        </w:rPr>
      </w:pPr>
      <w:bookmarkStart w:id="229" w:name="bookmark656"/>
      <w:bookmarkEnd w:id="229"/>
      <w:r>
        <w:rPr>
          <w:rFonts w:ascii="Times New Roman" w:hAnsi="Times New Roman" w:eastAsia="Times New Roman" w:cs="Times New Roman"/>
          <w:spacing w:val="-7"/>
          <w:sz w:val="24"/>
          <w:szCs w:val="24"/>
        </w:rPr>
        <w:t>1.7</w:t>
      </w:r>
      <w:r>
        <w:rPr>
          <w:rFonts w:ascii="Times New Roman" w:hAnsi="Times New Roman" w:eastAsia="Times New Roman" w:cs="Times New Roman"/>
          <w:spacing w:val="11"/>
          <w:sz w:val="24"/>
          <w:szCs w:val="24"/>
        </w:rPr>
        <w:t xml:space="preserve"> </w:t>
      </w:r>
      <w:r>
        <w:rPr>
          <w:rFonts w:ascii="黑体" w:hAnsi="黑体" w:eastAsia="黑体" w:cs="黑体"/>
          <w:spacing w:val="-7"/>
          <w:sz w:val="24"/>
          <w:szCs w:val="24"/>
        </w:rPr>
        <w:t>联络</w:t>
      </w:r>
    </w:p>
    <w:p w14:paraId="7EFE1A7F">
      <w:pPr>
        <w:spacing w:before="129" w:line="220" w:lineRule="auto"/>
        <w:ind w:left="460"/>
        <w:rPr>
          <w:rFonts w:ascii="宋体" w:hAnsi="宋体" w:eastAsia="宋体" w:cs="宋体"/>
          <w:sz w:val="21"/>
          <w:szCs w:val="21"/>
        </w:rPr>
      </w:pPr>
      <w:bookmarkStart w:id="230" w:name="bookmark199"/>
      <w:bookmarkEnd w:id="230"/>
      <w:r>
        <w:rPr>
          <w:rFonts w:ascii="宋体" w:hAnsi="宋体" w:eastAsia="宋体" w:cs="宋体"/>
          <w:b/>
          <w:bCs/>
          <w:spacing w:val="-2"/>
          <w:sz w:val="21"/>
          <w:szCs w:val="21"/>
        </w:rPr>
        <w:t>1.7.2</w:t>
      </w:r>
      <w:r>
        <w:rPr>
          <w:rFonts w:ascii="宋体" w:hAnsi="宋体" w:eastAsia="宋体" w:cs="宋体"/>
          <w:spacing w:val="-22"/>
          <w:sz w:val="21"/>
          <w:szCs w:val="21"/>
        </w:rPr>
        <w:t xml:space="preserve"> </w:t>
      </w:r>
      <w:r>
        <w:rPr>
          <w:rFonts w:ascii="宋体" w:hAnsi="宋体" w:eastAsia="宋体" w:cs="宋体"/>
          <w:b/>
          <w:bCs/>
          <w:spacing w:val="-2"/>
          <w:sz w:val="21"/>
          <w:szCs w:val="21"/>
        </w:rPr>
        <w:t>联络来往函件的送达和接收</w:t>
      </w:r>
    </w:p>
    <w:p w14:paraId="4F9BCAD2">
      <w:pPr>
        <w:spacing w:before="140" w:line="345" w:lineRule="auto"/>
        <w:ind w:left="22" w:right="90" w:firstLine="459"/>
        <w:rPr>
          <w:rFonts w:ascii="宋体" w:hAnsi="宋体" w:eastAsia="宋体" w:cs="宋体"/>
          <w:sz w:val="21"/>
          <w:szCs w:val="21"/>
        </w:rPr>
      </w:pPr>
      <w:r>
        <w:rPr>
          <w:rFonts w:ascii="宋体" w:hAnsi="宋体" w:eastAsia="宋体" w:cs="宋体"/>
          <w:spacing w:val="-1"/>
          <w:sz w:val="21"/>
          <w:szCs w:val="21"/>
        </w:rPr>
        <w:t>(1)联络来往信函的送达期限：合同约定了发出期限的，送达期限为合同约定的发出期</w:t>
      </w:r>
      <w:r>
        <w:rPr>
          <w:rFonts w:ascii="宋体" w:hAnsi="宋体" w:eastAsia="宋体" w:cs="宋体"/>
          <w:sz w:val="21"/>
          <w:szCs w:val="21"/>
        </w:rPr>
        <w:t>限后的</w:t>
      </w:r>
      <w:r>
        <w:rPr>
          <w:rFonts w:ascii="宋体" w:hAnsi="宋体" w:eastAsia="宋体" w:cs="宋体"/>
          <w:spacing w:val="-34"/>
          <w:sz w:val="21"/>
          <w:szCs w:val="21"/>
        </w:rPr>
        <w:t xml:space="preserve"> </w:t>
      </w:r>
      <w:r>
        <w:rPr>
          <w:rFonts w:ascii="宋体" w:hAnsi="宋体" w:eastAsia="宋体" w:cs="宋体"/>
          <w:sz w:val="21"/>
          <w:szCs w:val="21"/>
        </w:rPr>
        <w:t>24</w:t>
      </w:r>
      <w:r>
        <w:rPr>
          <w:rFonts w:ascii="宋体" w:hAnsi="宋体" w:eastAsia="宋体" w:cs="宋体"/>
          <w:spacing w:val="-31"/>
          <w:sz w:val="21"/>
          <w:szCs w:val="21"/>
        </w:rPr>
        <w:t xml:space="preserve"> </w:t>
      </w:r>
      <w:r>
        <w:rPr>
          <w:rFonts w:ascii="宋体" w:hAnsi="宋体" w:eastAsia="宋体" w:cs="宋体"/>
          <w:sz w:val="21"/>
          <w:szCs w:val="21"/>
        </w:rPr>
        <w:t>小时内；合同约定了通知、提供或者报送期限</w:t>
      </w:r>
      <w:r>
        <w:rPr>
          <w:rFonts w:ascii="宋体" w:hAnsi="宋体" w:eastAsia="宋体" w:cs="宋体"/>
          <w:spacing w:val="-1"/>
          <w:sz w:val="21"/>
          <w:szCs w:val="21"/>
        </w:rPr>
        <w:t>的，通知、提供或者报送期限即为</w:t>
      </w:r>
      <w:r>
        <w:rPr>
          <w:rFonts w:ascii="宋体" w:hAnsi="宋体" w:eastAsia="宋体" w:cs="宋体"/>
          <w:spacing w:val="-5"/>
          <w:sz w:val="21"/>
          <w:szCs w:val="21"/>
        </w:rPr>
        <w:t>送达期限。</w:t>
      </w:r>
    </w:p>
    <w:p w14:paraId="4C1969EA">
      <w:pPr>
        <w:spacing w:before="24" w:line="220" w:lineRule="auto"/>
        <w:jc w:val="right"/>
        <w:rPr>
          <w:rFonts w:ascii="宋体" w:hAnsi="宋体" w:eastAsia="宋体" w:cs="宋体"/>
          <w:sz w:val="21"/>
          <w:szCs w:val="21"/>
        </w:rPr>
      </w:pPr>
      <w:r>
        <w:rPr>
          <w:rFonts w:ascii="宋体" w:hAnsi="宋体" w:eastAsia="宋体" w:cs="宋体"/>
          <w:spacing w:val="-7"/>
          <w:sz w:val="21"/>
          <w:szCs w:val="21"/>
        </w:rPr>
        <w:t>(2)发包人指定的接收地点：</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1A421182">
      <w:pPr>
        <w:spacing w:before="170" w:line="220" w:lineRule="auto"/>
        <w:jc w:val="right"/>
        <w:rPr>
          <w:rFonts w:ascii="宋体" w:hAnsi="宋体" w:eastAsia="宋体" w:cs="宋体"/>
          <w:sz w:val="21"/>
          <w:szCs w:val="21"/>
        </w:rPr>
      </w:pPr>
      <w:r>
        <w:rPr>
          <w:rFonts w:ascii="宋体" w:hAnsi="宋体" w:eastAsia="宋体" w:cs="宋体"/>
          <w:spacing w:val="-7"/>
          <w:sz w:val="21"/>
          <w:szCs w:val="21"/>
        </w:rPr>
        <w:t>(3)发包人指定的接收人为：</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64627488">
      <w:pPr>
        <w:spacing w:before="155" w:line="220" w:lineRule="auto"/>
        <w:jc w:val="right"/>
        <w:rPr>
          <w:rFonts w:ascii="宋体" w:hAnsi="宋体" w:eastAsia="宋体" w:cs="宋体"/>
          <w:sz w:val="21"/>
          <w:szCs w:val="21"/>
        </w:rPr>
      </w:pPr>
      <w:r>
        <w:rPr>
          <w:rFonts w:ascii="宋体" w:hAnsi="宋体" w:eastAsia="宋体" w:cs="宋体"/>
          <w:spacing w:val="-7"/>
          <w:sz w:val="21"/>
          <w:szCs w:val="21"/>
        </w:rPr>
        <w:t>(4)监理人指定的接收地点：</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2FD9BD9D">
      <w:pPr>
        <w:spacing w:line="220" w:lineRule="auto"/>
        <w:rPr>
          <w:rFonts w:ascii="宋体" w:hAnsi="宋体" w:eastAsia="宋体" w:cs="宋体"/>
          <w:sz w:val="21"/>
          <w:szCs w:val="21"/>
        </w:rPr>
        <w:sectPr>
          <w:footerReference r:id="rId115" w:type="default"/>
          <w:pgSz w:w="11910" w:h="16845"/>
          <w:pgMar w:top="400" w:right="1688" w:bottom="1110" w:left="1786" w:header="0" w:footer="883" w:gutter="0"/>
          <w:cols w:space="720" w:num="1"/>
        </w:sectPr>
      </w:pPr>
    </w:p>
    <w:p w14:paraId="366DCDA0">
      <w:pPr>
        <w:pStyle w:val="2"/>
        <w:spacing w:line="278" w:lineRule="auto"/>
      </w:pPr>
    </w:p>
    <w:p w14:paraId="04143EE0">
      <w:pPr>
        <w:pStyle w:val="2"/>
        <w:spacing w:line="279" w:lineRule="auto"/>
      </w:pPr>
    </w:p>
    <w:p w14:paraId="6AC9CCA9">
      <w:pPr>
        <w:pStyle w:val="2"/>
        <w:spacing w:line="279" w:lineRule="auto"/>
      </w:pPr>
    </w:p>
    <w:p w14:paraId="75D52E04">
      <w:pPr>
        <w:pStyle w:val="2"/>
        <w:spacing w:line="279" w:lineRule="auto"/>
      </w:pPr>
    </w:p>
    <w:p w14:paraId="000DCB22">
      <w:pPr>
        <w:spacing w:before="68" w:line="220" w:lineRule="auto"/>
        <w:jc w:val="right"/>
        <w:rPr>
          <w:rFonts w:ascii="宋体" w:hAnsi="宋体" w:eastAsia="宋体" w:cs="宋体"/>
          <w:sz w:val="21"/>
          <w:szCs w:val="21"/>
        </w:rPr>
      </w:pPr>
      <w:r>
        <w:rPr>
          <w:rFonts w:ascii="宋体" w:hAnsi="宋体" w:eastAsia="宋体" w:cs="宋体"/>
          <w:spacing w:val="-7"/>
          <w:sz w:val="21"/>
          <w:szCs w:val="21"/>
        </w:rPr>
        <w:t>(5)监理人指定的接收人为：</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p>
    <w:p w14:paraId="1F510BE5">
      <w:pPr>
        <w:spacing w:before="153" w:line="362" w:lineRule="auto"/>
        <w:ind w:left="23" w:right="75" w:firstLine="458"/>
        <w:rPr>
          <w:rFonts w:ascii="宋体" w:hAnsi="宋体" w:eastAsia="宋体" w:cs="宋体"/>
          <w:sz w:val="21"/>
          <w:szCs w:val="21"/>
        </w:rPr>
      </w:pPr>
      <w:r>
        <w:rPr>
          <w:rFonts w:ascii="宋体" w:hAnsi="宋体" w:eastAsia="宋体" w:cs="宋体"/>
          <w:spacing w:val="-1"/>
          <w:sz w:val="21"/>
          <w:szCs w:val="21"/>
        </w:rPr>
        <w:t>(6)承包人指定的接收人为合同协议书中载明的承包人项目经理本人或者项目经理的授</w:t>
      </w:r>
      <w:r>
        <w:rPr>
          <w:rFonts w:ascii="宋体" w:hAnsi="宋体" w:eastAsia="宋体" w:cs="宋体"/>
          <w:spacing w:val="-3"/>
          <w:sz w:val="21"/>
          <w:szCs w:val="21"/>
        </w:rPr>
        <w:t>权代表。承包人应在收到开工通知后</w:t>
      </w:r>
      <w:r>
        <w:rPr>
          <w:rFonts w:ascii="宋体" w:hAnsi="宋体" w:eastAsia="宋体" w:cs="宋体"/>
          <w:spacing w:val="-33"/>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天内，按照</w:t>
      </w:r>
      <w:r>
        <w:rPr>
          <w:rFonts w:ascii="宋体" w:hAnsi="宋体" w:eastAsia="宋体" w:cs="宋体"/>
          <w:spacing w:val="-4"/>
          <w:sz w:val="21"/>
          <w:szCs w:val="21"/>
        </w:rPr>
        <w:t>合同条款第</w:t>
      </w:r>
      <w:r>
        <w:rPr>
          <w:rFonts w:ascii="宋体" w:hAnsi="宋体" w:eastAsia="宋体" w:cs="宋体"/>
          <w:spacing w:val="-38"/>
          <w:sz w:val="21"/>
          <w:szCs w:val="21"/>
        </w:rPr>
        <w:t xml:space="preserve"> </w:t>
      </w:r>
      <w:r>
        <w:rPr>
          <w:rFonts w:ascii="宋体" w:hAnsi="宋体" w:eastAsia="宋体" w:cs="宋体"/>
          <w:spacing w:val="-4"/>
          <w:sz w:val="21"/>
          <w:szCs w:val="21"/>
        </w:rPr>
        <w:t>4.5.4</w:t>
      </w:r>
      <w:r>
        <w:rPr>
          <w:rFonts w:ascii="宋体" w:hAnsi="宋体" w:eastAsia="宋体" w:cs="宋体"/>
          <w:spacing w:val="-32"/>
          <w:sz w:val="21"/>
          <w:szCs w:val="21"/>
        </w:rPr>
        <w:t xml:space="preserve"> </w:t>
      </w:r>
      <w:r>
        <w:rPr>
          <w:rFonts w:ascii="宋体" w:hAnsi="宋体" w:eastAsia="宋体" w:cs="宋体"/>
          <w:spacing w:val="-4"/>
          <w:sz w:val="21"/>
          <w:szCs w:val="21"/>
        </w:rPr>
        <w:t>项的约定，将授权代表</w:t>
      </w:r>
      <w:r>
        <w:rPr>
          <w:rFonts w:ascii="宋体" w:hAnsi="宋体" w:eastAsia="宋体" w:cs="宋体"/>
          <w:spacing w:val="-3"/>
          <w:sz w:val="21"/>
          <w:szCs w:val="21"/>
        </w:rPr>
        <w:t>其接收来往信函的项目经理的授权代表姓名和授权</w:t>
      </w:r>
      <w:r>
        <w:rPr>
          <w:rFonts w:ascii="宋体" w:hAnsi="宋体" w:eastAsia="宋体" w:cs="宋体"/>
          <w:spacing w:val="-4"/>
          <w:sz w:val="21"/>
          <w:szCs w:val="21"/>
        </w:rPr>
        <w:t>范围通知监理人。除合同另有约定外，</w:t>
      </w:r>
      <w:r>
        <w:rPr>
          <w:rFonts w:ascii="宋体" w:hAnsi="宋体" w:eastAsia="宋体" w:cs="宋体"/>
          <w:spacing w:val="-47"/>
          <w:sz w:val="21"/>
          <w:szCs w:val="21"/>
        </w:rPr>
        <w:t xml:space="preserve"> </w:t>
      </w:r>
      <w:r>
        <w:rPr>
          <w:rFonts w:ascii="宋体" w:hAnsi="宋体" w:eastAsia="宋体" w:cs="宋体"/>
          <w:spacing w:val="-4"/>
          <w:sz w:val="21"/>
          <w:szCs w:val="21"/>
        </w:rPr>
        <w:t>承</w:t>
      </w:r>
      <w:r>
        <w:rPr>
          <w:rFonts w:ascii="宋体" w:hAnsi="宋体" w:eastAsia="宋体" w:cs="宋体"/>
          <w:spacing w:val="-1"/>
          <w:sz w:val="21"/>
          <w:szCs w:val="21"/>
        </w:rPr>
        <w:t>包人施工场地管理机构的办公地点即为承包人指定的接收地点。</w:t>
      </w:r>
    </w:p>
    <w:p w14:paraId="0FC2091F">
      <w:pPr>
        <w:spacing w:before="4" w:line="360" w:lineRule="auto"/>
        <w:ind w:left="24" w:right="90" w:firstLine="457"/>
        <w:rPr>
          <w:rFonts w:ascii="宋体" w:hAnsi="宋体" w:eastAsia="宋体" w:cs="宋体"/>
          <w:sz w:val="21"/>
          <w:szCs w:val="21"/>
        </w:rPr>
      </w:pPr>
      <w:r>
        <w:rPr>
          <w:rFonts w:ascii="宋体" w:hAnsi="宋体" w:eastAsia="宋体" w:cs="宋体"/>
          <w:spacing w:val="-1"/>
          <w:sz w:val="21"/>
          <w:szCs w:val="21"/>
        </w:rPr>
        <w:t>(7)发包人(包括监理人)和承包人中任何一方指定的接收人或者接收地点发生变动，应</w:t>
      </w:r>
      <w:r>
        <w:rPr>
          <w:rFonts w:ascii="宋体" w:hAnsi="宋体" w:eastAsia="宋体" w:cs="宋体"/>
          <w:spacing w:val="-2"/>
          <w:sz w:val="21"/>
          <w:szCs w:val="21"/>
        </w:rPr>
        <w:t>当在实际变动前提前至少一个工作日以书面方式通知另一方。发包人(包括监</w:t>
      </w:r>
      <w:r>
        <w:rPr>
          <w:rFonts w:ascii="宋体" w:hAnsi="宋体" w:eastAsia="宋体" w:cs="宋体"/>
          <w:spacing w:val="-3"/>
          <w:sz w:val="21"/>
          <w:szCs w:val="21"/>
        </w:rPr>
        <w:t>理人)和承包人</w:t>
      </w:r>
      <w:r>
        <w:rPr>
          <w:rFonts w:ascii="宋体" w:hAnsi="宋体" w:eastAsia="宋体" w:cs="宋体"/>
          <w:spacing w:val="3"/>
          <w:sz w:val="21"/>
          <w:szCs w:val="21"/>
        </w:rPr>
        <w:t>应当确保其各自指定的接收人在法定的和(或)符合合同约定的</w:t>
      </w:r>
      <w:r>
        <w:rPr>
          <w:rFonts w:ascii="宋体" w:hAnsi="宋体" w:eastAsia="宋体" w:cs="宋体"/>
          <w:spacing w:val="2"/>
          <w:sz w:val="21"/>
          <w:szCs w:val="21"/>
        </w:rPr>
        <w:t>工作时间内始终工作在指定</w:t>
      </w:r>
      <w:r>
        <w:rPr>
          <w:rFonts w:ascii="宋体" w:hAnsi="宋体" w:eastAsia="宋体" w:cs="宋体"/>
          <w:spacing w:val="-1"/>
          <w:sz w:val="21"/>
          <w:szCs w:val="21"/>
        </w:rPr>
        <w:t>的接收地点，指定接收人离开工作岗位而无法及时签收来往信函构成拒不签收。</w:t>
      </w:r>
    </w:p>
    <w:p w14:paraId="24A8B480">
      <w:pPr>
        <w:spacing w:before="3" w:line="361" w:lineRule="auto"/>
        <w:ind w:left="34" w:right="86" w:firstLine="446"/>
        <w:rPr>
          <w:rFonts w:ascii="宋体" w:hAnsi="宋体" w:eastAsia="宋体" w:cs="宋体"/>
          <w:sz w:val="21"/>
          <w:szCs w:val="21"/>
        </w:rPr>
      </w:pPr>
      <w:r>
        <w:rPr>
          <w:rFonts w:ascii="宋体" w:hAnsi="宋体" w:eastAsia="宋体" w:cs="宋体"/>
          <w:spacing w:val="-1"/>
          <w:sz w:val="21"/>
          <w:szCs w:val="21"/>
        </w:rPr>
        <w:t>(8)发包人(包括监理人)和承包人中任何一方均应当及时签收另一方送达其指定接收地</w:t>
      </w:r>
      <w:r>
        <w:rPr>
          <w:rFonts w:ascii="宋体" w:hAnsi="宋体" w:eastAsia="宋体" w:cs="宋体"/>
          <w:spacing w:val="-2"/>
          <w:sz w:val="21"/>
          <w:szCs w:val="21"/>
        </w:rPr>
        <w:t>点的来往信函，拒不签收的，送达信函的一方可以采用挂</w:t>
      </w:r>
      <w:r>
        <w:rPr>
          <w:rFonts w:ascii="宋体" w:hAnsi="宋体" w:eastAsia="宋体" w:cs="宋体"/>
          <w:spacing w:val="-3"/>
          <w:sz w:val="21"/>
          <w:szCs w:val="21"/>
        </w:rPr>
        <w:t>号或者公证方式送达，由此所造成</w:t>
      </w:r>
      <w:r>
        <w:rPr>
          <w:rFonts w:ascii="宋体" w:hAnsi="宋体" w:eastAsia="宋体" w:cs="宋体"/>
          <w:sz w:val="21"/>
          <w:szCs w:val="21"/>
        </w:rPr>
        <w:t>的直接的和间接的费用增加</w:t>
      </w:r>
      <w:r>
        <w:rPr>
          <w:rFonts w:ascii="宋体" w:hAnsi="宋体" w:eastAsia="宋体" w:cs="宋体"/>
          <w:spacing w:val="-54"/>
          <w:sz w:val="21"/>
          <w:szCs w:val="21"/>
        </w:rPr>
        <w:t xml:space="preserve"> </w:t>
      </w:r>
      <w:r>
        <w:rPr>
          <w:rFonts w:ascii="宋体" w:hAnsi="宋体" w:eastAsia="宋体" w:cs="宋体"/>
          <w:sz w:val="21"/>
          <w:szCs w:val="21"/>
        </w:rPr>
        <w:t>(包括被迫采用特殊送达方式所发生的费用)和</w:t>
      </w:r>
      <w:r>
        <w:rPr>
          <w:rFonts w:ascii="宋体" w:hAnsi="宋体" w:eastAsia="宋体" w:cs="宋体"/>
          <w:spacing w:val="-60"/>
          <w:sz w:val="21"/>
          <w:szCs w:val="21"/>
        </w:rPr>
        <w:t xml:space="preserve"> </w:t>
      </w:r>
      <w:r>
        <w:rPr>
          <w:rFonts w:ascii="宋体" w:hAnsi="宋体" w:eastAsia="宋体" w:cs="宋体"/>
          <w:sz w:val="21"/>
          <w:szCs w:val="21"/>
        </w:rPr>
        <w:t>(或)延误的工期</w:t>
      </w:r>
      <w:r>
        <w:rPr>
          <w:rFonts w:ascii="宋体" w:hAnsi="宋体" w:eastAsia="宋体" w:cs="宋体"/>
          <w:spacing w:val="-4"/>
          <w:sz w:val="21"/>
          <w:szCs w:val="21"/>
        </w:rPr>
        <w:t>由拒绝签收一方承担。</w:t>
      </w:r>
    </w:p>
    <w:p w14:paraId="71519B1A">
      <w:pPr>
        <w:spacing w:before="16" w:line="236" w:lineRule="auto"/>
        <w:ind w:left="21"/>
        <w:outlineLvl w:val="0"/>
        <w:rPr>
          <w:rFonts w:ascii="黑体" w:hAnsi="黑体" w:eastAsia="黑体" w:cs="黑体"/>
          <w:sz w:val="28"/>
          <w:szCs w:val="28"/>
        </w:rPr>
      </w:pPr>
      <w:bookmarkStart w:id="231" w:name="bookmark201"/>
      <w:bookmarkEnd w:id="231"/>
      <w:bookmarkStart w:id="232" w:name="bookmark200"/>
      <w:bookmarkEnd w:id="232"/>
      <w:r>
        <w:rPr>
          <w:rFonts w:ascii="Times New Roman" w:hAnsi="Times New Roman" w:eastAsia="Times New Roman" w:cs="Times New Roman"/>
          <w:spacing w:val="7"/>
          <w:sz w:val="28"/>
          <w:szCs w:val="28"/>
        </w:rPr>
        <w:t>2.</w:t>
      </w:r>
      <w:r>
        <w:rPr>
          <w:rFonts w:ascii="黑体" w:hAnsi="黑体" w:eastAsia="黑体" w:cs="黑体"/>
          <w:spacing w:val="7"/>
          <w:sz w:val="28"/>
          <w:szCs w:val="28"/>
        </w:rPr>
        <w:t>发包人义务</w:t>
      </w:r>
    </w:p>
    <w:p w14:paraId="5CC21EA5">
      <w:pPr>
        <w:spacing w:before="87" w:line="233" w:lineRule="auto"/>
        <w:ind w:left="21"/>
        <w:outlineLvl w:val="1"/>
        <w:rPr>
          <w:rFonts w:ascii="黑体" w:hAnsi="黑体" w:eastAsia="黑体" w:cs="黑体"/>
          <w:sz w:val="24"/>
          <w:szCs w:val="24"/>
        </w:rPr>
      </w:pPr>
      <w:bookmarkStart w:id="233" w:name="bookmark657"/>
      <w:bookmarkEnd w:id="233"/>
      <w:r>
        <w:rPr>
          <w:rFonts w:ascii="Times New Roman" w:hAnsi="Times New Roman" w:eastAsia="Times New Roman" w:cs="Times New Roman"/>
          <w:spacing w:val="-1"/>
          <w:sz w:val="24"/>
          <w:szCs w:val="24"/>
        </w:rPr>
        <w:t xml:space="preserve">2.3 </w:t>
      </w:r>
      <w:r>
        <w:rPr>
          <w:rFonts w:ascii="黑体" w:hAnsi="黑体" w:eastAsia="黑体" w:cs="黑体"/>
          <w:spacing w:val="-1"/>
          <w:sz w:val="24"/>
          <w:szCs w:val="24"/>
        </w:rPr>
        <w:t>提供施工场地</w:t>
      </w:r>
    </w:p>
    <w:p w14:paraId="1AFE86D3">
      <w:pPr>
        <w:spacing w:before="127" w:line="354" w:lineRule="auto"/>
        <w:ind w:left="24" w:right="85" w:firstLine="419"/>
        <w:jc w:val="both"/>
        <w:rPr>
          <w:rFonts w:ascii="宋体" w:hAnsi="宋体" w:eastAsia="宋体" w:cs="宋体"/>
          <w:sz w:val="21"/>
          <w:szCs w:val="21"/>
        </w:rPr>
      </w:pPr>
      <w:r>
        <w:rPr>
          <w:rFonts w:ascii="宋体" w:hAnsi="宋体" w:eastAsia="宋体" w:cs="宋体"/>
          <w:spacing w:val="2"/>
          <w:sz w:val="21"/>
          <w:szCs w:val="21"/>
        </w:rPr>
        <w:t>施工场地应当在监理人发出的开工通知中载明的开工日期前</w:t>
      </w:r>
      <w:r>
        <w:rPr>
          <w:rFonts w:ascii="宋体" w:hAnsi="宋体" w:eastAsia="宋体" w:cs="宋体"/>
          <w:spacing w:val="2"/>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2"/>
          <w:sz w:val="21"/>
          <w:szCs w:val="21"/>
        </w:rPr>
        <w:t>天具备施工条件并移</w:t>
      </w:r>
      <w:r>
        <w:rPr>
          <w:rFonts w:ascii="宋体" w:hAnsi="宋体" w:eastAsia="宋体" w:cs="宋体"/>
          <w:spacing w:val="-2"/>
          <w:sz w:val="21"/>
          <w:szCs w:val="21"/>
        </w:rPr>
        <w:t>交给承包人，具体施工条件在第七章“技术标准和要求”第一节“一般要求”中约</w:t>
      </w:r>
      <w:r>
        <w:rPr>
          <w:rFonts w:ascii="宋体" w:hAnsi="宋体" w:eastAsia="宋体" w:cs="宋体"/>
          <w:spacing w:val="-3"/>
          <w:sz w:val="21"/>
          <w:szCs w:val="21"/>
        </w:rPr>
        <w:t>定。发包</w:t>
      </w:r>
      <w:r>
        <w:rPr>
          <w:rFonts w:ascii="宋体" w:hAnsi="宋体" w:eastAsia="宋体" w:cs="宋体"/>
          <w:spacing w:val="3"/>
          <w:sz w:val="21"/>
          <w:szCs w:val="21"/>
        </w:rPr>
        <w:t>人最迟应当在移交施工场地的同时向承包人提供施工场地内地下管线和地下</w:t>
      </w:r>
      <w:r>
        <w:rPr>
          <w:rFonts w:ascii="宋体" w:hAnsi="宋体" w:eastAsia="宋体" w:cs="宋体"/>
          <w:spacing w:val="2"/>
          <w:sz w:val="21"/>
          <w:szCs w:val="21"/>
        </w:rPr>
        <w:t>设施等有关资</w:t>
      </w:r>
      <w:r>
        <w:rPr>
          <w:rFonts w:ascii="宋体" w:hAnsi="宋体" w:eastAsia="宋体" w:cs="宋体"/>
          <w:spacing w:val="-2"/>
          <w:sz w:val="21"/>
          <w:szCs w:val="21"/>
        </w:rPr>
        <w:t>料，并保证资料的真实、准确和完整。</w:t>
      </w:r>
    </w:p>
    <w:p w14:paraId="52196A10">
      <w:pPr>
        <w:spacing w:before="1" w:line="232" w:lineRule="auto"/>
        <w:ind w:left="21"/>
        <w:outlineLvl w:val="1"/>
        <w:rPr>
          <w:rFonts w:ascii="黑体" w:hAnsi="黑体" w:eastAsia="黑体" w:cs="黑体"/>
          <w:sz w:val="24"/>
          <w:szCs w:val="24"/>
        </w:rPr>
      </w:pPr>
      <w:bookmarkStart w:id="234" w:name="bookmark202"/>
      <w:bookmarkEnd w:id="234"/>
      <w:r>
        <w:rPr>
          <w:rFonts w:ascii="Times New Roman" w:hAnsi="Times New Roman" w:eastAsia="Times New Roman" w:cs="Times New Roman"/>
          <w:spacing w:val="-1"/>
          <w:sz w:val="24"/>
          <w:szCs w:val="24"/>
        </w:rPr>
        <w:t xml:space="preserve">2.5 </w:t>
      </w:r>
      <w:r>
        <w:rPr>
          <w:rFonts w:ascii="黑体" w:hAnsi="黑体" w:eastAsia="黑体" w:cs="黑体"/>
          <w:spacing w:val="-1"/>
          <w:sz w:val="24"/>
          <w:szCs w:val="24"/>
        </w:rPr>
        <w:t>组织设计交底</w:t>
      </w:r>
    </w:p>
    <w:p w14:paraId="70650E23">
      <w:pPr>
        <w:spacing w:before="129" w:line="354" w:lineRule="auto"/>
        <w:ind w:left="22" w:firstLine="425"/>
        <w:jc w:val="both"/>
        <w:rPr>
          <w:rFonts w:ascii="宋体" w:hAnsi="宋体" w:eastAsia="宋体" w:cs="宋体"/>
          <w:sz w:val="21"/>
          <w:szCs w:val="21"/>
        </w:rPr>
      </w:pPr>
      <w:r>
        <w:rPr>
          <w:rFonts w:ascii="宋体" w:hAnsi="宋体" w:eastAsia="宋体" w:cs="宋体"/>
          <w:spacing w:val="-1"/>
          <w:sz w:val="21"/>
          <w:szCs w:val="21"/>
        </w:rPr>
        <w:t>发包人应当在合同条款</w:t>
      </w:r>
      <w:r>
        <w:rPr>
          <w:rFonts w:ascii="宋体" w:hAnsi="宋体" w:eastAsia="宋体" w:cs="宋体"/>
          <w:spacing w:val="-16"/>
          <w:sz w:val="21"/>
          <w:szCs w:val="21"/>
        </w:rPr>
        <w:t xml:space="preserve"> </w:t>
      </w:r>
      <w:r>
        <w:rPr>
          <w:rFonts w:ascii="宋体" w:hAnsi="宋体" w:eastAsia="宋体" w:cs="宋体"/>
          <w:spacing w:val="-1"/>
          <w:sz w:val="21"/>
          <w:szCs w:val="21"/>
        </w:rPr>
        <w:t>11.1.1</w:t>
      </w:r>
      <w:r>
        <w:rPr>
          <w:rFonts w:ascii="宋体" w:hAnsi="宋体" w:eastAsia="宋体" w:cs="宋体"/>
          <w:spacing w:val="-32"/>
          <w:sz w:val="21"/>
          <w:szCs w:val="21"/>
        </w:rPr>
        <w:t xml:space="preserve"> </w:t>
      </w:r>
      <w:r>
        <w:rPr>
          <w:rFonts w:ascii="宋体" w:hAnsi="宋体" w:eastAsia="宋体" w:cs="宋体"/>
          <w:spacing w:val="-1"/>
          <w:sz w:val="21"/>
          <w:szCs w:val="21"/>
        </w:rPr>
        <w:t>项约定的开工日期前组织设计人向承包人进行合同工程</w:t>
      </w:r>
      <w:r>
        <w:rPr>
          <w:rFonts w:ascii="宋体" w:hAnsi="宋体" w:eastAsia="宋体" w:cs="宋体"/>
          <w:spacing w:val="-3"/>
          <w:sz w:val="21"/>
          <w:szCs w:val="21"/>
        </w:rPr>
        <w:t>总体设计交底</w:t>
      </w:r>
      <w:r>
        <w:rPr>
          <w:rFonts w:ascii="宋体" w:hAnsi="宋体" w:eastAsia="宋体" w:cs="宋体"/>
          <w:spacing w:val="-61"/>
          <w:sz w:val="21"/>
          <w:szCs w:val="21"/>
        </w:rPr>
        <w:t xml:space="preserve"> </w:t>
      </w:r>
      <w:r>
        <w:rPr>
          <w:rFonts w:ascii="宋体" w:hAnsi="宋体" w:eastAsia="宋体" w:cs="宋体"/>
          <w:spacing w:val="-3"/>
          <w:sz w:val="21"/>
          <w:szCs w:val="21"/>
        </w:rPr>
        <w:t>(包括图纸会审)。发包人还应按照合同进度计划中载明的阶段性</w:t>
      </w:r>
      <w:r>
        <w:rPr>
          <w:rFonts w:ascii="宋体" w:hAnsi="宋体" w:eastAsia="宋体" w:cs="宋体"/>
          <w:spacing w:val="-4"/>
          <w:sz w:val="21"/>
          <w:szCs w:val="21"/>
        </w:rPr>
        <w:t>设计交底时间</w:t>
      </w:r>
      <w:r>
        <w:rPr>
          <w:rFonts w:ascii="宋体" w:hAnsi="宋体" w:eastAsia="宋体" w:cs="宋体"/>
          <w:spacing w:val="-3"/>
          <w:sz w:val="21"/>
          <w:szCs w:val="21"/>
        </w:rPr>
        <w:t>组织和安排阶段工程设计交底</w:t>
      </w:r>
      <w:r>
        <w:rPr>
          <w:rFonts w:ascii="宋体" w:hAnsi="宋体" w:eastAsia="宋体" w:cs="宋体"/>
          <w:spacing w:val="-62"/>
          <w:sz w:val="21"/>
          <w:szCs w:val="21"/>
        </w:rPr>
        <w:t xml:space="preserve"> </w:t>
      </w:r>
      <w:r>
        <w:rPr>
          <w:rFonts w:ascii="宋体" w:hAnsi="宋体" w:eastAsia="宋体" w:cs="宋体"/>
          <w:spacing w:val="-3"/>
          <w:sz w:val="21"/>
          <w:szCs w:val="21"/>
        </w:rPr>
        <w:t>(包括图纸会审)。承包人可以书面方式通过监理人</w:t>
      </w:r>
      <w:r>
        <w:rPr>
          <w:rFonts w:ascii="宋体" w:hAnsi="宋体" w:eastAsia="宋体" w:cs="宋体"/>
          <w:spacing w:val="-4"/>
          <w:sz w:val="21"/>
          <w:szCs w:val="21"/>
        </w:rPr>
        <w:t>向发包人申</w:t>
      </w:r>
      <w:r>
        <w:rPr>
          <w:rFonts w:ascii="宋体" w:hAnsi="宋体" w:eastAsia="宋体" w:cs="宋体"/>
          <w:spacing w:val="-5"/>
          <w:sz w:val="21"/>
          <w:szCs w:val="21"/>
        </w:rPr>
        <w:t>请增加紧急的设计交底，发包人在认为确有必要且条件许可时，应当尽快组织这类设计交</w:t>
      </w:r>
      <w:r>
        <w:rPr>
          <w:rFonts w:ascii="宋体" w:hAnsi="宋体" w:eastAsia="宋体" w:cs="宋体"/>
          <w:spacing w:val="-6"/>
          <w:sz w:val="21"/>
          <w:szCs w:val="21"/>
        </w:rPr>
        <w:t>底。</w:t>
      </w:r>
    </w:p>
    <w:p w14:paraId="15A6BC7B">
      <w:pPr>
        <w:spacing w:before="2" w:line="231" w:lineRule="auto"/>
        <w:ind w:left="21"/>
        <w:outlineLvl w:val="1"/>
        <w:rPr>
          <w:rFonts w:ascii="黑体" w:hAnsi="黑体" w:eastAsia="黑体" w:cs="黑体"/>
          <w:sz w:val="24"/>
          <w:szCs w:val="24"/>
        </w:rPr>
      </w:pPr>
      <w:bookmarkStart w:id="235" w:name="bookmark203"/>
      <w:bookmarkEnd w:id="235"/>
      <w:r>
        <w:rPr>
          <w:rFonts w:ascii="Times New Roman" w:hAnsi="Times New Roman" w:eastAsia="Times New Roman" w:cs="Times New Roman"/>
          <w:spacing w:val="-2"/>
          <w:sz w:val="24"/>
          <w:szCs w:val="24"/>
        </w:rPr>
        <w:t>2.8</w:t>
      </w:r>
      <w:r>
        <w:rPr>
          <w:rFonts w:ascii="Times New Roman" w:hAnsi="Times New Roman" w:eastAsia="Times New Roman" w:cs="Times New Roman"/>
          <w:spacing w:val="12"/>
          <w:sz w:val="24"/>
          <w:szCs w:val="24"/>
        </w:rPr>
        <w:t xml:space="preserve"> </w:t>
      </w:r>
      <w:r>
        <w:rPr>
          <w:rFonts w:ascii="黑体" w:hAnsi="黑体" w:eastAsia="黑体" w:cs="黑体"/>
          <w:spacing w:val="-2"/>
          <w:sz w:val="24"/>
          <w:szCs w:val="24"/>
        </w:rPr>
        <w:t>其他义务</w:t>
      </w:r>
    </w:p>
    <w:p w14:paraId="708AB753">
      <w:pPr>
        <w:spacing w:before="133" w:line="362" w:lineRule="auto"/>
        <w:ind w:left="25" w:right="82" w:firstLine="456"/>
        <w:jc w:val="both"/>
        <w:rPr>
          <w:rFonts w:ascii="宋体" w:hAnsi="宋体" w:eastAsia="宋体" w:cs="宋体"/>
          <w:sz w:val="21"/>
          <w:szCs w:val="21"/>
        </w:rPr>
      </w:pPr>
      <w:r>
        <w:rPr>
          <w:rFonts w:ascii="宋体" w:hAnsi="宋体" w:eastAsia="宋体" w:cs="宋体"/>
          <w:sz w:val="21"/>
          <w:szCs w:val="21"/>
        </w:rPr>
        <w:t>(1)向承包人提交对等的支付担保。在承包人按合同条款第4.2</w:t>
      </w:r>
      <w:r>
        <w:rPr>
          <w:rFonts w:ascii="宋体" w:hAnsi="宋体" w:eastAsia="宋体" w:cs="宋体"/>
          <w:spacing w:val="-20"/>
          <w:sz w:val="21"/>
          <w:szCs w:val="21"/>
        </w:rPr>
        <w:t xml:space="preserve"> </w:t>
      </w:r>
      <w:r>
        <w:rPr>
          <w:rFonts w:ascii="宋体" w:hAnsi="宋体" w:eastAsia="宋体" w:cs="宋体"/>
          <w:sz w:val="21"/>
          <w:szCs w:val="21"/>
        </w:rPr>
        <w:t>条向发包人递交符合合</w:t>
      </w:r>
      <w:r>
        <w:rPr>
          <w:rFonts w:ascii="宋体" w:hAnsi="宋体" w:eastAsia="宋体" w:cs="宋体"/>
          <w:spacing w:val="-2"/>
          <w:sz w:val="21"/>
          <w:szCs w:val="21"/>
        </w:rPr>
        <w:t>同约定的履约担保的同时，发包人应当按照金额和条件对等的原则和招标文件中规定的</w:t>
      </w:r>
      <w:r>
        <w:rPr>
          <w:rFonts w:ascii="宋体" w:hAnsi="宋体" w:eastAsia="宋体" w:cs="宋体"/>
          <w:spacing w:val="-3"/>
          <w:sz w:val="21"/>
          <w:szCs w:val="21"/>
        </w:rPr>
        <w:t>格式</w:t>
      </w:r>
      <w:r>
        <w:rPr>
          <w:rFonts w:ascii="宋体" w:hAnsi="宋体" w:eastAsia="宋体" w:cs="宋体"/>
          <w:spacing w:val="-2"/>
          <w:sz w:val="21"/>
          <w:szCs w:val="21"/>
        </w:rPr>
        <w:t>或者其他经过承包人事先认可的格式向承包人递交一份支付担保。支付担保的有效期应</w:t>
      </w:r>
      <w:r>
        <w:rPr>
          <w:rFonts w:ascii="宋体" w:hAnsi="宋体" w:eastAsia="宋体" w:cs="宋体"/>
          <w:spacing w:val="-3"/>
          <w:sz w:val="21"/>
          <w:szCs w:val="21"/>
        </w:rPr>
        <w:t>当自</w:t>
      </w:r>
      <w:r>
        <w:rPr>
          <w:rFonts w:ascii="宋体" w:hAnsi="宋体" w:eastAsia="宋体" w:cs="宋体"/>
          <w:spacing w:val="-2"/>
          <w:sz w:val="21"/>
          <w:szCs w:val="21"/>
        </w:rPr>
        <w:t>本合同生效之日起至发包人实际支付竣工付款之日止。如果发包人无法获得一份不带具</w:t>
      </w:r>
      <w:r>
        <w:rPr>
          <w:rFonts w:ascii="宋体" w:hAnsi="宋体" w:eastAsia="宋体" w:cs="宋体"/>
          <w:spacing w:val="-3"/>
          <w:sz w:val="21"/>
          <w:szCs w:val="21"/>
        </w:rPr>
        <w:t>体截</w:t>
      </w:r>
      <w:r>
        <w:rPr>
          <w:rFonts w:ascii="宋体" w:hAnsi="宋体" w:eastAsia="宋体" w:cs="宋体"/>
          <w:spacing w:val="-2"/>
          <w:sz w:val="21"/>
          <w:szCs w:val="21"/>
        </w:rPr>
        <w:t>止日期的担保，支付担保中应当有“变更工程竣工付款支付日期的，保证期间</w:t>
      </w:r>
      <w:r>
        <w:rPr>
          <w:rFonts w:ascii="宋体" w:hAnsi="宋体" w:eastAsia="宋体" w:cs="宋体"/>
          <w:spacing w:val="-3"/>
          <w:sz w:val="21"/>
          <w:szCs w:val="21"/>
        </w:rPr>
        <w:t>按照变更后的</w:t>
      </w:r>
      <w:r>
        <w:rPr>
          <w:rFonts w:ascii="宋体" w:hAnsi="宋体" w:eastAsia="宋体" w:cs="宋体"/>
          <w:spacing w:val="-2"/>
          <w:sz w:val="21"/>
          <w:szCs w:val="21"/>
        </w:rPr>
        <w:t>竣工付款支付日期做相应调整”或类似约定的条款。支付担保应在发</w:t>
      </w:r>
      <w:r>
        <w:rPr>
          <w:rFonts w:ascii="宋体" w:hAnsi="宋体" w:eastAsia="宋体" w:cs="宋体"/>
          <w:spacing w:val="-3"/>
          <w:sz w:val="21"/>
          <w:szCs w:val="21"/>
        </w:rPr>
        <w:t>包人付清竣工付款之日</w:t>
      </w:r>
      <w:r>
        <w:rPr>
          <w:rFonts w:ascii="宋体" w:hAnsi="宋体" w:eastAsia="宋体" w:cs="宋体"/>
          <w:sz w:val="21"/>
          <w:szCs w:val="21"/>
        </w:rPr>
        <w:t>后</w:t>
      </w:r>
      <w:r>
        <w:rPr>
          <w:rFonts w:ascii="宋体" w:hAnsi="宋体" w:eastAsia="宋体" w:cs="宋体"/>
          <w:spacing w:val="-34"/>
          <w:sz w:val="21"/>
          <w:szCs w:val="21"/>
        </w:rPr>
        <w:t xml:space="preserve"> </w:t>
      </w:r>
      <w:r>
        <w:rPr>
          <w:rFonts w:ascii="宋体" w:hAnsi="宋体" w:eastAsia="宋体" w:cs="宋体"/>
          <w:sz w:val="21"/>
          <w:szCs w:val="21"/>
        </w:rPr>
        <w:t>28</w:t>
      </w:r>
      <w:r>
        <w:rPr>
          <w:rFonts w:ascii="宋体" w:hAnsi="宋体" w:eastAsia="宋体" w:cs="宋体"/>
          <w:spacing w:val="-32"/>
          <w:sz w:val="21"/>
          <w:szCs w:val="21"/>
        </w:rPr>
        <w:t xml:space="preserve"> </w:t>
      </w:r>
      <w:r>
        <w:rPr>
          <w:rFonts w:ascii="宋体" w:hAnsi="宋体" w:eastAsia="宋体" w:cs="宋体"/>
          <w:sz w:val="21"/>
          <w:szCs w:val="21"/>
        </w:rPr>
        <w:t>天内退还给发包人。承包人不承担发包人与支付</w:t>
      </w:r>
      <w:r>
        <w:rPr>
          <w:rFonts w:ascii="宋体" w:hAnsi="宋体" w:eastAsia="宋体" w:cs="宋体"/>
          <w:spacing w:val="-1"/>
          <w:sz w:val="21"/>
          <w:szCs w:val="21"/>
        </w:rPr>
        <w:t>担保有关的任何利息或其它类似的费</w:t>
      </w:r>
      <w:r>
        <w:rPr>
          <w:rFonts w:ascii="宋体" w:hAnsi="宋体" w:eastAsia="宋体" w:cs="宋体"/>
          <w:spacing w:val="-2"/>
          <w:sz w:val="21"/>
          <w:szCs w:val="21"/>
        </w:rPr>
        <w:t>用或者收益。支付担保是本合同的附件。</w:t>
      </w:r>
    </w:p>
    <w:p w14:paraId="061276EF">
      <w:pPr>
        <w:spacing w:line="362" w:lineRule="auto"/>
        <w:rPr>
          <w:rFonts w:ascii="宋体" w:hAnsi="宋体" w:eastAsia="宋体" w:cs="宋体"/>
          <w:sz w:val="21"/>
          <w:szCs w:val="21"/>
        </w:rPr>
        <w:sectPr>
          <w:footerReference r:id="rId116" w:type="default"/>
          <w:pgSz w:w="11910" w:h="16845"/>
          <w:pgMar w:top="400" w:right="1696" w:bottom="1110" w:left="1786" w:header="0" w:footer="883" w:gutter="0"/>
          <w:cols w:space="720" w:num="1"/>
        </w:sectPr>
      </w:pPr>
    </w:p>
    <w:p w14:paraId="3ED7CA9C">
      <w:pPr>
        <w:pStyle w:val="2"/>
        <w:spacing w:line="278" w:lineRule="auto"/>
      </w:pPr>
    </w:p>
    <w:p w14:paraId="5A714637">
      <w:pPr>
        <w:pStyle w:val="2"/>
        <w:spacing w:line="279" w:lineRule="auto"/>
      </w:pPr>
    </w:p>
    <w:p w14:paraId="71F5EDBA">
      <w:pPr>
        <w:pStyle w:val="2"/>
        <w:spacing w:line="279" w:lineRule="auto"/>
      </w:pPr>
    </w:p>
    <w:p w14:paraId="1D47DCE2">
      <w:pPr>
        <w:pStyle w:val="2"/>
        <w:spacing w:line="279" w:lineRule="auto"/>
      </w:pPr>
    </w:p>
    <w:p w14:paraId="2695785B">
      <w:pPr>
        <w:spacing w:before="68" w:line="220" w:lineRule="auto"/>
        <w:ind w:left="481"/>
        <w:rPr>
          <w:rFonts w:ascii="宋体" w:hAnsi="宋体" w:eastAsia="宋体" w:cs="宋体"/>
          <w:sz w:val="21"/>
          <w:szCs w:val="21"/>
        </w:rPr>
      </w:pPr>
      <w:r>
        <w:rPr>
          <w:rFonts w:ascii="宋体" w:hAnsi="宋体" w:eastAsia="宋体" w:cs="宋体"/>
          <w:spacing w:val="-4"/>
          <w:sz w:val="21"/>
          <w:szCs w:val="21"/>
        </w:rPr>
        <w:t>(2)按有关规定及时办理工程质量监督手续。</w:t>
      </w:r>
    </w:p>
    <w:p w14:paraId="2DD27887">
      <w:pPr>
        <w:spacing w:before="154" w:line="361" w:lineRule="auto"/>
        <w:ind w:left="23" w:right="92" w:firstLine="458"/>
        <w:rPr>
          <w:rFonts w:ascii="宋体" w:hAnsi="宋体" w:eastAsia="宋体" w:cs="宋体"/>
          <w:sz w:val="21"/>
          <w:szCs w:val="21"/>
        </w:rPr>
      </w:pPr>
      <w:r>
        <w:rPr>
          <w:rFonts w:ascii="宋体" w:hAnsi="宋体" w:eastAsia="宋体" w:cs="宋体"/>
          <w:spacing w:val="-2"/>
          <w:sz w:val="21"/>
          <w:szCs w:val="21"/>
        </w:rPr>
        <w:t>(3)根据建设行政主管部门和(或)城市建设档案管理机构的规定，收集、整理、立卷、归档工程资料，并按规定时间向建设行政主管部门或者城市建设档案管理机构移交规</w:t>
      </w:r>
      <w:r>
        <w:rPr>
          <w:rFonts w:ascii="宋体" w:hAnsi="宋体" w:eastAsia="宋体" w:cs="宋体"/>
          <w:spacing w:val="-3"/>
          <w:sz w:val="21"/>
          <w:szCs w:val="21"/>
        </w:rPr>
        <w:t>定的工</w:t>
      </w:r>
      <w:r>
        <w:rPr>
          <w:rFonts w:ascii="宋体" w:hAnsi="宋体" w:eastAsia="宋体" w:cs="宋体"/>
          <w:spacing w:val="-7"/>
          <w:sz w:val="21"/>
          <w:szCs w:val="21"/>
        </w:rPr>
        <w:t>程档案。</w:t>
      </w:r>
    </w:p>
    <w:p w14:paraId="733E6712">
      <w:pPr>
        <w:spacing w:before="3" w:line="361" w:lineRule="auto"/>
        <w:ind w:left="24" w:right="76" w:firstLine="457"/>
        <w:rPr>
          <w:rFonts w:ascii="宋体" w:hAnsi="宋体" w:eastAsia="宋体" w:cs="宋体"/>
          <w:sz w:val="21"/>
          <w:szCs w:val="21"/>
        </w:rPr>
      </w:pPr>
      <w:r>
        <w:rPr>
          <w:rFonts w:ascii="宋体" w:hAnsi="宋体" w:eastAsia="宋体" w:cs="宋体"/>
          <w:spacing w:val="-1"/>
          <w:sz w:val="21"/>
          <w:szCs w:val="21"/>
        </w:rPr>
        <w:t>(4)批准和确认：按合同约定应当由监理人或者发包人回复、批复、批准、确认或提出</w:t>
      </w:r>
      <w:r>
        <w:rPr>
          <w:rFonts w:ascii="宋体" w:hAnsi="宋体" w:eastAsia="宋体" w:cs="宋体"/>
          <w:spacing w:val="-5"/>
          <w:sz w:val="21"/>
          <w:szCs w:val="21"/>
        </w:rPr>
        <w:t>修改意见的承包人的要求、请求、申请和报批等， 自监理人或者发包人指定的接收人收到承</w:t>
      </w:r>
      <w:r>
        <w:rPr>
          <w:rFonts w:ascii="宋体" w:hAnsi="宋体" w:eastAsia="宋体" w:cs="宋体"/>
          <w:spacing w:val="-2"/>
          <w:sz w:val="21"/>
          <w:szCs w:val="21"/>
        </w:rPr>
        <w:t>包人发出的相应要求、请求、申请和报批之日起，如果监理人或者发包人在</w:t>
      </w:r>
      <w:r>
        <w:rPr>
          <w:rFonts w:ascii="宋体" w:hAnsi="宋体" w:eastAsia="宋体" w:cs="宋体"/>
          <w:spacing w:val="-3"/>
          <w:sz w:val="21"/>
          <w:szCs w:val="21"/>
        </w:rPr>
        <w:t>合同约定的期限</w:t>
      </w:r>
      <w:r>
        <w:rPr>
          <w:rFonts w:ascii="宋体" w:hAnsi="宋体" w:eastAsia="宋体" w:cs="宋体"/>
          <w:spacing w:val="-2"/>
          <w:sz w:val="21"/>
          <w:szCs w:val="21"/>
        </w:rPr>
        <w:t>内未予回复、批复、批准、确认或提出修改意见的，视为监理人和发包人已经同意、确认或</w:t>
      </w:r>
      <w:r>
        <w:rPr>
          <w:rFonts w:ascii="宋体" w:hAnsi="宋体" w:eastAsia="宋体" w:cs="宋体"/>
          <w:spacing w:val="-7"/>
          <w:sz w:val="21"/>
          <w:szCs w:val="21"/>
        </w:rPr>
        <w:t>者批准。</w:t>
      </w:r>
    </w:p>
    <w:p w14:paraId="696ED2A2">
      <w:pPr>
        <w:spacing w:line="219" w:lineRule="auto"/>
        <w:ind w:left="481"/>
        <w:rPr>
          <w:rFonts w:ascii="宋体" w:hAnsi="宋体" w:eastAsia="宋体" w:cs="宋体"/>
          <w:sz w:val="21"/>
          <w:szCs w:val="21"/>
        </w:rPr>
      </w:pPr>
      <w:r>
        <w:rPr>
          <w:rFonts w:ascii="宋体" w:hAnsi="宋体" w:eastAsia="宋体" w:cs="宋体"/>
          <w:spacing w:val="-2"/>
          <w:sz w:val="21"/>
          <w:szCs w:val="21"/>
        </w:rPr>
        <w:t>(5)发包人应当履行合同约定的其他义务以及下述义务：</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558A1715">
      <w:pPr>
        <w:spacing w:before="277" w:line="45" w:lineRule="exact"/>
        <w:jc w:val="right"/>
        <w:rPr>
          <w:rFonts w:ascii="宋体" w:hAnsi="宋体" w:eastAsia="宋体" w:cs="宋体"/>
          <w:sz w:val="21"/>
          <w:szCs w:val="21"/>
        </w:rPr>
      </w:pPr>
      <w:r>
        <w:pict>
          <v:shape id="_x0000_s1027" o:spid="_x0000_s1027" o:spt="202" type="#_x0000_t202" style="position:absolute;left:0pt;margin-left:-0.2pt;margin-top:7.05pt;height:14.1pt;width:412.05pt;z-index:251669504;mso-width-relative:page;mso-height-relative:page;" filled="f" stroked="f" coordsize="21600,21600">
            <v:path/>
            <v:fill on="f" focussize="0,0"/>
            <v:stroke on="f"/>
            <v:imagedata o:title=""/>
            <o:lock v:ext="edit" aspectratio="f"/>
            <v:textbox inset="0mm,0mm,0mm,0mm">
              <w:txbxContent>
                <w:p w14:paraId="0F35E066">
                  <w:pPr>
                    <w:pStyle w:val="2"/>
                    <w:tabs>
                      <w:tab w:val="left" w:pos="8220"/>
                    </w:tabs>
                    <w:spacing w:before="20"/>
                    <w:ind w:left="20"/>
                  </w:pPr>
                  <w:r>
                    <w:rPr>
                      <w:u w:val="single" w:color="auto"/>
                    </w:rPr>
                    <w:tab/>
                  </w:r>
                </w:p>
              </w:txbxContent>
            </v:textbox>
          </v:shape>
        </w:pict>
      </w:r>
      <w:r>
        <w:rPr>
          <w:rFonts w:ascii="宋体" w:hAnsi="宋体" w:eastAsia="宋体" w:cs="宋体"/>
          <w:spacing w:val="-56"/>
          <w:w w:val="98"/>
          <w:position w:val="-1"/>
          <w:sz w:val="21"/>
          <w:szCs w:val="21"/>
        </w:rPr>
        <w:t>。</w:t>
      </w:r>
    </w:p>
    <w:p w14:paraId="5D0B6D69">
      <w:pPr>
        <w:spacing w:before="250" w:line="239" w:lineRule="auto"/>
        <w:ind w:left="27"/>
        <w:outlineLvl w:val="0"/>
        <w:rPr>
          <w:rFonts w:ascii="黑体" w:hAnsi="黑体" w:eastAsia="黑体" w:cs="黑体"/>
          <w:sz w:val="28"/>
          <w:szCs w:val="28"/>
        </w:rPr>
      </w:pPr>
      <w:bookmarkStart w:id="236" w:name="bookmark204"/>
      <w:bookmarkEnd w:id="236"/>
      <w:bookmarkStart w:id="237" w:name="bookmark205"/>
      <w:bookmarkEnd w:id="237"/>
      <w:r>
        <w:rPr>
          <w:rFonts w:ascii="Times New Roman" w:hAnsi="Times New Roman" w:eastAsia="Times New Roman" w:cs="Times New Roman"/>
          <w:spacing w:val="6"/>
          <w:sz w:val="28"/>
          <w:szCs w:val="28"/>
        </w:rPr>
        <w:t>3.</w:t>
      </w:r>
      <w:r>
        <w:rPr>
          <w:rFonts w:ascii="黑体" w:hAnsi="黑体" w:eastAsia="黑体" w:cs="黑体"/>
          <w:spacing w:val="6"/>
          <w:sz w:val="28"/>
          <w:szCs w:val="28"/>
        </w:rPr>
        <w:t>监理人</w:t>
      </w:r>
    </w:p>
    <w:p w14:paraId="1134164D">
      <w:pPr>
        <w:spacing w:before="81" w:line="232" w:lineRule="auto"/>
        <w:ind w:left="25"/>
        <w:outlineLvl w:val="1"/>
        <w:rPr>
          <w:rFonts w:ascii="黑体" w:hAnsi="黑体" w:eastAsia="黑体" w:cs="黑体"/>
          <w:sz w:val="24"/>
          <w:szCs w:val="24"/>
        </w:rPr>
      </w:pPr>
      <w:bookmarkStart w:id="238" w:name="bookmark658"/>
      <w:bookmarkEnd w:id="238"/>
      <w:r>
        <w:rPr>
          <w:rFonts w:ascii="Times New Roman" w:hAnsi="Times New Roman" w:eastAsia="Times New Roman" w:cs="Times New Roman"/>
          <w:spacing w:val="-1"/>
          <w:sz w:val="24"/>
          <w:szCs w:val="24"/>
        </w:rPr>
        <w:t xml:space="preserve">3.1 </w:t>
      </w:r>
      <w:r>
        <w:rPr>
          <w:rFonts w:ascii="黑体" w:hAnsi="黑体" w:eastAsia="黑体" w:cs="黑体"/>
          <w:spacing w:val="-1"/>
          <w:sz w:val="24"/>
          <w:szCs w:val="24"/>
        </w:rPr>
        <w:t>监理人的职责和权力</w:t>
      </w:r>
    </w:p>
    <w:p w14:paraId="400245A2">
      <w:pPr>
        <w:spacing w:before="130" w:line="220" w:lineRule="auto"/>
        <w:ind w:left="448"/>
        <w:rPr>
          <w:rFonts w:ascii="宋体" w:hAnsi="宋体" w:eastAsia="宋体" w:cs="宋体"/>
          <w:sz w:val="21"/>
          <w:szCs w:val="21"/>
        </w:rPr>
      </w:pPr>
      <w:r>
        <w:rPr>
          <w:rFonts w:ascii="宋体" w:hAnsi="宋体" w:eastAsia="宋体" w:cs="宋体"/>
          <w:spacing w:val="-1"/>
          <w:sz w:val="21"/>
          <w:szCs w:val="21"/>
        </w:rPr>
        <w:t>3.1.1</w:t>
      </w:r>
      <w:r>
        <w:rPr>
          <w:rFonts w:ascii="宋体" w:hAnsi="宋体" w:eastAsia="宋体" w:cs="宋体"/>
          <w:spacing w:val="-32"/>
          <w:sz w:val="21"/>
          <w:szCs w:val="21"/>
        </w:rPr>
        <w:t xml:space="preserve"> </w:t>
      </w:r>
      <w:r>
        <w:rPr>
          <w:rFonts w:ascii="宋体" w:hAnsi="宋体" w:eastAsia="宋体" w:cs="宋体"/>
          <w:spacing w:val="-1"/>
          <w:sz w:val="21"/>
          <w:szCs w:val="21"/>
        </w:rPr>
        <w:t>须经发包人批准行使的权力：</w:t>
      </w:r>
      <w:r>
        <w:rPr>
          <w:rFonts w:ascii="宋体" w:hAnsi="宋体" w:eastAsia="宋体" w:cs="宋体"/>
          <w:spacing w:val="-1"/>
          <w:sz w:val="21"/>
          <w:szCs w:val="21"/>
          <w:u w:val="single" w:color="auto"/>
        </w:rPr>
        <w:t xml:space="preserve">                                            </w:t>
      </w:r>
    </w:p>
    <w:p w14:paraId="047278D4">
      <w:pPr>
        <w:spacing w:before="291" w:line="45" w:lineRule="exact"/>
        <w:jc w:val="right"/>
        <w:rPr>
          <w:rFonts w:ascii="宋体" w:hAnsi="宋体" w:eastAsia="宋体" w:cs="宋体"/>
          <w:sz w:val="21"/>
          <w:szCs w:val="21"/>
        </w:rPr>
      </w:pPr>
      <w:r>
        <w:pict>
          <v:shape id="_x0000_s1028" o:spid="_x0000_s1028" o:spt="202" type="#_x0000_t202" style="position:absolute;left:0pt;margin-left:-0.2pt;margin-top:7.8pt;height:14.1pt;width:412.05pt;z-index:251670528;mso-width-relative:page;mso-height-relative:page;" filled="f" stroked="f" coordsize="21600,21600">
            <v:path/>
            <v:fill on="f" focussize="0,0"/>
            <v:stroke on="f"/>
            <v:imagedata o:title=""/>
            <o:lock v:ext="edit" aspectratio="f"/>
            <v:textbox inset="0mm,0mm,0mm,0mm">
              <w:txbxContent>
                <w:p w14:paraId="516648B2">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4EDD2431">
      <w:pPr>
        <w:spacing w:before="209" w:line="332" w:lineRule="auto"/>
        <w:ind w:left="24" w:right="79" w:firstLine="3"/>
        <w:rPr>
          <w:rFonts w:ascii="宋体" w:hAnsi="宋体" w:eastAsia="宋体" w:cs="宋体"/>
          <w:sz w:val="21"/>
          <w:szCs w:val="21"/>
        </w:rPr>
      </w:pPr>
      <w:r>
        <w:rPr>
          <w:rFonts w:ascii="宋体" w:hAnsi="宋体" w:eastAsia="宋体" w:cs="宋体"/>
          <w:spacing w:val="-3"/>
          <w:sz w:val="21"/>
          <w:szCs w:val="21"/>
        </w:rPr>
        <w:t>不管通用合同条款第</w:t>
      </w:r>
      <w:r>
        <w:rPr>
          <w:rFonts w:ascii="宋体" w:hAnsi="宋体" w:eastAsia="宋体" w:cs="宋体"/>
          <w:spacing w:val="-20"/>
          <w:sz w:val="21"/>
          <w:szCs w:val="21"/>
        </w:rPr>
        <w:t xml:space="preserve"> </w:t>
      </w:r>
      <w:r>
        <w:rPr>
          <w:rFonts w:ascii="宋体" w:hAnsi="宋体" w:eastAsia="宋体" w:cs="宋体"/>
          <w:spacing w:val="-3"/>
          <w:sz w:val="21"/>
          <w:szCs w:val="21"/>
        </w:rPr>
        <w:t>3.1.1</w:t>
      </w:r>
      <w:r>
        <w:rPr>
          <w:rFonts w:ascii="宋体" w:hAnsi="宋体" w:eastAsia="宋体" w:cs="宋体"/>
          <w:spacing w:val="-33"/>
          <w:sz w:val="21"/>
          <w:szCs w:val="21"/>
        </w:rPr>
        <w:t xml:space="preserve"> </w:t>
      </w:r>
      <w:r>
        <w:rPr>
          <w:rFonts w:ascii="宋体" w:hAnsi="宋体" w:eastAsia="宋体" w:cs="宋体"/>
          <w:spacing w:val="-3"/>
          <w:sz w:val="21"/>
          <w:szCs w:val="21"/>
        </w:rPr>
        <w:t>项如何约定，监理人履行须经发包人批准行使的权力时，应当向</w:t>
      </w:r>
      <w:r>
        <w:rPr>
          <w:rFonts w:ascii="宋体" w:hAnsi="宋体" w:eastAsia="宋体" w:cs="宋体"/>
          <w:spacing w:val="-1"/>
          <w:sz w:val="21"/>
          <w:szCs w:val="21"/>
        </w:rPr>
        <w:t>承包人出示其行使该权力已经取得发包人批准的文件或者其他合法有效的证明。</w:t>
      </w:r>
    </w:p>
    <w:p w14:paraId="7690C681">
      <w:pPr>
        <w:spacing w:before="2" w:line="231" w:lineRule="auto"/>
        <w:ind w:left="25"/>
        <w:outlineLvl w:val="1"/>
        <w:rPr>
          <w:rFonts w:ascii="黑体" w:hAnsi="黑体" w:eastAsia="黑体" w:cs="黑体"/>
          <w:sz w:val="24"/>
          <w:szCs w:val="24"/>
        </w:rPr>
      </w:pPr>
      <w:bookmarkStart w:id="239" w:name="bookmark206"/>
      <w:bookmarkEnd w:id="239"/>
      <w:r>
        <w:rPr>
          <w:rFonts w:ascii="Times New Roman" w:hAnsi="Times New Roman" w:eastAsia="Times New Roman" w:cs="Times New Roman"/>
          <w:spacing w:val="-1"/>
          <w:sz w:val="24"/>
          <w:szCs w:val="24"/>
        </w:rPr>
        <w:t xml:space="preserve">3.3 </w:t>
      </w:r>
      <w:r>
        <w:rPr>
          <w:rFonts w:ascii="黑体" w:hAnsi="黑体" w:eastAsia="黑体" w:cs="黑体"/>
          <w:spacing w:val="-1"/>
          <w:sz w:val="24"/>
          <w:szCs w:val="24"/>
        </w:rPr>
        <w:t>监理人员</w:t>
      </w:r>
    </w:p>
    <w:p w14:paraId="21E462F7">
      <w:pPr>
        <w:spacing w:before="114" w:line="332" w:lineRule="auto"/>
        <w:ind w:left="24" w:right="78" w:firstLine="424"/>
        <w:rPr>
          <w:rFonts w:ascii="宋体" w:hAnsi="宋体" w:eastAsia="宋体" w:cs="宋体"/>
          <w:sz w:val="21"/>
          <w:szCs w:val="21"/>
        </w:rPr>
      </w:pPr>
      <w:r>
        <w:rPr>
          <w:rFonts w:ascii="宋体" w:hAnsi="宋体" w:eastAsia="宋体" w:cs="宋体"/>
          <w:spacing w:val="-1"/>
          <w:sz w:val="21"/>
          <w:szCs w:val="21"/>
        </w:rPr>
        <w:t>3.3.4</w:t>
      </w:r>
      <w:r>
        <w:rPr>
          <w:rFonts w:ascii="宋体" w:hAnsi="宋体" w:eastAsia="宋体" w:cs="宋体"/>
          <w:spacing w:val="-38"/>
          <w:sz w:val="21"/>
          <w:szCs w:val="21"/>
        </w:rPr>
        <w:t xml:space="preserve"> </w:t>
      </w:r>
      <w:r>
        <w:rPr>
          <w:rFonts w:ascii="宋体" w:hAnsi="宋体" w:eastAsia="宋体" w:cs="宋体"/>
          <w:spacing w:val="-1"/>
          <w:sz w:val="21"/>
          <w:szCs w:val="21"/>
        </w:rPr>
        <w:t>总监理工程师不应将第</w:t>
      </w:r>
      <w:r>
        <w:rPr>
          <w:rFonts w:ascii="宋体" w:hAnsi="宋体" w:eastAsia="宋体" w:cs="宋体"/>
          <w:spacing w:val="-49"/>
          <w:sz w:val="21"/>
          <w:szCs w:val="21"/>
        </w:rPr>
        <w:t xml:space="preserve"> </w:t>
      </w:r>
      <w:r>
        <w:rPr>
          <w:rFonts w:ascii="宋体" w:hAnsi="宋体" w:eastAsia="宋体" w:cs="宋体"/>
          <w:spacing w:val="-1"/>
          <w:sz w:val="21"/>
          <w:szCs w:val="21"/>
        </w:rPr>
        <w:t>3.5</w:t>
      </w:r>
      <w:r>
        <w:rPr>
          <w:rFonts w:ascii="宋体" w:hAnsi="宋体" w:eastAsia="宋体" w:cs="宋体"/>
          <w:spacing w:val="-51"/>
          <w:sz w:val="21"/>
          <w:szCs w:val="21"/>
        </w:rPr>
        <w:t xml:space="preserve"> </w:t>
      </w:r>
      <w:r>
        <w:rPr>
          <w:rFonts w:ascii="宋体" w:hAnsi="宋体" w:eastAsia="宋体" w:cs="宋体"/>
          <w:spacing w:val="-1"/>
          <w:sz w:val="21"/>
          <w:szCs w:val="21"/>
        </w:rPr>
        <w:t>款约定应由总监理工程师作出确定的权力授权或者委</w:t>
      </w:r>
      <w:r>
        <w:rPr>
          <w:rFonts w:ascii="宋体" w:hAnsi="宋体" w:eastAsia="宋体" w:cs="宋体"/>
          <w:spacing w:val="-4"/>
          <w:sz w:val="21"/>
          <w:szCs w:val="21"/>
        </w:rPr>
        <w:t>托给其他监理人员。</w:t>
      </w:r>
    </w:p>
    <w:p w14:paraId="657A2CF1">
      <w:pPr>
        <w:spacing w:before="1" w:line="232" w:lineRule="auto"/>
        <w:ind w:left="25"/>
        <w:outlineLvl w:val="1"/>
        <w:rPr>
          <w:rFonts w:ascii="黑体" w:hAnsi="黑体" w:eastAsia="黑体" w:cs="黑体"/>
          <w:sz w:val="24"/>
          <w:szCs w:val="24"/>
        </w:rPr>
      </w:pPr>
      <w:bookmarkStart w:id="240" w:name="bookmark207"/>
      <w:bookmarkEnd w:id="240"/>
      <w:r>
        <w:rPr>
          <w:rFonts w:ascii="Times New Roman" w:hAnsi="Times New Roman" w:eastAsia="Times New Roman" w:cs="Times New Roman"/>
          <w:spacing w:val="-1"/>
          <w:sz w:val="24"/>
          <w:szCs w:val="24"/>
        </w:rPr>
        <w:t xml:space="preserve">3.4 </w:t>
      </w:r>
      <w:r>
        <w:rPr>
          <w:rFonts w:ascii="黑体" w:hAnsi="黑体" w:eastAsia="黑体" w:cs="黑体"/>
          <w:spacing w:val="-1"/>
          <w:sz w:val="24"/>
          <w:szCs w:val="24"/>
        </w:rPr>
        <w:t>监理人的指示</w:t>
      </w:r>
    </w:p>
    <w:p w14:paraId="01671FC0">
      <w:pPr>
        <w:spacing w:before="128" w:line="332" w:lineRule="auto"/>
        <w:ind w:left="23" w:right="83" w:firstLine="425"/>
        <w:rPr>
          <w:rFonts w:ascii="宋体" w:hAnsi="宋体" w:eastAsia="宋体" w:cs="宋体"/>
          <w:sz w:val="21"/>
          <w:szCs w:val="21"/>
        </w:rPr>
      </w:pPr>
      <w:r>
        <w:rPr>
          <w:rFonts w:ascii="宋体" w:hAnsi="宋体" w:eastAsia="宋体" w:cs="宋体"/>
          <w:spacing w:val="-2"/>
          <w:sz w:val="21"/>
          <w:szCs w:val="21"/>
        </w:rPr>
        <w:t>3.4.4</w:t>
      </w:r>
      <w:r>
        <w:rPr>
          <w:rFonts w:ascii="宋体" w:hAnsi="宋体" w:eastAsia="宋体" w:cs="宋体"/>
          <w:spacing w:val="-24"/>
          <w:sz w:val="21"/>
          <w:szCs w:val="21"/>
        </w:rPr>
        <w:t xml:space="preserve"> </w:t>
      </w:r>
      <w:r>
        <w:rPr>
          <w:rFonts w:ascii="宋体" w:hAnsi="宋体" w:eastAsia="宋体" w:cs="宋体"/>
          <w:spacing w:val="-2"/>
          <w:sz w:val="21"/>
          <w:szCs w:val="21"/>
        </w:rPr>
        <w:t>除通用合同条款已有的专门约定外，承包人只能从总监理工程师或按第</w:t>
      </w:r>
      <w:r>
        <w:rPr>
          <w:rFonts w:ascii="宋体" w:hAnsi="宋体" w:eastAsia="宋体" w:cs="宋体"/>
          <w:spacing w:val="-38"/>
          <w:sz w:val="21"/>
          <w:szCs w:val="21"/>
        </w:rPr>
        <w:t xml:space="preserve"> </w:t>
      </w:r>
      <w:r>
        <w:rPr>
          <w:rFonts w:ascii="宋体" w:hAnsi="宋体" w:eastAsia="宋体" w:cs="宋体"/>
          <w:spacing w:val="-2"/>
          <w:sz w:val="21"/>
          <w:szCs w:val="21"/>
        </w:rPr>
        <w:t>3</w:t>
      </w:r>
      <w:r>
        <w:rPr>
          <w:rFonts w:ascii="宋体" w:hAnsi="宋体" w:eastAsia="宋体" w:cs="宋体"/>
          <w:spacing w:val="-3"/>
          <w:sz w:val="21"/>
          <w:szCs w:val="21"/>
        </w:rPr>
        <w:t>.3.1</w:t>
      </w:r>
      <w:r>
        <w:rPr>
          <w:rFonts w:ascii="宋体" w:hAnsi="宋体" w:eastAsia="宋体" w:cs="宋体"/>
          <w:spacing w:val="-33"/>
          <w:sz w:val="21"/>
          <w:szCs w:val="21"/>
        </w:rPr>
        <w:t xml:space="preserve"> </w:t>
      </w:r>
      <w:r>
        <w:rPr>
          <w:rFonts w:ascii="宋体" w:hAnsi="宋体" w:eastAsia="宋体" w:cs="宋体"/>
          <w:spacing w:val="-3"/>
          <w:sz w:val="21"/>
          <w:szCs w:val="21"/>
        </w:rPr>
        <w:t>项</w:t>
      </w:r>
      <w:r>
        <w:rPr>
          <w:rFonts w:ascii="宋体" w:hAnsi="宋体" w:eastAsia="宋体" w:cs="宋体"/>
          <w:spacing w:val="-1"/>
          <w:sz w:val="21"/>
          <w:szCs w:val="21"/>
        </w:rPr>
        <w:t>授权的监理人员处取得指示，发包人应当通过监理人向承包人发出指示。</w:t>
      </w:r>
    </w:p>
    <w:p w14:paraId="5C6DD920">
      <w:pPr>
        <w:spacing w:before="1" w:line="231" w:lineRule="auto"/>
        <w:ind w:left="25"/>
        <w:outlineLvl w:val="1"/>
        <w:rPr>
          <w:rFonts w:ascii="黑体" w:hAnsi="黑体" w:eastAsia="黑体" w:cs="黑体"/>
          <w:sz w:val="24"/>
          <w:szCs w:val="24"/>
        </w:rPr>
      </w:pPr>
      <w:bookmarkStart w:id="241" w:name="bookmark208"/>
      <w:bookmarkEnd w:id="241"/>
      <w:r>
        <w:rPr>
          <w:rFonts w:ascii="Times New Roman" w:hAnsi="Times New Roman" w:eastAsia="Times New Roman" w:cs="Times New Roman"/>
          <w:spacing w:val="-1"/>
          <w:sz w:val="24"/>
          <w:szCs w:val="24"/>
        </w:rPr>
        <w:t xml:space="preserve">3.6 </w:t>
      </w:r>
      <w:r>
        <w:rPr>
          <w:rFonts w:ascii="黑体" w:hAnsi="黑体" w:eastAsia="黑体" w:cs="黑体"/>
          <w:spacing w:val="-1"/>
          <w:sz w:val="24"/>
          <w:szCs w:val="24"/>
        </w:rPr>
        <w:t>监理人的宽恕</w:t>
      </w:r>
    </w:p>
    <w:p w14:paraId="26AAC782">
      <w:pPr>
        <w:spacing w:before="131" w:line="344" w:lineRule="auto"/>
        <w:ind w:left="27" w:right="89" w:firstLine="417"/>
        <w:jc w:val="both"/>
        <w:rPr>
          <w:rFonts w:ascii="宋体" w:hAnsi="宋体" w:eastAsia="宋体" w:cs="宋体"/>
          <w:sz w:val="21"/>
          <w:szCs w:val="21"/>
        </w:rPr>
      </w:pPr>
      <w:r>
        <w:rPr>
          <w:rFonts w:ascii="宋体" w:hAnsi="宋体" w:eastAsia="宋体" w:cs="宋体"/>
          <w:spacing w:val="-2"/>
          <w:sz w:val="21"/>
          <w:szCs w:val="21"/>
        </w:rPr>
        <w:t>监理人或者发包人就承包人对合同约定的任何责任和义务的某种违约行</w:t>
      </w:r>
      <w:r>
        <w:rPr>
          <w:rFonts w:ascii="宋体" w:hAnsi="宋体" w:eastAsia="宋体" w:cs="宋体"/>
          <w:spacing w:val="-3"/>
          <w:sz w:val="21"/>
          <w:szCs w:val="21"/>
        </w:rPr>
        <w:t>为的宽恕，不影</w:t>
      </w:r>
      <w:r>
        <w:rPr>
          <w:rFonts w:ascii="宋体" w:hAnsi="宋体" w:eastAsia="宋体" w:cs="宋体"/>
          <w:spacing w:val="-2"/>
          <w:sz w:val="21"/>
          <w:szCs w:val="21"/>
        </w:rPr>
        <w:t>响监理人和发包人在此后的任何时间严格按合同约定处理承包人的其它违约行为，</w:t>
      </w:r>
      <w:r>
        <w:rPr>
          <w:rFonts w:ascii="宋体" w:hAnsi="宋体" w:eastAsia="宋体" w:cs="宋体"/>
          <w:spacing w:val="-3"/>
          <w:sz w:val="21"/>
          <w:szCs w:val="21"/>
        </w:rPr>
        <w:t>也不意味</w:t>
      </w:r>
      <w:r>
        <w:rPr>
          <w:rFonts w:ascii="宋体" w:hAnsi="宋体" w:eastAsia="宋体" w:cs="宋体"/>
          <w:spacing w:val="-1"/>
          <w:sz w:val="21"/>
          <w:szCs w:val="21"/>
        </w:rPr>
        <w:t>发包人放弃合同约定的发包人与上述违约有关的任何权利和赔偿要求。</w:t>
      </w:r>
    </w:p>
    <w:p w14:paraId="51C2FCD9">
      <w:pPr>
        <w:spacing w:before="36" w:line="237" w:lineRule="auto"/>
        <w:ind w:left="20"/>
        <w:outlineLvl w:val="0"/>
        <w:rPr>
          <w:rFonts w:ascii="黑体" w:hAnsi="黑体" w:eastAsia="黑体" w:cs="黑体"/>
          <w:sz w:val="28"/>
          <w:szCs w:val="28"/>
        </w:rPr>
      </w:pPr>
      <w:bookmarkStart w:id="242" w:name="bookmark210"/>
      <w:bookmarkEnd w:id="242"/>
      <w:bookmarkStart w:id="243" w:name="bookmark209"/>
      <w:bookmarkEnd w:id="243"/>
      <w:r>
        <w:rPr>
          <w:rFonts w:ascii="Times New Roman" w:hAnsi="Times New Roman" w:eastAsia="Times New Roman" w:cs="Times New Roman"/>
          <w:spacing w:val="8"/>
          <w:sz w:val="28"/>
          <w:szCs w:val="28"/>
        </w:rPr>
        <w:t>4.</w:t>
      </w:r>
      <w:r>
        <w:rPr>
          <w:rFonts w:ascii="黑体" w:hAnsi="黑体" w:eastAsia="黑体" w:cs="黑体"/>
          <w:spacing w:val="8"/>
          <w:sz w:val="28"/>
          <w:szCs w:val="28"/>
        </w:rPr>
        <w:t>承包人</w:t>
      </w:r>
    </w:p>
    <w:p w14:paraId="390BF2B7">
      <w:pPr>
        <w:spacing w:before="70" w:line="232" w:lineRule="auto"/>
        <w:ind w:left="19"/>
        <w:outlineLvl w:val="1"/>
        <w:rPr>
          <w:rFonts w:ascii="黑体" w:hAnsi="黑体" w:eastAsia="黑体" w:cs="黑体"/>
          <w:sz w:val="24"/>
          <w:szCs w:val="24"/>
        </w:rPr>
      </w:pPr>
      <w:bookmarkStart w:id="244" w:name="bookmark659"/>
      <w:bookmarkEnd w:id="244"/>
      <w:r>
        <w:rPr>
          <w:rFonts w:ascii="Times New Roman" w:hAnsi="Times New Roman" w:eastAsia="Times New Roman" w:cs="Times New Roman"/>
          <w:sz w:val="24"/>
          <w:szCs w:val="24"/>
        </w:rPr>
        <w:t xml:space="preserve">4.1 </w:t>
      </w:r>
      <w:r>
        <w:rPr>
          <w:rFonts w:ascii="黑体" w:hAnsi="黑体" w:eastAsia="黑体" w:cs="黑体"/>
          <w:sz w:val="24"/>
          <w:szCs w:val="24"/>
        </w:rPr>
        <w:t>承包人的一般义务</w:t>
      </w:r>
    </w:p>
    <w:p w14:paraId="79E99D19">
      <w:pPr>
        <w:spacing w:before="130" w:line="343" w:lineRule="auto"/>
        <w:ind w:left="23" w:firstLine="420"/>
        <w:rPr>
          <w:rFonts w:ascii="宋体" w:hAnsi="宋体" w:eastAsia="宋体" w:cs="宋体"/>
          <w:sz w:val="21"/>
          <w:szCs w:val="21"/>
        </w:rPr>
      </w:pPr>
      <w:r>
        <w:rPr>
          <w:rFonts w:ascii="宋体" w:hAnsi="宋体" w:eastAsia="宋体" w:cs="宋体"/>
          <w:spacing w:val="-1"/>
          <w:sz w:val="21"/>
          <w:szCs w:val="21"/>
        </w:rPr>
        <w:t>4.1.3</w:t>
      </w:r>
      <w:r>
        <w:rPr>
          <w:rFonts w:ascii="宋体" w:hAnsi="宋体" w:eastAsia="宋体" w:cs="宋体"/>
          <w:spacing w:val="-39"/>
          <w:sz w:val="21"/>
          <w:szCs w:val="21"/>
        </w:rPr>
        <w:t xml:space="preserve"> </w:t>
      </w:r>
      <w:r>
        <w:rPr>
          <w:rFonts w:ascii="宋体" w:hAnsi="宋体" w:eastAsia="宋体" w:cs="宋体"/>
          <w:spacing w:val="-1"/>
          <w:sz w:val="21"/>
          <w:szCs w:val="21"/>
        </w:rPr>
        <w:t>除专用合同条款第</w:t>
      </w:r>
      <w:r>
        <w:rPr>
          <w:rFonts w:ascii="宋体" w:hAnsi="宋体" w:eastAsia="宋体" w:cs="宋体"/>
          <w:spacing w:val="-48"/>
          <w:sz w:val="21"/>
          <w:szCs w:val="21"/>
        </w:rPr>
        <w:t xml:space="preserve"> </w:t>
      </w:r>
      <w:r>
        <w:rPr>
          <w:rFonts w:ascii="宋体" w:hAnsi="宋体" w:eastAsia="宋体" w:cs="宋体"/>
          <w:spacing w:val="-1"/>
          <w:sz w:val="21"/>
          <w:szCs w:val="21"/>
        </w:rPr>
        <w:t>5.2</w:t>
      </w:r>
      <w:r>
        <w:rPr>
          <w:rFonts w:ascii="宋体" w:hAnsi="宋体" w:eastAsia="宋体" w:cs="宋体"/>
          <w:spacing w:val="-51"/>
          <w:sz w:val="21"/>
          <w:szCs w:val="21"/>
        </w:rPr>
        <w:t xml:space="preserve"> </w:t>
      </w:r>
      <w:r>
        <w:rPr>
          <w:rFonts w:ascii="宋体" w:hAnsi="宋体" w:eastAsia="宋体" w:cs="宋体"/>
          <w:spacing w:val="-1"/>
          <w:sz w:val="21"/>
          <w:szCs w:val="21"/>
        </w:rPr>
        <w:t>款约定由发包人提供的材料</w:t>
      </w:r>
      <w:r>
        <w:rPr>
          <w:rFonts w:ascii="宋体" w:hAnsi="宋体" w:eastAsia="宋体" w:cs="宋体"/>
          <w:spacing w:val="-2"/>
          <w:sz w:val="21"/>
          <w:szCs w:val="21"/>
        </w:rPr>
        <w:t>和工程设备和第</w:t>
      </w:r>
      <w:r>
        <w:rPr>
          <w:rFonts w:ascii="宋体" w:hAnsi="宋体" w:eastAsia="宋体" w:cs="宋体"/>
          <w:spacing w:val="-54"/>
          <w:sz w:val="21"/>
          <w:szCs w:val="21"/>
        </w:rPr>
        <w:t xml:space="preserve"> </w:t>
      </w:r>
      <w:r>
        <w:rPr>
          <w:rFonts w:ascii="宋体" w:hAnsi="宋体" w:eastAsia="宋体" w:cs="宋体"/>
          <w:spacing w:val="-2"/>
          <w:sz w:val="21"/>
          <w:szCs w:val="21"/>
        </w:rPr>
        <w:t>6.2</w:t>
      </w:r>
      <w:r>
        <w:rPr>
          <w:rFonts w:ascii="宋体" w:hAnsi="宋体" w:eastAsia="宋体" w:cs="宋体"/>
          <w:spacing w:val="-50"/>
          <w:sz w:val="21"/>
          <w:szCs w:val="21"/>
        </w:rPr>
        <w:t xml:space="preserve"> </w:t>
      </w:r>
      <w:r>
        <w:rPr>
          <w:rFonts w:ascii="宋体" w:hAnsi="宋体" w:eastAsia="宋体" w:cs="宋体"/>
          <w:spacing w:val="-2"/>
          <w:sz w:val="21"/>
          <w:szCs w:val="21"/>
        </w:rPr>
        <w:t>款约定由</w:t>
      </w:r>
      <w:r>
        <w:rPr>
          <w:rFonts w:ascii="宋体" w:hAnsi="宋体" w:eastAsia="宋体" w:cs="宋体"/>
          <w:spacing w:val="-5"/>
          <w:sz w:val="21"/>
          <w:szCs w:val="21"/>
        </w:rPr>
        <w:t>发包人提供的施工设备和临时设施外，承包人应负责提供为完成合同工作所需的劳务、材料、</w:t>
      </w:r>
      <w:r>
        <w:rPr>
          <w:rFonts w:ascii="宋体" w:hAnsi="宋体" w:eastAsia="宋体" w:cs="宋体"/>
          <w:sz w:val="21"/>
          <w:szCs w:val="21"/>
        </w:rPr>
        <w:t>施工设备、工程设备和其他物品，并按合同约</w:t>
      </w:r>
      <w:r>
        <w:rPr>
          <w:rFonts w:ascii="宋体" w:hAnsi="宋体" w:eastAsia="宋体" w:cs="宋体"/>
          <w:spacing w:val="-1"/>
          <w:sz w:val="21"/>
          <w:szCs w:val="21"/>
        </w:rPr>
        <w:t>定负责临时设施的设计、建造、运行、维护、</w:t>
      </w:r>
      <w:r>
        <w:rPr>
          <w:rFonts w:ascii="宋体" w:hAnsi="宋体" w:eastAsia="宋体" w:cs="宋体"/>
          <w:spacing w:val="-5"/>
          <w:sz w:val="21"/>
          <w:szCs w:val="21"/>
        </w:rPr>
        <w:t>管理和拆除。</w:t>
      </w:r>
    </w:p>
    <w:p w14:paraId="1BA2AD23">
      <w:pPr>
        <w:spacing w:before="1" w:line="218" w:lineRule="auto"/>
        <w:ind w:left="443"/>
        <w:rPr>
          <w:rFonts w:ascii="宋体" w:hAnsi="宋体" w:eastAsia="宋体" w:cs="宋体"/>
          <w:sz w:val="21"/>
          <w:szCs w:val="21"/>
        </w:rPr>
      </w:pPr>
      <w:r>
        <w:rPr>
          <w:rFonts w:ascii="宋体" w:hAnsi="宋体" w:eastAsia="宋体" w:cs="宋体"/>
          <w:b/>
          <w:bCs/>
          <w:sz w:val="21"/>
          <w:szCs w:val="21"/>
        </w:rPr>
        <w:t>4.1.8</w:t>
      </w:r>
      <w:r>
        <w:rPr>
          <w:rFonts w:ascii="宋体" w:hAnsi="宋体" w:eastAsia="宋体" w:cs="宋体"/>
          <w:spacing w:val="-31"/>
          <w:sz w:val="21"/>
          <w:szCs w:val="21"/>
        </w:rPr>
        <w:t xml:space="preserve"> </w:t>
      </w:r>
      <w:r>
        <w:rPr>
          <w:rFonts w:ascii="宋体" w:hAnsi="宋体" w:eastAsia="宋体" w:cs="宋体"/>
          <w:b/>
          <w:bCs/>
          <w:sz w:val="21"/>
          <w:szCs w:val="21"/>
        </w:rPr>
        <w:t>为他人提供方便</w:t>
      </w:r>
    </w:p>
    <w:p w14:paraId="3BC0AAE4">
      <w:pPr>
        <w:spacing w:line="218" w:lineRule="auto"/>
        <w:rPr>
          <w:rFonts w:ascii="宋体" w:hAnsi="宋体" w:eastAsia="宋体" w:cs="宋体"/>
          <w:sz w:val="21"/>
          <w:szCs w:val="21"/>
        </w:rPr>
        <w:sectPr>
          <w:footerReference r:id="rId117" w:type="default"/>
          <w:pgSz w:w="11910" w:h="16845"/>
          <w:pgMar w:top="400" w:right="1688" w:bottom="1110" w:left="1786" w:header="0" w:footer="883" w:gutter="0"/>
          <w:cols w:space="720" w:num="1"/>
        </w:sectPr>
      </w:pPr>
    </w:p>
    <w:p w14:paraId="49B83FC4">
      <w:pPr>
        <w:pStyle w:val="2"/>
        <w:spacing w:line="275" w:lineRule="auto"/>
      </w:pPr>
    </w:p>
    <w:p w14:paraId="3D4652DC">
      <w:pPr>
        <w:pStyle w:val="2"/>
        <w:spacing w:line="275" w:lineRule="auto"/>
      </w:pPr>
    </w:p>
    <w:p w14:paraId="26F7DFD2">
      <w:pPr>
        <w:pStyle w:val="2"/>
        <w:spacing w:line="275" w:lineRule="auto"/>
      </w:pPr>
    </w:p>
    <w:p w14:paraId="672700A8">
      <w:pPr>
        <w:pStyle w:val="2"/>
        <w:spacing w:line="276" w:lineRule="auto"/>
      </w:pPr>
    </w:p>
    <w:p w14:paraId="1CA237C4">
      <w:pPr>
        <w:spacing w:before="68" w:line="344" w:lineRule="auto"/>
        <w:ind w:left="27" w:right="47" w:firstLine="454"/>
        <w:jc w:val="both"/>
        <w:rPr>
          <w:rFonts w:ascii="宋体" w:hAnsi="宋体" w:eastAsia="宋体" w:cs="宋体"/>
          <w:sz w:val="21"/>
          <w:szCs w:val="21"/>
        </w:rPr>
      </w:pPr>
      <w:r>
        <w:rPr>
          <w:rFonts w:ascii="宋体" w:hAnsi="宋体" w:eastAsia="宋体" w:cs="宋体"/>
          <w:spacing w:val="-1"/>
          <w:sz w:val="21"/>
          <w:szCs w:val="21"/>
        </w:rPr>
        <w:t>(1)承包人应当对在施工场地或者附近实施与合同工程有关的其他工作的独立承包人履</w:t>
      </w:r>
      <w:r>
        <w:rPr>
          <w:rFonts w:ascii="宋体" w:hAnsi="宋体" w:eastAsia="宋体" w:cs="宋体"/>
          <w:spacing w:val="-2"/>
          <w:sz w:val="21"/>
          <w:szCs w:val="21"/>
        </w:rPr>
        <w:t>行管理、协调、配合、照管和服务义务，由此发生的费用被认为已经包括在承包人的签约合同价</w:t>
      </w:r>
      <w:r>
        <w:rPr>
          <w:rFonts w:ascii="宋体" w:hAnsi="宋体" w:eastAsia="宋体" w:cs="宋体"/>
          <w:spacing w:val="-60"/>
          <w:sz w:val="21"/>
          <w:szCs w:val="21"/>
        </w:rPr>
        <w:t xml:space="preserve"> </w:t>
      </w:r>
      <w:r>
        <w:rPr>
          <w:rFonts w:ascii="宋体" w:hAnsi="宋体" w:eastAsia="宋体" w:cs="宋体"/>
          <w:spacing w:val="-2"/>
          <w:sz w:val="21"/>
          <w:szCs w:val="21"/>
        </w:rPr>
        <w:t>(投标总报价)中，具体工作内容和要求包括：</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5739CE35">
      <w:pPr>
        <w:spacing w:before="131" w:line="46" w:lineRule="exact"/>
        <w:jc w:val="right"/>
        <w:rPr>
          <w:rFonts w:ascii="宋体" w:hAnsi="宋体" w:eastAsia="宋体" w:cs="宋体"/>
          <w:sz w:val="21"/>
          <w:szCs w:val="21"/>
        </w:rPr>
      </w:pPr>
      <w:r>
        <w:pict>
          <v:shape id="_x0000_s1029" o:spid="_x0000_s1029" o:spt="202" type="#_x0000_t202" style="position:absolute;left:0pt;margin-left:-0.2pt;margin-top:-0.1pt;height:14.1pt;width:412.05pt;z-index:251673600;mso-width-relative:page;mso-height-relative:page;" filled="f" stroked="f" coordsize="21600,21600">
            <v:path/>
            <v:fill on="f" focussize="0,0"/>
            <v:stroke on="f"/>
            <v:imagedata o:title=""/>
            <o:lock v:ext="edit" aspectratio="f"/>
            <v:textbox inset="0mm,0mm,0mm,0mm">
              <w:txbxContent>
                <w:p w14:paraId="77BEEF92">
                  <w:pPr>
                    <w:pStyle w:val="2"/>
                    <w:tabs>
                      <w:tab w:val="left" w:pos="8220"/>
                    </w:tabs>
                    <w:spacing w:before="20"/>
                    <w:ind w:left="20"/>
                  </w:pPr>
                  <w:r>
                    <w:rPr>
                      <w:u w:val="single" w:color="auto"/>
                    </w:rPr>
                    <w:tab/>
                  </w:r>
                </w:p>
              </w:txbxContent>
            </v:textbox>
          </v:shape>
        </w:pict>
      </w:r>
      <w:r>
        <w:rPr>
          <w:rFonts w:ascii="宋体" w:hAnsi="宋体" w:eastAsia="宋体" w:cs="宋体"/>
          <w:spacing w:val="-56"/>
          <w:w w:val="98"/>
          <w:position w:val="-1"/>
          <w:sz w:val="21"/>
          <w:szCs w:val="21"/>
        </w:rPr>
        <w:t>。</w:t>
      </w:r>
    </w:p>
    <w:p w14:paraId="549BEB13">
      <w:pPr>
        <w:spacing w:before="209" w:line="343" w:lineRule="auto"/>
        <w:ind w:left="26" w:right="75" w:firstLine="454"/>
        <w:rPr>
          <w:rFonts w:ascii="宋体" w:hAnsi="宋体" w:eastAsia="宋体" w:cs="宋体"/>
          <w:sz w:val="21"/>
          <w:szCs w:val="21"/>
        </w:rPr>
      </w:pPr>
      <w:r>
        <w:rPr>
          <w:rFonts w:ascii="宋体" w:hAnsi="宋体" w:eastAsia="宋体" w:cs="宋体"/>
          <w:spacing w:val="-1"/>
          <w:sz w:val="21"/>
          <w:szCs w:val="21"/>
        </w:rPr>
        <w:t>(2)承包人还应按监理人指示为独立承包人以外的他人在施工场地或者附近实施与合同工程有关的其他工作提供可能的条件，可能发生费用由监理人按第</w:t>
      </w:r>
      <w:r>
        <w:rPr>
          <w:rFonts w:ascii="宋体" w:hAnsi="宋体" w:eastAsia="宋体" w:cs="宋体"/>
          <w:spacing w:val="-39"/>
          <w:sz w:val="21"/>
          <w:szCs w:val="21"/>
        </w:rPr>
        <w:t xml:space="preserve"> </w:t>
      </w:r>
      <w:r>
        <w:rPr>
          <w:rFonts w:ascii="宋体" w:hAnsi="宋体" w:eastAsia="宋体" w:cs="宋体"/>
          <w:spacing w:val="-1"/>
          <w:sz w:val="21"/>
          <w:szCs w:val="21"/>
        </w:rPr>
        <w:t>3.5</w:t>
      </w:r>
      <w:r>
        <w:rPr>
          <w:rFonts w:ascii="宋体" w:hAnsi="宋体" w:eastAsia="宋体" w:cs="宋体"/>
          <w:spacing w:val="-36"/>
          <w:sz w:val="21"/>
          <w:szCs w:val="21"/>
        </w:rPr>
        <w:t xml:space="preserve"> </w:t>
      </w:r>
      <w:r>
        <w:rPr>
          <w:rFonts w:ascii="宋体" w:hAnsi="宋体" w:eastAsia="宋体" w:cs="宋体"/>
          <w:spacing w:val="-1"/>
          <w:sz w:val="21"/>
          <w:szCs w:val="21"/>
        </w:rPr>
        <w:t>款商定或者确</w:t>
      </w:r>
      <w:r>
        <w:rPr>
          <w:rFonts w:ascii="宋体" w:hAnsi="宋体" w:eastAsia="宋体" w:cs="宋体"/>
          <w:spacing w:val="-2"/>
          <w:sz w:val="21"/>
          <w:szCs w:val="21"/>
        </w:rPr>
        <w:t>定。</w:t>
      </w:r>
    </w:p>
    <w:p w14:paraId="0F304FBD">
      <w:pPr>
        <w:spacing w:line="219" w:lineRule="auto"/>
        <w:ind w:left="443"/>
        <w:rPr>
          <w:rFonts w:ascii="宋体" w:hAnsi="宋体" w:eastAsia="宋体" w:cs="宋体"/>
          <w:sz w:val="21"/>
          <w:szCs w:val="21"/>
        </w:rPr>
      </w:pPr>
      <w:r>
        <w:rPr>
          <w:rFonts w:ascii="宋体" w:hAnsi="宋体" w:eastAsia="宋体" w:cs="宋体"/>
          <w:b/>
          <w:bCs/>
          <w:sz w:val="21"/>
          <w:szCs w:val="21"/>
        </w:rPr>
        <w:t>4.1.10</w:t>
      </w:r>
      <w:r>
        <w:rPr>
          <w:rFonts w:ascii="宋体" w:hAnsi="宋体" w:eastAsia="宋体" w:cs="宋体"/>
          <w:spacing w:val="-27"/>
          <w:sz w:val="21"/>
          <w:szCs w:val="21"/>
        </w:rPr>
        <w:t xml:space="preserve"> </w:t>
      </w:r>
      <w:r>
        <w:rPr>
          <w:rFonts w:ascii="宋体" w:hAnsi="宋体" w:eastAsia="宋体" w:cs="宋体"/>
          <w:b/>
          <w:bCs/>
          <w:sz w:val="21"/>
          <w:szCs w:val="21"/>
        </w:rPr>
        <w:t>其他义务</w:t>
      </w:r>
    </w:p>
    <w:p w14:paraId="3DDA6850">
      <w:pPr>
        <w:spacing w:before="140" w:line="344" w:lineRule="auto"/>
        <w:ind w:left="23" w:right="47" w:firstLine="458"/>
        <w:jc w:val="both"/>
        <w:rPr>
          <w:rFonts w:ascii="宋体" w:hAnsi="宋体" w:eastAsia="宋体" w:cs="宋体"/>
          <w:sz w:val="21"/>
          <w:szCs w:val="21"/>
        </w:rPr>
      </w:pPr>
      <w:r>
        <w:rPr>
          <w:rFonts w:ascii="宋体" w:hAnsi="宋体" w:eastAsia="宋体" w:cs="宋体"/>
          <w:spacing w:val="-1"/>
          <w:sz w:val="21"/>
          <w:szCs w:val="21"/>
        </w:rPr>
        <w:t>(1)根据发包人委托，在其设计资质等级和业务允许的范围内，完成施工图设计或与工</w:t>
      </w:r>
      <w:r>
        <w:rPr>
          <w:rFonts w:ascii="宋体" w:hAnsi="宋体" w:eastAsia="宋体" w:cs="宋体"/>
          <w:spacing w:val="-2"/>
          <w:sz w:val="21"/>
          <w:szCs w:val="21"/>
        </w:rPr>
        <w:t>程配套的设计，经监理人确认后使用，发包人承担由此发生的费用和合理利润。由承</w:t>
      </w:r>
      <w:r>
        <w:rPr>
          <w:rFonts w:ascii="宋体" w:hAnsi="宋体" w:eastAsia="宋体" w:cs="宋体"/>
          <w:spacing w:val="-3"/>
          <w:sz w:val="21"/>
          <w:szCs w:val="21"/>
        </w:rPr>
        <w:t>包人负责完成的设计文件属于合同条款第</w:t>
      </w:r>
      <w:r>
        <w:rPr>
          <w:rFonts w:ascii="宋体" w:hAnsi="宋体" w:eastAsia="宋体" w:cs="宋体"/>
          <w:spacing w:val="-15"/>
          <w:sz w:val="21"/>
          <w:szCs w:val="21"/>
        </w:rPr>
        <w:t xml:space="preserve"> </w:t>
      </w:r>
      <w:r>
        <w:rPr>
          <w:rFonts w:ascii="宋体" w:hAnsi="宋体" w:eastAsia="宋体" w:cs="宋体"/>
          <w:spacing w:val="-3"/>
          <w:sz w:val="21"/>
          <w:szCs w:val="21"/>
        </w:rPr>
        <w:t>1.6.2</w:t>
      </w:r>
      <w:r>
        <w:rPr>
          <w:rFonts w:ascii="宋体" w:hAnsi="宋体" w:eastAsia="宋体" w:cs="宋体"/>
          <w:spacing w:val="-33"/>
          <w:sz w:val="21"/>
          <w:szCs w:val="21"/>
        </w:rPr>
        <w:t xml:space="preserve"> </w:t>
      </w:r>
      <w:r>
        <w:rPr>
          <w:rFonts w:ascii="宋体" w:hAnsi="宋体" w:eastAsia="宋体" w:cs="宋体"/>
          <w:spacing w:val="-3"/>
          <w:sz w:val="21"/>
          <w:szCs w:val="21"/>
        </w:rPr>
        <w:t>项约定的承包人提供的文件，承包人应按照专用合同条款第</w:t>
      </w:r>
      <w:r>
        <w:rPr>
          <w:rFonts w:ascii="宋体" w:hAnsi="宋体" w:eastAsia="宋体" w:cs="宋体"/>
          <w:spacing w:val="-13"/>
          <w:sz w:val="21"/>
          <w:szCs w:val="21"/>
        </w:rPr>
        <w:t xml:space="preserve"> </w:t>
      </w:r>
      <w:r>
        <w:rPr>
          <w:rFonts w:ascii="宋体" w:hAnsi="宋体" w:eastAsia="宋体" w:cs="宋体"/>
          <w:spacing w:val="-3"/>
          <w:sz w:val="21"/>
          <w:szCs w:val="21"/>
        </w:rPr>
        <w:t>1.6.2</w:t>
      </w:r>
      <w:r>
        <w:rPr>
          <w:rFonts w:ascii="宋体" w:hAnsi="宋体" w:eastAsia="宋体" w:cs="宋体"/>
          <w:spacing w:val="-33"/>
          <w:sz w:val="21"/>
          <w:szCs w:val="21"/>
        </w:rPr>
        <w:t xml:space="preserve"> </w:t>
      </w:r>
      <w:r>
        <w:rPr>
          <w:rFonts w:ascii="宋体" w:hAnsi="宋体" w:eastAsia="宋体" w:cs="宋体"/>
          <w:spacing w:val="-3"/>
          <w:sz w:val="21"/>
          <w:szCs w:val="21"/>
        </w:rPr>
        <w:t>项约定的期限和数量提交，由此发生的费用被认为已经包括在承包人的签约</w:t>
      </w:r>
      <w:r>
        <w:rPr>
          <w:rFonts w:ascii="宋体" w:hAnsi="宋体" w:eastAsia="宋体" w:cs="宋体"/>
          <w:spacing w:val="-1"/>
          <w:sz w:val="21"/>
          <w:szCs w:val="21"/>
        </w:rPr>
        <w:t>合同价</w:t>
      </w:r>
      <w:r>
        <w:rPr>
          <w:rFonts w:ascii="宋体" w:hAnsi="宋体" w:eastAsia="宋体" w:cs="宋体"/>
          <w:spacing w:val="-61"/>
          <w:sz w:val="21"/>
          <w:szCs w:val="21"/>
        </w:rPr>
        <w:t xml:space="preserve"> </w:t>
      </w:r>
      <w:r>
        <w:rPr>
          <w:rFonts w:ascii="宋体" w:hAnsi="宋体" w:eastAsia="宋体" w:cs="宋体"/>
          <w:spacing w:val="-1"/>
          <w:sz w:val="21"/>
          <w:szCs w:val="21"/>
        </w:rPr>
        <w:t>(投标总报价)中。由承包人承担的施工图设计或与工程配套的设计</w:t>
      </w:r>
      <w:r>
        <w:rPr>
          <w:rFonts w:ascii="宋体" w:hAnsi="宋体" w:eastAsia="宋体" w:cs="宋体"/>
          <w:spacing w:val="-2"/>
          <w:sz w:val="21"/>
          <w:szCs w:val="21"/>
        </w:rPr>
        <w:t>工作内容：</w:t>
      </w:r>
      <w:r>
        <w:rPr>
          <w:rFonts w:ascii="宋体" w:hAnsi="宋体" w:eastAsia="宋体" w:cs="宋体"/>
          <w:sz w:val="21"/>
          <w:szCs w:val="21"/>
          <w:u w:val="single" w:color="auto"/>
        </w:rPr>
        <w:t xml:space="preserve">      </w:t>
      </w:r>
    </w:p>
    <w:p w14:paraId="17C7350D">
      <w:pPr>
        <w:spacing w:before="132" w:line="46" w:lineRule="exact"/>
        <w:jc w:val="right"/>
        <w:rPr>
          <w:rFonts w:ascii="宋体" w:hAnsi="宋体" w:eastAsia="宋体" w:cs="宋体"/>
          <w:sz w:val="21"/>
          <w:szCs w:val="21"/>
        </w:rPr>
      </w:pPr>
      <w:r>
        <w:pict>
          <v:shape id="_x0000_s1030" o:spid="_x0000_s1030" o:spt="202" type="#_x0000_t202" style="position:absolute;left:0pt;margin-left:-0.2pt;margin-top:-0.1pt;height:14.1pt;width:412.05pt;z-index:251672576;mso-width-relative:page;mso-height-relative:page;" filled="f" stroked="f" coordsize="21600,21600">
            <v:path/>
            <v:fill on="f" focussize="0,0"/>
            <v:stroke on="f"/>
            <v:imagedata o:title=""/>
            <o:lock v:ext="edit" aspectratio="f"/>
            <v:textbox inset="0mm,0mm,0mm,0mm">
              <w:txbxContent>
                <w:p w14:paraId="252FF562">
                  <w:pPr>
                    <w:pStyle w:val="2"/>
                    <w:tabs>
                      <w:tab w:val="left" w:pos="8220"/>
                    </w:tabs>
                    <w:spacing w:before="20"/>
                    <w:ind w:left="20"/>
                  </w:pPr>
                  <w:r>
                    <w:rPr>
                      <w:u w:val="single" w:color="auto"/>
                    </w:rPr>
                    <w:tab/>
                  </w:r>
                </w:p>
              </w:txbxContent>
            </v:textbox>
          </v:shape>
        </w:pict>
      </w:r>
      <w:r>
        <w:rPr>
          <w:rFonts w:ascii="宋体" w:hAnsi="宋体" w:eastAsia="宋体" w:cs="宋体"/>
          <w:spacing w:val="-56"/>
          <w:w w:val="98"/>
          <w:position w:val="-1"/>
          <w:sz w:val="21"/>
          <w:szCs w:val="21"/>
        </w:rPr>
        <w:t>。</w:t>
      </w:r>
    </w:p>
    <w:p w14:paraId="1CD8A567">
      <w:pPr>
        <w:spacing w:before="208" w:line="220" w:lineRule="auto"/>
        <w:ind w:left="481"/>
        <w:rPr>
          <w:rFonts w:ascii="宋体" w:hAnsi="宋体" w:eastAsia="宋体" w:cs="宋体"/>
          <w:sz w:val="21"/>
          <w:szCs w:val="21"/>
        </w:rPr>
      </w:pPr>
      <w:r>
        <w:rPr>
          <w:rFonts w:ascii="宋体" w:hAnsi="宋体" w:eastAsia="宋体" w:cs="宋体"/>
          <w:spacing w:val="-2"/>
          <w:sz w:val="21"/>
          <w:szCs w:val="21"/>
        </w:rPr>
        <w:t>(2)承包人应履行合同约定的其他义务以及下述义务：</w:t>
      </w:r>
      <w:r>
        <w:rPr>
          <w:rFonts w:ascii="宋体" w:hAnsi="宋体" w:eastAsia="宋体" w:cs="宋体"/>
          <w:sz w:val="21"/>
          <w:szCs w:val="21"/>
          <w:u w:val="single" w:color="auto"/>
        </w:rPr>
        <w:t xml:space="preserve">                             </w:t>
      </w:r>
    </w:p>
    <w:p w14:paraId="02FE2C94">
      <w:pPr>
        <w:spacing w:before="276" w:line="46" w:lineRule="exact"/>
        <w:jc w:val="right"/>
        <w:rPr>
          <w:rFonts w:ascii="宋体" w:hAnsi="宋体" w:eastAsia="宋体" w:cs="宋体"/>
          <w:sz w:val="21"/>
          <w:szCs w:val="21"/>
        </w:rPr>
      </w:pPr>
      <w:r>
        <w:pict>
          <v:shape id="_x0000_s1031" o:spid="_x0000_s1031" o:spt="202" type="#_x0000_t202" style="position:absolute;left:0pt;margin-left:-0.2pt;margin-top:7.05pt;height:34.35pt;width:412.05pt;z-index:251671552;mso-width-relative:page;mso-height-relative:page;" filled="f" stroked="f" coordsize="21600,21600">
            <v:path/>
            <v:fill on="f" focussize="0,0"/>
            <v:stroke on="f"/>
            <v:imagedata o:title=""/>
            <o:lock v:ext="edit" aspectratio="f"/>
            <v:textbox inset="0mm,0mm,0mm,0mm">
              <w:txbxContent>
                <w:p w14:paraId="163E809A">
                  <w:pPr>
                    <w:pStyle w:val="2"/>
                    <w:tabs>
                      <w:tab w:val="left" w:pos="8220"/>
                    </w:tabs>
                    <w:spacing w:before="19"/>
                    <w:ind w:left="20"/>
                  </w:pPr>
                  <w:r>
                    <w:rPr>
                      <w:u w:val="single" w:color="auto"/>
                    </w:rPr>
                    <w:tab/>
                  </w:r>
                </w:p>
                <w:p w14:paraId="421F8B3A">
                  <w:pPr>
                    <w:spacing w:before="101" w:line="233" w:lineRule="auto"/>
                    <w:ind w:left="23"/>
                    <w:outlineLvl w:val="1"/>
                    <w:rPr>
                      <w:rFonts w:ascii="黑体" w:hAnsi="黑体" w:eastAsia="黑体" w:cs="黑体"/>
                      <w:sz w:val="24"/>
                      <w:szCs w:val="24"/>
                    </w:rPr>
                  </w:pPr>
                  <w:bookmarkStart w:id="676" w:name="bookmark660"/>
                  <w:bookmarkEnd w:id="676"/>
                  <w:r>
                    <w:rPr>
                      <w:rFonts w:ascii="Times New Roman" w:hAnsi="Times New Roman" w:eastAsia="Times New Roman" w:cs="Times New Roman"/>
                      <w:spacing w:val="-1"/>
                      <w:sz w:val="24"/>
                      <w:szCs w:val="24"/>
                    </w:rPr>
                    <w:t xml:space="preserve">4.2 </w:t>
                  </w:r>
                  <w:r>
                    <w:rPr>
                      <w:rFonts w:ascii="黑体" w:hAnsi="黑体" w:eastAsia="黑体" w:cs="黑体"/>
                      <w:spacing w:val="-1"/>
                      <w:sz w:val="24"/>
                      <w:szCs w:val="24"/>
                    </w:rPr>
                    <w:t>履约担保</w:t>
                  </w:r>
                </w:p>
              </w:txbxContent>
            </v:textbox>
          </v:shape>
        </w:pict>
      </w:r>
      <w:r>
        <w:rPr>
          <w:rFonts w:ascii="宋体" w:hAnsi="宋体" w:eastAsia="宋体" w:cs="宋体"/>
          <w:spacing w:val="-56"/>
          <w:w w:val="98"/>
          <w:position w:val="-1"/>
          <w:sz w:val="21"/>
          <w:szCs w:val="21"/>
        </w:rPr>
        <w:t>。</w:t>
      </w:r>
    </w:p>
    <w:p w14:paraId="5CC3834E">
      <w:pPr>
        <w:pStyle w:val="2"/>
        <w:spacing w:line="271" w:lineRule="auto"/>
      </w:pPr>
    </w:p>
    <w:p w14:paraId="49F9C163">
      <w:pPr>
        <w:pStyle w:val="2"/>
        <w:spacing w:line="271" w:lineRule="auto"/>
      </w:pPr>
    </w:p>
    <w:p w14:paraId="454C75EF">
      <w:pPr>
        <w:spacing w:before="68" w:line="220" w:lineRule="auto"/>
        <w:ind w:left="443"/>
        <w:rPr>
          <w:rFonts w:ascii="宋体" w:hAnsi="宋体" w:eastAsia="宋体" w:cs="宋体"/>
          <w:sz w:val="21"/>
          <w:szCs w:val="21"/>
        </w:rPr>
      </w:pPr>
      <w:bookmarkStart w:id="245" w:name="bookmark211"/>
      <w:bookmarkEnd w:id="245"/>
      <w:r>
        <w:rPr>
          <w:rFonts w:ascii="宋体" w:hAnsi="宋体" w:eastAsia="宋体" w:cs="宋体"/>
          <w:b/>
          <w:bCs/>
          <w:spacing w:val="-1"/>
          <w:sz w:val="21"/>
          <w:szCs w:val="21"/>
        </w:rPr>
        <w:t>4.2.1</w:t>
      </w:r>
      <w:r>
        <w:rPr>
          <w:rFonts w:ascii="宋体" w:hAnsi="宋体" w:eastAsia="宋体" w:cs="宋体"/>
          <w:spacing w:val="-21"/>
          <w:sz w:val="21"/>
          <w:szCs w:val="21"/>
        </w:rPr>
        <w:t xml:space="preserve"> </w:t>
      </w:r>
      <w:r>
        <w:rPr>
          <w:rFonts w:ascii="宋体" w:hAnsi="宋体" w:eastAsia="宋体" w:cs="宋体"/>
          <w:b/>
          <w:bCs/>
          <w:spacing w:val="-1"/>
          <w:sz w:val="21"/>
          <w:szCs w:val="21"/>
        </w:rPr>
        <w:t>履约担保的格式和金额</w:t>
      </w:r>
    </w:p>
    <w:p w14:paraId="7C3FF212">
      <w:pPr>
        <w:spacing w:before="142" w:line="343" w:lineRule="auto"/>
        <w:ind w:left="25" w:right="60" w:firstLine="419"/>
        <w:jc w:val="both"/>
        <w:rPr>
          <w:rFonts w:ascii="宋体" w:hAnsi="宋体" w:eastAsia="宋体" w:cs="宋体"/>
          <w:sz w:val="21"/>
          <w:szCs w:val="21"/>
        </w:rPr>
      </w:pPr>
      <w:r>
        <w:rPr>
          <w:rFonts w:ascii="宋体" w:hAnsi="宋体" w:eastAsia="宋体" w:cs="宋体"/>
          <w:spacing w:val="-2"/>
          <w:sz w:val="21"/>
          <w:szCs w:val="21"/>
        </w:rPr>
        <w:t>承包人应在签订合同前，按照发包人在招标文件中规定的格式或者其他经</w:t>
      </w:r>
      <w:r>
        <w:rPr>
          <w:rFonts w:ascii="宋体" w:hAnsi="宋体" w:eastAsia="宋体" w:cs="宋体"/>
          <w:spacing w:val="-3"/>
          <w:sz w:val="21"/>
          <w:szCs w:val="21"/>
        </w:rPr>
        <w:t>过发包人认可</w:t>
      </w:r>
      <w:r>
        <w:rPr>
          <w:rFonts w:ascii="宋体" w:hAnsi="宋体" w:eastAsia="宋体" w:cs="宋体"/>
          <w:spacing w:val="-4"/>
          <w:sz w:val="21"/>
          <w:szCs w:val="21"/>
        </w:rPr>
        <w:t>的格式向发包人递交一份履约担保。经过发包人事先书面认可的其他格式的履约担保，</w:t>
      </w:r>
      <w:r>
        <w:rPr>
          <w:rFonts w:ascii="宋体" w:hAnsi="宋体" w:eastAsia="宋体" w:cs="宋体"/>
          <w:spacing w:val="-27"/>
          <w:sz w:val="21"/>
          <w:szCs w:val="21"/>
        </w:rPr>
        <w:t xml:space="preserve"> </w:t>
      </w:r>
      <w:r>
        <w:rPr>
          <w:rFonts w:ascii="宋体" w:hAnsi="宋体" w:eastAsia="宋体" w:cs="宋体"/>
          <w:spacing w:val="-4"/>
          <w:sz w:val="21"/>
          <w:szCs w:val="21"/>
        </w:rPr>
        <w:t>其担</w:t>
      </w:r>
      <w:r>
        <w:rPr>
          <w:rFonts w:ascii="宋体" w:hAnsi="宋体" w:eastAsia="宋体" w:cs="宋体"/>
          <w:spacing w:val="-2"/>
          <w:sz w:val="21"/>
          <w:szCs w:val="21"/>
        </w:rPr>
        <w:t>保条款的实质性内容应当与发包人在招标文件中规定的格式内容保持一致。履约担保的</w:t>
      </w:r>
      <w:r>
        <w:rPr>
          <w:rFonts w:ascii="宋体" w:hAnsi="宋体" w:eastAsia="宋体" w:cs="宋体"/>
          <w:spacing w:val="-3"/>
          <w:sz w:val="21"/>
          <w:szCs w:val="21"/>
        </w:rPr>
        <w:t>金额</w:t>
      </w:r>
      <w:r>
        <w:rPr>
          <w:rFonts w:ascii="宋体" w:hAnsi="宋体" w:eastAsia="宋体" w:cs="宋体"/>
          <w:spacing w:val="-1"/>
          <w:sz w:val="21"/>
          <w:szCs w:val="21"/>
        </w:rPr>
        <w:t>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。履约担保是本合同的附件。</w:t>
      </w:r>
    </w:p>
    <w:p w14:paraId="7861AD17">
      <w:pPr>
        <w:spacing w:line="220" w:lineRule="auto"/>
        <w:ind w:left="443"/>
        <w:rPr>
          <w:rFonts w:ascii="宋体" w:hAnsi="宋体" w:eastAsia="宋体" w:cs="宋体"/>
          <w:sz w:val="21"/>
          <w:szCs w:val="21"/>
        </w:rPr>
      </w:pPr>
      <w:r>
        <w:rPr>
          <w:rFonts w:ascii="宋体" w:hAnsi="宋体" w:eastAsia="宋体" w:cs="宋体"/>
          <w:b/>
          <w:bCs/>
          <w:spacing w:val="-1"/>
          <w:sz w:val="21"/>
          <w:szCs w:val="21"/>
        </w:rPr>
        <w:t>4.2.2</w:t>
      </w:r>
      <w:r>
        <w:rPr>
          <w:rFonts w:ascii="宋体" w:hAnsi="宋体" w:eastAsia="宋体" w:cs="宋体"/>
          <w:spacing w:val="-21"/>
          <w:sz w:val="21"/>
          <w:szCs w:val="21"/>
        </w:rPr>
        <w:t xml:space="preserve"> </w:t>
      </w:r>
      <w:r>
        <w:rPr>
          <w:rFonts w:ascii="宋体" w:hAnsi="宋体" w:eastAsia="宋体" w:cs="宋体"/>
          <w:b/>
          <w:bCs/>
          <w:spacing w:val="-1"/>
          <w:sz w:val="21"/>
          <w:szCs w:val="21"/>
        </w:rPr>
        <w:t>履约担保的有效期</w:t>
      </w:r>
    </w:p>
    <w:p w14:paraId="029B05B4">
      <w:pPr>
        <w:spacing w:before="141" w:line="343" w:lineRule="auto"/>
        <w:ind w:left="9" w:firstLine="438"/>
        <w:jc w:val="both"/>
        <w:rPr>
          <w:rFonts w:ascii="宋体" w:hAnsi="宋体" w:eastAsia="宋体" w:cs="宋体"/>
          <w:sz w:val="21"/>
          <w:szCs w:val="21"/>
        </w:rPr>
      </w:pPr>
      <w:r>
        <w:rPr>
          <w:rFonts w:ascii="宋体" w:hAnsi="宋体" w:eastAsia="宋体" w:cs="宋体"/>
          <w:spacing w:val="3"/>
          <w:sz w:val="21"/>
          <w:szCs w:val="21"/>
        </w:rPr>
        <w:t>履约担保的有效期应当自本合同生效之日起至发包人签认并由监理人向承</w:t>
      </w:r>
      <w:r>
        <w:rPr>
          <w:rFonts w:ascii="宋体" w:hAnsi="宋体" w:eastAsia="宋体" w:cs="宋体"/>
          <w:spacing w:val="2"/>
          <w:sz w:val="21"/>
          <w:szCs w:val="21"/>
        </w:rPr>
        <w:t>包人出具工</w:t>
      </w:r>
      <w:r>
        <w:rPr>
          <w:rFonts w:ascii="宋体" w:hAnsi="宋体" w:eastAsia="宋体" w:cs="宋体"/>
          <w:spacing w:val="-2"/>
          <w:sz w:val="21"/>
          <w:szCs w:val="21"/>
        </w:rPr>
        <w:t>程接收证书之日止。如果承包人无法获得一份不带具体截止日期的担保，履约担保中应当有</w:t>
      </w:r>
      <w:r>
        <w:rPr>
          <w:rFonts w:ascii="宋体" w:hAnsi="宋体" w:eastAsia="宋体" w:cs="宋体"/>
          <w:sz w:val="21"/>
          <w:szCs w:val="21"/>
        </w:rPr>
        <w:t>“变更工程竣工日期的，保证期间按照变更后的竣工日期做相应调整”或类似</w:t>
      </w:r>
      <w:r>
        <w:rPr>
          <w:rFonts w:ascii="宋体" w:hAnsi="宋体" w:eastAsia="宋体" w:cs="宋体"/>
          <w:spacing w:val="-1"/>
          <w:sz w:val="21"/>
          <w:szCs w:val="21"/>
        </w:rPr>
        <w:t>约定的条款。</w:t>
      </w:r>
    </w:p>
    <w:p w14:paraId="6FE9029A">
      <w:pPr>
        <w:spacing w:line="220" w:lineRule="auto"/>
        <w:ind w:left="443"/>
        <w:rPr>
          <w:rFonts w:ascii="宋体" w:hAnsi="宋体" w:eastAsia="宋体" w:cs="宋体"/>
          <w:sz w:val="21"/>
          <w:szCs w:val="21"/>
        </w:rPr>
      </w:pPr>
      <w:r>
        <w:rPr>
          <w:rFonts w:ascii="宋体" w:hAnsi="宋体" w:eastAsia="宋体" w:cs="宋体"/>
          <w:b/>
          <w:bCs/>
          <w:sz w:val="21"/>
          <w:szCs w:val="21"/>
        </w:rPr>
        <w:t>4.2.3</w:t>
      </w:r>
      <w:r>
        <w:rPr>
          <w:rFonts w:ascii="宋体" w:hAnsi="宋体" w:eastAsia="宋体" w:cs="宋体"/>
          <w:spacing w:val="-30"/>
          <w:sz w:val="21"/>
          <w:szCs w:val="21"/>
        </w:rPr>
        <w:t xml:space="preserve"> </w:t>
      </w:r>
      <w:r>
        <w:rPr>
          <w:rFonts w:ascii="宋体" w:hAnsi="宋体" w:eastAsia="宋体" w:cs="宋体"/>
          <w:b/>
          <w:bCs/>
          <w:sz w:val="21"/>
          <w:szCs w:val="21"/>
        </w:rPr>
        <w:t>履约担保的退还</w:t>
      </w:r>
    </w:p>
    <w:p w14:paraId="19FDD3F8">
      <w:pPr>
        <w:spacing w:before="140" w:line="343" w:lineRule="auto"/>
        <w:ind w:left="448" w:right="97"/>
        <w:rPr>
          <w:rFonts w:ascii="宋体" w:hAnsi="宋体" w:eastAsia="宋体" w:cs="宋体"/>
          <w:sz w:val="21"/>
          <w:szCs w:val="21"/>
        </w:rPr>
      </w:pPr>
      <w:r>
        <w:rPr>
          <w:rFonts w:ascii="宋体" w:hAnsi="宋体" w:eastAsia="宋体" w:cs="宋体"/>
          <w:spacing w:val="-2"/>
          <w:sz w:val="21"/>
          <w:szCs w:val="21"/>
        </w:rPr>
        <w:t>履约担保应在监理人向承包人颁发</w:t>
      </w:r>
      <w:r>
        <w:rPr>
          <w:rFonts w:ascii="宋体" w:hAnsi="宋体" w:eastAsia="宋体" w:cs="宋体"/>
          <w:spacing w:val="-63"/>
          <w:sz w:val="21"/>
          <w:szCs w:val="21"/>
        </w:rPr>
        <w:t xml:space="preserve"> </w:t>
      </w:r>
      <w:r>
        <w:rPr>
          <w:rFonts w:ascii="宋体" w:hAnsi="宋体" w:eastAsia="宋体" w:cs="宋体"/>
          <w:spacing w:val="-2"/>
          <w:sz w:val="21"/>
          <w:szCs w:val="21"/>
        </w:rPr>
        <w:t>(出具)工程</w:t>
      </w:r>
      <w:r>
        <w:rPr>
          <w:rFonts w:ascii="宋体" w:hAnsi="宋体" w:eastAsia="宋体" w:cs="宋体"/>
          <w:spacing w:val="-3"/>
          <w:sz w:val="21"/>
          <w:szCs w:val="21"/>
        </w:rPr>
        <w:t>接收证书之日后</w:t>
      </w:r>
      <w:r>
        <w:rPr>
          <w:rFonts w:ascii="宋体" w:hAnsi="宋体" w:eastAsia="宋体" w:cs="宋体"/>
          <w:spacing w:val="-36"/>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天内退还给承包人。</w:t>
      </w:r>
      <w:r>
        <w:rPr>
          <w:rFonts w:ascii="宋体" w:hAnsi="宋体" w:eastAsia="宋体" w:cs="宋体"/>
          <w:spacing w:val="-1"/>
          <w:sz w:val="21"/>
          <w:szCs w:val="21"/>
        </w:rPr>
        <w:t>发包人不承担承包人与履约担保有关的任何利息或其它类似的费用或者收益。</w:t>
      </w:r>
    </w:p>
    <w:p w14:paraId="7B4D68D2">
      <w:pPr>
        <w:spacing w:before="1" w:line="219" w:lineRule="auto"/>
        <w:ind w:left="443"/>
        <w:rPr>
          <w:rFonts w:ascii="宋体" w:hAnsi="宋体" w:eastAsia="宋体" w:cs="宋体"/>
          <w:sz w:val="21"/>
          <w:szCs w:val="21"/>
        </w:rPr>
      </w:pPr>
      <w:r>
        <w:rPr>
          <w:rFonts w:ascii="宋体" w:hAnsi="宋体" w:eastAsia="宋体" w:cs="宋体"/>
          <w:b/>
          <w:bCs/>
          <w:spacing w:val="1"/>
          <w:sz w:val="21"/>
          <w:szCs w:val="21"/>
        </w:rPr>
        <w:t>4.2.4</w:t>
      </w:r>
      <w:r>
        <w:rPr>
          <w:rFonts w:ascii="宋体" w:hAnsi="宋体" w:eastAsia="宋体" w:cs="宋体"/>
          <w:spacing w:val="-34"/>
          <w:sz w:val="21"/>
          <w:szCs w:val="21"/>
        </w:rPr>
        <w:t xml:space="preserve"> </w:t>
      </w:r>
      <w:r>
        <w:rPr>
          <w:rFonts w:ascii="宋体" w:hAnsi="宋体" w:eastAsia="宋体" w:cs="宋体"/>
          <w:b/>
          <w:bCs/>
          <w:spacing w:val="1"/>
          <w:sz w:val="21"/>
          <w:szCs w:val="21"/>
        </w:rPr>
        <w:t>通知义务</w:t>
      </w:r>
    </w:p>
    <w:p w14:paraId="45911586">
      <w:pPr>
        <w:spacing w:before="140" w:line="344" w:lineRule="auto"/>
        <w:ind w:left="24" w:right="50" w:firstLine="423"/>
        <w:jc w:val="both"/>
        <w:rPr>
          <w:rFonts w:ascii="宋体" w:hAnsi="宋体" w:eastAsia="宋体" w:cs="宋体"/>
          <w:sz w:val="21"/>
          <w:szCs w:val="21"/>
        </w:rPr>
      </w:pPr>
      <w:r>
        <w:rPr>
          <w:rFonts w:ascii="宋体" w:hAnsi="宋体" w:eastAsia="宋体" w:cs="宋体"/>
          <w:sz w:val="21"/>
          <w:szCs w:val="21"/>
        </w:rPr>
        <w:t>不管履约担保条款中如何约定，发包人根据</w:t>
      </w:r>
      <w:r>
        <w:rPr>
          <w:rFonts w:ascii="宋体" w:hAnsi="宋体" w:eastAsia="宋体" w:cs="宋体"/>
          <w:spacing w:val="-1"/>
          <w:sz w:val="21"/>
          <w:szCs w:val="21"/>
        </w:rPr>
        <w:t>担保条款提出索赔或兑现要求</w:t>
      </w:r>
      <w:r>
        <w:rPr>
          <w:rFonts w:ascii="宋体" w:hAnsi="宋体" w:eastAsia="宋体" w:cs="宋体"/>
          <w:spacing w:val="-41"/>
          <w:sz w:val="21"/>
          <w:szCs w:val="21"/>
        </w:rPr>
        <w:t xml:space="preserve"> </w:t>
      </w:r>
      <w:r>
        <w:rPr>
          <w:rFonts w:ascii="宋体" w:hAnsi="宋体" w:eastAsia="宋体" w:cs="宋体"/>
          <w:spacing w:val="-1"/>
          <w:sz w:val="21"/>
          <w:szCs w:val="21"/>
        </w:rPr>
        <w:t>28</w:t>
      </w:r>
      <w:r>
        <w:rPr>
          <w:rFonts w:ascii="宋体" w:hAnsi="宋体" w:eastAsia="宋体" w:cs="宋体"/>
          <w:spacing w:val="-33"/>
          <w:sz w:val="21"/>
          <w:szCs w:val="21"/>
        </w:rPr>
        <w:t xml:space="preserve"> </w:t>
      </w:r>
      <w:r>
        <w:rPr>
          <w:rFonts w:ascii="宋体" w:hAnsi="宋体" w:eastAsia="宋体" w:cs="宋体"/>
          <w:spacing w:val="-1"/>
          <w:sz w:val="21"/>
          <w:szCs w:val="21"/>
        </w:rPr>
        <w:t>天前，应</w:t>
      </w:r>
      <w:r>
        <w:rPr>
          <w:rFonts w:ascii="宋体" w:hAnsi="宋体" w:eastAsia="宋体" w:cs="宋体"/>
          <w:spacing w:val="8"/>
          <w:sz w:val="21"/>
          <w:szCs w:val="21"/>
        </w:rPr>
        <w:t>通知承包人并说明导致此类索赔或兑现的违约性质或原因。相应地，</w:t>
      </w:r>
      <w:r>
        <w:rPr>
          <w:rFonts w:ascii="宋体" w:hAnsi="宋体" w:eastAsia="宋体" w:cs="宋体"/>
          <w:spacing w:val="-60"/>
          <w:sz w:val="21"/>
          <w:szCs w:val="21"/>
        </w:rPr>
        <w:t xml:space="preserve"> </w:t>
      </w:r>
      <w:r>
        <w:rPr>
          <w:rFonts w:ascii="宋体" w:hAnsi="宋体" w:eastAsia="宋体" w:cs="宋体"/>
          <w:spacing w:val="8"/>
          <w:sz w:val="21"/>
          <w:szCs w:val="21"/>
        </w:rPr>
        <w:t>不管专用合同条款</w:t>
      </w:r>
      <w:r>
        <w:rPr>
          <w:rFonts w:ascii="宋体" w:hAnsi="宋体" w:eastAsia="宋体" w:cs="宋体"/>
          <w:spacing w:val="-1"/>
          <w:sz w:val="21"/>
          <w:szCs w:val="21"/>
        </w:rPr>
        <w:t>2.8(1)</w:t>
      </w:r>
      <w:r>
        <w:rPr>
          <w:rFonts w:ascii="宋体" w:hAnsi="宋体" w:eastAsia="宋体" w:cs="宋体"/>
          <w:spacing w:val="-56"/>
          <w:sz w:val="21"/>
          <w:szCs w:val="21"/>
        </w:rPr>
        <w:t xml:space="preserve"> </w:t>
      </w:r>
      <w:r>
        <w:rPr>
          <w:rFonts w:ascii="宋体" w:hAnsi="宋体" w:eastAsia="宋体" w:cs="宋体"/>
          <w:spacing w:val="-1"/>
          <w:sz w:val="21"/>
          <w:szCs w:val="21"/>
        </w:rPr>
        <w:t>目约定的支付担保条款中如何约定</w:t>
      </w:r>
      <w:r>
        <w:rPr>
          <w:rFonts w:ascii="宋体" w:hAnsi="宋体" w:eastAsia="宋体" w:cs="宋体"/>
          <w:spacing w:val="-2"/>
          <w:sz w:val="21"/>
          <w:szCs w:val="21"/>
        </w:rPr>
        <w:t>，承包人根据担保条款提出索赔或兑现要求</w:t>
      </w:r>
      <w:r>
        <w:rPr>
          <w:rFonts w:ascii="宋体" w:hAnsi="宋体" w:eastAsia="宋体" w:cs="宋体"/>
          <w:spacing w:val="-41"/>
          <w:sz w:val="21"/>
          <w:szCs w:val="21"/>
        </w:rPr>
        <w:t xml:space="preserve"> </w:t>
      </w:r>
      <w:r>
        <w:rPr>
          <w:rFonts w:ascii="宋体" w:hAnsi="宋体" w:eastAsia="宋体" w:cs="宋体"/>
          <w:spacing w:val="-2"/>
          <w:sz w:val="21"/>
          <w:szCs w:val="21"/>
        </w:rPr>
        <w:t>28</w:t>
      </w:r>
      <w:r>
        <w:rPr>
          <w:rFonts w:ascii="宋体" w:hAnsi="宋体" w:eastAsia="宋体" w:cs="宋体"/>
          <w:spacing w:val="-33"/>
          <w:sz w:val="21"/>
          <w:szCs w:val="21"/>
        </w:rPr>
        <w:t xml:space="preserve"> </w:t>
      </w:r>
      <w:r>
        <w:rPr>
          <w:rFonts w:ascii="宋体" w:hAnsi="宋体" w:eastAsia="宋体" w:cs="宋体"/>
          <w:spacing w:val="-2"/>
          <w:sz w:val="21"/>
          <w:szCs w:val="21"/>
        </w:rPr>
        <w:t>天前，也应通知发包人并说明导致此类索赔或兑现的违约性质或原因。但是，本项约</w:t>
      </w:r>
      <w:r>
        <w:rPr>
          <w:rFonts w:ascii="宋体" w:hAnsi="宋体" w:eastAsia="宋体" w:cs="宋体"/>
          <w:spacing w:val="-3"/>
          <w:sz w:val="21"/>
          <w:szCs w:val="21"/>
        </w:rPr>
        <w:t>定的通知</w:t>
      </w:r>
      <w:r>
        <w:rPr>
          <w:rFonts w:ascii="宋体" w:hAnsi="宋体" w:eastAsia="宋体" w:cs="宋体"/>
          <w:spacing w:val="-1"/>
          <w:sz w:val="21"/>
          <w:szCs w:val="21"/>
        </w:rPr>
        <w:t>不应理解为是在任何意义上寻求承包人或者发包人的同意。</w:t>
      </w:r>
    </w:p>
    <w:p w14:paraId="0D1E3CAB">
      <w:pPr>
        <w:spacing w:line="344" w:lineRule="auto"/>
        <w:rPr>
          <w:rFonts w:ascii="宋体" w:hAnsi="宋体" w:eastAsia="宋体" w:cs="宋体"/>
          <w:sz w:val="21"/>
          <w:szCs w:val="21"/>
        </w:rPr>
        <w:sectPr>
          <w:footerReference r:id="rId118" w:type="default"/>
          <w:pgSz w:w="11910" w:h="16845"/>
          <w:pgMar w:top="400" w:right="1718" w:bottom="1110" w:left="1786" w:header="0" w:footer="883" w:gutter="0"/>
          <w:cols w:space="720" w:num="1"/>
        </w:sectPr>
      </w:pPr>
    </w:p>
    <w:p w14:paraId="3DA5125C">
      <w:pPr>
        <w:pStyle w:val="2"/>
        <w:spacing w:line="266" w:lineRule="auto"/>
      </w:pPr>
    </w:p>
    <w:p w14:paraId="346885EF">
      <w:pPr>
        <w:pStyle w:val="2"/>
        <w:spacing w:line="266" w:lineRule="auto"/>
      </w:pPr>
    </w:p>
    <w:p w14:paraId="7CD53601">
      <w:pPr>
        <w:pStyle w:val="2"/>
        <w:spacing w:line="267" w:lineRule="auto"/>
      </w:pPr>
    </w:p>
    <w:p w14:paraId="5466762F">
      <w:pPr>
        <w:pStyle w:val="2"/>
        <w:spacing w:line="267" w:lineRule="auto"/>
      </w:pPr>
    </w:p>
    <w:p w14:paraId="23BB7C10">
      <w:pPr>
        <w:spacing w:before="78" w:line="233" w:lineRule="auto"/>
        <w:ind w:left="19"/>
        <w:outlineLvl w:val="1"/>
        <w:rPr>
          <w:rFonts w:ascii="黑体" w:hAnsi="黑体" w:eastAsia="黑体" w:cs="黑体"/>
          <w:sz w:val="24"/>
          <w:szCs w:val="24"/>
        </w:rPr>
      </w:pPr>
      <w:bookmarkStart w:id="246" w:name="bookmark212"/>
      <w:bookmarkEnd w:id="246"/>
      <w:r>
        <w:rPr>
          <w:rFonts w:ascii="Times New Roman" w:hAnsi="Times New Roman" w:eastAsia="Times New Roman" w:cs="Times New Roman"/>
          <w:spacing w:val="-3"/>
          <w:sz w:val="24"/>
          <w:szCs w:val="24"/>
        </w:rPr>
        <w:t>4.3</w:t>
      </w:r>
      <w:r>
        <w:rPr>
          <w:rFonts w:ascii="Times New Roman" w:hAnsi="Times New Roman" w:eastAsia="Times New Roman" w:cs="Times New Roman"/>
          <w:spacing w:val="18"/>
          <w:sz w:val="24"/>
          <w:szCs w:val="24"/>
        </w:rPr>
        <w:t xml:space="preserve"> </w:t>
      </w:r>
      <w:r>
        <w:rPr>
          <w:rFonts w:ascii="黑体" w:hAnsi="黑体" w:eastAsia="黑体" w:cs="黑体"/>
          <w:spacing w:val="-3"/>
          <w:sz w:val="24"/>
          <w:szCs w:val="24"/>
        </w:rPr>
        <w:t>分包</w:t>
      </w:r>
    </w:p>
    <w:p w14:paraId="6A61355C">
      <w:pPr>
        <w:spacing w:before="127" w:line="343" w:lineRule="auto"/>
        <w:ind w:left="24" w:right="70" w:firstLine="419"/>
        <w:rPr>
          <w:rFonts w:ascii="宋体" w:hAnsi="宋体" w:eastAsia="宋体" w:cs="宋体"/>
          <w:sz w:val="21"/>
          <w:szCs w:val="21"/>
        </w:rPr>
      </w:pPr>
      <w:r>
        <w:rPr>
          <w:rFonts w:ascii="宋体" w:hAnsi="宋体" w:eastAsia="宋体" w:cs="宋体"/>
          <w:spacing w:val="-1"/>
          <w:sz w:val="21"/>
          <w:szCs w:val="21"/>
        </w:rPr>
        <w:t>4.3.2</w:t>
      </w:r>
      <w:r>
        <w:rPr>
          <w:rFonts w:ascii="宋体" w:hAnsi="宋体" w:eastAsia="宋体" w:cs="宋体"/>
          <w:spacing w:val="-26"/>
          <w:sz w:val="21"/>
          <w:szCs w:val="21"/>
        </w:rPr>
        <w:t xml:space="preserve"> </w:t>
      </w:r>
      <w:r>
        <w:rPr>
          <w:rFonts w:ascii="宋体" w:hAnsi="宋体" w:eastAsia="宋体" w:cs="宋体"/>
          <w:spacing w:val="-1"/>
          <w:sz w:val="21"/>
          <w:szCs w:val="21"/>
        </w:rPr>
        <w:t>发包人同意承包人分包的非主体、非关键性工作见投标函附录。除通用合同条款</w:t>
      </w:r>
      <w:r>
        <w:rPr>
          <w:rFonts w:ascii="宋体" w:hAnsi="宋体" w:eastAsia="宋体" w:cs="宋体"/>
          <w:spacing w:val="-3"/>
          <w:sz w:val="21"/>
          <w:szCs w:val="21"/>
        </w:rPr>
        <w:t>第</w:t>
      </w:r>
      <w:r>
        <w:rPr>
          <w:rFonts w:ascii="宋体" w:hAnsi="宋体" w:eastAsia="宋体" w:cs="宋体"/>
          <w:spacing w:val="-38"/>
          <w:sz w:val="21"/>
          <w:szCs w:val="21"/>
        </w:rPr>
        <w:t xml:space="preserve"> </w:t>
      </w:r>
      <w:r>
        <w:rPr>
          <w:rFonts w:ascii="宋体" w:hAnsi="宋体" w:eastAsia="宋体" w:cs="宋体"/>
          <w:spacing w:val="-3"/>
          <w:sz w:val="21"/>
          <w:szCs w:val="21"/>
        </w:rPr>
        <w:t>4.3</w:t>
      </w:r>
      <w:r>
        <w:rPr>
          <w:rFonts w:ascii="宋体" w:hAnsi="宋体" w:eastAsia="宋体" w:cs="宋体"/>
          <w:spacing w:val="-36"/>
          <w:sz w:val="21"/>
          <w:szCs w:val="21"/>
        </w:rPr>
        <w:t xml:space="preserve"> </w:t>
      </w:r>
      <w:r>
        <w:rPr>
          <w:rFonts w:ascii="宋体" w:hAnsi="宋体" w:eastAsia="宋体" w:cs="宋体"/>
          <w:spacing w:val="-3"/>
          <w:sz w:val="21"/>
          <w:szCs w:val="21"/>
        </w:rPr>
        <w:t>款的约定外，分包还应遵循以下约定：</w:t>
      </w:r>
    </w:p>
    <w:p w14:paraId="3CA270BB">
      <w:pPr>
        <w:spacing w:line="343" w:lineRule="auto"/>
        <w:ind w:left="26" w:right="88" w:firstLine="454"/>
        <w:rPr>
          <w:rFonts w:ascii="宋体" w:hAnsi="宋体" w:eastAsia="宋体" w:cs="宋体"/>
          <w:sz w:val="21"/>
          <w:szCs w:val="21"/>
        </w:rPr>
      </w:pPr>
      <w:r>
        <w:rPr>
          <w:rFonts w:ascii="宋体" w:hAnsi="宋体" w:eastAsia="宋体" w:cs="宋体"/>
          <w:spacing w:val="-1"/>
          <w:sz w:val="21"/>
          <w:szCs w:val="21"/>
        </w:rPr>
        <w:t>(1)除投标函附录中约定的分包内容外，经过发包人和监理人同意，承包人可以将其他</w:t>
      </w:r>
      <w:r>
        <w:rPr>
          <w:rFonts w:ascii="宋体" w:hAnsi="宋体" w:eastAsia="宋体" w:cs="宋体"/>
          <w:spacing w:val="-2"/>
          <w:sz w:val="21"/>
          <w:szCs w:val="21"/>
        </w:rPr>
        <w:t>非主体、非关键性工作分包给第三人，但分包人应当经过发包人和监理人审</w:t>
      </w:r>
      <w:r>
        <w:rPr>
          <w:rFonts w:ascii="宋体" w:hAnsi="宋体" w:eastAsia="宋体" w:cs="宋体"/>
          <w:spacing w:val="-3"/>
          <w:sz w:val="21"/>
          <w:szCs w:val="21"/>
        </w:rPr>
        <w:t>批。发包人和监</w:t>
      </w:r>
      <w:r>
        <w:rPr>
          <w:rFonts w:ascii="宋体" w:hAnsi="宋体" w:eastAsia="宋体" w:cs="宋体"/>
          <w:spacing w:val="-1"/>
          <w:sz w:val="21"/>
          <w:szCs w:val="21"/>
        </w:rPr>
        <w:t>理人有权拒绝承包人的分包请求和承包人选择的</w:t>
      </w:r>
      <w:r>
        <w:rPr>
          <w:rFonts w:ascii="宋体" w:hAnsi="宋体" w:eastAsia="宋体" w:cs="宋体"/>
          <w:spacing w:val="-2"/>
          <w:sz w:val="21"/>
          <w:szCs w:val="21"/>
        </w:rPr>
        <w:t>分包人。</w:t>
      </w:r>
    </w:p>
    <w:p w14:paraId="40481629">
      <w:pPr>
        <w:spacing w:before="1" w:line="343" w:lineRule="auto"/>
        <w:ind w:left="23" w:right="84" w:firstLine="458"/>
        <w:rPr>
          <w:rFonts w:ascii="宋体" w:hAnsi="宋体" w:eastAsia="宋体" w:cs="宋体"/>
          <w:sz w:val="21"/>
          <w:szCs w:val="21"/>
        </w:rPr>
      </w:pPr>
      <w:r>
        <w:rPr>
          <w:rFonts w:ascii="宋体" w:hAnsi="宋体" w:eastAsia="宋体" w:cs="宋体"/>
          <w:spacing w:val="-2"/>
          <w:sz w:val="21"/>
          <w:szCs w:val="21"/>
        </w:rPr>
        <w:t>(2)发包人在工程量清单中给定暂估价的专业工程，包括从暂列金额开支的专业工程，达到依法应当招标的规模标准的，以及虽未达到规定的规模标准但合同中约定采用分包方式</w:t>
      </w:r>
      <w:r>
        <w:rPr>
          <w:rFonts w:ascii="宋体" w:hAnsi="宋体" w:eastAsia="宋体" w:cs="宋体"/>
          <w:spacing w:val="-1"/>
          <w:sz w:val="21"/>
          <w:szCs w:val="21"/>
        </w:rPr>
        <w:t>或者招标方式实施的，应当按专用合同条款第</w:t>
      </w:r>
      <w:r>
        <w:rPr>
          <w:rFonts w:ascii="宋体" w:hAnsi="宋体" w:eastAsia="宋体" w:cs="宋体"/>
          <w:spacing w:val="-10"/>
          <w:sz w:val="21"/>
          <w:szCs w:val="21"/>
        </w:rPr>
        <w:t xml:space="preserve"> </w:t>
      </w:r>
      <w:r>
        <w:rPr>
          <w:rFonts w:ascii="宋体" w:hAnsi="宋体" w:eastAsia="宋体" w:cs="宋体"/>
          <w:spacing w:val="-1"/>
          <w:sz w:val="21"/>
          <w:szCs w:val="21"/>
        </w:rPr>
        <w:t>15.8.1</w:t>
      </w:r>
      <w:r>
        <w:rPr>
          <w:rFonts w:ascii="宋体" w:hAnsi="宋体" w:eastAsia="宋体" w:cs="宋体"/>
          <w:spacing w:val="-33"/>
          <w:sz w:val="21"/>
          <w:szCs w:val="21"/>
        </w:rPr>
        <w:t xml:space="preserve"> </w:t>
      </w:r>
      <w:r>
        <w:rPr>
          <w:rFonts w:ascii="宋体" w:hAnsi="宋体" w:eastAsia="宋体" w:cs="宋体"/>
          <w:spacing w:val="-1"/>
          <w:sz w:val="21"/>
          <w:szCs w:val="21"/>
        </w:rPr>
        <w:t>项的约定，由发包人和承包人以招标</w:t>
      </w:r>
      <w:r>
        <w:rPr>
          <w:rFonts w:ascii="宋体" w:hAnsi="宋体" w:eastAsia="宋体" w:cs="宋体"/>
          <w:spacing w:val="-4"/>
          <w:sz w:val="21"/>
          <w:szCs w:val="21"/>
        </w:rPr>
        <w:t>方式确定专业分包人。除项目审批部门有特别核准外，</w:t>
      </w:r>
      <w:r>
        <w:rPr>
          <w:rFonts w:ascii="宋体" w:hAnsi="宋体" w:eastAsia="宋体" w:cs="宋体"/>
          <w:spacing w:val="-25"/>
          <w:sz w:val="21"/>
          <w:szCs w:val="21"/>
        </w:rPr>
        <w:t xml:space="preserve"> </w:t>
      </w:r>
      <w:r>
        <w:rPr>
          <w:rFonts w:ascii="宋体" w:hAnsi="宋体" w:eastAsia="宋体" w:cs="宋体"/>
          <w:spacing w:val="-4"/>
          <w:sz w:val="21"/>
          <w:szCs w:val="21"/>
        </w:rPr>
        <w:t>暂估价的专业工程的招标应当采用与</w:t>
      </w:r>
      <w:r>
        <w:rPr>
          <w:rFonts w:ascii="宋体" w:hAnsi="宋体" w:eastAsia="宋体" w:cs="宋体"/>
          <w:spacing w:val="-3"/>
          <w:sz w:val="21"/>
          <w:szCs w:val="21"/>
        </w:rPr>
        <w:t>施工总承包同样的招标方式。</w:t>
      </w:r>
    </w:p>
    <w:p w14:paraId="6187EC6C">
      <w:pPr>
        <w:spacing w:line="343" w:lineRule="auto"/>
        <w:ind w:left="24" w:right="91" w:firstLine="457"/>
        <w:rPr>
          <w:rFonts w:ascii="宋体" w:hAnsi="宋体" w:eastAsia="宋体" w:cs="宋体"/>
          <w:sz w:val="21"/>
          <w:szCs w:val="21"/>
        </w:rPr>
      </w:pPr>
      <w:r>
        <w:rPr>
          <w:rFonts w:ascii="宋体" w:hAnsi="宋体" w:eastAsia="宋体" w:cs="宋体"/>
          <w:spacing w:val="-1"/>
          <w:sz w:val="21"/>
          <w:szCs w:val="21"/>
        </w:rPr>
        <w:t>(3)在相关分包合同签订并报送有关建设行</w:t>
      </w:r>
      <w:r>
        <w:rPr>
          <w:rFonts w:ascii="宋体" w:hAnsi="宋体" w:eastAsia="宋体" w:cs="宋体"/>
          <w:spacing w:val="-2"/>
          <w:sz w:val="21"/>
          <w:szCs w:val="21"/>
        </w:rPr>
        <w:t>政主管部门备案后</w:t>
      </w:r>
      <w:r>
        <w:rPr>
          <w:rFonts w:ascii="宋体" w:hAnsi="宋体" w:eastAsia="宋体" w:cs="宋体"/>
          <w:spacing w:val="-35"/>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天内，承包人应当将一</w:t>
      </w:r>
      <w:r>
        <w:rPr>
          <w:rFonts w:ascii="宋体" w:hAnsi="宋体" w:eastAsia="宋体" w:cs="宋体"/>
          <w:spacing w:val="-1"/>
          <w:sz w:val="21"/>
          <w:szCs w:val="21"/>
        </w:rPr>
        <w:t>份副本提交给监理人，承包人应保障分包工作不得再次分包。</w:t>
      </w:r>
    </w:p>
    <w:p w14:paraId="6EDB45F2">
      <w:pPr>
        <w:spacing w:line="343" w:lineRule="auto"/>
        <w:ind w:left="25" w:right="89" w:firstLine="456"/>
        <w:rPr>
          <w:rFonts w:ascii="宋体" w:hAnsi="宋体" w:eastAsia="宋体" w:cs="宋体"/>
          <w:sz w:val="21"/>
          <w:szCs w:val="21"/>
        </w:rPr>
      </w:pPr>
      <w:r>
        <w:rPr>
          <w:rFonts w:ascii="宋体" w:hAnsi="宋体" w:eastAsia="宋体" w:cs="宋体"/>
          <w:spacing w:val="-1"/>
          <w:sz w:val="21"/>
          <w:szCs w:val="21"/>
        </w:rPr>
        <w:t>(4)分包工程价款由承包人与分包人(包括专业分包人)结算。未经承包人同意，发包人</w:t>
      </w:r>
      <w:r>
        <w:rPr>
          <w:rFonts w:ascii="宋体" w:hAnsi="宋体" w:eastAsia="宋体" w:cs="宋体"/>
          <w:spacing w:val="-3"/>
          <w:sz w:val="21"/>
          <w:szCs w:val="21"/>
        </w:rPr>
        <w:t>不得以任何形式向分包人</w:t>
      </w:r>
      <w:r>
        <w:rPr>
          <w:rFonts w:ascii="宋体" w:hAnsi="宋体" w:eastAsia="宋体" w:cs="宋体"/>
          <w:spacing w:val="-62"/>
          <w:sz w:val="21"/>
          <w:szCs w:val="21"/>
        </w:rPr>
        <w:t xml:space="preserve"> </w:t>
      </w:r>
      <w:r>
        <w:rPr>
          <w:rFonts w:ascii="宋体" w:hAnsi="宋体" w:eastAsia="宋体" w:cs="宋体"/>
          <w:spacing w:val="-3"/>
          <w:sz w:val="21"/>
          <w:szCs w:val="21"/>
        </w:rPr>
        <w:t>(包括专业分包人)支付相关分包合同项下的任何工程</w:t>
      </w:r>
      <w:r>
        <w:rPr>
          <w:rFonts w:ascii="宋体" w:hAnsi="宋体" w:eastAsia="宋体" w:cs="宋体"/>
          <w:spacing w:val="-4"/>
          <w:sz w:val="21"/>
          <w:szCs w:val="21"/>
        </w:rPr>
        <w:t>款项。因发包</w:t>
      </w:r>
      <w:r>
        <w:rPr>
          <w:rFonts w:ascii="宋体" w:hAnsi="宋体" w:eastAsia="宋体" w:cs="宋体"/>
          <w:spacing w:val="2"/>
          <w:sz w:val="21"/>
          <w:szCs w:val="21"/>
        </w:rPr>
        <w:t>人未经承包人同意直接向分包人</w:t>
      </w:r>
      <w:r>
        <w:rPr>
          <w:rFonts w:ascii="宋体" w:hAnsi="宋体" w:eastAsia="宋体" w:cs="宋体"/>
          <w:spacing w:val="-61"/>
          <w:sz w:val="21"/>
          <w:szCs w:val="21"/>
        </w:rPr>
        <w:t xml:space="preserve"> </w:t>
      </w:r>
      <w:r>
        <w:rPr>
          <w:rFonts w:ascii="宋体" w:hAnsi="宋体" w:eastAsia="宋体" w:cs="宋体"/>
          <w:spacing w:val="2"/>
          <w:sz w:val="21"/>
          <w:szCs w:val="21"/>
        </w:rPr>
        <w:t>(包括专业分包人)</w:t>
      </w:r>
      <w:r>
        <w:rPr>
          <w:rFonts w:ascii="宋体" w:hAnsi="宋体" w:eastAsia="宋体" w:cs="宋体"/>
          <w:spacing w:val="1"/>
          <w:sz w:val="21"/>
          <w:szCs w:val="21"/>
        </w:rPr>
        <w:t>支付相关分包合同项下的任何工程款项</w:t>
      </w:r>
      <w:r>
        <w:rPr>
          <w:rFonts w:ascii="宋体" w:hAnsi="宋体" w:eastAsia="宋体" w:cs="宋体"/>
          <w:spacing w:val="-1"/>
          <w:sz w:val="21"/>
          <w:szCs w:val="21"/>
        </w:rPr>
        <w:t>而影响承包人工作的，所造成的承包人费用增加和(或)延误的工期由发包人承担。</w:t>
      </w:r>
    </w:p>
    <w:p w14:paraId="1D883C27">
      <w:pPr>
        <w:spacing w:before="3" w:line="331" w:lineRule="auto"/>
        <w:ind w:left="25" w:right="100" w:firstLine="456"/>
        <w:rPr>
          <w:rFonts w:ascii="宋体" w:hAnsi="宋体" w:eastAsia="宋体" w:cs="宋体"/>
          <w:sz w:val="21"/>
          <w:szCs w:val="21"/>
        </w:rPr>
      </w:pPr>
      <w:r>
        <w:rPr>
          <w:rFonts w:ascii="宋体" w:hAnsi="宋体" w:eastAsia="宋体" w:cs="宋体"/>
          <w:spacing w:val="-1"/>
          <w:sz w:val="21"/>
          <w:szCs w:val="21"/>
        </w:rPr>
        <w:t>(5)未经发包人和监理人审批同意的分包工程和分包人，发包人有权拒绝验收分包工程和支付相应款项，由此引起的承包人费用增加和(或)延误的工期由承包人承担。</w:t>
      </w:r>
    </w:p>
    <w:p w14:paraId="03C2807A">
      <w:pPr>
        <w:spacing w:line="232" w:lineRule="auto"/>
        <w:ind w:left="19"/>
        <w:outlineLvl w:val="1"/>
        <w:rPr>
          <w:rFonts w:ascii="黑体" w:hAnsi="黑体" w:eastAsia="黑体" w:cs="黑体"/>
          <w:sz w:val="24"/>
          <w:szCs w:val="24"/>
        </w:rPr>
      </w:pPr>
      <w:bookmarkStart w:id="247" w:name="bookmark213"/>
      <w:bookmarkEnd w:id="247"/>
      <w:r>
        <w:rPr>
          <w:rFonts w:ascii="Times New Roman" w:hAnsi="Times New Roman" w:eastAsia="Times New Roman" w:cs="Times New Roman"/>
          <w:sz w:val="24"/>
          <w:szCs w:val="24"/>
        </w:rPr>
        <w:t xml:space="preserve">4.5 </w:t>
      </w:r>
      <w:r>
        <w:rPr>
          <w:rFonts w:ascii="黑体" w:hAnsi="黑体" w:eastAsia="黑体" w:cs="黑体"/>
          <w:sz w:val="24"/>
          <w:szCs w:val="24"/>
        </w:rPr>
        <w:t>承包人项目经理</w:t>
      </w:r>
    </w:p>
    <w:p w14:paraId="6BAF7923">
      <w:pPr>
        <w:spacing w:before="112" w:line="339" w:lineRule="auto"/>
        <w:ind w:left="24" w:firstLine="419"/>
        <w:jc w:val="both"/>
        <w:rPr>
          <w:rFonts w:ascii="宋体" w:hAnsi="宋体" w:eastAsia="宋体" w:cs="宋体"/>
          <w:sz w:val="21"/>
          <w:szCs w:val="21"/>
        </w:rPr>
      </w:pPr>
      <w:r>
        <w:rPr>
          <w:rFonts w:ascii="宋体" w:hAnsi="宋体" w:eastAsia="宋体" w:cs="宋体"/>
          <w:spacing w:val="-1"/>
          <w:sz w:val="21"/>
          <w:szCs w:val="21"/>
        </w:rPr>
        <w:t>4.5.1</w:t>
      </w:r>
      <w:r>
        <w:rPr>
          <w:rFonts w:ascii="宋体" w:hAnsi="宋体" w:eastAsia="宋体" w:cs="宋体"/>
          <w:spacing w:val="-27"/>
          <w:sz w:val="21"/>
          <w:szCs w:val="21"/>
        </w:rPr>
        <w:t xml:space="preserve"> </w:t>
      </w:r>
      <w:r>
        <w:rPr>
          <w:rFonts w:ascii="宋体" w:hAnsi="宋体" w:eastAsia="宋体" w:cs="宋体"/>
          <w:spacing w:val="-1"/>
          <w:sz w:val="21"/>
          <w:szCs w:val="21"/>
        </w:rPr>
        <w:t>承包人项目经理必须与承包人投标时所承诺的人员一致，并在根据通用合同条款第</w:t>
      </w:r>
      <w:r>
        <w:rPr>
          <w:rFonts w:ascii="宋体" w:hAnsi="宋体" w:eastAsia="宋体" w:cs="宋体"/>
          <w:spacing w:val="-12"/>
          <w:sz w:val="21"/>
          <w:szCs w:val="21"/>
        </w:rPr>
        <w:t xml:space="preserve"> </w:t>
      </w:r>
      <w:r>
        <w:rPr>
          <w:rFonts w:ascii="宋体" w:hAnsi="宋体" w:eastAsia="宋体" w:cs="宋体"/>
          <w:spacing w:val="-1"/>
          <w:sz w:val="21"/>
          <w:szCs w:val="21"/>
        </w:rPr>
        <w:t>11.1.1</w:t>
      </w:r>
      <w:r>
        <w:rPr>
          <w:rFonts w:ascii="宋体" w:hAnsi="宋体" w:eastAsia="宋体" w:cs="宋体"/>
          <w:spacing w:val="-32"/>
          <w:sz w:val="21"/>
          <w:szCs w:val="21"/>
        </w:rPr>
        <w:t xml:space="preserve"> </w:t>
      </w:r>
      <w:r>
        <w:rPr>
          <w:rFonts w:ascii="宋体" w:hAnsi="宋体" w:eastAsia="宋体" w:cs="宋体"/>
          <w:spacing w:val="-1"/>
          <w:sz w:val="21"/>
          <w:szCs w:val="21"/>
        </w:rPr>
        <w:t>项确定的开工日期前到任。在监理人向承包人颁发(出具)工程接收证书前，项目</w:t>
      </w:r>
      <w:r>
        <w:rPr>
          <w:rFonts w:ascii="宋体" w:hAnsi="宋体" w:eastAsia="宋体" w:cs="宋体"/>
          <w:spacing w:val="-3"/>
          <w:sz w:val="21"/>
          <w:szCs w:val="21"/>
        </w:rPr>
        <w:t>经理不得同时兼任其他任何项目的项目经理。未</w:t>
      </w:r>
      <w:r>
        <w:rPr>
          <w:rFonts w:ascii="宋体" w:hAnsi="宋体" w:eastAsia="宋体" w:cs="宋体"/>
          <w:spacing w:val="-4"/>
          <w:sz w:val="21"/>
          <w:szCs w:val="21"/>
        </w:rPr>
        <w:t>经发包人书面许可，</w:t>
      </w:r>
      <w:r>
        <w:rPr>
          <w:rFonts w:ascii="宋体" w:hAnsi="宋体" w:eastAsia="宋体" w:cs="宋体"/>
          <w:spacing w:val="-47"/>
          <w:sz w:val="21"/>
          <w:szCs w:val="21"/>
        </w:rPr>
        <w:t xml:space="preserve"> </w:t>
      </w:r>
      <w:r>
        <w:rPr>
          <w:rFonts w:ascii="宋体" w:hAnsi="宋体" w:eastAsia="宋体" w:cs="宋体"/>
          <w:spacing w:val="-4"/>
          <w:sz w:val="21"/>
          <w:szCs w:val="21"/>
        </w:rPr>
        <w:t>承包人不得更换项目经</w:t>
      </w:r>
      <w:r>
        <w:rPr>
          <w:rFonts w:ascii="宋体" w:hAnsi="宋体" w:eastAsia="宋体" w:cs="宋体"/>
          <w:spacing w:val="-5"/>
          <w:sz w:val="21"/>
          <w:szCs w:val="21"/>
        </w:rPr>
        <w:t>理。承包人项目经理的姓名、职称、身份证号、执业资格证书号、注册证书号、执业印章号、</w:t>
      </w:r>
      <w:r>
        <w:rPr>
          <w:rFonts w:ascii="宋体" w:hAnsi="宋体" w:eastAsia="宋体" w:cs="宋体"/>
          <w:spacing w:val="-1"/>
          <w:sz w:val="21"/>
          <w:szCs w:val="21"/>
        </w:rPr>
        <w:t>安全生产考核合格证书号等细节资料应当在合同协议书中载明。</w:t>
      </w:r>
    </w:p>
    <w:p w14:paraId="56E4B6CF">
      <w:pPr>
        <w:spacing w:before="1" w:line="232" w:lineRule="auto"/>
        <w:ind w:left="19"/>
        <w:outlineLvl w:val="1"/>
        <w:rPr>
          <w:rFonts w:ascii="黑体" w:hAnsi="黑体" w:eastAsia="黑体" w:cs="黑体"/>
          <w:sz w:val="24"/>
          <w:szCs w:val="24"/>
        </w:rPr>
      </w:pPr>
      <w:bookmarkStart w:id="248" w:name="bookmark214"/>
      <w:bookmarkEnd w:id="248"/>
      <w:r>
        <w:rPr>
          <w:rFonts w:ascii="Times New Roman" w:hAnsi="Times New Roman" w:eastAsia="Times New Roman" w:cs="Times New Roman"/>
          <w:spacing w:val="-2"/>
          <w:sz w:val="24"/>
          <w:szCs w:val="24"/>
        </w:rPr>
        <w:t xml:space="preserve">4.11 </w:t>
      </w:r>
      <w:r>
        <w:rPr>
          <w:rFonts w:ascii="黑体" w:hAnsi="黑体" w:eastAsia="黑体" w:cs="黑体"/>
          <w:spacing w:val="-2"/>
          <w:sz w:val="24"/>
          <w:szCs w:val="24"/>
        </w:rPr>
        <w:t>不利物质条件</w:t>
      </w:r>
    </w:p>
    <w:p w14:paraId="5F305DC6">
      <w:pPr>
        <w:spacing w:before="128" w:line="220" w:lineRule="auto"/>
        <w:ind w:left="443"/>
        <w:rPr>
          <w:rFonts w:ascii="宋体" w:hAnsi="宋体" w:eastAsia="宋体" w:cs="宋体"/>
          <w:sz w:val="21"/>
          <w:szCs w:val="21"/>
        </w:rPr>
      </w:pPr>
      <w:r>
        <w:rPr>
          <w:rFonts w:ascii="宋体" w:hAnsi="宋体" w:eastAsia="宋体" w:cs="宋体"/>
          <w:spacing w:val="-1"/>
          <w:sz w:val="21"/>
          <w:szCs w:val="21"/>
        </w:rPr>
        <w:t>4.11.1</w:t>
      </w:r>
      <w:r>
        <w:rPr>
          <w:rFonts w:ascii="宋体" w:hAnsi="宋体" w:eastAsia="宋体" w:cs="宋体"/>
          <w:spacing w:val="-24"/>
          <w:sz w:val="21"/>
          <w:szCs w:val="21"/>
        </w:rPr>
        <w:t xml:space="preserve"> </w:t>
      </w:r>
      <w:r>
        <w:rPr>
          <w:rFonts w:ascii="宋体" w:hAnsi="宋体" w:eastAsia="宋体" w:cs="宋体"/>
          <w:spacing w:val="-1"/>
          <w:sz w:val="21"/>
          <w:szCs w:val="21"/>
        </w:rPr>
        <w:t>不利物质条件的范围：</w:t>
      </w:r>
      <w:r>
        <w:rPr>
          <w:rFonts w:ascii="宋体" w:hAnsi="宋体" w:eastAsia="宋体" w:cs="宋体"/>
          <w:spacing w:val="-1"/>
          <w:sz w:val="21"/>
          <w:szCs w:val="21"/>
          <w:u w:val="single" w:color="auto"/>
        </w:rPr>
        <w:t xml:space="preserve">                                                 </w:t>
      </w:r>
    </w:p>
    <w:p w14:paraId="4DAEFD36">
      <w:pPr>
        <w:spacing w:before="276" w:line="46" w:lineRule="exact"/>
        <w:jc w:val="right"/>
        <w:rPr>
          <w:rFonts w:ascii="宋体" w:hAnsi="宋体" w:eastAsia="宋体" w:cs="宋体"/>
          <w:sz w:val="21"/>
          <w:szCs w:val="21"/>
        </w:rPr>
      </w:pPr>
      <w:r>
        <w:pict>
          <v:shape id="_x0000_s1032" o:spid="_x0000_s1032" o:spt="202" type="#_x0000_t202" style="position:absolute;left:0pt;margin-left:-0.2pt;margin-top:7.05pt;height:14.1pt;width:412.05pt;z-index:251674624;mso-width-relative:page;mso-height-relative:page;" filled="f" stroked="f" coordsize="21600,21600">
            <v:path/>
            <v:fill on="f" focussize="0,0"/>
            <v:stroke on="f"/>
            <v:imagedata o:title=""/>
            <o:lock v:ext="edit" aspectratio="f"/>
            <v:textbox inset="0mm,0mm,0mm,0mm">
              <w:txbxContent>
                <w:p w14:paraId="026A0E61">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0D8EEF81">
      <w:pPr>
        <w:spacing w:before="248" w:line="237" w:lineRule="auto"/>
        <w:ind w:left="29"/>
        <w:outlineLvl w:val="0"/>
        <w:rPr>
          <w:rFonts w:ascii="黑体" w:hAnsi="黑体" w:eastAsia="黑体" w:cs="黑体"/>
          <w:sz w:val="28"/>
          <w:szCs w:val="28"/>
        </w:rPr>
      </w:pPr>
      <w:bookmarkStart w:id="249" w:name="bookmark215"/>
      <w:bookmarkEnd w:id="249"/>
      <w:bookmarkStart w:id="250" w:name="bookmark216"/>
      <w:bookmarkEnd w:id="250"/>
      <w:r>
        <w:rPr>
          <w:rFonts w:ascii="Times New Roman" w:hAnsi="Times New Roman" w:eastAsia="Times New Roman" w:cs="Times New Roman"/>
          <w:spacing w:val="4"/>
          <w:sz w:val="28"/>
          <w:szCs w:val="28"/>
        </w:rPr>
        <w:t>5.</w:t>
      </w:r>
      <w:r>
        <w:rPr>
          <w:rFonts w:ascii="黑体" w:hAnsi="黑体" w:eastAsia="黑体" w:cs="黑体"/>
          <w:spacing w:val="4"/>
          <w:sz w:val="28"/>
          <w:szCs w:val="28"/>
        </w:rPr>
        <w:t>材料和工程设备</w:t>
      </w:r>
    </w:p>
    <w:p w14:paraId="56383A29">
      <w:pPr>
        <w:spacing w:before="71" w:line="233" w:lineRule="auto"/>
        <w:ind w:left="27"/>
        <w:outlineLvl w:val="1"/>
        <w:rPr>
          <w:rFonts w:ascii="黑体" w:hAnsi="黑体" w:eastAsia="黑体" w:cs="黑体"/>
          <w:sz w:val="24"/>
          <w:szCs w:val="24"/>
        </w:rPr>
      </w:pPr>
      <w:bookmarkStart w:id="251" w:name="bookmark661"/>
      <w:bookmarkEnd w:id="251"/>
      <w:r>
        <w:rPr>
          <w:rFonts w:ascii="Times New Roman" w:hAnsi="Times New Roman" w:eastAsia="Times New Roman" w:cs="Times New Roman"/>
          <w:spacing w:val="-1"/>
          <w:sz w:val="24"/>
          <w:szCs w:val="24"/>
        </w:rPr>
        <w:t xml:space="preserve">5.1 </w:t>
      </w:r>
      <w:r>
        <w:rPr>
          <w:rFonts w:ascii="黑体" w:hAnsi="黑体" w:eastAsia="黑体" w:cs="黑体"/>
          <w:spacing w:val="-1"/>
          <w:sz w:val="24"/>
          <w:szCs w:val="24"/>
        </w:rPr>
        <w:t>承包人提供的材料和工程设备</w:t>
      </w:r>
    </w:p>
    <w:p w14:paraId="3ECB0F05">
      <w:pPr>
        <w:spacing w:before="160" w:line="370" w:lineRule="auto"/>
        <w:ind w:left="24" w:right="73" w:firstLine="424"/>
        <w:jc w:val="both"/>
        <w:rPr>
          <w:rFonts w:ascii="宋体" w:hAnsi="宋体" w:eastAsia="宋体" w:cs="宋体"/>
          <w:sz w:val="21"/>
          <w:szCs w:val="21"/>
        </w:rPr>
      </w:pPr>
      <w:r>
        <w:rPr>
          <w:rFonts w:ascii="宋体" w:hAnsi="宋体" w:eastAsia="宋体" w:cs="宋体"/>
          <w:spacing w:val="-2"/>
          <w:sz w:val="21"/>
          <w:szCs w:val="21"/>
        </w:rPr>
        <w:t>5.1.1</w:t>
      </w:r>
      <w:r>
        <w:rPr>
          <w:rFonts w:ascii="宋体" w:hAnsi="宋体" w:eastAsia="宋体" w:cs="宋体"/>
          <w:spacing w:val="-24"/>
          <w:sz w:val="21"/>
          <w:szCs w:val="21"/>
        </w:rPr>
        <w:t xml:space="preserve"> </w:t>
      </w:r>
      <w:r>
        <w:rPr>
          <w:rFonts w:ascii="宋体" w:hAnsi="宋体" w:eastAsia="宋体" w:cs="宋体"/>
          <w:spacing w:val="-2"/>
          <w:sz w:val="21"/>
          <w:szCs w:val="21"/>
        </w:rPr>
        <w:t>除专用合同条款第</w:t>
      </w:r>
      <w:r>
        <w:rPr>
          <w:rFonts w:ascii="宋体" w:hAnsi="宋体" w:eastAsia="宋体" w:cs="宋体"/>
          <w:spacing w:val="-33"/>
          <w:sz w:val="21"/>
          <w:szCs w:val="21"/>
        </w:rPr>
        <w:t xml:space="preserve"> </w:t>
      </w:r>
      <w:r>
        <w:rPr>
          <w:rFonts w:ascii="宋体" w:hAnsi="宋体" w:eastAsia="宋体" w:cs="宋体"/>
          <w:spacing w:val="-2"/>
          <w:sz w:val="21"/>
          <w:szCs w:val="21"/>
        </w:rPr>
        <w:t>5.2</w:t>
      </w:r>
      <w:r>
        <w:rPr>
          <w:rFonts w:ascii="宋体" w:hAnsi="宋体" w:eastAsia="宋体" w:cs="宋体"/>
          <w:spacing w:val="-36"/>
          <w:sz w:val="21"/>
          <w:szCs w:val="21"/>
        </w:rPr>
        <w:t xml:space="preserve"> </w:t>
      </w:r>
      <w:r>
        <w:rPr>
          <w:rFonts w:ascii="宋体" w:hAnsi="宋体" w:eastAsia="宋体" w:cs="宋体"/>
          <w:spacing w:val="-2"/>
          <w:sz w:val="21"/>
          <w:szCs w:val="21"/>
        </w:rPr>
        <w:t>款约定由发包人提供的材料和工程设备外，由承</w:t>
      </w:r>
      <w:r>
        <w:rPr>
          <w:rFonts w:ascii="宋体" w:hAnsi="宋体" w:eastAsia="宋体" w:cs="宋体"/>
          <w:spacing w:val="-3"/>
          <w:sz w:val="21"/>
          <w:szCs w:val="21"/>
        </w:rPr>
        <w:t>包人提供</w:t>
      </w:r>
      <w:r>
        <w:rPr>
          <w:rFonts w:ascii="宋体" w:hAnsi="宋体" w:eastAsia="宋体" w:cs="宋体"/>
          <w:spacing w:val="-5"/>
          <w:sz w:val="21"/>
          <w:szCs w:val="21"/>
        </w:rPr>
        <w:t>的材料和工程设备均由承包人负责采购、运输和保管。但是， 发包人在工程量清单中给定暂</w:t>
      </w:r>
      <w:r>
        <w:rPr>
          <w:rFonts w:ascii="宋体" w:hAnsi="宋体" w:eastAsia="宋体" w:cs="宋体"/>
          <w:spacing w:val="-2"/>
          <w:sz w:val="21"/>
          <w:szCs w:val="21"/>
        </w:rPr>
        <w:t>估价的材料和工程设备，包括从暂列金额开支的材料和工程设备，其中属于依法</w:t>
      </w:r>
      <w:r>
        <w:rPr>
          <w:rFonts w:ascii="宋体" w:hAnsi="宋体" w:eastAsia="宋体" w:cs="宋体"/>
          <w:spacing w:val="-3"/>
          <w:sz w:val="21"/>
          <w:szCs w:val="21"/>
        </w:rPr>
        <w:t>必须招标的</w:t>
      </w:r>
      <w:r>
        <w:rPr>
          <w:rFonts w:ascii="宋体" w:hAnsi="宋体" w:eastAsia="宋体" w:cs="宋体"/>
          <w:spacing w:val="-2"/>
          <w:sz w:val="21"/>
          <w:szCs w:val="21"/>
        </w:rPr>
        <w:t>范围并达到规定的规模标准的，以及虽不属于依法必须招标的范围但合同中约定采用招标方</w:t>
      </w:r>
      <w:r>
        <w:rPr>
          <w:rFonts w:ascii="宋体" w:hAnsi="宋体" w:eastAsia="宋体" w:cs="宋体"/>
          <w:spacing w:val="-1"/>
          <w:sz w:val="21"/>
          <w:szCs w:val="21"/>
        </w:rPr>
        <w:t>式采购的，应当按专用合同条款第</w:t>
      </w:r>
      <w:r>
        <w:rPr>
          <w:rFonts w:ascii="宋体" w:hAnsi="宋体" w:eastAsia="宋体" w:cs="宋体"/>
          <w:spacing w:val="-10"/>
          <w:sz w:val="21"/>
          <w:szCs w:val="21"/>
        </w:rPr>
        <w:t xml:space="preserve"> </w:t>
      </w:r>
      <w:r>
        <w:rPr>
          <w:rFonts w:ascii="宋体" w:hAnsi="宋体" w:eastAsia="宋体" w:cs="宋体"/>
          <w:spacing w:val="-1"/>
          <w:sz w:val="21"/>
          <w:szCs w:val="21"/>
        </w:rPr>
        <w:t>15.8.1</w:t>
      </w:r>
      <w:r>
        <w:rPr>
          <w:rFonts w:ascii="宋体" w:hAnsi="宋体" w:eastAsia="宋体" w:cs="宋体"/>
          <w:spacing w:val="-33"/>
          <w:sz w:val="21"/>
          <w:szCs w:val="21"/>
        </w:rPr>
        <w:t xml:space="preserve"> </w:t>
      </w:r>
      <w:r>
        <w:rPr>
          <w:rFonts w:ascii="宋体" w:hAnsi="宋体" w:eastAsia="宋体" w:cs="宋体"/>
          <w:spacing w:val="-1"/>
          <w:sz w:val="21"/>
          <w:szCs w:val="21"/>
        </w:rPr>
        <w:t>项的约定，由发包人和承包人以招标方式确定专</w:t>
      </w:r>
    </w:p>
    <w:p w14:paraId="3F6C6F0C">
      <w:pPr>
        <w:spacing w:line="370" w:lineRule="auto"/>
        <w:rPr>
          <w:rFonts w:ascii="宋体" w:hAnsi="宋体" w:eastAsia="宋体" w:cs="宋体"/>
          <w:sz w:val="21"/>
          <w:szCs w:val="21"/>
        </w:rPr>
        <w:sectPr>
          <w:footerReference r:id="rId119" w:type="default"/>
          <w:pgSz w:w="11910" w:h="16845"/>
          <w:pgMar w:top="400" w:right="1693" w:bottom="1110" w:left="1786" w:header="0" w:footer="883" w:gutter="0"/>
          <w:cols w:space="720" w:num="1"/>
        </w:sectPr>
      </w:pPr>
    </w:p>
    <w:p w14:paraId="17C8505B">
      <w:pPr>
        <w:pStyle w:val="2"/>
        <w:spacing w:line="282" w:lineRule="auto"/>
      </w:pPr>
    </w:p>
    <w:p w14:paraId="66F20C91">
      <w:pPr>
        <w:pStyle w:val="2"/>
        <w:spacing w:line="282" w:lineRule="auto"/>
      </w:pPr>
    </w:p>
    <w:p w14:paraId="6BEF782E">
      <w:pPr>
        <w:pStyle w:val="2"/>
        <w:spacing w:line="283" w:lineRule="auto"/>
      </w:pPr>
    </w:p>
    <w:p w14:paraId="786FA3F2">
      <w:pPr>
        <w:pStyle w:val="2"/>
        <w:spacing w:line="283" w:lineRule="auto"/>
      </w:pPr>
    </w:p>
    <w:p w14:paraId="3AE08932">
      <w:pPr>
        <w:spacing w:before="68" w:line="370" w:lineRule="auto"/>
        <w:ind w:left="25" w:right="69" w:firstLine="2"/>
        <w:rPr>
          <w:rFonts w:ascii="宋体" w:hAnsi="宋体" w:eastAsia="宋体" w:cs="宋体"/>
          <w:sz w:val="21"/>
          <w:szCs w:val="21"/>
        </w:rPr>
      </w:pPr>
      <w:r>
        <w:rPr>
          <w:rFonts w:ascii="宋体" w:hAnsi="宋体" w:eastAsia="宋体" w:cs="宋体"/>
          <w:spacing w:val="-2"/>
          <w:sz w:val="21"/>
          <w:szCs w:val="21"/>
        </w:rPr>
        <w:t>项供应商。承包人负责提供的主要材料和工程设备清单见第五章“工程量清单”的“承包人</w:t>
      </w:r>
      <w:r>
        <w:rPr>
          <w:rFonts w:ascii="宋体" w:hAnsi="宋体" w:eastAsia="宋体" w:cs="宋体"/>
          <w:spacing w:val="-1"/>
          <w:sz w:val="21"/>
          <w:szCs w:val="21"/>
        </w:rPr>
        <w:t>提供的材料和工程设备一览表”。</w:t>
      </w:r>
    </w:p>
    <w:p w14:paraId="5433F78D">
      <w:pPr>
        <w:spacing w:before="2" w:line="344" w:lineRule="auto"/>
        <w:ind w:left="22" w:right="30" w:firstLine="426"/>
        <w:rPr>
          <w:rFonts w:ascii="宋体" w:hAnsi="宋体" w:eastAsia="宋体" w:cs="宋体"/>
          <w:sz w:val="21"/>
          <w:szCs w:val="21"/>
        </w:rPr>
      </w:pPr>
      <w:r>
        <w:rPr>
          <w:rFonts w:ascii="宋体" w:hAnsi="宋体" w:eastAsia="宋体" w:cs="宋体"/>
          <w:spacing w:val="-1"/>
          <w:sz w:val="21"/>
          <w:szCs w:val="21"/>
        </w:rPr>
        <w:t>5.1.2</w:t>
      </w:r>
      <w:r>
        <w:rPr>
          <w:rFonts w:ascii="宋体" w:hAnsi="宋体" w:eastAsia="宋体" w:cs="宋体"/>
          <w:spacing w:val="-31"/>
          <w:sz w:val="21"/>
          <w:szCs w:val="21"/>
        </w:rPr>
        <w:t xml:space="preserve"> </w:t>
      </w:r>
      <w:r>
        <w:rPr>
          <w:rFonts w:ascii="宋体" w:hAnsi="宋体" w:eastAsia="宋体" w:cs="宋体"/>
          <w:spacing w:val="-1"/>
          <w:sz w:val="21"/>
          <w:szCs w:val="21"/>
        </w:rPr>
        <w:t>承包人将由其提供的材料和工程设备的供货人及品种、规格、数量和供货时间等</w:t>
      </w:r>
      <w:r>
        <w:rPr>
          <w:rFonts w:ascii="宋体" w:hAnsi="宋体" w:eastAsia="宋体" w:cs="宋体"/>
          <w:spacing w:val="-3"/>
          <w:sz w:val="21"/>
          <w:szCs w:val="21"/>
        </w:rPr>
        <w:t>报送监理人审批的期限：</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2485E6F1">
      <w:pPr>
        <w:spacing w:before="1" w:line="231" w:lineRule="auto"/>
        <w:ind w:left="27"/>
        <w:outlineLvl w:val="1"/>
        <w:rPr>
          <w:rFonts w:ascii="黑体" w:hAnsi="黑体" w:eastAsia="黑体" w:cs="黑体"/>
          <w:sz w:val="24"/>
          <w:szCs w:val="24"/>
        </w:rPr>
      </w:pPr>
      <w:bookmarkStart w:id="252" w:name="bookmark217"/>
      <w:bookmarkEnd w:id="252"/>
      <w:r>
        <w:rPr>
          <w:rFonts w:ascii="Times New Roman" w:hAnsi="Times New Roman" w:eastAsia="Times New Roman" w:cs="Times New Roman"/>
          <w:spacing w:val="-1"/>
          <w:sz w:val="24"/>
          <w:szCs w:val="24"/>
        </w:rPr>
        <w:t xml:space="preserve">5.2 </w:t>
      </w:r>
      <w:r>
        <w:rPr>
          <w:rFonts w:ascii="黑体" w:hAnsi="黑体" w:eastAsia="黑体" w:cs="黑体"/>
          <w:spacing w:val="-1"/>
          <w:sz w:val="24"/>
          <w:szCs w:val="24"/>
        </w:rPr>
        <w:t>发包人提供的材料和工程设备</w:t>
      </w:r>
    </w:p>
    <w:p w14:paraId="52042D98">
      <w:pPr>
        <w:spacing w:before="160" w:line="369" w:lineRule="auto"/>
        <w:ind w:left="24" w:right="7" w:firstLine="424"/>
        <w:rPr>
          <w:rFonts w:ascii="宋体" w:hAnsi="宋体" w:eastAsia="宋体" w:cs="宋体"/>
          <w:sz w:val="21"/>
          <w:szCs w:val="21"/>
        </w:rPr>
      </w:pPr>
      <w:r>
        <w:rPr>
          <w:rFonts w:ascii="宋体" w:hAnsi="宋体" w:eastAsia="宋体" w:cs="宋体"/>
          <w:spacing w:val="-1"/>
          <w:sz w:val="21"/>
          <w:szCs w:val="21"/>
        </w:rPr>
        <w:t>5.2.1</w:t>
      </w:r>
      <w:r>
        <w:rPr>
          <w:rFonts w:ascii="宋体" w:hAnsi="宋体" w:eastAsia="宋体" w:cs="宋体"/>
          <w:spacing w:val="-32"/>
          <w:sz w:val="21"/>
          <w:szCs w:val="21"/>
        </w:rPr>
        <w:t xml:space="preserve"> </w:t>
      </w:r>
      <w:r>
        <w:rPr>
          <w:rFonts w:ascii="宋体" w:hAnsi="宋体" w:eastAsia="宋体" w:cs="宋体"/>
          <w:spacing w:val="-1"/>
          <w:sz w:val="21"/>
          <w:szCs w:val="21"/>
        </w:rPr>
        <w:t>发包人负责提供的材料和工程设备的名称、规</w:t>
      </w:r>
      <w:r>
        <w:rPr>
          <w:rFonts w:ascii="宋体" w:hAnsi="宋体" w:eastAsia="宋体" w:cs="宋体"/>
          <w:spacing w:val="-2"/>
          <w:sz w:val="21"/>
          <w:szCs w:val="21"/>
        </w:rPr>
        <w:t>格、数量、价格、交货方式、交货</w:t>
      </w:r>
      <w:r>
        <w:rPr>
          <w:rFonts w:ascii="宋体" w:hAnsi="宋体" w:eastAsia="宋体" w:cs="宋体"/>
          <w:spacing w:val="-5"/>
          <w:sz w:val="21"/>
          <w:szCs w:val="21"/>
        </w:rPr>
        <w:t>地点和计划交货日期等见第五章“工程量清单”的“发包人提供的</w:t>
      </w:r>
      <w:r>
        <w:rPr>
          <w:rFonts w:ascii="宋体" w:hAnsi="宋体" w:eastAsia="宋体" w:cs="宋体"/>
          <w:spacing w:val="-6"/>
          <w:sz w:val="21"/>
          <w:szCs w:val="21"/>
        </w:rPr>
        <w:t>材料和工程设备一览表”。</w:t>
      </w:r>
    </w:p>
    <w:p w14:paraId="0584B5D6">
      <w:pPr>
        <w:spacing w:line="218" w:lineRule="auto"/>
        <w:ind w:left="448"/>
        <w:rPr>
          <w:rFonts w:ascii="宋体" w:hAnsi="宋体" w:eastAsia="宋体" w:cs="宋体"/>
          <w:sz w:val="21"/>
          <w:szCs w:val="21"/>
        </w:rPr>
      </w:pPr>
      <w:r>
        <w:rPr>
          <w:rFonts w:ascii="宋体" w:hAnsi="宋体" w:eastAsia="宋体" w:cs="宋体"/>
          <w:spacing w:val="-2"/>
          <w:sz w:val="21"/>
          <w:szCs w:val="21"/>
        </w:rPr>
        <w:t>5.2.3 由发包人提供的材料和工程设备验收后，由承包人负责接收、运输和保管。</w:t>
      </w:r>
    </w:p>
    <w:p w14:paraId="1F522C50">
      <w:pPr>
        <w:spacing w:before="181" w:line="237" w:lineRule="auto"/>
        <w:ind w:left="28"/>
        <w:outlineLvl w:val="0"/>
        <w:rPr>
          <w:rFonts w:ascii="黑体" w:hAnsi="黑体" w:eastAsia="黑体" w:cs="黑体"/>
          <w:sz w:val="28"/>
          <w:szCs w:val="28"/>
        </w:rPr>
      </w:pPr>
      <w:bookmarkStart w:id="253" w:name="bookmark219"/>
      <w:bookmarkEnd w:id="253"/>
      <w:bookmarkStart w:id="254" w:name="bookmark218"/>
      <w:bookmarkEnd w:id="254"/>
      <w:r>
        <w:rPr>
          <w:rFonts w:ascii="Times New Roman" w:hAnsi="Times New Roman" w:eastAsia="Times New Roman" w:cs="Times New Roman"/>
          <w:spacing w:val="4"/>
          <w:sz w:val="28"/>
          <w:szCs w:val="28"/>
        </w:rPr>
        <w:t>6.</w:t>
      </w:r>
      <w:r>
        <w:rPr>
          <w:rFonts w:ascii="黑体" w:hAnsi="黑体" w:eastAsia="黑体" w:cs="黑体"/>
          <w:spacing w:val="4"/>
          <w:sz w:val="28"/>
          <w:szCs w:val="28"/>
        </w:rPr>
        <w:t>施工设备和临时设施</w:t>
      </w:r>
    </w:p>
    <w:p w14:paraId="1DF1C44E">
      <w:pPr>
        <w:spacing w:before="70" w:line="233" w:lineRule="auto"/>
        <w:ind w:left="26"/>
        <w:outlineLvl w:val="1"/>
        <w:rPr>
          <w:rFonts w:ascii="黑体" w:hAnsi="黑体" w:eastAsia="黑体" w:cs="黑体"/>
          <w:sz w:val="24"/>
          <w:szCs w:val="24"/>
        </w:rPr>
      </w:pPr>
      <w:bookmarkStart w:id="255" w:name="bookmark662"/>
      <w:bookmarkEnd w:id="255"/>
      <w:r>
        <w:rPr>
          <w:rFonts w:ascii="Times New Roman" w:hAnsi="Times New Roman" w:eastAsia="Times New Roman" w:cs="Times New Roman"/>
          <w:spacing w:val="-1"/>
          <w:sz w:val="24"/>
          <w:szCs w:val="24"/>
        </w:rPr>
        <w:t xml:space="preserve">6.1 </w:t>
      </w:r>
      <w:r>
        <w:rPr>
          <w:rFonts w:ascii="黑体" w:hAnsi="黑体" w:eastAsia="黑体" w:cs="黑体"/>
          <w:spacing w:val="-1"/>
          <w:sz w:val="24"/>
          <w:szCs w:val="24"/>
        </w:rPr>
        <w:t>承包人提供的施工设备和临时设施</w:t>
      </w:r>
    </w:p>
    <w:p w14:paraId="2CECBD9E">
      <w:pPr>
        <w:spacing w:before="160" w:line="369" w:lineRule="auto"/>
        <w:ind w:left="43" w:right="109" w:firstLine="403"/>
        <w:rPr>
          <w:rFonts w:ascii="宋体" w:hAnsi="宋体" w:eastAsia="宋体" w:cs="宋体"/>
          <w:sz w:val="21"/>
          <w:szCs w:val="21"/>
        </w:rPr>
      </w:pPr>
      <w:r>
        <w:rPr>
          <w:rFonts w:ascii="宋体" w:hAnsi="宋体" w:eastAsia="宋体" w:cs="宋体"/>
          <w:spacing w:val="-11"/>
          <w:sz w:val="21"/>
          <w:szCs w:val="21"/>
        </w:rPr>
        <w:t>6.1.2</w:t>
      </w:r>
      <w:r>
        <w:rPr>
          <w:rFonts w:ascii="宋体" w:hAnsi="宋体" w:eastAsia="宋体" w:cs="宋体"/>
          <w:spacing w:val="15"/>
          <w:sz w:val="21"/>
          <w:szCs w:val="21"/>
        </w:rPr>
        <w:t xml:space="preserve">   </w:t>
      </w:r>
      <w:r>
        <w:rPr>
          <w:rFonts w:ascii="宋体" w:hAnsi="宋体" w:eastAsia="宋体" w:cs="宋体"/>
          <w:spacing w:val="-11"/>
          <w:sz w:val="21"/>
          <w:szCs w:val="21"/>
        </w:rPr>
        <w:t>发</w:t>
      </w:r>
      <w:r>
        <w:rPr>
          <w:rFonts w:ascii="宋体" w:hAnsi="宋体" w:eastAsia="宋体" w:cs="宋体"/>
          <w:spacing w:val="20"/>
          <w:sz w:val="21"/>
          <w:szCs w:val="21"/>
        </w:rPr>
        <w:t xml:space="preserve">  </w:t>
      </w:r>
      <w:r>
        <w:rPr>
          <w:rFonts w:ascii="宋体" w:hAnsi="宋体" w:eastAsia="宋体" w:cs="宋体"/>
          <w:spacing w:val="-11"/>
          <w:sz w:val="21"/>
          <w:szCs w:val="21"/>
        </w:rPr>
        <w:t>包</w:t>
      </w:r>
      <w:r>
        <w:rPr>
          <w:rFonts w:ascii="宋体" w:hAnsi="宋体" w:eastAsia="宋体" w:cs="宋体"/>
          <w:spacing w:val="20"/>
          <w:sz w:val="21"/>
          <w:szCs w:val="21"/>
        </w:rPr>
        <w:t xml:space="preserve">  </w:t>
      </w:r>
      <w:r>
        <w:rPr>
          <w:rFonts w:ascii="宋体" w:hAnsi="宋体" w:eastAsia="宋体" w:cs="宋体"/>
          <w:spacing w:val="-11"/>
          <w:sz w:val="21"/>
          <w:szCs w:val="21"/>
        </w:rPr>
        <w:t>人</w:t>
      </w:r>
      <w:r>
        <w:rPr>
          <w:rFonts w:ascii="宋体" w:hAnsi="宋体" w:eastAsia="宋体" w:cs="宋体"/>
          <w:spacing w:val="19"/>
          <w:sz w:val="21"/>
          <w:szCs w:val="21"/>
        </w:rPr>
        <w:t xml:space="preserve">  </w:t>
      </w:r>
      <w:r>
        <w:rPr>
          <w:rFonts w:ascii="宋体" w:hAnsi="宋体" w:eastAsia="宋体" w:cs="宋体"/>
          <w:spacing w:val="-11"/>
          <w:sz w:val="21"/>
          <w:szCs w:val="21"/>
        </w:rPr>
        <w:t>承</w:t>
      </w:r>
      <w:r>
        <w:rPr>
          <w:rFonts w:ascii="宋体" w:hAnsi="宋体" w:eastAsia="宋体" w:cs="宋体"/>
          <w:spacing w:val="27"/>
          <w:sz w:val="21"/>
          <w:szCs w:val="21"/>
        </w:rPr>
        <w:t xml:space="preserve">  </w:t>
      </w:r>
      <w:r>
        <w:rPr>
          <w:rFonts w:ascii="宋体" w:hAnsi="宋体" w:eastAsia="宋体" w:cs="宋体"/>
          <w:spacing w:val="-11"/>
          <w:sz w:val="21"/>
          <w:szCs w:val="21"/>
        </w:rPr>
        <w:t>担</w:t>
      </w:r>
      <w:r>
        <w:rPr>
          <w:rFonts w:ascii="宋体" w:hAnsi="宋体" w:eastAsia="宋体" w:cs="宋体"/>
          <w:spacing w:val="19"/>
          <w:sz w:val="21"/>
          <w:szCs w:val="21"/>
        </w:rPr>
        <w:t xml:space="preserve">  </w:t>
      </w:r>
      <w:r>
        <w:rPr>
          <w:rFonts w:ascii="宋体" w:hAnsi="宋体" w:eastAsia="宋体" w:cs="宋体"/>
          <w:spacing w:val="-11"/>
          <w:sz w:val="21"/>
          <w:szCs w:val="21"/>
        </w:rPr>
        <w:t>修</w:t>
      </w:r>
      <w:r>
        <w:rPr>
          <w:rFonts w:ascii="宋体" w:hAnsi="宋体" w:eastAsia="宋体" w:cs="宋体"/>
          <w:spacing w:val="21"/>
          <w:sz w:val="21"/>
          <w:szCs w:val="21"/>
        </w:rPr>
        <w:t xml:space="preserve">  </w:t>
      </w:r>
      <w:r>
        <w:rPr>
          <w:rFonts w:ascii="宋体" w:hAnsi="宋体" w:eastAsia="宋体" w:cs="宋体"/>
          <w:spacing w:val="-11"/>
          <w:sz w:val="21"/>
          <w:szCs w:val="21"/>
        </w:rPr>
        <w:t>建</w:t>
      </w:r>
      <w:r>
        <w:rPr>
          <w:rFonts w:ascii="宋体" w:hAnsi="宋体" w:eastAsia="宋体" w:cs="宋体"/>
          <w:spacing w:val="25"/>
          <w:sz w:val="21"/>
          <w:szCs w:val="21"/>
        </w:rPr>
        <w:t xml:space="preserve">  </w:t>
      </w:r>
      <w:r>
        <w:rPr>
          <w:rFonts w:ascii="宋体" w:hAnsi="宋体" w:eastAsia="宋体" w:cs="宋体"/>
          <w:spacing w:val="-11"/>
          <w:sz w:val="21"/>
          <w:szCs w:val="21"/>
        </w:rPr>
        <w:t>临</w:t>
      </w:r>
      <w:r>
        <w:rPr>
          <w:rFonts w:ascii="宋体" w:hAnsi="宋体" w:eastAsia="宋体" w:cs="宋体"/>
          <w:spacing w:val="31"/>
          <w:sz w:val="21"/>
          <w:szCs w:val="21"/>
        </w:rPr>
        <w:t xml:space="preserve">  </w:t>
      </w:r>
      <w:r>
        <w:rPr>
          <w:rFonts w:ascii="宋体" w:hAnsi="宋体" w:eastAsia="宋体" w:cs="宋体"/>
          <w:spacing w:val="-11"/>
          <w:sz w:val="21"/>
          <w:szCs w:val="21"/>
        </w:rPr>
        <w:t>时</w:t>
      </w:r>
      <w:r>
        <w:rPr>
          <w:rFonts w:ascii="宋体" w:hAnsi="宋体" w:eastAsia="宋体" w:cs="宋体"/>
          <w:spacing w:val="21"/>
          <w:sz w:val="21"/>
          <w:szCs w:val="21"/>
        </w:rPr>
        <w:t xml:space="preserve">  </w:t>
      </w:r>
      <w:r>
        <w:rPr>
          <w:rFonts w:ascii="宋体" w:hAnsi="宋体" w:eastAsia="宋体" w:cs="宋体"/>
          <w:spacing w:val="-11"/>
          <w:sz w:val="21"/>
          <w:szCs w:val="21"/>
        </w:rPr>
        <w:t>设</w:t>
      </w:r>
      <w:r>
        <w:rPr>
          <w:rFonts w:ascii="宋体" w:hAnsi="宋体" w:eastAsia="宋体" w:cs="宋体"/>
          <w:spacing w:val="19"/>
          <w:sz w:val="21"/>
          <w:szCs w:val="21"/>
        </w:rPr>
        <w:t xml:space="preserve">  </w:t>
      </w:r>
      <w:r>
        <w:rPr>
          <w:rFonts w:ascii="宋体" w:hAnsi="宋体" w:eastAsia="宋体" w:cs="宋体"/>
          <w:spacing w:val="-11"/>
          <w:sz w:val="21"/>
          <w:szCs w:val="21"/>
        </w:rPr>
        <w:t>施</w:t>
      </w:r>
      <w:r>
        <w:rPr>
          <w:rFonts w:ascii="宋体" w:hAnsi="宋体" w:eastAsia="宋体" w:cs="宋体"/>
          <w:spacing w:val="35"/>
          <w:sz w:val="21"/>
          <w:szCs w:val="21"/>
        </w:rPr>
        <w:t xml:space="preserve">  </w:t>
      </w:r>
      <w:r>
        <w:rPr>
          <w:rFonts w:ascii="宋体" w:hAnsi="宋体" w:eastAsia="宋体" w:cs="宋体"/>
          <w:spacing w:val="-11"/>
          <w:sz w:val="21"/>
          <w:szCs w:val="21"/>
        </w:rPr>
        <w:t>的</w:t>
      </w:r>
      <w:r>
        <w:rPr>
          <w:rFonts w:ascii="宋体" w:hAnsi="宋体" w:eastAsia="宋体" w:cs="宋体"/>
          <w:spacing w:val="25"/>
          <w:sz w:val="21"/>
          <w:szCs w:val="21"/>
        </w:rPr>
        <w:t xml:space="preserve">  </w:t>
      </w:r>
      <w:r>
        <w:rPr>
          <w:rFonts w:ascii="宋体" w:hAnsi="宋体" w:eastAsia="宋体" w:cs="宋体"/>
          <w:spacing w:val="-11"/>
          <w:sz w:val="21"/>
          <w:szCs w:val="21"/>
        </w:rPr>
        <w:t>费</w:t>
      </w:r>
      <w:r>
        <w:rPr>
          <w:rFonts w:ascii="宋体" w:hAnsi="宋体" w:eastAsia="宋体" w:cs="宋体"/>
          <w:spacing w:val="20"/>
          <w:sz w:val="21"/>
          <w:szCs w:val="21"/>
        </w:rPr>
        <w:t xml:space="preserve">  </w:t>
      </w:r>
      <w:r>
        <w:rPr>
          <w:rFonts w:ascii="宋体" w:hAnsi="宋体" w:eastAsia="宋体" w:cs="宋体"/>
          <w:spacing w:val="-11"/>
          <w:sz w:val="21"/>
          <w:szCs w:val="21"/>
        </w:rPr>
        <w:t>用</w:t>
      </w:r>
      <w:r>
        <w:rPr>
          <w:rFonts w:ascii="宋体" w:hAnsi="宋体" w:eastAsia="宋体" w:cs="宋体"/>
          <w:spacing w:val="28"/>
          <w:sz w:val="21"/>
          <w:szCs w:val="21"/>
        </w:rPr>
        <w:t xml:space="preserve">  </w:t>
      </w:r>
      <w:r>
        <w:rPr>
          <w:rFonts w:ascii="宋体" w:hAnsi="宋体" w:eastAsia="宋体" w:cs="宋体"/>
          <w:spacing w:val="-11"/>
          <w:sz w:val="21"/>
          <w:szCs w:val="21"/>
        </w:rPr>
        <w:t>的</w:t>
      </w:r>
      <w:r>
        <w:rPr>
          <w:rFonts w:ascii="宋体" w:hAnsi="宋体" w:eastAsia="宋体" w:cs="宋体"/>
          <w:spacing w:val="22"/>
          <w:sz w:val="21"/>
          <w:szCs w:val="21"/>
        </w:rPr>
        <w:t xml:space="preserve">  </w:t>
      </w:r>
      <w:r>
        <w:rPr>
          <w:rFonts w:ascii="宋体" w:hAnsi="宋体" w:eastAsia="宋体" w:cs="宋体"/>
          <w:spacing w:val="-11"/>
          <w:sz w:val="21"/>
          <w:szCs w:val="21"/>
        </w:rPr>
        <w:t>范</w:t>
      </w:r>
      <w:r>
        <w:rPr>
          <w:rFonts w:ascii="宋体" w:hAnsi="宋体" w:eastAsia="宋体" w:cs="宋体"/>
          <w:spacing w:val="-9"/>
          <w:sz w:val="21"/>
          <w:szCs w:val="21"/>
        </w:rPr>
        <w:t>围：</w:t>
      </w:r>
      <w:r>
        <w:rPr>
          <w:rFonts w:ascii="宋体" w:hAnsi="宋体" w:eastAsia="宋体" w:cs="宋体"/>
          <w:sz w:val="21"/>
          <w:szCs w:val="21"/>
          <w:u w:val="single" w:color="auto"/>
        </w:rPr>
        <w:t xml:space="preserve">                                  </w:t>
      </w:r>
      <w:r>
        <w:rPr>
          <w:rFonts w:ascii="宋体" w:hAnsi="宋体" w:eastAsia="宋体" w:cs="宋体"/>
          <w:spacing w:val="-9"/>
          <w:sz w:val="21"/>
          <w:szCs w:val="21"/>
        </w:rPr>
        <w:t>。</w:t>
      </w:r>
    </w:p>
    <w:p w14:paraId="40C85431">
      <w:pPr>
        <w:spacing w:before="1" w:line="219" w:lineRule="auto"/>
        <w:ind w:left="456"/>
        <w:rPr>
          <w:rFonts w:ascii="宋体" w:hAnsi="宋体" w:eastAsia="宋体" w:cs="宋体"/>
          <w:sz w:val="21"/>
          <w:szCs w:val="21"/>
        </w:rPr>
      </w:pPr>
      <w:r>
        <w:rPr>
          <w:rFonts w:ascii="宋体" w:hAnsi="宋体" w:eastAsia="宋体" w:cs="宋体"/>
          <w:spacing w:val="-1"/>
          <w:sz w:val="21"/>
          <w:szCs w:val="21"/>
        </w:rPr>
        <w:t>需要发包人办理申请手续和承担相关费用的临时占地：</w:t>
      </w:r>
      <w:r>
        <w:rPr>
          <w:rFonts w:ascii="宋体" w:hAnsi="宋体" w:eastAsia="宋体" w:cs="宋体"/>
          <w:sz w:val="21"/>
          <w:szCs w:val="21"/>
          <w:u w:val="single" w:color="auto"/>
        </w:rPr>
        <w:t xml:space="preserve">                            </w:t>
      </w:r>
    </w:p>
    <w:p w14:paraId="2A0E00BE">
      <w:pPr>
        <w:spacing w:before="306" w:line="46" w:lineRule="exact"/>
        <w:jc w:val="right"/>
        <w:rPr>
          <w:rFonts w:ascii="宋体" w:hAnsi="宋体" w:eastAsia="宋体" w:cs="宋体"/>
          <w:sz w:val="21"/>
          <w:szCs w:val="21"/>
        </w:rPr>
      </w:pPr>
      <w:r>
        <w:pict>
          <v:shape id="_x0000_s1033" o:spid="_x0000_s1033" o:spt="202" type="#_x0000_t202" style="position:absolute;left:0pt;margin-left:-0.2pt;margin-top:8.55pt;height:14.1pt;width:412.05pt;z-index:251675648;mso-width-relative:page;mso-height-relative:page;" filled="f" stroked="f" coordsize="21600,21600">
            <v:path/>
            <v:fill on="f" focussize="0,0"/>
            <v:stroke on="f"/>
            <v:imagedata o:title=""/>
            <o:lock v:ext="edit" aspectratio="f"/>
            <v:textbox inset="0mm,0mm,0mm,0mm">
              <w:txbxContent>
                <w:p w14:paraId="29BDA2F4">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34D86245">
      <w:pPr>
        <w:spacing w:before="183" w:line="232" w:lineRule="auto"/>
        <w:ind w:left="26"/>
        <w:outlineLvl w:val="1"/>
        <w:rPr>
          <w:rFonts w:ascii="黑体" w:hAnsi="黑体" w:eastAsia="黑体" w:cs="黑体"/>
          <w:sz w:val="24"/>
          <w:szCs w:val="24"/>
        </w:rPr>
      </w:pPr>
      <w:bookmarkStart w:id="256" w:name="bookmark220"/>
      <w:bookmarkEnd w:id="256"/>
      <w:r>
        <w:rPr>
          <w:rFonts w:ascii="Times New Roman" w:hAnsi="Times New Roman" w:eastAsia="Times New Roman" w:cs="Times New Roman"/>
          <w:spacing w:val="-1"/>
          <w:sz w:val="24"/>
          <w:szCs w:val="24"/>
        </w:rPr>
        <w:t xml:space="preserve">6.2 </w:t>
      </w:r>
      <w:r>
        <w:rPr>
          <w:rFonts w:ascii="黑体" w:hAnsi="黑体" w:eastAsia="黑体" w:cs="黑体"/>
          <w:spacing w:val="-1"/>
          <w:sz w:val="24"/>
          <w:szCs w:val="24"/>
        </w:rPr>
        <w:t>发包人提供的施工设备和临时设施</w:t>
      </w:r>
    </w:p>
    <w:p w14:paraId="0584149E">
      <w:pPr>
        <w:spacing w:before="145" w:line="345" w:lineRule="auto"/>
        <w:ind w:left="448"/>
        <w:rPr>
          <w:rFonts w:ascii="宋体" w:hAnsi="宋体" w:eastAsia="宋体" w:cs="宋体"/>
          <w:sz w:val="21"/>
          <w:szCs w:val="21"/>
        </w:rPr>
      </w:pPr>
      <w:r>
        <w:rPr>
          <w:rFonts w:ascii="宋体" w:hAnsi="宋体" w:eastAsia="宋体" w:cs="宋体"/>
          <w:spacing w:val="-3"/>
          <w:sz w:val="21"/>
          <w:szCs w:val="21"/>
        </w:rPr>
        <w:t>发包人提供的施工设备和临时设施：</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3"/>
          <w:sz w:val="21"/>
          <w:szCs w:val="21"/>
        </w:rPr>
        <w:t>发包人提供的施工设备和临时设施的运行、维护、拆除、清运费用的承担人：</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4A1754A4">
      <w:pPr>
        <w:spacing w:before="1" w:line="232" w:lineRule="auto"/>
        <w:ind w:left="26"/>
        <w:outlineLvl w:val="1"/>
        <w:rPr>
          <w:rFonts w:ascii="黑体" w:hAnsi="黑体" w:eastAsia="黑体" w:cs="黑体"/>
          <w:sz w:val="24"/>
          <w:szCs w:val="24"/>
        </w:rPr>
      </w:pPr>
      <w:bookmarkStart w:id="257" w:name="bookmark221"/>
      <w:bookmarkEnd w:id="257"/>
      <w:r>
        <w:rPr>
          <w:rFonts w:ascii="Times New Roman" w:hAnsi="Times New Roman" w:eastAsia="Times New Roman" w:cs="Times New Roman"/>
          <w:spacing w:val="-1"/>
          <w:sz w:val="24"/>
          <w:szCs w:val="24"/>
        </w:rPr>
        <w:t xml:space="preserve">6.4 </w:t>
      </w:r>
      <w:r>
        <w:rPr>
          <w:rFonts w:ascii="黑体" w:hAnsi="黑体" w:eastAsia="黑体" w:cs="黑体"/>
          <w:spacing w:val="-1"/>
          <w:sz w:val="24"/>
          <w:szCs w:val="24"/>
        </w:rPr>
        <w:t>施工设备和临时设施专用于合同工程</w:t>
      </w:r>
    </w:p>
    <w:p w14:paraId="7BD25C96">
      <w:pPr>
        <w:spacing w:before="159" w:line="371" w:lineRule="auto"/>
        <w:ind w:left="23" w:right="69" w:firstLine="423"/>
        <w:jc w:val="both"/>
        <w:rPr>
          <w:rFonts w:ascii="宋体" w:hAnsi="宋体" w:eastAsia="宋体" w:cs="宋体"/>
          <w:sz w:val="21"/>
          <w:szCs w:val="21"/>
        </w:rPr>
      </w:pPr>
      <w:r>
        <w:rPr>
          <w:rFonts w:ascii="宋体" w:hAnsi="宋体" w:eastAsia="宋体" w:cs="宋体"/>
          <w:spacing w:val="-1"/>
          <w:sz w:val="21"/>
          <w:szCs w:val="21"/>
        </w:rPr>
        <w:t>6.4.1</w:t>
      </w:r>
      <w:r>
        <w:rPr>
          <w:rFonts w:ascii="宋体" w:hAnsi="宋体" w:eastAsia="宋体" w:cs="宋体"/>
          <w:spacing w:val="-33"/>
          <w:sz w:val="21"/>
          <w:szCs w:val="21"/>
        </w:rPr>
        <w:t xml:space="preserve"> </w:t>
      </w:r>
      <w:r>
        <w:rPr>
          <w:rFonts w:ascii="宋体" w:hAnsi="宋体" w:eastAsia="宋体" w:cs="宋体"/>
          <w:spacing w:val="-1"/>
          <w:sz w:val="21"/>
          <w:szCs w:val="21"/>
        </w:rPr>
        <w:t>除为专用合同条款第</w:t>
      </w:r>
      <w:r>
        <w:rPr>
          <w:rFonts w:ascii="宋体" w:hAnsi="宋体" w:eastAsia="宋体" w:cs="宋体"/>
          <w:spacing w:val="-54"/>
          <w:sz w:val="21"/>
          <w:szCs w:val="21"/>
        </w:rPr>
        <w:t xml:space="preserve"> </w:t>
      </w:r>
      <w:r>
        <w:rPr>
          <w:rFonts w:ascii="宋体" w:hAnsi="宋体" w:eastAsia="宋体" w:cs="宋体"/>
          <w:spacing w:val="-1"/>
          <w:sz w:val="21"/>
          <w:szCs w:val="21"/>
        </w:rPr>
        <w:t>4.1.8</w:t>
      </w:r>
      <w:r>
        <w:rPr>
          <w:rFonts w:ascii="宋体" w:hAnsi="宋体" w:eastAsia="宋体" w:cs="宋体"/>
          <w:spacing w:val="-47"/>
          <w:sz w:val="21"/>
          <w:szCs w:val="21"/>
        </w:rPr>
        <w:t xml:space="preserve"> </w:t>
      </w:r>
      <w:r>
        <w:rPr>
          <w:rFonts w:ascii="宋体" w:hAnsi="宋体" w:eastAsia="宋体" w:cs="宋体"/>
          <w:spacing w:val="-1"/>
          <w:sz w:val="21"/>
          <w:szCs w:val="21"/>
        </w:rPr>
        <w:t>项约定的其他独立承包人和监理人指示的他人提供条</w:t>
      </w:r>
      <w:r>
        <w:rPr>
          <w:rFonts w:ascii="宋体" w:hAnsi="宋体" w:eastAsia="宋体" w:cs="宋体"/>
          <w:spacing w:val="-2"/>
          <w:sz w:val="21"/>
          <w:szCs w:val="21"/>
        </w:rPr>
        <w:t>件外，承包人运入施工场地的所有施工设备以及在施工场地建设的临时设施仅限于用</w:t>
      </w:r>
      <w:r>
        <w:rPr>
          <w:rFonts w:ascii="宋体" w:hAnsi="宋体" w:eastAsia="宋体" w:cs="宋体"/>
          <w:spacing w:val="-3"/>
          <w:sz w:val="21"/>
          <w:szCs w:val="21"/>
        </w:rPr>
        <w:t>于合同</w:t>
      </w:r>
      <w:r>
        <w:rPr>
          <w:rFonts w:ascii="宋体" w:hAnsi="宋体" w:eastAsia="宋体" w:cs="宋体"/>
          <w:spacing w:val="-9"/>
          <w:sz w:val="21"/>
          <w:szCs w:val="21"/>
        </w:rPr>
        <w:t>工程。</w:t>
      </w:r>
    </w:p>
    <w:p w14:paraId="1ABECE1F">
      <w:pPr>
        <w:spacing w:before="4" w:line="237" w:lineRule="auto"/>
        <w:ind w:left="26"/>
        <w:outlineLvl w:val="0"/>
        <w:rPr>
          <w:rFonts w:ascii="黑体" w:hAnsi="黑体" w:eastAsia="黑体" w:cs="黑体"/>
          <w:sz w:val="28"/>
          <w:szCs w:val="28"/>
        </w:rPr>
      </w:pPr>
      <w:bookmarkStart w:id="258" w:name="bookmark223"/>
      <w:bookmarkEnd w:id="258"/>
      <w:bookmarkStart w:id="259" w:name="bookmark222"/>
      <w:bookmarkEnd w:id="259"/>
      <w:r>
        <w:rPr>
          <w:rFonts w:ascii="Times New Roman" w:hAnsi="Times New Roman" w:eastAsia="Times New Roman" w:cs="Times New Roman"/>
          <w:spacing w:val="6"/>
          <w:sz w:val="28"/>
          <w:szCs w:val="28"/>
        </w:rPr>
        <w:t>7.</w:t>
      </w:r>
      <w:r>
        <w:rPr>
          <w:rFonts w:ascii="黑体" w:hAnsi="黑体" w:eastAsia="黑体" w:cs="黑体"/>
          <w:spacing w:val="6"/>
          <w:sz w:val="28"/>
          <w:szCs w:val="28"/>
        </w:rPr>
        <w:t>交通运输</w:t>
      </w:r>
    </w:p>
    <w:p w14:paraId="581B2471">
      <w:pPr>
        <w:spacing w:before="70" w:line="233" w:lineRule="auto"/>
        <w:ind w:left="24"/>
        <w:outlineLvl w:val="1"/>
        <w:rPr>
          <w:rFonts w:ascii="黑体" w:hAnsi="黑体" w:eastAsia="黑体" w:cs="黑体"/>
          <w:sz w:val="24"/>
          <w:szCs w:val="24"/>
        </w:rPr>
      </w:pPr>
      <w:bookmarkStart w:id="260" w:name="bookmark663"/>
      <w:bookmarkEnd w:id="260"/>
      <w:r>
        <w:rPr>
          <w:rFonts w:ascii="Times New Roman" w:hAnsi="Times New Roman" w:eastAsia="Times New Roman" w:cs="Times New Roman"/>
          <w:spacing w:val="-1"/>
          <w:sz w:val="24"/>
          <w:szCs w:val="24"/>
        </w:rPr>
        <w:t xml:space="preserve">7.1 </w:t>
      </w:r>
      <w:r>
        <w:rPr>
          <w:rFonts w:ascii="黑体" w:hAnsi="黑体" w:eastAsia="黑体" w:cs="黑体"/>
          <w:spacing w:val="-1"/>
          <w:sz w:val="24"/>
          <w:szCs w:val="24"/>
        </w:rPr>
        <w:t>道路通行权和场外设施</w:t>
      </w:r>
    </w:p>
    <w:p w14:paraId="1EEA9521">
      <w:pPr>
        <w:spacing w:before="159" w:line="345" w:lineRule="auto"/>
        <w:ind w:left="27" w:right="128" w:firstLine="419"/>
        <w:rPr>
          <w:rFonts w:ascii="宋体" w:hAnsi="宋体" w:eastAsia="宋体" w:cs="宋体"/>
          <w:sz w:val="21"/>
          <w:szCs w:val="21"/>
        </w:rPr>
      </w:pPr>
      <w:r>
        <w:rPr>
          <w:rFonts w:ascii="宋体" w:hAnsi="宋体" w:eastAsia="宋体" w:cs="宋体"/>
          <w:spacing w:val="-1"/>
          <w:sz w:val="21"/>
          <w:szCs w:val="21"/>
        </w:rPr>
        <w:t>取得道路通行权、场外设施修建权的办理人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其相关费用由</w:t>
      </w:r>
      <w:r>
        <w:rPr>
          <w:rFonts w:ascii="宋体" w:hAnsi="宋体" w:eastAsia="宋体" w:cs="宋体"/>
          <w:spacing w:val="-6"/>
          <w:sz w:val="21"/>
          <w:szCs w:val="21"/>
        </w:rPr>
        <w:t>发包人承担。</w:t>
      </w:r>
    </w:p>
    <w:p w14:paraId="4DBBDA74">
      <w:pPr>
        <w:spacing w:before="1" w:line="234" w:lineRule="auto"/>
        <w:ind w:left="24"/>
        <w:outlineLvl w:val="1"/>
        <w:rPr>
          <w:rFonts w:ascii="黑体" w:hAnsi="黑体" w:eastAsia="黑体" w:cs="黑体"/>
          <w:sz w:val="24"/>
          <w:szCs w:val="24"/>
        </w:rPr>
      </w:pPr>
      <w:bookmarkStart w:id="261" w:name="bookmark224"/>
      <w:bookmarkEnd w:id="261"/>
      <w:r>
        <w:rPr>
          <w:rFonts w:ascii="Times New Roman" w:hAnsi="Times New Roman" w:eastAsia="Times New Roman" w:cs="Times New Roman"/>
          <w:spacing w:val="-1"/>
          <w:sz w:val="24"/>
          <w:szCs w:val="24"/>
        </w:rPr>
        <w:t xml:space="preserve">7.2 </w:t>
      </w:r>
      <w:r>
        <w:rPr>
          <w:rFonts w:ascii="黑体" w:hAnsi="黑体" w:eastAsia="黑体" w:cs="黑体"/>
          <w:spacing w:val="-1"/>
          <w:sz w:val="24"/>
          <w:szCs w:val="24"/>
        </w:rPr>
        <w:t>场内施工道路</w:t>
      </w:r>
    </w:p>
    <w:p w14:paraId="77C70924">
      <w:pPr>
        <w:spacing w:before="155" w:line="372" w:lineRule="auto"/>
        <w:ind w:left="24" w:right="31" w:firstLine="425"/>
        <w:rPr>
          <w:rFonts w:ascii="宋体" w:hAnsi="宋体" w:eastAsia="宋体" w:cs="宋体"/>
          <w:sz w:val="21"/>
          <w:szCs w:val="21"/>
        </w:rPr>
      </w:pPr>
      <w:r>
        <w:rPr>
          <w:rFonts w:ascii="宋体" w:hAnsi="宋体" w:eastAsia="宋体" w:cs="宋体"/>
          <w:spacing w:val="-6"/>
          <w:sz w:val="21"/>
          <w:szCs w:val="21"/>
        </w:rPr>
        <w:t>7.2.1</w:t>
      </w:r>
      <w:r>
        <w:rPr>
          <w:rFonts w:ascii="宋体" w:hAnsi="宋体" w:eastAsia="宋体" w:cs="宋体"/>
          <w:spacing w:val="-37"/>
          <w:sz w:val="21"/>
          <w:szCs w:val="21"/>
        </w:rPr>
        <w:t xml:space="preserve"> </w:t>
      </w:r>
      <w:r>
        <w:rPr>
          <w:rFonts w:ascii="宋体" w:hAnsi="宋体" w:eastAsia="宋体" w:cs="宋体"/>
          <w:spacing w:val="-6"/>
          <w:sz w:val="21"/>
          <w:szCs w:val="21"/>
        </w:rPr>
        <w:t>施工所需的场内临时道路和交通设施的修建、维护、养护和管理人</w:t>
      </w:r>
      <w:r>
        <w:rPr>
          <w:rFonts w:ascii="宋体" w:hAnsi="宋体" w:eastAsia="宋体" w:cs="宋体"/>
          <w:spacing w:val="-17"/>
          <w:sz w:val="21"/>
          <w:szCs w:val="21"/>
        </w:rPr>
        <w:t>：</w:t>
      </w:r>
      <w:r>
        <w:rPr>
          <w:rFonts w:ascii="宋体" w:hAnsi="宋体" w:eastAsia="宋体" w:cs="宋体"/>
          <w:spacing w:val="2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4"/>
          <w:sz w:val="21"/>
          <w:szCs w:val="21"/>
        </w:rPr>
        <w:t>相关费用由</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4"/>
          <w:sz w:val="21"/>
          <w:szCs w:val="21"/>
        </w:rPr>
        <w:t>承担。</w:t>
      </w:r>
    </w:p>
    <w:p w14:paraId="61AAFA33">
      <w:pPr>
        <w:spacing w:before="10" w:line="352" w:lineRule="auto"/>
        <w:ind w:left="27" w:right="67" w:firstLine="422"/>
        <w:rPr>
          <w:rFonts w:ascii="宋体" w:hAnsi="宋体" w:eastAsia="宋体" w:cs="宋体"/>
          <w:sz w:val="21"/>
          <w:szCs w:val="21"/>
        </w:rPr>
      </w:pPr>
      <w:r>
        <w:rPr>
          <w:rFonts w:ascii="宋体" w:hAnsi="宋体" w:eastAsia="宋体" w:cs="宋体"/>
          <w:spacing w:val="-1"/>
          <w:sz w:val="21"/>
          <w:szCs w:val="21"/>
        </w:rPr>
        <w:t>7.2.2</w:t>
      </w:r>
      <w:r>
        <w:rPr>
          <w:rFonts w:ascii="宋体" w:hAnsi="宋体" w:eastAsia="宋体" w:cs="宋体"/>
          <w:spacing w:val="-33"/>
          <w:sz w:val="21"/>
          <w:szCs w:val="21"/>
        </w:rPr>
        <w:t xml:space="preserve"> </w:t>
      </w:r>
      <w:r>
        <w:rPr>
          <w:rFonts w:ascii="宋体" w:hAnsi="宋体" w:eastAsia="宋体" w:cs="宋体"/>
          <w:spacing w:val="-1"/>
          <w:sz w:val="21"/>
          <w:szCs w:val="21"/>
        </w:rPr>
        <w:t>发包人和监理人有权无偿使用承包人修建的临时道路和交通设施，不需要交纳任</w:t>
      </w:r>
      <w:r>
        <w:rPr>
          <w:rFonts w:ascii="宋体" w:hAnsi="宋体" w:eastAsia="宋体" w:cs="宋体"/>
          <w:spacing w:val="-8"/>
          <w:sz w:val="21"/>
          <w:szCs w:val="21"/>
        </w:rPr>
        <w:t>何费用。</w:t>
      </w:r>
    </w:p>
    <w:p w14:paraId="57D6C8C4">
      <w:pPr>
        <w:spacing w:before="1" w:line="232" w:lineRule="auto"/>
        <w:ind w:left="24"/>
        <w:outlineLvl w:val="1"/>
        <w:rPr>
          <w:rFonts w:ascii="黑体" w:hAnsi="黑体" w:eastAsia="黑体" w:cs="黑体"/>
          <w:sz w:val="24"/>
          <w:szCs w:val="24"/>
        </w:rPr>
      </w:pPr>
      <w:bookmarkStart w:id="262" w:name="bookmark225"/>
      <w:bookmarkEnd w:id="262"/>
      <w:r>
        <w:rPr>
          <w:rFonts w:ascii="Times New Roman" w:hAnsi="Times New Roman" w:eastAsia="Times New Roman" w:cs="Times New Roman"/>
          <w:spacing w:val="-1"/>
          <w:sz w:val="24"/>
          <w:szCs w:val="24"/>
        </w:rPr>
        <w:t xml:space="preserve">7.4 </w:t>
      </w:r>
      <w:r>
        <w:rPr>
          <w:rFonts w:ascii="黑体" w:hAnsi="黑体" w:eastAsia="黑体" w:cs="黑体"/>
          <w:spacing w:val="-1"/>
          <w:sz w:val="24"/>
          <w:szCs w:val="24"/>
        </w:rPr>
        <w:t>超大件和超重件的运输</w:t>
      </w:r>
    </w:p>
    <w:p w14:paraId="5D5353CE">
      <w:pPr>
        <w:spacing w:before="173" w:line="220" w:lineRule="auto"/>
        <w:ind w:left="444"/>
        <w:rPr>
          <w:rFonts w:ascii="宋体" w:hAnsi="宋体" w:eastAsia="宋体" w:cs="宋体"/>
          <w:sz w:val="21"/>
          <w:szCs w:val="21"/>
        </w:rPr>
      </w:pPr>
      <w:r>
        <w:rPr>
          <w:rFonts w:ascii="宋体" w:hAnsi="宋体" w:eastAsia="宋体" w:cs="宋体"/>
          <w:spacing w:val="22"/>
          <w:w w:val="119"/>
          <w:sz w:val="21"/>
          <w:szCs w:val="21"/>
        </w:rPr>
        <w:t>运输超大件或超重件所需的道路和桥梁临时加固改造等费用的</w:t>
      </w:r>
      <w:r>
        <w:rPr>
          <w:rFonts w:ascii="宋体" w:hAnsi="宋体" w:eastAsia="宋体" w:cs="宋体"/>
          <w:spacing w:val="21"/>
          <w:w w:val="119"/>
          <w:sz w:val="21"/>
          <w:szCs w:val="21"/>
        </w:rPr>
        <w:t>承担</w:t>
      </w:r>
    </w:p>
    <w:p w14:paraId="6EF5BB63">
      <w:pPr>
        <w:spacing w:line="220" w:lineRule="auto"/>
        <w:rPr>
          <w:rFonts w:ascii="宋体" w:hAnsi="宋体" w:eastAsia="宋体" w:cs="宋体"/>
          <w:sz w:val="21"/>
          <w:szCs w:val="21"/>
        </w:rPr>
        <w:sectPr>
          <w:footerReference r:id="rId120" w:type="default"/>
          <w:pgSz w:w="11910" w:h="16845"/>
          <w:pgMar w:top="400" w:right="1697" w:bottom="1110" w:left="1786" w:header="0" w:footer="883" w:gutter="0"/>
          <w:cols w:space="720" w:num="1"/>
        </w:sectPr>
      </w:pPr>
    </w:p>
    <w:p w14:paraId="4AFF13EB">
      <w:pPr>
        <w:pStyle w:val="2"/>
        <w:spacing w:line="286" w:lineRule="auto"/>
      </w:pPr>
    </w:p>
    <w:p w14:paraId="34A5BDCB">
      <w:pPr>
        <w:pStyle w:val="2"/>
        <w:spacing w:line="286" w:lineRule="auto"/>
      </w:pPr>
    </w:p>
    <w:p w14:paraId="668B3674">
      <w:pPr>
        <w:pStyle w:val="2"/>
        <w:spacing w:line="287" w:lineRule="auto"/>
      </w:pPr>
    </w:p>
    <w:p w14:paraId="11C070CC">
      <w:pPr>
        <w:pStyle w:val="2"/>
        <w:spacing w:line="287" w:lineRule="auto"/>
      </w:pPr>
    </w:p>
    <w:p w14:paraId="1F1AA141">
      <w:pPr>
        <w:spacing w:before="68" w:line="222" w:lineRule="auto"/>
        <w:ind w:left="25"/>
        <w:rPr>
          <w:rFonts w:ascii="宋体" w:hAnsi="宋体" w:eastAsia="宋体" w:cs="宋体"/>
          <w:sz w:val="21"/>
          <w:szCs w:val="21"/>
        </w:rPr>
      </w:pPr>
      <w:r>
        <w:rPr>
          <w:rFonts w:ascii="宋体" w:hAnsi="宋体" w:eastAsia="宋体" w:cs="宋体"/>
          <w:spacing w:val="-4"/>
          <w:sz w:val="21"/>
          <w:szCs w:val="21"/>
        </w:rPr>
        <w:t>人：</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610F40C9">
      <w:pPr>
        <w:spacing w:before="178" w:line="234" w:lineRule="auto"/>
        <w:ind w:left="33"/>
        <w:outlineLvl w:val="0"/>
        <w:rPr>
          <w:rFonts w:ascii="黑体" w:hAnsi="黑体" w:eastAsia="黑体" w:cs="黑体"/>
          <w:sz w:val="28"/>
          <w:szCs w:val="28"/>
        </w:rPr>
      </w:pPr>
      <w:bookmarkStart w:id="263" w:name="bookmark226"/>
      <w:bookmarkEnd w:id="263"/>
      <w:bookmarkStart w:id="264" w:name="bookmark227"/>
      <w:bookmarkEnd w:id="264"/>
      <w:r>
        <w:rPr>
          <w:rFonts w:ascii="Times New Roman" w:hAnsi="Times New Roman" w:eastAsia="Times New Roman" w:cs="Times New Roman"/>
          <w:spacing w:val="5"/>
          <w:sz w:val="28"/>
          <w:szCs w:val="28"/>
        </w:rPr>
        <w:t>8.</w:t>
      </w:r>
      <w:r>
        <w:rPr>
          <w:rFonts w:ascii="黑体" w:hAnsi="黑体" w:eastAsia="黑体" w:cs="黑体"/>
          <w:spacing w:val="5"/>
          <w:sz w:val="28"/>
          <w:szCs w:val="28"/>
        </w:rPr>
        <w:t>测量放线</w:t>
      </w:r>
    </w:p>
    <w:p w14:paraId="5ABB2E2F">
      <w:pPr>
        <w:spacing w:before="89" w:line="234" w:lineRule="auto"/>
        <w:ind w:left="30"/>
        <w:outlineLvl w:val="1"/>
        <w:rPr>
          <w:rFonts w:ascii="黑体" w:hAnsi="黑体" w:eastAsia="黑体" w:cs="黑体"/>
          <w:sz w:val="24"/>
          <w:szCs w:val="24"/>
        </w:rPr>
      </w:pPr>
      <w:bookmarkStart w:id="265" w:name="bookmark664"/>
      <w:bookmarkEnd w:id="265"/>
      <w:r>
        <w:rPr>
          <w:rFonts w:ascii="Times New Roman" w:hAnsi="Times New Roman" w:eastAsia="Times New Roman" w:cs="Times New Roman"/>
          <w:spacing w:val="-2"/>
          <w:sz w:val="24"/>
          <w:szCs w:val="24"/>
        </w:rPr>
        <w:t xml:space="preserve">8.1 </w:t>
      </w:r>
      <w:r>
        <w:rPr>
          <w:rFonts w:ascii="黑体" w:hAnsi="黑体" w:eastAsia="黑体" w:cs="黑体"/>
          <w:spacing w:val="-2"/>
          <w:sz w:val="24"/>
          <w:szCs w:val="24"/>
        </w:rPr>
        <w:t>施工控制网</w:t>
      </w:r>
    </w:p>
    <w:p w14:paraId="46EFE312">
      <w:pPr>
        <w:spacing w:before="156" w:line="219" w:lineRule="auto"/>
        <w:ind w:left="445"/>
        <w:rPr>
          <w:rFonts w:ascii="宋体" w:hAnsi="宋体" w:eastAsia="宋体" w:cs="宋体"/>
          <w:sz w:val="21"/>
          <w:szCs w:val="21"/>
        </w:rPr>
      </w:pPr>
      <w:r>
        <w:rPr>
          <w:rFonts w:ascii="宋体" w:hAnsi="宋体" w:eastAsia="宋体" w:cs="宋体"/>
          <w:spacing w:val="-1"/>
          <w:sz w:val="21"/>
          <w:szCs w:val="21"/>
        </w:rPr>
        <w:t>8.1.1</w:t>
      </w:r>
      <w:r>
        <w:rPr>
          <w:rFonts w:ascii="宋体" w:hAnsi="宋体" w:eastAsia="宋体" w:cs="宋体"/>
          <w:spacing w:val="-32"/>
          <w:sz w:val="21"/>
          <w:szCs w:val="21"/>
        </w:rPr>
        <w:t xml:space="preserve"> </w:t>
      </w:r>
      <w:r>
        <w:rPr>
          <w:rFonts w:ascii="宋体" w:hAnsi="宋体" w:eastAsia="宋体" w:cs="宋体"/>
          <w:spacing w:val="-1"/>
          <w:sz w:val="21"/>
          <w:szCs w:val="21"/>
        </w:rPr>
        <w:t>发包人通过监理人提供测量基准点、基准线和水</w:t>
      </w:r>
      <w:r>
        <w:rPr>
          <w:rFonts w:ascii="宋体" w:hAnsi="宋体" w:eastAsia="宋体" w:cs="宋体"/>
          <w:spacing w:val="-2"/>
          <w:sz w:val="21"/>
          <w:szCs w:val="21"/>
        </w:rPr>
        <w:t>准点及其书面资料的期限：</w:t>
      </w:r>
      <w:r>
        <w:rPr>
          <w:rFonts w:ascii="宋体" w:hAnsi="宋体" w:eastAsia="宋体" w:cs="宋体"/>
          <w:spacing w:val="-2"/>
          <w:sz w:val="21"/>
          <w:szCs w:val="21"/>
          <w:u w:val="single" w:color="auto"/>
        </w:rPr>
        <w:t xml:space="preserve">    </w:t>
      </w:r>
    </w:p>
    <w:p w14:paraId="3D0A1451">
      <w:pPr>
        <w:pStyle w:val="2"/>
        <w:spacing w:line="266" w:lineRule="auto"/>
      </w:pPr>
    </w:p>
    <w:p w14:paraId="5A66CD70">
      <w:pPr>
        <w:tabs>
          <w:tab w:val="left" w:pos="8215"/>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3B9D88F">
      <w:pPr>
        <w:spacing w:before="194" w:line="220" w:lineRule="auto"/>
        <w:ind w:left="444"/>
        <w:rPr>
          <w:rFonts w:ascii="宋体" w:hAnsi="宋体" w:eastAsia="宋体" w:cs="宋体"/>
          <w:sz w:val="21"/>
          <w:szCs w:val="21"/>
        </w:rPr>
      </w:pPr>
      <w:r>
        <w:rPr>
          <w:rFonts w:ascii="宋体" w:hAnsi="宋体" w:eastAsia="宋体" w:cs="宋体"/>
          <w:spacing w:val="-1"/>
          <w:sz w:val="21"/>
          <w:szCs w:val="21"/>
        </w:rPr>
        <w:t>承包人测设施工控制网的要求：</w:t>
      </w:r>
      <w:r>
        <w:rPr>
          <w:rFonts w:ascii="宋体" w:hAnsi="宋体" w:eastAsia="宋体" w:cs="宋体"/>
          <w:sz w:val="21"/>
          <w:szCs w:val="21"/>
          <w:u w:val="single" w:color="auto"/>
        </w:rPr>
        <w:t xml:space="preserve">                                                </w:t>
      </w:r>
    </w:p>
    <w:p w14:paraId="36DBE613">
      <w:pPr>
        <w:pStyle w:val="2"/>
        <w:spacing w:line="251" w:lineRule="auto"/>
      </w:pPr>
    </w:p>
    <w:p w14:paraId="2CFC3703">
      <w:pPr>
        <w:tabs>
          <w:tab w:val="left" w:pos="8215"/>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50EE876">
      <w:pPr>
        <w:spacing w:before="208" w:line="220" w:lineRule="auto"/>
        <w:ind w:left="444"/>
        <w:rPr>
          <w:rFonts w:ascii="宋体" w:hAnsi="宋体" w:eastAsia="宋体" w:cs="宋体"/>
          <w:sz w:val="21"/>
          <w:szCs w:val="21"/>
        </w:rPr>
      </w:pPr>
      <w:r>
        <w:rPr>
          <w:rFonts w:ascii="宋体" w:hAnsi="宋体" w:eastAsia="宋体" w:cs="宋体"/>
          <w:spacing w:val="-1"/>
          <w:sz w:val="21"/>
          <w:szCs w:val="21"/>
        </w:rPr>
        <w:t>承包人将施工控制网资料报送监理人审批的期限：</w:t>
      </w:r>
      <w:r>
        <w:rPr>
          <w:rFonts w:ascii="宋体" w:hAnsi="宋体" w:eastAsia="宋体" w:cs="宋体"/>
          <w:sz w:val="21"/>
          <w:szCs w:val="21"/>
          <w:u w:val="single" w:color="auto"/>
        </w:rPr>
        <w:t xml:space="preserve">                                </w:t>
      </w:r>
    </w:p>
    <w:p w14:paraId="21E635E7">
      <w:pPr>
        <w:pStyle w:val="2"/>
        <w:spacing w:line="251" w:lineRule="auto"/>
      </w:pPr>
    </w:p>
    <w:p w14:paraId="7FB086FB">
      <w:pPr>
        <w:spacing w:before="69" w:line="46" w:lineRule="exact"/>
        <w:jc w:val="right"/>
        <w:rPr>
          <w:rFonts w:ascii="宋体" w:hAnsi="宋体" w:eastAsia="宋体" w:cs="宋体"/>
          <w:sz w:val="21"/>
          <w:szCs w:val="21"/>
        </w:rPr>
      </w:pPr>
      <w:r>
        <w:pict>
          <v:shape id="_x0000_s1034" o:spid="_x0000_s1034" o:spt="202" type="#_x0000_t202" style="position:absolute;left:0pt;margin-left:-0.2pt;margin-top:-3.25pt;height:59.8pt;width:412.05pt;z-index:251676672;mso-width-relative:page;mso-height-relative:page;" filled="f" stroked="f" coordsize="21600,21600">
            <v:path/>
            <v:fill on="f" focussize="0,0"/>
            <v:stroke on="f"/>
            <v:imagedata o:title=""/>
            <o:lock v:ext="edit" aspectratio="f"/>
            <v:textbox inset="0mm,0mm,0mm,0mm">
              <w:txbxContent>
                <w:p w14:paraId="76E7F50D">
                  <w:pPr>
                    <w:pStyle w:val="2"/>
                    <w:tabs>
                      <w:tab w:val="left" w:pos="8220"/>
                    </w:tabs>
                    <w:spacing w:before="20"/>
                    <w:ind w:left="20"/>
                  </w:pPr>
                  <w:r>
                    <w:rPr>
                      <w:u w:val="single" w:color="auto"/>
                    </w:rPr>
                    <w:tab/>
                  </w:r>
                </w:p>
                <w:p w14:paraId="1A7A933C">
                  <w:pPr>
                    <w:spacing w:before="167" w:line="237" w:lineRule="auto"/>
                    <w:ind w:left="31"/>
                    <w:outlineLvl w:val="0"/>
                    <w:rPr>
                      <w:rFonts w:ascii="黑体" w:hAnsi="黑体" w:eastAsia="黑体" w:cs="黑体"/>
                      <w:sz w:val="28"/>
                      <w:szCs w:val="28"/>
                    </w:rPr>
                  </w:pPr>
                  <w:bookmarkStart w:id="677" w:name="bookmark229"/>
                  <w:bookmarkEnd w:id="677"/>
                  <w:bookmarkStart w:id="678" w:name="bookmark228"/>
                  <w:bookmarkEnd w:id="678"/>
                  <w:r>
                    <w:rPr>
                      <w:rFonts w:ascii="Times New Roman" w:hAnsi="Times New Roman" w:eastAsia="Times New Roman" w:cs="Times New Roman"/>
                      <w:spacing w:val="3"/>
                      <w:sz w:val="28"/>
                      <w:szCs w:val="28"/>
                    </w:rPr>
                    <w:t>9.</w:t>
                  </w:r>
                  <w:r>
                    <w:rPr>
                      <w:rFonts w:ascii="黑体" w:hAnsi="黑体" w:eastAsia="黑体" w:cs="黑体"/>
                      <w:spacing w:val="3"/>
                      <w:sz w:val="28"/>
                      <w:szCs w:val="28"/>
                    </w:rPr>
                    <w:t>施工安全、治安保卫和环境保护</w:t>
                  </w:r>
                </w:p>
                <w:p w14:paraId="63A240C6">
                  <w:pPr>
                    <w:spacing w:before="85" w:line="232" w:lineRule="auto"/>
                    <w:ind w:left="29"/>
                    <w:outlineLvl w:val="1"/>
                    <w:rPr>
                      <w:rFonts w:ascii="黑体" w:hAnsi="黑体" w:eastAsia="黑体" w:cs="黑体"/>
                      <w:sz w:val="24"/>
                      <w:szCs w:val="24"/>
                    </w:rPr>
                  </w:pPr>
                  <w:bookmarkStart w:id="679" w:name="bookmark666"/>
                  <w:bookmarkEnd w:id="679"/>
                  <w:r>
                    <w:rPr>
                      <w:rFonts w:ascii="Times New Roman" w:hAnsi="Times New Roman" w:eastAsia="Times New Roman" w:cs="Times New Roman"/>
                      <w:spacing w:val="-1"/>
                      <w:sz w:val="24"/>
                      <w:szCs w:val="24"/>
                    </w:rPr>
                    <w:t xml:space="preserve">9.2 </w:t>
                  </w:r>
                  <w:r>
                    <w:rPr>
                      <w:rFonts w:ascii="黑体" w:hAnsi="黑体" w:eastAsia="黑体" w:cs="黑体"/>
                      <w:spacing w:val="-1"/>
                      <w:sz w:val="24"/>
                      <w:szCs w:val="24"/>
                    </w:rPr>
                    <w:t>承包人的施工安全责任</w:t>
                  </w:r>
                </w:p>
              </w:txbxContent>
            </v:textbox>
          </v:shape>
        </w:pict>
      </w:r>
      <w:r>
        <w:rPr>
          <w:rFonts w:ascii="宋体" w:hAnsi="宋体" w:eastAsia="宋体" w:cs="宋体"/>
          <w:spacing w:val="-56"/>
          <w:w w:val="98"/>
          <w:position w:val="-1"/>
          <w:sz w:val="21"/>
          <w:szCs w:val="21"/>
        </w:rPr>
        <w:t>。</w:t>
      </w:r>
    </w:p>
    <w:p w14:paraId="0D1F49B0">
      <w:pPr>
        <w:pStyle w:val="2"/>
        <w:spacing w:line="269" w:lineRule="auto"/>
      </w:pPr>
    </w:p>
    <w:p w14:paraId="315A1A6E">
      <w:pPr>
        <w:pStyle w:val="2"/>
        <w:spacing w:line="270" w:lineRule="auto"/>
      </w:pPr>
    </w:p>
    <w:p w14:paraId="5DE36733">
      <w:pPr>
        <w:pStyle w:val="2"/>
        <w:spacing w:line="270" w:lineRule="auto"/>
      </w:pPr>
    </w:p>
    <w:p w14:paraId="6FB0250A">
      <w:pPr>
        <w:pStyle w:val="2"/>
        <w:spacing w:line="270" w:lineRule="auto"/>
      </w:pPr>
    </w:p>
    <w:p w14:paraId="0F57E267">
      <w:pPr>
        <w:spacing w:before="68" w:line="220" w:lineRule="auto"/>
        <w:jc w:val="right"/>
        <w:rPr>
          <w:rFonts w:ascii="宋体" w:hAnsi="宋体" w:eastAsia="宋体" w:cs="宋体"/>
          <w:sz w:val="21"/>
          <w:szCs w:val="21"/>
        </w:rPr>
      </w:pPr>
      <w:r>
        <w:rPr>
          <w:rFonts w:ascii="宋体" w:hAnsi="宋体" w:eastAsia="宋体" w:cs="宋体"/>
          <w:spacing w:val="-1"/>
          <w:sz w:val="21"/>
          <w:szCs w:val="21"/>
        </w:rPr>
        <w:t>9.2.1</w:t>
      </w:r>
      <w:r>
        <w:rPr>
          <w:rFonts w:ascii="宋体" w:hAnsi="宋体" w:eastAsia="宋体" w:cs="宋体"/>
          <w:spacing w:val="-36"/>
          <w:sz w:val="21"/>
          <w:szCs w:val="21"/>
        </w:rPr>
        <w:t xml:space="preserve"> </w:t>
      </w:r>
      <w:r>
        <w:rPr>
          <w:rFonts w:ascii="宋体" w:hAnsi="宋体" w:eastAsia="宋体" w:cs="宋体"/>
          <w:spacing w:val="-1"/>
          <w:sz w:val="21"/>
          <w:szCs w:val="21"/>
        </w:rPr>
        <w:t>承包人向监理人报送施工安全措施计划的期限：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670CEF99">
      <w:pPr>
        <w:spacing w:before="201" w:line="220" w:lineRule="auto"/>
        <w:ind w:left="445"/>
        <w:rPr>
          <w:rFonts w:ascii="宋体" w:hAnsi="宋体" w:eastAsia="宋体" w:cs="宋体"/>
          <w:sz w:val="21"/>
          <w:szCs w:val="21"/>
        </w:rPr>
      </w:pPr>
      <w:r>
        <w:rPr>
          <w:rFonts w:ascii="宋体" w:hAnsi="宋体" w:eastAsia="宋体" w:cs="宋体"/>
          <w:spacing w:val="-1"/>
          <w:sz w:val="21"/>
          <w:szCs w:val="21"/>
        </w:rPr>
        <w:t>监理人收到承包人报送的施工安全措施计划后应当在</w:t>
      </w:r>
      <w:r>
        <w:rPr>
          <w:rFonts w:ascii="宋体" w:hAnsi="宋体" w:eastAsia="宋体" w:cs="宋体"/>
          <w:spacing w:val="-1"/>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天内给予批复。</w:t>
      </w:r>
    </w:p>
    <w:p w14:paraId="747DD853">
      <w:pPr>
        <w:spacing w:before="114" w:line="233" w:lineRule="auto"/>
        <w:ind w:left="25"/>
        <w:outlineLvl w:val="1"/>
        <w:rPr>
          <w:rFonts w:ascii="黑体" w:hAnsi="黑体" w:eastAsia="黑体" w:cs="黑体"/>
          <w:sz w:val="24"/>
          <w:szCs w:val="24"/>
        </w:rPr>
      </w:pPr>
      <w:bookmarkStart w:id="266" w:name="bookmark230"/>
      <w:bookmarkEnd w:id="266"/>
      <w:r>
        <w:rPr>
          <w:rFonts w:ascii="Times New Roman" w:hAnsi="Times New Roman" w:eastAsia="Times New Roman" w:cs="Times New Roman"/>
          <w:spacing w:val="-3"/>
          <w:sz w:val="24"/>
          <w:szCs w:val="24"/>
        </w:rPr>
        <w:t>9.3</w:t>
      </w:r>
      <w:r>
        <w:rPr>
          <w:rFonts w:ascii="Times New Roman" w:hAnsi="Times New Roman" w:eastAsia="Times New Roman" w:cs="Times New Roman"/>
          <w:spacing w:val="15"/>
          <w:sz w:val="24"/>
          <w:szCs w:val="24"/>
        </w:rPr>
        <w:t xml:space="preserve"> </w:t>
      </w:r>
      <w:r>
        <w:rPr>
          <w:rFonts w:ascii="黑体" w:hAnsi="黑体" w:eastAsia="黑体" w:cs="黑体"/>
          <w:spacing w:val="-3"/>
          <w:sz w:val="24"/>
          <w:szCs w:val="24"/>
        </w:rPr>
        <w:t>治安保卫</w:t>
      </w:r>
    </w:p>
    <w:p w14:paraId="10CD792F">
      <w:pPr>
        <w:spacing w:before="173" w:line="383" w:lineRule="auto"/>
        <w:ind w:left="31" w:right="67" w:firstLine="413"/>
        <w:rPr>
          <w:rFonts w:ascii="宋体" w:hAnsi="宋体" w:eastAsia="宋体" w:cs="宋体"/>
          <w:sz w:val="21"/>
          <w:szCs w:val="21"/>
        </w:rPr>
      </w:pPr>
      <w:r>
        <w:rPr>
          <w:rFonts w:ascii="宋体" w:hAnsi="宋体" w:eastAsia="宋体" w:cs="宋体"/>
          <w:spacing w:val="-1"/>
          <w:sz w:val="21"/>
          <w:szCs w:val="21"/>
        </w:rPr>
        <w:t>9.3.1</w:t>
      </w:r>
      <w:r>
        <w:rPr>
          <w:rFonts w:ascii="宋体" w:hAnsi="宋体" w:eastAsia="宋体" w:cs="宋体"/>
          <w:spacing w:val="-28"/>
          <w:sz w:val="21"/>
          <w:szCs w:val="21"/>
        </w:rPr>
        <w:t xml:space="preserve"> </w:t>
      </w:r>
      <w:r>
        <w:rPr>
          <w:rFonts w:ascii="宋体" w:hAnsi="宋体" w:eastAsia="宋体" w:cs="宋体"/>
          <w:spacing w:val="-1"/>
          <w:sz w:val="21"/>
          <w:szCs w:val="21"/>
        </w:rPr>
        <w:t>承包人应当负责统一管理施工场地的治安保卫事项，履行合同工程的治安保卫职</w:t>
      </w:r>
      <w:r>
        <w:rPr>
          <w:rFonts w:ascii="宋体" w:hAnsi="宋体" w:eastAsia="宋体" w:cs="宋体"/>
          <w:spacing w:val="-12"/>
          <w:sz w:val="21"/>
          <w:szCs w:val="21"/>
        </w:rPr>
        <w:t>责。</w:t>
      </w:r>
    </w:p>
    <w:p w14:paraId="500846BF">
      <w:pPr>
        <w:spacing w:line="358" w:lineRule="auto"/>
        <w:ind w:left="25" w:right="74" w:firstLine="419"/>
        <w:rPr>
          <w:rFonts w:ascii="宋体" w:hAnsi="宋体" w:eastAsia="宋体" w:cs="宋体"/>
          <w:sz w:val="21"/>
          <w:szCs w:val="21"/>
        </w:rPr>
      </w:pPr>
      <w:r>
        <w:rPr>
          <w:rFonts w:ascii="宋体" w:hAnsi="宋体" w:eastAsia="宋体" w:cs="宋体"/>
          <w:spacing w:val="-10"/>
          <w:sz w:val="21"/>
          <w:szCs w:val="21"/>
        </w:rPr>
        <w:t>9.3.3</w:t>
      </w:r>
      <w:r>
        <w:rPr>
          <w:rFonts w:ascii="宋体" w:hAnsi="宋体" w:eastAsia="宋体" w:cs="宋体"/>
          <w:spacing w:val="83"/>
          <w:sz w:val="21"/>
          <w:szCs w:val="21"/>
        </w:rPr>
        <w:t xml:space="preserve"> </w:t>
      </w:r>
      <w:r>
        <w:rPr>
          <w:rFonts w:ascii="宋体" w:hAnsi="宋体" w:eastAsia="宋体" w:cs="宋体"/>
          <w:spacing w:val="-10"/>
          <w:sz w:val="21"/>
          <w:szCs w:val="21"/>
        </w:rPr>
        <w:t>施 工 场</w:t>
      </w:r>
      <w:r>
        <w:rPr>
          <w:rFonts w:ascii="宋体" w:hAnsi="宋体" w:eastAsia="宋体" w:cs="宋体"/>
          <w:spacing w:val="-36"/>
          <w:sz w:val="21"/>
          <w:szCs w:val="21"/>
        </w:rPr>
        <w:t xml:space="preserve"> </w:t>
      </w:r>
      <w:r>
        <w:rPr>
          <w:rFonts w:ascii="宋体" w:hAnsi="宋体" w:eastAsia="宋体" w:cs="宋体"/>
          <w:spacing w:val="-10"/>
          <w:sz w:val="21"/>
          <w:szCs w:val="21"/>
        </w:rPr>
        <w:t>地</w:t>
      </w:r>
      <w:r>
        <w:rPr>
          <w:rFonts w:ascii="宋体" w:hAnsi="宋体" w:eastAsia="宋体" w:cs="宋体"/>
          <w:spacing w:val="-17"/>
          <w:sz w:val="21"/>
          <w:szCs w:val="21"/>
        </w:rPr>
        <w:t xml:space="preserve"> </w:t>
      </w:r>
      <w:r>
        <w:rPr>
          <w:rFonts w:ascii="宋体" w:hAnsi="宋体" w:eastAsia="宋体" w:cs="宋体"/>
          <w:spacing w:val="-10"/>
          <w:sz w:val="21"/>
          <w:szCs w:val="21"/>
        </w:rPr>
        <w:t>治</w:t>
      </w:r>
      <w:r>
        <w:rPr>
          <w:rFonts w:ascii="宋体" w:hAnsi="宋体" w:eastAsia="宋体" w:cs="宋体"/>
          <w:spacing w:val="-32"/>
          <w:sz w:val="21"/>
          <w:szCs w:val="21"/>
        </w:rPr>
        <w:t xml:space="preserve"> </w:t>
      </w:r>
      <w:r>
        <w:rPr>
          <w:rFonts w:ascii="宋体" w:hAnsi="宋体" w:eastAsia="宋体" w:cs="宋体"/>
          <w:spacing w:val="-10"/>
          <w:sz w:val="21"/>
          <w:szCs w:val="21"/>
        </w:rPr>
        <w:t>安</w:t>
      </w:r>
      <w:r>
        <w:rPr>
          <w:rFonts w:ascii="宋体" w:hAnsi="宋体" w:eastAsia="宋体" w:cs="宋体"/>
          <w:spacing w:val="-16"/>
          <w:sz w:val="21"/>
          <w:szCs w:val="21"/>
        </w:rPr>
        <w:t xml:space="preserve"> </w:t>
      </w:r>
      <w:r>
        <w:rPr>
          <w:rFonts w:ascii="宋体" w:hAnsi="宋体" w:eastAsia="宋体" w:cs="宋体"/>
          <w:spacing w:val="-10"/>
          <w:sz w:val="21"/>
          <w:szCs w:val="21"/>
        </w:rPr>
        <w:t>管</w:t>
      </w:r>
      <w:r>
        <w:rPr>
          <w:rFonts w:ascii="宋体" w:hAnsi="宋体" w:eastAsia="宋体" w:cs="宋体"/>
          <w:spacing w:val="-19"/>
          <w:sz w:val="21"/>
          <w:szCs w:val="21"/>
        </w:rPr>
        <w:t xml:space="preserve"> </w:t>
      </w:r>
      <w:r>
        <w:rPr>
          <w:rFonts w:ascii="宋体" w:hAnsi="宋体" w:eastAsia="宋体" w:cs="宋体"/>
          <w:spacing w:val="-10"/>
          <w:sz w:val="21"/>
          <w:szCs w:val="21"/>
        </w:rPr>
        <w:t>理</w:t>
      </w:r>
      <w:r>
        <w:rPr>
          <w:rFonts w:ascii="宋体" w:hAnsi="宋体" w:eastAsia="宋体" w:cs="宋体"/>
          <w:spacing w:val="-37"/>
          <w:sz w:val="21"/>
          <w:szCs w:val="21"/>
        </w:rPr>
        <w:t xml:space="preserve"> </w:t>
      </w:r>
      <w:r>
        <w:rPr>
          <w:rFonts w:ascii="宋体" w:hAnsi="宋体" w:eastAsia="宋体" w:cs="宋体"/>
          <w:spacing w:val="-10"/>
          <w:sz w:val="21"/>
          <w:szCs w:val="21"/>
        </w:rPr>
        <w:t>计</w:t>
      </w:r>
      <w:r>
        <w:rPr>
          <w:rFonts w:ascii="宋体" w:hAnsi="宋体" w:eastAsia="宋体" w:cs="宋体"/>
          <w:spacing w:val="-22"/>
          <w:sz w:val="21"/>
          <w:szCs w:val="21"/>
        </w:rPr>
        <w:t xml:space="preserve"> </w:t>
      </w:r>
      <w:r>
        <w:rPr>
          <w:rFonts w:ascii="宋体" w:hAnsi="宋体" w:eastAsia="宋体" w:cs="宋体"/>
          <w:spacing w:val="-10"/>
          <w:sz w:val="21"/>
          <w:szCs w:val="21"/>
        </w:rPr>
        <w:t>划</w:t>
      </w:r>
      <w:r>
        <w:rPr>
          <w:rFonts w:ascii="宋体" w:hAnsi="宋体" w:eastAsia="宋体" w:cs="宋体"/>
          <w:spacing w:val="-21"/>
          <w:sz w:val="21"/>
          <w:szCs w:val="21"/>
        </w:rPr>
        <w:t xml:space="preserve"> </w:t>
      </w:r>
      <w:r>
        <w:rPr>
          <w:rFonts w:ascii="宋体" w:hAnsi="宋体" w:eastAsia="宋体" w:cs="宋体"/>
          <w:spacing w:val="-10"/>
          <w:sz w:val="21"/>
          <w:szCs w:val="21"/>
        </w:rPr>
        <w:t>和</w:t>
      </w:r>
      <w:r>
        <w:rPr>
          <w:rFonts w:ascii="宋体" w:hAnsi="宋体" w:eastAsia="宋体" w:cs="宋体"/>
          <w:spacing w:val="-29"/>
          <w:sz w:val="21"/>
          <w:szCs w:val="21"/>
        </w:rPr>
        <w:t xml:space="preserve"> </w:t>
      </w:r>
      <w:r>
        <w:rPr>
          <w:rFonts w:ascii="宋体" w:hAnsi="宋体" w:eastAsia="宋体" w:cs="宋体"/>
          <w:spacing w:val="-10"/>
          <w:sz w:val="21"/>
          <w:szCs w:val="21"/>
        </w:rPr>
        <w:t>突</w:t>
      </w:r>
      <w:r>
        <w:rPr>
          <w:rFonts w:ascii="宋体" w:hAnsi="宋体" w:eastAsia="宋体" w:cs="宋体"/>
          <w:spacing w:val="-18"/>
          <w:sz w:val="21"/>
          <w:szCs w:val="21"/>
        </w:rPr>
        <w:t xml:space="preserve"> </w:t>
      </w:r>
      <w:r>
        <w:rPr>
          <w:rFonts w:ascii="宋体" w:hAnsi="宋体" w:eastAsia="宋体" w:cs="宋体"/>
          <w:spacing w:val="-10"/>
          <w:sz w:val="21"/>
          <w:szCs w:val="21"/>
        </w:rPr>
        <w:t>发</w:t>
      </w:r>
      <w:r>
        <w:rPr>
          <w:rFonts w:ascii="宋体" w:hAnsi="宋体" w:eastAsia="宋体" w:cs="宋体"/>
          <w:spacing w:val="-31"/>
          <w:sz w:val="21"/>
          <w:szCs w:val="21"/>
        </w:rPr>
        <w:t xml:space="preserve"> </w:t>
      </w:r>
      <w:r>
        <w:rPr>
          <w:rFonts w:ascii="宋体" w:hAnsi="宋体" w:eastAsia="宋体" w:cs="宋体"/>
          <w:spacing w:val="-11"/>
          <w:sz w:val="21"/>
          <w:szCs w:val="21"/>
        </w:rPr>
        <w:t>治</w:t>
      </w:r>
      <w:r>
        <w:rPr>
          <w:rFonts w:ascii="宋体" w:hAnsi="宋体" w:eastAsia="宋体" w:cs="宋体"/>
          <w:spacing w:val="-18"/>
          <w:sz w:val="21"/>
          <w:szCs w:val="21"/>
        </w:rPr>
        <w:t xml:space="preserve"> </w:t>
      </w:r>
      <w:r>
        <w:rPr>
          <w:rFonts w:ascii="宋体" w:hAnsi="宋体" w:eastAsia="宋体" w:cs="宋体"/>
          <w:spacing w:val="-11"/>
          <w:sz w:val="21"/>
          <w:szCs w:val="21"/>
        </w:rPr>
        <w:t>安</w:t>
      </w:r>
      <w:r>
        <w:rPr>
          <w:rFonts w:ascii="宋体" w:hAnsi="宋体" w:eastAsia="宋体" w:cs="宋体"/>
          <w:spacing w:val="-21"/>
          <w:sz w:val="21"/>
          <w:szCs w:val="21"/>
        </w:rPr>
        <w:t xml:space="preserve"> </w:t>
      </w:r>
      <w:r>
        <w:rPr>
          <w:rFonts w:ascii="宋体" w:hAnsi="宋体" w:eastAsia="宋体" w:cs="宋体"/>
          <w:spacing w:val="-11"/>
          <w:sz w:val="21"/>
          <w:szCs w:val="21"/>
        </w:rPr>
        <w:t>事</w:t>
      </w:r>
      <w:r>
        <w:rPr>
          <w:rFonts w:ascii="宋体" w:hAnsi="宋体" w:eastAsia="宋体" w:cs="宋体"/>
          <w:spacing w:val="-38"/>
          <w:sz w:val="21"/>
          <w:szCs w:val="21"/>
        </w:rPr>
        <w:t xml:space="preserve"> </w:t>
      </w:r>
      <w:r>
        <w:rPr>
          <w:rFonts w:ascii="宋体" w:hAnsi="宋体" w:eastAsia="宋体" w:cs="宋体"/>
          <w:spacing w:val="-11"/>
          <w:sz w:val="21"/>
          <w:szCs w:val="21"/>
        </w:rPr>
        <w:t>件</w:t>
      </w:r>
      <w:r>
        <w:rPr>
          <w:rFonts w:ascii="宋体" w:hAnsi="宋体" w:eastAsia="宋体" w:cs="宋体"/>
          <w:spacing w:val="-15"/>
          <w:sz w:val="21"/>
          <w:szCs w:val="21"/>
        </w:rPr>
        <w:t xml:space="preserve"> </w:t>
      </w:r>
      <w:r>
        <w:rPr>
          <w:rFonts w:ascii="宋体" w:hAnsi="宋体" w:eastAsia="宋体" w:cs="宋体"/>
          <w:spacing w:val="-11"/>
          <w:sz w:val="21"/>
          <w:szCs w:val="21"/>
        </w:rPr>
        <w:t>紧</w:t>
      </w:r>
      <w:r>
        <w:rPr>
          <w:rFonts w:ascii="宋体" w:hAnsi="宋体" w:eastAsia="宋体" w:cs="宋体"/>
          <w:spacing w:val="-15"/>
          <w:sz w:val="21"/>
          <w:szCs w:val="21"/>
        </w:rPr>
        <w:t xml:space="preserve"> </w:t>
      </w:r>
      <w:r>
        <w:rPr>
          <w:rFonts w:ascii="宋体" w:hAnsi="宋体" w:eastAsia="宋体" w:cs="宋体"/>
          <w:spacing w:val="-11"/>
          <w:sz w:val="21"/>
          <w:szCs w:val="21"/>
        </w:rPr>
        <w:t>急</w:t>
      </w:r>
      <w:r>
        <w:rPr>
          <w:rFonts w:ascii="宋体" w:hAnsi="宋体" w:eastAsia="宋体" w:cs="宋体"/>
          <w:spacing w:val="-35"/>
          <w:sz w:val="21"/>
          <w:szCs w:val="21"/>
        </w:rPr>
        <w:t xml:space="preserve"> </w:t>
      </w:r>
      <w:r>
        <w:rPr>
          <w:rFonts w:ascii="宋体" w:hAnsi="宋体" w:eastAsia="宋体" w:cs="宋体"/>
          <w:spacing w:val="-11"/>
          <w:sz w:val="21"/>
          <w:szCs w:val="21"/>
        </w:rPr>
        <w:t>预</w:t>
      </w:r>
      <w:r>
        <w:rPr>
          <w:rFonts w:ascii="宋体" w:hAnsi="宋体" w:eastAsia="宋体" w:cs="宋体"/>
          <w:spacing w:val="-20"/>
          <w:sz w:val="21"/>
          <w:szCs w:val="21"/>
        </w:rPr>
        <w:t xml:space="preserve"> </w:t>
      </w:r>
      <w:r>
        <w:rPr>
          <w:rFonts w:ascii="宋体" w:hAnsi="宋体" w:eastAsia="宋体" w:cs="宋体"/>
          <w:spacing w:val="-11"/>
          <w:sz w:val="21"/>
          <w:szCs w:val="21"/>
        </w:rPr>
        <w:t>案</w:t>
      </w:r>
      <w:r>
        <w:rPr>
          <w:rFonts w:ascii="宋体" w:hAnsi="宋体" w:eastAsia="宋体" w:cs="宋体"/>
          <w:spacing w:val="-19"/>
          <w:sz w:val="21"/>
          <w:szCs w:val="21"/>
        </w:rPr>
        <w:t xml:space="preserve"> </w:t>
      </w:r>
      <w:r>
        <w:rPr>
          <w:rFonts w:ascii="宋体" w:hAnsi="宋体" w:eastAsia="宋体" w:cs="宋体"/>
          <w:spacing w:val="-11"/>
          <w:sz w:val="21"/>
          <w:szCs w:val="21"/>
        </w:rPr>
        <w:t>的</w:t>
      </w:r>
      <w:r>
        <w:rPr>
          <w:rFonts w:ascii="宋体" w:hAnsi="宋体" w:eastAsia="宋体" w:cs="宋体"/>
          <w:spacing w:val="-20"/>
          <w:sz w:val="21"/>
          <w:szCs w:val="21"/>
        </w:rPr>
        <w:t xml:space="preserve"> </w:t>
      </w:r>
      <w:r>
        <w:rPr>
          <w:rFonts w:ascii="宋体" w:hAnsi="宋体" w:eastAsia="宋体" w:cs="宋体"/>
          <w:spacing w:val="-11"/>
          <w:sz w:val="21"/>
          <w:szCs w:val="21"/>
        </w:rPr>
        <w:t>编</w:t>
      </w:r>
      <w:r>
        <w:rPr>
          <w:rFonts w:ascii="宋体" w:hAnsi="宋体" w:eastAsia="宋体" w:cs="宋体"/>
          <w:spacing w:val="-20"/>
          <w:sz w:val="21"/>
          <w:szCs w:val="21"/>
        </w:rPr>
        <w:t xml:space="preserve"> </w:t>
      </w:r>
      <w:r>
        <w:rPr>
          <w:rFonts w:ascii="宋体" w:hAnsi="宋体" w:eastAsia="宋体" w:cs="宋体"/>
          <w:spacing w:val="-11"/>
          <w:sz w:val="21"/>
          <w:szCs w:val="21"/>
        </w:rPr>
        <w:t>制</w:t>
      </w:r>
      <w:r>
        <w:rPr>
          <w:rFonts w:ascii="宋体" w:hAnsi="宋体" w:eastAsia="宋体" w:cs="宋体"/>
          <w:spacing w:val="-30"/>
          <w:sz w:val="21"/>
          <w:szCs w:val="21"/>
        </w:rPr>
        <w:t xml:space="preserve"> </w:t>
      </w:r>
      <w:r>
        <w:rPr>
          <w:rFonts w:ascii="宋体" w:hAnsi="宋体" w:eastAsia="宋体" w:cs="宋体"/>
          <w:spacing w:val="-11"/>
          <w:sz w:val="21"/>
          <w:szCs w:val="21"/>
        </w:rPr>
        <w:t>责</w:t>
      </w:r>
      <w:r>
        <w:rPr>
          <w:rFonts w:ascii="宋体" w:hAnsi="宋体" w:eastAsia="宋体" w:cs="宋体"/>
          <w:spacing w:val="-22"/>
          <w:sz w:val="21"/>
          <w:szCs w:val="21"/>
        </w:rPr>
        <w:t xml:space="preserve"> </w:t>
      </w:r>
      <w:r>
        <w:rPr>
          <w:rFonts w:ascii="宋体" w:hAnsi="宋体" w:eastAsia="宋体" w:cs="宋体"/>
          <w:spacing w:val="-11"/>
          <w:sz w:val="21"/>
          <w:szCs w:val="21"/>
        </w:rPr>
        <w:t>任</w:t>
      </w:r>
      <w:r>
        <w:rPr>
          <w:rFonts w:ascii="宋体" w:hAnsi="宋体" w:eastAsia="宋体" w:cs="宋体"/>
          <w:spacing w:val="-4"/>
          <w:sz w:val="21"/>
          <w:szCs w:val="21"/>
        </w:rPr>
        <w:t>人：</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3066C361">
      <w:pPr>
        <w:spacing w:before="1" w:line="232" w:lineRule="auto"/>
        <w:ind w:left="25"/>
        <w:outlineLvl w:val="1"/>
        <w:rPr>
          <w:rFonts w:ascii="黑体" w:hAnsi="黑体" w:eastAsia="黑体" w:cs="黑体"/>
          <w:sz w:val="24"/>
          <w:szCs w:val="24"/>
        </w:rPr>
      </w:pPr>
      <w:bookmarkStart w:id="267" w:name="bookmark231"/>
      <w:bookmarkEnd w:id="267"/>
      <w:r>
        <w:rPr>
          <w:rFonts w:ascii="Times New Roman" w:hAnsi="Times New Roman" w:eastAsia="Times New Roman" w:cs="Times New Roman"/>
          <w:spacing w:val="-1"/>
          <w:sz w:val="24"/>
          <w:szCs w:val="24"/>
        </w:rPr>
        <w:t xml:space="preserve">9.4 </w:t>
      </w:r>
      <w:r>
        <w:rPr>
          <w:rFonts w:ascii="黑体" w:hAnsi="黑体" w:eastAsia="黑体" w:cs="黑体"/>
          <w:spacing w:val="-1"/>
          <w:sz w:val="24"/>
          <w:szCs w:val="24"/>
        </w:rPr>
        <w:t>环境保护</w:t>
      </w:r>
    </w:p>
    <w:p w14:paraId="5E797D6A">
      <w:pPr>
        <w:spacing w:before="174" w:line="383" w:lineRule="auto"/>
        <w:ind w:left="40" w:right="108" w:firstLine="404"/>
        <w:rPr>
          <w:rFonts w:ascii="宋体" w:hAnsi="宋体" w:eastAsia="宋体" w:cs="宋体"/>
          <w:sz w:val="21"/>
          <w:szCs w:val="21"/>
        </w:rPr>
      </w:pPr>
      <w:r>
        <w:rPr>
          <w:rFonts w:ascii="宋体" w:hAnsi="宋体" w:eastAsia="宋体" w:cs="宋体"/>
          <w:spacing w:val="-7"/>
          <w:sz w:val="21"/>
          <w:szCs w:val="21"/>
        </w:rPr>
        <w:t>9.4.2   施</w:t>
      </w:r>
      <w:r>
        <w:rPr>
          <w:rFonts w:ascii="宋体" w:hAnsi="宋体" w:eastAsia="宋体" w:cs="宋体"/>
          <w:spacing w:val="13"/>
          <w:sz w:val="21"/>
          <w:szCs w:val="21"/>
        </w:rPr>
        <w:t xml:space="preserve">  </w:t>
      </w:r>
      <w:r>
        <w:rPr>
          <w:rFonts w:ascii="宋体" w:hAnsi="宋体" w:eastAsia="宋体" w:cs="宋体"/>
          <w:spacing w:val="-7"/>
          <w:sz w:val="21"/>
          <w:szCs w:val="21"/>
        </w:rPr>
        <w:t>工</w:t>
      </w:r>
      <w:r>
        <w:rPr>
          <w:rFonts w:ascii="宋体" w:hAnsi="宋体" w:eastAsia="宋体" w:cs="宋体"/>
          <w:spacing w:val="12"/>
          <w:sz w:val="21"/>
          <w:szCs w:val="21"/>
        </w:rPr>
        <w:t xml:space="preserve">  </w:t>
      </w:r>
      <w:r>
        <w:rPr>
          <w:rFonts w:ascii="宋体" w:hAnsi="宋体" w:eastAsia="宋体" w:cs="宋体"/>
          <w:spacing w:val="-7"/>
          <w:sz w:val="21"/>
          <w:szCs w:val="21"/>
        </w:rPr>
        <w:t>环</w:t>
      </w:r>
      <w:r>
        <w:rPr>
          <w:rFonts w:ascii="宋体" w:hAnsi="宋体" w:eastAsia="宋体" w:cs="宋体"/>
          <w:spacing w:val="4"/>
          <w:sz w:val="21"/>
          <w:szCs w:val="21"/>
        </w:rPr>
        <w:t xml:space="preserve">  </w:t>
      </w:r>
      <w:r>
        <w:rPr>
          <w:rFonts w:ascii="宋体" w:hAnsi="宋体" w:eastAsia="宋体" w:cs="宋体"/>
          <w:spacing w:val="-7"/>
          <w:sz w:val="21"/>
          <w:szCs w:val="21"/>
        </w:rPr>
        <w:t>保</w:t>
      </w:r>
      <w:r>
        <w:rPr>
          <w:rFonts w:ascii="宋体" w:hAnsi="宋体" w:eastAsia="宋体" w:cs="宋体"/>
          <w:spacing w:val="13"/>
          <w:sz w:val="21"/>
          <w:szCs w:val="21"/>
        </w:rPr>
        <w:t xml:space="preserve">  </w:t>
      </w:r>
      <w:r>
        <w:rPr>
          <w:rFonts w:ascii="宋体" w:hAnsi="宋体" w:eastAsia="宋体" w:cs="宋体"/>
          <w:spacing w:val="-7"/>
          <w:sz w:val="21"/>
          <w:szCs w:val="21"/>
        </w:rPr>
        <w:t>措  施</w:t>
      </w:r>
      <w:r>
        <w:rPr>
          <w:rFonts w:ascii="宋体" w:hAnsi="宋体" w:eastAsia="宋体" w:cs="宋体"/>
          <w:spacing w:val="11"/>
          <w:sz w:val="21"/>
          <w:szCs w:val="21"/>
        </w:rPr>
        <w:t xml:space="preserve">  </w:t>
      </w:r>
      <w:r>
        <w:rPr>
          <w:rFonts w:ascii="宋体" w:hAnsi="宋体" w:eastAsia="宋体" w:cs="宋体"/>
          <w:spacing w:val="-7"/>
          <w:sz w:val="21"/>
          <w:szCs w:val="21"/>
        </w:rPr>
        <w:t>计</w:t>
      </w:r>
      <w:r>
        <w:rPr>
          <w:rFonts w:ascii="宋体" w:hAnsi="宋体" w:eastAsia="宋体" w:cs="宋体"/>
          <w:spacing w:val="4"/>
          <w:sz w:val="21"/>
          <w:szCs w:val="21"/>
        </w:rPr>
        <w:t xml:space="preserve">  </w:t>
      </w:r>
      <w:r>
        <w:rPr>
          <w:rFonts w:ascii="宋体" w:hAnsi="宋体" w:eastAsia="宋体" w:cs="宋体"/>
          <w:spacing w:val="-7"/>
          <w:sz w:val="21"/>
          <w:szCs w:val="21"/>
        </w:rPr>
        <w:t>划</w:t>
      </w:r>
      <w:r>
        <w:rPr>
          <w:rFonts w:ascii="宋体" w:hAnsi="宋体" w:eastAsia="宋体" w:cs="宋体"/>
          <w:spacing w:val="11"/>
          <w:sz w:val="21"/>
          <w:szCs w:val="21"/>
        </w:rPr>
        <w:t xml:space="preserve">  </w:t>
      </w:r>
      <w:r>
        <w:rPr>
          <w:rFonts w:ascii="宋体" w:hAnsi="宋体" w:eastAsia="宋体" w:cs="宋体"/>
          <w:spacing w:val="-7"/>
          <w:sz w:val="21"/>
          <w:szCs w:val="21"/>
        </w:rPr>
        <w:t>报</w:t>
      </w:r>
      <w:r>
        <w:rPr>
          <w:rFonts w:ascii="宋体" w:hAnsi="宋体" w:eastAsia="宋体" w:cs="宋体"/>
          <w:spacing w:val="3"/>
          <w:sz w:val="21"/>
          <w:szCs w:val="21"/>
        </w:rPr>
        <w:t xml:space="preserve">  </w:t>
      </w:r>
      <w:r>
        <w:rPr>
          <w:rFonts w:ascii="宋体" w:hAnsi="宋体" w:eastAsia="宋体" w:cs="宋体"/>
          <w:spacing w:val="-7"/>
          <w:sz w:val="21"/>
          <w:szCs w:val="21"/>
        </w:rPr>
        <w:t>送</w:t>
      </w:r>
      <w:r>
        <w:rPr>
          <w:rFonts w:ascii="宋体" w:hAnsi="宋体" w:eastAsia="宋体" w:cs="宋体"/>
          <w:spacing w:val="13"/>
          <w:sz w:val="21"/>
          <w:szCs w:val="21"/>
        </w:rPr>
        <w:t xml:space="preserve">  </w:t>
      </w:r>
      <w:r>
        <w:rPr>
          <w:rFonts w:ascii="宋体" w:hAnsi="宋体" w:eastAsia="宋体" w:cs="宋体"/>
          <w:spacing w:val="-7"/>
          <w:sz w:val="21"/>
          <w:szCs w:val="21"/>
        </w:rPr>
        <w:t>监</w:t>
      </w:r>
      <w:r>
        <w:rPr>
          <w:rFonts w:ascii="宋体" w:hAnsi="宋体" w:eastAsia="宋体" w:cs="宋体"/>
          <w:spacing w:val="5"/>
          <w:sz w:val="21"/>
          <w:szCs w:val="21"/>
        </w:rPr>
        <w:t xml:space="preserve">  </w:t>
      </w:r>
      <w:r>
        <w:rPr>
          <w:rFonts w:ascii="宋体" w:hAnsi="宋体" w:eastAsia="宋体" w:cs="宋体"/>
          <w:spacing w:val="-7"/>
          <w:sz w:val="21"/>
          <w:szCs w:val="21"/>
        </w:rPr>
        <w:t>理</w:t>
      </w:r>
      <w:r>
        <w:rPr>
          <w:rFonts w:ascii="宋体" w:hAnsi="宋体" w:eastAsia="宋体" w:cs="宋体"/>
          <w:spacing w:val="13"/>
          <w:sz w:val="21"/>
          <w:szCs w:val="21"/>
        </w:rPr>
        <w:t xml:space="preserve">  </w:t>
      </w:r>
      <w:r>
        <w:rPr>
          <w:rFonts w:ascii="宋体" w:hAnsi="宋体" w:eastAsia="宋体" w:cs="宋体"/>
          <w:spacing w:val="-7"/>
          <w:sz w:val="21"/>
          <w:szCs w:val="21"/>
        </w:rPr>
        <w:t>人</w:t>
      </w:r>
      <w:r>
        <w:rPr>
          <w:rFonts w:ascii="宋体" w:hAnsi="宋体" w:eastAsia="宋体" w:cs="宋体"/>
          <w:spacing w:val="9"/>
          <w:sz w:val="21"/>
          <w:szCs w:val="21"/>
        </w:rPr>
        <w:t xml:space="preserve">  </w:t>
      </w:r>
      <w:r>
        <w:rPr>
          <w:rFonts w:ascii="宋体" w:hAnsi="宋体" w:eastAsia="宋体" w:cs="宋体"/>
          <w:spacing w:val="-7"/>
          <w:sz w:val="21"/>
          <w:szCs w:val="21"/>
        </w:rPr>
        <w:t>审</w:t>
      </w:r>
      <w:r>
        <w:rPr>
          <w:rFonts w:ascii="宋体" w:hAnsi="宋体" w:eastAsia="宋体" w:cs="宋体"/>
          <w:spacing w:val="12"/>
          <w:sz w:val="21"/>
          <w:szCs w:val="21"/>
        </w:rPr>
        <w:t xml:space="preserve">  </w:t>
      </w:r>
      <w:r>
        <w:rPr>
          <w:rFonts w:ascii="宋体" w:hAnsi="宋体" w:eastAsia="宋体" w:cs="宋体"/>
          <w:spacing w:val="-7"/>
          <w:sz w:val="21"/>
          <w:szCs w:val="21"/>
        </w:rPr>
        <w:t>批</w:t>
      </w:r>
      <w:r>
        <w:rPr>
          <w:rFonts w:ascii="宋体" w:hAnsi="宋体" w:eastAsia="宋体" w:cs="宋体"/>
          <w:spacing w:val="12"/>
          <w:sz w:val="21"/>
          <w:szCs w:val="21"/>
        </w:rPr>
        <w:t xml:space="preserve">  </w:t>
      </w:r>
      <w:r>
        <w:rPr>
          <w:rFonts w:ascii="宋体" w:hAnsi="宋体" w:eastAsia="宋体" w:cs="宋体"/>
          <w:spacing w:val="-7"/>
          <w:sz w:val="21"/>
          <w:szCs w:val="21"/>
        </w:rPr>
        <w:t>的</w:t>
      </w:r>
      <w:r>
        <w:rPr>
          <w:rFonts w:ascii="宋体" w:hAnsi="宋体" w:eastAsia="宋体" w:cs="宋体"/>
          <w:spacing w:val="10"/>
          <w:sz w:val="21"/>
          <w:szCs w:val="21"/>
        </w:rPr>
        <w:t xml:space="preserve">  </w:t>
      </w:r>
      <w:r>
        <w:rPr>
          <w:rFonts w:ascii="宋体" w:hAnsi="宋体" w:eastAsia="宋体" w:cs="宋体"/>
          <w:spacing w:val="-7"/>
          <w:sz w:val="21"/>
          <w:szCs w:val="21"/>
        </w:rPr>
        <w:t>时</w:t>
      </w:r>
      <w:r>
        <w:rPr>
          <w:rFonts w:ascii="宋体" w:hAnsi="宋体" w:eastAsia="宋体" w:cs="宋体"/>
          <w:spacing w:val="-3"/>
          <w:sz w:val="21"/>
          <w:szCs w:val="21"/>
        </w:rPr>
        <w:t>间：</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1BC91876">
      <w:pPr>
        <w:spacing w:line="219" w:lineRule="auto"/>
        <w:ind w:left="445"/>
        <w:rPr>
          <w:rFonts w:ascii="宋体" w:hAnsi="宋体" w:eastAsia="宋体" w:cs="宋体"/>
          <w:sz w:val="21"/>
          <w:szCs w:val="21"/>
        </w:rPr>
      </w:pPr>
      <w:r>
        <w:rPr>
          <w:rFonts w:ascii="宋体" w:hAnsi="宋体" w:eastAsia="宋体" w:cs="宋体"/>
          <w:spacing w:val="-1"/>
          <w:sz w:val="21"/>
          <w:szCs w:val="21"/>
        </w:rPr>
        <w:t>监理人收到承包人报送的施工环保措施计划后应当在</w:t>
      </w:r>
      <w:r>
        <w:rPr>
          <w:rFonts w:ascii="宋体" w:hAnsi="宋体" w:eastAsia="宋体" w:cs="宋体"/>
          <w:spacing w:val="-1"/>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
          <w:sz w:val="21"/>
          <w:szCs w:val="21"/>
        </w:rPr>
        <w:t>天内给予批复。</w:t>
      </w:r>
    </w:p>
    <w:p w14:paraId="2A8F8776">
      <w:pPr>
        <w:spacing w:before="195" w:line="237" w:lineRule="auto"/>
        <w:ind w:left="49"/>
        <w:outlineLvl w:val="0"/>
        <w:rPr>
          <w:rFonts w:ascii="黑体" w:hAnsi="黑体" w:eastAsia="黑体" w:cs="黑体"/>
          <w:sz w:val="28"/>
          <w:szCs w:val="28"/>
        </w:rPr>
      </w:pPr>
      <w:bookmarkStart w:id="268" w:name="bookmark233"/>
      <w:bookmarkEnd w:id="268"/>
      <w:bookmarkStart w:id="269" w:name="bookmark232"/>
      <w:bookmarkEnd w:id="269"/>
      <w:r>
        <w:rPr>
          <w:rFonts w:ascii="Times New Roman" w:hAnsi="Times New Roman" w:eastAsia="Times New Roman" w:cs="Times New Roman"/>
          <w:spacing w:val="1"/>
          <w:sz w:val="28"/>
          <w:szCs w:val="28"/>
        </w:rPr>
        <w:t>10.</w:t>
      </w:r>
      <w:r>
        <w:rPr>
          <w:rFonts w:ascii="黑体" w:hAnsi="黑体" w:eastAsia="黑体" w:cs="黑体"/>
          <w:spacing w:val="1"/>
          <w:sz w:val="28"/>
          <w:szCs w:val="28"/>
        </w:rPr>
        <w:t>进度计划</w:t>
      </w:r>
    </w:p>
    <w:p w14:paraId="283340DF">
      <w:pPr>
        <w:spacing w:before="71" w:line="233" w:lineRule="auto"/>
        <w:ind w:left="44"/>
        <w:outlineLvl w:val="1"/>
        <w:rPr>
          <w:rFonts w:ascii="黑体" w:hAnsi="黑体" w:eastAsia="黑体" w:cs="黑体"/>
          <w:sz w:val="24"/>
          <w:szCs w:val="24"/>
        </w:rPr>
      </w:pPr>
      <w:bookmarkStart w:id="270" w:name="bookmark665"/>
      <w:bookmarkEnd w:id="270"/>
      <w:r>
        <w:rPr>
          <w:rFonts w:ascii="Times New Roman" w:hAnsi="Times New Roman" w:eastAsia="Times New Roman" w:cs="Times New Roman"/>
          <w:spacing w:val="-3"/>
          <w:sz w:val="24"/>
          <w:szCs w:val="24"/>
        </w:rPr>
        <w:t xml:space="preserve">10.1 </w:t>
      </w:r>
      <w:r>
        <w:rPr>
          <w:rFonts w:ascii="黑体" w:hAnsi="黑体" w:eastAsia="黑体" w:cs="黑体"/>
          <w:spacing w:val="-3"/>
          <w:sz w:val="24"/>
          <w:szCs w:val="24"/>
        </w:rPr>
        <w:t>合同进度计划</w:t>
      </w:r>
    </w:p>
    <w:p w14:paraId="0F76C6F1">
      <w:pPr>
        <w:pStyle w:val="2"/>
        <w:tabs>
          <w:tab w:val="left" w:pos="8335"/>
        </w:tabs>
        <w:spacing w:before="175" w:line="421" w:lineRule="auto"/>
        <w:ind w:left="15" w:right="30" w:firstLine="465"/>
        <w:jc w:val="both"/>
      </w:pPr>
      <w:r>
        <w:rPr>
          <w:rFonts w:ascii="宋体" w:hAnsi="宋体" w:eastAsia="宋体" w:cs="宋体"/>
          <w:spacing w:val="-3"/>
        </w:rPr>
        <w:t>(1)承包人应当在收到监理人按照通用合同条款第</w:t>
      </w:r>
      <w:r>
        <w:rPr>
          <w:rFonts w:ascii="宋体" w:hAnsi="宋体" w:eastAsia="宋体" w:cs="宋体"/>
          <w:spacing w:val="-26"/>
        </w:rPr>
        <w:t xml:space="preserve"> </w:t>
      </w:r>
      <w:r>
        <w:rPr>
          <w:rFonts w:ascii="宋体" w:hAnsi="宋体" w:eastAsia="宋体" w:cs="宋体"/>
          <w:spacing w:val="-3"/>
        </w:rPr>
        <w:t>11.1.1</w:t>
      </w:r>
      <w:r>
        <w:rPr>
          <w:rFonts w:ascii="宋体" w:hAnsi="宋体" w:eastAsia="宋体" w:cs="宋体"/>
          <w:spacing w:val="-32"/>
        </w:rPr>
        <w:t xml:space="preserve"> </w:t>
      </w:r>
      <w:r>
        <w:rPr>
          <w:rFonts w:ascii="宋体" w:hAnsi="宋体" w:eastAsia="宋体" w:cs="宋体"/>
          <w:spacing w:val="-4"/>
        </w:rPr>
        <w:t>项发出的开工通知后</w:t>
      </w:r>
      <w:r>
        <w:rPr>
          <w:rFonts w:ascii="宋体" w:hAnsi="宋体" w:eastAsia="宋体" w:cs="宋体"/>
          <w:spacing w:val="-49"/>
        </w:rPr>
        <w:t xml:space="preserve"> </w:t>
      </w:r>
      <w:r>
        <w:rPr>
          <w:rFonts w:ascii="宋体" w:hAnsi="宋体" w:eastAsia="宋体" w:cs="宋体"/>
          <w:spacing w:val="-4"/>
        </w:rPr>
        <w:t>7</w:t>
      </w:r>
      <w:r>
        <w:rPr>
          <w:rFonts w:ascii="宋体" w:hAnsi="宋体" w:eastAsia="宋体" w:cs="宋体"/>
          <w:spacing w:val="-32"/>
        </w:rPr>
        <w:t xml:space="preserve"> </w:t>
      </w:r>
      <w:r>
        <w:rPr>
          <w:rFonts w:ascii="宋体" w:hAnsi="宋体" w:eastAsia="宋体" w:cs="宋体"/>
          <w:spacing w:val="-4"/>
        </w:rPr>
        <w:t>天内，</w:t>
      </w:r>
      <w:r>
        <w:rPr>
          <w:rFonts w:ascii="宋体" w:hAnsi="宋体" w:eastAsia="宋体" w:cs="宋体"/>
          <w:spacing w:val="-2"/>
        </w:rPr>
        <w:t>编制详细的施工进度计划和施工方案说明并报送监理人。承包人编制施工进度计划和施工方</w:t>
      </w:r>
      <w:r>
        <w:rPr>
          <w:rFonts w:ascii="宋体" w:hAnsi="宋体" w:eastAsia="宋体" w:cs="宋体"/>
        </w:rPr>
        <w:t>案说明的内容：</w:t>
      </w:r>
      <w:r>
        <w:rPr>
          <w:rFonts w:ascii="宋体" w:hAnsi="宋体" w:eastAsia="宋体" w:cs="宋体"/>
          <w:u w:val="single" w:color="auto"/>
        </w:rPr>
        <w:tab/>
      </w:r>
      <w:r>
        <w:rPr>
          <w:rFonts w:ascii="宋体" w:hAnsi="宋体" w:eastAsia="宋体" w:cs="宋体"/>
        </w:rPr>
        <w:t xml:space="preserve"> </w:t>
      </w:r>
      <w:r>
        <w:rPr>
          <w:u w:val="single" w:color="auto"/>
        </w:rPr>
        <w:tab/>
      </w:r>
    </w:p>
    <w:p w14:paraId="011ABB07">
      <w:pPr>
        <w:tabs>
          <w:tab w:val="left" w:pos="7795"/>
        </w:tabs>
        <w:spacing w:line="422" w:lineRule="auto"/>
        <w:ind w:left="21" w:right="101" w:hanging="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78"/>
          <w:sz w:val="21"/>
          <w:szCs w:val="21"/>
        </w:rPr>
        <w:t xml:space="preserve"> </w:t>
      </w:r>
      <w:r>
        <w:rPr>
          <w:rFonts w:ascii="宋体" w:hAnsi="宋体" w:eastAsia="宋体" w:cs="宋体"/>
          <w:spacing w:val="-17"/>
          <w:w w:val="92"/>
          <w:sz w:val="21"/>
          <w:szCs w:val="21"/>
        </w:rPr>
        <w:t>,</w:t>
      </w:r>
      <w:r>
        <w:rPr>
          <w:rFonts w:ascii="宋体" w:hAnsi="宋体" w:eastAsia="宋体" w:cs="宋体"/>
          <w:spacing w:val="-36"/>
          <w:sz w:val="21"/>
          <w:szCs w:val="21"/>
        </w:rPr>
        <w:t xml:space="preserve"> </w:t>
      </w:r>
      <w:r>
        <w:rPr>
          <w:rFonts w:ascii="宋体" w:hAnsi="宋体" w:eastAsia="宋体" w:cs="宋体"/>
          <w:spacing w:val="-17"/>
          <w:w w:val="92"/>
          <w:sz w:val="21"/>
          <w:szCs w:val="21"/>
        </w:rPr>
        <w:t>施工</w:t>
      </w:r>
      <w:r>
        <w:rPr>
          <w:rFonts w:ascii="宋体" w:hAnsi="宋体" w:eastAsia="宋体" w:cs="宋体"/>
          <w:spacing w:val="-1"/>
          <w:sz w:val="21"/>
          <w:szCs w:val="21"/>
        </w:rPr>
        <w:t>进度计划中还应载明要求发包人组织设计人进行阶段性工程设计交底的时间。</w:t>
      </w:r>
    </w:p>
    <w:p w14:paraId="5EC78C56">
      <w:pPr>
        <w:spacing w:before="1" w:line="219" w:lineRule="auto"/>
        <w:ind w:left="481"/>
        <w:rPr>
          <w:rFonts w:ascii="宋体" w:hAnsi="宋体" w:eastAsia="宋体" w:cs="宋体"/>
          <w:sz w:val="21"/>
          <w:szCs w:val="21"/>
        </w:rPr>
      </w:pPr>
      <w:r>
        <w:rPr>
          <w:rFonts w:ascii="宋体" w:hAnsi="宋体" w:eastAsia="宋体" w:cs="宋体"/>
          <w:spacing w:val="-1"/>
          <w:sz w:val="21"/>
          <w:szCs w:val="21"/>
        </w:rPr>
        <w:t>(2)监理人批复或对施工进度计划和施工方案说明提出修改意见的期限：自监理人收到</w:t>
      </w:r>
    </w:p>
    <w:p w14:paraId="3865726C">
      <w:pPr>
        <w:spacing w:line="219" w:lineRule="auto"/>
        <w:rPr>
          <w:rFonts w:ascii="宋体" w:hAnsi="宋体" w:eastAsia="宋体" w:cs="宋体"/>
          <w:sz w:val="21"/>
          <w:szCs w:val="21"/>
        </w:rPr>
        <w:sectPr>
          <w:footerReference r:id="rId121" w:type="default"/>
          <w:pgSz w:w="11910" w:h="16845"/>
          <w:pgMar w:top="400" w:right="1697" w:bottom="1110" w:left="1786" w:header="0" w:footer="883" w:gutter="0"/>
          <w:cols w:space="720" w:num="1"/>
        </w:sectPr>
      </w:pPr>
    </w:p>
    <w:p w14:paraId="6B36BEF6">
      <w:pPr>
        <w:pStyle w:val="2"/>
        <w:spacing w:line="293" w:lineRule="auto"/>
      </w:pPr>
    </w:p>
    <w:p w14:paraId="08E623FE">
      <w:pPr>
        <w:pStyle w:val="2"/>
        <w:spacing w:line="294" w:lineRule="auto"/>
      </w:pPr>
    </w:p>
    <w:p w14:paraId="28776B09">
      <w:pPr>
        <w:pStyle w:val="2"/>
        <w:spacing w:line="294" w:lineRule="auto"/>
      </w:pPr>
    </w:p>
    <w:p w14:paraId="1F317E99">
      <w:pPr>
        <w:pStyle w:val="2"/>
        <w:spacing w:line="294" w:lineRule="auto"/>
      </w:pPr>
    </w:p>
    <w:p w14:paraId="0E8F6C2E">
      <w:pPr>
        <w:spacing w:before="68" w:line="220" w:lineRule="auto"/>
        <w:ind w:left="24"/>
        <w:rPr>
          <w:rFonts w:ascii="宋体" w:hAnsi="宋体" w:eastAsia="宋体" w:cs="宋体"/>
          <w:sz w:val="21"/>
          <w:szCs w:val="21"/>
        </w:rPr>
      </w:pPr>
      <w:r>
        <w:rPr>
          <w:rFonts w:ascii="宋体" w:hAnsi="宋体" w:eastAsia="宋体" w:cs="宋体"/>
          <w:spacing w:val="-2"/>
          <w:sz w:val="21"/>
          <w:szCs w:val="21"/>
        </w:rPr>
        <w:t>承包人报送的相关进度计划和施工方案说明后</w:t>
      </w:r>
      <w:r>
        <w:rPr>
          <w:rFonts w:ascii="宋体" w:hAnsi="宋体" w:eastAsia="宋体" w:cs="宋体"/>
          <w:spacing w:val="-22"/>
          <w:sz w:val="21"/>
          <w:szCs w:val="21"/>
        </w:rPr>
        <w:t xml:space="preserve"> </w:t>
      </w:r>
      <w:r>
        <w:rPr>
          <w:rFonts w:ascii="宋体" w:hAnsi="宋体" w:eastAsia="宋体" w:cs="宋体"/>
          <w:spacing w:val="-3"/>
          <w:sz w:val="21"/>
          <w:szCs w:val="21"/>
        </w:rPr>
        <w:t>14</w:t>
      </w:r>
      <w:r>
        <w:rPr>
          <w:rFonts w:ascii="宋体" w:hAnsi="宋体" w:eastAsia="宋体" w:cs="宋体"/>
          <w:spacing w:val="-33"/>
          <w:sz w:val="21"/>
          <w:szCs w:val="21"/>
        </w:rPr>
        <w:t xml:space="preserve"> </w:t>
      </w:r>
      <w:r>
        <w:rPr>
          <w:rFonts w:ascii="宋体" w:hAnsi="宋体" w:eastAsia="宋体" w:cs="宋体"/>
          <w:spacing w:val="-3"/>
          <w:sz w:val="21"/>
          <w:szCs w:val="21"/>
        </w:rPr>
        <w:t>天内。</w:t>
      </w:r>
    </w:p>
    <w:p w14:paraId="2B6F5748">
      <w:pPr>
        <w:spacing w:before="230" w:line="220" w:lineRule="auto"/>
        <w:ind w:left="481"/>
        <w:rPr>
          <w:rFonts w:ascii="宋体" w:hAnsi="宋体" w:eastAsia="宋体" w:cs="宋体"/>
          <w:sz w:val="21"/>
          <w:szCs w:val="21"/>
        </w:rPr>
      </w:pPr>
      <w:r>
        <w:rPr>
          <w:rFonts w:ascii="宋体" w:hAnsi="宋体" w:eastAsia="宋体" w:cs="宋体"/>
          <w:spacing w:val="-1"/>
          <w:sz w:val="21"/>
          <w:szCs w:val="21"/>
        </w:rPr>
        <w:t>(3)承包人编制分阶段或分项施工进度计划和施工</w:t>
      </w:r>
      <w:r>
        <w:rPr>
          <w:rFonts w:ascii="宋体" w:hAnsi="宋体" w:eastAsia="宋体" w:cs="宋体"/>
          <w:spacing w:val="-2"/>
          <w:sz w:val="21"/>
          <w:szCs w:val="21"/>
        </w:rPr>
        <w:t>方案说明的内容：</w:t>
      </w:r>
      <w:r>
        <w:rPr>
          <w:rFonts w:ascii="宋体" w:hAnsi="宋体" w:eastAsia="宋体" w:cs="宋体"/>
          <w:sz w:val="21"/>
          <w:szCs w:val="21"/>
          <w:u w:val="single" w:color="auto"/>
        </w:rPr>
        <w:t xml:space="preserve">                 </w:t>
      </w:r>
    </w:p>
    <w:p w14:paraId="19EBF962">
      <w:pPr>
        <w:pStyle w:val="2"/>
        <w:spacing w:line="266" w:lineRule="auto"/>
      </w:pPr>
    </w:p>
    <w:p w14:paraId="46E3CF0C">
      <w:pPr>
        <w:tabs>
          <w:tab w:val="left" w:pos="8215"/>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7DDFEE39">
      <w:pPr>
        <w:spacing w:before="223" w:line="220" w:lineRule="auto"/>
        <w:ind w:left="444"/>
        <w:rPr>
          <w:rFonts w:ascii="宋体" w:hAnsi="宋体" w:eastAsia="宋体" w:cs="宋体"/>
          <w:sz w:val="21"/>
          <w:szCs w:val="21"/>
        </w:rPr>
      </w:pPr>
      <w:r>
        <w:rPr>
          <w:rFonts w:ascii="宋体" w:hAnsi="宋体" w:eastAsia="宋体" w:cs="宋体"/>
          <w:sz w:val="21"/>
          <w:szCs w:val="21"/>
        </w:rPr>
        <w:t>承包人报送分阶段或分项施工进度计划和施工方案说明的期</w:t>
      </w:r>
      <w:r>
        <w:rPr>
          <w:rFonts w:ascii="宋体" w:hAnsi="宋体" w:eastAsia="宋体" w:cs="宋体"/>
          <w:spacing w:val="-1"/>
          <w:sz w:val="21"/>
          <w:szCs w:val="21"/>
        </w:rPr>
        <w:t>限：</w:t>
      </w:r>
      <w:r>
        <w:rPr>
          <w:rFonts w:ascii="宋体" w:hAnsi="宋体" w:eastAsia="宋体" w:cs="宋体"/>
          <w:sz w:val="21"/>
          <w:szCs w:val="21"/>
          <w:u w:val="single" w:color="auto"/>
        </w:rPr>
        <w:t xml:space="preserve">                    </w:t>
      </w:r>
    </w:p>
    <w:p w14:paraId="257A75E5">
      <w:pPr>
        <w:pStyle w:val="2"/>
        <w:spacing w:line="266" w:lineRule="auto"/>
      </w:pPr>
    </w:p>
    <w:p w14:paraId="5B99599D">
      <w:pPr>
        <w:tabs>
          <w:tab w:val="left" w:pos="8215"/>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396F2E62">
      <w:pPr>
        <w:spacing w:before="225" w:line="404" w:lineRule="auto"/>
        <w:ind w:left="34" w:right="69" w:firstLine="447"/>
        <w:jc w:val="both"/>
        <w:rPr>
          <w:rFonts w:ascii="宋体" w:hAnsi="宋体" w:eastAsia="宋体" w:cs="宋体"/>
          <w:sz w:val="21"/>
          <w:szCs w:val="21"/>
        </w:rPr>
      </w:pPr>
      <w:r>
        <w:rPr>
          <w:rFonts w:ascii="宋体" w:hAnsi="宋体" w:eastAsia="宋体" w:cs="宋体"/>
          <w:spacing w:val="-1"/>
          <w:sz w:val="21"/>
          <w:szCs w:val="21"/>
        </w:rPr>
        <w:t>(4)群体工程中单位工程分期进行施工的，承包人应按照发包人提供图纸及有关资料的</w:t>
      </w:r>
      <w:r>
        <w:rPr>
          <w:rFonts w:ascii="宋体" w:hAnsi="宋体" w:eastAsia="宋体" w:cs="宋体"/>
          <w:spacing w:val="-2"/>
          <w:sz w:val="21"/>
          <w:szCs w:val="21"/>
        </w:rPr>
        <w:t>时间，按单位工程编制进度计划和施工方案说明。群体工程</w:t>
      </w:r>
      <w:r>
        <w:rPr>
          <w:rFonts w:ascii="宋体" w:hAnsi="宋体" w:eastAsia="宋体" w:cs="宋体"/>
          <w:spacing w:val="-3"/>
          <w:sz w:val="21"/>
          <w:szCs w:val="21"/>
        </w:rPr>
        <w:t>中有关进度计划和施工方案说明</w:t>
      </w:r>
      <w:r>
        <w:rPr>
          <w:rFonts w:ascii="宋体" w:hAnsi="宋体" w:eastAsia="宋体" w:cs="宋体"/>
          <w:spacing w:val="-2"/>
          <w:sz w:val="21"/>
          <w:szCs w:val="21"/>
        </w:rPr>
        <w:t>的要求：</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221D0142">
      <w:pPr>
        <w:spacing w:before="137" w:line="46" w:lineRule="exact"/>
        <w:jc w:val="right"/>
        <w:rPr>
          <w:rFonts w:ascii="宋体" w:hAnsi="宋体" w:eastAsia="宋体" w:cs="宋体"/>
          <w:sz w:val="21"/>
          <w:szCs w:val="21"/>
        </w:rPr>
      </w:pPr>
      <w:r>
        <w:pict>
          <v:shape id="_x0000_s1035" o:spid="_x0000_s1035" o:spt="202" type="#_x0000_t202" style="position:absolute;left:0pt;margin-left:-0.2pt;margin-top:0.1pt;height:35.85pt;width:412.05pt;z-index:251677696;mso-width-relative:page;mso-height-relative:page;" filled="f" stroked="f" coordsize="21600,21600">
            <v:path/>
            <v:fill on="f" focussize="0,0"/>
            <v:stroke on="f"/>
            <v:imagedata o:title=""/>
            <o:lock v:ext="edit" aspectratio="f"/>
            <v:textbox inset="0mm,0mm,0mm,0mm">
              <w:txbxContent>
                <w:p w14:paraId="55F5A880">
                  <w:pPr>
                    <w:pStyle w:val="2"/>
                    <w:tabs>
                      <w:tab w:val="left" w:pos="8220"/>
                    </w:tabs>
                    <w:spacing w:before="20"/>
                    <w:ind w:left="20"/>
                  </w:pPr>
                  <w:r>
                    <w:rPr>
                      <w:u w:val="single" w:color="auto"/>
                    </w:rPr>
                    <w:tab/>
                  </w:r>
                </w:p>
                <w:p w14:paraId="3D8B9ACE">
                  <w:pPr>
                    <w:spacing w:before="131" w:line="233" w:lineRule="auto"/>
                    <w:ind w:left="48"/>
                    <w:outlineLvl w:val="1"/>
                    <w:rPr>
                      <w:rFonts w:ascii="黑体" w:hAnsi="黑体" w:eastAsia="黑体" w:cs="黑体"/>
                      <w:sz w:val="24"/>
                      <w:szCs w:val="24"/>
                    </w:rPr>
                  </w:pPr>
                  <w:bookmarkStart w:id="680" w:name="bookmark234"/>
                  <w:bookmarkEnd w:id="680"/>
                  <w:r>
                    <w:rPr>
                      <w:rFonts w:ascii="Times New Roman" w:hAnsi="Times New Roman" w:eastAsia="Times New Roman" w:cs="Times New Roman"/>
                      <w:spacing w:val="-2"/>
                      <w:sz w:val="24"/>
                      <w:szCs w:val="24"/>
                    </w:rPr>
                    <w:t xml:space="preserve">10.2 </w:t>
                  </w:r>
                  <w:r>
                    <w:rPr>
                      <w:rFonts w:ascii="黑体" w:hAnsi="黑体" w:eastAsia="黑体" w:cs="黑体"/>
                      <w:spacing w:val="-2"/>
                      <w:sz w:val="24"/>
                      <w:szCs w:val="24"/>
                    </w:rPr>
                    <w:t>合同进度计划的修订</w:t>
                  </w:r>
                </w:p>
              </w:txbxContent>
            </v:textbox>
          </v:shape>
        </w:pict>
      </w:r>
      <w:r>
        <w:rPr>
          <w:rFonts w:ascii="宋体" w:hAnsi="宋体" w:eastAsia="宋体" w:cs="宋体"/>
          <w:spacing w:val="-56"/>
          <w:w w:val="98"/>
          <w:position w:val="-1"/>
          <w:sz w:val="21"/>
          <w:szCs w:val="21"/>
        </w:rPr>
        <w:t>。</w:t>
      </w:r>
    </w:p>
    <w:p w14:paraId="5611E8E2">
      <w:pPr>
        <w:pStyle w:val="2"/>
        <w:spacing w:line="316" w:lineRule="auto"/>
      </w:pPr>
    </w:p>
    <w:p w14:paraId="6CF3BB6E">
      <w:pPr>
        <w:pStyle w:val="2"/>
        <w:spacing w:line="316" w:lineRule="auto"/>
      </w:pPr>
    </w:p>
    <w:p w14:paraId="31046DB3">
      <w:pPr>
        <w:spacing w:before="69" w:line="218" w:lineRule="auto"/>
        <w:jc w:val="right"/>
        <w:rPr>
          <w:rFonts w:ascii="宋体" w:hAnsi="宋体" w:eastAsia="宋体" w:cs="宋体"/>
          <w:sz w:val="21"/>
          <w:szCs w:val="21"/>
        </w:rPr>
      </w:pPr>
      <w:r>
        <w:rPr>
          <w:rFonts w:ascii="宋体" w:hAnsi="宋体" w:eastAsia="宋体" w:cs="宋体"/>
          <w:spacing w:val="-3"/>
          <w:sz w:val="21"/>
          <w:szCs w:val="21"/>
        </w:rPr>
        <w:t>(1)承包人报送修订合同进度计划申请报告和相关资料的期限：</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40675476">
      <w:pPr>
        <w:spacing w:before="232" w:line="218" w:lineRule="auto"/>
        <w:jc w:val="right"/>
        <w:rPr>
          <w:rFonts w:ascii="宋体" w:hAnsi="宋体" w:eastAsia="宋体" w:cs="宋体"/>
          <w:sz w:val="21"/>
          <w:szCs w:val="21"/>
        </w:rPr>
      </w:pPr>
      <w:r>
        <w:rPr>
          <w:rFonts w:ascii="宋体" w:hAnsi="宋体" w:eastAsia="宋体" w:cs="宋体"/>
          <w:spacing w:val="-5"/>
          <w:sz w:val="21"/>
          <w:szCs w:val="21"/>
        </w:rPr>
        <w:t>(2)监理人批复修订合同进度计划申请报告的期限：</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125A1D53">
      <w:pPr>
        <w:spacing w:before="232" w:line="220" w:lineRule="auto"/>
        <w:jc w:val="right"/>
        <w:rPr>
          <w:rFonts w:ascii="宋体" w:hAnsi="宋体" w:eastAsia="宋体" w:cs="宋体"/>
          <w:sz w:val="21"/>
          <w:szCs w:val="21"/>
        </w:rPr>
      </w:pPr>
      <w:r>
        <w:rPr>
          <w:rFonts w:ascii="宋体" w:hAnsi="宋体" w:eastAsia="宋体" w:cs="宋体"/>
          <w:spacing w:val="-4"/>
          <w:sz w:val="21"/>
          <w:szCs w:val="21"/>
        </w:rPr>
        <w:t>(3)监理人批复修订合同进度计划的期限：</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3542E571">
      <w:pPr>
        <w:spacing w:before="195" w:line="236" w:lineRule="auto"/>
        <w:ind w:left="49"/>
        <w:outlineLvl w:val="0"/>
        <w:rPr>
          <w:rFonts w:ascii="黑体" w:hAnsi="黑体" w:eastAsia="黑体" w:cs="黑体"/>
          <w:sz w:val="28"/>
          <w:szCs w:val="28"/>
        </w:rPr>
      </w:pPr>
      <w:bookmarkStart w:id="271" w:name="bookmark235"/>
      <w:bookmarkEnd w:id="271"/>
      <w:bookmarkStart w:id="272" w:name="bookmark236"/>
      <w:bookmarkEnd w:id="272"/>
      <w:r>
        <w:rPr>
          <w:rFonts w:ascii="Times New Roman" w:hAnsi="Times New Roman" w:eastAsia="Times New Roman" w:cs="Times New Roman"/>
          <w:sz w:val="28"/>
          <w:szCs w:val="28"/>
        </w:rPr>
        <w:t>11.</w:t>
      </w:r>
      <w:r>
        <w:rPr>
          <w:rFonts w:ascii="黑体" w:hAnsi="黑体" w:eastAsia="黑体" w:cs="黑体"/>
          <w:sz w:val="28"/>
          <w:szCs w:val="28"/>
        </w:rPr>
        <w:t>开工和竣工</w:t>
      </w:r>
    </w:p>
    <w:p w14:paraId="78AB9CC5">
      <w:pPr>
        <w:spacing w:before="87" w:line="232" w:lineRule="auto"/>
        <w:ind w:left="44"/>
        <w:outlineLvl w:val="1"/>
        <w:rPr>
          <w:rFonts w:ascii="黑体" w:hAnsi="黑体" w:eastAsia="黑体" w:cs="黑体"/>
          <w:sz w:val="24"/>
          <w:szCs w:val="24"/>
        </w:rPr>
      </w:pPr>
      <w:bookmarkStart w:id="273" w:name="bookmark667"/>
      <w:bookmarkEnd w:id="273"/>
      <w:r>
        <w:rPr>
          <w:rFonts w:ascii="Times New Roman" w:hAnsi="Times New Roman" w:eastAsia="Times New Roman" w:cs="Times New Roman"/>
          <w:spacing w:val="-3"/>
          <w:sz w:val="24"/>
          <w:szCs w:val="24"/>
        </w:rPr>
        <w:t xml:space="preserve">11.3 </w:t>
      </w:r>
      <w:r>
        <w:rPr>
          <w:rFonts w:ascii="黑体" w:hAnsi="黑体" w:eastAsia="黑体" w:cs="黑体"/>
          <w:spacing w:val="-3"/>
          <w:sz w:val="24"/>
          <w:szCs w:val="24"/>
        </w:rPr>
        <w:t>发包人的工期延误</w:t>
      </w:r>
    </w:p>
    <w:p w14:paraId="0C74CE2A">
      <w:pPr>
        <w:spacing w:before="159" w:line="412" w:lineRule="auto"/>
        <w:ind w:left="40" w:right="74" w:firstLine="441"/>
        <w:rPr>
          <w:rFonts w:ascii="宋体" w:hAnsi="宋体" w:eastAsia="宋体" w:cs="宋体"/>
          <w:sz w:val="21"/>
          <w:szCs w:val="21"/>
        </w:rPr>
      </w:pPr>
      <w:r>
        <w:rPr>
          <w:rFonts w:ascii="宋体" w:hAnsi="宋体" w:eastAsia="宋体" w:cs="宋体"/>
          <w:spacing w:val="-1"/>
          <w:sz w:val="21"/>
          <w:szCs w:val="21"/>
        </w:rPr>
        <w:t>(7)因发包人原因不能按照监理人发出的开工通知中载明的开工日期开工。除发包人原因延期开工外，发包人造成工期延误的其他原因还包括：</w:t>
      </w:r>
      <w:r>
        <w:rPr>
          <w:rFonts w:ascii="宋体" w:hAnsi="宋体" w:eastAsia="宋体" w:cs="宋体"/>
          <w:sz w:val="21"/>
          <w:szCs w:val="21"/>
          <w:u w:val="single" w:color="auto"/>
        </w:rPr>
        <w:t xml:space="preserve">                              </w:t>
      </w:r>
    </w:p>
    <w:p w14:paraId="2FA32D55">
      <w:pPr>
        <w:pStyle w:val="2"/>
        <w:spacing w:line="373" w:lineRule="auto"/>
      </w:pPr>
      <w:r>
        <w:pict>
          <v:shape id="_x0000_s1036" o:spid="_x0000_s1036" style="position:absolute;left:0pt;margin-left:0.75pt;margin-top:10.2pt;height:0.75pt;width:410.05pt;z-index:251679744;mso-width-relative:page;mso-height-relative:page;" fillcolor="#000000" filled="t" stroked="f" coordsize="8200,15" path="m0,15l8200,15,8200,0,0,0,0,15xe">
            <v:path/>
            <v:fill on="t" focussize="0,0"/>
            <v:stroke on="f"/>
            <v:imagedata o:title=""/>
            <o:lock v:ext="edit"/>
          </v:shape>
        </w:pict>
      </w:r>
    </w:p>
    <w:p w14:paraId="71434A98">
      <w:pPr>
        <w:spacing w:before="69" w:line="220" w:lineRule="auto"/>
        <w:ind w:left="25"/>
        <w:rPr>
          <w:rFonts w:ascii="宋体" w:hAnsi="宋体" w:eastAsia="宋体" w:cs="宋体"/>
          <w:sz w:val="21"/>
          <w:szCs w:val="21"/>
        </w:rPr>
      </w:pPr>
      <w:r>
        <w:rPr>
          <w:rFonts w:ascii="宋体" w:hAnsi="宋体" w:eastAsia="宋体" w:cs="宋体"/>
          <w:spacing w:val="-2"/>
          <w:sz w:val="21"/>
          <w:szCs w:val="21"/>
        </w:rPr>
        <w:t>等延误承包人关键线路工作的情况。</w:t>
      </w:r>
    </w:p>
    <w:p w14:paraId="065DAC07">
      <w:pPr>
        <w:spacing w:before="145" w:line="232" w:lineRule="auto"/>
        <w:ind w:left="44"/>
        <w:outlineLvl w:val="1"/>
        <w:rPr>
          <w:rFonts w:ascii="黑体" w:hAnsi="黑体" w:eastAsia="黑体" w:cs="黑体"/>
          <w:sz w:val="24"/>
          <w:szCs w:val="24"/>
        </w:rPr>
      </w:pPr>
      <w:bookmarkStart w:id="274" w:name="bookmark237"/>
      <w:bookmarkEnd w:id="274"/>
      <w:r>
        <w:rPr>
          <w:rFonts w:ascii="Times New Roman" w:hAnsi="Times New Roman" w:eastAsia="Times New Roman" w:cs="Times New Roman"/>
          <w:spacing w:val="-5"/>
          <w:sz w:val="24"/>
          <w:szCs w:val="24"/>
        </w:rPr>
        <w:t>11.4</w:t>
      </w:r>
      <w:r>
        <w:rPr>
          <w:rFonts w:ascii="Times New Roman" w:hAnsi="Times New Roman" w:eastAsia="Times New Roman" w:cs="Times New Roman"/>
          <w:spacing w:val="26"/>
          <w:sz w:val="24"/>
          <w:szCs w:val="24"/>
        </w:rPr>
        <w:t xml:space="preserve"> </w:t>
      </w:r>
      <w:r>
        <w:rPr>
          <w:rFonts w:ascii="黑体" w:hAnsi="黑体" w:eastAsia="黑体" w:cs="黑体"/>
          <w:spacing w:val="-5"/>
          <w:sz w:val="24"/>
          <w:szCs w:val="24"/>
        </w:rPr>
        <w:t>异常恶劣的气候条件</w:t>
      </w:r>
    </w:p>
    <w:p w14:paraId="1B4DC215">
      <w:pPr>
        <w:pStyle w:val="2"/>
        <w:tabs>
          <w:tab w:val="left" w:pos="8335"/>
        </w:tabs>
        <w:spacing w:before="189" w:line="464" w:lineRule="auto"/>
        <w:ind w:left="15" w:right="74" w:firstLine="431"/>
      </w:pPr>
      <w:r>
        <w:rPr>
          <w:rFonts w:ascii="宋体" w:hAnsi="宋体" w:eastAsia="宋体" w:cs="宋体"/>
        </w:rPr>
        <w:t>异常恶劣的气候条件的范围和标准：</w:t>
      </w:r>
      <w:r>
        <w:rPr>
          <w:rFonts w:ascii="宋体" w:hAnsi="宋体" w:eastAsia="宋体" w:cs="宋体"/>
          <w:u w:val="single" w:color="auto"/>
        </w:rPr>
        <w:t xml:space="preserve">                                           </w:t>
      </w:r>
      <w:r>
        <w:rPr>
          <w:u w:val="single" w:color="auto"/>
        </w:rPr>
        <w:tab/>
      </w:r>
    </w:p>
    <w:p w14:paraId="0B140A17">
      <w:pPr>
        <w:spacing w:before="72" w:line="45" w:lineRule="exact"/>
        <w:jc w:val="right"/>
        <w:rPr>
          <w:rFonts w:ascii="宋体" w:hAnsi="宋体" w:eastAsia="宋体" w:cs="宋体"/>
          <w:sz w:val="21"/>
          <w:szCs w:val="21"/>
        </w:rPr>
      </w:pPr>
      <w:r>
        <w:pict>
          <v:shape id="_x0000_s1037" o:spid="_x0000_s1037" o:spt="202" type="#_x0000_t202" style="position:absolute;left:0pt;margin-left:-0.2pt;margin-top:-3.1pt;height:14.1pt;width:412.05pt;z-index:251678720;mso-width-relative:page;mso-height-relative:page;" filled="f" stroked="f" coordsize="21600,21600">
            <v:path/>
            <v:fill on="f" focussize="0,0"/>
            <v:stroke on="f"/>
            <v:imagedata o:title=""/>
            <o:lock v:ext="edit" aspectratio="f"/>
            <v:textbox inset="0mm,0mm,0mm,0mm">
              <w:txbxContent>
                <w:p w14:paraId="3E9F24CA">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257CD678">
      <w:pPr>
        <w:spacing w:before="214" w:line="233" w:lineRule="auto"/>
        <w:ind w:left="44"/>
        <w:outlineLvl w:val="1"/>
        <w:rPr>
          <w:rFonts w:ascii="黑体" w:hAnsi="黑体" w:eastAsia="黑体" w:cs="黑体"/>
          <w:sz w:val="24"/>
          <w:szCs w:val="24"/>
        </w:rPr>
      </w:pPr>
      <w:bookmarkStart w:id="275" w:name="bookmark238"/>
      <w:bookmarkEnd w:id="275"/>
      <w:r>
        <w:rPr>
          <w:rFonts w:ascii="Times New Roman" w:hAnsi="Times New Roman" w:eastAsia="Times New Roman" w:cs="Times New Roman"/>
          <w:spacing w:val="-3"/>
          <w:sz w:val="24"/>
          <w:szCs w:val="24"/>
        </w:rPr>
        <w:t xml:space="preserve">11.5 </w:t>
      </w:r>
      <w:r>
        <w:rPr>
          <w:rFonts w:ascii="黑体" w:hAnsi="黑体" w:eastAsia="黑体" w:cs="黑体"/>
          <w:spacing w:val="-3"/>
          <w:sz w:val="24"/>
          <w:szCs w:val="24"/>
        </w:rPr>
        <w:t>承包人的工期延误</w:t>
      </w:r>
    </w:p>
    <w:p w14:paraId="2E3D56AE">
      <w:pPr>
        <w:spacing w:before="146" w:line="370" w:lineRule="auto"/>
        <w:ind w:left="24" w:right="57" w:firstLine="445"/>
        <w:jc w:val="both"/>
        <w:rPr>
          <w:rFonts w:ascii="宋体" w:hAnsi="宋体" w:eastAsia="宋体" w:cs="宋体"/>
          <w:sz w:val="21"/>
          <w:szCs w:val="21"/>
        </w:rPr>
      </w:pPr>
      <w:r>
        <w:rPr>
          <w:rFonts w:ascii="宋体" w:hAnsi="宋体" w:eastAsia="宋体" w:cs="宋体"/>
          <w:spacing w:val="-1"/>
          <w:sz w:val="21"/>
          <w:szCs w:val="21"/>
        </w:rPr>
        <w:t>由于承包人原因造成不能按期竣工的，在按合同约定确定的竣工日期(包括按合同延长</w:t>
      </w:r>
      <w:r>
        <w:rPr>
          <w:rFonts w:ascii="宋体" w:hAnsi="宋体" w:eastAsia="宋体" w:cs="宋体"/>
          <w:spacing w:val="-3"/>
          <w:sz w:val="21"/>
          <w:szCs w:val="21"/>
        </w:rPr>
        <w:t>的工期)后</w:t>
      </w:r>
      <w:r>
        <w:rPr>
          <w:rFonts w:ascii="宋体" w:hAnsi="宋体" w:eastAsia="宋体" w:cs="宋体"/>
          <w:spacing w:val="-32"/>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天内，监理人应当按通用合同条款第</w:t>
      </w:r>
      <w:r>
        <w:rPr>
          <w:rFonts w:ascii="宋体" w:hAnsi="宋体" w:eastAsia="宋体" w:cs="宋体"/>
          <w:spacing w:val="-36"/>
          <w:sz w:val="21"/>
          <w:szCs w:val="21"/>
        </w:rPr>
        <w:t xml:space="preserve"> </w:t>
      </w:r>
      <w:r>
        <w:rPr>
          <w:rFonts w:ascii="宋体" w:hAnsi="宋体" w:eastAsia="宋体" w:cs="宋体"/>
          <w:spacing w:val="-3"/>
          <w:sz w:val="21"/>
          <w:szCs w:val="21"/>
        </w:rPr>
        <w:t>2</w:t>
      </w:r>
      <w:r>
        <w:rPr>
          <w:rFonts w:ascii="宋体" w:hAnsi="宋体" w:eastAsia="宋体" w:cs="宋体"/>
          <w:spacing w:val="-4"/>
          <w:sz w:val="21"/>
          <w:szCs w:val="21"/>
        </w:rPr>
        <w:t>3.4.1</w:t>
      </w:r>
      <w:r>
        <w:rPr>
          <w:rFonts w:ascii="宋体" w:hAnsi="宋体" w:eastAsia="宋体" w:cs="宋体"/>
          <w:spacing w:val="-33"/>
          <w:sz w:val="21"/>
          <w:szCs w:val="21"/>
        </w:rPr>
        <w:t xml:space="preserve"> </w:t>
      </w:r>
      <w:r>
        <w:rPr>
          <w:rFonts w:ascii="宋体" w:hAnsi="宋体" w:eastAsia="宋体" w:cs="宋体"/>
          <w:spacing w:val="-4"/>
          <w:sz w:val="21"/>
          <w:szCs w:val="21"/>
        </w:rPr>
        <w:t>项的约定书面通知承包人，说明发</w:t>
      </w:r>
      <w:r>
        <w:rPr>
          <w:rFonts w:ascii="宋体" w:hAnsi="宋体" w:eastAsia="宋体" w:cs="宋体"/>
          <w:spacing w:val="-2"/>
          <w:sz w:val="21"/>
          <w:szCs w:val="21"/>
        </w:rPr>
        <w:t>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14:paraId="3CCB9EAB">
      <w:pPr>
        <w:spacing w:before="55" w:line="220" w:lineRule="auto"/>
        <w:jc w:val="right"/>
        <w:rPr>
          <w:rFonts w:ascii="宋体" w:hAnsi="宋体" w:eastAsia="宋体" w:cs="宋体"/>
          <w:sz w:val="21"/>
          <w:szCs w:val="21"/>
        </w:rPr>
      </w:pPr>
      <w:r>
        <w:rPr>
          <w:rFonts w:ascii="宋体" w:hAnsi="宋体" w:eastAsia="宋体" w:cs="宋体"/>
          <w:sz w:val="21"/>
          <w:szCs w:val="21"/>
        </w:rPr>
        <w:t>逾期竣工违约金的计算标准：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232274D">
      <w:pPr>
        <w:spacing w:line="220" w:lineRule="auto"/>
        <w:rPr>
          <w:rFonts w:ascii="宋体" w:hAnsi="宋体" w:eastAsia="宋体" w:cs="宋体"/>
          <w:sz w:val="21"/>
          <w:szCs w:val="21"/>
        </w:rPr>
        <w:sectPr>
          <w:footerReference r:id="rId122" w:type="default"/>
          <w:pgSz w:w="11910" w:h="16845"/>
          <w:pgMar w:top="400" w:right="1712" w:bottom="1110" w:left="1786" w:header="0" w:footer="883" w:gutter="0"/>
          <w:cols w:space="720" w:num="1"/>
        </w:sectPr>
      </w:pPr>
    </w:p>
    <w:p w14:paraId="22FA4DE5">
      <w:pPr>
        <w:pStyle w:val="2"/>
        <w:spacing w:line="297" w:lineRule="auto"/>
      </w:pPr>
    </w:p>
    <w:p w14:paraId="7B9AB7A5">
      <w:pPr>
        <w:pStyle w:val="2"/>
        <w:spacing w:line="298" w:lineRule="auto"/>
      </w:pPr>
    </w:p>
    <w:p w14:paraId="06F10711">
      <w:pPr>
        <w:pStyle w:val="2"/>
        <w:spacing w:line="298" w:lineRule="auto"/>
      </w:pPr>
    </w:p>
    <w:p w14:paraId="784FDDD1">
      <w:pPr>
        <w:pStyle w:val="2"/>
        <w:spacing w:line="298" w:lineRule="auto"/>
      </w:pPr>
    </w:p>
    <w:p w14:paraId="1B2F635E">
      <w:pPr>
        <w:spacing w:before="68" w:line="391" w:lineRule="auto"/>
        <w:ind w:left="443" w:right="15"/>
        <w:rPr>
          <w:rFonts w:ascii="宋体" w:hAnsi="宋体" w:eastAsia="宋体" w:cs="宋体"/>
          <w:sz w:val="21"/>
          <w:szCs w:val="21"/>
        </w:rPr>
      </w:pPr>
      <w:r>
        <w:rPr>
          <w:rFonts w:ascii="宋体" w:hAnsi="宋体" w:eastAsia="宋体" w:cs="宋体"/>
          <w:sz w:val="21"/>
          <w:szCs w:val="21"/>
        </w:rPr>
        <w:t>逾期竣工违约金的计算方法：</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逾期竣工违约金最高限额：</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631ED16">
      <w:pPr>
        <w:spacing w:line="233" w:lineRule="auto"/>
        <w:ind w:left="44"/>
        <w:outlineLvl w:val="1"/>
        <w:rPr>
          <w:rFonts w:ascii="黑体" w:hAnsi="黑体" w:eastAsia="黑体" w:cs="黑体"/>
          <w:sz w:val="24"/>
          <w:szCs w:val="24"/>
        </w:rPr>
      </w:pPr>
      <w:bookmarkStart w:id="276" w:name="bookmark239"/>
      <w:bookmarkEnd w:id="276"/>
      <w:r>
        <w:rPr>
          <w:rFonts w:ascii="Times New Roman" w:hAnsi="Times New Roman" w:eastAsia="Times New Roman" w:cs="Times New Roman"/>
          <w:spacing w:val="-7"/>
          <w:sz w:val="24"/>
          <w:szCs w:val="24"/>
        </w:rPr>
        <w:t>11.6</w:t>
      </w:r>
      <w:r>
        <w:rPr>
          <w:rFonts w:ascii="Times New Roman" w:hAnsi="Times New Roman" w:eastAsia="Times New Roman" w:cs="Times New Roman"/>
          <w:spacing w:val="16"/>
          <w:sz w:val="24"/>
          <w:szCs w:val="24"/>
        </w:rPr>
        <w:t xml:space="preserve"> </w:t>
      </w:r>
      <w:r>
        <w:rPr>
          <w:rFonts w:ascii="黑体" w:hAnsi="黑体" w:eastAsia="黑体" w:cs="黑体"/>
          <w:spacing w:val="-7"/>
          <w:sz w:val="24"/>
          <w:szCs w:val="24"/>
        </w:rPr>
        <w:t>工期提前</w:t>
      </w:r>
    </w:p>
    <w:p w14:paraId="0AC87AE5">
      <w:pPr>
        <w:spacing w:before="112" w:line="220" w:lineRule="auto"/>
        <w:jc w:val="right"/>
        <w:rPr>
          <w:rFonts w:ascii="宋体" w:hAnsi="宋体" w:eastAsia="宋体" w:cs="宋体"/>
          <w:sz w:val="21"/>
          <w:szCs w:val="21"/>
        </w:rPr>
      </w:pPr>
      <w:r>
        <w:rPr>
          <w:rFonts w:ascii="宋体" w:hAnsi="宋体" w:eastAsia="宋体" w:cs="宋体"/>
          <w:spacing w:val="-4"/>
          <w:sz w:val="21"/>
          <w:szCs w:val="21"/>
        </w:rPr>
        <w:t>提前竣工的奖励办法：</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p>
    <w:p w14:paraId="1298D911">
      <w:pPr>
        <w:spacing w:before="195" w:line="238" w:lineRule="auto"/>
        <w:ind w:left="49"/>
        <w:outlineLvl w:val="0"/>
        <w:rPr>
          <w:rFonts w:ascii="黑体" w:hAnsi="黑体" w:eastAsia="黑体" w:cs="黑体"/>
          <w:sz w:val="28"/>
          <w:szCs w:val="28"/>
        </w:rPr>
      </w:pPr>
      <w:bookmarkStart w:id="277" w:name="bookmark241"/>
      <w:bookmarkEnd w:id="277"/>
      <w:bookmarkStart w:id="278" w:name="bookmark240"/>
      <w:bookmarkEnd w:id="278"/>
      <w:r>
        <w:rPr>
          <w:rFonts w:ascii="Times New Roman" w:hAnsi="Times New Roman" w:eastAsia="Times New Roman" w:cs="Times New Roman"/>
          <w:spacing w:val="1"/>
          <w:sz w:val="28"/>
          <w:szCs w:val="28"/>
        </w:rPr>
        <w:t>12.</w:t>
      </w:r>
      <w:r>
        <w:rPr>
          <w:rFonts w:ascii="黑体" w:hAnsi="黑体" w:eastAsia="黑体" w:cs="黑体"/>
          <w:spacing w:val="1"/>
          <w:sz w:val="28"/>
          <w:szCs w:val="28"/>
        </w:rPr>
        <w:t>暂停施工</w:t>
      </w:r>
    </w:p>
    <w:p w14:paraId="017C2246">
      <w:pPr>
        <w:spacing w:before="68" w:line="232" w:lineRule="auto"/>
        <w:ind w:left="44"/>
        <w:outlineLvl w:val="1"/>
        <w:rPr>
          <w:rFonts w:ascii="黑体" w:hAnsi="黑体" w:eastAsia="黑体" w:cs="黑体"/>
          <w:sz w:val="24"/>
          <w:szCs w:val="24"/>
        </w:rPr>
      </w:pPr>
      <w:bookmarkStart w:id="279" w:name="bookmark668"/>
      <w:bookmarkEnd w:id="279"/>
      <w:r>
        <w:rPr>
          <w:rFonts w:ascii="Times New Roman" w:hAnsi="Times New Roman" w:eastAsia="Times New Roman" w:cs="Times New Roman"/>
          <w:spacing w:val="-2"/>
          <w:sz w:val="24"/>
          <w:szCs w:val="24"/>
        </w:rPr>
        <w:t xml:space="preserve">12.1 </w:t>
      </w:r>
      <w:r>
        <w:rPr>
          <w:rFonts w:ascii="黑体" w:hAnsi="黑体" w:eastAsia="黑体" w:cs="黑体"/>
          <w:spacing w:val="-2"/>
          <w:sz w:val="24"/>
          <w:szCs w:val="24"/>
        </w:rPr>
        <w:t>承包人暂停施工的责任</w:t>
      </w:r>
    </w:p>
    <w:p w14:paraId="7EBE9314">
      <w:pPr>
        <w:pStyle w:val="2"/>
        <w:tabs>
          <w:tab w:val="left" w:pos="8335"/>
        </w:tabs>
        <w:spacing w:before="219" w:line="494" w:lineRule="auto"/>
        <w:ind w:left="15" w:right="74" w:firstLine="465"/>
      </w:pPr>
      <w:r>
        <w:rPr>
          <w:rFonts w:ascii="宋体" w:hAnsi="宋体" w:eastAsia="宋体" w:cs="宋体"/>
        </w:rPr>
        <w:t>(5)承包人承担暂停施工责任的其他情形：</w:t>
      </w:r>
      <w:r>
        <w:rPr>
          <w:rFonts w:ascii="宋体" w:hAnsi="宋体" w:eastAsia="宋体" w:cs="宋体"/>
          <w:u w:val="single" w:color="auto"/>
        </w:rPr>
        <w:t xml:space="preserve">                </w:t>
      </w:r>
      <w:r>
        <w:rPr>
          <w:rFonts w:ascii="宋体" w:hAnsi="宋体" w:eastAsia="宋体" w:cs="宋体"/>
          <w:spacing w:val="-1"/>
          <w:u w:val="single" w:color="auto"/>
        </w:rPr>
        <w:t xml:space="preserve">                      </w:t>
      </w:r>
      <w:r>
        <w:rPr>
          <w:u w:val="single" w:color="auto"/>
        </w:rPr>
        <w:tab/>
      </w:r>
    </w:p>
    <w:p w14:paraId="13217DE0">
      <w:pPr>
        <w:tabs>
          <w:tab w:val="left" w:pos="8215"/>
        </w:tabs>
        <w:spacing w:before="8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59BCF08E">
      <w:pPr>
        <w:spacing w:before="228" w:line="233" w:lineRule="auto"/>
        <w:ind w:left="44"/>
        <w:outlineLvl w:val="1"/>
        <w:rPr>
          <w:rFonts w:ascii="黑体" w:hAnsi="黑体" w:eastAsia="黑体" w:cs="黑体"/>
          <w:sz w:val="24"/>
          <w:szCs w:val="24"/>
        </w:rPr>
      </w:pPr>
      <w:bookmarkStart w:id="280" w:name="bookmark242"/>
      <w:bookmarkEnd w:id="280"/>
      <w:r>
        <w:rPr>
          <w:rFonts w:ascii="Times New Roman" w:hAnsi="Times New Roman" w:eastAsia="Times New Roman" w:cs="Times New Roman"/>
          <w:spacing w:val="-4"/>
          <w:sz w:val="24"/>
          <w:szCs w:val="24"/>
        </w:rPr>
        <w:t>12.4</w:t>
      </w:r>
      <w:r>
        <w:rPr>
          <w:rFonts w:ascii="Times New Roman" w:hAnsi="Times New Roman" w:eastAsia="Times New Roman" w:cs="Times New Roman"/>
          <w:spacing w:val="24"/>
          <w:w w:val="101"/>
          <w:sz w:val="24"/>
          <w:szCs w:val="24"/>
        </w:rPr>
        <w:t xml:space="preserve"> </w:t>
      </w:r>
      <w:r>
        <w:rPr>
          <w:rFonts w:ascii="黑体" w:hAnsi="黑体" w:eastAsia="黑体" w:cs="黑体"/>
          <w:spacing w:val="-4"/>
          <w:sz w:val="24"/>
          <w:szCs w:val="24"/>
        </w:rPr>
        <w:t>暂停施工后的复工</w:t>
      </w:r>
    </w:p>
    <w:p w14:paraId="041D4941">
      <w:pPr>
        <w:spacing w:before="157" w:line="370" w:lineRule="auto"/>
        <w:ind w:left="24" w:right="56" w:firstLine="436"/>
        <w:rPr>
          <w:rFonts w:ascii="宋体" w:hAnsi="宋体" w:eastAsia="宋体" w:cs="宋体"/>
          <w:sz w:val="21"/>
          <w:szCs w:val="21"/>
        </w:rPr>
      </w:pPr>
      <w:r>
        <w:rPr>
          <w:rFonts w:ascii="宋体" w:hAnsi="宋体" w:eastAsia="宋体" w:cs="宋体"/>
          <w:spacing w:val="-2"/>
          <w:sz w:val="21"/>
          <w:szCs w:val="21"/>
        </w:rPr>
        <w:t>12.4.3</w:t>
      </w:r>
      <w:r>
        <w:rPr>
          <w:rFonts w:ascii="宋体" w:hAnsi="宋体" w:eastAsia="宋体" w:cs="宋体"/>
          <w:spacing w:val="-36"/>
          <w:sz w:val="21"/>
          <w:szCs w:val="21"/>
        </w:rPr>
        <w:t xml:space="preserve"> </w:t>
      </w:r>
      <w:r>
        <w:rPr>
          <w:rFonts w:ascii="宋体" w:hAnsi="宋体" w:eastAsia="宋体" w:cs="宋体"/>
          <w:spacing w:val="-2"/>
          <w:sz w:val="21"/>
          <w:szCs w:val="21"/>
        </w:rPr>
        <w:t>根据通用合同条款第</w:t>
      </w:r>
      <w:r>
        <w:rPr>
          <w:rFonts w:ascii="宋体" w:hAnsi="宋体" w:eastAsia="宋体" w:cs="宋体"/>
          <w:spacing w:val="-22"/>
          <w:sz w:val="21"/>
          <w:szCs w:val="21"/>
        </w:rPr>
        <w:t xml:space="preserve"> </w:t>
      </w:r>
      <w:r>
        <w:rPr>
          <w:rFonts w:ascii="宋体" w:hAnsi="宋体" w:eastAsia="宋体" w:cs="宋体"/>
          <w:spacing w:val="-2"/>
          <w:sz w:val="21"/>
          <w:szCs w:val="21"/>
        </w:rPr>
        <w:t>12.4.1</w:t>
      </w:r>
      <w:r>
        <w:rPr>
          <w:rFonts w:ascii="宋体" w:hAnsi="宋体" w:eastAsia="宋体" w:cs="宋体"/>
          <w:spacing w:val="-36"/>
          <w:sz w:val="21"/>
          <w:szCs w:val="21"/>
        </w:rPr>
        <w:t xml:space="preserve"> </w:t>
      </w:r>
      <w:r>
        <w:rPr>
          <w:rFonts w:ascii="宋体" w:hAnsi="宋体" w:eastAsia="宋体" w:cs="宋体"/>
          <w:spacing w:val="-2"/>
          <w:sz w:val="21"/>
          <w:szCs w:val="21"/>
        </w:rPr>
        <w:t>款的约定，监理人发</w:t>
      </w:r>
      <w:r>
        <w:rPr>
          <w:rFonts w:ascii="宋体" w:hAnsi="宋体" w:eastAsia="宋体" w:cs="宋体"/>
          <w:spacing w:val="-3"/>
          <w:sz w:val="21"/>
          <w:szCs w:val="21"/>
        </w:rPr>
        <w:t>出复工通知后，监理人应和承</w:t>
      </w:r>
      <w:r>
        <w:rPr>
          <w:rFonts w:ascii="宋体" w:hAnsi="宋体" w:eastAsia="宋体" w:cs="宋体"/>
          <w:spacing w:val="-2"/>
          <w:sz w:val="21"/>
          <w:szCs w:val="21"/>
        </w:rPr>
        <w:t>包人一起对受到暂停施工影响的工程、材料和工程设备进行检查。承包人负责修复在暂停施</w:t>
      </w:r>
      <w:r>
        <w:rPr>
          <w:rFonts w:ascii="宋体" w:hAnsi="宋体" w:eastAsia="宋体" w:cs="宋体"/>
          <w:spacing w:val="-5"/>
          <w:sz w:val="21"/>
          <w:szCs w:val="21"/>
        </w:rPr>
        <w:t>工期间发生在工程、材料和工程设备上的任何损蚀、缺陷或损失， 修复费用由承担暂停施工</w:t>
      </w:r>
      <w:r>
        <w:rPr>
          <w:rFonts w:ascii="宋体" w:hAnsi="宋体" w:eastAsia="宋体" w:cs="宋体"/>
          <w:spacing w:val="-4"/>
          <w:sz w:val="21"/>
          <w:szCs w:val="21"/>
        </w:rPr>
        <w:t>责任的责任人承担。</w:t>
      </w:r>
    </w:p>
    <w:p w14:paraId="0D05D24C">
      <w:pPr>
        <w:spacing w:before="3" w:line="370" w:lineRule="auto"/>
        <w:ind w:left="25" w:right="55" w:firstLine="435"/>
        <w:rPr>
          <w:rFonts w:ascii="宋体" w:hAnsi="宋体" w:eastAsia="宋体" w:cs="宋体"/>
          <w:sz w:val="21"/>
          <w:szCs w:val="21"/>
        </w:rPr>
      </w:pPr>
      <w:r>
        <w:rPr>
          <w:rFonts w:ascii="宋体" w:hAnsi="宋体" w:eastAsia="宋体" w:cs="宋体"/>
          <w:spacing w:val="-2"/>
          <w:sz w:val="21"/>
          <w:szCs w:val="21"/>
        </w:rPr>
        <w:t>12.4.4</w:t>
      </w:r>
      <w:r>
        <w:rPr>
          <w:rFonts w:ascii="宋体" w:hAnsi="宋体" w:eastAsia="宋体" w:cs="宋体"/>
          <w:spacing w:val="-30"/>
          <w:sz w:val="21"/>
          <w:szCs w:val="21"/>
        </w:rPr>
        <w:t xml:space="preserve"> </w:t>
      </w:r>
      <w:r>
        <w:rPr>
          <w:rFonts w:ascii="宋体" w:hAnsi="宋体" w:eastAsia="宋体" w:cs="宋体"/>
          <w:spacing w:val="-2"/>
          <w:sz w:val="21"/>
          <w:szCs w:val="21"/>
        </w:rPr>
        <w:t>暂停施工持续</w:t>
      </w:r>
      <w:r>
        <w:rPr>
          <w:rFonts w:ascii="宋体" w:hAnsi="宋体" w:eastAsia="宋体" w:cs="宋体"/>
          <w:spacing w:val="-33"/>
          <w:sz w:val="21"/>
          <w:szCs w:val="21"/>
        </w:rPr>
        <w:t xml:space="preserve"> </w:t>
      </w:r>
      <w:r>
        <w:rPr>
          <w:rFonts w:ascii="宋体" w:hAnsi="宋体" w:eastAsia="宋体" w:cs="宋体"/>
          <w:spacing w:val="-2"/>
          <w:sz w:val="21"/>
          <w:szCs w:val="21"/>
        </w:rPr>
        <w:t>56</w:t>
      </w:r>
      <w:r>
        <w:rPr>
          <w:rFonts w:ascii="宋体" w:hAnsi="宋体" w:eastAsia="宋体" w:cs="宋体"/>
          <w:spacing w:val="-32"/>
          <w:sz w:val="21"/>
          <w:szCs w:val="21"/>
        </w:rPr>
        <w:t xml:space="preserve"> </w:t>
      </w:r>
      <w:r>
        <w:rPr>
          <w:rFonts w:ascii="宋体" w:hAnsi="宋体" w:eastAsia="宋体" w:cs="宋体"/>
          <w:spacing w:val="-2"/>
          <w:sz w:val="21"/>
          <w:szCs w:val="21"/>
        </w:rPr>
        <w:t>天以上，按合同约定由承包人</w:t>
      </w:r>
      <w:r>
        <w:rPr>
          <w:rFonts w:ascii="宋体" w:hAnsi="宋体" w:eastAsia="宋体" w:cs="宋体"/>
          <w:spacing w:val="-3"/>
          <w:sz w:val="21"/>
          <w:szCs w:val="21"/>
        </w:rPr>
        <w:t>提供的材料和工程设备，由于暂</w:t>
      </w:r>
      <w:r>
        <w:rPr>
          <w:rFonts w:ascii="宋体" w:hAnsi="宋体" w:eastAsia="宋体" w:cs="宋体"/>
          <w:spacing w:val="-2"/>
          <w:sz w:val="21"/>
          <w:szCs w:val="21"/>
        </w:rPr>
        <w:t>停施工原因导致承包人在暂停施工前已经订购但被暂停运至施工现场的，发包人应</w:t>
      </w:r>
      <w:r>
        <w:rPr>
          <w:rFonts w:ascii="宋体" w:hAnsi="宋体" w:eastAsia="宋体" w:cs="宋体"/>
          <w:spacing w:val="-3"/>
          <w:sz w:val="21"/>
          <w:szCs w:val="21"/>
        </w:rPr>
        <w:t>按照承包</w:t>
      </w:r>
      <w:r>
        <w:rPr>
          <w:rFonts w:ascii="宋体" w:hAnsi="宋体" w:eastAsia="宋体" w:cs="宋体"/>
          <w:spacing w:val="-2"/>
          <w:sz w:val="21"/>
          <w:szCs w:val="21"/>
        </w:rPr>
        <w:t>人订购合同的约定支付相应的订购款项。</w:t>
      </w:r>
    </w:p>
    <w:p w14:paraId="58E59E6E">
      <w:pPr>
        <w:spacing w:before="5" w:line="237" w:lineRule="auto"/>
        <w:ind w:left="49"/>
        <w:outlineLvl w:val="0"/>
        <w:rPr>
          <w:rFonts w:ascii="黑体" w:hAnsi="黑体" w:eastAsia="黑体" w:cs="黑体"/>
          <w:sz w:val="28"/>
          <w:szCs w:val="28"/>
        </w:rPr>
      </w:pPr>
      <w:bookmarkStart w:id="281" w:name="bookmark243"/>
      <w:bookmarkEnd w:id="281"/>
      <w:bookmarkStart w:id="282" w:name="bookmark244"/>
      <w:bookmarkEnd w:id="282"/>
      <w:r>
        <w:rPr>
          <w:rFonts w:ascii="Times New Roman" w:hAnsi="Times New Roman" w:eastAsia="Times New Roman" w:cs="Times New Roman"/>
          <w:spacing w:val="1"/>
          <w:sz w:val="28"/>
          <w:szCs w:val="28"/>
        </w:rPr>
        <w:t>13.</w:t>
      </w:r>
      <w:r>
        <w:rPr>
          <w:rFonts w:ascii="黑体" w:hAnsi="黑体" w:eastAsia="黑体" w:cs="黑体"/>
          <w:spacing w:val="1"/>
          <w:sz w:val="28"/>
          <w:szCs w:val="28"/>
        </w:rPr>
        <w:t>工程质量</w:t>
      </w:r>
    </w:p>
    <w:p w14:paraId="7D11A293">
      <w:pPr>
        <w:spacing w:before="71" w:line="233" w:lineRule="auto"/>
        <w:ind w:left="44"/>
        <w:outlineLvl w:val="1"/>
        <w:rPr>
          <w:rFonts w:ascii="黑体" w:hAnsi="黑体" w:eastAsia="黑体" w:cs="黑体"/>
          <w:sz w:val="24"/>
          <w:szCs w:val="24"/>
        </w:rPr>
      </w:pPr>
      <w:bookmarkStart w:id="283" w:name="bookmark669"/>
      <w:bookmarkEnd w:id="283"/>
      <w:r>
        <w:rPr>
          <w:rFonts w:ascii="Times New Roman" w:hAnsi="Times New Roman" w:eastAsia="Times New Roman" w:cs="Times New Roman"/>
          <w:spacing w:val="-2"/>
          <w:sz w:val="24"/>
          <w:szCs w:val="24"/>
        </w:rPr>
        <w:t xml:space="preserve">13.2 </w:t>
      </w:r>
      <w:r>
        <w:rPr>
          <w:rFonts w:ascii="黑体" w:hAnsi="黑体" w:eastAsia="黑体" w:cs="黑体"/>
          <w:spacing w:val="-2"/>
          <w:sz w:val="24"/>
          <w:szCs w:val="24"/>
        </w:rPr>
        <w:t>承包人的质量管理</w:t>
      </w:r>
    </w:p>
    <w:p w14:paraId="0F549783">
      <w:pPr>
        <w:spacing w:before="158" w:line="345" w:lineRule="auto"/>
        <w:ind w:left="445" w:right="60" w:firstLine="14"/>
        <w:rPr>
          <w:rFonts w:ascii="宋体" w:hAnsi="宋体" w:eastAsia="宋体" w:cs="宋体"/>
          <w:sz w:val="21"/>
          <w:szCs w:val="21"/>
        </w:rPr>
      </w:pPr>
      <w:r>
        <w:rPr>
          <w:rFonts w:ascii="宋体" w:hAnsi="宋体" w:eastAsia="宋体" w:cs="宋体"/>
          <w:spacing w:val="-1"/>
          <w:sz w:val="21"/>
          <w:szCs w:val="21"/>
        </w:rPr>
        <w:t>13.2.1</w:t>
      </w:r>
      <w:r>
        <w:rPr>
          <w:rFonts w:ascii="宋体" w:hAnsi="宋体" w:eastAsia="宋体" w:cs="宋体"/>
          <w:spacing w:val="-37"/>
          <w:sz w:val="21"/>
          <w:szCs w:val="21"/>
        </w:rPr>
        <w:t xml:space="preserve"> </w:t>
      </w:r>
      <w:r>
        <w:rPr>
          <w:rFonts w:ascii="宋体" w:hAnsi="宋体" w:eastAsia="宋体" w:cs="宋体"/>
          <w:spacing w:val="-1"/>
          <w:sz w:val="21"/>
          <w:szCs w:val="21"/>
        </w:rPr>
        <w:t>承包人向监理人提交工程质量保证措施文件的期限：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r>
        <w:rPr>
          <w:rFonts w:ascii="宋体" w:hAnsi="宋体" w:eastAsia="宋体" w:cs="宋体"/>
          <w:sz w:val="21"/>
          <w:szCs w:val="21"/>
        </w:rPr>
        <w:t>监理人审批工程质量保证措施文件的期限：</w:t>
      </w:r>
      <w:r>
        <w:rPr>
          <w:rFonts w:ascii="宋体" w:hAnsi="宋体" w:eastAsia="宋体" w:cs="宋体"/>
          <w:sz w:val="21"/>
          <w:szCs w:val="21"/>
          <w:u w:val="single" w:color="auto"/>
        </w:rPr>
        <w:t xml:space="preserve">                                   </w:t>
      </w:r>
      <w:r>
        <w:rPr>
          <w:rFonts w:ascii="宋体" w:hAnsi="宋体" w:eastAsia="宋体" w:cs="宋体"/>
          <w:sz w:val="21"/>
          <w:szCs w:val="21"/>
        </w:rPr>
        <w:t>。</w:t>
      </w:r>
    </w:p>
    <w:p w14:paraId="56C02D3C">
      <w:pPr>
        <w:spacing w:line="233" w:lineRule="auto"/>
        <w:ind w:left="44"/>
        <w:outlineLvl w:val="1"/>
        <w:rPr>
          <w:rFonts w:ascii="黑体" w:hAnsi="黑体" w:eastAsia="黑体" w:cs="黑体"/>
          <w:sz w:val="24"/>
          <w:szCs w:val="24"/>
        </w:rPr>
      </w:pPr>
      <w:bookmarkStart w:id="284" w:name="bookmark245"/>
      <w:bookmarkEnd w:id="284"/>
      <w:r>
        <w:rPr>
          <w:rFonts w:ascii="Times New Roman" w:hAnsi="Times New Roman" w:eastAsia="Times New Roman" w:cs="Times New Roman"/>
          <w:spacing w:val="-2"/>
          <w:sz w:val="24"/>
          <w:szCs w:val="24"/>
        </w:rPr>
        <w:t xml:space="preserve">13.3 </w:t>
      </w:r>
      <w:r>
        <w:rPr>
          <w:rFonts w:ascii="黑体" w:hAnsi="黑体" w:eastAsia="黑体" w:cs="黑体"/>
          <w:spacing w:val="-2"/>
          <w:sz w:val="24"/>
          <w:szCs w:val="24"/>
        </w:rPr>
        <w:t>承包人的质量检查</w:t>
      </w:r>
    </w:p>
    <w:p w14:paraId="0E3E6637">
      <w:pPr>
        <w:spacing w:before="203" w:line="220" w:lineRule="auto"/>
        <w:jc w:val="right"/>
        <w:rPr>
          <w:rFonts w:ascii="宋体" w:hAnsi="宋体" w:eastAsia="宋体" w:cs="宋体"/>
          <w:sz w:val="21"/>
          <w:szCs w:val="21"/>
        </w:rPr>
      </w:pPr>
      <w:r>
        <w:rPr>
          <w:rFonts w:ascii="宋体" w:hAnsi="宋体" w:eastAsia="宋体" w:cs="宋体"/>
          <w:sz w:val="21"/>
          <w:szCs w:val="21"/>
        </w:rPr>
        <w:t>承包人向监理人报送工程质量报表的期限：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0574EF">
      <w:pPr>
        <w:spacing w:before="275" w:line="220" w:lineRule="auto"/>
        <w:jc w:val="right"/>
        <w:rPr>
          <w:rFonts w:ascii="宋体" w:hAnsi="宋体" w:eastAsia="宋体" w:cs="宋体"/>
          <w:sz w:val="21"/>
          <w:szCs w:val="21"/>
        </w:rPr>
      </w:pPr>
      <w:r>
        <w:rPr>
          <w:rFonts w:ascii="宋体" w:hAnsi="宋体" w:eastAsia="宋体" w:cs="宋体"/>
          <w:sz w:val="21"/>
          <w:szCs w:val="21"/>
        </w:rPr>
        <w:t>承包人向监理人报送工程质量报表的要求：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62B6CF0">
      <w:pPr>
        <w:spacing w:before="290" w:line="220" w:lineRule="auto"/>
        <w:jc w:val="right"/>
        <w:rPr>
          <w:rFonts w:ascii="宋体" w:hAnsi="宋体" w:eastAsia="宋体" w:cs="宋体"/>
          <w:sz w:val="21"/>
          <w:szCs w:val="21"/>
        </w:rPr>
      </w:pPr>
      <w:r>
        <w:rPr>
          <w:rFonts w:ascii="宋体" w:hAnsi="宋体" w:eastAsia="宋体" w:cs="宋体"/>
          <w:sz w:val="21"/>
          <w:szCs w:val="21"/>
        </w:rPr>
        <w:t>监理人审查工程质量报表的期限：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30CB870">
      <w:pPr>
        <w:spacing w:before="131" w:line="233" w:lineRule="auto"/>
        <w:ind w:left="44"/>
        <w:outlineLvl w:val="1"/>
        <w:rPr>
          <w:rFonts w:ascii="黑体" w:hAnsi="黑体" w:eastAsia="黑体" w:cs="黑体"/>
          <w:sz w:val="24"/>
          <w:szCs w:val="24"/>
        </w:rPr>
      </w:pPr>
      <w:bookmarkStart w:id="285" w:name="bookmark246"/>
      <w:bookmarkEnd w:id="285"/>
      <w:r>
        <w:rPr>
          <w:rFonts w:ascii="Times New Roman" w:hAnsi="Times New Roman" w:eastAsia="Times New Roman" w:cs="Times New Roman"/>
          <w:spacing w:val="-2"/>
          <w:sz w:val="24"/>
          <w:szCs w:val="24"/>
        </w:rPr>
        <w:t xml:space="preserve">13.4 </w:t>
      </w:r>
      <w:r>
        <w:rPr>
          <w:rFonts w:ascii="黑体" w:hAnsi="黑体" w:eastAsia="黑体" w:cs="黑体"/>
          <w:spacing w:val="-2"/>
          <w:sz w:val="24"/>
          <w:szCs w:val="24"/>
        </w:rPr>
        <w:t>监理人的质量检查</w:t>
      </w:r>
    </w:p>
    <w:p w14:paraId="2A061055">
      <w:pPr>
        <w:spacing w:before="187" w:line="332" w:lineRule="auto"/>
        <w:ind w:left="41" w:firstLine="403"/>
        <w:rPr>
          <w:rFonts w:ascii="宋体" w:hAnsi="宋体" w:eastAsia="宋体" w:cs="宋体"/>
          <w:sz w:val="21"/>
          <w:szCs w:val="21"/>
        </w:rPr>
      </w:pPr>
      <w:r>
        <w:rPr>
          <w:rFonts w:ascii="宋体" w:hAnsi="宋体" w:eastAsia="宋体" w:cs="宋体"/>
          <w:spacing w:val="-2"/>
          <w:sz w:val="21"/>
          <w:szCs w:val="21"/>
        </w:rPr>
        <w:t>承包人应当为监理人的检查和检验提供方便，监理人可以进行察看和查阅</w:t>
      </w:r>
      <w:r>
        <w:rPr>
          <w:rFonts w:ascii="宋体" w:hAnsi="宋体" w:eastAsia="宋体" w:cs="宋体"/>
          <w:spacing w:val="-3"/>
          <w:sz w:val="21"/>
          <w:szCs w:val="21"/>
        </w:rPr>
        <w:t>施工原始记录</w:t>
      </w:r>
      <w:r>
        <w:rPr>
          <w:rFonts w:ascii="宋体" w:hAnsi="宋体" w:eastAsia="宋体" w:cs="宋体"/>
          <w:spacing w:val="-16"/>
          <w:sz w:val="21"/>
          <w:szCs w:val="21"/>
        </w:rPr>
        <w:t>的其他地方包括：</w:t>
      </w:r>
      <w:r>
        <w:rPr>
          <w:rFonts w:ascii="宋体" w:hAnsi="宋体" w:eastAsia="宋体" w:cs="宋体"/>
          <w:sz w:val="21"/>
          <w:szCs w:val="21"/>
          <w:u w:val="single" w:color="auto"/>
        </w:rPr>
        <w:t xml:space="preserve">                                                               </w:t>
      </w:r>
      <w:r>
        <w:rPr>
          <w:rFonts w:ascii="宋体" w:hAnsi="宋体" w:eastAsia="宋体" w:cs="宋体"/>
          <w:spacing w:val="-16"/>
          <w:sz w:val="21"/>
          <w:szCs w:val="21"/>
        </w:rPr>
        <w:t>。</w:t>
      </w:r>
    </w:p>
    <w:p w14:paraId="17C1F64A">
      <w:pPr>
        <w:spacing w:before="1" w:line="232" w:lineRule="auto"/>
        <w:ind w:left="44"/>
        <w:outlineLvl w:val="1"/>
        <w:rPr>
          <w:rFonts w:ascii="黑体" w:hAnsi="黑体" w:eastAsia="黑体" w:cs="黑体"/>
          <w:sz w:val="24"/>
          <w:szCs w:val="24"/>
        </w:rPr>
      </w:pPr>
      <w:bookmarkStart w:id="286" w:name="bookmark247"/>
      <w:bookmarkEnd w:id="286"/>
      <w:r>
        <w:rPr>
          <w:rFonts w:ascii="Times New Roman" w:hAnsi="Times New Roman" w:eastAsia="Times New Roman" w:cs="Times New Roman"/>
          <w:spacing w:val="-2"/>
          <w:sz w:val="24"/>
          <w:szCs w:val="24"/>
        </w:rPr>
        <w:t xml:space="preserve">13.5 </w:t>
      </w:r>
      <w:r>
        <w:rPr>
          <w:rFonts w:ascii="黑体" w:hAnsi="黑体" w:eastAsia="黑体" w:cs="黑体"/>
          <w:spacing w:val="-2"/>
          <w:sz w:val="24"/>
          <w:szCs w:val="24"/>
        </w:rPr>
        <w:t>工程隐蔽部位覆盖前的检查</w:t>
      </w:r>
    </w:p>
    <w:p w14:paraId="64F26498">
      <w:pPr>
        <w:spacing w:before="158" w:line="372" w:lineRule="auto"/>
        <w:ind w:left="38" w:right="64" w:firstLine="421"/>
        <w:rPr>
          <w:rFonts w:ascii="宋体" w:hAnsi="宋体" w:eastAsia="宋体" w:cs="宋体"/>
          <w:sz w:val="21"/>
          <w:szCs w:val="21"/>
        </w:rPr>
      </w:pPr>
      <w:r>
        <w:rPr>
          <w:rFonts w:ascii="宋体" w:hAnsi="宋体" w:eastAsia="宋体" w:cs="宋体"/>
          <w:spacing w:val="-9"/>
          <w:sz w:val="21"/>
          <w:szCs w:val="21"/>
        </w:rPr>
        <w:t>13.5.1</w:t>
      </w:r>
      <w:r>
        <w:rPr>
          <w:rFonts w:ascii="宋体" w:hAnsi="宋体" w:eastAsia="宋体" w:cs="宋体"/>
          <w:spacing w:val="18"/>
          <w:sz w:val="21"/>
          <w:szCs w:val="21"/>
        </w:rPr>
        <w:t xml:space="preserve">   </w:t>
      </w:r>
      <w:r>
        <w:rPr>
          <w:rFonts w:ascii="宋体" w:hAnsi="宋体" w:eastAsia="宋体" w:cs="宋体"/>
          <w:spacing w:val="-9"/>
          <w:sz w:val="21"/>
          <w:szCs w:val="21"/>
        </w:rPr>
        <w:t>监</w:t>
      </w:r>
      <w:r>
        <w:rPr>
          <w:rFonts w:ascii="宋体" w:hAnsi="宋体" w:eastAsia="宋体" w:cs="宋体"/>
          <w:spacing w:val="21"/>
          <w:sz w:val="21"/>
          <w:szCs w:val="21"/>
        </w:rPr>
        <w:t xml:space="preserve">  </w:t>
      </w:r>
      <w:r>
        <w:rPr>
          <w:rFonts w:ascii="宋体" w:hAnsi="宋体" w:eastAsia="宋体" w:cs="宋体"/>
          <w:spacing w:val="-9"/>
          <w:sz w:val="21"/>
          <w:szCs w:val="21"/>
        </w:rPr>
        <w:t>理</w:t>
      </w:r>
      <w:r>
        <w:rPr>
          <w:rFonts w:ascii="宋体" w:hAnsi="宋体" w:eastAsia="宋体" w:cs="宋体"/>
          <w:spacing w:val="20"/>
          <w:sz w:val="21"/>
          <w:szCs w:val="21"/>
        </w:rPr>
        <w:t xml:space="preserve">  </w:t>
      </w:r>
      <w:r>
        <w:rPr>
          <w:rFonts w:ascii="宋体" w:hAnsi="宋体" w:eastAsia="宋体" w:cs="宋体"/>
          <w:spacing w:val="-9"/>
          <w:sz w:val="21"/>
          <w:szCs w:val="21"/>
        </w:rPr>
        <w:t>人</w:t>
      </w:r>
      <w:r>
        <w:rPr>
          <w:rFonts w:ascii="宋体" w:hAnsi="宋体" w:eastAsia="宋体" w:cs="宋体"/>
          <w:spacing w:val="19"/>
          <w:sz w:val="21"/>
          <w:szCs w:val="21"/>
        </w:rPr>
        <w:t xml:space="preserve">  </w:t>
      </w:r>
      <w:r>
        <w:rPr>
          <w:rFonts w:ascii="宋体" w:hAnsi="宋体" w:eastAsia="宋体" w:cs="宋体"/>
          <w:spacing w:val="-9"/>
          <w:sz w:val="21"/>
          <w:szCs w:val="21"/>
        </w:rPr>
        <w:t>对</w:t>
      </w:r>
      <w:r>
        <w:rPr>
          <w:rFonts w:ascii="宋体" w:hAnsi="宋体" w:eastAsia="宋体" w:cs="宋体"/>
          <w:spacing w:val="20"/>
          <w:sz w:val="21"/>
          <w:szCs w:val="21"/>
        </w:rPr>
        <w:t xml:space="preserve">  </w:t>
      </w:r>
      <w:r>
        <w:rPr>
          <w:rFonts w:ascii="宋体" w:hAnsi="宋体" w:eastAsia="宋体" w:cs="宋体"/>
          <w:spacing w:val="-9"/>
          <w:sz w:val="21"/>
          <w:szCs w:val="21"/>
        </w:rPr>
        <w:t>工</w:t>
      </w:r>
      <w:r>
        <w:rPr>
          <w:rFonts w:ascii="宋体" w:hAnsi="宋体" w:eastAsia="宋体" w:cs="宋体"/>
          <w:spacing w:val="19"/>
          <w:sz w:val="21"/>
          <w:szCs w:val="21"/>
        </w:rPr>
        <w:t xml:space="preserve">  </w:t>
      </w:r>
      <w:r>
        <w:rPr>
          <w:rFonts w:ascii="宋体" w:hAnsi="宋体" w:eastAsia="宋体" w:cs="宋体"/>
          <w:spacing w:val="-9"/>
          <w:sz w:val="21"/>
          <w:szCs w:val="21"/>
        </w:rPr>
        <w:t>程</w:t>
      </w:r>
      <w:r>
        <w:rPr>
          <w:rFonts w:ascii="宋体" w:hAnsi="宋体" w:eastAsia="宋体" w:cs="宋体"/>
          <w:spacing w:val="26"/>
          <w:sz w:val="21"/>
          <w:szCs w:val="21"/>
        </w:rPr>
        <w:t xml:space="preserve">  </w:t>
      </w:r>
      <w:r>
        <w:rPr>
          <w:rFonts w:ascii="宋体" w:hAnsi="宋体" w:eastAsia="宋体" w:cs="宋体"/>
          <w:spacing w:val="-9"/>
          <w:sz w:val="21"/>
          <w:szCs w:val="21"/>
        </w:rPr>
        <w:t>隐  蔽</w:t>
      </w:r>
      <w:r>
        <w:rPr>
          <w:rFonts w:ascii="宋体" w:hAnsi="宋体" w:eastAsia="宋体" w:cs="宋体"/>
          <w:spacing w:val="20"/>
          <w:sz w:val="21"/>
          <w:szCs w:val="21"/>
        </w:rPr>
        <w:t xml:space="preserve">  </w:t>
      </w:r>
      <w:r>
        <w:rPr>
          <w:rFonts w:ascii="宋体" w:hAnsi="宋体" w:eastAsia="宋体" w:cs="宋体"/>
          <w:spacing w:val="-9"/>
          <w:sz w:val="21"/>
          <w:szCs w:val="21"/>
        </w:rPr>
        <w:t>部</w:t>
      </w:r>
      <w:r>
        <w:rPr>
          <w:rFonts w:ascii="宋体" w:hAnsi="宋体" w:eastAsia="宋体" w:cs="宋体"/>
          <w:spacing w:val="20"/>
          <w:sz w:val="21"/>
          <w:szCs w:val="21"/>
        </w:rPr>
        <w:t xml:space="preserve">  </w:t>
      </w:r>
      <w:r>
        <w:rPr>
          <w:rFonts w:ascii="宋体" w:hAnsi="宋体" w:eastAsia="宋体" w:cs="宋体"/>
          <w:spacing w:val="-9"/>
          <w:sz w:val="21"/>
          <w:szCs w:val="21"/>
        </w:rPr>
        <w:t>位</w:t>
      </w:r>
      <w:r>
        <w:rPr>
          <w:rFonts w:ascii="宋体" w:hAnsi="宋体" w:eastAsia="宋体" w:cs="宋体"/>
          <w:spacing w:val="18"/>
          <w:sz w:val="21"/>
          <w:szCs w:val="21"/>
        </w:rPr>
        <w:t xml:space="preserve">  </w:t>
      </w:r>
      <w:r>
        <w:rPr>
          <w:rFonts w:ascii="宋体" w:hAnsi="宋体" w:eastAsia="宋体" w:cs="宋体"/>
          <w:spacing w:val="-9"/>
          <w:sz w:val="21"/>
          <w:szCs w:val="21"/>
        </w:rPr>
        <w:t>进</w:t>
      </w:r>
      <w:r>
        <w:rPr>
          <w:rFonts w:ascii="宋体" w:hAnsi="宋体" w:eastAsia="宋体" w:cs="宋体"/>
          <w:spacing w:val="21"/>
          <w:sz w:val="21"/>
          <w:szCs w:val="21"/>
        </w:rPr>
        <w:t xml:space="preserve">  </w:t>
      </w:r>
      <w:r>
        <w:rPr>
          <w:rFonts w:ascii="宋体" w:hAnsi="宋体" w:eastAsia="宋体" w:cs="宋体"/>
          <w:spacing w:val="-9"/>
          <w:sz w:val="21"/>
          <w:szCs w:val="21"/>
        </w:rPr>
        <w:t>行</w:t>
      </w:r>
      <w:r>
        <w:rPr>
          <w:rFonts w:ascii="宋体" w:hAnsi="宋体" w:eastAsia="宋体" w:cs="宋体"/>
          <w:spacing w:val="19"/>
          <w:sz w:val="21"/>
          <w:szCs w:val="21"/>
        </w:rPr>
        <w:t xml:space="preserve">  </w:t>
      </w:r>
      <w:r>
        <w:rPr>
          <w:rFonts w:ascii="宋体" w:hAnsi="宋体" w:eastAsia="宋体" w:cs="宋体"/>
          <w:spacing w:val="-9"/>
          <w:sz w:val="21"/>
          <w:szCs w:val="21"/>
        </w:rPr>
        <w:t>检</w:t>
      </w:r>
      <w:r>
        <w:rPr>
          <w:rFonts w:ascii="宋体" w:hAnsi="宋体" w:eastAsia="宋体" w:cs="宋体"/>
          <w:spacing w:val="13"/>
          <w:sz w:val="21"/>
          <w:szCs w:val="21"/>
        </w:rPr>
        <w:t xml:space="preserve">  </w:t>
      </w:r>
      <w:r>
        <w:rPr>
          <w:rFonts w:ascii="宋体" w:hAnsi="宋体" w:eastAsia="宋体" w:cs="宋体"/>
          <w:spacing w:val="-9"/>
          <w:sz w:val="21"/>
          <w:szCs w:val="21"/>
        </w:rPr>
        <w:t>查   的</w:t>
      </w:r>
      <w:r>
        <w:rPr>
          <w:rFonts w:ascii="宋体" w:hAnsi="宋体" w:eastAsia="宋体" w:cs="宋体"/>
          <w:spacing w:val="21"/>
          <w:sz w:val="21"/>
          <w:szCs w:val="21"/>
        </w:rPr>
        <w:t xml:space="preserve">  </w:t>
      </w:r>
      <w:r>
        <w:rPr>
          <w:rFonts w:ascii="宋体" w:hAnsi="宋体" w:eastAsia="宋体" w:cs="宋体"/>
          <w:spacing w:val="-9"/>
          <w:sz w:val="21"/>
          <w:szCs w:val="21"/>
        </w:rPr>
        <w:t>期</w:t>
      </w:r>
      <w:r>
        <w:rPr>
          <w:rFonts w:ascii="宋体" w:hAnsi="宋体" w:eastAsia="宋体" w:cs="宋体"/>
          <w:spacing w:val="-3"/>
          <w:sz w:val="21"/>
          <w:szCs w:val="21"/>
        </w:rPr>
        <w:t>限：</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744C0946">
      <w:pPr>
        <w:spacing w:line="372" w:lineRule="auto"/>
        <w:rPr>
          <w:rFonts w:ascii="宋体" w:hAnsi="宋体" w:eastAsia="宋体" w:cs="宋体"/>
          <w:sz w:val="21"/>
          <w:szCs w:val="21"/>
        </w:rPr>
        <w:sectPr>
          <w:footerReference r:id="rId123" w:type="default"/>
          <w:pgSz w:w="11910" w:h="16845"/>
          <w:pgMar w:top="400" w:right="1712" w:bottom="1110" w:left="1786" w:header="0" w:footer="883" w:gutter="0"/>
          <w:cols w:space="720" w:num="1"/>
        </w:sectPr>
      </w:pPr>
    </w:p>
    <w:p w14:paraId="48E7989D">
      <w:pPr>
        <w:pStyle w:val="2"/>
        <w:spacing w:line="266" w:lineRule="auto"/>
      </w:pPr>
    </w:p>
    <w:p w14:paraId="7E08572B">
      <w:pPr>
        <w:pStyle w:val="2"/>
        <w:spacing w:line="266" w:lineRule="auto"/>
      </w:pPr>
    </w:p>
    <w:p w14:paraId="7DD82FD6">
      <w:pPr>
        <w:pStyle w:val="2"/>
        <w:spacing w:line="266" w:lineRule="auto"/>
      </w:pPr>
    </w:p>
    <w:p w14:paraId="386C5352">
      <w:pPr>
        <w:pStyle w:val="2"/>
        <w:spacing w:line="267" w:lineRule="auto"/>
      </w:pPr>
    </w:p>
    <w:p w14:paraId="7812270F">
      <w:pPr>
        <w:spacing w:before="78" w:line="233" w:lineRule="auto"/>
        <w:ind w:left="44"/>
        <w:outlineLvl w:val="1"/>
        <w:rPr>
          <w:rFonts w:ascii="黑体" w:hAnsi="黑体" w:eastAsia="黑体" w:cs="黑体"/>
          <w:sz w:val="24"/>
          <w:szCs w:val="24"/>
        </w:rPr>
      </w:pPr>
      <w:bookmarkStart w:id="287" w:name="bookmark248"/>
      <w:bookmarkEnd w:id="287"/>
      <w:r>
        <w:rPr>
          <w:rFonts w:ascii="Times New Roman" w:hAnsi="Times New Roman" w:eastAsia="Times New Roman" w:cs="Times New Roman"/>
          <w:spacing w:val="-5"/>
          <w:sz w:val="24"/>
          <w:szCs w:val="24"/>
        </w:rPr>
        <w:t>13.7</w:t>
      </w:r>
      <w:r>
        <w:rPr>
          <w:rFonts w:ascii="Times New Roman" w:hAnsi="Times New Roman" w:eastAsia="Times New Roman" w:cs="Times New Roman"/>
          <w:spacing w:val="15"/>
          <w:sz w:val="24"/>
          <w:szCs w:val="24"/>
        </w:rPr>
        <w:t xml:space="preserve"> </w:t>
      </w:r>
      <w:r>
        <w:rPr>
          <w:rFonts w:ascii="黑体" w:hAnsi="黑体" w:eastAsia="黑体" w:cs="黑体"/>
          <w:spacing w:val="-5"/>
          <w:sz w:val="24"/>
          <w:szCs w:val="24"/>
        </w:rPr>
        <w:t>质量争议</w:t>
      </w:r>
    </w:p>
    <w:p w14:paraId="4971BAEA">
      <w:pPr>
        <w:spacing w:before="202" w:line="336" w:lineRule="auto"/>
        <w:ind w:left="23" w:right="53" w:firstLine="424"/>
        <w:jc w:val="both"/>
        <w:rPr>
          <w:rFonts w:ascii="宋体" w:hAnsi="宋体" w:eastAsia="宋体" w:cs="宋体"/>
          <w:sz w:val="21"/>
          <w:szCs w:val="21"/>
        </w:rPr>
      </w:pPr>
      <w:r>
        <w:rPr>
          <w:rFonts w:ascii="宋体" w:hAnsi="宋体" w:eastAsia="宋体" w:cs="宋体"/>
          <w:sz w:val="21"/>
          <w:szCs w:val="21"/>
        </w:rPr>
        <w:t>发包人和承包人对工程质量有争议的，除可按合</w:t>
      </w:r>
      <w:r>
        <w:rPr>
          <w:rFonts w:ascii="宋体" w:hAnsi="宋体" w:eastAsia="宋体" w:cs="宋体"/>
          <w:spacing w:val="-1"/>
          <w:sz w:val="21"/>
          <w:szCs w:val="21"/>
        </w:rPr>
        <w:t>同条款第</w:t>
      </w:r>
      <w:r>
        <w:rPr>
          <w:rFonts w:ascii="宋体" w:hAnsi="宋体" w:eastAsia="宋体" w:cs="宋体"/>
          <w:spacing w:val="-39"/>
          <w:sz w:val="21"/>
          <w:szCs w:val="21"/>
        </w:rPr>
        <w:t xml:space="preserve"> </w:t>
      </w:r>
      <w:r>
        <w:rPr>
          <w:rFonts w:ascii="宋体" w:hAnsi="宋体" w:eastAsia="宋体" w:cs="宋体"/>
          <w:spacing w:val="-1"/>
          <w:sz w:val="21"/>
          <w:szCs w:val="21"/>
        </w:rPr>
        <w:t>24</w:t>
      </w:r>
      <w:r>
        <w:rPr>
          <w:rFonts w:ascii="宋体" w:hAnsi="宋体" w:eastAsia="宋体" w:cs="宋体"/>
          <w:spacing w:val="-35"/>
          <w:sz w:val="21"/>
          <w:szCs w:val="21"/>
        </w:rPr>
        <w:t xml:space="preserve"> </w:t>
      </w:r>
      <w:r>
        <w:rPr>
          <w:rFonts w:ascii="宋体" w:hAnsi="宋体" w:eastAsia="宋体" w:cs="宋体"/>
          <w:spacing w:val="-1"/>
          <w:sz w:val="21"/>
          <w:szCs w:val="21"/>
        </w:rPr>
        <w:t>条办理外，监理人可提请</w:t>
      </w:r>
      <w:r>
        <w:rPr>
          <w:rFonts w:ascii="宋体" w:hAnsi="宋体" w:eastAsia="宋体" w:cs="宋体"/>
          <w:spacing w:val="-2"/>
          <w:sz w:val="21"/>
          <w:szCs w:val="21"/>
        </w:rPr>
        <w:t>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w:t>
      </w:r>
      <w:r>
        <w:rPr>
          <w:rFonts w:ascii="宋体" w:hAnsi="宋体" w:eastAsia="宋体" w:cs="宋体"/>
          <w:spacing w:val="-5"/>
          <w:sz w:val="21"/>
          <w:szCs w:val="21"/>
        </w:rPr>
        <w:t>收且未实际投入使用的工程以及停工、停建的工程， 根据检测结果确定解决方案，或按工程</w:t>
      </w:r>
      <w:r>
        <w:rPr>
          <w:rFonts w:ascii="宋体" w:hAnsi="宋体" w:eastAsia="宋体" w:cs="宋体"/>
          <w:spacing w:val="-3"/>
          <w:sz w:val="21"/>
          <w:szCs w:val="21"/>
        </w:rPr>
        <w:t>质量监督机构的处理决定执行。</w:t>
      </w:r>
    </w:p>
    <w:p w14:paraId="65A0804D">
      <w:pPr>
        <w:spacing w:before="44" w:line="237" w:lineRule="auto"/>
        <w:ind w:left="49"/>
        <w:outlineLvl w:val="0"/>
        <w:rPr>
          <w:rFonts w:ascii="黑体" w:hAnsi="黑体" w:eastAsia="黑体" w:cs="黑体"/>
          <w:sz w:val="28"/>
          <w:szCs w:val="28"/>
        </w:rPr>
      </w:pPr>
      <w:bookmarkStart w:id="288" w:name="bookmark249"/>
      <w:bookmarkEnd w:id="288"/>
      <w:bookmarkStart w:id="289" w:name="bookmark250"/>
      <w:bookmarkEnd w:id="289"/>
      <w:r>
        <w:rPr>
          <w:rFonts w:ascii="Times New Roman" w:hAnsi="Times New Roman" w:eastAsia="Times New Roman" w:cs="Times New Roman"/>
          <w:spacing w:val="-3"/>
          <w:sz w:val="28"/>
          <w:szCs w:val="28"/>
        </w:rPr>
        <w:t>15.</w:t>
      </w:r>
      <w:r>
        <w:rPr>
          <w:rFonts w:ascii="黑体" w:hAnsi="黑体" w:eastAsia="黑体" w:cs="黑体"/>
          <w:spacing w:val="-3"/>
          <w:sz w:val="28"/>
          <w:szCs w:val="28"/>
        </w:rPr>
        <w:t>变更</w:t>
      </w:r>
    </w:p>
    <w:p w14:paraId="69D85163">
      <w:pPr>
        <w:spacing w:before="70" w:line="233" w:lineRule="auto"/>
        <w:ind w:left="44"/>
        <w:outlineLvl w:val="1"/>
        <w:rPr>
          <w:rFonts w:ascii="黑体" w:hAnsi="黑体" w:eastAsia="黑体" w:cs="黑体"/>
          <w:sz w:val="24"/>
          <w:szCs w:val="24"/>
        </w:rPr>
      </w:pPr>
      <w:bookmarkStart w:id="290" w:name="bookmark670"/>
      <w:bookmarkEnd w:id="290"/>
      <w:r>
        <w:rPr>
          <w:rFonts w:ascii="Times New Roman" w:hAnsi="Times New Roman" w:eastAsia="Times New Roman" w:cs="Times New Roman"/>
          <w:spacing w:val="-4"/>
          <w:sz w:val="24"/>
          <w:szCs w:val="24"/>
        </w:rPr>
        <w:t>15.1</w:t>
      </w:r>
      <w:r>
        <w:rPr>
          <w:rFonts w:ascii="Times New Roman" w:hAnsi="Times New Roman" w:eastAsia="Times New Roman" w:cs="Times New Roman"/>
          <w:spacing w:val="24"/>
          <w:sz w:val="24"/>
          <w:szCs w:val="24"/>
        </w:rPr>
        <w:t xml:space="preserve"> </w:t>
      </w:r>
      <w:r>
        <w:rPr>
          <w:rFonts w:ascii="黑体" w:hAnsi="黑体" w:eastAsia="黑体" w:cs="黑体"/>
          <w:spacing w:val="-4"/>
          <w:sz w:val="24"/>
          <w:szCs w:val="24"/>
        </w:rPr>
        <w:t>变更的范围和内容</w:t>
      </w:r>
    </w:p>
    <w:p w14:paraId="2A69C2B8">
      <w:pPr>
        <w:pStyle w:val="2"/>
        <w:tabs>
          <w:tab w:val="left" w:pos="8320"/>
        </w:tabs>
        <w:spacing w:before="158" w:line="419" w:lineRule="auto"/>
        <w:ind w:left="15" w:right="74" w:firstLine="428"/>
      </w:pPr>
      <w:r>
        <w:rPr>
          <w:rFonts w:ascii="宋体" w:hAnsi="宋体" w:eastAsia="宋体" w:cs="宋体"/>
        </w:rPr>
        <w:t>应当进行变更的其他情形：</w:t>
      </w:r>
      <w:r>
        <w:rPr>
          <w:rFonts w:ascii="宋体" w:hAnsi="宋体" w:eastAsia="宋体" w:cs="宋体"/>
          <w:u w:val="single" w:color="auto"/>
        </w:rPr>
        <w:t xml:space="preserve">                                                   </w:t>
      </w:r>
      <w:r>
        <w:rPr>
          <w:u w:val="single" w:color="auto"/>
        </w:rPr>
        <w:tab/>
      </w:r>
    </w:p>
    <w:p w14:paraId="4CF7C82F">
      <w:pPr>
        <w:spacing w:before="78" w:line="106" w:lineRule="exact"/>
        <w:ind w:left="44"/>
        <w:rPr>
          <w:rFonts w:ascii="宋体" w:hAnsi="宋体" w:eastAsia="宋体" w:cs="宋体"/>
          <w:sz w:val="21"/>
          <w:szCs w:val="21"/>
        </w:rPr>
      </w:pPr>
      <w:r>
        <w:rPr>
          <w:rFonts w:ascii="宋体" w:hAnsi="宋体" w:eastAsia="宋体" w:cs="宋体"/>
          <w:position w:val="1"/>
          <w:sz w:val="21"/>
          <w:szCs w:val="21"/>
        </w:rPr>
        <w:t>。</w:t>
      </w:r>
    </w:p>
    <w:p w14:paraId="4D737BBB">
      <w:pPr>
        <w:spacing w:before="222" w:line="334" w:lineRule="auto"/>
        <w:ind w:left="23" w:right="57" w:firstLine="424"/>
        <w:jc w:val="both"/>
        <w:rPr>
          <w:rFonts w:ascii="宋体" w:hAnsi="宋体" w:eastAsia="宋体" w:cs="宋体"/>
          <w:sz w:val="21"/>
          <w:szCs w:val="21"/>
        </w:rPr>
      </w:pPr>
      <w:r>
        <w:rPr>
          <w:rFonts w:ascii="宋体" w:hAnsi="宋体" w:eastAsia="宋体" w:cs="宋体"/>
          <w:spacing w:val="-2"/>
          <w:sz w:val="21"/>
          <w:szCs w:val="21"/>
        </w:rPr>
        <w:t>发包人违背通用合同条款</w:t>
      </w:r>
      <w:r>
        <w:rPr>
          <w:rFonts w:ascii="宋体" w:hAnsi="宋体" w:eastAsia="宋体" w:cs="宋体"/>
          <w:spacing w:val="-23"/>
          <w:sz w:val="21"/>
          <w:szCs w:val="21"/>
        </w:rPr>
        <w:t xml:space="preserve"> </w:t>
      </w:r>
      <w:r>
        <w:rPr>
          <w:rFonts w:ascii="宋体" w:hAnsi="宋体" w:eastAsia="宋体" w:cs="宋体"/>
          <w:spacing w:val="-2"/>
          <w:sz w:val="21"/>
          <w:szCs w:val="21"/>
        </w:rPr>
        <w:t>15.1(1)</w:t>
      </w:r>
      <w:r>
        <w:rPr>
          <w:rFonts w:ascii="宋体" w:hAnsi="宋体" w:eastAsia="宋体" w:cs="宋体"/>
          <w:spacing w:val="-56"/>
          <w:sz w:val="21"/>
          <w:szCs w:val="21"/>
        </w:rPr>
        <w:t xml:space="preserve"> </w:t>
      </w:r>
      <w:r>
        <w:rPr>
          <w:rFonts w:ascii="宋体" w:hAnsi="宋体" w:eastAsia="宋体" w:cs="宋体"/>
          <w:spacing w:val="-2"/>
          <w:sz w:val="21"/>
          <w:szCs w:val="21"/>
        </w:rPr>
        <w:t>目的约</w:t>
      </w:r>
      <w:r>
        <w:rPr>
          <w:rFonts w:ascii="宋体" w:hAnsi="宋体" w:eastAsia="宋体" w:cs="宋体"/>
          <w:spacing w:val="-3"/>
          <w:sz w:val="21"/>
          <w:szCs w:val="21"/>
        </w:rPr>
        <w:t>定，将被取消的合同中的工作转由发包人或其</w:t>
      </w:r>
      <w:r>
        <w:rPr>
          <w:rFonts w:ascii="宋体" w:hAnsi="宋体" w:eastAsia="宋体" w:cs="宋体"/>
          <w:spacing w:val="-2"/>
          <w:sz w:val="21"/>
          <w:szCs w:val="21"/>
        </w:rPr>
        <w:t>他人实施的，承包人可向监理人发出通知，要求发包人采取有效措施纠正违</w:t>
      </w:r>
      <w:r>
        <w:rPr>
          <w:rFonts w:ascii="宋体" w:hAnsi="宋体" w:eastAsia="宋体" w:cs="宋体"/>
          <w:spacing w:val="-3"/>
          <w:sz w:val="21"/>
          <w:szCs w:val="21"/>
        </w:rPr>
        <w:t>约行为，发包人在监理人收到承包人通知后</w:t>
      </w:r>
      <w:r>
        <w:rPr>
          <w:rFonts w:ascii="宋体" w:hAnsi="宋体" w:eastAsia="宋体" w:cs="宋体"/>
          <w:spacing w:val="-23"/>
          <w:sz w:val="21"/>
          <w:szCs w:val="21"/>
        </w:rPr>
        <w:t xml:space="preserve"> </w:t>
      </w:r>
      <w:r>
        <w:rPr>
          <w:rFonts w:ascii="宋体" w:hAnsi="宋体" w:eastAsia="宋体" w:cs="宋体"/>
          <w:spacing w:val="-3"/>
          <w:sz w:val="21"/>
          <w:szCs w:val="21"/>
        </w:rPr>
        <w:t>28</w:t>
      </w:r>
      <w:r>
        <w:rPr>
          <w:rFonts w:ascii="宋体" w:hAnsi="宋体" w:eastAsia="宋体" w:cs="宋体"/>
          <w:spacing w:val="-32"/>
          <w:sz w:val="21"/>
          <w:szCs w:val="21"/>
        </w:rPr>
        <w:t xml:space="preserve"> </w:t>
      </w:r>
      <w:r>
        <w:rPr>
          <w:rFonts w:ascii="宋体" w:hAnsi="宋体" w:eastAsia="宋体" w:cs="宋体"/>
          <w:spacing w:val="-3"/>
          <w:sz w:val="21"/>
          <w:szCs w:val="21"/>
        </w:rPr>
        <w:t>天内仍不纠正违约行为的，应当赔偿承包人损失(包括合理的</w:t>
      </w:r>
      <w:r>
        <w:rPr>
          <w:rFonts w:ascii="宋体" w:hAnsi="宋体" w:eastAsia="宋体" w:cs="宋体"/>
          <w:spacing w:val="-1"/>
          <w:sz w:val="21"/>
          <w:szCs w:val="21"/>
        </w:rPr>
        <w:t>利润)并承担由此引起的其他责任。承包人应当按通用合同条款第 23.1.1(1)</w:t>
      </w:r>
      <w:r>
        <w:rPr>
          <w:rFonts w:ascii="宋体" w:hAnsi="宋体" w:eastAsia="宋体" w:cs="宋体"/>
          <w:spacing w:val="-55"/>
          <w:sz w:val="21"/>
          <w:szCs w:val="21"/>
        </w:rPr>
        <w:t xml:space="preserve"> </w:t>
      </w:r>
      <w:r>
        <w:rPr>
          <w:rFonts w:ascii="宋体" w:hAnsi="宋体" w:eastAsia="宋体" w:cs="宋体"/>
          <w:spacing w:val="-1"/>
          <w:sz w:val="21"/>
          <w:szCs w:val="21"/>
        </w:rPr>
        <w:t>目的约定</w:t>
      </w:r>
      <w:r>
        <w:rPr>
          <w:rFonts w:ascii="宋体" w:hAnsi="宋体" w:eastAsia="宋体" w:cs="宋体"/>
          <w:spacing w:val="-2"/>
          <w:sz w:val="21"/>
          <w:szCs w:val="21"/>
        </w:rPr>
        <w:t>，在</w:t>
      </w:r>
      <w:r>
        <w:rPr>
          <w:rFonts w:ascii="宋体" w:hAnsi="宋体" w:eastAsia="宋体" w:cs="宋体"/>
          <w:spacing w:val="3"/>
          <w:sz w:val="21"/>
          <w:szCs w:val="21"/>
        </w:rPr>
        <w:t>上述 28 天期限到期后的 28 天内，向监理人</w:t>
      </w:r>
      <w:r>
        <w:rPr>
          <w:rFonts w:ascii="宋体" w:hAnsi="宋体" w:eastAsia="宋体" w:cs="宋体"/>
          <w:spacing w:val="2"/>
          <w:sz w:val="21"/>
          <w:szCs w:val="21"/>
        </w:rPr>
        <w:t>递交索赔意向通知书，并按通用合同条款第</w:t>
      </w:r>
      <w:r>
        <w:rPr>
          <w:rFonts w:ascii="宋体" w:hAnsi="宋体" w:eastAsia="宋体" w:cs="宋体"/>
          <w:spacing w:val="-1"/>
          <w:sz w:val="21"/>
          <w:szCs w:val="21"/>
        </w:rPr>
        <w:t>23.1.1(2)</w:t>
      </w:r>
      <w:r>
        <w:rPr>
          <w:rFonts w:ascii="宋体" w:hAnsi="宋体" w:eastAsia="宋体" w:cs="宋体"/>
          <w:spacing w:val="-52"/>
          <w:sz w:val="21"/>
          <w:szCs w:val="21"/>
        </w:rPr>
        <w:t xml:space="preserve"> </w:t>
      </w:r>
      <w:r>
        <w:rPr>
          <w:rFonts w:ascii="宋体" w:hAnsi="宋体" w:eastAsia="宋体" w:cs="宋体"/>
          <w:spacing w:val="-1"/>
          <w:sz w:val="21"/>
          <w:szCs w:val="21"/>
        </w:rPr>
        <w:t>目的约定，及时向监理人递交正式索赔通知书，说明有权得到的损失赔偿金额并</w:t>
      </w:r>
      <w:r>
        <w:rPr>
          <w:rFonts w:ascii="宋体" w:hAnsi="宋体" w:eastAsia="宋体" w:cs="宋体"/>
          <w:spacing w:val="-2"/>
          <w:sz w:val="21"/>
          <w:szCs w:val="21"/>
        </w:rPr>
        <w:t>附必要的记录和证明材料。发包人支付给承包人的损失赔偿金额应当包括被取消工作的合同</w:t>
      </w:r>
      <w:r>
        <w:rPr>
          <w:rFonts w:ascii="宋体" w:hAnsi="宋体" w:eastAsia="宋体" w:cs="宋体"/>
          <w:spacing w:val="-1"/>
          <w:sz w:val="21"/>
          <w:szCs w:val="21"/>
        </w:rPr>
        <w:t>价值中所包含的承包人管理费、利润以及相应的税金和规费。</w:t>
      </w:r>
    </w:p>
    <w:p w14:paraId="34EF1596">
      <w:pPr>
        <w:spacing w:before="1" w:line="232" w:lineRule="auto"/>
        <w:ind w:left="44"/>
        <w:outlineLvl w:val="1"/>
        <w:rPr>
          <w:rFonts w:ascii="黑体" w:hAnsi="黑体" w:eastAsia="黑体" w:cs="黑体"/>
          <w:sz w:val="24"/>
          <w:szCs w:val="24"/>
        </w:rPr>
      </w:pPr>
      <w:bookmarkStart w:id="291" w:name="bookmark251"/>
      <w:bookmarkEnd w:id="291"/>
      <w:r>
        <w:rPr>
          <w:rFonts w:ascii="Times New Roman" w:hAnsi="Times New Roman" w:eastAsia="Times New Roman" w:cs="Times New Roman"/>
          <w:spacing w:val="-5"/>
          <w:sz w:val="24"/>
          <w:szCs w:val="24"/>
        </w:rPr>
        <w:t>15.3</w:t>
      </w:r>
      <w:r>
        <w:rPr>
          <w:rFonts w:ascii="Times New Roman" w:hAnsi="Times New Roman" w:eastAsia="Times New Roman" w:cs="Times New Roman"/>
          <w:spacing w:val="16"/>
          <w:sz w:val="24"/>
          <w:szCs w:val="24"/>
        </w:rPr>
        <w:t xml:space="preserve"> </w:t>
      </w:r>
      <w:r>
        <w:rPr>
          <w:rFonts w:ascii="黑体" w:hAnsi="黑体" w:eastAsia="黑体" w:cs="黑体"/>
          <w:spacing w:val="-5"/>
          <w:sz w:val="24"/>
          <w:szCs w:val="24"/>
        </w:rPr>
        <w:t>变更程序</w:t>
      </w:r>
    </w:p>
    <w:p w14:paraId="46677BA5">
      <w:pPr>
        <w:spacing w:before="143" w:line="219" w:lineRule="auto"/>
        <w:ind w:left="455"/>
        <w:rPr>
          <w:rFonts w:ascii="黑体" w:hAnsi="黑体" w:eastAsia="黑体" w:cs="黑体"/>
          <w:sz w:val="21"/>
          <w:szCs w:val="21"/>
        </w:rPr>
      </w:pPr>
      <w:r>
        <w:rPr>
          <w:rFonts w:ascii="黑体" w:hAnsi="黑体" w:eastAsia="黑体" w:cs="黑体"/>
          <w:spacing w:val="-3"/>
          <w:sz w:val="21"/>
          <w:szCs w:val="21"/>
        </w:rPr>
        <w:t>15.3.2</w:t>
      </w:r>
      <w:r>
        <w:rPr>
          <w:rFonts w:ascii="黑体" w:hAnsi="黑体" w:eastAsia="黑体" w:cs="黑体"/>
          <w:spacing w:val="-31"/>
          <w:sz w:val="21"/>
          <w:szCs w:val="21"/>
        </w:rPr>
        <w:t xml:space="preserve"> </w:t>
      </w:r>
      <w:r>
        <w:rPr>
          <w:rFonts w:ascii="黑体" w:hAnsi="黑体" w:eastAsia="黑体" w:cs="黑体"/>
          <w:spacing w:val="-3"/>
          <w:sz w:val="21"/>
          <w:szCs w:val="21"/>
        </w:rPr>
        <w:t>变更估价</w:t>
      </w:r>
    </w:p>
    <w:p w14:paraId="100F89AC">
      <w:pPr>
        <w:spacing w:before="216" w:line="218" w:lineRule="auto"/>
        <w:jc w:val="right"/>
        <w:rPr>
          <w:rFonts w:ascii="宋体" w:hAnsi="宋体" w:eastAsia="宋体" w:cs="宋体"/>
          <w:sz w:val="21"/>
          <w:szCs w:val="21"/>
        </w:rPr>
      </w:pPr>
      <w:r>
        <w:rPr>
          <w:rFonts w:ascii="宋体" w:hAnsi="宋体" w:eastAsia="宋体" w:cs="宋体"/>
          <w:spacing w:val="-6"/>
          <w:sz w:val="21"/>
          <w:szCs w:val="21"/>
        </w:rPr>
        <w:t>(1)承包人提交变更报价书的期限：</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p>
    <w:p w14:paraId="6262A80B">
      <w:pPr>
        <w:spacing w:before="188" w:line="218" w:lineRule="auto"/>
        <w:jc w:val="right"/>
        <w:rPr>
          <w:rFonts w:ascii="宋体" w:hAnsi="宋体" w:eastAsia="宋体" w:cs="宋体"/>
          <w:sz w:val="21"/>
          <w:szCs w:val="21"/>
        </w:rPr>
      </w:pPr>
      <w:r>
        <w:rPr>
          <w:rFonts w:ascii="宋体" w:hAnsi="宋体" w:eastAsia="宋体" w:cs="宋体"/>
          <w:spacing w:val="-9"/>
          <w:sz w:val="21"/>
          <w:szCs w:val="21"/>
        </w:rPr>
        <w:t>(3)监理人商定或确定变更价格的期限：</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9"/>
          <w:sz w:val="21"/>
          <w:szCs w:val="21"/>
        </w:rPr>
        <w:t>。</w:t>
      </w:r>
    </w:p>
    <w:p w14:paraId="47601497">
      <w:pPr>
        <w:spacing w:before="112" w:line="305" w:lineRule="auto"/>
        <w:ind w:left="29" w:right="81" w:firstLine="452"/>
        <w:rPr>
          <w:rFonts w:ascii="宋体" w:hAnsi="宋体" w:eastAsia="宋体" w:cs="宋体"/>
          <w:sz w:val="21"/>
          <w:szCs w:val="21"/>
        </w:rPr>
      </w:pPr>
      <w:r>
        <w:rPr>
          <w:rFonts w:ascii="宋体" w:hAnsi="宋体" w:eastAsia="宋体" w:cs="宋体"/>
          <w:spacing w:val="-1"/>
          <w:sz w:val="21"/>
          <w:szCs w:val="21"/>
        </w:rPr>
        <w:t>(4)收到变更指示后，如承包人未在规定的期限内提交变更报价书的，监理人可自行决定是否调整合同价款以及如果监理人决定调整合同价款时，相应调整的具体金额。</w:t>
      </w:r>
    </w:p>
    <w:p w14:paraId="049C3E2D">
      <w:pPr>
        <w:spacing w:before="1" w:line="233" w:lineRule="auto"/>
        <w:ind w:left="44"/>
        <w:outlineLvl w:val="1"/>
        <w:rPr>
          <w:rFonts w:ascii="黑体" w:hAnsi="黑体" w:eastAsia="黑体" w:cs="黑体"/>
          <w:sz w:val="24"/>
          <w:szCs w:val="24"/>
        </w:rPr>
      </w:pPr>
      <w:bookmarkStart w:id="292" w:name="bookmark252"/>
      <w:bookmarkEnd w:id="292"/>
      <w:r>
        <w:rPr>
          <w:rFonts w:ascii="Times New Roman" w:hAnsi="Times New Roman" w:eastAsia="Times New Roman" w:cs="Times New Roman"/>
          <w:spacing w:val="-4"/>
          <w:sz w:val="24"/>
          <w:szCs w:val="24"/>
        </w:rPr>
        <w:t>15.4</w:t>
      </w:r>
      <w:r>
        <w:rPr>
          <w:rFonts w:ascii="Times New Roman" w:hAnsi="Times New Roman" w:eastAsia="Times New Roman" w:cs="Times New Roman"/>
          <w:spacing w:val="20"/>
          <w:sz w:val="24"/>
          <w:szCs w:val="24"/>
        </w:rPr>
        <w:t xml:space="preserve"> </w:t>
      </w:r>
      <w:r>
        <w:rPr>
          <w:rFonts w:ascii="黑体" w:hAnsi="黑体" w:eastAsia="黑体" w:cs="黑体"/>
          <w:spacing w:val="-4"/>
          <w:sz w:val="24"/>
          <w:szCs w:val="24"/>
        </w:rPr>
        <w:t>变更的估价原则</w:t>
      </w:r>
    </w:p>
    <w:p w14:paraId="3AC06F52">
      <w:pPr>
        <w:spacing w:before="101" w:line="303" w:lineRule="auto"/>
        <w:ind w:left="24" w:right="24" w:firstLine="436"/>
        <w:rPr>
          <w:rFonts w:ascii="宋体" w:hAnsi="宋体" w:eastAsia="宋体" w:cs="宋体"/>
          <w:sz w:val="21"/>
          <w:szCs w:val="21"/>
        </w:rPr>
      </w:pPr>
      <w:r>
        <w:rPr>
          <w:rFonts w:ascii="宋体" w:hAnsi="宋体" w:eastAsia="宋体" w:cs="宋体"/>
          <w:spacing w:val="-2"/>
          <w:sz w:val="21"/>
          <w:szCs w:val="21"/>
        </w:rPr>
        <w:t>15.4.4</w:t>
      </w:r>
      <w:r>
        <w:rPr>
          <w:rFonts w:ascii="宋体" w:hAnsi="宋体" w:eastAsia="宋体" w:cs="宋体"/>
          <w:spacing w:val="26"/>
          <w:sz w:val="21"/>
          <w:szCs w:val="21"/>
        </w:rPr>
        <w:t xml:space="preserve"> </w:t>
      </w:r>
      <w:r>
        <w:rPr>
          <w:rFonts w:ascii="宋体" w:hAnsi="宋体" w:eastAsia="宋体" w:cs="宋体"/>
          <w:spacing w:val="-2"/>
          <w:sz w:val="21"/>
          <w:szCs w:val="21"/>
        </w:rPr>
        <w:t>因工程量清单漏项</w:t>
      </w:r>
      <w:r>
        <w:rPr>
          <w:rFonts w:ascii="宋体" w:hAnsi="宋体" w:eastAsia="宋体" w:cs="宋体"/>
          <w:spacing w:val="-62"/>
          <w:sz w:val="21"/>
          <w:szCs w:val="21"/>
        </w:rPr>
        <w:t xml:space="preserve"> </w:t>
      </w:r>
      <w:r>
        <w:rPr>
          <w:rFonts w:ascii="宋体" w:hAnsi="宋体" w:eastAsia="宋体" w:cs="宋体"/>
          <w:spacing w:val="-2"/>
          <w:sz w:val="21"/>
          <w:szCs w:val="21"/>
        </w:rPr>
        <w:t>(仅适用于合同协议书约定采用单价合同形式时)或变更</w:t>
      </w:r>
      <w:r>
        <w:rPr>
          <w:rFonts w:ascii="宋体" w:hAnsi="宋体" w:eastAsia="宋体" w:cs="宋体"/>
          <w:spacing w:val="-3"/>
          <w:sz w:val="21"/>
          <w:szCs w:val="21"/>
        </w:rPr>
        <w:t>引起</w:t>
      </w:r>
      <w:r>
        <w:rPr>
          <w:rFonts w:ascii="宋体" w:hAnsi="宋体" w:eastAsia="宋体" w:cs="宋体"/>
          <w:spacing w:val="-1"/>
          <w:sz w:val="21"/>
          <w:szCs w:val="21"/>
        </w:rPr>
        <w:t>措施项目发生变化，原措施项目费中已有的措施项目，采用原措施项目费的组价方法变更；</w:t>
      </w:r>
      <w:r>
        <w:rPr>
          <w:rFonts w:ascii="宋体" w:hAnsi="宋体" w:eastAsia="宋体" w:cs="宋体"/>
          <w:spacing w:val="-2"/>
          <w:sz w:val="21"/>
          <w:szCs w:val="21"/>
        </w:rPr>
        <w:t>原措施项目费中没有的措施项目，由承包人根据措施项目变更情况，提出适当的措施项目费变更，由监理人按第</w:t>
      </w:r>
      <w:r>
        <w:rPr>
          <w:rFonts w:ascii="宋体" w:hAnsi="宋体" w:eastAsia="宋体" w:cs="宋体"/>
          <w:spacing w:val="-26"/>
          <w:sz w:val="21"/>
          <w:szCs w:val="21"/>
        </w:rPr>
        <w:t xml:space="preserve"> </w:t>
      </w:r>
      <w:r>
        <w:rPr>
          <w:rFonts w:ascii="宋体" w:hAnsi="宋体" w:eastAsia="宋体" w:cs="宋体"/>
          <w:spacing w:val="-2"/>
          <w:sz w:val="21"/>
          <w:szCs w:val="21"/>
        </w:rPr>
        <w:t>3.5</w:t>
      </w:r>
      <w:r>
        <w:rPr>
          <w:rFonts w:ascii="宋体" w:hAnsi="宋体" w:eastAsia="宋体" w:cs="宋体"/>
          <w:spacing w:val="-36"/>
          <w:sz w:val="21"/>
          <w:szCs w:val="21"/>
        </w:rPr>
        <w:t xml:space="preserve"> </w:t>
      </w:r>
      <w:r>
        <w:rPr>
          <w:rFonts w:ascii="宋体" w:hAnsi="宋体" w:eastAsia="宋体" w:cs="宋体"/>
          <w:spacing w:val="-2"/>
          <w:sz w:val="21"/>
          <w:szCs w:val="21"/>
        </w:rPr>
        <w:t>款商定或确定变更措施项目的费用。</w:t>
      </w:r>
    </w:p>
    <w:p w14:paraId="49E5DB48">
      <w:pPr>
        <w:spacing w:before="1" w:line="304" w:lineRule="auto"/>
        <w:ind w:left="24" w:right="16" w:firstLine="436"/>
        <w:rPr>
          <w:rFonts w:ascii="宋体" w:hAnsi="宋体" w:eastAsia="宋体" w:cs="宋体"/>
          <w:sz w:val="21"/>
          <w:szCs w:val="21"/>
        </w:rPr>
      </w:pPr>
      <w:r>
        <w:rPr>
          <w:rFonts w:ascii="宋体" w:hAnsi="宋体" w:eastAsia="宋体" w:cs="宋体"/>
          <w:sz w:val="21"/>
          <w:szCs w:val="21"/>
        </w:rPr>
        <w:t>15.4.5 合同协议书约定采用单价合同形式时，因非承包人原因引起</w:t>
      </w:r>
      <w:r>
        <w:rPr>
          <w:rFonts w:ascii="宋体" w:hAnsi="宋体" w:eastAsia="宋体" w:cs="宋体"/>
          <w:spacing w:val="-1"/>
          <w:sz w:val="21"/>
          <w:szCs w:val="21"/>
        </w:rPr>
        <w:t>已标价工程量清单</w:t>
      </w:r>
      <w:r>
        <w:rPr>
          <w:rFonts w:ascii="宋体" w:hAnsi="宋体" w:eastAsia="宋体" w:cs="宋体"/>
          <w:spacing w:val="-2"/>
          <w:sz w:val="21"/>
          <w:szCs w:val="21"/>
        </w:rPr>
        <w:t>中列明的工程量发生增减，且单个子目工程量变化幅度在</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％以内</w:t>
      </w:r>
      <w:r>
        <w:rPr>
          <w:rFonts w:ascii="宋体" w:hAnsi="宋体" w:eastAsia="宋体" w:cs="宋体"/>
          <w:spacing w:val="-15"/>
          <w:sz w:val="21"/>
          <w:szCs w:val="21"/>
        </w:rPr>
        <w:t xml:space="preserve"> </w:t>
      </w:r>
      <w:r>
        <w:rPr>
          <w:rFonts w:ascii="宋体" w:hAnsi="宋体" w:eastAsia="宋体" w:cs="宋体"/>
          <w:spacing w:val="-2"/>
          <w:sz w:val="21"/>
          <w:szCs w:val="21"/>
        </w:rPr>
        <w:t>(含)时，应执行已</w:t>
      </w:r>
      <w:r>
        <w:rPr>
          <w:rFonts w:ascii="宋体" w:hAnsi="宋体" w:eastAsia="宋体" w:cs="宋体"/>
          <w:spacing w:val="-4"/>
          <w:sz w:val="21"/>
          <w:szCs w:val="21"/>
        </w:rPr>
        <w:t>标价工程量清单中列明的该子目的单价；单个子目工程量变化幅度在</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％以外</w:t>
      </w:r>
      <w:r>
        <w:rPr>
          <w:rFonts w:ascii="宋体" w:hAnsi="宋体" w:eastAsia="宋体" w:cs="宋体"/>
          <w:spacing w:val="-47"/>
          <w:sz w:val="21"/>
          <w:szCs w:val="21"/>
        </w:rPr>
        <w:t xml:space="preserve"> </w:t>
      </w:r>
      <w:r>
        <w:rPr>
          <w:rFonts w:ascii="宋体" w:hAnsi="宋体" w:eastAsia="宋体" w:cs="宋体"/>
          <w:spacing w:val="-5"/>
          <w:sz w:val="21"/>
          <w:szCs w:val="21"/>
        </w:rPr>
        <w:t>(不含)，</w:t>
      </w:r>
      <w:r>
        <w:rPr>
          <w:rFonts w:ascii="宋体" w:hAnsi="宋体" w:eastAsia="宋体" w:cs="宋体"/>
          <w:sz w:val="21"/>
          <w:szCs w:val="21"/>
        </w:rPr>
        <w:t>且导致分部分项工程费总额变化幅度超过</w:t>
      </w:r>
      <w:r>
        <w:rPr>
          <w:rFonts w:ascii="宋体" w:hAnsi="宋体" w:eastAsia="宋体" w:cs="宋体"/>
          <w:sz w:val="21"/>
          <w:szCs w:val="21"/>
          <w:u w:val="single" w:color="auto"/>
        </w:rPr>
        <w:t xml:space="preserve">       </w:t>
      </w:r>
      <w:r>
        <w:rPr>
          <w:rFonts w:ascii="宋体" w:hAnsi="宋体" w:eastAsia="宋体" w:cs="宋体"/>
          <w:sz w:val="21"/>
          <w:szCs w:val="21"/>
        </w:rPr>
        <w:t>％时，由承包人提出并由监理人按第 3.5</w:t>
      </w:r>
    </w:p>
    <w:p w14:paraId="7198900E">
      <w:pPr>
        <w:spacing w:line="304" w:lineRule="auto"/>
        <w:rPr>
          <w:rFonts w:ascii="宋体" w:hAnsi="宋体" w:eastAsia="宋体" w:cs="宋体"/>
          <w:sz w:val="21"/>
          <w:szCs w:val="21"/>
        </w:rPr>
        <w:sectPr>
          <w:footerReference r:id="rId124" w:type="default"/>
          <w:pgSz w:w="11910" w:h="16845"/>
          <w:pgMar w:top="400" w:right="1712" w:bottom="1110" w:left="1786" w:header="0" w:footer="883" w:gutter="0"/>
          <w:cols w:space="720" w:num="1"/>
        </w:sectPr>
      </w:pPr>
    </w:p>
    <w:p w14:paraId="3014DAD4">
      <w:pPr>
        <w:pStyle w:val="2"/>
        <w:spacing w:line="267" w:lineRule="auto"/>
      </w:pPr>
    </w:p>
    <w:p w14:paraId="0E2BEA63">
      <w:pPr>
        <w:pStyle w:val="2"/>
        <w:spacing w:line="268" w:lineRule="auto"/>
      </w:pPr>
    </w:p>
    <w:p w14:paraId="3F931B16">
      <w:pPr>
        <w:pStyle w:val="2"/>
        <w:spacing w:line="268" w:lineRule="auto"/>
      </w:pPr>
    </w:p>
    <w:p w14:paraId="74946521">
      <w:pPr>
        <w:pStyle w:val="2"/>
        <w:spacing w:line="268" w:lineRule="auto"/>
      </w:pPr>
    </w:p>
    <w:p w14:paraId="4AF56388">
      <w:pPr>
        <w:spacing w:before="68" w:line="218" w:lineRule="auto"/>
        <w:ind w:left="25"/>
        <w:rPr>
          <w:rFonts w:ascii="宋体" w:hAnsi="宋体" w:eastAsia="宋体" w:cs="宋体"/>
          <w:sz w:val="21"/>
          <w:szCs w:val="21"/>
        </w:rPr>
      </w:pPr>
      <w:r>
        <w:rPr>
          <w:rFonts w:ascii="宋体" w:hAnsi="宋体" w:eastAsia="宋体" w:cs="宋体"/>
          <w:spacing w:val="-1"/>
          <w:sz w:val="21"/>
          <w:szCs w:val="21"/>
        </w:rPr>
        <w:t>款商定或确定新的单价，该子目按修正后的新的单价计价。</w:t>
      </w:r>
    </w:p>
    <w:p w14:paraId="47FF48CF">
      <w:pPr>
        <w:spacing w:before="97" w:line="218" w:lineRule="auto"/>
        <w:ind w:left="460"/>
        <w:rPr>
          <w:rFonts w:ascii="宋体" w:hAnsi="宋体" w:eastAsia="宋体" w:cs="宋体"/>
          <w:sz w:val="21"/>
          <w:szCs w:val="21"/>
        </w:rPr>
      </w:pPr>
      <w:r>
        <w:rPr>
          <w:rFonts w:ascii="宋体" w:hAnsi="宋体" w:eastAsia="宋体" w:cs="宋体"/>
          <w:spacing w:val="-1"/>
          <w:sz w:val="21"/>
          <w:szCs w:val="21"/>
        </w:rPr>
        <w:t>15.4.6</w:t>
      </w:r>
      <w:r>
        <w:rPr>
          <w:rFonts w:ascii="宋体" w:hAnsi="宋体" w:eastAsia="宋体" w:cs="宋体"/>
          <w:spacing w:val="-20"/>
          <w:sz w:val="21"/>
          <w:szCs w:val="21"/>
        </w:rPr>
        <w:t xml:space="preserve"> </w:t>
      </w:r>
      <w:r>
        <w:rPr>
          <w:rFonts w:ascii="宋体" w:hAnsi="宋体" w:eastAsia="宋体" w:cs="宋体"/>
          <w:spacing w:val="-1"/>
          <w:sz w:val="21"/>
          <w:szCs w:val="21"/>
        </w:rPr>
        <w:t>因变更引起价格调整的其他处理方式：</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7CB6D6F">
      <w:pPr>
        <w:spacing w:before="232" w:line="45" w:lineRule="exact"/>
        <w:jc w:val="right"/>
        <w:rPr>
          <w:rFonts w:ascii="宋体" w:hAnsi="宋体" w:eastAsia="宋体" w:cs="宋体"/>
          <w:sz w:val="21"/>
          <w:szCs w:val="21"/>
        </w:rPr>
      </w:pPr>
      <w:r>
        <w:pict>
          <v:shape id="_x0000_s1038" o:spid="_x0000_s1038" o:spt="202" type="#_x0000_t202" style="position:absolute;left:0pt;margin-left:9.55pt;margin-top:4.85pt;height:14.1pt;width:401.55pt;z-index:251681792;mso-width-relative:page;mso-height-relative:page;" filled="f" stroked="f" coordsize="21600,21600">
            <v:path/>
            <v:fill on="f" focussize="0,0"/>
            <v:stroke on="f"/>
            <v:imagedata o:title=""/>
            <o:lock v:ext="edit" aspectratio="f"/>
            <v:textbox inset="0mm,0mm,0mm,0mm">
              <w:txbxContent>
                <w:p w14:paraId="18103613">
                  <w:pPr>
                    <w:pStyle w:val="2"/>
                    <w:tabs>
                      <w:tab w:val="left" w:pos="8010"/>
                    </w:tabs>
                    <w:spacing w:before="20"/>
                    <w:ind w:left="20"/>
                  </w:pPr>
                  <w:r>
                    <w:rPr>
                      <w:u w:val="single" w:color="auto"/>
                    </w:rPr>
                    <w:tab/>
                  </w:r>
                </w:p>
              </w:txbxContent>
            </v:textbox>
          </v:shape>
        </w:pict>
      </w:r>
      <w:r>
        <w:rPr>
          <w:rFonts w:ascii="宋体" w:hAnsi="宋体" w:eastAsia="宋体" w:cs="宋体"/>
          <w:spacing w:val="-56"/>
          <w:w w:val="98"/>
          <w:position w:val="-1"/>
          <w:sz w:val="21"/>
          <w:szCs w:val="21"/>
        </w:rPr>
        <w:t>。</w:t>
      </w:r>
    </w:p>
    <w:p w14:paraId="255C280D">
      <w:pPr>
        <w:spacing w:before="168" w:line="233" w:lineRule="auto"/>
        <w:ind w:left="44"/>
        <w:outlineLvl w:val="1"/>
        <w:rPr>
          <w:rFonts w:ascii="黑体" w:hAnsi="黑体" w:eastAsia="黑体" w:cs="黑体"/>
          <w:sz w:val="24"/>
          <w:szCs w:val="24"/>
        </w:rPr>
      </w:pPr>
      <w:bookmarkStart w:id="293" w:name="bookmark253"/>
      <w:bookmarkEnd w:id="293"/>
      <w:r>
        <w:rPr>
          <w:rFonts w:ascii="Times New Roman" w:hAnsi="Times New Roman" w:eastAsia="Times New Roman" w:cs="Times New Roman"/>
          <w:spacing w:val="-2"/>
          <w:sz w:val="24"/>
          <w:szCs w:val="24"/>
        </w:rPr>
        <w:t xml:space="preserve">15.5 </w:t>
      </w:r>
      <w:r>
        <w:rPr>
          <w:rFonts w:ascii="黑体" w:hAnsi="黑体" w:eastAsia="黑体" w:cs="黑体"/>
          <w:spacing w:val="-2"/>
          <w:sz w:val="24"/>
          <w:szCs w:val="24"/>
        </w:rPr>
        <w:t>承包人的合理化建议</w:t>
      </w:r>
    </w:p>
    <w:p w14:paraId="4176B2FE">
      <w:pPr>
        <w:spacing w:before="98" w:line="220" w:lineRule="auto"/>
        <w:ind w:left="460"/>
        <w:rPr>
          <w:rFonts w:ascii="宋体" w:hAnsi="宋体" w:eastAsia="宋体" w:cs="宋体"/>
          <w:sz w:val="21"/>
          <w:szCs w:val="21"/>
        </w:rPr>
      </w:pPr>
      <w:r>
        <w:rPr>
          <w:rFonts w:ascii="宋体" w:hAnsi="宋体" w:eastAsia="宋体" w:cs="宋体"/>
          <w:spacing w:val="-1"/>
          <w:sz w:val="21"/>
          <w:szCs w:val="21"/>
        </w:rPr>
        <w:t>15.5.2</w:t>
      </w:r>
      <w:r>
        <w:rPr>
          <w:rFonts w:ascii="宋体" w:hAnsi="宋体" w:eastAsia="宋体" w:cs="宋体"/>
          <w:spacing w:val="-37"/>
          <w:sz w:val="21"/>
          <w:szCs w:val="21"/>
        </w:rPr>
        <w:t xml:space="preserve"> </w:t>
      </w:r>
      <w:r>
        <w:rPr>
          <w:rFonts w:ascii="宋体" w:hAnsi="宋体" w:eastAsia="宋体" w:cs="宋体"/>
          <w:spacing w:val="-1"/>
          <w:sz w:val="21"/>
          <w:szCs w:val="21"/>
        </w:rPr>
        <w:t>对承包人提出合理化建议的奖励方法：</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70948F9">
      <w:pPr>
        <w:spacing w:before="231" w:line="45" w:lineRule="exact"/>
        <w:jc w:val="right"/>
        <w:rPr>
          <w:rFonts w:ascii="宋体" w:hAnsi="宋体" w:eastAsia="宋体" w:cs="宋体"/>
          <w:sz w:val="21"/>
          <w:szCs w:val="21"/>
        </w:rPr>
      </w:pPr>
      <w:r>
        <w:pict>
          <v:shape id="_x0000_s1039" o:spid="_x0000_s1039" o:spt="202" type="#_x0000_t202" style="position:absolute;left:0pt;margin-left:0.25pt;margin-top:4.8pt;height:106.5pt;width:417.85pt;z-index:251680768;mso-width-relative:page;mso-height-relative:page;" filled="f" stroked="f" coordsize="21600,21600">
            <v:path/>
            <v:fill on="f" focussize="0,0"/>
            <v:stroke on="f"/>
            <v:imagedata o:title=""/>
            <o:lock v:ext="edit" aspectratio="f"/>
            <v:textbox inset="0mm,0mm,0mm,0mm">
              <w:txbxContent>
                <w:p w14:paraId="0D9D6A13">
                  <w:pPr>
                    <w:pStyle w:val="2"/>
                    <w:tabs>
                      <w:tab w:val="left" w:pos="8195"/>
                    </w:tabs>
                    <w:spacing w:before="20"/>
                    <w:ind w:left="205"/>
                  </w:pPr>
                  <w:r>
                    <w:rPr>
                      <w:u w:val="single" w:color="auto"/>
                    </w:rPr>
                    <w:tab/>
                  </w:r>
                </w:p>
                <w:p w14:paraId="7387F9A3">
                  <w:pPr>
                    <w:spacing w:before="101" w:line="233" w:lineRule="auto"/>
                    <w:ind w:left="39"/>
                    <w:outlineLvl w:val="1"/>
                    <w:rPr>
                      <w:rFonts w:ascii="黑体" w:hAnsi="黑体" w:eastAsia="黑体" w:cs="黑体"/>
                      <w:sz w:val="24"/>
                      <w:szCs w:val="24"/>
                    </w:rPr>
                  </w:pPr>
                  <w:bookmarkStart w:id="681" w:name="bookmark254"/>
                  <w:bookmarkEnd w:id="681"/>
                  <w:r>
                    <w:rPr>
                      <w:rFonts w:ascii="Times New Roman" w:hAnsi="Times New Roman" w:eastAsia="Times New Roman" w:cs="Times New Roman"/>
                      <w:spacing w:val="-6"/>
                      <w:sz w:val="24"/>
                      <w:szCs w:val="24"/>
                    </w:rPr>
                    <w:t>15.8</w:t>
                  </w:r>
                  <w:r>
                    <w:rPr>
                      <w:rFonts w:ascii="Times New Roman" w:hAnsi="Times New Roman" w:eastAsia="Times New Roman" w:cs="Times New Roman"/>
                      <w:spacing w:val="20"/>
                      <w:sz w:val="24"/>
                      <w:szCs w:val="24"/>
                    </w:rPr>
                    <w:t xml:space="preserve"> </w:t>
                  </w:r>
                  <w:r>
                    <w:rPr>
                      <w:rFonts w:ascii="黑体" w:hAnsi="黑体" w:eastAsia="黑体" w:cs="黑体"/>
                      <w:spacing w:val="-6"/>
                      <w:sz w:val="24"/>
                      <w:szCs w:val="24"/>
                    </w:rPr>
                    <w:t>暂估价</w:t>
                  </w:r>
                </w:p>
                <w:p w14:paraId="1CC66646">
                  <w:pPr>
                    <w:spacing w:before="84" w:line="303" w:lineRule="auto"/>
                    <w:ind w:left="20" w:right="20" w:firstLine="435"/>
                    <w:jc w:val="both"/>
                    <w:rPr>
                      <w:rFonts w:ascii="宋体" w:hAnsi="宋体" w:eastAsia="宋体" w:cs="宋体"/>
                      <w:sz w:val="21"/>
                      <w:szCs w:val="21"/>
                    </w:rPr>
                  </w:pPr>
                  <w:r>
                    <w:rPr>
                      <w:rFonts w:ascii="宋体" w:hAnsi="宋体" w:eastAsia="宋体" w:cs="宋体"/>
                      <w:sz w:val="21"/>
                      <w:szCs w:val="21"/>
                    </w:rPr>
                    <w:t>15.8.1 按合同约定应当由发包人和承包人采用招标方式选择专项供</w:t>
                  </w:r>
                  <w:r>
                    <w:rPr>
                      <w:rFonts w:ascii="宋体" w:hAnsi="宋体" w:eastAsia="宋体" w:cs="宋体"/>
                      <w:spacing w:val="-1"/>
                      <w:sz w:val="21"/>
                      <w:szCs w:val="21"/>
                    </w:rPr>
                    <w:t>应商或专业分包人</w:t>
                  </w:r>
                  <w:r>
                    <w:rPr>
                      <w:rFonts w:ascii="宋体" w:hAnsi="宋体" w:eastAsia="宋体" w:cs="宋体"/>
                      <w:spacing w:val="-2"/>
                      <w:sz w:val="21"/>
                      <w:szCs w:val="21"/>
                    </w:rPr>
                    <w:t>的，应当由承包人作为招标人，依法组织招标工作并接受有管辖权的建设工程招</w:t>
                  </w:r>
                  <w:r>
                    <w:rPr>
                      <w:rFonts w:ascii="宋体" w:hAnsi="宋体" w:eastAsia="宋体" w:cs="宋体"/>
                      <w:spacing w:val="-3"/>
                      <w:sz w:val="21"/>
                      <w:szCs w:val="21"/>
                    </w:rPr>
                    <w:t>标投标行政</w:t>
                  </w:r>
                  <w:r>
                    <w:rPr>
                      <w:rFonts w:ascii="宋体" w:hAnsi="宋体" w:eastAsia="宋体" w:cs="宋体"/>
                      <w:spacing w:val="3"/>
                      <w:sz w:val="21"/>
                      <w:szCs w:val="21"/>
                    </w:rPr>
                    <w:t>监督部门的监督。与组织招标工作有关的费用应当被认为已经包括在承包</w:t>
                  </w:r>
                  <w:r>
                    <w:rPr>
                      <w:rFonts w:ascii="宋体" w:hAnsi="宋体" w:eastAsia="宋体" w:cs="宋体"/>
                      <w:spacing w:val="2"/>
                      <w:sz w:val="21"/>
                      <w:szCs w:val="21"/>
                    </w:rPr>
                    <w:t>人的签约合同价</w:t>
                  </w:r>
                  <w:r>
                    <w:rPr>
                      <w:rFonts w:ascii="宋体" w:hAnsi="宋体" w:eastAsia="宋体" w:cs="宋体"/>
                      <w:spacing w:val="-4"/>
                      <w:sz w:val="21"/>
                      <w:szCs w:val="21"/>
                    </w:rPr>
                    <w:t>(投标总报价)中：</w:t>
                  </w:r>
                </w:p>
              </w:txbxContent>
            </v:textbox>
          </v:shape>
        </w:pict>
      </w:r>
      <w:r>
        <w:rPr>
          <w:rFonts w:ascii="宋体" w:hAnsi="宋体" w:eastAsia="宋体" w:cs="宋体"/>
          <w:spacing w:val="-56"/>
          <w:w w:val="98"/>
          <w:position w:val="-1"/>
          <w:sz w:val="21"/>
          <w:szCs w:val="21"/>
        </w:rPr>
        <w:t>。</w:t>
      </w:r>
    </w:p>
    <w:p w14:paraId="4CAD627F">
      <w:pPr>
        <w:pStyle w:val="2"/>
        <w:spacing w:line="247" w:lineRule="auto"/>
      </w:pPr>
    </w:p>
    <w:p w14:paraId="164F12FF">
      <w:pPr>
        <w:pStyle w:val="2"/>
        <w:spacing w:line="247" w:lineRule="auto"/>
      </w:pPr>
    </w:p>
    <w:p w14:paraId="5C3CB8D9">
      <w:pPr>
        <w:pStyle w:val="2"/>
        <w:spacing w:line="247" w:lineRule="auto"/>
      </w:pPr>
    </w:p>
    <w:p w14:paraId="2CEB547A">
      <w:pPr>
        <w:pStyle w:val="2"/>
        <w:spacing w:line="247" w:lineRule="auto"/>
      </w:pPr>
    </w:p>
    <w:p w14:paraId="5ED6FBF4">
      <w:pPr>
        <w:pStyle w:val="2"/>
        <w:spacing w:line="247" w:lineRule="auto"/>
      </w:pPr>
    </w:p>
    <w:p w14:paraId="51DCFF62">
      <w:pPr>
        <w:pStyle w:val="2"/>
        <w:spacing w:line="247" w:lineRule="auto"/>
      </w:pPr>
    </w:p>
    <w:p w14:paraId="15513FD2">
      <w:pPr>
        <w:pStyle w:val="2"/>
        <w:spacing w:line="248" w:lineRule="auto"/>
      </w:pPr>
    </w:p>
    <w:p w14:paraId="12823AEA">
      <w:pPr>
        <w:pStyle w:val="2"/>
        <w:spacing w:line="248" w:lineRule="auto"/>
      </w:pPr>
    </w:p>
    <w:p w14:paraId="44E5A277">
      <w:pPr>
        <w:spacing w:before="69" w:line="325" w:lineRule="auto"/>
        <w:ind w:left="23" w:right="36" w:firstLine="458"/>
        <w:rPr>
          <w:rFonts w:ascii="宋体" w:hAnsi="宋体" w:eastAsia="宋体" w:cs="宋体"/>
          <w:sz w:val="21"/>
          <w:szCs w:val="21"/>
        </w:rPr>
      </w:pPr>
      <w:r>
        <w:rPr>
          <w:rFonts w:ascii="宋体" w:hAnsi="宋体" w:eastAsia="宋体" w:cs="宋体"/>
          <w:spacing w:val="-1"/>
          <w:sz w:val="21"/>
          <w:szCs w:val="21"/>
        </w:rPr>
        <w:t>(1)在任何招标工作启动前，承包人应当提前至少</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w:t>
      </w:r>
      <w:r>
        <w:rPr>
          <w:rFonts w:ascii="宋体" w:hAnsi="宋体" w:eastAsia="宋体" w:cs="宋体"/>
          <w:spacing w:val="-2"/>
          <w:sz w:val="21"/>
          <w:szCs w:val="21"/>
        </w:rPr>
        <w:t>编制招标工作计划并通过监理人报请发包人审批，招标工作计划应当包括招标工作的时间安排、拟采用的招标方式、拟采用的资格审查方法、主要招标过程文件的编制内容、对投标人的资格条件要求、评标标准</w:t>
      </w:r>
      <w:r>
        <w:rPr>
          <w:rFonts w:ascii="宋体" w:hAnsi="宋体" w:eastAsia="宋体" w:cs="宋体"/>
          <w:spacing w:val="-4"/>
          <w:sz w:val="21"/>
          <w:szCs w:val="21"/>
        </w:rPr>
        <w:t>和方法、评标委员会组成、是否编制招标控制价和</w:t>
      </w:r>
      <w:r>
        <w:rPr>
          <w:rFonts w:ascii="宋体" w:hAnsi="宋体" w:eastAsia="宋体" w:cs="宋体"/>
          <w:spacing w:val="-62"/>
          <w:sz w:val="21"/>
          <w:szCs w:val="21"/>
        </w:rPr>
        <w:t xml:space="preserve"> </w:t>
      </w:r>
      <w:r>
        <w:rPr>
          <w:rFonts w:ascii="宋体" w:hAnsi="宋体" w:eastAsia="宋体" w:cs="宋体"/>
          <w:spacing w:val="-4"/>
          <w:sz w:val="21"/>
          <w:szCs w:val="21"/>
        </w:rPr>
        <w:t>(或)标底以及招标控制价和</w:t>
      </w:r>
      <w:r>
        <w:rPr>
          <w:rFonts w:ascii="宋体" w:hAnsi="宋体" w:eastAsia="宋体" w:cs="宋体"/>
          <w:spacing w:val="-61"/>
          <w:sz w:val="21"/>
          <w:szCs w:val="21"/>
        </w:rPr>
        <w:t xml:space="preserve"> </w:t>
      </w:r>
      <w:r>
        <w:rPr>
          <w:rFonts w:ascii="宋体" w:hAnsi="宋体" w:eastAsia="宋体" w:cs="宋体"/>
          <w:spacing w:val="-5"/>
          <w:sz w:val="21"/>
          <w:szCs w:val="21"/>
        </w:rPr>
        <w:t>(或)标底编制</w:t>
      </w:r>
      <w:r>
        <w:rPr>
          <w:rFonts w:ascii="宋体" w:hAnsi="宋体" w:eastAsia="宋体" w:cs="宋体"/>
          <w:spacing w:val="-2"/>
          <w:sz w:val="21"/>
          <w:szCs w:val="21"/>
        </w:rPr>
        <w:t>原则，发包人应当在监理人收到承包人报送的招标工作计划后</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3"/>
          <w:sz w:val="21"/>
          <w:szCs w:val="21"/>
        </w:rPr>
        <w:t>天内给予批准或者提出</w:t>
      </w:r>
      <w:r>
        <w:rPr>
          <w:rFonts w:ascii="宋体" w:hAnsi="宋体" w:eastAsia="宋体" w:cs="宋体"/>
          <w:spacing w:val="-1"/>
          <w:sz w:val="21"/>
          <w:szCs w:val="21"/>
        </w:rPr>
        <w:t>修改意见。承包人应当严格按照经过发包人批准的招标工作计划开展招标工作。</w:t>
      </w:r>
    </w:p>
    <w:p w14:paraId="3216F6BD">
      <w:pPr>
        <w:spacing w:before="4" w:line="325" w:lineRule="auto"/>
        <w:ind w:left="23" w:right="36" w:firstLine="458"/>
        <w:rPr>
          <w:rFonts w:ascii="宋体" w:hAnsi="宋体" w:eastAsia="宋体" w:cs="宋体"/>
          <w:sz w:val="21"/>
          <w:szCs w:val="21"/>
        </w:rPr>
      </w:pPr>
      <w:r>
        <w:rPr>
          <w:rFonts w:ascii="宋体" w:hAnsi="宋体" w:eastAsia="宋体" w:cs="宋体"/>
          <w:spacing w:val="-1"/>
          <w:sz w:val="21"/>
          <w:szCs w:val="21"/>
        </w:rPr>
        <w:t>(2)承包人应当在发出招标公告(或者资格预审公告或者投标邀请书)、资格预审文件和</w:t>
      </w:r>
      <w:r>
        <w:rPr>
          <w:rFonts w:ascii="宋体" w:hAnsi="宋体" w:eastAsia="宋体" w:cs="宋体"/>
          <w:spacing w:val="-2"/>
          <w:sz w:val="21"/>
          <w:szCs w:val="21"/>
        </w:rPr>
        <w:t>招标文件前至少</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天，分别将相关文件通过监理人报请发包</w:t>
      </w:r>
      <w:r>
        <w:rPr>
          <w:rFonts w:ascii="宋体" w:hAnsi="宋体" w:eastAsia="宋体" w:cs="宋体"/>
          <w:spacing w:val="-3"/>
          <w:sz w:val="21"/>
          <w:szCs w:val="21"/>
        </w:rPr>
        <w:t>人审批，发包人应当在监理</w:t>
      </w:r>
      <w:r>
        <w:rPr>
          <w:rFonts w:ascii="宋体" w:hAnsi="宋体" w:eastAsia="宋体" w:cs="宋体"/>
          <w:spacing w:val="-2"/>
          <w:sz w:val="21"/>
          <w:szCs w:val="21"/>
        </w:rPr>
        <w:t>人收到承包人报送的相关文件后</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天内给予批准或者提出修改意</w:t>
      </w:r>
      <w:r>
        <w:rPr>
          <w:rFonts w:ascii="宋体" w:hAnsi="宋体" w:eastAsia="宋体" w:cs="宋体"/>
          <w:spacing w:val="-3"/>
          <w:sz w:val="21"/>
          <w:szCs w:val="21"/>
        </w:rPr>
        <w:t>见，经发包人批准的相</w:t>
      </w:r>
      <w:r>
        <w:rPr>
          <w:rFonts w:ascii="宋体" w:hAnsi="宋体" w:eastAsia="宋体" w:cs="宋体"/>
          <w:spacing w:val="-2"/>
          <w:sz w:val="21"/>
          <w:szCs w:val="21"/>
        </w:rPr>
        <w:t>关文件，由承包人负责誊清整理并准备出开展实际招标工作所需要的份数，通过监理</w:t>
      </w:r>
      <w:r>
        <w:rPr>
          <w:rFonts w:ascii="宋体" w:hAnsi="宋体" w:eastAsia="宋体" w:cs="宋体"/>
          <w:spacing w:val="-3"/>
          <w:sz w:val="21"/>
          <w:szCs w:val="21"/>
        </w:rPr>
        <w:t>人报发</w:t>
      </w:r>
      <w:r>
        <w:rPr>
          <w:rFonts w:ascii="宋体" w:hAnsi="宋体" w:eastAsia="宋体" w:cs="宋体"/>
          <w:spacing w:val="-2"/>
          <w:sz w:val="21"/>
          <w:szCs w:val="21"/>
        </w:rPr>
        <w:t>包人核查并加盖发包人印章，发包人在相关文件上加盖印章只表明相关文件经过发包人审核</w:t>
      </w:r>
      <w:r>
        <w:rPr>
          <w:rFonts w:ascii="宋体" w:hAnsi="宋体" w:eastAsia="宋体" w:cs="宋体"/>
          <w:spacing w:val="-1"/>
          <w:sz w:val="21"/>
          <w:szCs w:val="21"/>
        </w:rPr>
        <w:t>批准。最终发出的文件应当分别报送一份给发包人和监理人备查。</w:t>
      </w:r>
    </w:p>
    <w:p w14:paraId="2816E7FE">
      <w:pPr>
        <w:spacing w:before="29" w:line="357" w:lineRule="auto"/>
        <w:ind w:left="24" w:right="42" w:firstLine="457"/>
        <w:rPr>
          <w:rFonts w:ascii="宋体" w:hAnsi="宋体" w:eastAsia="宋体" w:cs="宋体"/>
          <w:sz w:val="21"/>
          <w:szCs w:val="21"/>
        </w:rPr>
      </w:pPr>
      <w:r>
        <w:rPr>
          <w:rFonts w:ascii="宋体" w:hAnsi="宋体" w:eastAsia="宋体" w:cs="宋体"/>
          <w:spacing w:val="-1"/>
          <w:sz w:val="21"/>
          <w:szCs w:val="21"/>
        </w:rPr>
        <w:t>(3)如果发、承包任何一方委派评标代表，评标委员会应当由七人以上单数构成。除发</w:t>
      </w:r>
      <w:r>
        <w:rPr>
          <w:rFonts w:ascii="宋体" w:hAnsi="宋体" w:eastAsia="宋体" w:cs="宋体"/>
          <w:spacing w:val="-2"/>
          <w:sz w:val="21"/>
          <w:szCs w:val="21"/>
        </w:rPr>
        <w:t>包人或者承包人自愿放弃委派评标代表的权利外，招标人评标代表应当分别</w:t>
      </w:r>
      <w:r>
        <w:rPr>
          <w:rFonts w:ascii="宋体" w:hAnsi="宋体" w:eastAsia="宋体" w:cs="宋体"/>
          <w:spacing w:val="-3"/>
          <w:sz w:val="21"/>
          <w:szCs w:val="21"/>
        </w:rPr>
        <w:t>由发包人和承包</w:t>
      </w:r>
      <w:r>
        <w:rPr>
          <w:rFonts w:ascii="宋体" w:hAnsi="宋体" w:eastAsia="宋体" w:cs="宋体"/>
          <w:spacing w:val="-6"/>
          <w:sz w:val="21"/>
          <w:szCs w:val="21"/>
        </w:rPr>
        <w:t>人等额委派。</w:t>
      </w:r>
    </w:p>
    <w:p w14:paraId="696C870D">
      <w:pPr>
        <w:spacing w:before="3" w:line="351" w:lineRule="auto"/>
        <w:ind w:left="23" w:right="26" w:firstLine="458"/>
        <w:rPr>
          <w:rFonts w:ascii="宋体" w:hAnsi="宋体" w:eastAsia="宋体" w:cs="宋体"/>
          <w:sz w:val="21"/>
          <w:szCs w:val="21"/>
        </w:rPr>
      </w:pPr>
      <w:r>
        <w:rPr>
          <w:rFonts w:ascii="宋体" w:hAnsi="宋体" w:eastAsia="宋体" w:cs="宋体"/>
          <w:spacing w:val="-4"/>
          <w:sz w:val="21"/>
          <w:szCs w:val="21"/>
        </w:rPr>
        <w:t>(4)设有标底的，承包人应当在开标前提前</w:t>
      </w:r>
      <w:r>
        <w:rPr>
          <w:rFonts w:ascii="宋体" w:hAnsi="宋体" w:eastAsia="宋体" w:cs="宋体"/>
          <w:spacing w:val="-23"/>
          <w:sz w:val="21"/>
          <w:szCs w:val="21"/>
        </w:rPr>
        <w:t xml:space="preserve"> </w:t>
      </w:r>
      <w:r>
        <w:rPr>
          <w:rFonts w:ascii="宋体" w:hAnsi="宋体" w:eastAsia="宋体" w:cs="宋体"/>
          <w:spacing w:val="-4"/>
          <w:sz w:val="21"/>
          <w:szCs w:val="21"/>
        </w:rPr>
        <w:t>48</w:t>
      </w:r>
      <w:r>
        <w:rPr>
          <w:rFonts w:ascii="宋体" w:hAnsi="宋体" w:eastAsia="宋体" w:cs="宋体"/>
          <w:spacing w:val="-31"/>
          <w:sz w:val="21"/>
          <w:szCs w:val="21"/>
        </w:rPr>
        <w:t xml:space="preserve"> </w:t>
      </w:r>
      <w:r>
        <w:rPr>
          <w:rFonts w:ascii="宋体" w:hAnsi="宋体" w:eastAsia="宋体" w:cs="宋体"/>
          <w:spacing w:val="-4"/>
          <w:sz w:val="21"/>
          <w:szCs w:val="21"/>
        </w:rPr>
        <w:t>小时将标底报发包人审核认可，发包人应</w:t>
      </w:r>
      <w:r>
        <w:rPr>
          <w:rFonts w:ascii="宋体" w:hAnsi="宋体" w:eastAsia="宋体" w:cs="宋体"/>
          <w:sz w:val="21"/>
          <w:szCs w:val="21"/>
        </w:rPr>
        <w:t>当在收到承包人报送的标底后</w:t>
      </w:r>
      <w:r>
        <w:rPr>
          <w:rFonts w:ascii="宋体" w:hAnsi="宋体" w:eastAsia="宋体" w:cs="宋体"/>
          <w:spacing w:val="-37"/>
          <w:sz w:val="21"/>
          <w:szCs w:val="21"/>
        </w:rPr>
        <w:t xml:space="preserve"> </w:t>
      </w:r>
      <w:r>
        <w:rPr>
          <w:rFonts w:ascii="宋体" w:hAnsi="宋体" w:eastAsia="宋体" w:cs="宋体"/>
          <w:sz w:val="21"/>
          <w:szCs w:val="21"/>
        </w:rPr>
        <w:t>24</w:t>
      </w:r>
      <w:r>
        <w:rPr>
          <w:rFonts w:ascii="宋体" w:hAnsi="宋体" w:eastAsia="宋体" w:cs="宋体"/>
          <w:spacing w:val="-31"/>
          <w:sz w:val="21"/>
          <w:szCs w:val="21"/>
        </w:rPr>
        <w:t xml:space="preserve"> </w:t>
      </w:r>
      <w:r>
        <w:rPr>
          <w:rFonts w:ascii="宋体" w:hAnsi="宋体" w:eastAsia="宋体" w:cs="宋体"/>
          <w:sz w:val="21"/>
          <w:szCs w:val="21"/>
        </w:rPr>
        <w:t>小时内给予批准或者提</w:t>
      </w:r>
      <w:r>
        <w:rPr>
          <w:rFonts w:ascii="宋体" w:hAnsi="宋体" w:eastAsia="宋体" w:cs="宋体"/>
          <w:spacing w:val="-1"/>
          <w:sz w:val="21"/>
          <w:szCs w:val="21"/>
        </w:rPr>
        <w:t>出修改意见。承包人和发包人应当共同制定标底保密措施，不得提前泄露标底。标底的最终审核和决定权属于发包人。</w:t>
      </w:r>
    </w:p>
    <w:p w14:paraId="1DBDFA9C">
      <w:pPr>
        <w:spacing w:before="2" w:line="356" w:lineRule="auto"/>
        <w:ind w:left="25" w:right="42" w:firstLine="455"/>
        <w:rPr>
          <w:rFonts w:ascii="宋体" w:hAnsi="宋体" w:eastAsia="宋体" w:cs="宋体"/>
          <w:sz w:val="21"/>
          <w:szCs w:val="21"/>
        </w:rPr>
      </w:pPr>
      <w:r>
        <w:rPr>
          <w:rFonts w:ascii="宋体" w:hAnsi="宋体" w:eastAsia="宋体" w:cs="宋体"/>
          <w:spacing w:val="-1"/>
          <w:sz w:val="21"/>
          <w:szCs w:val="21"/>
        </w:rPr>
        <w:t>(5)设有招标控制价的，承包人应当在招标文件发</w:t>
      </w:r>
      <w:r>
        <w:rPr>
          <w:rFonts w:ascii="宋体" w:hAnsi="宋体" w:eastAsia="宋体" w:cs="宋体"/>
          <w:spacing w:val="-2"/>
          <w:sz w:val="21"/>
          <w:szCs w:val="21"/>
        </w:rPr>
        <w:t>出前提前</w:t>
      </w:r>
      <w:r>
        <w:rPr>
          <w:rFonts w:ascii="宋体" w:hAnsi="宋体" w:eastAsia="宋体" w:cs="宋体"/>
          <w:spacing w:val="-37"/>
          <w:sz w:val="21"/>
          <w:szCs w:val="21"/>
        </w:rPr>
        <w:t xml:space="preserve"> </w:t>
      </w:r>
      <w:r>
        <w:rPr>
          <w:rFonts w:ascii="宋体" w:hAnsi="宋体" w:eastAsia="宋体" w:cs="宋体"/>
          <w:spacing w:val="-2"/>
          <w:sz w:val="21"/>
          <w:szCs w:val="21"/>
        </w:rPr>
        <w:t>7</w:t>
      </w:r>
      <w:r>
        <w:rPr>
          <w:rFonts w:ascii="宋体" w:hAnsi="宋体" w:eastAsia="宋体" w:cs="宋体"/>
          <w:spacing w:val="-33"/>
          <w:sz w:val="21"/>
          <w:szCs w:val="21"/>
        </w:rPr>
        <w:t xml:space="preserve"> </w:t>
      </w:r>
      <w:r>
        <w:rPr>
          <w:rFonts w:ascii="宋体" w:hAnsi="宋体" w:eastAsia="宋体" w:cs="宋体"/>
          <w:spacing w:val="-2"/>
          <w:sz w:val="21"/>
          <w:szCs w:val="21"/>
        </w:rPr>
        <w:t>天将招标控制价报发包人</w:t>
      </w:r>
      <w:r>
        <w:rPr>
          <w:rFonts w:ascii="宋体" w:hAnsi="宋体" w:eastAsia="宋体" w:cs="宋体"/>
          <w:sz w:val="21"/>
          <w:szCs w:val="21"/>
        </w:rPr>
        <w:t>审核认可，发包人应当在收到承包人报送的招</w:t>
      </w:r>
      <w:r>
        <w:rPr>
          <w:rFonts w:ascii="宋体" w:hAnsi="宋体" w:eastAsia="宋体" w:cs="宋体"/>
          <w:spacing w:val="-1"/>
          <w:sz w:val="21"/>
          <w:szCs w:val="21"/>
        </w:rPr>
        <w:t>标控制价后</w:t>
      </w:r>
      <w:r>
        <w:rPr>
          <w:rFonts w:ascii="宋体" w:hAnsi="宋体" w:eastAsia="宋体" w:cs="宋体"/>
          <w:spacing w:val="-38"/>
          <w:sz w:val="21"/>
          <w:szCs w:val="21"/>
        </w:rPr>
        <w:t xml:space="preserve"> </w:t>
      </w:r>
      <w:r>
        <w:rPr>
          <w:rFonts w:ascii="宋体" w:hAnsi="宋体" w:eastAsia="宋体" w:cs="宋体"/>
          <w:spacing w:val="-1"/>
          <w:sz w:val="21"/>
          <w:szCs w:val="21"/>
        </w:rPr>
        <w:t>72</w:t>
      </w:r>
      <w:r>
        <w:rPr>
          <w:rFonts w:ascii="宋体" w:hAnsi="宋体" w:eastAsia="宋体" w:cs="宋体"/>
          <w:spacing w:val="-30"/>
          <w:sz w:val="21"/>
          <w:szCs w:val="21"/>
        </w:rPr>
        <w:t xml:space="preserve"> </w:t>
      </w:r>
      <w:r>
        <w:rPr>
          <w:rFonts w:ascii="宋体" w:hAnsi="宋体" w:eastAsia="宋体" w:cs="宋体"/>
          <w:spacing w:val="-1"/>
          <w:sz w:val="21"/>
          <w:szCs w:val="21"/>
        </w:rPr>
        <w:t>小时内给予认可或者提出修改</w:t>
      </w:r>
      <w:r>
        <w:rPr>
          <w:rFonts w:ascii="宋体" w:hAnsi="宋体" w:eastAsia="宋体" w:cs="宋体"/>
          <w:spacing w:val="-2"/>
          <w:sz w:val="21"/>
          <w:szCs w:val="21"/>
        </w:rPr>
        <w:t>意见。招标控制价的最终审核和决定权属于发包人，未经发包人认可</w:t>
      </w:r>
      <w:r>
        <w:rPr>
          <w:rFonts w:ascii="宋体" w:hAnsi="宋体" w:eastAsia="宋体" w:cs="宋体"/>
          <w:spacing w:val="-3"/>
          <w:sz w:val="21"/>
          <w:szCs w:val="21"/>
        </w:rPr>
        <w:t>，承包人不得发出招标</w:t>
      </w:r>
      <w:r>
        <w:rPr>
          <w:rFonts w:ascii="宋体" w:hAnsi="宋体" w:eastAsia="宋体" w:cs="宋体"/>
          <w:spacing w:val="-9"/>
          <w:sz w:val="21"/>
          <w:szCs w:val="21"/>
        </w:rPr>
        <w:t>文件。</w:t>
      </w:r>
    </w:p>
    <w:p w14:paraId="2FBEDD53">
      <w:pPr>
        <w:spacing w:before="1" w:line="357" w:lineRule="auto"/>
        <w:ind w:left="26" w:right="28" w:firstLine="454"/>
        <w:rPr>
          <w:rFonts w:ascii="宋体" w:hAnsi="宋体" w:eastAsia="宋体" w:cs="宋体"/>
          <w:sz w:val="21"/>
          <w:szCs w:val="21"/>
        </w:rPr>
      </w:pPr>
      <w:r>
        <w:rPr>
          <w:rFonts w:ascii="宋体" w:hAnsi="宋体" w:eastAsia="宋体" w:cs="宋体"/>
          <w:spacing w:val="-4"/>
          <w:sz w:val="21"/>
          <w:szCs w:val="21"/>
        </w:rPr>
        <w:t>(6)承包人在收到相关招标项目评标委员会提交的评标报告后，应当在</w:t>
      </w:r>
      <w:r>
        <w:rPr>
          <w:rFonts w:ascii="宋体" w:hAnsi="宋体" w:eastAsia="宋体" w:cs="宋体"/>
          <w:spacing w:val="-25"/>
          <w:sz w:val="21"/>
          <w:szCs w:val="21"/>
        </w:rPr>
        <w:t xml:space="preserve"> </w:t>
      </w:r>
      <w:r>
        <w:rPr>
          <w:rFonts w:ascii="宋体" w:hAnsi="宋体" w:eastAsia="宋体" w:cs="宋体"/>
          <w:spacing w:val="-4"/>
          <w:sz w:val="21"/>
          <w:szCs w:val="21"/>
        </w:rPr>
        <w:t>24</w:t>
      </w:r>
      <w:r>
        <w:rPr>
          <w:rFonts w:ascii="宋体" w:hAnsi="宋体" w:eastAsia="宋体" w:cs="宋体"/>
          <w:spacing w:val="-31"/>
          <w:sz w:val="21"/>
          <w:szCs w:val="21"/>
        </w:rPr>
        <w:t xml:space="preserve"> </w:t>
      </w:r>
      <w:r>
        <w:rPr>
          <w:rFonts w:ascii="宋体" w:hAnsi="宋体" w:eastAsia="宋体" w:cs="宋体"/>
          <w:spacing w:val="-4"/>
          <w:sz w:val="21"/>
          <w:szCs w:val="21"/>
        </w:rPr>
        <w:t>小时内通过监</w:t>
      </w:r>
      <w:r>
        <w:rPr>
          <w:rFonts w:ascii="宋体" w:hAnsi="宋体" w:eastAsia="宋体" w:cs="宋体"/>
          <w:sz w:val="21"/>
          <w:szCs w:val="21"/>
        </w:rPr>
        <w:t>理人转报发包人核查，发包人应当在监理人收到承包人报</w:t>
      </w:r>
      <w:r>
        <w:rPr>
          <w:rFonts w:ascii="宋体" w:hAnsi="宋体" w:eastAsia="宋体" w:cs="宋体"/>
          <w:spacing w:val="-1"/>
          <w:sz w:val="21"/>
          <w:szCs w:val="21"/>
        </w:rPr>
        <w:t>送的评标报告后</w:t>
      </w:r>
      <w:r>
        <w:rPr>
          <w:rFonts w:ascii="宋体" w:hAnsi="宋体" w:eastAsia="宋体" w:cs="宋体"/>
          <w:spacing w:val="-45"/>
          <w:sz w:val="21"/>
          <w:szCs w:val="21"/>
        </w:rPr>
        <w:t xml:space="preserve"> </w:t>
      </w:r>
      <w:r>
        <w:rPr>
          <w:rFonts w:ascii="宋体" w:hAnsi="宋体" w:eastAsia="宋体" w:cs="宋体"/>
          <w:spacing w:val="-1"/>
          <w:sz w:val="21"/>
          <w:szCs w:val="21"/>
        </w:rPr>
        <w:t>48</w:t>
      </w:r>
      <w:r>
        <w:rPr>
          <w:rFonts w:ascii="宋体" w:hAnsi="宋体" w:eastAsia="宋体" w:cs="宋体"/>
          <w:spacing w:val="-31"/>
          <w:sz w:val="21"/>
          <w:szCs w:val="21"/>
        </w:rPr>
        <w:t xml:space="preserve"> </w:t>
      </w:r>
      <w:r>
        <w:rPr>
          <w:rFonts w:ascii="宋体" w:hAnsi="宋体" w:eastAsia="宋体" w:cs="宋体"/>
          <w:spacing w:val="-1"/>
          <w:sz w:val="21"/>
          <w:szCs w:val="21"/>
        </w:rPr>
        <w:t>小时内核查完</w:t>
      </w:r>
      <w:r>
        <w:rPr>
          <w:rFonts w:ascii="宋体" w:hAnsi="宋体" w:eastAsia="宋体" w:cs="宋体"/>
          <w:spacing w:val="-2"/>
          <w:sz w:val="21"/>
          <w:szCs w:val="21"/>
        </w:rPr>
        <w:t>毕，评标报告经过发包人核查认可后，承包人才可以开始后续程序，依法确</w:t>
      </w:r>
      <w:r>
        <w:rPr>
          <w:rFonts w:ascii="宋体" w:hAnsi="宋体" w:eastAsia="宋体" w:cs="宋体"/>
          <w:spacing w:val="-3"/>
          <w:sz w:val="21"/>
          <w:szCs w:val="21"/>
        </w:rPr>
        <w:t>定中标人并发出</w:t>
      </w:r>
    </w:p>
    <w:p w14:paraId="09EF071D">
      <w:pPr>
        <w:spacing w:line="357" w:lineRule="auto"/>
        <w:rPr>
          <w:rFonts w:ascii="宋体" w:hAnsi="宋体" w:eastAsia="宋体" w:cs="宋体"/>
          <w:sz w:val="21"/>
          <w:szCs w:val="21"/>
        </w:rPr>
        <w:sectPr>
          <w:footerReference r:id="rId125" w:type="default"/>
          <w:pgSz w:w="11910" w:h="16845"/>
          <w:pgMar w:top="400" w:right="1742" w:bottom="1110" w:left="1786" w:header="0" w:footer="883" w:gutter="0"/>
          <w:cols w:space="720" w:num="1"/>
        </w:sectPr>
      </w:pPr>
    </w:p>
    <w:p w14:paraId="039CE4BB">
      <w:pPr>
        <w:pStyle w:val="2"/>
        <w:spacing w:line="275" w:lineRule="auto"/>
      </w:pPr>
    </w:p>
    <w:p w14:paraId="729E8966">
      <w:pPr>
        <w:pStyle w:val="2"/>
        <w:spacing w:line="275" w:lineRule="auto"/>
      </w:pPr>
    </w:p>
    <w:p w14:paraId="2626C906">
      <w:pPr>
        <w:pStyle w:val="2"/>
        <w:spacing w:line="275" w:lineRule="auto"/>
      </w:pPr>
    </w:p>
    <w:p w14:paraId="19C6C647">
      <w:pPr>
        <w:pStyle w:val="2"/>
        <w:spacing w:line="275" w:lineRule="auto"/>
      </w:pPr>
    </w:p>
    <w:p w14:paraId="2E24EC71">
      <w:pPr>
        <w:spacing w:before="69" w:line="219" w:lineRule="auto"/>
        <w:ind w:left="43"/>
        <w:rPr>
          <w:rFonts w:ascii="宋体" w:hAnsi="宋体" w:eastAsia="宋体" w:cs="宋体"/>
          <w:sz w:val="21"/>
          <w:szCs w:val="21"/>
        </w:rPr>
      </w:pPr>
      <w:r>
        <w:rPr>
          <w:rFonts w:ascii="宋体" w:hAnsi="宋体" w:eastAsia="宋体" w:cs="宋体"/>
          <w:spacing w:val="-8"/>
          <w:sz w:val="21"/>
          <w:szCs w:val="21"/>
        </w:rPr>
        <w:t>中标通知书。</w:t>
      </w:r>
    </w:p>
    <w:p w14:paraId="4B84A394">
      <w:pPr>
        <w:spacing w:before="158" w:line="356" w:lineRule="auto"/>
        <w:ind w:left="25" w:right="74" w:firstLine="455"/>
        <w:rPr>
          <w:rFonts w:ascii="宋体" w:hAnsi="宋体" w:eastAsia="宋体" w:cs="宋体"/>
          <w:sz w:val="21"/>
          <w:szCs w:val="21"/>
        </w:rPr>
      </w:pPr>
      <w:r>
        <w:rPr>
          <w:rFonts w:ascii="宋体" w:hAnsi="宋体" w:eastAsia="宋体" w:cs="宋体"/>
          <w:spacing w:val="-1"/>
          <w:sz w:val="21"/>
          <w:szCs w:val="21"/>
        </w:rPr>
        <w:t>(7)承包人与专业分包人或者专项供应商订立合同前</w:t>
      </w:r>
      <w:r>
        <w:rPr>
          <w:rFonts w:ascii="宋体" w:hAnsi="宋体" w:eastAsia="宋体" w:cs="宋体"/>
          <w:spacing w:val="33"/>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
          <w:sz w:val="21"/>
          <w:szCs w:val="21"/>
        </w:rPr>
        <w:t>天，应当将准备</w:t>
      </w:r>
      <w:r>
        <w:rPr>
          <w:rFonts w:ascii="宋体" w:hAnsi="宋体" w:eastAsia="宋体" w:cs="宋体"/>
          <w:spacing w:val="-2"/>
          <w:sz w:val="21"/>
          <w:szCs w:val="21"/>
        </w:rPr>
        <w:t>用于正式签订</w:t>
      </w:r>
      <w:r>
        <w:rPr>
          <w:rFonts w:ascii="宋体" w:hAnsi="宋体" w:eastAsia="宋体" w:cs="宋体"/>
          <w:spacing w:val="-3"/>
          <w:sz w:val="21"/>
          <w:szCs w:val="21"/>
        </w:rPr>
        <w:t>的合同文件通过监理人报发包人审核，发包人应当在监理人收到相关文件后</w:t>
      </w:r>
      <w:r>
        <w:rPr>
          <w:rFonts w:ascii="宋体" w:hAnsi="宋体" w:eastAsia="宋体" w:cs="宋体"/>
          <w:spacing w:val="38"/>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3"/>
          <w:sz w:val="21"/>
          <w:szCs w:val="21"/>
        </w:rPr>
        <w:t>天内给予批</w:t>
      </w:r>
      <w:r>
        <w:rPr>
          <w:rFonts w:ascii="宋体" w:hAnsi="宋体" w:eastAsia="宋体" w:cs="宋体"/>
          <w:spacing w:val="3"/>
          <w:sz w:val="21"/>
          <w:szCs w:val="21"/>
        </w:rPr>
        <w:t>准或者提出修改意见，承包人应当按照发包人批准的合同文件</w:t>
      </w:r>
      <w:r>
        <w:rPr>
          <w:rFonts w:ascii="宋体" w:hAnsi="宋体" w:eastAsia="宋体" w:cs="宋体"/>
          <w:spacing w:val="2"/>
          <w:sz w:val="21"/>
          <w:szCs w:val="21"/>
        </w:rPr>
        <w:t>签订相关合同，合同订立后</w:t>
      </w:r>
      <w:r>
        <w:rPr>
          <w:rFonts w:ascii="宋体" w:hAnsi="宋体" w:eastAsia="宋体" w:cs="宋体"/>
          <w:spacing w:val="-1"/>
          <w:sz w:val="21"/>
          <w:szCs w:val="21"/>
        </w:rPr>
        <w:t>天内，承包人应当将其中的两份副本报送监理人，其中一份由监理人报发包人留存。</w:t>
      </w:r>
    </w:p>
    <w:p w14:paraId="019F081B">
      <w:pPr>
        <w:spacing w:line="356" w:lineRule="auto"/>
        <w:ind w:left="24" w:right="81" w:firstLine="457"/>
        <w:rPr>
          <w:rFonts w:ascii="宋体" w:hAnsi="宋体" w:eastAsia="宋体" w:cs="宋体"/>
          <w:sz w:val="21"/>
          <w:szCs w:val="21"/>
        </w:rPr>
      </w:pPr>
      <w:r>
        <w:rPr>
          <w:rFonts w:ascii="宋体" w:hAnsi="宋体" w:eastAsia="宋体" w:cs="宋体"/>
          <w:spacing w:val="-1"/>
          <w:sz w:val="21"/>
          <w:szCs w:val="21"/>
        </w:rPr>
        <w:t>(8)发包人对承包人报送文件进行审批或提出的修改意见应当合理，并符合现行有关法</w:t>
      </w:r>
      <w:r>
        <w:rPr>
          <w:rFonts w:ascii="宋体" w:hAnsi="宋体" w:eastAsia="宋体" w:cs="宋体"/>
          <w:spacing w:val="-5"/>
          <w:sz w:val="21"/>
          <w:szCs w:val="21"/>
        </w:rPr>
        <w:t>律法规的规定。</w:t>
      </w:r>
    </w:p>
    <w:p w14:paraId="27098C31">
      <w:pPr>
        <w:spacing w:before="4" w:line="352" w:lineRule="auto"/>
        <w:ind w:left="23" w:right="70" w:firstLine="458"/>
        <w:rPr>
          <w:rFonts w:ascii="宋体" w:hAnsi="宋体" w:eastAsia="宋体" w:cs="宋体"/>
          <w:sz w:val="21"/>
          <w:szCs w:val="21"/>
        </w:rPr>
      </w:pPr>
      <w:r>
        <w:rPr>
          <w:rFonts w:ascii="宋体" w:hAnsi="宋体" w:eastAsia="宋体" w:cs="宋体"/>
          <w:spacing w:val="-1"/>
          <w:sz w:val="21"/>
          <w:szCs w:val="21"/>
        </w:rPr>
        <w:t>(9)承包人违背本项上述约定的程序或者未履行本项上述约定的报批手续的，发包人有</w:t>
      </w:r>
      <w:r>
        <w:rPr>
          <w:rFonts w:ascii="宋体" w:hAnsi="宋体" w:eastAsia="宋体" w:cs="宋体"/>
          <w:spacing w:val="3"/>
          <w:sz w:val="21"/>
          <w:szCs w:val="21"/>
        </w:rPr>
        <w:t>权拒绝对相关专业工程或者涉及相关专项供应的材料和工程设备的工程进行</w:t>
      </w:r>
      <w:r>
        <w:rPr>
          <w:rFonts w:ascii="宋体" w:hAnsi="宋体" w:eastAsia="宋体" w:cs="宋体"/>
          <w:spacing w:val="2"/>
          <w:sz w:val="21"/>
          <w:szCs w:val="21"/>
        </w:rPr>
        <w:t>验收和拨付相</w:t>
      </w:r>
      <w:r>
        <w:rPr>
          <w:rFonts w:ascii="宋体" w:hAnsi="宋体" w:eastAsia="宋体" w:cs="宋体"/>
          <w:spacing w:val="-3"/>
          <w:sz w:val="21"/>
          <w:szCs w:val="21"/>
        </w:rPr>
        <w:t>应工程款项，所造成的费用增加和</w:t>
      </w:r>
      <w:r>
        <w:rPr>
          <w:rFonts w:ascii="宋体" w:hAnsi="宋体" w:eastAsia="宋体" w:cs="宋体"/>
          <w:spacing w:val="-61"/>
          <w:sz w:val="21"/>
          <w:szCs w:val="21"/>
        </w:rPr>
        <w:t xml:space="preserve"> </w:t>
      </w:r>
      <w:r>
        <w:rPr>
          <w:rFonts w:ascii="宋体" w:hAnsi="宋体" w:eastAsia="宋体" w:cs="宋体"/>
          <w:spacing w:val="-3"/>
          <w:sz w:val="21"/>
          <w:szCs w:val="21"/>
        </w:rPr>
        <w:t>(或)工期延误由承包人承担。发包人未按本项</w:t>
      </w:r>
      <w:r>
        <w:rPr>
          <w:rFonts w:ascii="宋体" w:hAnsi="宋体" w:eastAsia="宋体" w:cs="宋体"/>
          <w:spacing w:val="-4"/>
          <w:sz w:val="21"/>
          <w:szCs w:val="21"/>
        </w:rPr>
        <w:t>上述约定履</w:t>
      </w:r>
      <w:r>
        <w:rPr>
          <w:rFonts w:ascii="宋体" w:hAnsi="宋体" w:eastAsia="宋体" w:cs="宋体"/>
          <w:spacing w:val="-1"/>
          <w:sz w:val="21"/>
          <w:szCs w:val="21"/>
        </w:rPr>
        <w:t>行审批手续的，所造成的费用增加和(或)工期延误由发包人承担。</w:t>
      </w:r>
    </w:p>
    <w:p w14:paraId="216A3114">
      <w:pPr>
        <w:spacing w:line="358" w:lineRule="auto"/>
        <w:ind w:left="26" w:firstLine="433"/>
        <w:rPr>
          <w:rFonts w:ascii="宋体" w:hAnsi="宋体" w:eastAsia="宋体" w:cs="宋体"/>
          <w:sz w:val="21"/>
          <w:szCs w:val="21"/>
        </w:rPr>
      </w:pPr>
      <w:r>
        <w:rPr>
          <w:rFonts w:ascii="宋体" w:hAnsi="宋体" w:eastAsia="宋体" w:cs="宋体"/>
          <w:sz w:val="21"/>
          <w:szCs w:val="21"/>
        </w:rPr>
        <w:t>15.8.3 发包人在工程量清单中给定暂估价的专业工程不属于依法必</w:t>
      </w:r>
      <w:r>
        <w:rPr>
          <w:rFonts w:ascii="宋体" w:hAnsi="宋体" w:eastAsia="宋体" w:cs="宋体"/>
          <w:spacing w:val="-1"/>
          <w:sz w:val="21"/>
          <w:szCs w:val="21"/>
        </w:rPr>
        <w:t>须招标的范围或者</w:t>
      </w:r>
      <w:r>
        <w:rPr>
          <w:rFonts w:ascii="宋体" w:hAnsi="宋体" w:eastAsia="宋体" w:cs="宋体"/>
          <w:spacing w:val="-9"/>
          <w:sz w:val="21"/>
          <w:szCs w:val="21"/>
        </w:rPr>
        <w:t>未 达 到 依</w:t>
      </w:r>
      <w:r>
        <w:rPr>
          <w:rFonts w:ascii="宋体" w:hAnsi="宋体" w:eastAsia="宋体" w:cs="宋体"/>
          <w:spacing w:val="13"/>
          <w:sz w:val="21"/>
          <w:szCs w:val="21"/>
        </w:rPr>
        <w:t xml:space="preserve"> </w:t>
      </w:r>
      <w:r>
        <w:rPr>
          <w:rFonts w:ascii="宋体" w:hAnsi="宋体" w:eastAsia="宋体" w:cs="宋体"/>
          <w:spacing w:val="-9"/>
          <w:sz w:val="21"/>
          <w:szCs w:val="21"/>
        </w:rPr>
        <w:t>法</w:t>
      </w:r>
      <w:r>
        <w:rPr>
          <w:rFonts w:ascii="宋体" w:hAnsi="宋体" w:eastAsia="宋体" w:cs="宋体"/>
          <w:spacing w:val="11"/>
          <w:sz w:val="21"/>
          <w:szCs w:val="21"/>
        </w:rPr>
        <w:t xml:space="preserve"> </w:t>
      </w:r>
      <w:r>
        <w:rPr>
          <w:rFonts w:ascii="宋体" w:hAnsi="宋体" w:eastAsia="宋体" w:cs="宋体"/>
          <w:spacing w:val="-9"/>
          <w:sz w:val="21"/>
          <w:szCs w:val="21"/>
        </w:rPr>
        <w:t>必 须</w:t>
      </w:r>
      <w:r>
        <w:rPr>
          <w:rFonts w:ascii="宋体" w:hAnsi="宋体" w:eastAsia="宋体" w:cs="宋体"/>
          <w:spacing w:val="10"/>
          <w:sz w:val="21"/>
          <w:szCs w:val="21"/>
        </w:rPr>
        <w:t xml:space="preserve"> </w:t>
      </w:r>
      <w:r>
        <w:rPr>
          <w:rFonts w:ascii="宋体" w:hAnsi="宋体" w:eastAsia="宋体" w:cs="宋体"/>
          <w:spacing w:val="-9"/>
          <w:sz w:val="21"/>
          <w:szCs w:val="21"/>
        </w:rPr>
        <w:t>招</w:t>
      </w:r>
      <w:r>
        <w:rPr>
          <w:rFonts w:ascii="宋体" w:hAnsi="宋体" w:eastAsia="宋体" w:cs="宋体"/>
          <w:spacing w:val="9"/>
          <w:sz w:val="21"/>
          <w:szCs w:val="21"/>
        </w:rPr>
        <w:t xml:space="preserve"> </w:t>
      </w:r>
      <w:r>
        <w:rPr>
          <w:rFonts w:ascii="宋体" w:hAnsi="宋体" w:eastAsia="宋体" w:cs="宋体"/>
          <w:spacing w:val="-9"/>
          <w:sz w:val="21"/>
          <w:szCs w:val="21"/>
        </w:rPr>
        <w:t>标</w:t>
      </w:r>
      <w:r>
        <w:rPr>
          <w:rFonts w:ascii="宋体" w:hAnsi="宋体" w:eastAsia="宋体" w:cs="宋体"/>
          <w:spacing w:val="25"/>
          <w:sz w:val="21"/>
          <w:szCs w:val="21"/>
        </w:rPr>
        <w:t xml:space="preserve"> </w:t>
      </w:r>
      <w:r>
        <w:rPr>
          <w:rFonts w:ascii="宋体" w:hAnsi="宋体" w:eastAsia="宋体" w:cs="宋体"/>
          <w:spacing w:val="-9"/>
          <w:sz w:val="21"/>
          <w:szCs w:val="21"/>
        </w:rPr>
        <w:t>的</w:t>
      </w:r>
      <w:r>
        <w:rPr>
          <w:rFonts w:ascii="宋体" w:hAnsi="宋体" w:eastAsia="宋体" w:cs="宋体"/>
          <w:spacing w:val="10"/>
          <w:sz w:val="21"/>
          <w:szCs w:val="21"/>
        </w:rPr>
        <w:t xml:space="preserve"> </w:t>
      </w:r>
      <w:r>
        <w:rPr>
          <w:rFonts w:ascii="宋体" w:hAnsi="宋体" w:eastAsia="宋体" w:cs="宋体"/>
          <w:spacing w:val="-9"/>
          <w:sz w:val="21"/>
          <w:szCs w:val="21"/>
        </w:rPr>
        <w:t>规 模</w:t>
      </w:r>
      <w:r>
        <w:rPr>
          <w:rFonts w:ascii="宋体" w:hAnsi="宋体" w:eastAsia="宋体" w:cs="宋体"/>
          <w:spacing w:val="9"/>
          <w:sz w:val="21"/>
          <w:szCs w:val="21"/>
        </w:rPr>
        <w:t xml:space="preserve"> </w:t>
      </w:r>
      <w:r>
        <w:rPr>
          <w:rFonts w:ascii="宋体" w:hAnsi="宋体" w:eastAsia="宋体" w:cs="宋体"/>
          <w:spacing w:val="-9"/>
          <w:sz w:val="21"/>
          <w:szCs w:val="21"/>
        </w:rPr>
        <w:t>标</w:t>
      </w:r>
      <w:r>
        <w:rPr>
          <w:rFonts w:ascii="宋体" w:hAnsi="宋体" w:eastAsia="宋体" w:cs="宋体"/>
          <w:spacing w:val="10"/>
          <w:sz w:val="21"/>
          <w:szCs w:val="21"/>
        </w:rPr>
        <w:t xml:space="preserve"> </w:t>
      </w:r>
      <w:r>
        <w:rPr>
          <w:rFonts w:ascii="宋体" w:hAnsi="宋体" w:eastAsia="宋体" w:cs="宋体"/>
          <w:spacing w:val="-9"/>
          <w:sz w:val="21"/>
          <w:szCs w:val="21"/>
        </w:rPr>
        <w:t>准</w:t>
      </w:r>
      <w:r>
        <w:rPr>
          <w:rFonts w:ascii="宋体" w:hAnsi="宋体" w:eastAsia="宋体" w:cs="宋体"/>
          <w:spacing w:val="26"/>
          <w:sz w:val="21"/>
          <w:szCs w:val="21"/>
        </w:rPr>
        <w:t xml:space="preserve"> </w:t>
      </w:r>
      <w:r>
        <w:rPr>
          <w:rFonts w:ascii="宋体" w:hAnsi="宋体" w:eastAsia="宋体" w:cs="宋体"/>
          <w:spacing w:val="-9"/>
          <w:sz w:val="21"/>
          <w:szCs w:val="21"/>
        </w:rPr>
        <w:t>的</w:t>
      </w:r>
      <w:r>
        <w:rPr>
          <w:rFonts w:ascii="宋体" w:hAnsi="宋体" w:eastAsia="宋体" w:cs="宋体"/>
          <w:spacing w:val="25"/>
          <w:sz w:val="21"/>
          <w:szCs w:val="21"/>
        </w:rPr>
        <w:t xml:space="preserve"> </w:t>
      </w:r>
      <w:r>
        <w:rPr>
          <w:rFonts w:ascii="宋体" w:hAnsi="宋体" w:eastAsia="宋体" w:cs="宋体"/>
          <w:spacing w:val="-9"/>
          <w:sz w:val="21"/>
          <w:szCs w:val="21"/>
        </w:rPr>
        <w:t>， 其</w:t>
      </w:r>
      <w:r>
        <w:rPr>
          <w:rFonts w:ascii="宋体" w:hAnsi="宋体" w:eastAsia="宋体" w:cs="宋体"/>
          <w:spacing w:val="11"/>
          <w:sz w:val="21"/>
          <w:szCs w:val="21"/>
        </w:rPr>
        <w:t xml:space="preserve"> </w:t>
      </w:r>
      <w:r>
        <w:rPr>
          <w:rFonts w:ascii="宋体" w:hAnsi="宋体" w:eastAsia="宋体" w:cs="宋体"/>
          <w:spacing w:val="-9"/>
          <w:sz w:val="21"/>
          <w:szCs w:val="21"/>
        </w:rPr>
        <w:t>最</w:t>
      </w:r>
      <w:r>
        <w:rPr>
          <w:rFonts w:ascii="宋体" w:hAnsi="宋体" w:eastAsia="宋体" w:cs="宋体"/>
          <w:spacing w:val="12"/>
          <w:sz w:val="21"/>
          <w:szCs w:val="21"/>
        </w:rPr>
        <w:t xml:space="preserve"> </w:t>
      </w:r>
      <w:r>
        <w:rPr>
          <w:rFonts w:ascii="宋体" w:hAnsi="宋体" w:eastAsia="宋体" w:cs="宋体"/>
          <w:spacing w:val="-9"/>
          <w:sz w:val="21"/>
          <w:szCs w:val="21"/>
        </w:rPr>
        <w:t>终</w:t>
      </w:r>
      <w:r>
        <w:rPr>
          <w:rFonts w:ascii="宋体" w:hAnsi="宋体" w:eastAsia="宋体" w:cs="宋体"/>
          <w:spacing w:val="9"/>
          <w:sz w:val="21"/>
          <w:szCs w:val="21"/>
        </w:rPr>
        <w:t xml:space="preserve"> </w:t>
      </w:r>
      <w:r>
        <w:rPr>
          <w:rFonts w:ascii="宋体" w:hAnsi="宋体" w:eastAsia="宋体" w:cs="宋体"/>
          <w:spacing w:val="-9"/>
          <w:sz w:val="21"/>
          <w:szCs w:val="21"/>
        </w:rPr>
        <w:t>价 格</w:t>
      </w:r>
      <w:r>
        <w:rPr>
          <w:rFonts w:ascii="宋体" w:hAnsi="宋体" w:eastAsia="宋体" w:cs="宋体"/>
          <w:spacing w:val="26"/>
          <w:sz w:val="21"/>
          <w:szCs w:val="21"/>
        </w:rPr>
        <w:t xml:space="preserve"> </w:t>
      </w:r>
      <w:r>
        <w:rPr>
          <w:rFonts w:ascii="宋体" w:hAnsi="宋体" w:eastAsia="宋体" w:cs="宋体"/>
          <w:spacing w:val="-9"/>
          <w:sz w:val="21"/>
          <w:szCs w:val="21"/>
        </w:rPr>
        <w:t>的</w:t>
      </w:r>
      <w:r>
        <w:rPr>
          <w:rFonts w:ascii="宋体" w:hAnsi="宋体" w:eastAsia="宋体" w:cs="宋体"/>
          <w:spacing w:val="8"/>
          <w:sz w:val="21"/>
          <w:szCs w:val="21"/>
        </w:rPr>
        <w:t xml:space="preserve"> </w:t>
      </w:r>
      <w:r>
        <w:rPr>
          <w:rFonts w:ascii="宋体" w:hAnsi="宋体" w:eastAsia="宋体" w:cs="宋体"/>
          <w:spacing w:val="-9"/>
          <w:sz w:val="21"/>
          <w:szCs w:val="21"/>
        </w:rPr>
        <w:t>估</w:t>
      </w:r>
      <w:r>
        <w:rPr>
          <w:rFonts w:ascii="宋体" w:hAnsi="宋体" w:eastAsia="宋体" w:cs="宋体"/>
          <w:spacing w:val="9"/>
          <w:sz w:val="21"/>
          <w:szCs w:val="21"/>
        </w:rPr>
        <w:t xml:space="preserve"> </w:t>
      </w:r>
      <w:r>
        <w:rPr>
          <w:rFonts w:ascii="宋体" w:hAnsi="宋体" w:eastAsia="宋体" w:cs="宋体"/>
          <w:spacing w:val="-9"/>
          <w:sz w:val="21"/>
          <w:szCs w:val="21"/>
        </w:rPr>
        <w:t>价</w:t>
      </w:r>
      <w:r>
        <w:rPr>
          <w:rFonts w:ascii="宋体" w:hAnsi="宋体" w:eastAsia="宋体" w:cs="宋体"/>
          <w:spacing w:val="10"/>
          <w:sz w:val="21"/>
          <w:szCs w:val="21"/>
        </w:rPr>
        <w:t xml:space="preserve"> </w:t>
      </w:r>
      <w:r>
        <w:rPr>
          <w:rFonts w:ascii="宋体" w:hAnsi="宋体" w:eastAsia="宋体" w:cs="宋体"/>
          <w:spacing w:val="-9"/>
          <w:sz w:val="21"/>
          <w:szCs w:val="21"/>
        </w:rPr>
        <w:t>人 为</w:t>
      </w:r>
      <w:r>
        <w:rPr>
          <w:rFonts w:ascii="宋体" w:hAnsi="宋体" w:eastAsia="宋体" w:cs="宋体"/>
          <w:spacing w:val="27"/>
          <w:sz w:val="21"/>
          <w:szCs w:val="21"/>
        </w:rPr>
        <w:t xml:space="preserve"> </w:t>
      </w:r>
      <w:r>
        <w:rPr>
          <w:rFonts w:ascii="宋体" w:hAnsi="宋体" w:eastAsia="宋体" w:cs="宋体"/>
          <w:spacing w:val="-9"/>
          <w:sz w:val="21"/>
          <w:szCs w:val="21"/>
        </w:rPr>
        <w:t>：</w:t>
      </w:r>
      <w:r>
        <w:rPr>
          <w:rFonts w:ascii="宋体" w:hAnsi="宋体" w:eastAsia="宋体" w:cs="宋体"/>
          <w:spacing w:val="-13"/>
          <w:sz w:val="21"/>
          <w:szCs w:val="21"/>
        </w:rPr>
        <w:t>或者按照下列约定：</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4B1FAD1F">
      <w:pPr>
        <w:spacing w:before="34" w:line="237" w:lineRule="auto"/>
        <w:ind w:left="49"/>
        <w:outlineLvl w:val="0"/>
        <w:rPr>
          <w:rFonts w:ascii="黑体" w:hAnsi="黑体" w:eastAsia="黑体" w:cs="黑体"/>
          <w:sz w:val="28"/>
          <w:szCs w:val="28"/>
        </w:rPr>
      </w:pPr>
      <w:bookmarkStart w:id="294" w:name="bookmark256"/>
      <w:bookmarkEnd w:id="294"/>
      <w:bookmarkStart w:id="295" w:name="bookmark255"/>
      <w:bookmarkEnd w:id="295"/>
      <w:r>
        <w:rPr>
          <w:rFonts w:ascii="Times New Roman" w:hAnsi="Times New Roman" w:eastAsia="Times New Roman" w:cs="Times New Roman"/>
          <w:spacing w:val="1"/>
          <w:sz w:val="28"/>
          <w:szCs w:val="28"/>
        </w:rPr>
        <w:t>16.</w:t>
      </w:r>
      <w:r>
        <w:rPr>
          <w:rFonts w:ascii="黑体" w:hAnsi="黑体" w:eastAsia="黑体" w:cs="黑体"/>
          <w:spacing w:val="1"/>
          <w:sz w:val="28"/>
          <w:szCs w:val="28"/>
        </w:rPr>
        <w:t>价格调整</w:t>
      </w:r>
    </w:p>
    <w:p w14:paraId="7FE000C3">
      <w:pPr>
        <w:spacing w:before="70" w:line="233" w:lineRule="auto"/>
        <w:ind w:left="44"/>
        <w:outlineLvl w:val="1"/>
        <w:rPr>
          <w:rFonts w:ascii="黑体" w:hAnsi="黑体" w:eastAsia="黑体" w:cs="黑体"/>
          <w:sz w:val="24"/>
          <w:szCs w:val="24"/>
        </w:rPr>
      </w:pPr>
      <w:bookmarkStart w:id="296" w:name="bookmark671"/>
      <w:bookmarkEnd w:id="296"/>
      <w:r>
        <w:rPr>
          <w:rFonts w:ascii="Times New Roman" w:hAnsi="Times New Roman" w:eastAsia="Times New Roman" w:cs="Times New Roman"/>
          <w:spacing w:val="-2"/>
          <w:sz w:val="24"/>
          <w:szCs w:val="24"/>
        </w:rPr>
        <w:t xml:space="preserve">16.1 </w:t>
      </w:r>
      <w:r>
        <w:rPr>
          <w:rFonts w:ascii="黑体" w:hAnsi="黑体" w:eastAsia="黑体" w:cs="黑体"/>
          <w:spacing w:val="-2"/>
          <w:sz w:val="24"/>
          <w:szCs w:val="24"/>
        </w:rPr>
        <w:t>物价波动引起的价格调整</w:t>
      </w:r>
    </w:p>
    <w:p w14:paraId="6665EC6F">
      <w:pPr>
        <w:spacing w:before="159" w:line="372" w:lineRule="auto"/>
        <w:ind w:left="444"/>
        <w:rPr>
          <w:rFonts w:ascii="宋体" w:hAnsi="宋体" w:eastAsia="宋体" w:cs="宋体"/>
          <w:sz w:val="21"/>
          <w:szCs w:val="21"/>
        </w:rPr>
      </w:pPr>
      <w:r>
        <w:rPr>
          <w:rFonts w:ascii="宋体" w:hAnsi="宋体" w:eastAsia="宋体" w:cs="宋体"/>
          <w:spacing w:val="-5"/>
          <w:sz w:val="21"/>
          <w:szCs w:val="21"/>
        </w:rPr>
        <w:t>物价波动引起的价格调整方法：</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2"/>
          <w:sz w:val="21"/>
          <w:szCs w:val="21"/>
        </w:rPr>
        <w:t>其他约定：</w:t>
      </w:r>
      <w:r>
        <w:rPr>
          <w:rFonts w:ascii="宋体" w:hAnsi="宋体" w:eastAsia="宋体" w:cs="宋体"/>
          <w:sz w:val="21"/>
          <w:szCs w:val="21"/>
          <w:u w:val="single" w:color="auto"/>
        </w:rPr>
        <w:t xml:space="preserve">                                                                 </w:t>
      </w:r>
      <w:r>
        <w:rPr>
          <w:rFonts w:ascii="宋体" w:hAnsi="宋体" w:eastAsia="宋体" w:cs="宋体"/>
          <w:spacing w:val="-22"/>
          <w:sz w:val="21"/>
          <w:szCs w:val="21"/>
        </w:rPr>
        <w:t>。</w:t>
      </w:r>
    </w:p>
    <w:p w14:paraId="1444A169">
      <w:pPr>
        <w:spacing w:before="4" w:line="239" w:lineRule="auto"/>
        <w:ind w:left="49"/>
        <w:outlineLvl w:val="0"/>
        <w:rPr>
          <w:rFonts w:ascii="黑体" w:hAnsi="黑体" w:eastAsia="黑体" w:cs="黑体"/>
          <w:sz w:val="28"/>
          <w:szCs w:val="28"/>
        </w:rPr>
      </w:pPr>
      <w:bookmarkStart w:id="297" w:name="bookmark258"/>
      <w:bookmarkEnd w:id="297"/>
      <w:bookmarkStart w:id="298" w:name="bookmark257"/>
      <w:bookmarkEnd w:id="298"/>
      <w:r>
        <w:rPr>
          <w:rFonts w:ascii="Times New Roman" w:hAnsi="Times New Roman" w:eastAsia="Times New Roman" w:cs="Times New Roman"/>
          <w:spacing w:val="2"/>
          <w:sz w:val="28"/>
          <w:szCs w:val="28"/>
        </w:rPr>
        <w:t>17.</w:t>
      </w:r>
      <w:r>
        <w:rPr>
          <w:rFonts w:ascii="黑体" w:hAnsi="黑体" w:eastAsia="黑体" w:cs="黑体"/>
          <w:spacing w:val="2"/>
          <w:sz w:val="28"/>
          <w:szCs w:val="28"/>
        </w:rPr>
        <w:t>计量与支付</w:t>
      </w:r>
    </w:p>
    <w:p w14:paraId="6E26BB7B">
      <w:pPr>
        <w:spacing w:before="67" w:line="236" w:lineRule="auto"/>
        <w:ind w:left="44"/>
        <w:outlineLvl w:val="1"/>
        <w:rPr>
          <w:rFonts w:ascii="黑体" w:hAnsi="黑体" w:eastAsia="黑体" w:cs="黑体"/>
          <w:sz w:val="24"/>
          <w:szCs w:val="24"/>
        </w:rPr>
      </w:pPr>
      <w:bookmarkStart w:id="299" w:name="bookmark672"/>
      <w:bookmarkEnd w:id="299"/>
      <w:r>
        <w:rPr>
          <w:rFonts w:ascii="Times New Roman" w:hAnsi="Times New Roman" w:eastAsia="Times New Roman" w:cs="Times New Roman"/>
          <w:spacing w:val="-6"/>
          <w:sz w:val="24"/>
          <w:szCs w:val="24"/>
        </w:rPr>
        <w:t>17.1</w:t>
      </w:r>
      <w:r>
        <w:rPr>
          <w:rFonts w:ascii="Times New Roman" w:hAnsi="Times New Roman" w:eastAsia="Times New Roman" w:cs="Times New Roman"/>
          <w:spacing w:val="12"/>
          <w:sz w:val="24"/>
          <w:szCs w:val="24"/>
        </w:rPr>
        <w:t xml:space="preserve"> </w:t>
      </w:r>
      <w:r>
        <w:rPr>
          <w:rFonts w:ascii="黑体" w:hAnsi="黑体" w:eastAsia="黑体" w:cs="黑体"/>
          <w:spacing w:val="-6"/>
          <w:sz w:val="24"/>
          <w:szCs w:val="24"/>
        </w:rPr>
        <w:t>计量</w:t>
      </w:r>
    </w:p>
    <w:p w14:paraId="12817F17">
      <w:pPr>
        <w:spacing w:before="124" w:line="218" w:lineRule="auto"/>
        <w:ind w:left="455"/>
        <w:rPr>
          <w:rFonts w:ascii="黑体" w:hAnsi="黑体" w:eastAsia="黑体" w:cs="黑体"/>
          <w:sz w:val="21"/>
          <w:szCs w:val="21"/>
        </w:rPr>
      </w:pPr>
      <w:r>
        <w:rPr>
          <w:rFonts w:ascii="黑体" w:hAnsi="黑体" w:eastAsia="黑体" w:cs="黑体"/>
          <w:spacing w:val="-3"/>
          <w:sz w:val="21"/>
          <w:szCs w:val="21"/>
        </w:rPr>
        <w:t>17.1.2</w:t>
      </w:r>
      <w:r>
        <w:rPr>
          <w:rFonts w:ascii="黑体" w:hAnsi="黑体" w:eastAsia="黑体" w:cs="黑体"/>
          <w:spacing w:val="-31"/>
          <w:sz w:val="21"/>
          <w:szCs w:val="21"/>
        </w:rPr>
        <w:t xml:space="preserve"> </w:t>
      </w:r>
      <w:r>
        <w:rPr>
          <w:rFonts w:ascii="黑体" w:hAnsi="黑体" w:eastAsia="黑体" w:cs="黑体"/>
          <w:spacing w:val="-3"/>
          <w:sz w:val="21"/>
          <w:szCs w:val="21"/>
        </w:rPr>
        <w:t>计量方法</w:t>
      </w:r>
    </w:p>
    <w:p w14:paraId="53685EBA">
      <w:pPr>
        <w:spacing w:before="128" w:line="328" w:lineRule="auto"/>
        <w:ind w:left="24" w:right="84" w:firstLine="423"/>
        <w:rPr>
          <w:rFonts w:ascii="宋体" w:hAnsi="宋体" w:eastAsia="宋体" w:cs="宋体"/>
          <w:sz w:val="21"/>
          <w:szCs w:val="21"/>
        </w:rPr>
      </w:pPr>
      <w:r>
        <w:rPr>
          <w:rFonts w:ascii="宋体" w:hAnsi="宋体" w:eastAsia="宋体" w:cs="宋体"/>
          <w:spacing w:val="-3"/>
          <w:sz w:val="21"/>
          <w:szCs w:val="21"/>
        </w:rPr>
        <w:t>工程量计算规则执行国家标准《建设工程工程量清单计价规范》（GB50500-2013）和配</w:t>
      </w:r>
      <w:r>
        <w:rPr>
          <w:rFonts w:ascii="宋体" w:hAnsi="宋体" w:eastAsia="宋体" w:cs="宋体"/>
          <w:sz w:val="21"/>
          <w:szCs w:val="21"/>
        </w:rPr>
        <w:t>套的工程量计算规范（GB50854-2013 ～GB50862-2013）或其适用的修</w:t>
      </w:r>
      <w:r>
        <w:rPr>
          <w:rFonts w:ascii="宋体" w:hAnsi="宋体" w:eastAsia="宋体" w:cs="宋体"/>
          <w:spacing w:val="-1"/>
          <w:sz w:val="21"/>
          <w:szCs w:val="21"/>
        </w:rPr>
        <w:t>订版本。除合同另有</w:t>
      </w:r>
      <w:r>
        <w:rPr>
          <w:rFonts w:ascii="宋体" w:hAnsi="宋体" w:eastAsia="宋体" w:cs="宋体"/>
          <w:spacing w:val="3"/>
          <w:sz w:val="21"/>
          <w:szCs w:val="21"/>
        </w:rPr>
        <w:t>约定外，承包人实际完成的工程量按约定的工程量计算规则和有合同约束力</w:t>
      </w:r>
      <w:r>
        <w:rPr>
          <w:rFonts w:ascii="宋体" w:hAnsi="宋体" w:eastAsia="宋体" w:cs="宋体"/>
          <w:spacing w:val="2"/>
          <w:sz w:val="21"/>
          <w:szCs w:val="21"/>
        </w:rPr>
        <w:t>的图纸进行计</w:t>
      </w:r>
      <w:r>
        <w:rPr>
          <w:rFonts w:ascii="宋体" w:hAnsi="宋体" w:eastAsia="宋体" w:cs="宋体"/>
          <w:spacing w:val="-10"/>
          <w:sz w:val="21"/>
          <w:szCs w:val="21"/>
        </w:rPr>
        <w:t>量。</w:t>
      </w:r>
    </w:p>
    <w:p w14:paraId="0FF3A05E">
      <w:pPr>
        <w:spacing w:before="69" w:line="220" w:lineRule="auto"/>
        <w:ind w:left="455"/>
        <w:rPr>
          <w:rFonts w:ascii="黑体" w:hAnsi="黑体" w:eastAsia="黑体" w:cs="黑体"/>
          <w:sz w:val="21"/>
          <w:szCs w:val="21"/>
        </w:rPr>
      </w:pPr>
      <w:r>
        <w:rPr>
          <w:rFonts w:ascii="黑体" w:hAnsi="黑体" w:eastAsia="黑体" w:cs="黑体"/>
          <w:spacing w:val="-3"/>
          <w:sz w:val="21"/>
          <w:szCs w:val="21"/>
        </w:rPr>
        <w:t>17.1.3</w:t>
      </w:r>
      <w:r>
        <w:rPr>
          <w:rFonts w:ascii="黑体" w:hAnsi="黑体" w:eastAsia="黑体" w:cs="黑体"/>
          <w:spacing w:val="-31"/>
          <w:sz w:val="21"/>
          <w:szCs w:val="21"/>
        </w:rPr>
        <w:t xml:space="preserve"> </w:t>
      </w:r>
      <w:r>
        <w:rPr>
          <w:rFonts w:ascii="黑体" w:hAnsi="黑体" w:eastAsia="黑体" w:cs="黑体"/>
          <w:spacing w:val="-3"/>
          <w:sz w:val="21"/>
          <w:szCs w:val="21"/>
        </w:rPr>
        <w:t>计量周期</w:t>
      </w:r>
    </w:p>
    <w:p w14:paraId="4ABD01C8">
      <w:pPr>
        <w:spacing w:before="185" w:line="330" w:lineRule="auto"/>
        <w:ind w:left="25" w:right="74" w:firstLine="456"/>
        <w:rPr>
          <w:rFonts w:ascii="宋体" w:hAnsi="宋体" w:eastAsia="宋体" w:cs="宋体"/>
          <w:sz w:val="21"/>
          <w:szCs w:val="21"/>
        </w:rPr>
      </w:pPr>
      <w:r>
        <w:rPr>
          <w:rFonts w:ascii="宋体" w:hAnsi="宋体" w:eastAsia="宋体" w:cs="宋体"/>
          <w:spacing w:val="-5"/>
          <w:sz w:val="21"/>
          <w:szCs w:val="21"/>
        </w:rPr>
        <w:t>(1)本合同的计量周期为月，每月</w:t>
      </w:r>
      <w:r>
        <w:rPr>
          <w:rFonts w:ascii="宋体" w:hAnsi="宋体" w:eastAsia="宋体" w:cs="宋体"/>
          <w:spacing w:val="-5"/>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5"/>
          <w:sz w:val="21"/>
          <w:szCs w:val="21"/>
        </w:rPr>
        <w:t>日为当月计量截止日期</w:t>
      </w:r>
      <w:r>
        <w:rPr>
          <w:rFonts w:ascii="宋体" w:hAnsi="宋体" w:eastAsia="宋体" w:cs="宋体"/>
          <w:spacing w:val="-61"/>
          <w:sz w:val="21"/>
          <w:szCs w:val="21"/>
        </w:rPr>
        <w:t xml:space="preserve"> </w:t>
      </w:r>
      <w:r>
        <w:rPr>
          <w:rFonts w:ascii="宋体" w:hAnsi="宋体" w:eastAsia="宋体" w:cs="宋体"/>
          <w:spacing w:val="-5"/>
          <w:sz w:val="21"/>
          <w:szCs w:val="21"/>
        </w:rPr>
        <w:t>(不含当日)和下月计量</w:t>
      </w:r>
      <w:r>
        <w:rPr>
          <w:rFonts w:ascii="宋体" w:hAnsi="宋体" w:eastAsia="宋体" w:cs="宋体"/>
          <w:spacing w:val="-6"/>
          <w:sz w:val="21"/>
          <w:szCs w:val="21"/>
        </w:rPr>
        <w:t>起始日期</w:t>
      </w:r>
      <w:r>
        <w:rPr>
          <w:rFonts w:ascii="宋体" w:hAnsi="宋体" w:eastAsia="宋体" w:cs="宋体"/>
          <w:spacing w:val="-54"/>
          <w:sz w:val="21"/>
          <w:szCs w:val="21"/>
        </w:rPr>
        <w:t xml:space="preserve"> </w:t>
      </w:r>
      <w:r>
        <w:rPr>
          <w:rFonts w:ascii="宋体" w:hAnsi="宋体" w:eastAsia="宋体" w:cs="宋体"/>
          <w:spacing w:val="-6"/>
          <w:sz w:val="21"/>
          <w:szCs w:val="21"/>
        </w:rPr>
        <w:t>(含当日)。</w:t>
      </w:r>
    </w:p>
    <w:p w14:paraId="31104412">
      <w:pPr>
        <w:spacing w:line="324" w:lineRule="auto"/>
        <w:ind w:left="24" w:right="74" w:firstLine="457"/>
        <w:rPr>
          <w:rFonts w:ascii="宋体" w:hAnsi="宋体" w:eastAsia="宋体" w:cs="宋体"/>
          <w:sz w:val="21"/>
          <w:szCs w:val="21"/>
        </w:rPr>
      </w:pPr>
      <w:r>
        <w:rPr>
          <w:rFonts w:ascii="宋体" w:hAnsi="宋体" w:eastAsia="宋体" w:cs="宋体"/>
          <w:spacing w:val="-2"/>
          <w:sz w:val="21"/>
          <w:szCs w:val="21"/>
        </w:rPr>
        <w:t>(2)本合同</w:t>
      </w:r>
      <w:r>
        <w:rPr>
          <w:rFonts w:ascii="宋体" w:hAnsi="宋体" w:eastAsia="宋体" w:cs="宋体"/>
          <w:spacing w:val="-2"/>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2"/>
          <w:sz w:val="21"/>
          <w:szCs w:val="21"/>
        </w:rPr>
        <w:t>(执行</w:t>
      </w:r>
      <w:r>
        <w:rPr>
          <w:rFonts w:ascii="楷体" w:hAnsi="楷体" w:eastAsia="楷体" w:cs="楷体"/>
          <w:spacing w:val="-2"/>
          <w:sz w:val="21"/>
          <w:szCs w:val="21"/>
        </w:rPr>
        <w:t>(采用单价合同形式时)／</w:t>
      </w:r>
      <w:r>
        <w:rPr>
          <w:rFonts w:ascii="宋体" w:hAnsi="宋体" w:eastAsia="宋体" w:cs="宋体"/>
          <w:spacing w:val="-2"/>
          <w:sz w:val="21"/>
          <w:szCs w:val="21"/>
        </w:rPr>
        <w:t>不执行</w:t>
      </w:r>
      <w:r>
        <w:rPr>
          <w:rFonts w:ascii="楷体" w:hAnsi="楷体" w:eastAsia="楷体" w:cs="楷体"/>
          <w:spacing w:val="-2"/>
          <w:sz w:val="21"/>
          <w:szCs w:val="21"/>
        </w:rPr>
        <w:t>(采用总价合同形式时)</w:t>
      </w:r>
      <w:r>
        <w:rPr>
          <w:rFonts w:ascii="宋体" w:hAnsi="宋体" w:eastAsia="宋体" w:cs="宋体"/>
          <w:spacing w:val="-2"/>
          <w:sz w:val="21"/>
          <w:szCs w:val="21"/>
        </w:rPr>
        <w:t>)</w:t>
      </w:r>
      <w:r>
        <w:rPr>
          <w:rFonts w:ascii="宋体" w:hAnsi="宋体" w:eastAsia="宋体" w:cs="宋体"/>
          <w:spacing w:val="-1"/>
          <w:sz w:val="21"/>
          <w:szCs w:val="21"/>
        </w:rPr>
        <w:t>通用合同条款本项约定的单价子目计量。总价子目计量方法按专用合同条款第</w:t>
      </w:r>
      <w:r>
        <w:rPr>
          <w:rFonts w:ascii="宋体" w:hAnsi="宋体" w:eastAsia="宋体" w:cs="宋体"/>
          <w:spacing w:val="-15"/>
          <w:sz w:val="21"/>
          <w:szCs w:val="21"/>
        </w:rPr>
        <w:t xml:space="preserve"> </w:t>
      </w:r>
      <w:r>
        <w:rPr>
          <w:rFonts w:ascii="宋体" w:hAnsi="宋体" w:eastAsia="宋体" w:cs="宋体"/>
          <w:spacing w:val="-1"/>
          <w:sz w:val="21"/>
          <w:szCs w:val="21"/>
        </w:rPr>
        <w:t>17.1.5</w:t>
      </w:r>
      <w:r>
        <w:rPr>
          <w:rFonts w:ascii="宋体" w:hAnsi="宋体" w:eastAsia="宋体" w:cs="宋体"/>
          <w:spacing w:val="-32"/>
          <w:sz w:val="21"/>
          <w:szCs w:val="21"/>
        </w:rPr>
        <w:t xml:space="preserve"> </w:t>
      </w:r>
      <w:r>
        <w:rPr>
          <w:rFonts w:ascii="宋体" w:hAnsi="宋体" w:eastAsia="宋体" w:cs="宋体"/>
          <w:spacing w:val="-1"/>
          <w:sz w:val="21"/>
          <w:szCs w:val="21"/>
        </w:rPr>
        <w:t>项总</w:t>
      </w:r>
      <w:r>
        <w:rPr>
          <w:rFonts w:ascii="宋体" w:hAnsi="宋体" w:eastAsia="宋体" w:cs="宋体"/>
          <w:spacing w:val="-2"/>
          <w:sz w:val="21"/>
          <w:szCs w:val="21"/>
        </w:rPr>
        <w:t>价子目的计量——</w:t>
      </w:r>
      <w:r>
        <w:rPr>
          <w:rFonts w:ascii="宋体" w:hAnsi="宋体" w:eastAsia="宋体" w:cs="宋体"/>
          <w:spacing w:val="-9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2"/>
          <w:sz w:val="21"/>
          <w:szCs w:val="21"/>
        </w:rPr>
        <w:t>(支付分解报告／按实际完成工程量计量)。</w:t>
      </w:r>
    </w:p>
    <w:p w14:paraId="12D76E47">
      <w:pPr>
        <w:spacing w:before="95" w:line="219" w:lineRule="auto"/>
        <w:ind w:left="455"/>
        <w:rPr>
          <w:rFonts w:ascii="黑体" w:hAnsi="黑体" w:eastAsia="黑体" w:cs="黑体"/>
          <w:sz w:val="21"/>
          <w:szCs w:val="21"/>
        </w:rPr>
      </w:pPr>
      <w:r>
        <w:rPr>
          <w:rFonts w:ascii="黑体" w:hAnsi="黑体" w:eastAsia="黑体" w:cs="黑体"/>
          <w:spacing w:val="-2"/>
          <w:sz w:val="21"/>
          <w:szCs w:val="21"/>
        </w:rPr>
        <w:t>17.1.5</w:t>
      </w:r>
      <w:r>
        <w:rPr>
          <w:rFonts w:ascii="黑体" w:hAnsi="黑体" w:eastAsia="黑体" w:cs="黑体"/>
          <w:spacing w:val="-18"/>
          <w:sz w:val="21"/>
          <w:szCs w:val="21"/>
        </w:rPr>
        <w:t xml:space="preserve"> </w:t>
      </w:r>
      <w:r>
        <w:rPr>
          <w:rFonts w:ascii="黑体" w:hAnsi="黑体" w:eastAsia="黑体" w:cs="黑体"/>
          <w:spacing w:val="-2"/>
          <w:sz w:val="21"/>
          <w:szCs w:val="21"/>
        </w:rPr>
        <w:t>总价子目的计量一支付分解报告</w:t>
      </w:r>
    </w:p>
    <w:p w14:paraId="3A9EAAC2">
      <w:pPr>
        <w:spacing w:before="186" w:line="318" w:lineRule="auto"/>
        <w:ind w:left="25" w:right="71" w:firstLine="425"/>
        <w:rPr>
          <w:rFonts w:ascii="宋体" w:hAnsi="宋体" w:eastAsia="宋体" w:cs="宋体"/>
          <w:sz w:val="21"/>
          <w:szCs w:val="21"/>
        </w:rPr>
      </w:pPr>
      <w:r>
        <w:rPr>
          <w:rFonts w:ascii="宋体" w:hAnsi="宋体" w:eastAsia="宋体" w:cs="宋体"/>
          <w:spacing w:val="-1"/>
          <w:sz w:val="21"/>
          <w:szCs w:val="21"/>
        </w:rPr>
        <w:t>总价子目按照有合同约束力的支付分解表支付。承包人应根据合同条款第</w:t>
      </w:r>
      <w:r>
        <w:rPr>
          <w:rFonts w:ascii="宋体" w:hAnsi="宋体" w:eastAsia="宋体" w:cs="宋体"/>
          <w:spacing w:val="-22"/>
          <w:sz w:val="21"/>
          <w:szCs w:val="21"/>
        </w:rPr>
        <w:t xml:space="preserve"> </w:t>
      </w:r>
      <w:r>
        <w:rPr>
          <w:rFonts w:ascii="宋体" w:hAnsi="宋体" w:eastAsia="宋体" w:cs="宋体"/>
          <w:spacing w:val="-1"/>
          <w:sz w:val="21"/>
          <w:szCs w:val="21"/>
        </w:rPr>
        <w:t>10</w:t>
      </w:r>
      <w:r>
        <w:rPr>
          <w:rFonts w:ascii="宋体" w:hAnsi="宋体" w:eastAsia="宋体" w:cs="宋体"/>
          <w:spacing w:val="-35"/>
          <w:sz w:val="21"/>
          <w:szCs w:val="21"/>
        </w:rPr>
        <w:t xml:space="preserve"> </w:t>
      </w:r>
      <w:r>
        <w:rPr>
          <w:rFonts w:ascii="宋体" w:hAnsi="宋体" w:eastAsia="宋体" w:cs="宋体"/>
          <w:spacing w:val="-1"/>
          <w:sz w:val="21"/>
          <w:szCs w:val="21"/>
        </w:rPr>
        <w:t>条约定的</w:t>
      </w:r>
      <w:r>
        <w:rPr>
          <w:rFonts w:ascii="宋体" w:hAnsi="宋体" w:eastAsia="宋体" w:cs="宋体"/>
          <w:spacing w:val="-2"/>
          <w:sz w:val="21"/>
          <w:szCs w:val="21"/>
        </w:rPr>
        <w:t>合同进度计划和总价子目的总价构成、费用性质、计划发生时间和相应工作</w:t>
      </w:r>
      <w:r>
        <w:rPr>
          <w:rFonts w:ascii="宋体" w:hAnsi="宋体" w:eastAsia="宋体" w:cs="宋体"/>
          <w:spacing w:val="-3"/>
          <w:sz w:val="21"/>
          <w:szCs w:val="21"/>
        </w:rPr>
        <w:t>量等因素对各个</w:t>
      </w:r>
    </w:p>
    <w:p w14:paraId="6A3D5336">
      <w:pPr>
        <w:spacing w:line="318" w:lineRule="auto"/>
        <w:rPr>
          <w:rFonts w:ascii="宋体" w:hAnsi="宋体" w:eastAsia="宋体" w:cs="宋体"/>
          <w:sz w:val="21"/>
          <w:szCs w:val="21"/>
        </w:rPr>
        <w:sectPr>
          <w:footerReference r:id="rId126" w:type="default"/>
          <w:pgSz w:w="11910" w:h="16845"/>
          <w:pgMar w:top="400" w:right="1712" w:bottom="1110" w:left="1786" w:header="0" w:footer="883" w:gutter="0"/>
          <w:cols w:space="720" w:num="1"/>
        </w:sectPr>
      </w:pPr>
    </w:p>
    <w:p w14:paraId="2D8EAE36">
      <w:pPr>
        <w:pStyle w:val="2"/>
        <w:spacing w:line="268" w:lineRule="auto"/>
      </w:pPr>
    </w:p>
    <w:p w14:paraId="54974D2A">
      <w:pPr>
        <w:pStyle w:val="2"/>
        <w:spacing w:line="268" w:lineRule="auto"/>
      </w:pPr>
    </w:p>
    <w:p w14:paraId="7C6A2035">
      <w:pPr>
        <w:pStyle w:val="2"/>
        <w:spacing w:line="268" w:lineRule="auto"/>
      </w:pPr>
    </w:p>
    <w:p w14:paraId="501597EB">
      <w:pPr>
        <w:pStyle w:val="2"/>
        <w:spacing w:line="269" w:lineRule="auto"/>
      </w:pPr>
    </w:p>
    <w:p w14:paraId="021551A9">
      <w:pPr>
        <w:spacing w:before="68" w:line="325" w:lineRule="auto"/>
        <w:ind w:left="23" w:right="56" w:firstLine="6"/>
        <w:jc w:val="both"/>
        <w:rPr>
          <w:rFonts w:ascii="宋体" w:hAnsi="宋体" w:eastAsia="宋体" w:cs="宋体"/>
          <w:sz w:val="21"/>
          <w:szCs w:val="21"/>
        </w:rPr>
      </w:pPr>
      <w:r>
        <w:rPr>
          <w:rFonts w:ascii="宋体" w:hAnsi="宋体" w:eastAsia="宋体" w:cs="宋体"/>
          <w:spacing w:val="-2"/>
          <w:sz w:val="21"/>
          <w:szCs w:val="21"/>
        </w:rPr>
        <w:t>总价子目的总价按月进行分解，形成支付分解报告。承包人应当在收到经过</w:t>
      </w:r>
      <w:r>
        <w:rPr>
          <w:rFonts w:ascii="宋体" w:hAnsi="宋体" w:eastAsia="宋体" w:cs="宋体"/>
          <w:spacing w:val="-3"/>
          <w:sz w:val="21"/>
          <w:szCs w:val="21"/>
        </w:rPr>
        <w:t>监理人批复的合同进度计划后</w:t>
      </w:r>
      <w:r>
        <w:rPr>
          <w:rFonts w:ascii="宋体" w:hAnsi="宋体" w:eastAsia="宋体" w:cs="宋体"/>
          <w:spacing w:val="-22"/>
          <w:sz w:val="21"/>
          <w:szCs w:val="21"/>
        </w:rPr>
        <w:t xml:space="preserve"> </w:t>
      </w:r>
      <w:r>
        <w:rPr>
          <w:rFonts w:ascii="宋体" w:hAnsi="宋体" w:eastAsia="宋体" w:cs="宋体"/>
          <w:spacing w:val="-3"/>
          <w:sz w:val="21"/>
          <w:szCs w:val="21"/>
        </w:rPr>
        <w:t>7</w:t>
      </w:r>
      <w:r>
        <w:rPr>
          <w:rFonts w:ascii="宋体" w:hAnsi="宋体" w:eastAsia="宋体" w:cs="宋体"/>
          <w:spacing w:val="-33"/>
          <w:sz w:val="21"/>
          <w:szCs w:val="21"/>
        </w:rPr>
        <w:t xml:space="preserve"> </w:t>
      </w:r>
      <w:r>
        <w:rPr>
          <w:rFonts w:ascii="宋体" w:hAnsi="宋体" w:eastAsia="宋体" w:cs="宋体"/>
          <w:spacing w:val="-3"/>
          <w:sz w:val="21"/>
          <w:szCs w:val="21"/>
        </w:rPr>
        <w:t>天内，将支付分解报告以及形成支付分解报告的分项计量和总价分解等支持性资料报监理人审批，监理人应当在收到承包人报送的支付分解报告后</w:t>
      </w:r>
      <w:r>
        <w:rPr>
          <w:rFonts w:ascii="宋体" w:hAnsi="宋体" w:eastAsia="宋体" w:cs="宋体"/>
          <w:spacing w:val="-25"/>
          <w:sz w:val="21"/>
          <w:szCs w:val="21"/>
        </w:rPr>
        <w:t xml:space="preserve"> </w:t>
      </w:r>
      <w:r>
        <w:rPr>
          <w:rFonts w:ascii="宋体" w:hAnsi="宋体" w:eastAsia="宋体" w:cs="宋体"/>
          <w:spacing w:val="-3"/>
          <w:sz w:val="21"/>
          <w:szCs w:val="21"/>
        </w:rPr>
        <w:t>7</w:t>
      </w:r>
      <w:r>
        <w:rPr>
          <w:rFonts w:ascii="宋体" w:hAnsi="宋体" w:eastAsia="宋体" w:cs="宋体"/>
          <w:spacing w:val="-32"/>
          <w:sz w:val="21"/>
          <w:szCs w:val="21"/>
        </w:rPr>
        <w:t xml:space="preserve"> </w:t>
      </w:r>
      <w:r>
        <w:rPr>
          <w:rFonts w:ascii="宋体" w:hAnsi="宋体" w:eastAsia="宋体" w:cs="宋体"/>
          <w:spacing w:val="-3"/>
          <w:sz w:val="21"/>
          <w:szCs w:val="21"/>
        </w:rPr>
        <w:t>天内给予批复或提</w:t>
      </w:r>
      <w:r>
        <w:rPr>
          <w:rFonts w:ascii="宋体" w:hAnsi="宋体" w:eastAsia="宋体" w:cs="宋体"/>
          <w:spacing w:val="-2"/>
          <w:sz w:val="21"/>
          <w:szCs w:val="21"/>
        </w:rPr>
        <w:t>出修改意见，经监理人批准的支付分解报告为有合同约束力的支付分解表。支付分解</w:t>
      </w:r>
      <w:r>
        <w:rPr>
          <w:rFonts w:ascii="宋体" w:hAnsi="宋体" w:eastAsia="宋体" w:cs="宋体"/>
          <w:spacing w:val="-3"/>
          <w:sz w:val="21"/>
          <w:szCs w:val="21"/>
        </w:rPr>
        <w:t>表应根</w:t>
      </w:r>
      <w:r>
        <w:rPr>
          <w:rFonts w:ascii="宋体" w:hAnsi="宋体" w:eastAsia="宋体" w:cs="宋体"/>
          <w:spacing w:val="-1"/>
          <w:sz w:val="21"/>
          <w:szCs w:val="21"/>
        </w:rPr>
        <w:t>据合同条款第</w:t>
      </w:r>
      <w:r>
        <w:rPr>
          <w:rFonts w:ascii="宋体" w:hAnsi="宋体" w:eastAsia="宋体" w:cs="宋体"/>
          <w:spacing w:val="-5"/>
          <w:sz w:val="21"/>
          <w:szCs w:val="21"/>
        </w:rPr>
        <w:t xml:space="preserve"> </w:t>
      </w:r>
      <w:r>
        <w:rPr>
          <w:rFonts w:ascii="宋体" w:hAnsi="宋体" w:eastAsia="宋体" w:cs="宋体"/>
          <w:spacing w:val="-1"/>
          <w:sz w:val="21"/>
          <w:szCs w:val="21"/>
        </w:rPr>
        <w:t>10.2</w:t>
      </w:r>
      <w:r>
        <w:rPr>
          <w:rFonts w:ascii="宋体" w:hAnsi="宋体" w:eastAsia="宋体" w:cs="宋体"/>
          <w:spacing w:val="-36"/>
          <w:sz w:val="21"/>
          <w:szCs w:val="21"/>
        </w:rPr>
        <w:t xml:space="preserve"> </w:t>
      </w:r>
      <w:r>
        <w:rPr>
          <w:rFonts w:ascii="宋体" w:hAnsi="宋体" w:eastAsia="宋体" w:cs="宋体"/>
          <w:spacing w:val="-1"/>
          <w:sz w:val="21"/>
          <w:szCs w:val="21"/>
        </w:rPr>
        <w:t>款约定的修订合同进度计划进行修正，修正的程序和期限应当依照本项上述约定，经修正的支付分解表为有合同约束力的支付分解表。</w:t>
      </w:r>
    </w:p>
    <w:p w14:paraId="65609239">
      <w:pPr>
        <w:spacing w:before="1" w:line="218" w:lineRule="auto"/>
        <w:jc w:val="right"/>
        <w:rPr>
          <w:rFonts w:ascii="宋体" w:hAnsi="宋体" w:eastAsia="宋体" w:cs="宋体"/>
          <w:sz w:val="21"/>
          <w:szCs w:val="21"/>
        </w:rPr>
      </w:pPr>
      <w:r>
        <w:rPr>
          <w:rFonts w:ascii="宋体" w:hAnsi="宋体" w:eastAsia="宋体" w:cs="宋体"/>
          <w:spacing w:val="-11"/>
          <w:sz w:val="21"/>
          <w:szCs w:val="21"/>
        </w:rPr>
        <w:t>(1)总价子目的价格调整方法：</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3F0F4509">
      <w:pPr>
        <w:spacing w:before="127" w:line="318" w:lineRule="auto"/>
        <w:ind w:left="29" w:right="81" w:firstLine="452"/>
        <w:rPr>
          <w:rFonts w:ascii="宋体" w:hAnsi="宋体" w:eastAsia="宋体" w:cs="宋体"/>
          <w:sz w:val="21"/>
          <w:szCs w:val="21"/>
        </w:rPr>
      </w:pPr>
      <w:r>
        <w:rPr>
          <w:rFonts w:ascii="宋体" w:hAnsi="宋体" w:eastAsia="宋体" w:cs="宋体"/>
          <w:spacing w:val="-1"/>
          <w:sz w:val="21"/>
          <w:szCs w:val="21"/>
        </w:rPr>
        <w:t>(2)列入每月进度付款申请单中各总价子目的价值为有合同约束力的支付分解表中对应</w:t>
      </w:r>
      <w:r>
        <w:rPr>
          <w:rFonts w:ascii="宋体" w:hAnsi="宋体" w:eastAsia="宋体" w:cs="宋体"/>
          <w:spacing w:val="-4"/>
          <w:sz w:val="21"/>
          <w:szCs w:val="21"/>
        </w:rPr>
        <w:t>月份的总价子目总价值。</w:t>
      </w:r>
    </w:p>
    <w:p w14:paraId="0FB0C69D">
      <w:pPr>
        <w:spacing w:before="13" w:line="323" w:lineRule="auto"/>
        <w:ind w:left="41" w:right="81" w:firstLine="440"/>
        <w:rPr>
          <w:rFonts w:ascii="宋体" w:hAnsi="宋体" w:eastAsia="宋体" w:cs="宋体"/>
          <w:sz w:val="21"/>
          <w:szCs w:val="21"/>
        </w:rPr>
      </w:pPr>
      <w:r>
        <w:rPr>
          <w:rFonts w:ascii="宋体" w:hAnsi="宋体" w:eastAsia="宋体" w:cs="宋体"/>
          <w:spacing w:val="-1"/>
          <w:sz w:val="21"/>
          <w:szCs w:val="21"/>
        </w:rPr>
        <w:t>(3)监理人根据有合同约束力的支付分解表复核列入每月进度付款申请单中的总价子目</w:t>
      </w:r>
      <w:r>
        <w:rPr>
          <w:rFonts w:ascii="宋体" w:hAnsi="宋体" w:eastAsia="宋体" w:cs="宋体"/>
          <w:spacing w:val="-9"/>
          <w:sz w:val="21"/>
          <w:szCs w:val="21"/>
        </w:rPr>
        <w:t>的总价值。</w:t>
      </w:r>
    </w:p>
    <w:p w14:paraId="2324B44C">
      <w:pPr>
        <w:spacing w:before="1" w:line="331" w:lineRule="auto"/>
        <w:ind w:left="29" w:right="53" w:firstLine="452"/>
        <w:rPr>
          <w:rFonts w:ascii="宋体" w:hAnsi="宋体" w:eastAsia="宋体" w:cs="宋体"/>
          <w:sz w:val="21"/>
          <w:szCs w:val="21"/>
        </w:rPr>
      </w:pPr>
      <w:r>
        <w:rPr>
          <w:rFonts w:ascii="宋体" w:hAnsi="宋体" w:eastAsia="宋体" w:cs="宋体"/>
          <w:spacing w:val="-4"/>
          <w:sz w:val="21"/>
          <w:szCs w:val="21"/>
        </w:rPr>
        <w:t>(4)除按照第</w:t>
      </w:r>
      <w:r>
        <w:rPr>
          <w:rFonts w:ascii="宋体" w:hAnsi="宋体" w:eastAsia="宋体" w:cs="宋体"/>
          <w:spacing w:val="-16"/>
          <w:sz w:val="21"/>
          <w:szCs w:val="21"/>
        </w:rPr>
        <w:t xml:space="preserve"> </w:t>
      </w:r>
      <w:r>
        <w:rPr>
          <w:rFonts w:ascii="宋体" w:hAnsi="宋体" w:eastAsia="宋体" w:cs="宋体"/>
          <w:spacing w:val="-4"/>
          <w:sz w:val="21"/>
          <w:szCs w:val="21"/>
        </w:rPr>
        <w:t>15</w:t>
      </w:r>
      <w:r>
        <w:rPr>
          <w:rFonts w:ascii="宋体" w:hAnsi="宋体" w:eastAsia="宋体" w:cs="宋体"/>
          <w:spacing w:val="-35"/>
          <w:sz w:val="21"/>
          <w:szCs w:val="21"/>
        </w:rPr>
        <w:t xml:space="preserve"> </w:t>
      </w:r>
      <w:r>
        <w:rPr>
          <w:rFonts w:ascii="宋体" w:hAnsi="宋体" w:eastAsia="宋体" w:cs="宋体"/>
          <w:spacing w:val="-4"/>
          <w:sz w:val="21"/>
          <w:szCs w:val="21"/>
        </w:rPr>
        <w:t>条约定的变更外，在竣工结算时总价子目的工程量不应当重新计量，签</w:t>
      </w:r>
      <w:r>
        <w:rPr>
          <w:rFonts w:ascii="宋体" w:hAnsi="宋体" w:eastAsia="宋体" w:cs="宋体"/>
          <w:spacing w:val="-1"/>
          <w:sz w:val="21"/>
          <w:szCs w:val="21"/>
        </w:rPr>
        <w:t>约合同价所基于的工程量即是用于竣工结算的最</w:t>
      </w:r>
      <w:r>
        <w:rPr>
          <w:rFonts w:ascii="宋体" w:hAnsi="宋体" w:eastAsia="宋体" w:cs="宋体"/>
          <w:spacing w:val="-2"/>
          <w:sz w:val="21"/>
          <w:szCs w:val="21"/>
        </w:rPr>
        <w:t>终工程量。</w:t>
      </w:r>
    </w:p>
    <w:p w14:paraId="5237C4D1">
      <w:pPr>
        <w:spacing w:before="86" w:line="218" w:lineRule="auto"/>
        <w:ind w:left="455"/>
        <w:rPr>
          <w:rFonts w:ascii="黑体" w:hAnsi="黑体" w:eastAsia="黑体" w:cs="黑体"/>
          <w:sz w:val="21"/>
          <w:szCs w:val="21"/>
        </w:rPr>
      </w:pPr>
      <w:r>
        <w:rPr>
          <w:rFonts w:ascii="黑体" w:hAnsi="黑体" w:eastAsia="黑体" w:cs="黑体"/>
          <w:spacing w:val="-1"/>
          <w:sz w:val="21"/>
          <w:szCs w:val="21"/>
        </w:rPr>
        <w:t>17.1.5</w:t>
      </w:r>
      <w:r>
        <w:rPr>
          <w:rFonts w:ascii="黑体" w:hAnsi="黑体" w:eastAsia="黑体" w:cs="黑体"/>
          <w:spacing w:val="-32"/>
          <w:sz w:val="21"/>
          <w:szCs w:val="21"/>
        </w:rPr>
        <w:t xml:space="preserve"> </w:t>
      </w:r>
      <w:r>
        <w:rPr>
          <w:rFonts w:ascii="黑体" w:hAnsi="黑体" w:eastAsia="黑体" w:cs="黑体"/>
          <w:spacing w:val="-1"/>
          <w:sz w:val="21"/>
          <w:szCs w:val="21"/>
        </w:rPr>
        <w:t>总价子目的计量一按实际完成工程量计量</w:t>
      </w:r>
    </w:p>
    <w:p w14:paraId="7FE894C0">
      <w:pPr>
        <w:spacing w:before="202" w:line="317" w:lineRule="auto"/>
        <w:ind w:left="29" w:firstLine="451"/>
        <w:rPr>
          <w:rFonts w:ascii="宋体" w:hAnsi="宋体" w:eastAsia="宋体" w:cs="宋体"/>
          <w:sz w:val="21"/>
          <w:szCs w:val="21"/>
        </w:rPr>
      </w:pPr>
      <w:r>
        <w:rPr>
          <w:rFonts w:ascii="宋体" w:hAnsi="宋体" w:eastAsia="宋体" w:cs="宋体"/>
          <w:spacing w:val="-11"/>
          <w:sz w:val="21"/>
          <w:szCs w:val="21"/>
        </w:rPr>
        <w:t>(1)总价子目的价格调整方法：</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2"/>
          <w:sz w:val="21"/>
          <w:szCs w:val="21"/>
        </w:rPr>
        <w:t>总价子目的计量和支付应以总价为基础，对承包人实际完成的工程量进行计</w:t>
      </w:r>
      <w:r>
        <w:rPr>
          <w:rFonts w:ascii="宋体" w:hAnsi="宋体" w:eastAsia="宋体" w:cs="宋体"/>
          <w:spacing w:val="-3"/>
          <w:sz w:val="21"/>
          <w:szCs w:val="21"/>
        </w:rPr>
        <w:t>量，是进行工程目标管理和控制进度款支付的依据。</w:t>
      </w:r>
    </w:p>
    <w:p w14:paraId="4D13DE80">
      <w:pPr>
        <w:spacing w:before="4" w:line="316" w:lineRule="auto"/>
        <w:ind w:left="23" w:right="68" w:firstLine="458"/>
        <w:rPr>
          <w:rFonts w:ascii="宋体" w:hAnsi="宋体" w:eastAsia="宋体" w:cs="宋体"/>
          <w:sz w:val="21"/>
          <w:szCs w:val="21"/>
        </w:rPr>
      </w:pPr>
      <w:r>
        <w:rPr>
          <w:rFonts w:ascii="宋体" w:hAnsi="宋体" w:eastAsia="宋体" w:cs="宋体"/>
          <w:spacing w:val="-2"/>
          <w:sz w:val="21"/>
          <w:szCs w:val="21"/>
        </w:rPr>
        <w:t>(2)承包人在专用合同条款第 17.1.3(1)</w:t>
      </w:r>
      <w:r>
        <w:rPr>
          <w:rFonts w:ascii="宋体" w:hAnsi="宋体" w:eastAsia="宋体" w:cs="宋体"/>
          <w:spacing w:val="-50"/>
          <w:sz w:val="21"/>
          <w:szCs w:val="21"/>
        </w:rPr>
        <w:t xml:space="preserve"> </w:t>
      </w:r>
      <w:r>
        <w:rPr>
          <w:rFonts w:ascii="宋体" w:hAnsi="宋体" w:eastAsia="宋体" w:cs="宋体"/>
          <w:spacing w:val="-2"/>
          <w:sz w:val="21"/>
          <w:szCs w:val="21"/>
        </w:rPr>
        <w:t>目约定的每月计量截止日期后，对已完成的分</w:t>
      </w:r>
      <w:r>
        <w:rPr>
          <w:rFonts w:ascii="宋体" w:hAnsi="宋体" w:eastAsia="宋体" w:cs="宋体"/>
          <w:spacing w:val="-3"/>
          <w:sz w:val="21"/>
          <w:szCs w:val="21"/>
        </w:rPr>
        <w:t>部分项工程的子目</w:t>
      </w:r>
      <w:r>
        <w:rPr>
          <w:rFonts w:ascii="宋体" w:hAnsi="宋体" w:eastAsia="宋体" w:cs="宋体"/>
          <w:spacing w:val="-62"/>
          <w:sz w:val="21"/>
          <w:szCs w:val="21"/>
        </w:rPr>
        <w:t xml:space="preserve"> </w:t>
      </w:r>
      <w:r>
        <w:rPr>
          <w:rFonts w:ascii="宋体" w:hAnsi="宋体" w:eastAsia="宋体" w:cs="宋体"/>
          <w:spacing w:val="-3"/>
          <w:sz w:val="21"/>
          <w:szCs w:val="21"/>
        </w:rPr>
        <w:t>(包括在工程量清单中给出具体工程量的措施项目的相</w:t>
      </w:r>
      <w:r>
        <w:rPr>
          <w:rFonts w:ascii="宋体" w:hAnsi="宋体" w:eastAsia="宋体" w:cs="宋体"/>
          <w:spacing w:val="-4"/>
          <w:sz w:val="21"/>
          <w:szCs w:val="21"/>
        </w:rPr>
        <w:t>关子目)，按照专用</w:t>
      </w:r>
      <w:r>
        <w:rPr>
          <w:rFonts w:ascii="宋体" w:hAnsi="宋体" w:eastAsia="宋体" w:cs="宋体"/>
          <w:spacing w:val="-1"/>
          <w:sz w:val="21"/>
          <w:szCs w:val="21"/>
        </w:rPr>
        <w:t>合同条款第</w:t>
      </w:r>
      <w:r>
        <w:rPr>
          <w:rFonts w:ascii="宋体" w:hAnsi="宋体" w:eastAsia="宋体" w:cs="宋体"/>
          <w:spacing w:val="-7"/>
          <w:sz w:val="21"/>
          <w:szCs w:val="21"/>
        </w:rPr>
        <w:t xml:space="preserve"> </w:t>
      </w:r>
      <w:r>
        <w:rPr>
          <w:rFonts w:ascii="宋体" w:hAnsi="宋体" w:eastAsia="宋体" w:cs="宋体"/>
          <w:spacing w:val="-1"/>
          <w:sz w:val="21"/>
          <w:szCs w:val="21"/>
        </w:rPr>
        <w:t>17.1.2</w:t>
      </w:r>
      <w:r>
        <w:rPr>
          <w:rFonts w:ascii="宋体" w:hAnsi="宋体" w:eastAsia="宋体" w:cs="宋体"/>
          <w:spacing w:val="-33"/>
          <w:sz w:val="21"/>
          <w:szCs w:val="21"/>
        </w:rPr>
        <w:t xml:space="preserve"> </w:t>
      </w:r>
      <w:r>
        <w:rPr>
          <w:rFonts w:ascii="宋体" w:hAnsi="宋体" w:eastAsia="宋体" w:cs="宋体"/>
          <w:spacing w:val="-1"/>
          <w:sz w:val="21"/>
          <w:szCs w:val="21"/>
        </w:rPr>
        <w:t>项约定的计量方法进行计量，对已完成的工程量清单中没有给出具体工</w:t>
      </w:r>
      <w:r>
        <w:rPr>
          <w:rFonts w:ascii="宋体" w:hAnsi="宋体" w:eastAsia="宋体" w:cs="宋体"/>
          <w:spacing w:val="-2"/>
          <w:sz w:val="21"/>
          <w:szCs w:val="21"/>
        </w:rPr>
        <w:t>程量的措施项目的相关子目，按其总价构成、费用性质和实际发生比例进行计量</w:t>
      </w:r>
      <w:r>
        <w:rPr>
          <w:rFonts w:ascii="宋体" w:hAnsi="宋体" w:eastAsia="宋体" w:cs="宋体"/>
          <w:spacing w:val="-3"/>
          <w:sz w:val="21"/>
          <w:szCs w:val="21"/>
        </w:rPr>
        <w:t>，向监理人</w:t>
      </w:r>
      <w:r>
        <w:rPr>
          <w:rFonts w:ascii="宋体" w:hAnsi="宋体" w:eastAsia="宋体" w:cs="宋体"/>
          <w:spacing w:val="-1"/>
          <w:sz w:val="21"/>
          <w:szCs w:val="21"/>
        </w:rPr>
        <w:t>提交进度付款申请单、已完成工程量报表和有关计量资料。</w:t>
      </w:r>
    </w:p>
    <w:p w14:paraId="6834D561">
      <w:pPr>
        <w:spacing w:before="4" w:line="316" w:lineRule="auto"/>
        <w:ind w:left="25" w:right="69" w:firstLine="455"/>
        <w:rPr>
          <w:rFonts w:ascii="宋体" w:hAnsi="宋体" w:eastAsia="宋体" w:cs="宋体"/>
          <w:sz w:val="21"/>
          <w:szCs w:val="21"/>
        </w:rPr>
      </w:pPr>
      <w:r>
        <w:rPr>
          <w:rFonts w:ascii="宋体" w:hAnsi="宋体" w:eastAsia="宋体" w:cs="宋体"/>
          <w:spacing w:val="-1"/>
          <w:sz w:val="21"/>
          <w:szCs w:val="21"/>
        </w:rPr>
        <w:t>(3)监理人对承包人提交的工程量报表进行复核，以确定实际完成的工程量。对数量有</w:t>
      </w:r>
      <w:r>
        <w:rPr>
          <w:rFonts w:ascii="宋体" w:hAnsi="宋体" w:eastAsia="宋体" w:cs="宋体"/>
          <w:spacing w:val="-2"/>
          <w:sz w:val="21"/>
          <w:szCs w:val="21"/>
        </w:rPr>
        <w:t>异议的，可要求承包人进行共同复核。承包人应协助监理人进行复核并按监理</w:t>
      </w:r>
      <w:r>
        <w:rPr>
          <w:rFonts w:ascii="宋体" w:hAnsi="宋体" w:eastAsia="宋体" w:cs="宋体"/>
          <w:spacing w:val="-3"/>
          <w:sz w:val="21"/>
          <w:szCs w:val="21"/>
        </w:rPr>
        <w:t>人要求提供补</w:t>
      </w:r>
      <w:r>
        <w:rPr>
          <w:rFonts w:ascii="宋体" w:hAnsi="宋体" w:eastAsia="宋体" w:cs="宋体"/>
          <w:spacing w:val="-2"/>
          <w:sz w:val="21"/>
          <w:szCs w:val="21"/>
        </w:rPr>
        <w:t>充计量资料。承包人未按监理人要求参加复核，监理人复核或修正的工程量视</w:t>
      </w:r>
      <w:r>
        <w:rPr>
          <w:rFonts w:ascii="宋体" w:hAnsi="宋体" w:eastAsia="宋体" w:cs="宋体"/>
          <w:spacing w:val="-3"/>
          <w:sz w:val="21"/>
          <w:szCs w:val="21"/>
        </w:rPr>
        <w:t>为承包人实际</w:t>
      </w:r>
      <w:r>
        <w:rPr>
          <w:rFonts w:ascii="宋体" w:hAnsi="宋体" w:eastAsia="宋体" w:cs="宋体"/>
          <w:spacing w:val="-5"/>
          <w:sz w:val="21"/>
          <w:szCs w:val="21"/>
        </w:rPr>
        <w:t>完成的工程量。</w:t>
      </w:r>
    </w:p>
    <w:p w14:paraId="6774801E">
      <w:pPr>
        <w:spacing w:before="2" w:line="316" w:lineRule="auto"/>
        <w:ind w:left="26" w:right="69" w:firstLine="454"/>
        <w:rPr>
          <w:rFonts w:ascii="宋体" w:hAnsi="宋体" w:eastAsia="宋体" w:cs="宋体"/>
          <w:sz w:val="21"/>
          <w:szCs w:val="21"/>
        </w:rPr>
      </w:pPr>
      <w:r>
        <w:rPr>
          <w:rFonts w:ascii="宋体" w:hAnsi="宋体" w:eastAsia="宋体" w:cs="宋体"/>
          <w:spacing w:val="-1"/>
          <w:sz w:val="21"/>
          <w:szCs w:val="21"/>
        </w:rPr>
        <w:t>(4)监理人应在收到承包人提交的工程量报表后的</w:t>
      </w:r>
      <w:r>
        <w:rPr>
          <w:rFonts w:ascii="宋体" w:hAnsi="宋体" w:eastAsia="宋体" w:cs="宋体"/>
          <w:spacing w:val="-37"/>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天内进行复核，监理人未在约定时间内复核的，承包人提交的工程量报表中的工程量视为承包人实际完成的工</w:t>
      </w:r>
      <w:r>
        <w:rPr>
          <w:rFonts w:ascii="宋体" w:hAnsi="宋体" w:eastAsia="宋体" w:cs="宋体"/>
          <w:spacing w:val="-3"/>
          <w:sz w:val="21"/>
          <w:szCs w:val="21"/>
        </w:rPr>
        <w:t>程量，据此计算</w:t>
      </w:r>
      <w:r>
        <w:rPr>
          <w:rFonts w:ascii="宋体" w:hAnsi="宋体" w:eastAsia="宋体" w:cs="宋体"/>
          <w:spacing w:val="-7"/>
          <w:sz w:val="21"/>
          <w:szCs w:val="21"/>
        </w:rPr>
        <w:t>工程价款。</w:t>
      </w:r>
    </w:p>
    <w:p w14:paraId="2359C500">
      <w:pPr>
        <w:spacing w:line="312" w:lineRule="auto"/>
        <w:ind w:left="29" w:right="53" w:firstLine="452"/>
        <w:rPr>
          <w:rFonts w:ascii="宋体" w:hAnsi="宋体" w:eastAsia="宋体" w:cs="宋体"/>
          <w:sz w:val="21"/>
          <w:szCs w:val="21"/>
        </w:rPr>
      </w:pPr>
      <w:r>
        <w:rPr>
          <w:rFonts w:ascii="宋体" w:hAnsi="宋体" w:eastAsia="宋体" w:cs="宋体"/>
          <w:spacing w:val="-4"/>
          <w:sz w:val="21"/>
          <w:szCs w:val="21"/>
        </w:rPr>
        <w:t>(5)除按照第</w:t>
      </w:r>
      <w:r>
        <w:rPr>
          <w:rFonts w:ascii="宋体" w:hAnsi="宋体" w:eastAsia="宋体" w:cs="宋体"/>
          <w:spacing w:val="-16"/>
          <w:sz w:val="21"/>
          <w:szCs w:val="21"/>
        </w:rPr>
        <w:t xml:space="preserve"> </w:t>
      </w:r>
      <w:r>
        <w:rPr>
          <w:rFonts w:ascii="宋体" w:hAnsi="宋体" w:eastAsia="宋体" w:cs="宋体"/>
          <w:spacing w:val="-4"/>
          <w:sz w:val="21"/>
          <w:szCs w:val="21"/>
        </w:rPr>
        <w:t>15</w:t>
      </w:r>
      <w:r>
        <w:rPr>
          <w:rFonts w:ascii="宋体" w:hAnsi="宋体" w:eastAsia="宋体" w:cs="宋体"/>
          <w:spacing w:val="-35"/>
          <w:sz w:val="21"/>
          <w:szCs w:val="21"/>
        </w:rPr>
        <w:t xml:space="preserve"> </w:t>
      </w:r>
      <w:r>
        <w:rPr>
          <w:rFonts w:ascii="宋体" w:hAnsi="宋体" w:eastAsia="宋体" w:cs="宋体"/>
          <w:spacing w:val="-4"/>
          <w:sz w:val="21"/>
          <w:szCs w:val="21"/>
        </w:rPr>
        <w:t>条约定的变更外，在竣工结算时总价子目的工程量不应当重新计量，签</w:t>
      </w:r>
      <w:r>
        <w:rPr>
          <w:rFonts w:ascii="宋体" w:hAnsi="宋体" w:eastAsia="宋体" w:cs="宋体"/>
          <w:spacing w:val="-1"/>
          <w:sz w:val="21"/>
          <w:szCs w:val="21"/>
        </w:rPr>
        <w:t>约合同价所基于的工程量即是用于竣工结算的最</w:t>
      </w:r>
      <w:r>
        <w:rPr>
          <w:rFonts w:ascii="宋体" w:hAnsi="宋体" w:eastAsia="宋体" w:cs="宋体"/>
          <w:spacing w:val="-2"/>
          <w:sz w:val="21"/>
          <w:szCs w:val="21"/>
        </w:rPr>
        <w:t>终工程量。</w:t>
      </w:r>
    </w:p>
    <w:p w14:paraId="1437D3F0">
      <w:pPr>
        <w:spacing w:before="1" w:line="232" w:lineRule="auto"/>
        <w:ind w:left="44"/>
        <w:outlineLvl w:val="1"/>
        <w:rPr>
          <w:rFonts w:ascii="黑体" w:hAnsi="黑体" w:eastAsia="黑体" w:cs="黑体"/>
          <w:sz w:val="24"/>
          <w:szCs w:val="24"/>
        </w:rPr>
      </w:pPr>
      <w:bookmarkStart w:id="300" w:name="bookmark259"/>
      <w:bookmarkEnd w:id="300"/>
      <w:r>
        <w:rPr>
          <w:rFonts w:ascii="Times New Roman" w:hAnsi="Times New Roman" w:eastAsia="Times New Roman" w:cs="Times New Roman"/>
          <w:spacing w:val="-6"/>
          <w:sz w:val="24"/>
          <w:szCs w:val="24"/>
        </w:rPr>
        <w:t>17.2</w:t>
      </w:r>
      <w:r>
        <w:rPr>
          <w:rFonts w:ascii="Times New Roman" w:hAnsi="Times New Roman" w:eastAsia="Times New Roman" w:cs="Times New Roman"/>
          <w:spacing w:val="18"/>
          <w:sz w:val="24"/>
          <w:szCs w:val="24"/>
        </w:rPr>
        <w:t xml:space="preserve"> </w:t>
      </w:r>
      <w:r>
        <w:rPr>
          <w:rFonts w:ascii="黑体" w:hAnsi="黑体" w:eastAsia="黑体" w:cs="黑体"/>
          <w:spacing w:val="-6"/>
          <w:sz w:val="24"/>
          <w:szCs w:val="24"/>
        </w:rPr>
        <w:t>预付款</w:t>
      </w:r>
    </w:p>
    <w:p w14:paraId="1823C3F5">
      <w:pPr>
        <w:spacing w:before="189" w:line="219" w:lineRule="auto"/>
        <w:ind w:left="455"/>
        <w:rPr>
          <w:rFonts w:ascii="黑体" w:hAnsi="黑体" w:eastAsia="黑体" w:cs="黑体"/>
          <w:sz w:val="21"/>
          <w:szCs w:val="21"/>
        </w:rPr>
      </w:pPr>
      <w:r>
        <w:rPr>
          <w:rFonts w:ascii="黑体" w:hAnsi="黑体" w:eastAsia="黑体" w:cs="黑体"/>
          <w:spacing w:val="-3"/>
          <w:sz w:val="21"/>
          <w:szCs w:val="21"/>
        </w:rPr>
        <w:t>17.2.1</w:t>
      </w:r>
      <w:r>
        <w:rPr>
          <w:rFonts w:ascii="黑体" w:hAnsi="黑体" w:eastAsia="黑体" w:cs="黑体"/>
          <w:spacing w:val="-33"/>
          <w:sz w:val="21"/>
          <w:szCs w:val="21"/>
        </w:rPr>
        <w:t xml:space="preserve"> </w:t>
      </w:r>
      <w:r>
        <w:rPr>
          <w:rFonts w:ascii="黑体" w:hAnsi="黑体" w:eastAsia="黑体" w:cs="黑体"/>
          <w:spacing w:val="-3"/>
          <w:sz w:val="21"/>
          <w:szCs w:val="21"/>
        </w:rPr>
        <w:t>预付款</w:t>
      </w:r>
    </w:p>
    <w:p w14:paraId="3D26B63B">
      <w:pPr>
        <w:spacing w:before="216" w:line="219" w:lineRule="auto"/>
        <w:ind w:left="484"/>
        <w:rPr>
          <w:rFonts w:ascii="黑体" w:hAnsi="黑体" w:eastAsia="黑体" w:cs="黑体"/>
          <w:sz w:val="21"/>
          <w:szCs w:val="21"/>
        </w:rPr>
      </w:pPr>
      <w:r>
        <w:rPr>
          <w:rFonts w:ascii="黑体" w:hAnsi="黑体" w:eastAsia="黑体" w:cs="黑体"/>
          <w:spacing w:val="-6"/>
          <w:sz w:val="21"/>
          <w:szCs w:val="21"/>
        </w:rPr>
        <w:t>(1)预付款额度</w:t>
      </w:r>
    </w:p>
    <w:p w14:paraId="661252FD">
      <w:pPr>
        <w:spacing w:before="200" w:line="359" w:lineRule="auto"/>
        <w:ind w:left="444" w:firstLine="2"/>
        <w:rPr>
          <w:rFonts w:ascii="宋体" w:hAnsi="宋体" w:eastAsia="宋体" w:cs="宋体"/>
          <w:sz w:val="21"/>
          <w:szCs w:val="21"/>
        </w:rPr>
      </w:pPr>
      <w:r>
        <w:rPr>
          <w:rFonts w:ascii="宋体" w:hAnsi="宋体" w:eastAsia="宋体" w:cs="宋体"/>
          <w:spacing w:val="-8"/>
          <w:sz w:val="21"/>
          <w:szCs w:val="21"/>
        </w:rPr>
        <w:t>分部分项工程部分的预付款额度：</w:t>
      </w:r>
      <w:r>
        <w:rPr>
          <w:rFonts w:ascii="宋体" w:hAnsi="宋体" w:eastAsia="宋体" w:cs="宋体"/>
          <w:sz w:val="21"/>
          <w:szCs w:val="21"/>
          <w:u w:val="single" w:color="auto"/>
        </w:rPr>
        <w:t xml:space="preserve">                                             </w:t>
      </w:r>
      <w:r>
        <w:rPr>
          <w:rFonts w:ascii="宋体" w:hAnsi="宋体" w:eastAsia="宋体" w:cs="宋体"/>
          <w:spacing w:val="-8"/>
          <w:sz w:val="21"/>
          <w:szCs w:val="21"/>
        </w:rPr>
        <w:t>。</w:t>
      </w:r>
      <w:r>
        <w:rPr>
          <w:rFonts w:ascii="宋体" w:hAnsi="宋体" w:eastAsia="宋体" w:cs="宋体"/>
          <w:spacing w:val="-5"/>
          <w:sz w:val="21"/>
          <w:szCs w:val="21"/>
        </w:rPr>
        <w:t>措施项目部分预付款额度：</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3B1828A1">
      <w:pPr>
        <w:spacing w:line="359" w:lineRule="auto"/>
        <w:rPr>
          <w:rFonts w:ascii="宋体" w:hAnsi="宋体" w:eastAsia="宋体" w:cs="宋体"/>
          <w:sz w:val="21"/>
          <w:szCs w:val="21"/>
        </w:rPr>
        <w:sectPr>
          <w:footerReference r:id="rId127" w:type="default"/>
          <w:pgSz w:w="11910" w:h="16845"/>
          <w:pgMar w:top="400" w:right="1712" w:bottom="1110" w:left="1786" w:header="0" w:footer="883" w:gutter="0"/>
          <w:cols w:space="720" w:num="1"/>
        </w:sectPr>
      </w:pPr>
    </w:p>
    <w:p w14:paraId="5A83D610">
      <w:pPr>
        <w:pStyle w:val="2"/>
        <w:spacing w:line="282" w:lineRule="auto"/>
      </w:pPr>
    </w:p>
    <w:p w14:paraId="59B29CF6">
      <w:pPr>
        <w:pStyle w:val="2"/>
        <w:spacing w:line="282" w:lineRule="auto"/>
      </w:pPr>
    </w:p>
    <w:p w14:paraId="6A528D44">
      <w:pPr>
        <w:pStyle w:val="2"/>
        <w:spacing w:line="283" w:lineRule="auto"/>
      </w:pPr>
    </w:p>
    <w:p w14:paraId="0FC3FF5C">
      <w:pPr>
        <w:pStyle w:val="2"/>
        <w:spacing w:line="283" w:lineRule="auto"/>
      </w:pPr>
    </w:p>
    <w:p w14:paraId="2EF92CA0">
      <w:pPr>
        <w:spacing w:before="68" w:line="220" w:lineRule="auto"/>
        <w:jc w:val="right"/>
        <w:rPr>
          <w:rFonts w:ascii="宋体" w:hAnsi="宋体" w:eastAsia="宋体" w:cs="宋体"/>
          <w:sz w:val="21"/>
          <w:szCs w:val="21"/>
        </w:rPr>
      </w:pPr>
      <w:r>
        <w:rPr>
          <w:rFonts w:ascii="宋体" w:hAnsi="宋体" w:eastAsia="宋体" w:cs="宋体"/>
          <w:spacing w:val="-13"/>
          <w:sz w:val="21"/>
          <w:szCs w:val="21"/>
        </w:rPr>
        <w:t>其中：安全文明施工费用预付额度：</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2FFEC756">
      <w:pPr>
        <w:spacing w:before="215" w:line="218" w:lineRule="auto"/>
        <w:ind w:left="484"/>
        <w:rPr>
          <w:rFonts w:ascii="黑体" w:hAnsi="黑体" w:eastAsia="黑体" w:cs="黑体"/>
          <w:sz w:val="21"/>
          <w:szCs w:val="21"/>
        </w:rPr>
      </w:pPr>
      <w:r>
        <w:rPr>
          <w:rFonts w:ascii="黑体" w:hAnsi="黑体" w:eastAsia="黑体" w:cs="黑体"/>
          <w:spacing w:val="-7"/>
          <w:sz w:val="21"/>
          <w:szCs w:val="21"/>
        </w:rPr>
        <w:t>(2)预付办法</w:t>
      </w:r>
    </w:p>
    <w:p w14:paraId="7E44128D">
      <w:pPr>
        <w:spacing w:before="248" w:line="369" w:lineRule="auto"/>
        <w:ind w:left="446" w:right="15"/>
        <w:rPr>
          <w:rFonts w:ascii="宋体" w:hAnsi="宋体" w:eastAsia="宋体" w:cs="宋体"/>
          <w:sz w:val="21"/>
          <w:szCs w:val="21"/>
        </w:rPr>
      </w:pPr>
      <w:r>
        <w:rPr>
          <w:rFonts w:ascii="宋体" w:hAnsi="宋体" w:eastAsia="宋体" w:cs="宋体"/>
          <w:spacing w:val="-15"/>
          <w:sz w:val="21"/>
          <w:szCs w:val="21"/>
        </w:rPr>
        <w:t>预付款预付办法：</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13"/>
          <w:sz w:val="21"/>
          <w:szCs w:val="21"/>
        </w:rPr>
        <w:t>预付款的支付时间：</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52FE0B04">
      <w:pPr>
        <w:spacing w:before="2" w:line="369" w:lineRule="auto"/>
        <w:ind w:left="26" w:right="70" w:firstLine="422"/>
        <w:jc w:val="both"/>
        <w:rPr>
          <w:rFonts w:ascii="宋体" w:hAnsi="宋体" w:eastAsia="宋体" w:cs="宋体"/>
          <w:sz w:val="21"/>
          <w:szCs w:val="21"/>
        </w:rPr>
      </w:pPr>
      <w:r>
        <w:rPr>
          <w:rFonts w:ascii="宋体" w:hAnsi="宋体" w:eastAsia="宋体" w:cs="宋体"/>
          <w:spacing w:val="-2"/>
          <w:sz w:val="21"/>
          <w:szCs w:val="21"/>
        </w:rPr>
        <w:t>安全文明施工费用的预付不受上述预付办法和支付时间约定的制</w:t>
      </w:r>
      <w:r>
        <w:rPr>
          <w:rFonts w:ascii="宋体" w:hAnsi="宋体" w:eastAsia="宋体" w:cs="宋体"/>
          <w:spacing w:val="-3"/>
          <w:sz w:val="21"/>
          <w:szCs w:val="21"/>
        </w:rPr>
        <w:t>约，发包人应当在不迟</w:t>
      </w:r>
      <w:r>
        <w:rPr>
          <w:rFonts w:ascii="宋体" w:hAnsi="宋体" w:eastAsia="宋体" w:cs="宋体"/>
          <w:spacing w:val="-1"/>
          <w:sz w:val="21"/>
          <w:szCs w:val="21"/>
        </w:rPr>
        <w:t>于通用合同条款第</w:t>
      </w:r>
      <w:r>
        <w:rPr>
          <w:rFonts w:ascii="宋体" w:hAnsi="宋体" w:eastAsia="宋体" w:cs="宋体"/>
          <w:spacing w:val="-23"/>
          <w:sz w:val="21"/>
          <w:szCs w:val="21"/>
        </w:rPr>
        <w:t xml:space="preserve"> </w:t>
      </w:r>
      <w:r>
        <w:rPr>
          <w:rFonts w:ascii="宋体" w:hAnsi="宋体" w:eastAsia="宋体" w:cs="宋体"/>
          <w:spacing w:val="-1"/>
          <w:sz w:val="21"/>
          <w:szCs w:val="21"/>
        </w:rPr>
        <w:t>11.1.1</w:t>
      </w:r>
      <w:r>
        <w:rPr>
          <w:rFonts w:ascii="宋体" w:hAnsi="宋体" w:eastAsia="宋体" w:cs="宋体"/>
          <w:spacing w:val="-32"/>
          <w:sz w:val="21"/>
          <w:szCs w:val="21"/>
        </w:rPr>
        <w:t xml:space="preserve"> </w:t>
      </w:r>
      <w:r>
        <w:rPr>
          <w:rFonts w:ascii="宋体" w:hAnsi="宋体" w:eastAsia="宋体" w:cs="宋体"/>
          <w:spacing w:val="-1"/>
          <w:sz w:val="21"/>
          <w:szCs w:val="21"/>
        </w:rPr>
        <w:t>项约定的开工日期前的</w:t>
      </w:r>
      <w:r>
        <w:rPr>
          <w:rFonts w:ascii="宋体" w:hAnsi="宋体" w:eastAsia="宋体" w:cs="宋体"/>
          <w:spacing w:val="-34"/>
          <w:sz w:val="21"/>
          <w:szCs w:val="21"/>
        </w:rPr>
        <w:t xml:space="preserve"> </w:t>
      </w:r>
      <w:r>
        <w:rPr>
          <w:rFonts w:ascii="宋体" w:hAnsi="宋体" w:eastAsia="宋体" w:cs="宋体"/>
          <w:spacing w:val="-1"/>
          <w:sz w:val="21"/>
          <w:szCs w:val="21"/>
        </w:rPr>
        <w:t>7</w:t>
      </w:r>
      <w:r>
        <w:rPr>
          <w:rFonts w:ascii="宋体" w:hAnsi="宋体" w:eastAsia="宋体" w:cs="宋体"/>
          <w:spacing w:val="-3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将安全文明施工费用的预付款一次</w:t>
      </w:r>
      <w:r>
        <w:rPr>
          <w:rFonts w:ascii="宋体" w:hAnsi="宋体" w:eastAsia="宋体" w:cs="宋体"/>
          <w:spacing w:val="-5"/>
          <w:sz w:val="21"/>
          <w:szCs w:val="21"/>
        </w:rPr>
        <w:t>性拨付给承包人。</w:t>
      </w:r>
    </w:p>
    <w:p w14:paraId="2136B1CF">
      <w:pPr>
        <w:spacing w:line="373" w:lineRule="auto"/>
        <w:ind w:left="23" w:right="14" w:firstLine="424"/>
        <w:jc w:val="both"/>
        <w:rPr>
          <w:rFonts w:ascii="宋体" w:hAnsi="宋体" w:eastAsia="宋体" w:cs="宋体"/>
          <w:sz w:val="21"/>
          <w:szCs w:val="21"/>
        </w:rPr>
      </w:pPr>
      <w:r>
        <w:rPr>
          <w:rFonts w:ascii="宋体" w:hAnsi="宋体" w:eastAsia="宋体" w:cs="宋体"/>
          <w:spacing w:val="-4"/>
          <w:sz w:val="21"/>
          <w:szCs w:val="21"/>
        </w:rPr>
        <w:t>发包人逾期支付合同约定的预付款，除承担通用合同条款第</w:t>
      </w:r>
      <w:r>
        <w:rPr>
          <w:rFonts w:ascii="宋体" w:hAnsi="宋体" w:eastAsia="宋体" w:cs="宋体"/>
          <w:spacing w:val="-32"/>
          <w:sz w:val="21"/>
          <w:szCs w:val="21"/>
        </w:rPr>
        <w:t xml:space="preserve"> </w:t>
      </w:r>
      <w:r>
        <w:rPr>
          <w:rFonts w:ascii="宋体" w:hAnsi="宋体" w:eastAsia="宋体" w:cs="宋体"/>
          <w:spacing w:val="-4"/>
          <w:sz w:val="21"/>
          <w:szCs w:val="21"/>
        </w:rPr>
        <w:t>22.2</w:t>
      </w:r>
      <w:r>
        <w:rPr>
          <w:rFonts w:ascii="宋体" w:hAnsi="宋体" w:eastAsia="宋体" w:cs="宋体"/>
          <w:spacing w:val="-36"/>
          <w:sz w:val="21"/>
          <w:szCs w:val="21"/>
        </w:rPr>
        <w:t xml:space="preserve"> </w:t>
      </w:r>
      <w:r>
        <w:rPr>
          <w:rFonts w:ascii="宋体" w:hAnsi="宋体" w:eastAsia="宋体" w:cs="宋体"/>
          <w:spacing w:val="-4"/>
          <w:sz w:val="21"/>
          <w:szCs w:val="21"/>
        </w:rPr>
        <w:t>款约定的违约责任外，</w:t>
      </w:r>
      <w:r>
        <w:rPr>
          <w:rFonts w:ascii="宋体" w:hAnsi="宋体" w:eastAsia="宋体" w:cs="宋体"/>
          <w:spacing w:val="1"/>
          <w:sz w:val="21"/>
          <w:szCs w:val="21"/>
        </w:rPr>
        <w:t>还应向承包人支付按专用合同条款第 17.3.3(2)</w:t>
      </w:r>
      <w:r>
        <w:rPr>
          <w:rFonts w:ascii="宋体" w:hAnsi="宋体" w:eastAsia="宋体" w:cs="宋体"/>
          <w:spacing w:val="-41"/>
          <w:sz w:val="21"/>
          <w:szCs w:val="21"/>
        </w:rPr>
        <w:t xml:space="preserve"> </w:t>
      </w:r>
      <w:r>
        <w:rPr>
          <w:rFonts w:ascii="宋体" w:hAnsi="宋体" w:eastAsia="宋体" w:cs="宋体"/>
          <w:spacing w:val="1"/>
          <w:sz w:val="21"/>
          <w:szCs w:val="21"/>
        </w:rPr>
        <w:t>目约定的标准和方法计算的逾期付款违约</w:t>
      </w:r>
      <w:r>
        <w:rPr>
          <w:rFonts w:ascii="宋体" w:hAnsi="宋体" w:eastAsia="宋体" w:cs="宋体"/>
          <w:spacing w:val="-10"/>
          <w:sz w:val="21"/>
          <w:szCs w:val="21"/>
        </w:rPr>
        <w:t>金。</w:t>
      </w:r>
    </w:p>
    <w:p w14:paraId="480D5D2B">
      <w:pPr>
        <w:spacing w:before="33" w:line="219" w:lineRule="auto"/>
        <w:ind w:left="455"/>
        <w:rPr>
          <w:rFonts w:ascii="黑体" w:hAnsi="黑体" w:eastAsia="黑体" w:cs="黑体"/>
          <w:sz w:val="21"/>
          <w:szCs w:val="21"/>
        </w:rPr>
      </w:pPr>
      <w:r>
        <w:rPr>
          <w:rFonts w:ascii="黑体" w:hAnsi="黑体" w:eastAsia="黑体" w:cs="黑体"/>
          <w:spacing w:val="-3"/>
          <w:sz w:val="21"/>
          <w:szCs w:val="21"/>
        </w:rPr>
        <w:t>17.2.2</w:t>
      </w:r>
      <w:r>
        <w:rPr>
          <w:rFonts w:ascii="黑体" w:hAnsi="黑体" w:eastAsia="黑体" w:cs="黑体"/>
          <w:spacing w:val="-28"/>
          <w:sz w:val="21"/>
          <w:szCs w:val="21"/>
        </w:rPr>
        <w:t xml:space="preserve"> </w:t>
      </w:r>
      <w:r>
        <w:rPr>
          <w:rFonts w:ascii="黑体" w:hAnsi="黑体" w:eastAsia="黑体" w:cs="黑体"/>
          <w:spacing w:val="-3"/>
          <w:sz w:val="21"/>
          <w:szCs w:val="21"/>
        </w:rPr>
        <w:t>预付款保函</w:t>
      </w:r>
    </w:p>
    <w:p w14:paraId="4D852CEA">
      <w:pPr>
        <w:spacing w:before="261" w:line="220" w:lineRule="auto"/>
        <w:ind w:left="446"/>
        <w:rPr>
          <w:rFonts w:ascii="宋体" w:hAnsi="宋体" w:eastAsia="宋体" w:cs="宋体"/>
          <w:sz w:val="21"/>
          <w:szCs w:val="21"/>
        </w:rPr>
      </w:pPr>
      <w:r>
        <w:rPr>
          <w:rFonts w:ascii="宋体" w:hAnsi="宋体" w:eastAsia="宋体" w:cs="宋体"/>
          <w:sz w:val="21"/>
          <w:szCs w:val="21"/>
        </w:rPr>
        <w:t>预付款保函的金额与预付款金额相同。预付款保函的提</w:t>
      </w:r>
      <w:r>
        <w:rPr>
          <w:rFonts w:ascii="宋体" w:hAnsi="宋体" w:eastAsia="宋体" w:cs="宋体"/>
          <w:spacing w:val="-1"/>
          <w:sz w:val="21"/>
          <w:szCs w:val="21"/>
        </w:rPr>
        <w:t>交时间：</w:t>
      </w:r>
      <w:r>
        <w:rPr>
          <w:rFonts w:ascii="宋体" w:hAnsi="宋体" w:eastAsia="宋体" w:cs="宋体"/>
          <w:sz w:val="21"/>
          <w:szCs w:val="21"/>
          <w:u w:val="single" w:color="auto"/>
        </w:rPr>
        <w:t xml:space="preserve">                    </w:t>
      </w:r>
    </w:p>
    <w:p w14:paraId="68C8545C">
      <w:pPr>
        <w:tabs>
          <w:tab w:val="left" w:pos="8215"/>
        </w:tabs>
        <w:spacing w:before="306"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FF58FEB">
      <w:pPr>
        <w:spacing w:before="181" w:line="370" w:lineRule="auto"/>
        <w:ind w:left="24" w:right="81" w:firstLine="422"/>
        <w:jc w:val="both"/>
        <w:rPr>
          <w:rFonts w:ascii="宋体" w:hAnsi="宋体" w:eastAsia="宋体" w:cs="宋体"/>
          <w:sz w:val="21"/>
          <w:szCs w:val="21"/>
        </w:rPr>
      </w:pPr>
      <w:r>
        <w:rPr>
          <w:rFonts w:ascii="宋体" w:hAnsi="宋体" w:eastAsia="宋体" w:cs="宋体"/>
          <w:spacing w:val="-2"/>
          <w:sz w:val="21"/>
          <w:szCs w:val="21"/>
        </w:rPr>
        <w:t>预付款保函的担保金额应当根据预付款扣回的金额递减</w:t>
      </w:r>
      <w:r>
        <w:rPr>
          <w:rFonts w:ascii="宋体" w:hAnsi="宋体" w:eastAsia="宋体" w:cs="宋体"/>
          <w:spacing w:val="-3"/>
          <w:sz w:val="21"/>
          <w:szCs w:val="21"/>
        </w:rPr>
        <w:t>，保函条款中可以设立担保金额</w:t>
      </w:r>
      <w:r>
        <w:rPr>
          <w:rFonts w:ascii="宋体" w:hAnsi="宋体" w:eastAsia="宋体" w:cs="宋体"/>
          <w:spacing w:val="-1"/>
          <w:sz w:val="21"/>
          <w:szCs w:val="21"/>
        </w:rPr>
        <w:t>递减的条款。发包人在签认每一期进度付款证书后</w:t>
      </w:r>
      <w:r>
        <w:rPr>
          <w:rFonts w:ascii="宋体" w:hAnsi="宋体" w:eastAsia="宋体" w:cs="宋体"/>
          <w:spacing w:val="-14"/>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天内，应当以书面方式通知出具预付</w:t>
      </w:r>
      <w:r>
        <w:rPr>
          <w:rFonts w:ascii="宋体" w:hAnsi="宋体" w:eastAsia="宋体" w:cs="宋体"/>
          <w:spacing w:val="-2"/>
          <w:sz w:val="21"/>
          <w:szCs w:val="21"/>
        </w:rPr>
        <w:t>款保函的担保人并附上一份经其签认的进度付款证书副本，担保人根据发包人的通知和经发包人签认的进度付款证书中累计扣回的预付款金额等额调减预付款保函的担保金额。自担保</w:t>
      </w:r>
      <w:r>
        <w:rPr>
          <w:rFonts w:ascii="宋体" w:hAnsi="宋体" w:eastAsia="宋体" w:cs="宋体"/>
          <w:spacing w:val="-1"/>
          <w:sz w:val="21"/>
          <w:szCs w:val="21"/>
        </w:rPr>
        <w:t>人收到发包人通知之日起，该经过递减的担保金额为预付款保函担保金额。</w:t>
      </w:r>
    </w:p>
    <w:p w14:paraId="3CEB0AFC">
      <w:pPr>
        <w:spacing w:before="40" w:line="219" w:lineRule="auto"/>
        <w:ind w:left="455"/>
        <w:rPr>
          <w:rFonts w:ascii="黑体" w:hAnsi="黑体" w:eastAsia="黑体" w:cs="黑体"/>
          <w:sz w:val="21"/>
          <w:szCs w:val="21"/>
        </w:rPr>
      </w:pPr>
      <w:r>
        <w:rPr>
          <w:rFonts w:ascii="黑体" w:hAnsi="黑体" w:eastAsia="黑体" w:cs="黑体"/>
          <w:spacing w:val="-2"/>
          <w:sz w:val="21"/>
          <w:szCs w:val="21"/>
        </w:rPr>
        <w:t>17.2.3</w:t>
      </w:r>
      <w:r>
        <w:rPr>
          <w:rFonts w:ascii="黑体" w:hAnsi="黑体" w:eastAsia="黑体" w:cs="黑体"/>
          <w:spacing w:val="-30"/>
          <w:sz w:val="21"/>
          <w:szCs w:val="21"/>
        </w:rPr>
        <w:t xml:space="preserve"> </w:t>
      </w:r>
      <w:r>
        <w:rPr>
          <w:rFonts w:ascii="黑体" w:hAnsi="黑体" w:eastAsia="黑体" w:cs="黑体"/>
          <w:spacing w:val="-2"/>
          <w:sz w:val="21"/>
          <w:szCs w:val="21"/>
        </w:rPr>
        <w:t>预付款的扣回与还清</w:t>
      </w:r>
    </w:p>
    <w:p w14:paraId="6694F3AC">
      <w:pPr>
        <w:spacing w:before="246" w:line="220" w:lineRule="auto"/>
        <w:jc w:val="right"/>
        <w:rPr>
          <w:rFonts w:ascii="宋体" w:hAnsi="宋体" w:eastAsia="宋体" w:cs="宋体"/>
          <w:sz w:val="21"/>
          <w:szCs w:val="21"/>
        </w:rPr>
      </w:pPr>
      <w:r>
        <w:rPr>
          <w:rFonts w:ascii="宋体" w:hAnsi="宋体" w:eastAsia="宋体" w:cs="宋体"/>
          <w:spacing w:val="-13"/>
          <w:sz w:val="21"/>
          <w:szCs w:val="21"/>
        </w:rPr>
        <w:t>预付款的扣回办法：</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73E5E1E4">
      <w:pPr>
        <w:spacing w:before="216" w:line="219" w:lineRule="auto"/>
        <w:ind w:left="455"/>
        <w:rPr>
          <w:rFonts w:ascii="黑体" w:hAnsi="黑体" w:eastAsia="黑体" w:cs="黑体"/>
          <w:sz w:val="21"/>
          <w:szCs w:val="21"/>
        </w:rPr>
      </w:pPr>
      <w:r>
        <w:rPr>
          <w:rFonts w:ascii="黑体" w:hAnsi="黑体" w:eastAsia="黑体" w:cs="黑体"/>
          <w:spacing w:val="-2"/>
          <w:sz w:val="21"/>
          <w:szCs w:val="21"/>
        </w:rPr>
        <w:t>17.2.4</w:t>
      </w:r>
      <w:r>
        <w:rPr>
          <w:rFonts w:ascii="黑体" w:hAnsi="黑体" w:eastAsia="黑体" w:cs="黑体"/>
          <w:spacing w:val="-32"/>
          <w:sz w:val="21"/>
          <w:szCs w:val="21"/>
        </w:rPr>
        <w:t xml:space="preserve"> </w:t>
      </w:r>
      <w:r>
        <w:rPr>
          <w:rFonts w:ascii="黑体" w:hAnsi="黑体" w:eastAsia="黑体" w:cs="黑体"/>
          <w:spacing w:val="-2"/>
          <w:sz w:val="21"/>
          <w:szCs w:val="21"/>
        </w:rPr>
        <w:t>预付款保函的格式</w:t>
      </w:r>
    </w:p>
    <w:p w14:paraId="2D1D2EC9">
      <w:pPr>
        <w:spacing w:before="233" w:line="344" w:lineRule="auto"/>
        <w:ind w:left="23" w:right="85" w:firstLine="421"/>
        <w:jc w:val="both"/>
        <w:rPr>
          <w:rFonts w:ascii="宋体" w:hAnsi="宋体" w:eastAsia="宋体" w:cs="宋体"/>
          <w:sz w:val="21"/>
          <w:szCs w:val="21"/>
        </w:rPr>
      </w:pPr>
      <w:r>
        <w:rPr>
          <w:rFonts w:ascii="宋体" w:hAnsi="宋体" w:eastAsia="宋体" w:cs="宋体"/>
          <w:spacing w:val="-1"/>
          <w:sz w:val="21"/>
          <w:szCs w:val="21"/>
        </w:rPr>
        <w:t>承包人应当按照专用合同条款第</w:t>
      </w:r>
      <w:r>
        <w:rPr>
          <w:rFonts w:ascii="宋体" w:hAnsi="宋体" w:eastAsia="宋体" w:cs="宋体"/>
          <w:spacing w:val="-13"/>
          <w:sz w:val="21"/>
          <w:szCs w:val="21"/>
        </w:rPr>
        <w:t xml:space="preserve"> </w:t>
      </w:r>
      <w:r>
        <w:rPr>
          <w:rFonts w:ascii="宋体" w:hAnsi="宋体" w:eastAsia="宋体" w:cs="宋体"/>
          <w:spacing w:val="-1"/>
          <w:sz w:val="21"/>
          <w:szCs w:val="21"/>
        </w:rPr>
        <w:t>17.2.2</w:t>
      </w:r>
      <w:r>
        <w:rPr>
          <w:rFonts w:ascii="宋体" w:hAnsi="宋体" w:eastAsia="宋体" w:cs="宋体"/>
          <w:spacing w:val="-33"/>
          <w:sz w:val="21"/>
          <w:szCs w:val="21"/>
        </w:rPr>
        <w:t xml:space="preserve"> </w:t>
      </w:r>
      <w:r>
        <w:rPr>
          <w:rFonts w:ascii="宋体" w:hAnsi="宋体" w:eastAsia="宋体" w:cs="宋体"/>
          <w:spacing w:val="-1"/>
          <w:sz w:val="21"/>
          <w:szCs w:val="21"/>
        </w:rPr>
        <w:t>项约定的金额和时间以及发包人在本工程招标</w:t>
      </w:r>
      <w:r>
        <w:rPr>
          <w:rFonts w:ascii="宋体" w:hAnsi="宋体" w:eastAsia="宋体" w:cs="宋体"/>
          <w:spacing w:val="3"/>
          <w:sz w:val="21"/>
          <w:szCs w:val="21"/>
        </w:rPr>
        <w:t>文件中规定的或者其他经过发包人事先认可的格式向发包人递交一份无条件</w:t>
      </w:r>
      <w:r>
        <w:rPr>
          <w:rFonts w:ascii="宋体" w:hAnsi="宋体" w:eastAsia="宋体" w:cs="宋体"/>
          <w:spacing w:val="2"/>
          <w:sz w:val="21"/>
          <w:szCs w:val="21"/>
        </w:rPr>
        <w:t>兑付的和不可</w:t>
      </w:r>
      <w:r>
        <w:rPr>
          <w:rFonts w:ascii="宋体" w:hAnsi="宋体" w:eastAsia="宋体" w:cs="宋体"/>
          <w:spacing w:val="-4"/>
          <w:sz w:val="21"/>
          <w:szCs w:val="21"/>
        </w:rPr>
        <w:t>撤销的预付款保函。</w:t>
      </w:r>
    </w:p>
    <w:p w14:paraId="6BFBFB47">
      <w:pPr>
        <w:spacing w:before="26" w:line="218" w:lineRule="auto"/>
        <w:ind w:left="455"/>
        <w:rPr>
          <w:rFonts w:ascii="黑体" w:hAnsi="黑体" w:eastAsia="黑体" w:cs="黑体"/>
          <w:sz w:val="21"/>
          <w:szCs w:val="21"/>
        </w:rPr>
      </w:pPr>
      <w:r>
        <w:rPr>
          <w:rFonts w:ascii="黑体" w:hAnsi="黑体" w:eastAsia="黑体" w:cs="黑体"/>
          <w:spacing w:val="-2"/>
          <w:sz w:val="21"/>
          <w:szCs w:val="21"/>
        </w:rPr>
        <w:t>17.2.5</w:t>
      </w:r>
      <w:r>
        <w:rPr>
          <w:rFonts w:ascii="黑体" w:hAnsi="黑体" w:eastAsia="黑体" w:cs="黑体"/>
          <w:spacing w:val="-30"/>
          <w:sz w:val="21"/>
          <w:szCs w:val="21"/>
        </w:rPr>
        <w:t xml:space="preserve"> </w:t>
      </w:r>
      <w:r>
        <w:rPr>
          <w:rFonts w:ascii="黑体" w:hAnsi="黑体" w:eastAsia="黑体" w:cs="黑体"/>
          <w:spacing w:val="-2"/>
          <w:sz w:val="21"/>
          <w:szCs w:val="21"/>
        </w:rPr>
        <w:t>预付款保函的有效期</w:t>
      </w:r>
    </w:p>
    <w:p w14:paraId="51BA7FA8">
      <w:pPr>
        <w:spacing w:before="143" w:line="345" w:lineRule="auto"/>
        <w:ind w:left="26" w:right="100" w:firstLine="419"/>
        <w:rPr>
          <w:rFonts w:ascii="宋体" w:hAnsi="宋体" w:eastAsia="宋体" w:cs="宋体"/>
          <w:sz w:val="21"/>
          <w:szCs w:val="21"/>
        </w:rPr>
      </w:pPr>
      <w:r>
        <w:rPr>
          <w:rFonts w:ascii="宋体" w:hAnsi="宋体" w:eastAsia="宋体" w:cs="宋体"/>
          <w:spacing w:val="3"/>
          <w:sz w:val="21"/>
          <w:szCs w:val="21"/>
        </w:rPr>
        <w:t>预付款保函的有效期应当自预付款支付给承包人之日起至发包人签认的进度付</w:t>
      </w:r>
      <w:r>
        <w:rPr>
          <w:rFonts w:ascii="宋体" w:hAnsi="宋体" w:eastAsia="宋体" w:cs="宋体"/>
          <w:spacing w:val="2"/>
          <w:sz w:val="21"/>
          <w:szCs w:val="21"/>
        </w:rPr>
        <w:t>款证书</w:t>
      </w:r>
      <w:r>
        <w:rPr>
          <w:rFonts w:ascii="宋体" w:hAnsi="宋体" w:eastAsia="宋体" w:cs="宋体"/>
          <w:spacing w:val="-3"/>
          <w:sz w:val="21"/>
          <w:szCs w:val="21"/>
        </w:rPr>
        <w:t>说明预付款已完全扣清之日止。</w:t>
      </w:r>
    </w:p>
    <w:p w14:paraId="55EB658E">
      <w:pPr>
        <w:spacing w:before="25" w:line="218" w:lineRule="auto"/>
        <w:ind w:left="455"/>
        <w:rPr>
          <w:rFonts w:ascii="黑体" w:hAnsi="黑体" w:eastAsia="黑体" w:cs="黑体"/>
          <w:sz w:val="21"/>
          <w:szCs w:val="21"/>
        </w:rPr>
      </w:pPr>
      <w:r>
        <w:rPr>
          <w:rFonts w:ascii="黑体" w:hAnsi="黑体" w:eastAsia="黑体" w:cs="黑体"/>
          <w:spacing w:val="-2"/>
          <w:sz w:val="21"/>
          <w:szCs w:val="21"/>
        </w:rPr>
        <w:t>17.2.6</w:t>
      </w:r>
      <w:r>
        <w:rPr>
          <w:rFonts w:ascii="黑体" w:hAnsi="黑体" w:eastAsia="黑体" w:cs="黑体"/>
          <w:spacing w:val="-33"/>
          <w:sz w:val="21"/>
          <w:szCs w:val="21"/>
        </w:rPr>
        <w:t xml:space="preserve"> </w:t>
      </w:r>
      <w:r>
        <w:rPr>
          <w:rFonts w:ascii="黑体" w:hAnsi="黑体" w:eastAsia="黑体" w:cs="黑体"/>
          <w:spacing w:val="-2"/>
          <w:sz w:val="21"/>
          <w:szCs w:val="21"/>
        </w:rPr>
        <w:t>发包人的通知义务</w:t>
      </w:r>
    </w:p>
    <w:p w14:paraId="7E3D6219">
      <w:pPr>
        <w:spacing w:before="143" w:line="347" w:lineRule="auto"/>
        <w:ind w:left="29" w:right="82" w:firstLine="418"/>
        <w:rPr>
          <w:rFonts w:ascii="宋体" w:hAnsi="宋体" w:eastAsia="宋体" w:cs="宋体"/>
          <w:sz w:val="21"/>
          <w:szCs w:val="21"/>
        </w:rPr>
      </w:pPr>
      <w:r>
        <w:rPr>
          <w:rFonts w:ascii="宋体" w:hAnsi="宋体" w:eastAsia="宋体" w:cs="宋体"/>
          <w:spacing w:val="-2"/>
          <w:sz w:val="21"/>
          <w:szCs w:val="21"/>
        </w:rPr>
        <w:t>不管保函条款中如何约定，发包人根据担保提出索赔或兑现要求</w:t>
      </w:r>
      <w:r>
        <w:rPr>
          <w:rFonts w:ascii="宋体" w:hAnsi="宋体" w:eastAsia="宋体" w:cs="宋体"/>
          <w:spacing w:val="-3"/>
          <w:sz w:val="21"/>
          <w:szCs w:val="21"/>
        </w:rPr>
        <w:t>之前，均应通知承包人</w:t>
      </w:r>
      <w:r>
        <w:rPr>
          <w:rFonts w:ascii="宋体" w:hAnsi="宋体" w:eastAsia="宋体" w:cs="宋体"/>
          <w:spacing w:val="-2"/>
          <w:sz w:val="21"/>
          <w:szCs w:val="21"/>
        </w:rPr>
        <w:t>并说明导致此类索赔或兑现的原因，但此类通知不应理解为是</w:t>
      </w:r>
      <w:r>
        <w:rPr>
          <w:rFonts w:ascii="宋体" w:hAnsi="宋体" w:eastAsia="宋体" w:cs="宋体"/>
          <w:spacing w:val="-3"/>
          <w:sz w:val="21"/>
          <w:szCs w:val="21"/>
        </w:rPr>
        <w:t>在任何意义上寻求承包人的同</w:t>
      </w:r>
      <w:r>
        <w:rPr>
          <w:rFonts w:ascii="宋体" w:hAnsi="宋体" w:eastAsia="宋体" w:cs="宋体"/>
          <w:spacing w:val="-11"/>
          <w:sz w:val="21"/>
          <w:szCs w:val="21"/>
        </w:rPr>
        <w:t>意。</w:t>
      </w:r>
    </w:p>
    <w:p w14:paraId="7D886DCF">
      <w:pPr>
        <w:spacing w:before="16" w:line="219" w:lineRule="auto"/>
        <w:ind w:left="455"/>
        <w:rPr>
          <w:rFonts w:ascii="黑体" w:hAnsi="黑体" w:eastAsia="黑体" w:cs="黑体"/>
          <w:sz w:val="21"/>
          <w:szCs w:val="21"/>
        </w:rPr>
      </w:pPr>
      <w:r>
        <w:rPr>
          <w:rFonts w:ascii="黑体" w:hAnsi="黑体" w:eastAsia="黑体" w:cs="黑体"/>
          <w:spacing w:val="-2"/>
          <w:sz w:val="21"/>
          <w:szCs w:val="21"/>
        </w:rPr>
        <w:t>17.2.7</w:t>
      </w:r>
      <w:r>
        <w:rPr>
          <w:rFonts w:ascii="黑体" w:hAnsi="黑体" w:eastAsia="黑体" w:cs="黑体"/>
          <w:spacing w:val="-32"/>
          <w:sz w:val="21"/>
          <w:szCs w:val="21"/>
        </w:rPr>
        <w:t xml:space="preserve"> </w:t>
      </w:r>
      <w:r>
        <w:rPr>
          <w:rFonts w:ascii="黑体" w:hAnsi="黑体" w:eastAsia="黑体" w:cs="黑体"/>
          <w:spacing w:val="-2"/>
          <w:sz w:val="21"/>
          <w:szCs w:val="21"/>
        </w:rPr>
        <w:t>预付款保函的退还</w:t>
      </w:r>
    </w:p>
    <w:p w14:paraId="5B99F5E2">
      <w:pPr>
        <w:spacing w:line="219" w:lineRule="auto"/>
        <w:rPr>
          <w:rFonts w:ascii="黑体" w:hAnsi="黑体" w:eastAsia="黑体" w:cs="黑体"/>
          <w:sz w:val="21"/>
          <w:szCs w:val="21"/>
        </w:rPr>
        <w:sectPr>
          <w:footerReference r:id="rId128" w:type="default"/>
          <w:pgSz w:w="11910" w:h="16845"/>
          <w:pgMar w:top="400" w:right="1697" w:bottom="1110" w:left="1786" w:header="0" w:footer="883" w:gutter="0"/>
          <w:cols w:space="720" w:num="1"/>
        </w:sectPr>
      </w:pPr>
    </w:p>
    <w:p w14:paraId="270E95E9">
      <w:pPr>
        <w:pStyle w:val="2"/>
        <w:spacing w:line="275" w:lineRule="auto"/>
      </w:pPr>
    </w:p>
    <w:p w14:paraId="389FC05D">
      <w:pPr>
        <w:pStyle w:val="2"/>
        <w:spacing w:line="275" w:lineRule="auto"/>
      </w:pPr>
    </w:p>
    <w:p w14:paraId="7034D495">
      <w:pPr>
        <w:pStyle w:val="2"/>
        <w:spacing w:line="275" w:lineRule="auto"/>
      </w:pPr>
    </w:p>
    <w:p w14:paraId="118887B8">
      <w:pPr>
        <w:pStyle w:val="2"/>
        <w:spacing w:line="275" w:lineRule="auto"/>
      </w:pPr>
    </w:p>
    <w:p w14:paraId="230FF2A7">
      <w:pPr>
        <w:spacing w:before="69" w:line="332" w:lineRule="auto"/>
        <w:ind w:left="25" w:right="6" w:firstLine="421"/>
        <w:rPr>
          <w:rFonts w:ascii="宋体" w:hAnsi="宋体" w:eastAsia="宋体" w:cs="宋体"/>
          <w:sz w:val="21"/>
          <w:szCs w:val="21"/>
        </w:rPr>
      </w:pPr>
      <w:r>
        <w:rPr>
          <w:rFonts w:ascii="宋体" w:hAnsi="宋体" w:eastAsia="宋体" w:cs="宋体"/>
          <w:spacing w:val="-1"/>
          <w:sz w:val="21"/>
          <w:szCs w:val="21"/>
        </w:rPr>
        <w:t>预付款保函应在发包人签认的进度付款证书说明预付款已完全扣清之日后</w:t>
      </w:r>
      <w:r>
        <w:rPr>
          <w:rFonts w:ascii="宋体" w:hAnsi="宋体" w:eastAsia="宋体" w:cs="宋体"/>
          <w:spacing w:val="-21"/>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天内退还</w:t>
      </w:r>
      <w:r>
        <w:rPr>
          <w:rFonts w:ascii="宋体" w:hAnsi="宋体" w:eastAsia="宋体" w:cs="宋体"/>
          <w:sz w:val="21"/>
          <w:szCs w:val="21"/>
        </w:rPr>
        <w:t>给承包人。发包人不承担承包人与预付款保</w:t>
      </w:r>
      <w:r>
        <w:rPr>
          <w:rFonts w:ascii="宋体" w:hAnsi="宋体" w:eastAsia="宋体" w:cs="宋体"/>
          <w:spacing w:val="-1"/>
          <w:sz w:val="21"/>
          <w:szCs w:val="21"/>
        </w:rPr>
        <w:t>函有关的任何利息或其它类似的费用或者收益。</w:t>
      </w:r>
    </w:p>
    <w:p w14:paraId="118F0235">
      <w:pPr>
        <w:spacing w:line="232" w:lineRule="auto"/>
        <w:ind w:left="44"/>
        <w:outlineLvl w:val="1"/>
        <w:rPr>
          <w:rFonts w:ascii="黑体" w:hAnsi="黑体" w:eastAsia="黑体" w:cs="黑体"/>
          <w:sz w:val="24"/>
          <w:szCs w:val="24"/>
        </w:rPr>
      </w:pPr>
      <w:bookmarkStart w:id="301" w:name="bookmark260"/>
      <w:bookmarkEnd w:id="301"/>
      <w:r>
        <w:rPr>
          <w:rFonts w:ascii="Times New Roman" w:hAnsi="Times New Roman" w:eastAsia="Times New Roman" w:cs="Times New Roman"/>
          <w:spacing w:val="-3"/>
          <w:sz w:val="24"/>
          <w:szCs w:val="24"/>
        </w:rPr>
        <w:t xml:space="preserve">17.3 </w:t>
      </w:r>
      <w:r>
        <w:rPr>
          <w:rFonts w:ascii="黑体" w:hAnsi="黑体" w:eastAsia="黑体" w:cs="黑体"/>
          <w:spacing w:val="-3"/>
          <w:sz w:val="24"/>
          <w:szCs w:val="24"/>
        </w:rPr>
        <w:t>工程进度付款</w:t>
      </w:r>
    </w:p>
    <w:p w14:paraId="61AB8185">
      <w:pPr>
        <w:spacing w:before="158" w:line="219" w:lineRule="auto"/>
        <w:ind w:left="455"/>
        <w:rPr>
          <w:rFonts w:ascii="黑体" w:hAnsi="黑体" w:eastAsia="黑体" w:cs="黑体"/>
          <w:sz w:val="21"/>
          <w:szCs w:val="21"/>
        </w:rPr>
      </w:pPr>
      <w:r>
        <w:rPr>
          <w:rFonts w:ascii="黑体" w:hAnsi="黑体" w:eastAsia="黑体" w:cs="黑体"/>
          <w:spacing w:val="-2"/>
          <w:sz w:val="21"/>
          <w:szCs w:val="21"/>
        </w:rPr>
        <w:t>17.3.2</w:t>
      </w:r>
      <w:r>
        <w:rPr>
          <w:rFonts w:ascii="黑体" w:hAnsi="黑体" w:eastAsia="黑体" w:cs="黑体"/>
          <w:spacing w:val="-35"/>
          <w:sz w:val="21"/>
          <w:szCs w:val="21"/>
        </w:rPr>
        <w:t xml:space="preserve"> </w:t>
      </w:r>
      <w:r>
        <w:rPr>
          <w:rFonts w:ascii="黑体" w:hAnsi="黑体" w:eastAsia="黑体" w:cs="黑体"/>
          <w:spacing w:val="-2"/>
          <w:sz w:val="21"/>
          <w:szCs w:val="21"/>
        </w:rPr>
        <w:t>进度付款申请单</w:t>
      </w:r>
    </w:p>
    <w:p w14:paraId="79164144">
      <w:pPr>
        <w:spacing w:before="141" w:line="220" w:lineRule="auto"/>
        <w:jc w:val="right"/>
        <w:rPr>
          <w:rFonts w:ascii="宋体" w:hAnsi="宋体" w:eastAsia="宋体" w:cs="宋体"/>
          <w:sz w:val="21"/>
          <w:szCs w:val="21"/>
        </w:rPr>
      </w:pPr>
      <w:r>
        <w:rPr>
          <w:rFonts w:ascii="宋体" w:hAnsi="宋体" w:eastAsia="宋体" w:cs="宋体"/>
          <w:spacing w:val="-11"/>
          <w:sz w:val="21"/>
          <w:szCs w:val="21"/>
        </w:rPr>
        <w:t>进度付款申请单的份数：</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12434493">
      <w:pPr>
        <w:spacing w:before="140" w:line="220" w:lineRule="auto"/>
        <w:jc w:val="right"/>
        <w:rPr>
          <w:rFonts w:ascii="宋体" w:hAnsi="宋体" w:eastAsia="宋体" w:cs="宋体"/>
          <w:sz w:val="21"/>
          <w:szCs w:val="21"/>
        </w:rPr>
      </w:pPr>
      <w:r>
        <w:rPr>
          <w:rFonts w:ascii="宋体" w:hAnsi="宋体" w:eastAsia="宋体" w:cs="宋体"/>
          <w:spacing w:val="-11"/>
          <w:sz w:val="21"/>
          <w:szCs w:val="21"/>
        </w:rPr>
        <w:t>进度付款申请单的内容：</w:t>
      </w:r>
      <w:r>
        <w:rPr>
          <w:rFonts w:ascii="宋体" w:hAnsi="宋体" w:eastAsia="宋体" w:cs="宋体"/>
          <w:sz w:val="21"/>
          <w:szCs w:val="21"/>
          <w:u w:val="single" w:color="auto"/>
        </w:rPr>
        <w:t xml:space="preserve">                                                     </w:t>
      </w:r>
      <w:r>
        <w:rPr>
          <w:rFonts w:ascii="宋体" w:hAnsi="宋体" w:eastAsia="宋体" w:cs="宋体"/>
          <w:spacing w:val="-11"/>
          <w:sz w:val="21"/>
          <w:szCs w:val="21"/>
        </w:rPr>
        <w:t>。</w:t>
      </w:r>
    </w:p>
    <w:p w14:paraId="31E126E5">
      <w:pPr>
        <w:spacing w:before="185" w:line="219" w:lineRule="auto"/>
        <w:ind w:left="455"/>
        <w:rPr>
          <w:rFonts w:ascii="黑体" w:hAnsi="黑体" w:eastAsia="黑体" w:cs="黑体"/>
          <w:sz w:val="21"/>
          <w:szCs w:val="21"/>
        </w:rPr>
      </w:pPr>
      <w:r>
        <w:rPr>
          <w:rFonts w:ascii="黑体" w:hAnsi="黑体" w:eastAsia="黑体" w:cs="黑体"/>
          <w:spacing w:val="-2"/>
          <w:sz w:val="21"/>
          <w:szCs w:val="21"/>
        </w:rPr>
        <w:t>17.3.3</w:t>
      </w:r>
      <w:r>
        <w:rPr>
          <w:rFonts w:ascii="黑体" w:hAnsi="黑体" w:eastAsia="黑体" w:cs="黑体"/>
          <w:spacing w:val="-26"/>
          <w:sz w:val="21"/>
          <w:szCs w:val="21"/>
        </w:rPr>
        <w:t xml:space="preserve"> </w:t>
      </w:r>
      <w:r>
        <w:rPr>
          <w:rFonts w:ascii="黑体" w:hAnsi="黑体" w:eastAsia="黑体" w:cs="黑体"/>
          <w:spacing w:val="-2"/>
          <w:sz w:val="21"/>
          <w:szCs w:val="21"/>
        </w:rPr>
        <w:t>进度付款证书和支付时间</w:t>
      </w:r>
    </w:p>
    <w:p w14:paraId="58DE75D5">
      <w:pPr>
        <w:spacing w:before="142" w:line="343" w:lineRule="auto"/>
        <w:ind w:left="24" w:right="66" w:firstLine="457"/>
        <w:jc w:val="both"/>
        <w:rPr>
          <w:rFonts w:ascii="宋体" w:hAnsi="宋体" w:eastAsia="宋体" w:cs="宋体"/>
          <w:sz w:val="21"/>
          <w:szCs w:val="21"/>
        </w:rPr>
      </w:pPr>
      <w:r>
        <w:rPr>
          <w:rFonts w:ascii="宋体" w:hAnsi="宋体" w:eastAsia="宋体" w:cs="宋体"/>
          <w:spacing w:val="3"/>
          <w:sz w:val="21"/>
          <w:szCs w:val="21"/>
        </w:rPr>
        <w:t>(2)发包人未按专用合同条款第</w:t>
      </w:r>
      <w:r>
        <w:rPr>
          <w:rFonts w:ascii="宋体" w:hAnsi="宋体" w:eastAsia="宋体" w:cs="宋体"/>
          <w:spacing w:val="37"/>
          <w:sz w:val="21"/>
          <w:szCs w:val="21"/>
        </w:rPr>
        <w:t xml:space="preserve"> </w:t>
      </w:r>
      <w:r>
        <w:rPr>
          <w:rFonts w:ascii="宋体" w:hAnsi="宋体" w:eastAsia="宋体" w:cs="宋体"/>
          <w:spacing w:val="3"/>
          <w:sz w:val="21"/>
          <w:szCs w:val="21"/>
        </w:rPr>
        <w:t>17.2.1(2)</w:t>
      </w:r>
      <w:r>
        <w:rPr>
          <w:rFonts w:ascii="宋体" w:hAnsi="宋体" w:eastAsia="宋体" w:cs="宋体"/>
          <w:spacing w:val="-41"/>
          <w:sz w:val="21"/>
          <w:szCs w:val="21"/>
        </w:rPr>
        <w:t xml:space="preserve"> </w:t>
      </w:r>
      <w:r>
        <w:rPr>
          <w:rFonts w:ascii="宋体" w:hAnsi="宋体" w:eastAsia="宋体" w:cs="宋体"/>
          <w:spacing w:val="3"/>
          <w:sz w:val="21"/>
          <w:szCs w:val="21"/>
        </w:rPr>
        <w:t>目、通用合</w:t>
      </w:r>
      <w:r>
        <w:rPr>
          <w:rFonts w:ascii="宋体" w:hAnsi="宋体" w:eastAsia="宋体" w:cs="宋体"/>
          <w:spacing w:val="-46"/>
          <w:sz w:val="21"/>
          <w:szCs w:val="21"/>
        </w:rPr>
        <w:t xml:space="preserve"> </w:t>
      </w:r>
      <w:r>
        <w:rPr>
          <w:rFonts w:ascii="宋体" w:hAnsi="宋体" w:eastAsia="宋体" w:cs="宋体"/>
          <w:spacing w:val="3"/>
          <w:sz w:val="21"/>
          <w:szCs w:val="21"/>
        </w:rPr>
        <w:t>同</w:t>
      </w:r>
      <w:r>
        <w:rPr>
          <w:rFonts w:ascii="宋体" w:hAnsi="宋体" w:eastAsia="宋体" w:cs="宋体"/>
          <w:spacing w:val="2"/>
          <w:sz w:val="21"/>
          <w:szCs w:val="21"/>
        </w:rPr>
        <w:t>条款第</w:t>
      </w:r>
      <w:r>
        <w:rPr>
          <w:rFonts w:ascii="宋体" w:hAnsi="宋体" w:eastAsia="宋体" w:cs="宋体"/>
          <w:spacing w:val="39"/>
          <w:sz w:val="21"/>
          <w:szCs w:val="21"/>
        </w:rPr>
        <w:t xml:space="preserve"> </w:t>
      </w:r>
      <w:r>
        <w:rPr>
          <w:rFonts w:ascii="宋体" w:hAnsi="宋体" w:eastAsia="宋体" w:cs="宋体"/>
          <w:spacing w:val="2"/>
          <w:sz w:val="21"/>
          <w:szCs w:val="21"/>
        </w:rPr>
        <w:t>17.3.3(2)</w:t>
      </w:r>
      <w:r>
        <w:rPr>
          <w:rFonts w:ascii="宋体" w:hAnsi="宋体" w:eastAsia="宋体" w:cs="宋体"/>
          <w:spacing w:val="-41"/>
          <w:sz w:val="21"/>
          <w:szCs w:val="21"/>
        </w:rPr>
        <w:t xml:space="preserve"> </w:t>
      </w:r>
      <w:r>
        <w:rPr>
          <w:rFonts w:ascii="宋体" w:hAnsi="宋体" w:eastAsia="宋体" w:cs="宋体"/>
          <w:spacing w:val="2"/>
          <w:sz w:val="21"/>
          <w:szCs w:val="21"/>
        </w:rPr>
        <w:t>目、第</w:t>
      </w:r>
      <w:r>
        <w:rPr>
          <w:rFonts w:ascii="宋体" w:hAnsi="宋体" w:eastAsia="宋体" w:cs="宋体"/>
          <w:spacing w:val="-2"/>
          <w:sz w:val="21"/>
          <w:szCs w:val="21"/>
        </w:rPr>
        <w:t>17.5.2(2)</w:t>
      </w:r>
      <w:r>
        <w:rPr>
          <w:rFonts w:ascii="宋体" w:hAnsi="宋体" w:eastAsia="宋体" w:cs="宋体"/>
          <w:spacing w:val="-50"/>
          <w:sz w:val="21"/>
          <w:szCs w:val="21"/>
        </w:rPr>
        <w:t xml:space="preserve"> </w:t>
      </w:r>
      <w:r>
        <w:rPr>
          <w:rFonts w:ascii="宋体" w:hAnsi="宋体" w:eastAsia="宋体" w:cs="宋体"/>
          <w:spacing w:val="-2"/>
          <w:sz w:val="21"/>
          <w:szCs w:val="21"/>
        </w:rPr>
        <w:t>目和第 17.6.2(2)</w:t>
      </w:r>
      <w:r>
        <w:rPr>
          <w:rFonts w:ascii="宋体" w:hAnsi="宋体" w:eastAsia="宋体" w:cs="宋体"/>
          <w:spacing w:val="-56"/>
          <w:sz w:val="21"/>
          <w:szCs w:val="21"/>
        </w:rPr>
        <w:t xml:space="preserve"> </w:t>
      </w:r>
      <w:r>
        <w:rPr>
          <w:rFonts w:ascii="宋体" w:hAnsi="宋体" w:eastAsia="宋体" w:cs="宋体"/>
          <w:spacing w:val="-2"/>
          <w:sz w:val="21"/>
          <w:szCs w:val="21"/>
        </w:rPr>
        <w:t>目约定的期限支付承包人依合同约定应当得到的款项，应当从</w:t>
      </w:r>
      <w:r>
        <w:rPr>
          <w:rFonts w:ascii="宋体" w:hAnsi="宋体" w:eastAsia="宋体" w:cs="宋体"/>
          <w:spacing w:val="1"/>
          <w:sz w:val="21"/>
          <w:szCs w:val="21"/>
        </w:rPr>
        <w:t>应付之日起向承包人支付逾期付款违约金。承包人应当按通用合同条款第 23.1(1)</w:t>
      </w:r>
      <w:r>
        <w:rPr>
          <w:rFonts w:ascii="宋体" w:hAnsi="宋体" w:eastAsia="宋体" w:cs="宋体"/>
          <w:spacing w:val="-42"/>
          <w:sz w:val="21"/>
          <w:szCs w:val="21"/>
        </w:rPr>
        <w:t xml:space="preserve"> </w:t>
      </w:r>
      <w:r>
        <w:rPr>
          <w:rFonts w:ascii="宋体" w:hAnsi="宋体" w:eastAsia="宋体" w:cs="宋体"/>
          <w:spacing w:val="1"/>
          <w:sz w:val="21"/>
          <w:szCs w:val="21"/>
        </w:rPr>
        <w:t>目的约</w:t>
      </w:r>
      <w:r>
        <w:rPr>
          <w:rFonts w:ascii="宋体" w:hAnsi="宋体" w:eastAsia="宋体" w:cs="宋体"/>
          <w:sz w:val="21"/>
          <w:szCs w:val="21"/>
        </w:rPr>
        <w:t>定，在最终付款期限到期后</w:t>
      </w:r>
      <w:r>
        <w:rPr>
          <w:rFonts w:ascii="宋体" w:hAnsi="宋体" w:eastAsia="宋体" w:cs="宋体"/>
          <w:spacing w:val="-36"/>
          <w:sz w:val="21"/>
          <w:szCs w:val="21"/>
        </w:rPr>
        <w:t xml:space="preserve"> </w:t>
      </w:r>
      <w:r>
        <w:rPr>
          <w:rFonts w:ascii="宋体" w:hAnsi="宋体" w:eastAsia="宋体" w:cs="宋体"/>
          <w:sz w:val="21"/>
          <w:szCs w:val="21"/>
        </w:rPr>
        <w:t>28</w:t>
      </w:r>
      <w:r>
        <w:rPr>
          <w:rFonts w:ascii="宋体" w:hAnsi="宋体" w:eastAsia="宋体" w:cs="宋体"/>
          <w:spacing w:val="-33"/>
          <w:sz w:val="21"/>
          <w:szCs w:val="21"/>
        </w:rPr>
        <w:t xml:space="preserve"> </w:t>
      </w:r>
      <w:r>
        <w:rPr>
          <w:rFonts w:ascii="宋体" w:hAnsi="宋体" w:eastAsia="宋体" w:cs="宋体"/>
          <w:sz w:val="21"/>
          <w:szCs w:val="21"/>
        </w:rPr>
        <w:t>天内，向监理人递交索赔</w:t>
      </w:r>
      <w:r>
        <w:rPr>
          <w:rFonts w:ascii="宋体" w:hAnsi="宋体" w:eastAsia="宋体" w:cs="宋体"/>
          <w:spacing w:val="-1"/>
          <w:sz w:val="21"/>
          <w:szCs w:val="21"/>
        </w:rPr>
        <w:t>意向通知书，说明有权得到按本款</w:t>
      </w:r>
      <w:r>
        <w:rPr>
          <w:rFonts w:ascii="宋体" w:hAnsi="宋体" w:eastAsia="宋体" w:cs="宋体"/>
          <w:spacing w:val="-2"/>
          <w:sz w:val="21"/>
          <w:szCs w:val="21"/>
        </w:rPr>
        <w:t>约定的下列标准和方法计算的逾期付款违约金。承包人要求发包人支付逾期付款违约金不影</w:t>
      </w:r>
      <w:r>
        <w:rPr>
          <w:rFonts w:ascii="宋体" w:hAnsi="宋体" w:eastAsia="宋体" w:cs="宋体"/>
          <w:spacing w:val="-1"/>
          <w:sz w:val="21"/>
          <w:szCs w:val="21"/>
        </w:rPr>
        <w:t>响承包人要求发包人承担通用合同条款第</w:t>
      </w:r>
      <w:r>
        <w:rPr>
          <w:rFonts w:ascii="宋体" w:hAnsi="宋体" w:eastAsia="宋体" w:cs="宋体"/>
          <w:spacing w:val="-37"/>
          <w:sz w:val="21"/>
          <w:szCs w:val="21"/>
        </w:rPr>
        <w:t xml:space="preserve"> </w:t>
      </w:r>
      <w:r>
        <w:rPr>
          <w:rFonts w:ascii="宋体" w:hAnsi="宋体" w:eastAsia="宋体" w:cs="宋体"/>
          <w:spacing w:val="-1"/>
          <w:sz w:val="21"/>
          <w:szCs w:val="21"/>
        </w:rPr>
        <w:t>22.2</w:t>
      </w:r>
      <w:r>
        <w:rPr>
          <w:rFonts w:ascii="宋体" w:hAnsi="宋体" w:eastAsia="宋体" w:cs="宋体"/>
          <w:spacing w:val="-36"/>
          <w:sz w:val="21"/>
          <w:szCs w:val="21"/>
        </w:rPr>
        <w:t xml:space="preserve"> </w:t>
      </w:r>
      <w:r>
        <w:rPr>
          <w:rFonts w:ascii="宋体" w:hAnsi="宋体" w:eastAsia="宋体" w:cs="宋体"/>
          <w:spacing w:val="-1"/>
          <w:sz w:val="21"/>
          <w:szCs w:val="21"/>
        </w:rPr>
        <w:t>款约定的其他违</w:t>
      </w:r>
      <w:r>
        <w:rPr>
          <w:rFonts w:ascii="宋体" w:hAnsi="宋体" w:eastAsia="宋体" w:cs="宋体"/>
          <w:spacing w:val="-2"/>
          <w:sz w:val="21"/>
          <w:szCs w:val="21"/>
        </w:rPr>
        <w:t>约责任的权利。</w:t>
      </w:r>
    </w:p>
    <w:p w14:paraId="26E5E9B1">
      <w:pPr>
        <w:spacing w:line="219" w:lineRule="auto"/>
        <w:ind w:left="443"/>
        <w:rPr>
          <w:rFonts w:ascii="宋体" w:hAnsi="宋体" w:eastAsia="宋体" w:cs="宋体"/>
          <w:sz w:val="21"/>
          <w:szCs w:val="21"/>
        </w:rPr>
      </w:pPr>
      <w:r>
        <w:rPr>
          <w:rFonts w:ascii="宋体" w:hAnsi="宋体" w:eastAsia="宋体" w:cs="宋体"/>
          <w:spacing w:val="-5"/>
          <w:sz w:val="21"/>
          <w:szCs w:val="21"/>
        </w:rPr>
        <w:t>逾     期     付</w:t>
      </w:r>
      <w:r>
        <w:rPr>
          <w:rFonts w:ascii="宋体" w:hAnsi="宋体" w:eastAsia="宋体" w:cs="宋体"/>
          <w:spacing w:val="17"/>
          <w:sz w:val="21"/>
          <w:szCs w:val="21"/>
        </w:rPr>
        <w:t xml:space="preserve">    </w:t>
      </w:r>
      <w:r>
        <w:rPr>
          <w:rFonts w:ascii="宋体" w:hAnsi="宋体" w:eastAsia="宋体" w:cs="宋体"/>
          <w:spacing w:val="-5"/>
          <w:sz w:val="21"/>
          <w:szCs w:val="21"/>
        </w:rPr>
        <w:t xml:space="preserve">款     违     约  </w:t>
      </w:r>
      <w:r>
        <w:rPr>
          <w:rFonts w:ascii="宋体" w:hAnsi="宋体" w:eastAsia="宋体" w:cs="宋体"/>
          <w:spacing w:val="-6"/>
          <w:sz w:val="21"/>
          <w:szCs w:val="21"/>
        </w:rPr>
        <w:t xml:space="preserve">   金     的     计     算     标     准</w:t>
      </w:r>
    </w:p>
    <w:p w14:paraId="56154E3E">
      <w:pPr>
        <w:spacing w:before="141" w:line="221" w:lineRule="auto"/>
        <w:ind w:left="26"/>
        <w:rPr>
          <w:rFonts w:ascii="宋体" w:hAnsi="宋体" w:eastAsia="宋体" w:cs="宋体"/>
          <w:sz w:val="21"/>
          <w:szCs w:val="21"/>
        </w:rPr>
      </w:pPr>
      <w:r>
        <w:rPr>
          <w:rFonts w:ascii="宋体" w:hAnsi="宋体" w:eastAsia="宋体" w:cs="宋体"/>
          <w:spacing w:val="-4"/>
          <w:sz w:val="21"/>
          <w:szCs w:val="21"/>
        </w:rPr>
        <w:t>为：</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43B76420">
      <w:pPr>
        <w:spacing w:before="139" w:line="220" w:lineRule="auto"/>
        <w:ind w:left="443"/>
        <w:rPr>
          <w:rFonts w:ascii="宋体" w:hAnsi="宋体" w:eastAsia="宋体" w:cs="宋体"/>
          <w:sz w:val="21"/>
          <w:szCs w:val="21"/>
        </w:rPr>
      </w:pPr>
      <w:r>
        <w:rPr>
          <w:rFonts w:ascii="宋体" w:hAnsi="宋体" w:eastAsia="宋体" w:cs="宋体"/>
          <w:spacing w:val="-1"/>
          <w:sz w:val="21"/>
          <w:szCs w:val="21"/>
        </w:rPr>
        <w:t>逾期付款违约金的计算方法为：</w:t>
      </w:r>
      <w:r>
        <w:rPr>
          <w:rFonts w:ascii="宋体" w:hAnsi="宋体" w:eastAsia="宋体" w:cs="宋体"/>
          <w:sz w:val="21"/>
          <w:szCs w:val="21"/>
          <w:u w:val="single" w:color="auto"/>
        </w:rPr>
        <w:t xml:space="preserve">                                                </w:t>
      </w:r>
    </w:p>
    <w:p w14:paraId="152864C8">
      <w:pPr>
        <w:spacing w:before="276" w:line="45" w:lineRule="exact"/>
        <w:jc w:val="right"/>
        <w:rPr>
          <w:rFonts w:ascii="宋体" w:hAnsi="宋体" w:eastAsia="宋体" w:cs="宋体"/>
          <w:sz w:val="21"/>
          <w:szCs w:val="21"/>
        </w:rPr>
      </w:pPr>
      <w:r>
        <w:pict>
          <v:shape id="_x0000_s1040" o:spid="_x0000_s1040" o:spt="202" type="#_x0000_t202" style="position:absolute;left:0pt;margin-left:20.8pt;margin-top:7.05pt;height:14.1pt;width:391pt;z-index:251682816;mso-width-relative:page;mso-height-relative:page;" filled="f" stroked="f" coordsize="21600,21600">
            <v:path/>
            <v:fill on="f" focussize="0,0"/>
            <v:stroke on="f"/>
            <v:imagedata o:title=""/>
            <o:lock v:ext="edit" aspectratio="f"/>
            <v:textbox inset="0mm,0mm,0mm,0mm">
              <w:txbxContent>
                <w:p w14:paraId="1CDD29AB">
                  <w:pPr>
                    <w:pStyle w:val="2"/>
                    <w:tabs>
                      <w:tab w:val="left" w:pos="7799"/>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723A4EAE">
      <w:pPr>
        <w:spacing w:before="209" w:line="219" w:lineRule="auto"/>
        <w:jc w:val="right"/>
        <w:rPr>
          <w:rFonts w:ascii="宋体" w:hAnsi="宋体" w:eastAsia="宋体" w:cs="宋体"/>
          <w:sz w:val="21"/>
          <w:szCs w:val="21"/>
        </w:rPr>
      </w:pPr>
      <w:r>
        <w:rPr>
          <w:rFonts w:ascii="宋体" w:hAnsi="宋体" w:eastAsia="宋体" w:cs="宋体"/>
          <w:spacing w:val="-4"/>
          <w:sz w:val="21"/>
          <w:szCs w:val="21"/>
        </w:rPr>
        <w:t>(4)进度付款涉及政府性资金的支付方法：</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w:t>
      </w:r>
    </w:p>
    <w:p w14:paraId="7128A1EC">
      <w:pPr>
        <w:spacing w:before="172" w:line="220" w:lineRule="auto"/>
        <w:ind w:left="455"/>
        <w:rPr>
          <w:rFonts w:ascii="黑体" w:hAnsi="黑体" w:eastAsia="黑体" w:cs="黑体"/>
          <w:sz w:val="21"/>
          <w:szCs w:val="21"/>
        </w:rPr>
      </w:pPr>
      <w:r>
        <w:rPr>
          <w:rFonts w:ascii="黑体" w:hAnsi="黑体" w:eastAsia="黑体" w:cs="黑体"/>
          <w:spacing w:val="-3"/>
          <w:sz w:val="21"/>
          <w:szCs w:val="21"/>
        </w:rPr>
        <w:t>17.3.5</w:t>
      </w:r>
      <w:r>
        <w:rPr>
          <w:rFonts w:ascii="黑体" w:hAnsi="黑体" w:eastAsia="黑体" w:cs="黑体"/>
          <w:spacing w:val="-24"/>
          <w:sz w:val="21"/>
          <w:szCs w:val="21"/>
        </w:rPr>
        <w:t xml:space="preserve"> </w:t>
      </w:r>
      <w:r>
        <w:rPr>
          <w:rFonts w:ascii="黑体" w:hAnsi="黑体" w:eastAsia="黑体" w:cs="黑体"/>
          <w:spacing w:val="-3"/>
          <w:sz w:val="21"/>
          <w:szCs w:val="21"/>
        </w:rPr>
        <w:t>临时付款证书</w:t>
      </w:r>
    </w:p>
    <w:p w14:paraId="7CA5CA9A">
      <w:pPr>
        <w:spacing w:before="141" w:line="343" w:lineRule="auto"/>
        <w:ind w:left="24" w:right="66" w:firstLine="419"/>
        <w:rPr>
          <w:rFonts w:ascii="宋体" w:hAnsi="宋体" w:eastAsia="宋体" w:cs="宋体"/>
          <w:sz w:val="21"/>
          <w:szCs w:val="21"/>
        </w:rPr>
      </w:pPr>
      <w:r>
        <w:rPr>
          <w:rFonts w:ascii="宋体" w:hAnsi="宋体" w:eastAsia="宋体" w:cs="宋体"/>
          <w:spacing w:val="-2"/>
          <w:sz w:val="21"/>
          <w:szCs w:val="21"/>
        </w:rPr>
        <w:t>在合同约定的期限内，承包人和监理人无法对当期已完工程量和按合同约定</w:t>
      </w:r>
      <w:r>
        <w:rPr>
          <w:rFonts w:ascii="宋体" w:hAnsi="宋体" w:eastAsia="宋体" w:cs="宋体"/>
          <w:spacing w:val="-3"/>
          <w:sz w:val="21"/>
          <w:szCs w:val="21"/>
        </w:rPr>
        <w:t>应当支付的</w:t>
      </w:r>
      <w:r>
        <w:rPr>
          <w:rFonts w:ascii="宋体" w:hAnsi="宋体" w:eastAsia="宋体" w:cs="宋体"/>
          <w:sz w:val="21"/>
          <w:szCs w:val="21"/>
        </w:rPr>
        <w:t>其他款项达成一致的，监理人应当在收到承包</w:t>
      </w:r>
      <w:r>
        <w:rPr>
          <w:rFonts w:ascii="宋体" w:hAnsi="宋体" w:eastAsia="宋体" w:cs="宋体"/>
          <w:spacing w:val="-1"/>
          <w:sz w:val="21"/>
          <w:szCs w:val="21"/>
        </w:rPr>
        <w:t>人报送的进度付款申请单等文件后</w:t>
      </w:r>
      <w:r>
        <w:rPr>
          <w:rFonts w:ascii="宋体" w:hAnsi="宋体" w:eastAsia="宋体" w:cs="宋体"/>
          <w:spacing w:val="-29"/>
          <w:sz w:val="21"/>
          <w:szCs w:val="21"/>
        </w:rPr>
        <w:t xml:space="preserve"> </w:t>
      </w:r>
      <w:r>
        <w:rPr>
          <w:rFonts w:ascii="宋体" w:hAnsi="宋体" w:eastAsia="宋体" w:cs="宋体"/>
          <w:spacing w:val="-1"/>
          <w:sz w:val="21"/>
          <w:szCs w:val="21"/>
        </w:rPr>
        <w:t>14</w:t>
      </w:r>
      <w:r>
        <w:rPr>
          <w:rFonts w:ascii="宋体" w:hAnsi="宋体" w:eastAsia="宋体" w:cs="宋体"/>
          <w:spacing w:val="-32"/>
          <w:sz w:val="21"/>
          <w:szCs w:val="21"/>
        </w:rPr>
        <w:t xml:space="preserve"> </w:t>
      </w:r>
      <w:r>
        <w:rPr>
          <w:rFonts w:ascii="宋体" w:hAnsi="宋体" w:eastAsia="宋体" w:cs="宋体"/>
          <w:spacing w:val="-1"/>
          <w:sz w:val="21"/>
          <w:szCs w:val="21"/>
        </w:rPr>
        <w:t>天内，</w:t>
      </w:r>
      <w:r>
        <w:rPr>
          <w:rFonts w:ascii="宋体" w:hAnsi="宋体" w:eastAsia="宋体" w:cs="宋体"/>
          <w:spacing w:val="-2"/>
          <w:sz w:val="21"/>
          <w:szCs w:val="21"/>
        </w:rPr>
        <w:t>就承包人没有异议的金额准备一个临时付款证书，报送发包人审查。临时付款证书中应当说明承包人有异议部分的金额及其原因，经发包人签认后，由监理人向承包人出具临时付款证</w:t>
      </w:r>
      <w:r>
        <w:rPr>
          <w:rFonts w:ascii="宋体" w:hAnsi="宋体" w:eastAsia="宋体" w:cs="宋体"/>
          <w:sz w:val="21"/>
          <w:szCs w:val="21"/>
        </w:rPr>
        <w:t>书。发包人应当在监理人收到进度付款申请单后</w:t>
      </w:r>
      <w:r>
        <w:rPr>
          <w:rFonts w:ascii="宋体" w:hAnsi="宋体" w:eastAsia="宋体" w:cs="宋体"/>
          <w:spacing w:val="-39"/>
          <w:sz w:val="21"/>
          <w:szCs w:val="21"/>
        </w:rPr>
        <w:t xml:space="preserve"> </w:t>
      </w:r>
      <w:r>
        <w:rPr>
          <w:rFonts w:ascii="宋体" w:hAnsi="宋体" w:eastAsia="宋体" w:cs="宋体"/>
          <w:sz w:val="21"/>
          <w:szCs w:val="21"/>
        </w:rPr>
        <w:t>28</w:t>
      </w:r>
      <w:r>
        <w:rPr>
          <w:rFonts w:ascii="宋体" w:hAnsi="宋体" w:eastAsia="宋体" w:cs="宋体"/>
          <w:spacing w:val="-32"/>
          <w:sz w:val="21"/>
          <w:szCs w:val="21"/>
        </w:rPr>
        <w:t xml:space="preserve"> </w:t>
      </w:r>
      <w:r>
        <w:rPr>
          <w:rFonts w:ascii="宋体" w:hAnsi="宋体" w:eastAsia="宋体" w:cs="宋体"/>
          <w:sz w:val="21"/>
          <w:szCs w:val="21"/>
        </w:rPr>
        <w:t>天内</w:t>
      </w:r>
      <w:r>
        <w:rPr>
          <w:rFonts w:ascii="宋体" w:hAnsi="宋体" w:eastAsia="宋体" w:cs="宋体"/>
          <w:spacing w:val="-1"/>
          <w:sz w:val="21"/>
          <w:szCs w:val="21"/>
        </w:rPr>
        <w:t>，将临时付款证书中确定的应付金额支付给承包人。发包人和监理人均不得以任何理由延期支付工程进度付款。</w:t>
      </w:r>
    </w:p>
    <w:p w14:paraId="6CE93949">
      <w:pPr>
        <w:spacing w:before="1" w:line="343" w:lineRule="auto"/>
        <w:ind w:left="22" w:right="67" w:firstLine="421"/>
        <w:jc w:val="both"/>
        <w:rPr>
          <w:rFonts w:ascii="宋体" w:hAnsi="宋体" w:eastAsia="宋体" w:cs="宋体"/>
          <w:sz w:val="21"/>
          <w:szCs w:val="21"/>
        </w:rPr>
      </w:pPr>
      <w:r>
        <w:rPr>
          <w:rFonts w:ascii="宋体" w:hAnsi="宋体" w:eastAsia="宋体" w:cs="宋体"/>
          <w:spacing w:val="-2"/>
          <w:sz w:val="21"/>
          <w:szCs w:val="21"/>
        </w:rPr>
        <w:t>对临时付款证书中列明的承包人有异议部分的金额，承包人应当按照监理人</w:t>
      </w:r>
      <w:r>
        <w:rPr>
          <w:rFonts w:ascii="宋体" w:hAnsi="宋体" w:eastAsia="宋体" w:cs="宋体"/>
          <w:spacing w:val="-3"/>
          <w:sz w:val="21"/>
          <w:szCs w:val="21"/>
        </w:rPr>
        <w:t>要求，提交进一步的支持性文件和</w:t>
      </w:r>
      <w:r>
        <w:rPr>
          <w:rFonts w:ascii="宋体" w:hAnsi="宋体" w:eastAsia="宋体" w:cs="宋体"/>
          <w:spacing w:val="-62"/>
          <w:sz w:val="21"/>
          <w:szCs w:val="21"/>
        </w:rPr>
        <w:t xml:space="preserve"> </w:t>
      </w:r>
      <w:r>
        <w:rPr>
          <w:rFonts w:ascii="宋体" w:hAnsi="宋体" w:eastAsia="宋体" w:cs="宋体"/>
          <w:spacing w:val="-3"/>
          <w:sz w:val="21"/>
          <w:szCs w:val="21"/>
        </w:rPr>
        <w:t>(或)与监理人做进一步共同复核工作，经监理人进一步审核并认</w:t>
      </w:r>
      <w:r>
        <w:rPr>
          <w:rFonts w:ascii="宋体" w:hAnsi="宋体" w:eastAsia="宋体" w:cs="宋体"/>
          <w:spacing w:val="-4"/>
          <w:sz w:val="21"/>
          <w:szCs w:val="21"/>
        </w:rPr>
        <w:t>可的</w:t>
      </w:r>
      <w:r>
        <w:rPr>
          <w:rFonts w:ascii="宋体" w:hAnsi="宋体" w:eastAsia="宋体" w:cs="宋体"/>
          <w:spacing w:val="-1"/>
          <w:sz w:val="21"/>
          <w:szCs w:val="21"/>
        </w:rPr>
        <w:t>应付金额，应当按通用合同条款第</w:t>
      </w:r>
      <w:r>
        <w:rPr>
          <w:rFonts w:ascii="宋体" w:hAnsi="宋体" w:eastAsia="宋体" w:cs="宋体"/>
          <w:spacing w:val="-8"/>
          <w:sz w:val="21"/>
          <w:szCs w:val="21"/>
        </w:rPr>
        <w:t xml:space="preserve"> </w:t>
      </w:r>
      <w:r>
        <w:rPr>
          <w:rFonts w:ascii="宋体" w:hAnsi="宋体" w:eastAsia="宋体" w:cs="宋体"/>
          <w:spacing w:val="-1"/>
          <w:sz w:val="21"/>
          <w:szCs w:val="21"/>
        </w:rPr>
        <w:t>17.3.4</w:t>
      </w:r>
      <w:r>
        <w:rPr>
          <w:rFonts w:ascii="宋体" w:hAnsi="宋体" w:eastAsia="宋体" w:cs="宋体"/>
          <w:spacing w:val="-33"/>
          <w:sz w:val="21"/>
          <w:szCs w:val="21"/>
        </w:rPr>
        <w:t xml:space="preserve"> </w:t>
      </w:r>
      <w:r>
        <w:rPr>
          <w:rFonts w:ascii="宋体" w:hAnsi="宋体" w:eastAsia="宋体" w:cs="宋体"/>
          <w:spacing w:val="-1"/>
          <w:sz w:val="21"/>
          <w:szCs w:val="21"/>
        </w:rPr>
        <w:t>项的约定纳入到下一期进度付款证书中。经过进</w:t>
      </w:r>
      <w:r>
        <w:rPr>
          <w:rFonts w:ascii="宋体" w:hAnsi="宋体" w:eastAsia="宋体" w:cs="宋体"/>
          <w:spacing w:val="-2"/>
          <w:sz w:val="21"/>
          <w:szCs w:val="21"/>
        </w:rPr>
        <w:t>一步努力，承包人仍有异议的，按合同条款第</w:t>
      </w:r>
      <w:r>
        <w:rPr>
          <w:rFonts w:ascii="宋体" w:hAnsi="宋体" w:eastAsia="宋体" w:cs="宋体"/>
          <w:spacing w:val="-21"/>
          <w:sz w:val="21"/>
          <w:szCs w:val="21"/>
        </w:rPr>
        <w:t xml:space="preserve"> </w:t>
      </w:r>
      <w:r>
        <w:rPr>
          <w:rFonts w:ascii="宋体" w:hAnsi="宋体" w:eastAsia="宋体" w:cs="宋体"/>
          <w:spacing w:val="-2"/>
          <w:sz w:val="21"/>
          <w:szCs w:val="21"/>
        </w:rPr>
        <w:t>24</w:t>
      </w:r>
      <w:r>
        <w:rPr>
          <w:rFonts w:ascii="宋体" w:hAnsi="宋体" w:eastAsia="宋体" w:cs="宋体"/>
          <w:spacing w:val="-36"/>
          <w:sz w:val="21"/>
          <w:szCs w:val="21"/>
        </w:rPr>
        <w:t xml:space="preserve"> </w:t>
      </w:r>
      <w:r>
        <w:rPr>
          <w:rFonts w:ascii="宋体" w:hAnsi="宋体" w:eastAsia="宋体" w:cs="宋体"/>
          <w:spacing w:val="-2"/>
          <w:sz w:val="21"/>
          <w:szCs w:val="21"/>
        </w:rPr>
        <w:t>条的约定办理。</w:t>
      </w:r>
    </w:p>
    <w:p w14:paraId="638F04B8">
      <w:pPr>
        <w:spacing w:before="2" w:line="335" w:lineRule="auto"/>
        <w:ind w:left="25" w:right="66" w:firstLine="420"/>
        <w:jc w:val="both"/>
        <w:rPr>
          <w:rFonts w:ascii="宋体" w:hAnsi="宋体" w:eastAsia="宋体" w:cs="宋体"/>
          <w:sz w:val="21"/>
          <w:szCs w:val="21"/>
        </w:rPr>
      </w:pPr>
      <w:r>
        <w:rPr>
          <w:rFonts w:ascii="宋体" w:hAnsi="宋体" w:eastAsia="宋体" w:cs="宋体"/>
          <w:sz w:val="21"/>
          <w:szCs w:val="21"/>
        </w:rPr>
        <w:t>有异议款项中经监理人进一步审核后认可的或者经过合</w:t>
      </w:r>
      <w:r>
        <w:rPr>
          <w:rFonts w:ascii="宋体" w:hAnsi="宋体" w:eastAsia="宋体" w:cs="宋体"/>
          <w:spacing w:val="-1"/>
          <w:sz w:val="21"/>
          <w:szCs w:val="21"/>
        </w:rPr>
        <w:t>同条款第</w:t>
      </w:r>
      <w:r>
        <w:rPr>
          <w:rFonts w:ascii="宋体" w:hAnsi="宋体" w:eastAsia="宋体" w:cs="宋体"/>
          <w:spacing w:val="-41"/>
          <w:sz w:val="21"/>
          <w:szCs w:val="21"/>
        </w:rPr>
        <w:t xml:space="preserve"> </w:t>
      </w:r>
      <w:r>
        <w:rPr>
          <w:rFonts w:ascii="宋体" w:hAnsi="宋体" w:eastAsia="宋体" w:cs="宋体"/>
          <w:spacing w:val="-1"/>
          <w:sz w:val="21"/>
          <w:szCs w:val="21"/>
        </w:rPr>
        <w:t>24</w:t>
      </w:r>
      <w:r>
        <w:rPr>
          <w:rFonts w:ascii="宋体" w:hAnsi="宋体" w:eastAsia="宋体" w:cs="宋体"/>
          <w:spacing w:val="-34"/>
          <w:sz w:val="21"/>
          <w:szCs w:val="21"/>
        </w:rPr>
        <w:t xml:space="preserve"> </w:t>
      </w:r>
      <w:r>
        <w:rPr>
          <w:rFonts w:ascii="宋体" w:hAnsi="宋体" w:eastAsia="宋体" w:cs="宋体"/>
          <w:spacing w:val="-1"/>
          <w:sz w:val="21"/>
          <w:szCs w:val="21"/>
        </w:rPr>
        <w:t>条约定的争议解决</w:t>
      </w:r>
      <w:r>
        <w:rPr>
          <w:rFonts w:ascii="宋体" w:hAnsi="宋体" w:eastAsia="宋体" w:cs="宋体"/>
          <w:spacing w:val="-2"/>
          <w:sz w:val="21"/>
          <w:szCs w:val="21"/>
        </w:rPr>
        <w:t>方式确定的应付金额，其应付之日为引发异议的进度付款证书的应付之日，承包人有权</w:t>
      </w:r>
      <w:r>
        <w:rPr>
          <w:rFonts w:ascii="宋体" w:hAnsi="宋体" w:eastAsia="宋体" w:cs="宋体"/>
          <w:spacing w:val="-3"/>
          <w:sz w:val="21"/>
          <w:szCs w:val="21"/>
        </w:rPr>
        <w:t>得到按专用合同条款</w:t>
      </w:r>
      <w:r>
        <w:rPr>
          <w:rFonts w:ascii="宋体" w:hAnsi="宋体" w:eastAsia="宋体" w:cs="宋体"/>
          <w:spacing w:val="-23"/>
          <w:sz w:val="21"/>
          <w:szCs w:val="21"/>
        </w:rPr>
        <w:t xml:space="preserve"> </w:t>
      </w:r>
      <w:r>
        <w:rPr>
          <w:rFonts w:ascii="宋体" w:hAnsi="宋体" w:eastAsia="宋体" w:cs="宋体"/>
          <w:spacing w:val="-3"/>
          <w:sz w:val="21"/>
          <w:szCs w:val="21"/>
        </w:rPr>
        <w:t>17.3.3(2)</w:t>
      </w:r>
      <w:r>
        <w:rPr>
          <w:rFonts w:ascii="宋体" w:hAnsi="宋体" w:eastAsia="宋体" w:cs="宋体"/>
          <w:spacing w:val="-55"/>
          <w:sz w:val="21"/>
          <w:szCs w:val="21"/>
        </w:rPr>
        <w:t xml:space="preserve"> </w:t>
      </w:r>
      <w:r>
        <w:rPr>
          <w:rFonts w:ascii="宋体" w:hAnsi="宋体" w:eastAsia="宋体" w:cs="宋体"/>
          <w:spacing w:val="-3"/>
          <w:sz w:val="21"/>
          <w:szCs w:val="21"/>
        </w:rPr>
        <w:t>目约定计算的</w:t>
      </w:r>
      <w:r>
        <w:rPr>
          <w:rFonts w:ascii="宋体" w:hAnsi="宋体" w:eastAsia="宋体" w:cs="宋体"/>
          <w:spacing w:val="-4"/>
          <w:sz w:val="21"/>
          <w:szCs w:val="21"/>
        </w:rPr>
        <w:t>逾期付款违约金。</w:t>
      </w:r>
    </w:p>
    <w:p w14:paraId="2D924783">
      <w:pPr>
        <w:spacing w:before="1" w:line="233" w:lineRule="auto"/>
        <w:ind w:left="44"/>
        <w:outlineLvl w:val="1"/>
        <w:rPr>
          <w:rFonts w:ascii="黑体" w:hAnsi="黑体" w:eastAsia="黑体" w:cs="黑体"/>
          <w:sz w:val="24"/>
          <w:szCs w:val="24"/>
        </w:rPr>
      </w:pPr>
      <w:bookmarkStart w:id="302" w:name="bookmark261"/>
      <w:bookmarkEnd w:id="302"/>
      <w:r>
        <w:rPr>
          <w:rFonts w:ascii="Times New Roman" w:hAnsi="Times New Roman" w:eastAsia="Times New Roman" w:cs="Times New Roman"/>
          <w:spacing w:val="-3"/>
          <w:sz w:val="24"/>
          <w:szCs w:val="24"/>
        </w:rPr>
        <w:t xml:space="preserve">17.4 </w:t>
      </w:r>
      <w:r>
        <w:rPr>
          <w:rFonts w:ascii="黑体" w:hAnsi="黑体" w:eastAsia="黑体" w:cs="黑体"/>
          <w:spacing w:val="-3"/>
          <w:sz w:val="24"/>
          <w:szCs w:val="24"/>
        </w:rPr>
        <w:t>质量保证金</w:t>
      </w:r>
    </w:p>
    <w:p w14:paraId="509BC215">
      <w:pPr>
        <w:spacing w:before="128" w:line="344" w:lineRule="auto"/>
        <w:ind w:left="41" w:right="58" w:firstLine="418"/>
        <w:rPr>
          <w:rFonts w:ascii="宋体" w:hAnsi="宋体" w:eastAsia="宋体" w:cs="宋体"/>
          <w:sz w:val="21"/>
          <w:szCs w:val="21"/>
        </w:rPr>
      </w:pPr>
      <w:r>
        <w:rPr>
          <w:rFonts w:ascii="宋体" w:hAnsi="宋体" w:eastAsia="宋体" w:cs="宋体"/>
          <w:sz w:val="21"/>
          <w:szCs w:val="21"/>
        </w:rPr>
        <w:t>17.4.1 质量保证金由监理人从第一个付款周期开始按进度付款证书</w:t>
      </w:r>
      <w:r>
        <w:rPr>
          <w:rFonts w:ascii="宋体" w:hAnsi="宋体" w:eastAsia="宋体" w:cs="宋体"/>
          <w:spacing w:val="-1"/>
          <w:sz w:val="21"/>
          <w:szCs w:val="21"/>
        </w:rPr>
        <w:t>确认的已实施工程</w:t>
      </w:r>
      <w:r>
        <w:rPr>
          <w:rFonts w:ascii="宋体" w:hAnsi="宋体" w:eastAsia="宋体" w:cs="宋体"/>
          <w:spacing w:val="-4"/>
          <w:sz w:val="21"/>
          <w:szCs w:val="21"/>
        </w:rPr>
        <w:t>的价款、根据合同条款第</w:t>
      </w:r>
      <w:r>
        <w:rPr>
          <w:rFonts w:ascii="宋体" w:hAnsi="宋体" w:eastAsia="宋体" w:cs="宋体"/>
          <w:spacing w:val="-22"/>
          <w:sz w:val="21"/>
          <w:szCs w:val="21"/>
        </w:rPr>
        <w:t xml:space="preserve"> </w:t>
      </w:r>
      <w:r>
        <w:rPr>
          <w:rFonts w:ascii="宋体" w:hAnsi="宋体" w:eastAsia="宋体" w:cs="宋体"/>
          <w:spacing w:val="-4"/>
          <w:sz w:val="21"/>
          <w:szCs w:val="21"/>
        </w:rPr>
        <w:t>15</w:t>
      </w:r>
      <w:r>
        <w:rPr>
          <w:rFonts w:ascii="宋体" w:hAnsi="宋体" w:eastAsia="宋体" w:cs="宋体"/>
          <w:spacing w:val="-35"/>
          <w:sz w:val="21"/>
          <w:szCs w:val="21"/>
        </w:rPr>
        <w:t xml:space="preserve"> </w:t>
      </w:r>
      <w:r>
        <w:rPr>
          <w:rFonts w:ascii="宋体" w:hAnsi="宋体" w:eastAsia="宋体" w:cs="宋体"/>
          <w:spacing w:val="-4"/>
          <w:sz w:val="21"/>
          <w:szCs w:val="21"/>
        </w:rPr>
        <w:t>条增加和扣减的变更金额、根据合同条款第</w:t>
      </w:r>
      <w:r>
        <w:rPr>
          <w:rFonts w:ascii="宋体" w:hAnsi="宋体" w:eastAsia="宋体" w:cs="宋体"/>
          <w:spacing w:val="-37"/>
          <w:sz w:val="21"/>
          <w:szCs w:val="21"/>
        </w:rPr>
        <w:t xml:space="preserve"> </w:t>
      </w:r>
      <w:r>
        <w:rPr>
          <w:rFonts w:ascii="宋体" w:hAnsi="宋体" w:eastAsia="宋体" w:cs="宋体"/>
          <w:spacing w:val="-4"/>
          <w:sz w:val="21"/>
          <w:szCs w:val="21"/>
        </w:rPr>
        <w:t>23</w:t>
      </w:r>
      <w:r>
        <w:rPr>
          <w:rFonts w:ascii="宋体" w:hAnsi="宋体" w:eastAsia="宋体" w:cs="宋体"/>
          <w:spacing w:val="-35"/>
          <w:sz w:val="21"/>
          <w:szCs w:val="21"/>
        </w:rPr>
        <w:t xml:space="preserve"> </w:t>
      </w:r>
      <w:r>
        <w:rPr>
          <w:rFonts w:ascii="宋体" w:hAnsi="宋体" w:eastAsia="宋体" w:cs="宋体"/>
          <w:spacing w:val="-5"/>
          <w:sz w:val="21"/>
          <w:szCs w:val="21"/>
        </w:rPr>
        <w:t>条增加和扣减的</w:t>
      </w:r>
    </w:p>
    <w:p w14:paraId="4837A7EB">
      <w:pPr>
        <w:spacing w:line="344" w:lineRule="auto"/>
        <w:rPr>
          <w:rFonts w:ascii="宋体" w:hAnsi="宋体" w:eastAsia="宋体" w:cs="宋体"/>
          <w:sz w:val="21"/>
          <w:szCs w:val="21"/>
        </w:rPr>
        <w:sectPr>
          <w:footerReference r:id="rId129" w:type="default"/>
          <w:pgSz w:w="11910" w:h="16845"/>
          <w:pgMar w:top="400" w:right="1712" w:bottom="1110" w:left="1786" w:header="0" w:footer="883" w:gutter="0"/>
          <w:cols w:space="720" w:num="1"/>
        </w:sectPr>
      </w:pPr>
    </w:p>
    <w:p w14:paraId="5765DA90">
      <w:pPr>
        <w:pStyle w:val="2"/>
        <w:spacing w:line="274" w:lineRule="auto"/>
      </w:pPr>
    </w:p>
    <w:p w14:paraId="4A2FFF26">
      <w:pPr>
        <w:pStyle w:val="2"/>
        <w:spacing w:line="274" w:lineRule="auto"/>
      </w:pPr>
    </w:p>
    <w:p w14:paraId="4B3EF953">
      <w:pPr>
        <w:pStyle w:val="2"/>
        <w:spacing w:line="275" w:lineRule="auto"/>
      </w:pPr>
    </w:p>
    <w:p w14:paraId="22E99BFE">
      <w:pPr>
        <w:pStyle w:val="2"/>
        <w:spacing w:line="275" w:lineRule="auto"/>
      </w:pPr>
    </w:p>
    <w:p w14:paraId="297899A3">
      <w:pPr>
        <w:spacing w:before="69" w:line="338" w:lineRule="auto"/>
        <w:ind w:left="24" w:right="72" w:firstLine="4"/>
        <w:jc w:val="both"/>
        <w:rPr>
          <w:rFonts w:ascii="宋体" w:hAnsi="宋体" w:eastAsia="宋体" w:cs="宋体"/>
          <w:sz w:val="21"/>
          <w:szCs w:val="21"/>
        </w:rPr>
      </w:pPr>
      <w:r>
        <w:rPr>
          <w:rFonts w:ascii="宋体" w:hAnsi="宋体" w:eastAsia="宋体" w:cs="宋体"/>
          <w:sz w:val="21"/>
          <w:szCs w:val="21"/>
        </w:rPr>
        <w:t>索赔金额以及根据合同应增加和扣减的其他金额(不包括预付款的支付、返还、合同条款第16 条约定的价格调整金额、此前已经按合同约定支付给承包人的进度款以及已经扣留的质</w:t>
      </w:r>
      <w:r>
        <w:rPr>
          <w:rFonts w:ascii="宋体" w:hAnsi="宋体" w:eastAsia="宋体" w:cs="宋体"/>
          <w:spacing w:val="-2"/>
          <w:sz w:val="21"/>
          <w:szCs w:val="21"/>
        </w:rPr>
        <w:t>量保证金)的总额的百分之一点五(1.5％)扣留，直至质量保证金累计扣留金额达到签约合同价的百分之一点五(1.5％)为止。</w:t>
      </w:r>
    </w:p>
    <w:p w14:paraId="6622556F">
      <w:pPr>
        <w:spacing w:before="1" w:line="231" w:lineRule="auto"/>
        <w:ind w:left="44"/>
        <w:outlineLvl w:val="1"/>
        <w:rPr>
          <w:rFonts w:ascii="黑体" w:hAnsi="黑体" w:eastAsia="黑体" w:cs="黑体"/>
          <w:sz w:val="24"/>
          <w:szCs w:val="24"/>
        </w:rPr>
      </w:pPr>
      <w:bookmarkStart w:id="303" w:name="bookmark262"/>
      <w:bookmarkEnd w:id="303"/>
      <w:r>
        <w:rPr>
          <w:rFonts w:ascii="Times New Roman" w:hAnsi="Times New Roman" w:eastAsia="Times New Roman" w:cs="Times New Roman"/>
          <w:spacing w:val="-3"/>
          <w:sz w:val="24"/>
          <w:szCs w:val="24"/>
        </w:rPr>
        <w:t xml:space="preserve">17.5 </w:t>
      </w:r>
      <w:r>
        <w:rPr>
          <w:rFonts w:ascii="黑体" w:hAnsi="黑体" w:eastAsia="黑体" w:cs="黑体"/>
          <w:spacing w:val="-3"/>
          <w:sz w:val="24"/>
          <w:szCs w:val="24"/>
        </w:rPr>
        <w:t>竣工结算</w:t>
      </w:r>
    </w:p>
    <w:p w14:paraId="21D76CA4">
      <w:pPr>
        <w:spacing w:before="129" w:line="218" w:lineRule="auto"/>
        <w:ind w:left="455"/>
        <w:rPr>
          <w:rFonts w:ascii="黑体" w:hAnsi="黑体" w:eastAsia="黑体" w:cs="黑体"/>
          <w:sz w:val="21"/>
          <w:szCs w:val="21"/>
        </w:rPr>
      </w:pPr>
      <w:r>
        <w:rPr>
          <w:rFonts w:ascii="黑体" w:hAnsi="黑体" w:eastAsia="黑体" w:cs="黑体"/>
          <w:spacing w:val="-2"/>
          <w:sz w:val="21"/>
          <w:szCs w:val="21"/>
        </w:rPr>
        <w:t>17.5.1</w:t>
      </w:r>
      <w:r>
        <w:rPr>
          <w:rFonts w:ascii="黑体" w:hAnsi="黑体" w:eastAsia="黑体" w:cs="黑体"/>
          <w:spacing w:val="-35"/>
          <w:sz w:val="21"/>
          <w:szCs w:val="21"/>
        </w:rPr>
        <w:t xml:space="preserve"> </w:t>
      </w:r>
      <w:r>
        <w:rPr>
          <w:rFonts w:ascii="黑体" w:hAnsi="黑体" w:eastAsia="黑体" w:cs="黑体"/>
          <w:spacing w:val="-2"/>
          <w:sz w:val="21"/>
          <w:szCs w:val="21"/>
        </w:rPr>
        <w:t>竣工付款申请单</w:t>
      </w:r>
    </w:p>
    <w:p w14:paraId="3D6DFC24">
      <w:pPr>
        <w:spacing w:before="141" w:line="220" w:lineRule="auto"/>
        <w:jc w:val="right"/>
        <w:rPr>
          <w:rFonts w:ascii="宋体" w:hAnsi="宋体" w:eastAsia="宋体" w:cs="宋体"/>
          <w:sz w:val="21"/>
          <w:szCs w:val="21"/>
        </w:rPr>
      </w:pPr>
      <w:r>
        <w:rPr>
          <w:rFonts w:ascii="宋体" w:hAnsi="宋体" w:eastAsia="宋体" w:cs="宋体"/>
          <w:spacing w:val="-3"/>
          <w:sz w:val="21"/>
          <w:szCs w:val="21"/>
        </w:rPr>
        <w:t>承包人提交竣工付款申请单的份数：</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4EC0F8C0">
      <w:pPr>
        <w:spacing w:before="141" w:line="343" w:lineRule="auto"/>
        <w:ind w:left="444"/>
        <w:jc w:val="both"/>
        <w:rPr>
          <w:rFonts w:ascii="宋体" w:hAnsi="宋体" w:eastAsia="宋体" w:cs="宋体"/>
          <w:sz w:val="21"/>
          <w:szCs w:val="21"/>
        </w:rPr>
      </w:pPr>
      <w:r>
        <w:rPr>
          <w:rFonts w:ascii="宋体" w:hAnsi="宋体" w:eastAsia="宋体" w:cs="宋体"/>
          <w:spacing w:val="-3"/>
          <w:sz w:val="21"/>
          <w:szCs w:val="21"/>
        </w:rPr>
        <w:t>承包人提交竣工付款申请单的期限：</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11"/>
          <w:sz w:val="21"/>
          <w:szCs w:val="21"/>
        </w:rPr>
        <w:t>竣工付款申请单的内容：</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13"/>
          <w:sz w:val="21"/>
          <w:szCs w:val="21"/>
        </w:rPr>
        <w:t>承包人未按本项约定的期限和内容提交竣工付款</w:t>
      </w:r>
      <w:r>
        <w:rPr>
          <w:rFonts w:ascii="宋体" w:hAnsi="宋体" w:eastAsia="宋体" w:cs="宋体"/>
          <w:spacing w:val="-28"/>
          <w:sz w:val="21"/>
          <w:szCs w:val="21"/>
        </w:rPr>
        <w:t xml:space="preserve"> </w:t>
      </w:r>
      <w:r>
        <w:rPr>
          <w:rFonts w:ascii="宋体" w:hAnsi="宋体" w:eastAsia="宋体" w:cs="宋体"/>
          <w:spacing w:val="13"/>
          <w:sz w:val="21"/>
          <w:szCs w:val="21"/>
        </w:rPr>
        <w:t>申请单或者未按通用合同条款第</w:t>
      </w:r>
    </w:p>
    <w:p w14:paraId="09F7CE9A">
      <w:pPr>
        <w:spacing w:line="343" w:lineRule="auto"/>
        <w:ind w:left="25" w:right="57" w:firstLine="14"/>
        <w:jc w:val="both"/>
        <w:rPr>
          <w:rFonts w:ascii="宋体" w:hAnsi="宋体" w:eastAsia="宋体" w:cs="宋体"/>
          <w:sz w:val="21"/>
          <w:szCs w:val="21"/>
        </w:rPr>
      </w:pPr>
      <w:r>
        <w:rPr>
          <w:rFonts w:ascii="宋体" w:hAnsi="宋体" w:eastAsia="宋体" w:cs="宋体"/>
          <w:spacing w:val="-4"/>
          <w:sz w:val="21"/>
          <w:szCs w:val="21"/>
        </w:rPr>
        <w:t>17.5.1(2)</w:t>
      </w:r>
      <w:r>
        <w:rPr>
          <w:rFonts w:ascii="宋体" w:hAnsi="宋体" w:eastAsia="宋体" w:cs="宋体"/>
          <w:spacing w:val="-56"/>
          <w:sz w:val="21"/>
          <w:szCs w:val="21"/>
        </w:rPr>
        <w:t xml:space="preserve"> </w:t>
      </w:r>
      <w:r>
        <w:rPr>
          <w:rFonts w:ascii="宋体" w:hAnsi="宋体" w:eastAsia="宋体" w:cs="宋体"/>
          <w:spacing w:val="-4"/>
          <w:sz w:val="21"/>
          <w:szCs w:val="21"/>
        </w:rPr>
        <w:t>目约定提交修正后的竣工付款申请单，经监理人催促后</w:t>
      </w:r>
      <w:r>
        <w:rPr>
          <w:rFonts w:ascii="宋体" w:hAnsi="宋体" w:eastAsia="宋体" w:cs="宋体"/>
          <w:spacing w:val="-25"/>
          <w:sz w:val="21"/>
          <w:szCs w:val="21"/>
        </w:rPr>
        <w:t xml:space="preserve"> </w:t>
      </w:r>
      <w:r>
        <w:rPr>
          <w:rFonts w:ascii="宋体" w:hAnsi="宋体" w:eastAsia="宋体" w:cs="宋体"/>
          <w:spacing w:val="-4"/>
          <w:sz w:val="21"/>
          <w:szCs w:val="21"/>
        </w:rPr>
        <w:t>14</w:t>
      </w:r>
      <w:r>
        <w:rPr>
          <w:rFonts w:ascii="宋体" w:hAnsi="宋体" w:eastAsia="宋体" w:cs="宋体"/>
          <w:spacing w:val="-32"/>
          <w:sz w:val="21"/>
          <w:szCs w:val="21"/>
        </w:rPr>
        <w:t xml:space="preserve"> </w:t>
      </w:r>
      <w:r>
        <w:rPr>
          <w:rFonts w:ascii="宋体" w:hAnsi="宋体" w:eastAsia="宋体" w:cs="宋体"/>
          <w:spacing w:val="-4"/>
          <w:sz w:val="21"/>
          <w:szCs w:val="21"/>
        </w:rPr>
        <w:t>天内仍未提</w:t>
      </w:r>
      <w:r>
        <w:rPr>
          <w:rFonts w:ascii="宋体" w:hAnsi="宋体" w:eastAsia="宋体" w:cs="宋体"/>
          <w:spacing w:val="-5"/>
          <w:sz w:val="21"/>
          <w:szCs w:val="21"/>
        </w:rPr>
        <w:t>交或者没有</w:t>
      </w:r>
      <w:r>
        <w:rPr>
          <w:rFonts w:ascii="宋体" w:hAnsi="宋体" w:eastAsia="宋体" w:cs="宋体"/>
          <w:spacing w:val="-2"/>
          <w:sz w:val="21"/>
          <w:szCs w:val="21"/>
        </w:rPr>
        <w:t>明确答复的，监理人和发包人有权根据已有资料进行审查，审查确定的竣工结算</w:t>
      </w:r>
      <w:r>
        <w:rPr>
          <w:rFonts w:ascii="宋体" w:hAnsi="宋体" w:eastAsia="宋体" w:cs="宋体"/>
          <w:spacing w:val="-3"/>
          <w:sz w:val="21"/>
          <w:szCs w:val="21"/>
        </w:rPr>
        <w:t>合同总价和</w:t>
      </w:r>
      <w:r>
        <w:rPr>
          <w:rFonts w:ascii="宋体" w:hAnsi="宋体" w:eastAsia="宋体" w:cs="宋体"/>
          <w:spacing w:val="-1"/>
          <w:sz w:val="21"/>
          <w:szCs w:val="21"/>
        </w:rPr>
        <w:t>竣工付款金额视同是经承包人认可的工程竣工结算合同总价和竣工付款金额。</w:t>
      </w:r>
    </w:p>
    <w:p w14:paraId="7FE61344">
      <w:pPr>
        <w:spacing w:before="2" w:line="331" w:lineRule="auto"/>
        <w:ind w:left="23" w:right="74" w:firstLine="424"/>
        <w:rPr>
          <w:rFonts w:ascii="宋体" w:hAnsi="宋体" w:eastAsia="宋体" w:cs="宋体"/>
          <w:sz w:val="21"/>
          <w:szCs w:val="21"/>
        </w:rPr>
      </w:pPr>
      <w:r>
        <w:rPr>
          <w:rFonts w:ascii="宋体" w:hAnsi="宋体" w:eastAsia="宋体" w:cs="宋体"/>
          <w:spacing w:val="-1"/>
          <w:sz w:val="21"/>
          <w:szCs w:val="21"/>
        </w:rPr>
        <w:t>不管通用合同条款</w:t>
      </w:r>
      <w:r>
        <w:rPr>
          <w:rFonts w:ascii="宋体" w:hAnsi="宋体" w:eastAsia="宋体" w:cs="宋体"/>
          <w:spacing w:val="-20"/>
          <w:sz w:val="21"/>
          <w:szCs w:val="21"/>
        </w:rPr>
        <w:t xml:space="preserve"> </w:t>
      </w:r>
      <w:r>
        <w:rPr>
          <w:rFonts w:ascii="宋体" w:hAnsi="宋体" w:eastAsia="宋体" w:cs="宋体"/>
          <w:spacing w:val="-1"/>
          <w:sz w:val="21"/>
          <w:szCs w:val="21"/>
        </w:rPr>
        <w:t>17.5.2</w:t>
      </w:r>
      <w:r>
        <w:rPr>
          <w:rFonts w:ascii="宋体" w:hAnsi="宋体" w:eastAsia="宋体" w:cs="宋体"/>
          <w:spacing w:val="-32"/>
          <w:sz w:val="21"/>
          <w:szCs w:val="21"/>
        </w:rPr>
        <w:t xml:space="preserve"> </w:t>
      </w:r>
      <w:r>
        <w:rPr>
          <w:rFonts w:ascii="宋体" w:hAnsi="宋体" w:eastAsia="宋体" w:cs="宋体"/>
          <w:spacing w:val="-1"/>
          <w:sz w:val="21"/>
          <w:szCs w:val="21"/>
        </w:rPr>
        <w:t>项如何约定，发包人和承包人应当在监理人颁发(出具)工程</w:t>
      </w:r>
      <w:r>
        <w:rPr>
          <w:rFonts w:ascii="宋体" w:hAnsi="宋体" w:eastAsia="宋体" w:cs="宋体"/>
          <w:spacing w:val="-3"/>
          <w:sz w:val="21"/>
          <w:szCs w:val="21"/>
        </w:rPr>
        <w:t>接收证书后</w:t>
      </w:r>
      <w:r>
        <w:rPr>
          <w:rFonts w:ascii="宋体" w:hAnsi="宋体" w:eastAsia="宋体" w:cs="宋体"/>
          <w:spacing w:val="-23"/>
          <w:sz w:val="21"/>
          <w:szCs w:val="21"/>
        </w:rPr>
        <w:t xml:space="preserve"> </w:t>
      </w:r>
      <w:r>
        <w:rPr>
          <w:rFonts w:ascii="宋体" w:hAnsi="宋体" w:eastAsia="宋体" w:cs="宋体"/>
          <w:spacing w:val="-3"/>
          <w:sz w:val="21"/>
          <w:szCs w:val="21"/>
        </w:rPr>
        <w:t>56</w:t>
      </w:r>
      <w:r>
        <w:rPr>
          <w:rFonts w:ascii="宋体" w:hAnsi="宋体" w:eastAsia="宋体" w:cs="宋体"/>
          <w:spacing w:val="-33"/>
          <w:sz w:val="21"/>
          <w:szCs w:val="21"/>
        </w:rPr>
        <w:t xml:space="preserve"> </w:t>
      </w:r>
      <w:r>
        <w:rPr>
          <w:rFonts w:ascii="宋体" w:hAnsi="宋体" w:eastAsia="宋体" w:cs="宋体"/>
          <w:spacing w:val="-3"/>
          <w:sz w:val="21"/>
          <w:szCs w:val="21"/>
        </w:rPr>
        <w:t>天内办清竣工结算和竣工付款。</w:t>
      </w:r>
    </w:p>
    <w:p w14:paraId="7409EE7B">
      <w:pPr>
        <w:spacing w:line="234" w:lineRule="auto"/>
        <w:ind w:left="44"/>
        <w:outlineLvl w:val="2"/>
        <w:rPr>
          <w:rFonts w:ascii="黑体" w:hAnsi="黑体" w:eastAsia="黑体" w:cs="黑体"/>
          <w:sz w:val="24"/>
          <w:szCs w:val="24"/>
        </w:rPr>
      </w:pPr>
      <w:bookmarkStart w:id="304" w:name="bookmark263"/>
      <w:bookmarkEnd w:id="304"/>
      <w:r>
        <w:rPr>
          <w:rFonts w:ascii="Times New Roman" w:hAnsi="Times New Roman" w:eastAsia="Times New Roman" w:cs="Times New Roman"/>
          <w:spacing w:val="-5"/>
          <w:sz w:val="24"/>
          <w:szCs w:val="24"/>
        </w:rPr>
        <w:t>17.6</w:t>
      </w:r>
      <w:r>
        <w:rPr>
          <w:rFonts w:ascii="Times New Roman" w:hAnsi="Times New Roman" w:eastAsia="Times New Roman" w:cs="Times New Roman"/>
          <w:spacing w:val="16"/>
          <w:sz w:val="24"/>
          <w:szCs w:val="24"/>
        </w:rPr>
        <w:t xml:space="preserve"> </w:t>
      </w:r>
      <w:r>
        <w:rPr>
          <w:rFonts w:ascii="黑体" w:hAnsi="黑体" w:eastAsia="黑体" w:cs="黑体"/>
          <w:spacing w:val="-5"/>
          <w:sz w:val="24"/>
          <w:szCs w:val="24"/>
        </w:rPr>
        <w:t>最终结清</w:t>
      </w:r>
    </w:p>
    <w:p w14:paraId="37DA9D6C">
      <w:pPr>
        <w:spacing w:before="141" w:line="220" w:lineRule="auto"/>
        <w:ind w:left="455"/>
        <w:rPr>
          <w:rFonts w:ascii="黑体" w:hAnsi="黑体" w:eastAsia="黑体" w:cs="黑体"/>
          <w:sz w:val="21"/>
          <w:szCs w:val="21"/>
        </w:rPr>
      </w:pPr>
      <w:r>
        <w:rPr>
          <w:rFonts w:ascii="黑体" w:hAnsi="黑体" w:eastAsia="黑体" w:cs="黑体"/>
          <w:spacing w:val="-3"/>
          <w:sz w:val="21"/>
          <w:szCs w:val="21"/>
        </w:rPr>
        <w:t>17.6.1</w:t>
      </w:r>
      <w:r>
        <w:rPr>
          <w:rFonts w:ascii="黑体" w:hAnsi="黑体" w:eastAsia="黑体" w:cs="黑体"/>
          <w:spacing w:val="-21"/>
          <w:sz w:val="21"/>
          <w:szCs w:val="21"/>
        </w:rPr>
        <w:t xml:space="preserve"> </w:t>
      </w:r>
      <w:r>
        <w:rPr>
          <w:rFonts w:ascii="黑体" w:hAnsi="黑体" w:eastAsia="黑体" w:cs="黑体"/>
          <w:spacing w:val="-3"/>
          <w:sz w:val="21"/>
          <w:szCs w:val="21"/>
        </w:rPr>
        <w:t>最终结清申请单</w:t>
      </w:r>
    </w:p>
    <w:p w14:paraId="38E6FAF0">
      <w:pPr>
        <w:spacing w:before="140" w:line="220" w:lineRule="auto"/>
        <w:jc w:val="right"/>
        <w:rPr>
          <w:rFonts w:ascii="宋体" w:hAnsi="宋体" w:eastAsia="宋体" w:cs="宋体"/>
          <w:sz w:val="21"/>
          <w:szCs w:val="21"/>
        </w:rPr>
      </w:pPr>
      <w:r>
        <w:rPr>
          <w:rFonts w:ascii="宋体" w:hAnsi="宋体" w:eastAsia="宋体" w:cs="宋体"/>
          <w:spacing w:val="-3"/>
          <w:sz w:val="21"/>
          <w:szCs w:val="21"/>
        </w:rPr>
        <w:t>承包人提交最终结清申请单的份数：</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0FFC71BA">
      <w:pPr>
        <w:spacing w:before="141" w:line="220" w:lineRule="auto"/>
        <w:jc w:val="right"/>
        <w:rPr>
          <w:rFonts w:ascii="宋体" w:hAnsi="宋体" w:eastAsia="宋体" w:cs="宋体"/>
          <w:sz w:val="21"/>
          <w:szCs w:val="21"/>
        </w:rPr>
      </w:pPr>
      <w:r>
        <w:rPr>
          <w:rFonts w:ascii="宋体" w:hAnsi="宋体" w:eastAsia="宋体" w:cs="宋体"/>
          <w:spacing w:val="-3"/>
          <w:sz w:val="21"/>
          <w:szCs w:val="21"/>
        </w:rPr>
        <w:t>承包人提交最终结清申请单的期限：</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w:t>
      </w:r>
    </w:p>
    <w:p w14:paraId="6E0C83EB">
      <w:pPr>
        <w:spacing w:before="180" w:line="236" w:lineRule="auto"/>
        <w:ind w:left="49"/>
        <w:outlineLvl w:val="1"/>
        <w:rPr>
          <w:rFonts w:ascii="黑体" w:hAnsi="黑体" w:eastAsia="黑体" w:cs="黑体"/>
          <w:sz w:val="28"/>
          <w:szCs w:val="28"/>
        </w:rPr>
      </w:pPr>
      <w:bookmarkStart w:id="305" w:name="bookmark265"/>
      <w:bookmarkEnd w:id="305"/>
      <w:bookmarkStart w:id="306" w:name="bookmark264"/>
      <w:bookmarkEnd w:id="306"/>
      <w:r>
        <w:rPr>
          <w:rFonts w:ascii="Times New Roman" w:hAnsi="Times New Roman" w:eastAsia="Times New Roman" w:cs="Times New Roman"/>
          <w:spacing w:val="1"/>
          <w:sz w:val="28"/>
          <w:szCs w:val="28"/>
        </w:rPr>
        <w:t>18.</w:t>
      </w:r>
      <w:r>
        <w:rPr>
          <w:rFonts w:ascii="黑体" w:hAnsi="黑体" w:eastAsia="黑体" w:cs="黑体"/>
          <w:spacing w:val="1"/>
          <w:sz w:val="28"/>
          <w:szCs w:val="28"/>
        </w:rPr>
        <w:t>竣工验收</w:t>
      </w:r>
    </w:p>
    <w:p w14:paraId="41534841">
      <w:pPr>
        <w:spacing w:before="87" w:line="232" w:lineRule="auto"/>
        <w:ind w:left="44"/>
        <w:outlineLvl w:val="2"/>
        <w:rPr>
          <w:rFonts w:ascii="黑体" w:hAnsi="黑体" w:eastAsia="黑体" w:cs="黑体"/>
          <w:sz w:val="24"/>
          <w:szCs w:val="24"/>
        </w:rPr>
      </w:pPr>
      <w:bookmarkStart w:id="307" w:name="bookmark673"/>
      <w:bookmarkEnd w:id="307"/>
      <w:r>
        <w:rPr>
          <w:rFonts w:ascii="Times New Roman" w:hAnsi="Times New Roman" w:eastAsia="Times New Roman" w:cs="Times New Roman"/>
          <w:spacing w:val="-2"/>
          <w:sz w:val="24"/>
          <w:szCs w:val="24"/>
        </w:rPr>
        <w:t xml:space="preserve">18.2 </w:t>
      </w:r>
      <w:r>
        <w:rPr>
          <w:rFonts w:ascii="黑体" w:hAnsi="黑体" w:eastAsia="黑体" w:cs="黑体"/>
          <w:spacing w:val="-2"/>
          <w:sz w:val="24"/>
          <w:szCs w:val="24"/>
        </w:rPr>
        <w:t>竣工验收申请报告</w:t>
      </w:r>
    </w:p>
    <w:p w14:paraId="638D4DB5">
      <w:pPr>
        <w:spacing w:before="115" w:line="345" w:lineRule="auto"/>
        <w:ind w:left="61" w:right="74" w:firstLine="420"/>
        <w:rPr>
          <w:rFonts w:ascii="宋体" w:hAnsi="宋体" w:eastAsia="宋体" w:cs="宋体"/>
          <w:sz w:val="21"/>
          <w:szCs w:val="21"/>
        </w:rPr>
      </w:pPr>
      <w:r>
        <w:rPr>
          <w:rFonts w:ascii="宋体" w:hAnsi="宋体" w:eastAsia="宋体" w:cs="宋体"/>
          <w:spacing w:val="5"/>
          <w:sz w:val="21"/>
          <w:szCs w:val="21"/>
        </w:rPr>
        <w:t>(2)承包人负责整理和提交的竣工验收资料应当符合工</w:t>
      </w:r>
      <w:r>
        <w:rPr>
          <w:rFonts w:ascii="宋体" w:hAnsi="宋体" w:eastAsia="宋体" w:cs="宋体"/>
          <w:spacing w:val="4"/>
          <w:sz w:val="21"/>
          <w:szCs w:val="21"/>
        </w:rPr>
        <w:t>程所在地建设行政主管部门和</w:t>
      </w:r>
      <w:r>
        <w:rPr>
          <w:rFonts w:ascii="宋体" w:hAnsi="宋体" w:eastAsia="宋体" w:cs="宋体"/>
          <w:spacing w:val="-2"/>
          <w:sz w:val="21"/>
          <w:szCs w:val="21"/>
        </w:rPr>
        <w:t>(或)城市建设档案管理机构有关施工资料的要求，具体内容包括：</w:t>
      </w:r>
      <w:r>
        <w:rPr>
          <w:rFonts w:ascii="宋体" w:hAnsi="宋体" w:eastAsia="宋体" w:cs="宋体"/>
          <w:spacing w:val="-3"/>
          <w:sz w:val="21"/>
          <w:szCs w:val="21"/>
          <w:u w:val="single" w:color="auto"/>
        </w:rPr>
        <w:t xml:space="preserve">                      </w:t>
      </w:r>
    </w:p>
    <w:p w14:paraId="76C168C0">
      <w:pPr>
        <w:spacing w:before="131" w:line="46" w:lineRule="exact"/>
        <w:jc w:val="right"/>
        <w:rPr>
          <w:rFonts w:ascii="宋体" w:hAnsi="宋体" w:eastAsia="宋体" w:cs="宋体"/>
          <w:sz w:val="21"/>
          <w:szCs w:val="21"/>
        </w:rPr>
      </w:pPr>
      <w:r>
        <w:pict>
          <v:shape id="_x0000_s1041" o:spid="_x0000_s1041" o:spt="202" type="#_x0000_t202" style="position:absolute;left:0pt;margin-left:-0.2pt;margin-top:-0.15pt;height:14.1pt;width:412.05pt;z-index:251683840;mso-width-relative:page;mso-height-relative:page;" filled="f" stroked="f" coordsize="21600,21600">
            <v:path/>
            <v:fill on="f" focussize="0,0"/>
            <v:stroke on="f"/>
            <v:imagedata o:title=""/>
            <o:lock v:ext="edit" aspectratio="f"/>
            <v:textbox inset="0mm,0mm,0mm,0mm">
              <w:txbxContent>
                <w:p w14:paraId="41E8098C">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124DD7EC">
      <w:pPr>
        <w:spacing w:before="208" w:line="332" w:lineRule="auto"/>
        <w:ind w:left="445"/>
        <w:rPr>
          <w:rFonts w:ascii="宋体" w:hAnsi="宋体" w:eastAsia="宋体" w:cs="宋体"/>
          <w:sz w:val="21"/>
          <w:szCs w:val="21"/>
        </w:rPr>
      </w:pPr>
      <w:r>
        <w:rPr>
          <w:rFonts w:ascii="宋体" w:hAnsi="宋体" w:eastAsia="宋体" w:cs="宋体"/>
          <w:spacing w:val="-6"/>
          <w:sz w:val="21"/>
          <w:szCs w:val="21"/>
        </w:rPr>
        <w:t>竣工验收资料的份数：</w:t>
      </w:r>
      <w:r>
        <w:rPr>
          <w:rFonts w:ascii="宋体" w:hAnsi="宋体" w:eastAsia="宋体" w:cs="宋体"/>
          <w:spacing w:val="-6"/>
          <w:sz w:val="21"/>
          <w:szCs w:val="21"/>
          <w:u w:val="single" w:color="auto"/>
        </w:rPr>
        <w:t xml:space="preserve">                                     </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5"/>
          <w:sz w:val="21"/>
          <w:szCs w:val="21"/>
        </w:rPr>
        <w:t>竣工验收资料的费用支付方式：</w:t>
      </w:r>
      <w:r>
        <w:rPr>
          <w:rFonts w:ascii="宋体" w:hAnsi="宋体" w:eastAsia="宋体" w:cs="宋体"/>
          <w:spacing w:val="-5"/>
          <w:sz w:val="21"/>
          <w:szCs w:val="21"/>
          <w:u w:val="single" w:color="auto"/>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p>
    <w:p w14:paraId="6CA7E246">
      <w:pPr>
        <w:spacing w:before="1" w:line="232" w:lineRule="auto"/>
        <w:ind w:left="44"/>
        <w:outlineLvl w:val="2"/>
        <w:rPr>
          <w:rFonts w:ascii="黑体" w:hAnsi="黑体" w:eastAsia="黑体" w:cs="黑体"/>
          <w:sz w:val="24"/>
          <w:szCs w:val="24"/>
        </w:rPr>
      </w:pPr>
      <w:bookmarkStart w:id="308" w:name="bookmark266"/>
      <w:bookmarkEnd w:id="308"/>
      <w:r>
        <w:rPr>
          <w:rFonts w:ascii="Times New Roman" w:hAnsi="Times New Roman" w:eastAsia="Times New Roman" w:cs="Times New Roman"/>
          <w:spacing w:val="-6"/>
          <w:sz w:val="24"/>
          <w:szCs w:val="24"/>
        </w:rPr>
        <w:t>18.3</w:t>
      </w:r>
      <w:r>
        <w:rPr>
          <w:rFonts w:ascii="Times New Roman" w:hAnsi="Times New Roman" w:eastAsia="Times New Roman" w:cs="Times New Roman"/>
          <w:spacing w:val="11"/>
          <w:sz w:val="24"/>
          <w:szCs w:val="24"/>
        </w:rPr>
        <w:t xml:space="preserve"> </w:t>
      </w:r>
      <w:r>
        <w:rPr>
          <w:rFonts w:ascii="黑体" w:hAnsi="黑体" w:eastAsia="黑体" w:cs="黑体"/>
          <w:spacing w:val="-6"/>
          <w:sz w:val="24"/>
          <w:szCs w:val="24"/>
        </w:rPr>
        <w:t>验收</w:t>
      </w:r>
    </w:p>
    <w:p w14:paraId="0A95DEA6">
      <w:pPr>
        <w:spacing w:before="129" w:line="332" w:lineRule="auto"/>
        <w:ind w:left="29" w:right="57" w:firstLine="431"/>
        <w:rPr>
          <w:rFonts w:ascii="宋体" w:hAnsi="宋体" w:eastAsia="宋体" w:cs="宋体"/>
          <w:sz w:val="21"/>
          <w:szCs w:val="21"/>
        </w:rPr>
      </w:pPr>
      <w:r>
        <w:rPr>
          <w:rFonts w:ascii="宋体" w:hAnsi="宋体" w:eastAsia="宋体" w:cs="宋体"/>
          <w:spacing w:val="-2"/>
          <w:sz w:val="21"/>
          <w:szCs w:val="21"/>
        </w:rPr>
        <w:t>18.3.5</w:t>
      </w:r>
      <w:r>
        <w:rPr>
          <w:rFonts w:ascii="宋体" w:hAnsi="宋体" w:eastAsia="宋体" w:cs="宋体"/>
          <w:spacing w:val="-35"/>
          <w:sz w:val="21"/>
          <w:szCs w:val="21"/>
        </w:rPr>
        <w:t xml:space="preserve"> </w:t>
      </w:r>
      <w:r>
        <w:rPr>
          <w:rFonts w:ascii="宋体" w:hAnsi="宋体" w:eastAsia="宋体" w:cs="宋体"/>
          <w:spacing w:val="-2"/>
          <w:sz w:val="21"/>
          <w:szCs w:val="21"/>
        </w:rPr>
        <w:t>经验收合格的工程，实际竣工日期为承包人按照第</w:t>
      </w:r>
      <w:r>
        <w:rPr>
          <w:rFonts w:ascii="宋体" w:hAnsi="宋体" w:eastAsia="宋体" w:cs="宋体"/>
          <w:spacing w:val="-25"/>
          <w:sz w:val="21"/>
          <w:szCs w:val="21"/>
        </w:rPr>
        <w:t xml:space="preserve"> </w:t>
      </w:r>
      <w:r>
        <w:rPr>
          <w:rFonts w:ascii="宋体" w:hAnsi="宋体" w:eastAsia="宋体" w:cs="宋体"/>
          <w:spacing w:val="-3"/>
          <w:sz w:val="21"/>
          <w:szCs w:val="21"/>
        </w:rPr>
        <w:t>18.2</w:t>
      </w:r>
      <w:r>
        <w:rPr>
          <w:rFonts w:ascii="宋体" w:hAnsi="宋体" w:eastAsia="宋体" w:cs="宋体"/>
          <w:spacing w:val="-35"/>
          <w:sz w:val="21"/>
          <w:szCs w:val="21"/>
        </w:rPr>
        <w:t xml:space="preserve"> </w:t>
      </w:r>
      <w:r>
        <w:rPr>
          <w:rFonts w:ascii="宋体" w:hAnsi="宋体" w:eastAsia="宋体" w:cs="宋体"/>
          <w:spacing w:val="-3"/>
          <w:sz w:val="21"/>
          <w:szCs w:val="21"/>
        </w:rPr>
        <w:t>款提交竣工验收申请报</w:t>
      </w:r>
      <w:r>
        <w:rPr>
          <w:rFonts w:ascii="宋体" w:hAnsi="宋体" w:eastAsia="宋体" w:cs="宋体"/>
          <w:sz w:val="21"/>
          <w:szCs w:val="21"/>
        </w:rPr>
        <w:t>告或按照本款重新提交竣工验收申请报告的日期(以两者中时间在</w:t>
      </w:r>
      <w:r>
        <w:rPr>
          <w:rFonts w:ascii="宋体" w:hAnsi="宋体" w:eastAsia="宋体" w:cs="宋体"/>
          <w:spacing w:val="-1"/>
          <w:sz w:val="21"/>
          <w:szCs w:val="21"/>
        </w:rPr>
        <w:t>后者为准)。</w:t>
      </w:r>
    </w:p>
    <w:p w14:paraId="20FE2167">
      <w:pPr>
        <w:spacing w:line="232" w:lineRule="auto"/>
        <w:ind w:left="44"/>
        <w:outlineLvl w:val="2"/>
        <w:rPr>
          <w:rFonts w:ascii="黑体" w:hAnsi="黑体" w:eastAsia="黑体" w:cs="黑体"/>
          <w:sz w:val="24"/>
          <w:szCs w:val="24"/>
        </w:rPr>
      </w:pPr>
      <w:bookmarkStart w:id="309" w:name="bookmark267"/>
      <w:bookmarkEnd w:id="309"/>
      <w:r>
        <w:rPr>
          <w:rFonts w:ascii="Times New Roman" w:hAnsi="Times New Roman" w:eastAsia="Times New Roman" w:cs="Times New Roman"/>
          <w:spacing w:val="-3"/>
          <w:sz w:val="24"/>
          <w:szCs w:val="24"/>
        </w:rPr>
        <w:t xml:space="preserve">18.5 </w:t>
      </w:r>
      <w:r>
        <w:rPr>
          <w:rFonts w:ascii="黑体" w:hAnsi="黑体" w:eastAsia="黑体" w:cs="黑体"/>
          <w:spacing w:val="-3"/>
          <w:sz w:val="24"/>
          <w:szCs w:val="24"/>
        </w:rPr>
        <w:t>施工期运行</w:t>
      </w:r>
    </w:p>
    <w:p w14:paraId="7DABB4E3">
      <w:pPr>
        <w:spacing w:before="129" w:line="332" w:lineRule="auto"/>
        <w:ind w:left="23" w:right="62" w:firstLine="436"/>
        <w:rPr>
          <w:rFonts w:ascii="宋体" w:hAnsi="宋体" w:eastAsia="宋体" w:cs="宋体"/>
          <w:sz w:val="21"/>
          <w:szCs w:val="21"/>
        </w:rPr>
      </w:pPr>
      <w:r>
        <w:rPr>
          <w:rFonts w:ascii="宋体" w:hAnsi="宋体" w:eastAsia="宋体" w:cs="宋体"/>
          <w:spacing w:val="-6"/>
          <w:sz w:val="21"/>
          <w:szCs w:val="21"/>
        </w:rPr>
        <w:t>18.5.1   需  要  施  工</w:t>
      </w:r>
      <w:r>
        <w:rPr>
          <w:rFonts w:ascii="宋体" w:hAnsi="宋体" w:eastAsia="宋体" w:cs="宋体"/>
          <w:spacing w:val="-7"/>
          <w:sz w:val="21"/>
          <w:szCs w:val="21"/>
        </w:rPr>
        <w:t xml:space="preserve">  期  运  行  的  单  位  工  程  或  设  备  安  装  工</w:t>
      </w:r>
      <w:r>
        <w:rPr>
          <w:rFonts w:ascii="宋体" w:hAnsi="宋体" w:eastAsia="宋体" w:cs="宋体"/>
          <w:spacing w:val="-3"/>
          <w:sz w:val="21"/>
          <w:szCs w:val="21"/>
        </w:rPr>
        <w:t>程：</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27A479D">
      <w:pPr>
        <w:spacing w:before="1" w:line="231" w:lineRule="auto"/>
        <w:ind w:left="44"/>
        <w:outlineLvl w:val="2"/>
        <w:rPr>
          <w:rFonts w:ascii="黑体" w:hAnsi="黑体" w:eastAsia="黑体" w:cs="黑体"/>
          <w:sz w:val="24"/>
          <w:szCs w:val="24"/>
        </w:rPr>
      </w:pPr>
      <w:bookmarkStart w:id="310" w:name="bookmark268"/>
      <w:bookmarkEnd w:id="310"/>
      <w:r>
        <w:rPr>
          <w:rFonts w:ascii="Times New Roman" w:hAnsi="Times New Roman" w:eastAsia="Times New Roman" w:cs="Times New Roman"/>
          <w:spacing w:val="-5"/>
          <w:sz w:val="24"/>
          <w:szCs w:val="24"/>
        </w:rPr>
        <w:t>18.6</w:t>
      </w:r>
      <w:r>
        <w:rPr>
          <w:rFonts w:ascii="Times New Roman" w:hAnsi="Times New Roman" w:eastAsia="Times New Roman" w:cs="Times New Roman"/>
          <w:spacing w:val="11"/>
          <w:sz w:val="24"/>
          <w:szCs w:val="24"/>
        </w:rPr>
        <w:t xml:space="preserve"> </w:t>
      </w:r>
      <w:r>
        <w:rPr>
          <w:rFonts w:ascii="黑体" w:hAnsi="黑体" w:eastAsia="黑体" w:cs="黑体"/>
          <w:spacing w:val="-5"/>
          <w:sz w:val="24"/>
          <w:szCs w:val="24"/>
        </w:rPr>
        <w:t>试运行</w:t>
      </w:r>
    </w:p>
    <w:p w14:paraId="7679AF77">
      <w:pPr>
        <w:spacing w:before="114" w:line="220" w:lineRule="auto"/>
        <w:ind w:left="460"/>
        <w:rPr>
          <w:rFonts w:ascii="宋体" w:hAnsi="宋体" w:eastAsia="宋体" w:cs="宋体"/>
          <w:sz w:val="21"/>
          <w:szCs w:val="21"/>
        </w:rPr>
      </w:pPr>
      <w:r>
        <w:rPr>
          <w:rFonts w:ascii="宋体" w:hAnsi="宋体" w:eastAsia="宋体" w:cs="宋体"/>
          <w:spacing w:val="-1"/>
          <w:sz w:val="21"/>
          <w:szCs w:val="21"/>
        </w:rPr>
        <w:t>18.6.1</w:t>
      </w:r>
      <w:r>
        <w:rPr>
          <w:rFonts w:ascii="宋体" w:hAnsi="宋体" w:eastAsia="宋体" w:cs="宋体"/>
          <w:spacing w:val="-34"/>
          <w:sz w:val="21"/>
          <w:szCs w:val="21"/>
        </w:rPr>
        <w:t xml:space="preserve"> </w:t>
      </w:r>
      <w:r>
        <w:rPr>
          <w:rFonts w:ascii="宋体" w:hAnsi="宋体" w:eastAsia="宋体" w:cs="宋体"/>
          <w:spacing w:val="-1"/>
          <w:sz w:val="21"/>
          <w:szCs w:val="21"/>
        </w:rPr>
        <w:t>工程及工程设备试运行的组织与费</w:t>
      </w:r>
      <w:r>
        <w:rPr>
          <w:rFonts w:ascii="宋体" w:hAnsi="宋体" w:eastAsia="宋体" w:cs="宋体"/>
          <w:spacing w:val="-2"/>
          <w:sz w:val="21"/>
          <w:szCs w:val="21"/>
        </w:rPr>
        <w:t>用承担</w:t>
      </w:r>
    </w:p>
    <w:p w14:paraId="4C200BB5">
      <w:pPr>
        <w:spacing w:before="140" w:line="219" w:lineRule="auto"/>
        <w:ind w:left="450"/>
        <w:rPr>
          <w:rFonts w:ascii="宋体" w:hAnsi="宋体" w:eastAsia="宋体" w:cs="宋体"/>
          <w:sz w:val="21"/>
          <w:szCs w:val="21"/>
        </w:rPr>
      </w:pPr>
      <w:r>
        <w:rPr>
          <w:rFonts w:ascii="宋体" w:hAnsi="宋体" w:eastAsia="宋体" w:cs="宋体"/>
          <w:sz w:val="21"/>
          <w:szCs w:val="21"/>
        </w:rPr>
        <w:t>（1）工程设备安装具备单机无负荷试运行条件，由承包人组织试运行，</w:t>
      </w:r>
      <w:r>
        <w:rPr>
          <w:rFonts w:ascii="宋体" w:hAnsi="宋体" w:eastAsia="宋体" w:cs="宋体"/>
          <w:spacing w:val="-1"/>
          <w:sz w:val="21"/>
          <w:szCs w:val="21"/>
        </w:rPr>
        <w:t>费用由承包人</w:t>
      </w:r>
    </w:p>
    <w:p w14:paraId="3633F42C">
      <w:pPr>
        <w:spacing w:line="219" w:lineRule="auto"/>
        <w:rPr>
          <w:rFonts w:ascii="宋体" w:hAnsi="宋体" w:eastAsia="宋体" w:cs="宋体"/>
          <w:sz w:val="21"/>
          <w:szCs w:val="21"/>
        </w:rPr>
        <w:sectPr>
          <w:footerReference r:id="rId130" w:type="default"/>
          <w:pgSz w:w="11910" w:h="16845"/>
          <w:pgMar w:top="400" w:right="1712" w:bottom="1110" w:left="1786" w:header="0" w:footer="883" w:gutter="0"/>
          <w:cols w:space="720" w:num="1"/>
        </w:sectPr>
      </w:pPr>
    </w:p>
    <w:p w14:paraId="6CC074EF">
      <w:pPr>
        <w:pStyle w:val="2"/>
        <w:spacing w:line="275" w:lineRule="auto"/>
      </w:pPr>
    </w:p>
    <w:p w14:paraId="6E4FA32B">
      <w:pPr>
        <w:pStyle w:val="2"/>
        <w:spacing w:line="275" w:lineRule="auto"/>
      </w:pPr>
    </w:p>
    <w:p w14:paraId="709C9E86">
      <w:pPr>
        <w:pStyle w:val="2"/>
        <w:spacing w:line="275" w:lineRule="auto"/>
      </w:pPr>
    </w:p>
    <w:p w14:paraId="54A1F475">
      <w:pPr>
        <w:pStyle w:val="2"/>
        <w:spacing w:line="275" w:lineRule="auto"/>
      </w:pPr>
    </w:p>
    <w:p w14:paraId="1B85CEAA">
      <w:pPr>
        <w:spacing w:before="68" w:line="220" w:lineRule="auto"/>
        <w:ind w:left="24"/>
        <w:rPr>
          <w:rFonts w:ascii="宋体" w:hAnsi="宋体" w:eastAsia="宋体" w:cs="宋体"/>
          <w:sz w:val="21"/>
          <w:szCs w:val="21"/>
        </w:rPr>
      </w:pPr>
      <w:r>
        <w:rPr>
          <w:rFonts w:ascii="宋体" w:hAnsi="宋体" w:eastAsia="宋体" w:cs="宋体"/>
          <w:spacing w:val="-9"/>
          <w:sz w:val="21"/>
          <w:szCs w:val="21"/>
        </w:rPr>
        <w:t>承担。</w:t>
      </w:r>
    </w:p>
    <w:p w14:paraId="4C07F598">
      <w:pPr>
        <w:spacing w:before="140" w:line="343" w:lineRule="auto"/>
        <w:ind w:left="24" w:right="93" w:firstLine="426"/>
        <w:rPr>
          <w:rFonts w:ascii="宋体" w:hAnsi="宋体" w:eastAsia="宋体" w:cs="宋体"/>
          <w:sz w:val="21"/>
          <w:szCs w:val="21"/>
        </w:rPr>
      </w:pPr>
      <w:r>
        <w:rPr>
          <w:rFonts w:ascii="宋体" w:hAnsi="宋体" w:eastAsia="宋体" w:cs="宋体"/>
          <w:sz w:val="21"/>
          <w:szCs w:val="21"/>
        </w:rPr>
        <w:t>（2）工程设备安装具备无负荷联动试运行条件，由发包人组织试运行，</w:t>
      </w:r>
      <w:r>
        <w:rPr>
          <w:rFonts w:ascii="宋体" w:hAnsi="宋体" w:eastAsia="宋体" w:cs="宋体"/>
          <w:spacing w:val="-1"/>
          <w:sz w:val="21"/>
          <w:szCs w:val="21"/>
        </w:rPr>
        <w:t>费用由发包人</w:t>
      </w:r>
      <w:r>
        <w:rPr>
          <w:rFonts w:ascii="宋体" w:hAnsi="宋体" w:eastAsia="宋体" w:cs="宋体"/>
          <w:spacing w:val="-9"/>
          <w:sz w:val="21"/>
          <w:szCs w:val="21"/>
        </w:rPr>
        <w:t>承担。</w:t>
      </w:r>
    </w:p>
    <w:p w14:paraId="15F258DE">
      <w:pPr>
        <w:spacing w:before="2" w:line="331" w:lineRule="auto"/>
        <w:ind w:left="22" w:right="94" w:firstLine="427"/>
        <w:rPr>
          <w:rFonts w:ascii="宋体" w:hAnsi="宋体" w:eastAsia="宋体" w:cs="宋体"/>
          <w:sz w:val="21"/>
          <w:szCs w:val="21"/>
        </w:rPr>
      </w:pPr>
      <w:r>
        <w:rPr>
          <w:rFonts w:ascii="宋体" w:hAnsi="宋体" w:eastAsia="宋体" w:cs="宋体"/>
          <w:sz w:val="21"/>
          <w:szCs w:val="21"/>
        </w:rPr>
        <w:t>（3）投料试运行应在工程竣工验收后由发包人负责，如发包人要求</w:t>
      </w:r>
      <w:r>
        <w:rPr>
          <w:rFonts w:ascii="宋体" w:hAnsi="宋体" w:eastAsia="宋体" w:cs="宋体"/>
          <w:spacing w:val="-1"/>
          <w:sz w:val="21"/>
          <w:szCs w:val="21"/>
        </w:rPr>
        <w:t>在工程竣工验收前进行或需要承包人配合时，应征得承包人同意，另行签订补充协议。</w:t>
      </w:r>
    </w:p>
    <w:p w14:paraId="2EDD428E">
      <w:pPr>
        <w:spacing w:before="1" w:line="231" w:lineRule="auto"/>
        <w:ind w:left="44"/>
        <w:outlineLvl w:val="2"/>
        <w:rPr>
          <w:rFonts w:ascii="黑体" w:hAnsi="黑体" w:eastAsia="黑体" w:cs="黑体"/>
          <w:sz w:val="24"/>
          <w:szCs w:val="24"/>
        </w:rPr>
      </w:pPr>
      <w:bookmarkStart w:id="311" w:name="bookmark269"/>
      <w:bookmarkEnd w:id="311"/>
      <w:r>
        <w:rPr>
          <w:rFonts w:ascii="Times New Roman" w:hAnsi="Times New Roman" w:eastAsia="Times New Roman" w:cs="Times New Roman"/>
          <w:spacing w:val="-3"/>
          <w:sz w:val="24"/>
          <w:szCs w:val="24"/>
        </w:rPr>
        <w:t xml:space="preserve">18.7 </w:t>
      </w:r>
      <w:r>
        <w:rPr>
          <w:rFonts w:ascii="黑体" w:hAnsi="黑体" w:eastAsia="黑体" w:cs="黑体"/>
          <w:spacing w:val="-3"/>
          <w:sz w:val="24"/>
          <w:szCs w:val="24"/>
        </w:rPr>
        <w:t>竣工清场</w:t>
      </w:r>
    </w:p>
    <w:p w14:paraId="05B2E957">
      <w:pPr>
        <w:spacing w:before="129" w:line="332" w:lineRule="auto"/>
        <w:ind w:left="25" w:right="91" w:firstLine="435"/>
        <w:rPr>
          <w:rFonts w:ascii="宋体" w:hAnsi="宋体" w:eastAsia="宋体" w:cs="宋体"/>
          <w:sz w:val="21"/>
          <w:szCs w:val="21"/>
        </w:rPr>
      </w:pPr>
      <w:r>
        <w:rPr>
          <w:rFonts w:ascii="宋体" w:hAnsi="宋体" w:eastAsia="宋体" w:cs="宋体"/>
          <w:spacing w:val="-1"/>
          <w:sz w:val="21"/>
          <w:szCs w:val="21"/>
        </w:rPr>
        <w:t>18.7.1 监理人颁发</w:t>
      </w:r>
      <w:r>
        <w:rPr>
          <w:rFonts w:ascii="宋体" w:hAnsi="宋体" w:eastAsia="宋体" w:cs="宋体"/>
          <w:spacing w:val="-61"/>
          <w:sz w:val="21"/>
          <w:szCs w:val="21"/>
        </w:rPr>
        <w:t xml:space="preserve"> </w:t>
      </w:r>
      <w:r>
        <w:rPr>
          <w:rFonts w:ascii="宋体" w:hAnsi="宋体" w:eastAsia="宋体" w:cs="宋体"/>
          <w:spacing w:val="-1"/>
          <w:sz w:val="21"/>
          <w:szCs w:val="21"/>
        </w:rPr>
        <w:t>(出具)工程接收证书后，承包</w:t>
      </w:r>
      <w:r>
        <w:rPr>
          <w:rFonts w:ascii="宋体" w:hAnsi="宋体" w:eastAsia="宋体" w:cs="宋体"/>
          <w:spacing w:val="-2"/>
          <w:sz w:val="21"/>
          <w:szCs w:val="21"/>
        </w:rPr>
        <w:t>人负责按照通用合同条款本项约定的</w:t>
      </w:r>
      <w:r>
        <w:rPr>
          <w:rFonts w:ascii="宋体" w:hAnsi="宋体" w:eastAsia="宋体" w:cs="宋体"/>
          <w:spacing w:val="-1"/>
          <w:sz w:val="21"/>
          <w:szCs w:val="21"/>
        </w:rPr>
        <w:t>要求对施工场地进行清理并承担相关费用，直至监理人检验合格为止。</w:t>
      </w:r>
    </w:p>
    <w:p w14:paraId="2E2E679A">
      <w:pPr>
        <w:spacing w:line="233" w:lineRule="auto"/>
        <w:ind w:left="44"/>
        <w:outlineLvl w:val="2"/>
        <w:rPr>
          <w:rFonts w:ascii="黑体" w:hAnsi="黑体" w:eastAsia="黑体" w:cs="黑体"/>
          <w:sz w:val="24"/>
          <w:szCs w:val="24"/>
        </w:rPr>
      </w:pPr>
      <w:bookmarkStart w:id="312" w:name="bookmark270"/>
      <w:bookmarkEnd w:id="312"/>
      <w:r>
        <w:rPr>
          <w:rFonts w:ascii="Times New Roman" w:hAnsi="Times New Roman" w:eastAsia="Times New Roman" w:cs="Times New Roman"/>
          <w:spacing w:val="-2"/>
          <w:sz w:val="24"/>
          <w:szCs w:val="24"/>
        </w:rPr>
        <w:t xml:space="preserve">18.8 </w:t>
      </w:r>
      <w:r>
        <w:rPr>
          <w:rFonts w:ascii="黑体" w:hAnsi="黑体" w:eastAsia="黑体" w:cs="黑体"/>
          <w:spacing w:val="-2"/>
          <w:sz w:val="24"/>
          <w:szCs w:val="24"/>
        </w:rPr>
        <w:t>施工队伍的撤离</w:t>
      </w:r>
    </w:p>
    <w:p w14:paraId="7D9DCF19">
      <w:pPr>
        <w:spacing w:before="114" w:line="343" w:lineRule="auto"/>
        <w:ind w:left="25" w:right="69" w:firstLine="419"/>
        <w:jc w:val="both"/>
        <w:rPr>
          <w:rFonts w:ascii="宋体" w:hAnsi="宋体" w:eastAsia="宋体" w:cs="宋体"/>
          <w:sz w:val="21"/>
          <w:szCs w:val="21"/>
        </w:rPr>
      </w:pPr>
      <w:r>
        <w:rPr>
          <w:rFonts w:ascii="宋体" w:hAnsi="宋体" w:eastAsia="宋体" w:cs="宋体"/>
          <w:spacing w:val="-2"/>
          <w:sz w:val="21"/>
          <w:szCs w:val="21"/>
        </w:rPr>
        <w:t>承包人按照通用合同条款第</w:t>
      </w:r>
      <w:r>
        <w:rPr>
          <w:rFonts w:ascii="宋体" w:hAnsi="宋体" w:eastAsia="宋体" w:cs="宋体"/>
          <w:spacing w:val="-16"/>
          <w:sz w:val="21"/>
          <w:szCs w:val="21"/>
        </w:rPr>
        <w:t xml:space="preserve"> </w:t>
      </w:r>
      <w:r>
        <w:rPr>
          <w:rFonts w:ascii="宋体" w:hAnsi="宋体" w:eastAsia="宋体" w:cs="宋体"/>
          <w:spacing w:val="-2"/>
          <w:sz w:val="21"/>
          <w:szCs w:val="21"/>
        </w:rPr>
        <w:t>18.8</w:t>
      </w:r>
      <w:r>
        <w:rPr>
          <w:rFonts w:ascii="宋体" w:hAnsi="宋体" w:eastAsia="宋体" w:cs="宋体"/>
          <w:spacing w:val="-35"/>
          <w:sz w:val="21"/>
          <w:szCs w:val="21"/>
        </w:rPr>
        <w:t xml:space="preserve"> </w:t>
      </w:r>
      <w:r>
        <w:rPr>
          <w:rFonts w:ascii="宋体" w:hAnsi="宋体" w:eastAsia="宋体" w:cs="宋体"/>
          <w:spacing w:val="-2"/>
          <w:sz w:val="21"/>
          <w:szCs w:val="21"/>
        </w:rPr>
        <w:t>款约定撤离施工场地</w:t>
      </w:r>
      <w:r>
        <w:rPr>
          <w:rFonts w:ascii="宋体" w:hAnsi="宋体" w:eastAsia="宋体" w:cs="宋体"/>
          <w:spacing w:val="-62"/>
          <w:sz w:val="21"/>
          <w:szCs w:val="21"/>
        </w:rPr>
        <w:t xml:space="preserve"> </w:t>
      </w:r>
      <w:r>
        <w:rPr>
          <w:rFonts w:ascii="宋体" w:hAnsi="宋体" w:eastAsia="宋体" w:cs="宋体"/>
          <w:spacing w:val="-2"/>
          <w:sz w:val="21"/>
          <w:szCs w:val="21"/>
        </w:rPr>
        <w:t>(现场)时，监理人和承包人应当办理永久工程和施工场地移交手续，移交手续以书面方式出具，并分别经过发包人、监</w:t>
      </w:r>
      <w:r>
        <w:rPr>
          <w:rFonts w:ascii="宋体" w:hAnsi="宋体" w:eastAsia="宋体" w:cs="宋体"/>
          <w:spacing w:val="-3"/>
          <w:sz w:val="21"/>
          <w:szCs w:val="21"/>
        </w:rPr>
        <w:t>理人</w:t>
      </w:r>
      <w:r>
        <w:rPr>
          <w:rFonts w:ascii="宋体" w:hAnsi="宋体" w:eastAsia="宋体" w:cs="宋体"/>
          <w:spacing w:val="-1"/>
          <w:sz w:val="21"/>
          <w:szCs w:val="21"/>
        </w:rPr>
        <w:t>和承包人的签认。但是，监理人和发包人未按专用合同条款</w:t>
      </w:r>
      <w:r>
        <w:rPr>
          <w:rFonts w:ascii="宋体" w:hAnsi="宋体" w:eastAsia="宋体" w:cs="宋体"/>
          <w:spacing w:val="-13"/>
          <w:sz w:val="21"/>
          <w:szCs w:val="21"/>
        </w:rPr>
        <w:t xml:space="preserve"> </w:t>
      </w:r>
      <w:r>
        <w:rPr>
          <w:rFonts w:ascii="宋体" w:hAnsi="宋体" w:eastAsia="宋体" w:cs="宋体"/>
          <w:spacing w:val="-1"/>
          <w:sz w:val="21"/>
          <w:szCs w:val="21"/>
        </w:rPr>
        <w:t>17.5.1</w:t>
      </w:r>
      <w:r>
        <w:rPr>
          <w:rFonts w:ascii="宋体" w:hAnsi="宋体" w:eastAsia="宋体" w:cs="宋体"/>
          <w:spacing w:val="-33"/>
          <w:sz w:val="21"/>
          <w:szCs w:val="21"/>
        </w:rPr>
        <w:t xml:space="preserve"> </w:t>
      </w:r>
      <w:r>
        <w:rPr>
          <w:rFonts w:ascii="宋体" w:hAnsi="宋体" w:eastAsia="宋体" w:cs="宋体"/>
          <w:spacing w:val="-1"/>
          <w:sz w:val="21"/>
          <w:szCs w:val="21"/>
        </w:rPr>
        <w:t>项约定的期限办清竣工</w:t>
      </w:r>
      <w:r>
        <w:rPr>
          <w:rFonts w:ascii="宋体" w:hAnsi="宋体" w:eastAsia="宋体" w:cs="宋体"/>
          <w:spacing w:val="-2"/>
          <w:sz w:val="21"/>
          <w:szCs w:val="21"/>
        </w:rPr>
        <w:t>结算和竣工付款的，本工程不得交付使用，发包人和监理人也无权要求承包人按合同约</w:t>
      </w:r>
      <w:r>
        <w:rPr>
          <w:rFonts w:ascii="宋体" w:hAnsi="宋体" w:eastAsia="宋体" w:cs="宋体"/>
          <w:spacing w:val="-3"/>
          <w:sz w:val="21"/>
          <w:szCs w:val="21"/>
        </w:rPr>
        <w:t>定的</w:t>
      </w:r>
      <w:r>
        <w:rPr>
          <w:rFonts w:ascii="宋体" w:hAnsi="宋体" w:eastAsia="宋体" w:cs="宋体"/>
          <w:spacing w:val="-4"/>
          <w:sz w:val="21"/>
          <w:szCs w:val="21"/>
        </w:rPr>
        <w:t>期限撤离施工场地</w:t>
      </w:r>
      <w:r>
        <w:rPr>
          <w:rFonts w:ascii="宋体" w:hAnsi="宋体" w:eastAsia="宋体" w:cs="宋体"/>
          <w:spacing w:val="-48"/>
          <w:sz w:val="21"/>
          <w:szCs w:val="21"/>
        </w:rPr>
        <w:t xml:space="preserve"> </w:t>
      </w:r>
      <w:r>
        <w:rPr>
          <w:rFonts w:ascii="宋体" w:hAnsi="宋体" w:eastAsia="宋体" w:cs="宋体"/>
          <w:spacing w:val="-4"/>
          <w:sz w:val="21"/>
          <w:szCs w:val="21"/>
        </w:rPr>
        <w:t>(现场)和办理工程移交手续。</w:t>
      </w:r>
    </w:p>
    <w:p w14:paraId="1C219B10">
      <w:pPr>
        <w:spacing w:before="1" w:line="345" w:lineRule="auto"/>
        <w:ind w:left="38" w:right="73" w:firstLine="405"/>
        <w:rPr>
          <w:rFonts w:ascii="宋体" w:hAnsi="宋体" w:eastAsia="宋体" w:cs="宋体"/>
          <w:sz w:val="21"/>
          <w:szCs w:val="21"/>
        </w:rPr>
      </w:pPr>
      <w:r>
        <w:rPr>
          <w:rFonts w:ascii="宋体" w:hAnsi="宋体" w:eastAsia="宋体" w:cs="宋体"/>
          <w:spacing w:val="-2"/>
          <w:sz w:val="21"/>
          <w:szCs w:val="21"/>
        </w:rPr>
        <w:t>缺陷责任期满时，承包人可以继续在施工场地保留的人员和施工</w:t>
      </w:r>
      <w:r>
        <w:rPr>
          <w:rFonts w:ascii="宋体" w:hAnsi="宋体" w:eastAsia="宋体" w:cs="宋体"/>
          <w:spacing w:val="-3"/>
          <w:sz w:val="21"/>
          <w:szCs w:val="21"/>
        </w:rPr>
        <w:t>设备以及最终撤离的期</w:t>
      </w:r>
      <w:r>
        <w:rPr>
          <w:rFonts w:ascii="宋体" w:hAnsi="宋体" w:eastAsia="宋体" w:cs="宋体"/>
          <w:spacing w:val="-12"/>
          <w:sz w:val="21"/>
          <w:szCs w:val="21"/>
        </w:rPr>
        <w:t>限：</w:t>
      </w:r>
      <w:r>
        <w:rPr>
          <w:rFonts w:ascii="宋体" w:hAnsi="宋体" w:eastAsia="宋体" w:cs="宋体"/>
          <w:sz w:val="21"/>
          <w:szCs w:val="21"/>
          <w:u w:val="single" w:color="auto"/>
        </w:rPr>
        <w:t xml:space="preserve">                                                                            </w:t>
      </w:r>
    </w:p>
    <w:p w14:paraId="78975E02">
      <w:pPr>
        <w:spacing w:before="130" w:line="46" w:lineRule="exact"/>
        <w:jc w:val="right"/>
        <w:rPr>
          <w:rFonts w:ascii="宋体" w:hAnsi="宋体" w:eastAsia="宋体" w:cs="宋体"/>
          <w:sz w:val="21"/>
          <w:szCs w:val="21"/>
        </w:rPr>
      </w:pPr>
      <w:r>
        <w:pict>
          <v:shape id="_x0000_s1042" o:spid="_x0000_s1042" o:spt="202" type="#_x0000_t202" style="position:absolute;left:0pt;margin-left:-0.2pt;margin-top:-0.2pt;height:14.1pt;width:412.05pt;z-index:251685888;mso-width-relative:page;mso-height-relative:page;" filled="f" stroked="f" coordsize="21600,21600">
            <v:path/>
            <v:fill on="f" focussize="0,0"/>
            <v:stroke on="f"/>
            <v:imagedata o:title=""/>
            <o:lock v:ext="edit" aspectratio="f"/>
            <v:textbox inset="0mm,0mm,0mm,0mm">
              <w:txbxContent>
                <w:p w14:paraId="45E4F5E8">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2D401D25">
      <w:pPr>
        <w:spacing w:before="183" w:line="233" w:lineRule="auto"/>
        <w:ind w:left="44"/>
        <w:outlineLvl w:val="2"/>
        <w:rPr>
          <w:rFonts w:ascii="黑体" w:hAnsi="黑体" w:eastAsia="黑体" w:cs="黑体"/>
          <w:sz w:val="24"/>
          <w:szCs w:val="24"/>
        </w:rPr>
      </w:pPr>
      <w:bookmarkStart w:id="313" w:name="bookmark271"/>
      <w:bookmarkEnd w:id="313"/>
      <w:r>
        <w:rPr>
          <w:rFonts w:ascii="Times New Roman" w:hAnsi="Times New Roman" w:eastAsia="Times New Roman" w:cs="Times New Roman"/>
          <w:spacing w:val="-7"/>
          <w:sz w:val="24"/>
          <w:szCs w:val="24"/>
        </w:rPr>
        <w:t>18.9</w:t>
      </w:r>
      <w:r>
        <w:rPr>
          <w:rFonts w:ascii="Times New Roman" w:hAnsi="Times New Roman" w:eastAsia="Times New Roman" w:cs="Times New Roman"/>
          <w:spacing w:val="35"/>
          <w:sz w:val="24"/>
          <w:szCs w:val="24"/>
        </w:rPr>
        <w:t xml:space="preserve"> </w:t>
      </w:r>
      <w:r>
        <w:rPr>
          <w:rFonts w:ascii="黑体" w:hAnsi="黑体" w:eastAsia="黑体" w:cs="黑体"/>
          <w:spacing w:val="-7"/>
          <w:sz w:val="24"/>
          <w:szCs w:val="24"/>
        </w:rPr>
        <w:t>中间验收</w:t>
      </w:r>
    </w:p>
    <w:p w14:paraId="5B95445E">
      <w:pPr>
        <w:spacing w:before="128" w:line="219" w:lineRule="auto"/>
        <w:ind w:left="445"/>
        <w:rPr>
          <w:rFonts w:ascii="宋体" w:hAnsi="宋体" w:eastAsia="宋体" w:cs="宋体"/>
          <w:sz w:val="21"/>
          <w:szCs w:val="21"/>
        </w:rPr>
      </w:pPr>
      <w:r>
        <w:rPr>
          <w:rFonts w:ascii="宋体" w:hAnsi="宋体" w:eastAsia="宋体" w:cs="宋体"/>
          <w:spacing w:val="-3"/>
          <w:sz w:val="21"/>
          <w:szCs w:val="21"/>
        </w:rPr>
        <w:t>本工程需要进行中间验收的部位如下：</w:t>
      </w:r>
    </w:p>
    <w:p w14:paraId="40F8E8F4">
      <w:pPr>
        <w:pStyle w:val="2"/>
        <w:spacing w:line="297" w:lineRule="auto"/>
      </w:pPr>
    </w:p>
    <w:p w14:paraId="6F4EA3D2">
      <w:pPr>
        <w:pStyle w:val="2"/>
        <w:spacing w:line="298" w:lineRule="auto"/>
      </w:pPr>
      <w:r>
        <w:pict>
          <v:shape id="_x0000_s1043" o:spid="_x0000_s1043" style="position:absolute;left:0pt;margin-left:0.75pt;margin-top:2.65pt;height:0.75pt;width:416.05pt;z-index:251686912;mso-width-relative:page;mso-height-relative:page;" fillcolor="#000000" filled="t" stroked="f" coordsize="8320,15" path="m0,15l8320,15,8320,0,0,0,0,15xe">
            <v:path/>
            <v:fill on="t" focussize="0,0"/>
            <v:stroke on="f"/>
            <v:imagedata o:title=""/>
            <o:lock v:ext="edit"/>
          </v:shape>
        </w:pict>
      </w:r>
    </w:p>
    <w:p w14:paraId="4A5D5342">
      <w:pPr>
        <w:spacing w:before="69" w:line="45" w:lineRule="exact"/>
        <w:jc w:val="right"/>
        <w:rPr>
          <w:rFonts w:ascii="宋体" w:hAnsi="宋体" w:eastAsia="宋体" w:cs="宋体"/>
          <w:sz w:val="21"/>
          <w:szCs w:val="21"/>
        </w:rPr>
      </w:pPr>
      <w:r>
        <w:pict>
          <v:shape id="_x0000_s1044" o:spid="_x0000_s1044" o:spt="202" type="#_x0000_t202" style="position:absolute;left:0pt;margin-left:9.55pt;margin-top:-3.3pt;height:32.95pt;width:407.75pt;z-index:251684864;mso-width-relative:page;mso-height-relative:page;" filled="f" stroked="f" coordsize="21600,21600">
            <v:path/>
            <v:fill on="f" focussize="0,0"/>
            <v:stroke on="f"/>
            <v:imagedata o:title=""/>
            <o:lock v:ext="edit" aspectratio="f"/>
            <v:textbox inset="0mm,0mm,0mm,0mm">
              <w:txbxContent>
                <w:p w14:paraId="04522672">
                  <w:pPr>
                    <w:pStyle w:val="2"/>
                    <w:tabs>
                      <w:tab w:val="left" w:pos="8010"/>
                    </w:tabs>
                    <w:spacing w:before="19"/>
                    <w:ind w:left="20"/>
                  </w:pPr>
                  <w:r>
                    <w:rPr>
                      <w:u w:val="single" w:color="auto"/>
                    </w:rPr>
                    <w:tab/>
                  </w:r>
                </w:p>
                <w:p w14:paraId="265AA210">
                  <w:pPr>
                    <w:spacing w:before="127" w:line="219" w:lineRule="auto"/>
                    <w:ind w:right="20"/>
                    <w:jc w:val="right"/>
                    <w:rPr>
                      <w:rFonts w:ascii="宋体" w:hAnsi="宋体" w:eastAsia="宋体" w:cs="宋体"/>
                      <w:sz w:val="21"/>
                      <w:szCs w:val="21"/>
                    </w:rPr>
                  </w:pPr>
                  <w:r>
                    <w:rPr>
                      <w:rFonts w:ascii="宋体" w:hAnsi="宋体" w:eastAsia="宋体" w:cs="宋体"/>
                      <w:spacing w:val="3"/>
                      <w:sz w:val="21"/>
                      <w:szCs w:val="21"/>
                    </w:rPr>
                    <w:t>当工程进度达到本款约定的中间验收部位时，承包人</w:t>
                  </w:r>
                  <w:r>
                    <w:rPr>
                      <w:rFonts w:ascii="宋体" w:hAnsi="宋体" w:eastAsia="宋体" w:cs="宋体"/>
                      <w:spacing w:val="2"/>
                      <w:sz w:val="21"/>
                      <w:szCs w:val="21"/>
                    </w:rPr>
                    <w:t>应当进行自检，并在中间验收前</w:t>
                  </w:r>
                </w:p>
              </w:txbxContent>
            </v:textbox>
          </v:shape>
        </w:pict>
      </w:r>
      <w:r>
        <w:rPr>
          <w:rFonts w:ascii="宋体" w:hAnsi="宋体" w:eastAsia="宋体" w:cs="宋体"/>
          <w:spacing w:val="-56"/>
          <w:w w:val="98"/>
          <w:position w:val="-1"/>
          <w:sz w:val="21"/>
          <w:szCs w:val="21"/>
        </w:rPr>
        <w:t>。</w:t>
      </w:r>
    </w:p>
    <w:p w14:paraId="490136B7">
      <w:pPr>
        <w:pStyle w:val="2"/>
        <w:spacing w:line="264" w:lineRule="auto"/>
      </w:pPr>
    </w:p>
    <w:p w14:paraId="7A0C6703">
      <w:pPr>
        <w:pStyle w:val="2"/>
        <w:spacing w:line="265" w:lineRule="auto"/>
      </w:pPr>
    </w:p>
    <w:p w14:paraId="2EC7F345">
      <w:pPr>
        <w:spacing w:before="69" w:line="343" w:lineRule="auto"/>
        <w:ind w:left="23" w:right="69"/>
        <w:rPr>
          <w:rFonts w:ascii="宋体" w:hAnsi="宋体" w:eastAsia="宋体" w:cs="宋体"/>
          <w:sz w:val="21"/>
          <w:szCs w:val="21"/>
        </w:rPr>
      </w:pPr>
      <w:r>
        <w:rPr>
          <w:rFonts w:ascii="宋体" w:hAnsi="宋体" w:eastAsia="宋体" w:cs="宋体"/>
          <w:sz w:val="21"/>
          <w:szCs w:val="21"/>
        </w:rPr>
        <w:t>48 小时以书面形式通知监理人验收。书面</w:t>
      </w:r>
      <w:r>
        <w:rPr>
          <w:rFonts w:ascii="宋体" w:hAnsi="宋体" w:eastAsia="宋体" w:cs="宋体"/>
          <w:spacing w:val="-1"/>
          <w:sz w:val="21"/>
          <w:szCs w:val="21"/>
        </w:rPr>
        <w:t>通知应包括中间验收的内容、验收时间和地点。</w:t>
      </w:r>
      <w:r>
        <w:rPr>
          <w:rFonts w:ascii="宋体" w:hAnsi="宋体" w:eastAsia="宋体" w:cs="宋体"/>
          <w:spacing w:val="-4"/>
          <w:sz w:val="21"/>
          <w:szCs w:val="21"/>
        </w:rPr>
        <w:t>承包人应当准备验收记录。只有监理人验收合格并在验收记录上签字后，</w:t>
      </w:r>
      <w:r>
        <w:rPr>
          <w:rFonts w:ascii="宋体" w:hAnsi="宋体" w:eastAsia="宋体" w:cs="宋体"/>
          <w:spacing w:val="-26"/>
          <w:sz w:val="21"/>
          <w:szCs w:val="21"/>
        </w:rPr>
        <w:t xml:space="preserve"> </w:t>
      </w:r>
      <w:r>
        <w:rPr>
          <w:rFonts w:ascii="宋体" w:hAnsi="宋体" w:eastAsia="宋体" w:cs="宋体"/>
          <w:spacing w:val="-4"/>
          <w:sz w:val="21"/>
          <w:szCs w:val="21"/>
        </w:rPr>
        <w:t>承包人方可继续施</w:t>
      </w:r>
      <w:r>
        <w:rPr>
          <w:rFonts w:ascii="宋体" w:hAnsi="宋体" w:eastAsia="宋体" w:cs="宋体"/>
          <w:spacing w:val="-1"/>
          <w:sz w:val="21"/>
          <w:szCs w:val="21"/>
        </w:rPr>
        <w:t>工。验收不合格的，承包人在</w:t>
      </w:r>
      <w:r>
        <w:rPr>
          <w:rFonts w:ascii="宋体" w:hAnsi="宋体" w:eastAsia="宋体" w:cs="宋体"/>
          <w:spacing w:val="-1"/>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
          <w:sz w:val="21"/>
          <w:szCs w:val="21"/>
        </w:rPr>
        <w:t>期限内进行修改后重新验收。</w:t>
      </w:r>
    </w:p>
    <w:p w14:paraId="5535D9FB">
      <w:pPr>
        <w:spacing w:line="343" w:lineRule="auto"/>
        <w:ind w:left="24" w:firstLine="421"/>
        <w:jc w:val="both"/>
        <w:rPr>
          <w:rFonts w:ascii="宋体" w:hAnsi="宋体" w:eastAsia="宋体" w:cs="宋体"/>
          <w:sz w:val="21"/>
          <w:szCs w:val="21"/>
        </w:rPr>
      </w:pPr>
      <w:r>
        <w:rPr>
          <w:rFonts w:ascii="宋体" w:hAnsi="宋体" w:eastAsia="宋体" w:cs="宋体"/>
          <w:sz w:val="21"/>
          <w:szCs w:val="21"/>
        </w:rPr>
        <w:t>监理人不能按时进行验收的，应在验收前</w:t>
      </w:r>
      <w:r>
        <w:rPr>
          <w:rFonts w:ascii="宋体" w:hAnsi="宋体" w:eastAsia="宋体" w:cs="宋体"/>
          <w:spacing w:val="-38"/>
          <w:sz w:val="21"/>
          <w:szCs w:val="21"/>
        </w:rPr>
        <w:t xml:space="preserve"> </w:t>
      </w:r>
      <w:r>
        <w:rPr>
          <w:rFonts w:ascii="宋体" w:hAnsi="宋体" w:eastAsia="宋体" w:cs="宋体"/>
          <w:sz w:val="21"/>
          <w:szCs w:val="21"/>
        </w:rPr>
        <w:t>24</w:t>
      </w:r>
      <w:r>
        <w:rPr>
          <w:rFonts w:ascii="宋体" w:hAnsi="宋体" w:eastAsia="宋体" w:cs="宋体"/>
          <w:spacing w:val="-31"/>
          <w:sz w:val="21"/>
          <w:szCs w:val="21"/>
        </w:rPr>
        <w:t xml:space="preserve"> </w:t>
      </w:r>
      <w:r>
        <w:rPr>
          <w:rFonts w:ascii="宋体" w:hAnsi="宋体" w:eastAsia="宋体" w:cs="宋体"/>
          <w:sz w:val="21"/>
          <w:szCs w:val="21"/>
        </w:rPr>
        <w:t>小时以书面</w:t>
      </w:r>
      <w:r>
        <w:rPr>
          <w:rFonts w:ascii="宋体" w:hAnsi="宋体" w:eastAsia="宋体" w:cs="宋体"/>
          <w:spacing w:val="-1"/>
          <w:sz w:val="21"/>
          <w:szCs w:val="21"/>
        </w:rPr>
        <w:t>形式向承包人提出延期要求，</w:t>
      </w:r>
      <w:r>
        <w:rPr>
          <w:rFonts w:ascii="宋体" w:hAnsi="宋体" w:eastAsia="宋体" w:cs="宋体"/>
          <w:spacing w:val="-4"/>
          <w:sz w:val="21"/>
          <w:szCs w:val="21"/>
        </w:rPr>
        <w:t>延期不能超过</w:t>
      </w:r>
      <w:r>
        <w:rPr>
          <w:rFonts w:ascii="宋体" w:hAnsi="宋体" w:eastAsia="宋体" w:cs="宋体"/>
          <w:spacing w:val="-28"/>
          <w:sz w:val="21"/>
          <w:szCs w:val="21"/>
        </w:rPr>
        <w:t xml:space="preserve"> </w:t>
      </w:r>
      <w:r>
        <w:rPr>
          <w:rFonts w:ascii="宋体" w:hAnsi="宋体" w:eastAsia="宋体" w:cs="宋体"/>
          <w:spacing w:val="-4"/>
          <w:sz w:val="21"/>
          <w:szCs w:val="21"/>
        </w:rPr>
        <w:t>48</w:t>
      </w:r>
      <w:r>
        <w:rPr>
          <w:rFonts w:ascii="宋体" w:hAnsi="宋体" w:eastAsia="宋体" w:cs="宋体"/>
          <w:spacing w:val="-30"/>
          <w:sz w:val="21"/>
          <w:szCs w:val="21"/>
        </w:rPr>
        <w:t xml:space="preserve"> </w:t>
      </w:r>
      <w:r>
        <w:rPr>
          <w:rFonts w:ascii="宋体" w:hAnsi="宋体" w:eastAsia="宋体" w:cs="宋体"/>
          <w:spacing w:val="-4"/>
          <w:sz w:val="21"/>
          <w:szCs w:val="21"/>
        </w:rPr>
        <w:t>小时。监理人未能按本款约定的时限提出延期要求，又未按期进行验收的，</w:t>
      </w:r>
      <w:r>
        <w:rPr>
          <w:rFonts w:ascii="宋体" w:hAnsi="宋体" w:eastAsia="宋体" w:cs="宋体"/>
          <w:spacing w:val="-2"/>
          <w:sz w:val="21"/>
          <w:szCs w:val="21"/>
        </w:rPr>
        <w:t>承包人可自行组织验收，监理人必须认同验收记录。</w:t>
      </w:r>
    </w:p>
    <w:p w14:paraId="59D9DA1E">
      <w:pPr>
        <w:spacing w:before="1" w:line="345" w:lineRule="auto"/>
        <w:ind w:left="25" w:right="74" w:firstLine="421"/>
        <w:rPr>
          <w:rFonts w:ascii="宋体" w:hAnsi="宋体" w:eastAsia="宋体" w:cs="宋体"/>
          <w:sz w:val="21"/>
          <w:szCs w:val="21"/>
        </w:rPr>
      </w:pPr>
      <w:r>
        <w:rPr>
          <w:rFonts w:ascii="宋体" w:hAnsi="宋体" w:eastAsia="宋体" w:cs="宋体"/>
          <w:sz w:val="21"/>
          <w:szCs w:val="21"/>
        </w:rPr>
        <w:t>经监理人验收后工程质量符合约定的验收标</w:t>
      </w:r>
      <w:r>
        <w:rPr>
          <w:rFonts w:ascii="宋体" w:hAnsi="宋体" w:eastAsia="宋体" w:cs="宋体"/>
          <w:spacing w:val="-1"/>
          <w:sz w:val="21"/>
          <w:szCs w:val="21"/>
        </w:rPr>
        <w:t>准，但验收</w:t>
      </w:r>
      <w:r>
        <w:rPr>
          <w:rFonts w:ascii="宋体" w:hAnsi="宋体" w:eastAsia="宋体" w:cs="宋体"/>
          <w:spacing w:val="-39"/>
          <w:sz w:val="21"/>
          <w:szCs w:val="21"/>
        </w:rPr>
        <w:t xml:space="preserve"> </w:t>
      </w:r>
      <w:r>
        <w:rPr>
          <w:rFonts w:ascii="宋体" w:hAnsi="宋体" w:eastAsia="宋体" w:cs="宋体"/>
          <w:spacing w:val="-1"/>
          <w:sz w:val="21"/>
          <w:szCs w:val="21"/>
        </w:rPr>
        <w:t>24</w:t>
      </w:r>
      <w:r>
        <w:rPr>
          <w:rFonts w:ascii="宋体" w:hAnsi="宋体" w:eastAsia="宋体" w:cs="宋体"/>
          <w:spacing w:val="-31"/>
          <w:sz w:val="21"/>
          <w:szCs w:val="21"/>
        </w:rPr>
        <w:t xml:space="preserve"> </w:t>
      </w:r>
      <w:r>
        <w:rPr>
          <w:rFonts w:ascii="宋体" w:hAnsi="宋体" w:eastAsia="宋体" w:cs="宋体"/>
          <w:spacing w:val="-1"/>
          <w:sz w:val="21"/>
          <w:szCs w:val="21"/>
        </w:rPr>
        <w:t>小时后监理人仍不在验收记录上签字的，视为监理人已经认可验收记录，承包人可继续施工。</w:t>
      </w:r>
    </w:p>
    <w:p w14:paraId="3F391DD3">
      <w:pPr>
        <w:spacing w:before="35" w:line="236" w:lineRule="auto"/>
        <w:ind w:left="49"/>
        <w:outlineLvl w:val="1"/>
        <w:rPr>
          <w:rFonts w:ascii="黑体" w:hAnsi="黑体" w:eastAsia="黑体" w:cs="黑体"/>
          <w:sz w:val="28"/>
          <w:szCs w:val="28"/>
        </w:rPr>
      </w:pPr>
      <w:bookmarkStart w:id="314" w:name="bookmark273"/>
      <w:bookmarkEnd w:id="314"/>
      <w:bookmarkStart w:id="315" w:name="bookmark272"/>
      <w:bookmarkEnd w:id="315"/>
      <w:r>
        <w:rPr>
          <w:rFonts w:ascii="Times New Roman" w:hAnsi="Times New Roman" w:eastAsia="Times New Roman" w:cs="Times New Roman"/>
          <w:spacing w:val="2"/>
          <w:sz w:val="28"/>
          <w:szCs w:val="28"/>
        </w:rPr>
        <w:t>19.</w:t>
      </w:r>
      <w:r>
        <w:rPr>
          <w:rFonts w:ascii="黑体" w:hAnsi="黑体" w:eastAsia="黑体" w:cs="黑体"/>
          <w:spacing w:val="2"/>
          <w:sz w:val="28"/>
          <w:szCs w:val="28"/>
        </w:rPr>
        <w:t>缺陷责任与保修责任</w:t>
      </w:r>
    </w:p>
    <w:p w14:paraId="4221FF9B">
      <w:pPr>
        <w:spacing w:before="71" w:line="232" w:lineRule="auto"/>
        <w:ind w:left="44"/>
        <w:outlineLvl w:val="2"/>
        <w:rPr>
          <w:rFonts w:ascii="黑体" w:hAnsi="黑体" w:eastAsia="黑体" w:cs="黑体"/>
          <w:sz w:val="24"/>
          <w:szCs w:val="24"/>
        </w:rPr>
      </w:pPr>
      <w:bookmarkStart w:id="316" w:name="bookmark674"/>
      <w:bookmarkEnd w:id="316"/>
      <w:r>
        <w:rPr>
          <w:rFonts w:ascii="Times New Roman" w:hAnsi="Times New Roman" w:eastAsia="Times New Roman" w:cs="Times New Roman"/>
          <w:spacing w:val="-3"/>
          <w:sz w:val="24"/>
          <w:szCs w:val="24"/>
        </w:rPr>
        <w:t xml:space="preserve">19.7 </w:t>
      </w:r>
      <w:r>
        <w:rPr>
          <w:rFonts w:ascii="黑体" w:hAnsi="黑体" w:eastAsia="黑体" w:cs="黑体"/>
          <w:spacing w:val="-3"/>
          <w:sz w:val="24"/>
          <w:szCs w:val="24"/>
        </w:rPr>
        <w:t>保修责任</w:t>
      </w:r>
    </w:p>
    <w:p w14:paraId="56715092">
      <w:pPr>
        <w:spacing w:before="130" w:line="220" w:lineRule="auto"/>
        <w:jc w:val="right"/>
        <w:rPr>
          <w:rFonts w:ascii="宋体" w:hAnsi="宋体" w:eastAsia="宋体" w:cs="宋体"/>
          <w:sz w:val="21"/>
          <w:szCs w:val="21"/>
        </w:rPr>
      </w:pPr>
      <w:r>
        <w:rPr>
          <w:rFonts w:ascii="宋体" w:hAnsi="宋体" w:eastAsia="宋体" w:cs="宋体"/>
          <w:spacing w:val="-13"/>
          <w:sz w:val="21"/>
          <w:szCs w:val="21"/>
        </w:rPr>
        <w:t>(1)工程质量保修范围：</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7C5CA160">
      <w:pPr>
        <w:spacing w:before="140" w:line="220" w:lineRule="auto"/>
        <w:jc w:val="right"/>
        <w:rPr>
          <w:rFonts w:ascii="宋体" w:hAnsi="宋体" w:eastAsia="宋体" w:cs="宋体"/>
          <w:sz w:val="21"/>
          <w:szCs w:val="21"/>
        </w:rPr>
      </w:pPr>
      <w:r>
        <w:rPr>
          <w:rFonts w:ascii="宋体" w:hAnsi="宋体" w:eastAsia="宋体" w:cs="宋体"/>
          <w:spacing w:val="-13"/>
          <w:sz w:val="21"/>
          <w:szCs w:val="21"/>
        </w:rPr>
        <w:t>(2)工程质量保修期限：</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196562A0">
      <w:pPr>
        <w:spacing w:before="140" w:line="220" w:lineRule="auto"/>
        <w:jc w:val="right"/>
        <w:rPr>
          <w:rFonts w:ascii="宋体" w:hAnsi="宋体" w:eastAsia="宋体" w:cs="宋体"/>
          <w:sz w:val="21"/>
          <w:szCs w:val="21"/>
        </w:rPr>
      </w:pPr>
      <w:r>
        <w:rPr>
          <w:rFonts w:ascii="宋体" w:hAnsi="宋体" w:eastAsia="宋体" w:cs="宋体"/>
          <w:spacing w:val="-13"/>
          <w:sz w:val="21"/>
          <w:szCs w:val="21"/>
        </w:rPr>
        <w:t>(3)工程质量保修责任：</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16922D90">
      <w:pPr>
        <w:spacing w:line="220" w:lineRule="auto"/>
        <w:rPr>
          <w:rFonts w:ascii="宋体" w:hAnsi="宋体" w:eastAsia="宋体" w:cs="宋体"/>
          <w:sz w:val="21"/>
          <w:szCs w:val="21"/>
        </w:rPr>
        <w:sectPr>
          <w:footerReference r:id="rId131" w:type="default"/>
          <w:pgSz w:w="11910" w:h="16845"/>
          <w:pgMar w:top="400" w:right="1709" w:bottom="1110" w:left="1786" w:header="0" w:footer="882" w:gutter="0"/>
          <w:cols w:space="720" w:num="1"/>
        </w:sectPr>
      </w:pPr>
    </w:p>
    <w:p w14:paraId="6A4B6A4A">
      <w:pPr>
        <w:pStyle w:val="2"/>
        <w:spacing w:line="275" w:lineRule="auto"/>
      </w:pPr>
    </w:p>
    <w:p w14:paraId="6B1934FB">
      <w:pPr>
        <w:pStyle w:val="2"/>
        <w:spacing w:line="275" w:lineRule="auto"/>
      </w:pPr>
    </w:p>
    <w:p w14:paraId="654CB020">
      <w:pPr>
        <w:pStyle w:val="2"/>
        <w:spacing w:line="275" w:lineRule="auto"/>
      </w:pPr>
    </w:p>
    <w:p w14:paraId="71EFBD15">
      <w:pPr>
        <w:pStyle w:val="2"/>
        <w:spacing w:line="276" w:lineRule="auto"/>
      </w:pPr>
    </w:p>
    <w:p w14:paraId="491012B3">
      <w:pPr>
        <w:spacing w:before="68" w:line="344" w:lineRule="auto"/>
        <w:ind w:left="23" w:right="66" w:firstLine="422"/>
        <w:jc w:val="both"/>
        <w:rPr>
          <w:rFonts w:ascii="宋体" w:hAnsi="宋体" w:eastAsia="宋体" w:cs="宋体"/>
          <w:sz w:val="21"/>
          <w:szCs w:val="21"/>
        </w:rPr>
      </w:pPr>
      <w:r>
        <w:rPr>
          <w:rFonts w:ascii="宋体" w:hAnsi="宋体" w:eastAsia="宋体" w:cs="宋体"/>
          <w:spacing w:val="-2"/>
          <w:sz w:val="21"/>
          <w:szCs w:val="21"/>
        </w:rPr>
        <w:t>质量保修书是竣工验收申请报告的组成内容。承包人应当按照有关法律</w:t>
      </w:r>
      <w:r>
        <w:rPr>
          <w:rFonts w:ascii="宋体" w:hAnsi="宋体" w:eastAsia="宋体" w:cs="宋体"/>
          <w:spacing w:val="-3"/>
          <w:sz w:val="21"/>
          <w:szCs w:val="21"/>
        </w:rPr>
        <w:t>法规规定和合同</w:t>
      </w:r>
      <w:r>
        <w:rPr>
          <w:rFonts w:ascii="宋体" w:hAnsi="宋体" w:eastAsia="宋体" w:cs="宋体"/>
          <w:spacing w:val="-2"/>
          <w:sz w:val="21"/>
          <w:szCs w:val="21"/>
        </w:rPr>
        <w:t>所附的格式出具质量保修书，质量保修书的主要内容应当与本款上述约定内容一致。承包人</w:t>
      </w:r>
      <w:r>
        <w:rPr>
          <w:rFonts w:ascii="宋体" w:hAnsi="宋体" w:eastAsia="宋体" w:cs="宋体"/>
          <w:spacing w:val="-1"/>
          <w:sz w:val="21"/>
          <w:szCs w:val="21"/>
        </w:rPr>
        <w:t>在递交合同条款第</w:t>
      </w:r>
      <w:r>
        <w:rPr>
          <w:rFonts w:ascii="宋体" w:hAnsi="宋体" w:eastAsia="宋体" w:cs="宋体"/>
          <w:spacing w:val="-22"/>
          <w:sz w:val="21"/>
          <w:szCs w:val="21"/>
        </w:rPr>
        <w:t xml:space="preserve"> </w:t>
      </w:r>
      <w:r>
        <w:rPr>
          <w:rFonts w:ascii="宋体" w:hAnsi="宋体" w:eastAsia="宋体" w:cs="宋体"/>
          <w:spacing w:val="-1"/>
          <w:sz w:val="21"/>
          <w:szCs w:val="21"/>
        </w:rPr>
        <w:t>18.2</w:t>
      </w:r>
      <w:r>
        <w:rPr>
          <w:rFonts w:ascii="宋体" w:hAnsi="宋体" w:eastAsia="宋体" w:cs="宋体"/>
          <w:spacing w:val="-36"/>
          <w:sz w:val="21"/>
          <w:szCs w:val="21"/>
        </w:rPr>
        <w:t xml:space="preserve"> </w:t>
      </w:r>
      <w:r>
        <w:rPr>
          <w:rFonts w:ascii="宋体" w:hAnsi="宋体" w:eastAsia="宋体" w:cs="宋体"/>
          <w:spacing w:val="-1"/>
          <w:sz w:val="21"/>
          <w:szCs w:val="21"/>
        </w:rPr>
        <w:t>款约定的竣工验收报告的同</w:t>
      </w:r>
      <w:r>
        <w:rPr>
          <w:rFonts w:ascii="宋体" w:hAnsi="宋体" w:eastAsia="宋体" w:cs="宋体"/>
          <w:spacing w:val="-2"/>
          <w:sz w:val="21"/>
          <w:szCs w:val="21"/>
        </w:rPr>
        <w:t>时，将质量保修书一并报送监理人。</w:t>
      </w:r>
    </w:p>
    <w:p w14:paraId="7E85659E">
      <w:pPr>
        <w:spacing w:before="37" w:line="237" w:lineRule="auto"/>
        <w:ind w:left="21"/>
        <w:outlineLvl w:val="1"/>
        <w:rPr>
          <w:rFonts w:ascii="黑体" w:hAnsi="黑体" w:eastAsia="黑体" w:cs="黑体"/>
          <w:sz w:val="28"/>
          <w:szCs w:val="28"/>
        </w:rPr>
      </w:pPr>
      <w:bookmarkStart w:id="317" w:name="bookmark274"/>
      <w:bookmarkEnd w:id="317"/>
      <w:bookmarkStart w:id="318" w:name="bookmark275"/>
      <w:bookmarkEnd w:id="318"/>
      <w:r>
        <w:rPr>
          <w:rFonts w:ascii="Times New Roman" w:hAnsi="Times New Roman" w:eastAsia="Times New Roman" w:cs="Times New Roman"/>
          <w:spacing w:val="3"/>
          <w:sz w:val="28"/>
          <w:szCs w:val="28"/>
        </w:rPr>
        <w:t>20.</w:t>
      </w:r>
      <w:r>
        <w:rPr>
          <w:rFonts w:ascii="黑体" w:hAnsi="黑体" w:eastAsia="黑体" w:cs="黑体"/>
          <w:spacing w:val="3"/>
          <w:sz w:val="28"/>
          <w:szCs w:val="28"/>
        </w:rPr>
        <w:t>保险</w:t>
      </w:r>
    </w:p>
    <w:p w14:paraId="688711FD">
      <w:pPr>
        <w:spacing w:before="69" w:line="233" w:lineRule="auto"/>
        <w:ind w:left="21"/>
        <w:outlineLvl w:val="2"/>
        <w:rPr>
          <w:rFonts w:ascii="黑体" w:hAnsi="黑体" w:eastAsia="黑体" w:cs="黑体"/>
          <w:sz w:val="24"/>
          <w:szCs w:val="24"/>
        </w:rPr>
      </w:pPr>
      <w:bookmarkStart w:id="319" w:name="bookmark675"/>
      <w:bookmarkEnd w:id="319"/>
      <w:r>
        <w:rPr>
          <w:rFonts w:ascii="Times New Roman" w:hAnsi="Times New Roman" w:eastAsia="Times New Roman" w:cs="Times New Roman"/>
          <w:spacing w:val="-1"/>
          <w:sz w:val="24"/>
          <w:szCs w:val="24"/>
        </w:rPr>
        <w:t xml:space="preserve">20.1 </w:t>
      </w:r>
      <w:r>
        <w:rPr>
          <w:rFonts w:ascii="黑体" w:hAnsi="黑体" w:eastAsia="黑体" w:cs="黑体"/>
          <w:spacing w:val="-1"/>
          <w:sz w:val="24"/>
          <w:szCs w:val="24"/>
        </w:rPr>
        <w:t>工程保险</w:t>
      </w:r>
    </w:p>
    <w:p w14:paraId="2AC175FE">
      <w:pPr>
        <w:spacing w:before="129" w:line="343" w:lineRule="auto"/>
        <w:ind w:left="26" w:right="73" w:firstLine="418"/>
        <w:rPr>
          <w:rFonts w:ascii="宋体" w:hAnsi="宋体" w:eastAsia="宋体" w:cs="宋体"/>
          <w:sz w:val="21"/>
          <w:szCs w:val="21"/>
        </w:rPr>
      </w:pPr>
      <w:r>
        <w:rPr>
          <w:rFonts w:ascii="宋体" w:hAnsi="宋体" w:eastAsia="宋体" w:cs="宋体"/>
          <w:spacing w:val="-6"/>
          <w:sz w:val="21"/>
          <w:szCs w:val="21"/>
        </w:rPr>
        <w:t>本工程</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6"/>
          <w:sz w:val="21"/>
          <w:szCs w:val="21"/>
        </w:rPr>
        <w:t>(投保／不投保)工程保险。投保工程保险时，险种</w:t>
      </w:r>
      <w:r>
        <w:rPr>
          <w:rFonts w:ascii="宋体" w:hAnsi="宋体" w:eastAsia="宋体" w:cs="宋体"/>
          <w:spacing w:val="-3"/>
          <w:sz w:val="21"/>
          <w:szCs w:val="21"/>
        </w:rPr>
        <w:t>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3"/>
          <w:sz w:val="21"/>
          <w:szCs w:val="21"/>
        </w:rPr>
        <w:t>并符合以下约定。</w:t>
      </w:r>
    </w:p>
    <w:p w14:paraId="303CB18A">
      <w:pPr>
        <w:spacing w:line="220" w:lineRule="auto"/>
        <w:jc w:val="right"/>
        <w:rPr>
          <w:rFonts w:ascii="宋体" w:hAnsi="宋体" w:eastAsia="宋体" w:cs="宋体"/>
          <w:sz w:val="21"/>
          <w:szCs w:val="21"/>
        </w:rPr>
      </w:pPr>
      <w:r>
        <w:rPr>
          <w:rFonts w:ascii="宋体" w:hAnsi="宋体" w:eastAsia="宋体" w:cs="宋体"/>
          <w:spacing w:val="-21"/>
          <w:sz w:val="21"/>
          <w:szCs w:val="21"/>
        </w:rPr>
        <w:t>(1)投保人：</w:t>
      </w:r>
      <w:r>
        <w:rPr>
          <w:rFonts w:ascii="宋体" w:hAnsi="宋体" w:eastAsia="宋体" w:cs="宋体"/>
          <w:sz w:val="21"/>
          <w:szCs w:val="21"/>
          <w:u w:val="single" w:color="auto"/>
        </w:rPr>
        <w:t xml:space="preserve">                                                                </w:t>
      </w:r>
      <w:r>
        <w:rPr>
          <w:rFonts w:ascii="宋体" w:hAnsi="宋体" w:eastAsia="宋体" w:cs="宋体"/>
          <w:spacing w:val="-21"/>
          <w:sz w:val="21"/>
          <w:szCs w:val="21"/>
        </w:rPr>
        <w:t>。</w:t>
      </w:r>
    </w:p>
    <w:p w14:paraId="1091BB9C">
      <w:pPr>
        <w:spacing w:before="139" w:line="220" w:lineRule="auto"/>
        <w:jc w:val="right"/>
        <w:rPr>
          <w:rFonts w:ascii="宋体" w:hAnsi="宋体" w:eastAsia="宋体" w:cs="宋体"/>
          <w:sz w:val="21"/>
          <w:szCs w:val="21"/>
        </w:rPr>
      </w:pPr>
      <w:r>
        <w:rPr>
          <w:rFonts w:ascii="宋体" w:hAnsi="宋体" w:eastAsia="宋体" w:cs="宋体"/>
          <w:spacing w:val="-19"/>
          <w:sz w:val="21"/>
          <w:szCs w:val="21"/>
        </w:rPr>
        <w:t>(2)投保内容：</w:t>
      </w:r>
      <w:r>
        <w:rPr>
          <w:rFonts w:ascii="宋体" w:hAnsi="宋体" w:eastAsia="宋体" w:cs="宋体"/>
          <w:sz w:val="21"/>
          <w:szCs w:val="21"/>
          <w:u w:val="single" w:color="auto"/>
        </w:rPr>
        <w:t xml:space="preserve">                                                              </w:t>
      </w:r>
      <w:r>
        <w:rPr>
          <w:rFonts w:ascii="宋体" w:hAnsi="宋体" w:eastAsia="宋体" w:cs="宋体"/>
          <w:spacing w:val="-19"/>
          <w:sz w:val="21"/>
          <w:szCs w:val="21"/>
        </w:rPr>
        <w:t>。</w:t>
      </w:r>
    </w:p>
    <w:p w14:paraId="357E1E34">
      <w:pPr>
        <w:spacing w:before="140" w:line="220" w:lineRule="auto"/>
        <w:ind w:left="481"/>
        <w:rPr>
          <w:rFonts w:ascii="宋体" w:hAnsi="宋体" w:eastAsia="宋体" w:cs="宋体"/>
          <w:sz w:val="21"/>
          <w:szCs w:val="21"/>
        </w:rPr>
      </w:pPr>
      <w:r>
        <w:rPr>
          <w:rFonts w:ascii="宋体" w:hAnsi="宋体" w:eastAsia="宋体" w:cs="宋体"/>
          <w:spacing w:val="-3"/>
          <w:sz w:val="21"/>
          <w:szCs w:val="21"/>
        </w:rPr>
        <w:t>(3)保险费率：由投保人与合同双方同意的保险人商定。</w:t>
      </w:r>
    </w:p>
    <w:p w14:paraId="01679FC7">
      <w:pPr>
        <w:spacing w:before="139" w:line="220" w:lineRule="auto"/>
        <w:jc w:val="right"/>
        <w:rPr>
          <w:rFonts w:ascii="宋体" w:hAnsi="宋体" w:eastAsia="宋体" w:cs="宋体"/>
          <w:sz w:val="21"/>
          <w:szCs w:val="21"/>
        </w:rPr>
      </w:pPr>
      <w:r>
        <w:rPr>
          <w:rFonts w:ascii="宋体" w:hAnsi="宋体" w:eastAsia="宋体" w:cs="宋体"/>
          <w:spacing w:val="-19"/>
          <w:sz w:val="21"/>
          <w:szCs w:val="21"/>
        </w:rPr>
        <w:t>(4)保险金额：</w:t>
      </w:r>
      <w:r>
        <w:rPr>
          <w:rFonts w:ascii="宋体" w:hAnsi="宋体" w:eastAsia="宋体" w:cs="宋体"/>
          <w:sz w:val="21"/>
          <w:szCs w:val="21"/>
          <w:u w:val="single" w:color="auto"/>
        </w:rPr>
        <w:t xml:space="preserve">                                                              </w:t>
      </w:r>
      <w:r>
        <w:rPr>
          <w:rFonts w:ascii="宋体" w:hAnsi="宋体" w:eastAsia="宋体" w:cs="宋体"/>
          <w:spacing w:val="-19"/>
          <w:sz w:val="21"/>
          <w:szCs w:val="21"/>
        </w:rPr>
        <w:t>。</w:t>
      </w:r>
    </w:p>
    <w:p w14:paraId="49FD0BE7">
      <w:pPr>
        <w:spacing w:before="142" w:line="220" w:lineRule="auto"/>
        <w:jc w:val="right"/>
        <w:rPr>
          <w:rFonts w:ascii="宋体" w:hAnsi="宋体" w:eastAsia="宋体" w:cs="宋体"/>
          <w:sz w:val="21"/>
          <w:szCs w:val="21"/>
        </w:rPr>
      </w:pPr>
      <w:r>
        <w:rPr>
          <w:rFonts w:ascii="宋体" w:hAnsi="宋体" w:eastAsia="宋体" w:cs="宋体"/>
          <w:spacing w:val="-19"/>
          <w:sz w:val="21"/>
          <w:szCs w:val="21"/>
        </w:rPr>
        <w:t>(5)保险期限：</w:t>
      </w:r>
      <w:r>
        <w:rPr>
          <w:rFonts w:ascii="宋体" w:hAnsi="宋体" w:eastAsia="宋体" w:cs="宋体"/>
          <w:sz w:val="21"/>
          <w:szCs w:val="21"/>
          <w:u w:val="single" w:color="auto"/>
        </w:rPr>
        <w:t xml:space="preserve">                                                              </w:t>
      </w:r>
      <w:r>
        <w:rPr>
          <w:rFonts w:ascii="宋体" w:hAnsi="宋体" w:eastAsia="宋体" w:cs="宋体"/>
          <w:spacing w:val="-19"/>
          <w:sz w:val="21"/>
          <w:szCs w:val="21"/>
        </w:rPr>
        <w:t>。</w:t>
      </w:r>
    </w:p>
    <w:p w14:paraId="61F69F2F">
      <w:pPr>
        <w:spacing w:before="114" w:line="232" w:lineRule="auto"/>
        <w:ind w:left="21"/>
        <w:outlineLvl w:val="2"/>
        <w:rPr>
          <w:rFonts w:ascii="黑体" w:hAnsi="黑体" w:eastAsia="黑体" w:cs="黑体"/>
          <w:sz w:val="24"/>
          <w:szCs w:val="24"/>
        </w:rPr>
      </w:pPr>
      <w:bookmarkStart w:id="320" w:name="bookmark276"/>
      <w:bookmarkEnd w:id="320"/>
      <w:r>
        <w:rPr>
          <w:rFonts w:ascii="Times New Roman" w:hAnsi="Times New Roman" w:eastAsia="Times New Roman" w:cs="Times New Roman"/>
          <w:spacing w:val="-1"/>
          <w:sz w:val="24"/>
          <w:szCs w:val="24"/>
        </w:rPr>
        <w:t xml:space="preserve">20.4 </w:t>
      </w:r>
      <w:r>
        <w:rPr>
          <w:rFonts w:ascii="黑体" w:hAnsi="黑体" w:eastAsia="黑体" w:cs="黑体"/>
          <w:spacing w:val="-1"/>
          <w:sz w:val="24"/>
          <w:szCs w:val="24"/>
        </w:rPr>
        <w:t>第三者责任险</w:t>
      </w:r>
    </w:p>
    <w:p w14:paraId="1DD18082">
      <w:pPr>
        <w:spacing w:before="129" w:line="332" w:lineRule="auto"/>
        <w:ind w:left="25" w:right="76" w:firstLine="422"/>
        <w:rPr>
          <w:rFonts w:ascii="宋体" w:hAnsi="宋体" w:eastAsia="宋体" w:cs="宋体"/>
          <w:sz w:val="21"/>
          <w:szCs w:val="21"/>
        </w:rPr>
      </w:pPr>
      <w:r>
        <w:rPr>
          <w:rFonts w:ascii="宋体" w:hAnsi="宋体" w:eastAsia="宋体" w:cs="宋体"/>
          <w:spacing w:val="-2"/>
          <w:sz w:val="21"/>
          <w:szCs w:val="21"/>
        </w:rPr>
        <w:t>20.4.2</w:t>
      </w:r>
      <w:r>
        <w:rPr>
          <w:rFonts w:ascii="宋体" w:hAnsi="宋体" w:eastAsia="宋体" w:cs="宋体"/>
          <w:spacing w:val="-34"/>
          <w:sz w:val="21"/>
          <w:szCs w:val="21"/>
        </w:rPr>
        <w:t xml:space="preserve"> </w:t>
      </w:r>
      <w:r>
        <w:rPr>
          <w:rFonts w:ascii="宋体" w:hAnsi="宋体" w:eastAsia="宋体" w:cs="宋体"/>
          <w:spacing w:val="-2"/>
          <w:sz w:val="21"/>
          <w:szCs w:val="21"/>
        </w:rPr>
        <w:t>保险金额</w:t>
      </w:r>
      <w:r>
        <w:rPr>
          <w:rFonts w:ascii="宋体" w:hAnsi="宋体" w:eastAsia="宋体" w:cs="宋体"/>
          <w:spacing w:val="-24"/>
          <w:sz w:val="21"/>
          <w:szCs w:val="21"/>
        </w:rPr>
        <w:t>：</w:t>
      </w:r>
      <w:r>
        <w:rPr>
          <w:rFonts w:ascii="宋体" w:hAnsi="宋体" w:eastAsia="宋体" w:cs="宋体"/>
          <w:sz w:val="21"/>
          <w:szCs w:val="21"/>
          <w:u w:val="single" w:color="auto"/>
        </w:rPr>
        <w:t xml:space="preserve">                                                         </w:t>
      </w:r>
      <w:r>
        <w:rPr>
          <w:rFonts w:ascii="宋体" w:hAnsi="宋体" w:eastAsia="宋体" w:cs="宋体"/>
          <w:spacing w:val="-24"/>
          <w:sz w:val="21"/>
          <w:szCs w:val="21"/>
        </w:rPr>
        <w:t>，</w:t>
      </w:r>
      <w:r>
        <w:rPr>
          <w:rFonts w:ascii="宋体" w:hAnsi="宋体" w:eastAsia="宋体" w:cs="宋体"/>
          <w:spacing w:val="-1"/>
          <w:sz w:val="21"/>
          <w:szCs w:val="21"/>
        </w:rPr>
        <w:t>保险费率由承包人与发包人同意的保险人商定，相关保险费由</w:t>
      </w:r>
      <w:r>
        <w:rPr>
          <w:rFonts w:ascii="宋体" w:hAnsi="宋体" w:eastAsia="宋体" w:cs="宋体"/>
          <w:spacing w:val="-1"/>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承担。</w:t>
      </w:r>
    </w:p>
    <w:p w14:paraId="4DDECEAD">
      <w:pPr>
        <w:spacing w:line="233" w:lineRule="auto"/>
        <w:ind w:left="21"/>
        <w:outlineLvl w:val="2"/>
        <w:rPr>
          <w:rFonts w:ascii="黑体" w:hAnsi="黑体" w:eastAsia="黑体" w:cs="黑体"/>
          <w:sz w:val="24"/>
          <w:szCs w:val="24"/>
        </w:rPr>
      </w:pPr>
      <w:bookmarkStart w:id="321" w:name="bookmark277"/>
      <w:bookmarkEnd w:id="321"/>
      <w:r>
        <w:rPr>
          <w:rFonts w:ascii="Times New Roman" w:hAnsi="Times New Roman" w:eastAsia="Times New Roman" w:cs="Times New Roman"/>
          <w:spacing w:val="-2"/>
          <w:sz w:val="24"/>
          <w:szCs w:val="24"/>
        </w:rPr>
        <w:t>20.5</w:t>
      </w:r>
      <w:r>
        <w:rPr>
          <w:rFonts w:ascii="Times New Roman" w:hAnsi="Times New Roman" w:eastAsia="Times New Roman" w:cs="Times New Roman"/>
          <w:spacing w:val="14"/>
          <w:sz w:val="24"/>
          <w:szCs w:val="24"/>
        </w:rPr>
        <w:t xml:space="preserve"> </w:t>
      </w:r>
      <w:r>
        <w:rPr>
          <w:rFonts w:ascii="黑体" w:hAnsi="黑体" w:eastAsia="黑体" w:cs="黑体"/>
          <w:spacing w:val="-2"/>
          <w:sz w:val="24"/>
          <w:szCs w:val="24"/>
        </w:rPr>
        <w:t>其他保险</w:t>
      </w:r>
    </w:p>
    <w:p w14:paraId="23EFAB34">
      <w:pPr>
        <w:spacing w:before="113" w:line="219" w:lineRule="auto"/>
        <w:ind w:left="444"/>
        <w:rPr>
          <w:rFonts w:ascii="宋体" w:hAnsi="宋体" w:eastAsia="宋体" w:cs="宋体"/>
          <w:sz w:val="21"/>
          <w:szCs w:val="21"/>
        </w:rPr>
      </w:pPr>
      <w:r>
        <w:rPr>
          <w:rFonts w:ascii="宋体" w:hAnsi="宋体" w:eastAsia="宋体" w:cs="宋体"/>
          <w:sz w:val="21"/>
          <w:szCs w:val="21"/>
        </w:rPr>
        <w:t>承包人应为其施工设备、进场材料和工程设备等办理的</w:t>
      </w:r>
      <w:r>
        <w:rPr>
          <w:rFonts w:ascii="宋体" w:hAnsi="宋体" w:eastAsia="宋体" w:cs="宋体"/>
          <w:spacing w:val="-1"/>
          <w:sz w:val="21"/>
          <w:szCs w:val="21"/>
        </w:rPr>
        <w:t>保险：</w:t>
      </w:r>
      <w:r>
        <w:rPr>
          <w:rFonts w:ascii="宋体" w:hAnsi="宋体" w:eastAsia="宋体" w:cs="宋体"/>
          <w:sz w:val="21"/>
          <w:szCs w:val="21"/>
          <w:u w:val="single" w:color="auto"/>
        </w:rPr>
        <w:t xml:space="preserve">                      </w:t>
      </w:r>
    </w:p>
    <w:p w14:paraId="23754CB5">
      <w:pPr>
        <w:spacing w:before="276" w:line="46" w:lineRule="exact"/>
        <w:jc w:val="right"/>
        <w:rPr>
          <w:rFonts w:ascii="宋体" w:hAnsi="宋体" w:eastAsia="宋体" w:cs="宋体"/>
          <w:sz w:val="21"/>
          <w:szCs w:val="21"/>
        </w:rPr>
      </w:pPr>
      <w:r>
        <w:pict>
          <v:shape id="_x0000_s1045" o:spid="_x0000_s1045" o:spt="202" type="#_x0000_t202" style="position:absolute;left:0pt;margin-left:20.8pt;margin-top:7.1pt;height:14.1pt;width:391pt;z-index:251691008;mso-width-relative:page;mso-height-relative:page;" filled="f" stroked="f" coordsize="21600,21600">
            <v:path/>
            <v:fill on="f" focussize="0,0"/>
            <v:stroke on="f"/>
            <v:imagedata o:title=""/>
            <o:lock v:ext="edit" aspectratio="f"/>
            <v:textbox inset="0mm,0mm,0mm,0mm">
              <w:txbxContent>
                <w:p w14:paraId="4357D488">
                  <w:pPr>
                    <w:pStyle w:val="2"/>
                    <w:tabs>
                      <w:tab w:val="left" w:pos="7799"/>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3B407AB4">
      <w:pPr>
        <w:spacing w:before="184" w:line="232" w:lineRule="auto"/>
        <w:ind w:left="21"/>
        <w:outlineLvl w:val="2"/>
        <w:rPr>
          <w:rFonts w:ascii="黑体" w:hAnsi="黑体" w:eastAsia="黑体" w:cs="黑体"/>
          <w:sz w:val="24"/>
          <w:szCs w:val="24"/>
        </w:rPr>
      </w:pPr>
      <w:bookmarkStart w:id="322" w:name="bookmark278"/>
      <w:bookmarkEnd w:id="322"/>
      <w:r>
        <w:rPr>
          <w:rFonts w:ascii="Times New Roman" w:hAnsi="Times New Roman" w:eastAsia="Times New Roman" w:cs="Times New Roman"/>
          <w:spacing w:val="-1"/>
          <w:sz w:val="24"/>
          <w:szCs w:val="24"/>
        </w:rPr>
        <w:t xml:space="preserve">20.6 </w:t>
      </w:r>
      <w:r>
        <w:rPr>
          <w:rFonts w:ascii="黑体" w:hAnsi="黑体" w:eastAsia="黑体" w:cs="黑体"/>
          <w:spacing w:val="-1"/>
          <w:sz w:val="24"/>
          <w:szCs w:val="24"/>
        </w:rPr>
        <w:t>对各项保险的一般要求</w:t>
      </w:r>
    </w:p>
    <w:p w14:paraId="297BC8C9">
      <w:pPr>
        <w:spacing w:before="219" w:line="218" w:lineRule="auto"/>
        <w:ind w:left="22"/>
        <w:rPr>
          <w:rFonts w:ascii="黑体" w:hAnsi="黑体" w:eastAsia="黑体" w:cs="黑体"/>
          <w:sz w:val="21"/>
          <w:szCs w:val="21"/>
        </w:rPr>
      </w:pPr>
      <w:r>
        <w:rPr>
          <w:rFonts w:ascii="黑体" w:hAnsi="黑体" w:eastAsia="黑体" w:cs="黑体"/>
          <w:spacing w:val="-2"/>
          <w:sz w:val="21"/>
          <w:szCs w:val="21"/>
        </w:rPr>
        <w:t>20.6.1</w:t>
      </w:r>
      <w:r>
        <w:rPr>
          <w:rFonts w:ascii="黑体" w:hAnsi="黑体" w:eastAsia="黑体" w:cs="黑体"/>
          <w:spacing w:val="-30"/>
          <w:sz w:val="21"/>
          <w:szCs w:val="21"/>
        </w:rPr>
        <w:t xml:space="preserve"> </w:t>
      </w:r>
      <w:r>
        <w:rPr>
          <w:rFonts w:ascii="黑体" w:hAnsi="黑体" w:eastAsia="黑体" w:cs="黑体"/>
          <w:spacing w:val="-2"/>
          <w:sz w:val="21"/>
          <w:szCs w:val="21"/>
        </w:rPr>
        <w:t>保险凭证</w:t>
      </w:r>
    </w:p>
    <w:p w14:paraId="7623803C">
      <w:pPr>
        <w:spacing w:before="233" w:line="219" w:lineRule="auto"/>
        <w:ind w:left="444"/>
        <w:rPr>
          <w:rFonts w:ascii="宋体" w:hAnsi="宋体" w:eastAsia="宋体" w:cs="宋体"/>
          <w:sz w:val="21"/>
          <w:szCs w:val="21"/>
        </w:rPr>
      </w:pPr>
      <w:r>
        <w:rPr>
          <w:rFonts w:ascii="宋体" w:hAnsi="宋体" w:eastAsia="宋体" w:cs="宋体"/>
          <w:sz w:val="21"/>
          <w:szCs w:val="21"/>
        </w:rPr>
        <w:t>承包人向发包人提交各项保险生效的证据和保险单副本的期</w:t>
      </w:r>
      <w:r>
        <w:rPr>
          <w:rFonts w:ascii="宋体" w:hAnsi="宋体" w:eastAsia="宋体" w:cs="宋体"/>
          <w:spacing w:val="-1"/>
          <w:sz w:val="21"/>
          <w:szCs w:val="21"/>
        </w:rPr>
        <w:t>限：</w:t>
      </w:r>
      <w:r>
        <w:rPr>
          <w:rFonts w:ascii="宋体" w:hAnsi="宋体" w:eastAsia="宋体" w:cs="宋体"/>
          <w:sz w:val="21"/>
          <w:szCs w:val="21"/>
          <w:u w:val="single" w:color="auto"/>
        </w:rPr>
        <w:t xml:space="preserve">                    </w:t>
      </w:r>
    </w:p>
    <w:p w14:paraId="511C84CB">
      <w:pPr>
        <w:spacing w:before="292" w:line="45" w:lineRule="exact"/>
        <w:jc w:val="right"/>
        <w:rPr>
          <w:rFonts w:ascii="宋体" w:hAnsi="宋体" w:eastAsia="宋体" w:cs="宋体"/>
          <w:sz w:val="21"/>
          <w:szCs w:val="21"/>
        </w:rPr>
      </w:pPr>
      <w:r>
        <w:pict>
          <v:shape id="_x0000_s1046" o:spid="_x0000_s1046" o:spt="202" type="#_x0000_t202" style="position:absolute;left:0pt;margin-left:-0.2pt;margin-top:7.85pt;height:14.1pt;width:412.05pt;z-index:251689984;mso-width-relative:page;mso-height-relative:page;" filled="f" stroked="f" coordsize="21600,21600">
            <v:path/>
            <v:fill on="f" focussize="0,0"/>
            <v:stroke on="f"/>
            <v:imagedata o:title=""/>
            <o:lock v:ext="edit" aspectratio="f"/>
            <v:textbox inset="0mm,0mm,0mm,0mm">
              <w:txbxContent>
                <w:p w14:paraId="050A2BEA">
                  <w:pPr>
                    <w:pStyle w:val="2"/>
                    <w:tabs>
                      <w:tab w:val="left" w:pos="8220"/>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2C6105ED">
      <w:pPr>
        <w:pStyle w:val="2"/>
        <w:spacing w:line="243" w:lineRule="auto"/>
      </w:pPr>
    </w:p>
    <w:p w14:paraId="0399CD28">
      <w:pPr>
        <w:spacing w:before="69" w:line="220" w:lineRule="auto"/>
        <w:ind w:left="22"/>
        <w:rPr>
          <w:rFonts w:ascii="黑体" w:hAnsi="黑体" w:eastAsia="黑体" w:cs="黑体"/>
          <w:sz w:val="21"/>
          <w:szCs w:val="21"/>
        </w:rPr>
      </w:pPr>
      <w:r>
        <w:rPr>
          <w:rFonts w:ascii="黑体" w:hAnsi="黑体" w:eastAsia="黑体" w:cs="黑体"/>
          <w:spacing w:val="-1"/>
          <w:sz w:val="21"/>
          <w:szCs w:val="21"/>
        </w:rPr>
        <w:t>20.6.4</w:t>
      </w:r>
      <w:r>
        <w:rPr>
          <w:rFonts w:ascii="黑体" w:hAnsi="黑体" w:eastAsia="黑体" w:cs="黑体"/>
          <w:spacing w:val="-35"/>
          <w:sz w:val="21"/>
          <w:szCs w:val="21"/>
        </w:rPr>
        <w:t xml:space="preserve"> </w:t>
      </w:r>
      <w:r>
        <w:rPr>
          <w:rFonts w:ascii="黑体" w:hAnsi="黑体" w:eastAsia="黑体" w:cs="黑体"/>
          <w:spacing w:val="-1"/>
          <w:sz w:val="21"/>
          <w:szCs w:val="21"/>
        </w:rPr>
        <w:t>保险金不足的补偿</w:t>
      </w:r>
    </w:p>
    <w:p w14:paraId="58790FAE">
      <w:pPr>
        <w:spacing w:before="231" w:line="220" w:lineRule="auto"/>
        <w:ind w:left="445"/>
        <w:rPr>
          <w:rFonts w:ascii="宋体" w:hAnsi="宋体" w:eastAsia="宋体" w:cs="宋体"/>
          <w:sz w:val="21"/>
          <w:szCs w:val="21"/>
        </w:rPr>
      </w:pPr>
      <w:r>
        <w:rPr>
          <w:rFonts w:ascii="宋体" w:hAnsi="宋体" w:eastAsia="宋体" w:cs="宋体"/>
          <w:sz w:val="21"/>
          <w:szCs w:val="21"/>
        </w:rPr>
        <w:t>保险金不足以补偿损失时，承包人和发包人负责补偿的责任</w:t>
      </w:r>
      <w:r>
        <w:rPr>
          <w:rFonts w:ascii="宋体" w:hAnsi="宋体" w:eastAsia="宋体" w:cs="宋体"/>
          <w:spacing w:val="-1"/>
          <w:sz w:val="21"/>
          <w:szCs w:val="21"/>
        </w:rPr>
        <w:t>分摊：</w:t>
      </w:r>
      <w:r>
        <w:rPr>
          <w:rFonts w:ascii="宋体" w:hAnsi="宋体" w:eastAsia="宋体" w:cs="宋体"/>
          <w:sz w:val="21"/>
          <w:szCs w:val="21"/>
          <w:u w:val="single" w:color="auto"/>
        </w:rPr>
        <w:t xml:space="preserve">                  </w:t>
      </w:r>
    </w:p>
    <w:p w14:paraId="4B16899A">
      <w:pPr>
        <w:spacing w:before="291" w:line="46" w:lineRule="exact"/>
        <w:jc w:val="right"/>
        <w:rPr>
          <w:rFonts w:ascii="宋体" w:hAnsi="宋体" w:eastAsia="宋体" w:cs="宋体"/>
          <w:sz w:val="21"/>
          <w:szCs w:val="21"/>
        </w:rPr>
      </w:pPr>
      <w:r>
        <w:pict>
          <v:shape id="_x0000_s1047" o:spid="_x0000_s1047" o:spt="202" type="#_x0000_t202" style="position:absolute;left:0pt;margin-left:-0.2pt;margin-top:7.8pt;height:79pt;width:418.05pt;z-index:251687936;mso-width-relative:page;mso-height-relative:page;" filled="f" stroked="f" coordsize="21600,21600">
            <v:path/>
            <v:fill on="f" focussize="0,0"/>
            <v:stroke on="f"/>
            <v:imagedata o:title=""/>
            <o:lock v:ext="edit" aspectratio="f"/>
            <v:textbox inset="0mm,0mm,0mm,0mm">
              <w:txbxContent>
                <w:p w14:paraId="1613A169">
                  <w:pPr>
                    <w:pStyle w:val="2"/>
                    <w:tabs>
                      <w:tab w:val="left" w:pos="8220"/>
                    </w:tabs>
                    <w:spacing w:before="19"/>
                    <w:ind w:left="20"/>
                  </w:pPr>
                  <w:r>
                    <w:rPr>
                      <w:u w:val="single" w:color="auto"/>
                    </w:rPr>
                    <w:tab/>
                  </w:r>
                </w:p>
                <w:p w14:paraId="38243302">
                  <w:pPr>
                    <w:spacing w:before="167" w:line="236" w:lineRule="auto"/>
                    <w:ind w:left="25"/>
                    <w:outlineLvl w:val="1"/>
                    <w:rPr>
                      <w:rFonts w:ascii="黑体" w:hAnsi="黑体" w:eastAsia="黑体" w:cs="黑体"/>
                      <w:sz w:val="28"/>
                      <w:szCs w:val="28"/>
                    </w:rPr>
                  </w:pPr>
                  <w:bookmarkStart w:id="682" w:name="bookmark279"/>
                  <w:bookmarkEnd w:id="682"/>
                  <w:bookmarkStart w:id="683" w:name="bookmark280"/>
                  <w:bookmarkEnd w:id="683"/>
                  <w:r>
                    <w:rPr>
                      <w:rFonts w:ascii="Times New Roman" w:hAnsi="Times New Roman" w:eastAsia="Times New Roman" w:cs="Times New Roman"/>
                      <w:spacing w:val="5"/>
                      <w:sz w:val="28"/>
                      <w:szCs w:val="28"/>
                    </w:rPr>
                    <w:t>21.</w:t>
                  </w:r>
                  <w:r>
                    <w:rPr>
                      <w:rFonts w:ascii="黑体" w:hAnsi="黑体" w:eastAsia="黑体" w:cs="黑体"/>
                      <w:spacing w:val="5"/>
                      <w:sz w:val="28"/>
                      <w:szCs w:val="28"/>
                    </w:rPr>
                    <w:t>不可抗力</w:t>
                  </w:r>
                </w:p>
                <w:p w14:paraId="4C3EDD03">
                  <w:pPr>
                    <w:spacing w:before="86" w:line="232" w:lineRule="auto"/>
                    <w:ind w:left="25"/>
                    <w:outlineLvl w:val="2"/>
                    <w:rPr>
                      <w:rFonts w:ascii="黑体" w:hAnsi="黑体" w:eastAsia="黑体" w:cs="黑体"/>
                      <w:sz w:val="24"/>
                      <w:szCs w:val="24"/>
                    </w:rPr>
                  </w:pPr>
                  <w:bookmarkStart w:id="684" w:name="bookmark676"/>
                  <w:bookmarkEnd w:id="684"/>
                  <w:r>
                    <w:rPr>
                      <w:rFonts w:ascii="Times New Roman" w:hAnsi="Times New Roman" w:eastAsia="Times New Roman" w:cs="Times New Roman"/>
                      <w:spacing w:val="-1"/>
                      <w:sz w:val="24"/>
                      <w:szCs w:val="24"/>
                    </w:rPr>
                    <w:t xml:space="preserve">21.1 </w:t>
                  </w:r>
                  <w:r>
                    <w:rPr>
                      <w:rFonts w:ascii="黑体" w:hAnsi="黑体" w:eastAsia="黑体" w:cs="黑体"/>
                      <w:spacing w:val="-1"/>
                      <w:sz w:val="24"/>
                      <w:szCs w:val="24"/>
                    </w:rPr>
                    <w:t>不可抗力的确认</w:t>
                  </w:r>
                </w:p>
                <w:p w14:paraId="4F17600F">
                  <w:pPr>
                    <w:spacing w:before="114" w:line="220" w:lineRule="auto"/>
                    <w:ind w:left="451"/>
                    <w:rPr>
                      <w:rFonts w:ascii="宋体" w:hAnsi="宋体" w:eastAsia="宋体" w:cs="宋体"/>
                      <w:sz w:val="21"/>
                      <w:szCs w:val="21"/>
                    </w:rPr>
                  </w:pPr>
                  <w:r>
                    <w:rPr>
                      <w:rFonts w:ascii="宋体" w:hAnsi="宋体" w:eastAsia="宋体" w:cs="宋体"/>
                      <w:spacing w:val="-2"/>
                      <w:sz w:val="21"/>
                      <w:szCs w:val="21"/>
                    </w:rPr>
                    <w:t>21.1.1</w:t>
                  </w:r>
                  <w:r>
                    <w:rPr>
                      <w:rFonts w:ascii="宋体" w:hAnsi="宋体" w:eastAsia="宋体" w:cs="宋体"/>
                      <w:spacing w:val="-27"/>
                      <w:sz w:val="21"/>
                      <w:szCs w:val="21"/>
                    </w:rPr>
                    <w:t xml:space="preserve"> </w:t>
                  </w:r>
                  <w:r>
                    <w:rPr>
                      <w:rFonts w:ascii="宋体" w:hAnsi="宋体" w:eastAsia="宋体" w:cs="宋体"/>
                      <w:spacing w:val="-2"/>
                      <w:sz w:val="21"/>
                      <w:szCs w:val="21"/>
                    </w:rPr>
                    <w:t>通用合同条款第</w:t>
                  </w:r>
                  <w:r>
                    <w:rPr>
                      <w:rFonts w:ascii="宋体" w:hAnsi="宋体" w:eastAsia="宋体" w:cs="宋体"/>
                      <w:spacing w:val="-36"/>
                      <w:sz w:val="21"/>
                      <w:szCs w:val="21"/>
                    </w:rPr>
                    <w:t xml:space="preserve"> </w:t>
                  </w:r>
                  <w:r>
                    <w:rPr>
                      <w:rFonts w:ascii="宋体" w:hAnsi="宋体" w:eastAsia="宋体" w:cs="宋体"/>
                      <w:spacing w:val="-2"/>
                      <w:sz w:val="21"/>
                      <w:szCs w:val="21"/>
                    </w:rPr>
                    <w:t>21.1.1</w:t>
                  </w:r>
                  <w:r>
                    <w:rPr>
                      <w:rFonts w:ascii="宋体" w:hAnsi="宋体" w:eastAsia="宋体" w:cs="宋体"/>
                      <w:spacing w:val="-32"/>
                      <w:sz w:val="21"/>
                      <w:szCs w:val="21"/>
                    </w:rPr>
                    <w:t xml:space="preserve"> </w:t>
                  </w:r>
                  <w:r>
                    <w:rPr>
                      <w:rFonts w:ascii="宋体" w:hAnsi="宋体" w:eastAsia="宋体" w:cs="宋体"/>
                      <w:spacing w:val="-2"/>
                      <w:sz w:val="21"/>
                      <w:szCs w:val="21"/>
                    </w:rPr>
                    <w:t>项约定的不可抗力以外的其他情形：</w:t>
                  </w:r>
                  <w:r>
                    <w:rPr>
                      <w:rFonts w:ascii="宋体" w:hAnsi="宋体" w:eastAsia="宋体" w:cs="宋体"/>
                      <w:spacing w:val="-2"/>
                      <w:sz w:val="21"/>
                      <w:szCs w:val="21"/>
                      <w:u w:val="single" w:color="auto"/>
                    </w:rPr>
                    <w:t xml:space="preserve">                </w:t>
                  </w:r>
                </w:p>
              </w:txbxContent>
            </v:textbox>
          </v:shape>
        </w:pict>
      </w:r>
      <w:r>
        <w:rPr>
          <w:rFonts w:ascii="宋体" w:hAnsi="宋体" w:eastAsia="宋体" w:cs="宋体"/>
          <w:spacing w:val="-56"/>
          <w:w w:val="98"/>
          <w:position w:val="-1"/>
          <w:sz w:val="21"/>
          <w:szCs w:val="21"/>
        </w:rPr>
        <w:t>。</w:t>
      </w:r>
    </w:p>
    <w:p w14:paraId="06AA7AA1">
      <w:pPr>
        <w:pStyle w:val="2"/>
        <w:spacing w:line="262" w:lineRule="auto"/>
      </w:pPr>
    </w:p>
    <w:p w14:paraId="1689B398">
      <w:pPr>
        <w:pStyle w:val="2"/>
        <w:spacing w:line="262" w:lineRule="auto"/>
      </w:pPr>
    </w:p>
    <w:p w14:paraId="465C633D">
      <w:pPr>
        <w:pStyle w:val="2"/>
        <w:spacing w:line="262" w:lineRule="auto"/>
      </w:pPr>
    </w:p>
    <w:p w14:paraId="68E213AC">
      <w:pPr>
        <w:pStyle w:val="2"/>
        <w:spacing w:line="262" w:lineRule="auto"/>
      </w:pPr>
    </w:p>
    <w:p w14:paraId="6C2E3DE7">
      <w:pPr>
        <w:pStyle w:val="2"/>
        <w:spacing w:line="262" w:lineRule="auto"/>
      </w:pPr>
    </w:p>
    <w:p w14:paraId="2497320D">
      <w:pPr>
        <w:pStyle w:val="2"/>
        <w:spacing w:line="262" w:lineRule="auto"/>
      </w:pPr>
    </w:p>
    <w:p w14:paraId="6E49CF73">
      <w:pPr>
        <w:tabs>
          <w:tab w:val="left" w:pos="8215"/>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0"/>
          <w:sz w:val="21"/>
          <w:szCs w:val="21"/>
        </w:rPr>
        <w:t>。</w:t>
      </w:r>
    </w:p>
    <w:p w14:paraId="1420CAB0">
      <w:pPr>
        <w:spacing w:before="163" w:line="220" w:lineRule="auto"/>
        <w:ind w:left="448"/>
        <w:rPr>
          <w:rFonts w:ascii="宋体" w:hAnsi="宋体" w:eastAsia="宋体" w:cs="宋体"/>
          <w:sz w:val="21"/>
          <w:szCs w:val="21"/>
        </w:rPr>
      </w:pPr>
      <w:r>
        <w:rPr>
          <w:rFonts w:ascii="宋体" w:hAnsi="宋体" w:eastAsia="宋体" w:cs="宋体"/>
          <w:spacing w:val="-1"/>
          <w:sz w:val="21"/>
          <w:szCs w:val="21"/>
        </w:rPr>
        <w:t>不可抗力的等级范围约定：</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6F6784A">
      <w:pPr>
        <w:spacing w:before="276" w:line="46" w:lineRule="exact"/>
        <w:jc w:val="right"/>
        <w:rPr>
          <w:rFonts w:ascii="宋体" w:hAnsi="宋体" w:eastAsia="宋体" w:cs="宋体"/>
          <w:sz w:val="21"/>
          <w:szCs w:val="21"/>
        </w:rPr>
      </w:pPr>
      <w:r>
        <w:pict>
          <v:shape id="_x0000_s1048" o:spid="_x0000_s1048" o:spt="202" type="#_x0000_t202" style="position:absolute;left:0pt;margin-left:-0.2pt;margin-top:7.05pt;height:35pt;width:412.05pt;z-index:251688960;mso-width-relative:page;mso-height-relative:page;" filled="f" stroked="f" coordsize="21600,21600">
            <v:path/>
            <v:fill on="f" focussize="0,0"/>
            <v:stroke on="f"/>
            <v:imagedata o:title=""/>
            <o:lock v:ext="edit" aspectratio="f"/>
            <v:textbox inset="0mm,0mm,0mm,0mm">
              <w:txbxContent>
                <w:p w14:paraId="6E3F0353">
                  <w:pPr>
                    <w:pStyle w:val="2"/>
                    <w:tabs>
                      <w:tab w:val="left" w:pos="8220"/>
                    </w:tabs>
                    <w:spacing w:before="19"/>
                    <w:ind w:left="20"/>
                  </w:pPr>
                  <w:r>
                    <w:rPr>
                      <w:u w:val="single" w:color="auto"/>
                    </w:rPr>
                    <w:tab/>
                  </w:r>
                </w:p>
                <w:p w14:paraId="50E9C4B4">
                  <w:pPr>
                    <w:spacing w:before="116" w:line="232" w:lineRule="auto"/>
                    <w:ind w:left="25"/>
                    <w:outlineLvl w:val="2"/>
                    <w:rPr>
                      <w:rFonts w:ascii="黑体" w:hAnsi="黑体" w:eastAsia="黑体" w:cs="黑体"/>
                      <w:sz w:val="24"/>
                      <w:szCs w:val="24"/>
                    </w:rPr>
                  </w:pPr>
                  <w:bookmarkStart w:id="685" w:name="bookmark281"/>
                  <w:bookmarkEnd w:id="685"/>
                  <w:r>
                    <w:rPr>
                      <w:rFonts w:ascii="Times New Roman" w:hAnsi="Times New Roman" w:eastAsia="Times New Roman" w:cs="Times New Roman"/>
                      <w:spacing w:val="-1"/>
                      <w:sz w:val="24"/>
                      <w:szCs w:val="24"/>
                    </w:rPr>
                    <w:t xml:space="preserve">21.3 </w:t>
                  </w:r>
                  <w:r>
                    <w:rPr>
                      <w:rFonts w:ascii="黑体" w:hAnsi="黑体" w:eastAsia="黑体" w:cs="黑体"/>
                      <w:spacing w:val="-1"/>
                      <w:sz w:val="24"/>
                      <w:szCs w:val="24"/>
                    </w:rPr>
                    <w:t>不可抗力后果及其处理</w:t>
                  </w:r>
                </w:p>
              </w:txbxContent>
            </v:textbox>
          </v:shape>
        </w:pict>
      </w:r>
      <w:r>
        <w:rPr>
          <w:rFonts w:ascii="宋体" w:hAnsi="宋体" w:eastAsia="宋体" w:cs="宋体"/>
          <w:spacing w:val="-56"/>
          <w:w w:val="98"/>
          <w:position w:val="-1"/>
          <w:sz w:val="21"/>
          <w:szCs w:val="21"/>
        </w:rPr>
        <w:t>。</w:t>
      </w:r>
    </w:p>
    <w:p w14:paraId="489BC137">
      <w:pPr>
        <w:pStyle w:val="2"/>
        <w:spacing w:line="323" w:lineRule="auto"/>
      </w:pPr>
    </w:p>
    <w:p w14:paraId="769C51DE">
      <w:pPr>
        <w:pStyle w:val="2"/>
        <w:spacing w:line="324" w:lineRule="auto"/>
      </w:pPr>
    </w:p>
    <w:p w14:paraId="4AA5F94E">
      <w:pPr>
        <w:spacing w:before="69" w:line="218" w:lineRule="auto"/>
        <w:ind w:left="22"/>
        <w:rPr>
          <w:rFonts w:ascii="黑体" w:hAnsi="黑体" w:eastAsia="黑体" w:cs="黑体"/>
          <w:sz w:val="21"/>
          <w:szCs w:val="21"/>
        </w:rPr>
      </w:pPr>
      <w:r>
        <w:rPr>
          <w:rFonts w:ascii="黑体" w:hAnsi="黑体" w:eastAsia="黑体" w:cs="黑体"/>
          <w:spacing w:val="-1"/>
          <w:sz w:val="21"/>
          <w:szCs w:val="21"/>
        </w:rPr>
        <w:t>21.3.1</w:t>
      </w:r>
      <w:r>
        <w:rPr>
          <w:rFonts w:ascii="黑体" w:hAnsi="黑体" w:eastAsia="黑体" w:cs="黑体"/>
          <w:spacing w:val="-30"/>
          <w:sz w:val="21"/>
          <w:szCs w:val="21"/>
        </w:rPr>
        <w:t xml:space="preserve"> </w:t>
      </w:r>
      <w:r>
        <w:rPr>
          <w:rFonts w:ascii="黑体" w:hAnsi="黑体" w:eastAsia="黑体" w:cs="黑体"/>
          <w:spacing w:val="-1"/>
          <w:sz w:val="21"/>
          <w:szCs w:val="21"/>
        </w:rPr>
        <w:t>不可抗力造成损害的责任</w:t>
      </w:r>
    </w:p>
    <w:p w14:paraId="433F1DB0">
      <w:pPr>
        <w:spacing w:line="218" w:lineRule="auto"/>
        <w:rPr>
          <w:rFonts w:ascii="黑体" w:hAnsi="黑体" w:eastAsia="黑体" w:cs="黑体"/>
          <w:sz w:val="21"/>
          <w:szCs w:val="21"/>
        </w:rPr>
        <w:sectPr>
          <w:footerReference r:id="rId132" w:type="default"/>
          <w:pgSz w:w="11910" w:h="16845"/>
          <w:pgMar w:top="400" w:right="1712" w:bottom="1110" w:left="1786" w:header="0" w:footer="882" w:gutter="0"/>
          <w:cols w:space="720" w:num="1"/>
        </w:sectPr>
      </w:pPr>
    </w:p>
    <w:p w14:paraId="371645DF">
      <w:pPr>
        <w:pStyle w:val="2"/>
        <w:spacing w:line="275" w:lineRule="auto"/>
      </w:pPr>
    </w:p>
    <w:p w14:paraId="6CF96BC2">
      <w:pPr>
        <w:pStyle w:val="2"/>
        <w:spacing w:line="275" w:lineRule="auto"/>
      </w:pPr>
    </w:p>
    <w:p w14:paraId="09C87439">
      <w:pPr>
        <w:pStyle w:val="2"/>
        <w:spacing w:line="276" w:lineRule="auto"/>
      </w:pPr>
    </w:p>
    <w:p w14:paraId="0BB0EE8A">
      <w:pPr>
        <w:pStyle w:val="2"/>
        <w:spacing w:line="276" w:lineRule="auto"/>
      </w:pPr>
    </w:p>
    <w:p w14:paraId="18DAB693">
      <w:pPr>
        <w:spacing w:before="68" w:line="358" w:lineRule="auto"/>
        <w:ind w:left="24" w:right="46" w:firstLine="423"/>
        <w:rPr>
          <w:rFonts w:ascii="宋体" w:hAnsi="宋体" w:eastAsia="宋体" w:cs="宋体"/>
          <w:sz w:val="21"/>
          <w:szCs w:val="21"/>
        </w:rPr>
      </w:pPr>
      <w:r>
        <w:rPr>
          <w:rFonts w:ascii="宋体" w:hAnsi="宋体" w:eastAsia="宋体" w:cs="宋体"/>
          <w:spacing w:val="-2"/>
          <w:sz w:val="21"/>
          <w:szCs w:val="21"/>
        </w:rPr>
        <w:t>不可抗力导致的人员伤亡、财产损失、费用增加和(或)工</w:t>
      </w:r>
      <w:r>
        <w:rPr>
          <w:rFonts w:ascii="宋体" w:hAnsi="宋体" w:eastAsia="宋体" w:cs="宋体"/>
          <w:spacing w:val="-3"/>
          <w:sz w:val="21"/>
          <w:szCs w:val="21"/>
        </w:rPr>
        <w:t>期延误等后果，由合同双方按通用合同条款第</w:t>
      </w:r>
      <w:r>
        <w:rPr>
          <w:rFonts w:ascii="宋体" w:hAnsi="宋体" w:eastAsia="宋体" w:cs="宋体"/>
          <w:spacing w:val="-21"/>
          <w:sz w:val="21"/>
          <w:szCs w:val="21"/>
        </w:rPr>
        <w:t xml:space="preserve"> </w:t>
      </w:r>
      <w:r>
        <w:rPr>
          <w:rFonts w:ascii="宋体" w:hAnsi="宋体" w:eastAsia="宋体" w:cs="宋体"/>
          <w:spacing w:val="-3"/>
          <w:sz w:val="21"/>
          <w:szCs w:val="21"/>
        </w:rPr>
        <w:t>2l.3.l</w:t>
      </w:r>
      <w:r>
        <w:rPr>
          <w:rFonts w:ascii="宋体" w:hAnsi="宋体" w:eastAsia="宋体" w:cs="宋体"/>
          <w:spacing w:val="-32"/>
          <w:sz w:val="21"/>
          <w:szCs w:val="21"/>
        </w:rPr>
        <w:t xml:space="preserve"> </w:t>
      </w:r>
      <w:r>
        <w:rPr>
          <w:rFonts w:ascii="宋体" w:hAnsi="宋体" w:eastAsia="宋体" w:cs="宋体"/>
          <w:spacing w:val="-3"/>
          <w:sz w:val="21"/>
          <w:szCs w:val="21"/>
        </w:rPr>
        <w:t>项约定的原则承担。</w:t>
      </w:r>
    </w:p>
    <w:p w14:paraId="1C88C28B">
      <w:pPr>
        <w:spacing w:before="19" w:line="237" w:lineRule="auto"/>
        <w:ind w:left="21"/>
        <w:outlineLvl w:val="1"/>
        <w:rPr>
          <w:rFonts w:ascii="黑体" w:hAnsi="黑体" w:eastAsia="黑体" w:cs="黑体"/>
          <w:sz w:val="28"/>
          <w:szCs w:val="28"/>
        </w:rPr>
      </w:pPr>
      <w:bookmarkStart w:id="323" w:name="bookmark282"/>
      <w:bookmarkEnd w:id="323"/>
      <w:bookmarkStart w:id="324" w:name="bookmark283"/>
      <w:bookmarkEnd w:id="324"/>
      <w:r>
        <w:rPr>
          <w:rFonts w:ascii="Times New Roman" w:hAnsi="Times New Roman" w:eastAsia="Times New Roman" w:cs="Times New Roman"/>
          <w:spacing w:val="5"/>
          <w:sz w:val="28"/>
          <w:szCs w:val="28"/>
        </w:rPr>
        <w:t>24.</w:t>
      </w:r>
      <w:r>
        <w:rPr>
          <w:rFonts w:ascii="黑体" w:hAnsi="黑体" w:eastAsia="黑体" w:cs="黑体"/>
          <w:spacing w:val="5"/>
          <w:sz w:val="28"/>
          <w:szCs w:val="28"/>
        </w:rPr>
        <w:t>争议的解决</w:t>
      </w:r>
    </w:p>
    <w:p w14:paraId="25603ADB">
      <w:pPr>
        <w:spacing w:before="85" w:line="232" w:lineRule="auto"/>
        <w:ind w:left="21"/>
        <w:outlineLvl w:val="2"/>
        <w:rPr>
          <w:rFonts w:ascii="黑体" w:hAnsi="黑体" w:eastAsia="黑体" w:cs="黑体"/>
          <w:sz w:val="24"/>
          <w:szCs w:val="24"/>
        </w:rPr>
      </w:pPr>
      <w:bookmarkStart w:id="325" w:name="bookmark677"/>
      <w:bookmarkEnd w:id="325"/>
      <w:r>
        <w:rPr>
          <w:rFonts w:ascii="Times New Roman" w:hAnsi="Times New Roman" w:eastAsia="Times New Roman" w:cs="Times New Roman"/>
          <w:spacing w:val="-2"/>
          <w:sz w:val="24"/>
          <w:szCs w:val="24"/>
        </w:rPr>
        <w:t>24.1</w:t>
      </w:r>
      <w:r>
        <w:rPr>
          <w:rFonts w:ascii="Times New Roman" w:hAnsi="Times New Roman" w:eastAsia="Times New Roman" w:cs="Times New Roman"/>
          <w:spacing w:val="21"/>
          <w:sz w:val="24"/>
          <w:szCs w:val="24"/>
        </w:rPr>
        <w:t xml:space="preserve"> </w:t>
      </w:r>
      <w:r>
        <w:rPr>
          <w:rFonts w:ascii="黑体" w:hAnsi="黑体" w:eastAsia="黑体" w:cs="黑体"/>
          <w:spacing w:val="-2"/>
          <w:sz w:val="24"/>
          <w:szCs w:val="24"/>
        </w:rPr>
        <w:t>争议的解决方式</w:t>
      </w:r>
    </w:p>
    <w:p w14:paraId="754F2C35">
      <w:pPr>
        <w:spacing w:before="115" w:line="356" w:lineRule="auto"/>
        <w:ind w:left="23" w:right="41" w:firstLine="437"/>
        <w:rPr>
          <w:rFonts w:ascii="宋体" w:hAnsi="宋体" w:eastAsia="宋体" w:cs="宋体"/>
          <w:sz w:val="21"/>
          <w:szCs w:val="21"/>
        </w:rPr>
      </w:pPr>
      <w:r>
        <w:rPr>
          <w:rFonts w:ascii="宋体" w:hAnsi="宋体" w:eastAsia="宋体" w:cs="宋体"/>
          <w:spacing w:val="-3"/>
          <w:sz w:val="21"/>
          <w:szCs w:val="21"/>
        </w:rPr>
        <w:t>因本合同引起的或与本合同有关的任何争议，合同双方友好协商不成、不愿提请争议组</w:t>
      </w:r>
      <w:r>
        <w:rPr>
          <w:rFonts w:ascii="宋体" w:hAnsi="宋体" w:eastAsia="宋体" w:cs="宋体"/>
          <w:spacing w:val="-1"/>
          <w:sz w:val="21"/>
          <w:szCs w:val="21"/>
        </w:rPr>
        <w:t>评审或者不愿接受争议评审组意见的，选择下列第</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种方式解决：</w:t>
      </w:r>
    </w:p>
    <w:p w14:paraId="26AEF9C0">
      <w:pPr>
        <w:tabs>
          <w:tab w:val="left" w:pos="555"/>
        </w:tabs>
        <w:spacing w:before="2" w:line="344" w:lineRule="auto"/>
        <w:ind w:left="23" w:firstLine="41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4"/>
          <w:sz w:val="21"/>
          <w:szCs w:val="21"/>
          <w:u w:val="single" w:color="auto"/>
        </w:rPr>
        <w:t>（壹）</w:t>
      </w:r>
      <w:r>
        <w:rPr>
          <w:rFonts w:ascii="宋体" w:hAnsi="宋体" w:eastAsia="宋体" w:cs="宋体"/>
          <w:spacing w:val="-4"/>
          <w:sz w:val="21"/>
          <w:szCs w:val="21"/>
        </w:rPr>
        <w:t>提请</w:t>
      </w:r>
      <w:r>
        <w:rPr>
          <w:rFonts w:ascii="宋体" w:hAnsi="宋体" w:eastAsia="宋体" w:cs="宋体"/>
          <w:spacing w:val="-4"/>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pacing w:val="-4"/>
          <w:sz w:val="21"/>
          <w:szCs w:val="21"/>
        </w:rPr>
        <w:t>仲裁委员会按照该会仲裁规则进行仲裁，仲裁裁决是终局的，</w:t>
      </w:r>
      <w:r>
        <w:rPr>
          <w:rFonts w:ascii="宋体" w:hAnsi="宋体" w:eastAsia="宋体" w:cs="宋体"/>
          <w:spacing w:val="-3"/>
          <w:sz w:val="21"/>
          <w:szCs w:val="21"/>
        </w:rPr>
        <w:t>对合同双方均有约束力。</w:t>
      </w:r>
    </w:p>
    <w:p w14:paraId="7ADCC205">
      <w:pPr>
        <w:tabs>
          <w:tab w:val="left" w:pos="555"/>
        </w:tabs>
        <w:spacing w:before="10" w:line="219" w:lineRule="auto"/>
        <w:ind w:left="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8"/>
          <w:sz w:val="21"/>
          <w:szCs w:val="21"/>
          <w:u w:val="single" w:color="auto"/>
        </w:rPr>
        <w:t>（贰）</w:t>
      </w:r>
      <w:r>
        <w:rPr>
          <w:rFonts w:ascii="宋体" w:hAnsi="宋体" w:eastAsia="宋体" w:cs="宋体"/>
          <w:spacing w:val="-8"/>
          <w:sz w:val="21"/>
          <w:szCs w:val="21"/>
        </w:rPr>
        <w:t>向有管辖权的人民法院提起诉讼。</w:t>
      </w:r>
    </w:p>
    <w:p w14:paraId="1D1D6757">
      <w:pPr>
        <w:spacing w:before="131" w:line="233" w:lineRule="auto"/>
        <w:ind w:left="21"/>
        <w:outlineLvl w:val="2"/>
        <w:rPr>
          <w:rFonts w:ascii="黑体" w:hAnsi="黑体" w:eastAsia="黑体" w:cs="黑体"/>
          <w:sz w:val="24"/>
          <w:szCs w:val="24"/>
        </w:rPr>
      </w:pPr>
      <w:bookmarkStart w:id="326" w:name="bookmark284"/>
      <w:bookmarkEnd w:id="326"/>
      <w:r>
        <w:rPr>
          <w:rFonts w:ascii="Times New Roman" w:hAnsi="Times New Roman" w:eastAsia="Times New Roman" w:cs="Times New Roman"/>
          <w:spacing w:val="-3"/>
          <w:sz w:val="24"/>
          <w:szCs w:val="24"/>
        </w:rPr>
        <w:t>24.3</w:t>
      </w:r>
      <w:r>
        <w:rPr>
          <w:rFonts w:ascii="Times New Roman" w:hAnsi="Times New Roman" w:eastAsia="Times New Roman" w:cs="Times New Roman"/>
          <w:spacing w:val="23"/>
          <w:w w:val="101"/>
          <w:sz w:val="24"/>
          <w:szCs w:val="24"/>
        </w:rPr>
        <w:t xml:space="preserve"> </w:t>
      </w:r>
      <w:r>
        <w:rPr>
          <w:rFonts w:ascii="黑体" w:hAnsi="黑体" w:eastAsia="黑体" w:cs="黑体"/>
          <w:spacing w:val="-3"/>
          <w:sz w:val="24"/>
          <w:szCs w:val="24"/>
        </w:rPr>
        <w:t>争议评审</w:t>
      </w:r>
    </w:p>
    <w:p w14:paraId="141E1AFD">
      <w:pPr>
        <w:spacing w:before="114" w:line="219" w:lineRule="auto"/>
        <w:ind w:left="447"/>
        <w:rPr>
          <w:rFonts w:ascii="宋体" w:hAnsi="宋体" w:eastAsia="宋体" w:cs="宋体"/>
          <w:sz w:val="21"/>
          <w:szCs w:val="21"/>
        </w:rPr>
      </w:pPr>
      <w:r>
        <w:rPr>
          <w:rFonts w:ascii="宋体" w:hAnsi="宋体" w:eastAsia="宋体" w:cs="宋体"/>
          <w:sz w:val="21"/>
          <w:szCs w:val="21"/>
        </w:rPr>
        <w:t>24.3.4</w:t>
      </w:r>
      <w:r>
        <w:rPr>
          <w:rFonts w:ascii="宋体" w:hAnsi="宋体" w:eastAsia="宋体" w:cs="宋体"/>
          <w:spacing w:val="-32"/>
          <w:sz w:val="21"/>
          <w:szCs w:val="21"/>
        </w:rPr>
        <w:t xml:space="preserve"> </w:t>
      </w:r>
      <w:r>
        <w:rPr>
          <w:rFonts w:ascii="宋体" w:hAnsi="宋体" w:eastAsia="宋体" w:cs="宋体"/>
          <w:sz w:val="21"/>
          <w:szCs w:val="21"/>
        </w:rPr>
        <w:t>争议评审组邀请合同双方代表人和有关人员举</w:t>
      </w:r>
      <w:r>
        <w:rPr>
          <w:rFonts w:ascii="宋体" w:hAnsi="宋体" w:eastAsia="宋体" w:cs="宋体"/>
          <w:spacing w:val="-1"/>
          <w:sz w:val="21"/>
          <w:szCs w:val="21"/>
        </w:rPr>
        <w:t>行调查会的期限：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FC08A14">
      <w:pPr>
        <w:spacing w:before="156" w:line="219" w:lineRule="auto"/>
        <w:ind w:left="447"/>
        <w:rPr>
          <w:rFonts w:ascii="宋体" w:hAnsi="宋体" w:eastAsia="宋体" w:cs="宋体"/>
          <w:sz w:val="21"/>
          <w:szCs w:val="21"/>
        </w:rPr>
      </w:pPr>
      <w:r>
        <w:rPr>
          <w:rFonts w:ascii="宋体" w:hAnsi="宋体" w:eastAsia="宋体" w:cs="宋体"/>
          <w:sz w:val="21"/>
          <w:szCs w:val="21"/>
        </w:rPr>
        <w:t>24.3.5</w:t>
      </w:r>
      <w:r>
        <w:rPr>
          <w:rFonts w:ascii="宋体" w:hAnsi="宋体" w:eastAsia="宋体" w:cs="宋体"/>
          <w:spacing w:val="-32"/>
          <w:sz w:val="21"/>
          <w:szCs w:val="21"/>
        </w:rPr>
        <w:t xml:space="preserve"> </w:t>
      </w:r>
      <w:r>
        <w:rPr>
          <w:rFonts w:ascii="宋体" w:hAnsi="宋体" w:eastAsia="宋体" w:cs="宋体"/>
          <w:sz w:val="21"/>
          <w:szCs w:val="21"/>
        </w:rPr>
        <w:t>争议评审组在调查会后作出争议评审意见的期限：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00FCD21">
      <w:pPr>
        <w:spacing w:line="219" w:lineRule="auto"/>
        <w:rPr>
          <w:rFonts w:ascii="宋体" w:hAnsi="宋体" w:eastAsia="宋体" w:cs="宋体"/>
          <w:sz w:val="21"/>
          <w:szCs w:val="21"/>
        </w:rPr>
        <w:sectPr>
          <w:footerReference r:id="rId133" w:type="default"/>
          <w:pgSz w:w="11910" w:h="16845"/>
          <w:pgMar w:top="400" w:right="1737" w:bottom="1110" w:left="1786" w:header="0" w:footer="883" w:gutter="0"/>
          <w:cols w:space="720" w:num="1"/>
        </w:sectPr>
      </w:pPr>
    </w:p>
    <w:p w14:paraId="70F29A1F">
      <w:pPr>
        <w:pStyle w:val="2"/>
        <w:spacing w:line="256" w:lineRule="auto"/>
      </w:pPr>
    </w:p>
    <w:p w14:paraId="2EF69D6C">
      <w:pPr>
        <w:pStyle w:val="2"/>
        <w:spacing w:line="256" w:lineRule="auto"/>
      </w:pPr>
    </w:p>
    <w:p w14:paraId="6EF207BF">
      <w:pPr>
        <w:pStyle w:val="2"/>
        <w:spacing w:line="257" w:lineRule="auto"/>
      </w:pPr>
    </w:p>
    <w:p w14:paraId="42A9B232">
      <w:pPr>
        <w:pStyle w:val="2"/>
        <w:spacing w:line="257" w:lineRule="auto"/>
      </w:pPr>
    </w:p>
    <w:p w14:paraId="58BD51BF">
      <w:pPr>
        <w:pStyle w:val="2"/>
        <w:spacing w:line="257" w:lineRule="auto"/>
      </w:pPr>
    </w:p>
    <w:p w14:paraId="51A56E13">
      <w:pPr>
        <w:pStyle w:val="2"/>
        <w:spacing w:line="257" w:lineRule="auto"/>
      </w:pPr>
    </w:p>
    <w:p w14:paraId="0872B3F3">
      <w:pPr>
        <w:pStyle w:val="2"/>
        <w:spacing w:line="257" w:lineRule="auto"/>
      </w:pPr>
    </w:p>
    <w:p w14:paraId="66C23540">
      <w:pPr>
        <w:pStyle w:val="2"/>
        <w:spacing w:line="257" w:lineRule="auto"/>
      </w:pPr>
    </w:p>
    <w:p w14:paraId="282E6341">
      <w:pPr>
        <w:pStyle w:val="2"/>
        <w:spacing w:line="257" w:lineRule="auto"/>
      </w:pPr>
    </w:p>
    <w:p w14:paraId="6DBBCB6E">
      <w:pPr>
        <w:pStyle w:val="2"/>
        <w:spacing w:line="257" w:lineRule="auto"/>
      </w:pPr>
    </w:p>
    <w:p w14:paraId="6067CAAD">
      <w:pPr>
        <w:pStyle w:val="2"/>
        <w:spacing w:line="257" w:lineRule="auto"/>
      </w:pPr>
    </w:p>
    <w:p w14:paraId="1D466164">
      <w:pPr>
        <w:pStyle w:val="2"/>
        <w:spacing w:line="257" w:lineRule="auto"/>
      </w:pPr>
    </w:p>
    <w:p w14:paraId="4464C995">
      <w:pPr>
        <w:pStyle w:val="2"/>
        <w:spacing w:line="257" w:lineRule="auto"/>
      </w:pPr>
    </w:p>
    <w:p w14:paraId="3497938B">
      <w:pPr>
        <w:pStyle w:val="2"/>
        <w:spacing w:line="257" w:lineRule="auto"/>
      </w:pPr>
    </w:p>
    <w:p w14:paraId="29F64CA8">
      <w:pPr>
        <w:spacing w:before="91" w:line="222" w:lineRule="auto"/>
        <w:ind w:left="2760"/>
        <w:outlineLvl w:val="1"/>
        <w:rPr>
          <w:rFonts w:ascii="黑体" w:hAnsi="黑体" w:eastAsia="黑体" w:cs="黑体"/>
          <w:sz w:val="28"/>
          <w:szCs w:val="28"/>
        </w:rPr>
      </w:pPr>
      <w:bookmarkStart w:id="327" w:name="bookmark285"/>
      <w:bookmarkEnd w:id="327"/>
      <w:r>
        <w:rPr>
          <w:rFonts w:ascii="黑体" w:hAnsi="黑体" w:eastAsia="黑体" w:cs="黑体"/>
          <w:spacing w:val="8"/>
          <w:sz w:val="28"/>
          <w:szCs w:val="28"/>
        </w:rPr>
        <w:t>第三节</w:t>
      </w:r>
      <w:r>
        <w:rPr>
          <w:rFonts w:ascii="黑体" w:hAnsi="黑体" w:eastAsia="黑体" w:cs="黑体"/>
          <w:spacing w:val="112"/>
          <w:sz w:val="28"/>
          <w:szCs w:val="28"/>
        </w:rPr>
        <w:t xml:space="preserve"> </w:t>
      </w:r>
      <w:r>
        <w:rPr>
          <w:rFonts w:ascii="黑体" w:hAnsi="黑体" w:eastAsia="黑体" w:cs="黑体"/>
          <w:spacing w:val="8"/>
          <w:sz w:val="28"/>
          <w:szCs w:val="28"/>
        </w:rPr>
        <w:t>合同附件格式</w:t>
      </w:r>
    </w:p>
    <w:p w14:paraId="67A2BBF7">
      <w:pPr>
        <w:spacing w:line="222" w:lineRule="auto"/>
        <w:rPr>
          <w:rFonts w:ascii="黑体" w:hAnsi="黑体" w:eastAsia="黑体" w:cs="黑体"/>
          <w:sz w:val="28"/>
          <w:szCs w:val="28"/>
        </w:rPr>
        <w:sectPr>
          <w:footerReference r:id="rId134" w:type="default"/>
          <w:pgSz w:w="11910" w:h="16845"/>
          <w:pgMar w:top="400" w:right="1786" w:bottom="1110" w:left="1786" w:header="0" w:footer="882" w:gutter="0"/>
          <w:cols w:space="720" w:num="1"/>
        </w:sectPr>
      </w:pPr>
    </w:p>
    <w:p w14:paraId="45595430">
      <w:pPr>
        <w:pStyle w:val="2"/>
        <w:spacing w:line="244" w:lineRule="auto"/>
      </w:pPr>
    </w:p>
    <w:p w14:paraId="5C36C0C1">
      <w:pPr>
        <w:pStyle w:val="2"/>
        <w:spacing w:line="244" w:lineRule="auto"/>
      </w:pPr>
    </w:p>
    <w:p w14:paraId="35AEF079">
      <w:pPr>
        <w:pStyle w:val="2"/>
        <w:spacing w:line="245" w:lineRule="auto"/>
      </w:pPr>
    </w:p>
    <w:p w14:paraId="5197E7D6">
      <w:pPr>
        <w:pStyle w:val="2"/>
        <w:spacing w:line="245" w:lineRule="auto"/>
      </w:pPr>
    </w:p>
    <w:p w14:paraId="74F59F66">
      <w:pPr>
        <w:pStyle w:val="2"/>
        <w:spacing w:line="245" w:lineRule="auto"/>
      </w:pPr>
    </w:p>
    <w:p w14:paraId="2A1EAA04">
      <w:pPr>
        <w:pStyle w:val="2"/>
        <w:spacing w:line="245" w:lineRule="auto"/>
      </w:pPr>
    </w:p>
    <w:p w14:paraId="6D19F53E">
      <w:pPr>
        <w:spacing w:before="78" w:line="219" w:lineRule="auto"/>
        <w:ind w:left="38"/>
        <w:outlineLvl w:val="2"/>
        <w:rPr>
          <w:rFonts w:ascii="黑体" w:hAnsi="黑体" w:eastAsia="黑体" w:cs="黑体"/>
          <w:sz w:val="24"/>
          <w:szCs w:val="24"/>
        </w:rPr>
      </w:pPr>
      <w:r>
        <w:rPr>
          <w:rFonts w:ascii="黑体" w:hAnsi="黑体" w:eastAsia="黑体" w:cs="黑体"/>
          <w:spacing w:val="-5"/>
          <w:sz w:val="24"/>
          <w:szCs w:val="24"/>
        </w:rPr>
        <w:t>附件一：合同协议书</w:t>
      </w:r>
    </w:p>
    <w:p w14:paraId="00E8AAC7">
      <w:pPr>
        <w:pStyle w:val="2"/>
        <w:spacing w:line="379" w:lineRule="auto"/>
      </w:pPr>
    </w:p>
    <w:p w14:paraId="10F88979">
      <w:pPr>
        <w:spacing w:before="91" w:line="222" w:lineRule="auto"/>
        <w:ind w:left="3737"/>
        <w:rPr>
          <w:rFonts w:ascii="黑体" w:hAnsi="黑体" w:eastAsia="黑体" w:cs="黑体"/>
          <w:sz w:val="28"/>
          <w:szCs w:val="28"/>
        </w:rPr>
      </w:pPr>
      <w:bookmarkStart w:id="328" w:name="bookmark286"/>
      <w:bookmarkEnd w:id="328"/>
      <w:r>
        <w:rPr>
          <w:rFonts w:ascii="黑体" w:hAnsi="黑体" w:eastAsia="黑体" w:cs="黑体"/>
          <w:spacing w:val="8"/>
          <w:sz w:val="28"/>
          <w:szCs w:val="28"/>
        </w:rPr>
        <w:t>合同协议书</w:t>
      </w:r>
    </w:p>
    <w:p w14:paraId="259F3BB4">
      <w:pPr>
        <w:pStyle w:val="2"/>
        <w:spacing w:line="451" w:lineRule="auto"/>
      </w:pPr>
    </w:p>
    <w:p w14:paraId="352C2FE0">
      <w:pPr>
        <w:spacing w:before="68" w:line="337" w:lineRule="auto"/>
        <w:ind w:left="27" w:right="16" w:firstLine="6110"/>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5FBBEA3F">
      <w:pPr>
        <w:spacing w:before="1" w:line="345" w:lineRule="auto"/>
        <w:ind w:left="25" w:right="17"/>
        <w:rPr>
          <w:rFonts w:ascii="宋体" w:hAnsi="宋体" w:eastAsia="宋体" w:cs="宋体"/>
          <w:sz w:val="21"/>
          <w:szCs w:val="21"/>
        </w:rPr>
      </w:pPr>
      <w:r>
        <w:rPr>
          <w:rFonts w:ascii="宋体" w:hAnsi="宋体" w:eastAsia="宋体" w:cs="宋体"/>
          <w:spacing w:val="34"/>
          <w:sz w:val="21"/>
          <w:szCs w:val="21"/>
        </w:rPr>
        <w:t>法定代表人</w:t>
      </w:r>
      <w:r>
        <w:rPr>
          <w:rFonts w:ascii="宋体" w:hAnsi="宋体" w:eastAsia="宋体" w:cs="宋体"/>
          <w:spacing w:val="-18"/>
          <w:sz w:val="21"/>
          <w:szCs w:val="21"/>
        </w:rPr>
        <w:t xml:space="preserve"> </w:t>
      </w:r>
      <w:r>
        <w:rPr>
          <w:rFonts w:ascii="宋体" w:hAnsi="宋体" w:eastAsia="宋体" w:cs="宋体"/>
          <w:spacing w:val="34"/>
          <w:sz w:val="21"/>
          <w:szCs w:val="21"/>
        </w:rPr>
        <w:t>：</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20"/>
          <w:sz w:val="21"/>
          <w:szCs w:val="21"/>
        </w:rPr>
        <w:t>法定注册地址：</w:t>
      </w:r>
      <w:r>
        <w:rPr>
          <w:rFonts w:ascii="宋体" w:hAnsi="宋体" w:eastAsia="宋体" w:cs="宋体"/>
          <w:spacing w:val="-73"/>
          <w:sz w:val="21"/>
          <w:szCs w:val="21"/>
        </w:rPr>
        <w:t xml:space="preserve"> </w:t>
      </w:r>
      <w:r>
        <w:rPr>
          <w:rFonts w:ascii="宋体" w:hAnsi="宋体" w:eastAsia="宋体" w:cs="宋体"/>
          <w:sz w:val="21"/>
          <w:szCs w:val="21"/>
          <w:u w:val="single" w:color="auto"/>
        </w:rPr>
        <w:t xml:space="preserve">                                                                </w:t>
      </w:r>
    </w:p>
    <w:p w14:paraId="3C98CC6D">
      <w:pPr>
        <w:pStyle w:val="2"/>
        <w:spacing w:line="313" w:lineRule="auto"/>
      </w:pPr>
    </w:p>
    <w:p w14:paraId="4D24C555">
      <w:pPr>
        <w:tabs>
          <w:tab w:val="left" w:pos="8335"/>
        </w:tabs>
        <w:spacing w:before="68" w:line="332" w:lineRule="auto"/>
        <w:ind w:left="24" w:right="16"/>
        <w:jc w:val="both"/>
        <w:rPr>
          <w:rFonts w:ascii="宋体" w:hAnsi="宋体" w:eastAsia="宋体" w:cs="宋体"/>
          <w:sz w:val="21"/>
          <w:szCs w:val="21"/>
        </w:rPr>
      </w:pPr>
      <w:r>
        <w:rPr>
          <w:rFonts w:ascii="宋体" w:hAnsi="宋体" w:eastAsia="宋体" w:cs="宋体"/>
          <w:spacing w:val="-8"/>
          <w:sz w:val="21"/>
          <w:szCs w:val="21"/>
        </w:rPr>
        <w:t>承包人</w:t>
      </w:r>
      <w:r>
        <w:rPr>
          <w:rFonts w:ascii="宋体" w:hAnsi="宋体" w:eastAsia="宋体" w:cs="宋体"/>
          <w:spacing w:val="-57"/>
          <w:sz w:val="21"/>
          <w:szCs w:val="21"/>
        </w:rPr>
        <w:t xml:space="preserve"> </w:t>
      </w:r>
      <w:r>
        <w:rPr>
          <w:rFonts w:ascii="宋体" w:hAnsi="宋体" w:eastAsia="宋体" w:cs="宋体"/>
          <w:spacing w:val="-8"/>
          <w:sz w:val="21"/>
          <w:szCs w:val="21"/>
        </w:rPr>
        <w:t>(全称）</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34"/>
          <w:sz w:val="21"/>
          <w:szCs w:val="21"/>
        </w:rPr>
        <w:t>法定代表人</w:t>
      </w:r>
      <w:r>
        <w:rPr>
          <w:rFonts w:ascii="宋体" w:hAnsi="宋体" w:eastAsia="宋体" w:cs="宋体"/>
          <w:spacing w:val="-16"/>
          <w:sz w:val="21"/>
          <w:szCs w:val="21"/>
        </w:rPr>
        <w:t xml:space="preserve"> </w:t>
      </w:r>
      <w:r>
        <w:rPr>
          <w:rFonts w:ascii="宋体" w:hAnsi="宋体" w:eastAsia="宋体" w:cs="宋体"/>
          <w:spacing w:val="34"/>
          <w:sz w:val="21"/>
          <w:szCs w:val="21"/>
        </w:rPr>
        <w:t>：</w:t>
      </w:r>
      <w:r>
        <w:rPr>
          <w:rFonts w:ascii="宋体" w:hAnsi="宋体" w:eastAsia="宋体" w:cs="宋体"/>
          <w:spacing w:val="-46"/>
          <w:sz w:val="21"/>
          <w:szCs w:val="21"/>
        </w:rPr>
        <w:t xml:space="preserve"> </w:t>
      </w:r>
      <w:r>
        <w:rPr>
          <w:rFonts w:ascii="宋体" w:hAnsi="宋体" w:eastAsia="宋体" w:cs="宋体"/>
          <w:sz w:val="21"/>
          <w:szCs w:val="21"/>
          <w:u w:val="single" w:color="auto"/>
        </w:rPr>
        <w:tab/>
      </w:r>
      <w:r>
        <w:rPr>
          <w:rFonts w:ascii="宋体" w:hAnsi="宋体" w:eastAsia="宋体" w:cs="宋体"/>
          <w:sz w:val="21"/>
          <w:szCs w:val="21"/>
        </w:rPr>
        <w:t xml:space="preserve"> </w:t>
      </w:r>
      <w:r>
        <w:rPr>
          <w:rFonts w:ascii="宋体" w:hAnsi="宋体" w:eastAsia="宋体" w:cs="宋体"/>
          <w:spacing w:val="20"/>
          <w:sz w:val="21"/>
          <w:szCs w:val="21"/>
        </w:rPr>
        <w:t>法定注册地址：</w:t>
      </w:r>
      <w:r>
        <w:rPr>
          <w:rFonts w:ascii="宋体" w:hAnsi="宋体" w:eastAsia="宋体" w:cs="宋体"/>
          <w:spacing w:val="-73"/>
          <w:sz w:val="21"/>
          <w:szCs w:val="21"/>
        </w:rPr>
        <w:t xml:space="preserve"> </w:t>
      </w:r>
      <w:r>
        <w:rPr>
          <w:rFonts w:ascii="宋体" w:hAnsi="宋体" w:eastAsia="宋体" w:cs="宋体"/>
          <w:sz w:val="21"/>
          <w:szCs w:val="21"/>
          <w:u w:val="single" w:color="auto"/>
        </w:rPr>
        <w:t xml:space="preserve">                                                                </w:t>
      </w:r>
    </w:p>
    <w:p w14:paraId="598E3E23">
      <w:pPr>
        <w:spacing w:before="100" w:line="255" w:lineRule="auto"/>
        <w:ind w:left="24" w:right="10" w:firstLine="423"/>
        <w:jc w:val="both"/>
        <w:rPr>
          <w:rFonts w:ascii="宋体" w:hAnsi="宋体" w:eastAsia="宋体" w:cs="宋体"/>
          <w:sz w:val="21"/>
          <w:szCs w:val="21"/>
        </w:rPr>
      </w:pPr>
      <w:r>
        <w:rPr>
          <w:rFonts w:ascii="宋体" w:hAnsi="宋体" w:eastAsia="宋体" w:cs="宋体"/>
          <w:spacing w:val="-1"/>
          <w:sz w:val="21"/>
          <w:szCs w:val="21"/>
        </w:rPr>
        <w:t>发包人为建设</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95"/>
          <w:sz w:val="21"/>
          <w:szCs w:val="21"/>
        </w:rPr>
        <w:t xml:space="preserve"> </w:t>
      </w:r>
      <w:r>
        <w:rPr>
          <w:rFonts w:ascii="Times New Roman" w:hAnsi="Times New Roman" w:eastAsia="Times New Roman" w:cs="Times New Roman"/>
          <w:spacing w:val="-1"/>
          <w:sz w:val="21"/>
          <w:szCs w:val="21"/>
        </w:rPr>
        <w:t>(</w:t>
      </w:r>
      <w:r>
        <w:rPr>
          <w:rFonts w:ascii="宋体" w:hAnsi="宋体" w:eastAsia="宋体" w:cs="宋体"/>
          <w:spacing w:val="-1"/>
          <w:sz w:val="21"/>
          <w:szCs w:val="21"/>
        </w:rPr>
        <w:t>以下简称“本工程”</w:t>
      </w:r>
      <w:r>
        <w:rPr>
          <w:rFonts w:ascii="Times New Roman" w:hAnsi="Times New Roman" w:eastAsia="Times New Roman" w:cs="Times New Roman"/>
          <w:spacing w:val="-1"/>
          <w:sz w:val="21"/>
          <w:szCs w:val="21"/>
        </w:rPr>
        <w:t>)</w:t>
      </w:r>
      <w:r>
        <w:rPr>
          <w:rFonts w:ascii="宋体" w:hAnsi="宋体" w:eastAsia="宋体" w:cs="宋体"/>
          <w:spacing w:val="-1"/>
          <w:sz w:val="21"/>
          <w:szCs w:val="21"/>
        </w:rPr>
        <w:t>，已接受承</w:t>
      </w:r>
      <w:r>
        <w:rPr>
          <w:rFonts w:ascii="宋体" w:hAnsi="宋体" w:eastAsia="宋体" w:cs="宋体"/>
          <w:spacing w:val="-2"/>
          <w:sz w:val="21"/>
          <w:szCs w:val="21"/>
        </w:rPr>
        <w:t>包人提出的承担本工程的施工、竣工、交付并维修其任何缺陷的投标。依照《中华人</w:t>
      </w:r>
      <w:r>
        <w:rPr>
          <w:rFonts w:ascii="宋体" w:hAnsi="宋体" w:eastAsia="宋体" w:cs="宋体"/>
          <w:spacing w:val="-3"/>
          <w:sz w:val="21"/>
          <w:szCs w:val="21"/>
        </w:rPr>
        <w:t>民共和</w:t>
      </w:r>
      <w:r>
        <w:rPr>
          <w:rFonts w:ascii="宋体" w:hAnsi="宋体" w:eastAsia="宋体" w:cs="宋体"/>
          <w:spacing w:val="-12"/>
          <w:sz w:val="21"/>
          <w:szCs w:val="21"/>
        </w:rPr>
        <w:t>国招标投标法》、《中华人民共和国合同法》、《中华人民</w:t>
      </w:r>
      <w:r>
        <w:rPr>
          <w:rFonts w:ascii="宋体" w:hAnsi="宋体" w:eastAsia="宋体" w:cs="宋体"/>
          <w:spacing w:val="-13"/>
          <w:sz w:val="21"/>
          <w:szCs w:val="21"/>
        </w:rPr>
        <w:t>共和国建筑法》、及其他有关法律、</w:t>
      </w:r>
    </w:p>
    <w:sdt>
      <w:sdtPr>
        <w:rPr>
          <w:rFonts w:ascii="宋体" w:hAnsi="宋体" w:eastAsia="宋体" w:cs="宋体"/>
          <w:sz w:val="21"/>
          <w:szCs w:val="21"/>
        </w:rPr>
        <w:id w:val="147465161"/>
        <w:docPartObj>
          <w:docPartGallery w:val="Table of Contents"/>
          <w:docPartUnique/>
        </w:docPartObj>
      </w:sdtPr>
      <w:sdtEndPr>
        <w:rPr>
          <w:rFonts w:ascii="Times New Roman" w:hAnsi="Times New Roman" w:eastAsia="Times New Roman" w:cs="Times New Roman"/>
          <w:sz w:val="21"/>
          <w:szCs w:val="21"/>
        </w:rPr>
      </w:sdtEndPr>
      <w:sdtContent>
        <w:p w14:paraId="6B4E2FDD">
          <w:pPr>
            <w:spacing w:before="1" w:line="219" w:lineRule="auto"/>
            <w:ind w:left="27"/>
            <w:rPr>
              <w:rFonts w:ascii="宋体" w:hAnsi="宋体" w:eastAsia="宋体" w:cs="宋体"/>
              <w:sz w:val="21"/>
              <w:szCs w:val="21"/>
            </w:rPr>
          </w:pPr>
          <w:r>
            <w:rPr>
              <w:rFonts w:ascii="宋体" w:hAnsi="宋体" w:eastAsia="宋体" w:cs="宋体"/>
              <w:spacing w:val="-1"/>
              <w:sz w:val="21"/>
              <w:szCs w:val="21"/>
            </w:rPr>
            <w:t>行政法规，遵循平等、自愿、公平和诚实信用的原则，双方共同达成并订立如下协议。</w:t>
          </w:r>
        </w:p>
        <w:p w14:paraId="2C951727">
          <w:pPr>
            <w:spacing w:before="35" w:line="218" w:lineRule="auto"/>
            <w:ind w:left="448"/>
            <w:rPr>
              <w:rFonts w:ascii="黑体" w:hAnsi="黑体" w:eastAsia="黑体" w:cs="黑体"/>
              <w:sz w:val="21"/>
              <w:szCs w:val="21"/>
            </w:rPr>
          </w:pPr>
          <w:r>
            <w:rPr>
              <w:rFonts w:ascii="黑体" w:hAnsi="黑体" w:eastAsia="黑体" w:cs="黑体"/>
              <w:spacing w:val="-3"/>
              <w:sz w:val="21"/>
              <w:szCs w:val="21"/>
            </w:rPr>
            <w:t>一、工程概况</w:t>
          </w:r>
        </w:p>
        <w:p w14:paraId="0E0D2DAD">
          <w:pPr>
            <w:spacing w:before="52" w:line="213" w:lineRule="auto"/>
            <w:ind w:left="447"/>
            <w:rPr>
              <w:rFonts w:ascii="宋体" w:hAnsi="宋体" w:eastAsia="宋体" w:cs="宋体"/>
              <w:sz w:val="21"/>
              <w:szCs w:val="21"/>
            </w:rPr>
          </w:pPr>
          <w:r>
            <w:rPr>
              <w:rFonts w:ascii="宋体" w:hAnsi="宋体" w:eastAsia="宋体" w:cs="宋体"/>
              <w:sz w:val="21"/>
              <w:szCs w:val="21"/>
            </w:rPr>
            <w:t>工程名称：</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Times New Roman" w:hAnsi="Times New Roman" w:eastAsia="Times New Roman" w:cs="Times New Roman"/>
              <w:sz w:val="21"/>
              <w:szCs w:val="21"/>
            </w:rPr>
            <w:t>(</w:t>
          </w:r>
          <w:r>
            <w:rPr>
              <w:rFonts w:ascii="宋体" w:hAnsi="宋体" w:eastAsia="宋体" w:cs="宋体"/>
              <w:sz w:val="21"/>
              <w:szCs w:val="21"/>
            </w:rPr>
            <w:t>项目名称</w:t>
          </w:r>
          <w:r>
            <w:rPr>
              <w:rFonts w:ascii="Times New Roman" w:hAnsi="Times New Roman" w:eastAsia="Times New Roman" w:cs="Times New Roman"/>
              <w:sz w:val="21"/>
              <w:szCs w:val="21"/>
            </w:rPr>
            <w:t>)</w:t>
          </w:r>
          <w:r>
            <w:rPr>
              <w:rFonts w:ascii="Times New Roman" w:hAnsi="Times New Roman" w:eastAsia="Times New Roman" w:cs="Times New Roman"/>
              <w:spacing w:val="-47"/>
              <w:sz w:val="21"/>
              <w:szCs w:val="21"/>
            </w:rPr>
            <w:t xml:space="preserve"> </w:t>
          </w:r>
          <w:r>
            <w:rPr>
              <w:rFonts w:ascii="Times New Roman" w:hAnsi="Times New Roman" w:eastAsia="Times New Roman" w:cs="Times New Roman"/>
              <w:sz w:val="21"/>
              <w:szCs w:val="21"/>
              <w:u w:val="single" w:color="auto"/>
            </w:rPr>
            <w:t xml:space="preserve">                    </w:t>
          </w:r>
          <w:r>
            <w:rPr>
              <w:rFonts w:ascii="Times New Roman" w:hAnsi="Times New Roman" w:eastAsia="Times New Roman" w:cs="Times New Roman"/>
              <w:spacing w:val="-1"/>
              <w:sz w:val="21"/>
              <w:szCs w:val="21"/>
              <w:u w:val="single" w:color="auto"/>
            </w:rPr>
            <w:t xml:space="preserve">    </w:t>
          </w:r>
          <w:r>
            <w:rPr>
              <w:rFonts w:ascii="宋体" w:hAnsi="宋体" w:eastAsia="宋体" w:cs="宋体"/>
              <w:spacing w:val="-1"/>
              <w:sz w:val="21"/>
              <w:szCs w:val="21"/>
            </w:rPr>
            <w:t>（标段名称）</w:t>
          </w:r>
        </w:p>
        <w:p w14:paraId="4CDBC62F">
          <w:pPr>
            <w:spacing w:before="44" w:line="220" w:lineRule="auto"/>
            <w:ind w:left="447"/>
            <w:rPr>
              <w:rFonts w:ascii="宋体" w:hAnsi="宋体" w:eastAsia="宋体" w:cs="宋体"/>
              <w:sz w:val="21"/>
              <w:szCs w:val="21"/>
            </w:rPr>
          </w:pPr>
          <w:r>
            <w:rPr>
              <w:rFonts w:ascii="宋体" w:hAnsi="宋体" w:eastAsia="宋体" w:cs="宋体"/>
              <w:spacing w:val="-2"/>
              <w:sz w:val="21"/>
              <w:szCs w:val="21"/>
            </w:rPr>
            <w:t>工程地点：</w:t>
          </w:r>
          <w:r>
            <w:rPr>
              <w:rFonts w:ascii="宋体" w:hAnsi="宋体" w:eastAsia="宋体" w:cs="宋体"/>
              <w:spacing w:val="-2"/>
              <w:sz w:val="21"/>
              <w:szCs w:val="21"/>
              <w:u w:val="single" w:color="auto"/>
            </w:rPr>
            <w:t xml:space="preserve">                                                  </w:t>
          </w:r>
        </w:p>
        <w:p w14:paraId="658B40F0">
          <w:pPr>
            <w:spacing w:before="34" w:line="220" w:lineRule="auto"/>
            <w:ind w:left="447"/>
            <w:rPr>
              <w:rFonts w:ascii="宋体" w:hAnsi="宋体" w:eastAsia="宋体" w:cs="宋体"/>
              <w:sz w:val="21"/>
              <w:szCs w:val="21"/>
            </w:rPr>
          </w:pPr>
          <w:r>
            <w:rPr>
              <w:rFonts w:ascii="宋体" w:hAnsi="宋体" w:eastAsia="宋体" w:cs="宋体"/>
              <w:spacing w:val="-2"/>
              <w:sz w:val="21"/>
              <w:szCs w:val="21"/>
            </w:rPr>
            <w:t>工程内容：</w:t>
          </w:r>
          <w:r>
            <w:rPr>
              <w:rFonts w:ascii="宋体" w:hAnsi="宋体" w:eastAsia="宋体" w:cs="宋体"/>
              <w:spacing w:val="-2"/>
              <w:sz w:val="21"/>
              <w:szCs w:val="21"/>
              <w:u w:val="single" w:color="auto"/>
            </w:rPr>
            <w:t xml:space="preserve">                                                  </w:t>
          </w:r>
        </w:p>
        <w:p w14:paraId="0F6637BF">
          <w:pPr>
            <w:spacing w:before="50" w:line="213" w:lineRule="auto"/>
            <w:ind w:left="444"/>
            <w:rPr>
              <w:rFonts w:ascii="Times New Roman" w:hAnsi="Times New Roman" w:eastAsia="Times New Roman" w:cs="Times New Roman"/>
              <w:sz w:val="21"/>
              <w:szCs w:val="21"/>
            </w:rPr>
          </w:pPr>
          <w:r>
            <w:rPr>
              <w:rFonts w:ascii="宋体" w:hAnsi="宋体" w:eastAsia="宋体" w:cs="宋体"/>
              <w:spacing w:val="-1"/>
              <w:sz w:val="21"/>
              <w:szCs w:val="21"/>
            </w:rPr>
            <w:t>群体工程应附“承包人承揽工程项目一览表”</w:t>
          </w:r>
          <w:r>
            <w:rPr>
              <w:rFonts w:ascii="Times New Roman" w:hAnsi="Times New Roman" w:eastAsia="Times New Roman" w:cs="Times New Roman"/>
              <w:spacing w:val="-1"/>
              <w:sz w:val="21"/>
              <w:szCs w:val="21"/>
            </w:rPr>
            <w:t>(</w:t>
          </w:r>
          <w:r>
            <w:rPr>
              <w:rFonts w:ascii="宋体" w:hAnsi="宋体" w:eastAsia="宋体" w:cs="宋体"/>
              <w:spacing w:val="-1"/>
              <w:sz w:val="21"/>
              <w:szCs w:val="21"/>
            </w:rPr>
            <w:t>附件</w:t>
          </w:r>
          <w:r>
            <w:rPr>
              <w:rFonts w:ascii="宋体" w:hAnsi="宋体" w:eastAsia="宋体" w:cs="宋体"/>
              <w:spacing w:val="-9"/>
              <w:sz w:val="21"/>
              <w:szCs w:val="21"/>
            </w:rPr>
            <w:t xml:space="preserve"> </w:t>
          </w:r>
          <w:r>
            <w:fldChar w:fldCharType="begin"/>
          </w:r>
          <w:r>
            <w:instrText xml:space="preserve"> HYPERLINK \l "bookmark678" </w:instrText>
          </w:r>
          <w:r>
            <w:fldChar w:fldCharType="separate"/>
          </w:r>
          <w:r>
            <w:rPr>
              <w:rFonts w:ascii="Times New Roman" w:hAnsi="Times New Roman" w:eastAsia="Times New Roman" w:cs="Times New Roman"/>
              <w:spacing w:val="-1"/>
              <w:sz w:val="21"/>
              <w:szCs w:val="21"/>
            </w:rPr>
            <w:t>1)</w:t>
          </w:r>
          <w:r>
            <w:rPr>
              <w:rFonts w:ascii="Times New Roman" w:hAnsi="Times New Roman" w:eastAsia="Times New Roman" w:cs="Times New Roman"/>
              <w:spacing w:val="-1"/>
              <w:sz w:val="21"/>
              <w:szCs w:val="21"/>
            </w:rPr>
            <w:fldChar w:fldCharType="end"/>
          </w:r>
        </w:p>
      </w:sdtContent>
    </w:sdt>
    <w:p w14:paraId="04A114AA">
      <w:pPr>
        <w:spacing w:before="44" w:line="220" w:lineRule="auto"/>
        <w:ind w:left="447"/>
        <w:rPr>
          <w:rFonts w:ascii="宋体" w:hAnsi="宋体" w:eastAsia="宋体" w:cs="宋体"/>
          <w:sz w:val="21"/>
          <w:szCs w:val="21"/>
        </w:rPr>
      </w:pPr>
      <w:r>
        <w:rPr>
          <w:rFonts w:ascii="宋体" w:hAnsi="宋体" w:eastAsia="宋体" w:cs="宋体"/>
          <w:spacing w:val="-1"/>
          <w:sz w:val="21"/>
          <w:szCs w:val="21"/>
        </w:rPr>
        <w:t>工程立项批准文号：</w:t>
      </w:r>
      <w:r>
        <w:rPr>
          <w:rFonts w:ascii="宋体" w:hAnsi="宋体" w:eastAsia="宋体" w:cs="宋体"/>
          <w:sz w:val="21"/>
          <w:szCs w:val="21"/>
          <w:u w:val="single" w:color="auto"/>
        </w:rPr>
        <w:t xml:space="preserve">                                          </w:t>
      </w:r>
    </w:p>
    <w:p w14:paraId="3EA0C973">
      <w:pPr>
        <w:spacing w:before="34" w:line="220" w:lineRule="auto"/>
        <w:ind w:left="453"/>
        <w:rPr>
          <w:rFonts w:ascii="宋体" w:hAnsi="宋体" w:eastAsia="宋体" w:cs="宋体"/>
          <w:sz w:val="21"/>
          <w:szCs w:val="21"/>
        </w:rPr>
      </w:pPr>
      <w:r>
        <w:rPr>
          <w:rFonts w:ascii="宋体" w:hAnsi="宋体" w:eastAsia="宋体" w:cs="宋体"/>
          <w:spacing w:val="-2"/>
          <w:sz w:val="21"/>
          <w:szCs w:val="21"/>
        </w:rPr>
        <w:t>资金来源：</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36F20800">
      <w:pPr>
        <w:spacing w:before="50" w:line="219" w:lineRule="auto"/>
        <w:ind w:left="448"/>
        <w:rPr>
          <w:rFonts w:ascii="黑体" w:hAnsi="黑体" w:eastAsia="黑体" w:cs="黑体"/>
          <w:sz w:val="21"/>
          <w:szCs w:val="21"/>
        </w:rPr>
      </w:pPr>
      <w:r>
        <w:rPr>
          <w:rFonts w:ascii="黑体" w:hAnsi="黑体" w:eastAsia="黑体" w:cs="黑体"/>
          <w:spacing w:val="-1"/>
          <w:sz w:val="21"/>
          <w:szCs w:val="21"/>
        </w:rPr>
        <w:t>二、工程承包范围</w:t>
      </w:r>
    </w:p>
    <w:p w14:paraId="3D8B46A9">
      <w:pPr>
        <w:spacing w:before="36" w:line="220" w:lineRule="auto"/>
        <w:ind w:left="444"/>
        <w:rPr>
          <w:rFonts w:ascii="宋体" w:hAnsi="宋体" w:eastAsia="宋体" w:cs="宋体"/>
          <w:sz w:val="21"/>
          <w:szCs w:val="21"/>
        </w:rPr>
      </w:pPr>
      <w:r>
        <w:rPr>
          <w:rFonts w:ascii="宋体" w:hAnsi="宋体" w:eastAsia="宋体" w:cs="宋体"/>
          <w:spacing w:val="-2"/>
          <w:sz w:val="21"/>
          <w:szCs w:val="21"/>
        </w:rPr>
        <w:t>承包范围：</w:t>
      </w:r>
      <w:r>
        <w:rPr>
          <w:rFonts w:ascii="宋体" w:hAnsi="宋体" w:eastAsia="宋体" w:cs="宋体"/>
          <w:sz w:val="21"/>
          <w:szCs w:val="21"/>
          <w:u w:val="single" w:color="auto"/>
        </w:rPr>
        <w:t xml:space="preserve">                                                  </w:t>
      </w:r>
    </w:p>
    <w:p w14:paraId="47A9013D">
      <w:pPr>
        <w:spacing w:before="35" w:line="219" w:lineRule="auto"/>
        <w:ind w:left="447"/>
        <w:rPr>
          <w:rFonts w:ascii="宋体" w:hAnsi="宋体" w:eastAsia="宋体" w:cs="宋体"/>
          <w:sz w:val="21"/>
          <w:szCs w:val="21"/>
        </w:rPr>
      </w:pPr>
      <w:r>
        <w:rPr>
          <w:rFonts w:ascii="宋体" w:hAnsi="宋体" w:eastAsia="宋体" w:cs="宋体"/>
          <w:spacing w:val="-1"/>
          <w:sz w:val="21"/>
          <w:szCs w:val="21"/>
        </w:rPr>
        <w:t>详细承包范围见第七章“技术标准和要求”。</w:t>
      </w:r>
    </w:p>
    <w:p w14:paraId="5828DAB9">
      <w:pPr>
        <w:spacing w:before="52" w:line="220" w:lineRule="auto"/>
        <w:ind w:left="448"/>
        <w:rPr>
          <w:rFonts w:ascii="黑体" w:hAnsi="黑体" w:eastAsia="黑体" w:cs="黑体"/>
          <w:sz w:val="21"/>
          <w:szCs w:val="21"/>
        </w:rPr>
      </w:pPr>
      <w:r>
        <w:rPr>
          <w:rFonts w:ascii="黑体" w:hAnsi="黑体" w:eastAsia="黑体" w:cs="黑体"/>
          <w:spacing w:val="-2"/>
          <w:sz w:val="21"/>
          <w:szCs w:val="21"/>
        </w:rPr>
        <w:t>三、合同工期</w:t>
      </w:r>
    </w:p>
    <w:p w14:paraId="20A64C3A">
      <w:pPr>
        <w:spacing w:before="34" w:line="220" w:lineRule="auto"/>
        <w:ind w:left="444"/>
        <w:rPr>
          <w:rFonts w:ascii="宋体" w:hAnsi="宋体" w:eastAsia="宋体" w:cs="宋体"/>
          <w:sz w:val="21"/>
          <w:szCs w:val="21"/>
        </w:rPr>
      </w:pPr>
      <w:r>
        <w:rPr>
          <w:rFonts w:ascii="宋体" w:hAnsi="宋体" w:eastAsia="宋体" w:cs="宋体"/>
          <w:spacing w:val="-2"/>
          <w:sz w:val="21"/>
          <w:szCs w:val="21"/>
        </w:rPr>
        <w:t>计划开工日期：</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月</w:t>
      </w:r>
      <w:r>
        <w:rPr>
          <w:rFonts w:ascii="宋体" w:hAnsi="宋体" w:eastAsia="宋体" w:cs="宋体"/>
          <w:spacing w:val="-105"/>
          <w:sz w:val="21"/>
          <w:szCs w:val="21"/>
        </w:rPr>
        <w:t xml:space="preserve"> </w:t>
      </w:r>
      <w:r>
        <w:rPr>
          <w:rFonts w:ascii="宋体" w:hAnsi="宋体" w:eastAsia="宋体" w:cs="宋体"/>
          <w:spacing w:val="15"/>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日</w:t>
      </w:r>
    </w:p>
    <w:p w14:paraId="71ED9C02">
      <w:pPr>
        <w:spacing w:before="35" w:line="220" w:lineRule="auto"/>
        <w:ind w:left="444"/>
        <w:rPr>
          <w:rFonts w:ascii="宋体" w:hAnsi="宋体" w:eastAsia="宋体" w:cs="宋体"/>
          <w:sz w:val="21"/>
          <w:szCs w:val="21"/>
        </w:rPr>
      </w:pPr>
      <w:r>
        <w:rPr>
          <w:rFonts w:ascii="宋体" w:hAnsi="宋体" w:eastAsia="宋体" w:cs="宋体"/>
          <w:spacing w:val="-2"/>
          <w:sz w:val="21"/>
          <w:szCs w:val="21"/>
        </w:rPr>
        <w:t>计划竣工日期：</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月</w:t>
      </w:r>
      <w:r>
        <w:rPr>
          <w:rFonts w:ascii="宋体" w:hAnsi="宋体" w:eastAsia="宋体" w:cs="宋体"/>
          <w:spacing w:val="-105"/>
          <w:sz w:val="21"/>
          <w:szCs w:val="21"/>
        </w:rPr>
        <w:t xml:space="preserve"> </w:t>
      </w:r>
      <w:r>
        <w:rPr>
          <w:rFonts w:ascii="宋体" w:hAnsi="宋体" w:eastAsia="宋体" w:cs="宋体"/>
          <w:spacing w:val="15"/>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日</w:t>
      </w:r>
    </w:p>
    <w:p w14:paraId="742519EC">
      <w:pPr>
        <w:spacing w:before="50" w:line="251" w:lineRule="auto"/>
        <w:ind w:left="25" w:firstLine="422"/>
        <w:rPr>
          <w:rFonts w:ascii="宋体" w:hAnsi="宋体" w:eastAsia="宋体" w:cs="宋体"/>
          <w:sz w:val="21"/>
          <w:szCs w:val="21"/>
        </w:rPr>
      </w:pPr>
      <w:r>
        <w:rPr>
          <w:rFonts w:ascii="宋体" w:hAnsi="宋体" w:eastAsia="宋体" w:cs="宋体"/>
          <w:sz w:val="21"/>
          <w:szCs w:val="21"/>
        </w:rPr>
        <w:t>工期总日历天数</w:t>
      </w:r>
      <w:r>
        <w:rPr>
          <w:rFonts w:ascii="宋体" w:hAnsi="宋体" w:eastAsia="宋体" w:cs="宋体"/>
          <w:sz w:val="21"/>
          <w:szCs w:val="21"/>
          <w:u w:val="single" w:color="auto"/>
        </w:rPr>
        <w:t xml:space="preserve">                           </w:t>
      </w:r>
      <w:r>
        <w:rPr>
          <w:rFonts w:ascii="宋体" w:hAnsi="宋体" w:eastAsia="宋体" w:cs="宋体"/>
          <w:spacing w:val="-75"/>
          <w:sz w:val="21"/>
          <w:szCs w:val="21"/>
        </w:rPr>
        <w:t xml:space="preserve"> </w:t>
      </w:r>
      <w:r>
        <w:rPr>
          <w:rFonts w:ascii="宋体" w:hAnsi="宋体" w:eastAsia="宋体" w:cs="宋体"/>
          <w:sz w:val="21"/>
          <w:szCs w:val="21"/>
        </w:rPr>
        <w:t>天，自监理人发出的开工通知中载明的</w:t>
      </w:r>
      <w:r>
        <w:rPr>
          <w:rFonts w:ascii="宋体" w:hAnsi="宋体" w:eastAsia="宋体" w:cs="宋体"/>
          <w:spacing w:val="-5"/>
          <w:sz w:val="21"/>
          <w:szCs w:val="21"/>
        </w:rPr>
        <w:t>开工日期起算。</w:t>
      </w:r>
    </w:p>
    <w:p w14:paraId="607E2E64">
      <w:pPr>
        <w:spacing w:before="1" w:line="219" w:lineRule="auto"/>
        <w:ind w:left="457"/>
        <w:rPr>
          <w:rFonts w:ascii="黑体" w:hAnsi="黑体" w:eastAsia="黑体" w:cs="黑体"/>
          <w:sz w:val="21"/>
          <w:szCs w:val="21"/>
        </w:rPr>
      </w:pPr>
      <w:r>
        <w:rPr>
          <w:rFonts w:ascii="黑体" w:hAnsi="黑体" w:eastAsia="黑体" w:cs="黑体"/>
          <w:spacing w:val="-3"/>
          <w:sz w:val="21"/>
          <w:szCs w:val="21"/>
        </w:rPr>
        <w:t>四、质量标准</w:t>
      </w:r>
    </w:p>
    <w:p w14:paraId="4FDA44DB">
      <w:pPr>
        <w:spacing w:before="51" w:line="220" w:lineRule="auto"/>
        <w:ind w:left="447"/>
        <w:rPr>
          <w:rFonts w:ascii="宋体" w:hAnsi="宋体" w:eastAsia="宋体" w:cs="宋体"/>
          <w:sz w:val="21"/>
          <w:szCs w:val="21"/>
        </w:rPr>
      </w:pPr>
      <w:r>
        <w:rPr>
          <w:rFonts w:ascii="宋体" w:hAnsi="宋体" w:eastAsia="宋体" w:cs="宋体"/>
          <w:spacing w:val="-2"/>
          <w:sz w:val="21"/>
          <w:szCs w:val="21"/>
        </w:rPr>
        <w:t>工程质量标准：</w:t>
      </w:r>
      <w:r>
        <w:rPr>
          <w:rFonts w:ascii="宋体" w:hAnsi="宋体" w:eastAsia="宋体" w:cs="宋体"/>
          <w:sz w:val="21"/>
          <w:szCs w:val="21"/>
          <w:u w:val="single" w:color="auto"/>
        </w:rPr>
        <w:t xml:space="preserve">                                                </w:t>
      </w:r>
    </w:p>
    <w:p w14:paraId="252EF3B3">
      <w:pPr>
        <w:spacing w:before="35" w:line="220" w:lineRule="auto"/>
        <w:ind w:left="450"/>
        <w:rPr>
          <w:rFonts w:ascii="黑体" w:hAnsi="黑体" w:eastAsia="黑体" w:cs="黑体"/>
          <w:sz w:val="21"/>
          <w:szCs w:val="21"/>
        </w:rPr>
      </w:pPr>
      <w:r>
        <w:rPr>
          <w:rFonts w:ascii="黑体" w:hAnsi="黑体" w:eastAsia="黑体" w:cs="黑体"/>
          <w:spacing w:val="-2"/>
          <w:sz w:val="21"/>
          <w:szCs w:val="21"/>
        </w:rPr>
        <w:t>五、合同形式</w:t>
      </w:r>
    </w:p>
    <w:p w14:paraId="027670AF">
      <w:pPr>
        <w:spacing w:before="34" w:line="219" w:lineRule="auto"/>
        <w:ind w:left="445"/>
        <w:rPr>
          <w:rFonts w:ascii="宋体" w:hAnsi="宋体" w:eastAsia="宋体" w:cs="宋体"/>
          <w:sz w:val="21"/>
          <w:szCs w:val="21"/>
        </w:rPr>
      </w:pPr>
      <w:r>
        <w:rPr>
          <w:rFonts w:ascii="宋体" w:hAnsi="宋体" w:eastAsia="宋体" w:cs="宋体"/>
          <w:spacing w:val="-2"/>
          <w:sz w:val="21"/>
          <w:szCs w:val="21"/>
        </w:rPr>
        <w:t>本合同采用</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合同形式。</w:t>
      </w:r>
    </w:p>
    <w:p w14:paraId="688B287C">
      <w:pPr>
        <w:spacing w:before="51" w:line="219" w:lineRule="auto"/>
        <w:ind w:left="451"/>
        <w:rPr>
          <w:rFonts w:ascii="黑体" w:hAnsi="黑体" w:eastAsia="黑体" w:cs="黑体"/>
          <w:sz w:val="21"/>
          <w:szCs w:val="21"/>
        </w:rPr>
      </w:pPr>
      <w:r>
        <w:rPr>
          <w:rFonts w:ascii="黑体" w:hAnsi="黑体" w:eastAsia="黑体" w:cs="黑体"/>
          <w:spacing w:val="-2"/>
          <w:sz w:val="21"/>
          <w:szCs w:val="21"/>
        </w:rPr>
        <w:t>六、签约合同价</w:t>
      </w:r>
    </w:p>
    <w:p w14:paraId="241A0C54">
      <w:pPr>
        <w:spacing w:before="37" w:line="241" w:lineRule="auto"/>
        <w:ind w:left="669" w:right="2" w:hanging="223"/>
        <w:rPr>
          <w:rFonts w:ascii="宋体" w:hAnsi="宋体" w:eastAsia="宋体" w:cs="宋体"/>
          <w:sz w:val="21"/>
          <w:szCs w:val="21"/>
        </w:rPr>
      </w:pPr>
      <w:r>
        <w:rPr>
          <w:rFonts w:ascii="宋体" w:hAnsi="宋体" w:eastAsia="宋体" w:cs="宋体"/>
          <w:spacing w:val="-1"/>
          <w:sz w:val="21"/>
          <w:szCs w:val="21"/>
        </w:rPr>
        <w:t>金额</w:t>
      </w:r>
      <w:r>
        <w:rPr>
          <w:rFonts w:ascii="Times New Roman" w:hAnsi="Times New Roman" w:eastAsia="Times New Roman" w:cs="Times New Roman"/>
          <w:spacing w:val="-1"/>
          <w:sz w:val="21"/>
          <w:szCs w:val="21"/>
        </w:rPr>
        <w:t>(</w:t>
      </w:r>
      <w:r>
        <w:rPr>
          <w:rFonts w:ascii="宋体" w:hAnsi="宋体" w:eastAsia="宋体" w:cs="宋体"/>
          <w:spacing w:val="-1"/>
          <w:sz w:val="21"/>
          <w:szCs w:val="21"/>
        </w:rPr>
        <w:t>大写</w:t>
      </w:r>
      <w:r>
        <w:rPr>
          <w:rFonts w:ascii="宋体" w:hAnsi="宋体" w:eastAsia="宋体" w:cs="宋体"/>
          <w:spacing w:val="-51"/>
          <w:sz w:val="21"/>
          <w:szCs w:val="21"/>
        </w:rPr>
        <w:t>）：</w:t>
      </w:r>
      <w:r>
        <w:rPr>
          <w:rFonts w:ascii="宋体" w:hAnsi="宋体" w:eastAsia="宋体" w:cs="宋体"/>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1"/>
          <w:sz w:val="21"/>
          <w:szCs w:val="21"/>
        </w:rPr>
        <w:t>元</w:t>
      </w:r>
      <w:r>
        <w:rPr>
          <w:rFonts w:ascii="Times New Roman" w:hAnsi="Times New Roman" w:eastAsia="Times New Roman" w:cs="Times New Roman"/>
          <w:spacing w:val="-1"/>
          <w:sz w:val="21"/>
          <w:szCs w:val="21"/>
        </w:rPr>
        <w:t>(</w:t>
      </w:r>
      <w:r>
        <w:rPr>
          <w:rFonts w:ascii="宋体" w:hAnsi="宋体" w:eastAsia="宋体" w:cs="宋体"/>
          <w:spacing w:val="-1"/>
          <w:sz w:val="21"/>
          <w:szCs w:val="21"/>
        </w:rPr>
        <w:t>人民币</w:t>
      </w:r>
      <w:r>
        <w:rPr>
          <w:rFonts w:ascii="Times New Roman" w:hAnsi="Times New Roman" w:eastAsia="Times New Roman" w:cs="Times New Roman"/>
          <w:spacing w:val="-1"/>
          <w:sz w:val="21"/>
          <w:szCs w:val="21"/>
        </w:rPr>
        <w:t>)</w:t>
      </w:r>
      <w:r>
        <w:rPr>
          <w:rFonts w:ascii="Times New Roman" w:hAnsi="Times New Roman" w:eastAsia="Times New Roman" w:cs="Times New Roman"/>
          <w:sz w:val="21"/>
          <w:szCs w:val="21"/>
        </w:rPr>
        <w:t xml:space="preserve">  </w:t>
      </w:r>
      <w:r>
        <w:rPr>
          <w:rFonts w:ascii="Times New Roman" w:hAnsi="Times New Roman" w:eastAsia="Times New Roman" w:cs="Times New Roman"/>
          <w:spacing w:val="-5"/>
          <w:sz w:val="21"/>
          <w:szCs w:val="21"/>
        </w:rPr>
        <w:t>(</w:t>
      </w:r>
      <w:r>
        <w:rPr>
          <w:rFonts w:ascii="宋体" w:hAnsi="宋体" w:eastAsia="宋体" w:cs="宋体"/>
          <w:spacing w:val="-5"/>
          <w:sz w:val="21"/>
          <w:szCs w:val="21"/>
        </w:rPr>
        <w:t>小写</w:t>
      </w:r>
      <w:r>
        <w:rPr>
          <w:rFonts w:ascii="Times New Roman" w:hAnsi="Times New Roman" w:eastAsia="Times New Roman" w:cs="Times New Roman"/>
          <w:spacing w:val="-5"/>
          <w:sz w:val="21"/>
          <w:szCs w:val="21"/>
        </w:rPr>
        <w:t>)</w:t>
      </w:r>
      <w:r>
        <w:rPr>
          <w:rFonts w:ascii="宋体" w:hAnsi="宋体" w:eastAsia="宋体" w:cs="宋体"/>
          <w:spacing w:val="-5"/>
          <w:sz w:val="21"/>
          <w:szCs w:val="21"/>
        </w:rPr>
        <w:t>￥：</w:t>
      </w:r>
      <w:r>
        <w:rPr>
          <w:rFonts w:ascii="宋体" w:hAnsi="宋体" w:eastAsia="宋体" w:cs="宋体"/>
          <w:spacing w:val="-5"/>
          <w:sz w:val="21"/>
          <w:szCs w:val="21"/>
          <w:u w:val="single" w:color="auto"/>
        </w:rPr>
        <w:t xml:space="preserve">                                                                 </w:t>
      </w:r>
      <w:r>
        <w:rPr>
          <w:rFonts w:ascii="宋体" w:hAnsi="宋体" w:eastAsia="宋体" w:cs="宋体"/>
          <w:spacing w:val="-80"/>
          <w:sz w:val="21"/>
          <w:szCs w:val="21"/>
        </w:rPr>
        <w:t xml:space="preserve"> </w:t>
      </w:r>
      <w:r>
        <w:rPr>
          <w:rFonts w:ascii="宋体" w:hAnsi="宋体" w:eastAsia="宋体" w:cs="宋体"/>
          <w:spacing w:val="-5"/>
          <w:sz w:val="21"/>
          <w:szCs w:val="21"/>
        </w:rPr>
        <w:t>元</w:t>
      </w:r>
    </w:p>
    <w:p w14:paraId="2A06BA20">
      <w:pPr>
        <w:spacing w:before="36" w:line="251" w:lineRule="auto"/>
        <w:ind w:left="445" w:right="977"/>
        <w:jc w:val="right"/>
        <w:rPr>
          <w:rFonts w:ascii="宋体" w:hAnsi="宋体" w:eastAsia="宋体" w:cs="宋体"/>
          <w:sz w:val="21"/>
          <w:szCs w:val="21"/>
        </w:rPr>
      </w:pPr>
      <w:r>
        <w:rPr>
          <w:rFonts w:ascii="宋体" w:hAnsi="宋体" w:eastAsia="宋体" w:cs="宋体"/>
          <w:sz w:val="21"/>
          <w:szCs w:val="21"/>
        </w:rPr>
        <w:t>其中：安全文明施工费：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r>
        <w:rPr>
          <w:rFonts w:ascii="宋体" w:hAnsi="宋体" w:eastAsia="宋体" w:cs="宋体"/>
          <w:sz w:val="21"/>
          <w:szCs w:val="21"/>
        </w:rPr>
        <w:t>暂列金额：</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z w:val="21"/>
          <w:szCs w:val="21"/>
        </w:rPr>
        <w:t>元（其中计日</w:t>
      </w:r>
      <w:r>
        <w:rPr>
          <w:rFonts w:ascii="宋体" w:hAnsi="宋体" w:eastAsia="宋体" w:cs="宋体"/>
          <w:spacing w:val="-1"/>
          <w:sz w:val="21"/>
          <w:szCs w:val="21"/>
        </w:rPr>
        <w:t>工金额</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元）</w:t>
      </w:r>
    </w:p>
    <w:p w14:paraId="74C66045">
      <w:pPr>
        <w:spacing w:line="218" w:lineRule="auto"/>
        <w:ind w:left="1075"/>
        <w:rPr>
          <w:rFonts w:ascii="宋体" w:hAnsi="宋体" w:eastAsia="宋体" w:cs="宋体"/>
          <w:sz w:val="21"/>
          <w:szCs w:val="21"/>
        </w:rPr>
      </w:pPr>
      <w:r>
        <w:rPr>
          <w:rFonts w:ascii="宋体" w:hAnsi="宋体" w:eastAsia="宋体" w:cs="宋体"/>
          <w:sz w:val="21"/>
          <w:szCs w:val="21"/>
        </w:rPr>
        <w:t>材料和工程设备暂估价：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720B61E0">
      <w:pPr>
        <w:spacing w:before="53" w:line="218" w:lineRule="auto"/>
        <w:ind w:left="1076"/>
        <w:rPr>
          <w:rFonts w:ascii="宋体" w:hAnsi="宋体" w:eastAsia="宋体" w:cs="宋体"/>
          <w:sz w:val="21"/>
          <w:szCs w:val="21"/>
        </w:rPr>
      </w:pPr>
      <w:r>
        <w:rPr>
          <w:rFonts w:ascii="宋体" w:hAnsi="宋体" w:eastAsia="宋体" w:cs="宋体"/>
          <w:sz w:val="21"/>
          <w:szCs w:val="21"/>
        </w:rPr>
        <w:t>专业工程暂估价：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元</w:t>
      </w:r>
    </w:p>
    <w:p w14:paraId="76ED8B6F">
      <w:pPr>
        <w:spacing w:line="218" w:lineRule="auto"/>
        <w:rPr>
          <w:rFonts w:ascii="宋体" w:hAnsi="宋体" w:eastAsia="宋体" w:cs="宋体"/>
          <w:sz w:val="21"/>
          <w:szCs w:val="21"/>
        </w:rPr>
        <w:sectPr>
          <w:footerReference r:id="rId135" w:type="default"/>
          <w:pgSz w:w="11910" w:h="16845"/>
          <w:pgMar w:top="400" w:right="1770" w:bottom="1110" w:left="1786" w:header="0" w:footer="883" w:gutter="0"/>
          <w:cols w:space="720" w:num="1"/>
        </w:sectPr>
      </w:pPr>
    </w:p>
    <w:p w14:paraId="55D4513F">
      <w:pPr>
        <w:pStyle w:val="2"/>
        <w:spacing w:line="256" w:lineRule="auto"/>
      </w:pPr>
    </w:p>
    <w:p w14:paraId="01E4A68E">
      <w:pPr>
        <w:pStyle w:val="2"/>
        <w:spacing w:line="256" w:lineRule="auto"/>
      </w:pPr>
    </w:p>
    <w:p w14:paraId="4D11EC7E">
      <w:pPr>
        <w:pStyle w:val="2"/>
        <w:spacing w:line="257" w:lineRule="auto"/>
      </w:pPr>
    </w:p>
    <w:p w14:paraId="4D86D06D">
      <w:pPr>
        <w:pStyle w:val="2"/>
        <w:spacing w:line="257" w:lineRule="auto"/>
      </w:pPr>
    </w:p>
    <w:p w14:paraId="736CA865">
      <w:pPr>
        <w:spacing w:before="68" w:line="219" w:lineRule="auto"/>
        <w:ind w:left="443"/>
        <w:rPr>
          <w:rFonts w:ascii="黑体" w:hAnsi="黑体" w:eastAsia="黑体" w:cs="黑体"/>
          <w:sz w:val="21"/>
          <w:szCs w:val="21"/>
        </w:rPr>
      </w:pPr>
      <w:r>
        <w:rPr>
          <w:rFonts w:ascii="黑体" w:hAnsi="黑体" w:eastAsia="黑体" w:cs="黑体"/>
          <w:spacing w:val="-4"/>
          <w:sz w:val="21"/>
          <w:szCs w:val="21"/>
        </w:rPr>
        <w:t>七、承包人项目经理：</w:t>
      </w:r>
    </w:p>
    <w:p w14:paraId="478C2D4F">
      <w:pPr>
        <w:spacing w:before="35" w:line="220" w:lineRule="auto"/>
        <w:ind w:left="444"/>
        <w:rPr>
          <w:rFonts w:ascii="宋体" w:hAnsi="宋体" w:eastAsia="宋体" w:cs="宋体"/>
          <w:sz w:val="21"/>
          <w:szCs w:val="21"/>
        </w:rPr>
      </w:pPr>
      <w:r>
        <w:rPr>
          <w:rFonts w:ascii="宋体" w:hAnsi="宋体" w:eastAsia="宋体" w:cs="宋体"/>
          <w:spacing w:val="-3"/>
          <w:sz w:val="21"/>
          <w:szCs w:val="21"/>
        </w:rPr>
        <w:t>姓名</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w:t>
      </w:r>
      <w:r>
        <w:rPr>
          <w:rFonts w:ascii="宋体" w:hAnsi="宋体" w:eastAsia="宋体" w:cs="宋体"/>
          <w:spacing w:val="25"/>
          <w:sz w:val="21"/>
          <w:szCs w:val="21"/>
        </w:rPr>
        <w:t xml:space="preserve">    </w:t>
      </w:r>
      <w:r>
        <w:rPr>
          <w:rFonts w:ascii="宋体" w:hAnsi="宋体" w:eastAsia="宋体" w:cs="宋体"/>
          <w:spacing w:val="-3"/>
          <w:sz w:val="21"/>
          <w:szCs w:val="21"/>
        </w:rPr>
        <w:t>职称</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8"/>
          <w:sz w:val="21"/>
          <w:szCs w:val="21"/>
        </w:rPr>
        <w:t>；</w:t>
      </w:r>
    </w:p>
    <w:p w14:paraId="795EC241">
      <w:pPr>
        <w:spacing w:before="50" w:line="219" w:lineRule="auto"/>
        <w:ind w:left="450"/>
        <w:rPr>
          <w:rFonts w:ascii="宋体" w:hAnsi="宋体" w:eastAsia="宋体" w:cs="宋体"/>
          <w:sz w:val="21"/>
          <w:szCs w:val="21"/>
        </w:rPr>
      </w:pPr>
      <w:r>
        <w:rPr>
          <w:rFonts w:ascii="宋体" w:hAnsi="宋体" w:eastAsia="宋体" w:cs="宋体"/>
          <w:spacing w:val="-2"/>
          <w:sz w:val="21"/>
          <w:szCs w:val="21"/>
        </w:rPr>
        <w:t>身份证号</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5"/>
          <w:sz w:val="21"/>
          <w:szCs w:val="21"/>
        </w:rPr>
        <w:t>；</w:t>
      </w:r>
      <w:r>
        <w:rPr>
          <w:rFonts w:ascii="宋体" w:hAnsi="宋体" w:eastAsia="宋体" w:cs="宋体"/>
          <w:spacing w:val="25"/>
          <w:sz w:val="21"/>
          <w:szCs w:val="21"/>
        </w:rPr>
        <w:t xml:space="preserve">    </w:t>
      </w:r>
      <w:r>
        <w:rPr>
          <w:rFonts w:ascii="宋体" w:hAnsi="宋体" w:eastAsia="宋体" w:cs="宋体"/>
          <w:spacing w:val="-2"/>
          <w:sz w:val="21"/>
          <w:szCs w:val="21"/>
        </w:rPr>
        <w:t>建造师执业资格证书号</w:t>
      </w:r>
      <w:r>
        <w:rPr>
          <w:rFonts w:ascii="宋体" w:hAnsi="宋体" w:eastAsia="宋体" w:cs="宋体"/>
          <w:spacing w:val="-5"/>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5"/>
          <w:sz w:val="21"/>
          <w:szCs w:val="21"/>
        </w:rPr>
        <w:t>；</w:t>
      </w:r>
    </w:p>
    <w:p w14:paraId="3308BC4C">
      <w:pPr>
        <w:spacing w:before="111" w:line="219" w:lineRule="auto"/>
        <w:jc w:val="right"/>
        <w:rPr>
          <w:rFonts w:ascii="宋体" w:hAnsi="宋体" w:eastAsia="宋体" w:cs="宋体"/>
          <w:sz w:val="21"/>
          <w:szCs w:val="21"/>
        </w:rPr>
      </w:pPr>
      <w:r>
        <w:rPr>
          <w:rFonts w:ascii="宋体" w:hAnsi="宋体" w:eastAsia="宋体" w:cs="宋体"/>
          <w:spacing w:val="-13"/>
          <w:sz w:val="21"/>
          <w:szCs w:val="21"/>
        </w:rPr>
        <w:t>建造师注册证书号：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3"/>
          <w:sz w:val="21"/>
          <w:szCs w:val="21"/>
        </w:rPr>
        <w:t>。</w:t>
      </w:r>
    </w:p>
    <w:p w14:paraId="0252D1ED">
      <w:pPr>
        <w:spacing w:before="156" w:line="345" w:lineRule="auto"/>
        <w:ind w:left="448" w:hanging="1"/>
        <w:rPr>
          <w:rFonts w:ascii="宋体" w:hAnsi="宋体" w:eastAsia="宋体" w:cs="宋体"/>
          <w:sz w:val="21"/>
          <w:szCs w:val="21"/>
        </w:rPr>
      </w:pPr>
      <w:r>
        <w:rPr>
          <w:rFonts w:ascii="宋体" w:hAnsi="宋体" w:eastAsia="宋体" w:cs="宋体"/>
          <w:spacing w:val="-13"/>
          <w:sz w:val="21"/>
          <w:szCs w:val="21"/>
        </w:rPr>
        <w:t>建造师执业印章号：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0"/>
          <w:sz w:val="21"/>
          <w:szCs w:val="21"/>
        </w:rPr>
        <w:t>安全生产考核合格证书号：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0"/>
          <w:sz w:val="21"/>
          <w:szCs w:val="21"/>
        </w:rPr>
        <w:t>。</w:t>
      </w:r>
    </w:p>
    <w:p w14:paraId="19B00195">
      <w:pPr>
        <w:spacing w:before="10" w:line="219" w:lineRule="auto"/>
        <w:ind w:left="444"/>
        <w:rPr>
          <w:rFonts w:ascii="黑体" w:hAnsi="黑体" w:eastAsia="黑体" w:cs="黑体"/>
          <w:sz w:val="21"/>
          <w:szCs w:val="21"/>
        </w:rPr>
      </w:pPr>
      <w:r>
        <w:rPr>
          <w:rFonts w:ascii="黑体" w:hAnsi="黑体" w:eastAsia="黑体" w:cs="黑体"/>
          <w:spacing w:val="-1"/>
          <w:sz w:val="21"/>
          <w:szCs w:val="21"/>
        </w:rPr>
        <w:t>八、合同文件的组成</w:t>
      </w:r>
    </w:p>
    <w:p w14:paraId="6173F30F">
      <w:pPr>
        <w:spacing w:before="157" w:line="220" w:lineRule="auto"/>
        <w:ind w:left="451"/>
        <w:rPr>
          <w:rFonts w:ascii="宋体" w:hAnsi="宋体" w:eastAsia="宋体" w:cs="宋体"/>
          <w:sz w:val="21"/>
          <w:szCs w:val="21"/>
        </w:rPr>
      </w:pPr>
      <w:r>
        <w:rPr>
          <w:rFonts w:ascii="宋体" w:hAnsi="宋体" w:eastAsia="宋体" w:cs="宋体"/>
          <w:spacing w:val="-5"/>
          <w:sz w:val="21"/>
          <w:szCs w:val="21"/>
        </w:rPr>
        <w:t>下列文件共同构成合同文件：</w:t>
      </w:r>
    </w:p>
    <w:p w14:paraId="1E4E4D86">
      <w:pPr>
        <w:spacing w:before="140" w:line="219" w:lineRule="auto"/>
        <w:ind w:left="460"/>
        <w:rPr>
          <w:rFonts w:ascii="宋体" w:hAnsi="宋体" w:eastAsia="宋体" w:cs="宋体"/>
          <w:sz w:val="21"/>
          <w:szCs w:val="21"/>
        </w:rPr>
      </w:pPr>
      <w:r>
        <w:rPr>
          <w:rFonts w:ascii="宋体" w:hAnsi="宋体" w:eastAsia="宋体" w:cs="宋体"/>
          <w:spacing w:val="-9"/>
          <w:sz w:val="21"/>
          <w:szCs w:val="21"/>
        </w:rPr>
        <w:t>1、本协议书；</w:t>
      </w:r>
    </w:p>
    <w:p w14:paraId="7F1E83BA">
      <w:pPr>
        <w:spacing w:before="156" w:line="219" w:lineRule="auto"/>
        <w:ind w:left="447"/>
        <w:rPr>
          <w:rFonts w:ascii="宋体" w:hAnsi="宋体" w:eastAsia="宋体" w:cs="宋体"/>
          <w:sz w:val="21"/>
          <w:szCs w:val="21"/>
        </w:rPr>
      </w:pPr>
      <w:r>
        <w:rPr>
          <w:rFonts w:ascii="宋体" w:hAnsi="宋体" w:eastAsia="宋体" w:cs="宋体"/>
          <w:spacing w:val="-7"/>
          <w:sz w:val="21"/>
          <w:szCs w:val="21"/>
        </w:rPr>
        <w:t>2、中标通知书；</w:t>
      </w:r>
    </w:p>
    <w:p w14:paraId="30D312FF">
      <w:pPr>
        <w:spacing w:before="157" w:line="219" w:lineRule="auto"/>
        <w:ind w:left="448"/>
        <w:rPr>
          <w:rFonts w:ascii="宋体" w:hAnsi="宋体" w:eastAsia="宋体" w:cs="宋体"/>
          <w:sz w:val="21"/>
          <w:szCs w:val="21"/>
        </w:rPr>
      </w:pPr>
      <w:r>
        <w:rPr>
          <w:rFonts w:ascii="宋体" w:hAnsi="宋体" w:eastAsia="宋体" w:cs="宋体"/>
          <w:spacing w:val="-5"/>
          <w:sz w:val="21"/>
          <w:szCs w:val="21"/>
        </w:rPr>
        <w:t>3、投标函及投标函附录；</w:t>
      </w:r>
    </w:p>
    <w:p w14:paraId="358ACFA2">
      <w:pPr>
        <w:spacing w:before="140" w:line="220" w:lineRule="auto"/>
        <w:ind w:left="443"/>
        <w:rPr>
          <w:rFonts w:ascii="宋体" w:hAnsi="宋体" w:eastAsia="宋体" w:cs="宋体"/>
          <w:sz w:val="21"/>
          <w:szCs w:val="21"/>
        </w:rPr>
      </w:pPr>
      <w:r>
        <w:rPr>
          <w:rFonts w:ascii="宋体" w:hAnsi="宋体" w:eastAsia="宋体" w:cs="宋体"/>
          <w:spacing w:val="-6"/>
          <w:sz w:val="21"/>
          <w:szCs w:val="21"/>
        </w:rPr>
        <w:t>4、专用合同条款；</w:t>
      </w:r>
    </w:p>
    <w:p w14:paraId="28069350">
      <w:pPr>
        <w:spacing w:before="155" w:line="220" w:lineRule="auto"/>
        <w:ind w:left="448"/>
        <w:rPr>
          <w:rFonts w:ascii="宋体" w:hAnsi="宋体" w:eastAsia="宋体" w:cs="宋体"/>
          <w:sz w:val="21"/>
          <w:szCs w:val="21"/>
        </w:rPr>
      </w:pPr>
      <w:r>
        <w:rPr>
          <w:rFonts w:ascii="宋体" w:hAnsi="宋体" w:eastAsia="宋体" w:cs="宋体"/>
          <w:spacing w:val="-6"/>
          <w:sz w:val="21"/>
          <w:szCs w:val="21"/>
        </w:rPr>
        <w:t>5、通用合同条款；</w:t>
      </w:r>
    </w:p>
    <w:p w14:paraId="3021C3C7">
      <w:pPr>
        <w:spacing w:before="156" w:line="220" w:lineRule="auto"/>
        <w:ind w:left="446"/>
        <w:rPr>
          <w:rFonts w:ascii="宋体" w:hAnsi="宋体" w:eastAsia="宋体" w:cs="宋体"/>
          <w:sz w:val="21"/>
          <w:szCs w:val="21"/>
        </w:rPr>
      </w:pPr>
      <w:r>
        <w:rPr>
          <w:rFonts w:ascii="宋体" w:hAnsi="宋体" w:eastAsia="宋体" w:cs="宋体"/>
          <w:spacing w:val="-5"/>
          <w:sz w:val="21"/>
          <w:szCs w:val="21"/>
        </w:rPr>
        <w:t>6、技术标准和要求；</w:t>
      </w:r>
    </w:p>
    <w:p w14:paraId="22C6CA9C">
      <w:pPr>
        <w:spacing w:before="140" w:line="221" w:lineRule="auto"/>
        <w:ind w:left="449"/>
        <w:rPr>
          <w:rFonts w:ascii="宋体" w:hAnsi="宋体" w:eastAsia="宋体" w:cs="宋体"/>
          <w:sz w:val="21"/>
          <w:szCs w:val="21"/>
        </w:rPr>
      </w:pPr>
      <w:r>
        <w:rPr>
          <w:rFonts w:ascii="宋体" w:hAnsi="宋体" w:eastAsia="宋体" w:cs="宋体"/>
          <w:spacing w:val="-10"/>
          <w:sz w:val="21"/>
          <w:szCs w:val="21"/>
        </w:rPr>
        <w:t>7、图纸；</w:t>
      </w:r>
    </w:p>
    <w:p w14:paraId="37C212F8">
      <w:pPr>
        <w:spacing w:before="154" w:line="218" w:lineRule="auto"/>
        <w:ind w:left="445"/>
        <w:rPr>
          <w:rFonts w:ascii="宋体" w:hAnsi="宋体" w:eastAsia="宋体" w:cs="宋体"/>
          <w:sz w:val="21"/>
          <w:szCs w:val="21"/>
        </w:rPr>
      </w:pPr>
      <w:r>
        <w:rPr>
          <w:rFonts w:ascii="宋体" w:hAnsi="宋体" w:eastAsia="宋体" w:cs="宋体"/>
          <w:spacing w:val="-5"/>
          <w:sz w:val="21"/>
          <w:szCs w:val="21"/>
        </w:rPr>
        <w:t>8、已标价工程量清单；</w:t>
      </w:r>
    </w:p>
    <w:p w14:paraId="305A5683">
      <w:pPr>
        <w:spacing w:before="172" w:line="220" w:lineRule="auto"/>
        <w:ind w:left="445"/>
        <w:rPr>
          <w:rFonts w:ascii="宋体" w:hAnsi="宋体" w:eastAsia="宋体" w:cs="宋体"/>
          <w:sz w:val="21"/>
          <w:szCs w:val="21"/>
        </w:rPr>
      </w:pPr>
      <w:r>
        <w:rPr>
          <w:rFonts w:ascii="宋体" w:hAnsi="宋体" w:eastAsia="宋体" w:cs="宋体"/>
          <w:spacing w:val="-4"/>
          <w:sz w:val="21"/>
          <w:szCs w:val="21"/>
        </w:rPr>
        <w:t>9、其他合同文件。</w:t>
      </w:r>
    </w:p>
    <w:p w14:paraId="1B149239">
      <w:pPr>
        <w:spacing w:before="290" w:line="220" w:lineRule="auto"/>
        <w:ind w:left="446"/>
        <w:rPr>
          <w:rFonts w:ascii="宋体" w:hAnsi="宋体" w:eastAsia="宋体" w:cs="宋体"/>
          <w:sz w:val="21"/>
          <w:szCs w:val="21"/>
        </w:rPr>
      </w:pPr>
      <w:r>
        <w:rPr>
          <w:rFonts w:ascii="宋体" w:hAnsi="宋体" w:eastAsia="宋体" w:cs="宋体"/>
          <w:spacing w:val="-1"/>
          <w:sz w:val="21"/>
          <w:szCs w:val="21"/>
        </w:rPr>
        <w:t>上述文件互相补充和解释，如有不明确或不一致之处，以合同约定次序在先者为准。</w:t>
      </w:r>
    </w:p>
    <w:p w14:paraId="7A5252B3">
      <w:pPr>
        <w:spacing w:before="96" w:line="219" w:lineRule="auto"/>
        <w:ind w:left="449"/>
        <w:rPr>
          <w:rFonts w:ascii="宋体" w:hAnsi="宋体" w:eastAsia="宋体" w:cs="宋体"/>
          <w:sz w:val="21"/>
          <w:szCs w:val="21"/>
        </w:rPr>
      </w:pPr>
      <w:r>
        <w:rPr>
          <w:rFonts w:ascii="宋体" w:hAnsi="宋体" w:eastAsia="宋体" w:cs="宋体"/>
          <w:spacing w:val="-2"/>
          <w:sz w:val="21"/>
          <w:szCs w:val="21"/>
        </w:rPr>
        <w:t>九、本协议书中有关词语定义与合同条款中的定义相同。</w:t>
      </w:r>
    </w:p>
    <w:p w14:paraId="68EE04B3">
      <w:pPr>
        <w:spacing w:before="96" w:line="297" w:lineRule="auto"/>
        <w:ind w:left="27" w:right="87" w:firstLine="417"/>
        <w:rPr>
          <w:rFonts w:ascii="宋体" w:hAnsi="宋体" w:eastAsia="宋体" w:cs="宋体"/>
          <w:sz w:val="21"/>
          <w:szCs w:val="21"/>
        </w:rPr>
      </w:pPr>
      <w:r>
        <w:rPr>
          <w:rFonts w:ascii="宋体" w:hAnsi="宋体" w:eastAsia="宋体" w:cs="宋体"/>
          <w:spacing w:val="-2"/>
          <w:sz w:val="21"/>
          <w:szCs w:val="21"/>
        </w:rPr>
        <w:t>十、承包人承诺按照合同约定进行施工、竣工、交付并在缺</w:t>
      </w:r>
      <w:r>
        <w:rPr>
          <w:rFonts w:ascii="宋体" w:hAnsi="宋体" w:eastAsia="宋体" w:cs="宋体"/>
          <w:spacing w:val="-3"/>
          <w:sz w:val="21"/>
          <w:szCs w:val="21"/>
        </w:rPr>
        <w:t>陷责任期内对工程缺陷承担</w:t>
      </w:r>
      <w:r>
        <w:rPr>
          <w:rFonts w:ascii="宋体" w:hAnsi="宋体" w:eastAsia="宋体" w:cs="宋体"/>
          <w:spacing w:val="-7"/>
          <w:sz w:val="21"/>
          <w:szCs w:val="21"/>
        </w:rPr>
        <w:t>维修责任。</w:t>
      </w:r>
    </w:p>
    <w:p w14:paraId="0F366901">
      <w:pPr>
        <w:spacing w:line="218" w:lineRule="auto"/>
        <w:ind w:left="445"/>
        <w:rPr>
          <w:rFonts w:ascii="宋体" w:hAnsi="宋体" w:eastAsia="宋体" w:cs="宋体"/>
          <w:sz w:val="21"/>
          <w:szCs w:val="21"/>
        </w:rPr>
      </w:pPr>
      <w:r>
        <w:rPr>
          <w:rFonts w:ascii="宋体" w:hAnsi="宋体" w:eastAsia="宋体" w:cs="宋体"/>
          <w:spacing w:val="-1"/>
          <w:sz w:val="21"/>
          <w:szCs w:val="21"/>
        </w:rPr>
        <w:t>十一、发包人承诺按照合同约定的条件、期限和方式向承包人支付合同价款。</w:t>
      </w:r>
    </w:p>
    <w:p w14:paraId="6B688306">
      <w:pPr>
        <w:spacing w:before="97" w:line="297" w:lineRule="auto"/>
        <w:ind w:left="24" w:right="89" w:firstLine="421"/>
        <w:rPr>
          <w:rFonts w:ascii="宋体" w:hAnsi="宋体" w:eastAsia="宋体" w:cs="宋体"/>
          <w:sz w:val="21"/>
          <w:szCs w:val="21"/>
        </w:rPr>
      </w:pPr>
      <w:r>
        <w:rPr>
          <w:rFonts w:ascii="宋体" w:hAnsi="宋体" w:eastAsia="宋体" w:cs="宋体"/>
          <w:sz w:val="21"/>
          <w:szCs w:val="21"/>
        </w:rPr>
        <w:t>十二、本协议书连同其他合同文件正本一式两份，合同双方各执一份；副本一式</w:t>
      </w:r>
      <w:r>
        <w:rPr>
          <w:rFonts w:ascii="宋体" w:hAnsi="宋体" w:eastAsia="宋体" w:cs="宋体"/>
          <w:sz w:val="21"/>
          <w:szCs w:val="21"/>
          <w:u w:val="single" w:color="auto"/>
        </w:rPr>
        <w:t xml:space="preserve">     </w:t>
      </w:r>
      <w:r>
        <w:rPr>
          <w:rFonts w:ascii="宋体" w:hAnsi="宋体" w:eastAsia="宋体" w:cs="宋体"/>
          <w:spacing w:val="-1"/>
          <w:sz w:val="21"/>
          <w:szCs w:val="21"/>
        </w:rPr>
        <w:t>份，其中一份在合同报送建设行政主管部门备案时留</w:t>
      </w:r>
      <w:r>
        <w:rPr>
          <w:rFonts w:ascii="宋体" w:hAnsi="宋体" w:eastAsia="宋体" w:cs="宋体"/>
          <w:spacing w:val="-2"/>
          <w:sz w:val="21"/>
          <w:szCs w:val="21"/>
        </w:rPr>
        <w:t>存。</w:t>
      </w:r>
    </w:p>
    <w:p w14:paraId="0EA6C9D3">
      <w:pPr>
        <w:spacing w:before="2" w:line="305" w:lineRule="auto"/>
        <w:ind w:left="25" w:right="85" w:firstLine="419"/>
        <w:rPr>
          <w:rFonts w:ascii="宋体" w:hAnsi="宋体" w:eastAsia="宋体" w:cs="宋体"/>
          <w:sz w:val="21"/>
          <w:szCs w:val="21"/>
        </w:rPr>
      </w:pPr>
      <w:r>
        <w:rPr>
          <w:rFonts w:ascii="宋体" w:hAnsi="宋体" w:eastAsia="宋体" w:cs="宋体"/>
          <w:spacing w:val="-2"/>
          <w:sz w:val="21"/>
          <w:szCs w:val="21"/>
        </w:rPr>
        <w:t>十三、合同未尽事宜，双方另行签订补充协议，但不得背离本协</w:t>
      </w:r>
      <w:r>
        <w:rPr>
          <w:rFonts w:ascii="宋体" w:hAnsi="宋体" w:eastAsia="宋体" w:cs="宋体"/>
          <w:spacing w:val="-3"/>
          <w:sz w:val="21"/>
          <w:szCs w:val="21"/>
        </w:rPr>
        <w:t>议第八条所约定的合同</w:t>
      </w:r>
      <w:r>
        <w:rPr>
          <w:rFonts w:ascii="宋体" w:hAnsi="宋体" w:eastAsia="宋体" w:cs="宋体"/>
          <w:spacing w:val="-1"/>
          <w:sz w:val="21"/>
          <w:szCs w:val="21"/>
        </w:rPr>
        <w:t>文件的实质性内容。补充协议是合同文件的</w:t>
      </w:r>
      <w:r>
        <w:rPr>
          <w:rFonts w:ascii="宋体" w:hAnsi="宋体" w:eastAsia="宋体" w:cs="宋体"/>
          <w:spacing w:val="-2"/>
          <w:sz w:val="21"/>
          <w:szCs w:val="21"/>
        </w:rPr>
        <w:t>组成部分。</w:t>
      </w:r>
    </w:p>
    <w:p w14:paraId="6ABC8DCE">
      <w:pPr>
        <w:pStyle w:val="2"/>
        <w:spacing w:line="300" w:lineRule="auto"/>
      </w:pPr>
    </w:p>
    <w:p w14:paraId="797CEAEC">
      <w:pPr>
        <w:spacing w:before="68" w:line="219" w:lineRule="auto"/>
        <w:ind w:left="27"/>
        <w:rPr>
          <w:rFonts w:ascii="宋体" w:hAnsi="宋体" w:eastAsia="宋体" w:cs="宋体"/>
          <w:sz w:val="21"/>
          <w:szCs w:val="21"/>
        </w:rPr>
      </w:pPr>
      <w:r>
        <w:rPr>
          <w:rFonts w:ascii="宋体" w:hAnsi="宋体" w:eastAsia="宋体" w:cs="宋体"/>
          <w:spacing w:val="-10"/>
          <w:sz w:val="21"/>
          <w:szCs w:val="21"/>
        </w:rPr>
        <w:t>发包人：</w:t>
      </w:r>
      <w:r>
        <w:rPr>
          <w:rFonts w:ascii="宋体" w:hAnsi="宋体" w:eastAsia="宋体" w:cs="宋体"/>
          <w:spacing w:val="-10"/>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10"/>
          <w:sz w:val="21"/>
          <w:szCs w:val="21"/>
        </w:rPr>
        <w:t>(盖单位章)</w:t>
      </w:r>
      <w:r>
        <w:rPr>
          <w:rFonts w:ascii="宋体" w:hAnsi="宋体" w:eastAsia="宋体" w:cs="宋体"/>
          <w:spacing w:val="16"/>
          <w:sz w:val="21"/>
          <w:szCs w:val="21"/>
        </w:rPr>
        <w:t xml:space="preserve">      </w:t>
      </w:r>
      <w:r>
        <w:rPr>
          <w:rFonts w:ascii="宋体" w:hAnsi="宋体" w:eastAsia="宋体" w:cs="宋体"/>
          <w:spacing w:val="-10"/>
          <w:sz w:val="21"/>
          <w:szCs w:val="21"/>
        </w:rPr>
        <w:t>承包人：</w:t>
      </w:r>
      <w:r>
        <w:rPr>
          <w:rFonts w:ascii="宋体" w:hAnsi="宋体" w:eastAsia="宋体" w:cs="宋体"/>
          <w:spacing w:val="-10"/>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10"/>
          <w:sz w:val="21"/>
          <w:szCs w:val="21"/>
        </w:rPr>
        <w:t>(盖单位章)</w:t>
      </w:r>
    </w:p>
    <w:p w14:paraId="53750EBC">
      <w:pPr>
        <w:spacing w:before="156" w:line="220" w:lineRule="auto"/>
        <w:ind w:left="25"/>
        <w:rPr>
          <w:rFonts w:ascii="宋体" w:hAnsi="宋体" w:eastAsia="宋体" w:cs="宋体"/>
          <w:sz w:val="21"/>
          <w:szCs w:val="21"/>
        </w:rPr>
      </w:pPr>
      <w:r>
        <w:rPr>
          <w:rFonts w:ascii="宋体" w:hAnsi="宋体" w:eastAsia="宋体" w:cs="宋体"/>
          <w:spacing w:val="-1"/>
          <w:sz w:val="21"/>
          <w:szCs w:val="21"/>
        </w:rPr>
        <w:t>法定代表人或其</w:t>
      </w:r>
      <w:r>
        <w:rPr>
          <w:rFonts w:ascii="宋体" w:hAnsi="宋体" w:eastAsia="宋体" w:cs="宋体"/>
          <w:spacing w:val="3"/>
          <w:sz w:val="21"/>
          <w:szCs w:val="21"/>
        </w:rPr>
        <w:t xml:space="preserve">                          </w:t>
      </w:r>
      <w:r>
        <w:rPr>
          <w:rFonts w:ascii="宋体" w:hAnsi="宋体" w:eastAsia="宋体" w:cs="宋体"/>
          <w:spacing w:val="-1"/>
          <w:sz w:val="21"/>
          <w:szCs w:val="21"/>
        </w:rPr>
        <w:t>法定代表人或其</w:t>
      </w:r>
    </w:p>
    <w:p w14:paraId="14E33D6F">
      <w:pPr>
        <w:spacing w:before="156" w:line="220" w:lineRule="auto"/>
        <w:ind w:left="23"/>
        <w:rPr>
          <w:rFonts w:ascii="宋体" w:hAnsi="宋体" w:eastAsia="宋体" w:cs="宋体"/>
          <w:sz w:val="21"/>
          <w:szCs w:val="21"/>
        </w:rPr>
      </w:pPr>
      <w:r>
        <w:rPr>
          <w:rFonts w:ascii="宋体" w:hAnsi="宋体" w:eastAsia="宋体" w:cs="宋体"/>
          <w:spacing w:val="-8"/>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6"/>
          <w:sz w:val="21"/>
          <w:szCs w:val="21"/>
        </w:rPr>
        <w:t xml:space="preserve"> </w:t>
      </w:r>
      <w:r>
        <w:rPr>
          <w:rFonts w:ascii="宋体" w:hAnsi="宋体" w:eastAsia="宋体" w:cs="宋体"/>
          <w:spacing w:val="-8"/>
          <w:sz w:val="21"/>
          <w:szCs w:val="21"/>
        </w:rPr>
        <w:t>(签字)</w:t>
      </w:r>
      <w:r>
        <w:rPr>
          <w:rFonts w:ascii="宋体" w:hAnsi="宋体" w:eastAsia="宋体" w:cs="宋体"/>
          <w:spacing w:val="8"/>
          <w:sz w:val="21"/>
          <w:szCs w:val="21"/>
        </w:rPr>
        <w:t xml:space="preserve">      </w:t>
      </w:r>
      <w:r>
        <w:rPr>
          <w:rFonts w:ascii="宋体" w:hAnsi="宋体" w:eastAsia="宋体" w:cs="宋体"/>
          <w:spacing w:val="-8"/>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8"/>
          <w:sz w:val="21"/>
          <w:szCs w:val="21"/>
        </w:rPr>
        <w:t>(签</w:t>
      </w:r>
    </w:p>
    <w:p w14:paraId="2F0D48C1">
      <w:pPr>
        <w:spacing w:before="139" w:line="220" w:lineRule="auto"/>
        <w:ind w:left="25"/>
        <w:rPr>
          <w:rFonts w:ascii="宋体" w:hAnsi="宋体" w:eastAsia="宋体" w:cs="宋体"/>
          <w:sz w:val="21"/>
          <w:szCs w:val="21"/>
        </w:rPr>
      </w:pPr>
      <w:r>
        <w:rPr>
          <w:rFonts w:ascii="宋体" w:hAnsi="宋体" w:eastAsia="宋体" w:cs="宋体"/>
          <w:spacing w:val="-5"/>
          <w:sz w:val="21"/>
          <w:szCs w:val="21"/>
        </w:rPr>
        <w:t>字)</w:t>
      </w:r>
    </w:p>
    <w:p w14:paraId="23B546C9">
      <w:pPr>
        <w:pStyle w:val="2"/>
        <w:spacing w:line="244" w:lineRule="auto"/>
      </w:pPr>
    </w:p>
    <w:p w14:paraId="797B1ADA">
      <w:pPr>
        <w:pStyle w:val="2"/>
        <w:spacing w:line="245" w:lineRule="auto"/>
      </w:pPr>
    </w:p>
    <w:p w14:paraId="187053DC">
      <w:pPr>
        <w:tabs>
          <w:tab w:val="left" w:pos="1276"/>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15"/>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5"/>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5"/>
          <w:sz w:val="21"/>
          <w:szCs w:val="21"/>
        </w:rPr>
        <w:t>日</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5"/>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5"/>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5"/>
          <w:sz w:val="21"/>
          <w:szCs w:val="21"/>
        </w:rPr>
        <w:t>日</w:t>
      </w:r>
    </w:p>
    <w:p w14:paraId="263B81CC">
      <w:pPr>
        <w:spacing w:before="141" w:line="224" w:lineRule="auto"/>
        <w:ind w:left="24"/>
        <w:rPr>
          <w:rFonts w:ascii="宋体" w:hAnsi="宋体" w:eastAsia="宋体" w:cs="宋体"/>
          <w:sz w:val="21"/>
          <w:szCs w:val="21"/>
        </w:rPr>
      </w:pPr>
      <w:r>
        <w:rPr>
          <w:rFonts w:ascii="宋体" w:hAnsi="宋体" w:eastAsia="宋体" w:cs="宋体"/>
          <w:spacing w:val="-1"/>
          <w:sz w:val="21"/>
          <w:szCs w:val="21"/>
        </w:rPr>
        <w:t>签约地点：</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38F4FE56">
      <w:pPr>
        <w:spacing w:line="224" w:lineRule="auto"/>
        <w:rPr>
          <w:rFonts w:ascii="宋体" w:hAnsi="宋体" w:eastAsia="宋体" w:cs="宋体"/>
          <w:sz w:val="21"/>
          <w:szCs w:val="21"/>
        </w:rPr>
        <w:sectPr>
          <w:footerReference r:id="rId136" w:type="default"/>
          <w:pgSz w:w="11910" w:h="16845"/>
          <w:pgMar w:top="400" w:right="1697" w:bottom="1110" w:left="1786" w:header="0" w:footer="883" w:gutter="0"/>
          <w:cols w:space="720" w:num="1"/>
        </w:sectPr>
      </w:pPr>
    </w:p>
    <w:p w14:paraId="61E57948">
      <w:pPr>
        <w:pStyle w:val="2"/>
        <w:spacing w:line="266" w:lineRule="auto"/>
      </w:pPr>
    </w:p>
    <w:p w14:paraId="7D4DFE5A">
      <w:pPr>
        <w:pStyle w:val="2"/>
        <w:spacing w:line="266" w:lineRule="auto"/>
      </w:pPr>
    </w:p>
    <w:p w14:paraId="5CBADC9F">
      <w:pPr>
        <w:pStyle w:val="2"/>
        <w:spacing w:line="266" w:lineRule="auto"/>
      </w:pPr>
    </w:p>
    <w:p w14:paraId="115FE211">
      <w:pPr>
        <w:pStyle w:val="2"/>
        <w:spacing w:line="267" w:lineRule="auto"/>
      </w:pPr>
    </w:p>
    <w:p w14:paraId="734AA493">
      <w:pPr>
        <w:spacing w:before="78" w:line="219" w:lineRule="auto"/>
        <w:ind w:left="38"/>
        <w:outlineLvl w:val="2"/>
        <w:rPr>
          <w:rFonts w:ascii="黑体" w:hAnsi="黑体" w:eastAsia="黑体" w:cs="黑体"/>
          <w:sz w:val="24"/>
          <w:szCs w:val="24"/>
        </w:rPr>
      </w:pPr>
      <w:r>
        <w:rPr>
          <w:rFonts w:ascii="黑体" w:hAnsi="黑体" w:eastAsia="黑体" w:cs="黑体"/>
          <w:spacing w:val="-2"/>
          <w:sz w:val="24"/>
          <w:szCs w:val="24"/>
        </w:rPr>
        <w:t>附件二：预付款担保格式</w:t>
      </w:r>
    </w:p>
    <w:p w14:paraId="677F519D">
      <w:pPr>
        <w:pStyle w:val="2"/>
        <w:spacing w:line="379" w:lineRule="auto"/>
      </w:pPr>
    </w:p>
    <w:p w14:paraId="664BF358">
      <w:pPr>
        <w:spacing w:before="91" w:line="222" w:lineRule="auto"/>
        <w:ind w:left="3741"/>
        <w:rPr>
          <w:rFonts w:ascii="黑体" w:hAnsi="黑体" w:eastAsia="黑体" w:cs="黑体"/>
          <w:sz w:val="28"/>
          <w:szCs w:val="28"/>
        </w:rPr>
      </w:pPr>
      <w:bookmarkStart w:id="329" w:name="bookmark287"/>
      <w:bookmarkEnd w:id="329"/>
      <w:r>
        <w:rPr>
          <w:rFonts w:ascii="黑体" w:hAnsi="黑体" w:eastAsia="黑体" w:cs="黑体"/>
          <w:spacing w:val="8"/>
          <w:sz w:val="28"/>
          <w:szCs w:val="28"/>
        </w:rPr>
        <w:t>预付款担保</w:t>
      </w:r>
    </w:p>
    <w:p w14:paraId="26FEBB03">
      <w:pPr>
        <w:pStyle w:val="2"/>
        <w:spacing w:line="466" w:lineRule="auto"/>
      </w:pPr>
    </w:p>
    <w:p w14:paraId="5D0EC800">
      <w:pPr>
        <w:tabs>
          <w:tab w:val="left" w:pos="2642"/>
        </w:tabs>
        <w:spacing w:before="68" w:line="346" w:lineRule="auto"/>
        <w:ind w:left="15" w:right="67" w:firstLine="6227"/>
        <w:rPr>
          <w:rFonts w:ascii="宋体" w:hAnsi="宋体" w:eastAsia="宋体" w:cs="宋体"/>
          <w:sz w:val="21"/>
          <w:szCs w:val="21"/>
        </w:rPr>
      </w:pPr>
      <w:r>
        <w:rPr>
          <w:rFonts w:ascii="宋体" w:hAnsi="宋体" w:eastAsia="宋体" w:cs="宋体"/>
          <w:spacing w:val="-1"/>
          <w:sz w:val="21"/>
          <w:szCs w:val="21"/>
        </w:rPr>
        <w:t>保函编号：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50"/>
          <w:sz w:val="21"/>
          <w:szCs w:val="21"/>
        </w:rPr>
        <w:t xml:space="preserve"> </w:t>
      </w:r>
      <w:r>
        <w:rPr>
          <w:rFonts w:ascii="宋体" w:hAnsi="宋体" w:eastAsia="宋体" w:cs="宋体"/>
          <w:spacing w:val="-6"/>
          <w:sz w:val="21"/>
          <w:szCs w:val="21"/>
        </w:rPr>
        <w:t>(发包人名称)：</w:t>
      </w:r>
    </w:p>
    <w:p w14:paraId="1B50678B">
      <w:pPr>
        <w:spacing w:before="8" w:line="350" w:lineRule="auto"/>
        <w:ind w:left="27" w:right="68" w:firstLine="419"/>
        <w:rPr>
          <w:rFonts w:ascii="宋体" w:hAnsi="宋体" w:eastAsia="宋体" w:cs="宋体"/>
          <w:sz w:val="21"/>
          <w:szCs w:val="21"/>
        </w:rPr>
      </w:pPr>
      <w:r>
        <w:rPr>
          <w:rFonts w:ascii="宋体" w:hAnsi="宋体" w:eastAsia="宋体" w:cs="宋体"/>
          <w:spacing w:val="-3"/>
          <w:sz w:val="21"/>
          <w:szCs w:val="21"/>
        </w:rPr>
        <w:t>鉴于你方作为发包人已经与</w:t>
      </w:r>
      <w:r>
        <w:rPr>
          <w:rFonts w:ascii="宋体" w:hAnsi="宋体" w:eastAsia="宋体" w:cs="宋体"/>
          <w:spacing w:val="-3"/>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3"/>
          <w:sz w:val="21"/>
          <w:szCs w:val="21"/>
        </w:rPr>
        <w:t>(承包人名称)(以下称“承包人”)</w:t>
      </w:r>
      <w:r>
        <w:rPr>
          <w:rFonts w:ascii="宋体" w:hAnsi="宋体" w:eastAsia="宋体" w:cs="宋体"/>
          <w:spacing w:val="-5"/>
          <w:sz w:val="21"/>
          <w:szCs w:val="21"/>
        </w:rPr>
        <w:t>于</w:t>
      </w:r>
      <w:r>
        <w:rPr>
          <w:rFonts w:ascii="宋体" w:hAnsi="宋体" w:eastAsia="宋体" w:cs="宋体"/>
          <w:spacing w:val="-5"/>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5"/>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5"/>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5"/>
          <w:sz w:val="21"/>
          <w:szCs w:val="21"/>
        </w:rPr>
        <w:t>日签订了</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5"/>
          <w:sz w:val="21"/>
          <w:szCs w:val="21"/>
        </w:rPr>
        <w:t>(工程名称)施工</w:t>
      </w:r>
      <w:r>
        <w:rPr>
          <w:rFonts w:ascii="宋体" w:hAnsi="宋体" w:eastAsia="宋体" w:cs="宋体"/>
          <w:spacing w:val="-6"/>
          <w:sz w:val="21"/>
          <w:szCs w:val="21"/>
        </w:rPr>
        <w:t>承包合同</w:t>
      </w:r>
      <w:r>
        <w:rPr>
          <w:rFonts w:ascii="宋体" w:hAnsi="宋体" w:eastAsia="宋体" w:cs="宋体"/>
          <w:spacing w:val="-61"/>
          <w:sz w:val="21"/>
          <w:szCs w:val="21"/>
        </w:rPr>
        <w:t xml:space="preserve"> </w:t>
      </w:r>
      <w:r>
        <w:rPr>
          <w:rFonts w:ascii="宋体" w:hAnsi="宋体" w:eastAsia="宋体" w:cs="宋体"/>
          <w:spacing w:val="-6"/>
          <w:sz w:val="21"/>
          <w:szCs w:val="21"/>
        </w:rPr>
        <w:t>(以下称</w:t>
      </w:r>
    </w:p>
    <w:p w14:paraId="1EC9563C">
      <w:pPr>
        <w:spacing w:before="1" w:line="221" w:lineRule="auto"/>
        <w:ind w:left="9"/>
        <w:rPr>
          <w:rFonts w:ascii="宋体" w:hAnsi="宋体" w:eastAsia="宋体" w:cs="宋体"/>
          <w:sz w:val="21"/>
          <w:szCs w:val="21"/>
        </w:rPr>
      </w:pPr>
      <w:r>
        <w:rPr>
          <w:rFonts w:ascii="宋体" w:hAnsi="宋体" w:eastAsia="宋体" w:cs="宋体"/>
          <w:spacing w:val="1"/>
          <w:sz w:val="21"/>
          <w:szCs w:val="21"/>
        </w:rPr>
        <w:t>“主合同”)。</w:t>
      </w:r>
    </w:p>
    <w:p w14:paraId="74A22116">
      <w:pPr>
        <w:spacing w:before="153" w:line="351" w:lineRule="auto"/>
        <w:ind w:left="25" w:right="68" w:firstLine="421"/>
        <w:jc w:val="both"/>
        <w:rPr>
          <w:rFonts w:ascii="宋体" w:hAnsi="宋体" w:eastAsia="宋体" w:cs="宋体"/>
          <w:sz w:val="21"/>
          <w:szCs w:val="21"/>
        </w:rPr>
      </w:pPr>
      <w:r>
        <w:rPr>
          <w:rFonts w:ascii="宋体" w:hAnsi="宋体" w:eastAsia="宋体" w:cs="宋体"/>
          <w:spacing w:val="-3"/>
          <w:sz w:val="21"/>
          <w:szCs w:val="21"/>
        </w:rPr>
        <w:t>鉴于该主合同规定，你方将支付承包人一笔金额为</w:t>
      </w:r>
      <w:r>
        <w:rPr>
          <w:rFonts w:ascii="宋体" w:hAnsi="宋体" w:eastAsia="宋体" w:cs="宋体"/>
          <w:spacing w:val="-3"/>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3"/>
          <w:sz w:val="21"/>
          <w:szCs w:val="21"/>
        </w:rPr>
        <w:t>(大写：</w:t>
      </w:r>
      <w:r>
        <w:rPr>
          <w:rFonts w:ascii="宋体" w:hAnsi="宋体" w:eastAsia="宋体" w:cs="宋体"/>
          <w:spacing w:val="-3"/>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w:t>
      </w:r>
      <w:r>
        <w:rPr>
          <w:rFonts w:ascii="宋体" w:hAnsi="宋体" w:eastAsia="宋体" w:cs="宋体"/>
          <w:spacing w:val="-4"/>
          <w:sz w:val="21"/>
          <w:szCs w:val="21"/>
        </w:rPr>
        <w:t>的预付款</w:t>
      </w:r>
      <w:r>
        <w:rPr>
          <w:rFonts w:ascii="宋体" w:hAnsi="宋体" w:eastAsia="宋体" w:cs="宋体"/>
          <w:spacing w:val="-60"/>
          <w:sz w:val="21"/>
          <w:szCs w:val="21"/>
        </w:rPr>
        <w:t xml:space="preserve"> </w:t>
      </w:r>
      <w:r>
        <w:rPr>
          <w:rFonts w:ascii="宋体" w:hAnsi="宋体" w:eastAsia="宋体" w:cs="宋体"/>
          <w:spacing w:val="-4"/>
          <w:sz w:val="21"/>
          <w:szCs w:val="21"/>
        </w:rPr>
        <w:t>(以下称“预付款</w:t>
      </w:r>
      <w:r>
        <w:rPr>
          <w:rFonts w:ascii="宋体" w:hAnsi="宋体" w:eastAsia="宋体" w:cs="宋体"/>
          <w:spacing w:val="-77"/>
          <w:sz w:val="21"/>
          <w:szCs w:val="21"/>
        </w:rPr>
        <w:t xml:space="preserve"> </w:t>
      </w:r>
      <w:r>
        <w:rPr>
          <w:rFonts w:ascii="宋体" w:hAnsi="宋体" w:eastAsia="宋体" w:cs="宋体"/>
          <w:spacing w:val="-4"/>
          <w:sz w:val="21"/>
          <w:szCs w:val="21"/>
        </w:rPr>
        <w:t>”)，而承包人须向你方提供与预付款等额的不可撤消和无条件兑</w:t>
      </w:r>
      <w:r>
        <w:rPr>
          <w:rFonts w:ascii="宋体" w:hAnsi="宋体" w:eastAsia="宋体" w:cs="宋体"/>
          <w:spacing w:val="-5"/>
          <w:sz w:val="21"/>
          <w:szCs w:val="21"/>
        </w:rPr>
        <w:t>现的预付款保函。</w:t>
      </w:r>
    </w:p>
    <w:p w14:paraId="5BEA426C">
      <w:pPr>
        <w:spacing w:before="3" w:line="220" w:lineRule="auto"/>
        <w:ind w:left="446"/>
        <w:rPr>
          <w:rFonts w:ascii="宋体" w:hAnsi="宋体" w:eastAsia="宋体" w:cs="宋体"/>
          <w:sz w:val="21"/>
          <w:szCs w:val="21"/>
        </w:rPr>
      </w:pPr>
      <w:r>
        <w:rPr>
          <w:rFonts w:ascii="宋体" w:hAnsi="宋体" w:eastAsia="宋体" w:cs="宋体"/>
          <w:spacing w:val="-1"/>
          <w:sz w:val="21"/>
          <w:szCs w:val="21"/>
        </w:rPr>
        <w:t>我方受承包人委托，为承包人履行主合同规定的义务作出如下不可</w:t>
      </w:r>
      <w:r>
        <w:rPr>
          <w:rFonts w:ascii="宋体" w:hAnsi="宋体" w:eastAsia="宋体" w:cs="宋体"/>
          <w:spacing w:val="-2"/>
          <w:sz w:val="21"/>
          <w:szCs w:val="21"/>
        </w:rPr>
        <w:t>撤销的保证：</w:t>
      </w:r>
    </w:p>
    <w:p w14:paraId="3ECA4A3B">
      <w:pPr>
        <w:spacing w:before="154" w:line="350" w:lineRule="auto"/>
        <w:ind w:left="24" w:right="60" w:firstLine="422"/>
        <w:rPr>
          <w:rFonts w:ascii="宋体" w:hAnsi="宋体" w:eastAsia="宋体" w:cs="宋体"/>
          <w:sz w:val="21"/>
          <w:szCs w:val="21"/>
        </w:rPr>
      </w:pPr>
      <w:r>
        <w:rPr>
          <w:rFonts w:ascii="宋体" w:hAnsi="宋体" w:eastAsia="宋体" w:cs="宋体"/>
          <w:spacing w:val="-2"/>
          <w:sz w:val="21"/>
          <w:szCs w:val="21"/>
        </w:rPr>
        <w:t>我方将在收到你方提出要求收回上述预付款金额的部分或全部的索偿通</w:t>
      </w:r>
      <w:r>
        <w:rPr>
          <w:rFonts w:ascii="宋体" w:hAnsi="宋体" w:eastAsia="宋体" w:cs="宋体"/>
          <w:spacing w:val="-3"/>
          <w:sz w:val="21"/>
          <w:szCs w:val="21"/>
        </w:rPr>
        <w:t>知时，无须你方</w:t>
      </w:r>
      <w:r>
        <w:rPr>
          <w:rFonts w:ascii="宋体" w:hAnsi="宋体" w:eastAsia="宋体" w:cs="宋体"/>
          <w:spacing w:val="-1"/>
          <w:sz w:val="21"/>
          <w:szCs w:val="21"/>
        </w:rPr>
        <w:t>提出任何证明或证据，立即无条件地向你方支付不超过</w:t>
      </w:r>
      <w:r>
        <w:rPr>
          <w:rFonts w:ascii="宋体" w:hAnsi="宋体" w:eastAsia="宋体" w:cs="宋体"/>
          <w:spacing w:val="-1"/>
          <w:sz w:val="21"/>
          <w:szCs w:val="21"/>
          <w:u w:val="single" w:color="auto"/>
        </w:rPr>
        <w:t xml:space="preserve">                            </w:t>
      </w:r>
      <w:r>
        <w:rPr>
          <w:rFonts w:ascii="宋体" w:hAnsi="宋体" w:eastAsia="宋体" w:cs="宋体"/>
          <w:spacing w:val="-51"/>
          <w:sz w:val="21"/>
          <w:szCs w:val="21"/>
        </w:rPr>
        <w:t xml:space="preserve"> </w:t>
      </w:r>
      <w:r>
        <w:rPr>
          <w:rFonts w:ascii="宋体" w:hAnsi="宋体" w:eastAsia="宋体" w:cs="宋体"/>
          <w:spacing w:val="-1"/>
          <w:sz w:val="21"/>
          <w:szCs w:val="21"/>
        </w:rPr>
        <w:t>(大</w:t>
      </w:r>
      <w:r>
        <w:rPr>
          <w:rFonts w:ascii="宋体" w:hAnsi="宋体" w:eastAsia="宋体" w:cs="宋体"/>
          <w:spacing w:val="-2"/>
          <w:sz w:val="21"/>
          <w:szCs w:val="21"/>
        </w:rPr>
        <w:t>写：</w:t>
      </w:r>
      <w:r>
        <w:rPr>
          <w:rFonts w:ascii="宋体" w:hAnsi="宋体" w:eastAsia="宋体" w:cs="宋体"/>
          <w:spacing w:val="-2"/>
          <w:sz w:val="21"/>
          <w:szCs w:val="21"/>
          <w:u w:val="single" w:color="auto"/>
        </w:rPr>
        <w:t xml:space="preserve">                         </w:t>
      </w:r>
      <w:r>
        <w:rPr>
          <w:rFonts w:ascii="宋体" w:hAnsi="宋体" w:eastAsia="宋体" w:cs="宋体"/>
          <w:spacing w:val="-83"/>
          <w:sz w:val="21"/>
          <w:szCs w:val="21"/>
        </w:rPr>
        <w:t xml:space="preserve"> </w:t>
      </w:r>
      <w:r>
        <w:rPr>
          <w:rFonts w:ascii="宋体" w:hAnsi="宋体" w:eastAsia="宋体" w:cs="宋体"/>
          <w:spacing w:val="-2"/>
          <w:sz w:val="21"/>
          <w:szCs w:val="21"/>
        </w:rPr>
        <w:t>)或根据本保函约定递减后的其他金额的任何你方要求的金</w:t>
      </w:r>
      <w:r>
        <w:rPr>
          <w:rFonts w:ascii="宋体" w:hAnsi="宋体" w:eastAsia="宋体" w:cs="宋体"/>
          <w:spacing w:val="-3"/>
          <w:sz w:val="21"/>
          <w:szCs w:val="21"/>
        </w:rPr>
        <w:t>额，并放弃向你方追索的权力。</w:t>
      </w:r>
    </w:p>
    <w:p w14:paraId="299D00CC">
      <w:pPr>
        <w:spacing w:before="1" w:line="356" w:lineRule="auto"/>
        <w:ind w:left="43" w:right="4" w:firstLine="402"/>
        <w:rPr>
          <w:rFonts w:ascii="宋体" w:hAnsi="宋体" w:eastAsia="宋体" w:cs="宋体"/>
          <w:sz w:val="21"/>
          <w:szCs w:val="21"/>
        </w:rPr>
      </w:pPr>
      <w:r>
        <w:rPr>
          <w:rFonts w:ascii="宋体" w:hAnsi="宋体" w:eastAsia="宋体" w:cs="宋体"/>
          <w:spacing w:val="-1"/>
          <w:sz w:val="21"/>
          <w:szCs w:val="21"/>
        </w:rPr>
        <w:t>我方特此确认并同意：我方受本保函制约的责任是连续的，主合同的任何修改、变更、</w:t>
      </w:r>
      <w:r>
        <w:rPr>
          <w:rFonts w:ascii="宋体" w:hAnsi="宋体" w:eastAsia="宋体" w:cs="宋体"/>
          <w:spacing w:val="-2"/>
          <w:sz w:val="21"/>
          <w:szCs w:val="21"/>
        </w:rPr>
        <w:t>中止、终止或失效都不能削弱或影响我方受本保函制约的责任。</w:t>
      </w:r>
    </w:p>
    <w:p w14:paraId="5C6C8129">
      <w:pPr>
        <w:spacing w:before="1" w:line="345" w:lineRule="auto"/>
        <w:ind w:left="43" w:right="60" w:firstLine="399"/>
        <w:rPr>
          <w:rFonts w:ascii="宋体" w:hAnsi="宋体" w:eastAsia="宋体" w:cs="宋体"/>
          <w:sz w:val="21"/>
          <w:szCs w:val="21"/>
        </w:rPr>
      </w:pPr>
      <w:r>
        <w:rPr>
          <w:rFonts w:ascii="宋体" w:hAnsi="宋体" w:eastAsia="宋体" w:cs="宋体"/>
          <w:spacing w:val="-2"/>
          <w:sz w:val="21"/>
          <w:szCs w:val="21"/>
        </w:rPr>
        <w:t>在收到你方的书面通知后，本保函的担保金额将根据你方依主合同签认的进</w:t>
      </w:r>
      <w:r>
        <w:rPr>
          <w:rFonts w:ascii="宋体" w:hAnsi="宋体" w:eastAsia="宋体" w:cs="宋体"/>
          <w:spacing w:val="-3"/>
          <w:sz w:val="21"/>
          <w:szCs w:val="21"/>
        </w:rPr>
        <w:t>度付款证书中累计扣回的预付款金额作等额调减。</w:t>
      </w:r>
    </w:p>
    <w:p w14:paraId="7775A51D">
      <w:pPr>
        <w:spacing w:before="10" w:line="350" w:lineRule="auto"/>
        <w:ind w:left="456" w:hanging="11"/>
        <w:rPr>
          <w:rFonts w:ascii="宋体" w:hAnsi="宋体" w:eastAsia="宋体" w:cs="宋体"/>
          <w:sz w:val="21"/>
          <w:szCs w:val="21"/>
        </w:rPr>
      </w:pPr>
      <w:r>
        <w:rPr>
          <w:rFonts w:ascii="宋体" w:hAnsi="宋体" w:eastAsia="宋体" w:cs="宋体"/>
          <w:spacing w:val="-1"/>
          <w:sz w:val="21"/>
          <w:szCs w:val="21"/>
        </w:rPr>
        <w:t>本保函自预付款支付给承包人起生效，至你方签发的进度付款证书说明已抵扣完毕止。除非你方提前终止或解除本保函。本保函失效后请将本保函退回我方注</w:t>
      </w:r>
      <w:r>
        <w:rPr>
          <w:rFonts w:ascii="宋体" w:hAnsi="宋体" w:eastAsia="宋体" w:cs="宋体"/>
          <w:spacing w:val="-2"/>
          <w:sz w:val="21"/>
          <w:szCs w:val="21"/>
        </w:rPr>
        <w:t>销。</w:t>
      </w:r>
    </w:p>
    <w:p w14:paraId="38A1B314">
      <w:pPr>
        <w:spacing w:line="218" w:lineRule="auto"/>
        <w:ind w:left="445"/>
        <w:rPr>
          <w:rFonts w:ascii="宋体" w:hAnsi="宋体" w:eastAsia="宋体" w:cs="宋体"/>
          <w:sz w:val="21"/>
          <w:szCs w:val="21"/>
        </w:rPr>
      </w:pPr>
      <w:r>
        <w:rPr>
          <w:rFonts w:ascii="宋体" w:hAnsi="宋体" w:eastAsia="宋体" w:cs="宋体"/>
          <w:spacing w:val="-1"/>
          <w:sz w:val="21"/>
          <w:szCs w:val="21"/>
        </w:rPr>
        <w:t>本保函项下所有权利和义务均受中华人民共和国法律管辖和制约。</w:t>
      </w:r>
    </w:p>
    <w:p w14:paraId="1A4C4BAA">
      <w:pPr>
        <w:pStyle w:val="2"/>
        <w:spacing w:line="245" w:lineRule="auto"/>
      </w:pPr>
    </w:p>
    <w:p w14:paraId="4C2EC001">
      <w:pPr>
        <w:pStyle w:val="2"/>
        <w:spacing w:line="245" w:lineRule="auto"/>
      </w:pPr>
    </w:p>
    <w:p w14:paraId="7A90C7EF">
      <w:pPr>
        <w:spacing w:before="69" w:line="219" w:lineRule="auto"/>
        <w:ind w:left="3809"/>
        <w:rPr>
          <w:rFonts w:ascii="宋体" w:hAnsi="宋体" w:eastAsia="宋体" w:cs="宋体"/>
          <w:sz w:val="21"/>
          <w:szCs w:val="21"/>
        </w:rPr>
      </w:pPr>
      <w:r>
        <w:rPr>
          <w:rFonts w:ascii="宋体" w:hAnsi="宋体" w:eastAsia="宋体" w:cs="宋体"/>
          <w:spacing w:val="-6"/>
          <w:sz w:val="21"/>
          <w:szCs w:val="21"/>
        </w:rPr>
        <w:t>担保人：</w:t>
      </w:r>
      <w:r>
        <w:rPr>
          <w:rFonts w:ascii="宋体" w:hAnsi="宋体" w:eastAsia="宋体" w:cs="宋体"/>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6"/>
          <w:sz w:val="21"/>
          <w:szCs w:val="21"/>
        </w:rPr>
        <w:t>(盖单位章)</w:t>
      </w:r>
    </w:p>
    <w:p w14:paraId="0EEB7ED8">
      <w:pPr>
        <w:spacing w:before="141" w:line="220" w:lineRule="auto"/>
        <w:ind w:left="3809"/>
        <w:rPr>
          <w:rFonts w:ascii="宋体" w:hAnsi="宋体" w:eastAsia="宋体" w:cs="宋体"/>
          <w:sz w:val="21"/>
          <w:szCs w:val="21"/>
        </w:rPr>
      </w:pPr>
      <w:r>
        <w:rPr>
          <w:rFonts w:ascii="宋体" w:hAnsi="宋体" w:eastAsia="宋体" w:cs="宋体"/>
          <w:spacing w:val="-2"/>
          <w:sz w:val="21"/>
          <w:szCs w:val="21"/>
        </w:rPr>
        <w:t>法定代表人或其委托代理人：</w:t>
      </w:r>
      <w:r>
        <w:rPr>
          <w:rFonts w:ascii="宋体" w:hAnsi="宋体" w:eastAsia="宋体" w:cs="宋体"/>
          <w:spacing w:val="-2"/>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2"/>
          <w:sz w:val="21"/>
          <w:szCs w:val="21"/>
        </w:rPr>
        <w:t>(签字)</w:t>
      </w:r>
    </w:p>
    <w:p w14:paraId="14C90963">
      <w:pPr>
        <w:spacing w:before="156" w:line="229" w:lineRule="auto"/>
        <w:ind w:left="3808"/>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64B5608D">
      <w:pPr>
        <w:spacing w:before="144" w:line="220" w:lineRule="auto"/>
        <w:ind w:left="3824"/>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7060553D">
      <w:pPr>
        <w:spacing w:before="140" w:line="222" w:lineRule="auto"/>
        <w:ind w:left="3833"/>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1AA7D2C4">
      <w:pPr>
        <w:spacing w:before="153" w:line="219" w:lineRule="auto"/>
        <w:ind w:left="3807"/>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3"/>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2D6A0F76">
      <w:pPr>
        <w:tabs>
          <w:tab w:val="left" w:pos="5707"/>
        </w:tabs>
        <w:spacing w:before="171" w:line="220" w:lineRule="auto"/>
        <w:ind w:left="486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576F3BEE">
      <w:pPr>
        <w:spacing w:before="245" w:line="293" w:lineRule="auto"/>
        <w:ind w:left="659" w:right="63" w:hanging="633"/>
        <w:rPr>
          <w:rFonts w:ascii="宋体" w:hAnsi="宋体" w:eastAsia="宋体" w:cs="宋体"/>
          <w:sz w:val="21"/>
          <w:szCs w:val="21"/>
        </w:rPr>
      </w:pPr>
      <w:r>
        <w:rPr>
          <w:rFonts w:ascii="宋体" w:hAnsi="宋体" w:eastAsia="宋体" w:cs="宋体"/>
          <w:spacing w:val="-2"/>
          <w:sz w:val="21"/>
          <w:szCs w:val="21"/>
        </w:rPr>
        <w:t>备注：本预付款担保格式可采用经发包人认可的其他格式，但相关内容不得</w:t>
      </w:r>
      <w:r>
        <w:rPr>
          <w:rFonts w:ascii="宋体" w:hAnsi="宋体" w:eastAsia="宋体" w:cs="宋体"/>
          <w:spacing w:val="-3"/>
          <w:sz w:val="21"/>
          <w:szCs w:val="21"/>
        </w:rPr>
        <w:t>违背合同文件约</w:t>
      </w:r>
      <w:r>
        <w:rPr>
          <w:rFonts w:ascii="宋体" w:hAnsi="宋体" w:eastAsia="宋体" w:cs="宋体"/>
          <w:spacing w:val="-5"/>
          <w:sz w:val="21"/>
          <w:szCs w:val="21"/>
        </w:rPr>
        <w:t>定的实质性内容。</w:t>
      </w:r>
    </w:p>
    <w:p w14:paraId="6826B73F">
      <w:pPr>
        <w:spacing w:line="293" w:lineRule="auto"/>
        <w:rPr>
          <w:rFonts w:ascii="宋体" w:hAnsi="宋体" w:eastAsia="宋体" w:cs="宋体"/>
          <w:sz w:val="21"/>
          <w:szCs w:val="21"/>
        </w:rPr>
        <w:sectPr>
          <w:footerReference r:id="rId137" w:type="default"/>
          <w:pgSz w:w="11910" w:h="16845"/>
          <w:pgMar w:top="400" w:right="1718" w:bottom="1110" w:left="1786" w:header="0" w:footer="882" w:gutter="0"/>
          <w:cols w:space="720" w:num="1"/>
        </w:sectPr>
      </w:pPr>
    </w:p>
    <w:p w14:paraId="46501AB2">
      <w:pPr>
        <w:pStyle w:val="2"/>
        <w:spacing w:line="248" w:lineRule="auto"/>
      </w:pPr>
    </w:p>
    <w:p w14:paraId="08A39F13">
      <w:pPr>
        <w:pStyle w:val="2"/>
        <w:spacing w:line="248" w:lineRule="auto"/>
      </w:pPr>
    </w:p>
    <w:p w14:paraId="1147ECF7">
      <w:pPr>
        <w:pStyle w:val="2"/>
        <w:spacing w:line="248" w:lineRule="auto"/>
      </w:pPr>
    </w:p>
    <w:p w14:paraId="3A97832D">
      <w:pPr>
        <w:pStyle w:val="2"/>
        <w:spacing w:line="248" w:lineRule="auto"/>
      </w:pPr>
    </w:p>
    <w:p w14:paraId="349A0855">
      <w:pPr>
        <w:pStyle w:val="2"/>
        <w:spacing w:line="248" w:lineRule="auto"/>
      </w:pPr>
    </w:p>
    <w:p w14:paraId="7F21BCF5">
      <w:pPr>
        <w:pStyle w:val="2"/>
        <w:spacing w:line="248" w:lineRule="auto"/>
      </w:pPr>
    </w:p>
    <w:p w14:paraId="5915135D">
      <w:pPr>
        <w:pStyle w:val="2"/>
        <w:spacing w:line="248" w:lineRule="auto"/>
      </w:pPr>
    </w:p>
    <w:p w14:paraId="41BE4376">
      <w:pPr>
        <w:spacing w:before="78" w:line="219" w:lineRule="auto"/>
        <w:ind w:left="38"/>
        <w:outlineLvl w:val="2"/>
        <w:rPr>
          <w:rFonts w:ascii="黑体" w:hAnsi="黑体" w:eastAsia="黑体" w:cs="黑体"/>
          <w:sz w:val="24"/>
          <w:szCs w:val="24"/>
        </w:rPr>
      </w:pPr>
      <w:bookmarkStart w:id="330" w:name="bookmark679"/>
      <w:bookmarkEnd w:id="330"/>
      <w:r>
        <w:rPr>
          <w:rFonts w:ascii="黑体" w:hAnsi="黑体" w:eastAsia="黑体" w:cs="黑体"/>
          <w:spacing w:val="-2"/>
          <w:sz w:val="24"/>
          <w:szCs w:val="24"/>
        </w:rPr>
        <w:t>附件三：履约担保格式</w:t>
      </w:r>
    </w:p>
    <w:p w14:paraId="690E2AA4">
      <w:pPr>
        <w:pStyle w:val="2"/>
        <w:spacing w:line="394" w:lineRule="auto"/>
      </w:pPr>
    </w:p>
    <w:p w14:paraId="57AFC516">
      <w:pPr>
        <w:spacing w:before="91" w:line="222" w:lineRule="auto"/>
        <w:ind w:left="3450"/>
        <w:rPr>
          <w:rFonts w:ascii="黑体" w:hAnsi="黑体" w:eastAsia="黑体" w:cs="黑体"/>
          <w:sz w:val="28"/>
          <w:szCs w:val="28"/>
        </w:rPr>
      </w:pPr>
      <w:bookmarkStart w:id="331" w:name="bookmark288"/>
      <w:bookmarkEnd w:id="331"/>
      <w:r>
        <w:rPr>
          <w:rFonts w:ascii="黑体" w:hAnsi="黑体" w:eastAsia="黑体" w:cs="黑体"/>
          <w:spacing w:val="6"/>
          <w:sz w:val="28"/>
          <w:szCs w:val="28"/>
        </w:rPr>
        <w:t>承包人履约保函</w:t>
      </w:r>
    </w:p>
    <w:p w14:paraId="09014FA2">
      <w:pPr>
        <w:pStyle w:val="2"/>
        <w:spacing w:line="362" w:lineRule="auto"/>
      </w:pPr>
    </w:p>
    <w:p w14:paraId="16D6DDDC">
      <w:pPr>
        <w:tabs>
          <w:tab w:val="left" w:pos="243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(发包人名称)：</w:t>
      </w:r>
    </w:p>
    <w:p w14:paraId="70B48730">
      <w:pPr>
        <w:spacing w:before="36" w:line="241" w:lineRule="auto"/>
        <w:ind w:left="27" w:right="75" w:firstLine="419"/>
        <w:rPr>
          <w:rFonts w:ascii="宋体" w:hAnsi="宋体" w:eastAsia="宋体" w:cs="宋体"/>
          <w:sz w:val="21"/>
          <w:szCs w:val="21"/>
        </w:rPr>
      </w:pPr>
      <w:r>
        <w:rPr>
          <w:rFonts w:ascii="宋体" w:hAnsi="宋体" w:eastAsia="宋体" w:cs="宋体"/>
          <w:spacing w:val="-1"/>
          <w:sz w:val="21"/>
          <w:szCs w:val="21"/>
        </w:rPr>
        <w:t>鉴于你方作为发包人已经与</w:t>
      </w:r>
      <w:r>
        <w:rPr>
          <w:rFonts w:ascii="宋体" w:hAnsi="宋体" w:eastAsia="宋体" w:cs="宋体"/>
          <w:spacing w:val="-1"/>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1"/>
          <w:sz w:val="21"/>
          <w:szCs w:val="21"/>
        </w:rPr>
        <w:t>(承包人名称)(以下称“承包人”)</w:t>
      </w:r>
      <w:r>
        <w:rPr>
          <w:rFonts w:ascii="宋体" w:hAnsi="宋体" w:eastAsia="宋体" w:cs="宋体"/>
          <w:sz w:val="21"/>
          <w:szCs w:val="21"/>
        </w:rPr>
        <w:t>于</w:t>
      </w:r>
    </w:p>
    <w:p w14:paraId="6C61E971">
      <w:pPr>
        <w:tabs>
          <w:tab w:val="left" w:pos="750"/>
        </w:tabs>
        <w:spacing w:before="6" w:line="246" w:lineRule="auto"/>
        <w:ind w:left="29" w:right="59" w:hanging="14"/>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86"/>
          <w:sz w:val="21"/>
          <w:szCs w:val="21"/>
        </w:rPr>
        <w:t xml:space="preserve"> </w:t>
      </w:r>
      <w:r>
        <w:rPr>
          <w:rFonts w:ascii="宋体" w:hAnsi="宋体" w:eastAsia="宋体" w:cs="宋体"/>
          <w:spacing w:val="-10"/>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0"/>
          <w:sz w:val="21"/>
          <w:szCs w:val="21"/>
        </w:rPr>
        <w:t>日签订了</w:t>
      </w:r>
      <w:r>
        <w:rPr>
          <w:rFonts w:ascii="宋体" w:hAnsi="宋体" w:eastAsia="宋体" w:cs="宋体"/>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10"/>
          <w:sz w:val="21"/>
          <w:szCs w:val="21"/>
        </w:rPr>
        <w:t>(工程名称)施工承包合同</w:t>
      </w:r>
      <w:r>
        <w:rPr>
          <w:rFonts w:ascii="宋体" w:hAnsi="宋体" w:eastAsia="宋体" w:cs="宋体"/>
          <w:spacing w:val="-61"/>
          <w:sz w:val="21"/>
          <w:szCs w:val="21"/>
        </w:rPr>
        <w:t xml:space="preserve"> </w:t>
      </w:r>
      <w:r>
        <w:rPr>
          <w:rFonts w:ascii="宋体" w:hAnsi="宋体" w:eastAsia="宋体" w:cs="宋体"/>
          <w:spacing w:val="-10"/>
          <w:sz w:val="21"/>
          <w:szCs w:val="21"/>
        </w:rPr>
        <w:t>(以下称“主合</w:t>
      </w:r>
      <w:r>
        <w:rPr>
          <w:rFonts w:ascii="宋体" w:hAnsi="宋体" w:eastAsia="宋体" w:cs="宋体"/>
          <w:sz w:val="21"/>
          <w:szCs w:val="21"/>
        </w:rPr>
        <w:t>同”)，应承包人申请，我方愿就承包人履行主合同约定的义</w:t>
      </w:r>
      <w:r>
        <w:rPr>
          <w:rFonts w:ascii="宋体" w:hAnsi="宋体" w:eastAsia="宋体" w:cs="宋体"/>
          <w:spacing w:val="-1"/>
          <w:sz w:val="21"/>
          <w:szCs w:val="21"/>
        </w:rPr>
        <w:t>务以保证的方式向你方提供如</w:t>
      </w:r>
      <w:r>
        <w:rPr>
          <w:rFonts w:ascii="宋体" w:hAnsi="宋体" w:eastAsia="宋体" w:cs="宋体"/>
          <w:spacing w:val="-12"/>
          <w:sz w:val="21"/>
          <w:szCs w:val="21"/>
        </w:rPr>
        <w:t>下担保：</w:t>
      </w:r>
    </w:p>
    <w:p w14:paraId="061456F2">
      <w:pPr>
        <w:spacing w:before="1" w:line="219" w:lineRule="auto"/>
        <w:ind w:left="448"/>
        <w:rPr>
          <w:rFonts w:ascii="黑体" w:hAnsi="黑体" w:eastAsia="黑体" w:cs="黑体"/>
          <w:sz w:val="21"/>
          <w:szCs w:val="21"/>
        </w:rPr>
      </w:pPr>
      <w:r>
        <w:rPr>
          <w:rFonts w:ascii="黑体" w:hAnsi="黑体" w:eastAsia="黑体" w:cs="黑体"/>
          <w:spacing w:val="-2"/>
          <w:sz w:val="21"/>
          <w:szCs w:val="21"/>
        </w:rPr>
        <w:t>一、保证的范围及保证金额</w:t>
      </w:r>
    </w:p>
    <w:p w14:paraId="24CEB62F">
      <w:pPr>
        <w:spacing w:before="36" w:line="220" w:lineRule="auto"/>
        <w:ind w:left="446"/>
        <w:rPr>
          <w:rFonts w:ascii="宋体" w:hAnsi="宋体" w:eastAsia="宋体" w:cs="宋体"/>
          <w:sz w:val="21"/>
          <w:szCs w:val="21"/>
        </w:rPr>
      </w:pPr>
      <w:r>
        <w:rPr>
          <w:rFonts w:ascii="宋体" w:hAnsi="宋体" w:eastAsia="宋体" w:cs="宋体"/>
          <w:spacing w:val="-1"/>
          <w:sz w:val="21"/>
          <w:szCs w:val="21"/>
        </w:rPr>
        <w:t>我方的保证范围是承包人未按照主合同的约定履行义务，给你方造成的实际损失。</w:t>
      </w:r>
    </w:p>
    <w:p w14:paraId="403EBE9A">
      <w:pPr>
        <w:spacing w:before="20" w:line="251" w:lineRule="auto"/>
        <w:ind w:left="61" w:right="75" w:firstLine="385"/>
        <w:rPr>
          <w:rFonts w:ascii="宋体" w:hAnsi="宋体" w:eastAsia="宋体" w:cs="宋体"/>
          <w:sz w:val="21"/>
          <w:szCs w:val="21"/>
        </w:rPr>
      </w:pPr>
      <w:r>
        <w:rPr>
          <w:rFonts w:ascii="宋体" w:hAnsi="宋体" w:eastAsia="宋体" w:cs="宋体"/>
          <w:spacing w:val="2"/>
          <w:sz w:val="21"/>
          <w:szCs w:val="21"/>
        </w:rPr>
        <w:t>我方保证的金额是主合同约定的合同总价款</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%，数额最高不超过人民币</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r>
        <w:rPr>
          <w:rFonts w:ascii="宋体" w:hAnsi="宋体" w:eastAsia="宋体" w:cs="宋体"/>
          <w:spacing w:val="-9"/>
          <w:sz w:val="21"/>
          <w:szCs w:val="21"/>
        </w:rPr>
        <w:t>(大写)。</w:t>
      </w:r>
    </w:p>
    <w:p w14:paraId="7B4FC843">
      <w:pPr>
        <w:spacing w:line="218" w:lineRule="auto"/>
        <w:ind w:left="448"/>
        <w:rPr>
          <w:rFonts w:ascii="黑体" w:hAnsi="黑体" w:eastAsia="黑体" w:cs="黑体"/>
          <w:sz w:val="21"/>
          <w:szCs w:val="21"/>
        </w:rPr>
      </w:pPr>
      <w:r>
        <w:rPr>
          <w:rFonts w:ascii="黑体" w:hAnsi="黑体" w:eastAsia="黑体" w:cs="黑体"/>
          <w:spacing w:val="-1"/>
          <w:sz w:val="21"/>
          <w:szCs w:val="21"/>
        </w:rPr>
        <w:t>二、保证的方式及保证期间</w:t>
      </w:r>
    </w:p>
    <w:p w14:paraId="689D98C3">
      <w:pPr>
        <w:spacing w:before="22" w:line="220" w:lineRule="auto"/>
        <w:ind w:left="446"/>
        <w:rPr>
          <w:rFonts w:ascii="宋体" w:hAnsi="宋体" w:eastAsia="宋体" w:cs="宋体"/>
          <w:sz w:val="21"/>
          <w:szCs w:val="21"/>
        </w:rPr>
      </w:pPr>
      <w:r>
        <w:rPr>
          <w:rFonts w:ascii="宋体" w:hAnsi="宋体" w:eastAsia="宋体" w:cs="宋体"/>
          <w:spacing w:val="-2"/>
          <w:sz w:val="21"/>
          <w:szCs w:val="21"/>
        </w:rPr>
        <w:t>我方保证的方式为：连带责任保证。</w:t>
      </w:r>
    </w:p>
    <w:p w14:paraId="5774C2EC">
      <w:pPr>
        <w:spacing w:before="35" w:line="219" w:lineRule="auto"/>
        <w:jc w:val="right"/>
        <w:rPr>
          <w:rFonts w:ascii="宋体" w:hAnsi="宋体" w:eastAsia="宋体" w:cs="宋体"/>
          <w:sz w:val="21"/>
          <w:szCs w:val="21"/>
        </w:rPr>
      </w:pPr>
      <w:r>
        <w:rPr>
          <w:rFonts w:ascii="宋体" w:hAnsi="宋体" w:eastAsia="宋体" w:cs="宋体"/>
          <w:spacing w:val="-2"/>
          <w:sz w:val="21"/>
          <w:szCs w:val="21"/>
        </w:rPr>
        <w:t>我方保证的期间为：自本合同生效之日起至主合同约定的工程竣工日期后</w:t>
      </w:r>
      <w:r>
        <w:rPr>
          <w:rFonts w:ascii="宋体" w:hAnsi="宋体" w:eastAsia="宋体" w:cs="宋体"/>
          <w:spacing w:val="19"/>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2"/>
          <w:sz w:val="21"/>
          <w:szCs w:val="21"/>
        </w:rPr>
        <w:t>日内。</w:t>
      </w:r>
    </w:p>
    <w:p w14:paraId="45C90A19">
      <w:pPr>
        <w:spacing w:before="38" w:line="239" w:lineRule="auto"/>
        <w:ind w:left="26" w:right="52" w:firstLine="418"/>
        <w:rPr>
          <w:rFonts w:ascii="宋体" w:hAnsi="宋体" w:eastAsia="宋体" w:cs="宋体"/>
          <w:sz w:val="21"/>
          <w:szCs w:val="21"/>
        </w:rPr>
      </w:pPr>
      <w:r>
        <w:rPr>
          <w:rFonts w:ascii="宋体" w:hAnsi="宋体" w:eastAsia="宋体" w:cs="宋体"/>
          <w:spacing w:val="-2"/>
          <w:sz w:val="21"/>
          <w:szCs w:val="21"/>
        </w:rPr>
        <w:t>你方与承包人协议变更工程竣工日期的，经我方书面同意后，保证期间</w:t>
      </w:r>
      <w:r>
        <w:rPr>
          <w:rFonts w:ascii="宋体" w:hAnsi="宋体" w:eastAsia="宋体" w:cs="宋体"/>
          <w:spacing w:val="-3"/>
          <w:sz w:val="21"/>
          <w:szCs w:val="21"/>
        </w:rPr>
        <w:t>按照变更后的竣</w:t>
      </w:r>
      <w:r>
        <w:rPr>
          <w:rFonts w:ascii="宋体" w:hAnsi="宋体" w:eastAsia="宋体" w:cs="宋体"/>
          <w:spacing w:val="-4"/>
          <w:sz w:val="21"/>
          <w:szCs w:val="21"/>
        </w:rPr>
        <w:t>工日期做相应调整。</w:t>
      </w:r>
    </w:p>
    <w:p w14:paraId="23C3E81D">
      <w:pPr>
        <w:spacing w:before="10" w:line="218" w:lineRule="auto"/>
        <w:ind w:left="448"/>
        <w:rPr>
          <w:rFonts w:ascii="黑体" w:hAnsi="黑体" w:eastAsia="黑体" w:cs="黑体"/>
          <w:sz w:val="21"/>
          <w:szCs w:val="21"/>
        </w:rPr>
      </w:pPr>
      <w:r>
        <w:rPr>
          <w:rFonts w:ascii="黑体" w:hAnsi="黑体" w:eastAsia="黑体" w:cs="黑体"/>
          <w:spacing w:val="-1"/>
          <w:sz w:val="21"/>
          <w:szCs w:val="21"/>
        </w:rPr>
        <w:t>三、承担保证责任的形式</w:t>
      </w:r>
    </w:p>
    <w:p w14:paraId="6BF32574">
      <w:pPr>
        <w:spacing w:before="37" w:line="220" w:lineRule="auto"/>
        <w:ind w:left="446"/>
        <w:rPr>
          <w:rFonts w:ascii="宋体" w:hAnsi="宋体" w:eastAsia="宋体" w:cs="宋体"/>
          <w:sz w:val="21"/>
          <w:szCs w:val="21"/>
        </w:rPr>
      </w:pPr>
      <w:r>
        <w:rPr>
          <w:rFonts w:ascii="宋体" w:hAnsi="宋体" w:eastAsia="宋体" w:cs="宋体"/>
          <w:spacing w:val="-2"/>
          <w:sz w:val="21"/>
          <w:szCs w:val="21"/>
        </w:rPr>
        <w:t>我方按照你方的要求以下列方式之一承担保证责任：</w:t>
      </w:r>
    </w:p>
    <w:p w14:paraId="55E478E1">
      <w:pPr>
        <w:spacing w:before="20" w:line="251" w:lineRule="auto"/>
        <w:ind w:left="38" w:right="67" w:firstLine="443"/>
        <w:rPr>
          <w:rFonts w:ascii="宋体" w:hAnsi="宋体" w:eastAsia="宋体" w:cs="宋体"/>
          <w:sz w:val="21"/>
          <w:szCs w:val="21"/>
        </w:rPr>
      </w:pPr>
      <w:r>
        <w:rPr>
          <w:rFonts w:ascii="宋体" w:hAnsi="宋体" w:eastAsia="宋体" w:cs="宋体"/>
          <w:spacing w:val="-1"/>
          <w:sz w:val="21"/>
          <w:szCs w:val="21"/>
        </w:rPr>
        <w:t>(1)由我方提供资金及技术援助，使承包人继续履行主合同义务，支付金额不超过本保</w:t>
      </w:r>
      <w:r>
        <w:rPr>
          <w:rFonts w:ascii="宋体" w:hAnsi="宋体" w:eastAsia="宋体" w:cs="宋体"/>
          <w:spacing w:val="-4"/>
          <w:sz w:val="21"/>
          <w:szCs w:val="21"/>
        </w:rPr>
        <w:t>函第一条规定的保证金额。</w:t>
      </w:r>
    </w:p>
    <w:p w14:paraId="544896B8">
      <w:pPr>
        <w:spacing w:before="1" w:line="218" w:lineRule="auto"/>
        <w:ind w:left="481"/>
        <w:rPr>
          <w:rFonts w:ascii="宋体" w:hAnsi="宋体" w:eastAsia="宋体" w:cs="宋体"/>
          <w:sz w:val="21"/>
          <w:szCs w:val="21"/>
        </w:rPr>
      </w:pPr>
      <w:r>
        <w:rPr>
          <w:rFonts w:ascii="宋体" w:hAnsi="宋体" w:eastAsia="宋体" w:cs="宋体"/>
          <w:spacing w:val="-2"/>
          <w:sz w:val="21"/>
          <w:szCs w:val="21"/>
        </w:rPr>
        <w:t>(2)由我方在本保函第一条规定的保证金额内赔偿你</w:t>
      </w:r>
      <w:r>
        <w:rPr>
          <w:rFonts w:ascii="宋体" w:hAnsi="宋体" w:eastAsia="宋体" w:cs="宋体"/>
          <w:spacing w:val="-3"/>
          <w:sz w:val="21"/>
          <w:szCs w:val="21"/>
        </w:rPr>
        <w:t>方的损失。</w:t>
      </w:r>
    </w:p>
    <w:p w14:paraId="3892555E">
      <w:pPr>
        <w:spacing w:before="21" w:line="220" w:lineRule="auto"/>
        <w:ind w:left="457"/>
        <w:rPr>
          <w:rFonts w:ascii="黑体" w:hAnsi="黑体" w:eastAsia="黑体" w:cs="黑体"/>
          <w:sz w:val="21"/>
          <w:szCs w:val="21"/>
        </w:rPr>
      </w:pPr>
      <w:r>
        <w:rPr>
          <w:rFonts w:ascii="黑体" w:hAnsi="黑体" w:eastAsia="黑体" w:cs="黑体"/>
          <w:spacing w:val="-3"/>
          <w:sz w:val="21"/>
          <w:szCs w:val="21"/>
        </w:rPr>
        <w:t>四、代偿的安排</w:t>
      </w:r>
    </w:p>
    <w:p w14:paraId="1B00CC7F">
      <w:pPr>
        <w:spacing w:before="36" w:line="245" w:lineRule="auto"/>
        <w:ind w:left="24" w:right="52" w:firstLine="421"/>
        <w:jc w:val="both"/>
        <w:rPr>
          <w:rFonts w:ascii="宋体" w:hAnsi="宋体" w:eastAsia="宋体" w:cs="宋体"/>
          <w:sz w:val="21"/>
          <w:szCs w:val="21"/>
        </w:rPr>
      </w:pPr>
      <w:r>
        <w:rPr>
          <w:rFonts w:ascii="宋体" w:hAnsi="宋体" w:eastAsia="宋体" w:cs="宋体"/>
          <w:spacing w:val="-2"/>
          <w:sz w:val="21"/>
          <w:szCs w:val="21"/>
        </w:rPr>
        <w:t>你方要求我方承担保证责任的，应向我方发出书面索赔通知及承包人未</w:t>
      </w:r>
      <w:r>
        <w:rPr>
          <w:rFonts w:ascii="宋体" w:hAnsi="宋体" w:eastAsia="宋体" w:cs="宋体"/>
          <w:spacing w:val="-3"/>
          <w:sz w:val="21"/>
          <w:szCs w:val="21"/>
        </w:rPr>
        <w:t>履行主合同约定</w:t>
      </w:r>
      <w:r>
        <w:rPr>
          <w:rFonts w:ascii="宋体" w:hAnsi="宋体" w:eastAsia="宋体" w:cs="宋体"/>
          <w:spacing w:val="-5"/>
          <w:sz w:val="21"/>
          <w:szCs w:val="21"/>
        </w:rPr>
        <w:t>义务的证明材料。索赔通知应写明要求索赔的金额， 支付款项应到达的帐号，并附有说明承</w:t>
      </w:r>
      <w:r>
        <w:rPr>
          <w:rFonts w:ascii="宋体" w:hAnsi="宋体" w:eastAsia="宋体" w:cs="宋体"/>
          <w:spacing w:val="-2"/>
          <w:sz w:val="21"/>
          <w:szCs w:val="21"/>
        </w:rPr>
        <w:t>包人违反主合同造成你方损失情况的证明材料。</w:t>
      </w:r>
    </w:p>
    <w:p w14:paraId="660B9089">
      <w:pPr>
        <w:spacing w:before="4" w:line="244" w:lineRule="auto"/>
        <w:ind w:left="25" w:right="52" w:firstLine="420"/>
        <w:rPr>
          <w:rFonts w:ascii="宋体" w:hAnsi="宋体" w:eastAsia="宋体" w:cs="宋体"/>
          <w:sz w:val="21"/>
          <w:szCs w:val="21"/>
        </w:rPr>
      </w:pPr>
      <w:r>
        <w:rPr>
          <w:rFonts w:ascii="宋体" w:hAnsi="宋体" w:eastAsia="宋体" w:cs="宋体"/>
          <w:spacing w:val="-2"/>
          <w:sz w:val="21"/>
          <w:szCs w:val="21"/>
        </w:rPr>
        <w:t>你方以工程质量不符合主合同约定标准为由，向我方提出违约索赔的，</w:t>
      </w:r>
      <w:r>
        <w:rPr>
          <w:rFonts w:ascii="宋体" w:hAnsi="宋体" w:eastAsia="宋体" w:cs="宋体"/>
          <w:spacing w:val="-3"/>
          <w:sz w:val="21"/>
          <w:szCs w:val="21"/>
        </w:rPr>
        <w:t>还需同时提供符</w:t>
      </w:r>
      <w:r>
        <w:rPr>
          <w:rFonts w:ascii="宋体" w:hAnsi="宋体" w:eastAsia="宋体" w:cs="宋体"/>
          <w:spacing w:val="-1"/>
          <w:sz w:val="21"/>
          <w:szCs w:val="21"/>
        </w:rPr>
        <w:t>合相应条件要求的工程质量检测部门出具的质量说明材料。</w:t>
      </w:r>
    </w:p>
    <w:p w14:paraId="04B68047">
      <w:pPr>
        <w:spacing w:before="2" w:line="250" w:lineRule="auto"/>
        <w:ind w:left="25" w:right="73" w:firstLine="421"/>
        <w:rPr>
          <w:rFonts w:ascii="宋体" w:hAnsi="宋体" w:eastAsia="宋体" w:cs="宋体"/>
          <w:sz w:val="21"/>
          <w:szCs w:val="21"/>
        </w:rPr>
      </w:pPr>
      <w:r>
        <w:rPr>
          <w:rFonts w:ascii="宋体" w:hAnsi="宋体" w:eastAsia="宋体" w:cs="宋体"/>
          <w:sz w:val="21"/>
          <w:szCs w:val="21"/>
        </w:rPr>
        <w:t>我方收到你方的书面索赔通知及相应证明材料后，在</w:t>
      </w:r>
      <w:r>
        <w:rPr>
          <w:rFonts w:ascii="宋体" w:hAnsi="宋体" w:eastAsia="宋体" w:cs="宋体"/>
          <w:spacing w:val="25"/>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z w:val="21"/>
          <w:szCs w:val="21"/>
        </w:rPr>
        <w:t>工作日内进行</w:t>
      </w:r>
      <w:r>
        <w:rPr>
          <w:rFonts w:ascii="宋体" w:hAnsi="宋体" w:eastAsia="宋体" w:cs="宋体"/>
          <w:spacing w:val="-1"/>
          <w:sz w:val="21"/>
          <w:szCs w:val="21"/>
        </w:rPr>
        <w:t>核定后按照本</w:t>
      </w:r>
      <w:r>
        <w:rPr>
          <w:rFonts w:ascii="宋体" w:hAnsi="宋体" w:eastAsia="宋体" w:cs="宋体"/>
          <w:spacing w:val="-3"/>
          <w:sz w:val="21"/>
          <w:szCs w:val="21"/>
        </w:rPr>
        <w:t>保函的承诺承担保证责任。</w:t>
      </w:r>
    </w:p>
    <w:p w14:paraId="76C6D48B">
      <w:pPr>
        <w:spacing w:line="218" w:lineRule="auto"/>
        <w:ind w:left="450"/>
        <w:rPr>
          <w:rFonts w:ascii="黑体" w:hAnsi="黑体" w:eastAsia="黑体" w:cs="黑体"/>
          <w:sz w:val="21"/>
          <w:szCs w:val="21"/>
        </w:rPr>
      </w:pPr>
      <w:r>
        <w:rPr>
          <w:rFonts w:ascii="黑体" w:hAnsi="黑体" w:eastAsia="黑体" w:cs="黑体"/>
          <w:spacing w:val="-2"/>
          <w:sz w:val="21"/>
          <w:szCs w:val="21"/>
        </w:rPr>
        <w:t>五、保证责任的解除</w:t>
      </w:r>
    </w:p>
    <w:p w14:paraId="13F3A562">
      <w:pPr>
        <w:spacing w:before="22" w:line="251" w:lineRule="auto"/>
        <w:ind w:left="29" w:right="77" w:firstLine="430"/>
        <w:rPr>
          <w:rFonts w:ascii="宋体" w:hAnsi="宋体" w:eastAsia="宋体" w:cs="宋体"/>
          <w:sz w:val="21"/>
          <w:szCs w:val="21"/>
        </w:rPr>
      </w:pPr>
      <w:r>
        <w:rPr>
          <w:rFonts w:ascii="宋体" w:hAnsi="宋体" w:eastAsia="宋体" w:cs="宋体"/>
          <w:sz w:val="21"/>
          <w:szCs w:val="21"/>
        </w:rPr>
        <w:t>1、在本保函承诺的保证期间内，你方未书面向</w:t>
      </w:r>
      <w:r>
        <w:rPr>
          <w:rFonts w:ascii="宋体" w:hAnsi="宋体" w:eastAsia="宋体" w:cs="宋体"/>
          <w:spacing w:val="-1"/>
          <w:sz w:val="21"/>
          <w:szCs w:val="21"/>
        </w:rPr>
        <w:t>我方主张保证责任的，自保证期间届满</w:t>
      </w:r>
      <w:r>
        <w:rPr>
          <w:rFonts w:ascii="宋体" w:hAnsi="宋体" w:eastAsia="宋体" w:cs="宋体"/>
          <w:spacing w:val="-3"/>
          <w:sz w:val="21"/>
          <w:szCs w:val="21"/>
        </w:rPr>
        <w:t>次日起，我方保证责任解除。</w:t>
      </w:r>
    </w:p>
    <w:p w14:paraId="2C301E22">
      <w:pPr>
        <w:spacing w:before="1" w:line="239" w:lineRule="auto"/>
        <w:ind w:left="24" w:right="74" w:firstLine="423"/>
        <w:rPr>
          <w:rFonts w:ascii="宋体" w:hAnsi="宋体" w:eastAsia="宋体" w:cs="宋体"/>
          <w:sz w:val="21"/>
          <w:szCs w:val="21"/>
        </w:rPr>
      </w:pPr>
      <w:r>
        <w:rPr>
          <w:rFonts w:ascii="宋体" w:hAnsi="宋体" w:eastAsia="宋体" w:cs="宋体"/>
          <w:sz w:val="21"/>
          <w:szCs w:val="21"/>
        </w:rPr>
        <w:t>2、承包人按主合同约定履行了义务的，自本保函承诺的保证期间届满次日起，我</w:t>
      </w:r>
      <w:r>
        <w:rPr>
          <w:rFonts w:ascii="宋体" w:hAnsi="宋体" w:eastAsia="宋体" w:cs="宋体"/>
          <w:spacing w:val="-1"/>
          <w:sz w:val="21"/>
          <w:szCs w:val="21"/>
        </w:rPr>
        <w:t>方保</w:t>
      </w:r>
      <w:r>
        <w:rPr>
          <w:rFonts w:ascii="宋体" w:hAnsi="宋体" w:eastAsia="宋体" w:cs="宋体"/>
          <w:spacing w:val="-6"/>
          <w:sz w:val="21"/>
          <w:szCs w:val="21"/>
        </w:rPr>
        <w:t>证责任解除。</w:t>
      </w:r>
    </w:p>
    <w:p w14:paraId="19F8E1AA">
      <w:pPr>
        <w:spacing w:before="11" w:line="244" w:lineRule="auto"/>
        <w:ind w:left="45" w:right="75" w:firstLine="403"/>
        <w:rPr>
          <w:rFonts w:ascii="宋体" w:hAnsi="宋体" w:eastAsia="宋体" w:cs="宋体"/>
          <w:sz w:val="21"/>
          <w:szCs w:val="21"/>
        </w:rPr>
      </w:pPr>
      <w:r>
        <w:rPr>
          <w:rFonts w:ascii="宋体" w:hAnsi="宋体" w:eastAsia="宋体" w:cs="宋体"/>
          <w:sz w:val="21"/>
          <w:szCs w:val="21"/>
        </w:rPr>
        <w:t>3、我方按照本保函向你方履行保证责任所支付的金额达到本保函保证金额时</w:t>
      </w:r>
      <w:r>
        <w:rPr>
          <w:rFonts w:ascii="宋体" w:hAnsi="宋体" w:eastAsia="宋体" w:cs="宋体"/>
          <w:spacing w:val="-1"/>
          <w:sz w:val="21"/>
          <w:szCs w:val="21"/>
        </w:rPr>
        <w:t>，自我方</w:t>
      </w:r>
      <w:r>
        <w:rPr>
          <w:rFonts w:ascii="宋体" w:hAnsi="宋体" w:eastAsia="宋体" w:cs="宋体"/>
          <w:spacing w:val="-3"/>
          <w:sz w:val="21"/>
          <w:szCs w:val="21"/>
        </w:rPr>
        <w:t>向你方支付</w:t>
      </w:r>
      <w:r>
        <w:rPr>
          <w:rFonts w:ascii="宋体" w:hAnsi="宋体" w:eastAsia="宋体" w:cs="宋体"/>
          <w:spacing w:val="-60"/>
          <w:sz w:val="21"/>
          <w:szCs w:val="21"/>
        </w:rPr>
        <w:t xml:space="preserve"> </w:t>
      </w:r>
      <w:r>
        <w:rPr>
          <w:rFonts w:ascii="宋体" w:hAnsi="宋体" w:eastAsia="宋体" w:cs="宋体"/>
          <w:spacing w:val="-3"/>
          <w:sz w:val="21"/>
          <w:szCs w:val="21"/>
        </w:rPr>
        <w:t>(支付款项从我方帐户划出)之日起，保证责任</w:t>
      </w:r>
      <w:r>
        <w:rPr>
          <w:rFonts w:ascii="宋体" w:hAnsi="宋体" w:eastAsia="宋体" w:cs="宋体"/>
          <w:spacing w:val="-4"/>
          <w:sz w:val="21"/>
          <w:szCs w:val="21"/>
        </w:rPr>
        <w:t>即解除。</w:t>
      </w:r>
    </w:p>
    <w:p w14:paraId="72201396">
      <w:pPr>
        <w:spacing w:before="2" w:line="250" w:lineRule="auto"/>
        <w:ind w:left="41" w:right="81" w:firstLine="402"/>
        <w:rPr>
          <w:rFonts w:ascii="宋体" w:hAnsi="宋体" w:eastAsia="宋体" w:cs="宋体"/>
          <w:sz w:val="21"/>
          <w:szCs w:val="21"/>
        </w:rPr>
      </w:pPr>
      <w:r>
        <w:rPr>
          <w:rFonts w:ascii="宋体" w:hAnsi="宋体" w:eastAsia="宋体" w:cs="宋体"/>
          <w:sz w:val="21"/>
          <w:szCs w:val="21"/>
        </w:rPr>
        <w:t>4、按照法律法规的规定或出现应解除我方保证责任的其它情形的，我方在</w:t>
      </w:r>
      <w:r>
        <w:rPr>
          <w:rFonts w:ascii="宋体" w:hAnsi="宋体" w:eastAsia="宋体" w:cs="宋体"/>
          <w:spacing w:val="-1"/>
          <w:sz w:val="21"/>
          <w:szCs w:val="21"/>
        </w:rPr>
        <w:t>本保函项下</w:t>
      </w:r>
      <w:r>
        <w:rPr>
          <w:rFonts w:ascii="宋体" w:hAnsi="宋体" w:eastAsia="宋体" w:cs="宋体"/>
          <w:spacing w:val="-6"/>
          <w:sz w:val="21"/>
          <w:szCs w:val="21"/>
        </w:rPr>
        <w:t>的保证责任亦解除。</w:t>
      </w:r>
    </w:p>
    <w:p w14:paraId="5142E09C">
      <w:pPr>
        <w:spacing w:before="1" w:line="239" w:lineRule="auto"/>
        <w:ind w:left="29" w:right="96" w:firstLine="417"/>
        <w:rPr>
          <w:rFonts w:ascii="宋体" w:hAnsi="宋体" w:eastAsia="宋体" w:cs="宋体"/>
          <w:sz w:val="21"/>
          <w:szCs w:val="21"/>
        </w:rPr>
      </w:pPr>
      <w:r>
        <w:rPr>
          <w:rFonts w:ascii="宋体" w:hAnsi="宋体" w:eastAsia="宋体" w:cs="宋体"/>
          <w:spacing w:val="-1"/>
          <w:sz w:val="21"/>
          <w:szCs w:val="21"/>
        </w:rPr>
        <w:t>我方解除保证责任后，你方应自我方保证责任解除之日起</w:t>
      </w:r>
      <w:r>
        <w:rPr>
          <w:rFonts w:ascii="宋体" w:hAnsi="宋体" w:eastAsia="宋体" w:cs="宋体"/>
          <w:spacing w:val="27"/>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个工作日内，将本保函</w:t>
      </w:r>
      <w:r>
        <w:rPr>
          <w:rFonts w:ascii="宋体" w:hAnsi="宋体" w:eastAsia="宋体" w:cs="宋体"/>
          <w:spacing w:val="-5"/>
          <w:sz w:val="21"/>
          <w:szCs w:val="21"/>
        </w:rPr>
        <w:t>原件返还我方。</w:t>
      </w:r>
    </w:p>
    <w:p w14:paraId="4D0C186D">
      <w:pPr>
        <w:spacing w:before="11" w:line="218" w:lineRule="auto"/>
        <w:ind w:left="451"/>
        <w:rPr>
          <w:rFonts w:ascii="黑体" w:hAnsi="黑体" w:eastAsia="黑体" w:cs="黑体"/>
          <w:sz w:val="21"/>
          <w:szCs w:val="21"/>
        </w:rPr>
      </w:pPr>
      <w:r>
        <w:rPr>
          <w:rFonts w:ascii="黑体" w:hAnsi="黑体" w:eastAsia="黑体" w:cs="黑体"/>
          <w:spacing w:val="-2"/>
          <w:sz w:val="21"/>
          <w:szCs w:val="21"/>
        </w:rPr>
        <w:t>六、免责条款</w:t>
      </w:r>
    </w:p>
    <w:p w14:paraId="32F43C9F">
      <w:pPr>
        <w:spacing w:before="36" w:line="220" w:lineRule="auto"/>
        <w:ind w:left="460"/>
        <w:rPr>
          <w:rFonts w:ascii="宋体" w:hAnsi="宋体" w:eastAsia="宋体" w:cs="宋体"/>
          <w:sz w:val="21"/>
          <w:szCs w:val="21"/>
        </w:rPr>
      </w:pPr>
      <w:r>
        <w:rPr>
          <w:rFonts w:ascii="宋体" w:hAnsi="宋体" w:eastAsia="宋体" w:cs="宋体"/>
          <w:spacing w:val="-1"/>
          <w:sz w:val="21"/>
          <w:szCs w:val="21"/>
        </w:rPr>
        <w:t>1、因你方违约致使承包人不能履行义务的</w:t>
      </w:r>
      <w:r>
        <w:rPr>
          <w:rFonts w:ascii="宋体" w:hAnsi="宋体" w:eastAsia="宋体" w:cs="宋体"/>
          <w:spacing w:val="-2"/>
          <w:sz w:val="21"/>
          <w:szCs w:val="21"/>
        </w:rPr>
        <w:t>，我方不承担保证责任。</w:t>
      </w:r>
    </w:p>
    <w:p w14:paraId="7EA3E7C4">
      <w:pPr>
        <w:spacing w:line="220" w:lineRule="auto"/>
        <w:rPr>
          <w:rFonts w:ascii="宋体" w:hAnsi="宋体" w:eastAsia="宋体" w:cs="宋体"/>
          <w:sz w:val="21"/>
          <w:szCs w:val="21"/>
        </w:rPr>
        <w:sectPr>
          <w:footerReference r:id="rId138" w:type="default"/>
          <w:pgSz w:w="11910" w:h="16845"/>
          <w:pgMar w:top="400" w:right="1726" w:bottom="1110" w:left="1786" w:header="0" w:footer="883" w:gutter="0"/>
          <w:cols w:space="720" w:num="1"/>
        </w:sectPr>
      </w:pPr>
    </w:p>
    <w:p w14:paraId="63129E90">
      <w:pPr>
        <w:pStyle w:val="2"/>
        <w:spacing w:line="253" w:lineRule="auto"/>
      </w:pPr>
    </w:p>
    <w:p w14:paraId="59A5B0EB">
      <w:pPr>
        <w:pStyle w:val="2"/>
        <w:spacing w:line="253" w:lineRule="auto"/>
      </w:pPr>
    </w:p>
    <w:p w14:paraId="0AF51495">
      <w:pPr>
        <w:pStyle w:val="2"/>
        <w:spacing w:line="253" w:lineRule="auto"/>
      </w:pPr>
    </w:p>
    <w:p w14:paraId="03D52E92">
      <w:pPr>
        <w:pStyle w:val="2"/>
        <w:spacing w:line="253" w:lineRule="auto"/>
      </w:pPr>
    </w:p>
    <w:p w14:paraId="7A5E7303">
      <w:pPr>
        <w:spacing w:before="68" w:line="244" w:lineRule="auto"/>
        <w:ind w:left="25" w:right="113" w:firstLine="421"/>
        <w:rPr>
          <w:rFonts w:ascii="宋体" w:hAnsi="宋体" w:eastAsia="宋体" w:cs="宋体"/>
          <w:sz w:val="21"/>
          <w:szCs w:val="21"/>
        </w:rPr>
      </w:pPr>
      <w:r>
        <w:rPr>
          <w:rFonts w:ascii="宋体" w:hAnsi="宋体" w:eastAsia="宋体" w:cs="宋体"/>
          <w:spacing w:val="-1"/>
          <w:sz w:val="21"/>
          <w:szCs w:val="21"/>
        </w:rPr>
        <w:t>2、依照法律法规的规定或你方与承包人的另行约定，免除承包人部分或全部义</w:t>
      </w:r>
      <w:r>
        <w:rPr>
          <w:rFonts w:ascii="宋体" w:hAnsi="宋体" w:eastAsia="宋体" w:cs="宋体"/>
          <w:spacing w:val="-2"/>
          <w:sz w:val="21"/>
          <w:szCs w:val="21"/>
        </w:rPr>
        <w:t>务的，</w:t>
      </w:r>
      <w:r>
        <w:rPr>
          <w:rFonts w:ascii="宋体" w:hAnsi="宋体" w:eastAsia="宋体" w:cs="宋体"/>
          <w:spacing w:val="-3"/>
          <w:sz w:val="21"/>
          <w:szCs w:val="21"/>
        </w:rPr>
        <w:t>我方亦免除其相应的保证责任。</w:t>
      </w:r>
    </w:p>
    <w:p w14:paraId="1F9FC261">
      <w:pPr>
        <w:spacing w:before="1" w:line="246" w:lineRule="auto"/>
        <w:ind w:left="25" w:right="51" w:firstLine="423"/>
        <w:rPr>
          <w:rFonts w:ascii="宋体" w:hAnsi="宋体" w:eastAsia="宋体" w:cs="宋体"/>
          <w:sz w:val="21"/>
          <w:szCs w:val="21"/>
        </w:rPr>
      </w:pPr>
      <w:r>
        <w:rPr>
          <w:rFonts w:ascii="宋体" w:hAnsi="宋体" w:eastAsia="宋体" w:cs="宋体"/>
          <w:spacing w:val="-3"/>
          <w:sz w:val="21"/>
          <w:szCs w:val="21"/>
        </w:rPr>
        <w:t>3、你方与承包人协议变更主合同(符合主合同合同条款第</w:t>
      </w:r>
      <w:r>
        <w:rPr>
          <w:rFonts w:ascii="宋体" w:hAnsi="宋体" w:eastAsia="宋体" w:cs="宋体"/>
          <w:spacing w:val="-23"/>
          <w:sz w:val="21"/>
          <w:szCs w:val="21"/>
        </w:rPr>
        <w:t xml:space="preserve"> </w:t>
      </w:r>
      <w:r>
        <w:rPr>
          <w:rFonts w:ascii="宋体" w:hAnsi="宋体" w:eastAsia="宋体" w:cs="宋体"/>
          <w:spacing w:val="-3"/>
          <w:sz w:val="21"/>
          <w:szCs w:val="21"/>
        </w:rPr>
        <w:t>1</w:t>
      </w:r>
      <w:r>
        <w:rPr>
          <w:rFonts w:ascii="宋体" w:hAnsi="宋体" w:eastAsia="宋体" w:cs="宋体"/>
          <w:spacing w:val="-4"/>
          <w:sz w:val="21"/>
          <w:szCs w:val="21"/>
        </w:rPr>
        <w:t>5</w:t>
      </w:r>
      <w:r>
        <w:rPr>
          <w:rFonts w:ascii="宋体" w:hAnsi="宋体" w:eastAsia="宋体" w:cs="宋体"/>
          <w:spacing w:val="-35"/>
          <w:sz w:val="21"/>
          <w:szCs w:val="21"/>
        </w:rPr>
        <w:t xml:space="preserve"> </w:t>
      </w:r>
      <w:r>
        <w:rPr>
          <w:rFonts w:ascii="宋体" w:hAnsi="宋体" w:eastAsia="宋体" w:cs="宋体"/>
          <w:spacing w:val="-4"/>
          <w:sz w:val="21"/>
          <w:szCs w:val="21"/>
        </w:rPr>
        <w:t>条约定的变更除外)，如加</w:t>
      </w:r>
      <w:r>
        <w:rPr>
          <w:rFonts w:ascii="宋体" w:hAnsi="宋体" w:eastAsia="宋体" w:cs="宋体"/>
          <w:spacing w:val="-2"/>
          <w:sz w:val="21"/>
          <w:szCs w:val="21"/>
        </w:rPr>
        <w:t>重承包人责任致使我方保证责任加重的，需征得我方书面同意，否则我方不再承担因此</w:t>
      </w:r>
      <w:r>
        <w:rPr>
          <w:rFonts w:ascii="宋体" w:hAnsi="宋体" w:eastAsia="宋体" w:cs="宋体"/>
          <w:spacing w:val="-3"/>
          <w:sz w:val="21"/>
          <w:szCs w:val="21"/>
        </w:rPr>
        <w:t>而加</w:t>
      </w:r>
      <w:r>
        <w:rPr>
          <w:rFonts w:ascii="宋体" w:hAnsi="宋体" w:eastAsia="宋体" w:cs="宋体"/>
          <w:spacing w:val="-4"/>
          <w:sz w:val="21"/>
          <w:szCs w:val="21"/>
        </w:rPr>
        <w:t>重部分的保证责任。</w:t>
      </w:r>
    </w:p>
    <w:p w14:paraId="682F527C">
      <w:pPr>
        <w:spacing w:line="219" w:lineRule="auto"/>
        <w:ind w:left="443"/>
        <w:rPr>
          <w:rFonts w:ascii="宋体" w:hAnsi="宋体" w:eastAsia="宋体" w:cs="宋体"/>
          <w:sz w:val="21"/>
          <w:szCs w:val="21"/>
        </w:rPr>
      </w:pPr>
      <w:r>
        <w:rPr>
          <w:rFonts w:ascii="宋体" w:hAnsi="宋体" w:eastAsia="宋体" w:cs="宋体"/>
          <w:spacing w:val="-1"/>
          <w:sz w:val="21"/>
          <w:szCs w:val="21"/>
        </w:rPr>
        <w:t>4、因不可抗力造成承包人不能履行义务的，我方不承担保证责任。</w:t>
      </w:r>
    </w:p>
    <w:p w14:paraId="346079DF">
      <w:pPr>
        <w:spacing w:before="35" w:line="219" w:lineRule="auto"/>
        <w:ind w:left="443"/>
        <w:rPr>
          <w:rFonts w:ascii="黑体" w:hAnsi="黑体" w:eastAsia="黑体" w:cs="黑体"/>
          <w:sz w:val="21"/>
          <w:szCs w:val="21"/>
        </w:rPr>
      </w:pPr>
      <w:r>
        <w:rPr>
          <w:rFonts w:ascii="黑体" w:hAnsi="黑体" w:eastAsia="黑体" w:cs="黑体"/>
          <w:spacing w:val="-1"/>
          <w:sz w:val="21"/>
          <w:szCs w:val="21"/>
        </w:rPr>
        <w:t>七、争议的解决</w:t>
      </w:r>
    </w:p>
    <w:p w14:paraId="0B927ABF">
      <w:pPr>
        <w:spacing w:before="36" w:line="239" w:lineRule="auto"/>
        <w:ind w:left="25" w:right="44" w:firstLine="436"/>
        <w:rPr>
          <w:rFonts w:ascii="宋体" w:hAnsi="宋体" w:eastAsia="宋体" w:cs="宋体"/>
          <w:sz w:val="21"/>
          <w:szCs w:val="21"/>
        </w:rPr>
      </w:pPr>
      <w:r>
        <w:rPr>
          <w:rFonts w:ascii="宋体" w:hAnsi="宋体" w:eastAsia="宋体" w:cs="宋体"/>
          <w:spacing w:val="-5"/>
          <w:sz w:val="21"/>
          <w:szCs w:val="21"/>
        </w:rPr>
        <w:t>因本保函发生的纠纷，由贵我双方协商解决，协商不成的，任何一方均可提请</w:t>
      </w:r>
      <w:r>
        <w:rPr>
          <w:rFonts w:ascii="宋体" w:hAnsi="宋体" w:eastAsia="宋体" w:cs="宋体"/>
          <w:spacing w:val="-5"/>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仲裁委员会仲裁。</w:t>
      </w:r>
    </w:p>
    <w:p w14:paraId="01C6C299">
      <w:pPr>
        <w:spacing w:before="11" w:line="218" w:lineRule="auto"/>
        <w:ind w:left="444"/>
        <w:rPr>
          <w:rFonts w:ascii="黑体" w:hAnsi="黑体" w:eastAsia="黑体" w:cs="黑体"/>
          <w:sz w:val="21"/>
          <w:szCs w:val="21"/>
        </w:rPr>
      </w:pPr>
      <w:r>
        <w:rPr>
          <w:rFonts w:ascii="黑体" w:hAnsi="黑体" w:eastAsia="黑体" w:cs="黑体"/>
          <w:spacing w:val="-1"/>
          <w:sz w:val="21"/>
          <w:szCs w:val="21"/>
        </w:rPr>
        <w:t>八、保函的生效</w:t>
      </w:r>
    </w:p>
    <w:p w14:paraId="38C1C2D5">
      <w:pPr>
        <w:spacing w:before="37" w:line="219" w:lineRule="auto"/>
        <w:ind w:left="445"/>
        <w:rPr>
          <w:rFonts w:ascii="宋体" w:hAnsi="宋体" w:eastAsia="宋体" w:cs="宋体"/>
          <w:sz w:val="21"/>
          <w:szCs w:val="21"/>
        </w:rPr>
      </w:pPr>
      <w:r>
        <w:rPr>
          <w:rFonts w:ascii="宋体" w:hAnsi="宋体" w:eastAsia="宋体" w:cs="宋体"/>
          <w:spacing w:val="-2"/>
          <w:sz w:val="21"/>
          <w:szCs w:val="21"/>
        </w:rPr>
        <w:t>本保函自我方法定代表人</w:t>
      </w:r>
      <w:r>
        <w:rPr>
          <w:rFonts w:ascii="宋体" w:hAnsi="宋体" w:eastAsia="宋体" w:cs="宋体"/>
          <w:spacing w:val="-55"/>
          <w:sz w:val="21"/>
          <w:szCs w:val="21"/>
        </w:rPr>
        <w:t xml:space="preserve"> </w:t>
      </w:r>
      <w:r>
        <w:rPr>
          <w:rFonts w:ascii="宋体" w:hAnsi="宋体" w:eastAsia="宋体" w:cs="宋体"/>
          <w:spacing w:val="-2"/>
          <w:sz w:val="21"/>
          <w:szCs w:val="21"/>
        </w:rPr>
        <w:t>(或其授权代理人)签字或加盖公章并交付你方之日起生效。</w:t>
      </w:r>
    </w:p>
    <w:p w14:paraId="69BD4822">
      <w:pPr>
        <w:spacing w:before="21" w:line="219" w:lineRule="auto"/>
        <w:jc w:val="right"/>
        <w:rPr>
          <w:rFonts w:ascii="宋体" w:hAnsi="宋体" w:eastAsia="宋体" w:cs="宋体"/>
          <w:sz w:val="21"/>
          <w:szCs w:val="21"/>
        </w:rPr>
      </w:pPr>
      <w:r>
        <w:rPr>
          <w:rFonts w:ascii="宋体" w:hAnsi="宋体" w:eastAsia="宋体" w:cs="宋体"/>
          <w:spacing w:val="-2"/>
          <w:sz w:val="21"/>
          <w:szCs w:val="21"/>
        </w:rPr>
        <w:t>本条所称交付是指：</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p>
    <w:p w14:paraId="0953A102">
      <w:pPr>
        <w:pStyle w:val="2"/>
        <w:spacing w:line="296" w:lineRule="auto"/>
      </w:pPr>
    </w:p>
    <w:p w14:paraId="5F9D2590">
      <w:pPr>
        <w:spacing w:before="69" w:line="219" w:lineRule="auto"/>
        <w:ind w:left="2908"/>
        <w:rPr>
          <w:rFonts w:ascii="宋体" w:hAnsi="宋体" w:eastAsia="宋体" w:cs="宋体"/>
          <w:sz w:val="21"/>
          <w:szCs w:val="21"/>
        </w:rPr>
      </w:pPr>
      <w:r>
        <w:rPr>
          <w:rFonts w:ascii="宋体" w:hAnsi="宋体" w:eastAsia="宋体" w:cs="宋体"/>
          <w:spacing w:val="-9"/>
          <w:sz w:val="21"/>
          <w:szCs w:val="21"/>
        </w:rPr>
        <w:t>担保人：</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9"/>
          <w:sz w:val="21"/>
          <w:szCs w:val="21"/>
        </w:rPr>
        <w:t>(盖单位章)</w:t>
      </w:r>
    </w:p>
    <w:p w14:paraId="24AD86B1">
      <w:pPr>
        <w:spacing w:before="81" w:line="220" w:lineRule="auto"/>
        <w:ind w:left="2908"/>
        <w:rPr>
          <w:rFonts w:ascii="宋体" w:hAnsi="宋体" w:eastAsia="宋体" w:cs="宋体"/>
          <w:sz w:val="21"/>
          <w:szCs w:val="21"/>
        </w:rPr>
      </w:pPr>
      <w:r>
        <w:rPr>
          <w:rFonts w:ascii="宋体" w:hAnsi="宋体" w:eastAsia="宋体" w:cs="宋体"/>
          <w:spacing w:val="-5"/>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5"/>
          <w:sz w:val="21"/>
          <w:szCs w:val="21"/>
        </w:rPr>
        <w:t>(签字)</w:t>
      </w:r>
    </w:p>
    <w:p w14:paraId="0E86DEB3">
      <w:pPr>
        <w:spacing w:before="95" w:line="229" w:lineRule="auto"/>
        <w:ind w:left="2907"/>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78BBD3F5">
      <w:pPr>
        <w:spacing w:before="85" w:line="220" w:lineRule="auto"/>
        <w:ind w:left="2923"/>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03F0E307">
      <w:pPr>
        <w:spacing w:before="80" w:line="222" w:lineRule="auto"/>
        <w:ind w:left="2932"/>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6C7FEFF3">
      <w:pPr>
        <w:spacing w:before="93" w:line="219" w:lineRule="auto"/>
        <w:ind w:left="2906"/>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28B9B3A4">
      <w:pPr>
        <w:tabs>
          <w:tab w:val="left" w:pos="6234"/>
        </w:tabs>
        <w:spacing w:before="96" w:line="220" w:lineRule="auto"/>
        <w:ind w:left="476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p>
    <w:p w14:paraId="7C27FAE2">
      <w:pPr>
        <w:pStyle w:val="2"/>
        <w:spacing w:line="250" w:lineRule="auto"/>
      </w:pPr>
    </w:p>
    <w:p w14:paraId="2692793F">
      <w:pPr>
        <w:spacing w:before="69" w:line="253" w:lineRule="auto"/>
        <w:ind w:left="659" w:right="54" w:hanging="633"/>
        <w:rPr>
          <w:rFonts w:ascii="宋体" w:hAnsi="宋体" w:eastAsia="宋体" w:cs="宋体"/>
          <w:sz w:val="21"/>
          <w:szCs w:val="21"/>
        </w:rPr>
      </w:pPr>
      <w:r>
        <w:rPr>
          <w:rFonts w:ascii="宋体" w:hAnsi="宋体" w:eastAsia="宋体" w:cs="宋体"/>
          <w:spacing w:val="-2"/>
          <w:sz w:val="21"/>
          <w:szCs w:val="21"/>
        </w:rPr>
        <w:t>备注：本履约担保格式可以采用经发包人同意的其他格式，但相关内容不得</w:t>
      </w:r>
      <w:r>
        <w:rPr>
          <w:rFonts w:ascii="宋体" w:hAnsi="宋体" w:eastAsia="宋体" w:cs="宋体"/>
          <w:spacing w:val="-3"/>
          <w:sz w:val="21"/>
          <w:szCs w:val="21"/>
        </w:rPr>
        <w:t>违背合同约定的</w:t>
      </w:r>
      <w:r>
        <w:rPr>
          <w:rFonts w:ascii="宋体" w:hAnsi="宋体" w:eastAsia="宋体" w:cs="宋体"/>
          <w:spacing w:val="-6"/>
          <w:sz w:val="21"/>
          <w:szCs w:val="21"/>
        </w:rPr>
        <w:t>实质性内容。</w:t>
      </w:r>
    </w:p>
    <w:p w14:paraId="23D3B81A">
      <w:pPr>
        <w:spacing w:line="253" w:lineRule="auto"/>
        <w:rPr>
          <w:rFonts w:ascii="宋体" w:hAnsi="宋体" w:eastAsia="宋体" w:cs="宋体"/>
          <w:sz w:val="21"/>
          <w:szCs w:val="21"/>
        </w:rPr>
        <w:sectPr>
          <w:footerReference r:id="rId139" w:type="default"/>
          <w:pgSz w:w="11910" w:h="16845"/>
          <w:pgMar w:top="400" w:right="1727" w:bottom="1110" w:left="1786" w:header="0" w:footer="883" w:gutter="0"/>
          <w:cols w:space="720" w:num="1"/>
        </w:sectPr>
      </w:pPr>
    </w:p>
    <w:p w14:paraId="49BF8D93">
      <w:pPr>
        <w:pStyle w:val="2"/>
        <w:spacing w:line="241" w:lineRule="auto"/>
      </w:pPr>
    </w:p>
    <w:p w14:paraId="3442CE77">
      <w:pPr>
        <w:pStyle w:val="2"/>
        <w:spacing w:line="241" w:lineRule="auto"/>
      </w:pPr>
    </w:p>
    <w:p w14:paraId="1FE67B8D">
      <w:pPr>
        <w:pStyle w:val="2"/>
        <w:spacing w:line="241" w:lineRule="auto"/>
      </w:pPr>
    </w:p>
    <w:p w14:paraId="4988894A">
      <w:pPr>
        <w:pStyle w:val="2"/>
        <w:spacing w:line="241" w:lineRule="auto"/>
      </w:pPr>
    </w:p>
    <w:p w14:paraId="2A38BFD7">
      <w:pPr>
        <w:pStyle w:val="2"/>
        <w:spacing w:line="241" w:lineRule="auto"/>
      </w:pPr>
    </w:p>
    <w:p w14:paraId="5317A23C">
      <w:pPr>
        <w:pStyle w:val="2"/>
        <w:spacing w:line="241" w:lineRule="auto"/>
      </w:pPr>
    </w:p>
    <w:p w14:paraId="5564E770">
      <w:pPr>
        <w:pStyle w:val="2"/>
        <w:spacing w:line="241" w:lineRule="auto"/>
      </w:pPr>
    </w:p>
    <w:p w14:paraId="5D494F6B">
      <w:pPr>
        <w:pStyle w:val="2"/>
        <w:spacing w:line="241" w:lineRule="auto"/>
      </w:pPr>
    </w:p>
    <w:p w14:paraId="27037C2A">
      <w:pPr>
        <w:pStyle w:val="2"/>
        <w:spacing w:line="242" w:lineRule="auto"/>
      </w:pPr>
    </w:p>
    <w:p w14:paraId="360480B4">
      <w:pPr>
        <w:spacing w:before="78" w:line="220" w:lineRule="auto"/>
        <w:ind w:left="38"/>
        <w:outlineLvl w:val="2"/>
        <w:rPr>
          <w:rFonts w:ascii="黑体" w:hAnsi="黑体" w:eastAsia="黑体" w:cs="黑体"/>
          <w:sz w:val="24"/>
          <w:szCs w:val="24"/>
        </w:rPr>
      </w:pPr>
      <w:bookmarkStart w:id="332" w:name="bookmark680"/>
      <w:bookmarkEnd w:id="332"/>
      <w:r>
        <w:rPr>
          <w:rFonts w:ascii="黑体" w:hAnsi="黑体" w:eastAsia="黑体" w:cs="黑体"/>
          <w:spacing w:val="-2"/>
          <w:sz w:val="24"/>
          <w:szCs w:val="24"/>
        </w:rPr>
        <w:t>附件四：支付担保格式</w:t>
      </w:r>
    </w:p>
    <w:p w14:paraId="7BEC0B46">
      <w:pPr>
        <w:pStyle w:val="2"/>
        <w:spacing w:line="376" w:lineRule="auto"/>
      </w:pPr>
    </w:p>
    <w:p w14:paraId="006102AF">
      <w:pPr>
        <w:spacing w:before="91" w:line="222" w:lineRule="auto"/>
        <w:ind w:left="3453"/>
        <w:rPr>
          <w:rFonts w:ascii="黑体" w:hAnsi="黑体" w:eastAsia="黑体" w:cs="黑体"/>
          <w:sz w:val="28"/>
          <w:szCs w:val="28"/>
        </w:rPr>
      </w:pPr>
      <w:bookmarkStart w:id="333" w:name="bookmark289"/>
      <w:bookmarkEnd w:id="333"/>
      <w:r>
        <w:rPr>
          <w:rFonts w:ascii="黑体" w:hAnsi="黑体" w:eastAsia="黑体" w:cs="黑体"/>
          <w:spacing w:val="5"/>
          <w:sz w:val="28"/>
          <w:szCs w:val="28"/>
        </w:rPr>
        <w:t>发包人支付保函</w:t>
      </w:r>
    </w:p>
    <w:p w14:paraId="7FE9EBB6">
      <w:pPr>
        <w:pStyle w:val="2"/>
        <w:spacing w:line="392" w:lineRule="auto"/>
      </w:pPr>
    </w:p>
    <w:p w14:paraId="1113C0CA">
      <w:pPr>
        <w:tabs>
          <w:tab w:val="left" w:pos="2433"/>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8"/>
          <w:sz w:val="21"/>
          <w:szCs w:val="21"/>
        </w:rPr>
        <w:t>(承包人)：</w:t>
      </w:r>
    </w:p>
    <w:p w14:paraId="254EEC7D">
      <w:pPr>
        <w:spacing w:before="50" w:line="264" w:lineRule="auto"/>
        <w:ind w:left="25" w:right="62" w:firstLine="422"/>
        <w:jc w:val="both"/>
        <w:rPr>
          <w:rFonts w:ascii="宋体" w:hAnsi="宋体" w:eastAsia="宋体" w:cs="宋体"/>
          <w:sz w:val="21"/>
          <w:szCs w:val="21"/>
        </w:rPr>
      </w:pPr>
      <w:r>
        <w:rPr>
          <w:rFonts w:ascii="宋体" w:hAnsi="宋体" w:eastAsia="宋体" w:cs="宋体"/>
          <w:spacing w:val="-3"/>
          <w:sz w:val="21"/>
          <w:szCs w:val="21"/>
        </w:rPr>
        <w:t>鉴于你方作为承包人已经与</w:t>
      </w:r>
      <w:r>
        <w:rPr>
          <w:rFonts w:ascii="宋体" w:hAnsi="宋体" w:eastAsia="宋体" w:cs="宋体"/>
          <w:spacing w:val="-3"/>
          <w:sz w:val="21"/>
          <w:szCs w:val="21"/>
          <w:u w:val="single" w:color="auto"/>
        </w:rPr>
        <w:t xml:space="preserve">            包       </w:t>
      </w:r>
      <w:r>
        <w:rPr>
          <w:rFonts w:ascii="宋体" w:hAnsi="宋体" w:eastAsia="宋体" w:cs="宋体"/>
          <w:spacing w:val="55"/>
          <w:sz w:val="21"/>
          <w:szCs w:val="21"/>
        </w:rPr>
        <w:t xml:space="preserve"> </w:t>
      </w:r>
      <w:r>
        <w:rPr>
          <w:rFonts w:ascii="宋体" w:hAnsi="宋体" w:eastAsia="宋体" w:cs="宋体"/>
          <w:spacing w:val="-3"/>
          <w:sz w:val="21"/>
          <w:szCs w:val="21"/>
        </w:rPr>
        <w:t>(发包人名称)(以下称“发包人”)</w:t>
      </w:r>
      <w:r>
        <w:rPr>
          <w:rFonts w:ascii="宋体" w:hAnsi="宋体" w:eastAsia="宋体" w:cs="宋体"/>
          <w:spacing w:val="-4"/>
          <w:sz w:val="21"/>
          <w:szCs w:val="21"/>
        </w:rPr>
        <w:t>于</w:t>
      </w:r>
      <w:r>
        <w:rPr>
          <w:rFonts w:ascii="宋体" w:hAnsi="宋体" w:eastAsia="宋体" w:cs="宋体"/>
          <w:spacing w:val="-4"/>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4"/>
          <w:sz w:val="21"/>
          <w:szCs w:val="21"/>
        </w:rPr>
        <w:t>日签订了</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4"/>
          <w:sz w:val="21"/>
          <w:szCs w:val="21"/>
        </w:rPr>
        <w:t>(工程名称)施工承包合同</w:t>
      </w:r>
      <w:r>
        <w:rPr>
          <w:rFonts w:ascii="宋体" w:hAnsi="宋体" w:eastAsia="宋体" w:cs="宋体"/>
          <w:spacing w:val="-60"/>
          <w:sz w:val="21"/>
          <w:szCs w:val="21"/>
        </w:rPr>
        <w:t xml:space="preserve"> </w:t>
      </w:r>
      <w:r>
        <w:rPr>
          <w:rFonts w:ascii="宋体" w:hAnsi="宋体" w:eastAsia="宋体" w:cs="宋体"/>
          <w:spacing w:val="-4"/>
          <w:sz w:val="21"/>
          <w:szCs w:val="21"/>
        </w:rPr>
        <w:t>(以下称“主</w:t>
      </w:r>
      <w:r>
        <w:rPr>
          <w:rFonts w:ascii="宋体" w:hAnsi="宋体" w:eastAsia="宋体" w:cs="宋体"/>
          <w:sz w:val="21"/>
          <w:szCs w:val="21"/>
        </w:rPr>
        <w:t>合同”)，应发包人的申请，我方愿就发包人履行主合同约定的工程款支付义务以保证的方</w:t>
      </w:r>
      <w:r>
        <w:rPr>
          <w:rFonts w:ascii="宋体" w:hAnsi="宋体" w:eastAsia="宋体" w:cs="宋体"/>
          <w:spacing w:val="-5"/>
          <w:sz w:val="21"/>
          <w:szCs w:val="21"/>
        </w:rPr>
        <w:t>式向你方提供如下担保：</w:t>
      </w:r>
    </w:p>
    <w:p w14:paraId="3AE131A7">
      <w:pPr>
        <w:spacing w:line="218" w:lineRule="auto"/>
        <w:ind w:left="448"/>
        <w:rPr>
          <w:rFonts w:ascii="黑体" w:hAnsi="黑体" w:eastAsia="黑体" w:cs="黑体"/>
          <w:sz w:val="21"/>
          <w:szCs w:val="21"/>
        </w:rPr>
      </w:pPr>
      <w:r>
        <w:rPr>
          <w:rFonts w:ascii="黑体" w:hAnsi="黑体" w:eastAsia="黑体" w:cs="黑体"/>
          <w:spacing w:val="-2"/>
          <w:sz w:val="21"/>
          <w:szCs w:val="21"/>
        </w:rPr>
        <w:t>一、保证的范围及保证金额</w:t>
      </w:r>
    </w:p>
    <w:p w14:paraId="72734221">
      <w:pPr>
        <w:spacing w:before="52" w:line="220" w:lineRule="auto"/>
        <w:ind w:left="446"/>
        <w:rPr>
          <w:rFonts w:ascii="宋体" w:hAnsi="宋体" w:eastAsia="宋体" w:cs="宋体"/>
          <w:sz w:val="21"/>
          <w:szCs w:val="21"/>
        </w:rPr>
      </w:pPr>
      <w:r>
        <w:rPr>
          <w:rFonts w:ascii="宋体" w:hAnsi="宋体" w:eastAsia="宋体" w:cs="宋体"/>
          <w:spacing w:val="-2"/>
          <w:sz w:val="21"/>
          <w:szCs w:val="21"/>
        </w:rPr>
        <w:t>我方的保证范围是主合同约定的工程款。</w:t>
      </w:r>
    </w:p>
    <w:p w14:paraId="4110A087">
      <w:pPr>
        <w:spacing w:before="50" w:line="218" w:lineRule="auto"/>
        <w:jc w:val="right"/>
        <w:rPr>
          <w:rFonts w:ascii="宋体" w:hAnsi="宋体" w:eastAsia="宋体" w:cs="宋体"/>
          <w:sz w:val="21"/>
          <w:szCs w:val="21"/>
        </w:rPr>
      </w:pPr>
      <w:r>
        <w:rPr>
          <w:rFonts w:ascii="宋体" w:hAnsi="宋体" w:eastAsia="宋体" w:cs="宋体"/>
          <w:spacing w:val="-1"/>
          <w:sz w:val="21"/>
          <w:szCs w:val="21"/>
        </w:rPr>
        <w:t>本保函所称主合同约定的工程款是指主合同约定的除工程质量保证金以外的合同价款。</w:t>
      </w:r>
    </w:p>
    <w:p w14:paraId="53A77575">
      <w:pPr>
        <w:spacing w:before="52" w:line="264" w:lineRule="auto"/>
        <w:ind w:left="29" w:right="78" w:firstLine="416"/>
        <w:rPr>
          <w:rFonts w:ascii="宋体" w:hAnsi="宋体" w:eastAsia="宋体" w:cs="宋体"/>
          <w:sz w:val="21"/>
          <w:szCs w:val="21"/>
        </w:rPr>
      </w:pPr>
      <w:r>
        <w:rPr>
          <w:rFonts w:ascii="宋体" w:hAnsi="宋体" w:eastAsia="宋体" w:cs="宋体"/>
          <w:spacing w:val="-1"/>
          <w:sz w:val="21"/>
          <w:szCs w:val="21"/>
        </w:rPr>
        <w:t>我方保证的金额是主合同约定的工程款的</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％，数</w:t>
      </w:r>
      <w:r>
        <w:rPr>
          <w:rFonts w:ascii="宋体" w:hAnsi="宋体" w:eastAsia="宋体" w:cs="宋体"/>
          <w:spacing w:val="-2"/>
          <w:sz w:val="21"/>
          <w:szCs w:val="21"/>
        </w:rPr>
        <w:t>额最高不超过人民币元</w:t>
      </w:r>
      <w:r>
        <w:rPr>
          <w:rFonts w:ascii="宋体" w:hAnsi="宋体" w:eastAsia="宋体" w:cs="宋体"/>
          <w:spacing w:val="-52"/>
          <w:sz w:val="21"/>
          <w:szCs w:val="21"/>
        </w:rPr>
        <w:t xml:space="preserve"> </w:t>
      </w:r>
      <w:r>
        <w:rPr>
          <w:rFonts w:ascii="宋体" w:hAnsi="宋体" w:eastAsia="宋体" w:cs="宋体"/>
          <w:spacing w:val="-2"/>
          <w:sz w:val="21"/>
          <w:szCs w:val="21"/>
        </w:rPr>
        <w:t>(大</w:t>
      </w:r>
      <w:r>
        <w:rPr>
          <w:rFonts w:ascii="宋体" w:hAnsi="宋体" w:eastAsia="宋体" w:cs="宋体"/>
          <w:spacing w:val="-6"/>
          <w:sz w:val="21"/>
          <w:szCs w:val="21"/>
        </w:rPr>
        <w:t>写：</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6"/>
          <w:sz w:val="21"/>
          <w:szCs w:val="21"/>
        </w:rPr>
        <w:t>)。</w:t>
      </w:r>
    </w:p>
    <w:p w14:paraId="3AE9CE4F">
      <w:pPr>
        <w:spacing w:line="218" w:lineRule="auto"/>
        <w:ind w:left="448"/>
        <w:rPr>
          <w:rFonts w:ascii="黑体" w:hAnsi="黑体" w:eastAsia="黑体" w:cs="黑体"/>
          <w:sz w:val="21"/>
          <w:szCs w:val="21"/>
        </w:rPr>
      </w:pPr>
      <w:r>
        <w:rPr>
          <w:rFonts w:ascii="黑体" w:hAnsi="黑体" w:eastAsia="黑体" w:cs="黑体"/>
          <w:spacing w:val="-1"/>
          <w:sz w:val="21"/>
          <w:szCs w:val="21"/>
        </w:rPr>
        <w:t>二、保证的方式及保证期间</w:t>
      </w:r>
    </w:p>
    <w:p w14:paraId="30A9457E">
      <w:pPr>
        <w:spacing w:before="52" w:line="220" w:lineRule="auto"/>
        <w:ind w:left="446"/>
        <w:rPr>
          <w:rFonts w:ascii="宋体" w:hAnsi="宋体" w:eastAsia="宋体" w:cs="宋体"/>
          <w:sz w:val="21"/>
          <w:szCs w:val="21"/>
        </w:rPr>
      </w:pPr>
      <w:r>
        <w:rPr>
          <w:rFonts w:ascii="宋体" w:hAnsi="宋体" w:eastAsia="宋体" w:cs="宋体"/>
          <w:spacing w:val="-2"/>
          <w:sz w:val="21"/>
          <w:szCs w:val="21"/>
        </w:rPr>
        <w:t>我方保证的方式为：连带责任保证。</w:t>
      </w:r>
    </w:p>
    <w:p w14:paraId="4C196976">
      <w:pPr>
        <w:spacing w:before="50" w:line="264" w:lineRule="auto"/>
        <w:ind w:left="49" w:right="63" w:firstLine="396"/>
        <w:rPr>
          <w:rFonts w:ascii="宋体" w:hAnsi="宋体" w:eastAsia="宋体" w:cs="宋体"/>
          <w:sz w:val="21"/>
          <w:szCs w:val="21"/>
        </w:rPr>
      </w:pPr>
      <w:r>
        <w:rPr>
          <w:rFonts w:ascii="宋体" w:hAnsi="宋体" w:eastAsia="宋体" w:cs="宋体"/>
          <w:spacing w:val="-3"/>
          <w:sz w:val="21"/>
          <w:szCs w:val="21"/>
        </w:rPr>
        <w:t>我方保证的期间为：自本合同生效之日起至主合同约定的工程款支付之日</w:t>
      </w:r>
      <w:r>
        <w:rPr>
          <w:rFonts w:ascii="宋体" w:hAnsi="宋体" w:eastAsia="宋体" w:cs="宋体"/>
          <w:spacing w:val="-4"/>
          <w:sz w:val="21"/>
          <w:szCs w:val="21"/>
        </w:rPr>
        <w:t>后</w:t>
      </w:r>
      <w:r>
        <w:rPr>
          <w:rFonts w:ascii="宋体" w:hAnsi="宋体" w:eastAsia="宋体" w:cs="宋体"/>
          <w:spacing w:val="-4"/>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4"/>
          <w:sz w:val="21"/>
          <w:szCs w:val="21"/>
        </w:rPr>
        <w:t>日</w:t>
      </w:r>
      <w:r>
        <w:rPr>
          <w:rFonts w:ascii="宋体" w:hAnsi="宋体" w:eastAsia="宋体" w:cs="宋体"/>
          <w:spacing w:val="-16"/>
          <w:sz w:val="21"/>
          <w:szCs w:val="21"/>
        </w:rPr>
        <w:t>内。</w:t>
      </w:r>
    </w:p>
    <w:p w14:paraId="165AC06C">
      <w:pPr>
        <w:spacing w:line="264" w:lineRule="auto"/>
        <w:ind w:left="25" w:right="55" w:firstLine="420"/>
        <w:rPr>
          <w:rFonts w:ascii="宋体" w:hAnsi="宋体" w:eastAsia="宋体" w:cs="宋体"/>
          <w:sz w:val="21"/>
          <w:szCs w:val="21"/>
        </w:rPr>
      </w:pPr>
      <w:r>
        <w:rPr>
          <w:rFonts w:ascii="宋体" w:hAnsi="宋体" w:eastAsia="宋体" w:cs="宋体"/>
          <w:spacing w:val="-2"/>
          <w:sz w:val="21"/>
          <w:szCs w:val="21"/>
        </w:rPr>
        <w:t>你方与发包人协议变更工程款支付日期的，经我方书面同意后，保证期</w:t>
      </w:r>
      <w:r>
        <w:rPr>
          <w:rFonts w:ascii="宋体" w:hAnsi="宋体" w:eastAsia="宋体" w:cs="宋体"/>
          <w:spacing w:val="-3"/>
          <w:sz w:val="21"/>
          <w:szCs w:val="21"/>
        </w:rPr>
        <w:t>间按照变更后的</w:t>
      </w:r>
      <w:r>
        <w:rPr>
          <w:rFonts w:ascii="宋体" w:hAnsi="宋体" w:eastAsia="宋体" w:cs="宋体"/>
          <w:spacing w:val="-4"/>
          <w:sz w:val="21"/>
          <w:szCs w:val="21"/>
        </w:rPr>
        <w:t>支付日期做相应调整。</w:t>
      </w:r>
    </w:p>
    <w:p w14:paraId="6083D98E">
      <w:pPr>
        <w:spacing w:line="218" w:lineRule="auto"/>
        <w:ind w:left="448"/>
        <w:rPr>
          <w:rFonts w:ascii="黑体" w:hAnsi="黑体" w:eastAsia="黑体" w:cs="黑体"/>
          <w:sz w:val="21"/>
          <w:szCs w:val="21"/>
        </w:rPr>
      </w:pPr>
      <w:r>
        <w:rPr>
          <w:rFonts w:ascii="黑体" w:hAnsi="黑体" w:eastAsia="黑体" w:cs="黑体"/>
          <w:spacing w:val="-1"/>
          <w:sz w:val="21"/>
          <w:szCs w:val="21"/>
        </w:rPr>
        <w:t>三、承担保证责任的形式</w:t>
      </w:r>
    </w:p>
    <w:p w14:paraId="4597BF67">
      <w:pPr>
        <w:spacing w:before="52" w:line="264" w:lineRule="auto"/>
        <w:ind w:left="25" w:right="87" w:firstLine="420"/>
        <w:rPr>
          <w:rFonts w:ascii="宋体" w:hAnsi="宋体" w:eastAsia="宋体" w:cs="宋体"/>
          <w:sz w:val="21"/>
          <w:szCs w:val="21"/>
        </w:rPr>
      </w:pPr>
      <w:r>
        <w:rPr>
          <w:rFonts w:ascii="宋体" w:hAnsi="宋体" w:eastAsia="宋体" w:cs="宋体"/>
          <w:spacing w:val="-3"/>
          <w:sz w:val="21"/>
          <w:szCs w:val="21"/>
        </w:rPr>
        <w:t>我方承担保证责任的形式是代为支付。发包人未按主合同约定向你方支付工程款的</w:t>
      </w:r>
      <w:r>
        <w:rPr>
          <w:rFonts w:ascii="宋体" w:hAnsi="宋体" w:eastAsia="宋体" w:cs="宋体"/>
          <w:spacing w:val="-4"/>
          <w:sz w:val="21"/>
          <w:szCs w:val="21"/>
        </w:rPr>
        <w:t>，由</w:t>
      </w:r>
      <w:r>
        <w:rPr>
          <w:rFonts w:ascii="宋体" w:hAnsi="宋体" w:eastAsia="宋体" w:cs="宋体"/>
          <w:spacing w:val="-3"/>
          <w:sz w:val="21"/>
          <w:szCs w:val="21"/>
        </w:rPr>
        <w:t>我方在保证金额内代为支付。</w:t>
      </w:r>
    </w:p>
    <w:p w14:paraId="0E849C43">
      <w:pPr>
        <w:spacing w:before="1" w:line="219" w:lineRule="auto"/>
        <w:ind w:left="457"/>
        <w:rPr>
          <w:rFonts w:ascii="黑体" w:hAnsi="黑体" w:eastAsia="黑体" w:cs="黑体"/>
          <w:sz w:val="21"/>
          <w:szCs w:val="21"/>
        </w:rPr>
      </w:pPr>
      <w:r>
        <w:rPr>
          <w:rFonts w:ascii="黑体" w:hAnsi="黑体" w:eastAsia="黑体" w:cs="黑体"/>
          <w:spacing w:val="-3"/>
          <w:sz w:val="21"/>
          <w:szCs w:val="21"/>
        </w:rPr>
        <w:t>四、代偿的安排</w:t>
      </w:r>
    </w:p>
    <w:p w14:paraId="0F4B5BCB">
      <w:pPr>
        <w:spacing w:before="50" w:line="264" w:lineRule="auto"/>
        <w:ind w:left="26" w:right="54" w:firstLine="418"/>
        <w:rPr>
          <w:rFonts w:ascii="宋体" w:hAnsi="宋体" w:eastAsia="宋体" w:cs="宋体"/>
          <w:sz w:val="21"/>
          <w:szCs w:val="21"/>
        </w:rPr>
      </w:pPr>
      <w:r>
        <w:rPr>
          <w:rFonts w:ascii="宋体" w:hAnsi="宋体" w:eastAsia="宋体" w:cs="宋体"/>
          <w:spacing w:val="-2"/>
          <w:sz w:val="21"/>
          <w:szCs w:val="21"/>
        </w:rPr>
        <w:t>你方要求我方承担保证责任的，应向我方发出书面索赔通知及发包人未</w:t>
      </w:r>
      <w:r>
        <w:rPr>
          <w:rFonts w:ascii="宋体" w:hAnsi="宋体" w:eastAsia="宋体" w:cs="宋体"/>
          <w:spacing w:val="-3"/>
          <w:sz w:val="21"/>
          <w:szCs w:val="21"/>
        </w:rPr>
        <w:t>支付主合同约定</w:t>
      </w:r>
      <w:r>
        <w:rPr>
          <w:rFonts w:ascii="宋体" w:hAnsi="宋体" w:eastAsia="宋体" w:cs="宋体"/>
          <w:spacing w:val="-1"/>
          <w:sz w:val="21"/>
          <w:szCs w:val="21"/>
        </w:rPr>
        <w:t>工程款的证明材料。索赔通知应写明要求索赔的金额，支付款项应到达的帐号。</w:t>
      </w:r>
    </w:p>
    <w:p w14:paraId="11F7D9DF">
      <w:pPr>
        <w:spacing w:before="3" w:line="263" w:lineRule="auto"/>
        <w:ind w:left="25" w:right="54" w:firstLine="418"/>
        <w:jc w:val="both"/>
        <w:rPr>
          <w:rFonts w:ascii="宋体" w:hAnsi="宋体" w:eastAsia="宋体" w:cs="宋体"/>
          <w:sz w:val="21"/>
          <w:szCs w:val="21"/>
        </w:rPr>
      </w:pPr>
      <w:r>
        <w:rPr>
          <w:rFonts w:ascii="宋体" w:hAnsi="宋体" w:eastAsia="宋体" w:cs="宋体"/>
          <w:spacing w:val="-2"/>
          <w:sz w:val="21"/>
          <w:szCs w:val="21"/>
        </w:rPr>
        <w:t>在出现你方与发包人因工程质量发生争议，发包人拒绝向你方支付工程款的</w:t>
      </w:r>
      <w:r>
        <w:rPr>
          <w:rFonts w:ascii="宋体" w:hAnsi="宋体" w:eastAsia="宋体" w:cs="宋体"/>
          <w:spacing w:val="-3"/>
          <w:sz w:val="21"/>
          <w:szCs w:val="21"/>
        </w:rPr>
        <w:t>情形时，你</w:t>
      </w:r>
      <w:r>
        <w:rPr>
          <w:rFonts w:ascii="宋体" w:hAnsi="宋体" w:eastAsia="宋体" w:cs="宋体"/>
          <w:spacing w:val="-2"/>
          <w:sz w:val="21"/>
          <w:szCs w:val="21"/>
        </w:rPr>
        <w:t>方要求我方履行保证责任代为支付的，还需提供项目总监理工程师、监理人或符合相应</w:t>
      </w:r>
      <w:r>
        <w:rPr>
          <w:rFonts w:ascii="宋体" w:hAnsi="宋体" w:eastAsia="宋体" w:cs="宋体"/>
          <w:spacing w:val="-3"/>
          <w:sz w:val="21"/>
          <w:szCs w:val="21"/>
        </w:rPr>
        <w:t>条件</w:t>
      </w:r>
      <w:r>
        <w:rPr>
          <w:rFonts w:ascii="宋体" w:hAnsi="宋体" w:eastAsia="宋体" w:cs="宋体"/>
          <w:spacing w:val="-2"/>
          <w:sz w:val="21"/>
          <w:szCs w:val="21"/>
        </w:rPr>
        <w:t>要求的工程质量检测机构出具的质量说明材料。</w:t>
      </w:r>
    </w:p>
    <w:p w14:paraId="604396AA">
      <w:pPr>
        <w:spacing w:before="3" w:line="263" w:lineRule="auto"/>
        <w:ind w:left="25" w:right="60" w:firstLine="421"/>
        <w:rPr>
          <w:rFonts w:ascii="宋体" w:hAnsi="宋体" w:eastAsia="宋体" w:cs="宋体"/>
          <w:sz w:val="21"/>
          <w:szCs w:val="21"/>
        </w:rPr>
      </w:pPr>
      <w:r>
        <w:rPr>
          <w:rFonts w:ascii="宋体" w:hAnsi="宋体" w:eastAsia="宋体" w:cs="宋体"/>
          <w:spacing w:val="-2"/>
          <w:sz w:val="21"/>
          <w:szCs w:val="21"/>
        </w:rPr>
        <w:t>我方收到你方的书面索赔通知及相应证明材料后，在</w:t>
      </w:r>
      <w:r>
        <w:rPr>
          <w:rFonts w:ascii="宋体" w:hAnsi="宋体" w:eastAsia="宋体" w:cs="宋体"/>
          <w:spacing w:val="-3"/>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3"/>
          <w:sz w:val="21"/>
          <w:szCs w:val="21"/>
        </w:rPr>
        <w:t>个工作日内进行核定后按照本保函的承诺承担保证责任。</w:t>
      </w:r>
    </w:p>
    <w:p w14:paraId="00F0F282">
      <w:pPr>
        <w:spacing w:line="218" w:lineRule="auto"/>
        <w:ind w:left="450"/>
        <w:rPr>
          <w:rFonts w:ascii="黑体" w:hAnsi="黑体" w:eastAsia="黑体" w:cs="黑体"/>
          <w:sz w:val="21"/>
          <w:szCs w:val="21"/>
        </w:rPr>
      </w:pPr>
      <w:r>
        <w:rPr>
          <w:rFonts w:ascii="黑体" w:hAnsi="黑体" w:eastAsia="黑体" w:cs="黑体"/>
          <w:spacing w:val="-2"/>
          <w:sz w:val="21"/>
          <w:szCs w:val="21"/>
        </w:rPr>
        <w:t>五、保证责任的解除</w:t>
      </w:r>
    </w:p>
    <w:p w14:paraId="34EE2500">
      <w:pPr>
        <w:spacing w:before="52" w:line="264" w:lineRule="auto"/>
        <w:ind w:left="29" w:right="79" w:firstLine="430"/>
        <w:rPr>
          <w:rFonts w:ascii="宋体" w:hAnsi="宋体" w:eastAsia="宋体" w:cs="宋体"/>
          <w:sz w:val="21"/>
          <w:szCs w:val="21"/>
        </w:rPr>
      </w:pPr>
      <w:r>
        <w:rPr>
          <w:rFonts w:ascii="宋体" w:hAnsi="宋体" w:eastAsia="宋体" w:cs="宋体"/>
          <w:sz w:val="21"/>
          <w:szCs w:val="21"/>
        </w:rPr>
        <w:t>1、在本保函承诺的保证期间内，你方未书面向</w:t>
      </w:r>
      <w:r>
        <w:rPr>
          <w:rFonts w:ascii="宋体" w:hAnsi="宋体" w:eastAsia="宋体" w:cs="宋体"/>
          <w:spacing w:val="-1"/>
          <w:sz w:val="21"/>
          <w:szCs w:val="21"/>
        </w:rPr>
        <w:t>我方主张保证责任的，自保证期间届满</w:t>
      </w:r>
      <w:r>
        <w:rPr>
          <w:rFonts w:ascii="宋体" w:hAnsi="宋体" w:eastAsia="宋体" w:cs="宋体"/>
          <w:spacing w:val="-3"/>
          <w:sz w:val="21"/>
          <w:szCs w:val="21"/>
        </w:rPr>
        <w:t>次日起，我方保证责任解除。</w:t>
      </w:r>
    </w:p>
    <w:p w14:paraId="138BEF39">
      <w:pPr>
        <w:spacing w:before="2" w:line="263" w:lineRule="auto"/>
        <w:ind w:left="24" w:right="89" w:firstLine="423"/>
        <w:rPr>
          <w:rFonts w:ascii="宋体" w:hAnsi="宋体" w:eastAsia="宋体" w:cs="宋体"/>
          <w:sz w:val="21"/>
          <w:szCs w:val="21"/>
        </w:rPr>
      </w:pPr>
      <w:r>
        <w:rPr>
          <w:rFonts w:ascii="宋体" w:hAnsi="宋体" w:eastAsia="宋体" w:cs="宋体"/>
          <w:sz w:val="21"/>
          <w:szCs w:val="21"/>
        </w:rPr>
        <w:t>2、发包人按主合同约定履行了工程款的全部支付义务</w:t>
      </w:r>
      <w:r>
        <w:rPr>
          <w:rFonts w:ascii="宋体" w:hAnsi="宋体" w:eastAsia="宋体" w:cs="宋体"/>
          <w:spacing w:val="-1"/>
          <w:sz w:val="21"/>
          <w:szCs w:val="21"/>
        </w:rPr>
        <w:t>的，自本保函承诺的保证期间届</w:t>
      </w:r>
      <w:r>
        <w:rPr>
          <w:rFonts w:ascii="宋体" w:hAnsi="宋体" w:eastAsia="宋体" w:cs="宋体"/>
          <w:spacing w:val="-3"/>
          <w:sz w:val="21"/>
          <w:szCs w:val="21"/>
        </w:rPr>
        <w:t>满次日起，我方保证责任解除。</w:t>
      </w:r>
    </w:p>
    <w:p w14:paraId="084102C9">
      <w:pPr>
        <w:spacing w:line="264" w:lineRule="auto"/>
        <w:ind w:left="25" w:right="91" w:firstLine="423"/>
        <w:rPr>
          <w:rFonts w:ascii="宋体" w:hAnsi="宋体" w:eastAsia="宋体" w:cs="宋体"/>
          <w:sz w:val="21"/>
          <w:szCs w:val="21"/>
        </w:rPr>
      </w:pPr>
      <w:r>
        <w:rPr>
          <w:rFonts w:ascii="宋体" w:hAnsi="宋体" w:eastAsia="宋体" w:cs="宋体"/>
          <w:sz w:val="21"/>
          <w:szCs w:val="21"/>
        </w:rPr>
        <w:t>3、我方按照本保函向你方履行保证责任所支</w:t>
      </w:r>
      <w:r>
        <w:rPr>
          <w:rFonts w:ascii="宋体" w:hAnsi="宋体" w:eastAsia="宋体" w:cs="宋体"/>
          <w:spacing w:val="-1"/>
          <w:sz w:val="21"/>
          <w:szCs w:val="21"/>
        </w:rPr>
        <w:t>付金额达到本保函保证金额时，自我方向</w:t>
      </w:r>
      <w:r>
        <w:rPr>
          <w:rFonts w:ascii="宋体" w:hAnsi="宋体" w:eastAsia="宋体" w:cs="宋体"/>
          <w:spacing w:val="-3"/>
          <w:sz w:val="21"/>
          <w:szCs w:val="21"/>
        </w:rPr>
        <w:t>你方支付</w:t>
      </w:r>
      <w:r>
        <w:rPr>
          <w:rFonts w:ascii="宋体" w:hAnsi="宋体" w:eastAsia="宋体" w:cs="宋体"/>
          <w:spacing w:val="-47"/>
          <w:sz w:val="21"/>
          <w:szCs w:val="21"/>
        </w:rPr>
        <w:t xml:space="preserve"> </w:t>
      </w:r>
      <w:r>
        <w:rPr>
          <w:rFonts w:ascii="宋体" w:hAnsi="宋体" w:eastAsia="宋体" w:cs="宋体"/>
          <w:spacing w:val="-3"/>
          <w:sz w:val="21"/>
          <w:szCs w:val="21"/>
        </w:rPr>
        <w:t>(支付款项从我方帐户划出)之日起，保证责任即解除。</w:t>
      </w:r>
    </w:p>
    <w:p w14:paraId="584DA87D">
      <w:pPr>
        <w:spacing w:before="2" w:line="263" w:lineRule="auto"/>
        <w:ind w:left="41" w:right="83" w:firstLine="402"/>
        <w:rPr>
          <w:rFonts w:ascii="宋体" w:hAnsi="宋体" w:eastAsia="宋体" w:cs="宋体"/>
          <w:sz w:val="21"/>
          <w:szCs w:val="21"/>
        </w:rPr>
      </w:pPr>
      <w:r>
        <w:rPr>
          <w:rFonts w:ascii="宋体" w:hAnsi="宋体" w:eastAsia="宋体" w:cs="宋体"/>
          <w:sz w:val="21"/>
          <w:szCs w:val="21"/>
        </w:rPr>
        <w:t>4、按照法律法规的规定或出现应解除我方保证责任的其它情形的，我方在</w:t>
      </w:r>
      <w:r>
        <w:rPr>
          <w:rFonts w:ascii="宋体" w:hAnsi="宋体" w:eastAsia="宋体" w:cs="宋体"/>
          <w:spacing w:val="-1"/>
          <w:sz w:val="21"/>
          <w:szCs w:val="21"/>
        </w:rPr>
        <w:t>本保函项下</w:t>
      </w:r>
      <w:r>
        <w:rPr>
          <w:rFonts w:ascii="宋体" w:hAnsi="宋体" w:eastAsia="宋体" w:cs="宋体"/>
          <w:spacing w:val="-6"/>
          <w:sz w:val="21"/>
          <w:szCs w:val="21"/>
        </w:rPr>
        <w:t>的保证责任亦解除。</w:t>
      </w:r>
    </w:p>
    <w:p w14:paraId="3916C4CF">
      <w:pPr>
        <w:spacing w:before="1" w:line="218" w:lineRule="auto"/>
        <w:ind w:left="446"/>
        <w:rPr>
          <w:rFonts w:ascii="宋体" w:hAnsi="宋体" w:eastAsia="宋体" w:cs="宋体"/>
          <w:sz w:val="21"/>
          <w:szCs w:val="21"/>
        </w:rPr>
      </w:pPr>
      <w:r>
        <w:rPr>
          <w:rFonts w:ascii="宋体" w:hAnsi="宋体" w:eastAsia="宋体" w:cs="宋体"/>
          <w:spacing w:val="-2"/>
          <w:sz w:val="21"/>
          <w:szCs w:val="21"/>
        </w:rPr>
        <w:t>我方解除保证责任后，你方应自我方保证责任解除</w:t>
      </w:r>
      <w:r>
        <w:rPr>
          <w:rFonts w:ascii="宋体" w:hAnsi="宋体" w:eastAsia="宋体" w:cs="宋体"/>
          <w:spacing w:val="-3"/>
          <w:sz w:val="21"/>
          <w:szCs w:val="21"/>
        </w:rPr>
        <w:t>之日起</w:t>
      </w:r>
      <w:r>
        <w:rPr>
          <w:rFonts w:ascii="宋体" w:hAnsi="宋体" w:eastAsia="宋体" w:cs="宋体"/>
          <w:spacing w:val="-3"/>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3"/>
          <w:sz w:val="21"/>
          <w:szCs w:val="21"/>
        </w:rPr>
        <w:t>个工作日内，将本保函原</w:t>
      </w:r>
    </w:p>
    <w:p w14:paraId="22B127B7">
      <w:pPr>
        <w:spacing w:line="218" w:lineRule="auto"/>
        <w:rPr>
          <w:rFonts w:ascii="宋体" w:hAnsi="宋体" w:eastAsia="宋体" w:cs="宋体"/>
          <w:sz w:val="21"/>
          <w:szCs w:val="21"/>
        </w:rPr>
        <w:sectPr>
          <w:footerReference r:id="rId140" w:type="default"/>
          <w:pgSz w:w="11910" w:h="16845"/>
          <w:pgMar w:top="400" w:right="1724" w:bottom="1110" w:left="1786" w:header="0" w:footer="883" w:gutter="0"/>
          <w:cols w:space="720" w:num="1"/>
        </w:sectPr>
      </w:pPr>
    </w:p>
    <w:p w14:paraId="60F6347B">
      <w:pPr>
        <w:pStyle w:val="2"/>
        <w:spacing w:line="256" w:lineRule="auto"/>
      </w:pPr>
    </w:p>
    <w:p w14:paraId="634FCAD3">
      <w:pPr>
        <w:pStyle w:val="2"/>
        <w:spacing w:line="256" w:lineRule="auto"/>
      </w:pPr>
    </w:p>
    <w:p w14:paraId="56A24CC6">
      <w:pPr>
        <w:pStyle w:val="2"/>
        <w:spacing w:line="257" w:lineRule="auto"/>
      </w:pPr>
    </w:p>
    <w:p w14:paraId="678B4642">
      <w:pPr>
        <w:pStyle w:val="2"/>
        <w:spacing w:line="257" w:lineRule="auto"/>
      </w:pPr>
    </w:p>
    <w:p w14:paraId="76368285">
      <w:pPr>
        <w:spacing w:before="68" w:line="220" w:lineRule="auto"/>
        <w:ind w:left="23"/>
        <w:rPr>
          <w:rFonts w:ascii="宋体" w:hAnsi="宋体" w:eastAsia="宋体" w:cs="宋体"/>
          <w:sz w:val="21"/>
          <w:szCs w:val="21"/>
        </w:rPr>
      </w:pPr>
      <w:r>
        <w:rPr>
          <w:rFonts w:ascii="宋体" w:hAnsi="宋体" w:eastAsia="宋体" w:cs="宋体"/>
          <w:spacing w:val="-5"/>
          <w:sz w:val="21"/>
          <w:szCs w:val="21"/>
        </w:rPr>
        <w:t>件返还我方。</w:t>
      </w:r>
    </w:p>
    <w:p w14:paraId="73DEA353">
      <w:pPr>
        <w:spacing w:before="50" w:line="218" w:lineRule="auto"/>
        <w:ind w:left="451"/>
        <w:rPr>
          <w:rFonts w:ascii="黑体" w:hAnsi="黑体" w:eastAsia="黑体" w:cs="黑体"/>
          <w:sz w:val="21"/>
          <w:szCs w:val="21"/>
        </w:rPr>
      </w:pPr>
      <w:r>
        <w:rPr>
          <w:rFonts w:ascii="黑体" w:hAnsi="黑体" w:eastAsia="黑体" w:cs="黑体"/>
          <w:spacing w:val="-2"/>
          <w:sz w:val="21"/>
          <w:szCs w:val="21"/>
        </w:rPr>
        <w:t>六、免责条款</w:t>
      </w:r>
    </w:p>
    <w:p w14:paraId="3024DD37">
      <w:pPr>
        <w:spacing w:before="51" w:line="220" w:lineRule="auto"/>
        <w:ind w:left="460"/>
        <w:rPr>
          <w:rFonts w:ascii="宋体" w:hAnsi="宋体" w:eastAsia="宋体" w:cs="宋体"/>
          <w:sz w:val="21"/>
          <w:szCs w:val="21"/>
        </w:rPr>
      </w:pPr>
      <w:r>
        <w:rPr>
          <w:rFonts w:ascii="宋体" w:hAnsi="宋体" w:eastAsia="宋体" w:cs="宋体"/>
          <w:spacing w:val="-1"/>
          <w:sz w:val="21"/>
          <w:szCs w:val="21"/>
        </w:rPr>
        <w:t>1、因你方违约致使发包人不能履行义务的</w:t>
      </w:r>
      <w:r>
        <w:rPr>
          <w:rFonts w:ascii="宋体" w:hAnsi="宋体" w:eastAsia="宋体" w:cs="宋体"/>
          <w:spacing w:val="-2"/>
          <w:sz w:val="21"/>
          <w:szCs w:val="21"/>
        </w:rPr>
        <w:t>，我方不承担保证责任。</w:t>
      </w:r>
    </w:p>
    <w:p w14:paraId="6B32EDFF">
      <w:pPr>
        <w:spacing w:before="50" w:line="264" w:lineRule="auto"/>
        <w:ind w:left="25" w:right="122" w:firstLine="421"/>
        <w:rPr>
          <w:rFonts w:ascii="宋体" w:hAnsi="宋体" w:eastAsia="宋体" w:cs="宋体"/>
          <w:sz w:val="21"/>
          <w:szCs w:val="21"/>
        </w:rPr>
      </w:pPr>
      <w:r>
        <w:rPr>
          <w:rFonts w:ascii="宋体" w:hAnsi="宋体" w:eastAsia="宋体" w:cs="宋体"/>
          <w:spacing w:val="-1"/>
          <w:sz w:val="21"/>
          <w:szCs w:val="21"/>
        </w:rPr>
        <w:t>2、依照法律法规的规定或你方与发包人的另行约定，免除发包人部分或全部义</w:t>
      </w:r>
      <w:r>
        <w:rPr>
          <w:rFonts w:ascii="宋体" w:hAnsi="宋体" w:eastAsia="宋体" w:cs="宋体"/>
          <w:spacing w:val="-2"/>
          <w:sz w:val="21"/>
          <w:szCs w:val="21"/>
        </w:rPr>
        <w:t>务的，</w:t>
      </w:r>
      <w:r>
        <w:rPr>
          <w:rFonts w:ascii="宋体" w:hAnsi="宋体" w:eastAsia="宋体" w:cs="宋体"/>
          <w:spacing w:val="-3"/>
          <w:sz w:val="21"/>
          <w:szCs w:val="21"/>
        </w:rPr>
        <w:t>我方亦免除其相应的保证责任。</w:t>
      </w:r>
    </w:p>
    <w:p w14:paraId="6706CBC8">
      <w:pPr>
        <w:spacing w:before="3" w:line="263" w:lineRule="auto"/>
        <w:ind w:left="24" w:right="60" w:firstLine="424"/>
        <w:rPr>
          <w:rFonts w:ascii="宋体" w:hAnsi="宋体" w:eastAsia="宋体" w:cs="宋体"/>
          <w:sz w:val="21"/>
          <w:szCs w:val="21"/>
        </w:rPr>
      </w:pPr>
      <w:r>
        <w:rPr>
          <w:rFonts w:ascii="宋体" w:hAnsi="宋体" w:eastAsia="宋体" w:cs="宋体"/>
          <w:spacing w:val="-4"/>
          <w:sz w:val="21"/>
          <w:szCs w:val="21"/>
        </w:rPr>
        <w:t>3、你方与发包人协议变更主合同的(符合主合同合同条款第</w:t>
      </w:r>
      <w:r>
        <w:rPr>
          <w:rFonts w:ascii="宋体" w:hAnsi="宋体" w:eastAsia="宋体" w:cs="宋体"/>
          <w:spacing w:val="-5"/>
          <w:sz w:val="21"/>
          <w:szCs w:val="21"/>
        </w:rPr>
        <w:t xml:space="preserve"> </w:t>
      </w:r>
      <w:r>
        <w:rPr>
          <w:rFonts w:ascii="宋体" w:hAnsi="宋体" w:eastAsia="宋体" w:cs="宋体"/>
          <w:spacing w:val="-4"/>
          <w:sz w:val="21"/>
          <w:szCs w:val="21"/>
        </w:rPr>
        <w:t>15</w:t>
      </w:r>
      <w:r>
        <w:rPr>
          <w:rFonts w:ascii="宋体" w:hAnsi="宋体" w:eastAsia="宋体" w:cs="宋体"/>
          <w:spacing w:val="-35"/>
          <w:sz w:val="21"/>
          <w:szCs w:val="21"/>
        </w:rPr>
        <w:t xml:space="preserve"> </w:t>
      </w:r>
      <w:r>
        <w:rPr>
          <w:rFonts w:ascii="宋体" w:hAnsi="宋体" w:eastAsia="宋体" w:cs="宋体"/>
          <w:spacing w:val="-4"/>
          <w:sz w:val="21"/>
          <w:szCs w:val="21"/>
        </w:rPr>
        <w:t>条约定的变更除外)，如</w:t>
      </w:r>
      <w:r>
        <w:rPr>
          <w:rFonts w:ascii="宋体" w:hAnsi="宋体" w:eastAsia="宋体" w:cs="宋体"/>
          <w:spacing w:val="-2"/>
          <w:sz w:val="21"/>
          <w:szCs w:val="21"/>
        </w:rPr>
        <w:t>加重发包人责任致使我方保证责任加重的，需征得我方书面同意，否则我方不再承担因此而</w:t>
      </w:r>
      <w:r>
        <w:rPr>
          <w:rFonts w:ascii="宋体" w:hAnsi="宋体" w:eastAsia="宋体" w:cs="宋体"/>
          <w:spacing w:val="-4"/>
          <w:sz w:val="21"/>
          <w:szCs w:val="21"/>
        </w:rPr>
        <w:t>加重部分的保证责任。</w:t>
      </w:r>
    </w:p>
    <w:p w14:paraId="7C8EB848">
      <w:pPr>
        <w:spacing w:line="219" w:lineRule="auto"/>
        <w:ind w:left="443"/>
        <w:rPr>
          <w:rFonts w:ascii="宋体" w:hAnsi="宋体" w:eastAsia="宋体" w:cs="宋体"/>
          <w:sz w:val="21"/>
          <w:szCs w:val="21"/>
        </w:rPr>
      </w:pPr>
      <w:r>
        <w:rPr>
          <w:rFonts w:ascii="宋体" w:hAnsi="宋体" w:eastAsia="宋体" w:cs="宋体"/>
          <w:spacing w:val="-1"/>
          <w:sz w:val="21"/>
          <w:szCs w:val="21"/>
        </w:rPr>
        <w:t>4、因不可抗力造成发包人不能履行义务的，我方不承担保证责任。</w:t>
      </w:r>
    </w:p>
    <w:p w14:paraId="6CAC78CE">
      <w:pPr>
        <w:spacing w:before="51" w:line="219" w:lineRule="auto"/>
        <w:ind w:left="443"/>
        <w:rPr>
          <w:rFonts w:ascii="黑体" w:hAnsi="黑体" w:eastAsia="黑体" w:cs="黑体"/>
          <w:sz w:val="21"/>
          <w:szCs w:val="21"/>
        </w:rPr>
      </w:pPr>
      <w:r>
        <w:rPr>
          <w:rFonts w:ascii="黑体" w:hAnsi="黑体" w:eastAsia="黑体" w:cs="黑体"/>
          <w:spacing w:val="-1"/>
          <w:sz w:val="21"/>
          <w:szCs w:val="21"/>
        </w:rPr>
        <w:t>七、争议的解决</w:t>
      </w:r>
    </w:p>
    <w:p w14:paraId="01BAAC89">
      <w:pPr>
        <w:spacing w:before="51" w:line="264" w:lineRule="auto"/>
        <w:ind w:left="25" w:right="53" w:firstLine="436"/>
        <w:rPr>
          <w:rFonts w:ascii="宋体" w:hAnsi="宋体" w:eastAsia="宋体" w:cs="宋体"/>
          <w:sz w:val="21"/>
          <w:szCs w:val="21"/>
        </w:rPr>
      </w:pPr>
      <w:r>
        <w:rPr>
          <w:rFonts w:ascii="宋体" w:hAnsi="宋体" w:eastAsia="宋体" w:cs="宋体"/>
          <w:spacing w:val="-5"/>
          <w:sz w:val="21"/>
          <w:szCs w:val="21"/>
        </w:rPr>
        <w:t>因本保函发生的纠纷，由贵我双方协商解决，协商不成的，任何一方均可提请</w:t>
      </w:r>
      <w:r>
        <w:rPr>
          <w:rFonts w:ascii="宋体" w:hAnsi="宋体" w:eastAsia="宋体" w:cs="宋体"/>
          <w:spacing w:val="-5"/>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仲裁委员会仲裁。</w:t>
      </w:r>
    </w:p>
    <w:p w14:paraId="231AA21B">
      <w:pPr>
        <w:spacing w:line="218" w:lineRule="auto"/>
        <w:ind w:left="444"/>
        <w:rPr>
          <w:rFonts w:ascii="黑体" w:hAnsi="黑体" w:eastAsia="黑体" w:cs="黑体"/>
          <w:sz w:val="21"/>
          <w:szCs w:val="21"/>
        </w:rPr>
      </w:pPr>
      <w:r>
        <w:rPr>
          <w:rFonts w:ascii="黑体" w:hAnsi="黑体" w:eastAsia="黑体" w:cs="黑体"/>
          <w:spacing w:val="-1"/>
          <w:sz w:val="21"/>
          <w:szCs w:val="21"/>
        </w:rPr>
        <w:t>八、保函的生效</w:t>
      </w:r>
    </w:p>
    <w:p w14:paraId="2886B732">
      <w:pPr>
        <w:spacing w:before="52" w:line="266" w:lineRule="auto"/>
        <w:ind w:left="445" w:right="215"/>
        <w:rPr>
          <w:rFonts w:ascii="宋体" w:hAnsi="宋体" w:eastAsia="宋体" w:cs="宋体"/>
          <w:sz w:val="21"/>
          <w:szCs w:val="21"/>
        </w:rPr>
      </w:pPr>
      <w:r>
        <w:rPr>
          <w:rFonts w:ascii="宋体" w:hAnsi="宋体" w:eastAsia="宋体" w:cs="宋体"/>
          <w:spacing w:val="-2"/>
          <w:sz w:val="21"/>
          <w:szCs w:val="21"/>
        </w:rPr>
        <w:t>本保函自我方法定代表人</w:t>
      </w:r>
      <w:r>
        <w:rPr>
          <w:rFonts w:ascii="宋体" w:hAnsi="宋体" w:eastAsia="宋体" w:cs="宋体"/>
          <w:spacing w:val="-56"/>
          <w:sz w:val="21"/>
          <w:szCs w:val="21"/>
        </w:rPr>
        <w:t xml:space="preserve"> </w:t>
      </w:r>
      <w:r>
        <w:rPr>
          <w:rFonts w:ascii="宋体" w:hAnsi="宋体" w:eastAsia="宋体" w:cs="宋体"/>
          <w:spacing w:val="-2"/>
          <w:sz w:val="21"/>
          <w:szCs w:val="21"/>
        </w:rPr>
        <w:t>(或其授权代理人)签字或加盖公章并交付你方之日起生效。</w:t>
      </w:r>
      <w:r>
        <w:rPr>
          <w:rFonts w:ascii="宋体" w:hAnsi="宋体" w:eastAsia="宋体" w:cs="宋体"/>
          <w:sz w:val="21"/>
          <w:szCs w:val="21"/>
        </w:rPr>
        <w:t>本条所称交付是指：</w:t>
      </w:r>
      <w:r>
        <w:rPr>
          <w:rFonts w:ascii="宋体" w:hAnsi="宋体" w:eastAsia="宋体" w:cs="宋体"/>
          <w:sz w:val="21"/>
          <w:szCs w:val="21"/>
          <w:u w:val="single" w:color="auto"/>
        </w:rPr>
        <w:t xml:space="preserve">                                                     </w:t>
      </w:r>
      <w:r>
        <w:rPr>
          <w:rFonts w:ascii="宋体" w:hAnsi="宋体" w:eastAsia="宋体" w:cs="宋体"/>
          <w:sz w:val="21"/>
          <w:szCs w:val="21"/>
        </w:rPr>
        <w:t>。</w:t>
      </w:r>
    </w:p>
    <w:p w14:paraId="795930FF">
      <w:pPr>
        <w:spacing w:before="176" w:line="219" w:lineRule="auto"/>
        <w:ind w:left="2908"/>
        <w:rPr>
          <w:rFonts w:ascii="宋体" w:hAnsi="宋体" w:eastAsia="宋体" w:cs="宋体"/>
          <w:sz w:val="21"/>
          <w:szCs w:val="21"/>
        </w:rPr>
      </w:pPr>
      <w:r>
        <w:rPr>
          <w:rFonts w:ascii="宋体" w:hAnsi="宋体" w:eastAsia="宋体" w:cs="宋体"/>
          <w:spacing w:val="-9"/>
          <w:sz w:val="21"/>
          <w:szCs w:val="21"/>
        </w:rPr>
        <w:t>担保人：</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9"/>
          <w:sz w:val="21"/>
          <w:szCs w:val="21"/>
        </w:rPr>
        <w:t>(盖单位章)</w:t>
      </w:r>
    </w:p>
    <w:p w14:paraId="1EBBD10E">
      <w:pPr>
        <w:spacing w:before="96" w:line="220" w:lineRule="auto"/>
        <w:ind w:left="2908"/>
        <w:rPr>
          <w:rFonts w:ascii="宋体" w:hAnsi="宋体" w:eastAsia="宋体" w:cs="宋体"/>
          <w:sz w:val="21"/>
          <w:szCs w:val="21"/>
        </w:rPr>
      </w:pPr>
      <w:r>
        <w:rPr>
          <w:rFonts w:ascii="宋体" w:hAnsi="宋体" w:eastAsia="宋体" w:cs="宋体"/>
          <w:spacing w:val="-5"/>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5"/>
          <w:sz w:val="21"/>
          <w:szCs w:val="21"/>
        </w:rPr>
        <w:t>(签字)</w:t>
      </w:r>
    </w:p>
    <w:p w14:paraId="3A9B10DC">
      <w:pPr>
        <w:spacing w:before="95" w:line="229" w:lineRule="auto"/>
        <w:ind w:left="2907"/>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0D440203">
      <w:pPr>
        <w:spacing w:before="69" w:line="220" w:lineRule="auto"/>
        <w:ind w:left="2923"/>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6BB03670">
      <w:pPr>
        <w:spacing w:before="96" w:line="222" w:lineRule="auto"/>
        <w:ind w:left="2932"/>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1E1A1448">
      <w:pPr>
        <w:spacing w:before="93" w:line="219" w:lineRule="auto"/>
        <w:ind w:left="2906"/>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18627241">
      <w:pPr>
        <w:tabs>
          <w:tab w:val="left" w:pos="6234"/>
        </w:tabs>
        <w:spacing w:before="80" w:line="220" w:lineRule="auto"/>
        <w:ind w:left="476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p>
    <w:p w14:paraId="3E31EE68">
      <w:pPr>
        <w:pStyle w:val="2"/>
        <w:spacing w:line="355" w:lineRule="auto"/>
      </w:pPr>
    </w:p>
    <w:p w14:paraId="149481BC">
      <w:pPr>
        <w:spacing w:before="69" w:line="219" w:lineRule="auto"/>
        <w:jc w:val="right"/>
        <w:rPr>
          <w:rFonts w:ascii="宋体" w:hAnsi="宋体" w:eastAsia="宋体" w:cs="宋体"/>
          <w:sz w:val="21"/>
          <w:szCs w:val="21"/>
        </w:rPr>
      </w:pPr>
      <w:r>
        <w:rPr>
          <w:rFonts w:ascii="宋体" w:hAnsi="宋体" w:eastAsia="宋体" w:cs="宋体"/>
          <w:spacing w:val="-1"/>
          <w:sz w:val="21"/>
          <w:szCs w:val="21"/>
        </w:rPr>
        <w:t>备注：本支付担保格式可采用经承包人同意的其他格式，但相关约定应当与履约担保对等。</w:t>
      </w:r>
    </w:p>
    <w:p w14:paraId="01EDA312">
      <w:pPr>
        <w:spacing w:line="219" w:lineRule="auto"/>
        <w:rPr>
          <w:rFonts w:ascii="宋体" w:hAnsi="宋体" w:eastAsia="宋体" w:cs="宋体"/>
          <w:sz w:val="21"/>
          <w:szCs w:val="21"/>
        </w:rPr>
        <w:sectPr>
          <w:footerReference r:id="rId141" w:type="default"/>
          <w:pgSz w:w="11910" w:h="16845"/>
          <w:pgMar w:top="400" w:right="1718" w:bottom="1110" w:left="1786" w:header="0" w:footer="882" w:gutter="0"/>
          <w:cols w:space="720" w:num="1"/>
        </w:sectPr>
      </w:pPr>
    </w:p>
    <w:p w14:paraId="11C1CC9A">
      <w:pPr>
        <w:pStyle w:val="2"/>
        <w:spacing w:line="242" w:lineRule="auto"/>
      </w:pPr>
    </w:p>
    <w:p w14:paraId="228B9C92">
      <w:pPr>
        <w:pStyle w:val="2"/>
        <w:spacing w:line="242" w:lineRule="auto"/>
      </w:pPr>
    </w:p>
    <w:p w14:paraId="5D2C04E3">
      <w:pPr>
        <w:pStyle w:val="2"/>
        <w:spacing w:line="242" w:lineRule="auto"/>
      </w:pPr>
    </w:p>
    <w:p w14:paraId="2B923EF1">
      <w:pPr>
        <w:pStyle w:val="2"/>
        <w:spacing w:line="242" w:lineRule="auto"/>
      </w:pPr>
    </w:p>
    <w:p w14:paraId="7345637A">
      <w:pPr>
        <w:pStyle w:val="2"/>
        <w:spacing w:line="242" w:lineRule="auto"/>
      </w:pPr>
    </w:p>
    <w:p w14:paraId="389814CC">
      <w:pPr>
        <w:pStyle w:val="2"/>
        <w:spacing w:line="242" w:lineRule="auto"/>
      </w:pPr>
    </w:p>
    <w:p w14:paraId="20306D02">
      <w:pPr>
        <w:pStyle w:val="2"/>
        <w:spacing w:line="242" w:lineRule="auto"/>
      </w:pPr>
    </w:p>
    <w:p w14:paraId="78F5CC2C">
      <w:pPr>
        <w:pStyle w:val="2"/>
        <w:spacing w:line="242" w:lineRule="auto"/>
      </w:pPr>
    </w:p>
    <w:p w14:paraId="7A4EAFCD">
      <w:pPr>
        <w:pStyle w:val="2"/>
        <w:spacing w:line="242" w:lineRule="auto"/>
      </w:pPr>
    </w:p>
    <w:p w14:paraId="791EB98A">
      <w:pPr>
        <w:pStyle w:val="2"/>
        <w:spacing w:line="242" w:lineRule="auto"/>
      </w:pPr>
    </w:p>
    <w:p w14:paraId="430CCBAB">
      <w:pPr>
        <w:pStyle w:val="2"/>
        <w:spacing w:line="242" w:lineRule="auto"/>
      </w:pPr>
    </w:p>
    <w:p w14:paraId="20442A85">
      <w:pPr>
        <w:spacing w:before="78" w:line="219" w:lineRule="auto"/>
        <w:ind w:left="38"/>
        <w:outlineLvl w:val="2"/>
        <w:rPr>
          <w:rFonts w:ascii="黑体" w:hAnsi="黑体" w:eastAsia="黑体" w:cs="黑体"/>
          <w:sz w:val="24"/>
          <w:szCs w:val="24"/>
        </w:rPr>
      </w:pPr>
      <w:bookmarkStart w:id="334" w:name="bookmark681"/>
      <w:bookmarkEnd w:id="334"/>
      <w:r>
        <w:rPr>
          <w:rFonts w:ascii="黑体" w:hAnsi="黑体" w:eastAsia="黑体" w:cs="黑体"/>
          <w:spacing w:val="-2"/>
          <w:sz w:val="24"/>
          <w:szCs w:val="24"/>
        </w:rPr>
        <w:t>附件五：质量保修书格式</w:t>
      </w:r>
    </w:p>
    <w:p w14:paraId="2DBB24F1">
      <w:pPr>
        <w:pStyle w:val="2"/>
        <w:spacing w:line="303" w:lineRule="auto"/>
      </w:pPr>
    </w:p>
    <w:p w14:paraId="50D46218">
      <w:pPr>
        <w:spacing w:before="91" w:line="221" w:lineRule="auto"/>
        <w:ind w:left="2896"/>
        <w:rPr>
          <w:rFonts w:ascii="黑体" w:hAnsi="黑体" w:eastAsia="黑体" w:cs="黑体"/>
          <w:sz w:val="28"/>
          <w:szCs w:val="28"/>
        </w:rPr>
      </w:pPr>
      <w:bookmarkStart w:id="335" w:name="bookmark290"/>
      <w:bookmarkEnd w:id="335"/>
      <w:r>
        <w:rPr>
          <w:rFonts w:ascii="黑体" w:hAnsi="黑体" w:eastAsia="黑体" w:cs="黑体"/>
          <w:spacing w:val="4"/>
          <w:sz w:val="28"/>
          <w:szCs w:val="28"/>
        </w:rPr>
        <w:t>房屋建筑工程质量保修书</w:t>
      </w:r>
    </w:p>
    <w:p w14:paraId="7885F010">
      <w:pPr>
        <w:pStyle w:val="2"/>
        <w:spacing w:line="305" w:lineRule="auto"/>
      </w:pPr>
    </w:p>
    <w:p w14:paraId="7A3CAD4E">
      <w:pPr>
        <w:spacing w:before="69" w:line="220" w:lineRule="auto"/>
        <w:ind w:left="448"/>
        <w:rPr>
          <w:rFonts w:ascii="宋体" w:hAnsi="宋体" w:eastAsia="宋体" w:cs="宋体"/>
          <w:sz w:val="21"/>
          <w:szCs w:val="21"/>
        </w:rPr>
      </w:pPr>
      <w:r>
        <w:rPr>
          <w:rFonts w:ascii="宋体" w:hAnsi="宋体" w:eastAsia="宋体" w:cs="宋体"/>
          <w:spacing w:val="-2"/>
          <w:sz w:val="21"/>
          <w:szCs w:val="21"/>
        </w:rPr>
        <w:t>发包人：</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167C6310">
      <w:pPr>
        <w:spacing w:before="33" w:line="220" w:lineRule="auto"/>
        <w:ind w:left="444"/>
        <w:rPr>
          <w:rFonts w:ascii="宋体" w:hAnsi="宋体" w:eastAsia="宋体" w:cs="宋体"/>
          <w:sz w:val="21"/>
          <w:szCs w:val="21"/>
        </w:rPr>
      </w:pPr>
      <w:r>
        <w:rPr>
          <w:rFonts w:ascii="宋体" w:hAnsi="宋体" w:eastAsia="宋体" w:cs="宋体"/>
          <w:spacing w:val="-2"/>
          <w:sz w:val="21"/>
          <w:szCs w:val="21"/>
        </w:rPr>
        <w:t>承包人：</w:t>
      </w:r>
      <w:r>
        <w:rPr>
          <w:rFonts w:ascii="宋体" w:hAnsi="宋体" w:eastAsia="宋体" w:cs="宋体"/>
          <w:sz w:val="21"/>
          <w:szCs w:val="21"/>
          <w:u w:val="single" w:color="auto"/>
        </w:rPr>
        <w:t xml:space="preserve">                                                </w:t>
      </w:r>
    </w:p>
    <w:p w14:paraId="6CCF58EE">
      <w:pPr>
        <w:spacing w:before="36" w:line="255" w:lineRule="auto"/>
        <w:ind w:left="25" w:right="76" w:firstLine="423"/>
        <w:rPr>
          <w:rFonts w:ascii="宋体" w:hAnsi="宋体" w:eastAsia="宋体" w:cs="宋体"/>
          <w:sz w:val="21"/>
          <w:szCs w:val="21"/>
        </w:rPr>
      </w:pPr>
      <w:r>
        <w:rPr>
          <w:rFonts w:ascii="宋体" w:hAnsi="宋体" w:eastAsia="宋体" w:cs="宋体"/>
          <w:spacing w:val="-7"/>
          <w:sz w:val="21"/>
          <w:szCs w:val="21"/>
        </w:rPr>
        <w:t>发包人、承包人根据《中华人民共和国建筑法》、《建设工程质量</w:t>
      </w:r>
      <w:r>
        <w:rPr>
          <w:rFonts w:ascii="宋体" w:hAnsi="宋体" w:eastAsia="宋体" w:cs="宋体"/>
          <w:spacing w:val="-8"/>
          <w:sz w:val="21"/>
          <w:szCs w:val="21"/>
        </w:rPr>
        <w:t>管理条例》和《房屋建</w:t>
      </w:r>
      <w:r>
        <w:rPr>
          <w:rFonts w:ascii="宋体" w:hAnsi="宋体" w:eastAsia="宋体" w:cs="宋体"/>
          <w:spacing w:val="-6"/>
          <w:sz w:val="21"/>
          <w:szCs w:val="21"/>
        </w:rPr>
        <w:t>筑工程质量保修办法》，经协商一致，对</w:t>
      </w:r>
      <w:r>
        <w:rPr>
          <w:rFonts w:ascii="宋体" w:hAnsi="宋体" w:eastAsia="宋体" w:cs="宋体"/>
          <w:sz w:val="21"/>
          <w:szCs w:val="21"/>
          <w:u w:val="single" w:color="auto"/>
        </w:rPr>
        <w:t xml:space="preserve">                              </w:t>
      </w:r>
      <w:r>
        <w:rPr>
          <w:rFonts w:ascii="宋体" w:hAnsi="宋体" w:eastAsia="宋体" w:cs="宋体"/>
          <w:spacing w:val="-54"/>
          <w:sz w:val="21"/>
          <w:szCs w:val="21"/>
        </w:rPr>
        <w:t xml:space="preserve"> </w:t>
      </w:r>
      <w:r>
        <w:rPr>
          <w:rFonts w:ascii="宋体" w:hAnsi="宋体" w:eastAsia="宋体" w:cs="宋体"/>
          <w:spacing w:val="-6"/>
          <w:sz w:val="21"/>
          <w:szCs w:val="21"/>
        </w:rPr>
        <w:t>(工程名称)签订</w:t>
      </w:r>
      <w:r>
        <w:rPr>
          <w:rFonts w:ascii="宋体" w:hAnsi="宋体" w:eastAsia="宋体" w:cs="宋体"/>
          <w:spacing w:val="-8"/>
          <w:sz w:val="21"/>
          <w:szCs w:val="21"/>
        </w:rPr>
        <w:t>保修书。</w:t>
      </w:r>
    </w:p>
    <w:p w14:paraId="62D786BF">
      <w:pPr>
        <w:spacing w:before="1" w:line="218" w:lineRule="auto"/>
        <w:ind w:left="448"/>
        <w:rPr>
          <w:rFonts w:ascii="黑体" w:hAnsi="黑体" w:eastAsia="黑体" w:cs="黑体"/>
          <w:sz w:val="21"/>
          <w:szCs w:val="21"/>
        </w:rPr>
      </w:pPr>
      <w:r>
        <w:rPr>
          <w:rFonts w:ascii="黑体" w:hAnsi="黑体" w:eastAsia="黑体" w:cs="黑体"/>
          <w:spacing w:val="-2"/>
          <w:sz w:val="21"/>
          <w:szCs w:val="21"/>
        </w:rPr>
        <w:t>一、工程保修范围和内容</w:t>
      </w:r>
    </w:p>
    <w:p w14:paraId="0DA25C80">
      <w:pPr>
        <w:spacing w:before="51" w:line="251" w:lineRule="auto"/>
        <w:ind w:left="24" w:right="78" w:firstLine="420"/>
        <w:rPr>
          <w:rFonts w:ascii="宋体" w:hAnsi="宋体" w:eastAsia="宋体" w:cs="宋体"/>
          <w:sz w:val="21"/>
          <w:szCs w:val="21"/>
        </w:rPr>
      </w:pPr>
      <w:r>
        <w:rPr>
          <w:rFonts w:ascii="宋体" w:hAnsi="宋体" w:eastAsia="宋体" w:cs="宋体"/>
          <w:spacing w:val="-2"/>
          <w:sz w:val="21"/>
          <w:szCs w:val="21"/>
        </w:rPr>
        <w:t>承包人在保修期内，按照有关法律、法规、规章的管理规定和双方约定，承担本工程保</w:t>
      </w:r>
      <w:r>
        <w:rPr>
          <w:rFonts w:ascii="宋体" w:hAnsi="宋体" w:eastAsia="宋体" w:cs="宋体"/>
          <w:spacing w:val="-7"/>
          <w:sz w:val="21"/>
          <w:szCs w:val="21"/>
        </w:rPr>
        <w:t>修责任。</w:t>
      </w:r>
    </w:p>
    <w:p w14:paraId="517C040B">
      <w:pPr>
        <w:spacing w:before="2" w:line="258" w:lineRule="auto"/>
        <w:ind w:left="25" w:firstLine="420"/>
        <w:rPr>
          <w:rFonts w:ascii="宋体" w:hAnsi="宋体" w:eastAsia="宋体" w:cs="宋体"/>
          <w:sz w:val="21"/>
          <w:szCs w:val="21"/>
        </w:rPr>
      </w:pPr>
      <w:r>
        <w:rPr>
          <w:rFonts w:ascii="宋体" w:hAnsi="宋体" w:eastAsia="宋体" w:cs="宋体"/>
          <w:spacing w:val="-5"/>
          <w:sz w:val="21"/>
          <w:szCs w:val="21"/>
        </w:rPr>
        <w:t>保修责任范围包括地基基础工程、主体结构工程，屋面防水工程、有防</w:t>
      </w:r>
      <w:r>
        <w:rPr>
          <w:rFonts w:ascii="宋体" w:hAnsi="宋体" w:eastAsia="宋体" w:cs="宋体"/>
          <w:spacing w:val="-6"/>
          <w:sz w:val="21"/>
          <w:szCs w:val="21"/>
        </w:rPr>
        <w:t>水要求的卫生间、</w:t>
      </w:r>
      <w:r>
        <w:rPr>
          <w:rFonts w:ascii="宋体" w:hAnsi="宋体" w:eastAsia="宋体" w:cs="宋体"/>
          <w:sz w:val="21"/>
          <w:szCs w:val="21"/>
        </w:rPr>
        <w:t>房间和外墙面的防渗漏，供热与供冷系统，电气管线、给排水管道、设备安装和装修工</w:t>
      </w:r>
      <w:r>
        <w:rPr>
          <w:rFonts w:ascii="宋体" w:hAnsi="宋体" w:eastAsia="宋体" w:cs="宋体"/>
          <w:spacing w:val="-1"/>
          <w:sz w:val="21"/>
          <w:szCs w:val="21"/>
        </w:rPr>
        <w:t>程，</w:t>
      </w:r>
      <w:r>
        <w:rPr>
          <w:rFonts w:ascii="宋体" w:hAnsi="宋体" w:eastAsia="宋体" w:cs="宋体"/>
          <w:spacing w:val="-2"/>
          <w:sz w:val="21"/>
          <w:szCs w:val="21"/>
        </w:rPr>
        <w:t>以及双方约定的其他项目。具体保修的内容，双方约定如下：</w:t>
      </w:r>
    </w:p>
    <w:p w14:paraId="60464563">
      <w:pPr>
        <w:pStyle w:val="2"/>
        <w:tabs>
          <w:tab w:val="left" w:pos="8320"/>
        </w:tabs>
        <w:spacing w:before="8" w:line="278" w:lineRule="auto"/>
        <w:ind w:left="15" w:right="112"/>
      </w:pPr>
      <w:r>
        <w:rPr>
          <w:u w:val="single" w:color="auto"/>
        </w:rPr>
        <w:tab/>
      </w:r>
      <w:r>
        <w:t xml:space="preserve"> </w:t>
      </w:r>
      <w:r>
        <w:rPr>
          <w:u w:val="single" w:color="auto"/>
        </w:rPr>
        <w:tab/>
      </w:r>
      <w:r>
        <w:t xml:space="preserve"> </w:t>
      </w:r>
      <w:r>
        <w:rPr>
          <w:u w:val="single" w:color="auto"/>
        </w:rPr>
        <w:tab/>
      </w:r>
    </w:p>
    <w:p w14:paraId="3E3ED08B">
      <w:pPr>
        <w:spacing w:before="147" w:line="46" w:lineRule="exact"/>
        <w:ind w:left="6983"/>
        <w:rPr>
          <w:rFonts w:ascii="宋体" w:hAnsi="宋体" w:eastAsia="宋体" w:cs="宋体"/>
          <w:sz w:val="21"/>
          <w:szCs w:val="21"/>
        </w:rPr>
      </w:pPr>
      <w:r>
        <w:pict>
          <v:shape id="_x0000_s1049" o:spid="_x0000_s1049" o:spt="202" type="#_x0000_t202" style="position:absolute;left:0pt;margin-left:-0.2pt;margin-top:0.65pt;height:14.1pt;width:348.95pt;z-index:251692032;mso-width-relative:page;mso-height-relative:page;" filled="f" stroked="f" coordsize="21600,21600">
            <v:path/>
            <v:fill on="f" focussize="0,0"/>
            <v:stroke on="f"/>
            <v:imagedata o:title=""/>
            <o:lock v:ext="edit" aspectratio="f"/>
            <v:textbox inset="0mm,0mm,0mm,0mm">
              <w:txbxContent>
                <w:p w14:paraId="1B947316">
                  <w:pPr>
                    <w:pStyle w:val="2"/>
                    <w:tabs>
                      <w:tab w:val="left" w:pos="6957"/>
                    </w:tabs>
                    <w:spacing w:before="19"/>
                    <w:ind w:left="20"/>
                  </w:pPr>
                  <w:r>
                    <w:rPr>
                      <w:u w:val="single" w:color="auto"/>
                    </w:rPr>
                    <w:tab/>
                  </w:r>
                </w:p>
              </w:txbxContent>
            </v:textbox>
          </v:shape>
        </w:pict>
      </w:r>
      <w:r>
        <w:rPr>
          <w:rFonts w:ascii="宋体" w:hAnsi="宋体" w:eastAsia="宋体" w:cs="宋体"/>
          <w:position w:val="-1"/>
          <w:sz w:val="21"/>
          <w:szCs w:val="21"/>
        </w:rPr>
        <w:t>。</w:t>
      </w:r>
    </w:p>
    <w:p w14:paraId="6E23BEA1">
      <w:pPr>
        <w:spacing w:before="119" w:line="219" w:lineRule="auto"/>
        <w:ind w:left="448"/>
        <w:rPr>
          <w:rFonts w:ascii="黑体" w:hAnsi="黑体" w:eastAsia="黑体" w:cs="黑体"/>
          <w:sz w:val="21"/>
          <w:szCs w:val="21"/>
        </w:rPr>
      </w:pPr>
      <w:r>
        <w:rPr>
          <w:rFonts w:ascii="黑体" w:hAnsi="黑体" w:eastAsia="黑体" w:cs="黑体"/>
          <w:spacing w:val="-2"/>
          <w:sz w:val="21"/>
          <w:szCs w:val="21"/>
        </w:rPr>
        <w:t>二、保修期</w:t>
      </w:r>
    </w:p>
    <w:p w14:paraId="28BA4110">
      <w:pPr>
        <w:spacing w:before="36" w:line="219" w:lineRule="auto"/>
        <w:ind w:left="444"/>
        <w:rPr>
          <w:rFonts w:ascii="宋体" w:hAnsi="宋体" w:eastAsia="宋体" w:cs="宋体"/>
          <w:sz w:val="21"/>
          <w:szCs w:val="21"/>
        </w:rPr>
      </w:pPr>
      <w:r>
        <w:rPr>
          <w:rFonts w:ascii="宋体" w:hAnsi="宋体" w:eastAsia="宋体" w:cs="宋体"/>
          <w:spacing w:val="-1"/>
          <w:sz w:val="21"/>
          <w:szCs w:val="21"/>
        </w:rPr>
        <w:t>双方根据《建设工程质量管理条例》及有关规定，约定本工程的</w:t>
      </w:r>
      <w:r>
        <w:rPr>
          <w:rFonts w:ascii="宋体" w:hAnsi="宋体" w:eastAsia="宋体" w:cs="宋体"/>
          <w:spacing w:val="-2"/>
          <w:sz w:val="21"/>
          <w:szCs w:val="21"/>
        </w:rPr>
        <w:t>保修期如下：</w:t>
      </w:r>
    </w:p>
    <w:p w14:paraId="36055B23">
      <w:pPr>
        <w:spacing w:before="35" w:line="220" w:lineRule="auto"/>
        <w:ind w:left="940"/>
        <w:rPr>
          <w:rFonts w:ascii="宋体" w:hAnsi="宋体" w:eastAsia="宋体" w:cs="宋体"/>
          <w:sz w:val="21"/>
          <w:szCs w:val="21"/>
        </w:rPr>
      </w:pPr>
      <w:r>
        <w:rPr>
          <w:rFonts w:ascii="宋体" w:hAnsi="宋体" w:eastAsia="宋体" w:cs="宋体"/>
          <w:spacing w:val="-2"/>
          <w:sz w:val="21"/>
          <w:szCs w:val="21"/>
        </w:rPr>
        <w:t>1、地基基础工程和主体结构工程为设计文件规定的该工程合理使用年限；</w:t>
      </w:r>
    </w:p>
    <w:p w14:paraId="48EB0D93">
      <w:pPr>
        <w:spacing w:before="51" w:line="220" w:lineRule="auto"/>
        <w:ind w:left="927"/>
        <w:rPr>
          <w:rFonts w:ascii="宋体" w:hAnsi="宋体" w:eastAsia="宋体" w:cs="宋体"/>
          <w:sz w:val="21"/>
          <w:szCs w:val="21"/>
        </w:rPr>
      </w:pPr>
      <w:r>
        <w:rPr>
          <w:rFonts w:ascii="宋体" w:hAnsi="宋体" w:eastAsia="宋体" w:cs="宋体"/>
          <w:spacing w:val="-1"/>
          <w:sz w:val="21"/>
          <w:szCs w:val="21"/>
        </w:rPr>
        <w:t>2、屋面防水工程、有防水要求的卫生间、房间和外墙面的</w:t>
      </w:r>
      <w:r>
        <w:rPr>
          <w:rFonts w:ascii="宋体" w:hAnsi="宋体" w:eastAsia="宋体" w:cs="宋体"/>
          <w:spacing w:val="-2"/>
          <w:sz w:val="21"/>
          <w:szCs w:val="21"/>
        </w:rPr>
        <w:t>防渗漏为</w:t>
      </w:r>
      <w:r>
        <w:rPr>
          <w:rFonts w:ascii="宋体" w:hAnsi="宋体" w:eastAsia="宋体" w:cs="宋体"/>
          <w:spacing w:val="-10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年；</w:t>
      </w:r>
    </w:p>
    <w:p w14:paraId="59550A1E">
      <w:pPr>
        <w:spacing w:before="35" w:line="220" w:lineRule="auto"/>
        <w:ind w:left="929"/>
        <w:rPr>
          <w:rFonts w:ascii="宋体" w:hAnsi="宋体" w:eastAsia="宋体" w:cs="宋体"/>
          <w:sz w:val="21"/>
          <w:szCs w:val="21"/>
        </w:rPr>
      </w:pPr>
      <w:r>
        <w:rPr>
          <w:rFonts w:ascii="宋体" w:hAnsi="宋体" w:eastAsia="宋体" w:cs="宋体"/>
          <w:spacing w:val="-6"/>
          <w:sz w:val="21"/>
          <w:szCs w:val="21"/>
        </w:rPr>
        <w:t>3、装修工程为</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年；</w:t>
      </w:r>
    </w:p>
    <w:p w14:paraId="77B9A2F8">
      <w:pPr>
        <w:spacing w:before="35" w:line="220" w:lineRule="auto"/>
        <w:ind w:left="924"/>
        <w:rPr>
          <w:rFonts w:ascii="宋体" w:hAnsi="宋体" w:eastAsia="宋体" w:cs="宋体"/>
          <w:sz w:val="21"/>
          <w:szCs w:val="21"/>
        </w:rPr>
      </w:pPr>
      <w:r>
        <w:rPr>
          <w:rFonts w:ascii="宋体" w:hAnsi="宋体" w:eastAsia="宋体" w:cs="宋体"/>
          <w:spacing w:val="-2"/>
          <w:sz w:val="21"/>
          <w:szCs w:val="21"/>
        </w:rPr>
        <w:t>4、电气管线、给排水管道、设备安装工程为</w:t>
      </w:r>
      <w:r>
        <w:rPr>
          <w:rFonts w:ascii="宋体" w:hAnsi="宋体" w:eastAsia="宋体" w:cs="宋体"/>
          <w:spacing w:val="-9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2"/>
          <w:sz w:val="21"/>
          <w:szCs w:val="21"/>
        </w:rPr>
        <w:t>年；</w:t>
      </w:r>
    </w:p>
    <w:p w14:paraId="3FE7803E">
      <w:pPr>
        <w:spacing w:before="50" w:line="219" w:lineRule="auto"/>
        <w:ind w:left="929"/>
        <w:rPr>
          <w:rFonts w:ascii="宋体" w:hAnsi="宋体" w:eastAsia="宋体" w:cs="宋体"/>
          <w:sz w:val="21"/>
          <w:szCs w:val="21"/>
        </w:rPr>
      </w:pPr>
      <w:r>
        <w:rPr>
          <w:rFonts w:ascii="宋体" w:hAnsi="宋体" w:eastAsia="宋体" w:cs="宋体"/>
          <w:spacing w:val="-4"/>
          <w:sz w:val="21"/>
          <w:szCs w:val="21"/>
        </w:rPr>
        <w:t>5、供热与供冷系统为</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4"/>
          <w:sz w:val="21"/>
          <w:szCs w:val="21"/>
        </w:rPr>
        <w:t>个采暖期、供冷期；</w:t>
      </w:r>
    </w:p>
    <w:p w14:paraId="595EC039">
      <w:pPr>
        <w:spacing w:before="36" w:line="220" w:lineRule="auto"/>
        <w:ind w:left="926"/>
        <w:rPr>
          <w:rFonts w:ascii="宋体" w:hAnsi="宋体" w:eastAsia="宋体" w:cs="宋体"/>
          <w:sz w:val="21"/>
          <w:szCs w:val="21"/>
        </w:rPr>
      </w:pPr>
      <w:r>
        <w:rPr>
          <w:rFonts w:ascii="宋体" w:hAnsi="宋体" w:eastAsia="宋体" w:cs="宋体"/>
          <w:spacing w:val="-2"/>
          <w:sz w:val="21"/>
          <w:szCs w:val="21"/>
        </w:rPr>
        <w:t>6、住宅小区内的给排水设施、道路等配套工程为</w:t>
      </w:r>
      <w:r>
        <w:rPr>
          <w:rFonts w:ascii="宋体" w:hAnsi="宋体" w:eastAsia="宋体" w:cs="宋体"/>
          <w:spacing w:val="-9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年；</w:t>
      </w:r>
    </w:p>
    <w:p w14:paraId="145AAD3B">
      <w:pPr>
        <w:spacing w:before="35" w:line="220" w:lineRule="auto"/>
        <w:ind w:left="930"/>
        <w:rPr>
          <w:rFonts w:ascii="宋体" w:hAnsi="宋体" w:eastAsia="宋体" w:cs="宋体"/>
          <w:sz w:val="21"/>
          <w:szCs w:val="21"/>
        </w:rPr>
      </w:pPr>
      <w:r>
        <w:rPr>
          <w:rFonts w:ascii="宋体" w:hAnsi="宋体" w:eastAsia="宋体" w:cs="宋体"/>
          <w:spacing w:val="-4"/>
          <w:sz w:val="21"/>
          <w:szCs w:val="21"/>
        </w:rPr>
        <w:t>7、其他项目保修期限约定如下：</w:t>
      </w:r>
    </w:p>
    <w:p w14:paraId="01046E74">
      <w:pPr>
        <w:pStyle w:val="2"/>
        <w:tabs>
          <w:tab w:val="left" w:pos="8320"/>
        </w:tabs>
        <w:spacing w:before="71" w:line="264" w:lineRule="auto"/>
        <w:ind w:left="15" w:right="112"/>
      </w:pPr>
      <w:r>
        <w:rPr>
          <w:u w:val="single" w:color="auto"/>
        </w:rPr>
        <w:tab/>
      </w:r>
      <w:r>
        <w:t xml:space="preserve"> </w:t>
      </w:r>
      <w:r>
        <w:rPr>
          <w:u w:val="single" w:color="auto"/>
        </w:rPr>
        <w:tab/>
      </w:r>
    </w:p>
    <w:p w14:paraId="52A821C4">
      <w:pPr>
        <w:pStyle w:val="2"/>
        <w:tabs>
          <w:tab w:val="left" w:pos="8320"/>
        </w:tabs>
        <w:spacing w:before="40"/>
        <w:ind w:left="15"/>
      </w:pPr>
      <w:r>
        <w:rPr>
          <w:u w:val="single" w:color="auto"/>
        </w:rPr>
        <w:tab/>
      </w:r>
    </w:p>
    <w:p w14:paraId="4611D8C5">
      <w:pPr>
        <w:spacing w:before="173" w:line="46" w:lineRule="exact"/>
        <w:ind w:left="6878"/>
        <w:rPr>
          <w:rFonts w:ascii="宋体" w:hAnsi="宋体" w:eastAsia="宋体" w:cs="宋体"/>
          <w:sz w:val="21"/>
          <w:szCs w:val="21"/>
        </w:rPr>
      </w:pPr>
      <w:r>
        <w:pict>
          <v:shape id="_x0000_s1050" o:spid="_x0000_s1050" o:spt="202" type="#_x0000_t202" style="position:absolute;left:0pt;margin-left:-0.2pt;margin-top:1.95pt;height:14.1pt;width:343.7pt;z-index:251693056;mso-width-relative:page;mso-height-relative:page;" filled="f" stroked="f" coordsize="21600,21600">
            <v:path/>
            <v:fill on="f" focussize="0,0"/>
            <v:stroke on="f"/>
            <v:imagedata o:title=""/>
            <o:lock v:ext="edit" aspectratio="f"/>
            <v:textbox inset="0mm,0mm,0mm,0mm">
              <w:txbxContent>
                <w:p w14:paraId="21041C37">
                  <w:pPr>
                    <w:pStyle w:val="2"/>
                    <w:tabs>
                      <w:tab w:val="left" w:pos="6852"/>
                    </w:tabs>
                    <w:spacing w:before="19"/>
                    <w:ind w:left="20"/>
                  </w:pPr>
                  <w:r>
                    <w:rPr>
                      <w:u w:val="single" w:color="auto"/>
                    </w:rPr>
                    <w:tab/>
                  </w:r>
                </w:p>
              </w:txbxContent>
            </v:textbox>
          </v:shape>
        </w:pict>
      </w:r>
      <w:r>
        <w:rPr>
          <w:rFonts w:ascii="宋体" w:hAnsi="宋体" w:eastAsia="宋体" w:cs="宋体"/>
          <w:position w:val="-1"/>
          <w:sz w:val="21"/>
          <w:szCs w:val="21"/>
        </w:rPr>
        <w:t>。</w:t>
      </w:r>
    </w:p>
    <w:p w14:paraId="14FD08AD">
      <w:pPr>
        <w:spacing w:before="104" w:line="218" w:lineRule="auto"/>
        <w:ind w:left="448"/>
        <w:rPr>
          <w:rFonts w:ascii="黑体" w:hAnsi="黑体" w:eastAsia="黑体" w:cs="黑体"/>
          <w:sz w:val="21"/>
          <w:szCs w:val="21"/>
        </w:rPr>
      </w:pPr>
      <w:r>
        <w:rPr>
          <w:rFonts w:ascii="黑体" w:hAnsi="黑体" w:eastAsia="黑体" w:cs="黑体"/>
          <w:spacing w:val="-2"/>
          <w:sz w:val="21"/>
          <w:szCs w:val="21"/>
        </w:rPr>
        <w:t>三、保修责任</w:t>
      </w:r>
    </w:p>
    <w:p w14:paraId="6063B1F4">
      <w:pPr>
        <w:spacing w:before="38" w:line="257" w:lineRule="auto"/>
        <w:ind w:left="24" w:right="126" w:firstLine="436"/>
        <w:rPr>
          <w:rFonts w:ascii="宋体" w:hAnsi="宋体" w:eastAsia="宋体" w:cs="宋体"/>
          <w:sz w:val="21"/>
          <w:szCs w:val="21"/>
        </w:rPr>
      </w:pPr>
      <w:r>
        <w:rPr>
          <w:rFonts w:ascii="宋体" w:hAnsi="宋体" w:eastAsia="宋体" w:cs="宋体"/>
          <w:spacing w:val="-2"/>
          <w:sz w:val="21"/>
          <w:szCs w:val="21"/>
        </w:rPr>
        <w:t>1、属于责任范围、内容的项目，承包人应当在接到保修通知之日起</w:t>
      </w:r>
      <w:r>
        <w:rPr>
          <w:rFonts w:ascii="宋体" w:hAnsi="宋体" w:eastAsia="宋体" w:cs="宋体"/>
          <w:spacing w:val="-26"/>
          <w:sz w:val="21"/>
          <w:szCs w:val="21"/>
        </w:rPr>
        <w:t xml:space="preserve"> </w:t>
      </w:r>
      <w:r>
        <w:rPr>
          <w:rFonts w:ascii="宋体" w:hAnsi="宋体" w:eastAsia="宋体" w:cs="宋体"/>
          <w:spacing w:val="-2"/>
          <w:sz w:val="21"/>
          <w:szCs w:val="21"/>
        </w:rPr>
        <w:t>7</w:t>
      </w:r>
      <w:r>
        <w:rPr>
          <w:rFonts w:ascii="宋体" w:hAnsi="宋体" w:eastAsia="宋体" w:cs="宋体"/>
          <w:spacing w:val="-33"/>
          <w:sz w:val="21"/>
          <w:szCs w:val="21"/>
        </w:rPr>
        <w:t xml:space="preserve"> </w:t>
      </w:r>
      <w:r>
        <w:rPr>
          <w:rFonts w:ascii="宋体" w:hAnsi="宋体" w:eastAsia="宋体" w:cs="宋体"/>
          <w:spacing w:val="-2"/>
          <w:sz w:val="21"/>
          <w:szCs w:val="21"/>
        </w:rPr>
        <w:t>天内派人保修。</w:t>
      </w:r>
      <w:r>
        <w:rPr>
          <w:rFonts w:ascii="宋体" w:hAnsi="宋体" w:eastAsia="宋体" w:cs="宋体"/>
          <w:spacing w:val="-1"/>
          <w:sz w:val="21"/>
          <w:szCs w:val="21"/>
        </w:rPr>
        <w:t>承包人不在约定期限内派人保修的，发包人可以委托他人修理。</w:t>
      </w:r>
    </w:p>
    <w:p w14:paraId="3C2589CB">
      <w:pPr>
        <w:spacing w:before="1" w:line="219" w:lineRule="auto"/>
        <w:ind w:left="447"/>
        <w:rPr>
          <w:rFonts w:ascii="宋体" w:hAnsi="宋体" w:eastAsia="宋体" w:cs="宋体"/>
          <w:sz w:val="21"/>
          <w:szCs w:val="21"/>
        </w:rPr>
      </w:pPr>
      <w:r>
        <w:rPr>
          <w:rFonts w:ascii="宋体" w:hAnsi="宋体" w:eastAsia="宋体" w:cs="宋体"/>
          <w:spacing w:val="-1"/>
          <w:sz w:val="21"/>
          <w:szCs w:val="21"/>
        </w:rPr>
        <w:t>2、发生紧急抢修事故的，承包人在接到事故通知后，应当立即到达事故现场抢修。</w:t>
      </w:r>
    </w:p>
    <w:p w14:paraId="06BC89B6">
      <w:pPr>
        <w:spacing w:before="36" w:line="255" w:lineRule="auto"/>
        <w:ind w:left="24" w:right="89" w:firstLine="424"/>
        <w:rPr>
          <w:rFonts w:ascii="宋体" w:hAnsi="宋体" w:eastAsia="宋体" w:cs="宋体"/>
          <w:sz w:val="21"/>
          <w:szCs w:val="21"/>
        </w:rPr>
      </w:pPr>
      <w:r>
        <w:rPr>
          <w:rFonts w:ascii="宋体" w:hAnsi="宋体" w:eastAsia="宋体" w:cs="宋体"/>
          <w:spacing w:val="-1"/>
          <w:sz w:val="21"/>
          <w:szCs w:val="21"/>
        </w:rPr>
        <w:t>3、对于涉及结构安全的质量问题，应当按照《房屋建筑工程质量保修办法</w:t>
      </w:r>
      <w:r>
        <w:rPr>
          <w:rFonts w:ascii="宋体" w:hAnsi="宋体" w:eastAsia="宋体" w:cs="宋体"/>
          <w:spacing w:val="-2"/>
          <w:sz w:val="21"/>
          <w:szCs w:val="21"/>
        </w:rPr>
        <w:t>》的规定，立即向当地建设行政主管部门报告，采取安全防范措施；由原设计人或者具有相应资质等级的设计人提出保修方案，承包人实施保修。</w:t>
      </w:r>
    </w:p>
    <w:p w14:paraId="3A12694F">
      <w:pPr>
        <w:spacing w:line="219" w:lineRule="auto"/>
        <w:ind w:left="443"/>
        <w:rPr>
          <w:rFonts w:ascii="宋体" w:hAnsi="宋体" w:eastAsia="宋体" w:cs="宋体"/>
          <w:sz w:val="21"/>
          <w:szCs w:val="21"/>
        </w:rPr>
      </w:pPr>
      <w:r>
        <w:rPr>
          <w:rFonts w:ascii="宋体" w:hAnsi="宋体" w:eastAsia="宋体" w:cs="宋体"/>
          <w:spacing w:val="-2"/>
          <w:sz w:val="21"/>
          <w:szCs w:val="21"/>
        </w:rPr>
        <w:t>4、质量保修完成后，由发包人组织验收。</w:t>
      </w:r>
    </w:p>
    <w:p w14:paraId="6F748FAA">
      <w:pPr>
        <w:spacing w:before="50" w:line="219" w:lineRule="auto"/>
        <w:ind w:left="457"/>
        <w:rPr>
          <w:rFonts w:ascii="黑体" w:hAnsi="黑体" w:eastAsia="黑体" w:cs="黑体"/>
          <w:sz w:val="21"/>
          <w:szCs w:val="21"/>
        </w:rPr>
      </w:pPr>
      <w:r>
        <w:rPr>
          <w:rFonts w:ascii="黑体" w:hAnsi="黑体" w:eastAsia="黑体" w:cs="黑体"/>
          <w:spacing w:val="-3"/>
          <w:sz w:val="21"/>
          <w:szCs w:val="21"/>
        </w:rPr>
        <w:t>四、保修费用</w:t>
      </w:r>
    </w:p>
    <w:p w14:paraId="62C7B6AB">
      <w:pPr>
        <w:spacing w:line="219" w:lineRule="auto"/>
        <w:rPr>
          <w:rFonts w:ascii="黑体" w:hAnsi="黑体" w:eastAsia="黑体" w:cs="黑体"/>
          <w:sz w:val="21"/>
          <w:szCs w:val="21"/>
        </w:rPr>
        <w:sectPr>
          <w:footerReference r:id="rId142" w:type="default"/>
          <w:pgSz w:w="11910" w:h="16845"/>
          <w:pgMar w:top="400" w:right="1689" w:bottom="1110" w:left="1786" w:header="0" w:footer="882" w:gutter="0"/>
          <w:cols w:space="720" w:num="1"/>
        </w:sectPr>
      </w:pPr>
    </w:p>
    <w:p w14:paraId="4A0AD5E4">
      <w:pPr>
        <w:pStyle w:val="2"/>
        <w:spacing w:line="256" w:lineRule="auto"/>
      </w:pPr>
    </w:p>
    <w:p w14:paraId="304B726F">
      <w:pPr>
        <w:pStyle w:val="2"/>
        <w:spacing w:line="256" w:lineRule="auto"/>
      </w:pPr>
    </w:p>
    <w:p w14:paraId="413A9A07">
      <w:pPr>
        <w:pStyle w:val="2"/>
        <w:spacing w:line="257" w:lineRule="auto"/>
      </w:pPr>
    </w:p>
    <w:p w14:paraId="394F0332">
      <w:pPr>
        <w:pStyle w:val="2"/>
        <w:spacing w:line="257" w:lineRule="auto"/>
      </w:pPr>
    </w:p>
    <w:p w14:paraId="04F312BC">
      <w:pPr>
        <w:spacing w:before="68" w:line="220" w:lineRule="auto"/>
        <w:ind w:left="445"/>
        <w:rPr>
          <w:rFonts w:ascii="宋体" w:hAnsi="宋体" w:eastAsia="宋体" w:cs="宋体"/>
          <w:sz w:val="21"/>
          <w:szCs w:val="21"/>
        </w:rPr>
      </w:pPr>
      <w:r>
        <w:rPr>
          <w:rFonts w:ascii="宋体" w:hAnsi="宋体" w:eastAsia="宋体" w:cs="宋体"/>
          <w:spacing w:val="-2"/>
          <w:sz w:val="21"/>
          <w:szCs w:val="21"/>
        </w:rPr>
        <w:t>保修费用由造成质量缺陷的责任方承担。</w:t>
      </w:r>
    </w:p>
    <w:p w14:paraId="40F79261">
      <w:pPr>
        <w:spacing w:before="35" w:line="220" w:lineRule="auto"/>
        <w:ind w:left="450"/>
        <w:rPr>
          <w:rFonts w:ascii="黑体" w:hAnsi="黑体" w:eastAsia="黑体" w:cs="黑体"/>
          <w:sz w:val="21"/>
          <w:szCs w:val="21"/>
        </w:rPr>
      </w:pPr>
      <w:r>
        <w:rPr>
          <w:rFonts w:ascii="黑体" w:hAnsi="黑体" w:eastAsia="黑体" w:cs="黑体"/>
          <w:spacing w:val="-3"/>
          <w:sz w:val="21"/>
          <w:szCs w:val="21"/>
        </w:rPr>
        <w:t>五、其他</w:t>
      </w:r>
    </w:p>
    <w:p w14:paraId="05637E74">
      <w:pPr>
        <w:spacing w:before="49" w:line="220" w:lineRule="auto"/>
        <w:ind w:left="444"/>
        <w:rPr>
          <w:rFonts w:ascii="宋体" w:hAnsi="宋体" w:eastAsia="宋体" w:cs="宋体"/>
          <w:sz w:val="21"/>
          <w:szCs w:val="21"/>
        </w:rPr>
      </w:pPr>
      <w:r>
        <w:rPr>
          <w:rFonts w:ascii="宋体" w:hAnsi="宋体" w:eastAsia="宋体" w:cs="宋体"/>
          <w:spacing w:val="-3"/>
          <w:sz w:val="21"/>
          <w:szCs w:val="21"/>
        </w:rPr>
        <w:t>双方约定的其他工程保修责任事项：</w:t>
      </w:r>
    </w:p>
    <w:p w14:paraId="32216AE3">
      <w:pPr>
        <w:pStyle w:val="2"/>
        <w:spacing w:line="244" w:lineRule="auto"/>
      </w:pPr>
    </w:p>
    <w:p w14:paraId="429E1E41">
      <w:pPr>
        <w:spacing w:line="601" w:lineRule="exact"/>
        <w:ind w:firstLine="15"/>
      </w:pPr>
      <w:r>
        <w:rPr>
          <w:position w:val="-12"/>
        </w:rPr>
        <w:pict>
          <v:shape id="_x0000_s1051" o:spid="_x0000_s1051" style="height:30.05pt;width:415.3pt;" fillcolor="#000000" filled="t" stroked="f" coordsize="8305,600" path="m0,15l8305,15,8305,0,0,0,0,15xem0,300l8305,300,8305,285,0,285,0,300xem0,600l8305,600,8305,585,0,585,0,600xe">
            <v:path/>
            <v:fill on="t" focussize="0,0"/>
            <v:stroke on="f"/>
            <v:imagedata o:title=""/>
            <o:lock v:ext="edit"/>
            <w10:wrap type="none"/>
            <w10:anchorlock/>
          </v:shape>
        </w:pict>
      </w:r>
    </w:p>
    <w:p w14:paraId="1AD80040">
      <w:pPr>
        <w:spacing w:before="195" w:line="45" w:lineRule="exact"/>
        <w:ind w:left="7193"/>
        <w:rPr>
          <w:rFonts w:ascii="宋体" w:hAnsi="宋体" w:eastAsia="宋体" w:cs="宋体"/>
          <w:sz w:val="21"/>
          <w:szCs w:val="21"/>
        </w:rPr>
      </w:pPr>
      <w:r>
        <w:pict>
          <v:shape id="_x0000_s1052" o:spid="_x0000_s1052" o:spt="202" type="#_x0000_t202" style="position:absolute;left:0pt;margin-left:-0.2pt;margin-top:3pt;height:44.95pt;width:418.25pt;z-index:251694080;mso-width-relative:page;mso-height-relative:page;" filled="f" stroked="f" coordsize="21600,21600">
            <v:path/>
            <v:fill on="f" focussize="0,0"/>
            <v:stroke on="f"/>
            <v:imagedata o:title=""/>
            <o:lock v:ext="edit" aspectratio="f"/>
            <v:textbox inset="0mm,0mm,0mm,0mm">
              <w:txbxContent>
                <w:p w14:paraId="0CF34137">
                  <w:pPr>
                    <w:pStyle w:val="2"/>
                    <w:tabs>
                      <w:tab w:val="left" w:pos="7167"/>
                    </w:tabs>
                    <w:spacing w:before="20"/>
                    <w:ind w:left="20"/>
                  </w:pPr>
                  <w:r>
                    <w:rPr>
                      <w:u w:val="single" w:color="auto"/>
                    </w:rPr>
                    <w:tab/>
                  </w:r>
                </w:p>
                <w:p w14:paraId="4C8C0F2E">
                  <w:pPr>
                    <w:spacing w:before="38" w:line="263" w:lineRule="auto"/>
                    <w:ind w:left="44" w:right="20" w:firstLine="404"/>
                    <w:rPr>
                      <w:rFonts w:ascii="宋体" w:hAnsi="宋体" w:eastAsia="宋体" w:cs="宋体"/>
                      <w:sz w:val="21"/>
                      <w:szCs w:val="21"/>
                    </w:rPr>
                  </w:pPr>
                  <w:r>
                    <w:rPr>
                      <w:rFonts w:ascii="宋体" w:hAnsi="宋体" w:eastAsia="宋体" w:cs="宋体"/>
                      <w:spacing w:val="-2"/>
                      <w:sz w:val="21"/>
                      <w:szCs w:val="21"/>
                    </w:rPr>
                    <w:t>本工程保修书，由施工合同发包人、承包人双方在竣工验收前</w:t>
                  </w:r>
                  <w:r>
                    <w:rPr>
                      <w:rFonts w:ascii="宋体" w:hAnsi="宋体" w:eastAsia="宋体" w:cs="宋体"/>
                      <w:spacing w:val="-3"/>
                      <w:sz w:val="21"/>
                      <w:szCs w:val="21"/>
                    </w:rPr>
                    <w:t>共同签署，作为施工合同</w:t>
                  </w:r>
                  <w:r>
                    <w:rPr>
                      <w:rFonts w:ascii="宋体" w:hAnsi="宋体" w:eastAsia="宋体" w:cs="宋体"/>
                      <w:spacing w:val="-4"/>
                      <w:sz w:val="21"/>
                      <w:szCs w:val="21"/>
                    </w:rPr>
                    <w:t>附件，其有效期限至保修期满。</w:t>
                  </w:r>
                </w:p>
              </w:txbxContent>
            </v:textbox>
          </v:shape>
        </w:pict>
      </w:r>
      <w:r>
        <w:rPr>
          <w:rFonts w:ascii="宋体" w:hAnsi="宋体" w:eastAsia="宋体" w:cs="宋体"/>
          <w:position w:val="-1"/>
          <w:sz w:val="21"/>
          <w:szCs w:val="21"/>
        </w:rPr>
        <w:t>。</w:t>
      </w:r>
    </w:p>
    <w:p w14:paraId="1A8FD51E">
      <w:pPr>
        <w:pStyle w:val="2"/>
        <w:spacing w:line="260" w:lineRule="auto"/>
      </w:pPr>
    </w:p>
    <w:p w14:paraId="0382A813">
      <w:pPr>
        <w:pStyle w:val="2"/>
        <w:spacing w:line="260" w:lineRule="auto"/>
      </w:pPr>
    </w:p>
    <w:p w14:paraId="6746EADB">
      <w:pPr>
        <w:pStyle w:val="2"/>
        <w:spacing w:line="260" w:lineRule="auto"/>
      </w:pPr>
    </w:p>
    <w:p w14:paraId="3034BA59">
      <w:pPr>
        <w:pStyle w:val="2"/>
        <w:spacing w:line="260" w:lineRule="auto"/>
      </w:pPr>
    </w:p>
    <w:p w14:paraId="3AC6251E">
      <w:pPr>
        <w:pStyle w:val="2"/>
        <w:spacing w:line="260" w:lineRule="auto"/>
      </w:pPr>
    </w:p>
    <w:p w14:paraId="73D24682">
      <w:pPr>
        <w:pStyle w:val="2"/>
        <w:spacing w:line="260" w:lineRule="auto"/>
      </w:pPr>
    </w:p>
    <w:p w14:paraId="63B50815">
      <w:pPr>
        <w:pStyle w:val="2"/>
        <w:spacing w:line="260" w:lineRule="auto"/>
      </w:pPr>
    </w:p>
    <w:p w14:paraId="1C928306">
      <w:pPr>
        <w:pStyle w:val="2"/>
        <w:spacing w:line="260" w:lineRule="auto"/>
      </w:pPr>
    </w:p>
    <w:p w14:paraId="62C3B75D">
      <w:pPr>
        <w:pStyle w:val="2"/>
        <w:spacing w:line="261" w:lineRule="auto"/>
      </w:pPr>
    </w:p>
    <w:p w14:paraId="6AB93E83">
      <w:pPr>
        <w:pStyle w:val="2"/>
        <w:spacing w:line="261" w:lineRule="auto"/>
      </w:pPr>
    </w:p>
    <w:p w14:paraId="4555A8F8">
      <w:pPr>
        <w:spacing w:before="68" w:line="219" w:lineRule="auto"/>
        <w:ind w:right="18"/>
        <w:jc w:val="right"/>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5"/>
          <w:sz w:val="21"/>
          <w:szCs w:val="21"/>
        </w:rPr>
        <w:t>(公章)    承包人：</w:t>
      </w:r>
      <w:r>
        <w:rPr>
          <w:rFonts w:ascii="宋体" w:hAnsi="宋体" w:eastAsia="宋体" w:cs="宋体"/>
          <w:spacing w:val="-5"/>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5"/>
          <w:sz w:val="21"/>
          <w:szCs w:val="21"/>
        </w:rPr>
        <w:t>(公章)</w:t>
      </w:r>
    </w:p>
    <w:p w14:paraId="19F0967F">
      <w:pPr>
        <w:spacing w:before="67" w:line="220" w:lineRule="auto"/>
        <w:ind w:left="445"/>
        <w:rPr>
          <w:rFonts w:ascii="宋体" w:hAnsi="宋体" w:eastAsia="宋体" w:cs="宋体"/>
          <w:sz w:val="21"/>
          <w:szCs w:val="21"/>
        </w:rPr>
      </w:pPr>
      <w:r>
        <w:rPr>
          <w:rFonts w:ascii="宋体" w:hAnsi="宋体" w:eastAsia="宋体" w:cs="宋体"/>
          <w:spacing w:val="-2"/>
          <w:sz w:val="21"/>
          <w:szCs w:val="21"/>
        </w:rPr>
        <w:t>法定地址：</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法定地址：</w:t>
      </w:r>
      <w:r>
        <w:rPr>
          <w:rFonts w:ascii="宋体" w:hAnsi="宋体" w:eastAsia="宋体" w:cs="宋体"/>
          <w:spacing w:val="-2"/>
          <w:sz w:val="21"/>
          <w:szCs w:val="21"/>
          <w:u w:val="single" w:color="auto"/>
        </w:rPr>
        <w:t xml:space="preserve">                    </w:t>
      </w:r>
    </w:p>
    <w:p w14:paraId="177EF92C">
      <w:pPr>
        <w:spacing w:before="79" w:line="220" w:lineRule="auto"/>
        <w:ind w:left="445"/>
        <w:rPr>
          <w:rFonts w:ascii="宋体" w:hAnsi="宋体" w:eastAsia="宋体" w:cs="宋体"/>
          <w:sz w:val="21"/>
          <w:szCs w:val="21"/>
        </w:rPr>
      </w:pPr>
      <w:r>
        <w:rPr>
          <w:rFonts w:ascii="宋体" w:hAnsi="宋体" w:eastAsia="宋体" w:cs="宋体"/>
          <w:sz w:val="21"/>
          <w:szCs w:val="21"/>
        </w:rPr>
        <w:t>法定代表人或其                         法定代表人</w:t>
      </w:r>
      <w:r>
        <w:rPr>
          <w:rFonts w:ascii="宋体" w:hAnsi="宋体" w:eastAsia="宋体" w:cs="宋体"/>
          <w:spacing w:val="-1"/>
          <w:sz w:val="21"/>
          <w:szCs w:val="21"/>
        </w:rPr>
        <w:t>或其</w:t>
      </w:r>
    </w:p>
    <w:p w14:paraId="6A885FC7">
      <w:pPr>
        <w:spacing w:before="65" w:line="220" w:lineRule="auto"/>
        <w:ind w:right="18"/>
        <w:jc w:val="right"/>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3"/>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(签字)</w:t>
      </w:r>
      <w:r>
        <w:rPr>
          <w:rFonts w:ascii="宋体" w:hAnsi="宋体" w:eastAsia="宋体" w:cs="宋体"/>
          <w:spacing w:val="2"/>
          <w:sz w:val="21"/>
          <w:szCs w:val="21"/>
        </w:rPr>
        <w:t xml:space="preserve">    </w:t>
      </w:r>
      <w:r>
        <w:rPr>
          <w:rFonts w:ascii="宋体" w:hAnsi="宋体" w:eastAsia="宋体" w:cs="宋体"/>
          <w:spacing w:val="-3"/>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3"/>
          <w:sz w:val="21"/>
          <w:szCs w:val="21"/>
        </w:rPr>
        <w:t>(签字)</w:t>
      </w:r>
    </w:p>
    <w:p w14:paraId="738A23D3">
      <w:pPr>
        <w:spacing w:before="65" w:line="222" w:lineRule="auto"/>
        <w:ind w:left="469"/>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z w:val="21"/>
          <w:szCs w:val="21"/>
          <w:u w:val="single" w:color="auto"/>
        </w:rPr>
        <w:t xml:space="preserve">                        </w:t>
      </w:r>
    </w:p>
    <w:p w14:paraId="7DD0B4DE">
      <w:pPr>
        <w:spacing w:before="78" w:line="219" w:lineRule="auto"/>
        <w:ind w:left="443"/>
        <w:rPr>
          <w:rFonts w:ascii="宋体" w:hAnsi="宋体" w:eastAsia="宋体" w:cs="宋体"/>
          <w:sz w:val="21"/>
          <w:szCs w:val="21"/>
        </w:rPr>
      </w:pPr>
      <w:r>
        <w:rPr>
          <w:rFonts w:ascii="宋体" w:hAnsi="宋体" w:eastAsia="宋体" w:cs="宋体"/>
          <w:spacing w:val="-1"/>
          <w:sz w:val="21"/>
          <w:szCs w:val="21"/>
        </w:rPr>
        <w:t>传真：</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传真：</w:t>
      </w:r>
      <w:r>
        <w:rPr>
          <w:rFonts w:ascii="宋体" w:hAnsi="宋体" w:eastAsia="宋体" w:cs="宋体"/>
          <w:spacing w:val="-2"/>
          <w:sz w:val="21"/>
          <w:szCs w:val="21"/>
          <w:u w:val="single" w:color="auto"/>
        </w:rPr>
        <w:t xml:space="preserve">                        </w:t>
      </w:r>
    </w:p>
    <w:p w14:paraId="70175ECF">
      <w:pPr>
        <w:spacing w:before="67" w:line="220" w:lineRule="auto"/>
        <w:ind w:left="469"/>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p>
    <w:p w14:paraId="30131CF5">
      <w:pPr>
        <w:spacing w:before="64" w:line="220" w:lineRule="auto"/>
        <w:ind w:left="445"/>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5CDF4ED4">
      <w:pPr>
        <w:spacing w:before="81" w:line="220" w:lineRule="auto"/>
        <w:ind w:left="452"/>
        <w:rPr>
          <w:rFonts w:ascii="宋体" w:hAnsi="宋体" w:eastAsia="宋体" w:cs="宋体"/>
          <w:sz w:val="21"/>
          <w:szCs w:val="21"/>
        </w:rPr>
      </w:pPr>
      <w:r>
        <w:rPr>
          <w:rFonts w:ascii="宋体" w:hAnsi="宋体" w:eastAsia="宋体" w:cs="宋体"/>
          <w:spacing w:val="-6"/>
          <w:sz w:val="21"/>
          <w:szCs w:val="21"/>
        </w:rPr>
        <w:t>帐号：</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6"/>
          <w:sz w:val="21"/>
          <w:szCs w:val="21"/>
        </w:rPr>
        <w:t>帐号：</w:t>
      </w:r>
      <w:r>
        <w:rPr>
          <w:rFonts w:ascii="宋体" w:hAnsi="宋体" w:eastAsia="宋体" w:cs="宋体"/>
          <w:sz w:val="21"/>
          <w:szCs w:val="21"/>
          <w:u w:val="single" w:color="auto"/>
        </w:rPr>
        <w:t xml:space="preserve">                        </w:t>
      </w:r>
    </w:p>
    <w:p w14:paraId="4247120D">
      <w:pPr>
        <w:spacing w:before="64" w:line="220" w:lineRule="auto"/>
        <w:ind w:left="460"/>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6A552374">
      <w:pPr>
        <w:spacing w:line="220" w:lineRule="auto"/>
        <w:rPr>
          <w:rFonts w:ascii="宋体" w:hAnsi="宋体" w:eastAsia="宋体" w:cs="宋体"/>
          <w:sz w:val="21"/>
          <w:szCs w:val="21"/>
        </w:rPr>
        <w:sectPr>
          <w:footerReference r:id="rId143" w:type="default"/>
          <w:pgSz w:w="11910" w:h="16845"/>
          <w:pgMar w:top="400" w:right="1783" w:bottom="1110" w:left="1786" w:header="0" w:footer="883" w:gutter="0"/>
          <w:cols w:space="720" w:num="1"/>
        </w:sectPr>
      </w:pPr>
    </w:p>
    <w:p w14:paraId="1E4A3D78">
      <w:pPr>
        <w:pStyle w:val="2"/>
        <w:spacing w:line="245" w:lineRule="auto"/>
      </w:pPr>
    </w:p>
    <w:p w14:paraId="7608359D">
      <w:pPr>
        <w:pStyle w:val="2"/>
        <w:spacing w:line="245" w:lineRule="auto"/>
      </w:pPr>
    </w:p>
    <w:p w14:paraId="09E2498F">
      <w:pPr>
        <w:pStyle w:val="2"/>
        <w:spacing w:line="245" w:lineRule="auto"/>
      </w:pPr>
    </w:p>
    <w:p w14:paraId="50C5FC60">
      <w:pPr>
        <w:pStyle w:val="2"/>
        <w:spacing w:line="245" w:lineRule="auto"/>
      </w:pPr>
    </w:p>
    <w:p w14:paraId="1B89D7E1">
      <w:pPr>
        <w:pStyle w:val="2"/>
        <w:spacing w:line="245" w:lineRule="auto"/>
      </w:pPr>
    </w:p>
    <w:p w14:paraId="73DE7D91">
      <w:pPr>
        <w:pStyle w:val="2"/>
        <w:spacing w:line="245" w:lineRule="auto"/>
      </w:pPr>
    </w:p>
    <w:p w14:paraId="70DB85E8">
      <w:pPr>
        <w:pStyle w:val="2"/>
        <w:spacing w:line="246" w:lineRule="auto"/>
      </w:pPr>
    </w:p>
    <w:p w14:paraId="491EA388">
      <w:pPr>
        <w:pStyle w:val="2"/>
        <w:spacing w:line="246" w:lineRule="auto"/>
      </w:pPr>
    </w:p>
    <w:p w14:paraId="78AD9E9F">
      <w:pPr>
        <w:pStyle w:val="2"/>
        <w:spacing w:line="246" w:lineRule="auto"/>
      </w:pPr>
    </w:p>
    <w:p w14:paraId="152BE24E">
      <w:pPr>
        <w:pStyle w:val="2"/>
        <w:spacing w:line="246" w:lineRule="auto"/>
      </w:pPr>
    </w:p>
    <w:p w14:paraId="31515104">
      <w:pPr>
        <w:pStyle w:val="2"/>
        <w:spacing w:line="246" w:lineRule="auto"/>
      </w:pPr>
    </w:p>
    <w:p w14:paraId="000E82F8">
      <w:pPr>
        <w:pStyle w:val="2"/>
        <w:spacing w:line="246" w:lineRule="auto"/>
      </w:pPr>
    </w:p>
    <w:p w14:paraId="31F508A8">
      <w:pPr>
        <w:pStyle w:val="2"/>
        <w:spacing w:line="246" w:lineRule="auto"/>
      </w:pPr>
    </w:p>
    <w:p w14:paraId="421BD83A">
      <w:pPr>
        <w:pStyle w:val="2"/>
        <w:spacing w:line="246" w:lineRule="auto"/>
      </w:pPr>
    </w:p>
    <w:p w14:paraId="4418D5CF">
      <w:pPr>
        <w:pStyle w:val="2"/>
        <w:spacing w:line="246" w:lineRule="auto"/>
      </w:pPr>
    </w:p>
    <w:p w14:paraId="4EAA9A21">
      <w:pPr>
        <w:pStyle w:val="2"/>
        <w:spacing w:line="246" w:lineRule="auto"/>
      </w:pPr>
    </w:p>
    <w:p w14:paraId="0E5DE92E">
      <w:pPr>
        <w:spacing w:before="78" w:line="218" w:lineRule="auto"/>
        <w:ind w:left="38"/>
        <w:outlineLvl w:val="2"/>
        <w:rPr>
          <w:rFonts w:ascii="黑体" w:hAnsi="黑体" w:eastAsia="黑体" w:cs="黑体"/>
          <w:sz w:val="24"/>
          <w:szCs w:val="24"/>
        </w:rPr>
      </w:pPr>
      <w:bookmarkStart w:id="336" w:name="bookmark682"/>
      <w:bookmarkEnd w:id="336"/>
      <w:r>
        <w:rPr>
          <w:rFonts w:ascii="黑体" w:hAnsi="黑体" w:eastAsia="黑体" w:cs="黑体"/>
          <w:spacing w:val="-2"/>
          <w:sz w:val="24"/>
          <w:szCs w:val="24"/>
        </w:rPr>
        <w:t>附件六：廉政责任书格式</w:t>
      </w:r>
    </w:p>
    <w:p w14:paraId="2100C36D">
      <w:pPr>
        <w:pStyle w:val="2"/>
        <w:spacing w:line="305" w:lineRule="auto"/>
      </w:pPr>
    </w:p>
    <w:p w14:paraId="4163F6A8">
      <w:pPr>
        <w:spacing w:before="91" w:line="222" w:lineRule="auto"/>
        <w:ind w:left="3181"/>
        <w:rPr>
          <w:rFonts w:ascii="黑体" w:hAnsi="黑体" w:eastAsia="黑体" w:cs="黑体"/>
          <w:sz w:val="28"/>
          <w:szCs w:val="28"/>
        </w:rPr>
      </w:pPr>
      <w:bookmarkStart w:id="337" w:name="bookmark291"/>
      <w:bookmarkEnd w:id="337"/>
      <w:r>
        <w:rPr>
          <w:rFonts w:ascii="黑体" w:hAnsi="黑体" w:eastAsia="黑体" w:cs="黑体"/>
          <w:spacing w:val="5"/>
          <w:sz w:val="28"/>
          <w:szCs w:val="28"/>
        </w:rPr>
        <w:t>建设工程廉政责任书</w:t>
      </w:r>
    </w:p>
    <w:p w14:paraId="1E3325A1">
      <w:pPr>
        <w:pStyle w:val="2"/>
        <w:spacing w:line="304" w:lineRule="auto"/>
      </w:pPr>
    </w:p>
    <w:p w14:paraId="257649DE">
      <w:pPr>
        <w:spacing w:before="68" w:line="220" w:lineRule="auto"/>
        <w:ind w:left="448"/>
        <w:rPr>
          <w:rFonts w:ascii="宋体" w:hAnsi="宋体" w:eastAsia="宋体" w:cs="宋体"/>
          <w:sz w:val="21"/>
          <w:szCs w:val="21"/>
        </w:rPr>
      </w:pPr>
      <w:r>
        <w:rPr>
          <w:rFonts w:ascii="宋体" w:hAnsi="宋体" w:eastAsia="宋体" w:cs="宋体"/>
          <w:spacing w:val="-2"/>
          <w:sz w:val="21"/>
          <w:szCs w:val="21"/>
        </w:rPr>
        <w:t>发包人：</w:t>
      </w:r>
      <w:r>
        <w:rPr>
          <w:rFonts w:ascii="宋体" w:hAnsi="宋体" w:eastAsia="宋体" w:cs="宋体"/>
          <w:spacing w:val="-2"/>
          <w:sz w:val="21"/>
          <w:szCs w:val="21"/>
          <w:u w:val="single" w:color="auto"/>
        </w:rPr>
        <w:t xml:space="preserve">                                          </w:t>
      </w:r>
      <w:r>
        <w:rPr>
          <w:rFonts w:ascii="宋体" w:hAnsi="宋体" w:eastAsia="宋体" w:cs="宋体"/>
          <w:spacing w:val="-3"/>
          <w:sz w:val="21"/>
          <w:szCs w:val="21"/>
          <w:u w:val="single" w:color="auto"/>
        </w:rPr>
        <w:t xml:space="preserve">      </w:t>
      </w:r>
    </w:p>
    <w:p w14:paraId="16F6177D">
      <w:pPr>
        <w:spacing w:before="48" w:line="220" w:lineRule="auto"/>
        <w:ind w:left="444"/>
        <w:rPr>
          <w:rFonts w:ascii="宋体" w:hAnsi="宋体" w:eastAsia="宋体" w:cs="宋体"/>
          <w:sz w:val="21"/>
          <w:szCs w:val="21"/>
        </w:rPr>
      </w:pPr>
      <w:r>
        <w:rPr>
          <w:rFonts w:ascii="宋体" w:hAnsi="宋体" w:eastAsia="宋体" w:cs="宋体"/>
          <w:spacing w:val="-2"/>
          <w:sz w:val="21"/>
          <w:szCs w:val="21"/>
        </w:rPr>
        <w:t>承包人：</w:t>
      </w:r>
      <w:r>
        <w:rPr>
          <w:rFonts w:ascii="宋体" w:hAnsi="宋体" w:eastAsia="宋体" w:cs="宋体"/>
          <w:sz w:val="21"/>
          <w:szCs w:val="21"/>
          <w:u w:val="single" w:color="auto"/>
        </w:rPr>
        <w:t xml:space="preserve">                                                </w:t>
      </w:r>
    </w:p>
    <w:p w14:paraId="4E71F1BF">
      <w:pPr>
        <w:spacing w:before="51" w:line="264" w:lineRule="auto"/>
        <w:ind w:left="26" w:right="74" w:firstLine="420"/>
        <w:rPr>
          <w:rFonts w:ascii="宋体" w:hAnsi="宋体" w:eastAsia="宋体" w:cs="宋体"/>
          <w:sz w:val="21"/>
          <w:szCs w:val="21"/>
        </w:rPr>
      </w:pPr>
      <w:r>
        <w:rPr>
          <w:rFonts w:ascii="宋体" w:hAnsi="宋体" w:eastAsia="宋体" w:cs="宋体"/>
          <w:spacing w:val="-2"/>
          <w:sz w:val="21"/>
          <w:szCs w:val="21"/>
        </w:rPr>
        <w:t>为加强建设工程廉政建设，规范建设工程各项活动中发包人承包人</w:t>
      </w:r>
      <w:r>
        <w:rPr>
          <w:rFonts w:ascii="宋体" w:hAnsi="宋体" w:eastAsia="宋体" w:cs="宋体"/>
          <w:spacing w:val="-3"/>
          <w:sz w:val="21"/>
          <w:szCs w:val="21"/>
        </w:rPr>
        <w:t>双方的行为，防止谋</w:t>
      </w:r>
      <w:r>
        <w:rPr>
          <w:rFonts w:ascii="宋体" w:hAnsi="宋体" w:eastAsia="宋体" w:cs="宋体"/>
          <w:spacing w:val="-5"/>
          <w:sz w:val="21"/>
          <w:szCs w:val="21"/>
        </w:rPr>
        <w:t>取不正当利益的违法违纪现象的发生，保护国家、集体和当事人的合法权益， 根据国家有关</w:t>
      </w:r>
      <w:r>
        <w:rPr>
          <w:rFonts w:ascii="宋体" w:hAnsi="宋体" w:eastAsia="宋体" w:cs="宋体"/>
          <w:spacing w:val="-1"/>
          <w:sz w:val="21"/>
          <w:szCs w:val="21"/>
        </w:rPr>
        <w:t>工程建设的法律法规和廉政建设的有关规定，订立本廉政责任书。</w:t>
      </w:r>
    </w:p>
    <w:p w14:paraId="18CDE335">
      <w:pPr>
        <w:spacing w:line="218" w:lineRule="auto"/>
        <w:ind w:left="448"/>
        <w:rPr>
          <w:rFonts w:ascii="黑体" w:hAnsi="黑体" w:eastAsia="黑体" w:cs="黑体"/>
          <w:sz w:val="21"/>
          <w:szCs w:val="21"/>
        </w:rPr>
      </w:pPr>
      <w:r>
        <w:rPr>
          <w:rFonts w:ascii="黑体" w:hAnsi="黑体" w:eastAsia="黑体" w:cs="黑体"/>
          <w:spacing w:val="-3"/>
          <w:sz w:val="21"/>
          <w:szCs w:val="21"/>
        </w:rPr>
        <w:t>一、双方的责任</w:t>
      </w:r>
    </w:p>
    <w:p w14:paraId="1B59A5D0">
      <w:pPr>
        <w:spacing w:before="51" w:line="264" w:lineRule="auto"/>
        <w:ind w:left="25" w:right="73" w:firstLine="435"/>
        <w:rPr>
          <w:rFonts w:ascii="宋体" w:hAnsi="宋体" w:eastAsia="宋体" w:cs="宋体"/>
          <w:sz w:val="21"/>
          <w:szCs w:val="21"/>
        </w:rPr>
      </w:pPr>
      <w:r>
        <w:rPr>
          <w:rFonts w:ascii="宋体" w:hAnsi="宋体" w:eastAsia="宋体" w:cs="宋体"/>
          <w:spacing w:val="-5"/>
          <w:sz w:val="21"/>
          <w:szCs w:val="21"/>
        </w:rPr>
        <w:t>1.1</w:t>
      </w:r>
      <w:r>
        <w:rPr>
          <w:rFonts w:ascii="宋体" w:hAnsi="宋体" w:eastAsia="宋体" w:cs="宋体"/>
          <w:spacing w:val="-36"/>
          <w:sz w:val="21"/>
          <w:szCs w:val="21"/>
        </w:rPr>
        <w:t xml:space="preserve"> </w:t>
      </w:r>
      <w:r>
        <w:rPr>
          <w:rFonts w:ascii="宋体" w:hAnsi="宋体" w:eastAsia="宋体" w:cs="宋体"/>
          <w:spacing w:val="-5"/>
          <w:sz w:val="21"/>
          <w:szCs w:val="21"/>
        </w:rPr>
        <w:t>应严格遵守国家关于建设工程的有关法律、法规，</w:t>
      </w:r>
      <w:r>
        <w:rPr>
          <w:rFonts w:ascii="宋体" w:hAnsi="宋体" w:eastAsia="宋体" w:cs="宋体"/>
          <w:spacing w:val="40"/>
          <w:sz w:val="21"/>
          <w:szCs w:val="21"/>
        </w:rPr>
        <w:t xml:space="preserve"> </w:t>
      </w:r>
      <w:r>
        <w:rPr>
          <w:rFonts w:ascii="宋体" w:hAnsi="宋体" w:eastAsia="宋体" w:cs="宋体"/>
          <w:spacing w:val="-5"/>
          <w:sz w:val="21"/>
          <w:szCs w:val="21"/>
        </w:rPr>
        <w:t>相关政</w:t>
      </w:r>
      <w:r>
        <w:rPr>
          <w:rFonts w:ascii="宋体" w:hAnsi="宋体" w:eastAsia="宋体" w:cs="宋体"/>
          <w:spacing w:val="-6"/>
          <w:sz w:val="21"/>
          <w:szCs w:val="21"/>
        </w:rPr>
        <w:t>策，以及廉政建设的各项</w:t>
      </w:r>
      <w:r>
        <w:rPr>
          <w:rFonts w:ascii="宋体" w:hAnsi="宋体" w:eastAsia="宋体" w:cs="宋体"/>
          <w:spacing w:val="-9"/>
          <w:sz w:val="21"/>
          <w:szCs w:val="21"/>
        </w:rPr>
        <w:t>规定。</w:t>
      </w:r>
    </w:p>
    <w:p w14:paraId="780C44B7">
      <w:pPr>
        <w:spacing w:before="1" w:line="219" w:lineRule="auto"/>
        <w:ind w:left="460"/>
        <w:rPr>
          <w:rFonts w:ascii="宋体" w:hAnsi="宋体" w:eastAsia="宋体" w:cs="宋体"/>
          <w:sz w:val="21"/>
          <w:szCs w:val="21"/>
        </w:rPr>
      </w:pPr>
      <w:r>
        <w:rPr>
          <w:rFonts w:ascii="宋体" w:hAnsi="宋体" w:eastAsia="宋体" w:cs="宋体"/>
          <w:spacing w:val="-2"/>
          <w:sz w:val="21"/>
          <w:szCs w:val="21"/>
        </w:rPr>
        <w:t>1.2</w:t>
      </w:r>
      <w:r>
        <w:rPr>
          <w:rFonts w:ascii="宋体" w:hAnsi="宋体" w:eastAsia="宋体" w:cs="宋体"/>
          <w:spacing w:val="-36"/>
          <w:sz w:val="21"/>
          <w:szCs w:val="21"/>
        </w:rPr>
        <w:t xml:space="preserve"> </w:t>
      </w:r>
      <w:r>
        <w:rPr>
          <w:rFonts w:ascii="宋体" w:hAnsi="宋体" w:eastAsia="宋体" w:cs="宋体"/>
          <w:spacing w:val="-2"/>
          <w:sz w:val="21"/>
          <w:szCs w:val="21"/>
        </w:rPr>
        <w:t>严格执行建设工程合同文件，自觉按合</w:t>
      </w:r>
      <w:r>
        <w:rPr>
          <w:rFonts w:ascii="宋体" w:hAnsi="宋体" w:eastAsia="宋体" w:cs="宋体"/>
          <w:spacing w:val="-3"/>
          <w:sz w:val="21"/>
          <w:szCs w:val="21"/>
        </w:rPr>
        <w:t>同办事。</w:t>
      </w:r>
    </w:p>
    <w:p w14:paraId="787E81ED">
      <w:pPr>
        <w:spacing w:before="50" w:line="264" w:lineRule="auto"/>
        <w:ind w:left="28" w:right="95" w:firstLine="431"/>
        <w:rPr>
          <w:rFonts w:ascii="宋体" w:hAnsi="宋体" w:eastAsia="宋体" w:cs="宋体"/>
          <w:sz w:val="21"/>
          <w:szCs w:val="21"/>
        </w:rPr>
      </w:pPr>
      <w:r>
        <w:rPr>
          <w:rFonts w:ascii="宋体" w:hAnsi="宋体" w:eastAsia="宋体" w:cs="宋体"/>
          <w:sz w:val="21"/>
          <w:szCs w:val="21"/>
        </w:rPr>
        <w:t>1.3 各项活动必须坚持公开、公平、公正、诚信、透明的</w:t>
      </w:r>
      <w:r>
        <w:rPr>
          <w:rFonts w:ascii="宋体" w:hAnsi="宋体" w:eastAsia="宋体" w:cs="宋体"/>
          <w:spacing w:val="-1"/>
          <w:sz w:val="21"/>
          <w:szCs w:val="21"/>
        </w:rPr>
        <w:t>原则(除法律法规另有规定者</w:t>
      </w:r>
      <w:r>
        <w:rPr>
          <w:rFonts w:ascii="宋体" w:hAnsi="宋体" w:eastAsia="宋体" w:cs="宋体"/>
          <w:sz w:val="21"/>
          <w:szCs w:val="21"/>
        </w:rPr>
        <w:t>外)，不得为获取不正当的利益，损害国家、集体和对方利益，不得违反建设工</w:t>
      </w:r>
      <w:r>
        <w:rPr>
          <w:rFonts w:ascii="宋体" w:hAnsi="宋体" w:eastAsia="宋体" w:cs="宋体"/>
          <w:spacing w:val="-1"/>
          <w:sz w:val="21"/>
          <w:szCs w:val="21"/>
        </w:rPr>
        <w:t>程管理的规</w:t>
      </w:r>
      <w:r>
        <w:rPr>
          <w:rFonts w:ascii="宋体" w:hAnsi="宋体" w:eastAsia="宋体" w:cs="宋体"/>
          <w:spacing w:val="-8"/>
          <w:sz w:val="21"/>
          <w:szCs w:val="21"/>
        </w:rPr>
        <w:t>章制度。</w:t>
      </w:r>
    </w:p>
    <w:p w14:paraId="09A407D3">
      <w:pPr>
        <w:spacing w:line="264" w:lineRule="auto"/>
        <w:ind w:left="24" w:right="1" w:firstLine="436"/>
        <w:rPr>
          <w:rFonts w:ascii="宋体" w:hAnsi="宋体" w:eastAsia="宋体" w:cs="宋体"/>
          <w:sz w:val="21"/>
          <w:szCs w:val="21"/>
        </w:rPr>
      </w:pPr>
      <w:r>
        <w:rPr>
          <w:rFonts w:ascii="宋体" w:hAnsi="宋体" w:eastAsia="宋体" w:cs="宋体"/>
          <w:spacing w:val="-7"/>
          <w:sz w:val="21"/>
          <w:szCs w:val="21"/>
        </w:rPr>
        <w:t>1.4</w:t>
      </w:r>
      <w:r>
        <w:rPr>
          <w:rFonts w:ascii="宋体" w:hAnsi="宋体" w:eastAsia="宋体" w:cs="宋体"/>
          <w:spacing w:val="-33"/>
          <w:sz w:val="21"/>
          <w:szCs w:val="21"/>
        </w:rPr>
        <w:t xml:space="preserve"> </w:t>
      </w:r>
      <w:r>
        <w:rPr>
          <w:rFonts w:ascii="宋体" w:hAnsi="宋体" w:eastAsia="宋体" w:cs="宋体"/>
          <w:spacing w:val="-7"/>
          <w:sz w:val="21"/>
          <w:szCs w:val="21"/>
        </w:rPr>
        <w:t>发现对方在业务活动中有违规、违纪、违</w:t>
      </w:r>
      <w:r>
        <w:rPr>
          <w:rFonts w:ascii="宋体" w:hAnsi="宋体" w:eastAsia="宋体" w:cs="宋体"/>
          <w:spacing w:val="-8"/>
          <w:sz w:val="21"/>
          <w:szCs w:val="21"/>
        </w:rPr>
        <w:t>法行为的， 应及时提醒对方，情节严重的，</w:t>
      </w:r>
      <w:r>
        <w:rPr>
          <w:rFonts w:ascii="宋体" w:hAnsi="宋体" w:eastAsia="宋体" w:cs="宋体"/>
          <w:spacing w:val="-1"/>
          <w:sz w:val="21"/>
          <w:szCs w:val="21"/>
        </w:rPr>
        <w:t>应向其上级主管部门或纪检监察、司法等有关机关举</w:t>
      </w:r>
      <w:r>
        <w:rPr>
          <w:rFonts w:ascii="宋体" w:hAnsi="宋体" w:eastAsia="宋体" w:cs="宋体"/>
          <w:spacing w:val="-2"/>
          <w:sz w:val="21"/>
          <w:szCs w:val="21"/>
        </w:rPr>
        <w:t>报。</w:t>
      </w:r>
    </w:p>
    <w:p w14:paraId="25BD213C">
      <w:pPr>
        <w:spacing w:before="1" w:line="218" w:lineRule="auto"/>
        <w:ind w:left="448"/>
        <w:rPr>
          <w:rFonts w:ascii="黑体" w:hAnsi="黑体" w:eastAsia="黑体" w:cs="黑体"/>
          <w:sz w:val="21"/>
          <w:szCs w:val="21"/>
        </w:rPr>
      </w:pPr>
      <w:r>
        <w:rPr>
          <w:rFonts w:ascii="黑体" w:hAnsi="黑体" w:eastAsia="黑体" w:cs="黑体"/>
          <w:spacing w:val="-2"/>
          <w:sz w:val="21"/>
          <w:szCs w:val="21"/>
        </w:rPr>
        <w:t>二、发包人责任</w:t>
      </w:r>
    </w:p>
    <w:p w14:paraId="59543239">
      <w:pPr>
        <w:spacing w:before="52" w:line="264" w:lineRule="auto"/>
        <w:ind w:left="30" w:right="74" w:firstLine="417"/>
        <w:rPr>
          <w:rFonts w:ascii="宋体" w:hAnsi="宋体" w:eastAsia="宋体" w:cs="宋体"/>
          <w:sz w:val="21"/>
          <w:szCs w:val="21"/>
        </w:rPr>
      </w:pPr>
      <w:r>
        <w:rPr>
          <w:rFonts w:ascii="宋体" w:hAnsi="宋体" w:eastAsia="宋体" w:cs="宋体"/>
          <w:spacing w:val="-2"/>
          <w:sz w:val="21"/>
          <w:szCs w:val="21"/>
        </w:rPr>
        <w:t>发包人的领导和从事该建设工程项目的工作人员，在工程建设的</w:t>
      </w:r>
      <w:r>
        <w:rPr>
          <w:rFonts w:ascii="宋体" w:hAnsi="宋体" w:eastAsia="宋体" w:cs="宋体"/>
          <w:spacing w:val="-3"/>
          <w:sz w:val="21"/>
          <w:szCs w:val="21"/>
        </w:rPr>
        <w:t>事前、事中、事后应遵</w:t>
      </w:r>
      <w:r>
        <w:rPr>
          <w:rFonts w:ascii="宋体" w:hAnsi="宋体" w:eastAsia="宋体" w:cs="宋体"/>
          <w:spacing w:val="-9"/>
          <w:sz w:val="21"/>
          <w:szCs w:val="21"/>
        </w:rPr>
        <w:t>守以下规定：</w:t>
      </w:r>
    </w:p>
    <w:p w14:paraId="7118A986">
      <w:pPr>
        <w:spacing w:line="264" w:lineRule="auto"/>
        <w:ind w:left="25" w:right="59" w:firstLine="422"/>
        <w:rPr>
          <w:rFonts w:ascii="宋体" w:hAnsi="宋体" w:eastAsia="宋体" w:cs="宋体"/>
          <w:sz w:val="21"/>
          <w:szCs w:val="21"/>
        </w:rPr>
      </w:pPr>
      <w:r>
        <w:rPr>
          <w:rFonts w:ascii="宋体" w:hAnsi="宋体" w:eastAsia="宋体" w:cs="宋体"/>
          <w:spacing w:val="-1"/>
          <w:sz w:val="21"/>
          <w:szCs w:val="21"/>
        </w:rPr>
        <w:t>2.1</w:t>
      </w:r>
      <w:r>
        <w:rPr>
          <w:rFonts w:ascii="宋体" w:hAnsi="宋体" w:eastAsia="宋体" w:cs="宋体"/>
          <w:spacing w:val="-31"/>
          <w:sz w:val="21"/>
          <w:szCs w:val="21"/>
        </w:rPr>
        <w:t xml:space="preserve"> </w:t>
      </w:r>
      <w:r>
        <w:rPr>
          <w:rFonts w:ascii="宋体" w:hAnsi="宋体" w:eastAsia="宋体" w:cs="宋体"/>
          <w:spacing w:val="-1"/>
          <w:sz w:val="21"/>
          <w:szCs w:val="21"/>
        </w:rPr>
        <w:t>不得向承包人和相关单位索要或接受回扣、礼金、有价证券、贵重物品和好处费、</w:t>
      </w:r>
      <w:r>
        <w:rPr>
          <w:rFonts w:ascii="宋体" w:hAnsi="宋体" w:eastAsia="宋体" w:cs="宋体"/>
          <w:spacing w:val="-6"/>
          <w:sz w:val="21"/>
          <w:szCs w:val="21"/>
        </w:rPr>
        <w:t>感谢费等。</w:t>
      </w:r>
    </w:p>
    <w:p w14:paraId="400FAD13">
      <w:pPr>
        <w:spacing w:line="219" w:lineRule="auto"/>
        <w:ind w:left="447"/>
        <w:rPr>
          <w:rFonts w:ascii="宋体" w:hAnsi="宋体" w:eastAsia="宋体" w:cs="宋体"/>
          <w:sz w:val="21"/>
          <w:szCs w:val="21"/>
        </w:rPr>
      </w:pPr>
      <w:r>
        <w:rPr>
          <w:rFonts w:ascii="宋体" w:hAnsi="宋体" w:eastAsia="宋体" w:cs="宋体"/>
          <w:spacing w:val="-1"/>
          <w:sz w:val="21"/>
          <w:szCs w:val="21"/>
        </w:rPr>
        <w:t>2.2</w:t>
      </w:r>
      <w:r>
        <w:rPr>
          <w:rFonts w:ascii="宋体" w:hAnsi="宋体" w:eastAsia="宋体" w:cs="宋体"/>
          <w:spacing w:val="-33"/>
          <w:sz w:val="21"/>
          <w:szCs w:val="21"/>
        </w:rPr>
        <w:t xml:space="preserve"> </w:t>
      </w:r>
      <w:r>
        <w:rPr>
          <w:rFonts w:ascii="宋体" w:hAnsi="宋体" w:eastAsia="宋体" w:cs="宋体"/>
          <w:spacing w:val="-1"/>
          <w:sz w:val="21"/>
          <w:szCs w:val="21"/>
        </w:rPr>
        <w:t>不得在承包人和相关单位报销任何应由发包人或个</w:t>
      </w:r>
      <w:r>
        <w:rPr>
          <w:rFonts w:ascii="宋体" w:hAnsi="宋体" w:eastAsia="宋体" w:cs="宋体"/>
          <w:spacing w:val="-2"/>
          <w:sz w:val="21"/>
          <w:szCs w:val="21"/>
        </w:rPr>
        <w:t>人支付的费用。</w:t>
      </w:r>
    </w:p>
    <w:p w14:paraId="1BE7F5D6">
      <w:pPr>
        <w:spacing w:before="51" w:line="264" w:lineRule="auto"/>
        <w:ind w:left="26" w:right="76" w:firstLine="420"/>
        <w:rPr>
          <w:rFonts w:ascii="宋体" w:hAnsi="宋体" w:eastAsia="宋体" w:cs="宋体"/>
          <w:sz w:val="21"/>
          <w:szCs w:val="21"/>
        </w:rPr>
      </w:pPr>
      <w:r>
        <w:rPr>
          <w:rFonts w:ascii="宋体" w:hAnsi="宋体" w:eastAsia="宋体" w:cs="宋体"/>
          <w:spacing w:val="-1"/>
          <w:sz w:val="21"/>
          <w:szCs w:val="21"/>
        </w:rPr>
        <w:t>2.3</w:t>
      </w:r>
      <w:r>
        <w:rPr>
          <w:rFonts w:ascii="宋体" w:hAnsi="宋体" w:eastAsia="宋体" w:cs="宋体"/>
          <w:spacing w:val="-33"/>
          <w:sz w:val="21"/>
          <w:szCs w:val="21"/>
        </w:rPr>
        <w:t xml:space="preserve"> </w:t>
      </w:r>
      <w:r>
        <w:rPr>
          <w:rFonts w:ascii="宋体" w:hAnsi="宋体" w:eastAsia="宋体" w:cs="宋体"/>
          <w:spacing w:val="-1"/>
          <w:sz w:val="21"/>
          <w:szCs w:val="21"/>
        </w:rPr>
        <w:t>不得要求、暗示或接受承包人和相关单位为个人</w:t>
      </w:r>
      <w:r>
        <w:rPr>
          <w:rFonts w:ascii="宋体" w:hAnsi="宋体" w:eastAsia="宋体" w:cs="宋体"/>
          <w:spacing w:val="-2"/>
          <w:sz w:val="21"/>
          <w:szCs w:val="21"/>
        </w:rPr>
        <w:t>装修住房、婚丧嫁娶、配偶子女的</w:t>
      </w:r>
      <w:r>
        <w:rPr>
          <w:rFonts w:ascii="宋体" w:hAnsi="宋体" w:eastAsia="宋体" w:cs="宋体"/>
          <w:spacing w:val="-4"/>
          <w:sz w:val="21"/>
          <w:szCs w:val="21"/>
        </w:rPr>
        <w:t>工作安排以及出国</w:t>
      </w:r>
      <w:r>
        <w:rPr>
          <w:rFonts w:ascii="宋体" w:hAnsi="宋体" w:eastAsia="宋体" w:cs="宋体"/>
          <w:spacing w:val="-58"/>
          <w:sz w:val="21"/>
          <w:szCs w:val="21"/>
        </w:rPr>
        <w:t xml:space="preserve"> </w:t>
      </w:r>
      <w:r>
        <w:rPr>
          <w:rFonts w:ascii="宋体" w:hAnsi="宋体" w:eastAsia="宋体" w:cs="宋体"/>
          <w:spacing w:val="-4"/>
          <w:sz w:val="21"/>
          <w:szCs w:val="21"/>
        </w:rPr>
        <w:t>(境)、旅游等提供方便。</w:t>
      </w:r>
    </w:p>
    <w:p w14:paraId="5001110F">
      <w:pPr>
        <w:spacing w:before="1" w:line="219" w:lineRule="auto"/>
        <w:jc w:val="right"/>
        <w:rPr>
          <w:rFonts w:ascii="宋体" w:hAnsi="宋体" w:eastAsia="宋体" w:cs="宋体"/>
          <w:sz w:val="21"/>
          <w:szCs w:val="21"/>
        </w:rPr>
      </w:pPr>
      <w:r>
        <w:rPr>
          <w:rFonts w:ascii="宋体" w:hAnsi="宋体" w:eastAsia="宋体" w:cs="宋体"/>
          <w:spacing w:val="-5"/>
          <w:sz w:val="21"/>
          <w:szCs w:val="21"/>
        </w:rPr>
        <w:t>2.4</w:t>
      </w:r>
      <w:r>
        <w:rPr>
          <w:rFonts w:ascii="宋体" w:hAnsi="宋体" w:eastAsia="宋体" w:cs="宋体"/>
          <w:spacing w:val="-20"/>
          <w:sz w:val="21"/>
          <w:szCs w:val="21"/>
        </w:rPr>
        <w:t xml:space="preserve"> </w:t>
      </w:r>
      <w:r>
        <w:rPr>
          <w:rFonts w:ascii="宋体" w:hAnsi="宋体" w:eastAsia="宋体" w:cs="宋体"/>
          <w:spacing w:val="-5"/>
          <w:sz w:val="21"/>
          <w:szCs w:val="21"/>
        </w:rPr>
        <w:t>不得参加有可能影响公正执行公务的承包人和相关单位的宴请、健身、娱乐等活动。</w:t>
      </w:r>
    </w:p>
    <w:p w14:paraId="051010FA">
      <w:pPr>
        <w:spacing w:before="50" w:line="264" w:lineRule="auto"/>
        <w:ind w:left="44" w:right="58" w:firstLine="402"/>
        <w:rPr>
          <w:rFonts w:ascii="宋体" w:hAnsi="宋体" w:eastAsia="宋体" w:cs="宋体"/>
          <w:sz w:val="21"/>
          <w:szCs w:val="21"/>
        </w:rPr>
      </w:pPr>
      <w:r>
        <w:rPr>
          <w:rFonts w:ascii="宋体" w:hAnsi="宋体" w:eastAsia="宋体" w:cs="宋体"/>
          <w:spacing w:val="-1"/>
          <w:sz w:val="21"/>
          <w:szCs w:val="21"/>
        </w:rPr>
        <w:t>2.5</w:t>
      </w:r>
      <w:r>
        <w:rPr>
          <w:rFonts w:ascii="宋体" w:hAnsi="宋体" w:eastAsia="宋体" w:cs="宋体"/>
          <w:spacing w:val="-30"/>
          <w:sz w:val="21"/>
          <w:szCs w:val="21"/>
        </w:rPr>
        <w:t xml:space="preserve"> </w:t>
      </w:r>
      <w:r>
        <w:rPr>
          <w:rFonts w:ascii="宋体" w:hAnsi="宋体" w:eastAsia="宋体" w:cs="宋体"/>
          <w:spacing w:val="-1"/>
          <w:sz w:val="21"/>
          <w:szCs w:val="21"/>
        </w:rPr>
        <w:t>不得向承包人和相关单位介绍或为配偶、子女、亲属参与同发包人工程建设管理合同有关的业务活动；不得以任何理由要求承包人和相关单位使用某种产品、材料和设</w:t>
      </w:r>
      <w:r>
        <w:rPr>
          <w:rFonts w:ascii="宋体" w:hAnsi="宋体" w:eastAsia="宋体" w:cs="宋体"/>
          <w:spacing w:val="-2"/>
          <w:sz w:val="21"/>
          <w:szCs w:val="21"/>
        </w:rPr>
        <w:t>备。</w:t>
      </w:r>
    </w:p>
    <w:p w14:paraId="6B34BB50">
      <w:pPr>
        <w:spacing w:line="218" w:lineRule="auto"/>
        <w:ind w:left="448"/>
        <w:rPr>
          <w:rFonts w:ascii="黑体" w:hAnsi="黑体" w:eastAsia="黑体" w:cs="黑体"/>
          <w:sz w:val="21"/>
          <w:szCs w:val="21"/>
        </w:rPr>
      </w:pPr>
      <w:r>
        <w:rPr>
          <w:rFonts w:ascii="黑体" w:hAnsi="黑体" w:eastAsia="黑体" w:cs="黑体"/>
          <w:spacing w:val="-2"/>
          <w:sz w:val="21"/>
          <w:szCs w:val="21"/>
        </w:rPr>
        <w:t>三、承包人责任</w:t>
      </w:r>
    </w:p>
    <w:p w14:paraId="2C1C6CDF">
      <w:pPr>
        <w:spacing w:before="52" w:line="264" w:lineRule="auto"/>
        <w:ind w:left="23" w:right="82" w:firstLine="421"/>
        <w:rPr>
          <w:rFonts w:ascii="宋体" w:hAnsi="宋体" w:eastAsia="宋体" w:cs="宋体"/>
          <w:sz w:val="21"/>
          <w:szCs w:val="21"/>
        </w:rPr>
      </w:pPr>
      <w:r>
        <w:rPr>
          <w:rFonts w:ascii="宋体" w:hAnsi="宋体" w:eastAsia="宋体" w:cs="宋体"/>
          <w:spacing w:val="-2"/>
          <w:sz w:val="21"/>
          <w:szCs w:val="21"/>
        </w:rPr>
        <w:t>应与发包人保持正常的业务交往，按照有关法律法规和</w:t>
      </w:r>
      <w:r>
        <w:rPr>
          <w:rFonts w:ascii="宋体" w:hAnsi="宋体" w:eastAsia="宋体" w:cs="宋体"/>
          <w:spacing w:val="-3"/>
          <w:sz w:val="21"/>
          <w:szCs w:val="21"/>
        </w:rPr>
        <w:t>程序开展业务工作，严格执行工</w:t>
      </w:r>
      <w:r>
        <w:rPr>
          <w:rFonts w:ascii="宋体" w:hAnsi="宋体" w:eastAsia="宋体" w:cs="宋体"/>
          <w:spacing w:val="-1"/>
          <w:sz w:val="21"/>
          <w:szCs w:val="21"/>
        </w:rPr>
        <w:t>程建设的有关方针、政策，执行工程建设强制性标准，</w:t>
      </w:r>
      <w:r>
        <w:rPr>
          <w:rFonts w:ascii="宋体" w:hAnsi="宋体" w:eastAsia="宋体" w:cs="宋体"/>
          <w:spacing w:val="-2"/>
          <w:sz w:val="21"/>
          <w:szCs w:val="21"/>
        </w:rPr>
        <w:t>并遵守以下规定：</w:t>
      </w:r>
    </w:p>
    <w:p w14:paraId="582E103A">
      <w:pPr>
        <w:spacing w:before="2" w:line="263" w:lineRule="auto"/>
        <w:ind w:left="41" w:right="73" w:firstLine="407"/>
        <w:rPr>
          <w:rFonts w:ascii="宋体" w:hAnsi="宋体" w:eastAsia="宋体" w:cs="宋体"/>
          <w:sz w:val="21"/>
          <w:szCs w:val="21"/>
        </w:rPr>
      </w:pPr>
      <w:r>
        <w:rPr>
          <w:rFonts w:ascii="宋体" w:hAnsi="宋体" w:eastAsia="宋体" w:cs="宋体"/>
          <w:spacing w:val="-1"/>
          <w:sz w:val="21"/>
          <w:szCs w:val="21"/>
        </w:rPr>
        <w:t>3.1</w:t>
      </w:r>
      <w:r>
        <w:rPr>
          <w:rFonts w:ascii="宋体" w:hAnsi="宋体" w:eastAsia="宋体" w:cs="宋体"/>
          <w:spacing w:val="-33"/>
          <w:sz w:val="21"/>
          <w:szCs w:val="21"/>
        </w:rPr>
        <w:t xml:space="preserve"> </w:t>
      </w:r>
      <w:r>
        <w:rPr>
          <w:rFonts w:ascii="宋体" w:hAnsi="宋体" w:eastAsia="宋体" w:cs="宋体"/>
          <w:spacing w:val="-1"/>
          <w:sz w:val="21"/>
          <w:szCs w:val="21"/>
        </w:rPr>
        <w:t>不得以任何理由向发包人及其工作人员索要、接受</w:t>
      </w:r>
      <w:r>
        <w:rPr>
          <w:rFonts w:ascii="宋体" w:hAnsi="宋体" w:eastAsia="宋体" w:cs="宋体"/>
          <w:spacing w:val="-2"/>
          <w:sz w:val="21"/>
          <w:szCs w:val="21"/>
        </w:rPr>
        <w:t>或赠送礼金、有价证券、贵重物</w:t>
      </w:r>
      <w:r>
        <w:rPr>
          <w:rFonts w:ascii="宋体" w:hAnsi="宋体" w:eastAsia="宋体" w:cs="宋体"/>
          <w:spacing w:val="-4"/>
          <w:sz w:val="21"/>
          <w:szCs w:val="21"/>
        </w:rPr>
        <w:t>品及回扣、好处费、感谢费等。</w:t>
      </w:r>
    </w:p>
    <w:p w14:paraId="3B73B6A3">
      <w:pPr>
        <w:spacing w:before="1" w:line="219" w:lineRule="auto"/>
        <w:ind w:left="448"/>
        <w:rPr>
          <w:rFonts w:ascii="宋体" w:hAnsi="宋体" w:eastAsia="宋体" w:cs="宋体"/>
          <w:sz w:val="21"/>
          <w:szCs w:val="21"/>
        </w:rPr>
      </w:pPr>
      <w:r>
        <w:rPr>
          <w:rFonts w:ascii="宋体" w:hAnsi="宋体" w:eastAsia="宋体" w:cs="宋体"/>
          <w:spacing w:val="-1"/>
          <w:sz w:val="21"/>
          <w:szCs w:val="21"/>
        </w:rPr>
        <w:t>3.2</w:t>
      </w:r>
      <w:r>
        <w:rPr>
          <w:rFonts w:ascii="宋体" w:hAnsi="宋体" w:eastAsia="宋体" w:cs="宋体"/>
          <w:spacing w:val="-33"/>
          <w:sz w:val="21"/>
          <w:szCs w:val="21"/>
        </w:rPr>
        <w:t xml:space="preserve"> </w:t>
      </w:r>
      <w:r>
        <w:rPr>
          <w:rFonts w:ascii="宋体" w:hAnsi="宋体" w:eastAsia="宋体" w:cs="宋体"/>
          <w:spacing w:val="-1"/>
          <w:sz w:val="21"/>
          <w:szCs w:val="21"/>
        </w:rPr>
        <w:t>不得以任何理由为发包人和相关单位报销应由对方或个人</w:t>
      </w:r>
      <w:r>
        <w:rPr>
          <w:rFonts w:ascii="宋体" w:hAnsi="宋体" w:eastAsia="宋体" w:cs="宋体"/>
          <w:spacing w:val="-2"/>
          <w:sz w:val="21"/>
          <w:szCs w:val="21"/>
        </w:rPr>
        <w:t>支付的费用。</w:t>
      </w:r>
    </w:p>
    <w:p w14:paraId="53004615">
      <w:pPr>
        <w:spacing w:before="51" w:line="219" w:lineRule="auto"/>
        <w:ind w:left="448"/>
        <w:rPr>
          <w:rFonts w:ascii="宋体" w:hAnsi="宋体" w:eastAsia="宋体" w:cs="宋体"/>
          <w:sz w:val="21"/>
          <w:szCs w:val="21"/>
        </w:rPr>
      </w:pPr>
      <w:r>
        <w:rPr>
          <w:rFonts w:ascii="宋体" w:hAnsi="宋体" w:eastAsia="宋体" w:cs="宋体"/>
          <w:spacing w:val="-1"/>
          <w:sz w:val="21"/>
          <w:szCs w:val="21"/>
        </w:rPr>
        <w:t>3.3</w:t>
      </w:r>
      <w:r>
        <w:rPr>
          <w:rFonts w:ascii="宋体" w:hAnsi="宋体" w:eastAsia="宋体" w:cs="宋体"/>
          <w:spacing w:val="-33"/>
          <w:sz w:val="21"/>
          <w:szCs w:val="21"/>
        </w:rPr>
        <w:t xml:space="preserve"> </w:t>
      </w:r>
      <w:r>
        <w:rPr>
          <w:rFonts w:ascii="宋体" w:hAnsi="宋体" w:eastAsia="宋体" w:cs="宋体"/>
          <w:spacing w:val="-1"/>
          <w:sz w:val="21"/>
          <w:szCs w:val="21"/>
        </w:rPr>
        <w:t>不得接受或暗示为发包人、相关单位或个人装修住</w:t>
      </w:r>
      <w:r>
        <w:rPr>
          <w:rFonts w:ascii="宋体" w:hAnsi="宋体" w:eastAsia="宋体" w:cs="宋体"/>
          <w:spacing w:val="-2"/>
          <w:sz w:val="21"/>
          <w:szCs w:val="21"/>
        </w:rPr>
        <w:t>房、婚丧嫁娶、配偶子女的工作</w:t>
      </w:r>
    </w:p>
    <w:p w14:paraId="3174A4FF">
      <w:pPr>
        <w:spacing w:line="219" w:lineRule="auto"/>
        <w:rPr>
          <w:rFonts w:ascii="宋体" w:hAnsi="宋体" w:eastAsia="宋体" w:cs="宋体"/>
          <w:sz w:val="21"/>
          <w:szCs w:val="21"/>
        </w:rPr>
        <w:sectPr>
          <w:footerReference r:id="rId144" w:type="default"/>
          <w:pgSz w:w="11910" w:h="16845"/>
          <w:pgMar w:top="400" w:right="1705" w:bottom="1110" w:left="1786" w:header="0" w:footer="882" w:gutter="0"/>
          <w:cols w:space="720" w:num="1"/>
        </w:sectPr>
      </w:pPr>
    </w:p>
    <w:p w14:paraId="7AA8BF55">
      <w:pPr>
        <w:pStyle w:val="2"/>
        <w:spacing w:line="256" w:lineRule="auto"/>
      </w:pPr>
    </w:p>
    <w:p w14:paraId="640D70FA">
      <w:pPr>
        <w:pStyle w:val="2"/>
        <w:spacing w:line="256" w:lineRule="auto"/>
      </w:pPr>
    </w:p>
    <w:p w14:paraId="6151F068">
      <w:pPr>
        <w:pStyle w:val="2"/>
        <w:spacing w:line="257" w:lineRule="auto"/>
      </w:pPr>
    </w:p>
    <w:p w14:paraId="2F548FE2">
      <w:pPr>
        <w:pStyle w:val="2"/>
        <w:spacing w:line="257" w:lineRule="auto"/>
      </w:pPr>
    </w:p>
    <w:p w14:paraId="6AADC5B1">
      <w:pPr>
        <w:spacing w:before="68" w:line="219" w:lineRule="auto"/>
        <w:ind w:left="28"/>
        <w:rPr>
          <w:rFonts w:ascii="宋体" w:hAnsi="宋体" w:eastAsia="宋体" w:cs="宋体"/>
          <w:sz w:val="21"/>
          <w:szCs w:val="21"/>
        </w:rPr>
      </w:pPr>
      <w:r>
        <w:rPr>
          <w:rFonts w:ascii="宋体" w:hAnsi="宋体" w:eastAsia="宋体" w:cs="宋体"/>
          <w:spacing w:val="-5"/>
          <w:sz w:val="21"/>
          <w:szCs w:val="21"/>
        </w:rPr>
        <w:t>安排以及出国</w:t>
      </w:r>
      <w:r>
        <w:rPr>
          <w:rFonts w:ascii="宋体" w:hAnsi="宋体" w:eastAsia="宋体" w:cs="宋体"/>
          <w:spacing w:val="-50"/>
          <w:sz w:val="21"/>
          <w:szCs w:val="21"/>
        </w:rPr>
        <w:t xml:space="preserve"> </w:t>
      </w:r>
      <w:r>
        <w:rPr>
          <w:rFonts w:ascii="宋体" w:hAnsi="宋体" w:eastAsia="宋体" w:cs="宋体"/>
          <w:spacing w:val="-5"/>
          <w:sz w:val="21"/>
          <w:szCs w:val="21"/>
        </w:rPr>
        <w:t>(境)、旅游等提供方便。</w:t>
      </w:r>
    </w:p>
    <w:p w14:paraId="50BF3D7F">
      <w:pPr>
        <w:spacing w:before="51" w:line="264" w:lineRule="auto"/>
        <w:ind w:left="24" w:firstLine="424"/>
        <w:rPr>
          <w:rFonts w:ascii="宋体" w:hAnsi="宋体" w:eastAsia="宋体" w:cs="宋体"/>
          <w:sz w:val="21"/>
          <w:szCs w:val="21"/>
        </w:rPr>
      </w:pPr>
      <w:r>
        <w:rPr>
          <w:rFonts w:ascii="宋体" w:hAnsi="宋体" w:eastAsia="宋体" w:cs="宋体"/>
          <w:spacing w:val="-1"/>
          <w:sz w:val="21"/>
          <w:szCs w:val="21"/>
        </w:rPr>
        <w:t>3.4</w:t>
      </w:r>
      <w:r>
        <w:rPr>
          <w:rFonts w:ascii="宋体" w:hAnsi="宋体" w:eastAsia="宋体" w:cs="宋体"/>
          <w:spacing w:val="-32"/>
          <w:sz w:val="21"/>
          <w:szCs w:val="21"/>
        </w:rPr>
        <w:t xml:space="preserve"> </w:t>
      </w:r>
      <w:r>
        <w:rPr>
          <w:rFonts w:ascii="宋体" w:hAnsi="宋体" w:eastAsia="宋体" w:cs="宋体"/>
          <w:spacing w:val="-1"/>
          <w:sz w:val="21"/>
          <w:szCs w:val="21"/>
        </w:rPr>
        <w:t>不得以任何理由为发包人、相关单位或个人组织有可能影响公正执行公务的宴请、</w:t>
      </w:r>
      <w:r>
        <w:rPr>
          <w:rFonts w:ascii="宋体" w:hAnsi="宋体" w:eastAsia="宋体" w:cs="宋体"/>
          <w:spacing w:val="-4"/>
          <w:sz w:val="21"/>
          <w:szCs w:val="21"/>
        </w:rPr>
        <w:t>健身、娱乐等活动。</w:t>
      </w:r>
    </w:p>
    <w:p w14:paraId="33812B4D">
      <w:pPr>
        <w:spacing w:line="218" w:lineRule="auto"/>
        <w:ind w:left="457"/>
        <w:rPr>
          <w:rFonts w:ascii="黑体" w:hAnsi="黑体" w:eastAsia="黑体" w:cs="黑体"/>
          <w:sz w:val="21"/>
          <w:szCs w:val="21"/>
        </w:rPr>
      </w:pPr>
      <w:r>
        <w:rPr>
          <w:rFonts w:ascii="黑体" w:hAnsi="黑体" w:eastAsia="黑体" w:cs="黑体"/>
          <w:spacing w:val="-3"/>
          <w:sz w:val="21"/>
          <w:szCs w:val="21"/>
        </w:rPr>
        <w:t>四、违约责任</w:t>
      </w:r>
    </w:p>
    <w:p w14:paraId="0F620B6A">
      <w:pPr>
        <w:spacing w:before="52" w:line="264" w:lineRule="auto"/>
        <w:ind w:left="23" w:right="2" w:firstLine="420"/>
        <w:rPr>
          <w:rFonts w:ascii="宋体" w:hAnsi="宋体" w:eastAsia="宋体" w:cs="宋体"/>
          <w:sz w:val="21"/>
          <w:szCs w:val="21"/>
        </w:rPr>
      </w:pPr>
      <w:r>
        <w:rPr>
          <w:rFonts w:ascii="宋体" w:hAnsi="宋体" w:eastAsia="宋体" w:cs="宋体"/>
          <w:spacing w:val="-1"/>
          <w:sz w:val="21"/>
          <w:szCs w:val="21"/>
        </w:rPr>
        <w:t>4.l</w:t>
      </w:r>
      <w:r>
        <w:rPr>
          <w:rFonts w:ascii="宋体" w:hAnsi="宋体" w:eastAsia="宋体" w:cs="宋体"/>
          <w:spacing w:val="-32"/>
          <w:sz w:val="21"/>
          <w:szCs w:val="21"/>
        </w:rPr>
        <w:t xml:space="preserve"> </w:t>
      </w:r>
      <w:r>
        <w:rPr>
          <w:rFonts w:ascii="宋体" w:hAnsi="宋体" w:eastAsia="宋体" w:cs="宋体"/>
          <w:spacing w:val="-1"/>
          <w:sz w:val="21"/>
          <w:szCs w:val="21"/>
        </w:rPr>
        <w:t>发包人工作人员有违反本责任书第一、二条责任</w:t>
      </w:r>
      <w:r>
        <w:rPr>
          <w:rFonts w:ascii="宋体" w:hAnsi="宋体" w:eastAsia="宋体" w:cs="宋体"/>
          <w:spacing w:val="-2"/>
          <w:sz w:val="21"/>
          <w:szCs w:val="21"/>
        </w:rPr>
        <w:t>行为的，依据有关法律、法规给予处理；涉嫌犯罪的，移交司法机关追究刑事责任；给承包人单位造成经济损失的，应予以赔</w:t>
      </w:r>
      <w:r>
        <w:rPr>
          <w:rFonts w:ascii="宋体" w:hAnsi="宋体" w:eastAsia="宋体" w:cs="宋体"/>
          <w:spacing w:val="-10"/>
          <w:sz w:val="21"/>
          <w:szCs w:val="21"/>
        </w:rPr>
        <w:t>偿。</w:t>
      </w:r>
    </w:p>
    <w:p w14:paraId="3773513B">
      <w:pPr>
        <w:spacing w:line="264" w:lineRule="auto"/>
        <w:ind w:left="25" w:right="19" w:firstLine="417"/>
        <w:rPr>
          <w:rFonts w:ascii="宋体" w:hAnsi="宋体" w:eastAsia="宋体" w:cs="宋体"/>
          <w:sz w:val="21"/>
          <w:szCs w:val="21"/>
        </w:rPr>
      </w:pPr>
      <w:r>
        <w:rPr>
          <w:rFonts w:ascii="宋体" w:hAnsi="宋体" w:eastAsia="宋体" w:cs="宋体"/>
          <w:spacing w:val="-1"/>
          <w:sz w:val="21"/>
          <w:szCs w:val="21"/>
        </w:rPr>
        <w:t>4.2</w:t>
      </w:r>
      <w:r>
        <w:rPr>
          <w:rFonts w:ascii="宋体" w:hAnsi="宋体" w:eastAsia="宋体" w:cs="宋体"/>
          <w:spacing w:val="-36"/>
          <w:sz w:val="21"/>
          <w:szCs w:val="21"/>
        </w:rPr>
        <w:t xml:space="preserve"> </w:t>
      </w:r>
      <w:r>
        <w:rPr>
          <w:rFonts w:ascii="宋体" w:hAnsi="宋体" w:eastAsia="宋体" w:cs="宋体"/>
          <w:spacing w:val="-1"/>
          <w:sz w:val="21"/>
          <w:szCs w:val="21"/>
        </w:rPr>
        <w:t>承包人工作人员有违反本责任书第一、三条责任行为的，依</w:t>
      </w:r>
      <w:r>
        <w:rPr>
          <w:rFonts w:ascii="宋体" w:hAnsi="宋体" w:eastAsia="宋体" w:cs="宋体"/>
          <w:spacing w:val="-2"/>
          <w:sz w:val="21"/>
          <w:szCs w:val="21"/>
        </w:rPr>
        <w:t>据有关法律法规处理；</w:t>
      </w:r>
      <w:r>
        <w:rPr>
          <w:rFonts w:ascii="宋体" w:hAnsi="宋体" w:eastAsia="宋体" w:cs="宋体"/>
          <w:spacing w:val="-1"/>
          <w:sz w:val="21"/>
          <w:szCs w:val="21"/>
        </w:rPr>
        <w:t>涉嫌犯罪的，移交司法机关追究刑事责任；给发包人单位造成经济损失的，应予以赔偿。</w:t>
      </w:r>
    </w:p>
    <w:p w14:paraId="26CE17D0">
      <w:pPr>
        <w:spacing w:before="2" w:line="263" w:lineRule="auto"/>
        <w:ind w:left="25" w:firstLine="418"/>
        <w:rPr>
          <w:rFonts w:ascii="宋体" w:hAnsi="宋体" w:eastAsia="宋体" w:cs="宋体"/>
          <w:sz w:val="21"/>
          <w:szCs w:val="21"/>
        </w:rPr>
      </w:pPr>
      <w:r>
        <w:rPr>
          <w:rFonts w:ascii="宋体" w:hAnsi="宋体" w:eastAsia="宋体" w:cs="宋体"/>
          <w:spacing w:val="-1"/>
          <w:sz w:val="21"/>
          <w:szCs w:val="21"/>
        </w:rPr>
        <w:t>4.3</w:t>
      </w:r>
      <w:r>
        <w:rPr>
          <w:rFonts w:ascii="宋体" w:hAnsi="宋体" w:eastAsia="宋体" w:cs="宋体"/>
          <w:spacing w:val="-27"/>
          <w:sz w:val="21"/>
          <w:szCs w:val="21"/>
        </w:rPr>
        <w:t xml:space="preserve"> </w:t>
      </w:r>
      <w:r>
        <w:rPr>
          <w:rFonts w:ascii="宋体" w:hAnsi="宋体" w:eastAsia="宋体" w:cs="宋体"/>
          <w:spacing w:val="-1"/>
          <w:sz w:val="21"/>
          <w:szCs w:val="21"/>
        </w:rPr>
        <w:t>本责任书作为建设工程合同的组成部分，与建设工程合同具有同等法律效力。经双</w:t>
      </w:r>
      <w:r>
        <w:rPr>
          <w:rFonts w:ascii="宋体" w:hAnsi="宋体" w:eastAsia="宋体" w:cs="宋体"/>
          <w:spacing w:val="-4"/>
          <w:sz w:val="21"/>
          <w:szCs w:val="21"/>
        </w:rPr>
        <w:t>方签署后立即生效。</w:t>
      </w:r>
    </w:p>
    <w:p w14:paraId="5B49312A">
      <w:pPr>
        <w:spacing w:line="218" w:lineRule="auto"/>
        <w:ind w:left="450"/>
        <w:rPr>
          <w:rFonts w:ascii="黑体" w:hAnsi="黑体" w:eastAsia="黑体" w:cs="黑体"/>
          <w:sz w:val="21"/>
          <w:szCs w:val="21"/>
        </w:rPr>
      </w:pPr>
      <w:r>
        <w:rPr>
          <w:rFonts w:ascii="黑体" w:hAnsi="黑体" w:eastAsia="黑体" w:cs="黑体"/>
          <w:spacing w:val="-2"/>
          <w:sz w:val="21"/>
          <w:szCs w:val="21"/>
        </w:rPr>
        <w:t>五、责任书有效期</w:t>
      </w:r>
    </w:p>
    <w:p w14:paraId="21EFA1DA">
      <w:pPr>
        <w:spacing w:before="52" w:line="219" w:lineRule="auto"/>
        <w:ind w:left="445"/>
        <w:rPr>
          <w:rFonts w:ascii="宋体" w:hAnsi="宋体" w:eastAsia="宋体" w:cs="宋体"/>
          <w:sz w:val="21"/>
          <w:szCs w:val="21"/>
        </w:rPr>
      </w:pPr>
      <w:r>
        <w:rPr>
          <w:rFonts w:ascii="宋体" w:hAnsi="宋体" w:eastAsia="宋体" w:cs="宋体"/>
          <w:spacing w:val="-1"/>
          <w:sz w:val="21"/>
          <w:szCs w:val="21"/>
        </w:rPr>
        <w:t>本责任书的有效期为双方签署之日起至该工程项目竣工验收合格时止。</w:t>
      </w:r>
    </w:p>
    <w:p w14:paraId="500A4643">
      <w:pPr>
        <w:spacing w:before="51" w:line="218" w:lineRule="auto"/>
        <w:ind w:left="451"/>
        <w:rPr>
          <w:rFonts w:ascii="黑体" w:hAnsi="黑体" w:eastAsia="黑体" w:cs="黑体"/>
          <w:sz w:val="21"/>
          <w:szCs w:val="21"/>
        </w:rPr>
      </w:pPr>
      <w:r>
        <w:rPr>
          <w:rFonts w:ascii="黑体" w:hAnsi="黑体" w:eastAsia="黑体" w:cs="黑体"/>
          <w:spacing w:val="-2"/>
          <w:sz w:val="21"/>
          <w:szCs w:val="21"/>
        </w:rPr>
        <w:t>六、责任书份数</w:t>
      </w:r>
    </w:p>
    <w:p w14:paraId="1FB84819">
      <w:pPr>
        <w:spacing w:before="52" w:line="219" w:lineRule="auto"/>
        <w:ind w:left="445"/>
        <w:rPr>
          <w:rFonts w:ascii="宋体" w:hAnsi="宋体" w:eastAsia="宋体" w:cs="宋体"/>
          <w:sz w:val="21"/>
          <w:szCs w:val="21"/>
        </w:rPr>
      </w:pPr>
      <w:r>
        <w:rPr>
          <w:rFonts w:ascii="宋体" w:hAnsi="宋体" w:eastAsia="宋体" w:cs="宋体"/>
          <w:spacing w:val="-1"/>
          <w:sz w:val="21"/>
          <w:szCs w:val="21"/>
        </w:rPr>
        <w:t>本责任书一式二份，发包人承包人各执一份，具有同等效</w:t>
      </w:r>
      <w:r>
        <w:rPr>
          <w:rFonts w:ascii="宋体" w:hAnsi="宋体" w:eastAsia="宋体" w:cs="宋体"/>
          <w:spacing w:val="-2"/>
          <w:sz w:val="21"/>
          <w:szCs w:val="21"/>
        </w:rPr>
        <w:t>力。</w:t>
      </w:r>
    </w:p>
    <w:p w14:paraId="02652A34">
      <w:pPr>
        <w:pStyle w:val="2"/>
        <w:spacing w:line="317" w:lineRule="auto"/>
      </w:pPr>
    </w:p>
    <w:p w14:paraId="6C42724D">
      <w:pPr>
        <w:pStyle w:val="2"/>
        <w:spacing w:line="317" w:lineRule="auto"/>
      </w:pPr>
    </w:p>
    <w:p w14:paraId="04C3B0C7">
      <w:pPr>
        <w:pStyle w:val="2"/>
        <w:spacing w:line="318" w:lineRule="auto"/>
      </w:pPr>
    </w:p>
    <w:p w14:paraId="5D5563E0">
      <w:pPr>
        <w:spacing w:before="68" w:line="219" w:lineRule="auto"/>
        <w:ind w:left="448"/>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5"/>
          <w:sz w:val="21"/>
          <w:szCs w:val="21"/>
        </w:rPr>
        <w:t>(公章)    承包人：</w:t>
      </w:r>
      <w:r>
        <w:rPr>
          <w:rFonts w:ascii="宋体" w:hAnsi="宋体" w:eastAsia="宋体" w:cs="宋体"/>
          <w:spacing w:val="-5"/>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5"/>
          <w:sz w:val="21"/>
          <w:szCs w:val="21"/>
        </w:rPr>
        <w:t>(公章)</w:t>
      </w:r>
    </w:p>
    <w:p w14:paraId="05FB34D9">
      <w:pPr>
        <w:spacing w:before="67" w:line="220" w:lineRule="auto"/>
        <w:ind w:left="445"/>
        <w:rPr>
          <w:rFonts w:ascii="宋体" w:hAnsi="宋体" w:eastAsia="宋体" w:cs="宋体"/>
          <w:sz w:val="21"/>
          <w:szCs w:val="21"/>
        </w:rPr>
      </w:pPr>
      <w:r>
        <w:rPr>
          <w:rFonts w:ascii="宋体" w:hAnsi="宋体" w:eastAsia="宋体" w:cs="宋体"/>
          <w:spacing w:val="-2"/>
          <w:sz w:val="21"/>
          <w:szCs w:val="21"/>
        </w:rPr>
        <w:t>法定地址：</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法定地址：</w:t>
      </w:r>
      <w:r>
        <w:rPr>
          <w:rFonts w:ascii="宋体" w:hAnsi="宋体" w:eastAsia="宋体" w:cs="宋体"/>
          <w:spacing w:val="-2"/>
          <w:sz w:val="21"/>
          <w:szCs w:val="21"/>
          <w:u w:val="single" w:color="auto"/>
        </w:rPr>
        <w:t xml:space="preserve">                    </w:t>
      </w:r>
    </w:p>
    <w:p w14:paraId="4FB0232F">
      <w:pPr>
        <w:spacing w:before="79" w:line="220" w:lineRule="auto"/>
        <w:ind w:left="445"/>
        <w:rPr>
          <w:rFonts w:ascii="宋体" w:hAnsi="宋体" w:eastAsia="宋体" w:cs="宋体"/>
          <w:sz w:val="21"/>
          <w:szCs w:val="21"/>
        </w:rPr>
      </w:pPr>
      <w:r>
        <w:rPr>
          <w:rFonts w:ascii="宋体" w:hAnsi="宋体" w:eastAsia="宋体" w:cs="宋体"/>
          <w:sz w:val="21"/>
          <w:szCs w:val="21"/>
        </w:rPr>
        <w:t>法定代表人或其                         法定代表人</w:t>
      </w:r>
      <w:r>
        <w:rPr>
          <w:rFonts w:ascii="宋体" w:hAnsi="宋体" w:eastAsia="宋体" w:cs="宋体"/>
          <w:spacing w:val="-1"/>
          <w:sz w:val="21"/>
          <w:szCs w:val="21"/>
        </w:rPr>
        <w:t>或其</w:t>
      </w:r>
    </w:p>
    <w:p w14:paraId="083B1FBE">
      <w:pPr>
        <w:spacing w:before="65" w:line="220" w:lineRule="auto"/>
        <w:ind w:left="443"/>
        <w:rPr>
          <w:rFonts w:ascii="宋体" w:hAnsi="宋体" w:eastAsia="宋体" w:cs="宋体"/>
          <w:sz w:val="21"/>
          <w:szCs w:val="21"/>
        </w:rPr>
      </w:pPr>
      <w:r>
        <w:rPr>
          <w:rFonts w:ascii="宋体" w:hAnsi="宋体" w:eastAsia="宋体" w:cs="宋体"/>
          <w:spacing w:val="-3"/>
          <w:sz w:val="21"/>
          <w:szCs w:val="21"/>
        </w:rPr>
        <w:t>委托代理人：</w:t>
      </w:r>
      <w:r>
        <w:rPr>
          <w:rFonts w:ascii="宋体" w:hAnsi="宋体" w:eastAsia="宋体" w:cs="宋体"/>
          <w:spacing w:val="-3"/>
          <w:sz w:val="21"/>
          <w:szCs w:val="21"/>
          <w:u w:val="single" w:color="auto"/>
        </w:rPr>
        <w:t xml:space="preserve">                 </w:t>
      </w:r>
      <w:r>
        <w:rPr>
          <w:rFonts w:ascii="宋体" w:hAnsi="宋体" w:eastAsia="宋体" w:cs="宋体"/>
          <w:spacing w:val="-48"/>
          <w:sz w:val="21"/>
          <w:szCs w:val="21"/>
        </w:rPr>
        <w:t xml:space="preserve"> </w:t>
      </w:r>
      <w:r>
        <w:rPr>
          <w:rFonts w:ascii="宋体" w:hAnsi="宋体" w:eastAsia="宋体" w:cs="宋体"/>
          <w:spacing w:val="-3"/>
          <w:sz w:val="21"/>
          <w:szCs w:val="21"/>
        </w:rPr>
        <w:t>(签字)</w:t>
      </w:r>
      <w:r>
        <w:rPr>
          <w:rFonts w:ascii="宋体" w:hAnsi="宋体" w:eastAsia="宋体" w:cs="宋体"/>
          <w:spacing w:val="2"/>
          <w:sz w:val="21"/>
          <w:szCs w:val="21"/>
        </w:rPr>
        <w:t xml:space="preserve">    </w:t>
      </w:r>
      <w:r>
        <w:rPr>
          <w:rFonts w:ascii="宋体" w:hAnsi="宋体" w:eastAsia="宋体" w:cs="宋体"/>
          <w:spacing w:val="-3"/>
          <w:sz w:val="21"/>
          <w:szCs w:val="21"/>
        </w:rPr>
        <w:t>委托代理人：</w:t>
      </w:r>
      <w:r>
        <w:rPr>
          <w:rFonts w:ascii="宋体" w:hAnsi="宋体" w:eastAsia="宋体" w:cs="宋体"/>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3"/>
          <w:sz w:val="21"/>
          <w:szCs w:val="21"/>
        </w:rPr>
        <w:t>(签字)</w:t>
      </w:r>
    </w:p>
    <w:p w14:paraId="34F22D2C">
      <w:pPr>
        <w:spacing w:before="65" w:line="222" w:lineRule="auto"/>
        <w:ind w:left="469"/>
        <w:rPr>
          <w:rFonts w:ascii="宋体" w:hAnsi="宋体" w:eastAsia="宋体" w:cs="宋体"/>
          <w:sz w:val="21"/>
          <w:szCs w:val="21"/>
        </w:rPr>
      </w:pPr>
      <w:r>
        <w:rPr>
          <w:rFonts w:ascii="宋体" w:hAnsi="宋体" w:eastAsia="宋体" w:cs="宋体"/>
          <w:spacing w:val="-6"/>
          <w:sz w:val="21"/>
          <w:szCs w:val="21"/>
        </w:rPr>
        <w:t>电话：</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 xml:space="preserve">           电话：</w:t>
      </w:r>
      <w:r>
        <w:rPr>
          <w:rFonts w:ascii="宋体" w:hAnsi="宋体" w:eastAsia="宋体" w:cs="宋体"/>
          <w:sz w:val="21"/>
          <w:szCs w:val="21"/>
          <w:u w:val="single" w:color="auto"/>
        </w:rPr>
        <w:t xml:space="preserve">                        </w:t>
      </w:r>
    </w:p>
    <w:p w14:paraId="45039B58">
      <w:pPr>
        <w:spacing w:before="79" w:line="219" w:lineRule="auto"/>
        <w:ind w:left="443"/>
        <w:rPr>
          <w:rFonts w:ascii="宋体" w:hAnsi="宋体" w:eastAsia="宋体" w:cs="宋体"/>
          <w:sz w:val="21"/>
          <w:szCs w:val="21"/>
        </w:rPr>
      </w:pPr>
      <w:r>
        <w:rPr>
          <w:rFonts w:ascii="宋体" w:hAnsi="宋体" w:eastAsia="宋体" w:cs="宋体"/>
          <w:spacing w:val="-1"/>
          <w:sz w:val="21"/>
          <w:szCs w:val="21"/>
        </w:rPr>
        <w:t>传真：</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传真：</w:t>
      </w:r>
      <w:r>
        <w:rPr>
          <w:rFonts w:ascii="宋体" w:hAnsi="宋体" w:eastAsia="宋体" w:cs="宋体"/>
          <w:spacing w:val="-2"/>
          <w:sz w:val="21"/>
          <w:szCs w:val="21"/>
          <w:u w:val="single" w:color="auto"/>
        </w:rPr>
        <w:t xml:space="preserve">                        </w:t>
      </w:r>
    </w:p>
    <w:p w14:paraId="4941A31D">
      <w:pPr>
        <w:spacing w:before="66" w:line="220" w:lineRule="auto"/>
        <w:ind w:left="469"/>
        <w:rPr>
          <w:rFonts w:ascii="宋体" w:hAnsi="宋体" w:eastAsia="宋体" w:cs="宋体"/>
          <w:sz w:val="21"/>
          <w:szCs w:val="21"/>
        </w:rPr>
      </w:pP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7"/>
          <w:sz w:val="21"/>
          <w:szCs w:val="21"/>
        </w:rPr>
        <w:t>电子邮箱：</w:t>
      </w:r>
      <w:r>
        <w:rPr>
          <w:rFonts w:ascii="宋体" w:hAnsi="宋体" w:eastAsia="宋体" w:cs="宋体"/>
          <w:sz w:val="21"/>
          <w:szCs w:val="21"/>
          <w:u w:val="single" w:color="auto"/>
        </w:rPr>
        <w:t xml:space="preserve">                    </w:t>
      </w:r>
    </w:p>
    <w:p w14:paraId="36BEA8EC">
      <w:pPr>
        <w:spacing w:before="65" w:line="220" w:lineRule="auto"/>
        <w:ind w:left="445"/>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76DF980D">
      <w:pPr>
        <w:spacing w:before="80" w:line="220" w:lineRule="auto"/>
        <w:ind w:left="452"/>
        <w:rPr>
          <w:rFonts w:ascii="宋体" w:hAnsi="宋体" w:eastAsia="宋体" w:cs="宋体"/>
          <w:sz w:val="21"/>
          <w:szCs w:val="21"/>
        </w:rPr>
      </w:pPr>
      <w:r>
        <w:rPr>
          <w:rFonts w:ascii="宋体" w:hAnsi="宋体" w:eastAsia="宋体" w:cs="宋体"/>
          <w:spacing w:val="-6"/>
          <w:sz w:val="21"/>
          <w:szCs w:val="21"/>
        </w:rPr>
        <w:t>帐号：</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6"/>
          <w:sz w:val="21"/>
          <w:szCs w:val="21"/>
        </w:rPr>
        <w:t>帐号：</w:t>
      </w:r>
      <w:r>
        <w:rPr>
          <w:rFonts w:ascii="宋体" w:hAnsi="宋体" w:eastAsia="宋体" w:cs="宋体"/>
          <w:sz w:val="21"/>
          <w:szCs w:val="21"/>
          <w:u w:val="single" w:color="auto"/>
        </w:rPr>
        <w:t xml:space="preserve">                        </w:t>
      </w:r>
    </w:p>
    <w:p w14:paraId="7FA33627">
      <w:pPr>
        <w:spacing w:before="64" w:line="220" w:lineRule="auto"/>
        <w:ind w:left="460"/>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657F096F">
      <w:pPr>
        <w:spacing w:line="220" w:lineRule="auto"/>
        <w:rPr>
          <w:rFonts w:ascii="宋体" w:hAnsi="宋体" w:eastAsia="宋体" w:cs="宋体"/>
          <w:sz w:val="21"/>
          <w:szCs w:val="21"/>
        </w:rPr>
        <w:sectPr>
          <w:footerReference r:id="rId145" w:type="default"/>
          <w:pgSz w:w="11910" w:h="16845"/>
          <w:pgMar w:top="400" w:right="1763" w:bottom="1110" w:left="1786" w:header="0" w:footer="883" w:gutter="0"/>
          <w:cols w:space="720" w:num="1"/>
        </w:sectPr>
      </w:pPr>
    </w:p>
    <w:p w14:paraId="057F8428">
      <w:pPr>
        <w:pStyle w:val="2"/>
        <w:spacing w:line="247" w:lineRule="auto"/>
      </w:pPr>
    </w:p>
    <w:p w14:paraId="1B47F5E9">
      <w:pPr>
        <w:pStyle w:val="2"/>
        <w:spacing w:line="247" w:lineRule="auto"/>
      </w:pPr>
    </w:p>
    <w:p w14:paraId="2E64C625">
      <w:pPr>
        <w:pStyle w:val="2"/>
        <w:spacing w:line="247" w:lineRule="auto"/>
      </w:pPr>
    </w:p>
    <w:p w14:paraId="3EA519C4">
      <w:pPr>
        <w:pStyle w:val="2"/>
        <w:spacing w:line="247" w:lineRule="auto"/>
      </w:pPr>
    </w:p>
    <w:p w14:paraId="1A3D5CBC">
      <w:pPr>
        <w:pStyle w:val="2"/>
        <w:spacing w:line="247" w:lineRule="auto"/>
      </w:pPr>
    </w:p>
    <w:p w14:paraId="0B468FF7">
      <w:pPr>
        <w:pStyle w:val="2"/>
        <w:spacing w:line="248" w:lineRule="auto"/>
      </w:pPr>
    </w:p>
    <w:p w14:paraId="6A8185AB">
      <w:pPr>
        <w:pStyle w:val="2"/>
        <w:spacing w:line="248" w:lineRule="auto"/>
      </w:pPr>
    </w:p>
    <w:p w14:paraId="57F84E6D">
      <w:pPr>
        <w:pStyle w:val="2"/>
        <w:spacing w:line="248" w:lineRule="auto"/>
      </w:pPr>
    </w:p>
    <w:p w14:paraId="7FEDA9EB">
      <w:pPr>
        <w:pStyle w:val="2"/>
        <w:spacing w:line="248" w:lineRule="auto"/>
      </w:pPr>
    </w:p>
    <w:p w14:paraId="558AE219">
      <w:pPr>
        <w:pStyle w:val="2"/>
        <w:spacing w:line="248" w:lineRule="auto"/>
      </w:pPr>
    </w:p>
    <w:p w14:paraId="063F01AA">
      <w:pPr>
        <w:pStyle w:val="2"/>
        <w:spacing w:line="248" w:lineRule="auto"/>
      </w:pPr>
    </w:p>
    <w:p w14:paraId="71D5C397">
      <w:pPr>
        <w:pStyle w:val="2"/>
        <w:spacing w:line="248" w:lineRule="auto"/>
      </w:pPr>
    </w:p>
    <w:p w14:paraId="4718EC4B">
      <w:pPr>
        <w:pStyle w:val="2"/>
        <w:spacing w:line="248" w:lineRule="auto"/>
      </w:pPr>
    </w:p>
    <w:p w14:paraId="796D46E9">
      <w:pPr>
        <w:pStyle w:val="2"/>
        <w:spacing w:line="248" w:lineRule="auto"/>
      </w:pPr>
    </w:p>
    <w:p w14:paraId="68A58718">
      <w:pPr>
        <w:pStyle w:val="2"/>
        <w:spacing w:line="248" w:lineRule="auto"/>
      </w:pPr>
    </w:p>
    <w:p w14:paraId="74C354B2">
      <w:pPr>
        <w:pStyle w:val="2"/>
        <w:spacing w:line="248" w:lineRule="auto"/>
      </w:pPr>
    </w:p>
    <w:p w14:paraId="18A7390B">
      <w:pPr>
        <w:spacing w:before="101" w:line="222" w:lineRule="auto"/>
        <w:ind w:left="2401"/>
        <w:outlineLvl w:val="0"/>
        <w:rPr>
          <w:rFonts w:ascii="黑体" w:hAnsi="黑体" w:eastAsia="黑体" w:cs="黑体"/>
          <w:sz w:val="31"/>
          <w:szCs w:val="31"/>
        </w:rPr>
      </w:pPr>
      <w:bookmarkStart w:id="338" w:name="bookmark292"/>
      <w:bookmarkEnd w:id="338"/>
      <w:r>
        <w:rPr>
          <w:rFonts w:ascii="黑体" w:hAnsi="黑体" w:eastAsia="黑体" w:cs="黑体"/>
          <w:spacing w:val="11"/>
          <w:sz w:val="31"/>
          <w:szCs w:val="31"/>
        </w:rPr>
        <w:t>第四章  合同条款及格式</w:t>
      </w:r>
    </w:p>
    <w:p w14:paraId="77508305">
      <w:pPr>
        <w:pStyle w:val="2"/>
        <w:spacing w:line="241" w:lineRule="auto"/>
      </w:pPr>
    </w:p>
    <w:p w14:paraId="0362083C">
      <w:pPr>
        <w:pStyle w:val="2"/>
        <w:spacing w:line="241" w:lineRule="auto"/>
      </w:pPr>
    </w:p>
    <w:p w14:paraId="1A332A2D">
      <w:pPr>
        <w:pStyle w:val="2"/>
        <w:spacing w:line="241" w:lineRule="auto"/>
      </w:pPr>
    </w:p>
    <w:p w14:paraId="573DF8F9">
      <w:pPr>
        <w:pStyle w:val="2"/>
        <w:spacing w:line="241" w:lineRule="auto"/>
      </w:pPr>
    </w:p>
    <w:p w14:paraId="3A12C857">
      <w:pPr>
        <w:pStyle w:val="2"/>
        <w:spacing w:line="241" w:lineRule="auto"/>
      </w:pPr>
    </w:p>
    <w:p w14:paraId="7120D86C">
      <w:pPr>
        <w:pStyle w:val="2"/>
        <w:spacing w:line="241" w:lineRule="auto"/>
      </w:pPr>
    </w:p>
    <w:p w14:paraId="3DBE31F3">
      <w:pPr>
        <w:pStyle w:val="2"/>
        <w:spacing w:line="241" w:lineRule="auto"/>
      </w:pPr>
    </w:p>
    <w:p w14:paraId="74622AD4">
      <w:pPr>
        <w:pStyle w:val="2"/>
        <w:spacing w:line="241" w:lineRule="auto"/>
      </w:pPr>
    </w:p>
    <w:p w14:paraId="3904C439">
      <w:pPr>
        <w:pStyle w:val="2"/>
        <w:spacing w:line="241" w:lineRule="auto"/>
      </w:pPr>
    </w:p>
    <w:p w14:paraId="4A065A28">
      <w:pPr>
        <w:pStyle w:val="2"/>
        <w:spacing w:line="241" w:lineRule="auto"/>
      </w:pPr>
    </w:p>
    <w:p w14:paraId="646045E9">
      <w:pPr>
        <w:pStyle w:val="2"/>
        <w:spacing w:line="241" w:lineRule="auto"/>
      </w:pPr>
    </w:p>
    <w:p w14:paraId="26186D91">
      <w:pPr>
        <w:pStyle w:val="2"/>
        <w:spacing w:line="241" w:lineRule="auto"/>
      </w:pPr>
    </w:p>
    <w:p w14:paraId="62623B66">
      <w:pPr>
        <w:pStyle w:val="2"/>
        <w:spacing w:line="241" w:lineRule="auto"/>
      </w:pPr>
    </w:p>
    <w:p w14:paraId="05640555">
      <w:pPr>
        <w:pStyle w:val="2"/>
        <w:spacing w:line="241" w:lineRule="auto"/>
      </w:pPr>
    </w:p>
    <w:p w14:paraId="4002D51A">
      <w:pPr>
        <w:pStyle w:val="2"/>
        <w:spacing w:line="241" w:lineRule="auto"/>
      </w:pPr>
    </w:p>
    <w:p w14:paraId="6BF17CB7">
      <w:pPr>
        <w:pStyle w:val="2"/>
        <w:spacing w:line="241" w:lineRule="auto"/>
      </w:pPr>
    </w:p>
    <w:p w14:paraId="3FD92C85">
      <w:pPr>
        <w:pStyle w:val="2"/>
        <w:spacing w:line="241" w:lineRule="auto"/>
      </w:pPr>
    </w:p>
    <w:p w14:paraId="158316A7">
      <w:pPr>
        <w:pStyle w:val="2"/>
        <w:spacing w:line="241" w:lineRule="auto"/>
      </w:pPr>
    </w:p>
    <w:p w14:paraId="26A45DC4">
      <w:pPr>
        <w:pStyle w:val="2"/>
        <w:spacing w:line="241" w:lineRule="auto"/>
      </w:pPr>
    </w:p>
    <w:p w14:paraId="63F197CD">
      <w:pPr>
        <w:pStyle w:val="2"/>
        <w:spacing w:line="241" w:lineRule="auto"/>
      </w:pPr>
    </w:p>
    <w:p w14:paraId="74F8D056">
      <w:pPr>
        <w:pStyle w:val="2"/>
        <w:spacing w:line="241" w:lineRule="auto"/>
      </w:pPr>
    </w:p>
    <w:p w14:paraId="2FDC5F38">
      <w:pPr>
        <w:pStyle w:val="2"/>
        <w:spacing w:line="241" w:lineRule="auto"/>
      </w:pPr>
    </w:p>
    <w:p w14:paraId="4C659845">
      <w:pPr>
        <w:pStyle w:val="2"/>
        <w:spacing w:line="241" w:lineRule="auto"/>
      </w:pPr>
    </w:p>
    <w:p w14:paraId="2861E01D">
      <w:pPr>
        <w:pStyle w:val="2"/>
        <w:spacing w:line="241" w:lineRule="auto"/>
      </w:pPr>
    </w:p>
    <w:p w14:paraId="0181A9BC">
      <w:pPr>
        <w:pStyle w:val="2"/>
        <w:spacing w:line="242" w:lineRule="auto"/>
      </w:pPr>
    </w:p>
    <w:p w14:paraId="73DC3957">
      <w:pPr>
        <w:pStyle w:val="2"/>
        <w:spacing w:line="242" w:lineRule="auto"/>
      </w:pPr>
    </w:p>
    <w:p w14:paraId="17C9C19F">
      <w:pPr>
        <w:pStyle w:val="2"/>
        <w:spacing w:line="242" w:lineRule="auto"/>
      </w:pPr>
    </w:p>
    <w:p w14:paraId="47C2EBF6">
      <w:pPr>
        <w:pStyle w:val="2"/>
        <w:spacing w:line="242" w:lineRule="auto"/>
      </w:pPr>
    </w:p>
    <w:p w14:paraId="3CF89C4C">
      <w:pPr>
        <w:pStyle w:val="2"/>
        <w:spacing w:line="242" w:lineRule="auto"/>
      </w:pPr>
    </w:p>
    <w:p w14:paraId="7516BAA9">
      <w:pPr>
        <w:pStyle w:val="2"/>
        <w:spacing w:line="242" w:lineRule="auto"/>
      </w:pPr>
    </w:p>
    <w:p w14:paraId="63366669">
      <w:pPr>
        <w:pStyle w:val="2"/>
        <w:spacing w:line="242" w:lineRule="auto"/>
      </w:pPr>
    </w:p>
    <w:p w14:paraId="567C917F">
      <w:pPr>
        <w:pStyle w:val="2"/>
        <w:spacing w:line="242" w:lineRule="auto"/>
      </w:pPr>
    </w:p>
    <w:p w14:paraId="36C8D90E">
      <w:pPr>
        <w:pStyle w:val="2"/>
        <w:spacing w:line="242" w:lineRule="auto"/>
      </w:pPr>
    </w:p>
    <w:p w14:paraId="06A47A9A">
      <w:pPr>
        <w:spacing w:before="68" w:line="233" w:lineRule="auto"/>
        <w:jc w:val="right"/>
        <w:rPr>
          <w:rFonts w:ascii="宋体" w:hAnsi="宋体" w:eastAsia="宋体" w:cs="宋体"/>
          <w:sz w:val="21"/>
          <w:szCs w:val="21"/>
        </w:rPr>
      </w:pPr>
      <w:r>
        <w:rPr>
          <w:rFonts w:ascii="宋体" w:hAnsi="宋体" w:eastAsia="宋体" w:cs="宋体"/>
          <w:spacing w:val="-5"/>
          <w:sz w:val="21"/>
          <w:szCs w:val="21"/>
        </w:rPr>
        <w:t>备注：</w:t>
      </w:r>
      <w:r>
        <w:rPr>
          <w:rFonts w:ascii="Times New Roman" w:hAnsi="Times New Roman" w:eastAsia="Times New Roman" w:cs="Times New Roman"/>
          <w:spacing w:val="-5"/>
          <w:sz w:val="21"/>
          <w:szCs w:val="21"/>
        </w:rPr>
        <w:t xml:space="preserve">1.  </w:t>
      </w:r>
      <w:r>
        <w:rPr>
          <w:rFonts w:ascii="宋体" w:hAnsi="宋体" w:eastAsia="宋体" w:cs="宋体"/>
          <w:spacing w:val="-5"/>
          <w:sz w:val="21"/>
          <w:szCs w:val="21"/>
        </w:rPr>
        <w:t>本合同条款及格式采用</w:t>
      </w:r>
      <w:r>
        <w:rPr>
          <w:rFonts w:ascii="宋体" w:hAnsi="宋体" w:eastAsia="宋体" w:cs="宋体"/>
          <w:spacing w:val="-57"/>
          <w:sz w:val="21"/>
          <w:szCs w:val="21"/>
        </w:rPr>
        <w:t xml:space="preserve"> </w:t>
      </w:r>
      <w:r>
        <w:rPr>
          <w:rFonts w:ascii="Times New Roman" w:hAnsi="Times New Roman" w:eastAsia="Times New Roman" w:cs="Times New Roman"/>
          <w:spacing w:val="-5"/>
          <w:sz w:val="21"/>
          <w:szCs w:val="21"/>
        </w:rPr>
        <w:t xml:space="preserve">2017 </w:t>
      </w:r>
      <w:r>
        <w:rPr>
          <w:rFonts w:ascii="宋体" w:hAnsi="宋体" w:eastAsia="宋体" w:cs="宋体"/>
          <w:spacing w:val="-5"/>
          <w:sz w:val="21"/>
          <w:szCs w:val="21"/>
        </w:rPr>
        <w:t>年</w:t>
      </w:r>
      <w:r>
        <w:rPr>
          <w:rFonts w:ascii="宋体" w:hAnsi="宋体" w:eastAsia="宋体" w:cs="宋体"/>
          <w:spacing w:val="-52"/>
          <w:sz w:val="21"/>
          <w:szCs w:val="21"/>
        </w:rPr>
        <w:t xml:space="preserve"> </w:t>
      </w:r>
      <w:r>
        <w:rPr>
          <w:rFonts w:ascii="Times New Roman" w:hAnsi="Times New Roman" w:eastAsia="Times New Roman" w:cs="Times New Roman"/>
          <w:spacing w:val="-5"/>
          <w:sz w:val="21"/>
          <w:szCs w:val="21"/>
        </w:rPr>
        <w:t xml:space="preserve">9 </w:t>
      </w:r>
      <w:r>
        <w:rPr>
          <w:rFonts w:ascii="宋体" w:hAnsi="宋体" w:eastAsia="宋体" w:cs="宋体"/>
          <w:spacing w:val="-5"/>
          <w:sz w:val="21"/>
          <w:szCs w:val="21"/>
        </w:rPr>
        <w:t>月</w:t>
      </w:r>
      <w:r>
        <w:rPr>
          <w:rFonts w:ascii="Times New Roman" w:hAnsi="Times New Roman" w:eastAsia="Times New Roman" w:cs="Times New Roman"/>
          <w:spacing w:val="-5"/>
          <w:sz w:val="21"/>
          <w:szCs w:val="21"/>
        </w:rPr>
        <w:t xml:space="preserve">22  </w:t>
      </w:r>
      <w:r>
        <w:rPr>
          <w:rFonts w:ascii="宋体" w:hAnsi="宋体" w:eastAsia="宋体" w:cs="宋体"/>
          <w:spacing w:val="-5"/>
          <w:sz w:val="21"/>
          <w:szCs w:val="21"/>
        </w:rPr>
        <w:t>日住房城乡建设部、工商总局以建市〔</w:t>
      </w:r>
      <w:r>
        <w:rPr>
          <w:rFonts w:ascii="Times New Roman" w:hAnsi="Times New Roman" w:eastAsia="Times New Roman" w:cs="Times New Roman"/>
          <w:spacing w:val="-6"/>
          <w:sz w:val="21"/>
          <w:szCs w:val="21"/>
        </w:rPr>
        <w:t>2017</w:t>
      </w:r>
      <w:r>
        <w:rPr>
          <w:rFonts w:ascii="宋体" w:hAnsi="宋体" w:eastAsia="宋体" w:cs="宋体"/>
          <w:spacing w:val="-6"/>
          <w:sz w:val="21"/>
          <w:szCs w:val="21"/>
        </w:rPr>
        <w:t>〕</w:t>
      </w:r>
    </w:p>
    <w:p w14:paraId="43BDCD97">
      <w:pPr>
        <w:spacing w:before="49" w:line="233" w:lineRule="auto"/>
        <w:ind w:left="966"/>
        <w:rPr>
          <w:rFonts w:ascii="宋体" w:hAnsi="宋体" w:eastAsia="宋体" w:cs="宋体"/>
          <w:sz w:val="21"/>
          <w:szCs w:val="21"/>
        </w:rPr>
      </w:pPr>
      <w:r>
        <w:rPr>
          <w:rFonts w:ascii="Times New Roman" w:hAnsi="Times New Roman" w:eastAsia="Times New Roman" w:cs="Times New Roman"/>
          <w:spacing w:val="-6"/>
          <w:sz w:val="21"/>
          <w:szCs w:val="21"/>
        </w:rPr>
        <w:t>214</w:t>
      </w:r>
      <w:r>
        <w:rPr>
          <w:rFonts w:ascii="Times New Roman" w:hAnsi="Times New Roman" w:eastAsia="Times New Roman" w:cs="Times New Roman"/>
          <w:spacing w:val="39"/>
          <w:sz w:val="21"/>
          <w:szCs w:val="21"/>
        </w:rPr>
        <w:t xml:space="preserve"> </w:t>
      </w:r>
      <w:r>
        <w:rPr>
          <w:rFonts w:ascii="宋体" w:hAnsi="宋体" w:eastAsia="宋体" w:cs="宋体"/>
          <w:spacing w:val="-6"/>
          <w:sz w:val="21"/>
          <w:szCs w:val="21"/>
        </w:rPr>
        <w:t>号文发布的《建设工程施工合同（示范文本）》（</w:t>
      </w:r>
      <w:r>
        <w:rPr>
          <w:rFonts w:ascii="Times New Roman" w:hAnsi="Times New Roman" w:eastAsia="Times New Roman" w:cs="Times New Roman"/>
          <w:spacing w:val="-6"/>
          <w:sz w:val="21"/>
          <w:szCs w:val="21"/>
        </w:rPr>
        <w:t>GF-2017-0201</w:t>
      </w:r>
      <w:r>
        <w:rPr>
          <w:rFonts w:ascii="宋体" w:hAnsi="宋体" w:eastAsia="宋体" w:cs="宋体"/>
          <w:spacing w:val="-6"/>
          <w:sz w:val="21"/>
          <w:szCs w:val="21"/>
        </w:rPr>
        <w:t>）</w:t>
      </w:r>
    </w:p>
    <w:p w14:paraId="1976474B">
      <w:pPr>
        <w:spacing w:before="50" w:line="284" w:lineRule="auto"/>
        <w:ind w:left="975" w:right="2" w:hanging="219"/>
        <w:rPr>
          <w:rFonts w:ascii="宋体" w:hAnsi="宋体" w:eastAsia="宋体" w:cs="宋体"/>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根据《省人民政府办公厅关于印发持续</w:t>
      </w:r>
      <w:r>
        <w:rPr>
          <w:rFonts w:ascii="宋体" w:hAnsi="宋体" w:eastAsia="宋体" w:cs="宋体"/>
          <w:sz w:val="21"/>
          <w:szCs w:val="21"/>
        </w:rPr>
        <w:t>深化一流营商环境建设若干措施的通知》</w:t>
      </w:r>
      <w:r>
        <w:rPr>
          <w:rFonts w:ascii="宋体" w:hAnsi="宋体" w:eastAsia="宋体" w:cs="宋体"/>
          <w:spacing w:val="1"/>
          <w:sz w:val="21"/>
          <w:szCs w:val="21"/>
        </w:rPr>
        <w:t xml:space="preserve"> </w:t>
      </w:r>
      <w:r>
        <w:rPr>
          <w:rFonts w:ascii="宋体" w:hAnsi="宋体" w:eastAsia="宋体" w:cs="宋体"/>
          <w:sz w:val="21"/>
          <w:szCs w:val="21"/>
        </w:rPr>
        <w:t>（鄂政办发〔</w:t>
      </w:r>
      <w:r>
        <w:rPr>
          <w:rFonts w:ascii="Times New Roman" w:hAnsi="Times New Roman" w:eastAsia="Times New Roman" w:cs="Times New Roman"/>
          <w:sz w:val="21"/>
          <w:szCs w:val="21"/>
        </w:rPr>
        <w:t>2022</w:t>
      </w:r>
      <w:r>
        <w:rPr>
          <w:rFonts w:ascii="宋体" w:hAnsi="宋体" w:eastAsia="宋体" w:cs="宋体"/>
          <w:sz w:val="21"/>
          <w:szCs w:val="21"/>
        </w:rPr>
        <w:t>〕</w:t>
      </w:r>
      <w:r>
        <w:rPr>
          <w:rFonts w:ascii="Times New Roman" w:hAnsi="Times New Roman" w:eastAsia="Times New Roman" w:cs="Times New Roman"/>
          <w:sz w:val="21"/>
          <w:szCs w:val="21"/>
        </w:rPr>
        <w:t>2</w:t>
      </w:r>
      <w:r>
        <w:rPr>
          <w:rFonts w:ascii="Times New Roman" w:hAnsi="Times New Roman" w:eastAsia="Times New Roman" w:cs="Times New Roman"/>
          <w:spacing w:val="14"/>
          <w:w w:val="101"/>
          <w:sz w:val="21"/>
          <w:szCs w:val="21"/>
        </w:rPr>
        <w:t xml:space="preserve">  </w:t>
      </w:r>
      <w:r>
        <w:rPr>
          <w:rFonts w:ascii="宋体" w:hAnsi="宋体" w:eastAsia="宋体" w:cs="宋体"/>
          <w:sz w:val="21"/>
          <w:szCs w:val="21"/>
        </w:rPr>
        <w:t>号）的要求，预留工程质</w:t>
      </w:r>
      <w:r>
        <w:rPr>
          <w:rFonts w:ascii="宋体" w:hAnsi="宋体" w:eastAsia="宋体" w:cs="宋体"/>
          <w:spacing w:val="-1"/>
          <w:sz w:val="21"/>
          <w:szCs w:val="21"/>
        </w:rPr>
        <w:t>量保证金的，工程质量保证金预</w:t>
      </w:r>
      <w:r>
        <w:rPr>
          <w:rFonts w:ascii="宋体" w:hAnsi="宋体" w:eastAsia="宋体" w:cs="宋体"/>
          <w:spacing w:val="-2"/>
          <w:sz w:val="21"/>
          <w:szCs w:val="21"/>
        </w:rPr>
        <w:t>留比例不得高于工程价款结算总额的</w:t>
      </w:r>
      <w:r>
        <w:rPr>
          <w:rFonts w:ascii="宋体" w:hAnsi="宋体" w:eastAsia="宋体" w:cs="宋体"/>
          <w:spacing w:val="-6"/>
          <w:sz w:val="21"/>
          <w:szCs w:val="21"/>
        </w:rPr>
        <w:t xml:space="preserve"> </w:t>
      </w:r>
      <w:r>
        <w:rPr>
          <w:rFonts w:ascii="Times New Roman" w:hAnsi="Times New Roman" w:eastAsia="Times New Roman" w:cs="Times New Roman"/>
          <w:spacing w:val="-2"/>
          <w:sz w:val="21"/>
          <w:szCs w:val="21"/>
        </w:rPr>
        <w:t>1.5%</w:t>
      </w:r>
      <w:r>
        <w:rPr>
          <w:rFonts w:ascii="宋体" w:hAnsi="宋体" w:eastAsia="宋体" w:cs="宋体"/>
          <w:spacing w:val="-2"/>
          <w:sz w:val="21"/>
          <w:szCs w:val="21"/>
        </w:rPr>
        <w:t>。</w:t>
      </w:r>
    </w:p>
    <w:p w14:paraId="3440C678">
      <w:pPr>
        <w:spacing w:line="284" w:lineRule="auto"/>
        <w:rPr>
          <w:rFonts w:ascii="宋体" w:hAnsi="宋体" w:eastAsia="宋体" w:cs="宋体"/>
          <w:sz w:val="21"/>
          <w:szCs w:val="21"/>
        </w:rPr>
        <w:sectPr>
          <w:footerReference r:id="rId146" w:type="default"/>
          <w:pgSz w:w="11910" w:h="16845"/>
          <w:pgMar w:top="400" w:right="1701" w:bottom="1110" w:left="1786" w:header="0" w:footer="883" w:gutter="0"/>
          <w:cols w:space="720" w:num="1"/>
        </w:sectPr>
      </w:pPr>
    </w:p>
    <w:p w14:paraId="2A56EBD3">
      <w:pPr>
        <w:pStyle w:val="2"/>
        <w:spacing w:line="252" w:lineRule="auto"/>
      </w:pPr>
    </w:p>
    <w:p w14:paraId="6EE0783D">
      <w:pPr>
        <w:pStyle w:val="2"/>
        <w:spacing w:line="252" w:lineRule="auto"/>
      </w:pPr>
    </w:p>
    <w:p w14:paraId="60BD35BB">
      <w:pPr>
        <w:pStyle w:val="2"/>
        <w:spacing w:line="252" w:lineRule="auto"/>
      </w:pPr>
    </w:p>
    <w:p w14:paraId="3BC742B0">
      <w:pPr>
        <w:pStyle w:val="2"/>
        <w:spacing w:line="252" w:lineRule="auto"/>
      </w:pPr>
    </w:p>
    <w:p w14:paraId="5B0E9E61">
      <w:pPr>
        <w:pStyle w:val="2"/>
        <w:spacing w:line="253" w:lineRule="auto"/>
      </w:pPr>
    </w:p>
    <w:p w14:paraId="57F4AC31">
      <w:pPr>
        <w:pStyle w:val="2"/>
        <w:spacing w:line="253" w:lineRule="auto"/>
      </w:pPr>
    </w:p>
    <w:p w14:paraId="421F08B6">
      <w:pPr>
        <w:pStyle w:val="2"/>
        <w:spacing w:line="253" w:lineRule="auto"/>
      </w:pPr>
    </w:p>
    <w:p w14:paraId="1B95FD3B">
      <w:pPr>
        <w:pStyle w:val="2"/>
        <w:spacing w:line="253" w:lineRule="auto"/>
      </w:pPr>
    </w:p>
    <w:p w14:paraId="09BBEF3B">
      <w:pPr>
        <w:pStyle w:val="2"/>
        <w:spacing w:line="253" w:lineRule="auto"/>
      </w:pPr>
    </w:p>
    <w:p w14:paraId="7176A80F">
      <w:pPr>
        <w:pStyle w:val="2"/>
        <w:spacing w:line="253" w:lineRule="auto"/>
      </w:pPr>
    </w:p>
    <w:p w14:paraId="6B6AB295">
      <w:pPr>
        <w:pStyle w:val="2"/>
        <w:spacing w:line="253" w:lineRule="auto"/>
      </w:pPr>
    </w:p>
    <w:p w14:paraId="622F346E">
      <w:pPr>
        <w:pStyle w:val="2"/>
        <w:spacing w:line="253" w:lineRule="auto"/>
      </w:pPr>
    </w:p>
    <w:p w14:paraId="545AC1C6">
      <w:pPr>
        <w:pStyle w:val="2"/>
        <w:spacing w:line="253" w:lineRule="auto"/>
      </w:pPr>
    </w:p>
    <w:p w14:paraId="60FA0390">
      <w:pPr>
        <w:pStyle w:val="2"/>
        <w:spacing w:line="253" w:lineRule="auto"/>
      </w:pPr>
    </w:p>
    <w:p w14:paraId="240AB802">
      <w:pPr>
        <w:pStyle w:val="2"/>
        <w:spacing w:line="253" w:lineRule="auto"/>
      </w:pPr>
    </w:p>
    <w:p w14:paraId="52A44B26">
      <w:pPr>
        <w:pStyle w:val="2"/>
        <w:spacing w:line="253" w:lineRule="auto"/>
      </w:pPr>
    </w:p>
    <w:p w14:paraId="33C329E8">
      <w:pPr>
        <w:pStyle w:val="2"/>
        <w:spacing w:line="253" w:lineRule="auto"/>
      </w:pPr>
    </w:p>
    <w:p w14:paraId="47287DCD">
      <w:pPr>
        <w:spacing w:before="91" w:line="222" w:lineRule="auto"/>
        <w:ind w:left="2835"/>
        <w:outlineLvl w:val="1"/>
        <w:rPr>
          <w:rFonts w:ascii="黑体" w:hAnsi="黑体" w:eastAsia="黑体" w:cs="黑体"/>
          <w:sz w:val="28"/>
          <w:szCs w:val="28"/>
        </w:rPr>
      </w:pPr>
      <w:bookmarkStart w:id="339" w:name="bookmark293"/>
      <w:bookmarkEnd w:id="339"/>
      <w:r>
        <w:rPr>
          <w:rFonts w:ascii="黑体" w:hAnsi="黑体" w:eastAsia="黑体" w:cs="黑体"/>
          <w:spacing w:val="9"/>
          <w:sz w:val="28"/>
          <w:szCs w:val="28"/>
        </w:rPr>
        <w:t>第一部分</w:t>
      </w:r>
      <w:r>
        <w:rPr>
          <w:rFonts w:ascii="黑体" w:hAnsi="黑体" w:eastAsia="黑体" w:cs="黑体"/>
          <w:spacing w:val="-35"/>
          <w:sz w:val="28"/>
          <w:szCs w:val="28"/>
        </w:rPr>
        <w:t xml:space="preserve"> </w:t>
      </w:r>
      <w:r>
        <w:rPr>
          <w:rFonts w:ascii="黑体" w:hAnsi="黑体" w:eastAsia="黑体" w:cs="黑体"/>
          <w:spacing w:val="9"/>
          <w:sz w:val="28"/>
          <w:szCs w:val="28"/>
        </w:rPr>
        <w:t>合同协议书</w:t>
      </w:r>
    </w:p>
    <w:p w14:paraId="7C66F858">
      <w:pPr>
        <w:spacing w:line="222" w:lineRule="auto"/>
        <w:rPr>
          <w:rFonts w:ascii="黑体" w:hAnsi="黑体" w:eastAsia="黑体" w:cs="黑体"/>
          <w:sz w:val="28"/>
          <w:szCs w:val="28"/>
        </w:rPr>
        <w:sectPr>
          <w:footerReference r:id="rId147" w:type="default"/>
          <w:pgSz w:w="11910" w:h="16845"/>
          <w:pgMar w:top="400" w:right="1786" w:bottom="1110" w:left="1786" w:header="0" w:footer="882" w:gutter="0"/>
          <w:cols w:space="720" w:num="1"/>
        </w:sectPr>
      </w:pPr>
    </w:p>
    <w:p w14:paraId="22C951AC">
      <w:pPr>
        <w:pStyle w:val="2"/>
        <w:spacing w:line="241" w:lineRule="auto"/>
      </w:pPr>
    </w:p>
    <w:p w14:paraId="1C0A596A">
      <w:pPr>
        <w:pStyle w:val="2"/>
        <w:spacing w:line="241" w:lineRule="auto"/>
      </w:pPr>
    </w:p>
    <w:p w14:paraId="01E332EC">
      <w:pPr>
        <w:pStyle w:val="2"/>
        <w:spacing w:line="242" w:lineRule="auto"/>
      </w:pPr>
    </w:p>
    <w:p w14:paraId="70A64542">
      <w:pPr>
        <w:pStyle w:val="2"/>
        <w:spacing w:line="242" w:lineRule="auto"/>
      </w:pPr>
    </w:p>
    <w:p w14:paraId="3CDA58D3">
      <w:pPr>
        <w:pStyle w:val="2"/>
        <w:spacing w:line="242" w:lineRule="auto"/>
      </w:pPr>
    </w:p>
    <w:p w14:paraId="06469D72">
      <w:pPr>
        <w:pStyle w:val="2"/>
        <w:spacing w:line="242" w:lineRule="auto"/>
      </w:pPr>
    </w:p>
    <w:p w14:paraId="56B115BD">
      <w:pPr>
        <w:pStyle w:val="2"/>
        <w:spacing w:line="242" w:lineRule="auto"/>
      </w:pPr>
    </w:p>
    <w:p w14:paraId="1EF4DEE1">
      <w:pPr>
        <w:pStyle w:val="2"/>
        <w:spacing w:line="242" w:lineRule="auto"/>
      </w:pPr>
    </w:p>
    <w:p w14:paraId="06EF47A7">
      <w:pPr>
        <w:pStyle w:val="2"/>
        <w:spacing w:line="242" w:lineRule="auto"/>
      </w:pPr>
    </w:p>
    <w:p w14:paraId="7312816F">
      <w:pPr>
        <w:pStyle w:val="2"/>
        <w:spacing w:line="242" w:lineRule="auto"/>
      </w:pPr>
    </w:p>
    <w:p w14:paraId="73A8A805">
      <w:pPr>
        <w:pStyle w:val="2"/>
        <w:spacing w:line="242" w:lineRule="auto"/>
      </w:pPr>
    </w:p>
    <w:p w14:paraId="426ECD77">
      <w:pPr>
        <w:pStyle w:val="2"/>
        <w:spacing w:line="242" w:lineRule="auto"/>
      </w:pPr>
    </w:p>
    <w:p w14:paraId="22A2E6BF">
      <w:pPr>
        <w:pStyle w:val="2"/>
        <w:spacing w:line="242" w:lineRule="auto"/>
      </w:pPr>
    </w:p>
    <w:p w14:paraId="28543457">
      <w:pPr>
        <w:pStyle w:val="2"/>
        <w:spacing w:line="242" w:lineRule="auto"/>
      </w:pPr>
    </w:p>
    <w:p w14:paraId="57F0198B">
      <w:pPr>
        <w:pStyle w:val="2"/>
        <w:spacing w:line="242" w:lineRule="auto"/>
      </w:pPr>
    </w:p>
    <w:p w14:paraId="7342C1D5">
      <w:pPr>
        <w:pStyle w:val="2"/>
        <w:spacing w:line="242" w:lineRule="auto"/>
      </w:pPr>
    </w:p>
    <w:p w14:paraId="5C73D240">
      <w:pPr>
        <w:pStyle w:val="2"/>
        <w:spacing w:line="242" w:lineRule="auto"/>
      </w:pPr>
    </w:p>
    <w:p w14:paraId="35CBD605">
      <w:pPr>
        <w:pStyle w:val="2"/>
        <w:spacing w:line="242" w:lineRule="auto"/>
      </w:pPr>
    </w:p>
    <w:p w14:paraId="4CF45866">
      <w:pPr>
        <w:pStyle w:val="2"/>
        <w:spacing w:line="242" w:lineRule="auto"/>
      </w:pPr>
    </w:p>
    <w:p w14:paraId="49721B50">
      <w:pPr>
        <w:spacing w:before="91" w:line="222" w:lineRule="auto"/>
        <w:ind w:left="3737"/>
        <w:rPr>
          <w:rFonts w:ascii="黑体" w:hAnsi="黑体" w:eastAsia="黑体" w:cs="黑体"/>
          <w:sz w:val="28"/>
          <w:szCs w:val="28"/>
        </w:rPr>
      </w:pPr>
      <w:r>
        <w:rPr>
          <w:rFonts w:ascii="黑体" w:hAnsi="黑体" w:eastAsia="黑体" w:cs="黑体"/>
          <w:spacing w:val="8"/>
          <w:sz w:val="28"/>
          <w:szCs w:val="28"/>
        </w:rPr>
        <w:t>合同协议书</w:t>
      </w:r>
    </w:p>
    <w:p w14:paraId="5C58EC10">
      <w:pPr>
        <w:pStyle w:val="2"/>
        <w:spacing w:line="422" w:lineRule="auto"/>
      </w:pPr>
    </w:p>
    <w:p w14:paraId="36F4BA72">
      <w:pPr>
        <w:spacing w:before="68" w:line="220" w:lineRule="auto"/>
        <w:ind w:left="27"/>
        <w:rPr>
          <w:rFonts w:ascii="宋体" w:hAnsi="宋体" w:eastAsia="宋体" w:cs="宋体"/>
          <w:sz w:val="21"/>
          <w:szCs w:val="21"/>
        </w:rPr>
      </w:pP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1847E441">
      <w:pPr>
        <w:spacing w:before="124" w:line="220" w:lineRule="auto"/>
        <w:ind w:left="24"/>
        <w:rPr>
          <w:rFonts w:ascii="宋体" w:hAnsi="宋体" w:eastAsia="宋体" w:cs="宋体"/>
          <w:sz w:val="21"/>
          <w:szCs w:val="21"/>
        </w:rPr>
      </w:pPr>
      <w:r>
        <w:rPr>
          <w:rFonts w:ascii="宋体" w:hAnsi="宋体" w:eastAsia="宋体" w:cs="宋体"/>
          <w:spacing w:val="-2"/>
          <w:sz w:val="21"/>
          <w:szCs w:val="21"/>
        </w:rPr>
        <w:t>承包人（全称</w:t>
      </w:r>
      <w:r>
        <w:rPr>
          <w:rFonts w:ascii="宋体" w:hAnsi="宋体" w:eastAsia="宋体" w:cs="宋体"/>
          <w:spacing w:val="-51"/>
          <w:sz w:val="21"/>
          <w:szCs w:val="21"/>
        </w:rPr>
        <w:t>）：</w:t>
      </w:r>
      <w:r>
        <w:rPr>
          <w:rFonts w:ascii="宋体" w:hAnsi="宋体" w:eastAsia="宋体" w:cs="宋体"/>
          <w:sz w:val="21"/>
          <w:szCs w:val="21"/>
          <w:u w:val="single" w:color="auto"/>
        </w:rPr>
        <w:t xml:space="preserve">                                         </w:t>
      </w:r>
    </w:p>
    <w:p w14:paraId="1B817B40">
      <w:pPr>
        <w:spacing w:before="141" w:line="331" w:lineRule="auto"/>
        <w:ind w:left="23"/>
        <w:rPr>
          <w:rFonts w:ascii="宋体" w:hAnsi="宋体" w:eastAsia="宋体" w:cs="宋体"/>
          <w:sz w:val="21"/>
          <w:szCs w:val="21"/>
        </w:rPr>
      </w:pPr>
      <w:r>
        <w:rPr>
          <w:rFonts w:ascii="宋体" w:hAnsi="宋体" w:eastAsia="宋体" w:cs="宋体"/>
          <w:spacing w:val="-8"/>
          <w:sz w:val="21"/>
          <w:szCs w:val="21"/>
        </w:rPr>
        <w:t>根据《中华人民共和国合同法》、《中华人民共和国建筑法》及有关法律规定，遵循平等、自</w:t>
      </w:r>
      <w:r>
        <w:rPr>
          <w:rFonts w:ascii="宋体" w:hAnsi="宋体" w:eastAsia="宋体" w:cs="宋体"/>
          <w:spacing w:val="-3"/>
          <w:sz w:val="21"/>
          <w:szCs w:val="21"/>
        </w:rPr>
        <w:t>愿、公平和诚实信用的原则，双方就</w:t>
      </w:r>
      <w:r>
        <w:rPr>
          <w:rFonts w:ascii="宋体" w:hAnsi="宋体" w:eastAsia="宋体" w:cs="宋体"/>
          <w:spacing w:val="-3"/>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3"/>
          <w:sz w:val="21"/>
          <w:szCs w:val="21"/>
        </w:rPr>
        <w:t>工程施工及有关事项协商一致，</w:t>
      </w:r>
      <w:r>
        <w:rPr>
          <w:rFonts w:ascii="宋体" w:hAnsi="宋体" w:eastAsia="宋体" w:cs="宋体"/>
          <w:spacing w:val="-6"/>
          <w:sz w:val="21"/>
          <w:szCs w:val="21"/>
        </w:rPr>
        <w:t>共同达成如下协议：</w:t>
      </w:r>
    </w:p>
    <w:p w14:paraId="0707DAC9">
      <w:pPr>
        <w:spacing w:before="100" w:line="218" w:lineRule="auto"/>
        <w:ind w:left="27"/>
        <w:rPr>
          <w:rFonts w:ascii="黑体" w:hAnsi="黑体" w:eastAsia="黑体" w:cs="黑体"/>
          <w:sz w:val="21"/>
          <w:szCs w:val="21"/>
        </w:rPr>
      </w:pPr>
      <w:r>
        <w:rPr>
          <w:rFonts w:ascii="黑体" w:hAnsi="黑体" w:eastAsia="黑体" w:cs="黑体"/>
          <w:b/>
          <w:bCs/>
          <w:spacing w:val="3"/>
          <w:sz w:val="21"/>
          <w:szCs w:val="21"/>
        </w:rPr>
        <w:t>一、工程概况</w:t>
      </w:r>
    </w:p>
    <w:p w14:paraId="1979FA95">
      <w:pPr>
        <w:spacing w:before="278" w:line="220" w:lineRule="auto"/>
        <w:ind w:left="460"/>
        <w:rPr>
          <w:rFonts w:ascii="宋体" w:hAnsi="宋体" w:eastAsia="宋体" w:cs="宋体"/>
          <w:sz w:val="21"/>
          <w:szCs w:val="21"/>
        </w:rPr>
      </w:pPr>
      <w:r>
        <w:rPr>
          <w:rFonts w:ascii="宋体" w:hAnsi="宋体" w:eastAsia="宋体" w:cs="宋体"/>
          <w:spacing w:val="-3"/>
          <w:sz w:val="21"/>
          <w:szCs w:val="21"/>
        </w:rPr>
        <w:t>1.工程名称：</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6021AB5">
      <w:pPr>
        <w:spacing w:before="139" w:line="220" w:lineRule="auto"/>
        <w:ind w:left="447"/>
        <w:rPr>
          <w:rFonts w:ascii="宋体" w:hAnsi="宋体" w:eastAsia="宋体" w:cs="宋体"/>
          <w:sz w:val="21"/>
          <w:szCs w:val="21"/>
        </w:rPr>
      </w:pPr>
      <w:r>
        <w:rPr>
          <w:rFonts w:ascii="宋体" w:hAnsi="宋体" w:eastAsia="宋体" w:cs="宋体"/>
          <w:sz w:val="21"/>
          <w:szCs w:val="21"/>
        </w:rPr>
        <w:t>2.工程地点：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1DE38A2">
      <w:pPr>
        <w:spacing w:before="126" w:line="220" w:lineRule="auto"/>
        <w:ind w:left="448"/>
        <w:rPr>
          <w:rFonts w:ascii="宋体" w:hAnsi="宋体" w:eastAsia="宋体" w:cs="宋体"/>
          <w:sz w:val="21"/>
          <w:szCs w:val="21"/>
        </w:rPr>
      </w:pPr>
      <w:r>
        <w:rPr>
          <w:rFonts w:ascii="宋体" w:hAnsi="宋体" w:eastAsia="宋体" w:cs="宋体"/>
          <w:sz w:val="21"/>
          <w:szCs w:val="21"/>
        </w:rPr>
        <w:t>3.工程立项批准文号：</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F5C96D9">
      <w:pPr>
        <w:spacing w:before="124" w:line="220" w:lineRule="auto"/>
        <w:ind w:left="443"/>
        <w:rPr>
          <w:rFonts w:ascii="宋体" w:hAnsi="宋体" w:eastAsia="宋体" w:cs="宋体"/>
          <w:sz w:val="21"/>
          <w:szCs w:val="21"/>
        </w:rPr>
      </w:pPr>
      <w:r>
        <w:rPr>
          <w:rFonts w:ascii="宋体" w:hAnsi="宋体" w:eastAsia="宋体" w:cs="宋体"/>
          <w:sz w:val="21"/>
          <w:szCs w:val="21"/>
        </w:rPr>
        <w:t>4.资金来源：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24B9F88">
      <w:pPr>
        <w:spacing w:before="140" w:line="220" w:lineRule="auto"/>
        <w:ind w:left="448"/>
        <w:rPr>
          <w:rFonts w:ascii="宋体" w:hAnsi="宋体" w:eastAsia="宋体" w:cs="宋体"/>
          <w:sz w:val="21"/>
          <w:szCs w:val="21"/>
        </w:rPr>
      </w:pPr>
      <w:r>
        <w:rPr>
          <w:rFonts w:ascii="宋体" w:hAnsi="宋体" w:eastAsia="宋体" w:cs="宋体"/>
          <w:sz w:val="21"/>
          <w:szCs w:val="21"/>
        </w:rPr>
        <w:t>5.工程内容：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4E223230">
      <w:pPr>
        <w:spacing w:before="126" w:line="219" w:lineRule="auto"/>
        <w:ind w:left="444"/>
        <w:rPr>
          <w:rFonts w:ascii="宋体" w:hAnsi="宋体" w:eastAsia="宋体" w:cs="宋体"/>
          <w:sz w:val="21"/>
          <w:szCs w:val="21"/>
        </w:rPr>
      </w:pPr>
      <w:r>
        <w:rPr>
          <w:rFonts w:ascii="宋体" w:hAnsi="宋体" w:eastAsia="宋体" w:cs="宋体"/>
          <w:spacing w:val="-8"/>
          <w:sz w:val="21"/>
          <w:szCs w:val="21"/>
        </w:rPr>
        <w:t>群体工程应附《承包人承揽工程项目一览表》（附件</w:t>
      </w:r>
      <w:r>
        <w:rPr>
          <w:rFonts w:ascii="宋体" w:hAnsi="宋体" w:eastAsia="宋体" w:cs="宋体"/>
          <w:spacing w:val="-13"/>
          <w:sz w:val="21"/>
          <w:szCs w:val="21"/>
        </w:rPr>
        <w:t xml:space="preserve"> </w:t>
      </w:r>
      <w:r>
        <w:rPr>
          <w:rFonts w:ascii="宋体" w:hAnsi="宋体" w:eastAsia="宋体" w:cs="宋体"/>
          <w:spacing w:val="-8"/>
          <w:sz w:val="21"/>
          <w:szCs w:val="21"/>
        </w:rPr>
        <w:t>1）。</w:t>
      </w:r>
    </w:p>
    <w:p w14:paraId="26854F71">
      <w:pPr>
        <w:spacing w:before="126" w:line="220" w:lineRule="auto"/>
        <w:ind w:left="446"/>
        <w:rPr>
          <w:rFonts w:ascii="宋体" w:hAnsi="宋体" w:eastAsia="宋体" w:cs="宋体"/>
          <w:sz w:val="21"/>
          <w:szCs w:val="21"/>
        </w:rPr>
      </w:pPr>
      <w:r>
        <w:rPr>
          <w:rFonts w:ascii="宋体" w:hAnsi="宋体" w:eastAsia="宋体" w:cs="宋体"/>
          <w:spacing w:val="-6"/>
          <w:sz w:val="21"/>
          <w:szCs w:val="21"/>
        </w:rPr>
        <w:t>6.工程承包范围：</w:t>
      </w:r>
    </w:p>
    <w:p w14:paraId="6E499951">
      <w:pPr>
        <w:pStyle w:val="2"/>
        <w:tabs>
          <w:tab w:val="left" w:pos="4747"/>
          <w:tab w:val="left" w:pos="8335"/>
        </w:tabs>
        <w:spacing w:before="161" w:line="353" w:lineRule="auto"/>
        <w:ind w:left="436" w:right="58"/>
      </w:pPr>
      <w:r>
        <w:rPr>
          <w:u w:val="single" w:color="auto"/>
        </w:rPr>
        <w:tab/>
      </w:r>
      <w:r>
        <w:rPr>
          <w:u w:val="single" w:color="auto"/>
        </w:rPr>
        <w:tab/>
      </w:r>
      <w:r>
        <w:t xml:space="preserve"> </w:t>
      </w:r>
      <w:r>
        <w:rPr>
          <w:u w:val="single" w:color="auto"/>
        </w:rPr>
        <w:tab/>
      </w:r>
    </w:p>
    <w:p w14:paraId="1E0D8A31">
      <w:pPr>
        <w:tabs>
          <w:tab w:val="left" w:pos="3905"/>
        </w:tabs>
        <w:spacing w:before="155"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6214F08">
      <w:pPr>
        <w:spacing w:before="239" w:line="220" w:lineRule="auto"/>
        <w:ind w:left="27"/>
        <w:rPr>
          <w:rFonts w:ascii="黑体" w:hAnsi="黑体" w:eastAsia="黑体" w:cs="黑体"/>
          <w:sz w:val="21"/>
          <w:szCs w:val="21"/>
        </w:rPr>
      </w:pPr>
      <w:r>
        <w:rPr>
          <w:rFonts w:ascii="黑体" w:hAnsi="黑体" w:eastAsia="黑体" w:cs="黑体"/>
          <w:b/>
          <w:bCs/>
          <w:spacing w:val="3"/>
          <w:sz w:val="21"/>
          <w:szCs w:val="21"/>
        </w:rPr>
        <w:t>二、合同工期</w:t>
      </w:r>
    </w:p>
    <w:p w14:paraId="2057ABEE">
      <w:pPr>
        <w:spacing w:before="275" w:line="220" w:lineRule="auto"/>
        <w:ind w:left="444"/>
        <w:rPr>
          <w:rFonts w:ascii="宋体" w:hAnsi="宋体" w:eastAsia="宋体" w:cs="宋体"/>
          <w:sz w:val="21"/>
          <w:szCs w:val="21"/>
        </w:rPr>
      </w:pPr>
      <w:r>
        <w:rPr>
          <w:rFonts w:ascii="宋体" w:hAnsi="宋体" w:eastAsia="宋体" w:cs="宋体"/>
          <w:spacing w:val="-6"/>
          <w:sz w:val="21"/>
          <w:szCs w:val="21"/>
        </w:rPr>
        <w:t>计划开工日期：</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6"/>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20A5565B">
      <w:pPr>
        <w:spacing w:before="140" w:line="220" w:lineRule="auto"/>
        <w:ind w:left="444"/>
        <w:rPr>
          <w:rFonts w:ascii="宋体" w:hAnsi="宋体" w:eastAsia="宋体" w:cs="宋体"/>
          <w:sz w:val="21"/>
          <w:szCs w:val="21"/>
        </w:rPr>
      </w:pPr>
      <w:r>
        <w:rPr>
          <w:rFonts w:ascii="宋体" w:hAnsi="宋体" w:eastAsia="宋体" w:cs="宋体"/>
          <w:spacing w:val="-6"/>
          <w:sz w:val="21"/>
          <w:szCs w:val="21"/>
        </w:rPr>
        <w:t>计划竣工日期：</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6"/>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43690300">
      <w:pPr>
        <w:spacing w:before="126" w:line="332" w:lineRule="auto"/>
        <w:ind w:left="26" w:right="54" w:firstLine="420"/>
        <w:rPr>
          <w:rFonts w:ascii="宋体" w:hAnsi="宋体" w:eastAsia="宋体" w:cs="宋体"/>
          <w:sz w:val="21"/>
          <w:szCs w:val="21"/>
        </w:rPr>
      </w:pPr>
      <w:r>
        <w:rPr>
          <w:rFonts w:ascii="宋体" w:hAnsi="宋体" w:eastAsia="宋体" w:cs="宋体"/>
          <w:spacing w:val="-2"/>
          <w:sz w:val="21"/>
          <w:szCs w:val="21"/>
        </w:rPr>
        <w:t>工期总日历天数：</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天。工期总日历天数与</w:t>
      </w:r>
      <w:r>
        <w:rPr>
          <w:rFonts w:ascii="宋体" w:hAnsi="宋体" w:eastAsia="宋体" w:cs="宋体"/>
          <w:spacing w:val="-3"/>
          <w:sz w:val="21"/>
          <w:szCs w:val="21"/>
        </w:rPr>
        <w:t>根据前述计划开竣工日期计算的工</w:t>
      </w:r>
      <w:r>
        <w:rPr>
          <w:rFonts w:ascii="宋体" w:hAnsi="宋体" w:eastAsia="宋体" w:cs="宋体"/>
          <w:spacing w:val="-2"/>
          <w:sz w:val="21"/>
          <w:szCs w:val="21"/>
        </w:rPr>
        <w:t>期天数不一致的，以工期总日历天数为准。</w:t>
      </w:r>
    </w:p>
    <w:p w14:paraId="7847ABAB">
      <w:pPr>
        <w:spacing w:before="99" w:line="220" w:lineRule="auto"/>
        <w:ind w:left="133"/>
        <w:rPr>
          <w:rFonts w:ascii="黑体" w:hAnsi="黑体" w:eastAsia="黑体" w:cs="黑体"/>
          <w:sz w:val="21"/>
          <w:szCs w:val="21"/>
        </w:rPr>
      </w:pPr>
      <w:r>
        <w:rPr>
          <w:rFonts w:ascii="黑体" w:hAnsi="黑体" w:eastAsia="黑体" w:cs="黑体"/>
          <w:b/>
          <w:bCs/>
          <w:spacing w:val="3"/>
          <w:sz w:val="21"/>
          <w:szCs w:val="21"/>
        </w:rPr>
        <w:t>三、质量标准</w:t>
      </w:r>
    </w:p>
    <w:p w14:paraId="3F4B141E">
      <w:pPr>
        <w:spacing w:before="275" w:line="220" w:lineRule="auto"/>
        <w:ind w:left="447"/>
        <w:rPr>
          <w:rFonts w:ascii="宋体" w:hAnsi="宋体" w:eastAsia="宋体" w:cs="宋体"/>
          <w:sz w:val="21"/>
          <w:szCs w:val="21"/>
        </w:rPr>
      </w:pPr>
      <w:r>
        <w:rPr>
          <w:rFonts w:ascii="宋体" w:hAnsi="宋体" w:eastAsia="宋体" w:cs="宋体"/>
          <w:spacing w:val="-4"/>
          <w:sz w:val="21"/>
          <w:szCs w:val="21"/>
        </w:rPr>
        <w:t>工程质量符合</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标准。</w:t>
      </w:r>
    </w:p>
    <w:p w14:paraId="48D6F3E6">
      <w:pPr>
        <w:spacing w:line="220" w:lineRule="auto"/>
        <w:rPr>
          <w:rFonts w:ascii="宋体" w:hAnsi="宋体" w:eastAsia="宋体" w:cs="宋体"/>
          <w:sz w:val="21"/>
          <w:szCs w:val="21"/>
        </w:rPr>
        <w:sectPr>
          <w:footerReference r:id="rId148" w:type="default"/>
          <w:pgSz w:w="11910" w:h="16845"/>
          <w:pgMar w:top="400" w:right="1728" w:bottom="1110" w:left="1786" w:header="0" w:footer="883" w:gutter="0"/>
          <w:cols w:space="720" w:num="1"/>
        </w:sectPr>
      </w:pPr>
    </w:p>
    <w:p w14:paraId="36944128">
      <w:pPr>
        <w:pStyle w:val="2"/>
        <w:spacing w:line="293" w:lineRule="auto"/>
      </w:pPr>
    </w:p>
    <w:p w14:paraId="400F49A1">
      <w:pPr>
        <w:pStyle w:val="2"/>
        <w:spacing w:line="294" w:lineRule="auto"/>
      </w:pPr>
    </w:p>
    <w:p w14:paraId="1CEE9EA2">
      <w:pPr>
        <w:pStyle w:val="2"/>
        <w:spacing w:line="294" w:lineRule="auto"/>
      </w:pPr>
    </w:p>
    <w:p w14:paraId="5EE13750">
      <w:pPr>
        <w:pStyle w:val="2"/>
        <w:spacing w:line="294" w:lineRule="auto"/>
      </w:pPr>
    </w:p>
    <w:p w14:paraId="49E061CC">
      <w:pPr>
        <w:spacing w:before="68" w:line="219" w:lineRule="auto"/>
        <w:ind w:left="141"/>
        <w:rPr>
          <w:rFonts w:ascii="黑体" w:hAnsi="黑体" w:eastAsia="黑体" w:cs="黑体"/>
          <w:sz w:val="21"/>
          <w:szCs w:val="21"/>
        </w:rPr>
      </w:pPr>
      <w:r>
        <w:rPr>
          <w:rFonts w:ascii="黑体" w:hAnsi="黑体" w:eastAsia="黑体" w:cs="黑体"/>
          <w:b/>
          <w:bCs/>
          <w:sz w:val="21"/>
          <w:szCs w:val="21"/>
        </w:rPr>
        <w:t>四、签约合同价与合同价格形式</w:t>
      </w:r>
    </w:p>
    <w:p w14:paraId="176C1890">
      <w:pPr>
        <w:spacing w:before="291" w:line="218" w:lineRule="auto"/>
        <w:ind w:left="460"/>
        <w:rPr>
          <w:rFonts w:ascii="宋体" w:hAnsi="宋体" w:eastAsia="宋体" w:cs="宋体"/>
          <w:sz w:val="21"/>
          <w:szCs w:val="21"/>
        </w:rPr>
      </w:pPr>
      <w:r>
        <w:rPr>
          <w:rFonts w:ascii="宋体" w:hAnsi="宋体" w:eastAsia="宋体" w:cs="宋体"/>
          <w:spacing w:val="-7"/>
          <w:sz w:val="21"/>
          <w:szCs w:val="21"/>
        </w:rPr>
        <w:t>1.签约合同价为：</w:t>
      </w:r>
    </w:p>
    <w:p w14:paraId="6F7AB60A">
      <w:pPr>
        <w:spacing w:before="127" w:line="219" w:lineRule="auto"/>
        <w:ind w:left="656"/>
        <w:rPr>
          <w:rFonts w:ascii="宋体" w:hAnsi="宋体" w:eastAsia="宋体" w:cs="宋体"/>
          <w:sz w:val="21"/>
          <w:szCs w:val="21"/>
        </w:rPr>
      </w:pPr>
      <w:r>
        <w:rPr>
          <w:rFonts w:ascii="宋体" w:hAnsi="宋体" w:eastAsia="宋体" w:cs="宋体"/>
          <w:spacing w:val="-5"/>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50"/>
          <w:sz w:val="21"/>
          <w:szCs w:val="21"/>
        </w:rPr>
        <w:t xml:space="preserve"> </w:t>
      </w:r>
      <w:r>
        <w:rPr>
          <w:rFonts w:ascii="宋体" w:hAnsi="宋体" w:eastAsia="宋体" w:cs="宋体"/>
          <w:spacing w:val="-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5"/>
          <w:sz w:val="21"/>
          <w:szCs w:val="21"/>
        </w:rPr>
        <w:t>元)；</w:t>
      </w:r>
    </w:p>
    <w:p w14:paraId="3FB0666F">
      <w:pPr>
        <w:spacing w:before="126" w:line="220" w:lineRule="auto"/>
        <w:ind w:left="655"/>
        <w:rPr>
          <w:rFonts w:ascii="宋体" w:hAnsi="宋体" w:eastAsia="宋体" w:cs="宋体"/>
          <w:sz w:val="21"/>
          <w:szCs w:val="21"/>
        </w:rPr>
      </w:pPr>
      <w:r>
        <w:rPr>
          <w:rFonts w:ascii="宋体" w:hAnsi="宋体" w:eastAsia="宋体" w:cs="宋体"/>
          <w:spacing w:val="-13"/>
          <w:sz w:val="21"/>
          <w:szCs w:val="21"/>
        </w:rPr>
        <w:t>其中：</w:t>
      </w:r>
    </w:p>
    <w:p w14:paraId="0094B402">
      <w:pPr>
        <w:spacing w:before="139" w:line="220" w:lineRule="auto"/>
        <w:ind w:left="450"/>
        <w:rPr>
          <w:rFonts w:ascii="宋体" w:hAnsi="宋体" w:eastAsia="宋体" w:cs="宋体"/>
          <w:sz w:val="21"/>
          <w:szCs w:val="21"/>
        </w:rPr>
      </w:pPr>
      <w:r>
        <w:rPr>
          <w:rFonts w:ascii="宋体" w:hAnsi="宋体" w:eastAsia="宋体" w:cs="宋体"/>
          <w:spacing w:val="-5"/>
          <w:sz w:val="21"/>
          <w:szCs w:val="21"/>
        </w:rPr>
        <w:t>（1）安全文明施工费：</w:t>
      </w:r>
    </w:p>
    <w:p w14:paraId="16B95608">
      <w:pPr>
        <w:spacing w:before="125" w:line="219" w:lineRule="auto"/>
        <w:ind w:left="971"/>
        <w:rPr>
          <w:rFonts w:ascii="宋体" w:hAnsi="宋体" w:eastAsia="宋体" w:cs="宋体"/>
          <w:sz w:val="21"/>
          <w:szCs w:val="21"/>
        </w:rPr>
      </w:pPr>
      <w:r>
        <w:rPr>
          <w:rFonts w:ascii="宋体" w:hAnsi="宋体" w:eastAsia="宋体" w:cs="宋体"/>
          <w:spacing w:val="-5"/>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5"/>
          <w:sz w:val="21"/>
          <w:szCs w:val="21"/>
        </w:rPr>
        <w:t>元)；</w:t>
      </w:r>
    </w:p>
    <w:p w14:paraId="0C198C8D">
      <w:pPr>
        <w:spacing w:before="127" w:line="218" w:lineRule="auto"/>
        <w:ind w:left="450"/>
        <w:rPr>
          <w:rFonts w:ascii="宋体" w:hAnsi="宋体" w:eastAsia="宋体" w:cs="宋体"/>
          <w:sz w:val="21"/>
          <w:szCs w:val="21"/>
        </w:rPr>
      </w:pPr>
      <w:r>
        <w:rPr>
          <w:rFonts w:ascii="宋体" w:hAnsi="宋体" w:eastAsia="宋体" w:cs="宋体"/>
          <w:spacing w:val="-4"/>
          <w:sz w:val="21"/>
          <w:szCs w:val="21"/>
        </w:rPr>
        <w:t>（2）材料和工程设备暂估价金额：</w:t>
      </w:r>
    </w:p>
    <w:p w14:paraId="3051144F">
      <w:pPr>
        <w:spacing w:before="142" w:line="219" w:lineRule="auto"/>
        <w:ind w:left="971"/>
        <w:rPr>
          <w:rFonts w:ascii="宋体" w:hAnsi="宋体" w:eastAsia="宋体" w:cs="宋体"/>
          <w:sz w:val="21"/>
          <w:szCs w:val="21"/>
        </w:rPr>
      </w:pPr>
      <w:r>
        <w:rPr>
          <w:rFonts w:ascii="宋体" w:hAnsi="宋体" w:eastAsia="宋体" w:cs="宋体"/>
          <w:spacing w:val="-6"/>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6"/>
          <w:sz w:val="21"/>
          <w:szCs w:val="21"/>
        </w:rPr>
        <w:t>元)；</w:t>
      </w:r>
    </w:p>
    <w:p w14:paraId="6FD80133">
      <w:pPr>
        <w:spacing w:before="126" w:line="218" w:lineRule="auto"/>
        <w:ind w:left="450"/>
        <w:rPr>
          <w:rFonts w:ascii="宋体" w:hAnsi="宋体" w:eastAsia="宋体" w:cs="宋体"/>
          <w:sz w:val="21"/>
          <w:szCs w:val="21"/>
        </w:rPr>
      </w:pPr>
      <w:r>
        <w:rPr>
          <w:rFonts w:ascii="宋体" w:hAnsi="宋体" w:eastAsia="宋体" w:cs="宋体"/>
          <w:spacing w:val="-5"/>
          <w:sz w:val="21"/>
          <w:szCs w:val="21"/>
        </w:rPr>
        <w:t>（3）专业工程暂估价金额：</w:t>
      </w:r>
    </w:p>
    <w:p w14:paraId="4D710FA9">
      <w:pPr>
        <w:spacing w:before="128" w:line="219" w:lineRule="auto"/>
        <w:ind w:left="971"/>
        <w:rPr>
          <w:rFonts w:ascii="宋体" w:hAnsi="宋体" w:eastAsia="宋体" w:cs="宋体"/>
          <w:sz w:val="21"/>
          <w:szCs w:val="21"/>
        </w:rPr>
      </w:pPr>
      <w:r>
        <w:rPr>
          <w:rFonts w:ascii="宋体" w:hAnsi="宋体" w:eastAsia="宋体" w:cs="宋体"/>
          <w:spacing w:val="-6"/>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6"/>
          <w:sz w:val="21"/>
          <w:szCs w:val="21"/>
        </w:rPr>
        <w:t>元)；</w:t>
      </w:r>
    </w:p>
    <w:p w14:paraId="668CCEAE">
      <w:pPr>
        <w:spacing w:before="140" w:line="220" w:lineRule="auto"/>
        <w:ind w:left="450"/>
        <w:rPr>
          <w:rFonts w:ascii="宋体" w:hAnsi="宋体" w:eastAsia="宋体" w:cs="宋体"/>
          <w:sz w:val="21"/>
          <w:szCs w:val="21"/>
        </w:rPr>
      </w:pPr>
      <w:r>
        <w:rPr>
          <w:rFonts w:ascii="宋体" w:hAnsi="宋体" w:eastAsia="宋体" w:cs="宋体"/>
          <w:spacing w:val="-7"/>
          <w:sz w:val="21"/>
          <w:szCs w:val="21"/>
        </w:rPr>
        <w:t>（4）暂列金额：</w:t>
      </w:r>
    </w:p>
    <w:p w14:paraId="05DCD8BA">
      <w:pPr>
        <w:spacing w:before="126" w:line="219" w:lineRule="auto"/>
        <w:ind w:left="971"/>
        <w:rPr>
          <w:rFonts w:ascii="宋体" w:hAnsi="宋体" w:eastAsia="宋体" w:cs="宋体"/>
          <w:sz w:val="21"/>
          <w:szCs w:val="21"/>
        </w:rPr>
      </w:pPr>
      <w:r>
        <w:rPr>
          <w:rFonts w:ascii="宋体" w:hAnsi="宋体" w:eastAsia="宋体" w:cs="宋体"/>
          <w:spacing w:val="-5"/>
          <w:sz w:val="21"/>
          <w:szCs w:val="21"/>
        </w:rPr>
        <w:t>人民币（大写）</w:t>
      </w:r>
      <w:r>
        <w:rPr>
          <w:rFonts w:ascii="宋体" w:hAnsi="宋体" w:eastAsia="宋体" w:cs="宋体"/>
          <w:sz w:val="21"/>
          <w:szCs w:val="21"/>
          <w:u w:val="single" w:color="auto"/>
        </w:rPr>
        <w:t xml:space="preserve">                    </w:t>
      </w:r>
      <w:r>
        <w:rPr>
          <w:rFonts w:ascii="宋体" w:hAnsi="宋体" w:eastAsia="宋体" w:cs="宋体"/>
          <w:spacing w:val="49"/>
          <w:sz w:val="21"/>
          <w:szCs w:val="21"/>
        </w:rPr>
        <w:t xml:space="preserve"> </w:t>
      </w:r>
      <w:r>
        <w:rPr>
          <w:rFonts w:ascii="宋体" w:hAnsi="宋体" w:eastAsia="宋体" w:cs="宋体"/>
          <w:spacing w:val="-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5"/>
          <w:sz w:val="21"/>
          <w:szCs w:val="21"/>
        </w:rPr>
        <w:t>元)。</w:t>
      </w:r>
    </w:p>
    <w:p w14:paraId="1FC83AA0">
      <w:pPr>
        <w:spacing w:before="127" w:line="218" w:lineRule="auto"/>
        <w:ind w:left="447"/>
        <w:rPr>
          <w:rFonts w:ascii="宋体" w:hAnsi="宋体" w:eastAsia="宋体" w:cs="宋体"/>
          <w:sz w:val="21"/>
          <w:szCs w:val="21"/>
        </w:rPr>
      </w:pPr>
      <w:r>
        <w:rPr>
          <w:rFonts w:ascii="宋体" w:hAnsi="宋体" w:eastAsia="宋体" w:cs="宋体"/>
          <w:sz w:val="21"/>
          <w:szCs w:val="21"/>
        </w:rPr>
        <w:t>2.合同价格形式：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4F9FFE3">
      <w:pPr>
        <w:spacing w:before="232" w:line="219" w:lineRule="auto"/>
        <w:ind w:left="29"/>
        <w:rPr>
          <w:rFonts w:ascii="黑体" w:hAnsi="黑体" w:eastAsia="黑体" w:cs="黑体"/>
          <w:sz w:val="21"/>
          <w:szCs w:val="21"/>
        </w:rPr>
      </w:pPr>
      <w:r>
        <w:rPr>
          <w:rFonts w:ascii="黑体" w:hAnsi="黑体" w:eastAsia="黑体" w:cs="黑体"/>
          <w:b/>
          <w:bCs/>
          <w:spacing w:val="3"/>
          <w:sz w:val="21"/>
          <w:szCs w:val="21"/>
        </w:rPr>
        <w:t>五、项目经理</w:t>
      </w:r>
    </w:p>
    <w:p w14:paraId="562FC915">
      <w:pPr>
        <w:spacing w:before="276" w:line="220" w:lineRule="auto"/>
        <w:ind w:left="444"/>
        <w:rPr>
          <w:rFonts w:ascii="宋体" w:hAnsi="宋体" w:eastAsia="宋体" w:cs="宋体"/>
          <w:sz w:val="21"/>
          <w:szCs w:val="21"/>
        </w:rPr>
      </w:pPr>
      <w:r>
        <w:rPr>
          <w:rFonts w:ascii="宋体" w:hAnsi="宋体" w:eastAsia="宋体" w:cs="宋体"/>
          <w:sz w:val="21"/>
          <w:szCs w:val="21"/>
        </w:rPr>
        <w:t>承包人项目经理：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A0B6CA3">
      <w:pPr>
        <w:spacing w:before="230" w:line="219" w:lineRule="auto"/>
        <w:ind w:left="30"/>
        <w:rPr>
          <w:rFonts w:ascii="黑体" w:hAnsi="黑体" w:eastAsia="黑体" w:cs="黑体"/>
          <w:sz w:val="21"/>
          <w:szCs w:val="21"/>
        </w:rPr>
      </w:pPr>
      <w:r>
        <w:rPr>
          <w:rFonts w:ascii="黑体" w:hAnsi="黑体" w:eastAsia="黑体" w:cs="黑体"/>
          <w:b/>
          <w:bCs/>
          <w:spacing w:val="1"/>
          <w:sz w:val="21"/>
          <w:szCs w:val="21"/>
        </w:rPr>
        <w:t>六、合同文件构成</w:t>
      </w:r>
    </w:p>
    <w:p w14:paraId="34D89E0B">
      <w:pPr>
        <w:spacing w:before="276" w:line="219" w:lineRule="auto"/>
        <w:ind w:left="445"/>
        <w:rPr>
          <w:rFonts w:ascii="宋体" w:hAnsi="宋体" w:eastAsia="宋体" w:cs="宋体"/>
          <w:sz w:val="21"/>
          <w:szCs w:val="21"/>
        </w:rPr>
      </w:pPr>
      <w:r>
        <w:rPr>
          <w:rFonts w:ascii="宋体" w:hAnsi="宋体" w:eastAsia="宋体" w:cs="宋体"/>
          <w:spacing w:val="-3"/>
          <w:sz w:val="21"/>
          <w:szCs w:val="21"/>
        </w:rPr>
        <w:t>本协议书与下列文件一起构成合同文件：</w:t>
      </w:r>
    </w:p>
    <w:p w14:paraId="04411C26">
      <w:pPr>
        <w:spacing w:before="127" w:line="233" w:lineRule="auto"/>
        <w:ind w:left="450"/>
        <w:rPr>
          <w:rFonts w:ascii="宋体" w:hAnsi="宋体" w:eastAsia="宋体" w:cs="宋体"/>
          <w:sz w:val="21"/>
          <w:szCs w:val="21"/>
        </w:rPr>
      </w:pPr>
      <w:r>
        <w:rPr>
          <w:rFonts w:ascii="宋体" w:hAnsi="宋体" w:eastAsia="宋体" w:cs="宋体"/>
          <w:spacing w:val="-10"/>
          <w:sz w:val="21"/>
          <w:szCs w:val="21"/>
        </w:rPr>
        <w:t>（</w:t>
      </w:r>
      <w:r>
        <w:rPr>
          <w:rFonts w:ascii="Times New Roman" w:hAnsi="Times New Roman" w:eastAsia="Times New Roman" w:cs="Times New Roman"/>
          <w:spacing w:val="-10"/>
          <w:sz w:val="21"/>
          <w:szCs w:val="21"/>
        </w:rPr>
        <w:t>1</w:t>
      </w:r>
      <w:r>
        <w:rPr>
          <w:rFonts w:ascii="宋体" w:hAnsi="宋体" w:eastAsia="宋体" w:cs="宋体"/>
          <w:spacing w:val="-10"/>
          <w:sz w:val="21"/>
          <w:szCs w:val="21"/>
        </w:rPr>
        <w:t>）中标通知书（如果有</w:t>
      </w:r>
      <w:r>
        <w:rPr>
          <w:rFonts w:ascii="宋体" w:hAnsi="宋体" w:eastAsia="宋体" w:cs="宋体"/>
          <w:spacing w:val="-5"/>
          <w:sz w:val="21"/>
          <w:szCs w:val="21"/>
        </w:rPr>
        <w:t>）；</w:t>
      </w:r>
    </w:p>
    <w:p w14:paraId="223DD49C">
      <w:pPr>
        <w:spacing w:before="125" w:line="233" w:lineRule="auto"/>
        <w:ind w:left="450"/>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2</w:t>
      </w:r>
      <w:r>
        <w:rPr>
          <w:rFonts w:ascii="宋体" w:hAnsi="宋体" w:eastAsia="宋体" w:cs="宋体"/>
          <w:spacing w:val="-9"/>
          <w:sz w:val="21"/>
          <w:szCs w:val="21"/>
        </w:rPr>
        <w:t>）投标函及其附录（如果有</w:t>
      </w:r>
      <w:r>
        <w:rPr>
          <w:rFonts w:ascii="宋体" w:hAnsi="宋体" w:eastAsia="宋体" w:cs="宋体"/>
          <w:spacing w:val="-1"/>
          <w:sz w:val="21"/>
          <w:szCs w:val="21"/>
        </w:rPr>
        <w:t>）；</w:t>
      </w:r>
    </w:p>
    <w:p w14:paraId="4B4E09FF">
      <w:pPr>
        <w:spacing w:before="110"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）专用合同条款及其附件；</w:t>
      </w:r>
    </w:p>
    <w:p w14:paraId="51129516">
      <w:pPr>
        <w:spacing w:before="111" w:line="233" w:lineRule="auto"/>
        <w:ind w:left="45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4</w:t>
      </w:r>
      <w:r>
        <w:rPr>
          <w:rFonts w:ascii="宋体" w:hAnsi="宋体" w:eastAsia="宋体" w:cs="宋体"/>
          <w:spacing w:val="-6"/>
          <w:sz w:val="21"/>
          <w:szCs w:val="21"/>
        </w:rPr>
        <w:t>）通用合同条款；</w:t>
      </w:r>
    </w:p>
    <w:p w14:paraId="6BFF44E4">
      <w:pPr>
        <w:spacing w:before="126"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）技术标准和要求；</w:t>
      </w:r>
    </w:p>
    <w:p w14:paraId="0C97131B">
      <w:pPr>
        <w:spacing w:before="109" w:line="235" w:lineRule="auto"/>
        <w:ind w:left="450"/>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6</w:t>
      </w:r>
      <w:r>
        <w:rPr>
          <w:rFonts w:ascii="宋体" w:hAnsi="宋体" w:eastAsia="宋体" w:cs="宋体"/>
          <w:spacing w:val="-9"/>
          <w:sz w:val="21"/>
          <w:szCs w:val="21"/>
        </w:rPr>
        <w:t>）图纸；</w:t>
      </w:r>
    </w:p>
    <w:p w14:paraId="16830D0E">
      <w:pPr>
        <w:spacing w:before="108" w:line="232"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7</w:t>
      </w:r>
      <w:r>
        <w:rPr>
          <w:rFonts w:ascii="宋体" w:hAnsi="宋体" w:eastAsia="宋体" w:cs="宋体"/>
          <w:spacing w:val="-4"/>
          <w:sz w:val="21"/>
          <w:szCs w:val="21"/>
        </w:rPr>
        <w:t>）已标价工程量清单或预算书；</w:t>
      </w:r>
    </w:p>
    <w:p w14:paraId="5F50106B">
      <w:pPr>
        <w:spacing w:before="127"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8</w:t>
      </w:r>
      <w:r>
        <w:rPr>
          <w:rFonts w:ascii="宋体" w:hAnsi="宋体" w:eastAsia="宋体" w:cs="宋体"/>
          <w:spacing w:val="-4"/>
          <w:sz w:val="21"/>
          <w:szCs w:val="21"/>
        </w:rPr>
        <w:t>）其他合同文件。</w:t>
      </w:r>
    </w:p>
    <w:p w14:paraId="7FD409BF">
      <w:pPr>
        <w:spacing w:before="110" w:line="220" w:lineRule="auto"/>
        <w:ind w:left="443"/>
        <w:rPr>
          <w:rFonts w:ascii="宋体" w:hAnsi="宋体" w:eastAsia="宋体" w:cs="宋体"/>
          <w:sz w:val="21"/>
          <w:szCs w:val="21"/>
        </w:rPr>
      </w:pPr>
      <w:r>
        <w:rPr>
          <w:rFonts w:ascii="宋体" w:hAnsi="宋体" w:eastAsia="宋体" w:cs="宋体"/>
          <w:spacing w:val="-1"/>
          <w:sz w:val="21"/>
          <w:szCs w:val="21"/>
        </w:rPr>
        <w:t>在合同订立及履行过程中形成的与合同有关的文件均构成合同文件组成部分。</w:t>
      </w:r>
    </w:p>
    <w:p w14:paraId="69C3F153">
      <w:pPr>
        <w:spacing w:before="125" w:line="345" w:lineRule="auto"/>
        <w:ind w:left="26" w:right="15" w:firstLine="419"/>
        <w:rPr>
          <w:rFonts w:ascii="宋体" w:hAnsi="宋体" w:eastAsia="宋体" w:cs="宋体"/>
          <w:sz w:val="21"/>
          <w:szCs w:val="21"/>
        </w:rPr>
      </w:pPr>
      <w:r>
        <w:rPr>
          <w:rFonts w:ascii="宋体" w:hAnsi="宋体" w:eastAsia="宋体" w:cs="宋体"/>
          <w:spacing w:val="-2"/>
          <w:sz w:val="21"/>
          <w:szCs w:val="21"/>
        </w:rPr>
        <w:t>上述各项合同文件包括合同当事人就该项合同文件所作出的补充和修改</w:t>
      </w:r>
      <w:r>
        <w:rPr>
          <w:rFonts w:ascii="宋体" w:hAnsi="宋体" w:eastAsia="宋体" w:cs="宋体"/>
          <w:spacing w:val="-3"/>
          <w:sz w:val="21"/>
          <w:szCs w:val="21"/>
        </w:rPr>
        <w:t>，属于同一类内</w:t>
      </w:r>
      <w:r>
        <w:rPr>
          <w:rFonts w:ascii="宋体" w:hAnsi="宋体" w:eastAsia="宋体" w:cs="宋体"/>
          <w:spacing w:val="-1"/>
          <w:sz w:val="21"/>
          <w:szCs w:val="21"/>
        </w:rPr>
        <w:t>容的文件，应以最新签署的为准。专用合同条款及其附件须经合同当事人签字或盖章。</w:t>
      </w:r>
    </w:p>
    <w:p w14:paraId="4BEAEAD2">
      <w:pPr>
        <w:spacing w:before="71" w:line="220" w:lineRule="auto"/>
        <w:ind w:left="23"/>
        <w:rPr>
          <w:rFonts w:ascii="黑体" w:hAnsi="黑体" w:eastAsia="黑体" w:cs="黑体"/>
          <w:sz w:val="21"/>
          <w:szCs w:val="21"/>
        </w:rPr>
      </w:pPr>
      <w:r>
        <w:rPr>
          <w:rFonts w:ascii="黑体" w:hAnsi="黑体" w:eastAsia="黑体" w:cs="黑体"/>
          <w:b/>
          <w:bCs/>
          <w:spacing w:val="7"/>
          <w:sz w:val="21"/>
          <w:szCs w:val="21"/>
        </w:rPr>
        <w:t>七、承诺</w:t>
      </w:r>
    </w:p>
    <w:p w14:paraId="6E1D4C2E">
      <w:pPr>
        <w:spacing w:before="290" w:line="322" w:lineRule="auto"/>
        <w:ind w:left="38" w:firstLine="422"/>
        <w:rPr>
          <w:rFonts w:ascii="宋体" w:hAnsi="宋体" w:eastAsia="宋体" w:cs="宋体"/>
          <w:sz w:val="21"/>
          <w:szCs w:val="21"/>
        </w:rPr>
      </w:pPr>
      <w:r>
        <w:rPr>
          <w:rFonts w:ascii="Times New Roman" w:hAnsi="Times New Roman" w:eastAsia="Times New Roman" w:cs="Times New Roman"/>
          <w:spacing w:val="-1"/>
          <w:sz w:val="21"/>
          <w:szCs w:val="21"/>
        </w:rPr>
        <w:t>1.</w:t>
      </w:r>
      <w:r>
        <w:rPr>
          <w:rFonts w:ascii="宋体" w:hAnsi="宋体" w:eastAsia="宋体" w:cs="宋体"/>
          <w:spacing w:val="-1"/>
          <w:sz w:val="21"/>
          <w:szCs w:val="21"/>
        </w:rPr>
        <w:t>发包人承诺按照法律规定履行项目审批手续、筹集工程建设资金并按照合同约定的期</w:t>
      </w:r>
      <w:r>
        <w:rPr>
          <w:rFonts w:ascii="宋体" w:hAnsi="宋体" w:eastAsia="宋体" w:cs="宋体"/>
          <w:spacing w:val="-4"/>
          <w:sz w:val="21"/>
          <w:szCs w:val="21"/>
        </w:rPr>
        <w:t>限和方式支付合同价款。</w:t>
      </w:r>
    </w:p>
    <w:p w14:paraId="7B444FAB">
      <w:pPr>
        <w:spacing w:before="18" w:line="336" w:lineRule="auto"/>
        <w:ind w:left="27" w:firstLine="413"/>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承包人承诺按照法律规定及合同约定组织完成工程施工，确保</w:t>
      </w:r>
      <w:r>
        <w:rPr>
          <w:rFonts w:ascii="宋体" w:hAnsi="宋体" w:eastAsia="宋体" w:cs="宋体"/>
          <w:spacing w:val="-1"/>
          <w:sz w:val="21"/>
          <w:szCs w:val="21"/>
        </w:rPr>
        <w:t>工程质量和安全，不进行转包及违法分包，并在缺陷责任期及保修期内承担相应的工程维修责任。</w:t>
      </w:r>
    </w:p>
    <w:p w14:paraId="6DCA167F">
      <w:pPr>
        <w:spacing w:before="2" w:line="233" w:lineRule="auto"/>
        <w:ind w:right="6"/>
        <w:jc w:val="right"/>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发包人和承包人通过招投标形式签订合同的，双方理解并承诺不再就同一工程另行签</w:t>
      </w:r>
    </w:p>
    <w:p w14:paraId="12BACE67">
      <w:pPr>
        <w:spacing w:line="233" w:lineRule="auto"/>
        <w:rPr>
          <w:rFonts w:ascii="宋体" w:hAnsi="宋体" w:eastAsia="宋体" w:cs="宋体"/>
          <w:sz w:val="21"/>
          <w:szCs w:val="21"/>
        </w:rPr>
        <w:sectPr>
          <w:footerReference r:id="rId149" w:type="default"/>
          <w:pgSz w:w="11910" w:h="16845"/>
          <w:pgMar w:top="400" w:right="1763" w:bottom="1110" w:left="1786" w:header="0" w:footer="883" w:gutter="0"/>
          <w:cols w:space="720" w:num="1"/>
        </w:sectPr>
      </w:pPr>
    </w:p>
    <w:p w14:paraId="58DDB154">
      <w:pPr>
        <w:pStyle w:val="2"/>
        <w:spacing w:line="271" w:lineRule="auto"/>
      </w:pPr>
    </w:p>
    <w:p w14:paraId="66A796C9">
      <w:pPr>
        <w:pStyle w:val="2"/>
        <w:spacing w:line="271" w:lineRule="auto"/>
      </w:pPr>
    </w:p>
    <w:p w14:paraId="19138616">
      <w:pPr>
        <w:pStyle w:val="2"/>
        <w:spacing w:line="271" w:lineRule="auto"/>
      </w:pPr>
    </w:p>
    <w:p w14:paraId="613A5B42">
      <w:pPr>
        <w:pStyle w:val="2"/>
        <w:spacing w:line="272" w:lineRule="auto"/>
      </w:pPr>
    </w:p>
    <w:p w14:paraId="67356547">
      <w:pPr>
        <w:spacing w:before="68" w:line="220" w:lineRule="auto"/>
        <w:ind w:left="26"/>
        <w:rPr>
          <w:rFonts w:ascii="宋体" w:hAnsi="宋体" w:eastAsia="宋体" w:cs="宋体"/>
          <w:sz w:val="21"/>
          <w:szCs w:val="21"/>
        </w:rPr>
      </w:pPr>
      <w:r>
        <w:rPr>
          <w:rFonts w:ascii="宋体" w:hAnsi="宋体" w:eastAsia="宋体" w:cs="宋体"/>
          <w:spacing w:val="-2"/>
          <w:sz w:val="21"/>
          <w:szCs w:val="21"/>
        </w:rPr>
        <w:t>订与合同实质性内容相背离的协议。</w:t>
      </w:r>
    </w:p>
    <w:p w14:paraId="42F1E801">
      <w:pPr>
        <w:spacing w:before="215" w:line="220" w:lineRule="auto"/>
        <w:ind w:left="24"/>
        <w:rPr>
          <w:rFonts w:ascii="黑体" w:hAnsi="黑体" w:eastAsia="黑体" w:cs="黑体"/>
          <w:sz w:val="21"/>
          <w:szCs w:val="21"/>
        </w:rPr>
      </w:pPr>
      <w:r>
        <w:rPr>
          <w:rFonts w:ascii="黑体" w:hAnsi="黑体" w:eastAsia="黑体" w:cs="黑体"/>
          <w:b/>
          <w:bCs/>
          <w:spacing w:val="4"/>
          <w:sz w:val="21"/>
          <w:szCs w:val="21"/>
        </w:rPr>
        <w:t>八、词语含义</w:t>
      </w:r>
    </w:p>
    <w:p w14:paraId="78C5B79F">
      <w:pPr>
        <w:spacing w:before="290" w:line="219" w:lineRule="auto"/>
        <w:ind w:left="445"/>
        <w:rPr>
          <w:rFonts w:ascii="宋体" w:hAnsi="宋体" w:eastAsia="宋体" w:cs="宋体"/>
          <w:sz w:val="21"/>
          <w:szCs w:val="21"/>
        </w:rPr>
      </w:pPr>
      <w:r>
        <w:rPr>
          <w:rFonts w:ascii="宋体" w:hAnsi="宋体" w:eastAsia="宋体" w:cs="宋体"/>
          <w:spacing w:val="-1"/>
          <w:sz w:val="21"/>
          <w:szCs w:val="21"/>
        </w:rPr>
        <w:t>本协议书中词语含义与第二部分通用合同条款中赋予的含义相同。</w:t>
      </w:r>
    </w:p>
    <w:p w14:paraId="2FA06853">
      <w:pPr>
        <w:spacing w:before="216" w:line="220" w:lineRule="auto"/>
        <w:ind w:left="29"/>
        <w:rPr>
          <w:rFonts w:ascii="黑体" w:hAnsi="黑体" w:eastAsia="黑体" w:cs="黑体"/>
          <w:sz w:val="21"/>
          <w:szCs w:val="21"/>
        </w:rPr>
      </w:pPr>
      <w:r>
        <w:rPr>
          <w:rFonts w:ascii="黑体" w:hAnsi="黑体" w:eastAsia="黑体" w:cs="黑体"/>
          <w:b/>
          <w:bCs/>
          <w:spacing w:val="3"/>
          <w:sz w:val="21"/>
          <w:szCs w:val="21"/>
        </w:rPr>
        <w:t>九、签订时间</w:t>
      </w:r>
    </w:p>
    <w:p w14:paraId="71A29CBF">
      <w:pPr>
        <w:spacing w:before="290" w:line="219" w:lineRule="auto"/>
        <w:ind w:left="445"/>
        <w:rPr>
          <w:rFonts w:ascii="宋体" w:hAnsi="宋体" w:eastAsia="宋体" w:cs="宋体"/>
          <w:sz w:val="21"/>
          <w:szCs w:val="21"/>
        </w:rPr>
      </w:pPr>
      <w:r>
        <w:rPr>
          <w:rFonts w:ascii="宋体" w:hAnsi="宋体" w:eastAsia="宋体" w:cs="宋体"/>
          <w:spacing w:val="-7"/>
          <w:sz w:val="21"/>
          <w:szCs w:val="21"/>
        </w:rPr>
        <w:t>本合同于</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年</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月</w:t>
      </w:r>
      <w:r>
        <w:rPr>
          <w:rFonts w:ascii="宋体" w:hAnsi="宋体" w:eastAsia="宋体" w:cs="宋体"/>
          <w:spacing w:val="-7"/>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日签订。</w:t>
      </w:r>
    </w:p>
    <w:p w14:paraId="797BF78E">
      <w:pPr>
        <w:spacing w:before="217" w:line="220" w:lineRule="auto"/>
        <w:ind w:left="26"/>
        <w:rPr>
          <w:rFonts w:ascii="黑体" w:hAnsi="黑体" w:eastAsia="黑体" w:cs="黑体"/>
          <w:sz w:val="21"/>
          <w:szCs w:val="21"/>
        </w:rPr>
      </w:pPr>
      <w:r>
        <w:rPr>
          <w:rFonts w:ascii="黑体" w:hAnsi="黑体" w:eastAsia="黑体" w:cs="黑体"/>
          <w:b/>
          <w:bCs/>
          <w:spacing w:val="3"/>
          <w:sz w:val="21"/>
          <w:szCs w:val="21"/>
        </w:rPr>
        <w:t>十、签订地点</w:t>
      </w:r>
    </w:p>
    <w:p w14:paraId="757CDDF1">
      <w:pPr>
        <w:spacing w:before="289" w:line="219" w:lineRule="auto"/>
        <w:ind w:left="445"/>
        <w:rPr>
          <w:rFonts w:ascii="宋体" w:hAnsi="宋体" w:eastAsia="宋体" w:cs="宋体"/>
          <w:sz w:val="21"/>
          <w:szCs w:val="21"/>
        </w:rPr>
      </w:pPr>
      <w:r>
        <w:rPr>
          <w:rFonts w:ascii="宋体" w:hAnsi="宋体" w:eastAsia="宋体" w:cs="宋体"/>
          <w:spacing w:val="-3"/>
          <w:sz w:val="21"/>
          <w:szCs w:val="21"/>
        </w:rPr>
        <w:t>本合同在</w:t>
      </w:r>
      <w:r>
        <w:rPr>
          <w:rFonts w:ascii="宋体" w:hAnsi="宋体" w:eastAsia="宋体" w:cs="宋体"/>
          <w:spacing w:val="-3"/>
          <w:sz w:val="21"/>
          <w:szCs w:val="21"/>
          <w:u w:val="single" w:color="auto"/>
        </w:rPr>
        <w:t xml:space="preserve">                                     </w:t>
      </w:r>
      <w:r>
        <w:rPr>
          <w:rFonts w:ascii="宋体" w:hAnsi="宋体" w:eastAsia="宋体" w:cs="宋体"/>
          <w:spacing w:val="-84"/>
          <w:sz w:val="21"/>
          <w:szCs w:val="21"/>
        </w:rPr>
        <w:t xml:space="preserve"> </w:t>
      </w:r>
      <w:r>
        <w:rPr>
          <w:rFonts w:ascii="宋体" w:hAnsi="宋体" w:eastAsia="宋体" w:cs="宋体"/>
          <w:spacing w:val="-3"/>
          <w:sz w:val="21"/>
          <w:szCs w:val="21"/>
        </w:rPr>
        <w:t>签订。</w:t>
      </w:r>
    </w:p>
    <w:p w14:paraId="7FA5F905">
      <w:pPr>
        <w:spacing w:before="216" w:line="219" w:lineRule="auto"/>
        <w:ind w:left="26"/>
        <w:rPr>
          <w:rFonts w:ascii="黑体" w:hAnsi="黑体" w:eastAsia="黑体" w:cs="黑体"/>
          <w:sz w:val="21"/>
          <w:szCs w:val="21"/>
        </w:rPr>
      </w:pPr>
      <w:r>
        <w:rPr>
          <w:rFonts w:ascii="黑体" w:hAnsi="黑体" w:eastAsia="黑体" w:cs="黑体"/>
          <w:b/>
          <w:bCs/>
          <w:spacing w:val="2"/>
          <w:sz w:val="21"/>
          <w:szCs w:val="21"/>
        </w:rPr>
        <w:t>十一、补充协议</w:t>
      </w:r>
    </w:p>
    <w:p w14:paraId="1EAB24C8">
      <w:pPr>
        <w:spacing w:before="291" w:line="220" w:lineRule="auto"/>
        <w:ind w:left="445"/>
        <w:rPr>
          <w:rFonts w:ascii="宋体" w:hAnsi="宋体" w:eastAsia="宋体" w:cs="宋体"/>
          <w:sz w:val="21"/>
          <w:szCs w:val="21"/>
        </w:rPr>
      </w:pPr>
      <w:r>
        <w:rPr>
          <w:rFonts w:ascii="宋体" w:hAnsi="宋体" w:eastAsia="宋体" w:cs="宋体"/>
          <w:spacing w:val="-1"/>
          <w:sz w:val="21"/>
          <w:szCs w:val="21"/>
        </w:rPr>
        <w:t>合同未尽事宜，合同当事人另行签订补充协议，补充协议是合同的组成部分。</w:t>
      </w:r>
    </w:p>
    <w:p w14:paraId="715C1107">
      <w:pPr>
        <w:spacing w:before="216" w:line="218" w:lineRule="auto"/>
        <w:ind w:left="26"/>
        <w:rPr>
          <w:rFonts w:ascii="黑体" w:hAnsi="黑体" w:eastAsia="黑体" w:cs="黑体"/>
          <w:sz w:val="21"/>
          <w:szCs w:val="21"/>
        </w:rPr>
      </w:pPr>
      <w:r>
        <w:rPr>
          <w:rFonts w:ascii="黑体" w:hAnsi="黑体" w:eastAsia="黑体" w:cs="黑体"/>
          <w:b/>
          <w:bCs/>
          <w:spacing w:val="2"/>
          <w:sz w:val="21"/>
          <w:szCs w:val="21"/>
        </w:rPr>
        <w:t>十二、合同生效</w:t>
      </w:r>
    </w:p>
    <w:p w14:paraId="52BA89B2">
      <w:pPr>
        <w:spacing w:before="293" w:line="219" w:lineRule="auto"/>
        <w:ind w:left="445"/>
        <w:rPr>
          <w:rFonts w:ascii="宋体" w:hAnsi="宋体" w:eastAsia="宋体" w:cs="宋体"/>
          <w:sz w:val="21"/>
          <w:szCs w:val="21"/>
        </w:rPr>
      </w:pPr>
      <w:r>
        <w:rPr>
          <w:rFonts w:ascii="宋体" w:hAnsi="宋体" w:eastAsia="宋体" w:cs="宋体"/>
          <w:spacing w:val="-5"/>
          <w:sz w:val="21"/>
          <w:szCs w:val="21"/>
        </w:rPr>
        <w:t>本合同自</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生效。</w:t>
      </w:r>
    </w:p>
    <w:p w14:paraId="553B7EE2">
      <w:pPr>
        <w:spacing w:before="216" w:line="220" w:lineRule="auto"/>
        <w:ind w:left="26"/>
        <w:rPr>
          <w:rFonts w:ascii="黑体" w:hAnsi="黑体" w:eastAsia="黑体" w:cs="黑体"/>
          <w:sz w:val="21"/>
          <w:szCs w:val="21"/>
        </w:rPr>
      </w:pPr>
      <w:r>
        <w:rPr>
          <w:rFonts w:ascii="黑体" w:hAnsi="黑体" w:eastAsia="黑体" w:cs="黑体"/>
          <w:b/>
          <w:bCs/>
          <w:spacing w:val="2"/>
          <w:sz w:val="21"/>
          <w:szCs w:val="21"/>
        </w:rPr>
        <w:t>十三、合同份数</w:t>
      </w:r>
    </w:p>
    <w:p w14:paraId="456F7CA1">
      <w:pPr>
        <w:spacing w:before="290" w:line="219" w:lineRule="auto"/>
        <w:ind w:left="445"/>
        <w:rPr>
          <w:rFonts w:ascii="宋体" w:hAnsi="宋体" w:eastAsia="宋体" w:cs="宋体"/>
          <w:sz w:val="21"/>
          <w:szCs w:val="21"/>
        </w:rPr>
      </w:pPr>
      <w:r>
        <w:rPr>
          <w:rFonts w:ascii="宋体" w:hAnsi="宋体" w:eastAsia="宋体" w:cs="宋体"/>
          <w:sz w:val="21"/>
          <w:szCs w:val="21"/>
        </w:rPr>
        <w:t>本合同一式</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z w:val="21"/>
          <w:szCs w:val="21"/>
        </w:rPr>
        <w:t>份，均具有同等法律效</w:t>
      </w:r>
      <w:r>
        <w:rPr>
          <w:rFonts w:ascii="宋体" w:hAnsi="宋体" w:eastAsia="宋体" w:cs="宋体"/>
          <w:spacing w:val="-1"/>
          <w:sz w:val="21"/>
          <w:szCs w:val="21"/>
        </w:rPr>
        <w:t>力，发包人执</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份，承包人执</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份。</w:t>
      </w:r>
    </w:p>
    <w:p w14:paraId="07C9FDF4">
      <w:pPr>
        <w:pStyle w:val="2"/>
        <w:spacing w:line="257" w:lineRule="auto"/>
      </w:pPr>
    </w:p>
    <w:p w14:paraId="646D11C7">
      <w:pPr>
        <w:pStyle w:val="2"/>
        <w:spacing w:line="257" w:lineRule="auto"/>
      </w:pPr>
    </w:p>
    <w:p w14:paraId="2D279817">
      <w:pPr>
        <w:pStyle w:val="2"/>
        <w:spacing w:line="257" w:lineRule="auto"/>
      </w:pPr>
    </w:p>
    <w:p w14:paraId="0EF940BF">
      <w:pPr>
        <w:pStyle w:val="2"/>
        <w:spacing w:line="257" w:lineRule="auto"/>
      </w:pPr>
    </w:p>
    <w:p w14:paraId="0F81DC81">
      <w:pPr>
        <w:pStyle w:val="2"/>
        <w:spacing w:line="257" w:lineRule="auto"/>
      </w:pPr>
    </w:p>
    <w:p w14:paraId="7D89B241">
      <w:pPr>
        <w:pStyle w:val="2"/>
        <w:spacing w:line="257" w:lineRule="auto"/>
      </w:pPr>
    </w:p>
    <w:p w14:paraId="142F6664">
      <w:pPr>
        <w:pStyle w:val="2"/>
        <w:spacing w:line="257" w:lineRule="auto"/>
      </w:pPr>
    </w:p>
    <w:p w14:paraId="2FF4D67B">
      <w:pPr>
        <w:pStyle w:val="2"/>
        <w:spacing w:line="257" w:lineRule="auto"/>
      </w:pPr>
    </w:p>
    <w:p w14:paraId="628BCFD3">
      <w:pPr>
        <w:pStyle w:val="2"/>
        <w:spacing w:line="257" w:lineRule="auto"/>
      </w:pPr>
    </w:p>
    <w:p w14:paraId="0B55F284">
      <w:pPr>
        <w:pStyle w:val="2"/>
        <w:spacing w:line="257" w:lineRule="auto"/>
      </w:pPr>
    </w:p>
    <w:p w14:paraId="348D6701">
      <w:pPr>
        <w:pStyle w:val="2"/>
        <w:spacing w:line="258" w:lineRule="auto"/>
      </w:pPr>
    </w:p>
    <w:p w14:paraId="52DEDEAD">
      <w:pPr>
        <w:pStyle w:val="2"/>
        <w:spacing w:line="258" w:lineRule="auto"/>
      </w:pPr>
    </w:p>
    <w:p w14:paraId="51A65154">
      <w:pPr>
        <w:spacing w:before="69" w:line="219" w:lineRule="auto"/>
        <w:ind w:left="448"/>
        <w:rPr>
          <w:rFonts w:ascii="宋体" w:hAnsi="宋体" w:eastAsia="宋体" w:cs="宋体"/>
          <w:sz w:val="21"/>
          <w:szCs w:val="21"/>
        </w:rPr>
      </w:pPr>
      <w:r>
        <w:rPr>
          <w:rFonts w:ascii="宋体" w:hAnsi="宋体" w:eastAsia="宋体" w:cs="宋体"/>
          <w:spacing w:val="-5"/>
          <w:sz w:val="21"/>
          <w:szCs w:val="21"/>
        </w:rPr>
        <w:t>发包人：</w:t>
      </w:r>
      <w:r>
        <w:rPr>
          <w:rFonts w:ascii="宋体" w:hAnsi="宋体" w:eastAsia="宋体" w:cs="宋体"/>
          <w:spacing w:val="27"/>
          <w:sz w:val="21"/>
          <w:szCs w:val="21"/>
        </w:rPr>
        <w:t xml:space="preserve">  </w:t>
      </w:r>
      <w:r>
        <w:rPr>
          <w:rFonts w:ascii="宋体" w:hAnsi="宋体" w:eastAsia="宋体" w:cs="宋体"/>
          <w:spacing w:val="-5"/>
          <w:sz w:val="21"/>
          <w:szCs w:val="21"/>
        </w:rPr>
        <w:t>(公章)                          承包人：</w:t>
      </w:r>
      <w:r>
        <w:rPr>
          <w:rFonts w:ascii="宋体" w:hAnsi="宋体" w:eastAsia="宋体" w:cs="宋体"/>
          <w:spacing w:val="23"/>
          <w:sz w:val="21"/>
          <w:szCs w:val="21"/>
        </w:rPr>
        <w:t xml:space="preserve">  </w:t>
      </w:r>
      <w:r>
        <w:rPr>
          <w:rFonts w:ascii="宋体" w:hAnsi="宋体" w:eastAsia="宋体" w:cs="宋体"/>
          <w:spacing w:val="-5"/>
          <w:sz w:val="21"/>
          <w:szCs w:val="21"/>
        </w:rPr>
        <w:t>(公章)</w:t>
      </w:r>
    </w:p>
    <w:p w14:paraId="1ED90EFB">
      <w:pPr>
        <w:pStyle w:val="2"/>
        <w:spacing w:line="430" w:lineRule="auto"/>
      </w:pPr>
    </w:p>
    <w:p w14:paraId="71F62C6C">
      <w:pPr>
        <w:spacing w:before="69" w:line="220" w:lineRule="auto"/>
        <w:ind w:left="445"/>
        <w:rPr>
          <w:rFonts w:ascii="宋体" w:hAnsi="宋体" w:eastAsia="宋体" w:cs="宋体"/>
          <w:sz w:val="21"/>
          <w:szCs w:val="21"/>
        </w:rPr>
      </w:pPr>
      <w:r>
        <w:rPr>
          <w:rFonts w:ascii="宋体" w:hAnsi="宋体" w:eastAsia="宋体" w:cs="宋体"/>
          <w:spacing w:val="-1"/>
          <w:sz w:val="21"/>
          <w:szCs w:val="21"/>
        </w:rPr>
        <w:t>法定代表人或其委托代理人：              法定代表人或其委托代</w:t>
      </w:r>
      <w:r>
        <w:rPr>
          <w:rFonts w:ascii="宋体" w:hAnsi="宋体" w:eastAsia="宋体" w:cs="宋体"/>
          <w:spacing w:val="-2"/>
          <w:sz w:val="21"/>
          <w:szCs w:val="21"/>
        </w:rPr>
        <w:t>理人：</w:t>
      </w:r>
    </w:p>
    <w:p w14:paraId="292D6828">
      <w:pPr>
        <w:spacing w:before="140" w:line="220" w:lineRule="auto"/>
        <w:ind w:left="450"/>
        <w:rPr>
          <w:rFonts w:ascii="宋体" w:hAnsi="宋体" w:eastAsia="宋体" w:cs="宋体"/>
          <w:sz w:val="21"/>
          <w:szCs w:val="21"/>
        </w:rPr>
      </w:pPr>
      <w:r>
        <w:rPr>
          <w:rFonts w:ascii="宋体" w:hAnsi="宋体" w:eastAsia="宋体" w:cs="宋体"/>
          <w:spacing w:val="-3"/>
          <w:sz w:val="21"/>
          <w:szCs w:val="21"/>
        </w:rPr>
        <w:t>（签字）</w:t>
      </w:r>
      <w:r>
        <w:rPr>
          <w:rFonts w:ascii="宋体" w:hAnsi="宋体" w:eastAsia="宋体" w:cs="宋体"/>
          <w:sz w:val="21"/>
          <w:szCs w:val="21"/>
        </w:rPr>
        <w:t xml:space="preserve">                                </w:t>
      </w:r>
      <w:r>
        <w:rPr>
          <w:rFonts w:ascii="宋体" w:hAnsi="宋体" w:eastAsia="宋体" w:cs="宋体"/>
          <w:spacing w:val="-3"/>
          <w:sz w:val="21"/>
          <w:szCs w:val="21"/>
        </w:rPr>
        <w:t>（签字）</w:t>
      </w:r>
    </w:p>
    <w:p w14:paraId="07A93B18">
      <w:pPr>
        <w:pStyle w:val="2"/>
        <w:spacing w:line="430" w:lineRule="auto"/>
      </w:pPr>
    </w:p>
    <w:p w14:paraId="015D1F22">
      <w:pPr>
        <w:spacing w:before="68" w:line="219" w:lineRule="auto"/>
        <w:ind w:left="447"/>
        <w:rPr>
          <w:rFonts w:ascii="宋体" w:hAnsi="宋体" w:eastAsia="宋体" w:cs="宋体"/>
          <w:sz w:val="21"/>
          <w:szCs w:val="21"/>
        </w:rPr>
      </w:pPr>
      <w:r>
        <w:rPr>
          <w:rFonts w:ascii="宋体" w:hAnsi="宋体" w:eastAsia="宋体" w:cs="宋体"/>
          <w:spacing w:val="-2"/>
          <w:sz w:val="21"/>
          <w:szCs w:val="21"/>
        </w:rPr>
        <w:t>组织机构代码：</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组织机构代码：</w:t>
      </w:r>
      <w:r>
        <w:rPr>
          <w:rFonts w:ascii="宋体" w:hAnsi="宋体" w:eastAsia="宋体" w:cs="宋体"/>
          <w:spacing w:val="-2"/>
          <w:sz w:val="21"/>
          <w:szCs w:val="21"/>
          <w:u w:val="single" w:color="auto"/>
        </w:rPr>
        <w:t xml:space="preserve">                </w:t>
      </w:r>
    </w:p>
    <w:p w14:paraId="38A8EBFC">
      <w:pPr>
        <w:spacing w:before="141" w:line="229" w:lineRule="auto"/>
        <w:ind w:left="444"/>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76A4AEE4">
      <w:pPr>
        <w:spacing w:before="115" w:line="220" w:lineRule="auto"/>
        <w:ind w:left="460"/>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259A2A42">
      <w:pPr>
        <w:spacing w:before="125" w:line="220" w:lineRule="auto"/>
        <w:ind w:left="44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法定代表人：</w:t>
      </w:r>
      <w:r>
        <w:rPr>
          <w:rFonts w:ascii="宋体" w:hAnsi="宋体" w:eastAsia="宋体" w:cs="宋体"/>
          <w:spacing w:val="-2"/>
          <w:sz w:val="21"/>
          <w:szCs w:val="21"/>
          <w:u w:val="single" w:color="auto"/>
        </w:rPr>
        <w:t xml:space="preserve">                  </w:t>
      </w:r>
    </w:p>
    <w:p w14:paraId="225DEBFA">
      <w:pPr>
        <w:spacing w:before="140" w:line="220" w:lineRule="auto"/>
        <w:ind w:left="443"/>
        <w:rPr>
          <w:rFonts w:ascii="宋体" w:hAnsi="宋体" w:eastAsia="宋体" w:cs="宋体"/>
          <w:sz w:val="21"/>
          <w:szCs w:val="21"/>
        </w:rPr>
      </w:pPr>
      <w:r>
        <w:rPr>
          <w:rFonts w:ascii="宋体" w:hAnsi="宋体" w:eastAsia="宋体" w:cs="宋体"/>
          <w:sz w:val="21"/>
          <w:szCs w:val="21"/>
        </w:rPr>
        <w:t>委托代理人：</w:t>
      </w:r>
      <w:r>
        <w:rPr>
          <w:rFonts w:ascii="宋体" w:hAnsi="宋体" w:eastAsia="宋体" w:cs="宋体"/>
          <w:sz w:val="21"/>
          <w:szCs w:val="21"/>
          <w:u w:val="single" w:color="auto"/>
        </w:rPr>
        <w:t xml:space="preserve">                 </w:t>
      </w:r>
      <w:r>
        <w:rPr>
          <w:rFonts w:ascii="宋体" w:hAnsi="宋体" w:eastAsia="宋体" w:cs="宋体"/>
          <w:sz w:val="21"/>
          <w:szCs w:val="21"/>
        </w:rPr>
        <w:t xml:space="preserve">            委托代理</w:t>
      </w:r>
      <w:r>
        <w:rPr>
          <w:rFonts w:ascii="宋体" w:hAnsi="宋体" w:eastAsia="宋体" w:cs="宋体"/>
          <w:spacing w:val="-1"/>
          <w:sz w:val="21"/>
          <w:szCs w:val="21"/>
        </w:rPr>
        <w:t>人：</w:t>
      </w:r>
      <w:r>
        <w:rPr>
          <w:rFonts w:ascii="宋体" w:hAnsi="宋体" w:eastAsia="宋体" w:cs="宋体"/>
          <w:sz w:val="21"/>
          <w:szCs w:val="21"/>
          <w:u w:val="single" w:color="auto"/>
        </w:rPr>
        <w:t xml:space="preserve">                  </w:t>
      </w:r>
    </w:p>
    <w:p w14:paraId="13AD87D0">
      <w:pPr>
        <w:spacing w:before="125" w:line="222" w:lineRule="auto"/>
        <w:ind w:left="469"/>
        <w:rPr>
          <w:rFonts w:ascii="宋体" w:hAnsi="宋体" w:eastAsia="宋体" w:cs="宋体"/>
          <w:sz w:val="21"/>
          <w:szCs w:val="21"/>
        </w:rPr>
      </w:pPr>
      <w:r>
        <w:rPr>
          <w:rFonts w:ascii="宋体" w:hAnsi="宋体" w:eastAsia="宋体" w:cs="宋体"/>
          <w:spacing w:val="-8"/>
          <w:sz w:val="21"/>
          <w:szCs w:val="21"/>
        </w:rPr>
        <w:t>电</w:t>
      </w:r>
      <w:r>
        <w:rPr>
          <w:rFonts w:ascii="宋体" w:hAnsi="宋体" w:eastAsia="宋体" w:cs="宋体"/>
          <w:spacing w:val="4"/>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r>
        <w:rPr>
          <w:rFonts w:ascii="宋体" w:hAnsi="宋体" w:eastAsia="宋体" w:cs="宋体"/>
          <w:spacing w:val="-8"/>
          <w:sz w:val="21"/>
          <w:szCs w:val="21"/>
        </w:rPr>
        <w:t xml:space="preserve">             电</w:t>
      </w:r>
      <w:r>
        <w:rPr>
          <w:rFonts w:ascii="宋体" w:hAnsi="宋体" w:eastAsia="宋体" w:cs="宋体"/>
          <w:spacing w:val="5"/>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p>
    <w:p w14:paraId="2F19EEE8">
      <w:pPr>
        <w:spacing w:line="222" w:lineRule="auto"/>
        <w:rPr>
          <w:rFonts w:ascii="宋体" w:hAnsi="宋体" w:eastAsia="宋体" w:cs="宋体"/>
          <w:sz w:val="21"/>
          <w:szCs w:val="21"/>
        </w:rPr>
        <w:sectPr>
          <w:footerReference r:id="rId150" w:type="default"/>
          <w:pgSz w:w="11910" w:h="16845"/>
          <w:pgMar w:top="400" w:right="1786" w:bottom="1110" w:left="1786" w:header="0" w:footer="883" w:gutter="0"/>
          <w:cols w:space="720" w:num="1"/>
        </w:sectPr>
      </w:pPr>
    </w:p>
    <w:p w14:paraId="6294338B">
      <w:pPr>
        <w:pStyle w:val="2"/>
        <w:spacing w:line="271" w:lineRule="auto"/>
      </w:pPr>
    </w:p>
    <w:p w14:paraId="1833F86C">
      <w:pPr>
        <w:pStyle w:val="2"/>
        <w:spacing w:line="271" w:lineRule="auto"/>
      </w:pPr>
    </w:p>
    <w:p w14:paraId="34341E3E">
      <w:pPr>
        <w:pStyle w:val="2"/>
        <w:spacing w:line="272" w:lineRule="auto"/>
      </w:pPr>
    </w:p>
    <w:p w14:paraId="2B05E9D4">
      <w:pPr>
        <w:pStyle w:val="2"/>
        <w:spacing w:line="272" w:lineRule="auto"/>
      </w:pPr>
    </w:p>
    <w:p w14:paraId="00C544E3">
      <w:pPr>
        <w:spacing w:before="68" w:line="219" w:lineRule="auto"/>
        <w:ind w:left="443"/>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6"/>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6"/>
          <w:sz w:val="21"/>
          <w:szCs w:val="21"/>
        </w:rPr>
        <w:t>传</w:t>
      </w:r>
      <w:r>
        <w:rPr>
          <w:rFonts w:ascii="宋体" w:hAnsi="宋体" w:eastAsia="宋体" w:cs="宋体"/>
          <w:spacing w:val="11"/>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19D39B9E">
      <w:pPr>
        <w:spacing w:before="125" w:line="220" w:lineRule="auto"/>
        <w:ind w:left="469"/>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7"/>
          <w:sz w:val="21"/>
          <w:szCs w:val="21"/>
        </w:rPr>
        <w:t>电子信箱：</w:t>
      </w:r>
      <w:r>
        <w:rPr>
          <w:rFonts w:ascii="宋体" w:hAnsi="宋体" w:eastAsia="宋体" w:cs="宋体"/>
          <w:sz w:val="21"/>
          <w:szCs w:val="21"/>
          <w:u w:val="single" w:color="auto"/>
        </w:rPr>
        <w:t xml:space="preserve">                    </w:t>
      </w:r>
    </w:p>
    <w:p w14:paraId="0A665525">
      <w:pPr>
        <w:spacing w:before="140" w:line="220" w:lineRule="auto"/>
        <w:ind w:left="445"/>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696A8D7A">
      <w:pPr>
        <w:spacing w:before="124" w:line="221" w:lineRule="auto"/>
        <w:ind w:left="448"/>
        <w:rPr>
          <w:rFonts w:ascii="宋体" w:hAnsi="宋体" w:eastAsia="宋体" w:cs="宋体"/>
          <w:sz w:val="21"/>
          <w:szCs w:val="21"/>
        </w:rPr>
      </w:pPr>
      <w:r>
        <w:rPr>
          <w:rFonts w:ascii="宋体" w:hAnsi="宋体" w:eastAsia="宋体" w:cs="宋体"/>
          <w:spacing w:val="-6"/>
          <w:sz w:val="21"/>
          <w:szCs w:val="21"/>
        </w:rPr>
        <w:t>账</w:t>
      </w:r>
      <w:r>
        <w:rPr>
          <w:rFonts w:ascii="宋体" w:hAnsi="宋体" w:eastAsia="宋体" w:cs="宋体"/>
          <w:spacing w:val="15"/>
          <w:sz w:val="21"/>
          <w:szCs w:val="21"/>
        </w:rPr>
        <w:t xml:space="preserve">  </w:t>
      </w:r>
      <w:r>
        <w:rPr>
          <w:rFonts w:ascii="宋体" w:hAnsi="宋体" w:eastAsia="宋体" w:cs="宋体"/>
          <w:spacing w:val="-6"/>
          <w:sz w:val="21"/>
          <w:szCs w:val="21"/>
        </w:rPr>
        <w:t>号：</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账</w:t>
      </w:r>
      <w:r>
        <w:rPr>
          <w:rFonts w:ascii="宋体" w:hAnsi="宋体" w:eastAsia="宋体" w:cs="宋体"/>
          <w:spacing w:val="9"/>
          <w:sz w:val="21"/>
          <w:szCs w:val="21"/>
        </w:rPr>
        <w:t xml:space="preserve">  </w:t>
      </w:r>
      <w:r>
        <w:rPr>
          <w:rFonts w:ascii="宋体" w:hAnsi="宋体" w:eastAsia="宋体" w:cs="宋体"/>
          <w:spacing w:val="-6"/>
          <w:sz w:val="21"/>
          <w:szCs w:val="21"/>
        </w:rPr>
        <w:t>号：</w:t>
      </w:r>
      <w:r>
        <w:rPr>
          <w:rFonts w:ascii="宋体" w:hAnsi="宋体" w:eastAsia="宋体" w:cs="宋体"/>
          <w:spacing w:val="-6"/>
          <w:sz w:val="21"/>
          <w:szCs w:val="21"/>
          <w:u w:val="single" w:color="auto"/>
        </w:rPr>
        <w:t xml:space="preserve">                      </w:t>
      </w:r>
    </w:p>
    <w:p w14:paraId="32EB83CE">
      <w:pPr>
        <w:pStyle w:val="2"/>
        <w:spacing w:line="244" w:lineRule="auto"/>
      </w:pPr>
    </w:p>
    <w:p w14:paraId="6A284B2A">
      <w:pPr>
        <w:pStyle w:val="2"/>
        <w:spacing w:line="244" w:lineRule="auto"/>
      </w:pPr>
    </w:p>
    <w:p w14:paraId="4F5777BC">
      <w:pPr>
        <w:pStyle w:val="2"/>
        <w:spacing w:line="244" w:lineRule="auto"/>
      </w:pPr>
    </w:p>
    <w:p w14:paraId="3FF45D47">
      <w:pPr>
        <w:pStyle w:val="2"/>
        <w:spacing w:line="244" w:lineRule="auto"/>
      </w:pPr>
    </w:p>
    <w:p w14:paraId="4BBACB8D">
      <w:pPr>
        <w:pStyle w:val="2"/>
        <w:spacing w:line="244" w:lineRule="auto"/>
      </w:pPr>
    </w:p>
    <w:p w14:paraId="1AB2544E">
      <w:pPr>
        <w:pStyle w:val="2"/>
        <w:spacing w:line="245" w:lineRule="auto"/>
      </w:pPr>
    </w:p>
    <w:p w14:paraId="502EC834">
      <w:pPr>
        <w:pStyle w:val="2"/>
        <w:spacing w:line="245" w:lineRule="auto"/>
      </w:pPr>
    </w:p>
    <w:p w14:paraId="4629B27D">
      <w:pPr>
        <w:pStyle w:val="2"/>
        <w:spacing w:line="245" w:lineRule="auto"/>
      </w:pPr>
    </w:p>
    <w:p w14:paraId="758A1DC1">
      <w:pPr>
        <w:pStyle w:val="2"/>
        <w:spacing w:line="245" w:lineRule="auto"/>
      </w:pPr>
    </w:p>
    <w:p w14:paraId="0BBE1567">
      <w:pPr>
        <w:pStyle w:val="2"/>
        <w:spacing w:line="245" w:lineRule="auto"/>
      </w:pPr>
    </w:p>
    <w:p w14:paraId="4305E91D">
      <w:pPr>
        <w:pStyle w:val="2"/>
        <w:spacing w:line="245" w:lineRule="auto"/>
      </w:pPr>
    </w:p>
    <w:p w14:paraId="0F5CAFD1">
      <w:pPr>
        <w:pStyle w:val="2"/>
        <w:spacing w:line="245" w:lineRule="auto"/>
      </w:pPr>
    </w:p>
    <w:p w14:paraId="0204B838">
      <w:pPr>
        <w:pStyle w:val="2"/>
        <w:spacing w:line="245" w:lineRule="auto"/>
      </w:pPr>
    </w:p>
    <w:p w14:paraId="01441064">
      <w:pPr>
        <w:pStyle w:val="2"/>
        <w:spacing w:line="245" w:lineRule="auto"/>
      </w:pPr>
    </w:p>
    <w:p w14:paraId="09396635">
      <w:pPr>
        <w:pStyle w:val="2"/>
        <w:spacing w:line="245" w:lineRule="auto"/>
      </w:pPr>
    </w:p>
    <w:p w14:paraId="059DE908">
      <w:pPr>
        <w:pStyle w:val="2"/>
        <w:spacing w:line="245" w:lineRule="auto"/>
      </w:pPr>
    </w:p>
    <w:p w14:paraId="14FFF5E6">
      <w:pPr>
        <w:pStyle w:val="2"/>
        <w:spacing w:line="245" w:lineRule="auto"/>
      </w:pPr>
    </w:p>
    <w:p w14:paraId="05DF0714">
      <w:pPr>
        <w:pStyle w:val="2"/>
        <w:spacing w:line="245" w:lineRule="auto"/>
      </w:pPr>
    </w:p>
    <w:p w14:paraId="4C63E710">
      <w:pPr>
        <w:pStyle w:val="2"/>
        <w:spacing w:line="245" w:lineRule="auto"/>
      </w:pPr>
    </w:p>
    <w:p w14:paraId="7F7A8217">
      <w:pPr>
        <w:pStyle w:val="2"/>
        <w:spacing w:line="245" w:lineRule="auto"/>
      </w:pPr>
    </w:p>
    <w:p w14:paraId="7713C361">
      <w:pPr>
        <w:pStyle w:val="2"/>
        <w:spacing w:line="245" w:lineRule="auto"/>
      </w:pPr>
    </w:p>
    <w:p w14:paraId="2346AFAC">
      <w:pPr>
        <w:pStyle w:val="2"/>
        <w:spacing w:line="245" w:lineRule="auto"/>
      </w:pPr>
    </w:p>
    <w:p w14:paraId="0F3A9CBF">
      <w:pPr>
        <w:spacing w:before="92" w:line="222" w:lineRule="auto"/>
        <w:ind w:left="2685"/>
        <w:outlineLvl w:val="1"/>
        <w:rPr>
          <w:rFonts w:ascii="黑体" w:hAnsi="黑体" w:eastAsia="黑体" w:cs="黑体"/>
          <w:sz w:val="28"/>
          <w:szCs w:val="28"/>
        </w:rPr>
      </w:pPr>
      <w:bookmarkStart w:id="340" w:name="bookmark294"/>
      <w:bookmarkEnd w:id="340"/>
      <w:r>
        <w:rPr>
          <w:rFonts w:ascii="黑体" w:hAnsi="黑体" w:eastAsia="黑体" w:cs="黑体"/>
          <w:spacing w:val="8"/>
          <w:sz w:val="28"/>
          <w:szCs w:val="28"/>
        </w:rPr>
        <w:t>第二部分</w:t>
      </w:r>
      <w:r>
        <w:rPr>
          <w:rFonts w:ascii="黑体" w:hAnsi="黑体" w:eastAsia="黑体" w:cs="黑体"/>
          <w:spacing w:val="-33"/>
          <w:sz w:val="28"/>
          <w:szCs w:val="28"/>
        </w:rPr>
        <w:t xml:space="preserve"> </w:t>
      </w:r>
      <w:r>
        <w:rPr>
          <w:rFonts w:ascii="黑体" w:hAnsi="黑体" w:eastAsia="黑体" w:cs="黑体"/>
          <w:spacing w:val="8"/>
          <w:sz w:val="28"/>
          <w:szCs w:val="28"/>
        </w:rPr>
        <w:t>通用合同条款</w:t>
      </w:r>
    </w:p>
    <w:p w14:paraId="13628373">
      <w:pPr>
        <w:spacing w:line="222" w:lineRule="auto"/>
        <w:rPr>
          <w:rFonts w:ascii="黑体" w:hAnsi="黑体" w:eastAsia="黑体" w:cs="黑体"/>
          <w:sz w:val="28"/>
          <w:szCs w:val="28"/>
        </w:rPr>
        <w:sectPr>
          <w:footerReference r:id="rId151" w:type="default"/>
          <w:pgSz w:w="11910" w:h="16845"/>
          <w:pgMar w:top="400" w:right="1786" w:bottom="1110" w:left="1786" w:header="0" w:footer="883" w:gutter="0"/>
          <w:cols w:space="720" w:num="1"/>
        </w:sectPr>
      </w:pPr>
    </w:p>
    <w:p w14:paraId="6C240243">
      <w:pPr>
        <w:pStyle w:val="2"/>
        <w:spacing w:line="243" w:lineRule="auto"/>
      </w:pPr>
    </w:p>
    <w:p w14:paraId="1F955129">
      <w:pPr>
        <w:pStyle w:val="2"/>
        <w:spacing w:line="243" w:lineRule="auto"/>
      </w:pPr>
    </w:p>
    <w:p w14:paraId="3D470CB7">
      <w:pPr>
        <w:pStyle w:val="2"/>
        <w:spacing w:line="243" w:lineRule="auto"/>
      </w:pPr>
    </w:p>
    <w:p w14:paraId="05579F14">
      <w:pPr>
        <w:pStyle w:val="2"/>
        <w:spacing w:line="243" w:lineRule="auto"/>
      </w:pPr>
    </w:p>
    <w:p w14:paraId="576B6DC0">
      <w:pPr>
        <w:pStyle w:val="2"/>
        <w:spacing w:line="243" w:lineRule="auto"/>
      </w:pPr>
    </w:p>
    <w:p w14:paraId="21DFA0F6">
      <w:pPr>
        <w:pStyle w:val="2"/>
        <w:spacing w:line="243" w:lineRule="auto"/>
      </w:pPr>
    </w:p>
    <w:p w14:paraId="22F2D574">
      <w:pPr>
        <w:pStyle w:val="2"/>
        <w:spacing w:line="243" w:lineRule="auto"/>
      </w:pPr>
    </w:p>
    <w:p w14:paraId="74003E20">
      <w:pPr>
        <w:pStyle w:val="2"/>
        <w:spacing w:line="243" w:lineRule="auto"/>
      </w:pPr>
    </w:p>
    <w:p w14:paraId="0F9BD0A0">
      <w:pPr>
        <w:pStyle w:val="2"/>
        <w:spacing w:line="243" w:lineRule="auto"/>
      </w:pPr>
    </w:p>
    <w:p w14:paraId="7E4047D1">
      <w:pPr>
        <w:pStyle w:val="2"/>
        <w:spacing w:line="243" w:lineRule="auto"/>
      </w:pPr>
    </w:p>
    <w:p w14:paraId="1CA8C614">
      <w:pPr>
        <w:pStyle w:val="2"/>
        <w:spacing w:line="243" w:lineRule="auto"/>
      </w:pPr>
    </w:p>
    <w:p w14:paraId="72EAFA88">
      <w:pPr>
        <w:pStyle w:val="2"/>
        <w:spacing w:line="243" w:lineRule="auto"/>
      </w:pPr>
    </w:p>
    <w:p w14:paraId="510EB2DC">
      <w:pPr>
        <w:pStyle w:val="2"/>
        <w:spacing w:line="244" w:lineRule="auto"/>
      </w:pPr>
    </w:p>
    <w:p w14:paraId="15B06A0E">
      <w:pPr>
        <w:pStyle w:val="2"/>
        <w:spacing w:line="244" w:lineRule="auto"/>
      </w:pPr>
    </w:p>
    <w:p w14:paraId="13D7165D">
      <w:pPr>
        <w:pStyle w:val="2"/>
        <w:spacing w:line="244" w:lineRule="auto"/>
      </w:pPr>
    </w:p>
    <w:p w14:paraId="4B9FA3A0">
      <w:pPr>
        <w:pStyle w:val="2"/>
        <w:spacing w:line="244" w:lineRule="auto"/>
      </w:pPr>
    </w:p>
    <w:p w14:paraId="422636F0">
      <w:pPr>
        <w:pStyle w:val="2"/>
        <w:spacing w:line="244" w:lineRule="auto"/>
      </w:pPr>
    </w:p>
    <w:p w14:paraId="6F9DB876">
      <w:pPr>
        <w:pStyle w:val="2"/>
        <w:spacing w:line="244" w:lineRule="auto"/>
      </w:pPr>
    </w:p>
    <w:p w14:paraId="30CD5D72">
      <w:pPr>
        <w:pStyle w:val="2"/>
        <w:spacing w:line="244" w:lineRule="auto"/>
      </w:pPr>
    </w:p>
    <w:p w14:paraId="5C352CFF">
      <w:pPr>
        <w:pStyle w:val="2"/>
        <w:spacing w:line="244" w:lineRule="auto"/>
      </w:pPr>
    </w:p>
    <w:p w14:paraId="1F65F356">
      <w:pPr>
        <w:pStyle w:val="2"/>
        <w:spacing w:line="244" w:lineRule="auto"/>
      </w:pPr>
    </w:p>
    <w:p w14:paraId="38157484">
      <w:pPr>
        <w:pStyle w:val="2"/>
        <w:spacing w:line="244" w:lineRule="auto"/>
      </w:pPr>
    </w:p>
    <w:p w14:paraId="4D96FD55">
      <w:pPr>
        <w:spacing w:before="91" w:line="223" w:lineRule="auto"/>
        <w:ind w:left="3313"/>
        <w:rPr>
          <w:rFonts w:ascii="黑体" w:hAnsi="黑体" w:eastAsia="黑体" w:cs="黑体"/>
          <w:sz w:val="28"/>
          <w:szCs w:val="28"/>
        </w:rPr>
      </w:pPr>
      <w:r>
        <w:rPr>
          <w:rFonts w:ascii="黑体" w:hAnsi="黑体" w:eastAsia="黑体" w:cs="黑体"/>
          <w:spacing w:val="8"/>
          <w:sz w:val="28"/>
          <w:szCs w:val="28"/>
        </w:rPr>
        <w:t>通用合同条款</w:t>
      </w:r>
    </w:p>
    <w:p w14:paraId="333CBCC6">
      <w:pPr>
        <w:pStyle w:val="2"/>
        <w:spacing w:line="453" w:lineRule="auto"/>
      </w:pPr>
    </w:p>
    <w:p w14:paraId="4E33B36F">
      <w:pPr>
        <w:spacing w:before="91" w:line="236" w:lineRule="auto"/>
        <w:ind w:left="34"/>
        <w:outlineLvl w:val="1"/>
        <w:rPr>
          <w:rFonts w:ascii="黑体" w:hAnsi="黑体" w:eastAsia="黑体" w:cs="黑体"/>
          <w:sz w:val="28"/>
          <w:szCs w:val="28"/>
        </w:rPr>
      </w:pPr>
      <w:bookmarkStart w:id="341" w:name="bookmark295"/>
      <w:bookmarkEnd w:id="341"/>
      <w:bookmarkStart w:id="342" w:name="bookmark296"/>
      <w:bookmarkEnd w:id="342"/>
      <w:r>
        <w:rPr>
          <w:rFonts w:ascii="Times New Roman" w:hAnsi="Times New Roman" w:eastAsia="Times New Roman" w:cs="Times New Roman"/>
          <w:b/>
          <w:bCs/>
          <w:spacing w:val="5"/>
          <w:sz w:val="28"/>
          <w:szCs w:val="28"/>
        </w:rPr>
        <w:t>1.</w:t>
      </w:r>
      <w:r>
        <w:rPr>
          <w:rFonts w:ascii="Times New Roman" w:hAnsi="Times New Roman" w:eastAsia="Times New Roman" w:cs="Times New Roman"/>
          <w:b/>
          <w:bCs/>
          <w:sz w:val="28"/>
          <w:szCs w:val="28"/>
        </w:rPr>
        <w:t xml:space="preserve">  </w:t>
      </w:r>
      <w:r>
        <w:rPr>
          <w:rFonts w:ascii="黑体" w:hAnsi="黑体" w:eastAsia="黑体" w:cs="黑体"/>
          <w:b/>
          <w:bCs/>
          <w:spacing w:val="5"/>
          <w:sz w:val="28"/>
          <w:szCs w:val="28"/>
        </w:rPr>
        <w:t>一般约定</w:t>
      </w:r>
    </w:p>
    <w:p w14:paraId="5618AA9D">
      <w:pPr>
        <w:spacing w:before="86" w:line="233" w:lineRule="auto"/>
        <w:ind w:left="31"/>
        <w:outlineLvl w:val="2"/>
        <w:rPr>
          <w:rFonts w:ascii="黑体" w:hAnsi="黑体" w:eastAsia="黑体" w:cs="黑体"/>
          <w:sz w:val="24"/>
          <w:szCs w:val="24"/>
        </w:rPr>
      </w:pPr>
      <w:bookmarkStart w:id="343" w:name="bookmark683"/>
      <w:bookmarkEnd w:id="343"/>
      <w:r>
        <w:rPr>
          <w:rFonts w:ascii="Times New Roman" w:hAnsi="Times New Roman" w:eastAsia="Times New Roman" w:cs="Times New Roman"/>
          <w:b/>
          <w:bCs/>
          <w:spacing w:val="1"/>
          <w:sz w:val="24"/>
          <w:szCs w:val="24"/>
        </w:rPr>
        <w:t xml:space="preserve">1.1 </w:t>
      </w:r>
      <w:r>
        <w:rPr>
          <w:rFonts w:ascii="黑体" w:hAnsi="黑体" w:eastAsia="黑体" w:cs="黑体"/>
          <w:b/>
          <w:bCs/>
          <w:spacing w:val="1"/>
          <w:sz w:val="24"/>
          <w:szCs w:val="24"/>
        </w:rPr>
        <w:t>词语定义与解释</w:t>
      </w:r>
    </w:p>
    <w:p w14:paraId="0A4D70DF">
      <w:pPr>
        <w:spacing w:before="112" w:line="219" w:lineRule="auto"/>
        <w:ind w:left="445"/>
        <w:rPr>
          <w:rFonts w:ascii="宋体" w:hAnsi="宋体" w:eastAsia="宋体" w:cs="宋体"/>
          <w:sz w:val="21"/>
          <w:szCs w:val="21"/>
        </w:rPr>
      </w:pPr>
      <w:r>
        <w:rPr>
          <w:rFonts w:ascii="宋体" w:hAnsi="宋体" w:eastAsia="宋体" w:cs="宋体"/>
          <w:spacing w:val="-1"/>
          <w:sz w:val="21"/>
          <w:szCs w:val="21"/>
        </w:rPr>
        <w:t>合同协议书、通用合同条款、专用合同条款中的下列词语具有本款所赋予</w:t>
      </w:r>
      <w:r>
        <w:rPr>
          <w:rFonts w:ascii="宋体" w:hAnsi="宋体" w:eastAsia="宋体" w:cs="宋体"/>
          <w:spacing w:val="-2"/>
          <w:sz w:val="21"/>
          <w:szCs w:val="21"/>
        </w:rPr>
        <w:t>的含义：</w:t>
      </w:r>
    </w:p>
    <w:p w14:paraId="02C606C6">
      <w:pPr>
        <w:spacing w:before="156" w:line="236" w:lineRule="auto"/>
        <w:ind w:left="461"/>
        <w:rPr>
          <w:rFonts w:ascii="宋体" w:hAnsi="宋体" w:eastAsia="宋体" w:cs="宋体"/>
          <w:sz w:val="21"/>
          <w:szCs w:val="21"/>
        </w:rPr>
      </w:pPr>
      <w:r>
        <w:rPr>
          <w:rFonts w:ascii="Times New Roman" w:hAnsi="Times New Roman" w:eastAsia="Times New Roman" w:cs="Times New Roman"/>
          <w:spacing w:val="-3"/>
          <w:sz w:val="21"/>
          <w:szCs w:val="21"/>
        </w:rPr>
        <w:t>1.1.1</w:t>
      </w:r>
      <w:r>
        <w:rPr>
          <w:rFonts w:ascii="Times New Roman" w:hAnsi="Times New Roman" w:eastAsia="Times New Roman" w:cs="Times New Roman"/>
          <w:spacing w:val="53"/>
          <w:sz w:val="21"/>
          <w:szCs w:val="21"/>
        </w:rPr>
        <w:t xml:space="preserve"> </w:t>
      </w:r>
      <w:r>
        <w:rPr>
          <w:rFonts w:ascii="宋体" w:hAnsi="宋体" w:eastAsia="宋体" w:cs="宋体"/>
          <w:spacing w:val="-3"/>
          <w:sz w:val="21"/>
          <w:szCs w:val="21"/>
        </w:rPr>
        <w:t>合同</w:t>
      </w:r>
    </w:p>
    <w:p w14:paraId="1F31D797">
      <w:pPr>
        <w:spacing w:before="136" w:line="350" w:lineRule="auto"/>
        <w:ind w:left="23" w:right="10"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1.1.1.1  </w:t>
      </w:r>
      <w:r>
        <w:rPr>
          <w:rFonts w:ascii="宋体" w:hAnsi="宋体" w:eastAsia="宋体" w:cs="宋体"/>
          <w:spacing w:val="1"/>
          <w:sz w:val="21"/>
          <w:szCs w:val="21"/>
        </w:rPr>
        <w:t>合同：是指根据法律规定和合同当事人约定具有约束</w:t>
      </w:r>
      <w:r>
        <w:rPr>
          <w:rFonts w:ascii="宋体" w:hAnsi="宋体" w:eastAsia="宋体" w:cs="宋体"/>
          <w:sz w:val="21"/>
          <w:szCs w:val="21"/>
        </w:rPr>
        <w:t>力的文件，构成合同的文</w:t>
      </w:r>
      <w:r>
        <w:rPr>
          <w:rFonts w:ascii="宋体" w:hAnsi="宋体" w:eastAsia="宋体" w:cs="宋体"/>
          <w:spacing w:val="-7"/>
          <w:sz w:val="21"/>
          <w:szCs w:val="21"/>
        </w:rPr>
        <w:t>件包括合同协议书、中标通知书（如果有）、投标函及其附录（如果有）、专用合同条款及其</w:t>
      </w:r>
      <w:r>
        <w:rPr>
          <w:rFonts w:ascii="宋体" w:hAnsi="宋体" w:eastAsia="宋体" w:cs="宋体"/>
          <w:spacing w:val="-2"/>
          <w:sz w:val="21"/>
          <w:szCs w:val="21"/>
        </w:rPr>
        <w:t>附件、通用合同条款、技术标准和要求、图纸、已标价工程量清单或预算书以及其他合同文</w:t>
      </w:r>
      <w:r>
        <w:rPr>
          <w:rFonts w:ascii="宋体" w:hAnsi="宋体" w:eastAsia="宋体" w:cs="宋体"/>
          <w:spacing w:val="-10"/>
          <w:sz w:val="21"/>
          <w:szCs w:val="21"/>
        </w:rPr>
        <w:t>件。</w:t>
      </w:r>
    </w:p>
    <w:p w14:paraId="37DD64A6">
      <w:pPr>
        <w:spacing w:before="2" w:line="347" w:lineRule="auto"/>
        <w:ind w:left="41" w:firstLine="419"/>
        <w:rPr>
          <w:rFonts w:ascii="宋体" w:hAnsi="宋体" w:eastAsia="宋体" w:cs="宋体"/>
          <w:sz w:val="21"/>
          <w:szCs w:val="21"/>
        </w:rPr>
      </w:pPr>
      <w:r>
        <w:rPr>
          <w:rFonts w:ascii="Times New Roman" w:hAnsi="Times New Roman" w:eastAsia="Times New Roman" w:cs="Times New Roman"/>
          <w:spacing w:val="3"/>
          <w:sz w:val="21"/>
          <w:szCs w:val="21"/>
        </w:rPr>
        <w:t xml:space="preserve">1.1.1.2  </w:t>
      </w:r>
      <w:r>
        <w:rPr>
          <w:rFonts w:ascii="宋体" w:hAnsi="宋体" w:eastAsia="宋体" w:cs="宋体"/>
          <w:spacing w:val="3"/>
          <w:sz w:val="21"/>
          <w:szCs w:val="21"/>
        </w:rPr>
        <w:t>合同协议书：是指构成合同的</w:t>
      </w:r>
      <w:r>
        <w:rPr>
          <w:rFonts w:ascii="宋体" w:hAnsi="宋体" w:eastAsia="宋体" w:cs="宋体"/>
          <w:spacing w:val="2"/>
          <w:sz w:val="21"/>
          <w:szCs w:val="21"/>
        </w:rPr>
        <w:t>由发包人和承包人共同签署的称为</w:t>
      </w:r>
      <w:r>
        <w:rPr>
          <w:rFonts w:ascii="Times New Roman" w:hAnsi="Times New Roman" w:eastAsia="Times New Roman" w:cs="Times New Roman"/>
          <w:spacing w:val="2"/>
          <w:sz w:val="21"/>
          <w:szCs w:val="21"/>
        </w:rPr>
        <w:t>“</w:t>
      </w:r>
      <w:r>
        <w:rPr>
          <w:rFonts w:ascii="宋体" w:hAnsi="宋体" w:eastAsia="宋体" w:cs="宋体"/>
          <w:spacing w:val="2"/>
          <w:sz w:val="21"/>
          <w:szCs w:val="21"/>
        </w:rPr>
        <w:t>合同协议书</w:t>
      </w:r>
      <w:r>
        <w:rPr>
          <w:rFonts w:ascii="Times New Roman" w:hAnsi="Times New Roman" w:eastAsia="Times New Roman" w:cs="Times New Roman"/>
          <w:spacing w:val="2"/>
          <w:sz w:val="21"/>
          <w:szCs w:val="21"/>
        </w:rPr>
        <w:t>”</w:t>
      </w:r>
      <w:r>
        <w:rPr>
          <w:rFonts w:ascii="宋体" w:hAnsi="宋体" w:eastAsia="宋体" w:cs="宋体"/>
          <w:spacing w:val="-4"/>
          <w:sz w:val="21"/>
          <w:szCs w:val="21"/>
        </w:rPr>
        <w:t>的书面文件。</w:t>
      </w:r>
    </w:p>
    <w:p w14:paraId="48C3995F">
      <w:pPr>
        <w:spacing w:before="1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1.1.1.3  </w:t>
      </w:r>
      <w:r>
        <w:rPr>
          <w:rFonts w:ascii="宋体" w:hAnsi="宋体" w:eastAsia="宋体" w:cs="宋体"/>
          <w:spacing w:val="-1"/>
          <w:sz w:val="21"/>
          <w:szCs w:val="21"/>
        </w:rPr>
        <w:t>中标通知书：是指构成合同的由发包人通知承包人中标的书面文件。</w:t>
      </w:r>
    </w:p>
    <w:p w14:paraId="604825DB">
      <w:pPr>
        <w:spacing w:before="126" w:line="348" w:lineRule="auto"/>
        <w:ind w:left="23" w:right="49"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1.1.1.4  </w:t>
      </w:r>
      <w:r>
        <w:rPr>
          <w:rFonts w:ascii="宋体" w:hAnsi="宋体" w:eastAsia="宋体" w:cs="宋体"/>
          <w:spacing w:val="1"/>
          <w:sz w:val="21"/>
          <w:szCs w:val="21"/>
        </w:rPr>
        <w:t>投标函：是指构成合同的由承包人填写并签署的用于投标的称为</w:t>
      </w:r>
      <w:r>
        <w:rPr>
          <w:rFonts w:ascii="Times New Roman" w:hAnsi="Times New Roman" w:eastAsia="Times New Roman" w:cs="Times New Roman"/>
          <w:spacing w:val="1"/>
          <w:sz w:val="21"/>
          <w:szCs w:val="21"/>
        </w:rPr>
        <w:t>“</w:t>
      </w:r>
      <w:r>
        <w:rPr>
          <w:rFonts w:ascii="宋体" w:hAnsi="宋体" w:eastAsia="宋体" w:cs="宋体"/>
          <w:sz w:val="21"/>
          <w:szCs w:val="21"/>
        </w:rPr>
        <w:t>投标函</w:t>
      </w:r>
      <w:r>
        <w:rPr>
          <w:rFonts w:ascii="Times New Roman" w:hAnsi="Times New Roman" w:eastAsia="Times New Roman" w:cs="Times New Roman"/>
          <w:sz w:val="21"/>
          <w:szCs w:val="21"/>
        </w:rPr>
        <w:t>”</w:t>
      </w:r>
      <w:r>
        <w:rPr>
          <w:rFonts w:ascii="Times New Roman" w:hAnsi="Times New Roman" w:eastAsia="Times New Roman" w:cs="Times New Roman"/>
          <w:spacing w:val="-30"/>
          <w:sz w:val="21"/>
          <w:szCs w:val="21"/>
        </w:rPr>
        <w:t xml:space="preserve"> </w:t>
      </w:r>
      <w:r>
        <w:rPr>
          <w:rFonts w:ascii="宋体" w:hAnsi="宋体" w:eastAsia="宋体" w:cs="宋体"/>
          <w:sz w:val="21"/>
          <w:szCs w:val="21"/>
        </w:rPr>
        <w:t>的文</w:t>
      </w:r>
      <w:r>
        <w:rPr>
          <w:rFonts w:ascii="宋体" w:hAnsi="宋体" w:eastAsia="宋体" w:cs="宋体"/>
          <w:spacing w:val="-10"/>
          <w:sz w:val="21"/>
          <w:szCs w:val="21"/>
        </w:rPr>
        <w:t>件。</w:t>
      </w:r>
    </w:p>
    <w:p w14:paraId="01D82677">
      <w:pPr>
        <w:spacing w:before="1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1.1.1.5</w:t>
      </w:r>
      <w:r>
        <w:rPr>
          <w:rFonts w:ascii="Times New Roman" w:hAnsi="Times New Roman" w:eastAsia="Times New Roman" w:cs="Times New Roman"/>
          <w:spacing w:val="49"/>
          <w:sz w:val="21"/>
          <w:szCs w:val="21"/>
        </w:rPr>
        <w:t xml:space="preserve"> </w:t>
      </w:r>
      <w:r>
        <w:rPr>
          <w:rFonts w:ascii="宋体" w:hAnsi="宋体" w:eastAsia="宋体" w:cs="宋体"/>
          <w:spacing w:val="-1"/>
          <w:sz w:val="21"/>
          <w:szCs w:val="21"/>
        </w:rPr>
        <w:t>投标函附录：是指构成合同的附在投标函后的称为</w:t>
      </w:r>
      <w:r>
        <w:rPr>
          <w:rFonts w:ascii="Times New Roman" w:hAnsi="Times New Roman" w:eastAsia="Times New Roman" w:cs="Times New Roman"/>
          <w:spacing w:val="-1"/>
          <w:sz w:val="21"/>
          <w:szCs w:val="21"/>
        </w:rPr>
        <w:t>“</w:t>
      </w:r>
      <w:r>
        <w:rPr>
          <w:rFonts w:ascii="宋体" w:hAnsi="宋体" w:eastAsia="宋体" w:cs="宋体"/>
          <w:spacing w:val="-2"/>
          <w:sz w:val="21"/>
          <w:szCs w:val="21"/>
        </w:rPr>
        <w:t>投标函附录</w:t>
      </w:r>
      <w:r>
        <w:rPr>
          <w:rFonts w:ascii="Times New Roman" w:hAnsi="Times New Roman" w:eastAsia="Times New Roman" w:cs="Times New Roman"/>
          <w:spacing w:val="-2"/>
          <w:sz w:val="21"/>
          <w:szCs w:val="21"/>
        </w:rPr>
        <w:t>”</w:t>
      </w:r>
      <w:r>
        <w:rPr>
          <w:rFonts w:ascii="Times New Roman" w:hAnsi="Times New Roman" w:eastAsia="Times New Roman" w:cs="Times New Roman"/>
          <w:spacing w:val="-31"/>
          <w:sz w:val="21"/>
          <w:szCs w:val="21"/>
        </w:rPr>
        <w:t xml:space="preserve"> </w:t>
      </w:r>
      <w:r>
        <w:rPr>
          <w:rFonts w:ascii="宋体" w:hAnsi="宋体" w:eastAsia="宋体" w:cs="宋体"/>
          <w:spacing w:val="-2"/>
          <w:sz w:val="21"/>
          <w:szCs w:val="21"/>
        </w:rPr>
        <w:t>的文件。</w:t>
      </w:r>
    </w:p>
    <w:p w14:paraId="3D158A56">
      <w:pPr>
        <w:spacing w:before="125" w:line="348" w:lineRule="auto"/>
        <w:ind w:left="24" w:right="42"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1.1.1.6  </w:t>
      </w:r>
      <w:r>
        <w:rPr>
          <w:rFonts w:ascii="宋体" w:hAnsi="宋体" w:eastAsia="宋体" w:cs="宋体"/>
          <w:spacing w:val="1"/>
          <w:sz w:val="21"/>
          <w:szCs w:val="21"/>
        </w:rPr>
        <w:t>技术标准和要求：是指构成合同的施工应当遵守的或指导施工的国家、行业或</w:t>
      </w:r>
      <w:r>
        <w:rPr>
          <w:rFonts w:ascii="宋体" w:hAnsi="宋体" w:eastAsia="宋体" w:cs="宋体"/>
          <w:spacing w:val="-1"/>
          <w:sz w:val="21"/>
          <w:szCs w:val="21"/>
        </w:rPr>
        <w:t>地方的技术标准和要求，以及合同约定的技术标准和要求。</w:t>
      </w:r>
    </w:p>
    <w:p w14:paraId="4D739732">
      <w:pPr>
        <w:spacing w:before="21" w:line="348" w:lineRule="auto"/>
        <w:ind w:left="25" w:right="19" w:firstLine="435"/>
        <w:rPr>
          <w:rFonts w:ascii="宋体" w:hAnsi="宋体" w:eastAsia="宋体" w:cs="宋体"/>
          <w:sz w:val="21"/>
          <w:szCs w:val="21"/>
        </w:rPr>
      </w:pPr>
      <w:r>
        <w:rPr>
          <w:rFonts w:ascii="Times New Roman" w:hAnsi="Times New Roman" w:eastAsia="Times New Roman" w:cs="Times New Roman"/>
          <w:sz w:val="21"/>
          <w:szCs w:val="21"/>
        </w:rPr>
        <w:t>1.1.1.7</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图纸：是指构成合同的图纸，包括由发包人按照合同约定提供或经发包人批准</w:t>
      </w:r>
      <w:r>
        <w:rPr>
          <w:rFonts w:ascii="宋体" w:hAnsi="宋体" w:eastAsia="宋体" w:cs="宋体"/>
          <w:spacing w:val="-2"/>
          <w:sz w:val="21"/>
          <w:szCs w:val="21"/>
        </w:rPr>
        <w:t>的设计文件、施工图、鸟瞰图及模型等，以及在合同履行过程中形成的图纸文件。图纸应当</w:t>
      </w:r>
      <w:r>
        <w:rPr>
          <w:rFonts w:ascii="宋体" w:hAnsi="宋体" w:eastAsia="宋体" w:cs="宋体"/>
          <w:spacing w:val="-3"/>
          <w:sz w:val="21"/>
          <w:szCs w:val="21"/>
        </w:rPr>
        <w:t>按照法律规定审查合格。</w:t>
      </w:r>
    </w:p>
    <w:p w14:paraId="2F993A24">
      <w:pPr>
        <w:spacing w:before="11" w:line="335" w:lineRule="auto"/>
        <w:ind w:left="43" w:right="42" w:firstLine="417"/>
        <w:rPr>
          <w:rFonts w:ascii="宋体" w:hAnsi="宋体" w:eastAsia="宋体" w:cs="宋体"/>
          <w:sz w:val="21"/>
          <w:szCs w:val="21"/>
        </w:rPr>
      </w:pPr>
      <w:r>
        <w:rPr>
          <w:rFonts w:ascii="Times New Roman" w:hAnsi="Times New Roman" w:eastAsia="Times New Roman" w:cs="Times New Roman"/>
          <w:sz w:val="21"/>
          <w:szCs w:val="21"/>
        </w:rPr>
        <w:t>1.1.1.8</w:t>
      </w:r>
      <w:r>
        <w:rPr>
          <w:rFonts w:ascii="Times New Roman" w:hAnsi="Times New Roman" w:eastAsia="Times New Roman" w:cs="Times New Roman"/>
          <w:spacing w:val="21"/>
          <w:w w:val="101"/>
          <w:sz w:val="21"/>
          <w:szCs w:val="21"/>
        </w:rPr>
        <w:t xml:space="preserve">  </w:t>
      </w:r>
      <w:r>
        <w:rPr>
          <w:rFonts w:ascii="宋体" w:hAnsi="宋体" w:eastAsia="宋体" w:cs="宋体"/>
          <w:sz w:val="21"/>
          <w:szCs w:val="21"/>
        </w:rPr>
        <w:t>已标价工程量清单：是指构成合同的由承包人按照规定的格式和要求填写并标</w:t>
      </w:r>
      <w:r>
        <w:rPr>
          <w:rFonts w:ascii="宋体" w:hAnsi="宋体" w:eastAsia="宋体" w:cs="宋体"/>
          <w:spacing w:val="-3"/>
          <w:sz w:val="21"/>
          <w:szCs w:val="21"/>
        </w:rPr>
        <w:t>明价格的工程量清单，包括说明和表格。</w:t>
      </w:r>
    </w:p>
    <w:p w14:paraId="3BDA294C">
      <w:pPr>
        <w:spacing w:line="335" w:lineRule="auto"/>
        <w:rPr>
          <w:rFonts w:ascii="宋体" w:hAnsi="宋体" w:eastAsia="宋体" w:cs="宋体"/>
          <w:sz w:val="21"/>
          <w:szCs w:val="21"/>
        </w:rPr>
        <w:sectPr>
          <w:footerReference r:id="rId152" w:type="default"/>
          <w:pgSz w:w="11910" w:h="16845"/>
          <w:pgMar w:top="400" w:right="1752" w:bottom="1110" w:left="1786" w:header="0" w:footer="883" w:gutter="0"/>
          <w:cols w:space="720" w:num="1"/>
        </w:sectPr>
      </w:pPr>
    </w:p>
    <w:p w14:paraId="25EDF4B3">
      <w:pPr>
        <w:pStyle w:val="2"/>
        <w:spacing w:line="275" w:lineRule="auto"/>
      </w:pPr>
    </w:p>
    <w:p w14:paraId="5C779169">
      <w:pPr>
        <w:pStyle w:val="2"/>
        <w:spacing w:line="275" w:lineRule="auto"/>
      </w:pPr>
    </w:p>
    <w:p w14:paraId="031E3816">
      <w:pPr>
        <w:pStyle w:val="2"/>
        <w:spacing w:line="275" w:lineRule="auto"/>
      </w:pPr>
    </w:p>
    <w:p w14:paraId="0FD073E8">
      <w:pPr>
        <w:pStyle w:val="2"/>
        <w:spacing w:line="276" w:lineRule="auto"/>
      </w:pPr>
    </w:p>
    <w:p w14:paraId="095C967A">
      <w:pPr>
        <w:spacing w:before="69" w:line="348" w:lineRule="auto"/>
        <w:ind w:left="25" w:right="27"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1.1.1.9  </w:t>
      </w:r>
      <w:r>
        <w:rPr>
          <w:rFonts w:ascii="宋体" w:hAnsi="宋体" w:eastAsia="宋体" w:cs="宋体"/>
          <w:spacing w:val="1"/>
          <w:sz w:val="21"/>
          <w:szCs w:val="21"/>
        </w:rPr>
        <w:t>预算书：是指构成合同的由承包人按照发包人规定的格式和要求编制的工程预</w:t>
      </w:r>
      <w:r>
        <w:rPr>
          <w:rFonts w:ascii="宋体" w:hAnsi="宋体" w:eastAsia="宋体" w:cs="宋体"/>
          <w:spacing w:val="-8"/>
          <w:sz w:val="21"/>
          <w:szCs w:val="21"/>
        </w:rPr>
        <w:t>算文件。</w:t>
      </w:r>
    </w:p>
    <w:p w14:paraId="0EB10F19">
      <w:pPr>
        <w:spacing w:before="2" w:line="348" w:lineRule="auto"/>
        <w:ind w:left="25" w:firstLine="435"/>
        <w:rPr>
          <w:rFonts w:ascii="宋体" w:hAnsi="宋体" w:eastAsia="宋体" w:cs="宋体"/>
          <w:sz w:val="21"/>
          <w:szCs w:val="21"/>
        </w:rPr>
      </w:pPr>
      <w:r>
        <w:fldChar w:fldCharType="begin"/>
      </w:r>
      <w:r>
        <w:instrText xml:space="preserve"> HYPERLINK "1.1.1.10" </w:instrText>
      </w:r>
      <w:r>
        <w:fldChar w:fldCharType="separate"/>
      </w:r>
      <w:r>
        <w:rPr>
          <w:rFonts w:ascii="Times New Roman" w:hAnsi="Times New Roman" w:eastAsia="Times New Roman" w:cs="Times New Roman"/>
          <w:spacing w:val="-1"/>
          <w:sz w:val="21"/>
          <w:szCs w:val="21"/>
        </w:rPr>
        <w:t>1.1.1.10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其他合同文件：是指经合同当事人约定的与工程施工有关的具有合同约束力的文件或书面协议。合同当事人可以在专用合同条款中进行约定。</w:t>
      </w:r>
    </w:p>
    <w:p w14:paraId="38179E8B">
      <w:pPr>
        <w:spacing w:before="20" w:line="234"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1.1.2</w:t>
      </w:r>
      <w:r>
        <w:rPr>
          <w:rFonts w:ascii="Times New Roman" w:hAnsi="Times New Roman" w:eastAsia="Times New Roman" w:cs="Times New Roman"/>
          <w:spacing w:val="48"/>
          <w:w w:val="101"/>
          <w:sz w:val="21"/>
          <w:szCs w:val="21"/>
        </w:rPr>
        <w:t xml:space="preserve"> </w:t>
      </w:r>
      <w:r>
        <w:rPr>
          <w:rFonts w:ascii="宋体" w:hAnsi="宋体" w:eastAsia="宋体" w:cs="宋体"/>
          <w:spacing w:val="-1"/>
          <w:sz w:val="21"/>
          <w:szCs w:val="21"/>
        </w:rPr>
        <w:t>合同当事人及其他相关方</w:t>
      </w:r>
    </w:p>
    <w:p w14:paraId="7B9B0352">
      <w:pPr>
        <w:spacing w:before="124"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1.1.2.1</w:t>
      </w:r>
      <w:r>
        <w:rPr>
          <w:rFonts w:ascii="Times New Roman" w:hAnsi="Times New Roman" w:eastAsia="Times New Roman" w:cs="Times New Roman"/>
          <w:spacing w:val="48"/>
          <w:sz w:val="21"/>
          <w:szCs w:val="21"/>
        </w:rPr>
        <w:t xml:space="preserve"> </w:t>
      </w:r>
      <w:r>
        <w:rPr>
          <w:rFonts w:ascii="宋体" w:hAnsi="宋体" w:eastAsia="宋体" w:cs="宋体"/>
          <w:spacing w:val="-1"/>
          <w:sz w:val="21"/>
          <w:szCs w:val="21"/>
        </w:rPr>
        <w:t>合同当事人：是指发包人和</w:t>
      </w:r>
      <w:r>
        <w:rPr>
          <w:rFonts w:ascii="宋体" w:hAnsi="宋体" w:eastAsia="宋体" w:cs="宋体"/>
          <w:spacing w:val="-2"/>
          <w:sz w:val="21"/>
          <w:szCs w:val="21"/>
        </w:rPr>
        <w:t>（或）承包人。</w:t>
      </w:r>
    </w:p>
    <w:p w14:paraId="14FA4E3D">
      <w:pPr>
        <w:spacing w:before="139" w:line="348" w:lineRule="auto"/>
        <w:ind w:left="24" w:right="27"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1.1.2.2  </w:t>
      </w:r>
      <w:r>
        <w:rPr>
          <w:rFonts w:ascii="宋体" w:hAnsi="宋体" w:eastAsia="宋体" w:cs="宋体"/>
          <w:spacing w:val="1"/>
          <w:sz w:val="21"/>
          <w:szCs w:val="21"/>
        </w:rPr>
        <w:t>发包人：是指与承包人签订合同协议书的当事人及取得该当事人资格的合法继</w:t>
      </w:r>
      <w:r>
        <w:rPr>
          <w:rFonts w:ascii="宋体" w:hAnsi="宋体" w:eastAsia="宋体" w:cs="宋体"/>
          <w:spacing w:val="-9"/>
          <w:sz w:val="21"/>
          <w:szCs w:val="21"/>
        </w:rPr>
        <w:t>承人。</w:t>
      </w:r>
    </w:p>
    <w:p w14:paraId="421A6082">
      <w:pPr>
        <w:spacing w:before="4" w:line="348" w:lineRule="auto"/>
        <w:ind w:left="25" w:right="27"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1.1.2.3  </w:t>
      </w:r>
      <w:r>
        <w:rPr>
          <w:rFonts w:ascii="宋体" w:hAnsi="宋体" w:eastAsia="宋体" w:cs="宋体"/>
          <w:spacing w:val="1"/>
          <w:sz w:val="21"/>
          <w:szCs w:val="21"/>
        </w:rPr>
        <w:t>承包人：是指与发包人签订合同协议书的，具有相应工程施工承包资质的当事</w:t>
      </w:r>
      <w:r>
        <w:rPr>
          <w:rFonts w:ascii="宋体" w:hAnsi="宋体" w:eastAsia="宋体" w:cs="宋体"/>
          <w:spacing w:val="-2"/>
          <w:sz w:val="21"/>
          <w:szCs w:val="21"/>
        </w:rPr>
        <w:t>人及取得该当事人资格的合法继承人。</w:t>
      </w:r>
    </w:p>
    <w:p w14:paraId="01EBC428">
      <w:pPr>
        <w:spacing w:before="18" w:line="336" w:lineRule="auto"/>
        <w:ind w:left="25" w:right="27"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1.1.2.4  </w:t>
      </w:r>
      <w:r>
        <w:rPr>
          <w:rFonts w:ascii="宋体" w:hAnsi="宋体" w:eastAsia="宋体" w:cs="宋体"/>
          <w:spacing w:val="1"/>
          <w:sz w:val="21"/>
          <w:szCs w:val="21"/>
        </w:rPr>
        <w:t>监理人：是指在专用合同条款中指明的，受发包人委托按照法律规定进行工程</w:t>
      </w:r>
      <w:r>
        <w:rPr>
          <w:rFonts w:ascii="宋体" w:hAnsi="宋体" w:eastAsia="宋体" w:cs="宋体"/>
          <w:spacing w:val="-3"/>
          <w:sz w:val="21"/>
          <w:szCs w:val="21"/>
        </w:rPr>
        <w:t>监督管理的法人或其他组织。</w:t>
      </w:r>
    </w:p>
    <w:p w14:paraId="299341ED">
      <w:pPr>
        <w:spacing w:before="31" w:line="349" w:lineRule="auto"/>
        <w:ind w:left="24" w:right="27"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1.1.2.5  </w:t>
      </w:r>
      <w:r>
        <w:rPr>
          <w:rFonts w:ascii="宋体" w:hAnsi="宋体" w:eastAsia="宋体" w:cs="宋体"/>
          <w:spacing w:val="1"/>
          <w:sz w:val="21"/>
          <w:szCs w:val="21"/>
        </w:rPr>
        <w:t>设计人：是指在专用合同条款中指明的，受发包人委托负责工程设计并具备相</w:t>
      </w:r>
      <w:r>
        <w:rPr>
          <w:rFonts w:ascii="宋体" w:hAnsi="宋体" w:eastAsia="宋体" w:cs="宋体"/>
          <w:spacing w:val="-2"/>
          <w:sz w:val="21"/>
          <w:szCs w:val="21"/>
        </w:rPr>
        <w:t>应工程设计资质的法人或其他组织。</w:t>
      </w:r>
    </w:p>
    <w:p w14:paraId="047713BE">
      <w:pPr>
        <w:spacing w:before="2" w:line="349" w:lineRule="auto"/>
        <w:ind w:left="26" w:right="34" w:firstLine="434"/>
        <w:rPr>
          <w:rFonts w:ascii="宋体" w:hAnsi="宋体" w:eastAsia="宋体" w:cs="宋体"/>
          <w:sz w:val="21"/>
          <w:szCs w:val="21"/>
        </w:rPr>
      </w:pPr>
      <w:r>
        <w:rPr>
          <w:rFonts w:ascii="Times New Roman" w:hAnsi="Times New Roman" w:eastAsia="Times New Roman" w:cs="Times New Roman"/>
          <w:spacing w:val="1"/>
          <w:sz w:val="21"/>
          <w:szCs w:val="21"/>
        </w:rPr>
        <w:t xml:space="preserve">1.1.2.6  </w:t>
      </w:r>
      <w:r>
        <w:rPr>
          <w:rFonts w:ascii="宋体" w:hAnsi="宋体" w:eastAsia="宋体" w:cs="宋体"/>
          <w:spacing w:val="1"/>
          <w:sz w:val="21"/>
          <w:szCs w:val="21"/>
        </w:rPr>
        <w:t>分包人：是指按照法律规定和合同约定，分包部分工程或工作</w:t>
      </w:r>
      <w:r>
        <w:rPr>
          <w:rFonts w:ascii="宋体" w:hAnsi="宋体" w:eastAsia="宋体" w:cs="宋体"/>
          <w:sz w:val="21"/>
          <w:szCs w:val="21"/>
        </w:rPr>
        <w:t>，并与承包人签</w:t>
      </w:r>
      <w:r>
        <w:rPr>
          <w:rFonts w:ascii="宋体" w:hAnsi="宋体" w:eastAsia="宋体" w:cs="宋体"/>
          <w:spacing w:val="-2"/>
          <w:sz w:val="21"/>
          <w:szCs w:val="21"/>
        </w:rPr>
        <w:t>订分包合同的具有相应资质的法人。</w:t>
      </w:r>
    </w:p>
    <w:p w14:paraId="146D0454">
      <w:pPr>
        <w:spacing w:before="18" w:line="335" w:lineRule="auto"/>
        <w:ind w:left="25" w:right="27"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1.1.2.7  </w:t>
      </w:r>
      <w:r>
        <w:rPr>
          <w:rFonts w:ascii="宋体" w:hAnsi="宋体" w:eastAsia="宋体" w:cs="宋体"/>
          <w:spacing w:val="1"/>
          <w:sz w:val="21"/>
          <w:szCs w:val="21"/>
        </w:rPr>
        <w:t>发包人代表：是指由发包人任命并派驻施工现场在发包人授权范围内行使发包</w:t>
      </w:r>
      <w:r>
        <w:rPr>
          <w:rFonts w:ascii="宋体" w:hAnsi="宋体" w:eastAsia="宋体" w:cs="宋体"/>
          <w:spacing w:val="-6"/>
          <w:sz w:val="21"/>
          <w:szCs w:val="21"/>
        </w:rPr>
        <w:t>人权利的人。</w:t>
      </w:r>
    </w:p>
    <w:p w14:paraId="42CD29A0">
      <w:pPr>
        <w:spacing w:before="33" w:line="348" w:lineRule="auto"/>
        <w:ind w:left="27" w:right="27"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1.1.2.8  </w:t>
      </w:r>
      <w:r>
        <w:rPr>
          <w:rFonts w:ascii="宋体" w:hAnsi="宋体" w:eastAsia="宋体" w:cs="宋体"/>
          <w:spacing w:val="1"/>
          <w:sz w:val="21"/>
          <w:szCs w:val="21"/>
        </w:rPr>
        <w:t>项目经理：是指由承包人任命并派驻施工现场，在承包人授权范围内负责合同</w:t>
      </w:r>
      <w:r>
        <w:rPr>
          <w:rFonts w:ascii="宋体" w:hAnsi="宋体" w:eastAsia="宋体" w:cs="宋体"/>
          <w:spacing w:val="-1"/>
          <w:sz w:val="21"/>
          <w:szCs w:val="21"/>
        </w:rPr>
        <w:t>履行，且按照法律规定具有相应资格的项目负责人。</w:t>
      </w:r>
    </w:p>
    <w:p w14:paraId="3ED86145">
      <w:pPr>
        <w:spacing w:before="5"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1.1.2.9  </w:t>
      </w:r>
      <w:r>
        <w:rPr>
          <w:rFonts w:ascii="宋体" w:hAnsi="宋体" w:eastAsia="宋体" w:cs="宋体"/>
          <w:spacing w:val="-1"/>
          <w:sz w:val="21"/>
          <w:szCs w:val="21"/>
        </w:rPr>
        <w:t>总监理工程师：是指由监理人任命并派驻施工现场进行工程监理的总负责人。</w:t>
      </w:r>
    </w:p>
    <w:p w14:paraId="2E7C40C6">
      <w:pPr>
        <w:spacing w:before="139"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1.1.3</w:t>
      </w:r>
      <w:r>
        <w:rPr>
          <w:rFonts w:ascii="Times New Roman" w:hAnsi="Times New Roman" w:eastAsia="Times New Roman" w:cs="Times New Roman"/>
          <w:spacing w:val="51"/>
          <w:sz w:val="21"/>
          <w:szCs w:val="21"/>
        </w:rPr>
        <w:t xml:space="preserve"> </w:t>
      </w:r>
      <w:r>
        <w:rPr>
          <w:rFonts w:ascii="宋体" w:hAnsi="宋体" w:eastAsia="宋体" w:cs="宋体"/>
          <w:spacing w:val="-2"/>
          <w:sz w:val="21"/>
          <w:szCs w:val="21"/>
        </w:rPr>
        <w:t>工程和设备</w:t>
      </w:r>
    </w:p>
    <w:p w14:paraId="211CB038">
      <w:pPr>
        <w:spacing w:before="13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1.1.3.1</w:t>
      </w:r>
      <w:r>
        <w:rPr>
          <w:rFonts w:ascii="Times New Roman" w:hAnsi="Times New Roman" w:eastAsia="Times New Roman" w:cs="Times New Roman"/>
          <w:spacing w:val="60"/>
          <w:sz w:val="21"/>
          <w:szCs w:val="21"/>
        </w:rPr>
        <w:t xml:space="preserve"> </w:t>
      </w:r>
      <w:r>
        <w:rPr>
          <w:rFonts w:ascii="宋体" w:hAnsi="宋体" w:eastAsia="宋体" w:cs="宋体"/>
          <w:spacing w:val="-1"/>
          <w:sz w:val="21"/>
          <w:szCs w:val="21"/>
        </w:rPr>
        <w:t>工程：是指与合同协议书中工程承包范围对应的永久工程和（或）临时工程。</w:t>
      </w:r>
    </w:p>
    <w:p w14:paraId="20DD33C8">
      <w:pPr>
        <w:spacing w:before="126"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1.1.3.2</w:t>
      </w:r>
      <w:r>
        <w:rPr>
          <w:rFonts w:ascii="Times New Roman" w:hAnsi="Times New Roman" w:eastAsia="Times New Roman" w:cs="Times New Roman"/>
          <w:spacing w:val="59"/>
          <w:w w:val="101"/>
          <w:sz w:val="21"/>
          <w:szCs w:val="21"/>
        </w:rPr>
        <w:t xml:space="preserve"> </w:t>
      </w:r>
      <w:r>
        <w:rPr>
          <w:rFonts w:ascii="宋体" w:hAnsi="宋体" w:eastAsia="宋体" w:cs="宋体"/>
          <w:spacing w:val="-1"/>
          <w:sz w:val="21"/>
          <w:szCs w:val="21"/>
        </w:rPr>
        <w:t>永久工程：是指按合同约定建造并移交给发包人的工程，包括工程设备。</w:t>
      </w:r>
    </w:p>
    <w:p w14:paraId="090967CF">
      <w:pPr>
        <w:spacing w:before="140" w:line="349" w:lineRule="auto"/>
        <w:ind w:left="23" w:right="27"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1.1.3.3  </w:t>
      </w:r>
      <w:r>
        <w:rPr>
          <w:rFonts w:ascii="宋体" w:hAnsi="宋体" w:eastAsia="宋体" w:cs="宋体"/>
          <w:spacing w:val="1"/>
          <w:sz w:val="21"/>
          <w:szCs w:val="21"/>
        </w:rPr>
        <w:t>临时工程：是指为完成合同约定的永久工程所修建的各类临时性工程，不包括</w:t>
      </w:r>
      <w:r>
        <w:rPr>
          <w:rFonts w:ascii="宋体" w:hAnsi="宋体" w:eastAsia="宋体" w:cs="宋体"/>
          <w:spacing w:val="-6"/>
          <w:sz w:val="21"/>
          <w:szCs w:val="21"/>
        </w:rPr>
        <w:t>施工设备。</w:t>
      </w:r>
    </w:p>
    <w:p w14:paraId="3D774420">
      <w:pPr>
        <w:spacing w:before="1" w:line="349" w:lineRule="auto"/>
        <w:ind w:left="27" w:right="31"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1.1.3.4  </w:t>
      </w:r>
      <w:r>
        <w:rPr>
          <w:rFonts w:ascii="宋体" w:hAnsi="宋体" w:eastAsia="宋体" w:cs="宋体"/>
          <w:spacing w:val="1"/>
          <w:sz w:val="21"/>
          <w:szCs w:val="21"/>
        </w:rPr>
        <w:t>单位工程：是指在合同协议书中指明的，具备独立施工条件并能形成</w:t>
      </w:r>
      <w:r>
        <w:rPr>
          <w:rFonts w:ascii="宋体" w:hAnsi="宋体" w:eastAsia="宋体" w:cs="宋体"/>
          <w:sz w:val="21"/>
          <w:szCs w:val="21"/>
        </w:rPr>
        <w:t>独立使用</w:t>
      </w:r>
      <w:r>
        <w:rPr>
          <w:rFonts w:ascii="宋体" w:hAnsi="宋体" w:eastAsia="宋体" w:cs="宋体"/>
          <w:spacing w:val="-5"/>
          <w:sz w:val="21"/>
          <w:szCs w:val="21"/>
        </w:rPr>
        <w:t>功能的永久工程。</w:t>
      </w:r>
    </w:p>
    <w:p w14:paraId="0047FF26">
      <w:pPr>
        <w:spacing w:before="17" w:line="336" w:lineRule="auto"/>
        <w:ind w:left="27" w:right="27"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1.1.3.5  </w:t>
      </w:r>
      <w:r>
        <w:rPr>
          <w:rFonts w:ascii="宋体" w:hAnsi="宋体" w:eastAsia="宋体" w:cs="宋体"/>
          <w:spacing w:val="1"/>
          <w:sz w:val="21"/>
          <w:szCs w:val="21"/>
        </w:rPr>
        <w:t>工程设备：是指构成永久工程的机电设备、金属结构设备、仪器及其他类似的</w:t>
      </w:r>
      <w:r>
        <w:rPr>
          <w:rFonts w:ascii="宋体" w:hAnsi="宋体" w:eastAsia="宋体" w:cs="宋体"/>
          <w:spacing w:val="-6"/>
          <w:sz w:val="21"/>
          <w:szCs w:val="21"/>
        </w:rPr>
        <w:t>设备和装置。</w:t>
      </w:r>
    </w:p>
    <w:p w14:paraId="431FB04D">
      <w:pPr>
        <w:spacing w:before="31" w:line="348" w:lineRule="auto"/>
        <w:ind w:left="27" w:right="27"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1.1.3.6  </w:t>
      </w:r>
      <w:r>
        <w:rPr>
          <w:rFonts w:ascii="宋体" w:hAnsi="宋体" w:eastAsia="宋体" w:cs="宋体"/>
          <w:spacing w:val="1"/>
          <w:sz w:val="21"/>
          <w:szCs w:val="21"/>
        </w:rPr>
        <w:t>施工设备：是指为完成合同约定的各项工作所需的设备、器具和其他物品，但</w:t>
      </w:r>
      <w:r>
        <w:rPr>
          <w:rFonts w:ascii="宋体" w:hAnsi="宋体" w:eastAsia="宋体" w:cs="宋体"/>
          <w:spacing w:val="-3"/>
          <w:sz w:val="21"/>
          <w:szCs w:val="21"/>
        </w:rPr>
        <w:t>不包括工程设备、临时工程和材料。</w:t>
      </w:r>
    </w:p>
    <w:p w14:paraId="781C8C5F">
      <w:pPr>
        <w:spacing w:before="6" w:line="348" w:lineRule="auto"/>
        <w:ind w:left="24" w:right="33"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1.1.3.7  </w:t>
      </w:r>
      <w:r>
        <w:rPr>
          <w:rFonts w:ascii="宋体" w:hAnsi="宋体" w:eastAsia="宋体" w:cs="宋体"/>
          <w:spacing w:val="1"/>
          <w:sz w:val="21"/>
          <w:szCs w:val="21"/>
        </w:rPr>
        <w:t>施工现场：是指用于工程施工的场所，以及在专用合同条款中指</w:t>
      </w:r>
      <w:r>
        <w:rPr>
          <w:rFonts w:ascii="宋体" w:hAnsi="宋体" w:eastAsia="宋体" w:cs="宋体"/>
          <w:sz w:val="21"/>
          <w:szCs w:val="21"/>
        </w:rPr>
        <w:t>明作为施工场</w:t>
      </w:r>
      <w:r>
        <w:rPr>
          <w:rFonts w:ascii="宋体" w:hAnsi="宋体" w:eastAsia="宋体" w:cs="宋体"/>
          <w:spacing w:val="-2"/>
          <w:sz w:val="21"/>
          <w:szCs w:val="21"/>
        </w:rPr>
        <w:t>所组成部分的其他场所，包括永久占地和临时占地。</w:t>
      </w:r>
    </w:p>
    <w:p w14:paraId="134EA73E">
      <w:pPr>
        <w:spacing w:line="348" w:lineRule="auto"/>
        <w:rPr>
          <w:rFonts w:ascii="宋体" w:hAnsi="宋体" w:eastAsia="宋体" w:cs="宋体"/>
          <w:sz w:val="21"/>
          <w:szCs w:val="21"/>
        </w:rPr>
        <w:sectPr>
          <w:footerReference r:id="rId153" w:type="default"/>
          <w:pgSz w:w="11910" w:h="16845"/>
          <w:pgMar w:top="400" w:right="1767" w:bottom="1110" w:left="1786" w:header="0" w:footer="883" w:gutter="0"/>
          <w:cols w:space="720" w:num="1"/>
        </w:sectPr>
      </w:pPr>
    </w:p>
    <w:p w14:paraId="4E5D1DFE">
      <w:pPr>
        <w:pStyle w:val="2"/>
        <w:spacing w:line="275" w:lineRule="auto"/>
      </w:pPr>
    </w:p>
    <w:p w14:paraId="68531351">
      <w:pPr>
        <w:pStyle w:val="2"/>
        <w:spacing w:line="275" w:lineRule="auto"/>
      </w:pPr>
    </w:p>
    <w:p w14:paraId="27A0E9B4">
      <w:pPr>
        <w:pStyle w:val="2"/>
        <w:spacing w:line="275" w:lineRule="auto"/>
      </w:pPr>
    </w:p>
    <w:p w14:paraId="0BAE7AD6">
      <w:pPr>
        <w:pStyle w:val="2"/>
        <w:spacing w:line="276" w:lineRule="auto"/>
      </w:pPr>
    </w:p>
    <w:p w14:paraId="56ED90D5">
      <w:pPr>
        <w:spacing w:before="68"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1.1.3.8</w:t>
      </w:r>
      <w:r>
        <w:rPr>
          <w:rFonts w:ascii="Times New Roman" w:hAnsi="Times New Roman" w:eastAsia="Times New Roman" w:cs="Times New Roman"/>
          <w:spacing w:val="32"/>
          <w:w w:val="101"/>
          <w:sz w:val="21"/>
          <w:szCs w:val="21"/>
        </w:rPr>
        <w:t xml:space="preserve"> </w:t>
      </w:r>
      <w:r>
        <w:rPr>
          <w:rFonts w:ascii="宋体" w:hAnsi="宋体" w:eastAsia="宋体" w:cs="宋体"/>
          <w:spacing w:val="-1"/>
          <w:sz w:val="21"/>
          <w:szCs w:val="21"/>
        </w:rPr>
        <w:t>临时设施：是指为完成合同约定的各项工作所服务的临时性生产和生活设施。</w:t>
      </w:r>
    </w:p>
    <w:p w14:paraId="45B4969D">
      <w:pPr>
        <w:spacing w:before="140"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1.1.3.9</w:t>
      </w:r>
      <w:r>
        <w:rPr>
          <w:rFonts w:ascii="Times New Roman" w:hAnsi="Times New Roman" w:eastAsia="Times New Roman" w:cs="Times New Roman"/>
          <w:spacing w:val="56"/>
          <w:w w:val="101"/>
          <w:sz w:val="21"/>
          <w:szCs w:val="21"/>
        </w:rPr>
        <w:t xml:space="preserve"> </w:t>
      </w:r>
      <w:r>
        <w:rPr>
          <w:rFonts w:ascii="宋体" w:hAnsi="宋体" w:eastAsia="宋体" w:cs="宋体"/>
          <w:spacing w:val="-1"/>
          <w:sz w:val="21"/>
          <w:szCs w:val="21"/>
        </w:rPr>
        <w:t>永久占地：是指专用合同条款中指明为实施工程需永久占用的土地。</w:t>
      </w:r>
    </w:p>
    <w:p w14:paraId="4C1BEFCC">
      <w:pPr>
        <w:spacing w:before="125" w:line="233" w:lineRule="auto"/>
        <w:ind w:left="461"/>
        <w:rPr>
          <w:rFonts w:ascii="宋体" w:hAnsi="宋体" w:eastAsia="宋体" w:cs="宋体"/>
          <w:sz w:val="21"/>
          <w:szCs w:val="21"/>
        </w:rPr>
      </w:pPr>
      <w:r>
        <w:fldChar w:fldCharType="begin"/>
      </w:r>
      <w:r>
        <w:instrText xml:space="preserve"> HYPERLINK "1.1.3.10" </w:instrText>
      </w:r>
      <w:r>
        <w:fldChar w:fldCharType="separate"/>
      </w:r>
      <w:r>
        <w:rPr>
          <w:rFonts w:ascii="Times New Roman" w:hAnsi="Times New Roman" w:eastAsia="Times New Roman" w:cs="Times New Roman"/>
          <w:spacing w:val="-1"/>
          <w:sz w:val="21"/>
          <w:szCs w:val="21"/>
        </w:rPr>
        <w:t>1.1.3.10</w:t>
      </w:r>
      <w:r>
        <w:rPr>
          <w:rFonts w:ascii="Times New Roman" w:hAnsi="Times New Roman" w:eastAsia="Times New Roman" w:cs="Times New Roman"/>
          <w:spacing w:val="-1"/>
          <w:sz w:val="21"/>
          <w:szCs w:val="21"/>
        </w:rPr>
        <w:fldChar w:fldCharType="end"/>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临时占地：是指专用合同条款中指明为实施工程需要临时占用的土地。</w:t>
      </w:r>
    </w:p>
    <w:p w14:paraId="76689DB4">
      <w:pPr>
        <w:spacing w:before="139" w:line="234" w:lineRule="auto"/>
        <w:ind w:left="461"/>
        <w:rPr>
          <w:rFonts w:ascii="宋体" w:hAnsi="宋体" w:eastAsia="宋体" w:cs="宋体"/>
          <w:sz w:val="21"/>
          <w:szCs w:val="21"/>
        </w:rPr>
      </w:pPr>
      <w:r>
        <w:rPr>
          <w:rFonts w:ascii="Times New Roman" w:hAnsi="Times New Roman" w:eastAsia="Times New Roman" w:cs="Times New Roman"/>
          <w:spacing w:val="-5"/>
          <w:sz w:val="21"/>
          <w:szCs w:val="21"/>
        </w:rPr>
        <w:t>1.1.4</w:t>
      </w:r>
      <w:r>
        <w:rPr>
          <w:rFonts w:ascii="Times New Roman" w:hAnsi="Times New Roman" w:eastAsia="Times New Roman" w:cs="Times New Roman"/>
          <w:spacing w:val="17"/>
          <w:w w:val="101"/>
          <w:sz w:val="21"/>
          <w:szCs w:val="21"/>
        </w:rPr>
        <w:t xml:space="preserve">  </w:t>
      </w:r>
      <w:r>
        <w:rPr>
          <w:rFonts w:ascii="宋体" w:hAnsi="宋体" w:eastAsia="宋体" w:cs="宋体"/>
          <w:spacing w:val="-5"/>
          <w:sz w:val="21"/>
          <w:szCs w:val="21"/>
        </w:rPr>
        <w:t>日期和期限</w:t>
      </w:r>
    </w:p>
    <w:p w14:paraId="501A7DF3">
      <w:pPr>
        <w:spacing w:before="140" w:line="344" w:lineRule="auto"/>
        <w:ind w:left="24" w:right="34"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1.1.4.1  </w:t>
      </w:r>
      <w:r>
        <w:rPr>
          <w:rFonts w:ascii="宋体" w:hAnsi="宋体" w:eastAsia="宋体" w:cs="宋体"/>
          <w:spacing w:val="1"/>
          <w:sz w:val="21"/>
          <w:szCs w:val="21"/>
        </w:rPr>
        <w:t>开工日期：包括计划开工日期和实际开工日期。计划开工日期</w:t>
      </w:r>
      <w:r>
        <w:rPr>
          <w:rFonts w:ascii="宋体" w:hAnsi="宋体" w:eastAsia="宋体" w:cs="宋体"/>
          <w:sz w:val="21"/>
          <w:szCs w:val="21"/>
        </w:rPr>
        <w:t>是指合同协议书约定的开工日期；实际开工日期是指监理人按照第</w:t>
      </w:r>
      <w:r>
        <w:rPr>
          <w:rFonts w:ascii="宋体" w:hAnsi="宋体" w:eastAsia="宋体" w:cs="宋体"/>
          <w:spacing w:val="-40"/>
          <w:sz w:val="21"/>
          <w:szCs w:val="21"/>
        </w:rPr>
        <w:t xml:space="preserve"> </w:t>
      </w:r>
      <w:r>
        <w:rPr>
          <w:rFonts w:ascii="Times New Roman" w:hAnsi="Times New Roman" w:eastAsia="Times New Roman" w:cs="Times New Roman"/>
          <w:sz w:val="21"/>
          <w:szCs w:val="21"/>
        </w:rPr>
        <w:t>7.3.2</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项〔开工通知〕约定发出的符合法</w:t>
      </w:r>
      <w:r>
        <w:rPr>
          <w:rFonts w:ascii="宋体" w:hAnsi="宋体" w:eastAsia="宋体" w:cs="宋体"/>
          <w:spacing w:val="-2"/>
          <w:sz w:val="21"/>
          <w:szCs w:val="21"/>
        </w:rPr>
        <w:t>律规定的开工通知中载明的开工日期。</w:t>
      </w:r>
    </w:p>
    <w:p w14:paraId="753DDE0E">
      <w:pPr>
        <w:spacing w:before="26" w:line="344" w:lineRule="auto"/>
        <w:ind w:left="29" w:right="59"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1.1.4.2  </w:t>
      </w:r>
      <w:r>
        <w:rPr>
          <w:rFonts w:ascii="宋体" w:hAnsi="宋体" w:eastAsia="宋体" w:cs="宋体"/>
          <w:spacing w:val="1"/>
          <w:sz w:val="21"/>
          <w:szCs w:val="21"/>
        </w:rPr>
        <w:t>竣工日期：包括计划竣工日期和实际竣工日期。计划竣工日期是指合同协议书</w:t>
      </w:r>
      <w:r>
        <w:rPr>
          <w:rFonts w:ascii="宋体" w:hAnsi="宋体" w:eastAsia="宋体" w:cs="宋体"/>
          <w:spacing w:val="-1"/>
          <w:sz w:val="21"/>
          <w:szCs w:val="21"/>
        </w:rPr>
        <w:t>约定的竣工日期；实际竣工日期按照第</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13.2.3</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〔竣工日期〕的约定确定。</w:t>
      </w:r>
    </w:p>
    <w:p w14:paraId="6284BDD9">
      <w:pPr>
        <w:spacing w:before="14" w:line="348" w:lineRule="auto"/>
        <w:ind w:left="29" w:right="59" w:firstLine="431"/>
        <w:rPr>
          <w:rFonts w:ascii="宋体" w:hAnsi="宋体" w:eastAsia="宋体" w:cs="宋体"/>
          <w:sz w:val="21"/>
          <w:szCs w:val="21"/>
        </w:rPr>
      </w:pPr>
      <w:r>
        <w:rPr>
          <w:rFonts w:ascii="Times New Roman" w:hAnsi="Times New Roman" w:eastAsia="Times New Roman" w:cs="Times New Roman"/>
          <w:spacing w:val="1"/>
          <w:sz w:val="21"/>
          <w:szCs w:val="21"/>
        </w:rPr>
        <w:t xml:space="preserve">1.1.4.3  </w:t>
      </w:r>
      <w:r>
        <w:rPr>
          <w:rFonts w:ascii="宋体" w:hAnsi="宋体" w:eastAsia="宋体" w:cs="宋体"/>
          <w:spacing w:val="1"/>
          <w:sz w:val="21"/>
          <w:szCs w:val="21"/>
        </w:rPr>
        <w:t>工期：是指在合同协议书约定的承包人完成工程所需的期限，包括按照合同约</w:t>
      </w:r>
      <w:r>
        <w:rPr>
          <w:rFonts w:ascii="宋体" w:hAnsi="宋体" w:eastAsia="宋体" w:cs="宋体"/>
          <w:spacing w:val="-4"/>
          <w:sz w:val="21"/>
          <w:szCs w:val="21"/>
        </w:rPr>
        <w:t>定所作的期限变更。</w:t>
      </w:r>
    </w:p>
    <w:p w14:paraId="1B278959">
      <w:pPr>
        <w:spacing w:before="4" w:line="348" w:lineRule="auto"/>
        <w:ind w:left="25" w:right="66"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1.1.4.4  </w:t>
      </w:r>
      <w:r>
        <w:rPr>
          <w:rFonts w:ascii="宋体" w:hAnsi="宋体" w:eastAsia="宋体" w:cs="宋体"/>
          <w:spacing w:val="1"/>
          <w:sz w:val="21"/>
          <w:szCs w:val="21"/>
        </w:rPr>
        <w:t>缺陷责任期：是指承包人按照合同约定承担缺陷修复义务，且</w:t>
      </w:r>
      <w:r>
        <w:rPr>
          <w:rFonts w:ascii="宋体" w:hAnsi="宋体" w:eastAsia="宋体" w:cs="宋体"/>
          <w:sz w:val="21"/>
          <w:szCs w:val="21"/>
        </w:rPr>
        <w:t>发包人预留质量</w:t>
      </w:r>
      <w:r>
        <w:rPr>
          <w:rFonts w:ascii="宋体" w:hAnsi="宋体" w:eastAsia="宋体" w:cs="宋体"/>
          <w:spacing w:val="-2"/>
          <w:sz w:val="21"/>
          <w:szCs w:val="21"/>
        </w:rPr>
        <w:t>保证金（已缴纳履约保证金的除外）的期限，</w:t>
      </w:r>
      <w:r>
        <w:rPr>
          <w:rFonts w:ascii="宋体" w:hAnsi="宋体" w:eastAsia="宋体" w:cs="宋体"/>
          <w:spacing w:val="-63"/>
          <w:sz w:val="21"/>
          <w:szCs w:val="21"/>
        </w:rPr>
        <w:t xml:space="preserve"> </w:t>
      </w:r>
      <w:r>
        <w:rPr>
          <w:rFonts w:ascii="宋体" w:hAnsi="宋体" w:eastAsia="宋体" w:cs="宋体"/>
          <w:spacing w:val="-2"/>
          <w:sz w:val="21"/>
          <w:szCs w:val="21"/>
        </w:rPr>
        <w:t>自工程实际竣工日期起计算。</w:t>
      </w:r>
    </w:p>
    <w:p w14:paraId="5B46535E">
      <w:pPr>
        <w:spacing w:before="19" w:line="335" w:lineRule="auto"/>
        <w:ind w:left="31" w:right="68" w:firstLine="429"/>
        <w:rPr>
          <w:rFonts w:ascii="宋体" w:hAnsi="宋体" w:eastAsia="宋体" w:cs="宋体"/>
          <w:sz w:val="21"/>
          <w:szCs w:val="21"/>
        </w:rPr>
      </w:pPr>
      <w:r>
        <w:rPr>
          <w:rFonts w:ascii="Times New Roman" w:hAnsi="Times New Roman" w:eastAsia="Times New Roman" w:cs="Times New Roman"/>
          <w:spacing w:val="1"/>
          <w:sz w:val="21"/>
          <w:szCs w:val="21"/>
        </w:rPr>
        <w:t xml:space="preserve">1.1.4.5  </w:t>
      </w:r>
      <w:r>
        <w:rPr>
          <w:rFonts w:ascii="宋体" w:hAnsi="宋体" w:eastAsia="宋体" w:cs="宋体"/>
          <w:spacing w:val="1"/>
          <w:sz w:val="21"/>
          <w:szCs w:val="21"/>
        </w:rPr>
        <w:t>保修期：是指承包人按照合同约定对工程承担保修责任的</w:t>
      </w:r>
      <w:r>
        <w:rPr>
          <w:rFonts w:ascii="宋体" w:hAnsi="宋体" w:eastAsia="宋体" w:cs="宋体"/>
          <w:sz w:val="21"/>
          <w:szCs w:val="21"/>
        </w:rPr>
        <w:t>期限，从工程竣工验</w:t>
      </w:r>
      <w:r>
        <w:rPr>
          <w:rFonts w:ascii="宋体" w:hAnsi="宋体" w:eastAsia="宋体" w:cs="宋体"/>
          <w:spacing w:val="-5"/>
          <w:sz w:val="21"/>
          <w:szCs w:val="21"/>
        </w:rPr>
        <w:t>收合格之日起计算。</w:t>
      </w:r>
    </w:p>
    <w:p w14:paraId="363E62E5">
      <w:pPr>
        <w:spacing w:before="32" w:line="350" w:lineRule="auto"/>
        <w:ind w:left="41" w:right="46"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1.1.4.6  </w:t>
      </w:r>
      <w:r>
        <w:rPr>
          <w:rFonts w:ascii="宋体" w:hAnsi="宋体" w:eastAsia="宋体" w:cs="宋体"/>
          <w:spacing w:val="-2"/>
          <w:sz w:val="21"/>
          <w:szCs w:val="21"/>
        </w:rPr>
        <w:t>基准日期：招标发包的工程以投标截止日前</w:t>
      </w:r>
      <w:r>
        <w:rPr>
          <w:rFonts w:ascii="宋体" w:hAnsi="宋体" w:eastAsia="宋体" w:cs="宋体"/>
          <w:spacing w:val="-33"/>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天的日期为基准日期，直接发包的工程以合同签订日前</w:t>
      </w:r>
      <w:r>
        <w:rPr>
          <w:rFonts w:ascii="宋体" w:hAnsi="宋体" w:eastAsia="宋体" w:cs="宋体"/>
          <w:spacing w:val="-36"/>
          <w:sz w:val="21"/>
          <w:szCs w:val="21"/>
        </w:rPr>
        <w:t xml:space="preserve"> </w:t>
      </w:r>
      <w:r>
        <w:rPr>
          <w:rFonts w:ascii="Times New Roman" w:hAnsi="Times New Roman" w:eastAsia="Times New Roman" w:cs="Times New Roman"/>
          <w:spacing w:val="-2"/>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天的日期为基准日期。</w:t>
      </w:r>
    </w:p>
    <w:p w14:paraId="23D8D3AF">
      <w:pPr>
        <w:spacing w:before="1" w:line="356" w:lineRule="auto"/>
        <w:ind w:left="26" w:right="106" w:firstLine="434"/>
        <w:rPr>
          <w:rFonts w:ascii="宋体" w:hAnsi="宋体" w:eastAsia="宋体" w:cs="宋体"/>
          <w:sz w:val="21"/>
          <w:szCs w:val="21"/>
        </w:rPr>
      </w:pPr>
      <w:r>
        <w:rPr>
          <w:rFonts w:ascii="Times New Roman" w:hAnsi="Times New Roman" w:eastAsia="Times New Roman" w:cs="Times New Roman"/>
          <w:sz w:val="21"/>
          <w:szCs w:val="21"/>
        </w:rPr>
        <w:t xml:space="preserve">1.1.4.7  </w:t>
      </w:r>
      <w:r>
        <w:rPr>
          <w:rFonts w:ascii="宋体" w:hAnsi="宋体" w:eastAsia="宋体" w:cs="宋体"/>
          <w:sz w:val="21"/>
          <w:szCs w:val="21"/>
        </w:rPr>
        <w:t>天：除特别指明外，均指日历天。合同中按天计算时间的，开始当天</w:t>
      </w:r>
      <w:r>
        <w:rPr>
          <w:rFonts w:ascii="宋体" w:hAnsi="宋体" w:eastAsia="宋体" w:cs="宋体"/>
          <w:spacing w:val="-1"/>
          <w:sz w:val="21"/>
          <w:szCs w:val="21"/>
        </w:rPr>
        <w:t>不计入，</w:t>
      </w:r>
      <w:r>
        <w:rPr>
          <w:rFonts w:ascii="宋体" w:hAnsi="宋体" w:eastAsia="宋体" w:cs="宋体"/>
          <w:spacing w:val="-2"/>
          <w:sz w:val="21"/>
          <w:szCs w:val="21"/>
        </w:rPr>
        <w:t>从次日开始计算，期限最后一天的截止时间为当天</w:t>
      </w:r>
      <w:r>
        <w:rPr>
          <w:rFonts w:ascii="宋体" w:hAnsi="宋体" w:eastAsia="宋体" w:cs="宋体"/>
          <w:spacing w:val="-31"/>
          <w:sz w:val="21"/>
          <w:szCs w:val="21"/>
        </w:rPr>
        <w:t xml:space="preserve"> </w:t>
      </w:r>
      <w:r>
        <w:rPr>
          <w:rFonts w:ascii="Times New Roman" w:hAnsi="Times New Roman" w:eastAsia="Times New Roman" w:cs="Times New Roman"/>
          <w:spacing w:val="-2"/>
          <w:sz w:val="21"/>
          <w:szCs w:val="21"/>
        </w:rPr>
        <w:t>24:00</w:t>
      </w:r>
      <w:r>
        <w:rPr>
          <w:rFonts w:ascii="Times New Roman" w:hAnsi="Times New Roman" w:eastAsia="Times New Roman" w:cs="Times New Roman"/>
          <w:spacing w:val="27"/>
          <w:sz w:val="21"/>
          <w:szCs w:val="21"/>
        </w:rPr>
        <w:t xml:space="preserve"> </w:t>
      </w:r>
      <w:r>
        <w:rPr>
          <w:rFonts w:ascii="宋体" w:hAnsi="宋体" w:eastAsia="宋体" w:cs="宋体"/>
          <w:spacing w:val="-2"/>
          <w:sz w:val="21"/>
          <w:szCs w:val="21"/>
        </w:rPr>
        <w:t>时。</w:t>
      </w:r>
    </w:p>
    <w:p w14:paraId="69E67B42">
      <w:pPr>
        <w:spacing w:before="1" w:line="231" w:lineRule="auto"/>
        <w:ind w:left="461"/>
        <w:rPr>
          <w:rFonts w:ascii="宋体" w:hAnsi="宋体" w:eastAsia="宋体" w:cs="宋体"/>
          <w:sz w:val="21"/>
          <w:szCs w:val="21"/>
        </w:rPr>
      </w:pPr>
      <w:r>
        <w:rPr>
          <w:rFonts w:ascii="Times New Roman" w:hAnsi="Times New Roman" w:eastAsia="Times New Roman" w:cs="Times New Roman"/>
          <w:spacing w:val="-2"/>
          <w:sz w:val="21"/>
          <w:szCs w:val="21"/>
        </w:rPr>
        <w:t>1.1.5</w:t>
      </w:r>
      <w:r>
        <w:rPr>
          <w:rFonts w:ascii="Times New Roman" w:hAnsi="Times New Roman" w:eastAsia="Times New Roman" w:cs="Times New Roman"/>
          <w:spacing w:val="55"/>
          <w:sz w:val="21"/>
          <w:szCs w:val="21"/>
        </w:rPr>
        <w:t xml:space="preserve"> </w:t>
      </w:r>
      <w:r>
        <w:rPr>
          <w:rFonts w:ascii="宋体" w:hAnsi="宋体" w:eastAsia="宋体" w:cs="宋体"/>
          <w:spacing w:val="-2"/>
          <w:sz w:val="21"/>
          <w:szCs w:val="21"/>
        </w:rPr>
        <w:t>合同价格和费用</w:t>
      </w:r>
    </w:p>
    <w:p w14:paraId="627DF4BA">
      <w:pPr>
        <w:spacing w:before="128" w:line="347" w:lineRule="auto"/>
        <w:ind w:left="43" w:right="66"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1.1.5.1  </w:t>
      </w:r>
      <w:r>
        <w:rPr>
          <w:rFonts w:ascii="宋体" w:hAnsi="宋体" w:eastAsia="宋体" w:cs="宋体"/>
          <w:spacing w:val="1"/>
          <w:sz w:val="21"/>
          <w:szCs w:val="21"/>
        </w:rPr>
        <w:t>签约合同价：是指发包人和承包人在合同协议书中确定的总金</w:t>
      </w:r>
      <w:r>
        <w:rPr>
          <w:rFonts w:ascii="宋体" w:hAnsi="宋体" w:eastAsia="宋体" w:cs="宋体"/>
          <w:sz w:val="21"/>
          <w:szCs w:val="21"/>
        </w:rPr>
        <w:t>额，包括安全文</w:t>
      </w:r>
      <w:r>
        <w:rPr>
          <w:rFonts w:ascii="宋体" w:hAnsi="宋体" w:eastAsia="宋体" w:cs="宋体"/>
          <w:spacing w:val="-4"/>
          <w:sz w:val="21"/>
          <w:szCs w:val="21"/>
        </w:rPr>
        <w:t>明施工费、暂估价及暂列金额等。</w:t>
      </w:r>
    </w:p>
    <w:p w14:paraId="251AE9D5">
      <w:pPr>
        <w:spacing w:before="20" w:line="335" w:lineRule="auto"/>
        <w:ind w:left="41" w:right="59"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1.1.5.2  </w:t>
      </w:r>
      <w:r>
        <w:rPr>
          <w:rFonts w:ascii="宋体" w:hAnsi="宋体" w:eastAsia="宋体" w:cs="宋体"/>
          <w:spacing w:val="1"/>
          <w:sz w:val="21"/>
          <w:szCs w:val="21"/>
        </w:rPr>
        <w:t>合同价格：是指发包人用于支付承包人按照合同约定完成承包范围内全部工作</w:t>
      </w:r>
      <w:r>
        <w:rPr>
          <w:rFonts w:ascii="宋体" w:hAnsi="宋体" w:eastAsia="宋体" w:cs="宋体"/>
          <w:spacing w:val="-2"/>
          <w:sz w:val="21"/>
          <w:szCs w:val="21"/>
        </w:rPr>
        <w:t>的金额，包括合同履行过程中按合同约定发生的价格变化。</w:t>
      </w:r>
    </w:p>
    <w:p w14:paraId="78EAB063">
      <w:pPr>
        <w:spacing w:before="35" w:line="348" w:lineRule="auto"/>
        <w:ind w:left="24" w:right="76"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1.1.5.3  </w:t>
      </w:r>
      <w:r>
        <w:rPr>
          <w:rFonts w:ascii="宋体" w:hAnsi="宋体" w:eastAsia="宋体" w:cs="宋体"/>
          <w:spacing w:val="1"/>
          <w:sz w:val="21"/>
          <w:szCs w:val="21"/>
        </w:rPr>
        <w:t>费用：是指为履行合同所发生的或将要</w:t>
      </w:r>
      <w:r>
        <w:rPr>
          <w:rFonts w:ascii="宋体" w:hAnsi="宋体" w:eastAsia="宋体" w:cs="宋体"/>
          <w:sz w:val="21"/>
          <w:szCs w:val="21"/>
        </w:rPr>
        <w:t>发生的所有必需的开支，包括管理费和</w:t>
      </w:r>
      <w:r>
        <w:rPr>
          <w:rFonts w:ascii="宋体" w:hAnsi="宋体" w:eastAsia="宋体" w:cs="宋体"/>
          <w:spacing w:val="-2"/>
          <w:sz w:val="21"/>
          <w:szCs w:val="21"/>
        </w:rPr>
        <w:t>应分摊的其他费用，但不包括利润。</w:t>
      </w:r>
    </w:p>
    <w:p w14:paraId="4076BD45">
      <w:pPr>
        <w:spacing w:before="2" w:line="348" w:lineRule="auto"/>
        <w:ind w:left="27" w:right="59"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1.1.5.4  </w:t>
      </w:r>
      <w:r>
        <w:rPr>
          <w:rFonts w:ascii="宋体" w:hAnsi="宋体" w:eastAsia="宋体" w:cs="宋体"/>
          <w:spacing w:val="1"/>
          <w:sz w:val="21"/>
          <w:szCs w:val="21"/>
        </w:rPr>
        <w:t>暂估价：是指发包人在工程量清单或预算书中提供的用于支付必然发生但暂时</w:t>
      </w:r>
      <w:r>
        <w:rPr>
          <w:rFonts w:ascii="宋体" w:hAnsi="宋体" w:eastAsia="宋体" w:cs="宋体"/>
          <w:spacing w:val="-1"/>
          <w:sz w:val="21"/>
          <w:szCs w:val="21"/>
        </w:rPr>
        <w:t>不能确定价格的材料、工程设备的单价、专业工程以及服务工作的金额。</w:t>
      </w:r>
    </w:p>
    <w:p w14:paraId="270FC6CF">
      <w:pPr>
        <w:spacing w:before="19" w:line="350" w:lineRule="auto"/>
        <w:ind w:left="23"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1.1.5.5  </w:t>
      </w:r>
      <w:r>
        <w:rPr>
          <w:rFonts w:ascii="宋体" w:hAnsi="宋体" w:eastAsia="宋体" w:cs="宋体"/>
          <w:spacing w:val="1"/>
          <w:sz w:val="21"/>
          <w:szCs w:val="21"/>
        </w:rPr>
        <w:t>暂列金额：是指发包人在工程量清单或预算书中暂定并包括在合</w:t>
      </w:r>
      <w:r>
        <w:rPr>
          <w:rFonts w:ascii="宋体" w:hAnsi="宋体" w:eastAsia="宋体" w:cs="宋体"/>
          <w:sz w:val="21"/>
          <w:szCs w:val="21"/>
        </w:rPr>
        <w:t>同价格中的一</w:t>
      </w:r>
      <w:r>
        <w:rPr>
          <w:rFonts w:ascii="宋体" w:hAnsi="宋体" w:eastAsia="宋体" w:cs="宋体"/>
          <w:spacing w:val="-1"/>
          <w:sz w:val="21"/>
          <w:szCs w:val="21"/>
        </w:rPr>
        <w:t>笔款项，用于工程合同签订时尚未确定或者不可预见的所需材料、工程设备、服务的采购，</w:t>
      </w:r>
      <w:r>
        <w:rPr>
          <w:rFonts w:ascii="宋体" w:hAnsi="宋体" w:eastAsia="宋体" w:cs="宋体"/>
          <w:spacing w:val="-2"/>
          <w:sz w:val="21"/>
          <w:szCs w:val="21"/>
        </w:rPr>
        <w:t>施工中可能发生的工程变更、合同约定调整因素出现时的合同价格调整以及发生的索赔、现</w:t>
      </w:r>
      <w:r>
        <w:rPr>
          <w:rFonts w:ascii="宋体" w:hAnsi="宋体" w:eastAsia="宋体" w:cs="宋体"/>
          <w:spacing w:val="-3"/>
          <w:sz w:val="21"/>
          <w:szCs w:val="21"/>
        </w:rPr>
        <w:t>场签证确认等的费用。</w:t>
      </w:r>
    </w:p>
    <w:p w14:paraId="0F081FA9">
      <w:pPr>
        <w:spacing w:before="1" w:line="347" w:lineRule="auto"/>
        <w:ind w:left="24" w:right="59"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1.1.5.6  </w:t>
      </w:r>
      <w:r>
        <w:rPr>
          <w:rFonts w:ascii="宋体" w:hAnsi="宋体" w:eastAsia="宋体" w:cs="宋体"/>
          <w:spacing w:val="1"/>
          <w:sz w:val="21"/>
          <w:szCs w:val="21"/>
        </w:rPr>
        <w:t>计日工：是指合同履行过程中，承包人完成发包人提出的零星工作或需要采用</w:t>
      </w:r>
      <w:r>
        <w:rPr>
          <w:rFonts w:ascii="宋体" w:hAnsi="宋体" w:eastAsia="宋体" w:cs="宋体"/>
          <w:spacing w:val="-1"/>
          <w:sz w:val="21"/>
          <w:szCs w:val="21"/>
        </w:rPr>
        <w:t>计日工计价的变更工作时，按合同中约定的单价计价的一种方式。</w:t>
      </w:r>
    </w:p>
    <w:p w14:paraId="0F7823CF">
      <w:pPr>
        <w:spacing w:line="347" w:lineRule="auto"/>
        <w:rPr>
          <w:rFonts w:ascii="宋体" w:hAnsi="宋体" w:eastAsia="宋体" w:cs="宋体"/>
          <w:sz w:val="21"/>
          <w:szCs w:val="21"/>
        </w:rPr>
        <w:sectPr>
          <w:footerReference r:id="rId154" w:type="default"/>
          <w:pgSz w:w="11910" w:h="16845"/>
          <w:pgMar w:top="400" w:right="1735" w:bottom="1110" w:left="1786" w:header="0" w:footer="883" w:gutter="0"/>
          <w:cols w:space="720" w:num="1"/>
        </w:sectPr>
      </w:pPr>
    </w:p>
    <w:p w14:paraId="5C887A51">
      <w:pPr>
        <w:pStyle w:val="2"/>
        <w:spacing w:line="275" w:lineRule="auto"/>
      </w:pPr>
    </w:p>
    <w:p w14:paraId="440D0774">
      <w:pPr>
        <w:pStyle w:val="2"/>
        <w:spacing w:line="275" w:lineRule="auto"/>
      </w:pPr>
    </w:p>
    <w:p w14:paraId="6EF6718C">
      <w:pPr>
        <w:pStyle w:val="2"/>
        <w:spacing w:line="275" w:lineRule="auto"/>
      </w:pPr>
    </w:p>
    <w:p w14:paraId="34193B29">
      <w:pPr>
        <w:pStyle w:val="2"/>
        <w:spacing w:line="276" w:lineRule="auto"/>
      </w:pPr>
    </w:p>
    <w:p w14:paraId="79774E92">
      <w:pPr>
        <w:spacing w:before="69" w:line="348" w:lineRule="auto"/>
        <w:ind w:left="31" w:right="78" w:firstLine="429"/>
        <w:rPr>
          <w:rFonts w:ascii="宋体" w:hAnsi="宋体" w:eastAsia="宋体" w:cs="宋体"/>
          <w:sz w:val="21"/>
          <w:szCs w:val="21"/>
        </w:rPr>
      </w:pPr>
      <w:r>
        <w:rPr>
          <w:rFonts w:ascii="Times New Roman" w:hAnsi="Times New Roman" w:eastAsia="Times New Roman" w:cs="Times New Roman"/>
          <w:spacing w:val="-1"/>
          <w:sz w:val="21"/>
          <w:szCs w:val="21"/>
        </w:rPr>
        <w:t xml:space="preserve">1.1.5.7  </w:t>
      </w:r>
      <w:r>
        <w:rPr>
          <w:rFonts w:ascii="宋体" w:hAnsi="宋体" w:eastAsia="宋体" w:cs="宋体"/>
          <w:spacing w:val="-1"/>
          <w:sz w:val="21"/>
          <w:szCs w:val="21"/>
        </w:rPr>
        <w:t>质量保证金：是指按照第</w:t>
      </w:r>
      <w:r>
        <w:rPr>
          <w:rFonts w:ascii="宋体" w:hAnsi="宋体" w:eastAsia="宋体" w:cs="宋体"/>
          <w:spacing w:val="-8"/>
          <w:sz w:val="21"/>
          <w:szCs w:val="21"/>
        </w:rPr>
        <w:t xml:space="preserve"> </w:t>
      </w:r>
      <w:r>
        <w:rPr>
          <w:rFonts w:ascii="Times New Roman" w:hAnsi="Times New Roman" w:eastAsia="Times New Roman" w:cs="Times New Roman"/>
          <w:spacing w:val="-1"/>
          <w:sz w:val="21"/>
          <w:szCs w:val="21"/>
        </w:rPr>
        <w:t>15.3</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款〔质量保证金〕约定承包人用于保证其在缺陷</w:t>
      </w:r>
      <w:r>
        <w:rPr>
          <w:rFonts w:ascii="宋体" w:hAnsi="宋体" w:eastAsia="宋体" w:cs="宋体"/>
          <w:spacing w:val="-3"/>
          <w:sz w:val="21"/>
          <w:szCs w:val="21"/>
        </w:rPr>
        <w:t>责任期内履行缺陷修补义务的担保。</w:t>
      </w:r>
    </w:p>
    <w:p w14:paraId="2F3A08C5">
      <w:pPr>
        <w:spacing w:before="3" w:line="347" w:lineRule="auto"/>
        <w:ind w:left="23" w:right="156" w:firstLine="437"/>
        <w:rPr>
          <w:rFonts w:ascii="宋体" w:hAnsi="宋体" w:eastAsia="宋体" w:cs="宋体"/>
          <w:sz w:val="21"/>
          <w:szCs w:val="21"/>
        </w:rPr>
      </w:pPr>
      <w:r>
        <w:rPr>
          <w:rFonts w:ascii="Times New Roman" w:hAnsi="Times New Roman" w:eastAsia="Times New Roman" w:cs="Times New Roman"/>
          <w:sz w:val="21"/>
          <w:szCs w:val="21"/>
        </w:rPr>
        <w:t xml:space="preserve">1.1.5.8  </w:t>
      </w:r>
      <w:r>
        <w:rPr>
          <w:rFonts w:ascii="宋体" w:hAnsi="宋体" w:eastAsia="宋体" w:cs="宋体"/>
          <w:sz w:val="21"/>
          <w:szCs w:val="21"/>
        </w:rPr>
        <w:t>总价项目：是指在现行国家、行业以及地方的计量规则中无</w:t>
      </w:r>
      <w:r>
        <w:rPr>
          <w:rFonts w:ascii="宋体" w:hAnsi="宋体" w:eastAsia="宋体" w:cs="宋体"/>
          <w:spacing w:val="-1"/>
          <w:sz w:val="21"/>
          <w:szCs w:val="21"/>
        </w:rPr>
        <w:t>工程量计算规则，在已标价工程量清单或预算书中以总价或以费率形式计算的项目。</w:t>
      </w:r>
    </w:p>
    <w:p w14:paraId="21A6ABDD">
      <w:pPr>
        <w:spacing w:before="20" w:line="234" w:lineRule="auto"/>
        <w:ind w:left="461"/>
        <w:rPr>
          <w:rFonts w:ascii="宋体" w:hAnsi="宋体" w:eastAsia="宋体" w:cs="宋体"/>
          <w:sz w:val="21"/>
          <w:szCs w:val="21"/>
        </w:rPr>
      </w:pPr>
      <w:r>
        <w:rPr>
          <w:rFonts w:ascii="Times New Roman" w:hAnsi="Times New Roman" w:eastAsia="Times New Roman" w:cs="Times New Roman"/>
          <w:spacing w:val="-3"/>
          <w:sz w:val="21"/>
          <w:szCs w:val="21"/>
        </w:rPr>
        <w:t>1.1.6</w:t>
      </w:r>
      <w:r>
        <w:rPr>
          <w:rFonts w:ascii="Times New Roman" w:hAnsi="Times New Roman" w:eastAsia="Times New Roman" w:cs="Times New Roman"/>
          <w:spacing w:val="53"/>
          <w:sz w:val="21"/>
          <w:szCs w:val="21"/>
        </w:rPr>
        <w:t xml:space="preserve"> </w:t>
      </w:r>
      <w:r>
        <w:rPr>
          <w:rFonts w:ascii="宋体" w:hAnsi="宋体" w:eastAsia="宋体" w:cs="宋体"/>
          <w:spacing w:val="-3"/>
          <w:sz w:val="21"/>
          <w:szCs w:val="21"/>
        </w:rPr>
        <w:t>其他</w:t>
      </w:r>
    </w:p>
    <w:p w14:paraId="34C388E4">
      <w:pPr>
        <w:spacing w:before="124" w:line="345" w:lineRule="auto"/>
        <w:ind w:left="28" w:right="104" w:firstLine="432"/>
        <w:rPr>
          <w:rFonts w:ascii="宋体" w:hAnsi="宋体" w:eastAsia="宋体" w:cs="宋体"/>
          <w:sz w:val="21"/>
          <w:szCs w:val="21"/>
        </w:rPr>
      </w:pPr>
      <w:r>
        <w:rPr>
          <w:rFonts w:ascii="Times New Roman" w:hAnsi="Times New Roman" w:eastAsia="Times New Roman" w:cs="Times New Roman"/>
          <w:spacing w:val="1"/>
          <w:sz w:val="21"/>
          <w:szCs w:val="21"/>
        </w:rPr>
        <w:t xml:space="preserve">1.1.6.1  </w:t>
      </w:r>
      <w:r>
        <w:rPr>
          <w:rFonts w:ascii="宋体" w:hAnsi="宋体" w:eastAsia="宋体" w:cs="宋体"/>
          <w:spacing w:val="1"/>
          <w:sz w:val="21"/>
          <w:szCs w:val="21"/>
        </w:rPr>
        <w:t>书面形式：是指合同文件、信函、电报、传真等可以有形地表现所载内容的形</w:t>
      </w:r>
      <w:r>
        <w:rPr>
          <w:rFonts w:ascii="宋体" w:hAnsi="宋体" w:eastAsia="宋体" w:cs="宋体"/>
          <w:spacing w:val="-11"/>
          <w:sz w:val="21"/>
          <w:szCs w:val="21"/>
        </w:rPr>
        <w:t>式。</w:t>
      </w:r>
    </w:p>
    <w:p w14:paraId="460AEBCC">
      <w:pPr>
        <w:spacing w:line="232" w:lineRule="auto"/>
        <w:ind w:left="31"/>
        <w:outlineLvl w:val="2"/>
        <w:rPr>
          <w:rFonts w:ascii="黑体" w:hAnsi="黑体" w:eastAsia="黑体" w:cs="黑体"/>
          <w:sz w:val="24"/>
          <w:szCs w:val="24"/>
        </w:rPr>
      </w:pPr>
      <w:bookmarkStart w:id="344" w:name="bookmark297"/>
      <w:bookmarkEnd w:id="344"/>
      <w:r>
        <w:rPr>
          <w:rFonts w:ascii="Times New Roman" w:hAnsi="Times New Roman" w:eastAsia="Times New Roman" w:cs="Times New Roman"/>
          <w:b/>
          <w:bCs/>
          <w:spacing w:val="2"/>
          <w:sz w:val="24"/>
          <w:szCs w:val="24"/>
        </w:rPr>
        <w:t xml:space="preserve">1.2 </w:t>
      </w:r>
      <w:r>
        <w:rPr>
          <w:rFonts w:ascii="黑体" w:hAnsi="黑体" w:eastAsia="黑体" w:cs="黑体"/>
          <w:b/>
          <w:bCs/>
          <w:spacing w:val="2"/>
          <w:sz w:val="24"/>
          <w:szCs w:val="24"/>
        </w:rPr>
        <w:t>语言文字</w:t>
      </w:r>
    </w:p>
    <w:p w14:paraId="55FC7848">
      <w:pPr>
        <w:spacing w:before="114" w:line="345" w:lineRule="auto"/>
        <w:ind w:left="25" w:right="88" w:firstLine="420"/>
        <w:rPr>
          <w:rFonts w:ascii="宋体" w:hAnsi="宋体" w:eastAsia="宋体" w:cs="宋体"/>
          <w:sz w:val="21"/>
          <w:szCs w:val="21"/>
        </w:rPr>
      </w:pPr>
      <w:r>
        <w:rPr>
          <w:rFonts w:ascii="宋体" w:hAnsi="宋体" w:eastAsia="宋体" w:cs="宋体"/>
          <w:spacing w:val="-2"/>
          <w:sz w:val="21"/>
          <w:szCs w:val="21"/>
        </w:rPr>
        <w:t>合同以中国的汉语简体文字编写、解释和说明。合同当事人在专用合同</w:t>
      </w:r>
      <w:r>
        <w:rPr>
          <w:rFonts w:ascii="宋体" w:hAnsi="宋体" w:eastAsia="宋体" w:cs="宋体"/>
          <w:spacing w:val="-3"/>
          <w:sz w:val="21"/>
          <w:szCs w:val="21"/>
        </w:rPr>
        <w:t>条款中约定使用</w:t>
      </w:r>
      <w:r>
        <w:rPr>
          <w:rFonts w:ascii="宋体" w:hAnsi="宋体" w:eastAsia="宋体" w:cs="宋体"/>
          <w:spacing w:val="-1"/>
          <w:sz w:val="21"/>
          <w:szCs w:val="21"/>
        </w:rPr>
        <w:t>两种以上语言时，汉语为优先解释和说明合同</w:t>
      </w:r>
      <w:r>
        <w:rPr>
          <w:rFonts w:ascii="宋体" w:hAnsi="宋体" w:eastAsia="宋体" w:cs="宋体"/>
          <w:spacing w:val="-2"/>
          <w:sz w:val="21"/>
          <w:szCs w:val="21"/>
        </w:rPr>
        <w:t>的语言。</w:t>
      </w:r>
    </w:p>
    <w:p w14:paraId="10FD1EDD">
      <w:pPr>
        <w:spacing w:line="233" w:lineRule="auto"/>
        <w:ind w:left="31"/>
        <w:outlineLvl w:val="2"/>
        <w:rPr>
          <w:rFonts w:ascii="黑体" w:hAnsi="黑体" w:eastAsia="黑体" w:cs="黑体"/>
          <w:sz w:val="24"/>
          <w:szCs w:val="24"/>
        </w:rPr>
      </w:pPr>
      <w:bookmarkStart w:id="345" w:name="bookmark298"/>
      <w:bookmarkEnd w:id="345"/>
      <w:r>
        <w:rPr>
          <w:rFonts w:ascii="Times New Roman" w:hAnsi="Times New Roman" w:eastAsia="Times New Roman" w:cs="Times New Roman"/>
          <w:b/>
          <w:bCs/>
          <w:spacing w:val="-4"/>
          <w:sz w:val="24"/>
          <w:szCs w:val="24"/>
        </w:rPr>
        <w:t>1.3</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法律</w:t>
      </w:r>
    </w:p>
    <w:p w14:paraId="6F472574">
      <w:pPr>
        <w:spacing w:before="114" w:line="356" w:lineRule="auto"/>
        <w:ind w:left="26" w:right="89" w:firstLine="418"/>
        <w:rPr>
          <w:rFonts w:ascii="宋体" w:hAnsi="宋体" w:eastAsia="宋体" w:cs="宋体"/>
          <w:sz w:val="21"/>
          <w:szCs w:val="21"/>
        </w:rPr>
      </w:pPr>
      <w:r>
        <w:rPr>
          <w:rFonts w:ascii="宋体" w:hAnsi="宋体" w:eastAsia="宋体" w:cs="宋体"/>
          <w:spacing w:val="-5"/>
          <w:sz w:val="21"/>
          <w:szCs w:val="21"/>
        </w:rPr>
        <w:t>合同所称法律是指中华人民共和国法律、行政法规、部门规章， 以及工程所在地的地方</w:t>
      </w:r>
      <w:r>
        <w:rPr>
          <w:rFonts w:ascii="宋体" w:hAnsi="宋体" w:eastAsia="宋体" w:cs="宋体"/>
          <w:spacing w:val="-2"/>
          <w:sz w:val="21"/>
          <w:szCs w:val="21"/>
        </w:rPr>
        <w:t>性法规、自治条例、单行条例和地方政府规章等。</w:t>
      </w:r>
    </w:p>
    <w:p w14:paraId="6D2F3B4A">
      <w:pPr>
        <w:spacing w:before="1" w:line="219" w:lineRule="auto"/>
        <w:ind w:left="445"/>
        <w:rPr>
          <w:rFonts w:ascii="宋体" w:hAnsi="宋体" w:eastAsia="宋体" w:cs="宋体"/>
          <w:sz w:val="21"/>
          <w:szCs w:val="21"/>
        </w:rPr>
      </w:pPr>
      <w:r>
        <w:rPr>
          <w:rFonts w:ascii="宋体" w:hAnsi="宋体" w:eastAsia="宋体" w:cs="宋体"/>
          <w:spacing w:val="-1"/>
          <w:sz w:val="21"/>
          <w:szCs w:val="21"/>
        </w:rPr>
        <w:t>合同当事人可以在专用合同条款中约定合同适用的其他规范性文件。</w:t>
      </w:r>
    </w:p>
    <w:p w14:paraId="11EF1912">
      <w:pPr>
        <w:spacing w:before="115" w:line="234" w:lineRule="auto"/>
        <w:ind w:left="31"/>
        <w:outlineLvl w:val="2"/>
        <w:rPr>
          <w:rFonts w:ascii="黑体" w:hAnsi="黑体" w:eastAsia="黑体" w:cs="黑体"/>
          <w:sz w:val="24"/>
          <w:szCs w:val="24"/>
        </w:rPr>
      </w:pPr>
      <w:bookmarkStart w:id="346" w:name="bookmark299"/>
      <w:bookmarkEnd w:id="346"/>
      <w:r>
        <w:rPr>
          <w:rFonts w:ascii="Times New Roman" w:hAnsi="Times New Roman" w:eastAsia="Times New Roman" w:cs="Times New Roman"/>
          <w:b/>
          <w:bCs/>
          <w:spacing w:val="1"/>
          <w:sz w:val="24"/>
          <w:szCs w:val="24"/>
        </w:rPr>
        <w:t xml:space="preserve">1.4  </w:t>
      </w:r>
      <w:r>
        <w:rPr>
          <w:rFonts w:ascii="黑体" w:hAnsi="黑体" w:eastAsia="黑体" w:cs="黑体"/>
          <w:b/>
          <w:bCs/>
          <w:spacing w:val="1"/>
          <w:sz w:val="24"/>
          <w:szCs w:val="24"/>
        </w:rPr>
        <w:t>标准和规范</w:t>
      </w:r>
    </w:p>
    <w:p w14:paraId="26D604AE">
      <w:pPr>
        <w:spacing w:before="127" w:line="348" w:lineRule="auto"/>
        <w:ind w:left="25" w:firstLine="436"/>
        <w:rPr>
          <w:rFonts w:ascii="宋体" w:hAnsi="宋体" w:eastAsia="宋体" w:cs="宋体"/>
          <w:sz w:val="21"/>
          <w:szCs w:val="21"/>
        </w:rPr>
      </w:pPr>
      <w:r>
        <w:rPr>
          <w:rFonts w:ascii="Times New Roman" w:hAnsi="Times New Roman" w:eastAsia="Times New Roman" w:cs="Times New Roman"/>
          <w:spacing w:val="-5"/>
          <w:sz w:val="21"/>
          <w:szCs w:val="21"/>
        </w:rPr>
        <w:t xml:space="preserve">1.4.1  </w:t>
      </w:r>
      <w:r>
        <w:rPr>
          <w:rFonts w:ascii="宋体" w:hAnsi="宋体" w:eastAsia="宋体" w:cs="宋体"/>
          <w:spacing w:val="-5"/>
          <w:sz w:val="21"/>
          <w:szCs w:val="21"/>
        </w:rPr>
        <w:t>适用于工程的国家标准、行业标准、工程所在地的地方性标准， 以及相应的规范、</w:t>
      </w:r>
      <w:r>
        <w:rPr>
          <w:rFonts w:ascii="宋体" w:hAnsi="宋体" w:eastAsia="宋体" w:cs="宋体"/>
          <w:spacing w:val="-1"/>
          <w:sz w:val="21"/>
          <w:szCs w:val="21"/>
        </w:rPr>
        <w:t>规程等，合同当事人有特别要求的，应在专用合同条款中约定。</w:t>
      </w:r>
    </w:p>
    <w:p w14:paraId="3F50E5DE">
      <w:pPr>
        <w:spacing w:before="3" w:line="348" w:lineRule="auto"/>
        <w:ind w:left="25" w:right="88" w:firstLine="436"/>
        <w:rPr>
          <w:rFonts w:ascii="宋体" w:hAnsi="宋体" w:eastAsia="宋体" w:cs="宋体"/>
          <w:sz w:val="21"/>
          <w:szCs w:val="21"/>
        </w:rPr>
      </w:pPr>
      <w:r>
        <w:rPr>
          <w:rFonts w:ascii="Times New Roman" w:hAnsi="Times New Roman" w:eastAsia="Times New Roman" w:cs="Times New Roman"/>
          <w:sz w:val="21"/>
          <w:szCs w:val="21"/>
        </w:rPr>
        <w:t xml:space="preserve">1.4.2  </w:t>
      </w:r>
      <w:r>
        <w:rPr>
          <w:rFonts w:ascii="宋体" w:hAnsi="宋体" w:eastAsia="宋体" w:cs="宋体"/>
          <w:sz w:val="21"/>
          <w:szCs w:val="21"/>
        </w:rPr>
        <w:t>发包人要求使用国外标准、规范的，发包人负责提供原文版本和中文译本，并在</w:t>
      </w:r>
      <w:r>
        <w:rPr>
          <w:rFonts w:ascii="宋体" w:hAnsi="宋体" w:eastAsia="宋体" w:cs="宋体"/>
          <w:spacing w:val="-1"/>
          <w:sz w:val="21"/>
          <w:szCs w:val="21"/>
        </w:rPr>
        <w:t>专用合同条款中约定提供标准规范的名称、份数和</w:t>
      </w:r>
      <w:r>
        <w:rPr>
          <w:rFonts w:ascii="宋体" w:hAnsi="宋体" w:eastAsia="宋体" w:cs="宋体"/>
          <w:spacing w:val="-2"/>
          <w:sz w:val="21"/>
          <w:szCs w:val="21"/>
        </w:rPr>
        <w:t>时间。</w:t>
      </w:r>
    </w:p>
    <w:p w14:paraId="35D1512D">
      <w:pPr>
        <w:spacing w:before="21" w:line="344" w:lineRule="auto"/>
        <w:ind w:left="24" w:right="95" w:firstLine="436"/>
        <w:rPr>
          <w:rFonts w:ascii="宋体" w:hAnsi="宋体" w:eastAsia="宋体" w:cs="宋体"/>
          <w:sz w:val="21"/>
          <w:szCs w:val="21"/>
        </w:rPr>
      </w:pPr>
      <w:r>
        <w:rPr>
          <w:rFonts w:ascii="Times New Roman" w:hAnsi="Times New Roman" w:eastAsia="Times New Roman" w:cs="Times New Roman"/>
          <w:sz w:val="21"/>
          <w:szCs w:val="21"/>
        </w:rPr>
        <w:t xml:space="preserve">1.4.3  </w:t>
      </w:r>
      <w:r>
        <w:rPr>
          <w:rFonts w:ascii="宋体" w:hAnsi="宋体" w:eastAsia="宋体" w:cs="宋体"/>
          <w:sz w:val="21"/>
          <w:szCs w:val="21"/>
        </w:rPr>
        <w:t>发包人对工程的技术标准、功能要求高于或严于现行国家、行业或地方标准的，</w:t>
      </w:r>
      <w:r>
        <w:rPr>
          <w:rFonts w:ascii="宋体" w:hAnsi="宋体" w:eastAsia="宋体" w:cs="宋体"/>
          <w:spacing w:val="-4"/>
          <w:sz w:val="21"/>
          <w:szCs w:val="21"/>
        </w:rPr>
        <w:t>应当在专用合同条款中予以明确。除专用合同条款另有约定外，</w:t>
      </w:r>
      <w:r>
        <w:rPr>
          <w:rFonts w:ascii="宋体" w:hAnsi="宋体" w:eastAsia="宋体" w:cs="宋体"/>
          <w:spacing w:val="-33"/>
          <w:sz w:val="21"/>
          <w:szCs w:val="21"/>
        </w:rPr>
        <w:t xml:space="preserve"> </w:t>
      </w:r>
      <w:r>
        <w:rPr>
          <w:rFonts w:ascii="宋体" w:hAnsi="宋体" w:eastAsia="宋体" w:cs="宋体"/>
          <w:spacing w:val="-4"/>
          <w:sz w:val="21"/>
          <w:szCs w:val="21"/>
        </w:rPr>
        <w:t>应视为承包人在签订合同前</w:t>
      </w:r>
      <w:r>
        <w:rPr>
          <w:rFonts w:ascii="宋体" w:hAnsi="宋体" w:eastAsia="宋体" w:cs="宋体"/>
          <w:spacing w:val="-1"/>
          <w:sz w:val="21"/>
          <w:szCs w:val="21"/>
        </w:rPr>
        <w:t>已充分预见前述技术标准和功能要求的复杂程度，签约合同价中已包含由此产生的费用。</w:t>
      </w:r>
    </w:p>
    <w:p w14:paraId="2E55C188">
      <w:pPr>
        <w:spacing w:before="1" w:line="231" w:lineRule="auto"/>
        <w:ind w:left="31"/>
        <w:outlineLvl w:val="2"/>
        <w:rPr>
          <w:rFonts w:ascii="黑体" w:hAnsi="黑体" w:eastAsia="黑体" w:cs="黑体"/>
          <w:sz w:val="24"/>
          <w:szCs w:val="24"/>
        </w:rPr>
      </w:pPr>
      <w:bookmarkStart w:id="347" w:name="bookmark300"/>
      <w:bookmarkEnd w:id="347"/>
      <w:r>
        <w:rPr>
          <w:rFonts w:ascii="Times New Roman" w:hAnsi="Times New Roman" w:eastAsia="Times New Roman" w:cs="Times New Roman"/>
          <w:b/>
          <w:bCs/>
          <w:spacing w:val="1"/>
          <w:sz w:val="24"/>
          <w:szCs w:val="24"/>
        </w:rPr>
        <w:t xml:space="preserve">1.5  </w:t>
      </w:r>
      <w:r>
        <w:rPr>
          <w:rFonts w:ascii="黑体" w:hAnsi="黑体" w:eastAsia="黑体" w:cs="黑体"/>
          <w:b/>
          <w:bCs/>
          <w:spacing w:val="1"/>
          <w:sz w:val="24"/>
          <w:szCs w:val="24"/>
        </w:rPr>
        <w:t>合同文件的优先顺序</w:t>
      </w:r>
    </w:p>
    <w:p w14:paraId="21C6EBFF">
      <w:pPr>
        <w:spacing w:before="116" w:line="356" w:lineRule="auto"/>
        <w:ind w:left="23" w:right="89" w:firstLine="423"/>
        <w:rPr>
          <w:rFonts w:ascii="宋体" w:hAnsi="宋体" w:eastAsia="宋体" w:cs="宋体"/>
          <w:sz w:val="21"/>
          <w:szCs w:val="21"/>
        </w:rPr>
      </w:pPr>
      <w:r>
        <w:rPr>
          <w:rFonts w:ascii="宋体" w:hAnsi="宋体" w:eastAsia="宋体" w:cs="宋体"/>
          <w:spacing w:val="-5"/>
          <w:sz w:val="21"/>
          <w:szCs w:val="21"/>
        </w:rPr>
        <w:t>组成合同的各项文件应互相解释，互为说明。除专用合同条款另有约定外， 解释合同文</w:t>
      </w:r>
      <w:r>
        <w:rPr>
          <w:rFonts w:ascii="宋体" w:hAnsi="宋体" w:eastAsia="宋体" w:cs="宋体"/>
          <w:spacing w:val="-6"/>
          <w:sz w:val="21"/>
          <w:szCs w:val="21"/>
        </w:rPr>
        <w:t>件的优先顺序如下：</w:t>
      </w:r>
    </w:p>
    <w:p w14:paraId="7EE2E658">
      <w:pPr>
        <w:spacing w:line="232" w:lineRule="auto"/>
        <w:ind w:left="45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）合同协议书；</w:t>
      </w:r>
    </w:p>
    <w:p w14:paraId="2D7A7129">
      <w:pPr>
        <w:spacing w:before="126" w:line="233" w:lineRule="auto"/>
        <w:ind w:left="450"/>
        <w:rPr>
          <w:rFonts w:ascii="宋体" w:hAnsi="宋体" w:eastAsia="宋体" w:cs="宋体"/>
          <w:sz w:val="21"/>
          <w:szCs w:val="21"/>
        </w:rPr>
      </w:pPr>
      <w:r>
        <w:rPr>
          <w:rFonts w:ascii="宋体" w:hAnsi="宋体" w:eastAsia="宋体" w:cs="宋体"/>
          <w:spacing w:val="-10"/>
          <w:sz w:val="21"/>
          <w:szCs w:val="21"/>
        </w:rPr>
        <w:t>（</w:t>
      </w:r>
      <w:r>
        <w:rPr>
          <w:rFonts w:ascii="Times New Roman" w:hAnsi="Times New Roman" w:eastAsia="Times New Roman" w:cs="Times New Roman"/>
          <w:spacing w:val="-10"/>
          <w:sz w:val="21"/>
          <w:szCs w:val="21"/>
        </w:rPr>
        <w:t>2</w:t>
      </w:r>
      <w:r>
        <w:rPr>
          <w:rFonts w:ascii="宋体" w:hAnsi="宋体" w:eastAsia="宋体" w:cs="宋体"/>
          <w:spacing w:val="-10"/>
          <w:sz w:val="21"/>
          <w:szCs w:val="21"/>
        </w:rPr>
        <w:t>）中标通知书（如果有</w:t>
      </w:r>
      <w:r>
        <w:rPr>
          <w:rFonts w:ascii="宋体" w:hAnsi="宋体" w:eastAsia="宋体" w:cs="宋体"/>
          <w:spacing w:val="-5"/>
          <w:sz w:val="21"/>
          <w:szCs w:val="21"/>
        </w:rPr>
        <w:t>）；</w:t>
      </w:r>
    </w:p>
    <w:p w14:paraId="755A9164">
      <w:pPr>
        <w:spacing w:before="140" w:line="233" w:lineRule="auto"/>
        <w:ind w:left="450"/>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3</w:t>
      </w:r>
      <w:r>
        <w:rPr>
          <w:rFonts w:ascii="宋体" w:hAnsi="宋体" w:eastAsia="宋体" w:cs="宋体"/>
          <w:spacing w:val="-9"/>
          <w:sz w:val="21"/>
          <w:szCs w:val="21"/>
        </w:rPr>
        <w:t>）投标函及其附录（如果有</w:t>
      </w:r>
      <w:r>
        <w:rPr>
          <w:rFonts w:ascii="宋体" w:hAnsi="宋体" w:eastAsia="宋体" w:cs="宋体"/>
          <w:spacing w:val="-1"/>
          <w:sz w:val="21"/>
          <w:szCs w:val="21"/>
        </w:rPr>
        <w:t>）；</w:t>
      </w:r>
    </w:p>
    <w:p w14:paraId="3E3894EA">
      <w:pPr>
        <w:spacing w:before="140"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）专用合同条款及其附件；</w:t>
      </w:r>
    </w:p>
    <w:p w14:paraId="14F6902E">
      <w:pPr>
        <w:spacing w:before="126" w:line="233" w:lineRule="auto"/>
        <w:ind w:left="450"/>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5</w:t>
      </w:r>
      <w:r>
        <w:rPr>
          <w:rFonts w:ascii="宋体" w:hAnsi="宋体" w:eastAsia="宋体" w:cs="宋体"/>
          <w:spacing w:val="-6"/>
          <w:sz w:val="21"/>
          <w:szCs w:val="21"/>
        </w:rPr>
        <w:t>）通用合同条款；</w:t>
      </w:r>
    </w:p>
    <w:p w14:paraId="7ACC81BB">
      <w:pPr>
        <w:spacing w:before="141" w:line="233"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6</w:t>
      </w:r>
      <w:r>
        <w:rPr>
          <w:rFonts w:ascii="宋体" w:hAnsi="宋体" w:eastAsia="宋体" w:cs="宋体"/>
          <w:spacing w:val="-5"/>
          <w:sz w:val="21"/>
          <w:szCs w:val="21"/>
        </w:rPr>
        <w:t>）技术标准和要求；</w:t>
      </w:r>
    </w:p>
    <w:p w14:paraId="1A7E78FF">
      <w:pPr>
        <w:spacing w:before="139" w:line="235" w:lineRule="auto"/>
        <w:ind w:left="450"/>
        <w:rPr>
          <w:rFonts w:ascii="宋体" w:hAnsi="宋体" w:eastAsia="宋体" w:cs="宋体"/>
          <w:sz w:val="21"/>
          <w:szCs w:val="21"/>
        </w:rPr>
      </w:pPr>
      <w:r>
        <w:rPr>
          <w:rFonts w:ascii="宋体" w:hAnsi="宋体" w:eastAsia="宋体" w:cs="宋体"/>
          <w:spacing w:val="-9"/>
          <w:sz w:val="21"/>
          <w:szCs w:val="21"/>
        </w:rPr>
        <w:t>（</w:t>
      </w:r>
      <w:r>
        <w:rPr>
          <w:rFonts w:ascii="Times New Roman" w:hAnsi="Times New Roman" w:eastAsia="Times New Roman" w:cs="Times New Roman"/>
          <w:spacing w:val="-9"/>
          <w:sz w:val="21"/>
          <w:szCs w:val="21"/>
        </w:rPr>
        <w:t>7</w:t>
      </w:r>
      <w:r>
        <w:rPr>
          <w:rFonts w:ascii="宋体" w:hAnsi="宋体" w:eastAsia="宋体" w:cs="宋体"/>
          <w:spacing w:val="-9"/>
          <w:sz w:val="21"/>
          <w:szCs w:val="21"/>
        </w:rPr>
        <w:t>）图纸；</w:t>
      </w:r>
    </w:p>
    <w:p w14:paraId="05A780DF">
      <w:pPr>
        <w:spacing w:before="124" w:line="232"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8</w:t>
      </w:r>
      <w:r>
        <w:rPr>
          <w:rFonts w:ascii="宋体" w:hAnsi="宋体" w:eastAsia="宋体" w:cs="宋体"/>
          <w:spacing w:val="-4"/>
          <w:sz w:val="21"/>
          <w:szCs w:val="21"/>
        </w:rPr>
        <w:t>）已标价工程量清单或预算书；</w:t>
      </w:r>
    </w:p>
    <w:p w14:paraId="0D967F7F">
      <w:pPr>
        <w:spacing w:before="142"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9</w:t>
      </w:r>
      <w:r>
        <w:rPr>
          <w:rFonts w:ascii="宋体" w:hAnsi="宋体" w:eastAsia="宋体" w:cs="宋体"/>
          <w:spacing w:val="-4"/>
          <w:sz w:val="21"/>
          <w:szCs w:val="21"/>
        </w:rPr>
        <w:t>）其他合同文件。</w:t>
      </w:r>
    </w:p>
    <w:p w14:paraId="46363DC6">
      <w:pPr>
        <w:spacing w:line="233" w:lineRule="auto"/>
        <w:rPr>
          <w:rFonts w:ascii="宋体" w:hAnsi="宋体" w:eastAsia="宋体" w:cs="宋体"/>
          <w:sz w:val="21"/>
          <w:szCs w:val="21"/>
        </w:rPr>
        <w:sectPr>
          <w:footerReference r:id="rId155" w:type="default"/>
          <w:pgSz w:w="11910" w:h="16845"/>
          <w:pgMar w:top="400" w:right="1690" w:bottom="1110" w:left="1786" w:header="0" w:footer="883" w:gutter="0"/>
          <w:cols w:space="720" w:num="1"/>
        </w:sectPr>
      </w:pPr>
    </w:p>
    <w:p w14:paraId="603A5738">
      <w:pPr>
        <w:pStyle w:val="2"/>
        <w:spacing w:line="275" w:lineRule="auto"/>
      </w:pPr>
    </w:p>
    <w:p w14:paraId="6B6CAFEE">
      <w:pPr>
        <w:pStyle w:val="2"/>
        <w:spacing w:line="275" w:lineRule="auto"/>
      </w:pPr>
    </w:p>
    <w:p w14:paraId="7F516ECD">
      <w:pPr>
        <w:pStyle w:val="2"/>
        <w:spacing w:line="275" w:lineRule="auto"/>
      </w:pPr>
    </w:p>
    <w:p w14:paraId="2842782B">
      <w:pPr>
        <w:pStyle w:val="2"/>
        <w:spacing w:line="275" w:lineRule="auto"/>
      </w:pPr>
    </w:p>
    <w:p w14:paraId="33533649">
      <w:pPr>
        <w:spacing w:before="68" w:line="350" w:lineRule="auto"/>
        <w:ind w:left="26" w:right="60" w:firstLine="419"/>
        <w:rPr>
          <w:rFonts w:ascii="宋体" w:hAnsi="宋体" w:eastAsia="宋体" w:cs="宋体"/>
          <w:sz w:val="21"/>
          <w:szCs w:val="21"/>
        </w:rPr>
      </w:pPr>
      <w:r>
        <w:rPr>
          <w:rFonts w:ascii="宋体" w:hAnsi="宋体" w:eastAsia="宋体" w:cs="宋体"/>
          <w:spacing w:val="-2"/>
          <w:sz w:val="21"/>
          <w:szCs w:val="21"/>
        </w:rPr>
        <w:t>上述各项合同文件包括合同当事人就该项合同文件所作出的补充和修改</w:t>
      </w:r>
      <w:r>
        <w:rPr>
          <w:rFonts w:ascii="宋体" w:hAnsi="宋体" w:eastAsia="宋体" w:cs="宋体"/>
          <w:spacing w:val="-3"/>
          <w:sz w:val="21"/>
          <w:szCs w:val="21"/>
        </w:rPr>
        <w:t>，属于同一类内</w:t>
      </w:r>
      <w:r>
        <w:rPr>
          <w:rFonts w:ascii="宋体" w:hAnsi="宋体" w:eastAsia="宋体" w:cs="宋体"/>
          <w:spacing w:val="-2"/>
          <w:sz w:val="21"/>
          <w:szCs w:val="21"/>
        </w:rPr>
        <w:t>容的文件，应以最新签署的为准。</w:t>
      </w:r>
    </w:p>
    <w:p w14:paraId="38F2F749">
      <w:pPr>
        <w:spacing w:before="2" w:line="344" w:lineRule="auto"/>
        <w:ind w:left="26" w:right="60" w:firstLine="417"/>
        <w:rPr>
          <w:rFonts w:ascii="宋体" w:hAnsi="宋体" w:eastAsia="宋体" w:cs="宋体"/>
          <w:sz w:val="21"/>
          <w:szCs w:val="21"/>
        </w:rPr>
      </w:pPr>
      <w:r>
        <w:rPr>
          <w:rFonts w:ascii="宋体" w:hAnsi="宋体" w:eastAsia="宋体" w:cs="宋体"/>
          <w:spacing w:val="-2"/>
          <w:sz w:val="21"/>
          <w:szCs w:val="21"/>
        </w:rPr>
        <w:t>在合同订立及履行过程中形成的与合同有关的文件均构成合同文件组成部分</w:t>
      </w:r>
      <w:r>
        <w:rPr>
          <w:rFonts w:ascii="宋体" w:hAnsi="宋体" w:eastAsia="宋体" w:cs="宋体"/>
          <w:spacing w:val="-3"/>
          <w:sz w:val="21"/>
          <w:szCs w:val="21"/>
        </w:rPr>
        <w:t>，并根据其性质确定优先解释顺序。</w:t>
      </w:r>
    </w:p>
    <w:p w14:paraId="38AFF55E">
      <w:pPr>
        <w:spacing w:line="232" w:lineRule="auto"/>
        <w:ind w:left="31"/>
        <w:outlineLvl w:val="2"/>
        <w:rPr>
          <w:rFonts w:ascii="黑体" w:hAnsi="黑体" w:eastAsia="黑体" w:cs="黑体"/>
          <w:sz w:val="24"/>
          <w:szCs w:val="24"/>
        </w:rPr>
      </w:pPr>
      <w:bookmarkStart w:id="348" w:name="bookmark301"/>
      <w:bookmarkEnd w:id="348"/>
      <w:r>
        <w:rPr>
          <w:rFonts w:ascii="Times New Roman" w:hAnsi="Times New Roman" w:eastAsia="Times New Roman" w:cs="Times New Roman"/>
          <w:b/>
          <w:bCs/>
          <w:sz w:val="24"/>
          <w:szCs w:val="24"/>
        </w:rPr>
        <w:t>1.6</w:t>
      </w:r>
      <w:r>
        <w:rPr>
          <w:rFonts w:ascii="Times New Roman" w:hAnsi="Times New Roman" w:eastAsia="Times New Roman" w:cs="Times New Roman"/>
          <w:b/>
          <w:bCs/>
          <w:spacing w:val="26"/>
          <w:sz w:val="24"/>
          <w:szCs w:val="24"/>
        </w:rPr>
        <w:t xml:space="preserve"> </w:t>
      </w:r>
      <w:r>
        <w:rPr>
          <w:rFonts w:ascii="黑体" w:hAnsi="黑体" w:eastAsia="黑体" w:cs="黑体"/>
          <w:b/>
          <w:bCs/>
          <w:sz w:val="24"/>
          <w:szCs w:val="24"/>
        </w:rPr>
        <w:t>图纸和承包人文件</w:t>
      </w:r>
    </w:p>
    <w:p w14:paraId="714DFC53">
      <w:pPr>
        <w:spacing w:before="113"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1.6.1  </w:t>
      </w:r>
      <w:r>
        <w:rPr>
          <w:rFonts w:ascii="宋体" w:hAnsi="宋体" w:eastAsia="宋体" w:cs="宋体"/>
          <w:spacing w:val="-2"/>
          <w:sz w:val="21"/>
          <w:szCs w:val="21"/>
        </w:rPr>
        <w:t>图纸的提供和交底</w:t>
      </w:r>
    </w:p>
    <w:p w14:paraId="534328BC">
      <w:pPr>
        <w:spacing w:before="141" w:line="352" w:lineRule="auto"/>
        <w:ind w:left="24" w:right="53" w:firstLine="423"/>
        <w:rPr>
          <w:rFonts w:ascii="宋体" w:hAnsi="宋体" w:eastAsia="宋体" w:cs="宋体"/>
          <w:sz w:val="21"/>
          <w:szCs w:val="21"/>
        </w:rPr>
      </w:pPr>
      <w:r>
        <w:rPr>
          <w:rFonts w:ascii="宋体" w:hAnsi="宋体" w:eastAsia="宋体" w:cs="宋体"/>
          <w:spacing w:val="-4"/>
          <w:sz w:val="21"/>
          <w:szCs w:val="21"/>
        </w:rPr>
        <w:t>发包人应按照专用合同条款约定的期限、数量和内容向承包人免费提供图纸，</w:t>
      </w:r>
      <w:r>
        <w:rPr>
          <w:rFonts w:ascii="宋体" w:hAnsi="宋体" w:eastAsia="宋体" w:cs="宋体"/>
          <w:spacing w:val="-39"/>
          <w:sz w:val="21"/>
          <w:szCs w:val="21"/>
        </w:rPr>
        <w:t xml:space="preserve"> </w:t>
      </w:r>
      <w:r>
        <w:rPr>
          <w:rFonts w:ascii="宋体" w:hAnsi="宋体" w:eastAsia="宋体" w:cs="宋体"/>
          <w:spacing w:val="-4"/>
          <w:sz w:val="21"/>
          <w:szCs w:val="21"/>
        </w:rPr>
        <w:t>并组织承</w:t>
      </w:r>
      <w:r>
        <w:rPr>
          <w:rFonts w:ascii="宋体" w:hAnsi="宋体" w:eastAsia="宋体" w:cs="宋体"/>
          <w:sz w:val="21"/>
          <w:szCs w:val="21"/>
        </w:rPr>
        <w:t>包人、监理人和设计人进行图纸会审和设计交底。发包人至迟不得晚于第</w:t>
      </w:r>
      <w:r>
        <w:rPr>
          <w:rFonts w:ascii="宋体" w:hAnsi="宋体" w:eastAsia="宋体" w:cs="宋体"/>
          <w:spacing w:val="-42"/>
          <w:sz w:val="21"/>
          <w:szCs w:val="21"/>
        </w:rPr>
        <w:t xml:space="preserve"> </w:t>
      </w:r>
      <w:r>
        <w:rPr>
          <w:rFonts w:ascii="Times New Roman" w:hAnsi="Times New Roman" w:eastAsia="Times New Roman" w:cs="Times New Roman"/>
          <w:sz w:val="21"/>
          <w:szCs w:val="21"/>
        </w:rPr>
        <w:t>7.3.2</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项〔开工通</w:t>
      </w:r>
      <w:r>
        <w:rPr>
          <w:rFonts w:ascii="宋体" w:hAnsi="宋体" w:eastAsia="宋体" w:cs="宋体"/>
          <w:spacing w:val="-3"/>
          <w:sz w:val="21"/>
          <w:szCs w:val="21"/>
        </w:rPr>
        <w:t>知〕载明的开工日期前</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天向承包人提供图纸。</w:t>
      </w:r>
    </w:p>
    <w:p w14:paraId="163ABBA4">
      <w:pPr>
        <w:spacing w:before="2" w:line="347" w:lineRule="auto"/>
        <w:ind w:left="27" w:right="53" w:firstLine="433"/>
        <w:rPr>
          <w:rFonts w:ascii="宋体" w:hAnsi="宋体" w:eastAsia="宋体" w:cs="宋体"/>
          <w:sz w:val="21"/>
          <w:szCs w:val="21"/>
        </w:rPr>
      </w:pPr>
      <w:r>
        <w:rPr>
          <w:rFonts w:ascii="宋体" w:hAnsi="宋体" w:eastAsia="宋体" w:cs="宋体"/>
          <w:spacing w:val="-4"/>
          <w:sz w:val="21"/>
          <w:szCs w:val="21"/>
        </w:rPr>
        <w:t>因发包人未按合同约定提供图纸导致承包人费用增加和（或）工期延误的，按照第</w:t>
      </w:r>
      <w:r>
        <w:rPr>
          <w:rFonts w:ascii="宋体" w:hAnsi="宋体" w:eastAsia="宋体" w:cs="宋体"/>
          <w:spacing w:val="-33"/>
          <w:sz w:val="21"/>
          <w:szCs w:val="21"/>
        </w:rPr>
        <w:t xml:space="preserve"> </w:t>
      </w:r>
      <w:r>
        <w:rPr>
          <w:rFonts w:ascii="Times New Roman" w:hAnsi="Times New Roman" w:eastAsia="Times New Roman" w:cs="Times New Roman"/>
          <w:spacing w:val="-4"/>
          <w:sz w:val="21"/>
          <w:szCs w:val="21"/>
        </w:rPr>
        <w:t>7.5.1</w:t>
      </w:r>
      <w:r>
        <w:rPr>
          <w:rFonts w:ascii="宋体" w:hAnsi="宋体" w:eastAsia="宋体" w:cs="宋体"/>
          <w:spacing w:val="-2"/>
          <w:sz w:val="21"/>
          <w:szCs w:val="21"/>
        </w:rPr>
        <w:t>项〔因发包人原因导致工期延误〕约定办理。</w:t>
      </w:r>
    </w:p>
    <w:p w14:paraId="4E3E1D8A">
      <w:pPr>
        <w:spacing w:before="4" w:line="235" w:lineRule="auto"/>
        <w:ind w:left="461"/>
        <w:rPr>
          <w:rFonts w:ascii="宋体" w:hAnsi="宋体" w:eastAsia="宋体" w:cs="宋体"/>
          <w:sz w:val="21"/>
          <w:szCs w:val="21"/>
        </w:rPr>
      </w:pPr>
      <w:r>
        <w:rPr>
          <w:rFonts w:ascii="Times New Roman" w:hAnsi="Times New Roman" w:eastAsia="Times New Roman" w:cs="Times New Roman"/>
          <w:spacing w:val="-4"/>
          <w:sz w:val="21"/>
          <w:szCs w:val="21"/>
        </w:rPr>
        <w:t>1.6.2</w:t>
      </w:r>
      <w:r>
        <w:rPr>
          <w:rFonts w:ascii="Times New Roman" w:hAnsi="Times New Roman" w:eastAsia="Times New Roman" w:cs="Times New Roman"/>
          <w:spacing w:val="11"/>
          <w:sz w:val="21"/>
          <w:szCs w:val="21"/>
        </w:rPr>
        <w:t xml:space="preserve">  </w:t>
      </w:r>
      <w:r>
        <w:rPr>
          <w:rFonts w:ascii="宋体" w:hAnsi="宋体" w:eastAsia="宋体" w:cs="宋体"/>
          <w:spacing w:val="-4"/>
          <w:sz w:val="21"/>
          <w:szCs w:val="21"/>
        </w:rPr>
        <w:t>图纸的错误</w:t>
      </w:r>
    </w:p>
    <w:p w14:paraId="749745F3">
      <w:pPr>
        <w:spacing w:before="138" w:line="353" w:lineRule="auto"/>
        <w:ind w:left="22" w:right="61" w:firstLine="422"/>
        <w:rPr>
          <w:rFonts w:ascii="宋体" w:hAnsi="宋体" w:eastAsia="宋体" w:cs="宋体"/>
          <w:sz w:val="21"/>
          <w:szCs w:val="21"/>
        </w:rPr>
      </w:pPr>
      <w:r>
        <w:rPr>
          <w:rFonts w:ascii="宋体" w:hAnsi="宋体" w:eastAsia="宋体" w:cs="宋体"/>
          <w:spacing w:val="-5"/>
          <w:sz w:val="21"/>
          <w:szCs w:val="21"/>
        </w:rPr>
        <w:t>承包人在收到发包人提供的图纸后，发现图纸存在差错、遗漏或缺陷的， 应及时通知监</w:t>
      </w:r>
      <w:r>
        <w:rPr>
          <w:rFonts w:ascii="宋体" w:hAnsi="宋体" w:eastAsia="宋体" w:cs="宋体"/>
          <w:spacing w:val="-2"/>
          <w:sz w:val="21"/>
          <w:szCs w:val="21"/>
        </w:rPr>
        <w:t>理人。监理人接到该通知后，应附具相关意见并立即报送发包人，发包人应在收到监</w:t>
      </w:r>
      <w:r>
        <w:rPr>
          <w:rFonts w:ascii="宋体" w:hAnsi="宋体" w:eastAsia="宋体" w:cs="宋体"/>
          <w:spacing w:val="-3"/>
          <w:sz w:val="21"/>
          <w:szCs w:val="21"/>
        </w:rPr>
        <w:t>理人报</w:t>
      </w:r>
      <w:r>
        <w:rPr>
          <w:rFonts w:ascii="宋体" w:hAnsi="宋体" w:eastAsia="宋体" w:cs="宋体"/>
          <w:spacing w:val="-2"/>
          <w:sz w:val="21"/>
          <w:szCs w:val="21"/>
        </w:rPr>
        <w:t>送的通知后的合理时间内作出决定。合理时间是指发包人在收到监理人的报送通知后</w:t>
      </w:r>
      <w:r>
        <w:rPr>
          <w:rFonts w:ascii="宋体" w:hAnsi="宋体" w:eastAsia="宋体" w:cs="宋体"/>
          <w:spacing w:val="-3"/>
          <w:sz w:val="21"/>
          <w:szCs w:val="21"/>
        </w:rPr>
        <w:t>，尽其</w:t>
      </w:r>
      <w:r>
        <w:rPr>
          <w:rFonts w:ascii="宋体" w:hAnsi="宋体" w:eastAsia="宋体" w:cs="宋体"/>
          <w:spacing w:val="-2"/>
          <w:sz w:val="21"/>
          <w:szCs w:val="21"/>
        </w:rPr>
        <w:t>努力且不懈怠地完成图纸修改补充所需的时间。</w:t>
      </w:r>
    </w:p>
    <w:p w14:paraId="4B74E424">
      <w:pPr>
        <w:spacing w:before="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1.6.3  </w:t>
      </w:r>
      <w:r>
        <w:rPr>
          <w:rFonts w:ascii="宋体" w:hAnsi="宋体" w:eastAsia="宋体" w:cs="宋体"/>
          <w:spacing w:val="-2"/>
          <w:sz w:val="21"/>
          <w:szCs w:val="21"/>
        </w:rPr>
        <w:t>图纸的修改和补充</w:t>
      </w:r>
    </w:p>
    <w:p w14:paraId="7F257AAB">
      <w:pPr>
        <w:spacing w:before="125" w:line="352" w:lineRule="auto"/>
        <w:ind w:left="23" w:right="59" w:firstLine="441"/>
        <w:rPr>
          <w:rFonts w:ascii="宋体" w:hAnsi="宋体" w:eastAsia="宋体" w:cs="宋体"/>
          <w:sz w:val="21"/>
          <w:szCs w:val="21"/>
        </w:rPr>
      </w:pPr>
      <w:r>
        <w:rPr>
          <w:rFonts w:ascii="宋体" w:hAnsi="宋体" w:eastAsia="宋体" w:cs="宋体"/>
          <w:spacing w:val="-3"/>
          <w:sz w:val="21"/>
          <w:szCs w:val="21"/>
        </w:rPr>
        <w:t>图纸需要修改和补充的，应经图纸原设计人及审批部门同意，并由监理人在工程或工程</w:t>
      </w:r>
      <w:r>
        <w:rPr>
          <w:rFonts w:ascii="宋体" w:hAnsi="宋体" w:eastAsia="宋体" w:cs="宋体"/>
          <w:spacing w:val="-2"/>
          <w:sz w:val="21"/>
          <w:szCs w:val="21"/>
        </w:rPr>
        <w:t>相应部位施工前将修改后的图纸或补充图纸提交给承包人，承包人应按修改或补充后的图纸</w:t>
      </w:r>
      <w:r>
        <w:rPr>
          <w:rFonts w:ascii="宋体" w:hAnsi="宋体" w:eastAsia="宋体" w:cs="宋体"/>
          <w:spacing w:val="-9"/>
          <w:sz w:val="21"/>
          <w:szCs w:val="21"/>
        </w:rPr>
        <w:t>施工。</w:t>
      </w:r>
    </w:p>
    <w:p w14:paraId="37E37A81">
      <w:pPr>
        <w:spacing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1.6.4</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承包人文件</w:t>
      </w:r>
    </w:p>
    <w:p w14:paraId="5769C08D">
      <w:pPr>
        <w:spacing w:before="139" w:line="350" w:lineRule="auto"/>
        <w:ind w:left="25" w:right="61" w:firstLine="419"/>
        <w:rPr>
          <w:rFonts w:ascii="宋体" w:hAnsi="宋体" w:eastAsia="宋体" w:cs="宋体"/>
          <w:sz w:val="21"/>
          <w:szCs w:val="21"/>
        </w:rPr>
      </w:pPr>
      <w:r>
        <w:rPr>
          <w:rFonts w:ascii="宋体" w:hAnsi="宋体" w:eastAsia="宋体" w:cs="宋体"/>
          <w:spacing w:val="-2"/>
          <w:sz w:val="21"/>
          <w:szCs w:val="21"/>
        </w:rPr>
        <w:t>承包人应按照专用合同条款的约定提供应当由其编制的与工程施工有关</w:t>
      </w:r>
      <w:r>
        <w:rPr>
          <w:rFonts w:ascii="宋体" w:hAnsi="宋体" w:eastAsia="宋体" w:cs="宋体"/>
          <w:spacing w:val="-3"/>
          <w:sz w:val="21"/>
          <w:szCs w:val="21"/>
        </w:rPr>
        <w:t>的文件，并按照</w:t>
      </w:r>
      <w:r>
        <w:rPr>
          <w:rFonts w:ascii="宋体" w:hAnsi="宋体" w:eastAsia="宋体" w:cs="宋体"/>
          <w:spacing w:val="-1"/>
          <w:sz w:val="21"/>
          <w:szCs w:val="21"/>
        </w:rPr>
        <w:t>专用合同条款约定的期限、数量和形式提交监理人，并由监理人报送发包人。</w:t>
      </w:r>
    </w:p>
    <w:p w14:paraId="512B945F">
      <w:pPr>
        <w:spacing w:before="3" w:line="351" w:lineRule="auto"/>
        <w:ind w:left="24" w:right="52" w:firstLine="432"/>
        <w:jc w:val="both"/>
        <w:rPr>
          <w:rFonts w:ascii="宋体" w:hAnsi="宋体" w:eastAsia="宋体" w:cs="宋体"/>
          <w:sz w:val="21"/>
          <w:szCs w:val="21"/>
        </w:rPr>
      </w:pPr>
      <w:r>
        <w:rPr>
          <w:rFonts w:ascii="宋体" w:hAnsi="宋体" w:eastAsia="宋体" w:cs="宋体"/>
          <w:spacing w:val="-3"/>
          <w:sz w:val="21"/>
          <w:szCs w:val="21"/>
        </w:rPr>
        <w:t>除专用合同条款另有约定外，监理人应在收到承包人文件后</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天内审查完毕，监</w:t>
      </w:r>
      <w:r>
        <w:rPr>
          <w:rFonts w:ascii="宋体" w:hAnsi="宋体" w:eastAsia="宋体" w:cs="宋体"/>
          <w:spacing w:val="-4"/>
          <w:sz w:val="21"/>
          <w:szCs w:val="21"/>
        </w:rPr>
        <w:t>理人对</w:t>
      </w:r>
      <w:r>
        <w:rPr>
          <w:rFonts w:ascii="宋体" w:hAnsi="宋体" w:eastAsia="宋体" w:cs="宋体"/>
          <w:spacing w:val="-2"/>
          <w:sz w:val="21"/>
          <w:szCs w:val="21"/>
        </w:rPr>
        <w:t>承包人文件有异议的，承包人应予以修改，并重新报送监理人。监理人的审查并不减轻</w:t>
      </w:r>
      <w:r>
        <w:rPr>
          <w:rFonts w:ascii="宋体" w:hAnsi="宋体" w:eastAsia="宋体" w:cs="宋体"/>
          <w:spacing w:val="-3"/>
          <w:sz w:val="21"/>
          <w:szCs w:val="21"/>
        </w:rPr>
        <w:t>或免</w:t>
      </w:r>
      <w:r>
        <w:rPr>
          <w:rFonts w:ascii="宋体" w:hAnsi="宋体" w:eastAsia="宋体" w:cs="宋体"/>
          <w:spacing w:val="-2"/>
          <w:sz w:val="21"/>
          <w:szCs w:val="21"/>
        </w:rPr>
        <w:t>除承包人根据合同约定应当承担的责任。</w:t>
      </w:r>
    </w:p>
    <w:p w14:paraId="634855DE">
      <w:pPr>
        <w:spacing w:before="1"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1.6.5  </w:t>
      </w:r>
      <w:r>
        <w:rPr>
          <w:rFonts w:ascii="宋体" w:hAnsi="宋体" w:eastAsia="宋体" w:cs="宋体"/>
          <w:spacing w:val="-1"/>
          <w:sz w:val="21"/>
          <w:szCs w:val="21"/>
        </w:rPr>
        <w:t>图纸和承包人文件的保管</w:t>
      </w:r>
    </w:p>
    <w:p w14:paraId="217E5772">
      <w:pPr>
        <w:spacing w:before="141" w:line="338" w:lineRule="auto"/>
        <w:ind w:left="23" w:right="60" w:firstLine="433"/>
        <w:rPr>
          <w:rFonts w:ascii="宋体" w:hAnsi="宋体" w:eastAsia="宋体" w:cs="宋体"/>
          <w:sz w:val="21"/>
          <w:szCs w:val="21"/>
        </w:rPr>
      </w:pPr>
      <w:r>
        <w:rPr>
          <w:rFonts w:ascii="宋体" w:hAnsi="宋体" w:eastAsia="宋体" w:cs="宋体"/>
          <w:spacing w:val="-2"/>
          <w:sz w:val="21"/>
          <w:szCs w:val="21"/>
        </w:rPr>
        <w:t>除专用合同条款另有约定外，承包人应在施工</w:t>
      </w:r>
      <w:r>
        <w:rPr>
          <w:rFonts w:ascii="宋体" w:hAnsi="宋体" w:eastAsia="宋体" w:cs="宋体"/>
          <w:spacing w:val="-3"/>
          <w:sz w:val="21"/>
          <w:szCs w:val="21"/>
        </w:rPr>
        <w:t>现场另外保存一套完整的图纸和承包人文</w:t>
      </w:r>
      <w:r>
        <w:rPr>
          <w:rFonts w:ascii="宋体" w:hAnsi="宋体" w:eastAsia="宋体" w:cs="宋体"/>
          <w:spacing w:val="-1"/>
          <w:sz w:val="21"/>
          <w:szCs w:val="21"/>
        </w:rPr>
        <w:t>件，供发包人、监理人及有关人员进行工程检查时使用。</w:t>
      </w:r>
    </w:p>
    <w:p w14:paraId="7A8DEF8F">
      <w:pPr>
        <w:spacing w:before="1" w:line="231" w:lineRule="auto"/>
        <w:ind w:left="31"/>
        <w:outlineLvl w:val="2"/>
        <w:rPr>
          <w:rFonts w:ascii="黑体" w:hAnsi="黑体" w:eastAsia="黑体" w:cs="黑体"/>
          <w:sz w:val="24"/>
          <w:szCs w:val="24"/>
        </w:rPr>
      </w:pPr>
      <w:bookmarkStart w:id="349" w:name="bookmark302"/>
      <w:bookmarkEnd w:id="349"/>
      <w:r>
        <w:rPr>
          <w:rFonts w:ascii="Times New Roman" w:hAnsi="Times New Roman" w:eastAsia="Times New Roman" w:cs="Times New Roman"/>
          <w:b/>
          <w:bCs/>
          <w:spacing w:val="-4"/>
          <w:sz w:val="24"/>
          <w:szCs w:val="24"/>
        </w:rPr>
        <w:t>1.7</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联络</w:t>
      </w:r>
    </w:p>
    <w:p w14:paraId="27306984">
      <w:pPr>
        <w:spacing w:before="129" w:line="348" w:lineRule="auto"/>
        <w:ind w:left="24" w:firstLine="436"/>
        <w:rPr>
          <w:rFonts w:ascii="宋体" w:hAnsi="宋体" w:eastAsia="宋体" w:cs="宋体"/>
          <w:sz w:val="21"/>
          <w:szCs w:val="21"/>
        </w:rPr>
      </w:pPr>
      <w:r>
        <w:rPr>
          <w:rFonts w:ascii="Times New Roman" w:hAnsi="Times New Roman" w:eastAsia="Times New Roman" w:cs="Times New Roman"/>
          <w:spacing w:val="-3"/>
          <w:sz w:val="21"/>
          <w:szCs w:val="21"/>
        </w:rPr>
        <w:t xml:space="preserve">1.7.1  </w:t>
      </w:r>
      <w:r>
        <w:rPr>
          <w:rFonts w:ascii="宋体" w:hAnsi="宋体" w:eastAsia="宋体" w:cs="宋体"/>
          <w:spacing w:val="-3"/>
          <w:sz w:val="21"/>
          <w:szCs w:val="21"/>
        </w:rPr>
        <w:t>与合同有关的通知、批准、证明、证书、指示、指</w:t>
      </w:r>
      <w:r>
        <w:rPr>
          <w:rFonts w:ascii="宋体" w:hAnsi="宋体" w:eastAsia="宋体" w:cs="宋体"/>
          <w:spacing w:val="-4"/>
          <w:sz w:val="21"/>
          <w:szCs w:val="21"/>
        </w:rPr>
        <w:t>令、要求、请求、同意、意见、</w:t>
      </w:r>
      <w:r>
        <w:rPr>
          <w:rFonts w:ascii="宋体" w:hAnsi="宋体" w:eastAsia="宋体" w:cs="宋体"/>
          <w:spacing w:val="-1"/>
          <w:sz w:val="21"/>
          <w:szCs w:val="21"/>
        </w:rPr>
        <w:t>确定和决定等，均应采用书面形式，并应在合同约定的期限内送达接收人和送达地点。</w:t>
      </w:r>
    </w:p>
    <w:p w14:paraId="1DD1BDE5">
      <w:pPr>
        <w:spacing w:before="5" w:line="357" w:lineRule="auto"/>
        <w:ind w:left="25" w:right="60" w:firstLine="436"/>
        <w:rPr>
          <w:rFonts w:ascii="宋体" w:hAnsi="宋体" w:eastAsia="宋体" w:cs="宋体"/>
          <w:sz w:val="21"/>
          <w:szCs w:val="21"/>
        </w:rPr>
      </w:pPr>
      <w:r>
        <w:rPr>
          <w:rFonts w:ascii="Times New Roman" w:hAnsi="Times New Roman" w:eastAsia="Times New Roman" w:cs="Times New Roman"/>
          <w:sz w:val="21"/>
          <w:szCs w:val="21"/>
        </w:rPr>
        <w:t xml:space="preserve">1.7.2  </w:t>
      </w:r>
      <w:r>
        <w:rPr>
          <w:rFonts w:ascii="宋体" w:hAnsi="宋体" w:eastAsia="宋体" w:cs="宋体"/>
          <w:sz w:val="21"/>
          <w:szCs w:val="21"/>
        </w:rPr>
        <w:t>发包人和承包人应在专用合同条款中约定各自的送达接收人和送达地点。任何一</w:t>
      </w:r>
      <w:r>
        <w:rPr>
          <w:rFonts w:ascii="宋体" w:hAnsi="宋体" w:eastAsia="宋体" w:cs="宋体"/>
          <w:spacing w:val="-1"/>
          <w:sz w:val="21"/>
          <w:szCs w:val="21"/>
        </w:rPr>
        <w:t>方合同当事人指定的接收人或送达地点发生变动的，应提前</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天以书面形式通知</w:t>
      </w:r>
      <w:r>
        <w:rPr>
          <w:rFonts w:ascii="宋体" w:hAnsi="宋体" w:eastAsia="宋体" w:cs="宋体"/>
          <w:spacing w:val="-2"/>
          <w:sz w:val="21"/>
          <w:szCs w:val="21"/>
        </w:rPr>
        <w:t>对方。</w:t>
      </w:r>
    </w:p>
    <w:p w14:paraId="57F5204D">
      <w:pPr>
        <w:spacing w:line="357" w:lineRule="auto"/>
        <w:rPr>
          <w:rFonts w:ascii="宋体" w:hAnsi="宋体" w:eastAsia="宋体" w:cs="宋体"/>
          <w:sz w:val="21"/>
          <w:szCs w:val="21"/>
        </w:rPr>
        <w:sectPr>
          <w:footerReference r:id="rId156" w:type="default"/>
          <w:pgSz w:w="11910" w:h="16845"/>
          <w:pgMar w:top="400" w:right="1718" w:bottom="1110" w:left="1786" w:header="0" w:footer="883" w:gutter="0"/>
          <w:cols w:space="720" w:num="1"/>
        </w:sectPr>
      </w:pPr>
    </w:p>
    <w:p w14:paraId="4BD4D972">
      <w:pPr>
        <w:pStyle w:val="2"/>
        <w:spacing w:line="275" w:lineRule="auto"/>
      </w:pPr>
    </w:p>
    <w:p w14:paraId="6E8EF624">
      <w:pPr>
        <w:pStyle w:val="2"/>
        <w:spacing w:line="275" w:lineRule="auto"/>
      </w:pPr>
    </w:p>
    <w:p w14:paraId="2111EE44">
      <w:pPr>
        <w:pStyle w:val="2"/>
        <w:spacing w:line="276" w:lineRule="auto"/>
      </w:pPr>
    </w:p>
    <w:p w14:paraId="5BB8F3DB">
      <w:pPr>
        <w:pStyle w:val="2"/>
        <w:spacing w:line="276" w:lineRule="auto"/>
      </w:pPr>
    </w:p>
    <w:p w14:paraId="72996CF9">
      <w:pPr>
        <w:spacing w:before="68" w:line="338" w:lineRule="auto"/>
        <w:ind w:left="23" w:right="75"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1.7.3  </w:t>
      </w:r>
      <w:r>
        <w:rPr>
          <w:rFonts w:ascii="宋体" w:hAnsi="宋体" w:eastAsia="宋体" w:cs="宋体"/>
          <w:spacing w:val="-1"/>
          <w:sz w:val="21"/>
          <w:szCs w:val="21"/>
        </w:rPr>
        <w:t>发包人和承包人应当及时签收另一方送达至送达地点和指定接收人的来往信函。拒不签收的，由此增加的费用和（或）延误的工期由拒绝接收一方承担。</w:t>
      </w:r>
    </w:p>
    <w:p w14:paraId="5881FFCB">
      <w:pPr>
        <w:spacing w:line="232" w:lineRule="auto"/>
        <w:ind w:left="31"/>
        <w:outlineLvl w:val="2"/>
        <w:rPr>
          <w:rFonts w:ascii="黑体" w:hAnsi="黑体" w:eastAsia="黑体" w:cs="黑体"/>
          <w:sz w:val="24"/>
          <w:szCs w:val="24"/>
        </w:rPr>
      </w:pPr>
      <w:bookmarkStart w:id="350" w:name="bookmark303"/>
      <w:bookmarkEnd w:id="350"/>
      <w:r>
        <w:rPr>
          <w:rFonts w:ascii="Times New Roman" w:hAnsi="Times New Roman" w:eastAsia="Times New Roman" w:cs="Times New Roman"/>
          <w:b/>
          <w:bCs/>
          <w:spacing w:val="2"/>
          <w:sz w:val="24"/>
          <w:szCs w:val="24"/>
        </w:rPr>
        <w:t xml:space="preserve">1.8 </w:t>
      </w:r>
      <w:r>
        <w:rPr>
          <w:rFonts w:ascii="黑体" w:hAnsi="黑体" w:eastAsia="黑体" w:cs="黑体"/>
          <w:b/>
          <w:bCs/>
          <w:spacing w:val="2"/>
          <w:sz w:val="24"/>
          <w:szCs w:val="24"/>
        </w:rPr>
        <w:t>严禁贿赂</w:t>
      </w:r>
    </w:p>
    <w:p w14:paraId="6FEA67EE">
      <w:pPr>
        <w:spacing w:before="128" w:line="350" w:lineRule="auto"/>
        <w:ind w:left="37" w:right="49" w:firstLine="408"/>
        <w:rPr>
          <w:rFonts w:ascii="宋体" w:hAnsi="宋体" w:eastAsia="宋体" w:cs="宋体"/>
          <w:sz w:val="21"/>
          <w:szCs w:val="21"/>
        </w:rPr>
      </w:pPr>
      <w:r>
        <w:rPr>
          <w:rFonts w:ascii="宋体" w:hAnsi="宋体" w:eastAsia="宋体" w:cs="宋体"/>
          <w:spacing w:val="-2"/>
          <w:sz w:val="21"/>
          <w:szCs w:val="21"/>
        </w:rPr>
        <w:t>合同当事人不得以贿赂或变相贿赂的方式，谋取非法利益或</w:t>
      </w:r>
      <w:r>
        <w:rPr>
          <w:rFonts w:ascii="宋体" w:hAnsi="宋体" w:eastAsia="宋体" w:cs="宋体"/>
          <w:spacing w:val="-3"/>
          <w:sz w:val="21"/>
          <w:szCs w:val="21"/>
        </w:rPr>
        <w:t>损害对方权益。因一方合同</w:t>
      </w:r>
      <w:r>
        <w:rPr>
          <w:rFonts w:ascii="宋体" w:hAnsi="宋体" w:eastAsia="宋体" w:cs="宋体"/>
          <w:spacing w:val="-1"/>
          <w:sz w:val="21"/>
          <w:szCs w:val="21"/>
        </w:rPr>
        <w:t>当事人的贿赂造成对方损失的，应赔偿损失，并承担相应</w:t>
      </w:r>
      <w:r>
        <w:rPr>
          <w:rFonts w:ascii="宋体" w:hAnsi="宋体" w:eastAsia="宋体" w:cs="宋体"/>
          <w:spacing w:val="-2"/>
          <w:sz w:val="21"/>
          <w:szCs w:val="21"/>
        </w:rPr>
        <w:t>的法律责任。</w:t>
      </w:r>
    </w:p>
    <w:p w14:paraId="5D1B734F">
      <w:pPr>
        <w:spacing w:before="1" w:line="344" w:lineRule="auto"/>
        <w:ind w:left="27" w:firstLine="417"/>
        <w:jc w:val="both"/>
        <w:rPr>
          <w:rFonts w:ascii="宋体" w:hAnsi="宋体" w:eastAsia="宋体" w:cs="宋体"/>
          <w:sz w:val="21"/>
          <w:szCs w:val="21"/>
        </w:rPr>
      </w:pPr>
      <w:r>
        <w:rPr>
          <w:rFonts w:ascii="宋体" w:hAnsi="宋体" w:eastAsia="宋体" w:cs="宋体"/>
          <w:spacing w:val="3"/>
          <w:sz w:val="21"/>
          <w:szCs w:val="21"/>
        </w:rPr>
        <w:t>承包人不得与监理人或发包人聘请的第三方串通损害发包人利益。未经发包人书面同</w:t>
      </w:r>
      <w:r>
        <w:rPr>
          <w:rFonts w:ascii="宋体" w:hAnsi="宋体" w:eastAsia="宋体" w:cs="宋体"/>
          <w:spacing w:val="-1"/>
          <w:sz w:val="21"/>
          <w:szCs w:val="21"/>
        </w:rPr>
        <w:t>意，承包人不得为监理人提供合同约定以外的通讯设备、交通工具及其他任何形式的利益，</w:t>
      </w:r>
      <w:r>
        <w:rPr>
          <w:rFonts w:ascii="宋体" w:hAnsi="宋体" w:eastAsia="宋体" w:cs="宋体"/>
          <w:spacing w:val="-4"/>
          <w:sz w:val="21"/>
          <w:szCs w:val="21"/>
        </w:rPr>
        <w:t>不得向监理人支付报酬。</w:t>
      </w:r>
    </w:p>
    <w:p w14:paraId="2EA7F380">
      <w:pPr>
        <w:spacing w:line="232" w:lineRule="auto"/>
        <w:ind w:left="31"/>
        <w:outlineLvl w:val="2"/>
        <w:rPr>
          <w:rFonts w:ascii="黑体" w:hAnsi="黑体" w:eastAsia="黑体" w:cs="黑体"/>
          <w:sz w:val="24"/>
          <w:szCs w:val="24"/>
        </w:rPr>
      </w:pPr>
      <w:bookmarkStart w:id="351" w:name="bookmark304"/>
      <w:bookmarkEnd w:id="351"/>
      <w:r>
        <w:rPr>
          <w:rFonts w:ascii="Times New Roman" w:hAnsi="Times New Roman" w:eastAsia="Times New Roman" w:cs="Times New Roman"/>
          <w:b/>
          <w:bCs/>
          <w:spacing w:val="2"/>
          <w:sz w:val="24"/>
          <w:szCs w:val="24"/>
        </w:rPr>
        <w:t xml:space="preserve">1.9 </w:t>
      </w:r>
      <w:r>
        <w:rPr>
          <w:rFonts w:ascii="黑体" w:hAnsi="黑体" w:eastAsia="黑体" w:cs="黑体"/>
          <w:b/>
          <w:bCs/>
          <w:spacing w:val="2"/>
          <w:sz w:val="24"/>
          <w:szCs w:val="24"/>
        </w:rPr>
        <w:t>化石、文物</w:t>
      </w:r>
    </w:p>
    <w:p w14:paraId="22C379C2">
      <w:pPr>
        <w:spacing w:before="128" w:line="351" w:lineRule="auto"/>
        <w:ind w:left="25" w:right="44" w:firstLine="417"/>
        <w:jc w:val="both"/>
        <w:rPr>
          <w:rFonts w:ascii="宋体" w:hAnsi="宋体" w:eastAsia="宋体" w:cs="宋体"/>
          <w:sz w:val="21"/>
          <w:szCs w:val="21"/>
        </w:rPr>
      </w:pPr>
      <w:r>
        <w:rPr>
          <w:rFonts w:ascii="宋体" w:hAnsi="宋体" w:eastAsia="宋体" w:cs="宋体"/>
          <w:spacing w:val="-2"/>
          <w:sz w:val="21"/>
          <w:szCs w:val="21"/>
        </w:rPr>
        <w:t>在施工现场发掘的所有文物、古迹以及具有地质研究或考古价值的其他遗</w:t>
      </w:r>
      <w:r>
        <w:rPr>
          <w:rFonts w:ascii="宋体" w:hAnsi="宋体" w:eastAsia="宋体" w:cs="宋体"/>
          <w:spacing w:val="-3"/>
          <w:sz w:val="21"/>
          <w:szCs w:val="21"/>
        </w:rPr>
        <w:t>迹、化石、钱</w:t>
      </w:r>
      <w:r>
        <w:rPr>
          <w:rFonts w:ascii="宋体" w:hAnsi="宋体" w:eastAsia="宋体" w:cs="宋体"/>
          <w:spacing w:val="-2"/>
          <w:sz w:val="21"/>
          <w:szCs w:val="21"/>
        </w:rPr>
        <w:t>币或物品属于国家所有。一旦发现上述文物，承包人应采取合理有效的保护措施，防</w:t>
      </w:r>
      <w:r>
        <w:rPr>
          <w:rFonts w:ascii="宋体" w:hAnsi="宋体" w:eastAsia="宋体" w:cs="宋体"/>
          <w:spacing w:val="-3"/>
          <w:sz w:val="21"/>
          <w:szCs w:val="21"/>
        </w:rPr>
        <w:t>止任何</w:t>
      </w:r>
      <w:r>
        <w:rPr>
          <w:rFonts w:ascii="宋体" w:hAnsi="宋体" w:eastAsia="宋体" w:cs="宋体"/>
          <w:spacing w:val="-1"/>
          <w:sz w:val="21"/>
          <w:szCs w:val="21"/>
        </w:rPr>
        <w:t>人员移动或损坏上述物品，并立即报告有关政府行政管理部门，同时通知监理人。</w:t>
      </w:r>
    </w:p>
    <w:p w14:paraId="658B7E2C">
      <w:pPr>
        <w:spacing w:before="4" w:line="350" w:lineRule="auto"/>
        <w:ind w:left="24" w:right="47" w:firstLine="423"/>
        <w:rPr>
          <w:rFonts w:ascii="宋体" w:hAnsi="宋体" w:eastAsia="宋体" w:cs="宋体"/>
          <w:sz w:val="21"/>
          <w:szCs w:val="21"/>
        </w:rPr>
      </w:pPr>
      <w:r>
        <w:rPr>
          <w:rFonts w:ascii="宋体" w:hAnsi="宋体" w:eastAsia="宋体" w:cs="宋体"/>
          <w:spacing w:val="-2"/>
          <w:sz w:val="21"/>
          <w:szCs w:val="21"/>
        </w:rPr>
        <w:t>发包人、监理人和承包人应按有关政府行政管理部门要求采</w:t>
      </w:r>
      <w:r>
        <w:rPr>
          <w:rFonts w:ascii="宋体" w:hAnsi="宋体" w:eastAsia="宋体" w:cs="宋体"/>
          <w:spacing w:val="-3"/>
          <w:sz w:val="21"/>
          <w:szCs w:val="21"/>
        </w:rPr>
        <w:t>取妥善的保护措施，由此增</w:t>
      </w:r>
      <w:r>
        <w:rPr>
          <w:rFonts w:ascii="宋体" w:hAnsi="宋体" w:eastAsia="宋体" w:cs="宋体"/>
          <w:spacing w:val="-2"/>
          <w:sz w:val="21"/>
          <w:szCs w:val="21"/>
        </w:rPr>
        <w:t>加的费用和（或）延误的工期由发包人承担。</w:t>
      </w:r>
    </w:p>
    <w:p w14:paraId="6459EE4E">
      <w:pPr>
        <w:spacing w:line="345" w:lineRule="auto"/>
        <w:ind w:left="25" w:right="45" w:firstLine="419"/>
        <w:rPr>
          <w:rFonts w:ascii="宋体" w:hAnsi="宋体" w:eastAsia="宋体" w:cs="宋体"/>
          <w:sz w:val="21"/>
          <w:szCs w:val="21"/>
        </w:rPr>
      </w:pPr>
      <w:r>
        <w:rPr>
          <w:rFonts w:ascii="宋体" w:hAnsi="宋体" w:eastAsia="宋体" w:cs="宋体"/>
          <w:spacing w:val="-2"/>
          <w:sz w:val="21"/>
          <w:szCs w:val="21"/>
        </w:rPr>
        <w:t>承包人发现文物后不及时报告或隐瞒不报，致使文物丢失或损坏的，应</w:t>
      </w:r>
      <w:r>
        <w:rPr>
          <w:rFonts w:ascii="宋体" w:hAnsi="宋体" w:eastAsia="宋体" w:cs="宋体"/>
          <w:spacing w:val="-3"/>
          <w:sz w:val="21"/>
          <w:szCs w:val="21"/>
        </w:rPr>
        <w:t>赔偿损失，并承</w:t>
      </w:r>
      <w:r>
        <w:rPr>
          <w:rFonts w:ascii="宋体" w:hAnsi="宋体" w:eastAsia="宋体" w:cs="宋体"/>
          <w:spacing w:val="-4"/>
          <w:sz w:val="21"/>
          <w:szCs w:val="21"/>
        </w:rPr>
        <w:t>担相应的法律责任。</w:t>
      </w:r>
    </w:p>
    <w:p w14:paraId="5B33DEF1">
      <w:pPr>
        <w:spacing w:before="1" w:line="232" w:lineRule="auto"/>
        <w:ind w:left="31"/>
        <w:outlineLvl w:val="2"/>
        <w:rPr>
          <w:rFonts w:ascii="黑体" w:hAnsi="黑体" w:eastAsia="黑体" w:cs="黑体"/>
          <w:sz w:val="24"/>
          <w:szCs w:val="24"/>
        </w:rPr>
      </w:pPr>
      <w:bookmarkStart w:id="352" w:name="bookmark305"/>
      <w:bookmarkEnd w:id="352"/>
      <w:r>
        <w:rPr>
          <w:rFonts w:ascii="Times New Roman" w:hAnsi="Times New Roman" w:eastAsia="Times New Roman" w:cs="Times New Roman"/>
          <w:b/>
          <w:bCs/>
          <w:sz w:val="24"/>
          <w:szCs w:val="24"/>
        </w:rPr>
        <w:t>1.10</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交通运输</w:t>
      </w:r>
    </w:p>
    <w:p w14:paraId="0C8E512B">
      <w:pPr>
        <w:spacing w:before="113"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1.10.1  </w:t>
      </w:r>
      <w:r>
        <w:rPr>
          <w:rFonts w:ascii="宋体" w:hAnsi="宋体" w:eastAsia="宋体" w:cs="宋体"/>
          <w:spacing w:val="-2"/>
          <w:sz w:val="21"/>
          <w:szCs w:val="21"/>
        </w:rPr>
        <w:t>出入现场的权利</w:t>
      </w:r>
    </w:p>
    <w:p w14:paraId="42C63847">
      <w:pPr>
        <w:spacing w:before="141" w:line="353" w:lineRule="auto"/>
        <w:ind w:left="23" w:right="47" w:firstLine="433"/>
        <w:rPr>
          <w:rFonts w:ascii="宋体" w:hAnsi="宋体" w:eastAsia="宋体" w:cs="宋体"/>
          <w:sz w:val="21"/>
          <w:szCs w:val="21"/>
        </w:rPr>
      </w:pPr>
      <w:r>
        <w:rPr>
          <w:rFonts w:ascii="宋体" w:hAnsi="宋体" w:eastAsia="宋体" w:cs="宋体"/>
          <w:spacing w:val="-3"/>
          <w:sz w:val="21"/>
          <w:szCs w:val="21"/>
        </w:rPr>
        <w:t>除专用合同条款另有约定外，发包人应根据施工需要，负责取得出入施工现场所需的批</w:t>
      </w:r>
      <w:r>
        <w:rPr>
          <w:rFonts w:ascii="宋体" w:hAnsi="宋体" w:eastAsia="宋体" w:cs="宋体"/>
          <w:spacing w:val="-2"/>
          <w:sz w:val="21"/>
          <w:szCs w:val="21"/>
        </w:rPr>
        <w:t>准手续和全部权利，以及取得因施工所需修建道路、桥梁以及其他基础设施的权利</w:t>
      </w:r>
      <w:r>
        <w:rPr>
          <w:rFonts w:ascii="宋体" w:hAnsi="宋体" w:eastAsia="宋体" w:cs="宋体"/>
          <w:spacing w:val="-3"/>
          <w:sz w:val="21"/>
          <w:szCs w:val="21"/>
        </w:rPr>
        <w:t>，并承担</w:t>
      </w:r>
      <w:r>
        <w:rPr>
          <w:rFonts w:ascii="宋体" w:hAnsi="宋体" w:eastAsia="宋体" w:cs="宋体"/>
          <w:spacing w:val="-2"/>
          <w:sz w:val="21"/>
          <w:szCs w:val="21"/>
        </w:rPr>
        <w:t>相关手续费用和建设费用。承包人应协助发包人办理修建场内外道路、桥</w:t>
      </w:r>
      <w:r>
        <w:rPr>
          <w:rFonts w:ascii="宋体" w:hAnsi="宋体" w:eastAsia="宋体" w:cs="宋体"/>
          <w:spacing w:val="-3"/>
          <w:sz w:val="21"/>
          <w:szCs w:val="21"/>
        </w:rPr>
        <w:t>梁以及其他基础设</w:t>
      </w:r>
      <w:r>
        <w:rPr>
          <w:rFonts w:ascii="宋体" w:hAnsi="宋体" w:eastAsia="宋体" w:cs="宋体"/>
          <w:spacing w:val="-6"/>
          <w:sz w:val="21"/>
          <w:szCs w:val="21"/>
        </w:rPr>
        <w:t>施的手续。</w:t>
      </w:r>
    </w:p>
    <w:p w14:paraId="1D046923">
      <w:pPr>
        <w:spacing w:line="351" w:lineRule="auto"/>
        <w:ind w:left="35" w:right="27" w:firstLine="408"/>
        <w:jc w:val="both"/>
        <w:rPr>
          <w:rFonts w:ascii="宋体" w:hAnsi="宋体" w:eastAsia="宋体" w:cs="宋体"/>
          <w:sz w:val="21"/>
          <w:szCs w:val="21"/>
        </w:rPr>
      </w:pPr>
      <w:r>
        <w:rPr>
          <w:rFonts w:ascii="宋体" w:hAnsi="宋体" w:eastAsia="宋体" w:cs="宋体"/>
          <w:spacing w:val="-2"/>
          <w:sz w:val="21"/>
          <w:szCs w:val="21"/>
        </w:rPr>
        <w:t>承包人应在订立合同前查勘施工现场，并根据工程规模及技术参数合理预</w:t>
      </w:r>
      <w:r>
        <w:rPr>
          <w:rFonts w:ascii="宋体" w:hAnsi="宋体" w:eastAsia="宋体" w:cs="宋体"/>
          <w:spacing w:val="-3"/>
          <w:sz w:val="21"/>
          <w:szCs w:val="21"/>
        </w:rPr>
        <w:t>见工程施工所</w:t>
      </w:r>
      <w:r>
        <w:rPr>
          <w:rFonts w:ascii="宋体" w:hAnsi="宋体" w:eastAsia="宋体" w:cs="宋体"/>
          <w:spacing w:val="-2"/>
          <w:sz w:val="21"/>
          <w:szCs w:val="21"/>
        </w:rPr>
        <w:t>需的进出施工现场的方式、手段、路径等。因承包人未合理预见所增加的费用和（或）延误</w:t>
      </w:r>
      <w:r>
        <w:rPr>
          <w:rFonts w:ascii="宋体" w:hAnsi="宋体" w:eastAsia="宋体" w:cs="宋体"/>
          <w:spacing w:val="-5"/>
          <w:sz w:val="21"/>
          <w:szCs w:val="21"/>
        </w:rPr>
        <w:t>的工期由承包人承担。</w:t>
      </w:r>
    </w:p>
    <w:p w14:paraId="6F4FDE7D">
      <w:pPr>
        <w:spacing w:before="3"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1.10.2</w:t>
      </w:r>
      <w:r>
        <w:rPr>
          <w:rFonts w:ascii="Times New Roman" w:hAnsi="Times New Roman" w:eastAsia="Times New Roman" w:cs="Times New Roman"/>
          <w:spacing w:val="50"/>
          <w:sz w:val="21"/>
          <w:szCs w:val="21"/>
        </w:rPr>
        <w:t xml:space="preserve"> </w:t>
      </w:r>
      <w:r>
        <w:rPr>
          <w:rFonts w:ascii="宋体" w:hAnsi="宋体" w:eastAsia="宋体" w:cs="宋体"/>
          <w:spacing w:val="-2"/>
          <w:sz w:val="21"/>
          <w:szCs w:val="21"/>
        </w:rPr>
        <w:t>场外交通</w:t>
      </w:r>
    </w:p>
    <w:p w14:paraId="43344447">
      <w:pPr>
        <w:spacing w:before="125" w:line="353" w:lineRule="auto"/>
        <w:ind w:left="24" w:right="27" w:firstLine="423"/>
        <w:rPr>
          <w:rFonts w:ascii="宋体" w:hAnsi="宋体" w:eastAsia="宋体" w:cs="宋体"/>
          <w:sz w:val="21"/>
          <w:szCs w:val="21"/>
        </w:rPr>
      </w:pPr>
      <w:r>
        <w:rPr>
          <w:rFonts w:ascii="宋体" w:hAnsi="宋体" w:eastAsia="宋体" w:cs="宋体"/>
          <w:spacing w:val="-2"/>
          <w:sz w:val="21"/>
          <w:szCs w:val="21"/>
        </w:rPr>
        <w:t>发包人应提供场外交通设施的技术参数和具体条件，承包人应遵</w:t>
      </w:r>
      <w:r>
        <w:rPr>
          <w:rFonts w:ascii="宋体" w:hAnsi="宋体" w:eastAsia="宋体" w:cs="宋体"/>
          <w:spacing w:val="-3"/>
          <w:sz w:val="21"/>
          <w:szCs w:val="21"/>
        </w:rPr>
        <w:t>守有关交通法规，严格</w:t>
      </w:r>
      <w:r>
        <w:rPr>
          <w:rFonts w:ascii="宋体" w:hAnsi="宋体" w:eastAsia="宋体" w:cs="宋体"/>
          <w:spacing w:val="-2"/>
          <w:sz w:val="21"/>
          <w:szCs w:val="21"/>
        </w:rPr>
        <w:t>按照道路和桥梁的限制荷载行驶，执行有关道路限速、限行、禁止超载的规定，并配合交通</w:t>
      </w:r>
      <w:r>
        <w:rPr>
          <w:rFonts w:ascii="宋体" w:hAnsi="宋体" w:eastAsia="宋体" w:cs="宋体"/>
          <w:spacing w:val="-4"/>
          <w:sz w:val="21"/>
          <w:szCs w:val="21"/>
        </w:rPr>
        <w:t>管理部门的监督和检查。场外交通设施无法</w:t>
      </w:r>
      <w:r>
        <w:rPr>
          <w:rFonts w:ascii="宋体" w:hAnsi="宋体" w:eastAsia="宋体" w:cs="宋体"/>
          <w:spacing w:val="-5"/>
          <w:sz w:val="21"/>
          <w:szCs w:val="21"/>
        </w:rPr>
        <w:t>满足工程施工需要的， 由发包人负责完善并承担</w:t>
      </w:r>
      <w:r>
        <w:rPr>
          <w:rFonts w:ascii="宋体" w:hAnsi="宋体" w:eastAsia="宋体" w:cs="宋体"/>
          <w:spacing w:val="-6"/>
          <w:sz w:val="21"/>
          <w:szCs w:val="21"/>
        </w:rPr>
        <w:t>相关费用。</w:t>
      </w:r>
    </w:p>
    <w:p w14:paraId="3C92014B">
      <w:pPr>
        <w:spacing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1.10.3</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场内交通</w:t>
      </w:r>
    </w:p>
    <w:p w14:paraId="57E21E78">
      <w:pPr>
        <w:spacing w:before="141" w:line="351" w:lineRule="auto"/>
        <w:ind w:left="24" w:right="43" w:firstLine="423"/>
        <w:rPr>
          <w:rFonts w:ascii="宋体" w:hAnsi="宋体" w:eastAsia="宋体" w:cs="宋体"/>
          <w:sz w:val="21"/>
          <w:szCs w:val="21"/>
        </w:rPr>
      </w:pPr>
      <w:r>
        <w:rPr>
          <w:rFonts w:ascii="宋体" w:hAnsi="宋体" w:eastAsia="宋体" w:cs="宋体"/>
          <w:spacing w:val="-2"/>
          <w:sz w:val="21"/>
          <w:szCs w:val="21"/>
        </w:rPr>
        <w:t>发包人应提供场内交通设施的技术参数和具体条件，并应按</w:t>
      </w:r>
      <w:r>
        <w:rPr>
          <w:rFonts w:ascii="宋体" w:hAnsi="宋体" w:eastAsia="宋体" w:cs="宋体"/>
          <w:spacing w:val="-3"/>
          <w:sz w:val="21"/>
          <w:szCs w:val="21"/>
        </w:rPr>
        <w:t>照专用合同条款的约定向承</w:t>
      </w:r>
      <w:r>
        <w:rPr>
          <w:rFonts w:ascii="宋体" w:hAnsi="宋体" w:eastAsia="宋体" w:cs="宋体"/>
          <w:spacing w:val="-2"/>
          <w:sz w:val="21"/>
          <w:szCs w:val="21"/>
        </w:rPr>
        <w:t>包人免费提供满足工程施工所需的场内道路和交通设施。因承包人原因造成上述道路或交通</w:t>
      </w:r>
      <w:r>
        <w:rPr>
          <w:rFonts w:ascii="宋体" w:hAnsi="宋体" w:eastAsia="宋体" w:cs="宋体"/>
          <w:spacing w:val="-1"/>
          <w:sz w:val="21"/>
          <w:szCs w:val="21"/>
        </w:rPr>
        <w:t>设施损坏的，承包人负责修复并承担由此增加</w:t>
      </w:r>
      <w:r>
        <w:rPr>
          <w:rFonts w:ascii="宋体" w:hAnsi="宋体" w:eastAsia="宋体" w:cs="宋体"/>
          <w:spacing w:val="-2"/>
          <w:sz w:val="21"/>
          <w:szCs w:val="21"/>
        </w:rPr>
        <w:t>的费用。</w:t>
      </w:r>
    </w:p>
    <w:p w14:paraId="33A86B89">
      <w:pPr>
        <w:spacing w:line="351" w:lineRule="auto"/>
        <w:rPr>
          <w:rFonts w:ascii="宋体" w:hAnsi="宋体" w:eastAsia="宋体" w:cs="宋体"/>
          <w:sz w:val="21"/>
          <w:szCs w:val="21"/>
        </w:rPr>
        <w:sectPr>
          <w:footerReference r:id="rId157" w:type="default"/>
          <w:pgSz w:w="11910" w:h="16845"/>
          <w:pgMar w:top="400" w:right="1734" w:bottom="1110" w:left="1786" w:header="0" w:footer="883" w:gutter="0"/>
          <w:cols w:space="720" w:num="1"/>
        </w:sectPr>
      </w:pPr>
    </w:p>
    <w:p w14:paraId="3251942B">
      <w:pPr>
        <w:pStyle w:val="2"/>
        <w:spacing w:line="275" w:lineRule="auto"/>
      </w:pPr>
    </w:p>
    <w:p w14:paraId="39F45063">
      <w:pPr>
        <w:pStyle w:val="2"/>
        <w:spacing w:line="275" w:lineRule="auto"/>
      </w:pPr>
    </w:p>
    <w:p w14:paraId="540BB524">
      <w:pPr>
        <w:pStyle w:val="2"/>
        <w:spacing w:line="275" w:lineRule="auto"/>
      </w:pPr>
    </w:p>
    <w:p w14:paraId="31F356A1">
      <w:pPr>
        <w:pStyle w:val="2"/>
        <w:spacing w:line="276" w:lineRule="auto"/>
      </w:pPr>
    </w:p>
    <w:p w14:paraId="02E7D42D">
      <w:pPr>
        <w:spacing w:before="69" w:line="351" w:lineRule="auto"/>
        <w:ind w:left="24" w:right="58" w:firstLine="432"/>
        <w:jc w:val="both"/>
        <w:rPr>
          <w:rFonts w:ascii="宋体" w:hAnsi="宋体" w:eastAsia="宋体" w:cs="宋体"/>
          <w:sz w:val="21"/>
          <w:szCs w:val="21"/>
        </w:rPr>
      </w:pPr>
      <w:r>
        <w:rPr>
          <w:rFonts w:ascii="宋体" w:hAnsi="宋体" w:eastAsia="宋体" w:cs="宋体"/>
          <w:spacing w:val="-2"/>
          <w:sz w:val="21"/>
          <w:szCs w:val="21"/>
        </w:rPr>
        <w:t>除发包人按照合同约定提供的场内道路和交</w:t>
      </w:r>
      <w:r>
        <w:rPr>
          <w:rFonts w:ascii="宋体" w:hAnsi="宋体" w:eastAsia="宋体" w:cs="宋体"/>
          <w:spacing w:val="-3"/>
          <w:sz w:val="21"/>
          <w:szCs w:val="21"/>
        </w:rPr>
        <w:t>通设施外，承包人负责修建、维修、养护和</w:t>
      </w:r>
      <w:r>
        <w:rPr>
          <w:rFonts w:ascii="宋体" w:hAnsi="宋体" w:eastAsia="宋体" w:cs="宋体"/>
          <w:spacing w:val="-2"/>
          <w:sz w:val="21"/>
          <w:szCs w:val="21"/>
        </w:rPr>
        <w:t>管理施工所需的其他场内临时道路和交通设施。发包人和监理人可以为实现合同目的使用承包人修建的场内临时道路和交通设施。</w:t>
      </w:r>
    </w:p>
    <w:p w14:paraId="3B23E206">
      <w:pPr>
        <w:spacing w:before="1" w:line="220" w:lineRule="auto"/>
        <w:ind w:left="443"/>
        <w:rPr>
          <w:rFonts w:ascii="宋体" w:hAnsi="宋体" w:eastAsia="宋体" w:cs="宋体"/>
          <w:sz w:val="21"/>
          <w:szCs w:val="21"/>
        </w:rPr>
      </w:pPr>
      <w:r>
        <w:rPr>
          <w:rFonts w:ascii="宋体" w:hAnsi="宋体" w:eastAsia="宋体" w:cs="宋体"/>
          <w:spacing w:val="-1"/>
          <w:sz w:val="21"/>
          <w:szCs w:val="21"/>
        </w:rPr>
        <w:t>场外交通和场内交通的边界由合同当事人在专用合同条款中约定。</w:t>
      </w:r>
    </w:p>
    <w:p w14:paraId="7E8F00FD">
      <w:pPr>
        <w:spacing w:before="156"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1.10.4</w:t>
      </w:r>
      <w:r>
        <w:rPr>
          <w:rFonts w:ascii="Times New Roman" w:hAnsi="Times New Roman" w:eastAsia="Times New Roman" w:cs="Times New Roman"/>
          <w:spacing w:val="48"/>
          <w:sz w:val="21"/>
          <w:szCs w:val="21"/>
        </w:rPr>
        <w:t xml:space="preserve"> </w:t>
      </w:r>
      <w:r>
        <w:rPr>
          <w:rFonts w:ascii="宋体" w:hAnsi="宋体" w:eastAsia="宋体" w:cs="宋体"/>
          <w:spacing w:val="-1"/>
          <w:sz w:val="21"/>
          <w:szCs w:val="21"/>
        </w:rPr>
        <w:t>超大件和超重件的运输</w:t>
      </w:r>
    </w:p>
    <w:p w14:paraId="0EC5B2B6">
      <w:pPr>
        <w:spacing w:before="124" w:line="352" w:lineRule="auto"/>
        <w:ind w:left="25" w:right="19" w:firstLine="444"/>
        <w:rPr>
          <w:rFonts w:ascii="宋体" w:hAnsi="宋体" w:eastAsia="宋体" w:cs="宋体"/>
          <w:sz w:val="21"/>
          <w:szCs w:val="21"/>
        </w:rPr>
      </w:pPr>
      <w:r>
        <w:rPr>
          <w:rFonts w:ascii="宋体" w:hAnsi="宋体" w:eastAsia="宋体" w:cs="宋体"/>
          <w:spacing w:val="-2"/>
          <w:sz w:val="21"/>
          <w:szCs w:val="21"/>
        </w:rPr>
        <w:t>由承包人负责运输的超大件或超重件，应由承包人负责向交通管理部门办理申请手续，</w:t>
      </w:r>
      <w:r>
        <w:rPr>
          <w:rFonts w:ascii="宋体" w:hAnsi="宋体" w:eastAsia="宋体" w:cs="宋体"/>
          <w:spacing w:val="3"/>
          <w:sz w:val="21"/>
          <w:szCs w:val="21"/>
        </w:rPr>
        <w:t>发包人给予协助。运输超大件或超重件所需的道路和桥梁临时加固改造</w:t>
      </w:r>
      <w:r>
        <w:rPr>
          <w:rFonts w:ascii="宋体" w:hAnsi="宋体" w:eastAsia="宋体" w:cs="宋体"/>
          <w:spacing w:val="2"/>
          <w:sz w:val="21"/>
          <w:szCs w:val="21"/>
        </w:rPr>
        <w:t>费用和其他有关费</w:t>
      </w:r>
      <w:r>
        <w:rPr>
          <w:rFonts w:ascii="宋体" w:hAnsi="宋体" w:eastAsia="宋体" w:cs="宋体"/>
          <w:spacing w:val="-2"/>
          <w:sz w:val="21"/>
          <w:szCs w:val="21"/>
        </w:rPr>
        <w:t>用，由承包人承担，但专用合同条款另有约定除外。</w:t>
      </w:r>
    </w:p>
    <w:p w14:paraId="2EFED166">
      <w:pPr>
        <w:spacing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1.10.5</w:t>
      </w:r>
      <w:r>
        <w:rPr>
          <w:rFonts w:ascii="Times New Roman" w:hAnsi="Times New Roman" w:eastAsia="Times New Roman" w:cs="Times New Roman"/>
          <w:spacing w:val="48"/>
          <w:sz w:val="21"/>
          <w:szCs w:val="21"/>
        </w:rPr>
        <w:t xml:space="preserve"> </w:t>
      </w:r>
      <w:r>
        <w:rPr>
          <w:rFonts w:ascii="宋体" w:hAnsi="宋体" w:eastAsia="宋体" w:cs="宋体"/>
          <w:spacing w:val="-1"/>
          <w:sz w:val="21"/>
          <w:szCs w:val="21"/>
        </w:rPr>
        <w:t>道路和桥梁的损坏责任</w:t>
      </w:r>
    </w:p>
    <w:p w14:paraId="27AED9ED">
      <w:pPr>
        <w:spacing w:before="139" w:line="350" w:lineRule="auto"/>
        <w:ind w:left="35" w:right="59" w:firstLine="425"/>
        <w:rPr>
          <w:rFonts w:ascii="宋体" w:hAnsi="宋体" w:eastAsia="宋体" w:cs="宋体"/>
          <w:sz w:val="21"/>
          <w:szCs w:val="21"/>
        </w:rPr>
      </w:pPr>
      <w:r>
        <w:rPr>
          <w:rFonts w:ascii="宋体" w:hAnsi="宋体" w:eastAsia="宋体" w:cs="宋体"/>
          <w:spacing w:val="-3"/>
          <w:sz w:val="21"/>
          <w:szCs w:val="21"/>
        </w:rPr>
        <w:t>因承包人运输造成施工场地内外公共道路和桥梁损坏的，由承包人承担修复损坏的全部</w:t>
      </w:r>
      <w:r>
        <w:rPr>
          <w:rFonts w:ascii="宋体" w:hAnsi="宋体" w:eastAsia="宋体" w:cs="宋体"/>
          <w:spacing w:val="-4"/>
          <w:sz w:val="21"/>
          <w:szCs w:val="21"/>
        </w:rPr>
        <w:t>费用和可能引起的赔偿。</w:t>
      </w:r>
    </w:p>
    <w:p w14:paraId="75231186">
      <w:pPr>
        <w:spacing w:before="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1.10.6</w:t>
      </w:r>
      <w:r>
        <w:rPr>
          <w:rFonts w:ascii="Times New Roman" w:hAnsi="Times New Roman" w:eastAsia="Times New Roman" w:cs="Times New Roman"/>
          <w:spacing w:val="57"/>
          <w:w w:val="101"/>
          <w:sz w:val="21"/>
          <w:szCs w:val="21"/>
        </w:rPr>
        <w:t xml:space="preserve"> </w:t>
      </w:r>
      <w:r>
        <w:rPr>
          <w:rFonts w:ascii="宋体" w:hAnsi="宋体" w:eastAsia="宋体" w:cs="宋体"/>
          <w:spacing w:val="-2"/>
          <w:sz w:val="21"/>
          <w:szCs w:val="21"/>
        </w:rPr>
        <w:t>水路和航空运输</w:t>
      </w:r>
    </w:p>
    <w:p w14:paraId="6A3FC83C">
      <w:pPr>
        <w:spacing w:before="141" w:line="344" w:lineRule="auto"/>
        <w:ind w:left="24" w:right="65" w:firstLine="421"/>
        <w:rPr>
          <w:rFonts w:ascii="宋体" w:hAnsi="宋体" w:eastAsia="宋体" w:cs="宋体"/>
          <w:sz w:val="21"/>
          <w:szCs w:val="21"/>
        </w:rPr>
      </w:pPr>
      <w:r>
        <w:rPr>
          <w:rFonts w:ascii="宋体" w:hAnsi="宋体" w:eastAsia="宋体" w:cs="宋体"/>
          <w:spacing w:val="-2"/>
          <w:sz w:val="21"/>
          <w:szCs w:val="21"/>
        </w:rPr>
        <w:t>本款前述各项的内容适用于水路运输和航空运输，其中</w:t>
      </w:r>
      <w:r>
        <w:rPr>
          <w:rFonts w:ascii="Times New Roman" w:hAnsi="Times New Roman" w:eastAsia="Times New Roman" w:cs="Times New Roman"/>
          <w:spacing w:val="-2"/>
          <w:sz w:val="21"/>
          <w:szCs w:val="21"/>
        </w:rPr>
        <w:t>“</w:t>
      </w:r>
      <w:r>
        <w:rPr>
          <w:rFonts w:ascii="宋体" w:hAnsi="宋体" w:eastAsia="宋体" w:cs="宋体"/>
          <w:spacing w:val="-2"/>
          <w:sz w:val="21"/>
          <w:szCs w:val="21"/>
        </w:rPr>
        <w:t>道路</w:t>
      </w:r>
      <w:r>
        <w:rPr>
          <w:rFonts w:ascii="Times New Roman" w:hAnsi="Times New Roman" w:eastAsia="Times New Roman" w:cs="Times New Roman"/>
          <w:spacing w:val="-2"/>
          <w:sz w:val="21"/>
          <w:szCs w:val="21"/>
        </w:rPr>
        <w:t>”</w:t>
      </w:r>
      <w:r>
        <w:rPr>
          <w:rFonts w:ascii="宋体" w:hAnsi="宋体" w:eastAsia="宋体" w:cs="宋体"/>
          <w:spacing w:val="-2"/>
          <w:sz w:val="21"/>
          <w:szCs w:val="21"/>
        </w:rPr>
        <w:t>一词的涵义包括河道、航线、船闸、机场、码头、堤防以及水路或航空运输中其他相似结构物；</w:t>
      </w:r>
      <w:r>
        <w:rPr>
          <w:rFonts w:ascii="Times New Roman" w:hAnsi="Times New Roman" w:eastAsia="Times New Roman" w:cs="Times New Roman"/>
          <w:spacing w:val="-2"/>
          <w:sz w:val="21"/>
          <w:szCs w:val="21"/>
        </w:rPr>
        <w:t>“</w:t>
      </w:r>
      <w:r>
        <w:rPr>
          <w:rFonts w:ascii="宋体" w:hAnsi="宋体" w:eastAsia="宋体" w:cs="宋体"/>
          <w:spacing w:val="-2"/>
          <w:sz w:val="21"/>
          <w:szCs w:val="21"/>
        </w:rPr>
        <w:t>车辆</w:t>
      </w:r>
      <w:r>
        <w:rPr>
          <w:rFonts w:ascii="Times New Roman" w:hAnsi="Times New Roman" w:eastAsia="Times New Roman" w:cs="Times New Roman"/>
          <w:spacing w:val="-2"/>
          <w:sz w:val="21"/>
          <w:szCs w:val="21"/>
        </w:rPr>
        <w:t>”</w:t>
      </w:r>
      <w:r>
        <w:rPr>
          <w:rFonts w:ascii="宋体" w:hAnsi="宋体" w:eastAsia="宋体" w:cs="宋体"/>
          <w:spacing w:val="-2"/>
          <w:sz w:val="21"/>
          <w:szCs w:val="21"/>
        </w:rPr>
        <w:t>一词的涵义包</w:t>
      </w:r>
      <w:r>
        <w:rPr>
          <w:rFonts w:ascii="宋体" w:hAnsi="宋体" w:eastAsia="宋体" w:cs="宋体"/>
          <w:spacing w:val="-4"/>
          <w:sz w:val="21"/>
          <w:szCs w:val="21"/>
        </w:rPr>
        <w:t>括船舶和飞机等。</w:t>
      </w:r>
    </w:p>
    <w:p w14:paraId="0D5540E0">
      <w:pPr>
        <w:spacing w:before="1" w:line="233" w:lineRule="auto"/>
        <w:ind w:left="31"/>
        <w:outlineLvl w:val="2"/>
        <w:rPr>
          <w:rFonts w:ascii="黑体" w:hAnsi="黑体" w:eastAsia="黑体" w:cs="黑体"/>
          <w:sz w:val="24"/>
          <w:szCs w:val="24"/>
        </w:rPr>
      </w:pPr>
      <w:bookmarkStart w:id="353" w:name="bookmark306"/>
      <w:bookmarkEnd w:id="353"/>
      <w:r>
        <w:rPr>
          <w:rFonts w:ascii="Times New Roman" w:hAnsi="Times New Roman" w:eastAsia="Times New Roman" w:cs="Times New Roman"/>
          <w:b/>
          <w:bCs/>
          <w:spacing w:val="-2"/>
          <w:sz w:val="24"/>
          <w:szCs w:val="24"/>
        </w:rPr>
        <w:t>1.11</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知识产权</w:t>
      </w:r>
    </w:p>
    <w:p w14:paraId="40AF81DA">
      <w:pPr>
        <w:spacing w:before="127" w:line="350" w:lineRule="auto"/>
        <w:ind w:left="24" w:right="45" w:firstLine="436"/>
        <w:rPr>
          <w:rFonts w:ascii="宋体" w:hAnsi="宋体" w:eastAsia="宋体" w:cs="宋体"/>
          <w:sz w:val="21"/>
          <w:szCs w:val="21"/>
        </w:rPr>
      </w:pPr>
      <w:r>
        <w:rPr>
          <w:rFonts w:ascii="Times New Roman" w:hAnsi="Times New Roman" w:eastAsia="Times New Roman" w:cs="Times New Roman"/>
          <w:spacing w:val="-3"/>
          <w:sz w:val="21"/>
          <w:szCs w:val="21"/>
        </w:rPr>
        <w:t>1.11.1</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除专用合同条款另有约定外，发包人提供给承包人的图纸、发包人为实施工程自</w:t>
      </w:r>
      <w:r>
        <w:rPr>
          <w:rFonts w:ascii="宋体" w:hAnsi="宋体" w:eastAsia="宋体" w:cs="宋体"/>
          <w:spacing w:val="3"/>
          <w:sz w:val="21"/>
          <w:szCs w:val="21"/>
        </w:rPr>
        <w:t>行编制或委托编制的技术规范以及反映发包人要求的或其他类似性质的文件</w:t>
      </w:r>
      <w:r>
        <w:rPr>
          <w:rFonts w:ascii="宋体" w:hAnsi="宋体" w:eastAsia="宋体" w:cs="宋体"/>
          <w:spacing w:val="2"/>
          <w:sz w:val="21"/>
          <w:szCs w:val="21"/>
        </w:rPr>
        <w:t>的著作权属于</w:t>
      </w:r>
      <w:r>
        <w:rPr>
          <w:rFonts w:ascii="宋体" w:hAnsi="宋体" w:eastAsia="宋体" w:cs="宋体"/>
          <w:spacing w:val="-2"/>
          <w:sz w:val="21"/>
          <w:szCs w:val="21"/>
        </w:rPr>
        <w:t>发包人，承包人可以为实现合同目的而复制、使用此类文件，但不能用于与合同无</w:t>
      </w:r>
      <w:r>
        <w:rPr>
          <w:rFonts w:ascii="宋体" w:hAnsi="宋体" w:eastAsia="宋体" w:cs="宋体"/>
          <w:spacing w:val="-3"/>
          <w:sz w:val="21"/>
          <w:szCs w:val="21"/>
        </w:rPr>
        <w:t>关的其他</w:t>
      </w:r>
      <w:r>
        <w:rPr>
          <w:rFonts w:ascii="宋体" w:hAnsi="宋体" w:eastAsia="宋体" w:cs="宋体"/>
          <w:spacing w:val="-2"/>
          <w:sz w:val="21"/>
          <w:szCs w:val="21"/>
        </w:rPr>
        <w:t>事项。未经发包人书面同意，承包人不得为了合同以外的目的而复制、使用上述文</w:t>
      </w:r>
      <w:r>
        <w:rPr>
          <w:rFonts w:ascii="宋体" w:hAnsi="宋体" w:eastAsia="宋体" w:cs="宋体"/>
          <w:spacing w:val="-3"/>
          <w:sz w:val="21"/>
          <w:szCs w:val="21"/>
        </w:rPr>
        <w:t>件或将之</w:t>
      </w:r>
      <w:r>
        <w:rPr>
          <w:rFonts w:ascii="宋体" w:hAnsi="宋体" w:eastAsia="宋体" w:cs="宋体"/>
          <w:spacing w:val="-4"/>
          <w:sz w:val="21"/>
          <w:szCs w:val="21"/>
        </w:rPr>
        <w:t>提供给任何第三方。</w:t>
      </w:r>
    </w:p>
    <w:p w14:paraId="38F62D0E">
      <w:pPr>
        <w:spacing w:before="8" w:line="351" w:lineRule="auto"/>
        <w:ind w:left="24" w:right="45" w:firstLine="436"/>
        <w:rPr>
          <w:rFonts w:ascii="宋体" w:hAnsi="宋体" w:eastAsia="宋体" w:cs="宋体"/>
          <w:sz w:val="21"/>
          <w:szCs w:val="21"/>
        </w:rPr>
      </w:pPr>
      <w:r>
        <w:rPr>
          <w:rFonts w:ascii="Times New Roman" w:hAnsi="Times New Roman" w:eastAsia="Times New Roman" w:cs="Times New Roman"/>
          <w:spacing w:val="-3"/>
          <w:sz w:val="21"/>
          <w:szCs w:val="21"/>
        </w:rPr>
        <w:t>1.11.2</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除专用合同条款另有约定外，承包人为实施工程所编制的文件，除署名权以外的</w:t>
      </w:r>
      <w:r>
        <w:rPr>
          <w:rFonts w:ascii="宋体" w:hAnsi="宋体" w:eastAsia="宋体" w:cs="宋体"/>
          <w:spacing w:val="-2"/>
          <w:sz w:val="21"/>
          <w:szCs w:val="21"/>
        </w:rPr>
        <w:t>著作权属于发包人，承包人可因实施工程的运行、调试、维修、改造等目的而复制、使用此类文件，但不能用于与合同无关的其他事项。未经发包人书面同意，承包人不得为</w:t>
      </w:r>
      <w:r>
        <w:rPr>
          <w:rFonts w:ascii="宋体" w:hAnsi="宋体" w:eastAsia="宋体" w:cs="宋体"/>
          <w:spacing w:val="-3"/>
          <w:sz w:val="21"/>
          <w:szCs w:val="21"/>
        </w:rPr>
        <w:t>了合同以</w:t>
      </w:r>
      <w:r>
        <w:rPr>
          <w:rFonts w:ascii="宋体" w:hAnsi="宋体" w:eastAsia="宋体" w:cs="宋体"/>
          <w:spacing w:val="-1"/>
          <w:sz w:val="21"/>
          <w:szCs w:val="21"/>
        </w:rPr>
        <w:t>外的目的而复制、使用上述文件或将之提供给任何第三方。</w:t>
      </w:r>
    </w:p>
    <w:p w14:paraId="63080CBA">
      <w:pPr>
        <w:spacing w:before="7" w:line="350" w:lineRule="auto"/>
        <w:ind w:left="25" w:right="45"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1.11.3  </w:t>
      </w:r>
      <w:r>
        <w:rPr>
          <w:rFonts w:ascii="宋体" w:hAnsi="宋体" w:eastAsia="宋体" w:cs="宋体"/>
          <w:spacing w:val="-2"/>
          <w:sz w:val="21"/>
          <w:szCs w:val="21"/>
        </w:rPr>
        <w:t>合同当事人保证在履行合同过程中不侵犯对方及第三方的知识产权。承包人在使用材料、施工设备、工程设备或采用施工工艺时，因侵犯他人的专利权或其他</w:t>
      </w:r>
      <w:r>
        <w:rPr>
          <w:rFonts w:ascii="宋体" w:hAnsi="宋体" w:eastAsia="宋体" w:cs="宋体"/>
          <w:spacing w:val="-3"/>
          <w:sz w:val="21"/>
          <w:szCs w:val="21"/>
        </w:rPr>
        <w:t>知识产权所引</w:t>
      </w:r>
      <w:r>
        <w:rPr>
          <w:rFonts w:ascii="宋体" w:hAnsi="宋体" w:eastAsia="宋体" w:cs="宋体"/>
          <w:spacing w:val="-2"/>
          <w:sz w:val="21"/>
          <w:szCs w:val="21"/>
        </w:rPr>
        <w:t>起的责任，由承包人承担；因发包人提供的材料、施工设备、工程设备或施工工艺导致侵权</w:t>
      </w:r>
      <w:r>
        <w:rPr>
          <w:rFonts w:ascii="宋体" w:hAnsi="宋体" w:eastAsia="宋体" w:cs="宋体"/>
          <w:spacing w:val="-3"/>
          <w:sz w:val="21"/>
          <w:szCs w:val="21"/>
        </w:rPr>
        <w:t>的，由发包人承担责任。</w:t>
      </w:r>
    </w:p>
    <w:p w14:paraId="1AEEC4B5">
      <w:pPr>
        <w:spacing w:before="2" w:line="344" w:lineRule="auto"/>
        <w:ind w:left="25" w:firstLine="436"/>
        <w:rPr>
          <w:rFonts w:ascii="宋体" w:hAnsi="宋体" w:eastAsia="宋体" w:cs="宋体"/>
          <w:sz w:val="21"/>
          <w:szCs w:val="21"/>
        </w:rPr>
      </w:pPr>
      <w:r>
        <w:rPr>
          <w:rFonts w:ascii="Times New Roman" w:hAnsi="Times New Roman" w:eastAsia="Times New Roman" w:cs="Times New Roman"/>
          <w:spacing w:val="-2"/>
          <w:sz w:val="21"/>
          <w:szCs w:val="21"/>
        </w:rPr>
        <w:t>1.11.4</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除专用合同条款另有约定外，承包人在合同签订前和签订时已确定采用的专利、专有技术、技术秘密的使用费已包含在签约合同价中。</w:t>
      </w:r>
    </w:p>
    <w:p w14:paraId="346B6207">
      <w:pPr>
        <w:spacing w:before="1" w:line="231" w:lineRule="auto"/>
        <w:ind w:left="31"/>
        <w:outlineLvl w:val="2"/>
        <w:rPr>
          <w:rFonts w:ascii="黑体" w:hAnsi="黑体" w:eastAsia="黑体" w:cs="黑体"/>
          <w:sz w:val="24"/>
          <w:szCs w:val="24"/>
        </w:rPr>
      </w:pPr>
      <w:bookmarkStart w:id="354" w:name="bookmark307"/>
      <w:bookmarkEnd w:id="354"/>
      <w:r>
        <w:rPr>
          <w:rFonts w:ascii="Times New Roman" w:hAnsi="Times New Roman" w:eastAsia="Times New Roman" w:cs="Times New Roman"/>
          <w:b/>
          <w:bCs/>
          <w:spacing w:val="-1"/>
          <w:sz w:val="24"/>
          <w:szCs w:val="24"/>
        </w:rPr>
        <w:t xml:space="preserve">1.12 </w:t>
      </w:r>
      <w:r>
        <w:rPr>
          <w:rFonts w:ascii="黑体" w:hAnsi="黑体" w:eastAsia="黑体" w:cs="黑体"/>
          <w:b/>
          <w:bCs/>
          <w:spacing w:val="-1"/>
          <w:sz w:val="24"/>
          <w:szCs w:val="24"/>
        </w:rPr>
        <w:t>保密</w:t>
      </w:r>
    </w:p>
    <w:p w14:paraId="2DEFA274">
      <w:pPr>
        <w:spacing w:before="114" w:line="359" w:lineRule="auto"/>
        <w:ind w:left="23" w:right="60" w:firstLine="433"/>
        <w:rPr>
          <w:rFonts w:ascii="宋体" w:hAnsi="宋体" w:eastAsia="宋体" w:cs="宋体"/>
          <w:sz w:val="21"/>
          <w:szCs w:val="21"/>
        </w:rPr>
      </w:pPr>
      <w:r>
        <w:rPr>
          <w:rFonts w:ascii="宋体" w:hAnsi="宋体" w:eastAsia="宋体" w:cs="宋体"/>
          <w:spacing w:val="-2"/>
          <w:sz w:val="21"/>
          <w:szCs w:val="21"/>
        </w:rPr>
        <w:t>除法律规定或合同另有约定外，未经发包人</w:t>
      </w:r>
      <w:r>
        <w:rPr>
          <w:rFonts w:ascii="宋体" w:hAnsi="宋体" w:eastAsia="宋体" w:cs="宋体"/>
          <w:spacing w:val="-3"/>
          <w:sz w:val="21"/>
          <w:szCs w:val="21"/>
        </w:rPr>
        <w:t>同意，承包人不得将发包人提供的图纸、文</w:t>
      </w:r>
      <w:r>
        <w:rPr>
          <w:rFonts w:ascii="宋体" w:hAnsi="宋体" w:eastAsia="宋体" w:cs="宋体"/>
          <w:spacing w:val="-1"/>
          <w:sz w:val="21"/>
          <w:szCs w:val="21"/>
        </w:rPr>
        <w:t>件以及声明需要保密的资料信息等商业秘密泄露给第三方。</w:t>
      </w:r>
    </w:p>
    <w:p w14:paraId="6306E75F">
      <w:pPr>
        <w:spacing w:line="359" w:lineRule="auto"/>
        <w:rPr>
          <w:rFonts w:ascii="宋体" w:hAnsi="宋体" w:eastAsia="宋体" w:cs="宋体"/>
          <w:sz w:val="21"/>
          <w:szCs w:val="21"/>
        </w:rPr>
        <w:sectPr>
          <w:footerReference r:id="rId158" w:type="default"/>
          <w:pgSz w:w="11910" w:h="16845"/>
          <w:pgMar w:top="400" w:right="1719" w:bottom="1110" w:left="1786" w:header="0" w:footer="883" w:gutter="0"/>
          <w:cols w:space="720" w:num="1"/>
        </w:sectPr>
      </w:pPr>
    </w:p>
    <w:p w14:paraId="40166DEB">
      <w:pPr>
        <w:pStyle w:val="2"/>
        <w:spacing w:line="275" w:lineRule="auto"/>
      </w:pPr>
    </w:p>
    <w:p w14:paraId="4FFFDF36">
      <w:pPr>
        <w:pStyle w:val="2"/>
        <w:spacing w:line="275" w:lineRule="auto"/>
      </w:pPr>
    </w:p>
    <w:p w14:paraId="27C1E1D8">
      <w:pPr>
        <w:pStyle w:val="2"/>
        <w:spacing w:line="276" w:lineRule="auto"/>
      </w:pPr>
    </w:p>
    <w:p w14:paraId="45385C69">
      <w:pPr>
        <w:pStyle w:val="2"/>
        <w:spacing w:line="276" w:lineRule="auto"/>
      </w:pPr>
    </w:p>
    <w:p w14:paraId="7DA3B8C8">
      <w:pPr>
        <w:spacing w:before="68" w:line="338" w:lineRule="auto"/>
        <w:ind w:left="23" w:right="69" w:firstLine="433"/>
        <w:rPr>
          <w:rFonts w:ascii="宋体" w:hAnsi="宋体" w:eastAsia="宋体" w:cs="宋体"/>
          <w:sz w:val="21"/>
          <w:szCs w:val="21"/>
        </w:rPr>
      </w:pPr>
      <w:r>
        <w:rPr>
          <w:rFonts w:ascii="宋体" w:hAnsi="宋体" w:eastAsia="宋体" w:cs="宋体"/>
          <w:spacing w:val="-2"/>
          <w:sz w:val="21"/>
          <w:szCs w:val="21"/>
        </w:rPr>
        <w:t>除法律规定或合同另有约定外，未经承包人</w:t>
      </w:r>
      <w:r>
        <w:rPr>
          <w:rFonts w:ascii="宋体" w:hAnsi="宋体" w:eastAsia="宋体" w:cs="宋体"/>
          <w:spacing w:val="-3"/>
          <w:sz w:val="21"/>
          <w:szCs w:val="21"/>
        </w:rPr>
        <w:t>同意，发包人不得将承包人提供的技术秘密</w:t>
      </w:r>
      <w:r>
        <w:rPr>
          <w:rFonts w:ascii="宋体" w:hAnsi="宋体" w:eastAsia="宋体" w:cs="宋体"/>
          <w:spacing w:val="-1"/>
          <w:sz w:val="21"/>
          <w:szCs w:val="21"/>
        </w:rPr>
        <w:t>及声明需要保密的资料信息等商业秘密泄露给第</w:t>
      </w:r>
      <w:r>
        <w:rPr>
          <w:rFonts w:ascii="宋体" w:hAnsi="宋体" w:eastAsia="宋体" w:cs="宋体"/>
          <w:spacing w:val="-2"/>
          <w:sz w:val="21"/>
          <w:szCs w:val="21"/>
        </w:rPr>
        <w:t>三方。</w:t>
      </w:r>
    </w:p>
    <w:p w14:paraId="64EB02CB">
      <w:pPr>
        <w:spacing w:line="232" w:lineRule="auto"/>
        <w:ind w:left="31"/>
        <w:outlineLvl w:val="2"/>
        <w:rPr>
          <w:rFonts w:ascii="黑体" w:hAnsi="黑体" w:eastAsia="黑体" w:cs="黑体"/>
          <w:sz w:val="24"/>
          <w:szCs w:val="24"/>
        </w:rPr>
      </w:pPr>
      <w:bookmarkStart w:id="355" w:name="bookmark308"/>
      <w:bookmarkEnd w:id="355"/>
      <w:r>
        <w:rPr>
          <w:rFonts w:ascii="Times New Roman" w:hAnsi="Times New Roman" w:eastAsia="Times New Roman" w:cs="Times New Roman"/>
          <w:b/>
          <w:bCs/>
          <w:spacing w:val="1"/>
          <w:sz w:val="24"/>
          <w:szCs w:val="24"/>
        </w:rPr>
        <w:t xml:space="preserve">1.13 </w:t>
      </w:r>
      <w:r>
        <w:rPr>
          <w:rFonts w:ascii="黑体" w:hAnsi="黑体" w:eastAsia="黑体" w:cs="黑体"/>
          <w:b/>
          <w:bCs/>
          <w:spacing w:val="1"/>
          <w:sz w:val="24"/>
          <w:szCs w:val="24"/>
        </w:rPr>
        <w:t>工程量清单错误的修正</w:t>
      </w:r>
    </w:p>
    <w:p w14:paraId="4E8A2F57">
      <w:pPr>
        <w:spacing w:before="128" w:line="350" w:lineRule="auto"/>
        <w:ind w:left="42" w:right="12" w:firstLine="414"/>
        <w:rPr>
          <w:rFonts w:ascii="宋体" w:hAnsi="宋体" w:eastAsia="宋体" w:cs="宋体"/>
          <w:sz w:val="21"/>
          <w:szCs w:val="21"/>
        </w:rPr>
      </w:pPr>
      <w:r>
        <w:rPr>
          <w:rFonts w:ascii="宋体" w:hAnsi="宋体" w:eastAsia="宋体" w:cs="宋体"/>
          <w:spacing w:val="-1"/>
          <w:sz w:val="21"/>
          <w:szCs w:val="21"/>
        </w:rPr>
        <w:t>除专用合同条款另有约定外，发包人提供的工程量清单，应被认为是准确的和完整的。</w:t>
      </w:r>
      <w:r>
        <w:rPr>
          <w:rFonts w:ascii="宋体" w:hAnsi="宋体" w:eastAsia="宋体" w:cs="宋体"/>
          <w:spacing w:val="-2"/>
          <w:sz w:val="21"/>
          <w:szCs w:val="21"/>
        </w:rPr>
        <w:t>出现下列情形之一时，发包人应予以修正，并相应调整合同价</w:t>
      </w:r>
      <w:r>
        <w:rPr>
          <w:rFonts w:ascii="宋体" w:hAnsi="宋体" w:eastAsia="宋体" w:cs="宋体"/>
          <w:spacing w:val="-3"/>
          <w:sz w:val="21"/>
          <w:szCs w:val="21"/>
        </w:rPr>
        <w:t>格：</w:t>
      </w:r>
    </w:p>
    <w:p w14:paraId="6F1C7B37">
      <w:pPr>
        <w:spacing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）工程量清单存在缺项、漏项的；</w:t>
      </w:r>
    </w:p>
    <w:p w14:paraId="12C5D3B5">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）工程量清单偏差超出专用合同条款约定的工程量偏差范围的；</w:t>
      </w:r>
    </w:p>
    <w:p w14:paraId="75D9C626">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）未按照国家现行计量规范强制性规定计量的。</w:t>
      </w:r>
    </w:p>
    <w:p w14:paraId="3ABC6D69">
      <w:pPr>
        <w:spacing w:before="165" w:line="236" w:lineRule="auto"/>
        <w:ind w:left="22"/>
        <w:outlineLvl w:val="1"/>
        <w:rPr>
          <w:rFonts w:ascii="黑体" w:hAnsi="黑体" w:eastAsia="黑体" w:cs="黑体"/>
          <w:sz w:val="28"/>
          <w:szCs w:val="28"/>
        </w:rPr>
      </w:pPr>
      <w:bookmarkStart w:id="356" w:name="bookmark310"/>
      <w:bookmarkEnd w:id="356"/>
      <w:bookmarkStart w:id="357" w:name="bookmark309"/>
      <w:bookmarkEnd w:id="357"/>
      <w:r>
        <w:rPr>
          <w:rFonts w:ascii="Times New Roman" w:hAnsi="Times New Roman" w:eastAsia="Times New Roman" w:cs="Times New Roman"/>
          <w:b/>
          <w:bCs/>
          <w:spacing w:val="8"/>
          <w:sz w:val="28"/>
          <w:szCs w:val="28"/>
        </w:rPr>
        <w:t>2.</w:t>
      </w:r>
      <w:r>
        <w:rPr>
          <w:rFonts w:ascii="Times New Roman" w:hAnsi="Times New Roman" w:eastAsia="Times New Roman" w:cs="Times New Roman"/>
          <w:b/>
          <w:bCs/>
          <w:spacing w:val="69"/>
          <w:w w:val="101"/>
          <w:sz w:val="28"/>
          <w:szCs w:val="28"/>
        </w:rPr>
        <w:t xml:space="preserve"> </w:t>
      </w:r>
      <w:r>
        <w:rPr>
          <w:rFonts w:ascii="黑体" w:hAnsi="黑体" w:eastAsia="黑体" w:cs="黑体"/>
          <w:b/>
          <w:bCs/>
          <w:spacing w:val="8"/>
          <w:sz w:val="28"/>
          <w:szCs w:val="28"/>
        </w:rPr>
        <w:t>发包人</w:t>
      </w:r>
    </w:p>
    <w:p w14:paraId="446B936F">
      <w:pPr>
        <w:spacing w:before="86" w:line="233" w:lineRule="auto"/>
        <w:ind w:left="21"/>
        <w:outlineLvl w:val="2"/>
        <w:rPr>
          <w:rFonts w:ascii="黑体" w:hAnsi="黑体" w:eastAsia="黑体" w:cs="黑体"/>
          <w:sz w:val="24"/>
          <w:szCs w:val="24"/>
        </w:rPr>
      </w:pPr>
      <w:bookmarkStart w:id="358" w:name="bookmark684"/>
      <w:bookmarkEnd w:id="358"/>
      <w:r>
        <w:rPr>
          <w:rFonts w:ascii="Times New Roman" w:hAnsi="Times New Roman" w:eastAsia="Times New Roman" w:cs="Times New Roman"/>
          <w:b/>
          <w:bCs/>
          <w:spacing w:val="2"/>
          <w:sz w:val="24"/>
          <w:szCs w:val="24"/>
        </w:rPr>
        <w:t xml:space="preserve">2.1  </w:t>
      </w:r>
      <w:r>
        <w:rPr>
          <w:rFonts w:ascii="黑体" w:hAnsi="黑体" w:eastAsia="黑体" w:cs="黑体"/>
          <w:b/>
          <w:bCs/>
          <w:spacing w:val="2"/>
          <w:sz w:val="24"/>
          <w:szCs w:val="24"/>
        </w:rPr>
        <w:t>许可或批准</w:t>
      </w:r>
    </w:p>
    <w:p w14:paraId="240A7C59">
      <w:pPr>
        <w:spacing w:before="114" w:line="353" w:lineRule="auto"/>
        <w:ind w:left="23" w:right="52" w:firstLine="424"/>
        <w:jc w:val="both"/>
        <w:rPr>
          <w:rFonts w:ascii="宋体" w:hAnsi="宋体" w:eastAsia="宋体" w:cs="宋体"/>
          <w:sz w:val="21"/>
          <w:szCs w:val="21"/>
        </w:rPr>
      </w:pPr>
      <w:r>
        <w:rPr>
          <w:rFonts w:ascii="宋体" w:hAnsi="宋体" w:eastAsia="宋体" w:cs="宋体"/>
          <w:spacing w:val="-5"/>
          <w:sz w:val="21"/>
          <w:szCs w:val="21"/>
        </w:rPr>
        <w:t>发包人应遵守法律，并办理法律规定由其办理的许可、批准或备案， 包括但不限于建设</w:t>
      </w:r>
      <w:r>
        <w:rPr>
          <w:rFonts w:ascii="宋体" w:hAnsi="宋体" w:eastAsia="宋体" w:cs="宋体"/>
          <w:spacing w:val="-2"/>
          <w:sz w:val="21"/>
          <w:szCs w:val="21"/>
        </w:rPr>
        <w:t>用地规划许可证、建设工程规划许可证、建设工程施工许可证、施工所需临时用水、临时用电、中断道路交通、临时占用土地等许可和批准。发包人应协助承包人办理法律规</w:t>
      </w:r>
      <w:r>
        <w:rPr>
          <w:rFonts w:ascii="宋体" w:hAnsi="宋体" w:eastAsia="宋体" w:cs="宋体"/>
          <w:spacing w:val="-3"/>
          <w:sz w:val="21"/>
          <w:szCs w:val="21"/>
        </w:rPr>
        <w:t>定的有关</w:t>
      </w:r>
      <w:r>
        <w:rPr>
          <w:rFonts w:ascii="宋体" w:hAnsi="宋体" w:eastAsia="宋体" w:cs="宋体"/>
          <w:spacing w:val="-4"/>
          <w:sz w:val="21"/>
          <w:szCs w:val="21"/>
        </w:rPr>
        <w:t>施工证件和批件。</w:t>
      </w:r>
    </w:p>
    <w:p w14:paraId="37D51C21">
      <w:pPr>
        <w:spacing w:before="1" w:line="338" w:lineRule="auto"/>
        <w:ind w:left="25" w:right="69" w:firstLine="436"/>
        <w:rPr>
          <w:rFonts w:ascii="宋体" w:hAnsi="宋体" w:eastAsia="宋体" w:cs="宋体"/>
          <w:sz w:val="21"/>
          <w:szCs w:val="21"/>
        </w:rPr>
      </w:pPr>
      <w:r>
        <w:rPr>
          <w:rFonts w:ascii="宋体" w:hAnsi="宋体" w:eastAsia="宋体" w:cs="宋体"/>
          <w:spacing w:val="-5"/>
          <w:sz w:val="21"/>
          <w:szCs w:val="21"/>
        </w:rPr>
        <w:t>因发包人原因未能及时办理完毕前述许可、批准或备案，</w:t>
      </w:r>
      <w:r>
        <w:rPr>
          <w:rFonts w:ascii="宋体" w:hAnsi="宋体" w:eastAsia="宋体" w:cs="宋体"/>
          <w:spacing w:val="-14"/>
          <w:sz w:val="21"/>
          <w:szCs w:val="21"/>
        </w:rPr>
        <w:t xml:space="preserve"> </w:t>
      </w:r>
      <w:r>
        <w:rPr>
          <w:rFonts w:ascii="宋体" w:hAnsi="宋体" w:eastAsia="宋体" w:cs="宋体"/>
          <w:spacing w:val="-5"/>
          <w:sz w:val="21"/>
          <w:szCs w:val="21"/>
        </w:rPr>
        <w:t>由发包人承担由此增加的费用</w:t>
      </w:r>
      <w:r>
        <w:rPr>
          <w:rFonts w:ascii="宋体" w:hAnsi="宋体" w:eastAsia="宋体" w:cs="宋体"/>
          <w:spacing w:val="-2"/>
          <w:sz w:val="21"/>
          <w:szCs w:val="21"/>
        </w:rPr>
        <w:t>和（或）延误的工期，并支付承包人合理的利润。</w:t>
      </w:r>
    </w:p>
    <w:p w14:paraId="3C15FB3E">
      <w:pPr>
        <w:spacing w:before="1" w:line="231" w:lineRule="auto"/>
        <w:ind w:left="21"/>
        <w:outlineLvl w:val="2"/>
        <w:rPr>
          <w:rFonts w:ascii="黑体" w:hAnsi="黑体" w:eastAsia="黑体" w:cs="黑体"/>
          <w:sz w:val="24"/>
          <w:szCs w:val="24"/>
        </w:rPr>
      </w:pPr>
      <w:bookmarkStart w:id="359" w:name="bookmark311"/>
      <w:bookmarkEnd w:id="359"/>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发包人代表</w:t>
      </w:r>
    </w:p>
    <w:p w14:paraId="126CB94C">
      <w:pPr>
        <w:spacing w:before="130" w:line="353" w:lineRule="auto"/>
        <w:ind w:left="23" w:right="69" w:firstLine="424"/>
        <w:jc w:val="both"/>
        <w:rPr>
          <w:rFonts w:ascii="宋体" w:hAnsi="宋体" w:eastAsia="宋体" w:cs="宋体"/>
          <w:sz w:val="21"/>
          <w:szCs w:val="21"/>
        </w:rPr>
      </w:pPr>
      <w:r>
        <w:rPr>
          <w:rFonts w:ascii="宋体" w:hAnsi="宋体" w:eastAsia="宋体" w:cs="宋体"/>
          <w:spacing w:val="-2"/>
          <w:sz w:val="21"/>
          <w:szCs w:val="21"/>
        </w:rPr>
        <w:t>发包人应在专用合同条款中明确其派驻施工现场的发包人代表的</w:t>
      </w:r>
      <w:r>
        <w:rPr>
          <w:rFonts w:ascii="宋体" w:hAnsi="宋体" w:eastAsia="宋体" w:cs="宋体"/>
          <w:spacing w:val="-3"/>
          <w:sz w:val="21"/>
          <w:szCs w:val="21"/>
        </w:rPr>
        <w:t>姓名、职务、联系方式</w:t>
      </w:r>
      <w:r>
        <w:rPr>
          <w:rFonts w:ascii="宋体" w:hAnsi="宋体" w:eastAsia="宋体" w:cs="宋体"/>
          <w:spacing w:val="-4"/>
          <w:sz w:val="21"/>
          <w:szCs w:val="21"/>
        </w:rPr>
        <w:t>及授权范围等事项。发包人代表在发包人的授权范围内，</w:t>
      </w:r>
      <w:r>
        <w:rPr>
          <w:rFonts w:ascii="宋体" w:hAnsi="宋体" w:eastAsia="宋体" w:cs="宋体"/>
          <w:spacing w:val="-25"/>
          <w:sz w:val="21"/>
          <w:szCs w:val="21"/>
        </w:rPr>
        <w:t xml:space="preserve"> </w:t>
      </w:r>
      <w:r>
        <w:rPr>
          <w:rFonts w:ascii="宋体" w:hAnsi="宋体" w:eastAsia="宋体" w:cs="宋体"/>
          <w:spacing w:val="-4"/>
          <w:sz w:val="21"/>
          <w:szCs w:val="21"/>
        </w:rPr>
        <w:t>负责处理合同履行过程中与发包人</w:t>
      </w:r>
      <w:r>
        <w:rPr>
          <w:rFonts w:ascii="宋体" w:hAnsi="宋体" w:eastAsia="宋体" w:cs="宋体"/>
          <w:spacing w:val="-2"/>
          <w:sz w:val="21"/>
          <w:szCs w:val="21"/>
        </w:rPr>
        <w:t>有关的具体事宜。发包人代表在授权范围内的行为由发包人承担法律责任。发包人更换发包</w:t>
      </w:r>
      <w:r>
        <w:rPr>
          <w:rFonts w:ascii="宋体" w:hAnsi="宋体" w:eastAsia="宋体" w:cs="宋体"/>
          <w:spacing w:val="-3"/>
          <w:sz w:val="21"/>
          <w:szCs w:val="21"/>
        </w:rPr>
        <w:t>人代表的，应提前</w:t>
      </w:r>
      <w:r>
        <w:rPr>
          <w:rFonts w:ascii="宋体" w:hAnsi="宋体" w:eastAsia="宋体" w:cs="宋体"/>
          <w:spacing w:val="-32"/>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天书面通知承包人。</w:t>
      </w:r>
    </w:p>
    <w:p w14:paraId="0584B090">
      <w:pPr>
        <w:spacing w:before="1" w:line="345" w:lineRule="auto"/>
        <w:ind w:left="24" w:right="69" w:firstLine="423"/>
        <w:rPr>
          <w:rFonts w:ascii="宋体" w:hAnsi="宋体" w:eastAsia="宋体" w:cs="宋体"/>
          <w:sz w:val="21"/>
          <w:szCs w:val="21"/>
        </w:rPr>
      </w:pPr>
      <w:r>
        <w:rPr>
          <w:rFonts w:ascii="宋体" w:hAnsi="宋体" w:eastAsia="宋体" w:cs="宋体"/>
          <w:spacing w:val="-2"/>
          <w:sz w:val="21"/>
          <w:szCs w:val="21"/>
        </w:rPr>
        <w:t>发包人代表不能按照合同约定履行其职责及义务，并导致合同无</w:t>
      </w:r>
      <w:r>
        <w:rPr>
          <w:rFonts w:ascii="宋体" w:hAnsi="宋体" w:eastAsia="宋体" w:cs="宋体"/>
          <w:spacing w:val="-3"/>
          <w:sz w:val="21"/>
          <w:szCs w:val="21"/>
        </w:rPr>
        <w:t>法继续正常履行的，承</w:t>
      </w:r>
      <w:r>
        <w:rPr>
          <w:rFonts w:ascii="宋体" w:hAnsi="宋体" w:eastAsia="宋体" w:cs="宋体"/>
          <w:spacing w:val="-2"/>
          <w:sz w:val="21"/>
          <w:szCs w:val="21"/>
        </w:rPr>
        <w:t>包人可以要求发包人撤换发包人代表。</w:t>
      </w:r>
    </w:p>
    <w:p w14:paraId="30F7A2FB">
      <w:pPr>
        <w:spacing w:before="11" w:line="338" w:lineRule="auto"/>
        <w:ind w:left="27" w:right="69" w:firstLine="420"/>
        <w:rPr>
          <w:rFonts w:ascii="宋体" w:hAnsi="宋体" w:eastAsia="宋体" w:cs="宋体"/>
          <w:sz w:val="21"/>
          <w:szCs w:val="21"/>
        </w:rPr>
      </w:pPr>
      <w:r>
        <w:rPr>
          <w:rFonts w:ascii="宋体" w:hAnsi="宋体" w:eastAsia="宋体" w:cs="宋体"/>
          <w:spacing w:val="-2"/>
          <w:sz w:val="21"/>
          <w:szCs w:val="21"/>
        </w:rPr>
        <w:t>不属于法定必须监理的工程，监理人的职权可以由发包人代表或发</w:t>
      </w:r>
      <w:r>
        <w:rPr>
          <w:rFonts w:ascii="宋体" w:hAnsi="宋体" w:eastAsia="宋体" w:cs="宋体"/>
          <w:spacing w:val="-3"/>
          <w:sz w:val="21"/>
          <w:szCs w:val="21"/>
        </w:rPr>
        <w:t>包人指定的其他人员</w:t>
      </w:r>
      <w:r>
        <w:rPr>
          <w:rFonts w:ascii="宋体" w:hAnsi="宋体" w:eastAsia="宋体" w:cs="宋体"/>
          <w:spacing w:val="-10"/>
          <w:sz w:val="21"/>
          <w:szCs w:val="21"/>
        </w:rPr>
        <w:t>行使。</w:t>
      </w:r>
    </w:p>
    <w:p w14:paraId="6264984E">
      <w:pPr>
        <w:spacing w:before="1" w:line="231" w:lineRule="auto"/>
        <w:ind w:left="21"/>
        <w:outlineLvl w:val="2"/>
        <w:rPr>
          <w:rFonts w:ascii="黑体" w:hAnsi="黑体" w:eastAsia="黑体" w:cs="黑体"/>
          <w:sz w:val="24"/>
          <w:szCs w:val="24"/>
        </w:rPr>
      </w:pPr>
      <w:bookmarkStart w:id="360" w:name="bookmark312"/>
      <w:bookmarkEnd w:id="360"/>
      <w:r>
        <w:rPr>
          <w:rFonts w:ascii="Times New Roman" w:hAnsi="Times New Roman" w:eastAsia="Times New Roman" w:cs="Times New Roman"/>
          <w:b/>
          <w:bCs/>
          <w:spacing w:val="2"/>
          <w:sz w:val="24"/>
          <w:szCs w:val="24"/>
        </w:rPr>
        <w:t xml:space="preserve">2.3  </w:t>
      </w:r>
      <w:r>
        <w:rPr>
          <w:rFonts w:ascii="黑体" w:hAnsi="黑体" w:eastAsia="黑体" w:cs="黑体"/>
          <w:b/>
          <w:bCs/>
          <w:spacing w:val="2"/>
          <w:sz w:val="24"/>
          <w:szCs w:val="24"/>
        </w:rPr>
        <w:t>发包人人员</w:t>
      </w:r>
    </w:p>
    <w:p w14:paraId="2D4F66A6">
      <w:pPr>
        <w:spacing w:before="130" w:line="351" w:lineRule="auto"/>
        <w:ind w:left="23" w:right="70" w:firstLine="424"/>
        <w:jc w:val="both"/>
        <w:rPr>
          <w:rFonts w:ascii="宋体" w:hAnsi="宋体" w:eastAsia="宋体" w:cs="宋体"/>
          <w:sz w:val="21"/>
          <w:szCs w:val="21"/>
        </w:rPr>
      </w:pPr>
      <w:r>
        <w:rPr>
          <w:rFonts w:ascii="宋体" w:hAnsi="宋体" w:eastAsia="宋体" w:cs="宋体"/>
          <w:spacing w:val="-2"/>
          <w:sz w:val="21"/>
          <w:szCs w:val="21"/>
        </w:rPr>
        <w:t>发包人应要求在施工现场的发包人人员遵守法律及有关安全、质</w:t>
      </w:r>
      <w:r>
        <w:rPr>
          <w:rFonts w:ascii="宋体" w:hAnsi="宋体" w:eastAsia="宋体" w:cs="宋体"/>
          <w:spacing w:val="-3"/>
          <w:sz w:val="21"/>
          <w:szCs w:val="21"/>
        </w:rPr>
        <w:t>量、环境保护、文明施</w:t>
      </w:r>
      <w:r>
        <w:rPr>
          <w:rFonts w:ascii="宋体" w:hAnsi="宋体" w:eastAsia="宋体" w:cs="宋体"/>
          <w:spacing w:val="3"/>
          <w:sz w:val="21"/>
          <w:szCs w:val="21"/>
        </w:rPr>
        <w:t>工等规定，并保障承包人免于承受因发包人人员未遵守上述要求给承包人造</w:t>
      </w:r>
      <w:r>
        <w:rPr>
          <w:rFonts w:ascii="宋体" w:hAnsi="宋体" w:eastAsia="宋体" w:cs="宋体"/>
          <w:spacing w:val="2"/>
          <w:sz w:val="21"/>
          <w:szCs w:val="21"/>
        </w:rPr>
        <w:t>成的损失和责</w:t>
      </w:r>
      <w:r>
        <w:rPr>
          <w:rFonts w:ascii="宋体" w:hAnsi="宋体" w:eastAsia="宋体" w:cs="宋体"/>
          <w:spacing w:val="-10"/>
          <w:sz w:val="21"/>
          <w:szCs w:val="21"/>
        </w:rPr>
        <w:t>任。</w:t>
      </w:r>
    </w:p>
    <w:p w14:paraId="4698B737">
      <w:pPr>
        <w:spacing w:before="3" w:line="220" w:lineRule="auto"/>
        <w:ind w:left="448"/>
        <w:rPr>
          <w:rFonts w:ascii="宋体" w:hAnsi="宋体" w:eastAsia="宋体" w:cs="宋体"/>
          <w:sz w:val="21"/>
          <w:szCs w:val="21"/>
        </w:rPr>
      </w:pPr>
      <w:r>
        <w:rPr>
          <w:rFonts w:ascii="宋体" w:hAnsi="宋体" w:eastAsia="宋体" w:cs="宋体"/>
          <w:spacing w:val="-1"/>
          <w:sz w:val="21"/>
          <w:szCs w:val="21"/>
        </w:rPr>
        <w:t>发包人人员包括发包人代表及其他由发包人派驻施工现场的人员。</w:t>
      </w:r>
    </w:p>
    <w:p w14:paraId="75C43F0F">
      <w:pPr>
        <w:spacing w:before="129" w:line="232" w:lineRule="auto"/>
        <w:ind w:left="21"/>
        <w:outlineLvl w:val="2"/>
        <w:rPr>
          <w:rFonts w:ascii="黑体" w:hAnsi="黑体" w:eastAsia="黑体" w:cs="黑体"/>
          <w:sz w:val="24"/>
          <w:szCs w:val="24"/>
        </w:rPr>
      </w:pPr>
      <w:bookmarkStart w:id="361" w:name="bookmark313"/>
      <w:bookmarkEnd w:id="361"/>
      <w:r>
        <w:rPr>
          <w:rFonts w:ascii="Times New Roman" w:hAnsi="Times New Roman" w:eastAsia="Times New Roman" w:cs="Times New Roman"/>
          <w:b/>
          <w:bCs/>
          <w:sz w:val="24"/>
          <w:szCs w:val="24"/>
        </w:rPr>
        <w:t xml:space="preserve">2.4  </w:t>
      </w:r>
      <w:r>
        <w:rPr>
          <w:rFonts w:ascii="黑体" w:hAnsi="黑体" w:eastAsia="黑体" w:cs="黑体"/>
          <w:b/>
          <w:bCs/>
          <w:sz w:val="24"/>
          <w:szCs w:val="24"/>
        </w:rPr>
        <w:t>施工现场、施工条件和基础资料的提供</w:t>
      </w:r>
    </w:p>
    <w:p w14:paraId="10661A70">
      <w:pPr>
        <w:spacing w:before="115" w:line="233" w:lineRule="auto"/>
        <w:ind w:left="440"/>
        <w:rPr>
          <w:rFonts w:ascii="宋体" w:hAnsi="宋体" w:eastAsia="宋体" w:cs="宋体"/>
          <w:sz w:val="21"/>
          <w:szCs w:val="21"/>
        </w:rPr>
      </w:pPr>
      <w:r>
        <w:rPr>
          <w:rFonts w:ascii="Times New Roman" w:hAnsi="Times New Roman" w:eastAsia="Times New Roman" w:cs="Times New Roman"/>
          <w:sz w:val="21"/>
          <w:szCs w:val="21"/>
        </w:rPr>
        <w:t>2.4.1</w:t>
      </w:r>
      <w:r>
        <w:rPr>
          <w:rFonts w:ascii="Times New Roman" w:hAnsi="Times New Roman" w:eastAsia="Times New Roman" w:cs="Times New Roman"/>
          <w:spacing w:val="51"/>
          <w:sz w:val="21"/>
          <w:szCs w:val="21"/>
        </w:rPr>
        <w:t xml:space="preserve"> </w:t>
      </w:r>
      <w:r>
        <w:rPr>
          <w:rFonts w:ascii="宋体" w:hAnsi="宋体" w:eastAsia="宋体" w:cs="宋体"/>
          <w:sz w:val="21"/>
          <w:szCs w:val="21"/>
        </w:rPr>
        <w:t>提供施工现场</w:t>
      </w:r>
    </w:p>
    <w:p w14:paraId="4255A964">
      <w:pPr>
        <w:spacing w:before="141" w:line="233" w:lineRule="auto"/>
        <w:jc w:val="right"/>
        <w:rPr>
          <w:rFonts w:ascii="宋体" w:hAnsi="宋体" w:eastAsia="宋体" w:cs="宋体"/>
          <w:sz w:val="21"/>
          <w:szCs w:val="21"/>
        </w:rPr>
      </w:pPr>
      <w:r>
        <w:rPr>
          <w:rFonts w:ascii="宋体" w:hAnsi="宋体" w:eastAsia="宋体" w:cs="宋体"/>
          <w:spacing w:val="-2"/>
          <w:sz w:val="21"/>
          <w:szCs w:val="21"/>
        </w:rPr>
        <w:t>除专用合同条款另有约定外，发包人应最迟于开工日期</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天前向承包人移交施工现场。</w:t>
      </w:r>
    </w:p>
    <w:p w14:paraId="5EA7839B">
      <w:pPr>
        <w:spacing w:before="139" w:line="233" w:lineRule="auto"/>
        <w:ind w:left="440"/>
        <w:rPr>
          <w:rFonts w:ascii="宋体" w:hAnsi="宋体" w:eastAsia="宋体" w:cs="宋体"/>
          <w:sz w:val="21"/>
          <w:szCs w:val="21"/>
        </w:rPr>
      </w:pPr>
      <w:r>
        <w:rPr>
          <w:rFonts w:ascii="Times New Roman" w:hAnsi="Times New Roman" w:eastAsia="Times New Roman" w:cs="Times New Roman"/>
          <w:sz w:val="21"/>
          <w:szCs w:val="21"/>
        </w:rPr>
        <w:t>2.4.2</w:t>
      </w:r>
      <w:r>
        <w:rPr>
          <w:rFonts w:ascii="Times New Roman" w:hAnsi="Times New Roman" w:eastAsia="Times New Roman" w:cs="Times New Roman"/>
          <w:spacing w:val="51"/>
          <w:sz w:val="21"/>
          <w:szCs w:val="21"/>
        </w:rPr>
        <w:t xml:space="preserve"> </w:t>
      </w:r>
      <w:r>
        <w:rPr>
          <w:rFonts w:ascii="宋体" w:hAnsi="宋体" w:eastAsia="宋体" w:cs="宋体"/>
          <w:sz w:val="21"/>
          <w:szCs w:val="21"/>
        </w:rPr>
        <w:t>提供施工条件</w:t>
      </w:r>
    </w:p>
    <w:p w14:paraId="3E8F5F87">
      <w:pPr>
        <w:spacing w:line="233" w:lineRule="auto"/>
        <w:rPr>
          <w:rFonts w:ascii="宋体" w:hAnsi="宋体" w:eastAsia="宋体" w:cs="宋体"/>
          <w:sz w:val="21"/>
          <w:szCs w:val="21"/>
        </w:rPr>
        <w:sectPr>
          <w:footerReference r:id="rId159" w:type="default"/>
          <w:pgSz w:w="11910" w:h="16845"/>
          <w:pgMar w:top="400" w:right="1709" w:bottom="1110" w:left="1786" w:header="0" w:footer="883" w:gutter="0"/>
          <w:cols w:space="720" w:num="1"/>
        </w:sectPr>
      </w:pPr>
    </w:p>
    <w:p w14:paraId="3EA60927">
      <w:pPr>
        <w:pStyle w:val="2"/>
        <w:spacing w:line="275" w:lineRule="auto"/>
      </w:pPr>
    </w:p>
    <w:p w14:paraId="237AF3B3">
      <w:pPr>
        <w:pStyle w:val="2"/>
        <w:spacing w:line="275" w:lineRule="auto"/>
      </w:pPr>
    </w:p>
    <w:p w14:paraId="1406C649">
      <w:pPr>
        <w:pStyle w:val="2"/>
        <w:spacing w:line="275" w:lineRule="auto"/>
      </w:pPr>
    </w:p>
    <w:p w14:paraId="11FEEED9">
      <w:pPr>
        <w:pStyle w:val="2"/>
        <w:spacing w:line="275" w:lineRule="auto"/>
      </w:pPr>
    </w:p>
    <w:p w14:paraId="44DE29EC">
      <w:pPr>
        <w:spacing w:before="69" w:line="219" w:lineRule="auto"/>
        <w:ind w:left="457"/>
        <w:rPr>
          <w:rFonts w:ascii="宋体" w:hAnsi="宋体" w:eastAsia="宋体" w:cs="宋体"/>
          <w:sz w:val="21"/>
          <w:szCs w:val="21"/>
        </w:rPr>
      </w:pPr>
      <w:r>
        <w:rPr>
          <w:rFonts w:ascii="宋体" w:hAnsi="宋体" w:eastAsia="宋体" w:cs="宋体"/>
          <w:spacing w:val="-2"/>
          <w:sz w:val="21"/>
          <w:szCs w:val="21"/>
        </w:rPr>
        <w:t>除专用合同条款另有约定外，发包人应负责提供施工所需要的条件，包括：</w:t>
      </w:r>
    </w:p>
    <w:p w14:paraId="6AA9A361">
      <w:pPr>
        <w:spacing w:before="156"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）将施工用水、电力、通讯线路等施工所必需的条件接至施工现场内；</w:t>
      </w:r>
    </w:p>
    <w:p w14:paraId="16BDCFD4">
      <w:pPr>
        <w:spacing w:before="124"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）保证向承包人提供正常施工所需要的进入施工现场的交通条件；</w:t>
      </w:r>
    </w:p>
    <w:p w14:paraId="28C74F28">
      <w:pPr>
        <w:spacing w:before="141" w:line="348" w:lineRule="auto"/>
        <w:ind w:left="29" w:right="148" w:firstLine="4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）协调处理施工现场周围地下管线和邻近建筑物、构筑物、古树名木</w:t>
      </w:r>
      <w:r>
        <w:rPr>
          <w:rFonts w:ascii="宋体" w:hAnsi="宋体" w:eastAsia="宋体" w:cs="宋体"/>
          <w:spacing w:val="-2"/>
          <w:sz w:val="21"/>
          <w:szCs w:val="21"/>
        </w:rPr>
        <w:t>的保护工作，</w:t>
      </w:r>
      <w:r>
        <w:rPr>
          <w:rFonts w:ascii="宋体" w:hAnsi="宋体" w:eastAsia="宋体" w:cs="宋体"/>
          <w:spacing w:val="-7"/>
          <w:sz w:val="21"/>
          <w:szCs w:val="21"/>
        </w:rPr>
        <w:t>并承担相关费用；</w:t>
      </w:r>
    </w:p>
    <w:p w14:paraId="66910E9B">
      <w:pPr>
        <w:spacing w:before="2"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）按照专用合同条款约定应提供的其他设施和条件。</w:t>
      </w:r>
    </w:p>
    <w:p w14:paraId="7E25AB95">
      <w:pPr>
        <w:spacing w:before="141" w:line="233" w:lineRule="auto"/>
        <w:ind w:left="440"/>
        <w:rPr>
          <w:rFonts w:ascii="宋体" w:hAnsi="宋体" w:eastAsia="宋体" w:cs="宋体"/>
          <w:sz w:val="21"/>
          <w:szCs w:val="21"/>
        </w:rPr>
      </w:pPr>
      <w:r>
        <w:rPr>
          <w:rFonts w:ascii="Times New Roman" w:hAnsi="Times New Roman" w:eastAsia="Times New Roman" w:cs="Times New Roman"/>
          <w:sz w:val="21"/>
          <w:szCs w:val="21"/>
        </w:rPr>
        <w:t>2.4.3</w:t>
      </w:r>
      <w:r>
        <w:rPr>
          <w:rFonts w:ascii="Times New Roman" w:hAnsi="Times New Roman" w:eastAsia="Times New Roman" w:cs="Times New Roman"/>
          <w:spacing w:val="51"/>
          <w:sz w:val="21"/>
          <w:szCs w:val="21"/>
        </w:rPr>
        <w:t xml:space="preserve"> </w:t>
      </w:r>
      <w:r>
        <w:rPr>
          <w:rFonts w:ascii="宋体" w:hAnsi="宋体" w:eastAsia="宋体" w:cs="宋体"/>
          <w:sz w:val="21"/>
          <w:szCs w:val="21"/>
        </w:rPr>
        <w:t>提供基础资料</w:t>
      </w:r>
    </w:p>
    <w:p w14:paraId="43FD8113">
      <w:pPr>
        <w:spacing w:before="139" w:line="350" w:lineRule="auto"/>
        <w:ind w:left="24" w:firstLine="423"/>
        <w:rPr>
          <w:rFonts w:ascii="宋体" w:hAnsi="宋体" w:eastAsia="宋体" w:cs="宋体"/>
          <w:sz w:val="21"/>
          <w:szCs w:val="21"/>
        </w:rPr>
      </w:pPr>
      <w:r>
        <w:rPr>
          <w:rFonts w:ascii="宋体" w:hAnsi="宋体" w:eastAsia="宋体" w:cs="宋体"/>
          <w:spacing w:val="3"/>
          <w:sz w:val="21"/>
          <w:szCs w:val="21"/>
        </w:rPr>
        <w:t>发包人应当在移交施工现场前向承包人提供施工现场及工程施工所必需的</w:t>
      </w:r>
      <w:r>
        <w:rPr>
          <w:rFonts w:ascii="宋体" w:hAnsi="宋体" w:eastAsia="宋体" w:cs="宋体"/>
          <w:spacing w:val="2"/>
          <w:sz w:val="21"/>
          <w:szCs w:val="21"/>
        </w:rPr>
        <w:t>毗邻区域内</w:t>
      </w:r>
      <w:r>
        <w:rPr>
          <w:rFonts w:ascii="宋体" w:hAnsi="宋体" w:eastAsia="宋体" w:cs="宋体"/>
          <w:sz w:val="21"/>
          <w:szCs w:val="21"/>
        </w:rPr>
        <w:t>供水、排水、供电、供气、供热、通信、广播电视等地下管线资料，气象和水文观测资料，</w:t>
      </w:r>
      <w:r>
        <w:rPr>
          <w:rFonts w:ascii="宋体" w:hAnsi="宋体" w:eastAsia="宋体" w:cs="宋体"/>
          <w:spacing w:val="-5"/>
          <w:sz w:val="21"/>
          <w:szCs w:val="21"/>
        </w:rPr>
        <w:t>地质勘察资料，相邻建筑物、构筑物和地下工程等有关基础资料，并对所提供资料的真实性、</w:t>
      </w:r>
      <w:r>
        <w:rPr>
          <w:rFonts w:ascii="宋体" w:hAnsi="宋体" w:eastAsia="宋体" w:cs="宋体"/>
          <w:spacing w:val="-4"/>
          <w:sz w:val="21"/>
          <w:szCs w:val="21"/>
        </w:rPr>
        <w:t>准确性和完整性负责。</w:t>
      </w:r>
    </w:p>
    <w:p w14:paraId="53AB5079">
      <w:pPr>
        <w:spacing w:before="2" w:line="356" w:lineRule="auto"/>
        <w:ind w:left="23" w:right="86" w:firstLine="423"/>
        <w:rPr>
          <w:rFonts w:ascii="宋体" w:hAnsi="宋体" w:eastAsia="宋体" w:cs="宋体"/>
          <w:sz w:val="21"/>
          <w:szCs w:val="21"/>
        </w:rPr>
      </w:pPr>
      <w:r>
        <w:rPr>
          <w:rFonts w:ascii="宋体" w:hAnsi="宋体" w:eastAsia="宋体" w:cs="宋体"/>
          <w:spacing w:val="-2"/>
          <w:sz w:val="21"/>
          <w:szCs w:val="21"/>
        </w:rPr>
        <w:t>按照法律规定确需在开工后方能提供的基础资料，发包人应尽其努力及</w:t>
      </w:r>
      <w:r>
        <w:rPr>
          <w:rFonts w:ascii="宋体" w:hAnsi="宋体" w:eastAsia="宋体" w:cs="宋体"/>
          <w:spacing w:val="-3"/>
          <w:sz w:val="21"/>
          <w:szCs w:val="21"/>
        </w:rPr>
        <w:t>时地在相应工程</w:t>
      </w:r>
      <w:r>
        <w:rPr>
          <w:rFonts w:ascii="宋体" w:hAnsi="宋体" w:eastAsia="宋体" w:cs="宋体"/>
          <w:spacing w:val="-1"/>
          <w:sz w:val="21"/>
          <w:szCs w:val="21"/>
        </w:rPr>
        <w:t>施工前的合理期限内提供，合理期限应以不影响承包人的正常施工为限。</w:t>
      </w:r>
    </w:p>
    <w:p w14:paraId="25EE75CC">
      <w:pPr>
        <w:spacing w:line="232" w:lineRule="auto"/>
        <w:ind w:left="440"/>
        <w:rPr>
          <w:rFonts w:ascii="宋体" w:hAnsi="宋体" w:eastAsia="宋体" w:cs="宋体"/>
          <w:sz w:val="21"/>
          <w:szCs w:val="21"/>
        </w:rPr>
      </w:pPr>
      <w:r>
        <w:rPr>
          <w:rFonts w:ascii="Times New Roman" w:hAnsi="Times New Roman" w:eastAsia="Times New Roman" w:cs="Times New Roman"/>
          <w:sz w:val="21"/>
          <w:szCs w:val="21"/>
        </w:rPr>
        <w:t>2.4.4</w:t>
      </w:r>
      <w:r>
        <w:rPr>
          <w:rFonts w:ascii="Times New Roman" w:hAnsi="Times New Roman" w:eastAsia="Times New Roman" w:cs="Times New Roman"/>
          <w:spacing w:val="51"/>
          <w:sz w:val="21"/>
          <w:szCs w:val="21"/>
        </w:rPr>
        <w:t xml:space="preserve"> </w:t>
      </w:r>
      <w:r>
        <w:rPr>
          <w:rFonts w:ascii="宋体" w:hAnsi="宋体" w:eastAsia="宋体" w:cs="宋体"/>
          <w:sz w:val="21"/>
          <w:szCs w:val="21"/>
        </w:rPr>
        <w:t>逾期提供的责任</w:t>
      </w:r>
    </w:p>
    <w:p w14:paraId="4C1F6A33">
      <w:pPr>
        <w:spacing w:before="126" w:line="345" w:lineRule="auto"/>
        <w:ind w:left="27" w:right="87" w:firstLine="433"/>
        <w:rPr>
          <w:rFonts w:ascii="宋体" w:hAnsi="宋体" w:eastAsia="宋体" w:cs="宋体"/>
          <w:sz w:val="21"/>
          <w:szCs w:val="21"/>
        </w:rPr>
      </w:pPr>
      <w:r>
        <w:rPr>
          <w:rFonts w:ascii="宋体" w:hAnsi="宋体" w:eastAsia="宋体" w:cs="宋体"/>
          <w:spacing w:val="-5"/>
          <w:sz w:val="21"/>
          <w:szCs w:val="21"/>
        </w:rPr>
        <w:t>因发包人原因未能按合同约定及时向承包人提供施工现场、施工条件</w:t>
      </w:r>
      <w:r>
        <w:rPr>
          <w:rFonts w:ascii="宋体" w:hAnsi="宋体" w:eastAsia="宋体" w:cs="宋体"/>
          <w:spacing w:val="-6"/>
          <w:sz w:val="21"/>
          <w:szCs w:val="21"/>
        </w:rPr>
        <w:t>、基础资料的， 由</w:t>
      </w:r>
      <w:r>
        <w:rPr>
          <w:rFonts w:ascii="宋体" w:hAnsi="宋体" w:eastAsia="宋体" w:cs="宋体"/>
          <w:spacing w:val="-2"/>
          <w:sz w:val="21"/>
          <w:szCs w:val="21"/>
        </w:rPr>
        <w:t>发包人承担由此增加的费用和（或）延误的工期。</w:t>
      </w:r>
    </w:p>
    <w:p w14:paraId="6E96F104">
      <w:pPr>
        <w:spacing w:before="1" w:line="231" w:lineRule="auto"/>
        <w:ind w:left="21"/>
        <w:outlineLvl w:val="2"/>
        <w:rPr>
          <w:rFonts w:ascii="黑体" w:hAnsi="黑体" w:eastAsia="黑体" w:cs="黑体"/>
          <w:sz w:val="24"/>
          <w:szCs w:val="24"/>
        </w:rPr>
      </w:pPr>
      <w:bookmarkStart w:id="362" w:name="bookmark314"/>
      <w:bookmarkEnd w:id="362"/>
      <w:r>
        <w:rPr>
          <w:rFonts w:ascii="Times New Roman" w:hAnsi="Times New Roman" w:eastAsia="Times New Roman" w:cs="Times New Roman"/>
          <w:b/>
          <w:bCs/>
          <w:spacing w:val="1"/>
          <w:sz w:val="24"/>
          <w:szCs w:val="24"/>
        </w:rPr>
        <w:t xml:space="preserve">2.5  </w:t>
      </w:r>
      <w:r>
        <w:rPr>
          <w:rFonts w:ascii="黑体" w:hAnsi="黑体" w:eastAsia="黑体" w:cs="黑体"/>
          <w:b/>
          <w:bCs/>
          <w:spacing w:val="1"/>
          <w:sz w:val="24"/>
          <w:szCs w:val="24"/>
        </w:rPr>
        <w:t>资金来源证明及支付担保</w:t>
      </w:r>
    </w:p>
    <w:p w14:paraId="76FD0D56">
      <w:pPr>
        <w:spacing w:before="115" w:line="356" w:lineRule="auto"/>
        <w:ind w:left="25" w:right="86" w:firstLine="431"/>
        <w:rPr>
          <w:rFonts w:ascii="宋体" w:hAnsi="宋体" w:eastAsia="宋体" w:cs="宋体"/>
          <w:sz w:val="21"/>
          <w:szCs w:val="21"/>
        </w:rPr>
      </w:pPr>
      <w:r>
        <w:rPr>
          <w:rFonts w:ascii="宋体" w:hAnsi="宋体" w:eastAsia="宋体" w:cs="宋体"/>
          <w:spacing w:val="-2"/>
          <w:sz w:val="21"/>
          <w:szCs w:val="21"/>
        </w:rPr>
        <w:t>除专用合同条款另有约定外，发包人应在收到</w:t>
      </w:r>
      <w:r>
        <w:rPr>
          <w:rFonts w:ascii="宋体" w:hAnsi="宋体" w:eastAsia="宋体" w:cs="宋体"/>
          <w:spacing w:val="-3"/>
          <w:sz w:val="21"/>
          <w:szCs w:val="21"/>
        </w:rPr>
        <w:t>承包人要求提供资金来源证明的书面通知</w:t>
      </w:r>
      <w:r>
        <w:rPr>
          <w:rFonts w:ascii="宋体" w:hAnsi="宋体" w:eastAsia="宋体" w:cs="宋体"/>
          <w:spacing w:val="-1"/>
          <w:sz w:val="21"/>
          <w:szCs w:val="21"/>
        </w:rPr>
        <w:t>后</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天内，向承包人提供能够按照合同约定支付合同价款的相应资</w:t>
      </w:r>
      <w:r>
        <w:rPr>
          <w:rFonts w:ascii="宋体" w:hAnsi="宋体" w:eastAsia="宋体" w:cs="宋体"/>
          <w:spacing w:val="-2"/>
          <w:sz w:val="21"/>
          <w:szCs w:val="21"/>
        </w:rPr>
        <w:t>金来源证明。</w:t>
      </w:r>
    </w:p>
    <w:p w14:paraId="606EA9A7">
      <w:pPr>
        <w:spacing w:before="2" w:line="344" w:lineRule="auto"/>
        <w:ind w:left="25" w:right="89" w:firstLine="432"/>
        <w:jc w:val="both"/>
        <w:rPr>
          <w:rFonts w:ascii="宋体" w:hAnsi="宋体" w:eastAsia="宋体" w:cs="宋体"/>
          <w:sz w:val="21"/>
          <w:szCs w:val="21"/>
        </w:rPr>
      </w:pPr>
      <w:r>
        <w:rPr>
          <w:rFonts w:ascii="宋体" w:hAnsi="宋体" w:eastAsia="宋体" w:cs="宋体"/>
          <w:spacing w:val="-3"/>
          <w:sz w:val="21"/>
          <w:szCs w:val="21"/>
        </w:rPr>
        <w:t>除专用合同条款另有约定外，发包人要求承包人提供履约担保的，发包人应当向承包人</w:t>
      </w:r>
      <w:r>
        <w:rPr>
          <w:rFonts w:ascii="宋体" w:hAnsi="宋体" w:eastAsia="宋体" w:cs="宋体"/>
          <w:spacing w:val="-2"/>
          <w:sz w:val="21"/>
          <w:szCs w:val="21"/>
        </w:rPr>
        <w:t>提供支付担保。支付担保可以采用银行保函或担保公司担保等形式，具体由合同</w:t>
      </w:r>
      <w:r>
        <w:rPr>
          <w:rFonts w:ascii="宋体" w:hAnsi="宋体" w:eastAsia="宋体" w:cs="宋体"/>
          <w:spacing w:val="-3"/>
          <w:sz w:val="21"/>
          <w:szCs w:val="21"/>
        </w:rPr>
        <w:t>当事人在专</w:t>
      </w:r>
      <w:r>
        <w:rPr>
          <w:rFonts w:ascii="宋体" w:hAnsi="宋体" w:eastAsia="宋体" w:cs="宋体"/>
          <w:spacing w:val="-4"/>
          <w:sz w:val="21"/>
          <w:szCs w:val="21"/>
        </w:rPr>
        <w:t>用合同条款中约定。</w:t>
      </w:r>
    </w:p>
    <w:p w14:paraId="403845D3">
      <w:pPr>
        <w:spacing w:before="1" w:line="232" w:lineRule="auto"/>
        <w:ind w:left="21"/>
        <w:outlineLvl w:val="2"/>
        <w:rPr>
          <w:rFonts w:ascii="黑体" w:hAnsi="黑体" w:eastAsia="黑体" w:cs="黑体"/>
          <w:sz w:val="24"/>
          <w:szCs w:val="24"/>
        </w:rPr>
      </w:pPr>
      <w:bookmarkStart w:id="363" w:name="bookmark315"/>
      <w:bookmarkEnd w:id="363"/>
      <w:r>
        <w:rPr>
          <w:rFonts w:ascii="Times New Roman" w:hAnsi="Times New Roman" w:eastAsia="Times New Roman" w:cs="Times New Roman"/>
          <w:b/>
          <w:bCs/>
          <w:spacing w:val="2"/>
          <w:sz w:val="24"/>
          <w:szCs w:val="24"/>
        </w:rPr>
        <w:t xml:space="preserve">2.6  </w:t>
      </w:r>
      <w:r>
        <w:rPr>
          <w:rFonts w:ascii="黑体" w:hAnsi="黑体" w:eastAsia="黑体" w:cs="黑体"/>
          <w:b/>
          <w:bCs/>
          <w:spacing w:val="2"/>
          <w:sz w:val="24"/>
          <w:szCs w:val="24"/>
        </w:rPr>
        <w:t>支付合同价款</w:t>
      </w:r>
    </w:p>
    <w:p w14:paraId="59E54B7C">
      <w:pPr>
        <w:spacing w:before="114" w:line="218" w:lineRule="auto"/>
        <w:ind w:left="448"/>
        <w:rPr>
          <w:rFonts w:ascii="宋体" w:hAnsi="宋体" w:eastAsia="宋体" w:cs="宋体"/>
          <w:sz w:val="21"/>
          <w:szCs w:val="21"/>
        </w:rPr>
      </w:pPr>
      <w:r>
        <w:rPr>
          <w:rFonts w:ascii="宋体" w:hAnsi="宋体" w:eastAsia="宋体" w:cs="宋体"/>
          <w:spacing w:val="-2"/>
          <w:sz w:val="21"/>
          <w:szCs w:val="21"/>
        </w:rPr>
        <w:t>发包人应按合同约定向承包人及时支付合同价款。</w:t>
      </w:r>
    </w:p>
    <w:p w14:paraId="2387416D">
      <w:pPr>
        <w:spacing w:before="131" w:line="232" w:lineRule="auto"/>
        <w:ind w:left="21"/>
        <w:outlineLvl w:val="2"/>
        <w:rPr>
          <w:rFonts w:ascii="黑体" w:hAnsi="黑体" w:eastAsia="黑体" w:cs="黑体"/>
          <w:sz w:val="24"/>
          <w:szCs w:val="24"/>
        </w:rPr>
      </w:pPr>
      <w:bookmarkStart w:id="364" w:name="bookmark316"/>
      <w:bookmarkEnd w:id="364"/>
      <w:r>
        <w:rPr>
          <w:rFonts w:ascii="Times New Roman" w:hAnsi="Times New Roman" w:eastAsia="Times New Roman" w:cs="Times New Roman"/>
          <w:b/>
          <w:bCs/>
          <w:spacing w:val="2"/>
          <w:sz w:val="24"/>
          <w:szCs w:val="24"/>
        </w:rPr>
        <w:t xml:space="preserve">2.7  </w:t>
      </w:r>
      <w:r>
        <w:rPr>
          <w:rFonts w:ascii="黑体" w:hAnsi="黑体" w:eastAsia="黑体" w:cs="黑体"/>
          <w:b/>
          <w:bCs/>
          <w:spacing w:val="2"/>
          <w:sz w:val="24"/>
          <w:szCs w:val="24"/>
        </w:rPr>
        <w:t>组织竣工验收</w:t>
      </w:r>
    </w:p>
    <w:p w14:paraId="77C965CE">
      <w:pPr>
        <w:spacing w:before="129" w:line="220" w:lineRule="auto"/>
        <w:ind w:left="448"/>
        <w:rPr>
          <w:rFonts w:ascii="宋体" w:hAnsi="宋体" w:eastAsia="宋体" w:cs="宋体"/>
          <w:sz w:val="21"/>
          <w:szCs w:val="21"/>
        </w:rPr>
      </w:pPr>
      <w:r>
        <w:rPr>
          <w:rFonts w:ascii="宋体" w:hAnsi="宋体" w:eastAsia="宋体" w:cs="宋体"/>
          <w:spacing w:val="-2"/>
          <w:sz w:val="21"/>
          <w:szCs w:val="21"/>
        </w:rPr>
        <w:t>发包人应按合同约定及时组织竣工验收。</w:t>
      </w:r>
    </w:p>
    <w:p w14:paraId="2BEA06A1">
      <w:pPr>
        <w:spacing w:before="115" w:line="232" w:lineRule="auto"/>
        <w:ind w:left="21"/>
        <w:outlineLvl w:val="2"/>
        <w:rPr>
          <w:rFonts w:ascii="黑体" w:hAnsi="黑体" w:eastAsia="黑体" w:cs="黑体"/>
          <w:sz w:val="24"/>
          <w:szCs w:val="24"/>
        </w:rPr>
      </w:pPr>
      <w:bookmarkStart w:id="365" w:name="bookmark317"/>
      <w:bookmarkEnd w:id="365"/>
      <w:r>
        <w:rPr>
          <w:rFonts w:ascii="Times New Roman" w:hAnsi="Times New Roman" w:eastAsia="Times New Roman" w:cs="Times New Roman"/>
          <w:b/>
          <w:bCs/>
          <w:spacing w:val="2"/>
          <w:sz w:val="24"/>
          <w:szCs w:val="24"/>
        </w:rPr>
        <w:t xml:space="preserve">2.8  </w:t>
      </w:r>
      <w:r>
        <w:rPr>
          <w:rFonts w:ascii="黑体" w:hAnsi="黑体" w:eastAsia="黑体" w:cs="黑体"/>
          <w:b/>
          <w:bCs/>
          <w:spacing w:val="2"/>
          <w:sz w:val="24"/>
          <w:szCs w:val="24"/>
        </w:rPr>
        <w:t>现场统一管理协议</w:t>
      </w:r>
    </w:p>
    <w:p w14:paraId="62368DB5">
      <w:pPr>
        <w:spacing w:before="129" w:line="358" w:lineRule="auto"/>
        <w:ind w:left="25" w:right="104" w:firstLine="422"/>
        <w:rPr>
          <w:rFonts w:ascii="宋体" w:hAnsi="宋体" w:eastAsia="宋体" w:cs="宋体"/>
          <w:sz w:val="21"/>
          <w:szCs w:val="21"/>
        </w:rPr>
      </w:pPr>
      <w:r>
        <w:rPr>
          <w:rFonts w:ascii="宋体" w:hAnsi="宋体" w:eastAsia="宋体" w:cs="宋体"/>
          <w:spacing w:val="3"/>
          <w:sz w:val="21"/>
          <w:szCs w:val="21"/>
        </w:rPr>
        <w:t>发包人应与承包人、由发包人直接发包的专业工程的承包人签订施工现场</w:t>
      </w:r>
      <w:r>
        <w:rPr>
          <w:rFonts w:ascii="宋体" w:hAnsi="宋体" w:eastAsia="宋体" w:cs="宋体"/>
          <w:spacing w:val="2"/>
          <w:sz w:val="21"/>
          <w:szCs w:val="21"/>
        </w:rPr>
        <w:t>统一管理协</w:t>
      </w:r>
      <w:r>
        <w:rPr>
          <w:rFonts w:ascii="宋体" w:hAnsi="宋体" w:eastAsia="宋体" w:cs="宋体"/>
          <w:spacing w:val="-1"/>
          <w:sz w:val="21"/>
          <w:szCs w:val="21"/>
        </w:rPr>
        <w:t>议，明确各方的权利义务。施工现场统一管理协议作为专用合同条款的附件。</w:t>
      </w:r>
    </w:p>
    <w:p w14:paraId="1FAFBD9C">
      <w:pPr>
        <w:spacing w:before="22" w:line="237" w:lineRule="auto"/>
        <w:ind w:left="20"/>
        <w:outlineLvl w:val="1"/>
        <w:rPr>
          <w:rFonts w:ascii="黑体" w:hAnsi="黑体" w:eastAsia="黑体" w:cs="黑体"/>
          <w:sz w:val="28"/>
          <w:szCs w:val="28"/>
        </w:rPr>
      </w:pPr>
      <w:bookmarkStart w:id="366" w:name="bookmark318"/>
      <w:bookmarkEnd w:id="366"/>
      <w:bookmarkStart w:id="367" w:name="bookmark319"/>
      <w:bookmarkEnd w:id="367"/>
      <w:r>
        <w:rPr>
          <w:rFonts w:ascii="Times New Roman" w:hAnsi="Times New Roman" w:eastAsia="Times New Roman" w:cs="Times New Roman"/>
          <w:b/>
          <w:bCs/>
          <w:spacing w:val="9"/>
          <w:sz w:val="28"/>
          <w:szCs w:val="28"/>
        </w:rPr>
        <w:t>3.</w:t>
      </w:r>
      <w:r>
        <w:rPr>
          <w:rFonts w:ascii="Times New Roman" w:hAnsi="Times New Roman" w:eastAsia="Times New Roman" w:cs="Times New Roman"/>
          <w:b/>
          <w:bCs/>
          <w:spacing w:val="67"/>
          <w:sz w:val="28"/>
          <w:szCs w:val="28"/>
        </w:rPr>
        <w:t xml:space="preserve"> </w:t>
      </w:r>
      <w:r>
        <w:rPr>
          <w:rFonts w:ascii="黑体" w:hAnsi="黑体" w:eastAsia="黑体" w:cs="黑体"/>
          <w:b/>
          <w:bCs/>
          <w:spacing w:val="9"/>
          <w:sz w:val="28"/>
          <w:szCs w:val="28"/>
        </w:rPr>
        <w:t>承包人</w:t>
      </w:r>
    </w:p>
    <w:p w14:paraId="376D4146">
      <w:pPr>
        <w:spacing w:before="85" w:line="232" w:lineRule="auto"/>
        <w:ind w:left="19"/>
        <w:outlineLvl w:val="2"/>
        <w:rPr>
          <w:rFonts w:ascii="黑体" w:hAnsi="黑体" w:eastAsia="黑体" w:cs="黑体"/>
          <w:sz w:val="24"/>
          <w:szCs w:val="24"/>
        </w:rPr>
      </w:pPr>
      <w:bookmarkStart w:id="368" w:name="bookmark685"/>
      <w:bookmarkEnd w:id="368"/>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承包人的一般义务</w:t>
      </w:r>
    </w:p>
    <w:p w14:paraId="759AE864">
      <w:pPr>
        <w:spacing w:before="114" w:line="220" w:lineRule="auto"/>
        <w:ind w:left="444"/>
        <w:rPr>
          <w:rFonts w:ascii="宋体" w:hAnsi="宋体" w:eastAsia="宋体" w:cs="宋体"/>
          <w:sz w:val="21"/>
          <w:szCs w:val="21"/>
        </w:rPr>
      </w:pPr>
      <w:r>
        <w:rPr>
          <w:rFonts w:ascii="宋体" w:hAnsi="宋体" w:eastAsia="宋体" w:cs="宋体"/>
          <w:spacing w:val="-1"/>
          <w:sz w:val="21"/>
          <w:szCs w:val="21"/>
        </w:rPr>
        <w:t>承包人在履行合同过程中应遵守法律和工程建设标准规范</w:t>
      </w:r>
      <w:r>
        <w:rPr>
          <w:rFonts w:ascii="宋体" w:hAnsi="宋体" w:eastAsia="宋体" w:cs="宋体"/>
          <w:spacing w:val="-2"/>
          <w:sz w:val="21"/>
          <w:szCs w:val="21"/>
        </w:rPr>
        <w:t>，并履行以下义务：</w:t>
      </w:r>
    </w:p>
    <w:p w14:paraId="6D66D7E7">
      <w:pPr>
        <w:spacing w:before="155" w:line="233" w:lineRule="auto"/>
        <w:ind w:right="32"/>
        <w:jc w:val="right"/>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）办理法律规定应由承包人办理的许可和批准，并将办理结果书面报送发包人留存；</w:t>
      </w:r>
    </w:p>
    <w:p w14:paraId="698E6E3A">
      <w:pPr>
        <w:spacing w:before="141"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）按法律规定和合同约定完成工程，并在保修期内承担保修义务；</w:t>
      </w:r>
    </w:p>
    <w:p w14:paraId="79EB6EE2">
      <w:pPr>
        <w:spacing w:line="233" w:lineRule="auto"/>
        <w:rPr>
          <w:rFonts w:ascii="宋体" w:hAnsi="宋体" w:eastAsia="宋体" w:cs="宋体"/>
          <w:sz w:val="21"/>
          <w:szCs w:val="21"/>
        </w:rPr>
        <w:sectPr>
          <w:footerReference r:id="rId160" w:type="default"/>
          <w:pgSz w:w="11910" w:h="16845"/>
          <w:pgMar w:top="400" w:right="1692" w:bottom="1110" w:left="1786" w:header="0" w:footer="883" w:gutter="0"/>
          <w:cols w:space="720" w:num="1"/>
        </w:sectPr>
      </w:pPr>
    </w:p>
    <w:p w14:paraId="1C62A637">
      <w:pPr>
        <w:pStyle w:val="2"/>
        <w:spacing w:line="275" w:lineRule="auto"/>
      </w:pPr>
    </w:p>
    <w:p w14:paraId="5D328917">
      <w:pPr>
        <w:pStyle w:val="2"/>
        <w:spacing w:line="275" w:lineRule="auto"/>
      </w:pPr>
    </w:p>
    <w:p w14:paraId="2887EA11">
      <w:pPr>
        <w:pStyle w:val="2"/>
        <w:spacing w:line="275" w:lineRule="auto"/>
      </w:pPr>
    </w:p>
    <w:p w14:paraId="0E549743">
      <w:pPr>
        <w:pStyle w:val="2"/>
        <w:spacing w:line="275" w:lineRule="auto"/>
      </w:pPr>
    </w:p>
    <w:p w14:paraId="4E5103B5">
      <w:pPr>
        <w:spacing w:before="69" w:line="348" w:lineRule="auto"/>
        <w:ind w:left="23" w:right="109"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）按法律规定和合同约定采取施工安全和环境保护措施，办理工伤保险</w:t>
      </w:r>
      <w:r>
        <w:rPr>
          <w:rFonts w:ascii="宋体" w:hAnsi="宋体" w:eastAsia="宋体" w:cs="宋体"/>
          <w:spacing w:val="-1"/>
          <w:sz w:val="21"/>
          <w:szCs w:val="21"/>
        </w:rPr>
        <w:t>，确保工程</w:t>
      </w:r>
      <w:r>
        <w:rPr>
          <w:rFonts w:ascii="宋体" w:hAnsi="宋体" w:eastAsia="宋体" w:cs="宋体"/>
          <w:spacing w:val="-3"/>
          <w:sz w:val="21"/>
          <w:szCs w:val="21"/>
        </w:rPr>
        <w:t>及人员、材料、设备和设施的安全；</w:t>
      </w:r>
    </w:p>
    <w:p w14:paraId="68196D5F">
      <w:pPr>
        <w:spacing w:before="4" w:line="348" w:lineRule="auto"/>
        <w:ind w:left="23" w:right="110"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）按合同约定的工作内容和施工进度要求，编制施工组织设计和施工</w:t>
      </w:r>
      <w:r>
        <w:rPr>
          <w:rFonts w:ascii="宋体" w:hAnsi="宋体" w:eastAsia="宋体" w:cs="宋体"/>
          <w:spacing w:val="-1"/>
          <w:sz w:val="21"/>
          <w:szCs w:val="21"/>
        </w:rPr>
        <w:t>措施计划，并</w:t>
      </w:r>
      <w:r>
        <w:rPr>
          <w:rFonts w:ascii="宋体" w:hAnsi="宋体" w:eastAsia="宋体" w:cs="宋体"/>
          <w:spacing w:val="-2"/>
          <w:sz w:val="21"/>
          <w:szCs w:val="21"/>
        </w:rPr>
        <w:t>对所有施工作业和施工方法的完备性和安全可靠性负责；</w:t>
      </w:r>
    </w:p>
    <w:p w14:paraId="68D2DF92">
      <w:pPr>
        <w:spacing w:before="20" w:line="348" w:lineRule="auto"/>
        <w:ind w:left="23" w:right="91"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5</w:t>
      </w:r>
      <w:r>
        <w:rPr>
          <w:rFonts w:ascii="宋体" w:hAnsi="宋体" w:eastAsia="宋体" w:cs="宋体"/>
          <w:sz w:val="21"/>
          <w:szCs w:val="21"/>
        </w:rPr>
        <w:t>）在进行合同约定的各项工作时，不得侵害发包人与他人使</w:t>
      </w:r>
      <w:r>
        <w:rPr>
          <w:rFonts w:ascii="宋体" w:hAnsi="宋体" w:eastAsia="宋体" w:cs="宋体"/>
          <w:spacing w:val="-1"/>
          <w:sz w:val="21"/>
          <w:szCs w:val="21"/>
        </w:rPr>
        <w:t>用公用道路、水源、市</w:t>
      </w:r>
      <w:r>
        <w:rPr>
          <w:rFonts w:ascii="宋体" w:hAnsi="宋体" w:eastAsia="宋体" w:cs="宋体"/>
          <w:spacing w:val="-2"/>
          <w:sz w:val="21"/>
          <w:szCs w:val="21"/>
        </w:rPr>
        <w:t>政管网等公共设施的权利，避免对邻近的公共设施产生干扰。承包人占用或使用</w:t>
      </w:r>
      <w:r>
        <w:rPr>
          <w:rFonts w:ascii="宋体" w:hAnsi="宋体" w:eastAsia="宋体" w:cs="宋体"/>
          <w:spacing w:val="-3"/>
          <w:sz w:val="21"/>
          <w:szCs w:val="21"/>
        </w:rPr>
        <w:t>他人的施工</w:t>
      </w:r>
      <w:r>
        <w:rPr>
          <w:rFonts w:ascii="宋体" w:hAnsi="宋体" w:eastAsia="宋体" w:cs="宋体"/>
          <w:spacing w:val="-2"/>
          <w:sz w:val="21"/>
          <w:szCs w:val="21"/>
        </w:rPr>
        <w:t>场地，影响他人作业或生活的，应承担相应责任；</w:t>
      </w:r>
    </w:p>
    <w:p w14:paraId="63A2C3A7">
      <w:pPr>
        <w:spacing w:before="12"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）按照第</w:t>
      </w:r>
      <w:r>
        <w:rPr>
          <w:rFonts w:ascii="宋体" w:hAnsi="宋体" w:eastAsia="宋体" w:cs="宋体"/>
          <w:spacing w:val="-17"/>
          <w:sz w:val="21"/>
          <w:szCs w:val="21"/>
        </w:rPr>
        <w:t xml:space="preserve"> </w:t>
      </w:r>
      <w:r>
        <w:rPr>
          <w:rFonts w:ascii="Times New Roman" w:hAnsi="Times New Roman" w:eastAsia="Times New Roman" w:cs="Times New Roman"/>
          <w:spacing w:val="-2"/>
          <w:sz w:val="21"/>
          <w:szCs w:val="21"/>
        </w:rPr>
        <w:t>6.3</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款〔环境保护〕约定负责施工场地及其周边环境与生态的保护工作；</w:t>
      </w:r>
    </w:p>
    <w:p w14:paraId="54F2CE89">
      <w:pPr>
        <w:spacing w:before="125" w:line="348" w:lineRule="auto"/>
        <w:ind w:left="27" w:firstLine="422"/>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）按第</w:t>
      </w:r>
      <w:r>
        <w:rPr>
          <w:rFonts w:ascii="宋体" w:hAnsi="宋体" w:eastAsia="宋体" w:cs="宋体"/>
          <w:spacing w:val="-23"/>
          <w:sz w:val="21"/>
          <w:szCs w:val="21"/>
        </w:rPr>
        <w:t xml:space="preserve"> </w:t>
      </w:r>
      <w:r>
        <w:rPr>
          <w:rFonts w:ascii="Times New Roman" w:hAnsi="Times New Roman" w:eastAsia="Times New Roman" w:cs="Times New Roman"/>
          <w:spacing w:val="-2"/>
          <w:sz w:val="21"/>
          <w:szCs w:val="21"/>
        </w:rPr>
        <w:t>6.1</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款〔安全文明施工〕约定采</w:t>
      </w:r>
      <w:r>
        <w:rPr>
          <w:rFonts w:ascii="宋体" w:hAnsi="宋体" w:eastAsia="宋体" w:cs="宋体"/>
          <w:spacing w:val="-3"/>
          <w:sz w:val="21"/>
          <w:szCs w:val="21"/>
        </w:rPr>
        <w:t>取施工安全措施，确保工程及其人员、材料、</w:t>
      </w:r>
      <w:r>
        <w:rPr>
          <w:rFonts w:ascii="宋体" w:hAnsi="宋体" w:eastAsia="宋体" w:cs="宋体"/>
          <w:spacing w:val="-2"/>
          <w:sz w:val="21"/>
          <w:szCs w:val="21"/>
        </w:rPr>
        <w:t>设备和设施的安全，防止因工程施工造成的人身伤害和财产损失；</w:t>
      </w:r>
    </w:p>
    <w:p w14:paraId="187D1C95">
      <w:pPr>
        <w:spacing w:before="18" w:line="335" w:lineRule="auto"/>
        <w:ind w:left="26" w:right="102" w:firstLine="423"/>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8</w:t>
      </w:r>
      <w:r>
        <w:rPr>
          <w:rFonts w:ascii="宋体" w:hAnsi="宋体" w:eastAsia="宋体" w:cs="宋体"/>
          <w:sz w:val="21"/>
          <w:szCs w:val="21"/>
        </w:rPr>
        <w:t>）将发包人按合同约定支付的各项价款专用于合同工程，且应及时支付其雇用人员</w:t>
      </w:r>
      <w:r>
        <w:rPr>
          <w:rFonts w:ascii="宋体" w:hAnsi="宋体" w:eastAsia="宋体" w:cs="宋体"/>
          <w:spacing w:val="-3"/>
          <w:sz w:val="21"/>
          <w:szCs w:val="21"/>
        </w:rPr>
        <w:t>工资，并及时向分包人支付合同价款；</w:t>
      </w:r>
    </w:p>
    <w:p w14:paraId="1B776496">
      <w:pPr>
        <w:spacing w:before="34" w:line="348" w:lineRule="auto"/>
        <w:ind w:left="44" w:right="109" w:firstLine="40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9</w:t>
      </w:r>
      <w:r>
        <w:rPr>
          <w:rFonts w:ascii="宋体" w:hAnsi="宋体" w:eastAsia="宋体" w:cs="宋体"/>
          <w:sz w:val="21"/>
          <w:szCs w:val="21"/>
        </w:rPr>
        <w:t>）按照法律规定和合同约定编制竣工资料，完成竣工资料立卷及归档，</w:t>
      </w:r>
      <w:r>
        <w:rPr>
          <w:rFonts w:ascii="宋体" w:hAnsi="宋体" w:eastAsia="宋体" w:cs="宋体"/>
          <w:spacing w:val="-1"/>
          <w:sz w:val="21"/>
          <w:szCs w:val="21"/>
        </w:rPr>
        <w:t>并按专用合</w:t>
      </w:r>
      <w:r>
        <w:rPr>
          <w:rFonts w:ascii="宋体" w:hAnsi="宋体" w:eastAsia="宋体" w:cs="宋体"/>
          <w:spacing w:val="-2"/>
          <w:sz w:val="21"/>
          <w:szCs w:val="21"/>
        </w:rPr>
        <w:t>同条款约定的竣工资料的套数、内容、时间等</w:t>
      </w:r>
      <w:r>
        <w:rPr>
          <w:rFonts w:ascii="宋体" w:hAnsi="宋体" w:eastAsia="宋体" w:cs="宋体"/>
          <w:spacing w:val="-3"/>
          <w:sz w:val="21"/>
          <w:szCs w:val="21"/>
        </w:rPr>
        <w:t>要求移交发包人；</w:t>
      </w:r>
    </w:p>
    <w:p w14:paraId="3EF79F0A">
      <w:pPr>
        <w:spacing w:before="4"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10</w:t>
      </w:r>
      <w:r>
        <w:rPr>
          <w:rFonts w:ascii="宋体" w:hAnsi="宋体" w:eastAsia="宋体" w:cs="宋体"/>
          <w:spacing w:val="-3"/>
          <w:sz w:val="21"/>
          <w:szCs w:val="21"/>
        </w:rPr>
        <w:t>）应履行的其他义务。</w:t>
      </w:r>
    </w:p>
    <w:p w14:paraId="337EF007">
      <w:pPr>
        <w:spacing w:before="114" w:line="233" w:lineRule="auto"/>
        <w:ind w:left="19"/>
        <w:outlineLvl w:val="2"/>
        <w:rPr>
          <w:rFonts w:ascii="黑体" w:hAnsi="黑体" w:eastAsia="黑体" w:cs="黑体"/>
          <w:sz w:val="24"/>
          <w:szCs w:val="24"/>
        </w:rPr>
      </w:pPr>
      <w:bookmarkStart w:id="369" w:name="bookmark320"/>
      <w:bookmarkEnd w:id="369"/>
      <w:r>
        <w:rPr>
          <w:rFonts w:ascii="Times New Roman" w:hAnsi="Times New Roman" w:eastAsia="Times New Roman" w:cs="Times New Roman"/>
          <w:b/>
          <w:bCs/>
          <w:spacing w:val="3"/>
          <w:sz w:val="24"/>
          <w:szCs w:val="24"/>
        </w:rPr>
        <w:t xml:space="preserve">3.2  </w:t>
      </w:r>
      <w:r>
        <w:rPr>
          <w:rFonts w:ascii="黑体" w:hAnsi="黑体" w:eastAsia="黑体" w:cs="黑体"/>
          <w:b/>
          <w:bCs/>
          <w:spacing w:val="3"/>
          <w:sz w:val="24"/>
          <w:szCs w:val="24"/>
        </w:rPr>
        <w:t>项目经理</w:t>
      </w:r>
    </w:p>
    <w:p w14:paraId="4105C313">
      <w:pPr>
        <w:spacing w:before="131" w:line="351" w:lineRule="auto"/>
        <w:ind w:left="24" w:right="73" w:firstLine="420"/>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3.2.1  </w:t>
      </w:r>
      <w:r>
        <w:rPr>
          <w:rFonts w:ascii="宋体" w:hAnsi="宋体" w:eastAsia="宋体" w:cs="宋体"/>
          <w:spacing w:val="1"/>
          <w:sz w:val="21"/>
          <w:szCs w:val="21"/>
        </w:rPr>
        <w:t>项目经理应为合同当事人所确认的</w:t>
      </w:r>
      <w:r>
        <w:rPr>
          <w:rFonts w:ascii="宋体" w:hAnsi="宋体" w:eastAsia="宋体" w:cs="宋体"/>
          <w:sz w:val="21"/>
          <w:szCs w:val="21"/>
        </w:rPr>
        <w:t>人选，并在专用合同条款中明确项目经理的姓</w:t>
      </w:r>
      <w:r>
        <w:rPr>
          <w:rFonts w:ascii="宋体" w:hAnsi="宋体" w:eastAsia="宋体" w:cs="宋体"/>
          <w:spacing w:val="-2"/>
          <w:sz w:val="21"/>
          <w:szCs w:val="21"/>
        </w:rPr>
        <w:t>名、职称、注册执业证书编号、联系方式及授权范围等事项，项目经理经承包人授权后代表</w:t>
      </w:r>
      <w:r>
        <w:rPr>
          <w:rFonts w:ascii="宋体" w:hAnsi="宋体" w:eastAsia="宋体" w:cs="宋体"/>
          <w:spacing w:val="-4"/>
          <w:sz w:val="21"/>
          <w:szCs w:val="21"/>
        </w:rPr>
        <w:t>承包人负责履行合同。项目经理应是承包人正式聘用的员工，</w:t>
      </w:r>
      <w:r>
        <w:rPr>
          <w:rFonts w:ascii="宋体" w:hAnsi="宋体" w:eastAsia="宋体" w:cs="宋体"/>
          <w:spacing w:val="-26"/>
          <w:sz w:val="21"/>
          <w:szCs w:val="21"/>
        </w:rPr>
        <w:t xml:space="preserve"> </w:t>
      </w:r>
      <w:r>
        <w:rPr>
          <w:rFonts w:ascii="宋体" w:hAnsi="宋体" w:eastAsia="宋体" w:cs="宋体"/>
          <w:spacing w:val="-4"/>
          <w:sz w:val="21"/>
          <w:szCs w:val="21"/>
        </w:rPr>
        <w:t>承包人应向发包人提交项目经</w:t>
      </w:r>
      <w:r>
        <w:rPr>
          <w:rFonts w:ascii="宋体" w:hAnsi="宋体" w:eastAsia="宋体" w:cs="宋体"/>
          <w:spacing w:val="-2"/>
          <w:sz w:val="21"/>
          <w:szCs w:val="21"/>
        </w:rPr>
        <w:t>理与承包人之间的劳动合同，以及承包人为项目经理缴纳社会保险的有效证明。承包人不提交上述文件的，项目经理无权履行职责，发包人有权要求更换项目经理，由此增</w:t>
      </w:r>
      <w:r>
        <w:rPr>
          <w:rFonts w:ascii="宋体" w:hAnsi="宋体" w:eastAsia="宋体" w:cs="宋体"/>
          <w:spacing w:val="-3"/>
          <w:sz w:val="21"/>
          <w:szCs w:val="21"/>
        </w:rPr>
        <w:t>加的费用和（或）延误的工期由承包人承担。</w:t>
      </w:r>
    </w:p>
    <w:p w14:paraId="5D2DD094">
      <w:pPr>
        <w:spacing w:before="3" w:line="350" w:lineRule="auto"/>
        <w:ind w:left="24" w:right="26" w:firstLine="423"/>
        <w:jc w:val="both"/>
        <w:rPr>
          <w:rFonts w:ascii="宋体" w:hAnsi="宋体" w:eastAsia="宋体" w:cs="宋体"/>
          <w:sz w:val="21"/>
          <w:szCs w:val="21"/>
        </w:rPr>
      </w:pPr>
      <w:r>
        <w:rPr>
          <w:rFonts w:ascii="宋体" w:hAnsi="宋体" w:eastAsia="宋体" w:cs="宋体"/>
          <w:spacing w:val="-1"/>
          <w:sz w:val="21"/>
          <w:szCs w:val="21"/>
        </w:rPr>
        <w:t>项目经理应常驻施工现场，且每月在施工现场时间不得少于专用合同条款约定的天数。</w:t>
      </w:r>
      <w:r>
        <w:rPr>
          <w:rFonts w:ascii="宋体" w:hAnsi="宋体" w:eastAsia="宋体" w:cs="宋体"/>
          <w:spacing w:val="-3"/>
          <w:sz w:val="21"/>
          <w:szCs w:val="21"/>
        </w:rPr>
        <w:t>项目经理不得同时担任其他项目的项目经理</w:t>
      </w:r>
      <w:r>
        <w:rPr>
          <w:rFonts w:ascii="宋体" w:hAnsi="宋体" w:eastAsia="宋体" w:cs="宋体"/>
          <w:spacing w:val="-4"/>
          <w:sz w:val="21"/>
          <w:szCs w:val="21"/>
        </w:rPr>
        <w:t>。项目经理确需离开施工现场时，</w:t>
      </w:r>
      <w:r>
        <w:rPr>
          <w:rFonts w:ascii="宋体" w:hAnsi="宋体" w:eastAsia="宋体" w:cs="宋体"/>
          <w:spacing w:val="-45"/>
          <w:sz w:val="21"/>
          <w:szCs w:val="21"/>
        </w:rPr>
        <w:t xml:space="preserve"> </w:t>
      </w:r>
      <w:r>
        <w:rPr>
          <w:rFonts w:ascii="宋体" w:hAnsi="宋体" w:eastAsia="宋体" w:cs="宋体"/>
          <w:spacing w:val="-4"/>
          <w:sz w:val="21"/>
          <w:szCs w:val="21"/>
        </w:rPr>
        <w:t>应事先通知监</w:t>
      </w:r>
      <w:r>
        <w:rPr>
          <w:rFonts w:ascii="宋体" w:hAnsi="宋体" w:eastAsia="宋体" w:cs="宋体"/>
          <w:spacing w:val="-2"/>
          <w:sz w:val="21"/>
          <w:szCs w:val="21"/>
        </w:rPr>
        <w:t>理人，并取得发包人的书面同意。项目经理的通知中应当载明临时代行其职责的人</w:t>
      </w:r>
      <w:r>
        <w:rPr>
          <w:rFonts w:ascii="宋体" w:hAnsi="宋体" w:eastAsia="宋体" w:cs="宋体"/>
          <w:spacing w:val="-3"/>
          <w:sz w:val="21"/>
          <w:szCs w:val="21"/>
        </w:rPr>
        <w:t>员的注册</w:t>
      </w:r>
      <w:r>
        <w:rPr>
          <w:rFonts w:ascii="宋体" w:hAnsi="宋体" w:eastAsia="宋体" w:cs="宋体"/>
          <w:spacing w:val="-1"/>
          <w:sz w:val="21"/>
          <w:szCs w:val="21"/>
        </w:rPr>
        <w:t>执业资格、管理经验等资料，该人员应具备履行相应职责的能力。</w:t>
      </w:r>
    </w:p>
    <w:p w14:paraId="2DD049A6">
      <w:pPr>
        <w:spacing w:line="219" w:lineRule="auto"/>
        <w:ind w:left="444"/>
        <w:rPr>
          <w:rFonts w:ascii="宋体" w:hAnsi="宋体" w:eastAsia="宋体" w:cs="宋体"/>
          <w:sz w:val="21"/>
          <w:szCs w:val="21"/>
        </w:rPr>
      </w:pPr>
      <w:r>
        <w:rPr>
          <w:rFonts w:ascii="宋体" w:hAnsi="宋体" w:eastAsia="宋体" w:cs="宋体"/>
          <w:spacing w:val="-1"/>
          <w:sz w:val="21"/>
          <w:szCs w:val="21"/>
        </w:rPr>
        <w:t>承包人违反上述约定的，应按照专用合同条款的约定，承担违约责任。</w:t>
      </w:r>
    </w:p>
    <w:p w14:paraId="3C5EA2D7">
      <w:pPr>
        <w:spacing w:before="157" w:line="349" w:lineRule="auto"/>
        <w:ind w:left="23" w:right="91" w:firstLine="421"/>
        <w:rPr>
          <w:rFonts w:ascii="宋体" w:hAnsi="宋体" w:eastAsia="宋体" w:cs="宋体"/>
          <w:sz w:val="21"/>
          <w:szCs w:val="21"/>
        </w:rPr>
      </w:pPr>
      <w:r>
        <w:rPr>
          <w:rFonts w:ascii="Times New Roman" w:hAnsi="Times New Roman" w:eastAsia="Times New Roman" w:cs="Times New Roman"/>
          <w:sz w:val="21"/>
          <w:szCs w:val="21"/>
        </w:rPr>
        <w:t xml:space="preserve">3.2.2  </w:t>
      </w:r>
      <w:r>
        <w:rPr>
          <w:rFonts w:ascii="宋体" w:hAnsi="宋体" w:eastAsia="宋体" w:cs="宋体"/>
          <w:sz w:val="21"/>
          <w:szCs w:val="21"/>
        </w:rPr>
        <w:t>项目经理按合同约定组织工程实施。在紧急情况下为确保施工安全和人员安全，</w:t>
      </w:r>
      <w:r>
        <w:rPr>
          <w:rFonts w:ascii="宋体" w:hAnsi="宋体" w:eastAsia="宋体" w:cs="宋体"/>
          <w:spacing w:val="-2"/>
          <w:sz w:val="21"/>
          <w:szCs w:val="21"/>
        </w:rPr>
        <w:t>在无法与发包人代表和总监理工程师及时取得联系时，项目经理有权采取必要</w:t>
      </w:r>
      <w:r>
        <w:rPr>
          <w:rFonts w:ascii="宋体" w:hAnsi="宋体" w:eastAsia="宋体" w:cs="宋体"/>
          <w:spacing w:val="-3"/>
          <w:sz w:val="21"/>
          <w:szCs w:val="21"/>
        </w:rPr>
        <w:t>的措施保证与</w:t>
      </w:r>
      <w:r>
        <w:rPr>
          <w:rFonts w:ascii="宋体" w:hAnsi="宋体" w:eastAsia="宋体" w:cs="宋体"/>
          <w:sz w:val="21"/>
          <w:szCs w:val="21"/>
        </w:rPr>
        <w:t>工程有关的人身、财产和工程的安全，但应在</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小时内向发包人代表和</w:t>
      </w:r>
      <w:r>
        <w:rPr>
          <w:rFonts w:ascii="宋体" w:hAnsi="宋体" w:eastAsia="宋体" w:cs="宋体"/>
          <w:spacing w:val="-1"/>
          <w:sz w:val="21"/>
          <w:szCs w:val="21"/>
        </w:rPr>
        <w:t>总监理工程师提交</w:t>
      </w:r>
      <w:r>
        <w:rPr>
          <w:rFonts w:ascii="宋体" w:hAnsi="宋体" w:eastAsia="宋体" w:cs="宋体"/>
          <w:spacing w:val="-6"/>
          <w:sz w:val="21"/>
          <w:szCs w:val="21"/>
        </w:rPr>
        <w:t>书面报告。</w:t>
      </w:r>
    </w:p>
    <w:p w14:paraId="7499FB9A">
      <w:pPr>
        <w:spacing w:before="16" w:line="355" w:lineRule="auto"/>
        <w:ind w:left="25" w:right="76" w:firstLine="419"/>
        <w:rPr>
          <w:rFonts w:ascii="宋体" w:hAnsi="宋体" w:eastAsia="宋体" w:cs="宋体"/>
          <w:sz w:val="21"/>
          <w:szCs w:val="21"/>
        </w:rPr>
      </w:pPr>
      <w:r>
        <w:rPr>
          <w:rFonts w:ascii="Times New Roman" w:hAnsi="Times New Roman" w:eastAsia="Times New Roman" w:cs="Times New Roman"/>
          <w:spacing w:val="-3"/>
          <w:sz w:val="21"/>
          <w:szCs w:val="21"/>
        </w:rPr>
        <w:t xml:space="preserve">3.2.3  </w:t>
      </w:r>
      <w:r>
        <w:rPr>
          <w:rFonts w:ascii="宋体" w:hAnsi="宋体" w:eastAsia="宋体" w:cs="宋体"/>
          <w:spacing w:val="-3"/>
          <w:sz w:val="21"/>
          <w:szCs w:val="21"/>
        </w:rPr>
        <w:t>承包人需要更换项目经理的，应提前</w:t>
      </w:r>
      <w:r>
        <w:rPr>
          <w:rFonts w:ascii="宋体" w:hAnsi="宋体" w:eastAsia="宋体" w:cs="宋体"/>
          <w:spacing w:val="-16"/>
          <w:sz w:val="21"/>
          <w:szCs w:val="21"/>
        </w:rPr>
        <w:t xml:space="preserve">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天书面通知发包人和监理人，并征得发包</w:t>
      </w:r>
      <w:r>
        <w:rPr>
          <w:rFonts w:ascii="宋体" w:hAnsi="宋体" w:eastAsia="宋体" w:cs="宋体"/>
          <w:spacing w:val="-2"/>
          <w:sz w:val="21"/>
          <w:szCs w:val="21"/>
        </w:rPr>
        <w:t>人书面同意。通知中应当载明继任项目经理的注册执业资格、管理经验等资料</w:t>
      </w:r>
      <w:r>
        <w:rPr>
          <w:rFonts w:ascii="宋体" w:hAnsi="宋体" w:eastAsia="宋体" w:cs="宋体"/>
          <w:spacing w:val="-3"/>
          <w:sz w:val="21"/>
          <w:szCs w:val="21"/>
        </w:rPr>
        <w:t>，继任项目经</w:t>
      </w:r>
      <w:r>
        <w:rPr>
          <w:rFonts w:ascii="宋体" w:hAnsi="宋体" w:eastAsia="宋体" w:cs="宋体"/>
          <w:spacing w:val="-1"/>
          <w:sz w:val="21"/>
          <w:szCs w:val="21"/>
        </w:rPr>
        <w:t>理继续履行第</w:t>
      </w:r>
      <w:r>
        <w:rPr>
          <w:rFonts w:ascii="宋体" w:hAnsi="宋体" w:eastAsia="宋体" w:cs="宋体"/>
          <w:spacing w:val="-24"/>
          <w:sz w:val="21"/>
          <w:szCs w:val="21"/>
        </w:rPr>
        <w:t xml:space="preserve"> </w:t>
      </w:r>
      <w:r>
        <w:rPr>
          <w:rFonts w:ascii="Times New Roman" w:hAnsi="Times New Roman" w:eastAsia="Times New Roman" w:cs="Times New Roman"/>
          <w:spacing w:val="-1"/>
          <w:sz w:val="21"/>
          <w:szCs w:val="21"/>
        </w:rPr>
        <w:t>3.2.1</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项约定的职责。未经发包人书面同意，承包人不得擅自更换项目经理。</w:t>
      </w:r>
    </w:p>
    <w:p w14:paraId="6A5F0945">
      <w:pPr>
        <w:spacing w:line="355" w:lineRule="auto"/>
        <w:rPr>
          <w:rFonts w:ascii="宋体" w:hAnsi="宋体" w:eastAsia="宋体" w:cs="宋体"/>
          <w:sz w:val="21"/>
          <w:szCs w:val="21"/>
        </w:rPr>
        <w:sectPr>
          <w:footerReference r:id="rId161" w:type="default"/>
          <w:pgSz w:w="11910" w:h="16845"/>
          <w:pgMar w:top="400" w:right="1692" w:bottom="1110" w:left="1786" w:header="0" w:footer="882" w:gutter="0"/>
          <w:cols w:space="720" w:num="1"/>
        </w:sectPr>
      </w:pPr>
    </w:p>
    <w:p w14:paraId="55EB0C3E">
      <w:pPr>
        <w:pStyle w:val="2"/>
        <w:spacing w:line="275" w:lineRule="auto"/>
      </w:pPr>
    </w:p>
    <w:p w14:paraId="69FBFF13">
      <w:pPr>
        <w:pStyle w:val="2"/>
        <w:spacing w:line="275" w:lineRule="auto"/>
      </w:pPr>
    </w:p>
    <w:p w14:paraId="5AF81E7D">
      <w:pPr>
        <w:pStyle w:val="2"/>
        <w:spacing w:line="275" w:lineRule="auto"/>
      </w:pPr>
    </w:p>
    <w:p w14:paraId="2540AF2C">
      <w:pPr>
        <w:pStyle w:val="2"/>
        <w:spacing w:line="275" w:lineRule="auto"/>
      </w:pPr>
    </w:p>
    <w:p w14:paraId="26AFDF04">
      <w:pPr>
        <w:spacing w:before="68" w:line="220" w:lineRule="auto"/>
        <w:ind w:left="24"/>
        <w:rPr>
          <w:rFonts w:ascii="宋体" w:hAnsi="宋体" w:eastAsia="宋体" w:cs="宋体"/>
          <w:sz w:val="21"/>
          <w:szCs w:val="21"/>
        </w:rPr>
      </w:pPr>
      <w:r>
        <w:rPr>
          <w:rFonts w:ascii="宋体" w:hAnsi="宋体" w:eastAsia="宋体" w:cs="宋体"/>
          <w:spacing w:val="-1"/>
          <w:sz w:val="21"/>
          <w:szCs w:val="21"/>
        </w:rPr>
        <w:t>承包人擅自更换项目经理的，应按照专用合同条款的约定承担违约责任。</w:t>
      </w:r>
    </w:p>
    <w:p w14:paraId="5FF84305">
      <w:pPr>
        <w:spacing w:before="155" w:line="349" w:lineRule="auto"/>
        <w:ind w:left="23" w:right="1" w:firstLine="421"/>
        <w:rPr>
          <w:rFonts w:ascii="宋体" w:hAnsi="宋体" w:eastAsia="宋体" w:cs="宋体"/>
          <w:sz w:val="21"/>
          <w:szCs w:val="21"/>
        </w:rPr>
      </w:pPr>
      <w:r>
        <w:rPr>
          <w:rFonts w:ascii="Times New Roman" w:hAnsi="Times New Roman" w:eastAsia="Times New Roman" w:cs="Times New Roman"/>
          <w:sz w:val="21"/>
          <w:szCs w:val="21"/>
        </w:rPr>
        <w:t xml:space="preserve">3.2.4  </w:t>
      </w:r>
      <w:r>
        <w:rPr>
          <w:rFonts w:ascii="宋体" w:hAnsi="宋体" w:eastAsia="宋体" w:cs="宋体"/>
          <w:sz w:val="21"/>
          <w:szCs w:val="21"/>
        </w:rPr>
        <w:t>发包人有权书面通知承包人更换其认为不称职的项目经理，通知中应当载明要求</w:t>
      </w:r>
      <w:r>
        <w:rPr>
          <w:rFonts w:ascii="宋体" w:hAnsi="宋体" w:eastAsia="宋体" w:cs="宋体"/>
          <w:spacing w:val="-1"/>
          <w:sz w:val="21"/>
          <w:szCs w:val="21"/>
        </w:rPr>
        <w:t>更换的理由。承包人应在接到更换通知后</w:t>
      </w:r>
      <w:r>
        <w:rPr>
          <w:rFonts w:ascii="宋体" w:hAnsi="宋体" w:eastAsia="宋体" w:cs="宋体"/>
          <w:spacing w:val="-12"/>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天内向发包人提出书面的改进报告。发包人收</w:t>
      </w:r>
      <w:r>
        <w:rPr>
          <w:rFonts w:ascii="宋体" w:hAnsi="宋体" w:eastAsia="宋体" w:cs="宋体"/>
          <w:sz w:val="21"/>
          <w:szCs w:val="21"/>
        </w:rPr>
        <w:t>到改进报告后仍要求更换的，承包人应在接到第二次更换通知的</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天内</w:t>
      </w:r>
      <w:r>
        <w:rPr>
          <w:rFonts w:ascii="宋体" w:hAnsi="宋体" w:eastAsia="宋体" w:cs="宋体"/>
          <w:spacing w:val="-1"/>
          <w:sz w:val="21"/>
          <w:szCs w:val="21"/>
        </w:rPr>
        <w:t>进行更换，并将新</w:t>
      </w:r>
      <w:r>
        <w:rPr>
          <w:rFonts w:ascii="宋体" w:hAnsi="宋体" w:eastAsia="宋体" w:cs="宋体"/>
          <w:spacing w:val="-4"/>
          <w:sz w:val="21"/>
          <w:szCs w:val="21"/>
        </w:rPr>
        <w:t>任命的项目经理的注册执业资格、管理经验等资料书面通知发包人。</w:t>
      </w:r>
      <w:r>
        <w:rPr>
          <w:rFonts w:ascii="宋体" w:hAnsi="宋体" w:eastAsia="宋体" w:cs="宋体"/>
          <w:spacing w:val="-32"/>
          <w:sz w:val="21"/>
          <w:szCs w:val="21"/>
        </w:rPr>
        <w:t xml:space="preserve"> </w:t>
      </w:r>
      <w:r>
        <w:rPr>
          <w:rFonts w:ascii="宋体" w:hAnsi="宋体" w:eastAsia="宋体" w:cs="宋体"/>
          <w:spacing w:val="-4"/>
          <w:sz w:val="21"/>
          <w:szCs w:val="21"/>
        </w:rPr>
        <w:t>继任项目经理继续履行</w:t>
      </w:r>
      <w:r>
        <w:rPr>
          <w:rFonts w:ascii="宋体" w:hAnsi="宋体" w:eastAsia="宋体" w:cs="宋体"/>
          <w:sz w:val="21"/>
          <w:szCs w:val="21"/>
        </w:rPr>
        <w:t>第</w:t>
      </w:r>
      <w:r>
        <w:rPr>
          <w:rFonts w:ascii="宋体" w:hAnsi="宋体" w:eastAsia="宋体" w:cs="宋体"/>
          <w:spacing w:val="-33"/>
          <w:sz w:val="21"/>
          <w:szCs w:val="21"/>
        </w:rPr>
        <w:t xml:space="preserve"> </w:t>
      </w:r>
      <w:r>
        <w:rPr>
          <w:rFonts w:ascii="Times New Roman" w:hAnsi="Times New Roman" w:eastAsia="Times New Roman" w:cs="Times New Roman"/>
          <w:sz w:val="21"/>
          <w:szCs w:val="21"/>
        </w:rPr>
        <w:t>3.2.1</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项约定的职责。承包人无正当理由拒绝更换项目经理的，应按照专用合同条款的约</w:t>
      </w:r>
      <w:r>
        <w:rPr>
          <w:rFonts w:ascii="宋体" w:hAnsi="宋体" w:eastAsia="宋体" w:cs="宋体"/>
          <w:spacing w:val="-4"/>
          <w:sz w:val="21"/>
          <w:szCs w:val="21"/>
        </w:rPr>
        <w:t>定承担违约责任。</w:t>
      </w:r>
    </w:p>
    <w:p w14:paraId="1DEB6732">
      <w:pPr>
        <w:spacing w:before="20" w:line="344" w:lineRule="auto"/>
        <w:ind w:left="27" w:right="16"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3.2.5  </w:t>
      </w:r>
      <w:r>
        <w:rPr>
          <w:rFonts w:ascii="宋体" w:hAnsi="宋体" w:eastAsia="宋体" w:cs="宋体"/>
          <w:spacing w:val="1"/>
          <w:sz w:val="21"/>
          <w:szCs w:val="21"/>
        </w:rPr>
        <w:t>项目经理因特殊情况授权其下属人</w:t>
      </w:r>
      <w:r>
        <w:rPr>
          <w:rFonts w:ascii="宋体" w:hAnsi="宋体" w:eastAsia="宋体" w:cs="宋体"/>
          <w:sz w:val="21"/>
          <w:szCs w:val="21"/>
        </w:rPr>
        <w:t>员履行其某项工作职责的，该下属人员应具备</w:t>
      </w:r>
      <w:r>
        <w:rPr>
          <w:rFonts w:ascii="宋体" w:hAnsi="宋体" w:eastAsia="宋体" w:cs="宋体"/>
          <w:spacing w:val="-3"/>
          <w:sz w:val="21"/>
          <w:szCs w:val="21"/>
        </w:rPr>
        <w:t>履行相应职责的能力，并应提前</w:t>
      </w:r>
      <w:r>
        <w:rPr>
          <w:rFonts w:ascii="宋体" w:hAnsi="宋体" w:eastAsia="宋体" w:cs="宋体"/>
          <w:spacing w:val="-38"/>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天将上述人员的姓名和授权范围书面通知监理人，并征得</w:t>
      </w:r>
      <w:r>
        <w:rPr>
          <w:rFonts w:ascii="宋体" w:hAnsi="宋体" w:eastAsia="宋体" w:cs="宋体"/>
          <w:spacing w:val="-5"/>
          <w:sz w:val="21"/>
          <w:szCs w:val="21"/>
        </w:rPr>
        <w:t>发包人书面同意。</w:t>
      </w:r>
    </w:p>
    <w:p w14:paraId="0D904219">
      <w:pPr>
        <w:spacing w:before="1" w:line="232" w:lineRule="auto"/>
        <w:ind w:left="19"/>
        <w:outlineLvl w:val="2"/>
        <w:rPr>
          <w:rFonts w:ascii="黑体" w:hAnsi="黑体" w:eastAsia="黑体" w:cs="黑体"/>
          <w:sz w:val="24"/>
          <w:szCs w:val="24"/>
        </w:rPr>
      </w:pPr>
      <w:bookmarkStart w:id="370" w:name="bookmark321"/>
      <w:bookmarkEnd w:id="370"/>
      <w:r>
        <w:rPr>
          <w:rFonts w:ascii="Times New Roman" w:hAnsi="Times New Roman" w:eastAsia="Times New Roman" w:cs="Times New Roman"/>
          <w:b/>
          <w:bCs/>
          <w:spacing w:val="3"/>
          <w:sz w:val="24"/>
          <w:szCs w:val="24"/>
        </w:rPr>
        <w:t xml:space="preserve">3.3  </w:t>
      </w:r>
      <w:r>
        <w:rPr>
          <w:rFonts w:ascii="黑体" w:hAnsi="黑体" w:eastAsia="黑体" w:cs="黑体"/>
          <w:b/>
          <w:bCs/>
          <w:spacing w:val="3"/>
          <w:sz w:val="24"/>
          <w:szCs w:val="24"/>
        </w:rPr>
        <w:t>承包人人员</w:t>
      </w:r>
    </w:p>
    <w:p w14:paraId="73C7C828">
      <w:pPr>
        <w:spacing w:before="116" w:line="353" w:lineRule="auto"/>
        <w:ind w:left="24" w:firstLine="420"/>
        <w:rPr>
          <w:rFonts w:ascii="宋体" w:hAnsi="宋体" w:eastAsia="宋体" w:cs="宋体"/>
          <w:sz w:val="21"/>
          <w:szCs w:val="21"/>
        </w:rPr>
      </w:pPr>
      <w:r>
        <w:rPr>
          <w:rFonts w:ascii="Times New Roman" w:hAnsi="Times New Roman" w:eastAsia="Times New Roman" w:cs="Times New Roman"/>
          <w:sz w:val="21"/>
          <w:szCs w:val="21"/>
        </w:rPr>
        <w:t xml:space="preserve">3.3.1  </w:t>
      </w:r>
      <w:r>
        <w:rPr>
          <w:rFonts w:ascii="宋体" w:hAnsi="宋体" w:eastAsia="宋体" w:cs="宋体"/>
          <w:sz w:val="21"/>
          <w:szCs w:val="21"/>
        </w:rPr>
        <w:t>除专用合同条款另有约定外，承包人应在接到开工通知后</w:t>
      </w:r>
      <w:r>
        <w:rPr>
          <w:rFonts w:ascii="宋体" w:hAnsi="宋体" w:eastAsia="宋体" w:cs="宋体"/>
          <w:spacing w:val="-41"/>
          <w:sz w:val="21"/>
          <w:szCs w:val="21"/>
        </w:rPr>
        <w:t xml:space="preserve"> </w:t>
      </w:r>
      <w:r>
        <w:rPr>
          <w:rFonts w:ascii="Times New Roman" w:hAnsi="Times New Roman" w:eastAsia="Times New Roman" w:cs="Times New Roman"/>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天内，向监理人提交</w:t>
      </w:r>
      <w:r>
        <w:rPr>
          <w:rFonts w:ascii="宋体" w:hAnsi="宋体" w:eastAsia="宋体" w:cs="宋体"/>
          <w:spacing w:val="-2"/>
          <w:sz w:val="21"/>
          <w:szCs w:val="21"/>
        </w:rPr>
        <w:t>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w:t>
      </w:r>
      <w:r>
        <w:rPr>
          <w:rFonts w:ascii="宋体" w:hAnsi="宋体" w:eastAsia="宋体" w:cs="宋体"/>
          <w:spacing w:val="-3"/>
          <w:sz w:val="21"/>
          <w:szCs w:val="21"/>
        </w:rPr>
        <w:t>关系证明和缴纳社会</w:t>
      </w:r>
      <w:r>
        <w:rPr>
          <w:rFonts w:ascii="宋体" w:hAnsi="宋体" w:eastAsia="宋体" w:cs="宋体"/>
          <w:spacing w:val="-4"/>
          <w:sz w:val="21"/>
          <w:szCs w:val="21"/>
        </w:rPr>
        <w:t>保险的有效证明。</w:t>
      </w:r>
    </w:p>
    <w:p w14:paraId="3EE1301F">
      <w:pPr>
        <w:spacing w:before="1" w:line="350" w:lineRule="auto"/>
        <w:ind w:left="24" w:right="2"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3.3.2  </w:t>
      </w:r>
      <w:r>
        <w:rPr>
          <w:rFonts w:ascii="宋体" w:hAnsi="宋体" w:eastAsia="宋体" w:cs="宋体"/>
          <w:spacing w:val="1"/>
          <w:sz w:val="21"/>
          <w:szCs w:val="21"/>
        </w:rPr>
        <w:t>承包人派驻到施工现场的主要施工管理人员应相对稳定。施工过程</w:t>
      </w:r>
      <w:r>
        <w:rPr>
          <w:rFonts w:ascii="宋体" w:hAnsi="宋体" w:eastAsia="宋体" w:cs="宋体"/>
          <w:sz w:val="21"/>
          <w:szCs w:val="21"/>
        </w:rPr>
        <w:t>中如有变动，</w:t>
      </w:r>
      <w:r>
        <w:rPr>
          <w:rFonts w:ascii="宋体" w:hAnsi="宋体" w:eastAsia="宋体" w:cs="宋体"/>
          <w:spacing w:val="3"/>
          <w:sz w:val="21"/>
          <w:szCs w:val="21"/>
        </w:rPr>
        <w:t>承包人应及时向监理人提交施工现场人员变动情况的报告。承包人更</w:t>
      </w:r>
      <w:r>
        <w:rPr>
          <w:rFonts w:ascii="宋体" w:hAnsi="宋体" w:eastAsia="宋体" w:cs="宋体"/>
          <w:spacing w:val="2"/>
          <w:sz w:val="21"/>
          <w:szCs w:val="21"/>
        </w:rPr>
        <w:t>换主要施工管理人员</w:t>
      </w:r>
      <w:r>
        <w:rPr>
          <w:rFonts w:ascii="宋体" w:hAnsi="宋体" w:eastAsia="宋体" w:cs="宋体"/>
          <w:spacing w:val="-3"/>
          <w:sz w:val="21"/>
          <w:szCs w:val="21"/>
        </w:rPr>
        <w:t>时，应提前</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天书面通知监理人，并征得发包人书面同意。通知中应当载明继任人员的注册执业资格、管理经验等资料。</w:t>
      </w:r>
    </w:p>
    <w:p w14:paraId="7CC5CC68">
      <w:pPr>
        <w:spacing w:line="220" w:lineRule="auto"/>
        <w:ind w:left="444"/>
        <w:rPr>
          <w:rFonts w:ascii="宋体" w:hAnsi="宋体" w:eastAsia="宋体" w:cs="宋体"/>
          <w:sz w:val="21"/>
          <w:szCs w:val="21"/>
        </w:rPr>
      </w:pPr>
      <w:r>
        <w:rPr>
          <w:rFonts w:ascii="宋体" w:hAnsi="宋体" w:eastAsia="宋体" w:cs="宋体"/>
          <w:spacing w:val="-1"/>
          <w:sz w:val="21"/>
          <w:szCs w:val="21"/>
        </w:rPr>
        <w:t>特殊工种作业人员均应持有相应的资格证明，监理人可以随时检查。</w:t>
      </w:r>
    </w:p>
    <w:p w14:paraId="338BC230">
      <w:pPr>
        <w:spacing w:before="154" w:line="352" w:lineRule="auto"/>
        <w:ind w:left="23" w:right="15" w:firstLine="421"/>
        <w:rPr>
          <w:rFonts w:ascii="宋体" w:hAnsi="宋体" w:eastAsia="宋体" w:cs="宋体"/>
          <w:sz w:val="21"/>
          <w:szCs w:val="21"/>
        </w:rPr>
      </w:pPr>
      <w:r>
        <w:rPr>
          <w:rFonts w:ascii="Times New Roman" w:hAnsi="Times New Roman" w:eastAsia="Times New Roman" w:cs="Times New Roman"/>
          <w:sz w:val="21"/>
          <w:szCs w:val="21"/>
        </w:rPr>
        <w:t xml:space="preserve">3.3.3  </w:t>
      </w:r>
      <w:r>
        <w:rPr>
          <w:rFonts w:ascii="宋体" w:hAnsi="宋体" w:eastAsia="宋体" w:cs="宋体"/>
          <w:sz w:val="21"/>
          <w:szCs w:val="21"/>
        </w:rPr>
        <w:t>发包人对于承包人主要施工管理人员的资格或能力有异议的，承包人应提供资料</w:t>
      </w:r>
      <w:r>
        <w:rPr>
          <w:rFonts w:ascii="宋体" w:hAnsi="宋体" w:eastAsia="宋体" w:cs="宋体"/>
          <w:spacing w:val="-2"/>
          <w:sz w:val="21"/>
          <w:szCs w:val="21"/>
        </w:rPr>
        <w:t>证明被质疑人员有能力完成其岗位工作或不存在发包人所质疑的情形。发包人要求撤换不能按照合同约定履行职责及义务的主要施工管理人员的，承包人应当撤换。承包人无正当理由</w:t>
      </w:r>
      <w:r>
        <w:rPr>
          <w:rFonts w:ascii="宋体" w:hAnsi="宋体" w:eastAsia="宋体" w:cs="宋体"/>
          <w:spacing w:val="-1"/>
          <w:sz w:val="21"/>
          <w:szCs w:val="21"/>
        </w:rPr>
        <w:t>拒绝撤换的，应按照专用合同条款的约定承担违约责任。</w:t>
      </w:r>
    </w:p>
    <w:p w14:paraId="60CB5604">
      <w:pPr>
        <w:spacing w:before="5" w:line="350" w:lineRule="auto"/>
        <w:ind w:left="25" w:right="7"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3.3.4  </w:t>
      </w:r>
      <w:r>
        <w:rPr>
          <w:rFonts w:ascii="宋体" w:hAnsi="宋体" w:eastAsia="宋体" w:cs="宋体"/>
          <w:spacing w:val="1"/>
          <w:sz w:val="21"/>
          <w:szCs w:val="21"/>
        </w:rPr>
        <w:t>除专用合同条款另有约定外，承包</w:t>
      </w:r>
      <w:r>
        <w:rPr>
          <w:rFonts w:ascii="宋体" w:hAnsi="宋体" w:eastAsia="宋体" w:cs="宋体"/>
          <w:sz w:val="21"/>
          <w:szCs w:val="21"/>
        </w:rPr>
        <w:t>人的主要施工管理人员离开施工现场每月累计</w:t>
      </w:r>
      <w:r>
        <w:rPr>
          <w:rFonts w:ascii="宋体" w:hAnsi="宋体" w:eastAsia="宋体" w:cs="宋体"/>
          <w:spacing w:val="-3"/>
          <w:sz w:val="21"/>
          <w:szCs w:val="21"/>
        </w:rPr>
        <w:t>不超过</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天的，应报监理人同意；离开施工现场每月累计超过</w:t>
      </w:r>
      <w:r>
        <w:rPr>
          <w:rFonts w:ascii="宋体" w:hAnsi="宋体" w:eastAsia="宋体" w:cs="宋体"/>
          <w:spacing w:val="-53"/>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w:t>
      </w:r>
      <w:r>
        <w:rPr>
          <w:rFonts w:ascii="宋体" w:hAnsi="宋体" w:eastAsia="宋体" w:cs="宋体"/>
          <w:spacing w:val="-4"/>
          <w:sz w:val="21"/>
          <w:szCs w:val="21"/>
        </w:rPr>
        <w:t>的，应通知监理人，并征</w:t>
      </w:r>
      <w:r>
        <w:rPr>
          <w:rFonts w:ascii="宋体" w:hAnsi="宋体" w:eastAsia="宋体" w:cs="宋体"/>
          <w:spacing w:val="-2"/>
          <w:sz w:val="21"/>
          <w:szCs w:val="21"/>
        </w:rPr>
        <w:t>得发包人书面同意。主要施工管理人员离开施工现场前应指定一名有经验的人员临时代</w:t>
      </w:r>
      <w:r>
        <w:rPr>
          <w:rFonts w:ascii="宋体" w:hAnsi="宋体" w:eastAsia="宋体" w:cs="宋体"/>
          <w:spacing w:val="-3"/>
          <w:sz w:val="21"/>
          <w:szCs w:val="21"/>
        </w:rPr>
        <w:t>行其</w:t>
      </w:r>
      <w:r>
        <w:rPr>
          <w:rFonts w:ascii="宋体" w:hAnsi="宋体" w:eastAsia="宋体" w:cs="宋体"/>
          <w:spacing w:val="-1"/>
          <w:sz w:val="21"/>
          <w:szCs w:val="21"/>
        </w:rPr>
        <w:t>职责，该人员应具备履行相应职责的资格和能力，且应征得监理人或发包人的同意。</w:t>
      </w:r>
    </w:p>
    <w:p w14:paraId="08FA48F3">
      <w:pPr>
        <w:spacing w:line="345" w:lineRule="auto"/>
        <w:ind w:left="25" w:right="16"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3.3.5  </w:t>
      </w:r>
      <w:r>
        <w:rPr>
          <w:rFonts w:ascii="宋体" w:hAnsi="宋体" w:eastAsia="宋体" w:cs="宋体"/>
          <w:spacing w:val="1"/>
          <w:sz w:val="21"/>
          <w:szCs w:val="21"/>
        </w:rPr>
        <w:t>承包人擅自更换主要施工管理人员</w:t>
      </w:r>
      <w:r>
        <w:rPr>
          <w:rFonts w:ascii="宋体" w:hAnsi="宋体" w:eastAsia="宋体" w:cs="宋体"/>
          <w:sz w:val="21"/>
          <w:szCs w:val="21"/>
        </w:rPr>
        <w:t>，或前述人员未经监理人或发包人同意擅自离</w:t>
      </w:r>
      <w:r>
        <w:rPr>
          <w:rFonts w:ascii="宋体" w:hAnsi="宋体" w:eastAsia="宋体" w:cs="宋体"/>
          <w:spacing w:val="-1"/>
          <w:sz w:val="21"/>
          <w:szCs w:val="21"/>
        </w:rPr>
        <w:t>开施工现场的，应按照专用合同条款约定承担违约</w:t>
      </w:r>
      <w:r>
        <w:rPr>
          <w:rFonts w:ascii="宋体" w:hAnsi="宋体" w:eastAsia="宋体" w:cs="宋体"/>
          <w:spacing w:val="-2"/>
          <w:sz w:val="21"/>
          <w:szCs w:val="21"/>
        </w:rPr>
        <w:t>责任。</w:t>
      </w:r>
    </w:p>
    <w:p w14:paraId="6BB131BE">
      <w:pPr>
        <w:spacing w:before="1" w:line="232" w:lineRule="auto"/>
        <w:ind w:left="19"/>
        <w:outlineLvl w:val="2"/>
        <w:rPr>
          <w:rFonts w:ascii="黑体" w:hAnsi="黑体" w:eastAsia="黑体" w:cs="黑体"/>
          <w:sz w:val="24"/>
          <w:szCs w:val="24"/>
        </w:rPr>
      </w:pPr>
      <w:bookmarkStart w:id="371" w:name="bookmark322"/>
      <w:bookmarkEnd w:id="371"/>
      <w:r>
        <w:rPr>
          <w:rFonts w:ascii="Times New Roman" w:hAnsi="Times New Roman" w:eastAsia="Times New Roman" w:cs="Times New Roman"/>
          <w:b/>
          <w:bCs/>
          <w:spacing w:val="2"/>
          <w:sz w:val="24"/>
          <w:szCs w:val="24"/>
        </w:rPr>
        <w:t xml:space="preserve">3.4  </w:t>
      </w:r>
      <w:r>
        <w:rPr>
          <w:rFonts w:ascii="黑体" w:hAnsi="黑体" w:eastAsia="黑体" w:cs="黑体"/>
          <w:b/>
          <w:bCs/>
          <w:spacing w:val="2"/>
          <w:sz w:val="24"/>
          <w:szCs w:val="24"/>
        </w:rPr>
        <w:t>承包人现场查勘</w:t>
      </w:r>
    </w:p>
    <w:p w14:paraId="33B5C285">
      <w:pPr>
        <w:spacing w:before="114" w:line="348" w:lineRule="auto"/>
        <w:ind w:left="25" w:right="6" w:firstLine="419"/>
        <w:rPr>
          <w:rFonts w:ascii="宋体" w:hAnsi="宋体" w:eastAsia="宋体" w:cs="宋体"/>
          <w:sz w:val="21"/>
          <w:szCs w:val="21"/>
        </w:rPr>
      </w:pPr>
      <w:r>
        <w:rPr>
          <w:rFonts w:ascii="宋体" w:hAnsi="宋体" w:eastAsia="宋体" w:cs="宋体"/>
          <w:sz w:val="21"/>
          <w:szCs w:val="21"/>
        </w:rPr>
        <w:t>承包人应对基于发包人按照第</w:t>
      </w:r>
      <w:r>
        <w:rPr>
          <w:rFonts w:ascii="宋体" w:hAnsi="宋体" w:eastAsia="宋体" w:cs="宋体"/>
          <w:spacing w:val="-39"/>
          <w:sz w:val="21"/>
          <w:szCs w:val="21"/>
        </w:rPr>
        <w:t xml:space="preserve"> </w:t>
      </w:r>
      <w:r>
        <w:rPr>
          <w:rFonts w:ascii="Times New Roman" w:hAnsi="Times New Roman" w:eastAsia="Times New Roman" w:cs="Times New Roman"/>
          <w:sz w:val="21"/>
          <w:szCs w:val="21"/>
        </w:rPr>
        <w:t>2.4.3</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项〔提供基础资料〕提交的基础资料所做出的解释</w:t>
      </w:r>
      <w:r>
        <w:rPr>
          <w:rFonts w:ascii="宋体" w:hAnsi="宋体" w:eastAsia="宋体" w:cs="宋体"/>
          <w:spacing w:val="-2"/>
          <w:sz w:val="21"/>
          <w:szCs w:val="21"/>
        </w:rPr>
        <w:t>和推断负责，但因基础资料存在错误、遗漏导致承包人解释或推断失实的，由发</w:t>
      </w:r>
      <w:r>
        <w:rPr>
          <w:rFonts w:ascii="宋体" w:hAnsi="宋体" w:eastAsia="宋体" w:cs="宋体"/>
          <w:spacing w:val="-3"/>
          <w:sz w:val="21"/>
          <w:szCs w:val="21"/>
        </w:rPr>
        <w:t>包人承担责</w:t>
      </w:r>
    </w:p>
    <w:p w14:paraId="56DE7D67">
      <w:pPr>
        <w:spacing w:line="348" w:lineRule="auto"/>
        <w:rPr>
          <w:rFonts w:ascii="宋体" w:hAnsi="宋体" w:eastAsia="宋体" w:cs="宋体"/>
          <w:sz w:val="21"/>
          <w:szCs w:val="21"/>
        </w:rPr>
        <w:sectPr>
          <w:footerReference r:id="rId162" w:type="default"/>
          <w:pgSz w:w="11910" w:h="16845"/>
          <w:pgMar w:top="400" w:right="1762" w:bottom="1110" w:left="1786" w:header="0" w:footer="882" w:gutter="0"/>
          <w:cols w:space="720" w:num="1"/>
        </w:sectPr>
      </w:pPr>
    </w:p>
    <w:p w14:paraId="4B095B4C">
      <w:pPr>
        <w:pStyle w:val="2"/>
        <w:spacing w:line="275" w:lineRule="auto"/>
      </w:pPr>
    </w:p>
    <w:p w14:paraId="32056B8A">
      <w:pPr>
        <w:pStyle w:val="2"/>
        <w:spacing w:line="275" w:lineRule="auto"/>
      </w:pPr>
    </w:p>
    <w:p w14:paraId="4A947CC5">
      <w:pPr>
        <w:pStyle w:val="2"/>
        <w:spacing w:line="275" w:lineRule="auto"/>
      </w:pPr>
    </w:p>
    <w:p w14:paraId="103CB03B">
      <w:pPr>
        <w:pStyle w:val="2"/>
        <w:spacing w:line="275" w:lineRule="auto"/>
      </w:pPr>
    </w:p>
    <w:p w14:paraId="129E7E6C">
      <w:pPr>
        <w:spacing w:before="68" w:line="220" w:lineRule="auto"/>
        <w:ind w:left="23"/>
        <w:rPr>
          <w:rFonts w:ascii="宋体" w:hAnsi="宋体" w:eastAsia="宋体" w:cs="宋体"/>
          <w:sz w:val="21"/>
          <w:szCs w:val="21"/>
        </w:rPr>
      </w:pPr>
      <w:r>
        <w:rPr>
          <w:rFonts w:ascii="宋体" w:hAnsi="宋体" w:eastAsia="宋体" w:cs="宋体"/>
          <w:spacing w:val="-10"/>
          <w:sz w:val="21"/>
          <w:szCs w:val="21"/>
        </w:rPr>
        <w:t>任。</w:t>
      </w:r>
    </w:p>
    <w:p w14:paraId="7C76DC7B">
      <w:pPr>
        <w:spacing w:before="156" w:line="344" w:lineRule="auto"/>
        <w:ind w:left="23" w:right="52" w:firstLine="421"/>
        <w:jc w:val="both"/>
        <w:rPr>
          <w:rFonts w:ascii="宋体" w:hAnsi="宋体" w:eastAsia="宋体" w:cs="宋体"/>
          <w:sz w:val="21"/>
          <w:szCs w:val="21"/>
        </w:rPr>
      </w:pPr>
      <w:r>
        <w:rPr>
          <w:rFonts w:ascii="宋体" w:hAnsi="宋体" w:eastAsia="宋体" w:cs="宋体"/>
          <w:spacing w:val="-2"/>
          <w:sz w:val="21"/>
          <w:szCs w:val="21"/>
        </w:rPr>
        <w:t>承包人应对施工现场和施工条件进行查勘，并充分了解工程所在地的气象</w:t>
      </w:r>
      <w:r>
        <w:rPr>
          <w:rFonts w:ascii="宋体" w:hAnsi="宋体" w:eastAsia="宋体" w:cs="宋体"/>
          <w:spacing w:val="-3"/>
          <w:sz w:val="21"/>
          <w:szCs w:val="21"/>
        </w:rPr>
        <w:t>条件、交通条</w:t>
      </w:r>
      <w:r>
        <w:rPr>
          <w:rFonts w:ascii="宋体" w:hAnsi="宋体" w:eastAsia="宋体" w:cs="宋体"/>
          <w:spacing w:val="-2"/>
          <w:sz w:val="21"/>
          <w:szCs w:val="21"/>
        </w:rPr>
        <w:t>件、风俗习惯以及其他与完成合同工作有关的其他资料。因承包人未能充分查勘、</w:t>
      </w:r>
      <w:r>
        <w:rPr>
          <w:rFonts w:ascii="宋体" w:hAnsi="宋体" w:eastAsia="宋体" w:cs="宋体"/>
          <w:spacing w:val="-3"/>
          <w:sz w:val="21"/>
          <w:szCs w:val="21"/>
        </w:rPr>
        <w:t>了解前述</w:t>
      </w:r>
      <w:r>
        <w:rPr>
          <w:rFonts w:ascii="宋体" w:hAnsi="宋体" w:eastAsia="宋体" w:cs="宋体"/>
          <w:spacing w:val="-2"/>
          <w:sz w:val="21"/>
          <w:szCs w:val="21"/>
        </w:rPr>
        <w:t>情况或未能充分估计前述情况所可能产生后果的，承包人承担由此增加的费用和（或）延误</w:t>
      </w:r>
      <w:r>
        <w:rPr>
          <w:rFonts w:ascii="宋体" w:hAnsi="宋体" w:eastAsia="宋体" w:cs="宋体"/>
          <w:spacing w:val="-7"/>
          <w:sz w:val="21"/>
          <w:szCs w:val="21"/>
        </w:rPr>
        <w:t>的工期。</w:t>
      </w:r>
    </w:p>
    <w:p w14:paraId="3AF56225">
      <w:pPr>
        <w:spacing w:line="233" w:lineRule="auto"/>
        <w:ind w:left="19"/>
        <w:outlineLvl w:val="2"/>
        <w:rPr>
          <w:rFonts w:ascii="黑体" w:hAnsi="黑体" w:eastAsia="黑体" w:cs="黑体"/>
          <w:sz w:val="24"/>
          <w:szCs w:val="24"/>
        </w:rPr>
      </w:pPr>
      <w:bookmarkStart w:id="372" w:name="bookmark323"/>
      <w:bookmarkEnd w:id="372"/>
      <w:r>
        <w:rPr>
          <w:rFonts w:ascii="Times New Roman" w:hAnsi="Times New Roman" w:eastAsia="Times New Roman" w:cs="Times New Roman"/>
          <w:b/>
          <w:bCs/>
          <w:spacing w:val="-2"/>
          <w:sz w:val="24"/>
          <w:szCs w:val="24"/>
        </w:rPr>
        <w:t>3.5</w:t>
      </w:r>
      <w:r>
        <w:rPr>
          <w:rFonts w:ascii="Times New Roman" w:hAnsi="Times New Roman" w:eastAsia="Times New Roman" w:cs="Times New Roman"/>
          <w:b/>
          <w:bCs/>
          <w:spacing w:val="8"/>
          <w:sz w:val="24"/>
          <w:szCs w:val="24"/>
        </w:rPr>
        <w:t xml:space="preserve">  </w:t>
      </w:r>
      <w:r>
        <w:rPr>
          <w:rFonts w:ascii="黑体" w:hAnsi="黑体" w:eastAsia="黑体" w:cs="黑体"/>
          <w:b/>
          <w:bCs/>
          <w:spacing w:val="-2"/>
          <w:sz w:val="24"/>
          <w:szCs w:val="24"/>
        </w:rPr>
        <w:t>分包</w:t>
      </w:r>
    </w:p>
    <w:p w14:paraId="4759FDDF">
      <w:pPr>
        <w:spacing w:before="128" w:line="234" w:lineRule="auto"/>
        <w:ind w:left="445"/>
        <w:rPr>
          <w:rFonts w:ascii="宋体" w:hAnsi="宋体" w:eastAsia="宋体" w:cs="宋体"/>
          <w:sz w:val="21"/>
          <w:szCs w:val="21"/>
        </w:rPr>
      </w:pPr>
      <w:r>
        <w:rPr>
          <w:rFonts w:ascii="Times New Roman" w:hAnsi="Times New Roman" w:eastAsia="Times New Roman" w:cs="Times New Roman"/>
          <w:spacing w:val="-1"/>
          <w:sz w:val="21"/>
          <w:szCs w:val="21"/>
        </w:rPr>
        <w:t>3.5.1</w:t>
      </w:r>
      <w:r>
        <w:rPr>
          <w:rFonts w:ascii="Times New Roman" w:hAnsi="Times New Roman" w:eastAsia="Times New Roman" w:cs="Times New Roman"/>
          <w:spacing w:val="58"/>
          <w:sz w:val="21"/>
          <w:szCs w:val="21"/>
        </w:rPr>
        <w:t xml:space="preserve"> </w:t>
      </w:r>
      <w:r>
        <w:rPr>
          <w:rFonts w:ascii="宋体" w:hAnsi="宋体" w:eastAsia="宋体" w:cs="宋体"/>
          <w:spacing w:val="-1"/>
          <w:sz w:val="21"/>
          <w:szCs w:val="21"/>
        </w:rPr>
        <w:t>分包的一般约定</w:t>
      </w:r>
    </w:p>
    <w:p w14:paraId="2BF0D31A">
      <w:pPr>
        <w:spacing w:before="137" w:line="350" w:lineRule="auto"/>
        <w:ind w:left="25" w:right="52" w:firstLine="419"/>
        <w:rPr>
          <w:rFonts w:ascii="宋体" w:hAnsi="宋体" w:eastAsia="宋体" w:cs="宋体"/>
          <w:sz w:val="21"/>
          <w:szCs w:val="21"/>
        </w:rPr>
      </w:pPr>
      <w:r>
        <w:rPr>
          <w:rFonts w:ascii="宋体" w:hAnsi="宋体" w:eastAsia="宋体" w:cs="宋体"/>
          <w:spacing w:val="-2"/>
          <w:sz w:val="21"/>
          <w:szCs w:val="21"/>
        </w:rPr>
        <w:t>承包人不得将其承包的全部工程转包给第三人，或将其承包的全部工程肢</w:t>
      </w:r>
      <w:r>
        <w:rPr>
          <w:rFonts w:ascii="宋体" w:hAnsi="宋体" w:eastAsia="宋体" w:cs="宋体"/>
          <w:spacing w:val="-3"/>
          <w:sz w:val="21"/>
          <w:szCs w:val="21"/>
        </w:rPr>
        <w:t>解后以分包的</w:t>
      </w:r>
      <w:r>
        <w:rPr>
          <w:rFonts w:ascii="宋体" w:hAnsi="宋体" w:eastAsia="宋体" w:cs="宋体"/>
          <w:spacing w:val="-2"/>
          <w:sz w:val="21"/>
          <w:szCs w:val="21"/>
        </w:rPr>
        <w:t>名义转包给第三人。承包人不得将工程主体结构、关键性工作及专用合同</w:t>
      </w:r>
      <w:r>
        <w:rPr>
          <w:rFonts w:ascii="宋体" w:hAnsi="宋体" w:eastAsia="宋体" w:cs="宋体"/>
          <w:spacing w:val="-3"/>
          <w:sz w:val="21"/>
          <w:szCs w:val="21"/>
        </w:rPr>
        <w:t>条款中禁止分包的</w:t>
      </w:r>
      <w:r>
        <w:rPr>
          <w:rFonts w:ascii="宋体" w:hAnsi="宋体" w:eastAsia="宋体" w:cs="宋体"/>
          <w:spacing w:val="-2"/>
          <w:sz w:val="21"/>
          <w:szCs w:val="21"/>
        </w:rPr>
        <w:t>专业工程分包给第三人，主体结构、关键性工作的范围由合同当事人按照法律规定在专</w:t>
      </w:r>
      <w:r>
        <w:rPr>
          <w:rFonts w:ascii="宋体" w:hAnsi="宋体" w:eastAsia="宋体" w:cs="宋体"/>
          <w:spacing w:val="-3"/>
          <w:sz w:val="21"/>
          <w:szCs w:val="21"/>
        </w:rPr>
        <w:t>用合</w:t>
      </w:r>
      <w:r>
        <w:rPr>
          <w:rFonts w:ascii="宋体" w:hAnsi="宋体" w:eastAsia="宋体" w:cs="宋体"/>
          <w:spacing w:val="-4"/>
          <w:sz w:val="21"/>
          <w:szCs w:val="21"/>
        </w:rPr>
        <w:t>同条款中予以明确。</w:t>
      </w:r>
    </w:p>
    <w:p w14:paraId="5614E806">
      <w:pPr>
        <w:spacing w:line="219" w:lineRule="auto"/>
        <w:ind w:left="444"/>
        <w:rPr>
          <w:rFonts w:ascii="宋体" w:hAnsi="宋体" w:eastAsia="宋体" w:cs="宋体"/>
          <w:sz w:val="21"/>
          <w:szCs w:val="21"/>
        </w:rPr>
      </w:pPr>
      <w:r>
        <w:rPr>
          <w:rFonts w:ascii="宋体" w:hAnsi="宋体" w:eastAsia="宋体" w:cs="宋体"/>
          <w:spacing w:val="-2"/>
          <w:sz w:val="21"/>
          <w:szCs w:val="21"/>
        </w:rPr>
        <w:t>承包人不得以劳务分包的名义转包或违法分包工程。</w:t>
      </w:r>
    </w:p>
    <w:p w14:paraId="660F62DD">
      <w:pPr>
        <w:spacing w:before="156" w:line="234" w:lineRule="auto"/>
        <w:ind w:left="445"/>
        <w:rPr>
          <w:rFonts w:ascii="宋体" w:hAnsi="宋体" w:eastAsia="宋体" w:cs="宋体"/>
          <w:sz w:val="21"/>
          <w:szCs w:val="21"/>
        </w:rPr>
      </w:pPr>
      <w:r>
        <w:rPr>
          <w:rFonts w:ascii="Times New Roman" w:hAnsi="Times New Roman" w:eastAsia="Times New Roman" w:cs="Times New Roman"/>
          <w:spacing w:val="-1"/>
          <w:sz w:val="21"/>
          <w:szCs w:val="21"/>
        </w:rPr>
        <w:t>3.5.2</w:t>
      </w:r>
      <w:r>
        <w:rPr>
          <w:rFonts w:ascii="Times New Roman" w:hAnsi="Times New Roman" w:eastAsia="Times New Roman" w:cs="Times New Roman"/>
          <w:spacing w:val="57"/>
          <w:sz w:val="21"/>
          <w:szCs w:val="21"/>
        </w:rPr>
        <w:t xml:space="preserve"> </w:t>
      </w:r>
      <w:r>
        <w:rPr>
          <w:rFonts w:ascii="宋体" w:hAnsi="宋体" w:eastAsia="宋体" w:cs="宋体"/>
          <w:spacing w:val="-1"/>
          <w:sz w:val="21"/>
          <w:szCs w:val="21"/>
        </w:rPr>
        <w:t>分包的确定</w:t>
      </w:r>
    </w:p>
    <w:p w14:paraId="4563BB58">
      <w:pPr>
        <w:spacing w:before="140" w:line="351" w:lineRule="auto"/>
        <w:ind w:left="24" w:firstLine="420"/>
        <w:rPr>
          <w:rFonts w:ascii="宋体" w:hAnsi="宋体" w:eastAsia="宋体" w:cs="宋体"/>
          <w:sz w:val="21"/>
          <w:szCs w:val="21"/>
        </w:rPr>
      </w:pPr>
      <w:r>
        <w:rPr>
          <w:rFonts w:ascii="宋体" w:hAnsi="宋体" w:eastAsia="宋体" w:cs="宋体"/>
          <w:spacing w:val="-2"/>
          <w:sz w:val="21"/>
          <w:szCs w:val="21"/>
        </w:rPr>
        <w:t>承包人应按专用合同条款的约定进行分包，确定分包人。已标价工程量清</w:t>
      </w:r>
      <w:r>
        <w:rPr>
          <w:rFonts w:ascii="宋体" w:hAnsi="宋体" w:eastAsia="宋体" w:cs="宋体"/>
          <w:spacing w:val="-3"/>
          <w:sz w:val="21"/>
          <w:szCs w:val="21"/>
        </w:rPr>
        <w:t>单或预算书中给定暂估价的专业工程，按照第</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10.7</w:t>
      </w:r>
      <w:r>
        <w:rPr>
          <w:rFonts w:ascii="Times New Roman" w:hAnsi="Times New Roman" w:eastAsia="Times New Roman" w:cs="Times New Roman"/>
          <w:spacing w:val="17"/>
          <w:w w:val="101"/>
          <w:sz w:val="21"/>
          <w:szCs w:val="21"/>
        </w:rPr>
        <w:t xml:space="preserve"> </w:t>
      </w:r>
      <w:r>
        <w:rPr>
          <w:rFonts w:ascii="宋体" w:hAnsi="宋体" w:eastAsia="宋体" w:cs="宋体"/>
          <w:spacing w:val="-3"/>
          <w:sz w:val="21"/>
          <w:szCs w:val="21"/>
        </w:rPr>
        <w:t>款〔暂估价〕确定分包人。按照合同约定进行分包</w:t>
      </w:r>
      <w:r>
        <w:rPr>
          <w:rFonts w:ascii="宋体" w:hAnsi="宋体" w:eastAsia="宋体" w:cs="宋体"/>
          <w:spacing w:val="-4"/>
          <w:sz w:val="21"/>
          <w:szCs w:val="21"/>
        </w:rPr>
        <w:t>的，</w:t>
      </w:r>
      <w:r>
        <w:rPr>
          <w:rFonts w:ascii="宋体" w:hAnsi="宋体" w:eastAsia="宋体" w:cs="宋体"/>
          <w:spacing w:val="-1"/>
          <w:sz w:val="21"/>
          <w:szCs w:val="21"/>
        </w:rPr>
        <w:t>承包人应确保分包人具有相应的资质和能力。工程分包不减轻或免除承包人的责任和义务，</w:t>
      </w:r>
      <w:r>
        <w:rPr>
          <w:rFonts w:ascii="宋体" w:hAnsi="宋体" w:eastAsia="宋体" w:cs="宋体"/>
          <w:spacing w:val="-2"/>
          <w:sz w:val="21"/>
          <w:szCs w:val="21"/>
        </w:rPr>
        <w:t>承包人和分包人就分包工程向发包人承担连带责任。除合同另有约定外，</w:t>
      </w:r>
      <w:r>
        <w:rPr>
          <w:rFonts w:ascii="宋体" w:hAnsi="宋体" w:eastAsia="宋体" w:cs="宋体"/>
          <w:spacing w:val="-3"/>
          <w:sz w:val="21"/>
          <w:szCs w:val="21"/>
        </w:rPr>
        <w:t>承包人应在分包合</w:t>
      </w:r>
      <w:r>
        <w:rPr>
          <w:rFonts w:ascii="宋体" w:hAnsi="宋体" w:eastAsia="宋体" w:cs="宋体"/>
          <w:spacing w:val="-2"/>
          <w:sz w:val="21"/>
          <w:szCs w:val="21"/>
        </w:rPr>
        <w:t>同签订后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天内向发包人和监理人提交分包合同副本。</w:t>
      </w:r>
    </w:p>
    <w:p w14:paraId="01F803D4">
      <w:pPr>
        <w:spacing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3.5.3</w:t>
      </w:r>
      <w:r>
        <w:rPr>
          <w:rFonts w:ascii="Times New Roman" w:hAnsi="Times New Roman" w:eastAsia="Times New Roman" w:cs="Times New Roman"/>
          <w:spacing w:val="56"/>
          <w:sz w:val="21"/>
          <w:szCs w:val="21"/>
        </w:rPr>
        <w:t xml:space="preserve"> </w:t>
      </w:r>
      <w:r>
        <w:rPr>
          <w:rFonts w:ascii="宋体" w:hAnsi="宋体" w:eastAsia="宋体" w:cs="宋体"/>
          <w:spacing w:val="-1"/>
          <w:sz w:val="21"/>
          <w:szCs w:val="21"/>
        </w:rPr>
        <w:t>分包管理</w:t>
      </w:r>
    </w:p>
    <w:p w14:paraId="6FF6F53F">
      <w:pPr>
        <w:spacing w:before="141" w:line="345" w:lineRule="auto"/>
        <w:ind w:left="25" w:right="52" w:firstLine="419"/>
        <w:rPr>
          <w:rFonts w:ascii="宋体" w:hAnsi="宋体" w:eastAsia="宋体" w:cs="宋体"/>
          <w:sz w:val="21"/>
          <w:szCs w:val="21"/>
        </w:rPr>
      </w:pPr>
      <w:r>
        <w:rPr>
          <w:rFonts w:ascii="宋体" w:hAnsi="宋体" w:eastAsia="宋体" w:cs="宋体"/>
          <w:spacing w:val="-2"/>
          <w:sz w:val="21"/>
          <w:szCs w:val="21"/>
        </w:rPr>
        <w:t>承包人应向监理人提交分包人的主要施工管理人员表，并对分包人的施工</w:t>
      </w:r>
      <w:r>
        <w:rPr>
          <w:rFonts w:ascii="宋体" w:hAnsi="宋体" w:eastAsia="宋体" w:cs="宋体"/>
          <w:spacing w:val="-3"/>
          <w:sz w:val="21"/>
          <w:szCs w:val="21"/>
        </w:rPr>
        <w:t>人员进行实名</w:t>
      </w:r>
      <w:r>
        <w:rPr>
          <w:rFonts w:ascii="宋体" w:hAnsi="宋体" w:eastAsia="宋体" w:cs="宋体"/>
          <w:spacing w:val="-1"/>
          <w:sz w:val="21"/>
          <w:szCs w:val="21"/>
        </w:rPr>
        <w:t>制管理，包括但不限于进出场管理、登记造册以及各种证照的办理。</w:t>
      </w:r>
    </w:p>
    <w:p w14:paraId="7DF46C23">
      <w:pPr>
        <w:spacing w:before="10" w:line="232" w:lineRule="auto"/>
        <w:ind w:left="445"/>
        <w:rPr>
          <w:rFonts w:ascii="宋体" w:hAnsi="宋体" w:eastAsia="宋体" w:cs="宋体"/>
          <w:sz w:val="21"/>
          <w:szCs w:val="21"/>
        </w:rPr>
      </w:pPr>
      <w:r>
        <w:rPr>
          <w:rFonts w:ascii="Times New Roman" w:hAnsi="Times New Roman" w:eastAsia="Times New Roman" w:cs="Times New Roman"/>
          <w:spacing w:val="-1"/>
          <w:sz w:val="21"/>
          <w:szCs w:val="21"/>
        </w:rPr>
        <w:t>3.5.4</w:t>
      </w:r>
      <w:r>
        <w:rPr>
          <w:rFonts w:ascii="Times New Roman" w:hAnsi="Times New Roman" w:eastAsia="Times New Roman" w:cs="Times New Roman"/>
          <w:spacing w:val="58"/>
          <w:sz w:val="21"/>
          <w:szCs w:val="21"/>
        </w:rPr>
        <w:t xml:space="preserve"> </w:t>
      </w:r>
      <w:r>
        <w:rPr>
          <w:rFonts w:ascii="宋体" w:hAnsi="宋体" w:eastAsia="宋体" w:cs="宋体"/>
          <w:spacing w:val="-1"/>
          <w:sz w:val="21"/>
          <w:szCs w:val="21"/>
        </w:rPr>
        <w:t>分包合同价款</w:t>
      </w:r>
    </w:p>
    <w:p w14:paraId="0BCD6102">
      <w:pPr>
        <w:spacing w:before="141" w:line="335" w:lineRule="auto"/>
        <w:ind w:left="28" w:right="50" w:firstLine="421"/>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）除本项第（</w:t>
      </w:r>
      <w:r>
        <w:rPr>
          <w:rFonts w:ascii="Times New Roman" w:hAnsi="Times New Roman" w:eastAsia="Times New Roman" w:cs="Times New Roman"/>
          <w:spacing w:val="-2"/>
          <w:sz w:val="21"/>
          <w:szCs w:val="21"/>
        </w:rPr>
        <w:t>2</w:t>
      </w:r>
      <w:r>
        <w:rPr>
          <w:rFonts w:ascii="宋体" w:hAnsi="宋体" w:eastAsia="宋体" w:cs="宋体"/>
          <w:spacing w:val="-2"/>
          <w:sz w:val="21"/>
          <w:szCs w:val="21"/>
        </w:rPr>
        <w:t>）目约定的情况或专用合同条款另有约定外，分包合</w:t>
      </w:r>
      <w:r>
        <w:rPr>
          <w:rFonts w:ascii="宋体" w:hAnsi="宋体" w:eastAsia="宋体" w:cs="宋体"/>
          <w:spacing w:val="-3"/>
          <w:sz w:val="21"/>
          <w:szCs w:val="21"/>
        </w:rPr>
        <w:t>同价款由承包人</w:t>
      </w:r>
      <w:r>
        <w:rPr>
          <w:rFonts w:ascii="宋体" w:hAnsi="宋体" w:eastAsia="宋体" w:cs="宋体"/>
          <w:spacing w:val="-1"/>
          <w:sz w:val="21"/>
          <w:szCs w:val="21"/>
        </w:rPr>
        <w:t>与分包人结算，未经承包人同意，发包人不得</w:t>
      </w:r>
      <w:r>
        <w:rPr>
          <w:rFonts w:ascii="宋体" w:hAnsi="宋体" w:eastAsia="宋体" w:cs="宋体"/>
          <w:spacing w:val="-2"/>
          <w:sz w:val="21"/>
          <w:szCs w:val="21"/>
        </w:rPr>
        <w:t>向分包人支付分包工程价款；</w:t>
      </w:r>
    </w:p>
    <w:p w14:paraId="65C61EEB">
      <w:pPr>
        <w:spacing w:before="35" w:line="348" w:lineRule="auto"/>
        <w:ind w:left="25" w:right="77" w:firstLine="424"/>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）生效法律文书要求发包人向分包人支付分包合同价款的，发包人</w:t>
      </w:r>
      <w:r>
        <w:rPr>
          <w:rFonts w:ascii="宋体" w:hAnsi="宋体" w:eastAsia="宋体" w:cs="宋体"/>
          <w:spacing w:val="-1"/>
          <w:sz w:val="21"/>
          <w:szCs w:val="21"/>
        </w:rPr>
        <w:t>有权从应付承包</w:t>
      </w:r>
      <w:r>
        <w:rPr>
          <w:rFonts w:ascii="宋体" w:hAnsi="宋体" w:eastAsia="宋体" w:cs="宋体"/>
          <w:spacing w:val="-3"/>
          <w:sz w:val="21"/>
          <w:szCs w:val="21"/>
        </w:rPr>
        <w:t>人工程款中扣除该部分款项。</w:t>
      </w:r>
    </w:p>
    <w:p w14:paraId="733E02DC">
      <w:pPr>
        <w:spacing w:before="3" w:line="233" w:lineRule="auto"/>
        <w:ind w:left="445"/>
        <w:rPr>
          <w:rFonts w:ascii="宋体" w:hAnsi="宋体" w:eastAsia="宋体" w:cs="宋体"/>
          <w:sz w:val="21"/>
          <w:szCs w:val="21"/>
        </w:rPr>
      </w:pPr>
      <w:r>
        <w:rPr>
          <w:rFonts w:ascii="Times New Roman" w:hAnsi="Times New Roman" w:eastAsia="Times New Roman" w:cs="Times New Roman"/>
          <w:sz w:val="21"/>
          <w:szCs w:val="21"/>
        </w:rPr>
        <w:t>3.5.5</w:t>
      </w:r>
      <w:r>
        <w:rPr>
          <w:rFonts w:ascii="Times New Roman" w:hAnsi="Times New Roman" w:eastAsia="Times New Roman" w:cs="Times New Roman"/>
          <w:spacing w:val="49"/>
          <w:sz w:val="21"/>
          <w:szCs w:val="21"/>
        </w:rPr>
        <w:t xml:space="preserve"> </w:t>
      </w:r>
      <w:r>
        <w:rPr>
          <w:rFonts w:ascii="宋体" w:hAnsi="宋体" w:eastAsia="宋体" w:cs="宋体"/>
          <w:sz w:val="21"/>
          <w:szCs w:val="21"/>
        </w:rPr>
        <w:t>分包合同权益的转让</w:t>
      </w:r>
    </w:p>
    <w:p w14:paraId="16437AB2">
      <w:pPr>
        <w:spacing w:before="142" w:line="344" w:lineRule="auto"/>
        <w:ind w:left="27" w:right="52" w:firstLine="419"/>
        <w:rPr>
          <w:rFonts w:ascii="宋体" w:hAnsi="宋体" w:eastAsia="宋体" w:cs="宋体"/>
          <w:sz w:val="21"/>
          <w:szCs w:val="21"/>
        </w:rPr>
      </w:pPr>
      <w:r>
        <w:rPr>
          <w:rFonts w:ascii="宋体" w:hAnsi="宋体" w:eastAsia="宋体" w:cs="宋体"/>
          <w:spacing w:val="-2"/>
          <w:sz w:val="21"/>
          <w:szCs w:val="21"/>
        </w:rPr>
        <w:t>分包人在分包合同项下的义务持续到缺陷责任期届满以后的，发包人</w:t>
      </w:r>
      <w:r>
        <w:rPr>
          <w:rFonts w:ascii="宋体" w:hAnsi="宋体" w:eastAsia="宋体" w:cs="宋体"/>
          <w:spacing w:val="-3"/>
          <w:sz w:val="21"/>
          <w:szCs w:val="21"/>
        </w:rPr>
        <w:t>有权在缺陷责任期</w:t>
      </w:r>
      <w:r>
        <w:rPr>
          <w:rFonts w:ascii="宋体" w:hAnsi="宋体" w:eastAsia="宋体" w:cs="宋体"/>
          <w:spacing w:val="-2"/>
          <w:sz w:val="21"/>
          <w:szCs w:val="21"/>
        </w:rPr>
        <w:t>届满前，要求承包人将其在分包合同项下的权益转让给发包人，承包人应</w:t>
      </w:r>
      <w:r>
        <w:rPr>
          <w:rFonts w:ascii="宋体" w:hAnsi="宋体" w:eastAsia="宋体" w:cs="宋体"/>
          <w:spacing w:val="-3"/>
          <w:sz w:val="21"/>
          <w:szCs w:val="21"/>
        </w:rPr>
        <w:t>当转让。除转让合</w:t>
      </w:r>
      <w:r>
        <w:rPr>
          <w:rFonts w:ascii="宋体" w:hAnsi="宋体" w:eastAsia="宋体" w:cs="宋体"/>
          <w:spacing w:val="-1"/>
          <w:sz w:val="21"/>
          <w:szCs w:val="21"/>
        </w:rPr>
        <w:t>同另有约定外，转让合同生效后，由分包人向发包人履行义务。</w:t>
      </w:r>
    </w:p>
    <w:p w14:paraId="36BB3490">
      <w:pPr>
        <w:spacing w:before="1" w:line="232" w:lineRule="auto"/>
        <w:ind w:left="19"/>
        <w:outlineLvl w:val="2"/>
        <w:rPr>
          <w:rFonts w:ascii="黑体" w:hAnsi="黑体" w:eastAsia="黑体" w:cs="黑体"/>
          <w:sz w:val="24"/>
          <w:szCs w:val="24"/>
        </w:rPr>
      </w:pPr>
      <w:bookmarkStart w:id="373" w:name="bookmark324"/>
      <w:bookmarkEnd w:id="373"/>
      <w:r>
        <w:rPr>
          <w:rFonts w:ascii="Times New Roman" w:hAnsi="Times New Roman" w:eastAsia="Times New Roman" w:cs="Times New Roman"/>
          <w:b/>
          <w:bCs/>
          <w:spacing w:val="1"/>
          <w:sz w:val="24"/>
          <w:szCs w:val="24"/>
        </w:rPr>
        <w:t xml:space="preserve">3.6  </w:t>
      </w:r>
      <w:r>
        <w:rPr>
          <w:rFonts w:ascii="黑体" w:hAnsi="黑体" w:eastAsia="黑体" w:cs="黑体"/>
          <w:b/>
          <w:bCs/>
          <w:spacing w:val="1"/>
          <w:sz w:val="24"/>
          <w:szCs w:val="24"/>
        </w:rPr>
        <w:t>工程照管与成品、半成品保护</w:t>
      </w:r>
    </w:p>
    <w:p w14:paraId="3858CA60">
      <w:pPr>
        <w:spacing w:before="129" w:line="335" w:lineRule="auto"/>
        <w:ind w:left="32" w:right="76" w:firstLine="41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）除专用合同条款另有约定外，自发包人向承包人移交施工现场之日</w:t>
      </w:r>
      <w:r>
        <w:rPr>
          <w:rFonts w:ascii="宋体" w:hAnsi="宋体" w:eastAsia="宋体" w:cs="宋体"/>
          <w:spacing w:val="-1"/>
          <w:sz w:val="21"/>
          <w:szCs w:val="21"/>
        </w:rPr>
        <w:t>起，承包人应负责照管工程及工程相关的材料、工程设备，直到颁发工程接收证书之日止。</w:t>
      </w:r>
    </w:p>
    <w:p w14:paraId="4C1984EB">
      <w:pPr>
        <w:spacing w:before="32" w:line="233" w:lineRule="auto"/>
        <w:ind w:left="45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）在承包人负责照管期间，因承包人原因造成工程、材料、工程设</w:t>
      </w:r>
      <w:r>
        <w:rPr>
          <w:rFonts w:ascii="宋体" w:hAnsi="宋体" w:eastAsia="宋体" w:cs="宋体"/>
          <w:spacing w:val="-1"/>
          <w:sz w:val="21"/>
          <w:szCs w:val="21"/>
        </w:rPr>
        <w:t>备损坏的，由承</w:t>
      </w:r>
    </w:p>
    <w:p w14:paraId="60C9D167">
      <w:pPr>
        <w:spacing w:line="233" w:lineRule="auto"/>
        <w:rPr>
          <w:rFonts w:ascii="宋体" w:hAnsi="宋体" w:eastAsia="宋体" w:cs="宋体"/>
          <w:sz w:val="21"/>
          <w:szCs w:val="21"/>
        </w:rPr>
        <w:sectPr>
          <w:footerReference r:id="rId163" w:type="default"/>
          <w:pgSz w:w="11910" w:h="16845"/>
          <w:pgMar w:top="400" w:right="1726" w:bottom="1110" w:left="1786" w:header="0" w:footer="883" w:gutter="0"/>
          <w:cols w:space="720" w:num="1"/>
        </w:sectPr>
      </w:pPr>
    </w:p>
    <w:p w14:paraId="2208B49B">
      <w:pPr>
        <w:pStyle w:val="2"/>
        <w:spacing w:line="275" w:lineRule="auto"/>
      </w:pPr>
    </w:p>
    <w:p w14:paraId="52455DAE">
      <w:pPr>
        <w:pStyle w:val="2"/>
        <w:spacing w:line="275" w:lineRule="auto"/>
      </w:pPr>
    </w:p>
    <w:p w14:paraId="608D305E">
      <w:pPr>
        <w:pStyle w:val="2"/>
        <w:spacing w:line="275" w:lineRule="auto"/>
      </w:pPr>
    </w:p>
    <w:p w14:paraId="2503335B">
      <w:pPr>
        <w:pStyle w:val="2"/>
        <w:spacing w:line="275" w:lineRule="auto"/>
      </w:pPr>
    </w:p>
    <w:p w14:paraId="2E22388F">
      <w:pPr>
        <w:spacing w:before="68" w:line="220" w:lineRule="auto"/>
        <w:ind w:left="24"/>
        <w:rPr>
          <w:rFonts w:ascii="宋体" w:hAnsi="宋体" w:eastAsia="宋体" w:cs="宋体"/>
          <w:sz w:val="21"/>
          <w:szCs w:val="21"/>
        </w:rPr>
      </w:pPr>
      <w:r>
        <w:rPr>
          <w:rFonts w:ascii="宋体" w:hAnsi="宋体" w:eastAsia="宋体" w:cs="宋体"/>
          <w:spacing w:val="-1"/>
          <w:sz w:val="21"/>
          <w:szCs w:val="21"/>
        </w:rPr>
        <w:t>包人负责修复或更换，并承担由此增加的费用和（或）延误的工期。</w:t>
      </w:r>
    </w:p>
    <w:p w14:paraId="6AF55A85">
      <w:pPr>
        <w:spacing w:before="157" w:line="344" w:lineRule="auto"/>
        <w:ind w:left="31" w:right="75" w:firstLine="418"/>
        <w:jc w:val="both"/>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）对合同内分期完成的成品和半成品，在工程接收证</w:t>
      </w:r>
      <w:r>
        <w:rPr>
          <w:rFonts w:ascii="宋体" w:hAnsi="宋体" w:eastAsia="宋体" w:cs="宋体"/>
          <w:spacing w:val="-1"/>
          <w:sz w:val="21"/>
          <w:szCs w:val="21"/>
        </w:rPr>
        <w:t>书颁发前，由承包人承担保护</w:t>
      </w:r>
      <w:r>
        <w:rPr>
          <w:rFonts w:ascii="宋体" w:hAnsi="宋体" w:eastAsia="宋体" w:cs="宋体"/>
          <w:spacing w:val="-2"/>
          <w:sz w:val="21"/>
          <w:szCs w:val="21"/>
        </w:rPr>
        <w:t>责任。因承包人原因造成成品或半成品损坏的，由承包人负责修</w:t>
      </w:r>
      <w:r>
        <w:rPr>
          <w:rFonts w:ascii="宋体" w:hAnsi="宋体" w:eastAsia="宋体" w:cs="宋体"/>
          <w:spacing w:val="-3"/>
          <w:sz w:val="21"/>
          <w:szCs w:val="21"/>
        </w:rPr>
        <w:t>复或更换，并承担由此增加的费用和（或）延误的工期。</w:t>
      </w:r>
    </w:p>
    <w:p w14:paraId="438541DF">
      <w:pPr>
        <w:spacing w:line="232" w:lineRule="auto"/>
        <w:ind w:left="19"/>
        <w:outlineLvl w:val="2"/>
        <w:rPr>
          <w:rFonts w:ascii="黑体" w:hAnsi="黑体" w:eastAsia="黑体" w:cs="黑体"/>
          <w:sz w:val="24"/>
          <w:szCs w:val="24"/>
        </w:rPr>
      </w:pPr>
      <w:bookmarkStart w:id="374" w:name="bookmark325"/>
      <w:bookmarkEnd w:id="374"/>
      <w:r>
        <w:rPr>
          <w:rFonts w:ascii="Times New Roman" w:hAnsi="Times New Roman" w:eastAsia="Times New Roman" w:cs="Times New Roman"/>
          <w:b/>
          <w:bCs/>
          <w:spacing w:val="3"/>
          <w:sz w:val="24"/>
          <w:szCs w:val="24"/>
        </w:rPr>
        <w:t xml:space="preserve">3.7  </w:t>
      </w:r>
      <w:r>
        <w:rPr>
          <w:rFonts w:ascii="黑体" w:hAnsi="黑体" w:eastAsia="黑体" w:cs="黑体"/>
          <w:b/>
          <w:bCs/>
          <w:spacing w:val="3"/>
          <w:sz w:val="24"/>
          <w:szCs w:val="24"/>
        </w:rPr>
        <w:t>履约担保</w:t>
      </w:r>
    </w:p>
    <w:p w14:paraId="471D54EE">
      <w:pPr>
        <w:spacing w:before="113" w:line="352" w:lineRule="auto"/>
        <w:ind w:left="23" w:right="72" w:firstLine="424"/>
        <w:jc w:val="both"/>
        <w:rPr>
          <w:rFonts w:ascii="宋体" w:hAnsi="宋体" w:eastAsia="宋体" w:cs="宋体"/>
          <w:sz w:val="21"/>
          <w:szCs w:val="21"/>
        </w:rPr>
      </w:pPr>
      <w:r>
        <w:rPr>
          <w:rFonts w:ascii="宋体" w:hAnsi="宋体" w:eastAsia="宋体" w:cs="宋体"/>
          <w:spacing w:val="-2"/>
          <w:sz w:val="21"/>
          <w:szCs w:val="21"/>
        </w:rPr>
        <w:t>发包人需要承包人提供履约担保的，由合同当事人在专用合同条款</w:t>
      </w:r>
      <w:r>
        <w:rPr>
          <w:rFonts w:ascii="宋体" w:hAnsi="宋体" w:eastAsia="宋体" w:cs="宋体"/>
          <w:spacing w:val="-3"/>
          <w:sz w:val="21"/>
          <w:szCs w:val="21"/>
        </w:rPr>
        <w:t>中约定履约担保的方</w:t>
      </w:r>
      <w:r>
        <w:rPr>
          <w:rFonts w:ascii="宋体" w:hAnsi="宋体" w:eastAsia="宋体" w:cs="宋体"/>
          <w:spacing w:val="-2"/>
          <w:sz w:val="21"/>
          <w:szCs w:val="21"/>
        </w:rPr>
        <w:t>式、金额及期限等。履约担保可以采用银行保函或担保公司担保等形式，具体由合同当</w:t>
      </w:r>
      <w:r>
        <w:rPr>
          <w:rFonts w:ascii="宋体" w:hAnsi="宋体" w:eastAsia="宋体" w:cs="宋体"/>
          <w:spacing w:val="-3"/>
          <w:sz w:val="21"/>
          <w:szCs w:val="21"/>
        </w:rPr>
        <w:t>事人在专用合同条款中约定。</w:t>
      </w:r>
    </w:p>
    <w:p w14:paraId="2BE54B2A">
      <w:pPr>
        <w:spacing w:before="2" w:line="344" w:lineRule="auto"/>
        <w:ind w:left="24" w:right="80" w:firstLine="436"/>
        <w:rPr>
          <w:rFonts w:ascii="宋体" w:hAnsi="宋体" w:eastAsia="宋体" w:cs="宋体"/>
          <w:sz w:val="21"/>
          <w:szCs w:val="21"/>
        </w:rPr>
      </w:pPr>
      <w:r>
        <w:rPr>
          <w:rFonts w:ascii="宋体" w:hAnsi="宋体" w:eastAsia="宋体" w:cs="宋体"/>
          <w:spacing w:val="-3"/>
          <w:sz w:val="21"/>
          <w:szCs w:val="21"/>
        </w:rPr>
        <w:t>因承包人原因导致工期延长的，继续提供履约担保所增加的费用由承包人承担；非因承</w:t>
      </w:r>
      <w:r>
        <w:rPr>
          <w:rFonts w:ascii="宋体" w:hAnsi="宋体" w:eastAsia="宋体" w:cs="宋体"/>
          <w:spacing w:val="-1"/>
          <w:sz w:val="21"/>
          <w:szCs w:val="21"/>
        </w:rPr>
        <w:t>包人原因导致工期延长的，继续提供履约担保所增加的费用由发包人承担。</w:t>
      </w:r>
    </w:p>
    <w:p w14:paraId="6EFD8A42">
      <w:pPr>
        <w:spacing w:before="1" w:line="232" w:lineRule="auto"/>
        <w:ind w:left="19"/>
        <w:outlineLvl w:val="2"/>
        <w:rPr>
          <w:rFonts w:ascii="黑体" w:hAnsi="黑体" w:eastAsia="黑体" w:cs="黑体"/>
          <w:sz w:val="24"/>
          <w:szCs w:val="24"/>
        </w:rPr>
      </w:pPr>
      <w:bookmarkStart w:id="375" w:name="bookmark326"/>
      <w:bookmarkEnd w:id="375"/>
      <w:r>
        <w:rPr>
          <w:rFonts w:ascii="Times New Roman" w:hAnsi="Times New Roman" w:eastAsia="Times New Roman" w:cs="Times New Roman"/>
          <w:b/>
          <w:bCs/>
          <w:spacing w:val="2"/>
          <w:sz w:val="24"/>
          <w:szCs w:val="24"/>
        </w:rPr>
        <w:t xml:space="preserve">3.8  </w:t>
      </w:r>
      <w:r>
        <w:rPr>
          <w:rFonts w:ascii="黑体" w:hAnsi="黑体" w:eastAsia="黑体" w:cs="黑体"/>
          <w:b/>
          <w:bCs/>
          <w:spacing w:val="2"/>
          <w:sz w:val="24"/>
          <w:szCs w:val="24"/>
        </w:rPr>
        <w:t>联合体</w:t>
      </w:r>
    </w:p>
    <w:p w14:paraId="23EBDB6A">
      <w:pPr>
        <w:spacing w:before="114" w:line="348" w:lineRule="auto"/>
        <w:ind w:left="24" w:right="79" w:firstLine="420"/>
        <w:rPr>
          <w:rFonts w:ascii="宋体" w:hAnsi="宋体" w:eastAsia="宋体" w:cs="宋体"/>
          <w:sz w:val="21"/>
          <w:szCs w:val="21"/>
        </w:rPr>
      </w:pPr>
      <w:r>
        <w:rPr>
          <w:rFonts w:ascii="Times New Roman" w:hAnsi="Times New Roman" w:eastAsia="Times New Roman" w:cs="Times New Roman"/>
          <w:sz w:val="21"/>
          <w:szCs w:val="21"/>
        </w:rPr>
        <w:t xml:space="preserve">3.8.1  </w:t>
      </w:r>
      <w:r>
        <w:rPr>
          <w:rFonts w:ascii="宋体" w:hAnsi="宋体" w:eastAsia="宋体" w:cs="宋体"/>
          <w:sz w:val="21"/>
          <w:szCs w:val="21"/>
        </w:rPr>
        <w:t>联合体各方应共同与发包人签订合同协议书。联合体各方应为履行合同向发包人</w:t>
      </w:r>
      <w:r>
        <w:rPr>
          <w:rFonts w:ascii="宋体" w:hAnsi="宋体" w:eastAsia="宋体" w:cs="宋体"/>
          <w:spacing w:val="-5"/>
          <w:sz w:val="21"/>
          <w:szCs w:val="21"/>
        </w:rPr>
        <w:t>承担连带责任。</w:t>
      </w:r>
    </w:p>
    <w:p w14:paraId="15ADD782">
      <w:pPr>
        <w:spacing w:before="20" w:line="335" w:lineRule="auto"/>
        <w:ind w:left="27" w:firstLine="417"/>
        <w:rPr>
          <w:rFonts w:ascii="宋体" w:hAnsi="宋体" w:eastAsia="宋体" w:cs="宋体"/>
          <w:sz w:val="21"/>
          <w:szCs w:val="21"/>
        </w:rPr>
      </w:pPr>
      <w:r>
        <w:rPr>
          <w:rFonts w:ascii="Times New Roman" w:hAnsi="Times New Roman" w:eastAsia="Times New Roman" w:cs="Times New Roman"/>
          <w:spacing w:val="-4"/>
          <w:sz w:val="21"/>
          <w:szCs w:val="21"/>
        </w:rPr>
        <w:t xml:space="preserve">3.8.2  </w:t>
      </w:r>
      <w:r>
        <w:rPr>
          <w:rFonts w:ascii="宋体" w:hAnsi="宋体" w:eastAsia="宋体" w:cs="宋体"/>
          <w:spacing w:val="-4"/>
          <w:sz w:val="21"/>
          <w:szCs w:val="21"/>
        </w:rPr>
        <w:t>联合体协议经发包人确认后作为合同附件。在履行合同过程中，</w:t>
      </w:r>
      <w:r>
        <w:rPr>
          <w:rFonts w:ascii="宋体" w:hAnsi="宋体" w:eastAsia="宋体" w:cs="宋体"/>
          <w:spacing w:val="-44"/>
          <w:sz w:val="21"/>
          <w:szCs w:val="21"/>
        </w:rPr>
        <w:t xml:space="preserve"> </w:t>
      </w:r>
      <w:r>
        <w:rPr>
          <w:rFonts w:ascii="宋体" w:hAnsi="宋体" w:eastAsia="宋体" w:cs="宋体"/>
          <w:spacing w:val="-4"/>
          <w:sz w:val="21"/>
          <w:szCs w:val="21"/>
        </w:rPr>
        <w:t>未经发包</w:t>
      </w:r>
      <w:r>
        <w:rPr>
          <w:rFonts w:ascii="宋体" w:hAnsi="宋体" w:eastAsia="宋体" w:cs="宋体"/>
          <w:spacing w:val="-5"/>
          <w:sz w:val="21"/>
          <w:szCs w:val="21"/>
        </w:rPr>
        <w:t>人同意，</w:t>
      </w:r>
      <w:r>
        <w:rPr>
          <w:rFonts w:ascii="宋体" w:hAnsi="宋体" w:eastAsia="宋体" w:cs="宋体"/>
          <w:spacing w:val="-4"/>
          <w:sz w:val="21"/>
          <w:szCs w:val="21"/>
        </w:rPr>
        <w:t>不得修改联合体协议。</w:t>
      </w:r>
    </w:p>
    <w:p w14:paraId="7493ACEE">
      <w:pPr>
        <w:spacing w:before="31" w:line="349" w:lineRule="auto"/>
        <w:ind w:left="24" w:right="72"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3.8.3  </w:t>
      </w:r>
      <w:r>
        <w:rPr>
          <w:rFonts w:ascii="宋体" w:hAnsi="宋体" w:eastAsia="宋体" w:cs="宋体"/>
          <w:spacing w:val="1"/>
          <w:sz w:val="21"/>
          <w:szCs w:val="21"/>
        </w:rPr>
        <w:t>联合体牵头人负责与发包人和监理</w:t>
      </w:r>
      <w:r>
        <w:rPr>
          <w:rFonts w:ascii="宋体" w:hAnsi="宋体" w:eastAsia="宋体" w:cs="宋体"/>
          <w:sz w:val="21"/>
          <w:szCs w:val="21"/>
        </w:rPr>
        <w:t>人联系，并接受指示，负责组织联合体各成员</w:t>
      </w:r>
      <w:r>
        <w:rPr>
          <w:rFonts w:ascii="宋体" w:hAnsi="宋体" w:eastAsia="宋体" w:cs="宋体"/>
          <w:spacing w:val="-5"/>
          <w:sz w:val="21"/>
          <w:szCs w:val="21"/>
        </w:rPr>
        <w:t>全面履行合同。</w:t>
      </w:r>
    </w:p>
    <w:p w14:paraId="48FE0B9F">
      <w:pPr>
        <w:spacing w:before="44" w:line="239" w:lineRule="auto"/>
        <w:ind w:left="23"/>
        <w:outlineLvl w:val="1"/>
        <w:rPr>
          <w:rFonts w:ascii="黑体" w:hAnsi="黑体" w:eastAsia="黑体" w:cs="黑体"/>
          <w:sz w:val="28"/>
          <w:szCs w:val="28"/>
        </w:rPr>
      </w:pPr>
      <w:bookmarkStart w:id="376" w:name="bookmark328"/>
      <w:bookmarkEnd w:id="376"/>
      <w:bookmarkStart w:id="377" w:name="bookmark327"/>
      <w:bookmarkEnd w:id="377"/>
      <w:r>
        <w:rPr>
          <w:rFonts w:ascii="Times New Roman" w:hAnsi="Times New Roman" w:eastAsia="Times New Roman" w:cs="Times New Roman"/>
          <w:b/>
          <w:bCs/>
          <w:spacing w:val="9"/>
          <w:sz w:val="28"/>
          <w:szCs w:val="28"/>
        </w:rPr>
        <w:t>4.</w:t>
      </w:r>
      <w:r>
        <w:rPr>
          <w:rFonts w:ascii="Times New Roman" w:hAnsi="Times New Roman" w:eastAsia="Times New Roman" w:cs="Times New Roman"/>
          <w:b/>
          <w:bCs/>
          <w:spacing w:val="64"/>
          <w:sz w:val="28"/>
          <w:szCs w:val="28"/>
        </w:rPr>
        <w:t xml:space="preserve"> </w:t>
      </w:r>
      <w:r>
        <w:rPr>
          <w:rFonts w:ascii="黑体" w:hAnsi="黑体" w:eastAsia="黑体" w:cs="黑体"/>
          <w:b/>
          <w:bCs/>
          <w:spacing w:val="9"/>
          <w:sz w:val="28"/>
          <w:szCs w:val="28"/>
        </w:rPr>
        <w:t>监理人</w:t>
      </w:r>
    </w:p>
    <w:p w14:paraId="0F9D8339">
      <w:pPr>
        <w:spacing w:before="81" w:line="232" w:lineRule="auto"/>
        <w:ind w:left="21"/>
        <w:outlineLvl w:val="2"/>
        <w:rPr>
          <w:rFonts w:ascii="黑体" w:hAnsi="黑体" w:eastAsia="黑体" w:cs="黑体"/>
          <w:sz w:val="24"/>
          <w:szCs w:val="24"/>
        </w:rPr>
      </w:pPr>
      <w:bookmarkStart w:id="378" w:name="bookmark686"/>
      <w:bookmarkEnd w:id="378"/>
      <w:r>
        <w:rPr>
          <w:rFonts w:ascii="Times New Roman" w:hAnsi="Times New Roman" w:eastAsia="Times New Roman" w:cs="Times New Roman"/>
          <w:b/>
          <w:bCs/>
          <w:spacing w:val="3"/>
          <w:sz w:val="24"/>
          <w:szCs w:val="24"/>
        </w:rPr>
        <w:t xml:space="preserve">4.1 </w:t>
      </w:r>
      <w:r>
        <w:rPr>
          <w:rFonts w:ascii="黑体" w:hAnsi="黑体" w:eastAsia="黑体" w:cs="黑体"/>
          <w:b/>
          <w:bCs/>
          <w:spacing w:val="3"/>
          <w:sz w:val="24"/>
          <w:szCs w:val="24"/>
        </w:rPr>
        <w:t>监理人的一般规定</w:t>
      </w:r>
    </w:p>
    <w:p w14:paraId="34A8E694">
      <w:pPr>
        <w:spacing w:before="115" w:line="353" w:lineRule="auto"/>
        <w:ind w:left="26" w:right="72" w:firstLine="420"/>
        <w:jc w:val="both"/>
        <w:rPr>
          <w:rFonts w:ascii="宋体" w:hAnsi="宋体" w:eastAsia="宋体" w:cs="宋体"/>
          <w:sz w:val="21"/>
          <w:szCs w:val="21"/>
        </w:rPr>
      </w:pPr>
      <w:r>
        <w:rPr>
          <w:rFonts w:ascii="宋体" w:hAnsi="宋体" w:eastAsia="宋体" w:cs="宋体"/>
          <w:spacing w:val="-2"/>
          <w:sz w:val="21"/>
          <w:szCs w:val="21"/>
        </w:rPr>
        <w:t>工程实行监理的，发包人和承包人应在专用合同条款中明确监理人的</w:t>
      </w:r>
      <w:r>
        <w:rPr>
          <w:rFonts w:ascii="宋体" w:hAnsi="宋体" w:eastAsia="宋体" w:cs="宋体"/>
          <w:spacing w:val="-3"/>
          <w:sz w:val="21"/>
          <w:szCs w:val="21"/>
        </w:rPr>
        <w:t>监理内容及监理权</w:t>
      </w:r>
      <w:r>
        <w:rPr>
          <w:rFonts w:ascii="宋体" w:hAnsi="宋体" w:eastAsia="宋体" w:cs="宋体"/>
          <w:spacing w:val="-2"/>
          <w:sz w:val="21"/>
          <w:szCs w:val="21"/>
        </w:rPr>
        <w:t>限等事项。监理人应当根据发包人授权及法律规定，代表发包人对工程施工相关</w:t>
      </w:r>
      <w:r>
        <w:rPr>
          <w:rFonts w:ascii="宋体" w:hAnsi="宋体" w:eastAsia="宋体" w:cs="宋体"/>
          <w:spacing w:val="-3"/>
          <w:sz w:val="21"/>
          <w:szCs w:val="21"/>
        </w:rPr>
        <w:t>事项进行检</w:t>
      </w:r>
      <w:r>
        <w:rPr>
          <w:rFonts w:ascii="宋体" w:hAnsi="宋体" w:eastAsia="宋体" w:cs="宋体"/>
          <w:spacing w:val="-2"/>
          <w:sz w:val="21"/>
          <w:szCs w:val="21"/>
        </w:rPr>
        <w:t>查、查验、审核、验收，并签发相关指示，但监理人无权修改合同，且无权减</w:t>
      </w:r>
      <w:r>
        <w:rPr>
          <w:rFonts w:ascii="宋体" w:hAnsi="宋体" w:eastAsia="宋体" w:cs="宋体"/>
          <w:spacing w:val="-3"/>
          <w:sz w:val="21"/>
          <w:szCs w:val="21"/>
        </w:rPr>
        <w:t>轻或免除合同约定的承包人的任何责任与义务。</w:t>
      </w:r>
    </w:p>
    <w:p w14:paraId="423A7C10">
      <w:pPr>
        <w:spacing w:before="1" w:line="338" w:lineRule="auto"/>
        <w:ind w:left="24" w:right="28" w:firstLine="432"/>
        <w:rPr>
          <w:rFonts w:ascii="宋体" w:hAnsi="宋体" w:eastAsia="宋体" w:cs="宋体"/>
          <w:sz w:val="21"/>
          <w:szCs w:val="21"/>
        </w:rPr>
      </w:pPr>
      <w:r>
        <w:rPr>
          <w:rFonts w:ascii="宋体" w:hAnsi="宋体" w:eastAsia="宋体" w:cs="宋体"/>
          <w:spacing w:val="-1"/>
          <w:sz w:val="21"/>
          <w:szCs w:val="21"/>
        </w:rPr>
        <w:t>除专用合同条款另有约定外，监理人在施工现场的办公场所</w:t>
      </w:r>
      <w:r>
        <w:rPr>
          <w:rFonts w:ascii="宋体" w:hAnsi="宋体" w:eastAsia="宋体" w:cs="宋体"/>
          <w:spacing w:val="-2"/>
          <w:sz w:val="21"/>
          <w:szCs w:val="21"/>
        </w:rPr>
        <w:t>、生活场所由承包人提供，</w:t>
      </w:r>
      <w:r>
        <w:rPr>
          <w:rFonts w:ascii="宋体" w:hAnsi="宋体" w:eastAsia="宋体" w:cs="宋体"/>
          <w:spacing w:val="-3"/>
          <w:sz w:val="21"/>
          <w:szCs w:val="21"/>
        </w:rPr>
        <w:t>所发生的费用由发包人承担。</w:t>
      </w:r>
    </w:p>
    <w:p w14:paraId="6A6AAA3A">
      <w:pPr>
        <w:spacing w:before="1" w:line="231" w:lineRule="auto"/>
        <w:ind w:left="21"/>
        <w:outlineLvl w:val="2"/>
        <w:rPr>
          <w:rFonts w:ascii="黑体" w:hAnsi="黑体" w:eastAsia="黑体" w:cs="黑体"/>
          <w:sz w:val="24"/>
          <w:szCs w:val="24"/>
        </w:rPr>
      </w:pPr>
      <w:bookmarkStart w:id="379" w:name="bookmark329"/>
      <w:bookmarkEnd w:id="379"/>
      <w:r>
        <w:rPr>
          <w:rFonts w:ascii="Times New Roman" w:hAnsi="Times New Roman" w:eastAsia="Times New Roman" w:cs="Times New Roman"/>
          <w:b/>
          <w:bCs/>
          <w:spacing w:val="3"/>
          <w:sz w:val="24"/>
          <w:szCs w:val="24"/>
        </w:rPr>
        <w:t xml:space="preserve">4.2 </w:t>
      </w:r>
      <w:r>
        <w:rPr>
          <w:rFonts w:ascii="黑体" w:hAnsi="黑体" w:eastAsia="黑体" w:cs="黑体"/>
          <w:b/>
          <w:bCs/>
          <w:spacing w:val="3"/>
          <w:sz w:val="24"/>
          <w:szCs w:val="24"/>
        </w:rPr>
        <w:t>监理人员</w:t>
      </w:r>
    </w:p>
    <w:p w14:paraId="545D2C90">
      <w:pPr>
        <w:spacing w:before="132" w:line="347" w:lineRule="auto"/>
        <w:ind w:left="23" w:right="64" w:firstLine="424"/>
        <w:jc w:val="both"/>
        <w:rPr>
          <w:rFonts w:ascii="宋体" w:hAnsi="宋体" w:eastAsia="宋体" w:cs="宋体"/>
          <w:sz w:val="21"/>
          <w:szCs w:val="21"/>
        </w:rPr>
      </w:pPr>
      <w:r>
        <w:rPr>
          <w:rFonts w:ascii="宋体" w:hAnsi="宋体" w:eastAsia="宋体" w:cs="宋体"/>
          <w:spacing w:val="-2"/>
          <w:sz w:val="21"/>
          <w:szCs w:val="21"/>
        </w:rPr>
        <w:t>发包人授予监理人对工程实施监理的权利由监理人派驻施工现场的</w:t>
      </w:r>
      <w:r>
        <w:rPr>
          <w:rFonts w:ascii="宋体" w:hAnsi="宋体" w:eastAsia="宋体" w:cs="宋体"/>
          <w:spacing w:val="-3"/>
          <w:sz w:val="21"/>
          <w:szCs w:val="21"/>
        </w:rPr>
        <w:t>监理人员行使，监理</w:t>
      </w:r>
      <w:r>
        <w:rPr>
          <w:rFonts w:ascii="宋体" w:hAnsi="宋体" w:eastAsia="宋体" w:cs="宋体"/>
          <w:spacing w:val="-2"/>
          <w:sz w:val="21"/>
          <w:szCs w:val="21"/>
        </w:rPr>
        <w:t>人员包括总监理工程师及监理工程师。监理人应将授权的总监理工程师和监理工程师的姓名</w:t>
      </w:r>
      <w:r>
        <w:rPr>
          <w:rFonts w:ascii="宋体" w:hAnsi="宋体" w:eastAsia="宋体" w:cs="宋体"/>
          <w:spacing w:val="-3"/>
          <w:sz w:val="21"/>
          <w:szCs w:val="21"/>
        </w:rPr>
        <w:t>及授权范围以书面形式提前通知承包人。更换总监理工程师的，监理人应提前</w:t>
      </w:r>
      <w:r>
        <w:rPr>
          <w:rFonts w:ascii="宋体" w:hAnsi="宋体" w:eastAsia="宋体" w:cs="宋体"/>
          <w:spacing w:val="-25"/>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天书面通知</w:t>
      </w:r>
      <w:r>
        <w:rPr>
          <w:rFonts w:ascii="宋体" w:hAnsi="宋体" w:eastAsia="宋体" w:cs="宋体"/>
          <w:spacing w:val="-1"/>
          <w:sz w:val="21"/>
          <w:szCs w:val="21"/>
        </w:rPr>
        <w:t>承包人；更换其他监理人员，监理人应提前</w:t>
      </w:r>
      <w:r>
        <w:rPr>
          <w:rFonts w:ascii="宋体" w:hAnsi="宋体" w:eastAsia="宋体" w:cs="宋体"/>
          <w:spacing w:val="-46"/>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22"/>
          <w:w w:val="101"/>
          <w:sz w:val="21"/>
          <w:szCs w:val="21"/>
        </w:rPr>
        <w:t xml:space="preserve"> </w:t>
      </w:r>
      <w:r>
        <w:rPr>
          <w:rFonts w:ascii="宋体" w:hAnsi="宋体" w:eastAsia="宋体" w:cs="宋体"/>
          <w:spacing w:val="-1"/>
          <w:sz w:val="21"/>
          <w:szCs w:val="21"/>
        </w:rPr>
        <w:t>小时</w:t>
      </w:r>
      <w:r>
        <w:rPr>
          <w:rFonts w:ascii="宋体" w:hAnsi="宋体" w:eastAsia="宋体" w:cs="宋体"/>
          <w:spacing w:val="-2"/>
          <w:sz w:val="21"/>
          <w:szCs w:val="21"/>
        </w:rPr>
        <w:t>书面通知承包人。</w:t>
      </w:r>
    </w:p>
    <w:p w14:paraId="538299BE">
      <w:pPr>
        <w:spacing w:before="1" w:line="232" w:lineRule="auto"/>
        <w:ind w:left="21"/>
        <w:outlineLvl w:val="2"/>
        <w:rPr>
          <w:rFonts w:ascii="黑体" w:hAnsi="黑体" w:eastAsia="黑体" w:cs="黑体"/>
          <w:sz w:val="24"/>
          <w:szCs w:val="24"/>
        </w:rPr>
      </w:pPr>
      <w:bookmarkStart w:id="380" w:name="bookmark330"/>
      <w:bookmarkEnd w:id="380"/>
      <w:r>
        <w:rPr>
          <w:rFonts w:ascii="Times New Roman" w:hAnsi="Times New Roman" w:eastAsia="Times New Roman" w:cs="Times New Roman"/>
          <w:b/>
          <w:bCs/>
          <w:spacing w:val="2"/>
          <w:sz w:val="24"/>
          <w:szCs w:val="24"/>
        </w:rPr>
        <w:t xml:space="preserve">4.3 </w:t>
      </w:r>
      <w:r>
        <w:rPr>
          <w:rFonts w:ascii="黑体" w:hAnsi="黑体" w:eastAsia="黑体" w:cs="黑体"/>
          <w:b/>
          <w:bCs/>
          <w:spacing w:val="2"/>
          <w:sz w:val="24"/>
          <w:szCs w:val="24"/>
        </w:rPr>
        <w:t>监理人的指示</w:t>
      </w:r>
    </w:p>
    <w:p w14:paraId="18C935F6">
      <w:pPr>
        <w:spacing w:before="115" w:line="357" w:lineRule="auto"/>
        <w:ind w:left="27" w:right="72" w:firstLine="417"/>
        <w:jc w:val="both"/>
        <w:rPr>
          <w:rFonts w:ascii="宋体" w:hAnsi="宋体" w:eastAsia="宋体" w:cs="宋体"/>
          <w:sz w:val="21"/>
          <w:szCs w:val="21"/>
        </w:rPr>
      </w:pPr>
      <w:r>
        <w:rPr>
          <w:rFonts w:ascii="宋体" w:hAnsi="宋体" w:eastAsia="宋体" w:cs="宋体"/>
          <w:spacing w:val="-4"/>
          <w:sz w:val="21"/>
          <w:szCs w:val="21"/>
        </w:rPr>
        <w:t>监理人应按照发包人的授权发出监理指示。监理人的指示应采用书面形式，</w:t>
      </w:r>
      <w:r>
        <w:rPr>
          <w:rFonts w:ascii="宋体" w:hAnsi="宋体" w:eastAsia="宋体" w:cs="宋体"/>
          <w:spacing w:val="-36"/>
          <w:sz w:val="21"/>
          <w:szCs w:val="21"/>
        </w:rPr>
        <w:t xml:space="preserve"> </w:t>
      </w:r>
      <w:r>
        <w:rPr>
          <w:rFonts w:ascii="宋体" w:hAnsi="宋体" w:eastAsia="宋体" w:cs="宋体"/>
          <w:spacing w:val="-4"/>
          <w:sz w:val="21"/>
          <w:szCs w:val="21"/>
        </w:rPr>
        <w:t>并经其授权</w:t>
      </w:r>
      <w:r>
        <w:rPr>
          <w:rFonts w:ascii="宋体" w:hAnsi="宋体" w:eastAsia="宋体" w:cs="宋体"/>
          <w:spacing w:val="-5"/>
          <w:sz w:val="21"/>
          <w:szCs w:val="21"/>
        </w:rPr>
        <w:t>的监理人员签字。紧急情况下， 为了保证施工人员的安全或避免工程受损，监理人员可以口</w:t>
      </w:r>
      <w:r>
        <w:rPr>
          <w:rFonts w:ascii="宋体" w:hAnsi="宋体" w:eastAsia="宋体" w:cs="宋体"/>
          <w:spacing w:val="3"/>
          <w:sz w:val="21"/>
          <w:szCs w:val="21"/>
        </w:rPr>
        <w:t>头形式发出指示，该指示与书面形式的指示具有同等法律效力，但</w:t>
      </w:r>
      <w:r>
        <w:rPr>
          <w:rFonts w:ascii="宋体" w:hAnsi="宋体" w:eastAsia="宋体" w:cs="宋体"/>
          <w:spacing w:val="2"/>
          <w:sz w:val="21"/>
          <w:szCs w:val="21"/>
        </w:rPr>
        <w:t>必须在发出口头指示后</w:t>
      </w:r>
    </w:p>
    <w:p w14:paraId="52946A13">
      <w:pPr>
        <w:spacing w:line="357" w:lineRule="auto"/>
        <w:rPr>
          <w:rFonts w:ascii="宋体" w:hAnsi="宋体" w:eastAsia="宋体" w:cs="宋体"/>
          <w:sz w:val="21"/>
          <w:szCs w:val="21"/>
        </w:rPr>
        <w:sectPr>
          <w:footerReference r:id="rId164" w:type="default"/>
          <w:pgSz w:w="11910" w:h="16845"/>
          <w:pgMar w:top="400" w:right="1706" w:bottom="1110" w:left="1786" w:header="0" w:footer="882" w:gutter="0"/>
          <w:cols w:space="720" w:num="1"/>
        </w:sectPr>
      </w:pPr>
    </w:p>
    <w:p w14:paraId="7252C85D">
      <w:pPr>
        <w:pStyle w:val="2"/>
        <w:spacing w:line="275" w:lineRule="auto"/>
      </w:pPr>
    </w:p>
    <w:p w14:paraId="4E116A86">
      <w:pPr>
        <w:pStyle w:val="2"/>
        <w:spacing w:line="275" w:lineRule="auto"/>
      </w:pPr>
    </w:p>
    <w:p w14:paraId="46A2B4CF">
      <w:pPr>
        <w:pStyle w:val="2"/>
        <w:spacing w:line="275" w:lineRule="auto"/>
      </w:pPr>
    </w:p>
    <w:p w14:paraId="213A0177">
      <w:pPr>
        <w:pStyle w:val="2"/>
        <w:spacing w:line="275" w:lineRule="auto"/>
      </w:pPr>
    </w:p>
    <w:p w14:paraId="73693DAC">
      <w:pPr>
        <w:spacing w:before="69" w:line="233" w:lineRule="auto"/>
        <w:ind w:left="20"/>
        <w:rPr>
          <w:rFonts w:ascii="宋体" w:hAnsi="宋体" w:eastAsia="宋体" w:cs="宋体"/>
          <w:sz w:val="21"/>
          <w:szCs w:val="21"/>
        </w:rPr>
      </w:pPr>
      <w:r>
        <w:rPr>
          <w:rFonts w:ascii="Times New Roman" w:hAnsi="Times New Roman" w:eastAsia="Times New Roman" w:cs="Times New Roman"/>
          <w:spacing w:val="-1"/>
          <w:sz w:val="21"/>
          <w:szCs w:val="21"/>
        </w:rPr>
        <w:t>24</w:t>
      </w:r>
      <w:r>
        <w:rPr>
          <w:rFonts w:ascii="Times New Roman" w:hAnsi="Times New Roman" w:eastAsia="Times New Roman" w:cs="Times New Roman"/>
          <w:spacing w:val="32"/>
          <w:w w:val="101"/>
          <w:sz w:val="21"/>
          <w:szCs w:val="21"/>
        </w:rPr>
        <w:t xml:space="preserve"> </w:t>
      </w:r>
      <w:r>
        <w:rPr>
          <w:rFonts w:ascii="宋体" w:hAnsi="宋体" w:eastAsia="宋体" w:cs="宋体"/>
          <w:spacing w:val="-1"/>
          <w:sz w:val="21"/>
          <w:szCs w:val="21"/>
        </w:rPr>
        <w:t>小时内补发书面监理指示，补发的书面监理指示应与口头指示一致。</w:t>
      </w:r>
    </w:p>
    <w:p w14:paraId="5EE279A7">
      <w:pPr>
        <w:spacing w:before="139" w:line="350" w:lineRule="auto"/>
        <w:ind w:left="25" w:right="53" w:firstLine="419"/>
        <w:jc w:val="both"/>
        <w:rPr>
          <w:rFonts w:ascii="宋体" w:hAnsi="宋体" w:eastAsia="宋体" w:cs="宋体"/>
          <w:sz w:val="21"/>
          <w:szCs w:val="21"/>
        </w:rPr>
      </w:pPr>
      <w:r>
        <w:rPr>
          <w:rFonts w:ascii="宋体" w:hAnsi="宋体" w:eastAsia="宋体" w:cs="宋体"/>
          <w:spacing w:val="-2"/>
          <w:sz w:val="21"/>
          <w:szCs w:val="21"/>
        </w:rPr>
        <w:t>监理人发出的指示应送达承包人项目经理或经项目经理授权接收的人员</w:t>
      </w:r>
      <w:r>
        <w:rPr>
          <w:rFonts w:ascii="宋体" w:hAnsi="宋体" w:eastAsia="宋体" w:cs="宋体"/>
          <w:spacing w:val="-3"/>
          <w:sz w:val="21"/>
          <w:szCs w:val="21"/>
        </w:rPr>
        <w:t>。因监理人未能</w:t>
      </w:r>
      <w:r>
        <w:rPr>
          <w:rFonts w:ascii="宋体" w:hAnsi="宋体" w:eastAsia="宋体" w:cs="宋体"/>
          <w:spacing w:val="-2"/>
          <w:sz w:val="21"/>
          <w:szCs w:val="21"/>
        </w:rPr>
        <w:t>按合同约定发出指示、指示延误或发出了错误指示而导致承包人费用增加和（</w:t>
      </w:r>
      <w:r>
        <w:rPr>
          <w:rFonts w:ascii="宋体" w:hAnsi="宋体" w:eastAsia="宋体" w:cs="宋体"/>
          <w:spacing w:val="-3"/>
          <w:sz w:val="21"/>
          <w:szCs w:val="21"/>
        </w:rPr>
        <w:t>或）工期延误</w:t>
      </w:r>
      <w:r>
        <w:rPr>
          <w:rFonts w:ascii="宋体" w:hAnsi="宋体" w:eastAsia="宋体" w:cs="宋体"/>
          <w:spacing w:val="-6"/>
          <w:sz w:val="21"/>
          <w:szCs w:val="21"/>
        </w:rPr>
        <w:t>的，由发包人承担相应责任。除专用合同条款另有约定外，总监理工程师不应</w:t>
      </w:r>
      <w:r>
        <w:rPr>
          <w:rFonts w:ascii="宋体" w:hAnsi="宋体" w:eastAsia="宋体" w:cs="宋体"/>
          <w:spacing w:val="-7"/>
          <w:sz w:val="21"/>
          <w:szCs w:val="21"/>
        </w:rPr>
        <w:t>将第</w:t>
      </w:r>
      <w:r>
        <w:rPr>
          <w:rFonts w:ascii="宋体" w:hAnsi="宋体" w:eastAsia="宋体" w:cs="宋体"/>
          <w:spacing w:val="-43"/>
          <w:sz w:val="21"/>
          <w:szCs w:val="21"/>
        </w:rPr>
        <w:t xml:space="preserve"> </w:t>
      </w:r>
      <w:r>
        <w:rPr>
          <w:rFonts w:ascii="Times New Roman" w:hAnsi="Times New Roman" w:eastAsia="Times New Roman" w:cs="Times New Roman"/>
          <w:spacing w:val="-7"/>
          <w:sz w:val="21"/>
          <w:szCs w:val="21"/>
        </w:rPr>
        <w:t>4.4</w:t>
      </w:r>
      <w:r>
        <w:rPr>
          <w:rFonts w:ascii="Times New Roman" w:hAnsi="Times New Roman" w:eastAsia="Times New Roman" w:cs="Times New Roman"/>
          <w:spacing w:val="17"/>
          <w:sz w:val="21"/>
          <w:szCs w:val="21"/>
        </w:rPr>
        <w:t xml:space="preserve"> </w:t>
      </w:r>
      <w:r>
        <w:rPr>
          <w:rFonts w:ascii="宋体" w:hAnsi="宋体" w:eastAsia="宋体" w:cs="宋体"/>
          <w:spacing w:val="-7"/>
          <w:sz w:val="21"/>
          <w:szCs w:val="21"/>
        </w:rPr>
        <w:t>款〔商</w:t>
      </w:r>
      <w:r>
        <w:rPr>
          <w:rFonts w:ascii="宋体" w:hAnsi="宋体" w:eastAsia="宋体" w:cs="宋体"/>
          <w:spacing w:val="-1"/>
          <w:sz w:val="21"/>
          <w:szCs w:val="21"/>
        </w:rPr>
        <w:t>定或确定〕约定应由总监理工程师作出确定的权力授权或委托给其他监理人员。</w:t>
      </w:r>
    </w:p>
    <w:p w14:paraId="2A70736B">
      <w:pPr>
        <w:spacing w:line="348" w:lineRule="auto"/>
        <w:ind w:left="49" w:firstLine="395"/>
        <w:rPr>
          <w:rFonts w:ascii="宋体" w:hAnsi="宋体" w:eastAsia="宋体" w:cs="宋体"/>
          <w:sz w:val="21"/>
          <w:szCs w:val="21"/>
        </w:rPr>
      </w:pPr>
      <w:r>
        <w:rPr>
          <w:rFonts w:ascii="宋体" w:hAnsi="宋体" w:eastAsia="宋体" w:cs="宋体"/>
          <w:sz w:val="21"/>
          <w:szCs w:val="21"/>
        </w:rPr>
        <w:t>承包人对监理人发出的指示有疑问的，应向监理人提出书面异议</w:t>
      </w:r>
      <w:r>
        <w:rPr>
          <w:rFonts w:ascii="宋体" w:hAnsi="宋体" w:eastAsia="宋体" w:cs="宋体"/>
          <w:spacing w:val="-1"/>
          <w:sz w:val="21"/>
          <w:szCs w:val="21"/>
        </w:rPr>
        <w:t>，监理人应在</w:t>
      </w:r>
      <w:r>
        <w:rPr>
          <w:rFonts w:ascii="宋体" w:hAnsi="宋体" w:eastAsia="宋体" w:cs="宋体"/>
          <w:spacing w:val="-49"/>
          <w:sz w:val="21"/>
          <w:szCs w:val="21"/>
        </w:rPr>
        <w:t xml:space="preserve"> </w:t>
      </w:r>
      <w:r>
        <w:rPr>
          <w:rFonts w:ascii="Times New Roman" w:hAnsi="Times New Roman" w:eastAsia="Times New Roman" w:cs="Times New Roman"/>
          <w:spacing w:val="-1"/>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小时内对该指示予以确认、更改或撤销，监理人逾期未回复的，承包人有权拒绝执</w:t>
      </w:r>
      <w:r>
        <w:rPr>
          <w:rFonts w:ascii="宋体" w:hAnsi="宋体" w:eastAsia="宋体" w:cs="宋体"/>
          <w:spacing w:val="-2"/>
          <w:sz w:val="21"/>
          <w:szCs w:val="21"/>
        </w:rPr>
        <w:t>行上述指示。</w:t>
      </w:r>
    </w:p>
    <w:p w14:paraId="7891A56A">
      <w:pPr>
        <w:spacing w:before="19" w:line="344" w:lineRule="auto"/>
        <w:ind w:left="25" w:right="52" w:firstLine="420"/>
        <w:rPr>
          <w:rFonts w:ascii="宋体" w:hAnsi="宋体" w:eastAsia="宋体" w:cs="宋体"/>
          <w:sz w:val="21"/>
          <w:szCs w:val="21"/>
        </w:rPr>
      </w:pPr>
      <w:r>
        <w:rPr>
          <w:rFonts w:ascii="宋体" w:hAnsi="宋体" w:eastAsia="宋体" w:cs="宋体"/>
          <w:spacing w:val="-2"/>
          <w:sz w:val="21"/>
          <w:szCs w:val="21"/>
        </w:rPr>
        <w:t>监理人对承包人的任何工作、工程或其采用的材料和工程设备未在约定</w:t>
      </w:r>
      <w:r>
        <w:rPr>
          <w:rFonts w:ascii="宋体" w:hAnsi="宋体" w:eastAsia="宋体" w:cs="宋体"/>
          <w:spacing w:val="-3"/>
          <w:sz w:val="21"/>
          <w:szCs w:val="21"/>
        </w:rPr>
        <w:t>的或合理期限内</w:t>
      </w:r>
      <w:r>
        <w:rPr>
          <w:rFonts w:ascii="宋体" w:hAnsi="宋体" w:eastAsia="宋体" w:cs="宋体"/>
          <w:spacing w:val="-2"/>
          <w:sz w:val="21"/>
          <w:szCs w:val="21"/>
        </w:rPr>
        <w:t>提出意见的，视为批准，但不免除或减轻承包人对该工作、工程、材料、工程设备等应承担</w:t>
      </w:r>
      <w:r>
        <w:rPr>
          <w:rFonts w:ascii="宋体" w:hAnsi="宋体" w:eastAsia="宋体" w:cs="宋体"/>
          <w:spacing w:val="-5"/>
          <w:sz w:val="21"/>
          <w:szCs w:val="21"/>
        </w:rPr>
        <w:t>的责任和义务。</w:t>
      </w:r>
    </w:p>
    <w:p w14:paraId="3903B2E9">
      <w:pPr>
        <w:spacing w:line="232" w:lineRule="auto"/>
        <w:ind w:left="21"/>
        <w:outlineLvl w:val="2"/>
        <w:rPr>
          <w:rFonts w:ascii="黑体" w:hAnsi="黑体" w:eastAsia="黑体" w:cs="黑体"/>
          <w:sz w:val="24"/>
          <w:szCs w:val="24"/>
        </w:rPr>
      </w:pPr>
      <w:bookmarkStart w:id="381" w:name="bookmark331"/>
      <w:bookmarkEnd w:id="381"/>
      <w:r>
        <w:rPr>
          <w:rFonts w:ascii="Times New Roman" w:hAnsi="Times New Roman" w:eastAsia="Times New Roman" w:cs="Times New Roman"/>
          <w:b/>
          <w:bCs/>
          <w:spacing w:val="1"/>
          <w:sz w:val="24"/>
          <w:szCs w:val="24"/>
        </w:rPr>
        <w:t>4.4</w:t>
      </w:r>
      <w:r>
        <w:rPr>
          <w:rFonts w:ascii="Times New Roman" w:hAnsi="Times New Roman" w:eastAsia="Times New Roman" w:cs="Times New Roman"/>
          <w:b/>
          <w:bCs/>
          <w:spacing w:val="9"/>
          <w:sz w:val="24"/>
          <w:szCs w:val="24"/>
        </w:rPr>
        <w:t xml:space="preserve">  </w:t>
      </w:r>
      <w:r>
        <w:rPr>
          <w:rFonts w:ascii="黑体" w:hAnsi="黑体" w:eastAsia="黑体" w:cs="黑体"/>
          <w:b/>
          <w:bCs/>
          <w:spacing w:val="1"/>
          <w:sz w:val="24"/>
          <w:szCs w:val="24"/>
        </w:rPr>
        <w:t>商定或确定</w:t>
      </w:r>
    </w:p>
    <w:p w14:paraId="097F5455">
      <w:pPr>
        <w:spacing w:before="115" w:line="356" w:lineRule="auto"/>
        <w:ind w:left="24" w:right="65" w:firstLine="421"/>
        <w:rPr>
          <w:rFonts w:ascii="宋体" w:hAnsi="宋体" w:eastAsia="宋体" w:cs="宋体"/>
          <w:sz w:val="21"/>
          <w:szCs w:val="21"/>
        </w:rPr>
      </w:pPr>
      <w:r>
        <w:rPr>
          <w:rFonts w:ascii="宋体" w:hAnsi="宋体" w:eastAsia="宋体" w:cs="宋体"/>
          <w:spacing w:val="-2"/>
          <w:sz w:val="21"/>
          <w:szCs w:val="21"/>
        </w:rPr>
        <w:t>合同当事人进行商定或确定时，总监理工程师应当会同合同当</w:t>
      </w:r>
      <w:r>
        <w:rPr>
          <w:rFonts w:ascii="宋体" w:hAnsi="宋体" w:eastAsia="宋体" w:cs="宋体"/>
          <w:spacing w:val="-3"/>
          <w:sz w:val="21"/>
          <w:szCs w:val="21"/>
        </w:rPr>
        <w:t>事人尽量通过协商达成一</w:t>
      </w:r>
      <w:r>
        <w:rPr>
          <w:rFonts w:ascii="宋体" w:hAnsi="宋体" w:eastAsia="宋体" w:cs="宋体"/>
          <w:spacing w:val="-1"/>
          <w:sz w:val="21"/>
          <w:szCs w:val="21"/>
        </w:rPr>
        <w:t>致，不能达成一致的，由总监理工程师按照合同约定审慎做出公正的确定。</w:t>
      </w:r>
    </w:p>
    <w:p w14:paraId="545783D7">
      <w:pPr>
        <w:spacing w:before="1" w:line="349" w:lineRule="auto"/>
        <w:ind w:left="25" w:right="60" w:firstLine="424"/>
        <w:jc w:val="both"/>
        <w:rPr>
          <w:rFonts w:ascii="宋体" w:hAnsi="宋体" w:eastAsia="宋体" w:cs="宋体"/>
          <w:sz w:val="21"/>
          <w:szCs w:val="21"/>
        </w:rPr>
      </w:pPr>
      <w:r>
        <w:rPr>
          <w:rFonts w:ascii="宋体" w:hAnsi="宋体" w:eastAsia="宋体" w:cs="宋体"/>
          <w:spacing w:val="-2"/>
          <w:sz w:val="21"/>
          <w:szCs w:val="21"/>
        </w:rPr>
        <w:t>总监理工程师应将确定以书面形式通知发包人和承包人，并</w:t>
      </w:r>
      <w:r>
        <w:rPr>
          <w:rFonts w:ascii="宋体" w:hAnsi="宋体" w:eastAsia="宋体" w:cs="宋体"/>
          <w:spacing w:val="-3"/>
          <w:sz w:val="21"/>
          <w:szCs w:val="21"/>
        </w:rPr>
        <w:t>附详细依据。合同当事人对</w:t>
      </w:r>
      <w:r>
        <w:rPr>
          <w:rFonts w:ascii="宋体" w:hAnsi="宋体" w:eastAsia="宋体" w:cs="宋体"/>
          <w:spacing w:val="-2"/>
          <w:sz w:val="21"/>
          <w:szCs w:val="21"/>
        </w:rPr>
        <w:t>总监理工程师的确定没有异议的，按照总监理工程师的确定执行。任何一方合同当事</w:t>
      </w:r>
      <w:r>
        <w:rPr>
          <w:rFonts w:ascii="宋体" w:hAnsi="宋体" w:eastAsia="宋体" w:cs="宋体"/>
          <w:spacing w:val="-3"/>
          <w:sz w:val="21"/>
          <w:szCs w:val="21"/>
        </w:rPr>
        <w:t>人有异</w:t>
      </w:r>
      <w:r>
        <w:rPr>
          <w:rFonts w:ascii="宋体" w:hAnsi="宋体" w:eastAsia="宋体" w:cs="宋体"/>
          <w:sz w:val="21"/>
          <w:szCs w:val="21"/>
        </w:rPr>
        <w:t>议，按照第</w:t>
      </w:r>
      <w:r>
        <w:rPr>
          <w:rFonts w:ascii="宋体" w:hAnsi="宋体" w:eastAsia="宋体" w:cs="宋体"/>
          <w:spacing w:val="-42"/>
          <w:sz w:val="21"/>
          <w:szCs w:val="21"/>
        </w:rPr>
        <w:t xml:space="preserve"> </w:t>
      </w:r>
      <w:r>
        <w:rPr>
          <w:rFonts w:ascii="Times New Roman" w:hAnsi="Times New Roman" w:eastAsia="Times New Roman" w:cs="Times New Roman"/>
          <w:sz w:val="21"/>
          <w:szCs w:val="21"/>
        </w:rPr>
        <w:t>20</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条〔争议解决〕约定处理。争议解决前，合同当事人暂</w:t>
      </w:r>
      <w:r>
        <w:rPr>
          <w:rFonts w:ascii="宋体" w:hAnsi="宋体" w:eastAsia="宋体" w:cs="宋体"/>
          <w:spacing w:val="-1"/>
          <w:sz w:val="21"/>
          <w:szCs w:val="21"/>
        </w:rPr>
        <w:t>按总监理工程师的确</w:t>
      </w:r>
      <w:r>
        <w:rPr>
          <w:rFonts w:ascii="宋体" w:hAnsi="宋体" w:eastAsia="宋体" w:cs="宋体"/>
          <w:spacing w:val="-2"/>
          <w:sz w:val="21"/>
          <w:szCs w:val="21"/>
        </w:rPr>
        <w:t>定执行；争议解决后，争议解决的结果与总监理工程师的确定不一致的，按照</w:t>
      </w:r>
      <w:r>
        <w:rPr>
          <w:rFonts w:ascii="宋体" w:hAnsi="宋体" w:eastAsia="宋体" w:cs="宋体"/>
          <w:spacing w:val="-3"/>
          <w:sz w:val="21"/>
          <w:szCs w:val="21"/>
        </w:rPr>
        <w:t>争议解决的结</w:t>
      </w:r>
      <w:r>
        <w:rPr>
          <w:rFonts w:ascii="宋体" w:hAnsi="宋体" w:eastAsia="宋体" w:cs="宋体"/>
          <w:spacing w:val="-2"/>
          <w:sz w:val="21"/>
          <w:szCs w:val="21"/>
        </w:rPr>
        <w:t>果执行，由此造成的损失由责任人承担。</w:t>
      </w:r>
    </w:p>
    <w:p w14:paraId="559391F8">
      <w:pPr>
        <w:spacing w:before="50" w:line="237" w:lineRule="auto"/>
        <w:ind w:left="25"/>
        <w:outlineLvl w:val="1"/>
        <w:rPr>
          <w:rFonts w:ascii="黑体" w:hAnsi="黑体" w:eastAsia="黑体" w:cs="黑体"/>
          <w:sz w:val="28"/>
          <w:szCs w:val="28"/>
        </w:rPr>
      </w:pPr>
      <w:bookmarkStart w:id="382" w:name="bookmark333"/>
      <w:bookmarkEnd w:id="382"/>
      <w:bookmarkStart w:id="383" w:name="bookmark332"/>
      <w:bookmarkEnd w:id="383"/>
      <w:r>
        <w:rPr>
          <w:rFonts w:ascii="Times New Roman" w:hAnsi="Times New Roman" w:eastAsia="Times New Roman" w:cs="Times New Roman"/>
          <w:b/>
          <w:bCs/>
          <w:spacing w:val="7"/>
          <w:sz w:val="28"/>
          <w:szCs w:val="28"/>
        </w:rPr>
        <w:t>5.</w:t>
      </w:r>
      <w:r>
        <w:rPr>
          <w:rFonts w:ascii="Times New Roman" w:hAnsi="Times New Roman" w:eastAsia="Times New Roman" w:cs="Times New Roman"/>
          <w:b/>
          <w:bCs/>
          <w:spacing w:val="67"/>
          <w:sz w:val="28"/>
          <w:szCs w:val="28"/>
        </w:rPr>
        <w:t xml:space="preserve"> </w:t>
      </w:r>
      <w:r>
        <w:rPr>
          <w:rFonts w:ascii="黑体" w:hAnsi="黑体" w:eastAsia="黑体" w:cs="黑体"/>
          <w:b/>
          <w:bCs/>
          <w:spacing w:val="7"/>
          <w:sz w:val="28"/>
          <w:szCs w:val="28"/>
        </w:rPr>
        <w:t>工程质量</w:t>
      </w:r>
    </w:p>
    <w:p w14:paraId="0DECEDFE">
      <w:pPr>
        <w:spacing w:before="71" w:line="233" w:lineRule="auto"/>
        <w:ind w:left="24"/>
        <w:outlineLvl w:val="2"/>
        <w:rPr>
          <w:rFonts w:ascii="黑体" w:hAnsi="黑体" w:eastAsia="黑体" w:cs="黑体"/>
          <w:sz w:val="24"/>
          <w:szCs w:val="24"/>
        </w:rPr>
      </w:pPr>
      <w:bookmarkStart w:id="384" w:name="bookmark687"/>
      <w:bookmarkEnd w:id="384"/>
      <w:r>
        <w:rPr>
          <w:rFonts w:ascii="Times New Roman" w:hAnsi="Times New Roman" w:eastAsia="Times New Roman" w:cs="Times New Roman"/>
          <w:b/>
          <w:bCs/>
          <w:spacing w:val="3"/>
          <w:sz w:val="24"/>
          <w:szCs w:val="24"/>
        </w:rPr>
        <w:t xml:space="preserve">5.1 </w:t>
      </w:r>
      <w:r>
        <w:rPr>
          <w:rFonts w:ascii="黑体" w:hAnsi="黑体" w:eastAsia="黑体" w:cs="黑体"/>
          <w:b/>
          <w:bCs/>
          <w:spacing w:val="3"/>
          <w:sz w:val="24"/>
          <w:szCs w:val="24"/>
        </w:rPr>
        <w:t>质量要求</w:t>
      </w:r>
    </w:p>
    <w:p w14:paraId="3DD6DDDA">
      <w:pPr>
        <w:spacing w:before="128" w:line="348" w:lineRule="auto"/>
        <w:ind w:left="26" w:right="60"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5.1.1  </w:t>
      </w:r>
      <w:r>
        <w:rPr>
          <w:rFonts w:ascii="宋体" w:hAnsi="宋体" w:eastAsia="宋体" w:cs="宋体"/>
          <w:spacing w:val="1"/>
          <w:sz w:val="21"/>
          <w:szCs w:val="21"/>
        </w:rPr>
        <w:t>工程质量标准必须符合现行国家</w:t>
      </w:r>
      <w:r>
        <w:rPr>
          <w:rFonts w:ascii="宋体" w:hAnsi="宋体" w:eastAsia="宋体" w:cs="宋体"/>
          <w:sz w:val="21"/>
          <w:szCs w:val="21"/>
        </w:rPr>
        <w:t>有关工程施工质量验收规范和标准的要求。有关</w:t>
      </w:r>
      <w:r>
        <w:rPr>
          <w:rFonts w:ascii="宋体" w:hAnsi="宋体" w:eastAsia="宋体" w:cs="宋体"/>
          <w:spacing w:val="-1"/>
          <w:sz w:val="21"/>
          <w:szCs w:val="21"/>
        </w:rPr>
        <w:t>工程质量的特殊标准或要求由合同当事人在专用合同条款中约定。</w:t>
      </w:r>
    </w:p>
    <w:p w14:paraId="7B208537">
      <w:pPr>
        <w:spacing w:before="5" w:line="348" w:lineRule="auto"/>
        <w:ind w:left="25" w:right="60"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5.1.2  </w:t>
      </w:r>
      <w:r>
        <w:rPr>
          <w:rFonts w:ascii="宋体" w:hAnsi="宋体" w:eastAsia="宋体" w:cs="宋体"/>
          <w:spacing w:val="1"/>
          <w:sz w:val="21"/>
          <w:szCs w:val="21"/>
        </w:rPr>
        <w:t>因发包人原因造成工程质量未达</w:t>
      </w:r>
      <w:r>
        <w:rPr>
          <w:rFonts w:ascii="宋体" w:hAnsi="宋体" w:eastAsia="宋体" w:cs="宋体"/>
          <w:sz w:val="21"/>
          <w:szCs w:val="21"/>
        </w:rPr>
        <w:t>到合同约定标准的，由发包人承担由此增加的费</w:t>
      </w:r>
      <w:r>
        <w:rPr>
          <w:rFonts w:ascii="宋体" w:hAnsi="宋体" w:eastAsia="宋体" w:cs="宋体"/>
          <w:spacing w:val="-2"/>
          <w:sz w:val="21"/>
          <w:szCs w:val="21"/>
        </w:rPr>
        <w:t>用和（或）延误的工期，并支付承包人合理的利润。</w:t>
      </w:r>
    </w:p>
    <w:p w14:paraId="7F58EBC0">
      <w:pPr>
        <w:spacing w:before="20" w:line="344" w:lineRule="auto"/>
        <w:ind w:left="25" w:right="60"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5.1.3  </w:t>
      </w:r>
      <w:r>
        <w:rPr>
          <w:rFonts w:ascii="宋体" w:hAnsi="宋体" w:eastAsia="宋体" w:cs="宋体"/>
          <w:spacing w:val="1"/>
          <w:sz w:val="21"/>
          <w:szCs w:val="21"/>
        </w:rPr>
        <w:t>因承包人原因造成工程质量未达</w:t>
      </w:r>
      <w:r>
        <w:rPr>
          <w:rFonts w:ascii="宋体" w:hAnsi="宋体" w:eastAsia="宋体" w:cs="宋体"/>
          <w:sz w:val="21"/>
          <w:szCs w:val="21"/>
        </w:rPr>
        <w:t>到合同约定标准的，发包人有权要求承包人返工</w:t>
      </w:r>
      <w:r>
        <w:rPr>
          <w:rFonts w:ascii="宋体" w:hAnsi="宋体" w:eastAsia="宋体" w:cs="宋体"/>
          <w:spacing w:val="-2"/>
          <w:sz w:val="21"/>
          <w:szCs w:val="21"/>
        </w:rPr>
        <w:t>直至工程质量达到合同约定的标准为止，并由承包人承担由此增加的费用和（或）延</w:t>
      </w:r>
      <w:r>
        <w:rPr>
          <w:rFonts w:ascii="宋体" w:hAnsi="宋体" w:eastAsia="宋体" w:cs="宋体"/>
          <w:spacing w:val="-3"/>
          <w:sz w:val="21"/>
          <w:szCs w:val="21"/>
        </w:rPr>
        <w:t>误的工</w:t>
      </w:r>
      <w:r>
        <w:rPr>
          <w:rFonts w:ascii="宋体" w:hAnsi="宋体" w:eastAsia="宋体" w:cs="宋体"/>
          <w:spacing w:val="-10"/>
          <w:sz w:val="21"/>
          <w:szCs w:val="21"/>
        </w:rPr>
        <w:t>期。</w:t>
      </w:r>
    </w:p>
    <w:p w14:paraId="61282A5D">
      <w:pPr>
        <w:spacing w:line="233" w:lineRule="auto"/>
        <w:ind w:left="24"/>
        <w:outlineLvl w:val="2"/>
        <w:rPr>
          <w:rFonts w:ascii="黑体" w:hAnsi="黑体" w:eastAsia="黑体" w:cs="黑体"/>
          <w:sz w:val="24"/>
          <w:szCs w:val="24"/>
        </w:rPr>
      </w:pPr>
      <w:bookmarkStart w:id="385" w:name="bookmark334"/>
      <w:bookmarkEnd w:id="385"/>
      <w:r>
        <w:rPr>
          <w:rFonts w:ascii="Times New Roman" w:hAnsi="Times New Roman" w:eastAsia="Times New Roman" w:cs="Times New Roman"/>
          <w:b/>
          <w:bCs/>
          <w:spacing w:val="2"/>
          <w:sz w:val="24"/>
          <w:szCs w:val="24"/>
        </w:rPr>
        <w:t xml:space="preserve">5.2 </w:t>
      </w:r>
      <w:r>
        <w:rPr>
          <w:rFonts w:ascii="黑体" w:hAnsi="黑体" w:eastAsia="黑体" w:cs="黑体"/>
          <w:b/>
          <w:bCs/>
          <w:spacing w:val="2"/>
          <w:sz w:val="24"/>
          <w:szCs w:val="24"/>
        </w:rPr>
        <w:t>质量保证措施</w:t>
      </w:r>
    </w:p>
    <w:p w14:paraId="547B566B">
      <w:pPr>
        <w:spacing w:before="113" w:line="233" w:lineRule="auto"/>
        <w:ind w:left="446"/>
        <w:rPr>
          <w:rFonts w:ascii="宋体" w:hAnsi="宋体" w:eastAsia="宋体" w:cs="宋体"/>
          <w:sz w:val="21"/>
          <w:szCs w:val="21"/>
        </w:rPr>
      </w:pPr>
      <w:r>
        <w:rPr>
          <w:rFonts w:ascii="Times New Roman" w:hAnsi="Times New Roman" w:eastAsia="Times New Roman" w:cs="Times New Roman"/>
          <w:spacing w:val="-1"/>
          <w:sz w:val="21"/>
          <w:szCs w:val="21"/>
        </w:rPr>
        <w:t>5.2.1</w:t>
      </w:r>
      <w:r>
        <w:rPr>
          <w:rFonts w:ascii="Times New Roman" w:hAnsi="Times New Roman" w:eastAsia="Times New Roman" w:cs="Times New Roman"/>
          <w:spacing w:val="59"/>
          <w:w w:val="101"/>
          <w:sz w:val="21"/>
          <w:szCs w:val="21"/>
        </w:rPr>
        <w:t xml:space="preserve"> </w:t>
      </w:r>
      <w:r>
        <w:rPr>
          <w:rFonts w:ascii="宋体" w:hAnsi="宋体" w:eastAsia="宋体" w:cs="宋体"/>
          <w:spacing w:val="-1"/>
          <w:sz w:val="21"/>
          <w:szCs w:val="21"/>
        </w:rPr>
        <w:t>发包人的质量管理</w:t>
      </w:r>
    </w:p>
    <w:p w14:paraId="52785B53">
      <w:pPr>
        <w:spacing w:before="140" w:line="220" w:lineRule="auto"/>
        <w:ind w:left="448"/>
        <w:rPr>
          <w:rFonts w:ascii="宋体" w:hAnsi="宋体" w:eastAsia="宋体" w:cs="宋体"/>
          <w:sz w:val="21"/>
          <w:szCs w:val="21"/>
        </w:rPr>
      </w:pPr>
      <w:r>
        <w:rPr>
          <w:rFonts w:ascii="宋体" w:hAnsi="宋体" w:eastAsia="宋体" w:cs="宋体"/>
          <w:spacing w:val="-1"/>
          <w:sz w:val="21"/>
          <w:szCs w:val="21"/>
        </w:rPr>
        <w:t>发包人应按照法律规定及合同约定完成与工程质量有关的各项工作。</w:t>
      </w:r>
    </w:p>
    <w:p w14:paraId="64003F33">
      <w:pPr>
        <w:spacing w:before="156" w:line="233" w:lineRule="auto"/>
        <w:ind w:left="446"/>
        <w:rPr>
          <w:rFonts w:ascii="宋体" w:hAnsi="宋体" w:eastAsia="宋体" w:cs="宋体"/>
          <w:sz w:val="21"/>
          <w:szCs w:val="21"/>
        </w:rPr>
      </w:pPr>
      <w:r>
        <w:rPr>
          <w:rFonts w:ascii="Times New Roman" w:hAnsi="Times New Roman" w:eastAsia="Times New Roman" w:cs="Times New Roman"/>
          <w:sz w:val="21"/>
          <w:szCs w:val="21"/>
        </w:rPr>
        <w:t>5.2.2</w:t>
      </w:r>
      <w:r>
        <w:rPr>
          <w:rFonts w:ascii="Times New Roman" w:hAnsi="Times New Roman" w:eastAsia="Times New Roman" w:cs="Times New Roman"/>
          <w:spacing w:val="46"/>
          <w:w w:val="101"/>
          <w:sz w:val="21"/>
          <w:szCs w:val="21"/>
        </w:rPr>
        <w:t xml:space="preserve"> </w:t>
      </w:r>
      <w:r>
        <w:rPr>
          <w:rFonts w:ascii="宋体" w:hAnsi="宋体" w:eastAsia="宋体" w:cs="宋体"/>
          <w:sz w:val="21"/>
          <w:szCs w:val="21"/>
        </w:rPr>
        <w:t>承包人的质量管理</w:t>
      </w:r>
    </w:p>
    <w:p w14:paraId="5B58752A">
      <w:pPr>
        <w:spacing w:before="124" w:line="355" w:lineRule="auto"/>
        <w:ind w:left="24" w:right="48" w:firstLine="420"/>
        <w:rPr>
          <w:rFonts w:ascii="宋体" w:hAnsi="宋体" w:eastAsia="宋体" w:cs="宋体"/>
          <w:sz w:val="21"/>
          <w:szCs w:val="21"/>
        </w:rPr>
      </w:pPr>
      <w:r>
        <w:rPr>
          <w:rFonts w:ascii="宋体" w:hAnsi="宋体" w:eastAsia="宋体" w:cs="宋体"/>
          <w:spacing w:val="-1"/>
          <w:sz w:val="21"/>
          <w:szCs w:val="21"/>
        </w:rPr>
        <w:t>承包人按照第</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款〔施工组织设计〕约定向发包人和监理人提</w:t>
      </w:r>
      <w:r>
        <w:rPr>
          <w:rFonts w:ascii="宋体" w:hAnsi="宋体" w:eastAsia="宋体" w:cs="宋体"/>
          <w:spacing w:val="-2"/>
          <w:sz w:val="21"/>
          <w:szCs w:val="21"/>
        </w:rPr>
        <w:t>交工程质量保证体系及措施文件，建立完善的质量检查制度，并提交相应的工程质量文件。对于发包人</w:t>
      </w:r>
      <w:r>
        <w:rPr>
          <w:rFonts w:ascii="宋体" w:hAnsi="宋体" w:eastAsia="宋体" w:cs="宋体"/>
          <w:spacing w:val="-3"/>
          <w:sz w:val="21"/>
          <w:szCs w:val="21"/>
        </w:rPr>
        <w:t>和监理人违</w:t>
      </w:r>
      <w:r>
        <w:rPr>
          <w:rFonts w:ascii="宋体" w:hAnsi="宋体" w:eastAsia="宋体" w:cs="宋体"/>
          <w:spacing w:val="-1"/>
          <w:sz w:val="21"/>
          <w:szCs w:val="21"/>
        </w:rPr>
        <w:t>反法律规定和合同约定的错误指示，承包人有权拒绝实施。</w:t>
      </w:r>
    </w:p>
    <w:p w14:paraId="79CE7DED">
      <w:pPr>
        <w:spacing w:line="355" w:lineRule="auto"/>
        <w:rPr>
          <w:rFonts w:ascii="宋体" w:hAnsi="宋体" w:eastAsia="宋体" w:cs="宋体"/>
          <w:sz w:val="21"/>
          <w:szCs w:val="21"/>
        </w:rPr>
        <w:sectPr>
          <w:footerReference r:id="rId165" w:type="default"/>
          <w:pgSz w:w="11910" w:h="16845"/>
          <w:pgMar w:top="400" w:right="1718" w:bottom="1110" w:left="1786" w:header="0" w:footer="883" w:gutter="0"/>
          <w:cols w:space="720" w:num="1"/>
        </w:sectPr>
      </w:pPr>
    </w:p>
    <w:p w14:paraId="373AE792">
      <w:pPr>
        <w:pStyle w:val="2"/>
        <w:spacing w:line="275" w:lineRule="auto"/>
      </w:pPr>
    </w:p>
    <w:p w14:paraId="4700C8D4">
      <w:pPr>
        <w:pStyle w:val="2"/>
        <w:spacing w:line="275" w:lineRule="auto"/>
      </w:pPr>
    </w:p>
    <w:p w14:paraId="728CD0B1">
      <w:pPr>
        <w:pStyle w:val="2"/>
        <w:spacing w:line="275" w:lineRule="auto"/>
      </w:pPr>
    </w:p>
    <w:p w14:paraId="40681AC2">
      <w:pPr>
        <w:pStyle w:val="2"/>
        <w:spacing w:line="275" w:lineRule="auto"/>
      </w:pPr>
    </w:p>
    <w:p w14:paraId="3A004D90">
      <w:pPr>
        <w:spacing w:before="68" w:line="350" w:lineRule="auto"/>
        <w:ind w:left="27" w:right="90" w:firstLine="417"/>
        <w:rPr>
          <w:rFonts w:ascii="宋体" w:hAnsi="宋体" w:eastAsia="宋体" w:cs="宋体"/>
          <w:sz w:val="21"/>
          <w:szCs w:val="21"/>
        </w:rPr>
      </w:pPr>
      <w:r>
        <w:rPr>
          <w:rFonts w:ascii="宋体" w:hAnsi="宋体" w:eastAsia="宋体" w:cs="宋体"/>
          <w:spacing w:val="-2"/>
          <w:sz w:val="21"/>
          <w:szCs w:val="21"/>
        </w:rPr>
        <w:t>承包人应对施工人员进行质量教育和技术培训，定期考核施工人员的劳动</w:t>
      </w:r>
      <w:r>
        <w:rPr>
          <w:rFonts w:ascii="宋体" w:hAnsi="宋体" w:eastAsia="宋体" w:cs="宋体"/>
          <w:spacing w:val="-3"/>
          <w:sz w:val="21"/>
          <w:szCs w:val="21"/>
        </w:rPr>
        <w:t>技能，严格执</w:t>
      </w:r>
      <w:r>
        <w:rPr>
          <w:rFonts w:ascii="宋体" w:hAnsi="宋体" w:eastAsia="宋体" w:cs="宋体"/>
          <w:spacing w:val="-4"/>
          <w:sz w:val="21"/>
          <w:szCs w:val="21"/>
        </w:rPr>
        <w:t>行施工规范和操作规程。</w:t>
      </w:r>
    </w:p>
    <w:p w14:paraId="3D7E61CA">
      <w:pPr>
        <w:spacing w:before="2" w:line="352" w:lineRule="auto"/>
        <w:ind w:left="25" w:firstLine="419"/>
        <w:jc w:val="both"/>
        <w:rPr>
          <w:rFonts w:ascii="宋体" w:hAnsi="宋体" w:eastAsia="宋体" w:cs="宋体"/>
          <w:sz w:val="21"/>
          <w:szCs w:val="21"/>
        </w:rPr>
      </w:pPr>
      <w:r>
        <w:rPr>
          <w:rFonts w:ascii="宋体" w:hAnsi="宋体" w:eastAsia="宋体" w:cs="宋体"/>
          <w:spacing w:val="-2"/>
          <w:sz w:val="21"/>
          <w:szCs w:val="21"/>
        </w:rPr>
        <w:t>承包人应按照法律规定和发包人的要求，对材料、工程设</w:t>
      </w:r>
      <w:r>
        <w:rPr>
          <w:rFonts w:ascii="宋体" w:hAnsi="宋体" w:eastAsia="宋体" w:cs="宋体"/>
          <w:spacing w:val="-3"/>
          <w:sz w:val="21"/>
          <w:szCs w:val="21"/>
        </w:rPr>
        <w:t>备以及工程的所有部位及其施</w:t>
      </w:r>
      <w:r>
        <w:rPr>
          <w:rFonts w:ascii="宋体" w:hAnsi="宋体" w:eastAsia="宋体" w:cs="宋体"/>
          <w:spacing w:val="-5"/>
          <w:sz w:val="21"/>
          <w:szCs w:val="21"/>
        </w:rPr>
        <w:t>工工艺进行全过程的质量检查和检验，并作详细记录，编制工程质量报表，报送监理人审查。</w:t>
      </w:r>
      <w:r>
        <w:rPr>
          <w:rFonts w:ascii="宋体" w:hAnsi="宋体" w:eastAsia="宋体" w:cs="宋体"/>
          <w:spacing w:val="-2"/>
          <w:sz w:val="21"/>
          <w:szCs w:val="21"/>
        </w:rPr>
        <w:t>此外，承包人还应按照法律规定和发包人的要求，进行施工现场取样试验、工</w:t>
      </w:r>
      <w:r>
        <w:rPr>
          <w:rFonts w:ascii="宋体" w:hAnsi="宋体" w:eastAsia="宋体" w:cs="宋体"/>
          <w:spacing w:val="-3"/>
          <w:sz w:val="21"/>
          <w:szCs w:val="21"/>
        </w:rPr>
        <w:t>程复核测量和</w:t>
      </w:r>
      <w:r>
        <w:rPr>
          <w:rFonts w:ascii="宋体" w:hAnsi="宋体" w:eastAsia="宋体" w:cs="宋体"/>
          <w:spacing w:val="-1"/>
          <w:sz w:val="21"/>
          <w:szCs w:val="21"/>
        </w:rPr>
        <w:t>设备性能检测，提供试验样品、提交试验报告和测量成果以及其他工作。</w:t>
      </w:r>
    </w:p>
    <w:p w14:paraId="726912B5">
      <w:pPr>
        <w:spacing w:before="2" w:line="233" w:lineRule="auto"/>
        <w:ind w:left="446"/>
        <w:rPr>
          <w:rFonts w:ascii="宋体" w:hAnsi="宋体" w:eastAsia="宋体" w:cs="宋体"/>
          <w:sz w:val="21"/>
          <w:szCs w:val="21"/>
        </w:rPr>
      </w:pPr>
      <w:r>
        <w:rPr>
          <w:rFonts w:ascii="Times New Roman" w:hAnsi="Times New Roman" w:eastAsia="Times New Roman" w:cs="Times New Roman"/>
          <w:sz w:val="21"/>
          <w:szCs w:val="21"/>
        </w:rPr>
        <w:t>5.2.3</w:t>
      </w:r>
      <w:r>
        <w:rPr>
          <w:rFonts w:ascii="Times New Roman" w:hAnsi="Times New Roman" w:eastAsia="Times New Roman" w:cs="Times New Roman"/>
          <w:spacing w:val="47"/>
          <w:sz w:val="21"/>
          <w:szCs w:val="21"/>
        </w:rPr>
        <w:t xml:space="preserve"> </w:t>
      </w:r>
      <w:r>
        <w:rPr>
          <w:rFonts w:ascii="宋体" w:hAnsi="宋体" w:eastAsia="宋体" w:cs="宋体"/>
          <w:sz w:val="21"/>
          <w:szCs w:val="21"/>
        </w:rPr>
        <w:t>监理人的质量检查和检验</w:t>
      </w:r>
    </w:p>
    <w:p w14:paraId="71537FEA">
      <w:pPr>
        <w:spacing w:before="139" w:line="350" w:lineRule="auto"/>
        <w:ind w:left="24" w:right="3" w:firstLine="421"/>
        <w:rPr>
          <w:rFonts w:ascii="宋体" w:hAnsi="宋体" w:eastAsia="宋体" w:cs="宋体"/>
          <w:sz w:val="21"/>
          <w:szCs w:val="21"/>
        </w:rPr>
      </w:pPr>
      <w:r>
        <w:rPr>
          <w:rFonts w:ascii="宋体" w:hAnsi="宋体" w:eastAsia="宋体" w:cs="宋体"/>
          <w:spacing w:val="-2"/>
          <w:sz w:val="21"/>
          <w:szCs w:val="21"/>
        </w:rPr>
        <w:t>监理人按照法律规定和发包人授权对工程的所有部位及其施工工艺、材</w:t>
      </w:r>
      <w:r>
        <w:rPr>
          <w:rFonts w:ascii="宋体" w:hAnsi="宋体" w:eastAsia="宋体" w:cs="宋体"/>
          <w:spacing w:val="-3"/>
          <w:sz w:val="21"/>
          <w:szCs w:val="21"/>
        </w:rPr>
        <w:t>料和工程设备进</w:t>
      </w:r>
      <w:r>
        <w:rPr>
          <w:rFonts w:ascii="宋体" w:hAnsi="宋体" w:eastAsia="宋体" w:cs="宋体"/>
          <w:spacing w:val="-5"/>
          <w:sz w:val="21"/>
          <w:szCs w:val="21"/>
        </w:rPr>
        <w:t>行检查和检验。承包人应为监理人的检查和检验提供方便，包括监理人到施工现场，或制造、</w:t>
      </w:r>
      <w:r>
        <w:rPr>
          <w:rFonts w:ascii="宋体" w:hAnsi="宋体" w:eastAsia="宋体" w:cs="宋体"/>
          <w:spacing w:val="-2"/>
          <w:sz w:val="21"/>
          <w:szCs w:val="21"/>
        </w:rPr>
        <w:t>加工地点，或合同约定的其他地方进行察看和查阅施工原始记录。监</w:t>
      </w:r>
      <w:r>
        <w:rPr>
          <w:rFonts w:ascii="宋体" w:hAnsi="宋体" w:eastAsia="宋体" w:cs="宋体"/>
          <w:spacing w:val="-3"/>
          <w:sz w:val="21"/>
          <w:szCs w:val="21"/>
        </w:rPr>
        <w:t>理人为此进行的检查和</w:t>
      </w:r>
      <w:r>
        <w:rPr>
          <w:rFonts w:ascii="宋体" w:hAnsi="宋体" w:eastAsia="宋体" w:cs="宋体"/>
          <w:spacing w:val="-1"/>
          <w:sz w:val="21"/>
          <w:szCs w:val="21"/>
        </w:rPr>
        <w:t>检验，不免除或减轻承包人按照合同约定应当承担的责任。</w:t>
      </w:r>
    </w:p>
    <w:p w14:paraId="75A65872">
      <w:pPr>
        <w:spacing w:before="1" w:line="344" w:lineRule="auto"/>
        <w:ind w:left="23" w:right="76" w:firstLine="422"/>
        <w:jc w:val="both"/>
        <w:rPr>
          <w:rFonts w:ascii="宋体" w:hAnsi="宋体" w:eastAsia="宋体" w:cs="宋体"/>
          <w:sz w:val="21"/>
          <w:szCs w:val="21"/>
        </w:rPr>
      </w:pPr>
      <w:r>
        <w:rPr>
          <w:rFonts w:ascii="宋体" w:hAnsi="宋体" w:eastAsia="宋体" w:cs="宋体"/>
          <w:spacing w:val="3"/>
          <w:sz w:val="21"/>
          <w:szCs w:val="21"/>
        </w:rPr>
        <w:t>监理人的检查和检验不应影响施工正常进行。监理人的检查和检验影响施工正常</w:t>
      </w:r>
      <w:r>
        <w:rPr>
          <w:rFonts w:ascii="宋体" w:hAnsi="宋体" w:eastAsia="宋体" w:cs="宋体"/>
          <w:spacing w:val="2"/>
          <w:sz w:val="21"/>
          <w:szCs w:val="21"/>
        </w:rPr>
        <w:t>进行</w:t>
      </w:r>
      <w:r>
        <w:rPr>
          <w:rFonts w:ascii="宋体" w:hAnsi="宋体" w:eastAsia="宋体" w:cs="宋体"/>
          <w:spacing w:val="-2"/>
          <w:sz w:val="21"/>
          <w:szCs w:val="21"/>
        </w:rPr>
        <w:t>的，且经检查检验不合格的，影响正常施工的费用由承包人承担，工期不予顺延；经检查检</w:t>
      </w:r>
      <w:r>
        <w:rPr>
          <w:rFonts w:ascii="宋体" w:hAnsi="宋体" w:eastAsia="宋体" w:cs="宋体"/>
          <w:spacing w:val="-1"/>
          <w:sz w:val="21"/>
          <w:szCs w:val="21"/>
        </w:rPr>
        <w:t>验合格的，由此增加的费用和（或）延误的工期由发包人承担。</w:t>
      </w:r>
    </w:p>
    <w:p w14:paraId="163C9E2A">
      <w:pPr>
        <w:spacing w:before="1" w:line="232" w:lineRule="auto"/>
        <w:ind w:left="24"/>
        <w:outlineLvl w:val="2"/>
        <w:rPr>
          <w:rFonts w:ascii="黑体" w:hAnsi="黑体" w:eastAsia="黑体" w:cs="黑体"/>
          <w:sz w:val="24"/>
          <w:szCs w:val="24"/>
        </w:rPr>
      </w:pPr>
      <w:bookmarkStart w:id="386" w:name="bookmark335"/>
      <w:bookmarkEnd w:id="386"/>
      <w:r>
        <w:rPr>
          <w:rFonts w:ascii="Times New Roman" w:hAnsi="Times New Roman" w:eastAsia="Times New Roman" w:cs="Times New Roman"/>
          <w:b/>
          <w:bCs/>
          <w:spacing w:val="2"/>
          <w:sz w:val="24"/>
          <w:szCs w:val="24"/>
        </w:rPr>
        <w:t xml:space="preserve">5.3  </w:t>
      </w:r>
      <w:r>
        <w:rPr>
          <w:rFonts w:ascii="黑体" w:hAnsi="黑体" w:eastAsia="黑体" w:cs="黑体"/>
          <w:b/>
          <w:bCs/>
          <w:spacing w:val="2"/>
          <w:sz w:val="24"/>
          <w:szCs w:val="24"/>
        </w:rPr>
        <w:t>隐蔽工程检查</w:t>
      </w:r>
    </w:p>
    <w:p w14:paraId="31BE1246">
      <w:pPr>
        <w:spacing w:before="129" w:line="233" w:lineRule="auto"/>
        <w:ind w:left="446"/>
        <w:rPr>
          <w:rFonts w:ascii="宋体" w:hAnsi="宋体" w:eastAsia="宋体" w:cs="宋体"/>
          <w:sz w:val="21"/>
          <w:szCs w:val="21"/>
        </w:rPr>
      </w:pPr>
      <w:r>
        <w:rPr>
          <w:rFonts w:ascii="Times New Roman" w:hAnsi="Times New Roman" w:eastAsia="Times New Roman" w:cs="Times New Roman"/>
          <w:spacing w:val="-1"/>
          <w:sz w:val="21"/>
          <w:szCs w:val="21"/>
        </w:rPr>
        <w:t>5.3.1</w:t>
      </w:r>
      <w:r>
        <w:rPr>
          <w:rFonts w:ascii="Times New Roman" w:hAnsi="Times New Roman" w:eastAsia="Times New Roman" w:cs="Times New Roman"/>
          <w:spacing w:val="25"/>
          <w:sz w:val="21"/>
          <w:szCs w:val="21"/>
        </w:rPr>
        <w:t xml:space="preserve"> </w:t>
      </w:r>
      <w:r>
        <w:rPr>
          <w:rFonts w:ascii="宋体" w:hAnsi="宋体" w:eastAsia="宋体" w:cs="宋体"/>
          <w:spacing w:val="-1"/>
          <w:sz w:val="21"/>
          <w:szCs w:val="21"/>
        </w:rPr>
        <w:t>承包人自检</w:t>
      </w:r>
    </w:p>
    <w:p w14:paraId="6819A6FE">
      <w:pPr>
        <w:spacing w:before="139" w:line="220" w:lineRule="auto"/>
        <w:ind w:left="444"/>
        <w:rPr>
          <w:rFonts w:ascii="宋体" w:hAnsi="宋体" w:eastAsia="宋体" w:cs="宋体"/>
          <w:sz w:val="21"/>
          <w:szCs w:val="21"/>
        </w:rPr>
      </w:pPr>
      <w:r>
        <w:rPr>
          <w:rFonts w:ascii="宋体" w:hAnsi="宋体" w:eastAsia="宋体" w:cs="宋体"/>
          <w:spacing w:val="-1"/>
          <w:sz w:val="21"/>
          <w:szCs w:val="21"/>
        </w:rPr>
        <w:t>承包人应当对工程隐蔽部位进行自检，并经自检确认是否具备覆盖条件。</w:t>
      </w:r>
    </w:p>
    <w:p w14:paraId="6B9B0EC8">
      <w:pPr>
        <w:spacing w:before="141" w:line="233" w:lineRule="auto"/>
        <w:ind w:left="446"/>
        <w:rPr>
          <w:rFonts w:ascii="宋体" w:hAnsi="宋体" w:eastAsia="宋体" w:cs="宋体"/>
          <w:sz w:val="21"/>
          <w:szCs w:val="21"/>
        </w:rPr>
      </w:pPr>
      <w:r>
        <w:rPr>
          <w:rFonts w:ascii="Times New Roman" w:hAnsi="Times New Roman" w:eastAsia="Times New Roman" w:cs="Times New Roman"/>
          <w:spacing w:val="-1"/>
          <w:sz w:val="21"/>
          <w:szCs w:val="21"/>
        </w:rPr>
        <w:t>5.3.2</w:t>
      </w:r>
      <w:r>
        <w:rPr>
          <w:rFonts w:ascii="Times New Roman" w:hAnsi="Times New Roman" w:eastAsia="Times New Roman" w:cs="Times New Roman"/>
          <w:spacing w:val="24"/>
          <w:sz w:val="21"/>
          <w:szCs w:val="21"/>
        </w:rPr>
        <w:t xml:space="preserve"> </w:t>
      </w:r>
      <w:r>
        <w:rPr>
          <w:rFonts w:ascii="宋体" w:hAnsi="宋体" w:eastAsia="宋体" w:cs="宋体"/>
          <w:spacing w:val="-1"/>
          <w:sz w:val="21"/>
          <w:szCs w:val="21"/>
        </w:rPr>
        <w:t>检查程序</w:t>
      </w:r>
    </w:p>
    <w:p w14:paraId="3E6802B3">
      <w:pPr>
        <w:spacing w:before="140" w:line="347" w:lineRule="auto"/>
        <w:ind w:left="24" w:right="22" w:firstLine="432"/>
        <w:rPr>
          <w:rFonts w:ascii="宋体" w:hAnsi="宋体" w:eastAsia="宋体" w:cs="宋体"/>
          <w:sz w:val="21"/>
          <w:szCs w:val="21"/>
        </w:rPr>
      </w:pPr>
      <w:r>
        <w:rPr>
          <w:rFonts w:ascii="宋体" w:hAnsi="宋体" w:eastAsia="宋体" w:cs="宋体"/>
          <w:spacing w:val="-2"/>
          <w:sz w:val="21"/>
          <w:szCs w:val="21"/>
        </w:rPr>
        <w:t>除专用合同条款另有约定外，工程隐蔽部位</w:t>
      </w:r>
      <w:r>
        <w:rPr>
          <w:rFonts w:ascii="宋体" w:hAnsi="宋体" w:eastAsia="宋体" w:cs="宋体"/>
          <w:spacing w:val="-3"/>
          <w:sz w:val="21"/>
          <w:szCs w:val="21"/>
        </w:rPr>
        <w:t>经承包人自检确认具备覆盖条件的，承包人</w:t>
      </w:r>
      <w:r>
        <w:rPr>
          <w:rFonts w:ascii="宋体" w:hAnsi="宋体" w:eastAsia="宋体" w:cs="宋体"/>
          <w:spacing w:val="-4"/>
          <w:sz w:val="21"/>
          <w:szCs w:val="21"/>
        </w:rPr>
        <w:t>应在共同检查前</w:t>
      </w:r>
      <w:r>
        <w:rPr>
          <w:rFonts w:ascii="宋体" w:hAnsi="宋体" w:eastAsia="宋体" w:cs="宋体"/>
          <w:spacing w:val="-29"/>
          <w:sz w:val="21"/>
          <w:szCs w:val="21"/>
        </w:rPr>
        <w:t xml:space="preserve"> </w:t>
      </w:r>
      <w:r>
        <w:rPr>
          <w:rFonts w:ascii="Times New Roman" w:hAnsi="Times New Roman" w:eastAsia="Times New Roman" w:cs="Times New Roman"/>
          <w:spacing w:val="-4"/>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pacing w:val="-4"/>
          <w:sz w:val="21"/>
          <w:szCs w:val="21"/>
        </w:rPr>
        <w:t>小时书面通知监理人检查，通知中应载明隐蔽检查的内容、时间和地点，</w:t>
      </w:r>
      <w:r>
        <w:rPr>
          <w:rFonts w:ascii="宋体" w:hAnsi="宋体" w:eastAsia="宋体" w:cs="宋体"/>
          <w:spacing w:val="-2"/>
          <w:sz w:val="21"/>
          <w:szCs w:val="21"/>
        </w:rPr>
        <w:t>并应附有自检记录和必要的检查资料。</w:t>
      </w:r>
    </w:p>
    <w:p w14:paraId="6A0F048F">
      <w:pPr>
        <w:spacing w:before="17" w:line="353" w:lineRule="auto"/>
        <w:ind w:left="24" w:right="89" w:firstLine="421"/>
        <w:jc w:val="both"/>
        <w:rPr>
          <w:rFonts w:ascii="宋体" w:hAnsi="宋体" w:eastAsia="宋体" w:cs="宋体"/>
          <w:sz w:val="21"/>
          <w:szCs w:val="21"/>
        </w:rPr>
      </w:pPr>
      <w:r>
        <w:rPr>
          <w:rFonts w:ascii="宋体" w:hAnsi="宋体" w:eastAsia="宋体" w:cs="宋体"/>
          <w:spacing w:val="-2"/>
          <w:sz w:val="21"/>
          <w:szCs w:val="21"/>
        </w:rPr>
        <w:t>监理人应按时到场并对隐蔽工程及其施工工艺、材料和工程设备进行检</w:t>
      </w:r>
      <w:r>
        <w:rPr>
          <w:rFonts w:ascii="宋体" w:hAnsi="宋体" w:eastAsia="宋体" w:cs="宋体"/>
          <w:spacing w:val="-3"/>
          <w:sz w:val="21"/>
          <w:szCs w:val="21"/>
        </w:rPr>
        <w:t>查。经监理人检</w:t>
      </w:r>
      <w:r>
        <w:rPr>
          <w:rFonts w:ascii="宋体" w:hAnsi="宋体" w:eastAsia="宋体" w:cs="宋体"/>
          <w:spacing w:val="-2"/>
          <w:sz w:val="21"/>
          <w:szCs w:val="21"/>
        </w:rPr>
        <w:t>查确认质量符合隐蔽要求，并在验收记录上签字后，承包人才能进行覆盖。经监理人检</w:t>
      </w:r>
      <w:r>
        <w:rPr>
          <w:rFonts w:ascii="宋体" w:hAnsi="宋体" w:eastAsia="宋体" w:cs="宋体"/>
          <w:spacing w:val="-3"/>
          <w:sz w:val="21"/>
          <w:szCs w:val="21"/>
        </w:rPr>
        <w:t>查质</w:t>
      </w:r>
      <w:r>
        <w:rPr>
          <w:rFonts w:ascii="宋体" w:hAnsi="宋体" w:eastAsia="宋体" w:cs="宋体"/>
          <w:spacing w:val="-2"/>
          <w:sz w:val="21"/>
          <w:szCs w:val="21"/>
        </w:rPr>
        <w:t>量不合格的，承包人应在监理人指示的时间内完成修复，并由监理人重新检查，由</w:t>
      </w:r>
      <w:r>
        <w:rPr>
          <w:rFonts w:ascii="宋体" w:hAnsi="宋体" w:eastAsia="宋体" w:cs="宋体"/>
          <w:spacing w:val="-3"/>
          <w:sz w:val="21"/>
          <w:szCs w:val="21"/>
        </w:rPr>
        <w:t>此增加的</w:t>
      </w:r>
      <w:r>
        <w:rPr>
          <w:rFonts w:ascii="宋体" w:hAnsi="宋体" w:eastAsia="宋体" w:cs="宋体"/>
          <w:spacing w:val="-2"/>
          <w:sz w:val="21"/>
          <w:szCs w:val="21"/>
        </w:rPr>
        <w:t>费用和（或）延误的工期由承包人承担。</w:t>
      </w:r>
    </w:p>
    <w:p w14:paraId="145AC810">
      <w:pPr>
        <w:spacing w:before="1" w:line="351" w:lineRule="auto"/>
        <w:ind w:left="25" w:right="19" w:firstLine="432"/>
        <w:rPr>
          <w:rFonts w:ascii="宋体" w:hAnsi="宋体" w:eastAsia="宋体" w:cs="宋体"/>
          <w:sz w:val="21"/>
          <w:szCs w:val="21"/>
        </w:rPr>
      </w:pPr>
      <w:r>
        <w:rPr>
          <w:rFonts w:ascii="宋体" w:hAnsi="宋体" w:eastAsia="宋体" w:cs="宋体"/>
          <w:spacing w:val="-1"/>
          <w:sz w:val="21"/>
          <w:szCs w:val="21"/>
        </w:rPr>
        <w:t>除专用合同条款另有约定外，监理人不能按时进行检查的，应在检查前</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小时向承包</w:t>
      </w:r>
      <w:r>
        <w:rPr>
          <w:rFonts w:ascii="宋体" w:hAnsi="宋体" w:eastAsia="宋体" w:cs="宋体"/>
          <w:sz w:val="21"/>
          <w:szCs w:val="21"/>
        </w:rPr>
        <w:t>人提交书面延期要求，但延期不能超过</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小时，由此导致工期延误的，工期</w:t>
      </w:r>
      <w:r>
        <w:rPr>
          <w:rFonts w:ascii="宋体" w:hAnsi="宋体" w:eastAsia="宋体" w:cs="宋体"/>
          <w:spacing w:val="-1"/>
          <w:sz w:val="21"/>
          <w:szCs w:val="21"/>
        </w:rPr>
        <w:t>应予以顺延。</w:t>
      </w:r>
      <w:r>
        <w:rPr>
          <w:rFonts w:ascii="宋体" w:hAnsi="宋体" w:eastAsia="宋体" w:cs="宋体"/>
          <w:spacing w:val="-2"/>
          <w:sz w:val="21"/>
          <w:szCs w:val="21"/>
        </w:rPr>
        <w:t>监理人未按时进行检查，也未提出延期要求的，视为隐蔽工程检查合格，承包人可自</w:t>
      </w:r>
      <w:r>
        <w:rPr>
          <w:rFonts w:ascii="宋体" w:hAnsi="宋体" w:eastAsia="宋体" w:cs="宋体"/>
          <w:spacing w:val="-3"/>
          <w:sz w:val="21"/>
          <w:szCs w:val="21"/>
        </w:rPr>
        <w:t>行完成</w:t>
      </w:r>
      <w:r>
        <w:rPr>
          <w:rFonts w:ascii="宋体" w:hAnsi="宋体" w:eastAsia="宋体" w:cs="宋体"/>
          <w:spacing w:val="-5"/>
          <w:sz w:val="21"/>
          <w:szCs w:val="21"/>
        </w:rPr>
        <w:t>覆盖工作，并作相应记录报送监理人，监理人应签字确</w:t>
      </w:r>
      <w:r>
        <w:rPr>
          <w:rFonts w:ascii="宋体" w:hAnsi="宋体" w:eastAsia="宋体" w:cs="宋体"/>
          <w:spacing w:val="-6"/>
          <w:sz w:val="21"/>
          <w:szCs w:val="21"/>
        </w:rPr>
        <w:t>认。监理人事后对检查记录有疑问的，</w:t>
      </w:r>
      <w:r>
        <w:rPr>
          <w:rFonts w:ascii="宋体" w:hAnsi="宋体" w:eastAsia="宋体" w:cs="宋体"/>
          <w:spacing w:val="-2"/>
          <w:sz w:val="21"/>
          <w:szCs w:val="21"/>
        </w:rPr>
        <w:t>可按第</w:t>
      </w:r>
      <w:r>
        <w:rPr>
          <w:rFonts w:ascii="宋体" w:hAnsi="宋体" w:eastAsia="宋体" w:cs="宋体"/>
          <w:spacing w:val="-25"/>
          <w:sz w:val="21"/>
          <w:szCs w:val="21"/>
        </w:rPr>
        <w:t xml:space="preserve"> </w:t>
      </w:r>
      <w:r>
        <w:rPr>
          <w:rFonts w:ascii="Times New Roman" w:hAnsi="Times New Roman" w:eastAsia="Times New Roman" w:cs="Times New Roman"/>
          <w:spacing w:val="-2"/>
          <w:sz w:val="21"/>
          <w:szCs w:val="21"/>
        </w:rPr>
        <w:t>5.3.3</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项〔重新检查〕的约定重新检查。</w:t>
      </w:r>
    </w:p>
    <w:p w14:paraId="214217A1">
      <w:pPr>
        <w:spacing w:line="233" w:lineRule="auto"/>
        <w:ind w:left="446"/>
        <w:rPr>
          <w:rFonts w:ascii="宋体" w:hAnsi="宋体" w:eastAsia="宋体" w:cs="宋体"/>
          <w:sz w:val="21"/>
          <w:szCs w:val="21"/>
        </w:rPr>
      </w:pPr>
      <w:r>
        <w:rPr>
          <w:rFonts w:ascii="Times New Roman" w:hAnsi="Times New Roman" w:eastAsia="Times New Roman" w:cs="Times New Roman"/>
          <w:spacing w:val="-1"/>
          <w:sz w:val="21"/>
          <w:szCs w:val="21"/>
        </w:rPr>
        <w:t>5.3.3</w:t>
      </w:r>
      <w:r>
        <w:rPr>
          <w:rFonts w:ascii="Times New Roman" w:hAnsi="Times New Roman" w:eastAsia="Times New Roman" w:cs="Times New Roman"/>
          <w:spacing w:val="54"/>
          <w:sz w:val="21"/>
          <w:szCs w:val="21"/>
        </w:rPr>
        <w:t xml:space="preserve"> </w:t>
      </w:r>
      <w:r>
        <w:rPr>
          <w:rFonts w:ascii="宋体" w:hAnsi="宋体" w:eastAsia="宋体" w:cs="宋体"/>
          <w:spacing w:val="-1"/>
          <w:sz w:val="21"/>
          <w:szCs w:val="21"/>
        </w:rPr>
        <w:t>重新检查</w:t>
      </w:r>
    </w:p>
    <w:p w14:paraId="2D57B848">
      <w:pPr>
        <w:spacing w:before="141" w:line="351" w:lineRule="auto"/>
        <w:ind w:left="25" w:right="29" w:firstLine="418"/>
        <w:rPr>
          <w:rFonts w:ascii="宋体" w:hAnsi="宋体" w:eastAsia="宋体" w:cs="宋体"/>
          <w:sz w:val="21"/>
          <w:szCs w:val="21"/>
        </w:rPr>
      </w:pPr>
      <w:r>
        <w:rPr>
          <w:rFonts w:ascii="宋体" w:hAnsi="宋体" w:eastAsia="宋体" w:cs="宋体"/>
          <w:spacing w:val="-2"/>
          <w:sz w:val="21"/>
          <w:szCs w:val="21"/>
        </w:rPr>
        <w:t>承包人覆盖工程隐蔽部位后，发包人或监理人对质量有疑问的，可要求承</w:t>
      </w:r>
      <w:r>
        <w:rPr>
          <w:rFonts w:ascii="宋体" w:hAnsi="宋体" w:eastAsia="宋体" w:cs="宋体"/>
          <w:spacing w:val="-3"/>
          <w:sz w:val="21"/>
          <w:szCs w:val="21"/>
        </w:rPr>
        <w:t>包人对已覆盖</w:t>
      </w:r>
      <w:r>
        <w:rPr>
          <w:rFonts w:ascii="宋体" w:hAnsi="宋体" w:eastAsia="宋体" w:cs="宋体"/>
          <w:spacing w:val="-1"/>
          <w:sz w:val="21"/>
          <w:szCs w:val="21"/>
        </w:rPr>
        <w:t>的部位进行钻孔探测或揭开重新检查，承包人应遵照执行，并在检查后重新覆盖恢复原状。经检查证明工程质量符合合同要求的，由发包人承担由此增加的费用和（或）延误的工期，</w:t>
      </w:r>
    </w:p>
    <w:p w14:paraId="296758A4">
      <w:pPr>
        <w:spacing w:line="351" w:lineRule="auto"/>
        <w:rPr>
          <w:rFonts w:ascii="宋体" w:hAnsi="宋体" w:eastAsia="宋体" w:cs="宋体"/>
          <w:sz w:val="21"/>
          <w:szCs w:val="21"/>
        </w:rPr>
        <w:sectPr>
          <w:footerReference r:id="rId166" w:type="default"/>
          <w:pgSz w:w="11910" w:h="16845"/>
          <w:pgMar w:top="400" w:right="1689" w:bottom="1110" w:left="1786" w:header="0" w:footer="883" w:gutter="0"/>
          <w:cols w:space="720" w:num="1"/>
        </w:sectPr>
      </w:pPr>
    </w:p>
    <w:p w14:paraId="6D69E1C8">
      <w:pPr>
        <w:pStyle w:val="2"/>
        <w:spacing w:line="275" w:lineRule="auto"/>
      </w:pPr>
    </w:p>
    <w:p w14:paraId="4F44A400">
      <w:pPr>
        <w:pStyle w:val="2"/>
        <w:spacing w:line="275" w:lineRule="auto"/>
      </w:pPr>
    </w:p>
    <w:p w14:paraId="3CA418B9">
      <w:pPr>
        <w:pStyle w:val="2"/>
        <w:spacing w:line="275" w:lineRule="auto"/>
      </w:pPr>
    </w:p>
    <w:p w14:paraId="1B36C55A">
      <w:pPr>
        <w:pStyle w:val="2"/>
        <w:spacing w:line="275" w:lineRule="auto"/>
      </w:pPr>
    </w:p>
    <w:p w14:paraId="1C1D9A9E">
      <w:pPr>
        <w:spacing w:before="68" w:line="350" w:lineRule="auto"/>
        <w:ind w:left="25" w:firstLine="4"/>
        <w:rPr>
          <w:rFonts w:ascii="宋体" w:hAnsi="宋体" w:eastAsia="宋体" w:cs="宋体"/>
          <w:sz w:val="21"/>
          <w:szCs w:val="21"/>
        </w:rPr>
      </w:pPr>
      <w:r>
        <w:rPr>
          <w:rFonts w:ascii="宋体" w:hAnsi="宋体" w:eastAsia="宋体" w:cs="宋体"/>
          <w:spacing w:val="-5"/>
          <w:sz w:val="21"/>
          <w:szCs w:val="21"/>
        </w:rPr>
        <w:t>并支付承包人合理的利润；经检查证明工程质量不符合合同要求的，由此增加的费用和（或）</w:t>
      </w:r>
      <w:r>
        <w:rPr>
          <w:rFonts w:ascii="宋体" w:hAnsi="宋体" w:eastAsia="宋体" w:cs="宋体"/>
          <w:spacing w:val="-3"/>
          <w:sz w:val="21"/>
          <w:szCs w:val="21"/>
        </w:rPr>
        <w:t>延误的工期由承包人承担。</w:t>
      </w:r>
    </w:p>
    <w:p w14:paraId="4AD4068A">
      <w:pPr>
        <w:spacing w:line="233" w:lineRule="auto"/>
        <w:ind w:left="446"/>
        <w:rPr>
          <w:rFonts w:ascii="宋体" w:hAnsi="宋体" w:eastAsia="宋体" w:cs="宋体"/>
          <w:sz w:val="21"/>
          <w:szCs w:val="21"/>
        </w:rPr>
      </w:pPr>
      <w:r>
        <w:rPr>
          <w:rFonts w:ascii="Times New Roman" w:hAnsi="Times New Roman" w:eastAsia="Times New Roman" w:cs="Times New Roman"/>
          <w:sz w:val="21"/>
          <w:szCs w:val="21"/>
        </w:rPr>
        <w:t>5.3.4</w:t>
      </w:r>
      <w:r>
        <w:rPr>
          <w:rFonts w:ascii="Times New Roman" w:hAnsi="Times New Roman" w:eastAsia="Times New Roman" w:cs="Times New Roman"/>
          <w:spacing w:val="46"/>
          <w:w w:val="101"/>
          <w:sz w:val="21"/>
          <w:szCs w:val="21"/>
        </w:rPr>
        <w:t xml:space="preserve"> </w:t>
      </w:r>
      <w:r>
        <w:rPr>
          <w:rFonts w:ascii="宋体" w:hAnsi="宋体" w:eastAsia="宋体" w:cs="宋体"/>
          <w:sz w:val="21"/>
          <w:szCs w:val="21"/>
        </w:rPr>
        <w:t>承包人私自覆盖</w:t>
      </w:r>
    </w:p>
    <w:p w14:paraId="2A10F012">
      <w:pPr>
        <w:spacing w:before="138" w:line="345" w:lineRule="auto"/>
        <w:ind w:left="25" w:right="83" w:firstLine="419"/>
        <w:rPr>
          <w:rFonts w:ascii="宋体" w:hAnsi="宋体" w:eastAsia="宋体" w:cs="宋体"/>
          <w:sz w:val="21"/>
          <w:szCs w:val="21"/>
        </w:rPr>
      </w:pPr>
      <w:r>
        <w:rPr>
          <w:rFonts w:ascii="宋体" w:hAnsi="宋体" w:eastAsia="宋体" w:cs="宋体"/>
          <w:spacing w:val="-2"/>
          <w:sz w:val="21"/>
          <w:szCs w:val="21"/>
        </w:rPr>
        <w:t>承包人未通知监理人到场检查，私自将工程隐蔽部位覆盖的，监理人有权</w:t>
      </w:r>
      <w:r>
        <w:rPr>
          <w:rFonts w:ascii="宋体" w:hAnsi="宋体" w:eastAsia="宋体" w:cs="宋体"/>
          <w:spacing w:val="-3"/>
          <w:sz w:val="21"/>
          <w:szCs w:val="21"/>
        </w:rPr>
        <w:t>指示承包人钻</w:t>
      </w:r>
      <w:r>
        <w:rPr>
          <w:rFonts w:ascii="宋体" w:hAnsi="宋体" w:eastAsia="宋体" w:cs="宋体"/>
          <w:spacing w:val="-2"/>
          <w:sz w:val="21"/>
          <w:szCs w:val="21"/>
        </w:rPr>
        <w:t>孔探测或揭开检查，无论工程隐蔽部位质量是否合格，由此增加的费用和（或）延误的工期</w:t>
      </w:r>
      <w:r>
        <w:rPr>
          <w:rFonts w:ascii="宋体" w:hAnsi="宋体" w:eastAsia="宋体" w:cs="宋体"/>
          <w:spacing w:val="-4"/>
          <w:sz w:val="21"/>
          <w:szCs w:val="21"/>
        </w:rPr>
        <w:t>均由承包人承担。</w:t>
      </w:r>
    </w:p>
    <w:p w14:paraId="556F52D0">
      <w:pPr>
        <w:spacing w:line="232" w:lineRule="auto"/>
        <w:ind w:left="24"/>
        <w:outlineLvl w:val="2"/>
        <w:rPr>
          <w:rFonts w:ascii="黑体" w:hAnsi="黑体" w:eastAsia="黑体" w:cs="黑体"/>
          <w:sz w:val="24"/>
          <w:szCs w:val="24"/>
        </w:rPr>
      </w:pPr>
      <w:bookmarkStart w:id="387" w:name="bookmark336"/>
      <w:bookmarkEnd w:id="387"/>
      <w:r>
        <w:rPr>
          <w:rFonts w:ascii="Times New Roman" w:hAnsi="Times New Roman" w:eastAsia="Times New Roman" w:cs="Times New Roman"/>
          <w:b/>
          <w:bCs/>
          <w:spacing w:val="2"/>
          <w:sz w:val="24"/>
          <w:szCs w:val="24"/>
        </w:rPr>
        <w:t xml:space="preserve">5.4 </w:t>
      </w:r>
      <w:r>
        <w:rPr>
          <w:rFonts w:ascii="黑体" w:hAnsi="黑体" w:eastAsia="黑体" w:cs="黑体"/>
          <w:b/>
          <w:bCs/>
          <w:spacing w:val="2"/>
          <w:sz w:val="24"/>
          <w:szCs w:val="24"/>
        </w:rPr>
        <w:t>不合格工程的处理</w:t>
      </w:r>
    </w:p>
    <w:p w14:paraId="3CBCDA2A">
      <w:pPr>
        <w:spacing w:before="128" w:line="352" w:lineRule="auto"/>
        <w:ind w:left="25" w:right="83"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5.4.1  </w:t>
      </w:r>
      <w:r>
        <w:rPr>
          <w:rFonts w:ascii="宋体" w:hAnsi="宋体" w:eastAsia="宋体" w:cs="宋体"/>
          <w:spacing w:val="1"/>
          <w:sz w:val="21"/>
          <w:szCs w:val="21"/>
        </w:rPr>
        <w:t>因承包人原因造成工程不合格的</w:t>
      </w:r>
      <w:r>
        <w:rPr>
          <w:rFonts w:ascii="宋体" w:hAnsi="宋体" w:eastAsia="宋体" w:cs="宋体"/>
          <w:sz w:val="21"/>
          <w:szCs w:val="21"/>
        </w:rPr>
        <w:t>，发包人有权随时要求承包人采取补救措施，直</w:t>
      </w:r>
      <w:r>
        <w:rPr>
          <w:rFonts w:ascii="宋体" w:hAnsi="宋体" w:eastAsia="宋体" w:cs="宋体"/>
          <w:spacing w:val="-2"/>
          <w:sz w:val="21"/>
          <w:szCs w:val="21"/>
        </w:rPr>
        <w:t>至达到合同要求的质量标准，由此增加的费用和（或）延误的工期由承包人承担。无法补救的，按照第</w:t>
      </w:r>
      <w:r>
        <w:rPr>
          <w:rFonts w:ascii="宋体" w:hAnsi="宋体" w:eastAsia="宋体" w:cs="宋体"/>
          <w:spacing w:val="-8"/>
          <w:sz w:val="21"/>
          <w:szCs w:val="21"/>
        </w:rPr>
        <w:t xml:space="preserve"> </w:t>
      </w:r>
      <w:r>
        <w:rPr>
          <w:rFonts w:ascii="Times New Roman" w:hAnsi="Times New Roman" w:eastAsia="Times New Roman" w:cs="Times New Roman"/>
          <w:spacing w:val="-2"/>
          <w:sz w:val="21"/>
          <w:szCs w:val="21"/>
        </w:rPr>
        <w:t>13.2.4</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项〔拒绝接收全部或部分工程〕约定执行。</w:t>
      </w:r>
    </w:p>
    <w:p w14:paraId="3598B23C">
      <w:pPr>
        <w:spacing w:before="2" w:line="335" w:lineRule="auto"/>
        <w:ind w:left="24" w:right="100"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5.4.2  </w:t>
      </w:r>
      <w:r>
        <w:rPr>
          <w:rFonts w:ascii="宋体" w:hAnsi="宋体" w:eastAsia="宋体" w:cs="宋体"/>
          <w:spacing w:val="1"/>
          <w:sz w:val="21"/>
          <w:szCs w:val="21"/>
        </w:rPr>
        <w:t>因发包人原因造成工程不合格的</w:t>
      </w:r>
      <w:r>
        <w:rPr>
          <w:rFonts w:ascii="宋体" w:hAnsi="宋体" w:eastAsia="宋体" w:cs="宋体"/>
          <w:sz w:val="21"/>
          <w:szCs w:val="21"/>
        </w:rPr>
        <w:t>，由此增加的费用和（或）延误的工期由发包人</w:t>
      </w:r>
      <w:r>
        <w:rPr>
          <w:rFonts w:ascii="宋体" w:hAnsi="宋体" w:eastAsia="宋体" w:cs="宋体"/>
          <w:spacing w:val="-2"/>
          <w:sz w:val="21"/>
          <w:szCs w:val="21"/>
        </w:rPr>
        <w:t>承担，并支付承包人合理的利润。</w:t>
      </w:r>
    </w:p>
    <w:p w14:paraId="2E0D3A46">
      <w:pPr>
        <w:spacing w:before="6" w:line="233" w:lineRule="auto"/>
        <w:ind w:left="24"/>
        <w:outlineLvl w:val="2"/>
        <w:rPr>
          <w:rFonts w:ascii="黑体" w:hAnsi="黑体" w:eastAsia="黑体" w:cs="黑体"/>
          <w:sz w:val="24"/>
          <w:szCs w:val="24"/>
        </w:rPr>
      </w:pPr>
      <w:bookmarkStart w:id="388" w:name="bookmark337"/>
      <w:bookmarkEnd w:id="388"/>
      <w:r>
        <w:rPr>
          <w:rFonts w:ascii="Times New Roman" w:hAnsi="Times New Roman" w:eastAsia="Times New Roman" w:cs="Times New Roman"/>
          <w:b/>
          <w:bCs/>
          <w:spacing w:val="2"/>
          <w:sz w:val="24"/>
          <w:szCs w:val="24"/>
        </w:rPr>
        <w:t xml:space="preserve">5.5  </w:t>
      </w:r>
      <w:r>
        <w:rPr>
          <w:rFonts w:ascii="黑体" w:hAnsi="黑体" w:eastAsia="黑体" w:cs="黑体"/>
          <w:b/>
          <w:bCs/>
          <w:spacing w:val="2"/>
          <w:sz w:val="24"/>
          <w:szCs w:val="24"/>
        </w:rPr>
        <w:t>质量争议检测</w:t>
      </w:r>
    </w:p>
    <w:p w14:paraId="13545623">
      <w:pPr>
        <w:spacing w:before="128" w:line="345" w:lineRule="auto"/>
        <w:ind w:left="41" w:right="100" w:firstLine="404"/>
        <w:rPr>
          <w:rFonts w:ascii="宋体" w:hAnsi="宋体" w:eastAsia="宋体" w:cs="宋体"/>
          <w:sz w:val="21"/>
          <w:szCs w:val="21"/>
        </w:rPr>
      </w:pPr>
      <w:r>
        <w:rPr>
          <w:rFonts w:ascii="宋体" w:hAnsi="宋体" w:eastAsia="宋体" w:cs="宋体"/>
          <w:spacing w:val="-2"/>
          <w:sz w:val="21"/>
          <w:szCs w:val="21"/>
        </w:rPr>
        <w:t>合同当事人对工程质量有争议的，由双方协商确定的工程质量检测机构</w:t>
      </w:r>
      <w:r>
        <w:rPr>
          <w:rFonts w:ascii="宋体" w:hAnsi="宋体" w:eastAsia="宋体" w:cs="宋体"/>
          <w:spacing w:val="-3"/>
          <w:sz w:val="21"/>
          <w:szCs w:val="21"/>
        </w:rPr>
        <w:t>鉴定，由此产生的费用及因此造成的损失，由责任方承担。</w:t>
      </w:r>
    </w:p>
    <w:p w14:paraId="4AC54C8E">
      <w:pPr>
        <w:spacing w:before="10" w:line="368" w:lineRule="auto"/>
        <w:ind w:left="30" w:right="100" w:firstLine="414"/>
        <w:rPr>
          <w:rFonts w:ascii="宋体" w:hAnsi="宋体" w:eastAsia="宋体" w:cs="宋体"/>
          <w:sz w:val="21"/>
          <w:szCs w:val="21"/>
        </w:rPr>
      </w:pPr>
      <w:r>
        <w:rPr>
          <w:rFonts w:ascii="宋体" w:hAnsi="宋体" w:eastAsia="宋体" w:cs="宋体"/>
          <w:spacing w:val="-2"/>
          <w:sz w:val="21"/>
          <w:szCs w:val="21"/>
        </w:rPr>
        <w:t>合同当事人均有责任的，由双方根据其责任分别承担。合同当事人无法</w:t>
      </w:r>
      <w:r>
        <w:rPr>
          <w:rFonts w:ascii="宋体" w:hAnsi="宋体" w:eastAsia="宋体" w:cs="宋体"/>
          <w:spacing w:val="-3"/>
          <w:sz w:val="21"/>
          <w:szCs w:val="21"/>
        </w:rPr>
        <w:t>达成一致的，按照第</w:t>
      </w:r>
      <w:r>
        <w:rPr>
          <w:rFonts w:ascii="宋体" w:hAnsi="宋体" w:eastAsia="宋体" w:cs="宋体"/>
          <w:spacing w:val="-29"/>
          <w:sz w:val="21"/>
          <w:szCs w:val="21"/>
        </w:rPr>
        <w:t xml:space="preserve"> </w:t>
      </w:r>
      <w:r>
        <w:rPr>
          <w:rFonts w:ascii="Times New Roman" w:hAnsi="Times New Roman" w:eastAsia="Times New Roman" w:cs="Times New Roman"/>
          <w:spacing w:val="-3"/>
          <w:sz w:val="21"/>
          <w:szCs w:val="21"/>
        </w:rPr>
        <w:t>4.4</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款〔商定或确定〕执行。</w:t>
      </w:r>
    </w:p>
    <w:p w14:paraId="09739A3A">
      <w:pPr>
        <w:spacing w:before="1" w:line="235" w:lineRule="auto"/>
        <w:ind w:left="26"/>
        <w:outlineLvl w:val="1"/>
        <w:rPr>
          <w:rFonts w:ascii="黑体" w:hAnsi="黑体" w:eastAsia="黑体" w:cs="黑体"/>
          <w:sz w:val="28"/>
          <w:szCs w:val="28"/>
        </w:rPr>
      </w:pPr>
      <w:bookmarkStart w:id="389" w:name="bookmark339"/>
      <w:bookmarkEnd w:id="389"/>
      <w:bookmarkStart w:id="390" w:name="bookmark338"/>
      <w:bookmarkEnd w:id="390"/>
      <w:r>
        <w:rPr>
          <w:rFonts w:ascii="Times New Roman" w:hAnsi="Times New Roman" w:eastAsia="Times New Roman" w:cs="Times New Roman"/>
          <w:b/>
          <w:bCs/>
          <w:spacing w:val="1"/>
          <w:sz w:val="28"/>
          <w:szCs w:val="28"/>
        </w:rPr>
        <w:t xml:space="preserve">6.  </w:t>
      </w:r>
      <w:r>
        <w:rPr>
          <w:rFonts w:ascii="黑体" w:hAnsi="黑体" w:eastAsia="黑体" w:cs="黑体"/>
          <w:b/>
          <w:bCs/>
          <w:spacing w:val="1"/>
          <w:sz w:val="28"/>
          <w:szCs w:val="28"/>
        </w:rPr>
        <w:t>安全文明施工与环境保护</w:t>
      </w:r>
    </w:p>
    <w:p w14:paraId="3383F9C4">
      <w:pPr>
        <w:spacing w:before="87" w:line="232" w:lineRule="auto"/>
        <w:ind w:left="24"/>
        <w:outlineLvl w:val="2"/>
        <w:rPr>
          <w:rFonts w:ascii="黑体" w:hAnsi="黑体" w:eastAsia="黑体" w:cs="黑体"/>
          <w:sz w:val="24"/>
          <w:szCs w:val="24"/>
        </w:rPr>
      </w:pPr>
      <w:bookmarkStart w:id="391" w:name="bookmark688"/>
      <w:bookmarkEnd w:id="391"/>
      <w:r>
        <w:rPr>
          <w:rFonts w:ascii="Times New Roman" w:hAnsi="Times New Roman" w:eastAsia="Times New Roman" w:cs="Times New Roman"/>
          <w:b/>
          <w:bCs/>
          <w:sz w:val="24"/>
          <w:szCs w:val="24"/>
        </w:rPr>
        <w:t>6.1</w:t>
      </w:r>
      <w:r>
        <w:rPr>
          <w:rFonts w:ascii="Times New Roman" w:hAnsi="Times New Roman" w:eastAsia="Times New Roman" w:cs="Times New Roman"/>
          <w:b/>
          <w:bCs/>
          <w:spacing w:val="22"/>
          <w:sz w:val="24"/>
          <w:szCs w:val="24"/>
        </w:rPr>
        <w:t xml:space="preserve"> </w:t>
      </w:r>
      <w:r>
        <w:rPr>
          <w:rFonts w:ascii="黑体" w:hAnsi="黑体" w:eastAsia="黑体" w:cs="黑体"/>
          <w:b/>
          <w:bCs/>
          <w:sz w:val="24"/>
          <w:szCs w:val="24"/>
        </w:rPr>
        <w:t>安全文明施工</w:t>
      </w:r>
    </w:p>
    <w:p w14:paraId="277F68E3">
      <w:pPr>
        <w:spacing w:before="115"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6.1.1</w:t>
      </w:r>
      <w:r>
        <w:rPr>
          <w:rFonts w:ascii="Times New Roman" w:hAnsi="Times New Roman" w:eastAsia="Times New Roman" w:cs="Times New Roman"/>
          <w:spacing w:val="28"/>
          <w:sz w:val="21"/>
          <w:szCs w:val="21"/>
        </w:rPr>
        <w:t xml:space="preserve"> </w:t>
      </w:r>
      <w:r>
        <w:rPr>
          <w:rFonts w:ascii="宋体" w:hAnsi="宋体" w:eastAsia="宋体" w:cs="宋体"/>
          <w:spacing w:val="-1"/>
          <w:sz w:val="21"/>
          <w:szCs w:val="21"/>
        </w:rPr>
        <w:t>安全生产要求</w:t>
      </w:r>
    </w:p>
    <w:p w14:paraId="5E19C398">
      <w:pPr>
        <w:spacing w:before="139" w:line="351" w:lineRule="auto"/>
        <w:ind w:left="24" w:right="108" w:firstLine="421"/>
        <w:rPr>
          <w:rFonts w:ascii="宋体" w:hAnsi="宋体" w:eastAsia="宋体" w:cs="宋体"/>
          <w:sz w:val="21"/>
          <w:szCs w:val="21"/>
        </w:rPr>
      </w:pPr>
      <w:r>
        <w:rPr>
          <w:rFonts w:ascii="宋体" w:hAnsi="宋体" w:eastAsia="宋体" w:cs="宋体"/>
          <w:spacing w:val="-2"/>
          <w:sz w:val="21"/>
          <w:szCs w:val="21"/>
        </w:rPr>
        <w:t>合同履行期间，合同当事人均应当遵守国家和工程所</w:t>
      </w:r>
      <w:r>
        <w:rPr>
          <w:rFonts w:ascii="宋体" w:hAnsi="宋体" w:eastAsia="宋体" w:cs="宋体"/>
          <w:spacing w:val="-3"/>
          <w:sz w:val="21"/>
          <w:szCs w:val="21"/>
        </w:rPr>
        <w:t>在地有关安全生产的要求，合同当</w:t>
      </w:r>
      <w:r>
        <w:rPr>
          <w:rFonts w:ascii="宋体" w:hAnsi="宋体" w:eastAsia="宋体" w:cs="宋体"/>
          <w:spacing w:val="3"/>
          <w:sz w:val="21"/>
          <w:szCs w:val="21"/>
        </w:rPr>
        <w:t>事人有特别要求的，应在专用合同条款中明确施工项目安全生产标准化达标</w:t>
      </w:r>
      <w:r>
        <w:rPr>
          <w:rFonts w:ascii="宋体" w:hAnsi="宋体" w:eastAsia="宋体" w:cs="宋体"/>
          <w:spacing w:val="2"/>
          <w:sz w:val="21"/>
          <w:szCs w:val="21"/>
        </w:rPr>
        <w:t>目标及相应事</w:t>
      </w:r>
      <w:r>
        <w:rPr>
          <w:rFonts w:ascii="宋体" w:hAnsi="宋体" w:eastAsia="宋体" w:cs="宋体"/>
          <w:spacing w:val="-1"/>
          <w:sz w:val="21"/>
          <w:szCs w:val="21"/>
        </w:rPr>
        <w:t>项。承包人有权拒绝发包人及监理人强令承包人违章作业、冒险施工的任何指示。</w:t>
      </w:r>
    </w:p>
    <w:p w14:paraId="6EB39B55">
      <w:pPr>
        <w:spacing w:before="3" w:line="351" w:lineRule="auto"/>
        <w:ind w:left="26" w:right="103" w:firstLine="417"/>
        <w:jc w:val="both"/>
        <w:rPr>
          <w:rFonts w:ascii="宋体" w:hAnsi="宋体" w:eastAsia="宋体" w:cs="宋体"/>
          <w:sz w:val="21"/>
          <w:szCs w:val="21"/>
        </w:rPr>
      </w:pPr>
      <w:r>
        <w:rPr>
          <w:rFonts w:ascii="宋体" w:hAnsi="宋体" w:eastAsia="宋体" w:cs="宋体"/>
          <w:spacing w:val="-2"/>
          <w:sz w:val="21"/>
          <w:szCs w:val="21"/>
        </w:rPr>
        <w:t>在施工过程中，如遇到突发的地质变动、事先未知的地下施工障碍等</w:t>
      </w:r>
      <w:r>
        <w:rPr>
          <w:rFonts w:ascii="宋体" w:hAnsi="宋体" w:eastAsia="宋体" w:cs="宋体"/>
          <w:spacing w:val="-3"/>
          <w:sz w:val="21"/>
          <w:szCs w:val="21"/>
        </w:rPr>
        <w:t>影响施工安全的紧</w:t>
      </w:r>
      <w:r>
        <w:rPr>
          <w:rFonts w:ascii="宋体" w:hAnsi="宋体" w:eastAsia="宋体" w:cs="宋体"/>
          <w:spacing w:val="-2"/>
          <w:sz w:val="21"/>
          <w:szCs w:val="21"/>
        </w:rPr>
        <w:t>急情况，承包人应及时报告监理人和发包人，发包人应当及时下令停工并</w:t>
      </w:r>
      <w:r>
        <w:rPr>
          <w:rFonts w:ascii="宋体" w:hAnsi="宋体" w:eastAsia="宋体" w:cs="宋体"/>
          <w:spacing w:val="-3"/>
          <w:sz w:val="21"/>
          <w:szCs w:val="21"/>
        </w:rPr>
        <w:t>报政府有关行政管</w:t>
      </w:r>
      <w:r>
        <w:rPr>
          <w:rFonts w:ascii="宋体" w:hAnsi="宋体" w:eastAsia="宋体" w:cs="宋体"/>
          <w:spacing w:val="-4"/>
          <w:sz w:val="21"/>
          <w:szCs w:val="21"/>
        </w:rPr>
        <w:t>理部门采取应急措施。</w:t>
      </w:r>
    </w:p>
    <w:p w14:paraId="51F98DA5">
      <w:pPr>
        <w:spacing w:before="5" w:line="233" w:lineRule="auto"/>
        <w:ind w:left="461"/>
        <w:rPr>
          <w:rFonts w:ascii="宋体" w:hAnsi="宋体" w:eastAsia="宋体" w:cs="宋体"/>
          <w:sz w:val="21"/>
          <w:szCs w:val="21"/>
        </w:rPr>
      </w:pPr>
      <w:r>
        <w:rPr>
          <w:rFonts w:ascii="宋体" w:hAnsi="宋体" w:eastAsia="宋体" w:cs="宋体"/>
          <w:spacing w:val="-1"/>
          <w:sz w:val="21"/>
          <w:szCs w:val="21"/>
        </w:rPr>
        <w:t>因安全生产需要暂停施工的，按照第</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7.8</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款〔暂停施工〕的约定执行。</w:t>
      </w:r>
    </w:p>
    <w:p w14:paraId="6895E33E">
      <w:pPr>
        <w:spacing w:before="140"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6.1.2</w:t>
      </w:r>
      <w:r>
        <w:rPr>
          <w:rFonts w:ascii="Times New Roman" w:hAnsi="Times New Roman" w:eastAsia="Times New Roman" w:cs="Times New Roman"/>
          <w:spacing w:val="60"/>
          <w:w w:val="101"/>
          <w:sz w:val="21"/>
          <w:szCs w:val="21"/>
        </w:rPr>
        <w:t xml:space="preserve"> </w:t>
      </w:r>
      <w:r>
        <w:rPr>
          <w:rFonts w:ascii="宋体" w:hAnsi="宋体" w:eastAsia="宋体" w:cs="宋体"/>
          <w:spacing w:val="-1"/>
          <w:sz w:val="21"/>
          <w:szCs w:val="21"/>
        </w:rPr>
        <w:t>安全生产保证措施</w:t>
      </w:r>
    </w:p>
    <w:p w14:paraId="07B97364">
      <w:pPr>
        <w:spacing w:before="125" w:line="353" w:lineRule="auto"/>
        <w:ind w:left="23" w:right="100" w:firstLine="421"/>
        <w:rPr>
          <w:rFonts w:ascii="宋体" w:hAnsi="宋体" w:eastAsia="宋体" w:cs="宋体"/>
          <w:sz w:val="21"/>
          <w:szCs w:val="21"/>
        </w:rPr>
      </w:pPr>
      <w:r>
        <w:rPr>
          <w:rFonts w:ascii="宋体" w:hAnsi="宋体" w:eastAsia="宋体" w:cs="宋体"/>
          <w:spacing w:val="3"/>
          <w:sz w:val="21"/>
          <w:szCs w:val="21"/>
        </w:rPr>
        <w:t>承包人应当按照有关规定编制安全技术措施或者专项施工方案，建立安全生产责任制</w:t>
      </w:r>
      <w:r>
        <w:rPr>
          <w:rFonts w:ascii="宋体" w:hAnsi="宋体" w:eastAsia="宋体" w:cs="宋体"/>
          <w:spacing w:val="-2"/>
          <w:sz w:val="21"/>
          <w:szCs w:val="21"/>
        </w:rPr>
        <w:t>度、治安保卫制度及安全生产教育培训制度，并按安全生产法律规定及合同约定履行安全职责，如实编制工程安全生产的有关记录，接受发包人、监理人及政府安全监督部门的检查与</w:t>
      </w:r>
      <w:r>
        <w:rPr>
          <w:rFonts w:ascii="宋体" w:hAnsi="宋体" w:eastAsia="宋体" w:cs="宋体"/>
          <w:spacing w:val="-9"/>
          <w:sz w:val="21"/>
          <w:szCs w:val="21"/>
        </w:rPr>
        <w:t>监督。</w:t>
      </w:r>
    </w:p>
    <w:p w14:paraId="394C96D4">
      <w:pPr>
        <w:spacing w:line="233" w:lineRule="auto"/>
        <w:ind w:left="445"/>
        <w:rPr>
          <w:rFonts w:ascii="宋体" w:hAnsi="宋体" w:eastAsia="宋体" w:cs="宋体"/>
          <w:sz w:val="21"/>
          <w:szCs w:val="21"/>
        </w:rPr>
      </w:pPr>
      <w:r>
        <w:rPr>
          <w:rFonts w:ascii="Times New Roman" w:hAnsi="Times New Roman" w:eastAsia="Times New Roman" w:cs="Times New Roman"/>
          <w:sz w:val="21"/>
          <w:szCs w:val="21"/>
        </w:rPr>
        <w:t>6.1.3</w:t>
      </w:r>
      <w:r>
        <w:rPr>
          <w:rFonts w:ascii="Times New Roman" w:hAnsi="Times New Roman" w:eastAsia="Times New Roman" w:cs="Times New Roman"/>
          <w:spacing w:val="17"/>
          <w:sz w:val="21"/>
          <w:szCs w:val="21"/>
        </w:rPr>
        <w:t xml:space="preserve"> </w:t>
      </w:r>
      <w:r>
        <w:rPr>
          <w:rFonts w:ascii="宋体" w:hAnsi="宋体" w:eastAsia="宋体" w:cs="宋体"/>
          <w:sz w:val="21"/>
          <w:szCs w:val="21"/>
        </w:rPr>
        <w:t>特别安全生产事项</w:t>
      </w:r>
    </w:p>
    <w:p w14:paraId="2251E8FA">
      <w:pPr>
        <w:spacing w:before="140" w:line="220" w:lineRule="auto"/>
        <w:ind w:left="444"/>
        <w:rPr>
          <w:rFonts w:ascii="宋体" w:hAnsi="宋体" w:eastAsia="宋体" w:cs="宋体"/>
          <w:sz w:val="21"/>
          <w:szCs w:val="21"/>
        </w:rPr>
      </w:pPr>
      <w:r>
        <w:rPr>
          <w:rFonts w:ascii="宋体" w:hAnsi="宋体" w:eastAsia="宋体" w:cs="宋体"/>
          <w:spacing w:val="-2"/>
          <w:sz w:val="21"/>
          <w:szCs w:val="21"/>
        </w:rPr>
        <w:t>承包人应按照法律规定进行施工，开工前做好安全技术交底工作，施工过</w:t>
      </w:r>
      <w:r>
        <w:rPr>
          <w:rFonts w:ascii="宋体" w:hAnsi="宋体" w:eastAsia="宋体" w:cs="宋体"/>
          <w:spacing w:val="-3"/>
          <w:sz w:val="21"/>
          <w:szCs w:val="21"/>
        </w:rPr>
        <w:t>程中做好各项</w:t>
      </w:r>
    </w:p>
    <w:p w14:paraId="757594D3">
      <w:pPr>
        <w:spacing w:line="220" w:lineRule="auto"/>
        <w:rPr>
          <w:rFonts w:ascii="宋体" w:hAnsi="宋体" w:eastAsia="宋体" w:cs="宋体"/>
          <w:sz w:val="21"/>
          <w:szCs w:val="21"/>
        </w:rPr>
        <w:sectPr>
          <w:footerReference r:id="rId167" w:type="default"/>
          <w:pgSz w:w="11910" w:h="16845"/>
          <w:pgMar w:top="400" w:right="1679" w:bottom="1110" w:left="1786" w:header="0" w:footer="882" w:gutter="0"/>
          <w:cols w:space="720" w:num="1"/>
        </w:sectPr>
      </w:pPr>
    </w:p>
    <w:p w14:paraId="0FBB231C">
      <w:pPr>
        <w:pStyle w:val="2"/>
        <w:spacing w:line="275" w:lineRule="auto"/>
      </w:pPr>
    </w:p>
    <w:p w14:paraId="488F4B8D">
      <w:pPr>
        <w:pStyle w:val="2"/>
        <w:spacing w:line="275" w:lineRule="auto"/>
      </w:pPr>
    </w:p>
    <w:p w14:paraId="48468083">
      <w:pPr>
        <w:pStyle w:val="2"/>
        <w:spacing w:line="275" w:lineRule="auto"/>
      </w:pPr>
    </w:p>
    <w:p w14:paraId="68F460CD">
      <w:pPr>
        <w:pStyle w:val="2"/>
        <w:spacing w:line="275" w:lineRule="auto"/>
      </w:pPr>
    </w:p>
    <w:p w14:paraId="5607C138">
      <w:pPr>
        <w:spacing w:before="68" w:line="350" w:lineRule="auto"/>
        <w:ind w:left="25" w:right="85" w:firstLine="3"/>
        <w:rPr>
          <w:rFonts w:ascii="宋体" w:hAnsi="宋体" w:eastAsia="宋体" w:cs="宋体"/>
          <w:sz w:val="21"/>
          <w:szCs w:val="21"/>
        </w:rPr>
      </w:pPr>
      <w:r>
        <w:rPr>
          <w:rFonts w:ascii="宋体" w:hAnsi="宋体" w:eastAsia="宋体" w:cs="宋体"/>
          <w:spacing w:val="-2"/>
          <w:sz w:val="21"/>
          <w:szCs w:val="21"/>
        </w:rPr>
        <w:t>安全防护措施。承包人为实施合同而雇用的特殊工种的人员应受过专门的</w:t>
      </w:r>
      <w:r>
        <w:rPr>
          <w:rFonts w:ascii="宋体" w:hAnsi="宋体" w:eastAsia="宋体" w:cs="宋体"/>
          <w:spacing w:val="-3"/>
          <w:sz w:val="21"/>
          <w:szCs w:val="21"/>
        </w:rPr>
        <w:t>培训并已取得政府有关管理机构颁发的上岗证书。</w:t>
      </w:r>
    </w:p>
    <w:p w14:paraId="79746EC3">
      <w:pPr>
        <w:spacing w:line="356" w:lineRule="auto"/>
        <w:ind w:left="25" w:firstLine="419"/>
        <w:rPr>
          <w:rFonts w:ascii="宋体" w:hAnsi="宋体" w:eastAsia="宋体" w:cs="宋体"/>
          <w:sz w:val="21"/>
          <w:szCs w:val="21"/>
        </w:rPr>
      </w:pPr>
      <w:r>
        <w:rPr>
          <w:rFonts w:ascii="宋体" w:hAnsi="宋体" w:eastAsia="宋体" w:cs="宋体"/>
          <w:spacing w:val="-2"/>
          <w:sz w:val="21"/>
          <w:szCs w:val="21"/>
        </w:rPr>
        <w:t>承包人在动力设备、输电线路、地下管道、密封防震车间、易燃易爆地段以及临街交通</w:t>
      </w:r>
      <w:r>
        <w:rPr>
          <w:rFonts w:ascii="宋体" w:hAnsi="宋体" w:eastAsia="宋体" w:cs="宋体"/>
          <w:spacing w:val="-5"/>
          <w:sz w:val="21"/>
          <w:szCs w:val="21"/>
        </w:rPr>
        <w:t>要道附近施工时，施工开始前应向发包人和监理人提出安全防护措施，经发包人认可</w:t>
      </w:r>
      <w:r>
        <w:rPr>
          <w:rFonts w:ascii="宋体" w:hAnsi="宋体" w:eastAsia="宋体" w:cs="宋体"/>
          <w:spacing w:val="-6"/>
          <w:sz w:val="21"/>
          <w:szCs w:val="21"/>
        </w:rPr>
        <w:t>后实施。</w:t>
      </w:r>
    </w:p>
    <w:p w14:paraId="2D6731B5">
      <w:pPr>
        <w:spacing w:before="1" w:line="347" w:lineRule="auto"/>
        <w:ind w:left="23" w:right="71" w:firstLine="426"/>
        <w:rPr>
          <w:rFonts w:ascii="宋体" w:hAnsi="宋体" w:eastAsia="宋体" w:cs="宋体"/>
          <w:sz w:val="21"/>
          <w:szCs w:val="21"/>
        </w:rPr>
      </w:pPr>
      <w:r>
        <w:rPr>
          <w:rFonts w:ascii="宋体" w:hAnsi="宋体" w:eastAsia="宋体" w:cs="宋体"/>
          <w:spacing w:val="-3"/>
          <w:sz w:val="21"/>
          <w:szCs w:val="21"/>
        </w:rPr>
        <w:t>实施爆破作业，在放射、毒害性环境中施工（含储存、运输、使用）及使用毒害性、腐蚀性物品施工时，承包人应在施工前</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天以书面通知发包人和监理人，并报送相应的安全防护措施，经发包人认可后实施。</w:t>
      </w:r>
    </w:p>
    <w:p w14:paraId="11AD2BEF">
      <w:pPr>
        <w:spacing w:before="16" w:line="345" w:lineRule="auto"/>
        <w:ind w:left="25" w:right="82" w:firstLine="431"/>
        <w:rPr>
          <w:rFonts w:ascii="宋体" w:hAnsi="宋体" w:eastAsia="宋体" w:cs="宋体"/>
          <w:sz w:val="21"/>
          <w:szCs w:val="21"/>
        </w:rPr>
      </w:pPr>
      <w:r>
        <w:rPr>
          <w:rFonts w:ascii="宋体" w:hAnsi="宋体" w:eastAsia="宋体" w:cs="宋体"/>
          <w:spacing w:val="-2"/>
          <w:sz w:val="21"/>
          <w:szCs w:val="21"/>
        </w:rPr>
        <w:t>需单独编制危险性较大分部分项专项工程施工方</w:t>
      </w:r>
      <w:r>
        <w:rPr>
          <w:rFonts w:ascii="宋体" w:hAnsi="宋体" w:eastAsia="宋体" w:cs="宋体"/>
          <w:spacing w:val="-3"/>
          <w:sz w:val="21"/>
          <w:szCs w:val="21"/>
        </w:rPr>
        <w:t>案的，及要求进行专家论证的超过一定</w:t>
      </w:r>
      <w:r>
        <w:rPr>
          <w:rFonts w:ascii="宋体" w:hAnsi="宋体" w:eastAsia="宋体" w:cs="宋体"/>
          <w:spacing w:val="-1"/>
          <w:sz w:val="21"/>
          <w:szCs w:val="21"/>
        </w:rPr>
        <w:t>规模的危险性较大的分部分项工程，承包人应及时编制和组织论证。</w:t>
      </w:r>
    </w:p>
    <w:p w14:paraId="197D0E68">
      <w:pPr>
        <w:spacing w:before="10" w:line="234" w:lineRule="auto"/>
        <w:ind w:left="445"/>
        <w:rPr>
          <w:rFonts w:ascii="宋体" w:hAnsi="宋体" w:eastAsia="宋体" w:cs="宋体"/>
          <w:sz w:val="21"/>
          <w:szCs w:val="21"/>
        </w:rPr>
      </w:pPr>
      <w:r>
        <w:rPr>
          <w:rFonts w:ascii="Times New Roman" w:hAnsi="Times New Roman" w:eastAsia="Times New Roman" w:cs="Times New Roman"/>
          <w:spacing w:val="-1"/>
          <w:sz w:val="21"/>
          <w:szCs w:val="21"/>
        </w:rPr>
        <w:t>6.1.4</w:t>
      </w:r>
      <w:r>
        <w:rPr>
          <w:rFonts w:ascii="Times New Roman" w:hAnsi="Times New Roman" w:eastAsia="Times New Roman" w:cs="Times New Roman"/>
          <w:spacing w:val="56"/>
          <w:sz w:val="21"/>
          <w:szCs w:val="21"/>
        </w:rPr>
        <w:t xml:space="preserve"> </w:t>
      </w:r>
      <w:r>
        <w:rPr>
          <w:rFonts w:ascii="宋体" w:hAnsi="宋体" w:eastAsia="宋体" w:cs="宋体"/>
          <w:spacing w:val="-1"/>
          <w:sz w:val="21"/>
          <w:szCs w:val="21"/>
        </w:rPr>
        <w:t>治安保卫</w:t>
      </w:r>
    </w:p>
    <w:p w14:paraId="5863470E">
      <w:pPr>
        <w:spacing w:before="140" w:line="345" w:lineRule="auto"/>
        <w:ind w:left="26" w:right="83" w:firstLine="430"/>
        <w:rPr>
          <w:rFonts w:ascii="宋体" w:hAnsi="宋体" w:eastAsia="宋体" w:cs="宋体"/>
          <w:sz w:val="21"/>
          <w:szCs w:val="21"/>
        </w:rPr>
      </w:pPr>
      <w:r>
        <w:rPr>
          <w:rFonts w:ascii="宋体" w:hAnsi="宋体" w:eastAsia="宋体" w:cs="宋体"/>
          <w:spacing w:val="-2"/>
          <w:sz w:val="21"/>
          <w:szCs w:val="21"/>
        </w:rPr>
        <w:t>除专用合同条款另有约定外，发包人应与当</w:t>
      </w:r>
      <w:r>
        <w:rPr>
          <w:rFonts w:ascii="宋体" w:hAnsi="宋体" w:eastAsia="宋体" w:cs="宋体"/>
          <w:spacing w:val="-3"/>
          <w:sz w:val="21"/>
          <w:szCs w:val="21"/>
        </w:rPr>
        <w:t>地公安部门协商，在现场建立治安管理机构</w:t>
      </w:r>
      <w:r>
        <w:rPr>
          <w:rFonts w:ascii="宋体" w:hAnsi="宋体" w:eastAsia="宋体" w:cs="宋体"/>
          <w:sz w:val="21"/>
          <w:szCs w:val="21"/>
        </w:rPr>
        <w:t>或联防组织，统一管理施工场地的治安保卫事项，</w:t>
      </w:r>
      <w:r>
        <w:rPr>
          <w:rFonts w:ascii="宋体" w:hAnsi="宋体" w:eastAsia="宋体" w:cs="宋体"/>
          <w:spacing w:val="-1"/>
          <w:sz w:val="21"/>
          <w:szCs w:val="21"/>
        </w:rPr>
        <w:t>履行合同工程的治安保卫职责。</w:t>
      </w:r>
    </w:p>
    <w:p w14:paraId="4573B377">
      <w:pPr>
        <w:spacing w:before="9" w:line="350" w:lineRule="auto"/>
        <w:ind w:left="24" w:right="82" w:firstLine="423"/>
        <w:rPr>
          <w:rFonts w:ascii="宋体" w:hAnsi="宋体" w:eastAsia="宋体" w:cs="宋体"/>
          <w:sz w:val="21"/>
          <w:szCs w:val="21"/>
        </w:rPr>
      </w:pPr>
      <w:r>
        <w:rPr>
          <w:rFonts w:ascii="宋体" w:hAnsi="宋体" w:eastAsia="宋体" w:cs="宋体"/>
          <w:spacing w:val="-2"/>
          <w:sz w:val="21"/>
          <w:szCs w:val="21"/>
        </w:rPr>
        <w:t>发包人和承包人除应协助现场治安管理机构或联防组织维护施工场</w:t>
      </w:r>
      <w:r>
        <w:rPr>
          <w:rFonts w:ascii="宋体" w:hAnsi="宋体" w:eastAsia="宋体" w:cs="宋体"/>
          <w:spacing w:val="-3"/>
          <w:sz w:val="21"/>
          <w:szCs w:val="21"/>
        </w:rPr>
        <w:t>地的社会治安外，还</w:t>
      </w:r>
      <w:r>
        <w:rPr>
          <w:rFonts w:ascii="宋体" w:hAnsi="宋体" w:eastAsia="宋体" w:cs="宋体"/>
          <w:spacing w:val="-1"/>
          <w:sz w:val="21"/>
          <w:szCs w:val="21"/>
        </w:rPr>
        <w:t>应做好包括生活区在内的各自管辖区的治安保</w:t>
      </w:r>
      <w:r>
        <w:rPr>
          <w:rFonts w:ascii="宋体" w:hAnsi="宋体" w:eastAsia="宋体" w:cs="宋体"/>
          <w:spacing w:val="-2"/>
          <w:sz w:val="21"/>
          <w:szCs w:val="21"/>
        </w:rPr>
        <w:t>卫工作。</w:t>
      </w:r>
    </w:p>
    <w:p w14:paraId="4E94FF3D">
      <w:pPr>
        <w:spacing w:before="2" w:line="353" w:lineRule="auto"/>
        <w:ind w:left="22" w:right="70" w:firstLine="434"/>
        <w:jc w:val="both"/>
        <w:rPr>
          <w:rFonts w:ascii="宋体" w:hAnsi="宋体" w:eastAsia="宋体" w:cs="宋体"/>
          <w:sz w:val="21"/>
          <w:szCs w:val="21"/>
        </w:rPr>
      </w:pPr>
      <w:r>
        <w:rPr>
          <w:rFonts w:ascii="宋体" w:hAnsi="宋体" w:eastAsia="宋体" w:cs="宋体"/>
          <w:spacing w:val="-3"/>
          <w:sz w:val="21"/>
          <w:szCs w:val="21"/>
        </w:rPr>
        <w:t>除专用合同条款另有约定外，发包人和承包人应在工程开工后</w:t>
      </w:r>
      <w:r>
        <w:rPr>
          <w:rFonts w:ascii="宋体" w:hAnsi="宋体" w:eastAsia="宋体" w:cs="宋体"/>
          <w:spacing w:val="-43"/>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天内共同编制施工场地</w:t>
      </w:r>
      <w:r>
        <w:rPr>
          <w:rFonts w:ascii="宋体" w:hAnsi="宋体" w:eastAsia="宋体" w:cs="宋体"/>
          <w:spacing w:val="-2"/>
          <w:sz w:val="21"/>
          <w:szCs w:val="21"/>
        </w:rPr>
        <w:t>治安管理计划，并制定应对突发治安事件的紧急预案。在工程施工过程中，发生暴乱、爆炸等恐怖事件，以及群殴、械斗等群体性突发治安事件的，发包人和承包人应立即向当</w:t>
      </w:r>
      <w:r>
        <w:rPr>
          <w:rFonts w:ascii="宋体" w:hAnsi="宋体" w:eastAsia="宋体" w:cs="宋体"/>
          <w:spacing w:val="-3"/>
          <w:sz w:val="21"/>
          <w:szCs w:val="21"/>
        </w:rPr>
        <w:t>地政府</w:t>
      </w:r>
      <w:r>
        <w:rPr>
          <w:rFonts w:ascii="宋体" w:hAnsi="宋体" w:eastAsia="宋体" w:cs="宋体"/>
          <w:spacing w:val="-2"/>
          <w:sz w:val="21"/>
          <w:szCs w:val="21"/>
        </w:rPr>
        <w:t>报告。发包人和承包人应积极协助当地有关部门采取措施平息事态，防止事态扩大，</w:t>
      </w:r>
      <w:r>
        <w:rPr>
          <w:rFonts w:ascii="宋体" w:hAnsi="宋体" w:eastAsia="宋体" w:cs="宋体"/>
          <w:spacing w:val="-3"/>
          <w:sz w:val="21"/>
          <w:szCs w:val="21"/>
        </w:rPr>
        <w:t>尽量避免人员伤亡和财产损失。</w:t>
      </w:r>
    </w:p>
    <w:p w14:paraId="45312104">
      <w:pPr>
        <w:spacing w:before="3"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6.1.5</w:t>
      </w:r>
      <w:r>
        <w:rPr>
          <w:rFonts w:ascii="Times New Roman" w:hAnsi="Times New Roman" w:eastAsia="Times New Roman" w:cs="Times New Roman"/>
          <w:spacing w:val="55"/>
          <w:w w:val="101"/>
          <w:sz w:val="21"/>
          <w:szCs w:val="21"/>
        </w:rPr>
        <w:t xml:space="preserve"> </w:t>
      </w:r>
      <w:r>
        <w:rPr>
          <w:rFonts w:ascii="宋体" w:hAnsi="宋体" w:eastAsia="宋体" w:cs="宋体"/>
          <w:spacing w:val="-1"/>
          <w:sz w:val="21"/>
          <w:szCs w:val="21"/>
        </w:rPr>
        <w:t>文明施工</w:t>
      </w:r>
    </w:p>
    <w:p w14:paraId="4ADCD267">
      <w:pPr>
        <w:spacing w:before="125" w:line="352" w:lineRule="auto"/>
        <w:ind w:left="25" w:right="87" w:firstLine="419"/>
        <w:rPr>
          <w:rFonts w:ascii="宋体" w:hAnsi="宋体" w:eastAsia="宋体" w:cs="宋体"/>
          <w:sz w:val="21"/>
          <w:szCs w:val="21"/>
        </w:rPr>
      </w:pPr>
      <w:r>
        <w:rPr>
          <w:rFonts w:ascii="宋体" w:hAnsi="宋体" w:eastAsia="宋体" w:cs="宋体"/>
          <w:spacing w:val="-2"/>
          <w:sz w:val="21"/>
          <w:szCs w:val="21"/>
        </w:rPr>
        <w:t>承包人在工程施工期间，应当采取措施保持施工现场平整，物料</w:t>
      </w:r>
      <w:r>
        <w:rPr>
          <w:rFonts w:ascii="宋体" w:hAnsi="宋体" w:eastAsia="宋体" w:cs="宋体"/>
          <w:spacing w:val="-3"/>
          <w:sz w:val="21"/>
          <w:szCs w:val="21"/>
        </w:rPr>
        <w:t>堆放整齐。工程所在地</w:t>
      </w:r>
      <w:r>
        <w:rPr>
          <w:rFonts w:ascii="宋体" w:hAnsi="宋体" w:eastAsia="宋体" w:cs="宋体"/>
          <w:spacing w:val="-2"/>
          <w:sz w:val="21"/>
          <w:szCs w:val="21"/>
        </w:rPr>
        <w:t>有关政府行政管理部门有特殊要求的，按照其要求执行。合同当事人对文明</w:t>
      </w:r>
      <w:r>
        <w:rPr>
          <w:rFonts w:ascii="宋体" w:hAnsi="宋体" w:eastAsia="宋体" w:cs="宋体"/>
          <w:spacing w:val="-3"/>
          <w:sz w:val="21"/>
          <w:szCs w:val="21"/>
        </w:rPr>
        <w:t>施工有其他要求的，可以在专用合同条款中明确。</w:t>
      </w:r>
    </w:p>
    <w:p w14:paraId="13A9AFDF">
      <w:pPr>
        <w:spacing w:before="3" w:line="351" w:lineRule="auto"/>
        <w:ind w:left="24" w:right="83" w:firstLine="419"/>
        <w:jc w:val="both"/>
        <w:rPr>
          <w:rFonts w:ascii="宋体" w:hAnsi="宋体" w:eastAsia="宋体" w:cs="宋体"/>
          <w:sz w:val="21"/>
          <w:szCs w:val="21"/>
        </w:rPr>
      </w:pPr>
      <w:r>
        <w:rPr>
          <w:rFonts w:ascii="宋体" w:hAnsi="宋体" w:eastAsia="宋体" w:cs="宋体"/>
          <w:spacing w:val="-2"/>
          <w:sz w:val="21"/>
          <w:szCs w:val="21"/>
        </w:rPr>
        <w:t>在工程移交之前，承包人应当从施工现场清除承包人的全部工程设备、多</w:t>
      </w:r>
      <w:r>
        <w:rPr>
          <w:rFonts w:ascii="宋体" w:hAnsi="宋体" w:eastAsia="宋体" w:cs="宋体"/>
          <w:spacing w:val="-3"/>
          <w:sz w:val="21"/>
          <w:szCs w:val="21"/>
        </w:rPr>
        <w:t>余材料、垃圾</w:t>
      </w:r>
      <w:r>
        <w:rPr>
          <w:rFonts w:ascii="宋体" w:hAnsi="宋体" w:eastAsia="宋体" w:cs="宋体"/>
          <w:spacing w:val="-5"/>
          <w:sz w:val="21"/>
          <w:szCs w:val="21"/>
        </w:rPr>
        <w:t>和各种临时工程，并保持施工现场清洁整齐。经发包人书面同意， 承包人可在发包人指定的</w:t>
      </w:r>
      <w:r>
        <w:rPr>
          <w:rFonts w:ascii="宋体" w:hAnsi="宋体" w:eastAsia="宋体" w:cs="宋体"/>
          <w:spacing w:val="-1"/>
          <w:sz w:val="21"/>
          <w:szCs w:val="21"/>
        </w:rPr>
        <w:t>地点保留承包人履行保修期内的各项义务所需要的材料、施工设备和临时工程。</w:t>
      </w:r>
    </w:p>
    <w:p w14:paraId="65E88677">
      <w:pPr>
        <w:spacing w:before="1"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6.1.6</w:t>
      </w:r>
      <w:r>
        <w:rPr>
          <w:rFonts w:ascii="Times New Roman" w:hAnsi="Times New Roman" w:eastAsia="Times New Roman" w:cs="Times New Roman"/>
          <w:spacing w:val="59"/>
          <w:sz w:val="21"/>
          <w:szCs w:val="21"/>
        </w:rPr>
        <w:t xml:space="preserve"> </w:t>
      </w:r>
      <w:r>
        <w:rPr>
          <w:rFonts w:ascii="宋体" w:hAnsi="宋体" w:eastAsia="宋体" w:cs="宋体"/>
          <w:spacing w:val="-1"/>
          <w:sz w:val="21"/>
          <w:szCs w:val="21"/>
        </w:rPr>
        <w:t>安全文明施工费</w:t>
      </w:r>
    </w:p>
    <w:p w14:paraId="5208FFFD">
      <w:pPr>
        <w:spacing w:before="139" w:line="350" w:lineRule="auto"/>
        <w:ind w:left="25" w:right="83" w:firstLine="423"/>
        <w:rPr>
          <w:rFonts w:ascii="宋体" w:hAnsi="宋体" w:eastAsia="宋体" w:cs="宋体"/>
          <w:sz w:val="21"/>
          <w:szCs w:val="21"/>
        </w:rPr>
      </w:pPr>
      <w:r>
        <w:rPr>
          <w:rFonts w:ascii="宋体" w:hAnsi="宋体" w:eastAsia="宋体" w:cs="宋体"/>
          <w:spacing w:val="-2"/>
          <w:sz w:val="21"/>
          <w:szCs w:val="21"/>
        </w:rPr>
        <w:t>安全文明施工费由发包人承担，发包人不得以任何形式扣减该</w:t>
      </w:r>
      <w:r>
        <w:rPr>
          <w:rFonts w:ascii="宋体" w:hAnsi="宋体" w:eastAsia="宋体" w:cs="宋体"/>
          <w:spacing w:val="-3"/>
          <w:sz w:val="21"/>
          <w:szCs w:val="21"/>
        </w:rPr>
        <w:t>部分费用。因基准日期后</w:t>
      </w:r>
      <w:r>
        <w:rPr>
          <w:rFonts w:ascii="宋体" w:hAnsi="宋体" w:eastAsia="宋体" w:cs="宋体"/>
          <w:spacing w:val="-1"/>
          <w:sz w:val="21"/>
          <w:szCs w:val="21"/>
        </w:rPr>
        <w:t>合同所适用的法律或政府有关规定发生变化，增加的安全文明施工费由发包人承担。</w:t>
      </w:r>
    </w:p>
    <w:p w14:paraId="6378C9C4">
      <w:pPr>
        <w:spacing w:before="3" w:line="351" w:lineRule="auto"/>
        <w:ind w:left="27" w:right="83" w:firstLine="417"/>
        <w:jc w:val="both"/>
        <w:rPr>
          <w:rFonts w:ascii="宋体" w:hAnsi="宋体" w:eastAsia="宋体" w:cs="宋体"/>
          <w:sz w:val="21"/>
          <w:szCs w:val="21"/>
        </w:rPr>
      </w:pPr>
      <w:r>
        <w:rPr>
          <w:rFonts w:ascii="宋体" w:hAnsi="宋体" w:eastAsia="宋体" w:cs="宋体"/>
          <w:spacing w:val="-2"/>
          <w:sz w:val="21"/>
          <w:szCs w:val="21"/>
        </w:rPr>
        <w:t>承包人经发包人同意采取合同约定以外的安全措施所产生的费用，由发包</w:t>
      </w:r>
      <w:r>
        <w:rPr>
          <w:rFonts w:ascii="宋体" w:hAnsi="宋体" w:eastAsia="宋体" w:cs="宋体"/>
          <w:spacing w:val="-3"/>
          <w:sz w:val="21"/>
          <w:szCs w:val="21"/>
        </w:rPr>
        <w:t>人承担。未经</w:t>
      </w:r>
      <w:r>
        <w:rPr>
          <w:rFonts w:ascii="宋体" w:hAnsi="宋体" w:eastAsia="宋体" w:cs="宋体"/>
          <w:spacing w:val="-2"/>
          <w:sz w:val="21"/>
          <w:szCs w:val="21"/>
        </w:rPr>
        <w:t>发包人同意的，如果该措施避免了发包人的损失，则发包人在避免损失的</w:t>
      </w:r>
      <w:r>
        <w:rPr>
          <w:rFonts w:ascii="宋体" w:hAnsi="宋体" w:eastAsia="宋体" w:cs="宋体"/>
          <w:spacing w:val="-3"/>
          <w:sz w:val="21"/>
          <w:szCs w:val="21"/>
        </w:rPr>
        <w:t>额度内承担该措施</w:t>
      </w:r>
      <w:r>
        <w:rPr>
          <w:rFonts w:ascii="宋体" w:hAnsi="宋体" w:eastAsia="宋体" w:cs="宋体"/>
          <w:spacing w:val="-1"/>
          <w:sz w:val="21"/>
          <w:szCs w:val="21"/>
        </w:rPr>
        <w:t>费。如果该措施避免了承包人的损失，由承包人承担该措施费。</w:t>
      </w:r>
    </w:p>
    <w:p w14:paraId="37D1BFB0">
      <w:pPr>
        <w:spacing w:before="1" w:line="357" w:lineRule="auto"/>
        <w:ind w:left="26" w:right="75" w:firstLine="431"/>
        <w:rPr>
          <w:rFonts w:ascii="宋体" w:hAnsi="宋体" w:eastAsia="宋体" w:cs="宋体"/>
          <w:sz w:val="21"/>
          <w:szCs w:val="21"/>
        </w:rPr>
      </w:pPr>
      <w:r>
        <w:rPr>
          <w:rFonts w:ascii="宋体" w:hAnsi="宋体" w:eastAsia="宋体" w:cs="宋体"/>
          <w:spacing w:val="2"/>
          <w:sz w:val="21"/>
          <w:szCs w:val="21"/>
        </w:rPr>
        <w:t xml:space="preserve">除专用合同条款另有约定外，发包人应在开工后 </w:t>
      </w:r>
      <w:r>
        <w:rPr>
          <w:rFonts w:ascii="Times New Roman" w:hAnsi="Times New Roman" w:eastAsia="Times New Roman" w:cs="Times New Roman"/>
          <w:spacing w:val="2"/>
          <w:sz w:val="21"/>
          <w:szCs w:val="21"/>
        </w:rPr>
        <w:t xml:space="preserve">28  </w:t>
      </w:r>
      <w:r>
        <w:rPr>
          <w:rFonts w:ascii="宋体" w:hAnsi="宋体" w:eastAsia="宋体" w:cs="宋体"/>
          <w:spacing w:val="2"/>
          <w:sz w:val="21"/>
          <w:szCs w:val="21"/>
        </w:rPr>
        <w:t>天内预付安全文明施工费总额的</w:t>
      </w:r>
      <w:r>
        <w:rPr>
          <w:rFonts w:ascii="Times New Roman" w:hAnsi="Times New Roman" w:eastAsia="Times New Roman" w:cs="Times New Roman"/>
          <w:sz w:val="21"/>
          <w:szCs w:val="21"/>
        </w:rPr>
        <w:t>50%</w:t>
      </w:r>
      <w:r>
        <w:rPr>
          <w:rFonts w:ascii="宋体" w:hAnsi="宋体" w:eastAsia="宋体" w:cs="宋体"/>
          <w:sz w:val="21"/>
          <w:szCs w:val="21"/>
        </w:rPr>
        <w:t>，其余部分与进度款同期支付。发包人逾期支付安全文明施工费超过</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天的，承包人有</w:t>
      </w:r>
    </w:p>
    <w:p w14:paraId="2F10D8FC">
      <w:pPr>
        <w:spacing w:line="357" w:lineRule="auto"/>
        <w:rPr>
          <w:rFonts w:ascii="宋体" w:hAnsi="宋体" w:eastAsia="宋体" w:cs="宋体"/>
          <w:sz w:val="21"/>
          <w:szCs w:val="21"/>
        </w:rPr>
        <w:sectPr>
          <w:footerReference r:id="rId168" w:type="default"/>
          <w:pgSz w:w="11910" w:h="16845"/>
          <w:pgMar w:top="400" w:right="1696" w:bottom="1110" w:left="1786" w:header="0" w:footer="883" w:gutter="0"/>
          <w:cols w:space="720" w:num="1"/>
        </w:sectPr>
      </w:pPr>
    </w:p>
    <w:p w14:paraId="383F3A78">
      <w:pPr>
        <w:pStyle w:val="2"/>
        <w:spacing w:line="275" w:lineRule="auto"/>
      </w:pPr>
    </w:p>
    <w:p w14:paraId="15695556">
      <w:pPr>
        <w:pStyle w:val="2"/>
        <w:spacing w:line="275" w:lineRule="auto"/>
      </w:pPr>
    </w:p>
    <w:p w14:paraId="1A2A12F7">
      <w:pPr>
        <w:pStyle w:val="2"/>
        <w:spacing w:line="275" w:lineRule="auto"/>
      </w:pPr>
    </w:p>
    <w:p w14:paraId="233C9C02">
      <w:pPr>
        <w:pStyle w:val="2"/>
        <w:spacing w:line="275" w:lineRule="auto"/>
      </w:pPr>
    </w:p>
    <w:p w14:paraId="1B957BA1">
      <w:pPr>
        <w:spacing w:before="68" w:line="350" w:lineRule="auto"/>
        <w:ind w:left="24" w:right="80" w:hanging="1"/>
        <w:rPr>
          <w:rFonts w:ascii="宋体" w:hAnsi="宋体" w:eastAsia="宋体" w:cs="宋体"/>
          <w:sz w:val="21"/>
          <w:szCs w:val="21"/>
        </w:rPr>
      </w:pPr>
      <w:r>
        <w:rPr>
          <w:rFonts w:ascii="宋体" w:hAnsi="宋体" w:eastAsia="宋体" w:cs="宋体"/>
          <w:spacing w:val="-3"/>
          <w:sz w:val="21"/>
          <w:szCs w:val="21"/>
        </w:rPr>
        <w:t>权向发包人发出要求预付的催告通知，发包人收到通知后</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天内仍未支付的，承包人有权暂</w:t>
      </w:r>
      <w:r>
        <w:rPr>
          <w:rFonts w:ascii="宋体" w:hAnsi="宋体" w:eastAsia="宋体" w:cs="宋体"/>
          <w:spacing w:val="-2"/>
          <w:sz w:val="21"/>
          <w:szCs w:val="21"/>
        </w:rPr>
        <w:t>停施工，并按第</w:t>
      </w:r>
      <w:r>
        <w:rPr>
          <w:rFonts w:ascii="宋体" w:hAnsi="宋体" w:eastAsia="宋体" w:cs="宋体"/>
          <w:spacing w:val="-10"/>
          <w:sz w:val="21"/>
          <w:szCs w:val="21"/>
        </w:rPr>
        <w:t xml:space="preserve"> </w:t>
      </w:r>
      <w:r>
        <w:rPr>
          <w:rFonts w:ascii="Times New Roman" w:hAnsi="Times New Roman" w:eastAsia="Times New Roman" w:cs="Times New Roman"/>
          <w:spacing w:val="-2"/>
          <w:sz w:val="21"/>
          <w:szCs w:val="21"/>
        </w:rPr>
        <w:t>16.1.1</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项〔发包人违约的情形〕执行。</w:t>
      </w:r>
    </w:p>
    <w:p w14:paraId="1A6A7283">
      <w:pPr>
        <w:spacing w:before="3" w:line="351" w:lineRule="auto"/>
        <w:ind w:left="24" w:right="73" w:firstLine="420"/>
        <w:jc w:val="both"/>
        <w:rPr>
          <w:rFonts w:ascii="宋体" w:hAnsi="宋体" w:eastAsia="宋体" w:cs="宋体"/>
          <w:sz w:val="21"/>
          <w:szCs w:val="21"/>
        </w:rPr>
      </w:pPr>
      <w:r>
        <w:rPr>
          <w:rFonts w:ascii="宋体" w:hAnsi="宋体" w:eastAsia="宋体" w:cs="宋体"/>
          <w:spacing w:val="-2"/>
          <w:sz w:val="21"/>
          <w:szCs w:val="21"/>
        </w:rPr>
        <w:t>承包人对安全文明施工费应专款专用，承包人应在财务账目中单独列项备</w:t>
      </w:r>
      <w:r>
        <w:rPr>
          <w:rFonts w:ascii="宋体" w:hAnsi="宋体" w:eastAsia="宋体" w:cs="宋体"/>
          <w:spacing w:val="-3"/>
          <w:sz w:val="21"/>
          <w:szCs w:val="21"/>
        </w:rPr>
        <w:t>查，不得挪作</w:t>
      </w:r>
      <w:r>
        <w:rPr>
          <w:rFonts w:ascii="宋体" w:hAnsi="宋体" w:eastAsia="宋体" w:cs="宋体"/>
          <w:spacing w:val="-2"/>
          <w:sz w:val="21"/>
          <w:szCs w:val="21"/>
        </w:rPr>
        <w:t>他用，否则发包人有权责令其限期改正；逾期未改正的，可以责令其暂停施工，由此增加的费用和（或）延误的工期由承包人承担。</w:t>
      </w:r>
    </w:p>
    <w:p w14:paraId="6018ECA1">
      <w:pPr>
        <w:spacing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 xml:space="preserve">6.1.7  </w:t>
      </w:r>
      <w:r>
        <w:rPr>
          <w:rFonts w:ascii="宋体" w:hAnsi="宋体" w:eastAsia="宋体" w:cs="宋体"/>
          <w:spacing w:val="-1"/>
          <w:sz w:val="21"/>
          <w:szCs w:val="21"/>
        </w:rPr>
        <w:t>紧急情况处理</w:t>
      </w:r>
    </w:p>
    <w:p w14:paraId="40815D65">
      <w:pPr>
        <w:spacing w:before="140" w:line="351" w:lineRule="auto"/>
        <w:ind w:left="25" w:right="90" w:firstLine="418"/>
        <w:rPr>
          <w:rFonts w:ascii="宋体" w:hAnsi="宋体" w:eastAsia="宋体" w:cs="宋体"/>
          <w:sz w:val="21"/>
          <w:szCs w:val="21"/>
        </w:rPr>
      </w:pPr>
      <w:r>
        <w:rPr>
          <w:rFonts w:ascii="宋体" w:hAnsi="宋体" w:eastAsia="宋体" w:cs="宋体"/>
          <w:spacing w:val="3"/>
          <w:sz w:val="21"/>
          <w:szCs w:val="21"/>
        </w:rPr>
        <w:t>在工程实施期间或缺陷责任期内发生危及工程安全的事件，监理人通知承包人进行抢</w:t>
      </w:r>
      <w:r>
        <w:rPr>
          <w:rFonts w:ascii="宋体" w:hAnsi="宋体" w:eastAsia="宋体" w:cs="宋体"/>
          <w:spacing w:val="-2"/>
          <w:sz w:val="21"/>
          <w:szCs w:val="21"/>
        </w:rPr>
        <w:t>救，承包人声明无能力或不愿立即执行的，发包人有权雇佣其他人员进行抢救。</w:t>
      </w:r>
      <w:r>
        <w:rPr>
          <w:rFonts w:ascii="宋体" w:hAnsi="宋体" w:eastAsia="宋体" w:cs="宋体"/>
          <w:spacing w:val="-3"/>
          <w:sz w:val="21"/>
          <w:szCs w:val="21"/>
        </w:rPr>
        <w:t>此类抢救按</w:t>
      </w:r>
      <w:r>
        <w:rPr>
          <w:rFonts w:ascii="宋体" w:hAnsi="宋体" w:eastAsia="宋体" w:cs="宋体"/>
          <w:spacing w:val="-1"/>
          <w:sz w:val="21"/>
          <w:szCs w:val="21"/>
        </w:rPr>
        <w:t>合同约定属于承包人义务的，由此增加的费用和（或）延误的工期由承包人承担。</w:t>
      </w:r>
    </w:p>
    <w:p w14:paraId="5F8871D3">
      <w:pPr>
        <w:spacing w:before="3" w:line="234" w:lineRule="auto"/>
        <w:ind w:left="445"/>
        <w:rPr>
          <w:rFonts w:ascii="宋体" w:hAnsi="宋体" w:eastAsia="宋体" w:cs="宋体"/>
          <w:sz w:val="21"/>
          <w:szCs w:val="21"/>
        </w:rPr>
      </w:pPr>
      <w:r>
        <w:rPr>
          <w:rFonts w:ascii="Times New Roman" w:hAnsi="Times New Roman" w:eastAsia="Times New Roman" w:cs="Times New Roman"/>
          <w:sz w:val="21"/>
          <w:szCs w:val="21"/>
        </w:rPr>
        <w:t>6.1.8</w:t>
      </w:r>
      <w:r>
        <w:rPr>
          <w:rFonts w:ascii="Times New Roman" w:hAnsi="Times New Roman" w:eastAsia="Times New Roman" w:cs="Times New Roman"/>
          <w:spacing w:val="46"/>
          <w:sz w:val="21"/>
          <w:szCs w:val="21"/>
        </w:rPr>
        <w:t xml:space="preserve"> </w:t>
      </w:r>
      <w:r>
        <w:rPr>
          <w:rFonts w:ascii="宋体" w:hAnsi="宋体" w:eastAsia="宋体" w:cs="宋体"/>
          <w:sz w:val="21"/>
          <w:szCs w:val="21"/>
        </w:rPr>
        <w:t>事故处理</w:t>
      </w:r>
    </w:p>
    <w:p w14:paraId="548B4E9A">
      <w:pPr>
        <w:spacing w:before="141" w:line="350" w:lineRule="auto"/>
        <w:ind w:left="23" w:right="74" w:firstLine="423"/>
        <w:rPr>
          <w:rFonts w:ascii="宋体" w:hAnsi="宋体" w:eastAsia="宋体" w:cs="宋体"/>
          <w:sz w:val="21"/>
          <w:szCs w:val="21"/>
        </w:rPr>
      </w:pPr>
      <w:r>
        <w:rPr>
          <w:rFonts w:ascii="宋体" w:hAnsi="宋体" w:eastAsia="宋体" w:cs="宋体"/>
          <w:spacing w:val="-2"/>
          <w:sz w:val="21"/>
          <w:szCs w:val="21"/>
        </w:rPr>
        <w:t>工程施工过程中发生事故的，承包人应立即通知监理人，监理人应</w:t>
      </w:r>
      <w:r>
        <w:rPr>
          <w:rFonts w:ascii="宋体" w:hAnsi="宋体" w:eastAsia="宋体" w:cs="宋体"/>
          <w:spacing w:val="-3"/>
          <w:sz w:val="21"/>
          <w:szCs w:val="21"/>
        </w:rPr>
        <w:t>立即通知发包人。发</w:t>
      </w:r>
      <w:r>
        <w:rPr>
          <w:rFonts w:ascii="宋体" w:hAnsi="宋体" w:eastAsia="宋体" w:cs="宋体"/>
          <w:spacing w:val="-2"/>
          <w:sz w:val="21"/>
          <w:szCs w:val="21"/>
        </w:rPr>
        <w:t>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w:t>
      </w:r>
      <w:r>
        <w:rPr>
          <w:rFonts w:ascii="宋体" w:hAnsi="宋体" w:eastAsia="宋体" w:cs="宋体"/>
          <w:spacing w:val="-3"/>
          <w:sz w:val="21"/>
          <w:szCs w:val="21"/>
        </w:rPr>
        <w:t>况，以及正在采取的紧急措施等。</w:t>
      </w:r>
    </w:p>
    <w:p w14:paraId="5AF43AD4">
      <w:pPr>
        <w:spacing w:before="4"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6.1.9</w:t>
      </w:r>
      <w:r>
        <w:rPr>
          <w:rFonts w:ascii="Times New Roman" w:hAnsi="Times New Roman" w:eastAsia="Times New Roman" w:cs="Times New Roman"/>
          <w:spacing w:val="58"/>
          <w:sz w:val="21"/>
          <w:szCs w:val="21"/>
        </w:rPr>
        <w:t xml:space="preserve"> </w:t>
      </w:r>
      <w:r>
        <w:rPr>
          <w:rFonts w:ascii="宋体" w:hAnsi="宋体" w:eastAsia="宋体" w:cs="宋体"/>
          <w:spacing w:val="-1"/>
          <w:sz w:val="21"/>
          <w:szCs w:val="21"/>
        </w:rPr>
        <w:t>安全生产责任</w:t>
      </w:r>
    </w:p>
    <w:p w14:paraId="05A6C628">
      <w:pPr>
        <w:spacing w:before="140" w:line="233" w:lineRule="auto"/>
        <w:ind w:left="445"/>
        <w:rPr>
          <w:rFonts w:ascii="宋体" w:hAnsi="宋体" w:eastAsia="宋体" w:cs="宋体"/>
          <w:sz w:val="21"/>
          <w:szCs w:val="21"/>
        </w:rPr>
      </w:pPr>
      <w:r>
        <w:rPr>
          <w:rFonts w:ascii="Times New Roman" w:hAnsi="Times New Roman" w:eastAsia="Times New Roman" w:cs="Times New Roman"/>
          <w:sz w:val="21"/>
          <w:szCs w:val="21"/>
        </w:rPr>
        <w:t>6.1.9.1</w:t>
      </w:r>
      <w:r>
        <w:rPr>
          <w:rFonts w:ascii="Times New Roman" w:hAnsi="Times New Roman" w:eastAsia="Times New Roman" w:cs="Times New Roman"/>
          <w:spacing w:val="55"/>
          <w:sz w:val="21"/>
          <w:szCs w:val="21"/>
        </w:rPr>
        <w:t xml:space="preserve"> </w:t>
      </w:r>
      <w:r>
        <w:rPr>
          <w:rFonts w:ascii="宋体" w:hAnsi="宋体" w:eastAsia="宋体" w:cs="宋体"/>
          <w:sz w:val="21"/>
          <w:szCs w:val="21"/>
        </w:rPr>
        <w:t>发包人的安全责任</w:t>
      </w:r>
    </w:p>
    <w:p w14:paraId="775BAFA8">
      <w:pPr>
        <w:spacing w:before="124" w:line="220" w:lineRule="auto"/>
        <w:ind w:left="448"/>
        <w:rPr>
          <w:rFonts w:ascii="宋体" w:hAnsi="宋体" w:eastAsia="宋体" w:cs="宋体"/>
          <w:sz w:val="21"/>
          <w:szCs w:val="21"/>
        </w:rPr>
      </w:pPr>
      <w:r>
        <w:rPr>
          <w:rFonts w:ascii="宋体" w:hAnsi="宋体" w:eastAsia="宋体" w:cs="宋体"/>
          <w:spacing w:val="-2"/>
          <w:sz w:val="21"/>
          <w:szCs w:val="21"/>
        </w:rPr>
        <w:t>发包人应负责赔偿以下各种情况造成的损失：</w:t>
      </w:r>
    </w:p>
    <w:p w14:paraId="730EE54B">
      <w:pPr>
        <w:spacing w:before="157"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）工程或工程的任何部分对土地的占用所造成的第三者财产损失；</w:t>
      </w:r>
    </w:p>
    <w:p w14:paraId="1BFC8573">
      <w:pPr>
        <w:spacing w:before="140" w:line="233" w:lineRule="auto"/>
        <w:ind w:left="45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）由于发包人原因在施工场地及其毗邻地带造成的第三者人</w:t>
      </w:r>
      <w:r>
        <w:rPr>
          <w:rFonts w:ascii="宋体" w:hAnsi="宋体" w:eastAsia="宋体" w:cs="宋体"/>
          <w:spacing w:val="-1"/>
          <w:sz w:val="21"/>
          <w:szCs w:val="21"/>
        </w:rPr>
        <w:t>身伤亡和财产损失；</w:t>
      </w:r>
    </w:p>
    <w:p w14:paraId="7E7C50B6">
      <w:pPr>
        <w:spacing w:before="126"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）由于发包人原因对承包人、监理人造成的人员人身伤亡和财产损失；</w:t>
      </w:r>
    </w:p>
    <w:p w14:paraId="74837CCB">
      <w:pPr>
        <w:spacing w:before="140"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）由于发包人原因造成的发包人自身人员的人身伤害以及财产损失。</w:t>
      </w:r>
    </w:p>
    <w:p w14:paraId="09C46125">
      <w:pPr>
        <w:spacing w:before="140" w:line="233" w:lineRule="auto"/>
        <w:ind w:left="445"/>
        <w:rPr>
          <w:rFonts w:ascii="宋体" w:hAnsi="宋体" w:eastAsia="宋体" w:cs="宋体"/>
          <w:sz w:val="21"/>
          <w:szCs w:val="21"/>
        </w:rPr>
      </w:pPr>
      <w:r>
        <w:rPr>
          <w:rFonts w:ascii="Times New Roman" w:hAnsi="Times New Roman" w:eastAsia="Times New Roman" w:cs="Times New Roman"/>
          <w:sz w:val="21"/>
          <w:szCs w:val="21"/>
        </w:rPr>
        <w:t>6.1.9.2</w:t>
      </w:r>
      <w:r>
        <w:rPr>
          <w:rFonts w:ascii="Times New Roman" w:hAnsi="Times New Roman" w:eastAsia="Times New Roman" w:cs="Times New Roman"/>
          <w:spacing w:val="54"/>
          <w:w w:val="101"/>
          <w:sz w:val="21"/>
          <w:szCs w:val="21"/>
        </w:rPr>
        <w:t xml:space="preserve"> </w:t>
      </w:r>
      <w:r>
        <w:rPr>
          <w:rFonts w:ascii="宋体" w:hAnsi="宋体" w:eastAsia="宋体" w:cs="宋体"/>
          <w:sz w:val="21"/>
          <w:szCs w:val="21"/>
        </w:rPr>
        <w:t>承包人的安全责任</w:t>
      </w:r>
    </w:p>
    <w:p w14:paraId="66888D83">
      <w:pPr>
        <w:spacing w:before="125" w:line="345" w:lineRule="auto"/>
        <w:ind w:left="25" w:right="94" w:firstLine="445"/>
        <w:rPr>
          <w:rFonts w:ascii="宋体" w:hAnsi="宋体" w:eastAsia="宋体" w:cs="宋体"/>
          <w:sz w:val="21"/>
          <w:szCs w:val="21"/>
        </w:rPr>
      </w:pPr>
      <w:r>
        <w:rPr>
          <w:rFonts w:ascii="宋体" w:hAnsi="宋体" w:eastAsia="宋体" w:cs="宋体"/>
          <w:spacing w:val="-3"/>
          <w:sz w:val="21"/>
          <w:szCs w:val="21"/>
        </w:rPr>
        <w:t>由于承包人原因在施工场地内及其毗邻地带造成的发包人、监理人以及第三者人员伤亡和财产损失，由承包人负责赔偿。</w:t>
      </w:r>
    </w:p>
    <w:p w14:paraId="189BF609">
      <w:pPr>
        <w:spacing w:before="1" w:line="234" w:lineRule="auto"/>
        <w:ind w:left="24"/>
        <w:outlineLvl w:val="2"/>
        <w:rPr>
          <w:rFonts w:ascii="黑体" w:hAnsi="黑体" w:eastAsia="黑体" w:cs="黑体"/>
          <w:sz w:val="24"/>
          <w:szCs w:val="24"/>
        </w:rPr>
      </w:pPr>
      <w:bookmarkStart w:id="392" w:name="bookmark340"/>
      <w:bookmarkEnd w:id="392"/>
      <w:r>
        <w:rPr>
          <w:rFonts w:ascii="Times New Roman" w:hAnsi="Times New Roman" w:eastAsia="Times New Roman" w:cs="Times New Roman"/>
          <w:b/>
          <w:bCs/>
          <w:spacing w:val="3"/>
          <w:sz w:val="24"/>
          <w:szCs w:val="24"/>
        </w:rPr>
        <w:t xml:space="preserve">6.2  </w:t>
      </w:r>
      <w:r>
        <w:rPr>
          <w:rFonts w:ascii="黑体" w:hAnsi="黑体" w:eastAsia="黑体" w:cs="黑体"/>
          <w:b/>
          <w:bCs/>
          <w:spacing w:val="3"/>
          <w:sz w:val="24"/>
          <w:szCs w:val="24"/>
        </w:rPr>
        <w:t>职业健康</w:t>
      </w:r>
    </w:p>
    <w:p w14:paraId="2F256917">
      <w:pPr>
        <w:spacing w:before="111"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6.2.1</w:t>
      </w:r>
      <w:r>
        <w:rPr>
          <w:rFonts w:ascii="Times New Roman" w:hAnsi="Times New Roman" w:eastAsia="Times New Roman" w:cs="Times New Roman"/>
          <w:spacing w:val="56"/>
          <w:sz w:val="21"/>
          <w:szCs w:val="21"/>
        </w:rPr>
        <w:t xml:space="preserve"> </w:t>
      </w:r>
      <w:r>
        <w:rPr>
          <w:rFonts w:ascii="宋体" w:hAnsi="宋体" w:eastAsia="宋体" w:cs="宋体"/>
          <w:spacing w:val="-1"/>
          <w:sz w:val="21"/>
          <w:szCs w:val="21"/>
        </w:rPr>
        <w:t>劳动保护</w:t>
      </w:r>
    </w:p>
    <w:p w14:paraId="33FD6A33">
      <w:pPr>
        <w:spacing w:before="140" w:line="353" w:lineRule="auto"/>
        <w:ind w:left="25" w:firstLine="419"/>
        <w:rPr>
          <w:rFonts w:ascii="宋体" w:hAnsi="宋体" w:eastAsia="宋体" w:cs="宋体"/>
          <w:sz w:val="21"/>
          <w:szCs w:val="21"/>
        </w:rPr>
      </w:pPr>
      <w:r>
        <w:rPr>
          <w:rFonts w:ascii="宋体" w:hAnsi="宋体" w:eastAsia="宋体" w:cs="宋体"/>
          <w:sz w:val="21"/>
          <w:szCs w:val="21"/>
        </w:rPr>
        <w:t>承包人应按照法律规定安排现场施工人员的劳动和休息时间，保障劳动者的休息时间，</w:t>
      </w:r>
      <w:r>
        <w:rPr>
          <w:rFonts w:ascii="宋体" w:hAnsi="宋体" w:eastAsia="宋体" w:cs="宋体"/>
          <w:spacing w:val="-5"/>
          <w:sz w:val="21"/>
          <w:szCs w:val="21"/>
        </w:rPr>
        <w:t>并支付合理的报酬和费用。承包人应依法为其履行合同所雇用的人员办理必要的证件、许可、</w:t>
      </w:r>
      <w:r>
        <w:rPr>
          <w:rFonts w:ascii="宋体" w:hAnsi="宋体" w:eastAsia="宋体" w:cs="宋体"/>
          <w:spacing w:val="-2"/>
          <w:sz w:val="21"/>
          <w:szCs w:val="21"/>
        </w:rPr>
        <w:t>保险和注册等，承包人应督促其分包人为分包人所雇用的人员办理必要的证件</w:t>
      </w:r>
      <w:r>
        <w:rPr>
          <w:rFonts w:ascii="宋体" w:hAnsi="宋体" w:eastAsia="宋体" w:cs="宋体"/>
          <w:spacing w:val="-3"/>
          <w:sz w:val="21"/>
          <w:szCs w:val="21"/>
        </w:rPr>
        <w:t>、许可、保险</w:t>
      </w:r>
      <w:r>
        <w:rPr>
          <w:rFonts w:ascii="宋体" w:hAnsi="宋体" w:eastAsia="宋体" w:cs="宋体"/>
          <w:spacing w:val="-6"/>
          <w:sz w:val="21"/>
          <w:szCs w:val="21"/>
        </w:rPr>
        <w:t>和注册等。</w:t>
      </w:r>
    </w:p>
    <w:p w14:paraId="32BBAF04">
      <w:pPr>
        <w:spacing w:line="350" w:lineRule="auto"/>
        <w:ind w:left="27" w:right="70" w:firstLine="417"/>
        <w:jc w:val="both"/>
        <w:rPr>
          <w:rFonts w:ascii="宋体" w:hAnsi="宋体" w:eastAsia="宋体" w:cs="宋体"/>
          <w:sz w:val="21"/>
          <w:szCs w:val="21"/>
        </w:rPr>
      </w:pPr>
      <w:r>
        <w:rPr>
          <w:rFonts w:ascii="宋体" w:hAnsi="宋体" w:eastAsia="宋体" w:cs="宋体"/>
          <w:spacing w:val="1"/>
          <w:sz w:val="21"/>
          <w:szCs w:val="21"/>
        </w:rPr>
        <w:t>承包人应按照法律规定保障现场施工人员的劳动安全，并提供劳动保护</w:t>
      </w:r>
      <w:r>
        <w:rPr>
          <w:rFonts w:ascii="Times New Roman" w:hAnsi="Times New Roman" w:eastAsia="Times New Roman" w:cs="Times New Roman"/>
          <w:spacing w:val="1"/>
          <w:sz w:val="21"/>
          <w:szCs w:val="21"/>
        </w:rPr>
        <w:t>,</w:t>
      </w:r>
      <w:r>
        <w:rPr>
          <w:rFonts w:ascii="宋体" w:hAnsi="宋体" w:eastAsia="宋体" w:cs="宋体"/>
          <w:spacing w:val="1"/>
          <w:sz w:val="21"/>
          <w:szCs w:val="21"/>
        </w:rPr>
        <w:t>并应按国家有</w:t>
      </w:r>
      <w:r>
        <w:rPr>
          <w:rFonts w:ascii="宋体" w:hAnsi="宋体" w:eastAsia="宋体" w:cs="宋体"/>
          <w:spacing w:val="-2"/>
          <w:sz w:val="21"/>
          <w:szCs w:val="21"/>
        </w:rPr>
        <w:t>关劳动保护的规定，采取有效的防止粉尘、降低噪声、控制有害气体和保障高温、高寒、高</w:t>
      </w:r>
      <w:r>
        <w:rPr>
          <w:rFonts w:ascii="宋体" w:hAnsi="宋体" w:eastAsia="宋体" w:cs="宋体"/>
          <w:spacing w:val="-4"/>
          <w:sz w:val="21"/>
          <w:szCs w:val="21"/>
        </w:rPr>
        <w:t>空作业安全等劳动保护措施。承包人雇佣人员在施工中受到伤害的，</w:t>
      </w:r>
      <w:r>
        <w:rPr>
          <w:rFonts w:ascii="宋体" w:hAnsi="宋体" w:eastAsia="宋体" w:cs="宋体"/>
          <w:spacing w:val="-29"/>
          <w:sz w:val="21"/>
          <w:szCs w:val="21"/>
        </w:rPr>
        <w:t xml:space="preserve"> </w:t>
      </w:r>
      <w:r>
        <w:rPr>
          <w:rFonts w:ascii="宋体" w:hAnsi="宋体" w:eastAsia="宋体" w:cs="宋体"/>
          <w:spacing w:val="-4"/>
          <w:sz w:val="21"/>
          <w:szCs w:val="21"/>
        </w:rPr>
        <w:t>承包人应立即采取有效</w:t>
      </w:r>
    </w:p>
    <w:p w14:paraId="2FD48D79">
      <w:pPr>
        <w:spacing w:line="350" w:lineRule="auto"/>
        <w:rPr>
          <w:rFonts w:ascii="宋体" w:hAnsi="宋体" w:eastAsia="宋体" w:cs="宋体"/>
          <w:sz w:val="21"/>
          <w:szCs w:val="21"/>
        </w:rPr>
        <w:sectPr>
          <w:footerReference r:id="rId169" w:type="default"/>
          <w:pgSz w:w="11910" w:h="16845"/>
          <w:pgMar w:top="400" w:right="1691" w:bottom="1110" w:left="1786" w:header="0" w:footer="883" w:gutter="0"/>
          <w:cols w:space="720" w:num="1"/>
        </w:sectPr>
      </w:pPr>
    </w:p>
    <w:p w14:paraId="45E793CD">
      <w:pPr>
        <w:pStyle w:val="2"/>
        <w:spacing w:line="275" w:lineRule="auto"/>
      </w:pPr>
    </w:p>
    <w:p w14:paraId="7BE8151A">
      <w:pPr>
        <w:pStyle w:val="2"/>
        <w:spacing w:line="275" w:lineRule="auto"/>
      </w:pPr>
    </w:p>
    <w:p w14:paraId="6EC7CD5E">
      <w:pPr>
        <w:pStyle w:val="2"/>
        <w:spacing w:line="275" w:lineRule="auto"/>
      </w:pPr>
    </w:p>
    <w:p w14:paraId="098F21BD">
      <w:pPr>
        <w:pStyle w:val="2"/>
        <w:spacing w:line="275" w:lineRule="auto"/>
      </w:pPr>
    </w:p>
    <w:p w14:paraId="73F48AD9">
      <w:pPr>
        <w:spacing w:before="68" w:line="220" w:lineRule="auto"/>
        <w:ind w:left="24"/>
        <w:rPr>
          <w:rFonts w:ascii="宋体" w:hAnsi="宋体" w:eastAsia="宋体" w:cs="宋体"/>
          <w:sz w:val="21"/>
          <w:szCs w:val="21"/>
        </w:rPr>
      </w:pPr>
      <w:r>
        <w:rPr>
          <w:rFonts w:ascii="宋体" w:hAnsi="宋体" w:eastAsia="宋体" w:cs="宋体"/>
          <w:spacing w:val="-4"/>
          <w:sz w:val="21"/>
          <w:szCs w:val="21"/>
        </w:rPr>
        <w:t>措施进行抢救和治疗。</w:t>
      </w:r>
    </w:p>
    <w:p w14:paraId="5ED24DF3">
      <w:pPr>
        <w:spacing w:before="155" w:line="351" w:lineRule="auto"/>
        <w:ind w:left="24" w:right="14" w:firstLine="420"/>
        <w:jc w:val="both"/>
        <w:rPr>
          <w:rFonts w:ascii="宋体" w:hAnsi="宋体" w:eastAsia="宋体" w:cs="宋体"/>
          <w:sz w:val="21"/>
          <w:szCs w:val="21"/>
        </w:rPr>
      </w:pPr>
      <w:r>
        <w:rPr>
          <w:rFonts w:ascii="宋体" w:hAnsi="宋体" w:eastAsia="宋体" w:cs="宋体"/>
          <w:spacing w:val="-2"/>
          <w:sz w:val="21"/>
          <w:szCs w:val="21"/>
        </w:rPr>
        <w:t>承包人应按法律规定安排工作时间，保证其雇佣人员享有休息和休假</w:t>
      </w:r>
      <w:r>
        <w:rPr>
          <w:rFonts w:ascii="宋体" w:hAnsi="宋体" w:eastAsia="宋体" w:cs="宋体"/>
          <w:spacing w:val="-3"/>
          <w:sz w:val="21"/>
          <w:szCs w:val="21"/>
        </w:rPr>
        <w:t>的权利。因工程施</w:t>
      </w:r>
      <w:r>
        <w:rPr>
          <w:rFonts w:ascii="宋体" w:hAnsi="宋体" w:eastAsia="宋体" w:cs="宋体"/>
          <w:spacing w:val="-2"/>
          <w:sz w:val="21"/>
          <w:szCs w:val="21"/>
        </w:rPr>
        <w:t>工的特殊需要占用休假日或延长工作时间的，应不超过法律规定的限度，并</w:t>
      </w:r>
      <w:r>
        <w:rPr>
          <w:rFonts w:ascii="宋体" w:hAnsi="宋体" w:eastAsia="宋体" w:cs="宋体"/>
          <w:spacing w:val="-3"/>
          <w:sz w:val="21"/>
          <w:szCs w:val="21"/>
        </w:rPr>
        <w:t>按法律规定给予</w:t>
      </w:r>
      <w:r>
        <w:rPr>
          <w:rFonts w:ascii="宋体" w:hAnsi="宋体" w:eastAsia="宋体" w:cs="宋体"/>
          <w:spacing w:val="-6"/>
          <w:sz w:val="21"/>
          <w:szCs w:val="21"/>
        </w:rPr>
        <w:t>补休或付酬。</w:t>
      </w:r>
    </w:p>
    <w:p w14:paraId="577ACFDD">
      <w:pPr>
        <w:spacing w:before="3"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6.2.2</w:t>
      </w:r>
      <w:r>
        <w:rPr>
          <w:rFonts w:ascii="Times New Roman" w:hAnsi="Times New Roman" w:eastAsia="Times New Roman" w:cs="Times New Roman"/>
          <w:spacing w:val="55"/>
          <w:w w:val="101"/>
          <w:sz w:val="21"/>
          <w:szCs w:val="21"/>
        </w:rPr>
        <w:t xml:space="preserve"> </w:t>
      </w:r>
      <w:r>
        <w:rPr>
          <w:rFonts w:ascii="宋体" w:hAnsi="宋体" w:eastAsia="宋体" w:cs="宋体"/>
          <w:spacing w:val="-1"/>
          <w:sz w:val="21"/>
          <w:szCs w:val="21"/>
        </w:rPr>
        <w:t>生活条件</w:t>
      </w:r>
    </w:p>
    <w:p w14:paraId="1F675335">
      <w:pPr>
        <w:spacing w:before="127" w:line="347" w:lineRule="auto"/>
        <w:ind w:left="27" w:firstLine="417"/>
        <w:rPr>
          <w:rFonts w:ascii="宋体" w:hAnsi="宋体" w:eastAsia="宋体" w:cs="宋体"/>
          <w:sz w:val="21"/>
          <w:szCs w:val="21"/>
        </w:rPr>
      </w:pPr>
      <w:r>
        <w:rPr>
          <w:rFonts w:ascii="宋体" w:hAnsi="宋体" w:eastAsia="宋体" w:cs="宋体"/>
          <w:spacing w:val="-2"/>
          <w:sz w:val="21"/>
          <w:szCs w:val="21"/>
        </w:rPr>
        <w:t>承包人应为其履行合同所雇用的人员提供必要的膳宿条件和生活环境；承</w:t>
      </w:r>
      <w:r>
        <w:rPr>
          <w:rFonts w:ascii="宋体" w:hAnsi="宋体" w:eastAsia="宋体" w:cs="宋体"/>
          <w:spacing w:val="-3"/>
          <w:sz w:val="21"/>
          <w:szCs w:val="21"/>
        </w:rPr>
        <w:t>包人应采取有</w:t>
      </w:r>
      <w:r>
        <w:rPr>
          <w:rFonts w:ascii="宋体" w:hAnsi="宋体" w:eastAsia="宋体" w:cs="宋体"/>
          <w:spacing w:val="-2"/>
          <w:sz w:val="21"/>
          <w:szCs w:val="21"/>
        </w:rPr>
        <w:t>效措施预防传染病，保证施工人员的健康，并定期对施工现场、施工人员生活基</w:t>
      </w:r>
      <w:r>
        <w:rPr>
          <w:rFonts w:ascii="宋体" w:hAnsi="宋体" w:eastAsia="宋体" w:cs="宋体"/>
          <w:spacing w:val="-3"/>
          <w:sz w:val="21"/>
          <w:szCs w:val="21"/>
        </w:rPr>
        <w:t>地和工程进</w:t>
      </w:r>
      <w:r>
        <w:rPr>
          <w:rFonts w:ascii="宋体" w:hAnsi="宋体" w:eastAsia="宋体" w:cs="宋体"/>
          <w:spacing w:val="-1"/>
          <w:sz w:val="21"/>
          <w:szCs w:val="21"/>
        </w:rPr>
        <w:t>行防疫和卫生的专业检查和处理</w:t>
      </w:r>
      <w:r>
        <w:rPr>
          <w:rFonts w:ascii="Times New Roman" w:hAnsi="Times New Roman" w:eastAsia="Times New Roman" w:cs="Times New Roman"/>
          <w:spacing w:val="-1"/>
          <w:sz w:val="21"/>
          <w:szCs w:val="21"/>
        </w:rPr>
        <w:t>,</w:t>
      </w:r>
      <w:r>
        <w:rPr>
          <w:rFonts w:ascii="Times New Roman" w:hAnsi="Times New Roman" w:eastAsia="Times New Roman" w:cs="Times New Roman"/>
          <w:spacing w:val="15"/>
          <w:sz w:val="21"/>
          <w:szCs w:val="21"/>
        </w:rPr>
        <w:t xml:space="preserve">  </w:t>
      </w:r>
      <w:r>
        <w:rPr>
          <w:rFonts w:ascii="宋体" w:hAnsi="宋体" w:eastAsia="宋体" w:cs="宋体"/>
          <w:spacing w:val="-1"/>
          <w:sz w:val="21"/>
          <w:szCs w:val="21"/>
        </w:rPr>
        <w:t>在远离城镇的施工场地，还应配备</w:t>
      </w:r>
      <w:r>
        <w:rPr>
          <w:rFonts w:ascii="宋体" w:hAnsi="宋体" w:eastAsia="宋体" w:cs="宋体"/>
          <w:spacing w:val="-2"/>
          <w:sz w:val="21"/>
          <w:szCs w:val="21"/>
        </w:rPr>
        <w:t>必要的伤病防治和急救</w:t>
      </w:r>
      <w:r>
        <w:rPr>
          <w:rFonts w:ascii="宋体" w:hAnsi="宋体" w:eastAsia="宋体" w:cs="宋体"/>
          <w:spacing w:val="-4"/>
          <w:sz w:val="21"/>
          <w:szCs w:val="21"/>
        </w:rPr>
        <w:t>的医务人员与医疗设施。</w:t>
      </w:r>
    </w:p>
    <w:p w14:paraId="6A3B8E68">
      <w:pPr>
        <w:spacing w:line="232" w:lineRule="auto"/>
        <w:ind w:left="24"/>
        <w:outlineLvl w:val="2"/>
        <w:rPr>
          <w:rFonts w:ascii="黑体" w:hAnsi="黑体" w:eastAsia="黑体" w:cs="黑体"/>
          <w:sz w:val="24"/>
          <w:szCs w:val="24"/>
        </w:rPr>
      </w:pPr>
      <w:bookmarkStart w:id="393" w:name="bookmark341"/>
      <w:bookmarkEnd w:id="393"/>
      <w:r>
        <w:rPr>
          <w:rFonts w:ascii="Times New Roman" w:hAnsi="Times New Roman" w:eastAsia="Times New Roman" w:cs="Times New Roman"/>
          <w:b/>
          <w:bCs/>
          <w:spacing w:val="3"/>
          <w:sz w:val="24"/>
          <w:szCs w:val="24"/>
        </w:rPr>
        <w:t xml:space="preserve">6.3  </w:t>
      </w:r>
      <w:r>
        <w:rPr>
          <w:rFonts w:ascii="黑体" w:hAnsi="黑体" w:eastAsia="黑体" w:cs="黑体"/>
          <w:b/>
          <w:bCs/>
          <w:spacing w:val="3"/>
          <w:sz w:val="24"/>
          <w:szCs w:val="24"/>
        </w:rPr>
        <w:t>环境保护</w:t>
      </w:r>
    </w:p>
    <w:p w14:paraId="69E06707">
      <w:pPr>
        <w:spacing w:before="129" w:line="351" w:lineRule="auto"/>
        <w:ind w:left="25" w:right="12" w:firstLine="419"/>
        <w:jc w:val="both"/>
        <w:rPr>
          <w:rFonts w:ascii="宋体" w:hAnsi="宋体" w:eastAsia="宋体" w:cs="宋体"/>
          <w:sz w:val="21"/>
          <w:szCs w:val="21"/>
        </w:rPr>
      </w:pPr>
      <w:r>
        <w:rPr>
          <w:rFonts w:ascii="宋体" w:hAnsi="宋体" w:eastAsia="宋体" w:cs="宋体"/>
          <w:spacing w:val="-4"/>
          <w:sz w:val="21"/>
          <w:szCs w:val="21"/>
        </w:rPr>
        <w:t>承包人应在施工组织设计中列明环境保护的具体措施。在合同履行期间，</w:t>
      </w:r>
      <w:r>
        <w:rPr>
          <w:rFonts w:ascii="宋体" w:hAnsi="宋体" w:eastAsia="宋体" w:cs="宋体"/>
          <w:spacing w:val="-35"/>
          <w:sz w:val="21"/>
          <w:szCs w:val="21"/>
        </w:rPr>
        <w:t xml:space="preserve"> </w:t>
      </w:r>
      <w:r>
        <w:rPr>
          <w:rFonts w:ascii="宋体" w:hAnsi="宋体" w:eastAsia="宋体" w:cs="宋体"/>
          <w:spacing w:val="-4"/>
          <w:sz w:val="21"/>
          <w:szCs w:val="21"/>
        </w:rPr>
        <w:t>承包人应采取</w:t>
      </w:r>
      <w:r>
        <w:rPr>
          <w:rFonts w:ascii="宋体" w:hAnsi="宋体" w:eastAsia="宋体" w:cs="宋体"/>
          <w:spacing w:val="-2"/>
          <w:sz w:val="21"/>
          <w:szCs w:val="21"/>
        </w:rPr>
        <w:t>合理措施保护施工现场环境。对施工作业过程中可能引起的大气、水</w:t>
      </w:r>
      <w:r>
        <w:rPr>
          <w:rFonts w:ascii="宋体" w:hAnsi="宋体" w:eastAsia="宋体" w:cs="宋体"/>
          <w:spacing w:val="-3"/>
          <w:sz w:val="21"/>
          <w:szCs w:val="21"/>
        </w:rPr>
        <w:t>、噪音以及固体废物污染采取具体可行的防范措施。</w:t>
      </w:r>
    </w:p>
    <w:p w14:paraId="6A3CE9F0">
      <w:pPr>
        <w:spacing w:before="3" w:line="345" w:lineRule="auto"/>
        <w:ind w:left="25" w:right="12" w:firstLine="419"/>
        <w:rPr>
          <w:rFonts w:ascii="宋体" w:hAnsi="宋体" w:eastAsia="宋体" w:cs="宋体"/>
          <w:sz w:val="21"/>
          <w:szCs w:val="21"/>
        </w:rPr>
      </w:pPr>
      <w:r>
        <w:rPr>
          <w:rFonts w:ascii="宋体" w:hAnsi="宋体" w:eastAsia="宋体" w:cs="宋体"/>
          <w:spacing w:val="-2"/>
          <w:sz w:val="21"/>
          <w:szCs w:val="21"/>
        </w:rPr>
        <w:t>承包人应当承担因其原因引起的环境污染侵权损害赔偿责任，因上述环境</w:t>
      </w:r>
      <w:r>
        <w:rPr>
          <w:rFonts w:ascii="宋体" w:hAnsi="宋体" w:eastAsia="宋体" w:cs="宋体"/>
          <w:spacing w:val="-3"/>
          <w:sz w:val="21"/>
          <w:szCs w:val="21"/>
        </w:rPr>
        <w:t>污染引起纠纷</w:t>
      </w:r>
      <w:r>
        <w:rPr>
          <w:rFonts w:ascii="宋体" w:hAnsi="宋体" w:eastAsia="宋体" w:cs="宋体"/>
          <w:spacing w:val="-1"/>
          <w:sz w:val="21"/>
          <w:szCs w:val="21"/>
        </w:rPr>
        <w:t>而导致暂停施工的，由此增加的费用和（或）延误的工期由承包人承担。</w:t>
      </w:r>
    </w:p>
    <w:p w14:paraId="03FD4410">
      <w:pPr>
        <w:spacing w:before="51" w:line="237" w:lineRule="auto"/>
        <w:ind w:left="25"/>
        <w:outlineLvl w:val="1"/>
        <w:rPr>
          <w:rFonts w:ascii="黑体" w:hAnsi="黑体" w:eastAsia="黑体" w:cs="黑体"/>
          <w:sz w:val="28"/>
          <w:szCs w:val="28"/>
        </w:rPr>
      </w:pPr>
      <w:bookmarkStart w:id="394" w:name="bookmark343"/>
      <w:bookmarkEnd w:id="394"/>
      <w:bookmarkStart w:id="395" w:name="bookmark342"/>
      <w:bookmarkEnd w:id="395"/>
      <w:r>
        <w:rPr>
          <w:rFonts w:ascii="Times New Roman" w:hAnsi="Times New Roman" w:eastAsia="Times New Roman" w:cs="Times New Roman"/>
          <w:b/>
          <w:bCs/>
          <w:spacing w:val="5"/>
          <w:sz w:val="28"/>
          <w:szCs w:val="28"/>
        </w:rPr>
        <w:t>7.</w:t>
      </w:r>
      <w:r>
        <w:rPr>
          <w:rFonts w:ascii="Times New Roman" w:hAnsi="Times New Roman" w:eastAsia="Times New Roman" w:cs="Times New Roman"/>
          <w:b/>
          <w:bCs/>
          <w:spacing w:val="71"/>
          <w:sz w:val="28"/>
          <w:szCs w:val="28"/>
        </w:rPr>
        <w:t xml:space="preserve"> </w:t>
      </w:r>
      <w:r>
        <w:rPr>
          <w:rFonts w:ascii="黑体" w:hAnsi="黑体" w:eastAsia="黑体" w:cs="黑体"/>
          <w:b/>
          <w:bCs/>
          <w:spacing w:val="5"/>
          <w:sz w:val="28"/>
          <w:szCs w:val="28"/>
        </w:rPr>
        <w:t>工期和进度</w:t>
      </w:r>
    </w:p>
    <w:p w14:paraId="7D5E44C8">
      <w:pPr>
        <w:spacing w:before="70" w:line="233" w:lineRule="auto"/>
        <w:ind w:left="24"/>
        <w:outlineLvl w:val="2"/>
        <w:rPr>
          <w:rFonts w:ascii="黑体" w:hAnsi="黑体" w:eastAsia="黑体" w:cs="黑体"/>
          <w:sz w:val="24"/>
          <w:szCs w:val="24"/>
        </w:rPr>
      </w:pPr>
      <w:bookmarkStart w:id="396" w:name="bookmark689"/>
      <w:bookmarkEnd w:id="396"/>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2F377BDF">
      <w:pPr>
        <w:spacing w:before="129" w:line="233" w:lineRule="auto"/>
        <w:ind w:left="444"/>
        <w:rPr>
          <w:rFonts w:ascii="宋体" w:hAnsi="宋体" w:eastAsia="宋体" w:cs="宋体"/>
          <w:sz w:val="21"/>
          <w:szCs w:val="21"/>
        </w:rPr>
      </w:pPr>
      <w:r>
        <w:rPr>
          <w:rFonts w:ascii="Times New Roman" w:hAnsi="Times New Roman" w:eastAsia="Times New Roman" w:cs="Times New Roman"/>
          <w:sz w:val="21"/>
          <w:szCs w:val="21"/>
        </w:rPr>
        <w:t>7.1.1</w:t>
      </w:r>
      <w:r>
        <w:rPr>
          <w:rFonts w:ascii="Times New Roman" w:hAnsi="Times New Roman" w:eastAsia="Times New Roman" w:cs="Times New Roman"/>
          <w:spacing w:val="48"/>
          <w:w w:val="101"/>
          <w:sz w:val="21"/>
          <w:szCs w:val="21"/>
        </w:rPr>
        <w:t xml:space="preserve"> </w:t>
      </w:r>
      <w:r>
        <w:rPr>
          <w:rFonts w:ascii="宋体" w:hAnsi="宋体" w:eastAsia="宋体" w:cs="宋体"/>
          <w:sz w:val="21"/>
          <w:szCs w:val="21"/>
        </w:rPr>
        <w:t>施工组织设计的内容</w:t>
      </w:r>
    </w:p>
    <w:p w14:paraId="54C6EDBD">
      <w:pPr>
        <w:spacing w:before="139" w:line="220" w:lineRule="auto"/>
        <w:ind w:left="443"/>
        <w:rPr>
          <w:rFonts w:ascii="宋体" w:hAnsi="宋体" w:eastAsia="宋体" w:cs="宋体"/>
          <w:sz w:val="21"/>
          <w:szCs w:val="21"/>
        </w:rPr>
      </w:pPr>
      <w:r>
        <w:rPr>
          <w:rFonts w:ascii="宋体" w:hAnsi="宋体" w:eastAsia="宋体" w:cs="宋体"/>
          <w:spacing w:val="-4"/>
          <w:sz w:val="21"/>
          <w:szCs w:val="21"/>
        </w:rPr>
        <w:t>施工组织设计应包含以下内容：</w:t>
      </w:r>
    </w:p>
    <w:p w14:paraId="3036EF1E">
      <w:pPr>
        <w:spacing w:before="141" w:line="234" w:lineRule="auto"/>
        <w:ind w:left="450"/>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1</w:t>
      </w:r>
      <w:r>
        <w:rPr>
          <w:rFonts w:ascii="宋体" w:hAnsi="宋体" w:eastAsia="宋体" w:cs="宋体"/>
          <w:spacing w:val="-7"/>
          <w:sz w:val="21"/>
          <w:szCs w:val="21"/>
        </w:rPr>
        <w:t>）施工方案；</w:t>
      </w:r>
    </w:p>
    <w:p w14:paraId="5A262BED">
      <w:pPr>
        <w:spacing w:before="139" w:line="233"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）施工现场平面布置图；</w:t>
      </w:r>
    </w:p>
    <w:p w14:paraId="0559B78B">
      <w:pPr>
        <w:spacing w:before="140" w:line="234"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）施工进度计划和保证措施；</w:t>
      </w:r>
    </w:p>
    <w:p w14:paraId="32929742">
      <w:pPr>
        <w:spacing w:before="124"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）劳动力及材料供应计划；</w:t>
      </w:r>
    </w:p>
    <w:p w14:paraId="20A6FE4B">
      <w:pPr>
        <w:spacing w:before="141" w:line="233"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5</w:t>
      </w:r>
      <w:r>
        <w:rPr>
          <w:rFonts w:ascii="宋体" w:hAnsi="宋体" w:eastAsia="宋体" w:cs="宋体"/>
          <w:spacing w:val="-5"/>
          <w:sz w:val="21"/>
          <w:szCs w:val="21"/>
        </w:rPr>
        <w:t>）施工机械设备的选用；</w:t>
      </w:r>
    </w:p>
    <w:p w14:paraId="35F7A1AE">
      <w:pPr>
        <w:spacing w:before="141" w:line="234"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6</w:t>
      </w:r>
      <w:r>
        <w:rPr>
          <w:rFonts w:ascii="宋体" w:hAnsi="宋体" w:eastAsia="宋体" w:cs="宋体"/>
          <w:spacing w:val="-5"/>
          <w:sz w:val="21"/>
          <w:szCs w:val="21"/>
        </w:rPr>
        <w:t>）质量保证体系及措施；</w:t>
      </w:r>
    </w:p>
    <w:p w14:paraId="6AF636C1">
      <w:pPr>
        <w:spacing w:before="124"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7</w:t>
      </w:r>
      <w:r>
        <w:rPr>
          <w:rFonts w:ascii="宋体" w:hAnsi="宋体" w:eastAsia="宋体" w:cs="宋体"/>
          <w:spacing w:val="-4"/>
          <w:sz w:val="21"/>
          <w:szCs w:val="21"/>
        </w:rPr>
        <w:t>）安全生产、文明施工措施；</w:t>
      </w:r>
    </w:p>
    <w:p w14:paraId="342D62D8">
      <w:pPr>
        <w:spacing w:before="139"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8</w:t>
      </w:r>
      <w:r>
        <w:rPr>
          <w:rFonts w:ascii="宋体" w:hAnsi="宋体" w:eastAsia="宋体" w:cs="宋体"/>
          <w:spacing w:val="-2"/>
          <w:sz w:val="21"/>
          <w:szCs w:val="21"/>
        </w:rPr>
        <w:t>）环境保护、成本控制措施；</w:t>
      </w:r>
    </w:p>
    <w:p w14:paraId="06913725">
      <w:pPr>
        <w:spacing w:before="142"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9</w:t>
      </w:r>
      <w:r>
        <w:rPr>
          <w:rFonts w:ascii="宋体" w:hAnsi="宋体" w:eastAsia="宋体" w:cs="宋体"/>
          <w:spacing w:val="-2"/>
          <w:sz w:val="21"/>
          <w:szCs w:val="21"/>
        </w:rPr>
        <w:t>）合同当事人约定的其他内容。</w:t>
      </w:r>
    </w:p>
    <w:p w14:paraId="41AF2074">
      <w:pPr>
        <w:spacing w:before="125" w:line="233" w:lineRule="auto"/>
        <w:ind w:left="444"/>
        <w:rPr>
          <w:rFonts w:ascii="宋体" w:hAnsi="宋体" w:eastAsia="宋体" w:cs="宋体"/>
          <w:sz w:val="21"/>
          <w:szCs w:val="21"/>
        </w:rPr>
      </w:pPr>
      <w:r>
        <w:rPr>
          <w:rFonts w:ascii="Times New Roman" w:hAnsi="Times New Roman" w:eastAsia="Times New Roman" w:cs="Times New Roman"/>
          <w:sz w:val="21"/>
          <w:szCs w:val="21"/>
        </w:rPr>
        <w:t>7.1.2</w:t>
      </w:r>
      <w:r>
        <w:rPr>
          <w:rFonts w:ascii="Times New Roman" w:hAnsi="Times New Roman" w:eastAsia="Times New Roman" w:cs="Times New Roman"/>
          <w:spacing w:val="49"/>
          <w:w w:val="101"/>
          <w:sz w:val="21"/>
          <w:szCs w:val="21"/>
        </w:rPr>
        <w:t xml:space="preserve"> </w:t>
      </w:r>
      <w:r>
        <w:rPr>
          <w:rFonts w:ascii="宋体" w:hAnsi="宋体" w:eastAsia="宋体" w:cs="宋体"/>
          <w:sz w:val="21"/>
          <w:szCs w:val="21"/>
        </w:rPr>
        <w:t>施工组织设计的提交和修改</w:t>
      </w:r>
    </w:p>
    <w:p w14:paraId="46CD4409">
      <w:pPr>
        <w:spacing w:before="139" w:line="351" w:lineRule="auto"/>
        <w:ind w:left="22" w:right="2" w:firstLine="434"/>
        <w:rPr>
          <w:rFonts w:ascii="宋体" w:hAnsi="宋体" w:eastAsia="宋体" w:cs="宋体"/>
          <w:sz w:val="21"/>
          <w:szCs w:val="21"/>
        </w:rPr>
      </w:pPr>
      <w:r>
        <w:rPr>
          <w:rFonts w:ascii="宋体" w:hAnsi="宋体" w:eastAsia="宋体" w:cs="宋体"/>
          <w:spacing w:val="-2"/>
          <w:sz w:val="21"/>
          <w:szCs w:val="21"/>
        </w:rPr>
        <w:t>除专用合同条款另有约定外，承包人应在合同签订后</w:t>
      </w:r>
      <w:r>
        <w:rPr>
          <w:rFonts w:ascii="宋体" w:hAnsi="宋体" w:eastAsia="宋体" w:cs="宋体"/>
          <w:spacing w:val="-25"/>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w:t>
      </w:r>
      <w:r>
        <w:rPr>
          <w:rFonts w:ascii="宋体" w:hAnsi="宋体" w:eastAsia="宋体" w:cs="宋体"/>
          <w:spacing w:val="-3"/>
          <w:sz w:val="21"/>
          <w:szCs w:val="21"/>
        </w:rPr>
        <w:t>内，但至迟不得晚于第</w:t>
      </w:r>
      <w:r>
        <w:rPr>
          <w:rFonts w:ascii="宋体" w:hAnsi="宋体" w:eastAsia="宋体" w:cs="宋体"/>
          <w:spacing w:val="-39"/>
          <w:sz w:val="21"/>
          <w:szCs w:val="21"/>
        </w:rPr>
        <w:t xml:space="preserve"> </w:t>
      </w:r>
      <w:r>
        <w:rPr>
          <w:rFonts w:ascii="Times New Roman" w:hAnsi="Times New Roman" w:eastAsia="Times New Roman" w:cs="Times New Roman"/>
          <w:spacing w:val="-3"/>
          <w:sz w:val="21"/>
          <w:szCs w:val="21"/>
        </w:rPr>
        <w:t>7.3.2</w:t>
      </w:r>
      <w:r>
        <w:rPr>
          <w:rFonts w:ascii="宋体" w:hAnsi="宋体" w:eastAsia="宋体" w:cs="宋体"/>
          <w:spacing w:val="-2"/>
          <w:sz w:val="21"/>
          <w:szCs w:val="21"/>
        </w:rPr>
        <w:t>项〔开工通知〕载明的开工日期前</w:t>
      </w:r>
      <w:r>
        <w:rPr>
          <w:rFonts w:ascii="宋体" w:hAnsi="宋体" w:eastAsia="宋体" w:cs="宋体"/>
          <w:spacing w:val="-53"/>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天，向监理人提交详细的施工组织</w:t>
      </w:r>
      <w:r>
        <w:rPr>
          <w:rFonts w:ascii="宋体" w:hAnsi="宋体" w:eastAsia="宋体" w:cs="宋体"/>
          <w:spacing w:val="-3"/>
          <w:sz w:val="21"/>
          <w:szCs w:val="21"/>
        </w:rPr>
        <w:t>设计，并由监理人报</w:t>
      </w:r>
      <w:r>
        <w:rPr>
          <w:rFonts w:ascii="宋体" w:hAnsi="宋体" w:eastAsia="宋体" w:cs="宋体"/>
          <w:spacing w:val="-1"/>
          <w:sz w:val="21"/>
          <w:szCs w:val="21"/>
        </w:rPr>
        <w:t>送发包人。除专用合同条款另有约定外，发包人和监理人应在监理人收到施工组织设计后</w:t>
      </w:r>
      <w:r>
        <w:rPr>
          <w:rFonts w:ascii="宋体" w:hAnsi="宋体" w:eastAsia="宋体" w:cs="宋体"/>
          <w:spacing w:val="-33"/>
          <w:sz w:val="21"/>
          <w:szCs w:val="21"/>
        </w:rPr>
        <w:t xml:space="preserve"> </w:t>
      </w:r>
      <w:r>
        <w:rPr>
          <w:rFonts w:ascii="Times New Roman" w:hAnsi="Times New Roman" w:eastAsia="Times New Roman" w:cs="Times New Roman"/>
          <w:spacing w:val="-1"/>
          <w:sz w:val="21"/>
          <w:szCs w:val="21"/>
        </w:rPr>
        <w:t>7</w:t>
      </w:r>
      <w:r>
        <w:rPr>
          <w:rFonts w:ascii="宋体" w:hAnsi="宋体" w:eastAsia="宋体" w:cs="宋体"/>
          <w:spacing w:val="-2"/>
          <w:sz w:val="21"/>
          <w:szCs w:val="21"/>
        </w:rPr>
        <w:t>天内确认或提出修改意见。对发包人和监理人提出的合理意见和要求，承包人应自</w:t>
      </w:r>
      <w:r>
        <w:rPr>
          <w:rFonts w:ascii="宋体" w:hAnsi="宋体" w:eastAsia="宋体" w:cs="宋体"/>
          <w:spacing w:val="-3"/>
          <w:sz w:val="21"/>
          <w:szCs w:val="21"/>
        </w:rPr>
        <w:t>费修改完</w:t>
      </w:r>
      <w:r>
        <w:rPr>
          <w:rFonts w:ascii="宋体" w:hAnsi="宋体" w:eastAsia="宋体" w:cs="宋体"/>
          <w:spacing w:val="-2"/>
          <w:sz w:val="21"/>
          <w:szCs w:val="21"/>
        </w:rPr>
        <w:t>善。根据工程实际情况需要修改施工组织设计的，承包人应向发包人和监理人提交修</w:t>
      </w:r>
      <w:r>
        <w:rPr>
          <w:rFonts w:ascii="宋体" w:hAnsi="宋体" w:eastAsia="宋体" w:cs="宋体"/>
          <w:spacing w:val="-3"/>
          <w:sz w:val="21"/>
          <w:szCs w:val="21"/>
        </w:rPr>
        <w:t>改后的</w:t>
      </w:r>
    </w:p>
    <w:p w14:paraId="34874D2B">
      <w:pPr>
        <w:spacing w:line="351" w:lineRule="auto"/>
        <w:rPr>
          <w:rFonts w:ascii="宋体" w:hAnsi="宋体" w:eastAsia="宋体" w:cs="宋体"/>
          <w:sz w:val="21"/>
          <w:szCs w:val="21"/>
        </w:rPr>
        <w:sectPr>
          <w:footerReference r:id="rId170" w:type="default"/>
          <w:pgSz w:w="11910" w:h="16845"/>
          <w:pgMar w:top="400" w:right="1766" w:bottom="1110" w:left="1786" w:header="0" w:footer="883" w:gutter="0"/>
          <w:cols w:space="720" w:num="1"/>
        </w:sectPr>
      </w:pPr>
    </w:p>
    <w:p w14:paraId="3A50F748">
      <w:pPr>
        <w:pStyle w:val="2"/>
        <w:spacing w:line="275" w:lineRule="auto"/>
      </w:pPr>
    </w:p>
    <w:p w14:paraId="1FF75292">
      <w:pPr>
        <w:pStyle w:val="2"/>
        <w:spacing w:line="275" w:lineRule="auto"/>
      </w:pPr>
    </w:p>
    <w:p w14:paraId="7C543B25">
      <w:pPr>
        <w:pStyle w:val="2"/>
        <w:spacing w:line="275" w:lineRule="auto"/>
      </w:pPr>
    </w:p>
    <w:p w14:paraId="7E2184B7">
      <w:pPr>
        <w:pStyle w:val="2"/>
        <w:spacing w:line="276" w:lineRule="auto"/>
      </w:pPr>
    </w:p>
    <w:p w14:paraId="1583903D">
      <w:pPr>
        <w:spacing w:before="68" w:line="221" w:lineRule="auto"/>
        <w:ind w:left="23"/>
        <w:rPr>
          <w:rFonts w:ascii="宋体" w:hAnsi="宋体" w:eastAsia="宋体" w:cs="宋体"/>
          <w:sz w:val="21"/>
          <w:szCs w:val="21"/>
        </w:rPr>
      </w:pPr>
      <w:r>
        <w:rPr>
          <w:rFonts w:ascii="宋体" w:hAnsi="宋体" w:eastAsia="宋体" w:cs="宋体"/>
          <w:spacing w:val="-5"/>
          <w:sz w:val="21"/>
          <w:szCs w:val="21"/>
        </w:rPr>
        <w:t>施工组织设计。</w:t>
      </w:r>
    </w:p>
    <w:p w14:paraId="48241F66">
      <w:pPr>
        <w:spacing w:before="154" w:line="233" w:lineRule="auto"/>
        <w:ind w:left="443"/>
        <w:rPr>
          <w:rFonts w:ascii="宋体" w:hAnsi="宋体" w:eastAsia="宋体" w:cs="宋体"/>
          <w:sz w:val="21"/>
          <w:szCs w:val="21"/>
        </w:rPr>
      </w:pPr>
      <w:r>
        <w:rPr>
          <w:rFonts w:ascii="宋体" w:hAnsi="宋体" w:eastAsia="宋体" w:cs="宋体"/>
          <w:spacing w:val="-1"/>
          <w:sz w:val="21"/>
          <w:szCs w:val="21"/>
        </w:rPr>
        <w:t>施工进度计划的编制和修改按照第</w:t>
      </w:r>
      <w:r>
        <w:rPr>
          <w:rFonts w:ascii="宋体" w:hAnsi="宋体" w:eastAsia="宋体" w:cs="宋体"/>
          <w:spacing w:val="-36"/>
          <w:sz w:val="21"/>
          <w:szCs w:val="21"/>
        </w:rPr>
        <w:t xml:space="preserve"> </w:t>
      </w:r>
      <w:r>
        <w:rPr>
          <w:rFonts w:ascii="Times New Roman" w:hAnsi="Times New Roman" w:eastAsia="Times New Roman" w:cs="Times New Roman"/>
          <w:spacing w:val="-1"/>
          <w:sz w:val="21"/>
          <w:szCs w:val="21"/>
        </w:rPr>
        <w:t>7.2</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款〔施工进度计划〕执行。</w:t>
      </w:r>
    </w:p>
    <w:p w14:paraId="4729C605">
      <w:pPr>
        <w:spacing w:before="98" w:line="233" w:lineRule="auto"/>
        <w:ind w:left="24"/>
        <w:outlineLvl w:val="2"/>
        <w:rPr>
          <w:rFonts w:ascii="黑体" w:hAnsi="黑体" w:eastAsia="黑体" w:cs="黑体"/>
          <w:sz w:val="24"/>
          <w:szCs w:val="24"/>
        </w:rPr>
      </w:pPr>
      <w:bookmarkStart w:id="397" w:name="bookmark344"/>
      <w:bookmarkEnd w:id="397"/>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p w14:paraId="5DB652F2">
      <w:pPr>
        <w:spacing w:before="128" w:line="233" w:lineRule="auto"/>
        <w:ind w:left="444"/>
        <w:rPr>
          <w:rFonts w:ascii="宋体" w:hAnsi="宋体" w:eastAsia="宋体" w:cs="宋体"/>
          <w:sz w:val="21"/>
          <w:szCs w:val="21"/>
        </w:rPr>
      </w:pPr>
      <w:r>
        <w:rPr>
          <w:rFonts w:ascii="Times New Roman" w:hAnsi="Times New Roman" w:eastAsia="Times New Roman" w:cs="Times New Roman"/>
          <w:sz w:val="21"/>
          <w:szCs w:val="21"/>
        </w:rPr>
        <w:t>7.2.1</w:t>
      </w:r>
      <w:r>
        <w:rPr>
          <w:rFonts w:ascii="Times New Roman" w:hAnsi="Times New Roman" w:eastAsia="Times New Roman" w:cs="Times New Roman"/>
          <w:spacing w:val="48"/>
          <w:w w:val="101"/>
          <w:sz w:val="21"/>
          <w:szCs w:val="21"/>
        </w:rPr>
        <w:t xml:space="preserve"> </w:t>
      </w:r>
      <w:r>
        <w:rPr>
          <w:rFonts w:ascii="宋体" w:hAnsi="宋体" w:eastAsia="宋体" w:cs="宋体"/>
          <w:sz w:val="21"/>
          <w:szCs w:val="21"/>
        </w:rPr>
        <w:t>施工进度计划的编制</w:t>
      </w:r>
    </w:p>
    <w:p w14:paraId="6F5D5517">
      <w:pPr>
        <w:spacing w:before="139" w:line="350" w:lineRule="auto"/>
        <w:ind w:left="25" w:right="62" w:firstLine="418"/>
        <w:rPr>
          <w:rFonts w:ascii="宋体" w:hAnsi="宋体" w:eastAsia="宋体" w:cs="宋体"/>
          <w:sz w:val="21"/>
          <w:szCs w:val="21"/>
        </w:rPr>
      </w:pPr>
      <w:r>
        <w:rPr>
          <w:rFonts w:ascii="宋体" w:hAnsi="宋体" w:eastAsia="宋体" w:cs="宋体"/>
          <w:spacing w:val="-1"/>
          <w:sz w:val="21"/>
          <w:szCs w:val="21"/>
        </w:rPr>
        <w:t>承包人应按照第</w:t>
      </w:r>
      <w:r>
        <w:rPr>
          <w:rFonts w:ascii="宋体" w:hAnsi="宋体" w:eastAsia="宋体" w:cs="宋体"/>
          <w:spacing w:val="-39"/>
          <w:sz w:val="21"/>
          <w:szCs w:val="21"/>
        </w:rPr>
        <w:t xml:space="preserve"> </w:t>
      </w:r>
      <w:r>
        <w:rPr>
          <w:rFonts w:ascii="Times New Roman" w:hAnsi="Times New Roman" w:eastAsia="Times New Roman" w:cs="Times New Roman"/>
          <w:spacing w:val="-1"/>
          <w:sz w:val="21"/>
          <w:szCs w:val="21"/>
        </w:rPr>
        <w:t>7.1</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款〔施工组织设计〕约定提交详细的施工进</w:t>
      </w:r>
      <w:r>
        <w:rPr>
          <w:rFonts w:ascii="宋体" w:hAnsi="宋体" w:eastAsia="宋体" w:cs="宋体"/>
          <w:spacing w:val="-2"/>
          <w:sz w:val="21"/>
          <w:szCs w:val="21"/>
        </w:rPr>
        <w:t>度计划，施工进度计划的编制应当符合国家法律规定和一般工程实践惯例，施工进度计划经发包人批准后实</w:t>
      </w:r>
      <w:r>
        <w:rPr>
          <w:rFonts w:ascii="宋体" w:hAnsi="宋体" w:eastAsia="宋体" w:cs="宋体"/>
          <w:spacing w:val="-3"/>
          <w:sz w:val="21"/>
          <w:szCs w:val="21"/>
        </w:rPr>
        <w:t>施。施</w:t>
      </w:r>
      <w:r>
        <w:rPr>
          <w:rFonts w:ascii="宋体" w:hAnsi="宋体" w:eastAsia="宋体" w:cs="宋体"/>
          <w:spacing w:val="-2"/>
          <w:sz w:val="21"/>
          <w:szCs w:val="21"/>
        </w:rPr>
        <w:t>工进度计划是控制工程进度的依据，发包人和监理人有权按照施工进度计划检查工程进</w:t>
      </w:r>
      <w:r>
        <w:rPr>
          <w:rFonts w:ascii="宋体" w:hAnsi="宋体" w:eastAsia="宋体" w:cs="宋体"/>
          <w:spacing w:val="-3"/>
          <w:sz w:val="21"/>
          <w:szCs w:val="21"/>
        </w:rPr>
        <w:t>度情</w:t>
      </w:r>
      <w:r>
        <w:rPr>
          <w:rFonts w:ascii="宋体" w:hAnsi="宋体" w:eastAsia="宋体" w:cs="宋体"/>
          <w:spacing w:val="-10"/>
          <w:sz w:val="21"/>
          <w:szCs w:val="21"/>
        </w:rPr>
        <w:t>况。</w:t>
      </w:r>
    </w:p>
    <w:p w14:paraId="37EB92DE">
      <w:pPr>
        <w:spacing w:line="233" w:lineRule="auto"/>
        <w:ind w:left="444"/>
        <w:rPr>
          <w:rFonts w:ascii="宋体" w:hAnsi="宋体" w:eastAsia="宋体" w:cs="宋体"/>
          <w:sz w:val="21"/>
          <w:szCs w:val="21"/>
        </w:rPr>
      </w:pPr>
      <w:r>
        <w:rPr>
          <w:rFonts w:ascii="Times New Roman" w:hAnsi="Times New Roman" w:eastAsia="Times New Roman" w:cs="Times New Roman"/>
          <w:sz w:val="21"/>
          <w:szCs w:val="21"/>
        </w:rPr>
        <w:t>7.2.2</w:t>
      </w:r>
      <w:r>
        <w:rPr>
          <w:rFonts w:ascii="Times New Roman" w:hAnsi="Times New Roman" w:eastAsia="Times New Roman" w:cs="Times New Roman"/>
          <w:spacing w:val="48"/>
          <w:w w:val="101"/>
          <w:sz w:val="21"/>
          <w:szCs w:val="21"/>
        </w:rPr>
        <w:t xml:space="preserve"> </w:t>
      </w:r>
      <w:r>
        <w:rPr>
          <w:rFonts w:ascii="宋体" w:hAnsi="宋体" w:eastAsia="宋体" w:cs="宋体"/>
          <w:sz w:val="21"/>
          <w:szCs w:val="21"/>
        </w:rPr>
        <w:t>施工进度计划的修订</w:t>
      </w:r>
    </w:p>
    <w:p w14:paraId="7CD435CD">
      <w:pPr>
        <w:spacing w:before="138" w:line="347" w:lineRule="auto"/>
        <w:ind w:left="25" w:right="64" w:firstLine="418"/>
        <w:rPr>
          <w:rFonts w:ascii="宋体" w:hAnsi="宋体" w:eastAsia="宋体" w:cs="宋体"/>
          <w:sz w:val="21"/>
          <w:szCs w:val="21"/>
        </w:rPr>
      </w:pPr>
      <w:r>
        <w:rPr>
          <w:rFonts w:ascii="宋体" w:hAnsi="宋体" w:eastAsia="宋体" w:cs="宋体"/>
          <w:spacing w:val="-2"/>
          <w:sz w:val="21"/>
          <w:szCs w:val="21"/>
        </w:rPr>
        <w:t>施工进度计划不符合合同要求或与工程的实际进度不一致的，承包人应向监</w:t>
      </w:r>
      <w:r>
        <w:rPr>
          <w:rFonts w:ascii="宋体" w:hAnsi="宋体" w:eastAsia="宋体" w:cs="宋体"/>
          <w:spacing w:val="-3"/>
          <w:sz w:val="21"/>
          <w:szCs w:val="21"/>
        </w:rPr>
        <w:t>理人提交修</w:t>
      </w:r>
      <w:r>
        <w:rPr>
          <w:rFonts w:ascii="宋体" w:hAnsi="宋体" w:eastAsia="宋体" w:cs="宋体"/>
          <w:spacing w:val="-2"/>
          <w:sz w:val="21"/>
          <w:szCs w:val="21"/>
        </w:rPr>
        <w:t>订的施工进度计划，并附具有关措施和相关资料，由监理人报送发包</w:t>
      </w:r>
      <w:r>
        <w:rPr>
          <w:rFonts w:ascii="宋体" w:hAnsi="宋体" w:eastAsia="宋体" w:cs="宋体"/>
          <w:spacing w:val="-3"/>
          <w:sz w:val="21"/>
          <w:szCs w:val="21"/>
        </w:rPr>
        <w:t>人。除专用合同条款另有约定外，发包人和监理人应在收到修订的施工进度计划后</w:t>
      </w:r>
      <w:r>
        <w:rPr>
          <w:rFonts w:ascii="宋体" w:hAnsi="宋体" w:eastAsia="宋体" w:cs="宋体"/>
          <w:spacing w:val="-25"/>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天内完成审核和批准或提出修</w:t>
      </w:r>
      <w:r>
        <w:rPr>
          <w:rFonts w:ascii="宋体" w:hAnsi="宋体" w:eastAsia="宋体" w:cs="宋体"/>
          <w:spacing w:val="-2"/>
          <w:sz w:val="21"/>
          <w:szCs w:val="21"/>
        </w:rPr>
        <w:t>改意见。发包人和监理人对承包人提交的施工进度计划的确认，不能减轻或免除</w:t>
      </w:r>
      <w:r>
        <w:rPr>
          <w:rFonts w:ascii="宋体" w:hAnsi="宋体" w:eastAsia="宋体" w:cs="宋体"/>
          <w:spacing w:val="-3"/>
          <w:sz w:val="21"/>
          <w:szCs w:val="21"/>
        </w:rPr>
        <w:t>承包人根据</w:t>
      </w:r>
      <w:r>
        <w:rPr>
          <w:rFonts w:ascii="宋体" w:hAnsi="宋体" w:eastAsia="宋体" w:cs="宋体"/>
          <w:spacing w:val="-2"/>
          <w:sz w:val="21"/>
          <w:szCs w:val="21"/>
        </w:rPr>
        <w:t>法律规定和合同约定应承担的任何责任或义务。</w:t>
      </w:r>
    </w:p>
    <w:p w14:paraId="2D77D2B6">
      <w:pPr>
        <w:spacing w:line="235" w:lineRule="auto"/>
        <w:ind w:left="24"/>
        <w:outlineLvl w:val="2"/>
        <w:rPr>
          <w:rFonts w:ascii="黑体" w:hAnsi="黑体" w:eastAsia="黑体" w:cs="黑体"/>
          <w:sz w:val="24"/>
          <w:szCs w:val="24"/>
        </w:rPr>
      </w:pPr>
      <w:bookmarkStart w:id="398" w:name="bookmark345"/>
      <w:bookmarkEnd w:id="398"/>
      <w:r>
        <w:rPr>
          <w:rFonts w:ascii="Times New Roman" w:hAnsi="Times New Roman" w:eastAsia="Times New Roman" w:cs="Times New Roman"/>
          <w:b/>
          <w:bCs/>
          <w:spacing w:val="-3"/>
          <w:sz w:val="24"/>
          <w:szCs w:val="24"/>
        </w:rPr>
        <w:t>7.3</w:t>
      </w:r>
      <w:r>
        <w:rPr>
          <w:rFonts w:ascii="Times New Roman" w:hAnsi="Times New Roman" w:eastAsia="Times New Roman" w:cs="Times New Roman"/>
          <w:b/>
          <w:bCs/>
          <w:spacing w:val="8"/>
          <w:sz w:val="24"/>
          <w:szCs w:val="24"/>
        </w:rPr>
        <w:t xml:space="preserve">  </w:t>
      </w:r>
      <w:r>
        <w:rPr>
          <w:rFonts w:ascii="黑体" w:hAnsi="黑体" w:eastAsia="黑体" w:cs="黑体"/>
          <w:b/>
          <w:bCs/>
          <w:spacing w:val="-3"/>
          <w:sz w:val="24"/>
          <w:szCs w:val="24"/>
        </w:rPr>
        <w:t>开工</w:t>
      </w:r>
    </w:p>
    <w:p w14:paraId="57DD6782">
      <w:pPr>
        <w:spacing w:before="125" w:line="235" w:lineRule="auto"/>
        <w:ind w:left="444"/>
        <w:rPr>
          <w:rFonts w:ascii="宋体" w:hAnsi="宋体" w:eastAsia="宋体" w:cs="宋体"/>
          <w:sz w:val="21"/>
          <w:szCs w:val="21"/>
        </w:rPr>
      </w:pPr>
      <w:r>
        <w:rPr>
          <w:rFonts w:ascii="Times New Roman" w:hAnsi="Times New Roman" w:eastAsia="Times New Roman" w:cs="Times New Roman"/>
          <w:sz w:val="21"/>
          <w:szCs w:val="21"/>
        </w:rPr>
        <w:t>7.3.1</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开工准备</w:t>
      </w:r>
    </w:p>
    <w:p w14:paraId="48F283F5">
      <w:pPr>
        <w:spacing w:before="138" w:line="350" w:lineRule="auto"/>
        <w:ind w:left="22" w:right="57" w:firstLine="434"/>
        <w:rPr>
          <w:rFonts w:ascii="宋体" w:hAnsi="宋体" w:eastAsia="宋体" w:cs="宋体"/>
          <w:sz w:val="21"/>
          <w:szCs w:val="21"/>
        </w:rPr>
      </w:pPr>
      <w:r>
        <w:rPr>
          <w:rFonts w:ascii="宋体" w:hAnsi="宋体" w:eastAsia="宋体" w:cs="宋体"/>
          <w:spacing w:val="-2"/>
          <w:sz w:val="21"/>
          <w:szCs w:val="21"/>
        </w:rPr>
        <w:t>除专用合同条款另有约定外，承包人应按照第</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施工组织设计〕约定的期限，向监理人提交工程开工报审表，经监理人报发包人批准后执行。开工报审表应详细说明按施工进度计划正常施工所需的施工道路、临时设施、材料、工程设备、施工设备、施工人员等落</w:t>
      </w:r>
      <w:r>
        <w:rPr>
          <w:rFonts w:ascii="宋体" w:hAnsi="宋体" w:eastAsia="宋体" w:cs="宋体"/>
          <w:spacing w:val="-1"/>
          <w:sz w:val="21"/>
          <w:szCs w:val="21"/>
        </w:rPr>
        <w:t>实情况以及工程的进度安排。</w:t>
      </w:r>
    </w:p>
    <w:p w14:paraId="09017B20">
      <w:pPr>
        <w:spacing w:line="219" w:lineRule="auto"/>
        <w:ind w:left="457"/>
        <w:rPr>
          <w:rFonts w:ascii="宋体" w:hAnsi="宋体" w:eastAsia="宋体" w:cs="宋体"/>
          <w:sz w:val="21"/>
          <w:szCs w:val="21"/>
        </w:rPr>
      </w:pPr>
      <w:r>
        <w:rPr>
          <w:rFonts w:ascii="宋体" w:hAnsi="宋体" w:eastAsia="宋体" w:cs="宋体"/>
          <w:spacing w:val="-1"/>
          <w:sz w:val="21"/>
          <w:szCs w:val="21"/>
        </w:rPr>
        <w:t>除专用合同条款另有约定外，合同当事人应按约定完成开工</w:t>
      </w:r>
      <w:r>
        <w:rPr>
          <w:rFonts w:ascii="宋体" w:hAnsi="宋体" w:eastAsia="宋体" w:cs="宋体"/>
          <w:spacing w:val="-2"/>
          <w:sz w:val="21"/>
          <w:szCs w:val="21"/>
        </w:rPr>
        <w:t>准备工作。</w:t>
      </w:r>
    </w:p>
    <w:p w14:paraId="0B2D00A7">
      <w:pPr>
        <w:spacing w:before="155" w:line="235" w:lineRule="auto"/>
        <w:ind w:left="444"/>
        <w:rPr>
          <w:rFonts w:ascii="宋体" w:hAnsi="宋体" w:eastAsia="宋体" w:cs="宋体"/>
          <w:sz w:val="21"/>
          <w:szCs w:val="21"/>
        </w:rPr>
      </w:pPr>
      <w:r>
        <w:rPr>
          <w:rFonts w:ascii="Times New Roman" w:hAnsi="Times New Roman" w:eastAsia="Times New Roman" w:cs="Times New Roman"/>
          <w:sz w:val="21"/>
          <w:szCs w:val="21"/>
        </w:rPr>
        <w:t>7.3.2</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开工通知</w:t>
      </w:r>
    </w:p>
    <w:p w14:paraId="68AB6C54">
      <w:pPr>
        <w:spacing w:before="138" w:line="347" w:lineRule="auto"/>
        <w:ind w:left="24" w:right="63" w:firstLine="423"/>
        <w:rPr>
          <w:rFonts w:ascii="宋体" w:hAnsi="宋体" w:eastAsia="宋体" w:cs="宋体"/>
          <w:sz w:val="21"/>
          <w:szCs w:val="21"/>
        </w:rPr>
      </w:pPr>
      <w:r>
        <w:rPr>
          <w:rFonts w:ascii="宋体" w:hAnsi="宋体" w:eastAsia="宋体" w:cs="宋体"/>
          <w:spacing w:val="-4"/>
          <w:sz w:val="21"/>
          <w:szCs w:val="21"/>
        </w:rPr>
        <w:t>发包人应按照法律规定获得工程施工所需的许可。经发包人同意后，</w:t>
      </w:r>
      <w:r>
        <w:rPr>
          <w:rFonts w:ascii="宋体" w:hAnsi="宋体" w:eastAsia="宋体" w:cs="宋体"/>
          <w:spacing w:val="-39"/>
          <w:sz w:val="21"/>
          <w:szCs w:val="21"/>
        </w:rPr>
        <w:t xml:space="preserve"> </w:t>
      </w:r>
      <w:r>
        <w:rPr>
          <w:rFonts w:ascii="宋体" w:hAnsi="宋体" w:eastAsia="宋体" w:cs="宋体"/>
          <w:spacing w:val="-4"/>
          <w:sz w:val="21"/>
          <w:szCs w:val="21"/>
        </w:rPr>
        <w:t>监理人发出的开工</w:t>
      </w:r>
      <w:r>
        <w:rPr>
          <w:rFonts w:ascii="宋体" w:hAnsi="宋体" w:eastAsia="宋体" w:cs="宋体"/>
          <w:spacing w:val="-3"/>
          <w:sz w:val="21"/>
          <w:szCs w:val="21"/>
        </w:rPr>
        <w:t>通知应符合法律规定。监理人应在计划开工日期</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天前向承包人发出开工通知，工期自开工通知中载明的开工日期起算。</w:t>
      </w:r>
    </w:p>
    <w:p w14:paraId="66D6531D">
      <w:pPr>
        <w:spacing w:before="19" w:line="344" w:lineRule="auto"/>
        <w:ind w:left="25" w:right="74" w:firstLine="432"/>
        <w:jc w:val="both"/>
        <w:rPr>
          <w:rFonts w:ascii="宋体" w:hAnsi="宋体" w:eastAsia="宋体" w:cs="宋体"/>
          <w:sz w:val="21"/>
          <w:szCs w:val="21"/>
        </w:rPr>
      </w:pPr>
      <w:r>
        <w:rPr>
          <w:rFonts w:ascii="宋体" w:hAnsi="宋体" w:eastAsia="宋体" w:cs="宋体"/>
          <w:sz w:val="21"/>
          <w:szCs w:val="21"/>
        </w:rPr>
        <w:t>除专用合同条款另有约定外，因发包人原因造成监理人未能在</w:t>
      </w:r>
      <w:r>
        <w:rPr>
          <w:rFonts w:ascii="宋体" w:hAnsi="宋体" w:eastAsia="宋体" w:cs="宋体"/>
          <w:spacing w:val="-1"/>
          <w:sz w:val="21"/>
          <w:szCs w:val="21"/>
        </w:rPr>
        <w:t xml:space="preserve">计划开工日期之日起 </w:t>
      </w:r>
      <w:r>
        <w:rPr>
          <w:rFonts w:ascii="Times New Roman" w:hAnsi="Times New Roman" w:eastAsia="Times New Roman" w:cs="Times New Roman"/>
          <w:spacing w:val="-1"/>
          <w:sz w:val="21"/>
          <w:szCs w:val="21"/>
        </w:rPr>
        <w:t>90</w:t>
      </w:r>
      <w:r>
        <w:rPr>
          <w:rFonts w:ascii="宋体" w:hAnsi="宋体" w:eastAsia="宋体" w:cs="宋体"/>
          <w:spacing w:val="-2"/>
          <w:sz w:val="21"/>
          <w:szCs w:val="21"/>
        </w:rPr>
        <w:t>天内发出开工通知的，承包人有权提出价格调整要求，或者解除合同。发包人应当承担</w:t>
      </w:r>
      <w:r>
        <w:rPr>
          <w:rFonts w:ascii="宋体" w:hAnsi="宋体" w:eastAsia="宋体" w:cs="宋体"/>
          <w:spacing w:val="-3"/>
          <w:sz w:val="21"/>
          <w:szCs w:val="21"/>
        </w:rPr>
        <w:t>由此</w:t>
      </w:r>
      <w:r>
        <w:rPr>
          <w:rFonts w:ascii="宋体" w:hAnsi="宋体" w:eastAsia="宋体" w:cs="宋体"/>
          <w:spacing w:val="-1"/>
          <w:sz w:val="21"/>
          <w:szCs w:val="21"/>
        </w:rPr>
        <w:t>增加的费用和（或）延误的工期，并向承包人支付合理利润。</w:t>
      </w:r>
    </w:p>
    <w:p w14:paraId="58176DE5">
      <w:pPr>
        <w:spacing w:before="1" w:line="230" w:lineRule="auto"/>
        <w:ind w:left="24"/>
        <w:outlineLvl w:val="2"/>
        <w:rPr>
          <w:rFonts w:ascii="黑体" w:hAnsi="黑体" w:eastAsia="黑体" w:cs="黑体"/>
          <w:sz w:val="24"/>
          <w:szCs w:val="24"/>
        </w:rPr>
      </w:pPr>
      <w:bookmarkStart w:id="399" w:name="bookmark346"/>
      <w:bookmarkEnd w:id="399"/>
      <w:r>
        <w:rPr>
          <w:rFonts w:ascii="Times New Roman" w:hAnsi="Times New Roman" w:eastAsia="Times New Roman" w:cs="Times New Roman"/>
          <w:b/>
          <w:bCs/>
          <w:spacing w:val="3"/>
          <w:sz w:val="24"/>
          <w:szCs w:val="24"/>
        </w:rPr>
        <w:t xml:space="preserve">7.4 </w:t>
      </w:r>
      <w:r>
        <w:rPr>
          <w:rFonts w:ascii="黑体" w:hAnsi="黑体" w:eastAsia="黑体" w:cs="黑体"/>
          <w:b/>
          <w:bCs/>
          <w:spacing w:val="3"/>
          <w:sz w:val="24"/>
          <w:szCs w:val="24"/>
        </w:rPr>
        <w:t>测量放线</w:t>
      </w:r>
    </w:p>
    <w:p w14:paraId="6980E616">
      <w:pPr>
        <w:spacing w:before="114" w:line="350" w:lineRule="auto"/>
        <w:ind w:left="27" w:firstLine="416"/>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7.4.1  </w:t>
      </w:r>
      <w:r>
        <w:rPr>
          <w:rFonts w:ascii="宋体" w:hAnsi="宋体" w:eastAsia="宋体" w:cs="宋体"/>
          <w:spacing w:val="-2"/>
          <w:sz w:val="21"/>
          <w:szCs w:val="21"/>
        </w:rPr>
        <w:t>除专用合同条款另有约定外，发包人应在至迟不得晚</w:t>
      </w:r>
      <w:r>
        <w:rPr>
          <w:rFonts w:ascii="宋体" w:hAnsi="宋体" w:eastAsia="宋体" w:cs="宋体"/>
          <w:spacing w:val="-3"/>
          <w:sz w:val="21"/>
          <w:szCs w:val="21"/>
        </w:rPr>
        <w:t>于第</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7.3.2</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项〔开工通知〕载</w:t>
      </w:r>
      <w:r>
        <w:rPr>
          <w:rFonts w:ascii="宋体" w:hAnsi="宋体" w:eastAsia="宋体" w:cs="宋体"/>
          <w:spacing w:val="-1"/>
          <w:sz w:val="21"/>
          <w:szCs w:val="21"/>
        </w:rPr>
        <w:t>明的开工日期前</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天通过监理人向承包人提供测量基准点、基准线和水准点及其</w:t>
      </w:r>
      <w:r>
        <w:rPr>
          <w:rFonts w:ascii="宋体" w:hAnsi="宋体" w:eastAsia="宋体" w:cs="宋体"/>
          <w:spacing w:val="-2"/>
          <w:sz w:val="21"/>
          <w:szCs w:val="21"/>
        </w:rPr>
        <w:t>书面资料。发包人应对其提供的测量基准点、基准线和水准点及其书面资料的真实性、准确</w:t>
      </w:r>
      <w:r>
        <w:rPr>
          <w:rFonts w:ascii="宋体" w:hAnsi="宋体" w:eastAsia="宋体" w:cs="宋体"/>
          <w:spacing w:val="-3"/>
          <w:sz w:val="21"/>
          <w:szCs w:val="21"/>
        </w:rPr>
        <w:t>性和完整性</w:t>
      </w:r>
      <w:r>
        <w:rPr>
          <w:rFonts w:ascii="宋体" w:hAnsi="宋体" w:eastAsia="宋体" w:cs="宋体"/>
          <w:spacing w:val="-10"/>
          <w:sz w:val="21"/>
          <w:szCs w:val="21"/>
        </w:rPr>
        <w:t>负责。</w:t>
      </w:r>
    </w:p>
    <w:p w14:paraId="42859F8A">
      <w:pPr>
        <w:spacing w:before="16" w:line="219" w:lineRule="auto"/>
        <w:ind w:left="444"/>
        <w:rPr>
          <w:rFonts w:ascii="宋体" w:hAnsi="宋体" w:eastAsia="宋体" w:cs="宋体"/>
          <w:sz w:val="21"/>
          <w:szCs w:val="21"/>
        </w:rPr>
      </w:pPr>
      <w:r>
        <w:rPr>
          <w:rFonts w:ascii="宋体" w:hAnsi="宋体" w:eastAsia="宋体" w:cs="宋体"/>
          <w:spacing w:val="3"/>
          <w:sz w:val="21"/>
          <w:szCs w:val="21"/>
        </w:rPr>
        <w:t>承包人发现发包人提供的测量基准点、基准线和水准点及其书面资料存在错误或疏漏</w:t>
      </w:r>
    </w:p>
    <w:p w14:paraId="19935BD8">
      <w:pPr>
        <w:spacing w:line="219" w:lineRule="auto"/>
        <w:rPr>
          <w:rFonts w:ascii="宋体" w:hAnsi="宋体" w:eastAsia="宋体" w:cs="宋体"/>
          <w:sz w:val="21"/>
          <w:szCs w:val="21"/>
        </w:rPr>
        <w:sectPr>
          <w:footerReference r:id="rId171" w:type="default"/>
          <w:pgSz w:w="11910" w:h="16845"/>
          <w:pgMar w:top="400" w:right="1705" w:bottom="1110" w:left="1786" w:header="0" w:footer="883" w:gutter="0"/>
          <w:cols w:space="720" w:num="1"/>
        </w:sectPr>
      </w:pPr>
    </w:p>
    <w:p w14:paraId="7CDD9CF1">
      <w:pPr>
        <w:pStyle w:val="2"/>
        <w:spacing w:line="275" w:lineRule="auto"/>
      </w:pPr>
    </w:p>
    <w:p w14:paraId="4AC7E9B0">
      <w:pPr>
        <w:pStyle w:val="2"/>
        <w:spacing w:line="275" w:lineRule="auto"/>
      </w:pPr>
    </w:p>
    <w:p w14:paraId="49C7A87B">
      <w:pPr>
        <w:pStyle w:val="2"/>
        <w:spacing w:line="275" w:lineRule="auto"/>
      </w:pPr>
    </w:p>
    <w:p w14:paraId="3A0C5CDB">
      <w:pPr>
        <w:pStyle w:val="2"/>
        <w:spacing w:line="275" w:lineRule="auto"/>
      </w:pPr>
    </w:p>
    <w:p w14:paraId="1571A8CC">
      <w:pPr>
        <w:spacing w:before="68" w:line="350" w:lineRule="auto"/>
        <w:ind w:left="25" w:right="3" w:firstLine="15"/>
        <w:rPr>
          <w:rFonts w:ascii="宋体" w:hAnsi="宋体" w:eastAsia="宋体" w:cs="宋体"/>
          <w:sz w:val="21"/>
          <w:szCs w:val="21"/>
        </w:rPr>
      </w:pPr>
      <w:r>
        <w:rPr>
          <w:rFonts w:ascii="宋体" w:hAnsi="宋体" w:eastAsia="宋体" w:cs="宋体"/>
          <w:spacing w:val="-2"/>
          <w:sz w:val="21"/>
          <w:szCs w:val="21"/>
        </w:rPr>
        <w:t>的，应及时通知监理人。监理人应及时报告发包人，并会同发包人和承包人予</w:t>
      </w:r>
      <w:r>
        <w:rPr>
          <w:rFonts w:ascii="宋体" w:hAnsi="宋体" w:eastAsia="宋体" w:cs="宋体"/>
          <w:spacing w:val="-3"/>
          <w:sz w:val="21"/>
          <w:szCs w:val="21"/>
        </w:rPr>
        <w:t>以核实。发包</w:t>
      </w:r>
      <w:r>
        <w:rPr>
          <w:rFonts w:ascii="宋体" w:hAnsi="宋体" w:eastAsia="宋体" w:cs="宋体"/>
          <w:spacing w:val="-1"/>
          <w:sz w:val="21"/>
          <w:szCs w:val="21"/>
        </w:rPr>
        <w:t>人应就如何处理和是否继续施工作出决定，并通知监理人和承包人。</w:t>
      </w:r>
    </w:p>
    <w:p w14:paraId="72430619">
      <w:pPr>
        <w:spacing w:before="3" w:line="351" w:lineRule="auto"/>
        <w:ind w:left="25" w:right="2" w:firstLine="419"/>
        <w:rPr>
          <w:rFonts w:ascii="宋体" w:hAnsi="宋体" w:eastAsia="宋体" w:cs="宋体"/>
          <w:sz w:val="21"/>
          <w:szCs w:val="21"/>
        </w:rPr>
      </w:pPr>
      <w:r>
        <w:rPr>
          <w:rFonts w:ascii="Times New Roman" w:hAnsi="Times New Roman" w:eastAsia="Times New Roman" w:cs="Times New Roman"/>
          <w:sz w:val="21"/>
          <w:szCs w:val="21"/>
        </w:rPr>
        <w:t xml:space="preserve">7.4.2  </w:t>
      </w:r>
      <w:r>
        <w:rPr>
          <w:rFonts w:ascii="宋体" w:hAnsi="宋体" w:eastAsia="宋体" w:cs="宋体"/>
          <w:sz w:val="21"/>
          <w:szCs w:val="21"/>
        </w:rPr>
        <w:t>承包人负责施工过程中的全部施工测量放线工作，并</w:t>
      </w:r>
      <w:r>
        <w:rPr>
          <w:rFonts w:ascii="宋体" w:hAnsi="宋体" w:eastAsia="宋体" w:cs="宋体"/>
          <w:spacing w:val="-1"/>
          <w:sz w:val="21"/>
          <w:szCs w:val="21"/>
        </w:rPr>
        <w:t>配置具有相应资质的人员、</w:t>
      </w:r>
      <w:r>
        <w:rPr>
          <w:rFonts w:ascii="宋体" w:hAnsi="宋体" w:eastAsia="宋体" w:cs="宋体"/>
          <w:spacing w:val="-2"/>
          <w:sz w:val="21"/>
          <w:szCs w:val="21"/>
        </w:rPr>
        <w:t>合格的仪器、设备和其他物品。承包人应矫正工程的位置、标高、尺寸或准线中出现的任何差错，并对工程各部分的定位负责。</w:t>
      </w:r>
    </w:p>
    <w:p w14:paraId="22582B43">
      <w:pPr>
        <w:spacing w:line="219" w:lineRule="auto"/>
        <w:ind w:left="443"/>
        <w:rPr>
          <w:rFonts w:ascii="宋体" w:hAnsi="宋体" w:eastAsia="宋体" w:cs="宋体"/>
          <w:sz w:val="21"/>
          <w:szCs w:val="21"/>
        </w:rPr>
      </w:pPr>
      <w:r>
        <w:rPr>
          <w:rFonts w:ascii="宋体" w:hAnsi="宋体" w:eastAsia="宋体" w:cs="宋体"/>
          <w:spacing w:val="-1"/>
          <w:sz w:val="21"/>
          <w:szCs w:val="21"/>
        </w:rPr>
        <w:t>施工过程中对施工现场内水准点等测量标志物的保护工作由承包人负责。</w:t>
      </w:r>
    </w:p>
    <w:p w14:paraId="0D421F59">
      <w:pPr>
        <w:spacing w:before="129" w:line="233" w:lineRule="auto"/>
        <w:ind w:left="24"/>
        <w:outlineLvl w:val="2"/>
        <w:rPr>
          <w:rFonts w:ascii="黑体" w:hAnsi="黑体" w:eastAsia="黑体" w:cs="黑体"/>
          <w:sz w:val="24"/>
          <w:szCs w:val="24"/>
        </w:rPr>
      </w:pPr>
      <w:bookmarkStart w:id="400" w:name="bookmark347"/>
      <w:bookmarkEnd w:id="400"/>
      <w:r>
        <w:rPr>
          <w:rFonts w:ascii="Times New Roman" w:hAnsi="Times New Roman" w:eastAsia="Times New Roman" w:cs="Times New Roman"/>
          <w:b/>
          <w:bCs/>
          <w:spacing w:val="3"/>
          <w:sz w:val="24"/>
          <w:szCs w:val="24"/>
        </w:rPr>
        <w:t xml:space="preserve">7.5  </w:t>
      </w:r>
      <w:r>
        <w:rPr>
          <w:rFonts w:ascii="黑体" w:hAnsi="黑体" w:eastAsia="黑体" w:cs="黑体"/>
          <w:b/>
          <w:bCs/>
          <w:spacing w:val="3"/>
          <w:sz w:val="24"/>
          <w:szCs w:val="24"/>
        </w:rPr>
        <w:t>工期延误</w:t>
      </w:r>
    </w:p>
    <w:p w14:paraId="05D9E75B">
      <w:pPr>
        <w:spacing w:before="128" w:line="234" w:lineRule="auto"/>
        <w:ind w:left="444"/>
        <w:rPr>
          <w:rFonts w:ascii="宋体" w:hAnsi="宋体" w:eastAsia="宋体" w:cs="宋体"/>
          <w:sz w:val="21"/>
          <w:szCs w:val="21"/>
        </w:rPr>
      </w:pPr>
      <w:r>
        <w:rPr>
          <w:rFonts w:ascii="Times New Roman" w:hAnsi="Times New Roman" w:eastAsia="Times New Roman" w:cs="Times New Roman"/>
          <w:spacing w:val="-1"/>
          <w:sz w:val="21"/>
          <w:szCs w:val="21"/>
        </w:rPr>
        <w:t xml:space="preserve">7.5.1  </w:t>
      </w:r>
      <w:r>
        <w:rPr>
          <w:rFonts w:ascii="宋体" w:hAnsi="宋体" w:eastAsia="宋体" w:cs="宋体"/>
          <w:spacing w:val="-1"/>
          <w:sz w:val="21"/>
          <w:szCs w:val="21"/>
        </w:rPr>
        <w:t>因发包人原因导致工期延误</w:t>
      </w:r>
    </w:p>
    <w:p w14:paraId="5A233884">
      <w:pPr>
        <w:spacing w:before="125" w:line="356" w:lineRule="auto"/>
        <w:ind w:left="25" w:firstLine="418"/>
        <w:rPr>
          <w:rFonts w:ascii="宋体" w:hAnsi="宋体" w:eastAsia="宋体" w:cs="宋体"/>
          <w:sz w:val="21"/>
          <w:szCs w:val="21"/>
        </w:rPr>
      </w:pPr>
      <w:r>
        <w:rPr>
          <w:rFonts w:ascii="宋体" w:hAnsi="宋体" w:eastAsia="宋体" w:cs="宋体"/>
          <w:spacing w:val="-2"/>
          <w:sz w:val="21"/>
          <w:szCs w:val="21"/>
        </w:rPr>
        <w:t>在合同履行过程中，因下列情况导致工期延误和（或）费用增加的，由发包人承担由此</w:t>
      </w:r>
      <w:r>
        <w:rPr>
          <w:rFonts w:ascii="宋体" w:hAnsi="宋体" w:eastAsia="宋体" w:cs="宋体"/>
          <w:spacing w:val="-1"/>
          <w:sz w:val="21"/>
          <w:szCs w:val="21"/>
        </w:rPr>
        <w:t>延误的工期和（或）增加的费用，且发包人应</w:t>
      </w:r>
      <w:r>
        <w:rPr>
          <w:rFonts w:ascii="宋体" w:hAnsi="宋体" w:eastAsia="宋体" w:cs="宋体"/>
          <w:spacing w:val="-2"/>
          <w:sz w:val="21"/>
          <w:szCs w:val="21"/>
        </w:rPr>
        <w:t>支付承包人合理的利润：</w:t>
      </w:r>
    </w:p>
    <w:p w14:paraId="56529AE6">
      <w:pPr>
        <w:spacing w:before="1" w:line="232"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）发包人未能按合同约定提供图纸或所提供图纸不符合合同约定的；</w:t>
      </w:r>
    </w:p>
    <w:p w14:paraId="712C1E92">
      <w:pPr>
        <w:spacing w:before="126" w:line="348" w:lineRule="auto"/>
        <w:ind w:left="25" w:right="34" w:firstLine="424"/>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）发包人未能按合同约定提供施工现场、施工条件、基础资料、许可、批准等开工</w:t>
      </w:r>
      <w:r>
        <w:rPr>
          <w:rFonts w:ascii="宋体" w:hAnsi="宋体" w:eastAsia="宋体" w:cs="宋体"/>
          <w:spacing w:val="-11"/>
          <w:sz w:val="21"/>
          <w:szCs w:val="21"/>
        </w:rPr>
        <w:t>条件的；</w:t>
      </w:r>
    </w:p>
    <w:p w14:paraId="79F253F4">
      <w:pPr>
        <w:spacing w:before="19"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）发包人提供的测量基准点、基准线和水准点及其书面资料</w:t>
      </w:r>
      <w:r>
        <w:rPr>
          <w:rFonts w:ascii="宋体" w:hAnsi="宋体" w:eastAsia="宋体" w:cs="宋体"/>
          <w:spacing w:val="-2"/>
          <w:sz w:val="21"/>
          <w:szCs w:val="21"/>
        </w:rPr>
        <w:t>存在错误或疏漏的；</w:t>
      </w:r>
    </w:p>
    <w:p w14:paraId="51783363">
      <w:pPr>
        <w:spacing w:before="126"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）发包人未能在计划开工日期之日起</w:t>
      </w:r>
      <w:r>
        <w:rPr>
          <w:rFonts w:ascii="宋体" w:hAnsi="宋体" w:eastAsia="宋体" w:cs="宋体"/>
          <w:spacing w:val="-14"/>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天内同意下达开工通知的；</w:t>
      </w:r>
    </w:p>
    <w:p w14:paraId="7EF08946">
      <w:pPr>
        <w:spacing w:before="140"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）发包人未能按合同约定日期支付工程预</w:t>
      </w:r>
      <w:r>
        <w:rPr>
          <w:rFonts w:ascii="宋体" w:hAnsi="宋体" w:eastAsia="宋体" w:cs="宋体"/>
          <w:spacing w:val="-2"/>
          <w:sz w:val="21"/>
          <w:szCs w:val="21"/>
        </w:rPr>
        <w:t>付款、进度款或竣工结算款的；</w:t>
      </w:r>
    </w:p>
    <w:p w14:paraId="2A8D8A48">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）监理人未按合同约定发出指示、批准等</w:t>
      </w:r>
      <w:r>
        <w:rPr>
          <w:rFonts w:ascii="宋体" w:hAnsi="宋体" w:eastAsia="宋体" w:cs="宋体"/>
          <w:spacing w:val="-3"/>
          <w:sz w:val="21"/>
          <w:szCs w:val="21"/>
        </w:rPr>
        <w:t>文件的；</w:t>
      </w:r>
    </w:p>
    <w:p w14:paraId="60CD64A5">
      <w:pPr>
        <w:spacing w:before="125"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）专用合同条款中约定的其他情形。</w:t>
      </w:r>
    </w:p>
    <w:p w14:paraId="3CF10DDB">
      <w:pPr>
        <w:spacing w:before="140" w:line="352" w:lineRule="auto"/>
        <w:ind w:left="24" w:right="15" w:firstLine="436"/>
        <w:jc w:val="both"/>
        <w:rPr>
          <w:rFonts w:ascii="宋体" w:hAnsi="宋体" w:eastAsia="宋体" w:cs="宋体"/>
          <w:sz w:val="21"/>
          <w:szCs w:val="21"/>
        </w:rPr>
      </w:pPr>
      <w:r>
        <w:rPr>
          <w:rFonts w:ascii="宋体" w:hAnsi="宋体" w:eastAsia="宋体" w:cs="宋体"/>
          <w:spacing w:val="-3"/>
          <w:sz w:val="21"/>
          <w:szCs w:val="21"/>
        </w:rPr>
        <w:t>因发包人原因未按计划开工日期开工的，发包人应按实际开工日期顺延竣工日期，确保</w:t>
      </w:r>
      <w:r>
        <w:rPr>
          <w:rFonts w:ascii="宋体" w:hAnsi="宋体" w:eastAsia="宋体" w:cs="宋体"/>
          <w:spacing w:val="-2"/>
          <w:sz w:val="21"/>
          <w:szCs w:val="21"/>
        </w:rPr>
        <w:t>实际工期不低于合同约定的工期总日历天数。因发包人原因导致工期延误需要修订施工进度</w:t>
      </w:r>
      <w:r>
        <w:rPr>
          <w:rFonts w:ascii="宋体" w:hAnsi="宋体" w:eastAsia="宋体" w:cs="宋体"/>
          <w:spacing w:val="-1"/>
          <w:sz w:val="21"/>
          <w:szCs w:val="21"/>
        </w:rPr>
        <w:t>计划的，按照第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7.2.2</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项〔施工进度计划的修订〕执行。</w:t>
      </w:r>
    </w:p>
    <w:p w14:paraId="4EFBF066">
      <w:pPr>
        <w:spacing w:before="1" w:line="233" w:lineRule="auto"/>
        <w:ind w:left="444"/>
        <w:rPr>
          <w:rFonts w:ascii="宋体" w:hAnsi="宋体" w:eastAsia="宋体" w:cs="宋体"/>
          <w:sz w:val="21"/>
          <w:szCs w:val="21"/>
        </w:rPr>
      </w:pPr>
      <w:r>
        <w:rPr>
          <w:rFonts w:ascii="Times New Roman" w:hAnsi="Times New Roman" w:eastAsia="Times New Roman" w:cs="Times New Roman"/>
          <w:spacing w:val="-1"/>
          <w:sz w:val="21"/>
          <w:szCs w:val="21"/>
        </w:rPr>
        <w:t xml:space="preserve">7.5.2  </w:t>
      </w:r>
      <w:r>
        <w:rPr>
          <w:rFonts w:ascii="宋体" w:hAnsi="宋体" w:eastAsia="宋体" w:cs="宋体"/>
          <w:spacing w:val="-1"/>
          <w:sz w:val="21"/>
          <w:szCs w:val="21"/>
        </w:rPr>
        <w:t>因承包人原因导致工期延误</w:t>
      </w:r>
    </w:p>
    <w:p w14:paraId="3369DC6B">
      <w:pPr>
        <w:spacing w:before="141" w:line="344" w:lineRule="auto"/>
        <w:ind w:left="24" w:right="15" w:firstLine="436"/>
        <w:rPr>
          <w:rFonts w:ascii="宋体" w:hAnsi="宋体" w:eastAsia="宋体" w:cs="宋体"/>
          <w:sz w:val="21"/>
          <w:szCs w:val="21"/>
        </w:rPr>
      </w:pPr>
      <w:r>
        <w:rPr>
          <w:rFonts w:ascii="宋体" w:hAnsi="宋体" w:eastAsia="宋体" w:cs="宋体"/>
          <w:spacing w:val="-3"/>
          <w:sz w:val="21"/>
          <w:szCs w:val="21"/>
        </w:rPr>
        <w:t>因承包人原因造成工期延误的，可以在专用合同条款中约定逾期竣工违约金的计算方法</w:t>
      </w:r>
      <w:r>
        <w:rPr>
          <w:rFonts w:ascii="宋体" w:hAnsi="宋体" w:eastAsia="宋体" w:cs="宋体"/>
          <w:spacing w:val="-4"/>
          <w:sz w:val="21"/>
          <w:szCs w:val="21"/>
        </w:rPr>
        <w:t>和逾期竣工违约金的上限。承包人支付逾期竣工违约金后，</w:t>
      </w:r>
      <w:r>
        <w:rPr>
          <w:rFonts w:ascii="宋体" w:hAnsi="宋体" w:eastAsia="宋体" w:cs="宋体"/>
          <w:spacing w:val="-26"/>
          <w:sz w:val="21"/>
          <w:szCs w:val="21"/>
        </w:rPr>
        <w:t xml:space="preserve"> </w:t>
      </w:r>
      <w:r>
        <w:rPr>
          <w:rFonts w:ascii="宋体" w:hAnsi="宋体" w:eastAsia="宋体" w:cs="宋体"/>
          <w:spacing w:val="-4"/>
          <w:sz w:val="21"/>
          <w:szCs w:val="21"/>
        </w:rPr>
        <w:t>不免除承包人继续完成工程及修</w:t>
      </w:r>
      <w:r>
        <w:rPr>
          <w:rFonts w:ascii="宋体" w:hAnsi="宋体" w:eastAsia="宋体" w:cs="宋体"/>
          <w:spacing w:val="-5"/>
          <w:sz w:val="21"/>
          <w:szCs w:val="21"/>
        </w:rPr>
        <w:t>补缺陷的义务。</w:t>
      </w:r>
    </w:p>
    <w:p w14:paraId="4A137942">
      <w:pPr>
        <w:spacing w:before="1" w:line="232" w:lineRule="auto"/>
        <w:ind w:left="24"/>
        <w:outlineLvl w:val="2"/>
        <w:rPr>
          <w:rFonts w:ascii="黑体" w:hAnsi="黑体" w:eastAsia="黑体" w:cs="黑体"/>
          <w:sz w:val="24"/>
          <w:szCs w:val="24"/>
        </w:rPr>
      </w:pPr>
      <w:bookmarkStart w:id="401" w:name="bookmark348"/>
      <w:bookmarkEnd w:id="401"/>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p w14:paraId="31DCF568">
      <w:pPr>
        <w:spacing w:before="113" w:line="352" w:lineRule="auto"/>
        <w:ind w:left="26" w:right="15" w:firstLine="421"/>
        <w:jc w:val="both"/>
        <w:rPr>
          <w:rFonts w:ascii="宋体" w:hAnsi="宋体" w:eastAsia="宋体" w:cs="宋体"/>
          <w:sz w:val="21"/>
          <w:szCs w:val="21"/>
        </w:rPr>
      </w:pPr>
      <w:r>
        <w:rPr>
          <w:rFonts w:ascii="宋体" w:hAnsi="宋体" w:eastAsia="宋体" w:cs="宋体"/>
          <w:spacing w:val="-2"/>
          <w:sz w:val="21"/>
          <w:szCs w:val="21"/>
        </w:rPr>
        <w:t>不利物质条件是指有经验的承包人在施工现场遇到的不可预见的自</w:t>
      </w:r>
      <w:r>
        <w:rPr>
          <w:rFonts w:ascii="宋体" w:hAnsi="宋体" w:eastAsia="宋体" w:cs="宋体"/>
          <w:spacing w:val="-3"/>
          <w:sz w:val="21"/>
          <w:szCs w:val="21"/>
        </w:rPr>
        <w:t>然物质条件、非自然</w:t>
      </w:r>
      <w:r>
        <w:rPr>
          <w:rFonts w:ascii="宋体" w:hAnsi="宋体" w:eastAsia="宋体" w:cs="宋体"/>
          <w:spacing w:val="3"/>
          <w:sz w:val="21"/>
          <w:szCs w:val="21"/>
        </w:rPr>
        <w:t>的物质障碍和污染物，包括地表以下物质条件和水文条件以及专用合</w:t>
      </w:r>
      <w:r>
        <w:rPr>
          <w:rFonts w:ascii="宋体" w:hAnsi="宋体" w:eastAsia="宋体" w:cs="宋体"/>
          <w:spacing w:val="2"/>
          <w:sz w:val="21"/>
          <w:szCs w:val="21"/>
        </w:rPr>
        <w:t>同条款约定的其他情</w:t>
      </w:r>
      <w:r>
        <w:rPr>
          <w:rFonts w:ascii="宋体" w:hAnsi="宋体" w:eastAsia="宋体" w:cs="宋体"/>
          <w:spacing w:val="-3"/>
          <w:sz w:val="21"/>
          <w:szCs w:val="21"/>
        </w:rPr>
        <w:t>形，但不包括气候条件。</w:t>
      </w:r>
    </w:p>
    <w:p w14:paraId="3F865709">
      <w:pPr>
        <w:spacing w:before="4" w:line="350" w:lineRule="auto"/>
        <w:ind w:left="24" w:right="16" w:firstLine="420"/>
        <w:jc w:val="both"/>
        <w:rPr>
          <w:rFonts w:ascii="宋体" w:hAnsi="宋体" w:eastAsia="宋体" w:cs="宋体"/>
          <w:sz w:val="21"/>
          <w:szCs w:val="21"/>
        </w:rPr>
      </w:pPr>
      <w:r>
        <w:rPr>
          <w:rFonts w:ascii="宋体" w:hAnsi="宋体" w:eastAsia="宋体" w:cs="宋体"/>
          <w:spacing w:val="-2"/>
          <w:sz w:val="21"/>
          <w:szCs w:val="21"/>
        </w:rPr>
        <w:t>承包人遇到不利物质条件时，应采取克服不利物质条件的</w:t>
      </w:r>
      <w:r>
        <w:rPr>
          <w:rFonts w:ascii="宋体" w:hAnsi="宋体" w:eastAsia="宋体" w:cs="宋体"/>
          <w:spacing w:val="-3"/>
          <w:sz w:val="21"/>
          <w:szCs w:val="21"/>
        </w:rPr>
        <w:t>合理措施继续施工，并及时通</w:t>
      </w:r>
      <w:r>
        <w:rPr>
          <w:rFonts w:ascii="宋体" w:hAnsi="宋体" w:eastAsia="宋体" w:cs="宋体"/>
          <w:spacing w:val="-2"/>
          <w:sz w:val="21"/>
          <w:szCs w:val="21"/>
        </w:rPr>
        <w:t>知发包人和监理人。通知应载明不利物质条件的内容以及承包人认为不可预见的理由。监理</w:t>
      </w:r>
      <w:r>
        <w:rPr>
          <w:rFonts w:ascii="宋体" w:hAnsi="宋体" w:eastAsia="宋体" w:cs="宋体"/>
          <w:spacing w:val="-1"/>
          <w:sz w:val="21"/>
          <w:szCs w:val="21"/>
        </w:rPr>
        <w:t>人经发包人同意后应当及时发出指示，指示构成变更的，按第</w:t>
      </w:r>
      <w:r>
        <w:rPr>
          <w:rFonts w:ascii="宋体" w:hAnsi="宋体" w:eastAsia="宋体" w:cs="宋体"/>
          <w:spacing w:val="-13"/>
          <w:sz w:val="21"/>
          <w:szCs w:val="21"/>
        </w:rPr>
        <w:t xml:space="preserve"> </w:t>
      </w:r>
      <w:r>
        <w:rPr>
          <w:rFonts w:ascii="Times New Roman" w:hAnsi="Times New Roman" w:eastAsia="Times New Roman" w:cs="Times New Roman"/>
          <w:spacing w:val="-1"/>
          <w:sz w:val="21"/>
          <w:szCs w:val="21"/>
        </w:rPr>
        <w:t>10</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条〔变更〕约定执行。承包人因采取合理措施而增加的费用和（或）延误的工期由发包人承担。</w:t>
      </w:r>
    </w:p>
    <w:p w14:paraId="274BA822">
      <w:pPr>
        <w:spacing w:line="350" w:lineRule="auto"/>
        <w:rPr>
          <w:rFonts w:ascii="宋体" w:hAnsi="宋体" w:eastAsia="宋体" w:cs="宋体"/>
          <w:sz w:val="21"/>
          <w:szCs w:val="21"/>
        </w:rPr>
        <w:sectPr>
          <w:footerReference r:id="rId172" w:type="default"/>
          <w:pgSz w:w="11910" w:h="16845"/>
          <w:pgMar w:top="400" w:right="1763" w:bottom="1110" w:left="1786" w:header="0" w:footer="883" w:gutter="0"/>
          <w:cols w:space="720" w:num="1"/>
        </w:sectPr>
      </w:pPr>
    </w:p>
    <w:p w14:paraId="69B4144C">
      <w:pPr>
        <w:pStyle w:val="2"/>
        <w:spacing w:line="266" w:lineRule="auto"/>
      </w:pPr>
    </w:p>
    <w:p w14:paraId="35C0D5F3">
      <w:pPr>
        <w:pStyle w:val="2"/>
        <w:spacing w:line="266" w:lineRule="auto"/>
      </w:pPr>
    </w:p>
    <w:p w14:paraId="7AD42EB7">
      <w:pPr>
        <w:pStyle w:val="2"/>
        <w:spacing w:line="266" w:lineRule="auto"/>
      </w:pPr>
    </w:p>
    <w:p w14:paraId="3C37BBF5">
      <w:pPr>
        <w:pStyle w:val="2"/>
        <w:spacing w:line="267" w:lineRule="auto"/>
      </w:pPr>
    </w:p>
    <w:p w14:paraId="3E3B105F">
      <w:pPr>
        <w:spacing w:before="78" w:line="232" w:lineRule="auto"/>
        <w:ind w:left="24"/>
        <w:outlineLvl w:val="2"/>
        <w:rPr>
          <w:rFonts w:ascii="黑体" w:hAnsi="黑体" w:eastAsia="黑体" w:cs="黑体"/>
          <w:sz w:val="24"/>
          <w:szCs w:val="24"/>
        </w:rPr>
      </w:pPr>
      <w:bookmarkStart w:id="402" w:name="bookmark349"/>
      <w:bookmarkEnd w:id="402"/>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72410CDC">
      <w:pPr>
        <w:spacing w:before="129" w:line="351" w:lineRule="auto"/>
        <w:ind w:left="25" w:right="77" w:firstLine="421"/>
        <w:jc w:val="both"/>
        <w:rPr>
          <w:rFonts w:ascii="宋体" w:hAnsi="宋体" w:eastAsia="宋体" w:cs="宋体"/>
          <w:sz w:val="21"/>
          <w:szCs w:val="21"/>
        </w:rPr>
      </w:pPr>
      <w:r>
        <w:rPr>
          <w:rFonts w:ascii="宋体" w:hAnsi="宋体" w:eastAsia="宋体" w:cs="宋体"/>
          <w:spacing w:val="-2"/>
          <w:sz w:val="21"/>
          <w:szCs w:val="21"/>
        </w:rPr>
        <w:t>异常恶劣的气候条件是指在施工过程中遇到的，有经验的承包人在签</w:t>
      </w:r>
      <w:r>
        <w:rPr>
          <w:rFonts w:ascii="宋体" w:hAnsi="宋体" w:eastAsia="宋体" w:cs="宋体"/>
          <w:spacing w:val="-3"/>
          <w:sz w:val="21"/>
          <w:szCs w:val="21"/>
        </w:rPr>
        <w:t>订合同时不可预见</w:t>
      </w:r>
      <w:r>
        <w:rPr>
          <w:rFonts w:ascii="宋体" w:hAnsi="宋体" w:eastAsia="宋体" w:cs="宋体"/>
          <w:spacing w:val="-2"/>
          <w:sz w:val="21"/>
          <w:szCs w:val="21"/>
        </w:rPr>
        <w:t>的，对合同履行造成实质性影响的，但尚未构成不可抗力事件的恶劣气候条件</w:t>
      </w:r>
      <w:r>
        <w:rPr>
          <w:rFonts w:ascii="宋体" w:hAnsi="宋体" w:eastAsia="宋体" w:cs="宋体"/>
          <w:spacing w:val="-3"/>
          <w:sz w:val="21"/>
          <w:szCs w:val="21"/>
        </w:rPr>
        <w:t>。合同当事人</w:t>
      </w:r>
      <w:r>
        <w:rPr>
          <w:rFonts w:ascii="宋体" w:hAnsi="宋体" w:eastAsia="宋体" w:cs="宋体"/>
          <w:spacing w:val="-1"/>
          <w:sz w:val="21"/>
          <w:szCs w:val="21"/>
        </w:rPr>
        <w:t>可以在专用合同条款中约定异常恶劣的气候条件的具体情形。</w:t>
      </w:r>
    </w:p>
    <w:p w14:paraId="5BC81E59">
      <w:pPr>
        <w:spacing w:before="4" w:line="344" w:lineRule="auto"/>
        <w:ind w:left="25" w:right="80" w:firstLine="418"/>
        <w:jc w:val="both"/>
        <w:rPr>
          <w:rFonts w:ascii="宋体" w:hAnsi="宋体" w:eastAsia="宋体" w:cs="宋体"/>
          <w:sz w:val="21"/>
          <w:szCs w:val="21"/>
        </w:rPr>
      </w:pPr>
      <w:r>
        <w:rPr>
          <w:rFonts w:ascii="宋体" w:hAnsi="宋体" w:eastAsia="宋体" w:cs="宋体"/>
          <w:spacing w:val="-2"/>
          <w:sz w:val="21"/>
          <w:szCs w:val="21"/>
        </w:rPr>
        <w:t>承包人应采取克服异常恶劣的气候条件的合理措施继续施工，并及</w:t>
      </w:r>
      <w:r>
        <w:rPr>
          <w:rFonts w:ascii="宋体" w:hAnsi="宋体" w:eastAsia="宋体" w:cs="宋体"/>
          <w:spacing w:val="-3"/>
          <w:sz w:val="21"/>
          <w:szCs w:val="21"/>
        </w:rPr>
        <w:t>时通知发包人和监理</w:t>
      </w:r>
      <w:r>
        <w:rPr>
          <w:rFonts w:ascii="宋体" w:hAnsi="宋体" w:eastAsia="宋体" w:cs="宋体"/>
          <w:spacing w:val="-1"/>
          <w:sz w:val="21"/>
          <w:szCs w:val="21"/>
        </w:rPr>
        <w:t>人。监理人经发包人同意后应当及时发出指示，指示构成变更的，按第</w:t>
      </w:r>
      <w:r>
        <w:rPr>
          <w:rFonts w:ascii="宋体" w:hAnsi="宋体" w:eastAsia="宋体" w:cs="宋体"/>
          <w:spacing w:val="-16"/>
          <w:sz w:val="21"/>
          <w:szCs w:val="21"/>
        </w:rPr>
        <w:t xml:space="preserve"> </w:t>
      </w:r>
      <w:r>
        <w:rPr>
          <w:rFonts w:ascii="Times New Roman" w:hAnsi="Times New Roman" w:eastAsia="Times New Roman" w:cs="Times New Roman"/>
          <w:spacing w:val="-1"/>
          <w:sz w:val="21"/>
          <w:szCs w:val="21"/>
        </w:rPr>
        <w:t>10</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条〔变更〕约定办理。承包人因采取合理措施而增加的费用和（或）延误的工期由发包人承担。</w:t>
      </w:r>
    </w:p>
    <w:p w14:paraId="48F6DAD9">
      <w:pPr>
        <w:spacing w:line="234" w:lineRule="auto"/>
        <w:ind w:left="24"/>
        <w:outlineLvl w:val="2"/>
        <w:rPr>
          <w:rFonts w:ascii="黑体" w:hAnsi="黑体" w:eastAsia="黑体" w:cs="黑体"/>
          <w:sz w:val="24"/>
          <w:szCs w:val="24"/>
        </w:rPr>
      </w:pPr>
      <w:bookmarkStart w:id="403" w:name="bookmark350"/>
      <w:bookmarkEnd w:id="403"/>
      <w:r>
        <w:rPr>
          <w:rFonts w:ascii="Times New Roman" w:hAnsi="Times New Roman" w:eastAsia="Times New Roman" w:cs="Times New Roman"/>
          <w:b/>
          <w:bCs/>
          <w:spacing w:val="1"/>
          <w:sz w:val="24"/>
          <w:szCs w:val="24"/>
        </w:rPr>
        <w:t>7.8</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暂停施工</w:t>
      </w:r>
    </w:p>
    <w:p w14:paraId="6D66B073">
      <w:pPr>
        <w:spacing w:before="112" w:line="234" w:lineRule="auto"/>
        <w:ind w:left="444"/>
        <w:rPr>
          <w:rFonts w:ascii="宋体" w:hAnsi="宋体" w:eastAsia="宋体" w:cs="宋体"/>
          <w:sz w:val="21"/>
          <w:szCs w:val="21"/>
        </w:rPr>
      </w:pPr>
      <w:r>
        <w:rPr>
          <w:rFonts w:ascii="Times New Roman" w:hAnsi="Times New Roman" w:eastAsia="Times New Roman" w:cs="Times New Roman"/>
          <w:sz w:val="21"/>
          <w:szCs w:val="21"/>
        </w:rPr>
        <w:t>7.8.1</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发包人原因引起的暂停施工</w:t>
      </w:r>
    </w:p>
    <w:p w14:paraId="5DE859C9">
      <w:pPr>
        <w:spacing w:before="140" w:line="347" w:lineRule="auto"/>
        <w:ind w:left="25" w:right="70" w:firstLine="435"/>
        <w:rPr>
          <w:rFonts w:ascii="宋体" w:hAnsi="宋体" w:eastAsia="宋体" w:cs="宋体"/>
          <w:sz w:val="21"/>
          <w:szCs w:val="21"/>
        </w:rPr>
      </w:pPr>
      <w:r>
        <w:rPr>
          <w:rFonts w:ascii="宋体" w:hAnsi="宋体" w:eastAsia="宋体" w:cs="宋体"/>
          <w:spacing w:val="-3"/>
          <w:sz w:val="21"/>
          <w:szCs w:val="21"/>
        </w:rPr>
        <w:t>因发包人原因引起暂停施工的，监理人经发包人同意后，应及时下达暂停施工指示。情</w:t>
      </w:r>
      <w:r>
        <w:rPr>
          <w:rFonts w:ascii="宋体" w:hAnsi="宋体" w:eastAsia="宋体" w:cs="宋体"/>
          <w:sz w:val="21"/>
          <w:szCs w:val="21"/>
        </w:rPr>
        <w:t>况紧急且监理人未及时下达暂停施工指示的，按照第</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7.8.4</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项〔紧急情况下的暂停施工〕执</w:t>
      </w:r>
      <w:r>
        <w:rPr>
          <w:rFonts w:ascii="宋体" w:hAnsi="宋体" w:eastAsia="宋体" w:cs="宋体"/>
          <w:spacing w:val="-10"/>
          <w:sz w:val="21"/>
          <w:szCs w:val="21"/>
        </w:rPr>
        <w:t>行。</w:t>
      </w:r>
    </w:p>
    <w:p w14:paraId="409F906E">
      <w:pPr>
        <w:spacing w:before="15" w:line="350" w:lineRule="auto"/>
        <w:ind w:left="25" w:right="61" w:firstLine="436"/>
        <w:rPr>
          <w:rFonts w:ascii="宋体" w:hAnsi="宋体" w:eastAsia="宋体" w:cs="宋体"/>
          <w:sz w:val="21"/>
          <w:szCs w:val="21"/>
        </w:rPr>
      </w:pPr>
      <w:r>
        <w:rPr>
          <w:rFonts w:ascii="宋体" w:hAnsi="宋体" w:eastAsia="宋体" w:cs="宋体"/>
          <w:spacing w:val="-2"/>
          <w:sz w:val="21"/>
          <w:szCs w:val="21"/>
        </w:rPr>
        <w:t>因发包人原因引起的暂停施工，发包人应承担由此增加的费用和（或）延</w:t>
      </w:r>
      <w:r>
        <w:rPr>
          <w:rFonts w:ascii="宋体" w:hAnsi="宋体" w:eastAsia="宋体" w:cs="宋体"/>
          <w:spacing w:val="-3"/>
          <w:sz w:val="21"/>
          <w:szCs w:val="21"/>
        </w:rPr>
        <w:t>误的工期，并支付承包人合理的利润。</w:t>
      </w:r>
    </w:p>
    <w:p w14:paraId="680C306F">
      <w:pPr>
        <w:spacing w:before="1" w:line="233" w:lineRule="auto"/>
        <w:ind w:left="444"/>
        <w:rPr>
          <w:rFonts w:ascii="宋体" w:hAnsi="宋体" w:eastAsia="宋体" w:cs="宋体"/>
          <w:sz w:val="21"/>
          <w:szCs w:val="21"/>
        </w:rPr>
      </w:pPr>
      <w:r>
        <w:rPr>
          <w:rFonts w:ascii="Times New Roman" w:hAnsi="Times New Roman" w:eastAsia="Times New Roman" w:cs="Times New Roman"/>
          <w:sz w:val="21"/>
          <w:szCs w:val="21"/>
        </w:rPr>
        <w:t>7.8.2</w:t>
      </w:r>
      <w:r>
        <w:rPr>
          <w:rFonts w:ascii="Times New Roman" w:hAnsi="Times New Roman" w:eastAsia="Times New Roman" w:cs="Times New Roman"/>
          <w:spacing w:val="50"/>
          <w:sz w:val="21"/>
          <w:szCs w:val="21"/>
        </w:rPr>
        <w:t xml:space="preserve"> </w:t>
      </w:r>
      <w:r>
        <w:rPr>
          <w:rFonts w:ascii="宋体" w:hAnsi="宋体" w:eastAsia="宋体" w:cs="宋体"/>
          <w:sz w:val="21"/>
          <w:szCs w:val="21"/>
        </w:rPr>
        <w:t>承包人原因引起的暂停施工</w:t>
      </w:r>
    </w:p>
    <w:p w14:paraId="7485C493">
      <w:pPr>
        <w:spacing w:before="139" w:line="352" w:lineRule="auto"/>
        <w:ind w:left="24" w:firstLine="436"/>
        <w:rPr>
          <w:rFonts w:ascii="宋体" w:hAnsi="宋体" w:eastAsia="宋体" w:cs="宋体"/>
          <w:sz w:val="21"/>
          <w:szCs w:val="21"/>
        </w:rPr>
      </w:pPr>
      <w:r>
        <w:rPr>
          <w:rFonts w:ascii="宋体" w:hAnsi="宋体" w:eastAsia="宋体" w:cs="宋体"/>
          <w:spacing w:val="-2"/>
          <w:sz w:val="21"/>
          <w:szCs w:val="21"/>
        </w:rPr>
        <w:t>因承包人原因引起的暂停施工，承包人应承担由此增加的费用和（或）延</w:t>
      </w:r>
      <w:r>
        <w:rPr>
          <w:rFonts w:ascii="宋体" w:hAnsi="宋体" w:eastAsia="宋体" w:cs="宋体"/>
          <w:spacing w:val="-3"/>
          <w:sz w:val="21"/>
          <w:szCs w:val="21"/>
        </w:rPr>
        <w:t>误的工期，且</w:t>
      </w:r>
      <w:r>
        <w:rPr>
          <w:rFonts w:ascii="宋体" w:hAnsi="宋体" w:eastAsia="宋体" w:cs="宋体"/>
          <w:spacing w:val="-4"/>
          <w:sz w:val="21"/>
          <w:szCs w:val="21"/>
        </w:rPr>
        <w:t>承包人在收到监理人复工指示后</w:t>
      </w:r>
      <w:r>
        <w:rPr>
          <w:rFonts w:ascii="宋体" w:hAnsi="宋体" w:eastAsia="宋体" w:cs="宋体"/>
          <w:spacing w:val="-35"/>
          <w:sz w:val="21"/>
          <w:szCs w:val="21"/>
        </w:rPr>
        <w:t xml:space="preserve"> </w:t>
      </w:r>
      <w:r>
        <w:rPr>
          <w:rFonts w:ascii="Times New Roman" w:hAnsi="Times New Roman" w:eastAsia="Times New Roman" w:cs="Times New Roman"/>
          <w:spacing w:val="-4"/>
          <w:sz w:val="21"/>
          <w:szCs w:val="21"/>
        </w:rPr>
        <w:t>84</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天内仍未复工的</w:t>
      </w:r>
      <w:r>
        <w:rPr>
          <w:rFonts w:ascii="宋体" w:hAnsi="宋体" w:eastAsia="宋体" w:cs="宋体"/>
          <w:spacing w:val="-5"/>
          <w:sz w:val="21"/>
          <w:szCs w:val="21"/>
        </w:rPr>
        <w:t>，视为第</w:t>
      </w:r>
      <w:r>
        <w:rPr>
          <w:rFonts w:ascii="宋体" w:hAnsi="宋体" w:eastAsia="宋体" w:cs="宋体"/>
          <w:spacing w:val="-22"/>
          <w:sz w:val="21"/>
          <w:szCs w:val="21"/>
        </w:rPr>
        <w:t xml:space="preserve"> </w:t>
      </w:r>
      <w:r>
        <w:rPr>
          <w:rFonts w:ascii="Times New Roman" w:hAnsi="Times New Roman" w:eastAsia="Times New Roman" w:cs="Times New Roman"/>
          <w:spacing w:val="-5"/>
          <w:sz w:val="21"/>
          <w:szCs w:val="21"/>
        </w:rPr>
        <w:t>16.2.1</w:t>
      </w:r>
      <w:r>
        <w:rPr>
          <w:rFonts w:ascii="Times New Roman" w:hAnsi="Times New Roman" w:eastAsia="Times New Roman" w:cs="Times New Roman"/>
          <w:spacing w:val="19"/>
          <w:w w:val="101"/>
          <w:sz w:val="21"/>
          <w:szCs w:val="21"/>
        </w:rPr>
        <w:t xml:space="preserve"> </w:t>
      </w:r>
      <w:r>
        <w:rPr>
          <w:rFonts w:ascii="宋体" w:hAnsi="宋体" w:eastAsia="宋体" w:cs="宋体"/>
          <w:spacing w:val="-5"/>
          <w:sz w:val="21"/>
          <w:szCs w:val="21"/>
        </w:rPr>
        <w:t>项〔承包人违约的情形〕</w:t>
      </w:r>
      <w:r>
        <w:rPr>
          <w:rFonts w:ascii="宋体" w:hAnsi="宋体" w:eastAsia="宋体" w:cs="宋体"/>
          <w:spacing w:val="-2"/>
          <w:sz w:val="21"/>
          <w:szCs w:val="21"/>
        </w:rPr>
        <w:t>第（</w:t>
      </w:r>
      <w:r>
        <w:rPr>
          <w:rFonts w:ascii="Times New Roman" w:hAnsi="Times New Roman" w:eastAsia="Times New Roman" w:cs="Times New Roman"/>
          <w:spacing w:val="-2"/>
          <w:sz w:val="21"/>
          <w:szCs w:val="21"/>
        </w:rPr>
        <w:t>7</w:t>
      </w:r>
      <w:r>
        <w:rPr>
          <w:rFonts w:ascii="宋体" w:hAnsi="宋体" w:eastAsia="宋体" w:cs="宋体"/>
          <w:spacing w:val="-2"/>
          <w:sz w:val="21"/>
          <w:szCs w:val="21"/>
        </w:rPr>
        <w:t>）目约定的承包人无法继续履行合同的情形。</w:t>
      </w:r>
    </w:p>
    <w:p w14:paraId="7D97933E">
      <w:pPr>
        <w:spacing w:line="234" w:lineRule="auto"/>
        <w:ind w:left="444"/>
        <w:rPr>
          <w:rFonts w:ascii="宋体" w:hAnsi="宋体" w:eastAsia="宋体" w:cs="宋体"/>
          <w:sz w:val="21"/>
          <w:szCs w:val="21"/>
        </w:rPr>
      </w:pPr>
      <w:r>
        <w:rPr>
          <w:rFonts w:ascii="Times New Roman" w:hAnsi="Times New Roman" w:eastAsia="Times New Roman" w:cs="Times New Roman"/>
          <w:sz w:val="21"/>
          <w:szCs w:val="21"/>
        </w:rPr>
        <w:t>7.8.3</w:t>
      </w:r>
      <w:r>
        <w:rPr>
          <w:rFonts w:ascii="Times New Roman" w:hAnsi="Times New Roman" w:eastAsia="Times New Roman" w:cs="Times New Roman"/>
          <w:spacing w:val="49"/>
          <w:sz w:val="21"/>
          <w:szCs w:val="21"/>
        </w:rPr>
        <w:t xml:space="preserve"> </w:t>
      </w:r>
      <w:r>
        <w:rPr>
          <w:rFonts w:ascii="宋体" w:hAnsi="宋体" w:eastAsia="宋体" w:cs="宋体"/>
          <w:sz w:val="21"/>
          <w:szCs w:val="21"/>
        </w:rPr>
        <w:t>指示暂停施工</w:t>
      </w:r>
    </w:p>
    <w:p w14:paraId="22AC00C3">
      <w:pPr>
        <w:spacing w:before="141" w:line="345" w:lineRule="auto"/>
        <w:ind w:left="25" w:right="78" w:firstLine="419"/>
        <w:rPr>
          <w:rFonts w:ascii="宋体" w:hAnsi="宋体" w:eastAsia="宋体" w:cs="宋体"/>
          <w:sz w:val="21"/>
          <w:szCs w:val="21"/>
        </w:rPr>
      </w:pPr>
      <w:r>
        <w:rPr>
          <w:rFonts w:ascii="宋体" w:hAnsi="宋体" w:eastAsia="宋体" w:cs="宋体"/>
          <w:spacing w:val="-2"/>
          <w:sz w:val="21"/>
          <w:szCs w:val="21"/>
        </w:rPr>
        <w:t>监理人认为有必要时，并经发包人批准后，可向承包人作出暂停施工的</w:t>
      </w:r>
      <w:r>
        <w:rPr>
          <w:rFonts w:ascii="宋体" w:hAnsi="宋体" w:eastAsia="宋体" w:cs="宋体"/>
          <w:spacing w:val="-3"/>
          <w:sz w:val="21"/>
          <w:szCs w:val="21"/>
        </w:rPr>
        <w:t>指示，承包人应按监理人指示暂停施工。</w:t>
      </w:r>
    </w:p>
    <w:p w14:paraId="29E2CD0C">
      <w:pPr>
        <w:spacing w:before="10" w:line="233" w:lineRule="auto"/>
        <w:ind w:left="444"/>
        <w:rPr>
          <w:rFonts w:ascii="宋体" w:hAnsi="宋体" w:eastAsia="宋体" w:cs="宋体"/>
          <w:sz w:val="21"/>
          <w:szCs w:val="21"/>
        </w:rPr>
      </w:pPr>
      <w:r>
        <w:rPr>
          <w:rFonts w:ascii="Times New Roman" w:hAnsi="Times New Roman" w:eastAsia="Times New Roman" w:cs="Times New Roman"/>
          <w:spacing w:val="-1"/>
          <w:sz w:val="21"/>
          <w:szCs w:val="21"/>
        </w:rPr>
        <w:t>7.8.4</w:t>
      </w:r>
      <w:r>
        <w:rPr>
          <w:rFonts w:ascii="Times New Roman" w:hAnsi="Times New Roman" w:eastAsia="Times New Roman" w:cs="Times New Roman"/>
          <w:spacing w:val="64"/>
          <w:w w:val="101"/>
          <w:sz w:val="21"/>
          <w:szCs w:val="21"/>
        </w:rPr>
        <w:t xml:space="preserve"> </w:t>
      </w:r>
      <w:r>
        <w:rPr>
          <w:rFonts w:ascii="宋体" w:hAnsi="宋体" w:eastAsia="宋体" w:cs="宋体"/>
          <w:spacing w:val="-1"/>
          <w:sz w:val="21"/>
          <w:szCs w:val="21"/>
        </w:rPr>
        <w:t>紧急情况下的暂停施工</w:t>
      </w:r>
    </w:p>
    <w:p w14:paraId="249654F4">
      <w:pPr>
        <w:spacing w:before="139" w:line="350" w:lineRule="auto"/>
        <w:ind w:left="25" w:right="33" w:firstLine="436"/>
        <w:rPr>
          <w:rFonts w:ascii="宋体" w:hAnsi="宋体" w:eastAsia="宋体" w:cs="宋体"/>
          <w:sz w:val="21"/>
          <w:szCs w:val="21"/>
        </w:rPr>
      </w:pPr>
      <w:r>
        <w:rPr>
          <w:rFonts w:ascii="宋体" w:hAnsi="宋体" w:eastAsia="宋体" w:cs="宋体"/>
          <w:spacing w:val="-1"/>
          <w:sz w:val="21"/>
          <w:szCs w:val="21"/>
        </w:rPr>
        <w:t>因紧急情况需暂停施工，且监理人未及时下达暂停</w:t>
      </w:r>
      <w:r>
        <w:rPr>
          <w:rFonts w:ascii="宋体" w:hAnsi="宋体" w:eastAsia="宋体" w:cs="宋体"/>
          <w:spacing w:val="-2"/>
          <w:sz w:val="21"/>
          <w:szCs w:val="21"/>
        </w:rPr>
        <w:t>施工指示的，承包人可先暂停施工，</w:t>
      </w:r>
      <w:r>
        <w:rPr>
          <w:rFonts w:ascii="宋体" w:hAnsi="宋体" w:eastAsia="宋体" w:cs="宋体"/>
          <w:spacing w:val="-1"/>
          <w:sz w:val="21"/>
          <w:szCs w:val="21"/>
        </w:rPr>
        <w:t>并及时通知监理人。监理人应在接到通知后</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1"/>
          <w:w w:val="101"/>
          <w:sz w:val="21"/>
          <w:szCs w:val="21"/>
        </w:rPr>
        <w:t xml:space="preserve"> </w:t>
      </w:r>
      <w:r>
        <w:rPr>
          <w:rFonts w:ascii="宋体" w:hAnsi="宋体" w:eastAsia="宋体" w:cs="宋体"/>
          <w:spacing w:val="-1"/>
          <w:sz w:val="21"/>
          <w:szCs w:val="21"/>
        </w:rPr>
        <w:t>小时内发出指示，逾期未发出指示，视为同</w:t>
      </w:r>
      <w:r>
        <w:rPr>
          <w:rFonts w:ascii="宋体" w:hAnsi="宋体" w:eastAsia="宋体" w:cs="宋体"/>
          <w:spacing w:val="-5"/>
          <w:sz w:val="21"/>
          <w:szCs w:val="21"/>
        </w:rPr>
        <w:t>意承包人暂停施工。监理人不同意承包人暂停施工的， 应说明理由，承包人对监理人的答复</w:t>
      </w:r>
      <w:r>
        <w:rPr>
          <w:rFonts w:ascii="宋体" w:hAnsi="宋体" w:eastAsia="宋体" w:cs="宋体"/>
          <w:spacing w:val="-2"/>
          <w:sz w:val="21"/>
          <w:szCs w:val="21"/>
        </w:rPr>
        <w:t>有异议，按照第</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20</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条〔争议解决〕约定处理。</w:t>
      </w:r>
    </w:p>
    <w:p w14:paraId="570C48AC">
      <w:pPr>
        <w:spacing w:line="234" w:lineRule="auto"/>
        <w:ind w:left="444"/>
        <w:rPr>
          <w:rFonts w:ascii="宋体" w:hAnsi="宋体" w:eastAsia="宋体" w:cs="宋体"/>
          <w:sz w:val="21"/>
          <w:szCs w:val="21"/>
        </w:rPr>
      </w:pPr>
      <w:r>
        <w:rPr>
          <w:rFonts w:ascii="Times New Roman" w:hAnsi="Times New Roman" w:eastAsia="Times New Roman" w:cs="Times New Roman"/>
          <w:spacing w:val="-1"/>
          <w:sz w:val="21"/>
          <w:szCs w:val="21"/>
        </w:rPr>
        <w:t xml:space="preserve">7.8.5  </w:t>
      </w:r>
      <w:r>
        <w:rPr>
          <w:rFonts w:ascii="宋体" w:hAnsi="宋体" w:eastAsia="宋体" w:cs="宋体"/>
          <w:spacing w:val="-1"/>
          <w:sz w:val="21"/>
          <w:szCs w:val="21"/>
        </w:rPr>
        <w:t>暂停施工后的复工</w:t>
      </w:r>
    </w:p>
    <w:p w14:paraId="4E775C43">
      <w:pPr>
        <w:spacing w:before="139" w:line="353" w:lineRule="auto"/>
        <w:ind w:left="25" w:right="7" w:firstLine="426"/>
        <w:rPr>
          <w:rFonts w:ascii="宋体" w:hAnsi="宋体" w:eastAsia="宋体" w:cs="宋体"/>
          <w:sz w:val="21"/>
          <w:szCs w:val="21"/>
        </w:rPr>
      </w:pPr>
      <w:r>
        <w:rPr>
          <w:rFonts w:ascii="宋体" w:hAnsi="宋体" w:eastAsia="宋体" w:cs="宋体"/>
          <w:spacing w:val="-6"/>
          <w:sz w:val="21"/>
          <w:szCs w:val="21"/>
        </w:rPr>
        <w:t>暂停施工后，发包人和承包人应采取有效措施积极消除暂停施工的影响。在工程复工前，</w:t>
      </w:r>
      <w:r>
        <w:rPr>
          <w:rFonts w:ascii="宋体" w:hAnsi="宋体" w:eastAsia="宋体" w:cs="宋体"/>
          <w:spacing w:val="-2"/>
          <w:sz w:val="21"/>
          <w:szCs w:val="21"/>
        </w:rPr>
        <w:t>监理人会同发包人和承包人确定因暂停施工造成的损失，并确定工程复工条件。当工程</w:t>
      </w:r>
      <w:r>
        <w:rPr>
          <w:rFonts w:ascii="宋体" w:hAnsi="宋体" w:eastAsia="宋体" w:cs="宋体"/>
          <w:spacing w:val="-3"/>
          <w:sz w:val="21"/>
          <w:szCs w:val="21"/>
        </w:rPr>
        <w:t>具备</w:t>
      </w:r>
      <w:r>
        <w:rPr>
          <w:rFonts w:ascii="宋体" w:hAnsi="宋体" w:eastAsia="宋体" w:cs="宋体"/>
          <w:spacing w:val="-2"/>
          <w:sz w:val="21"/>
          <w:szCs w:val="21"/>
        </w:rPr>
        <w:t>复工条件时，监理人应经发包人批准后向承包人发出复工通知，承包人应按照复</w:t>
      </w:r>
      <w:r>
        <w:rPr>
          <w:rFonts w:ascii="宋体" w:hAnsi="宋体" w:eastAsia="宋体" w:cs="宋体"/>
          <w:spacing w:val="-3"/>
          <w:sz w:val="21"/>
          <w:szCs w:val="21"/>
        </w:rPr>
        <w:t>工通知要求</w:t>
      </w:r>
      <w:r>
        <w:rPr>
          <w:rFonts w:ascii="宋体" w:hAnsi="宋体" w:eastAsia="宋体" w:cs="宋体"/>
          <w:spacing w:val="-9"/>
          <w:sz w:val="21"/>
          <w:szCs w:val="21"/>
        </w:rPr>
        <w:t>复工。</w:t>
      </w:r>
    </w:p>
    <w:p w14:paraId="06AE736A">
      <w:pPr>
        <w:spacing w:before="2" w:line="349" w:lineRule="auto"/>
        <w:ind w:left="24" w:right="68" w:firstLine="420"/>
        <w:rPr>
          <w:rFonts w:ascii="宋体" w:hAnsi="宋体" w:eastAsia="宋体" w:cs="宋体"/>
          <w:sz w:val="21"/>
          <w:szCs w:val="21"/>
        </w:rPr>
      </w:pPr>
      <w:r>
        <w:rPr>
          <w:rFonts w:ascii="宋体" w:hAnsi="宋体" w:eastAsia="宋体" w:cs="宋体"/>
          <w:spacing w:val="-2"/>
          <w:sz w:val="21"/>
          <w:szCs w:val="21"/>
        </w:rPr>
        <w:t>承包人无故拖延和拒绝复工的，承包人承担由此增加的费用和（或）延误的工期；因发</w:t>
      </w:r>
      <w:r>
        <w:rPr>
          <w:rFonts w:ascii="宋体" w:hAnsi="宋体" w:eastAsia="宋体" w:cs="宋体"/>
          <w:spacing w:val="-1"/>
          <w:sz w:val="21"/>
          <w:szCs w:val="21"/>
        </w:rPr>
        <w:t>包人原因无法按时复工的，按照第</w:t>
      </w:r>
      <w:r>
        <w:rPr>
          <w:rFonts w:ascii="宋体" w:hAnsi="宋体" w:eastAsia="宋体" w:cs="宋体"/>
          <w:spacing w:val="-24"/>
          <w:sz w:val="21"/>
          <w:szCs w:val="21"/>
        </w:rPr>
        <w:t xml:space="preserve"> </w:t>
      </w:r>
      <w:r>
        <w:rPr>
          <w:rFonts w:ascii="Times New Roman" w:hAnsi="Times New Roman" w:eastAsia="Times New Roman" w:cs="Times New Roman"/>
          <w:spacing w:val="-1"/>
          <w:sz w:val="21"/>
          <w:szCs w:val="21"/>
        </w:rPr>
        <w:t>7.5.1</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项〔因发包人原因导致工期延误〕约定办理。</w:t>
      </w:r>
    </w:p>
    <w:p w14:paraId="0777A579">
      <w:pPr>
        <w:spacing w:line="233" w:lineRule="auto"/>
        <w:ind w:left="444"/>
        <w:rPr>
          <w:rFonts w:ascii="宋体" w:hAnsi="宋体" w:eastAsia="宋体" w:cs="宋体"/>
          <w:sz w:val="21"/>
          <w:szCs w:val="21"/>
        </w:rPr>
      </w:pPr>
      <w:r>
        <w:rPr>
          <w:rFonts w:ascii="Times New Roman" w:hAnsi="Times New Roman" w:eastAsia="Times New Roman" w:cs="Times New Roman"/>
          <w:spacing w:val="-2"/>
          <w:sz w:val="21"/>
          <w:szCs w:val="21"/>
        </w:rPr>
        <w:t xml:space="preserve">7.8.6  </w:t>
      </w:r>
      <w:r>
        <w:rPr>
          <w:rFonts w:ascii="宋体" w:hAnsi="宋体" w:eastAsia="宋体" w:cs="宋体"/>
          <w:spacing w:val="-2"/>
          <w:sz w:val="21"/>
          <w:szCs w:val="21"/>
        </w:rPr>
        <w:t>暂停施工持续</w:t>
      </w:r>
      <w:r>
        <w:rPr>
          <w:rFonts w:ascii="宋体" w:hAnsi="宋体" w:eastAsia="宋体" w:cs="宋体"/>
          <w:spacing w:val="-24"/>
          <w:sz w:val="21"/>
          <w:szCs w:val="21"/>
        </w:rPr>
        <w:t xml:space="preserve">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天以上</w:t>
      </w:r>
    </w:p>
    <w:p w14:paraId="02110F94">
      <w:pPr>
        <w:spacing w:line="233" w:lineRule="auto"/>
        <w:rPr>
          <w:rFonts w:ascii="宋体" w:hAnsi="宋体" w:eastAsia="宋体" w:cs="宋体"/>
          <w:sz w:val="21"/>
          <w:szCs w:val="21"/>
        </w:rPr>
        <w:sectPr>
          <w:footerReference r:id="rId173" w:type="default"/>
          <w:pgSz w:w="11910" w:h="16845"/>
          <w:pgMar w:top="400" w:right="1701" w:bottom="1110" w:left="1786" w:header="0" w:footer="883" w:gutter="0"/>
          <w:cols w:space="720" w:num="1"/>
        </w:sectPr>
      </w:pPr>
    </w:p>
    <w:p w14:paraId="3F3C4F99">
      <w:pPr>
        <w:pStyle w:val="2"/>
        <w:spacing w:line="275" w:lineRule="auto"/>
      </w:pPr>
    </w:p>
    <w:p w14:paraId="14AEFCB7">
      <w:pPr>
        <w:pStyle w:val="2"/>
        <w:spacing w:line="275" w:lineRule="auto"/>
      </w:pPr>
    </w:p>
    <w:p w14:paraId="525F8777">
      <w:pPr>
        <w:pStyle w:val="2"/>
        <w:spacing w:line="275" w:lineRule="auto"/>
      </w:pPr>
    </w:p>
    <w:p w14:paraId="63219BF4">
      <w:pPr>
        <w:pStyle w:val="2"/>
        <w:spacing w:line="276" w:lineRule="auto"/>
      </w:pPr>
    </w:p>
    <w:p w14:paraId="1C111DFA">
      <w:pPr>
        <w:spacing w:before="68" w:line="351" w:lineRule="auto"/>
        <w:ind w:left="24" w:right="71" w:firstLine="421"/>
        <w:jc w:val="both"/>
        <w:rPr>
          <w:rFonts w:ascii="宋体" w:hAnsi="宋体" w:eastAsia="宋体" w:cs="宋体"/>
          <w:sz w:val="21"/>
          <w:szCs w:val="21"/>
        </w:rPr>
      </w:pPr>
      <w:r>
        <w:rPr>
          <w:rFonts w:ascii="宋体" w:hAnsi="宋体" w:eastAsia="宋体" w:cs="宋体"/>
          <w:spacing w:val="-2"/>
          <w:sz w:val="21"/>
          <w:szCs w:val="21"/>
        </w:rPr>
        <w:t>监理人发出暂停施工指示后</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56</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天内未向承包人发出复工通知，除该项停工属于第</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7.8.2</w:t>
      </w:r>
      <w:r>
        <w:rPr>
          <w:rFonts w:ascii="宋体" w:hAnsi="宋体" w:eastAsia="宋体" w:cs="宋体"/>
          <w:spacing w:val="-1"/>
          <w:sz w:val="21"/>
          <w:szCs w:val="21"/>
        </w:rPr>
        <w:t>项〔承包人原因引起的暂停施工〕及第</w:t>
      </w:r>
      <w:r>
        <w:rPr>
          <w:rFonts w:ascii="宋体" w:hAnsi="宋体" w:eastAsia="宋体" w:cs="宋体"/>
          <w:spacing w:val="-12"/>
          <w:sz w:val="21"/>
          <w:szCs w:val="21"/>
        </w:rPr>
        <w:t xml:space="preserve"> </w:t>
      </w:r>
      <w:r>
        <w:rPr>
          <w:rFonts w:ascii="Times New Roman" w:hAnsi="Times New Roman" w:eastAsia="Times New Roman" w:cs="Times New Roman"/>
          <w:spacing w:val="-1"/>
          <w:sz w:val="21"/>
          <w:szCs w:val="21"/>
        </w:rPr>
        <w:t>17</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条〔不可抗力〕约定的情形外，承包人可向发包</w:t>
      </w:r>
      <w:r>
        <w:rPr>
          <w:rFonts w:ascii="宋体" w:hAnsi="宋体" w:eastAsia="宋体" w:cs="宋体"/>
          <w:sz w:val="21"/>
          <w:szCs w:val="21"/>
        </w:rPr>
        <w:t>人提交书面通知，要求发包人在收到书面通知后</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天内准许已暂停施工</w:t>
      </w:r>
      <w:r>
        <w:rPr>
          <w:rFonts w:ascii="宋体" w:hAnsi="宋体" w:eastAsia="宋体" w:cs="宋体"/>
          <w:spacing w:val="-1"/>
          <w:sz w:val="21"/>
          <w:szCs w:val="21"/>
        </w:rPr>
        <w:t>的部分或全部工程</w:t>
      </w:r>
      <w:r>
        <w:rPr>
          <w:rFonts w:ascii="宋体" w:hAnsi="宋体" w:eastAsia="宋体" w:cs="宋体"/>
          <w:spacing w:val="-2"/>
          <w:sz w:val="21"/>
          <w:szCs w:val="21"/>
        </w:rPr>
        <w:t>继续施工。发包人逾期不予批准的，则承包人可以通知发包人，将工程受影响的</w:t>
      </w:r>
      <w:r>
        <w:rPr>
          <w:rFonts w:ascii="宋体" w:hAnsi="宋体" w:eastAsia="宋体" w:cs="宋体"/>
          <w:spacing w:val="-3"/>
          <w:sz w:val="21"/>
          <w:szCs w:val="21"/>
        </w:rPr>
        <w:t xml:space="preserve">部分视为按第 </w:t>
      </w:r>
      <w:r>
        <w:rPr>
          <w:rFonts w:ascii="Times New Roman" w:hAnsi="Times New Roman" w:eastAsia="Times New Roman" w:cs="Times New Roman"/>
          <w:spacing w:val="-3"/>
          <w:sz w:val="21"/>
          <w:szCs w:val="21"/>
        </w:rPr>
        <w:t>10.1</w:t>
      </w:r>
      <w:r>
        <w:rPr>
          <w:rFonts w:ascii="Times New Roman" w:hAnsi="Times New Roman" w:eastAsia="Times New Roman" w:cs="Times New Roman"/>
          <w:spacing w:val="17"/>
          <w:w w:val="101"/>
          <w:sz w:val="21"/>
          <w:szCs w:val="21"/>
        </w:rPr>
        <w:t xml:space="preserve"> </w:t>
      </w:r>
      <w:r>
        <w:rPr>
          <w:rFonts w:ascii="宋体" w:hAnsi="宋体" w:eastAsia="宋体" w:cs="宋体"/>
          <w:spacing w:val="-3"/>
          <w:sz w:val="21"/>
          <w:szCs w:val="21"/>
        </w:rPr>
        <w:t>款〔变更的范围〕第（</w:t>
      </w:r>
      <w:r>
        <w:rPr>
          <w:rFonts w:ascii="Times New Roman" w:hAnsi="Times New Roman" w:eastAsia="Times New Roman" w:cs="Times New Roman"/>
          <w:spacing w:val="-3"/>
          <w:sz w:val="21"/>
          <w:szCs w:val="21"/>
        </w:rPr>
        <w:t>2</w:t>
      </w:r>
      <w:r>
        <w:rPr>
          <w:rFonts w:ascii="宋体" w:hAnsi="宋体" w:eastAsia="宋体" w:cs="宋体"/>
          <w:spacing w:val="-3"/>
          <w:sz w:val="21"/>
          <w:szCs w:val="21"/>
        </w:rPr>
        <w:t>）项的可取消工作。</w:t>
      </w:r>
    </w:p>
    <w:p w14:paraId="439984A5">
      <w:pPr>
        <w:spacing w:before="2" w:line="347" w:lineRule="auto"/>
        <w:ind w:left="23" w:firstLine="427"/>
        <w:jc w:val="both"/>
        <w:rPr>
          <w:rFonts w:ascii="宋体" w:hAnsi="宋体" w:eastAsia="宋体" w:cs="宋体"/>
          <w:sz w:val="21"/>
          <w:szCs w:val="21"/>
        </w:rPr>
      </w:pPr>
      <w:r>
        <w:rPr>
          <w:rFonts w:ascii="宋体" w:hAnsi="宋体" w:eastAsia="宋体" w:cs="宋体"/>
          <w:spacing w:val="-2"/>
          <w:sz w:val="21"/>
          <w:szCs w:val="21"/>
        </w:rPr>
        <w:t>暂停施工持续</w:t>
      </w:r>
      <w:r>
        <w:rPr>
          <w:rFonts w:ascii="宋体" w:hAnsi="宋体" w:eastAsia="宋体" w:cs="宋体"/>
          <w:spacing w:val="-34"/>
          <w:sz w:val="21"/>
          <w:szCs w:val="21"/>
        </w:rPr>
        <w:t xml:space="preserve"> </w:t>
      </w:r>
      <w:r>
        <w:rPr>
          <w:rFonts w:ascii="Times New Roman" w:hAnsi="Times New Roman" w:eastAsia="Times New Roman" w:cs="Times New Roman"/>
          <w:spacing w:val="-2"/>
          <w:sz w:val="21"/>
          <w:szCs w:val="21"/>
        </w:rPr>
        <w:t>84</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天以上不复工的，且不属于第</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7.8.2</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项〔承包人原因引起的暂停施工〕</w:t>
      </w:r>
      <w:r>
        <w:rPr>
          <w:rFonts w:ascii="宋体" w:hAnsi="宋体" w:eastAsia="宋体" w:cs="宋体"/>
          <w:spacing w:val="-1"/>
          <w:sz w:val="21"/>
          <w:szCs w:val="21"/>
        </w:rPr>
        <w:t>及第</w:t>
      </w:r>
      <w:r>
        <w:rPr>
          <w:rFonts w:ascii="宋体" w:hAnsi="宋体" w:eastAsia="宋体" w:cs="宋体"/>
          <w:spacing w:val="-8"/>
          <w:sz w:val="21"/>
          <w:szCs w:val="21"/>
        </w:rPr>
        <w:t xml:space="preserve"> </w:t>
      </w:r>
      <w:r>
        <w:rPr>
          <w:rFonts w:ascii="Times New Roman" w:hAnsi="Times New Roman" w:eastAsia="Times New Roman" w:cs="Times New Roman"/>
          <w:spacing w:val="-1"/>
          <w:sz w:val="21"/>
          <w:szCs w:val="21"/>
        </w:rPr>
        <w:t>17</w:t>
      </w:r>
      <w:r>
        <w:rPr>
          <w:rFonts w:ascii="Times New Roman" w:hAnsi="Times New Roman" w:eastAsia="Times New Roman" w:cs="Times New Roman"/>
          <w:spacing w:val="18"/>
          <w:w w:val="101"/>
          <w:sz w:val="21"/>
          <w:szCs w:val="21"/>
        </w:rPr>
        <w:t xml:space="preserve"> </w:t>
      </w:r>
      <w:r>
        <w:rPr>
          <w:rFonts w:ascii="宋体" w:hAnsi="宋体" w:eastAsia="宋体" w:cs="宋体"/>
          <w:spacing w:val="-1"/>
          <w:sz w:val="21"/>
          <w:szCs w:val="21"/>
        </w:rPr>
        <w:t>条〔不可抗力〕约定的情形，并影响到整个工程以及合同目的实现的，承包人有权</w:t>
      </w:r>
      <w:r>
        <w:rPr>
          <w:rFonts w:ascii="宋体" w:hAnsi="宋体" w:eastAsia="宋体" w:cs="宋体"/>
          <w:spacing w:val="-7"/>
          <w:sz w:val="21"/>
          <w:szCs w:val="21"/>
        </w:rPr>
        <w:t>提出价格调整要求，或者解除合同。解除合同的，</w:t>
      </w:r>
      <w:r>
        <w:rPr>
          <w:rFonts w:ascii="宋体" w:hAnsi="宋体" w:eastAsia="宋体" w:cs="宋体"/>
          <w:spacing w:val="-47"/>
          <w:sz w:val="21"/>
          <w:szCs w:val="21"/>
        </w:rPr>
        <w:t xml:space="preserve"> </w:t>
      </w:r>
      <w:r>
        <w:rPr>
          <w:rFonts w:ascii="宋体" w:hAnsi="宋体" w:eastAsia="宋体" w:cs="宋体"/>
          <w:spacing w:val="-7"/>
          <w:sz w:val="21"/>
          <w:szCs w:val="21"/>
        </w:rPr>
        <w:t>按照第</w:t>
      </w:r>
      <w:r>
        <w:rPr>
          <w:rFonts w:ascii="宋体" w:hAnsi="宋体" w:eastAsia="宋体" w:cs="宋体"/>
          <w:spacing w:val="-24"/>
          <w:sz w:val="21"/>
          <w:szCs w:val="21"/>
        </w:rPr>
        <w:t xml:space="preserve"> </w:t>
      </w:r>
      <w:r>
        <w:rPr>
          <w:rFonts w:ascii="Times New Roman" w:hAnsi="Times New Roman" w:eastAsia="Times New Roman" w:cs="Times New Roman"/>
          <w:spacing w:val="-7"/>
          <w:sz w:val="21"/>
          <w:szCs w:val="21"/>
        </w:rPr>
        <w:t>16.1.3</w:t>
      </w:r>
      <w:r>
        <w:rPr>
          <w:rFonts w:ascii="Times New Roman" w:hAnsi="Times New Roman" w:eastAsia="Times New Roman" w:cs="Times New Roman"/>
          <w:spacing w:val="20"/>
          <w:sz w:val="21"/>
          <w:szCs w:val="21"/>
        </w:rPr>
        <w:t xml:space="preserve"> </w:t>
      </w:r>
      <w:r>
        <w:rPr>
          <w:rFonts w:ascii="宋体" w:hAnsi="宋体" w:eastAsia="宋体" w:cs="宋体"/>
          <w:spacing w:val="-7"/>
          <w:sz w:val="21"/>
          <w:szCs w:val="21"/>
        </w:rPr>
        <w:t>项〔</w:t>
      </w:r>
      <w:r>
        <w:rPr>
          <w:rFonts w:ascii="宋体" w:hAnsi="宋体" w:eastAsia="宋体" w:cs="宋体"/>
          <w:spacing w:val="-8"/>
          <w:sz w:val="21"/>
          <w:szCs w:val="21"/>
        </w:rPr>
        <w:t>因发包人违约解除合同〕</w:t>
      </w:r>
      <w:r>
        <w:rPr>
          <w:rFonts w:ascii="宋体" w:hAnsi="宋体" w:eastAsia="宋体" w:cs="宋体"/>
          <w:spacing w:val="-9"/>
          <w:sz w:val="21"/>
          <w:szCs w:val="21"/>
        </w:rPr>
        <w:t>执行。</w:t>
      </w:r>
    </w:p>
    <w:p w14:paraId="08F0135F">
      <w:pPr>
        <w:spacing w:before="25" w:line="233" w:lineRule="auto"/>
        <w:ind w:left="444"/>
        <w:rPr>
          <w:rFonts w:ascii="宋体" w:hAnsi="宋体" w:eastAsia="宋体" w:cs="宋体"/>
          <w:sz w:val="21"/>
          <w:szCs w:val="21"/>
        </w:rPr>
      </w:pPr>
      <w:r>
        <w:rPr>
          <w:rFonts w:ascii="Times New Roman" w:hAnsi="Times New Roman" w:eastAsia="Times New Roman" w:cs="Times New Roman"/>
          <w:spacing w:val="-1"/>
          <w:sz w:val="21"/>
          <w:szCs w:val="21"/>
        </w:rPr>
        <w:t xml:space="preserve">7.8.7  </w:t>
      </w:r>
      <w:r>
        <w:rPr>
          <w:rFonts w:ascii="宋体" w:hAnsi="宋体" w:eastAsia="宋体" w:cs="宋体"/>
          <w:spacing w:val="-1"/>
          <w:sz w:val="21"/>
          <w:szCs w:val="21"/>
        </w:rPr>
        <w:t>暂停施工期间的工程照管</w:t>
      </w:r>
    </w:p>
    <w:p w14:paraId="5A7974CB">
      <w:pPr>
        <w:spacing w:before="140" w:line="345" w:lineRule="auto"/>
        <w:ind w:left="24" w:right="80" w:firstLine="427"/>
        <w:rPr>
          <w:rFonts w:ascii="宋体" w:hAnsi="宋体" w:eastAsia="宋体" w:cs="宋体"/>
          <w:sz w:val="21"/>
          <w:szCs w:val="21"/>
        </w:rPr>
      </w:pPr>
      <w:r>
        <w:rPr>
          <w:rFonts w:ascii="宋体" w:hAnsi="宋体" w:eastAsia="宋体" w:cs="宋体"/>
          <w:spacing w:val="-2"/>
          <w:sz w:val="21"/>
          <w:szCs w:val="21"/>
        </w:rPr>
        <w:t>暂停施工期间，承包人应负责妥善照管工程并提供安</w:t>
      </w:r>
      <w:r>
        <w:rPr>
          <w:rFonts w:ascii="宋体" w:hAnsi="宋体" w:eastAsia="宋体" w:cs="宋体"/>
          <w:spacing w:val="-3"/>
          <w:sz w:val="21"/>
          <w:szCs w:val="21"/>
        </w:rPr>
        <w:t>全保障，由此增加的费用由责任方</w:t>
      </w:r>
      <w:r>
        <w:rPr>
          <w:rFonts w:ascii="宋体" w:hAnsi="宋体" w:eastAsia="宋体" w:cs="宋体"/>
          <w:spacing w:val="-9"/>
          <w:sz w:val="21"/>
          <w:szCs w:val="21"/>
        </w:rPr>
        <w:t>承担。</w:t>
      </w:r>
    </w:p>
    <w:p w14:paraId="755C6697">
      <w:pPr>
        <w:spacing w:before="10" w:line="234" w:lineRule="auto"/>
        <w:ind w:left="444"/>
        <w:rPr>
          <w:rFonts w:ascii="宋体" w:hAnsi="宋体" w:eastAsia="宋体" w:cs="宋体"/>
          <w:sz w:val="21"/>
          <w:szCs w:val="21"/>
        </w:rPr>
      </w:pPr>
      <w:r>
        <w:rPr>
          <w:rFonts w:ascii="Times New Roman" w:hAnsi="Times New Roman" w:eastAsia="Times New Roman" w:cs="Times New Roman"/>
          <w:spacing w:val="-1"/>
          <w:sz w:val="21"/>
          <w:szCs w:val="21"/>
        </w:rPr>
        <w:t xml:space="preserve">7.8.8  </w:t>
      </w:r>
      <w:r>
        <w:rPr>
          <w:rFonts w:ascii="宋体" w:hAnsi="宋体" w:eastAsia="宋体" w:cs="宋体"/>
          <w:spacing w:val="-1"/>
          <w:sz w:val="21"/>
          <w:szCs w:val="21"/>
        </w:rPr>
        <w:t>暂停施工的措施</w:t>
      </w:r>
    </w:p>
    <w:p w14:paraId="42B25983">
      <w:pPr>
        <w:spacing w:before="140" w:line="338" w:lineRule="auto"/>
        <w:ind w:left="23" w:right="80" w:firstLine="427"/>
        <w:rPr>
          <w:rFonts w:ascii="宋体" w:hAnsi="宋体" w:eastAsia="宋体" w:cs="宋体"/>
          <w:sz w:val="21"/>
          <w:szCs w:val="21"/>
        </w:rPr>
      </w:pPr>
      <w:r>
        <w:rPr>
          <w:rFonts w:ascii="宋体" w:hAnsi="宋体" w:eastAsia="宋体" w:cs="宋体"/>
          <w:spacing w:val="-2"/>
          <w:sz w:val="21"/>
          <w:szCs w:val="21"/>
        </w:rPr>
        <w:t>暂停施工期间，发包人和承包人均应采取必要的措施</w:t>
      </w:r>
      <w:r>
        <w:rPr>
          <w:rFonts w:ascii="宋体" w:hAnsi="宋体" w:eastAsia="宋体" w:cs="宋体"/>
          <w:spacing w:val="-3"/>
          <w:sz w:val="21"/>
          <w:szCs w:val="21"/>
        </w:rPr>
        <w:t>确保工程质量及安全，防止因暂停</w:t>
      </w:r>
      <w:r>
        <w:rPr>
          <w:rFonts w:ascii="宋体" w:hAnsi="宋体" w:eastAsia="宋体" w:cs="宋体"/>
          <w:spacing w:val="-5"/>
          <w:sz w:val="21"/>
          <w:szCs w:val="21"/>
        </w:rPr>
        <w:t>施工扩大损失。</w:t>
      </w:r>
    </w:p>
    <w:p w14:paraId="5D98BE3E">
      <w:pPr>
        <w:spacing w:before="2" w:line="231" w:lineRule="auto"/>
        <w:ind w:left="24"/>
        <w:outlineLvl w:val="1"/>
        <w:rPr>
          <w:rFonts w:ascii="黑体" w:hAnsi="黑体" w:eastAsia="黑体" w:cs="黑体"/>
          <w:sz w:val="24"/>
          <w:szCs w:val="24"/>
        </w:rPr>
      </w:pPr>
      <w:bookmarkStart w:id="404" w:name="bookmark351"/>
      <w:bookmarkEnd w:id="404"/>
      <w:r>
        <w:rPr>
          <w:rFonts w:ascii="Times New Roman" w:hAnsi="Times New Roman" w:eastAsia="Times New Roman" w:cs="Times New Roman"/>
          <w:b/>
          <w:bCs/>
          <w:spacing w:val="3"/>
          <w:sz w:val="24"/>
          <w:szCs w:val="24"/>
        </w:rPr>
        <w:t xml:space="preserve">7.9 </w:t>
      </w:r>
      <w:r>
        <w:rPr>
          <w:rFonts w:ascii="黑体" w:hAnsi="黑体" w:eastAsia="黑体" w:cs="黑体"/>
          <w:b/>
          <w:bCs/>
          <w:spacing w:val="3"/>
          <w:sz w:val="24"/>
          <w:szCs w:val="24"/>
        </w:rPr>
        <w:t>提前竣工</w:t>
      </w:r>
    </w:p>
    <w:p w14:paraId="7816296B">
      <w:pPr>
        <w:spacing w:before="129" w:line="352" w:lineRule="auto"/>
        <w:ind w:left="24" w:right="4" w:firstLine="420"/>
        <w:rPr>
          <w:rFonts w:ascii="宋体" w:hAnsi="宋体" w:eastAsia="宋体" w:cs="宋体"/>
          <w:sz w:val="21"/>
          <w:szCs w:val="21"/>
        </w:rPr>
      </w:pPr>
      <w:r>
        <w:rPr>
          <w:rFonts w:ascii="Times New Roman" w:hAnsi="Times New Roman" w:eastAsia="Times New Roman" w:cs="Times New Roman"/>
          <w:spacing w:val="-3"/>
          <w:sz w:val="21"/>
          <w:szCs w:val="21"/>
        </w:rPr>
        <w:t xml:space="preserve">7.9.1  </w:t>
      </w:r>
      <w:r>
        <w:rPr>
          <w:rFonts w:ascii="宋体" w:hAnsi="宋体" w:eastAsia="宋体" w:cs="宋体"/>
          <w:spacing w:val="-3"/>
          <w:sz w:val="21"/>
          <w:szCs w:val="21"/>
        </w:rPr>
        <w:t>发包人要求承包人提前竣工的，发包人应通过监理人向承包人下达提前竣工指示，</w:t>
      </w:r>
      <w:r>
        <w:rPr>
          <w:rFonts w:ascii="宋体" w:hAnsi="宋体" w:eastAsia="宋体" w:cs="宋体"/>
          <w:spacing w:val="-2"/>
          <w:sz w:val="21"/>
          <w:szCs w:val="21"/>
        </w:rPr>
        <w:t>承包人应向发包人和监理人提交提前竣工建议书，提前竣工建议书应包括实施的方案、缩短的时间、增加的合同价格等内容。发包人接受该提前竣工建议书的，监理人应与</w:t>
      </w:r>
      <w:r>
        <w:rPr>
          <w:rFonts w:ascii="宋体" w:hAnsi="宋体" w:eastAsia="宋体" w:cs="宋体"/>
          <w:spacing w:val="-3"/>
          <w:sz w:val="21"/>
          <w:szCs w:val="21"/>
        </w:rPr>
        <w:t>发包人和承</w:t>
      </w:r>
      <w:r>
        <w:rPr>
          <w:rFonts w:ascii="宋体" w:hAnsi="宋体" w:eastAsia="宋体" w:cs="宋体"/>
          <w:sz w:val="21"/>
          <w:szCs w:val="21"/>
        </w:rPr>
        <w:t>包人协商采取加快工程进度的措施，并修订</w:t>
      </w:r>
      <w:r>
        <w:rPr>
          <w:rFonts w:ascii="宋体" w:hAnsi="宋体" w:eastAsia="宋体" w:cs="宋体"/>
          <w:spacing w:val="-1"/>
          <w:sz w:val="21"/>
          <w:szCs w:val="21"/>
        </w:rPr>
        <w:t>施工进度计划，由此增加的费用由发包人承担。</w:t>
      </w:r>
      <w:r>
        <w:rPr>
          <w:rFonts w:ascii="宋体" w:hAnsi="宋体" w:eastAsia="宋体" w:cs="宋体"/>
          <w:spacing w:val="-2"/>
          <w:sz w:val="21"/>
          <w:szCs w:val="21"/>
        </w:rPr>
        <w:t>承包人认为提前竣工指示无法执行的，应向监理人和发包人提出书面异议，发包人和监理人</w:t>
      </w:r>
      <w:r>
        <w:rPr>
          <w:rFonts w:ascii="宋体" w:hAnsi="宋体" w:eastAsia="宋体" w:cs="宋体"/>
          <w:spacing w:val="-1"/>
          <w:sz w:val="21"/>
          <w:szCs w:val="21"/>
        </w:rPr>
        <w:t>应在收到异议后</w:t>
      </w:r>
      <w:r>
        <w:rPr>
          <w:rFonts w:ascii="宋体" w:hAnsi="宋体" w:eastAsia="宋体" w:cs="宋体"/>
          <w:spacing w:val="-38"/>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天内予以答复。任何情况下，发</w:t>
      </w:r>
      <w:r>
        <w:rPr>
          <w:rFonts w:ascii="宋体" w:hAnsi="宋体" w:eastAsia="宋体" w:cs="宋体"/>
          <w:spacing w:val="-2"/>
          <w:sz w:val="21"/>
          <w:szCs w:val="21"/>
        </w:rPr>
        <w:t>包人不得压缩合理工期。</w:t>
      </w:r>
    </w:p>
    <w:p w14:paraId="4AD4966B">
      <w:pPr>
        <w:spacing w:before="1" w:line="335" w:lineRule="auto"/>
        <w:ind w:left="25" w:right="80"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7.9.2  </w:t>
      </w:r>
      <w:r>
        <w:rPr>
          <w:rFonts w:ascii="宋体" w:hAnsi="宋体" w:eastAsia="宋体" w:cs="宋体"/>
          <w:spacing w:val="1"/>
          <w:sz w:val="21"/>
          <w:szCs w:val="21"/>
        </w:rPr>
        <w:t>发包人要求承包人提前竣工，或</w:t>
      </w:r>
      <w:r>
        <w:rPr>
          <w:rFonts w:ascii="宋体" w:hAnsi="宋体" w:eastAsia="宋体" w:cs="宋体"/>
          <w:sz w:val="21"/>
          <w:szCs w:val="21"/>
        </w:rPr>
        <w:t>承包人提出提前竣工的建议能够给发包人带来效</w:t>
      </w:r>
      <w:r>
        <w:rPr>
          <w:rFonts w:ascii="宋体" w:hAnsi="宋体" w:eastAsia="宋体" w:cs="宋体"/>
          <w:spacing w:val="-1"/>
          <w:sz w:val="21"/>
          <w:szCs w:val="21"/>
        </w:rPr>
        <w:t>益的，合同当事人可以在专用合同条款中约定提前竣工的奖励。</w:t>
      </w:r>
    </w:p>
    <w:p w14:paraId="02322A19">
      <w:pPr>
        <w:spacing w:before="72" w:line="237" w:lineRule="auto"/>
        <w:ind w:left="25"/>
        <w:outlineLvl w:val="0"/>
        <w:rPr>
          <w:rFonts w:ascii="黑体" w:hAnsi="黑体" w:eastAsia="黑体" w:cs="黑体"/>
          <w:sz w:val="28"/>
          <w:szCs w:val="28"/>
        </w:rPr>
      </w:pPr>
      <w:bookmarkStart w:id="405" w:name="bookmark353"/>
      <w:bookmarkEnd w:id="405"/>
      <w:bookmarkStart w:id="406" w:name="bookmark352"/>
      <w:bookmarkEnd w:id="406"/>
      <w:r>
        <w:rPr>
          <w:rFonts w:ascii="Times New Roman" w:hAnsi="Times New Roman" w:eastAsia="Times New Roman" w:cs="Times New Roman"/>
          <w:b/>
          <w:bCs/>
          <w:spacing w:val="6"/>
          <w:sz w:val="28"/>
          <w:szCs w:val="28"/>
        </w:rPr>
        <w:t>8.</w:t>
      </w:r>
      <w:r>
        <w:rPr>
          <w:rFonts w:ascii="Times New Roman" w:hAnsi="Times New Roman" w:eastAsia="Times New Roman" w:cs="Times New Roman"/>
          <w:b/>
          <w:bCs/>
          <w:spacing w:val="64"/>
          <w:sz w:val="28"/>
          <w:szCs w:val="28"/>
        </w:rPr>
        <w:t xml:space="preserve"> </w:t>
      </w:r>
      <w:r>
        <w:rPr>
          <w:rFonts w:ascii="黑体" w:hAnsi="黑体" w:eastAsia="黑体" w:cs="黑体"/>
          <w:b/>
          <w:bCs/>
          <w:spacing w:val="6"/>
          <w:sz w:val="28"/>
          <w:szCs w:val="28"/>
        </w:rPr>
        <w:t>材料与设备</w:t>
      </w:r>
    </w:p>
    <w:p w14:paraId="0BAA7C50">
      <w:pPr>
        <w:spacing w:before="71" w:line="232" w:lineRule="auto"/>
        <w:ind w:left="24"/>
        <w:outlineLvl w:val="1"/>
        <w:rPr>
          <w:rFonts w:ascii="黑体" w:hAnsi="黑体" w:eastAsia="黑体" w:cs="黑体"/>
          <w:sz w:val="24"/>
          <w:szCs w:val="24"/>
        </w:rPr>
      </w:pPr>
      <w:bookmarkStart w:id="407" w:name="bookmark690"/>
      <w:bookmarkEnd w:id="407"/>
      <w:r>
        <w:rPr>
          <w:rFonts w:ascii="Times New Roman" w:hAnsi="Times New Roman" w:eastAsia="Times New Roman" w:cs="Times New Roman"/>
          <w:b/>
          <w:bCs/>
          <w:spacing w:val="1"/>
          <w:sz w:val="24"/>
          <w:szCs w:val="24"/>
        </w:rPr>
        <w:t xml:space="preserve">8.1 </w:t>
      </w:r>
      <w:r>
        <w:rPr>
          <w:rFonts w:ascii="黑体" w:hAnsi="黑体" w:eastAsia="黑体" w:cs="黑体"/>
          <w:b/>
          <w:bCs/>
          <w:spacing w:val="1"/>
          <w:sz w:val="24"/>
          <w:szCs w:val="24"/>
        </w:rPr>
        <w:t>发包人供应材料与工程设备</w:t>
      </w:r>
    </w:p>
    <w:p w14:paraId="1C6DD06B">
      <w:pPr>
        <w:spacing w:before="129" w:line="352" w:lineRule="auto"/>
        <w:ind w:left="22" w:right="85" w:firstLine="425"/>
        <w:jc w:val="both"/>
        <w:rPr>
          <w:rFonts w:ascii="宋体" w:hAnsi="宋体" w:eastAsia="宋体" w:cs="宋体"/>
          <w:sz w:val="21"/>
          <w:szCs w:val="21"/>
        </w:rPr>
      </w:pPr>
      <w:r>
        <w:rPr>
          <w:rFonts w:ascii="宋体" w:hAnsi="宋体" w:eastAsia="宋体" w:cs="宋体"/>
          <w:spacing w:val="-5"/>
          <w:sz w:val="21"/>
          <w:szCs w:val="21"/>
        </w:rPr>
        <w:t>发包人自行供应材料、工程设备的， 应在签订合同时在专用合同条款的附件《发</w:t>
      </w:r>
      <w:r>
        <w:rPr>
          <w:rFonts w:ascii="宋体" w:hAnsi="宋体" w:eastAsia="宋体" w:cs="宋体"/>
          <w:spacing w:val="-6"/>
          <w:sz w:val="21"/>
          <w:szCs w:val="21"/>
        </w:rPr>
        <w:t>包人供</w:t>
      </w:r>
      <w:r>
        <w:rPr>
          <w:rFonts w:ascii="宋体" w:hAnsi="宋体" w:eastAsia="宋体" w:cs="宋体"/>
          <w:spacing w:val="-2"/>
          <w:sz w:val="21"/>
          <w:szCs w:val="21"/>
        </w:rPr>
        <w:t>应材料设备一览表》中明确材料、工程设备的品种、规格、型</w:t>
      </w:r>
      <w:r>
        <w:rPr>
          <w:rFonts w:ascii="宋体" w:hAnsi="宋体" w:eastAsia="宋体" w:cs="宋体"/>
          <w:spacing w:val="-3"/>
          <w:sz w:val="21"/>
          <w:szCs w:val="21"/>
        </w:rPr>
        <w:t>号、数量、单价、质量等级和</w:t>
      </w:r>
      <w:r>
        <w:rPr>
          <w:rFonts w:ascii="宋体" w:hAnsi="宋体" w:eastAsia="宋体" w:cs="宋体"/>
          <w:spacing w:val="-6"/>
          <w:sz w:val="21"/>
          <w:szCs w:val="21"/>
        </w:rPr>
        <w:t>送达地点。</w:t>
      </w:r>
    </w:p>
    <w:p w14:paraId="02BB3296">
      <w:pPr>
        <w:spacing w:line="344" w:lineRule="auto"/>
        <w:ind w:left="25" w:right="65" w:firstLine="418"/>
        <w:jc w:val="both"/>
        <w:rPr>
          <w:rFonts w:ascii="宋体" w:hAnsi="宋体" w:eastAsia="宋体" w:cs="宋体"/>
          <w:sz w:val="21"/>
          <w:szCs w:val="21"/>
        </w:rPr>
      </w:pPr>
      <w:r>
        <w:rPr>
          <w:rFonts w:ascii="宋体" w:hAnsi="宋体" w:eastAsia="宋体" w:cs="宋体"/>
          <w:sz w:val="21"/>
          <w:szCs w:val="21"/>
        </w:rPr>
        <w:t>承包人应提前</w:t>
      </w:r>
      <w:r>
        <w:rPr>
          <w:rFonts w:ascii="宋体" w:hAnsi="宋体" w:eastAsia="宋体" w:cs="宋体"/>
          <w:spacing w:val="-37"/>
          <w:sz w:val="21"/>
          <w:szCs w:val="21"/>
        </w:rPr>
        <w:t xml:space="preserve"> </w:t>
      </w:r>
      <w:r>
        <w:rPr>
          <w:rFonts w:ascii="Times New Roman" w:hAnsi="Times New Roman" w:eastAsia="Times New Roman" w:cs="Times New Roman"/>
          <w:sz w:val="21"/>
          <w:szCs w:val="21"/>
        </w:rPr>
        <w:t>30</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天通过监理人以书面形式通知发包人</w:t>
      </w:r>
      <w:r>
        <w:rPr>
          <w:rFonts w:ascii="宋体" w:hAnsi="宋体" w:eastAsia="宋体" w:cs="宋体"/>
          <w:spacing w:val="-1"/>
          <w:sz w:val="21"/>
          <w:szCs w:val="21"/>
        </w:rPr>
        <w:t>供应材料与工程设备进场。承包</w:t>
      </w:r>
      <w:r>
        <w:rPr>
          <w:rFonts w:ascii="宋体" w:hAnsi="宋体" w:eastAsia="宋体" w:cs="宋体"/>
          <w:sz w:val="21"/>
          <w:szCs w:val="21"/>
        </w:rPr>
        <w:t>人按照第</w:t>
      </w:r>
      <w:r>
        <w:rPr>
          <w:rFonts w:ascii="宋体" w:hAnsi="宋体" w:eastAsia="宋体" w:cs="宋体"/>
          <w:spacing w:val="-38"/>
          <w:sz w:val="21"/>
          <w:szCs w:val="21"/>
        </w:rPr>
        <w:t xml:space="preserve"> </w:t>
      </w:r>
      <w:r>
        <w:rPr>
          <w:rFonts w:ascii="Times New Roman" w:hAnsi="Times New Roman" w:eastAsia="Times New Roman" w:cs="Times New Roman"/>
          <w:sz w:val="21"/>
          <w:szCs w:val="21"/>
        </w:rPr>
        <w:t>7.2.2</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项〔施工进度计划的修订〕约定修订施工进度计划时，需同时提交经修订后</w:t>
      </w:r>
      <w:r>
        <w:rPr>
          <w:rFonts w:ascii="宋体" w:hAnsi="宋体" w:eastAsia="宋体" w:cs="宋体"/>
          <w:spacing w:val="-2"/>
          <w:sz w:val="21"/>
          <w:szCs w:val="21"/>
        </w:rPr>
        <w:t>的发包人供应材料与工程设备的进场计划。</w:t>
      </w:r>
    </w:p>
    <w:p w14:paraId="18D9A1F3">
      <w:pPr>
        <w:spacing w:before="1" w:line="233" w:lineRule="auto"/>
        <w:ind w:left="24"/>
        <w:outlineLvl w:val="1"/>
        <w:rPr>
          <w:rFonts w:ascii="黑体" w:hAnsi="黑体" w:eastAsia="黑体" w:cs="黑体"/>
          <w:sz w:val="24"/>
          <w:szCs w:val="24"/>
        </w:rPr>
      </w:pPr>
      <w:bookmarkStart w:id="408" w:name="bookmark354"/>
      <w:bookmarkEnd w:id="408"/>
      <w:r>
        <w:rPr>
          <w:rFonts w:ascii="Times New Roman" w:hAnsi="Times New Roman" w:eastAsia="Times New Roman" w:cs="Times New Roman"/>
          <w:b/>
          <w:bCs/>
          <w:spacing w:val="1"/>
          <w:sz w:val="24"/>
          <w:szCs w:val="24"/>
        </w:rPr>
        <w:t xml:space="preserve">8.2 </w:t>
      </w:r>
      <w:r>
        <w:rPr>
          <w:rFonts w:ascii="黑体" w:hAnsi="黑体" w:eastAsia="黑体" w:cs="黑体"/>
          <w:b/>
          <w:bCs/>
          <w:spacing w:val="1"/>
          <w:sz w:val="24"/>
          <w:szCs w:val="24"/>
        </w:rPr>
        <w:t>承包人采购材料与工程设备</w:t>
      </w:r>
    </w:p>
    <w:p w14:paraId="2124192A">
      <w:pPr>
        <w:spacing w:before="129" w:line="219" w:lineRule="auto"/>
        <w:ind w:left="444"/>
        <w:rPr>
          <w:rFonts w:ascii="宋体" w:hAnsi="宋体" w:eastAsia="宋体" w:cs="宋体"/>
          <w:sz w:val="21"/>
          <w:szCs w:val="21"/>
        </w:rPr>
      </w:pPr>
      <w:r>
        <w:rPr>
          <w:rFonts w:ascii="宋体" w:hAnsi="宋体" w:eastAsia="宋体" w:cs="宋体"/>
          <w:spacing w:val="-5"/>
          <w:sz w:val="21"/>
          <w:szCs w:val="21"/>
        </w:rPr>
        <w:t>承包人负责采购材料、工程设备的， 应按照设计和有关标准要求采购，并提供产品合格</w:t>
      </w:r>
    </w:p>
    <w:p w14:paraId="4D59C299">
      <w:pPr>
        <w:spacing w:line="219" w:lineRule="auto"/>
        <w:rPr>
          <w:rFonts w:ascii="宋体" w:hAnsi="宋体" w:eastAsia="宋体" w:cs="宋体"/>
          <w:sz w:val="21"/>
          <w:szCs w:val="21"/>
        </w:rPr>
        <w:sectPr>
          <w:footerReference r:id="rId174" w:type="default"/>
          <w:pgSz w:w="11910" w:h="16845"/>
          <w:pgMar w:top="400" w:right="1701" w:bottom="1110" w:left="1786" w:header="0" w:footer="883" w:gutter="0"/>
          <w:cols w:space="720" w:num="1"/>
        </w:sectPr>
      </w:pPr>
    </w:p>
    <w:p w14:paraId="3083CCC1">
      <w:pPr>
        <w:pStyle w:val="2"/>
        <w:spacing w:line="275" w:lineRule="auto"/>
      </w:pPr>
    </w:p>
    <w:p w14:paraId="203E2BED">
      <w:pPr>
        <w:pStyle w:val="2"/>
        <w:spacing w:line="275" w:lineRule="auto"/>
      </w:pPr>
    </w:p>
    <w:p w14:paraId="5C80A16C">
      <w:pPr>
        <w:pStyle w:val="2"/>
        <w:spacing w:line="276" w:lineRule="auto"/>
      </w:pPr>
    </w:p>
    <w:p w14:paraId="1A117D4F">
      <w:pPr>
        <w:pStyle w:val="2"/>
        <w:spacing w:line="276" w:lineRule="auto"/>
      </w:pPr>
    </w:p>
    <w:p w14:paraId="21C223C6">
      <w:pPr>
        <w:spacing w:before="68" w:line="344" w:lineRule="auto"/>
        <w:ind w:left="24"/>
        <w:jc w:val="both"/>
        <w:rPr>
          <w:rFonts w:ascii="宋体" w:hAnsi="宋体" w:eastAsia="宋体" w:cs="宋体"/>
          <w:sz w:val="21"/>
          <w:szCs w:val="21"/>
        </w:rPr>
      </w:pPr>
      <w:r>
        <w:rPr>
          <w:rFonts w:ascii="宋体" w:hAnsi="宋体" w:eastAsia="宋体" w:cs="宋体"/>
          <w:spacing w:val="-1"/>
          <w:sz w:val="21"/>
          <w:szCs w:val="21"/>
        </w:rPr>
        <w:t>证明及出厂证明，对材料、工程设备质量负责。合同约定由承包人采购的材料、工程设备，</w:t>
      </w:r>
      <w:r>
        <w:rPr>
          <w:rFonts w:ascii="宋体" w:hAnsi="宋体" w:eastAsia="宋体" w:cs="宋体"/>
          <w:spacing w:val="-2"/>
          <w:sz w:val="21"/>
          <w:szCs w:val="21"/>
        </w:rPr>
        <w:t>发包人不得指定生产厂家或供应商，发包人违反本款约定指定生产厂家或供应商的，承</w:t>
      </w:r>
      <w:r>
        <w:rPr>
          <w:rFonts w:ascii="宋体" w:hAnsi="宋体" w:eastAsia="宋体" w:cs="宋体"/>
          <w:spacing w:val="-3"/>
          <w:sz w:val="21"/>
          <w:szCs w:val="21"/>
        </w:rPr>
        <w:t>包人</w:t>
      </w:r>
      <w:r>
        <w:rPr>
          <w:rFonts w:ascii="宋体" w:hAnsi="宋体" w:eastAsia="宋体" w:cs="宋体"/>
          <w:spacing w:val="-1"/>
          <w:sz w:val="21"/>
          <w:szCs w:val="21"/>
        </w:rPr>
        <w:t>有权拒绝，并由发包人承担相应责任。</w:t>
      </w:r>
    </w:p>
    <w:p w14:paraId="64DDB4BA">
      <w:pPr>
        <w:spacing w:line="232" w:lineRule="auto"/>
        <w:ind w:left="24"/>
        <w:outlineLvl w:val="1"/>
        <w:rPr>
          <w:rFonts w:ascii="黑体" w:hAnsi="黑体" w:eastAsia="黑体" w:cs="黑体"/>
          <w:sz w:val="24"/>
          <w:szCs w:val="24"/>
        </w:rPr>
      </w:pPr>
      <w:bookmarkStart w:id="409" w:name="bookmark355"/>
      <w:bookmarkEnd w:id="409"/>
      <w:r>
        <w:rPr>
          <w:rFonts w:ascii="Times New Roman" w:hAnsi="Times New Roman" w:eastAsia="Times New Roman" w:cs="Times New Roman"/>
          <w:b/>
          <w:bCs/>
          <w:spacing w:val="1"/>
          <w:sz w:val="24"/>
          <w:szCs w:val="24"/>
        </w:rPr>
        <w:t xml:space="preserve">8.3 </w:t>
      </w:r>
      <w:r>
        <w:rPr>
          <w:rFonts w:ascii="黑体" w:hAnsi="黑体" w:eastAsia="黑体" w:cs="黑体"/>
          <w:b/>
          <w:bCs/>
          <w:spacing w:val="1"/>
          <w:sz w:val="24"/>
          <w:szCs w:val="24"/>
        </w:rPr>
        <w:t>材料与工程设备的接收与拒收</w:t>
      </w:r>
    </w:p>
    <w:p w14:paraId="27DC9B1D">
      <w:pPr>
        <w:spacing w:before="127" w:line="350" w:lineRule="auto"/>
        <w:ind w:left="23" w:right="44" w:firstLine="425"/>
        <w:jc w:val="both"/>
        <w:rPr>
          <w:rFonts w:ascii="宋体" w:hAnsi="宋体" w:eastAsia="宋体" w:cs="宋体"/>
          <w:sz w:val="21"/>
          <w:szCs w:val="21"/>
        </w:rPr>
      </w:pPr>
      <w:r>
        <w:rPr>
          <w:rFonts w:ascii="Times New Roman" w:hAnsi="Times New Roman" w:eastAsia="Times New Roman" w:cs="Times New Roman"/>
          <w:sz w:val="21"/>
          <w:szCs w:val="21"/>
        </w:rPr>
        <w:t xml:space="preserve">8.3.1  </w:t>
      </w:r>
      <w:r>
        <w:rPr>
          <w:rFonts w:ascii="宋体" w:hAnsi="宋体" w:eastAsia="宋体" w:cs="宋体"/>
          <w:sz w:val="21"/>
          <w:szCs w:val="21"/>
        </w:rPr>
        <w:t>发包人应按《发包人供应材料设备一览表》约定的内容提供材料和工程设备，并向承包人提供产品合格证明及出厂证明，对其质量负责。发包人应提</w:t>
      </w:r>
      <w:r>
        <w:rPr>
          <w:rFonts w:ascii="宋体" w:hAnsi="宋体" w:eastAsia="宋体" w:cs="宋体"/>
          <w:spacing w:val="-1"/>
          <w:sz w:val="21"/>
          <w:szCs w:val="21"/>
        </w:rPr>
        <w:t>前</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1"/>
          <w:w w:val="101"/>
          <w:sz w:val="21"/>
          <w:szCs w:val="21"/>
        </w:rPr>
        <w:t xml:space="preserve"> </w:t>
      </w:r>
      <w:r>
        <w:rPr>
          <w:rFonts w:ascii="宋体" w:hAnsi="宋体" w:eastAsia="宋体" w:cs="宋体"/>
          <w:spacing w:val="-1"/>
          <w:sz w:val="21"/>
          <w:szCs w:val="21"/>
        </w:rPr>
        <w:t>小时以书面形式</w:t>
      </w:r>
      <w:r>
        <w:rPr>
          <w:rFonts w:ascii="宋体" w:hAnsi="宋体" w:eastAsia="宋体" w:cs="宋体"/>
          <w:spacing w:val="-2"/>
          <w:sz w:val="21"/>
          <w:szCs w:val="21"/>
        </w:rPr>
        <w:t>通知承包人、监理人材料和工程设备到货时间，承包人负责材料和工程设备的清点、</w:t>
      </w:r>
      <w:r>
        <w:rPr>
          <w:rFonts w:ascii="宋体" w:hAnsi="宋体" w:eastAsia="宋体" w:cs="宋体"/>
          <w:spacing w:val="-3"/>
          <w:sz w:val="21"/>
          <w:szCs w:val="21"/>
        </w:rPr>
        <w:t>检验和</w:t>
      </w:r>
      <w:r>
        <w:rPr>
          <w:rFonts w:ascii="宋体" w:hAnsi="宋体" w:eastAsia="宋体" w:cs="宋体"/>
          <w:spacing w:val="-9"/>
          <w:sz w:val="21"/>
          <w:szCs w:val="21"/>
        </w:rPr>
        <w:t>接收。</w:t>
      </w:r>
    </w:p>
    <w:p w14:paraId="5378B98F">
      <w:pPr>
        <w:spacing w:before="1" w:line="356" w:lineRule="auto"/>
        <w:ind w:left="29" w:right="44" w:firstLine="418"/>
        <w:rPr>
          <w:rFonts w:ascii="宋体" w:hAnsi="宋体" w:eastAsia="宋体" w:cs="宋体"/>
          <w:sz w:val="21"/>
          <w:szCs w:val="21"/>
        </w:rPr>
      </w:pPr>
      <w:r>
        <w:rPr>
          <w:rFonts w:ascii="宋体" w:hAnsi="宋体" w:eastAsia="宋体" w:cs="宋体"/>
          <w:spacing w:val="-4"/>
          <w:sz w:val="21"/>
          <w:szCs w:val="21"/>
        </w:rPr>
        <w:t>发包人提供的材料和工程设备的规格、数量或质量不符合合同约定的，</w:t>
      </w:r>
      <w:r>
        <w:rPr>
          <w:rFonts w:ascii="宋体" w:hAnsi="宋体" w:eastAsia="宋体" w:cs="宋体"/>
          <w:spacing w:val="-39"/>
          <w:sz w:val="21"/>
          <w:szCs w:val="21"/>
        </w:rPr>
        <w:t xml:space="preserve"> </w:t>
      </w:r>
      <w:r>
        <w:rPr>
          <w:rFonts w:ascii="宋体" w:hAnsi="宋体" w:eastAsia="宋体" w:cs="宋体"/>
          <w:spacing w:val="-4"/>
          <w:sz w:val="21"/>
          <w:szCs w:val="21"/>
        </w:rPr>
        <w:t>或因发包人原因</w:t>
      </w:r>
      <w:r>
        <w:rPr>
          <w:rFonts w:ascii="宋体" w:hAnsi="宋体" w:eastAsia="宋体" w:cs="宋体"/>
          <w:spacing w:val="-1"/>
          <w:sz w:val="21"/>
          <w:szCs w:val="21"/>
        </w:rPr>
        <w:t>导致交货日期延误或交货地点变更等情况的，按照第</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16.1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款〔发包人</w:t>
      </w:r>
      <w:r>
        <w:rPr>
          <w:rFonts w:ascii="宋体" w:hAnsi="宋体" w:eastAsia="宋体" w:cs="宋体"/>
          <w:spacing w:val="-2"/>
          <w:sz w:val="21"/>
          <w:szCs w:val="21"/>
        </w:rPr>
        <w:t>违约〕约定办理。</w:t>
      </w:r>
    </w:p>
    <w:p w14:paraId="4D2D35C9">
      <w:pPr>
        <w:spacing w:before="3" w:line="349" w:lineRule="auto"/>
        <w:ind w:left="26" w:right="44" w:firstLine="422"/>
        <w:jc w:val="both"/>
        <w:rPr>
          <w:rFonts w:ascii="宋体" w:hAnsi="宋体" w:eastAsia="宋体" w:cs="宋体"/>
          <w:sz w:val="21"/>
          <w:szCs w:val="21"/>
        </w:rPr>
      </w:pPr>
      <w:r>
        <w:rPr>
          <w:rFonts w:ascii="Times New Roman" w:hAnsi="Times New Roman" w:eastAsia="Times New Roman" w:cs="Times New Roman"/>
          <w:sz w:val="21"/>
          <w:szCs w:val="21"/>
        </w:rPr>
        <w:t xml:space="preserve">8.3.2  </w:t>
      </w:r>
      <w:r>
        <w:rPr>
          <w:rFonts w:ascii="宋体" w:hAnsi="宋体" w:eastAsia="宋体" w:cs="宋体"/>
          <w:sz w:val="21"/>
          <w:szCs w:val="21"/>
        </w:rPr>
        <w:t>承包人采购的材料和工程设备，应保证产品质量合格，承包人应在材料和工程设备到货前</w:t>
      </w:r>
      <w:r>
        <w:rPr>
          <w:rFonts w:ascii="宋体" w:hAnsi="宋体" w:eastAsia="宋体" w:cs="宋体"/>
          <w:spacing w:val="-41"/>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1"/>
          <w:w w:val="101"/>
          <w:sz w:val="21"/>
          <w:szCs w:val="21"/>
        </w:rPr>
        <w:t xml:space="preserve"> </w:t>
      </w:r>
      <w:r>
        <w:rPr>
          <w:rFonts w:ascii="宋体" w:hAnsi="宋体" w:eastAsia="宋体" w:cs="宋体"/>
          <w:sz w:val="21"/>
          <w:szCs w:val="21"/>
        </w:rPr>
        <w:t>小时通知监理人检验。承包人进行永久设备、材料</w:t>
      </w:r>
      <w:r>
        <w:rPr>
          <w:rFonts w:ascii="宋体" w:hAnsi="宋体" w:eastAsia="宋体" w:cs="宋体"/>
          <w:spacing w:val="-1"/>
          <w:sz w:val="21"/>
          <w:szCs w:val="21"/>
        </w:rPr>
        <w:t>的制造和生产的，应符合相</w:t>
      </w:r>
      <w:r>
        <w:rPr>
          <w:rFonts w:ascii="宋体" w:hAnsi="宋体" w:eastAsia="宋体" w:cs="宋体"/>
          <w:spacing w:val="-2"/>
          <w:sz w:val="21"/>
          <w:szCs w:val="21"/>
        </w:rPr>
        <w:t>关质量标准，并向监理人提交材料的样本以及有关资料，并应在使用该材料</w:t>
      </w:r>
      <w:r>
        <w:rPr>
          <w:rFonts w:ascii="宋体" w:hAnsi="宋体" w:eastAsia="宋体" w:cs="宋体"/>
          <w:spacing w:val="-3"/>
          <w:sz w:val="21"/>
          <w:szCs w:val="21"/>
        </w:rPr>
        <w:t>或工程设备之前</w:t>
      </w:r>
      <w:r>
        <w:rPr>
          <w:rFonts w:ascii="宋体" w:hAnsi="宋体" w:eastAsia="宋体" w:cs="宋体"/>
          <w:spacing w:val="-5"/>
          <w:sz w:val="21"/>
          <w:szCs w:val="21"/>
        </w:rPr>
        <w:t>获得监理人同意。</w:t>
      </w:r>
    </w:p>
    <w:p w14:paraId="27F9C086">
      <w:pPr>
        <w:spacing w:before="1" w:line="344" w:lineRule="auto"/>
        <w:ind w:left="25" w:right="44" w:firstLine="539"/>
        <w:jc w:val="both"/>
        <w:rPr>
          <w:rFonts w:ascii="宋体" w:hAnsi="宋体" w:eastAsia="宋体" w:cs="宋体"/>
          <w:sz w:val="21"/>
          <w:szCs w:val="21"/>
        </w:rPr>
      </w:pPr>
      <w:r>
        <w:rPr>
          <w:rFonts w:ascii="宋体" w:hAnsi="宋体" w:eastAsia="宋体" w:cs="宋体"/>
          <w:sz w:val="21"/>
          <w:szCs w:val="21"/>
        </w:rPr>
        <w:t>承包人采购的材料和工程设备不符合设计或有关标准要求时，承包人应在监理人要求</w:t>
      </w:r>
      <w:r>
        <w:rPr>
          <w:rFonts w:ascii="宋体" w:hAnsi="宋体" w:eastAsia="宋体" w:cs="宋体"/>
          <w:spacing w:val="-4"/>
          <w:sz w:val="21"/>
          <w:szCs w:val="21"/>
        </w:rPr>
        <w:t>的合理期限内将不符合设计或有关标准要求的材料、工程设备运出施工现场，</w:t>
      </w:r>
      <w:r>
        <w:rPr>
          <w:rFonts w:ascii="宋体" w:hAnsi="宋体" w:eastAsia="宋体" w:cs="宋体"/>
          <w:spacing w:val="-27"/>
          <w:sz w:val="21"/>
          <w:szCs w:val="21"/>
        </w:rPr>
        <w:t xml:space="preserve"> </w:t>
      </w:r>
      <w:r>
        <w:rPr>
          <w:rFonts w:ascii="宋体" w:hAnsi="宋体" w:eastAsia="宋体" w:cs="宋体"/>
          <w:spacing w:val="-4"/>
          <w:sz w:val="21"/>
          <w:szCs w:val="21"/>
        </w:rPr>
        <w:t>并重新采购符</w:t>
      </w:r>
      <w:r>
        <w:rPr>
          <w:rFonts w:ascii="宋体" w:hAnsi="宋体" w:eastAsia="宋体" w:cs="宋体"/>
          <w:spacing w:val="-1"/>
          <w:sz w:val="21"/>
          <w:szCs w:val="21"/>
        </w:rPr>
        <w:t>合要求的材料、工程设备，由此增加的费用和（或）延误的工期，由承包人承担。</w:t>
      </w:r>
    </w:p>
    <w:p w14:paraId="4460AD17">
      <w:pPr>
        <w:spacing w:before="1" w:line="232" w:lineRule="auto"/>
        <w:ind w:left="24"/>
        <w:outlineLvl w:val="1"/>
        <w:rPr>
          <w:rFonts w:ascii="黑体" w:hAnsi="黑体" w:eastAsia="黑体" w:cs="黑体"/>
          <w:sz w:val="24"/>
          <w:szCs w:val="24"/>
        </w:rPr>
      </w:pPr>
      <w:bookmarkStart w:id="410" w:name="bookmark356"/>
      <w:bookmarkEnd w:id="410"/>
      <w:r>
        <w:rPr>
          <w:rFonts w:ascii="Times New Roman" w:hAnsi="Times New Roman" w:eastAsia="Times New Roman" w:cs="Times New Roman"/>
          <w:b/>
          <w:bCs/>
          <w:spacing w:val="1"/>
          <w:sz w:val="24"/>
          <w:szCs w:val="24"/>
        </w:rPr>
        <w:t xml:space="preserve">8.4 </w:t>
      </w:r>
      <w:r>
        <w:rPr>
          <w:rFonts w:ascii="黑体" w:hAnsi="黑体" w:eastAsia="黑体" w:cs="黑体"/>
          <w:b/>
          <w:bCs/>
          <w:spacing w:val="1"/>
          <w:sz w:val="24"/>
          <w:szCs w:val="24"/>
        </w:rPr>
        <w:t>材料与工程设备的保管与使用</w:t>
      </w:r>
    </w:p>
    <w:p w14:paraId="65EB95D5">
      <w:pPr>
        <w:spacing w:before="129" w:line="233" w:lineRule="auto"/>
        <w:ind w:left="449"/>
        <w:rPr>
          <w:rFonts w:ascii="宋体" w:hAnsi="宋体" w:eastAsia="宋体" w:cs="宋体"/>
          <w:sz w:val="21"/>
          <w:szCs w:val="21"/>
        </w:rPr>
      </w:pPr>
      <w:r>
        <w:rPr>
          <w:rFonts w:ascii="Times New Roman" w:hAnsi="Times New Roman" w:eastAsia="Times New Roman" w:cs="Times New Roman"/>
          <w:sz w:val="21"/>
          <w:szCs w:val="21"/>
        </w:rPr>
        <w:t>8.4.1</w:t>
      </w:r>
      <w:r>
        <w:rPr>
          <w:rFonts w:ascii="Times New Roman" w:hAnsi="Times New Roman" w:eastAsia="Times New Roman" w:cs="Times New Roman"/>
          <w:spacing w:val="49"/>
          <w:w w:val="101"/>
          <w:sz w:val="21"/>
          <w:szCs w:val="21"/>
        </w:rPr>
        <w:t xml:space="preserve"> </w:t>
      </w:r>
      <w:r>
        <w:rPr>
          <w:rFonts w:ascii="宋体" w:hAnsi="宋体" w:eastAsia="宋体" w:cs="宋体"/>
          <w:sz w:val="21"/>
          <w:szCs w:val="21"/>
        </w:rPr>
        <w:t>发包人供应材料与工程设备的保管与</w:t>
      </w:r>
      <w:r>
        <w:rPr>
          <w:rFonts w:ascii="宋体" w:hAnsi="宋体" w:eastAsia="宋体" w:cs="宋体"/>
          <w:spacing w:val="-1"/>
          <w:sz w:val="21"/>
          <w:szCs w:val="21"/>
        </w:rPr>
        <w:t>使用</w:t>
      </w:r>
    </w:p>
    <w:p w14:paraId="05B59C0B">
      <w:pPr>
        <w:spacing w:before="139" w:line="350" w:lineRule="auto"/>
        <w:ind w:left="25" w:right="44" w:firstLine="423"/>
        <w:rPr>
          <w:rFonts w:ascii="宋体" w:hAnsi="宋体" w:eastAsia="宋体" w:cs="宋体"/>
          <w:sz w:val="21"/>
          <w:szCs w:val="21"/>
        </w:rPr>
      </w:pPr>
      <w:r>
        <w:rPr>
          <w:rFonts w:ascii="宋体" w:hAnsi="宋体" w:eastAsia="宋体" w:cs="宋体"/>
          <w:spacing w:val="-2"/>
          <w:sz w:val="21"/>
          <w:szCs w:val="21"/>
        </w:rPr>
        <w:t>发包人供应的材料和工程设备，承包人清点后由承包人妥善保管</w:t>
      </w:r>
      <w:r>
        <w:rPr>
          <w:rFonts w:ascii="宋体" w:hAnsi="宋体" w:eastAsia="宋体" w:cs="宋体"/>
          <w:spacing w:val="-3"/>
          <w:sz w:val="21"/>
          <w:szCs w:val="21"/>
        </w:rPr>
        <w:t>，保管费用由发包人承</w:t>
      </w:r>
      <w:r>
        <w:rPr>
          <w:rFonts w:ascii="宋体" w:hAnsi="宋体" w:eastAsia="宋体" w:cs="宋体"/>
          <w:spacing w:val="-2"/>
          <w:sz w:val="21"/>
          <w:szCs w:val="21"/>
        </w:rPr>
        <w:t>担，但已标价工程量清单或预算书已经列支或专用合同条款另有约定除外。因承</w:t>
      </w:r>
      <w:r>
        <w:rPr>
          <w:rFonts w:ascii="宋体" w:hAnsi="宋体" w:eastAsia="宋体" w:cs="宋体"/>
          <w:spacing w:val="-3"/>
          <w:sz w:val="21"/>
          <w:szCs w:val="21"/>
        </w:rPr>
        <w:t>包人原因发</w:t>
      </w:r>
      <w:r>
        <w:rPr>
          <w:rFonts w:ascii="宋体" w:hAnsi="宋体" w:eastAsia="宋体" w:cs="宋体"/>
          <w:spacing w:val="-2"/>
          <w:sz w:val="21"/>
          <w:szCs w:val="21"/>
        </w:rPr>
        <w:t>生丢失毁损的，由承包人负责赔偿；监理人未通知承包人清点的，承包人</w:t>
      </w:r>
      <w:r>
        <w:rPr>
          <w:rFonts w:ascii="宋体" w:hAnsi="宋体" w:eastAsia="宋体" w:cs="宋体"/>
          <w:spacing w:val="-3"/>
          <w:sz w:val="21"/>
          <w:szCs w:val="21"/>
        </w:rPr>
        <w:t>不负责材料和工程</w:t>
      </w:r>
      <w:r>
        <w:rPr>
          <w:rFonts w:ascii="宋体" w:hAnsi="宋体" w:eastAsia="宋体" w:cs="宋体"/>
          <w:spacing w:val="-2"/>
          <w:sz w:val="21"/>
          <w:szCs w:val="21"/>
        </w:rPr>
        <w:t>设备的保管，由此导致丢失毁损的由发包人负责。</w:t>
      </w:r>
    </w:p>
    <w:p w14:paraId="1A1C5B17">
      <w:pPr>
        <w:spacing w:before="1" w:line="356" w:lineRule="auto"/>
        <w:ind w:left="25" w:right="45" w:firstLine="423"/>
        <w:rPr>
          <w:rFonts w:ascii="宋体" w:hAnsi="宋体" w:eastAsia="宋体" w:cs="宋体"/>
          <w:sz w:val="21"/>
          <w:szCs w:val="21"/>
        </w:rPr>
      </w:pPr>
      <w:r>
        <w:rPr>
          <w:rFonts w:ascii="宋体" w:hAnsi="宋体" w:eastAsia="宋体" w:cs="宋体"/>
          <w:spacing w:val="-2"/>
          <w:sz w:val="21"/>
          <w:szCs w:val="21"/>
        </w:rPr>
        <w:t>发包人供应的材料和工程设备使用前，由承包人负责检验，检验</w:t>
      </w:r>
      <w:r>
        <w:rPr>
          <w:rFonts w:ascii="宋体" w:hAnsi="宋体" w:eastAsia="宋体" w:cs="宋体"/>
          <w:spacing w:val="-3"/>
          <w:sz w:val="21"/>
          <w:szCs w:val="21"/>
        </w:rPr>
        <w:t>费用由发包人承担，不</w:t>
      </w:r>
      <w:r>
        <w:rPr>
          <w:rFonts w:ascii="宋体" w:hAnsi="宋体" w:eastAsia="宋体" w:cs="宋体"/>
          <w:spacing w:val="-4"/>
          <w:sz w:val="21"/>
          <w:szCs w:val="21"/>
        </w:rPr>
        <w:t>合格的不得使用。</w:t>
      </w:r>
    </w:p>
    <w:p w14:paraId="3BE432C5">
      <w:pPr>
        <w:spacing w:before="1" w:line="232" w:lineRule="auto"/>
        <w:ind w:left="449"/>
        <w:rPr>
          <w:rFonts w:ascii="宋体" w:hAnsi="宋体" w:eastAsia="宋体" w:cs="宋体"/>
          <w:sz w:val="21"/>
          <w:szCs w:val="21"/>
        </w:rPr>
      </w:pPr>
      <w:r>
        <w:rPr>
          <w:rFonts w:ascii="Times New Roman" w:hAnsi="Times New Roman" w:eastAsia="Times New Roman" w:cs="Times New Roman"/>
          <w:sz w:val="21"/>
          <w:szCs w:val="21"/>
        </w:rPr>
        <w:t>8.4.2</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承包人采购材料与工程设备的保管与使用</w:t>
      </w:r>
    </w:p>
    <w:p w14:paraId="0A162E27">
      <w:pPr>
        <w:spacing w:before="125" w:line="352" w:lineRule="auto"/>
        <w:ind w:left="23" w:right="44" w:firstLine="421"/>
        <w:rPr>
          <w:rFonts w:ascii="宋体" w:hAnsi="宋体" w:eastAsia="宋体" w:cs="宋体"/>
          <w:sz w:val="21"/>
          <w:szCs w:val="21"/>
        </w:rPr>
      </w:pPr>
      <w:r>
        <w:rPr>
          <w:rFonts w:ascii="宋体" w:hAnsi="宋体" w:eastAsia="宋体" w:cs="宋体"/>
          <w:spacing w:val="-2"/>
          <w:sz w:val="21"/>
          <w:szCs w:val="21"/>
        </w:rPr>
        <w:t>承包人采购的材料和工程设备由承包人妥善保管，保管费用由承包人承担</w:t>
      </w:r>
      <w:r>
        <w:rPr>
          <w:rFonts w:ascii="宋体" w:hAnsi="宋体" w:eastAsia="宋体" w:cs="宋体"/>
          <w:spacing w:val="-3"/>
          <w:sz w:val="21"/>
          <w:szCs w:val="21"/>
        </w:rPr>
        <w:t>。法律规定材</w:t>
      </w:r>
      <w:r>
        <w:rPr>
          <w:rFonts w:ascii="宋体" w:hAnsi="宋体" w:eastAsia="宋体" w:cs="宋体"/>
          <w:spacing w:val="-2"/>
          <w:sz w:val="21"/>
          <w:szCs w:val="21"/>
        </w:rPr>
        <w:t>料和工程设备使用前必须进行检验或试验的，承包人应按监理人的要求进行检验或试验，检验或试验费用由承包人承担，不合格的不得使用。</w:t>
      </w:r>
    </w:p>
    <w:p w14:paraId="0F57B16C">
      <w:pPr>
        <w:spacing w:before="2" w:line="344" w:lineRule="auto"/>
        <w:ind w:left="25" w:right="31" w:firstLine="423"/>
        <w:jc w:val="both"/>
        <w:rPr>
          <w:rFonts w:ascii="宋体" w:hAnsi="宋体" w:eastAsia="宋体" w:cs="宋体"/>
          <w:sz w:val="21"/>
          <w:szCs w:val="21"/>
        </w:rPr>
      </w:pPr>
      <w:r>
        <w:rPr>
          <w:rFonts w:ascii="宋体" w:hAnsi="宋体" w:eastAsia="宋体" w:cs="宋体"/>
          <w:spacing w:val="-2"/>
          <w:sz w:val="21"/>
          <w:szCs w:val="21"/>
        </w:rPr>
        <w:t>发包人或监理人发现承包人使用不符合设计或有关标准要求的材料</w:t>
      </w:r>
      <w:r>
        <w:rPr>
          <w:rFonts w:ascii="宋体" w:hAnsi="宋体" w:eastAsia="宋体" w:cs="宋体"/>
          <w:spacing w:val="-3"/>
          <w:sz w:val="21"/>
          <w:szCs w:val="21"/>
        </w:rPr>
        <w:t>和工程设备时，有权</w:t>
      </w:r>
      <w:r>
        <w:rPr>
          <w:rFonts w:ascii="宋体" w:hAnsi="宋体" w:eastAsia="宋体" w:cs="宋体"/>
          <w:spacing w:val="-2"/>
          <w:sz w:val="21"/>
          <w:szCs w:val="21"/>
        </w:rPr>
        <w:t>要求承包人进行修复、拆除或重新采购，由此增加的费用和（或）延误的工期，由承包人承</w:t>
      </w:r>
      <w:r>
        <w:rPr>
          <w:rFonts w:ascii="宋体" w:hAnsi="宋体" w:eastAsia="宋体" w:cs="宋体"/>
          <w:spacing w:val="-10"/>
          <w:sz w:val="21"/>
          <w:szCs w:val="21"/>
        </w:rPr>
        <w:t>担。</w:t>
      </w:r>
    </w:p>
    <w:p w14:paraId="11FE82F3">
      <w:pPr>
        <w:spacing w:before="1" w:line="232" w:lineRule="auto"/>
        <w:ind w:left="24"/>
        <w:outlineLvl w:val="1"/>
        <w:rPr>
          <w:rFonts w:ascii="黑体" w:hAnsi="黑体" w:eastAsia="黑体" w:cs="黑体"/>
          <w:sz w:val="24"/>
          <w:szCs w:val="24"/>
        </w:rPr>
      </w:pPr>
      <w:bookmarkStart w:id="411" w:name="bookmark357"/>
      <w:bookmarkEnd w:id="411"/>
      <w:r>
        <w:rPr>
          <w:rFonts w:ascii="Times New Roman" w:hAnsi="Times New Roman" w:eastAsia="Times New Roman" w:cs="Times New Roman"/>
          <w:b/>
          <w:bCs/>
          <w:spacing w:val="1"/>
          <w:sz w:val="24"/>
          <w:szCs w:val="24"/>
        </w:rPr>
        <w:t xml:space="preserve">8.5 </w:t>
      </w:r>
      <w:r>
        <w:rPr>
          <w:rFonts w:ascii="黑体" w:hAnsi="黑体" w:eastAsia="黑体" w:cs="黑体"/>
          <w:b/>
          <w:bCs/>
          <w:spacing w:val="1"/>
          <w:sz w:val="24"/>
          <w:szCs w:val="24"/>
        </w:rPr>
        <w:t>禁止使用不合格的材料和工程设备</w:t>
      </w:r>
    </w:p>
    <w:p w14:paraId="6039A625">
      <w:pPr>
        <w:spacing w:before="128" w:line="233" w:lineRule="auto"/>
        <w:ind w:left="449"/>
        <w:rPr>
          <w:rFonts w:ascii="宋体" w:hAnsi="宋体" w:eastAsia="宋体" w:cs="宋体"/>
          <w:sz w:val="21"/>
          <w:szCs w:val="21"/>
        </w:rPr>
      </w:pPr>
      <w:r>
        <w:rPr>
          <w:rFonts w:ascii="Times New Roman" w:hAnsi="Times New Roman" w:eastAsia="Times New Roman" w:cs="Times New Roman"/>
          <w:sz w:val="21"/>
          <w:szCs w:val="21"/>
        </w:rPr>
        <w:t xml:space="preserve">8.5.1  </w:t>
      </w:r>
      <w:r>
        <w:rPr>
          <w:rFonts w:ascii="宋体" w:hAnsi="宋体" w:eastAsia="宋体" w:cs="宋体"/>
          <w:sz w:val="21"/>
          <w:szCs w:val="21"/>
        </w:rPr>
        <w:t>监理人有权拒绝承包人提供的不合格材料或工程设备，并要求承包人立即进行更</w:t>
      </w:r>
    </w:p>
    <w:p w14:paraId="4E56DAC9">
      <w:pPr>
        <w:spacing w:line="233" w:lineRule="auto"/>
        <w:rPr>
          <w:rFonts w:ascii="宋体" w:hAnsi="宋体" w:eastAsia="宋体" w:cs="宋体"/>
          <w:sz w:val="21"/>
          <w:szCs w:val="21"/>
        </w:rPr>
        <w:sectPr>
          <w:footerReference r:id="rId175" w:type="default"/>
          <w:pgSz w:w="11910" w:h="16845"/>
          <w:pgMar w:top="400" w:right="1734" w:bottom="1110" w:left="1786" w:header="0" w:footer="883" w:gutter="0"/>
          <w:cols w:space="720" w:num="1"/>
        </w:sectPr>
      </w:pPr>
    </w:p>
    <w:p w14:paraId="4726C8DC">
      <w:pPr>
        <w:pStyle w:val="2"/>
        <w:spacing w:line="275" w:lineRule="auto"/>
      </w:pPr>
    </w:p>
    <w:p w14:paraId="77CCCF0C">
      <w:pPr>
        <w:pStyle w:val="2"/>
        <w:spacing w:line="275" w:lineRule="auto"/>
      </w:pPr>
    </w:p>
    <w:p w14:paraId="60219A33">
      <w:pPr>
        <w:pStyle w:val="2"/>
        <w:spacing w:line="275" w:lineRule="auto"/>
      </w:pPr>
    </w:p>
    <w:p w14:paraId="3BE5B46E">
      <w:pPr>
        <w:pStyle w:val="2"/>
        <w:spacing w:line="275" w:lineRule="auto"/>
      </w:pPr>
    </w:p>
    <w:p w14:paraId="7A474A79">
      <w:pPr>
        <w:spacing w:before="68" w:line="350" w:lineRule="auto"/>
        <w:ind w:left="24" w:right="38" w:firstLine="1"/>
        <w:rPr>
          <w:rFonts w:ascii="宋体" w:hAnsi="宋体" w:eastAsia="宋体" w:cs="宋体"/>
          <w:sz w:val="21"/>
          <w:szCs w:val="21"/>
        </w:rPr>
      </w:pPr>
      <w:r>
        <w:rPr>
          <w:rFonts w:ascii="宋体" w:hAnsi="宋体" w:eastAsia="宋体" w:cs="宋体"/>
          <w:spacing w:val="-2"/>
          <w:sz w:val="21"/>
          <w:szCs w:val="21"/>
        </w:rPr>
        <w:t>换。监理人应在更换后再次进行检查和检验，由此增加的费用和（或）延误的工期由承包人</w:t>
      </w:r>
      <w:r>
        <w:rPr>
          <w:rFonts w:ascii="宋体" w:hAnsi="宋体" w:eastAsia="宋体" w:cs="宋体"/>
          <w:spacing w:val="-9"/>
          <w:sz w:val="21"/>
          <w:szCs w:val="21"/>
        </w:rPr>
        <w:t>承担。</w:t>
      </w:r>
    </w:p>
    <w:p w14:paraId="02DBB9BE">
      <w:pPr>
        <w:spacing w:before="1" w:line="347" w:lineRule="auto"/>
        <w:ind w:left="24" w:right="51" w:firstLine="425"/>
        <w:rPr>
          <w:rFonts w:ascii="宋体" w:hAnsi="宋体" w:eastAsia="宋体" w:cs="宋体"/>
          <w:sz w:val="21"/>
          <w:szCs w:val="21"/>
        </w:rPr>
      </w:pPr>
      <w:r>
        <w:rPr>
          <w:rFonts w:ascii="Times New Roman" w:hAnsi="Times New Roman" w:eastAsia="Times New Roman" w:cs="Times New Roman"/>
          <w:sz w:val="21"/>
          <w:szCs w:val="21"/>
        </w:rPr>
        <w:t xml:space="preserve">8.5.2  </w:t>
      </w:r>
      <w:r>
        <w:rPr>
          <w:rFonts w:ascii="宋体" w:hAnsi="宋体" w:eastAsia="宋体" w:cs="宋体"/>
          <w:sz w:val="21"/>
          <w:szCs w:val="21"/>
        </w:rPr>
        <w:t>监理人发现承包人使用了不合格的材料和工程设备，承包人应按照监理人的指示</w:t>
      </w:r>
      <w:r>
        <w:rPr>
          <w:rFonts w:ascii="宋体" w:hAnsi="宋体" w:eastAsia="宋体" w:cs="宋体"/>
          <w:spacing w:val="-1"/>
          <w:sz w:val="21"/>
          <w:szCs w:val="21"/>
        </w:rPr>
        <w:t>立即改正，并禁止在工程中继续使用不合格的材料和工程设备。</w:t>
      </w:r>
    </w:p>
    <w:p w14:paraId="5C002301">
      <w:pPr>
        <w:spacing w:before="18" w:line="336" w:lineRule="auto"/>
        <w:ind w:left="24" w:firstLine="425"/>
        <w:rPr>
          <w:rFonts w:ascii="宋体" w:hAnsi="宋体" w:eastAsia="宋体" w:cs="宋体"/>
          <w:sz w:val="21"/>
          <w:szCs w:val="21"/>
        </w:rPr>
      </w:pPr>
      <w:r>
        <w:rPr>
          <w:rFonts w:ascii="Times New Roman" w:hAnsi="Times New Roman" w:eastAsia="Times New Roman" w:cs="Times New Roman"/>
          <w:sz w:val="21"/>
          <w:szCs w:val="21"/>
        </w:rPr>
        <w:t xml:space="preserve">8.5.3  </w:t>
      </w:r>
      <w:r>
        <w:rPr>
          <w:rFonts w:ascii="宋体" w:hAnsi="宋体" w:eastAsia="宋体" w:cs="宋体"/>
          <w:sz w:val="21"/>
          <w:szCs w:val="21"/>
        </w:rPr>
        <w:t>发包人提供的材料或工程设备不符合合同要求的，承包人有权拒绝，并可要求发</w:t>
      </w:r>
      <w:r>
        <w:rPr>
          <w:rFonts w:ascii="宋体" w:hAnsi="宋体" w:eastAsia="宋体" w:cs="宋体"/>
          <w:spacing w:val="-1"/>
          <w:sz w:val="21"/>
          <w:szCs w:val="21"/>
        </w:rPr>
        <w:t>包人更换，由此增加的费用和（或）延误的工期由发包人承担，并支付承包人合理的利润。</w:t>
      </w:r>
    </w:p>
    <w:p w14:paraId="623B9986">
      <w:pPr>
        <w:spacing w:before="6" w:line="235" w:lineRule="auto"/>
        <w:ind w:left="24"/>
        <w:outlineLvl w:val="1"/>
        <w:rPr>
          <w:rFonts w:ascii="黑体" w:hAnsi="黑体" w:eastAsia="黑体" w:cs="黑体"/>
          <w:sz w:val="24"/>
          <w:szCs w:val="24"/>
        </w:rPr>
      </w:pPr>
      <w:bookmarkStart w:id="412" w:name="bookmark358"/>
      <w:bookmarkEnd w:id="412"/>
      <w:r>
        <w:rPr>
          <w:rFonts w:ascii="Times New Roman" w:hAnsi="Times New Roman" w:eastAsia="Times New Roman" w:cs="Times New Roman"/>
          <w:b/>
          <w:bCs/>
          <w:spacing w:val="-2"/>
          <w:sz w:val="24"/>
          <w:szCs w:val="24"/>
        </w:rPr>
        <w:t>8.6</w:t>
      </w:r>
      <w:r>
        <w:rPr>
          <w:rFonts w:ascii="Times New Roman" w:hAnsi="Times New Roman" w:eastAsia="Times New Roman" w:cs="Times New Roman"/>
          <w:b/>
          <w:bCs/>
          <w:spacing w:val="5"/>
          <w:sz w:val="24"/>
          <w:szCs w:val="24"/>
        </w:rPr>
        <w:t xml:space="preserve">  </w:t>
      </w:r>
      <w:r>
        <w:rPr>
          <w:rFonts w:ascii="黑体" w:hAnsi="黑体" w:eastAsia="黑体" w:cs="黑体"/>
          <w:b/>
          <w:bCs/>
          <w:spacing w:val="-2"/>
          <w:sz w:val="24"/>
          <w:szCs w:val="24"/>
        </w:rPr>
        <w:t>样品</w:t>
      </w:r>
    </w:p>
    <w:p w14:paraId="24280E16">
      <w:pPr>
        <w:spacing w:before="126" w:line="233" w:lineRule="auto"/>
        <w:ind w:left="449"/>
        <w:rPr>
          <w:rFonts w:ascii="宋体" w:hAnsi="宋体" w:eastAsia="宋体" w:cs="宋体"/>
          <w:sz w:val="21"/>
          <w:szCs w:val="21"/>
        </w:rPr>
      </w:pPr>
      <w:r>
        <w:rPr>
          <w:rFonts w:ascii="Times New Roman" w:hAnsi="Times New Roman" w:eastAsia="Times New Roman" w:cs="Times New Roman"/>
          <w:spacing w:val="-1"/>
          <w:sz w:val="21"/>
          <w:szCs w:val="21"/>
        </w:rPr>
        <w:t>8.6.1</w:t>
      </w:r>
      <w:r>
        <w:rPr>
          <w:rFonts w:ascii="Times New Roman" w:hAnsi="Times New Roman" w:eastAsia="Times New Roman" w:cs="Times New Roman"/>
          <w:spacing w:val="24"/>
          <w:w w:val="101"/>
          <w:sz w:val="21"/>
          <w:szCs w:val="21"/>
        </w:rPr>
        <w:t xml:space="preserve"> </w:t>
      </w:r>
      <w:r>
        <w:rPr>
          <w:rFonts w:ascii="宋体" w:hAnsi="宋体" w:eastAsia="宋体" w:cs="宋体"/>
          <w:spacing w:val="-1"/>
          <w:sz w:val="21"/>
          <w:szCs w:val="21"/>
        </w:rPr>
        <w:t>样品的报送与封存</w:t>
      </w:r>
    </w:p>
    <w:p w14:paraId="6608063A">
      <w:pPr>
        <w:spacing w:before="126" w:line="356" w:lineRule="auto"/>
        <w:ind w:left="25" w:right="35" w:firstLine="431"/>
        <w:rPr>
          <w:rFonts w:ascii="宋体" w:hAnsi="宋体" w:eastAsia="宋体" w:cs="宋体"/>
          <w:sz w:val="21"/>
          <w:szCs w:val="21"/>
        </w:rPr>
      </w:pPr>
      <w:r>
        <w:rPr>
          <w:rFonts w:ascii="宋体" w:hAnsi="宋体" w:eastAsia="宋体" w:cs="宋体"/>
          <w:spacing w:val="-2"/>
          <w:sz w:val="21"/>
          <w:szCs w:val="21"/>
        </w:rPr>
        <w:t>需要承包人报送样品的材料或工程设备，样品的种类、名称、规格、数量等要求均应在</w:t>
      </w:r>
      <w:r>
        <w:rPr>
          <w:rFonts w:ascii="宋体" w:hAnsi="宋体" w:eastAsia="宋体" w:cs="宋体"/>
          <w:spacing w:val="-3"/>
          <w:sz w:val="21"/>
          <w:szCs w:val="21"/>
        </w:rPr>
        <w:t>专用合同条款中约定。样品的报送程序如下：</w:t>
      </w:r>
    </w:p>
    <w:p w14:paraId="284816E8">
      <w:pPr>
        <w:spacing w:before="1" w:line="348" w:lineRule="auto"/>
        <w:ind w:left="24" w:right="35" w:firstLine="426"/>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）承包人应在计划采购前</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天向监理人报送样品。承包人报送的样品均应来自供应</w:t>
      </w:r>
      <w:r>
        <w:rPr>
          <w:rFonts w:ascii="宋体" w:hAnsi="宋体" w:eastAsia="宋体" w:cs="宋体"/>
          <w:spacing w:val="-2"/>
          <w:sz w:val="21"/>
          <w:szCs w:val="21"/>
        </w:rPr>
        <w:t>材料的实际生产地，且提供的样品的规格、数量足以表明材料或工程设备的质量、型号、颜色、表面处理、质地、误差和其他要求的特征。</w:t>
      </w:r>
    </w:p>
    <w:p w14:paraId="35FD311D">
      <w:pPr>
        <w:spacing w:before="12" w:line="352" w:lineRule="auto"/>
        <w:ind w:left="25" w:firstLine="424"/>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）承包人每次报送样品时应随附申报单，申报单应载明报送样品的相关数据和资料，</w:t>
      </w:r>
      <w:r>
        <w:rPr>
          <w:rFonts w:ascii="宋体" w:hAnsi="宋体" w:eastAsia="宋体" w:cs="宋体"/>
          <w:spacing w:val="-2"/>
          <w:sz w:val="21"/>
          <w:szCs w:val="21"/>
        </w:rPr>
        <w:t>并标明每件样品对应的图纸号，预留监理人批复意见栏。监理人应在收到承包人报送</w:t>
      </w:r>
      <w:r>
        <w:rPr>
          <w:rFonts w:ascii="宋体" w:hAnsi="宋体" w:eastAsia="宋体" w:cs="宋体"/>
          <w:spacing w:val="-3"/>
          <w:sz w:val="21"/>
          <w:szCs w:val="21"/>
        </w:rPr>
        <w:t>的样品</w:t>
      </w:r>
      <w:r>
        <w:rPr>
          <w:rFonts w:ascii="宋体" w:hAnsi="宋体" w:eastAsia="宋体" w:cs="宋体"/>
          <w:spacing w:val="-2"/>
          <w:sz w:val="21"/>
          <w:szCs w:val="21"/>
        </w:rPr>
        <w:t>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天向承包人回复经发包人签认的样品审</w:t>
      </w:r>
      <w:r>
        <w:rPr>
          <w:rFonts w:ascii="宋体" w:hAnsi="宋体" w:eastAsia="宋体" w:cs="宋体"/>
          <w:spacing w:val="-3"/>
          <w:sz w:val="21"/>
          <w:szCs w:val="21"/>
        </w:rPr>
        <w:t>批意见。</w:t>
      </w:r>
    </w:p>
    <w:p w14:paraId="313CA888">
      <w:pPr>
        <w:spacing w:before="2" w:line="334" w:lineRule="auto"/>
        <w:ind w:left="23" w:right="73"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）经发包人和监理人审批确认的样品应按约定的方法封样，封存的样品</w:t>
      </w:r>
      <w:r>
        <w:rPr>
          <w:rFonts w:ascii="宋体" w:hAnsi="宋体" w:eastAsia="宋体" w:cs="宋体"/>
          <w:spacing w:val="-1"/>
          <w:sz w:val="21"/>
          <w:szCs w:val="21"/>
        </w:rPr>
        <w:t>作为检验工程相关部分的标准之一。承包人在施工过程中不得使用与样品不符的材料或工程设备。</w:t>
      </w:r>
    </w:p>
    <w:p w14:paraId="526480DB">
      <w:pPr>
        <w:spacing w:before="34" w:line="348" w:lineRule="auto"/>
        <w:ind w:left="27" w:right="59" w:firstLine="422"/>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）发包人和监理人对样品的审批确认仅为确认相关材料或工程设备的</w:t>
      </w:r>
      <w:r>
        <w:rPr>
          <w:rFonts w:ascii="宋体" w:hAnsi="宋体" w:eastAsia="宋体" w:cs="宋体"/>
          <w:spacing w:val="-2"/>
          <w:sz w:val="21"/>
          <w:szCs w:val="21"/>
        </w:rPr>
        <w:t>特征或用途，不得被理解为对合同的修改或改变，也并不减轻或免除承包人任</w:t>
      </w:r>
      <w:r>
        <w:rPr>
          <w:rFonts w:ascii="宋体" w:hAnsi="宋体" w:eastAsia="宋体" w:cs="宋体"/>
          <w:spacing w:val="-3"/>
          <w:sz w:val="21"/>
          <w:szCs w:val="21"/>
        </w:rPr>
        <w:t>何的责任和义务。如果封存</w:t>
      </w:r>
      <w:r>
        <w:rPr>
          <w:rFonts w:ascii="宋体" w:hAnsi="宋体" w:eastAsia="宋体" w:cs="宋体"/>
          <w:spacing w:val="-1"/>
          <w:sz w:val="21"/>
          <w:szCs w:val="21"/>
        </w:rPr>
        <w:t>的样品修改或改变了合同约定，合同当事人应当以书面协议予以确认。</w:t>
      </w:r>
    </w:p>
    <w:p w14:paraId="3C261591">
      <w:pPr>
        <w:spacing w:before="14" w:line="233" w:lineRule="auto"/>
        <w:ind w:left="449"/>
        <w:rPr>
          <w:rFonts w:ascii="宋体" w:hAnsi="宋体" w:eastAsia="宋体" w:cs="宋体"/>
          <w:sz w:val="21"/>
          <w:szCs w:val="21"/>
        </w:rPr>
      </w:pPr>
      <w:r>
        <w:rPr>
          <w:rFonts w:ascii="Times New Roman" w:hAnsi="Times New Roman" w:eastAsia="Times New Roman" w:cs="Times New Roman"/>
          <w:spacing w:val="-1"/>
          <w:sz w:val="21"/>
          <w:szCs w:val="21"/>
        </w:rPr>
        <w:t>8.6.2</w:t>
      </w:r>
      <w:r>
        <w:rPr>
          <w:rFonts w:ascii="Times New Roman" w:hAnsi="Times New Roman" w:eastAsia="Times New Roman" w:cs="Times New Roman"/>
          <w:spacing w:val="52"/>
          <w:sz w:val="21"/>
          <w:szCs w:val="21"/>
        </w:rPr>
        <w:t xml:space="preserve"> </w:t>
      </w:r>
      <w:r>
        <w:rPr>
          <w:rFonts w:ascii="宋体" w:hAnsi="宋体" w:eastAsia="宋体" w:cs="宋体"/>
          <w:spacing w:val="-1"/>
          <w:sz w:val="21"/>
          <w:szCs w:val="21"/>
        </w:rPr>
        <w:t>样品的保管</w:t>
      </w:r>
    </w:p>
    <w:p w14:paraId="4E171FC1">
      <w:pPr>
        <w:spacing w:before="141" w:line="338" w:lineRule="auto"/>
        <w:ind w:left="41" w:right="51" w:firstLine="404"/>
        <w:rPr>
          <w:rFonts w:ascii="宋体" w:hAnsi="宋体" w:eastAsia="宋体" w:cs="宋体"/>
          <w:sz w:val="21"/>
          <w:szCs w:val="21"/>
        </w:rPr>
      </w:pPr>
      <w:r>
        <w:rPr>
          <w:rFonts w:ascii="宋体" w:hAnsi="宋体" w:eastAsia="宋体" w:cs="宋体"/>
          <w:spacing w:val="-2"/>
          <w:sz w:val="21"/>
          <w:szCs w:val="21"/>
        </w:rPr>
        <w:t>经批准的样品应由监理人负责封存于现场，承包人应在现场为保存样品</w:t>
      </w:r>
      <w:r>
        <w:rPr>
          <w:rFonts w:ascii="宋体" w:hAnsi="宋体" w:eastAsia="宋体" w:cs="宋体"/>
          <w:spacing w:val="-3"/>
          <w:sz w:val="21"/>
          <w:szCs w:val="21"/>
        </w:rPr>
        <w:t>提供适当和固定的场所并保持适当和良好的存储环境条件。</w:t>
      </w:r>
    </w:p>
    <w:p w14:paraId="4F2420A8">
      <w:pPr>
        <w:spacing w:before="1" w:line="232" w:lineRule="auto"/>
        <w:ind w:left="24"/>
        <w:outlineLvl w:val="1"/>
        <w:rPr>
          <w:rFonts w:ascii="黑体" w:hAnsi="黑体" w:eastAsia="黑体" w:cs="黑体"/>
          <w:sz w:val="24"/>
          <w:szCs w:val="24"/>
        </w:rPr>
      </w:pPr>
      <w:bookmarkStart w:id="413" w:name="bookmark359"/>
      <w:bookmarkEnd w:id="413"/>
      <w:r>
        <w:rPr>
          <w:rFonts w:ascii="Times New Roman" w:hAnsi="Times New Roman" w:eastAsia="Times New Roman" w:cs="Times New Roman"/>
          <w:b/>
          <w:bCs/>
          <w:spacing w:val="2"/>
          <w:sz w:val="24"/>
          <w:szCs w:val="24"/>
        </w:rPr>
        <w:t xml:space="preserve">8.7 </w:t>
      </w:r>
      <w:r>
        <w:rPr>
          <w:rFonts w:ascii="黑体" w:hAnsi="黑体" w:eastAsia="黑体" w:cs="黑体"/>
          <w:b/>
          <w:bCs/>
          <w:spacing w:val="2"/>
          <w:sz w:val="24"/>
          <w:szCs w:val="24"/>
        </w:rPr>
        <w:t>材料与工程设备的替代</w:t>
      </w:r>
    </w:p>
    <w:p w14:paraId="600661FA">
      <w:pPr>
        <w:spacing w:before="128" w:line="336" w:lineRule="auto"/>
        <w:ind w:left="23" w:right="43" w:firstLine="425"/>
        <w:rPr>
          <w:rFonts w:ascii="宋体" w:hAnsi="宋体" w:eastAsia="宋体" w:cs="宋体"/>
          <w:sz w:val="21"/>
          <w:szCs w:val="21"/>
        </w:rPr>
      </w:pPr>
      <w:r>
        <w:rPr>
          <w:rFonts w:ascii="Times New Roman" w:hAnsi="Times New Roman" w:eastAsia="Times New Roman" w:cs="Times New Roman"/>
          <w:spacing w:val="-3"/>
          <w:sz w:val="21"/>
          <w:szCs w:val="21"/>
        </w:rPr>
        <w:t>8.7.1</w:t>
      </w:r>
      <w:r>
        <w:rPr>
          <w:rFonts w:ascii="Times New Roman" w:hAnsi="Times New Roman" w:eastAsia="Times New Roman" w:cs="Times New Roman"/>
          <w:spacing w:val="13"/>
          <w:w w:val="101"/>
          <w:sz w:val="21"/>
          <w:szCs w:val="21"/>
        </w:rPr>
        <w:t xml:space="preserve">  </w:t>
      </w:r>
      <w:r>
        <w:rPr>
          <w:rFonts w:ascii="宋体" w:hAnsi="宋体" w:eastAsia="宋体" w:cs="宋体"/>
          <w:spacing w:val="-3"/>
          <w:sz w:val="21"/>
          <w:szCs w:val="21"/>
        </w:rPr>
        <w:t>出现下列情况需要使用替代材料和工程设备的，承包人应按照</w:t>
      </w:r>
      <w:r>
        <w:rPr>
          <w:rFonts w:ascii="宋体" w:hAnsi="宋体" w:eastAsia="宋体" w:cs="宋体"/>
          <w:spacing w:val="-4"/>
          <w:sz w:val="21"/>
          <w:szCs w:val="21"/>
        </w:rPr>
        <w:t>第</w:t>
      </w:r>
      <w:r>
        <w:rPr>
          <w:rFonts w:ascii="宋体" w:hAnsi="宋体" w:eastAsia="宋体" w:cs="宋体"/>
          <w:spacing w:val="-38"/>
          <w:sz w:val="21"/>
          <w:szCs w:val="21"/>
        </w:rPr>
        <w:t xml:space="preserve"> </w:t>
      </w:r>
      <w:r>
        <w:rPr>
          <w:rFonts w:ascii="Times New Roman" w:hAnsi="Times New Roman" w:eastAsia="Times New Roman" w:cs="Times New Roman"/>
          <w:spacing w:val="-4"/>
          <w:sz w:val="21"/>
          <w:szCs w:val="21"/>
        </w:rPr>
        <w:t>8.7.2</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项约定的程</w:t>
      </w:r>
      <w:r>
        <w:rPr>
          <w:rFonts w:ascii="宋体" w:hAnsi="宋体" w:eastAsia="宋体" w:cs="宋体"/>
          <w:spacing w:val="-11"/>
          <w:sz w:val="21"/>
          <w:szCs w:val="21"/>
        </w:rPr>
        <w:t>序执行：</w:t>
      </w:r>
    </w:p>
    <w:p w14:paraId="768E1834">
      <w:pPr>
        <w:spacing w:before="33"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）基准日期后生效的法律规定禁止使用的；</w:t>
      </w:r>
    </w:p>
    <w:p w14:paraId="5B8F950F">
      <w:pPr>
        <w:spacing w:before="140"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）发包人要求使用替代品的；</w:t>
      </w:r>
    </w:p>
    <w:p w14:paraId="5F560936">
      <w:pPr>
        <w:spacing w:before="125"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）因其他原因必须使用替代品的。</w:t>
      </w:r>
    </w:p>
    <w:p w14:paraId="668DF58E">
      <w:pPr>
        <w:spacing w:before="140" w:line="233" w:lineRule="auto"/>
        <w:ind w:left="449"/>
        <w:rPr>
          <w:rFonts w:ascii="宋体" w:hAnsi="宋体" w:eastAsia="宋体" w:cs="宋体"/>
          <w:sz w:val="21"/>
          <w:szCs w:val="21"/>
        </w:rPr>
      </w:pPr>
      <w:r>
        <w:rPr>
          <w:rFonts w:ascii="Times New Roman" w:hAnsi="Times New Roman" w:eastAsia="Times New Roman" w:cs="Times New Roman"/>
          <w:spacing w:val="-1"/>
          <w:sz w:val="21"/>
          <w:szCs w:val="21"/>
        </w:rPr>
        <w:t>8.7.2</w:t>
      </w:r>
      <w:r>
        <w:rPr>
          <w:rFonts w:ascii="Times New Roman" w:hAnsi="Times New Roman" w:eastAsia="Times New Roman" w:cs="Times New Roman"/>
          <w:spacing w:val="46"/>
          <w:w w:val="101"/>
          <w:sz w:val="21"/>
          <w:szCs w:val="21"/>
        </w:rPr>
        <w:t xml:space="preserve"> </w:t>
      </w:r>
      <w:r>
        <w:rPr>
          <w:rFonts w:ascii="宋体" w:hAnsi="宋体" w:eastAsia="宋体" w:cs="宋体"/>
          <w:spacing w:val="-1"/>
          <w:sz w:val="21"/>
          <w:szCs w:val="21"/>
        </w:rPr>
        <w:t>承包人应在使用替代材料和工程设备</w:t>
      </w:r>
      <w:r>
        <w:rPr>
          <w:rFonts w:ascii="宋体" w:hAnsi="宋体" w:eastAsia="宋体" w:cs="宋体"/>
          <w:spacing w:val="-44"/>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天前书</w:t>
      </w:r>
      <w:r>
        <w:rPr>
          <w:rFonts w:ascii="宋体" w:hAnsi="宋体" w:eastAsia="宋体" w:cs="宋体"/>
          <w:spacing w:val="-2"/>
          <w:sz w:val="21"/>
          <w:szCs w:val="21"/>
        </w:rPr>
        <w:t>面通知监理人，并附下列文件：</w:t>
      </w:r>
    </w:p>
    <w:p w14:paraId="0964F929">
      <w:pPr>
        <w:spacing w:before="140" w:line="336" w:lineRule="auto"/>
        <w:ind w:left="24" w:right="72" w:firstLine="42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）被替代的材料和工程设备的名称、数量、规格、型号、品牌、性能、价格</w:t>
      </w:r>
      <w:r>
        <w:rPr>
          <w:rFonts w:ascii="宋体" w:hAnsi="宋体" w:eastAsia="宋体" w:cs="宋体"/>
          <w:spacing w:val="-1"/>
          <w:sz w:val="21"/>
          <w:szCs w:val="21"/>
        </w:rPr>
        <w:t>及其他</w:t>
      </w:r>
      <w:r>
        <w:rPr>
          <w:rFonts w:ascii="宋体" w:hAnsi="宋体" w:eastAsia="宋体" w:cs="宋体"/>
          <w:spacing w:val="-9"/>
          <w:sz w:val="21"/>
          <w:szCs w:val="21"/>
        </w:rPr>
        <w:t>相关资料；</w:t>
      </w:r>
    </w:p>
    <w:p w14:paraId="30F64B80">
      <w:pPr>
        <w:spacing w:before="32" w:line="232"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）替代品的名称、数量、规格、型号、品牌、性</w:t>
      </w:r>
      <w:r>
        <w:rPr>
          <w:rFonts w:ascii="宋体" w:hAnsi="宋体" w:eastAsia="宋体" w:cs="宋体"/>
          <w:spacing w:val="-2"/>
          <w:sz w:val="21"/>
          <w:szCs w:val="21"/>
        </w:rPr>
        <w:t>能、价格及其他相关资料；</w:t>
      </w:r>
    </w:p>
    <w:p w14:paraId="7E938E62">
      <w:pPr>
        <w:spacing w:line="232" w:lineRule="auto"/>
        <w:rPr>
          <w:rFonts w:ascii="宋体" w:hAnsi="宋体" w:eastAsia="宋体" w:cs="宋体"/>
          <w:sz w:val="21"/>
          <w:szCs w:val="21"/>
        </w:rPr>
        <w:sectPr>
          <w:footerReference r:id="rId176" w:type="default"/>
          <w:pgSz w:w="11910" w:h="16845"/>
          <w:pgMar w:top="400" w:right="1727" w:bottom="1110" w:left="1786" w:header="0" w:footer="883" w:gutter="0"/>
          <w:cols w:space="720" w:num="1"/>
        </w:sectPr>
      </w:pPr>
    </w:p>
    <w:p w14:paraId="2A6CFA2F">
      <w:pPr>
        <w:pStyle w:val="2"/>
        <w:spacing w:line="275" w:lineRule="auto"/>
      </w:pPr>
    </w:p>
    <w:p w14:paraId="4C12CD06">
      <w:pPr>
        <w:pStyle w:val="2"/>
        <w:spacing w:line="275" w:lineRule="auto"/>
      </w:pPr>
    </w:p>
    <w:p w14:paraId="52159C0C">
      <w:pPr>
        <w:pStyle w:val="2"/>
        <w:spacing w:line="275" w:lineRule="auto"/>
      </w:pPr>
    </w:p>
    <w:p w14:paraId="647F3ADF">
      <w:pPr>
        <w:pStyle w:val="2"/>
        <w:spacing w:line="276" w:lineRule="auto"/>
      </w:pPr>
    </w:p>
    <w:p w14:paraId="5344BB08">
      <w:pPr>
        <w:spacing w:before="68"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）替代品与被替代产品之间的差异以及使用替代</w:t>
      </w:r>
      <w:r>
        <w:rPr>
          <w:rFonts w:ascii="宋体" w:hAnsi="宋体" w:eastAsia="宋体" w:cs="宋体"/>
          <w:spacing w:val="-2"/>
          <w:sz w:val="21"/>
          <w:szCs w:val="21"/>
        </w:rPr>
        <w:t>品可能对工程产生的影响；</w:t>
      </w:r>
    </w:p>
    <w:p w14:paraId="4FDF3A35">
      <w:pPr>
        <w:spacing w:before="139" w:line="232"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）替代品与被替代产品的价格差异；</w:t>
      </w:r>
    </w:p>
    <w:p w14:paraId="1771A9B5">
      <w:pPr>
        <w:spacing w:before="127"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5</w:t>
      </w:r>
      <w:r>
        <w:rPr>
          <w:rFonts w:ascii="宋体" w:hAnsi="宋体" w:eastAsia="宋体" w:cs="宋体"/>
          <w:spacing w:val="-4"/>
          <w:sz w:val="21"/>
          <w:szCs w:val="21"/>
        </w:rPr>
        <w:t>）使用替代品的理由和原因说明；</w:t>
      </w:r>
    </w:p>
    <w:p w14:paraId="0F1C7A79">
      <w:pPr>
        <w:spacing w:before="139"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6</w:t>
      </w:r>
      <w:r>
        <w:rPr>
          <w:rFonts w:ascii="宋体" w:hAnsi="宋体" w:eastAsia="宋体" w:cs="宋体"/>
          <w:spacing w:val="-3"/>
          <w:sz w:val="21"/>
          <w:szCs w:val="21"/>
        </w:rPr>
        <w:t>）监理人要求的其他文件。</w:t>
      </w:r>
    </w:p>
    <w:p w14:paraId="6C60D68A">
      <w:pPr>
        <w:spacing w:before="141" w:line="335" w:lineRule="auto"/>
        <w:ind w:left="42" w:right="75" w:firstLine="403"/>
        <w:rPr>
          <w:rFonts w:ascii="宋体" w:hAnsi="宋体" w:eastAsia="宋体" w:cs="宋体"/>
          <w:sz w:val="21"/>
          <w:szCs w:val="21"/>
        </w:rPr>
      </w:pPr>
      <w:r>
        <w:rPr>
          <w:rFonts w:ascii="宋体" w:hAnsi="宋体" w:eastAsia="宋体" w:cs="宋体"/>
          <w:spacing w:val="-1"/>
          <w:sz w:val="21"/>
          <w:szCs w:val="21"/>
        </w:rPr>
        <w:t>监理人应在收到通知后</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天内向承包人发出经发包人签认的书面指示；监理人逾期发</w:t>
      </w:r>
      <w:r>
        <w:rPr>
          <w:rFonts w:ascii="宋体" w:hAnsi="宋体" w:eastAsia="宋体" w:cs="宋体"/>
          <w:spacing w:val="-2"/>
          <w:sz w:val="21"/>
          <w:szCs w:val="21"/>
        </w:rPr>
        <w:t>出书面指示的，视为发包人和监理人同意使用替代品。</w:t>
      </w:r>
    </w:p>
    <w:p w14:paraId="0F806B88">
      <w:pPr>
        <w:spacing w:before="35" w:line="347" w:lineRule="auto"/>
        <w:ind w:left="24" w:right="66" w:firstLine="425"/>
        <w:jc w:val="both"/>
        <w:rPr>
          <w:rFonts w:ascii="宋体" w:hAnsi="宋体" w:eastAsia="宋体" w:cs="宋体"/>
          <w:sz w:val="21"/>
          <w:szCs w:val="21"/>
        </w:rPr>
      </w:pPr>
      <w:r>
        <w:rPr>
          <w:rFonts w:ascii="Times New Roman" w:hAnsi="Times New Roman" w:eastAsia="Times New Roman" w:cs="Times New Roman"/>
          <w:sz w:val="21"/>
          <w:szCs w:val="21"/>
        </w:rPr>
        <w:t xml:space="preserve">8.7.3  </w:t>
      </w:r>
      <w:r>
        <w:rPr>
          <w:rFonts w:ascii="宋体" w:hAnsi="宋体" w:eastAsia="宋体" w:cs="宋体"/>
          <w:sz w:val="21"/>
          <w:szCs w:val="21"/>
        </w:rPr>
        <w:t>发包人认可使用替代材料和工程设备的，替代材料和工程设备的价格，按照已标</w:t>
      </w:r>
      <w:r>
        <w:rPr>
          <w:rFonts w:ascii="宋体" w:hAnsi="宋体" w:eastAsia="宋体" w:cs="宋体"/>
          <w:spacing w:val="-2"/>
          <w:sz w:val="21"/>
          <w:szCs w:val="21"/>
        </w:rPr>
        <w:t>价工程量清单或预算书相同项目的价格认定；无相同项目的，参考相似</w:t>
      </w:r>
      <w:r>
        <w:rPr>
          <w:rFonts w:ascii="宋体" w:hAnsi="宋体" w:eastAsia="宋体" w:cs="宋体"/>
          <w:spacing w:val="-3"/>
          <w:sz w:val="21"/>
          <w:szCs w:val="21"/>
        </w:rPr>
        <w:t>项目价格认定；既无</w:t>
      </w:r>
      <w:r>
        <w:rPr>
          <w:rFonts w:ascii="宋体" w:hAnsi="宋体" w:eastAsia="宋体" w:cs="宋体"/>
          <w:spacing w:val="-1"/>
          <w:sz w:val="21"/>
          <w:szCs w:val="21"/>
        </w:rPr>
        <w:t>相同项目也无相似项目的，按照合理的成本与利润构成的原则，由合同当事人</w:t>
      </w:r>
      <w:r>
        <w:rPr>
          <w:rFonts w:ascii="宋体" w:hAnsi="宋体" w:eastAsia="宋体" w:cs="宋体"/>
          <w:spacing w:val="-2"/>
          <w:sz w:val="21"/>
          <w:szCs w:val="21"/>
        </w:rPr>
        <w:t>按照第</w:t>
      </w:r>
      <w:r>
        <w:rPr>
          <w:rFonts w:ascii="宋体" w:hAnsi="宋体" w:eastAsia="宋体" w:cs="宋体"/>
          <w:spacing w:val="-43"/>
          <w:sz w:val="21"/>
          <w:szCs w:val="21"/>
        </w:rPr>
        <w:t xml:space="preserve">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款</w:t>
      </w:r>
      <w:r>
        <w:rPr>
          <w:rFonts w:ascii="宋体" w:hAnsi="宋体" w:eastAsia="宋体" w:cs="宋体"/>
          <w:spacing w:val="-3"/>
          <w:sz w:val="21"/>
          <w:szCs w:val="21"/>
        </w:rPr>
        <w:t>〔商定或确定〕确定价格。</w:t>
      </w:r>
    </w:p>
    <w:p w14:paraId="1D83AB6D">
      <w:pPr>
        <w:spacing w:line="232" w:lineRule="auto"/>
        <w:ind w:left="24"/>
        <w:outlineLvl w:val="1"/>
        <w:rPr>
          <w:rFonts w:ascii="黑体" w:hAnsi="黑体" w:eastAsia="黑体" w:cs="黑体"/>
          <w:sz w:val="24"/>
          <w:szCs w:val="24"/>
        </w:rPr>
      </w:pPr>
      <w:bookmarkStart w:id="414" w:name="bookmark360"/>
      <w:bookmarkEnd w:id="414"/>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2B188750">
      <w:pPr>
        <w:spacing w:before="114" w:line="233" w:lineRule="auto"/>
        <w:ind w:left="449"/>
        <w:rPr>
          <w:rFonts w:ascii="宋体" w:hAnsi="宋体" w:eastAsia="宋体" w:cs="宋体"/>
          <w:sz w:val="21"/>
          <w:szCs w:val="21"/>
        </w:rPr>
      </w:pPr>
      <w:r>
        <w:rPr>
          <w:rFonts w:ascii="Times New Roman" w:hAnsi="Times New Roman" w:eastAsia="Times New Roman" w:cs="Times New Roman"/>
          <w:sz w:val="21"/>
          <w:szCs w:val="21"/>
        </w:rPr>
        <w:t>8.8.1</w:t>
      </w:r>
      <w:r>
        <w:rPr>
          <w:rFonts w:ascii="Times New Roman" w:hAnsi="Times New Roman" w:eastAsia="Times New Roman" w:cs="Times New Roman"/>
          <w:spacing w:val="46"/>
          <w:w w:val="101"/>
          <w:sz w:val="21"/>
          <w:szCs w:val="21"/>
        </w:rPr>
        <w:t xml:space="preserve"> </w:t>
      </w:r>
      <w:r>
        <w:rPr>
          <w:rFonts w:ascii="宋体" w:hAnsi="宋体" w:eastAsia="宋体" w:cs="宋体"/>
          <w:sz w:val="21"/>
          <w:szCs w:val="21"/>
        </w:rPr>
        <w:t>承包人提供的施工设备和临时设施</w:t>
      </w:r>
    </w:p>
    <w:p w14:paraId="3481A8B6">
      <w:pPr>
        <w:spacing w:before="139" w:line="352" w:lineRule="auto"/>
        <w:ind w:left="24" w:right="73" w:firstLine="420"/>
        <w:rPr>
          <w:rFonts w:ascii="宋体" w:hAnsi="宋体" w:eastAsia="宋体" w:cs="宋体"/>
          <w:sz w:val="21"/>
          <w:szCs w:val="21"/>
        </w:rPr>
      </w:pPr>
      <w:r>
        <w:rPr>
          <w:rFonts w:ascii="宋体" w:hAnsi="宋体" w:eastAsia="宋体" w:cs="宋体"/>
          <w:spacing w:val="-2"/>
          <w:sz w:val="21"/>
          <w:szCs w:val="21"/>
        </w:rPr>
        <w:t>承包人应按合同进度计划的要求，及时配置施工设备和修建临时设施。进</w:t>
      </w:r>
      <w:r>
        <w:rPr>
          <w:rFonts w:ascii="宋体" w:hAnsi="宋体" w:eastAsia="宋体" w:cs="宋体"/>
          <w:spacing w:val="-3"/>
          <w:sz w:val="21"/>
          <w:szCs w:val="21"/>
        </w:rPr>
        <w:t>入施工场地的</w:t>
      </w:r>
      <w:r>
        <w:rPr>
          <w:rFonts w:ascii="宋体" w:hAnsi="宋体" w:eastAsia="宋体" w:cs="宋体"/>
          <w:spacing w:val="-4"/>
          <w:sz w:val="21"/>
          <w:szCs w:val="21"/>
        </w:rPr>
        <w:t>承包人设备需经监理人核查后才能投入使用。承包人更换合同约定的承包人设备的，</w:t>
      </w:r>
      <w:r>
        <w:rPr>
          <w:rFonts w:ascii="宋体" w:hAnsi="宋体" w:eastAsia="宋体" w:cs="宋体"/>
          <w:spacing w:val="-26"/>
          <w:sz w:val="21"/>
          <w:szCs w:val="21"/>
        </w:rPr>
        <w:t xml:space="preserve"> </w:t>
      </w:r>
      <w:r>
        <w:rPr>
          <w:rFonts w:ascii="宋体" w:hAnsi="宋体" w:eastAsia="宋体" w:cs="宋体"/>
          <w:spacing w:val="-4"/>
          <w:sz w:val="21"/>
          <w:szCs w:val="21"/>
        </w:rPr>
        <w:t>应报监</w:t>
      </w:r>
      <w:r>
        <w:rPr>
          <w:rFonts w:ascii="宋体" w:hAnsi="宋体" w:eastAsia="宋体" w:cs="宋体"/>
          <w:spacing w:val="-6"/>
          <w:sz w:val="21"/>
          <w:szCs w:val="21"/>
        </w:rPr>
        <w:t>理人批准。</w:t>
      </w:r>
    </w:p>
    <w:p w14:paraId="7D3FBDDE">
      <w:pPr>
        <w:spacing w:before="1" w:line="350" w:lineRule="auto"/>
        <w:ind w:left="24" w:firstLine="432"/>
        <w:rPr>
          <w:rFonts w:ascii="宋体" w:hAnsi="宋体" w:eastAsia="宋体" w:cs="宋体"/>
          <w:sz w:val="21"/>
          <w:szCs w:val="21"/>
        </w:rPr>
      </w:pPr>
      <w:r>
        <w:rPr>
          <w:rFonts w:ascii="宋体" w:hAnsi="宋体" w:eastAsia="宋体" w:cs="宋体"/>
          <w:spacing w:val="-6"/>
          <w:sz w:val="21"/>
          <w:szCs w:val="21"/>
        </w:rPr>
        <w:t>除专用合同条款另有约定外，承包人应自行承担修建临时设施的费用，需要临时占地的，</w:t>
      </w:r>
      <w:r>
        <w:rPr>
          <w:rFonts w:ascii="宋体" w:hAnsi="宋体" w:eastAsia="宋体" w:cs="宋体"/>
          <w:spacing w:val="-2"/>
          <w:sz w:val="21"/>
          <w:szCs w:val="21"/>
        </w:rPr>
        <w:t>应由发包人办理申请手续并承担相应费用。</w:t>
      </w:r>
    </w:p>
    <w:p w14:paraId="65D0199A">
      <w:pPr>
        <w:spacing w:line="232" w:lineRule="auto"/>
        <w:ind w:left="449"/>
        <w:rPr>
          <w:rFonts w:ascii="宋体" w:hAnsi="宋体" w:eastAsia="宋体" w:cs="宋体"/>
          <w:sz w:val="21"/>
          <w:szCs w:val="21"/>
        </w:rPr>
      </w:pPr>
      <w:r>
        <w:rPr>
          <w:rFonts w:ascii="Times New Roman" w:hAnsi="Times New Roman" w:eastAsia="Times New Roman" w:cs="Times New Roman"/>
          <w:spacing w:val="-1"/>
          <w:sz w:val="21"/>
          <w:szCs w:val="21"/>
        </w:rPr>
        <w:t>8.8.2</w:t>
      </w:r>
      <w:r>
        <w:rPr>
          <w:rFonts w:ascii="Times New Roman" w:hAnsi="Times New Roman" w:eastAsia="Times New Roman" w:cs="Times New Roman"/>
          <w:spacing w:val="36"/>
          <w:w w:val="101"/>
          <w:sz w:val="21"/>
          <w:szCs w:val="21"/>
        </w:rPr>
        <w:t xml:space="preserve"> </w:t>
      </w:r>
      <w:r>
        <w:rPr>
          <w:rFonts w:ascii="宋体" w:hAnsi="宋体" w:eastAsia="宋体" w:cs="宋体"/>
          <w:spacing w:val="-1"/>
          <w:sz w:val="21"/>
          <w:szCs w:val="21"/>
        </w:rPr>
        <w:t>发包人提供的施工设备和临时设施</w:t>
      </w:r>
    </w:p>
    <w:p w14:paraId="7B11326D">
      <w:pPr>
        <w:spacing w:before="141" w:line="219" w:lineRule="auto"/>
        <w:ind w:left="448"/>
        <w:rPr>
          <w:rFonts w:ascii="宋体" w:hAnsi="宋体" w:eastAsia="宋体" w:cs="宋体"/>
          <w:sz w:val="21"/>
          <w:szCs w:val="21"/>
        </w:rPr>
      </w:pPr>
      <w:r>
        <w:rPr>
          <w:rFonts w:ascii="宋体" w:hAnsi="宋体" w:eastAsia="宋体" w:cs="宋体"/>
          <w:spacing w:val="-1"/>
          <w:sz w:val="21"/>
          <w:szCs w:val="21"/>
        </w:rPr>
        <w:t>发包人提供的施工设备或临时设施在专用合同条款</w:t>
      </w:r>
      <w:r>
        <w:rPr>
          <w:rFonts w:ascii="宋体" w:hAnsi="宋体" w:eastAsia="宋体" w:cs="宋体"/>
          <w:spacing w:val="-2"/>
          <w:sz w:val="21"/>
          <w:szCs w:val="21"/>
        </w:rPr>
        <w:t>中约定。</w:t>
      </w:r>
    </w:p>
    <w:p w14:paraId="647787EC">
      <w:pPr>
        <w:spacing w:before="157" w:line="233" w:lineRule="auto"/>
        <w:ind w:left="449"/>
        <w:rPr>
          <w:rFonts w:ascii="宋体" w:hAnsi="宋体" w:eastAsia="宋体" w:cs="宋体"/>
          <w:sz w:val="21"/>
          <w:szCs w:val="21"/>
        </w:rPr>
      </w:pPr>
      <w:r>
        <w:rPr>
          <w:rFonts w:ascii="Times New Roman" w:hAnsi="Times New Roman" w:eastAsia="Times New Roman" w:cs="Times New Roman"/>
          <w:spacing w:val="-1"/>
          <w:sz w:val="21"/>
          <w:szCs w:val="21"/>
        </w:rPr>
        <w:t>8.8.3</w:t>
      </w:r>
      <w:r>
        <w:rPr>
          <w:rFonts w:ascii="Times New Roman" w:hAnsi="Times New Roman" w:eastAsia="Times New Roman" w:cs="Times New Roman"/>
          <w:spacing w:val="34"/>
          <w:w w:val="101"/>
          <w:sz w:val="21"/>
          <w:szCs w:val="21"/>
        </w:rPr>
        <w:t xml:space="preserve"> </w:t>
      </w:r>
      <w:r>
        <w:rPr>
          <w:rFonts w:ascii="宋体" w:hAnsi="宋体" w:eastAsia="宋体" w:cs="宋体"/>
          <w:spacing w:val="-1"/>
          <w:sz w:val="21"/>
          <w:szCs w:val="21"/>
        </w:rPr>
        <w:t>要求承包人增加或更换施工设备</w:t>
      </w:r>
    </w:p>
    <w:p w14:paraId="5F130C4B">
      <w:pPr>
        <w:spacing w:before="127" w:line="344" w:lineRule="auto"/>
        <w:ind w:left="24" w:right="56" w:firstLine="420"/>
        <w:rPr>
          <w:rFonts w:ascii="宋体" w:hAnsi="宋体" w:eastAsia="宋体" w:cs="宋体"/>
          <w:sz w:val="21"/>
          <w:szCs w:val="21"/>
        </w:rPr>
      </w:pPr>
      <w:r>
        <w:rPr>
          <w:rFonts w:ascii="宋体" w:hAnsi="宋体" w:eastAsia="宋体" w:cs="宋体"/>
          <w:spacing w:val="-2"/>
          <w:sz w:val="21"/>
          <w:szCs w:val="21"/>
        </w:rPr>
        <w:t>承包人使用的施工设备不能满足合同进度计划和（或）质量要求时，监</w:t>
      </w:r>
      <w:r>
        <w:rPr>
          <w:rFonts w:ascii="宋体" w:hAnsi="宋体" w:eastAsia="宋体" w:cs="宋体"/>
          <w:spacing w:val="-3"/>
          <w:sz w:val="21"/>
          <w:szCs w:val="21"/>
        </w:rPr>
        <w:t>理人有权要求承</w:t>
      </w:r>
      <w:r>
        <w:rPr>
          <w:rFonts w:ascii="宋体" w:hAnsi="宋体" w:eastAsia="宋体" w:cs="宋体"/>
          <w:spacing w:val="-2"/>
          <w:sz w:val="21"/>
          <w:szCs w:val="21"/>
        </w:rPr>
        <w:t>包人增加或更换施工设备，承包人应及时增加或更换，由此增加的费用和（或）延误的工期</w:t>
      </w:r>
      <w:r>
        <w:rPr>
          <w:rFonts w:ascii="宋体" w:hAnsi="宋体" w:eastAsia="宋体" w:cs="宋体"/>
          <w:spacing w:val="-5"/>
          <w:sz w:val="21"/>
          <w:szCs w:val="21"/>
        </w:rPr>
        <w:t>由承包人承担。</w:t>
      </w:r>
    </w:p>
    <w:p w14:paraId="12913703">
      <w:pPr>
        <w:spacing w:line="232" w:lineRule="auto"/>
        <w:ind w:left="24"/>
        <w:outlineLvl w:val="1"/>
        <w:rPr>
          <w:rFonts w:ascii="黑体" w:hAnsi="黑体" w:eastAsia="黑体" w:cs="黑体"/>
          <w:sz w:val="24"/>
          <w:szCs w:val="24"/>
        </w:rPr>
      </w:pPr>
      <w:bookmarkStart w:id="415" w:name="bookmark361"/>
      <w:bookmarkEnd w:id="415"/>
      <w:r>
        <w:rPr>
          <w:rFonts w:ascii="Times New Roman" w:hAnsi="Times New Roman" w:eastAsia="Times New Roman" w:cs="Times New Roman"/>
          <w:b/>
          <w:bCs/>
          <w:spacing w:val="2"/>
          <w:sz w:val="24"/>
          <w:szCs w:val="24"/>
        </w:rPr>
        <w:t xml:space="preserve">8.9 </w:t>
      </w:r>
      <w:r>
        <w:rPr>
          <w:rFonts w:ascii="黑体" w:hAnsi="黑体" w:eastAsia="黑体" w:cs="黑体"/>
          <w:b/>
          <w:bCs/>
          <w:spacing w:val="2"/>
          <w:sz w:val="24"/>
          <w:szCs w:val="24"/>
        </w:rPr>
        <w:t>材料与设备专用要求</w:t>
      </w:r>
    </w:p>
    <w:p w14:paraId="7F209B8C">
      <w:pPr>
        <w:spacing w:before="130" w:line="354" w:lineRule="auto"/>
        <w:ind w:left="23" w:right="60" w:firstLine="421"/>
        <w:jc w:val="both"/>
        <w:rPr>
          <w:rFonts w:ascii="宋体" w:hAnsi="宋体" w:eastAsia="宋体" w:cs="宋体"/>
          <w:sz w:val="21"/>
          <w:szCs w:val="21"/>
        </w:rPr>
      </w:pPr>
      <w:r>
        <w:rPr>
          <w:rFonts w:ascii="宋体" w:hAnsi="宋体" w:eastAsia="宋体" w:cs="宋体"/>
          <w:spacing w:val="-5"/>
          <w:sz w:val="21"/>
          <w:szCs w:val="21"/>
        </w:rPr>
        <w:t>承包人运入施工现场的材料、工程设备、施工设备以及在施工场地建设的临时设施， 包</w:t>
      </w:r>
      <w:r>
        <w:rPr>
          <w:rFonts w:ascii="宋体" w:hAnsi="宋体" w:eastAsia="宋体" w:cs="宋体"/>
          <w:spacing w:val="-2"/>
          <w:sz w:val="21"/>
          <w:szCs w:val="21"/>
        </w:rPr>
        <w:t>括备品备件、安装工具与资料，必须专用于工程。未经发包人批准，承包人不得运出施工现场或挪作他用；经发包人批准，承包人可以根据施工进度计划撤走闲置的施工设</w:t>
      </w:r>
      <w:r>
        <w:rPr>
          <w:rFonts w:ascii="宋体" w:hAnsi="宋体" w:eastAsia="宋体" w:cs="宋体"/>
          <w:spacing w:val="-3"/>
          <w:sz w:val="21"/>
          <w:szCs w:val="21"/>
        </w:rPr>
        <w:t>备和其他物</w:t>
      </w:r>
      <w:r>
        <w:rPr>
          <w:rFonts w:ascii="宋体" w:hAnsi="宋体" w:eastAsia="宋体" w:cs="宋体"/>
          <w:spacing w:val="-10"/>
          <w:sz w:val="21"/>
          <w:szCs w:val="21"/>
        </w:rPr>
        <w:t>品。</w:t>
      </w:r>
    </w:p>
    <w:p w14:paraId="65EC3A3C">
      <w:pPr>
        <w:spacing w:before="35" w:line="236" w:lineRule="auto"/>
        <w:ind w:left="24"/>
        <w:outlineLvl w:val="0"/>
        <w:rPr>
          <w:rFonts w:ascii="黑体" w:hAnsi="黑体" w:eastAsia="黑体" w:cs="黑体"/>
          <w:sz w:val="28"/>
          <w:szCs w:val="28"/>
        </w:rPr>
      </w:pPr>
      <w:bookmarkStart w:id="416" w:name="bookmark363"/>
      <w:bookmarkEnd w:id="416"/>
      <w:bookmarkStart w:id="417" w:name="bookmark362"/>
      <w:bookmarkEnd w:id="417"/>
      <w:r>
        <w:rPr>
          <w:rFonts w:ascii="Times New Roman" w:hAnsi="Times New Roman" w:eastAsia="Times New Roman" w:cs="Times New Roman"/>
          <w:b/>
          <w:bCs/>
          <w:spacing w:val="5"/>
          <w:sz w:val="28"/>
          <w:szCs w:val="28"/>
        </w:rPr>
        <w:t>9.</w:t>
      </w:r>
      <w:r>
        <w:rPr>
          <w:rFonts w:ascii="Times New Roman" w:hAnsi="Times New Roman" w:eastAsia="Times New Roman" w:cs="Times New Roman"/>
          <w:b/>
          <w:bCs/>
          <w:spacing w:val="72"/>
          <w:sz w:val="28"/>
          <w:szCs w:val="28"/>
        </w:rPr>
        <w:t xml:space="preserve"> </w:t>
      </w:r>
      <w:r>
        <w:rPr>
          <w:rFonts w:ascii="黑体" w:hAnsi="黑体" w:eastAsia="黑体" w:cs="黑体"/>
          <w:b/>
          <w:bCs/>
          <w:spacing w:val="5"/>
          <w:sz w:val="28"/>
          <w:szCs w:val="28"/>
        </w:rPr>
        <w:t>试验与检验</w:t>
      </w:r>
    </w:p>
    <w:p w14:paraId="1C2E14D3">
      <w:pPr>
        <w:spacing w:before="71" w:line="232" w:lineRule="auto"/>
        <w:ind w:left="23"/>
        <w:outlineLvl w:val="1"/>
        <w:rPr>
          <w:rFonts w:ascii="黑体" w:hAnsi="黑体" w:eastAsia="黑体" w:cs="黑体"/>
          <w:sz w:val="24"/>
          <w:szCs w:val="24"/>
        </w:rPr>
      </w:pPr>
      <w:bookmarkStart w:id="418" w:name="bookmark691"/>
      <w:bookmarkEnd w:id="418"/>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p w14:paraId="40971609">
      <w:pPr>
        <w:spacing w:before="130" w:line="352" w:lineRule="auto"/>
        <w:ind w:left="24" w:right="73" w:firstLine="420"/>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9.1.1  </w:t>
      </w:r>
      <w:r>
        <w:rPr>
          <w:rFonts w:ascii="宋体" w:hAnsi="宋体" w:eastAsia="宋体" w:cs="宋体"/>
          <w:spacing w:val="1"/>
          <w:sz w:val="21"/>
          <w:szCs w:val="21"/>
        </w:rPr>
        <w:t>承包人根据合同约定或监理人指示进</w:t>
      </w:r>
      <w:r>
        <w:rPr>
          <w:rFonts w:ascii="宋体" w:hAnsi="宋体" w:eastAsia="宋体" w:cs="宋体"/>
          <w:sz w:val="21"/>
          <w:szCs w:val="21"/>
        </w:rPr>
        <w:t>行的现场材料试验，应由承包人提供试验场</w:t>
      </w:r>
      <w:r>
        <w:rPr>
          <w:rFonts w:ascii="宋体" w:hAnsi="宋体" w:eastAsia="宋体" w:cs="宋体"/>
          <w:spacing w:val="-2"/>
          <w:sz w:val="21"/>
          <w:szCs w:val="21"/>
        </w:rPr>
        <w:t>所、试验人员、试验设备以及其他必要的试验条件。监理人在必要时可以使用承包</w:t>
      </w:r>
      <w:r>
        <w:rPr>
          <w:rFonts w:ascii="宋体" w:hAnsi="宋体" w:eastAsia="宋体" w:cs="宋体"/>
          <w:spacing w:val="-3"/>
          <w:sz w:val="21"/>
          <w:szCs w:val="21"/>
        </w:rPr>
        <w:t>人提供的</w:t>
      </w:r>
      <w:r>
        <w:rPr>
          <w:rFonts w:ascii="宋体" w:hAnsi="宋体" w:eastAsia="宋体" w:cs="宋体"/>
          <w:spacing w:val="-2"/>
          <w:sz w:val="21"/>
          <w:szCs w:val="21"/>
        </w:rPr>
        <w:t>试验场所、试验设备以及其他试验条件，进行以工程质量检查为目的的材料复核</w:t>
      </w:r>
      <w:r>
        <w:rPr>
          <w:rFonts w:ascii="宋体" w:hAnsi="宋体" w:eastAsia="宋体" w:cs="宋体"/>
          <w:spacing w:val="-3"/>
          <w:sz w:val="21"/>
          <w:szCs w:val="21"/>
        </w:rPr>
        <w:t>试验，承包</w:t>
      </w:r>
      <w:r>
        <w:rPr>
          <w:rFonts w:ascii="宋体" w:hAnsi="宋体" w:eastAsia="宋体" w:cs="宋体"/>
          <w:spacing w:val="-5"/>
          <w:sz w:val="21"/>
          <w:szCs w:val="21"/>
        </w:rPr>
        <w:t>人应予以协助。</w:t>
      </w:r>
    </w:p>
    <w:p w14:paraId="4A74D3EC">
      <w:pPr>
        <w:spacing w:line="352" w:lineRule="auto"/>
        <w:rPr>
          <w:rFonts w:ascii="宋体" w:hAnsi="宋体" w:eastAsia="宋体" w:cs="宋体"/>
          <w:sz w:val="21"/>
          <w:szCs w:val="21"/>
        </w:rPr>
        <w:sectPr>
          <w:footerReference r:id="rId177" w:type="default"/>
          <w:pgSz w:w="11910" w:h="16845"/>
          <w:pgMar w:top="400" w:right="1705" w:bottom="1110" w:left="1786" w:header="0" w:footer="883" w:gutter="0"/>
          <w:cols w:space="720" w:num="1"/>
        </w:sectPr>
      </w:pPr>
    </w:p>
    <w:p w14:paraId="099D3538">
      <w:pPr>
        <w:pStyle w:val="2"/>
        <w:spacing w:line="275" w:lineRule="auto"/>
      </w:pPr>
    </w:p>
    <w:p w14:paraId="658BFD22">
      <w:pPr>
        <w:pStyle w:val="2"/>
        <w:spacing w:line="275" w:lineRule="auto"/>
      </w:pPr>
    </w:p>
    <w:p w14:paraId="1787896B">
      <w:pPr>
        <w:pStyle w:val="2"/>
        <w:spacing w:line="275" w:lineRule="auto"/>
      </w:pPr>
    </w:p>
    <w:p w14:paraId="1B6CDECB">
      <w:pPr>
        <w:pStyle w:val="2"/>
        <w:spacing w:line="276" w:lineRule="auto"/>
      </w:pPr>
    </w:p>
    <w:p w14:paraId="1606985E">
      <w:pPr>
        <w:spacing w:before="69" w:line="348" w:lineRule="auto"/>
        <w:ind w:left="29" w:right="1" w:firstLine="415"/>
        <w:rPr>
          <w:rFonts w:ascii="宋体" w:hAnsi="宋体" w:eastAsia="宋体" w:cs="宋体"/>
          <w:sz w:val="21"/>
          <w:szCs w:val="21"/>
        </w:rPr>
      </w:pPr>
      <w:r>
        <w:rPr>
          <w:rFonts w:ascii="Times New Roman" w:hAnsi="Times New Roman" w:eastAsia="Times New Roman" w:cs="Times New Roman"/>
          <w:spacing w:val="-3"/>
          <w:sz w:val="21"/>
          <w:szCs w:val="21"/>
        </w:rPr>
        <w:t xml:space="preserve">9.1.2  </w:t>
      </w:r>
      <w:r>
        <w:rPr>
          <w:rFonts w:ascii="宋体" w:hAnsi="宋体" w:eastAsia="宋体" w:cs="宋体"/>
          <w:spacing w:val="-3"/>
          <w:sz w:val="21"/>
          <w:szCs w:val="21"/>
        </w:rPr>
        <w:t>承包人应按专用合同条款的约定提供试验设备、取样装置、试验场所和试验条件，并向监理人提交相应进场计划表。</w:t>
      </w:r>
    </w:p>
    <w:p w14:paraId="6C654DFA">
      <w:pPr>
        <w:spacing w:before="4" w:line="356" w:lineRule="auto"/>
        <w:ind w:left="23" w:right="76" w:firstLine="421"/>
        <w:rPr>
          <w:rFonts w:ascii="宋体" w:hAnsi="宋体" w:eastAsia="宋体" w:cs="宋体"/>
          <w:sz w:val="21"/>
          <w:szCs w:val="21"/>
        </w:rPr>
      </w:pPr>
      <w:r>
        <w:rPr>
          <w:rFonts w:ascii="宋体" w:hAnsi="宋体" w:eastAsia="宋体" w:cs="宋体"/>
          <w:spacing w:val="-2"/>
          <w:sz w:val="21"/>
          <w:szCs w:val="21"/>
        </w:rPr>
        <w:t>承包人配置的试验设备要符合相应试验规程的要求并经过具有资质的</w:t>
      </w:r>
      <w:r>
        <w:rPr>
          <w:rFonts w:ascii="宋体" w:hAnsi="宋体" w:eastAsia="宋体" w:cs="宋体"/>
          <w:spacing w:val="-3"/>
          <w:sz w:val="21"/>
          <w:szCs w:val="21"/>
        </w:rPr>
        <w:t>检测单位检测，且</w:t>
      </w:r>
      <w:r>
        <w:rPr>
          <w:rFonts w:ascii="宋体" w:hAnsi="宋体" w:eastAsia="宋体" w:cs="宋体"/>
          <w:spacing w:val="-1"/>
          <w:sz w:val="21"/>
          <w:szCs w:val="21"/>
        </w:rPr>
        <w:t>在正式使用该试验设备前，需要经过监理人与承包人共同校定。</w:t>
      </w:r>
    </w:p>
    <w:p w14:paraId="7C2B7133">
      <w:pPr>
        <w:spacing w:before="1" w:line="335" w:lineRule="auto"/>
        <w:ind w:left="27" w:right="13"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9.1.3  </w:t>
      </w:r>
      <w:r>
        <w:rPr>
          <w:rFonts w:ascii="宋体" w:hAnsi="宋体" w:eastAsia="宋体" w:cs="宋体"/>
          <w:spacing w:val="1"/>
          <w:sz w:val="21"/>
          <w:szCs w:val="21"/>
        </w:rPr>
        <w:t>承包人应向监理人提交试验人员的名</w:t>
      </w:r>
      <w:r>
        <w:rPr>
          <w:rFonts w:ascii="宋体" w:hAnsi="宋体" w:eastAsia="宋体" w:cs="宋体"/>
          <w:sz w:val="21"/>
          <w:szCs w:val="21"/>
        </w:rPr>
        <w:t>单及其岗位、资格等证明资料，试验人员必</w:t>
      </w:r>
      <w:r>
        <w:rPr>
          <w:rFonts w:ascii="宋体" w:hAnsi="宋体" w:eastAsia="宋体" w:cs="宋体"/>
          <w:spacing w:val="-1"/>
          <w:sz w:val="21"/>
          <w:szCs w:val="21"/>
        </w:rPr>
        <w:t>须能够熟练进行相应的检测试验，承包人对试验人员的试验程序和试验结果的正确性负责。</w:t>
      </w:r>
    </w:p>
    <w:p w14:paraId="386BD289">
      <w:pPr>
        <w:spacing w:before="6" w:line="232" w:lineRule="auto"/>
        <w:ind w:left="23"/>
        <w:outlineLvl w:val="1"/>
        <w:rPr>
          <w:rFonts w:ascii="黑体" w:hAnsi="黑体" w:eastAsia="黑体" w:cs="黑体"/>
          <w:sz w:val="24"/>
          <w:szCs w:val="24"/>
        </w:rPr>
      </w:pPr>
      <w:bookmarkStart w:id="419" w:name="bookmark364"/>
      <w:bookmarkEnd w:id="419"/>
      <w:r>
        <w:rPr>
          <w:rFonts w:ascii="Times New Roman" w:hAnsi="Times New Roman" w:eastAsia="Times New Roman" w:cs="Times New Roman"/>
          <w:b/>
          <w:bCs/>
          <w:spacing w:val="-3"/>
          <w:sz w:val="24"/>
          <w:szCs w:val="24"/>
        </w:rPr>
        <w:t>9.2</w:t>
      </w:r>
      <w:r>
        <w:rPr>
          <w:rFonts w:ascii="Times New Roman" w:hAnsi="Times New Roman" w:eastAsia="Times New Roman" w:cs="Times New Roman"/>
          <w:b/>
          <w:bCs/>
          <w:spacing w:val="17"/>
          <w:sz w:val="24"/>
          <w:szCs w:val="24"/>
        </w:rPr>
        <w:t xml:space="preserve"> </w:t>
      </w:r>
      <w:r>
        <w:rPr>
          <w:rFonts w:ascii="黑体" w:hAnsi="黑体" w:eastAsia="黑体" w:cs="黑体"/>
          <w:b/>
          <w:bCs/>
          <w:spacing w:val="-3"/>
          <w:sz w:val="24"/>
          <w:szCs w:val="24"/>
        </w:rPr>
        <w:t>取样</w:t>
      </w:r>
    </w:p>
    <w:p w14:paraId="2EE22902">
      <w:pPr>
        <w:spacing w:before="128" w:line="339" w:lineRule="auto"/>
        <w:ind w:left="26" w:right="74" w:firstLine="417"/>
        <w:rPr>
          <w:rFonts w:ascii="宋体" w:hAnsi="宋体" w:eastAsia="宋体" w:cs="宋体"/>
          <w:sz w:val="21"/>
          <w:szCs w:val="21"/>
        </w:rPr>
      </w:pPr>
      <w:r>
        <w:rPr>
          <w:rFonts w:ascii="宋体" w:hAnsi="宋体" w:eastAsia="宋体" w:cs="宋体"/>
          <w:spacing w:val="-5"/>
          <w:sz w:val="21"/>
          <w:szCs w:val="21"/>
        </w:rPr>
        <w:t>试验属于自检性质的，承包人可以单独取样。试验属于监理人抽检性质的， 可由监理人</w:t>
      </w:r>
      <w:r>
        <w:rPr>
          <w:rFonts w:ascii="宋体" w:hAnsi="宋体" w:eastAsia="宋体" w:cs="宋体"/>
          <w:spacing w:val="-1"/>
          <w:sz w:val="21"/>
          <w:szCs w:val="21"/>
        </w:rPr>
        <w:t>取样，也可由承包人的试验人员在监理人的监督</w:t>
      </w:r>
      <w:r>
        <w:rPr>
          <w:rFonts w:ascii="宋体" w:hAnsi="宋体" w:eastAsia="宋体" w:cs="宋体"/>
          <w:spacing w:val="-2"/>
          <w:sz w:val="21"/>
          <w:szCs w:val="21"/>
        </w:rPr>
        <w:t>下取样。</w:t>
      </w:r>
    </w:p>
    <w:p w14:paraId="4248CD27">
      <w:pPr>
        <w:spacing w:before="1" w:line="231" w:lineRule="auto"/>
        <w:ind w:left="23"/>
        <w:outlineLvl w:val="1"/>
        <w:rPr>
          <w:rFonts w:ascii="黑体" w:hAnsi="黑体" w:eastAsia="黑体" w:cs="黑体"/>
          <w:sz w:val="24"/>
          <w:szCs w:val="24"/>
        </w:rPr>
      </w:pPr>
      <w:bookmarkStart w:id="420" w:name="bookmark365"/>
      <w:bookmarkEnd w:id="420"/>
      <w:r>
        <w:rPr>
          <w:rFonts w:ascii="Times New Roman" w:hAnsi="Times New Roman" w:eastAsia="Times New Roman" w:cs="Times New Roman"/>
          <w:b/>
          <w:bCs/>
          <w:sz w:val="24"/>
          <w:szCs w:val="24"/>
        </w:rPr>
        <w:t xml:space="preserve">9.3 </w:t>
      </w:r>
      <w:r>
        <w:rPr>
          <w:rFonts w:ascii="黑体" w:hAnsi="黑体" w:eastAsia="黑体" w:cs="黑体"/>
          <w:b/>
          <w:bCs/>
          <w:sz w:val="24"/>
          <w:szCs w:val="24"/>
        </w:rPr>
        <w:t>材料、工程设备和工程的试验和检验</w:t>
      </w:r>
    </w:p>
    <w:p w14:paraId="0BEA67EF">
      <w:pPr>
        <w:spacing w:before="129" w:line="348" w:lineRule="auto"/>
        <w:ind w:left="24" w:right="76" w:firstLine="420"/>
        <w:rPr>
          <w:rFonts w:ascii="宋体" w:hAnsi="宋体" w:eastAsia="宋体" w:cs="宋体"/>
          <w:sz w:val="21"/>
          <w:szCs w:val="21"/>
        </w:rPr>
      </w:pPr>
      <w:r>
        <w:rPr>
          <w:rFonts w:ascii="Times New Roman" w:hAnsi="Times New Roman" w:eastAsia="Times New Roman" w:cs="Times New Roman"/>
          <w:sz w:val="21"/>
          <w:szCs w:val="21"/>
        </w:rPr>
        <w:t xml:space="preserve">9.3.1  </w:t>
      </w:r>
      <w:r>
        <w:rPr>
          <w:rFonts w:ascii="宋体" w:hAnsi="宋体" w:eastAsia="宋体" w:cs="宋体"/>
          <w:sz w:val="21"/>
          <w:szCs w:val="21"/>
        </w:rPr>
        <w:t>承包人应按合同约定进行材料、工程设备和工程的试验和检验，并为监理人对上</w:t>
      </w:r>
      <w:r>
        <w:rPr>
          <w:rFonts w:ascii="宋体" w:hAnsi="宋体" w:eastAsia="宋体" w:cs="宋体"/>
          <w:spacing w:val="-2"/>
          <w:sz w:val="21"/>
          <w:szCs w:val="21"/>
        </w:rPr>
        <w:t>述材料、工程设备和工程的质量检查提供必要的试验资料和原始记录。按合同约定</w:t>
      </w:r>
      <w:r>
        <w:rPr>
          <w:rFonts w:ascii="宋体" w:hAnsi="宋体" w:eastAsia="宋体" w:cs="宋体"/>
          <w:spacing w:val="-3"/>
          <w:sz w:val="21"/>
          <w:szCs w:val="21"/>
        </w:rPr>
        <w:t>应由监理</w:t>
      </w:r>
      <w:r>
        <w:rPr>
          <w:rFonts w:ascii="宋体" w:hAnsi="宋体" w:eastAsia="宋体" w:cs="宋体"/>
          <w:spacing w:val="-1"/>
          <w:sz w:val="21"/>
          <w:szCs w:val="21"/>
        </w:rPr>
        <w:t>人与承包人共同进行试验和检验的，由承包人负责提供必要的试验资料和原始记录。</w:t>
      </w:r>
    </w:p>
    <w:p w14:paraId="78D9BB82">
      <w:pPr>
        <w:spacing w:before="12" w:line="350" w:lineRule="auto"/>
        <w:ind w:left="24" w:right="73" w:firstLine="420"/>
        <w:rPr>
          <w:rFonts w:ascii="宋体" w:hAnsi="宋体" w:eastAsia="宋体" w:cs="宋体"/>
          <w:sz w:val="21"/>
          <w:szCs w:val="21"/>
        </w:rPr>
      </w:pPr>
      <w:r>
        <w:rPr>
          <w:rFonts w:ascii="Times New Roman" w:hAnsi="Times New Roman" w:eastAsia="Times New Roman" w:cs="Times New Roman"/>
          <w:sz w:val="21"/>
          <w:szCs w:val="21"/>
        </w:rPr>
        <w:t xml:space="preserve">9.3.2  </w:t>
      </w:r>
      <w:r>
        <w:rPr>
          <w:rFonts w:ascii="宋体" w:hAnsi="宋体" w:eastAsia="宋体" w:cs="宋体"/>
          <w:sz w:val="21"/>
          <w:szCs w:val="21"/>
        </w:rPr>
        <w:t>试验属于自检性质的，承包人可以单独进行试验。试验属于监理人抽检性质的，</w:t>
      </w:r>
      <w:r>
        <w:rPr>
          <w:rFonts w:ascii="宋体" w:hAnsi="宋体" w:eastAsia="宋体" w:cs="宋体"/>
          <w:spacing w:val="-2"/>
          <w:sz w:val="21"/>
          <w:szCs w:val="21"/>
        </w:rPr>
        <w:t>监理人可以单独进行试验，也可由承包人与监理人共同进行。承包人对由监理人单独进行的</w:t>
      </w:r>
      <w:r>
        <w:rPr>
          <w:rFonts w:ascii="宋体" w:hAnsi="宋体" w:eastAsia="宋体" w:cs="宋体"/>
          <w:spacing w:val="-5"/>
          <w:sz w:val="21"/>
          <w:szCs w:val="21"/>
        </w:rPr>
        <w:t>试验结果有异议的，可以申请重新共同进行试验。约定共同进行试验的， 监理人未按照约定</w:t>
      </w:r>
      <w:r>
        <w:rPr>
          <w:rFonts w:ascii="宋体" w:hAnsi="宋体" w:eastAsia="宋体" w:cs="宋体"/>
          <w:spacing w:val="-1"/>
          <w:sz w:val="21"/>
          <w:szCs w:val="21"/>
        </w:rPr>
        <w:t>参加试验的，承包人可自行试验，并将试验结果报送监理人，监理人应承认该试验结果。</w:t>
      </w:r>
    </w:p>
    <w:p w14:paraId="67F8567C">
      <w:pPr>
        <w:spacing w:before="1" w:line="349" w:lineRule="auto"/>
        <w:ind w:left="25"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9.3.3  </w:t>
      </w:r>
      <w:r>
        <w:rPr>
          <w:rFonts w:ascii="宋体" w:hAnsi="宋体" w:eastAsia="宋体" w:cs="宋体"/>
          <w:spacing w:val="1"/>
          <w:sz w:val="21"/>
          <w:szCs w:val="21"/>
        </w:rPr>
        <w:t>监理人对承包人的试验和检验结果有</w:t>
      </w:r>
      <w:r>
        <w:rPr>
          <w:rFonts w:ascii="宋体" w:hAnsi="宋体" w:eastAsia="宋体" w:cs="宋体"/>
          <w:sz w:val="21"/>
          <w:szCs w:val="21"/>
        </w:rPr>
        <w:t>异议的，或为查清承包人试验和检验成果的</w:t>
      </w:r>
      <w:r>
        <w:rPr>
          <w:rFonts w:ascii="宋体" w:hAnsi="宋体" w:eastAsia="宋体" w:cs="宋体"/>
          <w:spacing w:val="-2"/>
          <w:sz w:val="21"/>
          <w:szCs w:val="21"/>
        </w:rPr>
        <w:t>可靠性要求承包人重新试验和检验的，可由监理人与承包人共同进行。重新试验和检</w:t>
      </w:r>
      <w:r>
        <w:rPr>
          <w:rFonts w:ascii="宋体" w:hAnsi="宋体" w:eastAsia="宋体" w:cs="宋体"/>
          <w:spacing w:val="-3"/>
          <w:sz w:val="21"/>
          <w:szCs w:val="21"/>
        </w:rPr>
        <w:t>验的结</w:t>
      </w:r>
      <w:r>
        <w:rPr>
          <w:rFonts w:ascii="宋体" w:hAnsi="宋体" w:eastAsia="宋体" w:cs="宋体"/>
          <w:spacing w:val="-6"/>
          <w:sz w:val="21"/>
          <w:szCs w:val="21"/>
        </w:rPr>
        <w:t>果证明该项材料、工程设备或工程的质量不符合合同要求的，</w:t>
      </w:r>
      <w:r>
        <w:rPr>
          <w:rFonts w:ascii="宋体" w:hAnsi="宋体" w:eastAsia="宋体" w:cs="宋体"/>
          <w:spacing w:val="69"/>
          <w:sz w:val="21"/>
          <w:szCs w:val="21"/>
        </w:rPr>
        <w:t xml:space="preserve"> </w:t>
      </w:r>
      <w:r>
        <w:rPr>
          <w:rFonts w:ascii="宋体" w:hAnsi="宋体" w:eastAsia="宋体" w:cs="宋体"/>
          <w:spacing w:val="-6"/>
          <w:sz w:val="21"/>
          <w:szCs w:val="21"/>
        </w:rPr>
        <w:t>由此增加的费用和（或）延误</w:t>
      </w:r>
      <w:r>
        <w:rPr>
          <w:rFonts w:ascii="宋体" w:hAnsi="宋体" w:eastAsia="宋体" w:cs="宋体"/>
          <w:spacing w:val="-5"/>
          <w:sz w:val="21"/>
          <w:szCs w:val="21"/>
        </w:rPr>
        <w:t>的工期由承包人承担；重新试验和检验结果证明该项材料、工</w:t>
      </w:r>
      <w:r>
        <w:rPr>
          <w:rFonts w:ascii="宋体" w:hAnsi="宋体" w:eastAsia="宋体" w:cs="宋体"/>
          <w:spacing w:val="-6"/>
          <w:sz w:val="21"/>
          <w:szCs w:val="21"/>
        </w:rPr>
        <w:t>程设备和工程符合合同要求的，</w:t>
      </w:r>
      <w:r>
        <w:rPr>
          <w:rFonts w:ascii="宋体" w:hAnsi="宋体" w:eastAsia="宋体" w:cs="宋体"/>
          <w:spacing w:val="-2"/>
          <w:sz w:val="21"/>
          <w:szCs w:val="21"/>
        </w:rPr>
        <w:t>由此增加的费用和（或）延误的工期由发包人承担。</w:t>
      </w:r>
    </w:p>
    <w:p w14:paraId="1B746580">
      <w:pPr>
        <w:spacing w:before="1" w:line="231" w:lineRule="auto"/>
        <w:ind w:left="23"/>
        <w:outlineLvl w:val="1"/>
        <w:rPr>
          <w:rFonts w:ascii="黑体" w:hAnsi="黑体" w:eastAsia="黑体" w:cs="黑体"/>
          <w:sz w:val="24"/>
          <w:szCs w:val="24"/>
        </w:rPr>
      </w:pPr>
      <w:bookmarkStart w:id="421" w:name="bookmark366"/>
      <w:bookmarkEnd w:id="421"/>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p w14:paraId="54DCD662">
      <w:pPr>
        <w:spacing w:before="115" w:line="358" w:lineRule="auto"/>
        <w:ind w:left="24" w:right="74" w:firstLine="420"/>
        <w:jc w:val="both"/>
        <w:rPr>
          <w:rFonts w:ascii="宋体" w:hAnsi="宋体" w:eastAsia="宋体" w:cs="宋体"/>
          <w:sz w:val="21"/>
          <w:szCs w:val="21"/>
        </w:rPr>
      </w:pPr>
      <w:r>
        <w:rPr>
          <w:rFonts w:ascii="宋体" w:hAnsi="宋体" w:eastAsia="宋体" w:cs="宋体"/>
          <w:spacing w:val="-4"/>
          <w:sz w:val="21"/>
          <w:szCs w:val="21"/>
        </w:rPr>
        <w:t>承包人应按合同约定或监理人指示进行现场工艺试验。对大型的现场工艺试验，</w:t>
      </w:r>
      <w:r>
        <w:rPr>
          <w:rFonts w:ascii="宋体" w:hAnsi="宋体" w:eastAsia="宋体" w:cs="宋体"/>
          <w:spacing w:val="-35"/>
          <w:sz w:val="21"/>
          <w:szCs w:val="21"/>
        </w:rPr>
        <w:t xml:space="preserve"> </w:t>
      </w:r>
      <w:r>
        <w:rPr>
          <w:rFonts w:ascii="宋体" w:hAnsi="宋体" w:eastAsia="宋体" w:cs="宋体"/>
          <w:spacing w:val="-4"/>
          <w:sz w:val="21"/>
          <w:szCs w:val="21"/>
        </w:rPr>
        <w:t>监理人</w:t>
      </w:r>
      <w:r>
        <w:rPr>
          <w:rFonts w:ascii="宋体" w:hAnsi="宋体" w:eastAsia="宋体" w:cs="宋体"/>
          <w:spacing w:val="-2"/>
          <w:sz w:val="21"/>
          <w:szCs w:val="21"/>
        </w:rPr>
        <w:t>认为必要时，承包人应根据监理人提出的工艺试验要求，编制工艺试验措施</w:t>
      </w:r>
      <w:r>
        <w:rPr>
          <w:rFonts w:ascii="宋体" w:hAnsi="宋体" w:eastAsia="宋体" w:cs="宋体"/>
          <w:spacing w:val="-3"/>
          <w:sz w:val="21"/>
          <w:szCs w:val="21"/>
        </w:rPr>
        <w:t>计划，报送监理</w:t>
      </w:r>
      <w:r>
        <w:rPr>
          <w:rFonts w:ascii="宋体" w:hAnsi="宋体" w:eastAsia="宋体" w:cs="宋体"/>
          <w:spacing w:val="-7"/>
          <w:sz w:val="21"/>
          <w:szCs w:val="21"/>
        </w:rPr>
        <w:t>人审查。</w:t>
      </w:r>
    </w:p>
    <w:p w14:paraId="037073F0">
      <w:pPr>
        <w:spacing w:before="19" w:line="237" w:lineRule="auto"/>
        <w:ind w:left="34"/>
        <w:outlineLvl w:val="0"/>
        <w:rPr>
          <w:rFonts w:ascii="黑体" w:hAnsi="黑体" w:eastAsia="黑体" w:cs="黑体"/>
          <w:sz w:val="28"/>
          <w:szCs w:val="28"/>
        </w:rPr>
      </w:pPr>
      <w:bookmarkStart w:id="422" w:name="bookmark368"/>
      <w:bookmarkEnd w:id="422"/>
      <w:bookmarkStart w:id="423" w:name="bookmark367"/>
      <w:bookmarkEnd w:id="423"/>
      <w:r>
        <w:rPr>
          <w:rFonts w:ascii="Times New Roman" w:hAnsi="Times New Roman" w:eastAsia="Times New Roman" w:cs="Times New Roman"/>
          <w:b/>
          <w:bCs/>
          <w:sz w:val="28"/>
          <w:szCs w:val="28"/>
        </w:rPr>
        <w:t xml:space="preserve">10.  </w:t>
      </w:r>
      <w:r>
        <w:rPr>
          <w:rFonts w:ascii="黑体" w:hAnsi="黑体" w:eastAsia="黑体" w:cs="黑体"/>
          <w:b/>
          <w:bCs/>
          <w:sz w:val="28"/>
          <w:szCs w:val="28"/>
        </w:rPr>
        <w:t>变更</w:t>
      </w:r>
    </w:p>
    <w:p w14:paraId="449A6108">
      <w:pPr>
        <w:spacing w:before="85" w:line="233" w:lineRule="auto"/>
        <w:ind w:left="31"/>
        <w:outlineLvl w:val="1"/>
        <w:rPr>
          <w:rFonts w:ascii="黑体" w:hAnsi="黑体" w:eastAsia="黑体" w:cs="黑体"/>
          <w:sz w:val="24"/>
          <w:szCs w:val="24"/>
        </w:rPr>
      </w:pPr>
      <w:bookmarkStart w:id="424" w:name="bookmark692"/>
      <w:bookmarkEnd w:id="424"/>
      <w:r>
        <w:rPr>
          <w:rFonts w:ascii="Times New Roman" w:hAnsi="Times New Roman" w:eastAsia="Times New Roman" w:cs="Times New Roman"/>
          <w:b/>
          <w:bCs/>
          <w:spacing w:val="1"/>
          <w:sz w:val="24"/>
          <w:szCs w:val="24"/>
        </w:rPr>
        <w:t xml:space="preserve">10.1 </w:t>
      </w:r>
      <w:r>
        <w:rPr>
          <w:rFonts w:ascii="黑体" w:hAnsi="黑体" w:eastAsia="黑体" w:cs="黑体"/>
          <w:b/>
          <w:bCs/>
          <w:spacing w:val="1"/>
          <w:sz w:val="24"/>
          <w:szCs w:val="24"/>
        </w:rPr>
        <w:t>变更的范围</w:t>
      </w:r>
    </w:p>
    <w:p w14:paraId="2E59D2DE">
      <w:pPr>
        <w:spacing w:before="115" w:line="356" w:lineRule="auto"/>
        <w:ind w:left="26" w:right="74" w:firstLine="430"/>
        <w:rPr>
          <w:rFonts w:ascii="宋体" w:hAnsi="宋体" w:eastAsia="宋体" w:cs="宋体"/>
          <w:sz w:val="21"/>
          <w:szCs w:val="21"/>
        </w:rPr>
      </w:pPr>
      <w:r>
        <w:rPr>
          <w:rFonts w:ascii="宋体" w:hAnsi="宋体" w:eastAsia="宋体" w:cs="宋体"/>
          <w:spacing w:val="-2"/>
          <w:sz w:val="21"/>
          <w:szCs w:val="21"/>
        </w:rPr>
        <w:t>除专用合同条款另有约定外，合同履行过程</w:t>
      </w:r>
      <w:r>
        <w:rPr>
          <w:rFonts w:ascii="宋体" w:hAnsi="宋体" w:eastAsia="宋体" w:cs="宋体"/>
          <w:spacing w:val="-3"/>
          <w:sz w:val="21"/>
          <w:szCs w:val="21"/>
        </w:rPr>
        <w:t>中发生以下情形的，应按照本条约定进行变</w:t>
      </w:r>
      <w:r>
        <w:rPr>
          <w:rFonts w:ascii="宋体" w:hAnsi="宋体" w:eastAsia="宋体" w:cs="宋体"/>
          <w:spacing w:val="-15"/>
          <w:sz w:val="21"/>
          <w:szCs w:val="21"/>
        </w:rPr>
        <w:t>更：</w:t>
      </w:r>
    </w:p>
    <w:p w14:paraId="0FB8DC14">
      <w:pPr>
        <w:spacing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）增加或减少合同中任何工作，或追加额外的工作；</w:t>
      </w:r>
    </w:p>
    <w:p w14:paraId="2FBB4026">
      <w:pPr>
        <w:spacing w:before="126"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）取消合同中任何工作，但转由他人实施的工作除外；</w:t>
      </w:r>
    </w:p>
    <w:p w14:paraId="279DE541">
      <w:pPr>
        <w:spacing w:before="140"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）改变合同中任何工作的质量标准或其他特性；</w:t>
      </w:r>
    </w:p>
    <w:p w14:paraId="58F4D120">
      <w:pPr>
        <w:spacing w:before="139"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）改变工程的基线、标高、位置和尺寸；</w:t>
      </w:r>
    </w:p>
    <w:p w14:paraId="5CE451A4">
      <w:pPr>
        <w:spacing w:line="233" w:lineRule="auto"/>
        <w:rPr>
          <w:rFonts w:ascii="宋体" w:hAnsi="宋体" w:eastAsia="宋体" w:cs="宋体"/>
          <w:sz w:val="21"/>
          <w:szCs w:val="21"/>
        </w:rPr>
        <w:sectPr>
          <w:footerReference r:id="rId178" w:type="default"/>
          <w:pgSz w:w="11910" w:h="16845"/>
          <w:pgMar w:top="400" w:right="1705" w:bottom="1110" w:left="1786" w:header="0" w:footer="883" w:gutter="0"/>
          <w:cols w:space="720" w:num="1"/>
        </w:sectPr>
      </w:pPr>
    </w:p>
    <w:p w14:paraId="186D2F7B">
      <w:pPr>
        <w:pStyle w:val="2"/>
        <w:spacing w:line="275" w:lineRule="auto"/>
      </w:pPr>
    </w:p>
    <w:p w14:paraId="7960A2F4">
      <w:pPr>
        <w:pStyle w:val="2"/>
        <w:spacing w:line="275" w:lineRule="auto"/>
      </w:pPr>
    </w:p>
    <w:p w14:paraId="60A267D2">
      <w:pPr>
        <w:pStyle w:val="2"/>
        <w:spacing w:line="275" w:lineRule="auto"/>
      </w:pPr>
    </w:p>
    <w:p w14:paraId="67B02CE1">
      <w:pPr>
        <w:pStyle w:val="2"/>
        <w:spacing w:line="276" w:lineRule="auto"/>
      </w:pPr>
    </w:p>
    <w:p w14:paraId="37EF5FFB">
      <w:pPr>
        <w:spacing w:before="68"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）改变工程的时间安排或实施顺序。</w:t>
      </w:r>
    </w:p>
    <w:p w14:paraId="31B5DE2F">
      <w:pPr>
        <w:spacing w:before="113" w:line="233" w:lineRule="auto"/>
        <w:ind w:left="31"/>
        <w:outlineLvl w:val="1"/>
        <w:rPr>
          <w:rFonts w:ascii="黑体" w:hAnsi="黑体" w:eastAsia="黑体" w:cs="黑体"/>
          <w:sz w:val="24"/>
          <w:szCs w:val="24"/>
        </w:rPr>
      </w:pPr>
      <w:bookmarkStart w:id="425" w:name="bookmark369"/>
      <w:bookmarkEnd w:id="425"/>
      <w:r>
        <w:rPr>
          <w:rFonts w:ascii="Times New Roman" w:hAnsi="Times New Roman" w:eastAsia="Times New Roman" w:cs="Times New Roman"/>
          <w:b/>
          <w:bCs/>
          <w:spacing w:val="-1"/>
          <w:sz w:val="24"/>
          <w:szCs w:val="24"/>
        </w:rPr>
        <w:t>10.2</w:t>
      </w:r>
      <w:r>
        <w:rPr>
          <w:rFonts w:ascii="Times New Roman" w:hAnsi="Times New Roman" w:eastAsia="Times New Roman" w:cs="Times New Roman"/>
          <w:b/>
          <w:bCs/>
          <w:spacing w:val="14"/>
          <w:sz w:val="24"/>
          <w:szCs w:val="24"/>
        </w:rPr>
        <w:t xml:space="preserve"> </w:t>
      </w:r>
      <w:r>
        <w:rPr>
          <w:rFonts w:ascii="黑体" w:hAnsi="黑体" w:eastAsia="黑体" w:cs="黑体"/>
          <w:b/>
          <w:bCs/>
          <w:spacing w:val="-1"/>
          <w:sz w:val="24"/>
          <w:szCs w:val="24"/>
        </w:rPr>
        <w:t>变更权</w:t>
      </w:r>
    </w:p>
    <w:p w14:paraId="748E4EE5">
      <w:pPr>
        <w:spacing w:before="113" w:line="352" w:lineRule="auto"/>
        <w:ind w:left="24" w:right="38" w:firstLine="423"/>
        <w:jc w:val="both"/>
        <w:rPr>
          <w:rFonts w:ascii="宋体" w:hAnsi="宋体" w:eastAsia="宋体" w:cs="宋体"/>
          <w:sz w:val="21"/>
          <w:szCs w:val="21"/>
        </w:rPr>
      </w:pPr>
      <w:r>
        <w:rPr>
          <w:rFonts w:ascii="宋体" w:hAnsi="宋体" w:eastAsia="宋体" w:cs="宋体"/>
          <w:spacing w:val="-4"/>
          <w:sz w:val="21"/>
          <w:szCs w:val="21"/>
        </w:rPr>
        <w:t>发包人和监理人均可以提出变更。变更指示均通过监理人发出，</w:t>
      </w:r>
      <w:r>
        <w:rPr>
          <w:rFonts w:ascii="宋体" w:hAnsi="宋体" w:eastAsia="宋体" w:cs="宋体"/>
          <w:spacing w:val="-39"/>
          <w:sz w:val="21"/>
          <w:szCs w:val="21"/>
        </w:rPr>
        <w:t xml:space="preserve"> </w:t>
      </w:r>
      <w:r>
        <w:rPr>
          <w:rFonts w:ascii="宋体" w:hAnsi="宋体" w:eastAsia="宋体" w:cs="宋体"/>
          <w:spacing w:val="-4"/>
          <w:sz w:val="21"/>
          <w:szCs w:val="21"/>
        </w:rPr>
        <w:t>监理人发出变更指示前</w:t>
      </w:r>
      <w:r>
        <w:rPr>
          <w:rFonts w:ascii="宋体" w:hAnsi="宋体" w:eastAsia="宋体" w:cs="宋体"/>
          <w:spacing w:val="-2"/>
          <w:sz w:val="21"/>
          <w:szCs w:val="21"/>
        </w:rPr>
        <w:t>应征得发包人同意。承包人收到经发包人签认的变更指示后，方可实施变更。未经许可，承包人不得擅自对工程的任何部分进行变更。</w:t>
      </w:r>
    </w:p>
    <w:p w14:paraId="767277F3">
      <w:pPr>
        <w:spacing w:before="2" w:line="344" w:lineRule="auto"/>
        <w:ind w:left="41" w:right="50" w:firstLine="404"/>
        <w:rPr>
          <w:rFonts w:ascii="宋体" w:hAnsi="宋体" w:eastAsia="宋体" w:cs="宋体"/>
          <w:sz w:val="21"/>
          <w:szCs w:val="21"/>
        </w:rPr>
      </w:pPr>
      <w:r>
        <w:rPr>
          <w:rFonts w:ascii="宋体" w:hAnsi="宋体" w:eastAsia="宋体" w:cs="宋体"/>
          <w:spacing w:val="-2"/>
          <w:sz w:val="21"/>
          <w:szCs w:val="21"/>
        </w:rPr>
        <w:t>涉及设计变更的，应由设计人提供变更后的图纸和说明。如变更超过</w:t>
      </w:r>
      <w:r>
        <w:rPr>
          <w:rFonts w:ascii="宋体" w:hAnsi="宋体" w:eastAsia="宋体" w:cs="宋体"/>
          <w:spacing w:val="-3"/>
          <w:sz w:val="21"/>
          <w:szCs w:val="21"/>
        </w:rPr>
        <w:t>原设计标准或批准</w:t>
      </w:r>
      <w:r>
        <w:rPr>
          <w:rFonts w:ascii="宋体" w:hAnsi="宋体" w:eastAsia="宋体" w:cs="宋体"/>
          <w:spacing w:val="-2"/>
          <w:sz w:val="21"/>
          <w:szCs w:val="21"/>
        </w:rPr>
        <w:t>的建设规模时，发包人应及时办理规划、设计变更等审批手续。</w:t>
      </w:r>
    </w:p>
    <w:p w14:paraId="5F9CA5DF">
      <w:pPr>
        <w:spacing w:before="1" w:line="232" w:lineRule="auto"/>
        <w:ind w:left="31"/>
        <w:outlineLvl w:val="1"/>
        <w:rPr>
          <w:rFonts w:ascii="黑体" w:hAnsi="黑体" w:eastAsia="黑体" w:cs="黑体"/>
          <w:sz w:val="24"/>
          <w:szCs w:val="24"/>
        </w:rPr>
      </w:pPr>
      <w:bookmarkStart w:id="426" w:name="bookmark370"/>
      <w:bookmarkEnd w:id="426"/>
      <w:r>
        <w:rPr>
          <w:rFonts w:ascii="Times New Roman" w:hAnsi="Times New Roman" w:eastAsia="Times New Roman" w:cs="Times New Roman"/>
          <w:b/>
          <w:bCs/>
          <w:sz w:val="24"/>
          <w:szCs w:val="24"/>
        </w:rPr>
        <w:t>10.3</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变更程序</w:t>
      </w:r>
    </w:p>
    <w:p w14:paraId="3EE72380">
      <w:pPr>
        <w:spacing w:before="113"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10.3.1</w:t>
      </w:r>
      <w:r>
        <w:rPr>
          <w:rFonts w:ascii="Times New Roman" w:hAnsi="Times New Roman" w:eastAsia="Times New Roman" w:cs="Times New Roman"/>
          <w:spacing w:val="57"/>
          <w:w w:val="101"/>
          <w:sz w:val="21"/>
          <w:szCs w:val="21"/>
        </w:rPr>
        <w:t xml:space="preserve"> </w:t>
      </w:r>
      <w:r>
        <w:rPr>
          <w:rFonts w:ascii="宋体" w:hAnsi="宋体" w:eastAsia="宋体" w:cs="宋体"/>
          <w:spacing w:val="-2"/>
          <w:sz w:val="21"/>
          <w:szCs w:val="21"/>
        </w:rPr>
        <w:t>发包人提出变更</w:t>
      </w:r>
    </w:p>
    <w:p w14:paraId="142C86AD">
      <w:pPr>
        <w:spacing w:before="139" w:line="350" w:lineRule="auto"/>
        <w:ind w:left="26" w:right="50" w:firstLine="421"/>
        <w:rPr>
          <w:rFonts w:ascii="宋体" w:hAnsi="宋体" w:eastAsia="宋体" w:cs="宋体"/>
          <w:sz w:val="21"/>
          <w:szCs w:val="21"/>
        </w:rPr>
      </w:pPr>
      <w:r>
        <w:rPr>
          <w:rFonts w:ascii="宋体" w:hAnsi="宋体" w:eastAsia="宋体" w:cs="宋体"/>
          <w:spacing w:val="-2"/>
          <w:sz w:val="21"/>
          <w:szCs w:val="21"/>
        </w:rPr>
        <w:t>发包人提出变更的，应通过监理人向承包人发出变更指示，变更</w:t>
      </w:r>
      <w:r>
        <w:rPr>
          <w:rFonts w:ascii="宋体" w:hAnsi="宋体" w:eastAsia="宋体" w:cs="宋体"/>
          <w:spacing w:val="-3"/>
          <w:sz w:val="21"/>
          <w:szCs w:val="21"/>
        </w:rPr>
        <w:t>指示应说明计划变更的工程范围和变更的内容。</w:t>
      </w:r>
    </w:p>
    <w:p w14:paraId="29AF981F">
      <w:pPr>
        <w:spacing w:line="234" w:lineRule="auto"/>
        <w:ind w:left="461"/>
        <w:rPr>
          <w:rFonts w:ascii="宋体" w:hAnsi="宋体" w:eastAsia="宋体" w:cs="宋体"/>
          <w:sz w:val="21"/>
          <w:szCs w:val="21"/>
        </w:rPr>
      </w:pPr>
      <w:r>
        <w:rPr>
          <w:rFonts w:ascii="Times New Roman" w:hAnsi="Times New Roman" w:eastAsia="Times New Roman" w:cs="Times New Roman"/>
          <w:spacing w:val="-1"/>
          <w:sz w:val="21"/>
          <w:szCs w:val="21"/>
        </w:rPr>
        <w:t>10.3.2</w:t>
      </w:r>
      <w:r>
        <w:rPr>
          <w:rFonts w:ascii="Times New Roman" w:hAnsi="Times New Roman" w:eastAsia="Times New Roman" w:cs="Times New Roman"/>
          <w:spacing w:val="47"/>
          <w:sz w:val="21"/>
          <w:szCs w:val="21"/>
        </w:rPr>
        <w:t xml:space="preserve"> </w:t>
      </w:r>
      <w:r>
        <w:rPr>
          <w:rFonts w:ascii="宋体" w:hAnsi="宋体" w:eastAsia="宋体" w:cs="宋体"/>
          <w:spacing w:val="-1"/>
          <w:sz w:val="21"/>
          <w:szCs w:val="21"/>
        </w:rPr>
        <w:t>监理人提出变更建议</w:t>
      </w:r>
    </w:p>
    <w:p w14:paraId="43F88A6E">
      <w:pPr>
        <w:spacing w:before="140" w:line="351" w:lineRule="auto"/>
        <w:ind w:left="25" w:right="38" w:firstLine="420"/>
        <w:rPr>
          <w:rFonts w:ascii="宋体" w:hAnsi="宋体" w:eastAsia="宋体" w:cs="宋体"/>
          <w:sz w:val="21"/>
          <w:szCs w:val="21"/>
        </w:rPr>
      </w:pPr>
      <w:r>
        <w:rPr>
          <w:rFonts w:ascii="宋体" w:hAnsi="宋体" w:eastAsia="宋体" w:cs="宋体"/>
          <w:spacing w:val="-2"/>
          <w:sz w:val="21"/>
          <w:szCs w:val="21"/>
        </w:rPr>
        <w:t>监理人提出变更建议的，需要向发包人以书面形式提出变更计划，说明</w:t>
      </w:r>
      <w:r>
        <w:rPr>
          <w:rFonts w:ascii="宋体" w:hAnsi="宋体" w:eastAsia="宋体" w:cs="宋体"/>
          <w:spacing w:val="-3"/>
          <w:sz w:val="21"/>
          <w:szCs w:val="21"/>
        </w:rPr>
        <w:t>计划变更工程范</w:t>
      </w:r>
      <w:r>
        <w:rPr>
          <w:rFonts w:ascii="宋体" w:hAnsi="宋体" w:eastAsia="宋体" w:cs="宋体"/>
          <w:spacing w:val="-6"/>
          <w:sz w:val="21"/>
          <w:szCs w:val="21"/>
        </w:rPr>
        <w:t>围和变更的内容、理由，</w:t>
      </w:r>
      <w:r>
        <w:rPr>
          <w:rFonts w:ascii="宋体" w:hAnsi="宋体" w:eastAsia="宋体" w:cs="宋体"/>
          <w:spacing w:val="65"/>
          <w:sz w:val="21"/>
          <w:szCs w:val="21"/>
        </w:rPr>
        <w:t xml:space="preserve"> </w:t>
      </w:r>
      <w:r>
        <w:rPr>
          <w:rFonts w:ascii="宋体" w:hAnsi="宋体" w:eastAsia="宋体" w:cs="宋体"/>
          <w:spacing w:val="-6"/>
          <w:sz w:val="21"/>
          <w:szCs w:val="21"/>
        </w:rPr>
        <w:t>以及实施该变更对合同价格和工期的影响。发包人同意变更的，由</w:t>
      </w:r>
      <w:r>
        <w:rPr>
          <w:rFonts w:ascii="宋体" w:hAnsi="宋体" w:eastAsia="宋体" w:cs="宋体"/>
          <w:spacing w:val="-1"/>
          <w:sz w:val="21"/>
          <w:szCs w:val="21"/>
        </w:rPr>
        <w:t>监理人向承包人发出变更指示。发包人不同意变更的，监理人无权擅自发出变更指示。</w:t>
      </w:r>
    </w:p>
    <w:p w14:paraId="4852EDB6">
      <w:pPr>
        <w:spacing w:before="3"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10.3.3</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变更执行</w:t>
      </w:r>
    </w:p>
    <w:p w14:paraId="679AED04">
      <w:pPr>
        <w:spacing w:before="141" w:line="344" w:lineRule="auto"/>
        <w:ind w:left="34" w:right="53" w:firstLine="409"/>
        <w:rPr>
          <w:rFonts w:ascii="宋体" w:hAnsi="宋体" w:eastAsia="宋体" w:cs="宋体"/>
          <w:sz w:val="21"/>
          <w:szCs w:val="21"/>
        </w:rPr>
      </w:pPr>
      <w:r>
        <w:rPr>
          <w:rFonts w:ascii="宋体" w:hAnsi="宋体" w:eastAsia="宋体" w:cs="宋体"/>
          <w:spacing w:val="-2"/>
          <w:sz w:val="21"/>
          <w:szCs w:val="21"/>
        </w:rPr>
        <w:t>承包人收到监理人下达的变更指示后，认为不能执行，应立</w:t>
      </w:r>
      <w:r>
        <w:rPr>
          <w:rFonts w:ascii="宋体" w:hAnsi="宋体" w:eastAsia="宋体" w:cs="宋体"/>
          <w:spacing w:val="-3"/>
          <w:sz w:val="21"/>
          <w:szCs w:val="21"/>
        </w:rPr>
        <w:t>即提出不能执行该变更指示</w:t>
      </w:r>
      <w:r>
        <w:rPr>
          <w:rFonts w:ascii="宋体" w:hAnsi="宋体" w:eastAsia="宋体" w:cs="宋体"/>
          <w:spacing w:val="-2"/>
          <w:sz w:val="21"/>
          <w:szCs w:val="21"/>
        </w:rPr>
        <w:t>的理由。承包人认为可以执行变更的，应当书面说明实施</w:t>
      </w:r>
      <w:r>
        <w:rPr>
          <w:rFonts w:ascii="宋体" w:hAnsi="宋体" w:eastAsia="宋体" w:cs="宋体"/>
          <w:spacing w:val="-3"/>
          <w:sz w:val="21"/>
          <w:szCs w:val="21"/>
        </w:rPr>
        <w:t>该变更指示对合同价格和工期的影</w:t>
      </w:r>
      <w:r>
        <w:rPr>
          <w:rFonts w:ascii="宋体" w:hAnsi="宋体" w:eastAsia="宋体" w:cs="宋体"/>
          <w:spacing w:val="-1"/>
          <w:sz w:val="21"/>
          <w:szCs w:val="21"/>
        </w:rPr>
        <w:t>响，且合同当事人应当按照第</w:t>
      </w:r>
      <w:r>
        <w:rPr>
          <w:rFonts w:ascii="宋体" w:hAnsi="宋体" w:eastAsia="宋体" w:cs="宋体"/>
          <w:spacing w:val="-23"/>
          <w:sz w:val="21"/>
          <w:szCs w:val="21"/>
        </w:rPr>
        <w:t xml:space="preserve"> </w:t>
      </w:r>
      <w:r>
        <w:rPr>
          <w:rFonts w:ascii="Times New Roman" w:hAnsi="Times New Roman" w:eastAsia="Times New Roman" w:cs="Times New Roman"/>
          <w:spacing w:val="-1"/>
          <w:sz w:val="21"/>
          <w:szCs w:val="21"/>
        </w:rPr>
        <w:t>10.4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款〔变更估价〕约定确定变更估价。</w:t>
      </w:r>
    </w:p>
    <w:p w14:paraId="5DD60FC9">
      <w:pPr>
        <w:spacing w:before="1" w:line="232" w:lineRule="auto"/>
        <w:ind w:left="31"/>
        <w:outlineLvl w:val="1"/>
        <w:rPr>
          <w:rFonts w:ascii="黑体" w:hAnsi="黑体" w:eastAsia="黑体" w:cs="黑体"/>
          <w:sz w:val="24"/>
          <w:szCs w:val="24"/>
        </w:rPr>
      </w:pPr>
      <w:bookmarkStart w:id="427" w:name="bookmark371"/>
      <w:bookmarkEnd w:id="427"/>
      <w:r>
        <w:rPr>
          <w:rFonts w:ascii="Times New Roman" w:hAnsi="Times New Roman" w:eastAsia="Times New Roman" w:cs="Times New Roman"/>
          <w:b/>
          <w:bCs/>
          <w:sz w:val="24"/>
          <w:szCs w:val="24"/>
        </w:rPr>
        <w:t>10.4</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变更估价</w:t>
      </w:r>
    </w:p>
    <w:p w14:paraId="4F593AAE">
      <w:pPr>
        <w:spacing w:before="114" w:line="232" w:lineRule="auto"/>
        <w:ind w:left="461"/>
        <w:rPr>
          <w:rFonts w:ascii="宋体" w:hAnsi="宋体" w:eastAsia="宋体" w:cs="宋体"/>
          <w:sz w:val="21"/>
          <w:szCs w:val="21"/>
        </w:rPr>
      </w:pPr>
      <w:r>
        <w:rPr>
          <w:rFonts w:ascii="Times New Roman" w:hAnsi="Times New Roman" w:eastAsia="Times New Roman" w:cs="Times New Roman"/>
          <w:spacing w:val="-2"/>
          <w:sz w:val="21"/>
          <w:szCs w:val="21"/>
        </w:rPr>
        <w:t>10.4.1</w:t>
      </w:r>
      <w:r>
        <w:rPr>
          <w:rFonts w:ascii="Times New Roman" w:hAnsi="Times New Roman" w:eastAsia="Times New Roman" w:cs="Times New Roman"/>
          <w:spacing w:val="54"/>
          <w:w w:val="101"/>
          <w:sz w:val="21"/>
          <w:szCs w:val="21"/>
        </w:rPr>
        <w:t xml:space="preserve"> </w:t>
      </w:r>
      <w:r>
        <w:rPr>
          <w:rFonts w:ascii="宋体" w:hAnsi="宋体" w:eastAsia="宋体" w:cs="宋体"/>
          <w:spacing w:val="-2"/>
          <w:sz w:val="21"/>
          <w:szCs w:val="21"/>
        </w:rPr>
        <w:t>变更估价原则</w:t>
      </w:r>
    </w:p>
    <w:p w14:paraId="48D17251">
      <w:pPr>
        <w:spacing w:before="141" w:line="218" w:lineRule="auto"/>
        <w:ind w:left="457"/>
        <w:rPr>
          <w:rFonts w:ascii="宋体" w:hAnsi="宋体" w:eastAsia="宋体" w:cs="宋体"/>
          <w:sz w:val="21"/>
          <w:szCs w:val="21"/>
        </w:rPr>
      </w:pPr>
      <w:r>
        <w:rPr>
          <w:rFonts w:ascii="宋体" w:hAnsi="宋体" w:eastAsia="宋体" w:cs="宋体"/>
          <w:spacing w:val="-2"/>
          <w:sz w:val="21"/>
          <w:szCs w:val="21"/>
        </w:rPr>
        <w:t>除专用合同条款另有约定外，变更估价按照本款约</w:t>
      </w:r>
      <w:r>
        <w:rPr>
          <w:rFonts w:ascii="宋体" w:hAnsi="宋体" w:eastAsia="宋体" w:cs="宋体"/>
          <w:spacing w:val="-3"/>
          <w:sz w:val="21"/>
          <w:szCs w:val="21"/>
        </w:rPr>
        <w:t>定处理：</w:t>
      </w:r>
    </w:p>
    <w:p w14:paraId="4AE88D69">
      <w:pPr>
        <w:spacing w:before="157" w:line="232"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）已标价工程量清单或预算书有相同项目的，按照相同项目单价认定；</w:t>
      </w:r>
    </w:p>
    <w:p w14:paraId="0F350E99">
      <w:pPr>
        <w:spacing w:before="128" w:line="347" w:lineRule="auto"/>
        <w:ind w:left="25" w:right="74"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）已标价工程量清单或预算书中无相同项目，但有类似项目的，参照</w:t>
      </w:r>
      <w:r>
        <w:rPr>
          <w:rFonts w:ascii="宋体" w:hAnsi="宋体" w:eastAsia="宋体" w:cs="宋体"/>
          <w:spacing w:val="-1"/>
          <w:sz w:val="21"/>
          <w:szCs w:val="21"/>
        </w:rPr>
        <w:t>类似项目的单</w:t>
      </w:r>
      <w:r>
        <w:rPr>
          <w:rFonts w:ascii="宋体" w:hAnsi="宋体" w:eastAsia="宋体" w:cs="宋体"/>
          <w:spacing w:val="-11"/>
          <w:sz w:val="21"/>
          <w:szCs w:val="21"/>
        </w:rPr>
        <w:t>价认定；</w:t>
      </w:r>
    </w:p>
    <w:p w14:paraId="62D767A1">
      <w:pPr>
        <w:spacing w:before="22" w:line="347" w:lineRule="auto"/>
        <w:ind w:left="23" w:right="58"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）变更导致实际完成的变更工程量与已标价工程量清单或预算</w:t>
      </w:r>
      <w:r>
        <w:rPr>
          <w:rFonts w:ascii="宋体" w:hAnsi="宋体" w:eastAsia="宋体" w:cs="宋体"/>
          <w:spacing w:val="-1"/>
          <w:sz w:val="21"/>
          <w:szCs w:val="21"/>
        </w:rPr>
        <w:t>书中列明的该项目工</w:t>
      </w:r>
      <w:r>
        <w:rPr>
          <w:rFonts w:ascii="宋体" w:hAnsi="宋体" w:eastAsia="宋体" w:cs="宋体"/>
          <w:spacing w:val="1"/>
          <w:sz w:val="21"/>
          <w:szCs w:val="21"/>
        </w:rPr>
        <w:t xml:space="preserve">程量的变化幅度超过 </w:t>
      </w:r>
      <w:r>
        <w:rPr>
          <w:rFonts w:ascii="Times New Roman" w:hAnsi="Times New Roman" w:eastAsia="Times New Roman" w:cs="Times New Roman"/>
          <w:spacing w:val="1"/>
          <w:sz w:val="21"/>
          <w:szCs w:val="21"/>
        </w:rPr>
        <w:t>15%</w:t>
      </w:r>
      <w:r>
        <w:rPr>
          <w:rFonts w:ascii="宋体" w:hAnsi="宋体" w:eastAsia="宋体" w:cs="宋体"/>
          <w:spacing w:val="1"/>
          <w:sz w:val="21"/>
          <w:szCs w:val="21"/>
        </w:rPr>
        <w:t>的，或已标价工程量清单或预算书中无相同项目及类似项目单价</w:t>
      </w:r>
      <w:r>
        <w:rPr>
          <w:rFonts w:ascii="宋体" w:hAnsi="宋体" w:eastAsia="宋体" w:cs="宋体"/>
          <w:spacing w:val="-1"/>
          <w:sz w:val="21"/>
          <w:szCs w:val="21"/>
        </w:rPr>
        <w:t>的，按照合理的成本与利润构成的原则，由合同当</w:t>
      </w:r>
      <w:r>
        <w:rPr>
          <w:rFonts w:ascii="宋体" w:hAnsi="宋体" w:eastAsia="宋体" w:cs="宋体"/>
          <w:spacing w:val="-2"/>
          <w:sz w:val="21"/>
          <w:szCs w:val="21"/>
        </w:rPr>
        <w:t>事人按照第</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款〔商定或确定〕确定变</w:t>
      </w:r>
      <w:r>
        <w:rPr>
          <w:rFonts w:ascii="宋体" w:hAnsi="宋体" w:eastAsia="宋体" w:cs="宋体"/>
          <w:spacing w:val="-5"/>
          <w:sz w:val="21"/>
          <w:szCs w:val="21"/>
        </w:rPr>
        <w:t>更工作的单价。</w:t>
      </w:r>
    </w:p>
    <w:p w14:paraId="44D67780">
      <w:pPr>
        <w:spacing w:before="11" w:line="232" w:lineRule="auto"/>
        <w:ind w:left="461"/>
        <w:rPr>
          <w:rFonts w:ascii="宋体" w:hAnsi="宋体" w:eastAsia="宋体" w:cs="宋体"/>
          <w:sz w:val="21"/>
          <w:szCs w:val="21"/>
        </w:rPr>
      </w:pPr>
      <w:r>
        <w:rPr>
          <w:rFonts w:ascii="Times New Roman" w:hAnsi="Times New Roman" w:eastAsia="Times New Roman" w:cs="Times New Roman"/>
          <w:spacing w:val="-2"/>
          <w:sz w:val="21"/>
          <w:szCs w:val="21"/>
        </w:rPr>
        <w:t>10.4.2</w:t>
      </w:r>
      <w:r>
        <w:rPr>
          <w:rFonts w:ascii="Times New Roman" w:hAnsi="Times New Roman" w:eastAsia="Times New Roman" w:cs="Times New Roman"/>
          <w:spacing w:val="54"/>
          <w:w w:val="101"/>
          <w:sz w:val="21"/>
          <w:szCs w:val="21"/>
        </w:rPr>
        <w:t xml:space="preserve"> </w:t>
      </w:r>
      <w:r>
        <w:rPr>
          <w:rFonts w:ascii="宋体" w:hAnsi="宋体" w:eastAsia="宋体" w:cs="宋体"/>
          <w:spacing w:val="-2"/>
          <w:sz w:val="21"/>
          <w:szCs w:val="21"/>
        </w:rPr>
        <w:t>变更估价程序</w:t>
      </w:r>
    </w:p>
    <w:p w14:paraId="7AB7C323">
      <w:pPr>
        <w:spacing w:before="143" w:line="347" w:lineRule="auto"/>
        <w:ind w:left="24" w:firstLine="420"/>
        <w:rPr>
          <w:rFonts w:ascii="宋体" w:hAnsi="宋体" w:eastAsia="宋体" w:cs="宋体"/>
          <w:sz w:val="21"/>
          <w:szCs w:val="21"/>
        </w:rPr>
      </w:pPr>
      <w:r>
        <w:rPr>
          <w:rFonts w:ascii="宋体" w:hAnsi="宋体" w:eastAsia="宋体" w:cs="宋体"/>
          <w:spacing w:val="-1"/>
          <w:sz w:val="21"/>
          <w:szCs w:val="21"/>
        </w:rPr>
        <w:t>承包人应在收到变更指示后</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天内，向监理人提交变更估价申请。监理人应在收到承</w:t>
      </w:r>
      <w:r>
        <w:rPr>
          <w:rFonts w:ascii="宋体" w:hAnsi="宋体" w:eastAsia="宋体" w:cs="宋体"/>
          <w:spacing w:val="-2"/>
          <w:sz w:val="21"/>
          <w:szCs w:val="21"/>
        </w:rPr>
        <w:t>包人提交的变更估价申请后</w:t>
      </w:r>
      <w:r>
        <w:rPr>
          <w:rFonts w:ascii="宋体" w:hAnsi="宋体" w:eastAsia="宋体" w:cs="宋体"/>
          <w:spacing w:val="-2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天内审查完毕并报送发包人，监理人对变更估价申请有异议，</w:t>
      </w:r>
      <w:r>
        <w:rPr>
          <w:rFonts w:ascii="宋体" w:hAnsi="宋体" w:eastAsia="宋体" w:cs="宋体"/>
          <w:spacing w:val="-1"/>
          <w:sz w:val="21"/>
          <w:szCs w:val="21"/>
        </w:rPr>
        <w:t>通知承包人修改后重新提交。发包人应在承包人提交变更估价申请后</w:t>
      </w:r>
      <w:r>
        <w:rPr>
          <w:rFonts w:ascii="宋体" w:hAnsi="宋体" w:eastAsia="宋体" w:cs="宋体"/>
          <w:spacing w:val="-18"/>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天内审批完毕。发包人逾期未完成审批或未提出异议的，视为认可承包人提交的变更估价申请。</w:t>
      </w:r>
    </w:p>
    <w:p w14:paraId="7B6DC9DF">
      <w:pPr>
        <w:spacing w:line="347" w:lineRule="auto"/>
        <w:rPr>
          <w:rFonts w:ascii="宋体" w:hAnsi="宋体" w:eastAsia="宋体" w:cs="宋体"/>
          <w:sz w:val="21"/>
          <w:szCs w:val="21"/>
        </w:rPr>
        <w:sectPr>
          <w:footerReference r:id="rId179" w:type="default"/>
          <w:pgSz w:w="11910" w:h="16845"/>
          <w:pgMar w:top="400" w:right="1728" w:bottom="1110" w:left="1786" w:header="0" w:footer="883" w:gutter="0"/>
          <w:cols w:space="720" w:num="1"/>
        </w:sectPr>
      </w:pPr>
    </w:p>
    <w:p w14:paraId="13EEE6F7">
      <w:pPr>
        <w:pStyle w:val="2"/>
        <w:spacing w:line="275" w:lineRule="auto"/>
      </w:pPr>
    </w:p>
    <w:p w14:paraId="1B0BDB55">
      <w:pPr>
        <w:pStyle w:val="2"/>
        <w:spacing w:line="275" w:lineRule="auto"/>
      </w:pPr>
    </w:p>
    <w:p w14:paraId="54F504AE">
      <w:pPr>
        <w:pStyle w:val="2"/>
        <w:spacing w:line="275" w:lineRule="auto"/>
      </w:pPr>
    </w:p>
    <w:p w14:paraId="36C522A6">
      <w:pPr>
        <w:pStyle w:val="2"/>
        <w:spacing w:line="276" w:lineRule="auto"/>
      </w:pPr>
    </w:p>
    <w:p w14:paraId="3A38CC0B">
      <w:pPr>
        <w:spacing w:before="68" w:line="218" w:lineRule="auto"/>
        <w:ind w:left="461"/>
        <w:rPr>
          <w:rFonts w:ascii="宋体" w:hAnsi="宋体" w:eastAsia="宋体" w:cs="宋体"/>
          <w:sz w:val="21"/>
          <w:szCs w:val="21"/>
        </w:rPr>
      </w:pPr>
      <w:r>
        <w:rPr>
          <w:rFonts w:ascii="宋体" w:hAnsi="宋体" w:eastAsia="宋体" w:cs="宋体"/>
          <w:spacing w:val="-2"/>
          <w:sz w:val="21"/>
          <w:szCs w:val="21"/>
        </w:rPr>
        <w:t>因变更引起的价格调整应计入最近一期的进度款中支付。</w:t>
      </w:r>
    </w:p>
    <w:p w14:paraId="1B4229AD">
      <w:pPr>
        <w:spacing w:before="131" w:line="233" w:lineRule="auto"/>
        <w:ind w:left="31"/>
        <w:outlineLvl w:val="1"/>
        <w:rPr>
          <w:rFonts w:ascii="黑体" w:hAnsi="黑体" w:eastAsia="黑体" w:cs="黑体"/>
          <w:sz w:val="24"/>
          <w:szCs w:val="24"/>
        </w:rPr>
      </w:pPr>
      <w:bookmarkStart w:id="428" w:name="bookmark372"/>
      <w:bookmarkEnd w:id="428"/>
      <w:r>
        <w:rPr>
          <w:rFonts w:ascii="Times New Roman" w:hAnsi="Times New Roman" w:eastAsia="Times New Roman" w:cs="Times New Roman"/>
          <w:b/>
          <w:bCs/>
          <w:spacing w:val="1"/>
          <w:sz w:val="24"/>
          <w:szCs w:val="24"/>
        </w:rPr>
        <w:t xml:space="preserve">10.5 </w:t>
      </w:r>
      <w:r>
        <w:rPr>
          <w:rFonts w:ascii="黑体" w:hAnsi="黑体" w:eastAsia="黑体" w:cs="黑体"/>
          <w:b/>
          <w:bCs/>
          <w:spacing w:val="1"/>
          <w:sz w:val="24"/>
          <w:szCs w:val="24"/>
        </w:rPr>
        <w:t>承包人的合理化建议</w:t>
      </w:r>
    </w:p>
    <w:p w14:paraId="538320E5">
      <w:pPr>
        <w:spacing w:before="114" w:line="356" w:lineRule="auto"/>
        <w:ind w:left="47" w:right="39" w:firstLine="396"/>
        <w:rPr>
          <w:rFonts w:ascii="宋体" w:hAnsi="宋体" w:eastAsia="宋体" w:cs="宋体"/>
          <w:sz w:val="21"/>
          <w:szCs w:val="21"/>
        </w:rPr>
      </w:pPr>
      <w:r>
        <w:rPr>
          <w:rFonts w:ascii="宋体" w:hAnsi="宋体" w:eastAsia="宋体" w:cs="宋体"/>
          <w:spacing w:val="-1"/>
          <w:sz w:val="21"/>
          <w:szCs w:val="21"/>
        </w:rPr>
        <w:t>承包人提出合理化建议的，应向监理人提交合理化建议说明，说明建议的内容和理由，</w:t>
      </w:r>
      <w:r>
        <w:rPr>
          <w:rFonts w:ascii="宋体" w:hAnsi="宋体" w:eastAsia="宋体" w:cs="宋体"/>
          <w:spacing w:val="-3"/>
          <w:sz w:val="21"/>
          <w:szCs w:val="21"/>
        </w:rPr>
        <w:t>以及实施该建议对合同价格和工期的影响。</w:t>
      </w:r>
    </w:p>
    <w:p w14:paraId="21F0AAA7">
      <w:pPr>
        <w:spacing w:before="2" w:line="347" w:lineRule="auto"/>
        <w:ind w:left="22" w:right="72" w:firstLine="434"/>
        <w:jc w:val="both"/>
        <w:rPr>
          <w:rFonts w:ascii="宋体" w:hAnsi="宋体" w:eastAsia="宋体" w:cs="宋体"/>
          <w:sz w:val="21"/>
          <w:szCs w:val="21"/>
        </w:rPr>
      </w:pPr>
      <w:r>
        <w:rPr>
          <w:rFonts w:ascii="宋体" w:hAnsi="宋体" w:eastAsia="宋体" w:cs="宋体"/>
          <w:spacing w:val="-3"/>
          <w:sz w:val="21"/>
          <w:szCs w:val="21"/>
        </w:rPr>
        <w:t>除专用合同条款另有约定外，监理人应在收到承包人提交的合理化建议后</w:t>
      </w:r>
      <w:r>
        <w:rPr>
          <w:rFonts w:ascii="宋体" w:hAnsi="宋体" w:eastAsia="宋体" w:cs="宋体"/>
          <w:spacing w:val="-44"/>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天内审查完</w:t>
      </w:r>
      <w:r>
        <w:rPr>
          <w:rFonts w:ascii="宋体" w:hAnsi="宋体" w:eastAsia="宋体" w:cs="宋体"/>
          <w:spacing w:val="-2"/>
          <w:sz w:val="21"/>
          <w:szCs w:val="21"/>
        </w:rPr>
        <w:t>毕并报送发包人，发现其中存在技术上的缺陷，应通知承包人修改。发包人应</w:t>
      </w:r>
      <w:r>
        <w:rPr>
          <w:rFonts w:ascii="宋体" w:hAnsi="宋体" w:eastAsia="宋体" w:cs="宋体"/>
          <w:spacing w:val="-3"/>
          <w:sz w:val="21"/>
          <w:szCs w:val="21"/>
        </w:rPr>
        <w:t>在收到监理人报送的合理化建议后</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天内审批完毕。合理化建议经发包人批准的，监理人应及时发出变更</w:t>
      </w:r>
      <w:r>
        <w:rPr>
          <w:rFonts w:ascii="宋体" w:hAnsi="宋体" w:eastAsia="宋体" w:cs="宋体"/>
          <w:sz w:val="21"/>
          <w:szCs w:val="21"/>
        </w:rPr>
        <w:t xml:space="preserve">指示，由此引起的合同价格调整按照第 </w:t>
      </w:r>
      <w:r>
        <w:rPr>
          <w:rFonts w:ascii="Times New Roman" w:hAnsi="Times New Roman" w:eastAsia="Times New Roman" w:cs="Times New Roman"/>
          <w:sz w:val="21"/>
          <w:szCs w:val="21"/>
        </w:rPr>
        <w:t xml:space="preserve">10.4  </w:t>
      </w:r>
      <w:r>
        <w:rPr>
          <w:rFonts w:ascii="宋体" w:hAnsi="宋体" w:eastAsia="宋体" w:cs="宋体"/>
          <w:sz w:val="21"/>
          <w:szCs w:val="21"/>
        </w:rPr>
        <w:t>款〔变</w:t>
      </w:r>
      <w:r>
        <w:rPr>
          <w:rFonts w:ascii="宋体" w:hAnsi="宋体" w:eastAsia="宋体" w:cs="宋体"/>
          <w:spacing w:val="-1"/>
          <w:sz w:val="21"/>
          <w:szCs w:val="21"/>
        </w:rPr>
        <w:t>更估价〕约定执行。发包人不同意变更</w:t>
      </w:r>
      <w:r>
        <w:rPr>
          <w:rFonts w:ascii="宋体" w:hAnsi="宋体" w:eastAsia="宋体" w:cs="宋体"/>
          <w:spacing w:val="-3"/>
          <w:sz w:val="21"/>
          <w:szCs w:val="21"/>
        </w:rPr>
        <w:t>的，监理人应书面通知承包人。</w:t>
      </w:r>
    </w:p>
    <w:p w14:paraId="5E1FADC7">
      <w:pPr>
        <w:spacing w:before="22" w:line="338" w:lineRule="auto"/>
        <w:ind w:left="25" w:right="39" w:firstLine="419"/>
        <w:rPr>
          <w:rFonts w:ascii="宋体" w:hAnsi="宋体" w:eastAsia="宋体" w:cs="宋体"/>
          <w:sz w:val="21"/>
          <w:szCs w:val="21"/>
        </w:rPr>
      </w:pPr>
      <w:r>
        <w:rPr>
          <w:rFonts w:ascii="宋体" w:hAnsi="宋体" w:eastAsia="宋体" w:cs="宋体"/>
          <w:spacing w:val="-1"/>
          <w:sz w:val="21"/>
          <w:szCs w:val="21"/>
        </w:rPr>
        <w:t>合理化建议降低了合同价格或者提高了工程经济效益的，发包人可对承包人给予奖励，</w:t>
      </w:r>
      <w:r>
        <w:rPr>
          <w:rFonts w:ascii="宋体" w:hAnsi="宋体" w:eastAsia="宋体" w:cs="宋体"/>
          <w:spacing w:val="-2"/>
          <w:sz w:val="21"/>
          <w:szCs w:val="21"/>
        </w:rPr>
        <w:t>奖励的方法和金额在专用合同条款中约定。</w:t>
      </w:r>
    </w:p>
    <w:p w14:paraId="6D2FA30A">
      <w:pPr>
        <w:spacing w:line="232" w:lineRule="auto"/>
        <w:ind w:left="31"/>
        <w:outlineLvl w:val="1"/>
        <w:rPr>
          <w:rFonts w:ascii="黑体" w:hAnsi="黑体" w:eastAsia="黑体" w:cs="黑体"/>
          <w:sz w:val="24"/>
          <w:szCs w:val="24"/>
        </w:rPr>
      </w:pPr>
      <w:bookmarkStart w:id="429" w:name="bookmark373"/>
      <w:bookmarkEnd w:id="429"/>
      <w:r>
        <w:rPr>
          <w:rFonts w:ascii="Times New Roman" w:hAnsi="Times New Roman" w:eastAsia="Times New Roman" w:cs="Times New Roman"/>
          <w:b/>
          <w:bCs/>
          <w:spacing w:val="1"/>
          <w:sz w:val="24"/>
          <w:szCs w:val="24"/>
        </w:rPr>
        <w:t xml:space="preserve">10.6 </w:t>
      </w:r>
      <w:r>
        <w:rPr>
          <w:rFonts w:ascii="黑体" w:hAnsi="黑体" w:eastAsia="黑体" w:cs="黑体"/>
          <w:b/>
          <w:bCs/>
          <w:spacing w:val="1"/>
          <w:sz w:val="24"/>
          <w:szCs w:val="24"/>
        </w:rPr>
        <w:t>变更引起的工期调整</w:t>
      </w:r>
    </w:p>
    <w:p w14:paraId="2F7E5668">
      <w:pPr>
        <w:spacing w:before="129" w:line="338" w:lineRule="auto"/>
        <w:ind w:left="25" w:right="76" w:firstLine="436"/>
        <w:rPr>
          <w:rFonts w:ascii="宋体" w:hAnsi="宋体" w:eastAsia="宋体" w:cs="宋体"/>
          <w:sz w:val="21"/>
          <w:szCs w:val="21"/>
        </w:rPr>
      </w:pPr>
      <w:r>
        <w:rPr>
          <w:rFonts w:ascii="宋体" w:hAnsi="宋体" w:eastAsia="宋体" w:cs="宋体"/>
          <w:sz w:val="21"/>
          <w:szCs w:val="21"/>
        </w:rPr>
        <w:t>因变更引起工期变化的，合同当事人均可要求调整合同工期，由合同当事人按</w:t>
      </w:r>
      <w:r>
        <w:rPr>
          <w:rFonts w:ascii="宋体" w:hAnsi="宋体" w:eastAsia="宋体" w:cs="宋体"/>
          <w:spacing w:val="-1"/>
          <w:sz w:val="21"/>
          <w:szCs w:val="21"/>
        </w:rPr>
        <w:t>照第</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4.4</w:t>
      </w:r>
      <w:r>
        <w:rPr>
          <w:rFonts w:ascii="宋体" w:hAnsi="宋体" w:eastAsia="宋体" w:cs="宋体"/>
          <w:spacing w:val="-1"/>
          <w:sz w:val="21"/>
          <w:szCs w:val="21"/>
        </w:rPr>
        <w:t>款〔商定或确定〕并参考工程所在地的工期定额标准确定增减工期天数。</w:t>
      </w:r>
    </w:p>
    <w:p w14:paraId="0B5B6C90">
      <w:pPr>
        <w:spacing w:before="1" w:line="232" w:lineRule="auto"/>
        <w:ind w:left="31"/>
        <w:outlineLvl w:val="1"/>
        <w:rPr>
          <w:rFonts w:ascii="黑体" w:hAnsi="黑体" w:eastAsia="黑体" w:cs="黑体"/>
          <w:sz w:val="24"/>
          <w:szCs w:val="24"/>
        </w:rPr>
      </w:pPr>
      <w:bookmarkStart w:id="430" w:name="bookmark374"/>
      <w:bookmarkEnd w:id="430"/>
      <w:r>
        <w:rPr>
          <w:rFonts w:ascii="Times New Roman" w:hAnsi="Times New Roman" w:eastAsia="Times New Roman" w:cs="Times New Roman"/>
          <w:b/>
          <w:bCs/>
          <w:spacing w:val="-2"/>
          <w:sz w:val="24"/>
          <w:szCs w:val="24"/>
        </w:rPr>
        <w:t>10.7</w:t>
      </w:r>
      <w:r>
        <w:rPr>
          <w:rFonts w:ascii="Times New Roman" w:hAnsi="Times New Roman" w:eastAsia="Times New Roman" w:cs="Times New Roman"/>
          <w:b/>
          <w:bCs/>
          <w:spacing w:val="21"/>
          <w:sz w:val="24"/>
          <w:szCs w:val="24"/>
        </w:rPr>
        <w:t xml:space="preserve"> </w:t>
      </w:r>
      <w:r>
        <w:rPr>
          <w:rFonts w:ascii="黑体" w:hAnsi="黑体" w:eastAsia="黑体" w:cs="黑体"/>
          <w:b/>
          <w:bCs/>
          <w:spacing w:val="-2"/>
          <w:sz w:val="24"/>
          <w:szCs w:val="24"/>
        </w:rPr>
        <w:t>暂估价</w:t>
      </w:r>
    </w:p>
    <w:p w14:paraId="002828C2">
      <w:pPr>
        <w:spacing w:before="128" w:line="350" w:lineRule="auto"/>
        <w:ind w:left="29" w:right="85" w:firstLine="421"/>
        <w:rPr>
          <w:rFonts w:ascii="宋体" w:hAnsi="宋体" w:eastAsia="宋体" w:cs="宋体"/>
          <w:sz w:val="21"/>
          <w:szCs w:val="21"/>
        </w:rPr>
      </w:pPr>
      <w:r>
        <w:rPr>
          <w:rFonts w:ascii="宋体" w:hAnsi="宋体" w:eastAsia="宋体" w:cs="宋体"/>
          <w:spacing w:val="-2"/>
          <w:sz w:val="21"/>
          <w:szCs w:val="21"/>
        </w:rPr>
        <w:t>暂估价专业分包工程、服务、材料和工程设备的明细</w:t>
      </w:r>
      <w:r>
        <w:rPr>
          <w:rFonts w:ascii="宋体" w:hAnsi="宋体" w:eastAsia="宋体" w:cs="宋体"/>
          <w:spacing w:val="-3"/>
          <w:sz w:val="21"/>
          <w:szCs w:val="21"/>
        </w:rPr>
        <w:t>由合同当事人在专用合同条款中约</w:t>
      </w:r>
      <w:r>
        <w:rPr>
          <w:rFonts w:ascii="宋体" w:hAnsi="宋体" w:eastAsia="宋体" w:cs="宋体"/>
          <w:spacing w:val="-11"/>
          <w:sz w:val="21"/>
          <w:szCs w:val="21"/>
        </w:rPr>
        <w:t>定。</w:t>
      </w:r>
    </w:p>
    <w:p w14:paraId="6C54FD9D">
      <w:pPr>
        <w:spacing w:before="1" w:line="231" w:lineRule="auto"/>
        <w:ind w:left="461"/>
        <w:rPr>
          <w:rFonts w:ascii="宋体" w:hAnsi="宋体" w:eastAsia="宋体" w:cs="宋体"/>
          <w:sz w:val="21"/>
          <w:szCs w:val="21"/>
        </w:rPr>
      </w:pPr>
      <w:r>
        <w:rPr>
          <w:rFonts w:ascii="Times New Roman" w:hAnsi="Times New Roman" w:eastAsia="Times New Roman" w:cs="Times New Roman"/>
          <w:spacing w:val="-1"/>
          <w:sz w:val="21"/>
          <w:szCs w:val="21"/>
        </w:rPr>
        <w:t>10.7.1</w:t>
      </w:r>
      <w:r>
        <w:rPr>
          <w:rFonts w:ascii="Times New Roman" w:hAnsi="Times New Roman" w:eastAsia="Times New Roman" w:cs="Times New Roman"/>
          <w:spacing w:val="51"/>
          <w:sz w:val="21"/>
          <w:szCs w:val="21"/>
        </w:rPr>
        <w:t xml:space="preserve"> </w:t>
      </w:r>
      <w:r>
        <w:rPr>
          <w:rFonts w:ascii="宋体" w:hAnsi="宋体" w:eastAsia="宋体" w:cs="宋体"/>
          <w:spacing w:val="-1"/>
          <w:sz w:val="21"/>
          <w:szCs w:val="21"/>
        </w:rPr>
        <w:t>依法必须招标的暂估价项目</w:t>
      </w:r>
    </w:p>
    <w:p w14:paraId="79C5D30E">
      <w:pPr>
        <w:spacing w:before="142" w:line="348" w:lineRule="auto"/>
        <w:ind w:left="25" w:right="75" w:firstLine="418"/>
        <w:rPr>
          <w:rFonts w:ascii="宋体" w:hAnsi="宋体" w:eastAsia="宋体" w:cs="宋体"/>
          <w:sz w:val="21"/>
          <w:szCs w:val="21"/>
        </w:rPr>
      </w:pPr>
      <w:r>
        <w:rPr>
          <w:rFonts w:ascii="宋体" w:hAnsi="宋体" w:eastAsia="宋体" w:cs="宋体"/>
          <w:spacing w:val="-3"/>
          <w:sz w:val="21"/>
          <w:szCs w:val="21"/>
        </w:rPr>
        <w:t>对于依法必须招标的暂估价项目，采取以下第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种方式确定。合同当事人也可</w:t>
      </w:r>
      <w:r>
        <w:rPr>
          <w:rFonts w:ascii="宋体" w:hAnsi="宋体" w:eastAsia="宋体" w:cs="宋体"/>
          <w:spacing w:val="-4"/>
          <w:sz w:val="21"/>
          <w:szCs w:val="21"/>
        </w:rPr>
        <w:t>以在专用</w:t>
      </w:r>
      <w:r>
        <w:rPr>
          <w:rFonts w:ascii="宋体" w:hAnsi="宋体" w:eastAsia="宋体" w:cs="宋体"/>
          <w:spacing w:val="-3"/>
          <w:sz w:val="21"/>
          <w:szCs w:val="21"/>
        </w:rPr>
        <w:t>合同条款中选择其他招标方式。</w:t>
      </w:r>
    </w:p>
    <w:p w14:paraId="6C81F08E">
      <w:pPr>
        <w:spacing w:before="4" w:line="348" w:lineRule="auto"/>
        <w:ind w:left="25" w:right="72" w:firstLine="419"/>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种方式：对于依法必须招标的暂估价项目，由承包人招标，对该暂估价</w:t>
      </w:r>
      <w:r>
        <w:rPr>
          <w:rFonts w:ascii="宋体" w:hAnsi="宋体" w:eastAsia="宋体" w:cs="宋体"/>
          <w:spacing w:val="-4"/>
          <w:sz w:val="21"/>
          <w:szCs w:val="21"/>
        </w:rPr>
        <w:t>项目的确认和批准按照以下约定执行：</w:t>
      </w:r>
    </w:p>
    <w:p w14:paraId="04CD73F8">
      <w:pPr>
        <w:spacing w:before="19" w:line="344" w:lineRule="auto"/>
        <w:ind w:left="22" w:right="73" w:firstLine="427"/>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）承包人应当根据施工进度计划，在招标工作启动前</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w:t>
      </w:r>
      <w:r>
        <w:rPr>
          <w:rFonts w:ascii="宋体" w:hAnsi="宋体" w:eastAsia="宋体" w:cs="宋体"/>
          <w:spacing w:val="-4"/>
          <w:sz w:val="21"/>
          <w:szCs w:val="21"/>
        </w:rPr>
        <w:t>将招标方案通过监理人报</w:t>
      </w:r>
      <w:r>
        <w:rPr>
          <w:rFonts w:ascii="宋体" w:hAnsi="宋体" w:eastAsia="宋体" w:cs="宋体"/>
          <w:spacing w:val="-3"/>
          <w:sz w:val="21"/>
          <w:szCs w:val="21"/>
        </w:rPr>
        <w:t>送发包人审查，发包人应当在收到承包人报送的招标方案后</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天内批准或提出修改意见。承</w:t>
      </w:r>
      <w:r>
        <w:rPr>
          <w:rFonts w:ascii="宋体" w:hAnsi="宋体" w:eastAsia="宋体" w:cs="宋体"/>
          <w:spacing w:val="-2"/>
          <w:sz w:val="21"/>
          <w:szCs w:val="21"/>
        </w:rPr>
        <w:t>包人应当按照经过发包人批准的招标方案开展招标工作；</w:t>
      </w:r>
    </w:p>
    <w:p w14:paraId="73953605">
      <w:pPr>
        <w:spacing w:before="26" w:line="344" w:lineRule="auto"/>
        <w:ind w:left="27" w:right="13" w:firstLine="422"/>
        <w:rPr>
          <w:rFonts w:ascii="宋体" w:hAnsi="宋体" w:eastAsia="宋体" w:cs="宋体"/>
          <w:sz w:val="21"/>
          <w:szCs w:val="21"/>
        </w:rPr>
      </w:pPr>
      <w:r>
        <w:rPr>
          <w:rFonts w:ascii="宋体" w:hAnsi="宋体" w:eastAsia="宋体" w:cs="宋体"/>
          <w:spacing w:val="-7"/>
          <w:sz w:val="21"/>
          <w:szCs w:val="21"/>
        </w:rPr>
        <w:t>（</w:t>
      </w:r>
      <w:r>
        <w:rPr>
          <w:rFonts w:ascii="Times New Roman" w:hAnsi="Times New Roman" w:eastAsia="Times New Roman" w:cs="Times New Roman"/>
          <w:spacing w:val="-7"/>
          <w:sz w:val="21"/>
          <w:szCs w:val="21"/>
        </w:rPr>
        <w:t>2</w:t>
      </w:r>
      <w:r>
        <w:rPr>
          <w:rFonts w:ascii="宋体" w:hAnsi="宋体" w:eastAsia="宋体" w:cs="宋体"/>
          <w:spacing w:val="-7"/>
          <w:sz w:val="21"/>
          <w:szCs w:val="21"/>
        </w:rPr>
        <w:t>）承包人应当根据施工进度计划，提前</w:t>
      </w:r>
      <w:r>
        <w:rPr>
          <w:rFonts w:ascii="宋体" w:hAnsi="宋体" w:eastAsia="宋体" w:cs="宋体"/>
          <w:spacing w:val="-21"/>
          <w:sz w:val="21"/>
          <w:szCs w:val="21"/>
        </w:rPr>
        <w:t xml:space="preserve"> </w:t>
      </w:r>
      <w:r>
        <w:rPr>
          <w:rFonts w:ascii="Times New Roman" w:hAnsi="Times New Roman" w:eastAsia="Times New Roman" w:cs="Times New Roman"/>
          <w:spacing w:val="-7"/>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7"/>
          <w:sz w:val="21"/>
          <w:szCs w:val="21"/>
        </w:rPr>
        <w:t>天将招标文件通过监理人报送发包人审批，</w:t>
      </w:r>
      <w:r>
        <w:rPr>
          <w:rFonts w:ascii="宋体" w:hAnsi="宋体" w:eastAsia="宋体" w:cs="宋体"/>
          <w:spacing w:val="-3"/>
          <w:sz w:val="21"/>
          <w:szCs w:val="21"/>
        </w:rPr>
        <w:t>发包人应当在收到承包人报送的相关文件后</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天内完成审批或提出修改意见；发包人有权确</w:t>
      </w:r>
      <w:r>
        <w:rPr>
          <w:rFonts w:ascii="宋体" w:hAnsi="宋体" w:eastAsia="宋体" w:cs="宋体"/>
          <w:spacing w:val="-1"/>
          <w:sz w:val="21"/>
          <w:szCs w:val="21"/>
        </w:rPr>
        <w:t>定招标控制价并按照法律规定参加评标；</w:t>
      </w:r>
    </w:p>
    <w:p w14:paraId="4B4DC8F2">
      <w:pPr>
        <w:spacing w:before="28" w:line="350" w:lineRule="auto"/>
        <w:ind w:left="24" w:right="74"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）承包人与供应商、分包人在签订暂估价合同前，应当提前</w:t>
      </w:r>
      <w:r>
        <w:rPr>
          <w:rFonts w:ascii="宋体" w:hAnsi="宋体" w:eastAsia="宋体" w:cs="宋体"/>
          <w:spacing w:val="-23"/>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天将确定的中标候选</w:t>
      </w:r>
      <w:r>
        <w:rPr>
          <w:rFonts w:ascii="宋体" w:hAnsi="宋体" w:eastAsia="宋体" w:cs="宋体"/>
          <w:spacing w:val="-3"/>
          <w:sz w:val="21"/>
          <w:szCs w:val="21"/>
        </w:rPr>
        <w:t>供应商或中标候选分包人的资料报送发包人，发包人应在收到资料后</w:t>
      </w:r>
      <w:r>
        <w:rPr>
          <w:rFonts w:ascii="宋体" w:hAnsi="宋体" w:eastAsia="宋体" w:cs="宋体"/>
          <w:spacing w:val="-25"/>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天内与承包人共同确</w:t>
      </w:r>
      <w:r>
        <w:rPr>
          <w:rFonts w:ascii="宋体" w:hAnsi="宋体" w:eastAsia="宋体" w:cs="宋体"/>
          <w:spacing w:val="-1"/>
          <w:sz w:val="21"/>
          <w:szCs w:val="21"/>
        </w:rPr>
        <w:t>定中标人；承包人应当在签订合同后</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天内，将暂估价合同副本报送</w:t>
      </w:r>
      <w:r>
        <w:rPr>
          <w:rFonts w:ascii="宋体" w:hAnsi="宋体" w:eastAsia="宋体" w:cs="宋体"/>
          <w:spacing w:val="-2"/>
          <w:sz w:val="21"/>
          <w:szCs w:val="21"/>
        </w:rPr>
        <w:t>发包人留存。</w:t>
      </w:r>
    </w:p>
    <w:p w14:paraId="5469B11F">
      <w:pPr>
        <w:spacing w:before="7" w:line="350" w:lineRule="auto"/>
        <w:ind w:left="24" w:firstLine="420"/>
        <w:jc w:val="both"/>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7"/>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3"/>
          <w:sz w:val="21"/>
          <w:szCs w:val="21"/>
        </w:rPr>
        <w:t>种方式：对于依法必须招标的暂估价项目，由发包人和承包人共同招标确定暂估价</w:t>
      </w:r>
      <w:r>
        <w:rPr>
          <w:rFonts w:ascii="宋体" w:hAnsi="宋体" w:eastAsia="宋体" w:cs="宋体"/>
          <w:spacing w:val="-1"/>
          <w:sz w:val="21"/>
          <w:szCs w:val="21"/>
        </w:rPr>
        <w:t>供应商或分包人的，承包人应按照施工进度计划，在招标工作启动前</w:t>
      </w:r>
      <w:r>
        <w:rPr>
          <w:rFonts w:ascii="宋体" w:hAnsi="宋体" w:eastAsia="宋体" w:cs="宋体"/>
          <w:spacing w:val="-16"/>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天通知发包人，并</w:t>
      </w:r>
      <w:r>
        <w:rPr>
          <w:rFonts w:ascii="宋体" w:hAnsi="宋体" w:eastAsia="宋体" w:cs="宋体"/>
          <w:spacing w:val="-6"/>
          <w:sz w:val="21"/>
          <w:szCs w:val="21"/>
        </w:rPr>
        <w:t>提交暂估价招标方案和工作分工。发包人应在收到后</w:t>
      </w:r>
      <w:r>
        <w:rPr>
          <w:rFonts w:ascii="宋体" w:hAnsi="宋体" w:eastAsia="宋体" w:cs="宋体"/>
          <w:spacing w:val="-35"/>
          <w:sz w:val="21"/>
          <w:szCs w:val="21"/>
        </w:rPr>
        <w:t xml:space="preserve"> </w:t>
      </w:r>
      <w:r>
        <w:rPr>
          <w:rFonts w:ascii="Times New Roman" w:hAnsi="Times New Roman" w:eastAsia="Times New Roman" w:cs="Times New Roman"/>
          <w:spacing w:val="-6"/>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6"/>
          <w:sz w:val="21"/>
          <w:szCs w:val="21"/>
        </w:rPr>
        <w:t>天内确认。确定中标人后，由发包人、</w:t>
      </w:r>
    </w:p>
    <w:p w14:paraId="5B828E94">
      <w:pPr>
        <w:spacing w:line="350" w:lineRule="auto"/>
        <w:rPr>
          <w:rFonts w:ascii="宋体" w:hAnsi="宋体" w:eastAsia="宋体" w:cs="宋体"/>
          <w:sz w:val="21"/>
          <w:szCs w:val="21"/>
        </w:rPr>
        <w:sectPr>
          <w:footerReference r:id="rId180" w:type="default"/>
          <w:pgSz w:w="11910" w:h="16845"/>
          <w:pgMar w:top="400" w:right="1696" w:bottom="1110" w:left="1786" w:header="0" w:footer="883" w:gutter="0"/>
          <w:cols w:space="720" w:num="1"/>
        </w:sectPr>
      </w:pPr>
    </w:p>
    <w:p w14:paraId="210C7B6B">
      <w:pPr>
        <w:pStyle w:val="2"/>
        <w:spacing w:line="275" w:lineRule="auto"/>
      </w:pPr>
    </w:p>
    <w:p w14:paraId="681E3DFD">
      <w:pPr>
        <w:pStyle w:val="2"/>
        <w:spacing w:line="275" w:lineRule="auto"/>
      </w:pPr>
    </w:p>
    <w:p w14:paraId="79AB96E0">
      <w:pPr>
        <w:pStyle w:val="2"/>
        <w:spacing w:line="275" w:lineRule="auto"/>
      </w:pPr>
    </w:p>
    <w:p w14:paraId="09FD3FF9">
      <w:pPr>
        <w:pStyle w:val="2"/>
        <w:spacing w:line="276" w:lineRule="auto"/>
      </w:pPr>
    </w:p>
    <w:p w14:paraId="23CABF64">
      <w:pPr>
        <w:spacing w:before="68" w:line="218" w:lineRule="auto"/>
        <w:ind w:left="24"/>
        <w:rPr>
          <w:rFonts w:ascii="宋体" w:hAnsi="宋体" w:eastAsia="宋体" w:cs="宋体"/>
          <w:sz w:val="21"/>
          <w:szCs w:val="21"/>
        </w:rPr>
      </w:pPr>
      <w:r>
        <w:rPr>
          <w:rFonts w:ascii="宋体" w:hAnsi="宋体" w:eastAsia="宋体" w:cs="宋体"/>
          <w:spacing w:val="-2"/>
          <w:sz w:val="21"/>
          <w:szCs w:val="21"/>
        </w:rPr>
        <w:t>承包人与中标人共同签订暂估价合同。</w:t>
      </w:r>
    </w:p>
    <w:p w14:paraId="49235A8B">
      <w:pPr>
        <w:spacing w:before="157"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10.7.2</w:t>
      </w:r>
      <w:r>
        <w:rPr>
          <w:rFonts w:ascii="Times New Roman" w:hAnsi="Times New Roman" w:eastAsia="Times New Roman" w:cs="Times New Roman"/>
          <w:spacing w:val="25"/>
          <w:w w:val="101"/>
          <w:sz w:val="21"/>
          <w:szCs w:val="21"/>
        </w:rPr>
        <w:t xml:space="preserve"> </w:t>
      </w:r>
      <w:r>
        <w:rPr>
          <w:rFonts w:ascii="宋体" w:hAnsi="宋体" w:eastAsia="宋体" w:cs="宋体"/>
          <w:spacing w:val="-1"/>
          <w:sz w:val="21"/>
          <w:szCs w:val="21"/>
        </w:rPr>
        <w:t>不属于依法必须招标的暂估价项目</w:t>
      </w:r>
    </w:p>
    <w:p w14:paraId="01DE0EED">
      <w:pPr>
        <w:spacing w:before="127" w:line="348" w:lineRule="auto"/>
        <w:ind w:left="24" w:right="36" w:firstLine="432"/>
        <w:rPr>
          <w:rFonts w:ascii="宋体" w:hAnsi="宋体" w:eastAsia="宋体" w:cs="宋体"/>
          <w:sz w:val="21"/>
          <w:szCs w:val="21"/>
        </w:rPr>
      </w:pPr>
      <w:r>
        <w:rPr>
          <w:rFonts w:ascii="宋体" w:hAnsi="宋体" w:eastAsia="宋体" w:cs="宋体"/>
          <w:spacing w:val="2"/>
          <w:sz w:val="21"/>
          <w:szCs w:val="21"/>
        </w:rPr>
        <w:t xml:space="preserve">除专用合同条款另有约定外，对于不属于依法必须招标的暂估价项目，采取以下第 </w:t>
      </w:r>
      <w:r>
        <w:rPr>
          <w:rFonts w:ascii="Times New Roman" w:hAnsi="Times New Roman" w:eastAsia="Times New Roman" w:cs="Times New Roman"/>
          <w:spacing w:val="2"/>
          <w:sz w:val="21"/>
          <w:szCs w:val="21"/>
        </w:rPr>
        <w:t>1</w:t>
      </w:r>
      <w:r>
        <w:rPr>
          <w:rFonts w:ascii="宋体" w:hAnsi="宋体" w:eastAsia="宋体" w:cs="宋体"/>
          <w:spacing w:val="-8"/>
          <w:sz w:val="21"/>
          <w:szCs w:val="21"/>
        </w:rPr>
        <w:t>种方式确定：</w:t>
      </w:r>
    </w:p>
    <w:p w14:paraId="5B51625E">
      <w:pPr>
        <w:spacing w:before="18" w:line="232" w:lineRule="auto"/>
        <w:ind w:left="444"/>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20"/>
          <w:sz w:val="21"/>
          <w:szCs w:val="21"/>
        </w:rPr>
        <w:t xml:space="preserve"> </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种方式：对于不属于依法必须招标的暂估价项目，按本项约定确认</w:t>
      </w:r>
      <w:r>
        <w:rPr>
          <w:rFonts w:ascii="宋体" w:hAnsi="宋体" w:eastAsia="宋体" w:cs="宋体"/>
          <w:spacing w:val="-3"/>
          <w:sz w:val="21"/>
          <w:szCs w:val="21"/>
        </w:rPr>
        <w:t>和批准：</w:t>
      </w:r>
    </w:p>
    <w:p w14:paraId="19EECF48">
      <w:pPr>
        <w:spacing w:before="124" w:line="348" w:lineRule="auto"/>
        <w:ind w:left="25" w:right="3" w:firstLine="425"/>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）承包人应根据施工进度计划，在签订暂估价项目的采购合同、分包合同前</w:t>
      </w:r>
      <w:r>
        <w:rPr>
          <w:rFonts w:ascii="宋体" w:hAnsi="宋体" w:eastAsia="宋体" w:cs="宋体"/>
          <w:spacing w:val="-36"/>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天向监理人提出书面申请。监理人应当在收到申请后</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天内报送发包人，发包人应当在收到申请</w:t>
      </w:r>
      <w:r>
        <w:rPr>
          <w:rFonts w:ascii="宋体" w:hAnsi="宋体" w:eastAsia="宋体" w:cs="宋体"/>
          <w:spacing w:val="-1"/>
          <w:sz w:val="21"/>
          <w:szCs w:val="21"/>
        </w:rPr>
        <w:t>后</w:t>
      </w:r>
      <w:r>
        <w:rPr>
          <w:rFonts w:ascii="宋体" w:hAnsi="宋体" w:eastAsia="宋体" w:cs="宋体"/>
          <w:spacing w:val="-10"/>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天内给予批准或提出修改意见，发包人逾期未予批准或提出修改意见的，视为该书面</w:t>
      </w:r>
      <w:r>
        <w:rPr>
          <w:rFonts w:ascii="宋体" w:hAnsi="宋体" w:eastAsia="宋体" w:cs="宋体"/>
          <w:spacing w:val="-6"/>
          <w:sz w:val="21"/>
          <w:szCs w:val="21"/>
        </w:rPr>
        <w:t>申请已获得同意；</w:t>
      </w:r>
    </w:p>
    <w:p w14:paraId="45817C71">
      <w:pPr>
        <w:spacing w:before="24" w:line="350" w:lineRule="auto"/>
        <w:ind w:left="25" w:right="38" w:firstLine="424"/>
        <w:rPr>
          <w:rFonts w:ascii="Times New Roman" w:hAnsi="Times New Roman" w:eastAsia="Times New Roman" w:cs="Times New Roman"/>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）发包人认为承包人确定的供应商、分包人无法满足工程质量或合</w:t>
      </w:r>
      <w:r>
        <w:rPr>
          <w:rFonts w:ascii="宋体" w:hAnsi="宋体" w:eastAsia="宋体" w:cs="宋体"/>
          <w:spacing w:val="-1"/>
          <w:sz w:val="21"/>
          <w:szCs w:val="21"/>
        </w:rPr>
        <w:t>同要求的，发包</w:t>
      </w:r>
      <w:r>
        <w:rPr>
          <w:rFonts w:ascii="宋体" w:hAnsi="宋体" w:eastAsia="宋体" w:cs="宋体"/>
          <w:sz w:val="21"/>
          <w:szCs w:val="21"/>
        </w:rPr>
        <w:t>人可以要求承包人重新确定暂估价项目的供应商、分包人</w:t>
      </w:r>
      <w:r>
        <w:rPr>
          <w:rFonts w:ascii="Times New Roman" w:hAnsi="Times New Roman" w:eastAsia="Times New Roman" w:cs="Times New Roman"/>
          <w:sz w:val="21"/>
          <w:szCs w:val="21"/>
        </w:rPr>
        <w:t>;</w:t>
      </w:r>
    </w:p>
    <w:p w14:paraId="4397995D">
      <w:pPr>
        <w:spacing w:before="1" w:line="231"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）承包人应当在签订暂估价合同后</w:t>
      </w:r>
      <w:r>
        <w:rPr>
          <w:rFonts w:ascii="宋体" w:hAnsi="宋体" w:eastAsia="宋体" w:cs="宋体"/>
          <w:spacing w:val="-14"/>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天内，将暂估价合同副本报送发包人留存。</w:t>
      </w:r>
    </w:p>
    <w:p w14:paraId="3B94FCAD">
      <w:pPr>
        <w:spacing w:before="141" w:line="348" w:lineRule="auto"/>
        <w:ind w:left="24" w:right="6" w:firstLine="420"/>
        <w:rPr>
          <w:rFonts w:ascii="宋体" w:hAnsi="宋体" w:eastAsia="宋体" w:cs="宋体"/>
          <w:sz w:val="21"/>
          <w:szCs w:val="21"/>
        </w:rPr>
      </w:pPr>
      <w:r>
        <w:rPr>
          <w:rFonts w:ascii="宋体" w:hAnsi="宋体" w:eastAsia="宋体" w:cs="宋体"/>
          <w:spacing w:val="-5"/>
          <w:sz w:val="21"/>
          <w:szCs w:val="21"/>
        </w:rPr>
        <w:t>第</w:t>
      </w:r>
      <w:r>
        <w:rPr>
          <w:rFonts w:ascii="宋体" w:hAnsi="宋体" w:eastAsia="宋体" w:cs="宋体"/>
          <w:spacing w:val="-22"/>
          <w:sz w:val="21"/>
          <w:szCs w:val="21"/>
        </w:rPr>
        <w:t xml:space="preserve"> </w:t>
      </w:r>
      <w:r>
        <w:rPr>
          <w:rFonts w:ascii="Times New Roman" w:hAnsi="Times New Roman" w:eastAsia="Times New Roman" w:cs="Times New Roman"/>
          <w:spacing w:val="-5"/>
          <w:sz w:val="21"/>
          <w:szCs w:val="21"/>
        </w:rPr>
        <w:t>2</w:t>
      </w:r>
      <w:r>
        <w:rPr>
          <w:rFonts w:ascii="Times New Roman" w:hAnsi="Times New Roman" w:eastAsia="Times New Roman" w:cs="Times New Roman"/>
          <w:spacing w:val="16"/>
          <w:w w:val="101"/>
          <w:sz w:val="21"/>
          <w:szCs w:val="21"/>
        </w:rPr>
        <w:t xml:space="preserve"> </w:t>
      </w:r>
      <w:r>
        <w:rPr>
          <w:rFonts w:ascii="宋体" w:hAnsi="宋体" w:eastAsia="宋体" w:cs="宋体"/>
          <w:spacing w:val="-5"/>
          <w:sz w:val="21"/>
          <w:szCs w:val="21"/>
        </w:rPr>
        <w:t>种方式：承包人按照第</w:t>
      </w:r>
      <w:r>
        <w:rPr>
          <w:rFonts w:ascii="宋体" w:hAnsi="宋体" w:eastAsia="宋体" w:cs="宋体"/>
          <w:spacing w:val="-22"/>
          <w:sz w:val="21"/>
          <w:szCs w:val="21"/>
        </w:rPr>
        <w:t xml:space="preserve"> </w:t>
      </w:r>
      <w:r>
        <w:rPr>
          <w:rFonts w:ascii="Times New Roman" w:hAnsi="Times New Roman" w:eastAsia="Times New Roman" w:cs="Times New Roman"/>
          <w:spacing w:val="-5"/>
          <w:sz w:val="21"/>
          <w:szCs w:val="21"/>
        </w:rPr>
        <w:t>10.7.1</w:t>
      </w:r>
      <w:r>
        <w:rPr>
          <w:rFonts w:ascii="Times New Roman" w:hAnsi="Times New Roman" w:eastAsia="Times New Roman" w:cs="Times New Roman"/>
          <w:spacing w:val="21"/>
          <w:sz w:val="21"/>
          <w:szCs w:val="21"/>
        </w:rPr>
        <w:t xml:space="preserve"> </w:t>
      </w:r>
      <w:r>
        <w:rPr>
          <w:rFonts w:ascii="宋体" w:hAnsi="宋体" w:eastAsia="宋体" w:cs="宋体"/>
          <w:spacing w:val="-5"/>
          <w:sz w:val="21"/>
          <w:szCs w:val="21"/>
        </w:rPr>
        <w:t>项〔依法必须招标的暂估价项目〕约定的第</w:t>
      </w:r>
      <w:r>
        <w:rPr>
          <w:rFonts w:ascii="宋体" w:hAnsi="宋体" w:eastAsia="宋体" w:cs="宋体"/>
          <w:spacing w:val="-36"/>
          <w:sz w:val="21"/>
          <w:szCs w:val="21"/>
        </w:rPr>
        <w:t xml:space="preserve"> </w:t>
      </w:r>
      <w:r>
        <w:rPr>
          <w:rFonts w:ascii="Times New Roman" w:hAnsi="Times New Roman" w:eastAsia="Times New Roman" w:cs="Times New Roman"/>
          <w:spacing w:val="-5"/>
          <w:sz w:val="21"/>
          <w:szCs w:val="21"/>
        </w:rPr>
        <w:t>1</w:t>
      </w:r>
      <w:r>
        <w:rPr>
          <w:rFonts w:ascii="Times New Roman" w:hAnsi="Times New Roman" w:eastAsia="Times New Roman" w:cs="Times New Roman"/>
          <w:spacing w:val="15"/>
          <w:w w:val="101"/>
          <w:sz w:val="21"/>
          <w:szCs w:val="21"/>
        </w:rPr>
        <w:t xml:space="preserve"> </w:t>
      </w:r>
      <w:r>
        <w:rPr>
          <w:rFonts w:ascii="宋体" w:hAnsi="宋体" w:eastAsia="宋体" w:cs="宋体"/>
          <w:spacing w:val="-5"/>
          <w:sz w:val="21"/>
          <w:szCs w:val="21"/>
        </w:rPr>
        <w:t>种方式</w:t>
      </w:r>
      <w:r>
        <w:rPr>
          <w:rFonts w:ascii="宋体" w:hAnsi="宋体" w:eastAsia="宋体" w:cs="宋体"/>
          <w:spacing w:val="-4"/>
          <w:sz w:val="21"/>
          <w:szCs w:val="21"/>
        </w:rPr>
        <w:t>确定暂估价项目。</w:t>
      </w:r>
    </w:p>
    <w:p w14:paraId="1071D9B2">
      <w:pPr>
        <w:spacing w:before="4" w:line="232" w:lineRule="auto"/>
        <w:ind w:left="444"/>
        <w:rPr>
          <w:rFonts w:ascii="宋体" w:hAnsi="宋体" w:eastAsia="宋体" w:cs="宋体"/>
          <w:sz w:val="21"/>
          <w:szCs w:val="21"/>
        </w:rPr>
      </w:pPr>
      <w:r>
        <w:rPr>
          <w:rFonts w:ascii="宋体" w:hAnsi="宋体" w:eastAsia="宋体" w:cs="宋体"/>
          <w:spacing w:val="-1"/>
          <w:sz w:val="21"/>
          <w:szCs w:val="21"/>
        </w:rPr>
        <w:t>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种方式：承包人直接实施的暂估价项目</w:t>
      </w:r>
    </w:p>
    <w:p w14:paraId="4FE4C4FC">
      <w:pPr>
        <w:spacing w:before="141" w:line="350" w:lineRule="auto"/>
        <w:ind w:left="25" w:right="13" w:firstLine="418"/>
        <w:rPr>
          <w:rFonts w:ascii="宋体" w:hAnsi="宋体" w:eastAsia="宋体" w:cs="宋体"/>
          <w:sz w:val="21"/>
          <w:szCs w:val="21"/>
        </w:rPr>
      </w:pPr>
      <w:r>
        <w:rPr>
          <w:rFonts w:ascii="宋体" w:hAnsi="宋体" w:eastAsia="宋体" w:cs="宋体"/>
          <w:spacing w:val="-2"/>
          <w:sz w:val="21"/>
          <w:szCs w:val="21"/>
        </w:rPr>
        <w:t>承包人具备实施暂估价项目的资格和条件的，经发包人和承包人协商一致</w:t>
      </w:r>
      <w:r>
        <w:rPr>
          <w:rFonts w:ascii="宋体" w:hAnsi="宋体" w:eastAsia="宋体" w:cs="宋体"/>
          <w:spacing w:val="-3"/>
          <w:sz w:val="21"/>
          <w:szCs w:val="21"/>
        </w:rPr>
        <w:t>后，可由承包</w:t>
      </w:r>
      <w:r>
        <w:rPr>
          <w:rFonts w:ascii="宋体" w:hAnsi="宋体" w:eastAsia="宋体" w:cs="宋体"/>
          <w:spacing w:val="-1"/>
          <w:sz w:val="21"/>
          <w:szCs w:val="21"/>
        </w:rPr>
        <w:t>人自行实施暂估价项目，合同当事人可以在专用合同条款约定具体事项。</w:t>
      </w:r>
    </w:p>
    <w:p w14:paraId="07B53790">
      <w:pPr>
        <w:spacing w:before="2" w:line="344" w:lineRule="auto"/>
        <w:ind w:left="24" w:firstLine="436"/>
        <w:jc w:val="both"/>
        <w:rPr>
          <w:rFonts w:ascii="宋体" w:hAnsi="宋体" w:eastAsia="宋体" w:cs="宋体"/>
          <w:sz w:val="21"/>
          <w:szCs w:val="21"/>
        </w:rPr>
      </w:pPr>
      <w:r>
        <w:rPr>
          <w:rFonts w:ascii="Times New Roman" w:hAnsi="Times New Roman" w:eastAsia="Times New Roman" w:cs="Times New Roman"/>
          <w:spacing w:val="-3"/>
          <w:sz w:val="21"/>
          <w:szCs w:val="21"/>
        </w:rPr>
        <w:t>10.7.3</w:t>
      </w:r>
      <w:r>
        <w:rPr>
          <w:rFonts w:ascii="Times New Roman" w:hAnsi="Times New Roman" w:eastAsia="Times New Roman" w:cs="Times New Roman"/>
          <w:spacing w:val="19"/>
          <w:sz w:val="21"/>
          <w:szCs w:val="21"/>
        </w:rPr>
        <w:t xml:space="preserve">  </w:t>
      </w:r>
      <w:r>
        <w:rPr>
          <w:rFonts w:ascii="宋体" w:hAnsi="宋体" w:eastAsia="宋体" w:cs="宋体"/>
          <w:spacing w:val="-3"/>
          <w:sz w:val="21"/>
          <w:szCs w:val="21"/>
        </w:rPr>
        <w:t>因发包人原因导致暂估价合同订立和履行迟延的，由此增加的费用和（或）延误</w:t>
      </w:r>
      <w:r>
        <w:rPr>
          <w:rFonts w:ascii="宋体" w:hAnsi="宋体" w:eastAsia="宋体" w:cs="宋体"/>
          <w:spacing w:val="-2"/>
          <w:sz w:val="21"/>
          <w:szCs w:val="21"/>
        </w:rPr>
        <w:t>的工期由发包人承担，并支付承包人合理的利润。因承包人原因导致暂估价合同订立和履行</w:t>
      </w:r>
      <w:r>
        <w:rPr>
          <w:rFonts w:ascii="宋体" w:hAnsi="宋体" w:eastAsia="宋体" w:cs="宋体"/>
          <w:spacing w:val="-1"/>
          <w:sz w:val="21"/>
          <w:szCs w:val="21"/>
        </w:rPr>
        <w:t>迟延的，由此增加的费用和（或）延误的工期由承包人承担。</w:t>
      </w:r>
    </w:p>
    <w:p w14:paraId="17107542">
      <w:pPr>
        <w:spacing w:before="1" w:line="232" w:lineRule="auto"/>
        <w:ind w:left="31"/>
        <w:outlineLvl w:val="1"/>
        <w:rPr>
          <w:rFonts w:ascii="黑体" w:hAnsi="黑体" w:eastAsia="黑体" w:cs="黑体"/>
          <w:sz w:val="24"/>
          <w:szCs w:val="24"/>
        </w:rPr>
      </w:pPr>
      <w:bookmarkStart w:id="431" w:name="bookmark375"/>
      <w:bookmarkEnd w:id="431"/>
      <w:r>
        <w:rPr>
          <w:rFonts w:ascii="Times New Roman" w:hAnsi="Times New Roman" w:eastAsia="Times New Roman" w:cs="Times New Roman"/>
          <w:b/>
          <w:bCs/>
          <w:sz w:val="24"/>
          <w:szCs w:val="24"/>
        </w:rPr>
        <w:t>10.8</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暂列金额</w:t>
      </w:r>
    </w:p>
    <w:p w14:paraId="310D0CCE">
      <w:pPr>
        <w:spacing w:before="127" w:line="339" w:lineRule="auto"/>
        <w:ind w:left="23" w:right="20" w:firstLine="427"/>
        <w:rPr>
          <w:rFonts w:ascii="宋体" w:hAnsi="宋体" w:eastAsia="宋体" w:cs="宋体"/>
          <w:sz w:val="21"/>
          <w:szCs w:val="21"/>
        </w:rPr>
      </w:pPr>
      <w:r>
        <w:rPr>
          <w:rFonts w:ascii="宋体" w:hAnsi="宋体" w:eastAsia="宋体" w:cs="宋体"/>
          <w:spacing w:val="-2"/>
          <w:sz w:val="21"/>
          <w:szCs w:val="21"/>
        </w:rPr>
        <w:t>暂列金额应按照发包人的要求使用，发包人</w:t>
      </w:r>
      <w:r>
        <w:rPr>
          <w:rFonts w:ascii="宋体" w:hAnsi="宋体" w:eastAsia="宋体" w:cs="宋体"/>
          <w:spacing w:val="-3"/>
          <w:sz w:val="21"/>
          <w:szCs w:val="21"/>
        </w:rPr>
        <w:t>的要求应通过监理人发出。合同当事人可以</w:t>
      </w:r>
      <w:r>
        <w:rPr>
          <w:rFonts w:ascii="宋体" w:hAnsi="宋体" w:eastAsia="宋体" w:cs="宋体"/>
          <w:spacing w:val="-2"/>
          <w:sz w:val="21"/>
          <w:szCs w:val="21"/>
        </w:rPr>
        <w:t>在专用合同条款中协商确定有关事项。</w:t>
      </w:r>
    </w:p>
    <w:p w14:paraId="320AC40A">
      <w:pPr>
        <w:spacing w:before="1" w:line="235" w:lineRule="auto"/>
        <w:ind w:left="31"/>
        <w:outlineLvl w:val="1"/>
        <w:rPr>
          <w:rFonts w:ascii="黑体" w:hAnsi="黑体" w:eastAsia="黑体" w:cs="黑体"/>
          <w:sz w:val="24"/>
          <w:szCs w:val="24"/>
        </w:rPr>
      </w:pPr>
      <w:bookmarkStart w:id="432" w:name="bookmark376"/>
      <w:bookmarkEnd w:id="432"/>
      <w:r>
        <w:rPr>
          <w:rFonts w:ascii="Times New Roman" w:hAnsi="Times New Roman" w:eastAsia="Times New Roman" w:cs="Times New Roman"/>
          <w:b/>
          <w:bCs/>
          <w:spacing w:val="1"/>
          <w:sz w:val="24"/>
          <w:szCs w:val="24"/>
        </w:rPr>
        <w:t xml:space="preserve">10.9 </w:t>
      </w:r>
      <w:r>
        <w:rPr>
          <w:rFonts w:ascii="黑体" w:hAnsi="黑体" w:eastAsia="黑体" w:cs="黑体"/>
          <w:b/>
          <w:bCs/>
          <w:spacing w:val="1"/>
          <w:sz w:val="24"/>
          <w:szCs w:val="24"/>
        </w:rPr>
        <w:t>计日工</w:t>
      </w:r>
    </w:p>
    <w:p w14:paraId="56DA456E">
      <w:pPr>
        <w:spacing w:before="125" w:line="353" w:lineRule="auto"/>
        <w:ind w:left="24" w:right="16" w:firstLine="432"/>
        <w:jc w:val="both"/>
        <w:rPr>
          <w:rFonts w:ascii="宋体" w:hAnsi="宋体" w:eastAsia="宋体" w:cs="宋体"/>
          <w:sz w:val="21"/>
          <w:szCs w:val="21"/>
        </w:rPr>
      </w:pPr>
      <w:r>
        <w:rPr>
          <w:rFonts w:ascii="宋体" w:hAnsi="宋体" w:eastAsia="宋体" w:cs="宋体"/>
          <w:spacing w:val="-3"/>
          <w:sz w:val="21"/>
          <w:szCs w:val="21"/>
        </w:rPr>
        <w:t>需要采用计日工方式的，经发包人同意后，由监理人通知承包人以计日工计价方式实施</w:t>
      </w:r>
      <w:r>
        <w:rPr>
          <w:rFonts w:ascii="宋体" w:hAnsi="宋体" w:eastAsia="宋体" w:cs="宋体"/>
          <w:spacing w:val="-2"/>
          <w:sz w:val="21"/>
          <w:szCs w:val="21"/>
        </w:rPr>
        <w:t>相应的工作，其价款按列入已标价工程量清单或预算书中的计日工计价项目及其单</w:t>
      </w:r>
      <w:r>
        <w:rPr>
          <w:rFonts w:ascii="宋体" w:hAnsi="宋体" w:eastAsia="宋体" w:cs="宋体"/>
          <w:spacing w:val="-3"/>
          <w:sz w:val="21"/>
          <w:szCs w:val="21"/>
        </w:rPr>
        <w:t>价进行计</w:t>
      </w:r>
      <w:r>
        <w:rPr>
          <w:rFonts w:ascii="宋体" w:hAnsi="宋体" w:eastAsia="宋体" w:cs="宋体"/>
          <w:spacing w:val="-2"/>
          <w:sz w:val="21"/>
          <w:szCs w:val="21"/>
        </w:rPr>
        <w:t>算；已标价工程量清单或预算书中无相应的计日工单价的，按照合理的成本与利润</w:t>
      </w:r>
      <w:r>
        <w:rPr>
          <w:rFonts w:ascii="宋体" w:hAnsi="宋体" w:eastAsia="宋体" w:cs="宋体"/>
          <w:spacing w:val="-3"/>
          <w:sz w:val="21"/>
          <w:szCs w:val="21"/>
        </w:rPr>
        <w:t>构成的原</w:t>
      </w:r>
      <w:r>
        <w:rPr>
          <w:rFonts w:ascii="宋体" w:hAnsi="宋体" w:eastAsia="宋体" w:cs="宋体"/>
          <w:spacing w:val="-1"/>
          <w:sz w:val="21"/>
          <w:szCs w:val="21"/>
        </w:rPr>
        <w:t>则，由合同当事人按照第</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款〔商定或确定〕确定计日工的单价。</w:t>
      </w:r>
    </w:p>
    <w:p w14:paraId="22C3A390">
      <w:pPr>
        <w:spacing w:line="345" w:lineRule="auto"/>
        <w:ind w:left="25" w:right="13" w:firstLine="418"/>
        <w:rPr>
          <w:rFonts w:ascii="宋体" w:hAnsi="宋体" w:eastAsia="宋体" w:cs="宋体"/>
          <w:sz w:val="21"/>
          <w:szCs w:val="21"/>
        </w:rPr>
      </w:pPr>
      <w:r>
        <w:rPr>
          <w:rFonts w:ascii="宋体" w:hAnsi="宋体" w:eastAsia="宋体" w:cs="宋体"/>
          <w:spacing w:val="-2"/>
          <w:sz w:val="21"/>
          <w:szCs w:val="21"/>
        </w:rPr>
        <w:t>采用计日工计价的任何一项工作，承包人应在该项工作实施过程中，每天提</w:t>
      </w:r>
      <w:r>
        <w:rPr>
          <w:rFonts w:ascii="宋体" w:hAnsi="宋体" w:eastAsia="宋体" w:cs="宋体"/>
          <w:spacing w:val="-3"/>
          <w:sz w:val="21"/>
          <w:szCs w:val="21"/>
        </w:rPr>
        <w:t>交以下报表</w:t>
      </w:r>
      <w:r>
        <w:rPr>
          <w:rFonts w:ascii="宋体" w:hAnsi="宋体" w:eastAsia="宋体" w:cs="宋体"/>
          <w:spacing w:val="-4"/>
          <w:sz w:val="21"/>
          <w:szCs w:val="21"/>
        </w:rPr>
        <w:t>和有关凭证报送监理人审查：</w:t>
      </w:r>
    </w:p>
    <w:p w14:paraId="0A4F5731">
      <w:pPr>
        <w:spacing w:before="11"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）工作名称、内容和数量；</w:t>
      </w:r>
    </w:p>
    <w:p w14:paraId="118D62D5">
      <w:pPr>
        <w:spacing w:before="140"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）投入该工作的所有人员的姓名、专业、工种、级别和耗用工时；</w:t>
      </w:r>
    </w:p>
    <w:p w14:paraId="7C47039B">
      <w:pPr>
        <w:spacing w:before="125"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）投入该工作的材料类别和数量；</w:t>
      </w:r>
    </w:p>
    <w:p w14:paraId="58084CD6">
      <w:pPr>
        <w:spacing w:before="141"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）投入该工作的施工设备型号、台数和耗</w:t>
      </w:r>
      <w:r>
        <w:rPr>
          <w:rFonts w:ascii="宋体" w:hAnsi="宋体" w:eastAsia="宋体" w:cs="宋体"/>
          <w:spacing w:val="-3"/>
          <w:sz w:val="21"/>
          <w:szCs w:val="21"/>
        </w:rPr>
        <w:t>用台时；</w:t>
      </w:r>
    </w:p>
    <w:p w14:paraId="481FB1CE">
      <w:pPr>
        <w:spacing w:line="233" w:lineRule="auto"/>
        <w:rPr>
          <w:rFonts w:ascii="宋体" w:hAnsi="宋体" w:eastAsia="宋体" w:cs="宋体"/>
          <w:sz w:val="21"/>
          <w:szCs w:val="21"/>
        </w:rPr>
        <w:sectPr>
          <w:footerReference r:id="rId181" w:type="default"/>
          <w:pgSz w:w="11910" w:h="16845"/>
          <w:pgMar w:top="400" w:right="1765" w:bottom="1110" w:left="1786" w:header="0" w:footer="883" w:gutter="0"/>
          <w:cols w:space="720" w:num="1"/>
        </w:sectPr>
      </w:pPr>
    </w:p>
    <w:p w14:paraId="2356FADF">
      <w:pPr>
        <w:pStyle w:val="2"/>
        <w:spacing w:line="275" w:lineRule="auto"/>
      </w:pPr>
    </w:p>
    <w:p w14:paraId="7CB44E67">
      <w:pPr>
        <w:pStyle w:val="2"/>
        <w:spacing w:line="275" w:lineRule="auto"/>
      </w:pPr>
    </w:p>
    <w:p w14:paraId="6DD73564">
      <w:pPr>
        <w:pStyle w:val="2"/>
        <w:spacing w:line="275" w:lineRule="auto"/>
      </w:pPr>
    </w:p>
    <w:p w14:paraId="3B1ABD3A">
      <w:pPr>
        <w:pStyle w:val="2"/>
        <w:spacing w:line="276" w:lineRule="auto"/>
      </w:pPr>
    </w:p>
    <w:p w14:paraId="0FC02AAC">
      <w:pPr>
        <w:spacing w:before="68"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）其他有关资料和凭证。</w:t>
      </w:r>
    </w:p>
    <w:p w14:paraId="41B875E1">
      <w:pPr>
        <w:spacing w:before="140" w:line="345" w:lineRule="auto"/>
        <w:ind w:left="25" w:right="13" w:firstLine="538"/>
        <w:rPr>
          <w:rFonts w:ascii="宋体" w:hAnsi="宋体" w:eastAsia="宋体" w:cs="宋体"/>
          <w:sz w:val="21"/>
          <w:szCs w:val="21"/>
        </w:rPr>
      </w:pPr>
      <w:r>
        <w:rPr>
          <w:rFonts w:ascii="宋体" w:hAnsi="宋体" w:eastAsia="宋体" w:cs="宋体"/>
          <w:sz w:val="21"/>
          <w:szCs w:val="21"/>
        </w:rPr>
        <w:t>计日工由承包人汇总后，列入最近一期进度付款申请单，由监理人审查并经发包人批</w:t>
      </w:r>
      <w:r>
        <w:rPr>
          <w:rFonts w:ascii="宋体" w:hAnsi="宋体" w:eastAsia="宋体" w:cs="宋体"/>
          <w:spacing w:val="-4"/>
          <w:sz w:val="21"/>
          <w:szCs w:val="21"/>
        </w:rPr>
        <w:t>准后列入进度付款。</w:t>
      </w:r>
    </w:p>
    <w:p w14:paraId="6938B703">
      <w:pPr>
        <w:spacing w:before="49" w:line="237" w:lineRule="auto"/>
        <w:ind w:left="34"/>
        <w:outlineLvl w:val="0"/>
        <w:rPr>
          <w:rFonts w:ascii="黑体" w:hAnsi="黑体" w:eastAsia="黑体" w:cs="黑体"/>
          <w:sz w:val="28"/>
          <w:szCs w:val="28"/>
        </w:rPr>
      </w:pPr>
      <w:bookmarkStart w:id="433" w:name="bookmark377"/>
      <w:bookmarkEnd w:id="433"/>
      <w:bookmarkStart w:id="434" w:name="bookmark378"/>
      <w:bookmarkEnd w:id="434"/>
      <w:r>
        <w:rPr>
          <w:rFonts w:ascii="Times New Roman" w:hAnsi="Times New Roman" w:eastAsia="Times New Roman" w:cs="Times New Roman"/>
          <w:b/>
          <w:bCs/>
          <w:spacing w:val="2"/>
          <w:sz w:val="28"/>
          <w:szCs w:val="28"/>
        </w:rPr>
        <w:t>11.</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价格调整</w:t>
      </w:r>
    </w:p>
    <w:p w14:paraId="7D93915F">
      <w:pPr>
        <w:spacing w:before="70" w:line="233" w:lineRule="auto"/>
        <w:ind w:left="31"/>
        <w:outlineLvl w:val="1"/>
        <w:rPr>
          <w:rFonts w:ascii="黑体" w:hAnsi="黑体" w:eastAsia="黑体" w:cs="黑体"/>
          <w:sz w:val="24"/>
          <w:szCs w:val="24"/>
        </w:rPr>
      </w:pPr>
      <w:bookmarkStart w:id="435" w:name="bookmark693"/>
      <w:bookmarkEnd w:id="435"/>
      <w:r>
        <w:rPr>
          <w:rFonts w:ascii="Times New Roman" w:hAnsi="Times New Roman" w:eastAsia="Times New Roman" w:cs="Times New Roman"/>
          <w:b/>
          <w:bCs/>
          <w:sz w:val="24"/>
          <w:szCs w:val="24"/>
        </w:rPr>
        <w:t xml:space="preserve">11.1 </w:t>
      </w:r>
      <w:r>
        <w:rPr>
          <w:rFonts w:ascii="黑体" w:hAnsi="黑体" w:eastAsia="黑体" w:cs="黑体"/>
          <w:b/>
          <w:bCs/>
          <w:sz w:val="24"/>
          <w:szCs w:val="24"/>
        </w:rPr>
        <w:t>市场价格波动引起的调整</w:t>
      </w:r>
    </w:p>
    <w:p w14:paraId="50F125F7">
      <w:pPr>
        <w:spacing w:before="128" w:line="350" w:lineRule="auto"/>
        <w:ind w:left="25" w:right="13" w:firstLine="431"/>
        <w:rPr>
          <w:rFonts w:ascii="宋体" w:hAnsi="宋体" w:eastAsia="宋体" w:cs="宋体"/>
          <w:sz w:val="21"/>
          <w:szCs w:val="21"/>
        </w:rPr>
      </w:pPr>
      <w:r>
        <w:rPr>
          <w:rFonts w:ascii="宋体" w:hAnsi="宋体" w:eastAsia="宋体" w:cs="宋体"/>
          <w:spacing w:val="-2"/>
          <w:sz w:val="21"/>
          <w:szCs w:val="21"/>
        </w:rPr>
        <w:t>除专用合同条款另有约定外，市场价格波动</w:t>
      </w:r>
      <w:r>
        <w:rPr>
          <w:rFonts w:ascii="宋体" w:hAnsi="宋体" w:eastAsia="宋体" w:cs="宋体"/>
          <w:spacing w:val="-3"/>
          <w:sz w:val="21"/>
          <w:szCs w:val="21"/>
        </w:rPr>
        <w:t>超过合同当事人约定的范围，合同价格应当</w:t>
      </w:r>
      <w:r>
        <w:rPr>
          <w:rFonts w:ascii="宋体" w:hAnsi="宋体" w:eastAsia="宋体" w:cs="宋体"/>
          <w:spacing w:val="-1"/>
          <w:sz w:val="21"/>
          <w:szCs w:val="21"/>
        </w:rPr>
        <w:t>调整。合同当事人可以在专用合同条款中约定选择以下一种方式对合同价格进行调整：</w:t>
      </w:r>
    </w:p>
    <w:p w14:paraId="4561FFF2">
      <w:pPr>
        <w:spacing w:before="1" w:line="231" w:lineRule="auto"/>
        <w:ind w:left="444"/>
        <w:rPr>
          <w:rFonts w:ascii="宋体" w:hAnsi="宋体" w:eastAsia="宋体" w:cs="宋体"/>
          <w:sz w:val="21"/>
          <w:szCs w:val="21"/>
        </w:rPr>
      </w:pPr>
      <w:r>
        <w:rPr>
          <w:rFonts w:ascii="宋体" w:hAnsi="宋体" w:eastAsia="宋体" w:cs="宋体"/>
          <w:spacing w:val="-4"/>
          <w:sz w:val="21"/>
          <w:szCs w:val="21"/>
        </w:rPr>
        <w:t>第</w:t>
      </w:r>
      <w:r>
        <w:rPr>
          <w:rFonts w:ascii="宋体" w:hAnsi="宋体" w:eastAsia="宋体" w:cs="宋体"/>
          <w:spacing w:val="-3"/>
          <w:sz w:val="21"/>
          <w:szCs w:val="21"/>
        </w:rPr>
        <w:t xml:space="preserve"> </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16"/>
          <w:w w:val="101"/>
          <w:sz w:val="21"/>
          <w:szCs w:val="21"/>
        </w:rPr>
        <w:t xml:space="preserve"> </w:t>
      </w:r>
      <w:r>
        <w:rPr>
          <w:rFonts w:ascii="宋体" w:hAnsi="宋体" w:eastAsia="宋体" w:cs="宋体"/>
          <w:spacing w:val="-4"/>
          <w:sz w:val="21"/>
          <w:szCs w:val="21"/>
        </w:rPr>
        <w:t>种方式：采用价格指数进行价格调整。</w:t>
      </w:r>
    </w:p>
    <w:p w14:paraId="4AF2E088">
      <w:pPr>
        <w:spacing w:before="141" w:line="232"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）价格调整公式</w:t>
      </w:r>
    </w:p>
    <w:p w14:paraId="37EF4500">
      <w:pPr>
        <w:spacing w:before="142" w:line="345" w:lineRule="auto"/>
        <w:ind w:left="47" w:right="18" w:firstLine="413"/>
        <w:rPr>
          <w:rFonts w:ascii="宋体" w:hAnsi="宋体" w:eastAsia="宋体" w:cs="宋体"/>
          <w:sz w:val="21"/>
          <w:szCs w:val="21"/>
        </w:rPr>
      </w:pPr>
      <w:r>
        <w:rPr>
          <w:rFonts w:ascii="宋体" w:hAnsi="宋体" w:eastAsia="宋体" w:cs="宋体"/>
          <w:spacing w:val="-3"/>
          <w:sz w:val="21"/>
          <w:szCs w:val="21"/>
        </w:rPr>
        <w:t>因人工、材料和设备等价格波动影响合同价格时，根据专用合同条款中约定的数据，按</w:t>
      </w:r>
      <w:r>
        <w:rPr>
          <w:rFonts w:ascii="宋体" w:hAnsi="宋体" w:eastAsia="宋体" w:cs="宋体"/>
          <w:spacing w:val="-5"/>
          <w:sz w:val="21"/>
          <w:szCs w:val="21"/>
        </w:rPr>
        <w:t>以下公式计算差额并调整合同价格：</w:t>
      </w:r>
    </w:p>
    <w:p w14:paraId="1B303D23">
      <w:pPr>
        <w:spacing w:before="2" w:line="693" w:lineRule="exact"/>
        <w:ind w:left="1111"/>
      </w:pPr>
      <w:r>
        <w:rPr>
          <w:position w:val="-14"/>
        </w:rPr>
        <w:drawing>
          <wp:inline distT="0" distB="0" distL="0" distR="0">
            <wp:extent cx="3871595" cy="44005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58"/>
                    <a:stretch>
                      <a:fillRect/>
                    </a:stretch>
                  </pic:blipFill>
                  <pic:spPr>
                    <a:xfrm>
                      <a:off x="0" y="0"/>
                      <a:ext cx="3871704" cy="440457"/>
                    </a:xfrm>
                    <a:prstGeom prst="rect">
                      <a:avLst/>
                    </a:prstGeom>
                  </pic:spPr>
                </pic:pic>
              </a:graphicData>
            </a:graphic>
          </wp:inline>
        </w:drawing>
      </w:r>
    </w:p>
    <w:p w14:paraId="77C26691">
      <w:pPr>
        <w:spacing w:before="247" w:line="218" w:lineRule="auto"/>
        <w:ind w:left="451"/>
        <w:rPr>
          <w:rFonts w:ascii="宋体" w:hAnsi="宋体" w:eastAsia="宋体" w:cs="宋体"/>
          <w:sz w:val="21"/>
          <w:szCs w:val="21"/>
        </w:rPr>
      </w:pPr>
      <w:r>
        <w:rPr>
          <w:rFonts w:ascii="宋体" w:hAnsi="宋体" w:eastAsia="宋体" w:cs="宋体"/>
          <w:spacing w:val="-2"/>
          <w:sz w:val="21"/>
          <w:szCs w:val="21"/>
        </w:rPr>
        <w:t xml:space="preserve">公式中：    </w:t>
      </w:r>
      <w:r>
        <w:rPr>
          <w:rFonts w:ascii="Times New Roman" w:hAnsi="Times New Roman" w:eastAsia="Times New Roman" w:cs="Times New Roman"/>
          <w:spacing w:val="-2"/>
          <w:sz w:val="21"/>
          <w:szCs w:val="21"/>
        </w:rPr>
        <w:t>ΔP——</w:t>
      </w:r>
      <w:r>
        <w:rPr>
          <w:rFonts w:ascii="宋体" w:hAnsi="宋体" w:eastAsia="宋体" w:cs="宋体"/>
          <w:spacing w:val="-2"/>
          <w:sz w:val="21"/>
          <w:szCs w:val="21"/>
        </w:rPr>
        <w:t>需调整的价格差额；</w:t>
      </w:r>
    </w:p>
    <w:p w14:paraId="61C9DE41">
      <w:pPr>
        <w:spacing w:before="156" w:line="348" w:lineRule="auto"/>
        <w:ind w:left="24" w:right="13" w:firstLine="1782"/>
        <w:jc w:val="both"/>
        <w:rPr>
          <w:rFonts w:ascii="宋体" w:hAnsi="宋体" w:eastAsia="宋体" w:cs="宋体"/>
          <w:sz w:val="21"/>
          <w:szCs w:val="21"/>
        </w:rPr>
      </w:pPr>
      <w:r>
        <w:rPr>
          <w:rFonts w:ascii="Times New Roman" w:hAnsi="Times New Roman" w:eastAsia="Times New Roman" w:cs="Times New Roman"/>
          <w:spacing w:val="1"/>
          <w:sz w:val="21"/>
          <w:szCs w:val="21"/>
        </w:rPr>
        <w:t>P</w:t>
      </w:r>
      <w:r>
        <w:rPr>
          <w:rFonts w:ascii="Times New Roman" w:hAnsi="Times New Roman" w:eastAsia="Times New Roman" w:cs="Times New Roman"/>
          <w:spacing w:val="1"/>
          <w:position w:val="-1"/>
          <w:sz w:val="13"/>
          <w:szCs w:val="13"/>
        </w:rPr>
        <w:t>0</w:t>
      </w:r>
      <w:r>
        <w:rPr>
          <w:rFonts w:ascii="Times New Roman" w:hAnsi="Times New Roman" w:eastAsia="Times New Roman" w:cs="Times New Roman"/>
          <w:spacing w:val="1"/>
          <w:sz w:val="21"/>
          <w:szCs w:val="21"/>
        </w:rPr>
        <w:t>——</w:t>
      </w:r>
      <w:r>
        <w:rPr>
          <w:rFonts w:ascii="宋体" w:hAnsi="宋体" w:eastAsia="宋体" w:cs="宋体"/>
          <w:spacing w:val="1"/>
          <w:sz w:val="21"/>
          <w:szCs w:val="21"/>
        </w:rPr>
        <w:t>约定的付款证书中承包人应得到的已完成工程量的金额。此项金</w:t>
      </w:r>
      <w:r>
        <w:rPr>
          <w:rFonts w:ascii="宋体" w:hAnsi="宋体" w:eastAsia="宋体" w:cs="宋体"/>
          <w:spacing w:val="-2"/>
          <w:sz w:val="21"/>
          <w:szCs w:val="21"/>
        </w:rPr>
        <w:t>额应不包括价格调整、不计质量保证金的扣留和支付、预付款的支付和扣回。约定的变</w:t>
      </w:r>
      <w:r>
        <w:rPr>
          <w:rFonts w:ascii="宋体" w:hAnsi="宋体" w:eastAsia="宋体" w:cs="宋体"/>
          <w:spacing w:val="-3"/>
          <w:sz w:val="21"/>
          <w:szCs w:val="21"/>
        </w:rPr>
        <w:t>更及其他金额已按现行价格计价的，也不计在内；</w:t>
      </w:r>
    </w:p>
    <w:p w14:paraId="5490654B">
      <w:pPr>
        <w:spacing w:before="14" w:line="220" w:lineRule="auto"/>
        <w:ind w:left="1804"/>
        <w:rPr>
          <w:rFonts w:ascii="宋体" w:hAnsi="宋体" w:eastAsia="宋体" w:cs="宋体"/>
          <w:sz w:val="21"/>
          <w:szCs w:val="21"/>
        </w:rPr>
      </w:pPr>
      <w:r>
        <w:rPr>
          <w:rFonts w:ascii="Times New Roman" w:hAnsi="Times New Roman" w:eastAsia="Times New Roman" w:cs="Times New Roman"/>
          <w:spacing w:val="-8"/>
          <w:sz w:val="21"/>
          <w:szCs w:val="21"/>
        </w:rPr>
        <w:t>A——</w:t>
      </w:r>
      <w:r>
        <w:rPr>
          <w:rFonts w:ascii="宋体" w:hAnsi="宋体" w:eastAsia="宋体" w:cs="宋体"/>
          <w:spacing w:val="-8"/>
          <w:sz w:val="21"/>
          <w:szCs w:val="21"/>
        </w:rPr>
        <w:t>定值权重（即不调部分的权重</w:t>
      </w:r>
      <w:r>
        <w:rPr>
          <w:rFonts w:ascii="宋体" w:hAnsi="宋体" w:eastAsia="宋体" w:cs="宋体"/>
          <w:spacing w:val="-2"/>
          <w:sz w:val="21"/>
          <w:szCs w:val="21"/>
        </w:rPr>
        <w:t>）；</w:t>
      </w:r>
    </w:p>
    <w:p w14:paraId="37873D3C">
      <w:pPr>
        <w:spacing w:before="157" w:line="334" w:lineRule="auto"/>
        <w:ind w:left="29" w:right="44" w:firstLine="410"/>
        <w:rPr>
          <w:rFonts w:ascii="宋体" w:hAnsi="宋体" w:eastAsia="宋体" w:cs="宋体"/>
          <w:sz w:val="21"/>
          <w:szCs w:val="21"/>
        </w:rPr>
      </w:pPr>
      <w:r>
        <w:rPr>
          <w:rFonts w:ascii="Times New Roman" w:hAnsi="Times New Roman" w:eastAsia="Times New Roman" w:cs="Times New Roman"/>
          <w:spacing w:val="-23"/>
          <w:sz w:val="21"/>
          <w:szCs w:val="21"/>
        </w:rPr>
        <w:t>B</w:t>
      </w:r>
      <w:r>
        <w:rPr>
          <w:rFonts w:ascii="Times New Roman" w:hAnsi="Times New Roman" w:eastAsia="Times New Roman" w:cs="Times New Roman"/>
          <w:spacing w:val="-23"/>
          <w:sz w:val="13"/>
          <w:szCs w:val="13"/>
        </w:rPr>
        <w:t>1</w:t>
      </w:r>
      <w:r>
        <w:rPr>
          <w:rFonts w:ascii="Times New Roman" w:hAnsi="Times New Roman" w:eastAsia="Times New Roman" w:cs="Times New Roman"/>
          <w:spacing w:val="-23"/>
          <w:sz w:val="15"/>
          <w:szCs w:val="15"/>
        </w:rPr>
        <w:t xml:space="preserve">;   </w:t>
      </w:r>
      <w:r>
        <w:rPr>
          <w:rFonts w:ascii="Times New Roman" w:hAnsi="Times New Roman" w:eastAsia="Times New Roman" w:cs="Times New Roman"/>
          <w:spacing w:val="-23"/>
          <w:sz w:val="21"/>
          <w:szCs w:val="21"/>
        </w:rPr>
        <w:t>B</w:t>
      </w:r>
      <w:r>
        <w:rPr>
          <w:rFonts w:ascii="Times New Roman" w:hAnsi="Times New Roman" w:eastAsia="Times New Roman" w:cs="Times New Roman"/>
          <w:spacing w:val="-23"/>
          <w:position w:val="-1"/>
          <w:sz w:val="13"/>
          <w:szCs w:val="13"/>
        </w:rPr>
        <w:t xml:space="preserve">2   </w:t>
      </w:r>
      <w:r>
        <w:rPr>
          <w:rFonts w:ascii="Times New Roman" w:hAnsi="Times New Roman" w:eastAsia="Times New Roman" w:cs="Times New Roman"/>
          <w:spacing w:val="-23"/>
          <w:sz w:val="21"/>
          <w:szCs w:val="21"/>
        </w:rPr>
        <w:t>;B</w:t>
      </w:r>
      <w:r>
        <w:rPr>
          <w:rFonts w:ascii="Times New Roman" w:hAnsi="Times New Roman" w:eastAsia="Times New Roman" w:cs="Times New Roman"/>
          <w:spacing w:val="-23"/>
          <w:position w:val="-1"/>
          <w:sz w:val="13"/>
          <w:szCs w:val="13"/>
        </w:rPr>
        <w:t xml:space="preserve">3   </w:t>
      </w:r>
      <w:r>
        <w:rPr>
          <w:rFonts w:ascii="宋体" w:hAnsi="宋体" w:eastAsia="宋体" w:cs="宋体"/>
          <w:spacing w:val="-23"/>
          <w:sz w:val="15"/>
          <w:szCs w:val="15"/>
        </w:rPr>
        <w:t>·····</w:t>
      </w:r>
      <w:r>
        <w:rPr>
          <w:rFonts w:ascii="宋体" w:hAnsi="宋体" w:eastAsia="宋体" w:cs="宋体"/>
          <w:spacing w:val="-56"/>
          <w:sz w:val="15"/>
          <w:szCs w:val="15"/>
        </w:rPr>
        <w:t xml:space="preserve"> </w:t>
      </w:r>
      <w:r>
        <w:rPr>
          <w:rFonts w:ascii="Times New Roman" w:hAnsi="Times New Roman" w:eastAsia="Times New Roman" w:cs="Times New Roman"/>
          <w:spacing w:val="-4"/>
          <w:sz w:val="21"/>
          <w:szCs w:val="21"/>
        </w:rPr>
        <w:t>B</w:t>
      </w:r>
      <w:r>
        <w:rPr>
          <w:rFonts w:ascii="Times New Roman" w:hAnsi="Times New Roman" w:eastAsia="Times New Roman" w:cs="Times New Roman"/>
          <w:spacing w:val="-4"/>
          <w:position w:val="-1"/>
          <w:sz w:val="13"/>
          <w:szCs w:val="13"/>
        </w:rPr>
        <w:t>n</w:t>
      </w:r>
      <w:r>
        <w:rPr>
          <w:rFonts w:ascii="Times New Roman" w:hAnsi="Times New Roman" w:eastAsia="Times New Roman" w:cs="Times New Roman"/>
          <w:spacing w:val="-4"/>
          <w:sz w:val="21"/>
          <w:szCs w:val="21"/>
        </w:rPr>
        <w:t>——</w:t>
      </w:r>
      <w:r>
        <w:rPr>
          <w:rFonts w:ascii="宋体" w:hAnsi="宋体" w:eastAsia="宋体" w:cs="宋体"/>
          <w:spacing w:val="-4"/>
          <w:sz w:val="21"/>
          <w:szCs w:val="21"/>
        </w:rPr>
        <w:t>各可调因子的变值权重（即可调部分的权重</w:t>
      </w:r>
      <w:r>
        <w:rPr>
          <w:rFonts w:ascii="宋体" w:hAnsi="宋体" w:eastAsia="宋体" w:cs="宋体"/>
          <w:spacing w:val="-1"/>
          <w:sz w:val="21"/>
          <w:szCs w:val="21"/>
        </w:rPr>
        <w:t>），</w:t>
      </w:r>
      <w:r>
        <w:rPr>
          <w:rFonts w:ascii="宋体" w:hAnsi="宋体" w:eastAsia="宋体" w:cs="宋体"/>
          <w:spacing w:val="-4"/>
          <w:sz w:val="21"/>
          <w:szCs w:val="21"/>
        </w:rPr>
        <w:t>为各可调</w:t>
      </w:r>
      <w:r>
        <w:rPr>
          <w:rFonts w:ascii="宋体" w:hAnsi="宋体" w:eastAsia="宋体" w:cs="宋体"/>
          <w:spacing w:val="-5"/>
          <w:sz w:val="21"/>
          <w:szCs w:val="21"/>
        </w:rPr>
        <w:t>因子在签约合同价中所占的比例；</w:t>
      </w:r>
    </w:p>
    <w:p w14:paraId="395C6217">
      <w:pPr>
        <w:spacing w:before="34" w:line="350" w:lineRule="auto"/>
        <w:ind w:left="28" w:firstLine="411"/>
        <w:rPr>
          <w:rFonts w:ascii="宋体" w:hAnsi="宋体" w:eastAsia="宋体" w:cs="宋体"/>
          <w:sz w:val="21"/>
          <w:szCs w:val="21"/>
        </w:rPr>
      </w:pP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 xml:space="preserve">t1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t2</w:t>
      </w:r>
      <w:r>
        <w:rPr>
          <w:rFonts w:ascii="Times New Roman" w:hAnsi="Times New Roman" w:eastAsia="Times New Roman" w:cs="Times New Roman"/>
          <w:spacing w:val="9"/>
          <w:w w:val="102"/>
          <w:position w:val="-1"/>
          <w:sz w:val="13"/>
          <w:szCs w:val="13"/>
        </w:rPr>
        <w:t xml:space="preserve">  </w:t>
      </w:r>
      <w:r>
        <w:rPr>
          <w:rFonts w:ascii="Times New Roman" w:hAnsi="Times New Roman" w:eastAsia="Times New Roman" w:cs="Times New Roman"/>
          <w:spacing w:val="-21"/>
          <w:sz w:val="21"/>
          <w:szCs w:val="21"/>
        </w:rPr>
        <w:t>;F</w:t>
      </w:r>
      <w:r>
        <w:rPr>
          <w:rFonts w:ascii="Times New Roman" w:hAnsi="Times New Roman" w:eastAsia="Times New Roman" w:cs="Times New Roman"/>
          <w:spacing w:val="-21"/>
          <w:position w:val="-1"/>
          <w:sz w:val="13"/>
          <w:szCs w:val="13"/>
        </w:rPr>
        <w:t>t3</w:t>
      </w:r>
      <w:r>
        <w:rPr>
          <w:rFonts w:ascii="Times New Roman" w:hAnsi="Times New Roman" w:eastAsia="Times New Roman" w:cs="Times New Roman"/>
          <w:spacing w:val="33"/>
          <w:position w:val="-1"/>
          <w:sz w:val="13"/>
          <w:szCs w:val="13"/>
        </w:rPr>
        <w:t xml:space="preserve"> </w:t>
      </w:r>
      <w:r>
        <w:rPr>
          <w:rFonts w:ascii="宋体" w:hAnsi="宋体" w:eastAsia="宋体" w:cs="宋体"/>
          <w:spacing w:val="-21"/>
          <w:sz w:val="15"/>
          <w:szCs w:val="15"/>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tn</w:t>
      </w:r>
      <w:r>
        <w:rPr>
          <w:rFonts w:ascii="Times New Roman" w:hAnsi="Times New Roman" w:eastAsia="Times New Roman" w:cs="Times New Roman"/>
          <w:spacing w:val="1"/>
          <w:sz w:val="21"/>
          <w:szCs w:val="21"/>
        </w:rPr>
        <w:t>——</w:t>
      </w:r>
      <w:r>
        <w:rPr>
          <w:rFonts w:ascii="宋体" w:hAnsi="宋体" w:eastAsia="宋体" w:cs="宋体"/>
          <w:spacing w:val="1"/>
          <w:sz w:val="21"/>
          <w:szCs w:val="21"/>
        </w:rPr>
        <w:t>各可调因子的现行价格指数，指约定的付款证书相关周期最后一</w:t>
      </w:r>
      <w:r>
        <w:rPr>
          <w:rFonts w:ascii="宋体" w:hAnsi="宋体" w:eastAsia="宋体" w:cs="宋体"/>
          <w:spacing w:val="-4"/>
          <w:sz w:val="21"/>
          <w:szCs w:val="21"/>
        </w:rPr>
        <w:t>天的前</w:t>
      </w:r>
      <w:r>
        <w:rPr>
          <w:rFonts w:ascii="宋体" w:hAnsi="宋体" w:eastAsia="宋体" w:cs="宋体"/>
          <w:spacing w:val="-38"/>
          <w:sz w:val="21"/>
          <w:szCs w:val="21"/>
        </w:rPr>
        <w:t xml:space="preserve"> </w:t>
      </w:r>
      <w:r>
        <w:rPr>
          <w:rFonts w:ascii="Times New Roman" w:hAnsi="Times New Roman" w:eastAsia="Times New Roman" w:cs="Times New Roman"/>
          <w:spacing w:val="-4"/>
          <w:sz w:val="21"/>
          <w:szCs w:val="21"/>
        </w:rPr>
        <w:t>42</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天的各可调因子的价格指数；</w:t>
      </w:r>
    </w:p>
    <w:p w14:paraId="4B422CEE">
      <w:pPr>
        <w:spacing w:before="1" w:line="348" w:lineRule="auto"/>
        <w:ind w:left="25" w:right="15" w:firstLine="413"/>
        <w:rPr>
          <w:rFonts w:ascii="宋体" w:hAnsi="宋体" w:eastAsia="宋体" w:cs="宋体"/>
          <w:sz w:val="21"/>
          <w:szCs w:val="21"/>
        </w:rPr>
      </w:pPr>
      <w:r>
        <w:rPr>
          <w:rFonts w:ascii="Times New Roman" w:hAnsi="Times New Roman" w:eastAsia="Times New Roman" w:cs="Times New Roman"/>
          <w:spacing w:val="-18"/>
          <w:sz w:val="21"/>
          <w:szCs w:val="21"/>
        </w:rPr>
        <w:t>F</w:t>
      </w:r>
      <w:r>
        <w:rPr>
          <w:rFonts w:ascii="Times New Roman" w:hAnsi="Times New Roman" w:eastAsia="Times New Roman" w:cs="Times New Roman"/>
          <w:spacing w:val="-18"/>
          <w:position w:val="-1"/>
          <w:sz w:val="13"/>
          <w:szCs w:val="13"/>
        </w:rPr>
        <w:t>o1</w:t>
      </w:r>
      <w:r>
        <w:rPr>
          <w:rFonts w:ascii="Times New Roman" w:hAnsi="Times New Roman" w:eastAsia="Times New Roman" w:cs="Times New Roman"/>
          <w:spacing w:val="-10"/>
          <w:position w:val="-1"/>
          <w:sz w:val="13"/>
          <w:szCs w:val="13"/>
        </w:rPr>
        <w:t xml:space="preserve"> </w:t>
      </w:r>
      <w:r>
        <w:rPr>
          <w:rFonts w:ascii="Times New Roman" w:hAnsi="Times New Roman" w:eastAsia="Times New Roman" w:cs="Times New Roman"/>
          <w:spacing w:val="-18"/>
          <w:sz w:val="21"/>
          <w:szCs w:val="21"/>
        </w:rPr>
        <w:t>; F</w:t>
      </w:r>
      <w:r>
        <w:rPr>
          <w:rFonts w:ascii="Times New Roman" w:hAnsi="Times New Roman" w:eastAsia="Times New Roman" w:cs="Times New Roman"/>
          <w:spacing w:val="-18"/>
          <w:sz w:val="13"/>
          <w:szCs w:val="13"/>
        </w:rPr>
        <w:t>o2</w:t>
      </w:r>
      <w:r>
        <w:rPr>
          <w:rFonts w:ascii="Times New Roman" w:hAnsi="Times New Roman" w:eastAsia="Times New Roman" w:cs="Times New Roman"/>
          <w:spacing w:val="-18"/>
          <w:sz w:val="15"/>
          <w:szCs w:val="15"/>
        </w:rPr>
        <w:t>;</w:t>
      </w:r>
      <w:r>
        <w:rPr>
          <w:rFonts w:ascii="Times New Roman" w:hAnsi="Times New Roman" w:eastAsia="Times New Roman" w:cs="Times New Roman"/>
          <w:spacing w:val="30"/>
          <w:w w:val="101"/>
          <w:sz w:val="15"/>
          <w:szCs w:val="15"/>
        </w:rPr>
        <w:t xml:space="preserve"> </w:t>
      </w:r>
      <w:r>
        <w:rPr>
          <w:rFonts w:ascii="Times New Roman" w:hAnsi="Times New Roman" w:eastAsia="Times New Roman" w:cs="Times New Roman"/>
          <w:spacing w:val="-18"/>
          <w:sz w:val="21"/>
          <w:szCs w:val="21"/>
        </w:rPr>
        <w:t>F</w:t>
      </w:r>
      <w:r>
        <w:rPr>
          <w:rFonts w:ascii="Times New Roman" w:hAnsi="Times New Roman" w:eastAsia="Times New Roman" w:cs="Times New Roman"/>
          <w:spacing w:val="-18"/>
          <w:position w:val="-1"/>
          <w:sz w:val="13"/>
          <w:szCs w:val="13"/>
        </w:rPr>
        <w:t>o3</w:t>
      </w:r>
      <w:r>
        <w:rPr>
          <w:rFonts w:ascii="Times New Roman" w:hAnsi="Times New Roman" w:eastAsia="Times New Roman" w:cs="Times New Roman"/>
          <w:spacing w:val="32"/>
          <w:w w:val="101"/>
          <w:position w:val="-1"/>
          <w:sz w:val="13"/>
          <w:szCs w:val="13"/>
        </w:rPr>
        <w:t xml:space="preserve"> </w:t>
      </w:r>
      <w:r>
        <w:rPr>
          <w:rFonts w:ascii="宋体" w:hAnsi="宋体" w:eastAsia="宋体" w:cs="宋体"/>
          <w:spacing w:val="-18"/>
          <w:sz w:val="15"/>
          <w:szCs w:val="15"/>
        </w:rPr>
        <w:t>····</w:t>
      </w:r>
      <w:r>
        <w:rPr>
          <w:rFonts w:ascii="Times New Roman" w:hAnsi="Times New Roman" w:eastAsia="Times New Roman" w:cs="Times New Roman"/>
          <w:sz w:val="21"/>
          <w:szCs w:val="21"/>
        </w:rPr>
        <w:t>F</w:t>
      </w:r>
      <w:r>
        <w:rPr>
          <w:rFonts w:ascii="Times New Roman" w:hAnsi="Times New Roman" w:eastAsia="Times New Roman" w:cs="Times New Roman"/>
          <w:position w:val="-1"/>
          <w:sz w:val="13"/>
          <w:szCs w:val="13"/>
        </w:rPr>
        <w:t>on</w:t>
      </w:r>
      <w:r>
        <w:rPr>
          <w:rFonts w:ascii="Times New Roman" w:hAnsi="Times New Roman" w:eastAsia="Times New Roman" w:cs="Times New Roman"/>
          <w:sz w:val="21"/>
          <w:szCs w:val="21"/>
        </w:rPr>
        <w:t>——</w:t>
      </w:r>
      <w:r>
        <w:rPr>
          <w:rFonts w:ascii="宋体" w:hAnsi="宋体" w:eastAsia="宋体" w:cs="宋体"/>
          <w:sz w:val="21"/>
          <w:szCs w:val="21"/>
        </w:rPr>
        <w:t>各可调因子的基本价格指数，指基准日期的各可调</w:t>
      </w:r>
      <w:r>
        <w:rPr>
          <w:rFonts w:ascii="宋体" w:hAnsi="宋体" w:eastAsia="宋体" w:cs="宋体"/>
          <w:spacing w:val="-1"/>
          <w:sz w:val="21"/>
          <w:szCs w:val="21"/>
        </w:rPr>
        <w:t>因子的价格指</w:t>
      </w:r>
      <w:r>
        <w:rPr>
          <w:rFonts w:ascii="宋体" w:hAnsi="宋体" w:eastAsia="宋体" w:cs="宋体"/>
          <w:spacing w:val="-10"/>
          <w:sz w:val="21"/>
          <w:szCs w:val="21"/>
        </w:rPr>
        <w:t>数。</w:t>
      </w:r>
    </w:p>
    <w:p w14:paraId="0DB7EFAE">
      <w:pPr>
        <w:spacing w:before="17" w:line="350" w:lineRule="auto"/>
        <w:ind w:left="23" w:right="13" w:firstLine="445"/>
        <w:jc w:val="both"/>
        <w:rPr>
          <w:rFonts w:ascii="宋体" w:hAnsi="宋体" w:eastAsia="宋体" w:cs="宋体"/>
          <w:sz w:val="21"/>
          <w:szCs w:val="21"/>
        </w:rPr>
      </w:pPr>
      <w:r>
        <w:rPr>
          <w:rFonts w:ascii="宋体" w:hAnsi="宋体" w:eastAsia="宋体" w:cs="宋体"/>
          <w:spacing w:val="-5"/>
          <w:sz w:val="21"/>
          <w:szCs w:val="21"/>
        </w:rPr>
        <w:t>以上价格调整公式中的各可调因子、定值和变值权重，</w:t>
      </w:r>
      <w:r>
        <w:rPr>
          <w:rFonts w:ascii="宋体" w:hAnsi="宋体" w:eastAsia="宋体" w:cs="宋体"/>
          <w:spacing w:val="-21"/>
          <w:sz w:val="21"/>
          <w:szCs w:val="21"/>
        </w:rPr>
        <w:t xml:space="preserve"> </w:t>
      </w:r>
      <w:r>
        <w:rPr>
          <w:rFonts w:ascii="宋体" w:hAnsi="宋体" w:eastAsia="宋体" w:cs="宋体"/>
          <w:spacing w:val="-5"/>
          <w:sz w:val="21"/>
          <w:szCs w:val="21"/>
        </w:rPr>
        <w:t>以及基本价格指数及其来源在投</w:t>
      </w:r>
      <w:r>
        <w:rPr>
          <w:rFonts w:ascii="宋体" w:hAnsi="宋体" w:eastAsia="宋体" w:cs="宋体"/>
          <w:spacing w:val="-2"/>
          <w:sz w:val="21"/>
          <w:szCs w:val="21"/>
        </w:rPr>
        <w:t>标函附录价格指数和权重表中约定，非招标订立的合同，由合同当事人在专用合同条款中约定。价格指数应首先采用工程造价管理机构发布的价格指数，无前述价格指数时，</w:t>
      </w:r>
      <w:r>
        <w:rPr>
          <w:rFonts w:ascii="宋体" w:hAnsi="宋体" w:eastAsia="宋体" w:cs="宋体"/>
          <w:spacing w:val="-3"/>
          <w:sz w:val="21"/>
          <w:szCs w:val="21"/>
        </w:rPr>
        <w:t>可采用工</w:t>
      </w:r>
      <w:r>
        <w:rPr>
          <w:rFonts w:ascii="宋体" w:hAnsi="宋体" w:eastAsia="宋体" w:cs="宋体"/>
          <w:spacing w:val="-2"/>
          <w:sz w:val="21"/>
          <w:szCs w:val="21"/>
        </w:rPr>
        <w:t>程造价管理机构发布的价格代替。</w:t>
      </w:r>
    </w:p>
    <w:p w14:paraId="40C090D3">
      <w:pPr>
        <w:spacing w:before="1"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）暂时确定调整差额</w:t>
      </w:r>
    </w:p>
    <w:p w14:paraId="21E4A5D0">
      <w:pPr>
        <w:spacing w:before="139" w:line="350" w:lineRule="auto"/>
        <w:ind w:left="24" w:right="15" w:firstLine="419"/>
        <w:rPr>
          <w:rFonts w:ascii="宋体" w:hAnsi="宋体" w:eastAsia="宋体" w:cs="宋体"/>
          <w:sz w:val="21"/>
          <w:szCs w:val="21"/>
        </w:rPr>
      </w:pPr>
      <w:r>
        <w:rPr>
          <w:rFonts w:ascii="宋体" w:hAnsi="宋体" w:eastAsia="宋体" w:cs="宋体"/>
          <w:spacing w:val="-2"/>
          <w:sz w:val="21"/>
          <w:szCs w:val="21"/>
        </w:rPr>
        <w:t>在计算调整差额时无现行价格指数的，合同当事人同意暂用前次价格指</w:t>
      </w:r>
      <w:r>
        <w:rPr>
          <w:rFonts w:ascii="宋体" w:hAnsi="宋体" w:eastAsia="宋体" w:cs="宋体"/>
          <w:spacing w:val="-3"/>
          <w:sz w:val="21"/>
          <w:szCs w:val="21"/>
        </w:rPr>
        <w:t>数计算。实际价</w:t>
      </w:r>
      <w:r>
        <w:rPr>
          <w:rFonts w:ascii="宋体" w:hAnsi="宋体" w:eastAsia="宋体" w:cs="宋体"/>
          <w:spacing w:val="-2"/>
          <w:sz w:val="21"/>
          <w:szCs w:val="21"/>
        </w:rPr>
        <w:t>格指数有调整的，合同当事人进行相应调整。</w:t>
      </w:r>
    </w:p>
    <w:p w14:paraId="20399444">
      <w:pPr>
        <w:spacing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）权重的调整</w:t>
      </w:r>
    </w:p>
    <w:p w14:paraId="20C6ECA8">
      <w:pPr>
        <w:spacing w:before="141" w:line="233" w:lineRule="auto"/>
        <w:ind w:left="461"/>
        <w:rPr>
          <w:rFonts w:ascii="宋体" w:hAnsi="宋体" w:eastAsia="宋体" w:cs="宋体"/>
          <w:sz w:val="21"/>
          <w:szCs w:val="21"/>
        </w:rPr>
      </w:pPr>
      <w:r>
        <w:rPr>
          <w:rFonts w:ascii="宋体" w:hAnsi="宋体" w:eastAsia="宋体" w:cs="宋体"/>
          <w:spacing w:val="-1"/>
          <w:sz w:val="21"/>
          <w:szCs w:val="21"/>
        </w:rPr>
        <w:t>因变更导致合同约定的权重不合理时，按照第</w:t>
      </w:r>
      <w:r>
        <w:rPr>
          <w:rFonts w:ascii="宋体" w:hAnsi="宋体" w:eastAsia="宋体" w:cs="宋体"/>
          <w:spacing w:val="-45"/>
          <w:sz w:val="21"/>
          <w:szCs w:val="21"/>
        </w:rPr>
        <w:t xml:space="preserve"> </w:t>
      </w:r>
      <w:r>
        <w:rPr>
          <w:rFonts w:ascii="Times New Roman" w:hAnsi="Times New Roman" w:eastAsia="Times New Roman" w:cs="Times New Roman"/>
          <w:spacing w:val="-1"/>
          <w:sz w:val="21"/>
          <w:szCs w:val="21"/>
        </w:rPr>
        <w:t>4.4</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款〔商定或确定〕</w:t>
      </w:r>
      <w:r>
        <w:rPr>
          <w:rFonts w:ascii="宋体" w:hAnsi="宋体" w:eastAsia="宋体" w:cs="宋体"/>
          <w:spacing w:val="-2"/>
          <w:sz w:val="21"/>
          <w:szCs w:val="21"/>
        </w:rPr>
        <w:t>执行。</w:t>
      </w:r>
    </w:p>
    <w:p w14:paraId="4A396EF0">
      <w:pPr>
        <w:spacing w:before="139" w:line="232"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）因承包人原因工期延误后的价格调整</w:t>
      </w:r>
    </w:p>
    <w:p w14:paraId="657E697E">
      <w:pPr>
        <w:spacing w:line="232" w:lineRule="auto"/>
        <w:rPr>
          <w:rFonts w:ascii="宋体" w:hAnsi="宋体" w:eastAsia="宋体" w:cs="宋体"/>
          <w:sz w:val="21"/>
          <w:szCs w:val="21"/>
        </w:rPr>
        <w:sectPr>
          <w:footerReference r:id="rId182" w:type="default"/>
          <w:pgSz w:w="11910" w:h="16845"/>
          <w:pgMar w:top="400" w:right="1765" w:bottom="1110" w:left="1786" w:header="0" w:footer="883" w:gutter="0"/>
          <w:cols w:space="720" w:num="1"/>
        </w:sectPr>
      </w:pPr>
    </w:p>
    <w:p w14:paraId="06DF22B4">
      <w:pPr>
        <w:pStyle w:val="2"/>
        <w:spacing w:line="275" w:lineRule="auto"/>
      </w:pPr>
    </w:p>
    <w:p w14:paraId="3372D66D">
      <w:pPr>
        <w:pStyle w:val="2"/>
        <w:spacing w:line="275" w:lineRule="auto"/>
      </w:pPr>
    </w:p>
    <w:p w14:paraId="133D453C">
      <w:pPr>
        <w:pStyle w:val="2"/>
        <w:spacing w:line="275" w:lineRule="auto"/>
      </w:pPr>
    </w:p>
    <w:p w14:paraId="11953810">
      <w:pPr>
        <w:pStyle w:val="2"/>
        <w:spacing w:line="276" w:lineRule="auto"/>
      </w:pPr>
    </w:p>
    <w:p w14:paraId="57BA3DB8">
      <w:pPr>
        <w:spacing w:before="69" w:line="351" w:lineRule="auto"/>
        <w:ind w:left="25" w:right="67" w:firstLine="436"/>
        <w:jc w:val="both"/>
        <w:rPr>
          <w:rFonts w:ascii="宋体" w:hAnsi="宋体" w:eastAsia="宋体" w:cs="宋体"/>
          <w:sz w:val="21"/>
          <w:szCs w:val="21"/>
        </w:rPr>
      </w:pPr>
      <w:r>
        <w:rPr>
          <w:rFonts w:ascii="宋体" w:hAnsi="宋体" w:eastAsia="宋体" w:cs="宋体"/>
          <w:spacing w:val="-3"/>
          <w:sz w:val="21"/>
          <w:szCs w:val="21"/>
        </w:rPr>
        <w:t>因承包人原因未按期竣工的，对合同约定的竣工日期后继续施工的工程，在使用价格调</w:t>
      </w:r>
      <w:r>
        <w:rPr>
          <w:rFonts w:ascii="宋体" w:hAnsi="宋体" w:eastAsia="宋体" w:cs="宋体"/>
          <w:spacing w:val="-2"/>
          <w:sz w:val="21"/>
          <w:szCs w:val="21"/>
        </w:rPr>
        <w:t>整公式时，应采用计划竣工日期与实际竣工日期的两个价格指数中较低的一个作</w:t>
      </w:r>
      <w:r>
        <w:rPr>
          <w:rFonts w:ascii="宋体" w:hAnsi="宋体" w:eastAsia="宋体" w:cs="宋体"/>
          <w:spacing w:val="-3"/>
          <w:sz w:val="21"/>
          <w:szCs w:val="21"/>
        </w:rPr>
        <w:t>为现行价格</w:t>
      </w:r>
      <w:r>
        <w:rPr>
          <w:rFonts w:ascii="宋体" w:hAnsi="宋体" w:eastAsia="宋体" w:cs="宋体"/>
          <w:spacing w:val="-9"/>
          <w:sz w:val="21"/>
          <w:szCs w:val="21"/>
        </w:rPr>
        <w:t>指数。</w:t>
      </w:r>
    </w:p>
    <w:p w14:paraId="412D4D92">
      <w:pPr>
        <w:spacing w:before="2" w:line="232" w:lineRule="auto"/>
        <w:ind w:left="444"/>
        <w:rPr>
          <w:rFonts w:ascii="宋体" w:hAnsi="宋体" w:eastAsia="宋体" w:cs="宋体"/>
          <w:sz w:val="21"/>
          <w:szCs w:val="21"/>
        </w:rPr>
      </w:pPr>
      <w:r>
        <w:rPr>
          <w:rFonts w:ascii="宋体" w:hAnsi="宋体" w:eastAsia="宋体" w:cs="宋体"/>
          <w:spacing w:val="-2"/>
          <w:sz w:val="21"/>
          <w:szCs w:val="21"/>
        </w:rPr>
        <w:t>第</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种方式：采用造价信息进行价格调整。</w:t>
      </w:r>
    </w:p>
    <w:p w14:paraId="09891C54">
      <w:pPr>
        <w:spacing w:before="144" w:line="350" w:lineRule="auto"/>
        <w:ind w:left="23" w:right="7" w:firstLine="422"/>
        <w:rPr>
          <w:rFonts w:ascii="宋体" w:hAnsi="宋体" w:eastAsia="宋体" w:cs="宋体"/>
          <w:sz w:val="21"/>
          <w:szCs w:val="21"/>
        </w:rPr>
      </w:pPr>
      <w:r>
        <w:rPr>
          <w:rFonts w:ascii="宋体" w:hAnsi="宋体" w:eastAsia="宋体" w:cs="宋体"/>
          <w:spacing w:val="-1"/>
          <w:sz w:val="21"/>
          <w:szCs w:val="21"/>
        </w:rPr>
        <w:t>合同履行期间，因人工、材料、工程设备和机械台班价格波动影响合同价格时，人工、</w:t>
      </w:r>
      <w:r>
        <w:rPr>
          <w:rFonts w:ascii="宋体" w:hAnsi="宋体" w:eastAsia="宋体" w:cs="宋体"/>
          <w:spacing w:val="-2"/>
          <w:sz w:val="21"/>
          <w:szCs w:val="21"/>
        </w:rPr>
        <w:t>机械使用费按照国家或省、自治区、直辖市建设行政管理部门、行业建设管理部门或其授权</w:t>
      </w:r>
      <w:r>
        <w:rPr>
          <w:rFonts w:ascii="宋体" w:hAnsi="宋体" w:eastAsia="宋体" w:cs="宋体"/>
          <w:spacing w:val="-4"/>
          <w:sz w:val="21"/>
          <w:szCs w:val="21"/>
        </w:rPr>
        <w:t>的工程造价管理机构发布的人工、机械使用</w:t>
      </w:r>
      <w:r>
        <w:rPr>
          <w:rFonts w:ascii="宋体" w:hAnsi="宋体" w:eastAsia="宋体" w:cs="宋体"/>
          <w:spacing w:val="-5"/>
          <w:sz w:val="21"/>
          <w:szCs w:val="21"/>
        </w:rPr>
        <w:t>费系数进行调整； 需要进行价格调整的材料，其</w:t>
      </w:r>
      <w:r>
        <w:rPr>
          <w:rFonts w:ascii="宋体" w:hAnsi="宋体" w:eastAsia="宋体" w:cs="宋体"/>
          <w:spacing w:val="-2"/>
          <w:sz w:val="21"/>
          <w:szCs w:val="21"/>
        </w:rPr>
        <w:t>单价和采购数量应由发包人审批，发包人确认需调整的材料单价及数量，作为调整合同</w:t>
      </w:r>
      <w:r>
        <w:rPr>
          <w:rFonts w:ascii="宋体" w:hAnsi="宋体" w:eastAsia="宋体" w:cs="宋体"/>
          <w:spacing w:val="-3"/>
          <w:sz w:val="21"/>
          <w:szCs w:val="21"/>
        </w:rPr>
        <w:t>价格</w:t>
      </w:r>
      <w:r>
        <w:rPr>
          <w:rFonts w:ascii="宋体" w:hAnsi="宋体" w:eastAsia="宋体" w:cs="宋体"/>
          <w:spacing w:val="-7"/>
          <w:sz w:val="21"/>
          <w:szCs w:val="21"/>
        </w:rPr>
        <w:t>的依据。</w:t>
      </w:r>
    </w:p>
    <w:p w14:paraId="1EBD612F">
      <w:pPr>
        <w:spacing w:before="2" w:line="348" w:lineRule="auto"/>
        <w:ind w:left="25" w:right="85"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）人工单价发生变化且符合省级或行业建设主</w:t>
      </w:r>
      <w:r>
        <w:rPr>
          <w:rFonts w:ascii="宋体" w:hAnsi="宋体" w:eastAsia="宋体" w:cs="宋体"/>
          <w:spacing w:val="-1"/>
          <w:sz w:val="21"/>
          <w:szCs w:val="21"/>
        </w:rPr>
        <w:t>管部门发布的人工费调整规定，合同</w:t>
      </w:r>
      <w:r>
        <w:rPr>
          <w:rFonts w:ascii="宋体" w:hAnsi="宋体" w:eastAsia="宋体" w:cs="宋体"/>
          <w:spacing w:val="3"/>
          <w:sz w:val="21"/>
          <w:szCs w:val="21"/>
        </w:rPr>
        <w:t>当事人应按省级或行业建设主管部门或其授权的工程造价管理机构发布的</w:t>
      </w:r>
      <w:r>
        <w:rPr>
          <w:rFonts w:ascii="宋体" w:hAnsi="宋体" w:eastAsia="宋体" w:cs="宋体"/>
          <w:spacing w:val="2"/>
          <w:sz w:val="21"/>
          <w:szCs w:val="21"/>
        </w:rPr>
        <w:t>人工费等文件调</w:t>
      </w:r>
      <w:r>
        <w:rPr>
          <w:rFonts w:ascii="宋体" w:hAnsi="宋体" w:eastAsia="宋体" w:cs="宋体"/>
          <w:spacing w:val="-1"/>
          <w:sz w:val="21"/>
          <w:szCs w:val="21"/>
        </w:rPr>
        <w:t>整合同价格，但承包人对人工费或人工单价的报价高于发布价格的除外。</w:t>
      </w:r>
    </w:p>
    <w:p w14:paraId="2B606EED">
      <w:pPr>
        <w:spacing w:before="14" w:line="350" w:lineRule="auto"/>
        <w:ind w:left="43" w:right="87" w:firstLine="407"/>
        <w:rPr>
          <w:rFonts w:ascii="Times New Roman" w:hAnsi="Times New Roman" w:eastAsia="Times New Roman" w:cs="Times New Roman"/>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）材料、工程设备价格变化的价款调整按照发包人提供的基准价格，按以下风</w:t>
      </w:r>
      <w:r>
        <w:rPr>
          <w:rFonts w:ascii="宋体" w:hAnsi="宋体" w:eastAsia="宋体" w:cs="宋体"/>
          <w:spacing w:val="-1"/>
          <w:sz w:val="21"/>
          <w:szCs w:val="21"/>
        </w:rPr>
        <w:t>险范</w:t>
      </w:r>
      <w:r>
        <w:rPr>
          <w:rFonts w:ascii="宋体" w:hAnsi="宋体" w:eastAsia="宋体" w:cs="宋体"/>
          <w:spacing w:val="-5"/>
          <w:sz w:val="21"/>
          <w:szCs w:val="21"/>
        </w:rPr>
        <w:t>围规定执行</w:t>
      </w:r>
      <w:r>
        <w:rPr>
          <w:rFonts w:ascii="Times New Roman" w:hAnsi="Times New Roman" w:eastAsia="Times New Roman" w:cs="Times New Roman"/>
          <w:spacing w:val="-5"/>
          <w:sz w:val="21"/>
          <w:szCs w:val="21"/>
        </w:rPr>
        <w:t>:</w:t>
      </w:r>
    </w:p>
    <w:p w14:paraId="65C53D25">
      <w:pPr>
        <w:spacing w:before="3" w:line="351" w:lineRule="auto"/>
        <w:ind w:left="25" w:firstLine="627"/>
        <w:rPr>
          <w:rFonts w:ascii="宋体" w:hAnsi="宋体" w:eastAsia="宋体" w:cs="宋体"/>
          <w:sz w:val="21"/>
          <w:szCs w:val="21"/>
        </w:rPr>
      </w:pPr>
      <w:r>
        <w:rPr>
          <w:rFonts w:ascii="宋体" w:hAnsi="宋体" w:eastAsia="宋体" w:cs="宋体"/>
          <w:spacing w:val="-2"/>
          <w:sz w:val="21"/>
          <w:szCs w:val="21"/>
        </w:rPr>
        <w:t>①承包人在已标价工程量清单或预算书中载明材料单价低于基准价格</w:t>
      </w:r>
      <w:r>
        <w:rPr>
          <w:rFonts w:ascii="宋体" w:hAnsi="宋体" w:eastAsia="宋体" w:cs="宋体"/>
          <w:spacing w:val="-3"/>
          <w:sz w:val="21"/>
          <w:szCs w:val="21"/>
        </w:rPr>
        <w:t>的：除专用合同</w:t>
      </w:r>
      <w:r>
        <w:rPr>
          <w:rFonts w:ascii="宋体" w:hAnsi="宋体" w:eastAsia="宋体" w:cs="宋体"/>
          <w:sz w:val="21"/>
          <w:szCs w:val="21"/>
        </w:rPr>
        <w:t>条款另有约定外，合同履行期间材料单价涨幅以基准价格为基础超过</w:t>
      </w:r>
      <w:r>
        <w:rPr>
          <w:rFonts w:ascii="宋体" w:hAnsi="宋体" w:eastAsia="宋体" w:cs="宋体"/>
          <w:spacing w:val="-39"/>
          <w:sz w:val="21"/>
          <w:szCs w:val="21"/>
        </w:rPr>
        <w:t xml:space="preserve"> </w:t>
      </w:r>
      <w:r>
        <w:rPr>
          <w:rFonts w:ascii="Times New Roman" w:hAnsi="Times New Roman" w:eastAsia="Times New Roman" w:cs="Times New Roman"/>
          <w:sz w:val="21"/>
          <w:szCs w:val="21"/>
        </w:rPr>
        <w:t>5%</w:t>
      </w:r>
      <w:r>
        <w:rPr>
          <w:rFonts w:ascii="宋体" w:hAnsi="宋体" w:eastAsia="宋体" w:cs="宋体"/>
          <w:sz w:val="21"/>
          <w:szCs w:val="21"/>
        </w:rPr>
        <w:t>时，或材料单价跌</w:t>
      </w:r>
      <w:r>
        <w:rPr>
          <w:rFonts w:ascii="宋体" w:hAnsi="宋体" w:eastAsia="宋体" w:cs="宋体"/>
          <w:spacing w:val="-3"/>
          <w:sz w:val="21"/>
          <w:szCs w:val="21"/>
        </w:rPr>
        <w:t>幅以在已标价工程量清单或预算书中载明材料单价为基础超过</w:t>
      </w:r>
      <w:r>
        <w:rPr>
          <w:rFonts w:ascii="宋体" w:hAnsi="宋体" w:eastAsia="宋体" w:cs="宋体"/>
          <w:spacing w:val="-56"/>
          <w:sz w:val="21"/>
          <w:szCs w:val="21"/>
        </w:rPr>
        <w:t xml:space="preserve"> </w:t>
      </w:r>
      <w:r>
        <w:rPr>
          <w:rFonts w:ascii="Times New Roman" w:hAnsi="Times New Roman" w:eastAsia="Times New Roman" w:cs="Times New Roman"/>
          <w:spacing w:val="-3"/>
          <w:sz w:val="21"/>
          <w:szCs w:val="21"/>
        </w:rPr>
        <w:t>5%</w:t>
      </w:r>
      <w:r>
        <w:rPr>
          <w:rFonts w:ascii="宋体" w:hAnsi="宋体" w:eastAsia="宋体" w:cs="宋体"/>
          <w:spacing w:val="-3"/>
          <w:sz w:val="21"/>
          <w:szCs w:val="21"/>
        </w:rPr>
        <w:t>时</w:t>
      </w:r>
      <w:r>
        <w:rPr>
          <w:rFonts w:ascii="宋体" w:hAnsi="宋体" w:eastAsia="宋体" w:cs="宋体"/>
          <w:spacing w:val="-4"/>
          <w:sz w:val="21"/>
          <w:szCs w:val="21"/>
        </w:rPr>
        <w:t>，其超过部分据实调整。</w:t>
      </w:r>
    </w:p>
    <w:p w14:paraId="254B6FED">
      <w:pPr>
        <w:spacing w:line="352" w:lineRule="auto"/>
        <w:ind w:left="25" w:right="58" w:firstLine="627"/>
        <w:rPr>
          <w:rFonts w:ascii="宋体" w:hAnsi="宋体" w:eastAsia="宋体" w:cs="宋体"/>
          <w:sz w:val="21"/>
          <w:szCs w:val="21"/>
        </w:rPr>
      </w:pPr>
      <w:r>
        <w:rPr>
          <w:rFonts w:ascii="宋体" w:hAnsi="宋体" w:eastAsia="宋体" w:cs="宋体"/>
          <w:spacing w:val="-2"/>
          <w:sz w:val="21"/>
          <w:szCs w:val="21"/>
        </w:rPr>
        <w:t>②承包人在已标价工程量清单或预算书中载明材料单价高于基准价格的</w:t>
      </w:r>
      <w:r>
        <w:rPr>
          <w:rFonts w:ascii="宋体" w:hAnsi="宋体" w:eastAsia="宋体" w:cs="宋体"/>
          <w:spacing w:val="-3"/>
          <w:sz w:val="21"/>
          <w:szCs w:val="21"/>
        </w:rPr>
        <w:t>：除专用合同</w:t>
      </w:r>
      <w:r>
        <w:rPr>
          <w:rFonts w:ascii="宋体" w:hAnsi="宋体" w:eastAsia="宋体" w:cs="宋体"/>
          <w:sz w:val="21"/>
          <w:szCs w:val="21"/>
        </w:rPr>
        <w:t>条款另有约定外，合同履行期间材料单价跌幅以基准价格为基础超过</w:t>
      </w:r>
      <w:r>
        <w:rPr>
          <w:rFonts w:ascii="宋体" w:hAnsi="宋体" w:eastAsia="宋体" w:cs="宋体"/>
          <w:spacing w:val="-39"/>
          <w:sz w:val="21"/>
          <w:szCs w:val="21"/>
        </w:rPr>
        <w:t xml:space="preserve"> </w:t>
      </w:r>
      <w:r>
        <w:rPr>
          <w:rFonts w:ascii="Times New Roman" w:hAnsi="Times New Roman" w:eastAsia="Times New Roman" w:cs="Times New Roman"/>
          <w:sz w:val="21"/>
          <w:szCs w:val="21"/>
        </w:rPr>
        <w:t>5%</w:t>
      </w:r>
      <w:r>
        <w:rPr>
          <w:rFonts w:ascii="宋体" w:hAnsi="宋体" w:eastAsia="宋体" w:cs="宋体"/>
          <w:sz w:val="21"/>
          <w:szCs w:val="21"/>
        </w:rPr>
        <w:t>时，材料单价涨幅以在已标价工程量清单或预算书中载明材料单价为基础超</w:t>
      </w:r>
      <w:r>
        <w:rPr>
          <w:rFonts w:ascii="宋体" w:hAnsi="宋体" w:eastAsia="宋体" w:cs="宋体"/>
          <w:spacing w:val="-1"/>
          <w:sz w:val="21"/>
          <w:szCs w:val="21"/>
        </w:rPr>
        <w:t>过</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5%</w:t>
      </w:r>
      <w:r>
        <w:rPr>
          <w:rFonts w:ascii="宋体" w:hAnsi="宋体" w:eastAsia="宋体" w:cs="宋体"/>
          <w:spacing w:val="-1"/>
          <w:sz w:val="21"/>
          <w:szCs w:val="21"/>
        </w:rPr>
        <w:t>时，其超过部分据实调整。</w:t>
      </w:r>
    </w:p>
    <w:p w14:paraId="742B1ED4">
      <w:pPr>
        <w:spacing w:before="3" w:line="351" w:lineRule="auto"/>
        <w:ind w:left="23" w:right="60" w:firstLine="629"/>
        <w:rPr>
          <w:rFonts w:ascii="宋体" w:hAnsi="宋体" w:eastAsia="宋体" w:cs="宋体"/>
          <w:sz w:val="21"/>
          <w:szCs w:val="21"/>
        </w:rPr>
      </w:pPr>
      <w:r>
        <w:rPr>
          <w:rFonts w:ascii="宋体" w:hAnsi="宋体" w:eastAsia="宋体" w:cs="宋体"/>
          <w:spacing w:val="-2"/>
          <w:sz w:val="21"/>
          <w:szCs w:val="21"/>
        </w:rPr>
        <w:t>③承包人在已标价工程量清单或预算书中载明材料单价等于基准价格的</w:t>
      </w:r>
      <w:r>
        <w:rPr>
          <w:rFonts w:ascii="宋体" w:hAnsi="宋体" w:eastAsia="宋体" w:cs="宋体"/>
          <w:spacing w:val="-3"/>
          <w:sz w:val="21"/>
          <w:szCs w:val="21"/>
        </w:rPr>
        <w:t>：除专用合同</w:t>
      </w:r>
      <w:r>
        <w:rPr>
          <w:rFonts w:ascii="宋体" w:hAnsi="宋体" w:eastAsia="宋体" w:cs="宋体"/>
          <w:spacing w:val="-1"/>
          <w:sz w:val="21"/>
          <w:szCs w:val="21"/>
        </w:rPr>
        <w:t>条款另有约定外，合同履行期间材料单价涨跌幅以基准价格为基础超过</w:t>
      </w:r>
      <w:r>
        <w:rPr>
          <w:rFonts w:ascii="Times New Roman" w:hAnsi="Times New Roman" w:eastAsia="Times New Roman" w:cs="Times New Roman"/>
          <w:spacing w:val="-1"/>
          <w:sz w:val="21"/>
          <w:szCs w:val="21"/>
        </w:rPr>
        <w:t>±5%</w:t>
      </w:r>
      <w:r>
        <w:rPr>
          <w:rFonts w:ascii="宋体" w:hAnsi="宋体" w:eastAsia="宋体" w:cs="宋体"/>
          <w:spacing w:val="-2"/>
          <w:sz w:val="21"/>
          <w:szCs w:val="21"/>
        </w:rPr>
        <w:t>时，其超过部分</w:t>
      </w:r>
      <w:r>
        <w:rPr>
          <w:rFonts w:ascii="宋体" w:hAnsi="宋体" w:eastAsia="宋体" w:cs="宋体"/>
          <w:spacing w:val="-6"/>
          <w:sz w:val="21"/>
          <w:szCs w:val="21"/>
        </w:rPr>
        <w:t>据实调整。</w:t>
      </w:r>
    </w:p>
    <w:p w14:paraId="04988FD0">
      <w:pPr>
        <w:spacing w:before="2" w:line="350" w:lineRule="auto"/>
        <w:ind w:left="22" w:right="67" w:firstLine="630"/>
        <w:rPr>
          <w:rFonts w:ascii="宋体" w:hAnsi="宋体" w:eastAsia="宋体" w:cs="宋体"/>
          <w:sz w:val="21"/>
          <w:szCs w:val="21"/>
        </w:rPr>
      </w:pPr>
      <w:r>
        <w:rPr>
          <w:rFonts w:ascii="宋体" w:hAnsi="宋体" w:eastAsia="宋体" w:cs="宋体"/>
          <w:spacing w:val="-2"/>
          <w:sz w:val="21"/>
          <w:szCs w:val="21"/>
        </w:rPr>
        <w:t>④承包人应在采购材料前将采购数量和新的材料单价报发包人核对，发</w:t>
      </w:r>
      <w:r>
        <w:rPr>
          <w:rFonts w:ascii="宋体" w:hAnsi="宋体" w:eastAsia="宋体" w:cs="宋体"/>
          <w:spacing w:val="-3"/>
          <w:sz w:val="21"/>
          <w:szCs w:val="21"/>
        </w:rPr>
        <w:t>包人确认用于</w:t>
      </w:r>
      <w:r>
        <w:rPr>
          <w:rFonts w:ascii="宋体" w:hAnsi="宋体" w:eastAsia="宋体" w:cs="宋体"/>
          <w:spacing w:val="3"/>
          <w:sz w:val="21"/>
          <w:szCs w:val="21"/>
        </w:rPr>
        <w:t>工程时，发包人应确认采购材料的数量和单价。发包人在收到</w:t>
      </w:r>
      <w:r>
        <w:rPr>
          <w:rFonts w:ascii="宋体" w:hAnsi="宋体" w:eastAsia="宋体" w:cs="宋体"/>
          <w:spacing w:val="2"/>
          <w:sz w:val="21"/>
          <w:szCs w:val="21"/>
        </w:rPr>
        <w:t xml:space="preserve">承包人报送的确认资料后 </w:t>
      </w:r>
      <w:r>
        <w:rPr>
          <w:rFonts w:ascii="Times New Roman" w:hAnsi="Times New Roman" w:eastAsia="Times New Roman" w:cs="Times New Roman"/>
          <w:spacing w:val="2"/>
          <w:sz w:val="21"/>
          <w:szCs w:val="21"/>
        </w:rPr>
        <w:t>5</w:t>
      </w:r>
      <w:r>
        <w:rPr>
          <w:rFonts w:ascii="宋体" w:hAnsi="宋体" w:eastAsia="宋体" w:cs="宋体"/>
          <w:spacing w:val="-4"/>
          <w:sz w:val="21"/>
          <w:szCs w:val="21"/>
        </w:rPr>
        <w:t>天内不予答复的视为认可，作为调整合同价格</w:t>
      </w:r>
      <w:r>
        <w:rPr>
          <w:rFonts w:ascii="宋体" w:hAnsi="宋体" w:eastAsia="宋体" w:cs="宋体"/>
          <w:spacing w:val="-5"/>
          <w:sz w:val="21"/>
          <w:szCs w:val="21"/>
        </w:rPr>
        <w:t>的依据。未经发包人事先核对， 承包人自行采</w:t>
      </w:r>
      <w:r>
        <w:rPr>
          <w:rFonts w:ascii="宋体" w:hAnsi="宋体" w:eastAsia="宋体" w:cs="宋体"/>
          <w:spacing w:val="-1"/>
          <w:sz w:val="21"/>
          <w:szCs w:val="21"/>
        </w:rPr>
        <w:t>购材料的，发包人有权不予调整合同价格。发包人同意的，可以调整合同价格。</w:t>
      </w:r>
    </w:p>
    <w:p w14:paraId="7C8DC5F2">
      <w:pPr>
        <w:spacing w:before="10" w:line="351" w:lineRule="auto"/>
        <w:ind w:left="24" w:right="70" w:firstLine="423"/>
        <w:jc w:val="both"/>
        <w:rPr>
          <w:rFonts w:ascii="宋体" w:hAnsi="宋体" w:eastAsia="宋体" w:cs="宋体"/>
          <w:sz w:val="21"/>
          <w:szCs w:val="21"/>
        </w:rPr>
      </w:pPr>
      <w:r>
        <w:rPr>
          <w:rFonts w:ascii="宋体" w:hAnsi="宋体" w:eastAsia="宋体" w:cs="宋体"/>
          <w:spacing w:val="3"/>
          <w:sz w:val="21"/>
          <w:szCs w:val="21"/>
        </w:rPr>
        <w:t>前述基准价格是指由发包人在招标文件或专用合同条款中给定的材料</w:t>
      </w:r>
      <w:r>
        <w:rPr>
          <w:rFonts w:ascii="宋体" w:hAnsi="宋体" w:eastAsia="宋体" w:cs="宋体"/>
          <w:spacing w:val="2"/>
          <w:sz w:val="21"/>
          <w:szCs w:val="21"/>
        </w:rPr>
        <w:t>、工程设备的价</w:t>
      </w:r>
      <w:r>
        <w:rPr>
          <w:rFonts w:ascii="宋体" w:hAnsi="宋体" w:eastAsia="宋体" w:cs="宋体"/>
          <w:spacing w:val="-2"/>
          <w:sz w:val="21"/>
          <w:szCs w:val="21"/>
        </w:rPr>
        <w:t>格，该价格原则上应当按照省级或行业建设主管部门或其授权的工程造价管理机构</w:t>
      </w:r>
      <w:r>
        <w:rPr>
          <w:rFonts w:ascii="宋体" w:hAnsi="宋体" w:eastAsia="宋体" w:cs="宋体"/>
          <w:spacing w:val="-3"/>
          <w:sz w:val="21"/>
          <w:szCs w:val="21"/>
        </w:rPr>
        <w:t>发布的信</w:t>
      </w:r>
      <w:r>
        <w:rPr>
          <w:rFonts w:ascii="宋体" w:hAnsi="宋体" w:eastAsia="宋体" w:cs="宋体"/>
          <w:spacing w:val="-6"/>
          <w:sz w:val="21"/>
          <w:szCs w:val="21"/>
        </w:rPr>
        <w:t>息价编制。</w:t>
      </w:r>
    </w:p>
    <w:p w14:paraId="19CBBF7A">
      <w:pPr>
        <w:spacing w:before="5" w:line="347" w:lineRule="auto"/>
        <w:ind w:left="23" w:right="91"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）施工机械台班单价或施工机械使用费发生变化超过省级或行业建设</w:t>
      </w:r>
      <w:r>
        <w:rPr>
          <w:rFonts w:ascii="宋体" w:hAnsi="宋体" w:eastAsia="宋体" w:cs="宋体"/>
          <w:spacing w:val="-1"/>
          <w:sz w:val="21"/>
          <w:szCs w:val="21"/>
        </w:rPr>
        <w:t>主管部门或其授权的工程造价管理机构规定的范围时，按规定调整合同价格。</w:t>
      </w:r>
    </w:p>
    <w:p w14:paraId="31F0D185">
      <w:pPr>
        <w:spacing w:before="6" w:line="233" w:lineRule="auto"/>
        <w:ind w:left="444"/>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6"/>
          <w:w w:val="101"/>
          <w:sz w:val="21"/>
          <w:szCs w:val="21"/>
        </w:rPr>
        <w:t xml:space="preserve"> </w:t>
      </w:r>
      <w:r>
        <w:rPr>
          <w:rFonts w:ascii="宋体" w:hAnsi="宋体" w:eastAsia="宋体" w:cs="宋体"/>
          <w:spacing w:val="-3"/>
          <w:sz w:val="21"/>
          <w:szCs w:val="21"/>
        </w:rPr>
        <w:t>种方式：专用合同条款约定的其他方式。</w:t>
      </w:r>
    </w:p>
    <w:p w14:paraId="54BAD9CC">
      <w:pPr>
        <w:spacing w:line="233" w:lineRule="auto"/>
        <w:rPr>
          <w:rFonts w:ascii="宋体" w:hAnsi="宋体" w:eastAsia="宋体" w:cs="宋体"/>
          <w:sz w:val="21"/>
          <w:szCs w:val="21"/>
        </w:rPr>
        <w:sectPr>
          <w:footerReference r:id="rId183" w:type="default"/>
          <w:pgSz w:w="11910" w:h="16845"/>
          <w:pgMar w:top="400" w:right="1711" w:bottom="1110" w:left="1786" w:header="0" w:footer="883" w:gutter="0"/>
          <w:cols w:space="720" w:num="1"/>
        </w:sectPr>
      </w:pPr>
    </w:p>
    <w:p w14:paraId="7C8207E8">
      <w:pPr>
        <w:pStyle w:val="2"/>
        <w:spacing w:line="266" w:lineRule="auto"/>
      </w:pPr>
    </w:p>
    <w:p w14:paraId="068EB26C">
      <w:pPr>
        <w:pStyle w:val="2"/>
        <w:spacing w:line="266" w:lineRule="auto"/>
      </w:pPr>
    </w:p>
    <w:p w14:paraId="61296A3B">
      <w:pPr>
        <w:pStyle w:val="2"/>
        <w:spacing w:line="266" w:lineRule="auto"/>
      </w:pPr>
    </w:p>
    <w:p w14:paraId="3CC929E8">
      <w:pPr>
        <w:pStyle w:val="2"/>
        <w:spacing w:line="267" w:lineRule="auto"/>
      </w:pPr>
    </w:p>
    <w:p w14:paraId="5DF9632E">
      <w:pPr>
        <w:spacing w:before="78" w:line="233" w:lineRule="auto"/>
        <w:ind w:left="31"/>
        <w:outlineLvl w:val="1"/>
        <w:rPr>
          <w:rFonts w:ascii="黑体" w:hAnsi="黑体" w:eastAsia="黑体" w:cs="黑体"/>
          <w:sz w:val="24"/>
          <w:szCs w:val="24"/>
        </w:rPr>
      </w:pPr>
      <w:bookmarkStart w:id="436" w:name="bookmark379"/>
      <w:bookmarkEnd w:id="436"/>
      <w:r>
        <w:rPr>
          <w:rFonts w:ascii="Times New Roman" w:hAnsi="Times New Roman" w:eastAsia="Times New Roman" w:cs="Times New Roman"/>
          <w:b/>
          <w:bCs/>
          <w:sz w:val="24"/>
          <w:szCs w:val="24"/>
        </w:rPr>
        <w:t xml:space="preserve">11.2 </w:t>
      </w:r>
      <w:r>
        <w:rPr>
          <w:rFonts w:ascii="黑体" w:hAnsi="黑体" w:eastAsia="黑体" w:cs="黑体"/>
          <w:b/>
          <w:bCs/>
          <w:sz w:val="24"/>
          <w:szCs w:val="24"/>
        </w:rPr>
        <w:t>法律变化引起的调整</w:t>
      </w:r>
    </w:p>
    <w:p w14:paraId="3F046E13">
      <w:pPr>
        <w:spacing w:before="127" w:line="348" w:lineRule="auto"/>
        <w:ind w:left="23" w:right="89" w:firstLine="421"/>
        <w:jc w:val="both"/>
        <w:rPr>
          <w:rFonts w:ascii="宋体" w:hAnsi="宋体" w:eastAsia="宋体" w:cs="宋体"/>
          <w:sz w:val="21"/>
          <w:szCs w:val="21"/>
        </w:rPr>
      </w:pPr>
      <w:r>
        <w:rPr>
          <w:rFonts w:ascii="宋体" w:hAnsi="宋体" w:eastAsia="宋体" w:cs="宋体"/>
          <w:spacing w:val="-5"/>
          <w:sz w:val="21"/>
          <w:szCs w:val="21"/>
        </w:rPr>
        <w:t>基准日期后，法律变化导致承包人在合同履行过程中所需要的费用发生除第</w:t>
      </w:r>
      <w:r>
        <w:rPr>
          <w:rFonts w:ascii="宋体" w:hAnsi="宋体" w:eastAsia="宋体" w:cs="宋体"/>
          <w:spacing w:val="-10"/>
          <w:sz w:val="21"/>
          <w:szCs w:val="21"/>
        </w:rPr>
        <w:t xml:space="preserve"> </w:t>
      </w:r>
      <w:r>
        <w:rPr>
          <w:rFonts w:ascii="Times New Roman" w:hAnsi="Times New Roman" w:eastAsia="Times New Roman" w:cs="Times New Roman"/>
          <w:spacing w:val="-5"/>
          <w:sz w:val="21"/>
          <w:szCs w:val="21"/>
        </w:rPr>
        <w:t>11.1</w:t>
      </w:r>
      <w:r>
        <w:rPr>
          <w:rFonts w:ascii="Times New Roman" w:hAnsi="Times New Roman" w:eastAsia="Times New Roman" w:cs="Times New Roman"/>
          <w:spacing w:val="18"/>
          <w:sz w:val="21"/>
          <w:szCs w:val="21"/>
        </w:rPr>
        <w:t xml:space="preserve"> </w:t>
      </w:r>
      <w:r>
        <w:rPr>
          <w:rFonts w:ascii="宋体" w:hAnsi="宋体" w:eastAsia="宋体" w:cs="宋体"/>
          <w:spacing w:val="-5"/>
          <w:sz w:val="21"/>
          <w:szCs w:val="21"/>
        </w:rPr>
        <w:t>款〔市</w:t>
      </w:r>
      <w:r>
        <w:rPr>
          <w:rFonts w:ascii="宋体" w:hAnsi="宋体" w:eastAsia="宋体" w:cs="宋体"/>
          <w:spacing w:val="-6"/>
          <w:sz w:val="21"/>
          <w:szCs w:val="21"/>
        </w:rPr>
        <w:t>场价格波动引起的调整〕约定以外的增加时，</w:t>
      </w:r>
      <w:r>
        <w:rPr>
          <w:rFonts w:ascii="宋体" w:hAnsi="宋体" w:eastAsia="宋体" w:cs="宋体"/>
          <w:spacing w:val="71"/>
          <w:sz w:val="21"/>
          <w:szCs w:val="21"/>
        </w:rPr>
        <w:t xml:space="preserve"> </w:t>
      </w:r>
      <w:r>
        <w:rPr>
          <w:rFonts w:ascii="宋体" w:hAnsi="宋体" w:eastAsia="宋体" w:cs="宋体"/>
          <w:spacing w:val="-6"/>
          <w:sz w:val="21"/>
          <w:szCs w:val="21"/>
        </w:rPr>
        <w:t>由发包人承担由此增加的费用；减少时，应从</w:t>
      </w:r>
      <w:r>
        <w:rPr>
          <w:rFonts w:ascii="宋体" w:hAnsi="宋体" w:eastAsia="宋体" w:cs="宋体"/>
          <w:spacing w:val="-1"/>
          <w:sz w:val="21"/>
          <w:szCs w:val="21"/>
        </w:rPr>
        <w:t>合同价格中予以扣减。基准日期后，因法律变化造成工期延误时，工期应予以顺延。</w:t>
      </w:r>
    </w:p>
    <w:p w14:paraId="793271BC">
      <w:pPr>
        <w:spacing w:before="14" w:line="350" w:lineRule="auto"/>
        <w:ind w:left="25" w:right="106" w:firstLine="435"/>
        <w:rPr>
          <w:rFonts w:ascii="宋体" w:hAnsi="宋体" w:eastAsia="宋体" w:cs="宋体"/>
          <w:sz w:val="21"/>
          <w:szCs w:val="21"/>
        </w:rPr>
      </w:pPr>
      <w:r>
        <w:rPr>
          <w:rFonts w:ascii="宋体" w:hAnsi="宋体" w:eastAsia="宋体" w:cs="宋体"/>
          <w:spacing w:val="-3"/>
          <w:sz w:val="21"/>
          <w:szCs w:val="21"/>
        </w:rPr>
        <w:t>因法律变化引起的合同价格和工期调整，合同当事人无法达成一致的，由总监理工程师</w:t>
      </w:r>
      <w:r>
        <w:rPr>
          <w:rFonts w:ascii="宋体" w:hAnsi="宋体" w:eastAsia="宋体" w:cs="宋体"/>
          <w:spacing w:val="-2"/>
          <w:sz w:val="21"/>
          <w:szCs w:val="21"/>
        </w:rPr>
        <w:t>按第</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款〔商定或确定〕的约定处理。</w:t>
      </w:r>
    </w:p>
    <w:p w14:paraId="0DE99B2B">
      <w:pPr>
        <w:spacing w:line="358" w:lineRule="auto"/>
        <w:ind w:left="25" w:firstLine="436"/>
        <w:rPr>
          <w:rFonts w:ascii="宋体" w:hAnsi="宋体" w:eastAsia="宋体" w:cs="宋体"/>
          <w:sz w:val="21"/>
          <w:szCs w:val="21"/>
        </w:rPr>
      </w:pPr>
      <w:r>
        <w:rPr>
          <w:rFonts w:ascii="宋体" w:hAnsi="宋体" w:eastAsia="宋体" w:cs="宋体"/>
          <w:spacing w:val="-5"/>
          <w:sz w:val="21"/>
          <w:szCs w:val="21"/>
        </w:rPr>
        <w:t>因承包人原因造成工期延误，在工期延误期间出现法律变化的，由此增加</w:t>
      </w:r>
      <w:r>
        <w:rPr>
          <w:rFonts w:ascii="宋体" w:hAnsi="宋体" w:eastAsia="宋体" w:cs="宋体"/>
          <w:spacing w:val="-6"/>
          <w:sz w:val="21"/>
          <w:szCs w:val="21"/>
        </w:rPr>
        <w:t>的费用和（或）</w:t>
      </w:r>
      <w:r>
        <w:rPr>
          <w:rFonts w:ascii="宋体" w:hAnsi="宋体" w:eastAsia="宋体" w:cs="宋体"/>
          <w:spacing w:val="-3"/>
          <w:sz w:val="21"/>
          <w:szCs w:val="21"/>
        </w:rPr>
        <w:t>延误的工期由承包人承担。</w:t>
      </w:r>
    </w:p>
    <w:p w14:paraId="23C1DE2C">
      <w:pPr>
        <w:spacing w:before="20" w:line="237" w:lineRule="auto"/>
        <w:ind w:left="34"/>
        <w:outlineLvl w:val="0"/>
        <w:rPr>
          <w:rFonts w:ascii="黑体" w:hAnsi="黑体" w:eastAsia="黑体" w:cs="黑体"/>
          <w:sz w:val="28"/>
          <w:szCs w:val="28"/>
        </w:rPr>
      </w:pPr>
      <w:bookmarkStart w:id="437" w:name="bookmark381"/>
      <w:bookmarkEnd w:id="437"/>
      <w:bookmarkStart w:id="438" w:name="bookmark380"/>
      <w:bookmarkEnd w:id="438"/>
      <w:r>
        <w:rPr>
          <w:rFonts w:ascii="Times New Roman" w:hAnsi="Times New Roman" w:eastAsia="Times New Roman" w:cs="Times New Roman"/>
          <w:b/>
          <w:bCs/>
          <w:spacing w:val="1"/>
          <w:sz w:val="28"/>
          <w:szCs w:val="28"/>
        </w:rPr>
        <w:t>12.</w:t>
      </w:r>
      <w:r>
        <w:rPr>
          <w:rFonts w:ascii="Times New Roman" w:hAnsi="Times New Roman" w:eastAsia="Times New Roman" w:cs="Times New Roman"/>
          <w:b/>
          <w:bCs/>
          <w:spacing w:val="77"/>
          <w:sz w:val="28"/>
          <w:szCs w:val="28"/>
        </w:rPr>
        <w:t xml:space="preserve"> </w:t>
      </w:r>
      <w:r>
        <w:rPr>
          <w:rFonts w:ascii="黑体" w:hAnsi="黑体" w:eastAsia="黑体" w:cs="黑体"/>
          <w:b/>
          <w:bCs/>
          <w:spacing w:val="1"/>
          <w:sz w:val="28"/>
          <w:szCs w:val="28"/>
        </w:rPr>
        <w:t>合同价格、计量与支付</w:t>
      </w:r>
    </w:p>
    <w:p w14:paraId="6A19ABB7">
      <w:pPr>
        <w:spacing w:before="85" w:line="233" w:lineRule="auto"/>
        <w:ind w:left="31"/>
        <w:outlineLvl w:val="1"/>
        <w:rPr>
          <w:rFonts w:ascii="黑体" w:hAnsi="黑体" w:eastAsia="黑体" w:cs="黑体"/>
          <w:sz w:val="24"/>
          <w:szCs w:val="24"/>
        </w:rPr>
      </w:pPr>
      <w:bookmarkStart w:id="439" w:name="bookmark694"/>
      <w:bookmarkEnd w:id="439"/>
      <w:r>
        <w:rPr>
          <w:rFonts w:ascii="Times New Roman" w:hAnsi="Times New Roman" w:eastAsia="Times New Roman" w:cs="Times New Roman"/>
          <w:b/>
          <w:bCs/>
          <w:spacing w:val="1"/>
          <w:sz w:val="24"/>
          <w:szCs w:val="24"/>
        </w:rPr>
        <w:t xml:space="preserve">12.1  </w:t>
      </w:r>
      <w:r>
        <w:rPr>
          <w:rFonts w:ascii="黑体" w:hAnsi="黑体" w:eastAsia="黑体" w:cs="黑体"/>
          <w:b/>
          <w:bCs/>
          <w:spacing w:val="1"/>
          <w:sz w:val="24"/>
          <w:szCs w:val="24"/>
        </w:rPr>
        <w:t>合同价格形式</w:t>
      </w:r>
    </w:p>
    <w:p w14:paraId="6E403FC0">
      <w:pPr>
        <w:spacing w:before="114" w:line="218" w:lineRule="auto"/>
        <w:ind w:left="448"/>
        <w:rPr>
          <w:rFonts w:ascii="宋体" w:hAnsi="宋体" w:eastAsia="宋体" w:cs="宋体"/>
          <w:sz w:val="21"/>
          <w:szCs w:val="21"/>
        </w:rPr>
      </w:pPr>
      <w:r>
        <w:rPr>
          <w:rFonts w:ascii="宋体" w:hAnsi="宋体" w:eastAsia="宋体" w:cs="宋体"/>
          <w:spacing w:val="-2"/>
          <w:sz w:val="21"/>
          <w:szCs w:val="21"/>
        </w:rPr>
        <w:t>发包人和承包人应在合同协议书中选择下列一种合同价格形式：</w:t>
      </w:r>
    </w:p>
    <w:p w14:paraId="3BC2D9E8">
      <w:pPr>
        <w:spacing w:before="157" w:line="232" w:lineRule="auto"/>
        <w:ind w:left="461"/>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单价合同</w:t>
      </w:r>
    </w:p>
    <w:p w14:paraId="324B0D01">
      <w:pPr>
        <w:spacing w:before="143" w:line="349" w:lineRule="auto"/>
        <w:ind w:left="24" w:right="105" w:firstLine="422"/>
        <w:rPr>
          <w:rFonts w:ascii="宋体" w:hAnsi="宋体" w:eastAsia="宋体" w:cs="宋体"/>
          <w:sz w:val="21"/>
          <w:szCs w:val="21"/>
        </w:rPr>
      </w:pPr>
      <w:r>
        <w:rPr>
          <w:rFonts w:ascii="宋体" w:hAnsi="宋体" w:eastAsia="宋体" w:cs="宋体"/>
          <w:spacing w:val="-2"/>
          <w:sz w:val="21"/>
          <w:szCs w:val="21"/>
        </w:rPr>
        <w:t>单价合同是指合同当事人约定以工程量清单及其综合单价进行合同价格</w:t>
      </w:r>
      <w:r>
        <w:rPr>
          <w:rFonts w:ascii="宋体" w:hAnsi="宋体" w:eastAsia="宋体" w:cs="宋体"/>
          <w:spacing w:val="-3"/>
          <w:sz w:val="21"/>
          <w:szCs w:val="21"/>
        </w:rPr>
        <w:t>计算、调整和确</w:t>
      </w:r>
      <w:r>
        <w:rPr>
          <w:rFonts w:ascii="宋体" w:hAnsi="宋体" w:eastAsia="宋体" w:cs="宋体"/>
          <w:spacing w:val="-2"/>
          <w:sz w:val="21"/>
          <w:szCs w:val="21"/>
        </w:rPr>
        <w:t>认的建设工程施工合同，在约定的范围内合同单价不作调整。合同当事人应在专用</w:t>
      </w:r>
      <w:r>
        <w:rPr>
          <w:rFonts w:ascii="宋体" w:hAnsi="宋体" w:eastAsia="宋体" w:cs="宋体"/>
          <w:spacing w:val="-3"/>
          <w:sz w:val="21"/>
          <w:szCs w:val="21"/>
        </w:rPr>
        <w:t>合同条款</w:t>
      </w:r>
      <w:r>
        <w:rPr>
          <w:rFonts w:ascii="宋体" w:hAnsi="宋体" w:eastAsia="宋体" w:cs="宋体"/>
          <w:spacing w:val="-2"/>
          <w:sz w:val="21"/>
          <w:szCs w:val="21"/>
        </w:rPr>
        <w:t>中约定综合单价包含的风险范围和风险费用的计算方法，并约定风险范围以外的合同价格的</w:t>
      </w:r>
      <w:r>
        <w:rPr>
          <w:rFonts w:ascii="宋体" w:hAnsi="宋体" w:eastAsia="宋体" w:cs="宋体"/>
          <w:spacing w:val="-1"/>
          <w:sz w:val="21"/>
          <w:szCs w:val="21"/>
        </w:rPr>
        <w:t xml:space="preserve">调整方法，其中因市场价格波动引起的调整按第 </w:t>
      </w:r>
      <w:r>
        <w:rPr>
          <w:rFonts w:ascii="Times New Roman" w:hAnsi="Times New Roman" w:eastAsia="Times New Roman" w:cs="Times New Roman"/>
          <w:spacing w:val="-1"/>
          <w:sz w:val="21"/>
          <w:szCs w:val="21"/>
        </w:rPr>
        <w:t xml:space="preserve">11.1  </w:t>
      </w:r>
      <w:r>
        <w:rPr>
          <w:rFonts w:ascii="宋体" w:hAnsi="宋体" w:eastAsia="宋体" w:cs="宋体"/>
          <w:spacing w:val="-1"/>
          <w:sz w:val="21"/>
          <w:szCs w:val="21"/>
        </w:rPr>
        <w:t>款〔市场价格波动引起的调整〕约定</w:t>
      </w:r>
      <w:r>
        <w:rPr>
          <w:rFonts w:ascii="宋体" w:hAnsi="宋体" w:eastAsia="宋体" w:cs="宋体"/>
          <w:spacing w:val="-9"/>
          <w:sz w:val="21"/>
          <w:szCs w:val="21"/>
        </w:rPr>
        <w:t>执行。</w:t>
      </w:r>
    </w:p>
    <w:p w14:paraId="599A0AF5">
      <w:pPr>
        <w:spacing w:before="10" w:line="232" w:lineRule="auto"/>
        <w:ind w:left="440"/>
        <w:rPr>
          <w:rFonts w:ascii="宋体" w:hAnsi="宋体" w:eastAsia="宋体" w:cs="宋体"/>
          <w:sz w:val="21"/>
          <w:szCs w:val="21"/>
        </w:rPr>
      </w:pPr>
      <w:r>
        <w:rPr>
          <w:rFonts w:ascii="Times New Roman" w:hAnsi="Times New Roman" w:eastAsia="Times New Roman" w:cs="Times New Roman"/>
          <w:spacing w:val="-3"/>
          <w:sz w:val="21"/>
          <w:szCs w:val="21"/>
        </w:rPr>
        <w:t>2.</w:t>
      </w:r>
      <w:r>
        <w:rPr>
          <w:rFonts w:ascii="Times New Roman" w:hAnsi="Times New Roman" w:eastAsia="Times New Roman" w:cs="Times New Roman"/>
          <w:spacing w:val="-28"/>
          <w:sz w:val="21"/>
          <w:szCs w:val="21"/>
        </w:rPr>
        <w:t xml:space="preserve"> </w:t>
      </w:r>
      <w:r>
        <w:rPr>
          <w:rFonts w:ascii="宋体" w:hAnsi="宋体" w:eastAsia="宋体" w:cs="宋体"/>
          <w:spacing w:val="-3"/>
          <w:sz w:val="21"/>
          <w:szCs w:val="21"/>
        </w:rPr>
        <w:t>总价合同</w:t>
      </w:r>
    </w:p>
    <w:p w14:paraId="6F369104">
      <w:pPr>
        <w:spacing w:before="142" w:line="351" w:lineRule="auto"/>
        <w:ind w:left="24" w:right="105" w:firstLine="426"/>
        <w:rPr>
          <w:rFonts w:ascii="宋体" w:hAnsi="宋体" w:eastAsia="宋体" w:cs="宋体"/>
          <w:sz w:val="21"/>
          <w:szCs w:val="21"/>
        </w:rPr>
      </w:pPr>
      <w:r>
        <w:rPr>
          <w:rFonts w:ascii="宋体" w:hAnsi="宋体" w:eastAsia="宋体" w:cs="宋体"/>
          <w:spacing w:val="-2"/>
          <w:sz w:val="21"/>
          <w:szCs w:val="21"/>
        </w:rPr>
        <w:t>总价合同是指合同当事人约定以施工图、已标价工程量清单或</w:t>
      </w:r>
      <w:r>
        <w:rPr>
          <w:rFonts w:ascii="宋体" w:hAnsi="宋体" w:eastAsia="宋体" w:cs="宋体"/>
          <w:spacing w:val="-3"/>
          <w:sz w:val="21"/>
          <w:szCs w:val="21"/>
        </w:rPr>
        <w:t>预算书及有关条件进行合</w:t>
      </w:r>
      <w:r>
        <w:rPr>
          <w:rFonts w:ascii="宋体" w:hAnsi="宋体" w:eastAsia="宋体" w:cs="宋体"/>
          <w:spacing w:val="-2"/>
          <w:sz w:val="21"/>
          <w:szCs w:val="21"/>
        </w:rPr>
        <w:t>同价格计算、调整和确认的建设工程施工合同，在约定的范围内合同总价不作调整</w:t>
      </w:r>
      <w:r>
        <w:rPr>
          <w:rFonts w:ascii="宋体" w:hAnsi="宋体" w:eastAsia="宋体" w:cs="宋体"/>
          <w:spacing w:val="-3"/>
          <w:sz w:val="21"/>
          <w:szCs w:val="21"/>
        </w:rPr>
        <w:t>。合同当</w:t>
      </w:r>
      <w:r>
        <w:rPr>
          <w:rFonts w:ascii="宋体" w:hAnsi="宋体" w:eastAsia="宋体" w:cs="宋体"/>
          <w:spacing w:val="-2"/>
          <w:sz w:val="21"/>
          <w:szCs w:val="21"/>
        </w:rPr>
        <w:t>事人应在专用合同条款中约定总价包含的风险范围和风险费用的计算方法，并约定风险范围</w:t>
      </w:r>
      <w:r>
        <w:rPr>
          <w:rFonts w:ascii="宋体" w:hAnsi="宋体" w:eastAsia="宋体" w:cs="宋体"/>
          <w:spacing w:val="-1"/>
          <w:sz w:val="21"/>
          <w:szCs w:val="21"/>
        </w:rPr>
        <w:t xml:space="preserve">以外的合同价格的调整方法，其中因市场价格波动引起的调整按第 </w:t>
      </w:r>
      <w:r>
        <w:rPr>
          <w:rFonts w:ascii="Times New Roman" w:hAnsi="Times New Roman" w:eastAsia="Times New Roman" w:cs="Times New Roman"/>
          <w:spacing w:val="-1"/>
          <w:sz w:val="21"/>
          <w:szCs w:val="21"/>
        </w:rPr>
        <w:t xml:space="preserve">11.1  </w:t>
      </w:r>
      <w:r>
        <w:rPr>
          <w:rFonts w:ascii="宋体" w:hAnsi="宋体" w:eastAsia="宋体" w:cs="宋体"/>
          <w:spacing w:val="-1"/>
          <w:sz w:val="21"/>
          <w:szCs w:val="21"/>
        </w:rPr>
        <w:t>款〔市场价格波动</w:t>
      </w:r>
      <w:r>
        <w:rPr>
          <w:rFonts w:ascii="宋体" w:hAnsi="宋体" w:eastAsia="宋体" w:cs="宋体"/>
          <w:spacing w:val="-5"/>
          <w:sz w:val="21"/>
          <w:szCs w:val="21"/>
        </w:rPr>
        <w:t xml:space="preserve">引起的调整〕、因法律变化引起的调整按第 </w:t>
      </w:r>
      <w:r>
        <w:rPr>
          <w:rFonts w:ascii="Times New Roman" w:hAnsi="Times New Roman" w:eastAsia="Times New Roman" w:cs="Times New Roman"/>
          <w:spacing w:val="-5"/>
          <w:sz w:val="21"/>
          <w:szCs w:val="21"/>
        </w:rPr>
        <w:t>11.2</w:t>
      </w:r>
      <w:r>
        <w:rPr>
          <w:rFonts w:ascii="Times New Roman" w:hAnsi="Times New Roman" w:eastAsia="Times New Roman" w:cs="Times New Roman"/>
          <w:spacing w:val="34"/>
          <w:sz w:val="21"/>
          <w:szCs w:val="21"/>
        </w:rPr>
        <w:t xml:space="preserve"> </w:t>
      </w:r>
      <w:r>
        <w:rPr>
          <w:rFonts w:ascii="宋体" w:hAnsi="宋体" w:eastAsia="宋体" w:cs="宋体"/>
          <w:spacing w:val="-5"/>
          <w:sz w:val="21"/>
          <w:szCs w:val="21"/>
        </w:rPr>
        <w:t>款〔法律变化引起的调整〕约定执行。</w:t>
      </w:r>
    </w:p>
    <w:p w14:paraId="3E88C815">
      <w:pPr>
        <w:spacing w:before="1" w:line="231" w:lineRule="auto"/>
        <w:ind w:left="445"/>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其它价格形式</w:t>
      </w:r>
    </w:p>
    <w:p w14:paraId="6E0B059E">
      <w:pPr>
        <w:spacing w:before="142" w:line="218" w:lineRule="auto"/>
        <w:ind w:left="445"/>
        <w:rPr>
          <w:rFonts w:ascii="宋体" w:hAnsi="宋体" w:eastAsia="宋体" w:cs="宋体"/>
          <w:sz w:val="21"/>
          <w:szCs w:val="21"/>
        </w:rPr>
      </w:pPr>
      <w:r>
        <w:rPr>
          <w:rFonts w:ascii="宋体" w:hAnsi="宋体" w:eastAsia="宋体" w:cs="宋体"/>
          <w:spacing w:val="-1"/>
          <w:sz w:val="21"/>
          <w:szCs w:val="21"/>
        </w:rPr>
        <w:t>合同当事人可在专用合同条款中约定其他合同价格</w:t>
      </w:r>
      <w:r>
        <w:rPr>
          <w:rFonts w:ascii="宋体" w:hAnsi="宋体" w:eastAsia="宋体" w:cs="宋体"/>
          <w:spacing w:val="-2"/>
          <w:sz w:val="21"/>
          <w:szCs w:val="21"/>
        </w:rPr>
        <w:t>形式。</w:t>
      </w:r>
    </w:p>
    <w:p w14:paraId="424BC33F">
      <w:pPr>
        <w:spacing w:before="116" w:line="233" w:lineRule="auto"/>
        <w:ind w:left="31"/>
        <w:outlineLvl w:val="1"/>
        <w:rPr>
          <w:rFonts w:ascii="黑体" w:hAnsi="黑体" w:eastAsia="黑体" w:cs="黑体"/>
          <w:sz w:val="24"/>
          <w:szCs w:val="24"/>
        </w:rPr>
      </w:pPr>
      <w:bookmarkStart w:id="440" w:name="bookmark382"/>
      <w:bookmarkEnd w:id="440"/>
      <w:r>
        <w:rPr>
          <w:rFonts w:ascii="Times New Roman" w:hAnsi="Times New Roman" w:eastAsia="Times New Roman" w:cs="Times New Roman"/>
          <w:b/>
          <w:bCs/>
          <w:spacing w:val="-1"/>
          <w:sz w:val="24"/>
          <w:szCs w:val="24"/>
        </w:rPr>
        <w:t>12.2</w:t>
      </w:r>
      <w:r>
        <w:rPr>
          <w:rFonts w:ascii="Times New Roman" w:hAnsi="Times New Roman" w:eastAsia="Times New Roman" w:cs="Times New Roman"/>
          <w:b/>
          <w:bCs/>
          <w:spacing w:val="14"/>
          <w:sz w:val="24"/>
          <w:szCs w:val="24"/>
        </w:rPr>
        <w:t xml:space="preserve"> </w:t>
      </w:r>
      <w:r>
        <w:rPr>
          <w:rFonts w:ascii="黑体" w:hAnsi="黑体" w:eastAsia="黑体" w:cs="黑体"/>
          <w:b/>
          <w:bCs/>
          <w:spacing w:val="-1"/>
          <w:sz w:val="24"/>
          <w:szCs w:val="24"/>
        </w:rPr>
        <w:t>预付款</w:t>
      </w:r>
    </w:p>
    <w:p w14:paraId="4125CAFF">
      <w:pPr>
        <w:spacing w:before="129"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12.2.1</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预付款的支付</w:t>
      </w:r>
    </w:p>
    <w:p w14:paraId="13515051">
      <w:pPr>
        <w:spacing w:before="140" w:line="348" w:lineRule="auto"/>
        <w:ind w:left="23" w:right="92" w:firstLine="423"/>
        <w:rPr>
          <w:rFonts w:ascii="宋体" w:hAnsi="宋体" w:eastAsia="宋体" w:cs="宋体"/>
          <w:sz w:val="21"/>
          <w:szCs w:val="21"/>
        </w:rPr>
      </w:pPr>
      <w:r>
        <w:rPr>
          <w:rFonts w:ascii="宋体" w:hAnsi="宋体" w:eastAsia="宋体" w:cs="宋体"/>
          <w:spacing w:val="-3"/>
          <w:sz w:val="21"/>
          <w:szCs w:val="21"/>
        </w:rPr>
        <w:t>预付款的支付按照专用合同条款约定执行，但至迟应在开工通知载明的开工日期</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天前</w:t>
      </w:r>
      <w:r>
        <w:rPr>
          <w:rFonts w:ascii="宋体" w:hAnsi="宋体" w:eastAsia="宋体" w:cs="宋体"/>
          <w:spacing w:val="-2"/>
          <w:sz w:val="21"/>
          <w:szCs w:val="21"/>
        </w:rPr>
        <w:t>支付。预付款应当用于材料、工程设备、施工设备的采购及修建临时工程、组织施工队伍进</w:t>
      </w:r>
      <w:r>
        <w:rPr>
          <w:rFonts w:ascii="宋体" w:hAnsi="宋体" w:eastAsia="宋体" w:cs="宋体"/>
          <w:spacing w:val="-9"/>
          <w:sz w:val="21"/>
          <w:szCs w:val="21"/>
        </w:rPr>
        <w:t>场等。</w:t>
      </w:r>
    </w:p>
    <w:p w14:paraId="4F1E7516">
      <w:pPr>
        <w:spacing w:before="13" w:line="345" w:lineRule="auto"/>
        <w:ind w:left="25" w:right="32" w:firstLine="432"/>
        <w:rPr>
          <w:rFonts w:ascii="宋体" w:hAnsi="宋体" w:eastAsia="宋体" w:cs="宋体"/>
          <w:sz w:val="21"/>
          <w:szCs w:val="21"/>
        </w:rPr>
      </w:pPr>
      <w:r>
        <w:rPr>
          <w:rFonts w:ascii="宋体" w:hAnsi="宋体" w:eastAsia="宋体" w:cs="宋体"/>
          <w:spacing w:val="-6"/>
          <w:sz w:val="21"/>
          <w:szCs w:val="21"/>
        </w:rPr>
        <w:t>除专用合同条款另有约定外，预付款在进度付款中同比例扣回。在颁发工程接收证书前，</w:t>
      </w:r>
      <w:r>
        <w:rPr>
          <w:rFonts w:ascii="宋体" w:hAnsi="宋体" w:eastAsia="宋体" w:cs="宋体"/>
          <w:spacing w:val="-1"/>
          <w:sz w:val="21"/>
          <w:szCs w:val="21"/>
        </w:rPr>
        <w:t>提前解除合同的，尚未扣完的预付款应与合同价款一并结算。</w:t>
      </w:r>
    </w:p>
    <w:p w14:paraId="1D5B8320">
      <w:pPr>
        <w:spacing w:before="12" w:line="357" w:lineRule="auto"/>
        <w:ind w:left="24" w:right="95" w:firstLine="423"/>
        <w:rPr>
          <w:rFonts w:ascii="宋体" w:hAnsi="宋体" w:eastAsia="宋体" w:cs="宋体"/>
          <w:sz w:val="21"/>
          <w:szCs w:val="21"/>
        </w:rPr>
      </w:pPr>
      <w:r>
        <w:rPr>
          <w:rFonts w:ascii="宋体" w:hAnsi="宋体" w:eastAsia="宋体" w:cs="宋体"/>
          <w:spacing w:val="-3"/>
          <w:sz w:val="21"/>
          <w:szCs w:val="21"/>
        </w:rPr>
        <w:t>发包人逾期支付预付款超过</w:t>
      </w:r>
      <w:r>
        <w:rPr>
          <w:rFonts w:ascii="宋体" w:hAnsi="宋体" w:eastAsia="宋体" w:cs="宋体"/>
          <w:spacing w:val="-34"/>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天的，承包人有权向发包人发出要求预付的催告通知，发</w:t>
      </w:r>
      <w:r>
        <w:rPr>
          <w:rFonts w:ascii="宋体" w:hAnsi="宋体" w:eastAsia="宋体" w:cs="宋体"/>
          <w:spacing w:val="-4"/>
          <w:sz w:val="21"/>
          <w:szCs w:val="21"/>
        </w:rPr>
        <w:t>包人收到通知后</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天内仍未支付的，承包人有权暂停施工，并按第</w:t>
      </w:r>
      <w:r>
        <w:rPr>
          <w:rFonts w:ascii="宋体" w:hAnsi="宋体" w:eastAsia="宋体" w:cs="宋体"/>
          <w:spacing w:val="-24"/>
          <w:sz w:val="21"/>
          <w:szCs w:val="21"/>
        </w:rPr>
        <w:t xml:space="preserve"> </w:t>
      </w:r>
      <w:r>
        <w:rPr>
          <w:rFonts w:ascii="Times New Roman" w:hAnsi="Times New Roman" w:eastAsia="Times New Roman" w:cs="Times New Roman"/>
          <w:spacing w:val="-4"/>
          <w:sz w:val="21"/>
          <w:szCs w:val="21"/>
        </w:rPr>
        <w:t>16.1.1</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项〔发包人违约的</w:t>
      </w:r>
    </w:p>
    <w:p w14:paraId="6B69DF7D">
      <w:pPr>
        <w:spacing w:line="357" w:lineRule="auto"/>
        <w:rPr>
          <w:rFonts w:ascii="宋体" w:hAnsi="宋体" w:eastAsia="宋体" w:cs="宋体"/>
          <w:sz w:val="21"/>
          <w:szCs w:val="21"/>
        </w:rPr>
        <w:sectPr>
          <w:footerReference r:id="rId184" w:type="default"/>
          <w:pgSz w:w="11910" w:h="16845"/>
          <w:pgMar w:top="400" w:right="1673" w:bottom="1110" w:left="1786" w:header="0" w:footer="883" w:gutter="0"/>
          <w:cols w:space="720" w:num="1"/>
        </w:sectPr>
      </w:pPr>
    </w:p>
    <w:p w14:paraId="79484C9E">
      <w:pPr>
        <w:pStyle w:val="2"/>
        <w:spacing w:line="275" w:lineRule="auto"/>
      </w:pPr>
    </w:p>
    <w:p w14:paraId="662B9C2E">
      <w:pPr>
        <w:pStyle w:val="2"/>
        <w:spacing w:line="275" w:lineRule="auto"/>
      </w:pPr>
    </w:p>
    <w:p w14:paraId="268D1AB2">
      <w:pPr>
        <w:pStyle w:val="2"/>
        <w:spacing w:line="275" w:lineRule="auto"/>
      </w:pPr>
    </w:p>
    <w:p w14:paraId="34F7C283">
      <w:pPr>
        <w:pStyle w:val="2"/>
        <w:spacing w:line="275" w:lineRule="auto"/>
      </w:pPr>
    </w:p>
    <w:p w14:paraId="339DBF98">
      <w:pPr>
        <w:spacing w:before="68" w:line="220" w:lineRule="auto"/>
        <w:ind w:left="25"/>
        <w:rPr>
          <w:rFonts w:ascii="宋体" w:hAnsi="宋体" w:eastAsia="宋体" w:cs="宋体"/>
          <w:sz w:val="21"/>
          <w:szCs w:val="21"/>
        </w:rPr>
      </w:pPr>
      <w:r>
        <w:rPr>
          <w:rFonts w:ascii="宋体" w:hAnsi="宋体" w:eastAsia="宋体" w:cs="宋体"/>
          <w:spacing w:val="-5"/>
          <w:sz w:val="21"/>
          <w:szCs w:val="21"/>
        </w:rPr>
        <w:t>情形〕执行。</w:t>
      </w:r>
    </w:p>
    <w:p w14:paraId="697F928B">
      <w:pPr>
        <w:spacing w:before="156"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12.2.2</w:t>
      </w:r>
      <w:r>
        <w:rPr>
          <w:rFonts w:ascii="Times New Roman" w:hAnsi="Times New Roman" w:eastAsia="Times New Roman" w:cs="Times New Roman"/>
          <w:spacing w:val="53"/>
          <w:sz w:val="21"/>
          <w:szCs w:val="21"/>
        </w:rPr>
        <w:t xml:space="preserve"> </w:t>
      </w:r>
      <w:r>
        <w:rPr>
          <w:rFonts w:ascii="宋体" w:hAnsi="宋体" w:eastAsia="宋体" w:cs="宋体"/>
          <w:spacing w:val="-2"/>
          <w:sz w:val="21"/>
          <w:szCs w:val="21"/>
        </w:rPr>
        <w:t>预付款担保</w:t>
      </w:r>
    </w:p>
    <w:p w14:paraId="65433E06">
      <w:pPr>
        <w:spacing w:before="123" w:line="352" w:lineRule="auto"/>
        <w:ind w:left="24" w:right="41" w:firstLine="423"/>
        <w:rPr>
          <w:rFonts w:ascii="宋体" w:hAnsi="宋体" w:eastAsia="宋体" w:cs="宋体"/>
          <w:sz w:val="21"/>
          <w:szCs w:val="21"/>
        </w:rPr>
      </w:pPr>
      <w:r>
        <w:rPr>
          <w:rFonts w:ascii="宋体" w:hAnsi="宋体" w:eastAsia="宋体" w:cs="宋体"/>
          <w:spacing w:val="-3"/>
          <w:sz w:val="21"/>
          <w:szCs w:val="21"/>
        </w:rPr>
        <w:t>发包人要求承包人提供预付款担保的，承包人应在发包人支付预付款</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天前提供预付款</w:t>
      </w:r>
      <w:r>
        <w:rPr>
          <w:rFonts w:ascii="宋体" w:hAnsi="宋体" w:eastAsia="宋体" w:cs="宋体"/>
          <w:spacing w:val="-2"/>
          <w:sz w:val="21"/>
          <w:szCs w:val="21"/>
        </w:rPr>
        <w:t>担保，专用合同条款另有约定除外。预付款担保可采用银行保函、担保公司担保等形式，具</w:t>
      </w:r>
      <w:r>
        <w:rPr>
          <w:rFonts w:ascii="宋体" w:hAnsi="宋体" w:eastAsia="宋体" w:cs="宋体"/>
          <w:spacing w:val="-3"/>
          <w:sz w:val="21"/>
          <w:szCs w:val="21"/>
        </w:rPr>
        <w:t>体由合同当事人在专用合同条款中约定。在预</w:t>
      </w:r>
      <w:r>
        <w:rPr>
          <w:rFonts w:ascii="宋体" w:hAnsi="宋体" w:eastAsia="宋体" w:cs="宋体"/>
          <w:spacing w:val="-4"/>
          <w:sz w:val="21"/>
          <w:szCs w:val="21"/>
        </w:rPr>
        <w:t>付款完全扣回之前，</w:t>
      </w:r>
      <w:r>
        <w:rPr>
          <w:rFonts w:ascii="宋体" w:hAnsi="宋体" w:eastAsia="宋体" w:cs="宋体"/>
          <w:spacing w:val="-46"/>
          <w:sz w:val="21"/>
          <w:szCs w:val="21"/>
        </w:rPr>
        <w:t xml:space="preserve"> </w:t>
      </w:r>
      <w:r>
        <w:rPr>
          <w:rFonts w:ascii="宋体" w:hAnsi="宋体" w:eastAsia="宋体" w:cs="宋体"/>
          <w:spacing w:val="-4"/>
          <w:sz w:val="21"/>
          <w:szCs w:val="21"/>
        </w:rPr>
        <w:t>承包人应保证预付款担保</w:t>
      </w:r>
      <w:r>
        <w:rPr>
          <w:rFonts w:ascii="宋体" w:hAnsi="宋体" w:eastAsia="宋体" w:cs="宋体"/>
          <w:spacing w:val="-6"/>
          <w:sz w:val="21"/>
          <w:szCs w:val="21"/>
        </w:rPr>
        <w:t>持续有效。</w:t>
      </w:r>
    </w:p>
    <w:p w14:paraId="544E2936">
      <w:pPr>
        <w:spacing w:before="7" w:line="338" w:lineRule="auto"/>
        <w:ind w:left="25" w:right="57" w:firstLine="423"/>
        <w:rPr>
          <w:rFonts w:ascii="宋体" w:hAnsi="宋体" w:eastAsia="宋体" w:cs="宋体"/>
          <w:sz w:val="21"/>
          <w:szCs w:val="21"/>
        </w:rPr>
      </w:pPr>
      <w:r>
        <w:rPr>
          <w:rFonts w:ascii="宋体" w:hAnsi="宋体" w:eastAsia="宋体" w:cs="宋体"/>
          <w:spacing w:val="-2"/>
          <w:sz w:val="21"/>
          <w:szCs w:val="21"/>
        </w:rPr>
        <w:t>发包人在工程款中逐期扣回预付款后，预付款担保额度</w:t>
      </w:r>
      <w:r>
        <w:rPr>
          <w:rFonts w:ascii="宋体" w:hAnsi="宋体" w:eastAsia="宋体" w:cs="宋体"/>
          <w:spacing w:val="-3"/>
          <w:sz w:val="21"/>
          <w:szCs w:val="21"/>
        </w:rPr>
        <w:t>应相应减少，但剩余的预付款担</w:t>
      </w:r>
      <w:r>
        <w:rPr>
          <w:rFonts w:ascii="宋体" w:hAnsi="宋体" w:eastAsia="宋体" w:cs="宋体"/>
          <w:spacing w:val="-2"/>
          <w:sz w:val="21"/>
          <w:szCs w:val="21"/>
        </w:rPr>
        <w:t>保金额不得低于未被扣回的预付款金额。</w:t>
      </w:r>
    </w:p>
    <w:p w14:paraId="3595621B">
      <w:pPr>
        <w:spacing w:line="236" w:lineRule="auto"/>
        <w:ind w:left="31"/>
        <w:outlineLvl w:val="1"/>
        <w:rPr>
          <w:rFonts w:ascii="黑体" w:hAnsi="黑体" w:eastAsia="黑体" w:cs="黑体"/>
          <w:sz w:val="24"/>
          <w:szCs w:val="24"/>
        </w:rPr>
      </w:pPr>
      <w:bookmarkStart w:id="441" w:name="bookmark383"/>
      <w:bookmarkEnd w:id="441"/>
      <w:r>
        <w:rPr>
          <w:rFonts w:ascii="Times New Roman" w:hAnsi="Times New Roman" w:eastAsia="Times New Roman" w:cs="Times New Roman"/>
          <w:b/>
          <w:bCs/>
          <w:spacing w:val="-3"/>
          <w:sz w:val="24"/>
          <w:szCs w:val="24"/>
        </w:rPr>
        <w:t>12.3</w:t>
      </w:r>
      <w:r>
        <w:rPr>
          <w:rFonts w:ascii="Times New Roman" w:hAnsi="Times New Roman" w:eastAsia="Times New Roman" w:cs="Times New Roman"/>
          <w:b/>
          <w:bCs/>
          <w:spacing w:val="12"/>
          <w:sz w:val="24"/>
          <w:szCs w:val="24"/>
        </w:rPr>
        <w:t xml:space="preserve"> </w:t>
      </w:r>
      <w:r>
        <w:rPr>
          <w:rFonts w:ascii="黑体" w:hAnsi="黑体" w:eastAsia="黑体" w:cs="黑体"/>
          <w:b/>
          <w:bCs/>
          <w:spacing w:val="-3"/>
          <w:sz w:val="24"/>
          <w:szCs w:val="24"/>
        </w:rPr>
        <w:t>计量</w:t>
      </w:r>
    </w:p>
    <w:p w14:paraId="5BCA5C38">
      <w:pPr>
        <w:spacing w:before="124"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12.3.1</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计量原则</w:t>
      </w:r>
    </w:p>
    <w:p w14:paraId="77EF7A7A">
      <w:pPr>
        <w:spacing w:before="139" w:line="345" w:lineRule="auto"/>
        <w:ind w:left="25" w:right="59" w:firstLine="422"/>
        <w:rPr>
          <w:rFonts w:ascii="宋体" w:hAnsi="宋体" w:eastAsia="宋体" w:cs="宋体"/>
          <w:sz w:val="21"/>
          <w:szCs w:val="21"/>
        </w:rPr>
      </w:pPr>
      <w:r>
        <w:rPr>
          <w:rFonts w:ascii="宋体" w:hAnsi="宋体" w:eastAsia="宋体" w:cs="宋体"/>
          <w:spacing w:val="-2"/>
          <w:sz w:val="21"/>
          <w:szCs w:val="21"/>
        </w:rPr>
        <w:t>工程量计量按照合同约定的工程量计算规则、图纸及</w:t>
      </w:r>
      <w:r>
        <w:rPr>
          <w:rFonts w:ascii="宋体" w:hAnsi="宋体" w:eastAsia="宋体" w:cs="宋体"/>
          <w:spacing w:val="-3"/>
          <w:sz w:val="21"/>
          <w:szCs w:val="21"/>
        </w:rPr>
        <w:t>变更指示等进行计量。工程量计算</w:t>
      </w:r>
      <w:r>
        <w:rPr>
          <w:rFonts w:ascii="宋体" w:hAnsi="宋体" w:eastAsia="宋体" w:cs="宋体"/>
          <w:spacing w:val="-1"/>
          <w:sz w:val="21"/>
          <w:szCs w:val="21"/>
        </w:rPr>
        <w:t>规则应以相关的国家标准、行业标准等为依据，由合同当事人在专用合同条款中约定。</w:t>
      </w:r>
    </w:p>
    <w:p w14:paraId="4B3E39BF">
      <w:pPr>
        <w:spacing w:before="11"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12.3.2</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计量周期</w:t>
      </w:r>
    </w:p>
    <w:p w14:paraId="150D505F">
      <w:pPr>
        <w:spacing w:before="139" w:line="220" w:lineRule="auto"/>
        <w:ind w:left="457"/>
        <w:rPr>
          <w:rFonts w:ascii="宋体" w:hAnsi="宋体" w:eastAsia="宋体" w:cs="宋体"/>
          <w:sz w:val="21"/>
          <w:szCs w:val="21"/>
        </w:rPr>
      </w:pPr>
      <w:r>
        <w:rPr>
          <w:rFonts w:ascii="宋体" w:hAnsi="宋体" w:eastAsia="宋体" w:cs="宋体"/>
          <w:spacing w:val="-2"/>
          <w:sz w:val="21"/>
          <w:szCs w:val="21"/>
        </w:rPr>
        <w:t>除专用合同条款另有约定外，工程量的计量按月进行。</w:t>
      </w:r>
    </w:p>
    <w:p w14:paraId="04AB29DB">
      <w:pPr>
        <w:spacing w:before="140" w:line="232"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12.3.3</w:t>
      </w:r>
      <w:r>
        <w:rPr>
          <w:rFonts w:ascii="Times New Roman" w:hAnsi="Times New Roman" w:eastAsia="Times New Roman" w:cs="Times New Roman"/>
          <w:spacing w:val="57"/>
          <w:sz w:val="21"/>
          <w:szCs w:val="21"/>
        </w:rPr>
        <w:t xml:space="preserve"> </w:t>
      </w:r>
      <w:r>
        <w:rPr>
          <w:rFonts w:ascii="宋体" w:hAnsi="宋体" w:eastAsia="宋体" w:cs="宋体"/>
          <w:spacing w:val="-2"/>
          <w:sz w:val="21"/>
          <w:szCs w:val="21"/>
        </w:rPr>
        <w:t>单价合同的计量</w:t>
      </w:r>
    </w:p>
    <w:p w14:paraId="4C8B9114">
      <w:pPr>
        <w:spacing w:before="141" w:line="218" w:lineRule="auto"/>
        <w:ind w:left="457"/>
        <w:rPr>
          <w:rFonts w:ascii="宋体" w:hAnsi="宋体" w:eastAsia="宋体" w:cs="宋体"/>
          <w:sz w:val="21"/>
          <w:szCs w:val="21"/>
        </w:rPr>
      </w:pPr>
      <w:r>
        <w:rPr>
          <w:rFonts w:ascii="宋体" w:hAnsi="宋体" w:eastAsia="宋体" w:cs="宋体"/>
          <w:spacing w:val="-2"/>
          <w:sz w:val="21"/>
          <w:szCs w:val="21"/>
        </w:rPr>
        <w:t>除专用合同条款另有约定外，单价合同的计量按照本项约定执行：</w:t>
      </w:r>
    </w:p>
    <w:p w14:paraId="526710B1">
      <w:pPr>
        <w:spacing w:before="157" w:line="335" w:lineRule="auto"/>
        <w:ind w:left="29" w:firstLine="4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 xml:space="preserve">）承包人应于每月 </w:t>
      </w:r>
      <w:r>
        <w:rPr>
          <w:rFonts w:ascii="Times New Roman" w:hAnsi="Times New Roman" w:eastAsia="Times New Roman" w:cs="Times New Roman"/>
          <w:spacing w:val="-6"/>
          <w:sz w:val="21"/>
          <w:szCs w:val="21"/>
        </w:rPr>
        <w:t xml:space="preserve">25  </w:t>
      </w:r>
      <w:r>
        <w:rPr>
          <w:rFonts w:ascii="宋体" w:hAnsi="宋体" w:eastAsia="宋体" w:cs="宋体"/>
          <w:spacing w:val="-6"/>
          <w:sz w:val="21"/>
          <w:szCs w:val="21"/>
        </w:rPr>
        <w:t>日向监理人报送上月</w:t>
      </w:r>
      <w:r>
        <w:rPr>
          <w:rFonts w:ascii="宋体" w:hAnsi="宋体" w:eastAsia="宋体" w:cs="宋体"/>
          <w:spacing w:val="-42"/>
          <w:sz w:val="21"/>
          <w:szCs w:val="21"/>
        </w:rPr>
        <w:t xml:space="preserve"> </w:t>
      </w:r>
      <w:r>
        <w:rPr>
          <w:rFonts w:ascii="Times New Roman" w:hAnsi="Times New Roman" w:eastAsia="Times New Roman" w:cs="Times New Roman"/>
          <w:spacing w:val="-6"/>
          <w:sz w:val="21"/>
          <w:szCs w:val="21"/>
        </w:rPr>
        <w:t xml:space="preserve">20  </w:t>
      </w:r>
      <w:r>
        <w:rPr>
          <w:rFonts w:ascii="宋体" w:hAnsi="宋体" w:eastAsia="宋体" w:cs="宋体"/>
          <w:spacing w:val="-7"/>
          <w:sz w:val="21"/>
          <w:szCs w:val="21"/>
        </w:rPr>
        <w:t xml:space="preserve">日至当月 </w:t>
      </w:r>
      <w:r>
        <w:rPr>
          <w:rFonts w:ascii="Times New Roman" w:hAnsi="Times New Roman" w:eastAsia="Times New Roman" w:cs="Times New Roman"/>
          <w:spacing w:val="-7"/>
          <w:sz w:val="21"/>
          <w:szCs w:val="21"/>
        </w:rPr>
        <w:t xml:space="preserve">19  </w:t>
      </w:r>
      <w:r>
        <w:rPr>
          <w:rFonts w:ascii="宋体" w:hAnsi="宋体" w:eastAsia="宋体" w:cs="宋体"/>
          <w:spacing w:val="-7"/>
          <w:sz w:val="21"/>
          <w:szCs w:val="21"/>
        </w:rPr>
        <w:t>日已完成的工程量报告，</w:t>
      </w:r>
      <w:r>
        <w:rPr>
          <w:rFonts w:ascii="宋体" w:hAnsi="宋体" w:eastAsia="宋体" w:cs="宋体"/>
          <w:spacing w:val="-2"/>
          <w:sz w:val="21"/>
          <w:szCs w:val="21"/>
        </w:rPr>
        <w:t>并附具进度付款申请单、已完成工程量报表和有关资料。</w:t>
      </w:r>
    </w:p>
    <w:p w14:paraId="2F163D5E">
      <w:pPr>
        <w:spacing w:before="35" w:line="351" w:lineRule="auto"/>
        <w:ind w:left="23" w:right="52"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）监理人应在收到承包人提交的工程量报告后</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天内完成对承包人提交的工程量报</w:t>
      </w:r>
      <w:r>
        <w:rPr>
          <w:rFonts w:ascii="宋体" w:hAnsi="宋体" w:eastAsia="宋体" w:cs="宋体"/>
          <w:spacing w:val="-4"/>
          <w:sz w:val="21"/>
          <w:szCs w:val="21"/>
        </w:rPr>
        <w:t>表的审核并报送发包人，以确定当月实际完</w:t>
      </w:r>
      <w:r>
        <w:rPr>
          <w:rFonts w:ascii="宋体" w:hAnsi="宋体" w:eastAsia="宋体" w:cs="宋体"/>
          <w:spacing w:val="-5"/>
          <w:sz w:val="21"/>
          <w:szCs w:val="21"/>
        </w:rPr>
        <w:t>成的工程量。监理人对工程量有异议的， 有权要</w:t>
      </w:r>
      <w:r>
        <w:rPr>
          <w:rFonts w:ascii="宋体" w:hAnsi="宋体" w:eastAsia="宋体" w:cs="宋体"/>
          <w:spacing w:val="-4"/>
          <w:sz w:val="21"/>
          <w:szCs w:val="21"/>
        </w:rPr>
        <w:t>求承包人进行共同复核或抽样复测。承包人应协助监理人进行复核或抽样复测，</w:t>
      </w:r>
      <w:r>
        <w:rPr>
          <w:rFonts w:ascii="宋体" w:hAnsi="宋体" w:eastAsia="宋体" w:cs="宋体"/>
          <w:spacing w:val="-25"/>
          <w:sz w:val="21"/>
          <w:szCs w:val="21"/>
        </w:rPr>
        <w:t xml:space="preserve"> </w:t>
      </w:r>
      <w:r>
        <w:rPr>
          <w:rFonts w:ascii="宋体" w:hAnsi="宋体" w:eastAsia="宋体" w:cs="宋体"/>
          <w:spacing w:val="-4"/>
          <w:sz w:val="21"/>
          <w:szCs w:val="21"/>
        </w:rPr>
        <w:t>并按监理人要求提供补充计量资料。承包人未按监理人要求参加复核或抽样复测的，</w:t>
      </w:r>
      <w:r>
        <w:rPr>
          <w:rFonts w:ascii="宋体" w:hAnsi="宋体" w:eastAsia="宋体" w:cs="宋体"/>
          <w:spacing w:val="-25"/>
          <w:sz w:val="21"/>
          <w:szCs w:val="21"/>
        </w:rPr>
        <w:t xml:space="preserve"> </w:t>
      </w:r>
      <w:r>
        <w:rPr>
          <w:rFonts w:ascii="宋体" w:hAnsi="宋体" w:eastAsia="宋体" w:cs="宋体"/>
          <w:spacing w:val="-4"/>
          <w:sz w:val="21"/>
          <w:szCs w:val="21"/>
        </w:rPr>
        <w:t>监理人复核或修正</w:t>
      </w:r>
      <w:r>
        <w:rPr>
          <w:rFonts w:ascii="宋体" w:hAnsi="宋体" w:eastAsia="宋体" w:cs="宋体"/>
          <w:spacing w:val="-2"/>
          <w:sz w:val="21"/>
          <w:szCs w:val="21"/>
        </w:rPr>
        <w:t>的工程量视为承包人实际完成的工程量。</w:t>
      </w:r>
    </w:p>
    <w:p w14:paraId="06126D55">
      <w:pPr>
        <w:spacing w:line="347" w:lineRule="auto"/>
        <w:ind w:left="26" w:right="57" w:firstLine="42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）监理人未在收到承包人提交的工程量报表后的</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天内完成审核的，承包人报送的工程量报告中的工程量视为承包人实际完成的工程量，据此计算工程价款。</w:t>
      </w:r>
    </w:p>
    <w:p w14:paraId="39656F02">
      <w:pPr>
        <w:spacing w:before="21" w:line="232"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12.3.4  </w:t>
      </w:r>
      <w:r>
        <w:rPr>
          <w:rFonts w:ascii="宋体" w:hAnsi="宋体" w:eastAsia="宋体" w:cs="宋体"/>
          <w:spacing w:val="-2"/>
          <w:sz w:val="21"/>
          <w:szCs w:val="21"/>
        </w:rPr>
        <w:t>总价合同的计量</w:t>
      </w:r>
    </w:p>
    <w:p w14:paraId="7DB81FD2">
      <w:pPr>
        <w:spacing w:before="127" w:line="218" w:lineRule="auto"/>
        <w:ind w:left="457"/>
        <w:rPr>
          <w:rFonts w:ascii="宋体" w:hAnsi="宋体" w:eastAsia="宋体" w:cs="宋体"/>
          <w:sz w:val="21"/>
          <w:szCs w:val="21"/>
        </w:rPr>
      </w:pPr>
      <w:r>
        <w:rPr>
          <w:rFonts w:ascii="宋体" w:hAnsi="宋体" w:eastAsia="宋体" w:cs="宋体"/>
          <w:spacing w:val="-2"/>
          <w:sz w:val="21"/>
          <w:szCs w:val="21"/>
        </w:rPr>
        <w:t>除专用合同条款另有约定外，按月计量支付的总价合同，按照本项约定执行：</w:t>
      </w:r>
    </w:p>
    <w:p w14:paraId="76D509CC">
      <w:pPr>
        <w:spacing w:before="156" w:line="348" w:lineRule="auto"/>
        <w:ind w:left="29" w:firstLine="421"/>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 xml:space="preserve">）承包人应于每月 </w:t>
      </w:r>
      <w:r>
        <w:rPr>
          <w:rFonts w:ascii="Times New Roman" w:hAnsi="Times New Roman" w:eastAsia="Times New Roman" w:cs="Times New Roman"/>
          <w:spacing w:val="-6"/>
          <w:sz w:val="21"/>
          <w:szCs w:val="21"/>
        </w:rPr>
        <w:t xml:space="preserve">25  </w:t>
      </w:r>
      <w:r>
        <w:rPr>
          <w:rFonts w:ascii="宋体" w:hAnsi="宋体" w:eastAsia="宋体" w:cs="宋体"/>
          <w:spacing w:val="-6"/>
          <w:sz w:val="21"/>
          <w:szCs w:val="21"/>
        </w:rPr>
        <w:t>日向监理人报送上月</w:t>
      </w:r>
      <w:r>
        <w:rPr>
          <w:rFonts w:ascii="宋体" w:hAnsi="宋体" w:eastAsia="宋体" w:cs="宋体"/>
          <w:spacing w:val="-42"/>
          <w:sz w:val="21"/>
          <w:szCs w:val="21"/>
        </w:rPr>
        <w:t xml:space="preserve"> </w:t>
      </w:r>
      <w:r>
        <w:rPr>
          <w:rFonts w:ascii="Times New Roman" w:hAnsi="Times New Roman" w:eastAsia="Times New Roman" w:cs="Times New Roman"/>
          <w:spacing w:val="-6"/>
          <w:sz w:val="21"/>
          <w:szCs w:val="21"/>
        </w:rPr>
        <w:t xml:space="preserve">20  </w:t>
      </w:r>
      <w:r>
        <w:rPr>
          <w:rFonts w:ascii="宋体" w:hAnsi="宋体" w:eastAsia="宋体" w:cs="宋体"/>
          <w:spacing w:val="-7"/>
          <w:sz w:val="21"/>
          <w:szCs w:val="21"/>
        </w:rPr>
        <w:t xml:space="preserve">日至当月 </w:t>
      </w:r>
      <w:r>
        <w:rPr>
          <w:rFonts w:ascii="Times New Roman" w:hAnsi="Times New Roman" w:eastAsia="Times New Roman" w:cs="Times New Roman"/>
          <w:spacing w:val="-7"/>
          <w:sz w:val="21"/>
          <w:szCs w:val="21"/>
        </w:rPr>
        <w:t xml:space="preserve">19  </w:t>
      </w:r>
      <w:r>
        <w:rPr>
          <w:rFonts w:ascii="宋体" w:hAnsi="宋体" w:eastAsia="宋体" w:cs="宋体"/>
          <w:spacing w:val="-7"/>
          <w:sz w:val="21"/>
          <w:szCs w:val="21"/>
        </w:rPr>
        <w:t>日已完成的工程量报告，</w:t>
      </w:r>
      <w:r>
        <w:rPr>
          <w:rFonts w:ascii="宋体" w:hAnsi="宋体" w:eastAsia="宋体" w:cs="宋体"/>
          <w:spacing w:val="-2"/>
          <w:sz w:val="21"/>
          <w:szCs w:val="21"/>
        </w:rPr>
        <w:t>并附具进度付款申请单、已完成工程量报表和有关资料。</w:t>
      </w:r>
    </w:p>
    <w:p w14:paraId="11C82964">
      <w:pPr>
        <w:spacing w:before="6" w:line="353" w:lineRule="auto"/>
        <w:ind w:left="23" w:right="51"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）监理人应在收到承包人提交的工程量报告后</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天内完成对承包人提交的工程量报</w:t>
      </w:r>
      <w:r>
        <w:rPr>
          <w:rFonts w:ascii="宋体" w:hAnsi="宋体" w:eastAsia="宋体" w:cs="宋体"/>
          <w:spacing w:val="-4"/>
          <w:sz w:val="21"/>
          <w:szCs w:val="21"/>
        </w:rPr>
        <w:t>表的审核并报送发包人，以确定当月实际完</w:t>
      </w:r>
      <w:r>
        <w:rPr>
          <w:rFonts w:ascii="宋体" w:hAnsi="宋体" w:eastAsia="宋体" w:cs="宋体"/>
          <w:spacing w:val="-5"/>
          <w:sz w:val="21"/>
          <w:szCs w:val="21"/>
        </w:rPr>
        <w:t>成的工程量。监理人对工程量有异议的， 有权要</w:t>
      </w:r>
      <w:r>
        <w:rPr>
          <w:rFonts w:ascii="宋体" w:hAnsi="宋体" w:eastAsia="宋体" w:cs="宋体"/>
          <w:spacing w:val="-2"/>
          <w:sz w:val="21"/>
          <w:szCs w:val="21"/>
        </w:rPr>
        <w:t>求承包人进行共同复核或抽样复测。承包人应协助监理人进行复核或抽样复测并按监理人要求提供补充计量资料。承包人未按监理人要求参加复核或抽样复测的，监理人审核</w:t>
      </w:r>
      <w:r>
        <w:rPr>
          <w:rFonts w:ascii="宋体" w:hAnsi="宋体" w:eastAsia="宋体" w:cs="宋体"/>
          <w:spacing w:val="-3"/>
          <w:sz w:val="21"/>
          <w:szCs w:val="21"/>
        </w:rPr>
        <w:t>或修正的</w:t>
      </w:r>
      <w:r>
        <w:rPr>
          <w:rFonts w:ascii="宋体" w:hAnsi="宋体" w:eastAsia="宋体" w:cs="宋体"/>
          <w:spacing w:val="-2"/>
          <w:sz w:val="21"/>
          <w:szCs w:val="21"/>
        </w:rPr>
        <w:t>工程量视为承包人实际完成的工程量。</w:t>
      </w:r>
    </w:p>
    <w:p w14:paraId="6C099222">
      <w:pPr>
        <w:spacing w:line="353" w:lineRule="auto"/>
        <w:rPr>
          <w:rFonts w:ascii="宋体" w:hAnsi="宋体" w:eastAsia="宋体" w:cs="宋体"/>
          <w:sz w:val="21"/>
          <w:szCs w:val="21"/>
        </w:rPr>
        <w:sectPr>
          <w:footerReference r:id="rId185" w:type="default"/>
          <w:pgSz w:w="11910" w:h="16845"/>
          <w:pgMar w:top="400" w:right="1726" w:bottom="1110" w:left="1786" w:header="0" w:footer="883" w:gutter="0"/>
          <w:cols w:space="720" w:num="1"/>
        </w:sectPr>
      </w:pPr>
    </w:p>
    <w:p w14:paraId="7A8A32AF">
      <w:pPr>
        <w:pStyle w:val="2"/>
        <w:spacing w:line="275" w:lineRule="auto"/>
      </w:pPr>
    </w:p>
    <w:p w14:paraId="5A76D647">
      <w:pPr>
        <w:pStyle w:val="2"/>
        <w:spacing w:line="275" w:lineRule="auto"/>
      </w:pPr>
    </w:p>
    <w:p w14:paraId="444B9D12">
      <w:pPr>
        <w:pStyle w:val="2"/>
        <w:spacing w:line="275" w:lineRule="auto"/>
      </w:pPr>
    </w:p>
    <w:p w14:paraId="124032B3">
      <w:pPr>
        <w:pStyle w:val="2"/>
        <w:spacing w:line="275" w:lineRule="auto"/>
      </w:pPr>
    </w:p>
    <w:p w14:paraId="52C281E1">
      <w:pPr>
        <w:spacing w:before="68" w:line="348" w:lineRule="auto"/>
        <w:ind w:left="26" w:right="75" w:firstLine="423"/>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）监理人未在收到承包人提交的工程量报表后的</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天内完成复核的，承包人提交的</w:t>
      </w:r>
      <w:r>
        <w:rPr>
          <w:rFonts w:ascii="宋体" w:hAnsi="宋体" w:eastAsia="宋体" w:cs="宋体"/>
          <w:spacing w:val="-2"/>
          <w:sz w:val="21"/>
          <w:szCs w:val="21"/>
        </w:rPr>
        <w:t>工程量报告中的工程量视为承包人实际完成的工程量。</w:t>
      </w:r>
    </w:p>
    <w:p w14:paraId="6C0A897A">
      <w:pPr>
        <w:spacing w:before="5" w:line="347" w:lineRule="auto"/>
        <w:ind w:left="29" w:right="7" w:firstLine="431"/>
        <w:rPr>
          <w:rFonts w:ascii="宋体" w:hAnsi="宋体" w:eastAsia="宋体" w:cs="宋体"/>
          <w:sz w:val="21"/>
          <w:szCs w:val="21"/>
        </w:rPr>
      </w:pPr>
      <w:r>
        <w:rPr>
          <w:rFonts w:ascii="Times New Roman" w:hAnsi="Times New Roman" w:eastAsia="Times New Roman" w:cs="Times New Roman"/>
          <w:spacing w:val="-2"/>
          <w:sz w:val="21"/>
          <w:szCs w:val="21"/>
        </w:rPr>
        <w:t xml:space="preserve">12.3.5  </w:t>
      </w:r>
      <w:r>
        <w:rPr>
          <w:rFonts w:ascii="宋体" w:hAnsi="宋体" w:eastAsia="宋体" w:cs="宋体"/>
          <w:spacing w:val="-2"/>
          <w:sz w:val="21"/>
          <w:szCs w:val="21"/>
        </w:rPr>
        <w:t>总价合同采用支付分解表计量支付的，可以按照第</w:t>
      </w:r>
      <w:r>
        <w:rPr>
          <w:rFonts w:ascii="宋体" w:hAnsi="宋体" w:eastAsia="宋体" w:cs="宋体"/>
          <w:spacing w:val="-16"/>
          <w:sz w:val="21"/>
          <w:szCs w:val="21"/>
        </w:rPr>
        <w:t xml:space="preserve"> </w:t>
      </w:r>
      <w:r>
        <w:rPr>
          <w:rFonts w:ascii="Times New Roman" w:hAnsi="Times New Roman" w:eastAsia="Times New Roman" w:cs="Times New Roman"/>
          <w:spacing w:val="-2"/>
          <w:sz w:val="21"/>
          <w:szCs w:val="21"/>
        </w:rPr>
        <w:t>12.3.4</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项〔总价合同的计量〕约定进行计量，但合同价款按照支付分解表进行支付。</w:t>
      </w:r>
    </w:p>
    <w:p w14:paraId="0F7F8677">
      <w:pPr>
        <w:spacing w:before="20"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12.3.6</w:t>
      </w:r>
      <w:r>
        <w:rPr>
          <w:rFonts w:ascii="Times New Roman" w:hAnsi="Times New Roman" w:eastAsia="Times New Roman" w:cs="Times New Roman"/>
          <w:spacing w:val="49"/>
          <w:w w:val="101"/>
          <w:sz w:val="21"/>
          <w:szCs w:val="21"/>
        </w:rPr>
        <w:t xml:space="preserve"> </w:t>
      </w:r>
      <w:r>
        <w:rPr>
          <w:rFonts w:ascii="宋体" w:hAnsi="宋体" w:eastAsia="宋体" w:cs="宋体"/>
          <w:spacing w:val="-1"/>
          <w:sz w:val="21"/>
          <w:szCs w:val="21"/>
        </w:rPr>
        <w:t>其他价格形式合同的计量</w:t>
      </w:r>
    </w:p>
    <w:p w14:paraId="531E75BB">
      <w:pPr>
        <w:spacing w:before="126" w:line="218" w:lineRule="auto"/>
        <w:ind w:left="445"/>
        <w:rPr>
          <w:rFonts w:ascii="宋体" w:hAnsi="宋体" w:eastAsia="宋体" w:cs="宋体"/>
          <w:sz w:val="21"/>
          <w:szCs w:val="21"/>
        </w:rPr>
      </w:pPr>
      <w:r>
        <w:rPr>
          <w:rFonts w:ascii="宋体" w:hAnsi="宋体" w:eastAsia="宋体" w:cs="宋体"/>
          <w:spacing w:val="-1"/>
          <w:sz w:val="21"/>
          <w:szCs w:val="21"/>
        </w:rPr>
        <w:t>合同当事人可在专用合同条款中约定其他价格形式合同的计量方式和程序。</w:t>
      </w:r>
    </w:p>
    <w:p w14:paraId="2E21C03F">
      <w:pPr>
        <w:spacing w:before="131" w:line="233" w:lineRule="auto"/>
        <w:ind w:left="31"/>
        <w:outlineLvl w:val="1"/>
        <w:rPr>
          <w:rFonts w:ascii="黑体" w:hAnsi="黑体" w:eastAsia="黑体" w:cs="黑体"/>
          <w:sz w:val="24"/>
          <w:szCs w:val="24"/>
        </w:rPr>
      </w:pPr>
      <w:bookmarkStart w:id="442" w:name="bookmark384"/>
      <w:bookmarkEnd w:id="442"/>
      <w:r>
        <w:rPr>
          <w:rFonts w:ascii="Times New Roman" w:hAnsi="Times New Roman" w:eastAsia="Times New Roman" w:cs="Times New Roman"/>
          <w:b/>
          <w:bCs/>
          <w:spacing w:val="1"/>
          <w:sz w:val="24"/>
          <w:szCs w:val="24"/>
        </w:rPr>
        <w:t xml:space="preserve">12.4 </w:t>
      </w:r>
      <w:r>
        <w:rPr>
          <w:rFonts w:ascii="黑体" w:hAnsi="黑体" w:eastAsia="黑体" w:cs="黑体"/>
          <w:b/>
          <w:bCs/>
          <w:spacing w:val="1"/>
          <w:sz w:val="24"/>
          <w:szCs w:val="24"/>
        </w:rPr>
        <w:t>工程进度款支付</w:t>
      </w:r>
    </w:p>
    <w:p w14:paraId="42C5F7FD">
      <w:pPr>
        <w:spacing w:before="129"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12.4.1</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付款周期</w:t>
      </w:r>
    </w:p>
    <w:p w14:paraId="60B85116">
      <w:pPr>
        <w:spacing w:before="126" w:line="348" w:lineRule="auto"/>
        <w:ind w:left="26" w:right="62" w:firstLine="430"/>
        <w:rPr>
          <w:rFonts w:ascii="宋体" w:hAnsi="宋体" w:eastAsia="宋体" w:cs="宋体"/>
          <w:sz w:val="21"/>
          <w:szCs w:val="21"/>
        </w:rPr>
      </w:pPr>
      <w:r>
        <w:rPr>
          <w:rFonts w:ascii="宋体" w:hAnsi="宋体" w:eastAsia="宋体" w:cs="宋体"/>
          <w:spacing w:val="-3"/>
          <w:sz w:val="21"/>
          <w:szCs w:val="21"/>
        </w:rPr>
        <w:t>除专用合同条款另有约定外，付款周期应按照第</w:t>
      </w:r>
      <w:r>
        <w:rPr>
          <w:rFonts w:ascii="宋体" w:hAnsi="宋体" w:eastAsia="宋体" w:cs="宋体"/>
          <w:spacing w:val="-25"/>
          <w:sz w:val="21"/>
          <w:szCs w:val="21"/>
        </w:rPr>
        <w:t xml:space="preserve"> </w:t>
      </w:r>
      <w:r>
        <w:rPr>
          <w:rFonts w:ascii="Times New Roman" w:hAnsi="Times New Roman" w:eastAsia="Times New Roman" w:cs="Times New Roman"/>
          <w:spacing w:val="-3"/>
          <w:sz w:val="21"/>
          <w:szCs w:val="21"/>
        </w:rPr>
        <w:t>12.3.2</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项〔计</w:t>
      </w:r>
      <w:r>
        <w:rPr>
          <w:rFonts w:ascii="宋体" w:hAnsi="宋体" w:eastAsia="宋体" w:cs="宋体"/>
          <w:spacing w:val="-4"/>
          <w:sz w:val="21"/>
          <w:szCs w:val="21"/>
        </w:rPr>
        <w:t>量周期〕的约定与计量周期保持一致。</w:t>
      </w:r>
    </w:p>
    <w:p w14:paraId="4EDDD0BD">
      <w:pPr>
        <w:spacing w:before="18"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12.4.2</w:t>
      </w:r>
      <w:r>
        <w:rPr>
          <w:rFonts w:ascii="Times New Roman" w:hAnsi="Times New Roman" w:eastAsia="Times New Roman" w:cs="Times New Roman"/>
          <w:spacing w:val="48"/>
          <w:sz w:val="21"/>
          <w:szCs w:val="21"/>
        </w:rPr>
        <w:t xml:space="preserve"> </w:t>
      </w:r>
      <w:r>
        <w:rPr>
          <w:rFonts w:ascii="宋体" w:hAnsi="宋体" w:eastAsia="宋体" w:cs="宋体"/>
          <w:spacing w:val="-1"/>
          <w:sz w:val="21"/>
          <w:szCs w:val="21"/>
        </w:rPr>
        <w:t>进度付款申请单的编制</w:t>
      </w:r>
    </w:p>
    <w:p w14:paraId="6F4244F3">
      <w:pPr>
        <w:spacing w:before="125" w:line="220" w:lineRule="auto"/>
        <w:ind w:left="457"/>
        <w:rPr>
          <w:rFonts w:ascii="宋体" w:hAnsi="宋体" w:eastAsia="宋体" w:cs="宋体"/>
          <w:sz w:val="21"/>
          <w:szCs w:val="21"/>
        </w:rPr>
      </w:pPr>
      <w:r>
        <w:rPr>
          <w:rFonts w:ascii="宋体" w:hAnsi="宋体" w:eastAsia="宋体" w:cs="宋体"/>
          <w:spacing w:val="-2"/>
          <w:sz w:val="21"/>
          <w:szCs w:val="21"/>
        </w:rPr>
        <w:t>除专用合同条款另有约定外，进度付款申请单应包括下列内容：</w:t>
      </w:r>
    </w:p>
    <w:p w14:paraId="2999F585">
      <w:pPr>
        <w:spacing w:before="155"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）截至本次付款周期已完成工作对应的金额；</w:t>
      </w:r>
    </w:p>
    <w:p w14:paraId="5A4F3F8A">
      <w:pPr>
        <w:spacing w:before="141"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 xml:space="preserve">）根据第 </w:t>
      </w:r>
      <w:r>
        <w:rPr>
          <w:rFonts w:ascii="Times New Roman" w:hAnsi="Times New Roman" w:eastAsia="Times New Roman" w:cs="Times New Roman"/>
          <w:spacing w:val="-4"/>
          <w:sz w:val="21"/>
          <w:szCs w:val="21"/>
        </w:rPr>
        <w:t>10</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条〔变更〕应增加和扣减的变更</w:t>
      </w:r>
      <w:r>
        <w:rPr>
          <w:rFonts w:ascii="宋体" w:hAnsi="宋体" w:eastAsia="宋体" w:cs="宋体"/>
          <w:spacing w:val="-5"/>
          <w:sz w:val="21"/>
          <w:szCs w:val="21"/>
        </w:rPr>
        <w:t>金额；</w:t>
      </w:r>
    </w:p>
    <w:p w14:paraId="5D73051A">
      <w:pPr>
        <w:spacing w:before="125"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12.2</w:t>
      </w:r>
      <w:r>
        <w:rPr>
          <w:rFonts w:ascii="Times New Roman" w:hAnsi="Times New Roman" w:eastAsia="Times New Roman" w:cs="Times New Roman"/>
          <w:spacing w:val="29"/>
          <w:sz w:val="21"/>
          <w:szCs w:val="21"/>
        </w:rPr>
        <w:t xml:space="preserve"> </w:t>
      </w:r>
      <w:r>
        <w:rPr>
          <w:rFonts w:ascii="宋体" w:hAnsi="宋体" w:eastAsia="宋体" w:cs="宋体"/>
          <w:spacing w:val="-3"/>
          <w:sz w:val="21"/>
          <w:szCs w:val="21"/>
        </w:rPr>
        <w:t>款〔预付款〕约定应支付的预付款和扣减的返还预付款；</w:t>
      </w:r>
    </w:p>
    <w:p w14:paraId="5D5E5FBF">
      <w:pPr>
        <w:spacing w:before="141"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 xml:space="preserve">）根据第 </w:t>
      </w:r>
      <w:r>
        <w:rPr>
          <w:rFonts w:ascii="Times New Roman" w:hAnsi="Times New Roman" w:eastAsia="Times New Roman" w:cs="Times New Roman"/>
          <w:spacing w:val="-3"/>
          <w:sz w:val="21"/>
          <w:szCs w:val="21"/>
        </w:rPr>
        <w:t>15.3</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款〔质量保证金〕约定应扣减的质量</w:t>
      </w:r>
      <w:r>
        <w:rPr>
          <w:rFonts w:ascii="宋体" w:hAnsi="宋体" w:eastAsia="宋体" w:cs="宋体"/>
          <w:spacing w:val="-4"/>
          <w:sz w:val="21"/>
          <w:szCs w:val="21"/>
        </w:rPr>
        <w:t>保证金；</w:t>
      </w:r>
    </w:p>
    <w:p w14:paraId="6C11B9A3">
      <w:pPr>
        <w:spacing w:before="140"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5</w:t>
      </w:r>
      <w:r>
        <w:rPr>
          <w:rFonts w:ascii="宋体" w:hAnsi="宋体" w:eastAsia="宋体" w:cs="宋体"/>
          <w:spacing w:val="-4"/>
          <w:sz w:val="21"/>
          <w:szCs w:val="21"/>
        </w:rPr>
        <w:t xml:space="preserve">）根据第 </w:t>
      </w:r>
      <w:r>
        <w:rPr>
          <w:rFonts w:ascii="Times New Roman" w:hAnsi="Times New Roman" w:eastAsia="Times New Roman" w:cs="Times New Roman"/>
          <w:spacing w:val="-4"/>
          <w:sz w:val="21"/>
          <w:szCs w:val="21"/>
        </w:rPr>
        <w:t>19</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条〔索赔〕应增加和扣减的索赔</w:t>
      </w:r>
      <w:r>
        <w:rPr>
          <w:rFonts w:ascii="宋体" w:hAnsi="宋体" w:eastAsia="宋体" w:cs="宋体"/>
          <w:spacing w:val="-5"/>
          <w:sz w:val="21"/>
          <w:szCs w:val="21"/>
        </w:rPr>
        <w:t>金额；</w:t>
      </w:r>
    </w:p>
    <w:p w14:paraId="32FCE041">
      <w:pPr>
        <w:spacing w:before="126" w:line="348" w:lineRule="auto"/>
        <w:ind w:left="41" w:right="87" w:firstLine="408"/>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）对已签发的进度款支付证书中出现错误的修正，应在本次进度付款中支付或扣除</w:t>
      </w:r>
      <w:r>
        <w:rPr>
          <w:rFonts w:ascii="宋体" w:hAnsi="宋体" w:eastAsia="宋体" w:cs="宋体"/>
          <w:spacing w:val="-14"/>
          <w:sz w:val="21"/>
          <w:szCs w:val="21"/>
        </w:rPr>
        <w:t>的金额；</w:t>
      </w:r>
    </w:p>
    <w:p w14:paraId="2FA30E0E">
      <w:pPr>
        <w:spacing w:before="18"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）根据合同约定应增加和扣减的其他金额。</w:t>
      </w:r>
    </w:p>
    <w:p w14:paraId="0A21C6FF">
      <w:pPr>
        <w:spacing w:before="126"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12.4.3</w:t>
      </w:r>
      <w:r>
        <w:rPr>
          <w:rFonts w:ascii="Times New Roman" w:hAnsi="Times New Roman" w:eastAsia="Times New Roman" w:cs="Times New Roman"/>
          <w:spacing w:val="48"/>
          <w:sz w:val="21"/>
          <w:szCs w:val="21"/>
        </w:rPr>
        <w:t xml:space="preserve"> </w:t>
      </w:r>
      <w:r>
        <w:rPr>
          <w:rFonts w:ascii="宋体" w:hAnsi="宋体" w:eastAsia="宋体" w:cs="宋体"/>
          <w:spacing w:val="-1"/>
          <w:sz w:val="21"/>
          <w:szCs w:val="21"/>
        </w:rPr>
        <w:t>进度付款申请单的提交</w:t>
      </w:r>
    </w:p>
    <w:p w14:paraId="6572A6A8">
      <w:pPr>
        <w:spacing w:before="139" w:line="232"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）单价合同进度付款申请单的提交</w:t>
      </w:r>
    </w:p>
    <w:p w14:paraId="4E03EE51">
      <w:pPr>
        <w:spacing w:before="143" w:line="348" w:lineRule="auto"/>
        <w:ind w:left="26" w:firstLine="419"/>
        <w:rPr>
          <w:rFonts w:ascii="宋体" w:hAnsi="宋体" w:eastAsia="宋体" w:cs="宋体"/>
          <w:sz w:val="21"/>
          <w:szCs w:val="21"/>
        </w:rPr>
      </w:pPr>
      <w:r>
        <w:rPr>
          <w:rFonts w:ascii="宋体" w:hAnsi="宋体" w:eastAsia="宋体" w:cs="宋体"/>
          <w:spacing w:val="-3"/>
          <w:sz w:val="21"/>
          <w:szCs w:val="21"/>
        </w:rPr>
        <w:t>单价合同的进度付款申请单，按照第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12.3.3</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项〔单价合同的计量〕约定的时间按月向监</w:t>
      </w:r>
      <w:r>
        <w:rPr>
          <w:rFonts w:ascii="宋体" w:hAnsi="宋体" w:eastAsia="宋体" w:cs="宋体"/>
          <w:spacing w:val="-5"/>
          <w:sz w:val="21"/>
          <w:szCs w:val="21"/>
        </w:rPr>
        <w:t>理人提交，并附上已完成工程量报表和有关资料。单</w:t>
      </w:r>
      <w:r>
        <w:rPr>
          <w:rFonts w:ascii="宋体" w:hAnsi="宋体" w:eastAsia="宋体" w:cs="宋体"/>
          <w:spacing w:val="-6"/>
          <w:sz w:val="21"/>
          <w:szCs w:val="21"/>
        </w:rPr>
        <w:t>价合同中的总价项目按月进行支付分解，</w:t>
      </w:r>
      <w:r>
        <w:rPr>
          <w:rFonts w:ascii="宋体" w:hAnsi="宋体" w:eastAsia="宋体" w:cs="宋体"/>
          <w:spacing w:val="-3"/>
          <w:sz w:val="21"/>
          <w:szCs w:val="21"/>
        </w:rPr>
        <w:t>并汇总列入当期进度付款申请单。</w:t>
      </w:r>
    </w:p>
    <w:p w14:paraId="14543E16">
      <w:pPr>
        <w:spacing w:before="13" w:line="232"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）总价合同进度付款申请单的提交</w:t>
      </w:r>
    </w:p>
    <w:p w14:paraId="5648440D">
      <w:pPr>
        <w:spacing w:before="126" w:line="348" w:lineRule="auto"/>
        <w:ind w:left="45" w:right="62" w:firstLine="404"/>
        <w:rPr>
          <w:rFonts w:ascii="宋体" w:hAnsi="宋体" w:eastAsia="宋体" w:cs="宋体"/>
          <w:sz w:val="21"/>
          <w:szCs w:val="21"/>
        </w:rPr>
      </w:pPr>
      <w:r>
        <w:rPr>
          <w:rFonts w:ascii="宋体" w:hAnsi="宋体" w:eastAsia="宋体" w:cs="宋体"/>
          <w:spacing w:val="-3"/>
          <w:sz w:val="21"/>
          <w:szCs w:val="21"/>
        </w:rPr>
        <w:t>总价合同按月计量支付的，承包人按照第</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12.3.4</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项〔总价合同的计量</w:t>
      </w:r>
      <w:r>
        <w:rPr>
          <w:rFonts w:ascii="宋体" w:hAnsi="宋体" w:eastAsia="宋体" w:cs="宋体"/>
          <w:spacing w:val="-4"/>
          <w:sz w:val="21"/>
          <w:szCs w:val="21"/>
        </w:rPr>
        <w:t>〕约定的时间按月</w:t>
      </w:r>
      <w:r>
        <w:rPr>
          <w:rFonts w:ascii="宋体" w:hAnsi="宋体" w:eastAsia="宋体" w:cs="宋体"/>
          <w:spacing w:val="-2"/>
          <w:sz w:val="21"/>
          <w:szCs w:val="21"/>
        </w:rPr>
        <w:t>向监理人提交进度付款申请单，并附上已完成工程量报表和有关资料。</w:t>
      </w:r>
    </w:p>
    <w:p w14:paraId="2304253E">
      <w:pPr>
        <w:spacing w:before="18" w:line="336" w:lineRule="auto"/>
        <w:ind w:left="27" w:right="64" w:firstLine="422"/>
        <w:rPr>
          <w:rFonts w:ascii="宋体" w:hAnsi="宋体" w:eastAsia="宋体" w:cs="宋体"/>
          <w:sz w:val="21"/>
          <w:szCs w:val="21"/>
        </w:rPr>
      </w:pPr>
      <w:r>
        <w:rPr>
          <w:rFonts w:ascii="宋体" w:hAnsi="宋体" w:eastAsia="宋体" w:cs="宋体"/>
          <w:spacing w:val="1"/>
          <w:sz w:val="21"/>
          <w:szCs w:val="21"/>
        </w:rPr>
        <w:t xml:space="preserve">总价合同按支付分解表支付的，承包人应按照第 </w:t>
      </w:r>
      <w:r>
        <w:rPr>
          <w:rFonts w:ascii="Times New Roman" w:hAnsi="Times New Roman" w:eastAsia="Times New Roman" w:cs="Times New Roman"/>
          <w:spacing w:val="1"/>
          <w:sz w:val="21"/>
          <w:szCs w:val="21"/>
        </w:rPr>
        <w:t>12</w:t>
      </w:r>
      <w:r>
        <w:rPr>
          <w:rFonts w:ascii="Times New Roman" w:hAnsi="Times New Roman" w:eastAsia="Times New Roman" w:cs="Times New Roman"/>
          <w:sz w:val="21"/>
          <w:szCs w:val="21"/>
        </w:rPr>
        <w:t xml:space="preserve">.4.6  </w:t>
      </w:r>
      <w:r>
        <w:rPr>
          <w:rFonts w:ascii="宋体" w:hAnsi="宋体" w:eastAsia="宋体" w:cs="宋体"/>
          <w:sz w:val="21"/>
          <w:szCs w:val="21"/>
        </w:rPr>
        <w:t xml:space="preserve">项〔支付分解表〕及第 </w:t>
      </w:r>
      <w:r>
        <w:rPr>
          <w:rFonts w:ascii="Times New Roman" w:hAnsi="Times New Roman" w:eastAsia="Times New Roman" w:cs="Times New Roman"/>
          <w:sz w:val="21"/>
          <w:szCs w:val="21"/>
        </w:rPr>
        <w:t>12.4.2</w:t>
      </w:r>
      <w:r>
        <w:rPr>
          <w:rFonts w:ascii="宋体" w:hAnsi="宋体" w:eastAsia="宋体" w:cs="宋体"/>
          <w:spacing w:val="-1"/>
          <w:sz w:val="21"/>
          <w:szCs w:val="21"/>
        </w:rPr>
        <w:t>项〔进度付款申请单的编制〕的约定向监理人提交进度付款申请单。</w:t>
      </w:r>
    </w:p>
    <w:p w14:paraId="547B3D99">
      <w:pPr>
        <w:spacing w:before="32" w:line="232"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）其他价格形式合同的进度付款申请单的提交</w:t>
      </w:r>
    </w:p>
    <w:p w14:paraId="469AE9C0">
      <w:pPr>
        <w:spacing w:before="141" w:line="346" w:lineRule="auto"/>
        <w:ind w:left="28" w:right="88" w:firstLine="417"/>
        <w:rPr>
          <w:rFonts w:ascii="宋体" w:hAnsi="宋体" w:eastAsia="宋体" w:cs="宋体"/>
          <w:sz w:val="21"/>
          <w:szCs w:val="21"/>
        </w:rPr>
      </w:pPr>
      <w:r>
        <w:rPr>
          <w:rFonts w:ascii="宋体" w:hAnsi="宋体" w:eastAsia="宋体" w:cs="宋体"/>
          <w:spacing w:val="3"/>
          <w:sz w:val="21"/>
          <w:szCs w:val="21"/>
        </w:rPr>
        <w:t>合同当事人可在专用合同条款中约定其他价格形式合同的进度付款申请单的编制</w:t>
      </w:r>
      <w:r>
        <w:rPr>
          <w:rFonts w:ascii="宋体" w:hAnsi="宋体" w:eastAsia="宋体" w:cs="宋体"/>
          <w:spacing w:val="2"/>
          <w:sz w:val="21"/>
          <w:szCs w:val="21"/>
        </w:rPr>
        <w:t>和提</w:t>
      </w:r>
      <w:r>
        <w:rPr>
          <w:rFonts w:ascii="宋体" w:hAnsi="宋体" w:eastAsia="宋体" w:cs="宋体"/>
          <w:spacing w:val="-8"/>
          <w:sz w:val="21"/>
          <w:szCs w:val="21"/>
        </w:rPr>
        <w:t>交程序。</w:t>
      </w:r>
    </w:p>
    <w:p w14:paraId="1E6BB1AB">
      <w:pPr>
        <w:spacing w:before="10"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12.4.4</w:t>
      </w:r>
      <w:r>
        <w:rPr>
          <w:rFonts w:ascii="Times New Roman" w:hAnsi="Times New Roman" w:eastAsia="Times New Roman" w:cs="Times New Roman"/>
          <w:spacing w:val="45"/>
          <w:sz w:val="21"/>
          <w:szCs w:val="21"/>
        </w:rPr>
        <w:t xml:space="preserve"> </w:t>
      </w:r>
      <w:r>
        <w:rPr>
          <w:rFonts w:ascii="宋体" w:hAnsi="宋体" w:eastAsia="宋体" w:cs="宋体"/>
          <w:spacing w:val="-1"/>
          <w:sz w:val="21"/>
          <w:szCs w:val="21"/>
        </w:rPr>
        <w:t>进度款审核和支付</w:t>
      </w:r>
    </w:p>
    <w:p w14:paraId="24C1826C">
      <w:pPr>
        <w:spacing w:line="233" w:lineRule="auto"/>
        <w:rPr>
          <w:rFonts w:ascii="宋体" w:hAnsi="宋体" w:eastAsia="宋体" w:cs="宋体"/>
          <w:sz w:val="21"/>
          <w:szCs w:val="21"/>
        </w:rPr>
        <w:sectPr>
          <w:footerReference r:id="rId186" w:type="default"/>
          <w:pgSz w:w="11910" w:h="16845"/>
          <w:pgMar w:top="400" w:right="1708" w:bottom="1110" w:left="1786" w:header="0" w:footer="883" w:gutter="0"/>
          <w:cols w:space="720" w:num="1"/>
        </w:sectPr>
      </w:pPr>
    </w:p>
    <w:p w14:paraId="646D62E2">
      <w:pPr>
        <w:pStyle w:val="2"/>
        <w:spacing w:line="275" w:lineRule="auto"/>
      </w:pPr>
    </w:p>
    <w:p w14:paraId="4967ECFB">
      <w:pPr>
        <w:pStyle w:val="2"/>
        <w:spacing w:line="275" w:lineRule="auto"/>
      </w:pPr>
    </w:p>
    <w:p w14:paraId="670B043D">
      <w:pPr>
        <w:pStyle w:val="2"/>
        <w:spacing w:line="275" w:lineRule="auto"/>
      </w:pPr>
    </w:p>
    <w:p w14:paraId="0723B9FB">
      <w:pPr>
        <w:pStyle w:val="2"/>
        <w:spacing w:line="275" w:lineRule="auto"/>
      </w:pPr>
    </w:p>
    <w:p w14:paraId="30B24A66">
      <w:pPr>
        <w:spacing w:before="69" w:line="344" w:lineRule="auto"/>
        <w:ind w:left="24" w:right="3" w:firstLine="426"/>
        <w:jc w:val="both"/>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）除专用合同条款另有约定外，监理人应在收到承包</w:t>
      </w:r>
      <w:r>
        <w:rPr>
          <w:rFonts w:ascii="宋体" w:hAnsi="宋体" w:eastAsia="宋体" w:cs="宋体"/>
          <w:spacing w:val="-1"/>
          <w:sz w:val="21"/>
          <w:szCs w:val="21"/>
        </w:rPr>
        <w:t>人进度付款申请单以及相关资</w:t>
      </w:r>
      <w:r>
        <w:rPr>
          <w:rFonts w:ascii="宋体" w:hAnsi="宋体" w:eastAsia="宋体" w:cs="宋体"/>
          <w:spacing w:val="-3"/>
          <w:sz w:val="21"/>
          <w:szCs w:val="21"/>
        </w:rPr>
        <w:t>料后</w:t>
      </w:r>
      <w:r>
        <w:rPr>
          <w:rFonts w:ascii="宋体" w:hAnsi="宋体" w:eastAsia="宋体" w:cs="宋体"/>
          <w:spacing w:val="-37"/>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天内完成审查并报送发包人，发包人应在收到后</w:t>
      </w:r>
      <w:r>
        <w:rPr>
          <w:rFonts w:ascii="宋体" w:hAnsi="宋体" w:eastAsia="宋体" w:cs="宋体"/>
          <w:spacing w:val="-56"/>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天内完成审批并签发进度款</w:t>
      </w:r>
      <w:r>
        <w:rPr>
          <w:rFonts w:ascii="宋体" w:hAnsi="宋体" w:eastAsia="宋体" w:cs="宋体"/>
          <w:spacing w:val="-4"/>
          <w:sz w:val="21"/>
          <w:szCs w:val="21"/>
        </w:rPr>
        <w:t>支付证</w:t>
      </w:r>
      <w:r>
        <w:rPr>
          <w:rFonts w:ascii="宋体" w:hAnsi="宋体" w:eastAsia="宋体" w:cs="宋体"/>
          <w:spacing w:val="-1"/>
          <w:sz w:val="21"/>
          <w:szCs w:val="21"/>
        </w:rPr>
        <w:t>书。发包人逾期未完成审批且未提出异议的，视为已签发进度款支付证书。</w:t>
      </w:r>
    </w:p>
    <w:p w14:paraId="5D232DA7">
      <w:pPr>
        <w:spacing w:before="27" w:line="351" w:lineRule="auto"/>
        <w:ind w:left="22" w:firstLine="425"/>
        <w:jc w:val="both"/>
        <w:rPr>
          <w:rFonts w:ascii="宋体" w:hAnsi="宋体" w:eastAsia="宋体" w:cs="宋体"/>
          <w:sz w:val="21"/>
          <w:szCs w:val="21"/>
        </w:rPr>
      </w:pPr>
      <w:r>
        <w:rPr>
          <w:rFonts w:ascii="宋体" w:hAnsi="宋体" w:eastAsia="宋体" w:cs="宋体"/>
          <w:spacing w:val="-2"/>
          <w:sz w:val="21"/>
          <w:szCs w:val="21"/>
        </w:rPr>
        <w:t>发包人和监理人对承包人的进度付款申请单有异议的，有权要求承</w:t>
      </w:r>
      <w:r>
        <w:rPr>
          <w:rFonts w:ascii="宋体" w:hAnsi="宋体" w:eastAsia="宋体" w:cs="宋体"/>
          <w:spacing w:val="-3"/>
          <w:sz w:val="21"/>
          <w:szCs w:val="21"/>
        </w:rPr>
        <w:t>包人修正和提供补充</w:t>
      </w:r>
      <w:r>
        <w:rPr>
          <w:rFonts w:ascii="宋体" w:hAnsi="宋体" w:eastAsia="宋体" w:cs="宋体"/>
          <w:spacing w:val="-2"/>
          <w:sz w:val="21"/>
          <w:szCs w:val="21"/>
        </w:rPr>
        <w:t>资料，承包人应提交修正后的进度付款申请单。监理人应在收到承包人修正后的进度付</w:t>
      </w:r>
      <w:r>
        <w:rPr>
          <w:rFonts w:ascii="宋体" w:hAnsi="宋体" w:eastAsia="宋体" w:cs="宋体"/>
          <w:spacing w:val="-3"/>
          <w:sz w:val="21"/>
          <w:szCs w:val="21"/>
        </w:rPr>
        <w:t>款申</w:t>
      </w:r>
      <w:r>
        <w:rPr>
          <w:rFonts w:ascii="宋体" w:hAnsi="宋体" w:eastAsia="宋体" w:cs="宋体"/>
          <w:spacing w:val="-2"/>
          <w:sz w:val="21"/>
          <w:szCs w:val="21"/>
        </w:rPr>
        <w:t>请单及相关资料后</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天内完成审查并报送发包</w:t>
      </w:r>
      <w:r>
        <w:rPr>
          <w:rFonts w:ascii="宋体" w:hAnsi="宋体" w:eastAsia="宋体" w:cs="宋体"/>
          <w:spacing w:val="-3"/>
          <w:sz w:val="21"/>
          <w:szCs w:val="21"/>
        </w:rPr>
        <w:t>人，发包人应在收到监理人报送的进度付款申请单及相关资料后</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天内，向承包人签发无异议部分的临时进度款支付证书。存在争议的部</w:t>
      </w:r>
      <w:r>
        <w:rPr>
          <w:rFonts w:ascii="宋体" w:hAnsi="宋体" w:eastAsia="宋体" w:cs="宋体"/>
          <w:spacing w:val="-2"/>
          <w:sz w:val="21"/>
          <w:szCs w:val="21"/>
        </w:rPr>
        <w:t>分，按照第</w:t>
      </w:r>
      <w:r>
        <w:rPr>
          <w:rFonts w:ascii="宋体" w:hAnsi="宋体" w:eastAsia="宋体" w:cs="宋体"/>
          <w:spacing w:val="-39"/>
          <w:sz w:val="21"/>
          <w:szCs w:val="21"/>
        </w:rPr>
        <w:t xml:space="preserve"> </w:t>
      </w:r>
      <w:r>
        <w:rPr>
          <w:rFonts w:ascii="Times New Roman" w:hAnsi="Times New Roman" w:eastAsia="Times New Roman" w:cs="Times New Roman"/>
          <w:spacing w:val="-2"/>
          <w:sz w:val="21"/>
          <w:szCs w:val="21"/>
        </w:rPr>
        <w:t>20</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条〔争议解决〕的约定处理。</w:t>
      </w:r>
    </w:p>
    <w:p w14:paraId="7FCA51BB">
      <w:pPr>
        <w:spacing w:before="1" w:line="350" w:lineRule="auto"/>
        <w:ind w:left="21" w:right="13" w:firstLine="428"/>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）除专用合同条款另有约定外，发包人应在进度款支付证</w:t>
      </w:r>
      <w:r>
        <w:rPr>
          <w:rFonts w:ascii="宋体" w:hAnsi="宋体" w:eastAsia="宋体" w:cs="宋体"/>
          <w:spacing w:val="-1"/>
          <w:sz w:val="21"/>
          <w:szCs w:val="21"/>
        </w:rPr>
        <w:t>书或临时进度款支付证书签发后</w:t>
      </w:r>
      <w:r>
        <w:rPr>
          <w:rFonts w:ascii="宋体" w:hAnsi="宋体" w:eastAsia="宋体" w:cs="宋体"/>
          <w:spacing w:val="-7"/>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天内完成支付，发包人逾期支付进度款的，应按照中国人民银行发布的同期同类</w:t>
      </w:r>
      <w:r>
        <w:rPr>
          <w:rFonts w:ascii="宋体" w:hAnsi="宋体" w:eastAsia="宋体" w:cs="宋体"/>
          <w:spacing w:val="-3"/>
          <w:sz w:val="21"/>
          <w:szCs w:val="21"/>
        </w:rPr>
        <w:t>贷款基准利率支付违约金。</w:t>
      </w:r>
    </w:p>
    <w:p w14:paraId="7FAA1F9B">
      <w:pPr>
        <w:spacing w:before="5" w:line="348" w:lineRule="auto"/>
        <w:ind w:left="26" w:right="38" w:firstLine="423"/>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）发包人签发进度款支付证书或临时进度款支付证书，不表明发包</w:t>
      </w:r>
      <w:r>
        <w:rPr>
          <w:rFonts w:ascii="宋体" w:hAnsi="宋体" w:eastAsia="宋体" w:cs="宋体"/>
          <w:spacing w:val="-1"/>
          <w:sz w:val="21"/>
          <w:szCs w:val="21"/>
        </w:rPr>
        <w:t>人已同意、批准</w:t>
      </w:r>
      <w:r>
        <w:rPr>
          <w:rFonts w:ascii="宋体" w:hAnsi="宋体" w:eastAsia="宋体" w:cs="宋体"/>
          <w:spacing w:val="-2"/>
          <w:sz w:val="21"/>
          <w:szCs w:val="21"/>
        </w:rPr>
        <w:t>或接受了承包人完成的相应部分的工作。</w:t>
      </w:r>
    </w:p>
    <w:p w14:paraId="35796B9D">
      <w:pPr>
        <w:spacing w:before="1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12.4.5</w:t>
      </w:r>
      <w:r>
        <w:rPr>
          <w:rFonts w:ascii="Times New Roman" w:hAnsi="Times New Roman" w:eastAsia="Times New Roman" w:cs="Times New Roman"/>
          <w:spacing w:val="44"/>
          <w:w w:val="101"/>
          <w:sz w:val="21"/>
          <w:szCs w:val="21"/>
        </w:rPr>
        <w:t xml:space="preserve"> </w:t>
      </w:r>
      <w:r>
        <w:rPr>
          <w:rFonts w:ascii="宋体" w:hAnsi="宋体" w:eastAsia="宋体" w:cs="宋体"/>
          <w:spacing w:val="-1"/>
          <w:sz w:val="21"/>
          <w:szCs w:val="21"/>
        </w:rPr>
        <w:t>进度付款的修正</w:t>
      </w:r>
    </w:p>
    <w:p w14:paraId="14A3DCE8">
      <w:pPr>
        <w:spacing w:before="124" w:line="352" w:lineRule="auto"/>
        <w:ind w:left="25" w:right="13" w:firstLine="418"/>
        <w:rPr>
          <w:rFonts w:ascii="宋体" w:hAnsi="宋体" w:eastAsia="宋体" w:cs="宋体"/>
          <w:sz w:val="21"/>
          <w:szCs w:val="21"/>
        </w:rPr>
      </w:pPr>
      <w:r>
        <w:rPr>
          <w:rFonts w:ascii="宋体" w:hAnsi="宋体" w:eastAsia="宋体" w:cs="宋体"/>
          <w:spacing w:val="-4"/>
          <w:sz w:val="21"/>
          <w:szCs w:val="21"/>
        </w:rPr>
        <w:t>在对已签发的进度款支付证书进行阶段汇总和复核中发现错误、遗漏或重复的，</w:t>
      </w:r>
      <w:r>
        <w:rPr>
          <w:rFonts w:ascii="宋体" w:hAnsi="宋体" w:eastAsia="宋体" w:cs="宋体"/>
          <w:spacing w:val="-34"/>
          <w:sz w:val="21"/>
          <w:szCs w:val="21"/>
        </w:rPr>
        <w:t xml:space="preserve"> </w:t>
      </w:r>
      <w:r>
        <w:rPr>
          <w:rFonts w:ascii="宋体" w:hAnsi="宋体" w:eastAsia="宋体" w:cs="宋体"/>
          <w:spacing w:val="-4"/>
          <w:sz w:val="21"/>
          <w:szCs w:val="21"/>
        </w:rPr>
        <w:t>发包人和承包人均有权提出修正申请。经发包人和承包人同意的修正，</w:t>
      </w:r>
      <w:r>
        <w:rPr>
          <w:rFonts w:ascii="宋体" w:hAnsi="宋体" w:eastAsia="宋体" w:cs="宋体"/>
          <w:spacing w:val="-27"/>
          <w:sz w:val="21"/>
          <w:szCs w:val="21"/>
        </w:rPr>
        <w:t xml:space="preserve"> </w:t>
      </w:r>
      <w:r>
        <w:rPr>
          <w:rFonts w:ascii="宋体" w:hAnsi="宋体" w:eastAsia="宋体" w:cs="宋体"/>
          <w:spacing w:val="-4"/>
          <w:sz w:val="21"/>
          <w:szCs w:val="21"/>
        </w:rPr>
        <w:t>应在下期进度付款中支付或</w:t>
      </w:r>
      <w:r>
        <w:rPr>
          <w:rFonts w:ascii="宋体" w:hAnsi="宋体" w:eastAsia="宋体" w:cs="宋体"/>
          <w:spacing w:val="-9"/>
          <w:sz w:val="21"/>
          <w:szCs w:val="21"/>
        </w:rPr>
        <w:t>扣除。</w:t>
      </w:r>
    </w:p>
    <w:p w14:paraId="3286A4A1">
      <w:pPr>
        <w:spacing w:before="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12.4.6</w:t>
      </w:r>
      <w:r>
        <w:rPr>
          <w:rFonts w:ascii="Times New Roman" w:hAnsi="Times New Roman" w:eastAsia="Times New Roman" w:cs="Times New Roman"/>
          <w:spacing w:val="52"/>
          <w:w w:val="101"/>
          <w:sz w:val="21"/>
          <w:szCs w:val="21"/>
        </w:rPr>
        <w:t xml:space="preserve"> </w:t>
      </w:r>
      <w:r>
        <w:rPr>
          <w:rFonts w:ascii="宋体" w:hAnsi="宋体" w:eastAsia="宋体" w:cs="宋体"/>
          <w:spacing w:val="-2"/>
          <w:sz w:val="21"/>
          <w:szCs w:val="21"/>
        </w:rPr>
        <w:t>支付分解表</w:t>
      </w:r>
    </w:p>
    <w:p w14:paraId="79020010">
      <w:pPr>
        <w:spacing w:before="140"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支付分解表的编制要求</w:t>
      </w:r>
    </w:p>
    <w:p w14:paraId="39177A17">
      <w:pPr>
        <w:spacing w:before="139" w:line="344" w:lineRule="auto"/>
        <w:ind w:left="24" w:right="41" w:firstLine="4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 xml:space="preserve">）支付分解表中所列的每期付款金额，应为第 </w:t>
      </w:r>
      <w:r>
        <w:rPr>
          <w:rFonts w:ascii="Times New Roman" w:hAnsi="Times New Roman" w:eastAsia="Times New Roman" w:cs="Times New Roman"/>
          <w:spacing w:val="-2"/>
          <w:sz w:val="21"/>
          <w:szCs w:val="21"/>
        </w:rPr>
        <w:t>12.4.2</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项〔进度付款申请单的编制〕</w:t>
      </w:r>
      <w:r>
        <w:rPr>
          <w:rFonts w:ascii="宋体" w:hAnsi="宋体" w:eastAsia="宋体" w:cs="宋体"/>
          <w:spacing w:val="-9"/>
          <w:sz w:val="21"/>
          <w:szCs w:val="21"/>
        </w:rPr>
        <w:t>第（</w:t>
      </w:r>
      <w:r>
        <w:rPr>
          <w:rFonts w:ascii="Times New Roman" w:hAnsi="Times New Roman" w:eastAsia="Times New Roman" w:cs="Times New Roman"/>
          <w:spacing w:val="-9"/>
          <w:sz w:val="21"/>
          <w:szCs w:val="21"/>
        </w:rPr>
        <w:t>1</w:t>
      </w:r>
      <w:r>
        <w:rPr>
          <w:rFonts w:ascii="宋体" w:hAnsi="宋体" w:eastAsia="宋体" w:cs="宋体"/>
          <w:spacing w:val="-9"/>
          <w:sz w:val="21"/>
          <w:szCs w:val="21"/>
        </w:rPr>
        <w:t>）</w:t>
      </w:r>
      <w:r>
        <w:rPr>
          <w:rFonts w:ascii="宋体" w:hAnsi="宋体" w:eastAsia="宋体" w:cs="宋体"/>
          <w:spacing w:val="-53"/>
          <w:sz w:val="21"/>
          <w:szCs w:val="21"/>
        </w:rPr>
        <w:t xml:space="preserve"> </w:t>
      </w:r>
      <w:r>
        <w:rPr>
          <w:rFonts w:ascii="宋体" w:hAnsi="宋体" w:eastAsia="宋体" w:cs="宋体"/>
          <w:spacing w:val="-9"/>
          <w:sz w:val="21"/>
          <w:szCs w:val="21"/>
        </w:rPr>
        <w:t>目的估算金额；</w:t>
      </w:r>
    </w:p>
    <w:p w14:paraId="2D0D26BE">
      <w:pPr>
        <w:spacing w:before="15" w:line="348" w:lineRule="auto"/>
        <w:ind w:left="24" w:right="41"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）实际进度与施工进度计划不一致的，合同当事</w:t>
      </w:r>
      <w:r>
        <w:rPr>
          <w:rFonts w:ascii="宋体" w:hAnsi="宋体" w:eastAsia="宋体" w:cs="宋体"/>
          <w:spacing w:val="-2"/>
          <w:sz w:val="21"/>
          <w:szCs w:val="21"/>
        </w:rPr>
        <w:t xml:space="preserve">人可按照第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47"/>
          <w:sz w:val="21"/>
          <w:szCs w:val="21"/>
        </w:rPr>
        <w:t xml:space="preserve"> </w:t>
      </w:r>
      <w:r>
        <w:rPr>
          <w:rFonts w:ascii="宋体" w:hAnsi="宋体" w:eastAsia="宋体" w:cs="宋体"/>
          <w:spacing w:val="-2"/>
          <w:sz w:val="21"/>
          <w:szCs w:val="21"/>
        </w:rPr>
        <w:t>款〔商定或确定〕</w:t>
      </w:r>
      <w:r>
        <w:rPr>
          <w:rFonts w:ascii="宋体" w:hAnsi="宋体" w:eastAsia="宋体" w:cs="宋体"/>
          <w:spacing w:val="-6"/>
          <w:sz w:val="21"/>
          <w:szCs w:val="21"/>
        </w:rPr>
        <w:t>修改支付分解表；</w:t>
      </w:r>
    </w:p>
    <w:p w14:paraId="24B0E28B">
      <w:pPr>
        <w:spacing w:before="3" w:line="348" w:lineRule="auto"/>
        <w:ind w:left="23" w:right="37"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）不采用支付分解表的，承包人应向发包人和监理人提交按季度编制</w:t>
      </w:r>
      <w:r>
        <w:rPr>
          <w:rFonts w:ascii="宋体" w:hAnsi="宋体" w:eastAsia="宋体" w:cs="宋体"/>
          <w:spacing w:val="-1"/>
          <w:sz w:val="21"/>
          <w:szCs w:val="21"/>
        </w:rPr>
        <w:t>的支付估算分</w:t>
      </w:r>
      <w:r>
        <w:rPr>
          <w:rFonts w:ascii="宋体" w:hAnsi="宋体" w:eastAsia="宋体" w:cs="宋体"/>
          <w:spacing w:val="-3"/>
          <w:sz w:val="21"/>
          <w:szCs w:val="21"/>
        </w:rPr>
        <w:t>解表，用于支付参考。</w:t>
      </w:r>
    </w:p>
    <w:p w14:paraId="4F5684C2">
      <w:pPr>
        <w:spacing w:before="19" w:line="232" w:lineRule="auto"/>
        <w:ind w:left="440"/>
        <w:rPr>
          <w:rFonts w:ascii="宋体" w:hAnsi="宋体" w:eastAsia="宋体" w:cs="宋体"/>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26"/>
          <w:sz w:val="21"/>
          <w:szCs w:val="21"/>
        </w:rPr>
        <w:t xml:space="preserve"> </w:t>
      </w:r>
      <w:r>
        <w:rPr>
          <w:rFonts w:ascii="宋体" w:hAnsi="宋体" w:eastAsia="宋体" w:cs="宋体"/>
          <w:spacing w:val="-1"/>
          <w:sz w:val="21"/>
          <w:szCs w:val="21"/>
        </w:rPr>
        <w:t>总价合同支付分解表的编制与审批</w:t>
      </w:r>
    </w:p>
    <w:p w14:paraId="7F597969">
      <w:pPr>
        <w:spacing w:before="125" w:line="350" w:lineRule="auto"/>
        <w:ind w:left="23" w:right="5"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 xml:space="preserve">）除专用合同条款另有约定外，承包人应根据第 </w:t>
      </w:r>
      <w:r>
        <w:rPr>
          <w:rFonts w:ascii="Times New Roman" w:hAnsi="Times New Roman" w:eastAsia="Times New Roman" w:cs="Times New Roman"/>
          <w:spacing w:val="-1"/>
          <w:sz w:val="21"/>
          <w:szCs w:val="21"/>
        </w:rPr>
        <w:t>7.2</w:t>
      </w:r>
      <w:r>
        <w:rPr>
          <w:rFonts w:ascii="Times New Roman" w:hAnsi="Times New Roman" w:eastAsia="Times New Roman" w:cs="Times New Roman"/>
          <w:spacing w:val="65"/>
          <w:w w:val="101"/>
          <w:sz w:val="21"/>
          <w:szCs w:val="21"/>
        </w:rPr>
        <w:t xml:space="preserve"> </w:t>
      </w:r>
      <w:r>
        <w:rPr>
          <w:rFonts w:ascii="宋体" w:hAnsi="宋体" w:eastAsia="宋体" w:cs="宋体"/>
          <w:spacing w:val="-1"/>
          <w:sz w:val="21"/>
          <w:szCs w:val="21"/>
        </w:rPr>
        <w:t>款〔施工进度计划〕约定的施</w:t>
      </w:r>
      <w:r>
        <w:rPr>
          <w:rFonts w:ascii="宋体" w:hAnsi="宋体" w:eastAsia="宋体" w:cs="宋体"/>
          <w:spacing w:val="-2"/>
          <w:sz w:val="21"/>
          <w:szCs w:val="21"/>
        </w:rPr>
        <w:t>工进度计划、签约合同价和工程量等因素对总价合同按月进行分解，编制支付分解</w:t>
      </w:r>
      <w:r>
        <w:rPr>
          <w:rFonts w:ascii="宋体" w:hAnsi="宋体" w:eastAsia="宋体" w:cs="宋体"/>
          <w:spacing w:val="-3"/>
          <w:sz w:val="21"/>
          <w:szCs w:val="21"/>
        </w:rPr>
        <w:t>表。承包人应当在收到监理人和发包人批准的施工进度计划后</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天内，将支付分解表及编制支付分解表的支持性资料报送监理人。</w:t>
      </w:r>
    </w:p>
    <w:p w14:paraId="1C17CFCC">
      <w:pPr>
        <w:spacing w:before="17" w:line="344" w:lineRule="auto"/>
        <w:ind w:left="25" w:right="3" w:firstLine="4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）监理人应在收到支付分解表后</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天内完成审核并报送发包人。发包人应在收到经</w:t>
      </w:r>
      <w:r>
        <w:rPr>
          <w:rFonts w:ascii="宋体" w:hAnsi="宋体" w:eastAsia="宋体" w:cs="宋体"/>
          <w:spacing w:val="-3"/>
          <w:sz w:val="21"/>
          <w:szCs w:val="21"/>
        </w:rPr>
        <w:t>监理人审核的支付分解表后</w:t>
      </w:r>
      <w:r>
        <w:rPr>
          <w:rFonts w:ascii="宋体" w:hAnsi="宋体" w:eastAsia="宋体" w:cs="宋体"/>
          <w:spacing w:val="-25"/>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天内完成审批，经发包人批准的支付分解表为有约束力的支付</w:t>
      </w:r>
      <w:r>
        <w:rPr>
          <w:rFonts w:ascii="宋体" w:hAnsi="宋体" w:eastAsia="宋体" w:cs="宋体"/>
          <w:spacing w:val="-8"/>
          <w:sz w:val="21"/>
          <w:szCs w:val="21"/>
        </w:rPr>
        <w:t>分解表。</w:t>
      </w:r>
    </w:p>
    <w:p w14:paraId="11D26B74">
      <w:pPr>
        <w:spacing w:before="26" w:line="233" w:lineRule="auto"/>
        <w:ind w:right="32"/>
        <w:jc w:val="right"/>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）发包人逾期未完成支付分解表审批的，也未及时要求承包人进行修正和提供补充</w:t>
      </w:r>
    </w:p>
    <w:p w14:paraId="3CB2B3C8">
      <w:pPr>
        <w:spacing w:line="233" w:lineRule="auto"/>
        <w:rPr>
          <w:rFonts w:ascii="宋体" w:hAnsi="宋体" w:eastAsia="宋体" w:cs="宋体"/>
          <w:sz w:val="21"/>
          <w:szCs w:val="21"/>
        </w:rPr>
        <w:sectPr>
          <w:footerReference r:id="rId187" w:type="default"/>
          <w:pgSz w:w="11910" w:h="16845"/>
          <w:pgMar w:top="400" w:right="1765" w:bottom="1110" w:left="1786" w:header="0" w:footer="883" w:gutter="0"/>
          <w:cols w:space="720" w:num="1"/>
        </w:sectPr>
      </w:pPr>
    </w:p>
    <w:p w14:paraId="0A1C8933">
      <w:pPr>
        <w:pStyle w:val="2"/>
        <w:spacing w:line="275" w:lineRule="auto"/>
      </w:pPr>
    </w:p>
    <w:p w14:paraId="241E78A5">
      <w:pPr>
        <w:pStyle w:val="2"/>
        <w:spacing w:line="275" w:lineRule="auto"/>
      </w:pPr>
    </w:p>
    <w:p w14:paraId="62A409B0">
      <w:pPr>
        <w:pStyle w:val="2"/>
        <w:spacing w:line="275" w:lineRule="auto"/>
      </w:pPr>
    </w:p>
    <w:p w14:paraId="6DA3FB86">
      <w:pPr>
        <w:pStyle w:val="2"/>
        <w:spacing w:line="275" w:lineRule="auto"/>
      </w:pPr>
    </w:p>
    <w:p w14:paraId="7A76AA7A">
      <w:pPr>
        <w:spacing w:before="68" w:line="220" w:lineRule="auto"/>
        <w:ind w:left="33"/>
        <w:rPr>
          <w:rFonts w:ascii="宋体" w:hAnsi="宋体" w:eastAsia="宋体" w:cs="宋体"/>
          <w:sz w:val="21"/>
          <w:szCs w:val="21"/>
        </w:rPr>
      </w:pPr>
      <w:r>
        <w:rPr>
          <w:rFonts w:ascii="宋体" w:hAnsi="宋体" w:eastAsia="宋体" w:cs="宋体"/>
          <w:spacing w:val="-1"/>
          <w:sz w:val="21"/>
          <w:szCs w:val="21"/>
        </w:rPr>
        <w:t>资料的，则承包人提交的支付分解表视为已经获得</w:t>
      </w:r>
      <w:r>
        <w:rPr>
          <w:rFonts w:ascii="宋体" w:hAnsi="宋体" w:eastAsia="宋体" w:cs="宋体"/>
          <w:spacing w:val="-2"/>
          <w:sz w:val="21"/>
          <w:szCs w:val="21"/>
        </w:rPr>
        <w:t>发包人批准。</w:t>
      </w:r>
    </w:p>
    <w:p w14:paraId="39E06861">
      <w:pPr>
        <w:spacing w:before="155" w:line="232" w:lineRule="auto"/>
        <w:ind w:left="445"/>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单价合同的总价项目支付分解表的编制与审批</w:t>
      </w:r>
    </w:p>
    <w:p w14:paraId="15F92A81">
      <w:pPr>
        <w:spacing w:before="127" w:line="344" w:lineRule="auto"/>
        <w:ind w:left="23" w:right="14" w:firstLine="433"/>
        <w:rPr>
          <w:rFonts w:ascii="宋体" w:hAnsi="宋体" w:eastAsia="宋体" w:cs="宋体"/>
          <w:sz w:val="21"/>
          <w:szCs w:val="21"/>
        </w:rPr>
      </w:pPr>
      <w:r>
        <w:rPr>
          <w:rFonts w:ascii="宋体" w:hAnsi="宋体" w:eastAsia="宋体" w:cs="宋体"/>
          <w:spacing w:val="-2"/>
          <w:sz w:val="21"/>
          <w:szCs w:val="21"/>
        </w:rPr>
        <w:t>除专用合同条款另有约定外，单价合同的总</w:t>
      </w:r>
      <w:r>
        <w:rPr>
          <w:rFonts w:ascii="宋体" w:hAnsi="宋体" w:eastAsia="宋体" w:cs="宋体"/>
          <w:spacing w:val="-3"/>
          <w:sz w:val="21"/>
          <w:szCs w:val="21"/>
        </w:rPr>
        <w:t>价项目，由承包人根据施工进度计划和总价</w:t>
      </w:r>
      <w:r>
        <w:rPr>
          <w:rFonts w:ascii="宋体" w:hAnsi="宋体" w:eastAsia="宋体" w:cs="宋体"/>
          <w:spacing w:val="-2"/>
          <w:sz w:val="21"/>
          <w:szCs w:val="21"/>
        </w:rPr>
        <w:t>项目的总价构成、费用性质、计划发生时间和相应工程量等因素按月进行分</w:t>
      </w:r>
      <w:r>
        <w:rPr>
          <w:rFonts w:ascii="宋体" w:hAnsi="宋体" w:eastAsia="宋体" w:cs="宋体"/>
          <w:spacing w:val="-3"/>
          <w:sz w:val="21"/>
          <w:szCs w:val="21"/>
        </w:rPr>
        <w:t>解，形成支付分</w:t>
      </w:r>
      <w:r>
        <w:rPr>
          <w:rFonts w:ascii="宋体" w:hAnsi="宋体" w:eastAsia="宋体" w:cs="宋体"/>
          <w:spacing w:val="-1"/>
          <w:sz w:val="21"/>
          <w:szCs w:val="21"/>
        </w:rPr>
        <w:t>解表，其编制与审批参照总价合同支付分解表的编制与审批执行。</w:t>
      </w:r>
    </w:p>
    <w:p w14:paraId="27C658D5">
      <w:pPr>
        <w:spacing w:before="1" w:line="231" w:lineRule="auto"/>
        <w:ind w:left="31"/>
        <w:outlineLvl w:val="1"/>
        <w:rPr>
          <w:rFonts w:ascii="黑体" w:hAnsi="黑体" w:eastAsia="黑体" w:cs="黑体"/>
          <w:sz w:val="24"/>
          <w:szCs w:val="24"/>
        </w:rPr>
      </w:pPr>
      <w:bookmarkStart w:id="443" w:name="bookmark385"/>
      <w:bookmarkEnd w:id="443"/>
      <w:r>
        <w:rPr>
          <w:rFonts w:ascii="Times New Roman" w:hAnsi="Times New Roman" w:eastAsia="Times New Roman" w:cs="Times New Roman"/>
          <w:b/>
          <w:bCs/>
          <w:sz w:val="24"/>
          <w:szCs w:val="24"/>
        </w:rPr>
        <w:t>12.5</w:t>
      </w:r>
      <w:r>
        <w:rPr>
          <w:rFonts w:ascii="Times New Roman" w:hAnsi="Times New Roman" w:eastAsia="Times New Roman" w:cs="Times New Roman"/>
          <w:b/>
          <w:bCs/>
          <w:spacing w:val="20"/>
          <w:sz w:val="24"/>
          <w:szCs w:val="24"/>
        </w:rPr>
        <w:t xml:space="preserve"> </w:t>
      </w:r>
      <w:r>
        <w:rPr>
          <w:rFonts w:ascii="黑体" w:hAnsi="黑体" w:eastAsia="黑体" w:cs="黑体"/>
          <w:b/>
          <w:bCs/>
          <w:sz w:val="24"/>
          <w:szCs w:val="24"/>
        </w:rPr>
        <w:t>支付账户</w:t>
      </w:r>
    </w:p>
    <w:p w14:paraId="4E7A8702">
      <w:pPr>
        <w:spacing w:before="130" w:line="218" w:lineRule="auto"/>
        <w:ind w:left="448"/>
        <w:rPr>
          <w:rFonts w:ascii="宋体" w:hAnsi="宋体" w:eastAsia="宋体" w:cs="宋体"/>
          <w:sz w:val="21"/>
          <w:szCs w:val="21"/>
        </w:rPr>
      </w:pPr>
      <w:r>
        <w:rPr>
          <w:rFonts w:ascii="宋体" w:hAnsi="宋体" w:eastAsia="宋体" w:cs="宋体"/>
          <w:spacing w:val="-1"/>
          <w:sz w:val="21"/>
          <w:szCs w:val="21"/>
        </w:rPr>
        <w:t>发包人应将合同价款支付至合同协议书中约定的承包人账</w:t>
      </w:r>
      <w:r>
        <w:rPr>
          <w:rFonts w:ascii="宋体" w:hAnsi="宋体" w:eastAsia="宋体" w:cs="宋体"/>
          <w:spacing w:val="-2"/>
          <w:sz w:val="21"/>
          <w:szCs w:val="21"/>
        </w:rPr>
        <w:t>户。</w:t>
      </w:r>
    </w:p>
    <w:p w14:paraId="210AD10B">
      <w:pPr>
        <w:spacing w:before="197" w:line="236" w:lineRule="auto"/>
        <w:ind w:left="34"/>
        <w:outlineLvl w:val="0"/>
        <w:rPr>
          <w:rFonts w:ascii="黑体" w:hAnsi="黑体" w:eastAsia="黑体" w:cs="黑体"/>
          <w:sz w:val="28"/>
          <w:szCs w:val="28"/>
        </w:rPr>
      </w:pPr>
      <w:bookmarkStart w:id="444" w:name="bookmark386"/>
      <w:bookmarkEnd w:id="444"/>
      <w:bookmarkStart w:id="445" w:name="bookmark387"/>
      <w:bookmarkEnd w:id="445"/>
      <w:r>
        <w:rPr>
          <w:rFonts w:ascii="Times New Roman" w:hAnsi="Times New Roman" w:eastAsia="Times New Roman" w:cs="Times New Roman"/>
          <w:b/>
          <w:bCs/>
          <w:spacing w:val="2"/>
          <w:sz w:val="28"/>
          <w:szCs w:val="28"/>
        </w:rPr>
        <w:t>13.</w:t>
      </w:r>
      <w:r>
        <w:rPr>
          <w:rFonts w:ascii="Times New Roman" w:hAnsi="Times New Roman" w:eastAsia="Times New Roman" w:cs="Times New Roman"/>
          <w:b/>
          <w:bCs/>
          <w:spacing w:val="70"/>
          <w:sz w:val="28"/>
          <w:szCs w:val="28"/>
        </w:rPr>
        <w:t xml:space="preserve"> </w:t>
      </w:r>
      <w:r>
        <w:rPr>
          <w:rFonts w:ascii="黑体" w:hAnsi="黑体" w:eastAsia="黑体" w:cs="黑体"/>
          <w:b/>
          <w:bCs/>
          <w:spacing w:val="2"/>
          <w:sz w:val="28"/>
          <w:szCs w:val="28"/>
        </w:rPr>
        <w:t>验收和工程试车</w:t>
      </w:r>
    </w:p>
    <w:p w14:paraId="10EC0E38">
      <w:pPr>
        <w:spacing w:before="71" w:line="233" w:lineRule="auto"/>
        <w:ind w:left="31"/>
        <w:outlineLvl w:val="1"/>
        <w:rPr>
          <w:rFonts w:ascii="黑体" w:hAnsi="黑体" w:eastAsia="黑体" w:cs="黑体"/>
          <w:sz w:val="24"/>
          <w:szCs w:val="24"/>
        </w:rPr>
      </w:pPr>
      <w:bookmarkStart w:id="446" w:name="bookmark695"/>
      <w:bookmarkEnd w:id="446"/>
      <w:r>
        <w:rPr>
          <w:rFonts w:ascii="Times New Roman" w:hAnsi="Times New Roman" w:eastAsia="Times New Roman" w:cs="Times New Roman"/>
          <w:b/>
          <w:bCs/>
          <w:spacing w:val="2"/>
          <w:sz w:val="24"/>
          <w:szCs w:val="24"/>
        </w:rPr>
        <w:t xml:space="preserve">13.1 </w:t>
      </w:r>
      <w:r>
        <w:rPr>
          <w:rFonts w:ascii="黑体" w:hAnsi="黑体" w:eastAsia="黑体" w:cs="黑体"/>
          <w:b/>
          <w:bCs/>
          <w:spacing w:val="2"/>
          <w:sz w:val="24"/>
          <w:szCs w:val="24"/>
        </w:rPr>
        <w:t>分部分项工程验收</w:t>
      </w:r>
    </w:p>
    <w:p w14:paraId="525AB3FE">
      <w:pPr>
        <w:spacing w:before="128" w:line="336" w:lineRule="auto"/>
        <w:ind w:left="24" w:firstLine="436"/>
        <w:rPr>
          <w:rFonts w:ascii="宋体" w:hAnsi="宋体" w:eastAsia="宋体" w:cs="宋体"/>
          <w:sz w:val="21"/>
          <w:szCs w:val="21"/>
        </w:rPr>
      </w:pPr>
      <w:r>
        <w:rPr>
          <w:rFonts w:ascii="Times New Roman" w:hAnsi="Times New Roman" w:eastAsia="Times New Roman" w:cs="Times New Roman"/>
          <w:spacing w:val="-3"/>
          <w:sz w:val="21"/>
          <w:szCs w:val="21"/>
        </w:rPr>
        <w:t xml:space="preserve">13.1.1  </w:t>
      </w:r>
      <w:r>
        <w:rPr>
          <w:rFonts w:ascii="宋体" w:hAnsi="宋体" w:eastAsia="宋体" w:cs="宋体"/>
          <w:spacing w:val="-3"/>
          <w:sz w:val="21"/>
          <w:szCs w:val="21"/>
        </w:rPr>
        <w:t>分部分项工程质量应符合国家有关工程施工验收规</w:t>
      </w:r>
      <w:r>
        <w:rPr>
          <w:rFonts w:ascii="宋体" w:hAnsi="宋体" w:eastAsia="宋体" w:cs="宋体"/>
          <w:spacing w:val="-4"/>
          <w:sz w:val="21"/>
          <w:szCs w:val="21"/>
        </w:rPr>
        <w:t>范、标准及合同约定，</w:t>
      </w:r>
      <w:r>
        <w:rPr>
          <w:rFonts w:ascii="宋体" w:hAnsi="宋体" w:eastAsia="宋体" w:cs="宋体"/>
          <w:spacing w:val="-48"/>
          <w:sz w:val="21"/>
          <w:szCs w:val="21"/>
        </w:rPr>
        <w:t xml:space="preserve"> </w:t>
      </w:r>
      <w:r>
        <w:rPr>
          <w:rFonts w:ascii="宋体" w:hAnsi="宋体" w:eastAsia="宋体" w:cs="宋体"/>
          <w:spacing w:val="-4"/>
          <w:sz w:val="21"/>
          <w:szCs w:val="21"/>
        </w:rPr>
        <w:t>承包人</w:t>
      </w:r>
      <w:r>
        <w:rPr>
          <w:rFonts w:ascii="宋体" w:hAnsi="宋体" w:eastAsia="宋体" w:cs="宋体"/>
          <w:spacing w:val="-2"/>
          <w:sz w:val="21"/>
          <w:szCs w:val="21"/>
        </w:rPr>
        <w:t>应按照施工组织设计的要求完成分部分项工程施工。</w:t>
      </w:r>
    </w:p>
    <w:p w14:paraId="34D60257">
      <w:pPr>
        <w:spacing w:before="31" w:line="351" w:lineRule="auto"/>
        <w:ind w:left="20" w:right="4" w:firstLine="440"/>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13.1.2  </w:t>
      </w:r>
      <w:r>
        <w:rPr>
          <w:rFonts w:ascii="宋体" w:hAnsi="宋体" w:eastAsia="宋体" w:cs="宋体"/>
          <w:spacing w:val="1"/>
          <w:sz w:val="21"/>
          <w:szCs w:val="21"/>
        </w:rPr>
        <w:t>除专用合同条款另有约定外，</w:t>
      </w:r>
      <w:r>
        <w:rPr>
          <w:rFonts w:ascii="宋体" w:hAnsi="宋体" w:eastAsia="宋体" w:cs="宋体"/>
          <w:spacing w:val="-53"/>
          <w:sz w:val="21"/>
          <w:szCs w:val="21"/>
        </w:rPr>
        <w:t xml:space="preserve"> </w:t>
      </w:r>
      <w:r>
        <w:rPr>
          <w:rFonts w:ascii="宋体" w:hAnsi="宋体" w:eastAsia="宋体" w:cs="宋体"/>
          <w:spacing w:val="1"/>
          <w:sz w:val="21"/>
          <w:szCs w:val="21"/>
        </w:rPr>
        <w:t>分部分项工程经承包人自检合格并具备验收条件</w:t>
      </w:r>
      <w:r>
        <w:rPr>
          <w:rFonts w:ascii="宋体" w:hAnsi="宋体" w:eastAsia="宋体" w:cs="宋体"/>
          <w:sz w:val="21"/>
          <w:szCs w:val="21"/>
        </w:rPr>
        <w:t>的，承包人应提前</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小时通知监理人进行验收。监理人不能按时进行验收的，</w:t>
      </w:r>
      <w:r>
        <w:rPr>
          <w:rFonts w:ascii="宋体" w:hAnsi="宋体" w:eastAsia="宋体" w:cs="宋体"/>
          <w:spacing w:val="-1"/>
          <w:sz w:val="21"/>
          <w:szCs w:val="21"/>
        </w:rPr>
        <w:t>应在验收前</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38"/>
          <w:sz w:val="21"/>
          <w:szCs w:val="21"/>
        </w:rPr>
        <w:t xml:space="preserve"> </w:t>
      </w:r>
      <w:r>
        <w:rPr>
          <w:rFonts w:ascii="宋体" w:hAnsi="宋体" w:eastAsia="宋体" w:cs="宋体"/>
          <w:spacing w:val="-2"/>
          <w:sz w:val="21"/>
          <w:szCs w:val="21"/>
        </w:rPr>
        <w:t>小时向承包人提交书面延期要求，但延期不能超过</w:t>
      </w:r>
      <w:r>
        <w:rPr>
          <w:rFonts w:ascii="宋体" w:hAnsi="宋体" w:eastAsia="宋体" w:cs="宋体"/>
          <w:spacing w:val="-46"/>
          <w:sz w:val="21"/>
          <w:szCs w:val="21"/>
        </w:rPr>
        <w:t xml:space="preserve"> </w:t>
      </w:r>
      <w:r>
        <w:rPr>
          <w:rFonts w:ascii="Times New Roman" w:hAnsi="Times New Roman" w:eastAsia="Times New Roman" w:cs="Times New Roman"/>
          <w:spacing w:val="-2"/>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小时。监理人未按时进行验收，也未提出延期要求的，承包人有权自行验收，监理人应认可验收结果。分部分项工程未经验收的，不得进入下一道工序施工。</w:t>
      </w:r>
    </w:p>
    <w:p w14:paraId="66E26C25">
      <w:pPr>
        <w:spacing w:before="1" w:line="220" w:lineRule="auto"/>
        <w:ind w:left="447"/>
        <w:rPr>
          <w:rFonts w:ascii="宋体" w:hAnsi="宋体" w:eastAsia="宋体" w:cs="宋体"/>
          <w:sz w:val="21"/>
          <w:szCs w:val="21"/>
        </w:rPr>
      </w:pPr>
      <w:r>
        <w:rPr>
          <w:rFonts w:ascii="宋体" w:hAnsi="宋体" w:eastAsia="宋体" w:cs="宋体"/>
          <w:spacing w:val="-1"/>
          <w:sz w:val="21"/>
          <w:szCs w:val="21"/>
        </w:rPr>
        <w:t>分部分项工程的验收资料应当作为竣工资料的组</w:t>
      </w:r>
      <w:r>
        <w:rPr>
          <w:rFonts w:ascii="宋体" w:hAnsi="宋体" w:eastAsia="宋体" w:cs="宋体"/>
          <w:spacing w:val="-2"/>
          <w:sz w:val="21"/>
          <w:szCs w:val="21"/>
        </w:rPr>
        <w:t>成部分。</w:t>
      </w:r>
    </w:p>
    <w:p w14:paraId="630F6327">
      <w:pPr>
        <w:spacing w:before="130" w:line="232" w:lineRule="auto"/>
        <w:ind w:left="31"/>
        <w:outlineLvl w:val="1"/>
        <w:rPr>
          <w:rFonts w:ascii="黑体" w:hAnsi="黑体" w:eastAsia="黑体" w:cs="黑体"/>
          <w:sz w:val="24"/>
          <w:szCs w:val="24"/>
        </w:rPr>
      </w:pPr>
      <w:bookmarkStart w:id="447" w:name="bookmark388"/>
      <w:bookmarkEnd w:id="447"/>
      <w:r>
        <w:rPr>
          <w:rFonts w:ascii="Times New Roman" w:hAnsi="Times New Roman" w:eastAsia="Times New Roman" w:cs="Times New Roman"/>
          <w:b/>
          <w:bCs/>
          <w:spacing w:val="2"/>
          <w:sz w:val="24"/>
          <w:szCs w:val="24"/>
        </w:rPr>
        <w:t xml:space="preserve">13.2 </w:t>
      </w:r>
      <w:r>
        <w:rPr>
          <w:rFonts w:ascii="黑体" w:hAnsi="黑体" w:eastAsia="黑体" w:cs="黑体"/>
          <w:b/>
          <w:bCs/>
          <w:spacing w:val="2"/>
          <w:sz w:val="24"/>
          <w:szCs w:val="24"/>
        </w:rPr>
        <w:t>竣工验收</w:t>
      </w:r>
    </w:p>
    <w:p w14:paraId="60F95019">
      <w:pPr>
        <w:spacing w:before="130"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13.2.1</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竣工验收条件</w:t>
      </w:r>
    </w:p>
    <w:p w14:paraId="5E57487B">
      <w:pPr>
        <w:spacing w:before="124" w:line="220" w:lineRule="auto"/>
        <w:ind w:left="447"/>
        <w:rPr>
          <w:rFonts w:ascii="宋体" w:hAnsi="宋体" w:eastAsia="宋体" w:cs="宋体"/>
          <w:sz w:val="21"/>
          <w:szCs w:val="21"/>
        </w:rPr>
      </w:pPr>
      <w:r>
        <w:rPr>
          <w:rFonts w:ascii="宋体" w:hAnsi="宋体" w:eastAsia="宋体" w:cs="宋体"/>
          <w:spacing w:val="-3"/>
          <w:sz w:val="21"/>
          <w:szCs w:val="21"/>
        </w:rPr>
        <w:t>工程具备以下条件的，承包人可以申请竣工验收：</w:t>
      </w:r>
    </w:p>
    <w:p w14:paraId="1B72039B">
      <w:pPr>
        <w:spacing w:before="156" w:line="348" w:lineRule="auto"/>
        <w:ind w:left="25" w:right="31"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）除发包人同意的甩项工作和缺陷修补工作外，合同范围内的全部工程以及有关工</w:t>
      </w:r>
      <w:r>
        <w:rPr>
          <w:rFonts w:ascii="宋体" w:hAnsi="宋体" w:eastAsia="宋体" w:cs="宋体"/>
          <w:spacing w:val="-1"/>
          <w:sz w:val="21"/>
          <w:szCs w:val="21"/>
        </w:rPr>
        <w:t>作，包括合同要求的试验、试运行以及检验均已</w:t>
      </w:r>
      <w:r>
        <w:rPr>
          <w:rFonts w:ascii="宋体" w:hAnsi="宋体" w:eastAsia="宋体" w:cs="宋体"/>
          <w:spacing w:val="-2"/>
          <w:sz w:val="21"/>
          <w:szCs w:val="21"/>
        </w:rPr>
        <w:t>完成，并符合合同要求；</w:t>
      </w:r>
    </w:p>
    <w:p w14:paraId="1987F562">
      <w:pPr>
        <w:spacing w:before="4"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）已按合同约定编制了甩项工作和缺陷修补</w:t>
      </w:r>
      <w:r>
        <w:rPr>
          <w:rFonts w:ascii="宋体" w:hAnsi="宋体" w:eastAsia="宋体" w:cs="宋体"/>
          <w:spacing w:val="-2"/>
          <w:sz w:val="21"/>
          <w:szCs w:val="21"/>
        </w:rPr>
        <w:t>工作清单以及相应的施工计划；</w:t>
      </w:r>
    </w:p>
    <w:p w14:paraId="3F537627">
      <w:pPr>
        <w:spacing w:before="141"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）已按合同约定的内容和份数备齐竣工资料。</w:t>
      </w:r>
    </w:p>
    <w:p w14:paraId="6F795A74">
      <w:pPr>
        <w:spacing w:before="140"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13.2.2</w:t>
      </w:r>
      <w:r>
        <w:rPr>
          <w:rFonts w:ascii="Times New Roman" w:hAnsi="Times New Roman" w:eastAsia="Times New Roman" w:cs="Times New Roman"/>
          <w:spacing w:val="25"/>
          <w:sz w:val="21"/>
          <w:szCs w:val="21"/>
        </w:rPr>
        <w:t xml:space="preserve"> </w:t>
      </w:r>
      <w:r>
        <w:rPr>
          <w:rFonts w:ascii="宋体" w:hAnsi="宋体" w:eastAsia="宋体" w:cs="宋体"/>
          <w:spacing w:val="-2"/>
          <w:sz w:val="21"/>
          <w:szCs w:val="21"/>
        </w:rPr>
        <w:t>竣工验收程序</w:t>
      </w:r>
    </w:p>
    <w:p w14:paraId="74B3EFC4">
      <w:pPr>
        <w:spacing w:before="125" w:line="220" w:lineRule="auto"/>
        <w:ind w:left="457"/>
        <w:rPr>
          <w:rFonts w:ascii="宋体" w:hAnsi="宋体" w:eastAsia="宋体" w:cs="宋体"/>
          <w:sz w:val="21"/>
          <w:szCs w:val="21"/>
        </w:rPr>
      </w:pPr>
      <w:r>
        <w:rPr>
          <w:rFonts w:ascii="宋体" w:hAnsi="宋体" w:eastAsia="宋体" w:cs="宋体"/>
          <w:spacing w:val="-2"/>
          <w:sz w:val="21"/>
          <w:szCs w:val="21"/>
        </w:rPr>
        <w:t>除专用合同条款另有约定外，承包人申请竣工验收的，应当按照以下程序进行：</w:t>
      </w:r>
    </w:p>
    <w:p w14:paraId="6F84901D">
      <w:pPr>
        <w:spacing w:before="157" w:line="351" w:lineRule="auto"/>
        <w:ind w:left="23" w:right="6"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）承包人向监理人报送竣工验收申请报告，监理</w:t>
      </w:r>
      <w:r>
        <w:rPr>
          <w:rFonts w:ascii="宋体" w:hAnsi="宋体" w:eastAsia="宋体" w:cs="宋体"/>
          <w:spacing w:val="-2"/>
          <w:sz w:val="21"/>
          <w:szCs w:val="21"/>
        </w:rPr>
        <w:t>人应在收到竣工验收申请报告后</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14</w:t>
      </w:r>
      <w:r>
        <w:rPr>
          <w:rFonts w:ascii="宋体" w:hAnsi="宋体" w:eastAsia="宋体" w:cs="宋体"/>
          <w:spacing w:val="-4"/>
          <w:sz w:val="21"/>
          <w:szCs w:val="21"/>
        </w:rPr>
        <w:t>天内完成审查并报送发包人。监理人审查后认为尚不具备验收条件的，</w:t>
      </w:r>
      <w:r>
        <w:rPr>
          <w:rFonts w:ascii="宋体" w:hAnsi="宋体" w:eastAsia="宋体" w:cs="宋体"/>
          <w:spacing w:val="-25"/>
          <w:sz w:val="21"/>
          <w:szCs w:val="21"/>
        </w:rPr>
        <w:t xml:space="preserve"> </w:t>
      </w:r>
      <w:r>
        <w:rPr>
          <w:rFonts w:ascii="宋体" w:hAnsi="宋体" w:eastAsia="宋体" w:cs="宋体"/>
          <w:spacing w:val="-4"/>
          <w:sz w:val="21"/>
          <w:szCs w:val="21"/>
        </w:rPr>
        <w:t>应通知承包人在竣工</w:t>
      </w:r>
      <w:r>
        <w:rPr>
          <w:rFonts w:ascii="宋体" w:hAnsi="宋体" w:eastAsia="宋体" w:cs="宋体"/>
          <w:spacing w:val="-2"/>
          <w:sz w:val="21"/>
          <w:szCs w:val="21"/>
        </w:rPr>
        <w:t>验收前承包人还需完成的工作内容，承包人应在完成监理人通知的全部工作内容后，再次提</w:t>
      </w:r>
      <w:r>
        <w:rPr>
          <w:rFonts w:ascii="宋体" w:hAnsi="宋体" w:eastAsia="宋体" w:cs="宋体"/>
          <w:spacing w:val="-3"/>
          <w:sz w:val="21"/>
          <w:szCs w:val="21"/>
        </w:rPr>
        <w:t>交竣工验收申请报告。</w:t>
      </w:r>
    </w:p>
    <w:p w14:paraId="09A11FDF">
      <w:pPr>
        <w:spacing w:before="8" w:line="344" w:lineRule="auto"/>
        <w:ind w:left="25" w:right="19" w:firstLine="42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）监理人审查后认为已具备竣工验收条件的，应将竣工验收申请报告</w:t>
      </w:r>
      <w:r>
        <w:rPr>
          <w:rFonts w:ascii="宋体" w:hAnsi="宋体" w:eastAsia="宋体" w:cs="宋体"/>
          <w:spacing w:val="-2"/>
          <w:sz w:val="21"/>
          <w:szCs w:val="21"/>
        </w:rPr>
        <w:t>提交发包人，</w:t>
      </w:r>
      <w:r>
        <w:rPr>
          <w:rFonts w:ascii="宋体" w:hAnsi="宋体" w:eastAsia="宋体" w:cs="宋体"/>
          <w:sz w:val="21"/>
          <w:szCs w:val="21"/>
        </w:rPr>
        <w:t>发包人应在收到经监理人审核的竣工验收申请报告后</w:t>
      </w:r>
      <w:r>
        <w:rPr>
          <w:rFonts w:ascii="宋体" w:hAnsi="宋体" w:eastAsia="宋体" w:cs="宋体"/>
          <w:spacing w:val="-44"/>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天内</w:t>
      </w:r>
      <w:r>
        <w:rPr>
          <w:rFonts w:ascii="宋体" w:hAnsi="宋体" w:eastAsia="宋体" w:cs="宋体"/>
          <w:spacing w:val="-1"/>
          <w:sz w:val="21"/>
          <w:szCs w:val="21"/>
        </w:rPr>
        <w:t>审批完毕并组织监理人、承包</w:t>
      </w:r>
      <w:r>
        <w:rPr>
          <w:rFonts w:ascii="宋体" w:hAnsi="宋体" w:eastAsia="宋体" w:cs="宋体"/>
          <w:spacing w:val="-2"/>
          <w:sz w:val="21"/>
          <w:szCs w:val="21"/>
        </w:rPr>
        <w:t>人、设计人等相关单位完成竣工验收。</w:t>
      </w:r>
    </w:p>
    <w:p w14:paraId="4F17BC31">
      <w:pPr>
        <w:spacing w:before="26" w:line="233" w:lineRule="auto"/>
        <w:ind w:right="4"/>
        <w:jc w:val="right"/>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）竣工验收合格的，发包人应在验收合格后</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天内向承包</w:t>
      </w:r>
      <w:r>
        <w:rPr>
          <w:rFonts w:ascii="宋体" w:hAnsi="宋体" w:eastAsia="宋体" w:cs="宋体"/>
          <w:spacing w:val="-4"/>
          <w:sz w:val="21"/>
          <w:szCs w:val="21"/>
        </w:rPr>
        <w:t>人签发工程接收证书。发</w:t>
      </w:r>
    </w:p>
    <w:p w14:paraId="4C319F3A">
      <w:pPr>
        <w:spacing w:line="233" w:lineRule="auto"/>
        <w:rPr>
          <w:rFonts w:ascii="宋体" w:hAnsi="宋体" w:eastAsia="宋体" w:cs="宋体"/>
          <w:sz w:val="21"/>
          <w:szCs w:val="21"/>
        </w:rPr>
        <w:sectPr>
          <w:footerReference r:id="rId188" w:type="default"/>
          <w:pgSz w:w="11910" w:h="16845"/>
          <w:pgMar w:top="400" w:right="1765" w:bottom="1110" w:left="1786" w:header="0" w:footer="883" w:gutter="0"/>
          <w:cols w:space="720" w:num="1"/>
        </w:sectPr>
      </w:pPr>
    </w:p>
    <w:p w14:paraId="65242660">
      <w:pPr>
        <w:pStyle w:val="2"/>
        <w:spacing w:line="275" w:lineRule="auto"/>
      </w:pPr>
    </w:p>
    <w:p w14:paraId="09C1B9D3">
      <w:pPr>
        <w:pStyle w:val="2"/>
        <w:spacing w:line="275" w:lineRule="auto"/>
      </w:pPr>
    </w:p>
    <w:p w14:paraId="43AF0ED2">
      <w:pPr>
        <w:pStyle w:val="2"/>
        <w:spacing w:line="275" w:lineRule="auto"/>
      </w:pPr>
    </w:p>
    <w:p w14:paraId="39933A4A">
      <w:pPr>
        <w:pStyle w:val="2"/>
        <w:spacing w:line="275" w:lineRule="auto"/>
      </w:pPr>
    </w:p>
    <w:p w14:paraId="0384A396">
      <w:pPr>
        <w:spacing w:before="69" w:line="348" w:lineRule="auto"/>
        <w:ind w:left="24" w:right="50"/>
        <w:rPr>
          <w:rFonts w:ascii="宋体" w:hAnsi="宋体" w:eastAsia="宋体" w:cs="宋体"/>
          <w:sz w:val="21"/>
          <w:szCs w:val="21"/>
        </w:rPr>
      </w:pPr>
      <w:r>
        <w:rPr>
          <w:rFonts w:ascii="宋体" w:hAnsi="宋体" w:eastAsia="宋体" w:cs="宋体"/>
          <w:spacing w:val="-1"/>
          <w:sz w:val="21"/>
          <w:szCs w:val="21"/>
        </w:rPr>
        <w:t>包人无正当理由逾期不颁发工程接收证书的，自验收合格后第</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15</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天起视为已颁发工程接收</w:t>
      </w:r>
      <w:r>
        <w:rPr>
          <w:rFonts w:ascii="宋体" w:hAnsi="宋体" w:eastAsia="宋体" w:cs="宋体"/>
          <w:spacing w:val="-9"/>
          <w:sz w:val="21"/>
          <w:szCs w:val="21"/>
        </w:rPr>
        <w:t>证书。</w:t>
      </w:r>
    </w:p>
    <w:p w14:paraId="79CB21F6">
      <w:pPr>
        <w:spacing w:before="6" w:line="351" w:lineRule="auto"/>
        <w:ind w:left="25"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）竣工验收不合格的，监理人应按照验收意见发出指示，要求承包人对</w:t>
      </w:r>
      <w:r>
        <w:rPr>
          <w:rFonts w:ascii="宋体" w:hAnsi="宋体" w:eastAsia="宋体" w:cs="宋体"/>
          <w:spacing w:val="-1"/>
          <w:sz w:val="21"/>
          <w:szCs w:val="21"/>
        </w:rPr>
        <w:t>不合格工程</w:t>
      </w:r>
      <w:r>
        <w:rPr>
          <w:rFonts w:ascii="宋体" w:hAnsi="宋体" w:eastAsia="宋体" w:cs="宋体"/>
          <w:spacing w:val="-2"/>
          <w:sz w:val="21"/>
          <w:szCs w:val="21"/>
        </w:rPr>
        <w:t>返工、修复或采取其他补救措施，由此增加的费用和（或）延误的工期由承包人承担。承包</w:t>
      </w:r>
      <w:r>
        <w:rPr>
          <w:rFonts w:ascii="宋体" w:hAnsi="宋体" w:eastAsia="宋体" w:cs="宋体"/>
          <w:spacing w:val="-1"/>
          <w:sz w:val="21"/>
          <w:szCs w:val="21"/>
        </w:rPr>
        <w:t>人在完成不合格工程的返工、修复或采取其他补救措施后，应重新提交竣工验收申请报告，</w:t>
      </w:r>
      <w:r>
        <w:rPr>
          <w:rFonts w:ascii="宋体" w:hAnsi="宋体" w:eastAsia="宋体" w:cs="宋体"/>
          <w:spacing w:val="-2"/>
          <w:sz w:val="21"/>
          <w:szCs w:val="21"/>
        </w:rPr>
        <w:t>并按本项约定的程序重新进行验收。</w:t>
      </w:r>
    </w:p>
    <w:p w14:paraId="230C04C5">
      <w:pPr>
        <w:spacing w:before="7" w:line="352" w:lineRule="auto"/>
        <w:ind w:left="24" w:right="44" w:firstLine="426"/>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）工程未经验收或验收不合格，发包人擅自使用的，应在转移占有工程后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天内向</w:t>
      </w:r>
      <w:r>
        <w:rPr>
          <w:rFonts w:ascii="宋体" w:hAnsi="宋体" w:eastAsia="宋体" w:cs="宋体"/>
          <w:spacing w:val="-2"/>
          <w:sz w:val="21"/>
          <w:szCs w:val="21"/>
        </w:rPr>
        <w:t>承包人颁发工程接收证书；发包人无正当理由逾期不颁发工程接收证书的，自转移占有后第</w:t>
      </w:r>
      <w:r>
        <w:rPr>
          <w:rFonts w:ascii="Times New Roman" w:hAnsi="Times New Roman" w:eastAsia="Times New Roman" w:cs="Times New Roman"/>
          <w:spacing w:val="-3"/>
          <w:sz w:val="21"/>
          <w:szCs w:val="21"/>
        </w:rPr>
        <w:t>15</w:t>
      </w:r>
      <w:r>
        <w:rPr>
          <w:rFonts w:ascii="Times New Roman" w:hAnsi="Times New Roman" w:eastAsia="Times New Roman" w:cs="Times New Roman"/>
          <w:spacing w:val="24"/>
          <w:w w:val="101"/>
          <w:sz w:val="21"/>
          <w:szCs w:val="21"/>
        </w:rPr>
        <w:t xml:space="preserve"> </w:t>
      </w:r>
      <w:r>
        <w:rPr>
          <w:rFonts w:ascii="宋体" w:hAnsi="宋体" w:eastAsia="宋体" w:cs="宋体"/>
          <w:spacing w:val="-3"/>
          <w:sz w:val="21"/>
          <w:szCs w:val="21"/>
        </w:rPr>
        <w:t>天起视为已颁发工程接收证书。</w:t>
      </w:r>
    </w:p>
    <w:p w14:paraId="5C6EF69C">
      <w:pPr>
        <w:spacing w:line="351" w:lineRule="auto"/>
        <w:ind w:left="25" w:right="44" w:firstLine="432"/>
        <w:jc w:val="both"/>
        <w:rPr>
          <w:rFonts w:ascii="宋体" w:hAnsi="宋体" w:eastAsia="宋体" w:cs="宋体"/>
          <w:sz w:val="21"/>
          <w:szCs w:val="21"/>
        </w:rPr>
      </w:pPr>
      <w:r>
        <w:rPr>
          <w:rFonts w:ascii="宋体" w:hAnsi="宋体" w:eastAsia="宋体" w:cs="宋体"/>
          <w:spacing w:val="-2"/>
          <w:sz w:val="21"/>
          <w:szCs w:val="21"/>
        </w:rPr>
        <w:t>除专用合同条款另有约定外，发包人不按照</w:t>
      </w:r>
      <w:r>
        <w:rPr>
          <w:rFonts w:ascii="宋体" w:hAnsi="宋体" w:eastAsia="宋体" w:cs="宋体"/>
          <w:spacing w:val="-3"/>
          <w:sz w:val="21"/>
          <w:szCs w:val="21"/>
        </w:rPr>
        <w:t>本项约定组织竣工验收、颁发工程接收证书</w:t>
      </w:r>
      <w:r>
        <w:rPr>
          <w:rFonts w:ascii="宋体" w:hAnsi="宋体" w:eastAsia="宋体" w:cs="宋体"/>
          <w:spacing w:val="-2"/>
          <w:sz w:val="21"/>
          <w:szCs w:val="21"/>
        </w:rPr>
        <w:t>的，每逾期一天，应以签约合同价为基数，按照中国人民银行发布的同期同类贷</w:t>
      </w:r>
      <w:r>
        <w:rPr>
          <w:rFonts w:ascii="宋体" w:hAnsi="宋体" w:eastAsia="宋体" w:cs="宋体"/>
          <w:spacing w:val="-3"/>
          <w:sz w:val="21"/>
          <w:szCs w:val="21"/>
        </w:rPr>
        <w:t>款基准利率</w:t>
      </w:r>
      <w:r>
        <w:rPr>
          <w:rFonts w:ascii="宋体" w:hAnsi="宋体" w:eastAsia="宋体" w:cs="宋体"/>
          <w:spacing w:val="-6"/>
          <w:sz w:val="21"/>
          <w:szCs w:val="21"/>
        </w:rPr>
        <w:t>支付违约金。</w:t>
      </w:r>
    </w:p>
    <w:p w14:paraId="135584DB">
      <w:pPr>
        <w:spacing w:before="3"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13.2.3</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竣工日期</w:t>
      </w:r>
    </w:p>
    <w:p w14:paraId="02422477">
      <w:pPr>
        <w:spacing w:before="142" w:line="349" w:lineRule="auto"/>
        <w:ind w:left="23" w:right="44" w:firstLine="423"/>
        <w:rPr>
          <w:rFonts w:ascii="宋体" w:hAnsi="宋体" w:eastAsia="宋体" w:cs="宋体"/>
          <w:sz w:val="21"/>
          <w:szCs w:val="21"/>
        </w:rPr>
      </w:pPr>
      <w:r>
        <w:rPr>
          <w:rFonts w:ascii="宋体" w:hAnsi="宋体" w:eastAsia="宋体" w:cs="宋体"/>
          <w:spacing w:val="-2"/>
          <w:sz w:val="21"/>
          <w:szCs w:val="21"/>
        </w:rPr>
        <w:t>工程经竣工验收合格的，以承包人提交竣工验收申请报告之日为实</w:t>
      </w:r>
      <w:r>
        <w:rPr>
          <w:rFonts w:ascii="宋体" w:hAnsi="宋体" w:eastAsia="宋体" w:cs="宋体"/>
          <w:spacing w:val="-3"/>
          <w:sz w:val="21"/>
          <w:szCs w:val="21"/>
        </w:rPr>
        <w:t>际竣工日期，并在工</w:t>
      </w:r>
      <w:r>
        <w:rPr>
          <w:rFonts w:ascii="宋体" w:hAnsi="宋体" w:eastAsia="宋体" w:cs="宋体"/>
          <w:sz w:val="21"/>
          <w:szCs w:val="21"/>
        </w:rPr>
        <w:t>程接收证书中载明；因发包人原因，未在监理人收到承包人提交的竣工</w:t>
      </w:r>
      <w:r>
        <w:rPr>
          <w:rFonts w:ascii="宋体" w:hAnsi="宋体" w:eastAsia="宋体" w:cs="宋体"/>
          <w:spacing w:val="-1"/>
          <w:sz w:val="21"/>
          <w:szCs w:val="21"/>
        </w:rPr>
        <w:t>验收申请报告</w:t>
      </w:r>
      <w:r>
        <w:rPr>
          <w:rFonts w:ascii="宋体" w:hAnsi="宋体" w:eastAsia="宋体" w:cs="宋体"/>
          <w:spacing w:val="-47"/>
          <w:sz w:val="21"/>
          <w:szCs w:val="21"/>
        </w:rPr>
        <w:t xml:space="preserve"> </w:t>
      </w:r>
      <w:r>
        <w:rPr>
          <w:rFonts w:ascii="Times New Roman" w:hAnsi="Times New Roman" w:eastAsia="Times New Roman" w:cs="Times New Roman"/>
          <w:spacing w:val="-1"/>
          <w:sz w:val="21"/>
          <w:szCs w:val="21"/>
        </w:rPr>
        <w:t>42</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w:t>
      </w:r>
      <w:r>
        <w:rPr>
          <w:rFonts w:ascii="宋体" w:hAnsi="宋体" w:eastAsia="宋体" w:cs="宋体"/>
          <w:spacing w:val="-2"/>
          <w:sz w:val="21"/>
          <w:szCs w:val="21"/>
        </w:rPr>
        <w:t>内完成竣工验收，或完成竣工验收不予签发工程接收证书的，以提交竣工验</w:t>
      </w:r>
      <w:r>
        <w:rPr>
          <w:rFonts w:ascii="宋体" w:hAnsi="宋体" w:eastAsia="宋体" w:cs="宋体"/>
          <w:spacing w:val="-3"/>
          <w:sz w:val="21"/>
          <w:szCs w:val="21"/>
        </w:rPr>
        <w:t>收申请报告的日</w:t>
      </w:r>
      <w:r>
        <w:rPr>
          <w:rFonts w:ascii="宋体" w:hAnsi="宋体" w:eastAsia="宋体" w:cs="宋体"/>
          <w:spacing w:val="-2"/>
          <w:sz w:val="21"/>
          <w:szCs w:val="21"/>
        </w:rPr>
        <w:t>期为实际竣工日期；工程未经竣工验收，发包人擅自使用的，以转移占有工程之日为实际竣</w:t>
      </w:r>
      <w:r>
        <w:rPr>
          <w:rFonts w:ascii="宋体" w:hAnsi="宋体" w:eastAsia="宋体" w:cs="宋体"/>
          <w:spacing w:val="-7"/>
          <w:sz w:val="21"/>
          <w:szCs w:val="21"/>
        </w:rPr>
        <w:t>工日期。</w:t>
      </w:r>
    </w:p>
    <w:p w14:paraId="1071000E">
      <w:pPr>
        <w:spacing w:before="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13.2.4</w:t>
      </w:r>
      <w:r>
        <w:rPr>
          <w:rFonts w:ascii="Times New Roman" w:hAnsi="Times New Roman" w:eastAsia="Times New Roman" w:cs="Times New Roman"/>
          <w:spacing w:val="49"/>
          <w:w w:val="101"/>
          <w:sz w:val="21"/>
          <w:szCs w:val="21"/>
        </w:rPr>
        <w:t xml:space="preserve"> </w:t>
      </w:r>
      <w:r>
        <w:rPr>
          <w:rFonts w:ascii="宋体" w:hAnsi="宋体" w:eastAsia="宋体" w:cs="宋体"/>
          <w:spacing w:val="-1"/>
          <w:sz w:val="21"/>
          <w:szCs w:val="21"/>
        </w:rPr>
        <w:t>拒绝接收全部或部分工程</w:t>
      </w:r>
    </w:p>
    <w:p w14:paraId="72A844A0">
      <w:pPr>
        <w:spacing w:before="139" w:line="350" w:lineRule="auto"/>
        <w:ind w:left="23" w:right="44" w:firstLine="420"/>
        <w:rPr>
          <w:rFonts w:ascii="宋体" w:hAnsi="宋体" w:eastAsia="宋体" w:cs="宋体"/>
          <w:sz w:val="21"/>
          <w:szCs w:val="21"/>
        </w:rPr>
      </w:pPr>
      <w:r>
        <w:rPr>
          <w:rFonts w:ascii="宋体" w:hAnsi="宋体" w:eastAsia="宋体" w:cs="宋体"/>
          <w:spacing w:val="-2"/>
          <w:sz w:val="21"/>
          <w:szCs w:val="21"/>
        </w:rPr>
        <w:t>对于竣工验收不合格的工程，承包人完成整改后，应当重新进行</w:t>
      </w:r>
      <w:r>
        <w:rPr>
          <w:rFonts w:ascii="宋体" w:hAnsi="宋体" w:eastAsia="宋体" w:cs="宋体"/>
          <w:spacing w:val="-3"/>
          <w:sz w:val="21"/>
          <w:szCs w:val="21"/>
        </w:rPr>
        <w:t>竣工验收，经重新组织</w:t>
      </w:r>
      <w:r>
        <w:rPr>
          <w:rFonts w:ascii="宋体" w:hAnsi="宋体" w:eastAsia="宋体" w:cs="宋体"/>
          <w:spacing w:val="-2"/>
          <w:sz w:val="21"/>
          <w:szCs w:val="21"/>
        </w:rPr>
        <w:t>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FEEC96D">
      <w:pPr>
        <w:spacing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13.2.5</w:t>
      </w:r>
      <w:r>
        <w:rPr>
          <w:rFonts w:ascii="Times New Roman" w:hAnsi="Times New Roman" w:eastAsia="Times New Roman" w:cs="Times New Roman"/>
          <w:spacing w:val="51"/>
          <w:sz w:val="21"/>
          <w:szCs w:val="21"/>
        </w:rPr>
        <w:t xml:space="preserve"> </w:t>
      </w:r>
      <w:r>
        <w:rPr>
          <w:rFonts w:ascii="宋体" w:hAnsi="宋体" w:eastAsia="宋体" w:cs="宋体"/>
          <w:spacing w:val="-1"/>
          <w:sz w:val="21"/>
          <w:szCs w:val="21"/>
        </w:rPr>
        <w:t>移交、接收全部与部分工程</w:t>
      </w:r>
    </w:p>
    <w:p w14:paraId="63DCAABC">
      <w:pPr>
        <w:spacing w:before="140" w:line="349" w:lineRule="auto"/>
        <w:ind w:left="25" w:right="36" w:firstLine="432"/>
        <w:rPr>
          <w:rFonts w:ascii="宋体" w:hAnsi="宋体" w:eastAsia="宋体" w:cs="宋体"/>
          <w:sz w:val="21"/>
          <w:szCs w:val="21"/>
        </w:rPr>
      </w:pPr>
      <w:r>
        <w:rPr>
          <w:rFonts w:ascii="宋体" w:hAnsi="宋体" w:eastAsia="宋体" w:cs="宋体"/>
          <w:spacing w:val="-3"/>
          <w:sz w:val="21"/>
          <w:szCs w:val="21"/>
        </w:rPr>
        <w:t>除专用合同条款另有约定外，合同当事人应当在颁发工程接收证书后</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天内完成工程的</w:t>
      </w:r>
      <w:r>
        <w:rPr>
          <w:rFonts w:ascii="宋体" w:hAnsi="宋体" w:eastAsia="宋体" w:cs="宋体"/>
          <w:spacing w:val="-9"/>
          <w:sz w:val="21"/>
          <w:szCs w:val="21"/>
        </w:rPr>
        <w:t>移交。</w:t>
      </w:r>
    </w:p>
    <w:p w14:paraId="39055596">
      <w:pPr>
        <w:spacing w:before="2" w:line="352" w:lineRule="auto"/>
        <w:ind w:left="25" w:right="51" w:firstLine="423"/>
        <w:jc w:val="both"/>
        <w:rPr>
          <w:rFonts w:ascii="宋体" w:hAnsi="宋体" w:eastAsia="宋体" w:cs="宋体"/>
          <w:sz w:val="21"/>
          <w:szCs w:val="21"/>
        </w:rPr>
      </w:pPr>
      <w:r>
        <w:rPr>
          <w:rFonts w:ascii="宋体" w:hAnsi="宋体" w:eastAsia="宋体" w:cs="宋体"/>
          <w:spacing w:val="-2"/>
          <w:sz w:val="21"/>
          <w:szCs w:val="21"/>
        </w:rPr>
        <w:t>发包人无正当理由不接收工程的，发包人自应当</w:t>
      </w:r>
      <w:r>
        <w:rPr>
          <w:rFonts w:ascii="宋体" w:hAnsi="宋体" w:eastAsia="宋体" w:cs="宋体"/>
          <w:spacing w:val="-3"/>
          <w:sz w:val="21"/>
          <w:szCs w:val="21"/>
        </w:rPr>
        <w:t>接收工程之日起，承担工程照管、成品</w:t>
      </w:r>
      <w:r>
        <w:rPr>
          <w:rFonts w:ascii="宋体" w:hAnsi="宋体" w:eastAsia="宋体" w:cs="宋体"/>
          <w:spacing w:val="-2"/>
          <w:sz w:val="21"/>
          <w:szCs w:val="21"/>
        </w:rPr>
        <w:t>保护、保管等与工程有关的各项费用，合同当事人可以在专用合同条</w:t>
      </w:r>
      <w:r>
        <w:rPr>
          <w:rFonts w:ascii="宋体" w:hAnsi="宋体" w:eastAsia="宋体" w:cs="宋体"/>
          <w:spacing w:val="-3"/>
          <w:sz w:val="21"/>
          <w:szCs w:val="21"/>
        </w:rPr>
        <w:t>款中另行约定发包人逾</w:t>
      </w:r>
      <w:r>
        <w:rPr>
          <w:rFonts w:ascii="宋体" w:hAnsi="宋体" w:eastAsia="宋体" w:cs="宋体"/>
          <w:spacing w:val="-1"/>
          <w:sz w:val="21"/>
          <w:szCs w:val="21"/>
        </w:rPr>
        <w:t>期接收工程的违约责任。</w:t>
      </w:r>
    </w:p>
    <w:p w14:paraId="576D9C5B">
      <w:pPr>
        <w:spacing w:before="1" w:line="344" w:lineRule="auto"/>
        <w:ind w:left="24" w:right="50" w:firstLine="420"/>
        <w:jc w:val="both"/>
        <w:rPr>
          <w:rFonts w:ascii="宋体" w:hAnsi="宋体" w:eastAsia="宋体" w:cs="宋体"/>
          <w:sz w:val="21"/>
          <w:szCs w:val="21"/>
        </w:rPr>
      </w:pPr>
      <w:r>
        <w:rPr>
          <w:rFonts w:ascii="宋体" w:hAnsi="宋体" w:eastAsia="宋体" w:cs="宋体"/>
          <w:spacing w:val="-2"/>
          <w:sz w:val="21"/>
          <w:szCs w:val="21"/>
        </w:rPr>
        <w:t>承包人无正当理由不移交工程的，承包人应承担工程照管、</w:t>
      </w:r>
      <w:r>
        <w:rPr>
          <w:rFonts w:ascii="宋体" w:hAnsi="宋体" w:eastAsia="宋体" w:cs="宋体"/>
          <w:spacing w:val="-3"/>
          <w:sz w:val="21"/>
          <w:szCs w:val="21"/>
        </w:rPr>
        <w:t>成品保护、保管等与工程有</w:t>
      </w:r>
      <w:r>
        <w:rPr>
          <w:rFonts w:ascii="宋体" w:hAnsi="宋体" w:eastAsia="宋体" w:cs="宋体"/>
          <w:spacing w:val="-2"/>
          <w:sz w:val="21"/>
          <w:szCs w:val="21"/>
        </w:rPr>
        <w:t>关的各项费用，合同当事人可以在专用合同条款中另行约定承包人无正当</w:t>
      </w:r>
      <w:r>
        <w:rPr>
          <w:rFonts w:ascii="宋体" w:hAnsi="宋体" w:eastAsia="宋体" w:cs="宋体"/>
          <w:spacing w:val="-3"/>
          <w:sz w:val="21"/>
          <w:szCs w:val="21"/>
        </w:rPr>
        <w:t>理由不移交工程的</w:t>
      </w:r>
      <w:r>
        <w:rPr>
          <w:rFonts w:ascii="宋体" w:hAnsi="宋体" w:eastAsia="宋体" w:cs="宋体"/>
          <w:spacing w:val="-2"/>
          <w:sz w:val="21"/>
          <w:szCs w:val="21"/>
        </w:rPr>
        <w:t>违约责任。</w:t>
      </w:r>
    </w:p>
    <w:p w14:paraId="1BD28B81">
      <w:pPr>
        <w:spacing w:before="1" w:line="231" w:lineRule="auto"/>
        <w:ind w:left="31"/>
        <w:outlineLvl w:val="1"/>
        <w:rPr>
          <w:rFonts w:ascii="黑体" w:hAnsi="黑体" w:eastAsia="黑体" w:cs="黑体"/>
          <w:sz w:val="24"/>
          <w:szCs w:val="24"/>
        </w:rPr>
      </w:pPr>
      <w:bookmarkStart w:id="448" w:name="bookmark389"/>
      <w:bookmarkEnd w:id="448"/>
      <w:r>
        <w:rPr>
          <w:rFonts w:ascii="Times New Roman" w:hAnsi="Times New Roman" w:eastAsia="Times New Roman" w:cs="Times New Roman"/>
          <w:b/>
          <w:bCs/>
          <w:spacing w:val="2"/>
          <w:sz w:val="24"/>
          <w:szCs w:val="24"/>
        </w:rPr>
        <w:t xml:space="preserve">13.3 </w:t>
      </w:r>
      <w:r>
        <w:rPr>
          <w:rFonts w:ascii="黑体" w:hAnsi="黑体" w:eastAsia="黑体" w:cs="黑体"/>
          <w:b/>
          <w:bCs/>
          <w:spacing w:val="2"/>
          <w:sz w:val="24"/>
          <w:szCs w:val="24"/>
        </w:rPr>
        <w:t>工程试车</w:t>
      </w:r>
    </w:p>
    <w:p w14:paraId="08AD9B49">
      <w:pPr>
        <w:spacing w:before="13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13.3.1</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试车程序</w:t>
      </w:r>
    </w:p>
    <w:p w14:paraId="0A1067D7">
      <w:pPr>
        <w:spacing w:line="233" w:lineRule="auto"/>
        <w:rPr>
          <w:rFonts w:ascii="宋体" w:hAnsi="宋体" w:eastAsia="宋体" w:cs="宋体"/>
          <w:sz w:val="21"/>
          <w:szCs w:val="21"/>
        </w:rPr>
        <w:sectPr>
          <w:footerReference r:id="rId189" w:type="default"/>
          <w:pgSz w:w="11910" w:h="16845"/>
          <w:pgMar w:top="400" w:right="1734" w:bottom="1110" w:left="1786" w:header="0" w:footer="883" w:gutter="0"/>
          <w:cols w:space="720" w:num="1"/>
        </w:sectPr>
      </w:pPr>
    </w:p>
    <w:p w14:paraId="181AE21C">
      <w:pPr>
        <w:pStyle w:val="2"/>
        <w:spacing w:line="275" w:lineRule="auto"/>
      </w:pPr>
    </w:p>
    <w:p w14:paraId="57A94B1F">
      <w:pPr>
        <w:pStyle w:val="2"/>
        <w:spacing w:line="275" w:lineRule="auto"/>
      </w:pPr>
    </w:p>
    <w:p w14:paraId="0BB3E7CD">
      <w:pPr>
        <w:pStyle w:val="2"/>
        <w:spacing w:line="275" w:lineRule="auto"/>
      </w:pPr>
    </w:p>
    <w:p w14:paraId="75BABE69">
      <w:pPr>
        <w:pStyle w:val="2"/>
        <w:spacing w:line="275" w:lineRule="auto"/>
      </w:pPr>
    </w:p>
    <w:p w14:paraId="18AA2361">
      <w:pPr>
        <w:spacing w:before="68" w:line="350" w:lineRule="auto"/>
        <w:ind w:left="24" w:right="37" w:firstLine="423"/>
        <w:rPr>
          <w:rFonts w:ascii="宋体" w:hAnsi="宋体" w:eastAsia="宋体" w:cs="宋体"/>
          <w:sz w:val="21"/>
          <w:szCs w:val="21"/>
        </w:rPr>
      </w:pPr>
      <w:r>
        <w:rPr>
          <w:rFonts w:ascii="宋体" w:hAnsi="宋体" w:eastAsia="宋体" w:cs="宋体"/>
          <w:spacing w:val="-1"/>
          <w:sz w:val="21"/>
          <w:szCs w:val="21"/>
        </w:rPr>
        <w:t>工程需要试车的，除专用合同条款另有约定外，试车内容应与承包人承包范围相</w:t>
      </w:r>
      <w:r>
        <w:rPr>
          <w:rFonts w:ascii="宋体" w:hAnsi="宋体" w:eastAsia="宋体" w:cs="宋体"/>
          <w:spacing w:val="-2"/>
          <w:sz w:val="21"/>
          <w:szCs w:val="21"/>
        </w:rPr>
        <w:t>一致，试车费用由承包人承担。工程试车应按如下程序进行：</w:t>
      </w:r>
    </w:p>
    <w:p w14:paraId="6DFC9246">
      <w:pPr>
        <w:spacing w:line="352" w:lineRule="auto"/>
        <w:ind w:left="24" w:right="14" w:firstLine="426"/>
        <w:jc w:val="both"/>
        <w:rPr>
          <w:rFonts w:ascii="宋体" w:hAnsi="宋体" w:eastAsia="宋体" w:cs="宋体"/>
          <w:sz w:val="21"/>
          <w:szCs w:val="21"/>
        </w:rPr>
      </w:pPr>
      <w:r>
        <w:rPr>
          <w:rFonts w:ascii="宋体" w:hAnsi="宋体" w:eastAsia="宋体" w:cs="宋体"/>
          <w:spacing w:val="-6"/>
          <w:sz w:val="21"/>
          <w:szCs w:val="21"/>
        </w:rPr>
        <w:t>（</w:t>
      </w:r>
      <w:r>
        <w:rPr>
          <w:rFonts w:ascii="Times New Roman" w:hAnsi="Times New Roman" w:eastAsia="Times New Roman" w:cs="Times New Roman"/>
          <w:spacing w:val="-6"/>
          <w:sz w:val="21"/>
          <w:szCs w:val="21"/>
        </w:rPr>
        <w:t>1</w:t>
      </w:r>
      <w:r>
        <w:rPr>
          <w:rFonts w:ascii="宋体" w:hAnsi="宋体" w:eastAsia="宋体" w:cs="宋体"/>
          <w:spacing w:val="-6"/>
          <w:sz w:val="21"/>
          <w:szCs w:val="21"/>
        </w:rPr>
        <w:t>）具备单机无负荷试车条件，承包人组织</w:t>
      </w:r>
      <w:r>
        <w:rPr>
          <w:rFonts w:ascii="宋体" w:hAnsi="宋体" w:eastAsia="宋体" w:cs="宋体"/>
          <w:spacing w:val="-7"/>
          <w:sz w:val="21"/>
          <w:szCs w:val="21"/>
        </w:rPr>
        <w:t>试车，并在试车前</w:t>
      </w:r>
      <w:r>
        <w:rPr>
          <w:rFonts w:ascii="宋体" w:hAnsi="宋体" w:eastAsia="宋体" w:cs="宋体"/>
          <w:spacing w:val="-45"/>
          <w:sz w:val="21"/>
          <w:szCs w:val="21"/>
        </w:rPr>
        <w:t xml:space="preserve"> </w:t>
      </w:r>
      <w:r>
        <w:rPr>
          <w:rFonts w:ascii="Times New Roman" w:hAnsi="Times New Roman" w:eastAsia="Times New Roman" w:cs="Times New Roman"/>
          <w:spacing w:val="-7"/>
          <w:sz w:val="21"/>
          <w:szCs w:val="21"/>
        </w:rPr>
        <w:t>48</w:t>
      </w:r>
      <w:r>
        <w:rPr>
          <w:rFonts w:ascii="Times New Roman" w:hAnsi="Times New Roman" w:eastAsia="Times New Roman" w:cs="Times New Roman"/>
          <w:spacing w:val="22"/>
          <w:w w:val="101"/>
          <w:sz w:val="21"/>
          <w:szCs w:val="21"/>
        </w:rPr>
        <w:t xml:space="preserve"> </w:t>
      </w:r>
      <w:r>
        <w:rPr>
          <w:rFonts w:ascii="宋体" w:hAnsi="宋体" w:eastAsia="宋体" w:cs="宋体"/>
          <w:spacing w:val="-7"/>
          <w:sz w:val="21"/>
          <w:szCs w:val="21"/>
        </w:rPr>
        <w:t>小时书面通知监理人，</w:t>
      </w:r>
      <w:r>
        <w:rPr>
          <w:rFonts w:ascii="宋体" w:hAnsi="宋体" w:eastAsia="宋体" w:cs="宋体"/>
          <w:spacing w:val="-2"/>
          <w:sz w:val="21"/>
          <w:szCs w:val="21"/>
        </w:rPr>
        <w:t>通知中应载明试车内容、时间、地点。承包人准备试车记录，发包人根据承包人要求为试车提供必要条件。试车合格的，监理人在试车记录上签字。监理人在试车合格后不在</w:t>
      </w:r>
      <w:r>
        <w:rPr>
          <w:rFonts w:ascii="宋体" w:hAnsi="宋体" w:eastAsia="宋体" w:cs="宋体"/>
          <w:spacing w:val="-3"/>
          <w:sz w:val="21"/>
          <w:szCs w:val="21"/>
        </w:rPr>
        <w:t>试车记录</w:t>
      </w:r>
      <w:r>
        <w:rPr>
          <w:rFonts w:ascii="宋体" w:hAnsi="宋体" w:eastAsia="宋体" w:cs="宋体"/>
          <w:sz w:val="21"/>
          <w:szCs w:val="21"/>
        </w:rPr>
        <w:t>上签字，自试车结束满</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2"/>
          <w:w w:val="101"/>
          <w:sz w:val="21"/>
          <w:szCs w:val="21"/>
        </w:rPr>
        <w:t xml:space="preserve"> </w:t>
      </w:r>
      <w:r>
        <w:rPr>
          <w:rFonts w:ascii="宋体" w:hAnsi="宋体" w:eastAsia="宋体" w:cs="宋体"/>
          <w:sz w:val="21"/>
          <w:szCs w:val="21"/>
        </w:rPr>
        <w:t>小时后视为监理人已经认可试车记录，承</w:t>
      </w:r>
      <w:r>
        <w:rPr>
          <w:rFonts w:ascii="宋体" w:hAnsi="宋体" w:eastAsia="宋体" w:cs="宋体"/>
          <w:spacing w:val="-1"/>
          <w:sz w:val="21"/>
          <w:szCs w:val="21"/>
        </w:rPr>
        <w:t>包人可继续施工或办理</w:t>
      </w:r>
      <w:r>
        <w:rPr>
          <w:rFonts w:ascii="宋体" w:hAnsi="宋体" w:eastAsia="宋体" w:cs="宋体"/>
          <w:spacing w:val="-5"/>
          <w:sz w:val="21"/>
          <w:szCs w:val="21"/>
        </w:rPr>
        <w:t>竣工验收手续。</w:t>
      </w:r>
    </w:p>
    <w:p w14:paraId="38240F5E">
      <w:pPr>
        <w:spacing w:before="10" w:line="344" w:lineRule="auto"/>
        <w:ind w:left="25" w:right="82" w:firstLine="420"/>
        <w:jc w:val="both"/>
        <w:rPr>
          <w:rFonts w:ascii="宋体" w:hAnsi="宋体" w:eastAsia="宋体" w:cs="宋体"/>
          <w:sz w:val="21"/>
          <w:szCs w:val="21"/>
        </w:rPr>
      </w:pPr>
      <w:r>
        <w:rPr>
          <w:rFonts w:ascii="宋体" w:hAnsi="宋体" w:eastAsia="宋体" w:cs="宋体"/>
          <w:spacing w:val="-1"/>
          <w:sz w:val="21"/>
          <w:szCs w:val="21"/>
        </w:rPr>
        <w:t>监理人不能按时参加试车，应在试车前</w:t>
      </w:r>
      <w:r>
        <w:rPr>
          <w:rFonts w:ascii="宋体" w:hAnsi="宋体" w:eastAsia="宋体" w:cs="宋体"/>
          <w:spacing w:val="-18"/>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小时以书面形式向承包人提出延期要求，但</w:t>
      </w:r>
      <w:r>
        <w:rPr>
          <w:rFonts w:ascii="宋体" w:hAnsi="宋体" w:eastAsia="宋体" w:cs="宋体"/>
          <w:sz w:val="21"/>
          <w:szCs w:val="21"/>
        </w:rPr>
        <w:t>延期不能超过</w:t>
      </w:r>
      <w:r>
        <w:rPr>
          <w:rFonts w:ascii="宋体" w:hAnsi="宋体" w:eastAsia="宋体" w:cs="宋体"/>
          <w:spacing w:val="-42"/>
          <w:sz w:val="21"/>
          <w:szCs w:val="21"/>
        </w:rPr>
        <w:t xml:space="preserve"> </w:t>
      </w:r>
      <w:r>
        <w:rPr>
          <w:rFonts w:ascii="Times New Roman" w:hAnsi="Times New Roman" w:eastAsia="Times New Roman" w:cs="Times New Roman"/>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小时，由此导致工期延误的，工期应予以顺延。监</w:t>
      </w:r>
      <w:r>
        <w:rPr>
          <w:rFonts w:ascii="宋体" w:hAnsi="宋体" w:eastAsia="宋体" w:cs="宋体"/>
          <w:spacing w:val="-1"/>
          <w:sz w:val="21"/>
          <w:szCs w:val="21"/>
        </w:rPr>
        <w:t>理人未能在前述期限内提出延期要求，又不参加试车的，视为认可试</w:t>
      </w:r>
      <w:r>
        <w:rPr>
          <w:rFonts w:ascii="宋体" w:hAnsi="宋体" w:eastAsia="宋体" w:cs="宋体"/>
          <w:spacing w:val="-2"/>
          <w:sz w:val="21"/>
          <w:szCs w:val="21"/>
        </w:rPr>
        <w:t>车记录。</w:t>
      </w:r>
    </w:p>
    <w:p w14:paraId="551B656B">
      <w:pPr>
        <w:spacing w:before="25" w:line="350" w:lineRule="auto"/>
        <w:ind w:left="24" w:right="68" w:firstLine="426"/>
        <w:jc w:val="both"/>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）具备无负荷联动试车条件，发包人组织试车，并在试车前</w:t>
      </w:r>
      <w:r>
        <w:rPr>
          <w:rFonts w:ascii="宋体" w:hAnsi="宋体" w:eastAsia="宋体" w:cs="宋体"/>
          <w:spacing w:val="-36"/>
          <w:sz w:val="21"/>
          <w:szCs w:val="21"/>
        </w:rPr>
        <w:t xml:space="preserve"> </w:t>
      </w:r>
      <w:r>
        <w:rPr>
          <w:rFonts w:ascii="Times New Roman" w:hAnsi="Times New Roman" w:eastAsia="Times New Roman" w:cs="Times New Roman"/>
          <w:spacing w:val="-3"/>
          <w:sz w:val="21"/>
          <w:szCs w:val="21"/>
        </w:rPr>
        <w:t>48</w:t>
      </w:r>
      <w:r>
        <w:rPr>
          <w:rFonts w:ascii="Times New Roman" w:hAnsi="Times New Roman" w:eastAsia="Times New Roman" w:cs="Times New Roman"/>
          <w:spacing w:val="22"/>
          <w:sz w:val="21"/>
          <w:szCs w:val="21"/>
        </w:rPr>
        <w:t xml:space="preserve"> </w:t>
      </w:r>
      <w:r>
        <w:rPr>
          <w:rFonts w:ascii="宋体" w:hAnsi="宋体" w:eastAsia="宋体" w:cs="宋体"/>
          <w:spacing w:val="-3"/>
          <w:sz w:val="21"/>
          <w:szCs w:val="21"/>
        </w:rPr>
        <w:t>小时以书面形式通知</w:t>
      </w:r>
      <w:r>
        <w:rPr>
          <w:rFonts w:ascii="宋体" w:hAnsi="宋体" w:eastAsia="宋体" w:cs="宋体"/>
          <w:spacing w:val="-2"/>
          <w:sz w:val="21"/>
          <w:szCs w:val="21"/>
        </w:rPr>
        <w:t>承包人。通知中应载明试车内容、时间、地点和对承包人的要求，承包人按要求做好准备工作。试车合格，合同当事人在试车记录上签字。承包人无正当理由不参加试车的，视为认可</w:t>
      </w:r>
      <w:r>
        <w:rPr>
          <w:rFonts w:ascii="宋体" w:hAnsi="宋体" w:eastAsia="宋体" w:cs="宋体"/>
          <w:spacing w:val="-6"/>
          <w:sz w:val="21"/>
          <w:szCs w:val="21"/>
        </w:rPr>
        <w:t>试车记录。</w:t>
      </w:r>
    </w:p>
    <w:p w14:paraId="76E280B1">
      <w:pPr>
        <w:spacing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13.3.2</w:t>
      </w:r>
      <w:r>
        <w:rPr>
          <w:rFonts w:ascii="Times New Roman" w:hAnsi="Times New Roman" w:eastAsia="Times New Roman" w:cs="Times New Roman"/>
          <w:spacing w:val="54"/>
          <w:w w:val="101"/>
          <w:sz w:val="21"/>
          <w:szCs w:val="21"/>
        </w:rPr>
        <w:t xml:space="preserve"> </w:t>
      </w:r>
      <w:r>
        <w:rPr>
          <w:rFonts w:ascii="宋体" w:hAnsi="宋体" w:eastAsia="宋体" w:cs="宋体"/>
          <w:spacing w:val="-2"/>
          <w:sz w:val="21"/>
          <w:szCs w:val="21"/>
        </w:rPr>
        <w:t>试车中的责任</w:t>
      </w:r>
    </w:p>
    <w:p w14:paraId="47B6B902">
      <w:pPr>
        <w:spacing w:before="140" w:line="353" w:lineRule="auto"/>
        <w:ind w:left="24" w:right="65" w:firstLine="436"/>
        <w:rPr>
          <w:rFonts w:ascii="宋体" w:hAnsi="宋体" w:eastAsia="宋体" w:cs="宋体"/>
          <w:sz w:val="21"/>
          <w:szCs w:val="21"/>
        </w:rPr>
      </w:pPr>
      <w:r>
        <w:rPr>
          <w:rFonts w:ascii="宋体" w:hAnsi="宋体" w:eastAsia="宋体" w:cs="宋体"/>
          <w:spacing w:val="-3"/>
          <w:sz w:val="21"/>
          <w:szCs w:val="21"/>
        </w:rPr>
        <w:t>因设计原因导致试车达不到验收要求，发包人应要求设计人修改设计，承包人按修改后</w:t>
      </w:r>
      <w:r>
        <w:rPr>
          <w:rFonts w:ascii="宋体" w:hAnsi="宋体" w:eastAsia="宋体" w:cs="宋体"/>
          <w:spacing w:val="-5"/>
          <w:sz w:val="21"/>
          <w:szCs w:val="21"/>
        </w:rPr>
        <w:t>的设计重新安装。发包人承担修改设计、拆除及重新安装的全</w:t>
      </w:r>
      <w:r>
        <w:rPr>
          <w:rFonts w:ascii="宋体" w:hAnsi="宋体" w:eastAsia="宋体" w:cs="宋体"/>
          <w:spacing w:val="-6"/>
          <w:sz w:val="21"/>
          <w:szCs w:val="21"/>
        </w:rPr>
        <w:t>部费用，</w:t>
      </w:r>
      <w:r>
        <w:rPr>
          <w:rFonts w:ascii="宋体" w:hAnsi="宋体" w:eastAsia="宋体" w:cs="宋体"/>
          <w:spacing w:val="43"/>
          <w:sz w:val="21"/>
          <w:szCs w:val="21"/>
        </w:rPr>
        <w:t xml:space="preserve"> </w:t>
      </w:r>
      <w:r>
        <w:rPr>
          <w:rFonts w:ascii="宋体" w:hAnsi="宋体" w:eastAsia="宋体" w:cs="宋体"/>
          <w:spacing w:val="-6"/>
          <w:sz w:val="21"/>
          <w:szCs w:val="21"/>
        </w:rPr>
        <w:t>工期相应顺延。因承</w:t>
      </w:r>
      <w:r>
        <w:rPr>
          <w:rFonts w:ascii="宋体" w:hAnsi="宋体" w:eastAsia="宋体" w:cs="宋体"/>
          <w:spacing w:val="-2"/>
          <w:sz w:val="21"/>
          <w:szCs w:val="21"/>
        </w:rPr>
        <w:t>包人原因导致试车达不到验收要求，承包人按监理人要求重新安装和试车，并承担重新安装</w:t>
      </w:r>
      <w:r>
        <w:rPr>
          <w:rFonts w:ascii="宋体" w:hAnsi="宋体" w:eastAsia="宋体" w:cs="宋体"/>
          <w:spacing w:val="-3"/>
          <w:sz w:val="21"/>
          <w:szCs w:val="21"/>
        </w:rPr>
        <w:t>和试车的费用，工期不予顺延。</w:t>
      </w:r>
    </w:p>
    <w:p w14:paraId="5184FE75">
      <w:pPr>
        <w:spacing w:before="3" w:line="350" w:lineRule="auto"/>
        <w:ind w:left="24" w:right="65" w:firstLine="436"/>
        <w:jc w:val="both"/>
        <w:rPr>
          <w:rFonts w:ascii="宋体" w:hAnsi="宋体" w:eastAsia="宋体" w:cs="宋体"/>
          <w:sz w:val="21"/>
          <w:szCs w:val="21"/>
        </w:rPr>
      </w:pPr>
      <w:r>
        <w:rPr>
          <w:rFonts w:ascii="宋体" w:hAnsi="宋体" w:eastAsia="宋体" w:cs="宋体"/>
          <w:spacing w:val="-3"/>
          <w:sz w:val="21"/>
          <w:szCs w:val="21"/>
        </w:rPr>
        <w:t>因工程设备制造原因导致试车达不到验收要求的，由采购该工程设备的合同当事人负责</w:t>
      </w:r>
      <w:r>
        <w:rPr>
          <w:rFonts w:ascii="宋体" w:hAnsi="宋体" w:eastAsia="宋体" w:cs="宋体"/>
          <w:spacing w:val="-2"/>
          <w:sz w:val="21"/>
          <w:szCs w:val="21"/>
        </w:rPr>
        <w:t>重新购置或修理，承包人负责拆除和重新安装，由此增加的修理、重新购置、拆除及重新安</w:t>
      </w:r>
      <w:r>
        <w:rPr>
          <w:rFonts w:ascii="宋体" w:hAnsi="宋体" w:eastAsia="宋体" w:cs="宋体"/>
          <w:spacing w:val="-1"/>
          <w:sz w:val="21"/>
          <w:szCs w:val="21"/>
        </w:rPr>
        <w:t>装的费用及延误的工期由采购该工程设备的合同当事人承担。</w:t>
      </w:r>
    </w:p>
    <w:p w14:paraId="7F02748C">
      <w:pPr>
        <w:spacing w:before="4"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13.3.3</w:t>
      </w:r>
      <w:r>
        <w:rPr>
          <w:rFonts w:ascii="Times New Roman" w:hAnsi="Times New Roman" w:eastAsia="Times New Roman" w:cs="Times New Roman"/>
          <w:spacing w:val="51"/>
          <w:sz w:val="21"/>
          <w:szCs w:val="21"/>
        </w:rPr>
        <w:t xml:space="preserve"> </w:t>
      </w:r>
      <w:r>
        <w:rPr>
          <w:rFonts w:ascii="宋体" w:hAnsi="宋体" w:eastAsia="宋体" w:cs="宋体"/>
          <w:spacing w:val="-2"/>
          <w:sz w:val="21"/>
          <w:szCs w:val="21"/>
        </w:rPr>
        <w:t>投料试车</w:t>
      </w:r>
    </w:p>
    <w:p w14:paraId="50CBA4F1">
      <w:pPr>
        <w:spacing w:before="126" w:line="356" w:lineRule="auto"/>
        <w:ind w:left="26" w:firstLine="421"/>
        <w:rPr>
          <w:rFonts w:ascii="宋体" w:hAnsi="宋体" w:eastAsia="宋体" w:cs="宋体"/>
          <w:sz w:val="21"/>
          <w:szCs w:val="21"/>
        </w:rPr>
      </w:pPr>
      <w:r>
        <w:rPr>
          <w:rFonts w:ascii="宋体" w:hAnsi="宋体" w:eastAsia="宋体" w:cs="宋体"/>
          <w:spacing w:val="-2"/>
          <w:sz w:val="21"/>
          <w:szCs w:val="21"/>
        </w:rPr>
        <w:t>如需进行投料试车的，发包人应在工程竣工验收后</w:t>
      </w:r>
      <w:r>
        <w:rPr>
          <w:rFonts w:ascii="宋体" w:hAnsi="宋体" w:eastAsia="宋体" w:cs="宋体"/>
          <w:spacing w:val="-3"/>
          <w:sz w:val="21"/>
          <w:szCs w:val="21"/>
        </w:rPr>
        <w:t>组织投料试车。发包人要求在工程竣</w:t>
      </w:r>
      <w:r>
        <w:rPr>
          <w:rFonts w:ascii="宋体" w:hAnsi="宋体" w:eastAsia="宋体" w:cs="宋体"/>
          <w:spacing w:val="-5"/>
          <w:sz w:val="21"/>
          <w:szCs w:val="21"/>
        </w:rPr>
        <w:t>工验收前进行或需要承包人配合时，应征得承包人同意，并在专用合同条款中</w:t>
      </w:r>
      <w:r>
        <w:rPr>
          <w:rFonts w:ascii="宋体" w:hAnsi="宋体" w:eastAsia="宋体" w:cs="宋体"/>
          <w:spacing w:val="-6"/>
          <w:sz w:val="21"/>
          <w:szCs w:val="21"/>
        </w:rPr>
        <w:t>约定有关事项。</w:t>
      </w:r>
    </w:p>
    <w:p w14:paraId="54F0160A">
      <w:pPr>
        <w:spacing w:before="1" w:line="344" w:lineRule="auto"/>
        <w:ind w:left="25" w:right="81" w:firstLine="421"/>
        <w:rPr>
          <w:rFonts w:ascii="宋体" w:hAnsi="宋体" w:eastAsia="宋体" w:cs="宋体"/>
          <w:sz w:val="21"/>
          <w:szCs w:val="21"/>
        </w:rPr>
      </w:pPr>
      <w:r>
        <w:rPr>
          <w:rFonts w:ascii="宋体" w:hAnsi="宋体" w:eastAsia="宋体" w:cs="宋体"/>
          <w:spacing w:val="-2"/>
          <w:sz w:val="21"/>
          <w:szCs w:val="21"/>
        </w:rPr>
        <w:t>投料试车合格的，费用由发包人承担；因承包人原因造成投料试车</w:t>
      </w:r>
      <w:r>
        <w:rPr>
          <w:rFonts w:ascii="宋体" w:hAnsi="宋体" w:eastAsia="宋体" w:cs="宋体"/>
          <w:spacing w:val="-3"/>
          <w:sz w:val="21"/>
          <w:szCs w:val="21"/>
        </w:rPr>
        <w:t>不合格的，承包人应</w:t>
      </w:r>
      <w:r>
        <w:rPr>
          <w:rFonts w:ascii="宋体" w:hAnsi="宋体" w:eastAsia="宋体" w:cs="宋体"/>
          <w:spacing w:val="-2"/>
          <w:sz w:val="21"/>
          <w:szCs w:val="21"/>
        </w:rPr>
        <w:t>按照发包人要求进行整改，由此产生的整改费用由承包人承担；非因承包人原因导致</w:t>
      </w:r>
      <w:r>
        <w:rPr>
          <w:rFonts w:ascii="宋体" w:hAnsi="宋体" w:eastAsia="宋体" w:cs="宋体"/>
          <w:spacing w:val="-3"/>
          <w:sz w:val="21"/>
          <w:szCs w:val="21"/>
        </w:rPr>
        <w:t>投料试</w:t>
      </w:r>
      <w:r>
        <w:rPr>
          <w:rFonts w:ascii="宋体" w:hAnsi="宋体" w:eastAsia="宋体" w:cs="宋体"/>
          <w:spacing w:val="-1"/>
          <w:sz w:val="21"/>
          <w:szCs w:val="21"/>
        </w:rPr>
        <w:t>车不合格的，如发包人要求承包人进行整改的，由此产生的费用由发包人承担。</w:t>
      </w:r>
    </w:p>
    <w:p w14:paraId="6BF00136">
      <w:pPr>
        <w:spacing w:before="1" w:line="232" w:lineRule="auto"/>
        <w:ind w:left="31"/>
        <w:outlineLvl w:val="1"/>
        <w:rPr>
          <w:rFonts w:ascii="黑体" w:hAnsi="黑体" w:eastAsia="黑体" w:cs="黑体"/>
          <w:sz w:val="24"/>
          <w:szCs w:val="24"/>
        </w:rPr>
      </w:pPr>
      <w:bookmarkStart w:id="449" w:name="bookmark390"/>
      <w:bookmarkEnd w:id="449"/>
      <w:r>
        <w:rPr>
          <w:rFonts w:ascii="Times New Roman" w:hAnsi="Times New Roman" w:eastAsia="Times New Roman" w:cs="Times New Roman"/>
          <w:b/>
          <w:bCs/>
          <w:spacing w:val="1"/>
          <w:sz w:val="24"/>
          <w:szCs w:val="24"/>
        </w:rPr>
        <w:t xml:space="preserve">13.4 </w:t>
      </w:r>
      <w:r>
        <w:rPr>
          <w:rFonts w:ascii="黑体" w:hAnsi="黑体" w:eastAsia="黑体" w:cs="黑体"/>
          <w:b/>
          <w:bCs/>
          <w:spacing w:val="1"/>
          <w:sz w:val="24"/>
          <w:szCs w:val="24"/>
        </w:rPr>
        <w:t>提前交付单位工程的验收</w:t>
      </w:r>
    </w:p>
    <w:p w14:paraId="61D41ED7">
      <w:pPr>
        <w:spacing w:before="113" w:line="351" w:lineRule="auto"/>
        <w:ind w:left="24" w:right="67" w:firstLine="436"/>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13.4.1  </w:t>
      </w:r>
      <w:r>
        <w:rPr>
          <w:rFonts w:ascii="宋体" w:hAnsi="宋体" w:eastAsia="宋体" w:cs="宋体"/>
          <w:spacing w:val="-2"/>
          <w:sz w:val="21"/>
          <w:szCs w:val="21"/>
        </w:rPr>
        <w:t>发包人需要在工程竣工前使用单位工程的，或承包人提出提前交付已经竣工的单</w:t>
      </w:r>
      <w:r>
        <w:rPr>
          <w:rFonts w:ascii="宋体" w:hAnsi="宋体" w:eastAsia="宋体" w:cs="宋体"/>
          <w:sz w:val="21"/>
          <w:szCs w:val="21"/>
        </w:rPr>
        <w:t>位工程且经发包人同意的，可进行单位工程验收，验收的程</w:t>
      </w:r>
      <w:r>
        <w:rPr>
          <w:rFonts w:ascii="宋体" w:hAnsi="宋体" w:eastAsia="宋体" w:cs="宋体"/>
          <w:spacing w:val="-1"/>
          <w:sz w:val="21"/>
          <w:szCs w:val="21"/>
        </w:rPr>
        <w:t xml:space="preserve">序按照第 </w:t>
      </w:r>
      <w:r>
        <w:rPr>
          <w:rFonts w:ascii="Times New Roman" w:hAnsi="Times New Roman" w:eastAsia="Times New Roman" w:cs="Times New Roman"/>
          <w:spacing w:val="-1"/>
          <w:sz w:val="21"/>
          <w:szCs w:val="21"/>
        </w:rPr>
        <w:t>13.2</w:t>
      </w:r>
      <w:r>
        <w:rPr>
          <w:rFonts w:ascii="Times New Roman" w:hAnsi="Times New Roman" w:eastAsia="Times New Roman" w:cs="Times New Roman"/>
          <w:spacing w:val="47"/>
          <w:sz w:val="21"/>
          <w:szCs w:val="21"/>
        </w:rPr>
        <w:t xml:space="preserve"> </w:t>
      </w:r>
      <w:r>
        <w:rPr>
          <w:rFonts w:ascii="宋体" w:hAnsi="宋体" w:eastAsia="宋体" w:cs="宋体"/>
          <w:spacing w:val="-1"/>
          <w:sz w:val="21"/>
          <w:szCs w:val="21"/>
        </w:rPr>
        <w:t>款〔竣工验收〕</w:t>
      </w:r>
      <w:r>
        <w:rPr>
          <w:rFonts w:ascii="宋体" w:hAnsi="宋体" w:eastAsia="宋体" w:cs="宋体"/>
          <w:spacing w:val="-6"/>
          <w:sz w:val="21"/>
          <w:szCs w:val="21"/>
        </w:rPr>
        <w:t>的约定进行。</w:t>
      </w:r>
    </w:p>
    <w:p w14:paraId="2F0449BF">
      <w:pPr>
        <w:spacing w:before="4" w:line="358" w:lineRule="auto"/>
        <w:ind w:left="23" w:right="81" w:firstLine="420"/>
        <w:rPr>
          <w:rFonts w:ascii="宋体" w:hAnsi="宋体" w:eastAsia="宋体" w:cs="宋体"/>
          <w:sz w:val="21"/>
          <w:szCs w:val="21"/>
        </w:rPr>
      </w:pPr>
      <w:r>
        <w:rPr>
          <w:rFonts w:ascii="宋体" w:hAnsi="宋体" w:eastAsia="宋体" w:cs="宋体"/>
          <w:spacing w:val="-2"/>
          <w:sz w:val="21"/>
          <w:szCs w:val="21"/>
        </w:rPr>
        <w:t>验收合格后，由监理人向承包人出具经发包人签认的单位工程接收证</w:t>
      </w:r>
      <w:r>
        <w:rPr>
          <w:rFonts w:ascii="宋体" w:hAnsi="宋体" w:eastAsia="宋体" w:cs="宋体"/>
          <w:spacing w:val="-3"/>
          <w:sz w:val="21"/>
          <w:szCs w:val="21"/>
        </w:rPr>
        <w:t>书。已签发单位工</w:t>
      </w:r>
      <w:r>
        <w:rPr>
          <w:rFonts w:ascii="宋体" w:hAnsi="宋体" w:eastAsia="宋体" w:cs="宋体"/>
          <w:spacing w:val="-2"/>
          <w:sz w:val="21"/>
          <w:szCs w:val="21"/>
        </w:rPr>
        <w:t>程接收证书的单位工程由发包人负责照管。单位工程的验收成果和结论作为整体工程竣工验</w:t>
      </w:r>
    </w:p>
    <w:p w14:paraId="6FF22AEB">
      <w:pPr>
        <w:spacing w:line="358" w:lineRule="auto"/>
        <w:rPr>
          <w:rFonts w:ascii="宋体" w:hAnsi="宋体" w:eastAsia="宋体" w:cs="宋体"/>
          <w:sz w:val="21"/>
          <w:szCs w:val="21"/>
        </w:rPr>
        <w:sectPr>
          <w:footerReference r:id="rId190" w:type="default"/>
          <w:pgSz w:w="11910" w:h="16845"/>
          <w:pgMar w:top="400" w:right="1697" w:bottom="1110" w:left="1786" w:header="0" w:footer="883" w:gutter="0"/>
          <w:cols w:space="720" w:num="1"/>
        </w:sectPr>
      </w:pPr>
    </w:p>
    <w:p w14:paraId="76F3190A">
      <w:pPr>
        <w:pStyle w:val="2"/>
        <w:spacing w:line="275" w:lineRule="auto"/>
      </w:pPr>
    </w:p>
    <w:p w14:paraId="13BD7474">
      <w:pPr>
        <w:pStyle w:val="2"/>
        <w:spacing w:line="275" w:lineRule="auto"/>
      </w:pPr>
    </w:p>
    <w:p w14:paraId="5F55356F">
      <w:pPr>
        <w:pStyle w:val="2"/>
        <w:spacing w:line="275" w:lineRule="auto"/>
      </w:pPr>
    </w:p>
    <w:p w14:paraId="0832B18D">
      <w:pPr>
        <w:pStyle w:val="2"/>
        <w:spacing w:line="276" w:lineRule="auto"/>
      </w:pPr>
    </w:p>
    <w:p w14:paraId="362AEBEB">
      <w:pPr>
        <w:spacing w:before="68" w:line="218" w:lineRule="auto"/>
        <w:ind w:left="31"/>
        <w:rPr>
          <w:rFonts w:ascii="宋体" w:hAnsi="宋体" w:eastAsia="宋体" w:cs="宋体"/>
          <w:sz w:val="21"/>
          <w:szCs w:val="21"/>
        </w:rPr>
      </w:pPr>
      <w:r>
        <w:rPr>
          <w:rFonts w:ascii="宋体" w:hAnsi="宋体" w:eastAsia="宋体" w:cs="宋体"/>
          <w:spacing w:val="-5"/>
          <w:sz w:val="21"/>
          <w:szCs w:val="21"/>
        </w:rPr>
        <w:t>收申请报告的附件。</w:t>
      </w:r>
    </w:p>
    <w:p w14:paraId="22B9922A">
      <w:pPr>
        <w:spacing w:before="156" w:line="336" w:lineRule="auto"/>
        <w:ind w:left="25" w:right="34"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13.4.2  </w:t>
      </w:r>
      <w:r>
        <w:rPr>
          <w:rFonts w:ascii="宋体" w:hAnsi="宋体" w:eastAsia="宋体" w:cs="宋体"/>
          <w:spacing w:val="-2"/>
          <w:sz w:val="21"/>
          <w:szCs w:val="21"/>
        </w:rPr>
        <w:t>发包人要求在工程竣工前交付单位工程，由此导致承包人费用增加和（或）工期</w:t>
      </w:r>
      <w:r>
        <w:rPr>
          <w:rFonts w:ascii="宋体" w:hAnsi="宋体" w:eastAsia="宋体" w:cs="宋体"/>
          <w:spacing w:val="-1"/>
          <w:sz w:val="21"/>
          <w:szCs w:val="21"/>
        </w:rPr>
        <w:t>延误的，由发包人承担由此增加的费用和（或）延误的工期，并支付承包人合理的利润。</w:t>
      </w:r>
    </w:p>
    <w:p w14:paraId="26CCE87B">
      <w:pPr>
        <w:spacing w:before="5" w:line="233" w:lineRule="auto"/>
        <w:ind w:left="31"/>
        <w:outlineLvl w:val="1"/>
        <w:rPr>
          <w:rFonts w:ascii="黑体" w:hAnsi="黑体" w:eastAsia="黑体" w:cs="黑体"/>
          <w:sz w:val="24"/>
          <w:szCs w:val="24"/>
        </w:rPr>
      </w:pPr>
      <w:bookmarkStart w:id="450" w:name="bookmark391"/>
      <w:bookmarkEnd w:id="450"/>
      <w:r>
        <w:rPr>
          <w:rFonts w:ascii="Times New Roman" w:hAnsi="Times New Roman" w:eastAsia="Times New Roman" w:cs="Times New Roman"/>
          <w:b/>
          <w:bCs/>
          <w:spacing w:val="1"/>
          <w:sz w:val="24"/>
          <w:szCs w:val="24"/>
        </w:rPr>
        <w:t xml:space="preserve">13.5  </w:t>
      </w:r>
      <w:r>
        <w:rPr>
          <w:rFonts w:ascii="黑体" w:hAnsi="黑体" w:eastAsia="黑体" w:cs="黑体"/>
          <w:b/>
          <w:bCs/>
          <w:spacing w:val="1"/>
          <w:sz w:val="24"/>
          <w:szCs w:val="24"/>
        </w:rPr>
        <w:t>施工期运行</w:t>
      </w:r>
    </w:p>
    <w:p w14:paraId="07411630">
      <w:pPr>
        <w:spacing w:before="128" w:line="344" w:lineRule="auto"/>
        <w:ind w:left="27" w:right="33" w:firstLine="433"/>
        <w:rPr>
          <w:rFonts w:ascii="宋体" w:hAnsi="宋体" w:eastAsia="宋体" w:cs="宋体"/>
          <w:sz w:val="21"/>
          <w:szCs w:val="21"/>
        </w:rPr>
      </w:pPr>
      <w:r>
        <w:rPr>
          <w:rFonts w:ascii="Times New Roman" w:hAnsi="Times New Roman" w:eastAsia="Times New Roman" w:cs="Times New Roman"/>
          <w:spacing w:val="-2"/>
          <w:sz w:val="21"/>
          <w:szCs w:val="21"/>
        </w:rPr>
        <w:t xml:space="preserve">13.5.1  </w:t>
      </w:r>
      <w:r>
        <w:rPr>
          <w:rFonts w:ascii="宋体" w:hAnsi="宋体" w:eastAsia="宋体" w:cs="宋体"/>
          <w:spacing w:val="-2"/>
          <w:sz w:val="21"/>
          <w:szCs w:val="21"/>
        </w:rPr>
        <w:t>施工期运行是指合同工程尚未全部竣工，其中某项或某几项单位工程或工程设备</w:t>
      </w:r>
      <w:r>
        <w:rPr>
          <w:rFonts w:ascii="宋体" w:hAnsi="宋体" w:eastAsia="宋体" w:cs="宋体"/>
          <w:sz w:val="21"/>
          <w:szCs w:val="21"/>
        </w:rPr>
        <w:t>安装已竣工，根据专用合同条款约定，需要</w:t>
      </w:r>
      <w:r>
        <w:rPr>
          <w:rFonts w:ascii="宋体" w:hAnsi="宋体" w:eastAsia="宋体" w:cs="宋体"/>
          <w:spacing w:val="-1"/>
          <w:sz w:val="21"/>
          <w:szCs w:val="21"/>
        </w:rPr>
        <w:t xml:space="preserve">投入施工期运行的，经发包人按第 </w:t>
      </w:r>
      <w:r>
        <w:rPr>
          <w:rFonts w:ascii="Times New Roman" w:hAnsi="Times New Roman" w:eastAsia="Times New Roman" w:cs="Times New Roman"/>
          <w:spacing w:val="-1"/>
          <w:sz w:val="21"/>
          <w:szCs w:val="21"/>
        </w:rPr>
        <w:t xml:space="preserve">13.4  </w:t>
      </w:r>
      <w:r>
        <w:rPr>
          <w:rFonts w:ascii="宋体" w:hAnsi="宋体" w:eastAsia="宋体" w:cs="宋体"/>
          <w:spacing w:val="-1"/>
          <w:sz w:val="21"/>
          <w:szCs w:val="21"/>
        </w:rPr>
        <w:t>款〔提前交付单位工程的验收〕的约定验收合格，证明能确保安全后，才能在施工期投入运行。</w:t>
      </w:r>
    </w:p>
    <w:p w14:paraId="5A6491A6">
      <w:pPr>
        <w:spacing w:before="26" w:line="336" w:lineRule="auto"/>
        <w:ind w:left="47" w:right="41"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13.5.2  </w:t>
      </w:r>
      <w:r>
        <w:rPr>
          <w:rFonts w:ascii="宋体" w:hAnsi="宋体" w:eastAsia="宋体" w:cs="宋体"/>
          <w:spacing w:val="-1"/>
          <w:sz w:val="21"/>
          <w:szCs w:val="21"/>
        </w:rPr>
        <w:t xml:space="preserve">在施工期运行中发现工程或工程设备损坏或存在缺陷的，由承包人按第 </w:t>
      </w:r>
      <w:r>
        <w:rPr>
          <w:rFonts w:ascii="Times New Roman" w:hAnsi="Times New Roman" w:eastAsia="Times New Roman" w:cs="Times New Roman"/>
          <w:spacing w:val="-1"/>
          <w:sz w:val="21"/>
          <w:szCs w:val="21"/>
        </w:rPr>
        <w:t xml:space="preserve">15.2  </w:t>
      </w:r>
      <w:r>
        <w:rPr>
          <w:rFonts w:ascii="宋体" w:hAnsi="宋体" w:eastAsia="宋体" w:cs="宋体"/>
          <w:spacing w:val="-1"/>
          <w:sz w:val="21"/>
          <w:szCs w:val="21"/>
        </w:rPr>
        <w:t>款</w:t>
      </w:r>
      <w:r>
        <w:rPr>
          <w:rFonts w:ascii="宋体" w:hAnsi="宋体" w:eastAsia="宋体" w:cs="宋体"/>
          <w:spacing w:val="-4"/>
          <w:sz w:val="21"/>
          <w:szCs w:val="21"/>
        </w:rPr>
        <w:t>〔缺陷责任期〕约定进行修复。</w:t>
      </w:r>
    </w:p>
    <w:p w14:paraId="5D2DB96B">
      <w:pPr>
        <w:spacing w:before="7" w:line="232" w:lineRule="auto"/>
        <w:ind w:left="31"/>
        <w:outlineLvl w:val="1"/>
        <w:rPr>
          <w:rFonts w:ascii="黑体" w:hAnsi="黑体" w:eastAsia="黑体" w:cs="黑体"/>
          <w:sz w:val="24"/>
          <w:szCs w:val="24"/>
        </w:rPr>
      </w:pPr>
      <w:bookmarkStart w:id="451" w:name="bookmark392"/>
      <w:bookmarkEnd w:id="451"/>
      <w:r>
        <w:rPr>
          <w:rFonts w:ascii="Times New Roman" w:hAnsi="Times New Roman" w:eastAsia="Times New Roman" w:cs="Times New Roman"/>
          <w:b/>
          <w:bCs/>
          <w:spacing w:val="2"/>
          <w:sz w:val="24"/>
          <w:szCs w:val="24"/>
        </w:rPr>
        <w:t xml:space="preserve">13.6  </w:t>
      </w:r>
      <w:r>
        <w:rPr>
          <w:rFonts w:ascii="黑体" w:hAnsi="黑体" w:eastAsia="黑体" w:cs="黑体"/>
          <w:b/>
          <w:bCs/>
          <w:spacing w:val="2"/>
          <w:sz w:val="24"/>
          <w:szCs w:val="24"/>
        </w:rPr>
        <w:t>竣工退场</w:t>
      </w:r>
    </w:p>
    <w:p w14:paraId="164421E8">
      <w:pPr>
        <w:spacing w:before="130"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13.6.1</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竣工退场</w:t>
      </w:r>
    </w:p>
    <w:p w14:paraId="7D31962D">
      <w:pPr>
        <w:spacing w:before="124" w:line="219" w:lineRule="auto"/>
        <w:ind w:left="444"/>
        <w:rPr>
          <w:rFonts w:ascii="宋体" w:hAnsi="宋体" w:eastAsia="宋体" w:cs="宋体"/>
          <w:sz w:val="21"/>
          <w:szCs w:val="21"/>
        </w:rPr>
      </w:pPr>
      <w:r>
        <w:rPr>
          <w:rFonts w:ascii="宋体" w:hAnsi="宋体" w:eastAsia="宋体" w:cs="宋体"/>
          <w:spacing w:val="-2"/>
          <w:sz w:val="21"/>
          <w:szCs w:val="21"/>
        </w:rPr>
        <w:t>颁发工程接收证书后，承包人应按以下要求对施工现场进行清理：</w:t>
      </w:r>
    </w:p>
    <w:p w14:paraId="65C9DC97">
      <w:pPr>
        <w:spacing w:before="157"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）施工现场内残留的垃圾已全部清除出场；</w:t>
      </w:r>
    </w:p>
    <w:p w14:paraId="21DE47A3">
      <w:pPr>
        <w:spacing w:before="141"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）临时工程已拆除，场地已进行清理、平整或复原；</w:t>
      </w:r>
    </w:p>
    <w:p w14:paraId="54A5C108">
      <w:pPr>
        <w:spacing w:before="124" w:line="348" w:lineRule="auto"/>
        <w:ind w:left="25" w:right="70"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）按合同约定应撤离的人员、承包人施工设备和剩余的材料，包括废弃</w:t>
      </w:r>
      <w:r>
        <w:rPr>
          <w:rFonts w:ascii="宋体" w:hAnsi="宋体" w:eastAsia="宋体" w:cs="宋体"/>
          <w:spacing w:val="-1"/>
          <w:sz w:val="21"/>
          <w:szCs w:val="21"/>
        </w:rPr>
        <w:t>的施工设备</w:t>
      </w:r>
      <w:r>
        <w:rPr>
          <w:rFonts w:ascii="宋体" w:hAnsi="宋体" w:eastAsia="宋体" w:cs="宋体"/>
          <w:spacing w:val="-4"/>
          <w:sz w:val="21"/>
          <w:szCs w:val="21"/>
        </w:rPr>
        <w:t>和材料，已按计划撤离施工现场；</w:t>
      </w:r>
    </w:p>
    <w:p w14:paraId="41421FEE">
      <w:pPr>
        <w:spacing w:before="19"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）施工现场周边及其附近道路、河道的施工堆积物，已全部清理；</w:t>
      </w:r>
    </w:p>
    <w:p w14:paraId="294C6C7D">
      <w:pPr>
        <w:spacing w:before="126"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）施工现场其他场地清理工作已全部完成。</w:t>
      </w:r>
    </w:p>
    <w:p w14:paraId="0175CC01">
      <w:pPr>
        <w:spacing w:before="141" w:line="351" w:lineRule="auto"/>
        <w:ind w:left="24" w:right="47" w:firstLine="419"/>
        <w:jc w:val="both"/>
        <w:rPr>
          <w:rFonts w:ascii="宋体" w:hAnsi="宋体" w:eastAsia="宋体" w:cs="宋体"/>
          <w:sz w:val="21"/>
          <w:szCs w:val="21"/>
        </w:rPr>
      </w:pPr>
      <w:r>
        <w:rPr>
          <w:rFonts w:ascii="宋体" w:hAnsi="宋体" w:eastAsia="宋体" w:cs="宋体"/>
          <w:spacing w:val="-2"/>
          <w:sz w:val="21"/>
          <w:szCs w:val="21"/>
        </w:rPr>
        <w:t>施工现场的竣工退场费用由承包人承担。承包人应在专用合同条款约定的期</w:t>
      </w:r>
      <w:r>
        <w:rPr>
          <w:rFonts w:ascii="宋体" w:hAnsi="宋体" w:eastAsia="宋体" w:cs="宋体"/>
          <w:spacing w:val="-3"/>
          <w:sz w:val="21"/>
          <w:szCs w:val="21"/>
        </w:rPr>
        <w:t>限内完成竣</w:t>
      </w:r>
      <w:r>
        <w:rPr>
          <w:rFonts w:ascii="宋体" w:hAnsi="宋体" w:eastAsia="宋体" w:cs="宋体"/>
          <w:spacing w:val="-2"/>
          <w:sz w:val="21"/>
          <w:szCs w:val="21"/>
        </w:rPr>
        <w:t>工退场，逾期未完成的，发包人有权出售或另行处理承包人遗留的物品，由此支</w:t>
      </w:r>
      <w:r>
        <w:rPr>
          <w:rFonts w:ascii="宋体" w:hAnsi="宋体" w:eastAsia="宋体" w:cs="宋体"/>
          <w:spacing w:val="-3"/>
          <w:sz w:val="21"/>
          <w:szCs w:val="21"/>
        </w:rPr>
        <w:t>出的费用由</w:t>
      </w:r>
      <w:r>
        <w:rPr>
          <w:rFonts w:ascii="宋体" w:hAnsi="宋体" w:eastAsia="宋体" w:cs="宋体"/>
          <w:spacing w:val="-1"/>
          <w:sz w:val="21"/>
          <w:szCs w:val="21"/>
        </w:rPr>
        <w:t>承包人承担，发包人出售承包人遗留物品所得款项在扣除必要费用后应返还承包人。</w:t>
      </w:r>
    </w:p>
    <w:p w14:paraId="25FCAA04">
      <w:pPr>
        <w:spacing w:before="2" w:line="235" w:lineRule="auto"/>
        <w:ind w:left="461"/>
        <w:rPr>
          <w:rFonts w:ascii="宋体" w:hAnsi="宋体" w:eastAsia="宋体" w:cs="宋体"/>
          <w:sz w:val="21"/>
          <w:szCs w:val="21"/>
        </w:rPr>
      </w:pPr>
      <w:r>
        <w:rPr>
          <w:rFonts w:ascii="Times New Roman" w:hAnsi="Times New Roman" w:eastAsia="Times New Roman" w:cs="Times New Roman"/>
          <w:spacing w:val="-2"/>
          <w:sz w:val="21"/>
          <w:szCs w:val="21"/>
        </w:rPr>
        <w:t>13.6.2</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地表还原</w:t>
      </w:r>
    </w:p>
    <w:p w14:paraId="2DE8F90D">
      <w:pPr>
        <w:spacing w:before="139" w:line="351" w:lineRule="auto"/>
        <w:ind w:left="24" w:right="47" w:firstLine="420"/>
        <w:rPr>
          <w:rFonts w:ascii="宋体" w:hAnsi="宋体" w:eastAsia="宋体" w:cs="宋体"/>
          <w:sz w:val="21"/>
          <w:szCs w:val="21"/>
        </w:rPr>
      </w:pPr>
      <w:r>
        <w:rPr>
          <w:rFonts w:ascii="宋体" w:hAnsi="宋体" w:eastAsia="宋体" w:cs="宋体"/>
          <w:spacing w:val="-2"/>
          <w:sz w:val="21"/>
          <w:szCs w:val="21"/>
        </w:rPr>
        <w:t>承包人应按发包人要求恢复临时占地及清理场地，承包人未按发包人的要</w:t>
      </w:r>
      <w:r>
        <w:rPr>
          <w:rFonts w:ascii="宋体" w:hAnsi="宋体" w:eastAsia="宋体" w:cs="宋体"/>
          <w:spacing w:val="-3"/>
          <w:sz w:val="21"/>
          <w:szCs w:val="21"/>
        </w:rPr>
        <w:t>求恢复临时占</w:t>
      </w:r>
      <w:r>
        <w:rPr>
          <w:rFonts w:ascii="宋体" w:hAnsi="宋体" w:eastAsia="宋体" w:cs="宋体"/>
          <w:spacing w:val="-2"/>
          <w:sz w:val="21"/>
          <w:szCs w:val="21"/>
        </w:rPr>
        <w:t>地，或者场地清理未达到合同约定要求的，发包人有权委托其他人恢复或清</w:t>
      </w:r>
      <w:r>
        <w:rPr>
          <w:rFonts w:ascii="宋体" w:hAnsi="宋体" w:eastAsia="宋体" w:cs="宋体"/>
          <w:spacing w:val="-3"/>
          <w:sz w:val="21"/>
          <w:szCs w:val="21"/>
        </w:rPr>
        <w:t>理，所发生的费</w:t>
      </w:r>
      <w:r>
        <w:rPr>
          <w:rFonts w:ascii="宋体" w:hAnsi="宋体" w:eastAsia="宋体" w:cs="宋体"/>
          <w:spacing w:val="-4"/>
          <w:sz w:val="21"/>
          <w:szCs w:val="21"/>
        </w:rPr>
        <w:t>用由承包人承担。</w:t>
      </w:r>
    </w:p>
    <w:p w14:paraId="1DA868A7">
      <w:pPr>
        <w:spacing w:before="43" w:line="236" w:lineRule="auto"/>
        <w:ind w:left="34"/>
        <w:outlineLvl w:val="0"/>
        <w:rPr>
          <w:rFonts w:ascii="黑体" w:hAnsi="黑体" w:eastAsia="黑体" w:cs="黑体"/>
          <w:sz w:val="28"/>
          <w:szCs w:val="28"/>
        </w:rPr>
      </w:pPr>
      <w:bookmarkStart w:id="452" w:name="bookmark394"/>
      <w:bookmarkEnd w:id="452"/>
      <w:bookmarkStart w:id="453" w:name="bookmark393"/>
      <w:bookmarkEnd w:id="453"/>
      <w:r>
        <w:rPr>
          <w:rFonts w:ascii="Times New Roman" w:hAnsi="Times New Roman" w:eastAsia="Times New Roman" w:cs="Times New Roman"/>
          <w:b/>
          <w:bCs/>
          <w:spacing w:val="4"/>
          <w:sz w:val="28"/>
          <w:szCs w:val="28"/>
        </w:rPr>
        <w:t>14.</w:t>
      </w:r>
      <w:r>
        <w:rPr>
          <w:rFonts w:ascii="Times New Roman" w:hAnsi="Times New Roman" w:eastAsia="Times New Roman" w:cs="Times New Roman"/>
          <w:b/>
          <w:bCs/>
          <w:spacing w:val="67"/>
          <w:sz w:val="28"/>
          <w:szCs w:val="28"/>
        </w:rPr>
        <w:t xml:space="preserve"> </w:t>
      </w:r>
      <w:r>
        <w:rPr>
          <w:rFonts w:ascii="黑体" w:hAnsi="黑体" w:eastAsia="黑体" w:cs="黑体"/>
          <w:b/>
          <w:bCs/>
          <w:spacing w:val="4"/>
          <w:sz w:val="28"/>
          <w:szCs w:val="28"/>
        </w:rPr>
        <w:t>竣工结算</w:t>
      </w:r>
    </w:p>
    <w:p w14:paraId="61352686">
      <w:pPr>
        <w:spacing w:before="71" w:line="232" w:lineRule="auto"/>
        <w:ind w:left="31"/>
        <w:outlineLvl w:val="1"/>
        <w:rPr>
          <w:rFonts w:ascii="黑体" w:hAnsi="黑体" w:eastAsia="黑体" w:cs="黑体"/>
          <w:sz w:val="24"/>
          <w:szCs w:val="24"/>
        </w:rPr>
      </w:pPr>
      <w:bookmarkStart w:id="454" w:name="bookmark696"/>
      <w:bookmarkEnd w:id="454"/>
      <w:r>
        <w:rPr>
          <w:rFonts w:ascii="Times New Roman" w:hAnsi="Times New Roman" w:eastAsia="Times New Roman" w:cs="Times New Roman"/>
          <w:b/>
          <w:bCs/>
          <w:spacing w:val="1"/>
          <w:sz w:val="24"/>
          <w:szCs w:val="24"/>
        </w:rPr>
        <w:t xml:space="preserve">14.1  </w:t>
      </w:r>
      <w:r>
        <w:rPr>
          <w:rFonts w:ascii="黑体" w:hAnsi="黑体" w:eastAsia="黑体" w:cs="黑体"/>
          <w:b/>
          <w:bCs/>
          <w:spacing w:val="1"/>
          <w:sz w:val="24"/>
          <w:szCs w:val="24"/>
        </w:rPr>
        <w:t>竣工结算申请</w:t>
      </w:r>
    </w:p>
    <w:p w14:paraId="385DD0D8">
      <w:pPr>
        <w:spacing w:before="131" w:line="348" w:lineRule="auto"/>
        <w:ind w:left="25" w:right="54" w:firstLine="432"/>
        <w:jc w:val="both"/>
        <w:rPr>
          <w:rFonts w:ascii="宋体" w:hAnsi="宋体" w:eastAsia="宋体" w:cs="宋体"/>
          <w:sz w:val="21"/>
          <w:szCs w:val="21"/>
        </w:rPr>
      </w:pPr>
      <w:r>
        <w:rPr>
          <w:rFonts w:ascii="宋体" w:hAnsi="宋体" w:eastAsia="宋体" w:cs="宋体"/>
          <w:spacing w:val="-1"/>
          <w:sz w:val="21"/>
          <w:szCs w:val="21"/>
        </w:rPr>
        <w:t>除专用合同条款另有约定外，承包人应在工程竣工验收合格后</w:t>
      </w:r>
      <w:r>
        <w:rPr>
          <w:rFonts w:ascii="宋体" w:hAnsi="宋体" w:eastAsia="宋体" w:cs="宋体"/>
          <w:spacing w:val="-30"/>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天内向发包人和监理</w:t>
      </w:r>
      <w:r>
        <w:rPr>
          <w:rFonts w:ascii="宋体" w:hAnsi="宋体" w:eastAsia="宋体" w:cs="宋体"/>
          <w:spacing w:val="-2"/>
          <w:sz w:val="21"/>
          <w:szCs w:val="21"/>
        </w:rPr>
        <w:t>人提交竣工结算申请单，并提交完整的结算资料，有关竣工结算申请</w:t>
      </w:r>
      <w:r>
        <w:rPr>
          <w:rFonts w:ascii="宋体" w:hAnsi="宋体" w:eastAsia="宋体" w:cs="宋体"/>
          <w:spacing w:val="-3"/>
          <w:sz w:val="21"/>
          <w:szCs w:val="21"/>
        </w:rPr>
        <w:t>单的资料清单和份数等</w:t>
      </w:r>
      <w:r>
        <w:rPr>
          <w:rFonts w:ascii="宋体" w:hAnsi="宋体" w:eastAsia="宋体" w:cs="宋体"/>
          <w:spacing w:val="-2"/>
          <w:sz w:val="21"/>
          <w:szCs w:val="21"/>
        </w:rPr>
        <w:t>要求由合同当事人在专用合同条款中约定。</w:t>
      </w:r>
    </w:p>
    <w:p w14:paraId="25F49BC7">
      <w:pPr>
        <w:spacing w:before="12" w:line="220" w:lineRule="auto"/>
        <w:ind w:left="457"/>
        <w:rPr>
          <w:rFonts w:ascii="宋体" w:hAnsi="宋体" w:eastAsia="宋体" w:cs="宋体"/>
          <w:sz w:val="21"/>
          <w:szCs w:val="21"/>
        </w:rPr>
      </w:pPr>
      <w:r>
        <w:rPr>
          <w:rFonts w:ascii="宋体" w:hAnsi="宋体" w:eastAsia="宋体" w:cs="宋体"/>
          <w:spacing w:val="-2"/>
          <w:sz w:val="21"/>
          <w:szCs w:val="21"/>
        </w:rPr>
        <w:t>除专用合同条款另有约定外，竣工结算申请单应包括以下内容：</w:t>
      </w:r>
    </w:p>
    <w:p w14:paraId="578702DB">
      <w:pPr>
        <w:spacing w:before="141" w:line="232"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）竣工结算合同价格；</w:t>
      </w:r>
    </w:p>
    <w:p w14:paraId="0F5E9BD4">
      <w:pPr>
        <w:spacing w:before="141"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）发包人已支付承包人的款项；</w:t>
      </w:r>
    </w:p>
    <w:p w14:paraId="48207CDF">
      <w:pPr>
        <w:spacing w:before="140" w:line="233" w:lineRule="auto"/>
        <w:jc w:val="right"/>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）应扣留的质量保证金。已缴纳履约保证金的或提供其他工程质量担保方式的除外；</w:t>
      </w:r>
    </w:p>
    <w:p w14:paraId="11ACC737">
      <w:pPr>
        <w:spacing w:line="233" w:lineRule="auto"/>
        <w:rPr>
          <w:rFonts w:ascii="宋体" w:hAnsi="宋体" w:eastAsia="宋体" w:cs="宋体"/>
          <w:sz w:val="21"/>
          <w:szCs w:val="21"/>
        </w:rPr>
        <w:sectPr>
          <w:footerReference r:id="rId191" w:type="default"/>
          <w:pgSz w:w="11910" w:h="16845"/>
          <w:pgMar w:top="400" w:right="1731" w:bottom="1110" w:left="1786" w:header="0" w:footer="882" w:gutter="0"/>
          <w:cols w:space="720" w:num="1"/>
        </w:sectPr>
      </w:pPr>
    </w:p>
    <w:p w14:paraId="7CB2C816">
      <w:pPr>
        <w:pStyle w:val="2"/>
        <w:spacing w:line="275" w:lineRule="auto"/>
      </w:pPr>
    </w:p>
    <w:p w14:paraId="5E9286E3">
      <w:pPr>
        <w:pStyle w:val="2"/>
        <w:spacing w:line="275" w:lineRule="auto"/>
      </w:pPr>
    </w:p>
    <w:p w14:paraId="6A51CA8C">
      <w:pPr>
        <w:pStyle w:val="2"/>
        <w:spacing w:line="275" w:lineRule="auto"/>
      </w:pPr>
    </w:p>
    <w:p w14:paraId="16CDF247">
      <w:pPr>
        <w:pStyle w:val="2"/>
        <w:spacing w:line="276" w:lineRule="auto"/>
      </w:pPr>
    </w:p>
    <w:p w14:paraId="655EC48D">
      <w:pPr>
        <w:spacing w:before="68" w:line="232"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）发包人应支付承包人的合同价款。</w:t>
      </w:r>
    </w:p>
    <w:p w14:paraId="780D22F3">
      <w:pPr>
        <w:spacing w:before="115" w:line="232" w:lineRule="auto"/>
        <w:ind w:left="31"/>
        <w:outlineLvl w:val="1"/>
        <w:rPr>
          <w:rFonts w:ascii="黑体" w:hAnsi="黑体" w:eastAsia="黑体" w:cs="黑体"/>
          <w:sz w:val="24"/>
          <w:szCs w:val="24"/>
        </w:rPr>
      </w:pPr>
      <w:bookmarkStart w:id="455" w:name="bookmark395"/>
      <w:bookmarkEnd w:id="455"/>
      <w:r>
        <w:rPr>
          <w:rFonts w:ascii="Times New Roman" w:hAnsi="Times New Roman" w:eastAsia="Times New Roman" w:cs="Times New Roman"/>
          <w:b/>
          <w:bCs/>
          <w:spacing w:val="1"/>
          <w:sz w:val="24"/>
          <w:szCs w:val="24"/>
        </w:rPr>
        <w:t xml:space="preserve">14.2  </w:t>
      </w:r>
      <w:r>
        <w:rPr>
          <w:rFonts w:ascii="黑体" w:hAnsi="黑体" w:eastAsia="黑体" w:cs="黑体"/>
          <w:b/>
          <w:bCs/>
          <w:spacing w:val="1"/>
          <w:sz w:val="24"/>
          <w:szCs w:val="24"/>
        </w:rPr>
        <w:t>竣工结算审核</w:t>
      </w:r>
    </w:p>
    <w:p w14:paraId="154F4D0B">
      <w:pPr>
        <w:spacing w:before="115" w:line="352" w:lineRule="auto"/>
        <w:ind w:left="25" w:right="24" w:firstLine="425"/>
        <w:jc w:val="both"/>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）除专用合同条款另有约定外，监理人应在收到竣工结算申</w:t>
      </w:r>
      <w:r>
        <w:rPr>
          <w:rFonts w:ascii="宋体" w:hAnsi="宋体" w:eastAsia="宋体" w:cs="宋体"/>
          <w:spacing w:val="-4"/>
          <w:sz w:val="21"/>
          <w:szCs w:val="21"/>
        </w:rPr>
        <w:t>请单后</w:t>
      </w:r>
      <w:r>
        <w:rPr>
          <w:rFonts w:ascii="宋体" w:hAnsi="宋体" w:eastAsia="宋体" w:cs="宋体"/>
          <w:spacing w:val="-24"/>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4"/>
          <w:sz w:val="21"/>
          <w:szCs w:val="21"/>
        </w:rPr>
        <w:t>天内完成核查并报送发包人。发包人应在收到监理人提交的经审核的竣工结算申请单后</w:t>
      </w:r>
      <w:r>
        <w:rPr>
          <w:rFonts w:ascii="宋体" w:hAnsi="宋体" w:eastAsia="宋体" w:cs="宋体"/>
          <w:spacing w:val="-25"/>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w:t>
      </w:r>
      <w:r>
        <w:rPr>
          <w:rFonts w:ascii="宋体" w:hAnsi="宋体" w:eastAsia="宋体" w:cs="宋体"/>
          <w:spacing w:val="-5"/>
          <w:sz w:val="21"/>
          <w:szCs w:val="21"/>
        </w:rPr>
        <w:t>内完成审批，</w:t>
      </w:r>
      <w:r>
        <w:rPr>
          <w:rFonts w:ascii="宋体" w:hAnsi="宋体" w:eastAsia="宋体" w:cs="宋体"/>
          <w:spacing w:val="-2"/>
          <w:sz w:val="21"/>
          <w:szCs w:val="21"/>
        </w:rPr>
        <w:t>并由监理人向承包人签发经发包人签认的竣工付款证书。监理人或发包人对竣工结算申</w:t>
      </w:r>
      <w:r>
        <w:rPr>
          <w:rFonts w:ascii="宋体" w:hAnsi="宋体" w:eastAsia="宋体" w:cs="宋体"/>
          <w:spacing w:val="-3"/>
          <w:sz w:val="21"/>
          <w:szCs w:val="21"/>
        </w:rPr>
        <w:t>请单</w:t>
      </w:r>
      <w:r>
        <w:rPr>
          <w:rFonts w:ascii="宋体" w:hAnsi="宋体" w:eastAsia="宋体" w:cs="宋体"/>
          <w:spacing w:val="-2"/>
          <w:sz w:val="21"/>
          <w:szCs w:val="21"/>
        </w:rPr>
        <w:t>有异议的，有权要求承包人进行修正和提供补充资料，承包人应提交修正后的竣</w:t>
      </w:r>
      <w:r>
        <w:rPr>
          <w:rFonts w:ascii="宋体" w:hAnsi="宋体" w:eastAsia="宋体" w:cs="宋体"/>
          <w:spacing w:val="-3"/>
          <w:sz w:val="21"/>
          <w:szCs w:val="21"/>
        </w:rPr>
        <w:t>工结算申请</w:t>
      </w:r>
      <w:r>
        <w:rPr>
          <w:rFonts w:ascii="宋体" w:hAnsi="宋体" w:eastAsia="宋体" w:cs="宋体"/>
          <w:spacing w:val="-10"/>
          <w:sz w:val="21"/>
          <w:szCs w:val="21"/>
        </w:rPr>
        <w:t>单。</w:t>
      </w:r>
    </w:p>
    <w:p w14:paraId="2EDBB3C4">
      <w:pPr>
        <w:spacing w:before="8" w:line="352" w:lineRule="auto"/>
        <w:ind w:left="24" w:right="95" w:firstLine="423"/>
        <w:jc w:val="both"/>
        <w:rPr>
          <w:rFonts w:ascii="宋体" w:hAnsi="宋体" w:eastAsia="宋体" w:cs="宋体"/>
          <w:sz w:val="21"/>
          <w:szCs w:val="21"/>
        </w:rPr>
      </w:pPr>
      <w:r>
        <w:rPr>
          <w:rFonts w:ascii="宋体" w:hAnsi="宋体" w:eastAsia="宋体" w:cs="宋体"/>
          <w:sz w:val="21"/>
          <w:szCs w:val="21"/>
        </w:rPr>
        <w:t>发包人在收到承包人提交竣工结算申请书后</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天内未</w:t>
      </w:r>
      <w:r>
        <w:rPr>
          <w:rFonts w:ascii="宋体" w:hAnsi="宋体" w:eastAsia="宋体" w:cs="宋体"/>
          <w:spacing w:val="-1"/>
          <w:sz w:val="21"/>
          <w:szCs w:val="21"/>
        </w:rPr>
        <w:t>完成审批且未提出异议的，视为</w:t>
      </w:r>
      <w:r>
        <w:rPr>
          <w:rFonts w:ascii="宋体" w:hAnsi="宋体" w:eastAsia="宋体" w:cs="宋体"/>
          <w:spacing w:val="-2"/>
          <w:sz w:val="21"/>
          <w:szCs w:val="21"/>
        </w:rPr>
        <w:t>发包人认可承包人提交的竣工结算申请单，并自发包人收到承包人提交的竣</w:t>
      </w:r>
      <w:r>
        <w:rPr>
          <w:rFonts w:ascii="宋体" w:hAnsi="宋体" w:eastAsia="宋体" w:cs="宋体"/>
          <w:spacing w:val="-3"/>
          <w:sz w:val="21"/>
          <w:szCs w:val="21"/>
        </w:rPr>
        <w:t>工结算申请单后第</w:t>
      </w:r>
      <w:r>
        <w:rPr>
          <w:rFonts w:ascii="宋体" w:hAnsi="宋体" w:eastAsia="宋体" w:cs="宋体"/>
          <w:spacing w:val="-38"/>
          <w:sz w:val="21"/>
          <w:szCs w:val="21"/>
        </w:rPr>
        <w:t xml:space="preserve"> </w:t>
      </w:r>
      <w:r>
        <w:rPr>
          <w:rFonts w:ascii="Times New Roman" w:hAnsi="Times New Roman" w:eastAsia="Times New Roman" w:cs="Times New Roman"/>
          <w:spacing w:val="-3"/>
          <w:sz w:val="21"/>
          <w:szCs w:val="21"/>
        </w:rPr>
        <w:t>29</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天起视为已签发竣工付款证书。</w:t>
      </w:r>
    </w:p>
    <w:p w14:paraId="2621B2A9">
      <w:pPr>
        <w:spacing w:before="3" w:line="349" w:lineRule="auto"/>
        <w:ind w:left="23" w:right="89"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）除专用合同条款另有约定外，发包人应在签发竣</w:t>
      </w:r>
      <w:r>
        <w:rPr>
          <w:rFonts w:ascii="宋体" w:hAnsi="宋体" w:eastAsia="宋体" w:cs="宋体"/>
          <w:spacing w:val="-2"/>
          <w:sz w:val="21"/>
          <w:szCs w:val="21"/>
        </w:rPr>
        <w:t>工付款证书后的</w:t>
      </w:r>
      <w:r>
        <w:rPr>
          <w:rFonts w:ascii="宋体" w:hAnsi="宋体" w:eastAsia="宋体" w:cs="宋体"/>
          <w:spacing w:val="34"/>
          <w:sz w:val="21"/>
          <w:szCs w:val="21"/>
        </w:rPr>
        <w:t xml:space="preserve"> </w:t>
      </w:r>
      <w:r>
        <w:rPr>
          <w:rFonts w:ascii="Times New Roman" w:hAnsi="Times New Roman" w:eastAsia="Times New Roman" w:cs="Times New Roman"/>
          <w:spacing w:val="-2"/>
          <w:sz w:val="21"/>
          <w:szCs w:val="21"/>
        </w:rPr>
        <w:t>14</w:t>
      </w:r>
      <w:r>
        <w:rPr>
          <w:rFonts w:ascii="Times New Roman" w:hAnsi="Times New Roman" w:eastAsia="Times New Roman" w:cs="Times New Roman"/>
          <w:spacing w:val="14"/>
          <w:sz w:val="21"/>
          <w:szCs w:val="21"/>
        </w:rPr>
        <w:t xml:space="preserve">  </w:t>
      </w:r>
      <w:r>
        <w:rPr>
          <w:rFonts w:ascii="宋体" w:hAnsi="宋体" w:eastAsia="宋体" w:cs="宋体"/>
          <w:spacing w:val="-2"/>
          <w:sz w:val="21"/>
          <w:szCs w:val="21"/>
        </w:rPr>
        <w:t>天内，完成</w:t>
      </w:r>
      <w:r>
        <w:rPr>
          <w:rFonts w:ascii="宋体" w:hAnsi="宋体" w:eastAsia="宋体" w:cs="宋体"/>
          <w:spacing w:val="-3"/>
          <w:sz w:val="21"/>
          <w:szCs w:val="21"/>
        </w:rPr>
        <w:t>对承包人的竣工付款。发包人逾期支付的，</w:t>
      </w:r>
      <w:r>
        <w:rPr>
          <w:rFonts w:ascii="宋体" w:hAnsi="宋体" w:eastAsia="宋体" w:cs="宋体"/>
          <w:spacing w:val="-45"/>
          <w:sz w:val="21"/>
          <w:szCs w:val="21"/>
        </w:rPr>
        <w:t xml:space="preserve"> </w:t>
      </w:r>
      <w:r>
        <w:rPr>
          <w:rFonts w:ascii="宋体" w:hAnsi="宋体" w:eastAsia="宋体" w:cs="宋体"/>
          <w:spacing w:val="-3"/>
          <w:sz w:val="21"/>
          <w:szCs w:val="21"/>
        </w:rPr>
        <w:t>按</w:t>
      </w:r>
      <w:r>
        <w:rPr>
          <w:rFonts w:ascii="宋体" w:hAnsi="宋体" w:eastAsia="宋体" w:cs="宋体"/>
          <w:spacing w:val="-4"/>
          <w:sz w:val="21"/>
          <w:szCs w:val="21"/>
        </w:rPr>
        <w:t>照中国人民银行发布的同期同类贷款基准利率</w:t>
      </w:r>
      <w:r>
        <w:rPr>
          <w:rFonts w:ascii="宋体" w:hAnsi="宋体" w:eastAsia="宋体" w:cs="宋体"/>
          <w:sz w:val="21"/>
          <w:szCs w:val="21"/>
        </w:rPr>
        <w:t>支付违约金；逾期支付超过</w:t>
      </w:r>
      <w:r>
        <w:rPr>
          <w:rFonts w:ascii="宋体" w:hAnsi="宋体" w:eastAsia="宋体" w:cs="宋体"/>
          <w:spacing w:val="-38"/>
          <w:sz w:val="21"/>
          <w:szCs w:val="21"/>
        </w:rPr>
        <w:t xml:space="preserve"> </w:t>
      </w:r>
      <w:r>
        <w:rPr>
          <w:rFonts w:ascii="Times New Roman" w:hAnsi="Times New Roman" w:eastAsia="Times New Roman" w:cs="Times New Roman"/>
          <w:sz w:val="21"/>
          <w:szCs w:val="21"/>
        </w:rPr>
        <w:t>56</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天的，按照中国人民银行发布</w:t>
      </w:r>
      <w:r>
        <w:rPr>
          <w:rFonts w:ascii="宋体" w:hAnsi="宋体" w:eastAsia="宋体" w:cs="宋体"/>
          <w:spacing w:val="-1"/>
          <w:sz w:val="21"/>
          <w:szCs w:val="21"/>
        </w:rPr>
        <w:t>的同期同类贷款基准利率的两</w:t>
      </w:r>
      <w:r>
        <w:rPr>
          <w:rFonts w:ascii="宋体" w:hAnsi="宋体" w:eastAsia="宋体" w:cs="宋体"/>
          <w:spacing w:val="-5"/>
          <w:sz w:val="21"/>
          <w:szCs w:val="21"/>
        </w:rPr>
        <w:t>倍支付违约金。</w:t>
      </w:r>
    </w:p>
    <w:p w14:paraId="37FCD448">
      <w:pPr>
        <w:spacing w:before="1" w:line="349" w:lineRule="auto"/>
        <w:ind w:left="23" w:right="81" w:firstLine="427"/>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）承包人对发包人签认的竣工付款证书有异议的，对于有异议部分应</w:t>
      </w:r>
      <w:r>
        <w:rPr>
          <w:rFonts w:ascii="宋体" w:hAnsi="宋体" w:eastAsia="宋体" w:cs="宋体"/>
          <w:spacing w:val="-1"/>
          <w:sz w:val="21"/>
          <w:szCs w:val="21"/>
        </w:rPr>
        <w:t>在收到发包人</w:t>
      </w:r>
      <w:r>
        <w:rPr>
          <w:rFonts w:ascii="宋体" w:hAnsi="宋体" w:eastAsia="宋体" w:cs="宋体"/>
          <w:spacing w:val="-3"/>
          <w:sz w:val="21"/>
          <w:szCs w:val="21"/>
        </w:rPr>
        <w:t>签认的竣工付款证书后</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天内提出异议，并由合同当事人按照专用合同条款约定的方式和程</w:t>
      </w:r>
      <w:r>
        <w:rPr>
          <w:rFonts w:ascii="宋体" w:hAnsi="宋体" w:eastAsia="宋体" w:cs="宋体"/>
          <w:sz w:val="21"/>
          <w:szCs w:val="21"/>
        </w:rPr>
        <w:t>序进行复核，或按照第</w:t>
      </w:r>
      <w:r>
        <w:rPr>
          <w:rFonts w:ascii="宋体" w:hAnsi="宋体" w:eastAsia="宋体" w:cs="宋体"/>
          <w:spacing w:val="-42"/>
          <w:sz w:val="21"/>
          <w:szCs w:val="21"/>
        </w:rPr>
        <w:t xml:space="preserve"> </w:t>
      </w:r>
      <w:r>
        <w:rPr>
          <w:rFonts w:ascii="Times New Roman" w:hAnsi="Times New Roman" w:eastAsia="Times New Roman" w:cs="Times New Roman"/>
          <w:sz w:val="21"/>
          <w:szCs w:val="21"/>
        </w:rPr>
        <w:t>20</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条〔争议解决〕</w:t>
      </w:r>
      <w:r>
        <w:rPr>
          <w:rFonts w:ascii="宋体" w:hAnsi="宋体" w:eastAsia="宋体" w:cs="宋体"/>
          <w:spacing w:val="-1"/>
          <w:sz w:val="21"/>
          <w:szCs w:val="21"/>
        </w:rPr>
        <w:t>约定处理。对于无异议部分，发包人应签发临时</w:t>
      </w:r>
      <w:r>
        <w:rPr>
          <w:rFonts w:ascii="宋体" w:hAnsi="宋体" w:eastAsia="宋体" w:cs="宋体"/>
          <w:sz w:val="21"/>
          <w:szCs w:val="21"/>
        </w:rPr>
        <w:t>竣工付款证书，并按本款第（</w:t>
      </w:r>
      <w:r>
        <w:rPr>
          <w:rFonts w:ascii="Times New Roman" w:hAnsi="Times New Roman" w:eastAsia="Times New Roman" w:cs="Times New Roman"/>
          <w:sz w:val="21"/>
          <w:szCs w:val="21"/>
        </w:rPr>
        <w:t>2</w:t>
      </w:r>
      <w:r>
        <w:rPr>
          <w:rFonts w:ascii="宋体" w:hAnsi="宋体" w:eastAsia="宋体" w:cs="宋体"/>
          <w:sz w:val="21"/>
          <w:szCs w:val="21"/>
        </w:rPr>
        <w:t>）项完成付款。承包人逾期未提出异议的，视为认可发包人</w:t>
      </w:r>
      <w:r>
        <w:rPr>
          <w:rFonts w:ascii="宋体" w:hAnsi="宋体" w:eastAsia="宋体" w:cs="宋体"/>
          <w:spacing w:val="-5"/>
          <w:sz w:val="21"/>
          <w:szCs w:val="21"/>
        </w:rPr>
        <w:t>的审批结果。</w:t>
      </w:r>
    </w:p>
    <w:p w14:paraId="699E26E7">
      <w:pPr>
        <w:spacing w:before="2" w:line="231" w:lineRule="auto"/>
        <w:ind w:left="31"/>
        <w:outlineLvl w:val="1"/>
        <w:rPr>
          <w:rFonts w:ascii="黑体" w:hAnsi="黑体" w:eastAsia="黑体" w:cs="黑体"/>
          <w:sz w:val="24"/>
          <w:szCs w:val="24"/>
        </w:rPr>
      </w:pPr>
      <w:bookmarkStart w:id="456" w:name="bookmark396"/>
      <w:bookmarkEnd w:id="456"/>
      <w:r>
        <w:rPr>
          <w:rFonts w:ascii="Times New Roman" w:hAnsi="Times New Roman" w:eastAsia="Times New Roman" w:cs="Times New Roman"/>
          <w:b/>
          <w:bCs/>
          <w:spacing w:val="1"/>
          <w:sz w:val="24"/>
          <w:szCs w:val="24"/>
        </w:rPr>
        <w:t xml:space="preserve">14.3  </w:t>
      </w:r>
      <w:r>
        <w:rPr>
          <w:rFonts w:ascii="黑体" w:hAnsi="黑体" w:eastAsia="黑体" w:cs="黑体"/>
          <w:b/>
          <w:bCs/>
          <w:spacing w:val="1"/>
          <w:sz w:val="24"/>
          <w:szCs w:val="24"/>
        </w:rPr>
        <w:t>甩项竣工协议</w:t>
      </w:r>
    </w:p>
    <w:p w14:paraId="527404C6">
      <w:pPr>
        <w:spacing w:before="116" w:line="344" w:lineRule="auto"/>
        <w:ind w:left="24" w:right="45" w:firstLine="423"/>
        <w:jc w:val="both"/>
        <w:rPr>
          <w:rFonts w:ascii="宋体" w:hAnsi="宋体" w:eastAsia="宋体" w:cs="宋体"/>
          <w:sz w:val="21"/>
          <w:szCs w:val="21"/>
        </w:rPr>
      </w:pPr>
      <w:r>
        <w:rPr>
          <w:rFonts w:ascii="宋体" w:hAnsi="宋体" w:eastAsia="宋体" w:cs="宋体"/>
          <w:spacing w:val="-1"/>
          <w:sz w:val="21"/>
          <w:szCs w:val="21"/>
        </w:rPr>
        <w:t>发包人要求甩项竣工的，合同当事人应签订甩项竣工协议。在甩项竣工协议中应</w:t>
      </w:r>
      <w:r>
        <w:rPr>
          <w:rFonts w:ascii="宋体" w:hAnsi="宋体" w:eastAsia="宋体" w:cs="宋体"/>
          <w:spacing w:val="-2"/>
          <w:sz w:val="21"/>
          <w:szCs w:val="21"/>
        </w:rPr>
        <w:t>明确，</w:t>
      </w:r>
      <w:r>
        <w:rPr>
          <w:rFonts w:ascii="宋体" w:hAnsi="宋体" w:eastAsia="宋体" w:cs="宋体"/>
          <w:spacing w:val="-1"/>
          <w:sz w:val="21"/>
          <w:szCs w:val="21"/>
        </w:rPr>
        <w:t>合同当事人按照第</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14.1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款〔竣工结算申</w:t>
      </w:r>
      <w:r>
        <w:rPr>
          <w:rFonts w:ascii="宋体" w:hAnsi="宋体" w:eastAsia="宋体" w:cs="宋体"/>
          <w:spacing w:val="-2"/>
          <w:sz w:val="21"/>
          <w:szCs w:val="21"/>
        </w:rPr>
        <w:t>请〕及</w:t>
      </w:r>
      <w:r>
        <w:rPr>
          <w:rFonts w:ascii="宋体" w:hAnsi="宋体" w:eastAsia="宋体" w:cs="宋体"/>
          <w:spacing w:val="-20"/>
          <w:sz w:val="21"/>
          <w:szCs w:val="21"/>
        </w:rPr>
        <w:t xml:space="preserve"> </w:t>
      </w:r>
      <w:r>
        <w:rPr>
          <w:rFonts w:ascii="Times New Roman" w:hAnsi="Times New Roman" w:eastAsia="Times New Roman" w:cs="Times New Roman"/>
          <w:spacing w:val="-2"/>
          <w:sz w:val="21"/>
          <w:szCs w:val="21"/>
        </w:rPr>
        <w:t>14.2</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款〔竣工结算审核〕的约定，对已完合格工程进行结算，并支付相应合同价款。</w:t>
      </w:r>
    </w:p>
    <w:p w14:paraId="0CBF65B6">
      <w:pPr>
        <w:spacing w:line="234" w:lineRule="auto"/>
        <w:ind w:left="31"/>
        <w:outlineLvl w:val="1"/>
        <w:rPr>
          <w:rFonts w:ascii="黑体" w:hAnsi="黑体" w:eastAsia="黑体" w:cs="黑体"/>
          <w:sz w:val="24"/>
          <w:szCs w:val="24"/>
        </w:rPr>
      </w:pPr>
      <w:bookmarkStart w:id="457" w:name="bookmark397"/>
      <w:bookmarkEnd w:id="457"/>
      <w:r>
        <w:rPr>
          <w:rFonts w:ascii="Times New Roman" w:hAnsi="Times New Roman" w:eastAsia="Times New Roman" w:cs="Times New Roman"/>
          <w:b/>
          <w:bCs/>
          <w:sz w:val="24"/>
          <w:szCs w:val="24"/>
        </w:rPr>
        <w:t>14.4</w:t>
      </w:r>
      <w:r>
        <w:rPr>
          <w:rFonts w:ascii="Times New Roman" w:hAnsi="Times New Roman" w:eastAsia="Times New Roman" w:cs="Times New Roman"/>
          <w:b/>
          <w:bCs/>
          <w:spacing w:val="10"/>
          <w:sz w:val="24"/>
          <w:szCs w:val="24"/>
        </w:rPr>
        <w:t xml:space="preserve">  </w:t>
      </w:r>
      <w:r>
        <w:rPr>
          <w:rFonts w:ascii="黑体" w:hAnsi="黑体" w:eastAsia="黑体" w:cs="黑体"/>
          <w:b/>
          <w:bCs/>
          <w:sz w:val="24"/>
          <w:szCs w:val="24"/>
        </w:rPr>
        <w:t>最终结清</w:t>
      </w:r>
    </w:p>
    <w:p w14:paraId="16C0EE6B">
      <w:pPr>
        <w:spacing w:before="127"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14.4.1</w:t>
      </w:r>
      <w:r>
        <w:rPr>
          <w:rFonts w:ascii="Times New Roman" w:hAnsi="Times New Roman" w:eastAsia="Times New Roman" w:cs="Times New Roman"/>
          <w:spacing w:val="57"/>
          <w:w w:val="101"/>
          <w:sz w:val="21"/>
          <w:szCs w:val="21"/>
        </w:rPr>
        <w:t xml:space="preserve"> </w:t>
      </w:r>
      <w:r>
        <w:rPr>
          <w:rFonts w:ascii="宋体" w:hAnsi="宋体" w:eastAsia="宋体" w:cs="宋体"/>
          <w:spacing w:val="-2"/>
          <w:sz w:val="21"/>
          <w:szCs w:val="21"/>
        </w:rPr>
        <w:t>最终结清申请单</w:t>
      </w:r>
    </w:p>
    <w:p w14:paraId="44CAE0C0">
      <w:pPr>
        <w:spacing w:before="140" w:line="335" w:lineRule="auto"/>
        <w:ind w:left="25" w:right="97" w:firstLine="4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）除专用合同条款另有约定外，承包人应在缺陷责任期终止证书颁发后</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天内，按专用合同条款约定的份数向发包人提交最终结清申请单，并提供相关证明材料。</w:t>
      </w:r>
    </w:p>
    <w:p w14:paraId="5D746CBF">
      <w:pPr>
        <w:spacing w:before="33" w:line="350" w:lineRule="auto"/>
        <w:ind w:left="24" w:firstLine="432"/>
        <w:rPr>
          <w:rFonts w:ascii="宋体" w:hAnsi="宋体" w:eastAsia="宋体" w:cs="宋体"/>
          <w:sz w:val="21"/>
          <w:szCs w:val="21"/>
        </w:rPr>
      </w:pPr>
      <w:r>
        <w:rPr>
          <w:rFonts w:ascii="宋体" w:hAnsi="宋体" w:eastAsia="宋体" w:cs="宋体"/>
          <w:spacing w:val="-5"/>
          <w:sz w:val="21"/>
          <w:szCs w:val="21"/>
        </w:rPr>
        <w:t>除专用合同条款另有约定外，最终结清申请</w:t>
      </w:r>
      <w:r>
        <w:rPr>
          <w:rFonts w:ascii="宋体" w:hAnsi="宋体" w:eastAsia="宋体" w:cs="宋体"/>
          <w:spacing w:val="-6"/>
          <w:sz w:val="21"/>
          <w:szCs w:val="21"/>
        </w:rPr>
        <w:t>单应列明质量保证金、应扣除的质量保证金、</w:t>
      </w:r>
      <w:r>
        <w:rPr>
          <w:rFonts w:ascii="宋体" w:hAnsi="宋体" w:eastAsia="宋体" w:cs="宋体"/>
          <w:spacing w:val="-3"/>
          <w:sz w:val="21"/>
          <w:szCs w:val="21"/>
        </w:rPr>
        <w:t>缺陷责任期内发生的增减费用。</w:t>
      </w:r>
    </w:p>
    <w:p w14:paraId="2D990495">
      <w:pPr>
        <w:spacing w:before="1" w:line="348" w:lineRule="auto"/>
        <w:ind w:left="24" w:right="120" w:firstLine="42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）发包人对最终结清申请单内容有异议的，有权要求</w:t>
      </w:r>
      <w:r>
        <w:rPr>
          <w:rFonts w:ascii="宋体" w:hAnsi="宋体" w:eastAsia="宋体" w:cs="宋体"/>
          <w:spacing w:val="-1"/>
          <w:sz w:val="21"/>
          <w:szCs w:val="21"/>
        </w:rPr>
        <w:t>承包人进行修正和提供补充资料，承包人应向发包人提交修正后的最终结清</w:t>
      </w:r>
      <w:r>
        <w:rPr>
          <w:rFonts w:ascii="宋体" w:hAnsi="宋体" w:eastAsia="宋体" w:cs="宋体"/>
          <w:spacing w:val="-2"/>
          <w:sz w:val="21"/>
          <w:szCs w:val="21"/>
        </w:rPr>
        <w:t>申请单。</w:t>
      </w:r>
    </w:p>
    <w:p w14:paraId="61506E0B">
      <w:pPr>
        <w:spacing w:before="17"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14.4.2</w:t>
      </w:r>
      <w:r>
        <w:rPr>
          <w:rFonts w:ascii="Times New Roman" w:hAnsi="Times New Roman" w:eastAsia="Times New Roman" w:cs="Times New Roman"/>
          <w:spacing w:val="62"/>
          <w:sz w:val="21"/>
          <w:szCs w:val="21"/>
        </w:rPr>
        <w:t xml:space="preserve"> </w:t>
      </w:r>
      <w:r>
        <w:rPr>
          <w:rFonts w:ascii="宋体" w:hAnsi="宋体" w:eastAsia="宋体" w:cs="宋体"/>
          <w:spacing w:val="-2"/>
          <w:sz w:val="21"/>
          <w:szCs w:val="21"/>
        </w:rPr>
        <w:t>最终结清证书和支付</w:t>
      </w:r>
    </w:p>
    <w:p w14:paraId="2C0C56E2">
      <w:pPr>
        <w:spacing w:before="126" w:line="348" w:lineRule="auto"/>
        <w:ind w:left="28" w:right="23" w:firstLine="421"/>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）除专用合同条款另有约定外，发包人应在收到</w:t>
      </w:r>
      <w:r>
        <w:rPr>
          <w:rFonts w:ascii="宋体" w:hAnsi="宋体" w:eastAsia="宋体" w:cs="宋体"/>
          <w:spacing w:val="-2"/>
          <w:sz w:val="21"/>
          <w:szCs w:val="21"/>
        </w:rPr>
        <w:t>承包人提交的最终结清申请单后</w:t>
      </w:r>
      <w:r>
        <w:rPr>
          <w:rFonts w:ascii="宋体" w:hAnsi="宋体" w:eastAsia="宋体" w:cs="宋体"/>
          <w:spacing w:val="-26"/>
          <w:sz w:val="21"/>
          <w:szCs w:val="21"/>
        </w:rPr>
        <w:t xml:space="preserve"> </w:t>
      </w:r>
      <w:r>
        <w:rPr>
          <w:rFonts w:ascii="Times New Roman" w:hAnsi="Times New Roman" w:eastAsia="Times New Roman" w:cs="Times New Roman"/>
          <w:spacing w:val="-2"/>
          <w:sz w:val="21"/>
          <w:szCs w:val="21"/>
        </w:rPr>
        <w:t>14</w:t>
      </w:r>
      <w:r>
        <w:rPr>
          <w:rFonts w:ascii="宋体" w:hAnsi="宋体" w:eastAsia="宋体" w:cs="宋体"/>
          <w:spacing w:val="-6"/>
          <w:sz w:val="21"/>
          <w:szCs w:val="21"/>
        </w:rPr>
        <w:t>天内完成审批并向承包人颁发最终结清证书。发包人逾期未完成审批，又未提出修改意见的，</w:t>
      </w:r>
    </w:p>
    <w:p w14:paraId="2DA35CE6">
      <w:pPr>
        <w:spacing w:line="348" w:lineRule="auto"/>
        <w:rPr>
          <w:rFonts w:ascii="宋体" w:hAnsi="宋体" w:eastAsia="宋体" w:cs="宋体"/>
          <w:sz w:val="21"/>
          <w:szCs w:val="21"/>
        </w:rPr>
        <w:sectPr>
          <w:footerReference r:id="rId192" w:type="default"/>
          <w:pgSz w:w="11910" w:h="16845"/>
          <w:pgMar w:top="400" w:right="1689" w:bottom="1110" w:left="1786" w:header="0" w:footer="882" w:gutter="0"/>
          <w:cols w:space="720" w:num="1"/>
        </w:sectPr>
      </w:pPr>
    </w:p>
    <w:p w14:paraId="6A898F35">
      <w:pPr>
        <w:pStyle w:val="2"/>
        <w:spacing w:line="275" w:lineRule="auto"/>
      </w:pPr>
    </w:p>
    <w:p w14:paraId="5701F391">
      <w:pPr>
        <w:pStyle w:val="2"/>
        <w:spacing w:line="275" w:lineRule="auto"/>
      </w:pPr>
    </w:p>
    <w:p w14:paraId="31F899A0">
      <w:pPr>
        <w:pStyle w:val="2"/>
        <w:spacing w:line="275" w:lineRule="auto"/>
      </w:pPr>
    </w:p>
    <w:p w14:paraId="04D25CFF">
      <w:pPr>
        <w:pStyle w:val="2"/>
        <w:spacing w:line="275" w:lineRule="auto"/>
      </w:pPr>
    </w:p>
    <w:p w14:paraId="12006A35">
      <w:pPr>
        <w:spacing w:before="68" w:line="350" w:lineRule="auto"/>
        <w:ind w:left="25" w:right="62" w:hanging="2"/>
        <w:rPr>
          <w:rFonts w:ascii="宋体" w:hAnsi="宋体" w:eastAsia="宋体" w:cs="宋体"/>
          <w:sz w:val="21"/>
          <w:szCs w:val="21"/>
        </w:rPr>
      </w:pPr>
      <w:r>
        <w:rPr>
          <w:rFonts w:ascii="宋体" w:hAnsi="宋体" w:eastAsia="宋体" w:cs="宋体"/>
          <w:spacing w:val="-2"/>
          <w:sz w:val="21"/>
          <w:szCs w:val="21"/>
        </w:rPr>
        <w:t>视为发包人同意承包人提交的最终结清申请单，且自发包人收到承包人提交的最</w:t>
      </w:r>
      <w:r>
        <w:rPr>
          <w:rFonts w:ascii="宋体" w:hAnsi="宋体" w:eastAsia="宋体" w:cs="宋体"/>
          <w:spacing w:val="-3"/>
          <w:sz w:val="21"/>
          <w:szCs w:val="21"/>
        </w:rPr>
        <w:t>终结清申请</w:t>
      </w:r>
      <w:r>
        <w:rPr>
          <w:rFonts w:ascii="宋体" w:hAnsi="宋体" w:eastAsia="宋体" w:cs="宋体"/>
          <w:spacing w:val="-4"/>
          <w:sz w:val="21"/>
          <w:szCs w:val="21"/>
        </w:rPr>
        <w:t>单后</w:t>
      </w:r>
      <w:r>
        <w:rPr>
          <w:rFonts w:ascii="宋体" w:hAnsi="宋体" w:eastAsia="宋体" w:cs="宋体"/>
          <w:spacing w:val="-18"/>
          <w:sz w:val="21"/>
          <w:szCs w:val="21"/>
        </w:rPr>
        <w:t xml:space="preserve"> </w:t>
      </w:r>
      <w:r>
        <w:rPr>
          <w:rFonts w:ascii="Times New Roman" w:hAnsi="Times New Roman" w:eastAsia="Times New Roman" w:cs="Times New Roman"/>
          <w:spacing w:val="-4"/>
          <w:sz w:val="21"/>
          <w:szCs w:val="21"/>
        </w:rPr>
        <w:t>15</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天起视为已颁发最终结清证书。</w:t>
      </w:r>
    </w:p>
    <w:p w14:paraId="42C5CC7F">
      <w:pPr>
        <w:spacing w:before="3" w:line="351" w:lineRule="auto"/>
        <w:ind w:left="23" w:right="57" w:firstLine="427"/>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）除专用合同条款另有约定外，发包人应在颁发最终结清证书后</w:t>
      </w:r>
      <w:r>
        <w:rPr>
          <w:rFonts w:ascii="宋体" w:hAnsi="宋体" w:eastAsia="宋体" w:cs="宋体"/>
          <w:spacing w:val="-17"/>
          <w:sz w:val="21"/>
          <w:szCs w:val="21"/>
        </w:rPr>
        <w:t xml:space="preserve"> </w:t>
      </w:r>
      <w:r>
        <w:rPr>
          <w:rFonts w:ascii="Times New Roman" w:hAnsi="Times New Roman" w:eastAsia="Times New Roman" w:cs="Times New Roman"/>
          <w:spacing w:val="-1"/>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天内完成支付。</w:t>
      </w:r>
      <w:r>
        <w:rPr>
          <w:rFonts w:ascii="宋体" w:hAnsi="宋体" w:eastAsia="宋体" w:cs="宋体"/>
          <w:spacing w:val="-2"/>
          <w:sz w:val="21"/>
          <w:szCs w:val="21"/>
        </w:rPr>
        <w:t>发包人逾期支付的，按照中国人民银行发布的同期同类贷款基准利率支付违约金；逾期支付</w:t>
      </w:r>
      <w:r>
        <w:rPr>
          <w:rFonts w:ascii="宋体" w:hAnsi="宋体" w:eastAsia="宋体" w:cs="宋体"/>
          <w:spacing w:val="-1"/>
          <w:sz w:val="21"/>
          <w:szCs w:val="21"/>
        </w:rPr>
        <w:t>超过</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56</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天的，按照中国人民银行发布的同期同类贷款基准利率的两</w:t>
      </w:r>
      <w:r>
        <w:rPr>
          <w:rFonts w:ascii="宋体" w:hAnsi="宋体" w:eastAsia="宋体" w:cs="宋体"/>
          <w:spacing w:val="-2"/>
          <w:sz w:val="21"/>
          <w:szCs w:val="21"/>
        </w:rPr>
        <w:t>倍支付违约金。</w:t>
      </w:r>
    </w:p>
    <w:p w14:paraId="1FF6589B">
      <w:pPr>
        <w:spacing w:before="1" w:line="353" w:lineRule="auto"/>
        <w:ind w:left="26" w:right="50" w:firstLine="42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）承包人对发包人颁发的最终结清证书有异议的，按第</w:t>
      </w:r>
      <w:r>
        <w:rPr>
          <w:rFonts w:ascii="宋体" w:hAnsi="宋体" w:eastAsia="宋体" w:cs="宋体"/>
          <w:spacing w:val="-33"/>
          <w:sz w:val="21"/>
          <w:szCs w:val="21"/>
        </w:rPr>
        <w:t xml:space="preserve"> </w:t>
      </w:r>
      <w:r>
        <w:rPr>
          <w:rFonts w:ascii="Times New Roman" w:hAnsi="Times New Roman" w:eastAsia="Times New Roman" w:cs="Times New Roman"/>
          <w:spacing w:val="-3"/>
          <w:sz w:val="21"/>
          <w:szCs w:val="21"/>
        </w:rPr>
        <w:t>20</w:t>
      </w:r>
      <w:r>
        <w:rPr>
          <w:rFonts w:ascii="Times New Roman" w:hAnsi="Times New Roman" w:eastAsia="Times New Roman" w:cs="Times New Roman"/>
          <w:spacing w:val="18"/>
          <w:sz w:val="21"/>
          <w:szCs w:val="21"/>
        </w:rPr>
        <w:t xml:space="preserve"> </w:t>
      </w:r>
      <w:r>
        <w:rPr>
          <w:rFonts w:ascii="宋体" w:hAnsi="宋体" w:eastAsia="宋体" w:cs="宋体"/>
          <w:spacing w:val="-3"/>
          <w:sz w:val="21"/>
          <w:szCs w:val="21"/>
        </w:rPr>
        <w:t>条〔争议解决〕的约定办</w:t>
      </w:r>
      <w:r>
        <w:rPr>
          <w:rFonts w:ascii="宋体" w:hAnsi="宋体" w:eastAsia="宋体" w:cs="宋体"/>
          <w:spacing w:val="-11"/>
          <w:sz w:val="21"/>
          <w:szCs w:val="21"/>
        </w:rPr>
        <w:t>理。</w:t>
      </w:r>
    </w:p>
    <w:p w14:paraId="02765CEA">
      <w:pPr>
        <w:spacing w:before="46" w:line="236" w:lineRule="auto"/>
        <w:ind w:left="34"/>
        <w:outlineLvl w:val="0"/>
        <w:rPr>
          <w:rFonts w:ascii="黑体" w:hAnsi="黑体" w:eastAsia="黑体" w:cs="黑体"/>
          <w:sz w:val="28"/>
          <w:szCs w:val="28"/>
        </w:rPr>
      </w:pPr>
      <w:bookmarkStart w:id="458" w:name="bookmark399"/>
      <w:bookmarkEnd w:id="458"/>
      <w:bookmarkStart w:id="459" w:name="bookmark398"/>
      <w:bookmarkEnd w:id="459"/>
      <w:r>
        <w:rPr>
          <w:rFonts w:ascii="Times New Roman" w:hAnsi="Times New Roman" w:eastAsia="Times New Roman" w:cs="Times New Roman"/>
          <w:b/>
          <w:bCs/>
          <w:spacing w:val="3"/>
          <w:sz w:val="28"/>
          <w:szCs w:val="28"/>
        </w:rPr>
        <w:t>15.</w:t>
      </w:r>
      <w:r>
        <w:rPr>
          <w:rFonts w:ascii="Times New Roman" w:hAnsi="Times New Roman" w:eastAsia="Times New Roman" w:cs="Times New Roman"/>
          <w:b/>
          <w:bCs/>
          <w:spacing w:val="60"/>
          <w:sz w:val="28"/>
          <w:szCs w:val="28"/>
        </w:rPr>
        <w:t xml:space="preserve"> </w:t>
      </w:r>
      <w:r>
        <w:rPr>
          <w:rFonts w:ascii="黑体" w:hAnsi="黑体" w:eastAsia="黑体" w:cs="黑体"/>
          <w:b/>
          <w:bCs/>
          <w:spacing w:val="3"/>
          <w:sz w:val="28"/>
          <w:szCs w:val="28"/>
        </w:rPr>
        <w:t>缺陷责任与保修</w:t>
      </w:r>
    </w:p>
    <w:p w14:paraId="4EBE902E">
      <w:pPr>
        <w:spacing w:before="71" w:line="233" w:lineRule="auto"/>
        <w:ind w:left="31"/>
        <w:outlineLvl w:val="1"/>
        <w:rPr>
          <w:rFonts w:ascii="黑体" w:hAnsi="黑体" w:eastAsia="黑体" w:cs="黑体"/>
          <w:sz w:val="24"/>
          <w:szCs w:val="24"/>
        </w:rPr>
      </w:pPr>
      <w:bookmarkStart w:id="460" w:name="bookmark697"/>
      <w:bookmarkEnd w:id="460"/>
      <w:r>
        <w:rPr>
          <w:rFonts w:ascii="Times New Roman" w:hAnsi="Times New Roman" w:eastAsia="Times New Roman" w:cs="Times New Roman"/>
          <w:b/>
          <w:bCs/>
          <w:spacing w:val="1"/>
          <w:sz w:val="24"/>
          <w:szCs w:val="24"/>
        </w:rPr>
        <w:t xml:space="preserve">15.1  </w:t>
      </w:r>
      <w:r>
        <w:rPr>
          <w:rFonts w:ascii="黑体" w:hAnsi="黑体" w:eastAsia="黑体" w:cs="黑体"/>
          <w:b/>
          <w:bCs/>
          <w:spacing w:val="1"/>
          <w:sz w:val="24"/>
          <w:szCs w:val="24"/>
        </w:rPr>
        <w:t>工程保修的原则</w:t>
      </w:r>
    </w:p>
    <w:p w14:paraId="6297EE84">
      <w:pPr>
        <w:spacing w:before="129" w:line="338" w:lineRule="auto"/>
        <w:ind w:left="24" w:right="66" w:firstLine="419"/>
        <w:rPr>
          <w:rFonts w:ascii="宋体" w:hAnsi="宋体" w:eastAsia="宋体" w:cs="宋体"/>
          <w:sz w:val="21"/>
          <w:szCs w:val="21"/>
        </w:rPr>
      </w:pPr>
      <w:r>
        <w:rPr>
          <w:rFonts w:ascii="宋体" w:hAnsi="宋体" w:eastAsia="宋体" w:cs="宋体"/>
          <w:spacing w:val="-2"/>
          <w:sz w:val="21"/>
          <w:szCs w:val="21"/>
        </w:rPr>
        <w:t>在工程移交发包人后，因承包人原因产生的质量缺陷，承</w:t>
      </w:r>
      <w:r>
        <w:rPr>
          <w:rFonts w:ascii="宋体" w:hAnsi="宋体" w:eastAsia="宋体" w:cs="宋体"/>
          <w:spacing w:val="-3"/>
          <w:sz w:val="21"/>
          <w:szCs w:val="21"/>
        </w:rPr>
        <w:t>包人应承担质量缺陷责任和保</w:t>
      </w:r>
      <w:r>
        <w:rPr>
          <w:rFonts w:ascii="宋体" w:hAnsi="宋体" w:eastAsia="宋体" w:cs="宋体"/>
          <w:spacing w:val="-1"/>
          <w:sz w:val="21"/>
          <w:szCs w:val="21"/>
        </w:rPr>
        <w:t>修义务。缺陷责任期届满，承包人仍应按合同约定的工程各部位保修年限承担保修义务。</w:t>
      </w:r>
    </w:p>
    <w:p w14:paraId="6DEC3CAC">
      <w:pPr>
        <w:spacing w:before="1" w:line="231" w:lineRule="auto"/>
        <w:ind w:left="31"/>
        <w:outlineLvl w:val="1"/>
        <w:rPr>
          <w:rFonts w:ascii="黑体" w:hAnsi="黑体" w:eastAsia="黑体" w:cs="黑体"/>
          <w:sz w:val="24"/>
          <w:szCs w:val="24"/>
        </w:rPr>
      </w:pPr>
      <w:bookmarkStart w:id="461" w:name="bookmark400"/>
      <w:bookmarkEnd w:id="461"/>
      <w:r>
        <w:rPr>
          <w:rFonts w:ascii="Times New Roman" w:hAnsi="Times New Roman" w:eastAsia="Times New Roman" w:cs="Times New Roman"/>
          <w:b/>
          <w:bCs/>
          <w:spacing w:val="1"/>
          <w:sz w:val="24"/>
          <w:szCs w:val="24"/>
        </w:rPr>
        <w:t xml:space="preserve">15.2  </w:t>
      </w:r>
      <w:r>
        <w:rPr>
          <w:rFonts w:ascii="黑体" w:hAnsi="黑体" w:eastAsia="黑体" w:cs="黑体"/>
          <w:b/>
          <w:bCs/>
          <w:spacing w:val="1"/>
          <w:sz w:val="24"/>
          <w:szCs w:val="24"/>
        </w:rPr>
        <w:t>缺陷责任期</w:t>
      </w:r>
    </w:p>
    <w:p w14:paraId="2C7B422E">
      <w:pPr>
        <w:spacing w:before="131" w:line="344" w:lineRule="auto"/>
        <w:ind w:left="24" w:right="48"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15.2.1  </w:t>
      </w:r>
      <w:r>
        <w:rPr>
          <w:rFonts w:ascii="宋体" w:hAnsi="宋体" w:eastAsia="宋体" w:cs="宋体"/>
          <w:spacing w:val="-2"/>
          <w:sz w:val="21"/>
          <w:szCs w:val="21"/>
        </w:rPr>
        <w:t>缺陷责任期从工程通过竣工验收之日起计算，合同当事人应在专用合同条</w:t>
      </w:r>
      <w:r>
        <w:rPr>
          <w:rFonts w:ascii="宋体" w:hAnsi="宋体" w:eastAsia="宋体" w:cs="宋体"/>
          <w:spacing w:val="-3"/>
          <w:sz w:val="21"/>
          <w:szCs w:val="21"/>
        </w:rPr>
        <w:t>款约定</w:t>
      </w:r>
      <w:r>
        <w:rPr>
          <w:rFonts w:ascii="宋体" w:hAnsi="宋体" w:eastAsia="宋体" w:cs="宋体"/>
          <w:spacing w:val="-1"/>
          <w:sz w:val="21"/>
          <w:szCs w:val="21"/>
        </w:rPr>
        <w:t>缺陷责任期的具体期限，但该期限最长不超过</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15"/>
          <w:w w:val="101"/>
          <w:sz w:val="21"/>
          <w:szCs w:val="21"/>
        </w:rPr>
        <w:t xml:space="preserve"> </w:t>
      </w:r>
      <w:r>
        <w:rPr>
          <w:rFonts w:ascii="宋体" w:hAnsi="宋体" w:eastAsia="宋体" w:cs="宋体"/>
          <w:spacing w:val="-2"/>
          <w:sz w:val="21"/>
          <w:szCs w:val="21"/>
        </w:rPr>
        <w:t>个月。</w:t>
      </w:r>
    </w:p>
    <w:p w14:paraId="26F1966A">
      <w:pPr>
        <w:spacing w:before="13" w:line="351" w:lineRule="auto"/>
        <w:ind w:left="24" w:right="16" w:firstLine="422"/>
        <w:jc w:val="both"/>
        <w:rPr>
          <w:rFonts w:ascii="宋体" w:hAnsi="宋体" w:eastAsia="宋体" w:cs="宋体"/>
          <w:sz w:val="21"/>
          <w:szCs w:val="21"/>
        </w:rPr>
      </w:pPr>
      <w:r>
        <w:rPr>
          <w:rFonts w:ascii="宋体" w:hAnsi="宋体" w:eastAsia="宋体" w:cs="宋体"/>
          <w:spacing w:val="-2"/>
          <w:sz w:val="21"/>
          <w:szCs w:val="21"/>
        </w:rPr>
        <w:t>单位工程先于全部工程进行验收，经验收合格并交付使用的，该单位</w:t>
      </w:r>
      <w:r>
        <w:rPr>
          <w:rFonts w:ascii="宋体" w:hAnsi="宋体" w:eastAsia="宋体" w:cs="宋体"/>
          <w:spacing w:val="-3"/>
          <w:sz w:val="21"/>
          <w:szCs w:val="21"/>
        </w:rPr>
        <w:t>工程缺陷责任期自</w:t>
      </w:r>
      <w:r>
        <w:rPr>
          <w:rFonts w:ascii="宋体" w:hAnsi="宋体" w:eastAsia="宋体" w:cs="宋体"/>
          <w:spacing w:val="-1"/>
          <w:sz w:val="21"/>
          <w:szCs w:val="21"/>
        </w:rPr>
        <w:t>单位工程验收合格之日起算。因承包人原因导致工程无法按合同约定期限进行竣工验收的，</w:t>
      </w:r>
      <w:r>
        <w:rPr>
          <w:rFonts w:ascii="宋体" w:hAnsi="宋体" w:eastAsia="宋体" w:cs="宋体"/>
          <w:spacing w:val="-2"/>
          <w:sz w:val="21"/>
          <w:szCs w:val="21"/>
        </w:rPr>
        <w:t>缺陷责任期从实际通过竣工验收之日起计算。因发包人原因导致工程无法按合同</w:t>
      </w:r>
      <w:r>
        <w:rPr>
          <w:rFonts w:ascii="宋体" w:hAnsi="宋体" w:eastAsia="宋体" w:cs="宋体"/>
          <w:spacing w:val="-3"/>
          <w:sz w:val="21"/>
          <w:szCs w:val="21"/>
        </w:rPr>
        <w:t>约定期限进</w:t>
      </w:r>
      <w:r>
        <w:rPr>
          <w:rFonts w:ascii="宋体" w:hAnsi="宋体" w:eastAsia="宋体" w:cs="宋体"/>
          <w:spacing w:val="-1"/>
          <w:sz w:val="21"/>
          <w:szCs w:val="21"/>
        </w:rPr>
        <w:t>行竣工验收的，在承包人提交竣工验收报告</w:t>
      </w:r>
      <w:r>
        <w:rPr>
          <w:rFonts w:ascii="宋体" w:hAnsi="宋体" w:eastAsia="宋体" w:cs="宋体"/>
          <w:spacing w:val="-27"/>
          <w:sz w:val="21"/>
          <w:szCs w:val="21"/>
        </w:rPr>
        <w:t xml:space="preserve"> </w:t>
      </w:r>
      <w:r>
        <w:rPr>
          <w:rFonts w:ascii="Times New Roman" w:hAnsi="Times New Roman" w:eastAsia="Times New Roman" w:cs="Times New Roman"/>
          <w:spacing w:val="-1"/>
          <w:sz w:val="21"/>
          <w:szCs w:val="21"/>
        </w:rPr>
        <w:t>90</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天后，工程自动进入缺陷责任期；发包人未经竣工验收擅自使用工程的，缺陷责任期自工程转移占有之日起开始计算。</w:t>
      </w:r>
    </w:p>
    <w:p w14:paraId="12C0F9F2">
      <w:pPr>
        <w:spacing w:before="4" w:line="353" w:lineRule="auto"/>
        <w:ind w:left="24" w:right="13" w:firstLine="436"/>
        <w:jc w:val="both"/>
        <w:rPr>
          <w:rFonts w:ascii="宋体" w:hAnsi="宋体" w:eastAsia="宋体" w:cs="宋体"/>
          <w:sz w:val="21"/>
          <w:szCs w:val="21"/>
        </w:rPr>
      </w:pPr>
      <w:r>
        <w:rPr>
          <w:rFonts w:ascii="Times New Roman" w:hAnsi="Times New Roman" w:eastAsia="Times New Roman" w:cs="Times New Roman"/>
          <w:spacing w:val="-1"/>
          <w:sz w:val="21"/>
          <w:szCs w:val="21"/>
        </w:rPr>
        <w:t>15.2.2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缺陷责任期内，由承包人原因造成的缺陷，承包人应负责维</w:t>
      </w:r>
      <w:r>
        <w:rPr>
          <w:rFonts w:ascii="宋体" w:hAnsi="宋体" w:eastAsia="宋体" w:cs="宋体"/>
          <w:spacing w:val="-2"/>
          <w:sz w:val="21"/>
          <w:szCs w:val="21"/>
        </w:rPr>
        <w:t>修，并承担鉴定及维</w:t>
      </w:r>
      <w:r>
        <w:rPr>
          <w:rFonts w:ascii="宋体" w:hAnsi="宋体" w:eastAsia="宋体" w:cs="宋体"/>
          <w:spacing w:val="-1"/>
          <w:sz w:val="21"/>
          <w:szCs w:val="21"/>
        </w:rPr>
        <w:t>修费用。如承包人不维修也不承担费用，发包人可按合同约定从保证金或银行保函中扣除，</w:t>
      </w:r>
      <w:r>
        <w:rPr>
          <w:rFonts w:ascii="宋体" w:hAnsi="宋体" w:eastAsia="宋体" w:cs="宋体"/>
          <w:spacing w:val="-2"/>
          <w:sz w:val="21"/>
          <w:szCs w:val="21"/>
        </w:rPr>
        <w:t>费用超出保证金额的，发包人可按合同约定向承包人进行索赔。承包人维修并承担相应费用后，不免除对工程的损失赔偿责任。发包人有权要求承包人延长缺陷责任期，并</w:t>
      </w:r>
      <w:r>
        <w:rPr>
          <w:rFonts w:ascii="宋体" w:hAnsi="宋体" w:eastAsia="宋体" w:cs="宋体"/>
          <w:spacing w:val="-3"/>
          <w:sz w:val="21"/>
          <w:szCs w:val="21"/>
        </w:rPr>
        <w:t>应在原缺陷</w:t>
      </w:r>
      <w:r>
        <w:rPr>
          <w:rFonts w:ascii="宋体" w:hAnsi="宋体" w:eastAsia="宋体" w:cs="宋体"/>
          <w:spacing w:val="-1"/>
          <w:sz w:val="21"/>
          <w:szCs w:val="21"/>
        </w:rPr>
        <w:t>责任期届满前发出延长通知。但缺陷责任期（含延长部分）最长不能超过</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24</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个月。</w:t>
      </w:r>
    </w:p>
    <w:p w14:paraId="4B88E5C8">
      <w:pPr>
        <w:spacing w:line="345" w:lineRule="auto"/>
        <w:ind w:left="24" w:right="59" w:firstLine="445"/>
        <w:rPr>
          <w:rFonts w:ascii="宋体" w:hAnsi="宋体" w:eastAsia="宋体" w:cs="宋体"/>
          <w:sz w:val="21"/>
          <w:szCs w:val="21"/>
        </w:rPr>
      </w:pPr>
      <w:r>
        <w:rPr>
          <w:rFonts w:ascii="宋体" w:hAnsi="宋体" w:eastAsia="宋体" w:cs="宋体"/>
          <w:spacing w:val="-3"/>
          <w:sz w:val="21"/>
          <w:szCs w:val="21"/>
        </w:rPr>
        <w:t>由他人原因造成的缺陷，发包人负责组织维修，承包人不承担费用，且发包人不得从保</w:t>
      </w:r>
      <w:r>
        <w:rPr>
          <w:rFonts w:ascii="宋体" w:hAnsi="宋体" w:eastAsia="宋体" w:cs="宋体"/>
          <w:spacing w:val="-4"/>
          <w:sz w:val="21"/>
          <w:szCs w:val="21"/>
        </w:rPr>
        <w:t>证金中扣除费用。</w:t>
      </w:r>
    </w:p>
    <w:p w14:paraId="4CF0B95B">
      <w:pPr>
        <w:spacing w:before="12" w:line="348" w:lineRule="auto"/>
        <w:ind w:left="24"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15.2.3  </w:t>
      </w:r>
      <w:r>
        <w:rPr>
          <w:rFonts w:ascii="宋体" w:hAnsi="宋体" w:eastAsia="宋体" w:cs="宋体"/>
          <w:spacing w:val="-1"/>
          <w:sz w:val="21"/>
          <w:szCs w:val="21"/>
        </w:rPr>
        <w:t>任何一项缺陷或损坏修复后，经检查证明其影响了工程或工程设备的使用性能，承包人应重新进行合同约定的试验和试运行，试验和试运行的全部费用应由责任方承担。</w:t>
      </w:r>
    </w:p>
    <w:p w14:paraId="69E844DA">
      <w:pPr>
        <w:spacing w:before="4" w:line="347" w:lineRule="auto"/>
        <w:ind w:left="24" w:right="49"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15.2.4  </w:t>
      </w:r>
      <w:r>
        <w:rPr>
          <w:rFonts w:ascii="宋体" w:hAnsi="宋体" w:eastAsia="宋体" w:cs="宋体"/>
          <w:spacing w:val="-2"/>
          <w:sz w:val="21"/>
          <w:szCs w:val="21"/>
        </w:rPr>
        <w:t>除专用合同条款另有约定外，承包人</w:t>
      </w:r>
      <w:r>
        <w:rPr>
          <w:rFonts w:ascii="宋体" w:hAnsi="宋体" w:eastAsia="宋体" w:cs="宋体"/>
          <w:spacing w:val="-3"/>
          <w:sz w:val="21"/>
          <w:szCs w:val="21"/>
        </w:rPr>
        <w:t>应于缺陷责任期届满后</w:t>
      </w:r>
      <w:r>
        <w:rPr>
          <w:rFonts w:ascii="宋体" w:hAnsi="宋体" w:eastAsia="宋体" w:cs="宋体"/>
          <w:spacing w:val="-57"/>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天内向发包人发出</w:t>
      </w:r>
      <w:r>
        <w:rPr>
          <w:rFonts w:ascii="宋体" w:hAnsi="宋体" w:eastAsia="宋体" w:cs="宋体"/>
          <w:spacing w:val="-1"/>
          <w:sz w:val="21"/>
          <w:szCs w:val="21"/>
        </w:rPr>
        <w:t>缺陷责任期届满通知，发包人应在收到缺陷责任期满通知后</w:t>
      </w:r>
      <w:r>
        <w:rPr>
          <w:rFonts w:ascii="宋体" w:hAnsi="宋体" w:eastAsia="宋体" w:cs="宋体"/>
          <w:spacing w:val="-14"/>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天内核实承包人是否履行缺</w:t>
      </w:r>
      <w:r>
        <w:rPr>
          <w:rFonts w:ascii="宋体" w:hAnsi="宋体" w:eastAsia="宋体" w:cs="宋体"/>
          <w:spacing w:val="-2"/>
          <w:sz w:val="21"/>
          <w:szCs w:val="21"/>
        </w:rPr>
        <w:t>陷修复义务，承包人未能履行缺陷修复义务的，发包人有权扣除相应金额的</w:t>
      </w:r>
      <w:r>
        <w:rPr>
          <w:rFonts w:ascii="宋体" w:hAnsi="宋体" w:eastAsia="宋体" w:cs="宋体"/>
          <w:spacing w:val="-3"/>
          <w:sz w:val="21"/>
          <w:szCs w:val="21"/>
        </w:rPr>
        <w:t>维修费用。发包</w:t>
      </w:r>
      <w:r>
        <w:rPr>
          <w:rFonts w:ascii="宋体" w:hAnsi="宋体" w:eastAsia="宋体" w:cs="宋体"/>
          <w:spacing w:val="-1"/>
          <w:sz w:val="21"/>
          <w:szCs w:val="21"/>
        </w:rPr>
        <w:t>人应在收到缺陷责任期届满通知后</w:t>
      </w:r>
      <w:r>
        <w:rPr>
          <w:rFonts w:ascii="宋体" w:hAnsi="宋体" w:eastAsia="宋体" w:cs="宋体"/>
          <w:spacing w:val="-20"/>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天内，向承包人颁发缺陷责任期终止证</w:t>
      </w:r>
      <w:r>
        <w:rPr>
          <w:rFonts w:ascii="宋体" w:hAnsi="宋体" w:eastAsia="宋体" w:cs="宋体"/>
          <w:spacing w:val="-2"/>
          <w:sz w:val="21"/>
          <w:szCs w:val="21"/>
        </w:rPr>
        <w:t>书。</w:t>
      </w:r>
    </w:p>
    <w:p w14:paraId="15425058">
      <w:pPr>
        <w:spacing w:before="1" w:line="233" w:lineRule="auto"/>
        <w:ind w:left="31"/>
        <w:outlineLvl w:val="1"/>
        <w:rPr>
          <w:rFonts w:ascii="黑体" w:hAnsi="黑体" w:eastAsia="黑体" w:cs="黑体"/>
          <w:sz w:val="24"/>
          <w:szCs w:val="24"/>
        </w:rPr>
      </w:pPr>
      <w:bookmarkStart w:id="462" w:name="bookmark401"/>
      <w:bookmarkEnd w:id="462"/>
      <w:r>
        <w:rPr>
          <w:rFonts w:ascii="Times New Roman" w:hAnsi="Times New Roman" w:eastAsia="Times New Roman" w:cs="Times New Roman"/>
          <w:b/>
          <w:bCs/>
          <w:spacing w:val="1"/>
          <w:sz w:val="24"/>
          <w:szCs w:val="24"/>
        </w:rPr>
        <w:t xml:space="preserve">15.3  </w:t>
      </w:r>
      <w:r>
        <w:rPr>
          <w:rFonts w:ascii="黑体" w:hAnsi="黑体" w:eastAsia="黑体" w:cs="黑体"/>
          <w:b/>
          <w:bCs/>
          <w:spacing w:val="1"/>
          <w:sz w:val="24"/>
          <w:szCs w:val="24"/>
        </w:rPr>
        <w:t>质量保证金</w:t>
      </w:r>
    </w:p>
    <w:p w14:paraId="6AC180A3">
      <w:pPr>
        <w:spacing w:before="127" w:line="220" w:lineRule="auto"/>
        <w:ind w:left="446"/>
        <w:rPr>
          <w:rFonts w:ascii="宋体" w:hAnsi="宋体" w:eastAsia="宋体" w:cs="宋体"/>
          <w:sz w:val="21"/>
          <w:szCs w:val="21"/>
        </w:rPr>
      </w:pPr>
      <w:r>
        <w:rPr>
          <w:rFonts w:ascii="宋体" w:hAnsi="宋体" w:eastAsia="宋体" w:cs="宋体"/>
          <w:spacing w:val="-1"/>
          <w:sz w:val="21"/>
          <w:szCs w:val="21"/>
        </w:rPr>
        <w:t>经合同当事人协商一致扣留质量保证金的，应在专用合同条款中予以明确。</w:t>
      </w:r>
    </w:p>
    <w:p w14:paraId="02C85D24">
      <w:pPr>
        <w:spacing w:line="220" w:lineRule="auto"/>
        <w:rPr>
          <w:rFonts w:ascii="宋体" w:hAnsi="宋体" w:eastAsia="宋体" w:cs="宋体"/>
          <w:sz w:val="21"/>
          <w:szCs w:val="21"/>
        </w:rPr>
        <w:sectPr>
          <w:footerReference r:id="rId193" w:type="default"/>
          <w:pgSz w:w="11910" w:h="16845"/>
          <w:pgMar w:top="400" w:right="1721" w:bottom="1110" w:left="1786" w:header="0" w:footer="883" w:gutter="0"/>
          <w:cols w:space="720" w:num="1"/>
        </w:sectPr>
      </w:pPr>
    </w:p>
    <w:p w14:paraId="4CD83F96">
      <w:pPr>
        <w:pStyle w:val="2"/>
        <w:spacing w:line="275" w:lineRule="auto"/>
      </w:pPr>
    </w:p>
    <w:p w14:paraId="2130EA14">
      <w:pPr>
        <w:pStyle w:val="2"/>
        <w:spacing w:line="275" w:lineRule="auto"/>
      </w:pPr>
    </w:p>
    <w:p w14:paraId="777DF8CF">
      <w:pPr>
        <w:pStyle w:val="2"/>
        <w:spacing w:line="275" w:lineRule="auto"/>
      </w:pPr>
    </w:p>
    <w:p w14:paraId="42818342">
      <w:pPr>
        <w:pStyle w:val="2"/>
        <w:spacing w:line="275" w:lineRule="auto"/>
      </w:pPr>
    </w:p>
    <w:p w14:paraId="0240F41A">
      <w:pPr>
        <w:spacing w:before="69" w:line="219" w:lineRule="auto"/>
        <w:jc w:val="right"/>
        <w:rPr>
          <w:rFonts w:ascii="宋体" w:hAnsi="宋体" w:eastAsia="宋体" w:cs="宋体"/>
          <w:sz w:val="21"/>
          <w:szCs w:val="21"/>
        </w:rPr>
      </w:pPr>
      <w:r>
        <w:rPr>
          <w:rFonts w:ascii="宋体" w:hAnsi="宋体" w:eastAsia="宋体" w:cs="宋体"/>
          <w:spacing w:val="-5"/>
          <w:sz w:val="21"/>
          <w:szCs w:val="21"/>
        </w:rPr>
        <w:t>在工程项目竣工前，承包人已经提供履约担保的，发包人不得同时预留工程</w:t>
      </w:r>
      <w:r>
        <w:rPr>
          <w:rFonts w:ascii="宋体" w:hAnsi="宋体" w:eastAsia="宋体" w:cs="宋体"/>
          <w:spacing w:val="-6"/>
          <w:sz w:val="21"/>
          <w:szCs w:val="21"/>
        </w:rPr>
        <w:t>质量保证金。</w:t>
      </w:r>
    </w:p>
    <w:p w14:paraId="0ECCDEEB">
      <w:pPr>
        <w:spacing w:before="156"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15.3.1</w:t>
      </w:r>
      <w:r>
        <w:rPr>
          <w:rFonts w:ascii="Times New Roman" w:hAnsi="Times New Roman" w:eastAsia="Times New Roman" w:cs="Times New Roman"/>
          <w:spacing w:val="49"/>
          <w:w w:val="101"/>
          <w:sz w:val="21"/>
          <w:szCs w:val="21"/>
        </w:rPr>
        <w:t xml:space="preserve"> </w:t>
      </w:r>
      <w:r>
        <w:rPr>
          <w:rFonts w:ascii="宋体" w:hAnsi="宋体" w:eastAsia="宋体" w:cs="宋体"/>
          <w:spacing w:val="-1"/>
          <w:sz w:val="21"/>
          <w:szCs w:val="21"/>
        </w:rPr>
        <w:t>承包人提供质量保证金的方式</w:t>
      </w:r>
    </w:p>
    <w:p w14:paraId="507BEF9B">
      <w:pPr>
        <w:spacing w:before="125" w:line="219" w:lineRule="auto"/>
        <w:ind w:left="444"/>
        <w:rPr>
          <w:rFonts w:ascii="宋体" w:hAnsi="宋体" w:eastAsia="宋体" w:cs="宋体"/>
          <w:sz w:val="21"/>
          <w:szCs w:val="21"/>
        </w:rPr>
      </w:pPr>
      <w:r>
        <w:rPr>
          <w:rFonts w:ascii="宋体" w:hAnsi="宋体" w:eastAsia="宋体" w:cs="宋体"/>
          <w:spacing w:val="-2"/>
          <w:sz w:val="21"/>
          <w:szCs w:val="21"/>
        </w:rPr>
        <w:t>承包人提供质量保证金有以下三种方式：</w:t>
      </w:r>
    </w:p>
    <w:p w14:paraId="16403E6F">
      <w:pPr>
        <w:spacing w:before="156" w:line="234"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）质量保证金保函；</w:t>
      </w:r>
    </w:p>
    <w:p w14:paraId="76DBBD18">
      <w:pPr>
        <w:spacing w:before="139" w:line="234" w:lineRule="auto"/>
        <w:ind w:left="45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）相应比例的工程款；</w:t>
      </w:r>
    </w:p>
    <w:p w14:paraId="67F50637">
      <w:pPr>
        <w:spacing w:before="124" w:line="234"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）双方约定的其他方式。</w:t>
      </w:r>
    </w:p>
    <w:p w14:paraId="62F9E657">
      <w:pPr>
        <w:spacing w:before="138" w:line="233" w:lineRule="auto"/>
        <w:ind w:left="457"/>
        <w:rPr>
          <w:rFonts w:ascii="宋体" w:hAnsi="宋体" w:eastAsia="宋体" w:cs="宋体"/>
          <w:sz w:val="21"/>
          <w:szCs w:val="21"/>
        </w:rPr>
      </w:pPr>
      <w:r>
        <w:rPr>
          <w:rFonts w:ascii="宋体" w:hAnsi="宋体" w:eastAsia="宋体" w:cs="宋体"/>
          <w:spacing w:val="-1"/>
          <w:sz w:val="21"/>
          <w:szCs w:val="21"/>
        </w:rPr>
        <w:t>除专用合同条款另有约定外，质量保证金原则上采用上述第（</w:t>
      </w:r>
      <w:r>
        <w:rPr>
          <w:rFonts w:ascii="Times New Roman" w:hAnsi="Times New Roman" w:eastAsia="Times New Roman" w:cs="Times New Roman"/>
          <w:spacing w:val="-2"/>
          <w:sz w:val="21"/>
          <w:szCs w:val="21"/>
        </w:rPr>
        <w:t>1</w:t>
      </w:r>
      <w:r>
        <w:rPr>
          <w:rFonts w:ascii="宋体" w:hAnsi="宋体" w:eastAsia="宋体" w:cs="宋体"/>
          <w:spacing w:val="-2"/>
          <w:sz w:val="21"/>
          <w:szCs w:val="21"/>
        </w:rPr>
        <w:t>）种方式。</w:t>
      </w:r>
    </w:p>
    <w:p w14:paraId="274DCA56">
      <w:pPr>
        <w:spacing w:before="141"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15.3.2</w:t>
      </w:r>
      <w:r>
        <w:rPr>
          <w:rFonts w:ascii="Times New Roman" w:hAnsi="Times New Roman" w:eastAsia="Times New Roman" w:cs="Times New Roman"/>
          <w:spacing w:val="59"/>
          <w:w w:val="101"/>
          <w:sz w:val="21"/>
          <w:szCs w:val="21"/>
        </w:rPr>
        <w:t xml:space="preserve"> </w:t>
      </w:r>
      <w:r>
        <w:rPr>
          <w:rFonts w:ascii="宋体" w:hAnsi="宋体" w:eastAsia="宋体" w:cs="宋体"/>
          <w:spacing w:val="-2"/>
          <w:sz w:val="21"/>
          <w:szCs w:val="21"/>
        </w:rPr>
        <w:t>质量保证金的扣留</w:t>
      </w:r>
    </w:p>
    <w:p w14:paraId="07CC36AB">
      <w:pPr>
        <w:spacing w:before="124" w:line="220" w:lineRule="auto"/>
        <w:ind w:left="445"/>
        <w:rPr>
          <w:rFonts w:ascii="宋体" w:hAnsi="宋体" w:eastAsia="宋体" w:cs="宋体"/>
          <w:sz w:val="21"/>
          <w:szCs w:val="21"/>
        </w:rPr>
      </w:pPr>
      <w:r>
        <w:rPr>
          <w:rFonts w:ascii="宋体" w:hAnsi="宋体" w:eastAsia="宋体" w:cs="宋体"/>
          <w:spacing w:val="-1"/>
          <w:sz w:val="21"/>
          <w:szCs w:val="21"/>
        </w:rPr>
        <w:t>质量保证金的扣留有以下三种方式：</w:t>
      </w:r>
    </w:p>
    <w:p w14:paraId="0954D3F2">
      <w:pPr>
        <w:spacing w:before="156" w:line="347" w:lineRule="auto"/>
        <w:ind w:left="25" w:right="112"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）在支付工程进度款时逐次扣留，在此情形下，质量保证金的计算基</w:t>
      </w:r>
      <w:r>
        <w:rPr>
          <w:rFonts w:ascii="宋体" w:hAnsi="宋体" w:eastAsia="宋体" w:cs="宋体"/>
          <w:spacing w:val="-1"/>
          <w:sz w:val="21"/>
          <w:szCs w:val="21"/>
        </w:rPr>
        <w:t>数不包括预付</w:t>
      </w:r>
      <w:r>
        <w:rPr>
          <w:rFonts w:ascii="宋体" w:hAnsi="宋体" w:eastAsia="宋体" w:cs="宋体"/>
          <w:spacing w:val="-3"/>
          <w:sz w:val="21"/>
          <w:szCs w:val="21"/>
        </w:rPr>
        <w:t>款的支付、扣回以及价格调整的金额；</w:t>
      </w:r>
    </w:p>
    <w:p w14:paraId="3DECA595">
      <w:pPr>
        <w:spacing w:before="6"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）工程竣工结算时一次性扣留质量保证金；</w:t>
      </w:r>
    </w:p>
    <w:p w14:paraId="11E8FC3E">
      <w:pPr>
        <w:spacing w:before="140" w:line="234"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）双方约定的其他扣留方式。</w:t>
      </w:r>
    </w:p>
    <w:p w14:paraId="0F7D966B">
      <w:pPr>
        <w:spacing w:before="139" w:line="233" w:lineRule="auto"/>
        <w:ind w:left="457"/>
        <w:rPr>
          <w:rFonts w:ascii="宋体" w:hAnsi="宋体" w:eastAsia="宋体" w:cs="宋体"/>
          <w:sz w:val="21"/>
          <w:szCs w:val="21"/>
        </w:rPr>
      </w:pPr>
      <w:r>
        <w:rPr>
          <w:rFonts w:ascii="宋体" w:hAnsi="宋体" w:eastAsia="宋体" w:cs="宋体"/>
          <w:spacing w:val="-1"/>
          <w:sz w:val="21"/>
          <w:szCs w:val="21"/>
        </w:rPr>
        <w:t>除专用合同条款另有约定外，质量保证金的扣留原则上采用上述第（</w:t>
      </w:r>
      <w:r>
        <w:rPr>
          <w:rFonts w:ascii="Times New Roman" w:hAnsi="Times New Roman" w:eastAsia="Times New Roman" w:cs="Times New Roman"/>
          <w:spacing w:val="-1"/>
          <w:sz w:val="21"/>
          <w:szCs w:val="21"/>
        </w:rPr>
        <w:t>1</w:t>
      </w:r>
      <w:r>
        <w:rPr>
          <w:rFonts w:ascii="宋体" w:hAnsi="宋体" w:eastAsia="宋体" w:cs="宋体"/>
          <w:spacing w:val="-1"/>
          <w:sz w:val="21"/>
          <w:szCs w:val="21"/>
        </w:rPr>
        <w:t>）种方式。</w:t>
      </w:r>
    </w:p>
    <w:p w14:paraId="2859D031">
      <w:pPr>
        <w:spacing w:before="125" w:line="352" w:lineRule="auto"/>
        <w:ind w:left="24" w:right="81" w:firstLine="423"/>
        <w:rPr>
          <w:rFonts w:ascii="宋体" w:hAnsi="宋体" w:eastAsia="宋体" w:cs="宋体"/>
          <w:sz w:val="21"/>
          <w:szCs w:val="21"/>
        </w:rPr>
      </w:pPr>
      <w:r>
        <w:rPr>
          <w:rFonts w:ascii="宋体" w:hAnsi="宋体" w:eastAsia="宋体" w:cs="宋体"/>
          <w:spacing w:val="-1"/>
          <w:sz w:val="21"/>
          <w:szCs w:val="21"/>
        </w:rPr>
        <w:t>发包人累计扣留的质量保证金不得超过工程价款结算总额的</w:t>
      </w:r>
      <w:r>
        <w:rPr>
          <w:rFonts w:ascii="宋体" w:hAnsi="宋体" w:eastAsia="宋体" w:cs="宋体"/>
          <w:spacing w:val="-2"/>
          <w:sz w:val="21"/>
          <w:szCs w:val="21"/>
        </w:rPr>
        <w:t xml:space="preserve"> </w:t>
      </w:r>
      <w:r>
        <w:rPr>
          <w:rFonts w:ascii="Times New Roman" w:hAnsi="Times New Roman" w:eastAsia="Times New Roman" w:cs="Times New Roman"/>
          <w:spacing w:val="-1"/>
          <w:sz w:val="21"/>
          <w:szCs w:val="21"/>
        </w:rPr>
        <w:t>1.5 %</w:t>
      </w:r>
      <w:r>
        <w:rPr>
          <w:rFonts w:ascii="宋体" w:hAnsi="宋体" w:eastAsia="宋体" w:cs="宋体"/>
          <w:spacing w:val="-1"/>
          <w:sz w:val="21"/>
          <w:szCs w:val="21"/>
        </w:rPr>
        <w:t>。如承包人在发包人</w:t>
      </w:r>
      <w:r>
        <w:rPr>
          <w:rFonts w:ascii="宋体" w:hAnsi="宋体" w:eastAsia="宋体" w:cs="宋体"/>
          <w:sz w:val="21"/>
          <w:szCs w:val="21"/>
        </w:rPr>
        <w:t>签发竣工付款证书后</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天内提交质量保证金保函，发包人应同时退还扣</w:t>
      </w:r>
      <w:r>
        <w:rPr>
          <w:rFonts w:ascii="宋体" w:hAnsi="宋体" w:eastAsia="宋体" w:cs="宋体"/>
          <w:spacing w:val="-1"/>
          <w:sz w:val="21"/>
          <w:szCs w:val="21"/>
        </w:rPr>
        <w:t>留的作为质量保证金的工程价款；保函金额不得超过工程价款结算总额的</w:t>
      </w:r>
      <w:r>
        <w:rPr>
          <w:rFonts w:ascii="宋体" w:hAnsi="宋体" w:eastAsia="宋体" w:cs="宋体"/>
          <w:spacing w:val="-18"/>
          <w:sz w:val="21"/>
          <w:szCs w:val="21"/>
        </w:rPr>
        <w:t xml:space="preserve"> </w:t>
      </w:r>
      <w:r>
        <w:rPr>
          <w:rFonts w:ascii="Times New Roman" w:hAnsi="Times New Roman" w:eastAsia="Times New Roman" w:cs="Times New Roman"/>
          <w:spacing w:val="-1"/>
          <w:sz w:val="21"/>
          <w:szCs w:val="21"/>
        </w:rPr>
        <w:t>1.5 %</w:t>
      </w:r>
      <w:r>
        <w:rPr>
          <w:rFonts w:ascii="宋体" w:hAnsi="宋体" w:eastAsia="宋体" w:cs="宋体"/>
          <w:spacing w:val="-1"/>
          <w:sz w:val="21"/>
          <w:szCs w:val="21"/>
        </w:rPr>
        <w:t>。</w:t>
      </w:r>
    </w:p>
    <w:p w14:paraId="27A5BAE1">
      <w:pPr>
        <w:spacing w:before="1" w:line="356" w:lineRule="auto"/>
        <w:ind w:left="25" w:right="110" w:firstLine="423"/>
        <w:rPr>
          <w:rFonts w:ascii="宋体" w:hAnsi="宋体" w:eastAsia="宋体" w:cs="宋体"/>
          <w:sz w:val="21"/>
          <w:szCs w:val="21"/>
        </w:rPr>
      </w:pPr>
      <w:r>
        <w:rPr>
          <w:rFonts w:ascii="宋体" w:hAnsi="宋体" w:eastAsia="宋体" w:cs="宋体"/>
          <w:spacing w:val="3"/>
          <w:sz w:val="21"/>
          <w:szCs w:val="21"/>
        </w:rPr>
        <w:t>发包人在退还质量保证金的同时按照中国人民银行发布的同期同类贷</w:t>
      </w:r>
      <w:r>
        <w:rPr>
          <w:rFonts w:ascii="宋体" w:hAnsi="宋体" w:eastAsia="宋体" w:cs="宋体"/>
          <w:spacing w:val="2"/>
          <w:sz w:val="21"/>
          <w:szCs w:val="21"/>
        </w:rPr>
        <w:t>款基准利率支付</w:t>
      </w:r>
      <w:r>
        <w:rPr>
          <w:rFonts w:ascii="宋体" w:hAnsi="宋体" w:eastAsia="宋体" w:cs="宋体"/>
          <w:spacing w:val="-9"/>
          <w:sz w:val="21"/>
          <w:szCs w:val="21"/>
        </w:rPr>
        <w:t>利息。</w:t>
      </w:r>
    </w:p>
    <w:p w14:paraId="1DEBAE98">
      <w:pPr>
        <w:spacing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15.3.3</w:t>
      </w:r>
      <w:r>
        <w:rPr>
          <w:rFonts w:ascii="Times New Roman" w:hAnsi="Times New Roman" w:eastAsia="Times New Roman" w:cs="Times New Roman"/>
          <w:spacing w:val="59"/>
          <w:w w:val="101"/>
          <w:sz w:val="21"/>
          <w:szCs w:val="21"/>
        </w:rPr>
        <w:t xml:space="preserve"> </w:t>
      </w:r>
      <w:r>
        <w:rPr>
          <w:rFonts w:ascii="宋体" w:hAnsi="宋体" w:eastAsia="宋体" w:cs="宋体"/>
          <w:spacing w:val="-2"/>
          <w:sz w:val="21"/>
          <w:szCs w:val="21"/>
        </w:rPr>
        <w:t>质量保证金的退还</w:t>
      </w:r>
    </w:p>
    <w:p w14:paraId="7FFD9F0E">
      <w:pPr>
        <w:spacing w:before="125" w:line="356" w:lineRule="auto"/>
        <w:ind w:left="25" w:right="93" w:firstLine="419"/>
        <w:rPr>
          <w:rFonts w:ascii="宋体" w:hAnsi="宋体" w:eastAsia="宋体" w:cs="宋体"/>
          <w:sz w:val="21"/>
          <w:szCs w:val="21"/>
        </w:rPr>
      </w:pPr>
      <w:r>
        <w:rPr>
          <w:rFonts w:ascii="宋体" w:hAnsi="宋体" w:eastAsia="宋体" w:cs="宋体"/>
          <w:spacing w:val="-2"/>
          <w:sz w:val="21"/>
          <w:szCs w:val="21"/>
        </w:rPr>
        <w:t>缺陷责任期内，承包人认真履行合同约定的责任，到期后，承包</w:t>
      </w:r>
      <w:r>
        <w:rPr>
          <w:rFonts w:ascii="宋体" w:hAnsi="宋体" w:eastAsia="宋体" w:cs="宋体"/>
          <w:spacing w:val="-3"/>
          <w:sz w:val="21"/>
          <w:szCs w:val="21"/>
        </w:rPr>
        <w:t>人可向发包人申请返还</w:t>
      </w:r>
      <w:r>
        <w:rPr>
          <w:rFonts w:ascii="宋体" w:hAnsi="宋体" w:eastAsia="宋体" w:cs="宋体"/>
          <w:spacing w:val="-8"/>
          <w:sz w:val="21"/>
          <w:szCs w:val="21"/>
        </w:rPr>
        <w:t>保证金。</w:t>
      </w:r>
    </w:p>
    <w:p w14:paraId="568FA300">
      <w:pPr>
        <w:spacing w:before="3" w:line="347" w:lineRule="auto"/>
        <w:ind w:left="22" w:right="82" w:firstLine="425"/>
        <w:jc w:val="both"/>
        <w:rPr>
          <w:rFonts w:ascii="宋体" w:hAnsi="宋体" w:eastAsia="宋体" w:cs="宋体"/>
          <w:sz w:val="21"/>
          <w:szCs w:val="21"/>
        </w:rPr>
      </w:pPr>
      <w:r>
        <w:rPr>
          <w:rFonts w:ascii="宋体" w:hAnsi="宋体" w:eastAsia="宋体" w:cs="宋体"/>
          <w:spacing w:val="-1"/>
          <w:sz w:val="21"/>
          <w:szCs w:val="21"/>
        </w:rPr>
        <w:t>发包人在接到承包人返还保证金申请后，应于</w:t>
      </w:r>
      <w:r>
        <w:rPr>
          <w:rFonts w:ascii="宋体" w:hAnsi="宋体" w:eastAsia="宋体" w:cs="宋体"/>
          <w:spacing w:val="-20"/>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天内会同承包人按照合同约定的内容</w:t>
      </w:r>
      <w:r>
        <w:rPr>
          <w:rFonts w:ascii="宋体" w:hAnsi="宋体" w:eastAsia="宋体" w:cs="宋体"/>
          <w:spacing w:val="-2"/>
          <w:sz w:val="21"/>
          <w:szCs w:val="21"/>
        </w:rPr>
        <w:t>进行核实。如无异议，发包人应当按照约定将保证金返还给承包人。对返还期限没有</w:t>
      </w:r>
      <w:r>
        <w:rPr>
          <w:rFonts w:ascii="宋体" w:hAnsi="宋体" w:eastAsia="宋体" w:cs="宋体"/>
          <w:spacing w:val="-3"/>
          <w:sz w:val="21"/>
          <w:szCs w:val="21"/>
        </w:rPr>
        <w:t>约定或</w:t>
      </w:r>
      <w:r>
        <w:rPr>
          <w:rFonts w:ascii="宋体" w:hAnsi="宋体" w:eastAsia="宋体" w:cs="宋体"/>
          <w:spacing w:val="-1"/>
          <w:sz w:val="21"/>
          <w:szCs w:val="21"/>
        </w:rPr>
        <w:t>者约定不明确的，发包人应当在核实后</w:t>
      </w:r>
      <w:r>
        <w:rPr>
          <w:rFonts w:ascii="宋体" w:hAnsi="宋体" w:eastAsia="宋体" w:cs="宋体"/>
          <w:spacing w:val="-11"/>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天内将保证金返还承包人，逾期未返还的，依法</w:t>
      </w:r>
      <w:r>
        <w:rPr>
          <w:rFonts w:ascii="宋体" w:hAnsi="宋体" w:eastAsia="宋体" w:cs="宋体"/>
          <w:spacing w:val="-4"/>
          <w:sz w:val="21"/>
          <w:szCs w:val="21"/>
        </w:rPr>
        <w:t>承担违约责任。发包人在接到承包人返还保证金申请后</w:t>
      </w:r>
      <w:r>
        <w:rPr>
          <w:rFonts w:ascii="宋体" w:hAnsi="宋体" w:eastAsia="宋体" w:cs="宋体"/>
          <w:spacing w:val="-23"/>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0"/>
          <w:sz w:val="21"/>
          <w:szCs w:val="21"/>
        </w:rPr>
        <w:t xml:space="preserve"> </w:t>
      </w:r>
      <w:r>
        <w:rPr>
          <w:rFonts w:ascii="宋体" w:hAnsi="宋体" w:eastAsia="宋体" w:cs="宋体"/>
          <w:spacing w:val="-4"/>
          <w:sz w:val="21"/>
          <w:szCs w:val="21"/>
        </w:rPr>
        <w:t>天内不予答</w:t>
      </w:r>
      <w:r>
        <w:rPr>
          <w:rFonts w:ascii="宋体" w:hAnsi="宋体" w:eastAsia="宋体" w:cs="宋体"/>
          <w:spacing w:val="-5"/>
          <w:sz w:val="21"/>
          <w:szCs w:val="21"/>
        </w:rPr>
        <w:t>复，经催告后</w:t>
      </w:r>
      <w:r>
        <w:rPr>
          <w:rFonts w:ascii="宋体" w:hAnsi="宋体" w:eastAsia="宋体" w:cs="宋体"/>
          <w:spacing w:val="-21"/>
          <w:sz w:val="21"/>
          <w:szCs w:val="21"/>
        </w:rPr>
        <w:t xml:space="preserve"> </w:t>
      </w:r>
      <w:r>
        <w:rPr>
          <w:rFonts w:ascii="Times New Roman" w:hAnsi="Times New Roman" w:eastAsia="Times New Roman" w:cs="Times New Roman"/>
          <w:spacing w:val="-5"/>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5"/>
          <w:sz w:val="21"/>
          <w:szCs w:val="21"/>
        </w:rPr>
        <w:t>天内</w:t>
      </w:r>
      <w:r>
        <w:rPr>
          <w:rFonts w:ascii="宋体" w:hAnsi="宋体" w:eastAsia="宋体" w:cs="宋体"/>
          <w:spacing w:val="-2"/>
          <w:sz w:val="21"/>
          <w:szCs w:val="21"/>
        </w:rPr>
        <w:t>仍不予答复，视同认可承包人的返还保证金申请。</w:t>
      </w:r>
    </w:p>
    <w:p w14:paraId="7D5AB481">
      <w:pPr>
        <w:spacing w:before="21" w:line="338" w:lineRule="auto"/>
        <w:ind w:left="20" w:right="108" w:firstLine="427"/>
        <w:rPr>
          <w:rFonts w:ascii="宋体" w:hAnsi="宋体" w:eastAsia="宋体" w:cs="宋体"/>
          <w:sz w:val="21"/>
          <w:szCs w:val="21"/>
        </w:rPr>
      </w:pPr>
      <w:r>
        <w:rPr>
          <w:rFonts w:ascii="宋体" w:hAnsi="宋体" w:eastAsia="宋体" w:cs="宋体"/>
          <w:spacing w:val="3"/>
          <w:sz w:val="21"/>
          <w:szCs w:val="21"/>
        </w:rPr>
        <w:t>发包人和承包人对保证金预留、返还以及工程维修质量、费用有争议的，</w:t>
      </w:r>
      <w:r>
        <w:rPr>
          <w:rFonts w:ascii="宋体" w:hAnsi="宋体" w:eastAsia="宋体" w:cs="宋体"/>
          <w:spacing w:val="2"/>
          <w:sz w:val="21"/>
          <w:szCs w:val="21"/>
        </w:rPr>
        <w:t>按本合同第</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26"/>
          <w:w w:val="101"/>
          <w:sz w:val="21"/>
          <w:szCs w:val="21"/>
        </w:rPr>
        <w:t xml:space="preserve"> </w:t>
      </w:r>
      <w:r>
        <w:rPr>
          <w:rFonts w:ascii="宋体" w:hAnsi="宋体" w:eastAsia="宋体" w:cs="宋体"/>
          <w:spacing w:val="-1"/>
          <w:sz w:val="21"/>
          <w:szCs w:val="21"/>
        </w:rPr>
        <w:t>条约定的争议和纠纷解决程序处理。</w:t>
      </w:r>
    </w:p>
    <w:p w14:paraId="712DB83E">
      <w:pPr>
        <w:spacing w:before="1" w:line="232" w:lineRule="auto"/>
        <w:ind w:left="31"/>
        <w:outlineLvl w:val="1"/>
        <w:rPr>
          <w:rFonts w:ascii="黑体" w:hAnsi="黑体" w:eastAsia="黑体" w:cs="黑体"/>
          <w:sz w:val="24"/>
          <w:szCs w:val="24"/>
        </w:rPr>
      </w:pPr>
      <w:bookmarkStart w:id="463" w:name="bookmark402"/>
      <w:bookmarkEnd w:id="463"/>
      <w:r>
        <w:rPr>
          <w:rFonts w:ascii="Times New Roman" w:hAnsi="Times New Roman" w:eastAsia="Times New Roman" w:cs="Times New Roman"/>
          <w:b/>
          <w:bCs/>
          <w:spacing w:val="-1"/>
          <w:sz w:val="24"/>
          <w:szCs w:val="24"/>
        </w:rPr>
        <w:t xml:space="preserve">15.4  </w:t>
      </w:r>
      <w:r>
        <w:rPr>
          <w:rFonts w:ascii="黑体" w:hAnsi="黑体" w:eastAsia="黑体" w:cs="黑体"/>
          <w:b/>
          <w:bCs/>
          <w:spacing w:val="-1"/>
          <w:sz w:val="24"/>
          <w:szCs w:val="24"/>
        </w:rPr>
        <w:t>保修</w:t>
      </w:r>
    </w:p>
    <w:p w14:paraId="23AD1296">
      <w:pPr>
        <w:spacing w:before="129"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15.4.1</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保修责任</w:t>
      </w:r>
    </w:p>
    <w:p w14:paraId="5A0B13D4">
      <w:pPr>
        <w:spacing w:before="141" w:line="351" w:lineRule="auto"/>
        <w:ind w:left="25" w:right="89" w:firstLine="422"/>
        <w:rPr>
          <w:rFonts w:ascii="宋体" w:hAnsi="宋体" w:eastAsia="宋体" w:cs="宋体"/>
          <w:sz w:val="21"/>
          <w:szCs w:val="21"/>
        </w:rPr>
      </w:pPr>
      <w:r>
        <w:rPr>
          <w:rFonts w:ascii="宋体" w:hAnsi="宋体" w:eastAsia="宋体" w:cs="宋体"/>
          <w:spacing w:val="-2"/>
          <w:sz w:val="21"/>
          <w:szCs w:val="21"/>
        </w:rPr>
        <w:t>工程保修期从工程竣工验收合格之日起算，具体分部分项工程的保修</w:t>
      </w:r>
      <w:r>
        <w:rPr>
          <w:rFonts w:ascii="宋体" w:hAnsi="宋体" w:eastAsia="宋体" w:cs="宋体"/>
          <w:spacing w:val="-3"/>
          <w:sz w:val="21"/>
          <w:szCs w:val="21"/>
        </w:rPr>
        <w:t>期由合同当事人在</w:t>
      </w:r>
      <w:r>
        <w:rPr>
          <w:rFonts w:ascii="宋体" w:hAnsi="宋体" w:eastAsia="宋体" w:cs="宋体"/>
          <w:spacing w:val="-5"/>
          <w:sz w:val="21"/>
          <w:szCs w:val="21"/>
        </w:rPr>
        <w:t>专用合同条款中约定，但不得低于法定最低保修年限。在工程保修期内， 承包人应当根据有</w:t>
      </w:r>
      <w:r>
        <w:rPr>
          <w:rFonts w:ascii="宋体" w:hAnsi="宋体" w:eastAsia="宋体" w:cs="宋体"/>
          <w:spacing w:val="-2"/>
          <w:sz w:val="21"/>
          <w:szCs w:val="21"/>
        </w:rPr>
        <w:t>关法律规定以及合同约定承担保修责任。</w:t>
      </w:r>
    </w:p>
    <w:p w14:paraId="691ECE99">
      <w:pPr>
        <w:spacing w:line="351" w:lineRule="auto"/>
        <w:rPr>
          <w:rFonts w:ascii="宋体" w:hAnsi="宋体" w:eastAsia="宋体" w:cs="宋体"/>
          <w:sz w:val="21"/>
          <w:szCs w:val="21"/>
        </w:rPr>
        <w:sectPr>
          <w:footerReference r:id="rId194" w:type="default"/>
          <w:pgSz w:w="11910" w:h="16845"/>
          <w:pgMar w:top="400" w:right="1689" w:bottom="1110" w:left="1786" w:header="0" w:footer="882" w:gutter="0"/>
          <w:cols w:space="720" w:num="1"/>
        </w:sectPr>
      </w:pPr>
    </w:p>
    <w:p w14:paraId="05336BCB">
      <w:pPr>
        <w:pStyle w:val="2"/>
        <w:spacing w:line="275" w:lineRule="auto"/>
      </w:pPr>
    </w:p>
    <w:p w14:paraId="403434CD">
      <w:pPr>
        <w:pStyle w:val="2"/>
        <w:spacing w:line="275" w:lineRule="auto"/>
      </w:pPr>
    </w:p>
    <w:p w14:paraId="7FD6AC31">
      <w:pPr>
        <w:pStyle w:val="2"/>
        <w:spacing w:line="275" w:lineRule="auto"/>
      </w:pPr>
    </w:p>
    <w:p w14:paraId="3899525B">
      <w:pPr>
        <w:pStyle w:val="2"/>
        <w:spacing w:line="275" w:lineRule="auto"/>
      </w:pPr>
    </w:p>
    <w:p w14:paraId="7EBF1DF9">
      <w:pPr>
        <w:spacing w:before="68" w:line="220" w:lineRule="auto"/>
        <w:ind w:left="448"/>
        <w:rPr>
          <w:rFonts w:ascii="宋体" w:hAnsi="宋体" w:eastAsia="宋体" w:cs="宋体"/>
          <w:sz w:val="21"/>
          <w:szCs w:val="21"/>
        </w:rPr>
      </w:pPr>
      <w:r>
        <w:rPr>
          <w:rFonts w:ascii="宋体" w:hAnsi="宋体" w:eastAsia="宋体" w:cs="宋体"/>
          <w:spacing w:val="-1"/>
          <w:sz w:val="21"/>
          <w:szCs w:val="21"/>
        </w:rPr>
        <w:t>发包人未经竣工验收擅自使用工程的，保修期自转移占有之日起算。</w:t>
      </w:r>
    </w:p>
    <w:p w14:paraId="333EC969">
      <w:pPr>
        <w:spacing w:before="156"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15.4.2</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修复费用</w:t>
      </w:r>
    </w:p>
    <w:p w14:paraId="2CF2E846">
      <w:pPr>
        <w:spacing w:before="124" w:line="220" w:lineRule="auto"/>
        <w:ind w:left="445"/>
        <w:rPr>
          <w:rFonts w:ascii="宋体" w:hAnsi="宋体" w:eastAsia="宋体" w:cs="宋体"/>
          <w:sz w:val="21"/>
          <w:szCs w:val="21"/>
        </w:rPr>
      </w:pPr>
      <w:r>
        <w:rPr>
          <w:rFonts w:ascii="宋体" w:hAnsi="宋体" w:eastAsia="宋体" w:cs="宋体"/>
          <w:spacing w:val="-3"/>
          <w:sz w:val="21"/>
          <w:szCs w:val="21"/>
        </w:rPr>
        <w:t>保修期内，修复的费用按照以下约定处理：</w:t>
      </w:r>
    </w:p>
    <w:p w14:paraId="71FB848B">
      <w:pPr>
        <w:spacing w:before="156" w:line="348" w:lineRule="auto"/>
        <w:ind w:left="29" w:right="31" w:firstLine="420"/>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）保修期内，因承包人原因造成工程的缺陷、损坏，承包人应负责修</w:t>
      </w:r>
      <w:r>
        <w:rPr>
          <w:rFonts w:ascii="宋体" w:hAnsi="宋体" w:eastAsia="宋体" w:cs="宋体"/>
          <w:spacing w:val="-1"/>
          <w:sz w:val="21"/>
          <w:szCs w:val="21"/>
        </w:rPr>
        <w:t>复，并承担修</w:t>
      </w:r>
      <w:r>
        <w:rPr>
          <w:rFonts w:ascii="宋体" w:hAnsi="宋体" w:eastAsia="宋体" w:cs="宋体"/>
          <w:spacing w:val="-2"/>
          <w:sz w:val="21"/>
          <w:szCs w:val="21"/>
        </w:rPr>
        <w:t>复的费用以及因工程的缺陷、损坏造成的人身伤害和财产损失；</w:t>
      </w:r>
    </w:p>
    <w:p w14:paraId="7FE6ED69">
      <w:pPr>
        <w:spacing w:before="4" w:line="348" w:lineRule="auto"/>
        <w:ind w:left="27" w:right="32" w:firstLine="422"/>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）保修期内，因发包人使用不当造成工程的缺陷、损坏，可以委托承</w:t>
      </w:r>
      <w:r>
        <w:rPr>
          <w:rFonts w:ascii="宋体" w:hAnsi="宋体" w:eastAsia="宋体" w:cs="宋体"/>
          <w:spacing w:val="-1"/>
          <w:sz w:val="21"/>
          <w:szCs w:val="21"/>
        </w:rPr>
        <w:t>包人修复，但</w:t>
      </w:r>
      <w:r>
        <w:rPr>
          <w:rFonts w:ascii="宋体" w:hAnsi="宋体" w:eastAsia="宋体" w:cs="宋体"/>
          <w:spacing w:val="-2"/>
          <w:sz w:val="21"/>
          <w:szCs w:val="21"/>
        </w:rPr>
        <w:t>发包人应承担修复的费用，并支付承包人合理</w:t>
      </w:r>
      <w:r>
        <w:rPr>
          <w:rFonts w:ascii="宋体" w:hAnsi="宋体" w:eastAsia="宋体" w:cs="宋体"/>
          <w:spacing w:val="-3"/>
          <w:sz w:val="21"/>
          <w:szCs w:val="21"/>
        </w:rPr>
        <w:t>利润；</w:t>
      </w:r>
    </w:p>
    <w:p w14:paraId="6919F227">
      <w:pPr>
        <w:spacing w:before="19" w:line="348" w:lineRule="auto"/>
        <w:ind w:left="24" w:right="11" w:firstLine="42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）因其他原因造成工程的缺陷、损坏，可以委托承</w:t>
      </w:r>
      <w:r>
        <w:rPr>
          <w:rFonts w:ascii="宋体" w:hAnsi="宋体" w:eastAsia="宋体" w:cs="宋体"/>
          <w:spacing w:val="-1"/>
          <w:sz w:val="21"/>
          <w:szCs w:val="21"/>
        </w:rPr>
        <w:t>包人修复，发包人应承担修复的</w:t>
      </w:r>
      <w:r>
        <w:rPr>
          <w:rFonts w:ascii="宋体" w:hAnsi="宋体" w:eastAsia="宋体" w:cs="宋体"/>
          <w:spacing w:val="-2"/>
          <w:sz w:val="21"/>
          <w:szCs w:val="21"/>
        </w:rPr>
        <w:t>费用，并支付承包人合理的利润，因工程的缺陷、损坏造成的人身伤害和财产损</w:t>
      </w:r>
      <w:r>
        <w:rPr>
          <w:rFonts w:ascii="宋体" w:hAnsi="宋体" w:eastAsia="宋体" w:cs="宋体"/>
          <w:spacing w:val="-3"/>
          <w:sz w:val="21"/>
          <w:szCs w:val="21"/>
        </w:rPr>
        <w:t>失由责任方</w:t>
      </w:r>
      <w:r>
        <w:rPr>
          <w:rFonts w:ascii="宋体" w:hAnsi="宋体" w:eastAsia="宋体" w:cs="宋体"/>
          <w:spacing w:val="-9"/>
          <w:sz w:val="21"/>
          <w:szCs w:val="21"/>
        </w:rPr>
        <w:t>承担。</w:t>
      </w:r>
    </w:p>
    <w:p w14:paraId="06B86A25">
      <w:pPr>
        <w:spacing w:before="12"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15.4.3</w:t>
      </w:r>
      <w:r>
        <w:rPr>
          <w:rFonts w:ascii="Times New Roman" w:hAnsi="Times New Roman" w:eastAsia="Times New Roman" w:cs="Times New Roman"/>
          <w:spacing w:val="50"/>
          <w:w w:val="101"/>
          <w:sz w:val="21"/>
          <w:szCs w:val="21"/>
        </w:rPr>
        <w:t xml:space="preserve"> </w:t>
      </w:r>
      <w:r>
        <w:rPr>
          <w:rFonts w:ascii="宋体" w:hAnsi="宋体" w:eastAsia="宋体" w:cs="宋体"/>
          <w:spacing w:val="-2"/>
          <w:sz w:val="21"/>
          <w:szCs w:val="21"/>
        </w:rPr>
        <w:t>修复通知</w:t>
      </w:r>
    </w:p>
    <w:p w14:paraId="5269C76B">
      <w:pPr>
        <w:spacing w:before="125" w:line="351" w:lineRule="auto"/>
        <w:ind w:left="24" w:right="8" w:firstLine="419"/>
        <w:rPr>
          <w:rFonts w:ascii="宋体" w:hAnsi="宋体" w:eastAsia="宋体" w:cs="宋体"/>
          <w:sz w:val="21"/>
          <w:szCs w:val="21"/>
        </w:rPr>
      </w:pPr>
      <w:r>
        <w:rPr>
          <w:rFonts w:ascii="宋体" w:hAnsi="宋体" w:eastAsia="宋体" w:cs="宋体"/>
          <w:spacing w:val="-2"/>
          <w:sz w:val="21"/>
          <w:szCs w:val="21"/>
        </w:rPr>
        <w:t>在保修期内，发包人在使用过程中，发现已接收的工程存</w:t>
      </w:r>
      <w:r>
        <w:rPr>
          <w:rFonts w:ascii="宋体" w:hAnsi="宋体" w:eastAsia="宋体" w:cs="宋体"/>
          <w:spacing w:val="-3"/>
          <w:sz w:val="21"/>
          <w:szCs w:val="21"/>
        </w:rPr>
        <w:t>在缺陷或损坏的，应书面通知</w:t>
      </w:r>
      <w:r>
        <w:rPr>
          <w:rFonts w:ascii="宋体" w:hAnsi="宋体" w:eastAsia="宋体" w:cs="宋体"/>
          <w:spacing w:val="-2"/>
          <w:sz w:val="21"/>
          <w:szCs w:val="21"/>
        </w:rPr>
        <w:t>承包人予以修复，但情况紧急必须立即修复缺陷或损坏的，发包人可以口头通知承包人并在</w:t>
      </w:r>
      <w:r>
        <w:rPr>
          <w:rFonts w:ascii="宋体" w:hAnsi="宋体" w:eastAsia="宋体" w:cs="宋体"/>
          <w:sz w:val="21"/>
          <w:szCs w:val="21"/>
        </w:rPr>
        <w:t>口头通知后</w:t>
      </w:r>
      <w:r>
        <w:rPr>
          <w:rFonts w:ascii="宋体" w:hAnsi="宋体" w:eastAsia="宋体" w:cs="宋体"/>
          <w:spacing w:val="-42"/>
          <w:sz w:val="21"/>
          <w:szCs w:val="21"/>
        </w:rPr>
        <w:t xml:space="preserve"> </w:t>
      </w:r>
      <w:r>
        <w:rPr>
          <w:rFonts w:ascii="Times New Roman" w:hAnsi="Times New Roman" w:eastAsia="Times New Roman" w:cs="Times New Roman"/>
          <w:sz w:val="21"/>
          <w:szCs w:val="21"/>
        </w:rPr>
        <w:t>48</w:t>
      </w:r>
      <w:r>
        <w:rPr>
          <w:rFonts w:ascii="Times New Roman" w:hAnsi="Times New Roman" w:eastAsia="Times New Roman" w:cs="Times New Roman"/>
          <w:spacing w:val="21"/>
          <w:w w:val="101"/>
          <w:sz w:val="21"/>
          <w:szCs w:val="21"/>
        </w:rPr>
        <w:t xml:space="preserve"> </w:t>
      </w:r>
      <w:r>
        <w:rPr>
          <w:rFonts w:ascii="宋体" w:hAnsi="宋体" w:eastAsia="宋体" w:cs="宋体"/>
          <w:sz w:val="21"/>
          <w:szCs w:val="21"/>
        </w:rPr>
        <w:t>小时内书面确认，承包人应在专用合同条款约定的合理</w:t>
      </w:r>
      <w:r>
        <w:rPr>
          <w:rFonts w:ascii="宋体" w:hAnsi="宋体" w:eastAsia="宋体" w:cs="宋体"/>
          <w:spacing w:val="-1"/>
          <w:sz w:val="21"/>
          <w:szCs w:val="21"/>
        </w:rPr>
        <w:t>期限内到达工程现场</w:t>
      </w:r>
      <w:r>
        <w:rPr>
          <w:rFonts w:ascii="宋体" w:hAnsi="宋体" w:eastAsia="宋体" w:cs="宋体"/>
          <w:spacing w:val="-4"/>
          <w:sz w:val="21"/>
          <w:szCs w:val="21"/>
        </w:rPr>
        <w:t>并修复缺陷或损坏。</w:t>
      </w:r>
    </w:p>
    <w:p w14:paraId="5DF9167A">
      <w:pPr>
        <w:spacing w:before="10"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15.4.4</w:t>
      </w:r>
      <w:r>
        <w:rPr>
          <w:rFonts w:ascii="Times New Roman" w:hAnsi="Times New Roman" w:eastAsia="Times New Roman" w:cs="Times New Roman"/>
          <w:spacing w:val="51"/>
          <w:w w:val="101"/>
          <w:sz w:val="21"/>
          <w:szCs w:val="21"/>
        </w:rPr>
        <w:t xml:space="preserve"> </w:t>
      </w:r>
      <w:r>
        <w:rPr>
          <w:rFonts w:ascii="宋体" w:hAnsi="宋体" w:eastAsia="宋体" w:cs="宋体"/>
          <w:spacing w:val="-2"/>
          <w:sz w:val="21"/>
          <w:szCs w:val="21"/>
        </w:rPr>
        <w:t>未能修复</w:t>
      </w:r>
    </w:p>
    <w:p w14:paraId="30B5FCF1">
      <w:pPr>
        <w:spacing w:before="139" w:line="350" w:lineRule="auto"/>
        <w:ind w:left="24" w:right="8" w:firstLine="436"/>
        <w:rPr>
          <w:rFonts w:ascii="宋体" w:hAnsi="宋体" w:eastAsia="宋体" w:cs="宋体"/>
          <w:sz w:val="21"/>
          <w:szCs w:val="21"/>
        </w:rPr>
      </w:pPr>
      <w:r>
        <w:rPr>
          <w:rFonts w:ascii="宋体" w:hAnsi="宋体" w:eastAsia="宋体" w:cs="宋体"/>
          <w:spacing w:val="-3"/>
          <w:sz w:val="21"/>
          <w:szCs w:val="21"/>
        </w:rPr>
        <w:t>因承包人原因造成工程的缺陷或损坏，承包人拒绝维修或未能在合理期限内修复缺陷或</w:t>
      </w:r>
      <w:r>
        <w:rPr>
          <w:rFonts w:ascii="宋体" w:hAnsi="宋体" w:eastAsia="宋体" w:cs="宋体"/>
          <w:spacing w:val="-2"/>
          <w:sz w:val="21"/>
          <w:szCs w:val="21"/>
        </w:rPr>
        <w:t>损坏，且经发包人书面催告后仍未修复的，发包人有权自行修复或委托第三方修复</w:t>
      </w:r>
      <w:r>
        <w:rPr>
          <w:rFonts w:ascii="宋体" w:hAnsi="宋体" w:eastAsia="宋体" w:cs="宋体"/>
          <w:spacing w:val="-3"/>
          <w:sz w:val="21"/>
          <w:szCs w:val="21"/>
        </w:rPr>
        <w:t>，所需费</w:t>
      </w:r>
      <w:r>
        <w:rPr>
          <w:rFonts w:ascii="宋体" w:hAnsi="宋体" w:eastAsia="宋体" w:cs="宋体"/>
          <w:spacing w:val="-2"/>
          <w:sz w:val="21"/>
          <w:szCs w:val="21"/>
        </w:rPr>
        <w:t>用由承包人承担。但修复范围超出缺陷或损坏范围的，超出范围部分的修复费用由发</w:t>
      </w:r>
      <w:r>
        <w:rPr>
          <w:rFonts w:ascii="宋体" w:hAnsi="宋体" w:eastAsia="宋体" w:cs="宋体"/>
          <w:spacing w:val="-3"/>
          <w:sz w:val="21"/>
          <w:szCs w:val="21"/>
        </w:rPr>
        <w:t>包人承</w:t>
      </w:r>
      <w:r>
        <w:rPr>
          <w:rFonts w:ascii="宋体" w:hAnsi="宋体" w:eastAsia="宋体" w:cs="宋体"/>
          <w:spacing w:val="-10"/>
          <w:sz w:val="21"/>
          <w:szCs w:val="21"/>
        </w:rPr>
        <w:t>担。</w:t>
      </w:r>
    </w:p>
    <w:p w14:paraId="61BBE04D">
      <w:pPr>
        <w:spacing w:before="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15.4.5</w:t>
      </w:r>
      <w:r>
        <w:rPr>
          <w:rFonts w:ascii="Times New Roman" w:hAnsi="Times New Roman" w:eastAsia="Times New Roman" w:cs="Times New Roman"/>
          <w:spacing w:val="54"/>
          <w:w w:val="101"/>
          <w:sz w:val="21"/>
          <w:szCs w:val="21"/>
        </w:rPr>
        <w:t xml:space="preserve"> </w:t>
      </w:r>
      <w:r>
        <w:rPr>
          <w:rFonts w:ascii="宋体" w:hAnsi="宋体" w:eastAsia="宋体" w:cs="宋体"/>
          <w:spacing w:val="-2"/>
          <w:sz w:val="21"/>
          <w:szCs w:val="21"/>
        </w:rPr>
        <w:t>承包人出入权</w:t>
      </w:r>
    </w:p>
    <w:p w14:paraId="748ADAB2">
      <w:pPr>
        <w:spacing w:before="139" w:line="351" w:lineRule="auto"/>
        <w:ind w:left="25" w:right="8" w:firstLine="417"/>
        <w:rPr>
          <w:rFonts w:ascii="宋体" w:hAnsi="宋体" w:eastAsia="宋体" w:cs="宋体"/>
          <w:sz w:val="21"/>
          <w:szCs w:val="21"/>
        </w:rPr>
      </w:pPr>
      <w:r>
        <w:rPr>
          <w:rFonts w:ascii="宋体" w:hAnsi="宋体" w:eastAsia="宋体" w:cs="宋体"/>
          <w:spacing w:val="-2"/>
          <w:sz w:val="21"/>
          <w:szCs w:val="21"/>
        </w:rPr>
        <w:t>在保修期内，为了修复缺陷或损坏，承包人有权出入工程现场，除</w:t>
      </w:r>
      <w:r>
        <w:rPr>
          <w:rFonts w:ascii="宋体" w:hAnsi="宋体" w:eastAsia="宋体" w:cs="宋体"/>
          <w:spacing w:val="-3"/>
          <w:sz w:val="21"/>
          <w:szCs w:val="21"/>
        </w:rPr>
        <w:t>情况紧急必须立即修</w:t>
      </w:r>
      <w:r>
        <w:rPr>
          <w:rFonts w:ascii="宋体" w:hAnsi="宋体" w:eastAsia="宋体" w:cs="宋体"/>
          <w:sz w:val="21"/>
          <w:szCs w:val="21"/>
        </w:rPr>
        <w:t>复缺陷或损坏外，承包人应提前</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小时通知发包人进场修复的</w:t>
      </w:r>
      <w:r>
        <w:rPr>
          <w:rFonts w:ascii="宋体" w:hAnsi="宋体" w:eastAsia="宋体" w:cs="宋体"/>
          <w:spacing w:val="-1"/>
          <w:sz w:val="21"/>
          <w:szCs w:val="21"/>
        </w:rPr>
        <w:t>时间。承包人进入工程现场</w:t>
      </w:r>
      <w:r>
        <w:rPr>
          <w:rFonts w:ascii="宋体" w:hAnsi="宋体" w:eastAsia="宋体" w:cs="宋体"/>
          <w:spacing w:val="-2"/>
          <w:sz w:val="21"/>
          <w:szCs w:val="21"/>
        </w:rPr>
        <w:t>前应获得发包人同意，且不应影响发包人正常的生产经营，并应遵守发包人有关保安</w:t>
      </w:r>
      <w:r>
        <w:rPr>
          <w:rFonts w:ascii="宋体" w:hAnsi="宋体" w:eastAsia="宋体" w:cs="宋体"/>
          <w:spacing w:val="-3"/>
          <w:sz w:val="21"/>
          <w:szCs w:val="21"/>
        </w:rPr>
        <w:t>和保密</w:t>
      </w:r>
      <w:r>
        <w:rPr>
          <w:rFonts w:ascii="宋体" w:hAnsi="宋体" w:eastAsia="宋体" w:cs="宋体"/>
          <w:spacing w:val="-8"/>
          <w:sz w:val="21"/>
          <w:szCs w:val="21"/>
        </w:rPr>
        <w:t>等规定。</w:t>
      </w:r>
    </w:p>
    <w:p w14:paraId="2BC87569">
      <w:pPr>
        <w:spacing w:before="50" w:line="238" w:lineRule="auto"/>
        <w:ind w:left="34"/>
        <w:outlineLvl w:val="0"/>
        <w:rPr>
          <w:rFonts w:ascii="黑体" w:hAnsi="黑体" w:eastAsia="黑体" w:cs="黑体"/>
          <w:sz w:val="28"/>
          <w:szCs w:val="28"/>
        </w:rPr>
      </w:pPr>
      <w:bookmarkStart w:id="464" w:name="bookmark404"/>
      <w:bookmarkEnd w:id="464"/>
      <w:bookmarkStart w:id="465" w:name="bookmark403"/>
      <w:bookmarkEnd w:id="465"/>
      <w:r>
        <w:rPr>
          <w:rFonts w:ascii="Times New Roman" w:hAnsi="Times New Roman" w:eastAsia="Times New Roman" w:cs="Times New Roman"/>
          <w:b/>
          <w:bCs/>
          <w:spacing w:val="2"/>
          <w:sz w:val="28"/>
          <w:szCs w:val="28"/>
        </w:rPr>
        <w:t>16.</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违约</w:t>
      </w:r>
    </w:p>
    <w:p w14:paraId="0F1760A9">
      <w:pPr>
        <w:spacing w:before="68" w:line="232" w:lineRule="auto"/>
        <w:ind w:left="31"/>
        <w:outlineLvl w:val="1"/>
        <w:rPr>
          <w:rFonts w:ascii="黑体" w:hAnsi="黑体" w:eastAsia="黑体" w:cs="黑体"/>
          <w:sz w:val="24"/>
          <w:szCs w:val="24"/>
        </w:rPr>
      </w:pPr>
      <w:bookmarkStart w:id="466" w:name="bookmark698"/>
      <w:bookmarkEnd w:id="466"/>
      <w:r>
        <w:rPr>
          <w:rFonts w:ascii="Times New Roman" w:hAnsi="Times New Roman" w:eastAsia="Times New Roman" w:cs="Times New Roman"/>
          <w:b/>
          <w:bCs/>
          <w:spacing w:val="1"/>
          <w:sz w:val="24"/>
          <w:szCs w:val="24"/>
        </w:rPr>
        <w:t xml:space="preserve">16.1  </w:t>
      </w:r>
      <w:r>
        <w:rPr>
          <w:rFonts w:ascii="黑体" w:hAnsi="黑体" w:eastAsia="黑体" w:cs="黑体"/>
          <w:b/>
          <w:bCs/>
          <w:spacing w:val="1"/>
          <w:sz w:val="24"/>
          <w:szCs w:val="24"/>
        </w:rPr>
        <w:t>发包人违约</w:t>
      </w:r>
    </w:p>
    <w:p w14:paraId="17885236">
      <w:pPr>
        <w:spacing w:before="130"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16.1.1</w:t>
      </w:r>
      <w:r>
        <w:rPr>
          <w:rFonts w:ascii="Times New Roman" w:hAnsi="Times New Roman" w:eastAsia="Times New Roman" w:cs="Times New Roman"/>
          <w:spacing w:val="60"/>
          <w:sz w:val="21"/>
          <w:szCs w:val="21"/>
        </w:rPr>
        <w:t xml:space="preserve"> </w:t>
      </w:r>
      <w:r>
        <w:rPr>
          <w:rFonts w:ascii="宋体" w:hAnsi="宋体" w:eastAsia="宋体" w:cs="宋体"/>
          <w:spacing w:val="-2"/>
          <w:sz w:val="21"/>
          <w:szCs w:val="21"/>
        </w:rPr>
        <w:t>发包人违约的情形</w:t>
      </w:r>
    </w:p>
    <w:p w14:paraId="132173F8">
      <w:pPr>
        <w:spacing w:before="124" w:line="220" w:lineRule="auto"/>
        <w:ind w:left="443"/>
        <w:rPr>
          <w:rFonts w:ascii="宋体" w:hAnsi="宋体" w:eastAsia="宋体" w:cs="宋体"/>
          <w:sz w:val="21"/>
          <w:szCs w:val="21"/>
        </w:rPr>
      </w:pPr>
      <w:r>
        <w:rPr>
          <w:rFonts w:ascii="宋体" w:hAnsi="宋体" w:eastAsia="宋体" w:cs="宋体"/>
          <w:spacing w:val="-2"/>
          <w:sz w:val="21"/>
          <w:szCs w:val="21"/>
        </w:rPr>
        <w:t>在合同履行过程中发生的下列情形，属于发包人违约：</w:t>
      </w:r>
    </w:p>
    <w:p w14:paraId="76E410D4">
      <w:pPr>
        <w:spacing w:before="156"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）因发包人原因未能在计划开工日期前</w:t>
      </w:r>
      <w:r>
        <w:rPr>
          <w:rFonts w:ascii="宋体" w:hAnsi="宋体" w:eastAsia="宋体" w:cs="宋体"/>
          <w:spacing w:val="-17"/>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天内下达开工通知的；</w:t>
      </w:r>
    </w:p>
    <w:p w14:paraId="6A204678">
      <w:pPr>
        <w:spacing w:before="139" w:line="232"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）因发包人原因未能按合同约定支付合同</w:t>
      </w:r>
      <w:r>
        <w:rPr>
          <w:rFonts w:ascii="宋体" w:hAnsi="宋体" w:eastAsia="宋体" w:cs="宋体"/>
          <w:spacing w:val="-3"/>
          <w:sz w:val="21"/>
          <w:szCs w:val="21"/>
        </w:rPr>
        <w:t>价款的；</w:t>
      </w:r>
    </w:p>
    <w:p w14:paraId="4C134AC5">
      <w:pPr>
        <w:spacing w:before="128" w:line="348" w:lineRule="auto"/>
        <w:ind w:left="25" w:firstLine="4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 xml:space="preserve">）发包人违反第 </w:t>
      </w:r>
      <w:r>
        <w:rPr>
          <w:rFonts w:ascii="Times New Roman" w:hAnsi="Times New Roman" w:eastAsia="Times New Roman" w:cs="Times New Roman"/>
          <w:spacing w:val="-1"/>
          <w:sz w:val="21"/>
          <w:szCs w:val="21"/>
        </w:rPr>
        <w:t xml:space="preserve">10.1  </w:t>
      </w:r>
      <w:r>
        <w:rPr>
          <w:rFonts w:ascii="宋体" w:hAnsi="宋体" w:eastAsia="宋体" w:cs="宋体"/>
          <w:spacing w:val="-1"/>
          <w:sz w:val="21"/>
          <w:szCs w:val="21"/>
        </w:rPr>
        <w:t>款〔变更的范围〕第（</w:t>
      </w:r>
      <w:r>
        <w:rPr>
          <w:rFonts w:ascii="Times New Roman" w:hAnsi="Times New Roman" w:eastAsia="Times New Roman" w:cs="Times New Roman"/>
          <w:spacing w:val="-1"/>
          <w:sz w:val="21"/>
          <w:szCs w:val="21"/>
        </w:rPr>
        <w:t>2</w:t>
      </w:r>
      <w:r>
        <w:rPr>
          <w:rFonts w:ascii="宋体" w:hAnsi="宋体" w:eastAsia="宋体" w:cs="宋体"/>
          <w:spacing w:val="-1"/>
          <w:sz w:val="21"/>
          <w:szCs w:val="21"/>
        </w:rPr>
        <w:t>）项约定，自行实施被取消的工作或</w:t>
      </w:r>
      <w:r>
        <w:rPr>
          <w:rFonts w:ascii="宋体" w:hAnsi="宋体" w:eastAsia="宋体" w:cs="宋体"/>
          <w:spacing w:val="-6"/>
          <w:sz w:val="21"/>
          <w:szCs w:val="21"/>
        </w:rPr>
        <w:t>转由他人实施的；</w:t>
      </w:r>
    </w:p>
    <w:p w14:paraId="47E4C87C">
      <w:pPr>
        <w:spacing w:before="18" w:line="233" w:lineRule="auto"/>
        <w:ind w:right="32"/>
        <w:jc w:val="right"/>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）发包人提供的材料、工程设备的规格、数量或质量不符合合同约定</w:t>
      </w:r>
      <w:r>
        <w:rPr>
          <w:rFonts w:ascii="宋体" w:hAnsi="宋体" w:eastAsia="宋体" w:cs="宋体"/>
          <w:spacing w:val="-1"/>
          <w:sz w:val="21"/>
          <w:szCs w:val="21"/>
        </w:rPr>
        <w:t>，或因发包人</w:t>
      </w:r>
    </w:p>
    <w:p w14:paraId="6D09F981">
      <w:pPr>
        <w:spacing w:line="233" w:lineRule="auto"/>
        <w:rPr>
          <w:rFonts w:ascii="宋体" w:hAnsi="宋体" w:eastAsia="宋体" w:cs="宋体"/>
          <w:sz w:val="21"/>
          <w:szCs w:val="21"/>
        </w:rPr>
        <w:sectPr>
          <w:footerReference r:id="rId195" w:type="default"/>
          <w:pgSz w:w="11910" w:h="16845"/>
          <w:pgMar w:top="400" w:right="1770" w:bottom="1110" w:left="1786" w:header="0" w:footer="883" w:gutter="0"/>
          <w:cols w:space="720" w:num="1"/>
        </w:sectPr>
      </w:pPr>
    </w:p>
    <w:p w14:paraId="38E7656A">
      <w:pPr>
        <w:pStyle w:val="2"/>
        <w:spacing w:line="275" w:lineRule="auto"/>
      </w:pPr>
    </w:p>
    <w:p w14:paraId="58FBC0E6">
      <w:pPr>
        <w:pStyle w:val="2"/>
        <w:spacing w:line="275" w:lineRule="auto"/>
      </w:pPr>
    </w:p>
    <w:p w14:paraId="0FE34FE1">
      <w:pPr>
        <w:pStyle w:val="2"/>
        <w:spacing w:line="275" w:lineRule="auto"/>
      </w:pPr>
    </w:p>
    <w:p w14:paraId="1D11870F">
      <w:pPr>
        <w:pStyle w:val="2"/>
        <w:spacing w:line="275" w:lineRule="auto"/>
      </w:pPr>
    </w:p>
    <w:p w14:paraId="511DE4D6">
      <w:pPr>
        <w:spacing w:before="69" w:line="219" w:lineRule="auto"/>
        <w:ind w:left="29"/>
        <w:rPr>
          <w:rFonts w:ascii="宋体" w:hAnsi="宋体" w:eastAsia="宋体" w:cs="宋体"/>
          <w:sz w:val="21"/>
          <w:szCs w:val="21"/>
        </w:rPr>
      </w:pPr>
      <w:r>
        <w:rPr>
          <w:rFonts w:ascii="宋体" w:hAnsi="宋体" w:eastAsia="宋体" w:cs="宋体"/>
          <w:spacing w:val="-3"/>
          <w:sz w:val="21"/>
          <w:szCs w:val="21"/>
        </w:rPr>
        <w:t>原因导致交货日期延误或交货地点变更等情况的；</w:t>
      </w:r>
    </w:p>
    <w:p w14:paraId="2D25757B">
      <w:pPr>
        <w:spacing w:before="156" w:line="234"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）因发包人违反合同约定造成暂停施工的；</w:t>
      </w:r>
    </w:p>
    <w:p w14:paraId="65CCDC82">
      <w:pPr>
        <w:spacing w:before="124"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）发包人无正当理由没有在约定期限内发出复工指示，导致</w:t>
      </w:r>
      <w:r>
        <w:rPr>
          <w:rFonts w:ascii="宋体" w:hAnsi="宋体" w:eastAsia="宋体" w:cs="宋体"/>
          <w:spacing w:val="-2"/>
          <w:sz w:val="21"/>
          <w:szCs w:val="21"/>
        </w:rPr>
        <w:t>承包人无法复工的；</w:t>
      </w:r>
    </w:p>
    <w:p w14:paraId="7068D854">
      <w:pPr>
        <w:spacing w:before="139"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）发包人明确表示或者以其行为表明不履行合同主要义务的；</w:t>
      </w:r>
    </w:p>
    <w:p w14:paraId="765EC7BD">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8</w:t>
      </w:r>
      <w:r>
        <w:rPr>
          <w:rFonts w:ascii="宋体" w:hAnsi="宋体" w:eastAsia="宋体" w:cs="宋体"/>
          <w:spacing w:val="-2"/>
          <w:sz w:val="21"/>
          <w:szCs w:val="21"/>
        </w:rPr>
        <w:t>）发包人未能按照合同约定履行其他义务的。</w:t>
      </w:r>
    </w:p>
    <w:p w14:paraId="1D67D97C">
      <w:pPr>
        <w:spacing w:before="124" w:line="351" w:lineRule="auto"/>
        <w:ind w:left="24" w:right="34" w:firstLine="423"/>
        <w:jc w:val="both"/>
        <w:rPr>
          <w:rFonts w:ascii="宋体" w:hAnsi="宋体" w:eastAsia="宋体" w:cs="宋体"/>
          <w:sz w:val="21"/>
          <w:szCs w:val="21"/>
        </w:rPr>
      </w:pPr>
      <w:r>
        <w:rPr>
          <w:rFonts w:ascii="宋体" w:hAnsi="宋体" w:eastAsia="宋体" w:cs="宋体"/>
          <w:sz w:val="21"/>
          <w:szCs w:val="21"/>
        </w:rPr>
        <w:t>发包人发生除本项第（</w:t>
      </w:r>
      <w:r>
        <w:rPr>
          <w:rFonts w:ascii="Times New Roman" w:hAnsi="Times New Roman" w:eastAsia="Times New Roman" w:cs="Times New Roman"/>
          <w:sz w:val="21"/>
          <w:szCs w:val="21"/>
        </w:rPr>
        <w:t>7</w:t>
      </w:r>
      <w:r>
        <w:rPr>
          <w:rFonts w:ascii="宋体" w:hAnsi="宋体" w:eastAsia="宋体" w:cs="宋体"/>
          <w:sz w:val="21"/>
          <w:szCs w:val="21"/>
        </w:rPr>
        <w:t>）目以外的违约情况时，承包人可向发包人发出</w:t>
      </w:r>
      <w:r>
        <w:rPr>
          <w:rFonts w:ascii="宋体" w:hAnsi="宋体" w:eastAsia="宋体" w:cs="宋体"/>
          <w:spacing w:val="-1"/>
          <w:sz w:val="21"/>
          <w:szCs w:val="21"/>
        </w:rPr>
        <w:t>通知，要求发包人采取有效措施纠正违约行为。发包人收到承包人通知后</w:t>
      </w:r>
      <w:r>
        <w:rPr>
          <w:rFonts w:ascii="宋体" w:hAnsi="宋体" w:eastAsia="宋体" w:cs="宋体"/>
          <w:spacing w:val="-35"/>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天内仍不纠正违约行为的，</w:t>
      </w:r>
      <w:r>
        <w:rPr>
          <w:rFonts w:ascii="宋体" w:hAnsi="宋体" w:eastAsia="宋体" w:cs="宋体"/>
          <w:spacing w:val="-2"/>
          <w:sz w:val="21"/>
          <w:szCs w:val="21"/>
        </w:rPr>
        <w:t>承包人有权暂停相应部位工程施工，并通知监理人。</w:t>
      </w:r>
    </w:p>
    <w:p w14:paraId="793D57ED">
      <w:pPr>
        <w:spacing w:before="5"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16.1.2</w:t>
      </w:r>
      <w:r>
        <w:rPr>
          <w:rFonts w:ascii="Times New Roman" w:hAnsi="Times New Roman" w:eastAsia="Times New Roman" w:cs="Times New Roman"/>
          <w:spacing w:val="60"/>
          <w:sz w:val="21"/>
          <w:szCs w:val="21"/>
        </w:rPr>
        <w:t xml:space="preserve"> </w:t>
      </w:r>
      <w:r>
        <w:rPr>
          <w:rFonts w:ascii="宋体" w:hAnsi="宋体" w:eastAsia="宋体" w:cs="宋体"/>
          <w:spacing w:val="-2"/>
          <w:sz w:val="21"/>
          <w:szCs w:val="21"/>
        </w:rPr>
        <w:t>发包人违约的责任</w:t>
      </w:r>
    </w:p>
    <w:p w14:paraId="0D5627AE">
      <w:pPr>
        <w:spacing w:before="140" w:line="352" w:lineRule="auto"/>
        <w:ind w:left="25" w:right="8" w:firstLine="423"/>
        <w:rPr>
          <w:rFonts w:ascii="宋体" w:hAnsi="宋体" w:eastAsia="宋体" w:cs="宋体"/>
          <w:sz w:val="21"/>
          <w:szCs w:val="21"/>
        </w:rPr>
      </w:pPr>
      <w:r>
        <w:rPr>
          <w:rFonts w:ascii="宋体" w:hAnsi="宋体" w:eastAsia="宋体" w:cs="宋体"/>
          <w:spacing w:val="-2"/>
          <w:sz w:val="21"/>
          <w:szCs w:val="21"/>
        </w:rPr>
        <w:t>发包人应承担因其违约给承包人增加的费用和（或）延误的工期</w:t>
      </w:r>
      <w:r>
        <w:rPr>
          <w:rFonts w:ascii="宋体" w:hAnsi="宋体" w:eastAsia="宋体" w:cs="宋体"/>
          <w:spacing w:val="-3"/>
          <w:sz w:val="21"/>
          <w:szCs w:val="21"/>
        </w:rPr>
        <w:t>，并支付承包人合理的</w:t>
      </w:r>
      <w:r>
        <w:rPr>
          <w:rFonts w:ascii="宋体" w:hAnsi="宋体" w:eastAsia="宋体" w:cs="宋体"/>
          <w:spacing w:val="-2"/>
          <w:sz w:val="21"/>
          <w:szCs w:val="21"/>
        </w:rPr>
        <w:t>利润。此外，合同当事人可在专用合同条款中另行约定发包人违约责任的承担方</w:t>
      </w:r>
      <w:r>
        <w:rPr>
          <w:rFonts w:ascii="宋体" w:hAnsi="宋体" w:eastAsia="宋体" w:cs="宋体"/>
          <w:spacing w:val="-3"/>
          <w:sz w:val="21"/>
          <w:szCs w:val="21"/>
        </w:rPr>
        <w:t>式和计算方</w:t>
      </w:r>
      <w:r>
        <w:rPr>
          <w:rFonts w:ascii="宋体" w:hAnsi="宋体" w:eastAsia="宋体" w:cs="宋体"/>
          <w:spacing w:val="-10"/>
          <w:sz w:val="21"/>
          <w:szCs w:val="21"/>
        </w:rPr>
        <w:t>法。</w:t>
      </w:r>
    </w:p>
    <w:p w14:paraId="42337B02">
      <w:pPr>
        <w:spacing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16.1.3  </w:t>
      </w:r>
      <w:r>
        <w:rPr>
          <w:rFonts w:ascii="宋体" w:hAnsi="宋体" w:eastAsia="宋体" w:cs="宋体"/>
          <w:spacing w:val="-1"/>
          <w:sz w:val="21"/>
          <w:szCs w:val="21"/>
        </w:rPr>
        <w:t>因发包人违约解除合同</w:t>
      </w:r>
    </w:p>
    <w:p w14:paraId="0607F876">
      <w:pPr>
        <w:spacing w:before="138" w:line="348" w:lineRule="auto"/>
        <w:ind w:left="24" w:firstLine="432"/>
        <w:rPr>
          <w:rFonts w:ascii="宋体" w:hAnsi="宋体" w:eastAsia="宋体" w:cs="宋体"/>
          <w:sz w:val="21"/>
          <w:szCs w:val="21"/>
        </w:rPr>
      </w:pPr>
      <w:r>
        <w:rPr>
          <w:rFonts w:ascii="宋体" w:hAnsi="宋体" w:eastAsia="宋体" w:cs="宋体"/>
          <w:spacing w:val="-3"/>
          <w:sz w:val="21"/>
          <w:szCs w:val="21"/>
        </w:rPr>
        <w:t>除专用合同条款另有约定外，承包人按第</w:t>
      </w:r>
      <w:r>
        <w:rPr>
          <w:rFonts w:ascii="宋体" w:hAnsi="宋体" w:eastAsia="宋体" w:cs="宋体"/>
          <w:spacing w:val="-23"/>
          <w:sz w:val="21"/>
          <w:szCs w:val="21"/>
        </w:rPr>
        <w:t xml:space="preserve"> </w:t>
      </w:r>
      <w:r>
        <w:rPr>
          <w:rFonts w:ascii="Times New Roman" w:hAnsi="Times New Roman" w:eastAsia="Times New Roman" w:cs="Times New Roman"/>
          <w:spacing w:val="-3"/>
          <w:sz w:val="21"/>
          <w:szCs w:val="21"/>
        </w:rPr>
        <w:t>16.1.1</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项〔发包人</w:t>
      </w:r>
      <w:r>
        <w:rPr>
          <w:rFonts w:ascii="宋体" w:hAnsi="宋体" w:eastAsia="宋体" w:cs="宋体"/>
          <w:spacing w:val="-4"/>
          <w:sz w:val="21"/>
          <w:szCs w:val="21"/>
        </w:rPr>
        <w:t>违约的情形〕约定暂停施工</w:t>
      </w:r>
      <w:r>
        <w:rPr>
          <w:rFonts w:ascii="宋体" w:hAnsi="宋体" w:eastAsia="宋体" w:cs="宋体"/>
          <w:spacing w:val="-6"/>
          <w:sz w:val="21"/>
          <w:szCs w:val="21"/>
        </w:rPr>
        <w:t>满</w:t>
      </w:r>
      <w:r>
        <w:rPr>
          <w:rFonts w:ascii="宋体" w:hAnsi="宋体" w:eastAsia="宋体" w:cs="宋体"/>
          <w:spacing w:val="-40"/>
          <w:sz w:val="21"/>
          <w:szCs w:val="21"/>
        </w:rPr>
        <w:t xml:space="preserve"> </w:t>
      </w:r>
      <w:r>
        <w:rPr>
          <w:rFonts w:ascii="Times New Roman" w:hAnsi="Times New Roman" w:eastAsia="Times New Roman" w:cs="Times New Roman"/>
          <w:spacing w:val="-6"/>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6"/>
          <w:sz w:val="21"/>
          <w:szCs w:val="21"/>
        </w:rPr>
        <w:t>天后，发包人仍不纠正其违约行为并致使合同目的不能实现的</w:t>
      </w:r>
      <w:r>
        <w:rPr>
          <w:rFonts w:ascii="宋体" w:hAnsi="宋体" w:eastAsia="宋体" w:cs="宋体"/>
          <w:spacing w:val="-7"/>
          <w:sz w:val="21"/>
          <w:szCs w:val="21"/>
        </w:rPr>
        <w:t xml:space="preserve">，或出现第 </w:t>
      </w:r>
      <w:r>
        <w:rPr>
          <w:rFonts w:ascii="Times New Roman" w:hAnsi="Times New Roman" w:eastAsia="Times New Roman" w:cs="Times New Roman"/>
          <w:spacing w:val="-7"/>
          <w:sz w:val="21"/>
          <w:szCs w:val="21"/>
        </w:rPr>
        <w:t>16.1.1</w:t>
      </w:r>
      <w:r>
        <w:rPr>
          <w:rFonts w:ascii="Times New Roman" w:hAnsi="Times New Roman" w:eastAsia="Times New Roman" w:cs="Times New Roman"/>
          <w:spacing w:val="20"/>
          <w:sz w:val="21"/>
          <w:szCs w:val="21"/>
        </w:rPr>
        <w:t xml:space="preserve"> </w:t>
      </w:r>
      <w:r>
        <w:rPr>
          <w:rFonts w:ascii="宋体" w:hAnsi="宋体" w:eastAsia="宋体" w:cs="宋体"/>
          <w:spacing w:val="-7"/>
          <w:sz w:val="21"/>
          <w:szCs w:val="21"/>
        </w:rPr>
        <w:t>项〔发</w:t>
      </w:r>
      <w:r>
        <w:rPr>
          <w:rFonts w:ascii="宋体" w:hAnsi="宋体" w:eastAsia="宋体" w:cs="宋体"/>
          <w:sz w:val="21"/>
          <w:szCs w:val="21"/>
        </w:rPr>
        <w:t>包人违约的情形〕第（</w:t>
      </w:r>
      <w:r>
        <w:rPr>
          <w:rFonts w:ascii="Times New Roman" w:hAnsi="Times New Roman" w:eastAsia="Times New Roman" w:cs="Times New Roman"/>
          <w:sz w:val="21"/>
          <w:szCs w:val="21"/>
        </w:rPr>
        <w:t>7</w:t>
      </w:r>
      <w:r>
        <w:rPr>
          <w:rFonts w:ascii="宋体" w:hAnsi="宋体" w:eastAsia="宋体" w:cs="宋体"/>
          <w:sz w:val="21"/>
          <w:szCs w:val="21"/>
        </w:rPr>
        <w:t>）目约定的违约情况，承包人有权解除合同，发包人应承担由此增</w:t>
      </w:r>
      <w:r>
        <w:rPr>
          <w:rFonts w:ascii="宋体" w:hAnsi="宋体" w:eastAsia="宋体" w:cs="宋体"/>
          <w:spacing w:val="-2"/>
          <w:sz w:val="21"/>
          <w:szCs w:val="21"/>
        </w:rPr>
        <w:t>加的费用，并支付承包人合理的利润。</w:t>
      </w:r>
    </w:p>
    <w:p w14:paraId="76FF0D1A">
      <w:pPr>
        <w:spacing w:before="10"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16.1.4  </w:t>
      </w:r>
      <w:r>
        <w:rPr>
          <w:rFonts w:ascii="宋体" w:hAnsi="宋体" w:eastAsia="宋体" w:cs="宋体"/>
          <w:spacing w:val="-1"/>
          <w:sz w:val="21"/>
          <w:szCs w:val="21"/>
        </w:rPr>
        <w:t>因发包人违约解除合同后的付款</w:t>
      </w:r>
    </w:p>
    <w:p w14:paraId="16BB19D1">
      <w:pPr>
        <w:spacing w:before="141" w:line="348" w:lineRule="auto"/>
        <w:ind w:left="36" w:right="14" w:firstLine="408"/>
        <w:rPr>
          <w:rFonts w:ascii="宋体" w:hAnsi="宋体" w:eastAsia="宋体" w:cs="宋体"/>
          <w:sz w:val="21"/>
          <w:szCs w:val="21"/>
        </w:rPr>
      </w:pPr>
      <w:r>
        <w:rPr>
          <w:rFonts w:ascii="宋体" w:hAnsi="宋体" w:eastAsia="宋体" w:cs="宋体"/>
          <w:sz w:val="21"/>
          <w:szCs w:val="21"/>
        </w:rPr>
        <w:t>承包人按照本款约定解除合同的，发包人应在解除合同后</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w:t>
      </w:r>
      <w:r>
        <w:rPr>
          <w:rFonts w:ascii="宋体" w:hAnsi="宋体" w:eastAsia="宋体" w:cs="宋体"/>
          <w:spacing w:val="-1"/>
          <w:sz w:val="21"/>
          <w:szCs w:val="21"/>
        </w:rPr>
        <w:t>支付下列款项，并解</w:t>
      </w:r>
      <w:r>
        <w:rPr>
          <w:rFonts w:ascii="宋体" w:hAnsi="宋体" w:eastAsia="宋体" w:cs="宋体"/>
          <w:spacing w:val="-10"/>
          <w:sz w:val="21"/>
          <w:szCs w:val="21"/>
        </w:rPr>
        <w:t>除履约担保：</w:t>
      </w:r>
    </w:p>
    <w:p w14:paraId="55C8FD0E">
      <w:pPr>
        <w:spacing w:before="4" w:line="232"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）合同解除前所完成工作的价款；</w:t>
      </w:r>
    </w:p>
    <w:p w14:paraId="6388E9F0">
      <w:pPr>
        <w:spacing w:before="141" w:line="232"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）承包人为工程施工订购并已付款的材料</w:t>
      </w:r>
      <w:r>
        <w:rPr>
          <w:rFonts w:ascii="宋体" w:hAnsi="宋体" w:eastAsia="宋体" w:cs="宋体"/>
          <w:spacing w:val="-2"/>
          <w:sz w:val="21"/>
          <w:szCs w:val="21"/>
        </w:rPr>
        <w:t>、工程设备和其他物品的价款；</w:t>
      </w:r>
    </w:p>
    <w:p w14:paraId="64C790B3">
      <w:pPr>
        <w:spacing w:before="142"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）承包人撤离施工现场以及遣散承包人人员的款项；</w:t>
      </w:r>
    </w:p>
    <w:p w14:paraId="69EAE62A">
      <w:pPr>
        <w:spacing w:before="125"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）按照合同约定在合同解除前应支付的违约金；</w:t>
      </w:r>
    </w:p>
    <w:p w14:paraId="10877E9C">
      <w:pPr>
        <w:spacing w:before="140"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）按照合同约定应当支付给承包人的其他款项；</w:t>
      </w:r>
    </w:p>
    <w:p w14:paraId="6960972B">
      <w:pPr>
        <w:spacing w:before="141"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6</w:t>
      </w:r>
      <w:r>
        <w:rPr>
          <w:rFonts w:ascii="宋体" w:hAnsi="宋体" w:eastAsia="宋体" w:cs="宋体"/>
          <w:spacing w:val="-3"/>
          <w:sz w:val="21"/>
          <w:szCs w:val="21"/>
        </w:rPr>
        <w:t>）按照合同约定应退还的质量保证金；</w:t>
      </w:r>
    </w:p>
    <w:p w14:paraId="14FE2714">
      <w:pPr>
        <w:spacing w:before="125"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）因解除合同给承包人造成的损失。</w:t>
      </w:r>
    </w:p>
    <w:p w14:paraId="1E541AE7">
      <w:pPr>
        <w:spacing w:before="139" w:line="350" w:lineRule="auto"/>
        <w:ind w:left="26" w:right="15" w:firstLine="418"/>
        <w:rPr>
          <w:rFonts w:ascii="宋体" w:hAnsi="宋体" w:eastAsia="宋体" w:cs="宋体"/>
          <w:sz w:val="21"/>
          <w:szCs w:val="21"/>
        </w:rPr>
      </w:pPr>
      <w:r>
        <w:rPr>
          <w:rFonts w:ascii="宋体" w:hAnsi="宋体" w:eastAsia="宋体" w:cs="宋体"/>
          <w:sz w:val="21"/>
          <w:szCs w:val="21"/>
        </w:rPr>
        <w:t>合同当事人未能就解除合同后的结清达成一致的，按照第</w:t>
      </w:r>
      <w:r>
        <w:rPr>
          <w:rFonts w:ascii="宋体" w:hAnsi="宋体" w:eastAsia="宋体" w:cs="宋体"/>
          <w:spacing w:val="-46"/>
          <w:sz w:val="21"/>
          <w:szCs w:val="21"/>
        </w:rPr>
        <w:t xml:space="preserve"> </w:t>
      </w:r>
      <w:r>
        <w:rPr>
          <w:rFonts w:ascii="Times New Roman" w:hAnsi="Times New Roman" w:eastAsia="Times New Roman" w:cs="Times New Roman"/>
          <w:sz w:val="21"/>
          <w:szCs w:val="21"/>
        </w:rPr>
        <w:t>20</w:t>
      </w:r>
      <w:r>
        <w:rPr>
          <w:rFonts w:ascii="Times New Roman" w:hAnsi="Times New Roman" w:eastAsia="Times New Roman" w:cs="Times New Roman"/>
          <w:spacing w:val="17"/>
          <w:w w:val="101"/>
          <w:sz w:val="21"/>
          <w:szCs w:val="21"/>
        </w:rPr>
        <w:t xml:space="preserve"> </w:t>
      </w:r>
      <w:r>
        <w:rPr>
          <w:rFonts w:ascii="宋体" w:hAnsi="宋体" w:eastAsia="宋体" w:cs="宋体"/>
          <w:sz w:val="21"/>
          <w:szCs w:val="21"/>
        </w:rPr>
        <w:t>条〔</w:t>
      </w:r>
      <w:r>
        <w:rPr>
          <w:rFonts w:ascii="宋体" w:hAnsi="宋体" w:eastAsia="宋体" w:cs="宋体"/>
          <w:spacing w:val="-1"/>
          <w:sz w:val="21"/>
          <w:szCs w:val="21"/>
        </w:rPr>
        <w:t>争议解决〕的约定处</w:t>
      </w:r>
      <w:r>
        <w:rPr>
          <w:rFonts w:ascii="宋体" w:hAnsi="宋体" w:eastAsia="宋体" w:cs="宋体"/>
          <w:spacing w:val="-11"/>
          <w:sz w:val="21"/>
          <w:szCs w:val="21"/>
        </w:rPr>
        <w:t>理。</w:t>
      </w:r>
    </w:p>
    <w:p w14:paraId="31999A0A">
      <w:pPr>
        <w:spacing w:before="3" w:line="344" w:lineRule="auto"/>
        <w:ind w:left="22" w:right="8" w:firstLine="422"/>
        <w:rPr>
          <w:rFonts w:ascii="宋体" w:hAnsi="宋体" w:eastAsia="宋体" w:cs="宋体"/>
          <w:sz w:val="21"/>
          <w:szCs w:val="21"/>
        </w:rPr>
      </w:pPr>
      <w:r>
        <w:rPr>
          <w:rFonts w:ascii="宋体" w:hAnsi="宋体" w:eastAsia="宋体" w:cs="宋体"/>
          <w:spacing w:val="-4"/>
          <w:sz w:val="21"/>
          <w:szCs w:val="21"/>
        </w:rPr>
        <w:t>承包人应妥善做好已完工程和与工程有关的已购材料、工程设备的保护和移交工作，</w:t>
      </w:r>
      <w:r>
        <w:rPr>
          <w:rFonts w:ascii="宋体" w:hAnsi="宋体" w:eastAsia="宋体" w:cs="宋体"/>
          <w:spacing w:val="-35"/>
          <w:sz w:val="21"/>
          <w:szCs w:val="21"/>
        </w:rPr>
        <w:t xml:space="preserve"> </w:t>
      </w:r>
      <w:r>
        <w:rPr>
          <w:rFonts w:ascii="宋体" w:hAnsi="宋体" w:eastAsia="宋体" w:cs="宋体"/>
          <w:spacing w:val="-4"/>
          <w:sz w:val="21"/>
          <w:szCs w:val="21"/>
        </w:rPr>
        <w:t>并</w:t>
      </w:r>
      <w:r>
        <w:rPr>
          <w:rFonts w:ascii="宋体" w:hAnsi="宋体" w:eastAsia="宋体" w:cs="宋体"/>
          <w:spacing w:val="-1"/>
          <w:sz w:val="21"/>
          <w:szCs w:val="21"/>
        </w:rPr>
        <w:t>将施工设备和人员撤出施工现场，发包人应为承包人撤出提供必要条件。</w:t>
      </w:r>
    </w:p>
    <w:p w14:paraId="3C33F663">
      <w:pPr>
        <w:spacing w:line="233" w:lineRule="auto"/>
        <w:ind w:left="31"/>
        <w:outlineLvl w:val="1"/>
        <w:rPr>
          <w:rFonts w:ascii="黑体" w:hAnsi="黑体" w:eastAsia="黑体" w:cs="黑体"/>
          <w:sz w:val="24"/>
          <w:szCs w:val="24"/>
        </w:rPr>
      </w:pPr>
      <w:bookmarkStart w:id="467" w:name="bookmark405"/>
      <w:bookmarkEnd w:id="467"/>
      <w:r>
        <w:rPr>
          <w:rFonts w:ascii="Times New Roman" w:hAnsi="Times New Roman" w:eastAsia="Times New Roman" w:cs="Times New Roman"/>
          <w:b/>
          <w:bCs/>
          <w:spacing w:val="1"/>
          <w:sz w:val="24"/>
          <w:szCs w:val="24"/>
        </w:rPr>
        <w:t xml:space="preserve">16.2  </w:t>
      </w:r>
      <w:r>
        <w:rPr>
          <w:rFonts w:ascii="黑体" w:hAnsi="黑体" w:eastAsia="黑体" w:cs="黑体"/>
          <w:b/>
          <w:bCs/>
          <w:spacing w:val="1"/>
          <w:sz w:val="24"/>
          <w:szCs w:val="24"/>
        </w:rPr>
        <w:t>承包人违约</w:t>
      </w:r>
    </w:p>
    <w:p w14:paraId="06368F8B">
      <w:pPr>
        <w:spacing w:before="113"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16.2.1</w:t>
      </w:r>
      <w:r>
        <w:rPr>
          <w:rFonts w:ascii="Times New Roman" w:hAnsi="Times New Roman" w:eastAsia="Times New Roman" w:cs="Times New Roman"/>
          <w:spacing w:val="46"/>
          <w:w w:val="101"/>
          <w:sz w:val="21"/>
          <w:szCs w:val="21"/>
        </w:rPr>
        <w:t xml:space="preserve"> </w:t>
      </w:r>
      <w:r>
        <w:rPr>
          <w:rFonts w:ascii="宋体" w:hAnsi="宋体" w:eastAsia="宋体" w:cs="宋体"/>
          <w:spacing w:val="-1"/>
          <w:sz w:val="21"/>
          <w:szCs w:val="21"/>
        </w:rPr>
        <w:t>承包人违约的情形</w:t>
      </w:r>
    </w:p>
    <w:p w14:paraId="68F93B50">
      <w:pPr>
        <w:spacing w:before="140" w:line="220" w:lineRule="auto"/>
        <w:ind w:left="443"/>
        <w:rPr>
          <w:rFonts w:ascii="宋体" w:hAnsi="宋体" w:eastAsia="宋体" w:cs="宋体"/>
          <w:sz w:val="21"/>
          <w:szCs w:val="21"/>
        </w:rPr>
      </w:pPr>
      <w:r>
        <w:rPr>
          <w:rFonts w:ascii="宋体" w:hAnsi="宋体" w:eastAsia="宋体" w:cs="宋体"/>
          <w:spacing w:val="-2"/>
          <w:sz w:val="21"/>
          <w:szCs w:val="21"/>
        </w:rPr>
        <w:t>在合同履行过程中发生的下列情形，属于承包人违约：</w:t>
      </w:r>
    </w:p>
    <w:p w14:paraId="66571EA3">
      <w:pPr>
        <w:spacing w:line="220" w:lineRule="auto"/>
        <w:rPr>
          <w:rFonts w:ascii="宋体" w:hAnsi="宋体" w:eastAsia="宋体" w:cs="宋体"/>
          <w:sz w:val="21"/>
          <w:szCs w:val="21"/>
        </w:rPr>
        <w:sectPr>
          <w:footerReference r:id="rId196" w:type="default"/>
          <w:pgSz w:w="11910" w:h="16845"/>
          <w:pgMar w:top="400" w:right="1770" w:bottom="1110" w:left="1786" w:header="0" w:footer="883" w:gutter="0"/>
          <w:cols w:space="720" w:num="1"/>
        </w:sectPr>
      </w:pPr>
    </w:p>
    <w:p w14:paraId="0AC60650">
      <w:pPr>
        <w:pStyle w:val="2"/>
        <w:spacing w:line="275" w:lineRule="auto"/>
      </w:pPr>
    </w:p>
    <w:p w14:paraId="3F21775C">
      <w:pPr>
        <w:pStyle w:val="2"/>
        <w:spacing w:line="275" w:lineRule="auto"/>
      </w:pPr>
    </w:p>
    <w:p w14:paraId="630D57C7">
      <w:pPr>
        <w:pStyle w:val="2"/>
        <w:spacing w:line="275" w:lineRule="auto"/>
      </w:pPr>
    </w:p>
    <w:p w14:paraId="1DF269F5">
      <w:pPr>
        <w:pStyle w:val="2"/>
        <w:spacing w:line="276" w:lineRule="auto"/>
      </w:pPr>
    </w:p>
    <w:p w14:paraId="5F3AE1DF">
      <w:pPr>
        <w:spacing w:before="68"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）承包人违反合同约定进行转包或违法分包的；</w:t>
      </w:r>
    </w:p>
    <w:p w14:paraId="63D3CB7C">
      <w:pPr>
        <w:spacing w:before="139"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）承包人违反合同约定采购和使用不合格的材料和工程设备的；</w:t>
      </w:r>
    </w:p>
    <w:p w14:paraId="288D19A5">
      <w:pPr>
        <w:spacing w:before="126"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）因承包人原因导致工程质量不符合合同要求的；</w:t>
      </w:r>
    </w:p>
    <w:p w14:paraId="735F5206">
      <w:pPr>
        <w:spacing w:before="139" w:line="348" w:lineRule="auto"/>
        <w:ind w:left="25" w:right="77" w:firstLine="425"/>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 xml:space="preserve">）承包人违反第 </w:t>
      </w:r>
      <w:r>
        <w:rPr>
          <w:rFonts w:ascii="Times New Roman" w:hAnsi="Times New Roman" w:eastAsia="Times New Roman" w:cs="Times New Roman"/>
          <w:spacing w:val="-1"/>
          <w:sz w:val="21"/>
          <w:szCs w:val="21"/>
        </w:rPr>
        <w:t xml:space="preserve">8.9  </w:t>
      </w:r>
      <w:r>
        <w:rPr>
          <w:rFonts w:ascii="宋体" w:hAnsi="宋体" w:eastAsia="宋体" w:cs="宋体"/>
          <w:spacing w:val="-1"/>
          <w:sz w:val="21"/>
          <w:szCs w:val="21"/>
        </w:rPr>
        <w:t>款〔材料与设备专用要求〕的约定，未经批准，私自将已按照</w:t>
      </w:r>
      <w:r>
        <w:rPr>
          <w:rFonts w:ascii="宋体" w:hAnsi="宋体" w:eastAsia="宋体" w:cs="宋体"/>
          <w:spacing w:val="-2"/>
          <w:sz w:val="21"/>
          <w:szCs w:val="21"/>
        </w:rPr>
        <w:t>合同约定进入施工现场的材料或设备撤离施工现场的；</w:t>
      </w:r>
    </w:p>
    <w:p w14:paraId="5CB1EC96">
      <w:pPr>
        <w:spacing w:before="4"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）承包人未能按施工进度计划及时完成合同约定</w:t>
      </w:r>
      <w:r>
        <w:rPr>
          <w:rFonts w:ascii="宋体" w:hAnsi="宋体" w:eastAsia="宋体" w:cs="宋体"/>
          <w:spacing w:val="-2"/>
          <w:sz w:val="21"/>
          <w:szCs w:val="21"/>
        </w:rPr>
        <w:t>的工作，造成工期延误的；</w:t>
      </w:r>
    </w:p>
    <w:p w14:paraId="70A590AE">
      <w:pPr>
        <w:spacing w:before="140" w:line="348" w:lineRule="auto"/>
        <w:ind w:left="25" w:right="112" w:firstLine="424"/>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6</w:t>
      </w:r>
      <w:r>
        <w:rPr>
          <w:rFonts w:ascii="宋体" w:hAnsi="宋体" w:eastAsia="宋体" w:cs="宋体"/>
          <w:sz w:val="21"/>
          <w:szCs w:val="21"/>
        </w:rPr>
        <w:t>）承包人在缺陷责任期及保修期内，未能在合理期限对工程缺陷进</w:t>
      </w:r>
      <w:r>
        <w:rPr>
          <w:rFonts w:ascii="宋体" w:hAnsi="宋体" w:eastAsia="宋体" w:cs="宋体"/>
          <w:spacing w:val="-1"/>
          <w:sz w:val="21"/>
          <w:szCs w:val="21"/>
        </w:rPr>
        <w:t>行修复，或拒绝</w:t>
      </w:r>
      <w:r>
        <w:rPr>
          <w:rFonts w:ascii="宋体" w:hAnsi="宋体" w:eastAsia="宋体" w:cs="宋体"/>
          <w:spacing w:val="-5"/>
          <w:sz w:val="21"/>
          <w:szCs w:val="21"/>
        </w:rPr>
        <w:t>按发包人要求进行修复的；</w:t>
      </w:r>
    </w:p>
    <w:p w14:paraId="363D6FAF">
      <w:pPr>
        <w:spacing w:before="5"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7</w:t>
      </w:r>
      <w:r>
        <w:rPr>
          <w:rFonts w:ascii="宋体" w:hAnsi="宋体" w:eastAsia="宋体" w:cs="宋体"/>
          <w:spacing w:val="-2"/>
          <w:sz w:val="21"/>
          <w:szCs w:val="21"/>
        </w:rPr>
        <w:t>）承包人明确表示或者以其行为表明不履行合同主要义务的；</w:t>
      </w:r>
    </w:p>
    <w:p w14:paraId="0F245FA6">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8</w:t>
      </w:r>
      <w:r>
        <w:rPr>
          <w:rFonts w:ascii="宋体" w:hAnsi="宋体" w:eastAsia="宋体" w:cs="宋体"/>
          <w:spacing w:val="-2"/>
          <w:sz w:val="21"/>
          <w:szCs w:val="21"/>
        </w:rPr>
        <w:t>）承包人未能按照合同约定履行其他义务的。</w:t>
      </w:r>
    </w:p>
    <w:p w14:paraId="3C9D2093">
      <w:pPr>
        <w:spacing w:before="139" w:line="336" w:lineRule="auto"/>
        <w:ind w:left="24" w:right="113" w:firstLine="420"/>
        <w:rPr>
          <w:rFonts w:ascii="宋体" w:hAnsi="宋体" w:eastAsia="宋体" w:cs="宋体"/>
          <w:sz w:val="21"/>
          <w:szCs w:val="21"/>
        </w:rPr>
      </w:pPr>
      <w:r>
        <w:rPr>
          <w:rFonts w:ascii="宋体" w:hAnsi="宋体" w:eastAsia="宋体" w:cs="宋体"/>
          <w:sz w:val="21"/>
          <w:szCs w:val="21"/>
        </w:rPr>
        <w:t>承包人发生除本项第（</w:t>
      </w:r>
      <w:r>
        <w:rPr>
          <w:rFonts w:ascii="Times New Roman" w:hAnsi="Times New Roman" w:eastAsia="Times New Roman" w:cs="Times New Roman"/>
          <w:sz w:val="21"/>
          <w:szCs w:val="21"/>
        </w:rPr>
        <w:t>7</w:t>
      </w:r>
      <w:r>
        <w:rPr>
          <w:rFonts w:ascii="宋体" w:hAnsi="宋体" w:eastAsia="宋体" w:cs="宋体"/>
          <w:sz w:val="21"/>
          <w:szCs w:val="21"/>
        </w:rPr>
        <w:t>）目约定以外的其他违约情况时，监理人可向承包人发</w:t>
      </w:r>
      <w:r>
        <w:rPr>
          <w:rFonts w:ascii="宋体" w:hAnsi="宋体" w:eastAsia="宋体" w:cs="宋体"/>
          <w:spacing w:val="-1"/>
          <w:sz w:val="21"/>
          <w:szCs w:val="21"/>
        </w:rPr>
        <w:t>出整改</w:t>
      </w:r>
      <w:r>
        <w:rPr>
          <w:rFonts w:ascii="宋体" w:hAnsi="宋体" w:eastAsia="宋体" w:cs="宋体"/>
          <w:spacing w:val="-2"/>
          <w:sz w:val="21"/>
          <w:szCs w:val="21"/>
        </w:rPr>
        <w:t>通知，要求其在指定的期限内改正。</w:t>
      </w:r>
    </w:p>
    <w:p w14:paraId="26BB2524">
      <w:pPr>
        <w:spacing w:before="33"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16.2.2</w:t>
      </w:r>
      <w:r>
        <w:rPr>
          <w:rFonts w:ascii="Times New Roman" w:hAnsi="Times New Roman" w:eastAsia="Times New Roman" w:cs="Times New Roman"/>
          <w:spacing w:val="46"/>
          <w:w w:val="101"/>
          <w:sz w:val="21"/>
          <w:szCs w:val="21"/>
        </w:rPr>
        <w:t xml:space="preserve"> </w:t>
      </w:r>
      <w:r>
        <w:rPr>
          <w:rFonts w:ascii="宋体" w:hAnsi="宋体" w:eastAsia="宋体" w:cs="宋体"/>
          <w:spacing w:val="-1"/>
          <w:sz w:val="21"/>
          <w:szCs w:val="21"/>
        </w:rPr>
        <w:t>承包人违约的责任</w:t>
      </w:r>
    </w:p>
    <w:p w14:paraId="4AE4F305">
      <w:pPr>
        <w:spacing w:before="140" w:line="345" w:lineRule="auto"/>
        <w:ind w:left="25" w:right="78" w:firstLine="419"/>
        <w:rPr>
          <w:rFonts w:ascii="宋体" w:hAnsi="宋体" w:eastAsia="宋体" w:cs="宋体"/>
          <w:sz w:val="21"/>
          <w:szCs w:val="21"/>
        </w:rPr>
      </w:pPr>
      <w:r>
        <w:rPr>
          <w:rFonts w:ascii="宋体" w:hAnsi="宋体" w:eastAsia="宋体" w:cs="宋体"/>
          <w:spacing w:val="-2"/>
          <w:sz w:val="21"/>
          <w:szCs w:val="21"/>
        </w:rPr>
        <w:t>承包人应承担因其违约行为而增加的费用和（或）延误的工期。此外，合同当事人可在</w:t>
      </w:r>
      <w:r>
        <w:rPr>
          <w:rFonts w:ascii="宋体" w:hAnsi="宋体" w:eastAsia="宋体" w:cs="宋体"/>
          <w:spacing w:val="-1"/>
          <w:sz w:val="21"/>
          <w:szCs w:val="21"/>
        </w:rPr>
        <w:t>专用合同条款中另行约定承包人违约责任的承担方式和计算方法。</w:t>
      </w:r>
    </w:p>
    <w:p w14:paraId="3830C466">
      <w:pPr>
        <w:spacing w:before="11"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16.2.3  </w:t>
      </w:r>
      <w:r>
        <w:rPr>
          <w:rFonts w:ascii="宋体" w:hAnsi="宋体" w:eastAsia="宋体" w:cs="宋体"/>
          <w:spacing w:val="-1"/>
          <w:sz w:val="21"/>
          <w:szCs w:val="21"/>
        </w:rPr>
        <w:t>因承包人违约解除合同</w:t>
      </w:r>
    </w:p>
    <w:p w14:paraId="4FE78C56">
      <w:pPr>
        <w:spacing w:before="142" w:line="351" w:lineRule="auto"/>
        <w:ind w:left="24" w:right="70" w:firstLine="432"/>
        <w:rPr>
          <w:rFonts w:ascii="宋体" w:hAnsi="宋体" w:eastAsia="宋体" w:cs="宋体"/>
          <w:sz w:val="21"/>
          <w:szCs w:val="21"/>
        </w:rPr>
      </w:pPr>
      <w:r>
        <w:rPr>
          <w:rFonts w:ascii="宋体" w:hAnsi="宋体" w:eastAsia="宋体" w:cs="宋体"/>
          <w:spacing w:val="-1"/>
          <w:sz w:val="21"/>
          <w:szCs w:val="21"/>
        </w:rPr>
        <w:t>除专用合同条款另有约定外，出现第</w:t>
      </w:r>
      <w:r>
        <w:rPr>
          <w:rFonts w:ascii="宋体" w:hAnsi="宋体" w:eastAsia="宋体" w:cs="宋体"/>
          <w:spacing w:val="-23"/>
          <w:sz w:val="21"/>
          <w:szCs w:val="21"/>
        </w:rPr>
        <w:t xml:space="preserve"> </w:t>
      </w:r>
      <w:r>
        <w:rPr>
          <w:rFonts w:ascii="Times New Roman" w:hAnsi="Times New Roman" w:eastAsia="Times New Roman" w:cs="Times New Roman"/>
          <w:spacing w:val="-1"/>
          <w:sz w:val="21"/>
          <w:szCs w:val="21"/>
        </w:rPr>
        <w:t>16.2.1</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项〔承包人违约的情形〕第（</w:t>
      </w:r>
      <w:r>
        <w:rPr>
          <w:rFonts w:ascii="Times New Roman" w:hAnsi="Times New Roman" w:eastAsia="Times New Roman" w:cs="Times New Roman"/>
          <w:spacing w:val="-2"/>
          <w:sz w:val="21"/>
          <w:szCs w:val="21"/>
        </w:rPr>
        <w:t>7</w:t>
      </w:r>
      <w:r>
        <w:rPr>
          <w:rFonts w:ascii="宋体" w:hAnsi="宋体" w:eastAsia="宋体" w:cs="宋体"/>
          <w:spacing w:val="-2"/>
          <w:sz w:val="21"/>
          <w:szCs w:val="21"/>
        </w:rPr>
        <w:t>）目约定的违约情况时，或监理人发出整改通知后，承包人在指定的合理期限内仍不纠正违约</w:t>
      </w:r>
      <w:r>
        <w:rPr>
          <w:rFonts w:ascii="宋体" w:hAnsi="宋体" w:eastAsia="宋体" w:cs="宋体"/>
          <w:spacing w:val="-3"/>
          <w:sz w:val="21"/>
          <w:szCs w:val="21"/>
        </w:rPr>
        <w:t>行为并致</w:t>
      </w:r>
      <w:r>
        <w:rPr>
          <w:rFonts w:ascii="宋体" w:hAnsi="宋体" w:eastAsia="宋体" w:cs="宋体"/>
          <w:spacing w:val="-6"/>
          <w:sz w:val="21"/>
          <w:szCs w:val="21"/>
        </w:rPr>
        <w:t>使合同目的不能实现的，发包人有权解除合同。合同解除后，</w:t>
      </w:r>
      <w:r>
        <w:rPr>
          <w:rFonts w:ascii="宋体" w:hAnsi="宋体" w:eastAsia="宋体" w:cs="宋体"/>
          <w:spacing w:val="70"/>
          <w:sz w:val="21"/>
          <w:szCs w:val="21"/>
        </w:rPr>
        <w:t xml:space="preserve"> </w:t>
      </w:r>
      <w:r>
        <w:rPr>
          <w:rFonts w:ascii="宋体" w:hAnsi="宋体" w:eastAsia="宋体" w:cs="宋体"/>
          <w:spacing w:val="-6"/>
          <w:sz w:val="21"/>
          <w:szCs w:val="21"/>
        </w:rPr>
        <w:t>因继续完成工程的需要，发包</w:t>
      </w:r>
      <w:r>
        <w:rPr>
          <w:rFonts w:ascii="宋体" w:hAnsi="宋体" w:eastAsia="宋体" w:cs="宋体"/>
          <w:spacing w:val="-2"/>
          <w:sz w:val="21"/>
          <w:szCs w:val="21"/>
        </w:rPr>
        <w:t>人有权使用承包人在施工现场的材料、设备、临时工程、承包人文件和由承</w:t>
      </w:r>
      <w:r>
        <w:rPr>
          <w:rFonts w:ascii="宋体" w:hAnsi="宋体" w:eastAsia="宋体" w:cs="宋体"/>
          <w:spacing w:val="-3"/>
          <w:sz w:val="21"/>
          <w:szCs w:val="21"/>
        </w:rPr>
        <w:t>包人或以其名义</w:t>
      </w:r>
      <w:r>
        <w:rPr>
          <w:rFonts w:ascii="宋体" w:hAnsi="宋体" w:eastAsia="宋体" w:cs="宋体"/>
          <w:spacing w:val="-2"/>
          <w:sz w:val="21"/>
          <w:szCs w:val="21"/>
        </w:rPr>
        <w:t>编制的其他文件，合同当事人应在专用合同条款约定相应费用的承担方</w:t>
      </w:r>
      <w:r>
        <w:rPr>
          <w:rFonts w:ascii="宋体" w:hAnsi="宋体" w:eastAsia="宋体" w:cs="宋体"/>
          <w:spacing w:val="-3"/>
          <w:sz w:val="21"/>
          <w:szCs w:val="21"/>
        </w:rPr>
        <w:t>式。发包人继续使用</w:t>
      </w:r>
      <w:r>
        <w:rPr>
          <w:rFonts w:ascii="宋体" w:hAnsi="宋体" w:eastAsia="宋体" w:cs="宋体"/>
          <w:spacing w:val="-2"/>
          <w:sz w:val="21"/>
          <w:szCs w:val="21"/>
        </w:rPr>
        <w:t>的行为不免除或减轻承包人应承担的违约责任。</w:t>
      </w:r>
    </w:p>
    <w:p w14:paraId="0E8044E7">
      <w:pPr>
        <w:spacing w:before="5"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16.2.4</w:t>
      </w:r>
      <w:r>
        <w:rPr>
          <w:rFonts w:ascii="Times New Roman" w:hAnsi="Times New Roman" w:eastAsia="Times New Roman" w:cs="Times New Roman"/>
          <w:spacing w:val="45"/>
          <w:sz w:val="21"/>
          <w:szCs w:val="21"/>
        </w:rPr>
        <w:t xml:space="preserve"> </w:t>
      </w:r>
      <w:r>
        <w:rPr>
          <w:rFonts w:ascii="宋体" w:hAnsi="宋体" w:eastAsia="宋体" w:cs="宋体"/>
          <w:spacing w:val="-2"/>
          <w:sz w:val="21"/>
          <w:szCs w:val="21"/>
        </w:rPr>
        <w:t>因承包人违约解除合同后的处理</w:t>
      </w:r>
    </w:p>
    <w:p w14:paraId="597B179D">
      <w:pPr>
        <w:spacing w:before="125" w:line="348" w:lineRule="auto"/>
        <w:ind w:left="25" w:right="93" w:firstLine="436"/>
        <w:rPr>
          <w:rFonts w:ascii="宋体" w:hAnsi="宋体" w:eastAsia="宋体" w:cs="宋体"/>
          <w:sz w:val="21"/>
          <w:szCs w:val="21"/>
        </w:rPr>
      </w:pPr>
      <w:r>
        <w:rPr>
          <w:rFonts w:ascii="宋体" w:hAnsi="宋体" w:eastAsia="宋体" w:cs="宋体"/>
          <w:spacing w:val="-1"/>
          <w:sz w:val="21"/>
          <w:szCs w:val="21"/>
        </w:rPr>
        <w:t>因承包人原因导致合同解除的，则合同当事人应在合同解除后</w:t>
      </w:r>
      <w:r>
        <w:rPr>
          <w:rFonts w:ascii="宋体" w:hAnsi="宋体" w:eastAsia="宋体" w:cs="宋体"/>
          <w:spacing w:val="-34"/>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天内完成估价、付款</w:t>
      </w:r>
      <w:r>
        <w:rPr>
          <w:rFonts w:ascii="宋体" w:hAnsi="宋体" w:eastAsia="宋体" w:cs="宋体"/>
          <w:spacing w:val="-4"/>
          <w:sz w:val="21"/>
          <w:szCs w:val="21"/>
        </w:rPr>
        <w:t>和清算，并按以下约定执行：</w:t>
      </w:r>
    </w:p>
    <w:p w14:paraId="09FD4E78">
      <w:pPr>
        <w:spacing w:before="18" w:line="335" w:lineRule="auto"/>
        <w:ind w:left="25" w:right="76"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 xml:space="preserve">）合同解除后，按第 </w:t>
      </w:r>
      <w:r>
        <w:rPr>
          <w:rFonts w:ascii="Times New Roman" w:hAnsi="Times New Roman" w:eastAsia="Times New Roman" w:cs="Times New Roman"/>
          <w:sz w:val="21"/>
          <w:szCs w:val="21"/>
        </w:rPr>
        <w:t>4.4</w:t>
      </w:r>
      <w:r>
        <w:rPr>
          <w:rFonts w:ascii="Times New Roman" w:hAnsi="Times New Roman" w:eastAsia="Times New Roman" w:cs="Times New Roman"/>
          <w:spacing w:val="47"/>
          <w:w w:val="101"/>
          <w:sz w:val="21"/>
          <w:szCs w:val="21"/>
        </w:rPr>
        <w:t xml:space="preserve"> </w:t>
      </w:r>
      <w:r>
        <w:rPr>
          <w:rFonts w:ascii="宋体" w:hAnsi="宋体" w:eastAsia="宋体" w:cs="宋体"/>
          <w:sz w:val="21"/>
          <w:szCs w:val="21"/>
        </w:rPr>
        <w:t>款〔商定或确</w:t>
      </w:r>
      <w:r>
        <w:rPr>
          <w:rFonts w:ascii="宋体" w:hAnsi="宋体" w:eastAsia="宋体" w:cs="宋体"/>
          <w:spacing w:val="-1"/>
          <w:sz w:val="21"/>
          <w:szCs w:val="21"/>
        </w:rPr>
        <w:t>定〕商定或确定承包人实际完成工作对应的合同价款，以及承包人已提供的材料、工程设备、施工设备和临时工程</w:t>
      </w:r>
      <w:r>
        <w:rPr>
          <w:rFonts w:ascii="宋体" w:hAnsi="宋体" w:eastAsia="宋体" w:cs="宋体"/>
          <w:spacing w:val="-2"/>
          <w:sz w:val="21"/>
          <w:szCs w:val="21"/>
        </w:rPr>
        <w:t>等的价值；</w:t>
      </w:r>
    </w:p>
    <w:p w14:paraId="29133D1D">
      <w:pPr>
        <w:spacing w:before="35"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）合同解除后，承包人应支付的违约金；</w:t>
      </w:r>
    </w:p>
    <w:p w14:paraId="13A1964E">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）合同解除后，因解除合同给发包人造</w:t>
      </w:r>
      <w:r>
        <w:rPr>
          <w:rFonts w:ascii="宋体" w:hAnsi="宋体" w:eastAsia="宋体" w:cs="宋体"/>
          <w:spacing w:val="-3"/>
          <w:sz w:val="21"/>
          <w:szCs w:val="21"/>
        </w:rPr>
        <w:t>成的损失；</w:t>
      </w:r>
    </w:p>
    <w:p w14:paraId="13549AEE">
      <w:pPr>
        <w:spacing w:before="125" w:line="233" w:lineRule="auto"/>
        <w:ind w:left="450"/>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）合同解除后，承包人应按照发包人要求和监理人的指示完成现</w:t>
      </w:r>
      <w:r>
        <w:rPr>
          <w:rFonts w:ascii="宋体" w:hAnsi="宋体" w:eastAsia="宋体" w:cs="宋体"/>
          <w:spacing w:val="-2"/>
          <w:sz w:val="21"/>
          <w:szCs w:val="21"/>
        </w:rPr>
        <w:t>场的清理和撤离；</w:t>
      </w:r>
    </w:p>
    <w:p w14:paraId="2BD65ACA">
      <w:pPr>
        <w:spacing w:before="141" w:line="348" w:lineRule="auto"/>
        <w:ind w:left="27" w:right="111" w:firstLine="422"/>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5</w:t>
      </w:r>
      <w:r>
        <w:rPr>
          <w:rFonts w:ascii="宋体" w:hAnsi="宋体" w:eastAsia="宋体" w:cs="宋体"/>
          <w:sz w:val="21"/>
          <w:szCs w:val="21"/>
        </w:rPr>
        <w:t>）发包人和承包人应在合同解除后进行清算，出具最终结清付款证书</w:t>
      </w:r>
      <w:r>
        <w:rPr>
          <w:rFonts w:ascii="宋体" w:hAnsi="宋体" w:eastAsia="宋体" w:cs="宋体"/>
          <w:spacing w:val="-1"/>
          <w:sz w:val="21"/>
          <w:szCs w:val="21"/>
        </w:rPr>
        <w:t>，结清全部款</w:t>
      </w:r>
      <w:r>
        <w:rPr>
          <w:rFonts w:ascii="宋体" w:hAnsi="宋体" w:eastAsia="宋体" w:cs="宋体"/>
          <w:spacing w:val="-11"/>
          <w:sz w:val="21"/>
          <w:szCs w:val="21"/>
        </w:rPr>
        <w:t>项。</w:t>
      </w:r>
    </w:p>
    <w:p w14:paraId="26CFB68D">
      <w:pPr>
        <w:spacing w:before="4" w:line="368" w:lineRule="auto"/>
        <w:ind w:left="27" w:firstLine="433"/>
        <w:rPr>
          <w:rFonts w:ascii="宋体" w:hAnsi="宋体" w:eastAsia="宋体" w:cs="宋体"/>
          <w:sz w:val="21"/>
          <w:szCs w:val="21"/>
        </w:rPr>
      </w:pPr>
      <w:r>
        <w:rPr>
          <w:rFonts w:ascii="宋体" w:hAnsi="宋体" w:eastAsia="宋体" w:cs="宋体"/>
          <w:spacing w:val="-6"/>
          <w:sz w:val="21"/>
          <w:szCs w:val="21"/>
        </w:rPr>
        <w:t>因承包人违约解除合同的，发包人有权暂停对承包人的付款，查清各项付款和已扣款项。</w:t>
      </w:r>
      <w:r>
        <w:rPr>
          <w:rFonts w:ascii="宋体" w:hAnsi="宋体" w:eastAsia="宋体" w:cs="宋体"/>
          <w:spacing w:val="-3"/>
          <w:sz w:val="21"/>
          <w:szCs w:val="21"/>
        </w:rPr>
        <w:t>发包人和承包人未能就合同解除后的清算和款项支付达成一致的，</w:t>
      </w:r>
      <w:r>
        <w:rPr>
          <w:rFonts w:ascii="宋体" w:hAnsi="宋体" w:eastAsia="宋体" w:cs="宋体"/>
          <w:spacing w:val="-4"/>
          <w:sz w:val="21"/>
          <w:szCs w:val="21"/>
        </w:rPr>
        <w:t>按照第</w:t>
      </w:r>
      <w:r>
        <w:rPr>
          <w:rFonts w:ascii="宋体" w:hAnsi="宋体" w:eastAsia="宋体" w:cs="宋体"/>
          <w:spacing w:val="-47"/>
          <w:sz w:val="21"/>
          <w:szCs w:val="21"/>
        </w:rPr>
        <w:t xml:space="preserve"> </w:t>
      </w:r>
      <w:r>
        <w:rPr>
          <w:rFonts w:ascii="Times New Roman" w:hAnsi="Times New Roman" w:eastAsia="Times New Roman" w:cs="Times New Roman"/>
          <w:spacing w:val="-4"/>
          <w:sz w:val="21"/>
          <w:szCs w:val="21"/>
        </w:rPr>
        <w:t>20</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条〔争议解决〕</w:t>
      </w:r>
    </w:p>
    <w:p w14:paraId="6260A2D6">
      <w:pPr>
        <w:spacing w:line="368" w:lineRule="auto"/>
        <w:rPr>
          <w:rFonts w:ascii="宋体" w:hAnsi="宋体" w:eastAsia="宋体" w:cs="宋体"/>
          <w:sz w:val="21"/>
          <w:szCs w:val="21"/>
        </w:rPr>
        <w:sectPr>
          <w:footerReference r:id="rId197" w:type="default"/>
          <w:pgSz w:w="11910" w:h="16845"/>
          <w:pgMar w:top="400" w:right="1691" w:bottom="1110" w:left="1786" w:header="0" w:footer="882" w:gutter="0"/>
          <w:cols w:space="720" w:num="1"/>
        </w:sectPr>
      </w:pPr>
    </w:p>
    <w:p w14:paraId="35913C20">
      <w:pPr>
        <w:pStyle w:val="2"/>
        <w:spacing w:line="275" w:lineRule="auto"/>
      </w:pPr>
    </w:p>
    <w:p w14:paraId="29794223">
      <w:pPr>
        <w:pStyle w:val="2"/>
        <w:spacing w:line="275" w:lineRule="auto"/>
      </w:pPr>
    </w:p>
    <w:p w14:paraId="65AD341A">
      <w:pPr>
        <w:pStyle w:val="2"/>
        <w:spacing w:line="275" w:lineRule="auto"/>
      </w:pPr>
    </w:p>
    <w:p w14:paraId="2551523F">
      <w:pPr>
        <w:pStyle w:val="2"/>
        <w:spacing w:line="276" w:lineRule="auto"/>
      </w:pPr>
    </w:p>
    <w:p w14:paraId="244A86B0">
      <w:pPr>
        <w:spacing w:before="68" w:line="220" w:lineRule="auto"/>
        <w:ind w:left="41"/>
        <w:rPr>
          <w:rFonts w:ascii="宋体" w:hAnsi="宋体" w:eastAsia="宋体" w:cs="宋体"/>
          <w:sz w:val="21"/>
          <w:szCs w:val="21"/>
        </w:rPr>
      </w:pPr>
      <w:r>
        <w:rPr>
          <w:rFonts w:ascii="宋体" w:hAnsi="宋体" w:eastAsia="宋体" w:cs="宋体"/>
          <w:spacing w:val="-8"/>
          <w:sz w:val="21"/>
          <w:szCs w:val="21"/>
        </w:rPr>
        <w:t>的约定处理。</w:t>
      </w:r>
    </w:p>
    <w:p w14:paraId="0F4E2416">
      <w:pPr>
        <w:spacing w:before="154"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16.2.5</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采购合同权益转让</w:t>
      </w:r>
    </w:p>
    <w:p w14:paraId="081DE603">
      <w:pPr>
        <w:spacing w:before="127" w:line="344" w:lineRule="auto"/>
        <w:ind w:left="23" w:right="77" w:firstLine="437"/>
        <w:rPr>
          <w:rFonts w:ascii="宋体" w:hAnsi="宋体" w:eastAsia="宋体" w:cs="宋体"/>
          <w:sz w:val="21"/>
          <w:szCs w:val="21"/>
        </w:rPr>
      </w:pPr>
      <w:r>
        <w:rPr>
          <w:rFonts w:ascii="宋体" w:hAnsi="宋体" w:eastAsia="宋体" w:cs="宋体"/>
          <w:spacing w:val="-3"/>
          <w:sz w:val="21"/>
          <w:szCs w:val="21"/>
        </w:rPr>
        <w:t>因承包人违约解除合同的，发包人有权要求承包人将其为实施合同而签订的材料和设备</w:t>
      </w:r>
      <w:r>
        <w:rPr>
          <w:rFonts w:ascii="宋体" w:hAnsi="宋体" w:eastAsia="宋体" w:cs="宋体"/>
          <w:spacing w:val="-1"/>
          <w:sz w:val="21"/>
          <w:szCs w:val="21"/>
        </w:rPr>
        <w:t>的采购合同的权益转让给发包人，承包人应在收到解除合同通知后</w:t>
      </w:r>
      <w:r>
        <w:rPr>
          <w:rFonts w:ascii="宋体" w:hAnsi="宋体" w:eastAsia="宋体" w:cs="宋体"/>
          <w:spacing w:val="-15"/>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天内，协助发包人与</w:t>
      </w:r>
      <w:r>
        <w:rPr>
          <w:rFonts w:ascii="宋体" w:hAnsi="宋体" w:eastAsia="宋体" w:cs="宋体"/>
          <w:spacing w:val="-2"/>
          <w:sz w:val="21"/>
          <w:szCs w:val="21"/>
        </w:rPr>
        <w:t>采购合同的供应商达成相关的转让协议。</w:t>
      </w:r>
    </w:p>
    <w:p w14:paraId="0E954BE9">
      <w:pPr>
        <w:spacing w:line="232" w:lineRule="auto"/>
        <w:ind w:left="31"/>
        <w:outlineLvl w:val="1"/>
        <w:rPr>
          <w:rFonts w:ascii="黑体" w:hAnsi="黑体" w:eastAsia="黑体" w:cs="黑体"/>
          <w:sz w:val="24"/>
          <w:szCs w:val="24"/>
        </w:rPr>
      </w:pPr>
      <w:bookmarkStart w:id="468" w:name="bookmark406"/>
      <w:bookmarkEnd w:id="468"/>
      <w:r>
        <w:rPr>
          <w:rFonts w:ascii="Times New Roman" w:hAnsi="Times New Roman" w:eastAsia="Times New Roman" w:cs="Times New Roman"/>
          <w:b/>
          <w:bCs/>
          <w:spacing w:val="1"/>
          <w:sz w:val="24"/>
          <w:szCs w:val="24"/>
        </w:rPr>
        <w:t xml:space="preserve">16.3  </w:t>
      </w:r>
      <w:r>
        <w:rPr>
          <w:rFonts w:ascii="黑体" w:hAnsi="黑体" w:eastAsia="黑体" w:cs="黑体"/>
          <w:b/>
          <w:bCs/>
          <w:spacing w:val="1"/>
          <w:sz w:val="24"/>
          <w:szCs w:val="24"/>
        </w:rPr>
        <w:t>第三人造成的违约</w:t>
      </w:r>
    </w:p>
    <w:p w14:paraId="11677BA5">
      <w:pPr>
        <w:spacing w:before="128" w:line="358" w:lineRule="auto"/>
        <w:ind w:left="29" w:right="78" w:firstLine="414"/>
        <w:rPr>
          <w:rFonts w:ascii="宋体" w:hAnsi="宋体" w:eastAsia="宋体" w:cs="宋体"/>
          <w:sz w:val="21"/>
          <w:szCs w:val="21"/>
        </w:rPr>
      </w:pPr>
      <w:r>
        <w:rPr>
          <w:rFonts w:ascii="宋体" w:hAnsi="宋体" w:eastAsia="宋体" w:cs="宋体"/>
          <w:spacing w:val="-2"/>
          <w:sz w:val="21"/>
          <w:szCs w:val="21"/>
        </w:rPr>
        <w:t>在履行合同过程中，一方当事人因第三人的原因造成违约的，应当向对方当</w:t>
      </w:r>
      <w:r>
        <w:rPr>
          <w:rFonts w:ascii="宋体" w:hAnsi="宋体" w:eastAsia="宋体" w:cs="宋体"/>
          <w:spacing w:val="-3"/>
          <w:sz w:val="21"/>
          <w:szCs w:val="21"/>
        </w:rPr>
        <w:t>事人承担违</w:t>
      </w:r>
      <w:r>
        <w:rPr>
          <w:rFonts w:ascii="宋体" w:hAnsi="宋体" w:eastAsia="宋体" w:cs="宋体"/>
          <w:spacing w:val="-1"/>
          <w:sz w:val="21"/>
          <w:szCs w:val="21"/>
        </w:rPr>
        <w:t>约责任。一方当事人和第三人之间的纠纷，依照法律规定或者按照约定解决。</w:t>
      </w:r>
    </w:p>
    <w:p w14:paraId="3BCB23A4">
      <w:pPr>
        <w:spacing w:before="21" w:line="236" w:lineRule="auto"/>
        <w:ind w:left="34"/>
        <w:outlineLvl w:val="0"/>
        <w:rPr>
          <w:rFonts w:ascii="黑体" w:hAnsi="黑体" w:eastAsia="黑体" w:cs="黑体"/>
          <w:sz w:val="28"/>
          <w:szCs w:val="28"/>
        </w:rPr>
      </w:pPr>
      <w:bookmarkStart w:id="469" w:name="bookmark407"/>
      <w:bookmarkEnd w:id="469"/>
      <w:bookmarkStart w:id="470" w:name="bookmark408"/>
      <w:bookmarkEnd w:id="470"/>
      <w:r>
        <w:rPr>
          <w:rFonts w:ascii="Times New Roman" w:hAnsi="Times New Roman" w:eastAsia="Times New Roman" w:cs="Times New Roman"/>
          <w:b/>
          <w:bCs/>
          <w:spacing w:val="3"/>
          <w:sz w:val="28"/>
          <w:szCs w:val="28"/>
        </w:rPr>
        <w:t>17.</w:t>
      </w:r>
      <w:r>
        <w:rPr>
          <w:rFonts w:ascii="Times New Roman" w:hAnsi="Times New Roman" w:eastAsia="Times New Roman" w:cs="Times New Roman"/>
          <w:b/>
          <w:bCs/>
          <w:spacing w:val="74"/>
          <w:sz w:val="28"/>
          <w:szCs w:val="28"/>
        </w:rPr>
        <w:t xml:space="preserve"> </w:t>
      </w:r>
      <w:r>
        <w:rPr>
          <w:rFonts w:ascii="黑体" w:hAnsi="黑体" w:eastAsia="黑体" w:cs="黑体"/>
          <w:b/>
          <w:bCs/>
          <w:spacing w:val="3"/>
          <w:sz w:val="28"/>
          <w:szCs w:val="28"/>
        </w:rPr>
        <w:t>不可抗力</w:t>
      </w:r>
    </w:p>
    <w:p w14:paraId="7826FE2E">
      <w:pPr>
        <w:spacing w:before="87" w:line="232" w:lineRule="auto"/>
        <w:ind w:left="31"/>
        <w:outlineLvl w:val="1"/>
        <w:rPr>
          <w:rFonts w:ascii="黑体" w:hAnsi="黑体" w:eastAsia="黑体" w:cs="黑体"/>
          <w:sz w:val="24"/>
          <w:szCs w:val="24"/>
        </w:rPr>
      </w:pPr>
      <w:bookmarkStart w:id="471" w:name="bookmark699"/>
      <w:bookmarkEnd w:id="471"/>
      <w:r>
        <w:rPr>
          <w:rFonts w:ascii="Times New Roman" w:hAnsi="Times New Roman" w:eastAsia="Times New Roman" w:cs="Times New Roman"/>
          <w:b/>
          <w:bCs/>
          <w:spacing w:val="1"/>
          <w:sz w:val="24"/>
          <w:szCs w:val="24"/>
        </w:rPr>
        <w:t xml:space="preserve">17.1  </w:t>
      </w:r>
      <w:r>
        <w:rPr>
          <w:rFonts w:ascii="黑体" w:hAnsi="黑体" w:eastAsia="黑体" w:cs="黑体"/>
          <w:b/>
          <w:bCs/>
          <w:spacing w:val="1"/>
          <w:sz w:val="24"/>
          <w:szCs w:val="24"/>
        </w:rPr>
        <w:t>不可抗力的确认</w:t>
      </w:r>
    </w:p>
    <w:p w14:paraId="75479256">
      <w:pPr>
        <w:spacing w:before="115" w:line="352" w:lineRule="auto"/>
        <w:ind w:left="24" w:right="77" w:firstLine="423"/>
        <w:jc w:val="both"/>
        <w:rPr>
          <w:rFonts w:ascii="宋体" w:hAnsi="宋体" w:eastAsia="宋体" w:cs="宋体"/>
          <w:sz w:val="21"/>
          <w:szCs w:val="21"/>
        </w:rPr>
      </w:pPr>
      <w:r>
        <w:rPr>
          <w:rFonts w:ascii="宋体" w:hAnsi="宋体" w:eastAsia="宋体" w:cs="宋体"/>
          <w:spacing w:val="-2"/>
          <w:sz w:val="21"/>
          <w:szCs w:val="21"/>
        </w:rPr>
        <w:t>不可抗力是指合同当事人在签订合同时不可预见，在合同履行过程</w:t>
      </w:r>
      <w:r>
        <w:rPr>
          <w:rFonts w:ascii="宋体" w:hAnsi="宋体" w:eastAsia="宋体" w:cs="宋体"/>
          <w:spacing w:val="-3"/>
          <w:sz w:val="21"/>
          <w:szCs w:val="21"/>
        </w:rPr>
        <w:t>中不可避免且不能克</w:t>
      </w:r>
      <w:r>
        <w:rPr>
          <w:rFonts w:ascii="宋体" w:hAnsi="宋体" w:eastAsia="宋体" w:cs="宋体"/>
          <w:spacing w:val="-2"/>
          <w:sz w:val="21"/>
          <w:szCs w:val="21"/>
        </w:rPr>
        <w:t>服的自然灾害和社会性突发事件，如地震、海啸、瘟疫、</w:t>
      </w:r>
      <w:r>
        <w:rPr>
          <w:rFonts w:ascii="宋体" w:hAnsi="宋体" w:eastAsia="宋体" w:cs="宋体"/>
          <w:spacing w:val="-3"/>
          <w:sz w:val="21"/>
          <w:szCs w:val="21"/>
        </w:rPr>
        <w:t>骚乱、戒严、暴动、战争和专用合同条款中约定的其他情形。</w:t>
      </w:r>
    </w:p>
    <w:p w14:paraId="1E8F7FCD">
      <w:pPr>
        <w:spacing w:before="2" w:line="347" w:lineRule="auto"/>
        <w:ind w:left="23" w:firstLine="424"/>
        <w:jc w:val="both"/>
        <w:rPr>
          <w:rFonts w:ascii="宋体" w:hAnsi="宋体" w:eastAsia="宋体" w:cs="宋体"/>
          <w:sz w:val="21"/>
          <w:szCs w:val="21"/>
        </w:rPr>
      </w:pPr>
      <w:r>
        <w:rPr>
          <w:rFonts w:ascii="宋体" w:hAnsi="宋体" w:eastAsia="宋体" w:cs="宋体"/>
          <w:spacing w:val="3"/>
          <w:sz w:val="21"/>
          <w:szCs w:val="21"/>
        </w:rPr>
        <w:t>不可抗力发生后，发包人和承包人应收集证明不可抗力发生及不可抗</w:t>
      </w:r>
      <w:r>
        <w:rPr>
          <w:rFonts w:ascii="宋体" w:hAnsi="宋体" w:eastAsia="宋体" w:cs="宋体"/>
          <w:spacing w:val="2"/>
          <w:sz w:val="21"/>
          <w:szCs w:val="21"/>
        </w:rPr>
        <w:t>力造成损失的证</w:t>
      </w:r>
      <w:r>
        <w:rPr>
          <w:rFonts w:ascii="宋体" w:hAnsi="宋体" w:eastAsia="宋体" w:cs="宋体"/>
          <w:spacing w:val="-2"/>
          <w:sz w:val="21"/>
          <w:szCs w:val="21"/>
        </w:rPr>
        <w:t>据，并及时认真统计所造成的损失。合同当事人对是否属于不可抗力或其损失的意</w:t>
      </w:r>
      <w:r>
        <w:rPr>
          <w:rFonts w:ascii="宋体" w:hAnsi="宋体" w:eastAsia="宋体" w:cs="宋体"/>
          <w:spacing w:val="-3"/>
          <w:sz w:val="21"/>
          <w:szCs w:val="21"/>
        </w:rPr>
        <w:t>见不一致的，由监理人按第</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4.4</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款〔商定或确定〕的约定处理。发生争议时，按第</w:t>
      </w:r>
      <w:r>
        <w:rPr>
          <w:rFonts w:ascii="宋体" w:hAnsi="宋体" w:eastAsia="宋体" w:cs="宋体"/>
          <w:spacing w:val="-43"/>
          <w:sz w:val="21"/>
          <w:szCs w:val="21"/>
        </w:rPr>
        <w:t xml:space="preserve"> </w:t>
      </w:r>
      <w:r>
        <w:rPr>
          <w:rFonts w:ascii="Times New Roman" w:hAnsi="Times New Roman" w:eastAsia="Times New Roman" w:cs="Times New Roman"/>
          <w:spacing w:val="-3"/>
          <w:sz w:val="21"/>
          <w:szCs w:val="21"/>
        </w:rPr>
        <w:t>20</w:t>
      </w:r>
      <w:r>
        <w:rPr>
          <w:rFonts w:ascii="Times New Roman" w:hAnsi="Times New Roman" w:eastAsia="Times New Roman" w:cs="Times New Roman"/>
          <w:spacing w:val="18"/>
          <w:sz w:val="21"/>
          <w:szCs w:val="21"/>
        </w:rPr>
        <w:t xml:space="preserve"> </w:t>
      </w:r>
      <w:r>
        <w:rPr>
          <w:rFonts w:ascii="宋体" w:hAnsi="宋体" w:eastAsia="宋体" w:cs="宋体"/>
          <w:spacing w:val="-3"/>
          <w:sz w:val="21"/>
          <w:szCs w:val="21"/>
        </w:rPr>
        <w:t>条〔争议解决〕</w:t>
      </w:r>
      <w:r>
        <w:rPr>
          <w:rFonts w:ascii="宋体" w:hAnsi="宋体" w:eastAsia="宋体" w:cs="宋体"/>
          <w:spacing w:val="-5"/>
          <w:sz w:val="21"/>
          <w:szCs w:val="21"/>
        </w:rPr>
        <w:t>的约定处理。</w:t>
      </w:r>
    </w:p>
    <w:p w14:paraId="4C9F0FB3">
      <w:pPr>
        <w:spacing w:before="1" w:line="231" w:lineRule="auto"/>
        <w:ind w:left="31"/>
        <w:outlineLvl w:val="1"/>
        <w:rPr>
          <w:rFonts w:ascii="黑体" w:hAnsi="黑体" w:eastAsia="黑体" w:cs="黑体"/>
          <w:sz w:val="24"/>
          <w:szCs w:val="24"/>
        </w:rPr>
      </w:pPr>
      <w:bookmarkStart w:id="472" w:name="bookmark409"/>
      <w:bookmarkEnd w:id="472"/>
      <w:r>
        <w:rPr>
          <w:rFonts w:ascii="Times New Roman" w:hAnsi="Times New Roman" w:eastAsia="Times New Roman" w:cs="Times New Roman"/>
          <w:b/>
          <w:bCs/>
          <w:spacing w:val="1"/>
          <w:sz w:val="24"/>
          <w:szCs w:val="24"/>
        </w:rPr>
        <w:t xml:space="preserve">17.2  </w:t>
      </w:r>
      <w:r>
        <w:rPr>
          <w:rFonts w:ascii="黑体" w:hAnsi="黑体" w:eastAsia="黑体" w:cs="黑体"/>
          <w:b/>
          <w:bCs/>
          <w:spacing w:val="1"/>
          <w:sz w:val="24"/>
          <w:szCs w:val="24"/>
        </w:rPr>
        <w:t>不可抗力的通知</w:t>
      </w:r>
    </w:p>
    <w:p w14:paraId="1149B5B8">
      <w:pPr>
        <w:spacing w:before="129" w:line="345" w:lineRule="auto"/>
        <w:ind w:left="27" w:right="78" w:firstLine="417"/>
        <w:rPr>
          <w:rFonts w:ascii="宋体" w:hAnsi="宋体" w:eastAsia="宋体" w:cs="宋体"/>
          <w:sz w:val="21"/>
          <w:szCs w:val="21"/>
        </w:rPr>
      </w:pPr>
      <w:r>
        <w:rPr>
          <w:rFonts w:ascii="宋体" w:hAnsi="宋体" w:eastAsia="宋体" w:cs="宋体"/>
          <w:spacing w:val="-2"/>
          <w:sz w:val="21"/>
          <w:szCs w:val="21"/>
        </w:rPr>
        <w:t>合同一方当事人遇到不可抗力事件，使其履行合同义务受到阻碍时，</w:t>
      </w:r>
      <w:r>
        <w:rPr>
          <w:rFonts w:ascii="宋体" w:hAnsi="宋体" w:eastAsia="宋体" w:cs="宋体"/>
          <w:spacing w:val="-3"/>
          <w:sz w:val="21"/>
          <w:szCs w:val="21"/>
        </w:rPr>
        <w:t>应立即通知合同另</w:t>
      </w:r>
      <w:r>
        <w:rPr>
          <w:rFonts w:ascii="宋体" w:hAnsi="宋体" w:eastAsia="宋体" w:cs="宋体"/>
          <w:spacing w:val="-1"/>
          <w:sz w:val="21"/>
          <w:szCs w:val="21"/>
        </w:rPr>
        <w:t>一方当事人和监理人，书面说明不可抗力和受阻碍的详细情况，并提供必要的证明。</w:t>
      </w:r>
    </w:p>
    <w:p w14:paraId="5F869719">
      <w:pPr>
        <w:spacing w:before="13" w:line="344" w:lineRule="auto"/>
        <w:ind w:left="23" w:right="77" w:firstLine="424"/>
        <w:jc w:val="both"/>
        <w:rPr>
          <w:rFonts w:ascii="宋体" w:hAnsi="宋体" w:eastAsia="宋体" w:cs="宋体"/>
          <w:sz w:val="21"/>
          <w:szCs w:val="21"/>
        </w:rPr>
      </w:pPr>
      <w:r>
        <w:rPr>
          <w:rFonts w:ascii="宋体" w:hAnsi="宋体" w:eastAsia="宋体" w:cs="宋体"/>
          <w:spacing w:val="-2"/>
          <w:sz w:val="21"/>
          <w:szCs w:val="21"/>
        </w:rPr>
        <w:t>不可抗力持续发生的，合同一方当事人应及时向合同另一方当事人</w:t>
      </w:r>
      <w:r>
        <w:rPr>
          <w:rFonts w:ascii="宋体" w:hAnsi="宋体" w:eastAsia="宋体" w:cs="宋体"/>
          <w:spacing w:val="-3"/>
          <w:sz w:val="21"/>
          <w:szCs w:val="21"/>
        </w:rPr>
        <w:t>和监理人提交中间报</w:t>
      </w:r>
      <w:r>
        <w:rPr>
          <w:rFonts w:ascii="宋体" w:hAnsi="宋体" w:eastAsia="宋体" w:cs="宋体"/>
          <w:sz w:val="21"/>
          <w:szCs w:val="21"/>
        </w:rPr>
        <w:t>告，说明不可抗力和履行合同受阻的情况，并于不可抗力事件</w:t>
      </w:r>
      <w:r>
        <w:rPr>
          <w:rFonts w:ascii="宋体" w:hAnsi="宋体" w:eastAsia="宋体" w:cs="宋体"/>
          <w:spacing w:val="-1"/>
          <w:sz w:val="21"/>
          <w:szCs w:val="21"/>
        </w:rPr>
        <w:t>结束后</w:t>
      </w:r>
      <w:r>
        <w:rPr>
          <w:rFonts w:ascii="宋体" w:hAnsi="宋体" w:eastAsia="宋体" w:cs="宋体"/>
          <w:spacing w:val="-42"/>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天内提交最终报告</w:t>
      </w:r>
      <w:r>
        <w:rPr>
          <w:rFonts w:ascii="宋体" w:hAnsi="宋体" w:eastAsia="宋体" w:cs="宋体"/>
          <w:spacing w:val="-5"/>
          <w:sz w:val="21"/>
          <w:szCs w:val="21"/>
        </w:rPr>
        <w:t>及有关资料。</w:t>
      </w:r>
    </w:p>
    <w:p w14:paraId="5D9530F8">
      <w:pPr>
        <w:spacing w:before="1" w:line="231" w:lineRule="auto"/>
        <w:ind w:left="31"/>
        <w:outlineLvl w:val="1"/>
        <w:rPr>
          <w:rFonts w:ascii="黑体" w:hAnsi="黑体" w:eastAsia="黑体" w:cs="黑体"/>
          <w:sz w:val="24"/>
          <w:szCs w:val="24"/>
        </w:rPr>
      </w:pPr>
      <w:bookmarkStart w:id="473" w:name="bookmark410"/>
      <w:bookmarkEnd w:id="473"/>
      <w:r>
        <w:rPr>
          <w:rFonts w:ascii="Times New Roman" w:hAnsi="Times New Roman" w:eastAsia="Times New Roman" w:cs="Times New Roman"/>
          <w:b/>
          <w:bCs/>
          <w:spacing w:val="1"/>
          <w:sz w:val="24"/>
          <w:szCs w:val="24"/>
        </w:rPr>
        <w:t xml:space="preserve">17.3  </w:t>
      </w:r>
      <w:r>
        <w:rPr>
          <w:rFonts w:ascii="黑体" w:hAnsi="黑体" w:eastAsia="黑体" w:cs="黑体"/>
          <w:b/>
          <w:bCs/>
          <w:spacing w:val="1"/>
          <w:sz w:val="24"/>
          <w:szCs w:val="24"/>
        </w:rPr>
        <w:t>不可抗力后果的承担</w:t>
      </w:r>
    </w:p>
    <w:p w14:paraId="3C04B7CC">
      <w:pPr>
        <w:spacing w:before="130" w:line="335" w:lineRule="auto"/>
        <w:ind w:left="24" w:right="95"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17.3.1  </w:t>
      </w:r>
      <w:r>
        <w:rPr>
          <w:rFonts w:ascii="宋体" w:hAnsi="宋体" w:eastAsia="宋体" w:cs="宋体"/>
          <w:spacing w:val="2"/>
          <w:sz w:val="21"/>
          <w:szCs w:val="21"/>
        </w:rPr>
        <w:t>不可抗力引起的后果及造成的损失由合同当事人按照法律规定及合同约定各自</w:t>
      </w:r>
      <w:r>
        <w:rPr>
          <w:rFonts w:ascii="宋体" w:hAnsi="宋体" w:eastAsia="宋体" w:cs="宋体"/>
          <w:sz w:val="21"/>
          <w:szCs w:val="21"/>
        </w:rPr>
        <w:t>承担。不可抗力发生前已完成的工程应当按照合同约定进行计量支</w:t>
      </w:r>
      <w:r>
        <w:rPr>
          <w:rFonts w:ascii="宋体" w:hAnsi="宋体" w:eastAsia="宋体" w:cs="宋体"/>
          <w:spacing w:val="-1"/>
          <w:sz w:val="21"/>
          <w:szCs w:val="21"/>
        </w:rPr>
        <w:t>付。</w:t>
      </w:r>
    </w:p>
    <w:p w14:paraId="0DF07EF3">
      <w:pPr>
        <w:spacing w:before="34" w:line="348" w:lineRule="auto"/>
        <w:ind w:left="44" w:right="62" w:firstLine="416"/>
        <w:rPr>
          <w:rFonts w:ascii="宋体" w:hAnsi="宋体" w:eastAsia="宋体" w:cs="宋体"/>
          <w:sz w:val="21"/>
          <w:szCs w:val="21"/>
        </w:rPr>
      </w:pPr>
      <w:r>
        <w:rPr>
          <w:rFonts w:ascii="Times New Roman" w:hAnsi="Times New Roman" w:eastAsia="Times New Roman" w:cs="Times New Roman"/>
          <w:spacing w:val="-2"/>
          <w:sz w:val="21"/>
          <w:szCs w:val="21"/>
        </w:rPr>
        <w:t xml:space="preserve">17.3.2  </w:t>
      </w:r>
      <w:r>
        <w:rPr>
          <w:rFonts w:ascii="宋体" w:hAnsi="宋体" w:eastAsia="宋体" w:cs="宋体"/>
          <w:spacing w:val="-2"/>
          <w:sz w:val="21"/>
          <w:szCs w:val="21"/>
        </w:rPr>
        <w:t>不可抗力导致的人员伤亡、财产损失、费用增加和（或）工期延误等后果，由合</w:t>
      </w:r>
      <w:r>
        <w:rPr>
          <w:rFonts w:ascii="宋体" w:hAnsi="宋体" w:eastAsia="宋体" w:cs="宋体"/>
          <w:spacing w:val="-6"/>
          <w:sz w:val="21"/>
          <w:szCs w:val="21"/>
        </w:rPr>
        <w:t>同当事人按以下原则承担：</w:t>
      </w:r>
    </w:p>
    <w:p w14:paraId="37A07676">
      <w:pPr>
        <w:spacing w:before="3" w:line="348" w:lineRule="auto"/>
        <w:ind w:left="24" w:right="106" w:firstLine="42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）永久工程、已运至施工现场的材料和工程设备的损坏，</w:t>
      </w:r>
      <w:r>
        <w:rPr>
          <w:rFonts w:ascii="宋体" w:hAnsi="宋体" w:eastAsia="宋体" w:cs="宋体"/>
          <w:spacing w:val="-1"/>
          <w:sz w:val="21"/>
          <w:szCs w:val="21"/>
        </w:rPr>
        <w:t>以及因工程损坏造成的第</w:t>
      </w:r>
      <w:r>
        <w:rPr>
          <w:rFonts w:ascii="宋体" w:hAnsi="宋体" w:eastAsia="宋体" w:cs="宋体"/>
          <w:spacing w:val="-3"/>
          <w:sz w:val="21"/>
          <w:szCs w:val="21"/>
        </w:rPr>
        <w:t>三人人员伤亡和财产损失由发包人承担；</w:t>
      </w:r>
    </w:p>
    <w:p w14:paraId="3A1FB185">
      <w:pPr>
        <w:spacing w:before="19"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）承包人施工设备的损坏由承包人承担；</w:t>
      </w:r>
    </w:p>
    <w:p w14:paraId="4717A9FA">
      <w:pPr>
        <w:spacing w:before="126"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）发包人和承包人承担各自人员伤亡和财产的</w:t>
      </w:r>
      <w:r>
        <w:rPr>
          <w:rFonts w:ascii="宋体" w:hAnsi="宋体" w:eastAsia="宋体" w:cs="宋体"/>
          <w:spacing w:val="-3"/>
          <w:sz w:val="21"/>
          <w:szCs w:val="21"/>
        </w:rPr>
        <w:t>损失；</w:t>
      </w:r>
    </w:p>
    <w:p w14:paraId="0A3CB7AF">
      <w:pPr>
        <w:spacing w:before="140" w:line="348" w:lineRule="auto"/>
        <w:ind w:left="37" w:right="80" w:firstLine="412"/>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）因不可抗力影响承包人履行合同约定的义务，已经引起或将引起工</w:t>
      </w:r>
      <w:r>
        <w:rPr>
          <w:rFonts w:ascii="宋体" w:hAnsi="宋体" w:eastAsia="宋体" w:cs="宋体"/>
          <w:spacing w:val="-1"/>
          <w:sz w:val="21"/>
          <w:szCs w:val="21"/>
        </w:rPr>
        <w:t>期延误的，应</w:t>
      </w:r>
      <w:r>
        <w:rPr>
          <w:rFonts w:ascii="宋体" w:hAnsi="宋体" w:eastAsia="宋体" w:cs="宋体"/>
          <w:spacing w:val="-2"/>
          <w:sz w:val="21"/>
          <w:szCs w:val="21"/>
        </w:rPr>
        <w:t>当顺延工期，由此导致承包人停工的费用损失由发包</w:t>
      </w:r>
      <w:r>
        <w:rPr>
          <w:rFonts w:ascii="宋体" w:hAnsi="宋体" w:eastAsia="宋体" w:cs="宋体"/>
          <w:spacing w:val="-3"/>
          <w:sz w:val="21"/>
          <w:szCs w:val="21"/>
        </w:rPr>
        <w:t>人和承包人合理分担，停工期间必须支</w:t>
      </w:r>
    </w:p>
    <w:p w14:paraId="1523A8E3">
      <w:pPr>
        <w:spacing w:line="348" w:lineRule="auto"/>
        <w:rPr>
          <w:rFonts w:ascii="宋体" w:hAnsi="宋体" w:eastAsia="宋体" w:cs="宋体"/>
          <w:sz w:val="21"/>
          <w:szCs w:val="21"/>
        </w:rPr>
        <w:sectPr>
          <w:footerReference r:id="rId198" w:type="default"/>
          <w:pgSz w:w="11910" w:h="16845"/>
          <w:pgMar w:top="400" w:right="1701" w:bottom="1110" w:left="1786" w:header="0" w:footer="883" w:gutter="0"/>
          <w:cols w:space="720" w:num="1"/>
        </w:sectPr>
      </w:pPr>
    </w:p>
    <w:p w14:paraId="36F81F23">
      <w:pPr>
        <w:pStyle w:val="2"/>
        <w:spacing w:line="275" w:lineRule="auto"/>
      </w:pPr>
    </w:p>
    <w:p w14:paraId="606E157F">
      <w:pPr>
        <w:pStyle w:val="2"/>
        <w:spacing w:line="275" w:lineRule="auto"/>
      </w:pPr>
    </w:p>
    <w:p w14:paraId="11E3D5B6">
      <w:pPr>
        <w:pStyle w:val="2"/>
        <w:spacing w:line="275" w:lineRule="auto"/>
      </w:pPr>
    </w:p>
    <w:p w14:paraId="4F232D53">
      <w:pPr>
        <w:pStyle w:val="2"/>
        <w:spacing w:line="275" w:lineRule="auto"/>
      </w:pPr>
    </w:p>
    <w:p w14:paraId="24E1EC38">
      <w:pPr>
        <w:spacing w:before="68" w:line="220" w:lineRule="auto"/>
        <w:ind w:left="24"/>
        <w:rPr>
          <w:rFonts w:ascii="宋体" w:hAnsi="宋体" w:eastAsia="宋体" w:cs="宋体"/>
          <w:sz w:val="21"/>
          <w:szCs w:val="21"/>
        </w:rPr>
      </w:pPr>
      <w:r>
        <w:rPr>
          <w:rFonts w:ascii="宋体" w:hAnsi="宋体" w:eastAsia="宋体" w:cs="宋体"/>
          <w:spacing w:val="-4"/>
          <w:sz w:val="21"/>
          <w:szCs w:val="21"/>
        </w:rPr>
        <w:t>付的工人工资由发包人承担；</w:t>
      </w:r>
    </w:p>
    <w:p w14:paraId="23D04433">
      <w:pPr>
        <w:spacing w:before="154" w:line="336" w:lineRule="auto"/>
        <w:ind w:left="27" w:right="126" w:firstLine="422"/>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）因不可抗力引起或将引起工期延误，发包人要求赶工的，由此增加的赶工费用由</w:t>
      </w:r>
      <w:r>
        <w:rPr>
          <w:rFonts w:ascii="宋体" w:hAnsi="宋体" w:eastAsia="宋体" w:cs="宋体"/>
          <w:spacing w:val="-9"/>
          <w:sz w:val="21"/>
          <w:szCs w:val="21"/>
        </w:rPr>
        <w:t>发包人承担；</w:t>
      </w:r>
    </w:p>
    <w:p w14:paraId="38A9A166">
      <w:pPr>
        <w:spacing w:before="32" w:line="348" w:lineRule="auto"/>
        <w:ind w:left="448" w:right="87" w:firstLine="2"/>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）承包人在停工期间按照发包人要求照管、清理和修复工程的费用由发包人承担。</w:t>
      </w:r>
      <w:r>
        <w:rPr>
          <w:rFonts w:ascii="宋体" w:hAnsi="宋体" w:eastAsia="宋体" w:cs="宋体"/>
          <w:spacing w:val="-2"/>
          <w:sz w:val="21"/>
          <w:szCs w:val="21"/>
        </w:rPr>
        <w:t>不可抗力发生后，合同当事人均应采取措施尽量避免和减少损失</w:t>
      </w:r>
      <w:r>
        <w:rPr>
          <w:rFonts w:ascii="宋体" w:hAnsi="宋体" w:eastAsia="宋体" w:cs="宋体"/>
          <w:spacing w:val="-3"/>
          <w:sz w:val="21"/>
          <w:szCs w:val="21"/>
        </w:rPr>
        <w:t>的扩大，任何一方当事</w:t>
      </w:r>
    </w:p>
    <w:p w14:paraId="700A258A">
      <w:pPr>
        <w:spacing w:before="3" w:line="219" w:lineRule="auto"/>
        <w:ind w:left="25"/>
        <w:rPr>
          <w:rFonts w:ascii="宋体" w:hAnsi="宋体" w:eastAsia="宋体" w:cs="宋体"/>
          <w:sz w:val="21"/>
          <w:szCs w:val="21"/>
        </w:rPr>
      </w:pPr>
      <w:r>
        <w:rPr>
          <w:rFonts w:ascii="宋体" w:hAnsi="宋体" w:eastAsia="宋体" w:cs="宋体"/>
          <w:spacing w:val="-1"/>
          <w:sz w:val="21"/>
          <w:szCs w:val="21"/>
        </w:rPr>
        <w:t>人没有采取有效措施导致损失扩大的，应对扩大的损失承担责任。</w:t>
      </w:r>
    </w:p>
    <w:p w14:paraId="54C130F4">
      <w:pPr>
        <w:spacing w:before="156" w:line="220" w:lineRule="auto"/>
        <w:ind w:right="26"/>
        <w:jc w:val="right"/>
        <w:rPr>
          <w:rFonts w:ascii="宋体" w:hAnsi="宋体" w:eastAsia="宋体" w:cs="宋体"/>
          <w:sz w:val="21"/>
          <w:szCs w:val="21"/>
        </w:rPr>
      </w:pPr>
      <w:r>
        <w:rPr>
          <w:rFonts w:ascii="宋体" w:hAnsi="宋体" w:eastAsia="宋体" w:cs="宋体"/>
          <w:spacing w:val="-1"/>
          <w:sz w:val="21"/>
          <w:szCs w:val="21"/>
        </w:rPr>
        <w:t>因合同一方迟延履行合同义务，在迟延履行期间遭遇不可抗力的，不免除其违约责任。</w:t>
      </w:r>
    </w:p>
    <w:p w14:paraId="77710A78">
      <w:pPr>
        <w:spacing w:before="130" w:line="232" w:lineRule="auto"/>
        <w:ind w:left="31"/>
        <w:outlineLvl w:val="1"/>
        <w:rPr>
          <w:rFonts w:ascii="黑体" w:hAnsi="黑体" w:eastAsia="黑体" w:cs="黑体"/>
          <w:sz w:val="24"/>
          <w:szCs w:val="24"/>
        </w:rPr>
      </w:pPr>
      <w:bookmarkStart w:id="474" w:name="bookmark411"/>
      <w:bookmarkEnd w:id="474"/>
      <w:r>
        <w:rPr>
          <w:rFonts w:ascii="Times New Roman" w:hAnsi="Times New Roman" w:eastAsia="Times New Roman" w:cs="Times New Roman"/>
          <w:b/>
          <w:bCs/>
          <w:spacing w:val="1"/>
          <w:sz w:val="24"/>
          <w:szCs w:val="24"/>
        </w:rPr>
        <w:t xml:space="preserve">17.4  </w:t>
      </w:r>
      <w:r>
        <w:rPr>
          <w:rFonts w:ascii="黑体" w:hAnsi="黑体" w:eastAsia="黑体" w:cs="黑体"/>
          <w:b/>
          <w:bCs/>
          <w:spacing w:val="1"/>
          <w:sz w:val="24"/>
          <w:szCs w:val="24"/>
        </w:rPr>
        <w:t>因不可抗力解除合同</w:t>
      </w:r>
    </w:p>
    <w:p w14:paraId="54FDF339">
      <w:pPr>
        <w:spacing w:before="113" w:line="351" w:lineRule="auto"/>
        <w:ind w:left="24" w:right="78" w:firstLine="436"/>
        <w:jc w:val="both"/>
        <w:rPr>
          <w:rFonts w:ascii="宋体" w:hAnsi="宋体" w:eastAsia="宋体" w:cs="宋体"/>
          <w:sz w:val="21"/>
          <w:szCs w:val="21"/>
        </w:rPr>
      </w:pPr>
      <w:r>
        <w:rPr>
          <w:rFonts w:ascii="宋体" w:hAnsi="宋体" w:eastAsia="宋体" w:cs="宋体"/>
          <w:spacing w:val="-2"/>
          <w:sz w:val="21"/>
          <w:szCs w:val="21"/>
        </w:rPr>
        <w:t>因不可抗力导致合同无法履行连续超过</w:t>
      </w:r>
      <w:r>
        <w:rPr>
          <w:rFonts w:ascii="宋体" w:hAnsi="宋体" w:eastAsia="宋体" w:cs="宋体"/>
          <w:spacing w:val="-30"/>
          <w:sz w:val="21"/>
          <w:szCs w:val="21"/>
        </w:rPr>
        <w:t xml:space="preserve"> </w:t>
      </w:r>
      <w:r>
        <w:rPr>
          <w:rFonts w:ascii="Times New Roman" w:hAnsi="Times New Roman" w:eastAsia="Times New Roman" w:cs="Times New Roman"/>
          <w:spacing w:val="-2"/>
          <w:sz w:val="21"/>
          <w:szCs w:val="21"/>
        </w:rPr>
        <w:t>84</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天或累计超过</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140</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天的，发包人和承包人均</w:t>
      </w:r>
      <w:r>
        <w:rPr>
          <w:rFonts w:ascii="宋体" w:hAnsi="宋体" w:eastAsia="宋体" w:cs="宋体"/>
          <w:spacing w:val="-1"/>
          <w:sz w:val="21"/>
          <w:szCs w:val="21"/>
        </w:rPr>
        <w:t>有权解除合同。合同解除后，由双方当事人按照第</w:t>
      </w:r>
      <w:r>
        <w:rPr>
          <w:rFonts w:ascii="宋体" w:hAnsi="宋体" w:eastAsia="宋体" w:cs="宋体"/>
          <w:spacing w:val="-45"/>
          <w:sz w:val="21"/>
          <w:szCs w:val="21"/>
        </w:rPr>
        <w:t xml:space="preserve"> </w:t>
      </w:r>
      <w:r>
        <w:rPr>
          <w:rFonts w:ascii="Times New Roman" w:hAnsi="Times New Roman" w:eastAsia="Times New Roman" w:cs="Times New Roman"/>
          <w:spacing w:val="-2"/>
          <w:sz w:val="21"/>
          <w:szCs w:val="21"/>
        </w:rPr>
        <w:t>4.4</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款〔商定或确定〕商定或确定发包人</w:t>
      </w:r>
      <w:r>
        <w:rPr>
          <w:rFonts w:ascii="宋体" w:hAnsi="宋体" w:eastAsia="宋体" w:cs="宋体"/>
          <w:spacing w:val="-4"/>
          <w:sz w:val="21"/>
          <w:szCs w:val="21"/>
        </w:rPr>
        <w:t>应支付的款项，该款项包括：</w:t>
      </w:r>
    </w:p>
    <w:p w14:paraId="03ABF3D0">
      <w:pPr>
        <w:spacing w:before="5" w:line="232"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）合同解除前承包人已完成工作的价款；</w:t>
      </w:r>
    </w:p>
    <w:p w14:paraId="63A0DF34">
      <w:pPr>
        <w:spacing w:before="141" w:line="348" w:lineRule="auto"/>
        <w:ind w:left="27" w:right="109" w:firstLine="422"/>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2</w:t>
      </w:r>
      <w:r>
        <w:rPr>
          <w:rFonts w:ascii="宋体" w:hAnsi="宋体" w:eastAsia="宋体" w:cs="宋体"/>
          <w:sz w:val="21"/>
          <w:szCs w:val="21"/>
        </w:rPr>
        <w:t>）承包人为工程订购的并已交付给承包人，或承包人有责任接受交付的</w:t>
      </w:r>
      <w:r>
        <w:rPr>
          <w:rFonts w:ascii="宋体" w:hAnsi="宋体" w:eastAsia="宋体" w:cs="宋体"/>
          <w:spacing w:val="-1"/>
          <w:sz w:val="21"/>
          <w:szCs w:val="21"/>
        </w:rPr>
        <w:t>材料、工程</w:t>
      </w:r>
      <w:r>
        <w:rPr>
          <w:rFonts w:ascii="宋体" w:hAnsi="宋体" w:eastAsia="宋体" w:cs="宋体"/>
          <w:spacing w:val="-5"/>
          <w:sz w:val="21"/>
          <w:szCs w:val="21"/>
        </w:rPr>
        <w:t>设备和其他物品的价款；</w:t>
      </w:r>
    </w:p>
    <w:p w14:paraId="08506498">
      <w:pPr>
        <w:spacing w:before="5" w:line="348" w:lineRule="auto"/>
        <w:ind w:left="25" w:right="109" w:firstLine="425"/>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）发包人要求承包人退货或解除订货合同而产生的费用，或因不能退货或</w:t>
      </w:r>
      <w:r>
        <w:rPr>
          <w:rFonts w:ascii="宋体" w:hAnsi="宋体" w:eastAsia="宋体" w:cs="宋体"/>
          <w:spacing w:val="-1"/>
          <w:sz w:val="21"/>
          <w:szCs w:val="21"/>
        </w:rPr>
        <w:t>解除合同</w:t>
      </w:r>
      <w:r>
        <w:rPr>
          <w:rFonts w:ascii="宋体" w:hAnsi="宋体" w:eastAsia="宋体" w:cs="宋体"/>
          <w:spacing w:val="-7"/>
          <w:sz w:val="21"/>
          <w:szCs w:val="21"/>
        </w:rPr>
        <w:t>而产生的损失；</w:t>
      </w:r>
    </w:p>
    <w:p w14:paraId="11DFE789">
      <w:pPr>
        <w:spacing w:before="19"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）承包人撤离施工现场以及遣散承包人人员的费用；</w:t>
      </w:r>
    </w:p>
    <w:p w14:paraId="4DB5E1D6">
      <w:pPr>
        <w:spacing w:before="125"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）按照合同约定在合同解除前应支付给承包人的其他款项；</w:t>
      </w:r>
    </w:p>
    <w:p w14:paraId="33DF19CF">
      <w:pPr>
        <w:spacing w:before="140" w:line="233" w:lineRule="auto"/>
        <w:ind w:left="450"/>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）扣减承包人按照合同约定应向发包人支付的款项；</w:t>
      </w:r>
    </w:p>
    <w:p w14:paraId="0152E773">
      <w:pPr>
        <w:spacing w:before="140" w:line="234"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7</w:t>
      </w:r>
      <w:r>
        <w:rPr>
          <w:rFonts w:ascii="宋体" w:hAnsi="宋体" w:eastAsia="宋体" w:cs="宋体"/>
          <w:spacing w:val="-3"/>
          <w:sz w:val="21"/>
          <w:szCs w:val="21"/>
        </w:rPr>
        <w:t>）双方商定或确定的其他款项。</w:t>
      </w:r>
    </w:p>
    <w:p w14:paraId="064491DC">
      <w:pPr>
        <w:spacing w:before="124" w:line="348" w:lineRule="auto"/>
        <w:ind w:left="25" w:right="95" w:firstLine="431"/>
        <w:rPr>
          <w:rFonts w:ascii="宋体" w:hAnsi="宋体" w:eastAsia="宋体" w:cs="宋体"/>
          <w:sz w:val="21"/>
          <w:szCs w:val="21"/>
        </w:rPr>
      </w:pPr>
      <w:r>
        <w:rPr>
          <w:rFonts w:ascii="宋体" w:hAnsi="宋体" w:eastAsia="宋体" w:cs="宋体"/>
          <w:spacing w:val="-1"/>
          <w:sz w:val="21"/>
          <w:szCs w:val="21"/>
        </w:rPr>
        <w:t>除专用合同条款另有约定外，合同解除后，发包人应在商定或确定上述款项后</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pacing w:val="-1"/>
          <w:sz w:val="21"/>
          <w:szCs w:val="21"/>
        </w:rPr>
        <w:t>天内</w:t>
      </w:r>
      <w:r>
        <w:rPr>
          <w:rFonts w:ascii="宋体" w:hAnsi="宋体" w:eastAsia="宋体" w:cs="宋体"/>
          <w:spacing w:val="-4"/>
          <w:sz w:val="21"/>
          <w:szCs w:val="21"/>
        </w:rPr>
        <w:t>完成上述款项的支付。</w:t>
      </w:r>
    </w:p>
    <w:p w14:paraId="0A436AC8">
      <w:pPr>
        <w:spacing w:before="60" w:line="237" w:lineRule="auto"/>
        <w:ind w:left="34"/>
        <w:outlineLvl w:val="0"/>
        <w:rPr>
          <w:rFonts w:ascii="黑体" w:hAnsi="黑体" w:eastAsia="黑体" w:cs="黑体"/>
          <w:sz w:val="28"/>
          <w:szCs w:val="28"/>
        </w:rPr>
      </w:pPr>
      <w:bookmarkStart w:id="475" w:name="bookmark412"/>
      <w:bookmarkEnd w:id="475"/>
      <w:bookmarkStart w:id="476" w:name="bookmark413"/>
      <w:bookmarkEnd w:id="476"/>
      <w:r>
        <w:rPr>
          <w:rFonts w:ascii="Times New Roman" w:hAnsi="Times New Roman" w:eastAsia="Times New Roman" w:cs="Times New Roman"/>
          <w:b/>
          <w:bCs/>
          <w:spacing w:val="2"/>
          <w:sz w:val="28"/>
          <w:szCs w:val="28"/>
        </w:rPr>
        <w:t>18.</w:t>
      </w:r>
      <w:r>
        <w:rPr>
          <w:rFonts w:ascii="Times New Roman" w:hAnsi="Times New Roman" w:eastAsia="Times New Roman" w:cs="Times New Roman"/>
          <w:b/>
          <w:bCs/>
          <w:spacing w:val="65"/>
          <w:w w:val="101"/>
          <w:sz w:val="28"/>
          <w:szCs w:val="28"/>
        </w:rPr>
        <w:t xml:space="preserve"> </w:t>
      </w:r>
      <w:r>
        <w:rPr>
          <w:rFonts w:ascii="黑体" w:hAnsi="黑体" w:eastAsia="黑体" w:cs="黑体"/>
          <w:b/>
          <w:bCs/>
          <w:spacing w:val="2"/>
          <w:sz w:val="28"/>
          <w:szCs w:val="28"/>
        </w:rPr>
        <w:t>保险</w:t>
      </w:r>
    </w:p>
    <w:p w14:paraId="5FC07F77">
      <w:pPr>
        <w:spacing w:before="69" w:line="233" w:lineRule="auto"/>
        <w:ind w:left="31"/>
        <w:outlineLvl w:val="1"/>
        <w:rPr>
          <w:rFonts w:ascii="黑体" w:hAnsi="黑体" w:eastAsia="黑体" w:cs="黑体"/>
          <w:sz w:val="24"/>
          <w:szCs w:val="24"/>
        </w:rPr>
      </w:pPr>
      <w:bookmarkStart w:id="477" w:name="bookmark700"/>
      <w:bookmarkEnd w:id="477"/>
      <w:r>
        <w:rPr>
          <w:rFonts w:ascii="Times New Roman" w:hAnsi="Times New Roman" w:eastAsia="Times New Roman" w:cs="Times New Roman"/>
          <w:b/>
          <w:bCs/>
          <w:spacing w:val="2"/>
          <w:sz w:val="24"/>
          <w:szCs w:val="24"/>
        </w:rPr>
        <w:t xml:space="preserve">18.1  </w:t>
      </w:r>
      <w:r>
        <w:rPr>
          <w:rFonts w:ascii="黑体" w:hAnsi="黑体" w:eastAsia="黑体" w:cs="黑体"/>
          <w:b/>
          <w:bCs/>
          <w:spacing w:val="2"/>
          <w:sz w:val="24"/>
          <w:szCs w:val="24"/>
        </w:rPr>
        <w:t>工程保险</w:t>
      </w:r>
    </w:p>
    <w:p w14:paraId="72A4C583">
      <w:pPr>
        <w:spacing w:before="130" w:line="338" w:lineRule="auto"/>
        <w:ind w:left="23" w:right="87" w:firstLine="433"/>
        <w:rPr>
          <w:rFonts w:ascii="宋体" w:hAnsi="宋体" w:eastAsia="宋体" w:cs="宋体"/>
          <w:sz w:val="21"/>
          <w:szCs w:val="21"/>
        </w:rPr>
      </w:pPr>
      <w:r>
        <w:rPr>
          <w:rFonts w:ascii="宋体" w:hAnsi="宋体" w:eastAsia="宋体" w:cs="宋体"/>
          <w:spacing w:val="-2"/>
          <w:sz w:val="21"/>
          <w:szCs w:val="21"/>
        </w:rPr>
        <w:t>除专用合同条款另有约定外，发包人应投保</w:t>
      </w:r>
      <w:r>
        <w:rPr>
          <w:rFonts w:ascii="宋体" w:hAnsi="宋体" w:eastAsia="宋体" w:cs="宋体"/>
          <w:spacing w:val="-3"/>
          <w:sz w:val="21"/>
          <w:szCs w:val="21"/>
        </w:rPr>
        <w:t>建筑工程一切险或安装工程一切险；发包人</w:t>
      </w:r>
      <w:r>
        <w:rPr>
          <w:rFonts w:ascii="宋体" w:hAnsi="宋体" w:eastAsia="宋体" w:cs="宋体"/>
          <w:spacing w:val="-1"/>
          <w:sz w:val="21"/>
          <w:szCs w:val="21"/>
        </w:rPr>
        <w:t>委托承包人投保的，因投保产生的保险费和其他相关费用由发包人承担。</w:t>
      </w:r>
    </w:p>
    <w:p w14:paraId="20C33275">
      <w:pPr>
        <w:spacing w:line="233" w:lineRule="auto"/>
        <w:ind w:left="31"/>
        <w:outlineLvl w:val="1"/>
        <w:rPr>
          <w:rFonts w:ascii="黑体" w:hAnsi="黑体" w:eastAsia="黑体" w:cs="黑体"/>
          <w:sz w:val="24"/>
          <w:szCs w:val="24"/>
        </w:rPr>
      </w:pPr>
      <w:bookmarkStart w:id="478" w:name="bookmark414"/>
      <w:bookmarkEnd w:id="478"/>
      <w:r>
        <w:rPr>
          <w:rFonts w:ascii="Times New Roman" w:hAnsi="Times New Roman" w:eastAsia="Times New Roman" w:cs="Times New Roman"/>
          <w:b/>
          <w:bCs/>
          <w:spacing w:val="2"/>
          <w:sz w:val="24"/>
          <w:szCs w:val="24"/>
        </w:rPr>
        <w:t xml:space="preserve">18.2  </w:t>
      </w:r>
      <w:r>
        <w:rPr>
          <w:rFonts w:ascii="黑体" w:hAnsi="黑体" w:eastAsia="黑体" w:cs="黑体"/>
          <w:b/>
          <w:bCs/>
          <w:spacing w:val="2"/>
          <w:sz w:val="24"/>
          <w:szCs w:val="24"/>
        </w:rPr>
        <w:t>工伤保险</w:t>
      </w:r>
    </w:p>
    <w:p w14:paraId="2FE482DA">
      <w:pPr>
        <w:spacing w:before="128" w:line="335" w:lineRule="auto"/>
        <w:ind w:left="35" w:firstLine="425"/>
        <w:rPr>
          <w:rFonts w:ascii="宋体" w:hAnsi="宋体" w:eastAsia="宋体" w:cs="宋体"/>
          <w:sz w:val="21"/>
          <w:szCs w:val="21"/>
        </w:rPr>
      </w:pPr>
      <w:r>
        <w:rPr>
          <w:rFonts w:ascii="Times New Roman" w:hAnsi="Times New Roman" w:eastAsia="Times New Roman" w:cs="Times New Roman"/>
          <w:spacing w:val="1"/>
          <w:sz w:val="21"/>
          <w:szCs w:val="21"/>
        </w:rPr>
        <w:t xml:space="preserve">18.2.1  </w:t>
      </w:r>
      <w:r>
        <w:rPr>
          <w:rFonts w:ascii="宋体" w:hAnsi="宋体" w:eastAsia="宋体" w:cs="宋体"/>
          <w:spacing w:val="1"/>
          <w:sz w:val="21"/>
          <w:szCs w:val="21"/>
        </w:rPr>
        <w:t>发包人应依照法律规定参加工伤保险，</w:t>
      </w:r>
      <w:r>
        <w:rPr>
          <w:rFonts w:ascii="宋体" w:hAnsi="宋体" w:eastAsia="宋体" w:cs="宋体"/>
          <w:spacing w:val="-53"/>
          <w:sz w:val="21"/>
          <w:szCs w:val="21"/>
        </w:rPr>
        <w:t xml:space="preserve"> </w:t>
      </w:r>
      <w:r>
        <w:rPr>
          <w:rFonts w:ascii="宋体" w:hAnsi="宋体" w:eastAsia="宋体" w:cs="宋体"/>
          <w:spacing w:val="1"/>
          <w:sz w:val="21"/>
          <w:szCs w:val="21"/>
        </w:rPr>
        <w:t>并为在施工现场的全部员工办理工伤保</w:t>
      </w:r>
      <w:r>
        <w:rPr>
          <w:rFonts w:ascii="宋体" w:hAnsi="宋体" w:eastAsia="宋体" w:cs="宋体"/>
          <w:spacing w:val="-5"/>
          <w:sz w:val="21"/>
          <w:szCs w:val="21"/>
        </w:rPr>
        <w:t>险，缴纳工伤保险费，并要求监理人及由发包人为履行合同聘请的第三</w:t>
      </w:r>
      <w:r>
        <w:rPr>
          <w:rFonts w:ascii="宋体" w:hAnsi="宋体" w:eastAsia="宋体" w:cs="宋体"/>
          <w:spacing w:val="-6"/>
          <w:sz w:val="21"/>
          <w:szCs w:val="21"/>
        </w:rPr>
        <w:t>方依法参加工伤保险。</w:t>
      </w:r>
    </w:p>
    <w:p w14:paraId="7767A713">
      <w:pPr>
        <w:spacing w:before="33" w:line="339" w:lineRule="auto"/>
        <w:ind w:left="35" w:firstLine="425"/>
        <w:rPr>
          <w:rFonts w:ascii="宋体" w:hAnsi="宋体" w:eastAsia="宋体" w:cs="宋体"/>
          <w:sz w:val="21"/>
          <w:szCs w:val="21"/>
        </w:rPr>
      </w:pPr>
      <w:r>
        <w:rPr>
          <w:rFonts w:ascii="Times New Roman" w:hAnsi="Times New Roman" w:eastAsia="Times New Roman" w:cs="Times New Roman"/>
          <w:spacing w:val="1"/>
          <w:sz w:val="21"/>
          <w:szCs w:val="21"/>
        </w:rPr>
        <w:t xml:space="preserve">18.2.2  </w:t>
      </w:r>
      <w:r>
        <w:rPr>
          <w:rFonts w:ascii="宋体" w:hAnsi="宋体" w:eastAsia="宋体" w:cs="宋体"/>
          <w:spacing w:val="1"/>
          <w:sz w:val="21"/>
          <w:szCs w:val="21"/>
        </w:rPr>
        <w:t>承包人应依照法律规定参加工伤保险，</w:t>
      </w:r>
      <w:r>
        <w:rPr>
          <w:rFonts w:ascii="宋体" w:hAnsi="宋体" w:eastAsia="宋体" w:cs="宋体"/>
          <w:spacing w:val="-53"/>
          <w:sz w:val="21"/>
          <w:szCs w:val="21"/>
        </w:rPr>
        <w:t xml:space="preserve"> </w:t>
      </w:r>
      <w:r>
        <w:rPr>
          <w:rFonts w:ascii="宋体" w:hAnsi="宋体" w:eastAsia="宋体" w:cs="宋体"/>
          <w:spacing w:val="1"/>
          <w:sz w:val="21"/>
          <w:szCs w:val="21"/>
        </w:rPr>
        <w:t>并为其履行合同的全部员工办理工伤保</w:t>
      </w:r>
      <w:r>
        <w:rPr>
          <w:rFonts w:ascii="宋体" w:hAnsi="宋体" w:eastAsia="宋体" w:cs="宋体"/>
          <w:spacing w:val="-5"/>
          <w:sz w:val="21"/>
          <w:szCs w:val="21"/>
        </w:rPr>
        <w:t>险，缴纳工伤保险费，并要求分包人及由承包人为履行合同聘请的第三</w:t>
      </w:r>
      <w:r>
        <w:rPr>
          <w:rFonts w:ascii="宋体" w:hAnsi="宋体" w:eastAsia="宋体" w:cs="宋体"/>
          <w:spacing w:val="-6"/>
          <w:sz w:val="21"/>
          <w:szCs w:val="21"/>
        </w:rPr>
        <w:t>方依法参加工伤保险。</w:t>
      </w:r>
    </w:p>
    <w:p w14:paraId="5924ABE7">
      <w:pPr>
        <w:spacing w:line="233" w:lineRule="auto"/>
        <w:ind w:left="31"/>
        <w:outlineLvl w:val="1"/>
        <w:rPr>
          <w:rFonts w:ascii="黑体" w:hAnsi="黑体" w:eastAsia="黑体" w:cs="黑体"/>
          <w:sz w:val="24"/>
          <w:szCs w:val="24"/>
        </w:rPr>
      </w:pPr>
      <w:bookmarkStart w:id="479" w:name="bookmark415"/>
      <w:bookmarkEnd w:id="479"/>
      <w:r>
        <w:rPr>
          <w:rFonts w:ascii="Times New Roman" w:hAnsi="Times New Roman" w:eastAsia="Times New Roman" w:cs="Times New Roman"/>
          <w:b/>
          <w:bCs/>
          <w:spacing w:val="2"/>
          <w:sz w:val="24"/>
          <w:szCs w:val="24"/>
        </w:rPr>
        <w:t xml:space="preserve">18.3 </w:t>
      </w:r>
      <w:r>
        <w:rPr>
          <w:rFonts w:ascii="黑体" w:hAnsi="黑体" w:eastAsia="黑体" w:cs="黑体"/>
          <w:b/>
          <w:bCs/>
          <w:spacing w:val="2"/>
          <w:sz w:val="24"/>
          <w:szCs w:val="24"/>
        </w:rPr>
        <w:t>其他保险</w:t>
      </w:r>
    </w:p>
    <w:p w14:paraId="17FC122E">
      <w:pPr>
        <w:spacing w:before="126" w:line="359" w:lineRule="auto"/>
        <w:ind w:left="32" w:right="87" w:firstLine="415"/>
        <w:rPr>
          <w:rFonts w:ascii="宋体" w:hAnsi="宋体" w:eastAsia="宋体" w:cs="宋体"/>
          <w:sz w:val="21"/>
          <w:szCs w:val="21"/>
        </w:rPr>
      </w:pPr>
      <w:r>
        <w:rPr>
          <w:rFonts w:ascii="宋体" w:hAnsi="宋体" w:eastAsia="宋体" w:cs="宋体"/>
          <w:spacing w:val="-2"/>
          <w:sz w:val="21"/>
          <w:szCs w:val="21"/>
        </w:rPr>
        <w:t>发包人和承包人可以为其施工现场的全部人员办理意外伤害保险并</w:t>
      </w:r>
      <w:r>
        <w:rPr>
          <w:rFonts w:ascii="宋体" w:hAnsi="宋体" w:eastAsia="宋体" w:cs="宋体"/>
          <w:spacing w:val="-3"/>
          <w:sz w:val="21"/>
          <w:szCs w:val="21"/>
        </w:rPr>
        <w:t>支付保险费，包括其</w:t>
      </w:r>
      <w:r>
        <w:rPr>
          <w:rFonts w:ascii="宋体" w:hAnsi="宋体" w:eastAsia="宋体" w:cs="宋体"/>
          <w:spacing w:val="-1"/>
          <w:sz w:val="21"/>
          <w:szCs w:val="21"/>
        </w:rPr>
        <w:t>员工及为履行合同聘请的第三方的人员，具体事项由合同当事人在专用合同条款约定。</w:t>
      </w:r>
    </w:p>
    <w:p w14:paraId="21FB9291">
      <w:pPr>
        <w:spacing w:line="359" w:lineRule="auto"/>
        <w:rPr>
          <w:rFonts w:ascii="宋体" w:hAnsi="宋体" w:eastAsia="宋体" w:cs="宋体"/>
          <w:sz w:val="21"/>
          <w:szCs w:val="21"/>
        </w:rPr>
        <w:sectPr>
          <w:footerReference r:id="rId199" w:type="default"/>
          <w:pgSz w:w="11910" w:h="16845"/>
          <w:pgMar w:top="400" w:right="1691" w:bottom="1110" w:left="1786" w:header="0" w:footer="883" w:gutter="0"/>
          <w:cols w:space="720" w:num="1"/>
        </w:sectPr>
      </w:pPr>
    </w:p>
    <w:p w14:paraId="5F854692">
      <w:pPr>
        <w:pStyle w:val="2"/>
        <w:spacing w:line="275" w:lineRule="auto"/>
      </w:pPr>
    </w:p>
    <w:p w14:paraId="51E560AF">
      <w:pPr>
        <w:pStyle w:val="2"/>
        <w:spacing w:line="275" w:lineRule="auto"/>
      </w:pPr>
    </w:p>
    <w:p w14:paraId="375B5206">
      <w:pPr>
        <w:pStyle w:val="2"/>
        <w:spacing w:line="275" w:lineRule="auto"/>
      </w:pPr>
    </w:p>
    <w:p w14:paraId="4F7B4491">
      <w:pPr>
        <w:pStyle w:val="2"/>
        <w:spacing w:line="275" w:lineRule="auto"/>
      </w:pPr>
    </w:p>
    <w:p w14:paraId="11435017">
      <w:pPr>
        <w:spacing w:before="68" w:line="220" w:lineRule="auto"/>
        <w:ind w:left="457"/>
        <w:rPr>
          <w:rFonts w:ascii="宋体" w:hAnsi="宋体" w:eastAsia="宋体" w:cs="宋体"/>
          <w:sz w:val="21"/>
          <w:szCs w:val="21"/>
        </w:rPr>
      </w:pPr>
      <w:r>
        <w:rPr>
          <w:rFonts w:ascii="宋体" w:hAnsi="宋体" w:eastAsia="宋体" w:cs="宋体"/>
          <w:spacing w:val="-1"/>
          <w:sz w:val="21"/>
          <w:szCs w:val="21"/>
        </w:rPr>
        <w:t>除专用合同条款另有约定外，承包人应为其施工设备等办</w:t>
      </w:r>
      <w:r>
        <w:rPr>
          <w:rFonts w:ascii="宋体" w:hAnsi="宋体" w:eastAsia="宋体" w:cs="宋体"/>
          <w:spacing w:val="-2"/>
          <w:sz w:val="21"/>
          <w:szCs w:val="21"/>
        </w:rPr>
        <w:t>理财产保险。</w:t>
      </w:r>
    </w:p>
    <w:p w14:paraId="0A79B161">
      <w:pPr>
        <w:spacing w:before="130" w:line="233" w:lineRule="auto"/>
        <w:ind w:left="31"/>
        <w:outlineLvl w:val="1"/>
        <w:rPr>
          <w:rFonts w:ascii="黑体" w:hAnsi="黑体" w:eastAsia="黑体" w:cs="黑体"/>
          <w:sz w:val="24"/>
          <w:szCs w:val="24"/>
        </w:rPr>
      </w:pPr>
      <w:bookmarkStart w:id="480" w:name="bookmark416"/>
      <w:bookmarkEnd w:id="480"/>
      <w:r>
        <w:rPr>
          <w:rFonts w:ascii="Times New Roman" w:hAnsi="Times New Roman" w:eastAsia="Times New Roman" w:cs="Times New Roman"/>
          <w:b/>
          <w:bCs/>
          <w:spacing w:val="2"/>
          <w:sz w:val="24"/>
          <w:szCs w:val="24"/>
        </w:rPr>
        <w:t xml:space="preserve">18.4 </w:t>
      </w:r>
      <w:r>
        <w:rPr>
          <w:rFonts w:ascii="黑体" w:hAnsi="黑体" w:eastAsia="黑体" w:cs="黑体"/>
          <w:b/>
          <w:bCs/>
          <w:spacing w:val="2"/>
          <w:sz w:val="24"/>
          <w:szCs w:val="24"/>
        </w:rPr>
        <w:t>持续保险</w:t>
      </w:r>
    </w:p>
    <w:p w14:paraId="04709B7D">
      <w:pPr>
        <w:spacing w:before="112" w:line="345" w:lineRule="auto"/>
        <w:ind w:left="25" w:right="72" w:firstLine="420"/>
        <w:rPr>
          <w:rFonts w:ascii="宋体" w:hAnsi="宋体" w:eastAsia="宋体" w:cs="宋体"/>
          <w:sz w:val="21"/>
          <w:szCs w:val="21"/>
        </w:rPr>
      </w:pPr>
      <w:r>
        <w:rPr>
          <w:rFonts w:ascii="宋体" w:hAnsi="宋体" w:eastAsia="宋体" w:cs="宋体"/>
          <w:spacing w:val="-2"/>
          <w:sz w:val="21"/>
          <w:szCs w:val="21"/>
        </w:rPr>
        <w:t>合同当事人应与保险人保持联系，使保险人能够随时了解工程实施中的</w:t>
      </w:r>
      <w:r>
        <w:rPr>
          <w:rFonts w:ascii="宋体" w:hAnsi="宋体" w:eastAsia="宋体" w:cs="宋体"/>
          <w:spacing w:val="-3"/>
          <w:sz w:val="21"/>
          <w:szCs w:val="21"/>
        </w:rPr>
        <w:t>变动，并确保按保险合同条款要求持续保险。</w:t>
      </w:r>
    </w:p>
    <w:p w14:paraId="606B7041">
      <w:pPr>
        <w:spacing w:before="1" w:line="231" w:lineRule="auto"/>
        <w:ind w:left="31"/>
        <w:outlineLvl w:val="1"/>
        <w:rPr>
          <w:rFonts w:ascii="黑体" w:hAnsi="黑体" w:eastAsia="黑体" w:cs="黑体"/>
          <w:sz w:val="24"/>
          <w:szCs w:val="24"/>
        </w:rPr>
      </w:pPr>
      <w:bookmarkStart w:id="481" w:name="bookmark417"/>
      <w:bookmarkEnd w:id="481"/>
      <w:r>
        <w:rPr>
          <w:rFonts w:ascii="Times New Roman" w:hAnsi="Times New Roman" w:eastAsia="Times New Roman" w:cs="Times New Roman"/>
          <w:b/>
          <w:bCs/>
          <w:spacing w:val="2"/>
          <w:sz w:val="24"/>
          <w:szCs w:val="24"/>
        </w:rPr>
        <w:t xml:space="preserve">18.5  </w:t>
      </w:r>
      <w:r>
        <w:rPr>
          <w:rFonts w:ascii="黑体" w:hAnsi="黑体" w:eastAsia="黑体" w:cs="黑体"/>
          <w:b/>
          <w:bCs/>
          <w:spacing w:val="2"/>
          <w:sz w:val="24"/>
          <w:szCs w:val="24"/>
        </w:rPr>
        <w:t>保险凭证</w:t>
      </w:r>
    </w:p>
    <w:p w14:paraId="60023327">
      <w:pPr>
        <w:spacing w:before="114" w:line="220" w:lineRule="auto"/>
        <w:ind w:left="445"/>
        <w:rPr>
          <w:rFonts w:ascii="宋体" w:hAnsi="宋体" w:eastAsia="宋体" w:cs="宋体"/>
          <w:sz w:val="21"/>
          <w:szCs w:val="21"/>
        </w:rPr>
      </w:pPr>
      <w:r>
        <w:rPr>
          <w:rFonts w:ascii="宋体" w:hAnsi="宋体" w:eastAsia="宋体" w:cs="宋体"/>
          <w:spacing w:val="-1"/>
          <w:sz w:val="21"/>
          <w:szCs w:val="21"/>
        </w:rPr>
        <w:t>合同当事人应及时向另一方当事人提交其已投保的各项保险的凭证和保险单复印件。</w:t>
      </w:r>
    </w:p>
    <w:p w14:paraId="53739930">
      <w:pPr>
        <w:spacing w:before="130" w:line="233" w:lineRule="auto"/>
        <w:ind w:left="31"/>
        <w:outlineLvl w:val="1"/>
        <w:rPr>
          <w:rFonts w:ascii="黑体" w:hAnsi="黑体" w:eastAsia="黑体" w:cs="黑体"/>
          <w:sz w:val="24"/>
          <w:szCs w:val="24"/>
        </w:rPr>
      </w:pPr>
      <w:bookmarkStart w:id="482" w:name="bookmark418"/>
      <w:bookmarkEnd w:id="482"/>
      <w:r>
        <w:rPr>
          <w:rFonts w:ascii="Times New Roman" w:hAnsi="Times New Roman" w:eastAsia="Times New Roman" w:cs="Times New Roman"/>
          <w:b/>
          <w:bCs/>
          <w:spacing w:val="1"/>
          <w:sz w:val="24"/>
          <w:szCs w:val="24"/>
        </w:rPr>
        <w:t xml:space="preserve">18.6  </w:t>
      </w:r>
      <w:r>
        <w:rPr>
          <w:rFonts w:ascii="黑体" w:hAnsi="黑体" w:eastAsia="黑体" w:cs="黑体"/>
          <w:b/>
          <w:bCs/>
          <w:spacing w:val="1"/>
          <w:sz w:val="24"/>
          <w:szCs w:val="24"/>
        </w:rPr>
        <w:t>未按约定投保的补救</w:t>
      </w:r>
    </w:p>
    <w:p w14:paraId="62D9FD4D">
      <w:pPr>
        <w:spacing w:before="129" w:line="348" w:lineRule="auto"/>
        <w:ind w:left="24" w:firstLine="436"/>
        <w:rPr>
          <w:rFonts w:ascii="宋体" w:hAnsi="宋体" w:eastAsia="宋体" w:cs="宋体"/>
          <w:sz w:val="21"/>
          <w:szCs w:val="21"/>
        </w:rPr>
      </w:pPr>
      <w:r>
        <w:rPr>
          <w:rFonts w:ascii="Times New Roman" w:hAnsi="Times New Roman" w:eastAsia="Times New Roman" w:cs="Times New Roman"/>
          <w:spacing w:val="-5"/>
          <w:sz w:val="21"/>
          <w:szCs w:val="21"/>
        </w:rPr>
        <w:t>18.6.1</w:t>
      </w:r>
      <w:r>
        <w:rPr>
          <w:rFonts w:ascii="Times New Roman" w:hAnsi="Times New Roman" w:eastAsia="Times New Roman" w:cs="Times New Roman"/>
          <w:spacing w:val="26"/>
          <w:w w:val="101"/>
          <w:sz w:val="21"/>
          <w:szCs w:val="21"/>
        </w:rPr>
        <w:t xml:space="preserve"> </w:t>
      </w:r>
      <w:r>
        <w:rPr>
          <w:rFonts w:ascii="宋体" w:hAnsi="宋体" w:eastAsia="宋体" w:cs="宋体"/>
          <w:spacing w:val="-5"/>
          <w:sz w:val="21"/>
          <w:szCs w:val="21"/>
        </w:rPr>
        <w:t>发包人未按合同约定办理保险，或未能使保险持续有效的，则承包人可代为办理，所需费用由发包人承担。发包人未按合同约定办理保险， 导致未能得到足额赔偿的，由发包</w:t>
      </w:r>
      <w:r>
        <w:rPr>
          <w:rFonts w:ascii="宋体" w:hAnsi="宋体" w:eastAsia="宋体" w:cs="宋体"/>
          <w:spacing w:val="-6"/>
          <w:sz w:val="21"/>
          <w:szCs w:val="21"/>
        </w:rPr>
        <w:t>人负责补足。</w:t>
      </w:r>
    </w:p>
    <w:p w14:paraId="333724AC">
      <w:pPr>
        <w:spacing w:before="11" w:line="345" w:lineRule="auto"/>
        <w:ind w:left="24" w:right="1" w:firstLine="436"/>
        <w:rPr>
          <w:rFonts w:ascii="宋体" w:hAnsi="宋体" w:eastAsia="宋体" w:cs="宋体"/>
          <w:sz w:val="21"/>
          <w:szCs w:val="21"/>
        </w:rPr>
      </w:pPr>
      <w:r>
        <w:rPr>
          <w:rFonts w:ascii="Times New Roman" w:hAnsi="Times New Roman" w:eastAsia="Times New Roman" w:cs="Times New Roman"/>
          <w:spacing w:val="-5"/>
          <w:sz w:val="21"/>
          <w:szCs w:val="21"/>
        </w:rPr>
        <w:t>18.6.2</w:t>
      </w:r>
      <w:r>
        <w:rPr>
          <w:rFonts w:ascii="Times New Roman" w:hAnsi="Times New Roman" w:eastAsia="Times New Roman" w:cs="Times New Roman"/>
          <w:spacing w:val="25"/>
          <w:w w:val="101"/>
          <w:sz w:val="21"/>
          <w:szCs w:val="21"/>
        </w:rPr>
        <w:t xml:space="preserve"> </w:t>
      </w:r>
      <w:r>
        <w:rPr>
          <w:rFonts w:ascii="宋体" w:hAnsi="宋体" w:eastAsia="宋体" w:cs="宋体"/>
          <w:spacing w:val="-5"/>
          <w:sz w:val="21"/>
          <w:szCs w:val="21"/>
        </w:rPr>
        <w:t>承包人未按合同约定办理保险，或未能使保险持续有效的，则发包人可代为办理，所需费用由承包人承担。承包人未按合同约定办理保险， 导致未能得到足额赔偿的，由承包</w:t>
      </w:r>
      <w:r>
        <w:rPr>
          <w:rFonts w:ascii="宋体" w:hAnsi="宋体" w:eastAsia="宋体" w:cs="宋体"/>
          <w:spacing w:val="-6"/>
          <w:sz w:val="21"/>
          <w:szCs w:val="21"/>
        </w:rPr>
        <w:t>人负责补足。</w:t>
      </w:r>
    </w:p>
    <w:p w14:paraId="10AF7E68">
      <w:pPr>
        <w:spacing w:before="1" w:line="231" w:lineRule="auto"/>
        <w:ind w:left="31"/>
        <w:outlineLvl w:val="1"/>
        <w:rPr>
          <w:rFonts w:ascii="黑体" w:hAnsi="黑体" w:eastAsia="黑体" w:cs="黑体"/>
          <w:sz w:val="24"/>
          <w:szCs w:val="24"/>
        </w:rPr>
      </w:pPr>
      <w:bookmarkStart w:id="483" w:name="bookmark419"/>
      <w:bookmarkEnd w:id="483"/>
      <w:r>
        <w:rPr>
          <w:rFonts w:ascii="Times New Roman" w:hAnsi="Times New Roman" w:eastAsia="Times New Roman" w:cs="Times New Roman"/>
          <w:b/>
          <w:bCs/>
          <w:spacing w:val="2"/>
          <w:sz w:val="24"/>
          <w:szCs w:val="24"/>
        </w:rPr>
        <w:t xml:space="preserve">18.7  </w:t>
      </w:r>
      <w:r>
        <w:rPr>
          <w:rFonts w:ascii="黑体" w:hAnsi="黑体" w:eastAsia="黑体" w:cs="黑体"/>
          <w:b/>
          <w:bCs/>
          <w:spacing w:val="2"/>
          <w:sz w:val="24"/>
          <w:szCs w:val="24"/>
        </w:rPr>
        <w:t>通知义务</w:t>
      </w:r>
    </w:p>
    <w:p w14:paraId="229A049D">
      <w:pPr>
        <w:spacing w:before="114" w:line="352" w:lineRule="auto"/>
        <w:ind w:left="24" w:right="72" w:firstLine="432"/>
        <w:jc w:val="both"/>
        <w:rPr>
          <w:rFonts w:ascii="宋体" w:hAnsi="宋体" w:eastAsia="宋体" w:cs="宋体"/>
          <w:sz w:val="21"/>
          <w:szCs w:val="21"/>
        </w:rPr>
      </w:pPr>
      <w:r>
        <w:rPr>
          <w:rFonts w:ascii="宋体" w:hAnsi="宋体" w:eastAsia="宋体" w:cs="宋体"/>
          <w:spacing w:val="-2"/>
          <w:sz w:val="21"/>
          <w:szCs w:val="21"/>
        </w:rPr>
        <w:t>除专用合同条款另有约定外，发包人变更除</w:t>
      </w:r>
      <w:r>
        <w:rPr>
          <w:rFonts w:ascii="宋体" w:hAnsi="宋体" w:eastAsia="宋体" w:cs="宋体"/>
          <w:spacing w:val="-3"/>
          <w:sz w:val="21"/>
          <w:szCs w:val="21"/>
        </w:rPr>
        <w:t>工伤保险之外的保险合同时，应事先征得承</w:t>
      </w:r>
      <w:r>
        <w:rPr>
          <w:rFonts w:ascii="宋体" w:hAnsi="宋体" w:eastAsia="宋体" w:cs="宋体"/>
          <w:spacing w:val="-2"/>
          <w:sz w:val="21"/>
          <w:szCs w:val="21"/>
        </w:rPr>
        <w:t>包人同意，并通知监理人；承包人变更除工伤保险之外的保险合同时，应事先征</w:t>
      </w:r>
      <w:r>
        <w:rPr>
          <w:rFonts w:ascii="宋体" w:hAnsi="宋体" w:eastAsia="宋体" w:cs="宋体"/>
          <w:spacing w:val="-3"/>
          <w:sz w:val="21"/>
          <w:szCs w:val="21"/>
        </w:rPr>
        <w:t>得发包人同</w:t>
      </w:r>
      <w:r>
        <w:rPr>
          <w:rFonts w:ascii="宋体" w:hAnsi="宋体" w:eastAsia="宋体" w:cs="宋体"/>
          <w:spacing w:val="-4"/>
          <w:sz w:val="21"/>
          <w:szCs w:val="21"/>
        </w:rPr>
        <w:t>意，并通知监理人。</w:t>
      </w:r>
    </w:p>
    <w:p w14:paraId="743EED57">
      <w:pPr>
        <w:spacing w:before="1" w:line="358" w:lineRule="auto"/>
        <w:ind w:left="25" w:right="72" w:firstLine="420"/>
        <w:rPr>
          <w:rFonts w:ascii="宋体" w:hAnsi="宋体" w:eastAsia="宋体" w:cs="宋体"/>
          <w:sz w:val="21"/>
          <w:szCs w:val="21"/>
        </w:rPr>
      </w:pPr>
      <w:r>
        <w:rPr>
          <w:rFonts w:ascii="宋体" w:hAnsi="宋体" w:eastAsia="宋体" w:cs="宋体"/>
          <w:spacing w:val="-2"/>
          <w:sz w:val="21"/>
          <w:szCs w:val="21"/>
        </w:rPr>
        <w:t>保险事故发生时，投保人应按照保险合同规定的条件和期限及时向保险</w:t>
      </w:r>
      <w:r>
        <w:rPr>
          <w:rFonts w:ascii="宋体" w:hAnsi="宋体" w:eastAsia="宋体" w:cs="宋体"/>
          <w:spacing w:val="-3"/>
          <w:sz w:val="21"/>
          <w:szCs w:val="21"/>
        </w:rPr>
        <w:t>人报告。发包人</w:t>
      </w:r>
      <w:r>
        <w:rPr>
          <w:rFonts w:ascii="宋体" w:hAnsi="宋体" w:eastAsia="宋体" w:cs="宋体"/>
          <w:spacing w:val="-2"/>
          <w:sz w:val="21"/>
          <w:szCs w:val="21"/>
        </w:rPr>
        <w:t>和承包人应当在知道保险事故发生后及时通知对方。</w:t>
      </w:r>
    </w:p>
    <w:p w14:paraId="6A14688A">
      <w:pPr>
        <w:spacing w:before="35" w:line="237" w:lineRule="auto"/>
        <w:ind w:left="34"/>
        <w:outlineLvl w:val="0"/>
        <w:rPr>
          <w:rFonts w:ascii="黑体" w:hAnsi="黑体" w:eastAsia="黑体" w:cs="黑体"/>
          <w:sz w:val="28"/>
          <w:szCs w:val="28"/>
        </w:rPr>
      </w:pPr>
      <w:bookmarkStart w:id="484" w:name="bookmark421"/>
      <w:bookmarkEnd w:id="484"/>
      <w:bookmarkStart w:id="485" w:name="bookmark420"/>
      <w:bookmarkEnd w:id="485"/>
      <w:r>
        <w:rPr>
          <w:rFonts w:ascii="Times New Roman" w:hAnsi="Times New Roman" w:eastAsia="Times New Roman" w:cs="Times New Roman"/>
          <w:b/>
          <w:bCs/>
          <w:sz w:val="28"/>
          <w:szCs w:val="28"/>
        </w:rPr>
        <w:t xml:space="preserve">19.  </w:t>
      </w:r>
      <w:r>
        <w:rPr>
          <w:rFonts w:ascii="黑体" w:hAnsi="黑体" w:eastAsia="黑体" w:cs="黑体"/>
          <w:b/>
          <w:bCs/>
          <w:sz w:val="28"/>
          <w:szCs w:val="28"/>
        </w:rPr>
        <w:t>索赔</w:t>
      </w:r>
    </w:p>
    <w:p w14:paraId="71C33A41">
      <w:pPr>
        <w:spacing w:before="70" w:line="233" w:lineRule="auto"/>
        <w:ind w:left="31"/>
        <w:outlineLvl w:val="1"/>
        <w:rPr>
          <w:rFonts w:ascii="黑体" w:hAnsi="黑体" w:eastAsia="黑体" w:cs="黑体"/>
          <w:sz w:val="24"/>
          <w:szCs w:val="24"/>
        </w:rPr>
      </w:pPr>
      <w:bookmarkStart w:id="486" w:name="bookmark701"/>
      <w:bookmarkEnd w:id="486"/>
      <w:r>
        <w:rPr>
          <w:rFonts w:ascii="Times New Roman" w:hAnsi="Times New Roman" w:eastAsia="Times New Roman" w:cs="Times New Roman"/>
          <w:b/>
          <w:bCs/>
          <w:spacing w:val="1"/>
          <w:sz w:val="24"/>
          <w:szCs w:val="24"/>
        </w:rPr>
        <w:t xml:space="preserve">19.1 </w:t>
      </w:r>
      <w:r>
        <w:rPr>
          <w:rFonts w:ascii="黑体" w:hAnsi="黑体" w:eastAsia="黑体" w:cs="黑体"/>
          <w:b/>
          <w:bCs/>
          <w:spacing w:val="1"/>
          <w:sz w:val="24"/>
          <w:szCs w:val="24"/>
        </w:rPr>
        <w:t>承包人的索赔</w:t>
      </w:r>
    </w:p>
    <w:p w14:paraId="4620219E">
      <w:pPr>
        <w:spacing w:before="129" w:line="345" w:lineRule="auto"/>
        <w:ind w:left="24" w:right="65" w:firstLine="420"/>
        <w:rPr>
          <w:rFonts w:ascii="宋体" w:hAnsi="宋体" w:eastAsia="宋体" w:cs="宋体"/>
          <w:sz w:val="21"/>
          <w:szCs w:val="21"/>
        </w:rPr>
      </w:pPr>
      <w:r>
        <w:rPr>
          <w:rFonts w:ascii="宋体" w:hAnsi="宋体" w:eastAsia="宋体" w:cs="宋体"/>
          <w:spacing w:val="-2"/>
          <w:sz w:val="21"/>
          <w:szCs w:val="21"/>
        </w:rPr>
        <w:t>根据合同约定，承包人认为有权得到追加付款和（或）延长工期的，应按以下程序向发</w:t>
      </w:r>
      <w:r>
        <w:rPr>
          <w:rFonts w:ascii="宋体" w:hAnsi="宋体" w:eastAsia="宋体" w:cs="宋体"/>
          <w:spacing w:val="-7"/>
          <w:sz w:val="21"/>
          <w:szCs w:val="21"/>
        </w:rPr>
        <w:t>包人提出索赔：</w:t>
      </w:r>
    </w:p>
    <w:p w14:paraId="7D899205">
      <w:pPr>
        <w:spacing w:before="11" w:line="344" w:lineRule="auto"/>
        <w:ind w:left="25" w:right="63" w:firstLine="42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）承包人应在知道或应当知道索赔事件发生后</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天内，向监理人递交索赔意向通知</w:t>
      </w:r>
      <w:r>
        <w:rPr>
          <w:rFonts w:ascii="宋体" w:hAnsi="宋体" w:eastAsia="宋体" w:cs="宋体"/>
          <w:sz w:val="21"/>
          <w:szCs w:val="21"/>
        </w:rPr>
        <w:t>书，并说明发生索赔事件的事由；承包人未在前述</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天内发出索赔</w:t>
      </w:r>
      <w:r>
        <w:rPr>
          <w:rFonts w:ascii="宋体" w:hAnsi="宋体" w:eastAsia="宋体" w:cs="宋体"/>
          <w:spacing w:val="-1"/>
          <w:sz w:val="21"/>
          <w:szCs w:val="21"/>
        </w:rPr>
        <w:t>意向通知书的，丧失要</w:t>
      </w:r>
      <w:r>
        <w:rPr>
          <w:rFonts w:ascii="宋体" w:hAnsi="宋体" w:eastAsia="宋体" w:cs="宋体"/>
          <w:spacing w:val="-3"/>
          <w:sz w:val="21"/>
          <w:szCs w:val="21"/>
        </w:rPr>
        <w:t>求追加付款和（或）延长工期的权利；</w:t>
      </w:r>
    </w:p>
    <w:p w14:paraId="0D4D7C45">
      <w:pPr>
        <w:spacing w:before="26" w:line="348" w:lineRule="auto"/>
        <w:ind w:left="29" w:right="63" w:firstLine="4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）承包人应在发出索赔意向通知书后</w:t>
      </w:r>
      <w:r>
        <w:rPr>
          <w:rFonts w:ascii="宋体" w:hAnsi="宋体" w:eastAsia="宋体" w:cs="宋体"/>
          <w:spacing w:val="-34"/>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天内，向监理人正式递交索赔报告；索赔报</w:t>
      </w:r>
      <w:r>
        <w:rPr>
          <w:rFonts w:ascii="宋体" w:hAnsi="宋体" w:eastAsia="宋体" w:cs="宋体"/>
          <w:spacing w:val="-2"/>
          <w:sz w:val="21"/>
          <w:szCs w:val="21"/>
        </w:rPr>
        <w:t>告应详细说明索赔理由以及要求追加的付款金额和（或）延长的工期，并附</w:t>
      </w:r>
      <w:r>
        <w:rPr>
          <w:rFonts w:ascii="宋体" w:hAnsi="宋体" w:eastAsia="宋体" w:cs="宋体"/>
          <w:spacing w:val="-3"/>
          <w:sz w:val="21"/>
          <w:szCs w:val="21"/>
        </w:rPr>
        <w:t>必要的记录和证</w:t>
      </w:r>
      <w:r>
        <w:rPr>
          <w:rFonts w:ascii="宋体" w:hAnsi="宋体" w:eastAsia="宋体" w:cs="宋体"/>
          <w:spacing w:val="-12"/>
          <w:sz w:val="21"/>
          <w:szCs w:val="21"/>
        </w:rPr>
        <w:t>明材料；</w:t>
      </w:r>
    </w:p>
    <w:p w14:paraId="027E4F41">
      <w:pPr>
        <w:spacing w:before="15" w:line="348" w:lineRule="auto"/>
        <w:ind w:left="43" w:right="93" w:firstLine="40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）索赔事件具有持续影响的，承包人应按合理时间间隔继续递交延续索赔</w:t>
      </w:r>
      <w:r>
        <w:rPr>
          <w:rFonts w:ascii="宋体" w:hAnsi="宋体" w:eastAsia="宋体" w:cs="宋体"/>
          <w:spacing w:val="-1"/>
          <w:sz w:val="21"/>
          <w:szCs w:val="21"/>
        </w:rPr>
        <w:t>通知，说</w:t>
      </w:r>
      <w:r>
        <w:rPr>
          <w:rFonts w:ascii="宋体" w:hAnsi="宋体" w:eastAsia="宋体" w:cs="宋体"/>
          <w:spacing w:val="-2"/>
          <w:sz w:val="21"/>
          <w:szCs w:val="21"/>
        </w:rPr>
        <w:t>明持续影响的实际情况和记录，列出累计的追加付款金额和（或）工期延长天数；</w:t>
      </w:r>
    </w:p>
    <w:p w14:paraId="58F91200">
      <w:pPr>
        <w:spacing w:before="3" w:line="348" w:lineRule="auto"/>
        <w:ind w:left="25" w:right="63" w:firstLine="425"/>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）在索赔事件影响结束后</w:t>
      </w:r>
      <w:r>
        <w:rPr>
          <w:rFonts w:ascii="宋体" w:hAnsi="宋体" w:eastAsia="宋体" w:cs="宋体"/>
          <w:spacing w:val="-34"/>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天内，承包人应向监理人递交最终索赔报告，说明最终</w:t>
      </w:r>
      <w:r>
        <w:rPr>
          <w:rFonts w:ascii="宋体" w:hAnsi="宋体" w:eastAsia="宋体" w:cs="宋体"/>
          <w:spacing w:val="-1"/>
          <w:sz w:val="21"/>
          <w:szCs w:val="21"/>
        </w:rPr>
        <w:t>要求索赔的追加付款金额和（或）延长的工期，并附必要的记录和证明材料。</w:t>
      </w:r>
    </w:p>
    <w:p w14:paraId="2346B9AD">
      <w:pPr>
        <w:spacing w:line="348" w:lineRule="auto"/>
        <w:rPr>
          <w:rFonts w:ascii="宋体" w:hAnsi="宋体" w:eastAsia="宋体" w:cs="宋体"/>
          <w:sz w:val="21"/>
          <w:szCs w:val="21"/>
        </w:rPr>
        <w:sectPr>
          <w:footerReference r:id="rId200" w:type="default"/>
          <w:pgSz w:w="11910" w:h="16845"/>
          <w:pgMar w:top="400" w:right="1706" w:bottom="1110" w:left="1786" w:header="0" w:footer="883" w:gutter="0"/>
          <w:cols w:space="720" w:num="1"/>
        </w:sectPr>
      </w:pPr>
    </w:p>
    <w:p w14:paraId="01AA525B">
      <w:pPr>
        <w:pStyle w:val="2"/>
        <w:spacing w:line="266" w:lineRule="auto"/>
      </w:pPr>
    </w:p>
    <w:p w14:paraId="602A5FB3">
      <w:pPr>
        <w:pStyle w:val="2"/>
        <w:spacing w:line="266" w:lineRule="auto"/>
      </w:pPr>
    </w:p>
    <w:p w14:paraId="30B00275">
      <w:pPr>
        <w:pStyle w:val="2"/>
        <w:spacing w:line="266" w:lineRule="auto"/>
      </w:pPr>
    </w:p>
    <w:p w14:paraId="1493B897">
      <w:pPr>
        <w:pStyle w:val="2"/>
        <w:spacing w:line="267" w:lineRule="auto"/>
      </w:pPr>
    </w:p>
    <w:p w14:paraId="3DFB00E4">
      <w:pPr>
        <w:spacing w:before="78" w:line="233" w:lineRule="auto"/>
        <w:ind w:left="31"/>
        <w:outlineLvl w:val="1"/>
        <w:rPr>
          <w:rFonts w:ascii="黑体" w:hAnsi="黑体" w:eastAsia="黑体" w:cs="黑体"/>
          <w:sz w:val="24"/>
          <w:szCs w:val="24"/>
        </w:rPr>
      </w:pPr>
      <w:bookmarkStart w:id="487" w:name="bookmark422"/>
      <w:bookmarkEnd w:id="487"/>
      <w:r>
        <w:rPr>
          <w:rFonts w:ascii="Times New Roman" w:hAnsi="Times New Roman" w:eastAsia="Times New Roman" w:cs="Times New Roman"/>
          <w:b/>
          <w:bCs/>
          <w:spacing w:val="1"/>
          <w:sz w:val="24"/>
          <w:szCs w:val="24"/>
        </w:rPr>
        <w:t xml:space="preserve">19.2  </w:t>
      </w:r>
      <w:r>
        <w:rPr>
          <w:rFonts w:ascii="黑体" w:hAnsi="黑体" w:eastAsia="黑体" w:cs="黑体"/>
          <w:b/>
          <w:bCs/>
          <w:spacing w:val="1"/>
          <w:sz w:val="24"/>
          <w:szCs w:val="24"/>
        </w:rPr>
        <w:t>对承包人索赔的处理</w:t>
      </w:r>
    </w:p>
    <w:p w14:paraId="1A354C29">
      <w:pPr>
        <w:spacing w:before="128" w:line="220" w:lineRule="auto"/>
        <w:ind w:left="443"/>
        <w:rPr>
          <w:rFonts w:ascii="宋体" w:hAnsi="宋体" w:eastAsia="宋体" w:cs="宋体"/>
          <w:sz w:val="21"/>
          <w:szCs w:val="21"/>
        </w:rPr>
      </w:pPr>
      <w:r>
        <w:rPr>
          <w:rFonts w:ascii="宋体" w:hAnsi="宋体" w:eastAsia="宋体" w:cs="宋体"/>
          <w:spacing w:val="-4"/>
          <w:sz w:val="21"/>
          <w:szCs w:val="21"/>
        </w:rPr>
        <w:t>对承包人索赔的处理如下：</w:t>
      </w:r>
    </w:p>
    <w:p w14:paraId="7F19BF29">
      <w:pPr>
        <w:spacing w:before="139" w:line="348" w:lineRule="auto"/>
        <w:ind w:left="23" w:right="30" w:firstLine="427"/>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1</w:t>
      </w:r>
      <w:r>
        <w:rPr>
          <w:rFonts w:ascii="宋体" w:hAnsi="宋体" w:eastAsia="宋体" w:cs="宋体"/>
          <w:spacing w:val="-3"/>
          <w:sz w:val="21"/>
          <w:szCs w:val="21"/>
        </w:rPr>
        <w:t>）监理人应在收到索赔报告后</w:t>
      </w:r>
      <w:r>
        <w:rPr>
          <w:rFonts w:ascii="宋体" w:hAnsi="宋体" w:eastAsia="宋体" w:cs="宋体"/>
          <w:spacing w:val="-21"/>
          <w:sz w:val="21"/>
          <w:szCs w:val="21"/>
        </w:rPr>
        <w:t xml:space="preserve">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天内完成审查并报送发包</w:t>
      </w:r>
      <w:r>
        <w:rPr>
          <w:rFonts w:ascii="宋体" w:hAnsi="宋体" w:eastAsia="宋体" w:cs="宋体"/>
          <w:spacing w:val="-4"/>
          <w:sz w:val="21"/>
          <w:szCs w:val="21"/>
        </w:rPr>
        <w:t>人。监理人对索赔报告存</w:t>
      </w:r>
      <w:r>
        <w:rPr>
          <w:rFonts w:ascii="宋体" w:hAnsi="宋体" w:eastAsia="宋体" w:cs="宋体"/>
          <w:spacing w:val="-2"/>
          <w:sz w:val="21"/>
          <w:szCs w:val="21"/>
        </w:rPr>
        <w:t>在异议的，有权要求承包人提交全部原始记录副本；</w:t>
      </w:r>
    </w:p>
    <w:p w14:paraId="3406AFA7">
      <w:pPr>
        <w:spacing w:before="21" w:line="348" w:lineRule="auto"/>
        <w:ind w:left="26" w:right="35" w:firstLine="423"/>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）发包人应在监理人收到索赔报告或有关索赔的进一步证明材料后的</w:t>
      </w:r>
      <w:r>
        <w:rPr>
          <w:rFonts w:ascii="宋体" w:hAnsi="宋体" w:eastAsia="宋体" w:cs="宋体"/>
          <w:spacing w:val="-36"/>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天内，由监</w:t>
      </w:r>
      <w:r>
        <w:rPr>
          <w:rFonts w:ascii="宋体" w:hAnsi="宋体" w:eastAsia="宋体" w:cs="宋体"/>
          <w:spacing w:val="-4"/>
          <w:sz w:val="21"/>
          <w:szCs w:val="21"/>
        </w:rPr>
        <w:t>理人向承包人出具经发包人签认的索赔处理结果。发包人逾期答复的，</w:t>
      </w:r>
      <w:r>
        <w:rPr>
          <w:rFonts w:ascii="宋体" w:hAnsi="宋体" w:eastAsia="宋体" w:cs="宋体"/>
          <w:spacing w:val="-31"/>
          <w:sz w:val="21"/>
          <w:szCs w:val="21"/>
        </w:rPr>
        <w:t xml:space="preserve"> </w:t>
      </w:r>
      <w:r>
        <w:rPr>
          <w:rFonts w:ascii="宋体" w:hAnsi="宋体" w:eastAsia="宋体" w:cs="宋体"/>
          <w:spacing w:val="-4"/>
          <w:sz w:val="21"/>
          <w:szCs w:val="21"/>
        </w:rPr>
        <w:t>则视为认可承包人的</w:t>
      </w:r>
      <w:r>
        <w:rPr>
          <w:rFonts w:ascii="宋体" w:hAnsi="宋体" w:eastAsia="宋体" w:cs="宋体"/>
          <w:spacing w:val="-10"/>
          <w:sz w:val="21"/>
          <w:szCs w:val="21"/>
        </w:rPr>
        <w:t>索赔要求；</w:t>
      </w:r>
    </w:p>
    <w:p w14:paraId="76F9A39B">
      <w:pPr>
        <w:spacing w:before="11" w:line="339" w:lineRule="auto"/>
        <w:ind w:left="28" w:right="65" w:firstLine="421"/>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）承包人接受索赔处理结果的，索赔款项在当期进度款中进行支付；</w:t>
      </w:r>
      <w:r>
        <w:rPr>
          <w:rFonts w:ascii="宋体" w:hAnsi="宋体" w:eastAsia="宋体" w:cs="宋体"/>
          <w:spacing w:val="-1"/>
          <w:sz w:val="21"/>
          <w:szCs w:val="21"/>
        </w:rPr>
        <w:t>承包人不接受</w:t>
      </w:r>
      <w:r>
        <w:rPr>
          <w:rFonts w:ascii="宋体" w:hAnsi="宋体" w:eastAsia="宋体" w:cs="宋体"/>
          <w:spacing w:val="-2"/>
          <w:sz w:val="21"/>
          <w:szCs w:val="21"/>
        </w:rPr>
        <w:t>索赔处理结果的，按照第</w:t>
      </w:r>
      <w:r>
        <w:rPr>
          <w:rFonts w:ascii="宋体" w:hAnsi="宋体" w:eastAsia="宋体" w:cs="宋体"/>
          <w:spacing w:val="-34"/>
          <w:sz w:val="21"/>
          <w:szCs w:val="21"/>
        </w:rPr>
        <w:t xml:space="preserve"> </w:t>
      </w:r>
      <w:r>
        <w:rPr>
          <w:rFonts w:ascii="Times New Roman" w:hAnsi="Times New Roman" w:eastAsia="Times New Roman" w:cs="Times New Roman"/>
          <w:spacing w:val="-2"/>
          <w:sz w:val="21"/>
          <w:szCs w:val="21"/>
        </w:rPr>
        <w:t>20</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条〔争议解决〕约定处理。</w:t>
      </w:r>
    </w:p>
    <w:p w14:paraId="6378DCBB">
      <w:pPr>
        <w:spacing w:before="1" w:line="231" w:lineRule="auto"/>
        <w:ind w:left="31"/>
        <w:outlineLvl w:val="1"/>
        <w:rPr>
          <w:rFonts w:ascii="黑体" w:hAnsi="黑体" w:eastAsia="黑体" w:cs="黑体"/>
          <w:sz w:val="24"/>
          <w:szCs w:val="24"/>
        </w:rPr>
      </w:pPr>
      <w:bookmarkStart w:id="488" w:name="bookmark423"/>
      <w:bookmarkEnd w:id="488"/>
      <w:r>
        <w:rPr>
          <w:rFonts w:ascii="Times New Roman" w:hAnsi="Times New Roman" w:eastAsia="Times New Roman" w:cs="Times New Roman"/>
          <w:b/>
          <w:bCs/>
          <w:spacing w:val="1"/>
          <w:sz w:val="24"/>
          <w:szCs w:val="24"/>
        </w:rPr>
        <w:t xml:space="preserve">19.3 </w:t>
      </w:r>
      <w:r>
        <w:rPr>
          <w:rFonts w:ascii="黑体" w:hAnsi="黑体" w:eastAsia="黑体" w:cs="黑体"/>
          <w:b/>
          <w:bCs/>
          <w:spacing w:val="1"/>
          <w:sz w:val="24"/>
          <w:szCs w:val="24"/>
        </w:rPr>
        <w:t>发包人的索赔</w:t>
      </w:r>
    </w:p>
    <w:p w14:paraId="663EF362">
      <w:pPr>
        <w:spacing w:before="129" w:line="345" w:lineRule="auto"/>
        <w:ind w:left="24" w:right="28" w:firstLine="420"/>
        <w:rPr>
          <w:rFonts w:ascii="宋体" w:hAnsi="宋体" w:eastAsia="宋体" w:cs="宋体"/>
          <w:sz w:val="21"/>
          <w:szCs w:val="21"/>
        </w:rPr>
      </w:pPr>
      <w:r>
        <w:rPr>
          <w:rFonts w:ascii="宋体" w:hAnsi="宋体" w:eastAsia="宋体" w:cs="宋体"/>
          <w:spacing w:val="-2"/>
          <w:sz w:val="21"/>
          <w:szCs w:val="21"/>
        </w:rPr>
        <w:t>根据合同约定，发包人认为有权得到赔付金额和（或）延长缺陷责任期的，监理人应向承包人发出通知并附有详细的证明。</w:t>
      </w:r>
    </w:p>
    <w:p w14:paraId="0A7764D2">
      <w:pPr>
        <w:spacing w:before="12" w:line="347" w:lineRule="auto"/>
        <w:ind w:left="24" w:right="44" w:firstLine="423"/>
        <w:jc w:val="both"/>
        <w:rPr>
          <w:rFonts w:ascii="宋体" w:hAnsi="宋体" w:eastAsia="宋体" w:cs="宋体"/>
          <w:sz w:val="21"/>
          <w:szCs w:val="21"/>
        </w:rPr>
      </w:pPr>
      <w:r>
        <w:rPr>
          <w:rFonts w:ascii="宋体" w:hAnsi="宋体" w:eastAsia="宋体" w:cs="宋体"/>
          <w:sz w:val="21"/>
          <w:szCs w:val="21"/>
        </w:rPr>
        <w:t>发包人应在知道或应当知道索赔事件发生后</w:t>
      </w:r>
      <w:r>
        <w:rPr>
          <w:rFonts w:ascii="宋体" w:hAnsi="宋体" w:eastAsia="宋体" w:cs="宋体"/>
          <w:spacing w:val="-44"/>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天内通过</w:t>
      </w:r>
      <w:r>
        <w:rPr>
          <w:rFonts w:ascii="宋体" w:hAnsi="宋体" w:eastAsia="宋体" w:cs="宋体"/>
          <w:spacing w:val="-1"/>
          <w:sz w:val="21"/>
          <w:szCs w:val="21"/>
        </w:rPr>
        <w:t>监理人向承包人提出索赔意向</w:t>
      </w:r>
      <w:r>
        <w:rPr>
          <w:rFonts w:ascii="宋体" w:hAnsi="宋体" w:eastAsia="宋体" w:cs="宋体"/>
          <w:sz w:val="21"/>
          <w:szCs w:val="21"/>
        </w:rPr>
        <w:t>通知书，发包人未在前述</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天内发出索赔意向通知书的，丧失要求赔付</w:t>
      </w:r>
      <w:r>
        <w:rPr>
          <w:rFonts w:ascii="宋体" w:hAnsi="宋体" w:eastAsia="宋体" w:cs="宋体"/>
          <w:spacing w:val="-1"/>
          <w:sz w:val="21"/>
          <w:szCs w:val="21"/>
        </w:rPr>
        <w:t>金额和（或）延长</w:t>
      </w:r>
      <w:r>
        <w:rPr>
          <w:rFonts w:ascii="宋体" w:hAnsi="宋体" w:eastAsia="宋体" w:cs="宋体"/>
          <w:sz w:val="21"/>
          <w:szCs w:val="21"/>
        </w:rPr>
        <w:t>缺陷责任期的权利。发包人应在发出索赔意向通知书后</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28</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天内，</w:t>
      </w:r>
      <w:r>
        <w:rPr>
          <w:rFonts w:ascii="宋体" w:hAnsi="宋体" w:eastAsia="宋体" w:cs="宋体"/>
          <w:spacing w:val="-1"/>
          <w:sz w:val="21"/>
          <w:szCs w:val="21"/>
        </w:rPr>
        <w:t>通过监理人向承包人正式</w:t>
      </w:r>
      <w:r>
        <w:rPr>
          <w:rFonts w:ascii="宋体" w:hAnsi="宋体" w:eastAsia="宋体" w:cs="宋体"/>
          <w:spacing w:val="-5"/>
          <w:sz w:val="21"/>
          <w:szCs w:val="21"/>
        </w:rPr>
        <w:t>递交索赔报告。</w:t>
      </w:r>
    </w:p>
    <w:p w14:paraId="640CE28A">
      <w:pPr>
        <w:spacing w:line="232" w:lineRule="auto"/>
        <w:ind w:left="31"/>
        <w:outlineLvl w:val="1"/>
        <w:rPr>
          <w:rFonts w:ascii="黑体" w:hAnsi="黑体" w:eastAsia="黑体" w:cs="黑体"/>
          <w:sz w:val="24"/>
          <w:szCs w:val="24"/>
        </w:rPr>
      </w:pPr>
      <w:bookmarkStart w:id="489" w:name="bookmark424"/>
      <w:bookmarkEnd w:id="489"/>
      <w:r>
        <w:rPr>
          <w:rFonts w:ascii="Times New Roman" w:hAnsi="Times New Roman" w:eastAsia="Times New Roman" w:cs="Times New Roman"/>
          <w:b/>
          <w:bCs/>
          <w:spacing w:val="1"/>
          <w:sz w:val="24"/>
          <w:szCs w:val="24"/>
        </w:rPr>
        <w:t xml:space="preserve">19.4  </w:t>
      </w:r>
      <w:r>
        <w:rPr>
          <w:rFonts w:ascii="黑体" w:hAnsi="黑体" w:eastAsia="黑体" w:cs="黑体"/>
          <w:b/>
          <w:bCs/>
          <w:spacing w:val="1"/>
          <w:sz w:val="24"/>
          <w:szCs w:val="24"/>
        </w:rPr>
        <w:t>对发包人索赔的处理</w:t>
      </w:r>
    </w:p>
    <w:p w14:paraId="213C89D4">
      <w:pPr>
        <w:spacing w:before="114" w:line="220" w:lineRule="auto"/>
        <w:ind w:left="443"/>
        <w:rPr>
          <w:rFonts w:ascii="宋体" w:hAnsi="宋体" w:eastAsia="宋体" w:cs="宋体"/>
          <w:sz w:val="21"/>
          <w:szCs w:val="21"/>
        </w:rPr>
      </w:pPr>
      <w:r>
        <w:rPr>
          <w:rFonts w:ascii="宋体" w:hAnsi="宋体" w:eastAsia="宋体" w:cs="宋体"/>
          <w:spacing w:val="-4"/>
          <w:sz w:val="21"/>
          <w:szCs w:val="21"/>
        </w:rPr>
        <w:t>对发包人索赔的处理如下：</w:t>
      </w:r>
    </w:p>
    <w:p w14:paraId="7A6D0B06">
      <w:pPr>
        <w:spacing w:before="156" w:line="348" w:lineRule="auto"/>
        <w:ind w:left="24" w:right="65" w:firstLine="42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1</w:t>
      </w:r>
      <w:r>
        <w:rPr>
          <w:rFonts w:ascii="宋体" w:hAnsi="宋体" w:eastAsia="宋体" w:cs="宋体"/>
          <w:sz w:val="21"/>
          <w:szCs w:val="21"/>
        </w:rPr>
        <w:t>）承包人收到发包人提交的索赔报告后，应及时审查索赔报告的内容</w:t>
      </w:r>
      <w:r>
        <w:rPr>
          <w:rFonts w:ascii="宋体" w:hAnsi="宋体" w:eastAsia="宋体" w:cs="宋体"/>
          <w:spacing w:val="-1"/>
          <w:sz w:val="21"/>
          <w:szCs w:val="21"/>
        </w:rPr>
        <w:t>、查验发包人</w:t>
      </w:r>
      <w:r>
        <w:rPr>
          <w:rFonts w:ascii="宋体" w:hAnsi="宋体" w:eastAsia="宋体" w:cs="宋体"/>
          <w:spacing w:val="-9"/>
          <w:sz w:val="21"/>
          <w:szCs w:val="21"/>
        </w:rPr>
        <w:t>证明材料；</w:t>
      </w:r>
    </w:p>
    <w:p w14:paraId="2E257C68">
      <w:pPr>
        <w:spacing w:before="4" w:line="348" w:lineRule="auto"/>
        <w:ind w:left="28" w:firstLine="421"/>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）承包人应在收到索赔报告或有关索赔的进一步证明材料后</w:t>
      </w:r>
      <w:r>
        <w:rPr>
          <w:rFonts w:ascii="宋体" w:hAnsi="宋体" w:eastAsia="宋体" w:cs="宋体"/>
          <w:spacing w:val="-36"/>
          <w:sz w:val="21"/>
          <w:szCs w:val="21"/>
        </w:rPr>
        <w:t xml:space="preserve"> </w:t>
      </w:r>
      <w:r>
        <w:rPr>
          <w:rFonts w:ascii="Times New Roman" w:hAnsi="Times New Roman" w:eastAsia="Times New Roman" w:cs="Times New Roman"/>
          <w:spacing w:val="-3"/>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天内，将索赔处理结</w:t>
      </w:r>
      <w:r>
        <w:rPr>
          <w:rFonts w:ascii="宋体" w:hAnsi="宋体" w:eastAsia="宋体" w:cs="宋体"/>
          <w:spacing w:val="-1"/>
          <w:sz w:val="21"/>
          <w:szCs w:val="21"/>
        </w:rPr>
        <w:t>果答复发包人。如果承包人未在上述期限内作出答复的，则视为对发包人索赔要求</w:t>
      </w:r>
      <w:r>
        <w:rPr>
          <w:rFonts w:ascii="宋体" w:hAnsi="宋体" w:eastAsia="宋体" w:cs="宋体"/>
          <w:spacing w:val="-2"/>
          <w:sz w:val="21"/>
          <w:szCs w:val="21"/>
        </w:rPr>
        <w:t>的认可；</w:t>
      </w:r>
    </w:p>
    <w:p w14:paraId="6FEF9DFC">
      <w:pPr>
        <w:spacing w:before="21" w:line="344" w:lineRule="auto"/>
        <w:ind w:left="26" w:right="49" w:firstLine="423"/>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）承包人接受索赔处理结果的，发包人可从应支付给承包人的合同价</w:t>
      </w:r>
      <w:r>
        <w:rPr>
          <w:rFonts w:ascii="宋体" w:hAnsi="宋体" w:eastAsia="宋体" w:cs="宋体"/>
          <w:spacing w:val="-1"/>
          <w:sz w:val="21"/>
          <w:szCs w:val="21"/>
        </w:rPr>
        <w:t>款中扣除赔付</w:t>
      </w:r>
      <w:r>
        <w:rPr>
          <w:rFonts w:ascii="宋体" w:hAnsi="宋体" w:eastAsia="宋体" w:cs="宋体"/>
          <w:sz w:val="21"/>
          <w:szCs w:val="21"/>
        </w:rPr>
        <w:t>的金额或延长缺陷责任期；发包人不接受索赔处理结</w:t>
      </w:r>
      <w:r>
        <w:rPr>
          <w:rFonts w:ascii="宋体" w:hAnsi="宋体" w:eastAsia="宋体" w:cs="宋体"/>
          <w:spacing w:val="-1"/>
          <w:sz w:val="21"/>
          <w:szCs w:val="21"/>
        </w:rPr>
        <w:t>果的，按第</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20</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条〔争议解决〕约定处</w:t>
      </w:r>
      <w:r>
        <w:rPr>
          <w:rFonts w:ascii="宋体" w:hAnsi="宋体" w:eastAsia="宋体" w:cs="宋体"/>
          <w:spacing w:val="-11"/>
          <w:sz w:val="21"/>
          <w:szCs w:val="21"/>
        </w:rPr>
        <w:t>理。</w:t>
      </w:r>
    </w:p>
    <w:p w14:paraId="60C87123">
      <w:pPr>
        <w:spacing w:line="232" w:lineRule="auto"/>
        <w:ind w:left="31"/>
        <w:outlineLvl w:val="1"/>
        <w:rPr>
          <w:rFonts w:ascii="黑体" w:hAnsi="黑体" w:eastAsia="黑体" w:cs="黑体"/>
          <w:sz w:val="24"/>
          <w:szCs w:val="24"/>
        </w:rPr>
      </w:pPr>
      <w:bookmarkStart w:id="490" w:name="bookmark425"/>
      <w:bookmarkEnd w:id="490"/>
      <w:r>
        <w:rPr>
          <w:rFonts w:ascii="Times New Roman" w:hAnsi="Times New Roman" w:eastAsia="Times New Roman" w:cs="Times New Roman"/>
          <w:b/>
          <w:bCs/>
          <w:spacing w:val="1"/>
          <w:sz w:val="24"/>
          <w:szCs w:val="24"/>
        </w:rPr>
        <w:t xml:space="preserve">19.5  </w:t>
      </w:r>
      <w:r>
        <w:rPr>
          <w:rFonts w:ascii="黑体" w:hAnsi="黑体" w:eastAsia="黑体" w:cs="黑体"/>
          <w:b/>
          <w:bCs/>
          <w:spacing w:val="1"/>
          <w:sz w:val="24"/>
          <w:szCs w:val="24"/>
        </w:rPr>
        <w:t>提出索赔的期限</w:t>
      </w:r>
    </w:p>
    <w:p w14:paraId="34BF6851">
      <w:pPr>
        <w:spacing w:before="114" w:line="348" w:lineRule="auto"/>
        <w:ind w:left="25" w:right="45" w:firstLine="42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）承包人按第</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14.2</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款〔竣工结算审核〕约定接收竣工付款证书后，</w:t>
      </w:r>
      <w:r>
        <w:rPr>
          <w:rFonts w:ascii="宋体" w:hAnsi="宋体" w:eastAsia="宋体" w:cs="宋体"/>
          <w:spacing w:val="-3"/>
          <w:sz w:val="21"/>
          <w:szCs w:val="21"/>
        </w:rPr>
        <w:t>应被视为已无权</w:t>
      </w:r>
      <w:r>
        <w:rPr>
          <w:rFonts w:ascii="宋体" w:hAnsi="宋体" w:eastAsia="宋体" w:cs="宋体"/>
          <w:spacing w:val="-2"/>
          <w:sz w:val="21"/>
          <w:szCs w:val="21"/>
        </w:rPr>
        <w:t>再提出在工程接收证书颁发前所发生的任何索赔。</w:t>
      </w:r>
    </w:p>
    <w:p w14:paraId="46A40EFC">
      <w:pPr>
        <w:spacing w:before="19" w:line="335" w:lineRule="auto"/>
        <w:ind w:left="24" w:right="45" w:firstLine="426"/>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）承包人按第</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14.4</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款〔最终结清〕提交的最终结清申请单中，只限</w:t>
      </w:r>
      <w:r>
        <w:rPr>
          <w:rFonts w:ascii="宋体" w:hAnsi="宋体" w:eastAsia="宋体" w:cs="宋体"/>
          <w:spacing w:val="-3"/>
          <w:sz w:val="21"/>
          <w:szCs w:val="21"/>
        </w:rPr>
        <w:t>于提出工程接收</w:t>
      </w:r>
      <w:r>
        <w:rPr>
          <w:rFonts w:ascii="宋体" w:hAnsi="宋体" w:eastAsia="宋体" w:cs="宋体"/>
          <w:spacing w:val="-1"/>
          <w:sz w:val="21"/>
          <w:szCs w:val="21"/>
        </w:rPr>
        <w:t>证书颁发后发生的索赔。提出索赔的期限自接受最终结清证书时终止。</w:t>
      </w:r>
    </w:p>
    <w:p w14:paraId="3CA4989C">
      <w:pPr>
        <w:spacing w:before="73" w:line="237" w:lineRule="auto"/>
        <w:ind w:left="22"/>
        <w:outlineLvl w:val="0"/>
        <w:rPr>
          <w:rFonts w:ascii="黑体" w:hAnsi="黑体" w:eastAsia="黑体" w:cs="黑体"/>
          <w:sz w:val="28"/>
          <w:szCs w:val="28"/>
        </w:rPr>
      </w:pPr>
      <w:bookmarkStart w:id="491" w:name="bookmark427"/>
      <w:bookmarkEnd w:id="491"/>
      <w:bookmarkStart w:id="492" w:name="bookmark426"/>
      <w:bookmarkEnd w:id="492"/>
      <w:r>
        <w:rPr>
          <w:rFonts w:ascii="Times New Roman" w:hAnsi="Times New Roman" w:eastAsia="Times New Roman" w:cs="Times New Roman"/>
          <w:b/>
          <w:bCs/>
          <w:spacing w:val="4"/>
          <w:sz w:val="28"/>
          <w:szCs w:val="28"/>
        </w:rPr>
        <w:t xml:space="preserve">20.  </w:t>
      </w:r>
      <w:r>
        <w:rPr>
          <w:rFonts w:ascii="黑体" w:hAnsi="黑体" w:eastAsia="黑体" w:cs="黑体"/>
          <w:b/>
          <w:bCs/>
          <w:spacing w:val="4"/>
          <w:sz w:val="28"/>
          <w:szCs w:val="28"/>
        </w:rPr>
        <w:t>争议解决</w:t>
      </w:r>
    </w:p>
    <w:p w14:paraId="259F34EE">
      <w:pPr>
        <w:spacing w:before="72" w:line="233" w:lineRule="auto"/>
        <w:ind w:left="21"/>
        <w:outlineLvl w:val="1"/>
        <w:rPr>
          <w:rFonts w:ascii="黑体" w:hAnsi="黑体" w:eastAsia="黑体" w:cs="黑体"/>
          <w:sz w:val="24"/>
          <w:szCs w:val="24"/>
        </w:rPr>
      </w:pPr>
      <w:bookmarkStart w:id="493" w:name="bookmark702"/>
      <w:bookmarkEnd w:id="493"/>
      <w:r>
        <w:rPr>
          <w:rFonts w:ascii="Times New Roman" w:hAnsi="Times New Roman" w:eastAsia="Times New Roman" w:cs="Times New Roman"/>
          <w:b/>
          <w:bCs/>
          <w:spacing w:val="-1"/>
          <w:sz w:val="24"/>
          <w:szCs w:val="24"/>
        </w:rPr>
        <w:t>20.1</w:t>
      </w:r>
      <w:r>
        <w:rPr>
          <w:rFonts w:ascii="Times New Roman" w:hAnsi="Times New Roman" w:eastAsia="Times New Roman" w:cs="Times New Roman"/>
          <w:b/>
          <w:bCs/>
          <w:spacing w:val="10"/>
          <w:sz w:val="24"/>
          <w:szCs w:val="24"/>
        </w:rPr>
        <w:t xml:space="preserve"> </w:t>
      </w:r>
      <w:r>
        <w:rPr>
          <w:rFonts w:ascii="黑体" w:hAnsi="黑体" w:eastAsia="黑体" w:cs="黑体"/>
          <w:b/>
          <w:bCs/>
          <w:spacing w:val="-1"/>
          <w:sz w:val="24"/>
          <w:szCs w:val="24"/>
        </w:rPr>
        <w:t>和解</w:t>
      </w:r>
    </w:p>
    <w:p w14:paraId="34D5C7AE">
      <w:pPr>
        <w:spacing w:before="126" w:line="359" w:lineRule="auto"/>
        <w:ind w:left="26" w:right="41" w:firstLine="418"/>
        <w:rPr>
          <w:rFonts w:ascii="宋体" w:hAnsi="宋体" w:eastAsia="宋体" w:cs="宋体"/>
          <w:sz w:val="21"/>
          <w:szCs w:val="21"/>
        </w:rPr>
      </w:pPr>
      <w:r>
        <w:rPr>
          <w:rFonts w:ascii="宋体" w:hAnsi="宋体" w:eastAsia="宋体" w:cs="宋体"/>
          <w:spacing w:val="-2"/>
          <w:sz w:val="21"/>
          <w:szCs w:val="21"/>
        </w:rPr>
        <w:t>合同当事人可以就争议自行和解，自行和解达成协议的经双方签字并盖</w:t>
      </w:r>
      <w:r>
        <w:rPr>
          <w:rFonts w:ascii="宋体" w:hAnsi="宋体" w:eastAsia="宋体" w:cs="宋体"/>
          <w:spacing w:val="-3"/>
          <w:sz w:val="21"/>
          <w:szCs w:val="21"/>
        </w:rPr>
        <w:t>章后作为合同补充文件，双方均应遵照执行。</w:t>
      </w:r>
    </w:p>
    <w:p w14:paraId="43C289BC">
      <w:pPr>
        <w:spacing w:line="359" w:lineRule="auto"/>
        <w:rPr>
          <w:rFonts w:ascii="宋体" w:hAnsi="宋体" w:eastAsia="宋体" w:cs="宋体"/>
          <w:sz w:val="21"/>
          <w:szCs w:val="21"/>
        </w:rPr>
        <w:sectPr>
          <w:footerReference r:id="rId201" w:type="default"/>
          <w:pgSz w:w="11910" w:h="16845"/>
          <w:pgMar w:top="400" w:right="1737" w:bottom="1110" w:left="1786" w:header="0" w:footer="883" w:gutter="0"/>
          <w:cols w:space="720" w:num="1"/>
        </w:sectPr>
      </w:pPr>
    </w:p>
    <w:p w14:paraId="4C8E4503">
      <w:pPr>
        <w:pStyle w:val="2"/>
        <w:spacing w:line="266" w:lineRule="auto"/>
      </w:pPr>
    </w:p>
    <w:p w14:paraId="01D2E974">
      <w:pPr>
        <w:pStyle w:val="2"/>
        <w:spacing w:line="266" w:lineRule="auto"/>
      </w:pPr>
    </w:p>
    <w:p w14:paraId="192BCEB4">
      <w:pPr>
        <w:pStyle w:val="2"/>
        <w:spacing w:line="267" w:lineRule="auto"/>
      </w:pPr>
    </w:p>
    <w:p w14:paraId="3BBC40F6">
      <w:pPr>
        <w:pStyle w:val="2"/>
        <w:spacing w:line="267" w:lineRule="auto"/>
      </w:pPr>
    </w:p>
    <w:p w14:paraId="2307B0FC">
      <w:pPr>
        <w:spacing w:before="78" w:line="233" w:lineRule="auto"/>
        <w:ind w:left="21"/>
        <w:outlineLvl w:val="1"/>
        <w:rPr>
          <w:rFonts w:ascii="黑体" w:hAnsi="黑体" w:eastAsia="黑体" w:cs="黑体"/>
          <w:sz w:val="24"/>
          <w:szCs w:val="24"/>
        </w:rPr>
      </w:pPr>
      <w:bookmarkStart w:id="494" w:name="bookmark428"/>
      <w:bookmarkEnd w:id="494"/>
      <w:r>
        <w:rPr>
          <w:rFonts w:ascii="Times New Roman" w:hAnsi="Times New Roman" w:eastAsia="Times New Roman" w:cs="Times New Roman"/>
          <w:b/>
          <w:bCs/>
          <w:spacing w:val="-2"/>
          <w:sz w:val="24"/>
          <w:szCs w:val="24"/>
        </w:rPr>
        <w:t>20.2</w:t>
      </w:r>
      <w:r>
        <w:rPr>
          <w:rFonts w:ascii="Times New Roman" w:hAnsi="Times New Roman" w:eastAsia="Times New Roman" w:cs="Times New Roman"/>
          <w:b/>
          <w:bCs/>
          <w:spacing w:val="16"/>
          <w:sz w:val="24"/>
          <w:szCs w:val="24"/>
        </w:rPr>
        <w:t xml:space="preserve"> </w:t>
      </w:r>
      <w:r>
        <w:rPr>
          <w:rFonts w:ascii="黑体" w:hAnsi="黑体" w:eastAsia="黑体" w:cs="黑体"/>
          <w:b/>
          <w:bCs/>
          <w:spacing w:val="-2"/>
          <w:sz w:val="24"/>
          <w:szCs w:val="24"/>
        </w:rPr>
        <w:t>调解</w:t>
      </w:r>
    </w:p>
    <w:p w14:paraId="007CD8E7">
      <w:pPr>
        <w:spacing w:before="128" w:line="338" w:lineRule="auto"/>
        <w:ind w:left="23" w:right="22" w:firstLine="422"/>
        <w:rPr>
          <w:rFonts w:ascii="宋体" w:hAnsi="宋体" w:eastAsia="宋体" w:cs="宋体"/>
          <w:sz w:val="21"/>
          <w:szCs w:val="21"/>
        </w:rPr>
      </w:pPr>
      <w:r>
        <w:rPr>
          <w:rFonts w:ascii="宋体" w:hAnsi="宋体" w:eastAsia="宋体" w:cs="宋体"/>
          <w:spacing w:val="-2"/>
          <w:sz w:val="21"/>
          <w:szCs w:val="21"/>
        </w:rPr>
        <w:t>合同当事人可以就争议请求建设行政主管部门、行业协会</w:t>
      </w:r>
      <w:r>
        <w:rPr>
          <w:rFonts w:ascii="宋体" w:hAnsi="宋体" w:eastAsia="宋体" w:cs="宋体"/>
          <w:spacing w:val="-3"/>
          <w:sz w:val="21"/>
          <w:szCs w:val="21"/>
        </w:rPr>
        <w:t>或其他第三方进行调解，调解</w:t>
      </w:r>
      <w:r>
        <w:rPr>
          <w:rFonts w:ascii="宋体" w:hAnsi="宋体" w:eastAsia="宋体" w:cs="宋体"/>
          <w:spacing w:val="-1"/>
          <w:sz w:val="21"/>
          <w:szCs w:val="21"/>
        </w:rPr>
        <w:t>达成协议的，经双方签字并盖章后作为合同补充文件，双方均应遵照执行。</w:t>
      </w:r>
    </w:p>
    <w:p w14:paraId="216E75A8">
      <w:pPr>
        <w:spacing w:line="232" w:lineRule="auto"/>
        <w:ind w:left="21"/>
        <w:outlineLvl w:val="1"/>
        <w:rPr>
          <w:rFonts w:ascii="黑体" w:hAnsi="黑体" w:eastAsia="黑体" w:cs="黑体"/>
          <w:sz w:val="24"/>
          <w:szCs w:val="24"/>
        </w:rPr>
      </w:pPr>
      <w:bookmarkStart w:id="495" w:name="bookmark429"/>
      <w:bookmarkEnd w:id="495"/>
      <w:r>
        <w:rPr>
          <w:rFonts w:ascii="Times New Roman" w:hAnsi="Times New Roman" w:eastAsia="Times New Roman" w:cs="Times New Roman"/>
          <w:b/>
          <w:bCs/>
          <w:spacing w:val="1"/>
          <w:sz w:val="24"/>
          <w:szCs w:val="24"/>
        </w:rPr>
        <w:t>20.3</w:t>
      </w:r>
      <w:r>
        <w:rPr>
          <w:rFonts w:ascii="Times New Roman" w:hAnsi="Times New Roman" w:eastAsia="Times New Roman" w:cs="Times New Roman"/>
          <w:b/>
          <w:bCs/>
          <w:spacing w:val="22"/>
          <w:sz w:val="24"/>
          <w:szCs w:val="24"/>
        </w:rPr>
        <w:t xml:space="preserve"> </w:t>
      </w:r>
      <w:r>
        <w:rPr>
          <w:rFonts w:ascii="黑体" w:hAnsi="黑体" w:eastAsia="黑体" w:cs="黑体"/>
          <w:b/>
          <w:bCs/>
          <w:spacing w:val="1"/>
          <w:sz w:val="24"/>
          <w:szCs w:val="24"/>
        </w:rPr>
        <w:t>争议评审</w:t>
      </w:r>
    </w:p>
    <w:p w14:paraId="06974097">
      <w:pPr>
        <w:spacing w:before="129" w:line="345" w:lineRule="auto"/>
        <w:ind w:left="29" w:right="24" w:firstLine="416"/>
        <w:rPr>
          <w:rFonts w:ascii="宋体" w:hAnsi="宋体" w:eastAsia="宋体" w:cs="宋体"/>
          <w:sz w:val="21"/>
          <w:szCs w:val="21"/>
        </w:rPr>
      </w:pPr>
      <w:r>
        <w:rPr>
          <w:rFonts w:ascii="宋体" w:hAnsi="宋体" w:eastAsia="宋体" w:cs="宋体"/>
          <w:spacing w:val="-2"/>
          <w:sz w:val="21"/>
          <w:szCs w:val="21"/>
        </w:rPr>
        <w:t>合同当事人在专用合同条款中约定采取争议评审方式</w:t>
      </w:r>
      <w:r>
        <w:rPr>
          <w:rFonts w:ascii="宋体" w:hAnsi="宋体" w:eastAsia="宋体" w:cs="宋体"/>
          <w:spacing w:val="-3"/>
          <w:sz w:val="21"/>
          <w:szCs w:val="21"/>
        </w:rPr>
        <w:t>解决争议以及评审规则，并按下列</w:t>
      </w:r>
      <w:r>
        <w:rPr>
          <w:rFonts w:ascii="宋体" w:hAnsi="宋体" w:eastAsia="宋体" w:cs="宋体"/>
          <w:spacing w:val="-10"/>
          <w:sz w:val="21"/>
          <w:szCs w:val="21"/>
        </w:rPr>
        <w:t>约定执行：</w:t>
      </w:r>
    </w:p>
    <w:p w14:paraId="284C569A">
      <w:pPr>
        <w:spacing w:before="11" w:line="233" w:lineRule="auto"/>
        <w:ind w:left="440"/>
        <w:rPr>
          <w:rFonts w:ascii="宋体" w:hAnsi="宋体" w:eastAsia="宋体" w:cs="宋体"/>
          <w:sz w:val="21"/>
          <w:szCs w:val="21"/>
        </w:rPr>
      </w:pPr>
      <w:r>
        <w:rPr>
          <w:rFonts w:ascii="Times New Roman" w:hAnsi="Times New Roman" w:eastAsia="Times New Roman" w:cs="Times New Roman"/>
          <w:sz w:val="21"/>
          <w:szCs w:val="21"/>
        </w:rPr>
        <w:t>20.3.1</w:t>
      </w:r>
      <w:r>
        <w:rPr>
          <w:rFonts w:ascii="Times New Roman" w:hAnsi="Times New Roman" w:eastAsia="Times New Roman" w:cs="Times New Roman"/>
          <w:spacing w:val="52"/>
          <w:w w:val="101"/>
          <w:sz w:val="21"/>
          <w:szCs w:val="21"/>
        </w:rPr>
        <w:t xml:space="preserve"> </w:t>
      </w:r>
      <w:r>
        <w:rPr>
          <w:rFonts w:ascii="宋体" w:hAnsi="宋体" w:eastAsia="宋体" w:cs="宋体"/>
          <w:sz w:val="21"/>
          <w:szCs w:val="21"/>
        </w:rPr>
        <w:t>争议评审小组的确定</w:t>
      </w:r>
    </w:p>
    <w:p w14:paraId="0C14D871">
      <w:pPr>
        <w:spacing w:before="140" w:line="347" w:lineRule="auto"/>
        <w:ind w:left="29" w:right="8" w:firstLine="416"/>
        <w:rPr>
          <w:rFonts w:ascii="宋体" w:hAnsi="宋体" w:eastAsia="宋体" w:cs="宋体"/>
          <w:sz w:val="21"/>
          <w:szCs w:val="21"/>
        </w:rPr>
      </w:pPr>
      <w:r>
        <w:rPr>
          <w:rFonts w:ascii="宋体" w:hAnsi="宋体" w:eastAsia="宋体" w:cs="宋体"/>
          <w:spacing w:val="-2"/>
          <w:sz w:val="21"/>
          <w:szCs w:val="21"/>
        </w:rPr>
        <w:t>合同当事人可以共同选择一名或三名争议评审员，组成争议评审小组。</w:t>
      </w:r>
      <w:r>
        <w:rPr>
          <w:rFonts w:ascii="宋体" w:hAnsi="宋体" w:eastAsia="宋体" w:cs="宋体"/>
          <w:spacing w:val="-3"/>
          <w:sz w:val="21"/>
          <w:szCs w:val="21"/>
        </w:rPr>
        <w:t>除专用合同条款</w:t>
      </w:r>
      <w:r>
        <w:rPr>
          <w:rFonts w:ascii="宋体" w:hAnsi="宋体" w:eastAsia="宋体" w:cs="宋体"/>
          <w:spacing w:val="-4"/>
          <w:sz w:val="21"/>
          <w:szCs w:val="21"/>
        </w:rPr>
        <w:t>另有约定外，合同当事人应当自合同签订后</w:t>
      </w:r>
      <w:r>
        <w:rPr>
          <w:rFonts w:ascii="宋体" w:hAnsi="宋体" w:eastAsia="宋体" w:cs="宋体"/>
          <w:spacing w:val="-39"/>
          <w:sz w:val="21"/>
          <w:szCs w:val="21"/>
        </w:rPr>
        <w:t xml:space="preserve"> </w:t>
      </w:r>
      <w:r>
        <w:rPr>
          <w:rFonts w:ascii="Times New Roman" w:hAnsi="Times New Roman" w:eastAsia="Times New Roman" w:cs="Times New Roman"/>
          <w:spacing w:val="-4"/>
          <w:sz w:val="21"/>
          <w:szCs w:val="21"/>
        </w:rPr>
        <w:t>28</w:t>
      </w:r>
      <w:r>
        <w:rPr>
          <w:rFonts w:ascii="Times New Roman" w:hAnsi="Times New Roman" w:eastAsia="Times New Roman" w:cs="Times New Roman"/>
          <w:spacing w:val="20"/>
          <w:w w:val="101"/>
          <w:sz w:val="21"/>
          <w:szCs w:val="21"/>
        </w:rPr>
        <w:t xml:space="preserve"> </w:t>
      </w:r>
      <w:r>
        <w:rPr>
          <w:rFonts w:ascii="宋体" w:hAnsi="宋体" w:eastAsia="宋体" w:cs="宋体"/>
          <w:spacing w:val="-4"/>
          <w:sz w:val="21"/>
          <w:szCs w:val="21"/>
        </w:rPr>
        <w:t>天内，或者争议发生后</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天内，选定争议评</w:t>
      </w:r>
      <w:r>
        <w:rPr>
          <w:rFonts w:ascii="宋体" w:hAnsi="宋体" w:eastAsia="宋体" w:cs="宋体"/>
          <w:spacing w:val="-10"/>
          <w:sz w:val="21"/>
          <w:szCs w:val="21"/>
        </w:rPr>
        <w:t>审员。</w:t>
      </w:r>
    </w:p>
    <w:p w14:paraId="465D535D">
      <w:pPr>
        <w:spacing w:before="16" w:line="351" w:lineRule="auto"/>
        <w:ind w:left="25" w:right="17" w:firstLine="417"/>
        <w:jc w:val="both"/>
        <w:rPr>
          <w:rFonts w:ascii="宋体" w:hAnsi="宋体" w:eastAsia="宋体" w:cs="宋体"/>
          <w:sz w:val="21"/>
          <w:szCs w:val="21"/>
        </w:rPr>
      </w:pPr>
      <w:r>
        <w:rPr>
          <w:rFonts w:ascii="宋体" w:hAnsi="宋体" w:eastAsia="宋体" w:cs="宋体"/>
          <w:spacing w:val="-2"/>
          <w:sz w:val="21"/>
          <w:szCs w:val="21"/>
        </w:rPr>
        <w:t>选择一名争议评审员的，由合同当事人共同确定；选择三名争议评审员的</w:t>
      </w:r>
      <w:r>
        <w:rPr>
          <w:rFonts w:ascii="宋体" w:hAnsi="宋体" w:eastAsia="宋体" w:cs="宋体"/>
          <w:spacing w:val="-3"/>
          <w:sz w:val="21"/>
          <w:szCs w:val="21"/>
        </w:rPr>
        <w:t>，各自选定一</w:t>
      </w:r>
      <w:r>
        <w:rPr>
          <w:rFonts w:ascii="宋体" w:hAnsi="宋体" w:eastAsia="宋体" w:cs="宋体"/>
          <w:spacing w:val="-2"/>
          <w:sz w:val="21"/>
          <w:szCs w:val="21"/>
        </w:rPr>
        <w:t>名，第三名成员为首席争议评审员，由合同当事人共同确定或由合同当事</w:t>
      </w:r>
      <w:r>
        <w:rPr>
          <w:rFonts w:ascii="宋体" w:hAnsi="宋体" w:eastAsia="宋体" w:cs="宋体"/>
          <w:spacing w:val="-3"/>
          <w:sz w:val="21"/>
          <w:szCs w:val="21"/>
        </w:rPr>
        <w:t>人委托已选定的争</w:t>
      </w:r>
      <w:r>
        <w:rPr>
          <w:rFonts w:ascii="宋体" w:hAnsi="宋体" w:eastAsia="宋体" w:cs="宋体"/>
          <w:spacing w:val="-1"/>
          <w:sz w:val="21"/>
          <w:szCs w:val="21"/>
        </w:rPr>
        <w:t>议评审员共同确定，或由专用合同条款约定的评审机构指定第三名首席争议评审员。</w:t>
      </w:r>
    </w:p>
    <w:p w14:paraId="7211B70F">
      <w:pPr>
        <w:spacing w:before="3" w:line="220" w:lineRule="auto"/>
        <w:ind w:left="457"/>
        <w:rPr>
          <w:rFonts w:ascii="宋体" w:hAnsi="宋体" w:eastAsia="宋体" w:cs="宋体"/>
          <w:sz w:val="21"/>
          <w:szCs w:val="21"/>
        </w:rPr>
      </w:pPr>
      <w:r>
        <w:rPr>
          <w:rFonts w:ascii="宋体" w:hAnsi="宋体" w:eastAsia="宋体" w:cs="宋体"/>
          <w:spacing w:val="-1"/>
          <w:sz w:val="21"/>
          <w:szCs w:val="21"/>
        </w:rPr>
        <w:t>除专用合同条款另有约定外，评审员报酬由发包人和承包人各承担一半。</w:t>
      </w:r>
    </w:p>
    <w:p w14:paraId="7FA0FAE1">
      <w:pPr>
        <w:spacing w:before="141" w:line="233" w:lineRule="auto"/>
        <w:ind w:left="440"/>
        <w:rPr>
          <w:rFonts w:ascii="宋体" w:hAnsi="宋体" w:eastAsia="宋体" w:cs="宋体"/>
          <w:sz w:val="21"/>
          <w:szCs w:val="21"/>
        </w:rPr>
      </w:pPr>
      <w:r>
        <w:rPr>
          <w:rFonts w:ascii="Times New Roman" w:hAnsi="Times New Roman" w:eastAsia="Times New Roman" w:cs="Times New Roman"/>
          <w:sz w:val="21"/>
          <w:szCs w:val="21"/>
        </w:rPr>
        <w:t>20.3.2</w:t>
      </w:r>
      <w:r>
        <w:rPr>
          <w:rFonts w:ascii="Times New Roman" w:hAnsi="Times New Roman" w:eastAsia="Times New Roman" w:cs="Times New Roman"/>
          <w:spacing w:val="52"/>
          <w:w w:val="101"/>
          <w:sz w:val="21"/>
          <w:szCs w:val="21"/>
        </w:rPr>
        <w:t xml:space="preserve"> </w:t>
      </w:r>
      <w:r>
        <w:rPr>
          <w:rFonts w:ascii="宋体" w:hAnsi="宋体" w:eastAsia="宋体" w:cs="宋体"/>
          <w:sz w:val="21"/>
          <w:szCs w:val="21"/>
        </w:rPr>
        <w:t>争议评审小组的决定</w:t>
      </w:r>
    </w:p>
    <w:p w14:paraId="5A9B7A8C">
      <w:pPr>
        <w:spacing w:before="139" w:line="351" w:lineRule="auto"/>
        <w:ind w:left="25" w:firstLine="419"/>
        <w:rPr>
          <w:rFonts w:ascii="宋体" w:hAnsi="宋体" w:eastAsia="宋体" w:cs="宋体"/>
          <w:sz w:val="21"/>
          <w:szCs w:val="21"/>
        </w:rPr>
      </w:pPr>
      <w:r>
        <w:rPr>
          <w:rFonts w:ascii="宋体" w:hAnsi="宋体" w:eastAsia="宋体" w:cs="宋体"/>
          <w:spacing w:val="-2"/>
          <w:sz w:val="21"/>
          <w:szCs w:val="21"/>
        </w:rPr>
        <w:t>合同当事人可在任何时间将与合同有关的任何争议共同提请争议评审小</w:t>
      </w:r>
      <w:r>
        <w:rPr>
          <w:rFonts w:ascii="宋体" w:hAnsi="宋体" w:eastAsia="宋体" w:cs="宋体"/>
          <w:spacing w:val="-3"/>
          <w:sz w:val="21"/>
          <w:szCs w:val="21"/>
        </w:rPr>
        <w:t>组进行评审。争</w:t>
      </w:r>
      <w:r>
        <w:rPr>
          <w:rFonts w:ascii="宋体" w:hAnsi="宋体" w:eastAsia="宋体" w:cs="宋体"/>
          <w:spacing w:val="-5"/>
          <w:sz w:val="21"/>
          <w:szCs w:val="21"/>
        </w:rPr>
        <w:t>议评审小组应秉持客观、公正原则，</w:t>
      </w:r>
      <w:r>
        <w:rPr>
          <w:rFonts w:ascii="宋体" w:hAnsi="宋体" w:eastAsia="宋体" w:cs="宋体"/>
          <w:spacing w:val="44"/>
          <w:sz w:val="21"/>
          <w:szCs w:val="21"/>
        </w:rPr>
        <w:t xml:space="preserve"> </w:t>
      </w:r>
      <w:r>
        <w:rPr>
          <w:rFonts w:ascii="宋体" w:hAnsi="宋体" w:eastAsia="宋体" w:cs="宋体"/>
          <w:spacing w:val="-5"/>
          <w:sz w:val="21"/>
          <w:szCs w:val="21"/>
        </w:rPr>
        <w:t>充分听取合同当事人</w:t>
      </w:r>
      <w:r>
        <w:rPr>
          <w:rFonts w:ascii="宋体" w:hAnsi="宋体" w:eastAsia="宋体" w:cs="宋体"/>
          <w:spacing w:val="-6"/>
          <w:sz w:val="21"/>
          <w:szCs w:val="21"/>
        </w:rPr>
        <w:t>的意见，依据相关法律、规范、标</w:t>
      </w:r>
      <w:r>
        <w:rPr>
          <w:rFonts w:ascii="宋体" w:hAnsi="宋体" w:eastAsia="宋体" w:cs="宋体"/>
          <w:spacing w:val="-1"/>
          <w:sz w:val="21"/>
          <w:szCs w:val="21"/>
        </w:rPr>
        <w:t>准、案例经验及商业惯例等，自收到争议评审申请报告后</w:t>
      </w:r>
      <w:r>
        <w:rPr>
          <w:rFonts w:ascii="宋体" w:hAnsi="宋体" w:eastAsia="宋体" w:cs="宋体"/>
          <w:spacing w:val="-16"/>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天内作出书面决定，并说明理由。合同当事人可以在专用合同条款中对本项事项另行</w:t>
      </w:r>
      <w:r>
        <w:rPr>
          <w:rFonts w:ascii="宋体" w:hAnsi="宋体" w:eastAsia="宋体" w:cs="宋体"/>
          <w:spacing w:val="-2"/>
          <w:sz w:val="21"/>
          <w:szCs w:val="21"/>
        </w:rPr>
        <w:t>约定。</w:t>
      </w:r>
    </w:p>
    <w:p w14:paraId="3DFC832C">
      <w:pPr>
        <w:spacing w:before="11" w:line="233" w:lineRule="auto"/>
        <w:ind w:left="440"/>
        <w:rPr>
          <w:rFonts w:ascii="宋体" w:hAnsi="宋体" w:eastAsia="宋体" w:cs="宋体"/>
          <w:sz w:val="21"/>
          <w:szCs w:val="21"/>
        </w:rPr>
      </w:pPr>
      <w:r>
        <w:rPr>
          <w:rFonts w:ascii="Times New Roman" w:hAnsi="Times New Roman" w:eastAsia="Times New Roman" w:cs="Times New Roman"/>
          <w:sz w:val="21"/>
          <w:szCs w:val="21"/>
        </w:rPr>
        <w:t>20.3.3</w:t>
      </w:r>
      <w:r>
        <w:rPr>
          <w:rFonts w:ascii="Times New Roman" w:hAnsi="Times New Roman" w:eastAsia="Times New Roman" w:cs="Times New Roman"/>
          <w:spacing w:val="53"/>
          <w:sz w:val="21"/>
          <w:szCs w:val="21"/>
        </w:rPr>
        <w:t xml:space="preserve"> </w:t>
      </w:r>
      <w:r>
        <w:rPr>
          <w:rFonts w:ascii="宋体" w:hAnsi="宋体" w:eastAsia="宋体" w:cs="宋体"/>
          <w:sz w:val="21"/>
          <w:szCs w:val="21"/>
        </w:rPr>
        <w:t>争议评审小组决定的效力</w:t>
      </w:r>
    </w:p>
    <w:p w14:paraId="09681209">
      <w:pPr>
        <w:spacing w:before="125" w:line="356" w:lineRule="auto"/>
        <w:ind w:left="30" w:right="17" w:firstLine="418"/>
        <w:rPr>
          <w:rFonts w:ascii="宋体" w:hAnsi="宋体" w:eastAsia="宋体" w:cs="宋体"/>
          <w:sz w:val="21"/>
          <w:szCs w:val="21"/>
        </w:rPr>
      </w:pPr>
      <w:r>
        <w:rPr>
          <w:rFonts w:ascii="宋体" w:hAnsi="宋体" w:eastAsia="宋体" w:cs="宋体"/>
          <w:spacing w:val="-2"/>
          <w:sz w:val="21"/>
          <w:szCs w:val="21"/>
        </w:rPr>
        <w:t>争议评审小组作出的书面决定经合同当事人签字确认后，对双</w:t>
      </w:r>
      <w:r>
        <w:rPr>
          <w:rFonts w:ascii="宋体" w:hAnsi="宋体" w:eastAsia="宋体" w:cs="宋体"/>
          <w:spacing w:val="-3"/>
          <w:sz w:val="21"/>
          <w:szCs w:val="21"/>
        </w:rPr>
        <w:t>方具有约束力，双方应遵</w:t>
      </w:r>
      <w:r>
        <w:rPr>
          <w:rFonts w:ascii="宋体" w:hAnsi="宋体" w:eastAsia="宋体" w:cs="宋体"/>
          <w:spacing w:val="-9"/>
          <w:sz w:val="21"/>
          <w:szCs w:val="21"/>
        </w:rPr>
        <w:t>照执行。</w:t>
      </w:r>
    </w:p>
    <w:p w14:paraId="564E23C9">
      <w:pPr>
        <w:spacing w:before="1" w:line="338" w:lineRule="auto"/>
        <w:ind w:left="25" w:right="33" w:firstLine="417"/>
        <w:rPr>
          <w:rFonts w:ascii="宋体" w:hAnsi="宋体" w:eastAsia="宋体" w:cs="宋体"/>
          <w:sz w:val="21"/>
          <w:szCs w:val="21"/>
        </w:rPr>
      </w:pPr>
      <w:r>
        <w:rPr>
          <w:rFonts w:ascii="宋体" w:hAnsi="宋体" w:eastAsia="宋体" w:cs="宋体"/>
          <w:spacing w:val="-3"/>
          <w:sz w:val="21"/>
          <w:szCs w:val="21"/>
        </w:rPr>
        <w:t>任何一方当事人不接受争议评审小组决定或不履行争议评审小组决定的，双方可选择采</w:t>
      </w:r>
      <w:r>
        <w:rPr>
          <w:rFonts w:ascii="宋体" w:hAnsi="宋体" w:eastAsia="宋体" w:cs="宋体"/>
          <w:spacing w:val="-4"/>
          <w:sz w:val="21"/>
          <w:szCs w:val="21"/>
        </w:rPr>
        <w:t>用其他争议解决方式。</w:t>
      </w:r>
    </w:p>
    <w:p w14:paraId="36C21F95">
      <w:pPr>
        <w:spacing w:before="1" w:line="231" w:lineRule="auto"/>
        <w:ind w:left="21"/>
        <w:outlineLvl w:val="1"/>
        <w:rPr>
          <w:rFonts w:ascii="黑体" w:hAnsi="黑体" w:eastAsia="黑体" w:cs="黑体"/>
          <w:sz w:val="24"/>
          <w:szCs w:val="24"/>
        </w:rPr>
      </w:pPr>
      <w:bookmarkStart w:id="496" w:name="bookmark430"/>
      <w:bookmarkEnd w:id="496"/>
      <w:r>
        <w:rPr>
          <w:rFonts w:ascii="Times New Roman" w:hAnsi="Times New Roman" w:eastAsia="Times New Roman" w:cs="Times New Roman"/>
          <w:b/>
          <w:bCs/>
          <w:spacing w:val="2"/>
          <w:sz w:val="24"/>
          <w:szCs w:val="24"/>
        </w:rPr>
        <w:t xml:space="preserve">20.4 </w:t>
      </w:r>
      <w:r>
        <w:rPr>
          <w:rFonts w:ascii="黑体" w:hAnsi="黑体" w:eastAsia="黑体" w:cs="黑体"/>
          <w:b/>
          <w:bCs/>
          <w:spacing w:val="2"/>
          <w:sz w:val="24"/>
          <w:szCs w:val="24"/>
        </w:rPr>
        <w:t>仲裁或诉讼</w:t>
      </w:r>
    </w:p>
    <w:p w14:paraId="263A4846">
      <w:pPr>
        <w:spacing w:before="131" w:line="345" w:lineRule="auto"/>
        <w:ind w:left="28" w:right="16" w:firstLine="432"/>
        <w:rPr>
          <w:rFonts w:ascii="宋体" w:hAnsi="宋体" w:eastAsia="宋体" w:cs="宋体"/>
          <w:sz w:val="21"/>
          <w:szCs w:val="21"/>
        </w:rPr>
      </w:pPr>
      <w:r>
        <w:rPr>
          <w:rFonts w:ascii="宋体" w:hAnsi="宋体" w:eastAsia="宋体" w:cs="宋体"/>
          <w:spacing w:val="-3"/>
          <w:sz w:val="21"/>
          <w:szCs w:val="21"/>
        </w:rPr>
        <w:t>因合同及合同有关事项产生的争议，合同当事人可以在专用合同条款中约定以下一种方</w:t>
      </w:r>
      <w:r>
        <w:rPr>
          <w:rFonts w:ascii="宋体" w:hAnsi="宋体" w:eastAsia="宋体" w:cs="宋体"/>
          <w:spacing w:val="-9"/>
          <w:sz w:val="21"/>
          <w:szCs w:val="21"/>
        </w:rPr>
        <w:t>式解决争议：</w:t>
      </w:r>
    </w:p>
    <w:p w14:paraId="3321C615">
      <w:pPr>
        <w:spacing w:before="10" w:line="233" w:lineRule="auto"/>
        <w:ind w:left="450"/>
        <w:rPr>
          <w:rFonts w:ascii="宋体" w:hAnsi="宋体" w:eastAsia="宋体" w:cs="宋体"/>
          <w:sz w:val="21"/>
          <w:szCs w:val="21"/>
        </w:rPr>
      </w:pP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）向约定的仲裁委员会申请仲裁；</w:t>
      </w:r>
    </w:p>
    <w:p w14:paraId="10515F53">
      <w:pPr>
        <w:spacing w:before="140" w:line="233" w:lineRule="auto"/>
        <w:ind w:left="45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2</w:t>
      </w:r>
      <w:r>
        <w:rPr>
          <w:rFonts w:ascii="宋体" w:hAnsi="宋体" w:eastAsia="宋体" w:cs="宋体"/>
          <w:spacing w:val="-3"/>
          <w:sz w:val="21"/>
          <w:szCs w:val="21"/>
        </w:rPr>
        <w:t>）向有管辖权的人民法院起诉。</w:t>
      </w:r>
    </w:p>
    <w:p w14:paraId="11D42D3E">
      <w:pPr>
        <w:spacing w:before="100" w:line="232" w:lineRule="auto"/>
        <w:ind w:left="21"/>
        <w:outlineLvl w:val="1"/>
        <w:rPr>
          <w:rFonts w:ascii="黑体" w:hAnsi="黑体" w:eastAsia="黑体" w:cs="黑体"/>
          <w:sz w:val="24"/>
          <w:szCs w:val="24"/>
        </w:rPr>
      </w:pPr>
      <w:bookmarkStart w:id="497" w:name="bookmark431"/>
      <w:bookmarkEnd w:id="497"/>
      <w:r>
        <w:rPr>
          <w:rFonts w:ascii="Times New Roman" w:hAnsi="Times New Roman" w:eastAsia="Times New Roman" w:cs="Times New Roman"/>
          <w:b/>
          <w:bCs/>
          <w:spacing w:val="1"/>
          <w:sz w:val="24"/>
          <w:szCs w:val="24"/>
        </w:rPr>
        <w:t>20.5</w:t>
      </w:r>
      <w:r>
        <w:rPr>
          <w:rFonts w:ascii="Times New Roman" w:hAnsi="Times New Roman" w:eastAsia="Times New Roman" w:cs="Times New Roman"/>
          <w:b/>
          <w:bCs/>
          <w:spacing w:val="24"/>
          <w:sz w:val="24"/>
          <w:szCs w:val="24"/>
        </w:rPr>
        <w:t xml:space="preserve"> </w:t>
      </w:r>
      <w:r>
        <w:rPr>
          <w:rFonts w:ascii="黑体" w:hAnsi="黑体" w:eastAsia="黑体" w:cs="黑体"/>
          <w:b/>
          <w:bCs/>
          <w:spacing w:val="1"/>
          <w:sz w:val="24"/>
          <w:szCs w:val="24"/>
        </w:rPr>
        <w:t>争议解决条款效力</w:t>
      </w:r>
    </w:p>
    <w:p w14:paraId="6C649A2C">
      <w:pPr>
        <w:spacing w:before="130" w:line="358" w:lineRule="auto"/>
        <w:ind w:left="34" w:right="8" w:firstLine="410"/>
        <w:rPr>
          <w:rFonts w:ascii="宋体" w:hAnsi="宋体" w:eastAsia="宋体" w:cs="宋体"/>
          <w:sz w:val="21"/>
          <w:szCs w:val="21"/>
        </w:rPr>
      </w:pPr>
      <w:r>
        <w:rPr>
          <w:rFonts w:ascii="宋体" w:hAnsi="宋体" w:eastAsia="宋体" w:cs="宋体"/>
          <w:spacing w:val="-2"/>
          <w:sz w:val="21"/>
          <w:szCs w:val="21"/>
        </w:rPr>
        <w:t>合同有关争议解决的条款独立存在，合同的变更、解除、终止、无效或者被撤销均不影</w:t>
      </w:r>
      <w:r>
        <w:rPr>
          <w:rFonts w:ascii="宋体" w:hAnsi="宋体" w:eastAsia="宋体" w:cs="宋体"/>
          <w:spacing w:val="-8"/>
          <w:sz w:val="21"/>
          <w:szCs w:val="21"/>
        </w:rPr>
        <w:t>响其效力。</w:t>
      </w:r>
    </w:p>
    <w:p w14:paraId="68F9027C">
      <w:pPr>
        <w:spacing w:line="358" w:lineRule="auto"/>
        <w:rPr>
          <w:rFonts w:ascii="宋体" w:hAnsi="宋体" w:eastAsia="宋体" w:cs="宋体"/>
          <w:sz w:val="21"/>
          <w:szCs w:val="21"/>
        </w:rPr>
        <w:sectPr>
          <w:footerReference r:id="rId202" w:type="default"/>
          <w:pgSz w:w="11910" w:h="16845"/>
          <w:pgMar w:top="400" w:right="1762" w:bottom="1110" w:left="1786" w:header="0" w:footer="883" w:gutter="0"/>
          <w:cols w:space="720" w:num="1"/>
        </w:sectPr>
      </w:pPr>
    </w:p>
    <w:p w14:paraId="031AE48A">
      <w:pPr>
        <w:pStyle w:val="2"/>
        <w:spacing w:line="245" w:lineRule="auto"/>
      </w:pPr>
    </w:p>
    <w:p w14:paraId="35613316">
      <w:pPr>
        <w:pStyle w:val="2"/>
        <w:spacing w:line="245" w:lineRule="auto"/>
      </w:pPr>
    </w:p>
    <w:p w14:paraId="648DAAFB">
      <w:pPr>
        <w:pStyle w:val="2"/>
        <w:spacing w:line="245" w:lineRule="auto"/>
      </w:pPr>
    </w:p>
    <w:p w14:paraId="2C4D8780">
      <w:pPr>
        <w:pStyle w:val="2"/>
        <w:spacing w:line="245" w:lineRule="auto"/>
      </w:pPr>
    </w:p>
    <w:p w14:paraId="1EA865C3">
      <w:pPr>
        <w:pStyle w:val="2"/>
        <w:spacing w:line="245" w:lineRule="auto"/>
      </w:pPr>
    </w:p>
    <w:p w14:paraId="57CC11FD">
      <w:pPr>
        <w:pStyle w:val="2"/>
        <w:spacing w:line="245" w:lineRule="auto"/>
      </w:pPr>
    </w:p>
    <w:p w14:paraId="3D0D463B">
      <w:pPr>
        <w:pStyle w:val="2"/>
        <w:spacing w:line="245" w:lineRule="auto"/>
      </w:pPr>
    </w:p>
    <w:p w14:paraId="66F7D4A7">
      <w:pPr>
        <w:pStyle w:val="2"/>
        <w:spacing w:line="245" w:lineRule="auto"/>
      </w:pPr>
    </w:p>
    <w:p w14:paraId="1B601F89">
      <w:pPr>
        <w:pStyle w:val="2"/>
        <w:spacing w:line="245" w:lineRule="auto"/>
      </w:pPr>
    </w:p>
    <w:p w14:paraId="2AA687EF">
      <w:pPr>
        <w:pStyle w:val="2"/>
        <w:spacing w:line="245" w:lineRule="auto"/>
      </w:pPr>
    </w:p>
    <w:p w14:paraId="563A148E">
      <w:pPr>
        <w:pStyle w:val="2"/>
        <w:spacing w:line="245" w:lineRule="auto"/>
      </w:pPr>
    </w:p>
    <w:p w14:paraId="6A4DFCD3">
      <w:pPr>
        <w:pStyle w:val="2"/>
        <w:spacing w:line="245" w:lineRule="auto"/>
      </w:pPr>
    </w:p>
    <w:p w14:paraId="15614925">
      <w:pPr>
        <w:pStyle w:val="2"/>
        <w:spacing w:line="245" w:lineRule="auto"/>
      </w:pPr>
    </w:p>
    <w:p w14:paraId="0A5A4C54">
      <w:pPr>
        <w:pStyle w:val="2"/>
        <w:spacing w:line="245" w:lineRule="auto"/>
      </w:pPr>
    </w:p>
    <w:p w14:paraId="3E394B2B">
      <w:pPr>
        <w:pStyle w:val="2"/>
        <w:spacing w:line="245" w:lineRule="auto"/>
      </w:pPr>
    </w:p>
    <w:p w14:paraId="095A39D3">
      <w:pPr>
        <w:pStyle w:val="2"/>
        <w:spacing w:line="245" w:lineRule="auto"/>
      </w:pPr>
    </w:p>
    <w:p w14:paraId="4A1930AF">
      <w:pPr>
        <w:pStyle w:val="2"/>
        <w:spacing w:line="245" w:lineRule="auto"/>
      </w:pPr>
    </w:p>
    <w:p w14:paraId="6729EA40">
      <w:pPr>
        <w:pStyle w:val="2"/>
        <w:spacing w:line="245" w:lineRule="auto"/>
      </w:pPr>
    </w:p>
    <w:p w14:paraId="1F7CAFC6">
      <w:pPr>
        <w:pStyle w:val="2"/>
        <w:spacing w:line="245" w:lineRule="auto"/>
      </w:pPr>
    </w:p>
    <w:p w14:paraId="14527972">
      <w:pPr>
        <w:pStyle w:val="2"/>
        <w:spacing w:line="245" w:lineRule="auto"/>
      </w:pPr>
    </w:p>
    <w:p w14:paraId="43F08819">
      <w:pPr>
        <w:pStyle w:val="2"/>
        <w:spacing w:line="245" w:lineRule="auto"/>
      </w:pPr>
    </w:p>
    <w:p w14:paraId="71B2703A">
      <w:pPr>
        <w:pStyle w:val="2"/>
        <w:spacing w:line="245" w:lineRule="auto"/>
      </w:pPr>
    </w:p>
    <w:p w14:paraId="0EAEFB5C">
      <w:pPr>
        <w:pStyle w:val="2"/>
        <w:spacing w:line="245" w:lineRule="auto"/>
      </w:pPr>
    </w:p>
    <w:p w14:paraId="2441A433">
      <w:pPr>
        <w:pStyle w:val="2"/>
        <w:spacing w:line="245" w:lineRule="auto"/>
      </w:pPr>
    </w:p>
    <w:p w14:paraId="4A412131">
      <w:pPr>
        <w:pStyle w:val="2"/>
        <w:spacing w:line="245" w:lineRule="auto"/>
      </w:pPr>
    </w:p>
    <w:p w14:paraId="4539B97E">
      <w:pPr>
        <w:pStyle w:val="2"/>
        <w:spacing w:line="245" w:lineRule="auto"/>
      </w:pPr>
    </w:p>
    <w:p w14:paraId="187501EE">
      <w:pPr>
        <w:pStyle w:val="2"/>
        <w:spacing w:line="245" w:lineRule="auto"/>
      </w:pPr>
    </w:p>
    <w:p w14:paraId="3CA61278">
      <w:pPr>
        <w:pStyle w:val="2"/>
        <w:spacing w:line="245" w:lineRule="auto"/>
      </w:pPr>
    </w:p>
    <w:p w14:paraId="6948AD7E">
      <w:pPr>
        <w:pStyle w:val="2"/>
        <w:spacing w:line="245" w:lineRule="auto"/>
      </w:pPr>
    </w:p>
    <w:p w14:paraId="6D436DB5">
      <w:pPr>
        <w:pStyle w:val="2"/>
        <w:spacing w:line="245" w:lineRule="auto"/>
      </w:pPr>
    </w:p>
    <w:p w14:paraId="4176D2BF">
      <w:pPr>
        <w:pStyle w:val="2"/>
        <w:spacing w:line="246" w:lineRule="auto"/>
      </w:pPr>
    </w:p>
    <w:p w14:paraId="6360E8C0">
      <w:pPr>
        <w:pStyle w:val="2"/>
        <w:spacing w:line="246" w:lineRule="auto"/>
      </w:pPr>
    </w:p>
    <w:p w14:paraId="1EC7B436">
      <w:pPr>
        <w:pStyle w:val="2"/>
        <w:spacing w:line="246" w:lineRule="auto"/>
      </w:pPr>
    </w:p>
    <w:p w14:paraId="2A3D0A56">
      <w:pPr>
        <w:pStyle w:val="2"/>
        <w:spacing w:line="246" w:lineRule="auto"/>
      </w:pPr>
    </w:p>
    <w:p w14:paraId="1F4A963F">
      <w:pPr>
        <w:pStyle w:val="2"/>
        <w:spacing w:line="246" w:lineRule="auto"/>
      </w:pPr>
    </w:p>
    <w:p w14:paraId="5BE09060">
      <w:pPr>
        <w:pStyle w:val="2"/>
        <w:spacing w:line="246" w:lineRule="auto"/>
      </w:pPr>
    </w:p>
    <w:p w14:paraId="2F3AD225">
      <w:pPr>
        <w:pStyle w:val="2"/>
        <w:spacing w:line="246" w:lineRule="auto"/>
      </w:pPr>
    </w:p>
    <w:p w14:paraId="62D24F83">
      <w:pPr>
        <w:spacing w:before="91" w:line="222" w:lineRule="auto"/>
        <w:ind w:left="2685"/>
        <w:outlineLvl w:val="0"/>
        <w:rPr>
          <w:rFonts w:ascii="黑体" w:hAnsi="黑体" w:eastAsia="黑体" w:cs="黑体"/>
          <w:sz w:val="28"/>
          <w:szCs w:val="28"/>
        </w:rPr>
      </w:pPr>
      <w:bookmarkStart w:id="498" w:name="bookmark432"/>
      <w:bookmarkEnd w:id="498"/>
      <w:r>
        <w:rPr>
          <w:rFonts w:ascii="黑体" w:hAnsi="黑体" w:eastAsia="黑体" w:cs="黑体"/>
          <w:spacing w:val="8"/>
          <w:sz w:val="28"/>
          <w:szCs w:val="28"/>
        </w:rPr>
        <w:t>第三部分</w:t>
      </w:r>
      <w:r>
        <w:rPr>
          <w:rFonts w:ascii="黑体" w:hAnsi="黑体" w:eastAsia="黑体" w:cs="黑体"/>
          <w:spacing w:val="-33"/>
          <w:sz w:val="28"/>
          <w:szCs w:val="28"/>
        </w:rPr>
        <w:t xml:space="preserve"> </w:t>
      </w:r>
      <w:r>
        <w:rPr>
          <w:rFonts w:ascii="黑体" w:hAnsi="黑体" w:eastAsia="黑体" w:cs="黑体"/>
          <w:spacing w:val="8"/>
          <w:sz w:val="28"/>
          <w:szCs w:val="28"/>
        </w:rPr>
        <w:t>专用合同条款</w:t>
      </w:r>
    </w:p>
    <w:p w14:paraId="45221711">
      <w:pPr>
        <w:spacing w:line="222" w:lineRule="auto"/>
        <w:rPr>
          <w:rFonts w:ascii="黑体" w:hAnsi="黑体" w:eastAsia="黑体" w:cs="黑体"/>
          <w:sz w:val="28"/>
          <w:szCs w:val="28"/>
        </w:rPr>
        <w:sectPr>
          <w:footerReference r:id="rId203" w:type="default"/>
          <w:pgSz w:w="11910" w:h="16845"/>
          <w:pgMar w:top="400" w:right="1786" w:bottom="1110" w:left="1786" w:header="0" w:footer="883" w:gutter="0"/>
          <w:cols w:space="720" w:num="1"/>
        </w:sectPr>
      </w:pPr>
    </w:p>
    <w:p w14:paraId="703DB90F">
      <w:pPr>
        <w:pStyle w:val="2"/>
        <w:spacing w:line="247" w:lineRule="auto"/>
      </w:pPr>
    </w:p>
    <w:p w14:paraId="087B7726">
      <w:pPr>
        <w:pStyle w:val="2"/>
        <w:spacing w:line="247" w:lineRule="auto"/>
      </w:pPr>
    </w:p>
    <w:p w14:paraId="74D1D544">
      <w:pPr>
        <w:pStyle w:val="2"/>
        <w:spacing w:line="247" w:lineRule="auto"/>
      </w:pPr>
    </w:p>
    <w:p w14:paraId="36ECB234">
      <w:pPr>
        <w:pStyle w:val="2"/>
        <w:spacing w:line="247" w:lineRule="auto"/>
      </w:pPr>
    </w:p>
    <w:p w14:paraId="0E2F159C">
      <w:pPr>
        <w:pStyle w:val="2"/>
        <w:spacing w:line="247" w:lineRule="auto"/>
      </w:pPr>
    </w:p>
    <w:p w14:paraId="18D91BBA">
      <w:pPr>
        <w:pStyle w:val="2"/>
        <w:spacing w:line="247" w:lineRule="auto"/>
      </w:pPr>
    </w:p>
    <w:p w14:paraId="6576C9EE">
      <w:pPr>
        <w:pStyle w:val="2"/>
        <w:spacing w:line="247" w:lineRule="auto"/>
      </w:pPr>
    </w:p>
    <w:p w14:paraId="5F92B9D8">
      <w:pPr>
        <w:pStyle w:val="2"/>
        <w:spacing w:line="247" w:lineRule="auto"/>
      </w:pPr>
    </w:p>
    <w:p w14:paraId="67C8B545">
      <w:pPr>
        <w:pStyle w:val="2"/>
        <w:spacing w:line="247" w:lineRule="auto"/>
      </w:pPr>
    </w:p>
    <w:p w14:paraId="4AB5522B">
      <w:pPr>
        <w:pStyle w:val="2"/>
        <w:spacing w:line="248" w:lineRule="auto"/>
      </w:pPr>
    </w:p>
    <w:p w14:paraId="2CE3F466">
      <w:pPr>
        <w:pStyle w:val="2"/>
        <w:spacing w:line="248" w:lineRule="auto"/>
      </w:pPr>
    </w:p>
    <w:p w14:paraId="353FDF02">
      <w:pPr>
        <w:pStyle w:val="2"/>
        <w:spacing w:line="248" w:lineRule="auto"/>
      </w:pPr>
    </w:p>
    <w:p w14:paraId="677FED03">
      <w:pPr>
        <w:pStyle w:val="2"/>
        <w:spacing w:line="248" w:lineRule="auto"/>
      </w:pPr>
    </w:p>
    <w:p w14:paraId="6290BE20">
      <w:pPr>
        <w:pStyle w:val="2"/>
        <w:spacing w:line="248" w:lineRule="auto"/>
      </w:pPr>
    </w:p>
    <w:p w14:paraId="5E6F4DDF">
      <w:pPr>
        <w:pStyle w:val="2"/>
        <w:spacing w:line="248" w:lineRule="auto"/>
      </w:pPr>
    </w:p>
    <w:p w14:paraId="0143F19D">
      <w:pPr>
        <w:pStyle w:val="2"/>
        <w:spacing w:line="248" w:lineRule="auto"/>
      </w:pPr>
    </w:p>
    <w:p w14:paraId="7C607BA3">
      <w:pPr>
        <w:pStyle w:val="2"/>
        <w:spacing w:line="248" w:lineRule="auto"/>
      </w:pPr>
    </w:p>
    <w:p w14:paraId="797143A0">
      <w:pPr>
        <w:pStyle w:val="2"/>
        <w:spacing w:line="248" w:lineRule="auto"/>
      </w:pPr>
    </w:p>
    <w:p w14:paraId="68435429">
      <w:pPr>
        <w:pStyle w:val="2"/>
        <w:spacing w:line="248" w:lineRule="auto"/>
      </w:pPr>
    </w:p>
    <w:p w14:paraId="4C84F2B3">
      <w:pPr>
        <w:pStyle w:val="2"/>
        <w:spacing w:line="248" w:lineRule="auto"/>
      </w:pPr>
    </w:p>
    <w:p w14:paraId="2B5661E3">
      <w:pPr>
        <w:pStyle w:val="2"/>
        <w:spacing w:line="248" w:lineRule="auto"/>
      </w:pPr>
    </w:p>
    <w:p w14:paraId="6C433D88">
      <w:pPr>
        <w:pStyle w:val="2"/>
        <w:spacing w:line="248" w:lineRule="auto"/>
      </w:pPr>
    </w:p>
    <w:p w14:paraId="17B25D38">
      <w:pPr>
        <w:pStyle w:val="2"/>
        <w:spacing w:line="248" w:lineRule="auto"/>
      </w:pPr>
    </w:p>
    <w:p w14:paraId="3C68EFB0">
      <w:pPr>
        <w:pStyle w:val="2"/>
        <w:spacing w:line="248" w:lineRule="auto"/>
      </w:pPr>
    </w:p>
    <w:p w14:paraId="4E45E251">
      <w:pPr>
        <w:pStyle w:val="2"/>
        <w:spacing w:line="248" w:lineRule="auto"/>
      </w:pPr>
    </w:p>
    <w:p w14:paraId="7AC7336A">
      <w:pPr>
        <w:spacing w:before="91" w:line="224" w:lineRule="auto"/>
        <w:ind w:left="3321"/>
        <w:rPr>
          <w:rFonts w:ascii="黑体" w:hAnsi="黑体" w:eastAsia="黑体" w:cs="黑体"/>
          <w:sz w:val="28"/>
          <w:szCs w:val="28"/>
        </w:rPr>
      </w:pPr>
      <w:r>
        <w:rPr>
          <w:rFonts w:ascii="黑体" w:hAnsi="黑体" w:eastAsia="黑体" w:cs="黑体"/>
          <w:spacing w:val="6"/>
          <w:sz w:val="28"/>
          <w:szCs w:val="28"/>
        </w:rPr>
        <w:t>专用合同条款</w:t>
      </w:r>
    </w:p>
    <w:p w14:paraId="1E109448">
      <w:pPr>
        <w:pStyle w:val="2"/>
        <w:spacing w:line="466" w:lineRule="auto"/>
      </w:pPr>
    </w:p>
    <w:p w14:paraId="2E5C0DD5">
      <w:pPr>
        <w:spacing w:before="91" w:line="236" w:lineRule="auto"/>
        <w:ind w:left="34"/>
        <w:outlineLvl w:val="0"/>
        <w:rPr>
          <w:rFonts w:ascii="黑体" w:hAnsi="黑体" w:eastAsia="黑体" w:cs="黑体"/>
          <w:sz w:val="28"/>
          <w:szCs w:val="28"/>
        </w:rPr>
      </w:pPr>
      <w:bookmarkStart w:id="499" w:name="bookmark433"/>
      <w:bookmarkEnd w:id="499"/>
      <w:bookmarkStart w:id="500" w:name="bookmark434"/>
      <w:bookmarkEnd w:id="500"/>
      <w:r>
        <w:rPr>
          <w:rFonts w:ascii="Times New Roman" w:hAnsi="Times New Roman" w:eastAsia="Times New Roman" w:cs="Times New Roman"/>
          <w:b/>
          <w:bCs/>
          <w:spacing w:val="5"/>
          <w:sz w:val="28"/>
          <w:szCs w:val="28"/>
        </w:rPr>
        <w:t>1.</w:t>
      </w:r>
      <w:r>
        <w:rPr>
          <w:rFonts w:ascii="Times New Roman" w:hAnsi="Times New Roman" w:eastAsia="Times New Roman" w:cs="Times New Roman"/>
          <w:b/>
          <w:bCs/>
          <w:sz w:val="28"/>
          <w:szCs w:val="28"/>
        </w:rPr>
        <w:t xml:space="preserve">  </w:t>
      </w:r>
      <w:r>
        <w:rPr>
          <w:rFonts w:ascii="黑体" w:hAnsi="黑体" w:eastAsia="黑体" w:cs="黑体"/>
          <w:b/>
          <w:bCs/>
          <w:spacing w:val="5"/>
          <w:sz w:val="28"/>
          <w:szCs w:val="28"/>
        </w:rPr>
        <w:t>一般约定</w:t>
      </w:r>
    </w:p>
    <w:p w14:paraId="53E1B8BA">
      <w:pPr>
        <w:spacing w:before="72" w:line="233" w:lineRule="auto"/>
        <w:ind w:left="31"/>
        <w:outlineLvl w:val="1"/>
        <w:rPr>
          <w:rFonts w:ascii="黑体" w:hAnsi="黑体" w:eastAsia="黑体" w:cs="黑体"/>
          <w:sz w:val="24"/>
          <w:szCs w:val="24"/>
        </w:rPr>
      </w:pPr>
      <w:bookmarkStart w:id="501" w:name="bookmark703"/>
      <w:bookmarkEnd w:id="501"/>
      <w:r>
        <w:rPr>
          <w:rFonts w:ascii="Times New Roman" w:hAnsi="Times New Roman" w:eastAsia="Times New Roman" w:cs="Times New Roman"/>
          <w:b/>
          <w:bCs/>
          <w:spacing w:val="2"/>
          <w:sz w:val="24"/>
          <w:szCs w:val="24"/>
        </w:rPr>
        <w:t xml:space="preserve">1.1  </w:t>
      </w:r>
      <w:r>
        <w:rPr>
          <w:rFonts w:ascii="黑体" w:hAnsi="黑体" w:eastAsia="黑体" w:cs="黑体"/>
          <w:b/>
          <w:bCs/>
          <w:spacing w:val="2"/>
          <w:sz w:val="24"/>
          <w:szCs w:val="24"/>
        </w:rPr>
        <w:t>词语定义</w:t>
      </w:r>
    </w:p>
    <w:p w14:paraId="5213B71C">
      <w:pPr>
        <w:spacing w:before="127" w:line="222" w:lineRule="auto"/>
        <w:ind w:left="460"/>
        <w:rPr>
          <w:rFonts w:ascii="宋体" w:hAnsi="宋体" w:eastAsia="宋体" w:cs="宋体"/>
          <w:sz w:val="21"/>
          <w:szCs w:val="21"/>
        </w:rPr>
      </w:pPr>
      <w:r>
        <w:rPr>
          <w:rFonts w:ascii="宋体" w:hAnsi="宋体" w:eastAsia="宋体" w:cs="宋体"/>
          <w:spacing w:val="-4"/>
          <w:sz w:val="21"/>
          <w:szCs w:val="21"/>
        </w:rPr>
        <w:t>1.1.1</w:t>
      </w:r>
      <w:r>
        <w:rPr>
          <w:rFonts w:ascii="宋体" w:hAnsi="宋体" w:eastAsia="宋体" w:cs="宋体"/>
          <w:spacing w:val="-36"/>
          <w:sz w:val="21"/>
          <w:szCs w:val="21"/>
        </w:rPr>
        <w:t xml:space="preserve"> </w:t>
      </w:r>
      <w:r>
        <w:rPr>
          <w:rFonts w:ascii="宋体" w:hAnsi="宋体" w:eastAsia="宋体" w:cs="宋体"/>
          <w:spacing w:val="-4"/>
          <w:sz w:val="21"/>
          <w:szCs w:val="21"/>
        </w:rPr>
        <w:t>合同</w:t>
      </w:r>
    </w:p>
    <w:p w14:paraId="034BDBA3">
      <w:pPr>
        <w:pStyle w:val="2"/>
        <w:tabs>
          <w:tab w:val="left" w:pos="8320"/>
        </w:tabs>
        <w:spacing w:before="152" w:line="389" w:lineRule="auto"/>
        <w:ind w:left="436" w:firstLine="23"/>
      </w:pPr>
      <w:r>
        <w:fldChar w:fldCharType="begin"/>
      </w:r>
      <w:r>
        <w:instrText xml:space="preserve"> HYPERLINK "1.1.1.10" </w:instrText>
      </w:r>
      <w:r>
        <w:fldChar w:fldCharType="separate"/>
      </w:r>
      <w:r>
        <w:rPr>
          <w:rFonts w:ascii="宋体" w:hAnsi="宋体" w:eastAsia="宋体" w:cs="宋体"/>
          <w:spacing w:val="-1"/>
        </w:rPr>
        <w:t>1.1.1.10</w:t>
      </w:r>
      <w:r>
        <w:rPr>
          <w:rFonts w:ascii="宋体" w:hAnsi="宋体" w:eastAsia="宋体" w:cs="宋体"/>
          <w:spacing w:val="-1"/>
        </w:rPr>
        <w:fldChar w:fldCharType="end"/>
      </w:r>
      <w:r>
        <w:rPr>
          <w:rFonts w:ascii="宋体" w:hAnsi="宋体" w:eastAsia="宋体" w:cs="宋体"/>
          <w:spacing w:val="-35"/>
        </w:rPr>
        <w:t xml:space="preserve"> </w:t>
      </w:r>
      <w:r>
        <w:rPr>
          <w:rFonts w:ascii="宋体" w:hAnsi="宋体" w:eastAsia="宋体" w:cs="宋体"/>
          <w:spacing w:val="-1"/>
        </w:rPr>
        <w:t>其他合同文件包括：</w:t>
      </w:r>
      <w:r>
        <w:rPr>
          <w:rFonts w:ascii="宋体" w:hAnsi="宋体" w:eastAsia="宋体" w:cs="宋体"/>
          <w:spacing w:val="-1"/>
          <w:u w:val="single" w:color="auto"/>
        </w:rPr>
        <w:t xml:space="preserve">                                             </w:t>
      </w:r>
      <w:r>
        <w:rPr>
          <w:rFonts w:ascii="宋体" w:hAnsi="宋体" w:eastAsia="宋体" w:cs="宋体"/>
          <w:spacing w:val="-2"/>
          <w:u w:val="single" w:color="auto"/>
        </w:rPr>
        <w:t xml:space="preserve">    </w:t>
      </w:r>
      <w:r>
        <w:rPr>
          <w:u w:val="single" w:color="auto"/>
        </w:rPr>
        <w:tab/>
      </w:r>
    </w:p>
    <w:p w14:paraId="0E5AC344">
      <w:pPr>
        <w:tabs>
          <w:tab w:val="left" w:pos="225"/>
        </w:tabs>
        <w:spacing w:before="9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55838C2">
      <w:pPr>
        <w:spacing w:before="164" w:line="220" w:lineRule="auto"/>
        <w:ind w:left="460"/>
        <w:rPr>
          <w:rFonts w:ascii="宋体" w:hAnsi="宋体" w:eastAsia="宋体" w:cs="宋体"/>
          <w:sz w:val="21"/>
          <w:szCs w:val="21"/>
        </w:rPr>
      </w:pPr>
      <w:r>
        <w:rPr>
          <w:rFonts w:ascii="宋体" w:hAnsi="宋体" w:eastAsia="宋体" w:cs="宋体"/>
          <w:spacing w:val="-2"/>
          <w:sz w:val="21"/>
          <w:szCs w:val="21"/>
        </w:rPr>
        <w:t>1.1.2 合同当事人及其他相关方</w:t>
      </w:r>
    </w:p>
    <w:p w14:paraId="38F38923">
      <w:pPr>
        <w:spacing w:before="140" w:line="222" w:lineRule="auto"/>
        <w:ind w:left="460"/>
        <w:rPr>
          <w:rFonts w:ascii="宋体" w:hAnsi="宋体" w:eastAsia="宋体" w:cs="宋体"/>
          <w:sz w:val="21"/>
          <w:szCs w:val="21"/>
        </w:rPr>
      </w:pPr>
      <w:r>
        <w:rPr>
          <w:rFonts w:ascii="宋体" w:hAnsi="宋体" w:eastAsia="宋体" w:cs="宋体"/>
          <w:spacing w:val="-6"/>
          <w:sz w:val="21"/>
          <w:szCs w:val="21"/>
        </w:rPr>
        <w:t>1.1.2.4</w:t>
      </w:r>
      <w:r>
        <w:rPr>
          <w:rFonts w:ascii="宋体" w:hAnsi="宋体" w:eastAsia="宋体" w:cs="宋体"/>
          <w:spacing w:val="-35"/>
          <w:sz w:val="21"/>
          <w:szCs w:val="21"/>
        </w:rPr>
        <w:t xml:space="preserve"> </w:t>
      </w:r>
      <w:r>
        <w:rPr>
          <w:rFonts w:ascii="宋体" w:hAnsi="宋体" w:eastAsia="宋体" w:cs="宋体"/>
          <w:spacing w:val="-6"/>
          <w:sz w:val="21"/>
          <w:szCs w:val="21"/>
        </w:rPr>
        <w:t>监理人：</w:t>
      </w:r>
    </w:p>
    <w:p w14:paraId="0F193382">
      <w:pPr>
        <w:spacing w:before="152" w:line="222" w:lineRule="auto"/>
        <w:ind w:left="447"/>
        <w:rPr>
          <w:rFonts w:ascii="宋体" w:hAnsi="宋体" w:eastAsia="宋体" w:cs="宋体"/>
          <w:sz w:val="21"/>
          <w:szCs w:val="21"/>
        </w:rPr>
      </w:pPr>
      <w:r>
        <w:rPr>
          <w:rFonts w:ascii="宋体" w:hAnsi="宋体" w:eastAsia="宋体" w:cs="宋体"/>
          <w:spacing w:val="-8"/>
          <w:sz w:val="21"/>
          <w:szCs w:val="21"/>
        </w:rPr>
        <w:t>名</w:t>
      </w:r>
      <w:r>
        <w:rPr>
          <w:rFonts w:ascii="宋体" w:hAnsi="宋体" w:eastAsia="宋体" w:cs="宋体"/>
          <w:spacing w:val="2"/>
          <w:sz w:val="21"/>
          <w:szCs w:val="21"/>
        </w:rPr>
        <w:t xml:space="preserve">    </w:t>
      </w:r>
      <w:r>
        <w:rPr>
          <w:rFonts w:ascii="宋体" w:hAnsi="宋体" w:eastAsia="宋体" w:cs="宋体"/>
          <w:spacing w:val="-8"/>
          <w:sz w:val="21"/>
          <w:szCs w:val="21"/>
        </w:rPr>
        <w:t>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35003C56">
      <w:pPr>
        <w:spacing w:before="153" w:line="220" w:lineRule="auto"/>
        <w:ind w:left="453"/>
        <w:rPr>
          <w:rFonts w:ascii="宋体" w:hAnsi="宋体" w:eastAsia="宋体" w:cs="宋体"/>
          <w:sz w:val="21"/>
          <w:szCs w:val="21"/>
        </w:rPr>
      </w:pPr>
      <w:r>
        <w:rPr>
          <w:rFonts w:ascii="宋体" w:hAnsi="宋体" w:eastAsia="宋体" w:cs="宋体"/>
          <w:spacing w:val="-2"/>
          <w:sz w:val="21"/>
          <w:szCs w:val="21"/>
        </w:rPr>
        <w:t>资质类别和等级</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57F3B19F">
      <w:pPr>
        <w:spacing w:before="140" w:line="222" w:lineRule="auto"/>
        <w:ind w:left="44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31F4F181">
      <w:pPr>
        <w:spacing w:before="153" w:line="220" w:lineRule="auto"/>
        <w:ind w:left="469"/>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1EB168A5">
      <w:pPr>
        <w:spacing w:before="155" w:line="220" w:lineRule="auto"/>
        <w:ind w:left="444"/>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B4E628">
      <w:pPr>
        <w:spacing w:before="140" w:line="221" w:lineRule="auto"/>
        <w:ind w:left="460"/>
        <w:rPr>
          <w:rFonts w:ascii="宋体" w:hAnsi="宋体" w:eastAsia="宋体" w:cs="宋体"/>
          <w:sz w:val="21"/>
          <w:szCs w:val="21"/>
        </w:rPr>
      </w:pPr>
      <w:r>
        <w:rPr>
          <w:rFonts w:ascii="宋体" w:hAnsi="宋体" w:eastAsia="宋体" w:cs="宋体"/>
          <w:spacing w:val="-7"/>
          <w:sz w:val="21"/>
          <w:szCs w:val="21"/>
        </w:rPr>
        <w:t>1.1.2.5</w:t>
      </w:r>
      <w:r>
        <w:rPr>
          <w:rFonts w:ascii="宋体" w:hAnsi="宋体" w:eastAsia="宋体" w:cs="宋体"/>
          <w:spacing w:val="21"/>
          <w:sz w:val="21"/>
          <w:szCs w:val="21"/>
        </w:rPr>
        <w:t xml:space="preserve"> </w:t>
      </w:r>
      <w:r>
        <w:rPr>
          <w:rFonts w:ascii="宋体" w:hAnsi="宋体" w:eastAsia="宋体" w:cs="宋体"/>
          <w:spacing w:val="-7"/>
          <w:sz w:val="21"/>
          <w:szCs w:val="21"/>
        </w:rPr>
        <w:t>设计人：</w:t>
      </w:r>
    </w:p>
    <w:p w14:paraId="51AE3C6A">
      <w:pPr>
        <w:spacing w:before="154" w:line="222" w:lineRule="auto"/>
        <w:ind w:left="447"/>
        <w:rPr>
          <w:rFonts w:ascii="宋体" w:hAnsi="宋体" w:eastAsia="宋体" w:cs="宋体"/>
          <w:sz w:val="21"/>
          <w:szCs w:val="21"/>
        </w:rPr>
      </w:pPr>
      <w:r>
        <w:rPr>
          <w:rFonts w:ascii="宋体" w:hAnsi="宋体" w:eastAsia="宋体" w:cs="宋体"/>
          <w:spacing w:val="-8"/>
          <w:sz w:val="21"/>
          <w:szCs w:val="21"/>
        </w:rPr>
        <w:t>名</w:t>
      </w:r>
      <w:r>
        <w:rPr>
          <w:rFonts w:ascii="宋体" w:hAnsi="宋体" w:eastAsia="宋体" w:cs="宋体"/>
          <w:spacing w:val="2"/>
          <w:sz w:val="21"/>
          <w:szCs w:val="21"/>
        </w:rPr>
        <w:t xml:space="preserve">    </w:t>
      </w:r>
      <w:r>
        <w:rPr>
          <w:rFonts w:ascii="宋体" w:hAnsi="宋体" w:eastAsia="宋体" w:cs="宋体"/>
          <w:spacing w:val="-8"/>
          <w:sz w:val="21"/>
          <w:szCs w:val="21"/>
        </w:rPr>
        <w:t>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79DA0E6F">
      <w:pPr>
        <w:spacing w:before="153" w:line="220" w:lineRule="auto"/>
        <w:ind w:left="453"/>
        <w:rPr>
          <w:rFonts w:ascii="宋体" w:hAnsi="宋体" w:eastAsia="宋体" w:cs="宋体"/>
          <w:sz w:val="21"/>
          <w:szCs w:val="21"/>
        </w:rPr>
      </w:pPr>
      <w:r>
        <w:rPr>
          <w:rFonts w:ascii="宋体" w:hAnsi="宋体" w:eastAsia="宋体" w:cs="宋体"/>
          <w:spacing w:val="-3"/>
          <w:sz w:val="21"/>
          <w:szCs w:val="21"/>
        </w:rPr>
        <w:t>资质类别和等级</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6EA7A00E">
      <w:pPr>
        <w:spacing w:before="140" w:line="222" w:lineRule="auto"/>
        <w:ind w:left="44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7217E40">
      <w:pPr>
        <w:spacing w:before="152" w:line="220" w:lineRule="auto"/>
        <w:ind w:left="469"/>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4EEBA0C">
      <w:pPr>
        <w:spacing w:before="156" w:line="220" w:lineRule="auto"/>
        <w:ind w:left="444"/>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50CDB91">
      <w:pPr>
        <w:spacing w:line="220" w:lineRule="auto"/>
        <w:rPr>
          <w:rFonts w:ascii="宋体" w:hAnsi="宋体" w:eastAsia="宋体" w:cs="宋体"/>
          <w:sz w:val="21"/>
          <w:szCs w:val="21"/>
        </w:rPr>
        <w:sectPr>
          <w:footerReference r:id="rId204" w:type="default"/>
          <w:pgSz w:w="11910" w:h="16845"/>
          <w:pgMar w:top="400" w:right="1786" w:bottom="1110" w:left="1786" w:header="0" w:footer="883" w:gutter="0"/>
          <w:cols w:space="720" w:num="1"/>
        </w:sectPr>
      </w:pPr>
    </w:p>
    <w:p w14:paraId="4867386A">
      <w:pPr>
        <w:pStyle w:val="2"/>
        <w:spacing w:line="275" w:lineRule="auto"/>
      </w:pPr>
    </w:p>
    <w:p w14:paraId="26DDB11E">
      <w:pPr>
        <w:pStyle w:val="2"/>
        <w:spacing w:line="275" w:lineRule="auto"/>
      </w:pPr>
    </w:p>
    <w:p w14:paraId="01D4C301">
      <w:pPr>
        <w:pStyle w:val="2"/>
        <w:spacing w:line="275" w:lineRule="auto"/>
      </w:pPr>
    </w:p>
    <w:p w14:paraId="2D825D34">
      <w:pPr>
        <w:pStyle w:val="2"/>
        <w:spacing w:line="276" w:lineRule="auto"/>
      </w:pPr>
    </w:p>
    <w:p w14:paraId="2ADD256E">
      <w:pPr>
        <w:spacing w:before="68" w:line="220" w:lineRule="auto"/>
        <w:ind w:left="460"/>
        <w:rPr>
          <w:rFonts w:ascii="宋体" w:hAnsi="宋体" w:eastAsia="宋体" w:cs="宋体"/>
          <w:sz w:val="21"/>
          <w:szCs w:val="21"/>
        </w:rPr>
      </w:pPr>
      <w:r>
        <w:rPr>
          <w:rFonts w:ascii="宋体" w:hAnsi="宋体" w:eastAsia="宋体" w:cs="宋体"/>
          <w:spacing w:val="-2"/>
          <w:sz w:val="21"/>
          <w:szCs w:val="21"/>
        </w:rPr>
        <w:t>1.1.3 工程和设备</w:t>
      </w:r>
    </w:p>
    <w:p w14:paraId="31625ECF">
      <w:pPr>
        <w:pStyle w:val="2"/>
        <w:tabs>
          <w:tab w:val="left" w:pos="8335"/>
        </w:tabs>
        <w:spacing w:before="155" w:line="388" w:lineRule="auto"/>
        <w:ind w:left="436" w:firstLine="23"/>
      </w:pPr>
      <w:r>
        <w:fldChar w:fldCharType="begin"/>
      </w:r>
      <w:r>
        <w:instrText xml:space="preserve"> HYPERLINK "1.1.3.7" </w:instrText>
      </w:r>
      <w:r>
        <w:fldChar w:fldCharType="separate"/>
      </w:r>
      <w:r>
        <w:rPr>
          <w:rFonts w:ascii="宋体" w:hAnsi="宋体" w:eastAsia="宋体" w:cs="宋体"/>
        </w:rPr>
        <w:t>1.1.3.7</w:t>
      </w:r>
      <w:r>
        <w:rPr>
          <w:rFonts w:ascii="宋体" w:hAnsi="宋体" w:eastAsia="宋体" w:cs="宋体"/>
        </w:rPr>
        <w:fldChar w:fldCharType="end"/>
      </w:r>
      <w:r>
        <w:rPr>
          <w:rFonts w:ascii="宋体" w:hAnsi="宋体" w:eastAsia="宋体" w:cs="宋体"/>
        </w:rPr>
        <w:t xml:space="preserve"> 作为施工现场组成部分的其他场所包括：</w:t>
      </w:r>
      <w:r>
        <w:rPr>
          <w:rFonts w:ascii="宋体" w:hAnsi="宋体" w:eastAsia="宋体" w:cs="宋体"/>
          <w:u w:val="single" w:color="auto"/>
        </w:rPr>
        <w:t xml:space="preserve">                               </w:t>
      </w:r>
      <w:r>
        <w:rPr>
          <w:u w:val="single" w:color="auto"/>
        </w:rPr>
        <w:tab/>
      </w:r>
    </w:p>
    <w:p w14:paraId="3019FD83">
      <w:pPr>
        <w:tabs>
          <w:tab w:val="left" w:pos="225"/>
        </w:tabs>
        <w:spacing w:before="9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8469FA6">
      <w:pPr>
        <w:spacing w:before="164" w:line="221" w:lineRule="auto"/>
        <w:ind w:left="460"/>
        <w:rPr>
          <w:rFonts w:ascii="宋体" w:hAnsi="宋体" w:eastAsia="宋体" w:cs="宋体"/>
          <w:sz w:val="21"/>
          <w:szCs w:val="21"/>
        </w:rPr>
      </w:pPr>
      <w:r>
        <w:fldChar w:fldCharType="begin"/>
      </w:r>
      <w:r>
        <w:instrText xml:space="preserve"> HYPERLINK "1.1.3.9" </w:instrText>
      </w:r>
      <w:r>
        <w:fldChar w:fldCharType="separate"/>
      </w:r>
      <w:r>
        <w:rPr>
          <w:rFonts w:ascii="宋体" w:hAnsi="宋体" w:eastAsia="宋体" w:cs="宋体"/>
          <w:spacing w:val="-2"/>
          <w:sz w:val="21"/>
          <w:szCs w:val="21"/>
        </w:rPr>
        <w:t>1.1.3.9</w:t>
      </w:r>
      <w:r>
        <w:rPr>
          <w:rFonts w:ascii="宋体" w:hAnsi="宋体" w:eastAsia="宋体" w:cs="宋体"/>
          <w:spacing w:val="-2"/>
          <w:sz w:val="21"/>
          <w:szCs w:val="21"/>
        </w:rPr>
        <w:fldChar w:fldCharType="end"/>
      </w:r>
      <w:r>
        <w:rPr>
          <w:rFonts w:ascii="宋体" w:hAnsi="宋体" w:eastAsia="宋体" w:cs="宋体"/>
          <w:spacing w:val="-2"/>
          <w:sz w:val="21"/>
          <w:szCs w:val="21"/>
        </w:rPr>
        <w:t xml:space="preserve"> 永久占地包括：</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53E515B8">
      <w:pPr>
        <w:spacing w:before="138" w:line="220" w:lineRule="auto"/>
        <w:ind w:left="460"/>
        <w:rPr>
          <w:rFonts w:ascii="宋体" w:hAnsi="宋体" w:eastAsia="宋体" w:cs="宋体"/>
          <w:sz w:val="21"/>
          <w:szCs w:val="21"/>
        </w:rPr>
      </w:pPr>
      <w:r>
        <w:fldChar w:fldCharType="begin"/>
      </w:r>
      <w:r>
        <w:instrText xml:space="preserve"> HYPERLINK "1.1.3.10" </w:instrText>
      </w:r>
      <w:r>
        <w:fldChar w:fldCharType="separate"/>
      </w:r>
      <w:r>
        <w:rPr>
          <w:rFonts w:ascii="宋体" w:hAnsi="宋体" w:eastAsia="宋体" w:cs="宋体"/>
          <w:spacing w:val="-2"/>
          <w:sz w:val="21"/>
          <w:szCs w:val="21"/>
        </w:rPr>
        <w:t>1.1.3.10</w:t>
      </w:r>
      <w:r>
        <w:rPr>
          <w:rFonts w:ascii="宋体" w:hAnsi="宋体" w:eastAsia="宋体" w:cs="宋体"/>
          <w:spacing w:val="-2"/>
          <w:sz w:val="21"/>
          <w:szCs w:val="21"/>
        </w:rPr>
        <w:fldChar w:fldCharType="end"/>
      </w:r>
      <w:r>
        <w:rPr>
          <w:rFonts w:ascii="宋体" w:hAnsi="宋体" w:eastAsia="宋体" w:cs="宋体"/>
          <w:spacing w:val="-2"/>
          <w:sz w:val="21"/>
          <w:szCs w:val="21"/>
        </w:rPr>
        <w:t xml:space="preserve"> 临时占地包括：</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1F380A2F">
      <w:pPr>
        <w:spacing w:before="131" w:line="233" w:lineRule="auto"/>
        <w:ind w:left="31"/>
        <w:outlineLvl w:val="1"/>
        <w:rPr>
          <w:rFonts w:ascii="黑体" w:hAnsi="黑体" w:eastAsia="黑体" w:cs="黑体"/>
          <w:sz w:val="24"/>
          <w:szCs w:val="24"/>
        </w:rPr>
      </w:pPr>
      <w:bookmarkStart w:id="502" w:name="bookmark435"/>
      <w:bookmarkEnd w:id="502"/>
      <w:r>
        <w:rPr>
          <w:rFonts w:ascii="Times New Roman" w:hAnsi="Times New Roman" w:eastAsia="Times New Roman" w:cs="Times New Roman"/>
          <w:b/>
          <w:bCs/>
          <w:spacing w:val="-4"/>
          <w:sz w:val="24"/>
          <w:szCs w:val="24"/>
        </w:rPr>
        <w:t>1.3</w:t>
      </w:r>
      <w:r>
        <w:rPr>
          <w:rFonts w:ascii="Times New Roman" w:hAnsi="Times New Roman" w:eastAsia="Times New Roman" w:cs="Times New Roman"/>
          <w:b/>
          <w:bCs/>
          <w:spacing w:val="14"/>
          <w:sz w:val="24"/>
          <w:szCs w:val="24"/>
        </w:rPr>
        <w:t xml:space="preserve"> </w:t>
      </w:r>
      <w:r>
        <w:rPr>
          <w:rFonts w:ascii="黑体" w:hAnsi="黑体" w:eastAsia="黑体" w:cs="黑体"/>
          <w:b/>
          <w:bCs/>
          <w:spacing w:val="-4"/>
          <w:sz w:val="24"/>
          <w:szCs w:val="24"/>
        </w:rPr>
        <w:t>法律</w:t>
      </w:r>
    </w:p>
    <w:p w14:paraId="2440599E">
      <w:pPr>
        <w:pStyle w:val="2"/>
        <w:tabs>
          <w:tab w:val="left" w:pos="8335"/>
        </w:tabs>
        <w:spacing w:before="128" w:line="388" w:lineRule="auto"/>
        <w:ind w:left="436" w:firstLine="8"/>
      </w:pPr>
      <w:r>
        <w:rPr>
          <w:rFonts w:ascii="宋体" w:hAnsi="宋体" w:eastAsia="宋体" w:cs="宋体"/>
        </w:rPr>
        <w:t>适用于合同的其他规范性文件：</w:t>
      </w:r>
      <w:r>
        <w:rPr>
          <w:rFonts w:ascii="宋体" w:hAnsi="宋体" w:eastAsia="宋体" w:cs="宋体"/>
          <w:u w:val="single" w:color="auto"/>
        </w:rPr>
        <w:t xml:space="preserve">                                               </w:t>
      </w:r>
      <w:r>
        <w:rPr>
          <w:u w:val="single" w:color="auto"/>
        </w:rPr>
        <w:tab/>
      </w:r>
    </w:p>
    <w:p w14:paraId="76CB12DB">
      <w:pPr>
        <w:spacing w:before="99" w:line="45" w:lineRule="exact"/>
        <w:ind w:left="254"/>
        <w:rPr>
          <w:rFonts w:ascii="宋体" w:hAnsi="宋体" w:eastAsia="宋体" w:cs="宋体"/>
          <w:sz w:val="21"/>
          <w:szCs w:val="21"/>
        </w:rPr>
      </w:pPr>
      <w:r>
        <w:pict>
          <v:shape id="_x0000_s1053" o:spid="_x0000_s1053" o:spt="202" type="#_x0000_t202" style="position:absolute;left:0pt;margin-left:-0.2pt;margin-top:-1.75pt;height:35.15pt;width:85.35pt;z-index:251695104;mso-width-relative:page;mso-height-relative:page;" filled="f" stroked="f" coordsize="21600,21600">
            <v:path/>
            <v:fill on="f" focussize="0,0"/>
            <v:stroke on="f"/>
            <v:imagedata o:title=""/>
            <o:lock v:ext="edit" aspectratio="f"/>
            <v:textbox inset="0mm,0mm,0mm,0mm">
              <w:txbxContent>
                <w:p w14:paraId="32EC6C8B">
                  <w:pPr>
                    <w:pStyle w:val="2"/>
                    <w:tabs>
                      <w:tab w:val="left" w:pos="230"/>
                    </w:tabs>
                    <w:spacing w:before="20"/>
                    <w:ind w:left="20"/>
                  </w:pPr>
                  <w:r>
                    <w:rPr>
                      <w:u w:val="single" w:color="auto"/>
                    </w:rPr>
                    <w:tab/>
                  </w:r>
                </w:p>
                <w:p w14:paraId="0C5A852D">
                  <w:pPr>
                    <w:spacing w:before="116" w:line="234" w:lineRule="auto"/>
                    <w:ind w:left="35"/>
                    <w:outlineLvl w:val="1"/>
                    <w:rPr>
                      <w:rFonts w:ascii="黑体" w:hAnsi="黑体" w:eastAsia="黑体" w:cs="黑体"/>
                      <w:sz w:val="24"/>
                      <w:szCs w:val="24"/>
                    </w:rPr>
                  </w:pPr>
                  <w:bookmarkStart w:id="686" w:name="bookmark436"/>
                  <w:bookmarkEnd w:id="686"/>
                  <w:r>
                    <w:rPr>
                      <w:rFonts w:ascii="Times New Roman" w:hAnsi="Times New Roman" w:eastAsia="Times New Roman" w:cs="Times New Roman"/>
                      <w:b/>
                      <w:bCs/>
                      <w:spacing w:val="1"/>
                      <w:sz w:val="24"/>
                      <w:szCs w:val="24"/>
                    </w:rPr>
                    <w:t xml:space="preserve">1.4  </w:t>
                  </w:r>
                  <w:r>
                    <w:rPr>
                      <w:rFonts w:ascii="黑体" w:hAnsi="黑体" w:eastAsia="黑体" w:cs="黑体"/>
                      <w:b/>
                      <w:bCs/>
                      <w:spacing w:val="1"/>
                      <w:sz w:val="24"/>
                      <w:szCs w:val="24"/>
                    </w:rPr>
                    <w:t>标准和规范</w:t>
                  </w:r>
                </w:p>
              </w:txbxContent>
            </v:textbox>
          </v:shape>
        </w:pict>
      </w:r>
      <w:r>
        <w:rPr>
          <w:rFonts w:ascii="宋体" w:hAnsi="宋体" w:eastAsia="宋体" w:cs="宋体"/>
          <w:position w:val="-1"/>
          <w:sz w:val="21"/>
          <w:szCs w:val="21"/>
        </w:rPr>
        <w:t>。</w:t>
      </w:r>
    </w:p>
    <w:p w14:paraId="1F7B8539">
      <w:pPr>
        <w:pStyle w:val="2"/>
        <w:spacing w:line="270" w:lineRule="auto"/>
      </w:pPr>
    </w:p>
    <w:p w14:paraId="25159231">
      <w:pPr>
        <w:pStyle w:val="2"/>
        <w:spacing w:line="271" w:lineRule="auto"/>
      </w:pPr>
    </w:p>
    <w:p w14:paraId="2B7F580B">
      <w:pPr>
        <w:pStyle w:val="2"/>
        <w:tabs>
          <w:tab w:val="left" w:pos="8335"/>
        </w:tabs>
        <w:spacing w:before="69" w:line="404" w:lineRule="auto"/>
        <w:ind w:left="436" w:firstLine="23"/>
      </w:pPr>
      <w:r>
        <w:rPr>
          <w:rFonts w:ascii="宋体" w:hAnsi="宋体" w:eastAsia="宋体" w:cs="宋体"/>
          <w:spacing w:val="-1"/>
        </w:rPr>
        <w:t>1.4.1</w:t>
      </w:r>
      <w:r>
        <w:rPr>
          <w:rFonts w:ascii="宋体" w:hAnsi="宋体" w:eastAsia="宋体" w:cs="宋体"/>
          <w:spacing w:val="-36"/>
        </w:rPr>
        <w:t xml:space="preserve"> </w:t>
      </w:r>
      <w:r>
        <w:rPr>
          <w:rFonts w:ascii="宋体" w:hAnsi="宋体" w:eastAsia="宋体" w:cs="宋体"/>
          <w:spacing w:val="-1"/>
        </w:rPr>
        <w:t>适用于工程的标准规范包括：</w:t>
      </w:r>
      <w:r>
        <w:rPr>
          <w:rFonts w:ascii="宋体" w:hAnsi="宋体" w:eastAsia="宋体" w:cs="宋体"/>
          <w:spacing w:val="-1"/>
          <w:u w:val="single" w:color="auto"/>
        </w:rPr>
        <w:t xml:space="preserve">                                     </w:t>
      </w:r>
      <w:r>
        <w:rPr>
          <w:rFonts w:ascii="宋体" w:hAnsi="宋体" w:eastAsia="宋体" w:cs="宋体"/>
          <w:spacing w:val="-2"/>
          <w:u w:val="single" w:color="auto"/>
        </w:rPr>
        <w:t xml:space="preserve">       </w:t>
      </w:r>
      <w:r>
        <w:rPr>
          <w:u w:val="single" w:color="auto"/>
        </w:rPr>
        <w:tab/>
      </w:r>
    </w:p>
    <w:p w14:paraId="1314E4F1">
      <w:pPr>
        <w:spacing w:before="82" w:line="46" w:lineRule="exact"/>
        <w:ind w:left="254"/>
        <w:rPr>
          <w:rFonts w:ascii="宋体" w:hAnsi="宋体" w:eastAsia="宋体" w:cs="宋体"/>
          <w:sz w:val="21"/>
          <w:szCs w:val="21"/>
        </w:rPr>
      </w:pPr>
      <w:r>
        <w:pict>
          <v:shape id="_x0000_s1054" o:spid="_x0000_s1054" o:spt="202" type="#_x0000_t202" style="position:absolute;left:0pt;margin-left:-0.2pt;margin-top:-2.65pt;height:14.1pt;width:12.5pt;z-index:251698176;mso-width-relative:page;mso-height-relative:page;" filled="f" stroked="f" coordsize="21600,21600">
            <v:path/>
            <v:fill on="f" focussize="0,0"/>
            <v:stroke on="f"/>
            <v:imagedata o:title=""/>
            <o:lock v:ext="edit" aspectratio="f"/>
            <v:textbox inset="0mm,0mm,0mm,0mm">
              <w:txbxContent>
                <w:p w14:paraId="622BDCCA">
                  <w:pPr>
                    <w:pStyle w:val="2"/>
                    <w:tabs>
                      <w:tab w:val="left" w:pos="230"/>
                    </w:tabs>
                    <w:spacing w:before="19"/>
                    <w:ind w:left="20"/>
                  </w:pPr>
                  <w:r>
                    <w:rPr>
                      <w:u w:val="single" w:color="auto"/>
                    </w:rPr>
                    <w:tab/>
                  </w:r>
                </w:p>
              </w:txbxContent>
            </v:textbox>
          </v:shape>
        </w:pict>
      </w:r>
      <w:r>
        <w:rPr>
          <w:rFonts w:ascii="宋体" w:hAnsi="宋体" w:eastAsia="宋体" w:cs="宋体"/>
          <w:position w:val="-1"/>
          <w:sz w:val="21"/>
          <w:szCs w:val="21"/>
        </w:rPr>
        <w:t>。</w:t>
      </w:r>
    </w:p>
    <w:p w14:paraId="30A8EDDF">
      <w:pPr>
        <w:pStyle w:val="2"/>
        <w:tabs>
          <w:tab w:val="left" w:pos="8335"/>
        </w:tabs>
        <w:spacing w:before="207" w:line="404" w:lineRule="auto"/>
        <w:ind w:left="436" w:firstLine="23"/>
      </w:pPr>
      <w:r>
        <w:rPr>
          <w:rFonts w:ascii="宋体" w:hAnsi="宋体" w:eastAsia="宋体" w:cs="宋体"/>
        </w:rPr>
        <w:t>1.4.2 发包人提供国外标准、规范的名称：</w:t>
      </w:r>
      <w:r>
        <w:rPr>
          <w:rFonts w:ascii="宋体" w:hAnsi="宋体" w:eastAsia="宋体" w:cs="宋体"/>
          <w:u w:val="single" w:color="auto"/>
        </w:rPr>
        <w:t xml:space="preserve">                                     </w:t>
      </w:r>
      <w:r>
        <w:rPr>
          <w:u w:val="single" w:color="auto"/>
        </w:rPr>
        <w:tab/>
      </w:r>
    </w:p>
    <w:p w14:paraId="77717A2D">
      <w:pPr>
        <w:spacing w:before="82" w:line="45" w:lineRule="exact"/>
        <w:ind w:left="254"/>
        <w:rPr>
          <w:rFonts w:ascii="宋体" w:hAnsi="宋体" w:eastAsia="宋体" w:cs="宋体"/>
          <w:sz w:val="21"/>
          <w:szCs w:val="21"/>
        </w:rPr>
      </w:pPr>
      <w:r>
        <w:pict>
          <v:shape id="_x0000_s1055" o:spid="_x0000_s1055" o:spt="202" type="#_x0000_t202" style="position:absolute;left:0pt;margin-left:-0.2pt;margin-top:-2.65pt;height:14.1pt;width:12.5pt;z-index:251699200;mso-width-relative:page;mso-height-relative:page;" filled="f" stroked="f" coordsize="21600,21600">
            <v:path/>
            <v:fill on="f" focussize="0,0"/>
            <v:stroke on="f"/>
            <v:imagedata o:title=""/>
            <o:lock v:ext="edit" aspectratio="f"/>
            <v:textbox inset="0mm,0mm,0mm,0mm">
              <w:txbxContent>
                <w:p w14:paraId="72A449C2">
                  <w:pPr>
                    <w:pStyle w:val="2"/>
                    <w:tabs>
                      <w:tab w:val="left" w:pos="230"/>
                    </w:tabs>
                    <w:spacing w:before="19"/>
                    <w:ind w:left="20"/>
                  </w:pPr>
                  <w:r>
                    <w:rPr>
                      <w:u w:val="single" w:color="auto"/>
                    </w:rPr>
                    <w:tab/>
                  </w:r>
                </w:p>
              </w:txbxContent>
            </v:textbox>
          </v:shape>
        </w:pict>
      </w:r>
      <w:r>
        <w:rPr>
          <w:rFonts w:ascii="宋体" w:hAnsi="宋体" w:eastAsia="宋体" w:cs="宋体"/>
          <w:position w:val="-1"/>
          <w:sz w:val="21"/>
          <w:szCs w:val="21"/>
        </w:rPr>
        <w:t>。</w:t>
      </w:r>
    </w:p>
    <w:p w14:paraId="345BA66F">
      <w:pPr>
        <w:pStyle w:val="2"/>
        <w:spacing w:line="271" w:lineRule="auto"/>
      </w:pPr>
    </w:p>
    <w:p w14:paraId="513AB07A">
      <w:pPr>
        <w:pStyle w:val="2"/>
        <w:spacing w:line="271" w:lineRule="auto"/>
      </w:pPr>
    </w:p>
    <w:p w14:paraId="1F05ACF1">
      <w:pPr>
        <w:spacing w:before="69" w:line="219" w:lineRule="auto"/>
        <w:ind w:right="7"/>
        <w:jc w:val="right"/>
        <w:rPr>
          <w:rFonts w:ascii="宋体" w:hAnsi="宋体" w:eastAsia="宋体" w:cs="宋体"/>
          <w:sz w:val="21"/>
          <w:szCs w:val="21"/>
        </w:rPr>
      </w:pPr>
      <w:r>
        <w:rPr>
          <w:rFonts w:ascii="宋体" w:hAnsi="宋体" w:eastAsia="宋体" w:cs="宋体"/>
          <w:spacing w:val="-8"/>
          <w:sz w:val="21"/>
          <w:szCs w:val="21"/>
        </w:rPr>
        <w:t>发</w:t>
      </w:r>
      <w:r>
        <w:rPr>
          <w:rFonts w:ascii="宋体" w:hAnsi="宋体" w:eastAsia="宋体" w:cs="宋体"/>
          <w:spacing w:val="29"/>
          <w:sz w:val="21"/>
          <w:szCs w:val="21"/>
        </w:rPr>
        <w:t xml:space="preserve">   </w:t>
      </w:r>
      <w:r>
        <w:rPr>
          <w:rFonts w:ascii="宋体" w:hAnsi="宋体" w:eastAsia="宋体" w:cs="宋体"/>
          <w:spacing w:val="-8"/>
          <w:sz w:val="21"/>
          <w:szCs w:val="21"/>
        </w:rPr>
        <w:t>包</w:t>
      </w:r>
      <w:r>
        <w:rPr>
          <w:rFonts w:ascii="宋体" w:hAnsi="宋体" w:eastAsia="宋体" w:cs="宋体"/>
          <w:spacing w:val="23"/>
          <w:sz w:val="21"/>
          <w:szCs w:val="21"/>
        </w:rPr>
        <w:t xml:space="preserve">   </w:t>
      </w:r>
      <w:r>
        <w:rPr>
          <w:rFonts w:ascii="宋体" w:hAnsi="宋体" w:eastAsia="宋体" w:cs="宋体"/>
          <w:spacing w:val="-8"/>
          <w:sz w:val="21"/>
          <w:szCs w:val="21"/>
        </w:rPr>
        <w:t>人    提</w:t>
      </w:r>
      <w:r>
        <w:rPr>
          <w:rFonts w:ascii="宋体" w:hAnsi="宋体" w:eastAsia="宋体" w:cs="宋体"/>
          <w:spacing w:val="23"/>
          <w:sz w:val="21"/>
          <w:szCs w:val="21"/>
        </w:rPr>
        <w:t xml:space="preserve">   </w:t>
      </w:r>
      <w:r>
        <w:rPr>
          <w:rFonts w:ascii="宋体" w:hAnsi="宋体" w:eastAsia="宋体" w:cs="宋体"/>
          <w:spacing w:val="-8"/>
          <w:sz w:val="21"/>
          <w:szCs w:val="21"/>
        </w:rPr>
        <w:t>供    国    外    标    准    、    规    范    的    份</w:t>
      </w:r>
    </w:p>
    <w:p w14:paraId="037B0DF0">
      <w:pPr>
        <w:spacing w:before="156" w:line="220" w:lineRule="auto"/>
        <w:ind w:left="25"/>
        <w:rPr>
          <w:rFonts w:ascii="宋体" w:hAnsi="宋体" w:eastAsia="宋体" w:cs="宋体"/>
          <w:sz w:val="21"/>
          <w:szCs w:val="21"/>
        </w:rPr>
      </w:pPr>
      <w:r>
        <w:rPr>
          <w:rFonts w:ascii="宋体" w:hAnsi="宋体" w:eastAsia="宋体" w:cs="宋体"/>
          <w:spacing w:val="-5"/>
          <w:sz w:val="21"/>
          <w:szCs w:val="21"/>
        </w:rPr>
        <w:t>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 xml:space="preserve"> </w:t>
      </w:r>
      <w:r>
        <w:rPr>
          <w:rFonts w:ascii="宋体" w:hAnsi="宋体" w:eastAsia="宋体" w:cs="宋体"/>
          <w:spacing w:val="-3"/>
          <w:sz w:val="21"/>
          <w:szCs w:val="21"/>
        </w:rPr>
        <w:t>；</w:t>
      </w:r>
    </w:p>
    <w:p w14:paraId="388C6225">
      <w:pPr>
        <w:spacing w:before="141" w:line="219" w:lineRule="auto"/>
        <w:ind w:right="5"/>
        <w:jc w:val="right"/>
        <w:rPr>
          <w:rFonts w:ascii="宋体" w:hAnsi="宋体" w:eastAsia="宋体" w:cs="宋体"/>
          <w:sz w:val="21"/>
          <w:szCs w:val="21"/>
        </w:rPr>
      </w:pPr>
      <w:r>
        <w:rPr>
          <w:rFonts w:ascii="宋体" w:hAnsi="宋体" w:eastAsia="宋体" w:cs="宋体"/>
          <w:spacing w:val="-7"/>
          <w:sz w:val="21"/>
          <w:szCs w:val="21"/>
        </w:rPr>
        <w:t>发</w:t>
      </w:r>
      <w:r>
        <w:rPr>
          <w:rFonts w:ascii="宋体" w:hAnsi="宋体" w:eastAsia="宋体" w:cs="宋体"/>
          <w:spacing w:val="23"/>
          <w:sz w:val="21"/>
          <w:szCs w:val="21"/>
        </w:rPr>
        <w:t xml:space="preserve">   </w:t>
      </w:r>
      <w:r>
        <w:rPr>
          <w:rFonts w:ascii="宋体" w:hAnsi="宋体" w:eastAsia="宋体" w:cs="宋体"/>
          <w:spacing w:val="-7"/>
          <w:sz w:val="21"/>
          <w:szCs w:val="21"/>
        </w:rPr>
        <w:t>包</w:t>
      </w:r>
      <w:r>
        <w:rPr>
          <w:rFonts w:ascii="宋体" w:hAnsi="宋体" w:eastAsia="宋体" w:cs="宋体"/>
          <w:spacing w:val="23"/>
          <w:sz w:val="21"/>
          <w:szCs w:val="21"/>
        </w:rPr>
        <w:t xml:space="preserve">   </w:t>
      </w:r>
      <w:r>
        <w:rPr>
          <w:rFonts w:ascii="宋体" w:hAnsi="宋体" w:eastAsia="宋体" w:cs="宋体"/>
          <w:spacing w:val="-7"/>
          <w:sz w:val="21"/>
          <w:szCs w:val="21"/>
        </w:rPr>
        <w:t>人    提</w:t>
      </w:r>
      <w:r>
        <w:rPr>
          <w:rFonts w:ascii="宋体" w:hAnsi="宋体" w:eastAsia="宋体" w:cs="宋体"/>
          <w:spacing w:val="23"/>
          <w:sz w:val="21"/>
          <w:szCs w:val="21"/>
        </w:rPr>
        <w:t xml:space="preserve">   </w:t>
      </w:r>
      <w:r>
        <w:rPr>
          <w:rFonts w:ascii="宋体" w:hAnsi="宋体" w:eastAsia="宋体" w:cs="宋体"/>
          <w:spacing w:val="-7"/>
          <w:sz w:val="21"/>
          <w:szCs w:val="21"/>
        </w:rPr>
        <w:t xml:space="preserve">供    国    外  </w:t>
      </w:r>
      <w:r>
        <w:rPr>
          <w:rFonts w:ascii="宋体" w:hAnsi="宋体" w:eastAsia="宋体" w:cs="宋体"/>
          <w:spacing w:val="-8"/>
          <w:sz w:val="21"/>
          <w:szCs w:val="21"/>
        </w:rPr>
        <w:t xml:space="preserve">  标    准    、    规    范    的    名</w:t>
      </w:r>
    </w:p>
    <w:p w14:paraId="06849E15">
      <w:pPr>
        <w:spacing w:before="156" w:line="222" w:lineRule="auto"/>
        <w:ind w:left="23"/>
        <w:rPr>
          <w:rFonts w:ascii="宋体" w:hAnsi="宋体" w:eastAsia="宋体" w:cs="宋体"/>
          <w:sz w:val="21"/>
          <w:szCs w:val="21"/>
        </w:rPr>
      </w:pPr>
      <w:r>
        <w:rPr>
          <w:rFonts w:ascii="宋体" w:hAnsi="宋体" w:eastAsia="宋体" w:cs="宋体"/>
          <w:spacing w:val="-2"/>
          <w:sz w:val="21"/>
          <w:szCs w:val="21"/>
        </w:rPr>
        <w:t>称：</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p>
    <w:p w14:paraId="305EF6E8">
      <w:pPr>
        <w:spacing w:before="152" w:line="220" w:lineRule="auto"/>
        <w:ind w:left="460"/>
        <w:rPr>
          <w:rFonts w:ascii="宋体" w:hAnsi="宋体" w:eastAsia="宋体" w:cs="宋体"/>
          <w:sz w:val="21"/>
          <w:szCs w:val="21"/>
        </w:rPr>
      </w:pPr>
      <w:r>
        <w:rPr>
          <w:rFonts w:ascii="宋体" w:hAnsi="宋体" w:eastAsia="宋体" w:cs="宋体"/>
          <w:spacing w:val="-3"/>
          <w:sz w:val="21"/>
          <w:szCs w:val="21"/>
        </w:rPr>
        <w:t>1.4.3</w:t>
      </w:r>
      <w:r>
        <w:rPr>
          <w:rFonts w:ascii="宋体" w:hAnsi="宋体" w:eastAsia="宋体" w:cs="宋体"/>
          <w:spacing w:val="-24"/>
          <w:sz w:val="21"/>
          <w:szCs w:val="21"/>
        </w:rPr>
        <w:t xml:space="preserve"> </w:t>
      </w:r>
      <w:r>
        <w:rPr>
          <w:rFonts w:ascii="宋体" w:hAnsi="宋体" w:eastAsia="宋体" w:cs="宋体"/>
          <w:spacing w:val="-3"/>
          <w:sz w:val="21"/>
          <w:szCs w:val="21"/>
        </w:rPr>
        <w:t>发包人对工程的技术标准和功能要求的特殊要求：</w:t>
      </w:r>
    </w:p>
    <w:p w14:paraId="6C25DCBC">
      <w:pPr>
        <w:pStyle w:val="2"/>
        <w:tabs>
          <w:tab w:val="left" w:pos="8320"/>
          <w:tab w:val="left" w:pos="8335"/>
        </w:tabs>
        <w:spacing w:before="162" w:line="383" w:lineRule="auto"/>
        <w:ind w:left="15"/>
      </w:pPr>
      <w:r>
        <w:rPr>
          <w:u w:val="single" w:color="auto"/>
        </w:rPr>
        <w:tab/>
      </w:r>
      <w:r>
        <w:rPr>
          <w:u w:val="single" w:color="auto"/>
        </w:rPr>
        <w:tab/>
      </w:r>
      <w:r>
        <w:t xml:space="preserve"> </w:t>
      </w:r>
      <w:r>
        <w:rPr>
          <w:u w:val="single" w:color="auto"/>
        </w:rPr>
        <w:tab/>
      </w:r>
    </w:p>
    <w:p w14:paraId="1D3E388A">
      <w:pPr>
        <w:spacing w:before="155" w:line="45" w:lineRule="exact"/>
        <w:ind w:left="465"/>
        <w:rPr>
          <w:rFonts w:ascii="宋体" w:hAnsi="宋体" w:eastAsia="宋体" w:cs="宋体"/>
          <w:sz w:val="21"/>
          <w:szCs w:val="21"/>
        </w:rPr>
      </w:pPr>
      <w:r>
        <w:pict>
          <v:shape id="_x0000_s1056" o:spid="_x0000_s1056" o:spt="202" type="#_x0000_t202" style="position:absolute;left:0pt;margin-left:-0.2pt;margin-top:1pt;height:14.1pt;width:23.05pt;z-index:251697152;mso-width-relative:page;mso-height-relative:page;" filled="f" stroked="f" coordsize="21600,21600">
            <v:path/>
            <v:fill on="f" focussize="0,0"/>
            <v:stroke on="f"/>
            <v:imagedata o:title=""/>
            <o:lock v:ext="edit" aspectratio="f"/>
            <v:textbox inset="0mm,0mm,0mm,0mm">
              <w:txbxContent>
                <w:p w14:paraId="7BB6496C">
                  <w:pPr>
                    <w:pStyle w:val="2"/>
                    <w:tabs>
                      <w:tab w:val="left" w:pos="440"/>
                    </w:tabs>
                    <w:spacing w:before="19"/>
                    <w:ind w:left="20"/>
                  </w:pPr>
                  <w:r>
                    <w:rPr>
                      <w:u w:val="single" w:color="auto"/>
                    </w:rPr>
                    <w:tab/>
                  </w:r>
                </w:p>
              </w:txbxContent>
            </v:textbox>
          </v:shape>
        </w:pict>
      </w:r>
      <w:r>
        <w:rPr>
          <w:rFonts w:ascii="宋体" w:hAnsi="宋体" w:eastAsia="宋体" w:cs="宋体"/>
          <w:position w:val="-1"/>
          <w:sz w:val="21"/>
          <w:szCs w:val="21"/>
        </w:rPr>
        <w:t>。</w:t>
      </w:r>
    </w:p>
    <w:p w14:paraId="063EABC7">
      <w:pPr>
        <w:spacing w:before="184" w:line="232" w:lineRule="auto"/>
        <w:ind w:left="31"/>
        <w:outlineLvl w:val="1"/>
        <w:rPr>
          <w:rFonts w:ascii="黑体" w:hAnsi="黑体" w:eastAsia="黑体" w:cs="黑体"/>
          <w:sz w:val="24"/>
          <w:szCs w:val="24"/>
        </w:rPr>
      </w:pPr>
      <w:bookmarkStart w:id="503" w:name="bookmark437"/>
      <w:bookmarkEnd w:id="503"/>
      <w:r>
        <w:rPr>
          <w:rFonts w:ascii="Times New Roman" w:hAnsi="Times New Roman" w:eastAsia="Times New Roman" w:cs="Times New Roman"/>
          <w:b/>
          <w:bCs/>
          <w:spacing w:val="1"/>
          <w:sz w:val="24"/>
          <w:szCs w:val="24"/>
        </w:rPr>
        <w:t xml:space="preserve">1.5  </w:t>
      </w:r>
      <w:r>
        <w:rPr>
          <w:rFonts w:ascii="黑体" w:hAnsi="黑体" w:eastAsia="黑体" w:cs="黑体"/>
          <w:b/>
          <w:bCs/>
          <w:spacing w:val="1"/>
          <w:sz w:val="24"/>
          <w:szCs w:val="24"/>
        </w:rPr>
        <w:t>合同文件的优先顺序</w:t>
      </w:r>
    </w:p>
    <w:p w14:paraId="4B44EA4F">
      <w:pPr>
        <w:spacing w:before="129" w:line="220" w:lineRule="auto"/>
        <w:ind w:left="445"/>
        <w:rPr>
          <w:rFonts w:ascii="宋体" w:hAnsi="宋体" w:eastAsia="宋体" w:cs="宋体"/>
          <w:sz w:val="21"/>
          <w:szCs w:val="21"/>
        </w:rPr>
      </w:pPr>
      <w:r>
        <w:rPr>
          <w:rFonts w:ascii="宋体" w:hAnsi="宋体" w:eastAsia="宋体" w:cs="宋体"/>
          <w:spacing w:val="-4"/>
          <w:sz w:val="21"/>
          <w:szCs w:val="21"/>
        </w:rPr>
        <w:t>合同文件组成及优先顺序为：</w:t>
      </w:r>
    </w:p>
    <w:p w14:paraId="4409DAAF">
      <w:pPr>
        <w:pStyle w:val="2"/>
        <w:tabs>
          <w:tab w:val="left" w:pos="8335"/>
        </w:tabs>
        <w:spacing w:before="176" w:line="368" w:lineRule="auto"/>
        <w:ind w:left="15"/>
      </w:pPr>
      <w:r>
        <w:rPr>
          <w:u w:val="single" w:color="auto"/>
        </w:rPr>
        <w:tab/>
      </w:r>
      <w:r>
        <w:t xml:space="preserve"> </w:t>
      </w:r>
      <w:r>
        <w:rPr>
          <w:u w:val="single" w:color="auto"/>
        </w:rPr>
        <w:tab/>
      </w:r>
    </w:p>
    <w:p w14:paraId="4E6E22CF">
      <w:pPr>
        <w:spacing w:before="170" w:line="46" w:lineRule="exact"/>
        <w:ind w:left="675"/>
        <w:rPr>
          <w:rFonts w:ascii="宋体" w:hAnsi="宋体" w:eastAsia="宋体" w:cs="宋体"/>
          <w:sz w:val="21"/>
          <w:szCs w:val="21"/>
        </w:rPr>
      </w:pPr>
      <w:r>
        <w:pict>
          <v:shape id="_x0000_s1057" o:spid="_x0000_s1057" o:spt="202" type="#_x0000_t202" style="position:absolute;left:0pt;margin-left:-0.2pt;margin-top:1.75pt;height:14.1pt;width:33.55pt;z-index:251696128;mso-width-relative:page;mso-height-relative:page;" filled="f" stroked="f" coordsize="21600,21600">
            <v:path/>
            <v:fill on="f" focussize="0,0"/>
            <v:stroke on="f"/>
            <v:imagedata o:title=""/>
            <o:lock v:ext="edit" aspectratio="f"/>
            <v:textbox inset="0mm,0mm,0mm,0mm">
              <w:txbxContent>
                <w:p w14:paraId="5CC2E36C">
                  <w:pPr>
                    <w:pStyle w:val="2"/>
                    <w:tabs>
                      <w:tab w:val="left" w:pos="650"/>
                    </w:tabs>
                    <w:spacing w:before="19"/>
                    <w:ind w:left="20"/>
                  </w:pPr>
                  <w:r>
                    <w:rPr>
                      <w:u w:val="single" w:color="auto"/>
                    </w:rPr>
                    <w:tab/>
                  </w:r>
                </w:p>
              </w:txbxContent>
            </v:textbox>
          </v:shape>
        </w:pict>
      </w:r>
      <w:r>
        <w:rPr>
          <w:rFonts w:ascii="宋体" w:hAnsi="宋体" w:eastAsia="宋体" w:cs="宋体"/>
          <w:position w:val="-1"/>
          <w:sz w:val="21"/>
          <w:szCs w:val="21"/>
        </w:rPr>
        <w:t>。</w:t>
      </w:r>
    </w:p>
    <w:p w14:paraId="41331588">
      <w:pPr>
        <w:spacing w:before="197" w:line="233" w:lineRule="auto"/>
        <w:ind w:left="31"/>
        <w:outlineLvl w:val="1"/>
        <w:rPr>
          <w:rFonts w:ascii="黑体" w:hAnsi="黑体" w:eastAsia="黑体" w:cs="黑体"/>
          <w:sz w:val="24"/>
          <w:szCs w:val="24"/>
        </w:rPr>
      </w:pPr>
      <w:bookmarkStart w:id="504" w:name="bookmark438"/>
      <w:bookmarkEnd w:id="504"/>
      <w:r>
        <w:rPr>
          <w:rFonts w:ascii="Times New Roman" w:hAnsi="Times New Roman" w:eastAsia="Times New Roman" w:cs="Times New Roman"/>
          <w:b/>
          <w:bCs/>
          <w:sz w:val="24"/>
          <w:szCs w:val="24"/>
        </w:rPr>
        <w:t>1.6</w:t>
      </w:r>
      <w:r>
        <w:rPr>
          <w:rFonts w:ascii="Times New Roman" w:hAnsi="Times New Roman" w:eastAsia="Times New Roman" w:cs="Times New Roman"/>
          <w:b/>
          <w:bCs/>
          <w:spacing w:val="13"/>
          <w:sz w:val="24"/>
          <w:szCs w:val="24"/>
        </w:rPr>
        <w:t xml:space="preserve">  </w:t>
      </w:r>
      <w:r>
        <w:rPr>
          <w:rFonts w:ascii="黑体" w:hAnsi="黑体" w:eastAsia="黑体" w:cs="黑体"/>
          <w:b/>
          <w:bCs/>
          <w:sz w:val="24"/>
          <w:szCs w:val="24"/>
        </w:rPr>
        <w:t>图纸和承包人文件</w:t>
      </w:r>
    </w:p>
    <w:p w14:paraId="0FB306A0">
      <w:pPr>
        <w:spacing w:before="114" w:line="219" w:lineRule="auto"/>
        <w:ind w:left="460"/>
        <w:rPr>
          <w:rFonts w:ascii="宋体" w:hAnsi="宋体" w:eastAsia="宋体" w:cs="宋体"/>
          <w:sz w:val="21"/>
          <w:szCs w:val="21"/>
        </w:rPr>
      </w:pPr>
      <w:r>
        <w:rPr>
          <w:rFonts w:ascii="宋体" w:hAnsi="宋体" w:eastAsia="宋体" w:cs="宋体"/>
          <w:spacing w:val="-5"/>
          <w:sz w:val="21"/>
          <w:szCs w:val="21"/>
        </w:rPr>
        <w:t>1.6.1</w:t>
      </w:r>
      <w:r>
        <w:rPr>
          <w:rFonts w:ascii="宋体" w:hAnsi="宋体" w:eastAsia="宋体" w:cs="宋体"/>
          <w:spacing w:val="33"/>
          <w:sz w:val="21"/>
          <w:szCs w:val="21"/>
        </w:rPr>
        <w:t xml:space="preserve"> </w:t>
      </w:r>
      <w:r>
        <w:rPr>
          <w:rFonts w:ascii="宋体" w:hAnsi="宋体" w:eastAsia="宋体" w:cs="宋体"/>
          <w:spacing w:val="-5"/>
          <w:sz w:val="21"/>
          <w:szCs w:val="21"/>
        </w:rPr>
        <w:t>图纸的提供</w:t>
      </w:r>
    </w:p>
    <w:p w14:paraId="6E56F81C">
      <w:pPr>
        <w:spacing w:before="156" w:line="219" w:lineRule="auto"/>
        <w:ind w:left="448"/>
        <w:rPr>
          <w:rFonts w:ascii="宋体" w:hAnsi="宋体" w:eastAsia="宋体" w:cs="宋体"/>
          <w:sz w:val="21"/>
          <w:szCs w:val="21"/>
        </w:rPr>
      </w:pPr>
      <w:r>
        <w:rPr>
          <w:rFonts w:ascii="宋体" w:hAnsi="宋体" w:eastAsia="宋体" w:cs="宋体"/>
          <w:spacing w:val="-1"/>
          <w:sz w:val="21"/>
          <w:szCs w:val="21"/>
        </w:rPr>
        <w:t>发包人向承包人提供图纸的期限</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6255A679">
      <w:pPr>
        <w:spacing w:line="219" w:lineRule="auto"/>
        <w:rPr>
          <w:rFonts w:ascii="宋体" w:hAnsi="宋体" w:eastAsia="宋体" w:cs="宋体"/>
          <w:sz w:val="21"/>
          <w:szCs w:val="21"/>
        </w:rPr>
        <w:sectPr>
          <w:footerReference r:id="rId205" w:type="default"/>
          <w:pgSz w:w="11910" w:h="16845"/>
          <w:pgMar w:top="400" w:right="1786" w:bottom="1110" w:left="1786" w:header="0" w:footer="883" w:gutter="0"/>
          <w:cols w:space="720" w:num="1"/>
        </w:sectPr>
      </w:pPr>
    </w:p>
    <w:p w14:paraId="760188F0">
      <w:pPr>
        <w:pStyle w:val="2"/>
        <w:spacing w:line="275" w:lineRule="auto"/>
      </w:pPr>
    </w:p>
    <w:p w14:paraId="2F70B78E">
      <w:pPr>
        <w:pStyle w:val="2"/>
        <w:spacing w:line="275" w:lineRule="auto"/>
      </w:pPr>
    </w:p>
    <w:p w14:paraId="5456C1F1">
      <w:pPr>
        <w:pStyle w:val="2"/>
        <w:spacing w:line="275" w:lineRule="auto"/>
      </w:pPr>
    </w:p>
    <w:p w14:paraId="10ECFC12">
      <w:pPr>
        <w:pStyle w:val="2"/>
        <w:spacing w:line="275" w:lineRule="auto"/>
      </w:pPr>
    </w:p>
    <w:p w14:paraId="0D4C3794">
      <w:pPr>
        <w:spacing w:before="69" w:line="219" w:lineRule="auto"/>
        <w:ind w:left="448"/>
        <w:rPr>
          <w:rFonts w:ascii="宋体" w:hAnsi="宋体" w:eastAsia="宋体" w:cs="宋体"/>
          <w:sz w:val="21"/>
          <w:szCs w:val="21"/>
        </w:rPr>
      </w:pPr>
      <w:r>
        <w:rPr>
          <w:rFonts w:ascii="宋体" w:hAnsi="宋体" w:eastAsia="宋体" w:cs="宋体"/>
          <w:spacing w:val="-1"/>
          <w:sz w:val="21"/>
          <w:szCs w:val="21"/>
        </w:rPr>
        <w:t>发包人向承包人提供图纸的数量</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7BB57A6C">
      <w:pPr>
        <w:spacing w:before="156" w:line="219" w:lineRule="auto"/>
        <w:ind w:left="448"/>
        <w:rPr>
          <w:rFonts w:ascii="宋体" w:hAnsi="宋体" w:eastAsia="宋体" w:cs="宋体"/>
          <w:sz w:val="21"/>
          <w:szCs w:val="21"/>
        </w:rPr>
      </w:pPr>
      <w:r>
        <w:rPr>
          <w:rFonts w:ascii="宋体" w:hAnsi="宋体" w:eastAsia="宋体" w:cs="宋体"/>
          <w:sz w:val="21"/>
          <w:szCs w:val="21"/>
        </w:rPr>
        <w:t>发包人向承包人提供图纸的内容：</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E15A727">
      <w:pPr>
        <w:spacing w:before="140" w:line="220" w:lineRule="auto"/>
        <w:ind w:left="460"/>
        <w:rPr>
          <w:rFonts w:ascii="宋体" w:hAnsi="宋体" w:eastAsia="宋体" w:cs="宋体"/>
          <w:sz w:val="21"/>
          <w:szCs w:val="21"/>
        </w:rPr>
      </w:pPr>
      <w:r>
        <w:rPr>
          <w:rFonts w:ascii="宋体" w:hAnsi="宋体" w:eastAsia="宋体" w:cs="宋体"/>
          <w:spacing w:val="-2"/>
          <w:sz w:val="21"/>
          <w:szCs w:val="21"/>
        </w:rPr>
        <w:t>1.6.4 承包人文件</w:t>
      </w:r>
    </w:p>
    <w:p w14:paraId="54416516">
      <w:pPr>
        <w:pStyle w:val="2"/>
        <w:tabs>
          <w:tab w:val="left" w:pos="645"/>
        </w:tabs>
        <w:spacing w:before="154" w:line="404" w:lineRule="auto"/>
        <w:ind w:left="15" w:firstLine="440"/>
      </w:pPr>
      <w:r>
        <w:rPr>
          <w:rFonts w:ascii="宋体" w:hAnsi="宋体" w:eastAsia="宋体" w:cs="宋体"/>
          <w:spacing w:val="-15"/>
        </w:rPr>
        <w:t>需</w:t>
      </w:r>
      <w:r>
        <w:rPr>
          <w:rFonts w:ascii="宋体" w:hAnsi="宋体" w:eastAsia="宋体" w:cs="宋体"/>
          <w:spacing w:val="30"/>
        </w:rPr>
        <w:t xml:space="preserve">  </w:t>
      </w:r>
      <w:r>
        <w:rPr>
          <w:rFonts w:ascii="宋体" w:hAnsi="宋体" w:eastAsia="宋体" w:cs="宋体"/>
          <w:spacing w:val="-15"/>
        </w:rPr>
        <w:t>要</w:t>
      </w:r>
      <w:r>
        <w:rPr>
          <w:rFonts w:ascii="宋体" w:hAnsi="宋体" w:eastAsia="宋体" w:cs="宋体"/>
          <w:spacing w:val="40"/>
        </w:rPr>
        <w:t xml:space="preserve">  </w:t>
      </w:r>
      <w:r>
        <w:rPr>
          <w:rFonts w:ascii="宋体" w:hAnsi="宋体" w:eastAsia="宋体" w:cs="宋体"/>
          <w:spacing w:val="-15"/>
        </w:rPr>
        <w:t>由</w:t>
      </w:r>
      <w:r>
        <w:rPr>
          <w:rFonts w:ascii="宋体" w:hAnsi="宋体" w:eastAsia="宋体" w:cs="宋体"/>
          <w:spacing w:val="27"/>
        </w:rPr>
        <w:t xml:space="preserve">  </w:t>
      </w:r>
      <w:r>
        <w:rPr>
          <w:rFonts w:ascii="宋体" w:hAnsi="宋体" w:eastAsia="宋体" w:cs="宋体"/>
          <w:spacing w:val="-15"/>
        </w:rPr>
        <w:t>承</w:t>
      </w:r>
      <w:r>
        <w:rPr>
          <w:rFonts w:ascii="宋体" w:hAnsi="宋体" w:eastAsia="宋体" w:cs="宋体"/>
          <w:spacing w:val="34"/>
        </w:rPr>
        <w:t xml:space="preserve">  </w:t>
      </w:r>
      <w:r>
        <w:rPr>
          <w:rFonts w:ascii="宋体" w:hAnsi="宋体" w:eastAsia="宋体" w:cs="宋体"/>
          <w:spacing w:val="-15"/>
        </w:rPr>
        <w:t>包</w:t>
      </w:r>
      <w:r>
        <w:rPr>
          <w:rFonts w:ascii="宋体" w:hAnsi="宋体" w:eastAsia="宋体" w:cs="宋体"/>
          <w:spacing w:val="28"/>
        </w:rPr>
        <w:t xml:space="preserve">  </w:t>
      </w:r>
      <w:r>
        <w:rPr>
          <w:rFonts w:ascii="宋体" w:hAnsi="宋体" w:eastAsia="宋体" w:cs="宋体"/>
          <w:spacing w:val="-15"/>
        </w:rPr>
        <w:t>人</w:t>
      </w:r>
      <w:r>
        <w:rPr>
          <w:rFonts w:ascii="宋体" w:hAnsi="宋体" w:eastAsia="宋体" w:cs="宋体"/>
          <w:spacing w:val="27"/>
        </w:rPr>
        <w:t xml:space="preserve">  </w:t>
      </w:r>
      <w:r>
        <w:rPr>
          <w:rFonts w:ascii="宋体" w:hAnsi="宋体" w:eastAsia="宋体" w:cs="宋体"/>
          <w:spacing w:val="-15"/>
        </w:rPr>
        <w:t>提</w:t>
      </w:r>
      <w:r>
        <w:rPr>
          <w:rFonts w:ascii="宋体" w:hAnsi="宋体" w:eastAsia="宋体" w:cs="宋体"/>
          <w:spacing w:val="34"/>
        </w:rPr>
        <w:t xml:space="preserve">  </w:t>
      </w:r>
      <w:r>
        <w:rPr>
          <w:rFonts w:ascii="宋体" w:hAnsi="宋体" w:eastAsia="宋体" w:cs="宋体"/>
          <w:spacing w:val="-15"/>
        </w:rPr>
        <w:t>供</w:t>
      </w:r>
      <w:r>
        <w:rPr>
          <w:rFonts w:ascii="宋体" w:hAnsi="宋体" w:eastAsia="宋体" w:cs="宋体"/>
          <w:spacing w:val="35"/>
        </w:rPr>
        <w:t xml:space="preserve">  </w:t>
      </w:r>
      <w:r>
        <w:rPr>
          <w:rFonts w:ascii="宋体" w:hAnsi="宋体" w:eastAsia="宋体" w:cs="宋体"/>
          <w:spacing w:val="-15"/>
        </w:rPr>
        <w:t>的</w:t>
      </w:r>
      <w:r>
        <w:rPr>
          <w:rFonts w:ascii="宋体" w:hAnsi="宋体" w:eastAsia="宋体" w:cs="宋体"/>
          <w:spacing w:val="35"/>
        </w:rPr>
        <w:t xml:space="preserve">  </w:t>
      </w:r>
      <w:r>
        <w:rPr>
          <w:rFonts w:ascii="宋体" w:hAnsi="宋体" w:eastAsia="宋体" w:cs="宋体"/>
          <w:spacing w:val="-15"/>
        </w:rPr>
        <w:t>文</w:t>
      </w:r>
      <w:r>
        <w:rPr>
          <w:rFonts w:ascii="宋体" w:hAnsi="宋体" w:eastAsia="宋体" w:cs="宋体"/>
          <w:spacing w:val="27"/>
        </w:rPr>
        <w:t xml:space="preserve">  </w:t>
      </w:r>
      <w:r>
        <w:rPr>
          <w:rFonts w:ascii="宋体" w:hAnsi="宋体" w:eastAsia="宋体" w:cs="宋体"/>
          <w:spacing w:val="-15"/>
        </w:rPr>
        <w:t>件</w:t>
      </w:r>
      <w:r>
        <w:rPr>
          <w:rFonts w:ascii="宋体" w:hAnsi="宋体" w:eastAsia="宋体" w:cs="宋体"/>
          <w:spacing w:val="35"/>
        </w:rPr>
        <w:t xml:space="preserve">  </w:t>
      </w:r>
      <w:r>
        <w:rPr>
          <w:rFonts w:ascii="宋体" w:hAnsi="宋体" w:eastAsia="宋体" w:cs="宋体"/>
          <w:spacing w:val="-15"/>
        </w:rPr>
        <w:t>，</w:t>
      </w:r>
      <w:r>
        <w:rPr>
          <w:rFonts w:ascii="宋体" w:hAnsi="宋体" w:eastAsia="宋体" w:cs="宋体"/>
          <w:spacing w:val="34"/>
        </w:rPr>
        <w:t xml:space="preserve">  </w:t>
      </w:r>
      <w:r>
        <w:rPr>
          <w:rFonts w:ascii="宋体" w:hAnsi="宋体" w:eastAsia="宋体" w:cs="宋体"/>
          <w:spacing w:val="-15"/>
        </w:rPr>
        <w:t>包</w:t>
      </w:r>
      <w:r>
        <w:rPr>
          <w:rFonts w:ascii="宋体" w:hAnsi="宋体" w:eastAsia="宋体" w:cs="宋体"/>
          <w:spacing w:val="27"/>
        </w:rPr>
        <w:t xml:space="preserve">  </w:t>
      </w:r>
      <w:r>
        <w:rPr>
          <w:rFonts w:ascii="宋体" w:hAnsi="宋体" w:eastAsia="宋体" w:cs="宋体"/>
          <w:spacing w:val="-15"/>
        </w:rPr>
        <w:t>括</w:t>
      </w:r>
      <w:r>
        <w:rPr>
          <w:rFonts w:ascii="宋体" w:hAnsi="宋体" w:eastAsia="宋体" w:cs="宋体"/>
          <w:spacing w:val="36"/>
        </w:rPr>
        <w:t xml:space="preserve">  </w:t>
      </w:r>
      <w:r>
        <w:rPr>
          <w:rFonts w:ascii="宋体" w:hAnsi="宋体" w:eastAsia="宋体" w:cs="宋体"/>
          <w:spacing w:val="-15"/>
        </w:rPr>
        <w:t>：</w:t>
      </w:r>
      <w:r>
        <w:rPr>
          <w:rFonts w:ascii="宋体" w:hAnsi="宋体" w:eastAsia="宋体" w:cs="宋体"/>
          <w:spacing w:val="25"/>
        </w:rPr>
        <w:t xml:space="preserve">  </w:t>
      </w:r>
      <w:r>
        <w:rPr>
          <w:rFonts w:ascii="宋体" w:hAnsi="宋体" w:eastAsia="宋体" w:cs="宋体"/>
          <w:spacing w:val="2"/>
          <w:u w:val="single" w:color="auto"/>
        </w:rPr>
        <w:t xml:space="preserve">        </w:t>
      </w:r>
      <w:r>
        <w:rPr>
          <w:u w:val="single" w:color="auto"/>
        </w:rPr>
        <w:tab/>
      </w:r>
    </w:p>
    <w:p w14:paraId="41E0BC4B">
      <w:pPr>
        <w:pStyle w:val="2"/>
        <w:spacing w:line="265" w:lineRule="auto"/>
      </w:pPr>
      <w:r>
        <w:pict>
          <v:shape id="_x0000_s1058" o:spid="_x0000_s1058" style="position:absolute;left:0pt;margin-left:21.8pt;margin-top:7pt;height:0.75pt;width:357.45pt;z-index:251700224;mso-width-relative:page;mso-height-relative:page;" fillcolor="#000000" filled="t" stroked="f" coordsize="7149,15" path="m0,15l7148,15,7148,0,0,0,0,15xe">
            <v:path/>
            <v:fill on="t" focussize="0,0"/>
            <v:stroke on="f"/>
            <v:imagedata o:title=""/>
            <o:lock v:ext="edit"/>
          </v:shape>
        </w:pict>
      </w:r>
    </w:p>
    <w:p w14:paraId="496FA2ED">
      <w:pPr>
        <w:tabs>
          <w:tab w:val="left" w:pos="1065"/>
        </w:tabs>
        <w:spacing w:before="69" w:line="222"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7"/>
          <w:sz w:val="21"/>
          <w:szCs w:val="21"/>
        </w:rPr>
        <w:t xml:space="preserve"> </w:t>
      </w:r>
      <w:r>
        <w:rPr>
          <w:rFonts w:ascii="宋体" w:hAnsi="宋体" w:eastAsia="宋体" w:cs="宋体"/>
          <w:sz w:val="21"/>
          <w:szCs w:val="21"/>
        </w:rPr>
        <w:t>;</w:t>
      </w:r>
    </w:p>
    <w:p w14:paraId="50D8F878">
      <w:pPr>
        <w:spacing w:before="152" w:line="219" w:lineRule="auto"/>
        <w:ind w:left="444"/>
        <w:rPr>
          <w:rFonts w:ascii="宋体" w:hAnsi="宋体" w:eastAsia="宋体" w:cs="宋体"/>
          <w:sz w:val="21"/>
          <w:szCs w:val="21"/>
        </w:rPr>
      </w:pPr>
      <w:r>
        <w:rPr>
          <w:rFonts w:ascii="宋体" w:hAnsi="宋体" w:eastAsia="宋体" w:cs="宋体"/>
          <w:spacing w:val="-1"/>
          <w:sz w:val="21"/>
          <w:szCs w:val="21"/>
        </w:rPr>
        <w:t>承包人提供的文件的期限为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89CECAD">
      <w:pPr>
        <w:spacing w:before="142" w:line="219" w:lineRule="auto"/>
        <w:ind w:left="444"/>
        <w:rPr>
          <w:rFonts w:ascii="宋体" w:hAnsi="宋体" w:eastAsia="宋体" w:cs="宋体"/>
          <w:sz w:val="21"/>
          <w:szCs w:val="21"/>
        </w:rPr>
      </w:pPr>
      <w:r>
        <w:rPr>
          <w:rFonts w:ascii="宋体" w:hAnsi="宋体" w:eastAsia="宋体" w:cs="宋体"/>
          <w:spacing w:val="-1"/>
          <w:sz w:val="21"/>
          <w:szCs w:val="21"/>
        </w:rPr>
        <w:t>承包人提供的文件的数量为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10AFEB7C">
      <w:pPr>
        <w:spacing w:before="156" w:line="219" w:lineRule="auto"/>
        <w:ind w:left="444"/>
        <w:rPr>
          <w:rFonts w:ascii="宋体" w:hAnsi="宋体" w:eastAsia="宋体" w:cs="宋体"/>
          <w:sz w:val="21"/>
          <w:szCs w:val="21"/>
        </w:rPr>
      </w:pPr>
      <w:r>
        <w:rPr>
          <w:rFonts w:ascii="宋体" w:hAnsi="宋体" w:eastAsia="宋体" w:cs="宋体"/>
          <w:spacing w:val="-1"/>
          <w:sz w:val="21"/>
          <w:szCs w:val="21"/>
        </w:rPr>
        <w:t>承包人提供的文件的形式为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3D036446">
      <w:pPr>
        <w:spacing w:before="156" w:line="220" w:lineRule="auto"/>
        <w:ind w:left="448"/>
        <w:rPr>
          <w:rFonts w:ascii="宋体" w:hAnsi="宋体" w:eastAsia="宋体" w:cs="宋体"/>
          <w:sz w:val="21"/>
          <w:szCs w:val="21"/>
        </w:rPr>
      </w:pPr>
      <w:r>
        <w:rPr>
          <w:rFonts w:ascii="宋体" w:hAnsi="宋体" w:eastAsia="宋体" w:cs="宋体"/>
          <w:sz w:val="21"/>
          <w:szCs w:val="21"/>
        </w:rPr>
        <w:t>发包人审批承包人文件的期限：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06A77C3">
      <w:pPr>
        <w:spacing w:before="141" w:line="220" w:lineRule="auto"/>
        <w:ind w:left="460"/>
        <w:rPr>
          <w:rFonts w:ascii="宋体" w:hAnsi="宋体" w:eastAsia="宋体" w:cs="宋体"/>
          <w:sz w:val="21"/>
          <w:szCs w:val="21"/>
        </w:rPr>
      </w:pPr>
      <w:r>
        <w:rPr>
          <w:rFonts w:ascii="宋体" w:hAnsi="宋体" w:eastAsia="宋体" w:cs="宋体"/>
          <w:spacing w:val="-2"/>
          <w:sz w:val="21"/>
          <w:szCs w:val="21"/>
        </w:rPr>
        <w:t>1.6.5 现场图纸准备</w:t>
      </w:r>
    </w:p>
    <w:p w14:paraId="1065BE0C">
      <w:pPr>
        <w:spacing w:before="155" w:line="220" w:lineRule="auto"/>
        <w:ind w:left="448"/>
        <w:rPr>
          <w:rFonts w:ascii="宋体" w:hAnsi="宋体" w:eastAsia="宋体" w:cs="宋体"/>
          <w:sz w:val="21"/>
          <w:szCs w:val="21"/>
        </w:rPr>
      </w:pPr>
      <w:r>
        <w:rPr>
          <w:rFonts w:ascii="宋体" w:hAnsi="宋体" w:eastAsia="宋体" w:cs="宋体"/>
          <w:sz w:val="21"/>
          <w:szCs w:val="21"/>
        </w:rPr>
        <w:t>关于现场图纸准备的约定：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0FAD3BB">
      <w:pPr>
        <w:spacing w:before="129" w:line="232" w:lineRule="auto"/>
        <w:ind w:left="31"/>
        <w:outlineLvl w:val="1"/>
        <w:rPr>
          <w:rFonts w:ascii="黑体" w:hAnsi="黑体" w:eastAsia="黑体" w:cs="黑体"/>
          <w:sz w:val="24"/>
          <w:szCs w:val="24"/>
        </w:rPr>
      </w:pPr>
      <w:bookmarkStart w:id="505" w:name="bookmark439"/>
      <w:bookmarkEnd w:id="505"/>
      <w:r>
        <w:rPr>
          <w:rFonts w:ascii="Times New Roman" w:hAnsi="Times New Roman" w:eastAsia="Times New Roman" w:cs="Times New Roman"/>
          <w:b/>
          <w:bCs/>
          <w:spacing w:val="-4"/>
          <w:sz w:val="24"/>
          <w:szCs w:val="24"/>
        </w:rPr>
        <w:t>1.7</w:t>
      </w:r>
      <w:r>
        <w:rPr>
          <w:rFonts w:ascii="Times New Roman" w:hAnsi="Times New Roman" w:eastAsia="Times New Roman" w:cs="Times New Roman"/>
          <w:b/>
          <w:bCs/>
          <w:spacing w:val="7"/>
          <w:sz w:val="24"/>
          <w:szCs w:val="24"/>
        </w:rPr>
        <w:t xml:space="preserve">  </w:t>
      </w:r>
      <w:r>
        <w:rPr>
          <w:rFonts w:ascii="黑体" w:hAnsi="黑体" w:eastAsia="黑体" w:cs="黑体"/>
          <w:b/>
          <w:bCs/>
          <w:spacing w:val="-4"/>
          <w:sz w:val="24"/>
          <w:szCs w:val="24"/>
        </w:rPr>
        <w:t>联络</w:t>
      </w:r>
    </w:p>
    <w:p w14:paraId="58203ADF">
      <w:pPr>
        <w:spacing w:before="115" w:line="356" w:lineRule="auto"/>
        <w:ind w:left="25" w:right="10" w:firstLine="435"/>
        <w:rPr>
          <w:rFonts w:ascii="宋体" w:hAnsi="宋体" w:eastAsia="宋体" w:cs="宋体"/>
          <w:sz w:val="21"/>
          <w:szCs w:val="21"/>
        </w:rPr>
      </w:pPr>
      <w:r>
        <w:rPr>
          <w:rFonts w:ascii="宋体" w:hAnsi="宋体" w:eastAsia="宋体" w:cs="宋体"/>
          <w:spacing w:val="-2"/>
          <w:sz w:val="21"/>
          <w:szCs w:val="21"/>
        </w:rPr>
        <w:t>1.7.1</w:t>
      </w:r>
      <w:r>
        <w:rPr>
          <w:rFonts w:ascii="宋体" w:hAnsi="宋体" w:eastAsia="宋体" w:cs="宋体"/>
          <w:spacing w:val="-33"/>
          <w:sz w:val="21"/>
          <w:szCs w:val="21"/>
        </w:rPr>
        <w:t xml:space="preserve"> </w:t>
      </w:r>
      <w:r>
        <w:rPr>
          <w:rFonts w:ascii="宋体" w:hAnsi="宋体" w:eastAsia="宋体" w:cs="宋体"/>
          <w:spacing w:val="-2"/>
          <w:sz w:val="21"/>
          <w:szCs w:val="21"/>
        </w:rPr>
        <w:t>发包人和承包人应当在</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
          <w:sz w:val="21"/>
          <w:szCs w:val="21"/>
        </w:rPr>
        <w:t>天内将与合同有关的通知、批</w:t>
      </w:r>
      <w:r>
        <w:rPr>
          <w:rFonts w:ascii="宋体" w:hAnsi="宋体" w:eastAsia="宋体" w:cs="宋体"/>
          <w:spacing w:val="-3"/>
          <w:sz w:val="21"/>
          <w:szCs w:val="21"/>
        </w:rPr>
        <w:t>准、证明、证书、指</w:t>
      </w:r>
      <w:r>
        <w:rPr>
          <w:rFonts w:ascii="宋体" w:hAnsi="宋体" w:eastAsia="宋体" w:cs="宋体"/>
          <w:sz w:val="21"/>
          <w:szCs w:val="21"/>
        </w:rPr>
        <w:t>示、指令、要求、请求、同意、意见、确定和决定等书面函件送达对方当事人。</w:t>
      </w:r>
    </w:p>
    <w:p w14:paraId="2C99E3A9">
      <w:pPr>
        <w:spacing w:before="1" w:line="219" w:lineRule="auto"/>
        <w:ind w:left="460"/>
        <w:rPr>
          <w:rFonts w:ascii="宋体" w:hAnsi="宋体" w:eastAsia="宋体" w:cs="宋体"/>
          <w:sz w:val="21"/>
          <w:szCs w:val="21"/>
        </w:rPr>
      </w:pPr>
      <w:r>
        <w:rPr>
          <w:rFonts w:ascii="宋体" w:hAnsi="宋体" w:eastAsia="宋体" w:cs="宋体"/>
          <w:spacing w:val="-2"/>
          <w:sz w:val="21"/>
          <w:szCs w:val="21"/>
        </w:rPr>
        <w:t>1.7.2 发包人接收文件的地点</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p>
    <w:p w14:paraId="048BC256">
      <w:pPr>
        <w:spacing w:before="140" w:line="220" w:lineRule="auto"/>
        <w:ind w:left="448"/>
        <w:rPr>
          <w:rFonts w:ascii="宋体" w:hAnsi="宋体" w:eastAsia="宋体" w:cs="宋体"/>
          <w:sz w:val="21"/>
          <w:szCs w:val="21"/>
        </w:rPr>
      </w:pPr>
      <w:r>
        <w:rPr>
          <w:rFonts w:ascii="宋体" w:hAnsi="宋体" w:eastAsia="宋体" w:cs="宋体"/>
          <w:sz w:val="21"/>
          <w:szCs w:val="21"/>
        </w:rPr>
        <w:t>发包人指定的接收人为：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89A6F23">
      <w:pPr>
        <w:spacing w:before="155" w:line="220" w:lineRule="auto"/>
        <w:ind w:left="444"/>
        <w:rPr>
          <w:rFonts w:ascii="宋体" w:hAnsi="宋体" w:eastAsia="宋体" w:cs="宋体"/>
          <w:sz w:val="21"/>
          <w:szCs w:val="21"/>
        </w:rPr>
      </w:pPr>
      <w:r>
        <w:rPr>
          <w:rFonts w:ascii="宋体" w:hAnsi="宋体" w:eastAsia="宋体" w:cs="宋体"/>
          <w:spacing w:val="-1"/>
          <w:sz w:val="21"/>
          <w:szCs w:val="21"/>
        </w:rPr>
        <w:t>承包人接收文件的地点</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B8379F0">
      <w:pPr>
        <w:spacing w:before="155" w:line="220" w:lineRule="auto"/>
        <w:ind w:left="444"/>
        <w:rPr>
          <w:rFonts w:ascii="宋体" w:hAnsi="宋体" w:eastAsia="宋体" w:cs="宋体"/>
          <w:sz w:val="21"/>
          <w:szCs w:val="21"/>
        </w:rPr>
      </w:pPr>
      <w:r>
        <w:rPr>
          <w:rFonts w:ascii="宋体" w:hAnsi="宋体" w:eastAsia="宋体" w:cs="宋体"/>
          <w:sz w:val="21"/>
          <w:szCs w:val="21"/>
        </w:rPr>
        <w:t>承包人指定的接收人为：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EBD2D43">
      <w:pPr>
        <w:spacing w:before="141" w:line="220" w:lineRule="auto"/>
        <w:ind w:left="445"/>
        <w:rPr>
          <w:rFonts w:ascii="宋体" w:hAnsi="宋体" w:eastAsia="宋体" w:cs="宋体"/>
          <w:sz w:val="21"/>
          <w:szCs w:val="21"/>
        </w:rPr>
      </w:pPr>
      <w:r>
        <w:rPr>
          <w:rFonts w:ascii="宋体" w:hAnsi="宋体" w:eastAsia="宋体" w:cs="宋体"/>
          <w:spacing w:val="-1"/>
          <w:sz w:val="21"/>
          <w:szCs w:val="21"/>
        </w:rPr>
        <w:t>监理人接收文件的地点</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F1D46EC">
      <w:pPr>
        <w:spacing w:before="154" w:line="220" w:lineRule="auto"/>
        <w:ind w:left="445"/>
        <w:rPr>
          <w:rFonts w:ascii="宋体" w:hAnsi="宋体" w:eastAsia="宋体" w:cs="宋体"/>
          <w:sz w:val="21"/>
          <w:szCs w:val="21"/>
        </w:rPr>
      </w:pPr>
      <w:r>
        <w:rPr>
          <w:rFonts w:ascii="宋体" w:hAnsi="宋体" w:eastAsia="宋体" w:cs="宋体"/>
          <w:sz w:val="21"/>
          <w:szCs w:val="21"/>
        </w:rPr>
        <w:t>监理人指定的接收人为：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C8BCB9D">
      <w:pPr>
        <w:spacing w:before="130" w:line="233" w:lineRule="auto"/>
        <w:ind w:left="31"/>
        <w:outlineLvl w:val="1"/>
        <w:rPr>
          <w:rFonts w:ascii="黑体" w:hAnsi="黑体" w:eastAsia="黑体" w:cs="黑体"/>
          <w:sz w:val="24"/>
          <w:szCs w:val="24"/>
        </w:rPr>
      </w:pPr>
      <w:bookmarkStart w:id="506" w:name="bookmark440"/>
      <w:bookmarkEnd w:id="506"/>
      <w:r>
        <w:rPr>
          <w:rFonts w:ascii="Times New Roman" w:hAnsi="Times New Roman" w:eastAsia="Times New Roman" w:cs="Times New Roman"/>
          <w:b/>
          <w:bCs/>
          <w:spacing w:val="2"/>
          <w:sz w:val="24"/>
          <w:szCs w:val="24"/>
        </w:rPr>
        <w:t xml:space="preserve">1.10  </w:t>
      </w:r>
      <w:r>
        <w:rPr>
          <w:rFonts w:ascii="黑体" w:hAnsi="黑体" w:eastAsia="黑体" w:cs="黑体"/>
          <w:b/>
          <w:bCs/>
          <w:spacing w:val="2"/>
          <w:sz w:val="24"/>
          <w:szCs w:val="24"/>
        </w:rPr>
        <w:t>交通运输</w:t>
      </w:r>
    </w:p>
    <w:p w14:paraId="471CC732">
      <w:pPr>
        <w:spacing w:before="113" w:line="220" w:lineRule="auto"/>
        <w:ind w:left="460"/>
        <w:rPr>
          <w:rFonts w:ascii="宋体" w:hAnsi="宋体" w:eastAsia="宋体" w:cs="宋体"/>
          <w:sz w:val="21"/>
          <w:szCs w:val="21"/>
        </w:rPr>
      </w:pPr>
      <w:r>
        <w:rPr>
          <w:rFonts w:ascii="宋体" w:hAnsi="宋体" w:eastAsia="宋体" w:cs="宋体"/>
          <w:spacing w:val="-4"/>
          <w:sz w:val="21"/>
          <w:szCs w:val="21"/>
        </w:rPr>
        <w:t>1.10.1</w:t>
      </w:r>
      <w:r>
        <w:rPr>
          <w:rFonts w:ascii="宋体" w:hAnsi="宋体" w:eastAsia="宋体" w:cs="宋体"/>
          <w:spacing w:val="34"/>
          <w:sz w:val="21"/>
          <w:szCs w:val="21"/>
        </w:rPr>
        <w:t xml:space="preserve"> </w:t>
      </w:r>
      <w:r>
        <w:rPr>
          <w:rFonts w:ascii="宋体" w:hAnsi="宋体" w:eastAsia="宋体" w:cs="宋体"/>
          <w:spacing w:val="-4"/>
          <w:sz w:val="21"/>
          <w:szCs w:val="21"/>
        </w:rPr>
        <w:t>出入现场的权利</w:t>
      </w:r>
    </w:p>
    <w:p w14:paraId="1DBBBCB2">
      <w:pPr>
        <w:spacing w:before="155" w:line="220" w:lineRule="auto"/>
        <w:ind w:left="448"/>
        <w:rPr>
          <w:rFonts w:ascii="宋体" w:hAnsi="宋体" w:eastAsia="宋体" w:cs="宋体"/>
          <w:sz w:val="21"/>
          <w:szCs w:val="21"/>
        </w:rPr>
      </w:pPr>
      <w:r>
        <w:rPr>
          <w:rFonts w:ascii="宋体" w:hAnsi="宋体" w:eastAsia="宋体" w:cs="宋体"/>
          <w:spacing w:val="-4"/>
          <w:sz w:val="21"/>
          <w:szCs w:val="21"/>
        </w:rPr>
        <w:t>关于出入现场的权利的约定：</w:t>
      </w:r>
    </w:p>
    <w:p w14:paraId="1E3F37C6">
      <w:pPr>
        <w:spacing w:before="125"/>
      </w:pPr>
    </w:p>
    <w:tbl>
      <w:tblPr>
        <w:tblStyle w:val="5"/>
        <w:tblW w:w="83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320"/>
      </w:tblGrid>
      <w:tr w14:paraId="0F7F73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4" w:hRule="atLeast"/>
        </w:trPr>
        <w:tc>
          <w:tcPr>
            <w:tcW w:w="8320" w:type="dxa"/>
            <w:tcBorders>
              <w:top w:val="single" w:color="000000" w:sz="6" w:space="0"/>
              <w:bottom w:val="single" w:color="000000" w:sz="6" w:space="0"/>
            </w:tcBorders>
            <w:vAlign w:val="top"/>
          </w:tcPr>
          <w:p w14:paraId="41B3E172">
            <w:pPr>
              <w:rPr>
                <w:rFonts w:ascii="Arial"/>
                <w:sz w:val="21"/>
              </w:rPr>
            </w:pPr>
            <w:r>
              <w:pict>
                <v:shape id="_x0000_s1059" o:spid="_x0000_s1059" style="position:absolute;left:0pt;margin-left:0pt;margin-top:19.5pt;height:0.75pt;width:57.85pt;mso-position-horizontal-relative:page;mso-position-vertical-relative:page;z-index:251701248;mso-width-relative:page;mso-height-relative:page;" fillcolor="#000000" filled="t" stroked="f" coordsize="1156,15" path="m0,15l1156,15,1156,0,0,0,0,15xe">
                  <v:path/>
                  <v:fill on="t" focussize="0,0"/>
                  <v:stroke on="f"/>
                  <v:imagedata o:title=""/>
                  <o:lock v:ext="edit"/>
                </v:shape>
              </w:pict>
            </w:r>
          </w:p>
        </w:tc>
      </w:tr>
      <w:tr w14:paraId="4C5C42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84" w:hRule="atLeast"/>
        </w:trPr>
        <w:tc>
          <w:tcPr>
            <w:tcW w:w="8320" w:type="dxa"/>
            <w:tcBorders>
              <w:top w:val="single" w:color="000000" w:sz="6" w:space="0"/>
              <w:bottom w:val="single" w:color="000000" w:sz="6" w:space="0"/>
            </w:tcBorders>
            <w:vAlign w:val="top"/>
          </w:tcPr>
          <w:p w14:paraId="271A24D0">
            <w:pPr>
              <w:spacing w:line="242" w:lineRule="auto"/>
              <w:rPr>
                <w:rFonts w:ascii="Arial"/>
                <w:sz w:val="21"/>
              </w:rPr>
            </w:pPr>
          </w:p>
          <w:p w14:paraId="2105FB45">
            <w:pPr>
              <w:pStyle w:val="6"/>
              <w:spacing w:before="68" w:line="46" w:lineRule="exact"/>
              <w:ind w:left="449"/>
              <w:rPr>
                <w:sz w:val="21"/>
                <w:szCs w:val="21"/>
              </w:rPr>
            </w:pPr>
            <w:r>
              <w:pict>
                <v:shape id="_x0000_s1060" o:spid="_x0000_s1060" o:spt="202" type="#_x0000_t202" style="position:absolute;left:0pt;margin-left:-1pt;margin-top:-3.25pt;height:14.1pt;width:23.05pt;z-index:251703296;mso-width-relative:page;mso-height-relative:page;" filled="f" stroked="f" coordsize="21600,21600">
                  <v:path/>
                  <v:fill on="f" focussize="0,0"/>
                  <v:stroke on="f"/>
                  <v:imagedata o:title=""/>
                  <o:lock v:ext="edit" aspectratio="f"/>
                  <v:textbox inset="0mm,0mm,0mm,0mm">
                    <w:txbxContent>
                      <w:p w14:paraId="3A46F1C7">
                        <w:pPr>
                          <w:tabs>
                            <w:tab w:val="left" w:pos="440"/>
                          </w:tabs>
                          <w:spacing w:before="19"/>
                          <w:ind w:left="20"/>
                          <w:rPr>
                            <w:rFonts w:ascii="Arial"/>
                            <w:sz w:val="21"/>
                          </w:rPr>
                        </w:pPr>
                        <w:r>
                          <w:rPr>
                            <w:rFonts w:ascii="Arial" w:hAnsi="Arial" w:eastAsia="Arial" w:cs="Arial"/>
                            <w:sz w:val="21"/>
                            <w:szCs w:val="21"/>
                            <w:u w:val="single" w:color="auto"/>
                          </w:rPr>
                          <w:tab/>
                        </w:r>
                      </w:p>
                    </w:txbxContent>
                  </v:textbox>
                </v:shape>
              </w:pict>
            </w:r>
            <w:r>
              <w:rPr>
                <w:position w:val="-1"/>
                <w:sz w:val="21"/>
                <w:szCs w:val="21"/>
              </w:rPr>
              <w:t>。</w:t>
            </w:r>
          </w:p>
          <w:p w14:paraId="769B6733">
            <w:pPr>
              <w:pStyle w:val="6"/>
              <w:spacing w:before="208" w:line="220" w:lineRule="auto"/>
              <w:ind w:left="444"/>
              <w:rPr>
                <w:sz w:val="21"/>
                <w:szCs w:val="21"/>
              </w:rPr>
            </w:pPr>
            <w:r>
              <w:rPr>
                <w:spacing w:val="-2"/>
                <w:sz w:val="21"/>
                <w:szCs w:val="21"/>
              </w:rPr>
              <w:t>1.10.3 场内交通</w:t>
            </w:r>
          </w:p>
          <w:p w14:paraId="518D4EEB">
            <w:pPr>
              <w:pStyle w:val="6"/>
              <w:spacing w:before="155" w:line="220" w:lineRule="auto"/>
              <w:ind w:left="432"/>
              <w:rPr>
                <w:sz w:val="21"/>
                <w:szCs w:val="21"/>
              </w:rPr>
            </w:pPr>
            <w:r>
              <w:rPr>
                <w:spacing w:val="-3"/>
                <w:sz w:val="21"/>
                <w:szCs w:val="21"/>
              </w:rPr>
              <w:t>关于场外交通和场内交通的边界的约定：</w:t>
            </w:r>
          </w:p>
        </w:tc>
      </w:tr>
      <w:tr w14:paraId="7CF4F9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4" w:hRule="atLeast"/>
        </w:trPr>
        <w:tc>
          <w:tcPr>
            <w:tcW w:w="8320" w:type="dxa"/>
            <w:tcBorders>
              <w:top w:val="single" w:color="000000" w:sz="6" w:space="0"/>
              <w:bottom w:val="single" w:color="000000" w:sz="6" w:space="0"/>
            </w:tcBorders>
            <w:vAlign w:val="top"/>
          </w:tcPr>
          <w:p w14:paraId="72364E25">
            <w:pPr>
              <w:rPr>
                <w:rFonts w:ascii="Arial"/>
                <w:sz w:val="21"/>
              </w:rPr>
            </w:pPr>
            <w:r>
              <w:pict>
                <v:shape id="_x0000_s1061" o:spid="_x0000_s1061" style="position:absolute;left:0pt;margin-left:0pt;margin-top:19.7pt;height:0.75pt;width:57.85pt;mso-position-horizontal-relative:page;mso-position-vertical-relative:page;z-index:251702272;mso-width-relative:page;mso-height-relative:page;" fillcolor="#000000" filled="t" stroked="f" coordsize="1156,15" path="m0,15l1156,15,1156,0,0,0,0,15xe">
                  <v:path/>
                  <v:fill on="t" focussize="0,0"/>
                  <v:stroke on="f"/>
                  <v:imagedata o:title=""/>
                  <o:lock v:ext="edit"/>
                </v:shape>
              </w:pict>
            </w:r>
          </w:p>
        </w:tc>
      </w:tr>
    </w:tbl>
    <w:p w14:paraId="17181E31">
      <w:pPr>
        <w:pStyle w:val="2"/>
      </w:pPr>
    </w:p>
    <w:p w14:paraId="014CE0A6">
      <w:pPr>
        <w:sectPr>
          <w:footerReference r:id="rId206" w:type="default"/>
          <w:pgSz w:w="11910" w:h="16845"/>
          <w:pgMar w:top="400" w:right="1786" w:bottom="1110" w:left="1786" w:header="0" w:footer="883" w:gutter="0"/>
          <w:cols w:space="720" w:num="1"/>
        </w:sectPr>
      </w:pPr>
    </w:p>
    <w:p w14:paraId="7B21126E">
      <w:pPr>
        <w:pStyle w:val="2"/>
        <w:spacing w:line="245" w:lineRule="auto"/>
      </w:pPr>
    </w:p>
    <w:p w14:paraId="7A99CB9B">
      <w:pPr>
        <w:pStyle w:val="2"/>
        <w:spacing w:line="245" w:lineRule="auto"/>
      </w:pPr>
      <w:r>
        <w:pict>
          <v:shape id="_x0000_s1062" o:spid="_x0000_s1062" style="position:absolute;left:0pt;margin-left:0.75pt;margin-top:4.3pt;height:0.75pt;width:57.85pt;z-index:251708416;mso-width-relative:page;mso-height-relative:page;" fillcolor="#000000" filled="t" stroked="f" coordsize="1156,15" path="m0,15l1156,15,1156,0,0,0,0,15xe">
            <v:path/>
            <v:fill on="t" focussize="0,0"/>
            <v:stroke on="f"/>
            <v:imagedata o:title=""/>
            <o:lock v:ext="edit"/>
          </v:shape>
        </w:pict>
      </w:r>
    </w:p>
    <w:p w14:paraId="54949F93">
      <w:pPr>
        <w:pStyle w:val="2"/>
        <w:spacing w:line="245" w:lineRule="auto"/>
      </w:pPr>
      <w:r>
        <w:pict>
          <v:shape id="_x0000_s1063" o:spid="_x0000_s1063" style="position:absolute;left:0pt;margin-left:21.8pt;margin-top:12.3pt;height:0.75pt;width:395pt;z-index:251705344;mso-width-relative:page;mso-height-relative:page;" fillcolor="#000000" filled="t" stroked="f" coordsize="7900,15" path="m0,15l7900,15,7900,0,0,0,0,15xe">
            <v:path/>
            <v:fill on="t" focussize="0,0"/>
            <v:stroke on="f"/>
            <v:imagedata o:title=""/>
            <o:lock v:ext="edit"/>
          </v:shape>
        </w:pict>
      </w:r>
    </w:p>
    <w:p w14:paraId="78EE8235">
      <w:pPr>
        <w:pStyle w:val="2"/>
        <w:spacing w:line="245" w:lineRule="auto"/>
      </w:pPr>
    </w:p>
    <w:p w14:paraId="3698CAE9">
      <w:pPr>
        <w:tabs>
          <w:tab w:val="left" w:pos="435"/>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37AEC1D">
      <w:pPr>
        <w:spacing w:before="163" w:line="220" w:lineRule="auto"/>
        <w:ind w:left="460"/>
        <w:rPr>
          <w:rFonts w:ascii="宋体" w:hAnsi="宋体" w:eastAsia="宋体" w:cs="宋体"/>
          <w:sz w:val="21"/>
          <w:szCs w:val="21"/>
        </w:rPr>
      </w:pPr>
      <w:r>
        <w:rPr>
          <w:rFonts w:ascii="宋体" w:hAnsi="宋体" w:eastAsia="宋体" w:cs="宋体"/>
          <w:spacing w:val="-2"/>
          <w:sz w:val="21"/>
          <w:szCs w:val="21"/>
        </w:rPr>
        <w:t>1.10.4</w:t>
      </w:r>
      <w:r>
        <w:rPr>
          <w:rFonts w:ascii="宋体" w:hAnsi="宋体" w:eastAsia="宋体" w:cs="宋体"/>
          <w:spacing w:val="-33"/>
          <w:sz w:val="21"/>
          <w:szCs w:val="21"/>
        </w:rPr>
        <w:t xml:space="preserve"> </w:t>
      </w:r>
      <w:r>
        <w:rPr>
          <w:rFonts w:ascii="宋体" w:hAnsi="宋体" w:eastAsia="宋体" w:cs="宋体"/>
          <w:spacing w:val="-2"/>
          <w:sz w:val="21"/>
          <w:szCs w:val="21"/>
        </w:rPr>
        <w:t>超大件和超重件的运输</w:t>
      </w:r>
    </w:p>
    <w:p w14:paraId="45FF6872">
      <w:pPr>
        <w:spacing w:before="154" w:line="220" w:lineRule="auto"/>
        <w:ind w:right="2"/>
        <w:jc w:val="right"/>
        <w:rPr>
          <w:rFonts w:ascii="宋体" w:hAnsi="宋体" w:eastAsia="宋体" w:cs="宋体"/>
          <w:sz w:val="21"/>
          <w:szCs w:val="21"/>
        </w:rPr>
      </w:pPr>
      <w:r>
        <w:rPr>
          <w:rFonts w:ascii="宋体" w:hAnsi="宋体" w:eastAsia="宋体" w:cs="宋体"/>
          <w:spacing w:val="29"/>
          <w:sz w:val="21"/>
          <w:szCs w:val="21"/>
        </w:rPr>
        <w:t>运输超大件或超重件所需的道路和桥梁临时加固改造费用和其他有关费用由</w:t>
      </w:r>
    </w:p>
    <w:p w14:paraId="2312D870">
      <w:pPr>
        <w:spacing w:before="140" w:line="220" w:lineRule="auto"/>
        <w:ind w:left="2547"/>
        <w:rPr>
          <w:rFonts w:ascii="宋体" w:hAnsi="宋体" w:eastAsia="宋体" w:cs="宋体"/>
          <w:sz w:val="21"/>
          <w:szCs w:val="21"/>
        </w:rPr>
      </w:pPr>
      <w:r>
        <w:pict>
          <v:shape id="_x0000_s1064" o:spid="_x0000_s1064" style="position:absolute;left:0pt;margin-left:0.75pt;margin-top:17.5pt;height:0.75pt;width:52.55pt;z-index:251711488;mso-width-relative:page;mso-height-relative:page;" fillcolor="#000000" filled="t" stroked="f" coordsize="1050,15" path="m0,15l1050,15,1050,0,0,0,0,15xe">
            <v:path/>
            <v:fill on="t" focussize="0,0"/>
            <v:stroke on="f"/>
            <v:imagedata o:title=""/>
            <o:lock v:ext="edit"/>
          </v:shape>
        </w:pict>
      </w:r>
      <w:r>
        <w:rPr>
          <w:rFonts w:ascii="宋体" w:hAnsi="宋体" w:eastAsia="宋体" w:cs="宋体"/>
          <w:spacing w:val="-9"/>
          <w:sz w:val="21"/>
          <w:szCs w:val="21"/>
        </w:rPr>
        <w:t>承担。</w:t>
      </w:r>
    </w:p>
    <w:p w14:paraId="22A7BEDA">
      <w:pPr>
        <w:spacing w:before="130" w:line="233" w:lineRule="auto"/>
        <w:ind w:left="31"/>
        <w:outlineLvl w:val="1"/>
        <w:rPr>
          <w:rFonts w:ascii="黑体" w:hAnsi="黑体" w:eastAsia="黑体" w:cs="黑体"/>
          <w:sz w:val="24"/>
          <w:szCs w:val="24"/>
        </w:rPr>
      </w:pPr>
      <w:bookmarkStart w:id="507" w:name="bookmark441"/>
      <w:bookmarkEnd w:id="507"/>
      <w:r>
        <w:rPr>
          <w:rFonts w:ascii="Times New Roman" w:hAnsi="Times New Roman" w:eastAsia="Times New Roman" w:cs="Times New Roman"/>
          <w:b/>
          <w:bCs/>
          <w:spacing w:val="-2"/>
          <w:sz w:val="24"/>
          <w:szCs w:val="24"/>
        </w:rPr>
        <w:t>1.11</w:t>
      </w:r>
      <w:r>
        <w:rPr>
          <w:rFonts w:ascii="Times New Roman" w:hAnsi="Times New Roman" w:eastAsia="Times New Roman" w:cs="Times New Roman"/>
          <w:b/>
          <w:bCs/>
          <w:spacing w:val="10"/>
          <w:sz w:val="24"/>
          <w:szCs w:val="24"/>
        </w:rPr>
        <w:t xml:space="preserve">  </w:t>
      </w:r>
      <w:r>
        <w:rPr>
          <w:rFonts w:ascii="黑体" w:hAnsi="黑体" w:eastAsia="黑体" w:cs="黑体"/>
          <w:b/>
          <w:bCs/>
          <w:spacing w:val="-2"/>
          <w:sz w:val="24"/>
          <w:szCs w:val="24"/>
        </w:rPr>
        <w:t>知识产权</w:t>
      </w:r>
    </w:p>
    <w:p w14:paraId="4D71506C">
      <w:pPr>
        <w:spacing w:before="129" w:line="345" w:lineRule="auto"/>
        <w:ind w:left="25" w:right="13" w:firstLine="434"/>
        <w:rPr>
          <w:rFonts w:ascii="宋体" w:hAnsi="宋体" w:eastAsia="宋体" w:cs="宋体"/>
          <w:sz w:val="21"/>
          <w:szCs w:val="21"/>
        </w:rPr>
      </w:pPr>
      <w:r>
        <w:rPr>
          <w:rFonts w:ascii="宋体" w:hAnsi="宋体" w:eastAsia="宋体" w:cs="宋体"/>
          <w:sz w:val="21"/>
          <w:szCs w:val="21"/>
        </w:rPr>
        <w:t>1.11.1 关于发包人提供给承包人的图纸、发包人为实施工程自行编</w:t>
      </w:r>
      <w:r>
        <w:rPr>
          <w:rFonts w:ascii="宋体" w:hAnsi="宋体" w:eastAsia="宋体" w:cs="宋体"/>
          <w:spacing w:val="-1"/>
          <w:sz w:val="21"/>
          <w:szCs w:val="21"/>
        </w:rPr>
        <w:t>制或委托编制的技术规范以及反映发包人关于合同要求或其他类似性质的文件</w:t>
      </w:r>
      <w:r>
        <w:rPr>
          <w:rFonts w:ascii="宋体" w:hAnsi="宋体" w:eastAsia="宋体" w:cs="宋体"/>
          <w:spacing w:val="-2"/>
          <w:sz w:val="21"/>
          <w:szCs w:val="21"/>
        </w:rPr>
        <w:t>的著作权的归属：</w:t>
      </w:r>
    </w:p>
    <w:p w14:paraId="1C42C140">
      <w:pPr>
        <w:spacing w:before="220" w:line="421" w:lineRule="exact"/>
        <w:ind w:firstLine="15"/>
      </w:pPr>
      <w:r>
        <w:rPr>
          <w:position w:val="-8"/>
        </w:rPr>
        <w:pict>
          <v:shape id="_x0000_s1065" o:spid="_x0000_s1065" style="height:21.05pt;width:416.05pt;" fillcolor="#000000" filled="t" stroked="f" coordsize="8320,420" path="m420,14l8320,14,8320,0,420,0,420,14xem0,420l1156,420,1156,405,0,405,0,420xe">
            <v:path/>
            <v:fill on="t" focussize="0,0"/>
            <v:stroke on="f"/>
            <v:imagedata o:title=""/>
            <o:lock v:ext="edit"/>
            <w10:wrap type="none"/>
            <w10:anchorlock/>
          </v:shape>
        </w:pict>
      </w:r>
    </w:p>
    <w:p w14:paraId="03C2E066">
      <w:pPr>
        <w:spacing w:before="133"/>
      </w:pPr>
    </w:p>
    <w:tbl>
      <w:tblPr>
        <w:tblStyle w:val="5"/>
        <w:tblW w:w="83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320"/>
      </w:tblGrid>
      <w:tr w14:paraId="5C8577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1" w:hRule="atLeast"/>
        </w:trPr>
        <w:tc>
          <w:tcPr>
            <w:tcW w:w="8320" w:type="dxa"/>
            <w:tcBorders>
              <w:top w:val="single" w:color="000000" w:sz="6" w:space="0"/>
              <w:bottom w:val="single" w:color="000000" w:sz="6" w:space="0"/>
            </w:tcBorders>
            <w:vAlign w:val="top"/>
          </w:tcPr>
          <w:p w14:paraId="54BA159F">
            <w:pPr>
              <w:pStyle w:val="6"/>
              <w:tabs>
                <w:tab w:val="left" w:pos="840"/>
              </w:tabs>
              <w:spacing w:before="179" w:line="219" w:lineRule="auto"/>
              <w:ind w:left="420"/>
              <w:rPr>
                <w:sz w:val="21"/>
                <w:szCs w:val="21"/>
              </w:rPr>
            </w:pPr>
            <w:r>
              <w:rPr>
                <w:sz w:val="21"/>
                <w:szCs w:val="21"/>
                <w:u w:val="single" w:color="auto"/>
              </w:rPr>
              <w:tab/>
            </w:r>
            <w:r>
              <w:rPr>
                <w:spacing w:val="-2"/>
                <w:sz w:val="21"/>
                <w:szCs w:val="21"/>
              </w:rPr>
              <w:t>。关于发包人提供的上述文件的使用限制的要求：</w:t>
            </w:r>
          </w:p>
        </w:tc>
      </w:tr>
      <w:tr w14:paraId="2DB30A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8" w:hRule="atLeast"/>
        </w:trPr>
        <w:tc>
          <w:tcPr>
            <w:tcW w:w="8320" w:type="dxa"/>
            <w:tcBorders>
              <w:top w:val="single" w:color="000000" w:sz="6" w:space="0"/>
              <w:bottom w:val="single" w:color="000000" w:sz="6" w:space="0"/>
            </w:tcBorders>
            <w:vAlign w:val="top"/>
          </w:tcPr>
          <w:p w14:paraId="3F970370">
            <w:pPr>
              <w:rPr>
                <w:rFonts w:ascii="Arial"/>
                <w:sz w:val="21"/>
              </w:rPr>
            </w:pPr>
            <w:r>
              <w:pict>
                <v:shape id="_x0000_s1066" o:spid="_x0000_s1066" style="position:absolute;left:0pt;margin-left:0pt;margin-top:19.2pt;height:0.75pt;width:57.85pt;mso-position-horizontal-relative:page;mso-position-vertical-relative:page;z-index:251707392;mso-width-relative:page;mso-height-relative:page;" fillcolor="#000000" filled="t" stroked="f" coordsize="1156,15" path="m0,15l1156,15,1156,0,0,0,0,15xe">
                  <v:path/>
                  <v:fill on="t" focussize="0,0"/>
                  <v:stroke on="f"/>
                  <v:imagedata o:title=""/>
                  <o:lock v:ext="edit"/>
                </v:shape>
              </w:pict>
            </w:r>
          </w:p>
        </w:tc>
      </w:tr>
      <w:tr w14:paraId="0EB42B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8" w:hRule="atLeast"/>
        </w:trPr>
        <w:tc>
          <w:tcPr>
            <w:tcW w:w="8320" w:type="dxa"/>
            <w:tcBorders>
              <w:top w:val="single" w:color="000000" w:sz="6" w:space="0"/>
              <w:bottom w:val="single" w:color="000000" w:sz="6" w:space="0"/>
            </w:tcBorders>
            <w:vAlign w:val="top"/>
          </w:tcPr>
          <w:p w14:paraId="14C31EF4">
            <w:pPr>
              <w:pStyle w:val="6"/>
              <w:tabs>
                <w:tab w:val="left" w:pos="840"/>
              </w:tabs>
              <w:spacing w:before="176" w:line="220" w:lineRule="auto"/>
              <w:ind w:left="420"/>
              <w:rPr>
                <w:sz w:val="21"/>
                <w:szCs w:val="21"/>
              </w:rPr>
            </w:pPr>
            <w:r>
              <w:rPr>
                <w:sz w:val="21"/>
                <w:szCs w:val="21"/>
                <w:u w:val="single" w:color="auto"/>
              </w:rPr>
              <w:tab/>
            </w:r>
            <w:r>
              <w:rPr>
                <w:spacing w:val="-77"/>
                <w:sz w:val="21"/>
                <w:szCs w:val="21"/>
              </w:rPr>
              <w:t xml:space="preserve"> </w:t>
            </w:r>
            <w:r>
              <w:rPr>
                <w:spacing w:val="-2"/>
                <w:sz w:val="21"/>
                <w:szCs w:val="21"/>
              </w:rPr>
              <w:t>。 1.11.2 关于承包人为实施工程所编制文件的著作权的归属：</w:t>
            </w:r>
          </w:p>
        </w:tc>
      </w:tr>
      <w:tr w14:paraId="2A3B6B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93" w:hRule="atLeast"/>
        </w:trPr>
        <w:tc>
          <w:tcPr>
            <w:tcW w:w="8320" w:type="dxa"/>
            <w:tcBorders>
              <w:top w:val="single" w:color="000000" w:sz="6" w:space="0"/>
              <w:bottom w:val="single" w:color="000000" w:sz="6" w:space="0"/>
            </w:tcBorders>
            <w:vAlign w:val="top"/>
          </w:tcPr>
          <w:p w14:paraId="19DBBF7D">
            <w:pPr>
              <w:rPr>
                <w:rFonts w:ascii="Arial"/>
                <w:sz w:val="21"/>
              </w:rPr>
            </w:pPr>
            <w:r>
              <w:pict>
                <v:shape id="_x0000_s1067" o:spid="_x0000_s1067" style="position:absolute;left:0pt;margin-left:0pt;margin-top:20.25pt;height:0.75pt;width:57.85pt;mso-position-horizontal-relative:page;mso-position-vertical-relative:page;z-index:251709440;mso-width-relative:page;mso-height-relative:page;" fillcolor="#000000" filled="t" stroked="f" coordsize="1156,15" path="m0,15l1156,15,1156,0,0,0,0,15xe">
                  <v:path/>
                  <v:fill on="t" focussize="0,0"/>
                  <v:stroke on="f"/>
                  <v:imagedata o:title=""/>
                  <o:lock v:ext="edit"/>
                </v:shape>
              </w:pict>
            </w:r>
          </w:p>
        </w:tc>
      </w:tr>
      <w:tr w14:paraId="04F7257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78" w:hRule="atLeast"/>
        </w:trPr>
        <w:tc>
          <w:tcPr>
            <w:tcW w:w="8320" w:type="dxa"/>
            <w:tcBorders>
              <w:top w:val="single" w:color="000000" w:sz="6" w:space="0"/>
              <w:bottom w:val="single" w:color="000000" w:sz="6" w:space="0"/>
            </w:tcBorders>
            <w:vAlign w:val="top"/>
          </w:tcPr>
          <w:p w14:paraId="12039F3E">
            <w:pPr>
              <w:pStyle w:val="6"/>
              <w:tabs>
                <w:tab w:val="left" w:pos="840"/>
              </w:tabs>
              <w:spacing w:before="167" w:line="219" w:lineRule="auto"/>
              <w:ind w:left="420"/>
              <w:rPr>
                <w:sz w:val="21"/>
                <w:szCs w:val="21"/>
              </w:rPr>
            </w:pPr>
            <w:r>
              <w:rPr>
                <w:sz w:val="21"/>
                <w:szCs w:val="21"/>
                <w:u w:val="single" w:color="auto"/>
              </w:rPr>
              <w:tab/>
            </w:r>
            <w:r>
              <w:rPr>
                <w:spacing w:val="-2"/>
                <w:sz w:val="21"/>
                <w:szCs w:val="21"/>
              </w:rPr>
              <w:t>。关于承包人提供的上述文件的使用限制的要求：</w:t>
            </w:r>
          </w:p>
        </w:tc>
      </w:tr>
      <w:tr w14:paraId="2F71B24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6" w:hRule="atLeast"/>
        </w:trPr>
        <w:tc>
          <w:tcPr>
            <w:tcW w:w="8320" w:type="dxa"/>
            <w:tcBorders>
              <w:top w:val="single" w:color="000000" w:sz="6" w:space="0"/>
              <w:bottom w:val="single" w:color="000000" w:sz="6" w:space="0"/>
            </w:tcBorders>
            <w:vAlign w:val="top"/>
          </w:tcPr>
          <w:p w14:paraId="3E8A7827">
            <w:pPr>
              <w:rPr>
                <w:rFonts w:ascii="Arial"/>
                <w:sz w:val="21"/>
              </w:rPr>
            </w:pPr>
            <w:r>
              <w:pict>
                <v:shape id="_x0000_s1068" o:spid="_x0000_s1068" style="position:absolute;left:0pt;margin-left:0pt;margin-top:20.55pt;height:0.75pt;width:57.85pt;mso-position-horizontal-relative:page;mso-position-vertical-relative:page;z-index:251710464;mso-width-relative:page;mso-height-relative:page;" fillcolor="#000000" filled="t" stroked="f" coordsize="1156,15" path="m0,15l1156,15,1156,0,0,0,0,15xe">
                  <v:path/>
                  <v:fill on="t" focussize="0,0"/>
                  <v:stroke on="f"/>
                  <v:imagedata o:title=""/>
                  <o:lock v:ext="edit"/>
                </v:shape>
              </w:pict>
            </w:r>
          </w:p>
        </w:tc>
      </w:tr>
    </w:tbl>
    <w:p w14:paraId="5F7B1434">
      <w:pPr>
        <w:tabs>
          <w:tab w:val="left" w:pos="855"/>
        </w:tabs>
        <w:spacing w:before="182" w:line="358" w:lineRule="auto"/>
        <w:ind w:left="445" w:hanging="9"/>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60"/>
          <w:sz w:val="21"/>
          <w:szCs w:val="21"/>
        </w:rPr>
        <w:t xml:space="preserve"> </w:t>
      </w:r>
      <w:r>
        <w:rPr>
          <w:rFonts w:ascii="宋体" w:hAnsi="宋体" w:eastAsia="宋体" w:cs="宋体"/>
          <w:spacing w:val="-3"/>
          <w:sz w:val="21"/>
          <w:szCs w:val="21"/>
        </w:rPr>
        <w:t>。 1.11.4 承包人在施工过程中所采用的专利、专有技术、技术秘密的使用费的承</w:t>
      </w:r>
      <w:r>
        <w:rPr>
          <w:rFonts w:ascii="宋体" w:hAnsi="宋体" w:eastAsia="宋体" w:cs="宋体"/>
          <w:spacing w:val="-11"/>
          <w:sz w:val="21"/>
          <w:szCs w:val="21"/>
        </w:rPr>
        <w:t>担方式：</w:t>
      </w:r>
    </w:p>
    <w:p w14:paraId="796762EC">
      <w:pPr>
        <w:pStyle w:val="2"/>
        <w:tabs>
          <w:tab w:val="left" w:pos="3485"/>
        </w:tabs>
        <w:ind w:left="436"/>
      </w:pPr>
      <w:r>
        <w:rPr>
          <w:u w:val="single" w:color="auto"/>
        </w:rPr>
        <w:tab/>
      </w:r>
    </w:p>
    <w:p w14:paraId="2A64245A">
      <w:pPr>
        <w:spacing w:before="279" w:line="45" w:lineRule="exact"/>
        <w:ind w:left="5721"/>
        <w:rPr>
          <w:rFonts w:ascii="宋体" w:hAnsi="宋体" w:eastAsia="宋体" w:cs="宋体"/>
          <w:sz w:val="21"/>
          <w:szCs w:val="21"/>
        </w:rPr>
      </w:pPr>
      <w:r>
        <w:pict>
          <v:shape id="_x0000_s1069" o:spid="_x0000_s1069" o:spt="202" type="#_x0000_t202" style="position:absolute;left:0pt;margin-left:20.8pt;margin-top:7.15pt;height:14.1pt;width:264.85pt;z-index:251704320;mso-width-relative:page;mso-height-relative:page;" filled="f" stroked="f" coordsize="21600,21600">
            <v:path/>
            <v:fill on="f" focussize="0,0"/>
            <v:stroke on="f"/>
            <v:imagedata o:title=""/>
            <o:lock v:ext="edit" aspectratio="f"/>
            <v:textbox inset="0mm,0mm,0mm,0mm">
              <w:txbxContent>
                <w:p w14:paraId="12FE016D">
                  <w:pPr>
                    <w:pStyle w:val="2"/>
                    <w:tabs>
                      <w:tab w:val="left" w:pos="5275"/>
                    </w:tabs>
                    <w:spacing w:before="19"/>
                    <w:ind w:left="20"/>
                  </w:pPr>
                  <w:r>
                    <w:rPr>
                      <w:u w:val="single" w:color="auto"/>
                    </w:rPr>
                    <w:tab/>
                  </w:r>
                </w:p>
              </w:txbxContent>
            </v:textbox>
          </v:shape>
        </w:pict>
      </w:r>
      <w:r>
        <w:rPr>
          <w:rFonts w:ascii="宋体" w:hAnsi="宋体" w:eastAsia="宋体" w:cs="宋体"/>
          <w:position w:val="-1"/>
          <w:sz w:val="21"/>
          <w:szCs w:val="21"/>
        </w:rPr>
        <w:t>。</w:t>
      </w:r>
    </w:p>
    <w:p w14:paraId="5F5E008B">
      <w:pPr>
        <w:spacing w:before="198" w:line="233" w:lineRule="auto"/>
        <w:ind w:left="31"/>
        <w:outlineLvl w:val="1"/>
        <w:rPr>
          <w:rFonts w:ascii="黑体" w:hAnsi="黑体" w:eastAsia="黑体" w:cs="黑体"/>
          <w:sz w:val="24"/>
          <w:szCs w:val="24"/>
        </w:rPr>
      </w:pPr>
      <w:bookmarkStart w:id="508" w:name="bookmark442"/>
      <w:bookmarkEnd w:id="508"/>
      <w:r>
        <w:rPr>
          <w:rFonts w:ascii="Times New Roman" w:hAnsi="Times New Roman" w:eastAsia="Times New Roman" w:cs="Times New Roman"/>
          <w:b/>
          <w:bCs/>
          <w:spacing w:val="1"/>
          <w:sz w:val="24"/>
          <w:szCs w:val="24"/>
        </w:rPr>
        <w:t xml:space="preserve">1.13 </w:t>
      </w:r>
      <w:r>
        <w:rPr>
          <w:rFonts w:ascii="黑体" w:hAnsi="黑体" w:eastAsia="黑体" w:cs="黑体"/>
          <w:b/>
          <w:bCs/>
          <w:spacing w:val="1"/>
          <w:sz w:val="24"/>
          <w:szCs w:val="24"/>
        </w:rPr>
        <w:t>工程量清单错误的修正</w:t>
      </w:r>
    </w:p>
    <w:p w14:paraId="30499155">
      <w:pPr>
        <w:spacing w:before="114" w:line="218" w:lineRule="auto"/>
        <w:ind w:left="462"/>
        <w:rPr>
          <w:rFonts w:ascii="宋体" w:hAnsi="宋体" w:eastAsia="宋体" w:cs="宋体"/>
          <w:sz w:val="21"/>
          <w:szCs w:val="21"/>
        </w:rPr>
      </w:pPr>
      <w:r>
        <w:pict>
          <v:shape id="_x0000_s1070" o:spid="_x0000_s1070" style="position:absolute;left:0pt;margin-left:21.8pt;margin-top:36.45pt;height:0.75pt;width:394.25pt;z-index:251706368;mso-width-relative:page;mso-height-relative:page;" fillcolor="#000000" filled="t" stroked="f" coordsize="7885,15" path="m0,15l7885,15,7885,0,0,0,0,15xe">
            <v:path/>
            <v:fill on="t" focussize="0,0"/>
            <v:stroke on="f"/>
            <v:imagedata o:title=""/>
            <o:lock v:ext="edit"/>
          </v:shape>
        </w:pict>
      </w:r>
      <w:r>
        <w:rPr>
          <w:rFonts w:ascii="宋体" w:hAnsi="宋体" w:eastAsia="宋体" w:cs="宋体"/>
          <w:spacing w:val="-4"/>
          <w:sz w:val="21"/>
          <w:szCs w:val="21"/>
        </w:rPr>
        <w:t>出现工程量清单错误时，是否调整合同价格：</w:t>
      </w:r>
    </w:p>
    <w:p w14:paraId="1F78FC97">
      <w:pPr>
        <w:spacing w:line="218" w:lineRule="auto"/>
        <w:rPr>
          <w:rFonts w:ascii="宋体" w:hAnsi="宋体" w:eastAsia="宋体" w:cs="宋体"/>
          <w:sz w:val="21"/>
          <w:szCs w:val="21"/>
        </w:rPr>
        <w:sectPr>
          <w:headerReference r:id="rId207" w:type="default"/>
          <w:footerReference r:id="rId208" w:type="default"/>
          <w:pgSz w:w="11910" w:h="16845"/>
          <w:pgMar w:top="2653" w:right="1781" w:bottom="1110" w:left="1786" w:header="1572" w:footer="883" w:gutter="0"/>
          <w:cols w:space="720" w:num="1"/>
        </w:sectPr>
      </w:pPr>
    </w:p>
    <w:p w14:paraId="328B200E">
      <w:pPr>
        <w:pStyle w:val="2"/>
        <w:spacing w:line="296" w:lineRule="auto"/>
      </w:pPr>
    </w:p>
    <w:p w14:paraId="4822A69F">
      <w:pPr>
        <w:pStyle w:val="2"/>
        <w:spacing w:line="296" w:lineRule="auto"/>
      </w:pPr>
      <w:r>
        <w:pict>
          <v:shape id="_x0000_s1071" o:spid="_x0000_s1071" style="position:absolute;left:0pt;margin-left:21.8pt;margin-top:1.75pt;height:0.75pt;width:394.25pt;z-index:251715584;mso-width-relative:page;mso-height-relative:page;" fillcolor="#000000" filled="t" stroked="f" coordsize="7885,15" path="m0,15l7885,15,7885,0,0,0,0,15xe">
            <v:path/>
            <v:fill on="t" focussize="0,0"/>
            <v:stroke on="f"/>
            <v:imagedata o:title=""/>
            <o:lock v:ext="edit"/>
          </v:shape>
        </w:pict>
      </w:r>
    </w:p>
    <w:p w14:paraId="567FA8F7">
      <w:pPr>
        <w:spacing w:before="68" w:line="46" w:lineRule="exact"/>
        <w:ind w:left="465"/>
        <w:rPr>
          <w:rFonts w:ascii="宋体" w:hAnsi="宋体" w:eastAsia="宋体" w:cs="宋体"/>
          <w:sz w:val="21"/>
          <w:szCs w:val="21"/>
        </w:rPr>
      </w:pPr>
      <w:r>
        <w:pict>
          <v:shape id="_x0000_s1072" o:spid="_x0000_s1072" o:spt="202" type="#_x0000_t202" style="position:absolute;left:0pt;margin-left:-0.2pt;margin-top:-3.3pt;height:78pt;width:85.35pt;z-index:251712512;mso-width-relative:page;mso-height-relative:page;" filled="f" stroked="f" coordsize="21600,21600">
            <v:path/>
            <v:fill on="f" focussize="0,0"/>
            <v:stroke on="f"/>
            <v:imagedata o:title=""/>
            <o:lock v:ext="edit" aspectratio="f"/>
            <v:textbox inset="0mm,0mm,0mm,0mm">
              <w:txbxContent>
                <w:p w14:paraId="6EA207CA">
                  <w:pPr>
                    <w:pStyle w:val="2"/>
                    <w:tabs>
                      <w:tab w:val="left" w:pos="335"/>
                    </w:tabs>
                    <w:spacing w:before="20"/>
                    <w:ind w:left="20"/>
                  </w:pPr>
                  <w:r>
                    <w:rPr>
                      <w:u w:val="single" w:color="auto"/>
                    </w:rPr>
                    <w:tab/>
                  </w:r>
                </w:p>
                <w:p w14:paraId="6068CCC5">
                  <w:pPr>
                    <w:spacing w:before="167" w:line="236" w:lineRule="auto"/>
                    <w:ind w:left="26"/>
                    <w:outlineLvl w:val="0"/>
                    <w:rPr>
                      <w:rFonts w:ascii="黑体" w:hAnsi="黑体" w:eastAsia="黑体" w:cs="黑体"/>
                      <w:sz w:val="28"/>
                      <w:szCs w:val="28"/>
                    </w:rPr>
                  </w:pPr>
                  <w:bookmarkStart w:id="687" w:name="bookmark443"/>
                  <w:bookmarkEnd w:id="687"/>
                  <w:bookmarkStart w:id="688" w:name="bookmark444"/>
                  <w:bookmarkEnd w:id="688"/>
                  <w:r>
                    <w:rPr>
                      <w:rFonts w:ascii="Times New Roman" w:hAnsi="Times New Roman" w:eastAsia="Times New Roman" w:cs="Times New Roman"/>
                      <w:b/>
                      <w:bCs/>
                      <w:spacing w:val="8"/>
                      <w:sz w:val="28"/>
                      <w:szCs w:val="28"/>
                    </w:rPr>
                    <w:t>2.</w:t>
                  </w:r>
                  <w:r>
                    <w:rPr>
                      <w:rFonts w:ascii="Times New Roman" w:hAnsi="Times New Roman" w:eastAsia="Times New Roman" w:cs="Times New Roman"/>
                      <w:b/>
                      <w:bCs/>
                      <w:spacing w:val="69"/>
                      <w:w w:val="101"/>
                      <w:sz w:val="28"/>
                      <w:szCs w:val="28"/>
                    </w:rPr>
                    <w:t xml:space="preserve"> </w:t>
                  </w:r>
                  <w:r>
                    <w:rPr>
                      <w:rFonts w:ascii="黑体" w:hAnsi="黑体" w:eastAsia="黑体" w:cs="黑体"/>
                      <w:b/>
                      <w:bCs/>
                      <w:spacing w:val="8"/>
                      <w:sz w:val="28"/>
                      <w:szCs w:val="28"/>
                    </w:rPr>
                    <w:t>发包人</w:t>
                  </w:r>
                </w:p>
                <w:p w14:paraId="1DD1224D">
                  <w:pPr>
                    <w:spacing w:before="86" w:line="232" w:lineRule="auto"/>
                    <w:ind w:left="25"/>
                    <w:outlineLvl w:val="1"/>
                    <w:rPr>
                      <w:rFonts w:ascii="黑体" w:hAnsi="黑体" w:eastAsia="黑体" w:cs="黑体"/>
                      <w:sz w:val="24"/>
                      <w:szCs w:val="24"/>
                    </w:rPr>
                  </w:pPr>
                  <w:bookmarkStart w:id="689" w:name="bookmark704"/>
                  <w:bookmarkEnd w:id="689"/>
                  <w:r>
                    <w:rPr>
                      <w:rFonts w:ascii="Times New Roman" w:hAnsi="Times New Roman" w:eastAsia="Times New Roman" w:cs="Times New Roman"/>
                      <w:b/>
                      <w:bCs/>
                      <w:spacing w:val="2"/>
                      <w:sz w:val="24"/>
                      <w:szCs w:val="24"/>
                    </w:rPr>
                    <w:t xml:space="preserve">2.2  </w:t>
                  </w:r>
                  <w:r>
                    <w:rPr>
                      <w:rFonts w:ascii="黑体" w:hAnsi="黑体" w:eastAsia="黑体" w:cs="黑体"/>
                      <w:b/>
                      <w:bCs/>
                      <w:spacing w:val="2"/>
                      <w:sz w:val="24"/>
                      <w:szCs w:val="24"/>
                    </w:rPr>
                    <w:t>发包人代表</w:t>
                  </w:r>
                </w:p>
                <w:p w14:paraId="2DAD466D">
                  <w:pPr>
                    <w:spacing w:before="113" w:line="220" w:lineRule="auto"/>
                    <w:ind w:left="452"/>
                    <w:rPr>
                      <w:rFonts w:ascii="宋体" w:hAnsi="宋体" w:eastAsia="宋体" w:cs="宋体"/>
                      <w:sz w:val="21"/>
                      <w:szCs w:val="21"/>
                    </w:rPr>
                  </w:pPr>
                  <w:r>
                    <w:rPr>
                      <w:rFonts w:ascii="宋体" w:hAnsi="宋体" w:eastAsia="宋体" w:cs="宋体"/>
                      <w:spacing w:val="-8"/>
                      <w:sz w:val="21"/>
                      <w:szCs w:val="21"/>
                    </w:rPr>
                    <w:t>发包人代表：</w:t>
                  </w:r>
                </w:p>
              </w:txbxContent>
            </v:textbox>
          </v:shape>
        </w:pict>
      </w:r>
      <w:r>
        <w:rPr>
          <w:rFonts w:ascii="宋体" w:hAnsi="宋体" w:eastAsia="宋体" w:cs="宋体"/>
          <w:position w:val="-1"/>
          <w:sz w:val="21"/>
          <w:szCs w:val="21"/>
        </w:rPr>
        <w:t>。</w:t>
      </w:r>
    </w:p>
    <w:p w14:paraId="6552C221">
      <w:pPr>
        <w:pStyle w:val="2"/>
        <w:spacing w:line="287" w:lineRule="auto"/>
      </w:pPr>
    </w:p>
    <w:p w14:paraId="7EBB0D4E">
      <w:pPr>
        <w:pStyle w:val="2"/>
        <w:spacing w:line="287" w:lineRule="auto"/>
      </w:pPr>
    </w:p>
    <w:p w14:paraId="4B9BD880">
      <w:pPr>
        <w:pStyle w:val="2"/>
        <w:spacing w:line="287" w:lineRule="auto"/>
      </w:pPr>
    </w:p>
    <w:p w14:paraId="623AD40F">
      <w:pPr>
        <w:pStyle w:val="2"/>
        <w:spacing w:line="288" w:lineRule="auto"/>
      </w:pPr>
    </w:p>
    <w:p w14:paraId="7B1003E0">
      <w:pPr>
        <w:pStyle w:val="2"/>
        <w:spacing w:line="288" w:lineRule="auto"/>
      </w:pPr>
    </w:p>
    <w:p w14:paraId="1A21B0C7">
      <w:pPr>
        <w:spacing w:before="68" w:line="220" w:lineRule="auto"/>
        <w:ind w:left="444"/>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2"/>
          <w:sz w:val="21"/>
          <w:szCs w:val="21"/>
        </w:rPr>
        <w:t xml:space="preserve">    </w:t>
      </w:r>
      <w:r>
        <w:rPr>
          <w:rFonts w:ascii="宋体" w:hAnsi="宋体" w:eastAsia="宋体" w:cs="宋体"/>
          <w:spacing w:val="-7"/>
          <w:sz w:val="21"/>
          <w:szCs w:val="21"/>
        </w:rPr>
        <w:t>名</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2789D20B">
      <w:pPr>
        <w:spacing w:before="155" w:line="220" w:lineRule="auto"/>
        <w:ind w:left="450"/>
        <w:rPr>
          <w:rFonts w:ascii="宋体" w:hAnsi="宋体" w:eastAsia="宋体" w:cs="宋体"/>
          <w:sz w:val="21"/>
          <w:szCs w:val="21"/>
        </w:rPr>
      </w:pPr>
      <w:r>
        <w:rPr>
          <w:rFonts w:ascii="宋体" w:hAnsi="宋体" w:eastAsia="宋体" w:cs="宋体"/>
          <w:spacing w:val="-3"/>
          <w:sz w:val="21"/>
          <w:szCs w:val="21"/>
        </w:rPr>
        <w:t>身份证号</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0F55DDA9">
      <w:pPr>
        <w:spacing w:before="140" w:line="220" w:lineRule="auto"/>
        <w:ind w:left="445"/>
        <w:rPr>
          <w:rFonts w:ascii="宋体" w:hAnsi="宋体" w:eastAsia="宋体" w:cs="宋体"/>
          <w:sz w:val="21"/>
          <w:szCs w:val="21"/>
        </w:rPr>
      </w:pPr>
      <w:r>
        <w:rPr>
          <w:rFonts w:ascii="宋体" w:hAnsi="宋体" w:eastAsia="宋体" w:cs="宋体"/>
          <w:spacing w:val="-7"/>
          <w:sz w:val="21"/>
          <w:szCs w:val="21"/>
        </w:rPr>
        <w:t>职</w:t>
      </w:r>
      <w:r>
        <w:rPr>
          <w:rFonts w:ascii="宋体" w:hAnsi="宋体" w:eastAsia="宋体" w:cs="宋体"/>
          <w:spacing w:val="2"/>
          <w:sz w:val="21"/>
          <w:szCs w:val="21"/>
        </w:rPr>
        <w:t xml:space="preserve">    </w:t>
      </w:r>
      <w:r>
        <w:rPr>
          <w:rFonts w:ascii="宋体" w:hAnsi="宋体" w:eastAsia="宋体" w:cs="宋体"/>
          <w:spacing w:val="-7"/>
          <w:sz w:val="21"/>
          <w:szCs w:val="21"/>
        </w:rPr>
        <w:t>务</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6896748B">
      <w:pPr>
        <w:spacing w:before="154" w:line="222" w:lineRule="auto"/>
        <w:ind w:left="44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72ADEF6">
      <w:pPr>
        <w:spacing w:before="153" w:line="220" w:lineRule="auto"/>
        <w:ind w:left="469"/>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2542F2F">
      <w:pPr>
        <w:spacing w:before="140" w:line="220" w:lineRule="auto"/>
        <w:ind w:left="444"/>
        <w:rPr>
          <w:rFonts w:ascii="宋体" w:hAnsi="宋体" w:eastAsia="宋体" w:cs="宋体"/>
          <w:sz w:val="21"/>
          <w:szCs w:val="21"/>
        </w:rPr>
      </w:pPr>
      <w:r>
        <w:rPr>
          <w:rFonts w:ascii="宋体" w:hAnsi="宋体" w:eastAsia="宋体" w:cs="宋体"/>
          <w:sz w:val="21"/>
          <w:szCs w:val="21"/>
        </w:rPr>
        <w:t>通信地址：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F5C0EC8">
      <w:pPr>
        <w:spacing w:before="155" w:line="220" w:lineRule="auto"/>
        <w:ind w:left="448"/>
        <w:rPr>
          <w:rFonts w:ascii="宋体" w:hAnsi="宋体" w:eastAsia="宋体" w:cs="宋体"/>
          <w:sz w:val="21"/>
          <w:szCs w:val="21"/>
        </w:rPr>
      </w:pPr>
      <w:r>
        <w:rPr>
          <w:rFonts w:ascii="宋体" w:hAnsi="宋体" w:eastAsia="宋体" w:cs="宋体"/>
          <w:spacing w:val="-3"/>
          <w:sz w:val="21"/>
          <w:szCs w:val="21"/>
        </w:rPr>
        <w:t>发包人对发包人代表的授权范围如下：</w:t>
      </w:r>
    </w:p>
    <w:p w14:paraId="57525D9E">
      <w:pPr>
        <w:pStyle w:val="2"/>
        <w:tabs>
          <w:tab w:val="left" w:pos="855"/>
          <w:tab w:val="left" w:pos="7795"/>
        </w:tabs>
        <w:spacing w:before="177" w:line="368" w:lineRule="auto"/>
        <w:ind w:left="15" w:right="540" w:firstLine="420"/>
      </w:pPr>
      <w:r>
        <w:rPr>
          <w:u w:val="single" w:color="auto"/>
        </w:rPr>
        <w:tab/>
      </w:r>
      <w:r>
        <w:rPr>
          <w:u w:val="single" w:color="auto"/>
        </w:rPr>
        <w:tab/>
      </w:r>
      <w:r>
        <w:t xml:space="preserve"> </w:t>
      </w:r>
      <w:r>
        <w:rPr>
          <w:u w:val="single" w:color="auto"/>
        </w:rPr>
        <w:tab/>
      </w:r>
    </w:p>
    <w:p w14:paraId="023E4579">
      <w:pPr>
        <w:pStyle w:val="2"/>
        <w:tabs>
          <w:tab w:val="left" w:pos="750"/>
        </w:tabs>
        <w:spacing w:before="55"/>
        <w:ind w:left="436"/>
      </w:pPr>
      <w:r>
        <w:rPr>
          <w:u w:val="single" w:color="auto"/>
        </w:rPr>
        <w:tab/>
      </w:r>
    </w:p>
    <w:p w14:paraId="575F5FCF">
      <w:pPr>
        <w:spacing w:before="278" w:line="46" w:lineRule="exact"/>
        <w:ind w:left="7824"/>
        <w:rPr>
          <w:rFonts w:ascii="宋体" w:hAnsi="宋体" w:eastAsia="宋体" w:cs="宋体"/>
          <w:sz w:val="21"/>
          <w:szCs w:val="21"/>
        </w:rPr>
      </w:pPr>
      <w:r>
        <w:pict>
          <v:shape id="_x0000_s1073" o:spid="_x0000_s1073" o:spt="202" type="#_x0000_t202" style="position:absolute;left:0pt;margin-left:-0.2pt;margin-top:7.15pt;height:14.1pt;width:391pt;z-index:251714560;mso-width-relative:page;mso-height-relative:page;" filled="f" stroked="f" coordsize="21600,21600">
            <v:path/>
            <v:fill on="f" focussize="0,0"/>
            <v:stroke on="f"/>
            <v:imagedata o:title=""/>
            <o:lock v:ext="edit" aspectratio="f"/>
            <v:textbox inset="0mm,0mm,0mm,0mm">
              <w:txbxContent>
                <w:p w14:paraId="6EEFA1AC">
                  <w:pPr>
                    <w:pStyle w:val="2"/>
                    <w:tabs>
                      <w:tab w:val="left" w:pos="7800"/>
                    </w:tabs>
                    <w:spacing w:before="19"/>
                    <w:ind w:left="20"/>
                  </w:pPr>
                  <w:r>
                    <w:rPr>
                      <w:u w:val="single" w:color="auto"/>
                    </w:rPr>
                    <w:tab/>
                  </w:r>
                </w:p>
              </w:txbxContent>
            </v:textbox>
          </v:shape>
        </w:pict>
      </w:r>
      <w:r>
        <w:rPr>
          <w:rFonts w:ascii="宋体" w:hAnsi="宋体" w:eastAsia="宋体" w:cs="宋体"/>
          <w:position w:val="-1"/>
          <w:sz w:val="21"/>
          <w:szCs w:val="21"/>
        </w:rPr>
        <w:t>。</w:t>
      </w:r>
    </w:p>
    <w:p w14:paraId="25645E07">
      <w:pPr>
        <w:spacing w:before="183" w:line="232" w:lineRule="auto"/>
        <w:ind w:left="21"/>
        <w:outlineLvl w:val="1"/>
        <w:rPr>
          <w:rFonts w:ascii="黑体" w:hAnsi="黑体" w:eastAsia="黑体" w:cs="黑体"/>
          <w:sz w:val="24"/>
          <w:szCs w:val="24"/>
        </w:rPr>
      </w:pPr>
      <w:bookmarkStart w:id="509" w:name="bookmark445"/>
      <w:bookmarkEnd w:id="509"/>
      <w:r>
        <w:rPr>
          <w:rFonts w:ascii="Times New Roman" w:hAnsi="Times New Roman" w:eastAsia="Times New Roman" w:cs="Times New Roman"/>
          <w:b/>
          <w:bCs/>
          <w:sz w:val="24"/>
          <w:szCs w:val="24"/>
        </w:rPr>
        <w:t xml:space="preserve">2.4  </w:t>
      </w:r>
      <w:r>
        <w:rPr>
          <w:rFonts w:ascii="黑体" w:hAnsi="黑体" w:eastAsia="黑体" w:cs="黑体"/>
          <w:b/>
          <w:bCs/>
          <w:sz w:val="24"/>
          <w:szCs w:val="24"/>
        </w:rPr>
        <w:t>施工现场、施工条件和基础资料的提供</w:t>
      </w:r>
    </w:p>
    <w:p w14:paraId="1021F449">
      <w:pPr>
        <w:spacing w:before="130" w:line="219" w:lineRule="auto"/>
        <w:ind w:left="447"/>
        <w:rPr>
          <w:rFonts w:ascii="宋体" w:hAnsi="宋体" w:eastAsia="宋体" w:cs="宋体"/>
          <w:sz w:val="21"/>
          <w:szCs w:val="21"/>
        </w:rPr>
      </w:pPr>
      <w:r>
        <w:rPr>
          <w:rFonts w:ascii="宋体" w:hAnsi="宋体" w:eastAsia="宋体" w:cs="宋体"/>
          <w:spacing w:val="-1"/>
          <w:sz w:val="21"/>
          <w:szCs w:val="21"/>
        </w:rPr>
        <w:t>2.4.1 提供施工现场</w:t>
      </w:r>
    </w:p>
    <w:p w14:paraId="71F71F07">
      <w:pPr>
        <w:spacing w:before="156" w:line="220" w:lineRule="auto"/>
        <w:ind w:left="448"/>
        <w:rPr>
          <w:rFonts w:ascii="宋体" w:hAnsi="宋体" w:eastAsia="宋体" w:cs="宋体"/>
          <w:sz w:val="21"/>
          <w:szCs w:val="21"/>
        </w:rPr>
      </w:pPr>
      <w:r>
        <w:rPr>
          <w:rFonts w:ascii="宋体" w:hAnsi="宋体" w:eastAsia="宋体" w:cs="宋体"/>
          <w:spacing w:val="-3"/>
          <w:sz w:val="21"/>
          <w:szCs w:val="21"/>
        </w:rPr>
        <w:t>关于发包人移交施工现场的期限要求：</w:t>
      </w:r>
    </w:p>
    <w:p w14:paraId="31993B98">
      <w:pPr>
        <w:pStyle w:val="2"/>
        <w:tabs>
          <w:tab w:val="left" w:pos="855"/>
          <w:tab w:val="left" w:pos="7795"/>
        </w:tabs>
        <w:spacing w:before="161" w:line="383" w:lineRule="auto"/>
        <w:ind w:left="15" w:right="540" w:firstLine="420"/>
      </w:pPr>
      <w:r>
        <w:rPr>
          <w:u w:val="single" w:color="auto"/>
        </w:rPr>
        <w:tab/>
      </w:r>
      <w:r>
        <w:rPr>
          <w:u w:val="single" w:color="auto"/>
        </w:rPr>
        <w:tab/>
      </w:r>
      <w:r>
        <w:t xml:space="preserve"> </w:t>
      </w:r>
      <w:r>
        <w:rPr>
          <w:u w:val="single" w:color="auto"/>
        </w:rPr>
        <w:tab/>
      </w:r>
    </w:p>
    <w:p w14:paraId="6E10BD06">
      <w:pPr>
        <w:pStyle w:val="2"/>
        <w:tabs>
          <w:tab w:val="left" w:pos="750"/>
        </w:tabs>
        <w:spacing w:before="40"/>
        <w:ind w:left="436"/>
      </w:pPr>
      <w:r>
        <w:rPr>
          <w:u w:val="single" w:color="auto"/>
        </w:rPr>
        <w:tab/>
      </w:r>
    </w:p>
    <w:p w14:paraId="33110296">
      <w:pPr>
        <w:tabs>
          <w:tab w:val="left" w:pos="7795"/>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D67C44F">
      <w:pPr>
        <w:spacing w:before="164" w:line="219" w:lineRule="auto"/>
        <w:ind w:left="447"/>
        <w:rPr>
          <w:rFonts w:ascii="宋体" w:hAnsi="宋体" w:eastAsia="宋体" w:cs="宋体"/>
          <w:sz w:val="21"/>
          <w:szCs w:val="21"/>
        </w:rPr>
      </w:pPr>
      <w:r>
        <w:rPr>
          <w:rFonts w:ascii="宋体" w:hAnsi="宋体" w:eastAsia="宋体" w:cs="宋体"/>
          <w:spacing w:val="-1"/>
          <w:sz w:val="21"/>
          <w:szCs w:val="21"/>
        </w:rPr>
        <w:t>2.4.2 提供施工条件</w:t>
      </w:r>
    </w:p>
    <w:p w14:paraId="42DFB114">
      <w:pPr>
        <w:spacing w:before="157" w:line="219" w:lineRule="auto"/>
        <w:ind w:left="448"/>
        <w:rPr>
          <w:rFonts w:ascii="宋体" w:hAnsi="宋体" w:eastAsia="宋体" w:cs="宋体"/>
          <w:sz w:val="21"/>
          <w:szCs w:val="21"/>
        </w:rPr>
      </w:pPr>
      <w:r>
        <w:rPr>
          <w:rFonts w:ascii="宋体" w:hAnsi="宋体" w:eastAsia="宋体" w:cs="宋体"/>
          <w:spacing w:val="-2"/>
          <w:sz w:val="21"/>
          <w:szCs w:val="21"/>
        </w:rPr>
        <w:t>关于发包人应负责提供施工所需要的条件，包括：</w:t>
      </w:r>
    </w:p>
    <w:p w14:paraId="2EF08474">
      <w:pPr>
        <w:pStyle w:val="2"/>
        <w:tabs>
          <w:tab w:val="left" w:pos="855"/>
          <w:tab w:val="left" w:pos="7900"/>
        </w:tabs>
        <w:spacing w:before="161" w:line="383" w:lineRule="auto"/>
        <w:ind w:left="15" w:right="435" w:firstLine="525"/>
      </w:pPr>
      <w:r>
        <w:rPr>
          <w:u w:val="single" w:color="auto"/>
        </w:rPr>
        <w:tab/>
      </w:r>
      <w:r>
        <w:rPr>
          <w:u w:val="single" w:color="auto"/>
        </w:rPr>
        <w:tab/>
      </w:r>
      <w:r>
        <w:t xml:space="preserve"> </w:t>
      </w:r>
      <w:r>
        <w:rPr>
          <w:u w:val="single" w:color="auto"/>
        </w:rPr>
        <w:tab/>
      </w:r>
    </w:p>
    <w:p w14:paraId="06BB88B5">
      <w:pPr>
        <w:pStyle w:val="2"/>
        <w:tabs>
          <w:tab w:val="left" w:pos="750"/>
        </w:tabs>
        <w:spacing w:before="41"/>
        <w:ind w:left="436"/>
      </w:pPr>
      <w:r>
        <w:rPr>
          <w:u w:val="single" w:color="auto"/>
        </w:rPr>
        <w:tab/>
      </w:r>
    </w:p>
    <w:p w14:paraId="704C06AF">
      <w:pPr>
        <w:spacing w:before="264" w:line="45" w:lineRule="exact"/>
        <w:ind w:left="7824"/>
        <w:rPr>
          <w:rFonts w:ascii="宋体" w:hAnsi="宋体" w:eastAsia="宋体" w:cs="宋体"/>
          <w:sz w:val="21"/>
          <w:szCs w:val="21"/>
        </w:rPr>
      </w:pPr>
      <w:r>
        <w:pict>
          <v:shape id="_x0000_s1074" o:spid="_x0000_s1074" o:spt="202" type="#_x0000_t202" style="position:absolute;left:0pt;margin-left:-0.2pt;margin-top:6.45pt;height:14.1pt;width:391pt;z-index:251713536;mso-width-relative:page;mso-height-relative:page;" filled="f" stroked="f" coordsize="21600,21600">
            <v:path/>
            <v:fill on="f" focussize="0,0"/>
            <v:stroke on="f"/>
            <v:imagedata o:title=""/>
            <o:lock v:ext="edit" aspectratio="f"/>
            <v:textbox inset="0mm,0mm,0mm,0mm">
              <w:txbxContent>
                <w:p w14:paraId="240C3BDB">
                  <w:pPr>
                    <w:pStyle w:val="2"/>
                    <w:tabs>
                      <w:tab w:val="left" w:pos="7800"/>
                    </w:tabs>
                    <w:spacing w:before="19"/>
                    <w:ind w:left="20"/>
                  </w:pPr>
                  <w:r>
                    <w:rPr>
                      <w:u w:val="single" w:color="auto"/>
                    </w:rPr>
                    <w:tab/>
                  </w:r>
                </w:p>
              </w:txbxContent>
            </v:textbox>
          </v:shape>
        </w:pict>
      </w:r>
      <w:r>
        <w:rPr>
          <w:rFonts w:ascii="宋体" w:hAnsi="宋体" w:eastAsia="宋体" w:cs="宋体"/>
          <w:position w:val="-1"/>
          <w:sz w:val="21"/>
          <w:szCs w:val="21"/>
        </w:rPr>
        <w:t>。</w:t>
      </w:r>
    </w:p>
    <w:p w14:paraId="5ED96C16">
      <w:pPr>
        <w:spacing w:before="198" w:line="232" w:lineRule="auto"/>
        <w:ind w:left="21"/>
        <w:outlineLvl w:val="1"/>
        <w:rPr>
          <w:rFonts w:ascii="黑体" w:hAnsi="黑体" w:eastAsia="黑体" w:cs="黑体"/>
          <w:sz w:val="24"/>
          <w:szCs w:val="24"/>
        </w:rPr>
      </w:pPr>
      <w:bookmarkStart w:id="510" w:name="bookmark446"/>
      <w:bookmarkEnd w:id="510"/>
      <w:r>
        <w:rPr>
          <w:rFonts w:ascii="Times New Roman" w:hAnsi="Times New Roman" w:eastAsia="Times New Roman" w:cs="Times New Roman"/>
          <w:b/>
          <w:bCs/>
          <w:spacing w:val="1"/>
          <w:sz w:val="24"/>
          <w:szCs w:val="24"/>
        </w:rPr>
        <w:t xml:space="preserve">2.5  </w:t>
      </w:r>
      <w:r>
        <w:rPr>
          <w:rFonts w:ascii="黑体" w:hAnsi="黑体" w:eastAsia="黑体" w:cs="黑体"/>
          <w:b/>
          <w:bCs/>
          <w:spacing w:val="1"/>
          <w:sz w:val="24"/>
          <w:szCs w:val="24"/>
        </w:rPr>
        <w:t>资金来源证明及支付担保</w:t>
      </w:r>
    </w:p>
    <w:p w14:paraId="67E87129">
      <w:pPr>
        <w:spacing w:before="130" w:line="219" w:lineRule="auto"/>
        <w:ind w:left="448"/>
        <w:rPr>
          <w:rFonts w:ascii="宋体" w:hAnsi="宋体" w:eastAsia="宋体" w:cs="宋体"/>
          <w:sz w:val="21"/>
          <w:szCs w:val="21"/>
        </w:rPr>
      </w:pPr>
      <w:r>
        <w:rPr>
          <w:rFonts w:ascii="宋体" w:hAnsi="宋体" w:eastAsia="宋体" w:cs="宋体"/>
          <w:sz w:val="21"/>
          <w:szCs w:val="21"/>
        </w:rPr>
        <w:t>发包人提供资金来源证明的期限要求：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A1A87B0">
      <w:pPr>
        <w:spacing w:line="219" w:lineRule="auto"/>
        <w:rPr>
          <w:rFonts w:ascii="宋体" w:hAnsi="宋体" w:eastAsia="宋体" w:cs="宋体"/>
          <w:sz w:val="21"/>
          <w:szCs w:val="21"/>
        </w:rPr>
        <w:sectPr>
          <w:headerReference r:id="rId209" w:type="default"/>
          <w:footerReference r:id="rId210" w:type="default"/>
          <w:pgSz w:w="11910" w:h="16845"/>
          <w:pgMar w:top="2653" w:right="1786" w:bottom="1110" w:left="1786" w:header="1572" w:footer="883" w:gutter="0"/>
          <w:cols w:space="720" w:num="1"/>
        </w:sectPr>
      </w:pPr>
    </w:p>
    <w:p w14:paraId="7A0ABE77">
      <w:pPr>
        <w:pStyle w:val="2"/>
        <w:spacing w:line="275" w:lineRule="auto"/>
      </w:pPr>
    </w:p>
    <w:p w14:paraId="38907878">
      <w:pPr>
        <w:pStyle w:val="2"/>
        <w:spacing w:line="275" w:lineRule="auto"/>
      </w:pPr>
    </w:p>
    <w:p w14:paraId="13F76C86">
      <w:pPr>
        <w:pStyle w:val="2"/>
        <w:spacing w:line="275" w:lineRule="auto"/>
      </w:pPr>
    </w:p>
    <w:p w14:paraId="23E724B6">
      <w:pPr>
        <w:pStyle w:val="2"/>
        <w:spacing w:line="275" w:lineRule="auto"/>
      </w:pPr>
    </w:p>
    <w:p w14:paraId="2449819F">
      <w:pPr>
        <w:spacing w:before="69" w:line="219" w:lineRule="auto"/>
        <w:ind w:left="448"/>
        <w:rPr>
          <w:rFonts w:ascii="宋体" w:hAnsi="宋体" w:eastAsia="宋体" w:cs="宋体"/>
          <w:sz w:val="21"/>
          <w:szCs w:val="21"/>
        </w:rPr>
      </w:pPr>
      <w:r>
        <w:rPr>
          <w:rFonts w:ascii="宋体" w:hAnsi="宋体" w:eastAsia="宋体" w:cs="宋体"/>
          <w:sz w:val="21"/>
          <w:szCs w:val="21"/>
        </w:rPr>
        <w:t>发包人是否提供支付担保：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A336D73">
      <w:pPr>
        <w:spacing w:before="156" w:line="219" w:lineRule="auto"/>
        <w:ind w:left="448"/>
        <w:rPr>
          <w:rFonts w:ascii="宋体" w:hAnsi="宋体" w:eastAsia="宋体" w:cs="宋体"/>
          <w:sz w:val="21"/>
          <w:szCs w:val="21"/>
        </w:rPr>
      </w:pPr>
      <w:r>
        <w:rPr>
          <w:rFonts w:ascii="宋体" w:hAnsi="宋体" w:eastAsia="宋体" w:cs="宋体"/>
          <w:sz w:val="21"/>
          <w:szCs w:val="21"/>
        </w:rPr>
        <w:t>发包人提供支付担保的形式：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A5AFB2D">
      <w:pPr>
        <w:spacing w:before="182" w:line="237" w:lineRule="auto"/>
        <w:ind w:left="20"/>
        <w:outlineLvl w:val="0"/>
        <w:rPr>
          <w:rFonts w:ascii="黑体" w:hAnsi="黑体" w:eastAsia="黑体" w:cs="黑体"/>
          <w:sz w:val="28"/>
          <w:szCs w:val="28"/>
        </w:rPr>
      </w:pPr>
      <w:bookmarkStart w:id="511" w:name="bookmark448"/>
      <w:bookmarkEnd w:id="511"/>
      <w:bookmarkStart w:id="512" w:name="bookmark447"/>
      <w:bookmarkEnd w:id="512"/>
      <w:r>
        <w:rPr>
          <w:rFonts w:ascii="Times New Roman" w:hAnsi="Times New Roman" w:eastAsia="Times New Roman" w:cs="Times New Roman"/>
          <w:b/>
          <w:bCs/>
          <w:spacing w:val="9"/>
          <w:sz w:val="28"/>
          <w:szCs w:val="28"/>
        </w:rPr>
        <w:t>3.</w:t>
      </w:r>
      <w:r>
        <w:rPr>
          <w:rFonts w:ascii="Times New Roman" w:hAnsi="Times New Roman" w:eastAsia="Times New Roman" w:cs="Times New Roman"/>
          <w:b/>
          <w:bCs/>
          <w:spacing w:val="67"/>
          <w:sz w:val="28"/>
          <w:szCs w:val="28"/>
        </w:rPr>
        <w:t xml:space="preserve"> </w:t>
      </w:r>
      <w:r>
        <w:rPr>
          <w:rFonts w:ascii="黑体" w:hAnsi="黑体" w:eastAsia="黑体" w:cs="黑体"/>
          <w:b/>
          <w:bCs/>
          <w:spacing w:val="9"/>
          <w:sz w:val="28"/>
          <w:szCs w:val="28"/>
        </w:rPr>
        <w:t>承包人</w:t>
      </w:r>
    </w:p>
    <w:p w14:paraId="7F5B1CB1">
      <w:pPr>
        <w:spacing w:before="84" w:line="232" w:lineRule="auto"/>
        <w:ind w:left="19"/>
        <w:outlineLvl w:val="1"/>
        <w:rPr>
          <w:rFonts w:ascii="黑体" w:hAnsi="黑体" w:eastAsia="黑体" w:cs="黑体"/>
          <w:sz w:val="24"/>
          <w:szCs w:val="24"/>
        </w:rPr>
      </w:pPr>
      <w:bookmarkStart w:id="513" w:name="bookmark705"/>
      <w:bookmarkEnd w:id="513"/>
      <w:r>
        <w:rPr>
          <w:rFonts w:ascii="Times New Roman" w:hAnsi="Times New Roman" w:eastAsia="Times New Roman" w:cs="Times New Roman"/>
          <w:b/>
          <w:bCs/>
          <w:spacing w:val="3"/>
          <w:sz w:val="24"/>
          <w:szCs w:val="24"/>
        </w:rPr>
        <w:t xml:space="preserve">3.1  </w:t>
      </w:r>
      <w:r>
        <w:rPr>
          <w:rFonts w:ascii="黑体" w:hAnsi="黑体" w:eastAsia="黑体" w:cs="黑体"/>
          <w:b/>
          <w:bCs/>
          <w:spacing w:val="3"/>
          <w:sz w:val="24"/>
          <w:szCs w:val="24"/>
        </w:rPr>
        <w:t>承包人的一般义务</w:t>
      </w:r>
    </w:p>
    <w:p w14:paraId="33BDE9E3">
      <w:pPr>
        <w:spacing w:before="113" w:line="220" w:lineRule="auto"/>
        <w:ind w:left="450"/>
        <w:rPr>
          <w:rFonts w:ascii="宋体" w:hAnsi="宋体" w:eastAsia="宋体" w:cs="宋体"/>
          <w:sz w:val="21"/>
          <w:szCs w:val="21"/>
        </w:rPr>
      </w:pPr>
      <w:r>
        <w:rPr>
          <w:rFonts w:ascii="宋体" w:hAnsi="宋体" w:eastAsia="宋体" w:cs="宋体"/>
          <w:spacing w:val="-4"/>
          <w:sz w:val="21"/>
          <w:szCs w:val="21"/>
        </w:rPr>
        <w:t>（9）承包人提交的竣工资料的内容：</w:t>
      </w:r>
    </w:p>
    <w:p w14:paraId="21961C02">
      <w:pPr>
        <w:pStyle w:val="2"/>
        <w:tabs>
          <w:tab w:val="left" w:pos="855"/>
          <w:tab w:val="left" w:pos="7795"/>
        </w:tabs>
        <w:spacing w:before="176" w:line="383" w:lineRule="auto"/>
        <w:ind w:left="15" w:right="540" w:firstLine="420"/>
      </w:pPr>
      <w:r>
        <w:rPr>
          <w:u w:val="single" w:color="auto"/>
        </w:rPr>
        <w:tab/>
      </w:r>
      <w:r>
        <w:rPr>
          <w:u w:val="single" w:color="auto"/>
        </w:rPr>
        <w:tab/>
      </w:r>
      <w:r>
        <w:t xml:space="preserve"> </w:t>
      </w:r>
      <w:r>
        <w:rPr>
          <w:u w:val="single" w:color="auto"/>
        </w:rPr>
        <w:tab/>
      </w:r>
    </w:p>
    <w:p w14:paraId="52D9A47F">
      <w:pPr>
        <w:pStyle w:val="2"/>
        <w:tabs>
          <w:tab w:val="left" w:pos="750"/>
        </w:tabs>
        <w:spacing w:before="25"/>
        <w:ind w:left="436"/>
      </w:pPr>
      <w:r>
        <w:rPr>
          <w:u w:val="single" w:color="auto"/>
        </w:rPr>
        <w:tab/>
      </w:r>
    </w:p>
    <w:p w14:paraId="45832CEC">
      <w:pPr>
        <w:tabs>
          <w:tab w:val="left" w:pos="7795"/>
        </w:tabs>
        <w:spacing w:before="27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342313D">
      <w:pPr>
        <w:spacing w:before="164" w:line="220" w:lineRule="auto"/>
        <w:ind w:left="444"/>
        <w:rPr>
          <w:rFonts w:ascii="宋体" w:hAnsi="宋体" w:eastAsia="宋体" w:cs="宋体"/>
          <w:sz w:val="21"/>
          <w:szCs w:val="21"/>
        </w:rPr>
      </w:pPr>
      <w:r>
        <w:rPr>
          <w:rFonts w:ascii="宋体" w:hAnsi="宋体" w:eastAsia="宋体" w:cs="宋体"/>
          <w:sz w:val="21"/>
          <w:szCs w:val="21"/>
        </w:rPr>
        <w:t>承包人需要提交的竣工资料套数：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0277D0F">
      <w:pPr>
        <w:spacing w:before="141" w:line="220" w:lineRule="auto"/>
        <w:ind w:left="444"/>
        <w:rPr>
          <w:rFonts w:ascii="宋体" w:hAnsi="宋体" w:eastAsia="宋体" w:cs="宋体"/>
          <w:sz w:val="21"/>
          <w:szCs w:val="21"/>
        </w:rPr>
      </w:pPr>
      <w:r>
        <w:rPr>
          <w:rFonts w:ascii="宋体" w:hAnsi="宋体" w:eastAsia="宋体" w:cs="宋体"/>
          <w:sz w:val="21"/>
          <w:szCs w:val="21"/>
        </w:rPr>
        <w:t>承包人提交的竣工资料的费用承担：</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F1CD72">
      <w:pPr>
        <w:spacing w:before="154" w:line="220" w:lineRule="auto"/>
        <w:ind w:left="444"/>
        <w:rPr>
          <w:rFonts w:ascii="宋体" w:hAnsi="宋体" w:eastAsia="宋体" w:cs="宋体"/>
          <w:sz w:val="21"/>
          <w:szCs w:val="21"/>
        </w:rPr>
      </w:pPr>
      <w:r>
        <w:rPr>
          <w:rFonts w:ascii="宋体" w:hAnsi="宋体" w:eastAsia="宋体" w:cs="宋体"/>
          <w:sz w:val="21"/>
          <w:szCs w:val="21"/>
        </w:rPr>
        <w:t>承包人提交的竣工资料移交时间：</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94B0AF1">
      <w:pPr>
        <w:spacing w:before="156" w:line="220" w:lineRule="auto"/>
        <w:ind w:left="444"/>
        <w:rPr>
          <w:rFonts w:ascii="宋体" w:hAnsi="宋体" w:eastAsia="宋体" w:cs="宋体"/>
          <w:sz w:val="21"/>
          <w:szCs w:val="21"/>
        </w:rPr>
      </w:pPr>
      <w:r>
        <w:rPr>
          <w:rFonts w:ascii="宋体" w:hAnsi="宋体" w:eastAsia="宋体" w:cs="宋体"/>
          <w:sz w:val="21"/>
          <w:szCs w:val="21"/>
        </w:rPr>
        <w:t>承包人提交的竣工资料形式要求：</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E7805AB">
      <w:pPr>
        <w:spacing w:before="140" w:line="220" w:lineRule="auto"/>
        <w:ind w:left="450"/>
        <w:rPr>
          <w:rFonts w:ascii="宋体" w:hAnsi="宋体" w:eastAsia="宋体" w:cs="宋体"/>
          <w:sz w:val="21"/>
          <w:szCs w:val="21"/>
        </w:rPr>
      </w:pPr>
      <w:r>
        <w:rPr>
          <w:rFonts w:ascii="宋体" w:hAnsi="宋体" w:eastAsia="宋体" w:cs="宋体"/>
          <w:spacing w:val="-4"/>
          <w:sz w:val="21"/>
          <w:szCs w:val="21"/>
        </w:rPr>
        <w:t>（10）承包人应履行的其他义务：</w:t>
      </w:r>
    </w:p>
    <w:p w14:paraId="4D788A52">
      <w:pPr>
        <w:pStyle w:val="2"/>
        <w:tabs>
          <w:tab w:val="left" w:pos="855"/>
          <w:tab w:val="left" w:pos="7795"/>
        </w:tabs>
        <w:spacing w:before="176" w:line="383" w:lineRule="auto"/>
        <w:ind w:left="15" w:right="540" w:firstLine="420"/>
      </w:pPr>
      <w:r>
        <w:rPr>
          <w:u w:val="single" w:color="auto"/>
        </w:rPr>
        <w:tab/>
      </w:r>
      <w:r>
        <w:rPr>
          <w:u w:val="single" w:color="auto"/>
        </w:rPr>
        <w:tab/>
      </w:r>
      <w:r>
        <w:t xml:space="preserve"> </w:t>
      </w:r>
      <w:r>
        <w:rPr>
          <w:u w:val="single" w:color="auto"/>
        </w:rPr>
        <w:tab/>
      </w:r>
    </w:p>
    <w:p w14:paraId="51E23DF2">
      <w:pPr>
        <w:pStyle w:val="2"/>
        <w:tabs>
          <w:tab w:val="left" w:pos="750"/>
        </w:tabs>
        <w:spacing w:before="25"/>
        <w:ind w:left="436"/>
      </w:pPr>
      <w:r>
        <w:rPr>
          <w:u w:val="single" w:color="auto"/>
        </w:rPr>
        <w:tab/>
      </w:r>
    </w:p>
    <w:p w14:paraId="253246C8">
      <w:pPr>
        <w:spacing w:before="279" w:line="45" w:lineRule="exact"/>
        <w:ind w:left="7824"/>
        <w:rPr>
          <w:rFonts w:ascii="宋体" w:hAnsi="宋体" w:eastAsia="宋体" w:cs="宋体"/>
          <w:sz w:val="21"/>
          <w:szCs w:val="21"/>
        </w:rPr>
      </w:pPr>
      <w:r>
        <w:pict>
          <v:shape id="_x0000_s1075" o:spid="_x0000_s1075" o:spt="202" type="#_x0000_t202" style="position:absolute;left:0pt;margin-left:-0.2pt;margin-top:7.2pt;height:14.1pt;width:391pt;z-index:251717632;mso-width-relative:page;mso-height-relative:page;" filled="f" stroked="f" coordsize="21600,21600">
            <v:path/>
            <v:fill on="f" focussize="0,0"/>
            <v:stroke on="f"/>
            <v:imagedata o:title=""/>
            <o:lock v:ext="edit" aspectratio="f"/>
            <v:textbox inset="0mm,0mm,0mm,0mm">
              <w:txbxContent>
                <w:p w14:paraId="6E35A046">
                  <w:pPr>
                    <w:pStyle w:val="2"/>
                    <w:tabs>
                      <w:tab w:val="left" w:pos="7800"/>
                    </w:tabs>
                    <w:spacing w:before="19"/>
                    <w:ind w:left="20"/>
                  </w:pPr>
                  <w:r>
                    <w:rPr>
                      <w:u w:val="single" w:color="auto"/>
                    </w:rPr>
                    <w:tab/>
                  </w:r>
                </w:p>
              </w:txbxContent>
            </v:textbox>
          </v:shape>
        </w:pict>
      </w:r>
      <w:r>
        <w:rPr>
          <w:rFonts w:ascii="宋体" w:hAnsi="宋体" w:eastAsia="宋体" w:cs="宋体"/>
          <w:position w:val="-1"/>
          <w:sz w:val="21"/>
          <w:szCs w:val="21"/>
        </w:rPr>
        <w:t>。</w:t>
      </w:r>
    </w:p>
    <w:p w14:paraId="5862B8F7">
      <w:pPr>
        <w:spacing w:before="198" w:line="233" w:lineRule="auto"/>
        <w:ind w:left="19"/>
        <w:outlineLvl w:val="1"/>
        <w:rPr>
          <w:rFonts w:ascii="黑体" w:hAnsi="黑体" w:eastAsia="黑体" w:cs="黑体"/>
          <w:sz w:val="24"/>
          <w:szCs w:val="24"/>
        </w:rPr>
      </w:pPr>
      <w:bookmarkStart w:id="514" w:name="bookmark449"/>
      <w:bookmarkEnd w:id="514"/>
      <w:r>
        <w:rPr>
          <w:rFonts w:ascii="Times New Roman" w:hAnsi="Times New Roman" w:eastAsia="Times New Roman" w:cs="Times New Roman"/>
          <w:b/>
          <w:bCs/>
          <w:spacing w:val="3"/>
          <w:sz w:val="24"/>
          <w:szCs w:val="24"/>
        </w:rPr>
        <w:t xml:space="preserve">3.2  </w:t>
      </w:r>
      <w:r>
        <w:rPr>
          <w:rFonts w:ascii="黑体" w:hAnsi="黑体" w:eastAsia="黑体" w:cs="黑体"/>
          <w:b/>
          <w:bCs/>
          <w:spacing w:val="3"/>
          <w:sz w:val="24"/>
          <w:szCs w:val="24"/>
        </w:rPr>
        <w:t>项目经理</w:t>
      </w:r>
    </w:p>
    <w:p w14:paraId="450A1BBC">
      <w:pPr>
        <w:spacing w:before="114" w:line="220" w:lineRule="auto"/>
        <w:ind w:left="448"/>
        <w:rPr>
          <w:rFonts w:ascii="宋体" w:hAnsi="宋体" w:eastAsia="宋体" w:cs="宋体"/>
          <w:sz w:val="21"/>
          <w:szCs w:val="21"/>
        </w:rPr>
      </w:pPr>
      <w:r>
        <w:rPr>
          <w:rFonts w:ascii="宋体" w:hAnsi="宋体" w:eastAsia="宋体" w:cs="宋体"/>
          <w:spacing w:val="-6"/>
          <w:sz w:val="21"/>
          <w:szCs w:val="21"/>
        </w:rPr>
        <w:t>3.2.1</w:t>
      </w:r>
      <w:r>
        <w:rPr>
          <w:rFonts w:ascii="宋体" w:hAnsi="宋体" w:eastAsia="宋体" w:cs="宋体"/>
          <w:spacing w:val="12"/>
          <w:sz w:val="21"/>
          <w:szCs w:val="21"/>
        </w:rPr>
        <w:t xml:space="preserve"> </w:t>
      </w:r>
      <w:r>
        <w:rPr>
          <w:rFonts w:ascii="宋体" w:hAnsi="宋体" w:eastAsia="宋体" w:cs="宋体"/>
          <w:spacing w:val="-6"/>
          <w:sz w:val="21"/>
          <w:szCs w:val="21"/>
        </w:rPr>
        <w:t>项目经理：</w:t>
      </w:r>
    </w:p>
    <w:p w14:paraId="21633F1D">
      <w:pPr>
        <w:spacing w:before="155" w:line="220" w:lineRule="auto"/>
        <w:ind w:left="444"/>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2"/>
          <w:sz w:val="21"/>
          <w:szCs w:val="21"/>
        </w:rPr>
        <w:t xml:space="preserve">    </w:t>
      </w:r>
      <w:r>
        <w:rPr>
          <w:rFonts w:ascii="宋体" w:hAnsi="宋体" w:eastAsia="宋体" w:cs="宋体"/>
          <w:spacing w:val="-7"/>
          <w:sz w:val="21"/>
          <w:szCs w:val="21"/>
        </w:rPr>
        <w:t>名</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FD2D071">
      <w:pPr>
        <w:spacing w:before="154" w:line="220" w:lineRule="auto"/>
        <w:ind w:left="450"/>
        <w:rPr>
          <w:rFonts w:ascii="宋体" w:hAnsi="宋体" w:eastAsia="宋体" w:cs="宋体"/>
          <w:sz w:val="21"/>
          <w:szCs w:val="21"/>
        </w:rPr>
      </w:pPr>
      <w:r>
        <w:rPr>
          <w:rFonts w:ascii="宋体" w:hAnsi="宋体" w:eastAsia="宋体" w:cs="宋体"/>
          <w:spacing w:val="-3"/>
          <w:sz w:val="21"/>
          <w:szCs w:val="21"/>
        </w:rPr>
        <w:t>身份证号</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E104D59">
      <w:pPr>
        <w:spacing w:before="141" w:line="220" w:lineRule="auto"/>
        <w:ind w:left="447"/>
        <w:rPr>
          <w:rFonts w:ascii="宋体" w:hAnsi="宋体" w:eastAsia="宋体" w:cs="宋体"/>
          <w:sz w:val="21"/>
          <w:szCs w:val="21"/>
        </w:rPr>
      </w:pPr>
      <w:r>
        <w:rPr>
          <w:rFonts w:ascii="宋体" w:hAnsi="宋体" w:eastAsia="宋体" w:cs="宋体"/>
          <w:spacing w:val="-1"/>
          <w:sz w:val="21"/>
          <w:szCs w:val="21"/>
        </w:rPr>
        <w:t>建造师执业资格等级</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37308C01">
      <w:pPr>
        <w:spacing w:before="155" w:line="219" w:lineRule="auto"/>
        <w:ind w:left="447"/>
        <w:rPr>
          <w:rFonts w:ascii="宋体" w:hAnsi="宋体" w:eastAsia="宋体" w:cs="宋体"/>
          <w:sz w:val="21"/>
          <w:szCs w:val="21"/>
        </w:rPr>
      </w:pPr>
      <w:r>
        <w:rPr>
          <w:rFonts w:ascii="宋体" w:hAnsi="宋体" w:eastAsia="宋体" w:cs="宋体"/>
          <w:spacing w:val="-1"/>
          <w:sz w:val="21"/>
          <w:szCs w:val="21"/>
        </w:rPr>
        <w:t>建造师注册证书号：</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8163422">
      <w:pPr>
        <w:spacing w:before="157" w:line="219" w:lineRule="auto"/>
        <w:ind w:left="447"/>
        <w:rPr>
          <w:rFonts w:ascii="宋体" w:hAnsi="宋体" w:eastAsia="宋体" w:cs="宋体"/>
          <w:sz w:val="21"/>
          <w:szCs w:val="21"/>
        </w:rPr>
      </w:pPr>
      <w:r>
        <w:rPr>
          <w:rFonts w:ascii="宋体" w:hAnsi="宋体" w:eastAsia="宋体" w:cs="宋体"/>
          <w:spacing w:val="-1"/>
          <w:sz w:val="21"/>
          <w:szCs w:val="21"/>
        </w:rPr>
        <w:t>建造师执业印章号：</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488E7144">
      <w:pPr>
        <w:spacing w:before="141" w:line="219" w:lineRule="auto"/>
        <w:ind w:left="448"/>
        <w:rPr>
          <w:rFonts w:ascii="宋体" w:hAnsi="宋体" w:eastAsia="宋体" w:cs="宋体"/>
          <w:sz w:val="21"/>
          <w:szCs w:val="21"/>
        </w:rPr>
      </w:pPr>
      <w:r>
        <w:rPr>
          <w:rFonts w:ascii="宋体" w:hAnsi="宋体" w:eastAsia="宋体" w:cs="宋体"/>
          <w:spacing w:val="-1"/>
          <w:sz w:val="21"/>
          <w:szCs w:val="21"/>
        </w:rPr>
        <w:t>安全生产考核合格证书号</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p>
    <w:p w14:paraId="7D2F00CC">
      <w:pPr>
        <w:spacing w:before="156" w:line="222" w:lineRule="auto"/>
        <w:ind w:left="44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1BD47EF4">
      <w:pPr>
        <w:spacing w:before="153" w:line="220" w:lineRule="auto"/>
        <w:ind w:left="469"/>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AAC7EC4">
      <w:pPr>
        <w:spacing w:before="139" w:line="220" w:lineRule="auto"/>
        <w:ind w:left="444"/>
        <w:rPr>
          <w:rFonts w:ascii="宋体" w:hAnsi="宋体" w:eastAsia="宋体" w:cs="宋体"/>
          <w:sz w:val="21"/>
          <w:szCs w:val="21"/>
        </w:rPr>
      </w:pPr>
      <w:r>
        <w:rPr>
          <w:rFonts w:ascii="宋体" w:hAnsi="宋体" w:eastAsia="宋体" w:cs="宋体"/>
          <w:spacing w:val="-2"/>
          <w:sz w:val="21"/>
          <w:szCs w:val="21"/>
        </w:rPr>
        <w:t>通信地址</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3E92647F">
      <w:pPr>
        <w:spacing w:before="156" w:line="220" w:lineRule="auto"/>
        <w:ind w:left="444"/>
        <w:rPr>
          <w:rFonts w:ascii="宋体" w:hAnsi="宋体" w:eastAsia="宋体" w:cs="宋体"/>
          <w:sz w:val="21"/>
          <w:szCs w:val="21"/>
        </w:rPr>
      </w:pPr>
      <w:r>
        <w:rPr>
          <w:rFonts w:ascii="宋体" w:hAnsi="宋体" w:eastAsia="宋体" w:cs="宋体"/>
          <w:spacing w:val="-3"/>
          <w:sz w:val="21"/>
          <w:szCs w:val="21"/>
        </w:rPr>
        <w:t>承包人对项目经理的授权范围如下：</w:t>
      </w:r>
    </w:p>
    <w:p w14:paraId="22BA6D9B">
      <w:pPr>
        <w:pStyle w:val="2"/>
        <w:tabs>
          <w:tab w:val="left" w:pos="855"/>
          <w:tab w:val="left" w:pos="7795"/>
        </w:tabs>
        <w:spacing w:before="177" w:line="368" w:lineRule="auto"/>
        <w:ind w:left="15" w:right="540" w:firstLine="420"/>
      </w:pPr>
      <w:r>
        <w:rPr>
          <w:u w:val="single" w:color="auto"/>
        </w:rPr>
        <w:tab/>
      </w:r>
      <w:r>
        <w:rPr>
          <w:u w:val="single" w:color="auto"/>
        </w:rPr>
        <w:tab/>
      </w:r>
      <w:r>
        <w:t xml:space="preserve"> </w:t>
      </w:r>
      <w:r>
        <w:rPr>
          <w:u w:val="single" w:color="auto"/>
        </w:rPr>
        <w:tab/>
      </w:r>
    </w:p>
    <w:p w14:paraId="54AD8FFE">
      <w:pPr>
        <w:pStyle w:val="2"/>
        <w:tabs>
          <w:tab w:val="left" w:pos="750"/>
        </w:tabs>
        <w:spacing w:before="54"/>
        <w:ind w:left="436"/>
      </w:pPr>
      <w:r>
        <w:rPr>
          <w:u w:val="single" w:color="auto"/>
        </w:rPr>
        <w:tab/>
      </w:r>
    </w:p>
    <w:p w14:paraId="0DA229F5">
      <w:pPr>
        <w:spacing w:before="279" w:line="45" w:lineRule="exact"/>
        <w:ind w:left="7824"/>
        <w:rPr>
          <w:rFonts w:ascii="宋体" w:hAnsi="宋体" w:eastAsia="宋体" w:cs="宋体"/>
          <w:sz w:val="21"/>
          <w:szCs w:val="21"/>
        </w:rPr>
      </w:pPr>
      <w:r>
        <w:pict>
          <v:shape id="_x0000_s1076" o:spid="_x0000_s1076" o:spt="202" type="#_x0000_t202" style="position:absolute;left:0pt;margin-left:-0.2pt;margin-top:7.2pt;height:14.1pt;width:391pt;z-index:251716608;mso-width-relative:page;mso-height-relative:page;" filled="f" stroked="f" coordsize="21600,21600">
            <v:path/>
            <v:fill on="f" focussize="0,0"/>
            <v:stroke on="f"/>
            <v:imagedata o:title=""/>
            <o:lock v:ext="edit" aspectratio="f"/>
            <v:textbox inset="0mm,0mm,0mm,0mm">
              <w:txbxContent>
                <w:p w14:paraId="4B369446">
                  <w:pPr>
                    <w:pStyle w:val="2"/>
                    <w:tabs>
                      <w:tab w:val="left" w:pos="7800"/>
                    </w:tabs>
                    <w:spacing w:before="19"/>
                    <w:ind w:left="20"/>
                  </w:pPr>
                  <w:r>
                    <w:rPr>
                      <w:u w:val="single" w:color="auto"/>
                    </w:rPr>
                    <w:tab/>
                  </w:r>
                </w:p>
              </w:txbxContent>
            </v:textbox>
          </v:shape>
        </w:pict>
      </w:r>
      <w:r>
        <w:rPr>
          <w:rFonts w:ascii="宋体" w:hAnsi="宋体" w:eastAsia="宋体" w:cs="宋体"/>
          <w:position w:val="-1"/>
          <w:sz w:val="21"/>
          <w:szCs w:val="21"/>
        </w:rPr>
        <w:t>。</w:t>
      </w:r>
    </w:p>
    <w:p w14:paraId="59DAA286">
      <w:pPr>
        <w:spacing w:line="45" w:lineRule="exact"/>
        <w:rPr>
          <w:rFonts w:ascii="宋体" w:hAnsi="宋体" w:eastAsia="宋体" w:cs="宋体"/>
          <w:sz w:val="21"/>
          <w:szCs w:val="21"/>
        </w:rPr>
        <w:sectPr>
          <w:headerReference r:id="rId211" w:type="default"/>
          <w:footerReference r:id="rId212" w:type="default"/>
          <w:pgSz w:w="11910" w:h="16845"/>
          <w:pgMar w:top="400" w:right="1786" w:bottom="1110" w:left="1786" w:header="0" w:footer="883" w:gutter="0"/>
          <w:cols w:space="720" w:num="1"/>
        </w:sectPr>
      </w:pPr>
    </w:p>
    <w:p w14:paraId="5551BB90">
      <w:pPr>
        <w:pStyle w:val="2"/>
        <w:spacing w:line="471" w:lineRule="auto"/>
      </w:pPr>
      <w:r>
        <w:pict>
          <v:shape id="_x0000_s1077" o:spid="_x0000_s1077" style="position:absolute;left:0pt;margin-left:0.75pt;margin-top:15.9pt;height:0.75pt;width:42.05pt;z-index:251724800;mso-width-relative:page;mso-height-relative:page;" fillcolor="#000000" filled="t" stroked="f" coordsize="840,15" path="m0,15l840,15,840,0,0,0,0,15xe">
            <v:path/>
            <v:fill on="t" focussize="0,0"/>
            <v:stroke on="f"/>
            <v:imagedata o:title=""/>
            <o:lock v:ext="edit"/>
          </v:shape>
        </w:pict>
      </w:r>
    </w:p>
    <w:p w14:paraId="1A6961DE">
      <w:pPr>
        <w:pStyle w:val="2"/>
        <w:tabs>
          <w:tab w:val="left" w:pos="750"/>
        </w:tabs>
        <w:spacing w:before="60"/>
        <w:ind w:left="436"/>
      </w:pPr>
      <w:r>
        <w:rPr>
          <w:u w:val="single" w:color="auto"/>
        </w:rPr>
        <w:tab/>
      </w:r>
    </w:p>
    <w:p w14:paraId="138A102B">
      <w:pPr>
        <w:spacing w:before="278" w:line="46" w:lineRule="exact"/>
        <w:ind w:left="7824"/>
        <w:rPr>
          <w:rFonts w:ascii="宋体" w:hAnsi="宋体" w:eastAsia="宋体" w:cs="宋体"/>
          <w:sz w:val="21"/>
          <w:szCs w:val="21"/>
        </w:rPr>
      </w:pPr>
      <w:r>
        <w:pict>
          <v:shape id="_x0000_s1078" o:spid="_x0000_s1078" o:spt="202" type="#_x0000_t202" style="position:absolute;left:0pt;margin-left:-0.2pt;margin-top:7.2pt;height:14.1pt;width:391pt;z-index:251719680;mso-width-relative:page;mso-height-relative:page;" filled="f" stroked="f" coordsize="21600,21600">
            <v:path/>
            <v:fill on="f" focussize="0,0"/>
            <v:stroke on="f"/>
            <v:imagedata o:title=""/>
            <o:lock v:ext="edit" aspectratio="f"/>
            <v:textbox inset="0mm,0mm,0mm,0mm">
              <w:txbxContent>
                <w:p w14:paraId="58356F45">
                  <w:pPr>
                    <w:pStyle w:val="2"/>
                    <w:tabs>
                      <w:tab w:val="left" w:pos="7800"/>
                    </w:tabs>
                    <w:spacing w:before="20"/>
                    <w:ind w:left="20"/>
                  </w:pPr>
                  <w:r>
                    <w:rPr>
                      <w:u w:val="single" w:color="auto"/>
                    </w:rPr>
                    <w:tab/>
                  </w:r>
                </w:p>
              </w:txbxContent>
            </v:textbox>
          </v:shape>
        </w:pict>
      </w:r>
      <w:r>
        <w:rPr>
          <w:rFonts w:ascii="宋体" w:hAnsi="宋体" w:eastAsia="宋体" w:cs="宋体"/>
          <w:position w:val="-1"/>
          <w:sz w:val="21"/>
          <w:szCs w:val="21"/>
        </w:rPr>
        <w:t>。</w:t>
      </w:r>
    </w:p>
    <w:p w14:paraId="0CD65B82">
      <w:pPr>
        <w:spacing w:before="209" w:line="219" w:lineRule="auto"/>
        <w:ind w:left="444"/>
        <w:rPr>
          <w:rFonts w:ascii="宋体" w:hAnsi="宋体" w:eastAsia="宋体" w:cs="宋体"/>
          <w:sz w:val="21"/>
          <w:szCs w:val="21"/>
        </w:rPr>
      </w:pPr>
      <w:r>
        <w:rPr>
          <w:rFonts w:ascii="宋体" w:hAnsi="宋体" w:eastAsia="宋体" w:cs="宋体"/>
          <w:spacing w:val="-1"/>
          <w:sz w:val="21"/>
          <w:szCs w:val="21"/>
        </w:rPr>
        <w:t>承包人未提交劳动合同，以及没有为项目经理缴纳社会保险证明</w:t>
      </w:r>
      <w:r>
        <w:rPr>
          <w:rFonts w:ascii="宋体" w:hAnsi="宋体" w:eastAsia="宋体" w:cs="宋体"/>
          <w:spacing w:val="-2"/>
          <w:sz w:val="21"/>
          <w:szCs w:val="21"/>
        </w:rPr>
        <w:t>的违约责任：</w:t>
      </w:r>
    </w:p>
    <w:p w14:paraId="204328D7">
      <w:pPr>
        <w:pStyle w:val="2"/>
        <w:tabs>
          <w:tab w:val="left" w:pos="7795"/>
        </w:tabs>
        <w:spacing w:before="177"/>
        <w:ind w:left="436"/>
      </w:pPr>
      <w:r>
        <w:rPr>
          <w:u w:val="single" w:color="auto"/>
        </w:rPr>
        <w:tab/>
      </w:r>
    </w:p>
    <w:p w14:paraId="09696D4E">
      <w:pPr>
        <w:pStyle w:val="2"/>
        <w:tabs>
          <w:tab w:val="left" w:pos="750"/>
          <w:tab w:val="left" w:pos="855"/>
        </w:tabs>
        <w:spacing w:before="163" w:line="368" w:lineRule="auto"/>
        <w:ind w:left="435" w:right="7480" w:hanging="420"/>
      </w:pPr>
      <w:r>
        <w:rPr>
          <w:u w:val="single" w:color="auto"/>
        </w:rPr>
        <w:tab/>
      </w:r>
      <w:r>
        <w:rPr>
          <w:u w:val="single" w:color="auto"/>
        </w:rPr>
        <w:tab/>
      </w:r>
      <w:r>
        <w:rPr>
          <w:u w:val="single" w:color="auto"/>
        </w:rPr>
        <w:tab/>
      </w:r>
      <w:r>
        <w:t xml:space="preserve"> </w:t>
      </w:r>
      <w:r>
        <w:rPr>
          <w:u w:val="single" w:color="auto"/>
        </w:rPr>
        <w:tab/>
      </w:r>
    </w:p>
    <w:p w14:paraId="0E00534E">
      <w:pPr>
        <w:tabs>
          <w:tab w:val="left" w:pos="7795"/>
        </w:tabs>
        <w:spacing w:before="170"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F6F7B5A">
      <w:pPr>
        <w:spacing w:before="163" w:line="220" w:lineRule="auto"/>
        <w:ind w:left="448"/>
        <w:rPr>
          <w:rFonts w:ascii="宋体" w:hAnsi="宋体" w:eastAsia="宋体" w:cs="宋体"/>
          <w:sz w:val="21"/>
          <w:szCs w:val="21"/>
        </w:rPr>
      </w:pPr>
      <w:r>
        <w:rPr>
          <w:rFonts w:ascii="宋体" w:hAnsi="宋体" w:eastAsia="宋体" w:cs="宋体"/>
          <w:spacing w:val="-2"/>
          <w:sz w:val="21"/>
          <w:szCs w:val="21"/>
        </w:rPr>
        <w:t>项目经理未经批准，擅自离开施工现场的违约责</w:t>
      </w:r>
      <w:r>
        <w:rPr>
          <w:rFonts w:ascii="宋体" w:hAnsi="宋体" w:eastAsia="宋体" w:cs="宋体"/>
          <w:spacing w:val="-3"/>
          <w:sz w:val="21"/>
          <w:szCs w:val="21"/>
        </w:rPr>
        <w:t>任：</w:t>
      </w:r>
    </w:p>
    <w:p w14:paraId="5BCE04FF">
      <w:pPr>
        <w:pStyle w:val="2"/>
        <w:tabs>
          <w:tab w:val="left" w:pos="855"/>
          <w:tab w:val="left" w:pos="7795"/>
        </w:tabs>
        <w:spacing w:before="161" w:line="383" w:lineRule="auto"/>
        <w:ind w:left="15" w:right="540" w:firstLine="420"/>
      </w:pPr>
      <w:r>
        <w:rPr>
          <w:u w:val="single" w:color="auto"/>
        </w:rPr>
        <w:tab/>
      </w:r>
      <w:r>
        <w:rPr>
          <w:u w:val="single" w:color="auto"/>
        </w:rPr>
        <w:tab/>
      </w:r>
      <w:r>
        <w:t xml:space="preserve"> </w:t>
      </w:r>
      <w:r>
        <w:rPr>
          <w:u w:val="single" w:color="auto"/>
        </w:rPr>
        <w:tab/>
      </w:r>
    </w:p>
    <w:p w14:paraId="6E40A82E">
      <w:pPr>
        <w:pStyle w:val="2"/>
        <w:tabs>
          <w:tab w:val="left" w:pos="750"/>
        </w:tabs>
        <w:spacing w:before="41"/>
        <w:ind w:left="436"/>
      </w:pPr>
      <w:r>
        <w:rPr>
          <w:u w:val="single" w:color="auto"/>
        </w:rPr>
        <w:tab/>
      </w:r>
    </w:p>
    <w:p w14:paraId="7D4ED516">
      <w:pPr>
        <w:tabs>
          <w:tab w:val="left" w:pos="7795"/>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3577115">
      <w:pPr>
        <w:spacing w:before="163" w:line="220" w:lineRule="auto"/>
        <w:ind w:left="448"/>
        <w:rPr>
          <w:rFonts w:ascii="宋体" w:hAnsi="宋体" w:eastAsia="宋体" w:cs="宋体"/>
          <w:sz w:val="21"/>
          <w:szCs w:val="21"/>
        </w:rPr>
      </w:pPr>
      <w:r>
        <w:rPr>
          <w:rFonts w:ascii="宋体" w:hAnsi="宋体" w:eastAsia="宋体" w:cs="宋体"/>
          <w:spacing w:val="-3"/>
          <w:sz w:val="21"/>
          <w:szCs w:val="21"/>
        </w:rPr>
        <w:t>3.2.3 承包人擅自更换项目经理的违约责任：</w:t>
      </w:r>
    </w:p>
    <w:p w14:paraId="36AA8F9F">
      <w:pPr>
        <w:pStyle w:val="2"/>
        <w:tabs>
          <w:tab w:val="left" w:pos="855"/>
          <w:tab w:val="left" w:pos="7795"/>
        </w:tabs>
        <w:spacing w:before="176" w:line="368" w:lineRule="auto"/>
        <w:ind w:left="15" w:right="540" w:firstLine="420"/>
      </w:pPr>
      <w:r>
        <w:rPr>
          <w:u w:val="single" w:color="auto"/>
        </w:rPr>
        <w:tab/>
      </w:r>
      <w:r>
        <w:rPr>
          <w:u w:val="single" w:color="auto"/>
        </w:rPr>
        <w:tab/>
      </w:r>
      <w:r>
        <w:t xml:space="preserve"> </w:t>
      </w:r>
      <w:r>
        <w:rPr>
          <w:u w:val="single" w:color="auto"/>
        </w:rPr>
        <w:tab/>
      </w:r>
    </w:p>
    <w:p w14:paraId="38E3194E">
      <w:pPr>
        <w:pStyle w:val="2"/>
        <w:tabs>
          <w:tab w:val="left" w:pos="750"/>
        </w:tabs>
        <w:spacing w:before="56"/>
        <w:ind w:left="436"/>
      </w:pPr>
      <w:r>
        <w:rPr>
          <w:u w:val="single" w:color="auto"/>
        </w:rPr>
        <w:tab/>
      </w:r>
    </w:p>
    <w:p w14:paraId="156C15C0">
      <w:pPr>
        <w:spacing w:before="279" w:line="45" w:lineRule="exact"/>
        <w:ind w:left="7824"/>
        <w:rPr>
          <w:rFonts w:ascii="宋体" w:hAnsi="宋体" w:eastAsia="宋体" w:cs="宋体"/>
          <w:sz w:val="21"/>
          <w:szCs w:val="21"/>
        </w:rPr>
      </w:pPr>
      <w:r>
        <w:pict>
          <v:shape id="_x0000_s1079" o:spid="_x0000_s1079" o:spt="202" type="#_x0000_t202" style="position:absolute;left:0pt;margin-left:-0.2pt;margin-top:7.2pt;height:14.1pt;width:391pt;z-index:251721728;mso-width-relative:page;mso-height-relative:page;" filled="f" stroked="f" coordsize="21600,21600">
            <v:path/>
            <v:fill on="f" focussize="0,0"/>
            <v:stroke on="f"/>
            <v:imagedata o:title=""/>
            <o:lock v:ext="edit" aspectratio="f"/>
            <v:textbox inset="0mm,0mm,0mm,0mm">
              <w:txbxContent>
                <w:p w14:paraId="47CCC824">
                  <w:pPr>
                    <w:pStyle w:val="2"/>
                    <w:tabs>
                      <w:tab w:val="left" w:pos="7800"/>
                    </w:tabs>
                    <w:spacing w:before="19"/>
                    <w:ind w:left="20"/>
                  </w:pPr>
                  <w:r>
                    <w:rPr>
                      <w:u w:val="single" w:color="auto"/>
                    </w:rPr>
                    <w:tab/>
                  </w:r>
                </w:p>
              </w:txbxContent>
            </v:textbox>
          </v:shape>
        </w:pict>
      </w:r>
      <w:r>
        <w:rPr>
          <w:rFonts w:ascii="宋体" w:hAnsi="宋体" w:eastAsia="宋体" w:cs="宋体"/>
          <w:position w:val="-1"/>
          <w:sz w:val="21"/>
          <w:szCs w:val="21"/>
        </w:rPr>
        <w:t>。</w:t>
      </w:r>
    </w:p>
    <w:p w14:paraId="78BCCFAC">
      <w:pPr>
        <w:spacing w:before="209" w:line="220" w:lineRule="auto"/>
        <w:ind w:left="448"/>
        <w:rPr>
          <w:rFonts w:ascii="宋体" w:hAnsi="宋体" w:eastAsia="宋体" w:cs="宋体"/>
          <w:sz w:val="21"/>
          <w:szCs w:val="21"/>
        </w:rPr>
      </w:pPr>
      <w:r>
        <w:rPr>
          <w:rFonts w:ascii="宋体" w:hAnsi="宋体" w:eastAsia="宋体" w:cs="宋体"/>
          <w:spacing w:val="-2"/>
          <w:sz w:val="21"/>
          <w:szCs w:val="21"/>
        </w:rPr>
        <w:t>3.2.4 承包人无正当理由拒绝更换项目经理的违约责任：</w:t>
      </w:r>
    </w:p>
    <w:p w14:paraId="232D7D7A">
      <w:pPr>
        <w:pStyle w:val="2"/>
        <w:tabs>
          <w:tab w:val="left" w:pos="855"/>
          <w:tab w:val="left" w:pos="7795"/>
        </w:tabs>
        <w:spacing w:before="177" w:line="383" w:lineRule="auto"/>
        <w:ind w:left="15" w:right="540" w:firstLine="420"/>
      </w:pPr>
      <w:r>
        <w:rPr>
          <w:u w:val="single" w:color="auto"/>
        </w:rPr>
        <w:tab/>
      </w:r>
      <w:r>
        <w:rPr>
          <w:u w:val="single" w:color="auto"/>
        </w:rPr>
        <w:tab/>
      </w:r>
      <w:r>
        <w:t xml:space="preserve"> </w:t>
      </w:r>
      <w:r>
        <w:rPr>
          <w:u w:val="single" w:color="auto"/>
        </w:rPr>
        <w:tab/>
      </w:r>
    </w:p>
    <w:p w14:paraId="2D903A3B">
      <w:pPr>
        <w:pStyle w:val="2"/>
        <w:tabs>
          <w:tab w:val="left" w:pos="750"/>
        </w:tabs>
        <w:spacing w:before="25"/>
        <w:ind w:left="436"/>
      </w:pPr>
      <w:r>
        <w:rPr>
          <w:u w:val="single" w:color="auto"/>
        </w:rPr>
        <w:tab/>
      </w:r>
    </w:p>
    <w:p w14:paraId="612242C8">
      <w:pPr>
        <w:spacing w:before="278" w:line="45" w:lineRule="exact"/>
        <w:ind w:left="7824"/>
        <w:rPr>
          <w:rFonts w:ascii="宋体" w:hAnsi="宋体" w:eastAsia="宋体" w:cs="宋体"/>
          <w:sz w:val="21"/>
          <w:szCs w:val="21"/>
        </w:rPr>
      </w:pPr>
      <w:r>
        <w:pict>
          <v:shape id="_x0000_s1080" o:spid="_x0000_s1080" o:spt="202" type="#_x0000_t202" style="position:absolute;left:0pt;margin-left:-0.2pt;margin-top:7.15pt;height:14.1pt;width:391pt;z-index:251720704;mso-width-relative:page;mso-height-relative:page;" filled="f" stroked="f" coordsize="21600,21600">
            <v:path/>
            <v:fill on="f" focussize="0,0"/>
            <v:stroke on="f"/>
            <v:imagedata o:title=""/>
            <o:lock v:ext="edit" aspectratio="f"/>
            <v:textbox inset="0mm,0mm,0mm,0mm">
              <w:txbxContent>
                <w:p w14:paraId="3F6B5BE8">
                  <w:pPr>
                    <w:pStyle w:val="2"/>
                    <w:tabs>
                      <w:tab w:val="left" w:pos="7800"/>
                    </w:tabs>
                    <w:spacing w:before="19"/>
                    <w:ind w:left="20"/>
                  </w:pPr>
                  <w:r>
                    <w:rPr>
                      <w:u w:val="single" w:color="auto"/>
                    </w:rPr>
                    <w:tab/>
                  </w:r>
                </w:p>
              </w:txbxContent>
            </v:textbox>
          </v:shape>
        </w:pict>
      </w:r>
      <w:r>
        <w:rPr>
          <w:rFonts w:ascii="宋体" w:hAnsi="宋体" w:eastAsia="宋体" w:cs="宋体"/>
          <w:position w:val="-1"/>
          <w:sz w:val="21"/>
          <w:szCs w:val="21"/>
        </w:rPr>
        <w:t>。</w:t>
      </w:r>
    </w:p>
    <w:p w14:paraId="0F8127BA">
      <w:pPr>
        <w:spacing w:before="199" w:line="232" w:lineRule="auto"/>
        <w:ind w:left="19"/>
        <w:outlineLvl w:val="1"/>
        <w:rPr>
          <w:rFonts w:ascii="黑体" w:hAnsi="黑体" w:eastAsia="黑体" w:cs="黑体"/>
          <w:sz w:val="24"/>
          <w:szCs w:val="24"/>
        </w:rPr>
      </w:pPr>
      <w:bookmarkStart w:id="515" w:name="bookmark450"/>
      <w:bookmarkEnd w:id="515"/>
      <w:r>
        <w:rPr>
          <w:rFonts w:ascii="Times New Roman" w:hAnsi="Times New Roman" w:eastAsia="Times New Roman" w:cs="Times New Roman"/>
          <w:b/>
          <w:bCs/>
          <w:spacing w:val="3"/>
          <w:sz w:val="24"/>
          <w:szCs w:val="24"/>
        </w:rPr>
        <w:t xml:space="preserve">3.3  </w:t>
      </w:r>
      <w:r>
        <w:rPr>
          <w:rFonts w:ascii="黑体" w:hAnsi="黑体" w:eastAsia="黑体" w:cs="黑体"/>
          <w:b/>
          <w:bCs/>
          <w:spacing w:val="3"/>
          <w:sz w:val="24"/>
          <w:szCs w:val="24"/>
        </w:rPr>
        <w:t>承包人人员</w:t>
      </w:r>
    </w:p>
    <w:p w14:paraId="5C11569E">
      <w:pPr>
        <w:spacing w:before="115" w:line="218" w:lineRule="auto"/>
        <w:ind w:left="448"/>
        <w:rPr>
          <w:rFonts w:ascii="宋体" w:hAnsi="宋体" w:eastAsia="宋体" w:cs="宋体"/>
          <w:sz w:val="21"/>
          <w:szCs w:val="21"/>
        </w:rPr>
      </w:pPr>
      <w:r>
        <w:rPr>
          <w:rFonts w:ascii="宋体" w:hAnsi="宋体" w:eastAsia="宋体" w:cs="宋体"/>
          <w:spacing w:val="-1"/>
          <w:sz w:val="21"/>
          <w:szCs w:val="21"/>
        </w:rPr>
        <w:t>3.3.l 承包人提交项目管理机构及施工现</w:t>
      </w:r>
      <w:r>
        <w:rPr>
          <w:rFonts w:ascii="宋体" w:hAnsi="宋体" w:eastAsia="宋体" w:cs="宋体"/>
          <w:spacing w:val="-2"/>
          <w:sz w:val="21"/>
          <w:szCs w:val="21"/>
        </w:rPr>
        <w:t>场管理人员安排报告的期限：</w:t>
      </w:r>
    </w:p>
    <w:p w14:paraId="2B8930AD">
      <w:pPr>
        <w:pStyle w:val="2"/>
        <w:spacing w:line="312" w:lineRule="auto"/>
      </w:pPr>
    </w:p>
    <w:p w14:paraId="4969746E">
      <w:pPr>
        <w:pStyle w:val="2"/>
        <w:spacing w:line="313" w:lineRule="auto"/>
      </w:pPr>
      <w:r>
        <w:pict>
          <v:shape id="_x0000_s1081" o:spid="_x0000_s1081" style="position:absolute;left:0pt;margin-left:21.8pt;margin-top:2.7pt;height:0.75pt;width:231.35pt;z-index:251723776;mso-width-relative:page;mso-height-relative:page;" fillcolor="#000000" filled="t" stroked="f" coordsize="4627,15" path="m0,15l4626,15,4626,0,0,0,0,15xe">
            <v:path/>
            <v:fill on="t" focussize="0,0"/>
            <v:stroke on="f"/>
            <v:imagedata o:title=""/>
            <o:lock v:ext="edit"/>
          </v:shape>
        </w:pict>
      </w:r>
    </w:p>
    <w:p w14:paraId="6AD99F39">
      <w:pPr>
        <w:spacing w:before="69" w:line="46" w:lineRule="exact"/>
        <w:ind w:left="3514"/>
        <w:rPr>
          <w:rFonts w:ascii="宋体" w:hAnsi="宋体" w:eastAsia="宋体" w:cs="宋体"/>
          <w:sz w:val="21"/>
          <w:szCs w:val="21"/>
        </w:rPr>
      </w:pPr>
      <w:r>
        <w:pict>
          <v:shape id="_x0000_s1082" o:spid="_x0000_s1082" o:spt="202" type="#_x0000_t202" style="position:absolute;left:0pt;margin-left:-0.2pt;margin-top:-3.25pt;height:33pt;width:325.8pt;z-index:251718656;mso-width-relative:page;mso-height-relative:page;" filled="f" stroked="f" coordsize="21600,21600">
            <v:path/>
            <v:fill on="f" focussize="0,0"/>
            <v:stroke on="f"/>
            <v:imagedata o:title=""/>
            <o:lock v:ext="edit" aspectratio="f"/>
            <v:textbox inset="0mm,0mm,0mm,0mm">
              <w:txbxContent>
                <w:p w14:paraId="0E936A69">
                  <w:pPr>
                    <w:pStyle w:val="2"/>
                    <w:tabs>
                      <w:tab w:val="left" w:pos="3488"/>
                    </w:tabs>
                    <w:spacing w:before="19"/>
                    <w:ind w:left="20"/>
                  </w:pPr>
                  <w:r>
                    <w:rPr>
                      <w:u w:val="single" w:color="auto"/>
                    </w:rPr>
                    <w:tab/>
                  </w:r>
                </w:p>
                <w:p w14:paraId="5DAD2751">
                  <w:pPr>
                    <w:spacing w:before="127" w:line="220" w:lineRule="auto"/>
                    <w:ind w:right="18"/>
                    <w:jc w:val="right"/>
                    <w:rPr>
                      <w:rFonts w:ascii="宋体" w:hAnsi="宋体" w:eastAsia="宋体" w:cs="宋体"/>
                      <w:sz w:val="21"/>
                      <w:szCs w:val="21"/>
                    </w:rPr>
                  </w:pPr>
                  <w:r>
                    <w:rPr>
                      <w:rFonts w:ascii="宋体" w:hAnsi="宋体" w:eastAsia="宋体" w:cs="宋体"/>
                      <w:spacing w:val="-2"/>
                      <w:sz w:val="21"/>
                      <w:szCs w:val="21"/>
                    </w:rPr>
                    <w:t>3.3.3 承包人无正当理由拒绝撤换主要施工管理人员的违约责任：</w:t>
                  </w:r>
                </w:p>
              </w:txbxContent>
            </v:textbox>
          </v:shape>
        </w:pict>
      </w:r>
      <w:r>
        <w:rPr>
          <w:rFonts w:ascii="宋体" w:hAnsi="宋体" w:eastAsia="宋体" w:cs="宋体"/>
          <w:position w:val="-1"/>
          <w:sz w:val="21"/>
          <w:szCs w:val="21"/>
        </w:rPr>
        <w:t>。</w:t>
      </w:r>
    </w:p>
    <w:p w14:paraId="02A4CB38">
      <w:pPr>
        <w:pStyle w:val="2"/>
        <w:spacing w:line="285" w:lineRule="auto"/>
      </w:pPr>
    </w:p>
    <w:p w14:paraId="1919CAAC">
      <w:pPr>
        <w:pStyle w:val="2"/>
        <w:spacing w:line="286" w:lineRule="auto"/>
      </w:pPr>
    </w:p>
    <w:p w14:paraId="22F04A50">
      <w:pPr>
        <w:pStyle w:val="2"/>
        <w:tabs>
          <w:tab w:val="left" w:pos="8335"/>
        </w:tabs>
        <w:spacing w:before="61"/>
        <w:ind w:left="436"/>
      </w:pPr>
      <w:r>
        <w:rPr>
          <w:u w:val="single" w:color="auto"/>
        </w:rPr>
        <w:tab/>
      </w:r>
    </w:p>
    <w:p w14:paraId="7FEFC88A">
      <w:pPr>
        <w:spacing w:before="278" w:line="45" w:lineRule="exact"/>
        <w:ind w:left="780"/>
        <w:rPr>
          <w:rFonts w:ascii="宋体" w:hAnsi="宋体" w:eastAsia="宋体" w:cs="宋体"/>
          <w:sz w:val="21"/>
          <w:szCs w:val="21"/>
        </w:rPr>
      </w:pPr>
      <w:r>
        <w:pict>
          <v:shape id="_x0000_s1083" o:spid="_x0000_s1083" o:spt="202" type="#_x0000_t202" style="position:absolute;left:0pt;margin-left:-0.2pt;margin-top:7.2pt;height:14.1pt;width:38.8pt;z-index:251722752;mso-width-relative:page;mso-height-relative:page;" filled="f" stroked="f" coordsize="21600,21600">
            <v:path/>
            <v:fill on="f" focussize="0,0"/>
            <v:stroke on="f"/>
            <v:imagedata o:title=""/>
            <o:lock v:ext="edit" aspectratio="f"/>
            <v:textbox inset="0mm,0mm,0mm,0mm">
              <w:txbxContent>
                <w:p w14:paraId="313900DF">
                  <w:pPr>
                    <w:pStyle w:val="2"/>
                    <w:tabs>
                      <w:tab w:val="left" w:pos="755"/>
                    </w:tabs>
                    <w:spacing w:before="19"/>
                    <w:ind w:left="20"/>
                  </w:pPr>
                  <w:r>
                    <w:rPr>
                      <w:u w:val="single" w:color="auto"/>
                    </w:rPr>
                    <w:tab/>
                  </w:r>
                </w:p>
              </w:txbxContent>
            </v:textbox>
          </v:shape>
        </w:pict>
      </w:r>
      <w:r>
        <w:rPr>
          <w:rFonts w:ascii="宋体" w:hAnsi="宋体" w:eastAsia="宋体" w:cs="宋体"/>
          <w:position w:val="-1"/>
          <w:sz w:val="21"/>
          <w:szCs w:val="21"/>
        </w:rPr>
        <w:t>。</w:t>
      </w:r>
    </w:p>
    <w:p w14:paraId="5AE5C36A">
      <w:pPr>
        <w:spacing w:before="209" w:line="220" w:lineRule="auto"/>
        <w:ind w:left="448"/>
        <w:rPr>
          <w:rFonts w:ascii="宋体" w:hAnsi="宋体" w:eastAsia="宋体" w:cs="宋体"/>
          <w:sz w:val="21"/>
          <w:szCs w:val="21"/>
        </w:rPr>
      </w:pPr>
      <w:r>
        <w:rPr>
          <w:rFonts w:ascii="宋体" w:hAnsi="宋体" w:eastAsia="宋体" w:cs="宋体"/>
          <w:spacing w:val="-2"/>
          <w:sz w:val="21"/>
          <w:szCs w:val="21"/>
        </w:rPr>
        <w:t>3.3.4 承包人主要施工管理人员离开施工现场的批准要求：</w:t>
      </w:r>
    </w:p>
    <w:p w14:paraId="50437E4E">
      <w:pPr>
        <w:pStyle w:val="2"/>
        <w:tabs>
          <w:tab w:val="left" w:pos="750"/>
        </w:tabs>
        <w:spacing w:before="177"/>
        <w:ind w:left="436"/>
      </w:pPr>
      <w:r>
        <w:rPr>
          <w:u w:val="single" w:color="auto"/>
        </w:rPr>
        <w:tab/>
      </w:r>
    </w:p>
    <w:p w14:paraId="62E70630">
      <w:pPr>
        <w:sectPr>
          <w:headerReference r:id="rId213" w:type="default"/>
          <w:footerReference r:id="rId214" w:type="default"/>
          <w:pgSz w:w="11910" w:h="16845"/>
          <w:pgMar w:top="2263" w:right="1786" w:bottom="1110" w:left="1786" w:header="1519" w:footer="883" w:gutter="0"/>
          <w:cols w:space="720" w:num="1"/>
        </w:sectPr>
      </w:pPr>
    </w:p>
    <w:p w14:paraId="16E72966">
      <w:pPr>
        <w:spacing w:before="40" w:line="220" w:lineRule="auto"/>
        <w:ind w:left="448"/>
        <w:rPr>
          <w:rFonts w:ascii="宋体" w:hAnsi="宋体" w:eastAsia="宋体" w:cs="宋体"/>
          <w:sz w:val="21"/>
          <w:szCs w:val="21"/>
        </w:rPr>
      </w:pPr>
      <w:r>
        <w:rPr>
          <w:rFonts w:ascii="宋体" w:hAnsi="宋体" w:eastAsia="宋体" w:cs="宋体"/>
          <w:spacing w:val="-2"/>
          <w:sz w:val="21"/>
          <w:szCs w:val="21"/>
        </w:rPr>
        <w:t>3.3.5</w:t>
      </w:r>
      <w:r>
        <w:rPr>
          <w:rFonts w:ascii="宋体" w:hAnsi="宋体" w:eastAsia="宋体" w:cs="宋体"/>
          <w:spacing w:val="-36"/>
          <w:sz w:val="21"/>
          <w:szCs w:val="21"/>
        </w:rPr>
        <w:t xml:space="preserve"> </w:t>
      </w:r>
      <w:r>
        <w:rPr>
          <w:rFonts w:ascii="宋体" w:hAnsi="宋体" w:eastAsia="宋体" w:cs="宋体"/>
          <w:spacing w:val="-2"/>
          <w:sz w:val="21"/>
          <w:szCs w:val="21"/>
        </w:rPr>
        <w:t>承包人擅自更换主要施工管理人员</w:t>
      </w:r>
      <w:r>
        <w:rPr>
          <w:rFonts w:ascii="宋体" w:hAnsi="宋体" w:eastAsia="宋体" w:cs="宋体"/>
          <w:spacing w:val="-3"/>
          <w:sz w:val="21"/>
          <w:szCs w:val="21"/>
        </w:rPr>
        <w:t>的违约责任：</w:t>
      </w:r>
    </w:p>
    <w:p w14:paraId="643C17F7">
      <w:pPr>
        <w:pStyle w:val="2"/>
        <w:tabs>
          <w:tab w:val="left" w:pos="1593"/>
        </w:tabs>
        <w:spacing w:before="161"/>
        <w:ind w:left="436"/>
      </w:pPr>
      <w:r>
        <w:rPr>
          <w:u w:val="single" w:color="auto"/>
        </w:rPr>
        <w:tab/>
      </w:r>
    </w:p>
    <w:p w14:paraId="262A0DA8">
      <w:pPr>
        <w:tabs>
          <w:tab w:val="left" w:pos="6849"/>
        </w:tabs>
        <w:spacing w:before="27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 xml:space="preserve"> 。</w:t>
      </w:r>
    </w:p>
    <w:p w14:paraId="3F0A95BD">
      <w:pPr>
        <w:spacing w:before="163" w:line="220" w:lineRule="auto"/>
        <w:ind w:left="444"/>
        <w:rPr>
          <w:rFonts w:ascii="宋体" w:hAnsi="宋体" w:eastAsia="宋体" w:cs="宋体"/>
          <w:sz w:val="21"/>
          <w:szCs w:val="21"/>
        </w:rPr>
      </w:pPr>
      <w:r>
        <w:rPr>
          <w:rFonts w:ascii="宋体" w:hAnsi="宋体" w:eastAsia="宋体" w:cs="宋体"/>
          <w:spacing w:val="-2"/>
          <w:sz w:val="21"/>
          <w:szCs w:val="21"/>
        </w:rPr>
        <w:t>承包人主要施工管理人员擅自离开施工现场的违约责任：</w:t>
      </w:r>
    </w:p>
    <w:p w14:paraId="62E445F0">
      <w:pPr>
        <w:pStyle w:val="2"/>
        <w:tabs>
          <w:tab w:val="left" w:pos="1486"/>
        </w:tabs>
        <w:spacing w:before="161"/>
        <w:ind w:left="436"/>
      </w:pPr>
      <w:r>
        <w:rPr>
          <w:u w:val="single" w:color="auto"/>
        </w:rPr>
        <w:tab/>
      </w:r>
    </w:p>
    <w:p w14:paraId="2859836D">
      <w:pPr>
        <w:spacing w:before="279" w:line="46" w:lineRule="exact"/>
        <w:ind w:left="7088"/>
        <w:rPr>
          <w:rFonts w:ascii="宋体" w:hAnsi="宋体" w:eastAsia="宋体" w:cs="宋体"/>
          <w:sz w:val="21"/>
          <w:szCs w:val="21"/>
        </w:rPr>
      </w:pPr>
      <w:r>
        <w:pict>
          <v:shape id="_x0000_s1084" o:spid="_x0000_s1084" o:spt="202" type="#_x0000_t202" style="position:absolute;left:0pt;margin-left:-0.2pt;margin-top:7.2pt;height:35.1pt;width:354.25pt;z-index:251726848;mso-width-relative:page;mso-height-relative:page;" filled="f" stroked="f" coordsize="21600,21600">
            <v:path/>
            <v:fill on="f" focussize="0,0"/>
            <v:stroke on="f"/>
            <v:imagedata o:title=""/>
            <o:lock v:ext="edit" aspectratio="f"/>
            <v:textbox inset="0mm,0mm,0mm,0mm">
              <w:txbxContent>
                <w:p w14:paraId="42366975">
                  <w:pPr>
                    <w:pStyle w:val="2"/>
                    <w:tabs>
                      <w:tab w:val="left" w:pos="7064"/>
                    </w:tabs>
                    <w:spacing w:before="20"/>
                    <w:ind w:left="20"/>
                  </w:pPr>
                  <w:r>
                    <w:rPr>
                      <w:u w:val="single" w:color="auto"/>
                    </w:rPr>
                    <w:tab/>
                  </w:r>
                </w:p>
                <w:p w14:paraId="64683693">
                  <w:pPr>
                    <w:spacing w:before="117" w:line="233" w:lineRule="auto"/>
                    <w:ind w:left="23"/>
                    <w:outlineLvl w:val="1"/>
                    <w:rPr>
                      <w:rFonts w:ascii="黑体" w:hAnsi="黑体" w:eastAsia="黑体" w:cs="黑体"/>
                      <w:sz w:val="24"/>
                      <w:szCs w:val="24"/>
                    </w:rPr>
                  </w:pPr>
                  <w:bookmarkStart w:id="690" w:name="bookmark451"/>
                  <w:bookmarkEnd w:id="690"/>
                  <w:r>
                    <w:rPr>
                      <w:rFonts w:ascii="Times New Roman" w:hAnsi="Times New Roman" w:eastAsia="Times New Roman" w:cs="Times New Roman"/>
                      <w:b/>
                      <w:bCs/>
                      <w:spacing w:val="-2"/>
                      <w:sz w:val="24"/>
                      <w:szCs w:val="24"/>
                    </w:rPr>
                    <w:t>3.5</w:t>
                  </w:r>
                  <w:r>
                    <w:rPr>
                      <w:rFonts w:ascii="Times New Roman" w:hAnsi="Times New Roman" w:eastAsia="Times New Roman" w:cs="Times New Roman"/>
                      <w:b/>
                      <w:bCs/>
                      <w:spacing w:val="8"/>
                      <w:sz w:val="24"/>
                      <w:szCs w:val="24"/>
                    </w:rPr>
                    <w:t xml:space="preserve">  </w:t>
                  </w:r>
                  <w:r>
                    <w:rPr>
                      <w:rFonts w:ascii="黑体" w:hAnsi="黑体" w:eastAsia="黑体" w:cs="黑体"/>
                      <w:b/>
                      <w:bCs/>
                      <w:spacing w:val="-2"/>
                      <w:sz w:val="24"/>
                      <w:szCs w:val="24"/>
                    </w:rPr>
                    <w:t>分包</w:t>
                  </w:r>
                </w:p>
              </w:txbxContent>
            </v:textbox>
          </v:shape>
        </w:pict>
      </w:r>
      <w:r>
        <w:rPr>
          <w:rFonts w:ascii="宋体" w:hAnsi="宋体" w:eastAsia="宋体" w:cs="宋体"/>
          <w:position w:val="-1"/>
          <w:sz w:val="21"/>
          <w:szCs w:val="21"/>
        </w:rPr>
        <w:t>。</w:t>
      </w:r>
    </w:p>
    <w:p w14:paraId="6C296FE6">
      <w:pPr>
        <w:pStyle w:val="2"/>
        <w:spacing w:line="271" w:lineRule="auto"/>
      </w:pPr>
    </w:p>
    <w:p w14:paraId="1778D050">
      <w:pPr>
        <w:pStyle w:val="2"/>
        <w:spacing w:line="272" w:lineRule="auto"/>
      </w:pPr>
    </w:p>
    <w:p w14:paraId="43269E5C">
      <w:pPr>
        <w:spacing w:before="68" w:line="220" w:lineRule="auto"/>
        <w:ind w:left="448"/>
        <w:rPr>
          <w:rFonts w:ascii="宋体" w:hAnsi="宋体" w:eastAsia="宋体" w:cs="宋体"/>
          <w:sz w:val="21"/>
          <w:szCs w:val="21"/>
        </w:rPr>
      </w:pPr>
      <w:r>
        <w:rPr>
          <w:rFonts w:ascii="宋体" w:hAnsi="宋体" w:eastAsia="宋体" w:cs="宋体"/>
          <w:spacing w:val="-1"/>
          <w:sz w:val="21"/>
          <w:szCs w:val="21"/>
        </w:rPr>
        <w:t>3.5.l 分包的一般约定</w:t>
      </w:r>
    </w:p>
    <w:p w14:paraId="6BFE56B6">
      <w:pPr>
        <w:spacing w:before="154" w:line="220" w:lineRule="auto"/>
        <w:ind w:left="444"/>
        <w:rPr>
          <w:rFonts w:ascii="宋体" w:hAnsi="宋体" w:eastAsia="宋体" w:cs="宋体"/>
          <w:sz w:val="21"/>
          <w:szCs w:val="21"/>
        </w:rPr>
      </w:pPr>
      <w:r>
        <w:rPr>
          <w:rFonts w:ascii="宋体" w:hAnsi="宋体" w:eastAsia="宋体" w:cs="宋体"/>
          <w:spacing w:val="-5"/>
          <w:sz w:val="21"/>
          <w:szCs w:val="21"/>
        </w:rPr>
        <w:t>禁止分包的工程包括：</w:t>
      </w:r>
    </w:p>
    <w:p w14:paraId="01E120A4">
      <w:pPr>
        <w:pStyle w:val="2"/>
        <w:spacing w:line="304" w:lineRule="auto"/>
      </w:pPr>
    </w:p>
    <w:p w14:paraId="061C6D52">
      <w:pPr>
        <w:pStyle w:val="2"/>
        <w:spacing w:line="305" w:lineRule="auto"/>
      </w:pPr>
      <w:r>
        <w:pict>
          <v:shape id="_x0000_s1085" o:spid="_x0000_s1085" style="position:absolute;left:0pt;margin-left:21.8pt;margin-top:2.95pt;height:0.75pt;width:47.3pt;z-index:251729920;mso-width-relative:page;mso-height-relative:page;" fillcolor="#000000" filled="t" stroked="f" coordsize="945,15" path="m0,15l945,15,945,0,0,0,0,15xe">
            <v:path/>
            <v:fill on="t" focussize="0,0"/>
            <v:stroke on="f"/>
            <v:imagedata o:title=""/>
            <o:lock v:ext="edit"/>
          </v:shape>
        </w:pict>
      </w:r>
    </w:p>
    <w:p w14:paraId="4508AD0C">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FD9F8DD">
      <w:pPr>
        <w:spacing w:before="164" w:line="220" w:lineRule="auto"/>
        <w:ind w:left="446"/>
        <w:rPr>
          <w:rFonts w:ascii="宋体" w:hAnsi="宋体" w:eastAsia="宋体" w:cs="宋体"/>
          <w:sz w:val="21"/>
          <w:szCs w:val="21"/>
        </w:rPr>
      </w:pPr>
      <w:r>
        <w:rPr>
          <w:rFonts w:ascii="宋体" w:hAnsi="宋体" w:eastAsia="宋体" w:cs="宋体"/>
          <w:spacing w:val="-4"/>
          <w:sz w:val="21"/>
          <w:szCs w:val="21"/>
        </w:rPr>
        <w:t>主体结构、关键性工作的范围：</w:t>
      </w:r>
    </w:p>
    <w:p w14:paraId="1F0739A2">
      <w:pPr>
        <w:pStyle w:val="2"/>
        <w:spacing w:line="252" w:lineRule="auto"/>
      </w:pPr>
    </w:p>
    <w:p w14:paraId="3794E22A">
      <w:pPr>
        <w:pStyle w:val="2"/>
        <w:spacing w:line="253" w:lineRule="auto"/>
      </w:pPr>
      <w:r>
        <w:pict>
          <v:shape id="_x0000_s1086" o:spid="_x0000_s1086" style="position:absolute;left:0pt;margin-left:21.8pt;margin-top:5.6pt;height:0.75pt;width:395pt;z-index:251728896;mso-width-relative:page;mso-height-relative:page;" fillcolor="#000000" filled="t" stroked="f" coordsize="7900,15" path="m0,15l7900,15,7900,0,0,0,0,15xe">
            <v:path/>
            <v:fill on="t" focussize="0,0"/>
            <v:stroke on="f"/>
            <v:imagedata o:title=""/>
            <o:lock v:ext="edit"/>
          </v:shape>
        </w:pict>
      </w:r>
    </w:p>
    <w:p w14:paraId="76044A19">
      <w:pPr>
        <w:pStyle w:val="2"/>
        <w:spacing w:line="253" w:lineRule="auto"/>
      </w:pPr>
      <w:r>
        <w:pict>
          <v:shape id="_x0000_s1087" o:spid="_x0000_s1087" style="position:absolute;left:0pt;margin-left:21.8pt;margin-top:12.35pt;height:0.75pt;width:47.3pt;z-index:251731968;mso-width-relative:page;mso-height-relative:page;" fillcolor="#000000" filled="t" stroked="f" coordsize="945,15" path="m0,15l945,15,945,0,0,0,0,15xe">
            <v:path/>
            <v:fill on="t" focussize="0,0"/>
            <v:stroke on="f"/>
            <v:imagedata o:title=""/>
            <o:lock v:ext="edit"/>
          </v:shape>
        </w:pict>
      </w:r>
    </w:p>
    <w:p w14:paraId="62F21DB0">
      <w:pPr>
        <w:pStyle w:val="2"/>
        <w:spacing w:line="253" w:lineRule="auto"/>
      </w:pPr>
    </w:p>
    <w:p w14:paraId="11ECBBA9">
      <w:pPr>
        <w:tabs>
          <w:tab w:val="left" w:pos="7060"/>
        </w:tabs>
        <w:spacing w:before="69" w:line="290" w:lineRule="auto"/>
        <w:ind w:left="447" w:right="1097" w:hanging="43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1"/>
          <w:sz w:val="21"/>
          <w:szCs w:val="21"/>
        </w:rPr>
        <w:t>。</w:t>
      </w:r>
      <w:r>
        <w:rPr>
          <w:rFonts w:ascii="宋体" w:hAnsi="宋体" w:eastAsia="宋体" w:cs="宋体"/>
          <w:sz w:val="21"/>
          <w:szCs w:val="21"/>
        </w:rPr>
        <w:t xml:space="preserve"> </w:t>
      </w:r>
      <w:r>
        <w:rPr>
          <w:rFonts w:ascii="宋体" w:hAnsi="宋体" w:eastAsia="宋体" w:cs="宋体"/>
          <w:spacing w:val="-2"/>
          <w:sz w:val="21"/>
          <w:szCs w:val="21"/>
        </w:rPr>
        <w:t>3.5.2</w:t>
      </w:r>
      <w:r>
        <w:rPr>
          <w:rFonts w:ascii="宋体" w:hAnsi="宋体" w:eastAsia="宋体" w:cs="宋体"/>
          <w:spacing w:val="-34"/>
          <w:sz w:val="21"/>
          <w:szCs w:val="21"/>
        </w:rPr>
        <w:t xml:space="preserve"> </w:t>
      </w:r>
      <w:r>
        <w:rPr>
          <w:rFonts w:ascii="宋体" w:hAnsi="宋体" w:eastAsia="宋体" w:cs="宋体"/>
          <w:spacing w:val="-2"/>
          <w:sz w:val="21"/>
          <w:szCs w:val="21"/>
        </w:rPr>
        <w:t>分包的确定</w:t>
      </w:r>
    </w:p>
    <w:p w14:paraId="2B851818">
      <w:pPr>
        <w:spacing w:before="1" w:line="219" w:lineRule="auto"/>
        <w:ind w:left="452"/>
        <w:rPr>
          <w:rFonts w:ascii="宋体" w:hAnsi="宋体" w:eastAsia="宋体" w:cs="宋体"/>
          <w:sz w:val="21"/>
          <w:szCs w:val="21"/>
        </w:rPr>
      </w:pPr>
      <w:r>
        <w:rPr>
          <w:rFonts w:ascii="宋体" w:hAnsi="宋体" w:eastAsia="宋体" w:cs="宋体"/>
          <w:spacing w:val="-5"/>
          <w:sz w:val="21"/>
          <w:szCs w:val="21"/>
        </w:rPr>
        <w:t>允许分包的专业工程包括：</w:t>
      </w:r>
    </w:p>
    <w:p w14:paraId="24D42FB8">
      <w:pPr>
        <w:pStyle w:val="2"/>
        <w:spacing w:line="312" w:lineRule="auto"/>
      </w:pPr>
    </w:p>
    <w:p w14:paraId="3A02D6ED">
      <w:pPr>
        <w:pStyle w:val="2"/>
        <w:spacing w:line="312" w:lineRule="auto"/>
      </w:pPr>
      <w:r>
        <w:pict>
          <v:shape id="_x0000_s1088" o:spid="_x0000_s1088" style="position:absolute;left:0pt;margin-left:21.8pt;margin-top:2.6pt;height:0.75pt;width:47.3pt;z-index:251732992;mso-width-relative:page;mso-height-relative:page;" fillcolor="#000000" filled="t" stroked="f" coordsize="945,15" path="m0,15l945,15,945,0,0,0,0,15xe">
            <v:path/>
            <v:fill on="t" focussize="0,0"/>
            <v:stroke on="f"/>
            <v:imagedata o:title=""/>
            <o:lock v:ext="edit"/>
          </v:shape>
        </w:pict>
      </w:r>
    </w:p>
    <w:p w14:paraId="4EB8918F">
      <w:pPr>
        <w:spacing w:before="69" w:line="45" w:lineRule="exact"/>
        <w:ind w:left="7088"/>
        <w:rPr>
          <w:rFonts w:ascii="宋体" w:hAnsi="宋体" w:eastAsia="宋体" w:cs="宋体"/>
          <w:sz w:val="21"/>
          <w:szCs w:val="21"/>
        </w:rPr>
      </w:pPr>
      <w:r>
        <w:pict>
          <v:shape id="_x0000_s1089" o:spid="_x0000_s1089" o:spt="202" type="#_x0000_t202" style="position:absolute;left:0pt;margin-left:-0.2pt;margin-top:-3.25pt;height:33.05pt;width:354.25pt;z-index:251727872;mso-width-relative:page;mso-height-relative:page;" filled="f" stroked="f" coordsize="21600,21600">
            <v:path/>
            <v:fill on="f" focussize="0,0"/>
            <v:stroke on="f"/>
            <v:imagedata o:title=""/>
            <o:lock v:ext="edit" aspectratio="f"/>
            <v:textbox inset="0mm,0mm,0mm,0mm">
              <w:txbxContent>
                <w:p w14:paraId="03023A50">
                  <w:pPr>
                    <w:pStyle w:val="2"/>
                    <w:tabs>
                      <w:tab w:val="left" w:pos="7064"/>
                    </w:tabs>
                    <w:spacing w:before="19"/>
                    <w:ind w:left="20"/>
                  </w:pPr>
                  <w:r>
                    <w:rPr>
                      <w:u w:val="single" w:color="auto"/>
                    </w:rPr>
                    <w:tab/>
                  </w:r>
                </w:p>
                <w:p w14:paraId="5A0FF130">
                  <w:pPr>
                    <w:spacing w:before="128" w:line="220" w:lineRule="auto"/>
                    <w:ind w:left="449"/>
                    <w:rPr>
                      <w:rFonts w:ascii="宋体" w:hAnsi="宋体" w:eastAsia="宋体" w:cs="宋体"/>
                      <w:sz w:val="21"/>
                      <w:szCs w:val="21"/>
                    </w:rPr>
                  </w:pPr>
                  <w:r>
                    <w:rPr>
                      <w:rFonts w:ascii="宋体" w:hAnsi="宋体" w:eastAsia="宋体" w:cs="宋体"/>
                      <w:spacing w:val="-5"/>
                      <w:sz w:val="21"/>
                      <w:szCs w:val="21"/>
                    </w:rPr>
                    <w:t>其他关于分包的约定：</w:t>
                  </w:r>
                </w:p>
              </w:txbxContent>
            </v:textbox>
          </v:shape>
        </w:pict>
      </w:r>
      <w:r>
        <w:rPr>
          <w:rFonts w:ascii="宋体" w:hAnsi="宋体" w:eastAsia="宋体" w:cs="宋体"/>
          <w:position w:val="-1"/>
          <w:sz w:val="21"/>
          <w:szCs w:val="21"/>
        </w:rPr>
        <w:t>。</w:t>
      </w:r>
    </w:p>
    <w:p w14:paraId="6E7256D2">
      <w:pPr>
        <w:pStyle w:val="2"/>
        <w:spacing w:line="273" w:lineRule="auto"/>
      </w:pPr>
    </w:p>
    <w:p w14:paraId="2953836B">
      <w:pPr>
        <w:pStyle w:val="2"/>
        <w:spacing w:line="273" w:lineRule="auto"/>
      </w:pPr>
    </w:p>
    <w:p w14:paraId="554E9514">
      <w:pPr>
        <w:pStyle w:val="2"/>
        <w:spacing w:line="273" w:lineRule="auto"/>
      </w:pPr>
    </w:p>
    <w:p w14:paraId="7687B954">
      <w:pPr>
        <w:spacing w:before="1" w:line="421" w:lineRule="exact"/>
        <w:ind w:firstLine="330"/>
      </w:pPr>
      <w:r>
        <w:rPr>
          <w:position w:val="-8"/>
        </w:rPr>
        <w:pict>
          <v:shape id="_x0000_s1090" o:spid="_x0000_s1090" style="height:21.05pt;width:400.3pt;" fillcolor="#000000" filled="t" stroked="f" coordsize="8005,420" path="m0,15l8005,15,8005,0,0,0,0,15xem105,420l1051,420,1051,405,105,405,105,420xe">
            <v:path/>
            <v:fill on="t" focussize="0,0"/>
            <v:stroke on="f"/>
            <v:imagedata o:title=""/>
            <o:lock v:ext="edit"/>
            <w10:wrap type="none"/>
            <w10:anchorlock/>
          </v:shape>
        </w:pict>
      </w:r>
    </w:p>
    <w:p w14:paraId="4A403F7F">
      <w:pPr>
        <w:tabs>
          <w:tab w:val="left" w:pos="7060"/>
        </w:tabs>
        <w:spacing w:before="300" w:line="297" w:lineRule="auto"/>
        <w:ind w:left="447" w:right="1097" w:hanging="43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31"/>
          <w:sz w:val="21"/>
          <w:szCs w:val="21"/>
        </w:rPr>
        <w:t>。</w:t>
      </w:r>
      <w:r>
        <w:rPr>
          <w:rFonts w:ascii="宋体" w:hAnsi="宋体" w:eastAsia="宋体" w:cs="宋体"/>
          <w:sz w:val="21"/>
          <w:szCs w:val="21"/>
        </w:rPr>
        <w:t xml:space="preserve"> </w:t>
      </w:r>
      <w:r>
        <w:rPr>
          <w:rFonts w:ascii="宋体" w:hAnsi="宋体" w:eastAsia="宋体" w:cs="宋体"/>
          <w:spacing w:val="-1"/>
          <w:sz w:val="21"/>
          <w:szCs w:val="21"/>
        </w:rPr>
        <w:t>3.5.4 分包合同价款</w:t>
      </w:r>
    </w:p>
    <w:p w14:paraId="2695536F">
      <w:pPr>
        <w:spacing w:line="218" w:lineRule="auto"/>
        <w:ind w:left="448"/>
        <w:rPr>
          <w:rFonts w:ascii="宋体" w:hAnsi="宋体" w:eastAsia="宋体" w:cs="宋体"/>
          <w:sz w:val="21"/>
          <w:szCs w:val="21"/>
        </w:rPr>
      </w:pPr>
      <w:r>
        <w:rPr>
          <w:rFonts w:ascii="宋体" w:hAnsi="宋体" w:eastAsia="宋体" w:cs="宋体"/>
          <w:spacing w:val="-4"/>
          <w:sz w:val="21"/>
          <w:szCs w:val="21"/>
        </w:rPr>
        <w:t>关于分包合同价款支付的约定：</w:t>
      </w:r>
    </w:p>
    <w:p w14:paraId="3A32A1A3">
      <w:pPr>
        <w:pStyle w:val="2"/>
        <w:spacing w:line="305" w:lineRule="auto"/>
      </w:pPr>
    </w:p>
    <w:p w14:paraId="24B1FF43">
      <w:pPr>
        <w:pStyle w:val="2"/>
        <w:spacing w:line="306" w:lineRule="auto"/>
      </w:pPr>
      <w:r>
        <w:pict>
          <v:shape id="_x0000_s1091" o:spid="_x0000_s1091" style="position:absolute;left:0pt;margin-left:21.8pt;margin-top:2.25pt;height:0.75pt;width:47.3pt;z-index:251730944;mso-width-relative:page;mso-height-relative:page;" fillcolor="#000000" filled="t" stroked="f" coordsize="945,15" path="m0,15l945,15,945,0,0,0,0,15xe">
            <v:path/>
            <v:fill on="t" focussize="0,0"/>
            <v:stroke on="f"/>
            <v:imagedata o:title=""/>
            <o:lock v:ext="edit"/>
          </v:shape>
        </w:pict>
      </w:r>
    </w:p>
    <w:p w14:paraId="2DFEFDDA">
      <w:pPr>
        <w:spacing w:before="69" w:line="45" w:lineRule="exact"/>
        <w:ind w:left="7088"/>
        <w:rPr>
          <w:rFonts w:ascii="宋体" w:hAnsi="宋体" w:eastAsia="宋体" w:cs="宋体"/>
          <w:sz w:val="21"/>
          <w:szCs w:val="21"/>
        </w:rPr>
      </w:pPr>
      <w:r>
        <w:pict>
          <v:shape id="_x0000_s1092" o:spid="_x0000_s1092" o:spt="202" type="#_x0000_t202" style="position:absolute;left:0pt;margin-left:-0.2pt;margin-top:-3.25pt;height:114.65pt;width:354.25pt;z-index:251725824;mso-width-relative:page;mso-height-relative:page;" filled="f" stroked="f" coordsize="21600,21600">
            <v:path/>
            <v:fill on="f" focussize="0,0"/>
            <v:stroke on="f"/>
            <v:imagedata o:title=""/>
            <o:lock v:ext="edit" aspectratio="f"/>
            <v:textbox inset="0mm,0mm,0mm,0mm">
              <w:txbxContent>
                <w:p w14:paraId="2A68363C">
                  <w:pPr>
                    <w:pStyle w:val="2"/>
                    <w:tabs>
                      <w:tab w:val="left" w:pos="7064"/>
                    </w:tabs>
                    <w:spacing w:before="19"/>
                    <w:ind w:left="20"/>
                  </w:pPr>
                  <w:r>
                    <w:rPr>
                      <w:u w:val="single" w:color="auto"/>
                    </w:rPr>
                    <w:tab/>
                  </w:r>
                </w:p>
                <w:p w14:paraId="470F70C4">
                  <w:pPr>
                    <w:spacing w:before="116" w:line="233" w:lineRule="auto"/>
                    <w:ind w:left="23"/>
                    <w:outlineLvl w:val="1"/>
                    <w:rPr>
                      <w:rFonts w:ascii="黑体" w:hAnsi="黑体" w:eastAsia="黑体" w:cs="黑体"/>
                      <w:sz w:val="24"/>
                      <w:szCs w:val="24"/>
                    </w:rPr>
                  </w:pPr>
                  <w:bookmarkStart w:id="691" w:name="bookmark452"/>
                  <w:bookmarkEnd w:id="691"/>
                  <w:r>
                    <w:rPr>
                      <w:rFonts w:ascii="Times New Roman" w:hAnsi="Times New Roman" w:eastAsia="Times New Roman" w:cs="Times New Roman"/>
                      <w:b/>
                      <w:bCs/>
                      <w:spacing w:val="1"/>
                      <w:sz w:val="24"/>
                      <w:szCs w:val="24"/>
                    </w:rPr>
                    <w:t xml:space="preserve">3.6  </w:t>
                  </w:r>
                  <w:r>
                    <w:rPr>
                      <w:rFonts w:ascii="黑体" w:hAnsi="黑体" w:eastAsia="黑体" w:cs="黑体"/>
                      <w:b/>
                      <w:bCs/>
                      <w:spacing w:val="1"/>
                      <w:sz w:val="24"/>
                      <w:szCs w:val="24"/>
                    </w:rPr>
                    <w:t>工程照管与成品、半成品保护</w:t>
                  </w:r>
                </w:p>
                <w:p w14:paraId="2CF08E3B">
                  <w:pPr>
                    <w:pStyle w:val="2"/>
                    <w:tabs>
                      <w:tab w:val="left" w:pos="1386"/>
                    </w:tabs>
                    <w:spacing w:before="113" w:line="388" w:lineRule="auto"/>
                    <w:ind w:left="440" w:right="798" w:firstLine="8"/>
                  </w:pPr>
                  <w:r>
                    <w:rPr>
                      <w:rFonts w:ascii="宋体" w:hAnsi="宋体" w:eastAsia="宋体" w:cs="宋体"/>
                      <w:spacing w:val="-2"/>
                    </w:rPr>
                    <w:t>承包人负责照管工程及工程相关的材料、工程设备的起始时间：</w:t>
                  </w:r>
                  <w:r>
                    <w:rPr>
                      <w:u w:val="single" w:color="auto"/>
                    </w:rPr>
                    <w:tab/>
                  </w:r>
                </w:p>
                <w:p w14:paraId="2266AB61">
                  <w:pPr>
                    <w:pStyle w:val="2"/>
                    <w:tabs>
                      <w:tab w:val="left" w:pos="7064"/>
                    </w:tabs>
                    <w:spacing w:before="1" w:line="239" w:lineRule="auto"/>
                    <w:ind w:left="20"/>
                  </w:pPr>
                  <w:r>
                    <w:rPr>
                      <w:u w:val="single" w:color="auto"/>
                    </w:rPr>
                    <w:tab/>
                  </w:r>
                </w:p>
                <w:p w14:paraId="2963571E">
                  <w:pPr>
                    <w:spacing w:before="101" w:line="233" w:lineRule="auto"/>
                    <w:ind w:left="23"/>
                    <w:outlineLvl w:val="1"/>
                    <w:rPr>
                      <w:rFonts w:ascii="黑体" w:hAnsi="黑体" w:eastAsia="黑体" w:cs="黑体"/>
                      <w:sz w:val="24"/>
                      <w:szCs w:val="24"/>
                    </w:rPr>
                  </w:pPr>
                  <w:bookmarkStart w:id="692" w:name="bookmark453"/>
                  <w:bookmarkEnd w:id="692"/>
                  <w:r>
                    <w:rPr>
                      <w:rFonts w:ascii="Times New Roman" w:hAnsi="Times New Roman" w:eastAsia="Times New Roman" w:cs="Times New Roman"/>
                      <w:b/>
                      <w:bCs/>
                      <w:spacing w:val="3"/>
                      <w:sz w:val="24"/>
                      <w:szCs w:val="24"/>
                    </w:rPr>
                    <w:t xml:space="preserve">3.7  </w:t>
                  </w:r>
                  <w:r>
                    <w:rPr>
                      <w:rFonts w:ascii="黑体" w:hAnsi="黑体" w:eastAsia="黑体" w:cs="黑体"/>
                      <w:b/>
                      <w:bCs/>
                      <w:spacing w:val="3"/>
                      <w:sz w:val="24"/>
                      <w:szCs w:val="24"/>
                    </w:rPr>
                    <w:t>履约担保</w:t>
                  </w:r>
                </w:p>
              </w:txbxContent>
            </v:textbox>
          </v:shape>
        </w:pict>
      </w:r>
      <w:r>
        <w:rPr>
          <w:rFonts w:ascii="宋体" w:hAnsi="宋体" w:eastAsia="宋体" w:cs="宋体"/>
          <w:position w:val="-1"/>
          <w:sz w:val="21"/>
          <w:szCs w:val="21"/>
        </w:rPr>
        <w:t>。</w:t>
      </w:r>
    </w:p>
    <w:p w14:paraId="7341A2FC">
      <w:pPr>
        <w:pStyle w:val="2"/>
        <w:spacing w:line="247" w:lineRule="auto"/>
      </w:pPr>
    </w:p>
    <w:p w14:paraId="257C4CAD">
      <w:pPr>
        <w:pStyle w:val="2"/>
        <w:spacing w:line="247" w:lineRule="auto"/>
      </w:pPr>
    </w:p>
    <w:p w14:paraId="47904E0B">
      <w:pPr>
        <w:pStyle w:val="2"/>
        <w:spacing w:line="247" w:lineRule="auto"/>
      </w:pPr>
    </w:p>
    <w:p w14:paraId="0EB7694A">
      <w:pPr>
        <w:pStyle w:val="2"/>
        <w:spacing w:line="247" w:lineRule="auto"/>
      </w:pPr>
    </w:p>
    <w:p w14:paraId="0FC99338">
      <w:pPr>
        <w:pStyle w:val="2"/>
        <w:spacing w:line="247" w:lineRule="auto"/>
      </w:pPr>
    </w:p>
    <w:p w14:paraId="039A9583">
      <w:pPr>
        <w:pStyle w:val="2"/>
        <w:spacing w:line="247" w:lineRule="auto"/>
      </w:pPr>
    </w:p>
    <w:p w14:paraId="44AAFCC5">
      <w:pPr>
        <w:spacing w:before="69" w:line="46" w:lineRule="exact"/>
        <w:ind w:left="7088"/>
        <w:rPr>
          <w:rFonts w:ascii="宋体" w:hAnsi="宋体" w:eastAsia="宋体" w:cs="宋体"/>
          <w:sz w:val="21"/>
          <w:szCs w:val="21"/>
        </w:rPr>
      </w:pPr>
      <w:r>
        <w:rPr>
          <w:rFonts w:ascii="宋体" w:hAnsi="宋体" w:eastAsia="宋体" w:cs="宋体"/>
          <w:position w:val="-1"/>
          <w:sz w:val="21"/>
          <w:szCs w:val="21"/>
        </w:rPr>
        <w:t>。</w:t>
      </w:r>
    </w:p>
    <w:p w14:paraId="472F0015">
      <w:pPr>
        <w:pStyle w:val="2"/>
        <w:spacing w:line="271" w:lineRule="auto"/>
      </w:pPr>
    </w:p>
    <w:p w14:paraId="002A84F7">
      <w:pPr>
        <w:pStyle w:val="2"/>
        <w:spacing w:line="272" w:lineRule="auto"/>
      </w:pPr>
    </w:p>
    <w:p w14:paraId="044FB466">
      <w:pPr>
        <w:spacing w:before="68" w:line="219" w:lineRule="auto"/>
        <w:ind w:left="444"/>
        <w:rPr>
          <w:rFonts w:ascii="宋体" w:hAnsi="宋体" w:eastAsia="宋体" w:cs="宋体"/>
          <w:sz w:val="21"/>
          <w:szCs w:val="21"/>
        </w:rPr>
      </w:pPr>
      <w:r>
        <w:rPr>
          <w:rFonts w:ascii="宋体" w:hAnsi="宋体" w:eastAsia="宋体" w:cs="宋体"/>
          <w:spacing w:val="-4"/>
          <w:sz w:val="21"/>
          <w:szCs w:val="21"/>
        </w:rPr>
        <w:t>承包人是否提供履约担保：</w:t>
      </w:r>
    </w:p>
    <w:p w14:paraId="4D828A7D">
      <w:pPr>
        <w:spacing w:line="219" w:lineRule="auto"/>
        <w:rPr>
          <w:rFonts w:ascii="宋体" w:hAnsi="宋体" w:eastAsia="宋体" w:cs="宋体"/>
          <w:sz w:val="21"/>
          <w:szCs w:val="21"/>
        </w:rPr>
        <w:sectPr>
          <w:headerReference r:id="rId215" w:type="default"/>
          <w:footerReference r:id="rId216" w:type="default"/>
          <w:pgSz w:w="11910" w:h="16845"/>
          <w:pgMar w:top="1940" w:right="1786" w:bottom="1110" w:left="1786" w:header="1572" w:footer="883" w:gutter="0"/>
          <w:cols w:space="720" w:num="1"/>
        </w:sectPr>
      </w:pPr>
    </w:p>
    <w:p w14:paraId="7052EC5B">
      <w:pPr>
        <w:spacing w:before="26" w:line="219" w:lineRule="auto"/>
        <w:ind w:left="444"/>
        <w:rPr>
          <w:rFonts w:ascii="宋体" w:hAnsi="宋体" w:eastAsia="宋体" w:cs="宋体"/>
          <w:sz w:val="21"/>
          <w:szCs w:val="21"/>
        </w:rPr>
      </w:pPr>
      <w:r>
        <w:rPr>
          <w:rFonts w:ascii="宋体" w:hAnsi="宋体" w:eastAsia="宋体" w:cs="宋体"/>
          <w:spacing w:val="-1"/>
          <w:sz w:val="21"/>
          <w:szCs w:val="21"/>
        </w:rPr>
        <w:t>承包人提供履约担保的形式、金额及期限的：</w:t>
      </w:r>
    </w:p>
    <w:p w14:paraId="3DEE8EAB">
      <w:pPr>
        <w:pStyle w:val="2"/>
        <w:spacing w:line="312" w:lineRule="auto"/>
      </w:pPr>
    </w:p>
    <w:p w14:paraId="2501E9DC">
      <w:pPr>
        <w:pStyle w:val="2"/>
        <w:spacing w:line="313" w:lineRule="auto"/>
      </w:pPr>
      <w:r>
        <w:pict>
          <v:shape id="_x0000_s1093" o:spid="_x0000_s1093" style="position:absolute;left:0pt;margin-left:21.8pt;margin-top:2.6pt;height:0.75pt;width:47.3pt;z-index:251739136;mso-width-relative:page;mso-height-relative:page;" fillcolor="#000000" filled="t" stroked="f" coordsize="945,15" path="m0,15l945,15,945,0,0,0,0,15xe">
            <v:path/>
            <v:fill on="t" focussize="0,0"/>
            <v:stroke on="f"/>
            <v:imagedata o:title=""/>
            <o:lock v:ext="edit"/>
          </v:shape>
        </w:pict>
      </w:r>
    </w:p>
    <w:p w14:paraId="04DCCD68">
      <w:pPr>
        <w:spacing w:before="68" w:line="45" w:lineRule="exact"/>
        <w:ind w:left="7088"/>
        <w:rPr>
          <w:rFonts w:ascii="宋体" w:hAnsi="宋体" w:eastAsia="宋体" w:cs="宋体"/>
          <w:sz w:val="21"/>
          <w:szCs w:val="21"/>
        </w:rPr>
      </w:pPr>
      <w:r>
        <w:pict>
          <v:shape id="_x0000_s1094" o:spid="_x0000_s1094" o:spt="202" type="#_x0000_t202" style="position:absolute;left:0pt;margin-left:-0.2pt;margin-top:-3.3pt;height:78pt;width:354.25pt;z-index:251734016;mso-width-relative:page;mso-height-relative:page;" filled="f" stroked="f" coordsize="21600,21600">
            <v:path/>
            <v:fill on="f" focussize="0,0"/>
            <v:stroke on="f"/>
            <v:imagedata o:title=""/>
            <o:lock v:ext="edit" aspectratio="f"/>
            <v:textbox inset="0mm,0mm,0mm,0mm">
              <w:txbxContent>
                <w:p w14:paraId="09C0F26A">
                  <w:pPr>
                    <w:pStyle w:val="2"/>
                    <w:tabs>
                      <w:tab w:val="left" w:pos="7064"/>
                    </w:tabs>
                    <w:spacing w:before="20"/>
                    <w:ind w:left="20"/>
                  </w:pPr>
                  <w:r>
                    <w:rPr>
                      <w:u w:val="single" w:color="auto"/>
                    </w:rPr>
                    <w:tab/>
                  </w:r>
                </w:p>
                <w:p w14:paraId="6A069F14">
                  <w:pPr>
                    <w:spacing w:before="168" w:line="239" w:lineRule="auto"/>
                    <w:ind w:left="27"/>
                    <w:outlineLvl w:val="0"/>
                    <w:rPr>
                      <w:rFonts w:ascii="黑体" w:hAnsi="黑体" w:eastAsia="黑体" w:cs="黑体"/>
                      <w:sz w:val="28"/>
                      <w:szCs w:val="28"/>
                    </w:rPr>
                  </w:pPr>
                  <w:bookmarkStart w:id="693" w:name="bookmark455"/>
                  <w:bookmarkEnd w:id="693"/>
                  <w:bookmarkStart w:id="694" w:name="bookmark454"/>
                  <w:bookmarkEnd w:id="694"/>
                  <w:r>
                    <w:rPr>
                      <w:rFonts w:ascii="Times New Roman" w:hAnsi="Times New Roman" w:eastAsia="Times New Roman" w:cs="Times New Roman"/>
                      <w:b/>
                      <w:bCs/>
                      <w:spacing w:val="9"/>
                      <w:sz w:val="28"/>
                      <w:szCs w:val="28"/>
                    </w:rPr>
                    <w:t>4.</w:t>
                  </w:r>
                  <w:r>
                    <w:rPr>
                      <w:rFonts w:ascii="Times New Roman" w:hAnsi="Times New Roman" w:eastAsia="Times New Roman" w:cs="Times New Roman"/>
                      <w:b/>
                      <w:bCs/>
                      <w:spacing w:val="64"/>
                      <w:sz w:val="28"/>
                      <w:szCs w:val="28"/>
                    </w:rPr>
                    <w:t xml:space="preserve"> </w:t>
                  </w:r>
                  <w:r>
                    <w:rPr>
                      <w:rFonts w:ascii="黑体" w:hAnsi="黑体" w:eastAsia="黑体" w:cs="黑体"/>
                      <w:b/>
                      <w:bCs/>
                      <w:spacing w:val="9"/>
                      <w:sz w:val="28"/>
                      <w:szCs w:val="28"/>
                    </w:rPr>
                    <w:t>监理人</w:t>
                  </w:r>
                </w:p>
                <w:p w14:paraId="6B12DF83">
                  <w:pPr>
                    <w:spacing w:before="81" w:line="232" w:lineRule="auto"/>
                    <w:ind w:left="26"/>
                    <w:outlineLvl w:val="1"/>
                    <w:rPr>
                      <w:rFonts w:ascii="黑体" w:hAnsi="黑体" w:eastAsia="黑体" w:cs="黑体"/>
                      <w:sz w:val="24"/>
                      <w:szCs w:val="24"/>
                    </w:rPr>
                  </w:pPr>
                  <w:bookmarkStart w:id="695" w:name="bookmark707"/>
                  <w:bookmarkEnd w:id="695"/>
                  <w:r>
                    <w:rPr>
                      <w:rFonts w:ascii="Times New Roman" w:hAnsi="Times New Roman" w:eastAsia="Times New Roman" w:cs="Times New Roman"/>
                      <w:b/>
                      <w:bCs/>
                      <w:spacing w:val="3"/>
                      <w:sz w:val="24"/>
                      <w:szCs w:val="24"/>
                    </w:rPr>
                    <w:t xml:space="preserve">4.1 </w:t>
                  </w:r>
                  <w:r>
                    <w:rPr>
                      <w:rFonts w:ascii="黑体" w:hAnsi="黑体" w:eastAsia="黑体" w:cs="黑体"/>
                      <w:b/>
                      <w:bCs/>
                      <w:spacing w:val="3"/>
                      <w:sz w:val="24"/>
                      <w:szCs w:val="24"/>
                    </w:rPr>
                    <w:t>监理人的一般规定</w:t>
                  </w:r>
                </w:p>
                <w:p w14:paraId="258D1874">
                  <w:pPr>
                    <w:spacing w:before="113" w:line="220" w:lineRule="auto"/>
                    <w:ind w:left="452"/>
                    <w:rPr>
                      <w:rFonts w:ascii="宋体" w:hAnsi="宋体" w:eastAsia="宋体" w:cs="宋体"/>
                      <w:sz w:val="21"/>
                      <w:szCs w:val="21"/>
                    </w:rPr>
                  </w:pPr>
                  <w:r>
                    <w:rPr>
                      <w:rFonts w:ascii="宋体" w:hAnsi="宋体" w:eastAsia="宋体" w:cs="宋体"/>
                      <w:spacing w:val="-5"/>
                      <w:sz w:val="21"/>
                      <w:szCs w:val="21"/>
                    </w:rPr>
                    <w:t>关于监理人的监理内容：</w:t>
                  </w:r>
                </w:p>
              </w:txbxContent>
            </v:textbox>
          </v:shape>
        </w:pict>
      </w:r>
      <w:r>
        <w:rPr>
          <w:rFonts w:ascii="宋体" w:hAnsi="宋体" w:eastAsia="宋体" w:cs="宋体"/>
          <w:position w:val="-1"/>
          <w:sz w:val="21"/>
          <w:szCs w:val="21"/>
        </w:rPr>
        <w:t>。</w:t>
      </w:r>
    </w:p>
    <w:p w14:paraId="138112C5">
      <w:pPr>
        <w:pStyle w:val="2"/>
        <w:spacing w:line="246" w:lineRule="auto"/>
      </w:pPr>
    </w:p>
    <w:p w14:paraId="1039E0C1">
      <w:pPr>
        <w:pStyle w:val="2"/>
        <w:spacing w:line="247" w:lineRule="auto"/>
      </w:pPr>
    </w:p>
    <w:p w14:paraId="32AE6CFB">
      <w:pPr>
        <w:pStyle w:val="2"/>
        <w:spacing w:line="247" w:lineRule="auto"/>
      </w:pPr>
    </w:p>
    <w:p w14:paraId="6454310F">
      <w:pPr>
        <w:pStyle w:val="2"/>
        <w:spacing w:line="247" w:lineRule="auto"/>
      </w:pPr>
    </w:p>
    <w:p w14:paraId="4F6F07C7">
      <w:pPr>
        <w:pStyle w:val="2"/>
        <w:spacing w:line="247" w:lineRule="auto"/>
      </w:pPr>
    </w:p>
    <w:p w14:paraId="4BE1CE67">
      <w:pPr>
        <w:pStyle w:val="2"/>
        <w:spacing w:line="247" w:lineRule="auto"/>
      </w:pPr>
    </w:p>
    <w:p w14:paraId="2DDD6676">
      <w:pPr>
        <w:pStyle w:val="2"/>
        <w:spacing w:line="247" w:lineRule="auto"/>
      </w:pPr>
      <w:r>
        <w:pict>
          <v:shape id="_x0000_s1095" o:spid="_x0000_s1095" style="position:absolute;left:0pt;margin-left:21.8pt;margin-top:11.75pt;height:0.75pt;width:47.3pt;z-index:251740160;mso-width-relative:page;mso-height-relative:page;" fillcolor="#000000" filled="t" stroked="f" coordsize="945,15" path="m0,15l945,15,945,0,0,0,0,15xe">
            <v:path/>
            <v:fill on="t" focussize="0,0"/>
            <v:stroke on="f"/>
            <v:imagedata o:title=""/>
            <o:lock v:ext="edit"/>
          </v:shape>
        </w:pict>
      </w:r>
    </w:p>
    <w:p w14:paraId="72F1315C">
      <w:pPr>
        <w:pStyle w:val="2"/>
        <w:spacing w:line="247" w:lineRule="auto"/>
      </w:pPr>
    </w:p>
    <w:p w14:paraId="661954AC">
      <w:pPr>
        <w:spacing w:before="69" w:line="45" w:lineRule="exact"/>
        <w:ind w:left="7088"/>
        <w:rPr>
          <w:rFonts w:ascii="宋体" w:hAnsi="宋体" w:eastAsia="宋体" w:cs="宋体"/>
          <w:sz w:val="21"/>
          <w:szCs w:val="21"/>
        </w:rPr>
      </w:pPr>
      <w:r>
        <w:pict>
          <v:shape id="_x0000_s1096" o:spid="_x0000_s1096" o:spt="202" type="#_x0000_t202" style="position:absolute;left:0pt;margin-left:-0.2pt;margin-top:-3.25pt;height:33pt;width:354.25pt;z-index:251737088;mso-width-relative:page;mso-height-relative:page;" filled="f" stroked="f" coordsize="21600,21600">
            <v:path/>
            <v:fill on="f" focussize="0,0"/>
            <v:stroke on="f"/>
            <v:imagedata o:title=""/>
            <o:lock v:ext="edit" aspectratio="f"/>
            <v:textbox inset="0mm,0mm,0mm,0mm">
              <w:txbxContent>
                <w:p w14:paraId="2D95EAAF">
                  <w:pPr>
                    <w:pStyle w:val="2"/>
                    <w:tabs>
                      <w:tab w:val="left" w:pos="7064"/>
                    </w:tabs>
                    <w:spacing w:before="20"/>
                    <w:ind w:left="20"/>
                  </w:pPr>
                  <w:r>
                    <w:rPr>
                      <w:u w:val="single" w:color="auto"/>
                    </w:rPr>
                    <w:tab/>
                  </w:r>
                </w:p>
                <w:p w14:paraId="2BD9AC79">
                  <w:pPr>
                    <w:spacing w:before="127" w:line="220" w:lineRule="auto"/>
                    <w:ind w:left="452"/>
                    <w:rPr>
                      <w:rFonts w:ascii="宋体" w:hAnsi="宋体" w:eastAsia="宋体" w:cs="宋体"/>
                      <w:sz w:val="21"/>
                      <w:szCs w:val="21"/>
                    </w:rPr>
                  </w:pPr>
                  <w:r>
                    <w:rPr>
                      <w:rFonts w:ascii="宋体" w:hAnsi="宋体" w:eastAsia="宋体" w:cs="宋体"/>
                      <w:spacing w:val="-5"/>
                      <w:sz w:val="21"/>
                      <w:szCs w:val="21"/>
                    </w:rPr>
                    <w:t>关于监理人的监理权限：</w:t>
                  </w:r>
                </w:p>
              </w:txbxContent>
            </v:textbox>
          </v:shape>
        </w:pict>
      </w:r>
      <w:r>
        <w:rPr>
          <w:rFonts w:ascii="宋体" w:hAnsi="宋体" w:eastAsia="宋体" w:cs="宋体"/>
          <w:position w:val="-1"/>
          <w:sz w:val="21"/>
          <w:szCs w:val="21"/>
        </w:rPr>
        <w:t>。</w:t>
      </w:r>
    </w:p>
    <w:p w14:paraId="2DAC87E1">
      <w:pPr>
        <w:pStyle w:val="2"/>
        <w:spacing w:line="270" w:lineRule="auto"/>
      </w:pPr>
    </w:p>
    <w:p w14:paraId="211828DC">
      <w:pPr>
        <w:pStyle w:val="2"/>
        <w:spacing w:line="270" w:lineRule="auto"/>
      </w:pPr>
    </w:p>
    <w:p w14:paraId="601EC5F0">
      <w:pPr>
        <w:pStyle w:val="2"/>
        <w:spacing w:line="270" w:lineRule="auto"/>
      </w:pPr>
    </w:p>
    <w:p w14:paraId="0316C677">
      <w:pPr>
        <w:pStyle w:val="2"/>
        <w:spacing w:line="270" w:lineRule="auto"/>
      </w:pPr>
      <w:r>
        <w:pict>
          <v:shape id="_x0000_s1097" o:spid="_x0000_s1097" style="position:absolute;left:0pt;margin-left:21.8pt;margin-top:0.45pt;height:0.75pt;width:47.3pt;z-index:251741184;mso-width-relative:page;mso-height-relative:page;" fillcolor="#000000" filled="t" stroked="f" coordsize="945,15" path="m0,15l945,15,945,0,0,0,0,15xe">
            <v:path/>
            <v:fill on="t" focussize="0,0"/>
            <v:stroke on="f"/>
            <v:imagedata o:title=""/>
            <o:lock v:ext="edit"/>
          </v:shape>
        </w:pict>
      </w:r>
    </w:p>
    <w:p w14:paraId="3AB72F04">
      <w:pPr>
        <w:spacing w:before="68" w:line="46" w:lineRule="exact"/>
        <w:ind w:left="7088"/>
        <w:rPr>
          <w:rFonts w:ascii="宋体" w:hAnsi="宋体" w:eastAsia="宋体" w:cs="宋体"/>
          <w:sz w:val="21"/>
          <w:szCs w:val="21"/>
        </w:rPr>
      </w:pPr>
      <w:r>
        <w:pict>
          <v:shape id="_x0000_s1098" o:spid="_x0000_s1098" o:spt="202" type="#_x0000_t202" style="position:absolute;left:0pt;margin-left:-0.2pt;margin-top:-3.25pt;height:32.95pt;width:357.4pt;z-index:251736064;mso-width-relative:page;mso-height-relative:page;" filled="f" stroked="f" coordsize="21600,21600">
            <v:path/>
            <v:fill on="f" focussize="0,0"/>
            <v:stroke on="f"/>
            <v:imagedata o:title=""/>
            <o:lock v:ext="edit" aspectratio="f"/>
            <v:textbox inset="0mm,0mm,0mm,0mm">
              <w:txbxContent>
                <w:p w14:paraId="730C18A4">
                  <w:pPr>
                    <w:pStyle w:val="2"/>
                    <w:tabs>
                      <w:tab w:val="left" w:pos="7064"/>
                    </w:tabs>
                    <w:spacing w:before="20"/>
                    <w:ind w:left="20"/>
                  </w:pPr>
                  <w:r>
                    <w:rPr>
                      <w:u w:val="single" w:color="auto"/>
                    </w:rPr>
                    <w:tab/>
                  </w:r>
                </w:p>
                <w:p w14:paraId="335B5A6F">
                  <w:pPr>
                    <w:spacing w:before="127" w:line="219" w:lineRule="auto"/>
                    <w:ind w:right="18"/>
                    <w:jc w:val="right"/>
                    <w:rPr>
                      <w:rFonts w:ascii="宋体" w:hAnsi="宋体" w:eastAsia="宋体" w:cs="宋体"/>
                      <w:sz w:val="21"/>
                      <w:szCs w:val="21"/>
                    </w:rPr>
                  </w:pPr>
                  <w:r>
                    <w:rPr>
                      <w:rFonts w:ascii="宋体" w:hAnsi="宋体" w:eastAsia="宋体" w:cs="宋体"/>
                      <w:spacing w:val="-1"/>
                      <w:sz w:val="21"/>
                      <w:szCs w:val="21"/>
                    </w:rPr>
                    <w:t>关于监理人在施工现场的办公场所、生活场所</w:t>
                  </w:r>
                  <w:r>
                    <w:rPr>
                      <w:rFonts w:ascii="宋体" w:hAnsi="宋体" w:eastAsia="宋体" w:cs="宋体"/>
                      <w:spacing w:val="-2"/>
                      <w:sz w:val="21"/>
                      <w:szCs w:val="21"/>
                    </w:rPr>
                    <w:t>的提供和费用承担的约定：</w:t>
                  </w:r>
                </w:p>
              </w:txbxContent>
            </v:textbox>
          </v:shape>
        </w:pict>
      </w:r>
      <w:r>
        <w:rPr>
          <w:rFonts w:ascii="宋体" w:hAnsi="宋体" w:eastAsia="宋体" w:cs="宋体"/>
          <w:position w:val="-1"/>
          <w:sz w:val="21"/>
          <w:szCs w:val="21"/>
        </w:rPr>
        <w:t>。</w:t>
      </w:r>
    </w:p>
    <w:p w14:paraId="362601A5">
      <w:pPr>
        <w:pStyle w:val="2"/>
        <w:spacing w:line="270" w:lineRule="auto"/>
      </w:pPr>
    </w:p>
    <w:p w14:paraId="7F623338">
      <w:pPr>
        <w:pStyle w:val="2"/>
        <w:spacing w:line="270" w:lineRule="auto"/>
      </w:pPr>
    </w:p>
    <w:p w14:paraId="511CFE83">
      <w:pPr>
        <w:pStyle w:val="2"/>
        <w:spacing w:line="270" w:lineRule="auto"/>
      </w:pPr>
    </w:p>
    <w:p w14:paraId="026E81D3">
      <w:pPr>
        <w:pStyle w:val="2"/>
        <w:spacing w:line="270" w:lineRule="auto"/>
      </w:pPr>
      <w:r>
        <w:pict>
          <v:shape id="_x0000_s1099" o:spid="_x0000_s1099" style="position:absolute;left:0pt;margin-left:21.8pt;margin-top:0.45pt;height:0.8pt;width:47.3pt;z-index:251738112;mso-width-relative:page;mso-height-relative:page;" fillcolor="#000000" filled="t" stroked="f" coordsize="945,16" path="m0,15l945,15,945,0,0,0,0,15xe">
            <v:path/>
            <v:fill on="t" focussize="0,0"/>
            <v:stroke on="f"/>
            <v:imagedata o:title=""/>
            <o:lock v:ext="edit"/>
          </v:shape>
        </w:pict>
      </w:r>
    </w:p>
    <w:p w14:paraId="0B50E2C2">
      <w:pPr>
        <w:spacing w:before="68" w:line="46" w:lineRule="exact"/>
        <w:ind w:left="7088"/>
        <w:rPr>
          <w:rFonts w:ascii="宋体" w:hAnsi="宋体" w:eastAsia="宋体" w:cs="宋体"/>
          <w:sz w:val="21"/>
          <w:szCs w:val="21"/>
        </w:rPr>
      </w:pPr>
      <w:r>
        <w:pict>
          <v:shape id="_x0000_s1100" o:spid="_x0000_s1100" o:spt="202" type="#_x0000_t202" style="position:absolute;left:0pt;margin-left:-0.2pt;margin-top:-3.25pt;height:34.3pt;width:354.25pt;z-index:251735040;mso-width-relative:page;mso-height-relative:page;" filled="f" stroked="f" coordsize="21600,21600">
            <v:path/>
            <v:fill on="f" focussize="0,0"/>
            <v:stroke on="f"/>
            <v:imagedata o:title=""/>
            <o:lock v:ext="edit" aspectratio="f"/>
            <v:textbox inset="0mm,0mm,0mm,0mm">
              <w:txbxContent>
                <w:p w14:paraId="12AB34EB">
                  <w:pPr>
                    <w:pStyle w:val="2"/>
                    <w:tabs>
                      <w:tab w:val="left" w:pos="7064"/>
                    </w:tabs>
                    <w:spacing w:before="19"/>
                    <w:ind w:left="20"/>
                  </w:pPr>
                  <w:r>
                    <w:rPr>
                      <w:u w:val="single" w:color="auto"/>
                    </w:rPr>
                    <w:tab/>
                  </w:r>
                </w:p>
                <w:p w14:paraId="5D5C6390">
                  <w:pPr>
                    <w:spacing w:before="102" w:line="232" w:lineRule="auto"/>
                    <w:ind w:left="26"/>
                    <w:outlineLvl w:val="1"/>
                    <w:rPr>
                      <w:rFonts w:ascii="黑体" w:hAnsi="黑体" w:eastAsia="黑体" w:cs="黑体"/>
                      <w:sz w:val="24"/>
                      <w:szCs w:val="24"/>
                    </w:rPr>
                  </w:pPr>
                  <w:bookmarkStart w:id="696" w:name="bookmark456"/>
                  <w:bookmarkEnd w:id="696"/>
                  <w:r>
                    <w:rPr>
                      <w:rFonts w:ascii="Times New Roman" w:hAnsi="Times New Roman" w:eastAsia="Times New Roman" w:cs="Times New Roman"/>
                      <w:b/>
                      <w:bCs/>
                      <w:spacing w:val="3"/>
                      <w:sz w:val="24"/>
                      <w:szCs w:val="24"/>
                    </w:rPr>
                    <w:t xml:space="preserve">4.2  </w:t>
                  </w:r>
                  <w:r>
                    <w:rPr>
                      <w:rFonts w:ascii="黑体" w:hAnsi="黑体" w:eastAsia="黑体" w:cs="黑体"/>
                      <w:b/>
                      <w:bCs/>
                      <w:spacing w:val="3"/>
                      <w:sz w:val="24"/>
                      <w:szCs w:val="24"/>
                    </w:rPr>
                    <w:t>监理人员</w:t>
                  </w:r>
                </w:p>
              </w:txbxContent>
            </v:textbox>
          </v:shape>
        </w:pict>
      </w:r>
      <w:r>
        <w:rPr>
          <w:rFonts w:ascii="宋体" w:hAnsi="宋体" w:eastAsia="宋体" w:cs="宋体"/>
          <w:position w:val="-1"/>
          <w:sz w:val="21"/>
          <w:szCs w:val="21"/>
        </w:rPr>
        <w:t>。</w:t>
      </w:r>
    </w:p>
    <w:p w14:paraId="5B4F7741">
      <w:pPr>
        <w:pStyle w:val="2"/>
        <w:spacing w:line="271" w:lineRule="auto"/>
      </w:pPr>
    </w:p>
    <w:p w14:paraId="7CB2C366">
      <w:pPr>
        <w:pStyle w:val="2"/>
        <w:spacing w:line="271" w:lineRule="auto"/>
      </w:pPr>
    </w:p>
    <w:p w14:paraId="49502596">
      <w:pPr>
        <w:spacing w:before="69" w:line="220" w:lineRule="auto"/>
        <w:ind w:left="450"/>
        <w:rPr>
          <w:rFonts w:ascii="宋体" w:hAnsi="宋体" w:eastAsia="宋体" w:cs="宋体"/>
          <w:sz w:val="21"/>
          <w:szCs w:val="21"/>
        </w:rPr>
      </w:pPr>
      <w:r>
        <w:rPr>
          <w:rFonts w:ascii="宋体" w:hAnsi="宋体" w:eastAsia="宋体" w:cs="宋体"/>
          <w:spacing w:val="-8"/>
          <w:sz w:val="21"/>
          <w:szCs w:val="21"/>
        </w:rPr>
        <w:t>总监理工程师：</w:t>
      </w:r>
    </w:p>
    <w:p w14:paraId="70A97911">
      <w:pPr>
        <w:spacing w:before="155" w:line="220" w:lineRule="auto"/>
        <w:ind w:left="444"/>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2"/>
          <w:sz w:val="21"/>
          <w:szCs w:val="21"/>
        </w:rPr>
        <w:t xml:space="preserve">    </w:t>
      </w:r>
      <w:r>
        <w:rPr>
          <w:rFonts w:ascii="宋体" w:hAnsi="宋体" w:eastAsia="宋体" w:cs="宋体"/>
          <w:spacing w:val="-7"/>
          <w:sz w:val="21"/>
          <w:szCs w:val="21"/>
        </w:rPr>
        <w:t>名</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481BAB52">
      <w:pPr>
        <w:spacing w:before="140" w:line="220" w:lineRule="auto"/>
        <w:ind w:left="445"/>
        <w:rPr>
          <w:rFonts w:ascii="宋体" w:hAnsi="宋体" w:eastAsia="宋体" w:cs="宋体"/>
          <w:sz w:val="21"/>
          <w:szCs w:val="21"/>
        </w:rPr>
      </w:pPr>
      <w:r>
        <w:rPr>
          <w:rFonts w:ascii="宋体" w:hAnsi="宋体" w:eastAsia="宋体" w:cs="宋体"/>
          <w:spacing w:val="-7"/>
          <w:sz w:val="21"/>
          <w:szCs w:val="21"/>
        </w:rPr>
        <w:t>职</w:t>
      </w:r>
      <w:r>
        <w:rPr>
          <w:rFonts w:ascii="宋体" w:hAnsi="宋体" w:eastAsia="宋体" w:cs="宋体"/>
          <w:spacing w:val="2"/>
          <w:sz w:val="21"/>
          <w:szCs w:val="21"/>
        </w:rPr>
        <w:t xml:space="preserve">    </w:t>
      </w:r>
      <w:r>
        <w:rPr>
          <w:rFonts w:ascii="宋体" w:hAnsi="宋体" w:eastAsia="宋体" w:cs="宋体"/>
          <w:spacing w:val="-7"/>
          <w:sz w:val="21"/>
          <w:szCs w:val="21"/>
        </w:rPr>
        <w:t>务</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23F2C242">
      <w:pPr>
        <w:spacing w:before="156" w:line="219" w:lineRule="auto"/>
        <w:ind w:left="445"/>
        <w:rPr>
          <w:rFonts w:ascii="宋体" w:hAnsi="宋体" w:eastAsia="宋体" w:cs="宋体"/>
          <w:sz w:val="21"/>
          <w:szCs w:val="21"/>
        </w:rPr>
      </w:pPr>
      <w:r>
        <w:rPr>
          <w:rFonts w:ascii="宋体" w:hAnsi="宋体" w:eastAsia="宋体" w:cs="宋体"/>
          <w:spacing w:val="-1"/>
          <w:sz w:val="21"/>
          <w:szCs w:val="21"/>
        </w:rPr>
        <w:t>监理工程师执业资格证书号</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35023F0C">
      <w:pPr>
        <w:spacing w:before="155" w:line="222" w:lineRule="auto"/>
        <w:ind w:left="445"/>
        <w:rPr>
          <w:rFonts w:ascii="宋体" w:hAnsi="宋体" w:eastAsia="宋体" w:cs="宋体"/>
          <w:sz w:val="21"/>
          <w:szCs w:val="21"/>
        </w:rPr>
      </w:pPr>
      <w:r>
        <w:rPr>
          <w:rFonts w:ascii="宋体" w:hAnsi="宋体" w:eastAsia="宋体" w:cs="宋体"/>
          <w:spacing w:val="-2"/>
          <w:sz w:val="21"/>
          <w:szCs w:val="21"/>
        </w:rPr>
        <w:t>联系电话</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2FC90414">
      <w:pPr>
        <w:spacing w:before="138" w:line="220" w:lineRule="auto"/>
        <w:ind w:left="469"/>
        <w:rPr>
          <w:rFonts w:ascii="宋体" w:hAnsi="宋体" w:eastAsia="宋体" w:cs="宋体"/>
          <w:sz w:val="21"/>
          <w:szCs w:val="21"/>
        </w:rPr>
      </w:pPr>
      <w:r>
        <w:rPr>
          <w:rFonts w:ascii="宋体" w:hAnsi="宋体" w:eastAsia="宋体" w:cs="宋体"/>
          <w:spacing w:val="-7"/>
          <w:sz w:val="21"/>
          <w:szCs w:val="21"/>
        </w:rPr>
        <w:t>电子信箱</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p>
    <w:p w14:paraId="52748770">
      <w:pPr>
        <w:spacing w:before="155" w:line="220" w:lineRule="auto"/>
        <w:ind w:left="444"/>
        <w:rPr>
          <w:rFonts w:ascii="宋体" w:hAnsi="宋体" w:eastAsia="宋体" w:cs="宋体"/>
          <w:sz w:val="21"/>
          <w:szCs w:val="21"/>
        </w:rPr>
      </w:pPr>
      <w:r>
        <w:rPr>
          <w:rFonts w:ascii="宋体" w:hAnsi="宋体" w:eastAsia="宋体" w:cs="宋体"/>
          <w:spacing w:val="-2"/>
          <w:sz w:val="21"/>
          <w:szCs w:val="21"/>
        </w:rPr>
        <w:t>通信地址</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p>
    <w:p w14:paraId="7596FEE9">
      <w:pPr>
        <w:spacing w:before="156" w:line="220" w:lineRule="auto"/>
        <w:ind w:left="448"/>
        <w:rPr>
          <w:rFonts w:ascii="宋体" w:hAnsi="宋体" w:eastAsia="宋体" w:cs="宋体"/>
          <w:sz w:val="21"/>
          <w:szCs w:val="21"/>
        </w:rPr>
      </w:pPr>
      <w:r>
        <w:rPr>
          <w:rFonts w:ascii="宋体" w:hAnsi="宋体" w:eastAsia="宋体" w:cs="宋体"/>
          <w:sz w:val="21"/>
          <w:szCs w:val="21"/>
        </w:rPr>
        <w:t>关于监理人的其他约定：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E346527">
      <w:pPr>
        <w:spacing w:before="114" w:line="233" w:lineRule="auto"/>
        <w:ind w:left="21"/>
        <w:outlineLvl w:val="1"/>
        <w:rPr>
          <w:rFonts w:ascii="黑体" w:hAnsi="黑体" w:eastAsia="黑体" w:cs="黑体"/>
          <w:sz w:val="24"/>
          <w:szCs w:val="24"/>
        </w:rPr>
      </w:pPr>
      <w:bookmarkStart w:id="516" w:name="bookmark457"/>
      <w:bookmarkEnd w:id="516"/>
      <w:r>
        <w:rPr>
          <w:rFonts w:ascii="Times New Roman" w:hAnsi="Times New Roman" w:eastAsia="Times New Roman" w:cs="Times New Roman"/>
          <w:b/>
          <w:bCs/>
          <w:spacing w:val="1"/>
          <w:sz w:val="24"/>
          <w:szCs w:val="24"/>
        </w:rPr>
        <w:t>4.4</w:t>
      </w:r>
      <w:r>
        <w:rPr>
          <w:rFonts w:ascii="Times New Roman" w:hAnsi="Times New Roman" w:eastAsia="Times New Roman" w:cs="Times New Roman"/>
          <w:b/>
          <w:bCs/>
          <w:spacing w:val="9"/>
          <w:sz w:val="24"/>
          <w:szCs w:val="24"/>
        </w:rPr>
        <w:t xml:space="preserve">  </w:t>
      </w:r>
      <w:r>
        <w:rPr>
          <w:rFonts w:ascii="黑体" w:hAnsi="黑体" w:eastAsia="黑体" w:cs="黑体"/>
          <w:b/>
          <w:bCs/>
          <w:spacing w:val="1"/>
          <w:sz w:val="24"/>
          <w:szCs w:val="24"/>
        </w:rPr>
        <w:t>商定或确定</w:t>
      </w:r>
    </w:p>
    <w:p w14:paraId="69EF04CB">
      <w:pPr>
        <w:spacing w:before="128" w:line="350" w:lineRule="auto"/>
        <w:ind w:left="29" w:firstLine="414"/>
        <w:rPr>
          <w:rFonts w:ascii="宋体" w:hAnsi="宋体" w:eastAsia="宋体" w:cs="宋体"/>
          <w:sz w:val="21"/>
          <w:szCs w:val="21"/>
        </w:rPr>
      </w:pPr>
      <w:r>
        <w:rPr>
          <w:rFonts w:ascii="宋体" w:hAnsi="宋体" w:eastAsia="宋体" w:cs="宋体"/>
          <w:spacing w:val="-2"/>
          <w:sz w:val="21"/>
          <w:szCs w:val="21"/>
        </w:rPr>
        <w:t>在发包人和承包人不能通过协商达成一致意见时，发包人授权监理人对以下</w:t>
      </w:r>
      <w:r>
        <w:rPr>
          <w:rFonts w:ascii="宋体" w:hAnsi="宋体" w:eastAsia="宋体" w:cs="宋体"/>
          <w:spacing w:val="-3"/>
          <w:sz w:val="21"/>
          <w:szCs w:val="21"/>
        </w:rPr>
        <w:t>事项进行确</w:t>
      </w:r>
      <w:r>
        <w:rPr>
          <w:rFonts w:ascii="宋体" w:hAnsi="宋体" w:eastAsia="宋体" w:cs="宋体"/>
          <w:spacing w:val="-16"/>
          <w:sz w:val="21"/>
          <w:szCs w:val="21"/>
        </w:rPr>
        <w:t>定：</w:t>
      </w:r>
    </w:p>
    <w:p w14:paraId="127202C9">
      <w:pPr>
        <w:spacing w:before="1" w:line="356" w:lineRule="auto"/>
        <w:ind w:left="450" w:right="3541"/>
        <w:rPr>
          <w:rFonts w:ascii="宋体" w:hAnsi="宋体" w:eastAsia="宋体" w:cs="宋体"/>
          <w:sz w:val="21"/>
          <w:szCs w:val="21"/>
        </w:rPr>
      </w:pPr>
      <w:r>
        <w:rPr>
          <w:rFonts w:ascii="宋体" w:hAnsi="宋体" w:eastAsia="宋体" w:cs="宋体"/>
          <w:spacing w:val="-7"/>
          <w:sz w:val="21"/>
          <w:szCs w:val="21"/>
        </w:rPr>
        <w:t>（1</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r>
        <w:rPr>
          <w:rFonts w:ascii="宋体" w:hAnsi="宋体" w:eastAsia="宋体" w:cs="宋体"/>
          <w:spacing w:val="5"/>
          <w:sz w:val="21"/>
          <w:szCs w:val="21"/>
        </w:rPr>
        <w:t xml:space="preserve"> </w:t>
      </w:r>
      <w:r>
        <w:rPr>
          <w:rFonts w:ascii="宋体" w:hAnsi="宋体" w:eastAsia="宋体" w:cs="宋体"/>
          <w:spacing w:val="-7"/>
          <w:sz w:val="21"/>
          <w:szCs w:val="21"/>
        </w:rPr>
        <w:t>（2</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p>
    <w:p w14:paraId="4867E9F9">
      <w:pPr>
        <w:spacing w:before="1" w:line="231" w:lineRule="auto"/>
        <w:ind w:left="450"/>
        <w:rPr>
          <w:rFonts w:ascii="宋体" w:hAnsi="宋体" w:eastAsia="宋体" w:cs="宋体"/>
          <w:sz w:val="21"/>
          <w:szCs w:val="21"/>
        </w:rPr>
      </w:pPr>
      <w:r>
        <w:rPr>
          <w:rFonts w:ascii="宋体" w:hAnsi="宋体" w:eastAsia="宋体" w:cs="宋体"/>
          <w:spacing w:val="-4"/>
          <w:sz w:val="21"/>
          <w:szCs w:val="21"/>
        </w:rPr>
        <w:t>（3）</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0F76778E">
      <w:pPr>
        <w:spacing w:before="166" w:line="237" w:lineRule="auto"/>
        <w:ind w:left="25"/>
        <w:outlineLvl w:val="0"/>
        <w:rPr>
          <w:rFonts w:ascii="黑体" w:hAnsi="黑体" w:eastAsia="黑体" w:cs="黑体"/>
          <w:sz w:val="28"/>
          <w:szCs w:val="28"/>
        </w:rPr>
      </w:pPr>
      <w:bookmarkStart w:id="517" w:name="bookmark459"/>
      <w:bookmarkEnd w:id="517"/>
      <w:bookmarkStart w:id="518" w:name="bookmark458"/>
      <w:bookmarkEnd w:id="518"/>
      <w:r>
        <w:rPr>
          <w:rFonts w:ascii="Times New Roman" w:hAnsi="Times New Roman" w:eastAsia="Times New Roman" w:cs="Times New Roman"/>
          <w:b/>
          <w:bCs/>
          <w:spacing w:val="7"/>
          <w:sz w:val="28"/>
          <w:szCs w:val="28"/>
        </w:rPr>
        <w:t>5.</w:t>
      </w:r>
      <w:r>
        <w:rPr>
          <w:rFonts w:ascii="Times New Roman" w:hAnsi="Times New Roman" w:eastAsia="Times New Roman" w:cs="Times New Roman"/>
          <w:b/>
          <w:bCs/>
          <w:spacing w:val="67"/>
          <w:sz w:val="28"/>
          <w:szCs w:val="28"/>
        </w:rPr>
        <w:t xml:space="preserve"> </w:t>
      </w:r>
      <w:r>
        <w:rPr>
          <w:rFonts w:ascii="黑体" w:hAnsi="黑体" w:eastAsia="黑体" w:cs="黑体"/>
          <w:b/>
          <w:bCs/>
          <w:spacing w:val="7"/>
          <w:sz w:val="28"/>
          <w:szCs w:val="28"/>
        </w:rPr>
        <w:t>工程质量</w:t>
      </w:r>
    </w:p>
    <w:p w14:paraId="4D55BB96">
      <w:pPr>
        <w:spacing w:before="86" w:line="233" w:lineRule="auto"/>
        <w:ind w:left="24"/>
        <w:outlineLvl w:val="1"/>
        <w:rPr>
          <w:rFonts w:ascii="黑体" w:hAnsi="黑体" w:eastAsia="黑体" w:cs="黑体"/>
          <w:sz w:val="24"/>
          <w:szCs w:val="24"/>
        </w:rPr>
      </w:pPr>
      <w:bookmarkStart w:id="519" w:name="bookmark706"/>
      <w:bookmarkEnd w:id="519"/>
      <w:r>
        <w:rPr>
          <w:rFonts w:ascii="Times New Roman" w:hAnsi="Times New Roman" w:eastAsia="Times New Roman" w:cs="Times New Roman"/>
          <w:b/>
          <w:bCs/>
          <w:spacing w:val="3"/>
          <w:sz w:val="24"/>
          <w:szCs w:val="24"/>
        </w:rPr>
        <w:t xml:space="preserve">5.1  </w:t>
      </w:r>
      <w:r>
        <w:rPr>
          <w:rFonts w:ascii="黑体" w:hAnsi="黑体" w:eastAsia="黑体" w:cs="黑体"/>
          <w:b/>
          <w:bCs/>
          <w:spacing w:val="3"/>
          <w:sz w:val="24"/>
          <w:szCs w:val="24"/>
        </w:rPr>
        <w:t>质量要求</w:t>
      </w:r>
    </w:p>
    <w:p w14:paraId="756C684B">
      <w:pPr>
        <w:spacing w:before="112" w:line="220" w:lineRule="auto"/>
        <w:ind w:left="448"/>
        <w:rPr>
          <w:rFonts w:ascii="宋体" w:hAnsi="宋体" w:eastAsia="宋体" w:cs="宋体"/>
          <w:sz w:val="21"/>
          <w:szCs w:val="21"/>
        </w:rPr>
      </w:pPr>
      <w:r>
        <w:rPr>
          <w:rFonts w:ascii="宋体" w:hAnsi="宋体" w:eastAsia="宋体" w:cs="宋体"/>
          <w:spacing w:val="-4"/>
          <w:sz w:val="21"/>
          <w:szCs w:val="21"/>
        </w:rPr>
        <w:t>5.1.1 特殊质量标准和要求：</w:t>
      </w:r>
    </w:p>
    <w:p w14:paraId="48418926">
      <w:pPr>
        <w:spacing w:line="220" w:lineRule="auto"/>
        <w:rPr>
          <w:rFonts w:ascii="宋体" w:hAnsi="宋体" w:eastAsia="宋体" w:cs="宋体"/>
          <w:sz w:val="21"/>
          <w:szCs w:val="21"/>
        </w:rPr>
        <w:sectPr>
          <w:headerReference r:id="rId217" w:type="default"/>
          <w:footerReference r:id="rId218" w:type="default"/>
          <w:pgSz w:w="11910" w:h="16845"/>
          <w:pgMar w:top="2345" w:right="1779" w:bottom="1110" w:left="1786" w:header="1647" w:footer="883" w:gutter="0"/>
          <w:cols w:space="720" w:num="1"/>
        </w:sectPr>
      </w:pPr>
    </w:p>
    <w:p w14:paraId="647650B8">
      <w:pPr>
        <w:spacing w:before="26" w:line="220" w:lineRule="auto"/>
        <w:ind w:left="448"/>
        <w:rPr>
          <w:rFonts w:ascii="宋体" w:hAnsi="宋体" w:eastAsia="宋体" w:cs="宋体"/>
          <w:sz w:val="21"/>
          <w:szCs w:val="21"/>
        </w:rPr>
      </w:pPr>
      <w:r>
        <w:pict>
          <v:shape id="_x0000_s1101" o:spid="_x0000_s1101" style="position:absolute;left:0pt;margin-left:21.8pt;margin-top:32.05pt;height:0.75pt;width:47.3pt;z-index:251743232;mso-width-relative:page;mso-height-relative:page;" fillcolor="#000000" filled="t" stroked="f" coordsize="945,15" path="m0,15l945,15,945,0,0,0,0,15xe">
            <v:path/>
            <v:fill on="t" focussize="0,0"/>
            <v:stroke on="f"/>
            <v:imagedata o:title=""/>
            <o:lock v:ext="edit"/>
          </v:shape>
        </w:pict>
      </w:r>
      <w:r>
        <w:rPr>
          <w:rFonts w:ascii="宋体" w:hAnsi="宋体" w:eastAsia="宋体" w:cs="宋体"/>
          <w:spacing w:val="-5"/>
          <w:sz w:val="21"/>
          <w:szCs w:val="21"/>
        </w:rPr>
        <w:t>关于工程奖项的约定：</w:t>
      </w:r>
    </w:p>
    <w:p w14:paraId="5489B2BC">
      <w:pPr>
        <w:spacing w:before="106"/>
      </w:pPr>
    </w:p>
    <w:p w14:paraId="08EEA217">
      <w:pPr>
        <w:spacing w:before="106"/>
      </w:pPr>
    </w:p>
    <w:tbl>
      <w:tblPr>
        <w:tblStyle w:val="5"/>
        <w:tblW w:w="71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118"/>
      </w:tblGrid>
      <w:tr w14:paraId="08B368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657" w:hRule="atLeast"/>
        </w:trPr>
        <w:tc>
          <w:tcPr>
            <w:tcW w:w="7118" w:type="dxa"/>
            <w:tcBorders>
              <w:top w:val="single" w:color="000000" w:sz="6" w:space="0"/>
              <w:bottom w:val="single" w:color="000000" w:sz="6" w:space="0"/>
            </w:tcBorders>
            <w:vAlign w:val="top"/>
          </w:tcPr>
          <w:p w14:paraId="686E34BA">
            <w:pPr>
              <w:spacing w:before="213" w:line="233" w:lineRule="auto"/>
              <w:ind w:left="8"/>
              <w:outlineLvl w:val="1"/>
              <w:rPr>
                <w:rFonts w:ascii="黑体" w:hAnsi="黑体" w:eastAsia="黑体" w:cs="黑体"/>
                <w:sz w:val="24"/>
                <w:szCs w:val="24"/>
              </w:rPr>
            </w:pPr>
            <w:r>
              <w:pict>
                <v:shape id="_x0000_s1102" o:spid="_x0000_s1102" o:spt="202" type="#_x0000_t202" style="position:absolute;left:0pt;margin-left:352.65pt;margin-top:-1pt;height:7.3pt;width:9.55pt;mso-position-horizontal-relative:page;mso-position-vertical-relative:page;z-index:251748352;mso-width-relative:page;mso-height-relative:page;" filled="f" stroked="f" coordsize="21600,21600">
                  <v:path/>
                  <v:fill on="f" focussize="0,0"/>
                  <v:stroke on="f"/>
                  <v:imagedata o:title=""/>
                  <o:lock v:ext="edit" aspectratio="f"/>
                  <v:textbox inset="0mm,0mm,0mm,0mm">
                    <w:txbxContent>
                      <w:p w14:paraId="669E7F3F">
                        <w:pPr>
                          <w:pStyle w:val="6"/>
                          <w:spacing w:before="20" w:line="105" w:lineRule="exact"/>
                          <w:jc w:val="right"/>
                          <w:rPr>
                            <w:sz w:val="21"/>
                            <w:szCs w:val="21"/>
                          </w:rPr>
                        </w:pPr>
                        <w:r>
                          <w:rPr>
                            <w:spacing w:val="-56"/>
                            <w:w w:val="98"/>
                            <w:position w:val="1"/>
                            <w:sz w:val="21"/>
                            <w:szCs w:val="21"/>
                          </w:rPr>
                          <w:t>。</w:t>
                        </w:r>
                      </w:p>
                    </w:txbxContent>
                  </v:textbox>
                </v:shape>
              </w:pict>
            </w:r>
            <w:r>
              <w:pict>
                <v:shape id="_x0000_s1103" o:spid="_x0000_s1103" o:spt="202" type="#_x0000_t202" style="position:absolute;left:0pt;margin-left:352.65pt;margin-top:78.55pt;height:7.3pt;width:9.55pt;mso-position-horizontal-relative:page;mso-position-vertical-relative:page;z-index:251755520;mso-width-relative:page;mso-height-relative:page;" filled="f" stroked="f" coordsize="21600,21600">
                  <v:path/>
                  <v:fill on="f" focussize="0,0"/>
                  <v:stroke on="f"/>
                  <v:imagedata o:title=""/>
                  <o:lock v:ext="edit" aspectratio="f"/>
                  <v:textbox inset="0mm,0mm,0mm,0mm">
                    <w:txbxContent>
                      <w:p w14:paraId="28518A50">
                        <w:pPr>
                          <w:pStyle w:val="6"/>
                          <w:spacing w:before="20" w:line="105" w:lineRule="exact"/>
                          <w:jc w:val="right"/>
                          <w:rPr>
                            <w:sz w:val="21"/>
                            <w:szCs w:val="21"/>
                          </w:rPr>
                        </w:pPr>
                        <w:r>
                          <w:rPr>
                            <w:spacing w:val="-56"/>
                            <w:w w:val="98"/>
                            <w:position w:val="1"/>
                            <w:sz w:val="21"/>
                            <w:szCs w:val="21"/>
                          </w:rPr>
                          <w:t>。</w:t>
                        </w:r>
                      </w:p>
                    </w:txbxContent>
                  </v:textbox>
                </v:shape>
              </w:pict>
            </w:r>
            <w:bookmarkStart w:id="520" w:name="bookmark460"/>
            <w:bookmarkEnd w:id="520"/>
            <w:r>
              <w:rPr>
                <w:rFonts w:ascii="Times New Roman" w:hAnsi="Times New Roman" w:eastAsia="Times New Roman" w:cs="Times New Roman"/>
                <w:b/>
                <w:bCs/>
                <w:spacing w:val="2"/>
                <w:sz w:val="24"/>
                <w:szCs w:val="24"/>
              </w:rPr>
              <w:t xml:space="preserve">5.3  </w:t>
            </w:r>
            <w:r>
              <w:rPr>
                <w:rFonts w:ascii="黑体" w:hAnsi="黑体" w:eastAsia="黑体" w:cs="黑体"/>
                <w:b/>
                <w:bCs/>
                <w:spacing w:val="2"/>
                <w:sz w:val="24"/>
                <w:szCs w:val="24"/>
              </w:rPr>
              <w:t>隐蔽工程检查</w:t>
            </w:r>
          </w:p>
          <w:p w14:paraId="467264A0">
            <w:pPr>
              <w:pStyle w:val="6"/>
              <w:spacing w:before="128" w:line="220" w:lineRule="auto"/>
              <w:ind w:left="432"/>
              <w:rPr>
                <w:sz w:val="21"/>
                <w:szCs w:val="21"/>
              </w:rPr>
            </w:pPr>
            <w:r>
              <w:rPr>
                <w:spacing w:val="-2"/>
                <w:sz w:val="21"/>
                <w:szCs w:val="21"/>
              </w:rPr>
              <w:t>5.3.2</w:t>
            </w:r>
            <w:r>
              <w:rPr>
                <w:spacing w:val="-37"/>
                <w:sz w:val="21"/>
                <w:szCs w:val="21"/>
              </w:rPr>
              <w:t xml:space="preserve"> </w:t>
            </w:r>
            <w:r>
              <w:rPr>
                <w:spacing w:val="-2"/>
                <w:sz w:val="21"/>
                <w:szCs w:val="21"/>
              </w:rPr>
              <w:t>承包人提前通知监理人隐蔽工程检查的期限的约定：</w:t>
            </w:r>
          </w:p>
          <w:p w14:paraId="3F50F2F5">
            <w:pPr>
              <w:tabs>
                <w:tab w:val="left" w:pos="1366"/>
              </w:tabs>
              <w:spacing w:before="176"/>
              <w:ind w:left="420"/>
              <w:rPr>
                <w:rFonts w:ascii="Arial"/>
                <w:sz w:val="21"/>
              </w:rPr>
            </w:pPr>
            <w:r>
              <w:rPr>
                <w:rFonts w:ascii="Arial" w:hAnsi="Arial" w:eastAsia="Arial" w:cs="Arial"/>
                <w:sz w:val="21"/>
                <w:szCs w:val="21"/>
                <w:u w:val="single" w:color="auto"/>
              </w:rPr>
              <w:tab/>
            </w:r>
          </w:p>
        </w:tc>
      </w:tr>
      <w:tr w14:paraId="2227E8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94" w:hRule="atLeast"/>
        </w:trPr>
        <w:tc>
          <w:tcPr>
            <w:tcW w:w="7118" w:type="dxa"/>
            <w:tcBorders>
              <w:top w:val="single" w:color="000000" w:sz="6" w:space="0"/>
              <w:bottom w:val="single" w:color="000000" w:sz="6" w:space="0"/>
            </w:tcBorders>
            <w:vAlign w:val="top"/>
          </w:tcPr>
          <w:p w14:paraId="33ADD2B2">
            <w:pPr>
              <w:pStyle w:val="6"/>
              <w:spacing w:before="174" w:line="358" w:lineRule="auto"/>
              <w:ind w:left="431" w:right="312" w:hanging="2"/>
              <w:rPr>
                <w:sz w:val="21"/>
                <w:szCs w:val="21"/>
              </w:rPr>
            </w:pPr>
            <w:r>
              <w:pict>
                <v:shape id="_x0000_s1104" o:spid="_x0000_s1104" style="position:absolute;left:0pt;margin-left:21.05pt;margin-top:125.05pt;height:0.8pt;width:47.3pt;mso-position-horizontal-relative:page;mso-position-vertical-relative:page;z-index:251742208;mso-width-relative:page;mso-height-relative:page;" fillcolor="#000000" filled="t" stroked="f" coordsize="945,16" path="m0,15l945,15,945,0,0,0,0,15xe">
                  <v:path/>
                  <v:fill on="t" focussize="0,0"/>
                  <v:stroke on="f"/>
                  <v:imagedata o:title=""/>
                  <o:lock v:ext="edit"/>
                </v:shape>
              </w:pict>
            </w:r>
            <w:r>
              <w:pict>
                <v:shape id="_x0000_s1105" o:spid="_x0000_s1105" o:spt="202" type="#_x0000_t202" style="position:absolute;left:0pt;margin-left:352.65pt;margin-top:140.6pt;height:7.3pt;width:9.55pt;mso-position-horizontal-relative:page;mso-position-vertical-relative:page;z-index:251753472;mso-width-relative:page;mso-height-relative:page;" filled="f" stroked="f" coordsize="21600,21600">
                  <v:path/>
                  <v:fill on="f" focussize="0,0"/>
                  <v:stroke on="f"/>
                  <v:imagedata o:title=""/>
                  <o:lock v:ext="edit" aspectratio="f"/>
                  <v:textbox inset="0mm,0mm,0mm,0mm">
                    <w:txbxContent>
                      <w:p w14:paraId="572FCB52">
                        <w:pPr>
                          <w:pStyle w:val="6"/>
                          <w:spacing w:before="20" w:line="105" w:lineRule="exact"/>
                          <w:jc w:val="right"/>
                          <w:rPr>
                            <w:sz w:val="21"/>
                            <w:szCs w:val="21"/>
                          </w:rPr>
                        </w:pPr>
                        <w:r>
                          <w:rPr>
                            <w:spacing w:val="-56"/>
                            <w:w w:val="98"/>
                            <w:position w:val="1"/>
                            <w:sz w:val="21"/>
                            <w:szCs w:val="21"/>
                          </w:rPr>
                          <w:t>。</w:t>
                        </w:r>
                      </w:p>
                    </w:txbxContent>
                  </v:textbox>
                </v:shape>
              </w:pict>
            </w:r>
            <w:r>
              <w:rPr>
                <w:spacing w:val="-1"/>
                <w:sz w:val="21"/>
                <w:szCs w:val="21"/>
              </w:rPr>
              <w:t>监理人不能按时进行检查时，应提前</w:t>
            </w:r>
            <w:r>
              <w:rPr>
                <w:spacing w:val="-1"/>
                <w:sz w:val="21"/>
                <w:szCs w:val="21"/>
                <w:u w:val="single" w:color="auto"/>
              </w:rPr>
              <w:t xml:space="preserve">       </w:t>
            </w:r>
            <w:r>
              <w:rPr>
                <w:spacing w:val="-91"/>
                <w:sz w:val="21"/>
                <w:szCs w:val="21"/>
              </w:rPr>
              <w:t xml:space="preserve"> </w:t>
            </w:r>
            <w:r>
              <w:rPr>
                <w:spacing w:val="-2"/>
                <w:sz w:val="21"/>
                <w:szCs w:val="21"/>
              </w:rPr>
              <w:t>小时提交书面延期要求。关于延期最长不得超过：</w:t>
            </w:r>
            <w:r>
              <w:rPr>
                <w:spacing w:val="-2"/>
                <w:sz w:val="21"/>
                <w:szCs w:val="21"/>
                <w:u w:val="single" w:color="auto"/>
              </w:rPr>
              <w:t xml:space="preserve">         </w:t>
            </w:r>
            <w:r>
              <w:rPr>
                <w:spacing w:val="-83"/>
                <w:sz w:val="21"/>
                <w:szCs w:val="21"/>
              </w:rPr>
              <w:t xml:space="preserve"> </w:t>
            </w:r>
            <w:r>
              <w:rPr>
                <w:spacing w:val="-2"/>
                <w:sz w:val="21"/>
                <w:szCs w:val="21"/>
              </w:rPr>
              <w:t>小时。</w:t>
            </w:r>
          </w:p>
          <w:p w14:paraId="6D7FCF19">
            <w:pPr>
              <w:spacing w:before="20" w:line="236" w:lineRule="auto"/>
              <w:ind w:left="10"/>
              <w:outlineLvl w:val="0"/>
              <w:rPr>
                <w:rFonts w:ascii="黑体" w:hAnsi="黑体" w:eastAsia="黑体" w:cs="黑体"/>
                <w:sz w:val="28"/>
                <w:szCs w:val="28"/>
              </w:rPr>
            </w:pPr>
            <w:bookmarkStart w:id="521" w:name="bookmark461"/>
            <w:bookmarkEnd w:id="521"/>
            <w:bookmarkStart w:id="522" w:name="bookmark462"/>
            <w:bookmarkEnd w:id="522"/>
            <w:r>
              <w:rPr>
                <w:rFonts w:ascii="Times New Roman" w:hAnsi="Times New Roman" w:eastAsia="Times New Roman" w:cs="Times New Roman"/>
                <w:b/>
                <w:bCs/>
                <w:spacing w:val="1"/>
                <w:sz w:val="28"/>
                <w:szCs w:val="28"/>
              </w:rPr>
              <w:t xml:space="preserve">6.  </w:t>
            </w:r>
            <w:r>
              <w:rPr>
                <w:rFonts w:ascii="黑体" w:hAnsi="黑体" w:eastAsia="黑体" w:cs="黑体"/>
                <w:b/>
                <w:bCs/>
                <w:spacing w:val="1"/>
                <w:sz w:val="28"/>
                <w:szCs w:val="28"/>
              </w:rPr>
              <w:t>安全文明施工与环境保护</w:t>
            </w:r>
          </w:p>
          <w:p w14:paraId="302F61E6">
            <w:pPr>
              <w:spacing w:before="86" w:line="232" w:lineRule="auto"/>
              <w:ind w:left="8"/>
              <w:outlineLvl w:val="1"/>
              <w:rPr>
                <w:rFonts w:ascii="黑体" w:hAnsi="黑体" w:eastAsia="黑体" w:cs="黑体"/>
                <w:sz w:val="24"/>
                <w:szCs w:val="24"/>
              </w:rPr>
            </w:pPr>
            <w:bookmarkStart w:id="523" w:name="bookmark708"/>
            <w:bookmarkEnd w:id="523"/>
            <w:r>
              <w:rPr>
                <w:rFonts w:ascii="Times New Roman" w:hAnsi="Times New Roman" w:eastAsia="Times New Roman" w:cs="Times New Roman"/>
                <w:b/>
                <w:bCs/>
                <w:sz w:val="24"/>
                <w:szCs w:val="24"/>
              </w:rPr>
              <w:t>6.1</w:t>
            </w:r>
            <w:r>
              <w:rPr>
                <w:rFonts w:ascii="Times New Roman" w:hAnsi="Times New Roman" w:eastAsia="Times New Roman" w:cs="Times New Roman"/>
                <w:b/>
                <w:bCs/>
                <w:spacing w:val="22"/>
                <w:sz w:val="24"/>
                <w:szCs w:val="24"/>
              </w:rPr>
              <w:t xml:space="preserve"> </w:t>
            </w:r>
            <w:r>
              <w:rPr>
                <w:rFonts w:ascii="黑体" w:hAnsi="黑体" w:eastAsia="黑体" w:cs="黑体"/>
                <w:b/>
                <w:bCs/>
                <w:sz w:val="24"/>
                <w:szCs w:val="24"/>
              </w:rPr>
              <w:t>安全文明施工</w:t>
            </w:r>
          </w:p>
          <w:p w14:paraId="06D41416">
            <w:pPr>
              <w:pStyle w:val="6"/>
              <w:spacing w:before="114" w:line="220" w:lineRule="auto"/>
              <w:ind w:left="430"/>
              <w:rPr>
                <w:sz w:val="21"/>
                <w:szCs w:val="21"/>
              </w:rPr>
            </w:pPr>
            <w:r>
              <w:rPr>
                <w:spacing w:val="-2"/>
                <w:sz w:val="21"/>
                <w:szCs w:val="21"/>
              </w:rPr>
              <w:t>6.1.1 项目安全生产的达标目标及相应事项的约定：</w:t>
            </w:r>
          </w:p>
        </w:tc>
      </w:tr>
      <w:tr w14:paraId="059240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84" w:hRule="atLeast"/>
        </w:trPr>
        <w:tc>
          <w:tcPr>
            <w:tcW w:w="7118" w:type="dxa"/>
            <w:tcBorders>
              <w:top w:val="single" w:color="000000" w:sz="6" w:space="0"/>
              <w:bottom w:val="single" w:color="000000" w:sz="6" w:space="0"/>
            </w:tcBorders>
            <w:vAlign w:val="top"/>
          </w:tcPr>
          <w:p w14:paraId="722C0B20">
            <w:pPr>
              <w:pStyle w:val="6"/>
              <w:spacing w:before="162" w:line="220" w:lineRule="auto"/>
              <w:ind w:left="430"/>
              <w:rPr>
                <w:sz w:val="21"/>
                <w:szCs w:val="21"/>
              </w:rPr>
            </w:pPr>
            <w:r>
              <w:pict>
                <v:shape id="_x0000_s1106" o:spid="_x0000_s1106" style="position:absolute;left:0pt;margin-left:21.05pt;margin-top:39.65pt;height:0.75pt;width:47.3pt;mso-position-horizontal-relative:page;mso-position-vertical-relative:page;z-index:251744256;mso-width-relative:page;mso-height-relative:page;" fillcolor="#000000" filled="t" stroked="f" coordsize="945,15" path="m0,15l945,15,945,0,0,0,0,15xe">
                  <v:path/>
                  <v:fill on="t" focussize="0,0"/>
                  <v:stroke on="f"/>
                  <v:imagedata o:title=""/>
                  <o:lock v:ext="edit"/>
                </v:shape>
              </w:pict>
            </w:r>
            <w:r>
              <w:pict>
                <v:shape id="_x0000_s1107" o:spid="_x0000_s1107" o:spt="202" type="#_x0000_t202" style="position:absolute;left:0pt;margin-left:352.65pt;margin-top:55.2pt;height:7.3pt;width:9.55pt;mso-position-horizontal-relative:page;mso-position-vertical-relative:page;z-index:251752448;mso-width-relative:page;mso-height-relative:page;" filled="f" stroked="f" coordsize="21600,21600">
                  <v:path/>
                  <v:fill on="f" focussize="0,0"/>
                  <v:stroke on="f"/>
                  <v:imagedata o:title=""/>
                  <o:lock v:ext="edit" aspectratio="f"/>
                  <v:textbox inset="0mm,0mm,0mm,0mm">
                    <w:txbxContent>
                      <w:p w14:paraId="381C4050">
                        <w:pPr>
                          <w:pStyle w:val="6"/>
                          <w:spacing w:before="20" w:line="105" w:lineRule="exact"/>
                          <w:jc w:val="right"/>
                          <w:rPr>
                            <w:sz w:val="21"/>
                            <w:szCs w:val="21"/>
                          </w:rPr>
                        </w:pPr>
                        <w:r>
                          <w:rPr>
                            <w:spacing w:val="-56"/>
                            <w:w w:val="98"/>
                            <w:position w:val="1"/>
                            <w:sz w:val="21"/>
                            <w:szCs w:val="21"/>
                          </w:rPr>
                          <w:t>。</w:t>
                        </w:r>
                      </w:p>
                    </w:txbxContent>
                  </v:textbox>
                </v:shape>
              </w:pict>
            </w:r>
            <w:r>
              <w:rPr>
                <w:spacing w:val="-3"/>
                <w:sz w:val="21"/>
                <w:szCs w:val="21"/>
              </w:rPr>
              <w:t>6.1.4 关于治安保卫的特别约定：</w:t>
            </w:r>
          </w:p>
        </w:tc>
      </w:tr>
      <w:tr w14:paraId="510279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85" w:hRule="atLeast"/>
        </w:trPr>
        <w:tc>
          <w:tcPr>
            <w:tcW w:w="7118" w:type="dxa"/>
            <w:tcBorders>
              <w:top w:val="single" w:color="000000" w:sz="6" w:space="0"/>
              <w:bottom w:val="single" w:color="000000" w:sz="6" w:space="0"/>
            </w:tcBorders>
            <w:vAlign w:val="top"/>
          </w:tcPr>
          <w:p w14:paraId="335819BF">
            <w:pPr>
              <w:pStyle w:val="6"/>
              <w:spacing w:before="164" w:line="220" w:lineRule="auto"/>
              <w:ind w:left="432"/>
              <w:rPr>
                <w:sz w:val="21"/>
                <w:szCs w:val="21"/>
              </w:rPr>
            </w:pPr>
            <w:r>
              <w:pict>
                <v:shape id="_x0000_s1108" o:spid="_x0000_s1108" style="position:absolute;left:0pt;margin-left:21.05pt;margin-top:39.75pt;height:0.75pt;width:47.3pt;mso-position-horizontal-relative:page;mso-position-vertical-relative:page;z-index:251747328;mso-width-relative:page;mso-height-relative:page;" fillcolor="#000000" filled="t" stroked="f" coordsize="945,15" path="m0,15l945,15,945,0,0,0,0,15xe">
                  <v:path/>
                  <v:fill on="t" focussize="0,0"/>
                  <v:stroke on="f"/>
                  <v:imagedata o:title=""/>
                  <o:lock v:ext="edit"/>
                </v:shape>
              </w:pict>
            </w:r>
            <w:r>
              <w:pict>
                <v:shape id="_x0000_s1109" o:spid="_x0000_s1109" o:spt="202" type="#_x0000_t202" style="position:absolute;left:0pt;margin-left:352.65pt;margin-top:55.25pt;height:7.3pt;width:9.55pt;mso-position-horizontal-relative:page;mso-position-vertical-relative:page;z-index:251754496;mso-width-relative:page;mso-height-relative:page;" filled="f" stroked="f" coordsize="21600,21600">
                  <v:path/>
                  <v:fill on="f" focussize="0,0"/>
                  <v:stroke on="f"/>
                  <v:imagedata o:title=""/>
                  <o:lock v:ext="edit" aspectratio="f"/>
                  <v:textbox inset="0mm,0mm,0mm,0mm">
                    <w:txbxContent>
                      <w:p w14:paraId="3E849499">
                        <w:pPr>
                          <w:pStyle w:val="6"/>
                          <w:spacing w:before="20" w:line="105" w:lineRule="exact"/>
                          <w:jc w:val="right"/>
                          <w:rPr>
                            <w:sz w:val="21"/>
                            <w:szCs w:val="21"/>
                          </w:rPr>
                        </w:pPr>
                        <w:r>
                          <w:rPr>
                            <w:spacing w:val="-56"/>
                            <w:w w:val="98"/>
                            <w:position w:val="1"/>
                            <w:sz w:val="21"/>
                            <w:szCs w:val="21"/>
                          </w:rPr>
                          <w:t>。</w:t>
                        </w:r>
                      </w:p>
                    </w:txbxContent>
                  </v:textbox>
                </v:shape>
              </w:pict>
            </w:r>
            <w:r>
              <w:rPr>
                <w:spacing w:val="-3"/>
                <w:sz w:val="21"/>
                <w:szCs w:val="21"/>
              </w:rPr>
              <w:t>关于编制施工场地治安管理计划的约定：</w:t>
            </w:r>
          </w:p>
        </w:tc>
      </w:tr>
      <w:tr w14:paraId="16DDFB4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74" w:hRule="atLeast"/>
        </w:trPr>
        <w:tc>
          <w:tcPr>
            <w:tcW w:w="7118" w:type="dxa"/>
            <w:tcBorders>
              <w:top w:val="single" w:color="000000" w:sz="6" w:space="0"/>
              <w:bottom w:val="single" w:color="000000" w:sz="6" w:space="0"/>
            </w:tcBorders>
            <w:vAlign w:val="top"/>
          </w:tcPr>
          <w:p w14:paraId="3A1E679D">
            <w:pPr>
              <w:pStyle w:val="6"/>
              <w:spacing w:before="165" w:line="220" w:lineRule="auto"/>
              <w:ind w:left="430"/>
              <w:rPr>
                <w:sz w:val="21"/>
                <w:szCs w:val="21"/>
              </w:rPr>
            </w:pPr>
            <w:r>
              <w:pict>
                <v:shape id="_x0000_s1110" o:spid="_x0000_s1110" style="position:absolute;left:0pt;margin-left:21.05pt;margin-top:60.1pt;height:0.75pt;width:47.3pt;mso-position-horizontal-relative:page;mso-position-vertical-relative:page;z-index:251746304;mso-width-relative:page;mso-height-relative:page;" fillcolor="#000000" filled="t" stroked="f" coordsize="945,15" path="m0,15l945,15,945,0,0,0,0,15xe">
                  <v:path/>
                  <v:fill on="t" focussize="0,0"/>
                  <v:stroke on="f"/>
                  <v:imagedata o:title=""/>
                  <o:lock v:ext="edit"/>
                </v:shape>
              </w:pict>
            </w:r>
            <w:r>
              <w:pict>
                <v:shape id="_x0000_s1111" o:spid="_x0000_s1111" o:spt="202" type="#_x0000_t202" style="position:absolute;left:0pt;margin-left:352.65pt;margin-top:74.85pt;height:7.3pt;width:9.55pt;mso-position-horizontal-relative:page;mso-position-vertical-relative:page;z-index:251750400;mso-width-relative:page;mso-height-relative:page;" filled="f" stroked="f" coordsize="21600,21600">
                  <v:path/>
                  <v:fill on="f" focussize="0,0"/>
                  <v:stroke on="f"/>
                  <v:imagedata o:title=""/>
                  <o:lock v:ext="edit" aspectratio="f"/>
                  <v:textbox inset="0mm,0mm,0mm,0mm">
                    <w:txbxContent>
                      <w:p w14:paraId="136820A9">
                        <w:pPr>
                          <w:pStyle w:val="6"/>
                          <w:spacing w:before="20" w:line="105" w:lineRule="exact"/>
                          <w:jc w:val="right"/>
                          <w:rPr>
                            <w:sz w:val="21"/>
                            <w:szCs w:val="21"/>
                          </w:rPr>
                        </w:pPr>
                        <w:r>
                          <w:rPr>
                            <w:spacing w:val="-56"/>
                            <w:w w:val="98"/>
                            <w:position w:val="1"/>
                            <w:sz w:val="21"/>
                            <w:szCs w:val="21"/>
                          </w:rPr>
                          <w:t>。</w:t>
                        </w:r>
                      </w:p>
                    </w:txbxContent>
                  </v:textbox>
                </v:shape>
              </w:pict>
            </w:r>
            <w:r>
              <w:rPr>
                <w:spacing w:val="-1"/>
                <w:sz w:val="21"/>
                <w:szCs w:val="21"/>
              </w:rPr>
              <w:t>6.1.5 文明施工</w:t>
            </w:r>
          </w:p>
          <w:p w14:paraId="6B56DF7A">
            <w:pPr>
              <w:pStyle w:val="6"/>
              <w:spacing w:before="155" w:line="220" w:lineRule="auto"/>
              <w:ind w:left="429"/>
              <w:rPr>
                <w:sz w:val="21"/>
                <w:szCs w:val="21"/>
              </w:rPr>
            </w:pPr>
            <w:r>
              <w:rPr>
                <w:spacing w:val="-4"/>
                <w:sz w:val="21"/>
                <w:szCs w:val="21"/>
              </w:rPr>
              <w:t>合同当事人对文明施工的要求：</w:t>
            </w:r>
          </w:p>
        </w:tc>
      </w:tr>
      <w:tr w14:paraId="3189C8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85" w:hRule="atLeast"/>
        </w:trPr>
        <w:tc>
          <w:tcPr>
            <w:tcW w:w="7118" w:type="dxa"/>
            <w:tcBorders>
              <w:top w:val="single" w:color="000000" w:sz="6" w:space="0"/>
              <w:bottom w:val="single" w:color="000000" w:sz="6" w:space="0"/>
            </w:tcBorders>
            <w:vAlign w:val="top"/>
          </w:tcPr>
          <w:p w14:paraId="449954AE">
            <w:pPr>
              <w:pStyle w:val="6"/>
              <w:spacing w:before="183" w:line="220" w:lineRule="auto"/>
              <w:ind w:left="430"/>
              <w:rPr>
                <w:sz w:val="21"/>
                <w:szCs w:val="21"/>
              </w:rPr>
            </w:pPr>
            <w:r>
              <w:pict>
                <v:shape id="_x0000_s1112" o:spid="_x0000_s1112" style="position:absolute;left:0pt;margin-left:21.05pt;margin-top:40.7pt;height:0.75pt;width:47.3pt;mso-position-horizontal-relative:page;mso-position-vertical-relative:page;z-index:251745280;mso-width-relative:page;mso-height-relative:page;" fillcolor="#000000" filled="t" stroked="f" coordsize="945,15" path="m0,15l945,15,945,0,0,0,0,15xe">
                  <v:path/>
                  <v:fill on="t" focussize="0,0"/>
                  <v:stroke on="f"/>
                  <v:imagedata o:title=""/>
                  <o:lock v:ext="edit"/>
                </v:shape>
              </w:pict>
            </w:r>
            <w:r>
              <w:pict>
                <v:shape id="_x0000_s1113" o:spid="_x0000_s1113" o:spt="202" type="#_x0000_t202" style="position:absolute;left:0pt;margin-left:352.65pt;margin-top:55.45pt;height:7.3pt;width:9.55pt;mso-position-horizontal-relative:page;mso-position-vertical-relative:page;z-index:251751424;mso-width-relative:page;mso-height-relative:page;" filled="f" stroked="f" coordsize="21600,21600">
                  <v:path/>
                  <v:fill on="f" focussize="0,0"/>
                  <v:stroke on="f"/>
                  <v:imagedata o:title=""/>
                  <o:lock v:ext="edit" aspectratio="f"/>
                  <v:textbox inset="0mm,0mm,0mm,0mm">
                    <w:txbxContent>
                      <w:p w14:paraId="13E5D865">
                        <w:pPr>
                          <w:pStyle w:val="6"/>
                          <w:spacing w:before="20" w:line="105" w:lineRule="exact"/>
                          <w:jc w:val="right"/>
                          <w:rPr>
                            <w:sz w:val="21"/>
                            <w:szCs w:val="21"/>
                          </w:rPr>
                        </w:pPr>
                        <w:r>
                          <w:rPr>
                            <w:spacing w:val="-56"/>
                            <w:w w:val="98"/>
                            <w:position w:val="1"/>
                            <w:sz w:val="21"/>
                            <w:szCs w:val="21"/>
                          </w:rPr>
                          <w:t>。</w:t>
                        </w:r>
                      </w:p>
                    </w:txbxContent>
                  </v:textbox>
                </v:shape>
              </w:pict>
            </w:r>
            <w:r>
              <w:rPr>
                <w:spacing w:val="-2"/>
                <w:sz w:val="21"/>
                <w:szCs w:val="21"/>
              </w:rPr>
              <w:t>6.1.6 关于安全文明施工费支付比例和支付期限的约定：</w:t>
            </w:r>
          </w:p>
        </w:tc>
      </w:tr>
      <w:tr w14:paraId="1A51299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091" w:hRule="atLeast"/>
        </w:trPr>
        <w:tc>
          <w:tcPr>
            <w:tcW w:w="7118" w:type="dxa"/>
            <w:tcBorders>
              <w:top w:val="single" w:color="000000" w:sz="6" w:space="0"/>
              <w:bottom w:val="single" w:color="000000" w:sz="6" w:space="0"/>
            </w:tcBorders>
            <w:vAlign w:val="top"/>
          </w:tcPr>
          <w:p w14:paraId="798C7771">
            <w:pPr>
              <w:spacing w:before="223" w:line="237" w:lineRule="auto"/>
              <w:ind w:left="9"/>
              <w:outlineLvl w:val="0"/>
              <w:rPr>
                <w:rFonts w:ascii="黑体" w:hAnsi="黑体" w:eastAsia="黑体" w:cs="黑体"/>
                <w:sz w:val="28"/>
                <w:szCs w:val="28"/>
              </w:rPr>
            </w:pPr>
            <w:r>
              <w:pict>
                <v:shape id="_x0000_s1114" o:spid="_x0000_s1114" o:spt="202" type="#_x0000_t202" style="position:absolute;left:0pt;margin-left:352.65pt;margin-top:100.55pt;height:7.3pt;width:9.55pt;mso-position-horizontal-relative:page;mso-position-vertical-relative:page;z-index:251749376;mso-width-relative:page;mso-height-relative:page;" filled="f" stroked="f" coordsize="21600,21600">
                  <v:path/>
                  <v:fill on="f" focussize="0,0"/>
                  <v:stroke on="f"/>
                  <v:imagedata o:title=""/>
                  <o:lock v:ext="edit" aspectratio="f"/>
                  <v:textbox inset="0mm,0mm,0mm,0mm">
                    <w:txbxContent>
                      <w:p w14:paraId="2D3179AC">
                        <w:pPr>
                          <w:pStyle w:val="6"/>
                          <w:spacing w:before="20" w:line="105" w:lineRule="exact"/>
                          <w:jc w:val="right"/>
                          <w:rPr>
                            <w:sz w:val="21"/>
                            <w:szCs w:val="21"/>
                          </w:rPr>
                        </w:pPr>
                        <w:r>
                          <w:rPr>
                            <w:spacing w:val="-56"/>
                            <w:w w:val="98"/>
                            <w:position w:val="1"/>
                            <w:sz w:val="21"/>
                            <w:szCs w:val="21"/>
                          </w:rPr>
                          <w:t>。</w:t>
                        </w:r>
                      </w:p>
                    </w:txbxContent>
                  </v:textbox>
                </v:shape>
              </w:pict>
            </w:r>
            <w:bookmarkStart w:id="524" w:name="bookmark464"/>
            <w:bookmarkEnd w:id="524"/>
            <w:bookmarkStart w:id="525" w:name="bookmark463"/>
            <w:bookmarkEnd w:id="525"/>
            <w:r>
              <w:rPr>
                <w:rFonts w:ascii="Times New Roman" w:hAnsi="Times New Roman" w:eastAsia="Times New Roman" w:cs="Times New Roman"/>
                <w:b/>
                <w:bCs/>
                <w:spacing w:val="5"/>
                <w:sz w:val="28"/>
                <w:szCs w:val="28"/>
              </w:rPr>
              <w:t>7.</w:t>
            </w:r>
            <w:r>
              <w:rPr>
                <w:rFonts w:ascii="Times New Roman" w:hAnsi="Times New Roman" w:eastAsia="Times New Roman" w:cs="Times New Roman"/>
                <w:b/>
                <w:bCs/>
                <w:spacing w:val="71"/>
                <w:sz w:val="28"/>
                <w:szCs w:val="28"/>
              </w:rPr>
              <w:t xml:space="preserve"> </w:t>
            </w:r>
            <w:r>
              <w:rPr>
                <w:rFonts w:ascii="黑体" w:hAnsi="黑体" w:eastAsia="黑体" w:cs="黑体"/>
                <w:b/>
                <w:bCs/>
                <w:spacing w:val="5"/>
                <w:sz w:val="28"/>
                <w:szCs w:val="28"/>
              </w:rPr>
              <w:t>工期和进度</w:t>
            </w:r>
          </w:p>
          <w:p w14:paraId="53FDBBED">
            <w:pPr>
              <w:spacing w:before="70" w:line="233" w:lineRule="auto"/>
              <w:ind w:left="8"/>
              <w:outlineLvl w:val="1"/>
              <w:rPr>
                <w:rFonts w:ascii="黑体" w:hAnsi="黑体" w:eastAsia="黑体" w:cs="黑体"/>
                <w:sz w:val="24"/>
                <w:szCs w:val="24"/>
              </w:rPr>
            </w:pPr>
            <w:bookmarkStart w:id="526" w:name="bookmark709"/>
            <w:bookmarkEnd w:id="526"/>
            <w:r>
              <w:rPr>
                <w:rFonts w:ascii="Times New Roman" w:hAnsi="Times New Roman" w:eastAsia="Times New Roman" w:cs="Times New Roman"/>
                <w:b/>
                <w:bCs/>
                <w:spacing w:val="2"/>
                <w:sz w:val="24"/>
                <w:szCs w:val="24"/>
              </w:rPr>
              <w:t xml:space="preserve">7.1  </w:t>
            </w:r>
            <w:r>
              <w:rPr>
                <w:rFonts w:ascii="黑体" w:hAnsi="黑体" w:eastAsia="黑体" w:cs="黑体"/>
                <w:b/>
                <w:bCs/>
                <w:spacing w:val="2"/>
                <w:sz w:val="24"/>
                <w:szCs w:val="24"/>
              </w:rPr>
              <w:t>施工组织设计</w:t>
            </w:r>
          </w:p>
          <w:p w14:paraId="72AD75C3">
            <w:pPr>
              <w:pStyle w:val="6"/>
              <w:spacing w:before="128" w:line="220" w:lineRule="auto"/>
              <w:ind w:left="433"/>
              <w:rPr>
                <w:sz w:val="21"/>
                <w:szCs w:val="21"/>
              </w:rPr>
            </w:pPr>
            <w:r>
              <w:rPr>
                <w:sz w:val="21"/>
                <w:szCs w:val="21"/>
              </w:rPr>
              <w:t>7.1.1 合同当事人约定的施工组织设计应包</w:t>
            </w:r>
            <w:r>
              <w:rPr>
                <w:spacing w:val="-1"/>
                <w:sz w:val="21"/>
                <w:szCs w:val="21"/>
              </w:rPr>
              <w:t>括的其他内容：</w:t>
            </w:r>
          </w:p>
          <w:p w14:paraId="3452B1DF">
            <w:pPr>
              <w:tabs>
                <w:tab w:val="left" w:pos="1366"/>
              </w:tabs>
              <w:spacing w:before="176"/>
              <w:ind w:left="420"/>
              <w:rPr>
                <w:rFonts w:ascii="Arial"/>
                <w:sz w:val="21"/>
              </w:rPr>
            </w:pPr>
            <w:r>
              <w:rPr>
                <w:rFonts w:ascii="Arial" w:hAnsi="Arial" w:eastAsia="Arial" w:cs="Arial"/>
                <w:sz w:val="21"/>
                <w:szCs w:val="21"/>
                <w:u w:val="single" w:color="auto"/>
              </w:rPr>
              <w:tab/>
            </w:r>
          </w:p>
        </w:tc>
      </w:tr>
    </w:tbl>
    <w:p w14:paraId="3C2441DA">
      <w:pPr>
        <w:pStyle w:val="2"/>
      </w:pPr>
    </w:p>
    <w:p w14:paraId="7FAFA743">
      <w:pPr>
        <w:sectPr>
          <w:headerReference r:id="rId219" w:type="default"/>
          <w:footerReference r:id="rId220" w:type="default"/>
          <w:pgSz w:w="11910" w:h="16845"/>
          <w:pgMar w:top="2345" w:right="1786" w:bottom="1110" w:left="1786" w:header="1647" w:footer="883" w:gutter="0"/>
          <w:cols w:space="720" w:num="1"/>
        </w:sectPr>
      </w:pPr>
    </w:p>
    <w:p w14:paraId="6BF994EC">
      <w:pPr>
        <w:pStyle w:val="2"/>
        <w:spacing w:line="275" w:lineRule="auto"/>
      </w:pPr>
    </w:p>
    <w:p w14:paraId="41A5558A">
      <w:pPr>
        <w:pStyle w:val="2"/>
        <w:spacing w:line="275" w:lineRule="auto"/>
      </w:pPr>
    </w:p>
    <w:p w14:paraId="08ADA81A">
      <w:pPr>
        <w:pStyle w:val="2"/>
        <w:spacing w:line="275" w:lineRule="auto"/>
      </w:pPr>
    </w:p>
    <w:p w14:paraId="3F6792B9">
      <w:pPr>
        <w:pStyle w:val="2"/>
        <w:spacing w:line="275" w:lineRule="auto"/>
      </w:pPr>
    </w:p>
    <w:p w14:paraId="545AD52C">
      <w:pPr>
        <w:spacing w:before="68" w:line="220" w:lineRule="auto"/>
        <w:ind w:left="449"/>
        <w:rPr>
          <w:rFonts w:ascii="宋体" w:hAnsi="宋体" w:eastAsia="宋体" w:cs="宋体"/>
          <w:sz w:val="21"/>
          <w:szCs w:val="21"/>
        </w:rPr>
      </w:pPr>
      <w:r>
        <w:rPr>
          <w:rFonts w:ascii="宋体" w:hAnsi="宋体" w:eastAsia="宋体" w:cs="宋体"/>
          <w:spacing w:val="-1"/>
          <w:sz w:val="21"/>
          <w:szCs w:val="21"/>
        </w:rPr>
        <w:t>7.1.2 施工组织设计的提交和修改</w:t>
      </w:r>
    </w:p>
    <w:p w14:paraId="4631C216">
      <w:pPr>
        <w:spacing w:before="155" w:line="220" w:lineRule="auto"/>
        <w:ind w:left="444"/>
        <w:rPr>
          <w:rFonts w:ascii="宋体" w:hAnsi="宋体" w:eastAsia="宋体" w:cs="宋体"/>
          <w:sz w:val="21"/>
          <w:szCs w:val="21"/>
        </w:rPr>
      </w:pPr>
      <w:r>
        <w:rPr>
          <w:rFonts w:ascii="宋体" w:hAnsi="宋体" w:eastAsia="宋体" w:cs="宋体"/>
          <w:spacing w:val="-3"/>
          <w:sz w:val="21"/>
          <w:szCs w:val="21"/>
        </w:rPr>
        <w:t>承包人提交详细施工组织设计的期限的约定：</w:t>
      </w:r>
    </w:p>
    <w:p w14:paraId="291F2B35">
      <w:pPr>
        <w:pStyle w:val="2"/>
        <w:spacing w:line="304" w:lineRule="auto"/>
      </w:pPr>
    </w:p>
    <w:p w14:paraId="1A55C2B0">
      <w:pPr>
        <w:pStyle w:val="2"/>
        <w:spacing w:line="305" w:lineRule="auto"/>
      </w:pPr>
      <w:r>
        <w:pict>
          <v:shape id="_x0000_s1115" o:spid="_x0000_s1115" style="position:absolute;left:0pt;margin-left:21.8pt;margin-top:2.25pt;height:0.75pt;width:47.3pt;z-index:251762688;mso-width-relative:page;mso-height-relative:page;" fillcolor="#000000" filled="t" stroked="f" coordsize="945,15" path="m0,15l945,15,945,0,0,0,0,15xe">
            <v:path/>
            <v:fill on="t" focussize="0,0"/>
            <v:stroke on="f"/>
            <v:imagedata o:title=""/>
            <o:lock v:ext="edit"/>
          </v:shape>
        </w:pict>
      </w:r>
    </w:p>
    <w:p w14:paraId="2D0764BC">
      <w:pPr>
        <w:tabs>
          <w:tab w:val="left" w:pos="7060"/>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94DF696">
      <w:pPr>
        <w:spacing w:before="163" w:line="220" w:lineRule="auto"/>
        <w:ind w:left="448"/>
        <w:rPr>
          <w:rFonts w:ascii="宋体" w:hAnsi="宋体" w:eastAsia="宋体" w:cs="宋体"/>
          <w:sz w:val="21"/>
          <w:szCs w:val="21"/>
        </w:rPr>
      </w:pPr>
      <w:r>
        <w:rPr>
          <w:rFonts w:ascii="宋体" w:hAnsi="宋体" w:eastAsia="宋体" w:cs="宋体"/>
          <w:spacing w:val="-1"/>
          <w:sz w:val="21"/>
          <w:szCs w:val="21"/>
        </w:rPr>
        <w:t>发包人和监理人在收到详细的施工组织设计</w:t>
      </w:r>
      <w:r>
        <w:rPr>
          <w:rFonts w:ascii="宋体" w:hAnsi="宋体" w:eastAsia="宋体" w:cs="宋体"/>
          <w:spacing w:val="-2"/>
          <w:sz w:val="21"/>
          <w:szCs w:val="21"/>
        </w:rPr>
        <w:t>后确认或提出修改意见的期限：</w:t>
      </w:r>
    </w:p>
    <w:p w14:paraId="376F93FA">
      <w:pPr>
        <w:pStyle w:val="2"/>
        <w:spacing w:line="304" w:lineRule="auto"/>
      </w:pPr>
    </w:p>
    <w:p w14:paraId="1BF6402B">
      <w:pPr>
        <w:pStyle w:val="2"/>
        <w:spacing w:line="305" w:lineRule="auto"/>
      </w:pPr>
      <w:r>
        <w:pict>
          <v:shape id="_x0000_s1116" o:spid="_x0000_s1116" style="position:absolute;left:0pt;margin-left:21.8pt;margin-top:2.25pt;height:0.75pt;width:47.3pt;z-index:251763712;mso-width-relative:page;mso-height-relative:page;" fillcolor="#000000" filled="t" stroked="f" coordsize="945,15" path="m0,15l945,15,945,0,0,0,0,15xe">
            <v:path/>
            <v:fill on="t" focussize="0,0"/>
            <v:stroke on="f"/>
            <v:imagedata o:title=""/>
            <o:lock v:ext="edit"/>
          </v:shape>
        </w:pict>
      </w:r>
    </w:p>
    <w:p w14:paraId="4939694D">
      <w:pPr>
        <w:spacing w:before="69" w:line="45" w:lineRule="exact"/>
        <w:ind w:left="7088"/>
        <w:rPr>
          <w:rFonts w:ascii="宋体" w:hAnsi="宋体" w:eastAsia="宋体" w:cs="宋体"/>
          <w:sz w:val="21"/>
          <w:szCs w:val="21"/>
        </w:rPr>
      </w:pPr>
      <w:r>
        <w:pict>
          <v:shape id="_x0000_s1117" o:spid="_x0000_s1117" o:spt="202" type="#_x0000_t202" style="position:absolute;left:0pt;margin-left:-0.2pt;margin-top:-3.25pt;height:35.05pt;width:354.25pt;z-index:251757568;mso-width-relative:page;mso-height-relative:page;" filled="f" stroked="f" coordsize="21600,21600">
            <v:path/>
            <v:fill on="f" focussize="0,0"/>
            <v:stroke on="f"/>
            <v:imagedata o:title=""/>
            <o:lock v:ext="edit" aspectratio="f"/>
            <v:textbox inset="0mm,0mm,0mm,0mm">
              <w:txbxContent>
                <w:p w14:paraId="625324C0">
                  <w:pPr>
                    <w:pStyle w:val="2"/>
                    <w:tabs>
                      <w:tab w:val="left" w:pos="7064"/>
                    </w:tabs>
                    <w:spacing w:before="20"/>
                    <w:ind w:left="20"/>
                  </w:pPr>
                  <w:r>
                    <w:rPr>
                      <w:u w:val="single" w:color="auto"/>
                    </w:rPr>
                    <w:tab/>
                  </w:r>
                </w:p>
                <w:p w14:paraId="57D59B0D">
                  <w:pPr>
                    <w:spacing w:before="116" w:line="233" w:lineRule="auto"/>
                    <w:ind w:left="28"/>
                    <w:outlineLvl w:val="1"/>
                    <w:rPr>
                      <w:rFonts w:ascii="黑体" w:hAnsi="黑体" w:eastAsia="黑体" w:cs="黑体"/>
                      <w:sz w:val="24"/>
                      <w:szCs w:val="24"/>
                    </w:rPr>
                  </w:pPr>
                  <w:bookmarkStart w:id="697" w:name="bookmark465"/>
                  <w:bookmarkEnd w:id="697"/>
                  <w:r>
                    <w:rPr>
                      <w:rFonts w:ascii="Times New Roman" w:hAnsi="Times New Roman" w:eastAsia="Times New Roman" w:cs="Times New Roman"/>
                      <w:b/>
                      <w:bCs/>
                      <w:spacing w:val="2"/>
                      <w:sz w:val="24"/>
                      <w:szCs w:val="24"/>
                    </w:rPr>
                    <w:t xml:space="preserve">7.2  </w:t>
                  </w:r>
                  <w:r>
                    <w:rPr>
                      <w:rFonts w:ascii="黑体" w:hAnsi="黑体" w:eastAsia="黑体" w:cs="黑体"/>
                      <w:b/>
                      <w:bCs/>
                      <w:spacing w:val="2"/>
                      <w:sz w:val="24"/>
                      <w:szCs w:val="24"/>
                    </w:rPr>
                    <w:t>施工进度计划</w:t>
                  </w:r>
                </w:p>
              </w:txbxContent>
            </v:textbox>
          </v:shape>
        </w:pict>
      </w:r>
      <w:r>
        <w:rPr>
          <w:rFonts w:ascii="宋体" w:hAnsi="宋体" w:eastAsia="宋体" w:cs="宋体"/>
          <w:position w:val="-1"/>
          <w:sz w:val="21"/>
          <w:szCs w:val="21"/>
        </w:rPr>
        <w:t>。</w:t>
      </w:r>
    </w:p>
    <w:p w14:paraId="71E39AE6">
      <w:pPr>
        <w:pStyle w:val="2"/>
        <w:spacing w:line="271" w:lineRule="auto"/>
      </w:pPr>
    </w:p>
    <w:p w14:paraId="3D7C3024">
      <w:pPr>
        <w:pStyle w:val="2"/>
        <w:spacing w:line="271" w:lineRule="auto"/>
      </w:pPr>
    </w:p>
    <w:p w14:paraId="3FAB3698">
      <w:pPr>
        <w:spacing w:before="69" w:line="220" w:lineRule="auto"/>
        <w:ind w:left="449"/>
        <w:rPr>
          <w:rFonts w:ascii="宋体" w:hAnsi="宋体" w:eastAsia="宋体" w:cs="宋体"/>
          <w:sz w:val="21"/>
          <w:szCs w:val="21"/>
        </w:rPr>
      </w:pPr>
      <w:r>
        <w:rPr>
          <w:rFonts w:ascii="宋体" w:hAnsi="宋体" w:eastAsia="宋体" w:cs="宋体"/>
          <w:spacing w:val="-1"/>
          <w:sz w:val="21"/>
          <w:szCs w:val="21"/>
        </w:rPr>
        <w:t>7.2.2 施工进度计划的修订</w:t>
      </w:r>
    </w:p>
    <w:p w14:paraId="6A90697E">
      <w:pPr>
        <w:pStyle w:val="2"/>
        <w:tabs>
          <w:tab w:val="left" w:pos="1381"/>
        </w:tabs>
        <w:spacing w:before="156" w:line="403" w:lineRule="auto"/>
        <w:ind w:left="436" w:right="1024" w:firstLine="11"/>
      </w:pPr>
      <w:r>
        <w:rPr>
          <w:rFonts w:ascii="宋体" w:hAnsi="宋体" w:eastAsia="宋体" w:cs="宋体"/>
          <w:spacing w:val="-1"/>
        </w:rPr>
        <w:t>发包人和监理人在收到修订的施工进度计划后确</w:t>
      </w:r>
      <w:r>
        <w:rPr>
          <w:rFonts w:ascii="宋体" w:hAnsi="宋体" w:eastAsia="宋体" w:cs="宋体"/>
          <w:spacing w:val="-2"/>
        </w:rPr>
        <w:t>认或提出修改意见的期限：</w:t>
      </w:r>
      <w:r>
        <w:rPr>
          <w:u w:val="single" w:color="auto"/>
        </w:rPr>
        <w:tab/>
      </w:r>
    </w:p>
    <w:p w14:paraId="516E7326">
      <w:pPr>
        <w:spacing w:before="67" w:line="45" w:lineRule="exact"/>
        <w:ind w:left="7088"/>
        <w:rPr>
          <w:rFonts w:ascii="宋体" w:hAnsi="宋体" w:eastAsia="宋体" w:cs="宋体"/>
          <w:sz w:val="21"/>
          <w:szCs w:val="21"/>
        </w:rPr>
      </w:pPr>
      <w:r>
        <w:pict>
          <v:shape id="_x0000_s1118" o:spid="_x0000_s1118" o:spt="202" type="#_x0000_t202" style="position:absolute;left:0pt;margin-left:-0.2pt;margin-top:-3.35pt;height:35.25pt;width:354.25pt;z-index:251756544;mso-width-relative:page;mso-height-relative:page;" filled="f" stroked="f" coordsize="21600,21600">
            <v:path/>
            <v:fill on="f" focussize="0,0"/>
            <v:stroke on="f"/>
            <v:imagedata o:title=""/>
            <o:lock v:ext="edit" aspectratio="f"/>
            <v:textbox inset="0mm,0mm,0mm,0mm">
              <w:txbxContent>
                <w:p w14:paraId="6BA9A9D6">
                  <w:pPr>
                    <w:pStyle w:val="2"/>
                    <w:tabs>
                      <w:tab w:val="left" w:pos="7064"/>
                    </w:tabs>
                    <w:spacing w:before="20"/>
                    <w:ind w:left="20"/>
                  </w:pPr>
                  <w:r>
                    <w:rPr>
                      <w:u w:val="single" w:color="auto"/>
                    </w:rPr>
                    <w:tab/>
                  </w:r>
                </w:p>
                <w:p w14:paraId="65E2A8CB">
                  <w:pPr>
                    <w:spacing w:before="116" w:line="236" w:lineRule="auto"/>
                    <w:ind w:left="28"/>
                    <w:outlineLvl w:val="1"/>
                    <w:rPr>
                      <w:rFonts w:ascii="黑体" w:hAnsi="黑体" w:eastAsia="黑体" w:cs="黑体"/>
                      <w:sz w:val="24"/>
                      <w:szCs w:val="24"/>
                    </w:rPr>
                  </w:pPr>
                  <w:bookmarkStart w:id="698" w:name="bookmark466"/>
                  <w:bookmarkEnd w:id="698"/>
                  <w:r>
                    <w:rPr>
                      <w:rFonts w:ascii="Times New Roman" w:hAnsi="Times New Roman" w:eastAsia="Times New Roman" w:cs="Times New Roman"/>
                      <w:b/>
                      <w:bCs/>
                      <w:spacing w:val="-3"/>
                      <w:sz w:val="24"/>
                      <w:szCs w:val="24"/>
                    </w:rPr>
                    <w:t>7.3</w:t>
                  </w:r>
                  <w:r>
                    <w:rPr>
                      <w:rFonts w:ascii="Times New Roman" w:hAnsi="Times New Roman" w:eastAsia="Times New Roman" w:cs="Times New Roman"/>
                      <w:b/>
                      <w:bCs/>
                      <w:spacing w:val="8"/>
                      <w:sz w:val="24"/>
                      <w:szCs w:val="24"/>
                    </w:rPr>
                    <w:t xml:space="preserve">  </w:t>
                  </w:r>
                  <w:r>
                    <w:rPr>
                      <w:rFonts w:ascii="黑体" w:hAnsi="黑体" w:eastAsia="黑体" w:cs="黑体"/>
                      <w:b/>
                      <w:bCs/>
                      <w:spacing w:val="-3"/>
                      <w:sz w:val="24"/>
                      <w:szCs w:val="24"/>
                    </w:rPr>
                    <w:t>开工</w:t>
                  </w:r>
                </w:p>
              </w:txbxContent>
            </v:textbox>
          </v:shape>
        </w:pict>
      </w:r>
      <w:r>
        <w:rPr>
          <w:rFonts w:ascii="宋体" w:hAnsi="宋体" w:eastAsia="宋体" w:cs="宋体"/>
          <w:position w:val="-1"/>
          <w:sz w:val="21"/>
          <w:szCs w:val="21"/>
        </w:rPr>
        <w:t>。</w:t>
      </w:r>
    </w:p>
    <w:p w14:paraId="735218C9">
      <w:pPr>
        <w:pStyle w:val="2"/>
        <w:spacing w:line="279" w:lineRule="auto"/>
      </w:pPr>
    </w:p>
    <w:p w14:paraId="45527220">
      <w:pPr>
        <w:pStyle w:val="2"/>
        <w:spacing w:line="279" w:lineRule="auto"/>
      </w:pPr>
    </w:p>
    <w:p w14:paraId="4A322B8A">
      <w:pPr>
        <w:spacing w:before="69" w:line="221" w:lineRule="auto"/>
        <w:ind w:left="449"/>
        <w:rPr>
          <w:rFonts w:ascii="宋体" w:hAnsi="宋体" w:eastAsia="宋体" w:cs="宋体"/>
          <w:sz w:val="21"/>
          <w:szCs w:val="21"/>
        </w:rPr>
      </w:pPr>
      <w:r>
        <w:rPr>
          <w:rFonts w:ascii="宋体" w:hAnsi="宋体" w:eastAsia="宋体" w:cs="宋体"/>
          <w:spacing w:val="-1"/>
          <w:sz w:val="21"/>
          <w:szCs w:val="21"/>
        </w:rPr>
        <w:t>7.3.1 开工准备</w:t>
      </w:r>
    </w:p>
    <w:p w14:paraId="222F8C30">
      <w:pPr>
        <w:spacing w:before="138" w:line="220" w:lineRule="auto"/>
        <w:ind w:left="448"/>
        <w:rPr>
          <w:rFonts w:ascii="宋体" w:hAnsi="宋体" w:eastAsia="宋体" w:cs="宋体"/>
          <w:sz w:val="21"/>
          <w:szCs w:val="21"/>
        </w:rPr>
      </w:pPr>
      <w:r>
        <w:rPr>
          <w:rFonts w:ascii="宋体" w:hAnsi="宋体" w:eastAsia="宋体" w:cs="宋体"/>
          <w:spacing w:val="-3"/>
          <w:sz w:val="21"/>
          <w:szCs w:val="21"/>
        </w:rPr>
        <w:t>关于承包人提交工程开工报审表的期限：</w:t>
      </w:r>
    </w:p>
    <w:p w14:paraId="5FB935C6">
      <w:pPr>
        <w:pStyle w:val="2"/>
        <w:tabs>
          <w:tab w:val="left" w:pos="1381"/>
        </w:tabs>
        <w:spacing w:before="177"/>
        <w:ind w:left="436"/>
      </w:pPr>
      <w:r>
        <w:rPr>
          <w:u w:val="single" w:color="auto"/>
        </w:rPr>
        <w:tab/>
      </w:r>
    </w:p>
    <w:p w14:paraId="6F5B05DC">
      <w:pPr>
        <w:spacing w:before="278" w:line="46" w:lineRule="exact"/>
        <w:ind w:left="7088"/>
        <w:rPr>
          <w:rFonts w:ascii="宋体" w:hAnsi="宋体" w:eastAsia="宋体" w:cs="宋体"/>
          <w:sz w:val="21"/>
          <w:szCs w:val="21"/>
        </w:rPr>
      </w:pPr>
      <w:r>
        <w:pict>
          <v:shape id="_x0000_s1119" o:spid="_x0000_s1119" o:spt="202" type="#_x0000_t202" style="position:absolute;left:0pt;margin-left:-0.2pt;margin-top:7.15pt;height:14.1pt;width:354.25pt;z-index:251760640;mso-width-relative:page;mso-height-relative:page;" filled="f" stroked="f" coordsize="21600,21600">
            <v:path/>
            <v:fill on="f" focussize="0,0"/>
            <v:stroke on="f"/>
            <v:imagedata o:title=""/>
            <o:lock v:ext="edit" aspectratio="f"/>
            <v:textbox inset="0mm,0mm,0mm,0mm">
              <w:txbxContent>
                <w:p w14:paraId="68606F2E">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529333F9">
      <w:pPr>
        <w:spacing w:before="208" w:line="220" w:lineRule="auto"/>
        <w:ind w:left="448"/>
        <w:rPr>
          <w:rFonts w:ascii="宋体" w:hAnsi="宋体" w:eastAsia="宋体" w:cs="宋体"/>
          <w:sz w:val="21"/>
          <w:szCs w:val="21"/>
        </w:rPr>
      </w:pPr>
      <w:r>
        <w:rPr>
          <w:rFonts w:ascii="宋体" w:hAnsi="宋体" w:eastAsia="宋体" w:cs="宋体"/>
          <w:spacing w:val="-3"/>
          <w:sz w:val="21"/>
          <w:szCs w:val="21"/>
        </w:rPr>
        <w:t>关于发包人应完成的其他开工准备工作及期限：</w:t>
      </w:r>
    </w:p>
    <w:p w14:paraId="7CEB81FD">
      <w:pPr>
        <w:pStyle w:val="2"/>
        <w:spacing w:line="312" w:lineRule="auto"/>
      </w:pPr>
    </w:p>
    <w:p w14:paraId="26379531">
      <w:pPr>
        <w:pStyle w:val="2"/>
        <w:spacing w:line="312" w:lineRule="auto"/>
      </w:pPr>
      <w:r>
        <w:pict>
          <v:shape id="_x0000_s1120" o:spid="_x0000_s1120" style="position:absolute;left:0pt;margin-left:21.8pt;margin-top:2.6pt;height:0.75pt;width:47.3pt;z-index:251764736;mso-width-relative:page;mso-height-relative:page;" fillcolor="#000000" filled="t" stroked="f" coordsize="945,15" path="m0,15l945,15,945,0,0,0,0,15xe">
            <v:path/>
            <v:fill on="t" focussize="0,0"/>
            <v:stroke on="f"/>
            <v:imagedata o:title=""/>
            <o:lock v:ext="edit"/>
          </v:shape>
        </w:pict>
      </w:r>
    </w:p>
    <w:p w14:paraId="442AE78B">
      <w:pPr>
        <w:spacing w:before="69" w:line="46" w:lineRule="exact"/>
        <w:ind w:left="7088"/>
        <w:rPr>
          <w:rFonts w:ascii="宋体" w:hAnsi="宋体" w:eastAsia="宋体" w:cs="宋体"/>
          <w:sz w:val="21"/>
          <w:szCs w:val="21"/>
        </w:rPr>
      </w:pPr>
      <w:r>
        <w:pict>
          <v:shape id="_x0000_s1121" o:spid="_x0000_s1121" o:spt="202" type="#_x0000_t202" style="position:absolute;left:0pt;margin-left:-0.2pt;margin-top:-3.25pt;height:33pt;width:354.25pt;z-index:251758592;mso-width-relative:page;mso-height-relative:page;" filled="f" stroked="f" coordsize="21600,21600">
            <v:path/>
            <v:fill on="f" focussize="0,0"/>
            <v:stroke on="f"/>
            <v:imagedata o:title=""/>
            <o:lock v:ext="edit" aspectratio="f"/>
            <v:textbox inset="0mm,0mm,0mm,0mm">
              <w:txbxContent>
                <w:p w14:paraId="70BF3A49">
                  <w:pPr>
                    <w:pStyle w:val="2"/>
                    <w:tabs>
                      <w:tab w:val="left" w:pos="7064"/>
                    </w:tabs>
                    <w:spacing w:before="19"/>
                    <w:ind w:left="20"/>
                  </w:pPr>
                  <w:r>
                    <w:rPr>
                      <w:u w:val="single" w:color="auto"/>
                    </w:rPr>
                    <w:tab/>
                  </w:r>
                </w:p>
                <w:p w14:paraId="73B069A7">
                  <w:pPr>
                    <w:spacing w:before="127" w:line="220" w:lineRule="auto"/>
                    <w:ind w:left="452"/>
                    <w:rPr>
                      <w:rFonts w:ascii="宋体" w:hAnsi="宋体" w:eastAsia="宋体" w:cs="宋体"/>
                      <w:sz w:val="21"/>
                      <w:szCs w:val="21"/>
                    </w:rPr>
                  </w:pPr>
                  <w:r>
                    <w:rPr>
                      <w:rFonts w:ascii="宋体" w:hAnsi="宋体" w:eastAsia="宋体" w:cs="宋体"/>
                      <w:spacing w:val="-3"/>
                      <w:sz w:val="21"/>
                      <w:szCs w:val="21"/>
                    </w:rPr>
                    <w:t>关于承包人应完成的其他开工准备工作及期限：</w:t>
                  </w:r>
                </w:p>
              </w:txbxContent>
            </v:textbox>
          </v:shape>
        </w:pict>
      </w:r>
      <w:r>
        <w:rPr>
          <w:rFonts w:ascii="宋体" w:hAnsi="宋体" w:eastAsia="宋体" w:cs="宋体"/>
          <w:position w:val="-1"/>
          <w:sz w:val="21"/>
          <w:szCs w:val="21"/>
        </w:rPr>
        <w:t>。</w:t>
      </w:r>
    </w:p>
    <w:p w14:paraId="527D135E">
      <w:pPr>
        <w:pStyle w:val="2"/>
        <w:spacing w:line="270" w:lineRule="auto"/>
      </w:pPr>
    </w:p>
    <w:p w14:paraId="454754C3">
      <w:pPr>
        <w:pStyle w:val="2"/>
        <w:spacing w:line="270" w:lineRule="auto"/>
      </w:pPr>
    </w:p>
    <w:p w14:paraId="72752DF2">
      <w:pPr>
        <w:pStyle w:val="2"/>
        <w:spacing w:line="270" w:lineRule="auto"/>
      </w:pPr>
    </w:p>
    <w:p w14:paraId="3558FBD6">
      <w:pPr>
        <w:pStyle w:val="2"/>
        <w:spacing w:line="270" w:lineRule="auto"/>
      </w:pPr>
      <w:r>
        <w:pict>
          <v:shape id="_x0000_s1122" o:spid="_x0000_s1122" style="position:absolute;left:0pt;margin-left:21.8pt;margin-top:0.45pt;height:0.75pt;width:47.3pt;z-index:251765760;mso-width-relative:page;mso-height-relative:page;" fillcolor="#000000" filled="t" stroked="f" coordsize="945,15" path="m0,15l945,15,945,0,0,0,0,15xe">
            <v:path/>
            <v:fill on="t" focussize="0,0"/>
            <v:stroke on="f"/>
            <v:imagedata o:title=""/>
            <o:lock v:ext="edit"/>
          </v:shape>
        </w:pict>
      </w:r>
    </w:p>
    <w:p w14:paraId="3411A937">
      <w:pPr>
        <w:spacing w:before="68" w:line="46" w:lineRule="exact"/>
        <w:ind w:left="7088"/>
        <w:rPr>
          <w:rFonts w:ascii="宋体" w:hAnsi="宋体" w:eastAsia="宋体" w:cs="宋体"/>
          <w:sz w:val="21"/>
          <w:szCs w:val="21"/>
        </w:rPr>
      </w:pPr>
      <w:r>
        <w:pict>
          <v:shape id="_x0000_s1123" o:spid="_x0000_s1123" o:spt="202" type="#_x0000_t202" style="position:absolute;left:0pt;margin-left:-0.2pt;margin-top:-3.25pt;height:33.05pt;width:354.25pt;z-index:251759616;mso-width-relative:page;mso-height-relative:page;" filled="f" stroked="f" coordsize="21600,21600">
            <v:path/>
            <v:fill on="f" focussize="0,0"/>
            <v:stroke on="f"/>
            <v:imagedata o:title=""/>
            <o:lock v:ext="edit" aspectratio="f"/>
            <v:textbox inset="0mm,0mm,0mm,0mm">
              <w:txbxContent>
                <w:p w14:paraId="7CE7C678">
                  <w:pPr>
                    <w:pStyle w:val="2"/>
                    <w:tabs>
                      <w:tab w:val="left" w:pos="7064"/>
                    </w:tabs>
                    <w:spacing w:before="19"/>
                    <w:ind w:left="20"/>
                  </w:pPr>
                  <w:r>
                    <w:rPr>
                      <w:u w:val="single" w:color="auto"/>
                    </w:rPr>
                    <w:tab/>
                  </w:r>
                </w:p>
                <w:p w14:paraId="22E837A6">
                  <w:pPr>
                    <w:spacing w:before="127" w:line="221" w:lineRule="auto"/>
                    <w:ind w:left="453"/>
                    <w:rPr>
                      <w:rFonts w:ascii="宋体" w:hAnsi="宋体" w:eastAsia="宋体" w:cs="宋体"/>
                      <w:sz w:val="21"/>
                      <w:szCs w:val="21"/>
                    </w:rPr>
                  </w:pPr>
                  <w:r>
                    <w:rPr>
                      <w:rFonts w:ascii="宋体" w:hAnsi="宋体" w:eastAsia="宋体" w:cs="宋体"/>
                      <w:spacing w:val="-3"/>
                      <w:sz w:val="21"/>
                      <w:szCs w:val="21"/>
                    </w:rPr>
                    <w:t>7.3.2</w:t>
                  </w:r>
                  <w:r>
                    <w:rPr>
                      <w:rFonts w:ascii="宋体" w:hAnsi="宋体" w:eastAsia="宋体" w:cs="宋体"/>
                      <w:spacing w:val="-29"/>
                      <w:sz w:val="21"/>
                      <w:szCs w:val="21"/>
                    </w:rPr>
                    <w:t xml:space="preserve"> </w:t>
                  </w:r>
                  <w:r>
                    <w:rPr>
                      <w:rFonts w:ascii="宋体" w:hAnsi="宋体" w:eastAsia="宋体" w:cs="宋体"/>
                      <w:spacing w:val="-3"/>
                      <w:sz w:val="21"/>
                      <w:szCs w:val="21"/>
                    </w:rPr>
                    <w:t>开工通知</w:t>
                  </w:r>
                </w:p>
              </w:txbxContent>
            </v:textbox>
          </v:shape>
        </w:pict>
      </w:r>
      <w:r>
        <w:rPr>
          <w:rFonts w:ascii="宋体" w:hAnsi="宋体" w:eastAsia="宋体" w:cs="宋体"/>
          <w:position w:val="-1"/>
          <w:sz w:val="21"/>
          <w:szCs w:val="21"/>
        </w:rPr>
        <w:t>。</w:t>
      </w:r>
    </w:p>
    <w:p w14:paraId="0F1E199D">
      <w:pPr>
        <w:pStyle w:val="2"/>
        <w:spacing w:line="270" w:lineRule="auto"/>
      </w:pPr>
    </w:p>
    <w:p w14:paraId="33827465">
      <w:pPr>
        <w:pStyle w:val="2"/>
        <w:spacing w:line="271" w:lineRule="auto"/>
      </w:pPr>
    </w:p>
    <w:p w14:paraId="6213FB63">
      <w:pPr>
        <w:spacing w:before="69" w:line="339" w:lineRule="auto"/>
        <w:ind w:left="25" w:right="35" w:firstLine="435"/>
        <w:rPr>
          <w:rFonts w:ascii="宋体" w:hAnsi="宋体" w:eastAsia="宋体" w:cs="宋体"/>
          <w:sz w:val="21"/>
          <w:szCs w:val="21"/>
        </w:rPr>
      </w:pPr>
      <w:r>
        <w:rPr>
          <w:rFonts w:ascii="宋体" w:hAnsi="宋体" w:eastAsia="宋体" w:cs="宋体"/>
          <w:spacing w:val="-1"/>
          <w:sz w:val="21"/>
          <w:szCs w:val="21"/>
        </w:rPr>
        <w:t>因发包人原因造成监理人未能在计划开工日期之日起</w:t>
      </w:r>
      <w:r>
        <w:rPr>
          <w:rFonts w:ascii="宋体" w:hAnsi="宋体" w:eastAsia="宋体" w:cs="宋体"/>
          <w:spacing w:val="28"/>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天内发出开工通知的，承包</w:t>
      </w:r>
      <w:r>
        <w:rPr>
          <w:rFonts w:ascii="宋体" w:hAnsi="宋体" w:eastAsia="宋体" w:cs="宋体"/>
          <w:spacing w:val="-2"/>
          <w:sz w:val="21"/>
          <w:szCs w:val="21"/>
        </w:rPr>
        <w:t>人有权提出价格调整要求，或者解除合同。</w:t>
      </w:r>
    </w:p>
    <w:p w14:paraId="170E78ED">
      <w:pPr>
        <w:spacing w:before="1" w:line="230" w:lineRule="auto"/>
        <w:ind w:left="24"/>
        <w:outlineLvl w:val="1"/>
        <w:rPr>
          <w:rFonts w:ascii="黑体" w:hAnsi="黑体" w:eastAsia="黑体" w:cs="黑体"/>
          <w:sz w:val="24"/>
          <w:szCs w:val="24"/>
        </w:rPr>
      </w:pPr>
      <w:bookmarkStart w:id="527" w:name="bookmark467"/>
      <w:bookmarkEnd w:id="527"/>
      <w:r>
        <w:rPr>
          <w:rFonts w:ascii="Times New Roman" w:hAnsi="Times New Roman" w:eastAsia="Times New Roman" w:cs="Times New Roman"/>
          <w:b/>
          <w:bCs/>
          <w:spacing w:val="3"/>
          <w:sz w:val="24"/>
          <w:szCs w:val="24"/>
        </w:rPr>
        <w:t xml:space="preserve">7.4  </w:t>
      </w:r>
      <w:r>
        <w:rPr>
          <w:rFonts w:ascii="黑体" w:hAnsi="黑体" w:eastAsia="黑体" w:cs="黑体"/>
          <w:b/>
          <w:bCs/>
          <w:spacing w:val="3"/>
          <w:sz w:val="24"/>
          <w:szCs w:val="24"/>
        </w:rPr>
        <w:t>测量放线</w:t>
      </w:r>
    </w:p>
    <w:p w14:paraId="0CBE85D3">
      <w:pPr>
        <w:spacing w:before="133" w:line="358" w:lineRule="auto"/>
        <w:ind w:left="38" w:firstLine="410"/>
        <w:rPr>
          <w:rFonts w:ascii="宋体" w:hAnsi="宋体" w:eastAsia="宋体" w:cs="宋体"/>
          <w:sz w:val="21"/>
          <w:szCs w:val="21"/>
        </w:rPr>
      </w:pPr>
      <w:r>
        <w:rPr>
          <w:rFonts w:ascii="宋体" w:hAnsi="宋体" w:eastAsia="宋体" w:cs="宋体"/>
          <w:spacing w:val="-1"/>
          <w:sz w:val="21"/>
          <w:szCs w:val="21"/>
        </w:rPr>
        <w:t>7.4.1</w:t>
      </w:r>
      <w:r>
        <w:rPr>
          <w:rFonts w:ascii="宋体" w:hAnsi="宋体" w:eastAsia="宋体" w:cs="宋体"/>
          <w:spacing w:val="-33"/>
          <w:sz w:val="21"/>
          <w:szCs w:val="21"/>
        </w:rPr>
        <w:t xml:space="preserve"> </w:t>
      </w:r>
      <w:r>
        <w:rPr>
          <w:rFonts w:ascii="宋体" w:hAnsi="宋体" w:eastAsia="宋体" w:cs="宋体"/>
          <w:spacing w:val="-1"/>
          <w:sz w:val="21"/>
          <w:szCs w:val="21"/>
        </w:rPr>
        <w:t>发包人通过监理人向承包人提供测量基准点、基准线和水准点及其书面资料的期</w:t>
      </w:r>
      <w:r>
        <w:rPr>
          <w:rFonts w:ascii="宋体" w:hAnsi="宋体" w:eastAsia="宋体" w:cs="宋体"/>
          <w:spacing w:val="-18"/>
          <w:sz w:val="21"/>
          <w:szCs w:val="21"/>
        </w:rPr>
        <w:t>限：</w:t>
      </w:r>
    </w:p>
    <w:p w14:paraId="46D87B9C">
      <w:pPr>
        <w:pStyle w:val="2"/>
        <w:tabs>
          <w:tab w:val="left" w:pos="8320"/>
        </w:tabs>
        <w:ind w:left="436"/>
      </w:pPr>
      <w:r>
        <w:rPr>
          <w:u w:val="single" w:color="auto"/>
        </w:rPr>
        <w:tab/>
      </w:r>
    </w:p>
    <w:p w14:paraId="7BCF53BD">
      <w:pPr>
        <w:spacing w:before="279" w:line="45" w:lineRule="exact"/>
        <w:ind w:left="465"/>
        <w:rPr>
          <w:rFonts w:ascii="宋体" w:hAnsi="宋体" w:eastAsia="宋体" w:cs="宋体"/>
          <w:sz w:val="21"/>
          <w:szCs w:val="21"/>
        </w:rPr>
      </w:pPr>
      <w:r>
        <w:pict>
          <v:shape id="_x0000_s1124" o:spid="_x0000_s1124" o:spt="202" type="#_x0000_t202" style="position:absolute;left:0pt;margin-left:-0.2pt;margin-top:7.15pt;height:35.05pt;width:73.4pt;z-index:251761664;mso-width-relative:page;mso-height-relative:page;" filled="f" stroked="f" coordsize="21600,21600">
            <v:path/>
            <v:fill on="f" focussize="0,0"/>
            <v:stroke on="f"/>
            <v:imagedata o:title=""/>
            <o:lock v:ext="edit" aspectratio="f"/>
            <v:textbox inset="0mm,0mm,0mm,0mm">
              <w:txbxContent>
                <w:p w14:paraId="7864A301">
                  <w:pPr>
                    <w:pStyle w:val="2"/>
                    <w:tabs>
                      <w:tab w:val="left" w:pos="440"/>
                    </w:tabs>
                    <w:spacing w:before="19"/>
                    <w:ind w:left="20"/>
                  </w:pPr>
                  <w:r>
                    <w:rPr>
                      <w:u w:val="single" w:color="auto"/>
                    </w:rPr>
                    <w:tab/>
                  </w:r>
                </w:p>
                <w:p w14:paraId="4ADA8CDA">
                  <w:pPr>
                    <w:spacing w:before="116" w:line="233" w:lineRule="auto"/>
                    <w:ind w:left="28"/>
                    <w:outlineLvl w:val="1"/>
                    <w:rPr>
                      <w:rFonts w:ascii="黑体" w:hAnsi="黑体" w:eastAsia="黑体" w:cs="黑体"/>
                      <w:sz w:val="24"/>
                      <w:szCs w:val="24"/>
                    </w:rPr>
                  </w:pPr>
                  <w:bookmarkStart w:id="699" w:name="bookmark468"/>
                  <w:bookmarkEnd w:id="699"/>
                  <w:r>
                    <w:rPr>
                      <w:rFonts w:ascii="Times New Roman" w:hAnsi="Times New Roman" w:eastAsia="Times New Roman" w:cs="Times New Roman"/>
                      <w:b/>
                      <w:bCs/>
                      <w:spacing w:val="3"/>
                      <w:sz w:val="24"/>
                      <w:szCs w:val="24"/>
                    </w:rPr>
                    <w:t xml:space="preserve">7.5  </w:t>
                  </w:r>
                  <w:r>
                    <w:rPr>
                      <w:rFonts w:ascii="黑体" w:hAnsi="黑体" w:eastAsia="黑体" w:cs="黑体"/>
                      <w:b/>
                      <w:bCs/>
                      <w:spacing w:val="3"/>
                      <w:sz w:val="24"/>
                      <w:szCs w:val="24"/>
                    </w:rPr>
                    <w:t>工期延误</w:t>
                  </w:r>
                </w:p>
              </w:txbxContent>
            </v:textbox>
          </v:shape>
        </w:pict>
      </w:r>
      <w:r>
        <w:rPr>
          <w:rFonts w:ascii="宋体" w:hAnsi="宋体" w:eastAsia="宋体" w:cs="宋体"/>
          <w:position w:val="-1"/>
          <w:sz w:val="21"/>
          <w:szCs w:val="21"/>
        </w:rPr>
        <w:t>。</w:t>
      </w:r>
    </w:p>
    <w:p w14:paraId="64AE70C7">
      <w:pPr>
        <w:pStyle w:val="2"/>
        <w:spacing w:line="271" w:lineRule="auto"/>
      </w:pPr>
    </w:p>
    <w:p w14:paraId="2C178231">
      <w:pPr>
        <w:pStyle w:val="2"/>
        <w:spacing w:line="272" w:lineRule="auto"/>
      </w:pPr>
    </w:p>
    <w:p w14:paraId="51E7B8F2">
      <w:pPr>
        <w:spacing w:before="69" w:line="220" w:lineRule="auto"/>
        <w:ind w:left="449"/>
        <w:rPr>
          <w:rFonts w:ascii="宋体" w:hAnsi="宋体" w:eastAsia="宋体" w:cs="宋体"/>
          <w:sz w:val="21"/>
          <w:szCs w:val="21"/>
        </w:rPr>
      </w:pPr>
      <w:r>
        <w:rPr>
          <w:rFonts w:ascii="宋体" w:hAnsi="宋体" w:eastAsia="宋体" w:cs="宋体"/>
          <w:spacing w:val="-1"/>
          <w:sz w:val="21"/>
          <w:szCs w:val="21"/>
        </w:rPr>
        <w:t>7.5.1 因发包人原因导致工期延误</w:t>
      </w:r>
    </w:p>
    <w:p w14:paraId="5E1E62EE">
      <w:pPr>
        <w:spacing w:before="155" w:line="220" w:lineRule="auto"/>
        <w:ind w:left="450"/>
        <w:rPr>
          <w:rFonts w:ascii="宋体" w:hAnsi="宋体" w:eastAsia="宋体" w:cs="宋体"/>
          <w:sz w:val="21"/>
          <w:szCs w:val="21"/>
        </w:rPr>
      </w:pPr>
      <w:r>
        <w:rPr>
          <w:rFonts w:ascii="宋体" w:hAnsi="宋体" w:eastAsia="宋体" w:cs="宋体"/>
          <w:spacing w:val="-3"/>
          <w:sz w:val="21"/>
          <w:szCs w:val="21"/>
        </w:rPr>
        <w:t>（7）因发包人原因导致工期延误的其他情形：</w:t>
      </w:r>
    </w:p>
    <w:p w14:paraId="504B01F5">
      <w:pPr>
        <w:spacing w:line="220" w:lineRule="auto"/>
        <w:rPr>
          <w:rFonts w:ascii="宋体" w:hAnsi="宋体" w:eastAsia="宋体" w:cs="宋体"/>
          <w:sz w:val="21"/>
          <w:szCs w:val="21"/>
        </w:rPr>
        <w:sectPr>
          <w:headerReference r:id="rId221" w:type="default"/>
          <w:footerReference r:id="rId222" w:type="default"/>
          <w:pgSz w:w="11910" w:h="16845"/>
          <w:pgMar w:top="400" w:right="1764" w:bottom="1110" w:left="1786" w:header="0" w:footer="883" w:gutter="0"/>
          <w:cols w:space="720" w:num="1"/>
        </w:sectPr>
      </w:pPr>
    </w:p>
    <w:p w14:paraId="0B8A9076">
      <w:pPr>
        <w:spacing w:before="25" w:line="220" w:lineRule="auto"/>
        <w:ind w:left="449"/>
        <w:rPr>
          <w:rFonts w:ascii="宋体" w:hAnsi="宋体" w:eastAsia="宋体" w:cs="宋体"/>
          <w:sz w:val="21"/>
          <w:szCs w:val="21"/>
        </w:rPr>
      </w:pPr>
      <w:r>
        <w:rPr>
          <w:rFonts w:ascii="宋体" w:hAnsi="宋体" w:eastAsia="宋体" w:cs="宋体"/>
          <w:spacing w:val="-1"/>
          <w:sz w:val="21"/>
          <w:szCs w:val="21"/>
        </w:rPr>
        <w:t>7.5.2 因承包人原因导致工期延误</w:t>
      </w:r>
    </w:p>
    <w:p w14:paraId="501E3241">
      <w:pPr>
        <w:spacing w:before="154" w:line="220" w:lineRule="auto"/>
        <w:ind w:left="461"/>
        <w:rPr>
          <w:rFonts w:ascii="宋体" w:hAnsi="宋体" w:eastAsia="宋体" w:cs="宋体"/>
          <w:sz w:val="21"/>
          <w:szCs w:val="21"/>
        </w:rPr>
      </w:pPr>
      <w:r>
        <w:rPr>
          <w:rFonts w:ascii="宋体" w:hAnsi="宋体" w:eastAsia="宋体" w:cs="宋体"/>
          <w:spacing w:val="-2"/>
          <w:sz w:val="21"/>
          <w:szCs w:val="21"/>
        </w:rPr>
        <w:t>因承包人原因造成工期延误，逾期竣工违约金的计</w:t>
      </w:r>
      <w:r>
        <w:rPr>
          <w:rFonts w:ascii="宋体" w:hAnsi="宋体" w:eastAsia="宋体" w:cs="宋体"/>
          <w:spacing w:val="-3"/>
          <w:sz w:val="21"/>
          <w:szCs w:val="21"/>
        </w:rPr>
        <w:t>算方法为：</w:t>
      </w:r>
    </w:p>
    <w:p w14:paraId="3C854E9A">
      <w:pPr>
        <w:pStyle w:val="2"/>
        <w:spacing w:line="304" w:lineRule="auto"/>
      </w:pPr>
    </w:p>
    <w:p w14:paraId="2A150BC3">
      <w:pPr>
        <w:pStyle w:val="2"/>
        <w:spacing w:line="305" w:lineRule="auto"/>
      </w:pPr>
      <w:r>
        <w:pict>
          <v:shape id="_x0000_s1125" o:spid="_x0000_s1125" style="position:absolute;left:0pt;margin-left:21.8pt;margin-top:3pt;height:0.75pt;width:47.3pt;z-index:251771904;mso-width-relative:page;mso-height-relative:page;" fillcolor="#000000" filled="t" stroked="f" coordsize="945,15" path="m0,15l945,15,945,0,0,0,0,15xe">
            <v:path/>
            <v:fill on="t" focussize="0,0"/>
            <v:stroke on="f"/>
            <v:imagedata o:title=""/>
            <o:lock v:ext="edit"/>
          </v:shape>
        </w:pict>
      </w:r>
    </w:p>
    <w:p w14:paraId="4D5A788E">
      <w:pPr>
        <w:tabs>
          <w:tab w:val="left" w:pos="7060"/>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51A5818">
      <w:pPr>
        <w:spacing w:before="164" w:line="220" w:lineRule="auto"/>
        <w:ind w:left="461"/>
        <w:rPr>
          <w:rFonts w:ascii="宋体" w:hAnsi="宋体" w:eastAsia="宋体" w:cs="宋体"/>
          <w:sz w:val="21"/>
          <w:szCs w:val="21"/>
        </w:rPr>
      </w:pPr>
      <w:r>
        <w:rPr>
          <w:rFonts w:ascii="宋体" w:hAnsi="宋体" w:eastAsia="宋体" w:cs="宋体"/>
          <w:spacing w:val="-3"/>
          <w:sz w:val="21"/>
          <w:szCs w:val="21"/>
        </w:rPr>
        <w:t>因承包人原因造成工期延误，逾期竣工违约金的上限：</w:t>
      </w:r>
    </w:p>
    <w:p w14:paraId="2D8CAA4E">
      <w:pPr>
        <w:pStyle w:val="2"/>
        <w:spacing w:line="304" w:lineRule="auto"/>
      </w:pPr>
    </w:p>
    <w:p w14:paraId="642D6FAB">
      <w:pPr>
        <w:pStyle w:val="2"/>
        <w:spacing w:line="305" w:lineRule="auto"/>
      </w:pPr>
      <w:r>
        <w:pict>
          <v:shape id="_x0000_s1126" o:spid="_x0000_s1126" style="position:absolute;left:0pt;margin-left:21.8pt;margin-top:2.95pt;height:0.75pt;width:47.3pt;z-index:251772928;mso-width-relative:page;mso-height-relative:page;" fillcolor="#000000" filled="t" stroked="f" coordsize="945,15" path="m0,15l945,15,945,0,0,0,0,15xe">
            <v:path/>
            <v:fill on="t" focussize="0,0"/>
            <v:stroke on="f"/>
            <v:imagedata o:title=""/>
            <o:lock v:ext="edit"/>
          </v:shape>
        </w:pict>
      </w:r>
    </w:p>
    <w:p w14:paraId="1EB20629">
      <w:pPr>
        <w:spacing w:before="68" w:line="46" w:lineRule="exact"/>
        <w:ind w:left="7088"/>
        <w:rPr>
          <w:rFonts w:ascii="宋体" w:hAnsi="宋体" w:eastAsia="宋体" w:cs="宋体"/>
          <w:sz w:val="21"/>
          <w:szCs w:val="21"/>
        </w:rPr>
      </w:pPr>
      <w:r>
        <w:pict>
          <v:shape id="_x0000_s1127" o:spid="_x0000_s1127" o:spt="202" type="#_x0000_t202" style="position:absolute;left:0pt;margin-left:-0.2pt;margin-top:-3.3pt;height:35.1pt;width:354.25pt;z-index:251766784;mso-width-relative:page;mso-height-relative:page;" filled="f" stroked="f" coordsize="21600,21600">
            <v:path/>
            <v:fill on="f" focussize="0,0"/>
            <v:stroke on="f"/>
            <v:imagedata o:title=""/>
            <o:lock v:ext="edit" aspectratio="f"/>
            <v:textbox inset="0mm,0mm,0mm,0mm">
              <w:txbxContent>
                <w:p w14:paraId="0571FD8A">
                  <w:pPr>
                    <w:pStyle w:val="2"/>
                    <w:tabs>
                      <w:tab w:val="left" w:pos="7064"/>
                    </w:tabs>
                    <w:spacing w:before="20"/>
                    <w:ind w:left="20"/>
                  </w:pPr>
                  <w:r>
                    <w:rPr>
                      <w:u w:val="single" w:color="auto"/>
                    </w:rPr>
                    <w:tab/>
                  </w:r>
                </w:p>
                <w:p w14:paraId="164EA169">
                  <w:pPr>
                    <w:spacing w:before="116" w:line="233" w:lineRule="auto"/>
                    <w:ind w:left="28"/>
                    <w:outlineLvl w:val="1"/>
                    <w:rPr>
                      <w:rFonts w:ascii="黑体" w:hAnsi="黑体" w:eastAsia="黑体" w:cs="黑体"/>
                      <w:sz w:val="24"/>
                      <w:szCs w:val="24"/>
                    </w:rPr>
                  </w:pPr>
                  <w:bookmarkStart w:id="700" w:name="bookmark469"/>
                  <w:bookmarkEnd w:id="700"/>
                  <w:r>
                    <w:rPr>
                      <w:rFonts w:ascii="Times New Roman" w:hAnsi="Times New Roman" w:eastAsia="Times New Roman" w:cs="Times New Roman"/>
                      <w:b/>
                      <w:bCs/>
                      <w:spacing w:val="2"/>
                      <w:sz w:val="24"/>
                      <w:szCs w:val="24"/>
                    </w:rPr>
                    <w:t xml:space="preserve">7.6  </w:t>
                  </w:r>
                  <w:r>
                    <w:rPr>
                      <w:rFonts w:ascii="黑体" w:hAnsi="黑体" w:eastAsia="黑体" w:cs="黑体"/>
                      <w:b/>
                      <w:bCs/>
                      <w:spacing w:val="2"/>
                      <w:sz w:val="24"/>
                      <w:szCs w:val="24"/>
                    </w:rPr>
                    <w:t>不利物质条件</w:t>
                  </w:r>
                </w:p>
              </w:txbxContent>
            </v:textbox>
          </v:shape>
        </w:pict>
      </w:r>
      <w:r>
        <w:rPr>
          <w:rFonts w:ascii="宋体" w:hAnsi="宋体" w:eastAsia="宋体" w:cs="宋体"/>
          <w:position w:val="-1"/>
          <w:sz w:val="21"/>
          <w:szCs w:val="21"/>
        </w:rPr>
        <w:t>。</w:t>
      </w:r>
    </w:p>
    <w:p w14:paraId="79893323">
      <w:pPr>
        <w:pStyle w:val="2"/>
        <w:spacing w:line="278" w:lineRule="auto"/>
      </w:pPr>
    </w:p>
    <w:p w14:paraId="2EF62F33">
      <w:pPr>
        <w:pStyle w:val="2"/>
        <w:spacing w:line="279" w:lineRule="auto"/>
      </w:pPr>
    </w:p>
    <w:p w14:paraId="5EA9CF33">
      <w:pPr>
        <w:spacing w:before="68" w:line="220" w:lineRule="auto"/>
        <w:ind w:left="448"/>
        <w:rPr>
          <w:rFonts w:ascii="宋体" w:hAnsi="宋体" w:eastAsia="宋体" w:cs="宋体"/>
          <w:sz w:val="21"/>
          <w:szCs w:val="21"/>
        </w:rPr>
      </w:pPr>
      <w:r>
        <w:rPr>
          <w:rFonts w:ascii="宋体" w:hAnsi="宋体" w:eastAsia="宋体" w:cs="宋体"/>
          <w:spacing w:val="-3"/>
          <w:sz w:val="21"/>
          <w:szCs w:val="21"/>
        </w:rPr>
        <w:t>不利物质条件的其他情形和有关约定：</w:t>
      </w:r>
    </w:p>
    <w:p w14:paraId="1399E67C">
      <w:pPr>
        <w:pStyle w:val="2"/>
        <w:tabs>
          <w:tab w:val="left" w:pos="1381"/>
        </w:tabs>
        <w:spacing w:before="162"/>
        <w:ind w:left="436"/>
      </w:pPr>
      <w:r>
        <w:rPr>
          <w:u w:val="single" w:color="auto"/>
        </w:rPr>
        <w:tab/>
      </w:r>
    </w:p>
    <w:p w14:paraId="3C043C6F">
      <w:pPr>
        <w:spacing w:before="279" w:line="45" w:lineRule="exact"/>
        <w:ind w:left="7088"/>
        <w:rPr>
          <w:rFonts w:ascii="宋体" w:hAnsi="宋体" w:eastAsia="宋体" w:cs="宋体"/>
          <w:sz w:val="21"/>
          <w:szCs w:val="21"/>
        </w:rPr>
      </w:pPr>
      <w:r>
        <w:pict>
          <v:shape id="_x0000_s1128" o:spid="_x0000_s1128" o:spt="202" type="#_x0000_t202" style="position:absolute;left:0pt;margin-left:-0.2pt;margin-top:7.15pt;height:14.1pt;width:354.25pt;z-index:251768832;mso-width-relative:page;mso-height-relative:page;" filled="f" stroked="f" coordsize="21600,21600">
            <v:path/>
            <v:fill on="f" focussize="0,0"/>
            <v:stroke on="f"/>
            <v:imagedata o:title=""/>
            <o:lock v:ext="edit" aspectratio="f"/>
            <v:textbox inset="0mm,0mm,0mm,0mm">
              <w:txbxContent>
                <w:p w14:paraId="4B472673">
                  <w:pPr>
                    <w:pStyle w:val="2"/>
                    <w:tabs>
                      <w:tab w:val="left" w:pos="7064"/>
                    </w:tabs>
                    <w:spacing w:before="20"/>
                    <w:ind w:left="20"/>
                  </w:pPr>
                  <w:r>
                    <w:rPr>
                      <w:u w:val="single" w:color="auto"/>
                    </w:rPr>
                    <w:tab/>
                  </w:r>
                </w:p>
              </w:txbxContent>
            </v:textbox>
          </v:shape>
        </w:pict>
      </w:r>
      <w:r>
        <w:rPr>
          <w:rFonts w:ascii="宋体" w:hAnsi="宋体" w:eastAsia="宋体" w:cs="宋体"/>
          <w:position w:val="-1"/>
          <w:sz w:val="21"/>
          <w:szCs w:val="21"/>
        </w:rPr>
        <w:t>。</w:t>
      </w:r>
    </w:p>
    <w:p w14:paraId="1C4F626B">
      <w:pPr>
        <w:spacing w:before="199" w:line="232" w:lineRule="auto"/>
        <w:ind w:left="24"/>
        <w:outlineLvl w:val="1"/>
        <w:rPr>
          <w:rFonts w:ascii="黑体" w:hAnsi="黑体" w:eastAsia="黑体" w:cs="黑体"/>
          <w:sz w:val="24"/>
          <w:szCs w:val="24"/>
        </w:rPr>
      </w:pPr>
      <w:bookmarkStart w:id="528" w:name="bookmark470"/>
      <w:bookmarkEnd w:id="528"/>
      <w:r>
        <w:rPr>
          <w:rFonts w:ascii="Times New Roman" w:hAnsi="Times New Roman" w:eastAsia="Times New Roman" w:cs="Times New Roman"/>
          <w:b/>
          <w:bCs/>
          <w:spacing w:val="2"/>
          <w:sz w:val="24"/>
          <w:szCs w:val="24"/>
        </w:rPr>
        <w:t xml:space="preserve">7.7 </w:t>
      </w:r>
      <w:r>
        <w:rPr>
          <w:rFonts w:ascii="黑体" w:hAnsi="黑体" w:eastAsia="黑体" w:cs="黑体"/>
          <w:b/>
          <w:bCs/>
          <w:spacing w:val="2"/>
          <w:sz w:val="24"/>
          <w:szCs w:val="24"/>
        </w:rPr>
        <w:t>异常恶劣的气候条件</w:t>
      </w:r>
    </w:p>
    <w:p w14:paraId="0B647148">
      <w:pPr>
        <w:spacing w:before="114" w:line="220" w:lineRule="auto"/>
        <w:ind w:left="448"/>
        <w:rPr>
          <w:rFonts w:ascii="宋体" w:hAnsi="宋体" w:eastAsia="宋体" w:cs="宋体"/>
          <w:sz w:val="21"/>
          <w:szCs w:val="21"/>
        </w:rPr>
      </w:pPr>
      <w:r>
        <w:rPr>
          <w:rFonts w:ascii="宋体" w:hAnsi="宋体" w:eastAsia="宋体" w:cs="宋体"/>
          <w:spacing w:val="-2"/>
          <w:sz w:val="21"/>
          <w:szCs w:val="21"/>
        </w:rPr>
        <w:t>发包人和承包人同意以下情形视为异常恶劣的气候条件：</w:t>
      </w:r>
    </w:p>
    <w:p w14:paraId="03D5688D">
      <w:pPr>
        <w:spacing w:before="154" w:line="350" w:lineRule="auto"/>
        <w:ind w:left="450" w:right="2693"/>
        <w:rPr>
          <w:rFonts w:ascii="宋体" w:hAnsi="宋体" w:eastAsia="宋体" w:cs="宋体"/>
          <w:sz w:val="21"/>
          <w:szCs w:val="21"/>
        </w:rPr>
      </w:pPr>
      <w:r>
        <w:rPr>
          <w:rFonts w:ascii="宋体" w:hAnsi="宋体" w:eastAsia="宋体" w:cs="宋体"/>
          <w:spacing w:val="-7"/>
          <w:sz w:val="21"/>
          <w:szCs w:val="21"/>
        </w:rPr>
        <w:t>（1</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r>
        <w:rPr>
          <w:rFonts w:ascii="宋体" w:hAnsi="宋体" w:eastAsia="宋体" w:cs="宋体"/>
          <w:spacing w:val="6"/>
          <w:sz w:val="21"/>
          <w:szCs w:val="21"/>
        </w:rPr>
        <w:t xml:space="preserve"> </w:t>
      </w:r>
      <w:r>
        <w:rPr>
          <w:rFonts w:ascii="宋体" w:hAnsi="宋体" w:eastAsia="宋体" w:cs="宋体"/>
          <w:spacing w:val="-7"/>
          <w:sz w:val="21"/>
          <w:szCs w:val="21"/>
        </w:rPr>
        <w:t>（2</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p>
    <w:p w14:paraId="498D00E8">
      <w:pPr>
        <w:spacing w:before="1" w:line="231" w:lineRule="auto"/>
        <w:ind w:left="450"/>
        <w:rPr>
          <w:rFonts w:ascii="宋体" w:hAnsi="宋体" w:eastAsia="宋体" w:cs="宋体"/>
          <w:sz w:val="21"/>
          <w:szCs w:val="21"/>
        </w:rPr>
      </w:pPr>
      <w:r>
        <w:rPr>
          <w:rFonts w:ascii="宋体" w:hAnsi="宋体" w:eastAsia="宋体" w:cs="宋体"/>
          <w:spacing w:val="-4"/>
          <w:sz w:val="21"/>
          <w:szCs w:val="21"/>
        </w:rPr>
        <w:t>（3）</w:t>
      </w:r>
      <w:r>
        <w:rPr>
          <w:rFonts w:ascii="宋体" w:hAnsi="宋体" w:eastAsia="宋体" w:cs="宋体"/>
          <w:sz w:val="21"/>
          <w:szCs w:val="21"/>
          <w:u w:val="single" w:color="auto"/>
        </w:rPr>
        <w:t xml:space="preserve">                                           </w:t>
      </w:r>
      <w:r>
        <w:rPr>
          <w:rFonts w:ascii="宋体" w:hAnsi="宋体" w:eastAsia="宋体" w:cs="宋体"/>
          <w:spacing w:val="-4"/>
          <w:sz w:val="21"/>
          <w:szCs w:val="21"/>
        </w:rPr>
        <w:t>。</w:t>
      </w:r>
    </w:p>
    <w:p w14:paraId="4639FC96">
      <w:pPr>
        <w:spacing w:before="116" w:line="232" w:lineRule="auto"/>
        <w:ind w:left="24"/>
        <w:outlineLvl w:val="1"/>
        <w:rPr>
          <w:rFonts w:ascii="黑体" w:hAnsi="黑体" w:eastAsia="黑体" w:cs="黑体"/>
          <w:sz w:val="24"/>
          <w:szCs w:val="24"/>
        </w:rPr>
      </w:pPr>
      <w:bookmarkStart w:id="529" w:name="bookmark471"/>
      <w:bookmarkEnd w:id="529"/>
      <w:r>
        <w:rPr>
          <w:rFonts w:ascii="Times New Roman" w:hAnsi="Times New Roman" w:eastAsia="Times New Roman" w:cs="Times New Roman"/>
          <w:b/>
          <w:bCs/>
          <w:spacing w:val="1"/>
          <w:sz w:val="24"/>
          <w:szCs w:val="24"/>
        </w:rPr>
        <w:t xml:space="preserve">7.9  </w:t>
      </w:r>
      <w:r>
        <w:rPr>
          <w:rFonts w:ascii="黑体" w:hAnsi="黑体" w:eastAsia="黑体" w:cs="黑体"/>
          <w:b/>
          <w:bCs/>
          <w:spacing w:val="1"/>
          <w:sz w:val="24"/>
          <w:szCs w:val="24"/>
        </w:rPr>
        <w:t>提前竣工的奖励</w:t>
      </w:r>
    </w:p>
    <w:p w14:paraId="179708D6">
      <w:pPr>
        <w:spacing w:before="130" w:line="220" w:lineRule="auto"/>
        <w:ind w:left="449"/>
        <w:rPr>
          <w:rFonts w:ascii="宋体" w:hAnsi="宋体" w:eastAsia="宋体" w:cs="宋体"/>
          <w:sz w:val="21"/>
          <w:szCs w:val="21"/>
        </w:rPr>
      </w:pPr>
      <w:r>
        <w:rPr>
          <w:rFonts w:ascii="宋体" w:hAnsi="宋体" w:eastAsia="宋体" w:cs="宋体"/>
          <w:spacing w:val="-5"/>
          <w:sz w:val="21"/>
          <w:szCs w:val="21"/>
        </w:rPr>
        <w:t>7.9.2</w:t>
      </w:r>
      <w:r>
        <w:rPr>
          <w:rFonts w:ascii="宋体" w:hAnsi="宋体" w:eastAsia="宋体" w:cs="宋体"/>
          <w:spacing w:val="-32"/>
          <w:sz w:val="21"/>
          <w:szCs w:val="21"/>
        </w:rPr>
        <w:t xml:space="preserve"> </w:t>
      </w:r>
      <w:r>
        <w:rPr>
          <w:rFonts w:ascii="宋体" w:hAnsi="宋体" w:eastAsia="宋体" w:cs="宋体"/>
          <w:spacing w:val="-5"/>
          <w:sz w:val="21"/>
          <w:szCs w:val="21"/>
        </w:rPr>
        <w:t>提前竣工的奖励：</w:t>
      </w:r>
    </w:p>
    <w:p w14:paraId="2F055E0E">
      <w:pPr>
        <w:pStyle w:val="2"/>
        <w:tabs>
          <w:tab w:val="left" w:pos="1381"/>
        </w:tabs>
        <w:spacing w:before="161"/>
        <w:ind w:left="436"/>
      </w:pPr>
      <w:r>
        <w:rPr>
          <w:u w:val="single" w:color="auto"/>
        </w:rPr>
        <w:tab/>
      </w:r>
    </w:p>
    <w:p w14:paraId="785C2015">
      <w:pPr>
        <w:spacing w:before="278" w:line="46" w:lineRule="exact"/>
        <w:ind w:left="7088"/>
        <w:rPr>
          <w:rFonts w:ascii="宋体" w:hAnsi="宋体" w:eastAsia="宋体" w:cs="宋体"/>
          <w:sz w:val="21"/>
          <w:szCs w:val="21"/>
        </w:rPr>
      </w:pPr>
      <w:r>
        <w:pict>
          <v:shape id="_x0000_s1129" o:spid="_x0000_s1129" o:spt="202" type="#_x0000_t202" style="position:absolute;left:0pt;margin-left:-0.2pt;margin-top:7.15pt;height:14.1pt;width:354.25pt;z-index:251770880;mso-width-relative:page;mso-height-relative:page;" filled="f" stroked="f" coordsize="21600,21600">
            <v:path/>
            <v:fill on="f" focussize="0,0"/>
            <v:stroke on="f"/>
            <v:imagedata o:title=""/>
            <o:lock v:ext="edit" aspectratio="f"/>
            <v:textbox inset="0mm,0mm,0mm,0mm">
              <w:txbxContent>
                <w:p w14:paraId="05C40761">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543FAF93">
      <w:pPr>
        <w:spacing w:before="264" w:line="237" w:lineRule="auto"/>
        <w:ind w:left="25"/>
        <w:outlineLvl w:val="0"/>
        <w:rPr>
          <w:rFonts w:ascii="黑体" w:hAnsi="黑体" w:eastAsia="黑体" w:cs="黑体"/>
          <w:sz w:val="28"/>
          <w:szCs w:val="28"/>
        </w:rPr>
      </w:pPr>
      <w:bookmarkStart w:id="530" w:name="bookmark472"/>
      <w:bookmarkEnd w:id="530"/>
      <w:bookmarkStart w:id="531" w:name="bookmark473"/>
      <w:bookmarkEnd w:id="531"/>
      <w:r>
        <w:rPr>
          <w:rFonts w:ascii="Times New Roman" w:hAnsi="Times New Roman" w:eastAsia="Times New Roman" w:cs="Times New Roman"/>
          <w:b/>
          <w:bCs/>
          <w:spacing w:val="6"/>
          <w:sz w:val="28"/>
          <w:szCs w:val="28"/>
        </w:rPr>
        <w:t>8.</w:t>
      </w:r>
      <w:r>
        <w:rPr>
          <w:rFonts w:ascii="Times New Roman" w:hAnsi="Times New Roman" w:eastAsia="Times New Roman" w:cs="Times New Roman"/>
          <w:b/>
          <w:bCs/>
          <w:spacing w:val="64"/>
          <w:sz w:val="28"/>
          <w:szCs w:val="28"/>
        </w:rPr>
        <w:t xml:space="preserve"> </w:t>
      </w:r>
      <w:r>
        <w:rPr>
          <w:rFonts w:ascii="黑体" w:hAnsi="黑体" w:eastAsia="黑体" w:cs="黑体"/>
          <w:b/>
          <w:bCs/>
          <w:spacing w:val="6"/>
          <w:sz w:val="28"/>
          <w:szCs w:val="28"/>
        </w:rPr>
        <w:t>材料与设备</w:t>
      </w:r>
    </w:p>
    <w:p w14:paraId="493D4C7B">
      <w:pPr>
        <w:spacing w:before="70" w:line="233" w:lineRule="auto"/>
        <w:ind w:left="24"/>
        <w:outlineLvl w:val="1"/>
        <w:rPr>
          <w:rFonts w:ascii="黑体" w:hAnsi="黑体" w:eastAsia="黑体" w:cs="黑体"/>
          <w:sz w:val="24"/>
          <w:szCs w:val="24"/>
        </w:rPr>
      </w:pPr>
      <w:bookmarkStart w:id="532" w:name="bookmark710"/>
      <w:bookmarkEnd w:id="532"/>
      <w:r>
        <w:rPr>
          <w:rFonts w:ascii="Times New Roman" w:hAnsi="Times New Roman" w:eastAsia="Times New Roman" w:cs="Times New Roman"/>
          <w:b/>
          <w:bCs/>
          <w:spacing w:val="1"/>
          <w:sz w:val="24"/>
          <w:szCs w:val="24"/>
        </w:rPr>
        <w:t xml:space="preserve">8.4 </w:t>
      </w:r>
      <w:r>
        <w:rPr>
          <w:rFonts w:ascii="黑体" w:hAnsi="黑体" w:eastAsia="黑体" w:cs="黑体"/>
          <w:b/>
          <w:bCs/>
          <w:spacing w:val="1"/>
          <w:sz w:val="24"/>
          <w:szCs w:val="24"/>
        </w:rPr>
        <w:t>材料与工程设备的保管与使用</w:t>
      </w:r>
    </w:p>
    <w:p w14:paraId="61A01AF6">
      <w:pPr>
        <w:spacing w:before="129" w:line="219" w:lineRule="auto"/>
        <w:ind w:left="445"/>
        <w:rPr>
          <w:rFonts w:ascii="宋体" w:hAnsi="宋体" w:eastAsia="宋体" w:cs="宋体"/>
          <w:sz w:val="21"/>
          <w:szCs w:val="21"/>
        </w:rPr>
      </w:pPr>
      <w:r>
        <w:rPr>
          <w:rFonts w:ascii="宋体" w:hAnsi="宋体" w:eastAsia="宋体" w:cs="宋体"/>
          <w:spacing w:val="-3"/>
          <w:sz w:val="21"/>
          <w:szCs w:val="21"/>
        </w:rPr>
        <w:t>8.4.1</w:t>
      </w:r>
      <w:r>
        <w:rPr>
          <w:rFonts w:ascii="宋体" w:hAnsi="宋体" w:eastAsia="宋体" w:cs="宋体"/>
          <w:spacing w:val="-20"/>
          <w:sz w:val="21"/>
          <w:szCs w:val="21"/>
        </w:rPr>
        <w:t xml:space="preserve"> </w:t>
      </w:r>
      <w:r>
        <w:rPr>
          <w:rFonts w:ascii="宋体" w:hAnsi="宋体" w:eastAsia="宋体" w:cs="宋体"/>
          <w:spacing w:val="-3"/>
          <w:sz w:val="21"/>
          <w:szCs w:val="21"/>
        </w:rPr>
        <w:t>发包人供应的材料设备的保管费用的承担：</w:t>
      </w:r>
    </w:p>
    <w:p w14:paraId="636C3B2B">
      <w:pPr>
        <w:pStyle w:val="2"/>
        <w:spacing w:line="305" w:lineRule="auto"/>
      </w:pPr>
    </w:p>
    <w:p w14:paraId="68E85408">
      <w:pPr>
        <w:pStyle w:val="2"/>
        <w:spacing w:line="305" w:lineRule="auto"/>
      </w:pPr>
      <w:r>
        <w:pict>
          <v:shape id="_x0000_s1130" o:spid="_x0000_s1130" style="position:absolute;left:0pt;margin-left:21.8pt;margin-top:2.2pt;height:0.75pt;width:47.3pt;z-index:251773952;mso-width-relative:page;mso-height-relative:page;" fillcolor="#000000" filled="t" stroked="f" coordsize="945,15" path="m0,15l945,15,945,0,0,0,0,15xe">
            <v:path/>
            <v:fill on="t" focussize="0,0"/>
            <v:stroke on="f"/>
            <v:imagedata o:title=""/>
            <o:lock v:ext="edit"/>
          </v:shape>
        </w:pict>
      </w:r>
    </w:p>
    <w:p w14:paraId="69166277">
      <w:pPr>
        <w:spacing w:before="68" w:line="46" w:lineRule="exact"/>
        <w:ind w:left="7088"/>
        <w:rPr>
          <w:rFonts w:ascii="宋体" w:hAnsi="宋体" w:eastAsia="宋体" w:cs="宋体"/>
          <w:sz w:val="21"/>
          <w:szCs w:val="21"/>
        </w:rPr>
      </w:pPr>
      <w:r>
        <w:pict>
          <v:shape id="_x0000_s1131" o:spid="_x0000_s1131" o:spt="202" type="#_x0000_t202" style="position:absolute;left:0pt;margin-left:-0.2pt;margin-top:-3.3pt;height:35.25pt;width:354.25pt;z-index:251767808;mso-width-relative:page;mso-height-relative:page;" filled="f" stroked="f" coordsize="21600,21600">
            <v:path/>
            <v:fill on="f" focussize="0,0"/>
            <v:stroke on="f"/>
            <v:imagedata o:title=""/>
            <o:lock v:ext="edit" aspectratio="f"/>
            <v:textbox inset="0mm,0mm,0mm,0mm">
              <w:txbxContent>
                <w:p w14:paraId="3CD0424E">
                  <w:pPr>
                    <w:pStyle w:val="2"/>
                    <w:tabs>
                      <w:tab w:val="left" w:pos="7064"/>
                    </w:tabs>
                    <w:spacing w:before="19"/>
                    <w:ind w:left="20"/>
                  </w:pPr>
                  <w:r>
                    <w:rPr>
                      <w:u w:val="single" w:color="auto"/>
                    </w:rPr>
                    <w:tab/>
                  </w:r>
                </w:p>
                <w:p w14:paraId="51A10260">
                  <w:pPr>
                    <w:spacing w:before="117" w:line="235" w:lineRule="auto"/>
                    <w:ind w:left="28"/>
                    <w:outlineLvl w:val="1"/>
                    <w:rPr>
                      <w:rFonts w:ascii="黑体" w:hAnsi="黑体" w:eastAsia="黑体" w:cs="黑体"/>
                      <w:sz w:val="24"/>
                      <w:szCs w:val="24"/>
                    </w:rPr>
                  </w:pPr>
                  <w:bookmarkStart w:id="701" w:name="bookmark474"/>
                  <w:bookmarkEnd w:id="701"/>
                  <w:r>
                    <w:rPr>
                      <w:rFonts w:ascii="Times New Roman" w:hAnsi="Times New Roman" w:eastAsia="Times New Roman" w:cs="Times New Roman"/>
                      <w:b/>
                      <w:bCs/>
                      <w:spacing w:val="-2"/>
                      <w:sz w:val="24"/>
                      <w:szCs w:val="24"/>
                    </w:rPr>
                    <w:t>8.6</w:t>
                  </w:r>
                  <w:r>
                    <w:rPr>
                      <w:rFonts w:ascii="Times New Roman" w:hAnsi="Times New Roman" w:eastAsia="Times New Roman" w:cs="Times New Roman"/>
                      <w:b/>
                      <w:bCs/>
                      <w:spacing w:val="5"/>
                      <w:sz w:val="24"/>
                      <w:szCs w:val="24"/>
                    </w:rPr>
                    <w:t xml:space="preserve">  </w:t>
                  </w:r>
                  <w:r>
                    <w:rPr>
                      <w:rFonts w:ascii="黑体" w:hAnsi="黑体" w:eastAsia="黑体" w:cs="黑体"/>
                      <w:b/>
                      <w:bCs/>
                      <w:spacing w:val="-2"/>
                      <w:sz w:val="24"/>
                      <w:szCs w:val="24"/>
                    </w:rPr>
                    <w:t>样品</w:t>
                  </w:r>
                </w:p>
              </w:txbxContent>
            </v:textbox>
          </v:shape>
        </w:pict>
      </w:r>
      <w:r>
        <w:rPr>
          <w:rFonts w:ascii="宋体" w:hAnsi="宋体" w:eastAsia="宋体" w:cs="宋体"/>
          <w:position w:val="-1"/>
          <w:sz w:val="21"/>
          <w:szCs w:val="21"/>
        </w:rPr>
        <w:t>。</w:t>
      </w:r>
    </w:p>
    <w:p w14:paraId="596CE42E">
      <w:pPr>
        <w:pStyle w:val="2"/>
        <w:spacing w:line="271" w:lineRule="auto"/>
      </w:pPr>
    </w:p>
    <w:p w14:paraId="2F7E8BD6">
      <w:pPr>
        <w:pStyle w:val="2"/>
        <w:spacing w:line="271" w:lineRule="auto"/>
      </w:pPr>
    </w:p>
    <w:p w14:paraId="2B5F028B">
      <w:pPr>
        <w:spacing w:before="68" w:line="220" w:lineRule="auto"/>
        <w:ind w:left="445"/>
        <w:rPr>
          <w:rFonts w:ascii="宋体" w:hAnsi="宋体" w:eastAsia="宋体" w:cs="宋体"/>
          <w:sz w:val="21"/>
          <w:szCs w:val="21"/>
        </w:rPr>
      </w:pPr>
      <w:r>
        <w:rPr>
          <w:rFonts w:ascii="宋体" w:hAnsi="宋体" w:eastAsia="宋体" w:cs="宋体"/>
          <w:spacing w:val="-2"/>
          <w:sz w:val="21"/>
          <w:szCs w:val="21"/>
        </w:rPr>
        <w:t>8.6.1</w:t>
      </w:r>
      <w:r>
        <w:rPr>
          <w:rFonts w:ascii="宋体" w:hAnsi="宋体" w:eastAsia="宋体" w:cs="宋体"/>
          <w:spacing w:val="-27"/>
          <w:sz w:val="21"/>
          <w:szCs w:val="21"/>
        </w:rPr>
        <w:t xml:space="preserve"> </w:t>
      </w:r>
      <w:r>
        <w:rPr>
          <w:rFonts w:ascii="宋体" w:hAnsi="宋体" w:eastAsia="宋体" w:cs="宋体"/>
          <w:spacing w:val="-2"/>
          <w:sz w:val="21"/>
          <w:szCs w:val="21"/>
        </w:rPr>
        <w:t>样品的报送与封存</w:t>
      </w:r>
    </w:p>
    <w:p w14:paraId="3B67837D">
      <w:pPr>
        <w:pStyle w:val="2"/>
        <w:tabs>
          <w:tab w:val="left" w:pos="1381"/>
        </w:tabs>
        <w:spacing w:before="155" w:line="404" w:lineRule="auto"/>
        <w:ind w:left="436" w:right="581" w:firstLine="19"/>
      </w:pPr>
      <w:r>
        <w:rPr>
          <w:rFonts w:ascii="宋体" w:hAnsi="宋体" w:eastAsia="宋体" w:cs="宋体"/>
          <w:spacing w:val="-2"/>
        </w:rPr>
        <w:t>需要承包人报送样品的材料或工程设备，样品的种类、名称、规格、数量要求：</w:t>
      </w:r>
      <w:r>
        <w:rPr>
          <w:u w:val="single" w:color="auto"/>
        </w:rPr>
        <w:tab/>
      </w:r>
    </w:p>
    <w:p w14:paraId="7D6117EC">
      <w:pPr>
        <w:spacing w:before="67" w:line="45" w:lineRule="exact"/>
        <w:ind w:left="7088"/>
        <w:rPr>
          <w:rFonts w:ascii="宋体" w:hAnsi="宋体" w:eastAsia="宋体" w:cs="宋体"/>
          <w:sz w:val="21"/>
          <w:szCs w:val="21"/>
        </w:rPr>
      </w:pPr>
      <w:r>
        <w:pict>
          <v:shape id="_x0000_s1132" o:spid="_x0000_s1132" o:spt="202" type="#_x0000_t202" style="position:absolute;left:0pt;margin-left:-0.2pt;margin-top:-3.4pt;height:14.1pt;width:354.25pt;z-index:251769856;mso-width-relative:page;mso-height-relative:page;" filled="f" stroked="f" coordsize="21600,21600">
            <v:path/>
            <v:fill on="f" focussize="0,0"/>
            <v:stroke on="f"/>
            <v:imagedata o:title=""/>
            <o:lock v:ext="edit" aspectratio="f"/>
            <v:textbox inset="0mm,0mm,0mm,0mm">
              <w:txbxContent>
                <w:p w14:paraId="1E9CA05A">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52C88275">
      <w:pPr>
        <w:spacing w:before="198" w:line="233" w:lineRule="auto"/>
        <w:ind w:left="24"/>
        <w:outlineLvl w:val="1"/>
        <w:rPr>
          <w:rFonts w:ascii="黑体" w:hAnsi="黑体" w:eastAsia="黑体" w:cs="黑体"/>
          <w:sz w:val="24"/>
          <w:szCs w:val="24"/>
        </w:rPr>
      </w:pPr>
      <w:bookmarkStart w:id="533" w:name="bookmark475"/>
      <w:bookmarkEnd w:id="533"/>
      <w:r>
        <w:rPr>
          <w:rFonts w:ascii="Times New Roman" w:hAnsi="Times New Roman" w:eastAsia="Times New Roman" w:cs="Times New Roman"/>
          <w:b/>
          <w:bCs/>
          <w:spacing w:val="2"/>
          <w:sz w:val="24"/>
          <w:szCs w:val="24"/>
        </w:rPr>
        <w:t xml:space="preserve">8.8  </w:t>
      </w:r>
      <w:r>
        <w:rPr>
          <w:rFonts w:ascii="黑体" w:hAnsi="黑体" w:eastAsia="黑体" w:cs="黑体"/>
          <w:b/>
          <w:bCs/>
          <w:spacing w:val="2"/>
          <w:sz w:val="24"/>
          <w:szCs w:val="24"/>
        </w:rPr>
        <w:t>施工设备和临时设施</w:t>
      </w:r>
    </w:p>
    <w:p w14:paraId="551CAE30">
      <w:pPr>
        <w:spacing w:before="128" w:line="219" w:lineRule="auto"/>
        <w:ind w:left="445"/>
        <w:rPr>
          <w:rFonts w:ascii="宋体" w:hAnsi="宋体" w:eastAsia="宋体" w:cs="宋体"/>
          <w:sz w:val="21"/>
          <w:szCs w:val="21"/>
        </w:rPr>
      </w:pPr>
      <w:r>
        <w:rPr>
          <w:rFonts w:ascii="宋体" w:hAnsi="宋体" w:eastAsia="宋体" w:cs="宋体"/>
          <w:spacing w:val="-1"/>
          <w:sz w:val="21"/>
          <w:szCs w:val="21"/>
        </w:rPr>
        <w:t>8.8.1 承包人提供的施工设备和临时设施</w:t>
      </w:r>
    </w:p>
    <w:p w14:paraId="38002617">
      <w:pPr>
        <w:spacing w:line="219" w:lineRule="auto"/>
        <w:rPr>
          <w:rFonts w:ascii="宋体" w:hAnsi="宋体" w:eastAsia="宋体" w:cs="宋体"/>
          <w:sz w:val="21"/>
          <w:szCs w:val="21"/>
        </w:rPr>
        <w:sectPr>
          <w:headerReference r:id="rId223" w:type="default"/>
          <w:footerReference r:id="rId224" w:type="default"/>
          <w:pgSz w:w="11910" w:h="16845"/>
          <w:pgMar w:top="2345" w:right="1786" w:bottom="1110" w:left="1786" w:header="1647" w:footer="883" w:gutter="0"/>
          <w:cols w:space="720" w:num="1"/>
        </w:sectPr>
      </w:pPr>
    </w:p>
    <w:p w14:paraId="112D1BD3">
      <w:pPr>
        <w:pStyle w:val="2"/>
        <w:spacing w:line="275" w:lineRule="auto"/>
      </w:pPr>
    </w:p>
    <w:p w14:paraId="313D9269">
      <w:pPr>
        <w:pStyle w:val="2"/>
        <w:spacing w:line="275" w:lineRule="auto"/>
      </w:pPr>
    </w:p>
    <w:p w14:paraId="4AFA9220">
      <w:pPr>
        <w:pStyle w:val="2"/>
        <w:spacing w:line="275" w:lineRule="auto"/>
      </w:pPr>
    </w:p>
    <w:p w14:paraId="38CD193D">
      <w:pPr>
        <w:pStyle w:val="2"/>
        <w:spacing w:line="275" w:lineRule="auto"/>
      </w:pPr>
    </w:p>
    <w:p w14:paraId="2F5F9EAD">
      <w:pPr>
        <w:spacing w:before="68" w:line="220" w:lineRule="auto"/>
        <w:ind w:left="448"/>
        <w:rPr>
          <w:rFonts w:ascii="宋体" w:hAnsi="宋体" w:eastAsia="宋体" w:cs="宋体"/>
          <w:sz w:val="21"/>
          <w:szCs w:val="21"/>
        </w:rPr>
      </w:pPr>
      <w:r>
        <w:rPr>
          <w:rFonts w:ascii="宋体" w:hAnsi="宋体" w:eastAsia="宋体" w:cs="宋体"/>
          <w:spacing w:val="-4"/>
          <w:sz w:val="21"/>
          <w:szCs w:val="21"/>
        </w:rPr>
        <w:t>关于修建临时设施费用承担的约定：</w:t>
      </w:r>
    </w:p>
    <w:p w14:paraId="556B6322">
      <w:pPr>
        <w:pStyle w:val="2"/>
        <w:spacing w:line="304" w:lineRule="auto"/>
      </w:pPr>
    </w:p>
    <w:p w14:paraId="70AA07E9">
      <w:pPr>
        <w:pStyle w:val="2"/>
        <w:spacing w:line="305" w:lineRule="auto"/>
      </w:pPr>
      <w:r>
        <w:pict>
          <v:shape id="_x0000_s1133" o:spid="_x0000_s1133" style="position:absolute;left:0pt;margin-left:21.8pt;margin-top:3pt;height:0.75pt;width:47.3pt;z-index:251780096;mso-width-relative:page;mso-height-relative:page;" fillcolor="#000000" filled="t" stroked="f" coordsize="945,15" path="m0,15l945,15,945,0,0,0,0,15xe">
            <v:path/>
            <v:fill on="t" focussize="0,0"/>
            <v:stroke on="f"/>
            <v:imagedata o:title=""/>
            <o:lock v:ext="edit"/>
          </v:shape>
        </w:pict>
      </w:r>
    </w:p>
    <w:p w14:paraId="7D5BB5AC">
      <w:pPr>
        <w:spacing w:before="68" w:line="46" w:lineRule="exact"/>
        <w:ind w:left="7088"/>
        <w:rPr>
          <w:rFonts w:ascii="宋体" w:hAnsi="宋体" w:eastAsia="宋体" w:cs="宋体"/>
          <w:sz w:val="21"/>
          <w:szCs w:val="21"/>
        </w:rPr>
      </w:pPr>
      <w:r>
        <w:pict>
          <v:shape id="_x0000_s1134" o:spid="_x0000_s1134" o:spt="202" type="#_x0000_t202" style="position:absolute;left:0pt;margin-left:-0.2pt;margin-top:-3.25pt;height:59.8pt;width:354.25pt;z-index:251776000;mso-width-relative:page;mso-height-relative:page;" filled="f" stroked="f" coordsize="21600,21600">
            <v:path/>
            <v:fill on="f" focussize="0,0"/>
            <v:stroke on="f"/>
            <v:imagedata o:title=""/>
            <o:lock v:ext="edit" aspectratio="f"/>
            <v:textbox inset="0mm,0mm,0mm,0mm">
              <w:txbxContent>
                <w:p w14:paraId="1FD33822">
                  <w:pPr>
                    <w:pStyle w:val="2"/>
                    <w:tabs>
                      <w:tab w:val="left" w:pos="7064"/>
                    </w:tabs>
                    <w:spacing w:before="20"/>
                    <w:ind w:left="20"/>
                  </w:pPr>
                  <w:r>
                    <w:rPr>
                      <w:u w:val="single" w:color="auto"/>
                    </w:rPr>
                    <w:tab/>
                  </w:r>
                </w:p>
                <w:p w14:paraId="033B1178">
                  <w:pPr>
                    <w:spacing w:before="183" w:line="236" w:lineRule="auto"/>
                    <w:ind w:left="28"/>
                    <w:outlineLvl w:val="0"/>
                    <w:rPr>
                      <w:rFonts w:ascii="黑体" w:hAnsi="黑体" w:eastAsia="黑体" w:cs="黑体"/>
                      <w:sz w:val="28"/>
                      <w:szCs w:val="28"/>
                    </w:rPr>
                  </w:pPr>
                  <w:bookmarkStart w:id="702" w:name="bookmark476"/>
                  <w:bookmarkEnd w:id="702"/>
                  <w:bookmarkStart w:id="703" w:name="bookmark477"/>
                  <w:bookmarkEnd w:id="703"/>
                  <w:r>
                    <w:rPr>
                      <w:rFonts w:ascii="Times New Roman" w:hAnsi="Times New Roman" w:eastAsia="Times New Roman" w:cs="Times New Roman"/>
                      <w:b/>
                      <w:bCs/>
                      <w:spacing w:val="5"/>
                      <w:sz w:val="28"/>
                      <w:szCs w:val="28"/>
                    </w:rPr>
                    <w:t>9.</w:t>
                  </w:r>
                  <w:r>
                    <w:rPr>
                      <w:rFonts w:ascii="Times New Roman" w:hAnsi="Times New Roman" w:eastAsia="Times New Roman" w:cs="Times New Roman"/>
                      <w:b/>
                      <w:bCs/>
                      <w:spacing w:val="72"/>
                      <w:sz w:val="28"/>
                      <w:szCs w:val="28"/>
                    </w:rPr>
                    <w:t xml:space="preserve"> </w:t>
                  </w:r>
                  <w:r>
                    <w:rPr>
                      <w:rFonts w:ascii="黑体" w:hAnsi="黑体" w:eastAsia="黑体" w:cs="黑体"/>
                      <w:b/>
                      <w:bCs/>
                      <w:spacing w:val="5"/>
                      <w:sz w:val="28"/>
                      <w:szCs w:val="28"/>
                    </w:rPr>
                    <w:t>试验与检验</w:t>
                  </w:r>
                </w:p>
                <w:p w14:paraId="3038D079">
                  <w:pPr>
                    <w:spacing w:before="71" w:line="232" w:lineRule="auto"/>
                    <w:ind w:left="27"/>
                    <w:outlineLvl w:val="1"/>
                    <w:rPr>
                      <w:rFonts w:ascii="黑体" w:hAnsi="黑体" w:eastAsia="黑体" w:cs="黑体"/>
                      <w:sz w:val="24"/>
                      <w:szCs w:val="24"/>
                    </w:rPr>
                  </w:pPr>
                  <w:bookmarkStart w:id="704" w:name="bookmark711"/>
                  <w:bookmarkEnd w:id="704"/>
                  <w:r>
                    <w:rPr>
                      <w:rFonts w:ascii="Times New Roman" w:hAnsi="Times New Roman" w:eastAsia="Times New Roman" w:cs="Times New Roman"/>
                      <w:b/>
                      <w:bCs/>
                      <w:spacing w:val="2"/>
                      <w:sz w:val="24"/>
                      <w:szCs w:val="24"/>
                    </w:rPr>
                    <w:t xml:space="preserve">9.1 </w:t>
                  </w:r>
                  <w:r>
                    <w:rPr>
                      <w:rFonts w:ascii="黑体" w:hAnsi="黑体" w:eastAsia="黑体" w:cs="黑体"/>
                      <w:b/>
                      <w:bCs/>
                      <w:spacing w:val="2"/>
                      <w:sz w:val="24"/>
                      <w:szCs w:val="24"/>
                    </w:rPr>
                    <w:t>试验设备与试验人员</w:t>
                  </w:r>
                </w:p>
              </w:txbxContent>
            </v:textbox>
          </v:shape>
        </w:pict>
      </w:r>
      <w:r>
        <w:rPr>
          <w:rFonts w:ascii="宋体" w:hAnsi="宋体" w:eastAsia="宋体" w:cs="宋体"/>
          <w:position w:val="-1"/>
          <w:sz w:val="21"/>
          <w:szCs w:val="21"/>
        </w:rPr>
        <w:t>。</w:t>
      </w:r>
    </w:p>
    <w:p w14:paraId="64E9D054">
      <w:pPr>
        <w:pStyle w:val="2"/>
        <w:spacing w:line="262" w:lineRule="auto"/>
      </w:pPr>
    </w:p>
    <w:p w14:paraId="405357F0">
      <w:pPr>
        <w:pStyle w:val="2"/>
        <w:spacing w:line="262" w:lineRule="auto"/>
      </w:pPr>
    </w:p>
    <w:p w14:paraId="014FF799">
      <w:pPr>
        <w:pStyle w:val="2"/>
        <w:spacing w:line="263" w:lineRule="auto"/>
      </w:pPr>
    </w:p>
    <w:p w14:paraId="7EDA9578">
      <w:pPr>
        <w:pStyle w:val="2"/>
        <w:spacing w:line="263" w:lineRule="auto"/>
      </w:pPr>
    </w:p>
    <w:p w14:paraId="22C61F85">
      <w:pPr>
        <w:spacing w:before="68" w:line="221" w:lineRule="auto"/>
        <w:ind w:left="445"/>
        <w:rPr>
          <w:rFonts w:ascii="宋体" w:hAnsi="宋体" w:eastAsia="宋体" w:cs="宋体"/>
          <w:sz w:val="21"/>
          <w:szCs w:val="21"/>
        </w:rPr>
      </w:pPr>
      <w:r>
        <w:rPr>
          <w:rFonts w:ascii="宋体" w:hAnsi="宋体" w:eastAsia="宋体" w:cs="宋体"/>
          <w:spacing w:val="-1"/>
          <w:sz w:val="21"/>
          <w:szCs w:val="21"/>
        </w:rPr>
        <w:t>9.1.2 试验设备</w:t>
      </w:r>
    </w:p>
    <w:p w14:paraId="2A5D215D">
      <w:pPr>
        <w:spacing w:before="154" w:line="220" w:lineRule="auto"/>
        <w:ind w:left="443"/>
        <w:rPr>
          <w:rFonts w:ascii="宋体" w:hAnsi="宋体" w:eastAsia="宋体" w:cs="宋体"/>
          <w:sz w:val="21"/>
          <w:szCs w:val="21"/>
        </w:rPr>
      </w:pPr>
      <w:r>
        <w:rPr>
          <w:rFonts w:ascii="宋体" w:hAnsi="宋体" w:eastAsia="宋体" w:cs="宋体"/>
          <w:spacing w:val="-4"/>
          <w:sz w:val="21"/>
          <w:szCs w:val="21"/>
        </w:rPr>
        <w:t>施工现场需要配置的试验场所：</w:t>
      </w:r>
    </w:p>
    <w:p w14:paraId="41B6E28D">
      <w:pPr>
        <w:pStyle w:val="2"/>
        <w:spacing w:line="304" w:lineRule="auto"/>
      </w:pPr>
    </w:p>
    <w:p w14:paraId="207FBC1B">
      <w:pPr>
        <w:pStyle w:val="2"/>
        <w:spacing w:line="304" w:lineRule="auto"/>
      </w:pPr>
      <w:r>
        <w:pict>
          <v:shape id="_x0000_s1135" o:spid="_x0000_s1135" style="position:absolute;left:0pt;margin-left:21.8pt;margin-top:2.15pt;height:0.75pt;width:47.3pt;z-index:251781120;mso-width-relative:page;mso-height-relative:page;" fillcolor="#000000" filled="t" stroked="f" coordsize="945,15" path="m0,15l945,15,945,0,0,0,0,15xe">
            <v:path/>
            <v:fill on="t" focussize="0,0"/>
            <v:stroke on="f"/>
            <v:imagedata o:title=""/>
            <o:lock v:ext="edit"/>
          </v:shape>
        </w:pict>
      </w:r>
    </w:p>
    <w:p w14:paraId="38F452F4">
      <w:pPr>
        <w:tabs>
          <w:tab w:val="left" w:pos="7060"/>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A7991AC">
      <w:pPr>
        <w:spacing w:before="165" w:line="220" w:lineRule="auto"/>
        <w:ind w:left="443"/>
        <w:rPr>
          <w:rFonts w:ascii="宋体" w:hAnsi="宋体" w:eastAsia="宋体" w:cs="宋体"/>
          <w:sz w:val="21"/>
          <w:szCs w:val="21"/>
        </w:rPr>
      </w:pPr>
      <w:r>
        <w:rPr>
          <w:rFonts w:ascii="宋体" w:hAnsi="宋体" w:eastAsia="宋体" w:cs="宋体"/>
          <w:spacing w:val="-4"/>
          <w:sz w:val="21"/>
          <w:szCs w:val="21"/>
        </w:rPr>
        <w:t>施工现场需要配备的试验设备：</w:t>
      </w:r>
    </w:p>
    <w:p w14:paraId="1528582E">
      <w:pPr>
        <w:pStyle w:val="2"/>
        <w:spacing w:line="304" w:lineRule="auto"/>
      </w:pPr>
    </w:p>
    <w:p w14:paraId="027997C7">
      <w:pPr>
        <w:pStyle w:val="2"/>
        <w:spacing w:line="304" w:lineRule="auto"/>
      </w:pPr>
      <w:r>
        <w:pict>
          <v:shape id="_x0000_s1136" o:spid="_x0000_s1136" style="position:absolute;left:0pt;margin-left:21.8pt;margin-top:2.2pt;height:0.75pt;width:47.3pt;z-index:251782144;mso-width-relative:page;mso-height-relative:page;" fillcolor="#000000" filled="t" stroked="f" coordsize="945,15" path="m0,15l945,15,945,0,0,0,0,15xe">
            <v:path/>
            <v:fill on="t" focussize="0,0"/>
            <v:stroke on="f"/>
            <v:imagedata o:title=""/>
            <o:lock v:ext="edit"/>
          </v:shape>
        </w:pict>
      </w:r>
    </w:p>
    <w:p w14:paraId="5BE3810E">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B0F092B">
      <w:pPr>
        <w:spacing w:before="163" w:line="220" w:lineRule="auto"/>
        <w:ind w:left="443"/>
        <w:rPr>
          <w:rFonts w:ascii="宋体" w:hAnsi="宋体" w:eastAsia="宋体" w:cs="宋体"/>
          <w:sz w:val="21"/>
          <w:szCs w:val="21"/>
        </w:rPr>
      </w:pPr>
      <w:r>
        <w:rPr>
          <w:rFonts w:ascii="宋体" w:hAnsi="宋体" w:eastAsia="宋体" w:cs="宋体"/>
          <w:spacing w:val="-3"/>
          <w:sz w:val="21"/>
          <w:szCs w:val="21"/>
        </w:rPr>
        <w:t>施工现场需要具备的其他试验条件：</w:t>
      </w:r>
    </w:p>
    <w:p w14:paraId="5129660F">
      <w:pPr>
        <w:pStyle w:val="2"/>
        <w:spacing w:line="304" w:lineRule="auto"/>
      </w:pPr>
    </w:p>
    <w:p w14:paraId="5D1436E8">
      <w:pPr>
        <w:pStyle w:val="2"/>
        <w:spacing w:line="305" w:lineRule="auto"/>
      </w:pPr>
      <w:r>
        <w:pict>
          <v:shape id="_x0000_s1137" o:spid="_x0000_s1137" style="position:absolute;left:0pt;margin-left:21.8pt;margin-top:2.25pt;height:0.75pt;width:47.3pt;z-index:251784192;mso-width-relative:page;mso-height-relative:page;" fillcolor="#000000" filled="t" stroked="f" coordsize="945,15" path="m0,15l945,15,945,0,0,0,0,15xe">
            <v:path/>
            <v:fill on="t" focussize="0,0"/>
            <v:stroke on="f"/>
            <v:imagedata o:title=""/>
            <o:lock v:ext="edit"/>
          </v:shape>
        </w:pict>
      </w:r>
    </w:p>
    <w:p w14:paraId="230BFB9E">
      <w:pPr>
        <w:spacing w:before="69" w:line="46" w:lineRule="exact"/>
        <w:ind w:left="7088"/>
        <w:rPr>
          <w:rFonts w:ascii="宋体" w:hAnsi="宋体" w:eastAsia="宋体" w:cs="宋体"/>
          <w:sz w:val="21"/>
          <w:szCs w:val="21"/>
        </w:rPr>
      </w:pPr>
      <w:r>
        <w:pict>
          <v:shape id="_x0000_s1138" o:spid="_x0000_s1138" o:spt="202" type="#_x0000_t202" style="position:absolute;left:0pt;margin-left:-0.2pt;margin-top:-3.25pt;height:35.05pt;width:354.25pt;z-index:251777024;mso-width-relative:page;mso-height-relative:page;" filled="f" stroked="f" coordsize="21600,21600">
            <v:path/>
            <v:fill on="f" focussize="0,0"/>
            <v:stroke on="f"/>
            <v:imagedata o:title=""/>
            <o:lock v:ext="edit" aspectratio="f"/>
            <v:textbox inset="0mm,0mm,0mm,0mm">
              <w:txbxContent>
                <w:p w14:paraId="1EBCBFF7">
                  <w:pPr>
                    <w:pStyle w:val="2"/>
                    <w:tabs>
                      <w:tab w:val="left" w:pos="7064"/>
                    </w:tabs>
                    <w:spacing w:before="19"/>
                    <w:ind w:left="20"/>
                  </w:pPr>
                  <w:r>
                    <w:rPr>
                      <w:u w:val="single" w:color="auto"/>
                    </w:rPr>
                    <w:tab/>
                  </w:r>
                </w:p>
                <w:p w14:paraId="3968753E">
                  <w:pPr>
                    <w:spacing w:before="116" w:line="232" w:lineRule="auto"/>
                    <w:ind w:left="27"/>
                    <w:outlineLvl w:val="1"/>
                    <w:rPr>
                      <w:rFonts w:ascii="黑体" w:hAnsi="黑体" w:eastAsia="黑体" w:cs="黑体"/>
                      <w:sz w:val="24"/>
                      <w:szCs w:val="24"/>
                    </w:rPr>
                  </w:pPr>
                  <w:bookmarkStart w:id="705" w:name="bookmark478"/>
                  <w:bookmarkEnd w:id="705"/>
                  <w:r>
                    <w:rPr>
                      <w:rFonts w:ascii="Times New Roman" w:hAnsi="Times New Roman" w:eastAsia="Times New Roman" w:cs="Times New Roman"/>
                      <w:b/>
                      <w:bCs/>
                      <w:spacing w:val="2"/>
                      <w:sz w:val="24"/>
                      <w:szCs w:val="24"/>
                    </w:rPr>
                    <w:t xml:space="preserve">9.4  </w:t>
                  </w:r>
                  <w:r>
                    <w:rPr>
                      <w:rFonts w:ascii="黑体" w:hAnsi="黑体" w:eastAsia="黑体" w:cs="黑体"/>
                      <w:b/>
                      <w:bCs/>
                      <w:spacing w:val="2"/>
                      <w:sz w:val="24"/>
                      <w:szCs w:val="24"/>
                    </w:rPr>
                    <w:t>现场工艺试验</w:t>
                  </w:r>
                </w:p>
              </w:txbxContent>
            </v:textbox>
          </v:shape>
        </w:pict>
      </w:r>
      <w:r>
        <w:rPr>
          <w:rFonts w:ascii="宋体" w:hAnsi="宋体" w:eastAsia="宋体" w:cs="宋体"/>
          <w:position w:val="-1"/>
          <w:sz w:val="21"/>
          <w:szCs w:val="21"/>
        </w:rPr>
        <w:t>。</w:t>
      </w:r>
    </w:p>
    <w:p w14:paraId="6D495864">
      <w:pPr>
        <w:pStyle w:val="2"/>
        <w:spacing w:line="271" w:lineRule="auto"/>
      </w:pPr>
    </w:p>
    <w:p w14:paraId="77B8EA6F">
      <w:pPr>
        <w:pStyle w:val="2"/>
        <w:spacing w:line="272" w:lineRule="auto"/>
      </w:pPr>
    </w:p>
    <w:p w14:paraId="6E71928D">
      <w:pPr>
        <w:spacing w:before="68" w:line="220" w:lineRule="auto"/>
        <w:ind w:left="446"/>
        <w:rPr>
          <w:rFonts w:ascii="宋体" w:hAnsi="宋体" w:eastAsia="宋体" w:cs="宋体"/>
          <w:sz w:val="21"/>
          <w:szCs w:val="21"/>
        </w:rPr>
      </w:pPr>
      <w:r>
        <w:rPr>
          <w:rFonts w:ascii="宋体" w:hAnsi="宋体" w:eastAsia="宋体" w:cs="宋体"/>
          <w:spacing w:val="-5"/>
          <w:sz w:val="21"/>
          <w:szCs w:val="21"/>
        </w:rPr>
        <w:t>现场工艺试验的有关约定：</w:t>
      </w:r>
    </w:p>
    <w:p w14:paraId="177559D2">
      <w:pPr>
        <w:pStyle w:val="2"/>
        <w:spacing w:line="311" w:lineRule="auto"/>
      </w:pPr>
    </w:p>
    <w:p w14:paraId="4E2092F8">
      <w:pPr>
        <w:pStyle w:val="2"/>
        <w:spacing w:line="312" w:lineRule="auto"/>
      </w:pPr>
      <w:r>
        <w:pict>
          <v:shape id="_x0000_s1139" o:spid="_x0000_s1139" style="position:absolute;left:0pt;margin-left:21.8pt;margin-top:2.6pt;height:0.75pt;width:47.3pt;z-index:251783168;mso-width-relative:page;mso-height-relative:page;" fillcolor="#000000" filled="t" stroked="f" coordsize="945,15" path="m0,15l945,15,945,0,0,0,0,15xe">
            <v:path/>
            <v:fill on="t" focussize="0,0"/>
            <v:stroke on="f"/>
            <v:imagedata o:title=""/>
            <o:lock v:ext="edit"/>
          </v:shape>
        </w:pict>
      </w:r>
    </w:p>
    <w:p w14:paraId="4954E4DF">
      <w:pPr>
        <w:spacing w:before="69" w:line="45" w:lineRule="exact"/>
        <w:ind w:left="7088"/>
        <w:rPr>
          <w:rFonts w:ascii="宋体" w:hAnsi="宋体" w:eastAsia="宋体" w:cs="宋体"/>
          <w:sz w:val="21"/>
          <w:szCs w:val="21"/>
        </w:rPr>
      </w:pPr>
      <w:r>
        <w:pict>
          <v:shape id="_x0000_s1140" o:spid="_x0000_s1140" o:spt="202" type="#_x0000_t202" style="position:absolute;left:0pt;margin-left:-0.2pt;margin-top:-3.25pt;height:59.85pt;width:354.25pt;z-index:251774976;mso-width-relative:page;mso-height-relative:page;" filled="f" stroked="f" coordsize="21600,21600">
            <v:path/>
            <v:fill on="f" focussize="0,0"/>
            <v:stroke on="f"/>
            <v:imagedata o:title=""/>
            <o:lock v:ext="edit" aspectratio="f"/>
            <v:textbox inset="0mm,0mm,0mm,0mm">
              <w:txbxContent>
                <w:p w14:paraId="372268E5">
                  <w:pPr>
                    <w:pStyle w:val="2"/>
                    <w:tabs>
                      <w:tab w:val="left" w:pos="7064"/>
                    </w:tabs>
                    <w:spacing w:before="19"/>
                    <w:ind w:left="20"/>
                  </w:pPr>
                  <w:r>
                    <w:rPr>
                      <w:u w:val="single" w:color="auto"/>
                    </w:rPr>
                    <w:tab/>
                  </w:r>
                </w:p>
                <w:p w14:paraId="14D026E2">
                  <w:pPr>
                    <w:spacing w:before="167" w:line="237" w:lineRule="auto"/>
                    <w:ind w:left="38"/>
                    <w:outlineLvl w:val="0"/>
                    <w:rPr>
                      <w:rFonts w:ascii="黑体" w:hAnsi="黑体" w:eastAsia="黑体" w:cs="黑体"/>
                      <w:sz w:val="28"/>
                      <w:szCs w:val="28"/>
                    </w:rPr>
                  </w:pPr>
                  <w:bookmarkStart w:id="706" w:name="bookmark479"/>
                  <w:bookmarkEnd w:id="706"/>
                  <w:bookmarkStart w:id="707" w:name="bookmark480"/>
                  <w:bookmarkEnd w:id="707"/>
                  <w:r>
                    <w:rPr>
                      <w:rFonts w:ascii="Times New Roman" w:hAnsi="Times New Roman" w:eastAsia="Times New Roman" w:cs="Times New Roman"/>
                      <w:b/>
                      <w:bCs/>
                      <w:sz w:val="28"/>
                      <w:szCs w:val="28"/>
                    </w:rPr>
                    <w:t xml:space="preserve">10.  </w:t>
                  </w:r>
                  <w:r>
                    <w:rPr>
                      <w:rFonts w:ascii="黑体" w:hAnsi="黑体" w:eastAsia="黑体" w:cs="黑体"/>
                      <w:b/>
                      <w:bCs/>
                      <w:sz w:val="28"/>
                      <w:szCs w:val="28"/>
                    </w:rPr>
                    <w:t>变更</w:t>
                  </w:r>
                </w:p>
                <w:p w14:paraId="58306AAD">
                  <w:pPr>
                    <w:spacing w:before="85" w:line="233" w:lineRule="auto"/>
                    <w:ind w:left="35"/>
                    <w:outlineLvl w:val="1"/>
                    <w:rPr>
                      <w:rFonts w:ascii="黑体" w:hAnsi="黑体" w:eastAsia="黑体" w:cs="黑体"/>
                      <w:sz w:val="24"/>
                      <w:szCs w:val="24"/>
                    </w:rPr>
                  </w:pPr>
                  <w:bookmarkStart w:id="708" w:name="bookmark712"/>
                  <w:bookmarkEnd w:id="708"/>
                  <w:r>
                    <w:rPr>
                      <w:rFonts w:ascii="Times New Roman" w:hAnsi="Times New Roman" w:eastAsia="Times New Roman" w:cs="Times New Roman"/>
                      <w:b/>
                      <w:bCs/>
                      <w:spacing w:val="1"/>
                      <w:sz w:val="24"/>
                      <w:szCs w:val="24"/>
                    </w:rPr>
                    <w:t xml:space="preserve">10.1 </w:t>
                  </w:r>
                  <w:r>
                    <w:rPr>
                      <w:rFonts w:ascii="黑体" w:hAnsi="黑体" w:eastAsia="黑体" w:cs="黑体"/>
                      <w:b/>
                      <w:bCs/>
                      <w:spacing w:val="1"/>
                      <w:sz w:val="24"/>
                      <w:szCs w:val="24"/>
                    </w:rPr>
                    <w:t>变更的范围</w:t>
                  </w:r>
                </w:p>
              </w:txbxContent>
            </v:textbox>
          </v:shape>
        </w:pict>
      </w:r>
      <w:r>
        <w:rPr>
          <w:rFonts w:ascii="宋体" w:hAnsi="宋体" w:eastAsia="宋体" w:cs="宋体"/>
          <w:position w:val="-1"/>
          <w:sz w:val="21"/>
          <w:szCs w:val="21"/>
        </w:rPr>
        <w:t>。</w:t>
      </w:r>
    </w:p>
    <w:p w14:paraId="75227BEF">
      <w:pPr>
        <w:pStyle w:val="2"/>
        <w:spacing w:line="259" w:lineRule="auto"/>
      </w:pPr>
    </w:p>
    <w:p w14:paraId="0CE9E724">
      <w:pPr>
        <w:pStyle w:val="2"/>
        <w:spacing w:line="259" w:lineRule="auto"/>
      </w:pPr>
    </w:p>
    <w:p w14:paraId="3918F219">
      <w:pPr>
        <w:pStyle w:val="2"/>
        <w:spacing w:line="259" w:lineRule="auto"/>
      </w:pPr>
    </w:p>
    <w:p w14:paraId="35A5AFDB">
      <w:pPr>
        <w:pStyle w:val="2"/>
        <w:spacing w:line="259" w:lineRule="auto"/>
      </w:pPr>
    </w:p>
    <w:p w14:paraId="310AA22D">
      <w:pPr>
        <w:spacing w:before="69" w:line="220" w:lineRule="auto"/>
        <w:ind w:left="448"/>
        <w:rPr>
          <w:rFonts w:ascii="宋体" w:hAnsi="宋体" w:eastAsia="宋体" w:cs="宋体"/>
          <w:sz w:val="21"/>
          <w:szCs w:val="21"/>
        </w:rPr>
      </w:pPr>
      <w:r>
        <w:rPr>
          <w:rFonts w:ascii="宋体" w:hAnsi="宋体" w:eastAsia="宋体" w:cs="宋体"/>
          <w:spacing w:val="-5"/>
          <w:sz w:val="21"/>
          <w:szCs w:val="21"/>
        </w:rPr>
        <w:t>关于变更的范围的约定：</w:t>
      </w:r>
    </w:p>
    <w:p w14:paraId="0FE7A54F">
      <w:pPr>
        <w:pStyle w:val="2"/>
        <w:tabs>
          <w:tab w:val="left" w:pos="1381"/>
        </w:tabs>
        <w:spacing w:before="175"/>
        <w:ind w:left="436"/>
      </w:pPr>
      <w:r>
        <w:rPr>
          <w:u w:val="single" w:color="auto"/>
        </w:rPr>
        <w:tab/>
      </w:r>
    </w:p>
    <w:p w14:paraId="0C495F65">
      <w:pPr>
        <w:spacing w:before="279" w:line="45" w:lineRule="exact"/>
        <w:ind w:left="7088"/>
        <w:rPr>
          <w:rFonts w:ascii="宋体" w:hAnsi="宋体" w:eastAsia="宋体" w:cs="宋体"/>
          <w:sz w:val="21"/>
          <w:szCs w:val="21"/>
        </w:rPr>
      </w:pPr>
      <w:r>
        <w:pict>
          <v:shape id="_x0000_s1141" o:spid="_x0000_s1141" o:spt="202" type="#_x0000_t202" style="position:absolute;left:0pt;margin-left:-0.2pt;margin-top:7.15pt;height:14.1pt;width:354.25pt;z-index:251779072;mso-width-relative:page;mso-height-relative:page;" filled="f" stroked="f" coordsize="21600,21600">
            <v:path/>
            <v:fill on="f" focussize="0,0"/>
            <v:stroke on="f"/>
            <v:imagedata o:title=""/>
            <o:lock v:ext="edit" aspectratio="f"/>
            <v:textbox inset="0mm,0mm,0mm,0mm">
              <w:txbxContent>
                <w:p w14:paraId="5D2AF7D3">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0DBA3AEA">
      <w:pPr>
        <w:spacing w:before="184" w:line="233" w:lineRule="auto"/>
        <w:ind w:left="31"/>
        <w:outlineLvl w:val="1"/>
        <w:rPr>
          <w:rFonts w:ascii="黑体" w:hAnsi="黑体" w:eastAsia="黑体" w:cs="黑体"/>
          <w:sz w:val="24"/>
          <w:szCs w:val="24"/>
        </w:rPr>
      </w:pPr>
      <w:bookmarkStart w:id="534" w:name="bookmark481"/>
      <w:bookmarkEnd w:id="534"/>
      <w:r>
        <w:rPr>
          <w:rFonts w:ascii="Times New Roman" w:hAnsi="Times New Roman" w:eastAsia="Times New Roman" w:cs="Times New Roman"/>
          <w:b/>
          <w:bCs/>
          <w:spacing w:val="2"/>
          <w:sz w:val="24"/>
          <w:szCs w:val="24"/>
        </w:rPr>
        <w:t xml:space="preserve">10.4  </w:t>
      </w:r>
      <w:r>
        <w:rPr>
          <w:rFonts w:ascii="黑体" w:hAnsi="黑体" w:eastAsia="黑体" w:cs="黑体"/>
          <w:b/>
          <w:bCs/>
          <w:spacing w:val="2"/>
          <w:sz w:val="24"/>
          <w:szCs w:val="24"/>
        </w:rPr>
        <w:t>变更估价</w:t>
      </w:r>
    </w:p>
    <w:p w14:paraId="43FFC4C7">
      <w:pPr>
        <w:spacing w:before="129" w:line="218" w:lineRule="auto"/>
        <w:ind w:left="460"/>
        <w:rPr>
          <w:rFonts w:ascii="宋体" w:hAnsi="宋体" w:eastAsia="宋体" w:cs="宋体"/>
          <w:sz w:val="21"/>
          <w:szCs w:val="21"/>
        </w:rPr>
      </w:pPr>
      <w:r>
        <w:rPr>
          <w:rFonts w:ascii="宋体" w:hAnsi="宋体" w:eastAsia="宋体" w:cs="宋体"/>
          <w:spacing w:val="-2"/>
          <w:sz w:val="21"/>
          <w:szCs w:val="21"/>
        </w:rPr>
        <w:t>10.4.1 变更估价原则</w:t>
      </w:r>
    </w:p>
    <w:p w14:paraId="314AFDCB">
      <w:pPr>
        <w:spacing w:before="157" w:line="218" w:lineRule="auto"/>
        <w:ind w:left="448"/>
        <w:rPr>
          <w:rFonts w:ascii="宋体" w:hAnsi="宋体" w:eastAsia="宋体" w:cs="宋体"/>
          <w:sz w:val="21"/>
          <w:szCs w:val="21"/>
        </w:rPr>
      </w:pPr>
      <w:r>
        <w:rPr>
          <w:rFonts w:ascii="宋体" w:hAnsi="宋体" w:eastAsia="宋体" w:cs="宋体"/>
          <w:spacing w:val="3"/>
          <w:sz w:val="21"/>
          <w:szCs w:val="21"/>
        </w:rPr>
        <w:t>关于变更估价的约定:</w:t>
      </w:r>
    </w:p>
    <w:p w14:paraId="751044F5">
      <w:pPr>
        <w:pStyle w:val="2"/>
        <w:tabs>
          <w:tab w:val="left" w:pos="1381"/>
        </w:tabs>
        <w:spacing w:before="163"/>
        <w:ind w:left="436"/>
      </w:pPr>
      <w:r>
        <w:rPr>
          <w:u w:val="single" w:color="auto"/>
        </w:rPr>
        <w:tab/>
      </w:r>
    </w:p>
    <w:p w14:paraId="6BA1FC4E">
      <w:pPr>
        <w:spacing w:before="278" w:line="46" w:lineRule="exact"/>
        <w:ind w:left="7088"/>
        <w:rPr>
          <w:rFonts w:ascii="宋体" w:hAnsi="宋体" w:eastAsia="宋体" w:cs="宋体"/>
          <w:sz w:val="21"/>
          <w:szCs w:val="21"/>
        </w:rPr>
      </w:pPr>
      <w:r>
        <w:pict>
          <v:shape id="_x0000_s1142" o:spid="_x0000_s1142" o:spt="202" type="#_x0000_t202" style="position:absolute;left:0pt;margin-left:-0.2pt;margin-top:7.15pt;height:14.1pt;width:354.25pt;z-index:251778048;mso-width-relative:page;mso-height-relative:page;" filled="f" stroked="f" coordsize="21600,21600">
            <v:path/>
            <v:fill on="f" focussize="0,0"/>
            <v:stroke on="f"/>
            <v:imagedata o:title=""/>
            <o:lock v:ext="edit" aspectratio="f"/>
            <v:textbox inset="0mm,0mm,0mm,0mm">
              <w:txbxContent>
                <w:p w14:paraId="0EF22D62">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4F0F86BC">
      <w:pPr>
        <w:spacing w:before="198" w:line="233" w:lineRule="auto"/>
        <w:ind w:left="31"/>
        <w:outlineLvl w:val="1"/>
        <w:rPr>
          <w:rFonts w:ascii="黑体" w:hAnsi="黑体" w:eastAsia="黑体" w:cs="黑体"/>
          <w:sz w:val="24"/>
          <w:szCs w:val="24"/>
        </w:rPr>
      </w:pPr>
      <w:bookmarkStart w:id="535" w:name="bookmark482"/>
      <w:bookmarkEnd w:id="535"/>
      <w:r>
        <w:rPr>
          <w:rFonts w:ascii="Times New Roman" w:hAnsi="Times New Roman" w:eastAsia="Times New Roman" w:cs="Times New Roman"/>
          <w:b/>
          <w:bCs/>
          <w:spacing w:val="1"/>
          <w:sz w:val="24"/>
          <w:szCs w:val="24"/>
        </w:rPr>
        <w:t xml:space="preserve">10.5 </w:t>
      </w:r>
      <w:r>
        <w:rPr>
          <w:rFonts w:ascii="黑体" w:hAnsi="黑体" w:eastAsia="黑体" w:cs="黑体"/>
          <w:b/>
          <w:bCs/>
          <w:spacing w:val="1"/>
          <w:sz w:val="24"/>
          <w:szCs w:val="24"/>
        </w:rPr>
        <w:t>承包人的合理化建议</w:t>
      </w:r>
    </w:p>
    <w:p w14:paraId="0C0C10C3">
      <w:pPr>
        <w:spacing w:before="113" w:line="220" w:lineRule="auto"/>
        <w:ind w:left="445"/>
        <w:rPr>
          <w:rFonts w:ascii="宋体" w:hAnsi="宋体" w:eastAsia="宋体" w:cs="宋体"/>
          <w:sz w:val="21"/>
          <w:szCs w:val="21"/>
        </w:rPr>
      </w:pPr>
      <w:r>
        <w:rPr>
          <w:rFonts w:ascii="宋体" w:hAnsi="宋体" w:eastAsia="宋体" w:cs="宋体"/>
          <w:sz w:val="21"/>
          <w:szCs w:val="21"/>
        </w:rPr>
        <w:t>监理人审查承包人合理化建议的期限：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EA751AD">
      <w:pPr>
        <w:spacing w:before="155" w:line="220" w:lineRule="auto"/>
        <w:ind w:left="448"/>
        <w:rPr>
          <w:rFonts w:ascii="宋体" w:hAnsi="宋体" w:eastAsia="宋体" w:cs="宋体"/>
          <w:sz w:val="21"/>
          <w:szCs w:val="21"/>
        </w:rPr>
      </w:pPr>
      <w:r>
        <w:rPr>
          <w:rFonts w:ascii="宋体" w:hAnsi="宋体" w:eastAsia="宋体" w:cs="宋体"/>
          <w:sz w:val="21"/>
          <w:szCs w:val="21"/>
        </w:rPr>
        <w:t>发包人审批承包人合理化建议的期限：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23A2F56">
      <w:pPr>
        <w:spacing w:before="156" w:line="345" w:lineRule="auto"/>
        <w:ind w:left="24" w:right="11" w:firstLine="420"/>
        <w:rPr>
          <w:rFonts w:ascii="宋体" w:hAnsi="宋体" w:eastAsia="宋体" w:cs="宋体"/>
          <w:sz w:val="21"/>
          <w:szCs w:val="21"/>
        </w:rPr>
      </w:pPr>
      <w:r>
        <w:rPr>
          <w:rFonts w:ascii="宋体" w:hAnsi="宋体" w:eastAsia="宋体" w:cs="宋体"/>
          <w:spacing w:val="3"/>
          <w:sz w:val="21"/>
          <w:szCs w:val="21"/>
        </w:rPr>
        <w:t>承包人提出的合理化建议降低了合同价格或者提高了工程经济效益的奖励的方法和金</w:t>
      </w:r>
      <w:r>
        <w:rPr>
          <w:rFonts w:ascii="宋体" w:hAnsi="宋体" w:eastAsia="宋体" w:cs="宋体"/>
          <w:spacing w:val="-13"/>
          <w:sz w:val="21"/>
          <w:szCs w:val="21"/>
        </w:rPr>
        <w:t>额为：</w:t>
      </w:r>
    </w:p>
    <w:p w14:paraId="67A87A57">
      <w:pPr>
        <w:spacing w:line="345" w:lineRule="auto"/>
        <w:rPr>
          <w:rFonts w:ascii="宋体" w:hAnsi="宋体" w:eastAsia="宋体" w:cs="宋体"/>
          <w:sz w:val="21"/>
          <w:szCs w:val="21"/>
        </w:rPr>
        <w:sectPr>
          <w:headerReference r:id="rId225" w:type="default"/>
          <w:footerReference r:id="rId226" w:type="default"/>
          <w:pgSz w:w="11910" w:h="16845"/>
          <w:pgMar w:top="400" w:right="1786" w:bottom="1110" w:left="1786" w:header="0" w:footer="883" w:gutter="0"/>
          <w:cols w:space="720" w:num="1"/>
        </w:sectPr>
      </w:pPr>
    </w:p>
    <w:p w14:paraId="7205B97C">
      <w:pPr>
        <w:pStyle w:val="2"/>
        <w:spacing w:line="273" w:lineRule="auto"/>
      </w:pPr>
    </w:p>
    <w:p w14:paraId="1DAE6BB4">
      <w:pPr>
        <w:pStyle w:val="2"/>
        <w:spacing w:line="273" w:lineRule="auto"/>
      </w:pPr>
    </w:p>
    <w:p w14:paraId="3FFCD60D">
      <w:pPr>
        <w:pStyle w:val="2"/>
        <w:spacing w:line="273" w:lineRule="auto"/>
      </w:pPr>
    </w:p>
    <w:p w14:paraId="0AAC0AD2">
      <w:pPr>
        <w:pStyle w:val="2"/>
        <w:spacing w:line="273" w:lineRule="auto"/>
      </w:pPr>
    </w:p>
    <w:p w14:paraId="022DEA83">
      <w:pPr>
        <w:pStyle w:val="2"/>
        <w:spacing w:line="273" w:lineRule="auto"/>
      </w:pPr>
    </w:p>
    <w:p w14:paraId="3CD2A7A3">
      <w:pPr>
        <w:pStyle w:val="2"/>
        <w:spacing w:line="273" w:lineRule="auto"/>
      </w:pPr>
      <w:r>
        <w:pict>
          <v:shape id="_x0000_s1143" o:spid="_x0000_s1143" style="position:absolute;left:0pt;margin-left:21.8pt;margin-top:0.65pt;height:0.75pt;width:47.3pt;z-index:251788288;mso-width-relative:page;mso-height-relative:page;" fillcolor="#000000" filled="t" stroked="f" coordsize="945,15" path="m0,15l945,15,945,0,0,0,0,15xe">
            <v:path/>
            <v:fill on="t" focussize="0,0"/>
            <v:stroke on="f"/>
            <v:imagedata o:title=""/>
            <o:lock v:ext="edit"/>
          </v:shape>
        </w:pict>
      </w:r>
    </w:p>
    <w:p w14:paraId="7ECDF367">
      <w:pPr>
        <w:spacing w:before="68" w:line="46" w:lineRule="exact"/>
        <w:ind w:left="7088"/>
        <w:rPr>
          <w:rFonts w:ascii="宋体" w:hAnsi="宋体" w:eastAsia="宋体" w:cs="宋体"/>
          <w:sz w:val="21"/>
          <w:szCs w:val="21"/>
        </w:rPr>
      </w:pPr>
      <w:r>
        <w:pict>
          <v:shape id="_x0000_s1144" o:spid="_x0000_s1144" o:spt="202" type="#_x0000_t202" style="position:absolute;left:0pt;margin-left:-0.2pt;margin-top:-3.25pt;height:34.35pt;width:354.25pt;z-index:251786240;mso-width-relative:page;mso-height-relative:page;" filled="f" stroked="f" coordsize="21600,21600">
            <v:path/>
            <v:fill on="f" focussize="0,0"/>
            <v:stroke on="f"/>
            <v:imagedata o:title=""/>
            <o:lock v:ext="edit" aspectratio="f"/>
            <v:textbox inset="0mm,0mm,0mm,0mm">
              <w:txbxContent>
                <w:p w14:paraId="1A816647">
                  <w:pPr>
                    <w:pStyle w:val="2"/>
                    <w:tabs>
                      <w:tab w:val="left" w:pos="7064"/>
                    </w:tabs>
                    <w:spacing w:before="20"/>
                    <w:ind w:left="20"/>
                  </w:pPr>
                  <w:r>
                    <w:rPr>
                      <w:u w:val="single" w:color="auto"/>
                    </w:rPr>
                    <w:tab/>
                  </w:r>
                </w:p>
                <w:p w14:paraId="3842C40B">
                  <w:pPr>
                    <w:spacing w:before="101" w:line="233" w:lineRule="auto"/>
                    <w:ind w:left="35"/>
                    <w:outlineLvl w:val="1"/>
                    <w:rPr>
                      <w:rFonts w:ascii="黑体" w:hAnsi="黑体" w:eastAsia="黑体" w:cs="黑体"/>
                      <w:sz w:val="24"/>
                      <w:szCs w:val="24"/>
                    </w:rPr>
                  </w:pPr>
                  <w:bookmarkStart w:id="709" w:name="bookmark483"/>
                  <w:bookmarkEnd w:id="709"/>
                  <w:r>
                    <w:rPr>
                      <w:rFonts w:ascii="Times New Roman" w:hAnsi="Times New Roman" w:eastAsia="Times New Roman" w:cs="Times New Roman"/>
                      <w:b/>
                      <w:bCs/>
                      <w:spacing w:val="-2"/>
                      <w:sz w:val="24"/>
                      <w:szCs w:val="24"/>
                    </w:rPr>
                    <w:t>10.7</w:t>
                  </w:r>
                  <w:r>
                    <w:rPr>
                      <w:rFonts w:ascii="Times New Roman" w:hAnsi="Times New Roman" w:eastAsia="Times New Roman" w:cs="Times New Roman"/>
                      <w:b/>
                      <w:bCs/>
                      <w:spacing w:val="10"/>
                      <w:sz w:val="24"/>
                      <w:szCs w:val="24"/>
                    </w:rPr>
                    <w:t xml:space="preserve">  </w:t>
                  </w:r>
                  <w:r>
                    <w:rPr>
                      <w:rFonts w:ascii="黑体" w:hAnsi="黑体" w:eastAsia="黑体" w:cs="黑体"/>
                      <w:b/>
                      <w:bCs/>
                      <w:spacing w:val="-2"/>
                      <w:sz w:val="24"/>
                      <w:szCs w:val="24"/>
                    </w:rPr>
                    <w:t>暂估价</w:t>
                  </w:r>
                </w:p>
              </w:txbxContent>
            </v:textbox>
          </v:shape>
        </w:pict>
      </w:r>
      <w:r>
        <w:rPr>
          <w:rFonts w:ascii="宋体" w:hAnsi="宋体" w:eastAsia="宋体" w:cs="宋体"/>
          <w:position w:val="-1"/>
          <w:sz w:val="21"/>
          <w:szCs w:val="21"/>
        </w:rPr>
        <w:t>。</w:t>
      </w:r>
    </w:p>
    <w:p w14:paraId="27C2BD82">
      <w:pPr>
        <w:pStyle w:val="2"/>
        <w:spacing w:line="271" w:lineRule="auto"/>
      </w:pPr>
    </w:p>
    <w:p w14:paraId="37B0E938">
      <w:pPr>
        <w:pStyle w:val="2"/>
        <w:spacing w:line="271" w:lineRule="auto"/>
      </w:pPr>
    </w:p>
    <w:p w14:paraId="2A4A71A1">
      <w:pPr>
        <w:spacing w:before="69" w:line="218" w:lineRule="auto"/>
        <w:ind w:left="451"/>
        <w:rPr>
          <w:rFonts w:ascii="宋体" w:hAnsi="宋体" w:eastAsia="宋体" w:cs="宋体"/>
          <w:sz w:val="21"/>
          <w:szCs w:val="21"/>
        </w:rPr>
      </w:pPr>
      <w:r>
        <w:rPr>
          <w:rFonts w:ascii="宋体" w:hAnsi="宋体" w:eastAsia="宋体" w:cs="宋体"/>
          <w:spacing w:val="-7"/>
          <w:sz w:val="21"/>
          <w:szCs w:val="21"/>
        </w:rPr>
        <w:t>暂估价材料和工程设备的明细详见附件</w:t>
      </w:r>
      <w:r>
        <w:rPr>
          <w:rFonts w:ascii="宋体" w:hAnsi="宋体" w:eastAsia="宋体" w:cs="宋体"/>
          <w:spacing w:val="-24"/>
          <w:sz w:val="21"/>
          <w:szCs w:val="21"/>
        </w:rPr>
        <w:t xml:space="preserve"> </w:t>
      </w:r>
      <w:r>
        <w:rPr>
          <w:rFonts w:ascii="宋体" w:hAnsi="宋体" w:eastAsia="宋体" w:cs="宋体"/>
          <w:spacing w:val="-7"/>
          <w:sz w:val="21"/>
          <w:szCs w:val="21"/>
        </w:rPr>
        <w:t>11：《暂估价一览表》。</w:t>
      </w:r>
    </w:p>
    <w:p w14:paraId="156FE0AE">
      <w:pPr>
        <w:spacing w:before="157" w:line="218" w:lineRule="auto"/>
        <w:ind w:left="460"/>
        <w:rPr>
          <w:rFonts w:ascii="宋体" w:hAnsi="宋体" w:eastAsia="宋体" w:cs="宋体"/>
          <w:sz w:val="21"/>
          <w:szCs w:val="21"/>
        </w:rPr>
      </w:pPr>
      <w:r>
        <w:rPr>
          <w:rFonts w:ascii="宋体" w:hAnsi="宋体" w:eastAsia="宋体" w:cs="宋体"/>
          <w:spacing w:val="-1"/>
          <w:sz w:val="21"/>
          <w:szCs w:val="21"/>
        </w:rPr>
        <w:t>10.7.1 依法必须招标的暂估价项目</w:t>
      </w:r>
    </w:p>
    <w:p w14:paraId="0294D0B0">
      <w:pPr>
        <w:spacing w:before="142" w:line="218" w:lineRule="auto"/>
        <w:ind w:left="443"/>
        <w:rPr>
          <w:rFonts w:ascii="宋体" w:hAnsi="宋体" w:eastAsia="宋体" w:cs="宋体"/>
          <w:sz w:val="21"/>
          <w:szCs w:val="21"/>
        </w:rPr>
      </w:pPr>
      <w:r>
        <w:rPr>
          <w:rFonts w:ascii="宋体" w:hAnsi="宋体" w:eastAsia="宋体" w:cs="宋体"/>
          <w:spacing w:val="-1"/>
          <w:sz w:val="21"/>
          <w:szCs w:val="21"/>
        </w:rPr>
        <w:t>对于依法必须招标的暂估价项目的确认和批准采取第</w:t>
      </w:r>
      <w:r>
        <w:rPr>
          <w:rFonts w:ascii="宋体" w:hAnsi="宋体" w:eastAsia="宋体" w:cs="宋体"/>
          <w:spacing w:val="20"/>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种方式确定。</w:t>
      </w:r>
    </w:p>
    <w:p w14:paraId="0D269F66">
      <w:pPr>
        <w:spacing w:before="157" w:line="218" w:lineRule="auto"/>
        <w:ind w:left="460"/>
        <w:rPr>
          <w:rFonts w:ascii="宋体" w:hAnsi="宋体" w:eastAsia="宋体" w:cs="宋体"/>
          <w:sz w:val="21"/>
          <w:szCs w:val="21"/>
        </w:rPr>
      </w:pPr>
      <w:r>
        <w:rPr>
          <w:rFonts w:ascii="宋体" w:hAnsi="宋体" w:eastAsia="宋体" w:cs="宋体"/>
          <w:spacing w:val="-1"/>
          <w:sz w:val="21"/>
          <w:szCs w:val="21"/>
        </w:rPr>
        <w:t>10.7.2 不属于依法必须招标的暂估价项目</w:t>
      </w:r>
    </w:p>
    <w:p w14:paraId="571F8BA6">
      <w:pPr>
        <w:spacing w:before="156" w:line="345" w:lineRule="auto"/>
        <w:ind w:left="443" w:right="660"/>
        <w:rPr>
          <w:rFonts w:ascii="宋体" w:hAnsi="宋体" w:eastAsia="宋体" w:cs="宋体"/>
          <w:sz w:val="21"/>
          <w:szCs w:val="21"/>
        </w:rPr>
      </w:pPr>
      <w:r>
        <w:rPr>
          <w:rFonts w:ascii="宋体" w:hAnsi="宋体" w:eastAsia="宋体" w:cs="宋体"/>
          <w:spacing w:val="-1"/>
          <w:sz w:val="21"/>
          <w:szCs w:val="21"/>
        </w:rPr>
        <w:t>对于不属于依法必须招标的暂估价项目的确认和批准采取第</w:t>
      </w:r>
      <w:r>
        <w:rPr>
          <w:rFonts w:ascii="宋体" w:hAnsi="宋体" w:eastAsia="宋体" w:cs="宋体"/>
          <w:spacing w:val="20"/>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种方式确定。</w:t>
      </w:r>
      <w:r>
        <w:rPr>
          <w:rFonts w:ascii="宋体" w:hAnsi="宋体" w:eastAsia="宋体" w:cs="宋体"/>
          <w:spacing w:val="-2"/>
          <w:sz w:val="21"/>
          <w:szCs w:val="21"/>
        </w:rPr>
        <w:t>第</w:t>
      </w:r>
      <w:r>
        <w:rPr>
          <w:rFonts w:ascii="宋体" w:hAnsi="宋体" w:eastAsia="宋体" w:cs="宋体"/>
          <w:spacing w:val="-17"/>
          <w:sz w:val="21"/>
          <w:szCs w:val="21"/>
        </w:rPr>
        <w:t xml:space="preserve"> </w:t>
      </w:r>
      <w:r>
        <w:rPr>
          <w:rFonts w:ascii="宋体" w:hAnsi="宋体" w:eastAsia="宋体" w:cs="宋体"/>
          <w:spacing w:val="-2"/>
          <w:sz w:val="21"/>
          <w:szCs w:val="21"/>
        </w:rPr>
        <w:t>3</w:t>
      </w:r>
      <w:r>
        <w:rPr>
          <w:rFonts w:ascii="宋体" w:hAnsi="宋体" w:eastAsia="宋体" w:cs="宋体"/>
          <w:spacing w:val="-36"/>
          <w:sz w:val="21"/>
          <w:szCs w:val="21"/>
        </w:rPr>
        <w:t xml:space="preserve"> </w:t>
      </w:r>
      <w:r>
        <w:rPr>
          <w:rFonts w:ascii="宋体" w:hAnsi="宋体" w:eastAsia="宋体" w:cs="宋体"/>
          <w:spacing w:val="-2"/>
          <w:sz w:val="21"/>
          <w:szCs w:val="21"/>
        </w:rPr>
        <w:t>种方式：承包人直接实施的暂估价项目</w:t>
      </w:r>
    </w:p>
    <w:p w14:paraId="541637C5">
      <w:pPr>
        <w:spacing w:before="12" w:line="218" w:lineRule="auto"/>
        <w:ind w:left="444"/>
        <w:rPr>
          <w:rFonts w:ascii="宋体" w:hAnsi="宋体" w:eastAsia="宋体" w:cs="宋体"/>
          <w:sz w:val="21"/>
          <w:szCs w:val="21"/>
        </w:rPr>
      </w:pPr>
      <w:r>
        <w:rPr>
          <w:rFonts w:ascii="宋体" w:hAnsi="宋体" w:eastAsia="宋体" w:cs="宋体"/>
          <w:spacing w:val="-3"/>
          <w:sz w:val="21"/>
          <w:szCs w:val="21"/>
        </w:rPr>
        <w:t>承包人直接实施的暂估价项目的约定：</w:t>
      </w:r>
    </w:p>
    <w:p w14:paraId="28E71AB6">
      <w:pPr>
        <w:pStyle w:val="2"/>
        <w:tabs>
          <w:tab w:val="left" w:pos="1381"/>
        </w:tabs>
        <w:spacing w:before="178"/>
        <w:ind w:left="436"/>
      </w:pPr>
      <w:r>
        <w:rPr>
          <w:u w:val="single" w:color="auto"/>
        </w:rPr>
        <w:tab/>
      </w:r>
    </w:p>
    <w:p w14:paraId="6F368A31">
      <w:pPr>
        <w:spacing w:before="263" w:line="46" w:lineRule="exact"/>
        <w:ind w:left="7088"/>
        <w:rPr>
          <w:rFonts w:ascii="宋体" w:hAnsi="宋体" w:eastAsia="宋体" w:cs="宋体"/>
          <w:sz w:val="21"/>
          <w:szCs w:val="21"/>
        </w:rPr>
      </w:pPr>
      <w:r>
        <w:pict>
          <v:shape id="_x0000_s1145" o:spid="_x0000_s1145" o:spt="202" type="#_x0000_t202" style="position:absolute;left:0pt;margin-left:-0.2pt;margin-top:6.45pt;height:14.1pt;width:354.25pt;z-index:251787264;mso-width-relative:page;mso-height-relative:page;" filled="f" stroked="f" coordsize="21600,21600">
            <v:path/>
            <v:fill on="f" focussize="0,0"/>
            <v:stroke on="f"/>
            <v:imagedata o:title=""/>
            <o:lock v:ext="edit" aspectratio="f"/>
            <v:textbox inset="0mm,0mm,0mm,0mm">
              <w:txbxContent>
                <w:p w14:paraId="23007FA3">
                  <w:pPr>
                    <w:pStyle w:val="2"/>
                    <w:tabs>
                      <w:tab w:val="left" w:pos="7064"/>
                    </w:tabs>
                    <w:spacing w:before="20"/>
                    <w:ind w:left="20"/>
                  </w:pPr>
                  <w:r>
                    <w:rPr>
                      <w:u w:val="single" w:color="auto"/>
                    </w:rPr>
                    <w:tab/>
                  </w:r>
                </w:p>
              </w:txbxContent>
            </v:textbox>
          </v:shape>
        </w:pict>
      </w:r>
      <w:r>
        <w:rPr>
          <w:rFonts w:ascii="宋体" w:hAnsi="宋体" w:eastAsia="宋体" w:cs="宋体"/>
          <w:position w:val="-1"/>
          <w:sz w:val="21"/>
          <w:szCs w:val="21"/>
        </w:rPr>
        <w:t>。</w:t>
      </w:r>
    </w:p>
    <w:p w14:paraId="68D8DFCB">
      <w:pPr>
        <w:spacing w:before="198" w:line="233" w:lineRule="auto"/>
        <w:ind w:left="31"/>
        <w:outlineLvl w:val="1"/>
        <w:rPr>
          <w:rFonts w:ascii="黑体" w:hAnsi="黑体" w:eastAsia="黑体" w:cs="黑体"/>
          <w:sz w:val="24"/>
          <w:szCs w:val="24"/>
        </w:rPr>
      </w:pPr>
      <w:bookmarkStart w:id="536" w:name="bookmark484"/>
      <w:bookmarkEnd w:id="536"/>
      <w:r>
        <w:rPr>
          <w:rFonts w:ascii="Times New Roman" w:hAnsi="Times New Roman" w:eastAsia="Times New Roman" w:cs="Times New Roman"/>
          <w:b/>
          <w:bCs/>
          <w:sz w:val="24"/>
          <w:szCs w:val="24"/>
        </w:rPr>
        <w:t>10.8</w:t>
      </w:r>
      <w:r>
        <w:rPr>
          <w:rFonts w:ascii="Times New Roman" w:hAnsi="Times New Roman" w:eastAsia="Times New Roman" w:cs="Times New Roman"/>
          <w:b/>
          <w:bCs/>
          <w:spacing w:val="10"/>
          <w:sz w:val="24"/>
          <w:szCs w:val="24"/>
        </w:rPr>
        <w:t xml:space="preserve">  </w:t>
      </w:r>
      <w:r>
        <w:rPr>
          <w:rFonts w:ascii="黑体" w:hAnsi="黑体" w:eastAsia="黑体" w:cs="黑体"/>
          <w:b/>
          <w:bCs/>
          <w:sz w:val="24"/>
          <w:szCs w:val="24"/>
        </w:rPr>
        <w:t>暂列金额</w:t>
      </w:r>
    </w:p>
    <w:p w14:paraId="625FA72B">
      <w:pPr>
        <w:spacing w:before="129" w:line="220" w:lineRule="auto"/>
        <w:ind w:left="445"/>
        <w:rPr>
          <w:rFonts w:ascii="宋体" w:hAnsi="宋体" w:eastAsia="宋体" w:cs="宋体"/>
          <w:sz w:val="21"/>
          <w:szCs w:val="21"/>
        </w:rPr>
      </w:pPr>
      <w:r>
        <w:rPr>
          <w:rFonts w:ascii="宋体" w:hAnsi="宋体" w:eastAsia="宋体" w:cs="宋体"/>
          <w:spacing w:val="-3"/>
          <w:sz w:val="21"/>
          <w:szCs w:val="21"/>
        </w:rPr>
        <w:t>合同当事人关于暂列金额使用的约定：</w:t>
      </w:r>
    </w:p>
    <w:p w14:paraId="29BABE65">
      <w:pPr>
        <w:pStyle w:val="2"/>
        <w:spacing w:line="304" w:lineRule="auto"/>
      </w:pPr>
    </w:p>
    <w:p w14:paraId="4B411E16">
      <w:pPr>
        <w:pStyle w:val="2"/>
        <w:spacing w:line="305" w:lineRule="auto"/>
      </w:pPr>
      <w:r>
        <w:pict>
          <v:shape id="_x0000_s1146" o:spid="_x0000_s1146" style="position:absolute;left:0pt;margin-left:21.8pt;margin-top:2.2pt;height:0.75pt;width:47.3pt;z-index:251789312;mso-width-relative:page;mso-height-relative:page;" fillcolor="#000000" filled="t" stroked="f" coordsize="945,15" path="m0,15l945,15,945,0,0,0,0,15xe">
            <v:path/>
            <v:fill on="t" focussize="0,0"/>
            <v:stroke on="f"/>
            <v:imagedata o:title=""/>
            <o:lock v:ext="edit"/>
          </v:shape>
        </w:pict>
      </w:r>
    </w:p>
    <w:p w14:paraId="341A9103">
      <w:pPr>
        <w:spacing w:before="68" w:line="46" w:lineRule="exact"/>
        <w:ind w:left="7088"/>
        <w:rPr>
          <w:rFonts w:ascii="宋体" w:hAnsi="宋体" w:eastAsia="宋体" w:cs="宋体"/>
          <w:sz w:val="21"/>
          <w:szCs w:val="21"/>
        </w:rPr>
      </w:pPr>
      <w:r>
        <w:pict>
          <v:shape id="_x0000_s1147" o:spid="_x0000_s1147" o:spt="202" type="#_x0000_t202" style="position:absolute;left:0pt;margin-left:-0.2pt;margin-top:-3.3pt;height:59.85pt;width:354.25pt;z-index:251785216;mso-width-relative:page;mso-height-relative:page;" filled="f" stroked="f" coordsize="21600,21600">
            <v:path/>
            <v:fill on="f" focussize="0,0"/>
            <v:stroke on="f"/>
            <v:imagedata o:title=""/>
            <o:lock v:ext="edit" aspectratio="f"/>
            <v:textbox inset="0mm,0mm,0mm,0mm">
              <w:txbxContent>
                <w:p w14:paraId="4BD237C0">
                  <w:pPr>
                    <w:pStyle w:val="2"/>
                    <w:tabs>
                      <w:tab w:val="left" w:pos="7064"/>
                    </w:tabs>
                    <w:spacing w:before="19"/>
                    <w:ind w:left="20"/>
                  </w:pPr>
                  <w:r>
                    <w:rPr>
                      <w:u w:val="single" w:color="auto"/>
                    </w:rPr>
                    <w:tab/>
                  </w:r>
                </w:p>
                <w:p w14:paraId="70CDD786">
                  <w:pPr>
                    <w:spacing w:before="182" w:line="237" w:lineRule="auto"/>
                    <w:ind w:left="38"/>
                    <w:outlineLvl w:val="0"/>
                    <w:rPr>
                      <w:rFonts w:ascii="黑体" w:hAnsi="黑体" w:eastAsia="黑体" w:cs="黑体"/>
                      <w:sz w:val="28"/>
                      <w:szCs w:val="28"/>
                    </w:rPr>
                  </w:pPr>
                  <w:bookmarkStart w:id="710" w:name="bookmark486"/>
                  <w:bookmarkEnd w:id="710"/>
                  <w:bookmarkStart w:id="711" w:name="bookmark485"/>
                  <w:bookmarkEnd w:id="711"/>
                  <w:r>
                    <w:rPr>
                      <w:rFonts w:ascii="Times New Roman" w:hAnsi="Times New Roman" w:eastAsia="Times New Roman" w:cs="Times New Roman"/>
                      <w:b/>
                      <w:bCs/>
                      <w:spacing w:val="2"/>
                      <w:sz w:val="28"/>
                      <w:szCs w:val="28"/>
                    </w:rPr>
                    <w:t>11.</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价格调整</w:t>
                  </w:r>
                </w:p>
                <w:p w14:paraId="3B0C718D">
                  <w:pPr>
                    <w:spacing w:before="70" w:line="233" w:lineRule="auto"/>
                    <w:ind w:left="35"/>
                    <w:outlineLvl w:val="1"/>
                    <w:rPr>
                      <w:rFonts w:ascii="黑体" w:hAnsi="黑体" w:eastAsia="黑体" w:cs="黑体"/>
                      <w:sz w:val="24"/>
                      <w:szCs w:val="24"/>
                    </w:rPr>
                  </w:pPr>
                  <w:bookmarkStart w:id="712" w:name="bookmark713"/>
                  <w:bookmarkEnd w:id="712"/>
                  <w:r>
                    <w:rPr>
                      <w:rFonts w:ascii="Times New Roman" w:hAnsi="Times New Roman" w:eastAsia="Times New Roman" w:cs="Times New Roman"/>
                      <w:b/>
                      <w:bCs/>
                      <w:sz w:val="24"/>
                      <w:szCs w:val="24"/>
                    </w:rPr>
                    <w:t xml:space="preserve">11.1  </w:t>
                  </w:r>
                  <w:r>
                    <w:rPr>
                      <w:rFonts w:ascii="黑体" w:hAnsi="黑体" w:eastAsia="黑体" w:cs="黑体"/>
                      <w:b/>
                      <w:bCs/>
                      <w:sz w:val="24"/>
                      <w:szCs w:val="24"/>
                    </w:rPr>
                    <w:t>市场价格波动引起的调整</w:t>
                  </w:r>
                </w:p>
              </w:txbxContent>
            </v:textbox>
          </v:shape>
        </w:pict>
      </w:r>
      <w:r>
        <w:rPr>
          <w:rFonts w:ascii="宋体" w:hAnsi="宋体" w:eastAsia="宋体" w:cs="宋体"/>
          <w:position w:val="-1"/>
          <w:sz w:val="21"/>
          <w:szCs w:val="21"/>
        </w:rPr>
        <w:t>。</w:t>
      </w:r>
    </w:p>
    <w:p w14:paraId="249B9009">
      <w:pPr>
        <w:pStyle w:val="2"/>
        <w:spacing w:line="262" w:lineRule="auto"/>
      </w:pPr>
    </w:p>
    <w:p w14:paraId="3C4BF7E0">
      <w:pPr>
        <w:pStyle w:val="2"/>
        <w:spacing w:line="262" w:lineRule="auto"/>
      </w:pPr>
    </w:p>
    <w:p w14:paraId="16049A14">
      <w:pPr>
        <w:pStyle w:val="2"/>
        <w:spacing w:line="263" w:lineRule="auto"/>
      </w:pPr>
    </w:p>
    <w:p w14:paraId="71CF9A24">
      <w:pPr>
        <w:pStyle w:val="2"/>
        <w:spacing w:line="263" w:lineRule="auto"/>
      </w:pPr>
    </w:p>
    <w:p w14:paraId="794382F9">
      <w:pPr>
        <w:spacing w:before="68" w:line="218" w:lineRule="auto"/>
        <w:ind w:left="450"/>
        <w:rPr>
          <w:rFonts w:ascii="宋体" w:hAnsi="宋体" w:eastAsia="宋体" w:cs="宋体"/>
          <w:sz w:val="21"/>
          <w:szCs w:val="21"/>
        </w:rPr>
      </w:pPr>
      <w:r>
        <w:rPr>
          <w:rFonts w:ascii="宋体" w:hAnsi="宋体" w:eastAsia="宋体" w:cs="宋体"/>
          <w:spacing w:val="-3"/>
          <w:sz w:val="21"/>
          <w:szCs w:val="21"/>
        </w:rPr>
        <w:t>市场价格波动是否调整合同价格的约定：</w:t>
      </w:r>
    </w:p>
    <w:p w14:paraId="3986870B">
      <w:pPr>
        <w:pStyle w:val="2"/>
        <w:spacing w:line="305" w:lineRule="auto"/>
      </w:pPr>
    </w:p>
    <w:p w14:paraId="113B7FCB">
      <w:pPr>
        <w:pStyle w:val="2"/>
        <w:spacing w:line="306" w:lineRule="auto"/>
      </w:pPr>
      <w:r>
        <w:pict>
          <v:shape id="_x0000_s1148" o:spid="_x0000_s1148" style="position:absolute;left:0pt;margin-left:21.8pt;margin-top:2.3pt;height:0.75pt;width:47.3pt;z-index:251790336;mso-width-relative:page;mso-height-relative:page;" fillcolor="#000000" filled="t" stroked="f" coordsize="945,15" path="m0,15l945,15,945,0,0,0,0,15xe">
            <v:path/>
            <v:fill on="t" focussize="0,0"/>
            <v:stroke on="f"/>
            <v:imagedata o:title=""/>
            <o:lock v:ext="edit"/>
          </v:shape>
        </w:pict>
      </w:r>
    </w:p>
    <w:p w14:paraId="730C54B9">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F453AE8">
      <w:pPr>
        <w:spacing w:before="163" w:line="345" w:lineRule="auto"/>
        <w:ind w:left="444" w:right="570" w:firstLine="16"/>
        <w:rPr>
          <w:rFonts w:ascii="宋体" w:hAnsi="宋体" w:eastAsia="宋体" w:cs="宋体"/>
          <w:sz w:val="21"/>
          <w:szCs w:val="21"/>
        </w:rPr>
      </w:pPr>
      <w:r>
        <w:rPr>
          <w:rFonts w:ascii="宋体" w:hAnsi="宋体" w:eastAsia="宋体" w:cs="宋体"/>
          <w:spacing w:val="-2"/>
          <w:sz w:val="21"/>
          <w:szCs w:val="21"/>
        </w:rPr>
        <w:t>因市场价格波动调整合同价格，采用以下第</w:t>
      </w:r>
      <w:r>
        <w:rPr>
          <w:rFonts w:ascii="宋体" w:hAnsi="宋体" w:eastAsia="宋体" w:cs="宋体"/>
          <w:spacing w:val="-2"/>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
          <w:sz w:val="21"/>
          <w:szCs w:val="21"/>
        </w:rPr>
        <w:t>种方式对合同价格进行调整：</w:t>
      </w:r>
      <w:r>
        <w:rPr>
          <w:rFonts w:ascii="宋体" w:hAnsi="宋体" w:eastAsia="宋体" w:cs="宋体"/>
          <w:spacing w:val="-3"/>
          <w:sz w:val="21"/>
          <w:szCs w:val="21"/>
        </w:rPr>
        <w:t>第</w:t>
      </w:r>
      <w:r>
        <w:rPr>
          <w:rFonts w:ascii="宋体" w:hAnsi="宋体" w:eastAsia="宋体" w:cs="宋体"/>
          <w:spacing w:val="-22"/>
          <w:sz w:val="21"/>
          <w:szCs w:val="21"/>
        </w:rPr>
        <w:t xml:space="preserve"> </w:t>
      </w:r>
      <w:r>
        <w:rPr>
          <w:rFonts w:ascii="宋体" w:hAnsi="宋体" w:eastAsia="宋体" w:cs="宋体"/>
          <w:spacing w:val="-3"/>
          <w:sz w:val="21"/>
          <w:szCs w:val="21"/>
        </w:rPr>
        <w:t>1</w:t>
      </w:r>
      <w:r>
        <w:rPr>
          <w:rFonts w:ascii="宋体" w:hAnsi="宋体" w:eastAsia="宋体" w:cs="宋体"/>
          <w:spacing w:val="-36"/>
          <w:sz w:val="21"/>
          <w:szCs w:val="21"/>
        </w:rPr>
        <w:t xml:space="preserve"> </w:t>
      </w:r>
      <w:r>
        <w:rPr>
          <w:rFonts w:ascii="宋体" w:hAnsi="宋体" w:eastAsia="宋体" w:cs="宋体"/>
          <w:spacing w:val="-3"/>
          <w:sz w:val="21"/>
          <w:szCs w:val="21"/>
        </w:rPr>
        <w:t>种方式：采用价格指数进行价格调整。</w:t>
      </w:r>
    </w:p>
    <w:p w14:paraId="00C6E2B0">
      <w:pPr>
        <w:spacing w:before="12" w:line="218" w:lineRule="auto"/>
        <w:ind w:left="448"/>
        <w:rPr>
          <w:rFonts w:ascii="宋体" w:hAnsi="宋体" w:eastAsia="宋体" w:cs="宋体"/>
          <w:sz w:val="21"/>
          <w:szCs w:val="21"/>
        </w:rPr>
      </w:pPr>
      <w:r>
        <w:rPr>
          <w:rFonts w:ascii="宋体" w:hAnsi="宋体" w:eastAsia="宋体" w:cs="宋体"/>
          <w:spacing w:val="-1"/>
          <w:sz w:val="21"/>
          <w:szCs w:val="21"/>
        </w:rPr>
        <w:t>关于各可调因子、定值和变值权重，以及基本</w:t>
      </w:r>
      <w:r>
        <w:rPr>
          <w:rFonts w:ascii="宋体" w:hAnsi="宋体" w:eastAsia="宋体" w:cs="宋体"/>
          <w:spacing w:val="-2"/>
          <w:sz w:val="21"/>
          <w:szCs w:val="21"/>
        </w:rPr>
        <w:t>价格指数及其来源的约定：</w:t>
      </w:r>
    </w:p>
    <w:p w14:paraId="24E80585">
      <w:pPr>
        <w:pStyle w:val="2"/>
        <w:tabs>
          <w:tab w:val="left" w:pos="8320"/>
        </w:tabs>
        <w:spacing w:before="178"/>
        <w:ind w:left="436"/>
      </w:pPr>
      <w:r>
        <w:rPr>
          <w:u w:val="single" w:color="auto"/>
        </w:rPr>
        <w:tab/>
      </w:r>
    </w:p>
    <w:p w14:paraId="64FFE1C6">
      <w:pPr>
        <w:tabs>
          <w:tab w:val="left" w:pos="146"/>
        </w:tabs>
        <w:spacing w:before="127" w:line="222"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4D91B08">
      <w:pPr>
        <w:spacing w:before="154" w:line="218" w:lineRule="auto"/>
        <w:ind w:left="444"/>
        <w:rPr>
          <w:rFonts w:ascii="宋体" w:hAnsi="宋体" w:eastAsia="宋体" w:cs="宋体"/>
          <w:sz w:val="21"/>
          <w:szCs w:val="21"/>
        </w:rPr>
      </w:pPr>
      <w:r>
        <w:rPr>
          <w:rFonts w:ascii="宋体" w:hAnsi="宋体" w:eastAsia="宋体" w:cs="宋体"/>
          <w:spacing w:val="-3"/>
          <w:sz w:val="21"/>
          <w:szCs w:val="21"/>
        </w:rPr>
        <w:t>第</w:t>
      </w:r>
      <w:r>
        <w:rPr>
          <w:rFonts w:ascii="宋体" w:hAnsi="宋体" w:eastAsia="宋体" w:cs="宋体"/>
          <w:spacing w:val="-22"/>
          <w:sz w:val="21"/>
          <w:szCs w:val="21"/>
        </w:rPr>
        <w:t xml:space="preserve"> </w:t>
      </w:r>
      <w:r>
        <w:rPr>
          <w:rFonts w:ascii="宋体" w:hAnsi="宋体" w:eastAsia="宋体" w:cs="宋体"/>
          <w:spacing w:val="-3"/>
          <w:sz w:val="21"/>
          <w:szCs w:val="21"/>
        </w:rPr>
        <w:t>2</w:t>
      </w:r>
      <w:r>
        <w:rPr>
          <w:rFonts w:ascii="宋体" w:hAnsi="宋体" w:eastAsia="宋体" w:cs="宋体"/>
          <w:spacing w:val="-36"/>
          <w:sz w:val="21"/>
          <w:szCs w:val="21"/>
        </w:rPr>
        <w:t xml:space="preserve"> </w:t>
      </w:r>
      <w:r>
        <w:rPr>
          <w:rFonts w:ascii="宋体" w:hAnsi="宋体" w:eastAsia="宋体" w:cs="宋体"/>
          <w:spacing w:val="-3"/>
          <w:sz w:val="21"/>
          <w:szCs w:val="21"/>
        </w:rPr>
        <w:t>种方式：采用造价信息进行价格调整。</w:t>
      </w:r>
    </w:p>
    <w:p w14:paraId="60B42BE9">
      <w:pPr>
        <w:spacing w:before="157" w:line="218" w:lineRule="auto"/>
        <w:jc w:val="right"/>
        <w:rPr>
          <w:rFonts w:ascii="宋体" w:hAnsi="宋体" w:eastAsia="宋体" w:cs="宋体"/>
          <w:sz w:val="21"/>
          <w:szCs w:val="21"/>
        </w:rPr>
      </w:pPr>
      <w:r>
        <w:rPr>
          <w:rFonts w:ascii="宋体" w:hAnsi="宋体" w:eastAsia="宋体" w:cs="宋体"/>
          <w:spacing w:val="-15"/>
          <w:sz w:val="21"/>
          <w:szCs w:val="21"/>
        </w:rPr>
        <w:t>（2）关于基准价格的约定：</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p>
    <w:p w14:paraId="20922FD4">
      <w:pPr>
        <w:spacing w:before="143" w:line="353" w:lineRule="auto"/>
        <w:ind w:left="25" w:right="100" w:firstLine="420"/>
        <w:rPr>
          <w:rFonts w:ascii="宋体" w:hAnsi="宋体" w:eastAsia="宋体" w:cs="宋体"/>
          <w:sz w:val="21"/>
          <w:szCs w:val="21"/>
        </w:rPr>
      </w:pPr>
      <w:r>
        <w:rPr>
          <w:rFonts w:ascii="宋体" w:hAnsi="宋体" w:eastAsia="宋体" w:cs="宋体"/>
          <w:spacing w:val="3"/>
          <w:sz w:val="21"/>
          <w:szCs w:val="21"/>
        </w:rPr>
        <w:t>专用合同条款①承包人在已标价工程量清单或预算书中载明的材料单价低于基</w:t>
      </w:r>
      <w:r>
        <w:rPr>
          <w:rFonts w:ascii="宋体" w:hAnsi="宋体" w:eastAsia="宋体" w:cs="宋体"/>
          <w:spacing w:val="2"/>
          <w:sz w:val="21"/>
          <w:szCs w:val="21"/>
        </w:rPr>
        <w:t>准价格</w:t>
      </w:r>
      <w:r>
        <w:rPr>
          <w:rFonts w:ascii="宋体" w:hAnsi="宋体" w:eastAsia="宋体" w:cs="宋体"/>
          <w:sz w:val="21"/>
          <w:szCs w:val="21"/>
        </w:rPr>
        <w:t>的：专用合同条款合同履行期间材料单价涨幅以基准价格为基础超过</w:t>
      </w:r>
      <w:r>
        <w:rPr>
          <w:rFonts w:ascii="宋体" w:hAnsi="宋体" w:eastAsia="宋体" w:cs="宋体"/>
          <w:spacing w:val="21"/>
          <w:sz w:val="21"/>
          <w:szCs w:val="21"/>
          <w:u w:val="single" w:color="auto"/>
        </w:rPr>
        <w:t xml:space="preserve">     </w:t>
      </w:r>
      <w:r>
        <w:rPr>
          <w:rFonts w:ascii="宋体" w:hAnsi="宋体" w:eastAsia="宋体" w:cs="宋体"/>
          <w:sz w:val="21"/>
          <w:szCs w:val="21"/>
        </w:rPr>
        <w:t>%时，或材料单价跌幅以已标价工程量清单或预算书中载明材料单价为基础超过</w:t>
      </w:r>
      <w:r>
        <w:rPr>
          <w:rFonts w:ascii="宋体" w:hAnsi="宋体" w:eastAsia="宋体" w:cs="宋体"/>
          <w:spacing w:val="21"/>
          <w:sz w:val="21"/>
          <w:szCs w:val="21"/>
          <w:u w:val="single" w:color="auto"/>
        </w:rPr>
        <w:t xml:space="preserve">     </w:t>
      </w:r>
      <w:r>
        <w:rPr>
          <w:rFonts w:ascii="宋体" w:hAnsi="宋体" w:eastAsia="宋体" w:cs="宋体"/>
          <w:sz w:val="21"/>
          <w:szCs w:val="21"/>
        </w:rPr>
        <w:t>%时，其超过部分据</w:t>
      </w:r>
      <w:r>
        <w:rPr>
          <w:rFonts w:ascii="宋体" w:hAnsi="宋体" w:eastAsia="宋体" w:cs="宋体"/>
          <w:spacing w:val="-8"/>
          <w:sz w:val="21"/>
          <w:szCs w:val="21"/>
        </w:rPr>
        <w:t>实调整。</w:t>
      </w:r>
    </w:p>
    <w:p w14:paraId="7BBD480C">
      <w:pPr>
        <w:spacing w:before="1" w:line="357" w:lineRule="auto"/>
        <w:ind w:left="25" w:right="82" w:firstLine="417"/>
        <w:rPr>
          <w:rFonts w:ascii="宋体" w:hAnsi="宋体" w:eastAsia="宋体" w:cs="宋体"/>
          <w:sz w:val="21"/>
          <w:szCs w:val="21"/>
        </w:rPr>
      </w:pPr>
      <w:r>
        <w:rPr>
          <w:rFonts w:ascii="宋体" w:hAnsi="宋体" w:eastAsia="宋体" w:cs="宋体"/>
          <w:spacing w:val="-2"/>
          <w:sz w:val="21"/>
          <w:szCs w:val="21"/>
        </w:rPr>
        <w:t>②承包人在已标价工程量清单或预算书中载明的材料单价高于基准价格的：</w:t>
      </w:r>
      <w:r>
        <w:rPr>
          <w:rFonts w:ascii="宋体" w:hAnsi="宋体" w:eastAsia="宋体" w:cs="宋体"/>
          <w:spacing w:val="-3"/>
          <w:sz w:val="21"/>
          <w:szCs w:val="21"/>
        </w:rPr>
        <w:t>专用合同条</w:t>
      </w:r>
      <w:r>
        <w:rPr>
          <w:rFonts w:ascii="宋体" w:hAnsi="宋体" w:eastAsia="宋体" w:cs="宋体"/>
          <w:sz w:val="21"/>
          <w:szCs w:val="21"/>
        </w:rPr>
        <w:t>款合同履行期间材料单价跌幅以基准价格为基础超过</w:t>
      </w:r>
      <w:r>
        <w:rPr>
          <w:rFonts w:ascii="宋体" w:hAnsi="宋体" w:eastAsia="宋体" w:cs="宋体"/>
          <w:spacing w:val="21"/>
          <w:sz w:val="21"/>
          <w:szCs w:val="21"/>
          <w:u w:val="single" w:color="auto"/>
        </w:rPr>
        <w:t xml:space="preserve">     </w:t>
      </w:r>
      <w:r>
        <w:rPr>
          <w:rFonts w:ascii="宋体" w:hAnsi="宋体" w:eastAsia="宋体" w:cs="宋体"/>
          <w:sz w:val="21"/>
          <w:szCs w:val="21"/>
        </w:rPr>
        <w:t>%时，材料单价涨幅以已标价工</w:t>
      </w:r>
    </w:p>
    <w:p w14:paraId="181225DC">
      <w:pPr>
        <w:spacing w:line="357" w:lineRule="auto"/>
        <w:rPr>
          <w:rFonts w:ascii="宋体" w:hAnsi="宋体" w:eastAsia="宋体" w:cs="宋体"/>
          <w:sz w:val="21"/>
          <w:szCs w:val="21"/>
        </w:rPr>
        <w:sectPr>
          <w:footerReference r:id="rId227" w:type="default"/>
          <w:pgSz w:w="11910" w:h="16845"/>
          <w:pgMar w:top="400" w:right="1697" w:bottom="1110" w:left="1786" w:header="0" w:footer="883" w:gutter="0"/>
          <w:cols w:space="720" w:num="1"/>
        </w:sectPr>
      </w:pPr>
    </w:p>
    <w:p w14:paraId="0687825D">
      <w:pPr>
        <w:pStyle w:val="2"/>
        <w:spacing w:line="275" w:lineRule="auto"/>
      </w:pPr>
    </w:p>
    <w:p w14:paraId="3E5EC3F4">
      <w:pPr>
        <w:pStyle w:val="2"/>
        <w:spacing w:line="275" w:lineRule="auto"/>
      </w:pPr>
    </w:p>
    <w:p w14:paraId="56C27B5A">
      <w:pPr>
        <w:pStyle w:val="2"/>
        <w:spacing w:line="275" w:lineRule="auto"/>
      </w:pPr>
    </w:p>
    <w:p w14:paraId="3988A9EA">
      <w:pPr>
        <w:pStyle w:val="2"/>
        <w:spacing w:line="276" w:lineRule="auto"/>
      </w:pPr>
    </w:p>
    <w:p w14:paraId="40988578">
      <w:pPr>
        <w:spacing w:before="68" w:line="218" w:lineRule="auto"/>
        <w:ind w:left="23"/>
        <w:rPr>
          <w:rFonts w:ascii="宋体" w:hAnsi="宋体" w:eastAsia="宋体" w:cs="宋体"/>
          <w:sz w:val="21"/>
          <w:szCs w:val="21"/>
        </w:rPr>
      </w:pPr>
      <w:r>
        <w:rPr>
          <w:rFonts w:ascii="宋体" w:hAnsi="宋体" w:eastAsia="宋体" w:cs="宋体"/>
          <w:spacing w:val="-1"/>
          <w:sz w:val="21"/>
          <w:szCs w:val="21"/>
        </w:rPr>
        <w:t>程量清单或预算书中载明材料单价为基础超过</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%时，其超过部分据实调整。</w:t>
      </w:r>
    </w:p>
    <w:p w14:paraId="225CFFD8">
      <w:pPr>
        <w:spacing w:before="156" w:line="345" w:lineRule="auto"/>
        <w:ind w:left="25" w:firstLine="417"/>
        <w:rPr>
          <w:rFonts w:ascii="宋体" w:hAnsi="宋体" w:eastAsia="宋体" w:cs="宋体"/>
          <w:sz w:val="21"/>
          <w:szCs w:val="21"/>
        </w:rPr>
      </w:pPr>
      <w:r>
        <w:rPr>
          <w:rFonts w:ascii="宋体" w:hAnsi="宋体" w:eastAsia="宋体" w:cs="宋体"/>
          <w:spacing w:val="-2"/>
          <w:sz w:val="21"/>
          <w:szCs w:val="21"/>
        </w:rPr>
        <w:t>③承包人在已标价工程量清单或预算书中载明的材料单价等于基准单价的：</w:t>
      </w:r>
      <w:r>
        <w:rPr>
          <w:rFonts w:ascii="宋体" w:hAnsi="宋体" w:eastAsia="宋体" w:cs="宋体"/>
          <w:spacing w:val="-3"/>
          <w:sz w:val="21"/>
          <w:szCs w:val="21"/>
        </w:rPr>
        <w:t>专用合同条款合同履行期间材料单价涨跌幅以基准单价为基础超过±</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%时，其超过部分据实调整。</w:t>
      </w:r>
    </w:p>
    <w:p w14:paraId="4742C94F">
      <w:pPr>
        <w:spacing w:before="11" w:line="218" w:lineRule="auto"/>
        <w:ind w:left="444"/>
        <w:rPr>
          <w:rFonts w:ascii="宋体" w:hAnsi="宋体" w:eastAsia="宋体" w:cs="宋体"/>
          <w:sz w:val="21"/>
          <w:szCs w:val="21"/>
        </w:rPr>
      </w:pPr>
      <w:r>
        <w:rPr>
          <w:rFonts w:ascii="宋体" w:hAnsi="宋体" w:eastAsia="宋体" w:cs="宋体"/>
          <w:spacing w:val="-5"/>
          <w:sz w:val="21"/>
          <w:szCs w:val="21"/>
        </w:rPr>
        <w:t>第</w:t>
      </w:r>
      <w:r>
        <w:rPr>
          <w:rFonts w:ascii="宋体" w:hAnsi="宋体" w:eastAsia="宋体" w:cs="宋体"/>
          <w:spacing w:val="-26"/>
          <w:sz w:val="21"/>
          <w:szCs w:val="21"/>
        </w:rPr>
        <w:t xml:space="preserve"> </w:t>
      </w:r>
      <w:r>
        <w:rPr>
          <w:rFonts w:ascii="宋体" w:hAnsi="宋体" w:eastAsia="宋体" w:cs="宋体"/>
          <w:spacing w:val="-5"/>
          <w:sz w:val="21"/>
          <w:szCs w:val="21"/>
        </w:rPr>
        <w:t>3</w:t>
      </w:r>
      <w:r>
        <w:rPr>
          <w:rFonts w:ascii="宋体" w:hAnsi="宋体" w:eastAsia="宋体" w:cs="宋体"/>
          <w:spacing w:val="-37"/>
          <w:sz w:val="21"/>
          <w:szCs w:val="21"/>
        </w:rPr>
        <w:t xml:space="preserve"> </w:t>
      </w:r>
      <w:r>
        <w:rPr>
          <w:rFonts w:ascii="宋体" w:hAnsi="宋体" w:eastAsia="宋体" w:cs="宋体"/>
          <w:spacing w:val="-5"/>
          <w:sz w:val="21"/>
          <w:szCs w:val="21"/>
        </w:rPr>
        <w:t>种方式：其他价格调整方式：</w:t>
      </w:r>
    </w:p>
    <w:p w14:paraId="562FAC8D">
      <w:pPr>
        <w:pStyle w:val="2"/>
        <w:tabs>
          <w:tab w:val="left" w:pos="1381"/>
        </w:tabs>
        <w:spacing w:before="178"/>
        <w:ind w:left="436"/>
      </w:pPr>
      <w:r>
        <w:rPr>
          <w:u w:val="single" w:color="auto"/>
        </w:rPr>
        <w:tab/>
      </w:r>
    </w:p>
    <w:p w14:paraId="3E8F12CA">
      <w:pPr>
        <w:spacing w:before="263" w:line="46" w:lineRule="exact"/>
        <w:ind w:left="7088"/>
        <w:rPr>
          <w:rFonts w:ascii="宋体" w:hAnsi="宋体" w:eastAsia="宋体" w:cs="宋体"/>
          <w:sz w:val="21"/>
          <w:szCs w:val="21"/>
        </w:rPr>
      </w:pPr>
      <w:r>
        <w:pict>
          <v:shape id="_x0000_s1149" o:spid="_x0000_s1149" o:spt="202" type="#_x0000_t202" style="position:absolute;left:0pt;margin-left:-0.2pt;margin-top:6.4pt;height:14.1pt;width:354.25pt;z-index:251795456;mso-width-relative:page;mso-height-relative:page;" filled="f" stroked="f" coordsize="21600,21600">
            <v:path/>
            <v:fill on="f" focussize="0,0"/>
            <v:stroke on="f"/>
            <v:imagedata o:title=""/>
            <o:lock v:ext="edit" aspectratio="f"/>
            <v:textbox inset="0mm,0mm,0mm,0mm">
              <w:txbxContent>
                <w:p w14:paraId="7F1B79FE">
                  <w:pPr>
                    <w:pStyle w:val="2"/>
                    <w:tabs>
                      <w:tab w:val="left" w:pos="7064"/>
                    </w:tabs>
                    <w:spacing w:before="20"/>
                    <w:ind w:left="20"/>
                  </w:pPr>
                  <w:r>
                    <w:rPr>
                      <w:u w:val="single" w:color="auto"/>
                    </w:rPr>
                    <w:tab/>
                  </w:r>
                </w:p>
              </w:txbxContent>
            </v:textbox>
          </v:shape>
        </w:pict>
      </w:r>
      <w:r>
        <w:rPr>
          <w:rFonts w:ascii="宋体" w:hAnsi="宋体" w:eastAsia="宋体" w:cs="宋体"/>
          <w:position w:val="-1"/>
          <w:sz w:val="21"/>
          <w:szCs w:val="21"/>
        </w:rPr>
        <w:t>。</w:t>
      </w:r>
    </w:p>
    <w:p w14:paraId="0455FFC2">
      <w:pPr>
        <w:spacing w:before="264" w:line="237" w:lineRule="auto"/>
        <w:ind w:left="34"/>
        <w:outlineLvl w:val="0"/>
        <w:rPr>
          <w:rFonts w:ascii="黑体" w:hAnsi="黑体" w:eastAsia="黑体" w:cs="黑体"/>
          <w:sz w:val="28"/>
          <w:szCs w:val="28"/>
        </w:rPr>
      </w:pPr>
      <w:bookmarkStart w:id="537" w:name="bookmark487"/>
      <w:bookmarkEnd w:id="537"/>
      <w:bookmarkStart w:id="538" w:name="bookmark488"/>
      <w:bookmarkEnd w:id="538"/>
      <w:r>
        <w:rPr>
          <w:rFonts w:ascii="Times New Roman" w:hAnsi="Times New Roman" w:eastAsia="Times New Roman" w:cs="Times New Roman"/>
          <w:b/>
          <w:bCs/>
          <w:spacing w:val="1"/>
          <w:sz w:val="28"/>
          <w:szCs w:val="28"/>
        </w:rPr>
        <w:t>12.</w:t>
      </w:r>
      <w:r>
        <w:rPr>
          <w:rFonts w:ascii="Times New Roman" w:hAnsi="Times New Roman" w:eastAsia="Times New Roman" w:cs="Times New Roman"/>
          <w:b/>
          <w:bCs/>
          <w:spacing w:val="77"/>
          <w:sz w:val="28"/>
          <w:szCs w:val="28"/>
        </w:rPr>
        <w:t xml:space="preserve"> </w:t>
      </w:r>
      <w:r>
        <w:rPr>
          <w:rFonts w:ascii="黑体" w:hAnsi="黑体" w:eastAsia="黑体" w:cs="黑体"/>
          <w:b/>
          <w:bCs/>
          <w:spacing w:val="1"/>
          <w:sz w:val="28"/>
          <w:szCs w:val="28"/>
        </w:rPr>
        <w:t>合同价格、计量与支付</w:t>
      </w:r>
    </w:p>
    <w:p w14:paraId="18397420">
      <w:pPr>
        <w:spacing w:before="69" w:line="233" w:lineRule="auto"/>
        <w:ind w:left="31"/>
        <w:outlineLvl w:val="1"/>
        <w:rPr>
          <w:rFonts w:ascii="黑体" w:hAnsi="黑体" w:eastAsia="黑体" w:cs="黑体"/>
          <w:sz w:val="24"/>
          <w:szCs w:val="24"/>
        </w:rPr>
      </w:pPr>
      <w:bookmarkStart w:id="539" w:name="bookmark714"/>
      <w:bookmarkEnd w:id="539"/>
      <w:r>
        <w:rPr>
          <w:rFonts w:ascii="Times New Roman" w:hAnsi="Times New Roman" w:eastAsia="Times New Roman" w:cs="Times New Roman"/>
          <w:b/>
          <w:bCs/>
          <w:spacing w:val="1"/>
          <w:sz w:val="24"/>
          <w:szCs w:val="24"/>
        </w:rPr>
        <w:t xml:space="preserve">12.1  </w:t>
      </w:r>
      <w:r>
        <w:rPr>
          <w:rFonts w:ascii="黑体" w:hAnsi="黑体" w:eastAsia="黑体" w:cs="黑体"/>
          <w:b/>
          <w:bCs/>
          <w:spacing w:val="1"/>
          <w:sz w:val="24"/>
          <w:szCs w:val="24"/>
        </w:rPr>
        <w:t>合同价格形式</w:t>
      </w:r>
    </w:p>
    <w:p w14:paraId="7A469763">
      <w:pPr>
        <w:spacing w:before="129" w:line="218" w:lineRule="auto"/>
        <w:ind w:left="460"/>
        <w:rPr>
          <w:rFonts w:ascii="宋体" w:hAnsi="宋体" w:eastAsia="宋体" w:cs="宋体"/>
          <w:sz w:val="21"/>
          <w:szCs w:val="21"/>
        </w:rPr>
      </w:pPr>
      <w:r>
        <w:rPr>
          <w:rFonts w:ascii="宋体" w:hAnsi="宋体" w:eastAsia="宋体" w:cs="宋体"/>
          <w:spacing w:val="-7"/>
          <w:sz w:val="21"/>
          <w:szCs w:val="21"/>
        </w:rPr>
        <w:t>1、单价合同。</w:t>
      </w:r>
    </w:p>
    <w:p w14:paraId="1CF423DC">
      <w:pPr>
        <w:spacing w:before="158" w:line="218" w:lineRule="auto"/>
        <w:ind w:left="447"/>
        <w:rPr>
          <w:rFonts w:ascii="宋体" w:hAnsi="宋体" w:eastAsia="宋体" w:cs="宋体"/>
          <w:sz w:val="21"/>
          <w:szCs w:val="21"/>
        </w:rPr>
      </w:pPr>
      <w:r>
        <w:rPr>
          <w:rFonts w:ascii="宋体" w:hAnsi="宋体" w:eastAsia="宋体" w:cs="宋体"/>
          <w:spacing w:val="-5"/>
          <w:sz w:val="21"/>
          <w:szCs w:val="21"/>
        </w:rPr>
        <w:t>综合单价包含的风险范围：</w:t>
      </w:r>
    </w:p>
    <w:p w14:paraId="3D4E4348">
      <w:pPr>
        <w:pStyle w:val="2"/>
        <w:spacing w:line="305" w:lineRule="auto"/>
      </w:pPr>
    </w:p>
    <w:p w14:paraId="2A07C443">
      <w:pPr>
        <w:pStyle w:val="2"/>
        <w:spacing w:line="305" w:lineRule="auto"/>
      </w:pPr>
      <w:r>
        <w:pict>
          <v:shape id="_x0000_s1150" o:spid="_x0000_s1150" style="position:absolute;left:0pt;margin-left:21.8pt;margin-top:2.3pt;height:0.75pt;width:47.3pt;z-index:251797504;mso-width-relative:page;mso-height-relative:page;" fillcolor="#000000" filled="t" stroked="f" coordsize="945,15" path="m0,15l945,15,945,0,0,0,0,15xe">
            <v:path/>
            <v:fill on="t" focussize="0,0"/>
            <v:stroke on="f"/>
            <v:imagedata o:title=""/>
            <o:lock v:ext="edit"/>
          </v:shape>
        </w:pict>
      </w:r>
    </w:p>
    <w:p w14:paraId="4C9D3DB9">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573B5FC">
      <w:pPr>
        <w:spacing w:before="164" w:line="220" w:lineRule="auto"/>
        <w:ind w:left="445"/>
        <w:rPr>
          <w:rFonts w:ascii="宋体" w:hAnsi="宋体" w:eastAsia="宋体" w:cs="宋体"/>
          <w:sz w:val="21"/>
          <w:szCs w:val="21"/>
        </w:rPr>
      </w:pPr>
      <w:r>
        <w:rPr>
          <w:rFonts w:ascii="宋体" w:hAnsi="宋体" w:eastAsia="宋体" w:cs="宋体"/>
          <w:spacing w:val="-5"/>
          <w:sz w:val="21"/>
          <w:szCs w:val="21"/>
        </w:rPr>
        <w:t>风险费用的计算方法：</w:t>
      </w:r>
    </w:p>
    <w:p w14:paraId="64347C1F">
      <w:pPr>
        <w:pStyle w:val="2"/>
        <w:spacing w:line="304" w:lineRule="auto"/>
      </w:pPr>
    </w:p>
    <w:p w14:paraId="668EA542">
      <w:pPr>
        <w:pStyle w:val="2"/>
        <w:spacing w:line="305" w:lineRule="auto"/>
      </w:pPr>
      <w:r>
        <w:pict>
          <v:shape id="_x0000_s1151" o:spid="_x0000_s1151" style="position:absolute;left:0pt;margin-left:21.8pt;margin-top:2.25pt;height:0.75pt;width:47.3pt;z-index:251796480;mso-width-relative:page;mso-height-relative:page;" fillcolor="#000000" filled="t" stroked="f" coordsize="945,15" path="m0,15l945,15,945,0,0,0,0,15xe">
            <v:path/>
            <v:fill on="t" focussize="0,0"/>
            <v:stroke on="f"/>
            <v:imagedata o:title=""/>
            <o:lock v:ext="edit"/>
          </v:shape>
        </w:pict>
      </w:r>
    </w:p>
    <w:p w14:paraId="2EC6D7E5">
      <w:pPr>
        <w:tabs>
          <w:tab w:val="left" w:pos="7060"/>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2DDB75C">
      <w:pPr>
        <w:spacing w:before="164" w:line="218" w:lineRule="auto"/>
        <w:ind w:left="445"/>
        <w:rPr>
          <w:rFonts w:ascii="宋体" w:hAnsi="宋体" w:eastAsia="宋体" w:cs="宋体"/>
          <w:sz w:val="21"/>
          <w:szCs w:val="21"/>
        </w:rPr>
      </w:pPr>
      <w:r>
        <w:rPr>
          <w:rFonts w:ascii="宋体" w:hAnsi="宋体" w:eastAsia="宋体" w:cs="宋体"/>
          <w:spacing w:val="-3"/>
          <w:sz w:val="21"/>
          <w:szCs w:val="21"/>
        </w:rPr>
        <w:t>风险范围以外合同价格的调整方法：</w:t>
      </w:r>
    </w:p>
    <w:p w14:paraId="4819437C">
      <w:pPr>
        <w:pStyle w:val="2"/>
        <w:spacing w:line="305" w:lineRule="auto"/>
      </w:pPr>
    </w:p>
    <w:p w14:paraId="2168BB1F">
      <w:pPr>
        <w:pStyle w:val="2"/>
        <w:spacing w:line="306" w:lineRule="auto"/>
      </w:pPr>
      <w:r>
        <w:pict>
          <v:shape id="_x0000_s1152" o:spid="_x0000_s1152" style="position:absolute;left:0pt;margin-left:21.8pt;margin-top:2.25pt;height:0.75pt;width:47.3pt;z-index:251800576;mso-width-relative:page;mso-height-relative:page;" fillcolor="#000000" filled="t" stroked="f" coordsize="945,15" path="m0,15l945,15,945,0,0,0,0,15xe">
            <v:path/>
            <v:fill on="t" focussize="0,0"/>
            <v:stroke on="f"/>
            <v:imagedata o:title=""/>
            <o:lock v:ext="edit"/>
          </v:shape>
        </w:pict>
      </w:r>
    </w:p>
    <w:p w14:paraId="64A22DEC">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4BB84B3">
      <w:pPr>
        <w:spacing w:before="164" w:line="218" w:lineRule="auto"/>
        <w:ind w:left="447"/>
        <w:rPr>
          <w:rFonts w:ascii="宋体" w:hAnsi="宋体" w:eastAsia="宋体" w:cs="宋体"/>
          <w:sz w:val="21"/>
          <w:szCs w:val="21"/>
        </w:rPr>
      </w:pPr>
      <w:r>
        <w:rPr>
          <w:rFonts w:ascii="宋体" w:hAnsi="宋体" w:eastAsia="宋体" w:cs="宋体"/>
          <w:spacing w:val="-5"/>
          <w:sz w:val="21"/>
          <w:szCs w:val="21"/>
        </w:rPr>
        <w:t>2、总价合同。</w:t>
      </w:r>
    </w:p>
    <w:p w14:paraId="79594B20">
      <w:pPr>
        <w:spacing w:before="142" w:line="218" w:lineRule="auto"/>
        <w:ind w:left="450"/>
        <w:rPr>
          <w:rFonts w:ascii="宋体" w:hAnsi="宋体" w:eastAsia="宋体" w:cs="宋体"/>
          <w:sz w:val="21"/>
          <w:szCs w:val="21"/>
        </w:rPr>
      </w:pPr>
      <w:r>
        <w:rPr>
          <w:rFonts w:ascii="宋体" w:hAnsi="宋体" w:eastAsia="宋体" w:cs="宋体"/>
          <w:spacing w:val="-6"/>
          <w:sz w:val="21"/>
          <w:szCs w:val="21"/>
        </w:rPr>
        <w:t>总价包含的风险范围：</w:t>
      </w:r>
    </w:p>
    <w:p w14:paraId="6CB3CDAD">
      <w:pPr>
        <w:pStyle w:val="2"/>
        <w:spacing w:line="312" w:lineRule="auto"/>
      </w:pPr>
    </w:p>
    <w:p w14:paraId="4EA4572E">
      <w:pPr>
        <w:pStyle w:val="2"/>
        <w:spacing w:line="313" w:lineRule="auto"/>
      </w:pPr>
      <w:r>
        <w:pict>
          <v:shape id="_x0000_s1153" o:spid="_x0000_s1153" style="position:absolute;left:0pt;margin-left:21.8pt;margin-top:2.7pt;height:0.75pt;width:47.3pt;z-index:251802624;mso-width-relative:page;mso-height-relative:page;" fillcolor="#000000" filled="t" stroked="f" coordsize="945,15" path="m0,15l945,15,945,0,0,0,0,15xe">
            <v:path/>
            <v:fill on="t" focussize="0,0"/>
            <v:stroke on="f"/>
            <v:imagedata o:title=""/>
            <o:lock v:ext="edit"/>
          </v:shape>
        </w:pict>
      </w:r>
    </w:p>
    <w:p w14:paraId="68ACAE81">
      <w:pPr>
        <w:spacing w:before="69" w:line="46" w:lineRule="exact"/>
        <w:ind w:left="7088"/>
        <w:rPr>
          <w:rFonts w:ascii="宋体" w:hAnsi="宋体" w:eastAsia="宋体" w:cs="宋体"/>
          <w:sz w:val="21"/>
          <w:szCs w:val="21"/>
        </w:rPr>
      </w:pPr>
      <w:r>
        <w:pict>
          <v:shape id="_x0000_s1154" o:spid="_x0000_s1154" o:spt="202" type="#_x0000_t202" style="position:absolute;left:0pt;margin-left:-0.2pt;margin-top:-3.2pt;height:32.95pt;width:354.25pt;z-index:251794432;mso-width-relative:page;mso-height-relative:page;" filled="f" stroked="f" coordsize="21600,21600">
            <v:path/>
            <v:fill on="f" focussize="0,0"/>
            <v:stroke on="f"/>
            <v:imagedata o:title=""/>
            <o:lock v:ext="edit" aspectratio="f"/>
            <v:textbox inset="0mm,0mm,0mm,0mm">
              <w:txbxContent>
                <w:p w14:paraId="7CFF4DF6">
                  <w:pPr>
                    <w:pStyle w:val="2"/>
                    <w:tabs>
                      <w:tab w:val="left" w:pos="7064"/>
                    </w:tabs>
                    <w:spacing w:before="19"/>
                    <w:ind w:left="20"/>
                  </w:pPr>
                  <w:r>
                    <w:rPr>
                      <w:u w:val="single" w:color="auto"/>
                    </w:rPr>
                    <w:tab/>
                  </w:r>
                </w:p>
                <w:p w14:paraId="1176AF37">
                  <w:pPr>
                    <w:spacing w:before="126" w:line="220" w:lineRule="auto"/>
                    <w:ind w:left="449"/>
                    <w:rPr>
                      <w:rFonts w:ascii="宋体" w:hAnsi="宋体" w:eastAsia="宋体" w:cs="宋体"/>
                      <w:sz w:val="21"/>
                      <w:szCs w:val="21"/>
                    </w:rPr>
                  </w:pPr>
                  <w:r>
                    <w:rPr>
                      <w:rFonts w:ascii="宋体" w:hAnsi="宋体" w:eastAsia="宋体" w:cs="宋体"/>
                      <w:spacing w:val="-5"/>
                      <w:sz w:val="21"/>
                      <w:szCs w:val="21"/>
                    </w:rPr>
                    <w:t>风险费用的计算方法：</w:t>
                  </w:r>
                </w:p>
              </w:txbxContent>
            </v:textbox>
          </v:shape>
        </w:pict>
      </w:r>
      <w:r>
        <w:rPr>
          <w:rFonts w:ascii="宋体" w:hAnsi="宋体" w:eastAsia="宋体" w:cs="宋体"/>
          <w:position w:val="-1"/>
          <w:sz w:val="21"/>
          <w:szCs w:val="21"/>
        </w:rPr>
        <w:t>。</w:t>
      </w:r>
    </w:p>
    <w:p w14:paraId="6B5E7A67">
      <w:pPr>
        <w:pStyle w:val="2"/>
        <w:spacing w:line="270" w:lineRule="auto"/>
      </w:pPr>
    </w:p>
    <w:p w14:paraId="72B5A8BE">
      <w:pPr>
        <w:pStyle w:val="2"/>
        <w:spacing w:line="270" w:lineRule="auto"/>
      </w:pPr>
    </w:p>
    <w:p w14:paraId="69A19DB3">
      <w:pPr>
        <w:pStyle w:val="2"/>
        <w:spacing w:line="270" w:lineRule="auto"/>
      </w:pPr>
    </w:p>
    <w:p w14:paraId="7C530147">
      <w:pPr>
        <w:pStyle w:val="2"/>
        <w:spacing w:line="270" w:lineRule="auto"/>
      </w:pPr>
      <w:r>
        <w:pict>
          <v:shape id="_x0000_s1155" o:spid="_x0000_s1155" style="position:absolute;left:0pt;margin-left:21.8pt;margin-top:0.5pt;height:0.75pt;width:47.3pt;z-index:251798528;mso-width-relative:page;mso-height-relative:page;" fillcolor="#000000" filled="t" stroked="f" coordsize="945,15" path="m0,15l945,15,945,0,0,0,0,15xe">
            <v:path/>
            <v:fill on="t" focussize="0,0"/>
            <v:stroke on="f"/>
            <v:imagedata o:title=""/>
            <o:lock v:ext="edit"/>
          </v:shape>
        </w:pict>
      </w:r>
    </w:p>
    <w:p w14:paraId="4C1778E1">
      <w:pPr>
        <w:spacing w:before="69" w:line="46" w:lineRule="exact"/>
        <w:ind w:left="7088"/>
        <w:rPr>
          <w:rFonts w:ascii="宋体" w:hAnsi="宋体" w:eastAsia="宋体" w:cs="宋体"/>
          <w:sz w:val="21"/>
          <w:szCs w:val="21"/>
        </w:rPr>
      </w:pPr>
      <w:r>
        <w:pict>
          <v:shape id="_x0000_s1156" o:spid="_x0000_s1156" o:spt="202" type="#_x0000_t202" style="position:absolute;left:0pt;margin-left:-0.2pt;margin-top:-3.25pt;height:32.9pt;width:354.25pt;z-index:251792384;mso-width-relative:page;mso-height-relative:page;" filled="f" stroked="f" coordsize="21600,21600">
            <v:path/>
            <v:fill on="f" focussize="0,0"/>
            <v:stroke on="f"/>
            <v:imagedata o:title=""/>
            <o:lock v:ext="edit" aspectratio="f"/>
            <v:textbox inset="0mm,0mm,0mm,0mm">
              <w:txbxContent>
                <w:p w14:paraId="55A177FE">
                  <w:pPr>
                    <w:pStyle w:val="2"/>
                    <w:tabs>
                      <w:tab w:val="left" w:pos="7064"/>
                    </w:tabs>
                    <w:spacing w:before="19"/>
                    <w:ind w:left="20"/>
                  </w:pPr>
                  <w:r>
                    <w:rPr>
                      <w:u w:val="single" w:color="auto"/>
                    </w:rPr>
                    <w:tab/>
                  </w:r>
                </w:p>
                <w:p w14:paraId="405ACCCF">
                  <w:pPr>
                    <w:spacing w:before="127" w:line="218" w:lineRule="auto"/>
                    <w:ind w:left="449"/>
                    <w:rPr>
                      <w:rFonts w:ascii="宋体" w:hAnsi="宋体" w:eastAsia="宋体" w:cs="宋体"/>
                      <w:sz w:val="21"/>
                      <w:szCs w:val="21"/>
                    </w:rPr>
                  </w:pPr>
                  <w:r>
                    <w:rPr>
                      <w:rFonts w:ascii="宋体" w:hAnsi="宋体" w:eastAsia="宋体" w:cs="宋体"/>
                      <w:spacing w:val="-3"/>
                      <w:sz w:val="21"/>
                      <w:szCs w:val="21"/>
                    </w:rPr>
                    <w:t>风险范围以外合同价格的调整方法：</w:t>
                  </w:r>
                </w:p>
              </w:txbxContent>
            </v:textbox>
          </v:shape>
        </w:pict>
      </w:r>
      <w:r>
        <w:rPr>
          <w:rFonts w:ascii="宋体" w:hAnsi="宋体" w:eastAsia="宋体" w:cs="宋体"/>
          <w:position w:val="-1"/>
          <w:sz w:val="21"/>
          <w:szCs w:val="21"/>
        </w:rPr>
        <w:t>。</w:t>
      </w:r>
    </w:p>
    <w:p w14:paraId="4624D116">
      <w:pPr>
        <w:pStyle w:val="2"/>
        <w:spacing w:line="270" w:lineRule="auto"/>
      </w:pPr>
    </w:p>
    <w:p w14:paraId="66EE84E7">
      <w:pPr>
        <w:pStyle w:val="2"/>
        <w:spacing w:line="270" w:lineRule="auto"/>
      </w:pPr>
    </w:p>
    <w:p w14:paraId="7C1ACFC2">
      <w:pPr>
        <w:pStyle w:val="2"/>
        <w:spacing w:line="270" w:lineRule="auto"/>
      </w:pPr>
    </w:p>
    <w:p w14:paraId="05CBCC13">
      <w:pPr>
        <w:pStyle w:val="2"/>
        <w:spacing w:line="270" w:lineRule="auto"/>
      </w:pPr>
      <w:r>
        <w:pict>
          <v:shape id="_x0000_s1157" o:spid="_x0000_s1157" style="position:absolute;left:0pt;margin-left:21.8pt;margin-top:0.45pt;height:0.75pt;width:47.3pt;z-index:251801600;mso-width-relative:page;mso-height-relative:page;" fillcolor="#000000" filled="t" stroked="f" coordsize="945,15" path="m0,15l945,15,945,0,0,0,0,15xe">
            <v:path/>
            <v:fill on="t" focussize="0,0"/>
            <v:stroke on="f"/>
            <v:imagedata o:title=""/>
            <o:lock v:ext="edit"/>
          </v:shape>
        </w:pict>
      </w:r>
    </w:p>
    <w:p w14:paraId="220EACAC">
      <w:pPr>
        <w:spacing w:before="69" w:line="45" w:lineRule="exact"/>
        <w:ind w:left="7088"/>
        <w:rPr>
          <w:rFonts w:ascii="宋体" w:hAnsi="宋体" w:eastAsia="宋体" w:cs="宋体"/>
          <w:sz w:val="21"/>
          <w:szCs w:val="21"/>
        </w:rPr>
      </w:pPr>
      <w:r>
        <w:pict>
          <v:shape id="_x0000_s1158" o:spid="_x0000_s1158" o:spt="202" type="#_x0000_t202" style="position:absolute;left:0pt;margin-left:-0.2pt;margin-top:-3.25pt;height:32.9pt;width:354.25pt;z-index:251793408;mso-width-relative:page;mso-height-relative:page;" filled="f" stroked="f" coordsize="21600,21600">
            <v:path/>
            <v:fill on="f" focussize="0,0"/>
            <v:stroke on="f"/>
            <v:imagedata o:title=""/>
            <o:lock v:ext="edit" aspectratio="f"/>
            <v:textbox inset="0mm,0mm,0mm,0mm">
              <w:txbxContent>
                <w:p w14:paraId="79CDEE84">
                  <w:pPr>
                    <w:pStyle w:val="2"/>
                    <w:tabs>
                      <w:tab w:val="left" w:pos="7064"/>
                    </w:tabs>
                    <w:spacing w:before="19"/>
                    <w:ind w:left="20"/>
                  </w:pPr>
                  <w:r>
                    <w:rPr>
                      <w:u w:val="single" w:color="auto"/>
                    </w:rPr>
                    <w:tab/>
                  </w:r>
                </w:p>
                <w:p w14:paraId="61446315">
                  <w:pPr>
                    <w:spacing w:before="127" w:line="218" w:lineRule="auto"/>
                    <w:ind w:left="452"/>
                    <w:rPr>
                      <w:rFonts w:ascii="宋体" w:hAnsi="宋体" w:eastAsia="宋体" w:cs="宋体"/>
                      <w:sz w:val="21"/>
                      <w:szCs w:val="21"/>
                    </w:rPr>
                  </w:pPr>
                  <w:r>
                    <w:rPr>
                      <w:rFonts w:ascii="宋体" w:hAnsi="宋体" w:eastAsia="宋体" w:cs="宋体"/>
                      <w:spacing w:val="-6"/>
                      <w:sz w:val="21"/>
                      <w:szCs w:val="21"/>
                    </w:rPr>
                    <w:t>3、其他价格方式：</w:t>
                  </w:r>
                </w:p>
              </w:txbxContent>
            </v:textbox>
          </v:shape>
        </w:pict>
      </w:r>
      <w:r>
        <w:rPr>
          <w:rFonts w:ascii="宋体" w:hAnsi="宋体" w:eastAsia="宋体" w:cs="宋体"/>
          <w:position w:val="-1"/>
          <w:sz w:val="21"/>
          <w:szCs w:val="21"/>
        </w:rPr>
        <w:t>。</w:t>
      </w:r>
    </w:p>
    <w:p w14:paraId="01EA7858">
      <w:pPr>
        <w:pStyle w:val="2"/>
        <w:spacing w:line="270" w:lineRule="auto"/>
      </w:pPr>
    </w:p>
    <w:p w14:paraId="329374DB">
      <w:pPr>
        <w:pStyle w:val="2"/>
        <w:spacing w:line="270" w:lineRule="auto"/>
      </w:pPr>
    </w:p>
    <w:p w14:paraId="28C8B7D2">
      <w:pPr>
        <w:pStyle w:val="2"/>
        <w:spacing w:line="270" w:lineRule="auto"/>
      </w:pPr>
    </w:p>
    <w:p w14:paraId="0EC84366">
      <w:pPr>
        <w:pStyle w:val="2"/>
        <w:spacing w:line="270" w:lineRule="auto"/>
      </w:pPr>
      <w:r>
        <w:pict>
          <v:shape id="_x0000_s1159" o:spid="_x0000_s1159" style="position:absolute;left:0pt;margin-left:21.8pt;margin-top:0.45pt;height:0.75pt;width:47.3pt;z-index:251799552;mso-width-relative:page;mso-height-relative:page;" fillcolor="#000000" filled="t" stroked="f" coordsize="945,15" path="m0,15l945,15,945,0,0,0,0,15xe">
            <v:path/>
            <v:fill on="t" focussize="0,0"/>
            <v:stroke on="f"/>
            <v:imagedata o:title=""/>
            <o:lock v:ext="edit"/>
          </v:shape>
        </w:pict>
      </w:r>
    </w:p>
    <w:p w14:paraId="2B250A27">
      <w:pPr>
        <w:spacing w:before="69" w:line="45" w:lineRule="exact"/>
        <w:ind w:left="7088"/>
        <w:rPr>
          <w:rFonts w:ascii="宋体" w:hAnsi="宋体" w:eastAsia="宋体" w:cs="宋体"/>
          <w:sz w:val="21"/>
          <w:szCs w:val="21"/>
        </w:rPr>
      </w:pPr>
      <w:r>
        <w:pict>
          <v:shape id="_x0000_s1160" o:spid="_x0000_s1160" o:spt="202" type="#_x0000_t202" style="position:absolute;left:0pt;margin-left:-0.2pt;margin-top:-3.25pt;height:34.35pt;width:354.25pt;z-index:251791360;mso-width-relative:page;mso-height-relative:page;" filled="f" stroked="f" coordsize="21600,21600">
            <v:path/>
            <v:fill on="f" focussize="0,0"/>
            <v:stroke on="f"/>
            <v:imagedata o:title=""/>
            <o:lock v:ext="edit" aspectratio="f"/>
            <v:textbox inset="0mm,0mm,0mm,0mm">
              <w:txbxContent>
                <w:p w14:paraId="1DA6AEAC">
                  <w:pPr>
                    <w:pStyle w:val="2"/>
                    <w:tabs>
                      <w:tab w:val="left" w:pos="7064"/>
                    </w:tabs>
                    <w:spacing w:before="19"/>
                    <w:ind w:left="20"/>
                  </w:pPr>
                  <w:r>
                    <w:rPr>
                      <w:u w:val="single" w:color="auto"/>
                    </w:rPr>
                    <w:tab/>
                  </w:r>
                </w:p>
                <w:p w14:paraId="1F3886AF">
                  <w:pPr>
                    <w:spacing w:before="101" w:line="233" w:lineRule="auto"/>
                    <w:ind w:left="35"/>
                    <w:outlineLvl w:val="1"/>
                    <w:rPr>
                      <w:rFonts w:ascii="黑体" w:hAnsi="黑体" w:eastAsia="黑体" w:cs="黑体"/>
                      <w:sz w:val="24"/>
                      <w:szCs w:val="24"/>
                    </w:rPr>
                  </w:pPr>
                  <w:bookmarkStart w:id="713" w:name="bookmark489"/>
                  <w:bookmarkEnd w:id="713"/>
                  <w:r>
                    <w:rPr>
                      <w:rFonts w:ascii="Times New Roman" w:hAnsi="Times New Roman" w:eastAsia="Times New Roman" w:cs="Times New Roman"/>
                      <w:b/>
                      <w:bCs/>
                      <w:spacing w:val="-1"/>
                      <w:sz w:val="24"/>
                      <w:szCs w:val="24"/>
                    </w:rPr>
                    <w:t>12.2</w:t>
                  </w:r>
                  <w:r>
                    <w:rPr>
                      <w:rFonts w:ascii="Times New Roman" w:hAnsi="Times New Roman" w:eastAsia="Times New Roman" w:cs="Times New Roman"/>
                      <w:b/>
                      <w:bCs/>
                      <w:spacing w:val="7"/>
                      <w:sz w:val="24"/>
                      <w:szCs w:val="24"/>
                    </w:rPr>
                    <w:t xml:space="preserve">  </w:t>
                  </w:r>
                  <w:r>
                    <w:rPr>
                      <w:rFonts w:ascii="黑体" w:hAnsi="黑体" w:eastAsia="黑体" w:cs="黑体"/>
                      <w:b/>
                      <w:bCs/>
                      <w:spacing w:val="-1"/>
                      <w:sz w:val="24"/>
                      <w:szCs w:val="24"/>
                    </w:rPr>
                    <w:t>预付款</w:t>
                  </w:r>
                </w:p>
              </w:txbxContent>
            </v:textbox>
          </v:shape>
        </w:pict>
      </w:r>
      <w:r>
        <w:rPr>
          <w:rFonts w:ascii="宋体" w:hAnsi="宋体" w:eastAsia="宋体" w:cs="宋体"/>
          <w:position w:val="-1"/>
          <w:sz w:val="21"/>
          <w:szCs w:val="21"/>
        </w:rPr>
        <w:t>。</w:t>
      </w:r>
    </w:p>
    <w:p w14:paraId="0B354F39">
      <w:pPr>
        <w:pStyle w:val="2"/>
        <w:spacing w:line="271" w:lineRule="auto"/>
      </w:pPr>
    </w:p>
    <w:p w14:paraId="4BF31521">
      <w:pPr>
        <w:pStyle w:val="2"/>
        <w:spacing w:line="271" w:lineRule="auto"/>
      </w:pPr>
    </w:p>
    <w:p w14:paraId="60284550">
      <w:pPr>
        <w:spacing w:before="69" w:line="220" w:lineRule="auto"/>
        <w:ind w:left="460"/>
        <w:rPr>
          <w:rFonts w:ascii="宋体" w:hAnsi="宋体" w:eastAsia="宋体" w:cs="宋体"/>
          <w:sz w:val="21"/>
          <w:szCs w:val="21"/>
        </w:rPr>
      </w:pPr>
      <w:r>
        <w:rPr>
          <w:rFonts w:ascii="宋体" w:hAnsi="宋体" w:eastAsia="宋体" w:cs="宋体"/>
          <w:spacing w:val="-2"/>
          <w:sz w:val="21"/>
          <w:szCs w:val="21"/>
        </w:rPr>
        <w:t>12.2.1 预付款的支付</w:t>
      </w:r>
    </w:p>
    <w:p w14:paraId="662AB3BF">
      <w:pPr>
        <w:spacing w:before="155" w:line="220" w:lineRule="auto"/>
        <w:ind w:left="446"/>
        <w:rPr>
          <w:rFonts w:ascii="宋体" w:hAnsi="宋体" w:eastAsia="宋体" w:cs="宋体"/>
          <w:sz w:val="21"/>
          <w:szCs w:val="21"/>
        </w:rPr>
      </w:pPr>
      <w:r>
        <w:rPr>
          <w:rFonts w:ascii="宋体" w:hAnsi="宋体" w:eastAsia="宋体" w:cs="宋体"/>
          <w:sz w:val="21"/>
          <w:szCs w:val="21"/>
        </w:rPr>
        <w:t>预付款支付比例或金额：</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E59F850">
      <w:pPr>
        <w:spacing w:line="220" w:lineRule="auto"/>
        <w:rPr>
          <w:rFonts w:ascii="宋体" w:hAnsi="宋体" w:eastAsia="宋体" w:cs="宋体"/>
          <w:sz w:val="21"/>
          <w:szCs w:val="21"/>
        </w:rPr>
        <w:sectPr>
          <w:footerReference r:id="rId228" w:type="default"/>
          <w:pgSz w:w="11910" w:h="16845"/>
          <w:pgMar w:top="400" w:right="1711" w:bottom="1110" w:left="1786" w:header="0" w:footer="883" w:gutter="0"/>
          <w:cols w:space="720" w:num="1"/>
        </w:sectPr>
      </w:pPr>
    </w:p>
    <w:p w14:paraId="0E8F5A09">
      <w:pPr>
        <w:pStyle w:val="2"/>
        <w:spacing w:line="275" w:lineRule="auto"/>
      </w:pPr>
    </w:p>
    <w:p w14:paraId="1C25A6AE">
      <w:pPr>
        <w:pStyle w:val="2"/>
        <w:spacing w:line="275" w:lineRule="auto"/>
      </w:pPr>
    </w:p>
    <w:p w14:paraId="58A42B2E">
      <w:pPr>
        <w:pStyle w:val="2"/>
        <w:spacing w:line="275" w:lineRule="auto"/>
      </w:pPr>
    </w:p>
    <w:p w14:paraId="185EAB86">
      <w:pPr>
        <w:pStyle w:val="2"/>
        <w:spacing w:line="275" w:lineRule="auto"/>
      </w:pPr>
    </w:p>
    <w:p w14:paraId="17B1AABA">
      <w:pPr>
        <w:spacing w:before="68" w:line="220" w:lineRule="auto"/>
        <w:ind w:left="446"/>
        <w:rPr>
          <w:rFonts w:ascii="宋体" w:hAnsi="宋体" w:eastAsia="宋体" w:cs="宋体"/>
          <w:sz w:val="21"/>
          <w:szCs w:val="21"/>
        </w:rPr>
      </w:pPr>
      <w:r>
        <w:rPr>
          <w:rFonts w:ascii="宋体" w:hAnsi="宋体" w:eastAsia="宋体" w:cs="宋体"/>
          <w:sz w:val="21"/>
          <w:szCs w:val="21"/>
        </w:rPr>
        <w:t>预付款支付期限：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7051CE3">
      <w:pPr>
        <w:spacing w:before="155" w:line="220" w:lineRule="auto"/>
        <w:ind w:left="446"/>
        <w:rPr>
          <w:rFonts w:ascii="宋体" w:hAnsi="宋体" w:eastAsia="宋体" w:cs="宋体"/>
          <w:sz w:val="21"/>
          <w:szCs w:val="21"/>
        </w:rPr>
      </w:pPr>
      <w:r>
        <w:rPr>
          <w:rFonts w:ascii="宋体" w:hAnsi="宋体" w:eastAsia="宋体" w:cs="宋体"/>
          <w:sz w:val="21"/>
          <w:szCs w:val="21"/>
        </w:rPr>
        <w:t>预付款扣回的方式：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623D666E">
      <w:pPr>
        <w:spacing w:before="140" w:line="220" w:lineRule="auto"/>
        <w:ind w:left="460"/>
        <w:rPr>
          <w:rFonts w:ascii="宋体" w:hAnsi="宋体" w:eastAsia="宋体" w:cs="宋体"/>
          <w:sz w:val="21"/>
          <w:szCs w:val="21"/>
        </w:rPr>
      </w:pPr>
      <w:r>
        <w:rPr>
          <w:rFonts w:ascii="宋体" w:hAnsi="宋体" w:eastAsia="宋体" w:cs="宋体"/>
          <w:spacing w:val="-2"/>
          <w:sz w:val="21"/>
          <w:szCs w:val="21"/>
        </w:rPr>
        <w:t>12.2.2 预付款担保</w:t>
      </w:r>
    </w:p>
    <w:p w14:paraId="779EA3F7">
      <w:pPr>
        <w:spacing w:before="154" w:line="220" w:lineRule="auto"/>
        <w:ind w:left="444"/>
        <w:rPr>
          <w:rFonts w:ascii="宋体" w:hAnsi="宋体" w:eastAsia="宋体" w:cs="宋体"/>
          <w:sz w:val="21"/>
          <w:szCs w:val="21"/>
        </w:rPr>
      </w:pPr>
      <w:r>
        <w:rPr>
          <w:rFonts w:ascii="宋体" w:hAnsi="宋体" w:eastAsia="宋体" w:cs="宋体"/>
          <w:sz w:val="21"/>
          <w:szCs w:val="21"/>
        </w:rPr>
        <w:t>承包人提交预付款担保的期限：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FBDE565">
      <w:pPr>
        <w:spacing w:before="155" w:line="220" w:lineRule="auto"/>
        <w:ind w:left="446"/>
        <w:rPr>
          <w:rFonts w:ascii="宋体" w:hAnsi="宋体" w:eastAsia="宋体" w:cs="宋体"/>
          <w:sz w:val="21"/>
          <w:szCs w:val="21"/>
        </w:rPr>
      </w:pPr>
      <w:r>
        <w:rPr>
          <w:rFonts w:ascii="宋体" w:hAnsi="宋体" w:eastAsia="宋体" w:cs="宋体"/>
          <w:sz w:val="21"/>
          <w:szCs w:val="21"/>
        </w:rPr>
        <w:t>预付款担保的形式为：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5AE95ED">
      <w:pPr>
        <w:spacing w:before="115" w:line="236" w:lineRule="auto"/>
        <w:ind w:left="31"/>
        <w:outlineLvl w:val="1"/>
        <w:rPr>
          <w:rFonts w:ascii="黑体" w:hAnsi="黑体" w:eastAsia="黑体" w:cs="黑体"/>
          <w:sz w:val="24"/>
          <w:szCs w:val="24"/>
        </w:rPr>
      </w:pPr>
      <w:bookmarkStart w:id="540" w:name="bookmark490"/>
      <w:bookmarkEnd w:id="540"/>
      <w:r>
        <w:rPr>
          <w:rFonts w:ascii="Times New Roman" w:hAnsi="Times New Roman" w:eastAsia="Times New Roman" w:cs="Times New Roman"/>
          <w:b/>
          <w:bCs/>
          <w:spacing w:val="-3"/>
          <w:sz w:val="24"/>
          <w:szCs w:val="24"/>
        </w:rPr>
        <w:t>12.3</w:t>
      </w:r>
      <w:r>
        <w:rPr>
          <w:rFonts w:ascii="Times New Roman" w:hAnsi="Times New Roman" w:eastAsia="Times New Roman" w:cs="Times New Roman"/>
          <w:b/>
          <w:bCs/>
          <w:spacing w:val="6"/>
          <w:sz w:val="24"/>
          <w:szCs w:val="24"/>
        </w:rPr>
        <w:t xml:space="preserve">  </w:t>
      </w:r>
      <w:r>
        <w:rPr>
          <w:rFonts w:ascii="黑体" w:hAnsi="黑体" w:eastAsia="黑体" w:cs="黑体"/>
          <w:b/>
          <w:bCs/>
          <w:spacing w:val="-3"/>
          <w:sz w:val="24"/>
          <w:szCs w:val="24"/>
        </w:rPr>
        <w:t>计量</w:t>
      </w:r>
    </w:p>
    <w:p w14:paraId="1FB07BC0">
      <w:pPr>
        <w:spacing w:before="125" w:line="220" w:lineRule="auto"/>
        <w:ind w:left="460"/>
        <w:rPr>
          <w:rFonts w:ascii="宋体" w:hAnsi="宋体" w:eastAsia="宋体" w:cs="宋体"/>
          <w:sz w:val="21"/>
          <w:szCs w:val="21"/>
        </w:rPr>
      </w:pPr>
      <w:r>
        <w:rPr>
          <w:rFonts w:ascii="宋体" w:hAnsi="宋体" w:eastAsia="宋体" w:cs="宋体"/>
          <w:spacing w:val="-2"/>
          <w:sz w:val="21"/>
          <w:szCs w:val="21"/>
        </w:rPr>
        <w:t>12.3.1 计量原则</w:t>
      </w:r>
    </w:p>
    <w:p w14:paraId="44BBDBE1">
      <w:pPr>
        <w:spacing w:before="153" w:line="220" w:lineRule="auto"/>
        <w:ind w:left="447"/>
        <w:rPr>
          <w:rFonts w:ascii="宋体" w:hAnsi="宋体" w:eastAsia="宋体" w:cs="宋体"/>
          <w:sz w:val="21"/>
          <w:szCs w:val="21"/>
        </w:rPr>
      </w:pPr>
      <w:r>
        <w:rPr>
          <w:rFonts w:ascii="宋体" w:hAnsi="宋体" w:eastAsia="宋体" w:cs="宋体"/>
          <w:sz w:val="21"/>
          <w:szCs w:val="21"/>
        </w:rPr>
        <w:t>工程量计算规则：</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625B5B5">
      <w:pPr>
        <w:spacing w:before="141" w:line="220" w:lineRule="auto"/>
        <w:ind w:left="460"/>
        <w:rPr>
          <w:rFonts w:ascii="宋体" w:hAnsi="宋体" w:eastAsia="宋体" w:cs="宋体"/>
          <w:sz w:val="21"/>
          <w:szCs w:val="21"/>
        </w:rPr>
      </w:pPr>
      <w:r>
        <w:rPr>
          <w:rFonts w:ascii="宋体" w:hAnsi="宋体" w:eastAsia="宋体" w:cs="宋体"/>
          <w:spacing w:val="-2"/>
          <w:sz w:val="21"/>
          <w:szCs w:val="21"/>
        </w:rPr>
        <w:t>12.3.2 计量周期</w:t>
      </w:r>
    </w:p>
    <w:p w14:paraId="2455F84C">
      <w:pPr>
        <w:spacing w:before="156" w:line="220" w:lineRule="auto"/>
        <w:ind w:left="448"/>
        <w:rPr>
          <w:rFonts w:ascii="宋体" w:hAnsi="宋体" w:eastAsia="宋体" w:cs="宋体"/>
          <w:sz w:val="21"/>
          <w:szCs w:val="21"/>
        </w:rPr>
      </w:pPr>
      <w:r>
        <w:rPr>
          <w:rFonts w:ascii="宋体" w:hAnsi="宋体" w:eastAsia="宋体" w:cs="宋体"/>
          <w:sz w:val="21"/>
          <w:szCs w:val="21"/>
        </w:rPr>
        <w:t>关于计量周期的约定：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9B165F4">
      <w:pPr>
        <w:spacing w:before="154" w:line="218" w:lineRule="auto"/>
        <w:ind w:left="460"/>
        <w:rPr>
          <w:rFonts w:ascii="宋体" w:hAnsi="宋体" w:eastAsia="宋体" w:cs="宋体"/>
          <w:sz w:val="21"/>
          <w:szCs w:val="21"/>
        </w:rPr>
      </w:pPr>
      <w:r>
        <w:rPr>
          <w:rFonts w:ascii="宋体" w:hAnsi="宋体" w:eastAsia="宋体" w:cs="宋体"/>
          <w:spacing w:val="-2"/>
          <w:sz w:val="21"/>
          <w:szCs w:val="21"/>
        </w:rPr>
        <w:t>12.3.3 单价合同的计量</w:t>
      </w:r>
    </w:p>
    <w:p w14:paraId="794A28D6">
      <w:pPr>
        <w:spacing w:before="143" w:line="218" w:lineRule="auto"/>
        <w:ind w:left="448"/>
        <w:rPr>
          <w:rFonts w:ascii="宋体" w:hAnsi="宋体" w:eastAsia="宋体" w:cs="宋体"/>
          <w:sz w:val="21"/>
          <w:szCs w:val="21"/>
        </w:rPr>
      </w:pPr>
      <w:r>
        <w:rPr>
          <w:rFonts w:ascii="宋体" w:hAnsi="宋体" w:eastAsia="宋体" w:cs="宋体"/>
          <w:sz w:val="21"/>
          <w:szCs w:val="21"/>
        </w:rPr>
        <w:t>关于单价合同计量的约定：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3DD2F5B">
      <w:pPr>
        <w:spacing w:before="157" w:line="218" w:lineRule="auto"/>
        <w:ind w:left="460"/>
        <w:rPr>
          <w:rFonts w:ascii="宋体" w:hAnsi="宋体" w:eastAsia="宋体" w:cs="宋体"/>
          <w:sz w:val="21"/>
          <w:szCs w:val="21"/>
        </w:rPr>
      </w:pPr>
      <w:r>
        <w:rPr>
          <w:rFonts w:ascii="宋体" w:hAnsi="宋体" w:eastAsia="宋体" w:cs="宋体"/>
          <w:spacing w:val="-2"/>
          <w:sz w:val="21"/>
          <w:szCs w:val="21"/>
        </w:rPr>
        <w:t>12.3.4 总价合同的计量</w:t>
      </w:r>
    </w:p>
    <w:p w14:paraId="21BAF885">
      <w:pPr>
        <w:spacing w:before="158" w:line="218" w:lineRule="auto"/>
        <w:ind w:left="448"/>
        <w:rPr>
          <w:rFonts w:ascii="宋体" w:hAnsi="宋体" w:eastAsia="宋体" w:cs="宋体"/>
          <w:sz w:val="21"/>
          <w:szCs w:val="21"/>
        </w:rPr>
      </w:pPr>
      <w:r>
        <w:rPr>
          <w:rFonts w:ascii="宋体" w:hAnsi="宋体" w:eastAsia="宋体" w:cs="宋体"/>
          <w:sz w:val="21"/>
          <w:szCs w:val="21"/>
        </w:rPr>
        <w:t>关于总价合同计量的约定：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8641220">
      <w:pPr>
        <w:spacing w:before="142" w:line="352" w:lineRule="auto"/>
        <w:ind w:left="24" w:firstLine="436"/>
        <w:rPr>
          <w:rFonts w:ascii="宋体" w:hAnsi="宋体" w:eastAsia="宋体" w:cs="宋体"/>
          <w:sz w:val="21"/>
          <w:szCs w:val="21"/>
        </w:rPr>
      </w:pPr>
      <w:r>
        <w:rPr>
          <w:rFonts w:ascii="宋体" w:hAnsi="宋体" w:eastAsia="宋体" w:cs="宋体"/>
          <w:spacing w:val="-6"/>
          <w:sz w:val="21"/>
          <w:szCs w:val="21"/>
        </w:rPr>
        <w:t>12.3.5</w:t>
      </w:r>
      <w:r>
        <w:rPr>
          <w:rFonts w:ascii="宋体" w:hAnsi="宋体" w:eastAsia="宋体" w:cs="宋体"/>
          <w:spacing w:val="-30"/>
          <w:sz w:val="21"/>
          <w:szCs w:val="21"/>
        </w:rPr>
        <w:t xml:space="preserve"> </w:t>
      </w:r>
      <w:r>
        <w:rPr>
          <w:rFonts w:ascii="宋体" w:hAnsi="宋体" w:eastAsia="宋体" w:cs="宋体"/>
          <w:spacing w:val="-6"/>
          <w:sz w:val="21"/>
          <w:szCs w:val="21"/>
        </w:rPr>
        <w:t>总价合同采用支付分解表计量支付的，是否适用第</w:t>
      </w:r>
      <w:r>
        <w:rPr>
          <w:rFonts w:ascii="宋体" w:hAnsi="宋体" w:eastAsia="宋体" w:cs="宋体"/>
          <w:spacing w:val="-26"/>
          <w:sz w:val="21"/>
          <w:szCs w:val="21"/>
        </w:rPr>
        <w:t xml:space="preserve"> </w:t>
      </w:r>
      <w:r>
        <w:rPr>
          <w:rFonts w:ascii="宋体" w:hAnsi="宋体" w:eastAsia="宋体" w:cs="宋体"/>
          <w:spacing w:val="-6"/>
          <w:sz w:val="21"/>
          <w:szCs w:val="21"/>
        </w:rPr>
        <w:t>12.3.4 项</w:t>
      </w:r>
      <w:r>
        <w:rPr>
          <w:rFonts w:ascii="宋体" w:hAnsi="宋体" w:eastAsia="宋体" w:cs="宋体"/>
          <w:spacing w:val="-7"/>
          <w:sz w:val="21"/>
          <w:szCs w:val="21"/>
        </w:rPr>
        <w:t>〔总价合同的计量〕</w:t>
      </w:r>
      <w:r>
        <w:rPr>
          <w:rFonts w:ascii="宋体" w:hAnsi="宋体" w:eastAsia="宋体" w:cs="宋体"/>
          <w:spacing w:val="-5"/>
          <w:sz w:val="21"/>
          <w:szCs w:val="21"/>
        </w:rPr>
        <w:t>约                  定</w:t>
      </w:r>
      <w:r>
        <w:rPr>
          <w:rFonts w:ascii="宋体" w:hAnsi="宋体" w:eastAsia="宋体" w:cs="宋体"/>
          <w:spacing w:val="2"/>
          <w:sz w:val="21"/>
          <w:szCs w:val="21"/>
        </w:rPr>
        <w:t xml:space="preserve">                 </w:t>
      </w:r>
      <w:r>
        <w:rPr>
          <w:rFonts w:ascii="宋体" w:hAnsi="宋体" w:eastAsia="宋体" w:cs="宋体"/>
          <w:spacing w:val="-5"/>
          <w:sz w:val="21"/>
          <w:szCs w:val="21"/>
        </w:rPr>
        <w:t>进</w:t>
      </w:r>
      <w:r>
        <w:rPr>
          <w:rFonts w:ascii="宋体" w:hAnsi="宋体" w:eastAsia="宋体" w:cs="宋体"/>
          <w:spacing w:val="3"/>
          <w:sz w:val="21"/>
          <w:szCs w:val="21"/>
        </w:rPr>
        <w:t xml:space="preserve">                 </w:t>
      </w:r>
      <w:r>
        <w:rPr>
          <w:rFonts w:ascii="宋体" w:hAnsi="宋体" w:eastAsia="宋体" w:cs="宋体"/>
          <w:spacing w:val="-5"/>
          <w:sz w:val="21"/>
          <w:szCs w:val="21"/>
        </w:rPr>
        <w:t>行</w:t>
      </w:r>
      <w:r>
        <w:rPr>
          <w:rFonts w:ascii="宋体" w:hAnsi="宋体" w:eastAsia="宋体" w:cs="宋体"/>
          <w:spacing w:val="2"/>
          <w:sz w:val="21"/>
          <w:szCs w:val="21"/>
        </w:rPr>
        <w:t xml:space="preserve">                 </w:t>
      </w:r>
      <w:r>
        <w:rPr>
          <w:rFonts w:ascii="宋体" w:hAnsi="宋体" w:eastAsia="宋体" w:cs="宋体"/>
          <w:spacing w:val="-5"/>
          <w:sz w:val="21"/>
          <w:szCs w:val="21"/>
        </w:rPr>
        <w:t>计</w:t>
      </w:r>
      <w:r>
        <w:rPr>
          <w:rFonts w:ascii="宋体" w:hAnsi="宋体" w:eastAsia="宋体" w:cs="宋体"/>
          <w:spacing w:val="-2"/>
          <w:sz w:val="21"/>
          <w:szCs w:val="21"/>
        </w:rPr>
        <w:t>量：</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p>
    <w:p w14:paraId="1F680A28">
      <w:pPr>
        <w:spacing w:line="218" w:lineRule="auto"/>
        <w:ind w:left="460"/>
        <w:rPr>
          <w:rFonts w:ascii="宋体" w:hAnsi="宋体" w:eastAsia="宋体" w:cs="宋体"/>
          <w:sz w:val="21"/>
          <w:szCs w:val="21"/>
        </w:rPr>
      </w:pPr>
      <w:r>
        <w:rPr>
          <w:rFonts w:ascii="宋体" w:hAnsi="宋体" w:eastAsia="宋体" w:cs="宋体"/>
          <w:spacing w:val="-1"/>
          <w:sz w:val="21"/>
          <w:szCs w:val="21"/>
        </w:rPr>
        <w:t>12.3.6 其他价格形式合同的计量</w:t>
      </w:r>
    </w:p>
    <w:p w14:paraId="69762E00">
      <w:pPr>
        <w:spacing w:before="157" w:line="218" w:lineRule="auto"/>
        <w:ind w:left="445"/>
        <w:rPr>
          <w:rFonts w:ascii="宋体" w:hAnsi="宋体" w:eastAsia="宋体" w:cs="宋体"/>
          <w:sz w:val="21"/>
          <w:szCs w:val="21"/>
        </w:rPr>
      </w:pPr>
      <w:r>
        <w:rPr>
          <w:rFonts w:ascii="宋体" w:hAnsi="宋体" w:eastAsia="宋体" w:cs="宋体"/>
          <w:spacing w:val="-4"/>
          <w:sz w:val="21"/>
          <w:szCs w:val="21"/>
        </w:rPr>
        <w:t>其他价格形式的计量方式和程序：</w:t>
      </w:r>
    </w:p>
    <w:p w14:paraId="53B68655">
      <w:pPr>
        <w:pStyle w:val="2"/>
        <w:tabs>
          <w:tab w:val="left" w:pos="1381"/>
        </w:tabs>
        <w:spacing w:before="179"/>
        <w:ind w:left="436"/>
      </w:pPr>
      <w:r>
        <w:rPr>
          <w:u w:val="single" w:color="auto"/>
        </w:rPr>
        <w:tab/>
      </w:r>
    </w:p>
    <w:p w14:paraId="0BB79C18">
      <w:pPr>
        <w:spacing w:before="263" w:line="46" w:lineRule="exact"/>
        <w:ind w:left="7088"/>
        <w:rPr>
          <w:rFonts w:ascii="宋体" w:hAnsi="宋体" w:eastAsia="宋体" w:cs="宋体"/>
          <w:sz w:val="21"/>
          <w:szCs w:val="21"/>
        </w:rPr>
      </w:pPr>
      <w:r>
        <w:pict>
          <v:shape id="_x0000_s1161" o:spid="_x0000_s1161" o:spt="202" type="#_x0000_t202" style="position:absolute;left:0pt;margin-left:-0.2pt;margin-top:6.4pt;height:14.1pt;width:354.25pt;z-index:251803648;mso-width-relative:page;mso-height-relative:page;" filled="f" stroked="f" coordsize="21600,21600">
            <v:path/>
            <v:fill on="f" focussize="0,0"/>
            <v:stroke on="f"/>
            <v:imagedata o:title=""/>
            <o:lock v:ext="edit" aspectratio="f"/>
            <v:textbox inset="0mm,0mm,0mm,0mm">
              <w:txbxContent>
                <w:p w14:paraId="5041F2B4">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668FD343">
      <w:pPr>
        <w:spacing w:before="198" w:line="233" w:lineRule="auto"/>
        <w:ind w:left="31"/>
        <w:outlineLvl w:val="1"/>
        <w:rPr>
          <w:rFonts w:ascii="黑体" w:hAnsi="黑体" w:eastAsia="黑体" w:cs="黑体"/>
          <w:sz w:val="24"/>
          <w:szCs w:val="24"/>
        </w:rPr>
      </w:pPr>
      <w:bookmarkStart w:id="541" w:name="bookmark491"/>
      <w:bookmarkEnd w:id="541"/>
      <w:r>
        <w:rPr>
          <w:rFonts w:ascii="Times New Roman" w:hAnsi="Times New Roman" w:eastAsia="Times New Roman" w:cs="Times New Roman"/>
          <w:b/>
          <w:bCs/>
          <w:spacing w:val="1"/>
          <w:sz w:val="24"/>
          <w:szCs w:val="24"/>
        </w:rPr>
        <w:t xml:space="preserve">12.4  </w:t>
      </w:r>
      <w:r>
        <w:rPr>
          <w:rFonts w:ascii="黑体" w:hAnsi="黑体" w:eastAsia="黑体" w:cs="黑体"/>
          <w:b/>
          <w:bCs/>
          <w:spacing w:val="1"/>
          <w:sz w:val="24"/>
          <w:szCs w:val="24"/>
        </w:rPr>
        <w:t>工程进度款支付</w:t>
      </w:r>
    </w:p>
    <w:p w14:paraId="428D399A">
      <w:pPr>
        <w:spacing w:before="128" w:line="220" w:lineRule="auto"/>
        <w:ind w:left="460"/>
        <w:rPr>
          <w:rFonts w:ascii="宋体" w:hAnsi="宋体" w:eastAsia="宋体" w:cs="宋体"/>
          <w:sz w:val="21"/>
          <w:szCs w:val="21"/>
        </w:rPr>
      </w:pPr>
      <w:r>
        <w:rPr>
          <w:rFonts w:ascii="宋体" w:hAnsi="宋体" w:eastAsia="宋体" w:cs="宋体"/>
          <w:spacing w:val="-2"/>
          <w:sz w:val="21"/>
          <w:szCs w:val="21"/>
        </w:rPr>
        <w:t>12.4.1 付款周期</w:t>
      </w:r>
    </w:p>
    <w:p w14:paraId="63A621E7">
      <w:pPr>
        <w:spacing w:before="140" w:line="220" w:lineRule="auto"/>
        <w:ind w:left="448"/>
        <w:rPr>
          <w:rFonts w:ascii="宋体" w:hAnsi="宋体" w:eastAsia="宋体" w:cs="宋体"/>
          <w:sz w:val="21"/>
          <w:szCs w:val="21"/>
        </w:rPr>
      </w:pPr>
      <w:r>
        <w:rPr>
          <w:rFonts w:ascii="宋体" w:hAnsi="宋体" w:eastAsia="宋体" w:cs="宋体"/>
          <w:spacing w:val="-5"/>
          <w:sz w:val="21"/>
          <w:szCs w:val="21"/>
        </w:rPr>
        <w:t>关于付款周期的约定：</w:t>
      </w:r>
    </w:p>
    <w:p w14:paraId="32B44CE8">
      <w:pPr>
        <w:pStyle w:val="2"/>
        <w:tabs>
          <w:tab w:val="left" w:pos="1381"/>
        </w:tabs>
        <w:spacing w:before="177"/>
        <w:ind w:left="436"/>
      </w:pPr>
      <w:r>
        <w:rPr>
          <w:u w:val="single" w:color="auto"/>
        </w:rPr>
        <w:tab/>
      </w:r>
    </w:p>
    <w:p w14:paraId="0C3C48D5">
      <w:pPr>
        <w:spacing w:before="278" w:line="45" w:lineRule="exact"/>
        <w:ind w:left="7088"/>
        <w:rPr>
          <w:rFonts w:ascii="宋体" w:hAnsi="宋体" w:eastAsia="宋体" w:cs="宋体"/>
          <w:sz w:val="21"/>
          <w:szCs w:val="21"/>
        </w:rPr>
      </w:pPr>
      <w:r>
        <w:pict>
          <v:shape id="_x0000_s1162" o:spid="_x0000_s1162" o:spt="202" type="#_x0000_t202" style="position:absolute;left:0pt;margin-left:-0.2pt;margin-top:7.15pt;height:14.1pt;width:354.25pt;z-index:251804672;mso-width-relative:page;mso-height-relative:page;" filled="f" stroked="f" coordsize="21600,21600">
            <v:path/>
            <v:fill on="f" focussize="0,0"/>
            <v:stroke on="f"/>
            <v:imagedata o:title=""/>
            <o:lock v:ext="edit" aspectratio="f"/>
            <v:textbox inset="0mm,0mm,0mm,0mm">
              <w:txbxContent>
                <w:p w14:paraId="0EF1D82D">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58122014">
      <w:pPr>
        <w:spacing w:before="209" w:line="220" w:lineRule="auto"/>
        <w:ind w:left="460"/>
        <w:rPr>
          <w:rFonts w:ascii="宋体" w:hAnsi="宋体" w:eastAsia="宋体" w:cs="宋体"/>
          <w:sz w:val="21"/>
          <w:szCs w:val="21"/>
        </w:rPr>
      </w:pPr>
      <w:r>
        <w:rPr>
          <w:rFonts w:ascii="宋体" w:hAnsi="宋体" w:eastAsia="宋体" w:cs="宋体"/>
          <w:spacing w:val="-2"/>
          <w:sz w:val="21"/>
          <w:szCs w:val="21"/>
        </w:rPr>
        <w:t>12.4.2 进度付款申请单的编制</w:t>
      </w:r>
    </w:p>
    <w:p w14:paraId="3BB806CB">
      <w:pPr>
        <w:spacing w:before="156" w:line="220" w:lineRule="auto"/>
        <w:ind w:left="448"/>
        <w:rPr>
          <w:rFonts w:ascii="宋体" w:hAnsi="宋体" w:eastAsia="宋体" w:cs="宋体"/>
          <w:sz w:val="21"/>
          <w:szCs w:val="21"/>
        </w:rPr>
      </w:pPr>
      <w:r>
        <w:rPr>
          <w:rFonts w:ascii="宋体" w:hAnsi="宋体" w:eastAsia="宋体" w:cs="宋体"/>
          <w:spacing w:val="-4"/>
          <w:sz w:val="21"/>
          <w:szCs w:val="21"/>
        </w:rPr>
        <w:t>关于进度付款申请单编制的约定：</w:t>
      </w:r>
    </w:p>
    <w:p w14:paraId="79467F80">
      <w:pPr>
        <w:pStyle w:val="2"/>
        <w:tabs>
          <w:tab w:val="left" w:pos="1381"/>
        </w:tabs>
        <w:spacing w:before="176"/>
        <w:ind w:left="436"/>
      </w:pPr>
      <w:r>
        <w:rPr>
          <w:u w:val="single" w:color="auto"/>
        </w:rPr>
        <w:tab/>
      </w:r>
    </w:p>
    <w:p w14:paraId="6FDA0077">
      <w:pPr>
        <w:tabs>
          <w:tab w:val="left" w:pos="7060"/>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438CC81">
      <w:pPr>
        <w:spacing w:before="164" w:line="220" w:lineRule="auto"/>
        <w:ind w:left="460"/>
        <w:rPr>
          <w:rFonts w:ascii="宋体" w:hAnsi="宋体" w:eastAsia="宋体" w:cs="宋体"/>
          <w:sz w:val="21"/>
          <w:szCs w:val="21"/>
        </w:rPr>
      </w:pPr>
      <w:r>
        <w:rPr>
          <w:rFonts w:ascii="宋体" w:hAnsi="宋体" w:eastAsia="宋体" w:cs="宋体"/>
          <w:spacing w:val="-2"/>
          <w:sz w:val="21"/>
          <w:szCs w:val="21"/>
        </w:rPr>
        <w:t>12.4.3 进度付款申请单的提交</w:t>
      </w:r>
    </w:p>
    <w:p w14:paraId="00BFFD62">
      <w:pPr>
        <w:spacing w:before="155" w:line="218" w:lineRule="auto"/>
        <w:ind w:left="450"/>
        <w:rPr>
          <w:rFonts w:ascii="宋体" w:hAnsi="宋体" w:eastAsia="宋体" w:cs="宋体"/>
          <w:sz w:val="21"/>
          <w:szCs w:val="21"/>
        </w:rPr>
      </w:pPr>
      <w:r>
        <w:rPr>
          <w:rFonts w:ascii="宋体" w:hAnsi="宋体" w:eastAsia="宋体" w:cs="宋体"/>
          <w:spacing w:val="-1"/>
          <w:sz w:val="21"/>
          <w:szCs w:val="21"/>
        </w:rPr>
        <w:t>（1）单价合同进度付款申请单提交的约定：</w:t>
      </w:r>
    </w:p>
    <w:p w14:paraId="162A4E82">
      <w:pPr>
        <w:pStyle w:val="2"/>
        <w:spacing w:line="305" w:lineRule="auto"/>
      </w:pPr>
    </w:p>
    <w:p w14:paraId="62A446EA">
      <w:pPr>
        <w:pStyle w:val="2"/>
        <w:spacing w:line="306" w:lineRule="auto"/>
      </w:pPr>
      <w:r>
        <w:pict>
          <v:shape id="_x0000_s1163" o:spid="_x0000_s1163" style="position:absolute;left:0pt;margin-left:21.8pt;margin-top:2.3pt;height:0.75pt;width:47.3pt;z-index:251806720;mso-width-relative:page;mso-height-relative:page;" fillcolor="#000000" filled="t" stroked="f" coordsize="945,15" path="m0,15l945,15,945,0,0,0,0,15xe">
            <v:path/>
            <v:fill on="t" focussize="0,0"/>
            <v:stroke on="f"/>
            <v:imagedata o:title=""/>
            <o:lock v:ext="edit"/>
          </v:shape>
        </w:pict>
      </w:r>
    </w:p>
    <w:p w14:paraId="5F3B66CB">
      <w:pPr>
        <w:spacing w:before="69" w:line="106" w:lineRule="exact"/>
        <w:ind w:left="7088"/>
        <w:rPr>
          <w:rFonts w:ascii="宋体" w:hAnsi="宋体" w:eastAsia="宋体" w:cs="宋体"/>
          <w:sz w:val="21"/>
          <w:szCs w:val="21"/>
        </w:rPr>
      </w:pPr>
      <w:r>
        <w:pict>
          <v:shape id="_x0000_s1164" o:spid="_x0000_s1164" style="position:absolute;left:0pt;margin-left:0.75pt;margin-top:7.15pt;height:0.75pt;width:352.25pt;z-index:251805696;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3894258A">
      <w:pPr>
        <w:spacing w:line="106" w:lineRule="exact"/>
        <w:rPr>
          <w:rFonts w:ascii="宋体" w:hAnsi="宋体" w:eastAsia="宋体" w:cs="宋体"/>
          <w:sz w:val="21"/>
          <w:szCs w:val="21"/>
        </w:rPr>
        <w:sectPr>
          <w:footerReference r:id="rId229" w:type="default"/>
          <w:pgSz w:w="11910" w:h="16845"/>
          <w:pgMar w:top="400" w:right="1701" w:bottom="1110" w:left="1786" w:header="0" w:footer="883" w:gutter="0"/>
          <w:cols w:space="720" w:num="1"/>
        </w:sectPr>
      </w:pPr>
    </w:p>
    <w:p w14:paraId="7D2F4C77">
      <w:pPr>
        <w:pStyle w:val="2"/>
        <w:spacing w:line="275" w:lineRule="auto"/>
      </w:pPr>
    </w:p>
    <w:p w14:paraId="7E60AC2D">
      <w:pPr>
        <w:pStyle w:val="2"/>
        <w:spacing w:line="275" w:lineRule="auto"/>
      </w:pPr>
    </w:p>
    <w:p w14:paraId="22403178">
      <w:pPr>
        <w:pStyle w:val="2"/>
        <w:spacing w:line="275" w:lineRule="auto"/>
      </w:pPr>
    </w:p>
    <w:p w14:paraId="42F37D50">
      <w:pPr>
        <w:pStyle w:val="2"/>
        <w:spacing w:line="276" w:lineRule="auto"/>
      </w:pPr>
    </w:p>
    <w:p w14:paraId="623AFFD0">
      <w:pPr>
        <w:spacing w:before="68" w:line="218" w:lineRule="auto"/>
        <w:ind w:left="450"/>
        <w:rPr>
          <w:rFonts w:ascii="宋体" w:hAnsi="宋体" w:eastAsia="宋体" w:cs="宋体"/>
          <w:sz w:val="21"/>
          <w:szCs w:val="21"/>
        </w:rPr>
      </w:pPr>
      <w:r>
        <w:rPr>
          <w:rFonts w:ascii="宋体" w:hAnsi="宋体" w:eastAsia="宋体" w:cs="宋体"/>
          <w:spacing w:val="-1"/>
          <w:sz w:val="21"/>
          <w:szCs w:val="21"/>
        </w:rPr>
        <w:t>（2）总价合同进度付款申请单提交的约定：</w:t>
      </w:r>
    </w:p>
    <w:p w14:paraId="665E1216">
      <w:pPr>
        <w:pStyle w:val="2"/>
        <w:tabs>
          <w:tab w:val="left" w:pos="1381"/>
        </w:tabs>
        <w:spacing w:before="178"/>
        <w:ind w:left="436"/>
      </w:pPr>
      <w:r>
        <w:rPr>
          <w:u w:val="single" w:color="auto"/>
        </w:rPr>
        <w:tab/>
      </w:r>
    </w:p>
    <w:p w14:paraId="28FFB210">
      <w:pPr>
        <w:tabs>
          <w:tab w:val="left" w:pos="7060"/>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54A8442">
      <w:pPr>
        <w:spacing w:before="163" w:line="218" w:lineRule="auto"/>
        <w:ind w:left="450"/>
        <w:rPr>
          <w:rFonts w:ascii="宋体" w:hAnsi="宋体" w:eastAsia="宋体" w:cs="宋体"/>
          <w:sz w:val="21"/>
          <w:szCs w:val="21"/>
        </w:rPr>
      </w:pPr>
      <w:r>
        <w:rPr>
          <w:rFonts w:ascii="宋体" w:hAnsi="宋体" w:eastAsia="宋体" w:cs="宋体"/>
          <w:spacing w:val="-2"/>
          <w:sz w:val="21"/>
          <w:szCs w:val="21"/>
        </w:rPr>
        <w:t>（3）其他价格形式合同进度付款申请单提交的</w:t>
      </w:r>
      <w:r>
        <w:rPr>
          <w:rFonts w:ascii="宋体" w:hAnsi="宋体" w:eastAsia="宋体" w:cs="宋体"/>
          <w:spacing w:val="-3"/>
          <w:sz w:val="21"/>
          <w:szCs w:val="21"/>
        </w:rPr>
        <w:t>约定：</w:t>
      </w:r>
    </w:p>
    <w:p w14:paraId="6DED0600">
      <w:pPr>
        <w:pStyle w:val="2"/>
        <w:tabs>
          <w:tab w:val="left" w:pos="1381"/>
        </w:tabs>
        <w:spacing w:before="178"/>
        <w:ind w:left="436"/>
      </w:pPr>
      <w:r>
        <w:rPr>
          <w:u w:val="single" w:color="auto"/>
        </w:rPr>
        <w:tab/>
      </w:r>
    </w:p>
    <w:p w14:paraId="390E9073">
      <w:pPr>
        <w:tabs>
          <w:tab w:val="left" w:pos="7060"/>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6A9C29FB">
      <w:pPr>
        <w:spacing w:before="164" w:line="220" w:lineRule="auto"/>
        <w:ind w:left="460"/>
        <w:rPr>
          <w:rFonts w:ascii="宋体" w:hAnsi="宋体" w:eastAsia="宋体" w:cs="宋体"/>
          <w:sz w:val="21"/>
          <w:szCs w:val="21"/>
        </w:rPr>
      </w:pPr>
      <w:r>
        <w:rPr>
          <w:rFonts w:ascii="宋体" w:hAnsi="宋体" w:eastAsia="宋体" w:cs="宋体"/>
          <w:spacing w:val="-2"/>
          <w:sz w:val="21"/>
          <w:szCs w:val="21"/>
        </w:rPr>
        <w:t>12.4.4 进度款审核和支付</w:t>
      </w:r>
    </w:p>
    <w:p w14:paraId="6B6A61F7">
      <w:pPr>
        <w:spacing w:before="155" w:line="220" w:lineRule="auto"/>
        <w:ind w:left="450"/>
        <w:rPr>
          <w:rFonts w:ascii="宋体" w:hAnsi="宋体" w:eastAsia="宋体" w:cs="宋体"/>
          <w:sz w:val="21"/>
          <w:szCs w:val="21"/>
        </w:rPr>
      </w:pPr>
      <w:r>
        <w:rPr>
          <w:rFonts w:ascii="宋体" w:hAnsi="宋体" w:eastAsia="宋体" w:cs="宋体"/>
          <w:sz w:val="21"/>
          <w:szCs w:val="21"/>
        </w:rPr>
        <w:t xml:space="preserve">（1）监理人审查并报送发包人的期限：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BB92A75">
      <w:pPr>
        <w:spacing w:before="141" w:line="219" w:lineRule="auto"/>
        <w:ind w:left="448"/>
        <w:rPr>
          <w:rFonts w:ascii="宋体" w:hAnsi="宋体" w:eastAsia="宋体" w:cs="宋体"/>
          <w:sz w:val="21"/>
          <w:szCs w:val="21"/>
        </w:rPr>
      </w:pPr>
      <w:r>
        <w:rPr>
          <w:rFonts w:ascii="宋体" w:hAnsi="宋体" w:eastAsia="宋体" w:cs="宋体"/>
          <w:sz w:val="21"/>
          <w:szCs w:val="21"/>
        </w:rPr>
        <w:t>发包人完成审批并签发进度款支付证书的期限：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E88EC54">
      <w:pPr>
        <w:spacing w:before="156" w:line="220" w:lineRule="auto"/>
        <w:ind w:left="450"/>
        <w:rPr>
          <w:rFonts w:ascii="宋体" w:hAnsi="宋体" w:eastAsia="宋体" w:cs="宋体"/>
          <w:sz w:val="21"/>
          <w:szCs w:val="21"/>
        </w:rPr>
      </w:pPr>
      <w:r>
        <w:rPr>
          <w:rFonts w:ascii="宋体" w:hAnsi="宋体" w:eastAsia="宋体" w:cs="宋体"/>
          <w:sz w:val="21"/>
          <w:szCs w:val="21"/>
        </w:rPr>
        <w:t>（2）发包人支付进度款的期限：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45853659">
      <w:pPr>
        <w:spacing w:before="154" w:line="220" w:lineRule="auto"/>
        <w:ind w:left="448"/>
        <w:rPr>
          <w:rFonts w:ascii="宋体" w:hAnsi="宋体" w:eastAsia="宋体" w:cs="宋体"/>
          <w:sz w:val="21"/>
          <w:szCs w:val="21"/>
        </w:rPr>
      </w:pPr>
      <w:r>
        <w:rPr>
          <w:rFonts w:ascii="宋体" w:hAnsi="宋体" w:eastAsia="宋体" w:cs="宋体"/>
          <w:spacing w:val="-3"/>
          <w:sz w:val="21"/>
          <w:szCs w:val="21"/>
        </w:rPr>
        <w:t>发包人逾期支付进度款的违约金的计算方式：</w:t>
      </w:r>
    </w:p>
    <w:p w14:paraId="42A2D872">
      <w:pPr>
        <w:pStyle w:val="2"/>
        <w:tabs>
          <w:tab w:val="left" w:pos="1381"/>
        </w:tabs>
        <w:spacing w:before="162"/>
        <w:ind w:left="436"/>
      </w:pPr>
      <w:r>
        <w:rPr>
          <w:u w:val="single" w:color="auto"/>
        </w:rPr>
        <w:tab/>
      </w:r>
    </w:p>
    <w:p w14:paraId="32792356">
      <w:pPr>
        <w:tabs>
          <w:tab w:val="left" w:pos="7060"/>
        </w:tabs>
        <w:spacing w:before="27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858EB9A">
      <w:pPr>
        <w:spacing w:before="164" w:line="220" w:lineRule="auto"/>
        <w:ind w:left="460"/>
        <w:rPr>
          <w:rFonts w:ascii="宋体" w:hAnsi="宋体" w:eastAsia="宋体" w:cs="宋体"/>
          <w:sz w:val="21"/>
          <w:szCs w:val="21"/>
        </w:rPr>
      </w:pPr>
      <w:r>
        <w:rPr>
          <w:rFonts w:ascii="宋体" w:hAnsi="宋体" w:eastAsia="宋体" w:cs="宋体"/>
          <w:spacing w:val="-2"/>
          <w:sz w:val="21"/>
          <w:szCs w:val="21"/>
        </w:rPr>
        <w:t>12.4.6 支付分解表的编制</w:t>
      </w:r>
    </w:p>
    <w:p w14:paraId="1A240CE3">
      <w:pPr>
        <w:spacing w:before="140" w:line="218" w:lineRule="auto"/>
        <w:ind w:left="447"/>
        <w:rPr>
          <w:rFonts w:ascii="宋体" w:hAnsi="宋体" w:eastAsia="宋体" w:cs="宋体"/>
          <w:sz w:val="21"/>
          <w:szCs w:val="21"/>
        </w:rPr>
      </w:pPr>
      <w:r>
        <w:rPr>
          <w:rFonts w:ascii="宋体" w:hAnsi="宋体" w:eastAsia="宋体" w:cs="宋体"/>
          <w:spacing w:val="-3"/>
          <w:sz w:val="21"/>
          <w:szCs w:val="21"/>
        </w:rPr>
        <w:t>2、总价合同支付分解表的编制与审批：</w:t>
      </w:r>
    </w:p>
    <w:p w14:paraId="433C817B">
      <w:pPr>
        <w:pStyle w:val="2"/>
        <w:tabs>
          <w:tab w:val="left" w:pos="1381"/>
        </w:tabs>
        <w:spacing w:before="178"/>
        <w:ind w:left="436"/>
      </w:pPr>
      <w:r>
        <w:rPr>
          <w:u w:val="single" w:color="auto"/>
        </w:rPr>
        <w:tab/>
      </w:r>
    </w:p>
    <w:p w14:paraId="5E09EA6D">
      <w:pPr>
        <w:spacing w:before="279" w:line="45" w:lineRule="exact"/>
        <w:ind w:left="7088"/>
        <w:rPr>
          <w:rFonts w:ascii="宋体" w:hAnsi="宋体" w:eastAsia="宋体" w:cs="宋体"/>
          <w:sz w:val="21"/>
          <w:szCs w:val="21"/>
        </w:rPr>
      </w:pPr>
      <w:r>
        <w:pict>
          <v:shape id="_x0000_s1165" o:spid="_x0000_s1165" o:spt="202" type="#_x0000_t202" style="position:absolute;left:0pt;margin-left:-0.2pt;margin-top:7.15pt;height:14.1pt;width:354.25pt;z-index:251807744;mso-width-relative:page;mso-height-relative:page;" filled="f" stroked="f" coordsize="21600,21600">
            <v:path/>
            <v:fill on="f" focussize="0,0"/>
            <v:stroke on="f"/>
            <v:imagedata o:title=""/>
            <o:lock v:ext="edit" aspectratio="f"/>
            <v:textbox inset="0mm,0mm,0mm,0mm">
              <w:txbxContent>
                <w:p w14:paraId="31C5D890">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39907D63">
      <w:pPr>
        <w:spacing w:before="209" w:line="218" w:lineRule="auto"/>
        <w:ind w:left="448"/>
        <w:rPr>
          <w:rFonts w:ascii="宋体" w:hAnsi="宋体" w:eastAsia="宋体" w:cs="宋体"/>
          <w:sz w:val="21"/>
          <w:szCs w:val="21"/>
        </w:rPr>
      </w:pPr>
      <w:r>
        <w:rPr>
          <w:rFonts w:ascii="宋体" w:hAnsi="宋体" w:eastAsia="宋体" w:cs="宋体"/>
          <w:spacing w:val="-2"/>
          <w:sz w:val="21"/>
          <w:szCs w:val="21"/>
        </w:rPr>
        <w:t>3、单价合同的总价项目支付分解表的编制</w:t>
      </w:r>
      <w:r>
        <w:rPr>
          <w:rFonts w:ascii="宋体" w:hAnsi="宋体" w:eastAsia="宋体" w:cs="宋体"/>
          <w:spacing w:val="-3"/>
          <w:sz w:val="21"/>
          <w:szCs w:val="21"/>
        </w:rPr>
        <w:t>与审批：</w:t>
      </w:r>
    </w:p>
    <w:p w14:paraId="03AE68EF">
      <w:pPr>
        <w:pStyle w:val="2"/>
        <w:tabs>
          <w:tab w:val="left" w:pos="1381"/>
        </w:tabs>
        <w:spacing w:before="179"/>
        <w:ind w:left="436"/>
      </w:pPr>
      <w:r>
        <w:rPr>
          <w:u w:val="single" w:color="auto"/>
        </w:rPr>
        <w:tab/>
      </w:r>
    </w:p>
    <w:p w14:paraId="0D5F3727">
      <w:pPr>
        <w:spacing w:before="278" w:line="46" w:lineRule="exact"/>
        <w:ind w:left="7088"/>
        <w:rPr>
          <w:rFonts w:ascii="宋体" w:hAnsi="宋体" w:eastAsia="宋体" w:cs="宋体"/>
          <w:sz w:val="21"/>
          <w:szCs w:val="21"/>
        </w:rPr>
      </w:pPr>
      <w:r>
        <w:pict>
          <v:shape id="_x0000_s1166" o:spid="_x0000_s1166" o:spt="202" type="#_x0000_t202" style="position:absolute;left:0pt;margin-left:-0.2pt;margin-top:7.2pt;height:14.1pt;width:354.25pt;z-index:251808768;mso-width-relative:page;mso-height-relative:page;" filled="f" stroked="f" coordsize="21600,21600">
            <v:path/>
            <v:fill on="f" focussize="0,0"/>
            <v:stroke on="f"/>
            <v:imagedata o:title=""/>
            <o:lock v:ext="edit" aspectratio="f"/>
            <v:textbox inset="0mm,0mm,0mm,0mm">
              <w:txbxContent>
                <w:p w14:paraId="3BDD70CB">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465182C5">
      <w:pPr>
        <w:spacing w:before="249" w:line="236" w:lineRule="auto"/>
        <w:ind w:left="34"/>
        <w:outlineLvl w:val="0"/>
        <w:rPr>
          <w:rFonts w:ascii="黑体" w:hAnsi="黑体" w:eastAsia="黑体" w:cs="黑体"/>
          <w:sz w:val="28"/>
          <w:szCs w:val="28"/>
        </w:rPr>
      </w:pPr>
      <w:bookmarkStart w:id="542" w:name="bookmark493"/>
      <w:bookmarkEnd w:id="542"/>
      <w:bookmarkStart w:id="543" w:name="bookmark492"/>
      <w:bookmarkEnd w:id="543"/>
      <w:r>
        <w:rPr>
          <w:rFonts w:ascii="Times New Roman" w:hAnsi="Times New Roman" w:eastAsia="Times New Roman" w:cs="Times New Roman"/>
          <w:b/>
          <w:bCs/>
          <w:spacing w:val="2"/>
          <w:sz w:val="28"/>
          <w:szCs w:val="28"/>
        </w:rPr>
        <w:t>13.</w:t>
      </w:r>
      <w:r>
        <w:rPr>
          <w:rFonts w:ascii="Times New Roman" w:hAnsi="Times New Roman" w:eastAsia="Times New Roman" w:cs="Times New Roman"/>
          <w:b/>
          <w:bCs/>
          <w:spacing w:val="70"/>
          <w:sz w:val="28"/>
          <w:szCs w:val="28"/>
        </w:rPr>
        <w:t xml:space="preserve"> </w:t>
      </w:r>
      <w:r>
        <w:rPr>
          <w:rFonts w:ascii="黑体" w:hAnsi="黑体" w:eastAsia="黑体" w:cs="黑体"/>
          <w:b/>
          <w:bCs/>
          <w:spacing w:val="2"/>
          <w:sz w:val="28"/>
          <w:szCs w:val="28"/>
        </w:rPr>
        <w:t>验收和工程试车</w:t>
      </w:r>
    </w:p>
    <w:p w14:paraId="1FD8FA20">
      <w:pPr>
        <w:spacing w:before="86" w:line="233" w:lineRule="auto"/>
        <w:ind w:left="31"/>
        <w:outlineLvl w:val="1"/>
        <w:rPr>
          <w:rFonts w:ascii="黑体" w:hAnsi="黑体" w:eastAsia="黑体" w:cs="黑体"/>
          <w:sz w:val="24"/>
          <w:szCs w:val="24"/>
        </w:rPr>
      </w:pPr>
      <w:bookmarkStart w:id="544" w:name="bookmark715"/>
      <w:bookmarkEnd w:id="544"/>
      <w:r>
        <w:rPr>
          <w:rFonts w:ascii="Times New Roman" w:hAnsi="Times New Roman" w:eastAsia="Times New Roman" w:cs="Times New Roman"/>
          <w:b/>
          <w:bCs/>
          <w:spacing w:val="1"/>
          <w:sz w:val="24"/>
          <w:szCs w:val="24"/>
        </w:rPr>
        <w:t xml:space="preserve">13.1  </w:t>
      </w:r>
      <w:r>
        <w:rPr>
          <w:rFonts w:ascii="黑体" w:hAnsi="黑体" w:eastAsia="黑体" w:cs="黑体"/>
          <w:b/>
          <w:bCs/>
          <w:spacing w:val="1"/>
          <w:sz w:val="24"/>
          <w:szCs w:val="24"/>
        </w:rPr>
        <w:t>分部分项工程验收</w:t>
      </w:r>
    </w:p>
    <w:p w14:paraId="0EC7F8D0">
      <w:pPr>
        <w:spacing w:before="114" w:line="345" w:lineRule="auto"/>
        <w:ind w:left="448" w:right="824" w:firstLine="12"/>
        <w:rPr>
          <w:rFonts w:ascii="宋体" w:hAnsi="宋体" w:eastAsia="宋体" w:cs="宋体"/>
          <w:sz w:val="21"/>
          <w:szCs w:val="21"/>
        </w:rPr>
      </w:pPr>
      <w:r>
        <w:rPr>
          <w:rFonts w:ascii="宋体" w:hAnsi="宋体" w:eastAsia="宋体" w:cs="宋体"/>
          <w:spacing w:val="-2"/>
          <w:sz w:val="21"/>
          <w:szCs w:val="21"/>
        </w:rPr>
        <w:t>13.1.2</w:t>
      </w:r>
      <w:r>
        <w:rPr>
          <w:rFonts w:ascii="宋体" w:hAnsi="宋体" w:eastAsia="宋体" w:cs="宋体"/>
          <w:spacing w:val="-24"/>
          <w:sz w:val="21"/>
          <w:szCs w:val="21"/>
        </w:rPr>
        <w:t xml:space="preserve"> </w:t>
      </w:r>
      <w:r>
        <w:rPr>
          <w:rFonts w:ascii="宋体" w:hAnsi="宋体" w:eastAsia="宋体" w:cs="宋体"/>
          <w:spacing w:val="-2"/>
          <w:sz w:val="21"/>
          <w:szCs w:val="21"/>
        </w:rPr>
        <w:t>监理人不能按时进行验收时，应提前</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小时提交书面延期要求。关于延期最长不得超过：</w:t>
      </w:r>
      <w:r>
        <w:rPr>
          <w:rFonts w:ascii="宋体" w:hAnsi="宋体" w:eastAsia="宋体" w:cs="宋体"/>
          <w:spacing w:val="-2"/>
          <w:sz w:val="21"/>
          <w:szCs w:val="21"/>
          <w:u w:val="single" w:color="auto"/>
        </w:rPr>
        <w:t xml:space="preserve">         </w:t>
      </w:r>
      <w:r>
        <w:rPr>
          <w:rFonts w:ascii="宋体" w:hAnsi="宋体" w:eastAsia="宋体" w:cs="宋体"/>
          <w:spacing w:val="-83"/>
          <w:sz w:val="21"/>
          <w:szCs w:val="21"/>
        </w:rPr>
        <w:t xml:space="preserve"> </w:t>
      </w:r>
      <w:r>
        <w:rPr>
          <w:rFonts w:ascii="宋体" w:hAnsi="宋体" w:eastAsia="宋体" w:cs="宋体"/>
          <w:spacing w:val="-2"/>
          <w:sz w:val="21"/>
          <w:szCs w:val="21"/>
        </w:rPr>
        <w:t>小时。</w:t>
      </w:r>
    </w:p>
    <w:p w14:paraId="04EAF20A">
      <w:pPr>
        <w:spacing w:before="1" w:line="231" w:lineRule="auto"/>
        <w:ind w:left="31"/>
        <w:outlineLvl w:val="1"/>
        <w:rPr>
          <w:rFonts w:ascii="黑体" w:hAnsi="黑体" w:eastAsia="黑体" w:cs="黑体"/>
          <w:sz w:val="24"/>
          <w:szCs w:val="24"/>
        </w:rPr>
      </w:pPr>
      <w:bookmarkStart w:id="545" w:name="bookmark494"/>
      <w:bookmarkEnd w:id="545"/>
      <w:r>
        <w:rPr>
          <w:rFonts w:ascii="Times New Roman" w:hAnsi="Times New Roman" w:eastAsia="Times New Roman" w:cs="Times New Roman"/>
          <w:b/>
          <w:bCs/>
          <w:spacing w:val="2"/>
          <w:sz w:val="24"/>
          <w:szCs w:val="24"/>
        </w:rPr>
        <w:t xml:space="preserve">13.2  </w:t>
      </w:r>
      <w:r>
        <w:rPr>
          <w:rFonts w:ascii="黑体" w:hAnsi="黑体" w:eastAsia="黑体" w:cs="黑体"/>
          <w:b/>
          <w:bCs/>
          <w:spacing w:val="2"/>
          <w:sz w:val="24"/>
          <w:szCs w:val="24"/>
        </w:rPr>
        <w:t>竣工验收</w:t>
      </w:r>
    </w:p>
    <w:p w14:paraId="5A1C419E">
      <w:pPr>
        <w:spacing w:before="114" w:line="220" w:lineRule="auto"/>
        <w:ind w:left="460"/>
        <w:rPr>
          <w:rFonts w:ascii="宋体" w:hAnsi="宋体" w:eastAsia="宋体" w:cs="宋体"/>
          <w:sz w:val="21"/>
          <w:szCs w:val="21"/>
        </w:rPr>
      </w:pPr>
      <w:r>
        <w:rPr>
          <w:rFonts w:ascii="宋体" w:hAnsi="宋体" w:eastAsia="宋体" w:cs="宋体"/>
          <w:spacing w:val="-3"/>
          <w:sz w:val="21"/>
          <w:szCs w:val="21"/>
        </w:rPr>
        <w:t>13.2.2</w:t>
      </w:r>
      <w:r>
        <w:rPr>
          <w:rFonts w:ascii="宋体" w:hAnsi="宋体" w:eastAsia="宋体" w:cs="宋体"/>
          <w:spacing w:val="-30"/>
          <w:sz w:val="21"/>
          <w:szCs w:val="21"/>
        </w:rPr>
        <w:t xml:space="preserve"> </w:t>
      </w:r>
      <w:r>
        <w:rPr>
          <w:rFonts w:ascii="宋体" w:hAnsi="宋体" w:eastAsia="宋体" w:cs="宋体"/>
          <w:spacing w:val="-3"/>
          <w:sz w:val="21"/>
          <w:szCs w:val="21"/>
        </w:rPr>
        <w:t>竣工验收程序</w:t>
      </w:r>
    </w:p>
    <w:p w14:paraId="4BD067BA">
      <w:pPr>
        <w:spacing w:before="155" w:line="220" w:lineRule="auto"/>
        <w:ind w:left="448"/>
        <w:rPr>
          <w:rFonts w:ascii="宋体" w:hAnsi="宋体" w:eastAsia="宋体" w:cs="宋体"/>
          <w:sz w:val="21"/>
          <w:szCs w:val="21"/>
        </w:rPr>
      </w:pPr>
      <w:r>
        <w:rPr>
          <w:rFonts w:ascii="宋体" w:hAnsi="宋体" w:eastAsia="宋体" w:cs="宋体"/>
          <w:spacing w:val="-5"/>
          <w:sz w:val="21"/>
          <w:szCs w:val="21"/>
        </w:rPr>
        <w:t>关于竣工验收程序的约定：</w:t>
      </w:r>
    </w:p>
    <w:p w14:paraId="0B5D17D4">
      <w:pPr>
        <w:pStyle w:val="2"/>
        <w:spacing w:line="304" w:lineRule="auto"/>
      </w:pPr>
    </w:p>
    <w:p w14:paraId="625D2819">
      <w:pPr>
        <w:pStyle w:val="2"/>
        <w:spacing w:line="305" w:lineRule="auto"/>
      </w:pPr>
      <w:r>
        <w:pict>
          <v:shape id="_x0000_s1167" o:spid="_x0000_s1167" style="position:absolute;left:0pt;margin-left:21.8pt;margin-top:3pt;height:0.75pt;width:47.3pt;z-index:251809792;mso-width-relative:page;mso-height-relative:page;" fillcolor="#000000" filled="t" stroked="f" coordsize="945,15" path="m0,15l945,15,945,0,0,0,0,15xe">
            <v:path/>
            <v:fill on="t" focussize="0,0"/>
            <v:stroke on="f"/>
            <v:imagedata o:title=""/>
            <o:lock v:ext="edit"/>
          </v:shape>
        </w:pict>
      </w:r>
    </w:p>
    <w:p w14:paraId="5B2B3990">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FAA7A4A">
      <w:pPr>
        <w:spacing w:before="164" w:line="219" w:lineRule="auto"/>
        <w:ind w:left="448"/>
        <w:rPr>
          <w:rFonts w:ascii="宋体" w:hAnsi="宋体" w:eastAsia="宋体" w:cs="宋体"/>
          <w:sz w:val="21"/>
          <w:szCs w:val="21"/>
        </w:rPr>
      </w:pPr>
      <w:r>
        <w:rPr>
          <w:rFonts w:ascii="宋体" w:hAnsi="宋体" w:eastAsia="宋体" w:cs="宋体"/>
          <w:spacing w:val="-1"/>
          <w:sz w:val="21"/>
          <w:szCs w:val="21"/>
        </w:rPr>
        <w:t>发包人不按照本项约定组织竣工验收、颁发工程接收证书的违</w:t>
      </w:r>
      <w:r>
        <w:rPr>
          <w:rFonts w:ascii="宋体" w:hAnsi="宋体" w:eastAsia="宋体" w:cs="宋体"/>
          <w:spacing w:val="-2"/>
          <w:sz w:val="21"/>
          <w:szCs w:val="21"/>
        </w:rPr>
        <w:t>约金的计算方法：</w:t>
      </w:r>
    </w:p>
    <w:p w14:paraId="2BDE278B">
      <w:pPr>
        <w:pStyle w:val="2"/>
        <w:spacing w:line="305" w:lineRule="auto"/>
      </w:pPr>
    </w:p>
    <w:p w14:paraId="3711A830">
      <w:pPr>
        <w:pStyle w:val="2"/>
        <w:spacing w:line="305" w:lineRule="auto"/>
      </w:pPr>
      <w:r>
        <w:pict>
          <v:shape id="_x0000_s1168" o:spid="_x0000_s1168" style="position:absolute;left:0pt;margin-left:21.8pt;margin-top:3pt;height:0.75pt;width:47.3pt;z-index:251810816;mso-width-relative:page;mso-height-relative:page;" fillcolor="#000000" filled="t" stroked="f" coordsize="945,15" path="m0,15l945,15,945,0,0,0,0,15xe">
            <v:path/>
            <v:fill on="t" focussize="0,0"/>
            <v:stroke on="f"/>
            <v:imagedata o:title=""/>
            <o:lock v:ext="edit"/>
          </v:shape>
        </w:pict>
      </w:r>
    </w:p>
    <w:p w14:paraId="6ACBBD80">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786C4A5">
      <w:pPr>
        <w:spacing w:before="163" w:line="220" w:lineRule="auto"/>
        <w:ind w:left="460"/>
        <w:rPr>
          <w:rFonts w:ascii="宋体" w:hAnsi="宋体" w:eastAsia="宋体" w:cs="宋体"/>
          <w:sz w:val="21"/>
          <w:szCs w:val="21"/>
        </w:rPr>
      </w:pPr>
      <w:r>
        <w:rPr>
          <w:rFonts w:ascii="宋体" w:hAnsi="宋体" w:eastAsia="宋体" w:cs="宋体"/>
          <w:spacing w:val="-2"/>
          <w:sz w:val="21"/>
          <w:szCs w:val="21"/>
        </w:rPr>
        <w:t>13.2.5</w:t>
      </w:r>
      <w:r>
        <w:rPr>
          <w:rFonts w:ascii="宋体" w:hAnsi="宋体" w:eastAsia="宋体" w:cs="宋体"/>
          <w:spacing w:val="-28"/>
          <w:sz w:val="21"/>
          <w:szCs w:val="21"/>
        </w:rPr>
        <w:t xml:space="preserve"> </w:t>
      </w:r>
      <w:r>
        <w:rPr>
          <w:rFonts w:ascii="宋体" w:hAnsi="宋体" w:eastAsia="宋体" w:cs="宋体"/>
          <w:spacing w:val="-2"/>
          <w:sz w:val="21"/>
          <w:szCs w:val="21"/>
        </w:rPr>
        <w:t>移交、接收全部与部分工程</w:t>
      </w:r>
    </w:p>
    <w:p w14:paraId="1F96FBB5">
      <w:pPr>
        <w:spacing w:before="155" w:line="220" w:lineRule="auto"/>
        <w:ind w:left="444"/>
        <w:rPr>
          <w:rFonts w:ascii="宋体" w:hAnsi="宋体" w:eastAsia="宋体" w:cs="宋体"/>
          <w:sz w:val="21"/>
          <w:szCs w:val="21"/>
        </w:rPr>
      </w:pPr>
      <w:r>
        <w:rPr>
          <w:rFonts w:ascii="宋体" w:hAnsi="宋体" w:eastAsia="宋体" w:cs="宋体"/>
          <w:spacing w:val="-4"/>
          <w:sz w:val="21"/>
          <w:szCs w:val="21"/>
        </w:rPr>
        <w:t>承包人向发包人移交工程的期限：</w:t>
      </w:r>
    </w:p>
    <w:p w14:paraId="01DCFDA6">
      <w:pPr>
        <w:spacing w:line="220" w:lineRule="auto"/>
        <w:rPr>
          <w:rFonts w:ascii="宋体" w:hAnsi="宋体" w:eastAsia="宋体" w:cs="宋体"/>
          <w:sz w:val="21"/>
          <w:szCs w:val="21"/>
        </w:rPr>
        <w:sectPr>
          <w:footerReference r:id="rId230" w:type="default"/>
          <w:pgSz w:w="11910" w:h="16845"/>
          <w:pgMar w:top="400" w:right="1786" w:bottom="1110" w:left="1786" w:header="0" w:footer="883" w:gutter="0"/>
          <w:cols w:space="720" w:num="1"/>
        </w:sectPr>
      </w:pPr>
    </w:p>
    <w:p w14:paraId="49A3A760">
      <w:pPr>
        <w:spacing w:before="26" w:line="219" w:lineRule="auto"/>
        <w:ind w:left="448"/>
        <w:rPr>
          <w:rFonts w:ascii="宋体" w:hAnsi="宋体" w:eastAsia="宋体" w:cs="宋体"/>
          <w:sz w:val="21"/>
          <w:szCs w:val="21"/>
        </w:rPr>
      </w:pPr>
      <w:r>
        <w:pict>
          <v:shape id="_x0000_s1169" o:spid="_x0000_s1169" style="position:absolute;left:0pt;margin-left:21.8pt;margin-top:32.05pt;height:0.75pt;width:47.3pt;z-index:251812864;mso-width-relative:page;mso-height-relative:page;" fillcolor="#000000" filled="t" stroked="f" coordsize="945,15" path="m0,15l945,15,945,0,0,0,0,15xe">
            <v:path/>
            <v:fill on="t" focussize="0,0"/>
            <v:stroke on="f"/>
            <v:imagedata o:title=""/>
            <o:lock v:ext="edit"/>
          </v:shape>
        </w:pict>
      </w:r>
      <w:r>
        <w:rPr>
          <w:rFonts w:ascii="宋体" w:hAnsi="宋体" w:eastAsia="宋体" w:cs="宋体"/>
          <w:spacing w:val="-2"/>
          <w:sz w:val="21"/>
          <w:szCs w:val="21"/>
        </w:rPr>
        <w:t>发包人未按本合同约定接收全部或部分工程的，违约金的计算方法为：</w:t>
      </w:r>
    </w:p>
    <w:p w14:paraId="600358D4">
      <w:pPr>
        <w:spacing w:before="107"/>
      </w:pPr>
    </w:p>
    <w:p w14:paraId="266976F1">
      <w:pPr>
        <w:spacing w:before="107"/>
      </w:pPr>
    </w:p>
    <w:tbl>
      <w:tblPr>
        <w:tblStyle w:val="5"/>
        <w:tblW w:w="71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118"/>
      </w:tblGrid>
      <w:tr w14:paraId="27D7036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67" w:hRule="atLeast"/>
        </w:trPr>
        <w:tc>
          <w:tcPr>
            <w:tcW w:w="7118" w:type="dxa"/>
            <w:tcBorders>
              <w:top w:val="single" w:color="000000" w:sz="6" w:space="0"/>
              <w:bottom w:val="single" w:color="000000" w:sz="6" w:space="0"/>
            </w:tcBorders>
            <w:vAlign w:val="top"/>
          </w:tcPr>
          <w:p w14:paraId="516A1618">
            <w:pPr>
              <w:pStyle w:val="6"/>
              <w:spacing w:before="239" w:line="220" w:lineRule="auto"/>
              <w:ind w:left="428"/>
              <w:rPr>
                <w:sz w:val="21"/>
                <w:szCs w:val="21"/>
              </w:rPr>
            </w:pPr>
            <w:r>
              <w:pict>
                <v:shape id="_x0000_s1170" o:spid="_x0000_s1170" o:spt="202" type="#_x0000_t202" style="position:absolute;left:0pt;margin-left:352.65pt;margin-top:-1pt;height:7.3pt;width:9.55pt;mso-position-horizontal-relative:page;mso-position-vertical-relative:page;z-index:251817984;mso-width-relative:page;mso-height-relative:page;" filled="f" stroked="f" coordsize="21600,21600">
                  <v:path/>
                  <v:fill on="f" focussize="0,0"/>
                  <v:stroke on="f"/>
                  <v:imagedata o:title=""/>
                  <o:lock v:ext="edit" aspectratio="f"/>
                  <v:textbox inset="0mm,0mm,0mm,0mm">
                    <w:txbxContent>
                      <w:p w14:paraId="42F1010D">
                        <w:pPr>
                          <w:pStyle w:val="6"/>
                          <w:spacing w:before="20" w:line="105" w:lineRule="exact"/>
                          <w:jc w:val="right"/>
                          <w:rPr>
                            <w:sz w:val="21"/>
                            <w:szCs w:val="21"/>
                          </w:rPr>
                        </w:pPr>
                        <w:r>
                          <w:rPr>
                            <w:spacing w:val="-56"/>
                            <w:w w:val="98"/>
                            <w:position w:val="1"/>
                            <w:sz w:val="21"/>
                            <w:szCs w:val="21"/>
                          </w:rPr>
                          <w:t>。</w:t>
                        </w:r>
                      </w:p>
                    </w:txbxContent>
                  </v:textbox>
                </v:shape>
              </w:pict>
            </w:r>
            <w:r>
              <w:pict>
                <v:shape id="_x0000_s1171" o:spid="_x0000_s1171" style="position:absolute;left:0pt;margin-left:21.05pt;margin-top:43.5pt;height:0.75pt;width:47.3pt;mso-position-horizontal-relative:page;mso-position-vertical-relative:page;z-index:251811840;mso-width-relative:page;mso-height-relative:page;" fillcolor="#000000" filled="t" stroked="f" coordsize="945,15" path="m0,15l945,15,945,0,0,0,0,15xe">
                  <v:path/>
                  <v:fill on="t" focussize="0,0"/>
                  <v:stroke on="f"/>
                  <v:imagedata o:title=""/>
                  <o:lock v:ext="edit"/>
                </v:shape>
              </w:pict>
            </w:r>
            <w:r>
              <w:pict>
                <v:shape id="_x0000_s1172" o:spid="_x0000_s1172" o:spt="202" type="#_x0000_t202" style="position:absolute;left:0pt;margin-left:352.65pt;margin-top:59.05pt;height:7.3pt;width:9.55pt;mso-position-horizontal-relative:page;mso-position-vertical-relative:page;z-index:251820032;mso-width-relative:page;mso-height-relative:page;" filled="f" stroked="f" coordsize="21600,21600">
                  <v:path/>
                  <v:fill on="f" focussize="0,0"/>
                  <v:stroke on="f"/>
                  <v:imagedata o:title=""/>
                  <o:lock v:ext="edit" aspectratio="f"/>
                  <v:textbox inset="0mm,0mm,0mm,0mm">
                    <w:txbxContent>
                      <w:p w14:paraId="42BB8D14">
                        <w:pPr>
                          <w:pStyle w:val="6"/>
                          <w:spacing w:before="20" w:line="105" w:lineRule="exact"/>
                          <w:jc w:val="right"/>
                          <w:rPr>
                            <w:sz w:val="21"/>
                            <w:szCs w:val="21"/>
                          </w:rPr>
                        </w:pPr>
                        <w:r>
                          <w:rPr>
                            <w:spacing w:val="-56"/>
                            <w:w w:val="98"/>
                            <w:position w:val="1"/>
                            <w:sz w:val="21"/>
                            <w:szCs w:val="21"/>
                          </w:rPr>
                          <w:t>。</w:t>
                        </w:r>
                      </w:p>
                    </w:txbxContent>
                  </v:textbox>
                </v:shape>
              </w:pict>
            </w:r>
            <w:r>
              <w:rPr>
                <w:spacing w:val="-2"/>
                <w:sz w:val="21"/>
                <w:szCs w:val="21"/>
              </w:rPr>
              <w:t>承包人未按时移交工程的，违约金的计算方法</w:t>
            </w:r>
            <w:r>
              <w:rPr>
                <w:spacing w:val="-3"/>
                <w:sz w:val="21"/>
                <w:szCs w:val="21"/>
              </w:rPr>
              <w:t>为：</w:t>
            </w:r>
          </w:p>
        </w:tc>
      </w:tr>
      <w:tr w14:paraId="33F2D8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979" w:hRule="atLeast"/>
        </w:trPr>
        <w:tc>
          <w:tcPr>
            <w:tcW w:w="7118" w:type="dxa"/>
            <w:tcBorders>
              <w:top w:val="single" w:color="000000" w:sz="6" w:space="0"/>
              <w:bottom w:val="single" w:color="000000" w:sz="4" w:space="0"/>
            </w:tcBorders>
            <w:vAlign w:val="top"/>
          </w:tcPr>
          <w:p w14:paraId="4B83363D">
            <w:pPr>
              <w:spacing w:before="133" w:line="232" w:lineRule="auto"/>
              <w:ind w:left="15"/>
              <w:outlineLvl w:val="1"/>
              <w:rPr>
                <w:rFonts w:ascii="黑体" w:hAnsi="黑体" w:eastAsia="黑体" w:cs="黑体"/>
                <w:sz w:val="24"/>
                <w:szCs w:val="24"/>
              </w:rPr>
            </w:pPr>
            <w:r>
              <w:pict>
                <v:shape id="_x0000_s1173" o:spid="_x0000_s1173" style="position:absolute;left:0pt;margin-left:26.3pt;margin-top:79.25pt;height:0.75pt;width:47.3pt;mso-position-horizontal-relative:page;mso-position-vertical-relative:page;z-index:251813888;mso-width-relative:page;mso-height-relative:page;" fillcolor="#000000" filled="t" stroked="f" coordsize="945,15" path="m0,15l945,15,945,0,0,0,0,15xe">
                  <v:path/>
                  <v:fill on="t" focussize="0,0"/>
                  <v:stroke on="f"/>
                  <v:imagedata o:title=""/>
                  <o:lock v:ext="edit"/>
                </v:shape>
              </w:pict>
            </w:r>
            <w:r>
              <w:pict>
                <v:shape id="_x0000_s1174" o:spid="_x0000_s1174" o:spt="202" type="#_x0000_t202" style="position:absolute;left:0pt;margin-left:352.65pt;margin-top:94.75pt;height:7.3pt;width:9.55pt;mso-position-horizontal-relative:page;mso-position-vertical-relative:page;z-index:251823104;mso-width-relative:page;mso-height-relative:page;" filled="f" stroked="f" coordsize="21600,21600">
                  <v:path/>
                  <v:fill on="f" focussize="0,0"/>
                  <v:stroke on="f"/>
                  <v:imagedata o:title=""/>
                  <o:lock v:ext="edit" aspectratio="f"/>
                  <v:textbox inset="0mm,0mm,0mm,0mm">
                    <w:txbxContent>
                      <w:p w14:paraId="532AD881">
                        <w:pPr>
                          <w:pStyle w:val="6"/>
                          <w:spacing w:before="20" w:line="105" w:lineRule="exact"/>
                          <w:jc w:val="right"/>
                          <w:rPr>
                            <w:sz w:val="21"/>
                            <w:szCs w:val="21"/>
                          </w:rPr>
                        </w:pPr>
                        <w:r>
                          <w:rPr>
                            <w:spacing w:val="-56"/>
                            <w:w w:val="98"/>
                            <w:position w:val="1"/>
                            <w:sz w:val="21"/>
                            <w:szCs w:val="21"/>
                          </w:rPr>
                          <w:t>。</w:t>
                        </w:r>
                      </w:p>
                    </w:txbxContent>
                  </v:textbox>
                </v:shape>
              </w:pict>
            </w:r>
            <w:bookmarkStart w:id="546" w:name="bookmark495"/>
            <w:bookmarkEnd w:id="546"/>
            <w:r>
              <w:rPr>
                <w:rFonts w:ascii="Times New Roman" w:hAnsi="Times New Roman" w:eastAsia="Times New Roman" w:cs="Times New Roman"/>
                <w:b/>
                <w:bCs/>
                <w:spacing w:val="2"/>
                <w:sz w:val="24"/>
                <w:szCs w:val="24"/>
              </w:rPr>
              <w:t xml:space="preserve">13.3  </w:t>
            </w:r>
            <w:r>
              <w:rPr>
                <w:rFonts w:ascii="黑体" w:hAnsi="黑体" w:eastAsia="黑体" w:cs="黑体"/>
                <w:b/>
                <w:bCs/>
                <w:spacing w:val="2"/>
                <w:sz w:val="24"/>
                <w:szCs w:val="24"/>
              </w:rPr>
              <w:t>工程试车</w:t>
            </w:r>
          </w:p>
          <w:p w14:paraId="580786C9">
            <w:pPr>
              <w:pStyle w:val="6"/>
              <w:spacing w:before="130" w:line="358" w:lineRule="auto"/>
              <w:ind w:left="431" w:right="5120" w:firstLine="13"/>
              <w:rPr>
                <w:sz w:val="21"/>
                <w:szCs w:val="21"/>
              </w:rPr>
            </w:pPr>
            <w:r>
              <w:rPr>
                <w:spacing w:val="-2"/>
                <w:sz w:val="21"/>
                <w:szCs w:val="21"/>
              </w:rPr>
              <w:t>13.3.1 试车程序</w:t>
            </w:r>
            <w:r>
              <w:rPr>
                <w:spacing w:val="-7"/>
                <w:sz w:val="21"/>
                <w:szCs w:val="21"/>
              </w:rPr>
              <w:t>工程试车内容：</w:t>
            </w:r>
          </w:p>
        </w:tc>
      </w:tr>
      <w:tr w14:paraId="0BEA11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89" w:hRule="atLeast"/>
        </w:trPr>
        <w:tc>
          <w:tcPr>
            <w:tcW w:w="7118" w:type="dxa"/>
            <w:tcBorders>
              <w:top w:val="single" w:color="000000" w:sz="4" w:space="0"/>
              <w:bottom w:val="single" w:color="000000" w:sz="6" w:space="0"/>
            </w:tcBorders>
            <w:vAlign w:val="top"/>
          </w:tcPr>
          <w:p w14:paraId="54CA72E2">
            <w:pPr>
              <w:pStyle w:val="6"/>
              <w:spacing w:before="181" w:line="219" w:lineRule="auto"/>
              <w:ind w:left="434"/>
              <w:rPr>
                <w:sz w:val="21"/>
                <w:szCs w:val="21"/>
              </w:rPr>
            </w:pPr>
            <w:r>
              <w:pict>
                <v:shape id="_x0000_s1175" o:spid="_x0000_s1175" style="position:absolute;left:0pt;margin-left:21.05pt;margin-top:99.65pt;height:0.75pt;width:47.3pt;mso-position-horizontal-relative:page;mso-position-vertical-relative:page;z-index:251814912;mso-width-relative:page;mso-height-relative:page;" fillcolor="#000000" filled="t" stroked="f" coordsize="945,15" path="m0,15l945,15,945,0,0,0,0,15xe">
                  <v:path/>
                  <v:fill on="t" focussize="0,0"/>
                  <v:stroke on="f"/>
                  <v:imagedata o:title=""/>
                  <o:lock v:ext="edit"/>
                </v:shape>
              </w:pict>
            </w:r>
            <w:r>
              <w:pict>
                <v:shape id="_x0000_s1176" o:spid="_x0000_s1176" o:spt="202" type="#_x0000_t202" style="position:absolute;left:0pt;margin-left:352.65pt;margin-top:115.2pt;height:7.3pt;width:9.55pt;mso-position-horizontal-relative:page;mso-position-vertical-relative:page;z-index:251822080;mso-width-relative:page;mso-height-relative:page;" filled="f" stroked="f" coordsize="21600,21600">
                  <v:path/>
                  <v:fill on="f" focussize="0,0"/>
                  <v:stroke on="f"/>
                  <v:imagedata o:title=""/>
                  <o:lock v:ext="edit" aspectratio="f"/>
                  <v:textbox inset="0mm,0mm,0mm,0mm">
                    <w:txbxContent>
                      <w:p w14:paraId="41054591">
                        <w:pPr>
                          <w:pStyle w:val="6"/>
                          <w:spacing w:before="20" w:line="105" w:lineRule="exact"/>
                          <w:jc w:val="right"/>
                          <w:rPr>
                            <w:sz w:val="21"/>
                            <w:szCs w:val="21"/>
                          </w:rPr>
                        </w:pPr>
                        <w:r>
                          <w:rPr>
                            <w:spacing w:val="-56"/>
                            <w:w w:val="98"/>
                            <w:position w:val="1"/>
                            <w:sz w:val="21"/>
                            <w:szCs w:val="21"/>
                          </w:rPr>
                          <w:t>。</w:t>
                        </w:r>
                      </w:p>
                    </w:txbxContent>
                  </v:textbox>
                </v:shape>
              </w:pict>
            </w:r>
            <w:r>
              <w:rPr>
                <w:spacing w:val="-3"/>
                <w:sz w:val="21"/>
                <w:szCs w:val="21"/>
              </w:rPr>
              <w:t xml:space="preserve">（1）单机无负荷试车费用由 </w:t>
            </w:r>
            <w:r>
              <w:rPr>
                <w:sz w:val="21"/>
                <w:szCs w:val="21"/>
                <w:u w:val="single" w:color="auto"/>
              </w:rPr>
              <w:t xml:space="preserve">                    </w:t>
            </w:r>
            <w:r>
              <w:rPr>
                <w:spacing w:val="-93"/>
                <w:sz w:val="21"/>
                <w:szCs w:val="21"/>
              </w:rPr>
              <w:t xml:space="preserve"> </w:t>
            </w:r>
            <w:r>
              <w:rPr>
                <w:spacing w:val="-3"/>
                <w:sz w:val="21"/>
                <w:szCs w:val="21"/>
              </w:rPr>
              <w:t>承担；</w:t>
            </w:r>
          </w:p>
          <w:p w14:paraId="1ACF7C37">
            <w:pPr>
              <w:pStyle w:val="6"/>
              <w:spacing w:before="140" w:line="220" w:lineRule="auto"/>
              <w:ind w:left="434"/>
              <w:rPr>
                <w:sz w:val="21"/>
                <w:szCs w:val="21"/>
              </w:rPr>
            </w:pPr>
            <w:r>
              <w:rPr>
                <w:spacing w:val="-4"/>
                <w:sz w:val="21"/>
                <w:szCs w:val="21"/>
              </w:rPr>
              <w:t>（2）无负荷联动试车费用由</w:t>
            </w:r>
            <w:r>
              <w:rPr>
                <w:spacing w:val="-78"/>
                <w:sz w:val="21"/>
                <w:szCs w:val="21"/>
              </w:rPr>
              <w:t xml:space="preserve"> </w:t>
            </w:r>
            <w:r>
              <w:rPr>
                <w:sz w:val="21"/>
                <w:szCs w:val="21"/>
                <w:u w:val="single" w:color="auto"/>
              </w:rPr>
              <w:t xml:space="preserve">                     </w:t>
            </w:r>
            <w:r>
              <w:rPr>
                <w:spacing w:val="-94"/>
                <w:sz w:val="21"/>
                <w:szCs w:val="21"/>
              </w:rPr>
              <w:t xml:space="preserve"> </w:t>
            </w:r>
            <w:r>
              <w:rPr>
                <w:spacing w:val="-4"/>
                <w:sz w:val="21"/>
                <w:szCs w:val="21"/>
              </w:rPr>
              <w:t>承担。</w:t>
            </w:r>
          </w:p>
          <w:p w14:paraId="6804D57E">
            <w:pPr>
              <w:pStyle w:val="6"/>
              <w:spacing w:before="155" w:line="220" w:lineRule="auto"/>
              <w:ind w:left="444"/>
              <w:rPr>
                <w:sz w:val="21"/>
                <w:szCs w:val="21"/>
              </w:rPr>
            </w:pPr>
            <w:r>
              <w:rPr>
                <w:spacing w:val="-2"/>
                <w:sz w:val="21"/>
                <w:szCs w:val="21"/>
              </w:rPr>
              <w:t>13.3.3 投料试车</w:t>
            </w:r>
          </w:p>
          <w:p w14:paraId="2282360E">
            <w:pPr>
              <w:pStyle w:val="6"/>
              <w:spacing w:before="155" w:line="220" w:lineRule="auto"/>
              <w:ind w:left="432"/>
              <w:rPr>
                <w:sz w:val="21"/>
                <w:szCs w:val="21"/>
              </w:rPr>
            </w:pPr>
            <w:r>
              <w:rPr>
                <w:spacing w:val="-4"/>
                <w:sz w:val="21"/>
                <w:szCs w:val="21"/>
              </w:rPr>
              <w:t>关于投料试车相关事项的约定：</w:t>
            </w:r>
          </w:p>
        </w:tc>
      </w:tr>
      <w:tr w14:paraId="460A2C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89" w:hRule="atLeast"/>
        </w:trPr>
        <w:tc>
          <w:tcPr>
            <w:tcW w:w="7118" w:type="dxa"/>
            <w:tcBorders>
              <w:top w:val="single" w:color="000000" w:sz="6" w:space="0"/>
              <w:bottom w:val="single" w:color="000000" w:sz="6" w:space="0"/>
            </w:tcBorders>
            <w:vAlign w:val="top"/>
          </w:tcPr>
          <w:p w14:paraId="2AA597B8">
            <w:pPr>
              <w:spacing w:before="154" w:line="232" w:lineRule="auto"/>
              <w:ind w:left="15"/>
              <w:outlineLvl w:val="1"/>
              <w:rPr>
                <w:rFonts w:ascii="黑体" w:hAnsi="黑体" w:eastAsia="黑体" w:cs="黑体"/>
                <w:sz w:val="24"/>
                <w:szCs w:val="24"/>
              </w:rPr>
            </w:pPr>
            <w:r>
              <w:pict>
                <v:shape id="_x0000_s1177" o:spid="_x0000_s1177" style="position:absolute;left:0pt;margin-left:21.05pt;margin-top:165.1pt;height:0.75pt;width:47.3pt;mso-position-horizontal-relative:page;mso-position-vertical-relative:page;z-index:251815936;mso-width-relative:page;mso-height-relative:page;" fillcolor="#000000" filled="t" stroked="f" coordsize="945,15" path="m0,15l945,15,945,0,0,0,0,15xe">
                  <v:path/>
                  <v:fill on="t" focussize="0,0"/>
                  <v:stroke on="f"/>
                  <v:imagedata o:title=""/>
                  <o:lock v:ext="edit"/>
                </v:shape>
              </w:pict>
            </w:r>
            <w:r>
              <w:pict>
                <v:shape id="_x0000_s1178" o:spid="_x0000_s1178" o:spt="202" type="#_x0000_t202" style="position:absolute;left:0pt;margin-left:352.65pt;margin-top:180.65pt;height:7.3pt;width:9.55pt;mso-position-horizontal-relative:page;mso-position-vertical-relative:page;z-index:251821056;mso-width-relative:page;mso-height-relative:page;" filled="f" stroked="f" coordsize="21600,21600">
                  <v:path/>
                  <v:fill on="f" focussize="0,0"/>
                  <v:stroke on="f"/>
                  <v:imagedata o:title=""/>
                  <o:lock v:ext="edit" aspectratio="f"/>
                  <v:textbox inset="0mm,0mm,0mm,0mm">
                    <w:txbxContent>
                      <w:p w14:paraId="48EAB748">
                        <w:pPr>
                          <w:pStyle w:val="6"/>
                          <w:spacing w:before="20" w:line="105" w:lineRule="exact"/>
                          <w:jc w:val="right"/>
                          <w:rPr>
                            <w:sz w:val="21"/>
                            <w:szCs w:val="21"/>
                          </w:rPr>
                        </w:pPr>
                        <w:r>
                          <w:rPr>
                            <w:spacing w:val="-56"/>
                            <w:w w:val="98"/>
                            <w:position w:val="1"/>
                            <w:sz w:val="21"/>
                            <w:szCs w:val="21"/>
                          </w:rPr>
                          <w:t>。</w:t>
                        </w:r>
                      </w:p>
                    </w:txbxContent>
                  </v:textbox>
                </v:shape>
              </w:pict>
            </w:r>
            <w:bookmarkStart w:id="547" w:name="bookmark496"/>
            <w:bookmarkEnd w:id="547"/>
            <w:r>
              <w:rPr>
                <w:rFonts w:ascii="Times New Roman" w:hAnsi="Times New Roman" w:eastAsia="Times New Roman" w:cs="Times New Roman"/>
                <w:b/>
                <w:bCs/>
                <w:spacing w:val="2"/>
                <w:sz w:val="24"/>
                <w:szCs w:val="24"/>
              </w:rPr>
              <w:t xml:space="preserve">13.6  </w:t>
            </w:r>
            <w:r>
              <w:rPr>
                <w:rFonts w:ascii="黑体" w:hAnsi="黑体" w:eastAsia="黑体" w:cs="黑体"/>
                <w:b/>
                <w:bCs/>
                <w:spacing w:val="2"/>
                <w:sz w:val="24"/>
                <w:szCs w:val="24"/>
              </w:rPr>
              <w:t>竣工退场</w:t>
            </w:r>
          </w:p>
          <w:p w14:paraId="72279E93">
            <w:pPr>
              <w:pStyle w:val="6"/>
              <w:spacing w:before="114" w:line="220" w:lineRule="auto"/>
              <w:ind w:left="444"/>
              <w:rPr>
                <w:sz w:val="21"/>
                <w:szCs w:val="21"/>
              </w:rPr>
            </w:pPr>
            <w:r>
              <w:rPr>
                <w:spacing w:val="-2"/>
                <w:sz w:val="21"/>
                <w:szCs w:val="21"/>
              </w:rPr>
              <w:t>13.6.1 竣工退场</w:t>
            </w:r>
          </w:p>
          <w:p w14:paraId="46F2127A">
            <w:pPr>
              <w:pStyle w:val="6"/>
              <w:spacing w:before="154" w:line="220" w:lineRule="auto"/>
              <w:ind w:left="428"/>
              <w:rPr>
                <w:sz w:val="21"/>
                <w:szCs w:val="21"/>
              </w:rPr>
            </w:pPr>
            <w:r>
              <w:rPr>
                <w:sz w:val="21"/>
                <w:szCs w:val="21"/>
              </w:rPr>
              <w:t>承包人完成竣工退场的期限：</w:t>
            </w:r>
            <w:r>
              <w:rPr>
                <w:sz w:val="21"/>
                <w:szCs w:val="21"/>
                <w:u w:val="single" w:color="auto"/>
              </w:rPr>
              <w:t xml:space="preserve">                           </w:t>
            </w:r>
            <w:r>
              <w:rPr>
                <w:spacing w:val="-1"/>
                <w:sz w:val="21"/>
                <w:szCs w:val="21"/>
                <w:u w:val="single" w:color="auto"/>
              </w:rPr>
              <w:t xml:space="preserve"> </w:t>
            </w:r>
            <w:r>
              <w:rPr>
                <w:spacing w:val="-1"/>
                <w:sz w:val="21"/>
                <w:szCs w:val="21"/>
              </w:rPr>
              <w:t>。</w:t>
            </w:r>
          </w:p>
          <w:p w14:paraId="3BBEB440">
            <w:pPr>
              <w:spacing w:before="195" w:line="236" w:lineRule="auto"/>
              <w:ind w:left="18"/>
              <w:outlineLvl w:val="0"/>
              <w:rPr>
                <w:rFonts w:ascii="黑体" w:hAnsi="黑体" w:eastAsia="黑体" w:cs="黑体"/>
                <w:sz w:val="28"/>
                <w:szCs w:val="28"/>
              </w:rPr>
            </w:pPr>
            <w:bookmarkStart w:id="548" w:name="bookmark498"/>
            <w:bookmarkEnd w:id="548"/>
            <w:bookmarkStart w:id="549" w:name="bookmark497"/>
            <w:bookmarkEnd w:id="549"/>
            <w:r>
              <w:rPr>
                <w:rFonts w:ascii="Times New Roman" w:hAnsi="Times New Roman" w:eastAsia="Times New Roman" w:cs="Times New Roman"/>
                <w:b/>
                <w:bCs/>
                <w:spacing w:val="4"/>
                <w:sz w:val="28"/>
                <w:szCs w:val="28"/>
              </w:rPr>
              <w:t>14.</w:t>
            </w:r>
            <w:r>
              <w:rPr>
                <w:rFonts w:ascii="Times New Roman" w:hAnsi="Times New Roman" w:eastAsia="Times New Roman" w:cs="Times New Roman"/>
                <w:b/>
                <w:bCs/>
                <w:spacing w:val="67"/>
                <w:sz w:val="28"/>
                <w:szCs w:val="28"/>
              </w:rPr>
              <w:t xml:space="preserve"> </w:t>
            </w:r>
            <w:r>
              <w:rPr>
                <w:rFonts w:ascii="黑体" w:hAnsi="黑体" w:eastAsia="黑体" w:cs="黑体"/>
                <w:b/>
                <w:bCs/>
                <w:spacing w:val="4"/>
                <w:sz w:val="28"/>
                <w:szCs w:val="28"/>
              </w:rPr>
              <w:t>竣工结算</w:t>
            </w:r>
          </w:p>
          <w:p w14:paraId="06D25F2F">
            <w:pPr>
              <w:spacing w:before="71" w:line="232" w:lineRule="auto"/>
              <w:ind w:left="15"/>
              <w:outlineLvl w:val="1"/>
              <w:rPr>
                <w:rFonts w:ascii="黑体" w:hAnsi="黑体" w:eastAsia="黑体" w:cs="黑体"/>
                <w:sz w:val="24"/>
                <w:szCs w:val="24"/>
              </w:rPr>
            </w:pPr>
            <w:bookmarkStart w:id="550" w:name="bookmark716"/>
            <w:bookmarkEnd w:id="550"/>
            <w:r>
              <w:rPr>
                <w:rFonts w:ascii="Times New Roman" w:hAnsi="Times New Roman" w:eastAsia="Times New Roman" w:cs="Times New Roman"/>
                <w:b/>
                <w:bCs/>
                <w:spacing w:val="1"/>
                <w:sz w:val="24"/>
                <w:szCs w:val="24"/>
              </w:rPr>
              <w:t xml:space="preserve">14.1  </w:t>
            </w:r>
            <w:r>
              <w:rPr>
                <w:rFonts w:ascii="黑体" w:hAnsi="黑体" w:eastAsia="黑体" w:cs="黑体"/>
                <w:b/>
                <w:bCs/>
                <w:spacing w:val="1"/>
                <w:sz w:val="24"/>
                <w:szCs w:val="24"/>
              </w:rPr>
              <w:t>竣工结算申请</w:t>
            </w:r>
          </w:p>
          <w:p w14:paraId="219D2092">
            <w:pPr>
              <w:pStyle w:val="6"/>
              <w:spacing w:before="130" w:line="345" w:lineRule="auto"/>
              <w:ind w:left="428" w:right="840"/>
              <w:rPr>
                <w:sz w:val="21"/>
                <w:szCs w:val="21"/>
              </w:rPr>
            </w:pPr>
            <w:r>
              <w:rPr>
                <w:spacing w:val="-1"/>
                <w:sz w:val="21"/>
                <w:szCs w:val="21"/>
              </w:rPr>
              <w:t>承包人提交竣工结算申请单的期限：</w:t>
            </w:r>
            <w:r>
              <w:rPr>
                <w:spacing w:val="-1"/>
                <w:sz w:val="21"/>
                <w:szCs w:val="21"/>
                <w:u w:val="single" w:color="auto"/>
              </w:rPr>
              <w:t xml:space="preserve">                     </w:t>
            </w:r>
            <w:r>
              <w:rPr>
                <w:spacing w:val="-1"/>
                <w:sz w:val="21"/>
                <w:szCs w:val="21"/>
              </w:rPr>
              <w:t xml:space="preserve"> 。</w:t>
            </w:r>
            <w:r>
              <w:rPr>
                <w:spacing w:val="-4"/>
                <w:sz w:val="21"/>
                <w:szCs w:val="21"/>
              </w:rPr>
              <w:t>竣工结算申请单应包括的内容：</w:t>
            </w:r>
          </w:p>
        </w:tc>
      </w:tr>
      <w:tr w14:paraId="21AD8B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1" w:hRule="atLeast"/>
        </w:trPr>
        <w:tc>
          <w:tcPr>
            <w:tcW w:w="7118" w:type="dxa"/>
            <w:tcBorders>
              <w:top w:val="single" w:color="000000" w:sz="6" w:space="0"/>
              <w:bottom w:val="single" w:color="000000" w:sz="6" w:space="0"/>
            </w:tcBorders>
            <w:vAlign w:val="top"/>
          </w:tcPr>
          <w:p w14:paraId="6973E2FF">
            <w:pPr>
              <w:spacing w:before="143" w:line="232" w:lineRule="auto"/>
              <w:ind w:left="15"/>
              <w:outlineLvl w:val="1"/>
              <w:rPr>
                <w:rFonts w:ascii="黑体" w:hAnsi="黑体" w:eastAsia="黑体" w:cs="黑体"/>
                <w:sz w:val="24"/>
                <w:szCs w:val="24"/>
              </w:rPr>
            </w:pPr>
            <w:r>
              <w:pict>
                <v:shape id="_x0000_s1179" o:spid="_x0000_s1179" style="position:absolute;left:0pt;margin-left:21.05pt;margin-top:100pt;height:0.75pt;width:47.3pt;mso-position-horizontal-relative:page;mso-position-vertical-relative:page;z-index:251816960;mso-width-relative:page;mso-height-relative:page;" fillcolor="#000000" filled="t" stroked="f" coordsize="945,15" path="m0,15l945,15,945,0,0,0,0,15xe">
                  <v:path/>
                  <v:fill on="t" focussize="0,0"/>
                  <v:stroke on="f"/>
                  <v:imagedata o:title=""/>
                  <o:lock v:ext="edit"/>
                </v:shape>
              </w:pict>
            </w:r>
            <w:r>
              <w:pict>
                <v:shape id="_x0000_s1180" o:spid="_x0000_s1180" o:spt="202" type="#_x0000_t202" style="position:absolute;left:0pt;margin-left:352.65pt;margin-top:115.55pt;height:7.3pt;width:9.55pt;mso-position-horizontal-relative:page;mso-position-vertical-relative:page;z-index:251819008;mso-width-relative:page;mso-height-relative:page;" filled="f" stroked="f" coordsize="21600,21600">
                  <v:path/>
                  <v:fill on="f" focussize="0,0"/>
                  <v:stroke on="f"/>
                  <v:imagedata o:title=""/>
                  <o:lock v:ext="edit" aspectratio="f"/>
                  <v:textbox inset="0mm,0mm,0mm,0mm">
                    <w:txbxContent>
                      <w:p w14:paraId="24ED47B7">
                        <w:pPr>
                          <w:pStyle w:val="6"/>
                          <w:spacing w:before="20" w:line="105" w:lineRule="exact"/>
                          <w:jc w:val="right"/>
                          <w:rPr>
                            <w:sz w:val="21"/>
                            <w:szCs w:val="21"/>
                          </w:rPr>
                        </w:pPr>
                        <w:r>
                          <w:rPr>
                            <w:spacing w:val="-56"/>
                            <w:w w:val="98"/>
                            <w:position w:val="1"/>
                            <w:sz w:val="21"/>
                            <w:szCs w:val="21"/>
                          </w:rPr>
                          <w:t>。</w:t>
                        </w:r>
                      </w:p>
                    </w:txbxContent>
                  </v:textbox>
                </v:shape>
              </w:pict>
            </w:r>
            <w:bookmarkStart w:id="551" w:name="bookmark499"/>
            <w:bookmarkEnd w:id="551"/>
            <w:r>
              <w:rPr>
                <w:rFonts w:ascii="Times New Roman" w:hAnsi="Times New Roman" w:eastAsia="Times New Roman" w:cs="Times New Roman"/>
                <w:b/>
                <w:bCs/>
                <w:spacing w:val="1"/>
                <w:sz w:val="24"/>
                <w:szCs w:val="24"/>
              </w:rPr>
              <w:t xml:space="preserve">14.2  </w:t>
            </w:r>
            <w:r>
              <w:rPr>
                <w:rFonts w:ascii="黑体" w:hAnsi="黑体" w:eastAsia="黑体" w:cs="黑体"/>
                <w:b/>
                <w:bCs/>
                <w:spacing w:val="1"/>
                <w:sz w:val="24"/>
                <w:szCs w:val="24"/>
              </w:rPr>
              <w:t>竣工结算审核</w:t>
            </w:r>
          </w:p>
          <w:p w14:paraId="129605AB">
            <w:pPr>
              <w:pStyle w:val="6"/>
              <w:spacing w:before="129" w:line="351" w:lineRule="auto"/>
              <w:ind w:left="432" w:right="840"/>
              <w:jc w:val="both"/>
              <w:rPr>
                <w:sz w:val="21"/>
                <w:szCs w:val="21"/>
              </w:rPr>
            </w:pPr>
            <w:r>
              <w:rPr>
                <w:spacing w:val="-1"/>
                <w:sz w:val="21"/>
                <w:szCs w:val="21"/>
              </w:rPr>
              <w:t>发包人审批竣工付款申请单的期限：</w:t>
            </w:r>
            <w:r>
              <w:rPr>
                <w:spacing w:val="-1"/>
                <w:sz w:val="21"/>
                <w:szCs w:val="21"/>
                <w:u w:val="single" w:color="auto"/>
              </w:rPr>
              <w:t xml:space="preserve">                      </w:t>
            </w:r>
            <w:r>
              <w:rPr>
                <w:spacing w:val="-1"/>
                <w:sz w:val="21"/>
                <w:szCs w:val="21"/>
              </w:rPr>
              <w:t>。发包人完成竣工付款的期限：</w:t>
            </w:r>
            <w:r>
              <w:rPr>
                <w:spacing w:val="-1"/>
                <w:sz w:val="21"/>
                <w:szCs w:val="21"/>
                <w:u w:val="single" w:color="auto"/>
              </w:rPr>
              <w:t xml:space="preserve">                            </w:t>
            </w:r>
            <w:r>
              <w:rPr>
                <w:spacing w:val="-1"/>
                <w:sz w:val="21"/>
                <w:szCs w:val="21"/>
              </w:rPr>
              <w:t>。</w:t>
            </w:r>
            <w:r>
              <w:rPr>
                <w:spacing w:val="-3"/>
                <w:sz w:val="21"/>
                <w:szCs w:val="21"/>
              </w:rPr>
              <w:t>关于竣工付款证书异议部分复核的方式和程序：</w:t>
            </w:r>
          </w:p>
        </w:tc>
      </w:tr>
    </w:tbl>
    <w:p w14:paraId="489E125C">
      <w:pPr>
        <w:pStyle w:val="2"/>
      </w:pPr>
    </w:p>
    <w:p w14:paraId="6FFB38C9">
      <w:pPr>
        <w:sectPr>
          <w:headerReference r:id="rId231" w:type="default"/>
          <w:footerReference r:id="rId232" w:type="default"/>
          <w:pgSz w:w="11910" w:h="16845"/>
          <w:pgMar w:top="2345" w:right="1786" w:bottom="1110" w:left="1786" w:header="1647" w:footer="883" w:gutter="0"/>
          <w:cols w:space="720" w:num="1"/>
        </w:sectPr>
      </w:pPr>
    </w:p>
    <w:p w14:paraId="57C1CA8F">
      <w:pPr>
        <w:pStyle w:val="2"/>
        <w:spacing w:line="266" w:lineRule="auto"/>
      </w:pPr>
    </w:p>
    <w:p w14:paraId="18591652">
      <w:pPr>
        <w:pStyle w:val="2"/>
        <w:spacing w:line="266" w:lineRule="auto"/>
      </w:pPr>
    </w:p>
    <w:p w14:paraId="2E68CD61">
      <w:pPr>
        <w:pStyle w:val="2"/>
        <w:spacing w:line="266" w:lineRule="auto"/>
      </w:pPr>
    </w:p>
    <w:p w14:paraId="7FC3FF6A">
      <w:pPr>
        <w:pStyle w:val="2"/>
        <w:spacing w:line="267" w:lineRule="auto"/>
      </w:pPr>
    </w:p>
    <w:p w14:paraId="409EE9D5">
      <w:pPr>
        <w:spacing w:before="78" w:line="234" w:lineRule="auto"/>
        <w:ind w:left="31"/>
        <w:outlineLvl w:val="1"/>
        <w:rPr>
          <w:rFonts w:ascii="黑体" w:hAnsi="黑体" w:eastAsia="黑体" w:cs="黑体"/>
          <w:sz w:val="24"/>
          <w:szCs w:val="24"/>
        </w:rPr>
      </w:pPr>
      <w:bookmarkStart w:id="552" w:name="bookmark500"/>
      <w:bookmarkEnd w:id="552"/>
      <w:r>
        <w:rPr>
          <w:rFonts w:ascii="Times New Roman" w:hAnsi="Times New Roman" w:eastAsia="Times New Roman" w:cs="Times New Roman"/>
          <w:b/>
          <w:bCs/>
          <w:sz w:val="24"/>
          <w:szCs w:val="24"/>
        </w:rPr>
        <w:t>14.4</w:t>
      </w:r>
      <w:r>
        <w:rPr>
          <w:rFonts w:ascii="Times New Roman" w:hAnsi="Times New Roman" w:eastAsia="Times New Roman" w:cs="Times New Roman"/>
          <w:b/>
          <w:bCs/>
          <w:spacing w:val="10"/>
          <w:sz w:val="24"/>
          <w:szCs w:val="24"/>
        </w:rPr>
        <w:t xml:space="preserve">  </w:t>
      </w:r>
      <w:r>
        <w:rPr>
          <w:rFonts w:ascii="黑体" w:hAnsi="黑体" w:eastAsia="黑体" w:cs="黑体"/>
          <w:b/>
          <w:bCs/>
          <w:sz w:val="24"/>
          <w:szCs w:val="24"/>
        </w:rPr>
        <w:t>最终结清</w:t>
      </w:r>
    </w:p>
    <w:p w14:paraId="4B434BBB">
      <w:pPr>
        <w:spacing w:before="126" w:line="220" w:lineRule="auto"/>
        <w:ind w:left="460"/>
        <w:rPr>
          <w:rFonts w:ascii="宋体" w:hAnsi="宋体" w:eastAsia="宋体" w:cs="宋体"/>
          <w:sz w:val="21"/>
          <w:szCs w:val="21"/>
        </w:rPr>
      </w:pPr>
      <w:r>
        <w:rPr>
          <w:rFonts w:ascii="宋体" w:hAnsi="宋体" w:eastAsia="宋体" w:cs="宋体"/>
          <w:spacing w:val="-2"/>
          <w:sz w:val="21"/>
          <w:szCs w:val="21"/>
        </w:rPr>
        <w:t>14.4.1 最终结清申请单</w:t>
      </w:r>
    </w:p>
    <w:p w14:paraId="1986C3F5">
      <w:pPr>
        <w:spacing w:before="140" w:line="220" w:lineRule="auto"/>
        <w:ind w:left="444"/>
        <w:rPr>
          <w:rFonts w:ascii="宋体" w:hAnsi="宋体" w:eastAsia="宋体" w:cs="宋体"/>
          <w:sz w:val="21"/>
          <w:szCs w:val="21"/>
        </w:rPr>
      </w:pPr>
      <w:r>
        <w:rPr>
          <w:rFonts w:ascii="宋体" w:hAnsi="宋体" w:eastAsia="宋体" w:cs="宋体"/>
          <w:sz w:val="21"/>
          <w:szCs w:val="21"/>
        </w:rPr>
        <w:t>承包人提交最终结清申请单的份数：</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5E2A6A93">
      <w:pPr>
        <w:spacing w:before="154" w:line="220" w:lineRule="auto"/>
        <w:ind w:left="444"/>
        <w:rPr>
          <w:rFonts w:ascii="宋体" w:hAnsi="宋体" w:eastAsia="宋体" w:cs="宋体"/>
          <w:sz w:val="21"/>
          <w:szCs w:val="21"/>
        </w:rPr>
      </w:pPr>
      <w:r>
        <w:rPr>
          <w:rFonts w:ascii="宋体" w:hAnsi="宋体" w:eastAsia="宋体" w:cs="宋体"/>
          <w:sz w:val="21"/>
          <w:szCs w:val="21"/>
        </w:rPr>
        <w:t>承包人提交最终结算申请单的期限：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21F08E0">
      <w:pPr>
        <w:spacing w:before="155" w:line="219" w:lineRule="auto"/>
        <w:ind w:left="460"/>
        <w:rPr>
          <w:rFonts w:ascii="宋体" w:hAnsi="宋体" w:eastAsia="宋体" w:cs="宋体"/>
          <w:sz w:val="21"/>
          <w:szCs w:val="21"/>
        </w:rPr>
      </w:pPr>
      <w:r>
        <w:rPr>
          <w:rFonts w:ascii="宋体" w:hAnsi="宋体" w:eastAsia="宋体" w:cs="宋体"/>
          <w:spacing w:val="-2"/>
          <w:sz w:val="21"/>
          <w:szCs w:val="21"/>
        </w:rPr>
        <w:t>14.4.2 最终结清证书和支付</w:t>
      </w:r>
    </w:p>
    <w:p w14:paraId="00FD018A">
      <w:pPr>
        <w:pStyle w:val="2"/>
        <w:tabs>
          <w:tab w:val="left" w:pos="1381"/>
        </w:tabs>
        <w:spacing w:before="141" w:line="404" w:lineRule="auto"/>
        <w:ind w:left="436" w:right="1550" w:firstLine="13"/>
      </w:pPr>
      <w:r>
        <w:rPr>
          <w:rFonts w:ascii="宋体" w:hAnsi="宋体" w:eastAsia="宋体" w:cs="宋体"/>
          <w:spacing w:val="-2"/>
        </w:rPr>
        <w:t>（1）发包人完成最终结清申请单的审批并颁发最终结清证书的期限：</w:t>
      </w:r>
      <w:r>
        <w:rPr>
          <w:u w:val="single" w:color="auto"/>
        </w:rPr>
        <w:tab/>
      </w:r>
    </w:p>
    <w:p w14:paraId="7DC96E47">
      <w:pPr>
        <w:spacing w:before="81" w:line="45" w:lineRule="exact"/>
        <w:ind w:left="7088"/>
        <w:rPr>
          <w:rFonts w:ascii="宋体" w:hAnsi="宋体" w:eastAsia="宋体" w:cs="宋体"/>
          <w:sz w:val="21"/>
          <w:szCs w:val="21"/>
        </w:rPr>
      </w:pPr>
      <w:r>
        <w:pict>
          <v:shape id="_x0000_s1181" o:spid="_x0000_s1181" o:spt="202" type="#_x0000_t202" style="position:absolute;left:0pt;margin-left:-0.2pt;margin-top:-2.65pt;height:14.1pt;width:354.25pt;z-index:251824128;mso-width-relative:page;mso-height-relative:page;" filled="f" stroked="f" coordsize="21600,21600">
            <v:path/>
            <v:fill on="f" focussize="0,0"/>
            <v:stroke on="f"/>
            <v:imagedata o:title=""/>
            <o:lock v:ext="edit" aspectratio="f"/>
            <v:textbox inset="0mm,0mm,0mm,0mm">
              <w:txbxContent>
                <w:p w14:paraId="3E363DFC">
                  <w:pPr>
                    <w:pStyle w:val="2"/>
                    <w:tabs>
                      <w:tab w:val="left" w:pos="7064"/>
                    </w:tabs>
                    <w:spacing w:before="20"/>
                    <w:ind w:left="20"/>
                  </w:pPr>
                  <w:r>
                    <w:rPr>
                      <w:u w:val="single" w:color="auto"/>
                    </w:rPr>
                    <w:tab/>
                  </w:r>
                </w:p>
              </w:txbxContent>
            </v:textbox>
          </v:shape>
        </w:pict>
      </w:r>
      <w:r>
        <w:rPr>
          <w:rFonts w:ascii="宋体" w:hAnsi="宋体" w:eastAsia="宋体" w:cs="宋体"/>
          <w:position w:val="-1"/>
          <w:sz w:val="21"/>
          <w:szCs w:val="21"/>
        </w:rPr>
        <w:t>。</w:t>
      </w:r>
    </w:p>
    <w:p w14:paraId="3400EF57">
      <w:pPr>
        <w:spacing w:before="209" w:line="220" w:lineRule="auto"/>
        <w:ind w:left="450"/>
        <w:rPr>
          <w:rFonts w:ascii="宋体" w:hAnsi="宋体" w:eastAsia="宋体" w:cs="宋体"/>
          <w:sz w:val="21"/>
          <w:szCs w:val="21"/>
        </w:rPr>
      </w:pPr>
      <w:r>
        <w:rPr>
          <w:rFonts w:ascii="宋体" w:hAnsi="宋体" w:eastAsia="宋体" w:cs="宋体"/>
          <w:spacing w:val="-4"/>
          <w:sz w:val="21"/>
          <w:szCs w:val="21"/>
        </w:rPr>
        <w:t>（2）发包人完成支付的期限：</w:t>
      </w:r>
    </w:p>
    <w:p w14:paraId="74C6C78F">
      <w:pPr>
        <w:pStyle w:val="2"/>
        <w:tabs>
          <w:tab w:val="left" w:pos="1381"/>
        </w:tabs>
        <w:spacing w:before="177"/>
        <w:ind w:left="436"/>
      </w:pPr>
      <w:r>
        <w:rPr>
          <w:u w:val="single" w:color="auto"/>
        </w:rPr>
        <w:tab/>
      </w:r>
    </w:p>
    <w:p w14:paraId="49015BED">
      <w:pPr>
        <w:spacing w:before="278" w:line="46" w:lineRule="exact"/>
        <w:ind w:left="7088"/>
        <w:rPr>
          <w:rFonts w:ascii="宋体" w:hAnsi="宋体" w:eastAsia="宋体" w:cs="宋体"/>
          <w:sz w:val="21"/>
          <w:szCs w:val="21"/>
        </w:rPr>
      </w:pPr>
      <w:r>
        <w:pict>
          <v:shape id="_x0000_s1182" o:spid="_x0000_s1182" o:spt="202" type="#_x0000_t202" style="position:absolute;left:0pt;margin-left:-0.2pt;margin-top:7.15pt;height:14.1pt;width:354.25pt;z-index:251825152;mso-width-relative:page;mso-height-relative:page;" filled="f" stroked="f" coordsize="21600,21600">
            <v:path/>
            <v:fill on="f" focussize="0,0"/>
            <v:stroke on="f"/>
            <v:imagedata o:title=""/>
            <o:lock v:ext="edit" aspectratio="f"/>
            <v:textbox inset="0mm,0mm,0mm,0mm">
              <w:txbxContent>
                <w:p w14:paraId="1A36C261">
                  <w:pPr>
                    <w:pStyle w:val="2"/>
                    <w:tabs>
                      <w:tab w:val="left" w:pos="7064"/>
                    </w:tabs>
                    <w:spacing w:before="20"/>
                    <w:ind w:left="20"/>
                  </w:pPr>
                  <w:r>
                    <w:rPr>
                      <w:u w:val="single" w:color="auto"/>
                    </w:rPr>
                    <w:tab/>
                  </w:r>
                </w:p>
              </w:txbxContent>
            </v:textbox>
          </v:shape>
        </w:pict>
      </w:r>
      <w:r>
        <w:rPr>
          <w:rFonts w:ascii="宋体" w:hAnsi="宋体" w:eastAsia="宋体" w:cs="宋体"/>
          <w:position w:val="-1"/>
          <w:sz w:val="21"/>
          <w:szCs w:val="21"/>
        </w:rPr>
        <w:t>。</w:t>
      </w:r>
    </w:p>
    <w:p w14:paraId="60BCFC9B">
      <w:pPr>
        <w:spacing w:before="249" w:line="236" w:lineRule="auto"/>
        <w:ind w:left="34"/>
        <w:outlineLvl w:val="0"/>
        <w:rPr>
          <w:rFonts w:ascii="黑体" w:hAnsi="黑体" w:eastAsia="黑体" w:cs="黑体"/>
          <w:sz w:val="28"/>
          <w:szCs w:val="28"/>
        </w:rPr>
      </w:pPr>
      <w:bookmarkStart w:id="553" w:name="bookmark502"/>
      <w:bookmarkEnd w:id="553"/>
      <w:bookmarkStart w:id="554" w:name="bookmark501"/>
      <w:bookmarkEnd w:id="554"/>
      <w:r>
        <w:rPr>
          <w:rFonts w:ascii="Times New Roman" w:hAnsi="Times New Roman" w:eastAsia="Times New Roman" w:cs="Times New Roman"/>
          <w:b/>
          <w:bCs/>
          <w:spacing w:val="2"/>
          <w:sz w:val="28"/>
          <w:szCs w:val="28"/>
        </w:rPr>
        <w:t>15.</w:t>
      </w:r>
      <w:r>
        <w:rPr>
          <w:rFonts w:ascii="Times New Roman" w:hAnsi="Times New Roman" w:eastAsia="Times New Roman" w:cs="Times New Roman"/>
          <w:b/>
          <w:bCs/>
          <w:spacing w:val="68"/>
          <w:sz w:val="28"/>
          <w:szCs w:val="28"/>
        </w:rPr>
        <w:t xml:space="preserve"> </w:t>
      </w:r>
      <w:r>
        <w:rPr>
          <w:rFonts w:ascii="黑体" w:hAnsi="黑体" w:eastAsia="黑体" w:cs="黑体"/>
          <w:b/>
          <w:bCs/>
          <w:spacing w:val="2"/>
          <w:sz w:val="28"/>
          <w:szCs w:val="28"/>
        </w:rPr>
        <w:t>缺陷责任期与保修</w:t>
      </w:r>
    </w:p>
    <w:p w14:paraId="7AF3D225">
      <w:pPr>
        <w:spacing w:before="87" w:line="232" w:lineRule="auto"/>
        <w:ind w:left="31"/>
        <w:outlineLvl w:val="1"/>
        <w:rPr>
          <w:rFonts w:ascii="黑体" w:hAnsi="黑体" w:eastAsia="黑体" w:cs="黑体"/>
          <w:sz w:val="24"/>
          <w:szCs w:val="24"/>
        </w:rPr>
      </w:pPr>
      <w:bookmarkStart w:id="555" w:name="bookmark717"/>
      <w:bookmarkEnd w:id="555"/>
      <w:r>
        <w:rPr>
          <w:rFonts w:ascii="Times New Roman" w:hAnsi="Times New Roman" w:eastAsia="Times New Roman" w:cs="Times New Roman"/>
          <w:b/>
          <w:bCs/>
          <w:spacing w:val="1"/>
          <w:sz w:val="24"/>
          <w:szCs w:val="24"/>
        </w:rPr>
        <w:t xml:space="preserve">15.2 </w:t>
      </w:r>
      <w:r>
        <w:rPr>
          <w:rFonts w:ascii="黑体" w:hAnsi="黑体" w:eastAsia="黑体" w:cs="黑体"/>
          <w:b/>
          <w:bCs/>
          <w:spacing w:val="1"/>
          <w:sz w:val="24"/>
          <w:szCs w:val="24"/>
        </w:rPr>
        <w:t>缺陷责任期</w:t>
      </w:r>
    </w:p>
    <w:p w14:paraId="7A126AB8">
      <w:pPr>
        <w:spacing w:before="114" w:line="220" w:lineRule="auto"/>
        <w:ind w:left="444"/>
        <w:rPr>
          <w:rFonts w:ascii="宋体" w:hAnsi="宋体" w:eastAsia="宋体" w:cs="宋体"/>
          <w:sz w:val="21"/>
          <w:szCs w:val="21"/>
        </w:rPr>
      </w:pPr>
      <w:r>
        <w:rPr>
          <w:rFonts w:ascii="宋体" w:hAnsi="宋体" w:eastAsia="宋体" w:cs="宋体"/>
          <w:spacing w:val="-5"/>
          <w:sz w:val="21"/>
          <w:szCs w:val="21"/>
        </w:rPr>
        <w:t>缺陷责任期的具体期限：</w:t>
      </w:r>
    </w:p>
    <w:p w14:paraId="7FD69F06">
      <w:pPr>
        <w:pStyle w:val="2"/>
        <w:tabs>
          <w:tab w:val="left" w:pos="1381"/>
        </w:tabs>
        <w:spacing w:before="177"/>
        <w:ind w:left="436"/>
      </w:pPr>
      <w:r>
        <w:rPr>
          <w:u w:val="single" w:color="auto"/>
        </w:rPr>
        <w:tab/>
      </w:r>
    </w:p>
    <w:p w14:paraId="77BA8BBD">
      <w:pPr>
        <w:spacing w:before="278" w:line="45" w:lineRule="exact"/>
        <w:ind w:left="7088"/>
        <w:rPr>
          <w:rFonts w:ascii="宋体" w:hAnsi="宋体" w:eastAsia="宋体" w:cs="宋体"/>
          <w:sz w:val="21"/>
          <w:szCs w:val="21"/>
        </w:rPr>
      </w:pPr>
      <w:r>
        <w:pict>
          <v:shape id="_x0000_s1183" o:spid="_x0000_s1183" o:spt="202" type="#_x0000_t202" style="position:absolute;left:0pt;margin-left:-0.2pt;margin-top:7.15pt;height:14.1pt;width:354.25pt;z-index:251826176;mso-width-relative:page;mso-height-relative:page;" filled="f" stroked="f" coordsize="21600,21600">
            <v:path/>
            <v:fill on="f" focussize="0,0"/>
            <v:stroke on="f"/>
            <v:imagedata o:title=""/>
            <o:lock v:ext="edit" aspectratio="f"/>
            <v:textbox inset="0mm,0mm,0mm,0mm">
              <w:txbxContent>
                <w:p w14:paraId="554524FE">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37190E63">
      <w:pPr>
        <w:spacing w:before="185" w:line="233" w:lineRule="auto"/>
        <w:ind w:left="31"/>
        <w:outlineLvl w:val="1"/>
        <w:rPr>
          <w:rFonts w:ascii="黑体" w:hAnsi="黑体" w:eastAsia="黑体" w:cs="黑体"/>
          <w:sz w:val="24"/>
          <w:szCs w:val="24"/>
        </w:rPr>
      </w:pPr>
      <w:bookmarkStart w:id="556" w:name="bookmark503"/>
      <w:bookmarkEnd w:id="556"/>
      <w:r>
        <w:rPr>
          <w:rFonts w:ascii="Times New Roman" w:hAnsi="Times New Roman" w:eastAsia="Times New Roman" w:cs="Times New Roman"/>
          <w:b/>
          <w:bCs/>
          <w:spacing w:val="1"/>
          <w:sz w:val="24"/>
          <w:szCs w:val="24"/>
        </w:rPr>
        <w:t xml:space="preserve">15.3  </w:t>
      </w:r>
      <w:r>
        <w:rPr>
          <w:rFonts w:ascii="黑体" w:hAnsi="黑体" w:eastAsia="黑体" w:cs="黑体"/>
          <w:b/>
          <w:bCs/>
          <w:spacing w:val="1"/>
          <w:sz w:val="24"/>
          <w:szCs w:val="24"/>
        </w:rPr>
        <w:t>质量保证金</w:t>
      </w:r>
    </w:p>
    <w:p w14:paraId="3C2E3044">
      <w:pPr>
        <w:spacing w:before="128" w:line="220" w:lineRule="auto"/>
        <w:ind w:left="448"/>
        <w:rPr>
          <w:rFonts w:ascii="宋体" w:hAnsi="宋体" w:eastAsia="宋体" w:cs="宋体"/>
          <w:sz w:val="21"/>
          <w:szCs w:val="21"/>
        </w:rPr>
      </w:pPr>
      <w:r>
        <w:rPr>
          <w:rFonts w:ascii="宋体" w:hAnsi="宋体" w:eastAsia="宋体" w:cs="宋体"/>
          <w:spacing w:val="-4"/>
          <w:sz w:val="21"/>
          <w:szCs w:val="21"/>
        </w:rPr>
        <w:t>关于是否扣留质量保证金的约定：</w:t>
      </w:r>
    </w:p>
    <w:p w14:paraId="1AD47E10">
      <w:pPr>
        <w:pStyle w:val="2"/>
        <w:spacing w:line="304" w:lineRule="auto"/>
      </w:pPr>
    </w:p>
    <w:p w14:paraId="40A361A4">
      <w:pPr>
        <w:pStyle w:val="2"/>
        <w:spacing w:line="304" w:lineRule="auto"/>
      </w:pPr>
      <w:r>
        <w:pict>
          <v:shape id="_x0000_s1184" o:spid="_x0000_s1184" style="position:absolute;left:0pt;margin-left:21.8pt;margin-top:2.9pt;height:0.75pt;width:47.3pt;z-index:251827200;mso-width-relative:page;mso-height-relative:page;" fillcolor="#000000" filled="t" stroked="f" coordsize="945,15" path="m0,15l945,15,945,0,0,0,0,15xe">
            <v:path/>
            <v:fill on="t" focussize="0,0"/>
            <v:stroke on="f"/>
            <v:imagedata o:title=""/>
            <o:lock v:ext="edit"/>
          </v:shape>
        </w:pict>
      </w:r>
    </w:p>
    <w:p w14:paraId="4AF475C4">
      <w:pPr>
        <w:tabs>
          <w:tab w:val="left" w:pos="7060"/>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3B5E5AC">
      <w:pPr>
        <w:spacing w:before="164" w:line="350" w:lineRule="auto"/>
        <w:ind w:left="25" w:firstLine="417"/>
        <w:rPr>
          <w:rFonts w:ascii="宋体" w:hAnsi="宋体" w:eastAsia="宋体" w:cs="宋体"/>
          <w:sz w:val="21"/>
          <w:szCs w:val="21"/>
        </w:rPr>
      </w:pPr>
      <w:r>
        <w:rPr>
          <w:rFonts w:ascii="宋体" w:hAnsi="宋体" w:eastAsia="宋体" w:cs="宋体"/>
          <w:spacing w:val="-3"/>
          <w:sz w:val="21"/>
          <w:szCs w:val="21"/>
        </w:rPr>
        <w:t>在工程项目竣工前，承包人按专用合同条款第</w:t>
      </w:r>
      <w:r>
        <w:rPr>
          <w:rFonts w:ascii="宋体" w:hAnsi="宋体" w:eastAsia="宋体" w:cs="宋体"/>
          <w:spacing w:val="-24"/>
          <w:sz w:val="21"/>
          <w:szCs w:val="21"/>
        </w:rPr>
        <w:t xml:space="preserve"> </w:t>
      </w:r>
      <w:r>
        <w:rPr>
          <w:rFonts w:ascii="宋体" w:hAnsi="宋体" w:eastAsia="宋体" w:cs="宋体"/>
          <w:spacing w:val="-3"/>
          <w:sz w:val="21"/>
          <w:szCs w:val="21"/>
        </w:rPr>
        <w:t>3.7</w:t>
      </w:r>
      <w:r>
        <w:rPr>
          <w:rFonts w:ascii="宋体" w:hAnsi="宋体" w:eastAsia="宋体" w:cs="宋体"/>
          <w:spacing w:val="-35"/>
          <w:sz w:val="21"/>
          <w:szCs w:val="21"/>
        </w:rPr>
        <w:t xml:space="preserve"> </w:t>
      </w:r>
      <w:r>
        <w:rPr>
          <w:rFonts w:ascii="宋体" w:hAnsi="宋体" w:eastAsia="宋体" w:cs="宋体"/>
          <w:spacing w:val="-3"/>
          <w:sz w:val="21"/>
          <w:szCs w:val="21"/>
        </w:rPr>
        <w:t>条提供履约担保的，发包人不得同时</w:t>
      </w:r>
      <w:r>
        <w:rPr>
          <w:rFonts w:ascii="宋体" w:hAnsi="宋体" w:eastAsia="宋体" w:cs="宋体"/>
          <w:spacing w:val="-4"/>
          <w:sz w:val="21"/>
          <w:szCs w:val="21"/>
        </w:rPr>
        <w:t>预留工程质量保证金。</w:t>
      </w:r>
    </w:p>
    <w:p w14:paraId="7C2B2FE2">
      <w:pPr>
        <w:spacing w:before="1" w:line="218" w:lineRule="auto"/>
        <w:ind w:left="460"/>
        <w:rPr>
          <w:rFonts w:ascii="宋体" w:hAnsi="宋体" w:eastAsia="宋体" w:cs="宋体"/>
          <w:sz w:val="21"/>
          <w:szCs w:val="21"/>
        </w:rPr>
      </w:pPr>
      <w:r>
        <w:rPr>
          <w:rFonts w:ascii="宋体" w:hAnsi="宋体" w:eastAsia="宋体" w:cs="宋体"/>
          <w:spacing w:val="-1"/>
          <w:sz w:val="21"/>
          <w:szCs w:val="21"/>
        </w:rPr>
        <w:t>15.3.1 承包人提供质量保证金的方式</w:t>
      </w:r>
    </w:p>
    <w:p w14:paraId="04AA2E39">
      <w:pPr>
        <w:spacing w:before="156" w:line="219" w:lineRule="auto"/>
        <w:ind w:left="445"/>
        <w:rPr>
          <w:rFonts w:ascii="宋体" w:hAnsi="宋体" w:eastAsia="宋体" w:cs="宋体"/>
          <w:sz w:val="21"/>
          <w:szCs w:val="21"/>
        </w:rPr>
      </w:pPr>
      <w:r>
        <w:rPr>
          <w:rFonts w:ascii="宋体" w:hAnsi="宋体" w:eastAsia="宋体" w:cs="宋体"/>
          <w:spacing w:val="-3"/>
          <w:sz w:val="21"/>
          <w:szCs w:val="21"/>
        </w:rPr>
        <w:t>质量保证金采用以下第</w:t>
      </w:r>
      <w:r>
        <w:rPr>
          <w:rFonts w:ascii="宋体" w:hAnsi="宋体" w:eastAsia="宋体" w:cs="宋体"/>
          <w:spacing w:val="-3"/>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3"/>
          <w:sz w:val="21"/>
          <w:szCs w:val="21"/>
        </w:rPr>
        <w:t>种方式：</w:t>
      </w:r>
    </w:p>
    <w:p w14:paraId="59044917">
      <w:pPr>
        <w:spacing w:before="156" w:line="220" w:lineRule="auto"/>
        <w:ind w:left="450"/>
        <w:rPr>
          <w:rFonts w:ascii="宋体" w:hAnsi="宋体" w:eastAsia="宋体" w:cs="宋体"/>
          <w:sz w:val="21"/>
          <w:szCs w:val="21"/>
        </w:rPr>
      </w:pPr>
      <w:r>
        <w:rPr>
          <w:rFonts w:ascii="宋体" w:hAnsi="宋体" w:eastAsia="宋体" w:cs="宋体"/>
          <w:spacing w:val="-1"/>
          <w:sz w:val="21"/>
          <w:szCs w:val="21"/>
        </w:rPr>
        <w:t>（1）质量保证金保函，保证金额为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18D028F9">
      <w:pPr>
        <w:spacing w:before="141" w:line="220" w:lineRule="auto"/>
        <w:ind w:left="450"/>
        <w:rPr>
          <w:rFonts w:ascii="宋体" w:hAnsi="宋体" w:eastAsia="宋体" w:cs="宋体"/>
          <w:sz w:val="21"/>
          <w:szCs w:val="21"/>
        </w:rPr>
      </w:pPr>
      <w:r>
        <w:rPr>
          <w:rFonts w:ascii="宋体" w:hAnsi="宋体" w:eastAsia="宋体" w:cs="宋体"/>
          <w:spacing w:val="-7"/>
          <w:sz w:val="21"/>
          <w:szCs w:val="21"/>
        </w:rPr>
        <w:t>（2）</w:t>
      </w:r>
      <w:r>
        <w:rPr>
          <w:rFonts w:ascii="宋体" w:hAnsi="宋体" w:eastAsia="宋体" w:cs="宋体"/>
          <w:spacing w:val="7"/>
          <w:sz w:val="21"/>
          <w:szCs w:val="21"/>
          <w:u w:val="single" w:color="auto"/>
        </w:rPr>
        <w:t xml:space="preserve">    </w:t>
      </w:r>
      <w:r>
        <w:rPr>
          <w:rFonts w:ascii="宋体" w:hAnsi="宋体" w:eastAsia="宋体" w:cs="宋体"/>
          <w:spacing w:val="-7"/>
          <w:sz w:val="21"/>
          <w:szCs w:val="21"/>
          <w:u w:val="single" w:color="auto"/>
        </w:rPr>
        <w:t>1.5</w:t>
      </w:r>
      <w:r>
        <w:rPr>
          <w:rFonts w:ascii="宋体" w:hAnsi="宋体" w:eastAsia="宋体" w:cs="宋体"/>
          <w:spacing w:val="1"/>
          <w:sz w:val="21"/>
          <w:szCs w:val="21"/>
          <w:u w:val="single" w:color="auto"/>
        </w:rPr>
        <w:t xml:space="preserve">     </w:t>
      </w:r>
      <w:r>
        <w:rPr>
          <w:rFonts w:ascii="宋体" w:hAnsi="宋体" w:eastAsia="宋体" w:cs="宋体"/>
          <w:spacing w:val="-7"/>
          <w:sz w:val="21"/>
          <w:szCs w:val="21"/>
        </w:rPr>
        <w:t>%的工程款；</w:t>
      </w:r>
    </w:p>
    <w:p w14:paraId="0D1D43A1">
      <w:pPr>
        <w:spacing w:before="155" w:line="220" w:lineRule="auto"/>
        <w:ind w:left="450"/>
        <w:rPr>
          <w:rFonts w:ascii="宋体" w:hAnsi="宋体" w:eastAsia="宋体" w:cs="宋体"/>
          <w:sz w:val="21"/>
          <w:szCs w:val="21"/>
        </w:rPr>
      </w:pPr>
      <w:r>
        <w:rPr>
          <w:rFonts w:ascii="宋体" w:hAnsi="宋体" w:eastAsia="宋体" w:cs="宋体"/>
          <w:sz w:val="21"/>
          <w:szCs w:val="21"/>
        </w:rPr>
        <w:t xml:space="preserve">（3）其他方式: </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72076B6">
      <w:pPr>
        <w:spacing w:before="156" w:line="220" w:lineRule="auto"/>
        <w:ind w:left="460"/>
        <w:rPr>
          <w:rFonts w:ascii="宋体" w:hAnsi="宋体" w:eastAsia="宋体" w:cs="宋体"/>
          <w:sz w:val="21"/>
          <w:szCs w:val="21"/>
        </w:rPr>
      </w:pPr>
      <w:r>
        <w:rPr>
          <w:rFonts w:ascii="宋体" w:hAnsi="宋体" w:eastAsia="宋体" w:cs="宋体"/>
          <w:spacing w:val="-2"/>
          <w:sz w:val="21"/>
          <w:szCs w:val="21"/>
        </w:rPr>
        <w:t>15.3.2 质量保证金的扣留</w:t>
      </w:r>
    </w:p>
    <w:p w14:paraId="30BA4EB5">
      <w:pPr>
        <w:spacing w:before="139" w:line="219" w:lineRule="auto"/>
        <w:ind w:left="445"/>
        <w:rPr>
          <w:rFonts w:ascii="宋体" w:hAnsi="宋体" w:eastAsia="宋体" w:cs="宋体"/>
          <w:sz w:val="21"/>
          <w:szCs w:val="21"/>
        </w:rPr>
      </w:pPr>
      <w:r>
        <w:rPr>
          <w:rFonts w:ascii="宋体" w:hAnsi="宋体" w:eastAsia="宋体" w:cs="宋体"/>
          <w:spacing w:val="-3"/>
          <w:sz w:val="21"/>
          <w:szCs w:val="21"/>
        </w:rPr>
        <w:t>质量保证金的扣留采取以下第</w:t>
      </w:r>
      <w:r>
        <w:rPr>
          <w:rFonts w:ascii="宋体" w:hAnsi="宋体" w:eastAsia="宋体" w:cs="宋体"/>
          <w:spacing w:val="-10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种方式：</w:t>
      </w:r>
    </w:p>
    <w:p w14:paraId="7A79F27E">
      <w:pPr>
        <w:spacing w:before="156" w:line="350" w:lineRule="auto"/>
        <w:ind w:left="25" w:right="33" w:firstLine="425"/>
        <w:rPr>
          <w:rFonts w:ascii="宋体" w:hAnsi="宋体" w:eastAsia="宋体" w:cs="宋体"/>
          <w:sz w:val="21"/>
          <w:szCs w:val="21"/>
        </w:rPr>
      </w:pPr>
      <w:r>
        <w:rPr>
          <w:rFonts w:ascii="宋体" w:hAnsi="宋体" w:eastAsia="宋体" w:cs="宋体"/>
          <w:sz w:val="21"/>
          <w:szCs w:val="21"/>
        </w:rPr>
        <w:t>（1）在支付工程进度款时逐次扣留，在此情形下，质量保证金的计算基</w:t>
      </w:r>
      <w:r>
        <w:rPr>
          <w:rFonts w:ascii="宋体" w:hAnsi="宋体" w:eastAsia="宋体" w:cs="宋体"/>
          <w:spacing w:val="-1"/>
          <w:sz w:val="21"/>
          <w:szCs w:val="21"/>
        </w:rPr>
        <w:t>数不包括预付</w:t>
      </w:r>
      <w:r>
        <w:rPr>
          <w:rFonts w:ascii="宋体" w:hAnsi="宋体" w:eastAsia="宋体" w:cs="宋体"/>
          <w:spacing w:val="-3"/>
          <w:sz w:val="21"/>
          <w:szCs w:val="21"/>
        </w:rPr>
        <w:t>款的支付、扣回以及价格调整的金额；</w:t>
      </w:r>
    </w:p>
    <w:p w14:paraId="67E81528">
      <w:pPr>
        <w:spacing w:before="1" w:line="219" w:lineRule="auto"/>
        <w:ind w:left="450"/>
        <w:rPr>
          <w:rFonts w:ascii="宋体" w:hAnsi="宋体" w:eastAsia="宋体" w:cs="宋体"/>
          <w:sz w:val="21"/>
          <w:szCs w:val="21"/>
        </w:rPr>
      </w:pPr>
      <w:r>
        <w:rPr>
          <w:rFonts w:ascii="宋体" w:hAnsi="宋体" w:eastAsia="宋体" w:cs="宋体"/>
          <w:spacing w:val="-3"/>
          <w:sz w:val="21"/>
          <w:szCs w:val="21"/>
        </w:rPr>
        <w:t>（2）工程竣工结算时一次性扣留质量保证金；</w:t>
      </w:r>
    </w:p>
    <w:p w14:paraId="316361CF">
      <w:pPr>
        <w:spacing w:before="156" w:line="359" w:lineRule="auto"/>
        <w:ind w:left="28" w:right="32" w:firstLine="421"/>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pacing w:val="9"/>
          <w:sz w:val="21"/>
          <w:szCs w:val="21"/>
        </w:rPr>
        <w:t xml:space="preserve">        </w:t>
      </w:r>
      <w:r>
        <w:rPr>
          <w:rFonts w:ascii="宋体" w:hAnsi="宋体" w:eastAsia="宋体" w:cs="宋体"/>
          <w:spacing w:val="-15"/>
          <w:sz w:val="21"/>
          <w:szCs w:val="21"/>
        </w:rPr>
        <w:t>3</w:t>
      </w:r>
      <w:r>
        <w:rPr>
          <w:rFonts w:ascii="宋体" w:hAnsi="宋体" w:eastAsia="宋体" w:cs="宋体"/>
          <w:spacing w:val="11"/>
          <w:sz w:val="21"/>
          <w:szCs w:val="21"/>
        </w:rPr>
        <w:t xml:space="preserve">        </w:t>
      </w:r>
      <w:r>
        <w:rPr>
          <w:rFonts w:ascii="宋体" w:hAnsi="宋体" w:eastAsia="宋体" w:cs="宋体"/>
          <w:spacing w:val="-15"/>
          <w:sz w:val="21"/>
          <w:szCs w:val="21"/>
        </w:rPr>
        <w:t>）</w:t>
      </w:r>
      <w:r>
        <w:rPr>
          <w:rFonts w:ascii="宋体" w:hAnsi="宋体" w:eastAsia="宋体" w:cs="宋体"/>
          <w:spacing w:val="9"/>
          <w:sz w:val="21"/>
          <w:szCs w:val="21"/>
        </w:rPr>
        <w:t xml:space="preserve">        </w:t>
      </w:r>
      <w:r>
        <w:rPr>
          <w:rFonts w:ascii="宋体" w:hAnsi="宋体" w:eastAsia="宋体" w:cs="宋体"/>
          <w:spacing w:val="-15"/>
          <w:sz w:val="21"/>
          <w:szCs w:val="21"/>
        </w:rPr>
        <w:t>其</w:t>
      </w:r>
      <w:r>
        <w:rPr>
          <w:rFonts w:ascii="宋体" w:hAnsi="宋体" w:eastAsia="宋体" w:cs="宋体"/>
          <w:spacing w:val="9"/>
          <w:sz w:val="21"/>
          <w:szCs w:val="21"/>
        </w:rPr>
        <w:t xml:space="preserve">        </w:t>
      </w:r>
      <w:r>
        <w:rPr>
          <w:rFonts w:ascii="宋体" w:hAnsi="宋体" w:eastAsia="宋体" w:cs="宋体"/>
          <w:spacing w:val="-15"/>
          <w:sz w:val="21"/>
          <w:szCs w:val="21"/>
        </w:rPr>
        <w:t>他</w:t>
      </w:r>
      <w:r>
        <w:rPr>
          <w:rFonts w:ascii="宋体" w:hAnsi="宋体" w:eastAsia="宋体" w:cs="宋体"/>
          <w:spacing w:val="9"/>
          <w:sz w:val="21"/>
          <w:szCs w:val="21"/>
        </w:rPr>
        <w:t xml:space="preserve">        </w:t>
      </w:r>
      <w:r>
        <w:rPr>
          <w:rFonts w:ascii="宋体" w:hAnsi="宋体" w:eastAsia="宋体" w:cs="宋体"/>
          <w:spacing w:val="-15"/>
          <w:sz w:val="21"/>
          <w:szCs w:val="21"/>
        </w:rPr>
        <w:t>扣</w:t>
      </w:r>
      <w:r>
        <w:rPr>
          <w:rFonts w:ascii="宋体" w:hAnsi="宋体" w:eastAsia="宋体" w:cs="宋体"/>
          <w:spacing w:val="11"/>
          <w:sz w:val="21"/>
          <w:szCs w:val="21"/>
        </w:rPr>
        <w:t xml:space="preserve">        </w:t>
      </w:r>
      <w:r>
        <w:rPr>
          <w:rFonts w:ascii="宋体" w:hAnsi="宋体" w:eastAsia="宋体" w:cs="宋体"/>
          <w:spacing w:val="-15"/>
          <w:sz w:val="21"/>
          <w:szCs w:val="21"/>
        </w:rPr>
        <w:t>留</w:t>
      </w:r>
      <w:r>
        <w:rPr>
          <w:rFonts w:ascii="宋体" w:hAnsi="宋体" w:eastAsia="宋体" w:cs="宋体"/>
          <w:spacing w:val="8"/>
          <w:sz w:val="21"/>
          <w:szCs w:val="21"/>
        </w:rPr>
        <w:t xml:space="preserve">        </w:t>
      </w:r>
      <w:r>
        <w:rPr>
          <w:rFonts w:ascii="宋体" w:hAnsi="宋体" w:eastAsia="宋体" w:cs="宋体"/>
          <w:spacing w:val="-15"/>
          <w:sz w:val="21"/>
          <w:szCs w:val="21"/>
        </w:rPr>
        <w:t>方</w:t>
      </w:r>
      <w:r>
        <w:rPr>
          <w:rFonts w:ascii="宋体" w:hAnsi="宋体" w:eastAsia="宋体" w:cs="宋体"/>
          <w:spacing w:val="-2"/>
          <w:sz w:val="21"/>
          <w:szCs w:val="21"/>
        </w:rPr>
        <w:t xml:space="preserve">式: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3366AB2A">
      <w:pPr>
        <w:spacing w:line="359" w:lineRule="auto"/>
        <w:rPr>
          <w:rFonts w:ascii="宋体" w:hAnsi="宋体" w:eastAsia="宋体" w:cs="宋体"/>
          <w:sz w:val="21"/>
          <w:szCs w:val="21"/>
        </w:rPr>
        <w:sectPr>
          <w:headerReference r:id="rId233" w:type="default"/>
          <w:footerReference r:id="rId234" w:type="default"/>
          <w:pgSz w:w="11910" w:h="16845"/>
          <w:pgMar w:top="400" w:right="1769" w:bottom="1110" w:left="1786" w:header="0" w:footer="883" w:gutter="0"/>
          <w:cols w:space="720" w:num="1"/>
        </w:sectPr>
      </w:pPr>
    </w:p>
    <w:p w14:paraId="15050FF0">
      <w:pPr>
        <w:pStyle w:val="2"/>
        <w:spacing w:line="275" w:lineRule="auto"/>
      </w:pPr>
    </w:p>
    <w:p w14:paraId="0FFE3A85">
      <w:pPr>
        <w:pStyle w:val="2"/>
        <w:spacing w:line="275" w:lineRule="auto"/>
      </w:pPr>
    </w:p>
    <w:p w14:paraId="0F69CBA1">
      <w:pPr>
        <w:pStyle w:val="2"/>
        <w:spacing w:line="275" w:lineRule="auto"/>
      </w:pPr>
    </w:p>
    <w:p w14:paraId="469BAAE0">
      <w:pPr>
        <w:pStyle w:val="2"/>
        <w:spacing w:line="276" w:lineRule="auto"/>
      </w:pPr>
    </w:p>
    <w:p w14:paraId="0AF4597B">
      <w:pPr>
        <w:spacing w:before="68" w:line="220" w:lineRule="auto"/>
        <w:ind w:left="448"/>
        <w:rPr>
          <w:rFonts w:ascii="宋体" w:hAnsi="宋体" w:eastAsia="宋体" w:cs="宋体"/>
          <w:sz w:val="21"/>
          <w:szCs w:val="21"/>
        </w:rPr>
      </w:pPr>
      <w:r>
        <w:rPr>
          <w:rFonts w:ascii="宋体" w:hAnsi="宋体" w:eastAsia="宋体" w:cs="宋体"/>
          <w:spacing w:val="-4"/>
          <w:sz w:val="21"/>
          <w:szCs w:val="21"/>
        </w:rPr>
        <w:t>关于质量保证金的补充约定：</w:t>
      </w:r>
    </w:p>
    <w:p w14:paraId="68C3FFD0">
      <w:pPr>
        <w:pStyle w:val="2"/>
        <w:spacing w:line="304" w:lineRule="auto"/>
      </w:pPr>
    </w:p>
    <w:p w14:paraId="29FD9359">
      <w:pPr>
        <w:pStyle w:val="2"/>
        <w:spacing w:line="304" w:lineRule="auto"/>
      </w:pPr>
      <w:r>
        <w:pict>
          <v:shape id="_x0000_s1185" o:spid="_x0000_s1185" style="position:absolute;left:0pt;margin-left:21.8pt;margin-top:2.95pt;height:0.75pt;width:47.3pt;z-index:251832320;mso-width-relative:page;mso-height-relative:page;" fillcolor="#000000" filled="t" stroked="f" coordsize="945,15" path="m0,15l945,15,945,0,0,0,0,15xe">
            <v:path/>
            <v:fill on="t" focussize="0,0"/>
            <v:stroke on="f"/>
            <v:imagedata o:title=""/>
            <o:lock v:ext="edit"/>
          </v:shape>
        </w:pict>
      </w:r>
    </w:p>
    <w:p w14:paraId="67A3B343">
      <w:pPr>
        <w:spacing w:before="68" w:line="46" w:lineRule="exact"/>
        <w:ind w:left="7088"/>
        <w:rPr>
          <w:rFonts w:ascii="宋体" w:hAnsi="宋体" w:eastAsia="宋体" w:cs="宋体"/>
          <w:sz w:val="21"/>
          <w:szCs w:val="21"/>
        </w:rPr>
      </w:pPr>
      <w:r>
        <w:pict>
          <v:shape id="_x0000_s1186" o:spid="_x0000_s1186" o:spt="202" type="#_x0000_t202" style="position:absolute;left:0pt;margin-left:-0.2pt;margin-top:-3.25pt;height:35.05pt;width:354.25pt;z-index:251829248;mso-width-relative:page;mso-height-relative:page;" filled="f" stroked="f" coordsize="21600,21600">
            <v:path/>
            <v:fill on="f" focussize="0,0"/>
            <v:stroke on="f"/>
            <v:imagedata o:title=""/>
            <o:lock v:ext="edit" aspectratio="f"/>
            <v:textbox inset="0mm,0mm,0mm,0mm">
              <w:txbxContent>
                <w:p w14:paraId="39FA64A3">
                  <w:pPr>
                    <w:pStyle w:val="2"/>
                    <w:tabs>
                      <w:tab w:val="left" w:pos="7064"/>
                    </w:tabs>
                    <w:spacing w:before="20"/>
                    <w:ind w:left="20"/>
                  </w:pPr>
                  <w:r>
                    <w:rPr>
                      <w:u w:val="single" w:color="auto"/>
                    </w:rPr>
                    <w:tab/>
                  </w:r>
                </w:p>
                <w:p w14:paraId="1B5D9691">
                  <w:pPr>
                    <w:spacing w:before="116" w:line="233" w:lineRule="auto"/>
                    <w:ind w:left="35"/>
                    <w:outlineLvl w:val="1"/>
                    <w:rPr>
                      <w:rFonts w:ascii="黑体" w:hAnsi="黑体" w:eastAsia="黑体" w:cs="黑体"/>
                      <w:sz w:val="24"/>
                      <w:szCs w:val="24"/>
                    </w:rPr>
                  </w:pPr>
                  <w:bookmarkStart w:id="714" w:name="bookmark504"/>
                  <w:bookmarkEnd w:id="714"/>
                  <w:r>
                    <w:rPr>
                      <w:rFonts w:ascii="Times New Roman" w:hAnsi="Times New Roman" w:eastAsia="Times New Roman" w:cs="Times New Roman"/>
                      <w:b/>
                      <w:bCs/>
                      <w:spacing w:val="-1"/>
                      <w:sz w:val="24"/>
                      <w:szCs w:val="24"/>
                    </w:rPr>
                    <w:t xml:space="preserve">15.4 </w:t>
                  </w:r>
                  <w:r>
                    <w:rPr>
                      <w:rFonts w:ascii="黑体" w:hAnsi="黑体" w:eastAsia="黑体" w:cs="黑体"/>
                      <w:b/>
                      <w:bCs/>
                      <w:spacing w:val="-1"/>
                      <w:sz w:val="24"/>
                      <w:szCs w:val="24"/>
                    </w:rPr>
                    <w:t>保修</w:t>
                  </w:r>
                </w:p>
              </w:txbxContent>
            </v:textbox>
          </v:shape>
        </w:pict>
      </w:r>
      <w:r>
        <w:rPr>
          <w:rFonts w:ascii="宋体" w:hAnsi="宋体" w:eastAsia="宋体" w:cs="宋体"/>
          <w:position w:val="-1"/>
          <w:sz w:val="21"/>
          <w:szCs w:val="21"/>
        </w:rPr>
        <w:t>。</w:t>
      </w:r>
    </w:p>
    <w:p w14:paraId="5912304D">
      <w:pPr>
        <w:pStyle w:val="2"/>
        <w:spacing w:line="278" w:lineRule="auto"/>
      </w:pPr>
    </w:p>
    <w:p w14:paraId="2439B651">
      <w:pPr>
        <w:pStyle w:val="2"/>
        <w:spacing w:line="279" w:lineRule="auto"/>
      </w:pPr>
    </w:p>
    <w:p w14:paraId="25AD1EEF">
      <w:pPr>
        <w:spacing w:before="68" w:line="220" w:lineRule="auto"/>
        <w:ind w:left="460"/>
        <w:rPr>
          <w:rFonts w:ascii="宋体" w:hAnsi="宋体" w:eastAsia="宋体" w:cs="宋体"/>
          <w:sz w:val="21"/>
          <w:szCs w:val="21"/>
        </w:rPr>
      </w:pPr>
      <w:r>
        <w:rPr>
          <w:rFonts w:ascii="宋体" w:hAnsi="宋体" w:eastAsia="宋体" w:cs="宋体"/>
          <w:spacing w:val="-2"/>
          <w:sz w:val="21"/>
          <w:szCs w:val="21"/>
        </w:rPr>
        <w:t>15.4.1 保修责任</w:t>
      </w:r>
    </w:p>
    <w:p w14:paraId="67A91B07">
      <w:pPr>
        <w:spacing w:before="140" w:line="220" w:lineRule="auto"/>
        <w:ind w:left="447"/>
        <w:rPr>
          <w:rFonts w:ascii="宋体" w:hAnsi="宋体" w:eastAsia="宋体" w:cs="宋体"/>
          <w:sz w:val="21"/>
          <w:szCs w:val="21"/>
        </w:rPr>
      </w:pPr>
      <w:r>
        <w:rPr>
          <w:rFonts w:ascii="宋体" w:hAnsi="宋体" w:eastAsia="宋体" w:cs="宋体"/>
          <w:spacing w:val="-7"/>
          <w:sz w:val="21"/>
          <w:szCs w:val="21"/>
        </w:rPr>
        <w:t>工程保修期为：</w:t>
      </w:r>
    </w:p>
    <w:p w14:paraId="1393D9D8">
      <w:pPr>
        <w:pStyle w:val="2"/>
        <w:spacing w:line="312" w:lineRule="auto"/>
      </w:pPr>
    </w:p>
    <w:p w14:paraId="7AC991CB">
      <w:pPr>
        <w:pStyle w:val="2"/>
        <w:spacing w:line="312" w:lineRule="auto"/>
      </w:pPr>
      <w:r>
        <w:pict>
          <v:shape id="_x0000_s1187" o:spid="_x0000_s1187" style="position:absolute;left:0pt;margin-left:21.8pt;margin-top:2.6pt;height:0.75pt;width:47.3pt;z-index:251833344;mso-width-relative:page;mso-height-relative:page;" fillcolor="#000000" filled="t" stroked="f" coordsize="945,15" path="m0,15l945,15,945,0,0,0,0,15xe">
            <v:path/>
            <v:fill on="t" focussize="0,0"/>
            <v:stroke on="f"/>
            <v:imagedata o:title=""/>
            <o:lock v:ext="edit"/>
          </v:shape>
        </w:pict>
      </w:r>
    </w:p>
    <w:p w14:paraId="686F0EFB">
      <w:pPr>
        <w:spacing w:before="68" w:line="46" w:lineRule="exact"/>
        <w:ind w:left="7088"/>
        <w:rPr>
          <w:rFonts w:ascii="宋体" w:hAnsi="宋体" w:eastAsia="宋体" w:cs="宋体"/>
          <w:sz w:val="21"/>
          <w:szCs w:val="21"/>
        </w:rPr>
      </w:pPr>
      <w:r>
        <w:pict>
          <v:shape id="_x0000_s1188" o:spid="_x0000_s1188" o:spt="202" type="#_x0000_t202" style="position:absolute;left:0pt;margin-left:-0.2pt;margin-top:-3.3pt;height:33pt;width:354.25pt;z-index:251830272;mso-width-relative:page;mso-height-relative:page;" filled="f" stroked="f" coordsize="21600,21600">
            <v:path/>
            <v:fill on="f" focussize="0,0"/>
            <v:stroke on="f"/>
            <v:imagedata o:title=""/>
            <o:lock v:ext="edit" aspectratio="f"/>
            <v:textbox inset="0mm,0mm,0mm,0mm">
              <w:txbxContent>
                <w:p w14:paraId="5619BCC5">
                  <w:pPr>
                    <w:pStyle w:val="2"/>
                    <w:tabs>
                      <w:tab w:val="left" w:pos="7064"/>
                    </w:tabs>
                    <w:spacing w:before="20"/>
                    <w:ind w:left="20"/>
                  </w:pPr>
                  <w:r>
                    <w:rPr>
                      <w:u w:val="single" w:color="auto"/>
                    </w:rPr>
                    <w:tab/>
                  </w:r>
                </w:p>
                <w:p w14:paraId="6B61C9D1">
                  <w:pPr>
                    <w:spacing w:before="127" w:line="220" w:lineRule="auto"/>
                    <w:ind w:left="464"/>
                    <w:rPr>
                      <w:rFonts w:ascii="宋体" w:hAnsi="宋体" w:eastAsia="宋体" w:cs="宋体"/>
                      <w:sz w:val="21"/>
                      <w:szCs w:val="21"/>
                    </w:rPr>
                  </w:pPr>
                  <w:r>
                    <w:rPr>
                      <w:rFonts w:ascii="宋体" w:hAnsi="宋体" w:eastAsia="宋体" w:cs="宋体"/>
                      <w:spacing w:val="-2"/>
                      <w:sz w:val="21"/>
                      <w:szCs w:val="21"/>
                    </w:rPr>
                    <w:t>15.4.3 修复通知</w:t>
                  </w:r>
                </w:p>
              </w:txbxContent>
            </v:textbox>
          </v:shape>
        </w:pict>
      </w:r>
      <w:r>
        <w:rPr>
          <w:rFonts w:ascii="宋体" w:hAnsi="宋体" w:eastAsia="宋体" w:cs="宋体"/>
          <w:position w:val="-1"/>
          <w:sz w:val="21"/>
          <w:szCs w:val="21"/>
        </w:rPr>
        <w:t>。</w:t>
      </w:r>
    </w:p>
    <w:p w14:paraId="2A1863CB">
      <w:pPr>
        <w:pStyle w:val="2"/>
        <w:spacing w:line="271" w:lineRule="auto"/>
      </w:pPr>
    </w:p>
    <w:p w14:paraId="3C4C0D8C">
      <w:pPr>
        <w:pStyle w:val="2"/>
        <w:spacing w:line="271" w:lineRule="auto"/>
      </w:pPr>
    </w:p>
    <w:p w14:paraId="1D3084A6">
      <w:pPr>
        <w:spacing w:before="69" w:line="220" w:lineRule="auto"/>
        <w:ind w:left="444"/>
        <w:rPr>
          <w:rFonts w:ascii="宋体" w:hAnsi="宋体" w:eastAsia="宋体" w:cs="宋体"/>
          <w:sz w:val="21"/>
          <w:szCs w:val="21"/>
        </w:rPr>
      </w:pPr>
      <w:r>
        <w:rPr>
          <w:rFonts w:ascii="宋体" w:hAnsi="宋体" w:eastAsia="宋体" w:cs="宋体"/>
          <w:spacing w:val="-2"/>
          <w:sz w:val="21"/>
          <w:szCs w:val="21"/>
        </w:rPr>
        <w:t>承包人收到保修通知并到达工程现场的合理时间：</w:t>
      </w:r>
    </w:p>
    <w:p w14:paraId="657C0CA6">
      <w:pPr>
        <w:pStyle w:val="2"/>
        <w:spacing w:line="304" w:lineRule="auto"/>
      </w:pPr>
    </w:p>
    <w:p w14:paraId="70E94C52">
      <w:pPr>
        <w:pStyle w:val="2"/>
        <w:spacing w:line="305" w:lineRule="auto"/>
      </w:pPr>
      <w:r>
        <w:pict>
          <v:shape id="_x0000_s1189" o:spid="_x0000_s1189" style="position:absolute;left:0pt;margin-left:21.8pt;margin-top:2.95pt;height:0.75pt;width:47.3pt;z-index:251834368;mso-width-relative:page;mso-height-relative:page;" fillcolor="#000000" filled="t" stroked="f" coordsize="945,15" path="m0,15l945,15,945,0,0,0,0,15xe">
            <v:path/>
            <v:fill on="t" focussize="0,0"/>
            <v:stroke on="f"/>
            <v:imagedata o:title=""/>
            <o:lock v:ext="edit"/>
          </v:shape>
        </w:pict>
      </w:r>
    </w:p>
    <w:p w14:paraId="370ABC26">
      <w:pPr>
        <w:spacing w:before="68" w:line="46" w:lineRule="exact"/>
        <w:ind w:left="7088"/>
        <w:rPr>
          <w:rFonts w:ascii="宋体" w:hAnsi="宋体" w:eastAsia="宋体" w:cs="宋体"/>
          <w:sz w:val="21"/>
          <w:szCs w:val="21"/>
        </w:rPr>
      </w:pPr>
      <w:r>
        <w:pict>
          <v:shape id="_x0000_s1190" o:spid="_x0000_s1190" o:spt="202" type="#_x0000_t202" style="position:absolute;left:0pt;margin-left:-0.2pt;margin-top:-3.25pt;height:59.8pt;width:354.25pt;z-index:251828224;mso-width-relative:page;mso-height-relative:page;" filled="f" stroked="f" coordsize="21600,21600">
            <v:path/>
            <v:fill on="f" focussize="0,0"/>
            <v:stroke on="f"/>
            <v:imagedata o:title=""/>
            <o:lock v:ext="edit" aspectratio="f"/>
            <v:textbox inset="0mm,0mm,0mm,0mm">
              <w:txbxContent>
                <w:p w14:paraId="694076E1">
                  <w:pPr>
                    <w:pStyle w:val="2"/>
                    <w:tabs>
                      <w:tab w:val="left" w:pos="7064"/>
                    </w:tabs>
                    <w:spacing w:before="20"/>
                    <w:ind w:left="20"/>
                  </w:pPr>
                  <w:r>
                    <w:rPr>
                      <w:u w:val="single" w:color="auto"/>
                    </w:rPr>
                    <w:tab/>
                  </w:r>
                </w:p>
                <w:p w14:paraId="00267B26">
                  <w:pPr>
                    <w:spacing w:before="183" w:line="238" w:lineRule="auto"/>
                    <w:ind w:left="38"/>
                    <w:outlineLvl w:val="0"/>
                    <w:rPr>
                      <w:rFonts w:ascii="黑体" w:hAnsi="黑体" w:eastAsia="黑体" w:cs="黑体"/>
                      <w:sz w:val="28"/>
                      <w:szCs w:val="28"/>
                    </w:rPr>
                  </w:pPr>
                  <w:bookmarkStart w:id="715" w:name="bookmark506"/>
                  <w:bookmarkEnd w:id="715"/>
                  <w:bookmarkStart w:id="716" w:name="bookmark505"/>
                  <w:bookmarkEnd w:id="716"/>
                  <w:r>
                    <w:rPr>
                      <w:rFonts w:ascii="Times New Roman" w:hAnsi="Times New Roman" w:eastAsia="Times New Roman" w:cs="Times New Roman"/>
                      <w:b/>
                      <w:bCs/>
                      <w:spacing w:val="2"/>
                      <w:sz w:val="28"/>
                      <w:szCs w:val="28"/>
                    </w:rPr>
                    <w:t>16.</w:t>
                  </w:r>
                  <w:r>
                    <w:rPr>
                      <w:rFonts w:ascii="Times New Roman" w:hAnsi="Times New Roman" w:eastAsia="Times New Roman" w:cs="Times New Roman"/>
                      <w:b/>
                      <w:bCs/>
                      <w:spacing w:val="66"/>
                      <w:sz w:val="28"/>
                      <w:szCs w:val="28"/>
                    </w:rPr>
                    <w:t xml:space="preserve"> </w:t>
                  </w:r>
                  <w:r>
                    <w:rPr>
                      <w:rFonts w:ascii="黑体" w:hAnsi="黑体" w:eastAsia="黑体" w:cs="黑体"/>
                      <w:b/>
                      <w:bCs/>
                      <w:spacing w:val="2"/>
                      <w:sz w:val="28"/>
                      <w:szCs w:val="28"/>
                    </w:rPr>
                    <w:t>违约</w:t>
                  </w:r>
                </w:p>
                <w:p w14:paraId="77FF9C87">
                  <w:pPr>
                    <w:spacing w:before="68" w:line="232" w:lineRule="auto"/>
                    <w:ind w:left="35"/>
                    <w:outlineLvl w:val="1"/>
                    <w:rPr>
                      <w:rFonts w:ascii="黑体" w:hAnsi="黑体" w:eastAsia="黑体" w:cs="黑体"/>
                      <w:sz w:val="24"/>
                      <w:szCs w:val="24"/>
                    </w:rPr>
                  </w:pPr>
                  <w:bookmarkStart w:id="717" w:name="bookmark718"/>
                  <w:bookmarkEnd w:id="717"/>
                  <w:r>
                    <w:rPr>
                      <w:rFonts w:ascii="Times New Roman" w:hAnsi="Times New Roman" w:eastAsia="Times New Roman" w:cs="Times New Roman"/>
                      <w:b/>
                      <w:bCs/>
                      <w:spacing w:val="1"/>
                      <w:sz w:val="24"/>
                      <w:szCs w:val="24"/>
                    </w:rPr>
                    <w:t xml:space="preserve">16.1  </w:t>
                  </w:r>
                  <w:r>
                    <w:rPr>
                      <w:rFonts w:ascii="黑体" w:hAnsi="黑体" w:eastAsia="黑体" w:cs="黑体"/>
                      <w:b/>
                      <w:bCs/>
                      <w:spacing w:val="1"/>
                      <w:sz w:val="24"/>
                      <w:szCs w:val="24"/>
                    </w:rPr>
                    <w:t>发包人违约</w:t>
                  </w:r>
                </w:p>
              </w:txbxContent>
            </v:textbox>
          </v:shape>
        </w:pict>
      </w:r>
      <w:r>
        <w:rPr>
          <w:rFonts w:ascii="宋体" w:hAnsi="宋体" w:eastAsia="宋体" w:cs="宋体"/>
          <w:position w:val="-1"/>
          <w:sz w:val="21"/>
          <w:szCs w:val="21"/>
        </w:rPr>
        <w:t>。</w:t>
      </w:r>
    </w:p>
    <w:p w14:paraId="61DB53EC">
      <w:pPr>
        <w:pStyle w:val="2"/>
        <w:spacing w:line="262" w:lineRule="auto"/>
      </w:pPr>
    </w:p>
    <w:p w14:paraId="0A93185B">
      <w:pPr>
        <w:pStyle w:val="2"/>
        <w:spacing w:line="262" w:lineRule="auto"/>
      </w:pPr>
    </w:p>
    <w:p w14:paraId="4B34856F">
      <w:pPr>
        <w:pStyle w:val="2"/>
        <w:spacing w:line="263" w:lineRule="auto"/>
      </w:pPr>
    </w:p>
    <w:p w14:paraId="0CB00E3C">
      <w:pPr>
        <w:pStyle w:val="2"/>
        <w:spacing w:line="263" w:lineRule="auto"/>
      </w:pPr>
    </w:p>
    <w:p w14:paraId="5A15F3BA">
      <w:pPr>
        <w:spacing w:before="69" w:line="220" w:lineRule="auto"/>
        <w:ind w:left="460"/>
        <w:rPr>
          <w:rFonts w:ascii="宋体" w:hAnsi="宋体" w:eastAsia="宋体" w:cs="宋体"/>
          <w:sz w:val="21"/>
          <w:szCs w:val="21"/>
        </w:rPr>
      </w:pPr>
      <w:r>
        <w:rPr>
          <w:rFonts w:ascii="宋体" w:hAnsi="宋体" w:eastAsia="宋体" w:cs="宋体"/>
          <w:spacing w:val="-3"/>
          <w:sz w:val="21"/>
          <w:szCs w:val="21"/>
        </w:rPr>
        <w:t>16.1.1</w:t>
      </w:r>
      <w:r>
        <w:rPr>
          <w:rFonts w:ascii="宋体" w:hAnsi="宋体" w:eastAsia="宋体" w:cs="宋体"/>
          <w:spacing w:val="-23"/>
          <w:sz w:val="21"/>
          <w:szCs w:val="21"/>
        </w:rPr>
        <w:t xml:space="preserve"> </w:t>
      </w:r>
      <w:r>
        <w:rPr>
          <w:rFonts w:ascii="宋体" w:hAnsi="宋体" w:eastAsia="宋体" w:cs="宋体"/>
          <w:spacing w:val="-3"/>
          <w:sz w:val="21"/>
          <w:szCs w:val="21"/>
        </w:rPr>
        <w:t>发包人违约的情形</w:t>
      </w:r>
    </w:p>
    <w:p w14:paraId="018F8368">
      <w:pPr>
        <w:spacing w:before="155" w:line="220" w:lineRule="auto"/>
        <w:ind w:left="448"/>
        <w:rPr>
          <w:rFonts w:ascii="宋体" w:hAnsi="宋体" w:eastAsia="宋体" w:cs="宋体"/>
          <w:sz w:val="21"/>
          <w:szCs w:val="21"/>
        </w:rPr>
      </w:pPr>
      <w:r>
        <w:rPr>
          <w:rFonts w:ascii="宋体" w:hAnsi="宋体" w:eastAsia="宋体" w:cs="宋体"/>
          <w:spacing w:val="-5"/>
          <w:sz w:val="21"/>
          <w:szCs w:val="21"/>
        </w:rPr>
        <w:t>发包人违约的其他情形：</w:t>
      </w:r>
    </w:p>
    <w:p w14:paraId="428C66AE">
      <w:pPr>
        <w:pStyle w:val="2"/>
        <w:tabs>
          <w:tab w:val="left" w:pos="1381"/>
        </w:tabs>
        <w:spacing w:before="161"/>
        <w:ind w:left="436"/>
      </w:pPr>
      <w:r>
        <w:rPr>
          <w:u w:val="single" w:color="auto"/>
        </w:rPr>
        <w:tab/>
      </w:r>
    </w:p>
    <w:p w14:paraId="717F6BBB">
      <w:pPr>
        <w:tabs>
          <w:tab w:val="left" w:pos="7060"/>
        </w:tabs>
        <w:spacing w:before="27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917B38C">
      <w:pPr>
        <w:spacing w:before="163" w:line="220" w:lineRule="auto"/>
        <w:ind w:left="460"/>
        <w:rPr>
          <w:rFonts w:ascii="宋体" w:hAnsi="宋体" w:eastAsia="宋体" w:cs="宋体"/>
          <w:sz w:val="21"/>
          <w:szCs w:val="21"/>
        </w:rPr>
      </w:pPr>
      <w:r>
        <w:rPr>
          <w:rFonts w:ascii="宋体" w:hAnsi="宋体" w:eastAsia="宋体" w:cs="宋体"/>
          <w:spacing w:val="-2"/>
          <w:sz w:val="21"/>
          <w:szCs w:val="21"/>
        </w:rPr>
        <w:t>16.1.2 发包人违约的责任</w:t>
      </w:r>
    </w:p>
    <w:p w14:paraId="669718E7">
      <w:pPr>
        <w:spacing w:before="141" w:line="220" w:lineRule="auto"/>
        <w:ind w:left="448"/>
        <w:rPr>
          <w:rFonts w:ascii="宋体" w:hAnsi="宋体" w:eastAsia="宋体" w:cs="宋体"/>
          <w:sz w:val="21"/>
          <w:szCs w:val="21"/>
        </w:rPr>
      </w:pPr>
      <w:r>
        <w:rPr>
          <w:rFonts w:ascii="宋体" w:hAnsi="宋体" w:eastAsia="宋体" w:cs="宋体"/>
          <w:spacing w:val="-3"/>
          <w:sz w:val="21"/>
          <w:szCs w:val="21"/>
        </w:rPr>
        <w:t>发包人违约责任的承担方式和计算方法：</w:t>
      </w:r>
    </w:p>
    <w:p w14:paraId="3A017BD1">
      <w:pPr>
        <w:pStyle w:val="2"/>
        <w:tabs>
          <w:tab w:val="left" w:pos="1486"/>
        </w:tabs>
        <w:spacing w:before="155" w:line="404" w:lineRule="auto"/>
        <w:ind w:left="541" w:right="887" w:hanging="91"/>
      </w:pPr>
      <w:r>
        <w:rPr>
          <w:rFonts w:ascii="宋体" w:hAnsi="宋体" w:eastAsia="宋体" w:cs="宋体"/>
          <w:spacing w:val="-3"/>
        </w:rPr>
        <w:t>（1）因发包人原因未能在计划开工日期前</w:t>
      </w:r>
      <w:r>
        <w:rPr>
          <w:rFonts w:ascii="宋体" w:hAnsi="宋体" w:eastAsia="宋体" w:cs="宋体"/>
          <w:spacing w:val="-8"/>
        </w:rPr>
        <w:t xml:space="preserve"> </w:t>
      </w:r>
      <w:r>
        <w:rPr>
          <w:rFonts w:ascii="宋体" w:hAnsi="宋体" w:eastAsia="宋体" w:cs="宋体"/>
          <w:spacing w:val="-3"/>
        </w:rPr>
        <w:t>7</w:t>
      </w:r>
      <w:r>
        <w:rPr>
          <w:rFonts w:ascii="宋体" w:hAnsi="宋体" w:eastAsia="宋体" w:cs="宋体"/>
          <w:spacing w:val="-32"/>
        </w:rPr>
        <w:t xml:space="preserve"> </w:t>
      </w:r>
      <w:r>
        <w:rPr>
          <w:rFonts w:ascii="宋体" w:hAnsi="宋体" w:eastAsia="宋体" w:cs="宋体"/>
          <w:spacing w:val="-3"/>
        </w:rPr>
        <w:t>天内下达开工通知的违约责任：</w:t>
      </w:r>
      <w:r>
        <w:rPr>
          <w:u w:val="single" w:color="auto"/>
        </w:rPr>
        <w:tab/>
      </w:r>
    </w:p>
    <w:p w14:paraId="2F75D4C3">
      <w:pPr>
        <w:tabs>
          <w:tab w:val="left" w:pos="7060"/>
        </w:tabs>
        <w:spacing w:before="65"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569B323">
      <w:pPr>
        <w:spacing w:before="165" w:line="218" w:lineRule="auto"/>
        <w:ind w:left="450"/>
        <w:rPr>
          <w:rFonts w:ascii="宋体" w:hAnsi="宋体" w:eastAsia="宋体" w:cs="宋体"/>
          <w:sz w:val="21"/>
          <w:szCs w:val="21"/>
        </w:rPr>
      </w:pPr>
      <w:r>
        <w:rPr>
          <w:rFonts w:ascii="宋体" w:hAnsi="宋体" w:eastAsia="宋体" w:cs="宋体"/>
          <w:spacing w:val="-2"/>
          <w:sz w:val="21"/>
          <w:szCs w:val="21"/>
        </w:rPr>
        <w:t>（2）因发包人原因未能按合同约定支付合同价款的违约责任：</w:t>
      </w:r>
    </w:p>
    <w:p w14:paraId="1297D7B8">
      <w:pPr>
        <w:pStyle w:val="2"/>
        <w:tabs>
          <w:tab w:val="left" w:pos="1381"/>
        </w:tabs>
        <w:spacing w:before="178"/>
        <w:ind w:left="436"/>
      </w:pPr>
      <w:r>
        <w:rPr>
          <w:u w:val="single" w:color="auto"/>
        </w:rPr>
        <w:tab/>
      </w:r>
    </w:p>
    <w:p w14:paraId="5BF31AE3">
      <w:pPr>
        <w:tabs>
          <w:tab w:val="left" w:pos="7060"/>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E9A0346">
      <w:pPr>
        <w:spacing w:before="164" w:line="359" w:lineRule="auto"/>
        <w:ind w:left="25" w:right="7" w:firstLine="425"/>
        <w:rPr>
          <w:rFonts w:ascii="宋体" w:hAnsi="宋体" w:eastAsia="宋体" w:cs="宋体"/>
          <w:sz w:val="21"/>
          <w:szCs w:val="21"/>
        </w:rPr>
      </w:pPr>
      <w:r>
        <w:rPr>
          <w:rFonts w:ascii="宋体" w:hAnsi="宋体" w:eastAsia="宋体" w:cs="宋体"/>
          <w:spacing w:val="-2"/>
          <w:sz w:val="21"/>
          <w:szCs w:val="21"/>
        </w:rPr>
        <w:t>（3）发包人违反第 10.1</w:t>
      </w:r>
      <w:r>
        <w:rPr>
          <w:rFonts w:ascii="宋体" w:hAnsi="宋体" w:eastAsia="宋体" w:cs="宋体"/>
          <w:spacing w:val="-20"/>
          <w:sz w:val="21"/>
          <w:szCs w:val="21"/>
        </w:rPr>
        <w:t xml:space="preserve"> </w:t>
      </w:r>
      <w:r>
        <w:rPr>
          <w:rFonts w:ascii="宋体" w:hAnsi="宋体" w:eastAsia="宋体" w:cs="宋体"/>
          <w:spacing w:val="-2"/>
          <w:sz w:val="21"/>
          <w:szCs w:val="21"/>
        </w:rPr>
        <w:t>款〔变更的范围〕第（2）项约定，自行实施被取消的工作或</w:t>
      </w:r>
      <w:r>
        <w:rPr>
          <w:rFonts w:ascii="宋体" w:hAnsi="宋体" w:eastAsia="宋体" w:cs="宋体"/>
          <w:spacing w:val="-4"/>
          <w:sz w:val="21"/>
          <w:szCs w:val="21"/>
        </w:rPr>
        <w:t>转由他人实施的违约责任：</w:t>
      </w:r>
    </w:p>
    <w:p w14:paraId="0FB78A8C">
      <w:pPr>
        <w:pStyle w:val="2"/>
        <w:tabs>
          <w:tab w:val="left" w:pos="1486"/>
        </w:tabs>
        <w:spacing w:before="1"/>
        <w:ind w:left="541"/>
      </w:pPr>
      <w:r>
        <w:rPr>
          <w:u w:val="single" w:color="auto"/>
        </w:rPr>
        <w:tab/>
      </w:r>
    </w:p>
    <w:p w14:paraId="4BCC9512">
      <w:pPr>
        <w:tabs>
          <w:tab w:val="left" w:pos="7060"/>
        </w:tabs>
        <w:spacing w:before="27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192FA7D">
      <w:pPr>
        <w:spacing w:before="164" w:line="345" w:lineRule="auto"/>
        <w:ind w:left="29" w:right="16" w:firstLine="421"/>
        <w:rPr>
          <w:rFonts w:ascii="宋体" w:hAnsi="宋体" w:eastAsia="宋体" w:cs="宋体"/>
          <w:sz w:val="21"/>
          <w:szCs w:val="21"/>
        </w:rPr>
      </w:pPr>
      <w:r>
        <w:rPr>
          <w:rFonts w:ascii="宋体" w:hAnsi="宋体" w:eastAsia="宋体" w:cs="宋体"/>
          <w:sz w:val="21"/>
          <w:szCs w:val="21"/>
        </w:rPr>
        <w:t>（4）发包人提供的材料、工程设备的规格、数量或质量不符合合同约定</w:t>
      </w:r>
      <w:r>
        <w:rPr>
          <w:rFonts w:ascii="宋体" w:hAnsi="宋体" w:eastAsia="宋体" w:cs="宋体"/>
          <w:spacing w:val="-1"/>
          <w:sz w:val="21"/>
          <w:szCs w:val="21"/>
        </w:rPr>
        <w:t>，或因发包人</w:t>
      </w:r>
      <w:r>
        <w:rPr>
          <w:rFonts w:ascii="宋体" w:hAnsi="宋体" w:eastAsia="宋体" w:cs="宋体"/>
          <w:spacing w:val="-2"/>
          <w:sz w:val="21"/>
          <w:szCs w:val="21"/>
        </w:rPr>
        <w:t>原因导致交货日期延误或交货地点变更等情况的违约责任：</w:t>
      </w:r>
    </w:p>
    <w:p w14:paraId="02FBFB9A">
      <w:pPr>
        <w:pStyle w:val="2"/>
        <w:tabs>
          <w:tab w:val="left" w:pos="1486"/>
        </w:tabs>
        <w:spacing w:before="31"/>
        <w:ind w:left="541"/>
      </w:pPr>
      <w:r>
        <w:rPr>
          <w:u w:val="single" w:color="auto"/>
        </w:rPr>
        <w:tab/>
      </w:r>
    </w:p>
    <w:p w14:paraId="7476E01F">
      <w:pPr>
        <w:spacing w:before="279" w:line="46" w:lineRule="exact"/>
        <w:ind w:left="7088"/>
        <w:rPr>
          <w:rFonts w:ascii="宋体" w:hAnsi="宋体" w:eastAsia="宋体" w:cs="宋体"/>
          <w:sz w:val="21"/>
          <w:szCs w:val="21"/>
        </w:rPr>
      </w:pPr>
      <w:r>
        <w:pict>
          <v:shape id="_x0000_s1191" o:spid="_x0000_s1191" o:spt="202" type="#_x0000_t202" style="position:absolute;left:0pt;margin-left:-0.2pt;margin-top:7.2pt;height:14.1pt;width:354.25pt;z-index:251831296;mso-width-relative:page;mso-height-relative:page;" filled="f" stroked="f" coordsize="21600,21600">
            <v:path/>
            <v:fill on="f" focussize="0,0"/>
            <v:stroke on="f"/>
            <v:imagedata o:title=""/>
            <o:lock v:ext="edit" aspectratio="f"/>
            <v:textbox inset="0mm,0mm,0mm,0mm">
              <w:txbxContent>
                <w:p w14:paraId="1CD5EE7E">
                  <w:pPr>
                    <w:pStyle w:val="2"/>
                    <w:tabs>
                      <w:tab w:val="left" w:pos="7064"/>
                    </w:tabs>
                    <w:spacing w:before="19"/>
                    <w:ind w:left="20"/>
                  </w:pPr>
                  <w:r>
                    <w:rPr>
                      <w:u w:val="single" w:color="auto"/>
                    </w:rPr>
                    <w:tab/>
                  </w:r>
                </w:p>
              </w:txbxContent>
            </v:textbox>
          </v:shape>
        </w:pict>
      </w:r>
      <w:r>
        <w:rPr>
          <w:rFonts w:ascii="宋体" w:hAnsi="宋体" w:eastAsia="宋体" w:cs="宋体"/>
          <w:position w:val="-1"/>
          <w:sz w:val="21"/>
          <w:szCs w:val="21"/>
        </w:rPr>
        <w:t>。</w:t>
      </w:r>
    </w:p>
    <w:p w14:paraId="15B68ECB">
      <w:pPr>
        <w:spacing w:line="46" w:lineRule="exact"/>
        <w:rPr>
          <w:rFonts w:ascii="宋体" w:hAnsi="宋体" w:eastAsia="宋体" w:cs="宋体"/>
          <w:sz w:val="21"/>
          <w:szCs w:val="21"/>
        </w:rPr>
        <w:sectPr>
          <w:footerReference r:id="rId235" w:type="default"/>
          <w:pgSz w:w="11910" w:h="16845"/>
          <w:pgMar w:top="400" w:right="1786" w:bottom="1110" w:left="1786" w:header="0" w:footer="883" w:gutter="0"/>
          <w:cols w:space="720" w:num="1"/>
        </w:sectPr>
      </w:pPr>
    </w:p>
    <w:p w14:paraId="700E06C2">
      <w:pPr>
        <w:pStyle w:val="2"/>
        <w:spacing w:line="275" w:lineRule="auto"/>
      </w:pPr>
    </w:p>
    <w:p w14:paraId="6EF888BB">
      <w:pPr>
        <w:pStyle w:val="2"/>
        <w:spacing w:line="275" w:lineRule="auto"/>
      </w:pPr>
    </w:p>
    <w:p w14:paraId="322E08A9">
      <w:pPr>
        <w:pStyle w:val="2"/>
        <w:spacing w:line="275" w:lineRule="auto"/>
      </w:pPr>
    </w:p>
    <w:p w14:paraId="48C1A088">
      <w:pPr>
        <w:pStyle w:val="2"/>
        <w:spacing w:line="275" w:lineRule="auto"/>
      </w:pPr>
    </w:p>
    <w:p w14:paraId="52628EA6">
      <w:pPr>
        <w:spacing w:before="68" w:line="220" w:lineRule="auto"/>
        <w:ind w:left="450"/>
        <w:rPr>
          <w:rFonts w:ascii="宋体" w:hAnsi="宋体" w:eastAsia="宋体" w:cs="宋体"/>
          <w:sz w:val="21"/>
          <w:szCs w:val="21"/>
        </w:rPr>
      </w:pPr>
      <w:r>
        <w:rPr>
          <w:rFonts w:ascii="宋体" w:hAnsi="宋体" w:eastAsia="宋体" w:cs="宋体"/>
          <w:spacing w:val="-2"/>
          <w:sz w:val="21"/>
          <w:szCs w:val="21"/>
        </w:rPr>
        <w:t>（5）因发包人违反合同约定造成暂停施工的违约责任：</w:t>
      </w:r>
    </w:p>
    <w:p w14:paraId="084646F5">
      <w:pPr>
        <w:pStyle w:val="2"/>
        <w:tabs>
          <w:tab w:val="left" w:pos="1486"/>
        </w:tabs>
        <w:spacing w:before="176"/>
        <w:ind w:left="541"/>
      </w:pPr>
      <w:r>
        <w:rPr>
          <w:u w:val="single" w:color="auto"/>
        </w:rPr>
        <w:tab/>
      </w:r>
    </w:p>
    <w:p w14:paraId="2C577821">
      <w:pPr>
        <w:tabs>
          <w:tab w:val="left" w:pos="7060"/>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5BEAE5A">
      <w:pPr>
        <w:spacing w:before="162" w:line="359" w:lineRule="auto"/>
        <w:ind w:left="31" w:right="31" w:firstLine="418"/>
        <w:rPr>
          <w:rFonts w:ascii="宋体" w:hAnsi="宋体" w:eastAsia="宋体" w:cs="宋体"/>
          <w:sz w:val="21"/>
          <w:szCs w:val="21"/>
        </w:rPr>
      </w:pPr>
      <w:r>
        <w:rPr>
          <w:rFonts w:ascii="宋体" w:hAnsi="宋体" w:eastAsia="宋体" w:cs="宋体"/>
          <w:sz w:val="21"/>
          <w:szCs w:val="21"/>
        </w:rPr>
        <w:t>（6）发包人无正当理由没有在约定期限内发出复</w:t>
      </w:r>
      <w:r>
        <w:rPr>
          <w:rFonts w:ascii="宋体" w:hAnsi="宋体" w:eastAsia="宋体" w:cs="宋体"/>
          <w:spacing w:val="-1"/>
          <w:sz w:val="21"/>
          <w:szCs w:val="21"/>
        </w:rPr>
        <w:t>工指示，导致承包人无法复工的违约</w:t>
      </w:r>
      <w:r>
        <w:rPr>
          <w:rFonts w:ascii="宋体" w:hAnsi="宋体" w:eastAsia="宋体" w:cs="宋体"/>
          <w:spacing w:val="-14"/>
          <w:sz w:val="21"/>
          <w:szCs w:val="21"/>
        </w:rPr>
        <w:t>责任：</w:t>
      </w:r>
    </w:p>
    <w:p w14:paraId="7E48E84C">
      <w:pPr>
        <w:pStyle w:val="2"/>
        <w:tabs>
          <w:tab w:val="left" w:pos="1486"/>
        </w:tabs>
        <w:spacing w:before="1"/>
        <w:ind w:left="541"/>
      </w:pPr>
      <w:r>
        <w:rPr>
          <w:u w:val="single" w:color="auto"/>
        </w:rPr>
        <w:tab/>
      </w:r>
    </w:p>
    <w:p w14:paraId="1E4287EE">
      <w:pPr>
        <w:tabs>
          <w:tab w:val="left" w:pos="7060"/>
        </w:tabs>
        <w:spacing w:before="27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0B7A094">
      <w:pPr>
        <w:spacing w:before="164" w:line="220" w:lineRule="auto"/>
        <w:ind w:left="450"/>
        <w:rPr>
          <w:rFonts w:ascii="宋体" w:hAnsi="宋体" w:eastAsia="宋体" w:cs="宋体"/>
          <w:sz w:val="21"/>
          <w:szCs w:val="21"/>
        </w:rPr>
      </w:pPr>
      <w:r>
        <w:rPr>
          <w:rFonts w:ascii="宋体" w:hAnsi="宋体" w:eastAsia="宋体" w:cs="宋体"/>
          <w:spacing w:val="-7"/>
          <w:sz w:val="21"/>
          <w:szCs w:val="21"/>
        </w:rPr>
        <w:t>（7）其他：</w:t>
      </w:r>
    </w:p>
    <w:p w14:paraId="073932A9">
      <w:pPr>
        <w:pStyle w:val="2"/>
        <w:tabs>
          <w:tab w:val="left" w:pos="1486"/>
        </w:tabs>
        <w:spacing w:before="161"/>
        <w:ind w:left="541"/>
      </w:pPr>
      <w:r>
        <w:rPr>
          <w:u w:val="single" w:color="auto"/>
        </w:rPr>
        <w:tab/>
      </w:r>
    </w:p>
    <w:p w14:paraId="02411C3B">
      <w:pPr>
        <w:tabs>
          <w:tab w:val="left" w:pos="7060"/>
        </w:tabs>
        <w:spacing w:before="27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789385F8">
      <w:pPr>
        <w:spacing w:before="163" w:line="220" w:lineRule="auto"/>
        <w:ind w:left="460"/>
        <w:rPr>
          <w:rFonts w:ascii="宋体" w:hAnsi="宋体" w:eastAsia="宋体" w:cs="宋体"/>
          <w:sz w:val="21"/>
          <w:szCs w:val="21"/>
        </w:rPr>
      </w:pPr>
      <w:r>
        <w:rPr>
          <w:rFonts w:ascii="宋体" w:hAnsi="宋体" w:eastAsia="宋体" w:cs="宋体"/>
          <w:spacing w:val="-3"/>
          <w:sz w:val="21"/>
          <w:szCs w:val="21"/>
        </w:rPr>
        <w:t>16.1.3</w:t>
      </w:r>
      <w:r>
        <w:rPr>
          <w:rFonts w:ascii="宋体" w:hAnsi="宋体" w:eastAsia="宋体" w:cs="宋体"/>
          <w:spacing w:val="30"/>
          <w:sz w:val="21"/>
          <w:szCs w:val="21"/>
        </w:rPr>
        <w:t xml:space="preserve"> </w:t>
      </w:r>
      <w:r>
        <w:rPr>
          <w:rFonts w:ascii="宋体" w:hAnsi="宋体" w:eastAsia="宋体" w:cs="宋体"/>
          <w:spacing w:val="-3"/>
          <w:sz w:val="21"/>
          <w:szCs w:val="21"/>
        </w:rPr>
        <w:t>因发包人违约解除合同</w:t>
      </w:r>
    </w:p>
    <w:p w14:paraId="1DDEA38C">
      <w:pPr>
        <w:spacing w:before="141" w:line="345" w:lineRule="auto"/>
        <w:ind w:left="25" w:right="4" w:firstLine="419"/>
        <w:rPr>
          <w:rFonts w:ascii="宋体" w:hAnsi="宋体" w:eastAsia="宋体" w:cs="宋体"/>
          <w:sz w:val="21"/>
          <w:szCs w:val="21"/>
        </w:rPr>
      </w:pPr>
      <w:r>
        <w:rPr>
          <w:rFonts w:ascii="宋体" w:hAnsi="宋体" w:eastAsia="宋体" w:cs="宋体"/>
          <w:spacing w:val="-1"/>
          <w:sz w:val="21"/>
          <w:szCs w:val="21"/>
        </w:rPr>
        <w:t>承包人按</w:t>
      </w:r>
      <w:r>
        <w:rPr>
          <w:rFonts w:ascii="宋体" w:hAnsi="宋体" w:eastAsia="宋体" w:cs="宋体"/>
          <w:spacing w:val="-22"/>
          <w:sz w:val="21"/>
          <w:szCs w:val="21"/>
        </w:rPr>
        <w:t xml:space="preserve"> </w:t>
      </w:r>
      <w:r>
        <w:rPr>
          <w:rFonts w:ascii="宋体" w:hAnsi="宋体" w:eastAsia="宋体" w:cs="宋体"/>
          <w:spacing w:val="-1"/>
          <w:sz w:val="21"/>
          <w:szCs w:val="21"/>
        </w:rPr>
        <w:t>16.1.1</w:t>
      </w:r>
      <w:r>
        <w:rPr>
          <w:rFonts w:ascii="宋体" w:hAnsi="宋体" w:eastAsia="宋体" w:cs="宋体"/>
          <w:spacing w:val="-33"/>
          <w:sz w:val="21"/>
          <w:szCs w:val="21"/>
        </w:rPr>
        <w:t xml:space="preserve"> </w:t>
      </w:r>
      <w:r>
        <w:rPr>
          <w:rFonts w:ascii="宋体" w:hAnsi="宋体" w:eastAsia="宋体" w:cs="宋体"/>
          <w:spacing w:val="-1"/>
          <w:sz w:val="21"/>
          <w:szCs w:val="21"/>
        </w:rPr>
        <w:t>项〔发包人违约的情形〕约定暂停施工满</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天后发包人仍</w:t>
      </w:r>
      <w:r>
        <w:rPr>
          <w:rFonts w:ascii="宋体" w:hAnsi="宋体" w:eastAsia="宋体" w:cs="宋体"/>
          <w:spacing w:val="-2"/>
          <w:sz w:val="21"/>
          <w:szCs w:val="21"/>
        </w:rPr>
        <w:t>不纠正</w:t>
      </w:r>
      <w:r>
        <w:rPr>
          <w:rFonts w:ascii="宋体" w:hAnsi="宋体" w:eastAsia="宋体" w:cs="宋体"/>
          <w:spacing w:val="-1"/>
          <w:sz w:val="21"/>
          <w:szCs w:val="21"/>
        </w:rPr>
        <w:t>其违约行为并致使合同目的不能实现的，承包人有权解除合同。</w:t>
      </w:r>
    </w:p>
    <w:p w14:paraId="03C8E418">
      <w:pPr>
        <w:spacing w:line="233" w:lineRule="auto"/>
        <w:ind w:left="31"/>
        <w:outlineLvl w:val="1"/>
        <w:rPr>
          <w:rFonts w:ascii="黑体" w:hAnsi="黑体" w:eastAsia="黑体" w:cs="黑体"/>
          <w:sz w:val="24"/>
          <w:szCs w:val="24"/>
        </w:rPr>
      </w:pPr>
      <w:bookmarkStart w:id="557" w:name="bookmark507"/>
      <w:bookmarkEnd w:id="557"/>
      <w:r>
        <w:rPr>
          <w:rFonts w:ascii="Times New Roman" w:hAnsi="Times New Roman" w:eastAsia="Times New Roman" w:cs="Times New Roman"/>
          <w:b/>
          <w:bCs/>
          <w:spacing w:val="1"/>
          <w:sz w:val="24"/>
          <w:szCs w:val="24"/>
        </w:rPr>
        <w:t xml:space="preserve">16.2  </w:t>
      </w:r>
      <w:r>
        <w:rPr>
          <w:rFonts w:ascii="黑体" w:hAnsi="黑体" w:eastAsia="黑体" w:cs="黑体"/>
          <w:b/>
          <w:bCs/>
          <w:spacing w:val="1"/>
          <w:sz w:val="24"/>
          <w:szCs w:val="24"/>
        </w:rPr>
        <w:t>承包人违约</w:t>
      </w:r>
    </w:p>
    <w:p w14:paraId="5C792A5C">
      <w:pPr>
        <w:spacing w:before="112" w:line="220" w:lineRule="auto"/>
        <w:ind w:left="460"/>
        <w:rPr>
          <w:rFonts w:ascii="宋体" w:hAnsi="宋体" w:eastAsia="宋体" w:cs="宋体"/>
          <w:sz w:val="21"/>
          <w:szCs w:val="21"/>
        </w:rPr>
      </w:pPr>
      <w:r>
        <w:rPr>
          <w:rFonts w:ascii="宋体" w:hAnsi="宋体" w:eastAsia="宋体" w:cs="宋体"/>
          <w:spacing w:val="-2"/>
          <w:sz w:val="21"/>
          <w:szCs w:val="21"/>
        </w:rPr>
        <w:t>16.2.1 承包人违约的情形</w:t>
      </w:r>
    </w:p>
    <w:p w14:paraId="2DDEFD92">
      <w:pPr>
        <w:spacing w:before="155" w:line="220" w:lineRule="auto"/>
        <w:ind w:left="444"/>
        <w:rPr>
          <w:rFonts w:ascii="宋体" w:hAnsi="宋体" w:eastAsia="宋体" w:cs="宋体"/>
          <w:sz w:val="21"/>
          <w:szCs w:val="21"/>
        </w:rPr>
      </w:pPr>
      <w:r>
        <w:rPr>
          <w:rFonts w:ascii="宋体" w:hAnsi="宋体" w:eastAsia="宋体" w:cs="宋体"/>
          <w:spacing w:val="-5"/>
          <w:sz w:val="21"/>
          <w:szCs w:val="21"/>
        </w:rPr>
        <w:t>承包人违约的其他情形：</w:t>
      </w:r>
    </w:p>
    <w:p w14:paraId="69C052B3">
      <w:pPr>
        <w:pStyle w:val="2"/>
        <w:tabs>
          <w:tab w:val="left" w:pos="1381"/>
        </w:tabs>
        <w:spacing w:before="177"/>
        <w:ind w:left="436"/>
      </w:pPr>
      <w:r>
        <w:rPr>
          <w:u w:val="single" w:color="auto"/>
        </w:rPr>
        <w:tab/>
      </w:r>
    </w:p>
    <w:p w14:paraId="74D6543F">
      <w:pPr>
        <w:tabs>
          <w:tab w:val="left" w:pos="7060"/>
        </w:tabs>
        <w:spacing w:before="263"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CD22972">
      <w:pPr>
        <w:spacing w:before="164" w:line="220" w:lineRule="auto"/>
        <w:ind w:left="460"/>
        <w:rPr>
          <w:rFonts w:ascii="宋体" w:hAnsi="宋体" w:eastAsia="宋体" w:cs="宋体"/>
          <w:sz w:val="21"/>
          <w:szCs w:val="21"/>
        </w:rPr>
      </w:pPr>
      <w:r>
        <w:rPr>
          <w:rFonts w:ascii="宋体" w:hAnsi="宋体" w:eastAsia="宋体" w:cs="宋体"/>
          <w:spacing w:val="-2"/>
          <w:sz w:val="21"/>
          <w:szCs w:val="21"/>
        </w:rPr>
        <w:t>16.2.2</w:t>
      </w:r>
      <w:r>
        <w:rPr>
          <w:rFonts w:ascii="宋体" w:hAnsi="宋体" w:eastAsia="宋体" w:cs="宋体"/>
          <w:spacing w:val="-37"/>
          <w:sz w:val="21"/>
          <w:szCs w:val="21"/>
        </w:rPr>
        <w:t xml:space="preserve"> </w:t>
      </w:r>
      <w:r>
        <w:rPr>
          <w:rFonts w:ascii="宋体" w:hAnsi="宋体" w:eastAsia="宋体" w:cs="宋体"/>
          <w:spacing w:val="-2"/>
          <w:sz w:val="21"/>
          <w:szCs w:val="21"/>
        </w:rPr>
        <w:t>承包人违约的责任</w:t>
      </w:r>
    </w:p>
    <w:p w14:paraId="1B6A2CFC">
      <w:pPr>
        <w:spacing w:before="155" w:line="220" w:lineRule="auto"/>
        <w:ind w:left="444"/>
        <w:rPr>
          <w:rFonts w:ascii="宋体" w:hAnsi="宋体" w:eastAsia="宋体" w:cs="宋体"/>
          <w:sz w:val="21"/>
          <w:szCs w:val="21"/>
        </w:rPr>
      </w:pPr>
      <w:r>
        <w:rPr>
          <w:rFonts w:ascii="宋体" w:hAnsi="宋体" w:eastAsia="宋体" w:cs="宋体"/>
          <w:spacing w:val="-3"/>
          <w:sz w:val="21"/>
          <w:szCs w:val="21"/>
        </w:rPr>
        <w:t>承包人违约责任的承担方式和计算方法：</w:t>
      </w:r>
    </w:p>
    <w:p w14:paraId="679ADA57">
      <w:pPr>
        <w:pStyle w:val="2"/>
        <w:tabs>
          <w:tab w:val="left" w:pos="1381"/>
        </w:tabs>
        <w:spacing w:before="162"/>
        <w:ind w:left="436"/>
      </w:pPr>
      <w:r>
        <w:rPr>
          <w:u w:val="single" w:color="auto"/>
        </w:rPr>
        <w:tab/>
      </w:r>
    </w:p>
    <w:p w14:paraId="538ED0D7">
      <w:pPr>
        <w:tabs>
          <w:tab w:val="left" w:pos="7060"/>
        </w:tabs>
        <w:spacing w:before="27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DADFB99">
      <w:pPr>
        <w:spacing w:before="164" w:line="220" w:lineRule="auto"/>
        <w:ind w:left="460"/>
        <w:rPr>
          <w:rFonts w:ascii="宋体" w:hAnsi="宋体" w:eastAsia="宋体" w:cs="宋体"/>
          <w:sz w:val="21"/>
          <w:szCs w:val="21"/>
        </w:rPr>
      </w:pPr>
      <w:r>
        <w:rPr>
          <w:rFonts w:ascii="宋体" w:hAnsi="宋体" w:eastAsia="宋体" w:cs="宋体"/>
          <w:spacing w:val="-3"/>
          <w:sz w:val="21"/>
          <w:szCs w:val="21"/>
        </w:rPr>
        <w:t>16.2.3</w:t>
      </w:r>
      <w:r>
        <w:rPr>
          <w:rFonts w:ascii="宋体" w:hAnsi="宋体" w:eastAsia="宋体" w:cs="宋体"/>
          <w:spacing w:val="30"/>
          <w:sz w:val="21"/>
          <w:szCs w:val="21"/>
        </w:rPr>
        <w:t xml:space="preserve"> </w:t>
      </w:r>
      <w:r>
        <w:rPr>
          <w:rFonts w:ascii="宋体" w:hAnsi="宋体" w:eastAsia="宋体" w:cs="宋体"/>
          <w:spacing w:val="-3"/>
          <w:sz w:val="21"/>
          <w:szCs w:val="21"/>
        </w:rPr>
        <w:t>因承包人违约解除合同</w:t>
      </w:r>
    </w:p>
    <w:p w14:paraId="4BE5F340">
      <w:pPr>
        <w:spacing w:before="140" w:line="220" w:lineRule="auto"/>
        <w:ind w:left="448"/>
        <w:rPr>
          <w:rFonts w:ascii="宋体" w:hAnsi="宋体" w:eastAsia="宋体" w:cs="宋体"/>
          <w:sz w:val="21"/>
          <w:szCs w:val="21"/>
        </w:rPr>
      </w:pPr>
      <w:r>
        <w:rPr>
          <w:rFonts w:ascii="宋体" w:hAnsi="宋体" w:eastAsia="宋体" w:cs="宋体"/>
          <w:spacing w:val="-3"/>
          <w:sz w:val="21"/>
          <w:szCs w:val="21"/>
        </w:rPr>
        <w:t>关于承包人违约解除合同的特别约定：</w:t>
      </w:r>
    </w:p>
    <w:p w14:paraId="3AF9E190">
      <w:pPr>
        <w:pStyle w:val="2"/>
        <w:spacing w:line="312" w:lineRule="auto"/>
      </w:pPr>
    </w:p>
    <w:p w14:paraId="7865FCDD">
      <w:pPr>
        <w:pStyle w:val="2"/>
        <w:spacing w:line="312" w:lineRule="auto"/>
      </w:pPr>
      <w:r>
        <w:pict>
          <v:shape id="_x0000_s1192" o:spid="_x0000_s1192" style="position:absolute;left:0pt;margin-left:21.8pt;margin-top:2.55pt;height:0.8pt;width:47.3pt;z-index:251837440;mso-width-relative:page;mso-height-relative:page;" fillcolor="#000000" filled="t" stroked="f" coordsize="945,16" path="m0,15l945,15,945,0,0,0,0,15xe">
            <v:path/>
            <v:fill on="t" focussize="0,0"/>
            <v:stroke on="f"/>
            <v:imagedata o:title=""/>
            <o:lock v:ext="edit"/>
          </v:shape>
        </w:pict>
      </w:r>
    </w:p>
    <w:p w14:paraId="1F6A3405">
      <w:pPr>
        <w:spacing w:before="68" w:line="46" w:lineRule="exact"/>
        <w:ind w:left="7088"/>
        <w:rPr>
          <w:rFonts w:ascii="宋体" w:hAnsi="宋体" w:eastAsia="宋体" w:cs="宋体"/>
          <w:sz w:val="21"/>
          <w:szCs w:val="21"/>
        </w:rPr>
      </w:pPr>
      <w:r>
        <w:pict>
          <v:shape id="_x0000_s1193" o:spid="_x0000_s1193" o:spt="202" type="#_x0000_t202" style="position:absolute;left:0pt;margin-left:-0.2pt;margin-top:-3.3pt;height:53.25pt;width:418.35pt;z-index:251835392;mso-width-relative:page;mso-height-relative:page;" filled="f" stroked="f" coordsize="21600,21600">
            <v:path/>
            <v:fill on="f" focussize="0,0"/>
            <v:stroke on="f"/>
            <v:imagedata o:title=""/>
            <o:lock v:ext="edit" aspectratio="f"/>
            <v:textbox inset="0mm,0mm,0mm,0mm">
              <w:txbxContent>
                <w:p w14:paraId="4C20108E">
                  <w:pPr>
                    <w:pStyle w:val="2"/>
                    <w:tabs>
                      <w:tab w:val="left" w:pos="7064"/>
                    </w:tabs>
                    <w:spacing w:before="19"/>
                    <w:ind w:left="20"/>
                  </w:pPr>
                  <w:r>
                    <w:rPr>
                      <w:u w:val="single" w:color="auto"/>
                    </w:rPr>
                    <w:tab/>
                  </w:r>
                </w:p>
                <w:p w14:paraId="09E6EFB4">
                  <w:pPr>
                    <w:spacing w:before="127" w:line="297" w:lineRule="auto"/>
                    <w:ind w:left="51" w:right="20" w:firstLine="400"/>
                    <w:rPr>
                      <w:rFonts w:ascii="宋体" w:hAnsi="宋体" w:eastAsia="宋体" w:cs="宋体"/>
                      <w:sz w:val="21"/>
                      <w:szCs w:val="21"/>
                    </w:rPr>
                  </w:pPr>
                  <w:r>
                    <w:rPr>
                      <w:rFonts w:ascii="宋体" w:hAnsi="宋体" w:eastAsia="宋体" w:cs="宋体"/>
                      <w:spacing w:val="-2"/>
                      <w:sz w:val="21"/>
                      <w:szCs w:val="21"/>
                    </w:rPr>
                    <w:t>发包人继续使用承包人在施工现场的材料、设备、临时工程、</w:t>
                  </w:r>
                  <w:r>
                    <w:rPr>
                      <w:rFonts w:ascii="宋体" w:hAnsi="宋体" w:eastAsia="宋体" w:cs="宋体"/>
                      <w:spacing w:val="-3"/>
                      <w:sz w:val="21"/>
                      <w:szCs w:val="21"/>
                    </w:rPr>
                    <w:t>承包人文件和由承包人或</w:t>
                  </w:r>
                  <w:r>
                    <w:rPr>
                      <w:rFonts w:ascii="宋体" w:hAnsi="宋体" w:eastAsia="宋体" w:cs="宋体"/>
                      <w:spacing w:val="-2"/>
                      <w:sz w:val="21"/>
                      <w:szCs w:val="21"/>
                    </w:rPr>
                    <w:t>以其名义编制的其他文件的费用承担方式：</w:t>
                  </w:r>
                </w:p>
              </w:txbxContent>
            </v:textbox>
          </v:shape>
        </w:pict>
      </w:r>
      <w:r>
        <w:rPr>
          <w:rFonts w:ascii="宋体" w:hAnsi="宋体" w:eastAsia="宋体" w:cs="宋体"/>
          <w:position w:val="-1"/>
          <w:sz w:val="21"/>
          <w:szCs w:val="21"/>
        </w:rPr>
        <w:t>。</w:t>
      </w:r>
    </w:p>
    <w:p w14:paraId="558A8015">
      <w:pPr>
        <w:pStyle w:val="2"/>
        <w:spacing w:line="244" w:lineRule="auto"/>
      </w:pPr>
    </w:p>
    <w:p w14:paraId="2340E3EB">
      <w:pPr>
        <w:pStyle w:val="2"/>
        <w:spacing w:line="244" w:lineRule="auto"/>
      </w:pPr>
    </w:p>
    <w:p w14:paraId="0290420E">
      <w:pPr>
        <w:pStyle w:val="2"/>
        <w:spacing w:line="245" w:lineRule="auto"/>
      </w:pPr>
    </w:p>
    <w:p w14:paraId="71D8A0AE">
      <w:pPr>
        <w:pStyle w:val="2"/>
        <w:spacing w:line="245" w:lineRule="auto"/>
      </w:pPr>
    </w:p>
    <w:p w14:paraId="0F15F2EA">
      <w:pPr>
        <w:pStyle w:val="2"/>
        <w:spacing w:line="245" w:lineRule="auto"/>
      </w:pPr>
      <w:r>
        <w:pict>
          <v:shape id="_x0000_s1194" o:spid="_x0000_s1194" style="position:absolute;left:0pt;margin-left:21.8pt;margin-top:12.3pt;height:0.75pt;width:47.3pt;z-index:251838464;mso-width-relative:page;mso-height-relative:page;" fillcolor="#000000" filled="t" stroked="f" coordsize="945,15" path="m0,15l945,15,945,0,0,0,0,15xe">
            <v:path/>
            <v:fill on="t" focussize="0,0"/>
            <v:stroke on="f"/>
            <v:imagedata o:title=""/>
            <o:lock v:ext="edit"/>
          </v:shape>
        </w:pict>
      </w:r>
    </w:p>
    <w:p w14:paraId="55DC4C36">
      <w:pPr>
        <w:pStyle w:val="2"/>
        <w:spacing w:line="245" w:lineRule="auto"/>
      </w:pPr>
    </w:p>
    <w:p w14:paraId="25FD5D22">
      <w:pPr>
        <w:spacing w:before="69" w:line="45" w:lineRule="exact"/>
        <w:ind w:left="7088"/>
        <w:rPr>
          <w:rFonts w:ascii="宋体" w:hAnsi="宋体" w:eastAsia="宋体" w:cs="宋体"/>
          <w:sz w:val="21"/>
          <w:szCs w:val="21"/>
        </w:rPr>
      </w:pPr>
      <w:r>
        <w:pict>
          <v:shape id="_x0000_s1195" o:spid="_x0000_s1195" o:spt="202" type="#_x0000_t202" style="position:absolute;left:0pt;margin-left:-0.2pt;margin-top:-3.25pt;height:59.8pt;width:354.25pt;z-index:251836416;mso-width-relative:page;mso-height-relative:page;" filled="f" stroked="f" coordsize="21600,21600">
            <v:path/>
            <v:fill on="f" focussize="0,0"/>
            <v:stroke on="f"/>
            <v:imagedata o:title=""/>
            <o:lock v:ext="edit" aspectratio="f"/>
            <v:textbox inset="0mm,0mm,0mm,0mm">
              <w:txbxContent>
                <w:p w14:paraId="72A24A3B">
                  <w:pPr>
                    <w:pStyle w:val="2"/>
                    <w:tabs>
                      <w:tab w:val="left" w:pos="7064"/>
                    </w:tabs>
                    <w:spacing w:before="19"/>
                    <w:ind w:left="20"/>
                  </w:pPr>
                  <w:r>
                    <w:rPr>
                      <w:u w:val="single" w:color="auto"/>
                    </w:rPr>
                    <w:tab/>
                  </w:r>
                </w:p>
                <w:p w14:paraId="721C9863">
                  <w:pPr>
                    <w:spacing w:before="182" w:line="236" w:lineRule="auto"/>
                    <w:ind w:left="38"/>
                    <w:outlineLvl w:val="0"/>
                    <w:rPr>
                      <w:rFonts w:ascii="黑体" w:hAnsi="黑体" w:eastAsia="黑体" w:cs="黑体"/>
                      <w:sz w:val="28"/>
                      <w:szCs w:val="28"/>
                    </w:rPr>
                  </w:pPr>
                  <w:bookmarkStart w:id="718" w:name="bookmark509"/>
                  <w:bookmarkEnd w:id="718"/>
                  <w:bookmarkStart w:id="719" w:name="bookmark508"/>
                  <w:bookmarkEnd w:id="719"/>
                  <w:r>
                    <w:rPr>
                      <w:rFonts w:ascii="Times New Roman" w:hAnsi="Times New Roman" w:eastAsia="Times New Roman" w:cs="Times New Roman"/>
                      <w:b/>
                      <w:bCs/>
                      <w:spacing w:val="3"/>
                      <w:sz w:val="28"/>
                      <w:szCs w:val="28"/>
                    </w:rPr>
                    <w:t>17.</w:t>
                  </w:r>
                  <w:r>
                    <w:rPr>
                      <w:rFonts w:ascii="Times New Roman" w:hAnsi="Times New Roman" w:eastAsia="Times New Roman" w:cs="Times New Roman"/>
                      <w:b/>
                      <w:bCs/>
                      <w:spacing w:val="74"/>
                      <w:sz w:val="28"/>
                      <w:szCs w:val="28"/>
                    </w:rPr>
                    <w:t xml:space="preserve"> </w:t>
                  </w:r>
                  <w:r>
                    <w:rPr>
                      <w:rFonts w:ascii="黑体" w:hAnsi="黑体" w:eastAsia="黑体" w:cs="黑体"/>
                      <w:b/>
                      <w:bCs/>
                      <w:spacing w:val="3"/>
                      <w:sz w:val="28"/>
                      <w:szCs w:val="28"/>
                    </w:rPr>
                    <w:t>不可抗力</w:t>
                  </w:r>
                </w:p>
                <w:p w14:paraId="6E2BCF84">
                  <w:pPr>
                    <w:spacing w:before="71" w:line="232" w:lineRule="auto"/>
                    <w:ind w:left="35"/>
                    <w:outlineLvl w:val="1"/>
                    <w:rPr>
                      <w:rFonts w:ascii="黑体" w:hAnsi="黑体" w:eastAsia="黑体" w:cs="黑体"/>
                      <w:sz w:val="24"/>
                      <w:szCs w:val="24"/>
                    </w:rPr>
                  </w:pPr>
                  <w:bookmarkStart w:id="720" w:name="bookmark719"/>
                  <w:bookmarkEnd w:id="720"/>
                  <w:r>
                    <w:rPr>
                      <w:rFonts w:ascii="Times New Roman" w:hAnsi="Times New Roman" w:eastAsia="Times New Roman" w:cs="Times New Roman"/>
                      <w:b/>
                      <w:bCs/>
                      <w:spacing w:val="1"/>
                      <w:sz w:val="24"/>
                      <w:szCs w:val="24"/>
                    </w:rPr>
                    <w:t xml:space="preserve">17.1  </w:t>
                  </w:r>
                  <w:r>
                    <w:rPr>
                      <w:rFonts w:ascii="黑体" w:hAnsi="黑体" w:eastAsia="黑体" w:cs="黑体"/>
                      <w:b/>
                      <w:bCs/>
                      <w:spacing w:val="1"/>
                      <w:sz w:val="24"/>
                      <w:szCs w:val="24"/>
                    </w:rPr>
                    <w:t>不可抗力的确认</w:t>
                  </w:r>
                </w:p>
              </w:txbxContent>
            </v:textbox>
          </v:shape>
        </w:pict>
      </w:r>
      <w:r>
        <w:rPr>
          <w:rFonts w:ascii="宋体" w:hAnsi="宋体" w:eastAsia="宋体" w:cs="宋体"/>
          <w:position w:val="-1"/>
          <w:sz w:val="21"/>
          <w:szCs w:val="21"/>
        </w:rPr>
        <w:t>。</w:t>
      </w:r>
    </w:p>
    <w:p w14:paraId="603635B6">
      <w:pPr>
        <w:pStyle w:val="2"/>
        <w:spacing w:line="262" w:lineRule="auto"/>
      </w:pPr>
    </w:p>
    <w:p w14:paraId="45A0F900">
      <w:pPr>
        <w:pStyle w:val="2"/>
        <w:spacing w:line="262" w:lineRule="auto"/>
      </w:pPr>
    </w:p>
    <w:p w14:paraId="62C08232">
      <w:pPr>
        <w:pStyle w:val="2"/>
        <w:spacing w:line="262" w:lineRule="auto"/>
      </w:pPr>
    </w:p>
    <w:p w14:paraId="7EF1159B">
      <w:pPr>
        <w:pStyle w:val="2"/>
        <w:spacing w:line="263" w:lineRule="auto"/>
      </w:pPr>
    </w:p>
    <w:p w14:paraId="0D27930D">
      <w:pPr>
        <w:spacing w:before="69" w:line="220" w:lineRule="auto"/>
        <w:ind w:left="457"/>
        <w:rPr>
          <w:rFonts w:ascii="宋体" w:hAnsi="宋体" w:eastAsia="宋体" w:cs="宋体"/>
          <w:sz w:val="21"/>
          <w:szCs w:val="21"/>
        </w:rPr>
      </w:pPr>
      <w:r>
        <w:pict>
          <v:shape id="_x0000_s1196" o:spid="_x0000_s1196" style="position:absolute;left:0pt;margin-left:21.8pt;margin-top:34.2pt;height:0.75pt;width:47.3pt;z-index:251839488;mso-width-relative:page;mso-height-relative:page;" fillcolor="#000000" filled="t" stroked="f" coordsize="945,15" path="m0,15l945,15,945,0,0,0,0,15xe">
            <v:path/>
            <v:fill on="t" focussize="0,0"/>
            <v:stroke on="f"/>
            <v:imagedata o:title=""/>
            <o:lock v:ext="edit"/>
          </v:shape>
        </w:pict>
      </w:r>
      <w:r>
        <w:rPr>
          <w:rFonts w:ascii="宋体" w:hAnsi="宋体" w:eastAsia="宋体" w:cs="宋体"/>
          <w:spacing w:val="-2"/>
          <w:sz w:val="21"/>
          <w:szCs w:val="21"/>
        </w:rPr>
        <w:t>除通用合同条款约定的不可抗力事件之外，视为不可抗力的其他情形：</w:t>
      </w:r>
    </w:p>
    <w:p w14:paraId="40F34F8B">
      <w:pPr>
        <w:spacing w:line="220" w:lineRule="auto"/>
        <w:rPr>
          <w:rFonts w:ascii="宋体" w:hAnsi="宋体" w:eastAsia="宋体" w:cs="宋体"/>
          <w:sz w:val="21"/>
          <w:szCs w:val="21"/>
        </w:rPr>
        <w:sectPr>
          <w:footerReference r:id="rId236" w:type="default"/>
          <w:pgSz w:w="11910" w:h="16845"/>
          <w:pgMar w:top="400" w:right="1781" w:bottom="1110" w:left="1786" w:header="0" w:footer="883" w:gutter="0"/>
          <w:cols w:space="720" w:num="1"/>
        </w:sectPr>
      </w:pPr>
    </w:p>
    <w:p w14:paraId="67F6D251">
      <w:pPr>
        <w:pStyle w:val="2"/>
        <w:spacing w:line="247" w:lineRule="auto"/>
      </w:pPr>
    </w:p>
    <w:p w14:paraId="1B9B4B81">
      <w:pPr>
        <w:pStyle w:val="2"/>
        <w:spacing w:line="247" w:lineRule="auto"/>
      </w:pPr>
    </w:p>
    <w:p w14:paraId="01340792">
      <w:pPr>
        <w:pStyle w:val="2"/>
        <w:spacing w:line="247" w:lineRule="auto"/>
      </w:pPr>
    </w:p>
    <w:p w14:paraId="6D0919E8">
      <w:pPr>
        <w:pStyle w:val="2"/>
        <w:spacing w:line="247" w:lineRule="auto"/>
      </w:pPr>
    </w:p>
    <w:p w14:paraId="49F4F7C2">
      <w:pPr>
        <w:pStyle w:val="2"/>
        <w:spacing w:line="247" w:lineRule="auto"/>
      </w:pPr>
    </w:p>
    <w:p w14:paraId="4E86DDBC">
      <w:pPr>
        <w:spacing w:before="69" w:line="45" w:lineRule="exact"/>
        <w:ind w:left="7088"/>
        <w:rPr>
          <w:rFonts w:ascii="宋体" w:hAnsi="宋体" w:eastAsia="宋体" w:cs="宋体"/>
          <w:sz w:val="21"/>
          <w:szCs w:val="21"/>
        </w:rPr>
      </w:pPr>
      <w:r>
        <w:pict>
          <v:shape id="_x0000_s1197" o:spid="_x0000_s1197" o:spt="202" type="#_x0000_t202" style="position:absolute;left:0pt;margin-left:-0.2pt;margin-top:-3.25pt;height:54.25pt;width:421.85pt;z-index:251840512;mso-width-relative:page;mso-height-relative:page;" filled="f" stroked="f" coordsize="21600,21600">
            <v:path/>
            <v:fill on="f" focussize="0,0"/>
            <v:stroke on="f"/>
            <v:imagedata o:title=""/>
            <o:lock v:ext="edit" aspectratio="f"/>
            <v:textbox inset="0mm,0mm,0mm,0mm">
              <w:txbxContent>
                <w:p w14:paraId="511694CE">
                  <w:pPr>
                    <w:pStyle w:val="2"/>
                    <w:tabs>
                      <w:tab w:val="left" w:pos="7064"/>
                    </w:tabs>
                    <w:spacing w:before="20"/>
                    <w:ind w:left="20"/>
                  </w:pPr>
                  <w:r>
                    <w:rPr>
                      <w:u w:val="single" w:color="auto"/>
                    </w:rPr>
                    <w:tab/>
                  </w:r>
                </w:p>
                <w:p w14:paraId="6154139C">
                  <w:pPr>
                    <w:spacing w:before="117" w:line="232" w:lineRule="auto"/>
                    <w:ind w:left="35"/>
                    <w:outlineLvl w:val="1"/>
                    <w:rPr>
                      <w:rFonts w:ascii="黑体" w:hAnsi="黑体" w:eastAsia="黑体" w:cs="黑体"/>
                      <w:sz w:val="24"/>
                      <w:szCs w:val="24"/>
                    </w:rPr>
                  </w:pPr>
                  <w:bookmarkStart w:id="721" w:name="bookmark510"/>
                  <w:bookmarkEnd w:id="721"/>
                  <w:r>
                    <w:rPr>
                      <w:rFonts w:ascii="Times New Roman" w:hAnsi="Times New Roman" w:eastAsia="Times New Roman" w:cs="Times New Roman"/>
                      <w:b/>
                      <w:bCs/>
                      <w:spacing w:val="1"/>
                      <w:sz w:val="24"/>
                      <w:szCs w:val="24"/>
                    </w:rPr>
                    <w:t xml:space="preserve">17.4  </w:t>
                  </w:r>
                  <w:r>
                    <w:rPr>
                      <w:rFonts w:ascii="黑体" w:hAnsi="黑体" w:eastAsia="黑体" w:cs="黑体"/>
                      <w:b/>
                      <w:bCs/>
                      <w:spacing w:val="1"/>
                      <w:sz w:val="24"/>
                      <w:szCs w:val="24"/>
                    </w:rPr>
                    <w:t>因不可抗力解除合同</w:t>
                  </w:r>
                </w:p>
                <w:p w14:paraId="1948A19C">
                  <w:pPr>
                    <w:spacing w:before="114" w:line="220" w:lineRule="auto"/>
                    <w:ind w:right="16"/>
                    <w:jc w:val="right"/>
                    <w:rPr>
                      <w:rFonts w:ascii="宋体" w:hAnsi="宋体" w:eastAsia="宋体" w:cs="宋体"/>
                      <w:sz w:val="21"/>
                      <w:szCs w:val="21"/>
                    </w:rPr>
                  </w:pPr>
                  <w:r>
                    <w:rPr>
                      <w:rFonts w:ascii="宋体" w:hAnsi="宋体" w:eastAsia="宋体" w:cs="宋体"/>
                      <w:sz w:val="21"/>
                      <w:szCs w:val="21"/>
                    </w:rPr>
                    <w:t>合同解除后，发包人应在商定或确定发包人</w:t>
                  </w:r>
                  <w:r>
                    <w:rPr>
                      <w:rFonts w:ascii="宋体" w:hAnsi="宋体" w:eastAsia="宋体" w:cs="宋体"/>
                      <w:spacing w:val="-1"/>
                      <w:sz w:val="21"/>
                      <w:szCs w:val="21"/>
                    </w:rPr>
                    <w:t>应支付款项后</w:t>
                  </w:r>
                  <w:r>
                    <w:rPr>
                      <w:rFonts w:ascii="宋体" w:hAnsi="宋体" w:eastAsia="宋体" w:cs="宋体"/>
                      <w:spacing w:val="-1"/>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1"/>
                      <w:sz w:val="21"/>
                      <w:szCs w:val="21"/>
                    </w:rPr>
                    <w:t>天内完成款项的支付。</w:t>
                  </w:r>
                </w:p>
              </w:txbxContent>
            </v:textbox>
          </v:shape>
        </w:pict>
      </w:r>
      <w:r>
        <w:rPr>
          <w:rFonts w:ascii="宋体" w:hAnsi="宋体" w:eastAsia="宋体" w:cs="宋体"/>
          <w:position w:val="-1"/>
          <w:sz w:val="21"/>
          <w:szCs w:val="21"/>
        </w:rPr>
        <w:t>。</w:t>
      </w:r>
    </w:p>
    <w:p w14:paraId="5A18DE3B">
      <w:pPr>
        <w:pStyle w:val="2"/>
      </w:pPr>
    </w:p>
    <w:p w14:paraId="6B7F91C6">
      <w:pPr>
        <w:pStyle w:val="2"/>
        <w:spacing w:line="241" w:lineRule="auto"/>
      </w:pPr>
    </w:p>
    <w:p w14:paraId="7A88C84F">
      <w:pPr>
        <w:pStyle w:val="2"/>
        <w:spacing w:line="241" w:lineRule="auto"/>
      </w:pPr>
    </w:p>
    <w:p w14:paraId="0872A66A">
      <w:pPr>
        <w:pStyle w:val="2"/>
        <w:spacing w:line="241" w:lineRule="auto"/>
      </w:pPr>
    </w:p>
    <w:p w14:paraId="51D2C35B">
      <w:pPr>
        <w:spacing w:before="91" w:line="237" w:lineRule="auto"/>
        <w:ind w:left="34"/>
        <w:outlineLvl w:val="0"/>
        <w:rPr>
          <w:rFonts w:ascii="黑体" w:hAnsi="黑体" w:eastAsia="黑体" w:cs="黑体"/>
          <w:sz w:val="28"/>
          <w:szCs w:val="28"/>
        </w:rPr>
      </w:pPr>
      <w:bookmarkStart w:id="558" w:name="bookmark511"/>
      <w:bookmarkEnd w:id="558"/>
      <w:bookmarkStart w:id="559" w:name="bookmark512"/>
      <w:bookmarkEnd w:id="559"/>
      <w:r>
        <w:rPr>
          <w:rFonts w:ascii="Times New Roman" w:hAnsi="Times New Roman" w:eastAsia="Times New Roman" w:cs="Times New Roman"/>
          <w:b/>
          <w:bCs/>
          <w:spacing w:val="2"/>
          <w:sz w:val="28"/>
          <w:szCs w:val="28"/>
        </w:rPr>
        <w:t>18.</w:t>
      </w:r>
      <w:r>
        <w:rPr>
          <w:rFonts w:ascii="Times New Roman" w:hAnsi="Times New Roman" w:eastAsia="Times New Roman" w:cs="Times New Roman"/>
          <w:b/>
          <w:bCs/>
          <w:spacing w:val="65"/>
          <w:w w:val="101"/>
          <w:sz w:val="28"/>
          <w:szCs w:val="28"/>
        </w:rPr>
        <w:t xml:space="preserve"> </w:t>
      </w:r>
      <w:r>
        <w:rPr>
          <w:rFonts w:ascii="黑体" w:hAnsi="黑体" w:eastAsia="黑体" w:cs="黑体"/>
          <w:b/>
          <w:bCs/>
          <w:spacing w:val="2"/>
          <w:sz w:val="28"/>
          <w:szCs w:val="28"/>
        </w:rPr>
        <w:t>保险</w:t>
      </w:r>
    </w:p>
    <w:p w14:paraId="7910E9EC">
      <w:pPr>
        <w:spacing w:before="68" w:line="233" w:lineRule="auto"/>
        <w:ind w:left="31"/>
        <w:outlineLvl w:val="1"/>
        <w:rPr>
          <w:rFonts w:ascii="黑体" w:hAnsi="黑体" w:eastAsia="黑体" w:cs="黑体"/>
          <w:sz w:val="24"/>
          <w:szCs w:val="24"/>
        </w:rPr>
      </w:pPr>
      <w:bookmarkStart w:id="560" w:name="bookmark720"/>
      <w:bookmarkEnd w:id="560"/>
      <w:r>
        <w:rPr>
          <w:rFonts w:ascii="Times New Roman" w:hAnsi="Times New Roman" w:eastAsia="Times New Roman" w:cs="Times New Roman"/>
          <w:b/>
          <w:bCs/>
          <w:spacing w:val="2"/>
          <w:sz w:val="24"/>
          <w:szCs w:val="24"/>
        </w:rPr>
        <w:t xml:space="preserve">18.1  </w:t>
      </w:r>
      <w:r>
        <w:rPr>
          <w:rFonts w:ascii="黑体" w:hAnsi="黑体" w:eastAsia="黑体" w:cs="黑体"/>
          <w:b/>
          <w:bCs/>
          <w:spacing w:val="2"/>
          <w:sz w:val="24"/>
          <w:szCs w:val="24"/>
        </w:rPr>
        <w:t>工程保险</w:t>
      </w:r>
    </w:p>
    <w:p w14:paraId="58110B6C">
      <w:pPr>
        <w:spacing w:before="128" w:line="220" w:lineRule="auto"/>
        <w:ind w:left="448"/>
        <w:rPr>
          <w:rFonts w:ascii="宋体" w:hAnsi="宋体" w:eastAsia="宋体" w:cs="宋体"/>
          <w:sz w:val="21"/>
          <w:szCs w:val="21"/>
        </w:rPr>
      </w:pPr>
      <w:r>
        <w:rPr>
          <w:rFonts w:ascii="宋体" w:hAnsi="宋体" w:eastAsia="宋体" w:cs="宋体"/>
          <w:spacing w:val="-5"/>
          <w:sz w:val="21"/>
          <w:szCs w:val="21"/>
        </w:rPr>
        <w:t>关于工程保险的特别约定：</w:t>
      </w:r>
    </w:p>
    <w:p w14:paraId="503832CF">
      <w:pPr>
        <w:pStyle w:val="2"/>
        <w:spacing w:line="304" w:lineRule="auto"/>
      </w:pPr>
    </w:p>
    <w:p w14:paraId="30971AF9">
      <w:pPr>
        <w:pStyle w:val="2"/>
        <w:spacing w:line="305" w:lineRule="auto"/>
      </w:pPr>
      <w:r>
        <w:pict>
          <v:shape id="_x0000_s1198" o:spid="_x0000_s1198" style="position:absolute;left:0pt;margin-left:21.8pt;margin-top:3pt;height:0.75pt;width:47.3pt;z-index:251845632;mso-width-relative:page;mso-height-relative:page;" fillcolor="#000000" filled="t" stroked="f" coordsize="945,15" path="m0,15l945,15,945,0,0,0,0,15xe">
            <v:path/>
            <v:fill on="t" focussize="0,0"/>
            <v:stroke on="f"/>
            <v:imagedata o:title=""/>
            <o:lock v:ext="edit"/>
          </v:shape>
        </w:pict>
      </w:r>
    </w:p>
    <w:p w14:paraId="52A61441">
      <w:pPr>
        <w:spacing w:before="69" w:line="45" w:lineRule="exact"/>
        <w:ind w:left="7088"/>
        <w:rPr>
          <w:rFonts w:ascii="宋体" w:hAnsi="宋体" w:eastAsia="宋体" w:cs="宋体"/>
          <w:sz w:val="21"/>
          <w:szCs w:val="21"/>
        </w:rPr>
      </w:pPr>
      <w:r>
        <w:pict>
          <v:shape id="_x0000_s1199" o:spid="_x0000_s1199" o:spt="202" type="#_x0000_t202" style="position:absolute;left:0pt;margin-left:-0.2pt;margin-top:-3.25pt;height:35.15pt;width:354.25pt;z-index:251842560;mso-width-relative:page;mso-height-relative:page;" filled="f" stroked="f" coordsize="21600,21600">
            <v:path/>
            <v:fill on="f" focussize="0,0"/>
            <v:stroke on="f"/>
            <v:imagedata o:title=""/>
            <o:lock v:ext="edit" aspectratio="f"/>
            <v:textbox inset="0mm,0mm,0mm,0mm">
              <w:txbxContent>
                <w:p w14:paraId="1741243A">
                  <w:pPr>
                    <w:pStyle w:val="2"/>
                    <w:tabs>
                      <w:tab w:val="left" w:pos="7064"/>
                    </w:tabs>
                    <w:spacing w:before="20"/>
                    <w:ind w:left="20"/>
                  </w:pPr>
                  <w:r>
                    <w:rPr>
                      <w:u w:val="single" w:color="auto"/>
                    </w:rPr>
                    <w:tab/>
                  </w:r>
                </w:p>
                <w:p w14:paraId="6BCE24C2">
                  <w:pPr>
                    <w:spacing w:before="117" w:line="233" w:lineRule="auto"/>
                    <w:ind w:left="35"/>
                    <w:outlineLvl w:val="1"/>
                    <w:rPr>
                      <w:rFonts w:ascii="黑体" w:hAnsi="黑体" w:eastAsia="黑体" w:cs="黑体"/>
                      <w:sz w:val="24"/>
                      <w:szCs w:val="24"/>
                    </w:rPr>
                  </w:pPr>
                  <w:bookmarkStart w:id="722" w:name="bookmark513"/>
                  <w:bookmarkEnd w:id="722"/>
                  <w:r>
                    <w:rPr>
                      <w:rFonts w:ascii="Times New Roman" w:hAnsi="Times New Roman" w:eastAsia="Times New Roman" w:cs="Times New Roman"/>
                      <w:b/>
                      <w:bCs/>
                      <w:spacing w:val="2"/>
                      <w:sz w:val="24"/>
                      <w:szCs w:val="24"/>
                    </w:rPr>
                    <w:t xml:space="preserve">18.3  </w:t>
                  </w:r>
                  <w:r>
                    <w:rPr>
                      <w:rFonts w:ascii="黑体" w:hAnsi="黑体" w:eastAsia="黑体" w:cs="黑体"/>
                      <w:b/>
                      <w:bCs/>
                      <w:spacing w:val="2"/>
                      <w:sz w:val="24"/>
                      <w:szCs w:val="24"/>
                    </w:rPr>
                    <w:t>其他保险</w:t>
                  </w:r>
                </w:p>
              </w:txbxContent>
            </v:textbox>
          </v:shape>
        </w:pict>
      </w:r>
      <w:r>
        <w:rPr>
          <w:rFonts w:ascii="宋体" w:hAnsi="宋体" w:eastAsia="宋体" w:cs="宋体"/>
          <w:position w:val="-1"/>
          <w:sz w:val="21"/>
          <w:szCs w:val="21"/>
        </w:rPr>
        <w:t>。</w:t>
      </w:r>
    </w:p>
    <w:p w14:paraId="2A48E049">
      <w:pPr>
        <w:pStyle w:val="2"/>
        <w:spacing w:line="279" w:lineRule="auto"/>
      </w:pPr>
    </w:p>
    <w:p w14:paraId="3BDBF6EC">
      <w:pPr>
        <w:pStyle w:val="2"/>
        <w:spacing w:line="279" w:lineRule="auto"/>
      </w:pPr>
    </w:p>
    <w:p w14:paraId="7EA156FF">
      <w:pPr>
        <w:spacing w:before="69" w:line="220" w:lineRule="auto"/>
        <w:ind w:left="448"/>
        <w:rPr>
          <w:rFonts w:ascii="宋体" w:hAnsi="宋体" w:eastAsia="宋体" w:cs="宋体"/>
          <w:sz w:val="21"/>
          <w:szCs w:val="21"/>
        </w:rPr>
      </w:pPr>
      <w:r>
        <w:rPr>
          <w:rFonts w:ascii="宋体" w:hAnsi="宋体" w:eastAsia="宋体" w:cs="宋体"/>
          <w:spacing w:val="-5"/>
          <w:sz w:val="21"/>
          <w:szCs w:val="21"/>
        </w:rPr>
        <w:t>关于其他保险的约定：</w:t>
      </w:r>
    </w:p>
    <w:p w14:paraId="0B22DFB7">
      <w:pPr>
        <w:pStyle w:val="2"/>
        <w:spacing w:line="304" w:lineRule="auto"/>
      </w:pPr>
    </w:p>
    <w:p w14:paraId="1F3EDACA">
      <w:pPr>
        <w:pStyle w:val="2"/>
        <w:spacing w:line="304" w:lineRule="auto"/>
      </w:pPr>
      <w:r>
        <w:pict>
          <v:shape id="_x0000_s1200" o:spid="_x0000_s1200" style="position:absolute;left:0pt;margin-left:21.8pt;margin-top:2.2pt;height:0.75pt;width:47.3pt;z-index:251846656;mso-width-relative:page;mso-height-relative:page;" fillcolor="#000000" filled="t" stroked="f" coordsize="945,15" path="m0,15l945,15,945,0,0,0,0,15xe">
            <v:path/>
            <v:fill on="t" focussize="0,0"/>
            <v:stroke on="f"/>
            <v:imagedata o:title=""/>
            <o:lock v:ext="edit"/>
          </v:shape>
        </w:pict>
      </w:r>
    </w:p>
    <w:p w14:paraId="352A38AF">
      <w:pPr>
        <w:tabs>
          <w:tab w:val="left" w:pos="7060"/>
        </w:tabs>
        <w:spacing w:before="69"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12B3C1D9">
      <w:pPr>
        <w:spacing w:before="163" w:line="220" w:lineRule="auto"/>
        <w:ind w:left="444"/>
        <w:rPr>
          <w:rFonts w:ascii="宋体" w:hAnsi="宋体" w:eastAsia="宋体" w:cs="宋体"/>
          <w:sz w:val="21"/>
          <w:szCs w:val="21"/>
        </w:rPr>
      </w:pPr>
      <w:r>
        <w:rPr>
          <w:rFonts w:ascii="宋体" w:hAnsi="宋体" w:eastAsia="宋体" w:cs="宋体"/>
          <w:spacing w:val="-3"/>
          <w:sz w:val="21"/>
          <w:szCs w:val="21"/>
        </w:rPr>
        <w:t>承包人是否应为其施工设备等办理财产保险：</w:t>
      </w:r>
    </w:p>
    <w:p w14:paraId="56C8D99F">
      <w:pPr>
        <w:pStyle w:val="2"/>
        <w:spacing w:line="304" w:lineRule="auto"/>
      </w:pPr>
    </w:p>
    <w:p w14:paraId="2D993E3C">
      <w:pPr>
        <w:pStyle w:val="2"/>
        <w:spacing w:line="305" w:lineRule="auto"/>
      </w:pPr>
      <w:r>
        <w:pict>
          <v:shape id="_x0000_s1201" o:spid="_x0000_s1201" style="position:absolute;left:0pt;margin-left:21.8pt;margin-top:2.25pt;height:0.75pt;width:47.3pt;z-index:251848704;mso-width-relative:page;mso-height-relative:page;" fillcolor="#000000" filled="t" stroked="f" coordsize="945,15" path="m0,15l945,15,945,0,0,0,0,15xe">
            <v:path/>
            <v:fill on="t" focussize="0,0"/>
            <v:stroke on="f"/>
            <v:imagedata o:title=""/>
            <o:lock v:ext="edit"/>
          </v:shape>
        </w:pict>
      </w:r>
    </w:p>
    <w:p w14:paraId="57FD1705">
      <w:pPr>
        <w:spacing w:before="69" w:line="46" w:lineRule="exact"/>
        <w:ind w:left="7088"/>
        <w:rPr>
          <w:rFonts w:ascii="宋体" w:hAnsi="宋体" w:eastAsia="宋体" w:cs="宋体"/>
          <w:sz w:val="21"/>
          <w:szCs w:val="21"/>
        </w:rPr>
      </w:pPr>
      <w:r>
        <w:pict>
          <v:shape id="_x0000_s1202" o:spid="_x0000_s1202" o:spt="202" type="#_x0000_t202" style="position:absolute;left:0pt;margin-left:-0.2pt;margin-top:-3.25pt;height:35.05pt;width:354.25pt;z-index:251843584;mso-width-relative:page;mso-height-relative:page;" filled="f" stroked="f" coordsize="21600,21600">
            <v:path/>
            <v:fill on="f" focussize="0,0"/>
            <v:stroke on="f"/>
            <v:imagedata o:title=""/>
            <o:lock v:ext="edit" aspectratio="f"/>
            <v:textbox inset="0mm,0mm,0mm,0mm">
              <w:txbxContent>
                <w:p w14:paraId="5176EC31">
                  <w:pPr>
                    <w:pStyle w:val="2"/>
                    <w:tabs>
                      <w:tab w:val="left" w:pos="7064"/>
                    </w:tabs>
                    <w:spacing w:before="19"/>
                    <w:ind w:left="20"/>
                  </w:pPr>
                  <w:r>
                    <w:rPr>
                      <w:u w:val="single" w:color="auto"/>
                    </w:rPr>
                    <w:tab/>
                  </w:r>
                </w:p>
                <w:p w14:paraId="5D5ED6A5">
                  <w:pPr>
                    <w:spacing w:before="116" w:line="232" w:lineRule="auto"/>
                    <w:ind w:left="35"/>
                    <w:outlineLvl w:val="1"/>
                    <w:rPr>
                      <w:rFonts w:ascii="黑体" w:hAnsi="黑体" w:eastAsia="黑体" w:cs="黑体"/>
                      <w:sz w:val="24"/>
                      <w:szCs w:val="24"/>
                    </w:rPr>
                  </w:pPr>
                  <w:bookmarkStart w:id="723" w:name="bookmark514"/>
                  <w:bookmarkEnd w:id="723"/>
                  <w:r>
                    <w:rPr>
                      <w:rFonts w:ascii="Times New Roman" w:hAnsi="Times New Roman" w:eastAsia="Times New Roman" w:cs="Times New Roman"/>
                      <w:b/>
                      <w:bCs/>
                      <w:spacing w:val="2"/>
                      <w:sz w:val="24"/>
                      <w:szCs w:val="24"/>
                    </w:rPr>
                    <w:t xml:space="preserve">18.7  </w:t>
                  </w:r>
                  <w:r>
                    <w:rPr>
                      <w:rFonts w:ascii="黑体" w:hAnsi="黑体" w:eastAsia="黑体" w:cs="黑体"/>
                      <w:b/>
                      <w:bCs/>
                      <w:spacing w:val="2"/>
                      <w:sz w:val="24"/>
                      <w:szCs w:val="24"/>
                    </w:rPr>
                    <w:t>通知义务</w:t>
                  </w:r>
                </w:p>
              </w:txbxContent>
            </v:textbox>
          </v:shape>
        </w:pict>
      </w:r>
      <w:r>
        <w:rPr>
          <w:rFonts w:ascii="宋体" w:hAnsi="宋体" w:eastAsia="宋体" w:cs="宋体"/>
          <w:position w:val="-1"/>
          <w:sz w:val="21"/>
          <w:szCs w:val="21"/>
        </w:rPr>
        <w:t>。</w:t>
      </w:r>
    </w:p>
    <w:p w14:paraId="18E0F4F2">
      <w:pPr>
        <w:pStyle w:val="2"/>
        <w:spacing w:line="271" w:lineRule="auto"/>
      </w:pPr>
    </w:p>
    <w:p w14:paraId="63420F56">
      <w:pPr>
        <w:pStyle w:val="2"/>
        <w:spacing w:line="271" w:lineRule="auto"/>
      </w:pPr>
    </w:p>
    <w:p w14:paraId="509CCA14">
      <w:pPr>
        <w:spacing w:before="68" w:line="220" w:lineRule="auto"/>
        <w:ind w:left="448"/>
        <w:rPr>
          <w:rFonts w:ascii="宋体" w:hAnsi="宋体" w:eastAsia="宋体" w:cs="宋体"/>
          <w:sz w:val="21"/>
          <w:szCs w:val="21"/>
        </w:rPr>
      </w:pPr>
      <w:r>
        <w:rPr>
          <w:rFonts w:ascii="宋体" w:hAnsi="宋体" w:eastAsia="宋体" w:cs="宋体"/>
          <w:spacing w:val="-3"/>
          <w:sz w:val="21"/>
          <w:szCs w:val="21"/>
        </w:rPr>
        <w:t>关于变更保险合同时的通知义务的约定：</w:t>
      </w:r>
    </w:p>
    <w:p w14:paraId="7E3F3A1E">
      <w:pPr>
        <w:pStyle w:val="2"/>
        <w:spacing w:line="312" w:lineRule="auto"/>
      </w:pPr>
    </w:p>
    <w:p w14:paraId="3DCAB6E2">
      <w:pPr>
        <w:pStyle w:val="2"/>
        <w:spacing w:line="312" w:lineRule="auto"/>
      </w:pPr>
      <w:r>
        <w:pict>
          <v:shape id="_x0000_s1203" o:spid="_x0000_s1203" style="position:absolute;left:0pt;margin-left:21.8pt;margin-top:2.6pt;height:0.75pt;width:47.3pt;z-index:251847680;mso-width-relative:page;mso-height-relative:page;" fillcolor="#000000" filled="t" stroked="f" coordsize="945,15" path="m0,15l945,15,945,0,0,0,0,15xe">
            <v:path/>
            <v:fill on="t" focussize="0,0"/>
            <v:stroke on="f"/>
            <v:imagedata o:title=""/>
            <o:lock v:ext="edit"/>
          </v:shape>
        </w:pict>
      </w:r>
    </w:p>
    <w:p w14:paraId="6AB3826C">
      <w:pPr>
        <w:spacing w:before="69" w:line="46" w:lineRule="exact"/>
        <w:ind w:left="7088"/>
        <w:rPr>
          <w:rFonts w:ascii="宋体" w:hAnsi="宋体" w:eastAsia="宋体" w:cs="宋体"/>
          <w:sz w:val="21"/>
          <w:szCs w:val="21"/>
        </w:rPr>
      </w:pPr>
      <w:r>
        <w:pict>
          <v:shape id="_x0000_s1204" o:spid="_x0000_s1204" o:spt="202" type="#_x0000_t202" style="position:absolute;left:0pt;margin-left:-0.2pt;margin-top:-3.3pt;height:59.85pt;width:354.25pt;z-index:251841536;mso-width-relative:page;mso-height-relative:page;" filled="f" stroked="f" coordsize="21600,21600">
            <v:path/>
            <v:fill on="f" focussize="0,0"/>
            <v:stroke on="f"/>
            <v:imagedata o:title=""/>
            <o:lock v:ext="edit" aspectratio="f"/>
            <v:textbox inset="0mm,0mm,0mm,0mm">
              <w:txbxContent>
                <w:p w14:paraId="3B557F5D">
                  <w:pPr>
                    <w:pStyle w:val="2"/>
                    <w:tabs>
                      <w:tab w:val="left" w:pos="7064"/>
                    </w:tabs>
                    <w:spacing w:before="19"/>
                    <w:ind w:left="20"/>
                  </w:pPr>
                  <w:r>
                    <w:rPr>
                      <w:u w:val="single" w:color="auto"/>
                    </w:rPr>
                    <w:tab/>
                  </w:r>
                </w:p>
                <w:p w14:paraId="3D59131F">
                  <w:pPr>
                    <w:spacing w:before="167" w:line="237" w:lineRule="auto"/>
                    <w:ind w:left="26"/>
                    <w:outlineLvl w:val="0"/>
                    <w:rPr>
                      <w:rFonts w:ascii="黑体" w:hAnsi="黑体" w:eastAsia="黑体" w:cs="黑体"/>
                      <w:sz w:val="28"/>
                      <w:szCs w:val="28"/>
                    </w:rPr>
                  </w:pPr>
                  <w:bookmarkStart w:id="724" w:name="bookmark515"/>
                  <w:bookmarkEnd w:id="724"/>
                  <w:bookmarkStart w:id="725" w:name="bookmark516"/>
                  <w:bookmarkEnd w:id="725"/>
                  <w:r>
                    <w:rPr>
                      <w:rFonts w:ascii="Times New Roman" w:hAnsi="Times New Roman" w:eastAsia="Times New Roman" w:cs="Times New Roman"/>
                      <w:b/>
                      <w:bCs/>
                      <w:spacing w:val="4"/>
                      <w:sz w:val="28"/>
                      <w:szCs w:val="28"/>
                    </w:rPr>
                    <w:t xml:space="preserve">20.  </w:t>
                  </w:r>
                  <w:r>
                    <w:rPr>
                      <w:rFonts w:ascii="黑体" w:hAnsi="黑体" w:eastAsia="黑体" w:cs="黑体"/>
                      <w:b/>
                      <w:bCs/>
                      <w:spacing w:val="4"/>
                      <w:sz w:val="28"/>
                      <w:szCs w:val="28"/>
                    </w:rPr>
                    <w:t>争议解决</w:t>
                  </w:r>
                </w:p>
                <w:p w14:paraId="0C1DF77E">
                  <w:pPr>
                    <w:spacing w:before="85" w:line="233" w:lineRule="auto"/>
                    <w:ind w:left="25"/>
                    <w:outlineLvl w:val="1"/>
                    <w:rPr>
                      <w:rFonts w:ascii="黑体" w:hAnsi="黑体" w:eastAsia="黑体" w:cs="黑体"/>
                      <w:sz w:val="24"/>
                      <w:szCs w:val="24"/>
                    </w:rPr>
                  </w:pPr>
                  <w:bookmarkStart w:id="726" w:name="bookmark721"/>
                  <w:bookmarkEnd w:id="726"/>
                  <w:r>
                    <w:rPr>
                      <w:rFonts w:ascii="Times New Roman" w:hAnsi="Times New Roman" w:eastAsia="Times New Roman" w:cs="Times New Roman"/>
                      <w:b/>
                      <w:bCs/>
                      <w:spacing w:val="1"/>
                      <w:sz w:val="24"/>
                      <w:szCs w:val="24"/>
                    </w:rPr>
                    <w:t>20.3</w:t>
                  </w:r>
                  <w:r>
                    <w:rPr>
                      <w:rFonts w:ascii="Times New Roman" w:hAnsi="Times New Roman" w:eastAsia="Times New Roman" w:cs="Times New Roman"/>
                      <w:b/>
                      <w:bCs/>
                      <w:spacing w:val="11"/>
                      <w:sz w:val="24"/>
                      <w:szCs w:val="24"/>
                    </w:rPr>
                    <w:t xml:space="preserve">  </w:t>
                  </w:r>
                  <w:r>
                    <w:rPr>
                      <w:rFonts w:ascii="黑体" w:hAnsi="黑体" w:eastAsia="黑体" w:cs="黑体"/>
                      <w:b/>
                      <w:bCs/>
                      <w:spacing w:val="1"/>
                      <w:sz w:val="24"/>
                      <w:szCs w:val="24"/>
                    </w:rPr>
                    <w:t>争议评审</w:t>
                  </w:r>
                </w:p>
              </w:txbxContent>
            </v:textbox>
          </v:shape>
        </w:pict>
      </w:r>
      <w:r>
        <w:rPr>
          <w:rFonts w:ascii="宋体" w:hAnsi="宋体" w:eastAsia="宋体" w:cs="宋体"/>
          <w:position w:val="-1"/>
          <w:sz w:val="21"/>
          <w:szCs w:val="21"/>
        </w:rPr>
        <w:t>。</w:t>
      </w:r>
    </w:p>
    <w:p w14:paraId="684432BA">
      <w:pPr>
        <w:pStyle w:val="2"/>
        <w:spacing w:line="258" w:lineRule="auto"/>
      </w:pPr>
    </w:p>
    <w:p w14:paraId="1A603531">
      <w:pPr>
        <w:pStyle w:val="2"/>
        <w:spacing w:line="259" w:lineRule="auto"/>
      </w:pPr>
    </w:p>
    <w:p w14:paraId="1D321EC6">
      <w:pPr>
        <w:pStyle w:val="2"/>
        <w:spacing w:line="259" w:lineRule="auto"/>
      </w:pPr>
    </w:p>
    <w:p w14:paraId="205925B2">
      <w:pPr>
        <w:pStyle w:val="2"/>
        <w:spacing w:line="259" w:lineRule="auto"/>
      </w:pPr>
    </w:p>
    <w:p w14:paraId="578C4A5F">
      <w:pPr>
        <w:spacing w:before="68" w:line="220" w:lineRule="auto"/>
        <w:ind w:left="445"/>
        <w:rPr>
          <w:rFonts w:ascii="宋体" w:hAnsi="宋体" w:eastAsia="宋体" w:cs="宋体"/>
          <w:sz w:val="21"/>
          <w:szCs w:val="21"/>
        </w:rPr>
      </w:pPr>
      <w:r>
        <w:rPr>
          <w:rFonts w:ascii="宋体" w:hAnsi="宋体" w:eastAsia="宋体" w:cs="宋体"/>
          <w:spacing w:val="-1"/>
          <w:sz w:val="21"/>
          <w:szCs w:val="21"/>
        </w:rPr>
        <w:t>合同当事人是否同意将工程争议提交争议评审小组决定：</w:t>
      </w:r>
    </w:p>
    <w:p w14:paraId="5D5B4A16">
      <w:pPr>
        <w:pStyle w:val="2"/>
        <w:spacing w:line="312" w:lineRule="auto"/>
      </w:pPr>
    </w:p>
    <w:p w14:paraId="4E7C92FE">
      <w:pPr>
        <w:pStyle w:val="2"/>
        <w:spacing w:line="312" w:lineRule="auto"/>
      </w:pPr>
      <w:r>
        <w:pict>
          <v:shape id="_x0000_s1205" o:spid="_x0000_s1205" style="position:absolute;left:0pt;margin-left:21.8pt;margin-top:2.55pt;height:0.75pt;width:47.3pt;z-index:251849728;mso-width-relative:page;mso-height-relative:page;" fillcolor="#000000" filled="t" stroked="f" coordsize="945,15" path="m0,15l945,15,945,0,0,0,0,15xe">
            <v:path/>
            <v:fill on="t" focussize="0,0"/>
            <v:stroke on="f"/>
            <v:imagedata o:title=""/>
            <o:lock v:ext="edit"/>
          </v:shape>
        </w:pict>
      </w:r>
    </w:p>
    <w:p w14:paraId="48C075FA">
      <w:pPr>
        <w:spacing w:before="69" w:line="45" w:lineRule="exact"/>
        <w:ind w:left="7088"/>
        <w:rPr>
          <w:rFonts w:ascii="宋体" w:hAnsi="宋体" w:eastAsia="宋体" w:cs="宋体"/>
          <w:sz w:val="21"/>
          <w:szCs w:val="21"/>
        </w:rPr>
      </w:pPr>
      <w:r>
        <w:pict>
          <v:shape id="_x0000_s1206" o:spid="_x0000_s1206" o:spt="202" type="#_x0000_t202" style="position:absolute;left:0pt;margin-left:-0.2pt;margin-top:-3.3pt;height:33pt;width:354.25pt;z-index:251844608;mso-width-relative:page;mso-height-relative:page;" filled="f" stroked="f" coordsize="21600,21600">
            <v:path/>
            <v:fill on="f" focussize="0,0"/>
            <v:stroke on="f"/>
            <v:imagedata o:title=""/>
            <o:lock v:ext="edit" aspectratio="f"/>
            <v:textbox inset="0mm,0mm,0mm,0mm">
              <w:txbxContent>
                <w:p w14:paraId="5F9E96EE">
                  <w:pPr>
                    <w:pStyle w:val="2"/>
                    <w:tabs>
                      <w:tab w:val="left" w:pos="7064"/>
                    </w:tabs>
                    <w:spacing w:before="19"/>
                    <w:ind w:left="20"/>
                  </w:pPr>
                  <w:r>
                    <w:rPr>
                      <w:u w:val="single" w:color="auto"/>
                    </w:rPr>
                    <w:tab/>
                  </w:r>
                </w:p>
                <w:p w14:paraId="6EAB31E6">
                  <w:pPr>
                    <w:spacing w:before="127" w:line="220" w:lineRule="auto"/>
                    <w:ind w:left="451"/>
                    <w:rPr>
                      <w:rFonts w:ascii="宋体" w:hAnsi="宋体" w:eastAsia="宋体" w:cs="宋体"/>
                      <w:sz w:val="21"/>
                      <w:szCs w:val="21"/>
                    </w:rPr>
                  </w:pPr>
                  <w:r>
                    <w:rPr>
                      <w:rFonts w:ascii="宋体" w:hAnsi="宋体" w:eastAsia="宋体" w:cs="宋体"/>
                      <w:spacing w:val="-1"/>
                      <w:sz w:val="21"/>
                      <w:szCs w:val="21"/>
                    </w:rPr>
                    <w:t>20.3.l 争议评审小组的确定</w:t>
                  </w:r>
                </w:p>
              </w:txbxContent>
            </v:textbox>
          </v:shape>
        </w:pict>
      </w:r>
      <w:r>
        <w:rPr>
          <w:rFonts w:ascii="宋体" w:hAnsi="宋体" w:eastAsia="宋体" w:cs="宋体"/>
          <w:position w:val="-1"/>
          <w:sz w:val="21"/>
          <w:szCs w:val="21"/>
        </w:rPr>
        <w:t>。</w:t>
      </w:r>
    </w:p>
    <w:p w14:paraId="25D3DA85">
      <w:pPr>
        <w:pStyle w:val="2"/>
        <w:spacing w:line="271" w:lineRule="auto"/>
      </w:pPr>
    </w:p>
    <w:p w14:paraId="6CF0039B">
      <w:pPr>
        <w:pStyle w:val="2"/>
        <w:spacing w:line="271" w:lineRule="auto"/>
      </w:pPr>
    </w:p>
    <w:p w14:paraId="5B69B0FB">
      <w:pPr>
        <w:spacing w:before="69" w:line="220" w:lineRule="auto"/>
        <w:ind w:left="448"/>
        <w:rPr>
          <w:rFonts w:ascii="宋体" w:hAnsi="宋体" w:eastAsia="宋体" w:cs="宋体"/>
          <w:sz w:val="21"/>
          <w:szCs w:val="21"/>
        </w:rPr>
      </w:pPr>
      <w:r>
        <w:rPr>
          <w:rFonts w:ascii="宋体" w:hAnsi="宋体" w:eastAsia="宋体" w:cs="宋体"/>
          <w:sz w:val="21"/>
          <w:szCs w:val="21"/>
        </w:rPr>
        <w:t>争议评审小组成员的确定：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0B09C7E">
      <w:pPr>
        <w:spacing w:before="155" w:line="220" w:lineRule="auto"/>
        <w:ind w:left="443"/>
        <w:rPr>
          <w:rFonts w:ascii="宋体" w:hAnsi="宋体" w:eastAsia="宋体" w:cs="宋体"/>
          <w:sz w:val="21"/>
          <w:szCs w:val="21"/>
        </w:rPr>
      </w:pPr>
      <w:r>
        <w:rPr>
          <w:rFonts w:ascii="宋体" w:hAnsi="宋体" w:eastAsia="宋体" w:cs="宋体"/>
          <w:sz w:val="21"/>
          <w:szCs w:val="21"/>
        </w:rPr>
        <w:t>选定争议评审员的期限：</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0D12160">
      <w:pPr>
        <w:spacing w:before="140" w:line="220" w:lineRule="auto"/>
        <w:ind w:left="448"/>
        <w:rPr>
          <w:rFonts w:ascii="宋体" w:hAnsi="宋体" w:eastAsia="宋体" w:cs="宋体"/>
          <w:sz w:val="21"/>
          <w:szCs w:val="21"/>
        </w:rPr>
      </w:pPr>
      <w:r>
        <w:rPr>
          <w:rFonts w:ascii="宋体" w:hAnsi="宋体" w:eastAsia="宋体" w:cs="宋体"/>
          <w:sz w:val="21"/>
          <w:szCs w:val="21"/>
        </w:rPr>
        <w:t>争议评审小组成员的报酬承担方式：</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526F617">
      <w:pPr>
        <w:spacing w:before="156" w:line="220" w:lineRule="auto"/>
        <w:ind w:left="445"/>
        <w:rPr>
          <w:rFonts w:ascii="宋体" w:hAnsi="宋体" w:eastAsia="宋体" w:cs="宋体"/>
          <w:sz w:val="21"/>
          <w:szCs w:val="21"/>
        </w:rPr>
      </w:pPr>
      <w:r>
        <w:rPr>
          <w:rFonts w:ascii="宋体" w:hAnsi="宋体" w:eastAsia="宋体" w:cs="宋体"/>
          <w:sz w:val="21"/>
          <w:szCs w:val="21"/>
        </w:rPr>
        <w:t>其他事项的约定：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04F7ECDD">
      <w:pPr>
        <w:spacing w:before="154" w:line="220" w:lineRule="auto"/>
        <w:ind w:left="447"/>
        <w:rPr>
          <w:rFonts w:ascii="宋体" w:hAnsi="宋体" w:eastAsia="宋体" w:cs="宋体"/>
          <w:sz w:val="21"/>
          <w:szCs w:val="21"/>
        </w:rPr>
      </w:pPr>
      <w:r>
        <w:rPr>
          <w:rFonts w:ascii="宋体" w:hAnsi="宋体" w:eastAsia="宋体" w:cs="宋体"/>
          <w:spacing w:val="-1"/>
          <w:sz w:val="21"/>
          <w:szCs w:val="21"/>
        </w:rPr>
        <w:t>20.3.2 争议评审小组的决定</w:t>
      </w:r>
    </w:p>
    <w:p w14:paraId="4FB74A5B">
      <w:pPr>
        <w:spacing w:before="141" w:line="219" w:lineRule="auto"/>
        <w:ind w:left="445"/>
        <w:rPr>
          <w:rFonts w:ascii="宋体" w:hAnsi="宋体" w:eastAsia="宋体" w:cs="宋体"/>
          <w:sz w:val="21"/>
          <w:szCs w:val="21"/>
        </w:rPr>
      </w:pPr>
      <w:r>
        <w:rPr>
          <w:rFonts w:ascii="宋体" w:hAnsi="宋体" w:eastAsia="宋体" w:cs="宋体"/>
          <w:sz w:val="21"/>
          <w:szCs w:val="21"/>
        </w:rPr>
        <w:t>合同当事人关于本项的约定：</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85A774B">
      <w:pPr>
        <w:spacing w:before="131" w:line="231" w:lineRule="auto"/>
        <w:ind w:left="21"/>
        <w:outlineLvl w:val="1"/>
        <w:rPr>
          <w:rFonts w:ascii="黑体" w:hAnsi="黑体" w:eastAsia="黑体" w:cs="黑体"/>
          <w:sz w:val="24"/>
          <w:szCs w:val="24"/>
        </w:rPr>
      </w:pPr>
      <w:bookmarkStart w:id="561" w:name="bookmark517"/>
      <w:bookmarkEnd w:id="561"/>
      <w:r>
        <w:rPr>
          <w:rFonts w:ascii="Times New Roman" w:hAnsi="Times New Roman" w:eastAsia="Times New Roman" w:cs="Times New Roman"/>
          <w:b/>
          <w:bCs/>
          <w:spacing w:val="2"/>
          <w:sz w:val="24"/>
          <w:szCs w:val="24"/>
        </w:rPr>
        <w:t xml:space="preserve">20.4 </w:t>
      </w:r>
      <w:r>
        <w:rPr>
          <w:rFonts w:ascii="黑体" w:hAnsi="黑体" w:eastAsia="黑体" w:cs="黑体"/>
          <w:b/>
          <w:bCs/>
          <w:spacing w:val="2"/>
          <w:sz w:val="24"/>
          <w:szCs w:val="24"/>
        </w:rPr>
        <w:t>仲裁或诉讼</w:t>
      </w:r>
    </w:p>
    <w:p w14:paraId="550DEA7F">
      <w:pPr>
        <w:spacing w:before="130" w:line="220" w:lineRule="auto"/>
        <w:ind w:left="461"/>
        <w:rPr>
          <w:rFonts w:ascii="宋体" w:hAnsi="宋体" w:eastAsia="宋体" w:cs="宋体"/>
          <w:sz w:val="21"/>
          <w:szCs w:val="21"/>
        </w:rPr>
      </w:pPr>
      <w:r>
        <w:rPr>
          <w:rFonts w:ascii="宋体" w:hAnsi="宋体" w:eastAsia="宋体" w:cs="宋体"/>
          <w:spacing w:val="-2"/>
          <w:sz w:val="21"/>
          <w:szCs w:val="21"/>
        </w:rPr>
        <w:t>因合同及合同有关事项发生的争议，按下列第</w:t>
      </w:r>
      <w:r>
        <w:rPr>
          <w:rFonts w:ascii="宋体" w:hAnsi="宋体" w:eastAsia="宋体" w:cs="宋体"/>
          <w:spacing w:val="-2"/>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2"/>
          <w:sz w:val="21"/>
          <w:szCs w:val="21"/>
        </w:rPr>
        <w:t>种方式解决：</w:t>
      </w:r>
    </w:p>
    <w:p w14:paraId="65CA6B08">
      <w:pPr>
        <w:spacing w:before="140" w:line="219" w:lineRule="auto"/>
        <w:ind w:left="450"/>
        <w:rPr>
          <w:rFonts w:ascii="宋体" w:hAnsi="宋体" w:eastAsia="宋体" w:cs="宋体"/>
          <w:sz w:val="21"/>
          <w:szCs w:val="21"/>
        </w:rPr>
      </w:pPr>
      <w:r>
        <w:rPr>
          <w:rFonts w:ascii="宋体" w:hAnsi="宋体" w:eastAsia="宋体" w:cs="宋体"/>
          <w:spacing w:val="-6"/>
          <w:sz w:val="21"/>
          <w:szCs w:val="21"/>
        </w:rPr>
        <w:t>（l）向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仲裁委员会申请仲裁；</w:t>
      </w:r>
    </w:p>
    <w:p w14:paraId="7E49108D">
      <w:pPr>
        <w:spacing w:line="219" w:lineRule="auto"/>
        <w:rPr>
          <w:rFonts w:ascii="宋体" w:hAnsi="宋体" w:eastAsia="宋体" w:cs="宋体"/>
          <w:sz w:val="21"/>
          <w:szCs w:val="21"/>
        </w:rPr>
        <w:sectPr>
          <w:footerReference r:id="rId237" w:type="default"/>
          <w:pgSz w:w="11910" w:h="16845"/>
          <w:pgMar w:top="400" w:right="1710" w:bottom="1110" w:left="1786" w:header="0" w:footer="883" w:gutter="0"/>
          <w:cols w:space="720" w:num="1"/>
        </w:sectPr>
      </w:pPr>
    </w:p>
    <w:p w14:paraId="73898498">
      <w:pPr>
        <w:pStyle w:val="2"/>
        <w:spacing w:line="275" w:lineRule="auto"/>
      </w:pPr>
    </w:p>
    <w:p w14:paraId="56DDD7D3">
      <w:pPr>
        <w:pStyle w:val="2"/>
        <w:spacing w:line="275" w:lineRule="auto"/>
      </w:pPr>
    </w:p>
    <w:p w14:paraId="2267A0A7">
      <w:pPr>
        <w:pStyle w:val="2"/>
        <w:spacing w:line="275" w:lineRule="auto"/>
      </w:pPr>
    </w:p>
    <w:p w14:paraId="793562D2">
      <w:pPr>
        <w:pStyle w:val="2"/>
        <w:spacing w:line="276" w:lineRule="auto"/>
      </w:pPr>
    </w:p>
    <w:p w14:paraId="5C9D280A">
      <w:pPr>
        <w:spacing w:before="68" w:line="220" w:lineRule="auto"/>
        <w:ind w:left="450"/>
        <w:rPr>
          <w:rFonts w:ascii="宋体" w:hAnsi="宋体" w:eastAsia="宋体" w:cs="宋体"/>
          <w:sz w:val="21"/>
          <w:szCs w:val="21"/>
        </w:rPr>
      </w:pPr>
      <w:r>
        <w:rPr>
          <w:rFonts w:ascii="宋体" w:hAnsi="宋体" w:eastAsia="宋体" w:cs="宋体"/>
          <w:spacing w:val="-4"/>
          <w:sz w:val="21"/>
          <w:szCs w:val="21"/>
        </w:rPr>
        <w:t>（2）向</w:t>
      </w:r>
      <w:r>
        <w:rPr>
          <w:rFonts w:ascii="宋体" w:hAnsi="宋体" w:eastAsia="宋体" w:cs="宋体"/>
          <w:spacing w:val="-8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人民法院起诉。</w:t>
      </w:r>
    </w:p>
    <w:p w14:paraId="62916E54">
      <w:pPr>
        <w:spacing w:line="220" w:lineRule="auto"/>
        <w:rPr>
          <w:rFonts w:ascii="宋体" w:hAnsi="宋体" w:eastAsia="宋体" w:cs="宋体"/>
          <w:sz w:val="21"/>
          <w:szCs w:val="21"/>
        </w:rPr>
        <w:sectPr>
          <w:footerReference r:id="rId238" w:type="default"/>
          <w:pgSz w:w="11910" w:h="16845"/>
          <w:pgMar w:top="400" w:right="1786" w:bottom="1110" w:left="1786" w:header="0" w:footer="883" w:gutter="0"/>
          <w:cols w:space="720" w:num="1"/>
        </w:sectPr>
      </w:pPr>
    </w:p>
    <w:p w14:paraId="607E1F91">
      <w:pPr>
        <w:pStyle w:val="2"/>
        <w:spacing w:line="274" w:lineRule="auto"/>
      </w:pPr>
    </w:p>
    <w:p w14:paraId="7E3E563E">
      <w:pPr>
        <w:pStyle w:val="2"/>
        <w:spacing w:line="274" w:lineRule="auto"/>
      </w:pPr>
    </w:p>
    <w:p w14:paraId="2C0B02E1">
      <w:pPr>
        <w:pStyle w:val="2"/>
        <w:spacing w:line="274" w:lineRule="auto"/>
      </w:pPr>
    </w:p>
    <w:p w14:paraId="28ED8C6F">
      <w:pPr>
        <w:pStyle w:val="2"/>
        <w:spacing w:line="275" w:lineRule="auto"/>
      </w:pPr>
    </w:p>
    <w:p w14:paraId="30E666A6">
      <w:pPr>
        <w:spacing w:before="101" w:line="225" w:lineRule="auto"/>
        <w:ind w:left="45"/>
        <w:outlineLvl w:val="1"/>
        <w:rPr>
          <w:rFonts w:ascii="黑体" w:hAnsi="黑体" w:eastAsia="黑体" w:cs="黑体"/>
          <w:sz w:val="31"/>
          <w:szCs w:val="31"/>
        </w:rPr>
      </w:pPr>
      <w:bookmarkStart w:id="562" w:name="bookmark518"/>
      <w:bookmarkEnd w:id="562"/>
      <w:r>
        <w:rPr>
          <w:rFonts w:ascii="黑体" w:hAnsi="黑体" w:eastAsia="黑体" w:cs="黑体"/>
          <w:b/>
          <w:bCs/>
          <w:spacing w:val="2"/>
          <w:sz w:val="31"/>
          <w:szCs w:val="31"/>
        </w:rPr>
        <w:t>附件</w:t>
      </w:r>
    </w:p>
    <w:p w14:paraId="33543135">
      <w:pPr>
        <w:pStyle w:val="2"/>
        <w:spacing w:line="407" w:lineRule="auto"/>
      </w:pPr>
    </w:p>
    <w:p w14:paraId="650B3E9F">
      <w:pPr>
        <w:spacing w:before="68" w:line="219" w:lineRule="auto"/>
        <w:ind w:left="445"/>
        <w:rPr>
          <w:rFonts w:ascii="宋体" w:hAnsi="宋体" w:eastAsia="宋体" w:cs="宋体"/>
          <w:sz w:val="21"/>
          <w:szCs w:val="21"/>
        </w:rPr>
      </w:pPr>
      <w:r>
        <w:rPr>
          <w:rFonts w:ascii="宋体" w:hAnsi="宋体" w:eastAsia="宋体" w:cs="宋体"/>
          <w:spacing w:val="-8"/>
          <w:sz w:val="21"/>
          <w:szCs w:val="21"/>
        </w:rPr>
        <w:t>协议书附件：</w:t>
      </w:r>
    </w:p>
    <w:p w14:paraId="4C27FF34">
      <w:pPr>
        <w:spacing w:before="156" w:line="233" w:lineRule="auto"/>
        <w:ind w:left="46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16"/>
          <w:sz w:val="21"/>
          <w:szCs w:val="21"/>
        </w:rPr>
        <w:t xml:space="preserve"> </w:t>
      </w:r>
      <w:r>
        <w:rPr>
          <w:rFonts w:ascii="Times New Roman" w:hAnsi="Times New Roman" w:eastAsia="Times New Roman" w:cs="Times New Roman"/>
          <w:spacing w:val="-3"/>
          <w:sz w:val="21"/>
          <w:szCs w:val="21"/>
        </w:rPr>
        <w:t>1</w:t>
      </w:r>
      <w:r>
        <w:rPr>
          <w:rFonts w:ascii="宋体" w:hAnsi="宋体" w:eastAsia="宋体" w:cs="宋体"/>
          <w:spacing w:val="-3"/>
          <w:sz w:val="21"/>
          <w:szCs w:val="21"/>
        </w:rPr>
        <w:t>：承包人承揽工程项目一览表</w:t>
      </w:r>
    </w:p>
    <w:p w14:paraId="0229E664">
      <w:pPr>
        <w:pStyle w:val="2"/>
        <w:spacing w:line="459" w:lineRule="auto"/>
      </w:pPr>
    </w:p>
    <w:p w14:paraId="2265FC50">
      <w:pPr>
        <w:spacing w:before="68" w:line="219" w:lineRule="auto"/>
        <w:ind w:left="445"/>
        <w:rPr>
          <w:rFonts w:ascii="宋体" w:hAnsi="宋体" w:eastAsia="宋体" w:cs="宋体"/>
          <w:sz w:val="21"/>
          <w:szCs w:val="21"/>
        </w:rPr>
      </w:pPr>
      <w:r>
        <w:rPr>
          <w:rFonts w:ascii="宋体" w:hAnsi="宋体" w:eastAsia="宋体" w:cs="宋体"/>
          <w:spacing w:val="-6"/>
          <w:sz w:val="21"/>
          <w:szCs w:val="21"/>
        </w:rPr>
        <w:t>专用合同条款附件：</w:t>
      </w:r>
    </w:p>
    <w:p w14:paraId="20CA1D5E">
      <w:pPr>
        <w:spacing w:before="157" w:line="233" w:lineRule="auto"/>
        <w:ind w:left="461"/>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32"/>
          <w:sz w:val="21"/>
          <w:szCs w:val="21"/>
        </w:rPr>
        <w:t xml:space="preserve"> </w:t>
      </w:r>
      <w:r>
        <w:rPr>
          <w:rFonts w:ascii="Times New Roman" w:hAnsi="Times New Roman" w:eastAsia="Times New Roman" w:cs="Times New Roman"/>
          <w:spacing w:val="-2"/>
          <w:sz w:val="21"/>
          <w:szCs w:val="21"/>
        </w:rPr>
        <w:t>2</w:t>
      </w:r>
      <w:r>
        <w:rPr>
          <w:rFonts w:ascii="宋体" w:hAnsi="宋体" w:eastAsia="宋体" w:cs="宋体"/>
          <w:spacing w:val="-2"/>
          <w:sz w:val="21"/>
          <w:szCs w:val="21"/>
        </w:rPr>
        <w:t>：发包人供应材料设备一览表</w:t>
      </w:r>
    </w:p>
    <w:p w14:paraId="398BD714">
      <w:pPr>
        <w:spacing w:before="124" w:line="233" w:lineRule="auto"/>
        <w:ind w:left="46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3</w:t>
      </w:r>
      <w:r>
        <w:rPr>
          <w:rFonts w:ascii="宋体" w:hAnsi="宋体" w:eastAsia="宋体" w:cs="宋体"/>
          <w:spacing w:val="-4"/>
          <w:sz w:val="21"/>
          <w:szCs w:val="21"/>
        </w:rPr>
        <w:t>：工程质量保修书</w:t>
      </w:r>
    </w:p>
    <w:p w14:paraId="2A880BAF">
      <w:pPr>
        <w:spacing w:before="141" w:line="233" w:lineRule="auto"/>
        <w:ind w:left="46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33"/>
          <w:sz w:val="21"/>
          <w:szCs w:val="21"/>
        </w:rPr>
        <w:t xml:space="preserve"> </w:t>
      </w:r>
      <w:r>
        <w:rPr>
          <w:rFonts w:ascii="Times New Roman" w:hAnsi="Times New Roman" w:eastAsia="Times New Roman" w:cs="Times New Roman"/>
          <w:spacing w:val="-3"/>
          <w:sz w:val="21"/>
          <w:szCs w:val="21"/>
        </w:rPr>
        <w:t>4</w:t>
      </w:r>
      <w:r>
        <w:rPr>
          <w:rFonts w:ascii="宋体" w:hAnsi="宋体" w:eastAsia="宋体" w:cs="宋体"/>
          <w:spacing w:val="-3"/>
          <w:sz w:val="21"/>
          <w:szCs w:val="21"/>
        </w:rPr>
        <w:t>：主要建设工程文件目录</w:t>
      </w:r>
    </w:p>
    <w:p w14:paraId="4F02E1C1">
      <w:pPr>
        <w:spacing w:before="140" w:line="233" w:lineRule="auto"/>
        <w:ind w:left="461"/>
        <w:rPr>
          <w:rFonts w:ascii="宋体" w:hAnsi="宋体" w:eastAsia="宋体" w:cs="宋体"/>
          <w:sz w:val="21"/>
          <w:szCs w:val="21"/>
        </w:rPr>
      </w:pPr>
      <w:r>
        <w:rPr>
          <w:rFonts w:ascii="宋体" w:hAnsi="宋体" w:eastAsia="宋体" w:cs="宋体"/>
          <w:spacing w:val="-2"/>
          <w:sz w:val="21"/>
          <w:szCs w:val="21"/>
        </w:rPr>
        <w:t>附件</w:t>
      </w:r>
      <w:r>
        <w:rPr>
          <w:rFonts w:ascii="宋体" w:hAnsi="宋体" w:eastAsia="宋体" w:cs="宋体"/>
          <w:spacing w:val="-32"/>
          <w:sz w:val="21"/>
          <w:szCs w:val="21"/>
        </w:rPr>
        <w:t xml:space="preserve"> </w:t>
      </w:r>
      <w:r>
        <w:rPr>
          <w:rFonts w:ascii="Times New Roman" w:hAnsi="Times New Roman" w:eastAsia="Times New Roman" w:cs="Times New Roman"/>
          <w:spacing w:val="-2"/>
          <w:sz w:val="21"/>
          <w:szCs w:val="21"/>
        </w:rPr>
        <w:t>5</w:t>
      </w:r>
      <w:r>
        <w:rPr>
          <w:rFonts w:ascii="宋体" w:hAnsi="宋体" w:eastAsia="宋体" w:cs="宋体"/>
          <w:spacing w:val="-2"/>
          <w:sz w:val="21"/>
          <w:szCs w:val="21"/>
        </w:rPr>
        <w:t>：承包人用于本工程施工的机械设备表</w:t>
      </w:r>
    </w:p>
    <w:p w14:paraId="7B14A5D3">
      <w:pPr>
        <w:spacing w:before="126" w:line="233" w:lineRule="auto"/>
        <w:ind w:left="46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6</w:t>
      </w:r>
      <w:r>
        <w:rPr>
          <w:rFonts w:ascii="宋体" w:hAnsi="宋体" w:eastAsia="宋体" w:cs="宋体"/>
          <w:spacing w:val="-3"/>
          <w:sz w:val="21"/>
          <w:szCs w:val="21"/>
        </w:rPr>
        <w:t>：承包人主要施工管理人员表</w:t>
      </w:r>
    </w:p>
    <w:p w14:paraId="405BE4B1">
      <w:pPr>
        <w:spacing w:before="140" w:line="233" w:lineRule="auto"/>
        <w:ind w:left="461"/>
        <w:rPr>
          <w:rFonts w:ascii="宋体" w:hAnsi="宋体" w:eastAsia="宋体" w:cs="宋体"/>
          <w:sz w:val="21"/>
          <w:szCs w:val="21"/>
        </w:rPr>
      </w:pPr>
      <w:r>
        <w:rPr>
          <w:rFonts w:ascii="宋体" w:hAnsi="宋体" w:eastAsia="宋体" w:cs="宋体"/>
          <w:spacing w:val="-3"/>
          <w:sz w:val="21"/>
          <w:szCs w:val="21"/>
        </w:rPr>
        <w:t>附件</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7</w:t>
      </w:r>
      <w:r>
        <w:rPr>
          <w:rFonts w:ascii="宋体" w:hAnsi="宋体" w:eastAsia="宋体" w:cs="宋体"/>
          <w:spacing w:val="-3"/>
          <w:sz w:val="21"/>
          <w:szCs w:val="21"/>
        </w:rPr>
        <w:t>：分包人主要施工管理人员表</w:t>
      </w:r>
    </w:p>
    <w:p w14:paraId="0776DAD9">
      <w:pPr>
        <w:spacing w:before="140" w:line="233" w:lineRule="auto"/>
        <w:ind w:left="461"/>
        <w:rPr>
          <w:rFonts w:ascii="宋体" w:hAnsi="宋体" w:eastAsia="宋体" w:cs="宋体"/>
          <w:sz w:val="21"/>
          <w:szCs w:val="21"/>
        </w:rPr>
      </w:pPr>
      <w:r>
        <w:rPr>
          <w:rFonts w:ascii="宋体" w:hAnsi="宋体" w:eastAsia="宋体" w:cs="宋体"/>
          <w:spacing w:val="-5"/>
          <w:sz w:val="21"/>
          <w:szCs w:val="21"/>
        </w:rPr>
        <w:t>附件</w:t>
      </w:r>
      <w:r>
        <w:rPr>
          <w:rFonts w:ascii="宋体" w:hAnsi="宋体" w:eastAsia="宋体" w:cs="宋体"/>
          <w:spacing w:val="-25"/>
          <w:sz w:val="21"/>
          <w:szCs w:val="21"/>
        </w:rPr>
        <w:t xml:space="preserve"> </w:t>
      </w:r>
      <w:r>
        <w:rPr>
          <w:rFonts w:ascii="Times New Roman" w:hAnsi="Times New Roman" w:eastAsia="Times New Roman" w:cs="Times New Roman"/>
          <w:spacing w:val="-5"/>
          <w:sz w:val="21"/>
          <w:szCs w:val="21"/>
        </w:rPr>
        <w:t>8</w:t>
      </w:r>
      <w:r>
        <w:rPr>
          <w:rFonts w:ascii="宋体" w:hAnsi="宋体" w:eastAsia="宋体" w:cs="宋体"/>
          <w:spacing w:val="-5"/>
          <w:sz w:val="21"/>
          <w:szCs w:val="21"/>
        </w:rPr>
        <w:t>：履约担保格式</w:t>
      </w:r>
    </w:p>
    <w:p w14:paraId="2BD6FCE4">
      <w:pPr>
        <w:spacing w:before="126" w:line="233" w:lineRule="auto"/>
        <w:ind w:left="461"/>
        <w:rPr>
          <w:rFonts w:ascii="宋体" w:hAnsi="宋体" w:eastAsia="宋体" w:cs="宋体"/>
          <w:sz w:val="21"/>
          <w:szCs w:val="21"/>
        </w:rPr>
      </w:pPr>
      <w:r>
        <w:rPr>
          <w:rFonts w:ascii="宋体" w:hAnsi="宋体" w:eastAsia="宋体" w:cs="宋体"/>
          <w:spacing w:val="-4"/>
          <w:sz w:val="21"/>
          <w:szCs w:val="21"/>
        </w:rPr>
        <w:t>附件</w:t>
      </w:r>
      <w:r>
        <w:rPr>
          <w:rFonts w:ascii="宋体" w:hAnsi="宋体" w:eastAsia="宋体" w:cs="宋体"/>
          <w:spacing w:val="-31"/>
          <w:sz w:val="21"/>
          <w:szCs w:val="21"/>
        </w:rPr>
        <w:t xml:space="preserve"> </w:t>
      </w:r>
      <w:r>
        <w:rPr>
          <w:rFonts w:ascii="Times New Roman" w:hAnsi="Times New Roman" w:eastAsia="Times New Roman" w:cs="Times New Roman"/>
          <w:spacing w:val="-4"/>
          <w:sz w:val="21"/>
          <w:szCs w:val="21"/>
        </w:rPr>
        <w:t>9</w:t>
      </w:r>
      <w:r>
        <w:rPr>
          <w:rFonts w:ascii="宋体" w:hAnsi="宋体" w:eastAsia="宋体" w:cs="宋体"/>
          <w:spacing w:val="-4"/>
          <w:sz w:val="21"/>
          <w:szCs w:val="21"/>
        </w:rPr>
        <w:t>：预付款担保格式</w:t>
      </w:r>
    </w:p>
    <w:p w14:paraId="654FD967">
      <w:pPr>
        <w:spacing w:before="140" w:line="233" w:lineRule="auto"/>
        <w:ind w:left="461"/>
        <w:rPr>
          <w:rFonts w:ascii="宋体" w:hAnsi="宋体" w:eastAsia="宋体" w:cs="宋体"/>
          <w:sz w:val="21"/>
          <w:szCs w:val="21"/>
        </w:rPr>
      </w:pPr>
      <w:r>
        <w:rPr>
          <w:rFonts w:ascii="宋体" w:hAnsi="宋体" w:eastAsia="宋体" w:cs="宋体"/>
          <w:spacing w:val="-5"/>
          <w:sz w:val="21"/>
          <w:szCs w:val="21"/>
        </w:rPr>
        <w:t>附件</w:t>
      </w:r>
      <w:r>
        <w:rPr>
          <w:rFonts w:ascii="宋体" w:hAnsi="宋体" w:eastAsia="宋体" w:cs="宋体"/>
          <w:spacing w:val="-20"/>
          <w:sz w:val="21"/>
          <w:szCs w:val="21"/>
        </w:rPr>
        <w:t xml:space="preserve"> </w:t>
      </w:r>
      <w:r>
        <w:rPr>
          <w:rFonts w:ascii="Times New Roman" w:hAnsi="Times New Roman" w:eastAsia="Times New Roman" w:cs="Times New Roman"/>
          <w:spacing w:val="-5"/>
          <w:sz w:val="21"/>
          <w:szCs w:val="21"/>
        </w:rPr>
        <w:t>10</w:t>
      </w:r>
      <w:r>
        <w:rPr>
          <w:rFonts w:ascii="宋体" w:hAnsi="宋体" w:eastAsia="宋体" w:cs="宋体"/>
          <w:spacing w:val="-5"/>
          <w:sz w:val="21"/>
          <w:szCs w:val="21"/>
        </w:rPr>
        <w:t>：支付担保格式</w:t>
      </w:r>
    </w:p>
    <w:p w14:paraId="6B63DC23">
      <w:pPr>
        <w:spacing w:before="141" w:line="232" w:lineRule="auto"/>
        <w:ind w:left="461"/>
        <w:rPr>
          <w:rFonts w:ascii="宋体" w:hAnsi="宋体" w:eastAsia="宋体" w:cs="宋体"/>
          <w:sz w:val="21"/>
          <w:szCs w:val="21"/>
        </w:rPr>
      </w:pPr>
      <w:r>
        <w:rPr>
          <w:rFonts w:ascii="宋体" w:hAnsi="宋体" w:eastAsia="宋体" w:cs="宋体"/>
          <w:spacing w:val="-6"/>
          <w:sz w:val="21"/>
          <w:szCs w:val="21"/>
        </w:rPr>
        <w:t>附件</w:t>
      </w:r>
      <w:r>
        <w:rPr>
          <w:rFonts w:ascii="宋体" w:hAnsi="宋体" w:eastAsia="宋体" w:cs="宋体"/>
          <w:spacing w:val="-16"/>
          <w:sz w:val="21"/>
          <w:szCs w:val="21"/>
        </w:rPr>
        <w:t xml:space="preserve"> </w:t>
      </w:r>
      <w:r>
        <w:rPr>
          <w:rFonts w:ascii="Times New Roman" w:hAnsi="Times New Roman" w:eastAsia="Times New Roman" w:cs="Times New Roman"/>
          <w:spacing w:val="-6"/>
          <w:sz w:val="21"/>
          <w:szCs w:val="21"/>
        </w:rPr>
        <w:t>11</w:t>
      </w:r>
      <w:r>
        <w:rPr>
          <w:rFonts w:ascii="宋体" w:hAnsi="宋体" w:eastAsia="宋体" w:cs="宋体"/>
          <w:spacing w:val="-6"/>
          <w:sz w:val="21"/>
          <w:szCs w:val="21"/>
        </w:rPr>
        <w:t>：暂估价一览表</w:t>
      </w:r>
    </w:p>
    <w:p w14:paraId="77F5A242">
      <w:pPr>
        <w:pStyle w:val="2"/>
        <w:spacing w:line="329" w:lineRule="auto"/>
      </w:pPr>
    </w:p>
    <w:p w14:paraId="34A24457">
      <w:pPr>
        <w:spacing w:before="91" w:line="225" w:lineRule="auto"/>
        <w:ind w:left="42"/>
        <w:outlineLvl w:val="2"/>
        <w:rPr>
          <w:rFonts w:ascii="黑体" w:hAnsi="黑体" w:eastAsia="黑体" w:cs="黑体"/>
          <w:sz w:val="28"/>
          <w:szCs w:val="28"/>
        </w:rPr>
      </w:pPr>
      <w:bookmarkStart w:id="563" w:name="bookmark519"/>
      <w:bookmarkEnd w:id="563"/>
      <w:r>
        <w:rPr>
          <w:rFonts w:ascii="黑体" w:hAnsi="黑体" w:eastAsia="黑体" w:cs="黑体"/>
          <w:b/>
          <w:bCs/>
          <w:spacing w:val="-9"/>
          <w:sz w:val="28"/>
          <w:szCs w:val="28"/>
        </w:rPr>
        <w:t>附件</w:t>
      </w:r>
      <w:r>
        <w:rPr>
          <w:rFonts w:ascii="黑体" w:hAnsi="黑体" w:eastAsia="黑体" w:cs="黑体"/>
          <w:spacing w:val="-25"/>
          <w:sz w:val="28"/>
          <w:szCs w:val="28"/>
        </w:rPr>
        <w:t xml:space="preserve"> </w:t>
      </w:r>
      <w:r>
        <w:rPr>
          <w:rFonts w:ascii="黑体" w:hAnsi="黑体" w:eastAsia="黑体" w:cs="黑体"/>
          <w:b/>
          <w:bCs/>
          <w:spacing w:val="-9"/>
          <w:sz w:val="28"/>
          <w:szCs w:val="28"/>
        </w:rPr>
        <w:t>1：</w:t>
      </w:r>
    </w:p>
    <w:p w14:paraId="769FC17D">
      <w:pPr>
        <w:pStyle w:val="2"/>
        <w:spacing w:line="406" w:lineRule="auto"/>
      </w:pPr>
    </w:p>
    <w:p w14:paraId="50845660">
      <w:pPr>
        <w:spacing w:before="91" w:line="222" w:lineRule="auto"/>
        <w:ind w:left="2474"/>
        <w:rPr>
          <w:rFonts w:ascii="黑体" w:hAnsi="黑体" w:eastAsia="黑体" w:cs="黑体"/>
          <w:sz w:val="28"/>
          <w:szCs w:val="28"/>
        </w:rPr>
      </w:pPr>
      <w:r>
        <w:rPr>
          <w:rFonts w:ascii="黑体" w:hAnsi="黑体" w:eastAsia="黑体" w:cs="黑体"/>
          <w:spacing w:val="4"/>
          <w:sz w:val="28"/>
          <w:szCs w:val="28"/>
        </w:rPr>
        <w:t>承包人承揽工程项目一览表</w:t>
      </w:r>
    </w:p>
    <w:p w14:paraId="6A76BE2C">
      <w:pPr>
        <w:spacing w:line="222" w:lineRule="auto"/>
        <w:rPr>
          <w:rFonts w:ascii="黑体" w:hAnsi="黑体" w:eastAsia="黑体" w:cs="黑体"/>
          <w:sz w:val="28"/>
          <w:szCs w:val="28"/>
        </w:rPr>
        <w:sectPr>
          <w:footerReference r:id="rId239" w:type="default"/>
          <w:pgSz w:w="11910" w:h="16845"/>
          <w:pgMar w:top="400" w:right="1786" w:bottom="1110" w:left="1786" w:header="0" w:footer="883" w:gutter="0"/>
          <w:cols w:space="720" w:num="1"/>
        </w:sectPr>
      </w:pPr>
    </w:p>
    <w:p w14:paraId="1584AF6A">
      <w:pPr>
        <w:spacing w:before="19"/>
      </w:pPr>
    </w:p>
    <w:p w14:paraId="387DFC96">
      <w:pPr>
        <w:spacing w:before="19"/>
      </w:pPr>
    </w:p>
    <w:p w14:paraId="116DF22C">
      <w:pPr>
        <w:spacing w:before="19"/>
      </w:pPr>
    </w:p>
    <w:p w14:paraId="3C9E55A1">
      <w:pPr>
        <w:spacing w:before="18"/>
      </w:pPr>
    </w:p>
    <w:tbl>
      <w:tblPr>
        <w:tblStyle w:val="5"/>
        <w:tblW w:w="896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6"/>
        <w:gridCol w:w="1122"/>
        <w:gridCol w:w="869"/>
        <w:gridCol w:w="1482"/>
        <w:gridCol w:w="524"/>
        <w:gridCol w:w="958"/>
        <w:gridCol w:w="1212"/>
        <w:gridCol w:w="869"/>
        <w:gridCol w:w="613"/>
        <w:gridCol w:w="531"/>
      </w:tblGrid>
      <w:tr w14:paraId="27110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4" w:hRule="atLeast"/>
        </w:trPr>
        <w:tc>
          <w:tcPr>
            <w:tcW w:w="786" w:type="dxa"/>
            <w:tcBorders>
              <w:top w:val="single" w:color="000000" w:sz="12" w:space="0"/>
              <w:left w:val="single" w:color="000000" w:sz="12" w:space="0"/>
            </w:tcBorders>
            <w:vAlign w:val="top"/>
          </w:tcPr>
          <w:p w14:paraId="4B5AC15D">
            <w:pPr>
              <w:spacing w:line="333" w:lineRule="auto"/>
              <w:rPr>
                <w:rFonts w:ascii="Arial"/>
                <w:sz w:val="21"/>
              </w:rPr>
            </w:pPr>
          </w:p>
          <w:p w14:paraId="6824EEBD">
            <w:pPr>
              <w:pStyle w:val="6"/>
              <w:spacing w:before="68" w:line="385" w:lineRule="auto"/>
              <w:ind w:left="159" w:right="193"/>
              <w:jc w:val="both"/>
              <w:rPr>
                <w:sz w:val="21"/>
                <w:szCs w:val="21"/>
              </w:rPr>
            </w:pPr>
            <w:r>
              <w:rPr>
                <w:spacing w:val="-5"/>
                <w:sz w:val="21"/>
                <w:szCs w:val="21"/>
              </w:rPr>
              <w:t>单位</w:t>
            </w:r>
            <w:r>
              <w:rPr>
                <w:spacing w:val="-6"/>
                <w:sz w:val="21"/>
                <w:szCs w:val="21"/>
              </w:rPr>
              <w:t>工程名称</w:t>
            </w:r>
          </w:p>
        </w:tc>
        <w:tc>
          <w:tcPr>
            <w:tcW w:w="1122" w:type="dxa"/>
            <w:tcBorders>
              <w:top w:val="single" w:color="000000" w:sz="12" w:space="0"/>
            </w:tcBorders>
            <w:vAlign w:val="top"/>
          </w:tcPr>
          <w:p w14:paraId="0FC4B8C2">
            <w:pPr>
              <w:spacing w:line="255" w:lineRule="auto"/>
              <w:rPr>
                <w:rFonts w:ascii="Arial"/>
                <w:sz w:val="21"/>
              </w:rPr>
            </w:pPr>
          </w:p>
          <w:p w14:paraId="7782B631">
            <w:pPr>
              <w:spacing w:line="255" w:lineRule="auto"/>
              <w:rPr>
                <w:rFonts w:ascii="Arial"/>
                <w:sz w:val="21"/>
              </w:rPr>
            </w:pPr>
          </w:p>
          <w:p w14:paraId="4378428C">
            <w:pPr>
              <w:spacing w:line="256" w:lineRule="auto"/>
              <w:rPr>
                <w:rFonts w:ascii="Arial"/>
                <w:sz w:val="21"/>
              </w:rPr>
            </w:pPr>
          </w:p>
          <w:p w14:paraId="20D1626D">
            <w:pPr>
              <w:pStyle w:val="6"/>
              <w:spacing w:before="69" w:line="220" w:lineRule="auto"/>
              <w:ind w:left="148"/>
              <w:rPr>
                <w:sz w:val="21"/>
                <w:szCs w:val="21"/>
              </w:rPr>
            </w:pPr>
            <w:r>
              <w:rPr>
                <w:spacing w:val="-2"/>
                <w:sz w:val="21"/>
                <w:szCs w:val="21"/>
              </w:rPr>
              <w:t>建设规模</w:t>
            </w:r>
          </w:p>
        </w:tc>
        <w:tc>
          <w:tcPr>
            <w:tcW w:w="869" w:type="dxa"/>
            <w:tcBorders>
              <w:top w:val="single" w:color="000000" w:sz="12" w:space="0"/>
            </w:tcBorders>
            <w:vAlign w:val="top"/>
          </w:tcPr>
          <w:p w14:paraId="41CC49D9">
            <w:pPr>
              <w:pStyle w:val="6"/>
              <w:spacing w:before="179" w:line="220" w:lineRule="auto"/>
              <w:ind w:left="122"/>
              <w:rPr>
                <w:sz w:val="21"/>
                <w:szCs w:val="21"/>
              </w:rPr>
            </w:pPr>
            <w:r>
              <w:rPr>
                <w:spacing w:val="-3"/>
                <w:sz w:val="21"/>
                <w:szCs w:val="21"/>
              </w:rPr>
              <w:t>建筑面</w:t>
            </w:r>
          </w:p>
          <w:p w14:paraId="1992113F">
            <w:pPr>
              <w:pStyle w:val="6"/>
              <w:spacing w:before="185" w:line="220" w:lineRule="auto"/>
              <w:ind w:left="330"/>
              <w:rPr>
                <w:sz w:val="21"/>
                <w:szCs w:val="21"/>
              </w:rPr>
            </w:pPr>
            <w:r>
              <w:rPr>
                <w:sz w:val="21"/>
                <w:szCs w:val="21"/>
              </w:rPr>
              <w:t>积</w:t>
            </w:r>
          </w:p>
          <w:p w14:paraId="757D8253">
            <w:pPr>
              <w:pStyle w:val="6"/>
              <w:spacing w:before="199" w:line="221" w:lineRule="auto"/>
              <w:ind w:left="202"/>
              <w:rPr>
                <w:sz w:val="21"/>
                <w:szCs w:val="21"/>
              </w:rPr>
            </w:pPr>
            <w:r>
              <w:rPr>
                <w:spacing w:val="-15"/>
                <w:sz w:val="21"/>
                <w:szCs w:val="21"/>
              </w:rPr>
              <w:t>(平方</w:t>
            </w:r>
          </w:p>
          <w:p w14:paraId="5E87D500">
            <w:pPr>
              <w:pStyle w:val="6"/>
              <w:spacing w:before="183" w:line="220" w:lineRule="auto"/>
              <w:ind w:left="270"/>
              <w:rPr>
                <w:sz w:val="21"/>
                <w:szCs w:val="21"/>
              </w:rPr>
            </w:pPr>
            <w:r>
              <w:rPr>
                <w:spacing w:val="-4"/>
                <w:sz w:val="21"/>
                <w:szCs w:val="21"/>
              </w:rPr>
              <w:t>米)</w:t>
            </w:r>
          </w:p>
        </w:tc>
        <w:tc>
          <w:tcPr>
            <w:tcW w:w="1482" w:type="dxa"/>
            <w:tcBorders>
              <w:top w:val="single" w:color="000000" w:sz="12" w:space="0"/>
            </w:tcBorders>
            <w:vAlign w:val="top"/>
          </w:tcPr>
          <w:p w14:paraId="2CF1B459">
            <w:pPr>
              <w:spacing w:line="255" w:lineRule="auto"/>
              <w:rPr>
                <w:rFonts w:ascii="Arial"/>
                <w:sz w:val="21"/>
              </w:rPr>
            </w:pPr>
          </w:p>
          <w:p w14:paraId="385F02ED">
            <w:pPr>
              <w:spacing w:line="256" w:lineRule="auto"/>
              <w:rPr>
                <w:rFonts w:ascii="Arial"/>
                <w:sz w:val="21"/>
              </w:rPr>
            </w:pPr>
          </w:p>
          <w:p w14:paraId="09E5CE11">
            <w:pPr>
              <w:spacing w:line="256" w:lineRule="auto"/>
              <w:rPr>
                <w:rFonts w:ascii="Arial"/>
                <w:sz w:val="21"/>
              </w:rPr>
            </w:pPr>
          </w:p>
          <w:p w14:paraId="438B2ECF">
            <w:pPr>
              <w:pStyle w:val="6"/>
              <w:spacing w:before="68" w:line="220" w:lineRule="auto"/>
              <w:ind w:left="322"/>
              <w:rPr>
                <w:sz w:val="21"/>
                <w:szCs w:val="21"/>
              </w:rPr>
            </w:pPr>
            <w:r>
              <w:rPr>
                <w:spacing w:val="-4"/>
                <w:sz w:val="21"/>
                <w:szCs w:val="21"/>
              </w:rPr>
              <w:t>结构形式</w:t>
            </w:r>
          </w:p>
        </w:tc>
        <w:tc>
          <w:tcPr>
            <w:tcW w:w="524" w:type="dxa"/>
            <w:tcBorders>
              <w:top w:val="single" w:color="000000" w:sz="12" w:space="0"/>
            </w:tcBorders>
            <w:textDirection w:val="tbRlV"/>
            <w:vAlign w:val="top"/>
          </w:tcPr>
          <w:p w14:paraId="778D66F5">
            <w:pPr>
              <w:pStyle w:val="6"/>
              <w:spacing w:before="149" w:line="208" w:lineRule="auto"/>
              <w:ind w:left="615"/>
              <w:rPr>
                <w:sz w:val="21"/>
                <w:szCs w:val="21"/>
              </w:rPr>
            </w:pPr>
            <w:r>
              <w:rPr>
                <w:sz w:val="21"/>
                <w:szCs w:val="21"/>
              </w:rPr>
              <w:t>层</w:t>
            </w:r>
            <w:r>
              <w:rPr>
                <w:spacing w:val="15"/>
                <w:sz w:val="21"/>
                <w:szCs w:val="21"/>
              </w:rPr>
              <w:t xml:space="preserve">  </w:t>
            </w:r>
            <w:r>
              <w:rPr>
                <w:sz w:val="21"/>
                <w:szCs w:val="21"/>
              </w:rPr>
              <w:t>数</w:t>
            </w:r>
          </w:p>
        </w:tc>
        <w:tc>
          <w:tcPr>
            <w:tcW w:w="958" w:type="dxa"/>
            <w:tcBorders>
              <w:top w:val="single" w:color="000000" w:sz="12" w:space="0"/>
            </w:tcBorders>
            <w:vAlign w:val="top"/>
          </w:tcPr>
          <w:p w14:paraId="7D6FB7F0">
            <w:pPr>
              <w:spacing w:line="271" w:lineRule="auto"/>
              <w:rPr>
                <w:rFonts w:ascii="Arial"/>
                <w:sz w:val="21"/>
              </w:rPr>
            </w:pPr>
          </w:p>
          <w:p w14:paraId="79ABB5FF">
            <w:pPr>
              <w:spacing w:line="272" w:lineRule="auto"/>
              <w:rPr>
                <w:rFonts w:ascii="Arial"/>
                <w:sz w:val="21"/>
              </w:rPr>
            </w:pPr>
          </w:p>
          <w:p w14:paraId="2B10E61D">
            <w:pPr>
              <w:pStyle w:val="6"/>
              <w:spacing w:before="68" w:line="398" w:lineRule="auto"/>
              <w:ind w:left="387" w:right="146" w:hanging="212"/>
              <w:rPr>
                <w:sz w:val="21"/>
                <w:szCs w:val="21"/>
              </w:rPr>
            </w:pPr>
            <w:r>
              <w:rPr>
                <w:spacing w:val="-3"/>
                <w:sz w:val="21"/>
                <w:szCs w:val="21"/>
              </w:rPr>
              <w:t>生产能</w:t>
            </w:r>
            <w:r>
              <w:rPr>
                <w:sz w:val="21"/>
                <w:szCs w:val="21"/>
              </w:rPr>
              <w:t>力</w:t>
            </w:r>
          </w:p>
        </w:tc>
        <w:tc>
          <w:tcPr>
            <w:tcW w:w="1212" w:type="dxa"/>
            <w:tcBorders>
              <w:top w:val="single" w:color="000000" w:sz="12" w:space="0"/>
            </w:tcBorders>
            <w:vAlign w:val="top"/>
          </w:tcPr>
          <w:p w14:paraId="31396F9D">
            <w:pPr>
              <w:spacing w:line="271" w:lineRule="auto"/>
              <w:rPr>
                <w:rFonts w:ascii="Arial"/>
                <w:sz w:val="21"/>
              </w:rPr>
            </w:pPr>
          </w:p>
          <w:p w14:paraId="083517B1">
            <w:pPr>
              <w:spacing w:line="272" w:lineRule="auto"/>
              <w:rPr>
                <w:rFonts w:ascii="Arial"/>
                <w:sz w:val="21"/>
              </w:rPr>
            </w:pPr>
          </w:p>
          <w:p w14:paraId="797C7B57">
            <w:pPr>
              <w:pStyle w:val="6"/>
              <w:spacing w:before="68" w:line="398" w:lineRule="auto"/>
              <w:ind w:left="412" w:right="186" w:hanging="232"/>
              <w:rPr>
                <w:sz w:val="21"/>
                <w:szCs w:val="21"/>
              </w:rPr>
            </w:pPr>
            <w:r>
              <w:rPr>
                <w:spacing w:val="-3"/>
                <w:sz w:val="21"/>
                <w:szCs w:val="21"/>
              </w:rPr>
              <w:t>设备安装</w:t>
            </w:r>
            <w:r>
              <w:rPr>
                <w:spacing w:val="-9"/>
                <w:sz w:val="21"/>
                <w:szCs w:val="21"/>
              </w:rPr>
              <w:t>内容</w:t>
            </w:r>
          </w:p>
        </w:tc>
        <w:tc>
          <w:tcPr>
            <w:tcW w:w="869" w:type="dxa"/>
            <w:tcBorders>
              <w:top w:val="single" w:color="000000" w:sz="12" w:space="0"/>
            </w:tcBorders>
            <w:vAlign w:val="top"/>
          </w:tcPr>
          <w:p w14:paraId="6EBEC966">
            <w:pPr>
              <w:spacing w:line="334" w:lineRule="auto"/>
              <w:rPr>
                <w:rFonts w:ascii="Arial"/>
                <w:sz w:val="21"/>
              </w:rPr>
            </w:pPr>
          </w:p>
          <w:p w14:paraId="55CBA7EE">
            <w:pPr>
              <w:pStyle w:val="6"/>
              <w:spacing w:before="69" w:line="218" w:lineRule="auto"/>
              <w:ind w:left="137"/>
              <w:rPr>
                <w:sz w:val="21"/>
                <w:szCs w:val="21"/>
              </w:rPr>
            </w:pPr>
            <w:r>
              <w:rPr>
                <w:spacing w:val="-2"/>
                <w:sz w:val="21"/>
                <w:szCs w:val="21"/>
              </w:rPr>
              <w:t>合同价</w:t>
            </w:r>
          </w:p>
          <w:p w14:paraId="21C22F90">
            <w:pPr>
              <w:pStyle w:val="6"/>
              <w:spacing w:before="186" w:line="220" w:lineRule="auto"/>
              <w:ind w:left="346"/>
              <w:rPr>
                <w:sz w:val="21"/>
                <w:szCs w:val="21"/>
              </w:rPr>
            </w:pPr>
            <w:r>
              <w:rPr>
                <w:sz w:val="21"/>
                <w:szCs w:val="21"/>
              </w:rPr>
              <w:t>格</w:t>
            </w:r>
          </w:p>
          <w:p w14:paraId="2244D02C">
            <w:pPr>
              <w:pStyle w:val="6"/>
              <w:spacing w:before="185" w:line="220" w:lineRule="auto"/>
              <w:ind w:left="142"/>
              <w:rPr>
                <w:sz w:val="21"/>
                <w:szCs w:val="21"/>
              </w:rPr>
            </w:pPr>
            <w:r>
              <w:rPr>
                <w:spacing w:val="-6"/>
                <w:sz w:val="21"/>
                <w:szCs w:val="21"/>
              </w:rPr>
              <w:t>（元）</w:t>
            </w:r>
          </w:p>
        </w:tc>
        <w:tc>
          <w:tcPr>
            <w:tcW w:w="613" w:type="dxa"/>
            <w:tcBorders>
              <w:top w:val="single" w:color="000000" w:sz="12" w:space="0"/>
            </w:tcBorders>
            <w:vAlign w:val="top"/>
          </w:tcPr>
          <w:p w14:paraId="4C254687">
            <w:pPr>
              <w:spacing w:line="272" w:lineRule="auto"/>
              <w:rPr>
                <w:rFonts w:ascii="Arial"/>
                <w:sz w:val="21"/>
              </w:rPr>
            </w:pPr>
          </w:p>
          <w:p w14:paraId="4C639AAE">
            <w:pPr>
              <w:spacing w:line="272" w:lineRule="auto"/>
              <w:rPr>
                <w:rFonts w:ascii="Arial"/>
                <w:sz w:val="21"/>
              </w:rPr>
            </w:pPr>
          </w:p>
          <w:p w14:paraId="2B4126BC">
            <w:pPr>
              <w:pStyle w:val="6"/>
              <w:spacing w:before="68" w:line="398" w:lineRule="auto"/>
              <w:ind w:left="144" w:right="77" w:hanging="35"/>
              <w:rPr>
                <w:sz w:val="21"/>
                <w:szCs w:val="21"/>
              </w:rPr>
            </w:pPr>
            <w:r>
              <w:rPr>
                <w:spacing w:val="-5"/>
                <w:sz w:val="21"/>
                <w:szCs w:val="21"/>
              </w:rPr>
              <w:t>开工</w:t>
            </w:r>
            <w:r>
              <w:rPr>
                <w:spacing w:val="-22"/>
                <w:sz w:val="21"/>
                <w:szCs w:val="21"/>
              </w:rPr>
              <w:t>日期</w:t>
            </w:r>
          </w:p>
        </w:tc>
        <w:tc>
          <w:tcPr>
            <w:tcW w:w="531" w:type="dxa"/>
            <w:tcBorders>
              <w:top w:val="single" w:color="000000" w:sz="12" w:space="0"/>
              <w:right w:val="single" w:color="000000" w:sz="12" w:space="0"/>
            </w:tcBorders>
            <w:textDirection w:val="tbRlV"/>
            <w:vAlign w:val="top"/>
          </w:tcPr>
          <w:p w14:paraId="5B6C56C9">
            <w:pPr>
              <w:pStyle w:val="6"/>
              <w:spacing w:before="149" w:line="199" w:lineRule="auto"/>
              <w:ind w:left="179"/>
              <w:rPr>
                <w:sz w:val="21"/>
                <w:szCs w:val="21"/>
              </w:rPr>
            </w:pPr>
            <w:r>
              <w:rPr>
                <w:sz w:val="21"/>
                <w:szCs w:val="21"/>
              </w:rPr>
              <w:t>竣</w:t>
            </w:r>
            <w:r>
              <w:rPr>
                <w:spacing w:val="7"/>
                <w:sz w:val="21"/>
                <w:szCs w:val="21"/>
              </w:rPr>
              <w:t xml:space="preserve">  </w:t>
            </w:r>
            <w:r>
              <w:rPr>
                <w:sz w:val="21"/>
                <w:szCs w:val="21"/>
              </w:rPr>
              <w:t>工</w:t>
            </w:r>
            <w:r>
              <w:rPr>
                <w:spacing w:val="15"/>
                <w:sz w:val="21"/>
                <w:szCs w:val="21"/>
              </w:rPr>
              <w:t xml:space="preserve">  </w:t>
            </w:r>
            <w:r>
              <w:rPr>
                <w:position w:val="1"/>
                <w:sz w:val="21"/>
                <w:szCs w:val="21"/>
              </w:rPr>
              <w:t>日</w:t>
            </w:r>
            <w:r>
              <w:rPr>
                <w:spacing w:val="8"/>
                <w:position w:val="1"/>
                <w:sz w:val="21"/>
                <w:szCs w:val="21"/>
              </w:rPr>
              <w:t xml:space="preserve">  </w:t>
            </w:r>
            <w:r>
              <w:rPr>
                <w:sz w:val="21"/>
                <w:szCs w:val="21"/>
              </w:rPr>
              <w:t>期</w:t>
            </w:r>
          </w:p>
        </w:tc>
      </w:tr>
      <w:tr w14:paraId="61B73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786" w:type="dxa"/>
            <w:tcBorders>
              <w:left w:val="single" w:color="000000" w:sz="12" w:space="0"/>
            </w:tcBorders>
            <w:vAlign w:val="top"/>
          </w:tcPr>
          <w:p w14:paraId="094DB438">
            <w:pPr>
              <w:rPr>
                <w:rFonts w:ascii="Arial"/>
                <w:sz w:val="21"/>
              </w:rPr>
            </w:pPr>
          </w:p>
        </w:tc>
        <w:tc>
          <w:tcPr>
            <w:tcW w:w="1122" w:type="dxa"/>
            <w:vAlign w:val="top"/>
          </w:tcPr>
          <w:p w14:paraId="5C968084">
            <w:pPr>
              <w:rPr>
                <w:rFonts w:ascii="Arial"/>
                <w:sz w:val="21"/>
              </w:rPr>
            </w:pPr>
          </w:p>
        </w:tc>
        <w:tc>
          <w:tcPr>
            <w:tcW w:w="869" w:type="dxa"/>
            <w:vAlign w:val="top"/>
          </w:tcPr>
          <w:p w14:paraId="258150CA">
            <w:pPr>
              <w:rPr>
                <w:rFonts w:ascii="Arial"/>
                <w:sz w:val="21"/>
              </w:rPr>
            </w:pPr>
          </w:p>
        </w:tc>
        <w:tc>
          <w:tcPr>
            <w:tcW w:w="1482" w:type="dxa"/>
            <w:vAlign w:val="top"/>
          </w:tcPr>
          <w:p w14:paraId="798FD89B">
            <w:pPr>
              <w:rPr>
                <w:rFonts w:ascii="Arial"/>
                <w:sz w:val="21"/>
              </w:rPr>
            </w:pPr>
          </w:p>
        </w:tc>
        <w:tc>
          <w:tcPr>
            <w:tcW w:w="524" w:type="dxa"/>
            <w:vAlign w:val="top"/>
          </w:tcPr>
          <w:p w14:paraId="1CF47EF8">
            <w:pPr>
              <w:rPr>
                <w:rFonts w:ascii="Arial"/>
                <w:sz w:val="21"/>
              </w:rPr>
            </w:pPr>
          </w:p>
        </w:tc>
        <w:tc>
          <w:tcPr>
            <w:tcW w:w="958" w:type="dxa"/>
            <w:vAlign w:val="top"/>
          </w:tcPr>
          <w:p w14:paraId="5814F02D">
            <w:pPr>
              <w:rPr>
                <w:rFonts w:ascii="Arial"/>
                <w:sz w:val="21"/>
              </w:rPr>
            </w:pPr>
          </w:p>
        </w:tc>
        <w:tc>
          <w:tcPr>
            <w:tcW w:w="1212" w:type="dxa"/>
            <w:vAlign w:val="top"/>
          </w:tcPr>
          <w:p w14:paraId="42F21574">
            <w:pPr>
              <w:rPr>
                <w:rFonts w:ascii="Arial"/>
                <w:sz w:val="21"/>
              </w:rPr>
            </w:pPr>
          </w:p>
        </w:tc>
        <w:tc>
          <w:tcPr>
            <w:tcW w:w="869" w:type="dxa"/>
            <w:vAlign w:val="top"/>
          </w:tcPr>
          <w:p w14:paraId="63401E06">
            <w:pPr>
              <w:rPr>
                <w:rFonts w:ascii="Arial"/>
                <w:sz w:val="21"/>
              </w:rPr>
            </w:pPr>
          </w:p>
        </w:tc>
        <w:tc>
          <w:tcPr>
            <w:tcW w:w="613" w:type="dxa"/>
            <w:vAlign w:val="top"/>
          </w:tcPr>
          <w:p w14:paraId="52C06935">
            <w:pPr>
              <w:rPr>
                <w:rFonts w:ascii="Arial"/>
                <w:sz w:val="21"/>
              </w:rPr>
            </w:pPr>
          </w:p>
        </w:tc>
        <w:tc>
          <w:tcPr>
            <w:tcW w:w="531" w:type="dxa"/>
            <w:tcBorders>
              <w:right w:val="single" w:color="000000" w:sz="12" w:space="0"/>
            </w:tcBorders>
            <w:vAlign w:val="top"/>
          </w:tcPr>
          <w:p w14:paraId="228129ED">
            <w:pPr>
              <w:rPr>
                <w:rFonts w:ascii="Arial"/>
                <w:sz w:val="21"/>
              </w:rPr>
            </w:pPr>
          </w:p>
        </w:tc>
      </w:tr>
      <w:tr w14:paraId="24740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786" w:type="dxa"/>
            <w:tcBorders>
              <w:left w:val="single" w:color="000000" w:sz="12" w:space="0"/>
            </w:tcBorders>
            <w:vAlign w:val="top"/>
          </w:tcPr>
          <w:p w14:paraId="403510E7">
            <w:pPr>
              <w:rPr>
                <w:rFonts w:ascii="Arial"/>
                <w:sz w:val="21"/>
              </w:rPr>
            </w:pPr>
          </w:p>
        </w:tc>
        <w:tc>
          <w:tcPr>
            <w:tcW w:w="1122" w:type="dxa"/>
            <w:vAlign w:val="top"/>
          </w:tcPr>
          <w:p w14:paraId="7A45161B">
            <w:pPr>
              <w:rPr>
                <w:rFonts w:ascii="Arial"/>
                <w:sz w:val="21"/>
              </w:rPr>
            </w:pPr>
          </w:p>
        </w:tc>
        <w:tc>
          <w:tcPr>
            <w:tcW w:w="869" w:type="dxa"/>
            <w:vAlign w:val="top"/>
          </w:tcPr>
          <w:p w14:paraId="00682F2A">
            <w:pPr>
              <w:rPr>
                <w:rFonts w:ascii="Arial"/>
                <w:sz w:val="21"/>
              </w:rPr>
            </w:pPr>
          </w:p>
        </w:tc>
        <w:tc>
          <w:tcPr>
            <w:tcW w:w="1482" w:type="dxa"/>
            <w:vAlign w:val="top"/>
          </w:tcPr>
          <w:p w14:paraId="6EBBEF0B">
            <w:pPr>
              <w:rPr>
                <w:rFonts w:ascii="Arial"/>
                <w:sz w:val="21"/>
              </w:rPr>
            </w:pPr>
          </w:p>
        </w:tc>
        <w:tc>
          <w:tcPr>
            <w:tcW w:w="524" w:type="dxa"/>
            <w:vAlign w:val="top"/>
          </w:tcPr>
          <w:p w14:paraId="3843C376">
            <w:pPr>
              <w:rPr>
                <w:rFonts w:ascii="Arial"/>
                <w:sz w:val="21"/>
              </w:rPr>
            </w:pPr>
          </w:p>
        </w:tc>
        <w:tc>
          <w:tcPr>
            <w:tcW w:w="958" w:type="dxa"/>
            <w:vAlign w:val="top"/>
          </w:tcPr>
          <w:p w14:paraId="7B48659D">
            <w:pPr>
              <w:rPr>
                <w:rFonts w:ascii="Arial"/>
                <w:sz w:val="21"/>
              </w:rPr>
            </w:pPr>
          </w:p>
        </w:tc>
        <w:tc>
          <w:tcPr>
            <w:tcW w:w="1212" w:type="dxa"/>
            <w:vAlign w:val="top"/>
          </w:tcPr>
          <w:p w14:paraId="32E1E88D">
            <w:pPr>
              <w:rPr>
                <w:rFonts w:ascii="Arial"/>
                <w:sz w:val="21"/>
              </w:rPr>
            </w:pPr>
          </w:p>
        </w:tc>
        <w:tc>
          <w:tcPr>
            <w:tcW w:w="869" w:type="dxa"/>
            <w:vAlign w:val="top"/>
          </w:tcPr>
          <w:p w14:paraId="34870DC3">
            <w:pPr>
              <w:rPr>
                <w:rFonts w:ascii="Arial"/>
                <w:sz w:val="21"/>
              </w:rPr>
            </w:pPr>
          </w:p>
        </w:tc>
        <w:tc>
          <w:tcPr>
            <w:tcW w:w="613" w:type="dxa"/>
            <w:vAlign w:val="top"/>
          </w:tcPr>
          <w:p w14:paraId="0A9AE847">
            <w:pPr>
              <w:rPr>
                <w:rFonts w:ascii="Arial"/>
                <w:sz w:val="21"/>
              </w:rPr>
            </w:pPr>
          </w:p>
        </w:tc>
        <w:tc>
          <w:tcPr>
            <w:tcW w:w="531" w:type="dxa"/>
            <w:tcBorders>
              <w:right w:val="single" w:color="000000" w:sz="12" w:space="0"/>
            </w:tcBorders>
            <w:vAlign w:val="top"/>
          </w:tcPr>
          <w:p w14:paraId="5CAC2162">
            <w:pPr>
              <w:rPr>
                <w:rFonts w:ascii="Arial"/>
                <w:sz w:val="21"/>
              </w:rPr>
            </w:pPr>
          </w:p>
        </w:tc>
      </w:tr>
      <w:tr w14:paraId="7B623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6" w:hRule="atLeast"/>
        </w:trPr>
        <w:tc>
          <w:tcPr>
            <w:tcW w:w="786" w:type="dxa"/>
            <w:tcBorders>
              <w:left w:val="single" w:color="000000" w:sz="12" w:space="0"/>
            </w:tcBorders>
            <w:vAlign w:val="top"/>
          </w:tcPr>
          <w:p w14:paraId="6A317FA1">
            <w:pPr>
              <w:rPr>
                <w:rFonts w:ascii="Arial"/>
                <w:sz w:val="21"/>
              </w:rPr>
            </w:pPr>
          </w:p>
        </w:tc>
        <w:tc>
          <w:tcPr>
            <w:tcW w:w="1122" w:type="dxa"/>
            <w:vAlign w:val="top"/>
          </w:tcPr>
          <w:p w14:paraId="2E5E2457">
            <w:pPr>
              <w:rPr>
                <w:rFonts w:ascii="Arial"/>
                <w:sz w:val="21"/>
              </w:rPr>
            </w:pPr>
          </w:p>
        </w:tc>
        <w:tc>
          <w:tcPr>
            <w:tcW w:w="869" w:type="dxa"/>
            <w:vAlign w:val="top"/>
          </w:tcPr>
          <w:p w14:paraId="41D6A656">
            <w:pPr>
              <w:rPr>
                <w:rFonts w:ascii="Arial"/>
                <w:sz w:val="21"/>
              </w:rPr>
            </w:pPr>
          </w:p>
        </w:tc>
        <w:tc>
          <w:tcPr>
            <w:tcW w:w="1482" w:type="dxa"/>
            <w:vAlign w:val="top"/>
          </w:tcPr>
          <w:p w14:paraId="61E1709E">
            <w:pPr>
              <w:rPr>
                <w:rFonts w:ascii="Arial"/>
                <w:sz w:val="21"/>
              </w:rPr>
            </w:pPr>
          </w:p>
        </w:tc>
        <w:tc>
          <w:tcPr>
            <w:tcW w:w="524" w:type="dxa"/>
            <w:vAlign w:val="top"/>
          </w:tcPr>
          <w:p w14:paraId="69F8C6E3">
            <w:pPr>
              <w:rPr>
                <w:rFonts w:ascii="Arial"/>
                <w:sz w:val="21"/>
              </w:rPr>
            </w:pPr>
          </w:p>
        </w:tc>
        <w:tc>
          <w:tcPr>
            <w:tcW w:w="958" w:type="dxa"/>
            <w:vAlign w:val="top"/>
          </w:tcPr>
          <w:p w14:paraId="268E9B86">
            <w:pPr>
              <w:rPr>
                <w:rFonts w:ascii="Arial"/>
                <w:sz w:val="21"/>
              </w:rPr>
            </w:pPr>
          </w:p>
        </w:tc>
        <w:tc>
          <w:tcPr>
            <w:tcW w:w="1212" w:type="dxa"/>
            <w:vAlign w:val="top"/>
          </w:tcPr>
          <w:p w14:paraId="4239A3C4">
            <w:pPr>
              <w:rPr>
                <w:rFonts w:ascii="Arial"/>
                <w:sz w:val="21"/>
              </w:rPr>
            </w:pPr>
          </w:p>
        </w:tc>
        <w:tc>
          <w:tcPr>
            <w:tcW w:w="869" w:type="dxa"/>
            <w:vAlign w:val="top"/>
          </w:tcPr>
          <w:p w14:paraId="5F7E7564">
            <w:pPr>
              <w:rPr>
                <w:rFonts w:ascii="Arial"/>
                <w:sz w:val="21"/>
              </w:rPr>
            </w:pPr>
          </w:p>
        </w:tc>
        <w:tc>
          <w:tcPr>
            <w:tcW w:w="613" w:type="dxa"/>
            <w:vAlign w:val="top"/>
          </w:tcPr>
          <w:p w14:paraId="4862C3EC">
            <w:pPr>
              <w:rPr>
                <w:rFonts w:ascii="Arial"/>
                <w:sz w:val="21"/>
              </w:rPr>
            </w:pPr>
          </w:p>
        </w:tc>
        <w:tc>
          <w:tcPr>
            <w:tcW w:w="531" w:type="dxa"/>
            <w:tcBorders>
              <w:right w:val="single" w:color="000000" w:sz="12" w:space="0"/>
            </w:tcBorders>
            <w:vAlign w:val="top"/>
          </w:tcPr>
          <w:p w14:paraId="4E85CB49">
            <w:pPr>
              <w:rPr>
                <w:rFonts w:ascii="Arial"/>
                <w:sz w:val="21"/>
              </w:rPr>
            </w:pPr>
          </w:p>
        </w:tc>
      </w:tr>
      <w:tr w14:paraId="55691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786" w:type="dxa"/>
            <w:tcBorders>
              <w:left w:val="single" w:color="000000" w:sz="12" w:space="0"/>
            </w:tcBorders>
            <w:vAlign w:val="top"/>
          </w:tcPr>
          <w:p w14:paraId="5CDC20B0">
            <w:pPr>
              <w:rPr>
                <w:rFonts w:ascii="Arial"/>
                <w:sz w:val="21"/>
              </w:rPr>
            </w:pPr>
          </w:p>
        </w:tc>
        <w:tc>
          <w:tcPr>
            <w:tcW w:w="1122" w:type="dxa"/>
            <w:vAlign w:val="top"/>
          </w:tcPr>
          <w:p w14:paraId="1858E69C">
            <w:pPr>
              <w:rPr>
                <w:rFonts w:ascii="Arial"/>
                <w:sz w:val="21"/>
              </w:rPr>
            </w:pPr>
          </w:p>
        </w:tc>
        <w:tc>
          <w:tcPr>
            <w:tcW w:w="869" w:type="dxa"/>
            <w:vAlign w:val="top"/>
          </w:tcPr>
          <w:p w14:paraId="08244AA4">
            <w:pPr>
              <w:rPr>
                <w:rFonts w:ascii="Arial"/>
                <w:sz w:val="21"/>
              </w:rPr>
            </w:pPr>
          </w:p>
        </w:tc>
        <w:tc>
          <w:tcPr>
            <w:tcW w:w="1482" w:type="dxa"/>
            <w:vAlign w:val="top"/>
          </w:tcPr>
          <w:p w14:paraId="421E8B47">
            <w:pPr>
              <w:rPr>
                <w:rFonts w:ascii="Arial"/>
                <w:sz w:val="21"/>
              </w:rPr>
            </w:pPr>
          </w:p>
        </w:tc>
        <w:tc>
          <w:tcPr>
            <w:tcW w:w="524" w:type="dxa"/>
            <w:vAlign w:val="top"/>
          </w:tcPr>
          <w:p w14:paraId="28EDFB3B">
            <w:pPr>
              <w:rPr>
                <w:rFonts w:ascii="Arial"/>
                <w:sz w:val="21"/>
              </w:rPr>
            </w:pPr>
          </w:p>
        </w:tc>
        <w:tc>
          <w:tcPr>
            <w:tcW w:w="958" w:type="dxa"/>
            <w:vAlign w:val="top"/>
          </w:tcPr>
          <w:p w14:paraId="286F4E9F">
            <w:pPr>
              <w:rPr>
                <w:rFonts w:ascii="Arial"/>
                <w:sz w:val="21"/>
              </w:rPr>
            </w:pPr>
          </w:p>
        </w:tc>
        <w:tc>
          <w:tcPr>
            <w:tcW w:w="1212" w:type="dxa"/>
            <w:vAlign w:val="top"/>
          </w:tcPr>
          <w:p w14:paraId="0A2E4D7D">
            <w:pPr>
              <w:rPr>
                <w:rFonts w:ascii="Arial"/>
                <w:sz w:val="21"/>
              </w:rPr>
            </w:pPr>
          </w:p>
        </w:tc>
        <w:tc>
          <w:tcPr>
            <w:tcW w:w="869" w:type="dxa"/>
            <w:vAlign w:val="top"/>
          </w:tcPr>
          <w:p w14:paraId="3188CB0C">
            <w:pPr>
              <w:rPr>
                <w:rFonts w:ascii="Arial"/>
                <w:sz w:val="21"/>
              </w:rPr>
            </w:pPr>
          </w:p>
        </w:tc>
        <w:tc>
          <w:tcPr>
            <w:tcW w:w="613" w:type="dxa"/>
            <w:vAlign w:val="top"/>
          </w:tcPr>
          <w:p w14:paraId="4ABDE80C">
            <w:pPr>
              <w:rPr>
                <w:rFonts w:ascii="Arial"/>
                <w:sz w:val="21"/>
              </w:rPr>
            </w:pPr>
          </w:p>
        </w:tc>
        <w:tc>
          <w:tcPr>
            <w:tcW w:w="531" w:type="dxa"/>
            <w:tcBorders>
              <w:right w:val="single" w:color="000000" w:sz="12" w:space="0"/>
            </w:tcBorders>
            <w:vAlign w:val="top"/>
          </w:tcPr>
          <w:p w14:paraId="4D2F4671">
            <w:pPr>
              <w:rPr>
                <w:rFonts w:ascii="Arial"/>
                <w:sz w:val="21"/>
              </w:rPr>
            </w:pPr>
          </w:p>
        </w:tc>
      </w:tr>
      <w:tr w14:paraId="6C1B0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786" w:type="dxa"/>
            <w:tcBorders>
              <w:left w:val="single" w:color="000000" w:sz="12" w:space="0"/>
            </w:tcBorders>
            <w:vAlign w:val="top"/>
          </w:tcPr>
          <w:p w14:paraId="429FBCF3">
            <w:pPr>
              <w:rPr>
                <w:rFonts w:ascii="Arial"/>
                <w:sz w:val="21"/>
              </w:rPr>
            </w:pPr>
          </w:p>
        </w:tc>
        <w:tc>
          <w:tcPr>
            <w:tcW w:w="1122" w:type="dxa"/>
            <w:vAlign w:val="top"/>
          </w:tcPr>
          <w:p w14:paraId="1C2BBFBE">
            <w:pPr>
              <w:rPr>
                <w:rFonts w:ascii="Arial"/>
                <w:sz w:val="21"/>
              </w:rPr>
            </w:pPr>
          </w:p>
        </w:tc>
        <w:tc>
          <w:tcPr>
            <w:tcW w:w="869" w:type="dxa"/>
            <w:vAlign w:val="top"/>
          </w:tcPr>
          <w:p w14:paraId="4C7F0E5F">
            <w:pPr>
              <w:rPr>
                <w:rFonts w:ascii="Arial"/>
                <w:sz w:val="21"/>
              </w:rPr>
            </w:pPr>
          </w:p>
        </w:tc>
        <w:tc>
          <w:tcPr>
            <w:tcW w:w="1482" w:type="dxa"/>
            <w:vAlign w:val="top"/>
          </w:tcPr>
          <w:p w14:paraId="500D4F54">
            <w:pPr>
              <w:rPr>
                <w:rFonts w:ascii="Arial"/>
                <w:sz w:val="21"/>
              </w:rPr>
            </w:pPr>
          </w:p>
        </w:tc>
        <w:tc>
          <w:tcPr>
            <w:tcW w:w="524" w:type="dxa"/>
            <w:vAlign w:val="top"/>
          </w:tcPr>
          <w:p w14:paraId="5DF7AAF6">
            <w:pPr>
              <w:rPr>
                <w:rFonts w:ascii="Arial"/>
                <w:sz w:val="21"/>
              </w:rPr>
            </w:pPr>
          </w:p>
        </w:tc>
        <w:tc>
          <w:tcPr>
            <w:tcW w:w="958" w:type="dxa"/>
            <w:vAlign w:val="top"/>
          </w:tcPr>
          <w:p w14:paraId="047E7561">
            <w:pPr>
              <w:rPr>
                <w:rFonts w:ascii="Arial"/>
                <w:sz w:val="21"/>
              </w:rPr>
            </w:pPr>
          </w:p>
        </w:tc>
        <w:tc>
          <w:tcPr>
            <w:tcW w:w="1212" w:type="dxa"/>
            <w:vAlign w:val="top"/>
          </w:tcPr>
          <w:p w14:paraId="0420DE90">
            <w:pPr>
              <w:rPr>
                <w:rFonts w:ascii="Arial"/>
                <w:sz w:val="21"/>
              </w:rPr>
            </w:pPr>
          </w:p>
        </w:tc>
        <w:tc>
          <w:tcPr>
            <w:tcW w:w="869" w:type="dxa"/>
            <w:vAlign w:val="top"/>
          </w:tcPr>
          <w:p w14:paraId="6F8AFA70">
            <w:pPr>
              <w:rPr>
                <w:rFonts w:ascii="Arial"/>
                <w:sz w:val="21"/>
              </w:rPr>
            </w:pPr>
          </w:p>
        </w:tc>
        <w:tc>
          <w:tcPr>
            <w:tcW w:w="613" w:type="dxa"/>
            <w:vAlign w:val="top"/>
          </w:tcPr>
          <w:p w14:paraId="087637B6">
            <w:pPr>
              <w:rPr>
                <w:rFonts w:ascii="Arial"/>
                <w:sz w:val="21"/>
              </w:rPr>
            </w:pPr>
          </w:p>
        </w:tc>
        <w:tc>
          <w:tcPr>
            <w:tcW w:w="531" w:type="dxa"/>
            <w:tcBorders>
              <w:right w:val="single" w:color="000000" w:sz="12" w:space="0"/>
            </w:tcBorders>
            <w:vAlign w:val="top"/>
          </w:tcPr>
          <w:p w14:paraId="34F6FB89">
            <w:pPr>
              <w:rPr>
                <w:rFonts w:ascii="Arial"/>
                <w:sz w:val="21"/>
              </w:rPr>
            </w:pPr>
          </w:p>
        </w:tc>
      </w:tr>
      <w:tr w14:paraId="0C99F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6" w:hRule="atLeast"/>
        </w:trPr>
        <w:tc>
          <w:tcPr>
            <w:tcW w:w="786" w:type="dxa"/>
            <w:tcBorders>
              <w:left w:val="single" w:color="000000" w:sz="12" w:space="0"/>
            </w:tcBorders>
            <w:vAlign w:val="top"/>
          </w:tcPr>
          <w:p w14:paraId="0170D3CC">
            <w:pPr>
              <w:rPr>
                <w:rFonts w:ascii="Arial"/>
                <w:sz w:val="21"/>
              </w:rPr>
            </w:pPr>
          </w:p>
        </w:tc>
        <w:tc>
          <w:tcPr>
            <w:tcW w:w="1122" w:type="dxa"/>
            <w:vAlign w:val="top"/>
          </w:tcPr>
          <w:p w14:paraId="39E3D05E">
            <w:pPr>
              <w:rPr>
                <w:rFonts w:ascii="Arial"/>
                <w:sz w:val="21"/>
              </w:rPr>
            </w:pPr>
          </w:p>
        </w:tc>
        <w:tc>
          <w:tcPr>
            <w:tcW w:w="869" w:type="dxa"/>
            <w:vAlign w:val="top"/>
          </w:tcPr>
          <w:p w14:paraId="3701C480">
            <w:pPr>
              <w:rPr>
                <w:rFonts w:ascii="Arial"/>
                <w:sz w:val="21"/>
              </w:rPr>
            </w:pPr>
          </w:p>
        </w:tc>
        <w:tc>
          <w:tcPr>
            <w:tcW w:w="1482" w:type="dxa"/>
            <w:vAlign w:val="top"/>
          </w:tcPr>
          <w:p w14:paraId="79F4977A">
            <w:pPr>
              <w:rPr>
                <w:rFonts w:ascii="Arial"/>
                <w:sz w:val="21"/>
              </w:rPr>
            </w:pPr>
          </w:p>
        </w:tc>
        <w:tc>
          <w:tcPr>
            <w:tcW w:w="524" w:type="dxa"/>
            <w:vAlign w:val="top"/>
          </w:tcPr>
          <w:p w14:paraId="136CFD1C">
            <w:pPr>
              <w:rPr>
                <w:rFonts w:ascii="Arial"/>
                <w:sz w:val="21"/>
              </w:rPr>
            </w:pPr>
          </w:p>
        </w:tc>
        <w:tc>
          <w:tcPr>
            <w:tcW w:w="958" w:type="dxa"/>
            <w:vAlign w:val="top"/>
          </w:tcPr>
          <w:p w14:paraId="5510AB98">
            <w:pPr>
              <w:rPr>
                <w:rFonts w:ascii="Arial"/>
                <w:sz w:val="21"/>
              </w:rPr>
            </w:pPr>
          </w:p>
        </w:tc>
        <w:tc>
          <w:tcPr>
            <w:tcW w:w="1212" w:type="dxa"/>
            <w:vAlign w:val="top"/>
          </w:tcPr>
          <w:p w14:paraId="36247BD1">
            <w:pPr>
              <w:rPr>
                <w:rFonts w:ascii="Arial"/>
                <w:sz w:val="21"/>
              </w:rPr>
            </w:pPr>
          </w:p>
        </w:tc>
        <w:tc>
          <w:tcPr>
            <w:tcW w:w="869" w:type="dxa"/>
            <w:vAlign w:val="top"/>
          </w:tcPr>
          <w:p w14:paraId="35C2645D">
            <w:pPr>
              <w:rPr>
                <w:rFonts w:ascii="Arial"/>
                <w:sz w:val="21"/>
              </w:rPr>
            </w:pPr>
          </w:p>
        </w:tc>
        <w:tc>
          <w:tcPr>
            <w:tcW w:w="613" w:type="dxa"/>
            <w:vAlign w:val="top"/>
          </w:tcPr>
          <w:p w14:paraId="4CFBC8CF">
            <w:pPr>
              <w:rPr>
                <w:rFonts w:ascii="Arial"/>
                <w:sz w:val="21"/>
              </w:rPr>
            </w:pPr>
          </w:p>
        </w:tc>
        <w:tc>
          <w:tcPr>
            <w:tcW w:w="531" w:type="dxa"/>
            <w:tcBorders>
              <w:right w:val="single" w:color="000000" w:sz="12" w:space="0"/>
            </w:tcBorders>
            <w:vAlign w:val="top"/>
          </w:tcPr>
          <w:p w14:paraId="14E6E8D6">
            <w:pPr>
              <w:rPr>
                <w:rFonts w:ascii="Arial"/>
                <w:sz w:val="21"/>
              </w:rPr>
            </w:pPr>
          </w:p>
        </w:tc>
      </w:tr>
      <w:tr w14:paraId="01305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786" w:type="dxa"/>
            <w:tcBorders>
              <w:left w:val="single" w:color="000000" w:sz="12" w:space="0"/>
            </w:tcBorders>
            <w:vAlign w:val="top"/>
          </w:tcPr>
          <w:p w14:paraId="2A809F51">
            <w:pPr>
              <w:rPr>
                <w:rFonts w:ascii="Arial"/>
                <w:sz w:val="21"/>
              </w:rPr>
            </w:pPr>
          </w:p>
        </w:tc>
        <w:tc>
          <w:tcPr>
            <w:tcW w:w="1122" w:type="dxa"/>
            <w:vAlign w:val="top"/>
          </w:tcPr>
          <w:p w14:paraId="631B632B">
            <w:pPr>
              <w:rPr>
                <w:rFonts w:ascii="Arial"/>
                <w:sz w:val="21"/>
              </w:rPr>
            </w:pPr>
          </w:p>
        </w:tc>
        <w:tc>
          <w:tcPr>
            <w:tcW w:w="869" w:type="dxa"/>
            <w:vAlign w:val="top"/>
          </w:tcPr>
          <w:p w14:paraId="19CDD1D9">
            <w:pPr>
              <w:rPr>
                <w:rFonts w:ascii="Arial"/>
                <w:sz w:val="21"/>
              </w:rPr>
            </w:pPr>
          </w:p>
        </w:tc>
        <w:tc>
          <w:tcPr>
            <w:tcW w:w="1482" w:type="dxa"/>
            <w:vAlign w:val="top"/>
          </w:tcPr>
          <w:p w14:paraId="73E5A009">
            <w:pPr>
              <w:rPr>
                <w:rFonts w:ascii="Arial"/>
                <w:sz w:val="21"/>
              </w:rPr>
            </w:pPr>
          </w:p>
        </w:tc>
        <w:tc>
          <w:tcPr>
            <w:tcW w:w="524" w:type="dxa"/>
            <w:vAlign w:val="top"/>
          </w:tcPr>
          <w:p w14:paraId="1D6BEE49">
            <w:pPr>
              <w:rPr>
                <w:rFonts w:ascii="Arial"/>
                <w:sz w:val="21"/>
              </w:rPr>
            </w:pPr>
          </w:p>
        </w:tc>
        <w:tc>
          <w:tcPr>
            <w:tcW w:w="958" w:type="dxa"/>
            <w:vAlign w:val="top"/>
          </w:tcPr>
          <w:p w14:paraId="4B93F1C1">
            <w:pPr>
              <w:rPr>
                <w:rFonts w:ascii="Arial"/>
                <w:sz w:val="21"/>
              </w:rPr>
            </w:pPr>
          </w:p>
        </w:tc>
        <w:tc>
          <w:tcPr>
            <w:tcW w:w="1212" w:type="dxa"/>
            <w:vAlign w:val="top"/>
          </w:tcPr>
          <w:p w14:paraId="6CEE081C">
            <w:pPr>
              <w:rPr>
                <w:rFonts w:ascii="Arial"/>
                <w:sz w:val="21"/>
              </w:rPr>
            </w:pPr>
          </w:p>
        </w:tc>
        <w:tc>
          <w:tcPr>
            <w:tcW w:w="869" w:type="dxa"/>
            <w:vAlign w:val="top"/>
          </w:tcPr>
          <w:p w14:paraId="2A7CB5B6">
            <w:pPr>
              <w:rPr>
                <w:rFonts w:ascii="Arial"/>
                <w:sz w:val="21"/>
              </w:rPr>
            </w:pPr>
          </w:p>
        </w:tc>
        <w:tc>
          <w:tcPr>
            <w:tcW w:w="613" w:type="dxa"/>
            <w:vAlign w:val="top"/>
          </w:tcPr>
          <w:p w14:paraId="3390AEC3">
            <w:pPr>
              <w:rPr>
                <w:rFonts w:ascii="Arial"/>
                <w:sz w:val="21"/>
              </w:rPr>
            </w:pPr>
          </w:p>
        </w:tc>
        <w:tc>
          <w:tcPr>
            <w:tcW w:w="531" w:type="dxa"/>
            <w:tcBorders>
              <w:right w:val="single" w:color="000000" w:sz="12" w:space="0"/>
            </w:tcBorders>
            <w:vAlign w:val="top"/>
          </w:tcPr>
          <w:p w14:paraId="04D8A323">
            <w:pPr>
              <w:rPr>
                <w:rFonts w:ascii="Arial"/>
                <w:sz w:val="21"/>
              </w:rPr>
            </w:pPr>
          </w:p>
        </w:tc>
      </w:tr>
      <w:tr w14:paraId="41987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786" w:type="dxa"/>
            <w:tcBorders>
              <w:left w:val="single" w:color="000000" w:sz="12" w:space="0"/>
            </w:tcBorders>
            <w:vAlign w:val="top"/>
          </w:tcPr>
          <w:p w14:paraId="6348029C">
            <w:pPr>
              <w:rPr>
                <w:rFonts w:ascii="Arial"/>
                <w:sz w:val="21"/>
              </w:rPr>
            </w:pPr>
          </w:p>
        </w:tc>
        <w:tc>
          <w:tcPr>
            <w:tcW w:w="1122" w:type="dxa"/>
            <w:vAlign w:val="top"/>
          </w:tcPr>
          <w:p w14:paraId="23920837">
            <w:pPr>
              <w:rPr>
                <w:rFonts w:ascii="Arial"/>
                <w:sz w:val="21"/>
              </w:rPr>
            </w:pPr>
          </w:p>
        </w:tc>
        <w:tc>
          <w:tcPr>
            <w:tcW w:w="869" w:type="dxa"/>
            <w:vAlign w:val="top"/>
          </w:tcPr>
          <w:p w14:paraId="1A75C1BA">
            <w:pPr>
              <w:rPr>
                <w:rFonts w:ascii="Arial"/>
                <w:sz w:val="21"/>
              </w:rPr>
            </w:pPr>
          </w:p>
        </w:tc>
        <w:tc>
          <w:tcPr>
            <w:tcW w:w="1482" w:type="dxa"/>
            <w:vAlign w:val="top"/>
          </w:tcPr>
          <w:p w14:paraId="27611422">
            <w:pPr>
              <w:rPr>
                <w:rFonts w:ascii="Arial"/>
                <w:sz w:val="21"/>
              </w:rPr>
            </w:pPr>
          </w:p>
        </w:tc>
        <w:tc>
          <w:tcPr>
            <w:tcW w:w="524" w:type="dxa"/>
            <w:vAlign w:val="top"/>
          </w:tcPr>
          <w:p w14:paraId="12445D07">
            <w:pPr>
              <w:rPr>
                <w:rFonts w:ascii="Arial"/>
                <w:sz w:val="21"/>
              </w:rPr>
            </w:pPr>
          </w:p>
        </w:tc>
        <w:tc>
          <w:tcPr>
            <w:tcW w:w="958" w:type="dxa"/>
            <w:vAlign w:val="top"/>
          </w:tcPr>
          <w:p w14:paraId="2530FBAE">
            <w:pPr>
              <w:rPr>
                <w:rFonts w:ascii="Arial"/>
                <w:sz w:val="21"/>
              </w:rPr>
            </w:pPr>
          </w:p>
        </w:tc>
        <w:tc>
          <w:tcPr>
            <w:tcW w:w="1212" w:type="dxa"/>
            <w:vAlign w:val="top"/>
          </w:tcPr>
          <w:p w14:paraId="27C09F44">
            <w:pPr>
              <w:rPr>
                <w:rFonts w:ascii="Arial"/>
                <w:sz w:val="21"/>
              </w:rPr>
            </w:pPr>
          </w:p>
        </w:tc>
        <w:tc>
          <w:tcPr>
            <w:tcW w:w="869" w:type="dxa"/>
            <w:vAlign w:val="top"/>
          </w:tcPr>
          <w:p w14:paraId="6E1D802C">
            <w:pPr>
              <w:rPr>
                <w:rFonts w:ascii="Arial"/>
                <w:sz w:val="21"/>
              </w:rPr>
            </w:pPr>
          </w:p>
        </w:tc>
        <w:tc>
          <w:tcPr>
            <w:tcW w:w="613" w:type="dxa"/>
            <w:vAlign w:val="top"/>
          </w:tcPr>
          <w:p w14:paraId="285552DB">
            <w:pPr>
              <w:rPr>
                <w:rFonts w:ascii="Arial"/>
                <w:sz w:val="21"/>
              </w:rPr>
            </w:pPr>
          </w:p>
        </w:tc>
        <w:tc>
          <w:tcPr>
            <w:tcW w:w="531" w:type="dxa"/>
            <w:tcBorders>
              <w:right w:val="single" w:color="000000" w:sz="12" w:space="0"/>
            </w:tcBorders>
            <w:vAlign w:val="top"/>
          </w:tcPr>
          <w:p w14:paraId="5E889CE2">
            <w:pPr>
              <w:rPr>
                <w:rFonts w:ascii="Arial"/>
                <w:sz w:val="21"/>
              </w:rPr>
            </w:pPr>
          </w:p>
        </w:tc>
      </w:tr>
      <w:tr w14:paraId="5353C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6" w:hRule="atLeast"/>
        </w:trPr>
        <w:tc>
          <w:tcPr>
            <w:tcW w:w="786" w:type="dxa"/>
            <w:tcBorders>
              <w:left w:val="single" w:color="000000" w:sz="12" w:space="0"/>
            </w:tcBorders>
            <w:vAlign w:val="top"/>
          </w:tcPr>
          <w:p w14:paraId="3CDBFE84">
            <w:pPr>
              <w:rPr>
                <w:rFonts w:ascii="Arial"/>
                <w:sz w:val="21"/>
              </w:rPr>
            </w:pPr>
          </w:p>
        </w:tc>
        <w:tc>
          <w:tcPr>
            <w:tcW w:w="1122" w:type="dxa"/>
            <w:vAlign w:val="top"/>
          </w:tcPr>
          <w:p w14:paraId="1E9C0775">
            <w:pPr>
              <w:rPr>
                <w:rFonts w:ascii="Arial"/>
                <w:sz w:val="21"/>
              </w:rPr>
            </w:pPr>
          </w:p>
        </w:tc>
        <w:tc>
          <w:tcPr>
            <w:tcW w:w="869" w:type="dxa"/>
            <w:vAlign w:val="top"/>
          </w:tcPr>
          <w:p w14:paraId="6A85DA0E">
            <w:pPr>
              <w:rPr>
                <w:rFonts w:ascii="Arial"/>
                <w:sz w:val="21"/>
              </w:rPr>
            </w:pPr>
          </w:p>
        </w:tc>
        <w:tc>
          <w:tcPr>
            <w:tcW w:w="1482" w:type="dxa"/>
            <w:vAlign w:val="top"/>
          </w:tcPr>
          <w:p w14:paraId="64EEDCE3">
            <w:pPr>
              <w:rPr>
                <w:rFonts w:ascii="Arial"/>
                <w:sz w:val="21"/>
              </w:rPr>
            </w:pPr>
          </w:p>
        </w:tc>
        <w:tc>
          <w:tcPr>
            <w:tcW w:w="524" w:type="dxa"/>
            <w:vAlign w:val="top"/>
          </w:tcPr>
          <w:p w14:paraId="5C85B84A">
            <w:pPr>
              <w:rPr>
                <w:rFonts w:ascii="Arial"/>
                <w:sz w:val="21"/>
              </w:rPr>
            </w:pPr>
          </w:p>
        </w:tc>
        <w:tc>
          <w:tcPr>
            <w:tcW w:w="958" w:type="dxa"/>
            <w:vAlign w:val="top"/>
          </w:tcPr>
          <w:p w14:paraId="789E8EA7">
            <w:pPr>
              <w:rPr>
                <w:rFonts w:ascii="Arial"/>
                <w:sz w:val="21"/>
              </w:rPr>
            </w:pPr>
          </w:p>
        </w:tc>
        <w:tc>
          <w:tcPr>
            <w:tcW w:w="1212" w:type="dxa"/>
            <w:vAlign w:val="top"/>
          </w:tcPr>
          <w:p w14:paraId="0A47DFF7">
            <w:pPr>
              <w:rPr>
                <w:rFonts w:ascii="Arial"/>
                <w:sz w:val="21"/>
              </w:rPr>
            </w:pPr>
          </w:p>
        </w:tc>
        <w:tc>
          <w:tcPr>
            <w:tcW w:w="869" w:type="dxa"/>
            <w:vAlign w:val="top"/>
          </w:tcPr>
          <w:p w14:paraId="64CF622D">
            <w:pPr>
              <w:rPr>
                <w:rFonts w:ascii="Arial"/>
                <w:sz w:val="21"/>
              </w:rPr>
            </w:pPr>
          </w:p>
        </w:tc>
        <w:tc>
          <w:tcPr>
            <w:tcW w:w="613" w:type="dxa"/>
            <w:vAlign w:val="top"/>
          </w:tcPr>
          <w:p w14:paraId="50757FD2">
            <w:pPr>
              <w:rPr>
                <w:rFonts w:ascii="Arial"/>
                <w:sz w:val="21"/>
              </w:rPr>
            </w:pPr>
          </w:p>
        </w:tc>
        <w:tc>
          <w:tcPr>
            <w:tcW w:w="531" w:type="dxa"/>
            <w:tcBorders>
              <w:right w:val="single" w:color="000000" w:sz="12" w:space="0"/>
            </w:tcBorders>
            <w:vAlign w:val="top"/>
          </w:tcPr>
          <w:p w14:paraId="4CFB61BA">
            <w:pPr>
              <w:rPr>
                <w:rFonts w:ascii="Arial"/>
                <w:sz w:val="21"/>
              </w:rPr>
            </w:pPr>
          </w:p>
        </w:tc>
      </w:tr>
      <w:tr w14:paraId="07086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1" w:hRule="atLeast"/>
        </w:trPr>
        <w:tc>
          <w:tcPr>
            <w:tcW w:w="786" w:type="dxa"/>
            <w:tcBorders>
              <w:left w:val="single" w:color="000000" w:sz="12" w:space="0"/>
            </w:tcBorders>
            <w:vAlign w:val="top"/>
          </w:tcPr>
          <w:p w14:paraId="03E97D65">
            <w:pPr>
              <w:rPr>
                <w:rFonts w:ascii="Arial"/>
                <w:sz w:val="21"/>
              </w:rPr>
            </w:pPr>
          </w:p>
        </w:tc>
        <w:tc>
          <w:tcPr>
            <w:tcW w:w="1122" w:type="dxa"/>
            <w:vAlign w:val="top"/>
          </w:tcPr>
          <w:p w14:paraId="095EE20F">
            <w:pPr>
              <w:rPr>
                <w:rFonts w:ascii="Arial"/>
                <w:sz w:val="21"/>
              </w:rPr>
            </w:pPr>
          </w:p>
        </w:tc>
        <w:tc>
          <w:tcPr>
            <w:tcW w:w="869" w:type="dxa"/>
            <w:vAlign w:val="top"/>
          </w:tcPr>
          <w:p w14:paraId="275477CD">
            <w:pPr>
              <w:rPr>
                <w:rFonts w:ascii="Arial"/>
                <w:sz w:val="21"/>
              </w:rPr>
            </w:pPr>
          </w:p>
        </w:tc>
        <w:tc>
          <w:tcPr>
            <w:tcW w:w="1482" w:type="dxa"/>
            <w:vAlign w:val="top"/>
          </w:tcPr>
          <w:p w14:paraId="6E203BC6">
            <w:pPr>
              <w:rPr>
                <w:rFonts w:ascii="Arial"/>
                <w:sz w:val="21"/>
              </w:rPr>
            </w:pPr>
          </w:p>
        </w:tc>
        <w:tc>
          <w:tcPr>
            <w:tcW w:w="524" w:type="dxa"/>
            <w:vAlign w:val="top"/>
          </w:tcPr>
          <w:p w14:paraId="045DBA13">
            <w:pPr>
              <w:rPr>
                <w:rFonts w:ascii="Arial"/>
                <w:sz w:val="21"/>
              </w:rPr>
            </w:pPr>
          </w:p>
        </w:tc>
        <w:tc>
          <w:tcPr>
            <w:tcW w:w="958" w:type="dxa"/>
            <w:vAlign w:val="top"/>
          </w:tcPr>
          <w:p w14:paraId="4DEA07EE">
            <w:pPr>
              <w:rPr>
                <w:rFonts w:ascii="Arial"/>
                <w:sz w:val="21"/>
              </w:rPr>
            </w:pPr>
          </w:p>
        </w:tc>
        <w:tc>
          <w:tcPr>
            <w:tcW w:w="1212" w:type="dxa"/>
            <w:vAlign w:val="top"/>
          </w:tcPr>
          <w:p w14:paraId="4371A942">
            <w:pPr>
              <w:rPr>
                <w:rFonts w:ascii="Arial"/>
                <w:sz w:val="21"/>
              </w:rPr>
            </w:pPr>
          </w:p>
        </w:tc>
        <w:tc>
          <w:tcPr>
            <w:tcW w:w="869" w:type="dxa"/>
            <w:vAlign w:val="top"/>
          </w:tcPr>
          <w:p w14:paraId="3C3B1122">
            <w:pPr>
              <w:rPr>
                <w:rFonts w:ascii="Arial"/>
                <w:sz w:val="21"/>
              </w:rPr>
            </w:pPr>
          </w:p>
        </w:tc>
        <w:tc>
          <w:tcPr>
            <w:tcW w:w="613" w:type="dxa"/>
            <w:vAlign w:val="top"/>
          </w:tcPr>
          <w:p w14:paraId="1736EFFA">
            <w:pPr>
              <w:rPr>
                <w:rFonts w:ascii="Arial"/>
                <w:sz w:val="21"/>
              </w:rPr>
            </w:pPr>
          </w:p>
        </w:tc>
        <w:tc>
          <w:tcPr>
            <w:tcW w:w="531" w:type="dxa"/>
            <w:tcBorders>
              <w:right w:val="single" w:color="000000" w:sz="12" w:space="0"/>
            </w:tcBorders>
            <w:vAlign w:val="top"/>
          </w:tcPr>
          <w:p w14:paraId="67B93455">
            <w:pPr>
              <w:rPr>
                <w:rFonts w:ascii="Arial"/>
                <w:sz w:val="21"/>
              </w:rPr>
            </w:pPr>
          </w:p>
        </w:tc>
      </w:tr>
      <w:tr w14:paraId="20CE6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3" w:hRule="atLeast"/>
        </w:trPr>
        <w:tc>
          <w:tcPr>
            <w:tcW w:w="786" w:type="dxa"/>
            <w:tcBorders>
              <w:left w:val="single" w:color="000000" w:sz="12" w:space="0"/>
              <w:bottom w:val="single" w:color="000000" w:sz="12" w:space="0"/>
            </w:tcBorders>
            <w:vAlign w:val="top"/>
          </w:tcPr>
          <w:p w14:paraId="480F70A9">
            <w:pPr>
              <w:rPr>
                <w:rFonts w:ascii="Arial"/>
                <w:sz w:val="21"/>
              </w:rPr>
            </w:pPr>
          </w:p>
        </w:tc>
        <w:tc>
          <w:tcPr>
            <w:tcW w:w="1122" w:type="dxa"/>
            <w:tcBorders>
              <w:bottom w:val="single" w:color="000000" w:sz="12" w:space="0"/>
            </w:tcBorders>
            <w:vAlign w:val="top"/>
          </w:tcPr>
          <w:p w14:paraId="4DB00F5A">
            <w:pPr>
              <w:rPr>
                <w:rFonts w:ascii="Arial"/>
                <w:sz w:val="21"/>
              </w:rPr>
            </w:pPr>
          </w:p>
        </w:tc>
        <w:tc>
          <w:tcPr>
            <w:tcW w:w="869" w:type="dxa"/>
            <w:tcBorders>
              <w:bottom w:val="single" w:color="000000" w:sz="12" w:space="0"/>
            </w:tcBorders>
            <w:vAlign w:val="top"/>
          </w:tcPr>
          <w:p w14:paraId="7DCD9BE9">
            <w:pPr>
              <w:rPr>
                <w:rFonts w:ascii="Arial"/>
                <w:sz w:val="21"/>
              </w:rPr>
            </w:pPr>
          </w:p>
        </w:tc>
        <w:tc>
          <w:tcPr>
            <w:tcW w:w="1482" w:type="dxa"/>
            <w:tcBorders>
              <w:bottom w:val="single" w:color="000000" w:sz="12" w:space="0"/>
            </w:tcBorders>
            <w:vAlign w:val="top"/>
          </w:tcPr>
          <w:p w14:paraId="43D91C38">
            <w:pPr>
              <w:rPr>
                <w:rFonts w:ascii="Arial"/>
                <w:sz w:val="21"/>
              </w:rPr>
            </w:pPr>
          </w:p>
        </w:tc>
        <w:tc>
          <w:tcPr>
            <w:tcW w:w="524" w:type="dxa"/>
            <w:tcBorders>
              <w:bottom w:val="single" w:color="000000" w:sz="12" w:space="0"/>
            </w:tcBorders>
            <w:vAlign w:val="top"/>
          </w:tcPr>
          <w:p w14:paraId="5B3E83B7">
            <w:pPr>
              <w:rPr>
                <w:rFonts w:ascii="Arial"/>
                <w:sz w:val="21"/>
              </w:rPr>
            </w:pPr>
          </w:p>
        </w:tc>
        <w:tc>
          <w:tcPr>
            <w:tcW w:w="958" w:type="dxa"/>
            <w:tcBorders>
              <w:bottom w:val="single" w:color="000000" w:sz="12" w:space="0"/>
            </w:tcBorders>
            <w:vAlign w:val="top"/>
          </w:tcPr>
          <w:p w14:paraId="703D7426">
            <w:pPr>
              <w:rPr>
                <w:rFonts w:ascii="Arial"/>
                <w:sz w:val="21"/>
              </w:rPr>
            </w:pPr>
          </w:p>
        </w:tc>
        <w:tc>
          <w:tcPr>
            <w:tcW w:w="1212" w:type="dxa"/>
            <w:tcBorders>
              <w:bottom w:val="single" w:color="000000" w:sz="12" w:space="0"/>
            </w:tcBorders>
            <w:vAlign w:val="top"/>
          </w:tcPr>
          <w:p w14:paraId="246056B6">
            <w:pPr>
              <w:rPr>
                <w:rFonts w:ascii="Arial"/>
                <w:sz w:val="21"/>
              </w:rPr>
            </w:pPr>
          </w:p>
        </w:tc>
        <w:tc>
          <w:tcPr>
            <w:tcW w:w="869" w:type="dxa"/>
            <w:tcBorders>
              <w:bottom w:val="single" w:color="000000" w:sz="12" w:space="0"/>
            </w:tcBorders>
            <w:vAlign w:val="top"/>
          </w:tcPr>
          <w:p w14:paraId="78B5DFC4">
            <w:pPr>
              <w:rPr>
                <w:rFonts w:ascii="Arial"/>
                <w:sz w:val="21"/>
              </w:rPr>
            </w:pPr>
          </w:p>
        </w:tc>
        <w:tc>
          <w:tcPr>
            <w:tcW w:w="613" w:type="dxa"/>
            <w:tcBorders>
              <w:bottom w:val="single" w:color="000000" w:sz="12" w:space="0"/>
            </w:tcBorders>
            <w:vAlign w:val="top"/>
          </w:tcPr>
          <w:p w14:paraId="7D8B4213">
            <w:pPr>
              <w:rPr>
                <w:rFonts w:ascii="Arial"/>
                <w:sz w:val="21"/>
              </w:rPr>
            </w:pPr>
          </w:p>
        </w:tc>
        <w:tc>
          <w:tcPr>
            <w:tcW w:w="531" w:type="dxa"/>
            <w:tcBorders>
              <w:bottom w:val="single" w:color="000000" w:sz="12" w:space="0"/>
              <w:right w:val="single" w:color="000000" w:sz="12" w:space="0"/>
            </w:tcBorders>
            <w:vAlign w:val="top"/>
          </w:tcPr>
          <w:p w14:paraId="0DCBF819">
            <w:pPr>
              <w:rPr>
                <w:rFonts w:ascii="Arial"/>
                <w:sz w:val="21"/>
              </w:rPr>
            </w:pPr>
          </w:p>
        </w:tc>
      </w:tr>
    </w:tbl>
    <w:p w14:paraId="1277EA46">
      <w:pPr>
        <w:pStyle w:val="2"/>
        <w:spacing w:line="316" w:lineRule="auto"/>
      </w:pPr>
    </w:p>
    <w:p w14:paraId="31FB7840">
      <w:pPr>
        <w:spacing w:before="100" w:line="227" w:lineRule="auto"/>
        <w:ind w:left="462"/>
        <w:outlineLvl w:val="1"/>
        <w:rPr>
          <w:rFonts w:ascii="宋体" w:hAnsi="宋体" w:eastAsia="宋体" w:cs="宋体"/>
          <w:sz w:val="31"/>
          <w:szCs w:val="31"/>
        </w:rPr>
      </w:pPr>
      <w:bookmarkStart w:id="564" w:name="bookmark520"/>
      <w:bookmarkEnd w:id="564"/>
      <w:r>
        <w:rPr>
          <w:rFonts w:ascii="黑体" w:hAnsi="黑体" w:eastAsia="黑体" w:cs="黑体"/>
          <w:b/>
          <w:bCs/>
          <w:spacing w:val="-5"/>
          <w:sz w:val="28"/>
          <w:szCs w:val="28"/>
        </w:rPr>
        <w:t>附件</w:t>
      </w:r>
      <w:r>
        <w:rPr>
          <w:rFonts w:ascii="黑体" w:hAnsi="黑体" w:eastAsia="黑体" w:cs="黑体"/>
          <w:spacing w:val="-42"/>
          <w:sz w:val="28"/>
          <w:szCs w:val="28"/>
        </w:rPr>
        <w:t xml:space="preserve"> </w:t>
      </w:r>
      <w:r>
        <w:rPr>
          <w:rFonts w:ascii="黑体" w:hAnsi="黑体" w:eastAsia="黑体" w:cs="黑体"/>
          <w:b/>
          <w:bCs/>
          <w:spacing w:val="-5"/>
          <w:sz w:val="28"/>
          <w:szCs w:val="28"/>
        </w:rPr>
        <w:t>2</w:t>
      </w:r>
      <w:r>
        <w:rPr>
          <w:rFonts w:ascii="宋体" w:hAnsi="宋体" w:eastAsia="宋体" w:cs="宋体"/>
          <w:b/>
          <w:bCs/>
          <w:spacing w:val="-5"/>
          <w:sz w:val="31"/>
          <w:szCs w:val="31"/>
        </w:rPr>
        <w:t>：</w:t>
      </w:r>
    </w:p>
    <w:p w14:paraId="2BDBA6E8">
      <w:pPr>
        <w:pStyle w:val="2"/>
        <w:spacing w:line="362" w:lineRule="auto"/>
      </w:pPr>
    </w:p>
    <w:p w14:paraId="066A578F">
      <w:pPr>
        <w:spacing w:before="91" w:line="222" w:lineRule="auto"/>
        <w:ind w:left="2897"/>
        <w:rPr>
          <w:rFonts w:ascii="黑体" w:hAnsi="黑体" w:eastAsia="黑体" w:cs="黑体"/>
          <w:sz w:val="28"/>
          <w:szCs w:val="28"/>
        </w:rPr>
      </w:pPr>
      <w:r>
        <w:rPr>
          <w:rFonts w:ascii="黑体" w:hAnsi="黑体" w:eastAsia="黑体" w:cs="黑体"/>
          <w:spacing w:val="3"/>
          <w:sz w:val="28"/>
          <w:szCs w:val="28"/>
        </w:rPr>
        <w:t>发包人供应材料设备一览表</w:t>
      </w:r>
    </w:p>
    <w:p w14:paraId="60404D50">
      <w:pPr>
        <w:spacing w:line="222" w:lineRule="auto"/>
        <w:rPr>
          <w:rFonts w:ascii="黑体" w:hAnsi="黑体" w:eastAsia="黑体" w:cs="黑体"/>
          <w:sz w:val="28"/>
          <w:szCs w:val="28"/>
        </w:rPr>
        <w:sectPr>
          <w:footerReference r:id="rId240" w:type="default"/>
          <w:pgSz w:w="11910" w:h="16845"/>
          <w:pgMar w:top="400" w:right="1546" w:bottom="1110" w:left="1367" w:header="0" w:footer="883" w:gutter="0"/>
          <w:cols w:space="720" w:num="1"/>
        </w:sectPr>
      </w:pPr>
    </w:p>
    <w:p w14:paraId="3655A7C0">
      <w:pPr>
        <w:spacing w:before="19"/>
      </w:pPr>
    </w:p>
    <w:p w14:paraId="11BC3433">
      <w:pPr>
        <w:spacing w:before="19"/>
      </w:pPr>
    </w:p>
    <w:p w14:paraId="0199B8BD">
      <w:pPr>
        <w:spacing w:before="19"/>
      </w:pPr>
    </w:p>
    <w:p w14:paraId="4265A0A2">
      <w:pPr>
        <w:spacing w:before="18"/>
      </w:pPr>
    </w:p>
    <w:tbl>
      <w:tblPr>
        <w:tblStyle w:val="5"/>
        <w:tblW w:w="7870" w:type="dxa"/>
        <w:tblInd w:w="2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6"/>
        <w:gridCol w:w="1018"/>
        <w:gridCol w:w="763"/>
        <w:gridCol w:w="629"/>
        <w:gridCol w:w="643"/>
        <w:gridCol w:w="763"/>
        <w:gridCol w:w="763"/>
        <w:gridCol w:w="718"/>
        <w:gridCol w:w="1317"/>
        <w:gridCol w:w="740"/>
      </w:tblGrid>
      <w:tr w14:paraId="140D1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trPr>
        <w:tc>
          <w:tcPr>
            <w:tcW w:w="516" w:type="dxa"/>
            <w:tcBorders>
              <w:top w:val="single" w:color="000000" w:sz="12" w:space="0"/>
              <w:left w:val="single" w:color="000000" w:sz="12" w:space="0"/>
            </w:tcBorders>
            <w:textDirection w:val="tbRlV"/>
            <w:vAlign w:val="top"/>
          </w:tcPr>
          <w:p w14:paraId="102D881B">
            <w:pPr>
              <w:pStyle w:val="6"/>
              <w:spacing w:before="162" w:line="210" w:lineRule="auto"/>
              <w:ind w:left="179"/>
              <w:rPr>
                <w:sz w:val="21"/>
                <w:szCs w:val="21"/>
              </w:rPr>
            </w:pPr>
            <w:r>
              <w:rPr>
                <w:sz w:val="21"/>
                <w:szCs w:val="21"/>
              </w:rPr>
              <w:t>序</w:t>
            </w:r>
            <w:r>
              <w:rPr>
                <w:spacing w:val="7"/>
                <w:sz w:val="21"/>
                <w:szCs w:val="21"/>
              </w:rPr>
              <w:t xml:space="preserve">  </w:t>
            </w:r>
            <w:r>
              <w:rPr>
                <w:sz w:val="21"/>
                <w:szCs w:val="21"/>
              </w:rPr>
              <w:t>号</w:t>
            </w:r>
          </w:p>
        </w:tc>
        <w:tc>
          <w:tcPr>
            <w:tcW w:w="1018" w:type="dxa"/>
            <w:tcBorders>
              <w:top w:val="single" w:color="000000" w:sz="12" w:space="0"/>
            </w:tcBorders>
            <w:vAlign w:val="top"/>
          </w:tcPr>
          <w:p w14:paraId="6E6EF5BB">
            <w:pPr>
              <w:pStyle w:val="6"/>
              <w:spacing w:before="180" w:line="308" w:lineRule="auto"/>
              <w:ind w:left="44" w:right="128" w:firstLine="236"/>
              <w:rPr>
                <w:sz w:val="21"/>
                <w:szCs w:val="21"/>
              </w:rPr>
            </w:pPr>
            <w:r>
              <w:rPr>
                <w:spacing w:val="-13"/>
                <w:sz w:val="21"/>
                <w:szCs w:val="21"/>
              </w:rPr>
              <w:t>材料、</w:t>
            </w:r>
            <w:r>
              <w:rPr>
                <w:spacing w:val="-3"/>
                <w:sz w:val="21"/>
                <w:szCs w:val="21"/>
              </w:rPr>
              <w:t>设备品种</w:t>
            </w:r>
          </w:p>
        </w:tc>
        <w:tc>
          <w:tcPr>
            <w:tcW w:w="763" w:type="dxa"/>
            <w:tcBorders>
              <w:top w:val="single" w:color="000000" w:sz="12" w:space="0"/>
            </w:tcBorders>
            <w:vAlign w:val="top"/>
          </w:tcPr>
          <w:p w14:paraId="0A6F4AF6">
            <w:pPr>
              <w:pStyle w:val="6"/>
              <w:spacing w:before="179" w:line="220" w:lineRule="auto"/>
              <w:ind w:left="150"/>
              <w:rPr>
                <w:sz w:val="21"/>
                <w:szCs w:val="21"/>
              </w:rPr>
            </w:pPr>
            <w:r>
              <w:rPr>
                <w:spacing w:val="-3"/>
                <w:sz w:val="21"/>
                <w:szCs w:val="21"/>
              </w:rPr>
              <w:t>规格</w:t>
            </w:r>
          </w:p>
          <w:p w14:paraId="2A3C0E6B">
            <w:pPr>
              <w:pStyle w:val="6"/>
              <w:spacing w:before="185" w:line="221" w:lineRule="auto"/>
              <w:ind w:left="155"/>
              <w:rPr>
                <w:sz w:val="21"/>
                <w:szCs w:val="21"/>
              </w:rPr>
            </w:pPr>
            <w:r>
              <w:rPr>
                <w:spacing w:val="-4"/>
                <w:sz w:val="21"/>
                <w:szCs w:val="21"/>
              </w:rPr>
              <w:t>型号</w:t>
            </w:r>
          </w:p>
        </w:tc>
        <w:tc>
          <w:tcPr>
            <w:tcW w:w="629" w:type="dxa"/>
            <w:tcBorders>
              <w:top w:val="single" w:color="000000" w:sz="12" w:space="0"/>
            </w:tcBorders>
            <w:vAlign w:val="top"/>
          </w:tcPr>
          <w:p w14:paraId="38EB0BFE">
            <w:pPr>
              <w:spacing w:line="334" w:lineRule="auto"/>
              <w:rPr>
                <w:rFonts w:ascii="Arial"/>
                <w:sz w:val="21"/>
              </w:rPr>
            </w:pPr>
          </w:p>
          <w:p w14:paraId="18A659AF">
            <w:pPr>
              <w:pStyle w:val="6"/>
              <w:spacing w:before="69" w:line="220" w:lineRule="auto"/>
              <w:ind w:left="108"/>
              <w:rPr>
                <w:sz w:val="21"/>
                <w:szCs w:val="21"/>
              </w:rPr>
            </w:pPr>
            <w:r>
              <w:rPr>
                <w:spacing w:val="-3"/>
                <w:sz w:val="21"/>
                <w:szCs w:val="21"/>
              </w:rPr>
              <w:t>单位</w:t>
            </w:r>
          </w:p>
        </w:tc>
        <w:tc>
          <w:tcPr>
            <w:tcW w:w="643" w:type="dxa"/>
            <w:tcBorders>
              <w:top w:val="single" w:color="000000" w:sz="12" w:space="0"/>
            </w:tcBorders>
            <w:vAlign w:val="top"/>
          </w:tcPr>
          <w:p w14:paraId="2B77D05E">
            <w:pPr>
              <w:spacing w:line="334" w:lineRule="auto"/>
              <w:rPr>
                <w:rFonts w:ascii="Arial"/>
                <w:sz w:val="21"/>
              </w:rPr>
            </w:pPr>
          </w:p>
          <w:p w14:paraId="08CFEE46">
            <w:pPr>
              <w:pStyle w:val="6"/>
              <w:spacing w:before="68" w:line="220" w:lineRule="auto"/>
              <w:ind w:left="110"/>
              <w:rPr>
                <w:sz w:val="21"/>
                <w:szCs w:val="21"/>
              </w:rPr>
            </w:pPr>
            <w:r>
              <w:rPr>
                <w:spacing w:val="-3"/>
                <w:sz w:val="21"/>
                <w:szCs w:val="21"/>
              </w:rPr>
              <w:t>数量</w:t>
            </w:r>
          </w:p>
        </w:tc>
        <w:tc>
          <w:tcPr>
            <w:tcW w:w="763" w:type="dxa"/>
            <w:tcBorders>
              <w:top w:val="single" w:color="000000" w:sz="12" w:space="0"/>
            </w:tcBorders>
            <w:vAlign w:val="top"/>
          </w:tcPr>
          <w:p w14:paraId="05DE85BF">
            <w:pPr>
              <w:pStyle w:val="6"/>
              <w:spacing w:before="180" w:line="308" w:lineRule="auto"/>
              <w:ind w:left="102" w:right="42" w:firstLine="71"/>
              <w:rPr>
                <w:sz w:val="21"/>
                <w:szCs w:val="21"/>
              </w:rPr>
            </w:pPr>
            <w:r>
              <w:rPr>
                <w:spacing w:val="-5"/>
                <w:sz w:val="21"/>
                <w:szCs w:val="21"/>
              </w:rPr>
              <w:t>单价</w:t>
            </w:r>
            <w:r>
              <w:rPr>
                <w:spacing w:val="-9"/>
                <w:sz w:val="21"/>
                <w:szCs w:val="21"/>
              </w:rPr>
              <w:t>（元）</w:t>
            </w:r>
          </w:p>
        </w:tc>
        <w:tc>
          <w:tcPr>
            <w:tcW w:w="763" w:type="dxa"/>
            <w:tcBorders>
              <w:top w:val="single" w:color="000000" w:sz="12" w:space="0"/>
            </w:tcBorders>
            <w:vAlign w:val="top"/>
          </w:tcPr>
          <w:p w14:paraId="0AB057E8">
            <w:pPr>
              <w:pStyle w:val="6"/>
              <w:spacing w:before="179" w:line="220" w:lineRule="auto"/>
              <w:ind w:left="175"/>
              <w:rPr>
                <w:sz w:val="21"/>
                <w:szCs w:val="21"/>
              </w:rPr>
            </w:pPr>
            <w:r>
              <w:rPr>
                <w:spacing w:val="-3"/>
                <w:sz w:val="21"/>
                <w:szCs w:val="21"/>
              </w:rPr>
              <w:t>质量</w:t>
            </w:r>
          </w:p>
          <w:p w14:paraId="4BC0FB26">
            <w:pPr>
              <w:pStyle w:val="6"/>
              <w:spacing w:before="184" w:line="220" w:lineRule="auto"/>
              <w:ind w:left="176"/>
              <w:rPr>
                <w:sz w:val="21"/>
                <w:szCs w:val="21"/>
              </w:rPr>
            </w:pPr>
            <w:r>
              <w:rPr>
                <w:spacing w:val="-3"/>
                <w:sz w:val="21"/>
                <w:szCs w:val="21"/>
              </w:rPr>
              <w:t>等级</w:t>
            </w:r>
          </w:p>
        </w:tc>
        <w:tc>
          <w:tcPr>
            <w:tcW w:w="718" w:type="dxa"/>
            <w:tcBorders>
              <w:top w:val="single" w:color="000000" w:sz="12" w:space="0"/>
            </w:tcBorders>
            <w:vAlign w:val="top"/>
          </w:tcPr>
          <w:p w14:paraId="2E0C9962">
            <w:pPr>
              <w:pStyle w:val="6"/>
              <w:spacing w:before="179" w:line="219" w:lineRule="auto"/>
              <w:ind w:left="162"/>
              <w:rPr>
                <w:sz w:val="21"/>
                <w:szCs w:val="21"/>
              </w:rPr>
            </w:pPr>
            <w:r>
              <w:rPr>
                <w:spacing w:val="-2"/>
                <w:sz w:val="21"/>
                <w:szCs w:val="21"/>
              </w:rPr>
              <w:t>供应</w:t>
            </w:r>
          </w:p>
          <w:p w14:paraId="4E4607A2">
            <w:pPr>
              <w:pStyle w:val="6"/>
              <w:spacing w:before="186" w:line="222" w:lineRule="auto"/>
              <w:ind w:left="172"/>
              <w:rPr>
                <w:sz w:val="21"/>
                <w:szCs w:val="21"/>
              </w:rPr>
            </w:pPr>
            <w:r>
              <w:rPr>
                <w:spacing w:val="-5"/>
                <w:sz w:val="21"/>
                <w:szCs w:val="21"/>
              </w:rPr>
              <w:t>时间</w:t>
            </w:r>
          </w:p>
        </w:tc>
        <w:tc>
          <w:tcPr>
            <w:tcW w:w="1317" w:type="dxa"/>
            <w:tcBorders>
              <w:top w:val="single" w:color="000000" w:sz="12" w:space="0"/>
            </w:tcBorders>
            <w:vAlign w:val="top"/>
          </w:tcPr>
          <w:p w14:paraId="258E43EF">
            <w:pPr>
              <w:spacing w:line="334" w:lineRule="auto"/>
              <w:rPr>
                <w:rFonts w:ascii="Arial"/>
                <w:sz w:val="21"/>
              </w:rPr>
            </w:pPr>
          </w:p>
          <w:p w14:paraId="1F173D01">
            <w:pPr>
              <w:pStyle w:val="6"/>
              <w:spacing w:before="68" w:line="224" w:lineRule="auto"/>
              <w:ind w:left="254"/>
              <w:rPr>
                <w:sz w:val="21"/>
                <w:szCs w:val="21"/>
              </w:rPr>
            </w:pPr>
            <w:r>
              <w:rPr>
                <w:spacing w:val="-1"/>
                <w:sz w:val="21"/>
                <w:szCs w:val="21"/>
              </w:rPr>
              <w:t>送达地点</w:t>
            </w:r>
          </w:p>
        </w:tc>
        <w:tc>
          <w:tcPr>
            <w:tcW w:w="740" w:type="dxa"/>
            <w:tcBorders>
              <w:top w:val="single" w:color="000000" w:sz="12" w:space="0"/>
              <w:right w:val="single" w:color="000000" w:sz="12" w:space="0"/>
            </w:tcBorders>
            <w:vAlign w:val="top"/>
          </w:tcPr>
          <w:p w14:paraId="47699558">
            <w:pPr>
              <w:spacing w:line="334" w:lineRule="auto"/>
              <w:rPr>
                <w:rFonts w:ascii="Arial"/>
                <w:sz w:val="21"/>
              </w:rPr>
            </w:pPr>
          </w:p>
          <w:p w14:paraId="718EF5A6">
            <w:pPr>
              <w:pStyle w:val="6"/>
              <w:spacing w:before="68" w:line="221" w:lineRule="auto"/>
              <w:ind w:left="172"/>
              <w:rPr>
                <w:sz w:val="21"/>
                <w:szCs w:val="21"/>
              </w:rPr>
            </w:pPr>
            <w:r>
              <w:rPr>
                <w:spacing w:val="-3"/>
                <w:sz w:val="21"/>
                <w:szCs w:val="21"/>
              </w:rPr>
              <w:t>备注</w:t>
            </w:r>
          </w:p>
        </w:tc>
      </w:tr>
      <w:tr w14:paraId="449CB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516" w:type="dxa"/>
            <w:tcBorders>
              <w:left w:val="single" w:color="000000" w:sz="12" w:space="0"/>
            </w:tcBorders>
            <w:vAlign w:val="top"/>
          </w:tcPr>
          <w:p w14:paraId="601E8640">
            <w:pPr>
              <w:rPr>
                <w:rFonts w:ascii="Arial"/>
                <w:sz w:val="21"/>
              </w:rPr>
            </w:pPr>
          </w:p>
        </w:tc>
        <w:tc>
          <w:tcPr>
            <w:tcW w:w="1018" w:type="dxa"/>
            <w:vAlign w:val="top"/>
          </w:tcPr>
          <w:p w14:paraId="048F5E20">
            <w:pPr>
              <w:rPr>
                <w:rFonts w:ascii="Arial"/>
                <w:sz w:val="21"/>
              </w:rPr>
            </w:pPr>
          </w:p>
        </w:tc>
        <w:tc>
          <w:tcPr>
            <w:tcW w:w="763" w:type="dxa"/>
            <w:vAlign w:val="top"/>
          </w:tcPr>
          <w:p w14:paraId="10749ADE">
            <w:pPr>
              <w:rPr>
                <w:rFonts w:ascii="Arial"/>
                <w:sz w:val="21"/>
              </w:rPr>
            </w:pPr>
          </w:p>
        </w:tc>
        <w:tc>
          <w:tcPr>
            <w:tcW w:w="629" w:type="dxa"/>
            <w:vAlign w:val="top"/>
          </w:tcPr>
          <w:p w14:paraId="4452ADC6">
            <w:pPr>
              <w:rPr>
                <w:rFonts w:ascii="Arial"/>
                <w:sz w:val="21"/>
              </w:rPr>
            </w:pPr>
          </w:p>
        </w:tc>
        <w:tc>
          <w:tcPr>
            <w:tcW w:w="643" w:type="dxa"/>
            <w:vAlign w:val="top"/>
          </w:tcPr>
          <w:p w14:paraId="3BD4E861">
            <w:pPr>
              <w:rPr>
                <w:rFonts w:ascii="Arial"/>
                <w:sz w:val="21"/>
              </w:rPr>
            </w:pPr>
          </w:p>
        </w:tc>
        <w:tc>
          <w:tcPr>
            <w:tcW w:w="763" w:type="dxa"/>
            <w:vAlign w:val="top"/>
          </w:tcPr>
          <w:p w14:paraId="45C31CB1">
            <w:pPr>
              <w:rPr>
                <w:rFonts w:ascii="Arial"/>
                <w:sz w:val="21"/>
              </w:rPr>
            </w:pPr>
          </w:p>
        </w:tc>
        <w:tc>
          <w:tcPr>
            <w:tcW w:w="763" w:type="dxa"/>
            <w:vAlign w:val="top"/>
          </w:tcPr>
          <w:p w14:paraId="2B625279">
            <w:pPr>
              <w:rPr>
                <w:rFonts w:ascii="Arial"/>
                <w:sz w:val="21"/>
              </w:rPr>
            </w:pPr>
          </w:p>
        </w:tc>
        <w:tc>
          <w:tcPr>
            <w:tcW w:w="718" w:type="dxa"/>
            <w:vAlign w:val="top"/>
          </w:tcPr>
          <w:p w14:paraId="19AD84DE">
            <w:pPr>
              <w:rPr>
                <w:rFonts w:ascii="Arial"/>
                <w:sz w:val="21"/>
              </w:rPr>
            </w:pPr>
          </w:p>
        </w:tc>
        <w:tc>
          <w:tcPr>
            <w:tcW w:w="1317" w:type="dxa"/>
            <w:vAlign w:val="top"/>
          </w:tcPr>
          <w:p w14:paraId="50958A4E">
            <w:pPr>
              <w:rPr>
                <w:rFonts w:ascii="Arial"/>
                <w:sz w:val="21"/>
              </w:rPr>
            </w:pPr>
          </w:p>
        </w:tc>
        <w:tc>
          <w:tcPr>
            <w:tcW w:w="740" w:type="dxa"/>
            <w:tcBorders>
              <w:right w:val="single" w:color="000000" w:sz="12" w:space="0"/>
            </w:tcBorders>
            <w:vAlign w:val="top"/>
          </w:tcPr>
          <w:p w14:paraId="307E0C92">
            <w:pPr>
              <w:rPr>
                <w:rFonts w:ascii="Arial"/>
                <w:sz w:val="21"/>
              </w:rPr>
            </w:pPr>
          </w:p>
        </w:tc>
      </w:tr>
      <w:tr w14:paraId="5B3EF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3E3B014B">
            <w:pPr>
              <w:rPr>
                <w:rFonts w:ascii="Arial"/>
                <w:sz w:val="21"/>
              </w:rPr>
            </w:pPr>
          </w:p>
        </w:tc>
        <w:tc>
          <w:tcPr>
            <w:tcW w:w="1018" w:type="dxa"/>
            <w:vAlign w:val="top"/>
          </w:tcPr>
          <w:p w14:paraId="303A687F">
            <w:pPr>
              <w:rPr>
                <w:rFonts w:ascii="Arial"/>
                <w:sz w:val="21"/>
              </w:rPr>
            </w:pPr>
          </w:p>
        </w:tc>
        <w:tc>
          <w:tcPr>
            <w:tcW w:w="763" w:type="dxa"/>
            <w:vAlign w:val="top"/>
          </w:tcPr>
          <w:p w14:paraId="4D230521">
            <w:pPr>
              <w:rPr>
                <w:rFonts w:ascii="Arial"/>
                <w:sz w:val="21"/>
              </w:rPr>
            </w:pPr>
          </w:p>
        </w:tc>
        <w:tc>
          <w:tcPr>
            <w:tcW w:w="629" w:type="dxa"/>
            <w:vAlign w:val="top"/>
          </w:tcPr>
          <w:p w14:paraId="52417A05">
            <w:pPr>
              <w:rPr>
                <w:rFonts w:ascii="Arial"/>
                <w:sz w:val="21"/>
              </w:rPr>
            </w:pPr>
          </w:p>
        </w:tc>
        <w:tc>
          <w:tcPr>
            <w:tcW w:w="643" w:type="dxa"/>
            <w:vAlign w:val="top"/>
          </w:tcPr>
          <w:p w14:paraId="733FF9BA">
            <w:pPr>
              <w:rPr>
                <w:rFonts w:ascii="Arial"/>
                <w:sz w:val="21"/>
              </w:rPr>
            </w:pPr>
          </w:p>
        </w:tc>
        <w:tc>
          <w:tcPr>
            <w:tcW w:w="763" w:type="dxa"/>
            <w:vAlign w:val="top"/>
          </w:tcPr>
          <w:p w14:paraId="487CC4C1">
            <w:pPr>
              <w:rPr>
                <w:rFonts w:ascii="Arial"/>
                <w:sz w:val="21"/>
              </w:rPr>
            </w:pPr>
          </w:p>
        </w:tc>
        <w:tc>
          <w:tcPr>
            <w:tcW w:w="763" w:type="dxa"/>
            <w:vAlign w:val="top"/>
          </w:tcPr>
          <w:p w14:paraId="67F52E75">
            <w:pPr>
              <w:rPr>
                <w:rFonts w:ascii="Arial"/>
                <w:sz w:val="21"/>
              </w:rPr>
            </w:pPr>
          </w:p>
        </w:tc>
        <w:tc>
          <w:tcPr>
            <w:tcW w:w="718" w:type="dxa"/>
            <w:vAlign w:val="top"/>
          </w:tcPr>
          <w:p w14:paraId="0F287925">
            <w:pPr>
              <w:rPr>
                <w:rFonts w:ascii="Arial"/>
                <w:sz w:val="21"/>
              </w:rPr>
            </w:pPr>
          </w:p>
        </w:tc>
        <w:tc>
          <w:tcPr>
            <w:tcW w:w="1317" w:type="dxa"/>
            <w:vAlign w:val="top"/>
          </w:tcPr>
          <w:p w14:paraId="6A008B18">
            <w:pPr>
              <w:rPr>
                <w:rFonts w:ascii="Arial"/>
                <w:sz w:val="21"/>
              </w:rPr>
            </w:pPr>
          </w:p>
        </w:tc>
        <w:tc>
          <w:tcPr>
            <w:tcW w:w="740" w:type="dxa"/>
            <w:tcBorders>
              <w:right w:val="single" w:color="000000" w:sz="12" w:space="0"/>
            </w:tcBorders>
            <w:vAlign w:val="top"/>
          </w:tcPr>
          <w:p w14:paraId="428FC20A">
            <w:pPr>
              <w:rPr>
                <w:rFonts w:ascii="Arial"/>
                <w:sz w:val="21"/>
              </w:rPr>
            </w:pPr>
          </w:p>
        </w:tc>
      </w:tr>
      <w:tr w14:paraId="442A8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5310F10A">
            <w:pPr>
              <w:rPr>
                <w:rFonts w:ascii="Arial"/>
                <w:sz w:val="21"/>
              </w:rPr>
            </w:pPr>
          </w:p>
        </w:tc>
        <w:tc>
          <w:tcPr>
            <w:tcW w:w="1018" w:type="dxa"/>
            <w:vAlign w:val="top"/>
          </w:tcPr>
          <w:p w14:paraId="7E73194A">
            <w:pPr>
              <w:rPr>
                <w:rFonts w:ascii="Arial"/>
                <w:sz w:val="21"/>
              </w:rPr>
            </w:pPr>
          </w:p>
        </w:tc>
        <w:tc>
          <w:tcPr>
            <w:tcW w:w="763" w:type="dxa"/>
            <w:vAlign w:val="top"/>
          </w:tcPr>
          <w:p w14:paraId="076ECB1C">
            <w:pPr>
              <w:rPr>
                <w:rFonts w:ascii="Arial"/>
                <w:sz w:val="21"/>
              </w:rPr>
            </w:pPr>
          </w:p>
        </w:tc>
        <w:tc>
          <w:tcPr>
            <w:tcW w:w="629" w:type="dxa"/>
            <w:vAlign w:val="top"/>
          </w:tcPr>
          <w:p w14:paraId="5F5D4481">
            <w:pPr>
              <w:rPr>
                <w:rFonts w:ascii="Arial"/>
                <w:sz w:val="21"/>
              </w:rPr>
            </w:pPr>
          </w:p>
        </w:tc>
        <w:tc>
          <w:tcPr>
            <w:tcW w:w="643" w:type="dxa"/>
            <w:vAlign w:val="top"/>
          </w:tcPr>
          <w:p w14:paraId="1392781C">
            <w:pPr>
              <w:rPr>
                <w:rFonts w:ascii="Arial"/>
                <w:sz w:val="21"/>
              </w:rPr>
            </w:pPr>
          </w:p>
        </w:tc>
        <w:tc>
          <w:tcPr>
            <w:tcW w:w="763" w:type="dxa"/>
            <w:vAlign w:val="top"/>
          </w:tcPr>
          <w:p w14:paraId="1B7B1C07">
            <w:pPr>
              <w:rPr>
                <w:rFonts w:ascii="Arial"/>
                <w:sz w:val="21"/>
              </w:rPr>
            </w:pPr>
          </w:p>
        </w:tc>
        <w:tc>
          <w:tcPr>
            <w:tcW w:w="763" w:type="dxa"/>
            <w:vAlign w:val="top"/>
          </w:tcPr>
          <w:p w14:paraId="3002DE46">
            <w:pPr>
              <w:rPr>
                <w:rFonts w:ascii="Arial"/>
                <w:sz w:val="21"/>
              </w:rPr>
            </w:pPr>
          </w:p>
        </w:tc>
        <w:tc>
          <w:tcPr>
            <w:tcW w:w="718" w:type="dxa"/>
            <w:vAlign w:val="top"/>
          </w:tcPr>
          <w:p w14:paraId="4ADBECB6">
            <w:pPr>
              <w:rPr>
                <w:rFonts w:ascii="Arial"/>
                <w:sz w:val="21"/>
              </w:rPr>
            </w:pPr>
          </w:p>
        </w:tc>
        <w:tc>
          <w:tcPr>
            <w:tcW w:w="1317" w:type="dxa"/>
            <w:vAlign w:val="top"/>
          </w:tcPr>
          <w:p w14:paraId="020FE5A4">
            <w:pPr>
              <w:rPr>
                <w:rFonts w:ascii="Arial"/>
                <w:sz w:val="21"/>
              </w:rPr>
            </w:pPr>
          </w:p>
        </w:tc>
        <w:tc>
          <w:tcPr>
            <w:tcW w:w="740" w:type="dxa"/>
            <w:tcBorders>
              <w:right w:val="single" w:color="000000" w:sz="12" w:space="0"/>
            </w:tcBorders>
            <w:vAlign w:val="top"/>
          </w:tcPr>
          <w:p w14:paraId="4B0D53DA">
            <w:pPr>
              <w:rPr>
                <w:rFonts w:ascii="Arial"/>
                <w:sz w:val="21"/>
              </w:rPr>
            </w:pPr>
          </w:p>
        </w:tc>
      </w:tr>
      <w:tr w14:paraId="26FEC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3A283ABB">
            <w:pPr>
              <w:rPr>
                <w:rFonts w:ascii="Arial"/>
                <w:sz w:val="21"/>
              </w:rPr>
            </w:pPr>
          </w:p>
        </w:tc>
        <w:tc>
          <w:tcPr>
            <w:tcW w:w="1018" w:type="dxa"/>
            <w:vAlign w:val="top"/>
          </w:tcPr>
          <w:p w14:paraId="24AC27A5">
            <w:pPr>
              <w:rPr>
                <w:rFonts w:ascii="Arial"/>
                <w:sz w:val="21"/>
              </w:rPr>
            </w:pPr>
          </w:p>
        </w:tc>
        <w:tc>
          <w:tcPr>
            <w:tcW w:w="763" w:type="dxa"/>
            <w:vAlign w:val="top"/>
          </w:tcPr>
          <w:p w14:paraId="6BCCBCC6">
            <w:pPr>
              <w:rPr>
                <w:rFonts w:ascii="Arial"/>
                <w:sz w:val="21"/>
              </w:rPr>
            </w:pPr>
          </w:p>
        </w:tc>
        <w:tc>
          <w:tcPr>
            <w:tcW w:w="629" w:type="dxa"/>
            <w:vAlign w:val="top"/>
          </w:tcPr>
          <w:p w14:paraId="0F7F234C">
            <w:pPr>
              <w:rPr>
                <w:rFonts w:ascii="Arial"/>
                <w:sz w:val="21"/>
              </w:rPr>
            </w:pPr>
          </w:p>
        </w:tc>
        <w:tc>
          <w:tcPr>
            <w:tcW w:w="643" w:type="dxa"/>
            <w:vAlign w:val="top"/>
          </w:tcPr>
          <w:p w14:paraId="5788D64A">
            <w:pPr>
              <w:rPr>
                <w:rFonts w:ascii="Arial"/>
                <w:sz w:val="21"/>
              </w:rPr>
            </w:pPr>
          </w:p>
        </w:tc>
        <w:tc>
          <w:tcPr>
            <w:tcW w:w="763" w:type="dxa"/>
            <w:vAlign w:val="top"/>
          </w:tcPr>
          <w:p w14:paraId="53C036A5">
            <w:pPr>
              <w:rPr>
                <w:rFonts w:ascii="Arial"/>
                <w:sz w:val="21"/>
              </w:rPr>
            </w:pPr>
          </w:p>
        </w:tc>
        <w:tc>
          <w:tcPr>
            <w:tcW w:w="763" w:type="dxa"/>
            <w:vAlign w:val="top"/>
          </w:tcPr>
          <w:p w14:paraId="010A4C06">
            <w:pPr>
              <w:rPr>
                <w:rFonts w:ascii="Arial"/>
                <w:sz w:val="21"/>
              </w:rPr>
            </w:pPr>
          </w:p>
        </w:tc>
        <w:tc>
          <w:tcPr>
            <w:tcW w:w="718" w:type="dxa"/>
            <w:vAlign w:val="top"/>
          </w:tcPr>
          <w:p w14:paraId="4A220B79">
            <w:pPr>
              <w:rPr>
                <w:rFonts w:ascii="Arial"/>
                <w:sz w:val="21"/>
              </w:rPr>
            </w:pPr>
          </w:p>
        </w:tc>
        <w:tc>
          <w:tcPr>
            <w:tcW w:w="1317" w:type="dxa"/>
            <w:vAlign w:val="top"/>
          </w:tcPr>
          <w:p w14:paraId="6BED6A19">
            <w:pPr>
              <w:rPr>
                <w:rFonts w:ascii="Arial"/>
                <w:sz w:val="21"/>
              </w:rPr>
            </w:pPr>
          </w:p>
        </w:tc>
        <w:tc>
          <w:tcPr>
            <w:tcW w:w="740" w:type="dxa"/>
            <w:tcBorders>
              <w:right w:val="single" w:color="000000" w:sz="12" w:space="0"/>
            </w:tcBorders>
            <w:vAlign w:val="top"/>
          </w:tcPr>
          <w:p w14:paraId="6EC0F62D">
            <w:pPr>
              <w:rPr>
                <w:rFonts w:ascii="Arial"/>
                <w:sz w:val="21"/>
              </w:rPr>
            </w:pPr>
          </w:p>
        </w:tc>
      </w:tr>
      <w:tr w14:paraId="34B48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3F91AEB0">
            <w:pPr>
              <w:rPr>
                <w:rFonts w:ascii="Arial"/>
                <w:sz w:val="21"/>
              </w:rPr>
            </w:pPr>
          </w:p>
        </w:tc>
        <w:tc>
          <w:tcPr>
            <w:tcW w:w="1018" w:type="dxa"/>
            <w:vAlign w:val="top"/>
          </w:tcPr>
          <w:p w14:paraId="447C858B">
            <w:pPr>
              <w:rPr>
                <w:rFonts w:ascii="Arial"/>
                <w:sz w:val="21"/>
              </w:rPr>
            </w:pPr>
          </w:p>
        </w:tc>
        <w:tc>
          <w:tcPr>
            <w:tcW w:w="763" w:type="dxa"/>
            <w:vAlign w:val="top"/>
          </w:tcPr>
          <w:p w14:paraId="101AE9E3">
            <w:pPr>
              <w:rPr>
                <w:rFonts w:ascii="Arial"/>
                <w:sz w:val="21"/>
              </w:rPr>
            </w:pPr>
          </w:p>
        </w:tc>
        <w:tc>
          <w:tcPr>
            <w:tcW w:w="629" w:type="dxa"/>
            <w:vAlign w:val="top"/>
          </w:tcPr>
          <w:p w14:paraId="2CCA23D9">
            <w:pPr>
              <w:rPr>
                <w:rFonts w:ascii="Arial"/>
                <w:sz w:val="21"/>
              </w:rPr>
            </w:pPr>
          </w:p>
        </w:tc>
        <w:tc>
          <w:tcPr>
            <w:tcW w:w="643" w:type="dxa"/>
            <w:vAlign w:val="top"/>
          </w:tcPr>
          <w:p w14:paraId="3C811047">
            <w:pPr>
              <w:rPr>
                <w:rFonts w:ascii="Arial"/>
                <w:sz w:val="21"/>
              </w:rPr>
            </w:pPr>
          </w:p>
        </w:tc>
        <w:tc>
          <w:tcPr>
            <w:tcW w:w="763" w:type="dxa"/>
            <w:vAlign w:val="top"/>
          </w:tcPr>
          <w:p w14:paraId="36ADC901">
            <w:pPr>
              <w:rPr>
                <w:rFonts w:ascii="Arial"/>
                <w:sz w:val="21"/>
              </w:rPr>
            </w:pPr>
          </w:p>
        </w:tc>
        <w:tc>
          <w:tcPr>
            <w:tcW w:w="763" w:type="dxa"/>
            <w:vAlign w:val="top"/>
          </w:tcPr>
          <w:p w14:paraId="7D9E1D64">
            <w:pPr>
              <w:rPr>
                <w:rFonts w:ascii="Arial"/>
                <w:sz w:val="21"/>
              </w:rPr>
            </w:pPr>
          </w:p>
        </w:tc>
        <w:tc>
          <w:tcPr>
            <w:tcW w:w="718" w:type="dxa"/>
            <w:vAlign w:val="top"/>
          </w:tcPr>
          <w:p w14:paraId="333298DD">
            <w:pPr>
              <w:rPr>
                <w:rFonts w:ascii="Arial"/>
                <w:sz w:val="21"/>
              </w:rPr>
            </w:pPr>
          </w:p>
        </w:tc>
        <w:tc>
          <w:tcPr>
            <w:tcW w:w="1317" w:type="dxa"/>
            <w:vAlign w:val="top"/>
          </w:tcPr>
          <w:p w14:paraId="2F61ED98">
            <w:pPr>
              <w:rPr>
                <w:rFonts w:ascii="Arial"/>
                <w:sz w:val="21"/>
              </w:rPr>
            </w:pPr>
          </w:p>
        </w:tc>
        <w:tc>
          <w:tcPr>
            <w:tcW w:w="740" w:type="dxa"/>
            <w:tcBorders>
              <w:right w:val="single" w:color="000000" w:sz="12" w:space="0"/>
            </w:tcBorders>
            <w:vAlign w:val="top"/>
          </w:tcPr>
          <w:p w14:paraId="41F33BBE">
            <w:pPr>
              <w:rPr>
                <w:rFonts w:ascii="Arial"/>
                <w:sz w:val="21"/>
              </w:rPr>
            </w:pPr>
          </w:p>
        </w:tc>
      </w:tr>
      <w:tr w14:paraId="38E4F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6621F21F">
            <w:pPr>
              <w:rPr>
                <w:rFonts w:ascii="Arial"/>
                <w:sz w:val="21"/>
              </w:rPr>
            </w:pPr>
          </w:p>
        </w:tc>
        <w:tc>
          <w:tcPr>
            <w:tcW w:w="1018" w:type="dxa"/>
            <w:vAlign w:val="top"/>
          </w:tcPr>
          <w:p w14:paraId="5DEE930D">
            <w:pPr>
              <w:rPr>
                <w:rFonts w:ascii="Arial"/>
                <w:sz w:val="21"/>
              </w:rPr>
            </w:pPr>
          </w:p>
        </w:tc>
        <w:tc>
          <w:tcPr>
            <w:tcW w:w="763" w:type="dxa"/>
            <w:vAlign w:val="top"/>
          </w:tcPr>
          <w:p w14:paraId="50409A17">
            <w:pPr>
              <w:rPr>
                <w:rFonts w:ascii="Arial"/>
                <w:sz w:val="21"/>
              </w:rPr>
            </w:pPr>
          </w:p>
        </w:tc>
        <w:tc>
          <w:tcPr>
            <w:tcW w:w="629" w:type="dxa"/>
            <w:vAlign w:val="top"/>
          </w:tcPr>
          <w:p w14:paraId="3C2EE041">
            <w:pPr>
              <w:rPr>
                <w:rFonts w:ascii="Arial"/>
                <w:sz w:val="21"/>
              </w:rPr>
            </w:pPr>
          </w:p>
        </w:tc>
        <w:tc>
          <w:tcPr>
            <w:tcW w:w="643" w:type="dxa"/>
            <w:vAlign w:val="top"/>
          </w:tcPr>
          <w:p w14:paraId="20C64199">
            <w:pPr>
              <w:rPr>
                <w:rFonts w:ascii="Arial"/>
                <w:sz w:val="21"/>
              </w:rPr>
            </w:pPr>
          </w:p>
        </w:tc>
        <w:tc>
          <w:tcPr>
            <w:tcW w:w="763" w:type="dxa"/>
            <w:vAlign w:val="top"/>
          </w:tcPr>
          <w:p w14:paraId="0235DCA4">
            <w:pPr>
              <w:rPr>
                <w:rFonts w:ascii="Arial"/>
                <w:sz w:val="21"/>
              </w:rPr>
            </w:pPr>
          </w:p>
        </w:tc>
        <w:tc>
          <w:tcPr>
            <w:tcW w:w="763" w:type="dxa"/>
            <w:vAlign w:val="top"/>
          </w:tcPr>
          <w:p w14:paraId="75E875AE">
            <w:pPr>
              <w:rPr>
                <w:rFonts w:ascii="Arial"/>
                <w:sz w:val="21"/>
              </w:rPr>
            </w:pPr>
          </w:p>
        </w:tc>
        <w:tc>
          <w:tcPr>
            <w:tcW w:w="718" w:type="dxa"/>
            <w:vAlign w:val="top"/>
          </w:tcPr>
          <w:p w14:paraId="5E2FD31B">
            <w:pPr>
              <w:rPr>
                <w:rFonts w:ascii="Arial"/>
                <w:sz w:val="21"/>
              </w:rPr>
            </w:pPr>
          </w:p>
        </w:tc>
        <w:tc>
          <w:tcPr>
            <w:tcW w:w="1317" w:type="dxa"/>
            <w:vAlign w:val="top"/>
          </w:tcPr>
          <w:p w14:paraId="70226A8A">
            <w:pPr>
              <w:rPr>
                <w:rFonts w:ascii="Arial"/>
                <w:sz w:val="21"/>
              </w:rPr>
            </w:pPr>
          </w:p>
        </w:tc>
        <w:tc>
          <w:tcPr>
            <w:tcW w:w="740" w:type="dxa"/>
            <w:tcBorders>
              <w:right w:val="single" w:color="000000" w:sz="12" w:space="0"/>
            </w:tcBorders>
            <w:vAlign w:val="top"/>
          </w:tcPr>
          <w:p w14:paraId="1FF8E66D">
            <w:pPr>
              <w:rPr>
                <w:rFonts w:ascii="Arial"/>
                <w:sz w:val="21"/>
              </w:rPr>
            </w:pPr>
          </w:p>
        </w:tc>
      </w:tr>
      <w:tr w14:paraId="3839B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4023E8BB">
            <w:pPr>
              <w:rPr>
                <w:rFonts w:ascii="Arial"/>
                <w:sz w:val="21"/>
              </w:rPr>
            </w:pPr>
          </w:p>
        </w:tc>
        <w:tc>
          <w:tcPr>
            <w:tcW w:w="1018" w:type="dxa"/>
            <w:vAlign w:val="top"/>
          </w:tcPr>
          <w:p w14:paraId="611E47C2">
            <w:pPr>
              <w:rPr>
                <w:rFonts w:ascii="Arial"/>
                <w:sz w:val="21"/>
              </w:rPr>
            </w:pPr>
          </w:p>
        </w:tc>
        <w:tc>
          <w:tcPr>
            <w:tcW w:w="763" w:type="dxa"/>
            <w:vAlign w:val="top"/>
          </w:tcPr>
          <w:p w14:paraId="32AB4F53">
            <w:pPr>
              <w:rPr>
                <w:rFonts w:ascii="Arial"/>
                <w:sz w:val="21"/>
              </w:rPr>
            </w:pPr>
          </w:p>
        </w:tc>
        <w:tc>
          <w:tcPr>
            <w:tcW w:w="629" w:type="dxa"/>
            <w:vAlign w:val="top"/>
          </w:tcPr>
          <w:p w14:paraId="2F68BC64">
            <w:pPr>
              <w:rPr>
                <w:rFonts w:ascii="Arial"/>
                <w:sz w:val="21"/>
              </w:rPr>
            </w:pPr>
          </w:p>
        </w:tc>
        <w:tc>
          <w:tcPr>
            <w:tcW w:w="643" w:type="dxa"/>
            <w:vAlign w:val="top"/>
          </w:tcPr>
          <w:p w14:paraId="1A135CA1">
            <w:pPr>
              <w:rPr>
                <w:rFonts w:ascii="Arial"/>
                <w:sz w:val="21"/>
              </w:rPr>
            </w:pPr>
          </w:p>
        </w:tc>
        <w:tc>
          <w:tcPr>
            <w:tcW w:w="763" w:type="dxa"/>
            <w:vAlign w:val="top"/>
          </w:tcPr>
          <w:p w14:paraId="691A3504">
            <w:pPr>
              <w:rPr>
                <w:rFonts w:ascii="Arial"/>
                <w:sz w:val="21"/>
              </w:rPr>
            </w:pPr>
          </w:p>
        </w:tc>
        <w:tc>
          <w:tcPr>
            <w:tcW w:w="763" w:type="dxa"/>
            <w:vAlign w:val="top"/>
          </w:tcPr>
          <w:p w14:paraId="149763E6">
            <w:pPr>
              <w:rPr>
                <w:rFonts w:ascii="Arial"/>
                <w:sz w:val="21"/>
              </w:rPr>
            </w:pPr>
          </w:p>
        </w:tc>
        <w:tc>
          <w:tcPr>
            <w:tcW w:w="718" w:type="dxa"/>
            <w:vAlign w:val="top"/>
          </w:tcPr>
          <w:p w14:paraId="636D3B16">
            <w:pPr>
              <w:rPr>
                <w:rFonts w:ascii="Arial"/>
                <w:sz w:val="21"/>
              </w:rPr>
            </w:pPr>
          </w:p>
        </w:tc>
        <w:tc>
          <w:tcPr>
            <w:tcW w:w="1317" w:type="dxa"/>
            <w:vAlign w:val="top"/>
          </w:tcPr>
          <w:p w14:paraId="7E2493DE">
            <w:pPr>
              <w:rPr>
                <w:rFonts w:ascii="Arial"/>
                <w:sz w:val="21"/>
              </w:rPr>
            </w:pPr>
          </w:p>
        </w:tc>
        <w:tc>
          <w:tcPr>
            <w:tcW w:w="740" w:type="dxa"/>
            <w:tcBorders>
              <w:right w:val="single" w:color="000000" w:sz="12" w:space="0"/>
            </w:tcBorders>
            <w:vAlign w:val="top"/>
          </w:tcPr>
          <w:p w14:paraId="6203E357">
            <w:pPr>
              <w:rPr>
                <w:rFonts w:ascii="Arial"/>
                <w:sz w:val="21"/>
              </w:rPr>
            </w:pPr>
          </w:p>
        </w:tc>
      </w:tr>
      <w:tr w14:paraId="103E2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0DED9482">
            <w:pPr>
              <w:rPr>
                <w:rFonts w:ascii="Arial"/>
                <w:sz w:val="21"/>
              </w:rPr>
            </w:pPr>
          </w:p>
        </w:tc>
        <w:tc>
          <w:tcPr>
            <w:tcW w:w="1018" w:type="dxa"/>
            <w:vAlign w:val="top"/>
          </w:tcPr>
          <w:p w14:paraId="0C27E6D5">
            <w:pPr>
              <w:rPr>
                <w:rFonts w:ascii="Arial"/>
                <w:sz w:val="21"/>
              </w:rPr>
            </w:pPr>
          </w:p>
        </w:tc>
        <w:tc>
          <w:tcPr>
            <w:tcW w:w="763" w:type="dxa"/>
            <w:vAlign w:val="top"/>
          </w:tcPr>
          <w:p w14:paraId="2E609EEF">
            <w:pPr>
              <w:rPr>
                <w:rFonts w:ascii="Arial"/>
                <w:sz w:val="21"/>
              </w:rPr>
            </w:pPr>
          </w:p>
        </w:tc>
        <w:tc>
          <w:tcPr>
            <w:tcW w:w="629" w:type="dxa"/>
            <w:vAlign w:val="top"/>
          </w:tcPr>
          <w:p w14:paraId="540BB82E">
            <w:pPr>
              <w:rPr>
                <w:rFonts w:ascii="Arial"/>
                <w:sz w:val="21"/>
              </w:rPr>
            </w:pPr>
          </w:p>
        </w:tc>
        <w:tc>
          <w:tcPr>
            <w:tcW w:w="643" w:type="dxa"/>
            <w:vAlign w:val="top"/>
          </w:tcPr>
          <w:p w14:paraId="6BFAAE5F">
            <w:pPr>
              <w:rPr>
                <w:rFonts w:ascii="Arial"/>
                <w:sz w:val="21"/>
              </w:rPr>
            </w:pPr>
          </w:p>
        </w:tc>
        <w:tc>
          <w:tcPr>
            <w:tcW w:w="763" w:type="dxa"/>
            <w:vAlign w:val="top"/>
          </w:tcPr>
          <w:p w14:paraId="0E911E11">
            <w:pPr>
              <w:rPr>
                <w:rFonts w:ascii="Arial"/>
                <w:sz w:val="21"/>
              </w:rPr>
            </w:pPr>
          </w:p>
        </w:tc>
        <w:tc>
          <w:tcPr>
            <w:tcW w:w="763" w:type="dxa"/>
            <w:vAlign w:val="top"/>
          </w:tcPr>
          <w:p w14:paraId="0D2856E6">
            <w:pPr>
              <w:rPr>
                <w:rFonts w:ascii="Arial"/>
                <w:sz w:val="21"/>
              </w:rPr>
            </w:pPr>
          </w:p>
        </w:tc>
        <w:tc>
          <w:tcPr>
            <w:tcW w:w="718" w:type="dxa"/>
            <w:vAlign w:val="top"/>
          </w:tcPr>
          <w:p w14:paraId="2AEBB0A9">
            <w:pPr>
              <w:rPr>
                <w:rFonts w:ascii="Arial"/>
                <w:sz w:val="21"/>
              </w:rPr>
            </w:pPr>
          </w:p>
        </w:tc>
        <w:tc>
          <w:tcPr>
            <w:tcW w:w="1317" w:type="dxa"/>
            <w:vAlign w:val="top"/>
          </w:tcPr>
          <w:p w14:paraId="533F299D">
            <w:pPr>
              <w:rPr>
                <w:rFonts w:ascii="Arial"/>
                <w:sz w:val="21"/>
              </w:rPr>
            </w:pPr>
          </w:p>
        </w:tc>
        <w:tc>
          <w:tcPr>
            <w:tcW w:w="740" w:type="dxa"/>
            <w:tcBorders>
              <w:right w:val="single" w:color="000000" w:sz="12" w:space="0"/>
            </w:tcBorders>
            <w:vAlign w:val="top"/>
          </w:tcPr>
          <w:p w14:paraId="49D88B3A">
            <w:pPr>
              <w:rPr>
                <w:rFonts w:ascii="Arial"/>
                <w:sz w:val="21"/>
              </w:rPr>
            </w:pPr>
          </w:p>
        </w:tc>
      </w:tr>
      <w:tr w14:paraId="0E33E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16" w:type="dxa"/>
            <w:tcBorders>
              <w:left w:val="single" w:color="000000" w:sz="12" w:space="0"/>
            </w:tcBorders>
            <w:vAlign w:val="top"/>
          </w:tcPr>
          <w:p w14:paraId="1AA2E352">
            <w:pPr>
              <w:rPr>
                <w:rFonts w:ascii="Arial"/>
                <w:sz w:val="21"/>
              </w:rPr>
            </w:pPr>
          </w:p>
        </w:tc>
        <w:tc>
          <w:tcPr>
            <w:tcW w:w="1018" w:type="dxa"/>
            <w:vAlign w:val="top"/>
          </w:tcPr>
          <w:p w14:paraId="3BCBD8EA">
            <w:pPr>
              <w:rPr>
                <w:rFonts w:ascii="Arial"/>
                <w:sz w:val="21"/>
              </w:rPr>
            </w:pPr>
          </w:p>
        </w:tc>
        <w:tc>
          <w:tcPr>
            <w:tcW w:w="763" w:type="dxa"/>
            <w:vAlign w:val="top"/>
          </w:tcPr>
          <w:p w14:paraId="725E7FD2">
            <w:pPr>
              <w:rPr>
                <w:rFonts w:ascii="Arial"/>
                <w:sz w:val="21"/>
              </w:rPr>
            </w:pPr>
          </w:p>
        </w:tc>
        <w:tc>
          <w:tcPr>
            <w:tcW w:w="629" w:type="dxa"/>
            <w:vAlign w:val="top"/>
          </w:tcPr>
          <w:p w14:paraId="69BEBD13">
            <w:pPr>
              <w:rPr>
                <w:rFonts w:ascii="Arial"/>
                <w:sz w:val="21"/>
              </w:rPr>
            </w:pPr>
          </w:p>
        </w:tc>
        <w:tc>
          <w:tcPr>
            <w:tcW w:w="643" w:type="dxa"/>
            <w:vAlign w:val="top"/>
          </w:tcPr>
          <w:p w14:paraId="1E47F0BC">
            <w:pPr>
              <w:rPr>
                <w:rFonts w:ascii="Arial"/>
                <w:sz w:val="21"/>
              </w:rPr>
            </w:pPr>
          </w:p>
        </w:tc>
        <w:tc>
          <w:tcPr>
            <w:tcW w:w="763" w:type="dxa"/>
            <w:vAlign w:val="top"/>
          </w:tcPr>
          <w:p w14:paraId="04AB6DF9">
            <w:pPr>
              <w:rPr>
                <w:rFonts w:ascii="Arial"/>
                <w:sz w:val="21"/>
              </w:rPr>
            </w:pPr>
          </w:p>
        </w:tc>
        <w:tc>
          <w:tcPr>
            <w:tcW w:w="763" w:type="dxa"/>
            <w:vAlign w:val="top"/>
          </w:tcPr>
          <w:p w14:paraId="3A4A84CD">
            <w:pPr>
              <w:rPr>
                <w:rFonts w:ascii="Arial"/>
                <w:sz w:val="21"/>
              </w:rPr>
            </w:pPr>
          </w:p>
        </w:tc>
        <w:tc>
          <w:tcPr>
            <w:tcW w:w="718" w:type="dxa"/>
            <w:vAlign w:val="top"/>
          </w:tcPr>
          <w:p w14:paraId="65F09A15">
            <w:pPr>
              <w:rPr>
                <w:rFonts w:ascii="Arial"/>
                <w:sz w:val="21"/>
              </w:rPr>
            </w:pPr>
          </w:p>
        </w:tc>
        <w:tc>
          <w:tcPr>
            <w:tcW w:w="1317" w:type="dxa"/>
            <w:vAlign w:val="top"/>
          </w:tcPr>
          <w:p w14:paraId="7DECEBA8">
            <w:pPr>
              <w:rPr>
                <w:rFonts w:ascii="Arial"/>
                <w:sz w:val="21"/>
              </w:rPr>
            </w:pPr>
          </w:p>
        </w:tc>
        <w:tc>
          <w:tcPr>
            <w:tcW w:w="740" w:type="dxa"/>
            <w:tcBorders>
              <w:right w:val="single" w:color="000000" w:sz="12" w:space="0"/>
            </w:tcBorders>
            <w:vAlign w:val="top"/>
          </w:tcPr>
          <w:p w14:paraId="15A78CF8">
            <w:pPr>
              <w:rPr>
                <w:rFonts w:ascii="Arial"/>
                <w:sz w:val="21"/>
              </w:rPr>
            </w:pPr>
          </w:p>
        </w:tc>
      </w:tr>
      <w:tr w14:paraId="6D8AC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16" w:type="dxa"/>
            <w:tcBorders>
              <w:left w:val="single" w:color="000000" w:sz="12" w:space="0"/>
            </w:tcBorders>
            <w:vAlign w:val="top"/>
          </w:tcPr>
          <w:p w14:paraId="5B3BA729">
            <w:pPr>
              <w:rPr>
                <w:rFonts w:ascii="Arial"/>
                <w:sz w:val="21"/>
              </w:rPr>
            </w:pPr>
          </w:p>
        </w:tc>
        <w:tc>
          <w:tcPr>
            <w:tcW w:w="1018" w:type="dxa"/>
            <w:vAlign w:val="top"/>
          </w:tcPr>
          <w:p w14:paraId="35C5FF9B">
            <w:pPr>
              <w:rPr>
                <w:rFonts w:ascii="Arial"/>
                <w:sz w:val="21"/>
              </w:rPr>
            </w:pPr>
          </w:p>
        </w:tc>
        <w:tc>
          <w:tcPr>
            <w:tcW w:w="763" w:type="dxa"/>
            <w:vAlign w:val="top"/>
          </w:tcPr>
          <w:p w14:paraId="1AD73827">
            <w:pPr>
              <w:rPr>
                <w:rFonts w:ascii="Arial"/>
                <w:sz w:val="21"/>
              </w:rPr>
            </w:pPr>
          </w:p>
        </w:tc>
        <w:tc>
          <w:tcPr>
            <w:tcW w:w="629" w:type="dxa"/>
            <w:vAlign w:val="top"/>
          </w:tcPr>
          <w:p w14:paraId="4A5B6D28">
            <w:pPr>
              <w:rPr>
                <w:rFonts w:ascii="Arial"/>
                <w:sz w:val="21"/>
              </w:rPr>
            </w:pPr>
          </w:p>
        </w:tc>
        <w:tc>
          <w:tcPr>
            <w:tcW w:w="643" w:type="dxa"/>
            <w:vAlign w:val="top"/>
          </w:tcPr>
          <w:p w14:paraId="31397903">
            <w:pPr>
              <w:rPr>
                <w:rFonts w:ascii="Arial"/>
                <w:sz w:val="21"/>
              </w:rPr>
            </w:pPr>
          </w:p>
        </w:tc>
        <w:tc>
          <w:tcPr>
            <w:tcW w:w="763" w:type="dxa"/>
            <w:vAlign w:val="top"/>
          </w:tcPr>
          <w:p w14:paraId="706DE961">
            <w:pPr>
              <w:rPr>
                <w:rFonts w:ascii="Arial"/>
                <w:sz w:val="21"/>
              </w:rPr>
            </w:pPr>
          </w:p>
        </w:tc>
        <w:tc>
          <w:tcPr>
            <w:tcW w:w="763" w:type="dxa"/>
            <w:vAlign w:val="top"/>
          </w:tcPr>
          <w:p w14:paraId="7EC809EC">
            <w:pPr>
              <w:rPr>
                <w:rFonts w:ascii="Arial"/>
                <w:sz w:val="21"/>
              </w:rPr>
            </w:pPr>
          </w:p>
        </w:tc>
        <w:tc>
          <w:tcPr>
            <w:tcW w:w="718" w:type="dxa"/>
            <w:vAlign w:val="top"/>
          </w:tcPr>
          <w:p w14:paraId="42AA3EE8">
            <w:pPr>
              <w:rPr>
                <w:rFonts w:ascii="Arial"/>
                <w:sz w:val="21"/>
              </w:rPr>
            </w:pPr>
          </w:p>
        </w:tc>
        <w:tc>
          <w:tcPr>
            <w:tcW w:w="1317" w:type="dxa"/>
            <w:vAlign w:val="top"/>
          </w:tcPr>
          <w:p w14:paraId="71171425">
            <w:pPr>
              <w:rPr>
                <w:rFonts w:ascii="Arial"/>
                <w:sz w:val="21"/>
              </w:rPr>
            </w:pPr>
          </w:p>
        </w:tc>
        <w:tc>
          <w:tcPr>
            <w:tcW w:w="740" w:type="dxa"/>
            <w:tcBorders>
              <w:right w:val="single" w:color="000000" w:sz="12" w:space="0"/>
            </w:tcBorders>
            <w:vAlign w:val="top"/>
          </w:tcPr>
          <w:p w14:paraId="4F14EDD0">
            <w:pPr>
              <w:rPr>
                <w:rFonts w:ascii="Arial"/>
                <w:sz w:val="21"/>
              </w:rPr>
            </w:pPr>
          </w:p>
        </w:tc>
      </w:tr>
      <w:tr w14:paraId="38564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516" w:type="dxa"/>
            <w:tcBorders>
              <w:left w:val="single" w:color="000000" w:sz="12" w:space="0"/>
            </w:tcBorders>
            <w:vAlign w:val="top"/>
          </w:tcPr>
          <w:p w14:paraId="1B2FEDD5">
            <w:pPr>
              <w:rPr>
                <w:rFonts w:ascii="Arial"/>
                <w:sz w:val="21"/>
              </w:rPr>
            </w:pPr>
          </w:p>
        </w:tc>
        <w:tc>
          <w:tcPr>
            <w:tcW w:w="1018" w:type="dxa"/>
            <w:vAlign w:val="top"/>
          </w:tcPr>
          <w:p w14:paraId="3B792BBE">
            <w:pPr>
              <w:rPr>
                <w:rFonts w:ascii="Arial"/>
                <w:sz w:val="21"/>
              </w:rPr>
            </w:pPr>
          </w:p>
        </w:tc>
        <w:tc>
          <w:tcPr>
            <w:tcW w:w="763" w:type="dxa"/>
            <w:vAlign w:val="top"/>
          </w:tcPr>
          <w:p w14:paraId="37A81765">
            <w:pPr>
              <w:rPr>
                <w:rFonts w:ascii="Arial"/>
                <w:sz w:val="21"/>
              </w:rPr>
            </w:pPr>
          </w:p>
        </w:tc>
        <w:tc>
          <w:tcPr>
            <w:tcW w:w="629" w:type="dxa"/>
            <w:vAlign w:val="top"/>
          </w:tcPr>
          <w:p w14:paraId="3F3B8D52">
            <w:pPr>
              <w:rPr>
                <w:rFonts w:ascii="Arial"/>
                <w:sz w:val="21"/>
              </w:rPr>
            </w:pPr>
          </w:p>
        </w:tc>
        <w:tc>
          <w:tcPr>
            <w:tcW w:w="643" w:type="dxa"/>
            <w:vAlign w:val="top"/>
          </w:tcPr>
          <w:p w14:paraId="7E1B8B5D">
            <w:pPr>
              <w:rPr>
                <w:rFonts w:ascii="Arial"/>
                <w:sz w:val="21"/>
              </w:rPr>
            </w:pPr>
          </w:p>
        </w:tc>
        <w:tc>
          <w:tcPr>
            <w:tcW w:w="763" w:type="dxa"/>
            <w:vAlign w:val="top"/>
          </w:tcPr>
          <w:p w14:paraId="2C8DD9E8">
            <w:pPr>
              <w:rPr>
                <w:rFonts w:ascii="Arial"/>
                <w:sz w:val="21"/>
              </w:rPr>
            </w:pPr>
          </w:p>
        </w:tc>
        <w:tc>
          <w:tcPr>
            <w:tcW w:w="763" w:type="dxa"/>
            <w:vAlign w:val="top"/>
          </w:tcPr>
          <w:p w14:paraId="1C06FE1F">
            <w:pPr>
              <w:rPr>
                <w:rFonts w:ascii="Arial"/>
                <w:sz w:val="21"/>
              </w:rPr>
            </w:pPr>
          </w:p>
        </w:tc>
        <w:tc>
          <w:tcPr>
            <w:tcW w:w="718" w:type="dxa"/>
            <w:vAlign w:val="top"/>
          </w:tcPr>
          <w:p w14:paraId="72912F28">
            <w:pPr>
              <w:rPr>
                <w:rFonts w:ascii="Arial"/>
                <w:sz w:val="21"/>
              </w:rPr>
            </w:pPr>
          </w:p>
        </w:tc>
        <w:tc>
          <w:tcPr>
            <w:tcW w:w="1317" w:type="dxa"/>
            <w:vAlign w:val="top"/>
          </w:tcPr>
          <w:p w14:paraId="16E2B64E">
            <w:pPr>
              <w:rPr>
                <w:rFonts w:ascii="Arial"/>
                <w:sz w:val="21"/>
              </w:rPr>
            </w:pPr>
          </w:p>
        </w:tc>
        <w:tc>
          <w:tcPr>
            <w:tcW w:w="740" w:type="dxa"/>
            <w:tcBorders>
              <w:right w:val="single" w:color="000000" w:sz="12" w:space="0"/>
            </w:tcBorders>
            <w:vAlign w:val="top"/>
          </w:tcPr>
          <w:p w14:paraId="2E7FD80D">
            <w:pPr>
              <w:rPr>
                <w:rFonts w:ascii="Arial"/>
                <w:sz w:val="21"/>
              </w:rPr>
            </w:pPr>
          </w:p>
        </w:tc>
      </w:tr>
      <w:tr w14:paraId="5CD4D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16" w:type="dxa"/>
            <w:tcBorders>
              <w:left w:val="single" w:color="000000" w:sz="12" w:space="0"/>
            </w:tcBorders>
            <w:vAlign w:val="top"/>
          </w:tcPr>
          <w:p w14:paraId="3D6870CF">
            <w:pPr>
              <w:rPr>
                <w:rFonts w:ascii="Arial"/>
                <w:sz w:val="21"/>
              </w:rPr>
            </w:pPr>
          </w:p>
        </w:tc>
        <w:tc>
          <w:tcPr>
            <w:tcW w:w="1018" w:type="dxa"/>
            <w:vAlign w:val="top"/>
          </w:tcPr>
          <w:p w14:paraId="5BD7BD19">
            <w:pPr>
              <w:rPr>
                <w:rFonts w:ascii="Arial"/>
                <w:sz w:val="21"/>
              </w:rPr>
            </w:pPr>
          </w:p>
        </w:tc>
        <w:tc>
          <w:tcPr>
            <w:tcW w:w="763" w:type="dxa"/>
            <w:vAlign w:val="top"/>
          </w:tcPr>
          <w:p w14:paraId="4413B0F5">
            <w:pPr>
              <w:rPr>
                <w:rFonts w:ascii="Arial"/>
                <w:sz w:val="21"/>
              </w:rPr>
            </w:pPr>
          </w:p>
        </w:tc>
        <w:tc>
          <w:tcPr>
            <w:tcW w:w="629" w:type="dxa"/>
            <w:vAlign w:val="top"/>
          </w:tcPr>
          <w:p w14:paraId="53365851">
            <w:pPr>
              <w:rPr>
                <w:rFonts w:ascii="Arial"/>
                <w:sz w:val="21"/>
              </w:rPr>
            </w:pPr>
          </w:p>
        </w:tc>
        <w:tc>
          <w:tcPr>
            <w:tcW w:w="643" w:type="dxa"/>
            <w:vAlign w:val="top"/>
          </w:tcPr>
          <w:p w14:paraId="3DDF60C4">
            <w:pPr>
              <w:rPr>
                <w:rFonts w:ascii="Arial"/>
                <w:sz w:val="21"/>
              </w:rPr>
            </w:pPr>
          </w:p>
        </w:tc>
        <w:tc>
          <w:tcPr>
            <w:tcW w:w="763" w:type="dxa"/>
            <w:vAlign w:val="top"/>
          </w:tcPr>
          <w:p w14:paraId="1F969034">
            <w:pPr>
              <w:rPr>
                <w:rFonts w:ascii="Arial"/>
                <w:sz w:val="21"/>
              </w:rPr>
            </w:pPr>
          </w:p>
        </w:tc>
        <w:tc>
          <w:tcPr>
            <w:tcW w:w="763" w:type="dxa"/>
            <w:vAlign w:val="top"/>
          </w:tcPr>
          <w:p w14:paraId="38B6DB54">
            <w:pPr>
              <w:rPr>
                <w:rFonts w:ascii="Arial"/>
                <w:sz w:val="21"/>
              </w:rPr>
            </w:pPr>
          </w:p>
        </w:tc>
        <w:tc>
          <w:tcPr>
            <w:tcW w:w="718" w:type="dxa"/>
            <w:vAlign w:val="top"/>
          </w:tcPr>
          <w:p w14:paraId="43FF5296">
            <w:pPr>
              <w:rPr>
                <w:rFonts w:ascii="Arial"/>
                <w:sz w:val="21"/>
              </w:rPr>
            </w:pPr>
          </w:p>
        </w:tc>
        <w:tc>
          <w:tcPr>
            <w:tcW w:w="1317" w:type="dxa"/>
            <w:vAlign w:val="top"/>
          </w:tcPr>
          <w:p w14:paraId="41877DA6">
            <w:pPr>
              <w:rPr>
                <w:rFonts w:ascii="Arial"/>
                <w:sz w:val="21"/>
              </w:rPr>
            </w:pPr>
          </w:p>
        </w:tc>
        <w:tc>
          <w:tcPr>
            <w:tcW w:w="740" w:type="dxa"/>
            <w:tcBorders>
              <w:right w:val="single" w:color="000000" w:sz="12" w:space="0"/>
            </w:tcBorders>
            <w:vAlign w:val="top"/>
          </w:tcPr>
          <w:p w14:paraId="0C5423DE">
            <w:pPr>
              <w:rPr>
                <w:rFonts w:ascii="Arial"/>
                <w:sz w:val="21"/>
              </w:rPr>
            </w:pPr>
          </w:p>
        </w:tc>
      </w:tr>
      <w:tr w14:paraId="5A331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516" w:type="dxa"/>
            <w:tcBorders>
              <w:left w:val="single" w:color="000000" w:sz="12" w:space="0"/>
            </w:tcBorders>
            <w:vAlign w:val="top"/>
          </w:tcPr>
          <w:p w14:paraId="76C4209E">
            <w:pPr>
              <w:rPr>
                <w:rFonts w:ascii="Arial"/>
                <w:sz w:val="21"/>
              </w:rPr>
            </w:pPr>
          </w:p>
        </w:tc>
        <w:tc>
          <w:tcPr>
            <w:tcW w:w="1018" w:type="dxa"/>
            <w:vAlign w:val="top"/>
          </w:tcPr>
          <w:p w14:paraId="07CE02B5">
            <w:pPr>
              <w:rPr>
                <w:rFonts w:ascii="Arial"/>
                <w:sz w:val="21"/>
              </w:rPr>
            </w:pPr>
          </w:p>
        </w:tc>
        <w:tc>
          <w:tcPr>
            <w:tcW w:w="763" w:type="dxa"/>
            <w:vAlign w:val="top"/>
          </w:tcPr>
          <w:p w14:paraId="029B132A">
            <w:pPr>
              <w:rPr>
                <w:rFonts w:ascii="Arial"/>
                <w:sz w:val="21"/>
              </w:rPr>
            </w:pPr>
          </w:p>
        </w:tc>
        <w:tc>
          <w:tcPr>
            <w:tcW w:w="629" w:type="dxa"/>
            <w:vAlign w:val="top"/>
          </w:tcPr>
          <w:p w14:paraId="45CAD249">
            <w:pPr>
              <w:rPr>
                <w:rFonts w:ascii="Arial"/>
                <w:sz w:val="21"/>
              </w:rPr>
            </w:pPr>
          </w:p>
        </w:tc>
        <w:tc>
          <w:tcPr>
            <w:tcW w:w="643" w:type="dxa"/>
            <w:vAlign w:val="top"/>
          </w:tcPr>
          <w:p w14:paraId="101E95F4">
            <w:pPr>
              <w:rPr>
                <w:rFonts w:ascii="Arial"/>
                <w:sz w:val="21"/>
              </w:rPr>
            </w:pPr>
          </w:p>
        </w:tc>
        <w:tc>
          <w:tcPr>
            <w:tcW w:w="763" w:type="dxa"/>
            <w:vAlign w:val="top"/>
          </w:tcPr>
          <w:p w14:paraId="5E0B176A">
            <w:pPr>
              <w:rPr>
                <w:rFonts w:ascii="Arial"/>
                <w:sz w:val="21"/>
              </w:rPr>
            </w:pPr>
          </w:p>
        </w:tc>
        <w:tc>
          <w:tcPr>
            <w:tcW w:w="763" w:type="dxa"/>
            <w:vAlign w:val="top"/>
          </w:tcPr>
          <w:p w14:paraId="6EF76C1E">
            <w:pPr>
              <w:rPr>
                <w:rFonts w:ascii="Arial"/>
                <w:sz w:val="21"/>
              </w:rPr>
            </w:pPr>
          </w:p>
        </w:tc>
        <w:tc>
          <w:tcPr>
            <w:tcW w:w="718" w:type="dxa"/>
            <w:vAlign w:val="top"/>
          </w:tcPr>
          <w:p w14:paraId="405022B5">
            <w:pPr>
              <w:rPr>
                <w:rFonts w:ascii="Arial"/>
                <w:sz w:val="21"/>
              </w:rPr>
            </w:pPr>
          </w:p>
        </w:tc>
        <w:tc>
          <w:tcPr>
            <w:tcW w:w="1317" w:type="dxa"/>
            <w:vAlign w:val="top"/>
          </w:tcPr>
          <w:p w14:paraId="7F430788">
            <w:pPr>
              <w:rPr>
                <w:rFonts w:ascii="Arial"/>
                <w:sz w:val="21"/>
              </w:rPr>
            </w:pPr>
          </w:p>
        </w:tc>
        <w:tc>
          <w:tcPr>
            <w:tcW w:w="740" w:type="dxa"/>
            <w:tcBorders>
              <w:right w:val="single" w:color="000000" w:sz="12" w:space="0"/>
            </w:tcBorders>
            <w:vAlign w:val="top"/>
          </w:tcPr>
          <w:p w14:paraId="2F14D6B6">
            <w:pPr>
              <w:rPr>
                <w:rFonts w:ascii="Arial"/>
                <w:sz w:val="21"/>
              </w:rPr>
            </w:pPr>
          </w:p>
        </w:tc>
      </w:tr>
      <w:tr w14:paraId="132A8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516" w:type="dxa"/>
            <w:tcBorders>
              <w:left w:val="single" w:color="000000" w:sz="12" w:space="0"/>
            </w:tcBorders>
            <w:vAlign w:val="top"/>
          </w:tcPr>
          <w:p w14:paraId="35221E47">
            <w:pPr>
              <w:rPr>
                <w:rFonts w:ascii="Arial"/>
                <w:sz w:val="21"/>
              </w:rPr>
            </w:pPr>
          </w:p>
        </w:tc>
        <w:tc>
          <w:tcPr>
            <w:tcW w:w="1018" w:type="dxa"/>
            <w:vAlign w:val="top"/>
          </w:tcPr>
          <w:p w14:paraId="7649E82C">
            <w:pPr>
              <w:rPr>
                <w:rFonts w:ascii="Arial"/>
                <w:sz w:val="21"/>
              </w:rPr>
            </w:pPr>
          </w:p>
        </w:tc>
        <w:tc>
          <w:tcPr>
            <w:tcW w:w="763" w:type="dxa"/>
            <w:vAlign w:val="top"/>
          </w:tcPr>
          <w:p w14:paraId="1A5C7352">
            <w:pPr>
              <w:rPr>
                <w:rFonts w:ascii="Arial"/>
                <w:sz w:val="21"/>
              </w:rPr>
            </w:pPr>
          </w:p>
        </w:tc>
        <w:tc>
          <w:tcPr>
            <w:tcW w:w="629" w:type="dxa"/>
            <w:vAlign w:val="top"/>
          </w:tcPr>
          <w:p w14:paraId="489E33AF">
            <w:pPr>
              <w:rPr>
                <w:rFonts w:ascii="Arial"/>
                <w:sz w:val="21"/>
              </w:rPr>
            </w:pPr>
          </w:p>
        </w:tc>
        <w:tc>
          <w:tcPr>
            <w:tcW w:w="643" w:type="dxa"/>
            <w:vAlign w:val="top"/>
          </w:tcPr>
          <w:p w14:paraId="5B16EA0F">
            <w:pPr>
              <w:rPr>
                <w:rFonts w:ascii="Arial"/>
                <w:sz w:val="21"/>
              </w:rPr>
            </w:pPr>
          </w:p>
        </w:tc>
        <w:tc>
          <w:tcPr>
            <w:tcW w:w="763" w:type="dxa"/>
            <w:vAlign w:val="top"/>
          </w:tcPr>
          <w:p w14:paraId="445AA64E">
            <w:pPr>
              <w:rPr>
                <w:rFonts w:ascii="Arial"/>
                <w:sz w:val="21"/>
              </w:rPr>
            </w:pPr>
          </w:p>
        </w:tc>
        <w:tc>
          <w:tcPr>
            <w:tcW w:w="763" w:type="dxa"/>
            <w:vAlign w:val="top"/>
          </w:tcPr>
          <w:p w14:paraId="6C6F0DE2">
            <w:pPr>
              <w:rPr>
                <w:rFonts w:ascii="Arial"/>
                <w:sz w:val="21"/>
              </w:rPr>
            </w:pPr>
          </w:p>
        </w:tc>
        <w:tc>
          <w:tcPr>
            <w:tcW w:w="718" w:type="dxa"/>
            <w:vAlign w:val="top"/>
          </w:tcPr>
          <w:p w14:paraId="1A827C3F">
            <w:pPr>
              <w:rPr>
                <w:rFonts w:ascii="Arial"/>
                <w:sz w:val="21"/>
              </w:rPr>
            </w:pPr>
          </w:p>
        </w:tc>
        <w:tc>
          <w:tcPr>
            <w:tcW w:w="1317" w:type="dxa"/>
            <w:vAlign w:val="top"/>
          </w:tcPr>
          <w:p w14:paraId="01788F5D">
            <w:pPr>
              <w:rPr>
                <w:rFonts w:ascii="Arial"/>
                <w:sz w:val="21"/>
              </w:rPr>
            </w:pPr>
          </w:p>
        </w:tc>
        <w:tc>
          <w:tcPr>
            <w:tcW w:w="740" w:type="dxa"/>
            <w:tcBorders>
              <w:right w:val="single" w:color="000000" w:sz="12" w:space="0"/>
            </w:tcBorders>
            <w:vAlign w:val="top"/>
          </w:tcPr>
          <w:p w14:paraId="120BAED8">
            <w:pPr>
              <w:rPr>
                <w:rFonts w:ascii="Arial"/>
                <w:sz w:val="21"/>
              </w:rPr>
            </w:pPr>
          </w:p>
        </w:tc>
      </w:tr>
      <w:tr w14:paraId="68A8A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16" w:type="dxa"/>
            <w:tcBorders>
              <w:left w:val="single" w:color="000000" w:sz="12" w:space="0"/>
            </w:tcBorders>
            <w:vAlign w:val="top"/>
          </w:tcPr>
          <w:p w14:paraId="76A33815">
            <w:pPr>
              <w:rPr>
                <w:rFonts w:ascii="Arial"/>
                <w:sz w:val="21"/>
              </w:rPr>
            </w:pPr>
          </w:p>
        </w:tc>
        <w:tc>
          <w:tcPr>
            <w:tcW w:w="1018" w:type="dxa"/>
            <w:vAlign w:val="top"/>
          </w:tcPr>
          <w:p w14:paraId="302CC5D5">
            <w:pPr>
              <w:rPr>
                <w:rFonts w:ascii="Arial"/>
                <w:sz w:val="21"/>
              </w:rPr>
            </w:pPr>
          </w:p>
        </w:tc>
        <w:tc>
          <w:tcPr>
            <w:tcW w:w="763" w:type="dxa"/>
            <w:vAlign w:val="top"/>
          </w:tcPr>
          <w:p w14:paraId="23BA0316">
            <w:pPr>
              <w:rPr>
                <w:rFonts w:ascii="Arial"/>
                <w:sz w:val="21"/>
              </w:rPr>
            </w:pPr>
          </w:p>
        </w:tc>
        <w:tc>
          <w:tcPr>
            <w:tcW w:w="629" w:type="dxa"/>
            <w:vAlign w:val="top"/>
          </w:tcPr>
          <w:p w14:paraId="507DE32B">
            <w:pPr>
              <w:rPr>
                <w:rFonts w:ascii="Arial"/>
                <w:sz w:val="21"/>
              </w:rPr>
            </w:pPr>
          </w:p>
        </w:tc>
        <w:tc>
          <w:tcPr>
            <w:tcW w:w="643" w:type="dxa"/>
            <w:vAlign w:val="top"/>
          </w:tcPr>
          <w:p w14:paraId="4A4C7DCD">
            <w:pPr>
              <w:rPr>
                <w:rFonts w:ascii="Arial"/>
                <w:sz w:val="21"/>
              </w:rPr>
            </w:pPr>
          </w:p>
        </w:tc>
        <w:tc>
          <w:tcPr>
            <w:tcW w:w="763" w:type="dxa"/>
            <w:vAlign w:val="top"/>
          </w:tcPr>
          <w:p w14:paraId="635FC041">
            <w:pPr>
              <w:rPr>
                <w:rFonts w:ascii="Arial"/>
                <w:sz w:val="21"/>
              </w:rPr>
            </w:pPr>
          </w:p>
        </w:tc>
        <w:tc>
          <w:tcPr>
            <w:tcW w:w="763" w:type="dxa"/>
            <w:vAlign w:val="top"/>
          </w:tcPr>
          <w:p w14:paraId="2B3FA66C">
            <w:pPr>
              <w:rPr>
                <w:rFonts w:ascii="Arial"/>
                <w:sz w:val="21"/>
              </w:rPr>
            </w:pPr>
          </w:p>
        </w:tc>
        <w:tc>
          <w:tcPr>
            <w:tcW w:w="718" w:type="dxa"/>
            <w:vAlign w:val="top"/>
          </w:tcPr>
          <w:p w14:paraId="0A08B79C">
            <w:pPr>
              <w:rPr>
                <w:rFonts w:ascii="Arial"/>
                <w:sz w:val="21"/>
              </w:rPr>
            </w:pPr>
          </w:p>
        </w:tc>
        <w:tc>
          <w:tcPr>
            <w:tcW w:w="1317" w:type="dxa"/>
            <w:vAlign w:val="top"/>
          </w:tcPr>
          <w:p w14:paraId="760189D2">
            <w:pPr>
              <w:rPr>
                <w:rFonts w:ascii="Arial"/>
                <w:sz w:val="21"/>
              </w:rPr>
            </w:pPr>
          </w:p>
        </w:tc>
        <w:tc>
          <w:tcPr>
            <w:tcW w:w="740" w:type="dxa"/>
            <w:tcBorders>
              <w:right w:val="single" w:color="000000" w:sz="12" w:space="0"/>
            </w:tcBorders>
            <w:vAlign w:val="top"/>
          </w:tcPr>
          <w:p w14:paraId="0FEE7827">
            <w:pPr>
              <w:rPr>
                <w:rFonts w:ascii="Arial"/>
                <w:sz w:val="21"/>
              </w:rPr>
            </w:pPr>
          </w:p>
        </w:tc>
      </w:tr>
      <w:tr w14:paraId="04D6A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516" w:type="dxa"/>
            <w:tcBorders>
              <w:left w:val="single" w:color="000000" w:sz="12" w:space="0"/>
            </w:tcBorders>
            <w:vAlign w:val="top"/>
          </w:tcPr>
          <w:p w14:paraId="1FF19526">
            <w:pPr>
              <w:rPr>
                <w:rFonts w:ascii="Arial"/>
                <w:sz w:val="21"/>
              </w:rPr>
            </w:pPr>
          </w:p>
        </w:tc>
        <w:tc>
          <w:tcPr>
            <w:tcW w:w="1018" w:type="dxa"/>
            <w:vAlign w:val="top"/>
          </w:tcPr>
          <w:p w14:paraId="44C093F0">
            <w:pPr>
              <w:rPr>
                <w:rFonts w:ascii="Arial"/>
                <w:sz w:val="21"/>
              </w:rPr>
            </w:pPr>
          </w:p>
        </w:tc>
        <w:tc>
          <w:tcPr>
            <w:tcW w:w="763" w:type="dxa"/>
            <w:vAlign w:val="top"/>
          </w:tcPr>
          <w:p w14:paraId="32E55CDF">
            <w:pPr>
              <w:rPr>
                <w:rFonts w:ascii="Arial"/>
                <w:sz w:val="21"/>
              </w:rPr>
            </w:pPr>
          </w:p>
        </w:tc>
        <w:tc>
          <w:tcPr>
            <w:tcW w:w="629" w:type="dxa"/>
            <w:vAlign w:val="top"/>
          </w:tcPr>
          <w:p w14:paraId="53E05AEC">
            <w:pPr>
              <w:rPr>
                <w:rFonts w:ascii="Arial"/>
                <w:sz w:val="21"/>
              </w:rPr>
            </w:pPr>
          </w:p>
        </w:tc>
        <w:tc>
          <w:tcPr>
            <w:tcW w:w="643" w:type="dxa"/>
            <w:vAlign w:val="top"/>
          </w:tcPr>
          <w:p w14:paraId="6A5E1478">
            <w:pPr>
              <w:rPr>
                <w:rFonts w:ascii="Arial"/>
                <w:sz w:val="21"/>
              </w:rPr>
            </w:pPr>
          </w:p>
        </w:tc>
        <w:tc>
          <w:tcPr>
            <w:tcW w:w="763" w:type="dxa"/>
            <w:vAlign w:val="top"/>
          </w:tcPr>
          <w:p w14:paraId="5554E739">
            <w:pPr>
              <w:rPr>
                <w:rFonts w:ascii="Arial"/>
                <w:sz w:val="21"/>
              </w:rPr>
            </w:pPr>
          </w:p>
        </w:tc>
        <w:tc>
          <w:tcPr>
            <w:tcW w:w="763" w:type="dxa"/>
            <w:vAlign w:val="top"/>
          </w:tcPr>
          <w:p w14:paraId="66A9D54B">
            <w:pPr>
              <w:rPr>
                <w:rFonts w:ascii="Arial"/>
                <w:sz w:val="21"/>
              </w:rPr>
            </w:pPr>
          </w:p>
        </w:tc>
        <w:tc>
          <w:tcPr>
            <w:tcW w:w="718" w:type="dxa"/>
            <w:vAlign w:val="top"/>
          </w:tcPr>
          <w:p w14:paraId="60886E77">
            <w:pPr>
              <w:rPr>
                <w:rFonts w:ascii="Arial"/>
                <w:sz w:val="21"/>
              </w:rPr>
            </w:pPr>
          </w:p>
        </w:tc>
        <w:tc>
          <w:tcPr>
            <w:tcW w:w="1317" w:type="dxa"/>
            <w:vAlign w:val="top"/>
          </w:tcPr>
          <w:p w14:paraId="6758DDE6">
            <w:pPr>
              <w:rPr>
                <w:rFonts w:ascii="Arial"/>
                <w:sz w:val="21"/>
              </w:rPr>
            </w:pPr>
          </w:p>
        </w:tc>
        <w:tc>
          <w:tcPr>
            <w:tcW w:w="740" w:type="dxa"/>
            <w:tcBorders>
              <w:right w:val="single" w:color="000000" w:sz="12" w:space="0"/>
            </w:tcBorders>
            <w:vAlign w:val="top"/>
          </w:tcPr>
          <w:p w14:paraId="2C29EA7F">
            <w:pPr>
              <w:rPr>
                <w:rFonts w:ascii="Arial"/>
                <w:sz w:val="21"/>
              </w:rPr>
            </w:pPr>
          </w:p>
        </w:tc>
      </w:tr>
      <w:tr w14:paraId="51F2D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16" w:type="dxa"/>
            <w:tcBorders>
              <w:left w:val="single" w:color="000000" w:sz="12" w:space="0"/>
            </w:tcBorders>
            <w:vAlign w:val="top"/>
          </w:tcPr>
          <w:p w14:paraId="78E94601">
            <w:pPr>
              <w:rPr>
                <w:rFonts w:ascii="Arial"/>
                <w:sz w:val="21"/>
              </w:rPr>
            </w:pPr>
          </w:p>
        </w:tc>
        <w:tc>
          <w:tcPr>
            <w:tcW w:w="1018" w:type="dxa"/>
            <w:vAlign w:val="top"/>
          </w:tcPr>
          <w:p w14:paraId="5E31942C">
            <w:pPr>
              <w:rPr>
                <w:rFonts w:ascii="Arial"/>
                <w:sz w:val="21"/>
              </w:rPr>
            </w:pPr>
          </w:p>
        </w:tc>
        <w:tc>
          <w:tcPr>
            <w:tcW w:w="763" w:type="dxa"/>
            <w:vAlign w:val="top"/>
          </w:tcPr>
          <w:p w14:paraId="54DCFC29">
            <w:pPr>
              <w:rPr>
                <w:rFonts w:ascii="Arial"/>
                <w:sz w:val="21"/>
              </w:rPr>
            </w:pPr>
          </w:p>
        </w:tc>
        <w:tc>
          <w:tcPr>
            <w:tcW w:w="629" w:type="dxa"/>
            <w:vAlign w:val="top"/>
          </w:tcPr>
          <w:p w14:paraId="1449F7E6">
            <w:pPr>
              <w:rPr>
                <w:rFonts w:ascii="Arial"/>
                <w:sz w:val="21"/>
              </w:rPr>
            </w:pPr>
          </w:p>
        </w:tc>
        <w:tc>
          <w:tcPr>
            <w:tcW w:w="643" w:type="dxa"/>
            <w:vAlign w:val="top"/>
          </w:tcPr>
          <w:p w14:paraId="46C61CD0">
            <w:pPr>
              <w:rPr>
                <w:rFonts w:ascii="Arial"/>
                <w:sz w:val="21"/>
              </w:rPr>
            </w:pPr>
          </w:p>
        </w:tc>
        <w:tc>
          <w:tcPr>
            <w:tcW w:w="763" w:type="dxa"/>
            <w:vAlign w:val="top"/>
          </w:tcPr>
          <w:p w14:paraId="7F3B447B">
            <w:pPr>
              <w:rPr>
                <w:rFonts w:ascii="Arial"/>
                <w:sz w:val="21"/>
              </w:rPr>
            </w:pPr>
          </w:p>
        </w:tc>
        <w:tc>
          <w:tcPr>
            <w:tcW w:w="763" w:type="dxa"/>
            <w:vAlign w:val="top"/>
          </w:tcPr>
          <w:p w14:paraId="51EF746E">
            <w:pPr>
              <w:rPr>
                <w:rFonts w:ascii="Arial"/>
                <w:sz w:val="21"/>
              </w:rPr>
            </w:pPr>
          </w:p>
        </w:tc>
        <w:tc>
          <w:tcPr>
            <w:tcW w:w="718" w:type="dxa"/>
            <w:vAlign w:val="top"/>
          </w:tcPr>
          <w:p w14:paraId="7E9BF800">
            <w:pPr>
              <w:rPr>
                <w:rFonts w:ascii="Arial"/>
                <w:sz w:val="21"/>
              </w:rPr>
            </w:pPr>
          </w:p>
        </w:tc>
        <w:tc>
          <w:tcPr>
            <w:tcW w:w="1317" w:type="dxa"/>
            <w:vAlign w:val="top"/>
          </w:tcPr>
          <w:p w14:paraId="5DAED51E">
            <w:pPr>
              <w:rPr>
                <w:rFonts w:ascii="Arial"/>
                <w:sz w:val="21"/>
              </w:rPr>
            </w:pPr>
          </w:p>
        </w:tc>
        <w:tc>
          <w:tcPr>
            <w:tcW w:w="740" w:type="dxa"/>
            <w:tcBorders>
              <w:right w:val="single" w:color="000000" w:sz="12" w:space="0"/>
            </w:tcBorders>
            <w:vAlign w:val="top"/>
          </w:tcPr>
          <w:p w14:paraId="6D7D9E7B">
            <w:pPr>
              <w:rPr>
                <w:rFonts w:ascii="Arial"/>
                <w:sz w:val="21"/>
              </w:rPr>
            </w:pPr>
          </w:p>
        </w:tc>
      </w:tr>
      <w:tr w14:paraId="4BE87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1" w:hRule="atLeast"/>
        </w:trPr>
        <w:tc>
          <w:tcPr>
            <w:tcW w:w="516" w:type="dxa"/>
            <w:tcBorders>
              <w:left w:val="single" w:color="000000" w:sz="12" w:space="0"/>
              <w:bottom w:val="single" w:color="000000" w:sz="12" w:space="0"/>
            </w:tcBorders>
            <w:vAlign w:val="top"/>
          </w:tcPr>
          <w:p w14:paraId="5B40CC32">
            <w:pPr>
              <w:rPr>
                <w:rFonts w:ascii="Arial"/>
                <w:sz w:val="21"/>
              </w:rPr>
            </w:pPr>
          </w:p>
        </w:tc>
        <w:tc>
          <w:tcPr>
            <w:tcW w:w="1018" w:type="dxa"/>
            <w:tcBorders>
              <w:bottom w:val="single" w:color="000000" w:sz="12" w:space="0"/>
            </w:tcBorders>
            <w:vAlign w:val="top"/>
          </w:tcPr>
          <w:p w14:paraId="4FEEBFF9">
            <w:pPr>
              <w:rPr>
                <w:rFonts w:ascii="Arial"/>
                <w:sz w:val="21"/>
              </w:rPr>
            </w:pPr>
          </w:p>
        </w:tc>
        <w:tc>
          <w:tcPr>
            <w:tcW w:w="763" w:type="dxa"/>
            <w:tcBorders>
              <w:bottom w:val="single" w:color="000000" w:sz="12" w:space="0"/>
            </w:tcBorders>
            <w:vAlign w:val="top"/>
          </w:tcPr>
          <w:p w14:paraId="3FBA8DFE">
            <w:pPr>
              <w:rPr>
                <w:rFonts w:ascii="Arial"/>
                <w:sz w:val="21"/>
              </w:rPr>
            </w:pPr>
          </w:p>
        </w:tc>
        <w:tc>
          <w:tcPr>
            <w:tcW w:w="629" w:type="dxa"/>
            <w:tcBorders>
              <w:bottom w:val="single" w:color="000000" w:sz="12" w:space="0"/>
            </w:tcBorders>
            <w:vAlign w:val="top"/>
          </w:tcPr>
          <w:p w14:paraId="44138044">
            <w:pPr>
              <w:rPr>
                <w:rFonts w:ascii="Arial"/>
                <w:sz w:val="21"/>
              </w:rPr>
            </w:pPr>
          </w:p>
        </w:tc>
        <w:tc>
          <w:tcPr>
            <w:tcW w:w="643" w:type="dxa"/>
            <w:tcBorders>
              <w:bottom w:val="single" w:color="000000" w:sz="12" w:space="0"/>
            </w:tcBorders>
            <w:vAlign w:val="top"/>
          </w:tcPr>
          <w:p w14:paraId="75FFBE50">
            <w:pPr>
              <w:rPr>
                <w:rFonts w:ascii="Arial"/>
                <w:sz w:val="21"/>
              </w:rPr>
            </w:pPr>
          </w:p>
        </w:tc>
        <w:tc>
          <w:tcPr>
            <w:tcW w:w="763" w:type="dxa"/>
            <w:tcBorders>
              <w:bottom w:val="single" w:color="000000" w:sz="12" w:space="0"/>
            </w:tcBorders>
            <w:vAlign w:val="top"/>
          </w:tcPr>
          <w:p w14:paraId="2C58CFDD">
            <w:pPr>
              <w:rPr>
                <w:rFonts w:ascii="Arial"/>
                <w:sz w:val="21"/>
              </w:rPr>
            </w:pPr>
          </w:p>
        </w:tc>
        <w:tc>
          <w:tcPr>
            <w:tcW w:w="763" w:type="dxa"/>
            <w:tcBorders>
              <w:bottom w:val="single" w:color="000000" w:sz="12" w:space="0"/>
            </w:tcBorders>
            <w:vAlign w:val="top"/>
          </w:tcPr>
          <w:p w14:paraId="598082AE">
            <w:pPr>
              <w:rPr>
                <w:rFonts w:ascii="Arial"/>
                <w:sz w:val="21"/>
              </w:rPr>
            </w:pPr>
          </w:p>
        </w:tc>
        <w:tc>
          <w:tcPr>
            <w:tcW w:w="718" w:type="dxa"/>
            <w:tcBorders>
              <w:bottom w:val="single" w:color="000000" w:sz="12" w:space="0"/>
            </w:tcBorders>
            <w:vAlign w:val="top"/>
          </w:tcPr>
          <w:p w14:paraId="5D02EBF3">
            <w:pPr>
              <w:rPr>
                <w:rFonts w:ascii="Arial"/>
                <w:sz w:val="21"/>
              </w:rPr>
            </w:pPr>
          </w:p>
        </w:tc>
        <w:tc>
          <w:tcPr>
            <w:tcW w:w="1317" w:type="dxa"/>
            <w:tcBorders>
              <w:bottom w:val="single" w:color="000000" w:sz="12" w:space="0"/>
            </w:tcBorders>
            <w:vAlign w:val="top"/>
          </w:tcPr>
          <w:p w14:paraId="42831C8A">
            <w:pPr>
              <w:rPr>
                <w:rFonts w:ascii="Arial"/>
                <w:sz w:val="21"/>
              </w:rPr>
            </w:pPr>
          </w:p>
        </w:tc>
        <w:tc>
          <w:tcPr>
            <w:tcW w:w="740" w:type="dxa"/>
            <w:tcBorders>
              <w:bottom w:val="single" w:color="000000" w:sz="12" w:space="0"/>
              <w:right w:val="single" w:color="000000" w:sz="12" w:space="0"/>
            </w:tcBorders>
            <w:vAlign w:val="top"/>
          </w:tcPr>
          <w:p w14:paraId="4B30EEBC">
            <w:pPr>
              <w:rPr>
                <w:rFonts w:ascii="Arial"/>
                <w:sz w:val="21"/>
              </w:rPr>
            </w:pPr>
          </w:p>
        </w:tc>
      </w:tr>
    </w:tbl>
    <w:p w14:paraId="25AC425A">
      <w:pPr>
        <w:pStyle w:val="2"/>
      </w:pPr>
    </w:p>
    <w:p w14:paraId="2ECE228B">
      <w:pPr>
        <w:sectPr>
          <w:footerReference r:id="rId241" w:type="default"/>
          <w:pgSz w:w="11910" w:h="16845"/>
          <w:pgMar w:top="400" w:right="1786" w:bottom="1110" w:left="1786" w:header="0" w:footer="883" w:gutter="0"/>
          <w:cols w:space="720" w:num="1"/>
        </w:sectPr>
      </w:pPr>
    </w:p>
    <w:p w14:paraId="50965F79">
      <w:pPr>
        <w:pStyle w:val="2"/>
        <w:spacing w:line="279" w:lineRule="auto"/>
      </w:pPr>
    </w:p>
    <w:p w14:paraId="5459C848">
      <w:pPr>
        <w:pStyle w:val="2"/>
        <w:spacing w:line="279" w:lineRule="auto"/>
      </w:pPr>
    </w:p>
    <w:p w14:paraId="1037983F">
      <w:pPr>
        <w:pStyle w:val="2"/>
        <w:spacing w:line="280" w:lineRule="auto"/>
      </w:pPr>
    </w:p>
    <w:p w14:paraId="68FAF1AA">
      <w:pPr>
        <w:pStyle w:val="2"/>
        <w:spacing w:line="280" w:lineRule="auto"/>
      </w:pPr>
    </w:p>
    <w:p w14:paraId="08946D19">
      <w:pPr>
        <w:spacing w:before="91" w:line="225" w:lineRule="auto"/>
        <w:ind w:left="42"/>
        <w:outlineLvl w:val="1"/>
        <w:rPr>
          <w:rFonts w:ascii="黑体" w:hAnsi="黑体" w:eastAsia="黑体" w:cs="黑体"/>
          <w:sz w:val="28"/>
          <w:szCs w:val="28"/>
        </w:rPr>
      </w:pPr>
      <w:bookmarkStart w:id="565" w:name="bookmark521"/>
      <w:bookmarkEnd w:id="565"/>
      <w:r>
        <w:rPr>
          <w:rFonts w:ascii="黑体" w:hAnsi="黑体" w:eastAsia="黑体" w:cs="黑体"/>
          <w:b/>
          <w:bCs/>
          <w:spacing w:val="-6"/>
          <w:sz w:val="28"/>
          <w:szCs w:val="28"/>
        </w:rPr>
        <w:t>附件</w:t>
      </w:r>
      <w:r>
        <w:rPr>
          <w:rFonts w:ascii="黑体" w:hAnsi="黑体" w:eastAsia="黑体" w:cs="黑体"/>
          <w:spacing w:val="-38"/>
          <w:sz w:val="28"/>
          <w:szCs w:val="28"/>
        </w:rPr>
        <w:t xml:space="preserve"> </w:t>
      </w:r>
      <w:r>
        <w:rPr>
          <w:rFonts w:ascii="黑体" w:hAnsi="黑体" w:eastAsia="黑体" w:cs="黑体"/>
          <w:b/>
          <w:bCs/>
          <w:spacing w:val="-6"/>
          <w:sz w:val="28"/>
          <w:szCs w:val="28"/>
        </w:rPr>
        <w:t>3：</w:t>
      </w:r>
    </w:p>
    <w:p w14:paraId="55D2A604">
      <w:pPr>
        <w:pStyle w:val="2"/>
        <w:spacing w:line="391" w:lineRule="auto"/>
      </w:pPr>
    </w:p>
    <w:p w14:paraId="013FB21D">
      <w:pPr>
        <w:spacing w:before="91" w:line="222" w:lineRule="auto"/>
        <w:ind w:left="3182"/>
        <w:rPr>
          <w:rFonts w:ascii="黑体" w:hAnsi="黑体" w:eastAsia="黑体" w:cs="黑体"/>
          <w:sz w:val="28"/>
          <w:szCs w:val="28"/>
        </w:rPr>
      </w:pPr>
      <w:r>
        <w:rPr>
          <w:rFonts w:ascii="黑体" w:hAnsi="黑体" w:eastAsia="黑体" w:cs="黑体"/>
          <w:spacing w:val="6"/>
          <w:sz w:val="28"/>
          <w:szCs w:val="28"/>
        </w:rPr>
        <w:t>工程质量保修书</w:t>
      </w:r>
    </w:p>
    <w:p w14:paraId="29C33FE5">
      <w:pPr>
        <w:pStyle w:val="2"/>
        <w:spacing w:line="258" w:lineRule="auto"/>
      </w:pPr>
    </w:p>
    <w:p w14:paraId="350755A3">
      <w:pPr>
        <w:spacing w:before="68" w:line="220" w:lineRule="auto"/>
        <w:ind w:left="448"/>
        <w:rPr>
          <w:rFonts w:ascii="宋体" w:hAnsi="宋体" w:eastAsia="宋体" w:cs="宋体"/>
          <w:sz w:val="21"/>
          <w:szCs w:val="21"/>
        </w:rPr>
      </w:pPr>
      <w:r>
        <w:rPr>
          <w:rFonts w:ascii="宋体" w:hAnsi="宋体" w:eastAsia="宋体" w:cs="宋体"/>
          <w:spacing w:val="-2"/>
          <w:sz w:val="21"/>
          <w:szCs w:val="21"/>
        </w:rPr>
        <w:t>发包人（全称</w:t>
      </w:r>
      <w:r>
        <w:rPr>
          <w:rFonts w:ascii="宋体" w:hAnsi="宋体" w:eastAsia="宋体" w:cs="宋体"/>
          <w:spacing w:val="-52"/>
          <w:sz w:val="21"/>
          <w:szCs w:val="21"/>
        </w:rPr>
        <w:t>）：</w:t>
      </w:r>
      <w:r>
        <w:rPr>
          <w:rFonts w:ascii="宋体" w:hAnsi="宋体" w:eastAsia="宋体" w:cs="宋体"/>
          <w:sz w:val="21"/>
          <w:szCs w:val="21"/>
          <w:u w:val="single" w:color="auto"/>
        </w:rPr>
        <w:t xml:space="preserve">                                 </w:t>
      </w:r>
    </w:p>
    <w:p w14:paraId="1EECC457">
      <w:pPr>
        <w:spacing w:before="184" w:line="220" w:lineRule="auto"/>
        <w:ind w:left="444"/>
        <w:rPr>
          <w:rFonts w:ascii="宋体" w:hAnsi="宋体" w:eastAsia="宋体" w:cs="宋体"/>
          <w:sz w:val="21"/>
          <w:szCs w:val="21"/>
        </w:rPr>
      </w:pPr>
      <w:r>
        <w:rPr>
          <w:rFonts w:ascii="宋体" w:hAnsi="宋体" w:eastAsia="宋体" w:cs="宋体"/>
          <w:spacing w:val="-2"/>
          <w:sz w:val="21"/>
          <w:szCs w:val="21"/>
        </w:rPr>
        <w:t>承包人（全称</w:t>
      </w:r>
      <w:r>
        <w:rPr>
          <w:rFonts w:ascii="宋体" w:hAnsi="宋体" w:eastAsia="宋体" w:cs="宋体"/>
          <w:spacing w:val="-51"/>
          <w:sz w:val="21"/>
          <w:szCs w:val="21"/>
        </w:rPr>
        <w:t>）：</w:t>
      </w:r>
      <w:r>
        <w:rPr>
          <w:rFonts w:ascii="宋体" w:hAnsi="宋体" w:eastAsia="宋体" w:cs="宋体"/>
          <w:sz w:val="21"/>
          <w:szCs w:val="21"/>
          <w:u w:val="single" w:color="auto"/>
        </w:rPr>
        <w:t xml:space="preserve">                                 </w:t>
      </w:r>
    </w:p>
    <w:p w14:paraId="1897C2CD">
      <w:pPr>
        <w:pStyle w:val="2"/>
        <w:spacing w:line="259" w:lineRule="auto"/>
      </w:pPr>
    </w:p>
    <w:p w14:paraId="47DE0694">
      <w:pPr>
        <w:pStyle w:val="2"/>
        <w:spacing w:line="259" w:lineRule="auto"/>
      </w:pPr>
    </w:p>
    <w:p w14:paraId="27720F32">
      <w:pPr>
        <w:spacing w:before="69" w:line="370" w:lineRule="auto"/>
        <w:ind w:left="27" w:right="120" w:firstLine="420"/>
        <w:rPr>
          <w:rFonts w:ascii="宋体" w:hAnsi="宋体" w:eastAsia="宋体" w:cs="宋体"/>
          <w:sz w:val="21"/>
          <w:szCs w:val="21"/>
        </w:rPr>
      </w:pPr>
      <w:r>
        <w:rPr>
          <w:rFonts w:ascii="宋体" w:hAnsi="宋体" w:eastAsia="宋体" w:cs="宋体"/>
          <w:spacing w:val="-3"/>
          <w:sz w:val="21"/>
          <w:szCs w:val="21"/>
        </w:rPr>
        <w:t>发包人和承包人根据《中华人民共和国建筑法》和《建设工程质量管理条例》，</w:t>
      </w:r>
      <w:r>
        <w:rPr>
          <w:rFonts w:ascii="宋体" w:hAnsi="宋体" w:eastAsia="宋体" w:cs="宋体"/>
          <w:spacing w:val="-4"/>
          <w:sz w:val="21"/>
          <w:szCs w:val="21"/>
        </w:rPr>
        <w:t>经协商</w:t>
      </w:r>
      <w:r>
        <w:rPr>
          <w:rFonts w:ascii="宋体" w:hAnsi="宋体" w:eastAsia="宋体" w:cs="宋体"/>
          <w:spacing w:val="-1"/>
          <w:sz w:val="21"/>
          <w:szCs w:val="21"/>
        </w:rPr>
        <w:t>一致就</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（工程全称）签订工程质量保修书。</w:t>
      </w:r>
    </w:p>
    <w:p w14:paraId="13B954CA">
      <w:pPr>
        <w:spacing w:line="219" w:lineRule="auto"/>
        <w:ind w:left="237"/>
        <w:rPr>
          <w:rFonts w:ascii="宋体" w:hAnsi="宋体" w:eastAsia="宋体" w:cs="宋体"/>
          <w:sz w:val="21"/>
          <w:szCs w:val="21"/>
        </w:rPr>
      </w:pPr>
      <w:r>
        <w:rPr>
          <w:rFonts w:ascii="宋体" w:hAnsi="宋体" w:eastAsia="宋体" w:cs="宋体"/>
          <w:b/>
          <w:bCs/>
          <w:spacing w:val="1"/>
          <w:sz w:val="21"/>
          <w:szCs w:val="21"/>
        </w:rPr>
        <w:t>一、工程质量保修范围和内容</w:t>
      </w:r>
    </w:p>
    <w:p w14:paraId="7A0AE07D">
      <w:pPr>
        <w:spacing w:before="155" w:line="220" w:lineRule="auto"/>
        <w:ind w:left="444"/>
        <w:rPr>
          <w:rFonts w:ascii="宋体" w:hAnsi="宋体" w:eastAsia="宋体" w:cs="宋体"/>
          <w:sz w:val="21"/>
          <w:szCs w:val="21"/>
        </w:rPr>
      </w:pPr>
      <w:r>
        <w:rPr>
          <w:rFonts w:ascii="宋体" w:hAnsi="宋体" w:eastAsia="宋体" w:cs="宋体"/>
          <w:spacing w:val="-1"/>
          <w:sz w:val="21"/>
          <w:szCs w:val="21"/>
        </w:rPr>
        <w:t>承包人在质量保修期内，按照有关法律规定和合同约定，承担工程质量保修责任。</w:t>
      </w:r>
    </w:p>
    <w:p w14:paraId="3704309E">
      <w:pPr>
        <w:spacing w:before="214" w:line="411" w:lineRule="auto"/>
        <w:ind w:left="25" w:firstLine="420"/>
        <w:rPr>
          <w:rFonts w:ascii="宋体" w:hAnsi="宋体" w:eastAsia="宋体" w:cs="宋体"/>
          <w:sz w:val="21"/>
          <w:szCs w:val="21"/>
        </w:rPr>
      </w:pPr>
      <w:r>
        <w:rPr>
          <w:rFonts w:ascii="宋体" w:hAnsi="宋体" w:eastAsia="宋体" w:cs="宋体"/>
          <w:spacing w:val="-5"/>
          <w:sz w:val="21"/>
          <w:szCs w:val="21"/>
        </w:rPr>
        <w:t>质量保修范围包括地基基础工程、主体结构工程，屋面防水工程、有</w:t>
      </w:r>
      <w:r>
        <w:rPr>
          <w:rFonts w:ascii="宋体" w:hAnsi="宋体" w:eastAsia="宋体" w:cs="宋体"/>
          <w:spacing w:val="-6"/>
          <w:sz w:val="21"/>
          <w:szCs w:val="21"/>
        </w:rPr>
        <w:t>防水要求的卫生间、</w:t>
      </w:r>
      <w:r>
        <w:rPr>
          <w:rFonts w:ascii="宋体" w:hAnsi="宋体" w:eastAsia="宋体" w:cs="宋体"/>
          <w:sz w:val="21"/>
          <w:szCs w:val="21"/>
        </w:rPr>
        <w:t>房间和外墙面的防渗漏，供热与供冷系统，电气管线、给排水管道、设备安装和装修工</w:t>
      </w:r>
      <w:r>
        <w:rPr>
          <w:rFonts w:ascii="宋体" w:hAnsi="宋体" w:eastAsia="宋体" w:cs="宋体"/>
          <w:spacing w:val="-1"/>
          <w:sz w:val="21"/>
          <w:szCs w:val="21"/>
        </w:rPr>
        <w:t>程，</w:t>
      </w:r>
      <w:r>
        <w:rPr>
          <w:rFonts w:ascii="宋体" w:hAnsi="宋体" w:eastAsia="宋体" w:cs="宋体"/>
          <w:spacing w:val="-2"/>
          <w:sz w:val="21"/>
          <w:szCs w:val="21"/>
        </w:rPr>
        <w:t>以及双方约定的其他项目。具体保修的内容，双方约定如下：</w:t>
      </w:r>
    </w:p>
    <w:p w14:paraId="4584219B">
      <w:pPr>
        <w:pStyle w:val="2"/>
        <w:spacing w:line="250" w:lineRule="auto"/>
      </w:pPr>
      <w:r>
        <w:pict>
          <v:shape id="_x0000_s1207" o:spid="_x0000_s1207" style="position:absolute;left:0pt;margin-left:0.75pt;margin-top:11pt;height:0.75pt;width:415.3pt;z-index:251853824;mso-width-relative:page;mso-height-relative:page;" fillcolor="#000000" filled="t" stroked="f" coordsize="8305,15" path="m0,15l8305,15,8305,0,0,0,0,15xe">
            <v:path/>
            <v:fill on="t" focussize="0,0"/>
            <v:stroke on="f"/>
            <v:imagedata o:title=""/>
            <o:lock v:ext="edit"/>
          </v:shape>
        </w:pict>
      </w:r>
    </w:p>
    <w:p w14:paraId="029C18CE">
      <w:pPr>
        <w:pStyle w:val="2"/>
        <w:spacing w:line="250" w:lineRule="auto"/>
      </w:pPr>
    </w:p>
    <w:p w14:paraId="2363AC34">
      <w:pPr>
        <w:pStyle w:val="2"/>
        <w:spacing w:line="251" w:lineRule="auto"/>
      </w:pPr>
      <w:r>
        <w:pict>
          <v:shape id="_x0000_s1208" o:spid="_x0000_s1208" style="position:absolute;left:0pt;margin-left:0.75pt;margin-top:9.15pt;height:0.75pt;width:415.3pt;z-index:251851776;mso-width-relative:page;mso-height-relative:page;" fillcolor="#000000" filled="t" stroked="f" coordsize="8305,15" path="m0,15l8305,15,8305,0,0,0,0,15xe">
            <v:path/>
            <v:fill on="t" focussize="0,0"/>
            <v:stroke on="f"/>
            <v:imagedata o:title=""/>
            <o:lock v:ext="edit"/>
          </v:shape>
        </w:pict>
      </w:r>
    </w:p>
    <w:p w14:paraId="4C4E84F2">
      <w:pPr>
        <w:pStyle w:val="2"/>
        <w:spacing w:line="251" w:lineRule="auto"/>
      </w:pPr>
    </w:p>
    <w:p w14:paraId="7D2198E1">
      <w:pPr>
        <w:spacing w:before="69" w:line="46" w:lineRule="exact"/>
        <w:ind w:left="990"/>
        <w:rPr>
          <w:rFonts w:ascii="宋体" w:hAnsi="宋体" w:eastAsia="宋体" w:cs="宋体"/>
          <w:sz w:val="21"/>
          <w:szCs w:val="21"/>
        </w:rPr>
      </w:pPr>
      <w:r>
        <w:pict>
          <v:shape id="_x0000_s1209" o:spid="_x0000_s1209" o:spt="202" type="#_x0000_t202" style="position:absolute;left:0pt;margin-left:-0.2pt;margin-top:-3.25pt;height:14.1pt;width:49.3pt;z-index:251850752;mso-width-relative:page;mso-height-relative:page;" filled="f" stroked="f" coordsize="21600,21600">
            <v:path/>
            <v:fill on="f" focussize="0,0"/>
            <v:stroke on="f"/>
            <v:imagedata o:title=""/>
            <o:lock v:ext="edit" aspectratio="f"/>
            <v:textbox inset="0mm,0mm,0mm,0mm">
              <w:txbxContent>
                <w:p w14:paraId="4CC22114">
                  <w:pPr>
                    <w:pStyle w:val="2"/>
                    <w:tabs>
                      <w:tab w:val="left" w:pos="965"/>
                    </w:tabs>
                    <w:spacing w:before="19"/>
                    <w:ind w:left="20"/>
                  </w:pPr>
                  <w:r>
                    <w:rPr>
                      <w:u w:val="single" w:color="auto"/>
                    </w:rPr>
                    <w:tab/>
                  </w:r>
                </w:p>
              </w:txbxContent>
            </v:textbox>
          </v:shape>
        </w:pict>
      </w:r>
      <w:r>
        <w:rPr>
          <w:rFonts w:ascii="宋体" w:hAnsi="宋体" w:eastAsia="宋体" w:cs="宋体"/>
          <w:position w:val="-1"/>
          <w:sz w:val="21"/>
          <w:szCs w:val="21"/>
        </w:rPr>
        <w:t>。</w:t>
      </w:r>
    </w:p>
    <w:p w14:paraId="3EDA033A">
      <w:pPr>
        <w:spacing w:before="193" w:line="220" w:lineRule="auto"/>
        <w:ind w:left="463"/>
        <w:rPr>
          <w:rFonts w:ascii="宋体" w:hAnsi="宋体" w:eastAsia="宋体" w:cs="宋体"/>
          <w:sz w:val="21"/>
          <w:szCs w:val="21"/>
        </w:rPr>
      </w:pPr>
      <w:r>
        <w:rPr>
          <w:rFonts w:ascii="宋体" w:hAnsi="宋体" w:eastAsia="宋体" w:cs="宋体"/>
          <w:b/>
          <w:bCs/>
          <w:sz w:val="21"/>
          <w:szCs w:val="21"/>
        </w:rPr>
        <w:t>二、质量保修期</w:t>
      </w:r>
    </w:p>
    <w:p w14:paraId="5EC2F6B7">
      <w:pPr>
        <w:spacing w:before="156" w:line="220" w:lineRule="auto"/>
        <w:ind w:left="444"/>
        <w:rPr>
          <w:rFonts w:ascii="宋体" w:hAnsi="宋体" w:eastAsia="宋体" w:cs="宋体"/>
          <w:sz w:val="21"/>
          <w:szCs w:val="21"/>
        </w:rPr>
      </w:pPr>
      <w:r>
        <w:rPr>
          <w:rFonts w:ascii="宋体" w:hAnsi="宋体" w:eastAsia="宋体" w:cs="宋体"/>
          <w:spacing w:val="-1"/>
          <w:sz w:val="21"/>
          <w:szCs w:val="21"/>
        </w:rPr>
        <w:t>根据《建设工程质量管理条例》及有关规定，</w:t>
      </w:r>
      <w:r>
        <w:rPr>
          <w:rFonts w:ascii="宋体" w:hAnsi="宋体" w:eastAsia="宋体" w:cs="宋体"/>
          <w:spacing w:val="-2"/>
          <w:sz w:val="21"/>
          <w:szCs w:val="21"/>
        </w:rPr>
        <w:t>工程的质量保修期如下：</w:t>
      </w:r>
    </w:p>
    <w:p w14:paraId="72F6BDB3">
      <w:pPr>
        <w:spacing w:before="215" w:line="220" w:lineRule="auto"/>
        <w:ind w:left="460"/>
        <w:rPr>
          <w:rFonts w:ascii="宋体" w:hAnsi="宋体" w:eastAsia="宋体" w:cs="宋体"/>
          <w:sz w:val="21"/>
          <w:szCs w:val="21"/>
        </w:rPr>
      </w:pPr>
      <w:r>
        <w:rPr>
          <w:rFonts w:ascii="宋体" w:hAnsi="宋体" w:eastAsia="宋体" w:cs="宋体"/>
          <w:spacing w:val="-2"/>
          <w:sz w:val="21"/>
          <w:szCs w:val="21"/>
        </w:rPr>
        <w:t>1．地基基础工程和主体结构工程为设计文件规定的工程合理使用年限；</w:t>
      </w:r>
    </w:p>
    <w:p w14:paraId="696B7999">
      <w:pPr>
        <w:spacing w:before="215" w:line="220" w:lineRule="auto"/>
        <w:ind w:left="447"/>
        <w:rPr>
          <w:rFonts w:ascii="宋体" w:hAnsi="宋体" w:eastAsia="宋体" w:cs="宋体"/>
          <w:sz w:val="21"/>
          <w:szCs w:val="21"/>
        </w:rPr>
      </w:pPr>
      <w:r>
        <w:rPr>
          <w:rFonts w:ascii="宋体" w:hAnsi="宋体" w:eastAsia="宋体" w:cs="宋体"/>
          <w:spacing w:val="-1"/>
          <w:sz w:val="21"/>
          <w:szCs w:val="21"/>
        </w:rPr>
        <w:t>2．屋面防水工程、有防水要求的卫生间、房间和外墙面的防渗为</w:t>
      </w:r>
      <w:r>
        <w:rPr>
          <w:rFonts w:ascii="宋体" w:hAnsi="宋体" w:eastAsia="宋体" w:cs="宋体"/>
          <w:spacing w:val="-1"/>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1"/>
          <w:sz w:val="21"/>
          <w:szCs w:val="21"/>
        </w:rPr>
        <w:t>年；</w:t>
      </w:r>
    </w:p>
    <w:p w14:paraId="039E719C">
      <w:pPr>
        <w:spacing w:before="230" w:line="220" w:lineRule="auto"/>
        <w:ind w:left="448"/>
        <w:rPr>
          <w:rFonts w:ascii="宋体" w:hAnsi="宋体" w:eastAsia="宋体" w:cs="宋体"/>
          <w:sz w:val="21"/>
          <w:szCs w:val="21"/>
        </w:rPr>
      </w:pPr>
      <w:r>
        <w:rPr>
          <w:rFonts w:ascii="宋体" w:hAnsi="宋体" w:eastAsia="宋体" w:cs="宋体"/>
          <w:spacing w:val="-3"/>
          <w:sz w:val="21"/>
          <w:szCs w:val="21"/>
        </w:rPr>
        <w:t>3．装修工程为</w:t>
      </w:r>
      <w:r>
        <w:rPr>
          <w:rFonts w:ascii="宋体" w:hAnsi="宋体" w:eastAsia="宋体" w:cs="宋体"/>
          <w:spacing w:val="-3"/>
          <w:sz w:val="21"/>
          <w:szCs w:val="21"/>
          <w:u w:val="single" w:color="auto"/>
        </w:rPr>
        <w:t xml:space="preserve">         </w:t>
      </w:r>
      <w:r>
        <w:rPr>
          <w:rFonts w:ascii="宋体" w:hAnsi="宋体" w:eastAsia="宋体" w:cs="宋体"/>
          <w:spacing w:val="-82"/>
          <w:sz w:val="21"/>
          <w:szCs w:val="21"/>
        </w:rPr>
        <w:t xml:space="preserve"> </w:t>
      </w:r>
      <w:r>
        <w:rPr>
          <w:rFonts w:ascii="宋体" w:hAnsi="宋体" w:eastAsia="宋体" w:cs="宋体"/>
          <w:spacing w:val="-3"/>
          <w:sz w:val="21"/>
          <w:szCs w:val="21"/>
        </w:rPr>
        <w:t>年；</w:t>
      </w:r>
    </w:p>
    <w:p w14:paraId="39E47ABA">
      <w:pPr>
        <w:spacing w:before="215" w:line="220" w:lineRule="auto"/>
        <w:ind w:left="443"/>
        <w:rPr>
          <w:rFonts w:ascii="宋体" w:hAnsi="宋体" w:eastAsia="宋体" w:cs="宋体"/>
          <w:sz w:val="21"/>
          <w:szCs w:val="21"/>
        </w:rPr>
      </w:pPr>
      <w:r>
        <w:rPr>
          <w:rFonts w:ascii="宋体" w:hAnsi="宋体" w:eastAsia="宋体" w:cs="宋体"/>
          <w:spacing w:val="-1"/>
          <w:sz w:val="21"/>
          <w:szCs w:val="21"/>
        </w:rPr>
        <w:t>4．电气管线、给排水管道、设备安装工程为</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w:t>
      </w:r>
    </w:p>
    <w:p w14:paraId="6F544C88">
      <w:pPr>
        <w:spacing w:before="215" w:line="219" w:lineRule="auto"/>
        <w:ind w:left="448"/>
        <w:rPr>
          <w:rFonts w:ascii="宋体" w:hAnsi="宋体" w:eastAsia="宋体" w:cs="宋体"/>
          <w:sz w:val="21"/>
          <w:szCs w:val="21"/>
        </w:rPr>
      </w:pPr>
      <w:r>
        <w:rPr>
          <w:rFonts w:ascii="宋体" w:hAnsi="宋体" w:eastAsia="宋体" w:cs="宋体"/>
          <w:spacing w:val="-2"/>
          <w:sz w:val="21"/>
          <w:szCs w:val="21"/>
        </w:rPr>
        <w:t>5．供热与供冷系统为</w:t>
      </w:r>
      <w:r>
        <w:rPr>
          <w:rFonts w:ascii="宋体" w:hAnsi="宋体" w:eastAsia="宋体" w:cs="宋体"/>
          <w:spacing w:val="-2"/>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2"/>
          <w:sz w:val="21"/>
          <w:szCs w:val="21"/>
        </w:rPr>
        <w:t>个采暖期、供冷</w:t>
      </w:r>
      <w:r>
        <w:rPr>
          <w:rFonts w:ascii="宋体" w:hAnsi="宋体" w:eastAsia="宋体" w:cs="宋体"/>
          <w:spacing w:val="-3"/>
          <w:sz w:val="21"/>
          <w:szCs w:val="21"/>
        </w:rPr>
        <w:t>期；</w:t>
      </w:r>
    </w:p>
    <w:p w14:paraId="458C15F5">
      <w:pPr>
        <w:spacing w:before="217" w:line="220" w:lineRule="auto"/>
        <w:ind w:left="446"/>
        <w:rPr>
          <w:rFonts w:ascii="宋体" w:hAnsi="宋体" w:eastAsia="宋体" w:cs="宋体"/>
          <w:sz w:val="21"/>
          <w:szCs w:val="21"/>
        </w:rPr>
      </w:pPr>
      <w:r>
        <w:rPr>
          <w:rFonts w:ascii="宋体" w:hAnsi="宋体" w:eastAsia="宋体" w:cs="宋体"/>
          <w:spacing w:val="-1"/>
          <w:sz w:val="21"/>
          <w:szCs w:val="21"/>
        </w:rPr>
        <w:t>6．住宅小区内的给排水设施、道路等配套工程为</w:t>
      </w:r>
      <w:r>
        <w:rPr>
          <w:rFonts w:ascii="宋体" w:hAnsi="宋体" w:eastAsia="宋体" w:cs="宋体"/>
          <w:spacing w:val="-1"/>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年；</w:t>
      </w:r>
    </w:p>
    <w:p w14:paraId="5D77B5D6">
      <w:pPr>
        <w:spacing w:before="215" w:line="220" w:lineRule="auto"/>
        <w:ind w:left="449"/>
        <w:rPr>
          <w:rFonts w:ascii="宋体" w:hAnsi="宋体" w:eastAsia="宋体" w:cs="宋体"/>
          <w:sz w:val="21"/>
          <w:szCs w:val="21"/>
        </w:rPr>
      </w:pPr>
      <w:r>
        <w:rPr>
          <w:rFonts w:ascii="宋体" w:hAnsi="宋体" w:eastAsia="宋体" w:cs="宋体"/>
          <w:spacing w:val="-4"/>
          <w:sz w:val="21"/>
          <w:szCs w:val="21"/>
        </w:rPr>
        <w:t>7．其他项目保修期限约定如下：</w:t>
      </w:r>
    </w:p>
    <w:p w14:paraId="65DC1E79">
      <w:pPr>
        <w:pStyle w:val="2"/>
        <w:tabs>
          <w:tab w:val="left" w:pos="8320"/>
        </w:tabs>
        <w:spacing w:before="252"/>
        <w:ind w:left="15"/>
      </w:pPr>
      <w:r>
        <w:rPr>
          <w:u w:val="single" w:color="auto"/>
        </w:rPr>
        <w:tab/>
      </w:r>
    </w:p>
    <w:p w14:paraId="2F1F0398">
      <w:pPr>
        <w:pStyle w:val="2"/>
        <w:spacing w:line="243" w:lineRule="auto"/>
      </w:pPr>
    </w:p>
    <w:p w14:paraId="6D2B0CAF">
      <w:pPr>
        <w:pStyle w:val="2"/>
        <w:spacing w:line="243" w:lineRule="auto"/>
      </w:pPr>
      <w:r>
        <w:pict>
          <v:shape id="_x0000_s1210" o:spid="_x0000_s1210" style="position:absolute;left:0pt;margin-left:0.75pt;margin-top:8.4pt;height:0.75pt;width:415.3pt;z-index:251852800;mso-width-relative:page;mso-height-relative:page;" fillcolor="#000000" filled="t" stroked="f" coordsize="8305,15" path="m0,15l8305,15,8305,0,0,0,0,15xe">
            <v:path/>
            <v:fill on="t" focussize="0,0"/>
            <v:stroke on="f"/>
            <v:imagedata o:title=""/>
            <o:lock v:ext="edit"/>
          </v:shape>
        </w:pict>
      </w:r>
    </w:p>
    <w:p w14:paraId="5DFC57C7">
      <w:pPr>
        <w:pStyle w:val="2"/>
        <w:spacing w:line="244" w:lineRule="auto"/>
      </w:pPr>
    </w:p>
    <w:p w14:paraId="202A2FA2">
      <w:pPr>
        <w:tabs>
          <w:tab w:val="left" w:pos="960"/>
        </w:tabs>
        <w:spacing w:before="68"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076DD4E0">
      <w:pPr>
        <w:spacing w:before="224" w:line="220" w:lineRule="auto"/>
        <w:ind w:left="445"/>
        <w:rPr>
          <w:rFonts w:ascii="宋体" w:hAnsi="宋体" w:eastAsia="宋体" w:cs="宋体"/>
          <w:sz w:val="21"/>
          <w:szCs w:val="21"/>
        </w:rPr>
      </w:pPr>
      <w:r>
        <w:rPr>
          <w:rFonts w:ascii="宋体" w:hAnsi="宋体" w:eastAsia="宋体" w:cs="宋体"/>
          <w:spacing w:val="-2"/>
          <w:sz w:val="21"/>
          <w:szCs w:val="21"/>
        </w:rPr>
        <w:t>质量保修期自工程竣工验收合格之日起计算。</w:t>
      </w:r>
    </w:p>
    <w:p w14:paraId="1CC82774">
      <w:pPr>
        <w:spacing w:before="126" w:line="220" w:lineRule="auto"/>
        <w:ind w:left="24"/>
        <w:rPr>
          <w:rFonts w:ascii="宋体" w:hAnsi="宋体" w:eastAsia="宋体" w:cs="宋体"/>
          <w:sz w:val="21"/>
          <w:szCs w:val="21"/>
        </w:rPr>
      </w:pPr>
      <w:r>
        <w:rPr>
          <w:rFonts w:ascii="宋体" w:hAnsi="宋体" w:eastAsia="宋体" w:cs="宋体"/>
          <w:b/>
          <w:bCs/>
          <w:spacing w:val="3"/>
          <w:sz w:val="21"/>
          <w:szCs w:val="21"/>
        </w:rPr>
        <w:t>三、缺陷责任期</w:t>
      </w:r>
    </w:p>
    <w:p w14:paraId="6BBD82B5">
      <w:pPr>
        <w:spacing w:before="155" w:line="220" w:lineRule="auto"/>
        <w:ind w:left="447"/>
        <w:rPr>
          <w:rFonts w:ascii="宋体" w:hAnsi="宋体" w:eastAsia="宋体" w:cs="宋体"/>
          <w:sz w:val="21"/>
          <w:szCs w:val="21"/>
        </w:rPr>
      </w:pPr>
      <w:r>
        <w:rPr>
          <w:rFonts w:ascii="宋体" w:hAnsi="宋体" w:eastAsia="宋体" w:cs="宋体"/>
          <w:sz w:val="21"/>
          <w:szCs w:val="21"/>
        </w:rPr>
        <w:t>工程缺陷责任期为</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z w:val="21"/>
          <w:szCs w:val="21"/>
        </w:rPr>
        <w:t>个月，缺陷责任期自工程通过竣工验</w:t>
      </w:r>
      <w:r>
        <w:rPr>
          <w:rFonts w:ascii="宋体" w:hAnsi="宋体" w:eastAsia="宋体" w:cs="宋体"/>
          <w:spacing w:val="-1"/>
          <w:sz w:val="21"/>
          <w:szCs w:val="21"/>
        </w:rPr>
        <w:t>收之日起计算。单位</w:t>
      </w:r>
    </w:p>
    <w:p w14:paraId="6F84459B">
      <w:pPr>
        <w:spacing w:line="220" w:lineRule="auto"/>
        <w:rPr>
          <w:rFonts w:ascii="宋体" w:hAnsi="宋体" w:eastAsia="宋体" w:cs="宋体"/>
          <w:sz w:val="21"/>
          <w:szCs w:val="21"/>
        </w:rPr>
        <w:sectPr>
          <w:footerReference r:id="rId242" w:type="default"/>
          <w:pgSz w:w="11910" w:h="16845"/>
          <w:pgMar w:top="400" w:right="1690" w:bottom="1110" w:left="1786" w:header="0" w:footer="883" w:gutter="0"/>
          <w:cols w:space="720" w:num="1"/>
        </w:sectPr>
      </w:pPr>
    </w:p>
    <w:p w14:paraId="3AD58CF5">
      <w:pPr>
        <w:pStyle w:val="2"/>
        <w:spacing w:line="275" w:lineRule="auto"/>
      </w:pPr>
    </w:p>
    <w:p w14:paraId="25930028">
      <w:pPr>
        <w:pStyle w:val="2"/>
        <w:spacing w:line="275" w:lineRule="auto"/>
      </w:pPr>
    </w:p>
    <w:p w14:paraId="1D7A121C">
      <w:pPr>
        <w:pStyle w:val="2"/>
        <w:spacing w:line="275" w:lineRule="auto"/>
      </w:pPr>
    </w:p>
    <w:p w14:paraId="226B3E46">
      <w:pPr>
        <w:pStyle w:val="2"/>
        <w:spacing w:line="275" w:lineRule="auto"/>
      </w:pPr>
    </w:p>
    <w:p w14:paraId="6FBD9888">
      <w:pPr>
        <w:spacing w:before="68" w:line="220" w:lineRule="auto"/>
        <w:ind w:left="26"/>
        <w:rPr>
          <w:rFonts w:ascii="宋体" w:hAnsi="宋体" w:eastAsia="宋体" w:cs="宋体"/>
          <w:sz w:val="21"/>
          <w:szCs w:val="21"/>
        </w:rPr>
      </w:pPr>
      <w:r>
        <w:rPr>
          <w:rFonts w:ascii="宋体" w:hAnsi="宋体" w:eastAsia="宋体" w:cs="宋体"/>
          <w:spacing w:val="-1"/>
          <w:sz w:val="21"/>
          <w:szCs w:val="21"/>
        </w:rPr>
        <w:t>工程先于全部工程进行验收，单位工程缺陷责任期自单位工程验收合格之日起算。</w:t>
      </w:r>
    </w:p>
    <w:p w14:paraId="593855B5">
      <w:pPr>
        <w:spacing w:before="215" w:line="220" w:lineRule="auto"/>
        <w:ind w:left="444"/>
        <w:rPr>
          <w:rFonts w:ascii="宋体" w:hAnsi="宋体" w:eastAsia="宋体" w:cs="宋体"/>
          <w:sz w:val="21"/>
          <w:szCs w:val="21"/>
        </w:rPr>
      </w:pPr>
      <w:r>
        <w:rPr>
          <w:rFonts w:ascii="宋体" w:hAnsi="宋体" w:eastAsia="宋体" w:cs="宋体"/>
          <w:spacing w:val="-1"/>
          <w:sz w:val="21"/>
          <w:szCs w:val="21"/>
        </w:rPr>
        <w:t>缺陷责任期终止后，发包人应退还剩余的质量</w:t>
      </w:r>
      <w:r>
        <w:rPr>
          <w:rFonts w:ascii="宋体" w:hAnsi="宋体" w:eastAsia="宋体" w:cs="宋体"/>
          <w:spacing w:val="-2"/>
          <w:sz w:val="21"/>
          <w:szCs w:val="21"/>
        </w:rPr>
        <w:t>保证金。</w:t>
      </w:r>
    </w:p>
    <w:p w14:paraId="2D4CE01F">
      <w:pPr>
        <w:spacing w:before="125" w:line="220" w:lineRule="auto"/>
        <w:ind w:left="464"/>
        <w:rPr>
          <w:rFonts w:ascii="宋体" w:hAnsi="宋体" w:eastAsia="宋体" w:cs="宋体"/>
          <w:sz w:val="21"/>
          <w:szCs w:val="21"/>
        </w:rPr>
      </w:pPr>
      <w:r>
        <w:rPr>
          <w:rFonts w:ascii="宋体" w:hAnsi="宋体" w:eastAsia="宋体" w:cs="宋体"/>
          <w:b/>
          <w:bCs/>
          <w:sz w:val="21"/>
          <w:szCs w:val="21"/>
        </w:rPr>
        <w:t>四、质量保修责任</w:t>
      </w:r>
    </w:p>
    <w:p w14:paraId="6763111E">
      <w:pPr>
        <w:spacing w:before="156" w:line="411" w:lineRule="auto"/>
        <w:ind w:left="129" w:firstLine="451"/>
        <w:rPr>
          <w:rFonts w:ascii="宋体" w:hAnsi="宋体" w:eastAsia="宋体" w:cs="宋体"/>
          <w:sz w:val="21"/>
          <w:szCs w:val="21"/>
        </w:rPr>
      </w:pPr>
      <w:r>
        <w:rPr>
          <w:rFonts w:ascii="宋体" w:hAnsi="宋体" w:eastAsia="宋体" w:cs="宋体"/>
          <w:spacing w:val="-2"/>
          <w:sz w:val="21"/>
          <w:szCs w:val="21"/>
        </w:rPr>
        <w:t>1．属于保修范围、内容的项目，承包人应当在接到保修通知之日起</w:t>
      </w:r>
      <w:r>
        <w:rPr>
          <w:rFonts w:ascii="宋体" w:hAnsi="宋体" w:eastAsia="宋体" w:cs="宋体"/>
          <w:spacing w:val="-26"/>
          <w:sz w:val="21"/>
          <w:szCs w:val="21"/>
        </w:rPr>
        <w:t xml:space="preserve"> </w:t>
      </w:r>
      <w:r>
        <w:rPr>
          <w:rFonts w:ascii="宋体" w:hAnsi="宋体" w:eastAsia="宋体" w:cs="宋体"/>
          <w:spacing w:val="-2"/>
          <w:sz w:val="21"/>
          <w:szCs w:val="21"/>
        </w:rPr>
        <w:t>7</w:t>
      </w:r>
      <w:r>
        <w:rPr>
          <w:rFonts w:ascii="宋体" w:hAnsi="宋体" w:eastAsia="宋体" w:cs="宋体"/>
          <w:spacing w:val="-32"/>
          <w:sz w:val="21"/>
          <w:szCs w:val="21"/>
        </w:rPr>
        <w:t xml:space="preserve"> </w:t>
      </w:r>
      <w:r>
        <w:rPr>
          <w:rFonts w:ascii="宋体" w:hAnsi="宋体" w:eastAsia="宋体" w:cs="宋体"/>
          <w:spacing w:val="-2"/>
          <w:sz w:val="21"/>
          <w:szCs w:val="21"/>
        </w:rPr>
        <w:t>天内派人保修。</w:t>
      </w:r>
      <w:r>
        <w:rPr>
          <w:rFonts w:ascii="宋体" w:hAnsi="宋体" w:eastAsia="宋体" w:cs="宋体"/>
          <w:spacing w:val="-1"/>
          <w:sz w:val="21"/>
          <w:szCs w:val="21"/>
        </w:rPr>
        <w:t>承包人不在约定期限内派人保修的，发包人可以委托他人修理。</w:t>
      </w:r>
    </w:p>
    <w:p w14:paraId="1A683899">
      <w:pPr>
        <w:spacing w:before="9" w:line="220" w:lineRule="auto"/>
        <w:ind w:right="7"/>
        <w:jc w:val="right"/>
        <w:rPr>
          <w:rFonts w:ascii="宋体" w:hAnsi="宋体" w:eastAsia="宋体" w:cs="宋体"/>
          <w:sz w:val="21"/>
          <w:szCs w:val="21"/>
        </w:rPr>
      </w:pPr>
      <w:r>
        <w:rPr>
          <w:rFonts w:ascii="宋体" w:hAnsi="宋体" w:eastAsia="宋体" w:cs="宋体"/>
          <w:spacing w:val="-1"/>
          <w:sz w:val="21"/>
          <w:szCs w:val="21"/>
        </w:rPr>
        <w:t>2．发生紧急事故需抢修的，承包人在接到事故通知后，应当立即到达事故现场抢修。</w:t>
      </w:r>
    </w:p>
    <w:p w14:paraId="3E5C6E2F">
      <w:pPr>
        <w:spacing w:before="216" w:line="409" w:lineRule="auto"/>
        <w:ind w:left="129" w:right="52" w:firstLine="439"/>
        <w:rPr>
          <w:rFonts w:ascii="宋体" w:hAnsi="宋体" w:eastAsia="宋体" w:cs="宋体"/>
          <w:sz w:val="21"/>
          <w:szCs w:val="21"/>
        </w:rPr>
      </w:pPr>
      <w:r>
        <w:rPr>
          <w:rFonts w:ascii="宋体" w:hAnsi="宋体" w:eastAsia="宋体" w:cs="宋体"/>
          <w:spacing w:val="-4"/>
          <w:sz w:val="21"/>
          <w:szCs w:val="21"/>
        </w:rPr>
        <w:t>3．对于涉及结构安全的质量问题，应当按照</w:t>
      </w:r>
      <w:r>
        <w:rPr>
          <w:rFonts w:ascii="宋体" w:hAnsi="宋体" w:eastAsia="宋体" w:cs="宋体"/>
          <w:spacing w:val="-5"/>
          <w:sz w:val="21"/>
          <w:szCs w:val="21"/>
        </w:rPr>
        <w:t>《建设工程质量管理条例》的规定， 立即</w:t>
      </w:r>
      <w:r>
        <w:rPr>
          <w:rFonts w:ascii="宋体" w:hAnsi="宋体" w:eastAsia="宋体" w:cs="宋体"/>
          <w:sz w:val="21"/>
          <w:szCs w:val="21"/>
        </w:rPr>
        <w:t>向当地建设行政主管部门和有关部门报告，采取安全防范措施，并由原设计人或者具有相</w:t>
      </w:r>
      <w:r>
        <w:rPr>
          <w:rFonts w:ascii="宋体" w:hAnsi="宋体" w:eastAsia="宋体" w:cs="宋体"/>
          <w:spacing w:val="-1"/>
          <w:sz w:val="21"/>
          <w:szCs w:val="21"/>
        </w:rPr>
        <w:t>应资质等级的设计人提出保修方案，承包人实</w:t>
      </w:r>
      <w:r>
        <w:rPr>
          <w:rFonts w:ascii="宋体" w:hAnsi="宋体" w:eastAsia="宋体" w:cs="宋体"/>
          <w:spacing w:val="-2"/>
          <w:sz w:val="21"/>
          <w:szCs w:val="21"/>
        </w:rPr>
        <w:t>施保修。</w:t>
      </w:r>
    </w:p>
    <w:p w14:paraId="1D78BCE4">
      <w:pPr>
        <w:spacing w:line="219" w:lineRule="auto"/>
        <w:ind w:left="548"/>
        <w:rPr>
          <w:rFonts w:ascii="宋体" w:hAnsi="宋体" w:eastAsia="宋体" w:cs="宋体"/>
          <w:sz w:val="21"/>
          <w:szCs w:val="21"/>
        </w:rPr>
      </w:pPr>
      <w:r>
        <w:rPr>
          <w:rFonts w:ascii="宋体" w:hAnsi="宋体" w:eastAsia="宋体" w:cs="宋体"/>
          <w:spacing w:val="-2"/>
          <w:sz w:val="21"/>
          <w:szCs w:val="21"/>
        </w:rPr>
        <w:t>4．质量保修完成后，由发包人组织验收。</w:t>
      </w:r>
    </w:p>
    <w:p w14:paraId="6806C7AF">
      <w:pPr>
        <w:spacing w:before="141" w:line="220" w:lineRule="auto"/>
        <w:ind w:left="448"/>
        <w:rPr>
          <w:rFonts w:ascii="宋体" w:hAnsi="宋体" w:eastAsia="宋体" w:cs="宋体"/>
          <w:sz w:val="21"/>
          <w:szCs w:val="21"/>
        </w:rPr>
      </w:pPr>
      <w:r>
        <w:rPr>
          <w:rFonts w:ascii="宋体" w:hAnsi="宋体" w:eastAsia="宋体" w:cs="宋体"/>
          <w:b/>
          <w:bCs/>
          <w:spacing w:val="3"/>
          <w:sz w:val="21"/>
          <w:szCs w:val="21"/>
        </w:rPr>
        <w:t>五、保修费用</w:t>
      </w:r>
    </w:p>
    <w:p w14:paraId="20CD2C6F">
      <w:pPr>
        <w:spacing w:before="140" w:line="220" w:lineRule="auto"/>
        <w:ind w:left="445"/>
        <w:rPr>
          <w:rFonts w:ascii="宋体" w:hAnsi="宋体" w:eastAsia="宋体" w:cs="宋体"/>
          <w:sz w:val="21"/>
          <w:szCs w:val="21"/>
        </w:rPr>
      </w:pPr>
      <w:r>
        <w:rPr>
          <w:rFonts w:ascii="宋体" w:hAnsi="宋体" w:eastAsia="宋体" w:cs="宋体"/>
          <w:spacing w:val="-2"/>
          <w:sz w:val="21"/>
          <w:szCs w:val="21"/>
        </w:rPr>
        <w:t>保修费用由造成质量缺陷的责任方承担。</w:t>
      </w:r>
    </w:p>
    <w:p w14:paraId="5D97B77E">
      <w:pPr>
        <w:spacing w:before="140" w:line="220" w:lineRule="auto"/>
        <w:ind w:left="446"/>
        <w:rPr>
          <w:rFonts w:ascii="宋体" w:hAnsi="宋体" w:eastAsia="宋体" w:cs="宋体"/>
          <w:sz w:val="21"/>
          <w:szCs w:val="21"/>
        </w:rPr>
      </w:pPr>
      <w:r>
        <w:rPr>
          <w:rFonts w:ascii="宋体" w:hAnsi="宋体" w:eastAsia="宋体" w:cs="宋体"/>
          <w:b/>
          <w:bCs/>
          <w:sz w:val="21"/>
          <w:szCs w:val="21"/>
        </w:rPr>
        <w:t>六、双方约定的其他工程质量保修事项：</w:t>
      </w:r>
    </w:p>
    <w:p w14:paraId="26A31D70">
      <w:pPr>
        <w:pStyle w:val="2"/>
        <w:spacing w:line="274" w:lineRule="auto"/>
      </w:pPr>
    </w:p>
    <w:p w14:paraId="401EFB1A">
      <w:pPr>
        <w:spacing w:line="330" w:lineRule="exact"/>
        <w:ind w:firstLine="436"/>
      </w:pPr>
      <w:r>
        <w:rPr>
          <w:position w:val="-6"/>
        </w:rPr>
        <w:pict>
          <v:shape id="_x0000_s1211" o:spid="_x0000_s1211" style="height:16.55pt;width:394.25pt;" fillcolor="#000000" filled="t" stroked="f" coordsize="7885,330" path="m0,15l7885,15,7885,0,0,0,0,15xem0,330l7885,330,7885,315,0,315,0,330xe">
            <v:path/>
            <v:fill on="t" focussize="0,0"/>
            <v:stroke on="f"/>
            <v:imagedata o:title=""/>
            <o:lock v:ext="edit"/>
            <w10:wrap type="none"/>
            <w10:anchorlock/>
          </v:shape>
        </w:pict>
      </w:r>
    </w:p>
    <w:p w14:paraId="0DB400AF">
      <w:pPr>
        <w:tabs>
          <w:tab w:val="left" w:pos="1171"/>
        </w:tabs>
        <w:spacing w:before="215" w:line="89" w:lineRule="auto"/>
        <w:ind w:left="436"/>
        <w:rPr>
          <w:rFonts w:ascii="仿宋" w:hAnsi="仿宋" w:eastAsia="仿宋" w:cs="仿宋"/>
          <w:sz w:val="21"/>
          <w:szCs w:val="21"/>
        </w:rPr>
      </w:pPr>
      <w:r>
        <w:rPr>
          <w:rFonts w:ascii="仿宋" w:hAnsi="仿宋" w:eastAsia="仿宋" w:cs="仿宋"/>
          <w:sz w:val="21"/>
          <w:szCs w:val="21"/>
          <w:u w:val="single" w:color="auto"/>
        </w:rPr>
        <w:tab/>
      </w:r>
      <w:r>
        <w:rPr>
          <w:rFonts w:ascii="仿宋" w:hAnsi="仿宋" w:eastAsia="仿宋" w:cs="仿宋"/>
          <w:sz w:val="21"/>
          <w:szCs w:val="21"/>
        </w:rPr>
        <w:t>。</w:t>
      </w:r>
    </w:p>
    <w:p w14:paraId="45ECC418">
      <w:pPr>
        <w:spacing w:before="165" w:line="411" w:lineRule="auto"/>
        <w:ind w:left="25" w:right="84" w:firstLine="407"/>
        <w:rPr>
          <w:rFonts w:ascii="宋体" w:hAnsi="宋体" w:eastAsia="宋体" w:cs="宋体"/>
          <w:sz w:val="21"/>
          <w:szCs w:val="21"/>
        </w:rPr>
      </w:pPr>
      <w:r>
        <w:rPr>
          <w:rFonts w:ascii="宋体" w:hAnsi="宋体" w:eastAsia="宋体" w:cs="宋体"/>
          <w:spacing w:val="-4"/>
          <w:sz w:val="21"/>
          <w:szCs w:val="21"/>
        </w:rPr>
        <w:t>工程质量保修书由发包人、承包人在工程竣工</w:t>
      </w:r>
      <w:r>
        <w:rPr>
          <w:rFonts w:ascii="宋体" w:hAnsi="宋体" w:eastAsia="宋体" w:cs="宋体"/>
          <w:spacing w:val="-5"/>
          <w:sz w:val="21"/>
          <w:szCs w:val="21"/>
        </w:rPr>
        <w:t>验收前共同签署， 作为施工合同附件，其</w:t>
      </w:r>
      <w:r>
        <w:rPr>
          <w:rFonts w:ascii="宋体" w:hAnsi="宋体" w:eastAsia="宋体" w:cs="宋体"/>
          <w:spacing w:val="-4"/>
          <w:sz w:val="21"/>
          <w:szCs w:val="21"/>
        </w:rPr>
        <w:t>有效期限至保修期满。</w:t>
      </w:r>
    </w:p>
    <w:p w14:paraId="61286B81">
      <w:pPr>
        <w:pStyle w:val="2"/>
        <w:spacing w:line="265" w:lineRule="auto"/>
      </w:pPr>
    </w:p>
    <w:p w14:paraId="27339F40">
      <w:pPr>
        <w:pStyle w:val="2"/>
        <w:spacing w:line="266" w:lineRule="auto"/>
      </w:pPr>
    </w:p>
    <w:p w14:paraId="4BCF433D">
      <w:pPr>
        <w:pStyle w:val="2"/>
        <w:spacing w:line="266" w:lineRule="auto"/>
      </w:pPr>
    </w:p>
    <w:p w14:paraId="26E7E899">
      <w:pPr>
        <w:pStyle w:val="2"/>
        <w:spacing w:line="266" w:lineRule="auto"/>
      </w:pPr>
    </w:p>
    <w:p w14:paraId="155824CD">
      <w:pPr>
        <w:pStyle w:val="2"/>
        <w:spacing w:line="266" w:lineRule="auto"/>
      </w:pPr>
    </w:p>
    <w:p w14:paraId="081961E2">
      <w:pPr>
        <w:spacing w:before="69" w:line="219" w:lineRule="auto"/>
        <w:ind w:left="658"/>
        <w:rPr>
          <w:rFonts w:ascii="宋体" w:hAnsi="宋体" w:eastAsia="宋体" w:cs="宋体"/>
          <w:sz w:val="21"/>
          <w:szCs w:val="21"/>
        </w:rPr>
      </w:pPr>
      <w:r>
        <w:rPr>
          <w:rFonts w:ascii="宋体" w:hAnsi="宋体" w:eastAsia="宋体" w:cs="宋体"/>
          <w:spacing w:val="-7"/>
          <w:sz w:val="21"/>
          <w:szCs w:val="21"/>
        </w:rPr>
        <w:t>发包人</w:t>
      </w:r>
      <w:r>
        <w:rPr>
          <w:rFonts w:ascii="宋体" w:hAnsi="宋体" w:eastAsia="宋体" w:cs="宋体"/>
          <w:spacing w:val="-55"/>
          <w:sz w:val="21"/>
          <w:szCs w:val="21"/>
        </w:rPr>
        <w:t xml:space="preserve"> </w:t>
      </w:r>
      <w:r>
        <w:rPr>
          <w:rFonts w:ascii="宋体" w:hAnsi="宋体" w:eastAsia="宋体" w:cs="宋体"/>
          <w:spacing w:val="-7"/>
          <w:sz w:val="21"/>
          <w:szCs w:val="21"/>
        </w:rPr>
        <w:t>(公章)：</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7"/>
          <w:sz w:val="21"/>
          <w:szCs w:val="21"/>
        </w:rPr>
        <w:t>承包人</w:t>
      </w:r>
      <w:r>
        <w:rPr>
          <w:rFonts w:ascii="宋体" w:hAnsi="宋体" w:eastAsia="宋体" w:cs="宋体"/>
          <w:spacing w:val="-60"/>
          <w:sz w:val="21"/>
          <w:szCs w:val="21"/>
        </w:rPr>
        <w:t xml:space="preserve"> </w:t>
      </w:r>
      <w:r>
        <w:rPr>
          <w:rFonts w:ascii="宋体" w:hAnsi="宋体" w:eastAsia="宋体" w:cs="宋体"/>
          <w:spacing w:val="-7"/>
          <w:sz w:val="21"/>
          <w:szCs w:val="21"/>
        </w:rPr>
        <w:t>(公章)：</w:t>
      </w:r>
      <w:r>
        <w:rPr>
          <w:rFonts w:ascii="宋体" w:hAnsi="宋体" w:eastAsia="宋体" w:cs="宋体"/>
          <w:sz w:val="21"/>
          <w:szCs w:val="21"/>
          <w:u w:val="single" w:color="auto"/>
        </w:rPr>
        <w:t xml:space="preserve">                </w:t>
      </w:r>
    </w:p>
    <w:p w14:paraId="157B108D">
      <w:pPr>
        <w:spacing w:before="216" w:line="229" w:lineRule="auto"/>
        <w:ind w:left="654"/>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地</w:t>
      </w:r>
      <w:r>
        <w:rPr>
          <w:rFonts w:ascii="宋体" w:hAnsi="宋体" w:eastAsia="宋体" w:cs="宋体"/>
          <w:spacing w:val="5"/>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25B81A19">
      <w:pPr>
        <w:spacing w:before="205" w:line="220" w:lineRule="auto"/>
        <w:ind w:left="655"/>
        <w:rPr>
          <w:rFonts w:ascii="宋体" w:hAnsi="宋体" w:eastAsia="宋体" w:cs="宋体"/>
          <w:sz w:val="21"/>
          <w:szCs w:val="21"/>
        </w:rPr>
      </w:pPr>
      <w:r>
        <w:rPr>
          <w:rFonts w:ascii="宋体" w:hAnsi="宋体" w:eastAsia="宋体" w:cs="宋体"/>
          <w:spacing w:val="-5"/>
          <w:sz w:val="21"/>
          <w:szCs w:val="21"/>
        </w:rPr>
        <w:t>法定代表人</w:t>
      </w:r>
      <w:r>
        <w:rPr>
          <w:rFonts w:ascii="宋体" w:hAnsi="宋体" w:eastAsia="宋体" w:cs="宋体"/>
          <w:spacing w:val="-56"/>
          <w:sz w:val="21"/>
          <w:szCs w:val="21"/>
        </w:rPr>
        <w:t xml:space="preserve"> </w:t>
      </w:r>
      <w:r>
        <w:rPr>
          <w:rFonts w:ascii="宋体" w:hAnsi="宋体" w:eastAsia="宋体" w:cs="宋体"/>
          <w:spacing w:val="-5"/>
          <w:sz w:val="21"/>
          <w:szCs w:val="21"/>
        </w:rPr>
        <w:t>(签字)：</w:t>
      </w:r>
      <w:r>
        <w:rPr>
          <w:rFonts w:ascii="宋体" w:hAnsi="宋体" w:eastAsia="宋体" w:cs="宋体"/>
          <w:spacing w:val="-5"/>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5"/>
          <w:sz w:val="21"/>
          <w:szCs w:val="21"/>
        </w:rPr>
        <w:t>法定代表人</w:t>
      </w:r>
      <w:r>
        <w:rPr>
          <w:rFonts w:ascii="宋体" w:hAnsi="宋体" w:eastAsia="宋体" w:cs="宋体"/>
          <w:spacing w:val="-61"/>
          <w:sz w:val="21"/>
          <w:szCs w:val="21"/>
        </w:rPr>
        <w:t xml:space="preserve"> </w:t>
      </w:r>
      <w:r>
        <w:rPr>
          <w:rFonts w:ascii="宋体" w:hAnsi="宋体" w:eastAsia="宋体" w:cs="宋体"/>
          <w:spacing w:val="-5"/>
          <w:sz w:val="21"/>
          <w:szCs w:val="21"/>
        </w:rPr>
        <w:t>(签字)：</w:t>
      </w:r>
      <w:r>
        <w:rPr>
          <w:rFonts w:ascii="宋体" w:hAnsi="宋体" w:eastAsia="宋体" w:cs="宋体"/>
          <w:spacing w:val="-5"/>
          <w:sz w:val="21"/>
          <w:szCs w:val="21"/>
          <w:u w:val="single" w:color="auto"/>
        </w:rPr>
        <w:t xml:space="preserve">            </w:t>
      </w:r>
    </w:p>
    <w:p w14:paraId="0512C7FF">
      <w:pPr>
        <w:spacing w:before="215" w:line="220" w:lineRule="auto"/>
        <w:ind w:left="653"/>
        <w:rPr>
          <w:rFonts w:ascii="宋体" w:hAnsi="宋体" w:eastAsia="宋体" w:cs="宋体"/>
          <w:sz w:val="21"/>
          <w:szCs w:val="21"/>
        </w:rPr>
      </w:pPr>
      <w:r>
        <w:rPr>
          <w:rFonts w:ascii="宋体" w:hAnsi="宋体" w:eastAsia="宋体" w:cs="宋体"/>
          <w:spacing w:val="-5"/>
          <w:sz w:val="21"/>
          <w:szCs w:val="21"/>
        </w:rPr>
        <w:t>委托代理人</w:t>
      </w:r>
      <w:r>
        <w:rPr>
          <w:rFonts w:ascii="宋体" w:hAnsi="宋体" w:eastAsia="宋体" w:cs="宋体"/>
          <w:spacing w:val="-52"/>
          <w:sz w:val="21"/>
          <w:szCs w:val="21"/>
        </w:rPr>
        <w:t xml:space="preserve"> </w:t>
      </w:r>
      <w:r>
        <w:rPr>
          <w:rFonts w:ascii="宋体" w:hAnsi="宋体" w:eastAsia="宋体" w:cs="宋体"/>
          <w:spacing w:val="-5"/>
          <w:sz w:val="21"/>
          <w:szCs w:val="21"/>
        </w:rPr>
        <w:t>(签字)：</w:t>
      </w:r>
      <w:r>
        <w:rPr>
          <w:rFonts w:ascii="宋体" w:hAnsi="宋体" w:eastAsia="宋体" w:cs="宋体"/>
          <w:spacing w:val="-5"/>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5"/>
          <w:sz w:val="21"/>
          <w:szCs w:val="21"/>
        </w:rPr>
        <w:t>委托代理人</w:t>
      </w:r>
      <w:r>
        <w:rPr>
          <w:rFonts w:ascii="宋体" w:hAnsi="宋体" w:eastAsia="宋体" w:cs="宋体"/>
          <w:spacing w:val="-52"/>
          <w:sz w:val="21"/>
          <w:szCs w:val="21"/>
        </w:rPr>
        <w:t xml:space="preserve"> </w:t>
      </w:r>
      <w:r>
        <w:rPr>
          <w:rFonts w:ascii="宋体" w:hAnsi="宋体" w:eastAsia="宋体" w:cs="宋体"/>
          <w:spacing w:val="-5"/>
          <w:sz w:val="21"/>
          <w:szCs w:val="21"/>
        </w:rPr>
        <w:t>(签字)：</w:t>
      </w:r>
      <w:r>
        <w:rPr>
          <w:rFonts w:ascii="宋体" w:hAnsi="宋体" w:eastAsia="宋体" w:cs="宋体"/>
          <w:spacing w:val="-5"/>
          <w:sz w:val="21"/>
          <w:szCs w:val="21"/>
          <w:u w:val="single" w:color="auto"/>
        </w:rPr>
        <w:t xml:space="preserve">            </w:t>
      </w:r>
    </w:p>
    <w:p w14:paraId="22C0334C">
      <w:pPr>
        <w:spacing w:before="231" w:line="222" w:lineRule="auto"/>
        <w:ind w:left="679"/>
        <w:rPr>
          <w:rFonts w:ascii="宋体" w:hAnsi="宋体" w:eastAsia="宋体" w:cs="宋体"/>
          <w:sz w:val="21"/>
          <w:szCs w:val="21"/>
        </w:rPr>
      </w:pPr>
      <w:r>
        <w:rPr>
          <w:rFonts w:ascii="宋体" w:hAnsi="宋体" w:eastAsia="宋体" w:cs="宋体"/>
          <w:spacing w:val="-8"/>
          <w:sz w:val="21"/>
          <w:szCs w:val="21"/>
        </w:rPr>
        <w:t>电</w:t>
      </w:r>
      <w:r>
        <w:rPr>
          <w:rFonts w:ascii="宋体" w:hAnsi="宋体" w:eastAsia="宋体" w:cs="宋体"/>
          <w:spacing w:val="4"/>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r>
        <w:rPr>
          <w:rFonts w:ascii="宋体" w:hAnsi="宋体" w:eastAsia="宋体" w:cs="宋体"/>
          <w:spacing w:val="-8"/>
          <w:sz w:val="21"/>
          <w:szCs w:val="21"/>
        </w:rPr>
        <w:t xml:space="preserve">             电</w:t>
      </w:r>
      <w:r>
        <w:rPr>
          <w:rFonts w:ascii="宋体" w:hAnsi="宋体" w:eastAsia="宋体" w:cs="宋体"/>
          <w:spacing w:val="5"/>
          <w:sz w:val="21"/>
          <w:szCs w:val="21"/>
        </w:rPr>
        <w:t xml:space="preserve">  </w:t>
      </w:r>
      <w:r>
        <w:rPr>
          <w:rFonts w:ascii="宋体" w:hAnsi="宋体" w:eastAsia="宋体" w:cs="宋体"/>
          <w:spacing w:val="-8"/>
          <w:sz w:val="21"/>
          <w:szCs w:val="21"/>
        </w:rPr>
        <w:t>话：</w:t>
      </w:r>
      <w:r>
        <w:rPr>
          <w:rFonts w:ascii="宋体" w:hAnsi="宋体" w:eastAsia="宋体" w:cs="宋体"/>
          <w:sz w:val="21"/>
          <w:szCs w:val="21"/>
          <w:u w:val="single" w:color="auto"/>
        </w:rPr>
        <w:t xml:space="preserve">                      </w:t>
      </w:r>
    </w:p>
    <w:p w14:paraId="7F4ED091">
      <w:pPr>
        <w:spacing w:before="212" w:line="219" w:lineRule="auto"/>
        <w:ind w:left="653"/>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6"/>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6"/>
          <w:sz w:val="21"/>
          <w:szCs w:val="21"/>
        </w:rPr>
        <w:t>传</w:t>
      </w:r>
      <w:r>
        <w:rPr>
          <w:rFonts w:ascii="宋体" w:hAnsi="宋体" w:eastAsia="宋体" w:cs="宋体"/>
          <w:spacing w:val="11"/>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69A1E527">
      <w:pPr>
        <w:spacing w:before="217" w:line="220" w:lineRule="auto"/>
        <w:ind w:left="655"/>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开户银行：</w:t>
      </w:r>
      <w:r>
        <w:rPr>
          <w:rFonts w:ascii="宋体" w:hAnsi="宋体" w:eastAsia="宋体" w:cs="宋体"/>
          <w:spacing w:val="-2"/>
          <w:sz w:val="21"/>
          <w:szCs w:val="21"/>
          <w:u w:val="single" w:color="auto"/>
        </w:rPr>
        <w:t xml:space="preserve">                    </w:t>
      </w:r>
    </w:p>
    <w:p w14:paraId="2B2A7135">
      <w:pPr>
        <w:spacing w:before="215" w:line="221" w:lineRule="auto"/>
        <w:ind w:left="658"/>
        <w:rPr>
          <w:rFonts w:ascii="宋体" w:hAnsi="宋体" w:eastAsia="宋体" w:cs="宋体"/>
          <w:sz w:val="21"/>
          <w:szCs w:val="21"/>
        </w:rPr>
      </w:pPr>
      <w:r>
        <w:rPr>
          <w:rFonts w:ascii="宋体" w:hAnsi="宋体" w:eastAsia="宋体" w:cs="宋体"/>
          <w:spacing w:val="-6"/>
          <w:sz w:val="21"/>
          <w:szCs w:val="21"/>
        </w:rPr>
        <w:t>账</w:t>
      </w:r>
      <w:r>
        <w:rPr>
          <w:rFonts w:ascii="宋体" w:hAnsi="宋体" w:eastAsia="宋体" w:cs="宋体"/>
          <w:spacing w:val="15"/>
          <w:sz w:val="21"/>
          <w:szCs w:val="21"/>
        </w:rPr>
        <w:t xml:space="preserve">  </w:t>
      </w:r>
      <w:r>
        <w:rPr>
          <w:rFonts w:ascii="宋体" w:hAnsi="宋体" w:eastAsia="宋体" w:cs="宋体"/>
          <w:spacing w:val="-6"/>
          <w:sz w:val="21"/>
          <w:szCs w:val="21"/>
        </w:rPr>
        <w:t>号：</w:t>
      </w:r>
      <w:r>
        <w:rPr>
          <w:rFonts w:ascii="宋体" w:hAnsi="宋体" w:eastAsia="宋体" w:cs="宋体"/>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
          <w:sz w:val="21"/>
          <w:szCs w:val="21"/>
        </w:rPr>
        <w:t>账</w:t>
      </w:r>
      <w:r>
        <w:rPr>
          <w:rFonts w:ascii="宋体" w:hAnsi="宋体" w:eastAsia="宋体" w:cs="宋体"/>
          <w:spacing w:val="9"/>
          <w:sz w:val="21"/>
          <w:szCs w:val="21"/>
        </w:rPr>
        <w:t xml:space="preserve">  </w:t>
      </w:r>
      <w:r>
        <w:rPr>
          <w:rFonts w:ascii="宋体" w:hAnsi="宋体" w:eastAsia="宋体" w:cs="宋体"/>
          <w:spacing w:val="-6"/>
          <w:sz w:val="21"/>
          <w:szCs w:val="21"/>
        </w:rPr>
        <w:t>号：</w:t>
      </w:r>
      <w:r>
        <w:rPr>
          <w:rFonts w:ascii="宋体" w:hAnsi="宋体" w:eastAsia="宋体" w:cs="宋体"/>
          <w:spacing w:val="-6"/>
          <w:sz w:val="21"/>
          <w:szCs w:val="21"/>
          <w:u w:val="single" w:color="auto"/>
        </w:rPr>
        <w:t xml:space="preserve">                      </w:t>
      </w:r>
    </w:p>
    <w:p w14:paraId="60A37E18">
      <w:pPr>
        <w:spacing w:before="214" w:line="220" w:lineRule="auto"/>
        <w:ind w:left="670"/>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4FD20AE5">
      <w:pPr>
        <w:spacing w:line="220" w:lineRule="auto"/>
        <w:rPr>
          <w:rFonts w:ascii="宋体" w:hAnsi="宋体" w:eastAsia="宋体" w:cs="宋体"/>
          <w:sz w:val="21"/>
          <w:szCs w:val="21"/>
        </w:rPr>
        <w:sectPr>
          <w:footerReference r:id="rId243" w:type="default"/>
          <w:pgSz w:w="11910" w:h="16845"/>
          <w:pgMar w:top="400" w:right="1695" w:bottom="1110" w:left="1786" w:header="0" w:footer="882" w:gutter="0"/>
          <w:cols w:space="720" w:num="1"/>
        </w:sectPr>
      </w:pPr>
    </w:p>
    <w:p w14:paraId="047162BB">
      <w:pPr>
        <w:pStyle w:val="2"/>
        <w:spacing w:line="279" w:lineRule="auto"/>
      </w:pPr>
    </w:p>
    <w:p w14:paraId="74F70A69">
      <w:pPr>
        <w:pStyle w:val="2"/>
        <w:spacing w:line="279" w:lineRule="auto"/>
      </w:pPr>
    </w:p>
    <w:p w14:paraId="07FB293A">
      <w:pPr>
        <w:pStyle w:val="2"/>
        <w:spacing w:line="280" w:lineRule="auto"/>
      </w:pPr>
    </w:p>
    <w:p w14:paraId="5D4373A8">
      <w:pPr>
        <w:pStyle w:val="2"/>
        <w:spacing w:line="280" w:lineRule="auto"/>
      </w:pPr>
    </w:p>
    <w:p w14:paraId="738F8539">
      <w:pPr>
        <w:spacing w:before="91" w:line="225" w:lineRule="auto"/>
        <w:ind w:left="42"/>
        <w:outlineLvl w:val="1"/>
        <w:rPr>
          <w:rFonts w:ascii="黑体" w:hAnsi="黑体" w:eastAsia="黑体" w:cs="黑体"/>
          <w:sz w:val="28"/>
          <w:szCs w:val="28"/>
        </w:rPr>
      </w:pPr>
      <w:bookmarkStart w:id="566" w:name="bookmark522"/>
      <w:bookmarkEnd w:id="566"/>
      <w:r>
        <w:rPr>
          <w:rFonts w:ascii="黑体" w:hAnsi="黑体" w:eastAsia="黑体" w:cs="黑体"/>
          <w:b/>
          <w:bCs/>
          <w:spacing w:val="-4"/>
          <w:sz w:val="28"/>
          <w:szCs w:val="28"/>
        </w:rPr>
        <w:t>附件</w:t>
      </w:r>
      <w:r>
        <w:rPr>
          <w:rFonts w:ascii="黑体" w:hAnsi="黑体" w:eastAsia="黑体" w:cs="黑体"/>
          <w:spacing w:val="-46"/>
          <w:sz w:val="28"/>
          <w:szCs w:val="28"/>
        </w:rPr>
        <w:t xml:space="preserve"> </w:t>
      </w:r>
      <w:r>
        <w:rPr>
          <w:rFonts w:ascii="黑体" w:hAnsi="黑体" w:eastAsia="黑体" w:cs="黑体"/>
          <w:b/>
          <w:bCs/>
          <w:spacing w:val="-4"/>
          <w:sz w:val="28"/>
          <w:szCs w:val="28"/>
        </w:rPr>
        <w:t>4：</w:t>
      </w:r>
    </w:p>
    <w:p w14:paraId="54A6002E">
      <w:pPr>
        <w:pStyle w:val="2"/>
        <w:spacing w:line="391" w:lineRule="auto"/>
      </w:pPr>
    </w:p>
    <w:p w14:paraId="579558A0">
      <w:pPr>
        <w:spacing w:before="91" w:line="222" w:lineRule="auto"/>
        <w:ind w:left="2765"/>
        <w:rPr>
          <w:rFonts w:ascii="黑体" w:hAnsi="黑体" w:eastAsia="黑体" w:cs="黑体"/>
          <w:sz w:val="28"/>
          <w:szCs w:val="28"/>
        </w:rPr>
      </w:pPr>
      <w:r>
        <w:rPr>
          <w:rFonts w:ascii="黑体" w:hAnsi="黑体" w:eastAsia="黑体" w:cs="黑体"/>
          <w:spacing w:val="4"/>
          <w:sz w:val="28"/>
          <w:szCs w:val="28"/>
        </w:rPr>
        <w:t>主要建设工程文件目录</w:t>
      </w:r>
    </w:p>
    <w:p w14:paraId="7B12C95E">
      <w:pPr>
        <w:spacing w:line="147" w:lineRule="exact"/>
      </w:pPr>
    </w:p>
    <w:tbl>
      <w:tblPr>
        <w:tblStyle w:val="5"/>
        <w:tblW w:w="8200" w:type="dxa"/>
        <w:tblInd w:w="7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73"/>
        <w:gridCol w:w="1152"/>
        <w:gridCol w:w="1317"/>
        <w:gridCol w:w="1122"/>
        <w:gridCol w:w="1302"/>
        <w:gridCol w:w="1534"/>
      </w:tblGrid>
      <w:tr w14:paraId="2CFD8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3" w:hRule="atLeast"/>
        </w:trPr>
        <w:tc>
          <w:tcPr>
            <w:tcW w:w="1773" w:type="dxa"/>
            <w:tcBorders>
              <w:top w:val="single" w:color="000000" w:sz="12" w:space="0"/>
              <w:left w:val="single" w:color="000000" w:sz="12" w:space="0"/>
            </w:tcBorders>
            <w:vAlign w:val="top"/>
          </w:tcPr>
          <w:p w14:paraId="30CF6207">
            <w:pPr>
              <w:pStyle w:val="6"/>
              <w:spacing w:before="179" w:line="220" w:lineRule="auto"/>
              <w:ind w:left="84"/>
              <w:rPr>
                <w:sz w:val="21"/>
                <w:szCs w:val="21"/>
              </w:rPr>
            </w:pPr>
            <w:r>
              <w:rPr>
                <w:spacing w:val="-2"/>
                <w:sz w:val="21"/>
                <w:szCs w:val="21"/>
              </w:rPr>
              <w:t>文件名称</w:t>
            </w:r>
          </w:p>
        </w:tc>
        <w:tc>
          <w:tcPr>
            <w:tcW w:w="1152" w:type="dxa"/>
            <w:tcBorders>
              <w:top w:val="single" w:color="000000" w:sz="12" w:space="0"/>
            </w:tcBorders>
            <w:vAlign w:val="top"/>
          </w:tcPr>
          <w:p w14:paraId="1ACE11CC">
            <w:pPr>
              <w:pStyle w:val="6"/>
              <w:spacing w:before="179" w:line="220" w:lineRule="auto"/>
              <w:ind w:left="91"/>
              <w:rPr>
                <w:sz w:val="21"/>
                <w:szCs w:val="21"/>
              </w:rPr>
            </w:pPr>
            <w:r>
              <w:rPr>
                <w:spacing w:val="-3"/>
                <w:sz w:val="21"/>
                <w:szCs w:val="21"/>
              </w:rPr>
              <w:t>套数</w:t>
            </w:r>
          </w:p>
        </w:tc>
        <w:tc>
          <w:tcPr>
            <w:tcW w:w="1317" w:type="dxa"/>
            <w:tcBorders>
              <w:top w:val="single" w:color="000000" w:sz="12" w:space="0"/>
            </w:tcBorders>
            <w:vAlign w:val="top"/>
          </w:tcPr>
          <w:p w14:paraId="059FEA71">
            <w:pPr>
              <w:pStyle w:val="6"/>
              <w:spacing w:before="180" w:line="220" w:lineRule="auto"/>
              <w:ind w:left="106"/>
              <w:rPr>
                <w:sz w:val="21"/>
                <w:szCs w:val="21"/>
              </w:rPr>
            </w:pPr>
            <w:r>
              <w:rPr>
                <w:spacing w:val="-6"/>
                <w:sz w:val="21"/>
                <w:szCs w:val="21"/>
              </w:rPr>
              <w:t>费用（元）</w:t>
            </w:r>
          </w:p>
        </w:tc>
        <w:tc>
          <w:tcPr>
            <w:tcW w:w="1122" w:type="dxa"/>
            <w:tcBorders>
              <w:top w:val="single" w:color="000000" w:sz="12" w:space="0"/>
            </w:tcBorders>
            <w:vAlign w:val="top"/>
          </w:tcPr>
          <w:p w14:paraId="29008A85">
            <w:pPr>
              <w:pStyle w:val="6"/>
              <w:spacing w:before="180" w:line="220" w:lineRule="auto"/>
              <w:ind w:left="85"/>
              <w:rPr>
                <w:sz w:val="21"/>
                <w:szCs w:val="21"/>
              </w:rPr>
            </w:pPr>
            <w:r>
              <w:rPr>
                <w:spacing w:val="-3"/>
                <w:sz w:val="21"/>
                <w:szCs w:val="21"/>
              </w:rPr>
              <w:t>质量</w:t>
            </w:r>
          </w:p>
        </w:tc>
        <w:tc>
          <w:tcPr>
            <w:tcW w:w="1302" w:type="dxa"/>
            <w:tcBorders>
              <w:top w:val="single" w:color="000000" w:sz="12" w:space="0"/>
            </w:tcBorders>
            <w:vAlign w:val="top"/>
          </w:tcPr>
          <w:p w14:paraId="5950BD85">
            <w:pPr>
              <w:pStyle w:val="6"/>
              <w:spacing w:before="180" w:line="221" w:lineRule="auto"/>
              <w:ind w:left="239"/>
              <w:rPr>
                <w:sz w:val="21"/>
                <w:szCs w:val="21"/>
              </w:rPr>
            </w:pPr>
            <w:r>
              <w:rPr>
                <w:spacing w:val="-2"/>
                <w:sz w:val="21"/>
                <w:szCs w:val="21"/>
              </w:rPr>
              <w:t>移交时间</w:t>
            </w:r>
          </w:p>
        </w:tc>
        <w:tc>
          <w:tcPr>
            <w:tcW w:w="1534" w:type="dxa"/>
            <w:tcBorders>
              <w:top w:val="single" w:color="000000" w:sz="12" w:space="0"/>
              <w:right w:val="single" w:color="000000" w:sz="12" w:space="0"/>
            </w:tcBorders>
            <w:vAlign w:val="top"/>
          </w:tcPr>
          <w:p w14:paraId="4426B7EA">
            <w:pPr>
              <w:pStyle w:val="6"/>
              <w:spacing w:before="179" w:line="220" w:lineRule="auto"/>
              <w:ind w:left="460"/>
              <w:rPr>
                <w:sz w:val="21"/>
                <w:szCs w:val="21"/>
              </w:rPr>
            </w:pPr>
            <w:r>
              <w:rPr>
                <w:spacing w:val="-4"/>
                <w:sz w:val="21"/>
                <w:szCs w:val="21"/>
              </w:rPr>
              <w:t>责任人</w:t>
            </w:r>
          </w:p>
        </w:tc>
      </w:tr>
      <w:tr w14:paraId="290C7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773" w:type="dxa"/>
            <w:tcBorders>
              <w:left w:val="single" w:color="000000" w:sz="12" w:space="0"/>
            </w:tcBorders>
            <w:vAlign w:val="top"/>
          </w:tcPr>
          <w:p w14:paraId="10386E2C">
            <w:pPr>
              <w:rPr>
                <w:rFonts w:ascii="Arial"/>
                <w:sz w:val="21"/>
              </w:rPr>
            </w:pPr>
          </w:p>
        </w:tc>
        <w:tc>
          <w:tcPr>
            <w:tcW w:w="1152" w:type="dxa"/>
            <w:vAlign w:val="top"/>
          </w:tcPr>
          <w:p w14:paraId="2DD650B0">
            <w:pPr>
              <w:rPr>
                <w:rFonts w:ascii="Arial"/>
                <w:sz w:val="21"/>
              </w:rPr>
            </w:pPr>
          </w:p>
        </w:tc>
        <w:tc>
          <w:tcPr>
            <w:tcW w:w="1317" w:type="dxa"/>
            <w:vAlign w:val="top"/>
          </w:tcPr>
          <w:p w14:paraId="78CCAAC5">
            <w:pPr>
              <w:rPr>
                <w:rFonts w:ascii="Arial"/>
                <w:sz w:val="21"/>
              </w:rPr>
            </w:pPr>
          </w:p>
        </w:tc>
        <w:tc>
          <w:tcPr>
            <w:tcW w:w="1122" w:type="dxa"/>
            <w:vAlign w:val="top"/>
          </w:tcPr>
          <w:p w14:paraId="253C8791">
            <w:pPr>
              <w:rPr>
                <w:rFonts w:ascii="Arial"/>
                <w:sz w:val="21"/>
              </w:rPr>
            </w:pPr>
          </w:p>
        </w:tc>
        <w:tc>
          <w:tcPr>
            <w:tcW w:w="1302" w:type="dxa"/>
            <w:vAlign w:val="top"/>
          </w:tcPr>
          <w:p w14:paraId="7933D8DE">
            <w:pPr>
              <w:rPr>
                <w:rFonts w:ascii="Arial"/>
                <w:sz w:val="21"/>
              </w:rPr>
            </w:pPr>
          </w:p>
        </w:tc>
        <w:tc>
          <w:tcPr>
            <w:tcW w:w="1534" w:type="dxa"/>
            <w:tcBorders>
              <w:right w:val="single" w:color="000000" w:sz="12" w:space="0"/>
            </w:tcBorders>
            <w:vAlign w:val="top"/>
          </w:tcPr>
          <w:p w14:paraId="0E8F6F70">
            <w:pPr>
              <w:rPr>
                <w:rFonts w:ascii="Arial"/>
                <w:sz w:val="21"/>
              </w:rPr>
            </w:pPr>
          </w:p>
        </w:tc>
      </w:tr>
      <w:tr w14:paraId="6AFCF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6" w:hRule="atLeast"/>
        </w:trPr>
        <w:tc>
          <w:tcPr>
            <w:tcW w:w="1773" w:type="dxa"/>
            <w:tcBorders>
              <w:left w:val="single" w:color="000000" w:sz="12" w:space="0"/>
            </w:tcBorders>
            <w:vAlign w:val="top"/>
          </w:tcPr>
          <w:p w14:paraId="5E113A02">
            <w:pPr>
              <w:rPr>
                <w:rFonts w:ascii="Arial"/>
                <w:sz w:val="21"/>
              </w:rPr>
            </w:pPr>
          </w:p>
        </w:tc>
        <w:tc>
          <w:tcPr>
            <w:tcW w:w="1152" w:type="dxa"/>
            <w:vAlign w:val="top"/>
          </w:tcPr>
          <w:p w14:paraId="1F4196DA">
            <w:pPr>
              <w:rPr>
                <w:rFonts w:ascii="Arial"/>
                <w:sz w:val="21"/>
              </w:rPr>
            </w:pPr>
          </w:p>
        </w:tc>
        <w:tc>
          <w:tcPr>
            <w:tcW w:w="1317" w:type="dxa"/>
            <w:vAlign w:val="top"/>
          </w:tcPr>
          <w:p w14:paraId="1CBF9F9A">
            <w:pPr>
              <w:rPr>
                <w:rFonts w:ascii="Arial"/>
                <w:sz w:val="21"/>
              </w:rPr>
            </w:pPr>
          </w:p>
        </w:tc>
        <w:tc>
          <w:tcPr>
            <w:tcW w:w="1122" w:type="dxa"/>
            <w:vAlign w:val="top"/>
          </w:tcPr>
          <w:p w14:paraId="43AA0DA8">
            <w:pPr>
              <w:rPr>
                <w:rFonts w:ascii="Arial"/>
                <w:sz w:val="21"/>
              </w:rPr>
            </w:pPr>
          </w:p>
        </w:tc>
        <w:tc>
          <w:tcPr>
            <w:tcW w:w="1302" w:type="dxa"/>
            <w:vAlign w:val="top"/>
          </w:tcPr>
          <w:p w14:paraId="7ED57663">
            <w:pPr>
              <w:rPr>
                <w:rFonts w:ascii="Arial"/>
                <w:sz w:val="21"/>
              </w:rPr>
            </w:pPr>
          </w:p>
        </w:tc>
        <w:tc>
          <w:tcPr>
            <w:tcW w:w="1534" w:type="dxa"/>
            <w:tcBorders>
              <w:right w:val="single" w:color="000000" w:sz="12" w:space="0"/>
            </w:tcBorders>
            <w:vAlign w:val="top"/>
          </w:tcPr>
          <w:p w14:paraId="66762E35">
            <w:pPr>
              <w:rPr>
                <w:rFonts w:ascii="Arial"/>
                <w:sz w:val="21"/>
              </w:rPr>
            </w:pPr>
          </w:p>
        </w:tc>
      </w:tr>
      <w:tr w14:paraId="707E9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773" w:type="dxa"/>
            <w:tcBorders>
              <w:left w:val="single" w:color="000000" w:sz="12" w:space="0"/>
            </w:tcBorders>
            <w:vAlign w:val="top"/>
          </w:tcPr>
          <w:p w14:paraId="61D51347">
            <w:pPr>
              <w:rPr>
                <w:rFonts w:ascii="Arial"/>
                <w:sz w:val="21"/>
              </w:rPr>
            </w:pPr>
          </w:p>
        </w:tc>
        <w:tc>
          <w:tcPr>
            <w:tcW w:w="1152" w:type="dxa"/>
            <w:vAlign w:val="top"/>
          </w:tcPr>
          <w:p w14:paraId="167471ED">
            <w:pPr>
              <w:rPr>
                <w:rFonts w:ascii="Arial"/>
                <w:sz w:val="21"/>
              </w:rPr>
            </w:pPr>
          </w:p>
        </w:tc>
        <w:tc>
          <w:tcPr>
            <w:tcW w:w="1317" w:type="dxa"/>
            <w:vAlign w:val="top"/>
          </w:tcPr>
          <w:p w14:paraId="786CAD1A">
            <w:pPr>
              <w:rPr>
                <w:rFonts w:ascii="Arial"/>
                <w:sz w:val="21"/>
              </w:rPr>
            </w:pPr>
          </w:p>
        </w:tc>
        <w:tc>
          <w:tcPr>
            <w:tcW w:w="1122" w:type="dxa"/>
            <w:vAlign w:val="top"/>
          </w:tcPr>
          <w:p w14:paraId="1F5902FA">
            <w:pPr>
              <w:rPr>
                <w:rFonts w:ascii="Arial"/>
                <w:sz w:val="21"/>
              </w:rPr>
            </w:pPr>
          </w:p>
        </w:tc>
        <w:tc>
          <w:tcPr>
            <w:tcW w:w="1302" w:type="dxa"/>
            <w:vAlign w:val="top"/>
          </w:tcPr>
          <w:p w14:paraId="06906E88">
            <w:pPr>
              <w:rPr>
                <w:rFonts w:ascii="Arial"/>
                <w:sz w:val="21"/>
              </w:rPr>
            </w:pPr>
          </w:p>
        </w:tc>
        <w:tc>
          <w:tcPr>
            <w:tcW w:w="1534" w:type="dxa"/>
            <w:tcBorders>
              <w:right w:val="single" w:color="000000" w:sz="12" w:space="0"/>
            </w:tcBorders>
            <w:vAlign w:val="top"/>
          </w:tcPr>
          <w:p w14:paraId="57B32AC1">
            <w:pPr>
              <w:rPr>
                <w:rFonts w:ascii="Arial"/>
                <w:sz w:val="21"/>
              </w:rPr>
            </w:pPr>
          </w:p>
        </w:tc>
      </w:tr>
      <w:tr w14:paraId="48AB3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773" w:type="dxa"/>
            <w:tcBorders>
              <w:left w:val="single" w:color="000000" w:sz="12" w:space="0"/>
            </w:tcBorders>
            <w:vAlign w:val="top"/>
          </w:tcPr>
          <w:p w14:paraId="22E08B06">
            <w:pPr>
              <w:rPr>
                <w:rFonts w:ascii="Arial"/>
                <w:sz w:val="21"/>
              </w:rPr>
            </w:pPr>
          </w:p>
        </w:tc>
        <w:tc>
          <w:tcPr>
            <w:tcW w:w="1152" w:type="dxa"/>
            <w:vAlign w:val="top"/>
          </w:tcPr>
          <w:p w14:paraId="32CA2F11">
            <w:pPr>
              <w:rPr>
                <w:rFonts w:ascii="Arial"/>
                <w:sz w:val="21"/>
              </w:rPr>
            </w:pPr>
          </w:p>
        </w:tc>
        <w:tc>
          <w:tcPr>
            <w:tcW w:w="1317" w:type="dxa"/>
            <w:vAlign w:val="top"/>
          </w:tcPr>
          <w:p w14:paraId="26F25382">
            <w:pPr>
              <w:rPr>
                <w:rFonts w:ascii="Arial"/>
                <w:sz w:val="21"/>
              </w:rPr>
            </w:pPr>
          </w:p>
        </w:tc>
        <w:tc>
          <w:tcPr>
            <w:tcW w:w="1122" w:type="dxa"/>
            <w:vAlign w:val="top"/>
          </w:tcPr>
          <w:p w14:paraId="7A0362E9">
            <w:pPr>
              <w:rPr>
                <w:rFonts w:ascii="Arial"/>
                <w:sz w:val="21"/>
              </w:rPr>
            </w:pPr>
          </w:p>
        </w:tc>
        <w:tc>
          <w:tcPr>
            <w:tcW w:w="1302" w:type="dxa"/>
            <w:vAlign w:val="top"/>
          </w:tcPr>
          <w:p w14:paraId="4E57CCF3">
            <w:pPr>
              <w:rPr>
                <w:rFonts w:ascii="Arial"/>
                <w:sz w:val="21"/>
              </w:rPr>
            </w:pPr>
          </w:p>
        </w:tc>
        <w:tc>
          <w:tcPr>
            <w:tcW w:w="1534" w:type="dxa"/>
            <w:tcBorders>
              <w:right w:val="single" w:color="000000" w:sz="12" w:space="0"/>
            </w:tcBorders>
            <w:vAlign w:val="top"/>
          </w:tcPr>
          <w:p w14:paraId="792278C8">
            <w:pPr>
              <w:rPr>
                <w:rFonts w:ascii="Arial"/>
                <w:sz w:val="21"/>
              </w:rPr>
            </w:pPr>
          </w:p>
        </w:tc>
      </w:tr>
      <w:tr w14:paraId="701F1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773" w:type="dxa"/>
            <w:tcBorders>
              <w:left w:val="single" w:color="000000" w:sz="12" w:space="0"/>
            </w:tcBorders>
            <w:vAlign w:val="top"/>
          </w:tcPr>
          <w:p w14:paraId="105EA4F1">
            <w:pPr>
              <w:rPr>
                <w:rFonts w:ascii="Arial"/>
                <w:sz w:val="21"/>
              </w:rPr>
            </w:pPr>
          </w:p>
        </w:tc>
        <w:tc>
          <w:tcPr>
            <w:tcW w:w="1152" w:type="dxa"/>
            <w:vAlign w:val="top"/>
          </w:tcPr>
          <w:p w14:paraId="115F0898">
            <w:pPr>
              <w:rPr>
                <w:rFonts w:ascii="Arial"/>
                <w:sz w:val="21"/>
              </w:rPr>
            </w:pPr>
          </w:p>
        </w:tc>
        <w:tc>
          <w:tcPr>
            <w:tcW w:w="1317" w:type="dxa"/>
            <w:vAlign w:val="top"/>
          </w:tcPr>
          <w:p w14:paraId="0732457A">
            <w:pPr>
              <w:rPr>
                <w:rFonts w:ascii="Arial"/>
                <w:sz w:val="21"/>
              </w:rPr>
            </w:pPr>
          </w:p>
        </w:tc>
        <w:tc>
          <w:tcPr>
            <w:tcW w:w="1122" w:type="dxa"/>
            <w:vAlign w:val="top"/>
          </w:tcPr>
          <w:p w14:paraId="1BC890B7">
            <w:pPr>
              <w:rPr>
                <w:rFonts w:ascii="Arial"/>
                <w:sz w:val="21"/>
              </w:rPr>
            </w:pPr>
          </w:p>
        </w:tc>
        <w:tc>
          <w:tcPr>
            <w:tcW w:w="1302" w:type="dxa"/>
            <w:vAlign w:val="top"/>
          </w:tcPr>
          <w:p w14:paraId="75BBBBF2">
            <w:pPr>
              <w:rPr>
                <w:rFonts w:ascii="Arial"/>
                <w:sz w:val="21"/>
              </w:rPr>
            </w:pPr>
          </w:p>
        </w:tc>
        <w:tc>
          <w:tcPr>
            <w:tcW w:w="1534" w:type="dxa"/>
            <w:tcBorders>
              <w:right w:val="single" w:color="000000" w:sz="12" w:space="0"/>
            </w:tcBorders>
            <w:vAlign w:val="top"/>
          </w:tcPr>
          <w:p w14:paraId="4D4B4FCC">
            <w:pPr>
              <w:rPr>
                <w:rFonts w:ascii="Arial"/>
                <w:sz w:val="21"/>
              </w:rPr>
            </w:pPr>
          </w:p>
        </w:tc>
      </w:tr>
      <w:tr w14:paraId="341B9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6" w:hRule="atLeast"/>
        </w:trPr>
        <w:tc>
          <w:tcPr>
            <w:tcW w:w="1773" w:type="dxa"/>
            <w:tcBorders>
              <w:left w:val="single" w:color="000000" w:sz="12" w:space="0"/>
            </w:tcBorders>
            <w:vAlign w:val="top"/>
          </w:tcPr>
          <w:p w14:paraId="547A03D4">
            <w:pPr>
              <w:rPr>
                <w:rFonts w:ascii="Arial"/>
                <w:sz w:val="21"/>
              </w:rPr>
            </w:pPr>
          </w:p>
        </w:tc>
        <w:tc>
          <w:tcPr>
            <w:tcW w:w="1152" w:type="dxa"/>
            <w:vAlign w:val="top"/>
          </w:tcPr>
          <w:p w14:paraId="24F7F424">
            <w:pPr>
              <w:rPr>
                <w:rFonts w:ascii="Arial"/>
                <w:sz w:val="21"/>
              </w:rPr>
            </w:pPr>
          </w:p>
        </w:tc>
        <w:tc>
          <w:tcPr>
            <w:tcW w:w="1317" w:type="dxa"/>
            <w:vAlign w:val="top"/>
          </w:tcPr>
          <w:p w14:paraId="79C81C79">
            <w:pPr>
              <w:rPr>
                <w:rFonts w:ascii="Arial"/>
                <w:sz w:val="21"/>
              </w:rPr>
            </w:pPr>
          </w:p>
        </w:tc>
        <w:tc>
          <w:tcPr>
            <w:tcW w:w="1122" w:type="dxa"/>
            <w:vAlign w:val="top"/>
          </w:tcPr>
          <w:p w14:paraId="0539C81D">
            <w:pPr>
              <w:rPr>
                <w:rFonts w:ascii="Arial"/>
                <w:sz w:val="21"/>
              </w:rPr>
            </w:pPr>
          </w:p>
        </w:tc>
        <w:tc>
          <w:tcPr>
            <w:tcW w:w="1302" w:type="dxa"/>
            <w:vAlign w:val="top"/>
          </w:tcPr>
          <w:p w14:paraId="091C862C">
            <w:pPr>
              <w:rPr>
                <w:rFonts w:ascii="Arial"/>
                <w:sz w:val="21"/>
              </w:rPr>
            </w:pPr>
          </w:p>
        </w:tc>
        <w:tc>
          <w:tcPr>
            <w:tcW w:w="1534" w:type="dxa"/>
            <w:tcBorders>
              <w:right w:val="single" w:color="000000" w:sz="12" w:space="0"/>
            </w:tcBorders>
            <w:vAlign w:val="top"/>
          </w:tcPr>
          <w:p w14:paraId="20CE522C">
            <w:pPr>
              <w:rPr>
                <w:rFonts w:ascii="Arial"/>
                <w:sz w:val="21"/>
              </w:rPr>
            </w:pPr>
          </w:p>
        </w:tc>
      </w:tr>
      <w:tr w14:paraId="31AEA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773" w:type="dxa"/>
            <w:tcBorders>
              <w:left w:val="single" w:color="000000" w:sz="12" w:space="0"/>
            </w:tcBorders>
            <w:vAlign w:val="top"/>
          </w:tcPr>
          <w:p w14:paraId="15E5DB3E">
            <w:pPr>
              <w:rPr>
                <w:rFonts w:ascii="Arial"/>
                <w:sz w:val="21"/>
              </w:rPr>
            </w:pPr>
          </w:p>
        </w:tc>
        <w:tc>
          <w:tcPr>
            <w:tcW w:w="1152" w:type="dxa"/>
            <w:vAlign w:val="top"/>
          </w:tcPr>
          <w:p w14:paraId="1EF84C08">
            <w:pPr>
              <w:rPr>
                <w:rFonts w:ascii="Arial"/>
                <w:sz w:val="21"/>
              </w:rPr>
            </w:pPr>
          </w:p>
        </w:tc>
        <w:tc>
          <w:tcPr>
            <w:tcW w:w="1317" w:type="dxa"/>
            <w:vAlign w:val="top"/>
          </w:tcPr>
          <w:p w14:paraId="3B757622">
            <w:pPr>
              <w:rPr>
                <w:rFonts w:ascii="Arial"/>
                <w:sz w:val="21"/>
              </w:rPr>
            </w:pPr>
          </w:p>
        </w:tc>
        <w:tc>
          <w:tcPr>
            <w:tcW w:w="1122" w:type="dxa"/>
            <w:vAlign w:val="top"/>
          </w:tcPr>
          <w:p w14:paraId="61C709B7">
            <w:pPr>
              <w:rPr>
                <w:rFonts w:ascii="Arial"/>
                <w:sz w:val="21"/>
              </w:rPr>
            </w:pPr>
          </w:p>
        </w:tc>
        <w:tc>
          <w:tcPr>
            <w:tcW w:w="1302" w:type="dxa"/>
            <w:vAlign w:val="top"/>
          </w:tcPr>
          <w:p w14:paraId="45C59E6F">
            <w:pPr>
              <w:rPr>
                <w:rFonts w:ascii="Arial"/>
                <w:sz w:val="21"/>
              </w:rPr>
            </w:pPr>
          </w:p>
        </w:tc>
        <w:tc>
          <w:tcPr>
            <w:tcW w:w="1534" w:type="dxa"/>
            <w:tcBorders>
              <w:right w:val="single" w:color="000000" w:sz="12" w:space="0"/>
            </w:tcBorders>
            <w:vAlign w:val="top"/>
          </w:tcPr>
          <w:p w14:paraId="1D073F65">
            <w:pPr>
              <w:rPr>
                <w:rFonts w:ascii="Arial"/>
                <w:sz w:val="21"/>
              </w:rPr>
            </w:pPr>
          </w:p>
        </w:tc>
      </w:tr>
      <w:tr w14:paraId="027AA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773" w:type="dxa"/>
            <w:tcBorders>
              <w:left w:val="single" w:color="000000" w:sz="12" w:space="0"/>
            </w:tcBorders>
            <w:vAlign w:val="top"/>
          </w:tcPr>
          <w:p w14:paraId="78367F6E">
            <w:pPr>
              <w:rPr>
                <w:rFonts w:ascii="Arial"/>
                <w:sz w:val="21"/>
              </w:rPr>
            </w:pPr>
          </w:p>
        </w:tc>
        <w:tc>
          <w:tcPr>
            <w:tcW w:w="1152" w:type="dxa"/>
            <w:vAlign w:val="top"/>
          </w:tcPr>
          <w:p w14:paraId="4F84251B">
            <w:pPr>
              <w:rPr>
                <w:rFonts w:ascii="Arial"/>
                <w:sz w:val="21"/>
              </w:rPr>
            </w:pPr>
          </w:p>
        </w:tc>
        <w:tc>
          <w:tcPr>
            <w:tcW w:w="1317" w:type="dxa"/>
            <w:vAlign w:val="top"/>
          </w:tcPr>
          <w:p w14:paraId="7970EA8D">
            <w:pPr>
              <w:rPr>
                <w:rFonts w:ascii="Arial"/>
                <w:sz w:val="21"/>
              </w:rPr>
            </w:pPr>
          </w:p>
        </w:tc>
        <w:tc>
          <w:tcPr>
            <w:tcW w:w="1122" w:type="dxa"/>
            <w:vAlign w:val="top"/>
          </w:tcPr>
          <w:p w14:paraId="630FE40E">
            <w:pPr>
              <w:rPr>
                <w:rFonts w:ascii="Arial"/>
                <w:sz w:val="21"/>
              </w:rPr>
            </w:pPr>
          </w:p>
        </w:tc>
        <w:tc>
          <w:tcPr>
            <w:tcW w:w="1302" w:type="dxa"/>
            <w:vAlign w:val="top"/>
          </w:tcPr>
          <w:p w14:paraId="74903438">
            <w:pPr>
              <w:rPr>
                <w:rFonts w:ascii="Arial"/>
                <w:sz w:val="21"/>
              </w:rPr>
            </w:pPr>
          </w:p>
        </w:tc>
        <w:tc>
          <w:tcPr>
            <w:tcW w:w="1534" w:type="dxa"/>
            <w:tcBorders>
              <w:right w:val="single" w:color="000000" w:sz="12" w:space="0"/>
            </w:tcBorders>
            <w:vAlign w:val="top"/>
          </w:tcPr>
          <w:p w14:paraId="544E1B9D">
            <w:pPr>
              <w:rPr>
                <w:rFonts w:ascii="Arial"/>
                <w:sz w:val="21"/>
              </w:rPr>
            </w:pPr>
          </w:p>
        </w:tc>
      </w:tr>
      <w:tr w14:paraId="0A4DE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1773" w:type="dxa"/>
            <w:tcBorders>
              <w:left w:val="single" w:color="000000" w:sz="12" w:space="0"/>
            </w:tcBorders>
            <w:vAlign w:val="top"/>
          </w:tcPr>
          <w:p w14:paraId="3574EF58">
            <w:pPr>
              <w:rPr>
                <w:rFonts w:ascii="Arial"/>
                <w:sz w:val="21"/>
              </w:rPr>
            </w:pPr>
          </w:p>
        </w:tc>
        <w:tc>
          <w:tcPr>
            <w:tcW w:w="1152" w:type="dxa"/>
            <w:vAlign w:val="top"/>
          </w:tcPr>
          <w:p w14:paraId="62F9F56E">
            <w:pPr>
              <w:rPr>
                <w:rFonts w:ascii="Arial"/>
                <w:sz w:val="21"/>
              </w:rPr>
            </w:pPr>
          </w:p>
        </w:tc>
        <w:tc>
          <w:tcPr>
            <w:tcW w:w="1317" w:type="dxa"/>
            <w:vAlign w:val="top"/>
          </w:tcPr>
          <w:p w14:paraId="03F7A64F">
            <w:pPr>
              <w:rPr>
                <w:rFonts w:ascii="Arial"/>
                <w:sz w:val="21"/>
              </w:rPr>
            </w:pPr>
          </w:p>
        </w:tc>
        <w:tc>
          <w:tcPr>
            <w:tcW w:w="1122" w:type="dxa"/>
            <w:vAlign w:val="top"/>
          </w:tcPr>
          <w:p w14:paraId="038753A5">
            <w:pPr>
              <w:rPr>
                <w:rFonts w:ascii="Arial"/>
                <w:sz w:val="21"/>
              </w:rPr>
            </w:pPr>
          </w:p>
        </w:tc>
        <w:tc>
          <w:tcPr>
            <w:tcW w:w="1302" w:type="dxa"/>
            <w:vAlign w:val="top"/>
          </w:tcPr>
          <w:p w14:paraId="4A4FCFE5">
            <w:pPr>
              <w:rPr>
                <w:rFonts w:ascii="Arial"/>
                <w:sz w:val="21"/>
              </w:rPr>
            </w:pPr>
          </w:p>
        </w:tc>
        <w:tc>
          <w:tcPr>
            <w:tcW w:w="1534" w:type="dxa"/>
            <w:tcBorders>
              <w:right w:val="single" w:color="000000" w:sz="12" w:space="0"/>
            </w:tcBorders>
            <w:vAlign w:val="top"/>
          </w:tcPr>
          <w:p w14:paraId="371CD01F">
            <w:pPr>
              <w:rPr>
                <w:rFonts w:ascii="Arial"/>
                <w:sz w:val="21"/>
              </w:rPr>
            </w:pPr>
          </w:p>
        </w:tc>
      </w:tr>
      <w:tr w14:paraId="731CE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773" w:type="dxa"/>
            <w:tcBorders>
              <w:left w:val="single" w:color="000000" w:sz="12" w:space="0"/>
            </w:tcBorders>
            <w:vAlign w:val="top"/>
          </w:tcPr>
          <w:p w14:paraId="10F80013">
            <w:pPr>
              <w:rPr>
                <w:rFonts w:ascii="Arial"/>
                <w:sz w:val="21"/>
              </w:rPr>
            </w:pPr>
          </w:p>
        </w:tc>
        <w:tc>
          <w:tcPr>
            <w:tcW w:w="1152" w:type="dxa"/>
            <w:vAlign w:val="top"/>
          </w:tcPr>
          <w:p w14:paraId="40104DB5">
            <w:pPr>
              <w:rPr>
                <w:rFonts w:ascii="Arial"/>
                <w:sz w:val="21"/>
              </w:rPr>
            </w:pPr>
          </w:p>
        </w:tc>
        <w:tc>
          <w:tcPr>
            <w:tcW w:w="1317" w:type="dxa"/>
            <w:vAlign w:val="top"/>
          </w:tcPr>
          <w:p w14:paraId="4F1A6E36">
            <w:pPr>
              <w:rPr>
                <w:rFonts w:ascii="Arial"/>
                <w:sz w:val="21"/>
              </w:rPr>
            </w:pPr>
          </w:p>
        </w:tc>
        <w:tc>
          <w:tcPr>
            <w:tcW w:w="1122" w:type="dxa"/>
            <w:vAlign w:val="top"/>
          </w:tcPr>
          <w:p w14:paraId="218B3380">
            <w:pPr>
              <w:rPr>
                <w:rFonts w:ascii="Arial"/>
                <w:sz w:val="21"/>
              </w:rPr>
            </w:pPr>
          </w:p>
        </w:tc>
        <w:tc>
          <w:tcPr>
            <w:tcW w:w="1302" w:type="dxa"/>
            <w:vAlign w:val="top"/>
          </w:tcPr>
          <w:p w14:paraId="62D1C4A4">
            <w:pPr>
              <w:rPr>
                <w:rFonts w:ascii="Arial"/>
                <w:sz w:val="21"/>
              </w:rPr>
            </w:pPr>
          </w:p>
        </w:tc>
        <w:tc>
          <w:tcPr>
            <w:tcW w:w="1534" w:type="dxa"/>
            <w:tcBorders>
              <w:right w:val="single" w:color="000000" w:sz="12" w:space="0"/>
            </w:tcBorders>
            <w:vAlign w:val="top"/>
          </w:tcPr>
          <w:p w14:paraId="5F2A0599">
            <w:pPr>
              <w:rPr>
                <w:rFonts w:ascii="Arial"/>
                <w:sz w:val="21"/>
              </w:rPr>
            </w:pPr>
          </w:p>
        </w:tc>
      </w:tr>
      <w:tr w14:paraId="15F99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773" w:type="dxa"/>
            <w:tcBorders>
              <w:left w:val="single" w:color="000000" w:sz="12" w:space="0"/>
            </w:tcBorders>
            <w:vAlign w:val="top"/>
          </w:tcPr>
          <w:p w14:paraId="4547E5C9">
            <w:pPr>
              <w:rPr>
                <w:rFonts w:ascii="Arial"/>
                <w:sz w:val="21"/>
              </w:rPr>
            </w:pPr>
          </w:p>
        </w:tc>
        <w:tc>
          <w:tcPr>
            <w:tcW w:w="1152" w:type="dxa"/>
            <w:vAlign w:val="top"/>
          </w:tcPr>
          <w:p w14:paraId="7C3B3618">
            <w:pPr>
              <w:rPr>
                <w:rFonts w:ascii="Arial"/>
                <w:sz w:val="21"/>
              </w:rPr>
            </w:pPr>
          </w:p>
        </w:tc>
        <w:tc>
          <w:tcPr>
            <w:tcW w:w="1317" w:type="dxa"/>
            <w:vAlign w:val="top"/>
          </w:tcPr>
          <w:p w14:paraId="53AD9A04">
            <w:pPr>
              <w:rPr>
                <w:rFonts w:ascii="Arial"/>
                <w:sz w:val="21"/>
              </w:rPr>
            </w:pPr>
          </w:p>
        </w:tc>
        <w:tc>
          <w:tcPr>
            <w:tcW w:w="1122" w:type="dxa"/>
            <w:vAlign w:val="top"/>
          </w:tcPr>
          <w:p w14:paraId="72655D03">
            <w:pPr>
              <w:rPr>
                <w:rFonts w:ascii="Arial"/>
                <w:sz w:val="21"/>
              </w:rPr>
            </w:pPr>
          </w:p>
        </w:tc>
        <w:tc>
          <w:tcPr>
            <w:tcW w:w="1302" w:type="dxa"/>
            <w:vAlign w:val="top"/>
          </w:tcPr>
          <w:p w14:paraId="15F0B096">
            <w:pPr>
              <w:rPr>
                <w:rFonts w:ascii="Arial"/>
                <w:sz w:val="21"/>
              </w:rPr>
            </w:pPr>
          </w:p>
        </w:tc>
        <w:tc>
          <w:tcPr>
            <w:tcW w:w="1534" w:type="dxa"/>
            <w:tcBorders>
              <w:right w:val="single" w:color="000000" w:sz="12" w:space="0"/>
            </w:tcBorders>
            <w:vAlign w:val="top"/>
          </w:tcPr>
          <w:p w14:paraId="25399127">
            <w:pPr>
              <w:rPr>
                <w:rFonts w:ascii="Arial"/>
                <w:sz w:val="21"/>
              </w:rPr>
            </w:pPr>
          </w:p>
        </w:tc>
      </w:tr>
      <w:tr w14:paraId="15530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1773" w:type="dxa"/>
            <w:tcBorders>
              <w:left w:val="single" w:color="000000" w:sz="12" w:space="0"/>
            </w:tcBorders>
            <w:vAlign w:val="top"/>
          </w:tcPr>
          <w:p w14:paraId="54D161B7">
            <w:pPr>
              <w:rPr>
                <w:rFonts w:ascii="Arial"/>
                <w:sz w:val="21"/>
              </w:rPr>
            </w:pPr>
          </w:p>
        </w:tc>
        <w:tc>
          <w:tcPr>
            <w:tcW w:w="1152" w:type="dxa"/>
            <w:vAlign w:val="top"/>
          </w:tcPr>
          <w:p w14:paraId="7C3BA2FD">
            <w:pPr>
              <w:rPr>
                <w:rFonts w:ascii="Arial"/>
                <w:sz w:val="21"/>
              </w:rPr>
            </w:pPr>
          </w:p>
        </w:tc>
        <w:tc>
          <w:tcPr>
            <w:tcW w:w="1317" w:type="dxa"/>
            <w:vAlign w:val="top"/>
          </w:tcPr>
          <w:p w14:paraId="53C215B1">
            <w:pPr>
              <w:rPr>
                <w:rFonts w:ascii="Arial"/>
                <w:sz w:val="21"/>
              </w:rPr>
            </w:pPr>
          </w:p>
        </w:tc>
        <w:tc>
          <w:tcPr>
            <w:tcW w:w="1122" w:type="dxa"/>
            <w:vAlign w:val="top"/>
          </w:tcPr>
          <w:p w14:paraId="642EE422">
            <w:pPr>
              <w:rPr>
                <w:rFonts w:ascii="Arial"/>
                <w:sz w:val="21"/>
              </w:rPr>
            </w:pPr>
          </w:p>
        </w:tc>
        <w:tc>
          <w:tcPr>
            <w:tcW w:w="1302" w:type="dxa"/>
            <w:vAlign w:val="top"/>
          </w:tcPr>
          <w:p w14:paraId="706A24E5">
            <w:pPr>
              <w:rPr>
                <w:rFonts w:ascii="Arial"/>
                <w:sz w:val="21"/>
              </w:rPr>
            </w:pPr>
          </w:p>
        </w:tc>
        <w:tc>
          <w:tcPr>
            <w:tcW w:w="1534" w:type="dxa"/>
            <w:tcBorders>
              <w:right w:val="single" w:color="000000" w:sz="12" w:space="0"/>
            </w:tcBorders>
            <w:vAlign w:val="top"/>
          </w:tcPr>
          <w:p w14:paraId="6D658C70">
            <w:pPr>
              <w:rPr>
                <w:rFonts w:ascii="Arial"/>
                <w:sz w:val="21"/>
              </w:rPr>
            </w:pPr>
          </w:p>
        </w:tc>
      </w:tr>
      <w:tr w14:paraId="58A16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773" w:type="dxa"/>
            <w:tcBorders>
              <w:left w:val="single" w:color="000000" w:sz="12" w:space="0"/>
            </w:tcBorders>
            <w:vAlign w:val="top"/>
          </w:tcPr>
          <w:p w14:paraId="3B7B2CB0">
            <w:pPr>
              <w:rPr>
                <w:rFonts w:ascii="Arial"/>
                <w:sz w:val="21"/>
              </w:rPr>
            </w:pPr>
          </w:p>
        </w:tc>
        <w:tc>
          <w:tcPr>
            <w:tcW w:w="1152" w:type="dxa"/>
            <w:vAlign w:val="top"/>
          </w:tcPr>
          <w:p w14:paraId="3D30E8E9">
            <w:pPr>
              <w:rPr>
                <w:rFonts w:ascii="Arial"/>
                <w:sz w:val="21"/>
              </w:rPr>
            </w:pPr>
          </w:p>
        </w:tc>
        <w:tc>
          <w:tcPr>
            <w:tcW w:w="1317" w:type="dxa"/>
            <w:vAlign w:val="top"/>
          </w:tcPr>
          <w:p w14:paraId="613A38D9">
            <w:pPr>
              <w:rPr>
                <w:rFonts w:ascii="Arial"/>
                <w:sz w:val="21"/>
              </w:rPr>
            </w:pPr>
          </w:p>
        </w:tc>
        <w:tc>
          <w:tcPr>
            <w:tcW w:w="1122" w:type="dxa"/>
            <w:vAlign w:val="top"/>
          </w:tcPr>
          <w:p w14:paraId="180EC140">
            <w:pPr>
              <w:rPr>
                <w:rFonts w:ascii="Arial"/>
                <w:sz w:val="21"/>
              </w:rPr>
            </w:pPr>
          </w:p>
        </w:tc>
        <w:tc>
          <w:tcPr>
            <w:tcW w:w="1302" w:type="dxa"/>
            <w:vAlign w:val="top"/>
          </w:tcPr>
          <w:p w14:paraId="69206BB2">
            <w:pPr>
              <w:rPr>
                <w:rFonts w:ascii="Arial"/>
                <w:sz w:val="21"/>
              </w:rPr>
            </w:pPr>
          </w:p>
        </w:tc>
        <w:tc>
          <w:tcPr>
            <w:tcW w:w="1534" w:type="dxa"/>
            <w:tcBorders>
              <w:right w:val="single" w:color="000000" w:sz="12" w:space="0"/>
            </w:tcBorders>
            <w:vAlign w:val="top"/>
          </w:tcPr>
          <w:p w14:paraId="47788ED3">
            <w:pPr>
              <w:rPr>
                <w:rFonts w:ascii="Arial"/>
                <w:sz w:val="21"/>
              </w:rPr>
            </w:pPr>
          </w:p>
        </w:tc>
      </w:tr>
      <w:tr w14:paraId="550DC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1773" w:type="dxa"/>
            <w:tcBorders>
              <w:left w:val="single" w:color="000000" w:sz="12" w:space="0"/>
            </w:tcBorders>
            <w:vAlign w:val="top"/>
          </w:tcPr>
          <w:p w14:paraId="2C70B782">
            <w:pPr>
              <w:rPr>
                <w:rFonts w:ascii="Arial"/>
                <w:sz w:val="21"/>
              </w:rPr>
            </w:pPr>
          </w:p>
        </w:tc>
        <w:tc>
          <w:tcPr>
            <w:tcW w:w="1152" w:type="dxa"/>
            <w:vAlign w:val="top"/>
          </w:tcPr>
          <w:p w14:paraId="12F663A0">
            <w:pPr>
              <w:rPr>
                <w:rFonts w:ascii="Arial"/>
                <w:sz w:val="21"/>
              </w:rPr>
            </w:pPr>
          </w:p>
        </w:tc>
        <w:tc>
          <w:tcPr>
            <w:tcW w:w="1317" w:type="dxa"/>
            <w:vAlign w:val="top"/>
          </w:tcPr>
          <w:p w14:paraId="4A9C2E09">
            <w:pPr>
              <w:rPr>
                <w:rFonts w:ascii="Arial"/>
                <w:sz w:val="21"/>
              </w:rPr>
            </w:pPr>
          </w:p>
        </w:tc>
        <w:tc>
          <w:tcPr>
            <w:tcW w:w="1122" w:type="dxa"/>
            <w:vAlign w:val="top"/>
          </w:tcPr>
          <w:p w14:paraId="42A869CD">
            <w:pPr>
              <w:rPr>
                <w:rFonts w:ascii="Arial"/>
                <w:sz w:val="21"/>
              </w:rPr>
            </w:pPr>
          </w:p>
        </w:tc>
        <w:tc>
          <w:tcPr>
            <w:tcW w:w="1302" w:type="dxa"/>
            <w:vAlign w:val="top"/>
          </w:tcPr>
          <w:p w14:paraId="58940DFB">
            <w:pPr>
              <w:rPr>
                <w:rFonts w:ascii="Arial"/>
                <w:sz w:val="21"/>
              </w:rPr>
            </w:pPr>
          </w:p>
        </w:tc>
        <w:tc>
          <w:tcPr>
            <w:tcW w:w="1534" w:type="dxa"/>
            <w:tcBorders>
              <w:right w:val="single" w:color="000000" w:sz="12" w:space="0"/>
            </w:tcBorders>
            <w:vAlign w:val="top"/>
          </w:tcPr>
          <w:p w14:paraId="662C51A3">
            <w:pPr>
              <w:rPr>
                <w:rFonts w:ascii="Arial"/>
                <w:sz w:val="21"/>
              </w:rPr>
            </w:pPr>
          </w:p>
        </w:tc>
      </w:tr>
      <w:tr w14:paraId="5CF12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1773" w:type="dxa"/>
            <w:tcBorders>
              <w:left w:val="single" w:color="000000" w:sz="12" w:space="0"/>
            </w:tcBorders>
            <w:vAlign w:val="top"/>
          </w:tcPr>
          <w:p w14:paraId="722A4729">
            <w:pPr>
              <w:rPr>
                <w:rFonts w:ascii="Arial"/>
                <w:sz w:val="21"/>
              </w:rPr>
            </w:pPr>
          </w:p>
        </w:tc>
        <w:tc>
          <w:tcPr>
            <w:tcW w:w="1152" w:type="dxa"/>
            <w:vAlign w:val="top"/>
          </w:tcPr>
          <w:p w14:paraId="39F8772F">
            <w:pPr>
              <w:rPr>
                <w:rFonts w:ascii="Arial"/>
                <w:sz w:val="21"/>
              </w:rPr>
            </w:pPr>
          </w:p>
        </w:tc>
        <w:tc>
          <w:tcPr>
            <w:tcW w:w="1317" w:type="dxa"/>
            <w:vAlign w:val="top"/>
          </w:tcPr>
          <w:p w14:paraId="349FAC18">
            <w:pPr>
              <w:rPr>
                <w:rFonts w:ascii="Arial"/>
                <w:sz w:val="21"/>
              </w:rPr>
            </w:pPr>
          </w:p>
        </w:tc>
        <w:tc>
          <w:tcPr>
            <w:tcW w:w="1122" w:type="dxa"/>
            <w:vAlign w:val="top"/>
          </w:tcPr>
          <w:p w14:paraId="17360F85">
            <w:pPr>
              <w:rPr>
                <w:rFonts w:ascii="Arial"/>
                <w:sz w:val="21"/>
              </w:rPr>
            </w:pPr>
          </w:p>
        </w:tc>
        <w:tc>
          <w:tcPr>
            <w:tcW w:w="1302" w:type="dxa"/>
            <w:vAlign w:val="top"/>
          </w:tcPr>
          <w:p w14:paraId="585E1AFB">
            <w:pPr>
              <w:rPr>
                <w:rFonts w:ascii="Arial"/>
                <w:sz w:val="21"/>
              </w:rPr>
            </w:pPr>
          </w:p>
        </w:tc>
        <w:tc>
          <w:tcPr>
            <w:tcW w:w="1534" w:type="dxa"/>
            <w:tcBorders>
              <w:right w:val="single" w:color="000000" w:sz="12" w:space="0"/>
            </w:tcBorders>
            <w:vAlign w:val="top"/>
          </w:tcPr>
          <w:p w14:paraId="680082BE">
            <w:pPr>
              <w:rPr>
                <w:rFonts w:ascii="Arial"/>
                <w:sz w:val="21"/>
              </w:rPr>
            </w:pPr>
          </w:p>
        </w:tc>
      </w:tr>
      <w:tr w14:paraId="2078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773" w:type="dxa"/>
            <w:tcBorders>
              <w:left w:val="single" w:color="000000" w:sz="12" w:space="0"/>
            </w:tcBorders>
            <w:vAlign w:val="top"/>
          </w:tcPr>
          <w:p w14:paraId="75D96B72">
            <w:pPr>
              <w:rPr>
                <w:rFonts w:ascii="Arial"/>
                <w:sz w:val="21"/>
              </w:rPr>
            </w:pPr>
          </w:p>
        </w:tc>
        <w:tc>
          <w:tcPr>
            <w:tcW w:w="1152" w:type="dxa"/>
            <w:vAlign w:val="top"/>
          </w:tcPr>
          <w:p w14:paraId="7F892325">
            <w:pPr>
              <w:rPr>
                <w:rFonts w:ascii="Arial"/>
                <w:sz w:val="21"/>
              </w:rPr>
            </w:pPr>
          </w:p>
        </w:tc>
        <w:tc>
          <w:tcPr>
            <w:tcW w:w="1317" w:type="dxa"/>
            <w:vAlign w:val="top"/>
          </w:tcPr>
          <w:p w14:paraId="62D8E394">
            <w:pPr>
              <w:rPr>
                <w:rFonts w:ascii="Arial"/>
                <w:sz w:val="21"/>
              </w:rPr>
            </w:pPr>
          </w:p>
        </w:tc>
        <w:tc>
          <w:tcPr>
            <w:tcW w:w="1122" w:type="dxa"/>
            <w:vAlign w:val="top"/>
          </w:tcPr>
          <w:p w14:paraId="7FDEABDF">
            <w:pPr>
              <w:rPr>
                <w:rFonts w:ascii="Arial"/>
                <w:sz w:val="21"/>
              </w:rPr>
            </w:pPr>
          </w:p>
        </w:tc>
        <w:tc>
          <w:tcPr>
            <w:tcW w:w="1302" w:type="dxa"/>
            <w:vAlign w:val="top"/>
          </w:tcPr>
          <w:p w14:paraId="79FB2C99">
            <w:pPr>
              <w:rPr>
                <w:rFonts w:ascii="Arial"/>
                <w:sz w:val="21"/>
              </w:rPr>
            </w:pPr>
          </w:p>
        </w:tc>
        <w:tc>
          <w:tcPr>
            <w:tcW w:w="1534" w:type="dxa"/>
            <w:tcBorders>
              <w:right w:val="single" w:color="000000" w:sz="12" w:space="0"/>
            </w:tcBorders>
            <w:vAlign w:val="top"/>
          </w:tcPr>
          <w:p w14:paraId="4B650B17">
            <w:pPr>
              <w:rPr>
                <w:rFonts w:ascii="Arial"/>
                <w:sz w:val="21"/>
              </w:rPr>
            </w:pPr>
          </w:p>
        </w:tc>
      </w:tr>
      <w:tr w14:paraId="3266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773" w:type="dxa"/>
            <w:tcBorders>
              <w:left w:val="single" w:color="000000" w:sz="12" w:space="0"/>
            </w:tcBorders>
            <w:vAlign w:val="top"/>
          </w:tcPr>
          <w:p w14:paraId="1CB64C02">
            <w:pPr>
              <w:rPr>
                <w:rFonts w:ascii="Arial"/>
                <w:sz w:val="21"/>
              </w:rPr>
            </w:pPr>
          </w:p>
        </w:tc>
        <w:tc>
          <w:tcPr>
            <w:tcW w:w="1152" w:type="dxa"/>
            <w:vAlign w:val="top"/>
          </w:tcPr>
          <w:p w14:paraId="263A2CF8">
            <w:pPr>
              <w:rPr>
                <w:rFonts w:ascii="Arial"/>
                <w:sz w:val="21"/>
              </w:rPr>
            </w:pPr>
          </w:p>
        </w:tc>
        <w:tc>
          <w:tcPr>
            <w:tcW w:w="1317" w:type="dxa"/>
            <w:vAlign w:val="top"/>
          </w:tcPr>
          <w:p w14:paraId="53C0C54D">
            <w:pPr>
              <w:rPr>
                <w:rFonts w:ascii="Arial"/>
                <w:sz w:val="21"/>
              </w:rPr>
            </w:pPr>
          </w:p>
        </w:tc>
        <w:tc>
          <w:tcPr>
            <w:tcW w:w="1122" w:type="dxa"/>
            <w:vAlign w:val="top"/>
          </w:tcPr>
          <w:p w14:paraId="28CA6017">
            <w:pPr>
              <w:rPr>
                <w:rFonts w:ascii="Arial"/>
                <w:sz w:val="21"/>
              </w:rPr>
            </w:pPr>
          </w:p>
        </w:tc>
        <w:tc>
          <w:tcPr>
            <w:tcW w:w="1302" w:type="dxa"/>
            <w:vAlign w:val="top"/>
          </w:tcPr>
          <w:p w14:paraId="28387E2A">
            <w:pPr>
              <w:rPr>
                <w:rFonts w:ascii="Arial"/>
                <w:sz w:val="21"/>
              </w:rPr>
            </w:pPr>
          </w:p>
        </w:tc>
        <w:tc>
          <w:tcPr>
            <w:tcW w:w="1534" w:type="dxa"/>
            <w:tcBorders>
              <w:right w:val="single" w:color="000000" w:sz="12" w:space="0"/>
            </w:tcBorders>
            <w:vAlign w:val="top"/>
          </w:tcPr>
          <w:p w14:paraId="57B1B1E6">
            <w:pPr>
              <w:rPr>
                <w:rFonts w:ascii="Arial"/>
                <w:sz w:val="21"/>
              </w:rPr>
            </w:pPr>
          </w:p>
        </w:tc>
      </w:tr>
      <w:tr w14:paraId="073D2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1773" w:type="dxa"/>
            <w:tcBorders>
              <w:left w:val="single" w:color="000000" w:sz="12" w:space="0"/>
            </w:tcBorders>
            <w:vAlign w:val="top"/>
          </w:tcPr>
          <w:p w14:paraId="59E430CE">
            <w:pPr>
              <w:rPr>
                <w:rFonts w:ascii="Arial"/>
                <w:sz w:val="21"/>
              </w:rPr>
            </w:pPr>
          </w:p>
        </w:tc>
        <w:tc>
          <w:tcPr>
            <w:tcW w:w="1152" w:type="dxa"/>
            <w:vAlign w:val="top"/>
          </w:tcPr>
          <w:p w14:paraId="6E89547C">
            <w:pPr>
              <w:rPr>
                <w:rFonts w:ascii="Arial"/>
                <w:sz w:val="21"/>
              </w:rPr>
            </w:pPr>
          </w:p>
        </w:tc>
        <w:tc>
          <w:tcPr>
            <w:tcW w:w="1317" w:type="dxa"/>
            <w:vAlign w:val="top"/>
          </w:tcPr>
          <w:p w14:paraId="77CFD0F5">
            <w:pPr>
              <w:rPr>
                <w:rFonts w:ascii="Arial"/>
                <w:sz w:val="21"/>
              </w:rPr>
            </w:pPr>
          </w:p>
        </w:tc>
        <w:tc>
          <w:tcPr>
            <w:tcW w:w="1122" w:type="dxa"/>
            <w:vAlign w:val="top"/>
          </w:tcPr>
          <w:p w14:paraId="0307DE1F">
            <w:pPr>
              <w:rPr>
                <w:rFonts w:ascii="Arial"/>
                <w:sz w:val="21"/>
              </w:rPr>
            </w:pPr>
          </w:p>
        </w:tc>
        <w:tc>
          <w:tcPr>
            <w:tcW w:w="1302" w:type="dxa"/>
            <w:vAlign w:val="top"/>
          </w:tcPr>
          <w:p w14:paraId="575A2BA7">
            <w:pPr>
              <w:rPr>
                <w:rFonts w:ascii="Arial"/>
                <w:sz w:val="21"/>
              </w:rPr>
            </w:pPr>
          </w:p>
        </w:tc>
        <w:tc>
          <w:tcPr>
            <w:tcW w:w="1534" w:type="dxa"/>
            <w:tcBorders>
              <w:right w:val="single" w:color="000000" w:sz="12" w:space="0"/>
            </w:tcBorders>
            <w:vAlign w:val="top"/>
          </w:tcPr>
          <w:p w14:paraId="5CDE1AA8">
            <w:pPr>
              <w:rPr>
                <w:rFonts w:ascii="Arial"/>
                <w:sz w:val="21"/>
              </w:rPr>
            </w:pPr>
          </w:p>
        </w:tc>
      </w:tr>
      <w:tr w14:paraId="2B43D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1773" w:type="dxa"/>
            <w:tcBorders>
              <w:left w:val="single" w:color="000000" w:sz="12" w:space="0"/>
              <w:bottom w:val="single" w:color="000000" w:sz="12" w:space="0"/>
            </w:tcBorders>
            <w:vAlign w:val="top"/>
          </w:tcPr>
          <w:p w14:paraId="1FE80A7E">
            <w:pPr>
              <w:rPr>
                <w:rFonts w:ascii="Arial"/>
                <w:sz w:val="21"/>
              </w:rPr>
            </w:pPr>
          </w:p>
        </w:tc>
        <w:tc>
          <w:tcPr>
            <w:tcW w:w="1152" w:type="dxa"/>
            <w:tcBorders>
              <w:bottom w:val="single" w:color="000000" w:sz="12" w:space="0"/>
            </w:tcBorders>
            <w:vAlign w:val="top"/>
          </w:tcPr>
          <w:p w14:paraId="07D1B532">
            <w:pPr>
              <w:rPr>
                <w:rFonts w:ascii="Arial"/>
                <w:sz w:val="21"/>
              </w:rPr>
            </w:pPr>
          </w:p>
        </w:tc>
        <w:tc>
          <w:tcPr>
            <w:tcW w:w="1317" w:type="dxa"/>
            <w:tcBorders>
              <w:bottom w:val="single" w:color="000000" w:sz="12" w:space="0"/>
            </w:tcBorders>
            <w:vAlign w:val="top"/>
          </w:tcPr>
          <w:p w14:paraId="05586ACB">
            <w:pPr>
              <w:rPr>
                <w:rFonts w:ascii="Arial"/>
                <w:sz w:val="21"/>
              </w:rPr>
            </w:pPr>
          </w:p>
        </w:tc>
        <w:tc>
          <w:tcPr>
            <w:tcW w:w="1122" w:type="dxa"/>
            <w:tcBorders>
              <w:bottom w:val="single" w:color="000000" w:sz="12" w:space="0"/>
            </w:tcBorders>
            <w:vAlign w:val="top"/>
          </w:tcPr>
          <w:p w14:paraId="4C27781F">
            <w:pPr>
              <w:rPr>
                <w:rFonts w:ascii="Arial"/>
                <w:sz w:val="21"/>
              </w:rPr>
            </w:pPr>
          </w:p>
        </w:tc>
        <w:tc>
          <w:tcPr>
            <w:tcW w:w="1302" w:type="dxa"/>
            <w:tcBorders>
              <w:bottom w:val="single" w:color="000000" w:sz="12" w:space="0"/>
            </w:tcBorders>
            <w:vAlign w:val="top"/>
          </w:tcPr>
          <w:p w14:paraId="77646D68">
            <w:pPr>
              <w:rPr>
                <w:rFonts w:ascii="Arial"/>
                <w:sz w:val="21"/>
              </w:rPr>
            </w:pPr>
          </w:p>
        </w:tc>
        <w:tc>
          <w:tcPr>
            <w:tcW w:w="1534" w:type="dxa"/>
            <w:tcBorders>
              <w:bottom w:val="single" w:color="000000" w:sz="12" w:space="0"/>
              <w:right w:val="single" w:color="000000" w:sz="12" w:space="0"/>
            </w:tcBorders>
            <w:vAlign w:val="top"/>
          </w:tcPr>
          <w:p w14:paraId="5A7D86A4">
            <w:pPr>
              <w:rPr>
                <w:rFonts w:ascii="Arial"/>
                <w:sz w:val="21"/>
              </w:rPr>
            </w:pPr>
          </w:p>
        </w:tc>
      </w:tr>
    </w:tbl>
    <w:p w14:paraId="0C1BC0AD">
      <w:pPr>
        <w:pStyle w:val="2"/>
      </w:pPr>
    </w:p>
    <w:p w14:paraId="5946E149">
      <w:pPr>
        <w:sectPr>
          <w:footerReference r:id="rId244" w:type="default"/>
          <w:pgSz w:w="11910" w:h="16845"/>
          <w:pgMar w:top="400" w:right="1786" w:bottom="1110" w:left="1786" w:header="0" w:footer="882" w:gutter="0"/>
          <w:cols w:space="720" w:num="1"/>
        </w:sectPr>
      </w:pPr>
    </w:p>
    <w:p w14:paraId="546D4A9C">
      <w:pPr>
        <w:pStyle w:val="2"/>
        <w:spacing w:line="279" w:lineRule="auto"/>
      </w:pPr>
    </w:p>
    <w:p w14:paraId="0554C0C3">
      <w:pPr>
        <w:pStyle w:val="2"/>
        <w:spacing w:line="279" w:lineRule="auto"/>
      </w:pPr>
    </w:p>
    <w:p w14:paraId="372ADBC8">
      <w:pPr>
        <w:pStyle w:val="2"/>
        <w:spacing w:line="280" w:lineRule="auto"/>
      </w:pPr>
    </w:p>
    <w:p w14:paraId="363CFC51">
      <w:pPr>
        <w:pStyle w:val="2"/>
        <w:spacing w:line="280" w:lineRule="auto"/>
      </w:pPr>
    </w:p>
    <w:p w14:paraId="4150670E">
      <w:pPr>
        <w:spacing w:before="91" w:line="225" w:lineRule="auto"/>
        <w:ind w:left="42"/>
        <w:outlineLvl w:val="1"/>
        <w:rPr>
          <w:rFonts w:ascii="黑体" w:hAnsi="黑体" w:eastAsia="黑体" w:cs="黑体"/>
          <w:sz w:val="28"/>
          <w:szCs w:val="28"/>
        </w:rPr>
      </w:pPr>
      <w:bookmarkStart w:id="567" w:name="bookmark523"/>
      <w:bookmarkEnd w:id="567"/>
      <w:r>
        <w:rPr>
          <w:rFonts w:ascii="黑体" w:hAnsi="黑体" w:eastAsia="黑体" w:cs="黑体"/>
          <w:b/>
          <w:bCs/>
          <w:spacing w:val="-4"/>
          <w:sz w:val="28"/>
          <w:szCs w:val="28"/>
        </w:rPr>
        <w:t>附件</w:t>
      </w:r>
      <w:r>
        <w:rPr>
          <w:rFonts w:ascii="黑体" w:hAnsi="黑体" w:eastAsia="黑体" w:cs="黑体"/>
          <w:spacing w:val="-46"/>
          <w:sz w:val="28"/>
          <w:szCs w:val="28"/>
        </w:rPr>
        <w:t xml:space="preserve"> </w:t>
      </w:r>
      <w:r>
        <w:rPr>
          <w:rFonts w:ascii="黑体" w:hAnsi="黑体" w:eastAsia="黑体" w:cs="黑体"/>
          <w:b/>
          <w:bCs/>
          <w:spacing w:val="-4"/>
          <w:sz w:val="28"/>
          <w:szCs w:val="28"/>
        </w:rPr>
        <w:t>5：</w:t>
      </w:r>
    </w:p>
    <w:p w14:paraId="54B7A009">
      <w:pPr>
        <w:pStyle w:val="2"/>
        <w:spacing w:line="391" w:lineRule="auto"/>
      </w:pPr>
    </w:p>
    <w:p w14:paraId="17466E2A">
      <w:pPr>
        <w:spacing w:before="91" w:line="222" w:lineRule="auto"/>
        <w:ind w:left="1917"/>
        <w:rPr>
          <w:rFonts w:ascii="黑体" w:hAnsi="黑体" w:eastAsia="黑体" w:cs="黑体"/>
          <w:sz w:val="28"/>
          <w:szCs w:val="28"/>
        </w:rPr>
      </w:pPr>
      <w:r>
        <w:rPr>
          <w:rFonts w:ascii="黑体" w:hAnsi="黑体" w:eastAsia="黑体" w:cs="黑体"/>
          <w:spacing w:val="3"/>
          <w:sz w:val="28"/>
          <w:szCs w:val="28"/>
        </w:rPr>
        <w:t>承包人用于本工程施工的机械设备表</w:t>
      </w:r>
    </w:p>
    <w:p w14:paraId="51912DF3">
      <w:pPr>
        <w:spacing w:line="147" w:lineRule="exact"/>
      </w:pPr>
    </w:p>
    <w:tbl>
      <w:tblPr>
        <w:tblStyle w:val="5"/>
        <w:tblW w:w="7930" w:type="dxa"/>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6"/>
        <w:gridCol w:w="1242"/>
        <w:gridCol w:w="748"/>
        <w:gridCol w:w="629"/>
        <w:gridCol w:w="748"/>
        <w:gridCol w:w="748"/>
        <w:gridCol w:w="1122"/>
        <w:gridCol w:w="1122"/>
        <w:gridCol w:w="905"/>
      </w:tblGrid>
      <w:tr w14:paraId="141F1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666" w:type="dxa"/>
            <w:tcBorders>
              <w:top w:val="single" w:color="000000" w:sz="12" w:space="0"/>
              <w:left w:val="single" w:color="000000" w:sz="12" w:space="0"/>
            </w:tcBorders>
            <w:vAlign w:val="top"/>
          </w:tcPr>
          <w:p w14:paraId="26C9C875">
            <w:pPr>
              <w:spacing w:line="319" w:lineRule="auto"/>
              <w:rPr>
                <w:rFonts w:ascii="Arial"/>
                <w:sz w:val="21"/>
              </w:rPr>
            </w:pPr>
          </w:p>
          <w:p w14:paraId="046E5306">
            <w:pPr>
              <w:pStyle w:val="6"/>
              <w:spacing w:before="69" w:line="221" w:lineRule="auto"/>
              <w:ind w:left="112"/>
              <w:rPr>
                <w:sz w:val="21"/>
                <w:szCs w:val="21"/>
              </w:rPr>
            </w:pPr>
            <w:r>
              <w:rPr>
                <w:spacing w:val="-2"/>
                <w:sz w:val="21"/>
                <w:szCs w:val="21"/>
              </w:rPr>
              <w:t>序号</w:t>
            </w:r>
          </w:p>
        </w:tc>
        <w:tc>
          <w:tcPr>
            <w:tcW w:w="1242" w:type="dxa"/>
            <w:tcBorders>
              <w:top w:val="single" w:color="000000" w:sz="12" w:space="0"/>
            </w:tcBorders>
            <w:vAlign w:val="top"/>
          </w:tcPr>
          <w:p w14:paraId="50690E59">
            <w:pPr>
              <w:pStyle w:val="6"/>
              <w:spacing w:before="180" w:line="302" w:lineRule="auto"/>
              <w:ind w:left="402" w:right="97" w:hanging="318"/>
              <w:rPr>
                <w:sz w:val="21"/>
                <w:szCs w:val="21"/>
              </w:rPr>
            </w:pPr>
            <w:r>
              <w:rPr>
                <w:spacing w:val="-2"/>
                <w:sz w:val="21"/>
                <w:szCs w:val="21"/>
              </w:rPr>
              <w:t>机械或设备</w:t>
            </w:r>
            <w:r>
              <w:rPr>
                <w:spacing w:val="-3"/>
                <w:sz w:val="21"/>
                <w:szCs w:val="21"/>
              </w:rPr>
              <w:t>名称</w:t>
            </w:r>
          </w:p>
        </w:tc>
        <w:tc>
          <w:tcPr>
            <w:tcW w:w="748" w:type="dxa"/>
            <w:tcBorders>
              <w:top w:val="single" w:color="000000" w:sz="12" w:space="0"/>
            </w:tcBorders>
            <w:vAlign w:val="top"/>
          </w:tcPr>
          <w:p w14:paraId="6325B166">
            <w:pPr>
              <w:pStyle w:val="6"/>
              <w:spacing w:before="179" w:line="220" w:lineRule="auto"/>
              <w:ind w:left="166"/>
              <w:rPr>
                <w:sz w:val="21"/>
                <w:szCs w:val="21"/>
              </w:rPr>
            </w:pPr>
            <w:r>
              <w:rPr>
                <w:spacing w:val="-3"/>
                <w:sz w:val="21"/>
                <w:szCs w:val="21"/>
              </w:rPr>
              <w:t>规格</w:t>
            </w:r>
          </w:p>
          <w:p w14:paraId="1A3C375A">
            <w:pPr>
              <w:pStyle w:val="6"/>
              <w:spacing w:before="185" w:line="221" w:lineRule="auto"/>
              <w:ind w:left="171"/>
              <w:rPr>
                <w:sz w:val="21"/>
                <w:szCs w:val="21"/>
              </w:rPr>
            </w:pPr>
            <w:r>
              <w:rPr>
                <w:spacing w:val="-4"/>
                <w:sz w:val="21"/>
                <w:szCs w:val="21"/>
              </w:rPr>
              <w:t>型号</w:t>
            </w:r>
          </w:p>
        </w:tc>
        <w:tc>
          <w:tcPr>
            <w:tcW w:w="629" w:type="dxa"/>
            <w:tcBorders>
              <w:top w:val="single" w:color="000000" w:sz="12" w:space="0"/>
            </w:tcBorders>
            <w:vAlign w:val="top"/>
          </w:tcPr>
          <w:p w14:paraId="0B40C240">
            <w:pPr>
              <w:spacing w:line="319" w:lineRule="auto"/>
              <w:rPr>
                <w:rFonts w:ascii="Arial"/>
                <w:sz w:val="21"/>
              </w:rPr>
            </w:pPr>
          </w:p>
          <w:p w14:paraId="2020EA74">
            <w:pPr>
              <w:pStyle w:val="6"/>
              <w:spacing w:before="68" w:line="220" w:lineRule="auto"/>
              <w:ind w:left="109"/>
              <w:rPr>
                <w:sz w:val="21"/>
                <w:szCs w:val="21"/>
              </w:rPr>
            </w:pPr>
            <w:r>
              <w:rPr>
                <w:spacing w:val="-3"/>
                <w:sz w:val="21"/>
                <w:szCs w:val="21"/>
              </w:rPr>
              <w:t>数量</w:t>
            </w:r>
          </w:p>
        </w:tc>
        <w:tc>
          <w:tcPr>
            <w:tcW w:w="748" w:type="dxa"/>
            <w:tcBorders>
              <w:top w:val="single" w:color="000000" w:sz="12" w:space="0"/>
            </w:tcBorders>
            <w:vAlign w:val="top"/>
          </w:tcPr>
          <w:p w14:paraId="7B464AA5">
            <w:pPr>
              <w:spacing w:line="319" w:lineRule="auto"/>
              <w:rPr>
                <w:rFonts w:ascii="Arial"/>
                <w:sz w:val="21"/>
              </w:rPr>
            </w:pPr>
          </w:p>
          <w:p w14:paraId="6F8F2F27">
            <w:pPr>
              <w:pStyle w:val="6"/>
              <w:spacing w:before="68" w:line="220" w:lineRule="auto"/>
              <w:ind w:left="170"/>
              <w:rPr>
                <w:sz w:val="21"/>
                <w:szCs w:val="21"/>
              </w:rPr>
            </w:pPr>
            <w:r>
              <w:rPr>
                <w:spacing w:val="-2"/>
                <w:sz w:val="21"/>
                <w:szCs w:val="21"/>
              </w:rPr>
              <w:t>产地</w:t>
            </w:r>
          </w:p>
        </w:tc>
        <w:tc>
          <w:tcPr>
            <w:tcW w:w="748" w:type="dxa"/>
            <w:tcBorders>
              <w:top w:val="single" w:color="000000" w:sz="12" w:space="0"/>
            </w:tcBorders>
            <w:vAlign w:val="top"/>
          </w:tcPr>
          <w:p w14:paraId="2DB42E46">
            <w:pPr>
              <w:pStyle w:val="6"/>
              <w:spacing w:before="180" w:line="220" w:lineRule="auto"/>
              <w:ind w:left="174"/>
              <w:rPr>
                <w:sz w:val="21"/>
                <w:szCs w:val="21"/>
              </w:rPr>
            </w:pPr>
            <w:r>
              <w:rPr>
                <w:spacing w:val="-3"/>
                <w:sz w:val="21"/>
                <w:szCs w:val="21"/>
              </w:rPr>
              <w:t>制造</w:t>
            </w:r>
          </w:p>
          <w:p w14:paraId="6E99A7EC">
            <w:pPr>
              <w:pStyle w:val="6"/>
              <w:spacing w:before="184" w:line="220" w:lineRule="auto"/>
              <w:ind w:left="174"/>
              <w:rPr>
                <w:sz w:val="21"/>
                <w:szCs w:val="21"/>
              </w:rPr>
            </w:pPr>
            <w:r>
              <w:rPr>
                <w:spacing w:val="-3"/>
                <w:sz w:val="21"/>
                <w:szCs w:val="21"/>
              </w:rPr>
              <w:t>年份</w:t>
            </w:r>
          </w:p>
        </w:tc>
        <w:tc>
          <w:tcPr>
            <w:tcW w:w="1122" w:type="dxa"/>
            <w:tcBorders>
              <w:top w:val="single" w:color="000000" w:sz="12" w:space="0"/>
            </w:tcBorders>
            <w:vAlign w:val="top"/>
          </w:tcPr>
          <w:p w14:paraId="1A812A13">
            <w:pPr>
              <w:pStyle w:val="6"/>
              <w:spacing w:before="179" w:line="220" w:lineRule="auto"/>
              <w:ind w:left="146"/>
              <w:rPr>
                <w:sz w:val="21"/>
                <w:szCs w:val="21"/>
              </w:rPr>
            </w:pPr>
            <w:r>
              <w:rPr>
                <w:spacing w:val="-2"/>
                <w:sz w:val="21"/>
                <w:szCs w:val="21"/>
              </w:rPr>
              <w:t>额定功率</w:t>
            </w:r>
          </w:p>
          <w:p w14:paraId="6D42F76D">
            <w:pPr>
              <w:pStyle w:val="6"/>
              <w:spacing w:before="185" w:line="222" w:lineRule="auto"/>
              <w:ind w:left="393"/>
              <w:rPr>
                <w:sz w:val="21"/>
                <w:szCs w:val="21"/>
              </w:rPr>
            </w:pPr>
            <w:r>
              <w:rPr>
                <w:spacing w:val="-9"/>
                <w:sz w:val="21"/>
                <w:szCs w:val="21"/>
              </w:rPr>
              <w:t>(kW)</w:t>
            </w:r>
          </w:p>
        </w:tc>
        <w:tc>
          <w:tcPr>
            <w:tcW w:w="1122" w:type="dxa"/>
            <w:tcBorders>
              <w:top w:val="single" w:color="000000" w:sz="12" w:space="0"/>
            </w:tcBorders>
            <w:vAlign w:val="top"/>
          </w:tcPr>
          <w:p w14:paraId="0868E60A">
            <w:pPr>
              <w:spacing w:line="319" w:lineRule="auto"/>
              <w:rPr>
                <w:rFonts w:ascii="Arial"/>
                <w:sz w:val="21"/>
              </w:rPr>
            </w:pPr>
          </w:p>
          <w:p w14:paraId="08C10958">
            <w:pPr>
              <w:pStyle w:val="6"/>
              <w:spacing w:before="68" w:line="220" w:lineRule="auto"/>
              <w:ind w:left="152"/>
              <w:rPr>
                <w:sz w:val="21"/>
                <w:szCs w:val="21"/>
              </w:rPr>
            </w:pPr>
            <w:r>
              <w:rPr>
                <w:spacing w:val="-2"/>
                <w:sz w:val="21"/>
                <w:szCs w:val="21"/>
              </w:rPr>
              <w:t>生产能力</w:t>
            </w:r>
          </w:p>
        </w:tc>
        <w:tc>
          <w:tcPr>
            <w:tcW w:w="905" w:type="dxa"/>
            <w:tcBorders>
              <w:top w:val="single" w:color="000000" w:sz="12" w:space="0"/>
              <w:right w:val="single" w:color="000000" w:sz="12" w:space="0"/>
            </w:tcBorders>
            <w:vAlign w:val="top"/>
          </w:tcPr>
          <w:p w14:paraId="66C0E53A">
            <w:pPr>
              <w:spacing w:line="319" w:lineRule="auto"/>
              <w:rPr>
                <w:rFonts w:ascii="Arial"/>
                <w:sz w:val="21"/>
              </w:rPr>
            </w:pPr>
          </w:p>
          <w:p w14:paraId="773B6E67">
            <w:pPr>
              <w:pStyle w:val="6"/>
              <w:spacing w:before="69" w:line="221" w:lineRule="auto"/>
              <w:ind w:left="247"/>
              <w:rPr>
                <w:sz w:val="21"/>
                <w:szCs w:val="21"/>
              </w:rPr>
            </w:pPr>
            <w:r>
              <w:rPr>
                <w:spacing w:val="-3"/>
                <w:sz w:val="21"/>
                <w:szCs w:val="21"/>
              </w:rPr>
              <w:t>备注</w:t>
            </w:r>
          </w:p>
        </w:tc>
      </w:tr>
      <w:tr w14:paraId="66E2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6" w:hRule="atLeast"/>
        </w:trPr>
        <w:tc>
          <w:tcPr>
            <w:tcW w:w="666" w:type="dxa"/>
            <w:tcBorders>
              <w:left w:val="single" w:color="000000" w:sz="12" w:space="0"/>
            </w:tcBorders>
            <w:vAlign w:val="top"/>
          </w:tcPr>
          <w:p w14:paraId="374AED81">
            <w:pPr>
              <w:rPr>
                <w:rFonts w:ascii="Arial"/>
                <w:sz w:val="21"/>
              </w:rPr>
            </w:pPr>
          </w:p>
        </w:tc>
        <w:tc>
          <w:tcPr>
            <w:tcW w:w="1242" w:type="dxa"/>
            <w:vAlign w:val="top"/>
          </w:tcPr>
          <w:p w14:paraId="0D90C52A">
            <w:pPr>
              <w:rPr>
                <w:rFonts w:ascii="Arial"/>
                <w:sz w:val="21"/>
              </w:rPr>
            </w:pPr>
          </w:p>
        </w:tc>
        <w:tc>
          <w:tcPr>
            <w:tcW w:w="748" w:type="dxa"/>
            <w:vAlign w:val="top"/>
          </w:tcPr>
          <w:p w14:paraId="61849080">
            <w:pPr>
              <w:rPr>
                <w:rFonts w:ascii="Arial"/>
                <w:sz w:val="21"/>
              </w:rPr>
            </w:pPr>
          </w:p>
        </w:tc>
        <w:tc>
          <w:tcPr>
            <w:tcW w:w="629" w:type="dxa"/>
            <w:vAlign w:val="top"/>
          </w:tcPr>
          <w:p w14:paraId="0B354430">
            <w:pPr>
              <w:rPr>
                <w:rFonts w:ascii="Arial"/>
                <w:sz w:val="21"/>
              </w:rPr>
            </w:pPr>
          </w:p>
        </w:tc>
        <w:tc>
          <w:tcPr>
            <w:tcW w:w="748" w:type="dxa"/>
            <w:vAlign w:val="top"/>
          </w:tcPr>
          <w:p w14:paraId="7825C250">
            <w:pPr>
              <w:rPr>
                <w:rFonts w:ascii="Arial"/>
                <w:sz w:val="21"/>
              </w:rPr>
            </w:pPr>
          </w:p>
        </w:tc>
        <w:tc>
          <w:tcPr>
            <w:tcW w:w="748" w:type="dxa"/>
            <w:vAlign w:val="top"/>
          </w:tcPr>
          <w:p w14:paraId="06DAADD1">
            <w:pPr>
              <w:rPr>
                <w:rFonts w:ascii="Arial"/>
                <w:sz w:val="21"/>
              </w:rPr>
            </w:pPr>
          </w:p>
        </w:tc>
        <w:tc>
          <w:tcPr>
            <w:tcW w:w="1122" w:type="dxa"/>
            <w:vAlign w:val="top"/>
          </w:tcPr>
          <w:p w14:paraId="0E6B1F13">
            <w:pPr>
              <w:rPr>
                <w:rFonts w:ascii="Arial"/>
                <w:sz w:val="21"/>
              </w:rPr>
            </w:pPr>
          </w:p>
        </w:tc>
        <w:tc>
          <w:tcPr>
            <w:tcW w:w="1122" w:type="dxa"/>
            <w:vAlign w:val="top"/>
          </w:tcPr>
          <w:p w14:paraId="6CDE4EA1">
            <w:pPr>
              <w:rPr>
                <w:rFonts w:ascii="Arial"/>
                <w:sz w:val="21"/>
              </w:rPr>
            </w:pPr>
          </w:p>
        </w:tc>
        <w:tc>
          <w:tcPr>
            <w:tcW w:w="905" w:type="dxa"/>
            <w:tcBorders>
              <w:right w:val="single" w:color="000000" w:sz="12" w:space="0"/>
            </w:tcBorders>
            <w:vAlign w:val="top"/>
          </w:tcPr>
          <w:p w14:paraId="7B0BC6F3">
            <w:pPr>
              <w:rPr>
                <w:rFonts w:ascii="Arial"/>
                <w:sz w:val="21"/>
              </w:rPr>
            </w:pPr>
          </w:p>
        </w:tc>
      </w:tr>
      <w:tr w14:paraId="13F1E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6" w:type="dxa"/>
            <w:tcBorders>
              <w:left w:val="single" w:color="000000" w:sz="12" w:space="0"/>
            </w:tcBorders>
            <w:vAlign w:val="top"/>
          </w:tcPr>
          <w:p w14:paraId="0D63BE5A">
            <w:pPr>
              <w:rPr>
                <w:rFonts w:ascii="Arial"/>
                <w:sz w:val="21"/>
              </w:rPr>
            </w:pPr>
          </w:p>
        </w:tc>
        <w:tc>
          <w:tcPr>
            <w:tcW w:w="1242" w:type="dxa"/>
            <w:vAlign w:val="top"/>
          </w:tcPr>
          <w:p w14:paraId="6C5D5463">
            <w:pPr>
              <w:rPr>
                <w:rFonts w:ascii="Arial"/>
                <w:sz w:val="21"/>
              </w:rPr>
            </w:pPr>
          </w:p>
        </w:tc>
        <w:tc>
          <w:tcPr>
            <w:tcW w:w="748" w:type="dxa"/>
            <w:vAlign w:val="top"/>
          </w:tcPr>
          <w:p w14:paraId="31DB2C03">
            <w:pPr>
              <w:rPr>
                <w:rFonts w:ascii="Arial"/>
                <w:sz w:val="21"/>
              </w:rPr>
            </w:pPr>
          </w:p>
        </w:tc>
        <w:tc>
          <w:tcPr>
            <w:tcW w:w="629" w:type="dxa"/>
            <w:vAlign w:val="top"/>
          </w:tcPr>
          <w:p w14:paraId="5D7A7E57">
            <w:pPr>
              <w:rPr>
                <w:rFonts w:ascii="Arial"/>
                <w:sz w:val="21"/>
              </w:rPr>
            </w:pPr>
          </w:p>
        </w:tc>
        <w:tc>
          <w:tcPr>
            <w:tcW w:w="748" w:type="dxa"/>
            <w:vAlign w:val="top"/>
          </w:tcPr>
          <w:p w14:paraId="4FAA0D95">
            <w:pPr>
              <w:rPr>
                <w:rFonts w:ascii="Arial"/>
                <w:sz w:val="21"/>
              </w:rPr>
            </w:pPr>
          </w:p>
        </w:tc>
        <w:tc>
          <w:tcPr>
            <w:tcW w:w="748" w:type="dxa"/>
            <w:vAlign w:val="top"/>
          </w:tcPr>
          <w:p w14:paraId="1293A505">
            <w:pPr>
              <w:rPr>
                <w:rFonts w:ascii="Arial"/>
                <w:sz w:val="21"/>
              </w:rPr>
            </w:pPr>
          </w:p>
        </w:tc>
        <w:tc>
          <w:tcPr>
            <w:tcW w:w="1122" w:type="dxa"/>
            <w:vAlign w:val="top"/>
          </w:tcPr>
          <w:p w14:paraId="3B22D811">
            <w:pPr>
              <w:rPr>
                <w:rFonts w:ascii="Arial"/>
                <w:sz w:val="21"/>
              </w:rPr>
            </w:pPr>
          </w:p>
        </w:tc>
        <w:tc>
          <w:tcPr>
            <w:tcW w:w="1122" w:type="dxa"/>
            <w:vAlign w:val="top"/>
          </w:tcPr>
          <w:p w14:paraId="58909AFC">
            <w:pPr>
              <w:rPr>
                <w:rFonts w:ascii="Arial"/>
                <w:sz w:val="21"/>
              </w:rPr>
            </w:pPr>
          </w:p>
        </w:tc>
        <w:tc>
          <w:tcPr>
            <w:tcW w:w="905" w:type="dxa"/>
            <w:tcBorders>
              <w:right w:val="single" w:color="000000" w:sz="12" w:space="0"/>
            </w:tcBorders>
            <w:vAlign w:val="top"/>
          </w:tcPr>
          <w:p w14:paraId="22D0D55A">
            <w:pPr>
              <w:rPr>
                <w:rFonts w:ascii="Arial"/>
                <w:sz w:val="21"/>
              </w:rPr>
            </w:pPr>
          </w:p>
        </w:tc>
      </w:tr>
      <w:tr w14:paraId="61817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666" w:type="dxa"/>
            <w:tcBorders>
              <w:left w:val="single" w:color="000000" w:sz="12" w:space="0"/>
            </w:tcBorders>
            <w:vAlign w:val="top"/>
          </w:tcPr>
          <w:p w14:paraId="7CCE1E2A">
            <w:pPr>
              <w:rPr>
                <w:rFonts w:ascii="Arial"/>
                <w:sz w:val="21"/>
              </w:rPr>
            </w:pPr>
          </w:p>
        </w:tc>
        <w:tc>
          <w:tcPr>
            <w:tcW w:w="1242" w:type="dxa"/>
            <w:vAlign w:val="top"/>
          </w:tcPr>
          <w:p w14:paraId="0E1A857A">
            <w:pPr>
              <w:rPr>
                <w:rFonts w:ascii="Arial"/>
                <w:sz w:val="21"/>
              </w:rPr>
            </w:pPr>
          </w:p>
        </w:tc>
        <w:tc>
          <w:tcPr>
            <w:tcW w:w="748" w:type="dxa"/>
            <w:vAlign w:val="top"/>
          </w:tcPr>
          <w:p w14:paraId="7E263465">
            <w:pPr>
              <w:rPr>
                <w:rFonts w:ascii="Arial"/>
                <w:sz w:val="21"/>
              </w:rPr>
            </w:pPr>
          </w:p>
        </w:tc>
        <w:tc>
          <w:tcPr>
            <w:tcW w:w="629" w:type="dxa"/>
            <w:vAlign w:val="top"/>
          </w:tcPr>
          <w:p w14:paraId="263A8AA7">
            <w:pPr>
              <w:rPr>
                <w:rFonts w:ascii="Arial"/>
                <w:sz w:val="21"/>
              </w:rPr>
            </w:pPr>
          </w:p>
        </w:tc>
        <w:tc>
          <w:tcPr>
            <w:tcW w:w="748" w:type="dxa"/>
            <w:vAlign w:val="top"/>
          </w:tcPr>
          <w:p w14:paraId="1CD23F89">
            <w:pPr>
              <w:rPr>
                <w:rFonts w:ascii="Arial"/>
                <w:sz w:val="21"/>
              </w:rPr>
            </w:pPr>
          </w:p>
        </w:tc>
        <w:tc>
          <w:tcPr>
            <w:tcW w:w="748" w:type="dxa"/>
            <w:vAlign w:val="top"/>
          </w:tcPr>
          <w:p w14:paraId="7E1A216C">
            <w:pPr>
              <w:rPr>
                <w:rFonts w:ascii="Arial"/>
                <w:sz w:val="21"/>
              </w:rPr>
            </w:pPr>
          </w:p>
        </w:tc>
        <w:tc>
          <w:tcPr>
            <w:tcW w:w="1122" w:type="dxa"/>
            <w:vAlign w:val="top"/>
          </w:tcPr>
          <w:p w14:paraId="3DCE756A">
            <w:pPr>
              <w:rPr>
                <w:rFonts w:ascii="Arial"/>
                <w:sz w:val="21"/>
              </w:rPr>
            </w:pPr>
          </w:p>
        </w:tc>
        <w:tc>
          <w:tcPr>
            <w:tcW w:w="1122" w:type="dxa"/>
            <w:vAlign w:val="top"/>
          </w:tcPr>
          <w:p w14:paraId="0D969226">
            <w:pPr>
              <w:rPr>
                <w:rFonts w:ascii="Arial"/>
                <w:sz w:val="21"/>
              </w:rPr>
            </w:pPr>
          </w:p>
        </w:tc>
        <w:tc>
          <w:tcPr>
            <w:tcW w:w="905" w:type="dxa"/>
            <w:tcBorders>
              <w:right w:val="single" w:color="000000" w:sz="12" w:space="0"/>
            </w:tcBorders>
            <w:vAlign w:val="top"/>
          </w:tcPr>
          <w:p w14:paraId="33798006">
            <w:pPr>
              <w:rPr>
                <w:rFonts w:ascii="Arial"/>
                <w:sz w:val="21"/>
              </w:rPr>
            </w:pPr>
          </w:p>
        </w:tc>
      </w:tr>
      <w:tr w14:paraId="7247B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6" w:type="dxa"/>
            <w:tcBorders>
              <w:left w:val="single" w:color="000000" w:sz="12" w:space="0"/>
            </w:tcBorders>
            <w:vAlign w:val="top"/>
          </w:tcPr>
          <w:p w14:paraId="6C20D515">
            <w:pPr>
              <w:rPr>
                <w:rFonts w:ascii="Arial"/>
                <w:sz w:val="21"/>
              </w:rPr>
            </w:pPr>
          </w:p>
        </w:tc>
        <w:tc>
          <w:tcPr>
            <w:tcW w:w="1242" w:type="dxa"/>
            <w:vAlign w:val="top"/>
          </w:tcPr>
          <w:p w14:paraId="36D4C617">
            <w:pPr>
              <w:rPr>
                <w:rFonts w:ascii="Arial"/>
                <w:sz w:val="21"/>
              </w:rPr>
            </w:pPr>
          </w:p>
        </w:tc>
        <w:tc>
          <w:tcPr>
            <w:tcW w:w="748" w:type="dxa"/>
            <w:vAlign w:val="top"/>
          </w:tcPr>
          <w:p w14:paraId="19282EF3">
            <w:pPr>
              <w:rPr>
                <w:rFonts w:ascii="Arial"/>
                <w:sz w:val="21"/>
              </w:rPr>
            </w:pPr>
          </w:p>
        </w:tc>
        <w:tc>
          <w:tcPr>
            <w:tcW w:w="629" w:type="dxa"/>
            <w:vAlign w:val="top"/>
          </w:tcPr>
          <w:p w14:paraId="3DB03C4C">
            <w:pPr>
              <w:rPr>
                <w:rFonts w:ascii="Arial"/>
                <w:sz w:val="21"/>
              </w:rPr>
            </w:pPr>
          </w:p>
        </w:tc>
        <w:tc>
          <w:tcPr>
            <w:tcW w:w="748" w:type="dxa"/>
            <w:vAlign w:val="top"/>
          </w:tcPr>
          <w:p w14:paraId="59CEEAA5">
            <w:pPr>
              <w:rPr>
                <w:rFonts w:ascii="Arial"/>
                <w:sz w:val="21"/>
              </w:rPr>
            </w:pPr>
          </w:p>
        </w:tc>
        <w:tc>
          <w:tcPr>
            <w:tcW w:w="748" w:type="dxa"/>
            <w:vAlign w:val="top"/>
          </w:tcPr>
          <w:p w14:paraId="08C8F840">
            <w:pPr>
              <w:rPr>
                <w:rFonts w:ascii="Arial"/>
                <w:sz w:val="21"/>
              </w:rPr>
            </w:pPr>
          </w:p>
        </w:tc>
        <w:tc>
          <w:tcPr>
            <w:tcW w:w="1122" w:type="dxa"/>
            <w:vAlign w:val="top"/>
          </w:tcPr>
          <w:p w14:paraId="5733D51C">
            <w:pPr>
              <w:rPr>
                <w:rFonts w:ascii="Arial"/>
                <w:sz w:val="21"/>
              </w:rPr>
            </w:pPr>
          </w:p>
        </w:tc>
        <w:tc>
          <w:tcPr>
            <w:tcW w:w="1122" w:type="dxa"/>
            <w:vAlign w:val="top"/>
          </w:tcPr>
          <w:p w14:paraId="742B74E8">
            <w:pPr>
              <w:rPr>
                <w:rFonts w:ascii="Arial"/>
                <w:sz w:val="21"/>
              </w:rPr>
            </w:pPr>
          </w:p>
        </w:tc>
        <w:tc>
          <w:tcPr>
            <w:tcW w:w="905" w:type="dxa"/>
            <w:tcBorders>
              <w:right w:val="single" w:color="000000" w:sz="12" w:space="0"/>
            </w:tcBorders>
            <w:vAlign w:val="top"/>
          </w:tcPr>
          <w:p w14:paraId="5B514876">
            <w:pPr>
              <w:rPr>
                <w:rFonts w:ascii="Arial"/>
                <w:sz w:val="21"/>
              </w:rPr>
            </w:pPr>
          </w:p>
        </w:tc>
      </w:tr>
      <w:tr w14:paraId="5EA09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6" w:type="dxa"/>
            <w:tcBorders>
              <w:left w:val="single" w:color="000000" w:sz="12" w:space="0"/>
            </w:tcBorders>
            <w:vAlign w:val="top"/>
          </w:tcPr>
          <w:p w14:paraId="429B5E89">
            <w:pPr>
              <w:rPr>
                <w:rFonts w:ascii="Arial"/>
                <w:sz w:val="21"/>
              </w:rPr>
            </w:pPr>
          </w:p>
        </w:tc>
        <w:tc>
          <w:tcPr>
            <w:tcW w:w="1242" w:type="dxa"/>
            <w:vAlign w:val="top"/>
          </w:tcPr>
          <w:p w14:paraId="4D0EE4A8">
            <w:pPr>
              <w:rPr>
                <w:rFonts w:ascii="Arial"/>
                <w:sz w:val="21"/>
              </w:rPr>
            </w:pPr>
          </w:p>
        </w:tc>
        <w:tc>
          <w:tcPr>
            <w:tcW w:w="748" w:type="dxa"/>
            <w:vAlign w:val="top"/>
          </w:tcPr>
          <w:p w14:paraId="07435DB7">
            <w:pPr>
              <w:rPr>
                <w:rFonts w:ascii="Arial"/>
                <w:sz w:val="21"/>
              </w:rPr>
            </w:pPr>
          </w:p>
        </w:tc>
        <w:tc>
          <w:tcPr>
            <w:tcW w:w="629" w:type="dxa"/>
            <w:vAlign w:val="top"/>
          </w:tcPr>
          <w:p w14:paraId="17E57E49">
            <w:pPr>
              <w:rPr>
                <w:rFonts w:ascii="Arial"/>
                <w:sz w:val="21"/>
              </w:rPr>
            </w:pPr>
          </w:p>
        </w:tc>
        <w:tc>
          <w:tcPr>
            <w:tcW w:w="748" w:type="dxa"/>
            <w:vAlign w:val="top"/>
          </w:tcPr>
          <w:p w14:paraId="40DFAD3F">
            <w:pPr>
              <w:rPr>
                <w:rFonts w:ascii="Arial"/>
                <w:sz w:val="21"/>
              </w:rPr>
            </w:pPr>
          </w:p>
        </w:tc>
        <w:tc>
          <w:tcPr>
            <w:tcW w:w="748" w:type="dxa"/>
            <w:vAlign w:val="top"/>
          </w:tcPr>
          <w:p w14:paraId="33E46102">
            <w:pPr>
              <w:rPr>
                <w:rFonts w:ascii="Arial"/>
                <w:sz w:val="21"/>
              </w:rPr>
            </w:pPr>
          </w:p>
        </w:tc>
        <w:tc>
          <w:tcPr>
            <w:tcW w:w="1122" w:type="dxa"/>
            <w:vAlign w:val="top"/>
          </w:tcPr>
          <w:p w14:paraId="624B47F0">
            <w:pPr>
              <w:rPr>
                <w:rFonts w:ascii="Arial"/>
                <w:sz w:val="21"/>
              </w:rPr>
            </w:pPr>
          </w:p>
        </w:tc>
        <w:tc>
          <w:tcPr>
            <w:tcW w:w="1122" w:type="dxa"/>
            <w:vAlign w:val="top"/>
          </w:tcPr>
          <w:p w14:paraId="4D3486B2">
            <w:pPr>
              <w:rPr>
                <w:rFonts w:ascii="Arial"/>
                <w:sz w:val="21"/>
              </w:rPr>
            </w:pPr>
          </w:p>
        </w:tc>
        <w:tc>
          <w:tcPr>
            <w:tcW w:w="905" w:type="dxa"/>
            <w:tcBorders>
              <w:right w:val="single" w:color="000000" w:sz="12" w:space="0"/>
            </w:tcBorders>
            <w:vAlign w:val="top"/>
          </w:tcPr>
          <w:p w14:paraId="64003B6D">
            <w:pPr>
              <w:rPr>
                <w:rFonts w:ascii="Arial"/>
                <w:sz w:val="21"/>
              </w:rPr>
            </w:pPr>
          </w:p>
        </w:tc>
      </w:tr>
      <w:tr w14:paraId="5DCFC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666" w:type="dxa"/>
            <w:tcBorders>
              <w:left w:val="single" w:color="000000" w:sz="12" w:space="0"/>
            </w:tcBorders>
            <w:vAlign w:val="top"/>
          </w:tcPr>
          <w:p w14:paraId="0184F2F5">
            <w:pPr>
              <w:rPr>
                <w:rFonts w:ascii="Arial"/>
                <w:sz w:val="21"/>
              </w:rPr>
            </w:pPr>
          </w:p>
        </w:tc>
        <w:tc>
          <w:tcPr>
            <w:tcW w:w="1242" w:type="dxa"/>
            <w:vAlign w:val="top"/>
          </w:tcPr>
          <w:p w14:paraId="48D629CB">
            <w:pPr>
              <w:rPr>
                <w:rFonts w:ascii="Arial"/>
                <w:sz w:val="21"/>
              </w:rPr>
            </w:pPr>
          </w:p>
        </w:tc>
        <w:tc>
          <w:tcPr>
            <w:tcW w:w="748" w:type="dxa"/>
            <w:vAlign w:val="top"/>
          </w:tcPr>
          <w:p w14:paraId="110C5187">
            <w:pPr>
              <w:rPr>
                <w:rFonts w:ascii="Arial"/>
                <w:sz w:val="21"/>
              </w:rPr>
            </w:pPr>
          </w:p>
        </w:tc>
        <w:tc>
          <w:tcPr>
            <w:tcW w:w="629" w:type="dxa"/>
            <w:vAlign w:val="top"/>
          </w:tcPr>
          <w:p w14:paraId="4E628037">
            <w:pPr>
              <w:rPr>
                <w:rFonts w:ascii="Arial"/>
                <w:sz w:val="21"/>
              </w:rPr>
            </w:pPr>
          </w:p>
        </w:tc>
        <w:tc>
          <w:tcPr>
            <w:tcW w:w="748" w:type="dxa"/>
            <w:vAlign w:val="top"/>
          </w:tcPr>
          <w:p w14:paraId="351F2265">
            <w:pPr>
              <w:rPr>
                <w:rFonts w:ascii="Arial"/>
                <w:sz w:val="21"/>
              </w:rPr>
            </w:pPr>
          </w:p>
        </w:tc>
        <w:tc>
          <w:tcPr>
            <w:tcW w:w="748" w:type="dxa"/>
            <w:vAlign w:val="top"/>
          </w:tcPr>
          <w:p w14:paraId="6FFEB58C">
            <w:pPr>
              <w:rPr>
                <w:rFonts w:ascii="Arial"/>
                <w:sz w:val="21"/>
              </w:rPr>
            </w:pPr>
          </w:p>
        </w:tc>
        <w:tc>
          <w:tcPr>
            <w:tcW w:w="1122" w:type="dxa"/>
            <w:vAlign w:val="top"/>
          </w:tcPr>
          <w:p w14:paraId="5AB4A3EF">
            <w:pPr>
              <w:rPr>
                <w:rFonts w:ascii="Arial"/>
                <w:sz w:val="21"/>
              </w:rPr>
            </w:pPr>
          </w:p>
        </w:tc>
        <w:tc>
          <w:tcPr>
            <w:tcW w:w="1122" w:type="dxa"/>
            <w:vAlign w:val="top"/>
          </w:tcPr>
          <w:p w14:paraId="058F7EA8">
            <w:pPr>
              <w:rPr>
                <w:rFonts w:ascii="Arial"/>
                <w:sz w:val="21"/>
              </w:rPr>
            </w:pPr>
          </w:p>
        </w:tc>
        <w:tc>
          <w:tcPr>
            <w:tcW w:w="905" w:type="dxa"/>
            <w:tcBorders>
              <w:right w:val="single" w:color="000000" w:sz="12" w:space="0"/>
            </w:tcBorders>
            <w:vAlign w:val="top"/>
          </w:tcPr>
          <w:p w14:paraId="45A6517E">
            <w:pPr>
              <w:rPr>
                <w:rFonts w:ascii="Arial"/>
                <w:sz w:val="21"/>
              </w:rPr>
            </w:pPr>
          </w:p>
        </w:tc>
      </w:tr>
      <w:tr w14:paraId="23F4B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666" w:type="dxa"/>
            <w:tcBorders>
              <w:left w:val="single" w:color="000000" w:sz="12" w:space="0"/>
            </w:tcBorders>
            <w:vAlign w:val="top"/>
          </w:tcPr>
          <w:p w14:paraId="1235D729">
            <w:pPr>
              <w:rPr>
                <w:rFonts w:ascii="Arial"/>
                <w:sz w:val="21"/>
              </w:rPr>
            </w:pPr>
          </w:p>
        </w:tc>
        <w:tc>
          <w:tcPr>
            <w:tcW w:w="1242" w:type="dxa"/>
            <w:vAlign w:val="top"/>
          </w:tcPr>
          <w:p w14:paraId="0D86C126">
            <w:pPr>
              <w:rPr>
                <w:rFonts w:ascii="Arial"/>
                <w:sz w:val="21"/>
              </w:rPr>
            </w:pPr>
          </w:p>
        </w:tc>
        <w:tc>
          <w:tcPr>
            <w:tcW w:w="748" w:type="dxa"/>
            <w:vAlign w:val="top"/>
          </w:tcPr>
          <w:p w14:paraId="5524E792">
            <w:pPr>
              <w:rPr>
                <w:rFonts w:ascii="Arial"/>
                <w:sz w:val="21"/>
              </w:rPr>
            </w:pPr>
          </w:p>
        </w:tc>
        <w:tc>
          <w:tcPr>
            <w:tcW w:w="629" w:type="dxa"/>
            <w:vAlign w:val="top"/>
          </w:tcPr>
          <w:p w14:paraId="4BD9BF9F">
            <w:pPr>
              <w:rPr>
                <w:rFonts w:ascii="Arial"/>
                <w:sz w:val="21"/>
              </w:rPr>
            </w:pPr>
          </w:p>
        </w:tc>
        <w:tc>
          <w:tcPr>
            <w:tcW w:w="748" w:type="dxa"/>
            <w:vAlign w:val="top"/>
          </w:tcPr>
          <w:p w14:paraId="3FA4BB9E">
            <w:pPr>
              <w:rPr>
                <w:rFonts w:ascii="Arial"/>
                <w:sz w:val="21"/>
              </w:rPr>
            </w:pPr>
          </w:p>
        </w:tc>
        <w:tc>
          <w:tcPr>
            <w:tcW w:w="748" w:type="dxa"/>
            <w:vAlign w:val="top"/>
          </w:tcPr>
          <w:p w14:paraId="253BFEE3">
            <w:pPr>
              <w:rPr>
                <w:rFonts w:ascii="Arial"/>
                <w:sz w:val="21"/>
              </w:rPr>
            </w:pPr>
          </w:p>
        </w:tc>
        <w:tc>
          <w:tcPr>
            <w:tcW w:w="1122" w:type="dxa"/>
            <w:vAlign w:val="top"/>
          </w:tcPr>
          <w:p w14:paraId="6E05FB60">
            <w:pPr>
              <w:rPr>
                <w:rFonts w:ascii="Arial"/>
                <w:sz w:val="21"/>
              </w:rPr>
            </w:pPr>
          </w:p>
        </w:tc>
        <w:tc>
          <w:tcPr>
            <w:tcW w:w="1122" w:type="dxa"/>
            <w:vAlign w:val="top"/>
          </w:tcPr>
          <w:p w14:paraId="25FBB8F4">
            <w:pPr>
              <w:rPr>
                <w:rFonts w:ascii="Arial"/>
                <w:sz w:val="21"/>
              </w:rPr>
            </w:pPr>
          </w:p>
        </w:tc>
        <w:tc>
          <w:tcPr>
            <w:tcW w:w="905" w:type="dxa"/>
            <w:tcBorders>
              <w:right w:val="single" w:color="000000" w:sz="12" w:space="0"/>
            </w:tcBorders>
            <w:vAlign w:val="top"/>
          </w:tcPr>
          <w:p w14:paraId="46BA2C58">
            <w:pPr>
              <w:rPr>
                <w:rFonts w:ascii="Arial"/>
                <w:sz w:val="21"/>
              </w:rPr>
            </w:pPr>
          </w:p>
        </w:tc>
      </w:tr>
      <w:tr w14:paraId="7D5E0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6" w:type="dxa"/>
            <w:tcBorders>
              <w:left w:val="single" w:color="000000" w:sz="12" w:space="0"/>
            </w:tcBorders>
            <w:vAlign w:val="top"/>
          </w:tcPr>
          <w:p w14:paraId="23D6413E">
            <w:pPr>
              <w:rPr>
                <w:rFonts w:ascii="Arial"/>
                <w:sz w:val="21"/>
              </w:rPr>
            </w:pPr>
          </w:p>
        </w:tc>
        <w:tc>
          <w:tcPr>
            <w:tcW w:w="1242" w:type="dxa"/>
            <w:vAlign w:val="top"/>
          </w:tcPr>
          <w:p w14:paraId="105D35FA">
            <w:pPr>
              <w:rPr>
                <w:rFonts w:ascii="Arial"/>
                <w:sz w:val="21"/>
              </w:rPr>
            </w:pPr>
          </w:p>
        </w:tc>
        <w:tc>
          <w:tcPr>
            <w:tcW w:w="748" w:type="dxa"/>
            <w:vAlign w:val="top"/>
          </w:tcPr>
          <w:p w14:paraId="6B4E4960">
            <w:pPr>
              <w:rPr>
                <w:rFonts w:ascii="Arial"/>
                <w:sz w:val="21"/>
              </w:rPr>
            </w:pPr>
          </w:p>
        </w:tc>
        <w:tc>
          <w:tcPr>
            <w:tcW w:w="629" w:type="dxa"/>
            <w:vAlign w:val="top"/>
          </w:tcPr>
          <w:p w14:paraId="3A949B83">
            <w:pPr>
              <w:rPr>
                <w:rFonts w:ascii="Arial"/>
                <w:sz w:val="21"/>
              </w:rPr>
            </w:pPr>
          </w:p>
        </w:tc>
        <w:tc>
          <w:tcPr>
            <w:tcW w:w="748" w:type="dxa"/>
            <w:vAlign w:val="top"/>
          </w:tcPr>
          <w:p w14:paraId="48EB465E">
            <w:pPr>
              <w:rPr>
                <w:rFonts w:ascii="Arial"/>
                <w:sz w:val="21"/>
              </w:rPr>
            </w:pPr>
          </w:p>
        </w:tc>
        <w:tc>
          <w:tcPr>
            <w:tcW w:w="748" w:type="dxa"/>
            <w:vAlign w:val="top"/>
          </w:tcPr>
          <w:p w14:paraId="56DC698C">
            <w:pPr>
              <w:rPr>
                <w:rFonts w:ascii="Arial"/>
                <w:sz w:val="21"/>
              </w:rPr>
            </w:pPr>
          </w:p>
        </w:tc>
        <w:tc>
          <w:tcPr>
            <w:tcW w:w="1122" w:type="dxa"/>
            <w:vAlign w:val="top"/>
          </w:tcPr>
          <w:p w14:paraId="1D975D8D">
            <w:pPr>
              <w:rPr>
                <w:rFonts w:ascii="Arial"/>
                <w:sz w:val="21"/>
              </w:rPr>
            </w:pPr>
          </w:p>
        </w:tc>
        <w:tc>
          <w:tcPr>
            <w:tcW w:w="1122" w:type="dxa"/>
            <w:vAlign w:val="top"/>
          </w:tcPr>
          <w:p w14:paraId="4CFF4F0B">
            <w:pPr>
              <w:rPr>
                <w:rFonts w:ascii="Arial"/>
                <w:sz w:val="21"/>
              </w:rPr>
            </w:pPr>
          </w:p>
        </w:tc>
        <w:tc>
          <w:tcPr>
            <w:tcW w:w="905" w:type="dxa"/>
            <w:tcBorders>
              <w:right w:val="single" w:color="000000" w:sz="12" w:space="0"/>
            </w:tcBorders>
            <w:vAlign w:val="top"/>
          </w:tcPr>
          <w:p w14:paraId="2DF57C46">
            <w:pPr>
              <w:rPr>
                <w:rFonts w:ascii="Arial"/>
                <w:sz w:val="21"/>
              </w:rPr>
            </w:pPr>
          </w:p>
        </w:tc>
      </w:tr>
      <w:tr w14:paraId="0D45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66" w:type="dxa"/>
            <w:tcBorders>
              <w:left w:val="single" w:color="000000" w:sz="12" w:space="0"/>
            </w:tcBorders>
            <w:vAlign w:val="top"/>
          </w:tcPr>
          <w:p w14:paraId="3416A935">
            <w:pPr>
              <w:rPr>
                <w:rFonts w:ascii="Arial"/>
                <w:sz w:val="21"/>
              </w:rPr>
            </w:pPr>
          </w:p>
        </w:tc>
        <w:tc>
          <w:tcPr>
            <w:tcW w:w="1242" w:type="dxa"/>
            <w:vAlign w:val="top"/>
          </w:tcPr>
          <w:p w14:paraId="578B67EA">
            <w:pPr>
              <w:rPr>
                <w:rFonts w:ascii="Arial"/>
                <w:sz w:val="21"/>
              </w:rPr>
            </w:pPr>
          </w:p>
        </w:tc>
        <w:tc>
          <w:tcPr>
            <w:tcW w:w="748" w:type="dxa"/>
            <w:vAlign w:val="top"/>
          </w:tcPr>
          <w:p w14:paraId="17C3F555">
            <w:pPr>
              <w:rPr>
                <w:rFonts w:ascii="Arial"/>
                <w:sz w:val="21"/>
              </w:rPr>
            </w:pPr>
          </w:p>
        </w:tc>
        <w:tc>
          <w:tcPr>
            <w:tcW w:w="629" w:type="dxa"/>
            <w:vAlign w:val="top"/>
          </w:tcPr>
          <w:p w14:paraId="1F4F8195">
            <w:pPr>
              <w:rPr>
                <w:rFonts w:ascii="Arial"/>
                <w:sz w:val="21"/>
              </w:rPr>
            </w:pPr>
          </w:p>
        </w:tc>
        <w:tc>
          <w:tcPr>
            <w:tcW w:w="748" w:type="dxa"/>
            <w:vAlign w:val="top"/>
          </w:tcPr>
          <w:p w14:paraId="26D38203">
            <w:pPr>
              <w:rPr>
                <w:rFonts w:ascii="Arial"/>
                <w:sz w:val="21"/>
              </w:rPr>
            </w:pPr>
          </w:p>
        </w:tc>
        <w:tc>
          <w:tcPr>
            <w:tcW w:w="748" w:type="dxa"/>
            <w:vAlign w:val="top"/>
          </w:tcPr>
          <w:p w14:paraId="1A679BDB">
            <w:pPr>
              <w:rPr>
                <w:rFonts w:ascii="Arial"/>
                <w:sz w:val="21"/>
              </w:rPr>
            </w:pPr>
          </w:p>
        </w:tc>
        <w:tc>
          <w:tcPr>
            <w:tcW w:w="1122" w:type="dxa"/>
            <w:vAlign w:val="top"/>
          </w:tcPr>
          <w:p w14:paraId="32766B9F">
            <w:pPr>
              <w:rPr>
                <w:rFonts w:ascii="Arial"/>
                <w:sz w:val="21"/>
              </w:rPr>
            </w:pPr>
          </w:p>
        </w:tc>
        <w:tc>
          <w:tcPr>
            <w:tcW w:w="1122" w:type="dxa"/>
            <w:vAlign w:val="top"/>
          </w:tcPr>
          <w:p w14:paraId="18118595">
            <w:pPr>
              <w:rPr>
                <w:rFonts w:ascii="Arial"/>
                <w:sz w:val="21"/>
              </w:rPr>
            </w:pPr>
          </w:p>
        </w:tc>
        <w:tc>
          <w:tcPr>
            <w:tcW w:w="905" w:type="dxa"/>
            <w:tcBorders>
              <w:right w:val="single" w:color="000000" w:sz="12" w:space="0"/>
            </w:tcBorders>
            <w:vAlign w:val="top"/>
          </w:tcPr>
          <w:p w14:paraId="0B68D482">
            <w:pPr>
              <w:rPr>
                <w:rFonts w:ascii="Arial"/>
                <w:sz w:val="21"/>
              </w:rPr>
            </w:pPr>
          </w:p>
        </w:tc>
      </w:tr>
      <w:tr w14:paraId="2C547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666" w:type="dxa"/>
            <w:tcBorders>
              <w:left w:val="single" w:color="000000" w:sz="12" w:space="0"/>
            </w:tcBorders>
            <w:vAlign w:val="top"/>
          </w:tcPr>
          <w:p w14:paraId="1B182822">
            <w:pPr>
              <w:rPr>
                <w:rFonts w:ascii="Arial"/>
                <w:sz w:val="21"/>
              </w:rPr>
            </w:pPr>
          </w:p>
        </w:tc>
        <w:tc>
          <w:tcPr>
            <w:tcW w:w="1242" w:type="dxa"/>
            <w:vAlign w:val="top"/>
          </w:tcPr>
          <w:p w14:paraId="47D079DC">
            <w:pPr>
              <w:rPr>
                <w:rFonts w:ascii="Arial"/>
                <w:sz w:val="21"/>
              </w:rPr>
            </w:pPr>
          </w:p>
        </w:tc>
        <w:tc>
          <w:tcPr>
            <w:tcW w:w="748" w:type="dxa"/>
            <w:vAlign w:val="top"/>
          </w:tcPr>
          <w:p w14:paraId="69FEE1EF">
            <w:pPr>
              <w:rPr>
                <w:rFonts w:ascii="Arial"/>
                <w:sz w:val="21"/>
              </w:rPr>
            </w:pPr>
          </w:p>
        </w:tc>
        <w:tc>
          <w:tcPr>
            <w:tcW w:w="629" w:type="dxa"/>
            <w:vAlign w:val="top"/>
          </w:tcPr>
          <w:p w14:paraId="40F8DA1F">
            <w:pPr>
              <w:rPr>
                <w:rFonts w:ascii="Arial"/>
                <w:sz w:val="21"/>
              </w:rPr>
            </w:pPr>
          </w:p>
        </w:tc>
        <w:tc>
          <w:tcPr>
            <w:tcW w:w="748" w:type="dxa"/>
            <w:vAlign w:val="top"/>
          </w:tcPr>
          <w:p w14:paraId="0892F05A">
            <w:pPr>
              <w:rPr>
                <w:rFonts w:ascii="Arial"/>
                <w:sz w:val="21"/>
              </w:rPr>
            </w:pPr>
          </w:p>
        </w:tc>
        <w:tc>
          <w:tcPr>
            <w:tcW w:w="748" w:type="dxa"/>
            <w:vAlign w:val="top"/>
          </w:tcPr>
          <w:p w14:paraId="06B4CBE9">
            <w:pPr>
              <w:rPr>
                <w:rFonts w:ascii="Arial"/>
                <w:sz w:val="21"/>
              </w:rPr>
            </w:pPr>
          </w:p>
        </w:tc>
        <w:tc>
          <w:tcPr>
            <w:tcW w:w="1122" w:type="dxa"/>
            <w:vAlign w:val="top"/>
          </w:tcPr>
          <w:p w14:paraId="5F57327F">
            <w:pPr>
              <w:rPr>
                <w:rFonts w:ascii="Arial"/>
                <w:sz w:val="21"/>
              </w:rPr>
            </w:pPr>
          </w:p>
        </w:tc>
        <w:tc>
          <w:tcPr>
            <w:tcW w:w="1122" w:type="dxa"/>
            <w:vAlign w:val="top"/>
          </w:tcPr>
          <w:p w14:paraId="783C3E02">
            <w:pPr>
              <w:rPr>
                <w:rFonts w:ascii="Arial"/>
                <w:sz w:val="21"/>
              </w:rPr>
            </w:pPr>
          </w:p>
        </w:tc>
        <w:tc>
          <w:tcPr>
            <w:tcW w:w="905" w:type="dxa"/>
            <w:tcBorders>
              <w:right w:val="single" w:color="000000" w:sz="12" w:space="0"/>
            </w:tcBorders>
            <w:vAlign w:val="top"/>
          </w:tcPr>
          <w:p w14:paraId="29B5600B">
            <w:pPr>
              <w:rPr>
                <w:rFonts w:ascii="Arial"/>
                <w:sz w:val="21"/>
              </w:rPr>
            </w:pPr>
          </w:p>
        </w:tc>
      </w:tr>
      <w:tr w14:paraId="458AF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666" w:type="dxa"/>
            <w:tcBorders>
              <w:left w:val="single" w:color="000000" w:sz="12" w:space="0"/>
            </w:tcBorders>
            <w:vAlign w:val="top"/>
          </w:tcPr>
          <w:p w14:paraId="45F68F5E">
            <w:pPr>
              <w:rPr>
                <w:rFonts w:ascii="Arial"/>
                <w:sz w:val="21"/>
              </w:rPr>
            </w:pPr>
          </w:p>
        </w:tc>
        <w:tc>
          <w:tcPr>
            <w:tcW w:w="1242" w:type="dxa"/>
            <w:vAlign w:val="top"/>
          </w:tcPr>
          <w:p w14:paraId="47E70FD4">
            <w:pPr>
              <w:rPr>
                <w:rFonts w:ascii="Arial"/>
                <w:sz w:val="21"/>
              </w:rPr>
            </w:pPr>
          </w:p>
        </w:tc>
        <w:tc>
          <w:tcPr>
            <w:tcW w:w="748" w:type="dxa"/>
            <w:vAlign w:val="top"/>
          </w:tcPr>
          <w:p w14:paraId="2FE472C6">
            <w:pPr>
              <w:rPr>
                <w:rFonts w:ascii="Arial"/>
                <w:sz w:val="21"/>
              </w:rPr>
            </w:pPr>
          </w:p>
        </w:tc>
        <w:tc>
          <w:tcPr>
            <w:tcW w:w="629" w:type="dxa"/>
            <w:vAlign w:val="top"/>
          </w:tcPr>
          <w:p w14:paraId="24D8D742">
            <w:pPr>
              <w:rPr>
                <w:rFonts w:ascii="Arial"/>
                <w:sz w:val="21"/>
              </w:rPr>
            </w:pPr>
          </w:p>
        </w:tc>
        <w:tc>
          <w:tcPr>
            <w:tcW w:w="748" w:type="dxa"/>
            <w:vAlign w:val="top"/>
          </w:tcPr>
          <w:p w14:paraId="34BBBAFD">
            <w:pPr>
              <w:rPr>
                <w:rFonts w:ascii="Arial"/>
                <w:sz w:val="21"/>
              </w:rPr>
            </w:pPr>
          </w:p>
        </w:tc>
        <w:tc>
          <w:tcPr>
            <w:tcW w:w="748" w:type="dxa"/>
            <w:vAlign w:val="top"/>
          </w:tcPr>
          <w:p w14:paraId="780658A3">
            <w:pPr>
              <w:rPr>
                <w:rFonts w:ascii="Arial"/>
                <w:sz w:val="21"/>
              </w:rPr>
            </w:pPr>
          </w:p>
        </w:tc>
        <w:tc>
          <w:tcPr>
            <w:tcW w:w="1122" w:type="dxa"/>
            <w:vAlign w:val="top"/>
          </w:tcPr>
          <w:p w14:paraId="3D6801D9">
            <w:pPr>
              <w:rPr>
                <w:rFonts w:ascii="Arial"/>
                <w:sz w:val="21"/>
              </w:rPr>
            </w:pPr>
          </w:p>
        </w:tc>
        <w:tc>
          <w:tcPr>
            <w:tcW w:w="1122" w:type="dxa"/>
            <w:vAlign w:val="top"/>
          </w:tcPr>
          <w:p w14:paraId="36413A91">
            <w:pPr>
              <w:rPr>
                <w:rFonts w:ascii="Arial"/>
                <w:sz w:val="21"/>
              </w:rPr>
            </w:pPr>
          </w:p>
        </w:tc>
        <w:tc>
          <w:tcPr>
            <w:tcW w:w="905" w:type="dxa"/>
            <w:tcBorders>
              <w:right w:val="single" w:color="000000" w:sz="12" w:space="0"/>
            </w:tcBorders>
            <w:vAlign w:val="top"/>
          </w:tcPr>
          <w:p w14:paraId="4865AC0A">
            <w:pPr>
              <w:rPr>
                <w:rFonts w:ascii="Arial"/>
                <w:sz w:val="21"/>
              </w:rPr>
            </w:pPr>
          </w:p>
        </w:tc>
      </w:tr>
      <w:tr w14:paraId="0F772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666" w:type="dxa"/>
            <w:tcBorders>
              <w:left w:val="single" w:color="000000" w:sz="12" w:space="0"/>
            </w:tcBorders>
            <w:vAlign w:val="top"/>
          </w:tcPr>
          <w:p w14:paraId="454E0E01">
            <w:pPr>
              <w:rPr>
                <w:rFonts w:ascii="Arial"/>
                <w:sz w:val="21"/>
              </w:rPr>
            </w:pPr>
          </w:p>
        </w:tc>
        <w:tc>
          <w:tcPr>
            <w:tcW w:w="1242" w:type="dxa"/>
            <w:vAlign w:val="top"/>
          </w:tcPr>
          <w:p w14:paraId="4D834711">
            <w:pPr>
              <w:rPr>
                <w:rFonts w:ascii="Arial"/>
                <w:sz w:val="21"/>
              </w:rPr>
            </w:pPr>
          </w:p>
        </w:tc>
        <w:tc>
          <w:tcPr>
            <w:tcW w:w="748" w:type="dxa"/>
            <w:vAlign w:val="top"/>
          </w:tcPr>
          <w:p w14:paraId="73C08DD0">
            <w:pPr>
              <w:rPr>
                <w:rFonts w:ascii="Arial"/>
                <w:sz w:val="21"/>
              </w:rPr>
            </w:pPr>
          </w:p>
        </w:tc>
        <w:tc>
          <w:tcPr>
            <w:tcW w:w="629" w:type="dxa"/>
            <w:vAlign w:val="top"/>
          </w:tcPr>
          <w:p w14:paraId="5D04BD11">
            <w:pPr>
              <w:rPr>
                <w:rFonts w:ascii="Arial"/>
                <w:sz w:val="21"/>
              </w:rPr>
            </w:pPr>
          </w:p>
        </w:tc>
        <w:tc>
          <w:tcPr>
            <w:tcW w:w="748" w:type="dxa"/>
            <w:vAlign w:val="top"/>
          </w:tcPr>
          <w:p w14:paraId="0F6F10FA">
            <w:pPr>
              <w:rPr>
                <w:rFonts w:ascii="Arial"/>
                <w:sz w:val="21"/>
              </w:rPr>
            </w:pPr>
          </w:p>
        </w:tc>
        <w:tc>
          <w:tcPr>
            <w:tcW w:w="748" w:type="dxa"/>
            <w:vAlign w:val="top"/>
          </w:tcPr>
          <w:p w14:paraId="7C7CE34A">
            <w:pPr>
              <w:rPr>
                <w:rFonts w:ascii="Arial"/>
                <w:sz w:val="21"/>
              </w:rPr>
            </w:pPr>
          </w:p>
        </w:tc>
        <w:tc>
          <w:tcPr>
            <w:tcW w:w="1122" w:type="dxa"/>
            <w:vAlign w:val="top"/>
          </w:tcPr>
          <w:p w14:paraId="4B720631">
            <w:pPr>
              <w:rPr>
                <w:rFonts w:ascii="Arial"/>
                <w:sz w:val="21"/>
              </w:rPr>
            </w:pPr>
          </w:p>
        </w:tc>
        <w:tc>
          <w:tcPr>
            <w:tcW w:w="1122" w:type="dxa"/>
            <w:vAlign w:val="top"/>
          </w:tcPr>
          <w:p w14:paraId="174273C3">
            <w:pPr>
              <w:rPr>
                <w:rFonts w:ascii="Arial"/>
                <w:sz w:val="21"/>
              </w:rPr>
            </w:pPr>
          </w:p>
        </w:tc>
        <w:tc>
          <w:tcPr>
            <w:tcW w:w="905" w:type="dxa"/>
            <w:tcBorders>
              <w:right w:val="single" w:color="000000" w:sz="12" w:space="0"/>
            </w:tcBorders>
            <w:vAlign w:val="top"/>
          </w:tcPr>
          <w:p w14:paraId="086F7319">
            <w:pPr>
              <w:rPr>
                <w:rFonts w:ascii="Arial"/>
                <w:sz w:val="21"/>
              </w:rPr>
            </w:pPr>
          </w:p>
        </w:tc>
      </w:tr>
      <w:tr w14:paraId="59407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1" w:hRule="atLeast"/>
        </w:trPr>
        <w:tc>
          <w:tcPr>
            <w:tcW w:w="666" w:type="dxa"/>
            <w:tcBorders>
              <w:left w:val="single" w:color="000000" w:sz="12" w:space="0"/>
            </w:tcBorders>
            <w:vAlign w:val="top"/>
          </w:tcPr>
          <w:p w14:paraId="65559D20">
            <w:pPr>
              <w:rPr>
                <w:rFonts w:ascii="Arial"/>
                <w:sz w:val="21"/>
              </w:rPr>
            </w:pPr>
          </w:p>
        </w:tc>
        <w:tc>
          <w:tcPr>
            <w:tcW w:w="1242" w:type="dxa"/>
            <w:vAlign w:val="top"/>
          </w:tcPr>
          <w:p w14:paraId="532C70CF">
            <w:pPr>
              <w:rPr>
                <w:rFonts w:ascii="Arial"/>
                <w:sz w:val="21"/>
              </w:rPr>
            </w:pPr>
          </w:p>
        </w:tc>
        <w:tc>
          <w:tcPr>
            <w:tcW w:w="748" w:type="dxa"/>
            <w:vAlign w:val="top"/>
          </w:tcPr>
          <w:p w14:paraId="7CE3CEE6">
            <w:pPr>
              <w:rPr>
                <w:rFonts w:ascii="Arial"/>
                <w:sz w:val="21"/>
              </w:rPr>
            </w:pPr>
          </w:p>
        </w:tc>
        <w:tc>
          <w:tcPr>
            <w:tcW w:w="629" w:type="dxa"/>
            <w:vAlign w:val="top"/>
          </w:tcPr>
          <w:p w14:paraId="526204CC">
            <w:pPr>
              <w:rPr>
                <w:rFonts w:ascii="Arial"/>
                <w:sz w:val="21"/>
              </w:rPr>
            </w:pPr>
          </w:p>
        </w:tc>
        <w:tc>
          <w:tcPr>
            <w:tcW w:w="748" w:type="dxa"/>
            <w:vAlign w:val="top"/>
          </w:tcPr>
          <w:p w14:paraId="2078DC6A">
            <w:pPr>
              <w:rPr>
                <w:rFonts w:ascii="Arial"/>
                <w:sz w:val="21"/>
              </w:rPr>
            </w:pPr>
          </w:p>
        </w:tc>
        <w:tc>
          <w:tcPr>
            <w:tcW w:w="748" w:type="dxa"/>
            <w:vAlign w:val="top"/>
          </w:tcPr>
          <w:p w14:paraId="666CA723">
            <w:pPr>
              <w:rPr>
                <w:rFonts w:ascii="Arial"/>
                <w:sz w:val="21"/>
              </w:rPr>
            </w:pPr>
          </w:p>
        </w:tc>
        <w:tc>
          <w:tcPr>
            <w:tcW w:w="1122" w:type="dxa"/>
            <w:vAlign w:val="top"/>
          </w:tcPr>
          <w:p w14:paraId="08603CC5">
            <w:pPr>
              <w:rPr>
                <w:rFonts w:ascii="Arial"/>
                <w:sz w:val="21"/>
              </w:rPr>
            </w:pPr>
          </w:p>
        </w:tc>
        <w:tc>
          <w:tcPr>
            <w:tcW w:w="1122" w:type="dxa"/>
            <w:vAlign w:val="top"/>
          </w:tcPr>
          <w:p w14:paraId="27FC9751">
            <w:pPr>
              <w:rPr>
                <w:rFonts w:ascii="Arial"/>
                <w:sz w:val="21"/>
              </w:rPr>
            </w:pPr>
          </w:p>
        </w:tc>
        <w:tc>
          <w:tcPr>
            <w:tcW w:w="905" w:type="dxa"/>
            <w:tcBorders>
              <w:right w:val="single" w:color="000000" w:sz="12" w:space="0"/>
            </w:tcBorders>
            <w:vAlign w:val="top"/>
          </w:tcPr>
          <w:p w14:paraId="044CA39E">
            <w:pPr>
              <w:rPr>
                <w:rFonts w:ascii="Arial"/>
                <w:sz w:val="21"/>
              </w:rPr>
            </w:pPr>
          </w:p>
        </w:tc>
      </w:tr>
      <w:tr w14:paraId="02347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666" w:type="dxa"/>
            <w:tcBorders>
              <w:left w:val="single" w:color="000000" w:sz="12" w:space="0"/>
            </w:tcBorders>
            <w:vAlign w:val="top"/>
          </w:tcPr>
          <w:p w14:paraId="79AE9D04">
            <w:pPr>
              <w:rPr>
                <w:rFonts w:ascii="Arial"/>
                <w:sz w:val="21"/>
              </w:rPr>
            </w:pPr>
          </w:p>
        </w:tc>
        <w:tc>
          <w:tcPr>
            <w:tcW w:w="1242" w:type="dxa"/>
            <w:vAlign w:val="top"/>
          </w:tcPr>
          <w:p w14:paraId="52012548">
            <w:pPr>
              <w:rPr>
                <w:rFonts w:ascii="Arial"/>
                <w:sz w:val="21"/>
              </w:rPr>
            </w:pPr>
          </w:p>
        </w:tc>
        <w:tc>
          <w:tcPr>
            <w:tcW w:w="748" w:type="dxa"/>
            <w:vAlign w:val="top"/>
          </w:tcPr>
          <w:p w14:paraId="454BF090">
            <w:pPr>
              <w:rPr>
                <w:rFonts w:ascii="Arial"/>
                <w:sz w:val="21"/>
              </w:rPr>
            </w:pPr>
          </w:p>
        </w:tc>
        <w:tc>
          <w:tcPr>
            <w:tcW w:w="629" w:type="dxa"/>
            <w:vAlign w:val="top"/>
          </w:tcPr>
          <w:p w14:paraId="0E3F49F1">
            <w:pPr>
              <w:rPr>
                <w:rFonts w:ascii="Arial"/>
                <w:sz w:val="21"/>
              </w:rPr>
            </w:pPr>
          </w:p>
        </w:tc>
        <w:tc>
          <w:tcPr>
            <w:tcW w:w="748" w:type="dxa"/>
            <w:vAlign w:val="top"/>
          </w:tcPr>
          <w:p w14:paraId="7C3C9F9F">
            <w:pPr>
              <w:rPr>
                <w:rFonts w:ascii="Arial"/>
                <w:sz w:val="21"/>
              </w:rPr>
            </w:pPr>
          </w:p>
        </w:tc>
        <w:tc>
          <w:tcPr>
            <w:tcW w:w="748" w:type="dxa"/>
            <w:vAlign w:val="top"/>
          </w:tcPr>
          <w:p w14:paraId="008346E1">
            <w:pPr>
              <w:rPr>
                <w:rFonts w:ascii="Arial"/>
                <w:sz w:val="21"/>
              </w:rPr>
            </w:pPr>
          </w:p>
        </w:tc>
        <w:tc>
          <w:tcPr>
            <w:tcW w:w="1122" w:type="dxa"/>
            <w:vAlign w:val="top"/>
          </w:tcPr>
          <w:p w14:paraId="340BC79A">
            <w:pPr>
              <w:rPr>
                <w:rFonts w:ascii="Arial"/>
                <w:sz w:val="21"/>
              </w:rPr>
            </w:pPr>
          </w:p>
        </w:tc>
        <w:tc>
          <w:tcPr>
            <w:tcW w:w="1122" w:type="dxa"/>
            <w:vAlign w:val="top"/>
          </w:tcPr>
          <w:p w14:paraId="2596EC14">
            <w:pPr>
              <w:rPr>
                <w:rFonts w:ascii="Arial"/>
                <w:sz w:val="21"/>
              </w:rPr>
            </w:pPr>
          </w:p>
        </w:tc>
        <w:tc>
          <w:tcPr>
            <w:tcW w:w="905" w:type="dxa"/>
            <w:tcBorders>
              <w:right w:val="single" w:color="000000" w:sz="12" w:space="0"/>
            </w:tcBorders>
            <w:vAlign w:val="top"/>
          </w:tcPr>
          <w:p w14:paraId="060E2ECE">
            <w:pPr>
              <w:rPr>
                <w:rFonts w:ascii="Arial"/>
                <w:sz w:val="21"/>
              </w:rPr>
            </w:pPr>
          </w:p>
        </w:tc>
      </w:tr>
      <w:tr w14:paraId="67191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66" w:type="dxa"/>
            <w:tcBorders>
              <w:left w:val="single" w:color="000000" w:sz="12" w:space="0"/>
            </w:tcBorders>
            <w:vAlign w:val="top"/>
          </w:tcPr>
          <w:p w14:paraId="433FF232">
            <w:pPr>
              <w:rPr>
                <w:rFonts w:ascii="Arial"/>
                <w:sz w:val="21"/>
              </w:rPr>
            </w:pPr>
          </w:p>
        </w:tc>
        <w:tc>
          <w:tcPr>
            <w:tcW w:w="1242" w:type="dxa"/>
            <w:vAlign w:val="top"/>
          </w:tcPr>
          <w:p w14:paraId="5659A8F6">
            <w:pPr>
              <w:rPr>
                <w:rFonts w:ascii="Arial"/>
                <w:sz w:val="21"/>
              </w:rPr>
            </w:pPr>
          </w:p>
        </w:tc>
        <w:tc>
          <w:tcPr>
            <w:tcW w:w="748" w:type="dxa"/>
            <w:vAlign w:val="top"/>
          </w:tcPr>
          <w:p w14:paraId="65F2358E">
            <w:pPr>
              <w:rPr>
                <w:rFonts w:ascii="Arial"/>
                <w:sz w:val="21"/>
              </w:rPr>
            </w:pPr>
          </w:p>
        </w:tc>
        <w:tc>
          <w:tcPr>
            <w:tcW w:w="629" w:type="dxa"/>
            <w:vAlign w:val="top"/>
          </w:tcPr>
          <w:p w14:paraId="27C0EE54">
            <w:pPr>
              <w:rPr>
                <w:rFonts w:ascii="Arial"/>
                <w:sz w:val="21"/>
              </w:rPr>
            </w:pPr>
          </w:p>
        </w:tc>
        <w:tc>
          <w:tcPr>
            <w:tcW w:w="748" w:type="dxa"/>
            <w:vAlign w:val="top"/>
          </w:tcPr>
          <w:p w14:paraId="513A8960">
            <w:pPr>
              <w:rPr>
                <w:rFonts w:ascii="Arial"/>
                <w:sz w:val="21"/>
              </w:rPr>
            </w:pPr>
          </w:p>
        </w:tc>
        <w:tc>
          <w:tcPr>
            <w:tcW w:w="748" w:type="dxa"/>
            <w:vAlign w:val="top"/>
          </w:tcPr>
          <w:p w14:paraId="04D78EAD">
            <w:pPr>
              <w:rPr>
                <w:rFonts w:ascii="Arial"/>
                <w:sz w:val="21"/>
              </w:rPr>
            </w:pPr>
          </w:p>
        </w:tc>
        <w:tc>
          <w:tcPr>
            <w:tcW w:w="1122" w:type="dxa"/>
            <w:vAlign w:val="top"/>
          </w:tcPr>
          <w:p w14:paraId="69AFC615">
            <w:pPr>
              <w:rPr>
                <w:rFonts w:ascii="Arial"/>
                <w:sz w:val="21"/>
              </w:rPr>
            </w:pPr>
          </w:p>
        </w:tc>
        <w:tc>
          <w:tcPr>
            <w:tcW w:w="1122" w:type="dxa"/>
            <w:vAlign w:val="top"/>
          </w:tcPr>
          <w:p w14:paraId="27193D6A">
            <w:pPr>
              <w:rPr>
                <w:rFonts w:ascii="Arial"/>
                <w:sz w:val="21"/>
              </w:rPr>
            </w:pPr>
          </w:p>
        </w:tc>
        <w:tc>
          <w:tcPr>
            <w:tcW w:w="905" w:type="dxa"/>
            <w:tcBorders>
              <w:right w:val="single" w:color="000000" w:sz="12" w:space="0"/>
            </w:tcBorders>
            <w:vAlign w:val="top"/>
          </w:tcPr>
          <w:p w14:paraId="62C18C6E">
            <w:pPr>
              <w:rPr>
                <w:rFonts w:ascii="Arial"/>
                <w:sz w:val="21"/>
              </w:rPr>
            </w:pPr>
          </w:p>
        </w:tc>
      </w:tr>
      <w:tr w14:paraId="6E932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6" w:hRule="atLeast"/>
        </w:trPr>
        <w:tc>
          <w:tcPr>
            <w:tcW w:w="666" w:type="dxa"/>
            <w:tcBorders>
              <w:left w:val="single" w:color="000000" w:sz="12" w:space="0"/>
            </w:tcBorders>
            <w:vAlign w:val="top"/>
          </w:tcPr>
          <w:p w14:paraId="4058F1C2">
            <w:pPr>
              <w:rPr>
                <w:rFonts w:ascii="Arial"/>
                <w:sz w:val="21"/>
              </w:rPr>
            </w:pPr>
          </w:p>
        </w:tc>
        <w:tc>
          <w:tcPr>
            <w:tcW w:w="1242" w:type="dxa"/>
            <w:vAlign w:val="top"/>
          </w:tcPr>
          <w:p w14:paraId="24BB5916">
            <w:pPr>
              <w:rPr>
                <w:rFonts w:ascii="Arial"/>
                <w:sz w:val="21"/>
              </w:rPr>
            </w:pPr>
          </w:p>
        </w:tc>
        <w:tc>
          <w:tcPr>
            <w:tcW w:w="748" w:type="dxa"/>
            <w:vAlign w:val="top"/>
          </w:tcPr>
          <w:p w14:paraId="131CF0D9">
            <w:pPr>
              <w:rPr>
                <w:rFonts w:ascii="Arial"/>
                <w:sz w:val="21"/>
              </w:rPr>
            </w:pPr>
          </w:p>
        </w:tc>
        <w:tc>
          <w:tcPr>
            <w:tcW w:w="629" w:type="dxa"/>
            <w:vAlign w:val="top"/>
          </w:tcPr>
          <w:p w14:paraId="2192E188">
            <w:pPr>
              <w:rPr>
                <w:rFonts w:ascii="Arial"/>
                <w:sz w:val="21"/>
              </w:rPr>
            </w:pPr>
          </w:p>
        </w:tc>
        <w:tc>
          <w:tcPr>
            <w:tcW w:w="748" w:type="dxa"/>
            <w:vAlign w:val="top"/>
          </w:tcPr>
          <w:p w14:paraId="6632BA04">
            <w:pPr>
              <w:rPr>
                <w:rFonts w:ascii="Arial"/>
                <w:sz w:val="21"/>
              </w:rPr>
            </w:pPr>
          </w:p>
        </w:tc>
        <w:tc>
          <w:tcPr>
            <w:tcW w:w="748" w:type="dxa"/>
            <w:vAlign w:val="top"/>
          </w:tcPr>
          <w:p w14:paraId="5C334B7E">
            <w:pPr>
              <w:rPr>
                <w:rFonts w:ascii="Arial"/>
                <w:sz w:val="21"/>
              </w:rPr>
            </w:pPr>
          </w:p>
        </w:tc>
        <w:tc>
          <w:tcPr>
            <w:tcW w:w="1122" w:type="dxa"/>
            <w:vAlign w:val="top"/>
          </w:tcPr>
          <w:p w14:paraId="0EF3C77C">
            <w:pPr>
              <w:rPr>
                <w:rFonts w:ascii="Arial"/>
                <w:sz w:val="21"/>
              </w:rPr>
            </w:pPr>
          </w:p>
        </w:tc>
        <w:tc>
          <w:tcPr>
            <w:tcW w:w="1122" w:type="dxa"/>
            <w:vAlign w:val="top"/>
          </w:tcPr>
          <w:p w14:paraId="548226C1">
            <w:pPr>
              <w:rPr>
                <w:rFonts w:ascii="Arial"/>
                <w:sz w:val="21"/>
              </w:rPr>
            </w:pPr>
          </w:p>
        </w:tc>
        <w:tc>
          <w:tcPr>
            <w:tcW w:w="905" w:type="dxa"/>
            <w:tcBorders>
              <w:right w:val="single" w:color="000000" w:sz="12" w:space="0"/>
            </w:tcBorders>
            <w:vAlign w:val="top"/>
          </w:tcPr>
          <w:p w14:paraId="5C18C3DC">
            <w:pPr>
              <w:rPr>
                <w:rFonts w:ascii="Arial"/>
                <w:sz w:val="21"/>
              </w:rPr>
            </w:pPr>
          </w:p>
        </w:tc>
      </w:tr>
      <w:tr w14:paraId="4D286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66" w:type="dxa"/>
            <w:tcBorders>
              <w:left w:val="single" w:color="000000" w:sz="12" w:space="0"/>
            </w:tcBorders>
            <w:vAlign w:val="top"/>
          </w:tcPr>
          <w:p w14:paraId="081F1DF6">
            <w:pPr>
              <w:rPr>
                <w:rFonts w:ascii="Arial"/>
                <w:sz w:val="21"/>
              </w:rPr>
            </w:pPr>
          </w:p>
        </w:tc>
        <w:tc>
          <w:tcPr>
            <w:tcW w:w="1242" w:type="dxa"/>
            <w:vAlign w:val="top"/>
          </w:tcPr>
          <w:p w14:paraId="48815F3B">
            <w:pPr>
              <w:rPr>
                <w:rFonts w:ascii="Arial"/>
                <w:sz w:val="21"/>
              </w:rPr>
            </w:pPr>
          </w:p>
        </w:tc>
        <w:tc>
          <w:tcPr>
            <w:tcW w:w="748" w:type="dxa"/>
            <w:vAlign w:val="top"/>
          </w:tcPr>
          <w:p w14:paraId="565773BD">
            <w:pPr>
              <w:rPr>
                <w:rFonts w:ascii="Arial"/>
                <w:sz w:val="21"/>
              </w:rPr>
            </w:pPr>
          </w:p>
        </w:tc>
        <w:tc>
          <w:tcPr>
            <w:tcW w:w="629" w:type="dxa"/>
            <w:vAlign w:val="top"/>
          </w:tcPr>
          <w:p w14:paraId="28B9D086">
            <w:pPr>
              <w:rPr>
                <w:rFonts w:ascii="Arial"/>
                <w:sz w:val="21"/>
              </w:rPr>
            </w:pPr>
          </w:p>
        </w:tc>
        <w:tc>
          <w:tcPr>
            <w:tcW w:w="748" w:type="dxa"/>
            <w:vAlign w:val="top"/>
          </w:tcPr>
          <w:p w14:paraId="59C16144">
            <w:pPr>
              <w:rPr>
                <w:rFonts w:ascii="Arial"/>
                <w:sz w:val="21"/>
              </w:rPr>
            </w:pPr>
          </w:p>
        </w:tc>
        <w:tc>
          <w:tcPr>
            <w:tcW w:w="748" w:type="dxa"/>
            <w:vAlign w:val="top"/>
          </w:tcPr>
          <w:p w14:paraId="59A93EBC">
            <w:pPr>
              <w:rPr>
                <w:rFonts w:ascii="Arial"/>
                <w:sz w:val="21"/>
              </w:rPr>
            </w:pPr>
          </w:p>
        </w:tc>
        <w:tc>
          <w:tcPr>
            <w:tcW w:w="1122" w:type="dxa"/>
            <w:vAlign w:val="top"/>
          </w:tcPr>
          <w:p w14:paraId="25716E11">
            <w:pPr>
              <w:rPr>
                <w:rFonts w:ascii="Arial"/>
                <w:sz w:val="21"/>
              </w:rPr>
            </w:pPr>
          </w:p>
        </w:tc>
        <w:tc>
          <w:tcPr>
            <w:tcW w:w="1122" w:type="dxa"/>
            <w:vAlign w:val="top"/>
          </w:tcPr>
          <w:p w14:paraId="00C3B6D2">
            <w:pPr>
              <w:rPr>
                <w:rFonts w:ascii="Arial"/>
                <w:sz w:val="21"/>
              </w:rPr>
            </w:pPr>
          </w:p>
        </w:tc>
        <w:tc>
          <w:tcPr>
            <w:tcW w:w="905" w:type="dxa"/>
            <w:tcBorders>
              <w:right w:val="single" w:color="000000" w:sz="12" w:space="0"/>
            </w:tcBorders>
            <w:vAlign w:val="top"/>
          </w:tcPr>
          <w:p w14:paraId="0BF970B5">
            <w:pPr>
              <w:rPr>
                <w:rFonts w:ascii="Arial"/>
                <w:sz w:val="21"/>
              </w:rPr>
            </w:pPr>
          </w:p>
        </w:tc>
      </w:tr>
      <w:tr w14:paraId="535C0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66" w:type="dxa"/>
            <w:tcBorders>
              <w:left w:val="single" w:color="000000" w:sz="12" w:space="0"/>
            </w:tcBorders>
            <w:vAlign w:val="top"/>
          </w:tcPr>
          <w:p w14:paraId="0ED34829">
            <w:pPr>
              <w:rPr>
                <w:rFonts w:ascii="Arial"/>
                <w:sz w:val="21"/>
              </w:rPr>
            </w:pPr>
          </w:p>
        </w:tc>
        <w:tc>
          <w:tcPr>
            <w:tcW w:w="1242" w:type="dxa"/>
            <w:vAlign w:val="top"/>
          </w:tcPr>
          <w:p w14:paraId="19641973">
            <w:pPr>
              <w:rPr>
                <w:rFonts w:ascii="Arial"/>
                <w:sz w:val="21"/>
              </w:rPr>
            </w:pPr>
          </w:p>
        </w:tc>
        <w:tc>
          <w:tcPr>
            <w:tcW w:w="748" w:type="dxa"/>
            <w:vAlign w:val="top"/>
          </w:tcPr>
          <w:p w14:paraId="4170333E">
            <w:pPr>
              <w:rPr>
                <w:rFonts w:ascii="Arial"/>
                <w:sz w:val="21"/>
              </w:rPr>
            </w:pPr>
          </w:p>
        </w:tc>
        <w:tc>
          <w:tcPr>
            <w:tcW w:w="629" w:type="dxa"/>
            <w:vAlign w:val="top"/>
          </w:tcPr>
          <w:p w14:paraId="3728D65A">
            <w:pPr>
              <w:rPr>
                <w:rFonts w:ascii="Arial"/>
                <w:sz w:val="21"/>
              </w:rPr>
            </w:pPr>
          </w:p>
        </w:tc>
        <w:tc>
          <w:tcPr>
            <w:tcW w:w="748" w:type="dxa"/>
            <w:vAlign w:val="top"/>
          </w:tcPr>
          <w:p w14:paraId="037ADD9D">
            <w:pPr>
              <w:rPr>
                <w:rFonts w:ascii="Arial"/>
                <w:sz w:val="21"/>
              </w:rPr>
            </w:pPr>
          </w:p>
        </w:tc>
        <w:tc>
          <w:tcPr>
            <w:tcW w:w="748" w:type="dxa"/>
            <w:vAlign w:val="top"/>
          </w:tcPr>
          <w:p w14:paraId="73D730F8">
            <w:pPr>
              <w:rPr>
                <w:rFonts w:ascii="Arial"/>
                <w:sz w:val="21"/>
              </w:rPr>
            </w:pPr>
          </w:p>
        </w:tc>
        <w:tc>
          <w:tcPr>
            <w:tcW w:w="1122" w:type="dxa"/>
            <w:vAlign w:val="top"/>
          </w:tcPr>
          <w:p w14:paraId="2615381D">
            <w:pPr>
              <w:rPr>
                <w:rFonts w:ascii="Arial"/>
                <w:sz w:val="21"/>
              </w:rPr>
            </w:pPr>
          </w:p>
        </w:tc>
        <w:tc>
          <w:tcPr>
            <w:tcW w:w="1122" w:type="dxa"/>
            <w:vAlign w:val="top"/>
          </w:tcPr>
          <w:p w14:paraId="729A6FE6">
            <w:pPr>
              <w:rPr>
                <w:rFonts w:ascii="Arial"/>
                <w:sz w:val="21"/>
              </w:rPr>
            </w:pPr>
          </w:p>
        </w:tc>
        <w:tc>
          <w:tcPr>
            <w:tcW w:w="905" w:type="dxa"/>
            <w:tcBorders>
              <w:right w:val="single" w:color="000000" w:sz="12" w:space="0"/>
            </w:tcBorders>
            <w:vAlign w:val="top"/>
          </w:tcPr>
          <w:p w14:paraId="7E8B0244">
            <w:pPr>
              <w:rPr>
                <w:rFonts w:ascii="Arial"/>
                <w:sz w:val="21"/>
              </w:rPr>
            </w:pPr>
          </w:p>
        </w:tc>
      </w:tr>
      <w:tr w14:paraId="5D787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666" w:type="dxa"/>
            <w:tcBorders>
              <w:left w:val="single" w:color="000000" w:sz="12" w:space="0"/>
              <w:bottom w:val="single" w:color="000000" w:sz="12" w:space="0"/>
            </w:tcBorders>
            <w:vAlign w:val="top"/>
          </w:tcPr>
          <w:p w14:paraId="7913AD4B">
            <w:pPr>
              <w:rPr>
                <w:rFonts w:ascii="Arial"/>
                <w:sz w:val="21"/>
              </w:rPr>
            </w:pPr>
          </w:p>
        </w:tc>
        <w:tc>
          <w:tcPr>
            <w:tcW w:w="1242" w:type="dxa"/>
            <w:tcBorders>
              <w:bottom w:val="single" w:color="000000" w:sz="12" w:space="0"/>
            </w:tcBorders>
            <w:vAlign w:val="top"/>
          </w:tcPr>
          <w:p w14:paraId="118CFCEC">
            <w:pPr>
              <w:rPr>
                <w:rFonts w:ascii="Arial"/>
                <w:sz w:val="21"/>
              </w:rPr>
            </w:pPr>
          </w:p>
        </w:tc>
        <w:tc>
          <w:tcPr>
            <w:tcW w:w="748" w:type="dxa"/>
            <w:tcBorders>
              <w:bottom w:val="single" w:color="000000" w:sz="12" w:space="0"/>
            </w:tcBorders>
            <w:vAlign w:val="top"/>
          </w:tcPr>
          <w:p w14:paraId="325BC8C3">
            <w:pPr>
              <w:rPr>
                <w:rFonts w:ascii="Arial"/>
                <w:sz w:val="21"/>
              </w:rPr>
            </w:pPr>
          </w:p>
        </w:tc>
        <w:tc>
          <w:tcPr>
            <w:tcW w:w="629" w:type="dxa"/>
            <w:tcBorders>
              <w:bottom w:val="single" w:color="000000" w:sz="12" w:space="0"/>
            </w:tcBorders>
            <w:vAlign w:val="top"/>
          </w:tcPr>
          <w:p w14:paraId="7850A68D">
            <w:pPr>
              <w:rPr>
                <w:rFonts w:ascii="Arial"/>
                <w:sz w:val="21"/>
              </w:rPr>
            </w:pPr>
          </w:p>
        </w:tc>
        <w:tc>
          <w:tcPr>
            <w:tcW w:w="748" w:type="dxa"/>
            <w:tcBorders>
              <w:bottom w:val="single" w:color="000000" w:sz="12" w:space="0"/>
            </w:tcBorders>
            <w:vAlign w:val="top"/>
          </w:tcPr>
          <w:p w14:paraId="56E9109A">
            <w:pPr>
              <w:rPr>
                <w:rFonts w:ascii="Arial"/>
                <w:sz w:val="21"/>
              </w:rPr>
            </w:pPr>
          </w:p>
        </w:tc>
        <w:tc>
          <w:tcPr>
            <w:tcW w:w="748" w:type="dxa"/>
            <w:tcBorders>
              <w:bottom w:val="single" w:color="000000" w:sz="12" w:space="0"/>
            </w:tcBorders>
            <w:vAlign w:val="top"/>
          </w:tcPr>
          <w:p w14:paraId="2673C843">
            <w:pPr>
              <w:rPr>
                <w:rFonts w:ascii="Arial"/>
                <w:sz w:val="21"/>
              </w:rPr>
            </w:pPr>
          </w:p>
        </w:tc>
        <w:tc>
          <w:tcPr>
            <w:tcW w:w="1122" w:type="dxa"/>
            <w:tcBorders>
              <w:bottom w:val="single" w:color="000000" w:sz="12" w:space="0"/>
            </w:tcBorders>
            <w:vAlign w:val="top"/>
          </w:tcPr>
          <w:p w14:paraId="6C43A037">
            <w:pPr>
              <w:rPr>
                <w:rFonts w:ascii="Arial"/>
                <w:sz w:val="21"/>
              </w:rPr>
            </w:pPr>
          </w:p>
        </w:tc>
        <w:tc>
          <w:tcPr>
            <w:tcW w:w="1122" w:type="dxa"/>
            <w:tcBorders>
              <w:bottom w:val="single" w:color="000000" w:sz="12" w:space="0"/>
            </w:tcBorders>
            <w:vAlign w:val="top"/>
          </w:tcPr>
          <w:p w14:paraId="10671BB9">
            <w:pPr>
              <w:rPr>
                <w:rFonts w:ascii="Arial"/>
                <w:sz w:val="21"/>
              </w:rPr>
            </w:pPr>
          </w:p>
        </w:tc>
        <w:tc>
          <w:tcPr>
            <w:tcW w:w="905" w:type="dxa"/>
            <w:tcBorders>
              <w:bottom w:val="single" w:color="000000" w:sz="12" w:space="0"/>
              <w:right w:val="single" w:color="000000" w:sz="12" w:space="0"/>
            </w:tcBorders>
            <w:vAlign w:val="top"/>
          </w:tcPr>
          <w:p w14:paraId="056ACA70">
            <w:pPr>
              <w:rPr>
                <w:rFonts w:ascii="Arial"/>
                <w:sz w:val="21"/>
              </w:rPr>
            </w:pPr>
          </w:p>
        </w:tc>
      </w:tr>
    </w:tbl>
    <w:p w14:paraId="4DA1119B">
      <w:pPr>
        <w:pStyle w:val="2"/>
      </w:pPr>
    </w:p>
    <w:p w14:paraId="28EEA823">
      <w:pPr>
        <w:sectPr>
          <w:footerReference r:id="rId245" w:type="default"/>
          <w:pgSz w:w="11910" w:h="16845"/>
          <w:pgMar w:top="400" w:right="1786" w:bottom="1110" w:left="1786" w:header="0" w:footer="883" w:gutter="0"/>
          <w:cols w:space="720" w:num="1"/>
        </w:sectPr>
      </w:pPr>
    </w:p>
    <w:p w14:paraId="3FD42804">
      <w:pPr>
        <w:pStyle w:val="2"/>
        <w:spacing w:line="276" w:lineRule="auto"/>
      </w:pPr>
    </w:p>
    <w:p w14:paraId="07C73391">
      <w:pPr>
        <w:pStyle w:val="2"/>
        <w:spacing w:line="276" w:lineRule="auto"/>
      </w:pPr>
    </w:p>
    <w:p w14:paraId="63D26F9F">
      <w:pPr>
        <w:pStyle w:val="2"/>
        <w:spacing w:line="276" w:lineRule="auto"/>
      </w:pPr>
    </w:p>
    <w:p w14:paraId="5D755C0C">
      <w:pPr>
        <w:pStyle w:val="2"/>
        <w:spacing w:line="276" w:lineRule="auto"/>
      </w:pPr>
    </w:p>
    <w:p w14:paraId="2E5B2672">
      <w:pPr>
        <w:spacing w:before="91" w:line="225" w:lineRule="auto"/>
        <w:ind w:left="87"/>
        <w:outlineLvl w:val="1"/>
        <w:rPr>
          <w:rFonts w:ascii="黑体" w:hAnsi="黑体" w:eastAsia="黑体" w:cs="黑体"/>
          <w:sz w:val="28"/>
          <w:szCs w:val="28"/>
        </w:rPr>
      </w:pPr>
      <w:bookmarkStart w:id="568" w:name="bookmark524"/>
      <w:bookmarkEnd w:id="568"/>
      <w:r>
        <w:rPr>
          <w:rFonts w:ascii="黑体" w:hAnsi="黑体" w:eastAsia="黑体" w:cs="黑体"/>
          <w:b/>
          <w:bCs/>
          <w:spacing w:val="-5"/>
          <w:sz w:val="28"/>
          <w:szCs w:val="28"/>
        </w:rPr>
        <w:t>附件</w:t>
      </w:r>
      <w:r>
        <w:rPr>
          <w:rFonts w:ascii="黑体" w:hAnsi="黑体" w:eastAsia="黑体" w:cs="黑体"/>
          <w:spacing w:val="-41"/>
          <w:sz w:val="28"/>
          <w:szCs w:val="28"/>
        </w:rPr>
        <w:t xml:space="preserve"> </w:t>
      </w:r>
      <w:r>
        <w:rPr>
          <w:rFonts w:ascii="黑体" w:hAnsi="黑体" w:eastAsia="黑体" w:cs="黑体"/>
          <w:b/>
          <w:bCs/>
          <w:spacing w:val="-5"/>
          <w:sz w:val="28"/>
          <w:szCs w:val="28"/>
        </w:rPr>
        <w:t>6：</w:t>
      </w:r>
    </w:p>
    <w:p w14:paraId="59807751">
      <w:pPr>
        <w:pStyle w:val="2"/>
        <w:spacing w:line="405" w:lineRule="auto"/>
      </w:pPr>
    </w:p>
    <w:p w14:paraId="38C51665">
      <w:pPr>
        <w:spacing w:before="91" w:line="222" w:lineRule="auto"/>
        <w:ind w:left="2518"/>
        <w:rPr>
          <w:rFonts w:ascii="黑体" w:hAnsi="黑体" w:eastAsia="黑体" w:cs="黑体"/>
          <w:sz w:val="28"/>
          <w:szCs w:val="28"/>
        </w:rPr>
      </w:pPr>
      <w:r>
        <w:rPr>
          <w:rFonts w:ascii="黑体" w:hAnsi="黑体" w:eastAsia="黑体" w:cs="黑体"/>
          <w:spacing w:val="4"/>
          <w:sz w:val="28"/>
          <w:szCs w:val="28"/>
        </w:rPr>
        <w:t>承包人主要施工管理人员表</w:t>
      </w:r>
    </w:p>
    <w:p w14:paraId="2D38762B">
      <w:pPr>
        <w:spacing w:line="148" w:lineRule="exact"/>
      </w:pPr>
    </w:p>
    <w:tbl>
      <w:tblPr>
        <w:tblStyle w:val="5"/>
        <w:tblW w:w="8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09"/>
        <w:gridCol w:w="1212"/>
        <w:gridCol w:w="958"/>
        <w:gridCol w:w="973"/>
        <w:gridCol w:w="3659"/>
      </w:tblGrid>
      <w:tr w14:paraId="4167F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1609" w:type="dxa"/>
            <w:tcBorders>
              <w:top w:val="single" w:color="000000" w:sz="12" w:space="0"/>
              <w:left w:val="single" w:color="000000" w:sz="12" w:space="0"/>
            </w:tcBorders>
            <w:vAlign w:val="top"/>
          </w:tcPr>
          <w:p w14:paraId="45A70225">
            <w:pPr>
              <w:pStyle w:val="6"/>
              <w:spacing w:before="224" w:line="222" w:lineRule="auto"/>
              <w:ind w:left="356"/>
              <w:rPr>
                <w:sz w:val="21"/>
                <w:szCs w:val="21"/>
              </w:rPr>
            </w:pPr>
            <w:r>
              <w:rPr>
                <w:spacing w:val="-6"/>
                <w:sz w:val="21"/>
                <w:szCs w:val="21"/>
              </w:rPr>
              <w:t>名</w:t>
            </w:r>
            <w:r>
              <w:rPr>
                <w:spacing w:val="2"/>
                <w:sz w:val="21"/>
                <w:szCs w:val="21"/>
              </w:rPr>
              <w:t xml:space="preserve">    </w:t>
            </w:r>
            <w:r>
              <w:rPr>
                <w:spacing w:val="-6"/>
                <w:sz w:val="21"/>
                <w:szCs w:val="21"/>
              </w:rPr>
              <w:t>称</w:t>
            </w:r>
          </w:p>
        </w:tc>
        <w:tc>
          <w:tcPr>
            <w:tcW w:w="1212" w:type="dxa"/>
            <w:tcBorders>
              <w:top w:val="single" w:color="000000" w:sz="12" w:space="0"/>
            </w:tcBorders>
            <w:vAlign w:val="top"/>
          </w:tcPr>
          <w:p w14:paraId="1609FF9C">
            <w:pPr>
              <w:pStyle w:val="6"/>
              <w:spacing w:before="224" w:line="220" w:lineRule="auto"/>
              <w:ind w:left="374"/>
              <w:rPr>
                <w:sz w:val="21"/>
                <w:szCs w:val="21"/>
              </w:rPr>
            </w:pPr>
            <w:r>
              <w:rPr>
                <w:spacing w:val="-2"/>
                <w:sz w:val="21"/>
                <w:szCs w:val="21"/>
              </w:rPr>
              <w:t>姓名</w:t>
            </w:r>
          </w:p>
        </w:tc>
        <w:tc>
          <w:tcPr>
            <w:tcW w:w="958" w:type="dxa"/>
            <w:tcBorders>
              <w:top w:val="single" w:color="000000" w:sz="12" w:space="0"/>
            </w:tcBorders>
            <w:vAlign w:val="top"/>
          </w:tcPr>
          <w:p w14:paraId="5EE9F63C">
            <w:pPr>
              <w:pStyle w:val="6"/>
              <w:spacing w:before="224" w:line="220" w:lineRule="auto"/>
              <w:ind w:left="259"/>
              <w:rPr>
                <w:sz w:val="21"/>
                <w:szCs w:val="21"/>
              </w:rPr>
            </w:pPr>
            <w:r>
              <w:rPr>
                <w:spacing w:val="-3"/>
                <w:sz w:val="21"/>
                <w:szCs w:val="21"/>
              </w:rPr>
              <w:t>职务</w:t>
            </w:r>
          </w:p>
        </w:tc>
        <w:tc>
          <w:tcPr>
            <w:tcW w:w="973" w:type="dxa"/>
            <w:tcBorders>
              <w:top w:val="single" w:color="000000" w:sz="12" w:space="0"/>
            </w:tcBorders>
            <w:vAlign w:val="top"/>
          </w:tcPr>
          <w:p w14:paraId="7A3664C5">
            <w:pPr>
              <w:pStyle w:val="6"/>
              <w:spacing w:before="224" w:line="222" w:lineRule="auto"/>
              <w:ind w:left="278"/>
              <w:rPr>
                <w:sz w:val="21"/>
                <w:szCs w:val="21"/>
              </w:rPr>
            </w:pPr>
            <w:r>
              <w:rPr>
                <w:spacing w:val="-3"/>
                <w:sz w:val="21"/>
                <w:szCs w:val="21"/>
              </w:rPr>
              <w:t>职称</w:t>
            </w:r>
          </w:p>
        </w:tc>
        <w:tc>
          <w:tcPr>
            <w:tcW w:w="3659" w:type="dxa"/>
            <w:tcBorders>
              <w:top w:val="single" w:color="000000" w:sz="12" w:space="0"/>
              <w:right w:val="single" w:color="000000" w:sz="12" w:space="0"/>
            </w:tcBorders>
            <w:vAlign w:val="top"/>
          </w:tcPr>
          <w:p w14:paraId="026590D2">
            <w:pPr>
              <w:pStyle w:val="6"/>
              <w:spacing w:before="224" w:line="220" w:lineRule="auto"/>
              <w:ind w:left="357"/>
              <w:rPr>
                <w:sz w:val="21"/>
                <w:szCs w:val="21"/>
              </w:rPr>
            </w:pPr>
            <w:r>
              <w:rPr>
                <w:spacing w:val="-1"/>
                <w:sz w:val="21"/>
                <w:szCs w:val="21"/>
              </w:rPr>
              <w:t>主要资历、经验及承担过的项目</w:t>
            </w:r>
          </w:p>
        </w:tc>
      </w:tr>
      <w:tr w14:paraId="77DC1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8411" w:type="dxa"/>
            <w:gridSpan w:val="5"/>
            <w:tcBorders>
              <w:left w:val="single" w:color="000000" w:sz="12" w:space="0"/>
              <w:right w:val="single" w:color="000000" w:sz="12" w:space="0"/>
            </w:tcBorders>
            <w:vAlign w:val="top"/>
          </w:tcPr>
          <w:p w14:paraId="469B4B6F">
            <w:pPr>
              <w:pStyle w:val="6"/>
              <w:spacing w:before="262" w:line="220" w:lineRule="auto"/>
              <w:ind w:left="3556"/>
              <w:rPr>
                <w:sz w:val="21"/>
                <w:szCs w:val="21"/>
              </w:rPr>
            </w:pPr>
            <w:r>
              <w:rPr>
                <w:spacing w:val="-6"/>
                <w:sz w:val="21"/>
                <w:szCs w:val="21"/>
              </w:rPr>
              <w:t>一、总部人员</w:t>
            </w:r>
          </w:p>
        </w:tc>
      </w:tr>
      <w:tr w14:paraId="73AAA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609" w:type="dxa"/>
            <w:tcBorders>
              <w:left w:val="single" w:color="000000" w:sz="12" w:space="0"/>
            </w:tcBorders>
            <w:vAlign w:val="top"/>
          </w:tcPr>
          <w:p w14:paraId="5AAC9551">
            <w:pPr>
              <w:pStyle w:val="6"/>
              <w:spacing w:before="262" w:line="220" w:lineRule="auto"/>
              <w:ind w:left="356"/>
              <w:rPr>
                <w:sz w:val="21"/>
                <w:szCs w:val="21"/>
              </w:rPr>
            </w:pPr>
            <w:r>
              <w:rPr>
                <w:spacing w:val="-2"/>
                <w:sz w:val="21"/>
                <w:szCs w:val="21"/>
              </w:rPr>
              <w:t>项目主管</w:t>
            </w:r>
          </w:p>
        </w:tc>
        <w:tc>
          <w:tcPr>
            <w:tcW w:w="1212" w:type="dxa"/>
            <w:vAlign w:val="top"/>
          </w:tcPr>
          <w:p w14:paraId="03506B85">
            <w:pPr>
              <w:rPr>
                <w:rFonts w:ascii="Arial"/>
                <w:sz w:val="21"/>
              </w:rPr>
            </w:pPr>
          </w:p>
        </w:tc>
        <w:tc>
          <w:tcPr>
            <w:tcW w:w="958" w:type="dxa"/>
            <w:vAlign w:val="top"/>
          </w:tcPr>
          <w:p w14:paraId="08D79186">
            <w:pPr>
              <w:rPr>
                <w:rFonts w:ascii="Arial"/>
                <w:sz w:val="21"/>
              </w:rPr>
            </w:pPr>
          </w:p>
        </w:tc>
        <w:tc>
          <w:tcPr>
            <w:tcW w:w="973" w:type="dxa"/>
            <w:vAlign w:val="top"/>
          </w:tcPr>
          <w:p w14:paraId="3D4C643B">
            <w:pPr>
              <w:rPr>
                <w:rFonts w:ascii="Arial"/>
                <w:sz w:val="21"/>
              </w:rPr>
            </w:pPr>
          </w:p>
        </w:tc>
        <w:tc>
          <w:tcPr>
            <w:tcW w:w="3659" w:type="dxa"/>
            <w:tcBorders>
              <w:right w:val="single" w:color="000000" w:sz="12" w:space="0"/>
            </w:tcBorders>
            <w:vAlign w:val="top"/>
          </w:tcPr>
          <w:p w14:paraId="55657152">
            <w:pPr>
              <w:rPr>
                <w:rFonts w:ascii="Arial"/>
                <w:sz w:val="21"/>
              </w:rPr>
            </w:pPr>
          </w:p>
        </w:tc>
      </w:tr>
      <w:tr w14:paraId="1A6BA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609" w:type="dxa"/>
            <w:vMerge w:val="restart"/>
            <w:tcBorders>
              <w:left w:val="single" w:color="000000" w:sz="12" w:space="0"/>
              <w:bottom w:val="nil"/>
            </w:tcBorders>
            <w:vAlign w:val="top"/>
          </w:tcPr>
          <w:p w14:paraId="6A875EA4">
            <w:pPr>
              <w:spacing w:line="253" w:lineRule="auto"/>
              <w:rPr>
                <w:rFonts w:ascii="Arial"/>
                <w:sz w:val="21"/>
              </w:rPr>
            </w:pPr>
          </w:p>
          <w:p w14:paraId="0668CD6D">
            <w:pPr>
              <w:spacing w:line="253" w:lineRule="auto"/>
              <w:rPr>
                <w:rFonts w:ascii="Arial"/>
                <w:sz w:val="21"/>
              </w:rPr>
            </w:pPr>
          </w:p>
          <w:p w14:paraId="776034FA">
            <w:pPr>
              <w:spacing w:line="254" w:lineRule="auto"/>
              <w:rPr>
                <w:rFonts w:ascii="Arial"/>
                <w:sz w:val="21"/>
              </w:rPr>
            </w:pPr>
          </w:p>
          <w:p w14:paraId="1F5CA290">
            <w:pPr>
              <w:pStyle w:val="6"/>
              <w:spacing w:before="68" w:line="220" w:lineRule="auto"/>
              <w:ind w:left="354"/>
              <w:rPr>
                <w:sz w:val="21"/>
                <w:szCs w:val="21"/>
              </w:rPr>
            </w:pPr>
            <w:r>
              <w:rPr>
                <w:spacing w:val="-2"/>
                <w:sz w:val="21"/>
                <w:szCs w:val="21"/>
              </w:rPr>
              <w:t>其他人员</w:t>
            </w:r>
          </w:p>
        </w:tc>
        <w:tc>
          <w:tcPr>
            <w:tcW w:w="1212" w:type="dxa"/>
            <w:vAlign w:val="top"/>
          </w:tcPr>
          <w:p w14:paraId="63D3FBBC">
            <w:pPr>
              <w:rPr>
                <w:rFonts w:ascii="Arial"/>
                <w:sz w:val="21"/>
              </w:rPr>
            </w:pPr>
          </w:p>
        </w:tc>
        <w:tc>
          <w:tcPr>
            <w:tcW w:w="958" w:type="dxa"/>
            <w:vAlign w:val="top"/>
          </w:tcPr>
          <w:p w14:paraId="2EB3FB8C">
            <w:pPr>
              <w:rPr>
                <w:rFonts w:ascii="Arial"/>
                <w:sz w:val="21"/>
              </w:rPr>
            </w:pPr>
          </w:p>
        </w:tc>
        <w:tc>
          <w:tcPr>
            <w:tcW w:w="973" w:type="dxa"/>
            <w:vAlign w:val="top"/>
          </w:tcPr>
          <w:p w14:paraId="48AF2E79">
            <w:pPr>
              <w:rPr>
                <w:rFonts w:ascii="Arial"/>
                <w:sz w:val="21"/>
              </w:rPr>
            </w:pPr>
          </w:p>
        </w:tc>
        <w:tc>
          <w:tcPr>
            <w:tcW w:w="3659" w:type="dxa"/>
            <w:tcBorders>
              <w:right w:val="single" w:color="000000" w:sz="12" w:space="0"/>
            </w:tcBorders>
            <w:vAlign w:val="top"/>
          </w:tcPr>
          <w:p w14:paraId="1E4CAE9A">
            <w:pPr>
              <w:rPr>
                <w:rFonts w:ascii="Arial"/>
                <w:sz w:val="21"/>
              </w:rPr>
            </w:pPr>
          </w:p>
        </w:tc>
      </w:tr>
      <w:tr w14:paraId="217E9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609" w:type="dxa"/>
            <w:vMerge w:val="continue"/>
            <w:tcBorders>
              <w:top w:val="nil"/>
              <w:left w:val="single" w:color="000000" w:sz="12" w:space="0"/>
              <w:bottom w:val="nil"/>
            </w:tcBorders>
            <w:vAlign w:val="top"/>
          </w:tcPr>
          <w:p w14:paraId="02B36B69">
            <w:pPr>
              <w:rPr>
                <w:rFonts w:ascii="Arial"/>
                <w:sz w:val="21"/>
              </w:rPr>
            </w:pPr>
          </w:p>
        </w:tc>
        <w:tc>
          <w:tcPr>
            <w:tcW w:w="1212" w:type="dxa"/>
            <w:vAlign w:val="top"/>
          </w:tcPr>
          <w:p w14:paraId="3626D782">
            <w:pPr>
              <w:rPr>
                <w:rFonts w:ascii="Arial"/>
                <w:sz w:val="21"/>
              </w:rPr>
            </w:pPr>
          </w:p>
        </w:tc>
        <w:tc>
          <w:tcPr>
            <w:tcW w:w="958" w:type="dxa"/>
            <w:vAlign w:val="top"/>
          </w:tcPr>
          <w:p w14:paraId="73AAF116">
            <w:pPr>
              <w:rPr>
                <w:rFonts w:ascii="Arial"/>
                <w:sz w:val="21"/>
              </w:rPr>
            </w:pPr>
          </w:p>
        </w:tc>
        <w:tc>
          <w:tcPr>
            <w:tcW w:w="973" w:type="dxa"/>
            <w:vAlign w:val="top"/>
          </w:tcPr>
          <w:p w14:paraId="7C91BDCF">
            <w:pPr>
              <w:rPr>
                <w:rFonts w:ascii="Arial"/>
                <w:sz w:val="21"/>
              </w:rPr>
            </w:pPr>
          </w:p>
        </w:tc>
        <w:tc>
          <w:tcPr>
            <w:tcW w:w="3659" w:type="dxa"/>
            <w:tcBorders>
              <w:right w:val="single" w:color="000000" w:sz="12" w:space="0"/>
            </w:tcBorders>
            <w:vAlign w:val="top"/>
          </w:tcPr>
          <w:p w14:paraId="67A488FD">
            <w:pPr>
              <w:rPr>
                <w:rFonts w:ascii="Arial"/>
                <w:sz w:val="21"/>
              </w:rPr>
            </w:pPr>
          </w:p>
        </w:tc>
      </w:tr>
      <w:tr w14:paraId="5B990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609" w:type="dxa"/>
            <w:vMerge w:val="continue"/>
            <w:tcBorders>
              <w:top w:val="nil"/>
              <w:left w:val="single" w:color="000000" w:sz="12" w:space="0"/>
            </w:tcBorders>
            <w:vAlign w:val="top"/>
          </w:tcPr>
          <w:p w14:paraId="7D7109BB">
            <w:pPr>
              <w:rPr>
                <w:rFonts w:ascii="Arial"/>
                <w:sz w:val="21"/>
              </w:rPr>
            </w:pPr>
          </w:p>
        </w:tc>
        <w:tc>
          <w:tcPr>
            <w:tcW w:w="1212" w:type="dxa"/>
            <w:vAlign w:val="top"/>
          </w:tcPr>
          <w:p w14:paraId="16AE3B83">
            <w:pPr>
              <w:rPr>
                <w:rFonts w:ascii="Arial"/>
                <w:sz w:val="21"/>
              </w:rPr>
            </w:pPr>
          </w:p>
        </w:tc>
        <w:tc>
          <w:tcPr>
            <w:tcW w:w="958" w:type="dxa"/>
            <w:vAlign w:val="top"/>
          </w:tcPr>
          <w:p w14:paraId="2C8E8B55">
            <w:pPr>
              <w:rPr>
                <w:rFonts w:ascii="Arial"/>
                <w:sz w:val="21"/>
              </w:rPr>
            </w:pPr>
          </w:p>
        </w:tc>
        <w:tc>
          <w:tcPr>
            <w:tcW w:w="973" w:type="dxa"/>
            <w:vAlign w:val="top"/>
          </w:tcPr>
          <w:p w14:paraId="726F91A5">
            <w:pPr>
              <w:rPr>
                <w:rFonts w:ascii="Arial"/>
                <w:sz w:val="21"/>
              </w:rPr>
            </w:pPr>
          </w:p>
        </w:tc>
        <w:tc>
          <w:tcPr>
            <w:tcW w:w="3659" w:type="dxa"/>
            <w:tcBorders>
              <w:right w:val="single" w:color="000000" w:sz="12" w:space="0"/>
            </w:tcBorders>
            <w:vAlign w:val="top"/>
          </w:tcPr>
          <w:p w14:paraId="262B712F">
            <w:pPr>
              <w:rPr>
                <w:rFonts w:ascii="Arial"/>
                <w:sz w:val="21"/>
              </w:rPr>
            </w:pPr>
          </w:p>
        </w:tc>
      </w:tr>
      <w:tr w14:paraId="7536D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8411" w:type="dxa"/>
            <w:gridSpan w:val="5"/>
            <w:tcBorders>
              <w:left w:val="single" w:color="000000" w:sz="12" w:space="0"/>
              <w:right w:val="single" w:color="000000" w:sz="12" w:space="0"/>
            </w:tcBorders>
            <w:vAlign w:val="top"/>
          </w:tcPr>
          <w:p w14:paraId="282970C1">
            <w:pPr>
              <w:pStyle w:val="6"/>
              <w:spacing w:before="262" w:line="220" w:lineRule="auto"/>
              <w:ind w:left="3556"/>
              <w:rPr>
                <w:sz w:val="21"/>
                <w:szCs w:val="21"/>
              </w:rPr>
            </w:pPr>
            <w:r>
              <w:rPr>
                <w:spacing w:val="-2"/>
                <w:sz w:val="21"/>
                <w:szCs w:val="21"/>
              </w:rPr>
              <w:t>二、现场人员</w:t>
            </w:r>
          </w:p>
        </w:tc>
      </w:tr>
      <w:tr w14:paraId="32786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09" w:type="dxa"/>
            <w:tcBorders>
              <w:left w:val="single" w:color="000000" w:sz="12" w:space="0"/>
            </w:tcBorders>
            <w:vAlign w:val="top"/>
          </w:tcPr>
          <w:p w14:paraId="5F6DC0DD">
            <w:pPr>
              <w:pStyle w:val="6"/>
              <w:spacing w:before="262" w:line="220" w:lineRule="auto"/>
              <w:ind w:left="356"/>
              <w:rPr>
                <w:sz w:val="21"/>
                <w:szCs w:val="21"/>
              </w:rPr>
            </w:pPr>
            <w:r>
              <w:rPr>
                <w:spacing w:val="-2"/>
                <w:sz w:val="21"/>
                <w:szCs w:val="21"/>
              </w:rPr>
              <w:t>项目经理</w:t>
            </w:r>
          </w:p>
        </w:tc>
        <w:tc>
          <w:tcPr>
            <w:tcW w:w="1212" w:type="dxa"/>
            <w:vAlign w:val="top"/>
          </w:tcPr>
          <w:p w14:paraId="6B3C04C6">
            <w:pPr>
              <w:rPr>
                <w:rFonts w:ascii="Arial"/>
                <w:sz w:val="21"/>
              </w:rPr>
            </w:pPr>
          </w:p>
        </w:tc>
        <w:tc>
          <w:tcPr>
            <w:tcW w:w="958" w:type="dxa"/>
            <w:vAlign w:val="top"/>
          </w:tcPr>
          <w:p w14:paraId="5D99E0BF">
            <w:pPr>
              <w:rPr>
                <w:rFonts w:ascii="Arial"/>
                <w:sz w:val="21"/>
              </w:rPr>
            </w:pPr>
          </w:p>
        </w:tc>
        <w:tc>
          <w:tcPr>
            <w:tcW w:w="973" w:type="dxa"/>
            <w:vAlign w:val="top"/>
          </w:tcPr>
          <w:p w14:paraId="1D7CD3E1">
            <w:pPr>
              <w:rPr>
                <w:rFonts w:ascii="Arial"/>
                <w:sz w:val="21"/>
              </w:rPr>
            </w:pPr>
          </w:p>
        </w:tc>
        <w:tc>
          <w:tcPr>
            <w:tcW w:w="3659" w:type="dxa"/>
            <w:tcBorders>
              <w:right w:val="single" w:color="000000" w:sz="12" w:space="0"/>
            </w:tcBorders>
            <w:vAlign w:val="top"/>
          </w:tcPr>
          <w:p w14:paraId="44CC883A">
            <w:pPr>
              <w:rPr>
                <w:rFonts w:ascii="Arial"/>
                <w:sz w:val="21"/>
              </w:rPr>
            </w:pPr>
          </w:p>
        </w:tc>
      </w:tr>
      <w:tr w14:paraId="788FA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609" w:type="dxa"/>
            <w:tcBorders>
              <w:left w:val="single" w:color="000000" w:sz="12" w:space="0"/>
            </w:tcBorders>
            <w:vAlign w:val="top"/>
          </w:tcPr>
          <w:p w14:paraId="2E328431">
            <w:pPr>
              <w:pStyle w:val="6"/>
              <w:spacing w:before="261" w:line="220" w:lineRule="auto"/>
              <w:ind w:left="251"/>
              <w:rPr>
                <w:sz w:val="21"/>
                <w:szCs w:val="21"/>
              </w:rPr>
            </w:pPr>
            <w:r>
              <w:rPr>
                <w:spacing w:val="-2"/>
                <w:sz w:val="21"/>
                <w:szCs w:val="21"/>
              </w:rPr>
              <w:t>项目副经理</w:t>
            </w:r>
          </w:p>
        </w:tc>
        <w:tc>
          <w:tcPr>
            <w:tcW w:w="1212" w:type="dxa"/>
            <w:vAlign w:val="top"/>
          </w:tcPr>
          <w:p w14:paraId="6F9BCC3A">
            <w:pPr>
              <w:rPr>
                <w:rFonts w:ascii="Arial"/>
                <w:sz w:val="21"/>
              </w:rPr>
            </w:pPr>
          </w:p>
        </w:tc>
        <w:tc>
          <w:tcPr>
            <w:tcW w:w="958" w:type="dxa"/>
            <w:vAlign w:val="top"/>
          </w:tcPr>
          <w:p w14:paraId="54628C7B">
            <w:pPr>
              <w:rPr>
                <w:rFonts w:ascii="Arial"/>
                <w:sz w:val="21"/>
              </w:rPr>
            </w:pPr>
          </w:p>
        </w:tc>
        <w:tc>
          <w:tcPr>
            <w:tcW w:w="973" w:type="dxa"/>
            <w:vAlign w:val="top"/>
          </w:tcPr>
          <w:p w14:paraId="2CD78E05">
            <w:pPr>
              <w:rPr>
                <w:rFonts w:ascii="Arial"/>
                <w:sz w:val="21"/>
              </w:rPr>
            </w:pPr>
          </w:p>
        </w:tc>
        <w:tc>
          <w:tcPr>
            <w:tcW w:w="3659" w:type="dxa"/>
            <w:tcBorders>
              <w:right w:val="single" w:color="000000" w:sz="12" w:space="0"/>
            </w:tcBorders>
            <w:vAlign w:val="top"/>
          </w:tcPr>
          <w:p w14:paraId="476EBD8B">
            <w:pPr>
              <w:rPr>
                <w:rFonts w:ascii="Arial"/>
                <w:sz w:val="21"/>
              </w:rPr>
            </w:pPr>
          </w:p>
        </w:tc>
      </w:tr>
      <w:tr w14:paraId="3DD9A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609" w:type="dxa"/>
            <w:tcBorders>
              <w:left w:val="single" w:color="000000" w:sz="12" w:space="0"/>
            </w:tcBorders>
            <w:vAlign w:val="top"/>
          </w:tcPr>
          <w:p w14:paraId="06FEC0D4">
            <w:pPr>
              <w:pStyle w:val="6"/>
              <w:spacing w:before="262" w:line="220" w:lineRule="auto"/>
              <w:ind w:left="249"/>
              <w:rPr>
                <w:sz w:val="21"/>
                <w:szCs w:val="21"/>
              </w:rPr>
            </w:pPr>
            <w:r>
              <w:rPr>
                <w:spacing w:val="-2"/>
                <w:sz w:val="21"/>
                <w:szCs w:val="21"/>
              </w:rPr>
              <w:t>技术负责人</w:t>
            </w:r>
          </w:p>
        </w:tc>
        <w:tc>
          <w:tcPr>
            <w:tcW w:w="1212" w:type="dxa"/>
            <w:vAlign w:val="top"/>
          </w:tcPr>
          <w:p w14:paraId="02C29577">
            <w:pPr>
              <w:rPr>
                <w:rFonts w:ascii="Arial"/>
                <w:sz w:val="21"/>
              </w:rPr>
            </w:pPr>
          </w:p>
        </w:tc>
        <w:tc>
          <w:tcPr>
            <w:tcW w:w="958" w:type="dxa"/>
            <w:vAlign w:val="top"/>
          </w:tcPr>
          <w:p w14:paraId="6FD02E65">
            <w:pPr>
              <w:rPr>
                <w:rFonts w:ascii="Arial"/>
                <w:sz w:val="21"/>
              </w:rPr>
            </w:pPr>
          </w:p>
        </w:tc>
        <w:tc>
          <w:tcPr>
            <w:tcW w:w="973" w:type="dxa"/>
            <w:vAlign w:val="top"/>
          </w:tcPr>
          <w:p w14:paraId="120992A2">
            <w:pPr>
              <w:rPr>
                <w:rFonts w:ascii="Arial"/>
                <w:sz w:val="21"/>
              </w:rPr>
            </w:pPr>
          </w:p>
        </w:tc>
        <w:tc>
          <w:tcPr>
            <w:tcW w:w="3659" w:type="dxa"/>
            <w:tcBorders>
              <w:right w:val="single" w:color="000000" w:sz="12" w:space="0"/>
            </w:tcBorders>
            <w:vAlign w:val="top"/>
          </w:tcPr>
          <w:p w14:paraId="0466CE6A">
            <w:pPr>
              <w:rPr>
                <w:rFonts w:ascii="Arial"/>
                <w:sz w:val="21"/>
              </w:rPr>
            </w:pPr>
          </w:p>
        </w:tc>
      </w:tr>
      <w:tr w14:paraId="4A78A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609" w:type="dxa"/>
            <w:tcBorders>
              <w:left w:val="single" w:color="000000" w:sz="12" w:space="0"/>
            </w:tcBorders>
            <w:vAlign w:val="top"/>
          </w:tcPr>
          <w:p w14:paraId="0B07B111">
            <w:pPr>
              <w:pStyle w:val="6"/>
              <w:spacing w:before="262" w:line="218" w:lineRule="auto"/>
              <w:ind w:left="352"/>
              <w:rPr>
                <w:sz w:val="21"/>
                <w:szCs w:val="21"/>
              </w:rPr>
            </w:pPr>
            <w:r>
              <w:rPr>
                <w:spacing w:val="-2"/>
                <w:sz w:val="21"/>
                <w:szCs w:val="21"/>
              </w:rPr>
              <w:t>造价管理</w:t>
            </w:r>
          </w:p>
        </w:tc>
        <w:tc>
          <w:tcPr>
            <w:tcW w:w="1212" w:type="dxa"/>
            <w:vAlign w:val="top"/>
          </w:tcPr>
          <w:p w14:paraId="13115946">
            <w:pPr>
              <w:rPr>
                <w:rFonts w:ascii="Arial"/>
                <w:sz w:val="21"/>
              </w:rPr>
            </w:pPr>
          </w:p>
        </w:tc>
        <w:tc>
          <w:tcPr>
            <w:tcW w:w="958" w:type="dxa"/>
            <w:vAlign w:val="top"/>
          </w:tcPr>
          <w:p w14:paraId="25B53156">
            <w:pPr>
              <w:rPr>
                <w:rFonts w:ascii="Arial"/>
                <w:sz w:val="21"/>
              </w:rPr>
            </w:pPr>
          </w:p>
        </w:tc>
        <w:tc>
          <w:tcPr>
            <w:tcW w:w="973" w:type="dxa"/>
            <w:vAlign w:val="top"/>
          </w:tcPr>
          <w:p w14:paraId="23E6A5ED">
            <w:pPr>
              <w:rPr>
                <w:rFonts w:ascii="Arial"/>
                <w:sz w:val="21"/>
              </w:rPr>
            </w:pPr>
          </w:p>
        </w:tc>
        <w:tc>
          <w:tcPr>
            <w:tcW w:w="3659" w:type="dxa"/>
            <w:tcBorders>
              <w:right w:val="single" w:color="000000" w:sz="12" w:space="0"/>
            </w:tcBorders>
            <w:vAlign w:val="top"/>
          </w:tcPr>
          <w:p w14:paraId="0D2D72B7">
            <w:pPr>
              <w:rPr>
                <w:rFonts w:ascii="Arial"/>
                <w:sz w:val="21"/>
              </w:rPr>
            </w:pPr>
          </w:p>
        </w:tc>
      </w:tr>
      <w:tr w14:paraId="0BADE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09" w:type="dxa"/>
            <w:tcBorders>
              <w:left w:val="single" w:color="000000" w:sz="12" w:space="0"/>
            </w:tcBorders>
            <w:vAlign w:val="top"/>
          </w:tcPr>
          <w:p w14:paraId="6BC98295">
            <w:pPr>
              <w:pStyle w:val="6"/>
              <w:spacing w:before="261" w:line="220" w:lineRule="auto"/>
              <w:ind w:left="354"/>
              <w:rPr>
                <w:sz w:val="21"/>
                <w:szCs w:val="21"/>
              </w:rPr>
            </w:pPr>
            <w:r>
              <w:rPr>
                <w:spacing w:val="-2"/>
                <w:sz w:val="21"/>
                <w:szCs w:val="21"/>
              </w:rPr>
              <w:t>质量管理</w:t>
            </w:r>
          </w:p>
        </w:tc>
        <w:tc>
          <w:tcPr>
            <w:tcW w:w="1212" w:type="dxa"/>
            <w:vAlign w:val="top"/>
          </w:tcPr>
          <w:p w14:paraId="0758C291">
            <w:pPr>
              <w:rPr>
                <w:rFonts w:ascii="Arial"/>
                <w:sz w:val="21"/>
              </w:rPr>
            </w:pPr>
          </w:p>
        </w:tc>
        <w:tc>
          <w:tcPr>
            <w:tcW w:w="958" w:type="dxa"/>
            <w:vAlign w:val="top"/>
          </w:tcPr>
          <w:p w14:paraId="7BDABB53">
            <w:pPr>
              <w:rPr>
                <w:rFonts w:ascii="Arial"/>
                <w:sz w:val="21"/>
              </w:rPr>
            </w:pPr>
          </w:p>
        </w:tc>
        <w:tc>
          <w:tcPr>
            <w:tcW w:w="973" w:type="dxa"/>
            <w:vAlign w:val="top"/>
          </w:tcPr>
          <w:p w14:paraId="0615AF10">
            <w:pPr>
              <w:rPr>
                <w:rFonts w:ascii="Arial"/>
                <w:sz w:val="21"/>
              </w:rPr>
            </w:pPr>
          </w:p>
        </w:tc>
        <w:tc>
          <w:tcPr>
            <w:tcW w:w="3659" w:type="dxa"/>
            <w:tcBorders>
              <w:right w:val="single" w:color="000000" w:sz="12" w:space="0"/>
            </w:tcBorders>
            <w:vAlign w:val="top"/>
          </w:tcPr>
          <w:p w14:paraId="2DEEDDB7">
            <w:pPr>
              <w:rPr>
                <w:rFonts w:ascii="Arial"/>
                <w:sz w:val="21"/>
              </w:rPr>
            </w:pPr>
          </w:p>
        </w:tc>
      </w:tr>
      <w:tr w14:paraId="7A91E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6" w:hRule="atLeast"/>
        </w:trPr>
        <w:tc>
          <w:tcPr>
            <w:tcW w:w="1609" w:type="dxa"/>
            <w:tcBorders>
              <w:left w:val="single" w:color="000000" w:sz="12" w:space="0"/>
            </w:tcBorders>
            <w:vAlign w:val="top"/>
          </w:tcPr>
          <w:p w14:paraId="285908D2">
            <w:pPr>
              <w:pStyle w:val="6"/>
              <w:spacing w:before="262" w:line="219" w:lineRule="auto"/>
              <w:ind w:left="353"/>
              <w:rPr>
                <w:sz w:val="21"/>
                <w:szCs w:val="21"/>
              </w:rPr>
            </w:pPr>
            <w:r>
              <w:rPr>
                <w:spacing w:val="-2"/>
                <w:sz w:val="21"/>
                <w:szCs w:val="21"/>
              </w:rPr>
              <w:t>材料管理</w:t>
            </w:r>
          </w:p>
        </w:tc>
        <w:tc>
          <w:tcPr>
            <w:tcW w:w="1212" w:type="dxa"/>
            <w:vAlign w:val="top"/>
          </w:tcPr>
          <w:p w14:paraId="7AD9383C">
            <w:pPr>
              <w:rPr>
                <w:rFonts w:ascii="Arial"/>
                <w:sz w:val="21"/>
              </w:rPr>
            </w:pPr>
          </w:p>
        </w:tc>
        <w:tc>
          <w:tcPr>
            <w:tcW w:w="958" w:type="dxa"/>
            <w:vAlign w:val="top"/>
          </w:tcPr>
          <w:p w14:paraId="72BC9C4F">
            <w:pPr>
              <w:rPr>
                <w:rFonts w:ascii="Arial"/>
                <w:sz w:val="21"/>
              </w:rPr>
            </w:pPr>
          </w:p>
        </w:tc>
        <w:tc>
          <w:tcPr>
            <w:tcW w:w="973" w:type="dxa"/>
            <w:vAlign w:val="top"/>
          </w:tcPr>
          <w:p w14:paraId="154BEE8D">
            <w:pPr>
              <w:rPr>
                <w:rFonts w:ascii="Arial"/>
                <w:sz w:val="21"/>
              </w:rPr>
            </w:pPr>
          </w:p>
        </w:tc>
        <w:tc>
          <w:tcPr>
            <w:tcW w:w="3659" w:type="dxa"/>
            <w:tcBorders>
              <w:right w:val="single" w:color="000000" w:sz="12" w:space="0"/>
            </w:tcBorders>
            <w:vAlign w:val="top"/>
          </w:tcPr>
          <w:p w14:paraId="290AC75B">
            <w:pPr>
              <w:rPr>
                <w:rFonts w:ascii="Arial"/>
                <w:sz w:val="21"/>
              </w:rPr>
            </w:pPr>
          </w:p>
        </w:tc>
      </w:tr>
      <w:tr w14:paraId="5DEEA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09" w:type="dxa"/>
            <w:tcBorders>
              <w:left w:val="single" w:color="000000" w:sz="12" w:space="0"/>
            </w:tcBorders>
            <w:vAlign w:val="top"/>
          </w:tcPr>
          <w:p w14:paraId="70552E0F">
            <w:pPr>
              <w:pStyle w:val="6"/>
              <w:spacing w:before="261" w:line="220" w:lineRule="auto"/>
              <w:ind w:left="353"/>
              <w:rPr>
                <w:sz w:val="21"/>
                <w:szCs w:val="21"/>
              </w:rPr>
            </w:pPr>
            <w:r>
              <w:rPr>
                <w:spacing w:val="-2"/>
                <w:sz w:val="21"/>
                <w:szCs w:val="21"/>
              </w:rPr>
              <w:t>计划管理</w:t>
            </w:r>
          </w:p>
        </w:tc>
        <w:tc>
          <w:tcPr>
            <w:tcW w:w="1212" w:type="dxa"/>
            <w:vAlign w:val="top"/>
          </w:tcPr>
          <w:p w14:paraId="4AB2ABDD">
            <w:pPr>
              <w:rPr>
                <w:rFonts w:ascii="Arial"/>
                <w:sz w:val="21"/>
              </w:rPr>
            </w:pPr>
          </w:p>
        </w:tc>
        <w:tc>
          <w:tcPr>
            <w:tcW w:w="958" w:type="dxa"/>
            <w:vAlign w:val="top"/>
          </w:tcPr>
          <w:p w14:paraId="5EBDCCAA">
            <w:pPr>
              <w:rPr>
                <w:rFonts w:ascii="Arial"/>
                <w:sz w:val="21"/>
              </w:rPr>
            </w:pPr>
          </w:p>
        </w:tc>
        <w:tc>
          <w:tcPr>
            <w:tcW w:w="973" w:type="dxa"/>
            <w:vAlign w:val="top"/>
          </w:tcPr>
          <w:p w14:paraId="32E0011D">
            <w:pPr>
              <w:rPr>
                <w:rFonts w:ascii="Arial"/>
                <w:sz w:val="21"/>
              </w:rPr>
            </w:pPr>
          </w:p>
        </w:tc>
        <w:tc>
          <w:tcPr>
            <w:tcW w:w="3659" w:type="dxa"/>
            <w:tcBorders>
              <w:right w:val="single" w:color="000000" w:sz="12" w:space="0"/>
            </w:tcBorders>
            <w:vAlign w:val="top"/>
          </w:tcPr>
          <w:p w14:paraId="1BE2253A">
            <w:pPr>
              <w:rPr>
                <w:rFonts w:ascii="Arial"/>
                <w:sz w:val="21"/>
              </w:rPr>
            </w:pPr>
          </w:p>
        </w:tc>
      </w:tr>
      <w:tr w14:paraId="74D3F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609" w:type="dxa"/>
            <w:tcBorders>
              <w:left w:val="single" w:color="000000" w:sz="12" w:space="0"/>
            </w:tcBorders>
            <w:vAlign w:val="top"/>
          </w:tcPr>
          <w:p w14:paraId="47DB8964">
            <w:pPr>
              <w:pStyle w:val="6"/>
              <w:spacing w:before="262" w:line="220" w:lineRule="auto"/>
              <w:ind w:left="357"/>
              <w:rPr>
                <w:sz w:val="21"/>
                <w:szCs w:val="21"/>
              </w:rPr>
            </w:pPr>
            <w:r>
              <w:rPr>
                <w:spacing w:val="-3"/>
                <w:sz w:val="21"/>
                <w:szCs w:val="21"/>
              </w:rPr>
              <w:t>安全管理</w:t>
            </w:r>
          </w:p>
        </w:tc>
        <w:tc>
          <w:tcPr>
            <w:tcW w:w="1212" w:type="dxa"/>
            <w:vAlign w:val="top"/>
          </w:tcPr>
          <w:p w14:paraId="482C3C15">
            <w:pPr>
              <w:rPr>
                <w:rFonts w:ascii="Arial"/>
                <w:sz w:val="21"/>
              </w:rPr>
            </w:pPr>
          </w:p>
        </w:tc>
        <w:tc>
          <w:tcPr>
            <w:tcW w:w="958" w:type="dxa"/>
            <w:vAlign w:val="top"/>
          </w:tcPr>
          <w:p w14:paraId="7C22FD99">
            <w:pPr>
              <w:rPr>
                <w:rFonts w:ascii="Arial"/>
                <w:sz w:val="21"/>
              </w:rPr>
            </w:pPr>
          </w:p>
        </w:tc>
        <w:tc>
          <w:tcPr>
            <w:tcW w:w="973" w:type="dxa"/>
            <w:vAlign w:val="top"/>
          </w:tcPr>
          <w:p w14:paraId="7BF84736">
            <w:pPr>
              <w:rPr>
                <w:rFonts w:ascii="Arial"/>
                <w:sz w:val="21"/>
              </w:rPr>
            </w:pPr>
          </w:p>
        </w:tc>
        <w:tc>
          <w:tcPr>
            <w:tcW w:w="3659" w:type="dxa"/>
            <w:tcBorders>
              <w:right w:val="single" w:color="000000" w:sz="12" w:space="0"/>
            </w:tcBorders>
            <w:vAlign w:val="top"/>
          </w:tcPr>
          <w:p w14:paraId="079F171B">
            <w:pPr>
              <w:rPr>
                <w:rFonts w:ascii="Arial"/>
                <w:sz w:val="21"/>
              </w:rPr>
            </w:pPr>
          </w:p>
        </w:tc>
      </w:tr>
      <w:tr w14:paraId="728AC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09" w:type="dxa"/>
            <w:vMerge w:val="restart"/>
            <w:tcBorders>
              <w:left w:val="single" w:color="000000" w:sz="12" w:space="0"/>
              <w:bottom w:val="nil"/>
            </w:tcBorders>
            <w:vAlign w:val="top"/>
          </w:tcPr>
          <w:p w14:paraId="1A34A5A5">
            <w:pPr>
              <w:spacing w:line="262" w:lineRule="auto"/>
              <w:rPr>
                <w:rFonts w:ascii="Arial"/>
                <w:sz w:val="21"/>
              </w:rPr>
            </w:pPr>
          </w:p>
          <w:p w14:paraId="24685B65">
            <w:pPr>
              <w:spacing w:line="262" w:lineRule="auto"/>
              <w:rPr>
                <w:rFonts w:ascii="Arial"/>
                <w:sz w:val="21"/>
              </w:rPr>
            </w:pPr>
          </w:p>
          <w:p w14:paraId="6061870B">
            <w:pPr>
              <w:spacing w:line="262" w:lineRule="auto"/>
              <w:rPr>
                <w:rFonts w:ascii="Arial"/>
                <w:sz w:val="21"/>
              </w:rPr>
            </w:pPr>
          </w:p>
          <w:p w14:paraId="6FEBB5A3">
            <w:pPr>
              <w:spacing w:line="263" w:lineRule="auto"/>
              <w:rPr>
                <w:rFonts w:ascii="Arial"/>
                <w:sz w:val="21"/>
              </w:rPr>
            </w:pPr>
          </w:p>
          <w:p w14:paraId="71486811">
            <w:pPr>
              <w:spacing w:line="263" w:lineRule="auto"/>
              <w:rPr>
                <w:rFonts w:ascii="Arial"/>
                <w:sz w:val="21"/>
              </w:rPr>
            </w:pPr>
          </w:p>
          <w:p w14:paraId="39591F76">
            <w:pPr>
              <w:pStyle w:val="6"/>
              <w:spacing w:before="68" w:line="220" w:lineRule="auto"/>
              <w:ind w:left="354"/>
              <w:rPr>
                <w:sz w:val="21"/>
                <w:szCs w:val="21"/>
              </w:rPr>
            </w:pPr>
            <w:r>
              <w:rPr>
                <w:spacing w:val="-2"/>
                <w:sz w:val="21"/>
                <w:szCs w:val="21"/>
              </w:rPr>
              <w:t>其他人员</w:t>
            </w:r>
          </w:p>
        </w:tc>
        <w:tc>
          <w:tcPr>
            <w:tcW w:w="1212" w:type="dxa"/>
            <w:vAlign w:val="top"/>
          </w:tcPr>
          <w:p w14:paraId="5EFDA8DD">
            <w:pPr>
              <w:rPr>
                <w:rFonts w:ascii="Arial"/>
                <w:sz w:val="21"/>
              </w:rPr>
            </w:pPr>
          </w:p>
        </w:tc>
        <w:tc>
          <w:tcPr>
            <w:tcW w:w="958" w:type="dxa"/>
            <w:vAlign w:val="top"/>
          </w:tcPr>
          <w:p w14:paraId="0FEF9E3B">
            <w:pPr>
              <w:rPr>
                <w:rFonts w:ascii="Arial"/>
                <w:sz w:val="21"/>
              </w:rPr>
            </w:pPr>
          </w:p>
        </w:tc>
        <w:tc>
          <w:tcPr>
            <w:tcW w:w="973" w:type="dxa"/>
            <w:vAlign w:val="top"/>
          </w:tcPr>
          <w:p w14:paraId="445D8D78">
            <w:pPr>
              <w:rPr>
                <w:rFonts w:ascii="Arial"/>
                <w:sz w:val="21"/>
              </w:rPr>
            </w:pPr>
          </w:p>
        </w:tc>
        <w:tc>
          <w:tcPr>
            <w:tcW w:w="3659" w:type="dxa"/>
            <w:tcBorders>
              <w:right w:val="single" w:color="000000" w:sz="12" w:space="0"/>
            </w:tcBorders>
            <w:vAlign w:val="top"/>
          </w:tcPr>
          <w:p w14:paraId="24527630">
            <w:pPr>
              <w:rPr>
                <w:rFonts w:ascii="Arial"/>
                <w:sz w:val="21"/>
              </w:rPr>
            </w:pPr>
          </w:p>
        </w:tc>
      </w:tr>
      <w:tr w14:paraId="1AE88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609" w:type="dxa"/>
            <w:vMerge w:val="continue"/>
            <w:tcBorders>
              <w:top w:val="nil"/>
              <w:left w:val="single" w:color="000000" w:sz="12" w:space="0"/>
              <w:bottom w:val="nil"/>
            </w:tcBorders>
            <w:vAlign w:val="top"/>
          </w:tcPr>
          <w:p w14:paraId="478BC64B">
            <w:pPr>
              <w:rPr>
                <w:rFonts w:ascii="Arial"/>
                <w:sz w:val="21"/>
              </w:rPr>
            </w:pPr>
          </w:p>
        </w:tc>
        <w:tc>
          <w:tcPr>
            <w:tcW w:w="1212" w:type="dxa"/>
            <w:vAlign w:val="top"/>
          </w:tcPr>
          <w:p w14:paraId="27895A90">
            <w:pPr>
              <w:rPr>
                <w:rFonts w:ascii="Arial"/>
                <w:sz w:val="21"/>
              </w:rPr>
            </w:pPr>
          </w:p>
        </w:tc>
        <w:tc>
          <w:tcPr>
            <w:tcW w:w="958" w:type="dxa"/>
            <w:vAlign w:val="top"/>
          </w:tcPr>
          <w:p w14:paraId="02361B60">
            <w:pPr>
              <w:rPr>
                <w:rFonts w:ascii="Arial"/>
                <w:sz w:val="21"/>
              </w:rPr>
            </w:pPr>
          </w:p>
        </w:tc>
        <w:tc>
          <w:tcPr>
            <w:tcW w:w="973" w:type="dxa"/>
            <w:vAlign w:val="top"/>
          </w:tcPr>
          <w:p w14:paraId="7AF23CF6">
            <w:pPr>
              <w:rPr>
                <w:rFonts w:ascii="Arial"/>
                <w:sz w:val="21"/>
              </w:rPr>
            </w:pPr>
          </w:p>
        </w:tc>
        <w:tc>
          <w:tcPr>
            <w:tcW w:w="3659" w:type="dxa"/>
            <w:tcBorders>
              <w:right w:val="single" w:color="000000" w:sz="12" w:space="0"/>
            </w:tcBorders>
            <w:vAlign w:val="top"/>
          </w:tcPr>
          <w:p w14:paraId="723C671F">
            <w:pPr>
              <w:rPr>
                <w:rFonts w:ascii="Arial"/>
                <w:sz w:val="21"/>
              </w:rPr>
            </w:pPr>
          </w:p>
        </w:tc>
      </w:tr>
      <w:tr w14:paraId="2430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09" w:type="dxa"/>
            <w:vMerge w:val="continue"/>
            <w:tcBorders>
              <w:top w:val="nil"/>
              <w:left w:val="single" w:color="000000" w:sz="12" w:space="0"/>
              <w:bottom w:val="nil"/>
            </w:tcBorders>
            <w:vAlign w:val="top"/>
          </w:tcPr>
          <w:p w14:paraId="1877F1B7">
            <w:pPr>
              <w:rPr>
                <w:rFonts w:ascii="Arial"/>
                <w:sz w:val="21"/>
              </w:rPr>
            </w:pPr>
          </w:p>
        </w:tc>
        <w:tc>
          <w:tcPr>
            <w:tcW w:w="1212" w:type="dxa"/>
            <w:vAlign w:val="top"/>
          </w:tcPr>
          <w:p w14:paraId="75A5031C">
            <w:pPr>
              <w:rPr>
                <w:rFonts w:ascii="Arial"/>
                <w:sz w:val="21"/>
              </w:rPr>
            </w:pPr>
          </w:p>
        </w:tc>
        <w:tc>
          <w:tcPr>
            <w:tcW w:w="958" w:type="dxa"/>
            <w:vAlign w:val="top"/>
          </w:tcPr>
          <w:p w14:paraId="41BCCD44">
            <w:pPr>
              <w:rPr>
                <w:rFonts w:ascii="Arial"/>
                <w:sz w:val="21"/>
              </w:rPr>
            </w:pPr>
          </w:p>
        </w:tc>
        <w:tc>
          <w:tcPr>
            <w:tcW w:w="973" w:type="dxa"/>
            <w:vAlign w:val="top"/>
          </w:tcPr>
          <w:p w14:paraId="482F5554">
            <w:pPr>
              <w:rPr>
                <w:rFonts w:ascii="Arial"/>
                <w:sz w:val="21"/>
              </w:rPr>
            </w:pPr>
          </w:p>
        </w:tc>
        <w:tc>
          <w:tcPr>
            <w:tcW w:w="3659" w:type="dxa"/>
            <w:tcBorders>
              <w:right w:val="single" w:color="000000" w:sz="12" w:space="0"/>
            </w:tcBorders>
            <w:vAlign w:val="top"/>
          </w:tcPr>
          <w:p w14:paraId="2A5A167D">
            <w:pPr>
              <w:rPr>
                <w:rFonts w:ascii="Arial"/>
                <w:sz w:val="21"/>
              </w:rPr>
            </w:pPr>
          </w:p>
        </w:tc>
      </w:tr>
      <w:tr w14:paraId="4F06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609" w:type="dxa"/>
            <w:vMerge w:val="continue"/>
            <w:tcBorders>
              <w:top w:val="nil"/>
              <w:left w:val="single" w:color="000000" w:sz="12" w:space="0"/>
              <w:bottom w:val="nil"/>
            </w:tcBorders>
            <w:vAlign w:val="top"/>
          </w:tcPr>
          <w:p w14:paraId="71118134">
            <w:pPr>
              <w:rPr>
                <w:rFonts w:ascii="Arial"/>
                <w:sz w:val="21"/>
              </w:rPr>
            </w:pPr>
          </w:p>
        </w:tc>
        <w:tc>
          <w:tcPr>
            <w:tcW w:w="1212" w:type="dxa"/>
            <w:vAlign w:val="top"/>
          </w:tcPr>
          <w:p w14:paraId="24642117">
            <w:pPr>
              <w:rPr>
                <w:rFonts w:ascii="Arial"/>
                <w:sz w:val="21"/>
              </w:rPr>
            </w:pPr>
          </w:p>
        </w:tc>
        <w:tc>
          <w:tcPr>
            <w:tcW w:w="958" w:type="dxa"/>
            <w:vAlign w:val="top"/>
          </w:tcPr>
          <w:p w14:paraId="3AA348AA">
            <w:pPr>
              <w:rPr>
                <w:rFonts w:ascii="Arial"/>
                <w:sz w:val="21"/>
              </w:rPr>
            </w:pPr>
          </w:p>
        </w:tc>
        <w:tc>
          <w:tcPr>
            <w:tcW w:w="973" w:type="dxa"/>
            <w:vAlign w:val="top"/>
          </w:tcPr>
          <w:p w14:paraId="22213A3B">
            <w:pPr>
              <w:rPr>
                <w:rFonts w:ascii="Arial"/>
                <w:sz w:val="21"/>
              </w:rPr>
            </w:pPr>
          </w:p>
        </w:tc>
        <w:tc>
          <w:tcPr>
            <w:tcW w:w="3659" w:type="dxa"/>
            <w:tcBorders>
              <w:right w:val="single" w:color="000000" w:sz="12" w:space="0"/>
            </w:tcBorders>
            <w:vAlign w:val="top"/>
          </w:tcPr>
          <w:p w14:paraId="40D8CE23">
            <w:pPr>
              <w:rPr>
                <w:rFonts w:ascii="Arial"/>
                <w:sz w:val="21"/>
              </w:rPr>
            </w:pPr>
          </w:p>
        </w:tc>
      </w:tr>
      <w:tr w14:paraId="121D2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09" w:type="dxa"/>
            <w:vMerge w:val="continue"/>
            <w:tcBorders>
              <w:top w:val="nil"/>
              <w:left w:val="single" w:color="000000" w:sz="12" w:space="0"/>
              <w:bottom w:val="nil"/>
            </w:tcBorders>
            <w:vAlign w:val="top"/>
          </w:tcPr>
          <w:p w14:paraId="722CEBB4">
            <w:pPr>
              <w:rPr>
                <w:rFonts w:ascii="Arial"/>
                <w:sz w:val="21"/>
              </w:rPr>
            </w:pPr>
          </w:p>
        </w:tc>
        <w:tc>
          <w:tcPr>
            <w:tcW w:w="1212" w:type="dxa"/>
            <w:vAlign w:val="top"/>
          </w:tcPr>
          <w:p w14:paraId="0F9F667F">
            <w:pPr>
              <w:rPr>
                <w:rFonts w:ascii="Arial"/>
                <w:sz w:val="21"/>
              </w:rPr>
            </w:pPr>
          </w:p>
        </w:tc>
        <w:tc>
          <w:tcPr>
            <w:tcW w:w="958" w:type="dxa"/>
            <w:vAlign w:val="top"/>
          </w:tcPr>
          <w:p w14:paraId="70487DA6">
            <w:pPr>
              <w:rPr>
                <w:rFonts w:ascii="Arial"/>
                <w:sz w:val="21"/>
              </w:rPr>
            </w:pPr>
          </w:p>
        </w:tc>
        <w:tc>
          <w:tcPr>
            <w:tcW w:w="973" w:type="dxa"/>
            <w:vAlign w:val="top"/>
          </w:tcPr>
          <w:p w14:paraId="5A8E3B2E">
            <w:pPr>
              <w:rPr>
                <w:rFonts w:ascii="Arial"/>
                <w:sz w:val="21"/>
              </w:rPr>
            </w:pPr>
          </w:p>
        </w:tc>
        <w:tc>
          <w:tcPr>
            <w:tcW w:w="3659" w:type="dxa"/>
            <w:tcBorders>
              <w:right w:val="single" w:color="000000" w:sz="12" w:space="0"/>
            </w:tcBorders>
            <w:vAlign w:val="top"/>
          </w:tcPr>
          <w:p w14:paraId="6CD3B17F">
            <w:pPr>
              <w:rPr>
                <w:rFonts w:ascii="Arial"/>
                <w:sz w:val="21"/>
              </w:rPr>
            </w:pPr>
          </w:p>
        </w:tc>
      </w:tr>
      <w:tr w14:paraId="3ECE3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1609" w:type="dxa"/>
            <w:vMerge w:val="continue"/>
            <w:tcBorders>
              <w:top w:val="nil"/>
              <w:left w:val="single" w:color="000000" w:sz="12" w:space="0"/>
              <w:bottom w:val="single" w:color="000000" w:sz="12" w:space="0"/>
            </w:tcBorders>
            <w:vAlign w:val="top"/>
          </w:tcPr>
          <w:p w14:paraId="02BA8D20">
            <w:pPr>
              <w:rPr>
                <w:rFonts w:ascii="Arial"/>
                <w:sz w:val="21"/>
              </w:rPr>
            </w:pPr>
          </w:p>
        </w:tc>
        <w:tc>
          <w:tcPr>
            <w:tcW w:w="1212" w:type="dxa"/>
            <w:tcBorders>
              <w:bottom w:val="single" w:color="000000" w:sz="12" w:space="0"/>
            </w:tcBorders>
            <w:vAlign w:val="top"/>
          </w:tcPr>
          <w:p w14:paraId="684AED6F">
            <w:pPr>
              <w:rPr>
                <w:rFonts w:ascii="Arial"/>
                <w:sz w:val="21"/>
              </w:rPr>
            </w:pPr>
          </w:p>
        </w:tc>
        <w:tc>
          <w:tcPr>
            <w:tcW w:w="958" w:type="dxa"/>
            <w:tcBorders>
              <w:bottom w:val="single" w:color="000000" w:sz="12" w:space="0"/>
            </w:tcBorders>
            <w:vAlign w:val="top"/>
          </w:tcPr>
          <w:p w14:paraId="7982FC00">
            <w:pPr>
              <w:rPr>
                <w:rFonts w:ascii="Arial"/>
                <w:sz w:val="21"/>
              </w:rPr>
            </w:pPr>
          </w:p>
        </w:tc>
        <w:tc>
          <w:tcPr>
            <w:tcW w:w="973" w:type="dxa"/>
            <w:tcBorders>
              <w:bottom w:val="single" w:color="000000" w:sz="12" w:space="0"/>
            </w:tcBorders>
            <w:vAlign w:val="top"/>
          </w:tcPr>
          <w:p w14:paraId="1DAD7B0D">
            <w:pPr>
              <w:rPr>
                <w:rFonts w:ascii="Arial"/>
                <w:sz w:val="21"/>
              </w:rPr>
            </w:pPr>
          </w:p>
        </w:tc>
        <w:tc>
          <w:tcPr>
            <w:tcW w:w="3659" w:type="dxa"/>
            <w:tcBorders>
              <w:bottom w:val="single" w:color="000000" w:sz="12" w:space="0"/>
              <w:right w:val="single" w:color="000000" w:sz="12" w:space="0"/>
            </w:tcBorders>
            <w:vAlign w:val="top"/>
          </w:tcPr>
          <w:p w14:paraId="6EC6E399">
            <w:pPr>
              <w:rPr>
                <w:rFonts w:ascii="Arial"/>
                <w:sz w:val="21"/>
              </w:rPr>
            </w:pPr>
          </w:p>
        </w:tc>
      </w:tr>
    </w:tbl>
    <w:p w14:paraId="6BE628E2">
      <w:pPr>
        <w:pStyle w:val="2"/>
      </w:pPr>
    </w:p>
    <w:p w14:paraId="518A27CE">
      <w:pPr>
        <w:sectPr>
          <w:footerReference r:id="rId246" w:type="default"/>
          <w:pgSz w:w="11910" w:h="16845"/>
          <w:pgMar w:top="400" w:right="1727" w:bottom="1110" w:left="1741" w:header="0" w:footer="882" w:gutter="0"/>
          <w:cols w:space="720" w:num="1"/>
        </w:sectPr>
      </w:pPr>
    </w:p>
    <w:p w14:paraId="16A987BE">
      <w:pPr>
        <w:pStyle w:val="2"/>
        <w:spacing w:line="274" w:lineRule="auto"/>
      </w:pPr>
    </w:p>
    <w:p w14:paraId="3F155FD3">
      <w:pPr>
        <w:pStyle w:val="2"/>
        <w:spacing w:line="274" w:lineRule="auto"/>
      </w:pPr>
    </w:p>
    <w:p w14:paraId="5E5D2721">
      <w:pPr>
        <w:pStyle w:val="2"/>
        <w:spacing w:line="274" w:lineRule="auto"/>
      </w:pPr>
    </w:p>
    <w:p w14:paraId="0A8882F9">
      <w:pPr>
        <w:pStyle w:val="2"/>
        <w:spacing w:line="275" w:lineRule="auto"/>
      </w:pPr>
    </w:p>
    <w:p w14:paraId="436DA609">
      <w:pPr>
        <w:pStyle w:val="2"/>
        <w:spacing w:line="275" w:lineRule="auto"/>
      </w:pPr>
    </w:p>
    <w:p w14:paraId="0E9D78E0">
      <w:pPr>
        <w:spacing w:before="91" w:line="225" w:lineRule="auto"/>
        <w:ind w:left="42"/>
        <w:outlineLvl w:val="1"/>
        <w:rPr>
          <w:rFonts w:ascii="黑体" w:hAnsi="黑体" w:eastAsia="黑体" w:cs="黑体"/>
          <w:sz w:val="28"/>
          <w:szCs w:val="28"/>
        </w:rPr>
      </w:pPr>
      <w:bookmarkStart w:id="569" w:name="bookmark525"/>
      <w:bookmarkEnd w:id="569"/>
      <w:r>
        <w:rPr>
          <w:rFonts w:ascii="黑体" w:hAnsi="黑体" w:eastAsia="黑体" w:cs="黑体"/>
          <w:b/>
          <w:bCs/>
          <w:spacing w:val="-6"/>
          <w:sz w:val="28"/>
          <w:szCs w:val="28"/>
        </w:rPr>
        <w:t>附件</w:t>
      </w:r>
      <w:r>
        <w:rPr>
          <w:rFonts w:ascii="黑体" w:hAnsi="黑体" w:eastAsia="黑体" w:cs="黑体"/>
          <w:spacing w:val="-38"/>
          <w:sz w:val="28"/>
          <w:szCs w:val="28"/>
        </w:rPr>
        <w:t xml:space="preserve"> </w:t>
      </w:r>
      <w:r>
        <w:rPr>
          <w:rFonts w:ascii="黑体" w:hAnsi="黑体" w:eastAsia="黑体" w:cs="黑体"/>
          <w:b/>
          <w:bCs/>
          <w:spacing w:val="-6"/>
          <w:sz w:val="28"/>
          <w:szCs w:val="28"/>
        </w:rPr>
        <w:t>7：</w:t>
      </w:r>
    </w:p>
    <w:p w14:paraId="13D038AE">
      <w:pPr>
        <w:pStyle w:val="2"/>
        <w:spacing w:line="389" w:lineRule="auto"/>
      </w:pPr>
    </w:p>
    <w:p w14:paraId="63EF52AC">
      <w:pPr>
        <w:spacing w:before="91" w:line="222" w:lineRule="auto"/>
        <w:ind w:left="2482"/>
        <w:rPr>
          <w:rFonts w:ascii="黑体" w:hAnsi="黑体" w:eastAsia="黑体" w:cs="黑体"/>
          <w:sz w:val="28"/>
          <w:szCs w:val="28"/>
        </w:rPr>
      </w:pPr>
      <w:r>
        <w:rPr>
          <w:rFonts w:ascii="黑体" w:hAnsi="黑体" w:eastAsia="黑体" w:cs="黑体"/>
          <w:spacing w:val="3"/>
          <w:sz w:val="28"/>
          <w:szCs w:val="28"/>
        </w:rPr>
        <w:t>分包人主要施工管理人员表</w:t>
      </w:r>
    </w:p>
    <w:p w14:paraId="299931CF">
      <w:pPr>
        <w:spacing w:line="149" w:lineRule="exact"/>
      </w:pPr>
    </w:p>
    <w:tbl>
      <w:tblPr>
        <w:tblStyle w:val="5"/>
        <w:tblW w:w="8230"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64"/>
        <w:gridCol w:w="1197"/>
        <w:gridCol w:w="942"/>
        <w:gridCol w:w="958"/>
        <w:gridCol w:w="3569"/>
      </w:tblGrid>
      <w:tr w14:paraId="36A11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rPr>
        <w:tc>
          <w:tcPr>
            <w:tcW w:w="1564" w:type="dxa"/>
            <w:tcBorders>
              <w:top w:val="single" w:color="000000" w:sz="12" w:space="0"/>
              <w:left w:val="single" w:color="000000" w:sz="12" w:space="0"/>
            </w:tcBorders>
            <w:vAlign w:val="top"/>
          </w:tcPr>
          <w:p w14:paraId="569A61BE">
            <w:pPr>
              <w:pStyle w:val="6"/>
              <w:spacing w:before="239" w:line="222" w:lineRule="auto"/>
              <w:ind w:left="341"/>
              <w:rPr>
                <w:sz w:val="21"/>
                <w:szCs w:val="21"/>
              </w:rPr>
            </w:pPr>
            <w:r>
              <w:rPr>
                <w:spacing w:val="-6"/>
                <w:sz w:val="21"/>
                <w:szCs w:val="21"/>
              </w:rPr>
              <w:t>名</w:t>
            </w:r>
            <w:r>
              <w:rPr>
                <w:spacing w:val="2"/>
                <w:sz w:val="21"/>
                <w:szCs w:val="21"/>
              </w:rPr>
              <w:t xml:space="preserve">    </w:t>
            </w:r>
            <w:r>
              <w:rPr>
                <w:spacing w:val="-6"/>
                <w:sz w:val="21"/>
                <w:szCs w:val="21"/>
              </w:rPr>
              <w:t>称</w:t>
            </w:r>
          </w:p>
        </w:tc>
        <w:tc>
          <w:tcPr>
            <w:tcW w:w="1197" w:type="dxa"/>
            <w:tcBorders>
              <w:top w:val="single" w:color="000000" w:sz="12" w:space="0"/>
            </w:tcBorders>
            <w:vAlign w:val="top"/>
          </w:tcPr>
          <w:p w14:paraId="68F71101">
            <w:pPr>
              <w:pStyle w:val="6"/>
              <w:spacing w:before="239" w:line="220" w:lineRule="auto"/>
              <w:ind w:left="374"/>
              <w:rPr>
                <w:sz w:val="21"/>
                <w:szCs w:val="21"/>
              </w:rPr>
            </w:pPr>
            <w:r>
              <w:rPr>
                <w:spacing w:val="-2"/>
                <w:sz w:val="21"/>
                <w:szCs w:val="21"/>
              </w:rPr>
              <w:t>姓名</w:t>
            </w:r>
          </w:p>
        </w:tc>
        <w:tc>
          <w:tcPr>
            <w:tcW w:w="942" w:type="dxa"/>
            <w:tcBorders>
              <w:top w:val="single" w:color="000000" w:sz="12" w:space="0"/>
            </w:tcBorders>
            <w:vAlign w:val="top"/>
          </w:tcPr>
          <w:p w14:paraId="6214CA17">
            <w:pPr>
              <w:pStyle w:val="6"/>
              <w:spacing w:before="239" w:line="220" w:lineRule="auto"/>
              <w:ind w:left="244"/>
              <w:rPr>
                <w:sz w:val="21"/>
                <w:szCs w:val="21"/>
              </w:rPr>
            </w:pPr>
            <w:r>
              <w:rPr>
                <w:spacing w:val="-3"/>
                <w:sz w:val="21"/>
                <w:szCs w:val="21"/>
              </w:rPr>
              <w:t>职务</w:t>
            </w:r>
          </w:p>
        </w:tc>
        <w:tc>
          <w:tcPr>
            <w:tcW w:w="958" w:type="dxa"/>
            <w:tcBorders>
              <w:top w:val="single" w:color="000000" w:sz="12" w:space="0"/>
            </w:tcBorders>
            <w:vAlign w:val="top"/>
          </w:tcPr>
          <w:p w14:paraId="61E75C14">
            <w:pPr>
              <w:pStyle w:val="6"/>
              <w:spacing w:before="239" w:line="222" w:lineRule="auto"/>
              <w:ind w:left="263"/>
              <w:rPr>
                <w:sz w:val="21"/>
                <w:szCs w:val="21"/>
              </w:rPr>
            </w:pPr>
            <w:r>
              <w:rPr>
                <w:spacing w:val="-3"/>
                <w:sz w:val="21"/>
                <w:szCs w:val="21"/>
              </w:rPr>
              <w:t>职称</w:t>
            </w:r>
          </w:p>
        </w:tc>
        <w:tc>
          <w:tcPr>
            <w:tcW w:w="3569" w:type="dxa"/>
            <w:tcBorders>
              <w:top w:val="single" w:color="000000" w:sz="12" w:space="0"/>
              <w:right w:val="single" w:color="000000" w:sz="12" w:space="0"/>
            </w:tcBorders>
            <w:vAlign w:val="top"/>
          </w:tcPr>
          <w:p w14:paraId="612247D8">
            <w:pPr>
              <w:pStyle w:val="6"/>
              <w:spacing w:before="239" w:line="220" w:lineRule="auto"/>
              <w:ind w:left="312"/>
              <w:rPr>
                <w:sz w:val="21"/>
                <w:szCs w:val="21"/>
              </w:rPr>
            </w:pPr>
            <w:r>
              <w:rPr>
                <w:spacing w:val="-1"/>
                <w:sz w:val="21"/>
                <w:szCs w:val="21"/>
              </w:rPr>
              <w:t>主要资历、经验及承担过的项目</w:t>
            </w:r>
          </w:p>
        </w:tc>
      </w:tr>
      <w:tr w14:paraId="0266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8230" w:type="dxa"/>
            <w:gridSpan w:val="5"/>
            <w:tcBorders>
              <w:left w:val="single" w:color="000000" w:sz="12" w:space="0"/>
              <w:right w:val="single" w:color="000000" w:sz="12" w:space="0"/>
            </w:tcBorders>
            <w:vAlign w:val="top"/>
          </w:tcPr>
          <w:p w14:paraId="171975B1">
            <w:pPr>
              <w:pStyle w:val="6"/>
              <w:spacing w:before="262" w:line="220" w:lineRule="auto"/>
              <w:ind w:left="3466"/>
              <w:rPr>
                <w:sz w:val="21"/>
                <w:szCs w:val="21"/>
              </w:rPr>
            </w:pPr>
            <w:r>
              <w:rPr>
                <w:spacing w:val="-6"/>
                <w:sz w:val="21"/>
                <w:szCs w:val="21"/>
              </w:rPr>
              <w:t>一、总部人员</w:t>
            </w:r>
          </w:p>
        </w:tc>
      </w:tr>
      <w:tr w14:paraId="34B2C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tcBorders>
              <w:left w:val="single" w:color="000000" w:sz="12" w:space="0"/>
            </w:tcBorders>
            <w:vAlign w:val="top"/>
          </w:tcPr>
          <w:p w14:paraId="2618FD6E">
            <w:pPr>
              <w:pStyle w:val="6"/>
              <w:spacing w:before="261" w:line="220" w:lineRule="auto"/>
              <w:ind w:left="342"/>
              <w:rPr>
                <w:sz w:val="21"/>
                <w:szCs w:val="21"/>
              </w:rPr>
            </w:pPr>
            <w:r>
              <w:rPr>
                <w:spacing w:val="-2"/>
                <w:sz w:val="21"/>
                <w:szCs w:val="21"/>
              </w:rPr>
              <w:t>项目主管</w:t>
            </w:r>
          </w:p>
        </w:tc>
        <w:tc>
          <w:tcPr>
            <w:tcW w:w="1197" w:type="dxa"/>
            <w:vAlign w:val="top"/>
          </w:tcPr>
          <w:p w14:paraId="2D369EE7">
            <w:pPr>
              <w:rPr>
                <w:rFonts w:ascii="Arial"/>
                <w:sz w:val="21"/>
              </w:rPr>
            </w:pPr>
          </w:p>
        </w:tc>
        <w:tc>
          <w:tcPr>
            <w:tcW w:w="942" w:type="dxa"/>
            <w:vAlign w:val="top"/>
          </w:tcPr>
          <w:p w14:paraId="346B9A1E">
            <w:pPr>
              <w:rPr>
                <w:rFonts w:ascii="Arial"/>
                <w:sz w:val="21"/>
              </w:rPr>
            </w:pPr>
          </w:p>
        </w:tc>
        <w:tc>
          <w:tcPr>
            <w:tcW w:w="958" w:type="dxa"/>
            <w:vAlign w:val="top"/>
          </w:tcPr>
          <w:p w14:paraId="7B358508">
            <w:pPr>
              <w:rPr>
                <w:rFonts w:ascii="Arial"/>
                <w:sz w:val="21"/>
              </w:rPr>
            </w:pPr>
          </w:p>
        </w:tc>
        <w:tc>
          <w:tcPr>
            <w:tcW w:w="3569" w:type="dxa"/>
            <w:tcBorders>
              <w:right w:val="single" w:color="000000" w:sz="12" w:space="0"/>
            </w:tcBorders>
            <w:vAlign w:val="top"/>
          </w:tcPr>
          <w:p w14:paraId="1C79EECB">
            <w:pPr>
              <w:rPr>
                <w:rFonts w:ascii="Arial"/>
                <w:sz w:val="21"/>
              </w:rPr>
            </w:pPr>
          </w:p>
        </w:tc>
      </w:tr>
      <w:tr w14:paraId="10A60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564" w:type="dxa"/>
            <w:vMerge w:val="restart"/>
            <w:tcBorders>
              <w:left w:val="single" w:color="000000" w:sz="12" w:space="0"/>
              <w:bottom w:val="nil"/>
            </w:tcBorders>
            <w:vAlign w:val="top"/>
          </w:tcPr>
          <w:p w14:paraId="79AE6BEC">
            <w:pPr>
              <w:spacing w:line="258" w:lineRule="auto"/>
              <w:rPr>
                <w:rFonts w:ascii="Arial"/>
                <w:sz w:val="21"/>
              </w:rPr>
            </w:pPr>
          </w:p>
          <w:p w14:paraId="6A05F74D">
            <w:pPr>
              <w:spacing w:line="258" w:lineRule="auto"/>
              <w:rPr>
                <w:rFonts w:ascii="Arial"/>
                <w:sz w:val="21"/>
              </w:rPr>
            </w:pPr>
          </w:p>
          <w:p w14:paraId="1E21EC83">
            <w:pPr>
              <w:spacing w:line="259" w:lineRule="auto"/>
              <w:rPr>
                <w:rFonts w:ascii="Arial"/>
                <w:sz w:val="21"/>
              </w:rPr>
            </w:pPr>
          </w:p>
          <w:p w14:paraId="70D57F6E">
            <w:pPr>
              <w:pStyle w:val="6"/>
              <w:spacing w:before="68" w:line="220" w:lineRule="auto"/>
              <w:ind w:left="339"/>
              <w:rPr>
                <w:sz w:val="21"/>
                <w:szCs w:val="21"/>
              </w:rPr>
            </w:pPr>
            <w:r>
              <w:rPr>
                <w:spacing w:val="-2"/>
                <w:sz w:val="21"/>
                <w:szCs w:val="21"/>
              </w:rPr>
              <w:t>其他人员</w:t>
            </w:r>
          </w:p>
        </w:tc>
        <w:tc>
          <w:tcPr>
            <w:tcW w:w="1197" w:type="dxa"/>
            <w:vAlign w:val="top"/>
          </w:tcPr>
          <w:p w14:paraId="0A467953">
            <w:pPr>
              <w:rPr>
                <w:rFonts w:ascii="Arial"/>
                <w:sz w:val="21"/>
              </w:rPr>
            </w:pPr>
          </w:p>
        </w:tc>
        <w:tc>
          <w:tcPr>
            <w:tcW w:w="942" w:type="dxa"/>
            <w:vAlign w:val="top"/>
          </w:tcPr>
          <w:p w14:paraId="184E1AEF">
            <w:pPr>
              <w:rPr>
                <w:rFonts w:ascii="Arial"/>
                <w:sz w:val="21"/>
              </w:rPr>
            </w:pPr>
          </w:p>
        </w:tc>
        <w:tc>
          <w:tcPr>
            <w:tcW w:w="958" w:type="dxa"/>
            <w:vAlign w:val="top"/>
          </w:tcPr>
          <w:p w14:paraId="3F12E04E">
            <w:pPr>
              <w:rPr>
                <w:rFonts w:ascii="Arial"/>
                <w:sz w:val="21"/>
              </w:rPr>
            </w:pPr>
          </w:p>
        </w:tc>
        <w:tc>
          <w:tcPr>
            <w:tcW w:w="3569" w:type="dxa"/>
            <w:tcBorders>
              <w:right w:val="single" w:color="000000" w:sz="12" w:space="0"/>
            </w:tcBorders>
            <w:vAlign w:val="top"/>
          </w:tcPr>
          <w:p w14:paraId="46E42F6B">
            <w:pPr>
              <w:rPr>
                <w:rFonts w:ascii="Arial"/>
                <w:sz w:val="21"/>
              </w:rPr>
            </w:pPr>
          </w:p>
        </w:tc>
      </w:tr>
      <w:tr w14:paraId="6B060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vMerge w:val="continue"/>
            <w:tcBorders>
              <w:top w:val="nil"/>
              <w:left w:val="single" w:color="000000" w:sz="12" w:space="0"/>
              <w:bottom w:val="nil"/>
            </w:tcBorders>
            <w:vAlign w:val="top"/>
          </w:tcPr>
          <w:p w14:paraId="4E60DEA8">
            <w:pPr>
              <w:rPr>
                <w:rFonts w:ascii="Arial"/>
                <w:sz w:val="21"/>
              </w:rPr>
            </w:pPr>
          </w:p>
        </w:tc>
        <w:tc>
          <w:tcPr>
            <w:tcW w:w="1197" w:type="dxa"/>
            <w:vAlign w:val="top"/>
          </w:tcPr>
          <w:p w14:paraId="426D5226">
            <w:pPr>
              <w:rPr>
                <w:rFonts w:ascii="Arial"/>
                <w:sz w:val="21"/>
              </w:rPr>
            </w:pPr>
          </w:p>
        </w:tc>
        <w:tc>
          <w:tcPr>
            <w:tcW w:w="942" w:type="dxa"/>
            <w:vAlign w:val="top"/>
          </w:tcPr>
          <w:p w14:paraId="2E57D6CF">
            <w:pPr>
              <w:rPr>
                <w:rFonts w:ascii="Arial"/>
                <w:sz w:val="21"/>
              </w:rPr>
            </w:pPr>
          </w:p>
        </w:tc>
        <w:tc>
          <w:tcPr>
            <w:tcW w:w="958" w:type="dxa"/>
            <w:vAlign w:val="top"/>
          </w:tcPr>
          <w:p w14:paraId="7A063A4D">
            <w:pPr>
              <w:rPr>
                <w:rFonts w:ascii="Arial"/>
                <w:sz w:val="21"/>
              </w:rPr>
            </w:pPr>
          </w:p>
        </w:tc>
        <w:tc>
          <w:tcPr>
            <w:tcW w:w="3569" w:type="dxa"/>
            <w:tcBorders>
              <w:right w:val="single" w:color="000000" w:sz="12" w:space="0"/>
            </w:tcBorders>
            <w:vAlign w:val="top"/>
          </w:tcPr>
          <w:p w14:paraId="15AD3B80">
            <w:pPr>
              <w:rPr>
                <w:rFonts w:ascii="Arial"/>
                <w:sz w:val="21"/>
              </w:rPr>
            </w:pPr>
          </w:p>
        </w:tc>
      </w:tr>
      <w:tr w14:paraId="6A6DE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vMerge w:val="continue"/>
            <w:tcBorders>
              <w:top w:val="nil"/>
              <w:left w:val="single" w:color="000000" w:sz="12" w:space="0"/>
            </w:tcBorders>
            <w:vAlign w:val="top"/>
          </w:tcPr>
          <w:p w14:paraId="656BA42D">
            <w:pPr>
              <w:rPr>
                <w:rFonts w:ascii="Arial"/>
                <w:sz w:val="21"/>
              </w:rPr>
            </w:pPr>
          </w:p>
        </w:tc>
        <w:tc>
          <w:tcPr>
            <w:tcW w:w="1197" w:type="dxa"/>
            <w:vAlign w:val="top"/>
          </w:tcPr>
          <w:p w14:paraId="20A61A5C">
            <w:pPr>
              <w:rPr>
                <w:rFonts w:ascii="Arial"/>
                <w:sz w:val="21"/>
              </w:rPr>
            </w:pPr>
          </w:p>
        </w:tc>
        <w:tc>
          <w:tcPr>
            <w:tcW w:w="942" w:type="dxa"/>
            <w:vAlign w:val="top"/>
          </w:tcPr>
          <w:p w14:paraId="4DCE369C">
            <w:pPr>
              <w:rPr>
                <w:rFonts w:ascii="Arial"/>
                <w:sz w:val="21"/>
              </w:rPr>
            </w:pPr>
          </w:p>
        </w:tc>
        <w:tc>
          <w:tcPr>
            <w:tcW w:w="958" w:type="dxa"/>
            <w:vAlign w:val="top"/>
          </w:tcPr>
          <w:p w14:paraId="09F7B9A6">
            <w:pPr>
              <w:rPr>
                <w:rFonts w:ascii="Arial"/>
                <w:sz w:val="21"/>
              </w:rPr>
            </w:pPr>
          </w:p>
        </w:tc>
        <w:tc>
          <w:tcPr>
            <w:tcW w:w="3569" w:type="dxa"/>
            <w:tcBorders>
              <w:right w:val="single" w:color="000000" w:sz="12" w:space="0"/>
            </w:tcBorders>
            <w:vAlign w:val="top"/>
          </w:tcPr>
          <w:p w14:paraId="7776D605">
            <w:pPr>
              <w:rPr>
                <w:rFonts w:ascii="Arial"/>
                <w:sz w:val="21"/>
              </w:rPr>
            </w:pPr>
          </w:p>
        </w:tc>
      </w:tr>
      <w:tr w14:paraId="2D9D4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8230" w:type="dxa"/>
            <w:gridSpan w:val="5"/>
            <w:tcBorders>
              <w:left w:val="single" w:color="000000" w:sz="12" w:space="0"/>
              <w:right w:val="single" w:color="000000" w:sz="12" w:space="0"/>
            </w:tcBorders>
            <w:vAlign w:val="top"/>
          </w:tcPr>
          <w:p w14:paraId="7A0D7AD4">
            <w:pPr>
              <w:pStyle w:val="6"/>
              <w:spacing w:before="263" w:line="220" w:lineRule="auto"/>
              <w:ind w:left="3466"/>
              <w:rPr>
                <w:sz w:val="21"/>
                <w:szCs w:val="21"/>
              </w:rPr>
            </w:pPr>
            <w:r>
              <w:rPr>
                <w:spacing w:val="-2"/>
                <w:sz w:val="21"/>
                <w:szCs w:val="21"/>
              </w:rPr>
              <w:t>二、现场人员</w:t>
            </w:r>
          </w:p>
        </w:tc>
      </w:tr>
      <w:tr w14:paraId="160F9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tcBorders>
              <w:left w:val="single" w:color="000000" w:sz="12" w:space="0"/>
            </w:tcBorders>
            <w:vAlign w:val="top"/>
          </w:tcPr>
          <w:p w14:paraId="56C0FBBB">
            <w:pPr>
              <w:pStyle w:val="6"/>
              <w:spacing w:before="262" w:line="220" w:lineRule="auto"/>
              <w:ind w:left="342"/>
              <w:rPr>
                <w:sz w:val="21"/>
                <w:szCs w:val="21"/>
              </w:rPr>
            </w:pPr>
            <w:r>
              <w:rPr>
                <w:spacing w:val="-2"/>
                <w:sz w:val="21"/>
                <w:szCs w:val="21"/>
              </w:rPr>
              <w:t>项目经理</w:t>
            </w:r>
          </w:p>
        </w:tc>
        <w:tc>
          <w:tcPr>
            <w:tcW w:w="1197" w:type="dxa"/>
            <w:vAlign w:val="top"/>
          </w:tcPr>
          <w:p w14:paraId="00F17D83">
            <w:pPr>
              <w:rPr>
                <w:rFonts w:ascii="Arial"/>
                <w:sz w:val="21"/>
              </w:rPr>
            </w:pPr>
          </w:p>
        </w:tc>
        <w:tc>
          <w:tcPr>
            <w:tcW w:w="942" w:type="dxa"/>
            <w:vAlign w:val="top"/>
          </w:tcPr>
          <w:p w14:paraId="763BE747">
            <w:pPr>
              <w:rPr>
                <w:rFonts w:ascii="Arial"/>
                <w:sz w:val="21"/>
              </w:rPr>
            </w:pPr>
          </w:p>
        </w:tc>
        <w:tc>
          <w:tcPr>
            <w:tcW w:w="958" w:type="dxa"/>
            <w:vAlign w:val="top"/>
          </w:tcPr>
          <w:p w14:paraId="38D1A35E">
            <w:pPr>
              <w:rPr>
                <w:rFonts w:ascii="Arial"/>
                <w:sz w:val="21"/>
              </w:rPr>
            </w:pPr>
          </w:p>
        </w:tc>
        <w:tc>
          <w:tcPr>
            <w:tcW w:w="3569" w:type="dxa"/>
            <w:tcBorders>
              <w:right w:val="single" w:color="000000" w:sz="12" w:space="0"/>
            </w:tcBorders>
            <w:vAlign w:val="top"/>
          </w:tcPr>
          <w:p w14:paraId="1BCD6B18">
            <w:pPr>
              <w:rPr>
                <w:rFonts w:ascii="Arial"/>
                <w:sz w:val="21"/>
              </w:rPr>
            </w:pPr>
          </w:p>
        </w:tc>
      </w:tr>
      <w:tr w14:paraId="4F698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tcBorders>
              <w:left w:val="single" w:color="000000" w:sz="12" w:space="0"/>
            </w:tcBorders>
            <w:vAlign w:val="top"/>
          </w:tcPr>
          <w:p w14:paraId="582E0A52">
            <w:pPr>
              <w:pStyle w:val="6"/>
              <w:spacing w:before="262" w:line="220" w:lineRule="auto"/>
              <w:ind w:left="236"/>
              <w:rPr>
                <w:sz w:val="21"/>
                <w:szCs w:val="21"/>
              </w:rPr>
            </w:pPr>
            <w:r>
              <w:rPr>
                <w:spacing w:val="-2"/>
                <w:sz w:val="21"/>
                <w:szCs w:val="21"/>
              </w:rPr>
              <w:t>项目副经理</w:t>
            </w:r>
          </w:p>
        </w:tc>
        <w:tc>
          <w:tcPr>
            <w:tcW w:w="1197" w:type="dxa"/>
            <w:vAlign w:val="top"/>
          </w:tcPr>
          <w:p w14:paraId="29EB75A3">
            <w:pPr>
              <w:rPr>
                <w:rFonts w:ascii="Arial"/>
                <w:sz w:val="21"/>
              </w:rPr>
            </w:pPr>
          </w:p>
        </w:tc>
        <w:tc>
          <w:tcPr>
            <w:tcW w:w="942" w:type="dxa"/>
            <w:vAlign w:val="top"/>
          </w:tcPr>
          <w:p w14:paraId="54A25D77">
            <w:pPr>
              <w:rPr>
                <w:rFonts w:ascii="Arial"/>
                <w:sz w:val="21"/>
              </w:rPr>
            </w:pPr>
          </w:p>
        </w:tc>
        <w:tc>
          <w:tcPr>
            <w:tcW w:w="958" w:type="dxa"/>
            <w:vAlign w:val="top"/>
          </w:tcPr>
          <w:p w14:paraId="7A4CBFDA">
            <w:pPr>
              <w:rPr>
                <w:rFonts w:ascii="Arial"/>
                <w:sz w:val="21"/>
              </w:rPr>
            </w:pPr>
          </w:p>
        </w:tc>
        <w:tc>
          <w:tcPr>
            <w:tcW w:w="3569" w:type="dxa"/>
            <w:tcBorders>
              <w:right w:val="single" w:color="000000" w:sz="12" w:space="0"/>
            </w:tcBorders>
            <w:vAlign w:val="top"/>
          </w:tcPr>
          <w:p w14:paraId="0AF6FA92">
            <w:pPr>
              <w:rPr>
                <w:rFonts w:ascii="Arial"/>
                <w:sz w:val="21"/>
              </w:rPr>
            </w:pPr>
          </w:p>
        </w:tc>
      </w:tr>
      <w:tr w14:paraId="28EF6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564" w:type="dxa"/>
            <w:tcBorders>
              <w:left w:val="single" w:color="000000" w:sz="12" w:space="0"/>
            </w:tcBorders>
            <w:vAlign w:val="top"/>
          </w:tcPr>
          <w:p w14:paraId="3BB5DAE9">
            <w:pPr>
              <w:pStyle w:val="6"/>
              <w:spacing w:before="263" w:line="220" w:lineRule="auto"/>
              <w:ind w:left="233"/>
              <w:rPr>
                <w:sz w:val="21"/>
                <w:szCs w:val="21"/>
              </w:rPr>
            </w:pPr>
            <w:r>
              <w:rPr>
                <w:spacing w:val="-2"/>
                <w:sz w:val="21"/>
                <w:szCs w:val="21"/>
              </w:rPr>
              <w:t>技术负责人</w:t>
            </w:r>
          </w:p>
        </w:tc>
        <w:tc>
          <w:tcPr>
            <w:tcW w:w="1197" w:type="dxa"/>
            <w:vAlign w:val="top"/>
          </w:tcPr>
          <w:p w14:paraId="340ABD95">
            <w:pPr>
              <w:rPr>
                <w:rFonts w:ascii="Arial"/>
                <w:sz w:val="21"/>
              </w:rPr>
            </w:pPr>
          </w:p>
        </w:tc>
        <w:tc>
          <w:tcPr>
            <w:tcW w:w="942" w:type="dxa"/>
            <w:vAlign w:val="top"/>
          </w:tcPr>
          <w:p w14:paraId="5E813874">
            <w:pPr>
              <w:rPr>
                <w:rFonts w:ascii="Arial"/>
                <w:sz w:val="21"/>
              </w:rPr>
            </w:pPr>
          </w:p>
        </w:tc>
        <w:tc>
          <w:tcPr>
            <w:tcW w:w="958" w:type="dxa"/>
            <w:vAlign w:val="top"/>
          </w:tcPr>
          <w:p w14:paraId="0CE7BF04">
            <w:pPr>
              <w:rPr>
                <w:rFonts w:ascii="Arial"/>
                <w:sz w:val="21"/>
              </w:rPr>
            </w:pPr>
          </w:p>
        </w:tc>
        <w:tc>
          <w:tcPr>
            <w:tcW w:w="3569" w:type="dxa"/>
            <w:tcBorders>
              <w:right w:val="single" w:color="000000" w:sz="12" w:space="0"/>
            </w:tcBorders>
            <w:vAlign w:val="top"/>
          </w:tcPr>
          <w:p w14:paraId="1BF7CA8B">
            <w:pPr>
              <w:rPr>
                <w:rFonts w:ascii="Arial"/>
                <w:sz w:val="21"/>
              </w:rPr>
            </w:pPr>
          </w:p>
        </w:tc>
      </w:tr>
      <w:tr w14:paraId="7F622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564" w:type="dxa"/>
            <w:tcBorders>
              <w:left w:val="single" w:color="000000" w:sz="12" w:space="0"/>
            </w:tcBorders>
            <w:vAlign w:val="top"/>
          </w:tcPr>
          <w:p w14:paraId="5145B4E2">
            <w:pPr>
              <w:pStyle w:val="6"/>
              <w:spacing w:before="278" w:line="218" w:lineRule="auto"/>
              <w:ind w:left="337"/>
              <w:rPr>
                <w:sz w:val="21"/>
                <w:szCs w:val="21"/>
              </w:rPr>
            </w:pPr>
            <w:r>
              <w:rPr>
                <w:spacing w:val="-2"/>
                <w:sz w:val="21"/>
                <w:szCs w:val="21"/>
              </w:rPr>
              <w:t>造价管理</w:t>
            </w:r>
          </w:p>
        </w:tc>
        <w:tc>
          <w:tcPr>
            <w:tcW w:w="1197" w:type="dxa"/>
            <w:vAlign w:val="top"/>
          </w:tcPr>
          <w:p w14:paraId="18DBEFBE">
            <w:pPr>
              <w:rPr>
                <w:rFonts w:ascii="Arial"/>
                <w:sz w:val="21"/>
              </w:rPr>
            </w:pPr>
          </w:p>
        </w:tc>
        <w:tc>
          <w:tcPr>
            <w:tcW w:w="942" w:type="dxa"/>
            <w:vAlign w:val="top"/>
          </w:tcPr>
          <w:p w14:paraId="15B3EB24">
            <w:pPr>
              <w:rPr>
                <w:rFonts w:ascii="Arial"/>
                <w:sz w:val="21"/>
              </w:rPr>
            </w:pPr>
          </w:p>
        </w:tc>
        <w:tc>
          <w:tcPr>
            <w:tcW w:w="958" w:type="dxa"/>
            <w:vAlign w:val="top"/>
          </w:tcPr>
          <w:p w14:paraId="74DAB84D">
            <w:pPr>
              <w:rPr>
                <w:rFonts w:ascii="Arial"/>
                <w:sz w:val="21"/>
              </w:rPr>
            </w:pPr>
          </w:p>
        </w:tc>
        <w:tc>
          <w:tcPr>
            <w:tcW w:w="3569" w:type="dxa"/>
            <w:tcBorders>
              <w:right w:val="single" w:color="000000" w:sz="12" w:space="0"/>
            </w:tcBorders>
            <w:vAlign w:val="top"/>
          </w:tcPr>
          <w:p w14:paraId="45DC7F13">
            <w:pPr>
              <w:rPr>
                <w:rFonts w:ascii="Arial"/>
                <w:sz w:val="21"/>
              </w:rPr>
            </w:pPr>
          </w:p>
        </w:tc>
      </w:tr>
      <w:tr w14:paraId="3583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tcBorders>
              <w:left w:val="single" w:color="000000" w:sz="12" w:space="0"/>
            </w:tcBorders>
            <w:vAlign w:val="top"/>
          </w:tcPr>
          <w:p w14:paraId="7FA4AC6D">
            <w:pPr>
              <w:pStyle w:val="6"/>
              <w:spacing w:before="277" w:line="220" w:lineRule="auto"/>
              <w:ind w:left="339"/>
              <w:rPr>
                <w:sz w:val="21"/>
                <w:szCs w:val="21"/>
              </w:rPr>
            </w:pPr>
            <w:r>
              <w:rPr>
                <w:spacing w:val="-2"/>
                <w:sz w:val="21"/>
                <w:szCs w:val="21"/>
              </w:rPr>
              <w:t>质量管理</w:t>
            </w:r>
          </w:p>
        </w:tc>
        <w:tc>
          <w:tcPr>
            <w:tcW w:w="1197" w:type="dxa"/>
            <w:vAlign w:val="top"/>
          </w:tcPr>
          <w:p w14:paraId="37D7C0CE">
            <w:pPr>
              <w:rPr>
                <w:rFonts w:ascii="Arial"/>
                <w:sz w:val="21"/>
              </w:rPr>
            </w:pPr>
          </w:p>
        </w:tc>
        <w:tc>
          <w:tcPr>
            <w:tcW w:w="942" w:type="dxa"/>
            <w:vAlign w:val="top"/>
          </w:tcPr>
          <w:p w14:paraId="10AE1536">
            <w:pPr>
              <w:rPr>
                <w:rFonts w:ascii="Arial"/>
                <w:sz w:val="21"/>
              </w:rPr>
            </w:pPr>
          </w:p>
        </w:tc>
        <w:tc>
          <w:tcPr>
            <w:tcW w:w="958" w:type="dxa"/>
            <w:vAlign w:val="top"/>
          </w:tcPr>
          <w:p w14:paraId="3339B9B2">
            <w:pPr>
              <w:rPr>
                <w:rFonts w:ascii="Arial"/>
                <w:sz w:val="21"/>
              </w:rPr>
            </w:pPr>
          </w:p>
        </w:tc>
        <w:tc>
          <w:tcPr>
            <w:tcW w:w="3569" w:type="dxa"/>
            <w:tcBorders>
              <w:right w:val="single" w:color="000000" w:sz="12" w:space="0"/>
            </w:tcBorders>
            <w:vAlign w:val="top"/>
          </w:tcPr>
          <w:p w14:paraId="3FF91F77">
            <w:pPr>
              <w:rPr>
                <w:rFonts w:ascii="Arial"/>
                <w:sz w:val="21"/>
              </w:rPr>
            </w:pPr>
          </w:p>
        </w:tc>
      </w:tr>
      <w:tr w14:paraId="2B1D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564" w:type="dxa"/>
            <w:tcBorders>
              <w:left w:val="single" w:color="000000" w:sz="12" w:space="0"/>
            </w:tcBorders>
            <w:vAlign w:val="top"/>
          </w:tcPr>
          <w:p w14:paraId="34E4CCBC">
            <w:pPr>
              <w:pStyle w:val="6"/>
              <w:spacing w:before="277" w:line="219" w:lineRule="auto"/>
              <w:ind w:left="338"/>
              <w:rPr>
                <w:sz w:val="21"/>
                <w:szCs w:val="21"/>
              </w:rPr>
            </w:pPr>
            <w:r>
              <w:rPr>
                <w:spacing w:val="-2"/>
                <w:sz w:val="21"/>
                <w:szCs w:val="21"/>
              </w:rPr>
              <w:t>材料管理</w:t>
            </w:r>
          </w:p>
        </w:tc>
        <w:tc>
          <w:tcPr>
            <w:tcW w:w="1197" w:type="dxa"/>
            <w:vAlign w:val="top"/>
          </w:tcPr>
          <w:p w14:paraId="538685AE">
            <w:pPr>
              <w:rPr>
                <w:rFonts w:ascii="Arial"/>
                <w:sz w:val="21"/>
              </w:rPr>
            </w:pPr>
          </w:p>
        </w:tc>
        <w:tc>
          <w:tcPr>
            <w:tcW w:w="942" w:type="dxa"/>
            <w:vAlign w:val="top"/>
          </w:tcPr>
          <w:p w14:paraId="51E01BF7">
            <w:pPr>
              <w:rPr>
                <w:rFonts w:ascii="Arial"/>
                <w:sz w:val="21"/>
              </w:rPr>
            </w:pPr>
          </w:p>
        </w:tc>
        <w:tc>
          <w:tcPr>
            <w:tcW w:w="958" w:type="dxa"/>
            <w:vAlign w:val="top"/>
          </w:tcPr>
          <w:p w14:paraId="3152141D">
            <w:pPr>
              <w:rPr>
                <w:rFonts w:ascii="Arial"/>
                <w:sz w:val="21"/>
              </w:rPr>
            </w:pPr>
          </w:p>
        </w:tc>
        <w:tc>
          <w:tcPr>
            <w:tcW w:w="3569" w:type="dxa"/>
            <w:tcBorders>
              <w:right w:val="single" w:color="000000" w:sz="12" w:space="0"/>
            </w:tcBorders>
            <w:vAlign w:val="top"/>
          </w:tcPr>
          <w:p w14:paraId="26DE2AA5">
            <w:pPr>
              <w:rPr>
                <w:rFonts w:ascii="Arial"/>
                <w:sz w:val="21"/>
              </w:rPr>
            </w:pPr>
          </w:p>
        </w:tc>
      </w:tr>
      <w:tr w14:paraId="3F358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564" w:type="dxa"/>
            <w:tcBorders>
              <w:left w:val="single" w:color="000000" w:sz="12" w:space="0"/>
            </w:tcBorders>
            <w:vAlign w:val="top"/>
          </w:tcPr>
          <w:p w14:paraId="00AA8DB3">
            <w:pPr>
              <w:pStyle w:val="6"/>
              <w:spacing w:before="277" w:line="220" w:lineRule="auto"/>
              <w:ind w:left="338"/>
              <w:rPr>
                <w:sz w:val="21"/>
                <w:szCs w:val="21"/>
              </w:rPr>
            </w:pPr>
            <w:r>
              <w:rPr>
                <w:spacing w:val="-2"/>
                <w:sz w:val="21"/>
                <w:szCs w:val="21"/>
              </w:rPr>
              <w:t>计划管理</w:t>
            </w:r>
          </w:p>
        </w:tc>
        <w:tc>
          <w:tcPr>
            <w:tcW w:w="1197" w:type="dxa"/>
            <w:vAlign w:val="top"/>
          </w:tcPr>
          <w:p w14:paraId="5C98E41A">
            <w:pPr>
              <w:rPr>
                <w:rFonts w:ascii="Arial"/>
                <w:sz w:val="21"/>
              </w:rPr>
            </w:pPr>
          </w:p>
        </w:tc>
        <w:tc>
          <w:tcPr>
            <w:tcW w:w="942" w:type="dxa"/>
            <w:vAlign w:val="top"/>
          </w:tcPr>
          <w:p w14:paraId="22DB73B4">
            <w:pPr>
              <w:rPr>
                <w:rFonts w:ascii="Arial"/>
                <w:sz w:val="21"/>
              </w:rPr>
            </w:pPr>
          </w:p>
        </w:tc>
        <w:tc>
          <w:tcPr>
            <w:tcW w:w="958" w:type="dxa"/>
            <w:vAlign w:val="top"/>
          </w:tcPr>
          <w:p w14:paraId="7257B2FE">
            <w:pPr>
              <w:rPr>
                <w:rFonts w:ascii="Arial"/>
                <w:sz w:val="21"/>
              </w:rPr>
            </w:pPr>
          </w:p>
        </w:tc>
        <w:tc>
          <w:tcPr>
            <w:tcW w:w="3569" w:type="dxa"/>
            <w:tcBorders>
              <w:right w:val="single" w:color="000000" w:sz="12" w:space="0"/>
            </w:tcBorders>
            <w:vAlign w:val="top"/>
          </w:tcPr>
          <w:p w14:paraId="71E649ED">
            <w:pPr>
              <w:rPr>
                <w:rFonts w:ascii="Arial"/>
                <w:sz w:val="21"/>
              </w:rPr>
            </w:pPr>
          </w:p>
        </w:tc>
      </w:tr>
      <w:tr w14:paraId="7F328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564" w:type="dxa"/>
            <w:tcBorders>
              <w:left w:val="single" w:color="000000" w:sz="12" w:space="0"/>
            </w:tcBorders>
            <w:vAlign w:val="top"/>
          </w:tcPr>
          <w:p w14:paraId="31048F05">
            <w:pPr>
              <w:pStyle w:val="6"/>
              <w:spacing w:before="261" w:line="220" w:lineRule="auto"/>
              <w:ind w:left="342"/>
              <w:rPr>
                <w:sz w:val="21"/>
                <w:szCs w:val="21"/>
              </w:rPr>
            </w:pPr>
            <w:r>
              <w:rPr>
                <w:spacing w:val="-3"/>
                <w:sz w:val="21"/>
                <w:szCs w:val="21"/>
              </w:rPr>
              <w:t>安全管理</w:t>
            </w:r>
          </w:p>
        </w:tc>
        <w:tc>
          <w:tcPr>
            <w:tcW w:w="1197" w:type="dxa"/>
            <w:vAlign w:val="top"/>
          </w:tcPr>
          <w:p w14:paraId="36D9E6DB">
            <w:pPr>
              <w:rPr>
                <w:rFonts w:ascii="Arial"/>
                <w:sz w:val="21"/>
              </w:rPr>
            </w:pPr>
          </w:p>
        </w:tc>
        <w:tc>
          <w:tcPr>
            <w:tcW w:w="942" w:type="dxa"/>
            <w:vAlign w:val="top"/>
          </w:tcPr>
          <w:p w14:paraId="5AF81BE8">
            <w:pPr>
              <w:rPr>
                <w:rFonts w:ascii="Arial"/>
                <w:sz w:val="21"/>
              </w:rPr>
            </w:pPr>
          </w:p>
        </w:tc>
        <w:tc>
          <w:tcPr>
            <w:tcW w:w="958" w:type="dxa"/>
            <w:vAlign w:val="top"/>
          </w:tcPr>
          <w:p w14:paraId="5A8F1858">
            <w:pPr>
              <w:rPr>
                <w:rFonts w:ascii="Arial"/>
                <w:sz w:val="21"/>
              </w:rPr>
            </w:pPr>
          </w:p>
        </w:tc>
        <w:tc>
          <w:tcPr>
            <w:tcW w:w="3569" w:type="dxa"/>
            <w:tcBorders>
              <w:right w:val="single" w:color="000000" w:sz="12" w:space="0"/>
            </w:tcBorders>
            <w:vAlign w:val="top"/>
          </w:tcPr>
          <w:p w14:paraId="7CC164B0">
            <w:pPr>
              <w:rPr>
                <w:rFonts w:ascii="Arial"/>
                <w:sz w:val="21"/>
              </w:rPr>
            </w:pPr>
          </w:p>
        </w:tc>
      </w:tr>
      <w:tr w14:paraId="500E0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1564" w:type="dxa"/>
            <w:vMerge w:val="restart"/>
            <w:tcBorders>
              <w:left w:val="single" w:color="000000" w:sz="12" w:space="0"/>
              <w:bottom w:val="nil"/>
            </w:tcBorders>
            <w:vAlign w:val="top"/>
          </w:tcPr>
          <w:p w14:paraId="18BD17C8">
            <w:pPr>
              <w:spacing w:line="265" w:lineRule="auto"/>
              <w:rPr>
                <w:rFonts w:ascii="Arial"/>
                <w:sz w:val="21"/>
              </w:rPr>
            </w:pPr>
          </w:p>
          <w:p w14:paraId="7669D042">
            <w:pPr>
              <w:spacing w:line="265" w:lineRule="auto"/>
              <w:rPr>
                <w:rFonts w:ascii="Arial"/>
                <w:sz w:val="21"/>
              </w:rPr>
            </w:pPr>
          </w:p>
          <w:p w14:paraId="1AD1D1BC">
            <w:pPr>
              <w:spacing w:line="265" w:lineRule="auto"/>
              <w:rPr>
                <w:rFonts w:ascii="Arial"/>
                <w:sz w:val="21"/>
              </w:rPr>
            </w:pPr>
          </w:p>
          <w:p w14:paraId="11C107BF">
            <w:pPr>
              <w:spacing w:line="266" w:lineRule="auto"/>
              <w:rPr>
                <w:rFonts w:ascii="Arial"/>
                <w:sz w:val="21"/>
              </w:rPr>
            </w:pPr>
          </w:p>
          <w:p w14:paraId="788413C7">
            <w:pPr>
              <w:spacing w:line="266" w:lineRule="auto"/>
              <w:rPr>
                <w:rFonts w:ascii="Arial"/>
                <w:sz w:val="21"/>
              </w:rPr>
            </w:pPr>
          </w:p>
          <w:p w14:paraId="7050E29C">
            <w:pPr>
              <w:pStyle w:val="6"/>
              <w:spacing w:before="68" w:line="220" w:lineRule="auto"/>
              <w:ind w:left="339"/>
              <w:rPr>
                <w:sz w:val="21"/>
                <w:szCs w:val="21"/>
              </w:rPr>
            </w:pPr>
            <w:r>
              <w:rPr>
                <w:spacing w:val="-2"/>
                <w:sz w:val="21"/>
                <w:szCs w:val="21"/>
              </w:rPr>
              <w:t>其他人员</w:t>
            </w:r>
          </w:p>
        </w:tc>
        <w:tc>
          <w:tcPr>
            <w:tcW w:w="1197" w:type="dxa"/>
            <w:vAlign w:val="top"/>
          </w:tcPr>
          <w:p w14:paraId="40A7F3C5">
            <w:pPr>
              <w:rPr>
                <w:rFonts w:ascii="Arial"/>
                <w:sz w:val="21"/>
              </w:rPr>
            </w:pPr>
          </w:p>
        </w:tc>
        <w:tc>
          <w:tcPr>
            <w:tcW w:w="942" w:type="dxa"/>
            <w:vAlign w:val="top"/>
          </w:tcPr>
          <w:p w14:paraId="69591BB5">
            <w:pPr>
              <w:rPr>
                <w:rFonts w:ascii="Arial"/>
                <w:sz w:val="21"/>
              </w:rPr>
            </w:pPr>
          </w:p>
        </w:tc>
        <w:tc>
          <w:tcPr>
            <w:tcW w:w="958" w:type="dxa"/>
            <w:vAlign w:val="top"/>
          </w:tcPr>
          <w:p w14:paraId="6BC35EE9">
            <w:pPr>
              <w:rPr>
                <w:rFonts w:ascii="Arial"/>
                <w:sz w:val="21"/>
              </w:rPr>
            </w:pPr>
          </w:p>
        </w:tc>
        <w:tc>
          <w:tcPr>
            <w:tcW w:w="3569" w:type="dxa"/>
            <w:tcBorders>
              <w:right w:val="single" w:color="000000" w:sz="12" w:space="0"/>
            </w:tcBorders>
            <w:vAlign w:val="top"/>
          </w:tcPr>
          <w:p w14:paraId="05934B7F">
            <w:pPr>
              <w:rPr>
                <w:rFonts w:ascii="Arial"/>
                <w:sz w:val="21"/>
              </w:rPr>
            </w:pPr>
          </w:p>
        </w:tc>
      </w:tr>
      <w:tr w14:paraId="340B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64" w:type="dxa"/>
            <w:vMerge w:val="continue"/>
            <w:tcBorders>
              <w:top w:val="nil"/>
              <w:left w:val="single" w:color="000000" w:sz="12" w:space="0"/>
              <w:bottom w:val="nil"/>
            </w:tcBorders>
            <w:vAlign w:val="top"/>
          </w:tcPr>
          <w:p w14:paraId="7C6CF06D">
            <w:pPr>
              <w:rPr>
                <w:rFonts w:ascii="Arial"/>
                <w:sz w:val="21"/>
              </w:rPr>
            </w:pPr>
          </w:p>
        </w:tc>
        <w:tc>
          <w:tcPr>
            <w:tcW w:w="1197" w:type="dxa"/>
            <w:vAlign w:val="top"/>
          </w:tcPr>
          <w:p w14:paraId="0DDCDD69">
            <w:pPr>
              <w:rPr>
                <w:rFonts w:ascii="Arial"/>
                <w:sz w:val="21"/>
              </w:rPr>
            </w:pPr>
          </w:p>
        </w:tc>
        <w:tc>
          <w:tcPr>
            <w:tcW w:w="942" w:type="dxa"/>
            <w:vAlign w:val="top"/>
          </w:tcPr>
          <w:p w14:paraId="2BF33249">
            <w:pPr>
              <w:rPr>
                <w:rFonts w:ascii="Arial"/>
                <w:sz w:val="21"/>
              </w:rPr>
            </w:pPr>
          </w:p>
        </w:tc>
        <w:tc>
          <w:tcPr>
            <w:tcW w:w="958" w:type="dxa"/>
            <w:vAlign w:val="top"/>
          </w:tcPr>
          <w:p w14:paraId="7180B79D">
            <w:pPr>
              <w:rPr>
                <w:rFonts w:ascii="Arial"/>
                <w:sz w:val="21"/>
              </w:rPr>
            </w:pPr>
          </w:p>
        </w:tc>
        <w:tc>
          <w:tcPr>
            <w:tcW w:w="3569" w:type="dxa"/>
            <w:tcBorders>
              <w:right w:val="single" w:color="000000" w:sz="12" w:space="0"/>
            </w:tcBorders>
            <w:vAlign w:val="top"/>
          </w:tcPr>
          <w:p w14:paraId="3543E0E0">
            <w:pPr>
              <w:rPr>
                <w:rFonts w:ascii="Arial"/>
                <w:sz w:val="21"/>
              </w:rPr>
            </w:pPr>
          </w:p>
        </w:tc>
      </w:tr>
      <w:tr w14:paraId="1D5DD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564" w:type="dxa"/>
            <w:vMerge w:val="continue"/>
            <w:tcBorders>
              <w:top w:val="nil"/>
              <w:left w:val="single" w:color="000000" w:sz="12" w:space="0"/>
              <w:bottom w:val="nil"/>
            </w:tcBorders>
            <w:vAlign w:val="top"/>
          </w:tcPr>
          <w:p w14:paraId="644EAA68">
            <w:pPr>
              <w:rPr>
                <w:rFonts w:ascii="Arial"/>
                <w:sz w:val="21"/>
              </w:rPr>
            </w:pPr>
          </w:p>
        </w:tc>
        <w:tc>
          <w:tcPr>
            <w:tcW w:w="1197" w:type="dxa"/>
            <w:vAlign w:val="top"/>
          </w:tcPr>
          <w:p w14:paraId="48E0E235">
            <w:pPr>
              <w:rPr>
                <w:rFonts w:ascii="Arial"/>
                <w:sz w:val="21"/>
              </w:rPr>
            </w:pPr>
          </w:p>
        </w:tc>
        <w:tc>
          <w:tcPr>
            <w:tcW w:w="942" w:type="dxa"/>
            <w:vAlign w:val="top"/>
          </w:tcPr>
          <w:p w14:paraId="2F9BD55D">
            <w:pPr>
              <w:rPr>
                <w:rFonts w:ascii="Arial"/>
                <w:sz w:val="21"/>
              </w:rPr>
            </w:pPr>
          </w:p>
        </w:tc>
        <w:tc>
          <w:tcPr>
            <w:tcW w:w="958" w:type="dxa"/>
            <w:vAlign w:val="top"/>
          </w:tcPr>
          <w:p w14:paraId="3F3B26C1">
            <w:pPr>
              <w:rPr>
                <w:rFonts w:ascii="Arial"/>
                <w:sz w:val="21"/>
              </w:rPr>
            </w:pPr>
          </w:p>
        </w:tc>
        <w:tc>
          <w:tcPr>
            <w:tcW w:w="3569" w:type="dxa"/>
            <w:tcBorders>
              <w:right w:val="single" w:color="000000" w:sz="12" w:space="0"/>
            </w:tcBorders>
            <w:vAlign w:val="top"/>
          </w:tcPr>
          <w:p w14:paraId="60D356E0">
            <w:pPr>
              <w:rPr>
                <w:rFonts w:ascii="Arial"/>
                <w:sz w:val="21"/>
              </w:rPr>
            </w:pPr>
          </w:p>
        </w:tc>
      </w:tr>
      <w:tr w14:paraId="66923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564" w:type="dxa"/>
            <w:vMerge w:val="continue"/>
            <w:tcBorders>
              <w:top w:val="nil"/>
              <w:left w:val="single" w:color="000000" w:sz="12" w:space="0"/>
              <w:bottom w:val="nil"/>
            </w:tcBorders>
            <w:vAlign w:val="top"/>
          </w:tcPr>
          <w:p w14:paraId="30C07390">
            <w:pPr>
              <w:rPr>
                <w:rFonts w:ascii="Arial"/>
                <w:sz w:val="21"/>
              </w:rPr>
            </w:pPr>
          </w:p>
        </w:tc>
        <w:tc>
          <w:tcPr>
            <w:tcW w:w="1197" w:type="dxa"/>
            <w:vAlign w:val="top"/>
          </w:tcPr>
          <w:p w14:paraId="4B96520A">
            <w:pPr>
              <w:rPr>
                <w:rFonts w:ascii="Arial"/>
                <w:sz w:val="21"/>
              </w:rPr>
            </w:pPr>
          </w:p>
        </w:tc>
        <w:tc>
          <w:tcPr>
            <w:tcW w:w="942" w:type="dxa"/>
            <w:vAlign w:val="top"/>
          </w:tcPr>
          <w:p w14:paraId="6D5C142D">
            <w:pPr>
              <w:rPr>
                <w:rFonts w:ascii="Arial"/>
                <w:sz w:val="21"/>
              </w:rPr>
            </w:pPr>
          </w:p>
        </w:tc>
        <w:tc>
          <w:tcPr>
            <w:tcW w:w="958" w:type="dxa"/>
            <w:vAlign w:val="top"/>
          </w:tcPr>
          <w:p w14:paraId="764904D8">
            <w:pPr>
              <w:rPr>
                <w:rFonts w:ascii="Arial"/>
                <w:sz w:val="21"/>
              </w:rPr>
            </w:pPr>
          </w:p>
        </w:tc>
        <w:tc>
          <w:tcPr>
            <w:tcW w:w="3569" w:type="dxa"/>
            <w:tcBorders>
              <w:right w:val="single" w:color="000000" w:sz="12" w:space="0"/>
            </w:tcBorders>
            <w:vAlign w:val="top"/>
          </w:tcPr>
          <w:p w14:paraId="1356FD6D">
            <w:pPr>
              <w:rPr>
                <w:rFonts w:ascii="Arial"/>
                <w:sz w:val="21"/>
              </w:rPr>
            </w:pPr>
          </w:p>
        </w:tc>
      </w:tr>
      <w:tr w14:paraId="4A66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1564" w:type="dxa"/>
            <w:vMerge w:val="continue"/>
            <w:tcBorders>
              <w:top w:val="nil"/>
              <w:left w:val="single" w:color="000000" w:sz="12" w:space="0"/>
              <w:bottom w:val="nil"/>
            </w:tcBorders>
            <w:vAlign w:val="top"/>
          </w:tcPr>
          <w:p w14:paraId="57B6BD36">
            <w:pPr>
              <w:rPr>
                <w:rFonts w:ascii="Arial"/>
                <w:sz w:val="21"/>
              </w:rPr>
            </w:pPr>
          </w:p>
        </w:tc>
        <w:tc>
          <w:tcPr>
            <w:tcW w:w="1197" w:type="dxa"/>
            <w:vAlign w:val="top"/>
          </w:tcPr>
          <w:p w14:paraId="39F2A871">
            <w:pPr>
              <w:rPr>
                <w:rFonts w:ascii="Arial"/>
                <w:sz w:val="21"/>
              </w:rPr>
            </w:pPr>
          </w:p>
        </w:tc>
        <w:tc>
          <w:tcPr>
            <w:tcW w:w="942" w:type="dxa"/>
            <w:vAlign w:val="top"/>
          </w:tcPr>
          <w:p w14:paraId="5F3772EE">
            <w:pPr>
              <w:rPr>
                <w:rFonts w:ascii="Arial"/>
                <w:sz w:val="21"/>
              </w:rPr>
            </w:pPr>
          </w:p>
        </w:tc>
        <w:tc>
          <w:tcPr>
            <w:tcW w:w="958" w:type="dxa"/>
            <w:vAlign w:val="top"/>
          </w:tcPr>
          <w:p w14:paraId="75ABB079">
            <w:pPr>
              <w:rPr>
                <w:rFonts w:ascii="Arial"/>
                <w:sz w:val="21"/>
              </w:rPr>
            </w:pPr>
          </w:p>
        </w:tc>
        <w:tc>
          <w:tcPr>
            <w:tcW w:w="3569" w:type="dxa"/>
            <w:tcBorders>
              <w:right w:val="single" w:color="000000" w:sz="12" w:space="0"/>
            </w:tcBorders>
            <w:vAlign w:val="top"/>
          </w:tcPr>
          <w:p w14:paraId="4CC6C30A">
            <w:pPr>
              <w:rPr>
                <w:rFonts w:ascii="Arial"/>
                <w:sz w:val="21"/>
              </w:rPr>
            </w:pPr>
          </w:p>
        </w:tc>
      </w:tr>
      <w:tr w14:paraId="381A4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3" w:hRule="atLeast"/>
        </w:trPr>
        <w:tc>
          <w:tcPr>
            <w:tcW w:w="1564" w:type="dxa"/>
            <w:vMerge w:val="continue"/>
            <w:tcBorders>
              <w:top w:val="nil"/>
              <w:left w:val="single" w:color="000000" w:sz="12" w:space="0"/>
              <w:bottom w:val="single" w:color="000000" w:sz="12" w:space="0"/>
            </w:tcBorders>
            <w:vAlign w:val="top"/>
          </w:tcPr>
          <w:p w14:paraId="5AC025B9">
            <w:pPr>
              <w:rPr>
                <w:rFonts w:ascii="Arial"/>
                <w:sz w:val="21"/>
              </w:rPr>
            </w:pPr>
          </w:p>
        </w:tc>
        <w:tc>
          <w:tcPr>
            <w:tcW w:w="1197" w:type="dxa"/>
            <w:tcBorders>
              <w:bottom w:val="single" w:color="000000" w:sz="12" w:space="0"/>
            </w:tcBorders>
            <w:vAlign w:val="top"/>
          </w:tcPr>
          <w:p w14:paraId="3FCFE62C">
            <w:pPr>
              <w:rPr>
                <w:rFonts w:ascii="Arial"/>
                <w:sz w:val="21"/>
              </w:rPr>
            </w:pPr>
          </w:p>
        </w:tc>
        <w:tc>
          <w:tcPr>
            <w:tcW w:w="942" w:type="dxa"/>
            <w:tcBorders>
              <w:bottom w:val="single" w:color="000000" w:sz="12" w:space="0"/>
            </w:tcBorders>
            <w:vAlign w:val="top"/>
          </w:tcPr>
          <w:p w14:paraId="58C6EA41">
            <w:pPr>
              <w:rPr>
                <w:rFonts w:ascii="Arial"/>
                <w:sz w:val="21"/>
              </w:rPr>
            </w:pPr>
          </w:p>
        </w:tc>
        <w:tc>
          <w:tcPr>
            <w:tcW w:w="958" w:type="dxa"/>
            <w:tcBorders>
              <w:bottom w:val="single" w:color="000000" w:sz="12" w:space="0"/>
            </w:tcBorders>
            <w:vAlign w:val="top"/>
          </w:tcPr>
          <w:p w14:paraId="20C8FD1C">
            <w:pPr>
              <w:rPr>
                <w:rFonts w:ascii="Arial"/>
                <w:sz w:val="21"/>
              </w:rPr>
            </w:pPr>
          </w:p>
        </w:tc>
        <w:tc>
          <w:tcPr>
            <w:tcW w:w="3569" w:type="dxa"/>
            <w:tcBorders>
              <w:bottom w:val="single" w:color="000000" w:sz="12" w:space="0"/>
              <w:right w:val="single" w:color="000000" w:sz="12" w:space="0"/>
            </w:tcBorders>
            <w:vAlign w:val="top"/>
          </w:tcPr>
          <w:p w14:paraId="5D6C090B">
            <w:pPr>
              <w:rPr>
                <w:rFonts w:ascii="Arial"/>
                <w:sz w:val="21"/>
              </w:rPr>
            </w:pPr>
          </w:p>
        </w:tc>
      </w:tr>
    </w:tbl>
    <w:p w14:paraId="2692EA41">
      <w:pPr>
        <w:pStyle w:val="2"/>
      </w:pPr>
    </w:p>
    <w:p w14:paraId="570D1C25">
      <w:pPr>
        <w:sectPr>
          <w:footerReference r:id="rId247" w:type="default"/>
          <w:pgSz w:w="11910" w:h="16845"/>
          <w:pgMar w:top="400" w:right="1786" w:bottom="1110" w:left="1786" w:header="0" w:footer="883" w:gutter="0"/>
          <w:cols w:space="720" w:num="1"/>
        </w:sectPr>
      </w:pPr>
    </w:p>
    <w:p w14:paraId="485BA099">
      <w:pPr>
        <w:pStyle w:val="2"/>
        <w:spacing w:line="274" w:lineRule="auto"/>
      </w:pPr>
    </w:p>
    <w:p w14:paraId="5EEA1B52">
      <w:pPr>
        <w:pStyle w:val="2"/>
        <w:spacing w:line="274" w:lineRule="auto"/>
      </w:pPr>
    </w:p>
    <w:p w14:paraId="3953C9DF">
      <w:pPr>
        <w:pStyle w:val="2"/>
        <w:spacing w:line="274" w:lineRule="auto"/>
      </w:pPr>
    </w:p>
    <w:p w14:paraId="049FD861">
      <w:pPr>
        <w:pStyle w:val="2"/>
        <w:spacing w:line="275" w:lineRule="auto"/>
      </w:pPr>
    </w:p>
    <w:p w14:paraId="277B8556">
      <w:pPr>
        <w:pStyle w:val="2"/>
        <w:spacing w:line="275" w:lineRule="auto"/>
      </w:pPr>
    </w:p>
    <w:p w14:paraId="07E6CD34">
      <w:pPr>
        <w:spacing w:before="91" w:line="225" w:lineRule="auto"/>
        <w:ind w:left="42"/>
        <w:outlineLvl w:val="1"/>
        <w:rPr>
          <w:rFonts w:ascii="黑体" w:hAnsi="黑体" w:eastAsia="黑体" w:cs="黑体"/>
          <w:sz w:val="28"/>
          <w:szCs w:val="28"/>
        </w:rPr>
      </w:pPr>
      <w:bookmarkStart w:id="570" w:name="bookmark526"/>
      <w:bookmarkEnd w:id="570"/>
      <w:r>
        <w:rPr>
          <w:rFonts w:ascii="黑体" w:hAnsi="黑体" w:eastAsia="黑体" w:cs="黑体"/>
          <w:b/>
          <w:bCs/>
          <w:spacing w:val="-5"/>
          <w:sz w:val="28"/>
          <w:szCs w:val="28"/>
        </w:rPr>
        <w:t>附件</w:t>
      </w:r>
      <w:r>
        <w:rPr>
          <w:rFonts w:ascii="黑体" w:hAnsi="黑体" w:eastAsia="黑体" w:cs="黑体"/>
          <w:spacing w:val="-42"/>
          <w:sz w:val="28"/>
          <w:szCs w:val="28"/>
        </w:rPr>
        <w:t xml:space="preserve"> </w:t>
      </w:r>
      <w:r>
        <w:rPr>
          <w:rFonts w:ascii="黑体" w:hAnsi="黑体" w:eastAsia="黑体" w:cs="黑体"/>
          <w:b/>
          <w:bCs/>
          <w:spacing w:val="-5"/>
          <w:sz w:val="28"/>
          <w:szCs w:val="28"/>
        </w:rPr>
        <w:t>8：</w:t>
      </w:r>
    </w:p>
    <w:p w14:paraId="1A3B896D">
      <w:pPr>
        <w:pStyle w:val="2"/>
        <w:spacing w:line="390" w:lineRule="auto"/>
      </w:pPr>
    </w:p>
    <w:p w14:paraId="42A0CF81">
      <w:pPr>
        <w:spacing w:before="91" w:line="222" w:lineRule="auto"/>
        <w:ind w:left="3600"/>
        <w:rPr>
          <w:rFonts w:ascii="黑体" w:hAnsi="黑体" w:eastAsia="黑体" w:cs="黑体"/>
          <w:sz w:val="28"/>
          <w:szCs w:val="28"/>
        </w:rPr>
      </w:pPr>
      <w:r>
        <w:rPr>
          <w:rFonts w:ascii="黑体" w:hAnsi="黑体" w:eastAsia="黑体" w:cs="黑体"/>
          <w:spacing w:val="10"/>
          <w:sz w:val="28"/>
          <w:szCs w:val="28"/>
        </w:rPr>
        <w:t>履约担保</w:t>
      </w:r>
    </w:p>
    <w:p w14:paraId="5C84B42F">
      <w:pPr>
        <w:pStyle w:val="2"/>
        <w:spacing w:line="258" w:lineRule="auto"/>
      </w:pPr>
    </w:p>
    <w:p w14:paraId="1F14B79E">
      <w:pPr>
        <w:tabs>
          <w:tab w:val="left" w:pos="1696"/>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（发包人名称</w:t>
      </w:r>
      <w:r>
        <w:rPr>
          <w:rFonts w:ascii="宋体" w:hAnsi="宋体" w:eastAsia="宋体" w:cs="宋体"/>
          <w:spacing w:val="-55"/>
          <w:w w:val="98"/>
          <w:sz w:val="21"/>
          <w:szCs w:val="21"/>
        </w:rPr>
        <w:t>）：</w:t>
      </w:r>
    </w:p>
    <w:p w14:paraId="60E7B2C2">
      <w:pPr>
        <w:pStyle w:val="2"/>
        <w:spacing w:line="259" w:lineRule="auto"/>
      </w:pPr>
    </w:p>
    <w:p w14:paraId="378BC950">
      <w:pPr>
        <w:pStyle w:val="2"/>
        <w:spacing w:line="260" w:lineRule="auto"/>
      </w:pPr>
    </w:p>
    <w:p w14:paraId="4F02D92A">
      <w:pPr>
        <w:spacing w:before="69" w:line="409" w:lineRule="auto"/>
        <w:ind w:left="23" w:firstLine="423"/>
        <w:jc w:val="both"/>
        <w:rPr>
          <w:rFonts w:ascii="宋体" w:hAnsi="宋体" w:eastAsia="宋体" w:cs="宋体"/>
          <w:sz w:val="21"/>
          <w:szCs w:val="21"/>
        </w:rPr>
      </w:pPr>
      <w:r>
        <w:rPr>
          <w:rFonts w:ascii="宋体" w:hAnsi="宋体" w:eastAsia="宋体" w:cs="宋体"/>
          <w:spacing w:val="-12"/>
          <w:sz w:val="21"/>
          <w:szCs w:val="21"/>
        </w:rPr>
        <w:t>鉴</w:t>
      </w:r>
      <w:r>
        <w:rPr>
          <w:rFonts w:ascii="宋体" w:hAnsi="宋体" w:eastAsia="宋体" w:cs="宋体"/>
          <w:spacing w:val="-11"/>
          <w:sz w:val="21"/>
          <w:szCs w:val="21"/>
        </w:rPr>
        <w:t>于</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（发包人名称，以下简称“发包人</w:t>
      </w:r>
      <w:r>
        <w:rPr>
          <w:rFonts w:ascii="宋体" w:hAnsi="宋体" w:eastAsia="宋体" w:cs="宋体"/>
          <w:spacing w:val="-75"/>
          <w:sz w:val="21"/>
          <w:szCs w:val="21"/>
        </w:rPr>
        <w:t xml:space="preserve"> </w:t>
      </w:r>
      <w:r>
        <w:rPr>
          <w:rFonts w:ascii="宋体" w:hAnsi="宋体" w:eastAsia="宋体" w:cs="宋体"/>
          <w:spacing w:val="-11"/>
          <w:sz w:val="21"/>
          <w:szCs w:val="21"/>
        </w:rPr>
        <w:t>”）与</w:t>
      </w:r>
      <w:r>
        <w:rPr>
          <w:rFonts w:ascii="宋体" w:hAnsi="宋体" w:eastAsia="宋体" w:cs="宋体"/>
          <w:spacing w:val="-8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10"/>
          <w:sz w:val="21"/>
          <w:szCs w:val="21"/>
        </w:rPr>
        <w:t>承</w:t>
      </w:r>
      <w:r>
        <w:rPr>
          <w:rFonts w:ascii="宋体" w:hAnsi="宋体" w:eastAsia="宋体" w:cs="宋体"/>
          <w:spacing w:val="-6"/>
          <w:sz w:val="21"/>
          <w:szCs w:val="21"/>
        </w:rPr>
        <w:t>包人名称</w:t>
      </w:r>
      <w:r>
        <w:rPr>
          <w:rFonts w:ascii="宋体" w:hAnsi="宋体" w:eastAsia="宋体" w:cs="宋体"/>
          <w:spacing w:val="-55"/>
          <w:sz w:val="21"/>
          <w:szCs w:val="21"/>
        </w:rPr>
        <w:t>）（</w:t>
      </w:r>
      <w:r>
        <w:rPr>
          <w:rFonts w:ascii="宋体" w:hAnsi="宋体" w:eastAsia="宋体" w:cs="宋体"/>
          <w:spacing w:val="-6"/>
          <w:sz w:val="21"/>
          <w:szCs w:val="21"/>
        </w:rPr>
        <w:t>以下称“承包人</w:t>
      </w:r>
      <w:r>
        <w:rPr>
          <w:rFonts w:ascii="宋体" w:hAnsi="宋体" w:eastAsia="宋体" w:cs="宋体"/>
          <w:spacing w:val="-77"/>
          <w:sz w:val="21"/>
          <w:szCs w:val="21"/>
        </w:rPr>
        <w:t xml:space="preserve"> </w:t>
      </w:r>
      <w:r>
        <w:rPr>
          <w:rFonts w:ascii="宋体" w:hAnsi="宋体" w:eastAsia="宋体" w:cs="宋体"/>
          <w:spacing w:val="-6"/>
          <w:sz w:val="21"/>
          <w:szCs w:val="21"/>
        </w:rPr>
        <w:t>”）于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6"/>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日就</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
          <w:sz w:val="21"/>
          <w:szCs w:val="21"/>
        </w:rPr>
        <w:t>（工程名</w:t>
      </w:r>
      <w:r>
        <w:rPr>
          <w:rFonts w:ascii="宋体" w:hAnsi="宋体" w:eastAsia="宋体" w:cs="宋体"/>
          <w:spacing w:val="-3"/>
          <w:sz w:val="21"/>
          <w:szCs w:val="21"/>
        </w:rPr>
        <w:t>称）施工及有关事项协商一致共同签订《建设工程施工合同》。我方愿意无条件地、不可撤</w:t>
      </w:r>
      <w:r>
        <w:rPr>
          <w:rFonts w:ascii="宋体" w:hAnsi="宋体" w:eastAsia="宋体" w:cs="宋体"/>
          <w:spacing w:val="-1"/>
          <w:sz w:val="21"/>
          <w:szCs w:val="21"/>
        </w:rPr>
        <w:t>销地就承包人履行与你方签订的合同，向你方提供连带责任担保。</w:t>
      </w:r>
    </w:p>
    <w:p w14:paraId="43CE33A1">
      <w:pPr>
        <w:spacing w:before="1" w:line="218" w:lineRule="auto"/>
        <w:ind w:left="460"/>
        <w:rPr>
          <w:rFonts w:ascii="宋体" w:hAnsi="宋体" w:eastAsia="宋体" w:cs="宋体"/>
          <w:sz w:val="21"/>
          <w:szCs w:val="21"/>
        </w:rPr>
      </w:pPr>
      <w:r>
        <w:rPr>
          <w:rFonts w:ascii="宋体" w:hAnsi="宋体" w:eastAsia="宋体" w:cs="宋体"/>
          <w:spacing w:val="2"/>
          <w:sz w:val="21"/>
          <w:szCs w:val="21"/>
        </w:rPr>
        <w:t>1. 担保金额人民币（大写）</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2"/>
          <w:sz w:val="21"/>
          <w:szCs w:val="21"/>
        </w:rPr>
        <w:t>元(¥</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72"/>
          <w:sz w:val="21"/>
          <w:szCs w:val="21"/>
        </w:rPr>
        <w:t xml:space="preserve"> </w:t>
      </w:r>
      <w:r>
        <w:rPr>
          <w:rFonts w:ascii="宋体" w:hAnsi="宋体" w:eastAsia="宋体" w:cs="宋体"/>
          <w:spacing w:val="2"/>
          <w:sz w:val="21"/>
          <w:szCs w:val="21"/>
        </w:rPr>
        <w:t>)。</w:t>
      </w:r>
    </w:p>
    <w:p w14:paraId="5AE09DBF">
      <w:pPr>
        <w:spacing w:before="232" w:line="409" w:lineRule="auto"/>
        <w:ind w:left="28" w:right="14" w:firstLine="418"/>
        <w:rPr>
          <w:rFonts w:ascii="宋体" w:hAnsi="宋体" w:eastAsia="宋体" w:cs="宋体"/>
          <w:sz w:val="21"/>
          <w:szCs w:val="21"/>
        </w:rPr>
      </w:pPr>
      <w:r>
        <w:rPr>
          <w:rFonts w:ascii="宋体" w:hAnsi="宋体" w:eastAsia="宋体" w:cs="宋体"/>
          <w:sz w:val="21"/>
          <w:szCs w:val="21"/>
        </w:rPr>
        <w:t>2. 担保有效期自你方与承包人签订的合同生效之日起至你方签发或应签发工程接收证</w:t>
      </w:r>
      <w:r>
        <w:rPr>
          <w:rFonts w:ascii="宋体" w:hAnsi="宋体" w:eastAsia="宋体" w:cs="宋体"/>
          <w:spacing w:val="-7"/>
          <w:sz w:val="21"/>
          <w:szCs w:val="21"/>
        </w:rPr>
        <w:t>书之日止。</w:t>
      </w:r>
    </w:p>
    <w:p w14:paraId="699A28EF">
      <w:pPr>
        <w:spacing w:before="2" w:line="408" w:lineRule="auto"/>
        <w:ind w:left="31" w:right="12" w:firstLine="417"/>
        <w:rPr>
          <w:rFonts w:ascii="宋体" w:hAnsi="宋体" w:eastAsia="宋体" w:cs="宋体"/>
          <w:sz w:val="21"/>
          <w:szCs w:val="21"/>
        </w:rPr>
      </w:pPr>
      <w:r>
        <w:rPr>
          <w:rFonts w:ascii="宋体" w:hAnsi="宋体" w:eastAsia="宋体" w:cs="宋体"/>
          <w:sz w:val="21"/>
          <w:szCs w:val="21"/>
        </w:rPr>
        <w:t>3. 在本担保有效期内，因承包人违反合同约定的义务给你方造成经济损失时，我方在</w:t>
      </w:r>
      <w:r>
        <w:rPr>
          <w:rFonts w:ascii="宋体" w:hAnsi="宋体" w:eastAsia="宋体" w:cs="宋体"/>
          <w:spacing w:val="-2"/>
          <w:sz w:val="21"/>
          <w:szCs w:val="21"/>
        </w:rPr>
        <w:t>收到你方以书面形式提出的在担保金额内的赔偿要求后，在</w:t>
      </w:r>
      <w:r>
        <w:rPr>
          <w:rFonts w:ascii="宋体" w:hAnsi="宋体" w:eastAsia="宋体" w:cs="宋体"/>
          <w:spacing w:val="-19"/>
          <w:sz w:val="21"/>
          <w:szCs w:val="21"/>
        </w:rPr>
        <w:t xml:space="preserve"> </w:t>
      </w:r>
      <w:r>
        <w:rPr>
          <w:rFonts w:ascii="宋体" w:hAnsi="宋体" w:eastAsia="宋体" w:cs="宋体"/>
          <w:spacing w:val="-2"/>
          <w:sz w:val="21"/>
          <w:szCs w:val="21"/>
        </w:rPr>
        <w:t>7</w:t>
      </w:r>
      <w:r>
        <w:rPr>
          <w:rFonts w:ascii="宋体" w:hAnsi="宋体" w:eastAsia="宋体" w:cs="宋体"/>
          <w:spacing w:val="-33"/>
          <w:sz w:val="21"/>
          <w:szCs w:val="21"/>
        </w:rPr>
        <w:t xml:space="preserve"> </w:t>
      </w:r>
      <w:r>
        <w:rPr>
          <w:rFonts w:ascii="宋体" w:hAnsi="宋体" w:eastAsia="宋体" w:cs="宋体"/>
          <w:spacing w:val="-2"/>
          <w:sz w:val="21"/>
          <w:szCs w:val="21"/>
        </w:rPr>
        <w:t>天内无条件支付。</w:t>
      </w:r>
    </w:p>
    <w:p w14:paraId="6880CB59">
      <w:pPr>
        <w:spacing w:before="1" w:line="218" w:lineRule="auto"/>
        <w:ind w:left="443"/>
        <w:rPr>
          <w:rFonts w:ascii="宋体" w:hAnsi="宋体" w:eastAsia="宋体" w:cs="宋体"/>
          <w:sz w:val="21"/>
          <w:szCs w:val="21"/>
        </w:rPr>
      </w:pPr>
      <w:r>
        <w:rPr>
          <w:rFonts w:ascii="宋体" w:hAnsi="宋体" w:eastAsia="宋体" w:cs="宋体"/>
          <w:spacing w:val="-1"/>
          <w:sz w:val="21"/>
          <w:szCs w:val="21"/>
        </w:rPr>
        <w:t>4. 你方和承包人按合同约定变更合同时，我方承担本担保规定的义务不变。</w:t>
      </w:r>
    </w:p>
    <w:p w14:paraId="770F2F63">
      <w:pPr>
        <w:spacing w:before="232" w:line="409" w:lineRule="auto"/>
        <w:ind w:left="23" w:right="19" w:firstLine="425"/>
        <w:rPr>
          <w:rFonts w:ascii="宋体" w:hAnsi="宋体" w:eastAsia="宋体" w:cs="宋体"/>
          <w:sz w:val="21"/>
          <w:szCs w:val="21"/>
        </w:rPr>
      </w:pPr>
      <w:r>
        <w:rPr>
          <w:rFonts w:ascii="宋体" w:hAnsi="宋体" w:eastAsia="宋体" w:cs="宋体"/>
          <w:spacing w:val="10"/>
          <w:sz w:val="21"/>
          <w:szCs w:val="21"/>
        </w:rPr>
        <w:t>5.</w:t>
      </w:r>
      <w:r>
        <w:rPr>
          <w:rFonts w:ascii="宋体" w:hAnsi="宋体" w:eastAsia="宋体" w:cs="宋体"/>
          <w:spacing w:val="58"/>
          <w:sz w:val="21"/>
          <w:szCs w:val="21"/>
        </w:rPr>
        <w:t xml:space="preserve"> </w:t>
      </w:r>
      <w:r>
        <w:rPr>
          <w:rFonts w:ascii="宋体" w:hAnsi="宋体" w:eastAsia="宋体" w:cs="宋体"/>
          <w:spacing w:val="10"/>
          <w:sz w:val="21"/>
          <w:szCs w:val="21"/>
        </w:rPr>
        <w:t>因本保</w:t>
      </w:r>
      <w:r>
        <w:rPr>
          <w:rFonts w:ascii="宋体" w:hAnsi="宋体" w:eastAsia="宋体" w:cs="宋体"/>
          <w:spacing w:val="-52"/>
          <w:sz w:val="21"/>
          <w:szCs w:val="21"/>
        </w:rPr>
        <w:t xml:space="preserve"> </w:t>
      </w:r>
      <w:r>
        <w:rPr>
          <w:rFonts w:ascii="宋体" w:hAnsi="宋体" w:eastAsia="宋体" w:cs="宋体"/>
          <w:spacing w:val="10"/>
          <w:sz w:val="21"/>
          <w:szCs w:val="21"/>
        </w:rPr>
        <w:t>函发生</w:t>
      </w:r>
      <w:r>
        <w:rPr>
          <w:rFonts w:ascii="宋体" w:hAnsi="宋体" w:eastAsia="宋体" w:cs="宋体"/>
          <w:spacing w:val="-50"/>
          <w:sz w:val="21"/>
          <w:szCs w:val="21"/>
        </w:rPr>
        <w:t xml:space="preserve"> </w:t>
      </w:r>
      <w:r>
        <w:rPr>
          <w:rFonts w:ascii="宋体" w:hAnsi="宋体" w:eastAsia="宋体" w:cs="宋体"/>
          <w:spacing w:val="10"/>
          <w:sz w:val="21"/>
          <w:szCs w:val="21"/>
        </w:rPr>
        <w:t>的纠纷，</w:t>
      </w:r>
      <w:r>
        <w:rPr>
          <w:rFonts w:ascii="宋体" w:hAnsi="宋体" w:eastAsia="宋体" w:cs="宋体"/>
          <w:spacing w:val="-49"/>
          <w:sz w:val="21"/>
          <w:szCs w:val="21"/>
        </w:rPr>
        <w:t xml:space="preserve"> </w:t>
      </w:r>
      <w:r>
        <w:rPr>
          <w:rFonts w:ascii="宋体" w:hAnsi="宋体" w:eastAsia="宋体" w:cs="宋体"/>
          <w:spacing w:val="10"/>
          <w:sz w:val="21"/>
          <w:szCs w:val="21"/>
        </w:rPr>
        <w:t>可由双方协商解决，</w:t>
      </w:r>
      <w:r>
        <w:rPr>
          <w:rFonts w:ascii="宋体" w:hAnsi="宋体" w:eastAsia="宋体" w:cs="宋体"/>
          <w:spacing w:val="-51"/>
          <w:sz w:val="21"/>
          <w:szCs w:val="21"/>
        </w:rPr>
        <w:t xml:space="preserve"> </w:t>
      </w:r>
      <w:r>
        <w:rPr>
          <w:rFonts w:ascii="宋体" w:hAnsi="宋体" w:eastAsia="宋体" w:cs="宋体"/>
          <w:spacing w:val="10"/>
          <w:sz w:val="21"/>
          <w:szCs w:val="21"/>
        </w:rPr>
        <w:t>协商不成的，任何一方均可提请</w:t>
      </w:r>
      <w:r>
        <w:rPr>
          <w:rFonts w:ascii="宋体" w:hAnsi="宋体" w:eastAsia="宋体" w:cs="宋体"/>
          <w:spacing w:val="-4"/>
          <w:sz w:val="21"/>
          <w:szCs w:val="21"/>
        </w:rPr>
        <w:t>仲裁委员会仲裁。</w:t>
      </w:r>
    </w:p>
    <w:p w14:paraId="5D879DAE">
      <w:pPr>
        <w:spacing w:before="1" w:line="218" w:lineRule="auto"/>
        <w:ind w:left="446"/>
        <w:rPr>
          <w:rFonts w:ascii="宋体" w:hAnsi="宋体" w:eastAsia="宋体" w:cs="宋体"/>
          <w:sz w:val="21"/>
          <w:szCs w:val="21"/>
        </w:rPr>
      </w:pPr>
      <w:r>
        <w:rPr>
          <w:rFonts w:ascii="宋体" w:hAnsi="宋体" w:eastAsia="宋体" w:cs="宋体"/>
          <w:spacing w:val="-1"/>
          <w:sz w:val="21"/>
          <w:szCs w:val="21"/>
        </w:rPr>
        <w:t>6. 本保函自我方法定代表人（或其授权代理人）签字并加盖公章之日起生效。</w:t>
      </w:r>
    </w:p>
    <w:p w14:paraId="2030491A">
      <w:pPr>
        <w:pStyle w:val="2"/>
        <w:spacing w:line="258" w:lineRule="auto"/>
      </w:pPr>
    </w:p>
    <w:p w14:paraId="1C5A5EA8">
      <w:pPr>
        <w:pStyle w:val="2"/>
        <w:spacing w:line="258" w:lineRule="auto"/>
      </w:pPr>
    </w:p>
    <w:p w14:paraId="7C7FA3EF">
      <w:pPr>
        <w:pStyle w:val="2"/>
        <w:spacing w:line="258" w:lineRule="auto"/>
      </w:pPr>
    </w:p>
    <w:p w14:paraId="081C4746">
      <w:pPr>
        <w:pStyle w:val="2"/>
        <w:spacing w:line="258" w:lineRule="auto"/>
      </w:pPr>
    </w:p>
    <w:p w14:paraId="4DA7981E">
      <w:pPr>
        <w:pStyle w:val="2"/>
        <w:spacing w:line="258" w:lineRule="auto"/>
      </w:pPr>
    </w:p>
    <w:p w14:paraId="6FB7D7E8">
      <w:pPr>
        <w:pStyle w:val="2"/>
        <w:spacing w:line="259" w:lineRule="auto"/>
      </w:pPr>
    </w:p>
    <w:p w14:paraId="7073248C">
      <w:pPr>
        <w:spacing w:before="69" w:line="219" w:lineRule="auto"/>
        <w:ind w:left="2863"/>
        <w:rPr>
          <w:rFonts w:ascii="宋体" w:hAnsi="宋体" w:eastAsia="宋体" w:cs="宋体"/>
          <w:sz w:val="21"/>
          <w:szCs w:val="21"/>
        </w:rPr>
      </w:pPr>
      <w:r>
        <w:rPr>
          <w:rFonts w:ascii="宋体" w:hAnsi="宋体" w:eastAsia="宋体" w:cs="宋体"/>
          <w:spacing w:val="-3"/>
          <w:sz w:val="21"/>
          <w:szCs w:val="21"/>
        </w:rPr>
        <w:t>担 保</w:t>
      </w:r>
      <w:r>
        <w:rPr>
          <w:rFonts w:ascii="宋体" w:hAnsi="宋体" w:eastAsia="宋体" w:cs="宋体"/>
          <w:spacing w:val="10"/>
          <w:sz w:val="21"/>
          <w:szCs w:val="21"/>
        </w:rPr>
        <w:t xml:space="preserve"> </w:t>
      </w:r>
      <w:r>
        <w:rPr>
          <w:rFonts w:ascii="宋体" w:hAnsi="宋体" w:eastAsia="宋体" w:cs="宋体"/>
          <w:spacing w:val="-3"/>
          <w:sz w:val="21"/>
          <w:szCs w:val="21"/>
        </w:rPr>
        <w:t>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7A504AF7">
      <w:pPr>
        <w:spacing w:before="216" w:line="220" w:lineRule="auto"/>
        <w:ind w:left="2863"/>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629AC7A0">
      <w:pPr>
        <w:spacing w:before="216" w:line="229" w:lineRule="auto"/>
        <w:ind w:left="2862"/>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52157853">
      <w:pPr>
        <w:spacing w:before="204" w:line="220" w:lineRule="auto"/>
        <w:ind w:left="2878"/>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5F908233">
      <w:pPr>
        <w:spacing w:before="231" w:line="222" w:lineRule="auto"/>
        <w:ind w:left="2887"/>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07E02FF1">
      <w:pPr>
        <w:spacing w:before="213" w:line="219" w:lineRule="auto"/>
        <w:ind w:left="2861"/>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3E67A202">
      <w:pPr>
        <w:pStyle w:val="2"/>
        <w:spacing w:line="304" w:lineRule="auto"/>
      </w:pPr>
    </w:p>
    <w:p w14:paraId="408C0CE1">
      <w:pPr>
        <w:pStyle w:val="2"/>
        <w:spacing w:line="305" w:lineRule="auto"/>
      </w:pPr>
    </w:p>
    <w:p w14:paraId="7B15338D">
      <w:pPr>
        <w:tabs>
          <w:tab w:val="left" w:pos="5377"/>
        </w:tabs>
        <w:spacing w:before="68" w:line="220" w:lineRule="auto"/>
        <w:ind w:left="422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4A781ED1">
      <w:pPr>
        <w:spacing w:line="220" w:lineRule="auto"/>
        <w:rPr>
          <w:rFonts w:ascii="宋体" w:hAnsi="宋体" w:eastAsia="宋体" w:cs="宋体"/>
          <w:sz w:val="21"/>
          <w:szCs w:val="21"/>
        </w:rPr>
        <w:sectPr>
          <w:footerReference r:id="rId248" w:type="default"/>
          <w:pgSz w:w="11910" w:h="16845"/>
          <w:pgMar w:top="400" w:right="1781" w:bottom="1110" w:left="1786" w:header="0" w:footer="883" w:gutter="0"/>
          <w:cols w:space="720" w:num="1"/>
        </w:sectPr>
      </w:pPr>
    </w:p>
    <w:p w14:paraId="0B536AA5">
      <w:pPr>
        <w:pStyle w:val="2"/>
        <w:spacing w:line="279" w:lineRule="auto"/>
      </w:pPr>
    </w:p>
    <w:p w14:paraId="14DFD0FF">
      <w:pPr>
        <w:pStyle w:val="2"/>
        <w:spacing w:line="279" w:lineRule="auto"/>
      </w:pPr>
    </w:p>
    <w:p w14:paraId="2C1C9AE4">
      <w:pPr>
        <w:pStyle w:val="2"/>
        <w:spacing w:line="280" w:lineRule="auto"/>
      </w:pPr>
    </w:p>
    <w:p w14:paraId="115A2676">
      <w:pPr>
        <w:pStyle w:val="2"/>
        <w:spacing w:line="280" w:lineRule="auto"/>
      </w:pPr>
    </w:p>
    <w:p w14:paraId="27CA8A35">
      <w:pPr>
        <w:spacing w:before="91" w:line="225" w:lineRule="auto"/>
        <w:ind w:left="42"/>
        <w:outlineLvl w:val="2"/>
        <w:rPr>
          <w:rFonts w:ascii="黑体" w:hAnsi="黑体" w:eastAsia="黑体" w:cs="黑体"/>
          <w:sz w:val="28"/>
          <w:szCs w:val="28"/>
        </w:rPr>
      </w:pPr>
      <w:bookmarkStart w:id="571" w:name="bookmark527"/>
      <w:bookmarkEnd w:id="571"/>
      <w:r>
        <w:rPr>
          <w:rFonts w:ascii="黑体" w:hAnsi="黑体" w:eastAsia="黑体" w:cs="黑体"/>
          <w:b/>
          <w:bCs/>
          <w:spacing w:val="-4"/>
          <w:sz w:val="28"/>
          <w:szCs w:val="28"/>
        </w:rPr>
        <w:t>附件</w:t>
      </w:r>
      <w:r>
        <w:rPr>
          <w:rFonts w:ascii="黑体" w:hAnsi="黑体" w:eastAsia="黑体" w:cs="黑体"/>
          <w:spacing w:val="-46"/>
          <w:sz w:val="28"/>
          <w:szCs w:val="28"/>
        </w:rPr>
        <w:t xml:space="preserve"> </w:t>
      </w:r>
      <w:r>
        <w:rPr>
          <w:rFonts w:ascii="黑体" w:hAnsi="黑体" w:eastAsia="黑体" w:cs="黑体"/>
          <w:b/>
          <w:bCs/>
          <w:spacing w:val="-4"/>
          <w:sz w:val="28"/>
          <w:szCs w:val="28"/>
        </w:rPr>
        <w:t>9</w:t>
      </w:r>
      <w:r>
        <w:rPr>
          <w:rFonts w:ascii="黑体" w:hAnsi="黑体" w:eastAsia="黑体" w:cs="黑体"/>
          <w:spacing w:val="-41"/>
          <w:sz w:val="28"/>
          <w:szCs w:val="28"/>
        </w:rPr>
        <w:t xml:space="preserve"> </w:t>
      </w:r>
      <w:r>
        <w:rPr>
          <w:rFonts w:ascii="黑体" w:hAnsi="黑体" w:eastAsia="黑体" w:cs="黑体"/>
          <w:b/>
          <w:bCs/>
          <w:spacing w:val="-4"/>
          <w:sz w:val="28"/>
          <w:szCs w:val="28"/>
        </w:rPr>
        <w:t>：</w:t>
      </w:r>
    </w:p>
    <w:p w14:paraId="78B48045">
      <w:pPr>
        <w:pStyle w:val="2"/>
        <w:spacing w:line="391" w:lineRule="auto"/>
      </w:pPr>
    </w:p>
    <w:p w14:paraId="5BADE8E4">
      <w:pPr>
        <w:spacing w:before="91" w:line="222" w:lineRule="auto"/>
        <w:ind w:left="3470"/>
        <w:rPr>
          <w:rFonts w:ascii="黑体" w:hAnsi="黑体" w:eastAsia="黑体" w:cs="黑体"/>
          <w:sz w:val="28"/>
          <w:szCs w:val="28"/>
        </w:rPr>
      </w:pPr>
      <w:r>
        <w:rPr>
          <w:rFonts w:ascii="黑体" w:hAnsi="黑体" w:eastAsia="黑体" w:cs="黑体"/>
          <w:spacing w:val="8"/>
          <w:sz w:val="28"/>
          <w:szCs w:val="28"/>
        </w:rPr>
        <w:t>预付款担保</w:t>
      </w:r>
    </w:p>
    <w:p w14:paraId="1FA5F397">
      <w:pPr>
        <w:spacing w:before="283" w:line="220" w:lineRule="auto"/>
        <w:ind w:left="2342"/>
        <w:rPr>
          <w:rFonts w:ascii="宋体" w:hAnsi="宋体" w:eastAsia="宋体" w:cs="宋体"/>
          <w:sz w:val="21"/>
          <w:szCs w:val="21"/>
        </w:rPr>
      </w:pPr>
      <w:r>
        <w:pict>
          <v:shape id="_x0000_s1212" o:spid="_x0000_s1212" style="position:absolute;left:0pt;margin-left:0.75pt;margin-top:24.65pt;height:0.75pt;width:110.4pt;z-index:251854848;mso-width-relative:page;mso-height-relative:page;" fillcolor="#000000" filled="t" stroked="f" coordsize="2208,15" path="m0,15l2207,15,2207,0,0,0,0,15xe">
            <v:path/>
            <v:fill on="t" focussize="0,0"/>
            <v:stroke on="f"/>
            <v:imagedata o:title=""/>
            <o:lock v:ext="edit"/>
          </v:shape>
        </w:pict>
      </w:r>
      <w:r>
        <w:rPr>
          <w:rFonts w:ascii="宋体" w:hAnsi="宋体" w:eastAsia="宋体" w:cs="宋体"/>
          <w:spacing w:val="-3"/>
          <w:sz w:val="21"/>
          <w:szCs w:val="21"/>
        </w:rPr>
        <w:t>（发包人名称</w:t>
      </w:r>
      <w:r>
        <w:rPr>
          <w:rFonts w:ascii="宋体" w:hAnsi="宋体" w:eastAsia="宋体" w:cs="宋体"/>
          <w:spacing w:val="-57"/>
          <w:sz w:val="21"/>
          <w:szCs w:val="21"/>
        </w:rPr>
        <w:t>）：</w:t>
      </w:r>
    </w:p>
    <w:p w14:paraId="14EF3EFD">
      <w:pPr>
        <w:pStyle w:val="2"/>
        <w:spacing w:line="305" w:lineRule="auto"/>
      </w:pPr>
    </w:p>
    <w:p w14:paraId="5DCA2BFB">
      <w:pPr>
        <w:pStyle w:val="2"/>
        <w:spacing w:line="305" w:lineRule="auto"/>
      </w:pPr>
    </w:p>
    <w:p w14:paraId="25C81884">
      <w:pPr>
        <w:spacing w:before="68" w:line="412" w:lineRule="auto"/>
        <w:ind w:left="24" w:right="1" w:firstLine="420"/>
        <w:jc w:val="both"/>
        <w:rPr>
          <w:rFonts w:ascii="宋体" w:hAnsi="宋体" w:eastAsia="宋体" w:cs="宋体"/>
          <w:sz w:val="21"/>
          <w:szCs w:val="21"/>
        </w:rPr>
      </w:pPr>
      <w:r>
        <w:rPr>
          <w:rFonts w:ascii="宋体" w:hAnsi="宋体" w:eastAsia="宋体" w:cs="宋体"/>
          <w:spacing w:val="-10"/>
          <w:sz w:val="21"/>
          <w:szCs w:val="21"/>
        </w:rPr>
        <w:t>根据</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0"/>
          <w:sz w:val="21"/>
          <w:szCs w:val="21"/>
        </w:rPr>
        <w:t>（承包人名称</w:t>
      </w:r>
      <w:r>
        <w:rPr>
          <w:rFonts w:ascii="宋体" w:hAnsi="宋体" w:eastAsia="宋体" w:cs="宋体"/>
          <w:spacing w:val="-59"/>
          <w:w w:val="99"/>
          <w:sz w:val="21"/>
          <w:szCs w:val="21"/>
        </w:rPr>
        <w:t>）（</w:t>
      </w:r>
      <w:r>
        <w:rPr>
          <w:rFonts w:ascii="宋体" w:hAnsi="宋体" w:eastAsia="宋体" w:cs="宋体"/>
          <w:spacing w:val="-10"/>
          <w:sz w:val="21"/>
          <w:szCs w:val="21"/>
        </w:rPr>
        <w:t>以下称“承包人</w:t>
      </w:r>
      <w:r>
        <w:rPr>
          <w:rFonts w:ascii="宋体" w:hAnsi="宋体" w:eastAsia="宋体" w:cs="宋体"/>
          <w:spacing w:val="-76"/>
          <w:sz w:val="21"/>
          <w:szCs w:val="21"/>
        </w:rPr>
        <w:t xml:space="preserve"> </w:t>
      </w:r>
      <w:r>
        <w:rPr>
          <w:rFonts w:ascii="宋体" w:hAnsi="宋体" w:eastAsia="宋体" w:cs="宋体"/>
          <w:spacing w:val="-10"/>
          <w:sz w:val="21"/>
          <w:szCs w:val="21"/>
        </w:rPr>
        <w:t>”）与</w:t>
      </w:r>
      <w:r>
        <w:rPr>
          <w:rFonts w:ascii="宋体" w:hAnsi="宋体" w:eastAsia="宋体" w:cs="宋体"/>
          <w:spacing w:val="-88"/>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0"/>
          <w:sz w:val="21"/>
          <w:szCs w:val="21"/>
        </w:rPr>
        <w:t>（发包人</w:t>
      </w:r>
      <w:r>
        <w:rPr>
          <w:rFonts w:ascii="宋体" w:hAnsi="宋体" w:eastAsia="宋体" w:cs="宋体"/>
          <w:spacing w:val="-17"/>
          <w:sz w:val="21"/>
          <w:szCs w:val="21"/>
        </w:rPr>
        <w:t>名称</w:t>
      </w:r>
      <w:r>
        <w:rPr>
          <w:rFonts w:ascii="宋体" w:hAnsi="宋体" w:eastAsia="宋体" w:cs="宋体"/>
          <w:spacing w:val="-58"/>
          <w:w w:val="96"/>
          <w:sz w:val="21"/>
          <w:szCs w:val="21"/>
        </w:rPr>
        <w:t>）（</w:t>
      </w:r>
      <w:r>
        <w:rPr>
          <w:rFonts w:ascii="宋体" w:hAnsi="宋体" w:eastAsia="宋体" w:cs="宋体"/>
          <w:spacing w:val="-17"/>
          <w:sz w:val="21"/>
          <w:szCs w:val="21"/>
        </w:rPr>
        <w:t>以下简称“发包人</w:t>
      </w:r>
      <w:r>
        <w:rPr>
          <w:rFonts w:ascii="宋体" w:hAnsi="宋体" w:eastAsia="宋体" w:cs="宋体"/>
          <w:spacing w:val="-75"/>
          <w:sz w:val="21"/>
          <w:szCs w:val="21"/>
        </w:rPr>
        <w:t xml:space="preserve"> </w:t>
      </w:r>
      <w:r>
        <w:rPr>
          <w:rFonts w:ascii="宋体" w:hAnsi="宋体" w:eastAsia="宋体" w:cs="宋体"/>
          <w:spacing w:val="-17"/>
          <w:sz w:val="21"/>
          <w:szCs w:val="21"/>
        </w:rPr>
        <w:t>”）于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7"/>
          <w:sz w:val="21"/>
          <w:szCs w:val="21"/>
        </w:rPr>
        <w:t>年</w:t>
      </w:r>
      <w:r>
        <w:rPr>
          <w:rFonts w:ascii="宋体" w:hAnsi="宋体" w:eastAsia="宋体" w:cs="宋体"/>
          <w:spacing w:val="-17"/>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7"/>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7"/>
          <w:sz w:val="21"/>
          <w:szCs w:val="21"/>
        </w:rPr>
        <w:t>日签订的</w:t>
      </w:r>
      <w:r>
        <w:rPr>
          <w:rFonts w:ascii="宋体" w:hAnsi="宋体" w:eastAsia="宋体" w:cs="宋体"/>
          <w:spacing w:val="1"/>
          <w:sz w:val="21"/>
          <w:szCs w:val="21"/>
          <w:u w:val="single" w:color="auto"/>
        </w:rPr>
        <w:t xml:space="preserve">              </w:t>
      </w:r>
      <w:r>
        <w:rPr>
          <w:rFonts w:ascii="宋体" w:hAnsi="宋体" w:eastAsia="宋体" w:cs="宋体"/>
          <w:spacing w:val="-17"/>
          <w:sz w:val="21"/>
          <w:szCs w:val="21"/>
        </w:rPr>
        <w:t>（工程名称）《建</w:t>
      </w:r>
      <w:r>
        <w:rPr>
          <w:rFonts w:ascii="宋体" w:hAnsi="宋体" w:eastAsia="宋体" w:cs="宋体"/>
          <w:spacing w:val="-3"/>
          <w:sz w:val="21"/>
          <w:szCs w:val="21"/>
        </w:rPr>
        <w:t>设工程施工合同》，承包人按约定的金额向你方提交一份预付款担保，即有权得到你方支付</w:t>
      </w:r>
      <w:r>
        <w:rPr>
          <w:rFonts w:ascii="宋体" w:hAnsi="宋体" w:eastAsia="宋体" w:cs="宋体"/>
          <w:spacing w:val="-1"/>
          <w:sz w:val="21"/>
          <w:szCs w:val="21"/>
        </w:rPr>
        <w:t>相等金额的预付款。我方愿意就你方提供给承包人的预付款为承包人提供连带责任担保。</w:t>
      </w:r>
    </w:p>
    <w:p w14:paraId="3CA57C5D">
      <w:pPr>
        <w:spacing w:before="1" w:line="218" w:lineRule="auto"/>
        <w:ind w:left="460"/>
        <w:rPr>
          <w:rFonts w:ascii="宋体" w:hAnsi="宋体" w:eastAsia="宋体" w:cs="宋体"/>
          <w:sz w:val="21"/>
          <w:szCs w:val="21"/>
        </w:rPr>
      </w:pPr>
      <w:r>
        <w:rPr>
          <w:rFonts w:ascii="宋体" w:hAnsi="宋体" w:eastAsia="宋体" w:cs="宋体"/>
          <w:spacing w:val="-3"/>
          <w:sz w:val="21"/>
          <w:szCs w:val="21"/>
        </w:rPr>
        <w:t>1. 担保金额人民币（大写）</w:t>
      </w:r>
      <w:r>
        <w:rPr>
          <w:rFonts w:ascii="宋体" w:hAnsi="宋体" w:eastAsia="宋体" w:cs="宋体"/>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3"/>
          <w:sz w:val="21"/>
          <w:szCs w:val="21"/>
        </w:rPr>
        <w:t>元 (¥</w:t>
      </w:r>
      <w:r>
        <w:rPr>
          <w:rFonts w:ascii="宋体" w:hAnsi="宋体" w:eastAsia="宋体" w:cs="宋体"/>
          <w:sz w:val="21"/>
          <w:szCs w:val="21"/>
          <w:u w:val="single" w:color="auto"/>
        </w:rPr>
        <w:t xml:space="preserve">             </w:t>
      </w:r>
      <w:r>
        <w:rPr>
          <w:rFonts w:ascii="宋体" w:hAnsi="宋体" w:eastAsia="宋体" w:cs="宋体"/>
          <w:spacing w:val="-72"/>
          <w:sz w:val="21"/>
          <w:szCs w:val="21"/>
        </w:rPr>
        <w:t xml:space="preserve"> </w:t>
      </w:r>
      <w:r>
        <w:rPr>
          <w:rFonts w:ascii="宋体" w:hAnsi="宋体" w:eastAsia="宋体" w:cs="宋体"/>
          <w:spacing w:val="-3"/>
          <w:sz w:val="21"/>
          <w:szCs w:val="21"/>
        </w:rPr>
        <w:t>)。</w:t>
      </w:r>
    </w:p>
    <w:p w14:paraId="4FCFB25E">
      <w:pPr>
        <w:spacing w:before="216" w:line="409" w:lineRule="auto"/>
        <w:ind w:left="24" w:right="20" w:firstLine="423"/>
        <w:rPr>
          <w:rFonts w:ascii="宋体" w:hAnsi="宋体" w:eastAsia="宋体" w:cs="宋体"/>
          <w:sz w:val="21"/>
          <w:szCs w:val="21"/>
        </w:rPr>
      </w:pPr>
      <w:r>
        <w:rPr>
          <w:rFonts w:ascii="宋体" w:hAnsi="宋体" w:eastAsia="宋体" w:cs="宋体"/>
          <w:sz w:val="21"/>
          <w:szCs w:val="21"/>
        </w:rPr>
        <w:t>2. 担保有效期自预付款支付给承包人起生效，至你方签发的进度款支付证书说明已完</w:t>
      </w:r>
      <w:r>
        <w:rPr>
          <w:rFonts w:ascii="宋体" w:hAnsi="宋体" w:eastAsia="宋体" w:cs="宋体"/>
          <w:spacing w:val="-6"/>
          <w:sz w:val="21"/>
          <w:szCs w:val="21"/>
        </w:rPr>
        <w:t>全扣清止。</w:t>
      </w:r>
    </w:p>
    <w:p w14:paraId="4336271A">
      <w:pPr>
        <w:spacing w:before="2" w:line="413" w:lineRule="auto"/>
        <w:ind w:left="24" w:firstLine="424"/>
        <w:rPr>
          <w:rFonts w:ascii="宋体" w:hAnsi="宋体" w:eastAsia="宋体" w:cs="宋体"/>
          <w:sz w:val="21"/>
          <w:szCs w:val="21"/>
        </w:rPr>
      </w:pPr>
      <w:r>
        <w:rPr>
          <w:rFonts w:ascii="宋体" w:hAnsi="宋体" w:eastAsia="宋体" w:cs="宋体"/>
          <w:sz w:val="21"/>
          <w:szCs w:val="21"/>
        </w:rPr>
        <w:t>3. 在本保函有效期内，因承包人违反合同约定的义务而要求收回预付款时，我方</w:t>
      </w:r>
      <w:r>
        <w:rPr>
          <w:rFonts w:ascii="宋体" w:hAnsi="宋体" w:eastAsia="宋体" w:cs="宋体"/>
          <w:spacing w:val="-1"/>
          <w:sz w:val="21"/>
          <w:szCs w:val="21"/>
        </w:rPr>
        <w:t>在收</w:t>
      </w:r>
      <w:r>
        <w:rPr>
          <w:rFonts w:ascii="宋体" w:hAnsi="宋体" w:eastAsia="宋体" w:cs="宋体"/>
          <w:spacing w:val="-2"/>
          <w:sz w:val="21"/>
          <w:szCs w:val="21"/>
        </w:rPr>
        <w:t>到你方的书面通知后，在7天内无条件支付。但本保函的担保金额， 在任何时候不应超过预</w:t>
      </w:r>
      <w:r>
        <w:rPr>
          <w:rFonts w:ascii="宋体" w:hAnsi="宋体" w:eastAsia="宋体" w:cs="宋体"/>
          <w:spacing w:val="-1"/>
          <w:sz w:val="21"/>
          <w:szCs w:val="21"/>
        </w:rPr>
        <w:t>付款金额减去你方按合同约定在向承包人签发的进度款支付证书中扣除的金额。</w:t>
      </w:r>
    </w:p>
    <w:p w14:paraId="544B40F5">
      <w:pPr>
        <w:spacing w:before="1" w:line="218" w:lineRule="auto"/>
        <w:ind w:left="443"/>
        <w:rPr>
          <w:rFonts w:ascii="宋体" w:hAnsi="宋体" w:eastAsia="宋体" w:cs="宋体"/>
          <w:sz w:val="21"/>
          <w:szCs w:val="21"/>
        </w:rPr>
      </w:pPr>
      <w:r>
        <w:rPr>
          <w:rFonts w:ascii="宋体" w:hAnsi="宋体" w:eastAsia="宋体" w:cs="宋体"/>
          <w:spacing w:val="-1"/>
          <w:sz w:val="21"/>
          <w:szCs w:val="21"/>
        </w:rPr>
        <w:t>4. 你方和承包人按合同约定变更合同时，我方承担本保函规定的义务不变。</w:t>
      </w:r>
    </w:p>
    <w:p w14:paraId="7E4CFD6B">
      <w:pPr>
        <w:spacing w:before="217" w:line="411" w:lineRule="auto"/>
        <w:ind w:left="23" w:right="7" w:firstLine="425"/>
        <w:rPr>
          <w:rFonts w:ascii="宋体" w:hAnsi="宋体" w:eastAsia="宋体" w:cs="宋体"/>
          <w:sz w:val="21"/>
          <w:szCs w:val="21"/>
        </w:rPr>
      </w:pPr>
      <w:r>
        <w:rPr>
          <w:rFonts w:ascii="宋体" w:hAnsi="宋体" w:eastAsia="宋体" w:cs="宋体"/>
          <w:sz w:val="21"/>
          <w:szCs w:val="21"/>
        </w:rPr>
        <w:t>5. 因本保函发生的纠纷，可由双方协商解决，协商不成的，任何一方均可提请</w:t>
      </w:r>
      <w:r>
        <w:rPr>
          <w:rFonts w:ascii="宋体" w:hAnsi="宋体" w:eastAsia="宋体" w:cs="宋体"/>
          <w:sz w:val="21"/>
          <w:szCs w:val="21"/>
          <w:u w:val="single" w:color="auto"/>
        </w:rPr>
        <w:t xml:space="preserve">      </w:t>
      </w:r>
      <w:r>
        <w:rPr>
          <w:rFonts w:ascii="宋体" w:hAnsi="宋体" w:eastAsia="宋体" w:cs="宋体"/>
          <w:spacing w:val="-4"/>
          <w:sz w:val="21"/>
          <w:szCs w:val="21"/>
        </w:rPr>
        <w:t>仲裁委员会仲裁。</w:t>
      </w:r>
    </w:p>
    <w:p w14:paraId="7D6B4BDD">
      <w:pPr>
        <w:spacing w:before="10" w:line="219" w:lineRule="auto"/>
        <w:ind w:left="446"/>
        <w:rPr>
          <w:rFonts w:ascii="宋体" w:hAnsi="宋体" w:eastAsia="宋体" w:cs="宋体"/>
          <w:sz w:val="21"/>
          <w:szCs w:val="21"/>
        </w:rPr>
      </w:pPr>
      <w:r>
        <w:rPr>
          <w:rFonts w:ascii="宋体" w:hAnsi="宋体" w:eastAsia="宋体" w:cs="宋体"/>
          <w:spacing w:val="-1"/>
          <w:sz w:val="21"/>
          <w:szCs w:val="21"/>
        </w:rPr>
        <w:t>6. 本保函自我方法定代表人（或其授权代理人）签字并加盖公章之日起生效。</w:t>
      </w:r>
    </w:p>
    <w:p w14:paraId="17CE88A1">
      <w:pPr>
        <w:pStyle w:val="2"/>
        <w:spacing w:line="268" w:lineRule="auto"/>
      </w:pPr>
    </w:p>
    <w:p w14:paraId="2DCC4500">
      <w:pPr>
        <w:pStyle w:val="2"/>
        <w:spacing w:line="268" w:lineRule="auto"/>
      </w:pPr>
    </w:p>
    <w:p w14:paraId="45C850D8">
      <w:pPr>
        <w:pStyle w:val="2"/>
        <w:spacing w:line="268" w:lineRule="auto"/>
      </w:pPr>
    </w:p>
    <w:p w14:paraId="3142C2C3">
      <w:pPr>
        <w:pStyle w:val="2"/>
        <w:spacing w:line="268" w:lineRule="auto"/>
      </w:pPr>
    </w:p>
    <w:p w14:paraId="65A3E9F9">
      <w:pPr>
        <w:spacing w:before="69" w:line="219" w:lineRule="auto"/>
        <w:ind w:left="3073"/>
        <w:rPr>
          <w:rFonts w:ascii="宋体" w:hAnsi="宋体" w:eastAsia="宋体" w:cs="宋体"/>
          <w:sz w:val="21"/>
          <w:szCs w:val="21"/>
        </w:rPr>
      </w:pPr>
      <w:r>
        <w:rPr>
          <w:rFonts w:ascii="宋体" w:hAnsi="宋体" w:eastAsia="宋体" w:cs="宋体"/>
          <w:spacing w:val="-2"/>
          <w:sz w:val="21"/>
          <w:szCs w:val="21"/>
        </w:rPr>
        <w:t>担保人：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6AD8350C">
      <w:pPr>
        <w:spacing w:before="216" w:line="220" w:lineRule="auto"/>
        <w:ind w:left="3073"/>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2E3C5476">
      <w:pPr>
        <w:spacing w:before="231" w:line="229" w:lineRule="auto"/>
        <w:ind w:left="3072"/>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781FE1D1">
      <w:pPr>
        <w:spacing w:before="204" w:line="220" w:lineRule="auto"/>
        <w:ind w:left="3088"/>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322743B1">
      <w:pPr>
        <w:spacing w:before="215" w:line="222" w:lineRule="auto"/>
        <w:ind w:left="3097"/>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4D659D38">
      <w:pPr>
        <w:spacing w:before="213" w:line="219" w:lineRule="auto"/>
        <w:ind w:left="3071"/>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35368594">
      <w:pPr>
        <w:pStyle w:val="2"/>
        <w:spacing w:line="312" w:lineRule="auto"/>
      </w:pPr>
    </w:p>
    <w:p w14:paraId="3F0523AE">
      <w:pPr>
        <w:pStyle w:val="2"/>
        <w:spacing w:line="312" w:lineRule="auto"/>
      </w:pPr>
    </w:p>
    <w:p w14:paraId="142757E9">
      <w:pPr>
        <w:tabs>
          <w:tab w:val="left" w:pos="6007"/>
        </w:tabs>
        <w:spacing w:before="69" w:line="220" w:lineRule="auto"/>
        <w:ind w:left="443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p>
    <w:p w14:paraId="25812DDE">
      <w:pPr>
        <w:spacing w:line="220" w:lineRule="auto"/>
        <w:rPr>
          <w:rFonts w:ascii="宋体" w:hAnsi="宋体" w:eastAsia="宋体" w:cs="宋体"/>
          <w:sz w:val="21"/>
          <w:szCs w:val="21"/>
        </w:rPr>
        <w:sectPr>
          <w:footerReference r:id="rId249" w:type="default"/>
          <w:pgSz w:w="11910" w:h="16845"/>
          <w:pgMar w:top="400" w:right="1779" w:bottom="1110" w:left="1786" w:header="0" w:footer="882" w:gutter="0"/>
          <w:cols w:space="720" w:num="1"/>
        </w:sectPr>
      </w:pPr>
    </w:p>
    <w:p w14:paraId="61AE81D9">
      <w:pPr>
        <w:pStyle w:val="2"/>
        <w:spacing w:line="274" w:lineRule="auto"/>
      </w:pPr>
    </w:p>
    <w:p w14:paraId="47A8CB2D">
      <w:pPr>
        <w:pStyle w:val="2"/>
        <w:spacing w:line="274" w:lineRule="auto"/>
      </w:pPr>
    </w:p>
    <w:p w14:paraId="6A086483">
      <w:pPr>
        <w:pStyle w:val="2"/>
        <w:spacing w:line="274" w:lineRule="auto"/>
      </w:pPr>
    </w:p>
    <w:p w14:paraId="4E418B2F">
      <w:pPr>
        <w:pStyle w:val="2"/>
        <w:spacing w:line="275" w:lineRule="auto"/>
      </w:pPr>
    </w:p>
    <w:p w14:paraId="53A0CE5F">
      <w:pPr>
        <w:pStyle w:val="2"/>
        <w:spacing w:line="275" w:lineRule="auto"/>
      </w:pPr>
    </w:p>
    <w:p w14:paraId="52A3FD80">
      <w:pPr>
        <w:spacing w:before="91" w:line="225" w:lineRule="auto"/>
        <w:ind w:left="42"/>
        <w:outlineLvl w:val="2"/>
        <w:rPr>
          <w:rFonts w:ascii="黑体" w:hAnsi="黑体" w:eastAsia="黑体" w:cs="黑体"/>
          <w:sz w:val="28"/>
          <w:szCs w:val="28"/>
        </w:rPr>
      </w:pPr>
      <w:bookmarkStart w:id="572" w:name="bookmark528"/>
      <w:bookmarkEnd w:id="572"/>
      <w:r>
        <w:rPr>
          <w:rFonts w:ascii="黑体" w:hAnsi="黑体" w:eastAsia="黑体" w:cs="黑体"/>
          <w:b/>
          <w:bCs/>
          <w:spacing w:val="-6"/>
          <w:sz w:val="28"/>
          <w:szCs w:val="28"/>
        </w:rPr>
        <w:t>附件</w:t>
      </w:r>
      <w:r>
        <w:rPr>
          <w:rFonts w:ascii="黑体" w:hAnsi="黑体" w:eastAsia="黑体" w:cs="黑体"/>
          <w:spacing w:val="-25"/>
          <w:sz w:val="28"/>
          <w:szCs w:val="28"/>
        </w:rPr>
        <w:t xml:space="preserve"> </w:t>
      </w:r>
      <w:r>
        <w:rPr>
          <w:rFonts w:ascii="黑体" w:hAnsi="黑体" w:eastAsia="黑体" w:cs="黑体"/>
          <w:b/>
          <w:bCs/>
          <w:spacing w:val="-6"/>
          <w:sz w:val="28"/>
          <w:szCs w:val="28"/>
        </w:rPr>
        <w:t>10:</w:t>
      </w:r>
    </w:p>
    <w:p w14:paraId="6EE02D8F">
      <w:pPr>
        <w:pStyle w:val="2"/>
        <w:spacing w:line="389" w:lineRule="auto"/>
      </w:pPr>
    </w:p>
    <w:p w14:paraId="31DC20F3">
      <w:pPr>
        <w:spacing w:before="91" w:line="225" w:lineRule="auto"/>
        <w:ind w:left="3610"/>
        <w:rPr>
          <w:rFonts w:ascii="黑体" w:hAnsi="黑体" w:eastAsia="黑体" w:cs="黑体"/>
          <w:sz w:val="28"/>
          <w:szCs w:val="28"/>
        </w:rPr>
      </w:pPr>
      <w:r>
        <w:rPr>
          <w:rFonts w:ascii="黑体" w:hAnsi="黑体" w:eastAsia="黑体" w:cs="黑体"/>
          <w:spacing w:val="7"/>
          <w:sz w:val="28"/>
          <w:szCs w:val="28"/>
        </w:rPr>
        <w:t>支付担保</w:t>
      </w:r>
    </w:p>
    <w:p w14:paraId="7AC9EDBD">
      <w:pPr>
        <w:pStyle w:val="2"/>
        <w:spacing w:line="254" w:lineRule="auto"/>
      </w:pPr>
    </w:p>
    <w:p w14:paraId="6C7A9809">
      <w:pPr>
        <w:tabs>
          <w:tab w:val="left" w:pos="1381"/>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（承包人</w:t>
      </w:r>
      <w:r>
        <w:rPr>
          <w:rFonts w:ascii="宋体" w:hAnsi="宋体" w:eastAsia="宋体" w:cs="宋体"/>
          <w:spacing w:val="-54"/>
          <w:w w:val="97"/>
          <w:sz w:val="21"/>
          <w:szCs w:val="21"/>
        </w:rPr>
        <w:t>）：</w:t>
      </w:r>
    </w:p>
    <w:p w14:paraId="66625083">
      <w:pPr>
        <w:pStyle w:val="2"/>
        <w:spacing w:line="260" w:lineRule="auto"/>
      </w:pPr>
    </w:p>
    <w:p w14:paraId="1A51F2E3">
      <w:pPr>
        <w:pStyle w:val="2"/>
        <w:spacing w:line="261" w:lineRule="auto"/>
      </w:pPr>
    </w:p>
    <w:p w14:paraId="425F0383">
      <w:pPr>
        <w:spacing w:before="68" w:line="389" w:lineRule="auto"/>
        <w:ind w:left="25" w:right="60" w:firstLine="422"/>
        <w:jc w:val="both"/>
        <w:rPr>
          <w:rFonts w:ascii="宋体" w:hAnsi="宋体" w:eastAsia="宋体" w:cs="宋体"/>
          <w:sz w:val="21"/>
          <w:szCs w:val="21"/>
        </w:rPr>
      </w:pPr>
      <w:r>
        <w:rPr>
          <w:rFonts w:ascii="宋体" w:hAnsi="宋体" w:eastAsia="宋体" w:cs="宋体"/>
          <w:spacing w:val="-14"/>
          <w:sz w:val="21"/>
          <w:szCs w:val="21"/>
        </w:rPr>
        <w:t>鉴于你方作为承包人已经与</w:t>
      </w:r>
      <w:r>
        <w:rPr>
          <w:rFonts w:ascii="宋体" w:hAnsi="宋体" w:eastAsia="宋体" w:cs="宋体"/>
          <w:spacing w:val="11"/>
          <w:sz w:val="21"/>
          <w:szCs w:val="21"/>
          <w:u w:val="single" w:color="auto"/>
        </w:rPr>
        <w:t xml:space="preserve">         </w:t>
      </w:r>
      <w:r>
        <w:rPr>
          <w:rFonts w:ascii="宋体" w:hAnsi="宋体" w:eastAsia="宋体" w:cs="宋体"/>
          <w:spacing w:val="-14"/>
          <w:sz w:val="21"/>
          <w:szCs w:val="21"/>
        </w:rPr>
        <w:t>（发包人名称</w:t>
      </w:r>
      <w:r>
        <w:rPr>
          <w:rFonts w:ascii="宋体" w:hAnsi="宋体" w:eastAsia="宋体" w:cs="宋体"/>
          <w:spacing w:val="-52"/>
          <w:w w:val="87"/>
          <w:sz w:val="21"/>
          <w:szCs w:val="21"/>
        </w:rPr>
        <w:t>）（</w:t>
      </w:r>
      <w:r>
        <w:rPr>
          <w:rFonts w:ascii="宋体" w:hAnsi="宋体" w:eastAsia="宋体" w:cs="宋体"/>
          <w:spacing w:val="-14"/>
          <w:sz w:val="21"/>
          <w:szCs w:val="21"/>
        </w:rPr>
        <w:t>以下称“发包人</w:t>
      </w:r>
      <w:r>
        <w:rPr>
          <w:rFonts w:ascii="宋体" w:hAnsi="宋体" w:eastAsia="宋体" w:cs="宋体"/>
          <w:spacing w:val="-69"/>
          <w:sz w:val="21"/>
          <w:szCs w:val="21"/>
        </w:rPr>
        <w:t xml:space="preserve"> </w:t>
      </w:r>
      <w:r>
        <w:rPr>
          <w:rFonts w:ascii="宋体" w:hAnsi="宋体" w:eastAsia="宋体" w:cs="宋体"/>
          <w:spacing w:val="-14"/>
          <w:sz w:val="21"/>
          <w:szCs w:val="21"/>
        </w:rPr>
        <w:t>”）于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4"/>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4"/>
          <w:sz w:val="21"/>
          <w:szCs w:val="21"/>
        </w:rPr>
        <w:t>月</w:t>
      </w:r>
      <w:r>
        <w:rPr>
          <w:rFonts w:ascii="宋体" w:hAnsi="宋体" w:eastAsia="宋体" w:cs="宋体"/>
          <w:spacing w:val="-5"/>
          <w:sz w:val="21"/>
          <w:szCs w:val="21"/>
        </w:rPr>
        <w:t>日签订了</w:t>
      </w:r>
      <w:r>
        <w:rPr>
          <w:rFonts w:ascii="宋体" w:hAnsi="宋体" w:eastAsia="宋体" w:cs="宋体"/>
          <w:spacing w:val="-5"/>
          <w:sz w:val="21"/>
          <w:szCs w:val="21"/>
          <w:u w:val="single" w:color="auto"/>
        </w:rPr>
        <w:t xml:space="preserve">             </w:t>
      </w:r>
      <w:r>
        <w:rPr>
          <w:rFonts w:ascii="宋体" w:hAnsi="宋体" w:eastAsia="宋体" w:cs="宋体"/>
          <w:spacing w:val="-5"/>
          <w:sz w:val="21"/>
          <w:szCs w:val="21"/>
        </w:rPr>
        <w:t>（工程名称）《建设工程施工合同》（以下称“主合同</w:t>
      </w:r>
      <w:r>
        <w:rPr>
          <w:rFonts w:ascii="宋体" w:hAnsi="宋体" w:eastAsia="宋体" w:cs="宋体"/>
          <w:spacing w:val="-77"/>
          <w:sz w:val="21"/>
          <w:szCs w:val="21"/>
        </w:rPr>
        <w:t xml:space="preserve"> </w:t>
      </w:r>
      <w:r>
        <w:rPr>
          <w:rFonts w:ascii="宋体" w:hAnsi="宋体" w:eastAsia="宋体" w:cs="宋体"/>
          <w:spacing w:val="-5"/>
          <w:sz w:val="21"/>
          <w:szCs w:val="21"/>
        </w:rPr>
        <w:t>”</w:t>
      </w:r>
      <w:r>
        <w:rPr>
          <w:rFonts w:ascii="宋体" w:hAnsi="宋体" w:eastAsia="宋体" w:cs="宋体"/>
          <w:spacing w:val="-36"/>
          <w:w w:val="66"/>
          <w:sz w:val="21"/>
          <w:szCs w:val="21"/>
        </w:rPr>
        <w:t>），</w:t>
      </w:r>
      <w:r>
        <w:rPr>
          <w:rFonts w:ascii="宋体" w:hAnsi="宋体" w:eastAsia="宋体" w:cs="宋体"/>
          <w:spacing w:val="-5"/>
          <w:sz w:val="21"/>
          <w:szCs w:val="21"/>
        </w:rPr>
        <w:t>应</w:t>
      </w:r>
      <w:r>
        <w:rPr>
          <w:rFonts w:ascii="宋体" w:hAnsi="宋体" w:eastAsia="宋体" w:cs="宋体"/>
          <w:spacing w:val="-6"/>
          <w:sz w:val="21"/>
          <w:szCs w:val="21"/>
        </w:rPr>
        <w:t>发包人</w:t>
      </w:r>
      <w:r>
        <w:rPr>
          <w:rFonts w:ascii="宋体" w:hAnsi="宋体" w:eastAsia="宋体" w:cs="宋体"/>
          <w:spacing w:val="-2"/>
          <w:sz w:val="21"/>
          <w:szCs w:val="21"/>
        </w:rPr>
        <w:t>的申请，我方愿就发包人履行主合同约定的工程款支付义务以保证的方式向你方</w:t>
      </w:r>
      <w:r>
        <w:rPr>
          <w:rFonts w:ascii="宋体" w:hAnsi="宋体" w:eastAsia="宋体" w:cs="宋体"/>
          <w:spacing w:val="-3"/>
          <w:sz w:val="21"/>
          <w:szCs w:val="21"/>
        </w:rPr>
        <w:t>提供如下担</w:t>
      </w:r>
      <w:r>
        <w:rPr>
          <w:rFonts w:ascii="宋体" w:hAnsi="宋体" w:eastAsia="宋体" w:cs="宋体"/>
          <w:spacing w:val="-15"/>
          <w:sz w:val="21"/>
          <w:szCs w:val="21"/>
        </w:rPr>
        <w:t>保：</w:t>
      </w:r>
    </w:p>
    <w:p w14:paraId="366B62DA">
      <w:pPr>
        <w:spacing w:before="1" w:line="219" w:lineRule="auto"/>
        <w:ind w:left="448"/>
        <w:rPr>
          <w:rFonts w:ascii="宋体" w:hAnsi="宋体" w:eastAsia="宋体" w:cs="宋体"/>
          <w:sz w:val="21"/>
          <w:szCs w:val="21"/>
        </w:rPr>
      </w:pPr>
      <w:r>
        <w:rPr>
          <w:rFonts w:ascii="宋体" w:hAnsi="宋体" w:eastAsia="宋体" w:cs="宋体"/>
          <w:b/>
          <w:bCs/>
          <w:spacing w:val="2"/>
          <w:sz w:val="21"/>
          <w:szCs w:val="21"/>
        </w:rPr>
        <w:t>一、保证的范围及保证金额</w:t>
      </w:r>
    </w:p>
    <w:p w14:paraId="32B5C0E2">
      <w:pPr>
        <w:spacing w:before="156" w:line="220" w:lineRule="auto"/>
        <w:ind w:left="460"/>
        <w:rPr>
          <w:rFonts w:ascii="宋体" w:hAnsi="宋体" w:eastAsia="宋体" w:cs="宋体"/>
          <w:sz w:val="21"/>
          <w:szCs w:val="21"/>
        </w:rPr>
      </w:pPr>
      <w:r>
        <w:rPr>
          <w:rFonts w:ascii="宋体" w:hAnsi="宋体" w:eastAsia="宋体" w:cs="宋体"/>
          <w:spacing w:val="-3"/>
          <w:sz w:val="21"/>
          <w:szCs w:val="21"/>
        </w:rPr>
        <w:t>1. 我方的保证范围是主合同约定的工程款。</w:t>
      </w:r>
    </w:p>
    <w:p w14:paraId="626CCB38">
      <w:pPr>
        <w:spacing w:before="214" w:line="416" w:lineRule="auto"/>
        <w:ind w:left="25" w:right="73" w:firstLine="422"/>
        <w:rPr>
          <w:rFonts w:ascii="宋体" w:hAnsi="宋体" w:eastAsia="宋体" w:cs="宋体"/>
          <w:sz w:val="21"/>
          <w:szCs w:val="21"/>
        </w:rPr>
      </w:pPr>
      <w:r>
        <w:rPr>
          <w:rFonts w:ascii="宋体" w:hAnsi="宋体" w:eastAsia="宋体" w:cs="宋体"/>
          <w:sz w:val="21"/>
          <w:szCs w:val="21"/>
        </w:rPr>
        <w:t>2. 本保函所称主合同约定的工程款是指主合同约定的除工程质量保证金以外的合同价</w:t>
      </w:r>
      <w:r>
        <w:rPr>
          <w:rFonts w:ascii="宋体" w:hAnsi="宋体" w:eastAsia="宋体" w:cs="宋体"/>
          <w:spacing w:val="-10"/>
          <w:sz w:val="21"/>
          <w:szCs w:val="21"/>
        </w:rPr>
        <w:t>款。</w:t>
      </w:r>
    </w:p>
    <w:p w14:paraId="241E6CCD">
      <w:pPr>
        <w:spacing w:before="1" w:line="218" w:lineRule="auto"/>
        <w:ind w:left="448"/>
        <w:rPr>
          <w:rFonts w:ascii="宋体" w:hAnsi="宋体" w:eastAsia="宋体" w:cs="宋体"/>
          <w:sz w:val="21"/>
          <w:szCs w:val="21"/>
        </w:rPr>
      </w:pPr>
      <w:r>
        <w:rPr>
          <w:rFonts w:ascii="宋体" w:hAnsi="宋体" w:eastAsia="宋体" w:cs="宋体"/>
          <w:sz w:val="21"/>
          <w:szCs w:val="21"/>
        </w:rPr>
        <w:t>3. 我方保证的金额是主合同约定的工程款的</w:t>
      </w:r>
      <w:r>
        <w:rPr>
          <w:rFonts w:ascii="宋体" w:hAnsi="宋体" w:eastAsia="宋体" w:cs="宋体"/>
          <w:sz w:val="21"/>
          <w:szCs w:val="21"/>
          <w:u w:val="single" w:color="auto"/>
        </w:rPr>
        <w:t xml:space="preserve">      </w:t>
      </w:r>
      <w:r>
        <w:rPr>
          <w:rFonts w:ascii="宋体" w:hAnsi="宋体" w:eastAsia="宋体" w:cs="宋体"/>
          <w:sz w:val="21"/>
          <w:szCs w:val="21"/>
        </w:rPr>
        <w:t>%，数额</w:t>
      </w:r>
      <w:r>
        <w:rPr>
          <w:rFonts w:ascii="宋体" w:hAnsi="宋体" w:eastAsia="宋体" w:cs="宋体"/>
          <w:spacing w:val="-1"/>
          <w:sz w:val="21"/>
          <w:szCs w:val="21"/>
        </w:rPr>
        <w:t>最高不超过人民币元（大</w:t>
      </w:r>
    </w:p>
    <w:p w14:paraId="59434639">
      <w:pPr>
        <w:spacing w:before="216" w:line="222" w:lineRule="auto"/>
        <w:ind w:left="29"/>
        <w:rPr>
          <w:rFonts w:ascii="宋体" w:hAnsi="宋体" w:eastAsia="宋体" w:cs="宋体"/>
          <w:sz w:val="21"/>
          <w:szCs w:val="21"/>
        </w:rPr>
      </w:pPr>
      <w:r>
        <w:rPr>
          <w:rFonts w:ascii="宋体" w:hAnsi="宋体" w:eastAsia="宋体" w:cs="宋体"/>
          <w:spacing w:val="-4"/>
          <w:sz w:val="21"/>
          <w:szCs w:val="21"/>
        </w:rPr>
        <w:t>写</w:t>
      </w:r>
      <w:r>
        <w:rPr>
          <w:rFonts w:ascii="宋体" w:hAnsi="宋体" w:eastAsia="宋体" w:cs="宋体"/>
          <w:spacing w:val="-38"/>
          <w:sz w:val="21"/>
          <w:szCs w:val="21"/>
        </w:rPr>
        <w:t>：</w:t>
      </w:r>
      <w:r>
        <w:rPr>
          <w:rFonts w:ascii="宋体" w:hAnsi="宋体" w:eastAsia="宋体" w:cs="宋体"/>
          <w:sz w:val="21"/>
          <w:szCs w:val="21"/>
          <w:u w:val="single" w:color="auto"/>
        </w:rPr>
        <w:t xml:space="preserve">        </w:t>
      </w:r>
      <w:r>
        <w:rPr>
          <w:rFonts w:ascii="宋体" w:hAnsi="宋体" w:eastAsia="宋体" w:cs="宋体"/>
          <w:spacing w:val="-38"/>
          <w:sz w:val="21"/>
          <w:szCs w:val="21"/>
        </w:rPr>
        <w:t>）</w:t>
      </w:r>
      <w:r>
        <w:rPr>
          <w:rFonts w:ascii="宋体" w:hAnsi="宋体" w:eastAsia="宋体" w:cs="宋体"/>
          <w:spacing w:val="-4"/>
          <w:sz w:val="21"/>
          <w:szCs w:val="21"/>
        </w:rPr>
        <w:t>。</w:t>
      </w:r>
    </w:p>
    <w:p w14:paraId="61EFE15A">
      <w:pPr>
        <w:spacing w:before="124" w:line="220" w:lineRule="auto"/>
        <w:ind w:left="448"/>
        <w:rPr>
          <w:rFonts w:ascii="宋体" w:hAnsi="宋体" w:eastAsia="宋体" w:cs="宋体"/>
          <w:sz w:val="21"/>
          <w:szCs w:val="21"/>
        </w:rPr>
      </w:pPr>
      <w:r>
        <w:rPr>
          <w:rFonts w:ascii="宋体" w:hAnsi="宋体" w:eastAsia="宋体" w:cs="宋体"/>
          <w:b/>
          <w:bCs/>
          <w:spacing w:val="2"/>
          <w:sz w:val="21"/>
          <w:szCs w:val="21"/>
        </w:rPr>
        <w:t>二、保证的方式及保证期间</w:t>
      </w:r>
    </w:p>
    <w:p w14:paraId="637E3139">
      <w:pPr>
        <w:spacing w:before="154" w:line="220" w:lineRule="auto"/>
        <w:ind w:left="460"/>
        <w:rPr>
          <w:rFonts w:ascii="宋体" w:hAnsi="宋体" w:eastAsia="宋体" w:cs="宋体"/>
          <w:sz w:val="21"/>
          <w:szCs w:val="21"/>
        </w:rPr>
      </w:pPr>
      <w:r>
        <w:rPr>
          <w:rFonts w:ascii="宋体" w:hAnsi="宋体" w:eastAsia="宋体" w:cs="宋体"/>
          <w:spacing w:val="-3"/>
          <w:sz w:val="21"/>
          <w:szCs w:val="21"/>
        </w:rPr>
        <w:t>1. 我方保证的方式为：连带责任保证。</w:t>
      </w:r>
    </w:p>
    <w:p w14:paraId="3305F74E">
      <w:pPr>
        <w:spacing w:before="216" w:line="411" w:lineRule="auto"/>
        <w:ind w:left="60" w:right="65" w:firstLine="386"/>
        <w:rPr>
          <w:rFonts w:ascii="宋体" w:hAnsi="宋体" w:eastAsia="宋体" w:cs="宋体"/>
          <w:sz w:val="21"/>
          <w:szCs w:val="21"/>
        </w:rPr>
      </w:pPr>
      <w:r>
        <w:rPr>
          <w:rFonts w:ascii="宋体" w:hAnsi="宋体" w:eastAsia="宋体" w:cs="宋体"/>
          <w:sz w:val="21"/>
          <w:szCs w:val="21"/>
        </w:rPr>
        <w:t>2. 我方保证的期间为：自本合同生效之日起至主合同约定的工程款支付完毕之日后</w:t>
      </w:r>
      <w:r>
        <w:rPr>
          <w:rFonts w:ascii="宋体" w:hAnsi="宋体" w:eastAsia="宋体" w:cs="宋体"/>
          <w:sz w:val="21"/>
          <w:szCs w:val="21"/>
          <w:u w:val="single" w:color="auto"/>
        </w:rPr>
        <w:t xml:space="preserve">  </w:t>
      </w:r>
      <w:r>
        <w:rPr>
          <w:rFonts w:ascii="宋体" w:hAnsi="宋体" w:eastAsia="宋体" w:cs="宋体"/>
          <w:spacing w:val="-17"/>
          <w:sz w:val="21"/>
          <w:szCs w:val="21"/>
        </w:rPr>
        <w:t>日内。</w:t>
      </w:r>
    </w:p>
    <w:p w14:paraId="21B8F12A">
      <w:pPr>
        <w:spacing w:before="10" w:line="219" w:lineRule="auto"/>
        <w:ind w:left="448"/>
        <w:rPr>
          <w:rFonts w:ascii="宋体" w:hAnsi="宋体" w:eastAsia="宋体" w:cs="宋体"/>
          <w:sz w:val="21"/>
          <w:szCs w:val="21"/>
        </w:rPr>
      </w:pPr>
      <w:r>
        <w:rPr>
          <w:rFonts w:ascii="宋体" w:hAnsi="宋体" w:eastAsia="宋体" w:cs="宋体"/>
          <w:sz w:val="21"/>
          <w:szCs w:val="21"/>
        </w:rPr>
        <w:t>3. 你方与发包人协议变更工程款支付日期的，经我方书面同意后，保证期间按照变更</w:t>
      </w:r>
    </w:p>
    <w:p w14:paraId="367E93F1">
      <w:pPr>
        <w:spacing w:before="216" w:line="220" w:lineRule="auto"/>
        <w:ind w:left="25"/>
        <w:rPr>
          <w:rFonts w:ascii="宋体" w:hAnsi="宋体" w:eastAsia="宋体" w:cs="宋体"/>
          <w:sz w:val="21"/>
          <w:szCs w:val="21"/>
        </w:rPr>
      </w:pPr>
      <w:r>
        <w:rPr>
          <w:rFonts w:ascii="宋体" w:hAnsi="宋体" w:eastAsia="宋体" w:cs="宋体"/>
          <w:spacing w:val="-3"/>
          <w:sz w:val="21"/>
          <w:szCs w:val="21"/>
        </w:rPr>
        <w:t>后的支付日期做相应调整。</w:t>
      </w:r>
    </w:p>
    <w:p w14:paraId="43E131BA">
      <w:pPr>
        <w:spacing w:before="125" w:line="220" w:lineRule="auto"/>
        <w:ind w:left="444"/>
        <w:rPr>
          <w:rFonts w:ascii="宋体" w:hAnsi="宋体" w:eastAsia="宋体" w:cs="宋体"/>
          <w:sz w:val="21"/>
          <w:szCs w:val="21"/>
        </w:rPr>
      </w:pPr>
      <w:r>
        <w:rPr>
          <w:rFonts w:ascii="宋体" w:hAnsi="宋体" w:eastAsia="宋体" w:cs="宋体"/>
          <w:b/>
          <w:bCs/>
          <w:spacing w:val="2"/>
          <w:sz w:val="21"/>
          <w:szCs w:val="21"/>
        </w:rPr>
        <w:t>三、承担保证责任的形式</w:t>
      </w:r>
    </w:p>
    <w:p w14:paraId="3069655F">
      <w:pPr>
        <w:spacing w:before="155" w:line="370" w:lineRule="auto"/>
        <w:ind w:left="25" w:right="58" w:firstLine="420"/>
        <w:rPr>
          <w:rFonts w:ascii="宋体" w:hAnsi="宋体" w:eastAsia="宋体" w:cs="宋体"/>
          <w:sz w:val="21"/>
          <w:szCs w:val="21"/>
        </w:rPr>
      </w:pPr>
      <w:r>
        <w:rPr>
          <w:rFonts w:ascii="宋体" w:hAnsi="宋体" w:eastAsia="宋体" w:cs="宋体"/>
          <w:spacing w:val="-5"/>
          <w:sz w:val="21"/>
          <w:szCs w:val="21"/>
        </w:rPr>
        <w:t>我方承担保证责任的形式是代为支付。发包人未按主合同约定向你方支付工程款的， 由</w:t>
      </w:r>
      <w:r>
        <w:rPr>
          <w:rFonts w:ascii="宋体" w:hAnsi="宋体" w:eastAsia="宋体" w:cs="宋体"/>
          <w:spacing w:val="-3"/>
          <w:sz w:val="21"/>
          <w:szCs w:val="21"/>
        </w:rPr>
        <w:t>我方在保证金额内代为支付。</w:t>
      </w:r>
    </w:p>
    <w:p w14:paraId="3360FAF8">
      <w:pPr>
        <w:spacing w:before="1" w:line="219" w:lineRule="auto"/>
        <w:ind w:left="464"/>
        <w:rPr>
          <w:rFonts w:ascii="宋体" w:hAnsi="宋体" w:eastAsia="宋体" w:cs="宋体"/>
          <w:sz w:val="21"/>
          <w:szCs w:val="21"/>
        </w:rPr>
      </w:pPr>
      <w:r>
        <w:rPr>
          <w:rFonts w:ascii="宋体" w:hAnsi="宋体" w:eastAsia="宋体" w:cs="宋体"/>
          <w:b/>
          <w:bCs/>
          <w:sz w:val="21"/>
          <w:szCs w:val="21"/>
        </w:rPr>
        <w:t>四、代偿的安排</w:t>
      </w:r>
    </w:p>
    <w:p w14:paraId="47FE4449">
      <w:pPr>
        <w:spacing w:before="155" w:line="409" w:lineRule="auto"/>
        <w:ind w:left="29" w:right="73" w:firstLine="431"/>
        <w:rPr>
          <w:rFonts w:ascii="宋体" w:hAnsi="宋体" w:eastAsia="宋体" w:cs="宋体"/>
          <w:sz w:val="21"/>
          <w:szCs w:val="21"/>
        </w:rPr>
      </w:pPr>
      <w:r>
        <w:rPr>
          <w:rFonts w:ascii="宋体" w:hAnsi="宋体" w:eastAsia="宋体" w:cs="宋体"/>
          <w:sz w:val="21"/>
          <w:szCs w:val="21"/>
        </w:rPr>
        <w:t>1. 你方要求我方承担保证责任的，应向我方发出书面索赔通知及发包</w:t>
      </w:r>
      <w:r>
        <w:rPr>
          <w:rFonts w:ascii="宋体" w:hAnsi="宋体" w:eastAsia="宋体" w:cs="宋体"/>
          <w:spacing w:val="-1"/>
          <w:sz w:val="21"/>
          <w:szCs w:val="21"/>
        </w:rPr>
        <w:t>人未支付主合同约定工程款的证明材料。索赔通知应写明要求索赔的金额，支付款项应到达的账号。</w:t>
      </w:r>
    </w:p>
    <w:p w14:paraId="025FAB74">
      <w:pPr>
        <w:spacing w:line="417" w:lineRule="auto"/>
        <w:ind w:left="25" w:firstLine="422"/>
        <w:rPr>
          <w:rFonts w:ascii="宋体" w:hAnsi="宋体" w:eastAsia="宋体" w:cs="宋体"/>
          <w:sz w:val="21"/>
          <w:szCs w:val="21"/>
        </w:rPr>
      </w:pPr>
      <w:r>
        <w:rPr>
          <w:rFonts w:ascii="宋体" w:hAnsi="宋体" w:eastAsia="宋体" w:cs="宋体"/>
          <w:spacing w:val="-3"/>
          <w:sz w:val="21"/>
          <w:szCs w:val="21"/>
        </w:rPr>
        <w:t>2. 在出现你方与发包人因工程质量发生争议，发包人拒绝向你</w:t>
      </w:r>
      <w:r>
        <w:rPr>
          <w:rFonts w:ascii="宋体" w:hAnsi="宋体" w:eastAsia="宋体" w:cs="宋体"/>
          <w:spacing w:val="-4"/>
          <w:sz w:val="21"/>
          <w:szCs w:val="21"/>
        </w:rPr>
        <w:t>方支付工程款的情形时，</w:t>
      </w:r>
      <w:r>
        <w:rPr>
          <w:rFonts w:ascii="宋体" w:hAnsi="宋体" w:eastAsia="宋体" w:cs="宋体"/>
          <w:spacing w:val="-2"/>
          <w:sz w:val="21"/>
          <w:szCs w:val="21"/>
        </w:rPr>
        <w:t>你方要求我方履行保证责任代为支付的，需提供符合相应条件要求的工程质量检测机</w:t>
      </w:r>
      <w:r>
        <w:rPr>
          <w:rFonts w:ascii="宋体" w:hAnsi="宋体" w:eastAsia="宋体" w:cs="宋体"/>
          <w:spacing w:val="-3"/>
          <w:sz w:val="21"/>
          <w:szCs w:val="21"/>
        </w:rPr>
        <w:t>构出具</w:t>
      </w:r>
      <w:r>
        <w:rPr>
          <w:rFonts w:ascii="宋体" w:hAnsi="宋体" w:eastAsia="宋体" w:cs="宋体"/>
          <w:spacing w:val="-4"/>
          <w:sz w:val="21"/>
          <w:szCs w:val="21"/>
        </w:rPr>
        <w:t>的质量说明材料。</w:t>
      </w:r>
    </w:p>
    <w:p w14:paraId="0FCF9792">
      <w:pPr>
        <w:spacing w:line="417" w:lineRule="auto"/>
        <w:rPr>
          <w:rFonts w:ascii="宋体" w:hAnsi="宋体" w:eastAsia="宋体" w:cs="宋体"/>
          <w:sz w:val="21"/>
          <w:szCs w:val="21"/>
        </w:rPr>
        <w:sectPr>
          <w:footerReference r:id="rId250" w:type="default"/>
          <w:pgSz w:w="11910" w:h="16845"/>
          <w:pgMar w:top="400" w:right="1720" w:bottom="1110" w:left="1786" w:header="0" w:footer="883" w:gutter="0"/>
          <w:cols w:space="720" w:num="1"/>
        </w:sectPr>
      </w:pPr>
    </w:p>
    <w:p w14:paraId="6422B495">
      <w:pPr>
        <w:pStyle w:val="2"/>
        <w:spacing w:line="275" w:lineRule="auto"/>
      </w:pPr>
    </w:p>
    <w:p w14:paraId="56C907DE">
      <w:pPr>
        <w:pStyle w:val="2"/>
        <w:spacing w:line="275" w:lineRule="auto"/>
      </w:pPr>
    </w:p>
    <w:p w14:paraId="2F4EE8B8">
      <w:pPr>
        <w:pStyle w:val="2"/>
        <w:spacing w:line="275" w:lineRule="auto"/>
      </w:pPr>
    </w:p>
    <w:p w14:paraId="561B23C1">
      <w:pPr>
        <w:pStyle w:val="2"/>
        <w:spacing w:line="275" w:lineRule="auto"/>
      </w:pPr>
    </w:p>
    <w:p w14:paraId="6BDE1195">
      <w:pPr>
        <w:spacing w:before="69" w:line="219" w:lineRule="auto"/>
        <w:ind w:left="448"/>
        <w:rPr>
          <w:rFonts w:ascii="宋体" w:hAnsi="宋体" w:eastAsia="宋体" w:cs="宋体"/>
          <w:sz w:val="21"/>
          <w:szCs w:val="21"/>
        </w:rPr>
      </w:pPr>
      <w:r>
        <w:rPr>
          <w:rFonts w:ascii="宋体" w:hAnsi="宋体" w:eastAsia="宋体" w:cs="宋体"/>
          <w:spacing w:val="2"/>
          <w:sz w:val="21"/>
          <w:szCs w:val="21"/>
        </w:rPr>
        <w:t>3. 我方收到你方的书面索赔通知及相应的证明材料后7天内无条件支付。</w:t>
      </w:r>
    </w:p>
    <w:p w14:paraId="72FB35E6">
      <w:pPr>
        <w:spacing w:before="125" w:line="220" w:lineRule="auto"/>
        <w:ind w:left="448"/>
        <w:rPr>
          <w:rFonts w:ascii="宋体" w:hAnsi="宋体" w:eastAsia="宋体" w:cs="宋体"/>
          <w:sz w:val="21"/>
          <w:szCs w:val="21"/>
        </w:rPr>
      </w:pPr>
      <w:r>
        <w:rPr>
          <w:rFonts w:ascii="宋体" w:hAnsi="宋体" w:eastAsia="宋体" w:cs="宋体"/>
          <w:b/>
          <w:bCs/>
          <w:spacing w:val="1"/>
          <w:sz w:val="21"/>
          <w:szCs w:val="21"/>
        </w:rPr>
        <w:t>五、保证责任的解除</w:t>
      </w:r>
    </w:p>
    <w:p w14:paraId="51B5E510">
      <w:pPr>
        <w:spacing w:before="155" w:line="409" w:lineRule="auto"/>
        <w:ind w:left="29" w:right="7" w:firstLine="430"/>
        <w:rPr>
          <w:rFonts w:ascii="宋体" w:hAnsi="宋体" w:eastAsia="宋体" w:cs="宋体"/>
          <w:sz w:val="21"/>
          <w:szCs w:val="21"/>
        </w:rPr>
      </w:pPr>
      <w:r>
        <w:rPr>
          <w:rFonts w:ascii="宋体" w:hAnsi="宋体" w:eastAsia="宋体" w:cs="宋体"/>
          <w:sz w:val="21"/>
          <w:szCs w:val="21"/>
        </w:rPr>
        <w:t>1. 在本保函承诺的保证期间内，你方未书面向我方主张保证责任的，</w:t>
      </w:r>
      <w:r>
        <w:rPr>
          <w:rFonts w:ascii="宋体" w:hAnsi="宋体" w:eastAsia="宋体" w:cs="宋体"/>
          <w:spacing w:val="-1"/>
          <w:sz w:val="21"/>
          <w:szCs w:val="21"/>
        </w:rPr>
        <w:t>自保证期间届满</w:t>
      </w:r>
      <w:r>
        <w:rPr>
          <w:rFonts w:ascii="宋体" w:hAnsi="宋体" w:eastAsia="宋体" w:cs="宋体"/>
          <w:spacing w:val="-3"/>
          <w:sz w:val="21"/>
          <w:szCs w:val="21"/>
        </w:rPr>
        <w:t>次日起，我方保证责任解除。</w:t>
      </w:r>
    </w:p>
    <w:p w14:paraId="3CB9F2B0">
      <w:pPr>
        <w:spacing w:before="1" w:line="415" w:lineRule="auto"/>
        <w:ind w:left="24" w:right="7" w:firstLine="423"/>
        <w:rPr>
          <w:rFonts w:ascii="宋体" w:hAnsi="宋体" w:eastAsia="宋体" w:cs="宋体"/>
          <w:sz w:val="21"/>
          <w:szCs w:val="21"/>
        </w:rPr>
      </w:pPr>
      <w:r>
        <w:rPr>
          <w:rFonts w:ascii="宋体" w:hAnsi="宋体" w:eastAsia="宋体" w:cs="宋体"/>
          <w:sz w:val="21"/>
          <w:szCs w:val="21"/>
        </w:rPr>
        <w:t>2. 发包人按主合同约定履行了工程款的全部支付义务的，自本保函承诺的保证期间届</w:t>
      </w:r>
      <w:r>
        <w:rPr>
          <w:rFonts w:ascii="宋体" w:hAnsi="宋体" w:eastAsia="宋体" w:cs="宋体"/>
          <w:spacing w:val="-3"/>
          <w:sz w:val="21"/>
          <w:szCs w:val="21"/>
        </w:rPr>
        <w:t>满次日起，我方保证责任解除。</w:t>
      </w:r>
    </w:p>
    <w:p w14:paraId="2D24953E">
      <w:pPr>
        <w:spacing w:before="1" w:line="409" w:lineRule="auto"/>
        <w:ind w:left="25" w:right="7" w:firstLine="423"/>
        <w:rPr>
          <w:rFonts w:ascii="宋体" w:hAnsi="宋体" w:eastAsia="宋体" w:cs="宋体"/>
          <w:sz w:val="21"/>
          <w:szCs w:val="21"/>
        </w:rPr>
      </w:pPr>
      <w:r>
        <w:rPr>
          <w:rFonts w:ascii="宋体" w:hAnsi="宋体" w:eastAsia="宋体" w:cs="宋体"/>
          <w:sz w:val="21"/>
          <w:szCs w:val="21"/>
        </w:rPr>
        <w:t>3. 我方按照本保函向你方履行保证责任所支付金额达到本保函保证金额时，自我方向</w:t>
      </w:r>
      <w:r>
        <w:rPr>
          <w:rFonts w:ascii="宋体" w:hAnsi="宋体" w:eastAsia="宋体" w:cs="宋体"/>
          <w:spacing w:val="-1"/>
          <w:sz w:val="21"/>
          <w:szCs w:val="21"/>
        </w:rPr>
        <w:t>你方支付（支付款项从我方账户划出）之日起，保证责任即解除。</w:t>
      </w:r>
    </w:p>
    <w:p w14:paraId="78894179">
      <w:pPr>
        <w:spacing w:before="2" w:line="410" w:lineRule="auto"/>
        <w:ind w:left="41" w:right="7" w:firstLine="402"/>
        <w:rPr>
          <w:rFonts w:ascii="宋体" w:hAnsi="宋体" w:eastAsia="宋体" w:cs="宋体"/>
          <w:sz w:val="21"/>
          <w:szCs w:val="21"/>
        </w:rPr>
      </w:pPr>
      <w:r>
        <w:rPr>
          <w:rFonts w:ascii="宋体" w:hAnsi="宋体" w:eastAsia="宋体" w:cs="宋体"/>
          <w:sz w:val="21"/>
          <w:szCs w:val="21"/>
        </w:rPr>
        <w:t>4. 按照法律法规的规定或出现应解除我方保证责任的其他情形的，我方在本保函项下</w:t>
      </w:r>
      <w:r>
        <w:rPr>
          <w:rFonts w:ascii="宋体" w:hAnsi="宋体" w:eastAsia="宋体" w:cs="宋体"/>
          <w:spacing w:val="-6"/>
          <w:sz w:val="21"/>
          <w:szCs w:val="21"/>
        </w:rPr>
        <w:t>的保证责任亦解除。</w:t>
      </w:r>
    </w:p>
    <w:p w14:paraId="5035A2DC">
      <w:pPr>
        <w:pStyle w:val="2"/>
        <w:spacing w:line="405" w:lineRule="auto"/>
      </w:pPr>
    </w:p>
    <w:p w14:paraId="45D9D38D">
      <w:pPr>
        <w:spacing w:before="68" w:line="219" w:lineRule="auto"/>
        <w:ind w:right="13"/>
        <w:jc w:val="right"/>
        <w:rPr>
          <w:rFonts w:ascii="宋体" w:hAnsi="宋体" w:eastAsia="宋体" w:cs="宋体"/>
          <w:sz w:val="21"/>
          <w:szCs w:val="21"/>
        </w:rPr>
      </w:pPr>
      <w:r>
        <w:rPr>
          <w:rFonts w:ascii="宋体" w:hAnsi="宋体" w:eastAsia="宋体" w:cs="宋体"/>
          <w:sz w:val="21"/>
          <w:szCs w:val="21"/>
        </w:rPr>
        <w:t>5. 我方解除保证责任后，你方应自我方保证责任解除之日起</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个工作日内，将本保函</w:t>
      </w:r>
    </w:p>
    <w:p w14:paraId="08CB941C">
      <w:pPr>
        <w:spacing w:before="217" w:line="220" w:lineRule="auto"/>
        <w:ind w:left="29"/>
        <w:rPr>
          <w:rFonts w:ascii="宋体" w:hAnsi="宋体" w:eastAsia="宋体" w:cs="宋体"/>
          <w:sz w:val="21"/>
          <w:szCs w:val="21"/>
        </w:rPr>
      </w:pPr>
      <w:r>
        <w:rPr>
          <w:rFonts w:ascii="宋体" w:hAnsi="宋体" w:eastAsia="宋体" w:cs="宋体"/>
          <w:spacing w:val="-5"/>
          <w:sz w:val="21"/>
          <w:szCs w:val="21"/>
        </w:rPr>
        <w:t>原件返还我方。</w:t>
      </w:r>
    </w:p>
    <w:p w14:paraId="424EDD67">
      <w:pPr>
        <w:spacing w:before="125" w:line="220" w:lineRule="auto"/>
        <w:ind w:left="446"/>
        <w:rPr>
          <w:rFonts w:ascii="宋体" w:hAnsi="宋体" w:eastAsia="宋体" w:cs="宋体"/>
          <w:sz w:val="21"/>
          <w:szCs w:val="21"/>
        </w:rPr>
      </w:pPr>
      <w:r>
        <w:rPr>
          <w:rFonts w:ascii="宋体" w:hAnsi="宋体" w:eastAsia="宋体" w:cs="宋体"/>
          <w:b/>
          <w:bCs/>
          <w:spacing w:val="3"/>
          <w:sz w:val="21"/>
          <w:szCs w:val="21"/>
        </w:rPr>
        <w:t>六、免责条款</w:t>
      </w:r>
    </w:p>
    <w:p w14:paraId="5F19244D">
      <w:pPr>
        <w:spacing w:before="154" w:line="220" w:lineRule="auto"/>
        <w:ind w:left="460"/>
        <w:rPr>
          <w:rFonts w:ascii="宋体" w:hAnsi="宋体" w:eastAsia="宋体" w:cs="宋体"/>
          <w:sz w:val="21"/>
          <w:szCs w:val="21"/>
        </w:rPr>
      </w:pPr>
      <w:r>
        <w:rPr>
          <w:rFonts w:ascii="宋体" w:hAnsi="宋体" w:eastAsia="宋体" w:cs="宋体"/>
          <w:spacing w:val="-1"/>
          <w:sz w:val="21"/>
          <w:szCs w:val="21"/>
        </w:rPr>
        <w:t>1. 因你方违约致使发包人不能履行义务的，我</w:t>
      </w:r>
      <w:r>
        <w:rPr>
          <w:rFonts w:ascii="宋体" w:hAnsi="宋体" w:eastAsia="宋体" w:cs="宋体"/>
          <w:spacing w:val="-2"/>
          <w:sz w:val="21"/>
          <w:szCs w:val="21"/>
        </w:rPr>
        <w:t>方不承担保证责任。</w:t>
      </w:r>
    </w:p>
    <w:p w14:paraId="040F2934">
      <w:pPr>
        <w:spacing w:before="217" w:line="411" w:lineRule="auto"/>
        <w:ind w:left="25" w:right="54" w:firstLine="421"/>
        <w:rPr>
          <w:rFonts w:ascii="宋体" w:hAnsi="宋体" w:eastAsia="宋体" w:cs="宋体"/>
          <w:sz w:val="21"/>
          <w:szCs w:val="21"/>
        </w:rPr>
      </w:pPr>
      <w:r>
        <w:rPr>
          <w:rFonts w:ascii="宋体" w:hAnsi="宋体" w:eastAsia="宋体" w:cs="宋体"/>
          <w:spacing w:val="-1"/>
          <w:sz w:val="21"/>
          <w:szCs w:val="21"/>
        </w:rPr>
        <w:t>2. 依照法律法规的规定或你方与发包人的另行约定，免除发包人部分或全部义务</w:t>
      </w:r>
      <w:r>
        <w:rPr>
          <w:rFonts w:ascii="宋体" w:hAnsi="宋体" w:eastAsia="宋体" w:cs="宋体"/>
          <w:spacing w:val="-2"/>
          <w:sz w:val="21"/>
          <w:szCs w:val="21"/>
        </w:rPr>
        <w:t>的，</w:t>
      </w:r>
      <w:r>
        <w:rPr>
          <w:rFonts w:ascii="宋体" w:hAnsi="宋体" w:eastAsia="宋体" w:cs="宋体"/>
          <w:spacing w:val="-3"/>
          <w:sz w:val="21"/>
          <w:szCs w:val="21"/>
        </w:rPr>
        <w:t>我方亦免除其相应的保证责任。</w:t>
      </w:r>
    </w:p>
    <w:p w14:paraId="5377AB58">
      <w:pPr>
        <w:spacing w:before="10" w:line="409" w:lineRule="auto"/>
        <w:ind w:left="26" w:firstLine="422"/>
        <w:rPr>
          <w:rFonts w:ascii="宋体" w:hAnsi="宋体" w:eastAsia="宋体" w:cs="宋体"/>
          <w:sz w:val="21"/>
          <w:szCs w:val="21"/>
        </w:rPr>
      </w:pPr>
      <w:r>
        <w:rPr>
          <w:rFonts w:ascii="宋体" w:hAnsi="宋体" w:eastAsia="宋体" w:cs="宋体"/>
          <w:sz w:val="21"/>
          <w:szCs w:val="21"/>
        </w:rPr>
        <w:t>3. 你方与发包人协议变更主合同的，如加重发包人责任致使我方保证责任加重的，需</w:t>
      </w:r>
      <w:r>
        <w:rPr>
          <w:rFonts w:ascii="宋体" w:hAnsi="宋体" w:eastAsia="宋体" w:cs="宋体"/>
          <w:spacing w:val="-1"/>
          <w:sz w:val="21"/>
          <w:szCs w:val="21"/>
        </w:rPr>
        <w:t>征得我方书面同意，否则我方不再承担因此而加重部分的保证责任，但主合同第</w:t>
      </w:r>
      <w:r>
        <w:rPr>
          <w:rFonts w:ascii="宋体" w:hAnsi="宋体" w:eastAsia="宋体" w:cs="宋体"/>
          <w:spacing w:val="-17"/>
          <w:sz w:val="21"/>
          <w:szCs w:val="21"/>
        </w:rPr>
        <w:t xml:space="preserve"> </w:t>
      </w:r>
      <w:r>
        <w:rPr>
          <w:rFonts w:ascii="宋体" w:hAnsi="宋体" w:eastAsia="宋体" w:cs="宋体"/>
          <w:spacing w:val="-1"/>
          <w:sz w:val="21"/>
          <w:szCs w:val="21"/>
        </w:rPr>
        <w:t>10</w:t>
      </w:r>
      <w:r>
        <w:rPr>
          <w:rFonts w:ascii="宋体" w:hAnsi="宋体" w:eastAsia="宋体" w:cs="宋体"/>
          <w:spacing w:val="-35"/>
          <w:sz w:val="21"/>
          <w:szCs w:val="21"/>
        </w:rPr>
        <w:t xml:space="preserve"> </w:t>
      </w:r>
      <w:r>
        <w:rPr>
          <w:rFonts w:ascii="宋体" w:hAnsi="宋体" w:eastAsia="宋体" w:cs="宋体"/>
          <w:spacing w:val="-1"/>
          <w:sz w:val="21"/>
          <w:szCs w:val="21"/>
        </w:rPr>
        <w:t>条〔变</w:t>
      </w:r>
      <w:r>
        <w:rPr>
          <w:rFonts w:ascii="宋体" w:hAnsi="宋体" w:eastAsia="宋体" w:cs="宋体"/>
          <w:spacing w:val="-3"/>
          <w:sz w:val="21"/>
          <w:szCs w:val="21"/>
        </w:rPr>
        <w:t>更〕约定的变更不受本款限制。</w:t>
      </w:r>
    </w:p>
    <w:p w14:paraId="5DF6980A">
      <w:pPr>
        <w:spacing w:before="1" w:line="219" w:lineRule="auto"/>
        <w:ind w:left="443"/>
        <w:rPr>
          <w:rFonts w:ascii="宋体" w:hAnsi="宋体" w:eastAsia="宋体" w:cs="宋体"/>
          <w:sz w:val="21"/>
          <w:szCs w:val="21"/>
        </w:rPr>
      </w:pPr>
      <w:r>
        <w:rPr>
          <w:rFonts w:ascii="宋体" w:hAnsi="宋体" w:eastAsia="宋体" w:cs="宋体"/>
          <w:spacing w:val="-1"/>
          <w:sz w:val="21"/>
          <w:szCs w:val="21"/>
        </w:rPr>
        <w:t>4. 因不可抗力造成发包人不能履行义务的，我方不承担保证责任。</w:t>
      </w:r>
    </w:p>
    <w:p w14:paraId="780F8ACA">
      <w:pPr>
        <w:spacing w:before="125" w:line="220" w:lineRule="auto"/>
        <w:ind w:left="443"/>
        <w:rPr>
          <w:rFonts w:ascii="宋体" w:hAnsi="宋体" w:eastAsia="宋体" w:cs="宋体"/>
          <w:sz w:val="21"/>
          <w:szCs w:val="21"/>
        </w:rPr>
      </w:pPr>
      <w:r>
        <w:rPr>
          <w:rFonts w:ascii="宋体" w:hAnsi="宋体" w:eastAsia="宋体" w:cs="宋体"/>
          <w:b/>
          <w:bCs/>
          <w:spacing w:val="4"/>
          <w:sz w:val="21"/>
          <w:szCs w:val="21"/>
        </w:rPr>
        <w:t>七、争议解决</w:t>
      </w:r>
    </w:p>
    <w:p w14:paraId="02FFE1A8">
      <w:pPr>
        <w:spacing w:before="157" w:line="411" w:lineRule="auto"/>
        <w:ind w:left="24" w:right="12" w:firstLine="436"/>
        <w:rPr>
          <w:rFonts w:ascii="宋体" w:hAnsi="宋体" w:eastAsia="宋体" w:cs="宋体"/>
          <w:sz w:val="21"/>
          <w:szCs w:val="21"/>
        </w:rPr>
      </w:pPr>
      <w:r>
        <w:rPr>
          <w:rFonts w:ascii="宋体" w:hAnsi="宋体" w:eastAsia="宋体" w:cs="宋体"/>
          <w:spacing w:val="2"/>
          <w:sz w:val="21"/>
          <w:szCs w:val="21"/>
        </w:rPr>
        <w:t>因本保函或本保函相关事项发生的纠纷，可由双方协商解决，协商不成的，按下列第</w:t>
      </w:r>
      <w:r>
        <w:rPr>
          <w:rFonts w:ascii="宋体" w:hAnsi="宋体" w:eastAsia="宋体" w:cs="宋体"/>
          <w:spacing w:val="-6"/>
          <w:sz w:val="21"/>
          <w:szCs w:val="21"/>
        </w:rPr>
        <w:t>种方式解决：</w:t>
      </w:r>
    </w:p>
    <w:p w14:paraId="2EDC92F6">
      <w:pPr>
        <w:spacing w:before="130" w:line="219" w:lineRule="auto"/>
        <w:ind w:left="450"/>
        <w:rPr>
          <w:rFonts w:ascii="宋体" w:hAnsi="宋体" w:eastAsia="宋体" w:cs="宋体"/>
          <w:sz w:val="21"/>
          <w:szCs w:val="21"/>
        </w:rPr>
      </w:pPr>
      <w:r>
        <w:rPr>
          <w:rFonts w:ascii="宋体" w:hAnsi="宋体" w:eastAsia="宋体" w:cs="宋体"/>
          <w:spacing w:val="-6"/>
          <w:sz w:val="21"/>
          <w:szCs w:val="21"/>
        </w:rPr>
        <w:t>（1）向</w:t>
      </w:r>
      <w:r>
        <w:rPr>
          <w:rFonts w:ascii="宋体" w:hAnsi="宋体" w:eastAsia="宋体" w:cs="宋体"/>
          <w:spacing w:val="-8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6"/>
          <w:sz w:val="21"/>
          <w:szCs w:val="21"/>
        </w:rPr>
        <w:t>仲裁委员会申请仲裁；</w:t>
      </w:r>
    </w:p>
    <w:p w14:paraId="216ED092">
      <w:pPr>
        <w:spacing w:before="217" w:line="220" w:lineRule="auto"/>
        <w:ind w:left="450"/>
        <w:rPr>
          <w:rFonts w:ascii="宋体" w:hAnsi="宋体" w:eastAsia="宋体" w:cs="宋体"/>
          <w:sz w:val="21"/>
          <w:szCs w:val="21"/>
        </w:rPr>
      </w:pPr>
      <w:r>
        <w:rPr>
          <w:rFonts w:ascii="宋体" w:hAnsi="宋体" w:eastAsia="宋体" w:cs="宋体"/>
          <w:spacing w:val="-7"/>
          <w:sz w:val="21"/>
          <w:szCs w:val="21"/>
        </w:rPr>
        <w:t>（2）向</w:t>
      </w:r>
      <w:r>
        <w:rPr>
          <w:rFonts w:ascii="宋体" w:hAnsi="宋体" w:eastAsia="宋体" w:cs="宋体"/>
          <w:spacing w:val="-7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7"/>
          <w:sz w:val="21"/>
          <w:szCs w:val="21"/>
        </w:rPr>
        <w:t>人民法院起诉。</w:t>
      </w:r>
    </w:p>
    <w:p w14:paraId="30705E34">
      <w:pPr>
        <w:spacing w:before="125" w:line="220" w:lineRule="auto"/>
        <w:ind w:left="448"/>
        <w:rPr>
          <w:rFonts w:ascii="宋体" w:hAnsi="宋体" w:eastAsia="宋体" w:cs="宋体"/>
          <w:sz w:val="21"/>
          <w:szCs w:val="21"/>
        </w:rPr>
      </w:pPr>
      <w:r>
        <w:rPr>
          <w:rFonts w:ascii="宋体" w:hAnsi="宋体" w:eastAsia="宋体" w:cs="宋体"/>
          <w:b/>
          <w:bCs/>
          <w:spacing w:val="2"/>
          <w:sz w:val="21"/>
          <w:szCs w:val="21"/>
        </w:rPr>
        <w:t>八、保函的生效</w:t>
      </w:r>
    </w:p>
    <w:p w14:paraId="1E8EBFE7">
      <w:pPr>
        <w:spacing w:before="154" w:line="219" w:lineRule="auto"/>
        <w:ind w:left="445"/>
        <w:rPr>
          <w:rFonts w:ascii="宋体" w:hAnsi="宋体" w:eastAsia="宋体" w:cs="宋体"/>
          <w:sz w:val="21"/>
          <w:szCs w:val="21"/>
        </w:rPr>
      </w:pPr>
      <w:r>
        <w:rPr>
          <w:rFonts w:ascii="宋体" w:hAnsi="宋体" w:eastAsia="宋体" w:cs="宋体"/>
          <w:spacing w:val="-1"/>
          <w:sz w:val="21"/>
          <w:szCs w:val="21"/>
        </w:rPr>
        <w:t>本保函自我方法定代表人（或其授权代理人）签字并加盖公章之日起生效。</w:t>
      </w:r>
    </w:p>
    <w:p w14:paraId="41733A17">
      <w:pPr>
        <w:pStyle w:val="2"/>
        <w:spacing w:line="268" w:lineRule="auto"/>
      </w:pPr>
    </w:p>
    <w:p w14:paraId="3DEBF201">
      <w:pPr>
        <w:pStyle w:val="2"/>
        <w:spacing w:line="268" w:lineRule="auto"/>
      </w:pPr>
    </w:p>
    <w:p w14:paraId="027309AF">
      <w:pPr>
        <w:pStyle w:val="2"/>
        <w:spacing w:line="268" w:lineRule="auto"/>
      </w:pPr>
    </w:p>
    <w:p w14:paraId="68073340">
      <w:pPr>
        <w:pStyle w:val="2"/>
        <w:spacing w:line="268" w:lineRule="auto"/>
      </w:pPr>
    </w:p>
    <w:p w14:paraId="6747D939">
      <w:pPr>
        <w:spacing w:before="69" w:line="219" w:lineRule="auto"/>
        <w:ind w:left="2653"/>
        <w:rPr>
          <w:rFonts w:ascii="宋体" w:hAnsi="宋体" w:eastAsia="宋体" w:cs="宋体"/>
          <w:sz w:val="21"/>
          <w:szCs w:val="21"/>
        </w:rPr>
      </w:pPr>
      <w:r>
        <w:rPr>
          <w:rFonts w:ascii="宋体" w:hAnsi="宋体" w:eastAsia="宋体" w:cs="宋体"/>
          <w:spacing w:val="-18"/>
          <w:sz w:val="21"/>
          <w:szCs w:val="21"/>
        </w:rPr>
        <w:t>担保人</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18"/>
          <w:sz w:val="21"/>
          <w:szCs w:val="21"/>
        </w:rPr>
        <w:t>盖章）</w:t>
      </w:r>
    </w:p>
    <w:p w14:paraId="51F3525F">
      <w:pPr>
        <w:spacing w:line="219" w:lineRule="auto"/>
        <w:rPr>
          <w:rFonts w:ascii="宋体" w:hAnsi="宋体" w:eastAsia="宋体" w:cs="宋体"/>
          <w:sz w:val="21"/>
          <w:szCs w:val="21"/>
        </w:rPr>
        <w:sectPr>
          <w:footerReference r:id="rId251" w:type="default"/>
          <w:pgSz w:w="11910" w:h="16845"/>
          <w:pgMar w:top="400" w:right="1786" w:bottom="1110" w:left="1786" w:header="0" w:footer="883" w:gutter="0"/>
          <w:cols w:space="720" w:num="1"/>
        </w:sectPr>
      </w:pPr>
    </w:p>
    <w:p w14:paraId="28FFD685">
      <w:pPr>
        <w:pStyle w:val="2"/>
        <w:spacing w:line="275" w:lineRule="auto"/>
      </w:pPr>
    </w:p>
    <w:p w14:paraId="2A7A362E">
      <w:pPr>
        <w:pStyle w:val="2"/>
        <w:spacing w:line="275" w:lineRule="auto"/>
      </w:pPr>
    </w:p>
    <w:p w14:paraId="78170F31">
      <w:pPr>
        <w:pStyle w:val="2"/>
        <w:spacing w:line="275" w:lineRule="auto"/>
      </w:pPr>
    </w:p>
    <w:p w14:paraId="53B63EB5">
      <w:pPr>
        <w:pStyle w:val="2"/>
        <w:spacing w:line="275" w:lineRule="auto"/>
      </w:pPr>
    </w:p>
    <w:p w14:paraId="30327C3B">
      <w:pPr>
        <w:spacing w:before="68" w:line="220" w:lineRule="auto"/>
        <w:ind w:left="2653"/>
        <w:rPr>
          <w:rFonts w:ascii="宋体" w:hAnsi="宋体" w:eastAsia="宋体" w:cs="宋体"/>
          <w:sz w:val="21"/>
          <w:szCs w:val="21"/>
        </w:rPr>
      </w:pPr>
      <w:r>
        <w:rPr>
          <w:rFonts w:ascii="宋体" w:hAnsi="宋体" w:eastAsia="宋体" w:cs="宋体"/>
          <w:spacing w:val="-1"/>
          <w:sz w:val="21"/>
          <w:szCs w:val="21"/>
        </w:rPr>
        <w:t>法定代表人或委托代理人：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62BE5299">
      <w:pPr>
        <w:spacing w:before="215" w:line="229" w:lineRule="auto"/>
        <w:ind w:left="2652"/>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60C85089">
      <w:pPr>
        <w:spacing w:before="204" w:line="220" w:lineRule="auto"/>
        <w:ind w:left="2667"/>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1F1621D8">
      <w:pPr>
        <w:spacing w:before="230" w:line="219" w:lineRule="auto"/>
        <w:ind w:left="2650"/>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2"/>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2723AB5C">
      <w:pPr>
        <w:pStyle w:val="2"/>
        <w:spacing w:line="304" w:lineRule="auto"/>
      </w:pPr>
    </w:p>
    <w:p w14:paraId="5D1F38FE">
      <w:pPr>
        <w:pStyle w:val="2"/>
        <w:spacing w:line="304" w:lineRule="auto"/>
      </w:pPr>
    </w:p>
    <w:p w14:paraId="010C3DB0">
      <w:pPr>
        <w:tabs>
          <w:tab w:val="left" w:pos="5587"/>
        </w:tabs>
        <w:spacing w:before="69" w:line="220" w:lineRule="auto"/>
        <w:ind w:left="4011"/>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4A91E75E">
      <w:pPr>
        <w:spacing w:line="220" w:lineRule="auto"/>
        <w:rPr>
          <w:rFonts w:ascii="宋体" w:hAnsi="宋体" w:eastAsia="宋体" w:cs="宋体"/>
          <w:sz w:val="21"/>
          <w:szCs w:val="21"/>
        </w:rPr>
        <w:sectPr>
          <w:footerReference r:id="rId252" w:type="default"/>
          <w:pgSz w:w="11910" w:h="16845"/>
          <w:pgMar w:top="400" w:right="1786" w:bottom="1110" w:left="1786" w:header="0" w:footer="883" w:gutter="0"/>
          <w:cols w:space="720" w:num="1"/>
        </w:sectPr>
      </w:pPr>
    </w:p>
    <w:p w14:paraId="4FA928AA">
      <w:pPr>
        <w:pStyle w:val="2"/>
        <w:spacing w:line="274" w:lineRule="auto"/>
      </w:pPr>
    </w:p>
    <w:p w14:paraId="07A866FC">
      <w:pPr>
        <w:pStyle w:val="2"/>
        <w:spacing w:line="274" w:lineRule="auto"/>
      </w:pPr>
    </w:p>
    <w:p w14:paraId="583CAF6E">
      <w:pPr>
        <w:pStyle w:val="2"/>
        <w:spacing w:line="274" w:lineRule="auto"/>
      </w:pPr>
    </w:p>
    <w:p w14:paraId="565F5011">
      <w:pPr>
        <w:pStyle w:val="2"/>
        <w:spacing w:line="275" w:lineRule="auto"/>
      </w:pPr>
    </w:p>
    <w:p w14:paraId="03C1ABFE">
      <w:pPr>
        <w:pStyle w:val="2"/>
        <w:spacing w:line="275" w:lineRule="auto"/>
      </w:pPr>
    </w:p>
    <w:p w14:paraId="4A4D6D13">
      <w:pPr>
        <w:spacing w:before="91" w:line="225" w:lineRule="auto"/>
        <w:ind w:left="177"/>
        <w:outlineLvl w:val="2"/>
        <w:rPr>
          <w:rFonts w:ascii="黑体" w:hAnsi="黑体" w:eastAsia="黑体" w:cs="黑体"/>
          <w:sz w:val="28"/>
          <w:szCs w:val="28"/>
        </w:rPr>
      </w:pPr>
      <w:bookmarkStart w:id="573" w:name="bookmark529"/>
      <w:bookmarkEnd w:id="573"/>
      <w:r>
        <w:rPr>
          <w:rFonts w:ascii="黑体" w:hAnsi="黑体" w:eastAsia="黑体" w:cs="黑体"/>
          <w:b/>
          <w:bCs/>
          <w:spacing w:val="-6"/>
          <w:sz w:val="28"/>
          <w:szCs w:val="28"/>
        </w:rPr>
        <w:t>附件</w:t>
      </w:r>
      <w:r>
        <w:rPr>
          <w:rFonts w:ascii="黑体" w:hAnsi="黑体" w:eastAsia="黑体" w:cs="黑体"/>
          <w:spacing w:val="-25"/>
          <w:sz w:val="28"/>
          <w:szCs w:val="28"/>
        </w:rPr>
        <w:t xml:space="preserve"> </w:t>
      </w:r>
      <w:r>
        <w:rPr>
          <w:rFonts w:ascii="黑体" w:hAnsi="黑体" w:eastAsia="黑体" w:cs="黑体"/>
          <w:b/>
          <w:bCs/>
          <w:spacing w:val="-6"/>
          <w:sz w:val="28"/>
          <w:szCs w:val="28"/>
        </w:rPr>
        <w:t>11：</w:t>
      </w:r>
    </w:p>
    <w:p w14:paraId="79C2C668">
      <w:pPr>
        <w:pStyle w:val="2"/>
        <w:spacing w:line="389" w:lineRule="auto"/>
      </w:pPr>
    </w:p>
    <w:p w14:paraId="2AABCC7F">
      <w:pPr>
        <w:spacing w:before="91" w:line="237" w:lineRule="auto"/>
        <w:ind w:left="3082"/>
        <w:rPr>
          <w:rFonts w:ascii="黑体" w:hAnsi="黑体" w:eastAsia="黑体" w:cs="黑体"/>
          <w:sz w:val="28"/>
          <w:szCs w:val="28"/>
        </w:rPr>
      </w:pPr>
      <w:r>
        <w:rPr>
          <w:rFonts w:ascii="Times New Roman" w:hAnsi="Times New Roman" w:eastAsia="Times New Roman" w:cs="Times New Roman"/>
          <w:sz w:val="28"/>
          <w:szCs w:val="28"/>
        </w:rPr>
        <w:t>11-1</w:t>
      </w:r>
      <w:r>
        <w:rPr>
          <w:rFonts w:ascii="黑体" w:hAnsi="黑体" w:eastAsia="黑体" w:cs="黑体"/>
          <w:sz w:val="28"/>
          <w:szCs w:val="28"/>
        </w:rPr>
        <w:t>：材料暂估价表</w:t>
      </w:r>
    </w:p>
    <w:p w14:paraId="79D95379">
      <w:pPr>
        <w:spacing w:line="127" w:lineRule="exact"/>
      </w:pPr>
    </w:p>
    <w:tbl>
      <w:tblPr>
        <w:tblStyle w:val="5"/>
        <w:tblW w:w="884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6"/>
        <w:gridCol w:w="1931"/>
        <w:gridCol w:w="823"/>
        <w:gridCol w:w="748"/>
        <w:gridCol w:w="1317"/>
        <w:gridCol w:w="1377"/>
        <w:gridCol w:w="1684"/>
      </w:tblGrid>
      <w:tr w14:paraId="4BD02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966" w:type="dxa"/>
            <w:tcBorders>
              <w:top w:val="single" w:color="000000" w:sz="12" w:space="0"/>
              <w:left w:val="single" w:color="000000" w:sz="12" w:space="0"/>
            </w:tcBorders>
            <w:vAlign w:val="top"/>
          </w:tcPr>
          <w:p w14:paraId="31E50EE5">
            <w:pPr>
              <w:pStyle w:val="6"/>
              <w:spacing w:before="179" w:line="221" w:lineRule="auto"/>
              <w:ind w:left="247"/>
              <w:rPr>
                <w:sz w:val="21"/>
                <w:szCs w:val="21"/>
              </w:rPr>
            </w:pPr>
            <w:r>
              <w:rPr>
                <w:spacing w:val="-2"/>
                <w:sz w:val="21"/>
                <w:szCs w:val="21"/>
              </w:rPr>
              <w:t>序号</w:t>
            </w:r>
          </w:p>
        </w:tc>
        <w:tc>
          <w:tcPr>
            <w:tcW w:w="1931" w:type="dxa"/>
            <w:tcBorders>
              <w:top w:val="single" w:color="000000" w:sz="12" w:space="0"/>
            </w:tcBorders>
            <w:vAlign w:val="top"/>
          </w:tcPr>
          <w:p w14:paraId="7717B60B">
            <w:pPr>
              <w:pStyle w:val="6"/>
              <w:spacing w:before="179" w:line="222" w:lineRule="auto"/>
              <w:ind w:left="749"/>
              <w:rPr>
                <w:sz w:val="21"/>
                <w:szCs w:val="21"/>
              </w:rPr>
            </w:pPr>
            <w:r>
              <w:rPr>
                <w:spacing w:val="-3"/>
                <w:sz w:val="21"/>
                <w:szCs w:val="21"/>
              </w:rPr>
              <w:t>名称</w:t>
            </w:r>
          </w:p>
        </w:tc>
        <w:tc>
          <w:tcPr>
            <w:tcW w:w="823" w:type="dxa"/>
            <w:tcBorders>
              <w:top w:val="single" w:color="000000" w:sz="12" w:space="0"/>
            </w:tcBorders>
            <w:vAlign w:val="top"/>
          </w:tcPr>
          <w:p w14:paraId="11002736">
            <w:pPr>
              <w:pStyle w:val="6"/>
              <w:spacing w:before="179" w:line="220" w:lineRule="auto"/>
              <w:ind w:left="184"/>
              <w:rPr>
                <w:sz w:val="21"/>
                <w:szCs w:val="21"/>
              </w:rPr>
            </w:pPr>
            <w:r>
              <w:rPr>
                <w:spacing w:val="-3"/>
                <w:sz w:val="21"/>
                <w:szCs w:val="21"/>
              </w:rPr>
              <w:t>单位</w:t>
            </w:r>
          </w:p>
        </w:tc>
        <w:tc>
          <w:tcPr>
            <w:tcW w:w="748" w:type="dxa"/>
            <w:tcBorders>
              <w:top w:val="single" w:color="000000" w:sz="12" w:space="0"/>
            </w:tcBorders>
            <w:vAlign w:val="top"/>
          </w:tcPr>
          <w:p w14:paraId="39C40700">
            <w:pPr>
              <w:pStyle w:val="6"/>
              <w:spacing w:before="179" w:line="220" w:lineRule="auto"/>
              <w:ind w:left="172"/>
              <w:rPr>
                <w:sz w:val="21"/>
                <w:szCs w:val="21"/>
              </w:rPr>
            </w:pPr>
            <w:r>
              <w:rPr>
                <w:spacing w:val="-3"/>
                <w:sz w:val="21"/>
                <w:szCs w:val="21"/>
              </w:rPr>
              <w:t>数量</w:t>
            </w:r>
          </w:p>
        </w:tc>
        <w:tc>
          <w:tcPr>
            <w:tcW w:w="1317" w:type="dxa"/>
            <w:tcBorders>
              <w:top w:val="single" w:color="000000" w:sz="12" w:space="0"/>
            </w:tcBorders>
            <w:vAlign w:val="top"/>
          </w:tcPr>
          <w:p w14:paraId="49B4314A">
            <w:pPr>
              <w:pStyle w:val="6"/>
              <w:spacing w:before="179" w:line="218" w:lineRule="auto"/>
              <w:ind w:left="145"/>
              <w:rPr>
                <w:sz w:val="21"/>
                <w:szCs w:val="21"/>
              </w:rPr>
            </w:pPr>
            <w:r>
              <w:rPr>
                <w:spacing w:val="-4"/>
                <w:sz w:val="21"/>
                <w:szCs w:val="21"/>
              </w:rPr>
              <w:t>单价（元）</w:t>
            </w:r>
          </w:p>
        </w:tc>
        <w:tc>
          <w:tcPr>
            <w:tcW w:w="1377" w:type="dxa"/>
            <w:tcBorders>
              <w:top w:val="single" w:color="000000" w:sz="12" w:space="0"/>
            </w:tcBorders>
            <w:vAlign w:val="top"/>
          </w:tcPr>
          <w:p w14:paraId="71E0FFD1">
            <w:pPr>
              <w:pStyle w:val="6"/>
              <w:spacing w:before="179" w:line="218" w:lineRule="auto"/>
              <w:ind w:left="179"/>
              <w:rPr>
                <w:sz w:val="21"/>
                <w:szCs w:val="21"/>
              </w:rPr>
            </w:pPr>
            <w:r>
              <w:rPr>
                <w:spacing w:val="-4"/>
                <w:sz w:val="21"/>
                <w:szCs w:val="21"/>
              </w:rPr>
              <w:t>合价（元）</w:t>
            </w:r>
          </w:p>
        </w:tc>
        <w:tc>
          <w:tcPr>
            <w:tcW w:w="1684" w:type="dxa"/>
            <w:tcBorders>
              <w:top w:val="single" w:color="000000" w:sz="12" w:space="0"/>
              <w:right w:val="single" w:color="000000" w:sz="12" w:space="0"/>
            </w:tcBorders>
            <w:vAlign w:val="top"/>
          </w:tcPr>
          <w:p w14:paraId="3590F123">
            <w:pPr>
              <w:pStyle w:val="6"/>
              <w:spacing w:before="179" w:line="221" w:lineRule="auto"/>
              <w:ind w:left="636"/>
              <w:rPr>
                <w:sz w:val="21"/>
                <w:szCs w:val="21"/>
              </w:rPr>
            </w:pPr>
            <w:r>
              <w:rPr>
                <w:spacing w:val="-3"/>
                <w:sz w:val="21"/>
                <w:szCs w:val="21"/>
              </w:rPr>
              <w:t>备注</w:t>
            </w:r>
          </w:p>
        </w:tc>
      </w:tr>
      <w:tr w14:paraId="099A2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68E64660">
            <w:pPr>
              <w:rPr>
                <w:rFonts w:ascii="Arial"/>
                <w:sz w:val="21"/>
              </w:rPr>
            </w:pPr>
          </w:p>
        </w:tc>
        <w:tc>
          <w:tcPr>
            <w:tcW w:w="1931" w:type="dxa"/>
            <w:vAlign w:val="top"/>
          </w:tcPr>
          <w:p w14:paraId="08CDF49F">
            <w:pPr>
              <w:rPr>
                <w:rFonts w:ascii="Arial"/>
                <w:sz w:val="21"/>
              </w:rPr>
            </w:pPr>
          </w:p>
        </w:tc>
        <w:tc>
          <w:tcPr>
            <w:tcW w:w="823" w:type="dxa"/>
            <w:vAlign w:val="top"/>
          </w:tcPr>
          <w:p w14:paraId="23111CFE">
            <w:pPr>
              <w:rPr>
                <w:rFonts w:ascii="Arial"/>
                <w:sz w:val="21"/>
              </w:rPr>
            </w:pPr>
          </w:p>
        </w:tc>
        <w:tc>
          <w:tcPr>
            <w:tcW w:w="748" w:type="dxa"/>
            <w:vAlign w:val="top"/>
          </w:tcPr>
          <w:p w14:paraId="17B5B76B">
            <w:pPr>
              <w:rPr>
                <w:rFonts w:ascii="Arial"/>
                <w:sz w:val="21"/>
              </w:rPr>
            </w:pPr>
          </w:p>
        </w:tc>
        <w:tc>
          <w:tcPr>
            <w:tcW w:w="1317" w:type="dxa"/>
            <w:vAlign w:val="top"/>
          </w:tcPr>
          <w:p w14:paraId="684C1B98">
            <w:pPr>
              <w:rPr>
                <w:rFonts w:ascii="Arial"/>
                <w:sz w:val="21"/>
              </w:rPr>
            </w:pPr>
          </w:p>
        </w:tc>
        <w:tc>
          <w:tcPr>
            <w:tcW w:w="1377" w:type="dxa"/>
            <w:vAlign w:val="top"/>
          </w:tcPr>
          <w:p w14:paraId="39BA78D7">
            <w:pPr>
              <w:rPr>
                <w:rFonts w:ascii="Arial"/>
                <w:sz w:val="21"/>
              </w:rPr>
            </w:pPr>
          </w:p>
        </w:tc>
        <w:tc>
          <w:tcPr>
            <w:tcW w:w="1684" w:type="dxa"/>
            <w:tcBorders>
              <w:right w:val="single" w:color="000000" w:sz="12" w:space="0"/>
            </w:tcBorders>
            <w:vAlign w:val="top"/>
          </w:tcPr>
          <w:p w14:paraId="57E52E74">
            <w:pPr>
              <w:rPr>
                <w:rFonts w:ascii="Arial"/>
                <w:sz w:val="21"/>
              </w:rPr>
            </w:pPr>
          </w:p>
        </w:tc>
      </w:tr>
      <w:tr w14:paraId="13AFD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37273105">
            <w:pPr>
              <w:rPr>
                <w:rFonts w:ascii="Arial"/>
                <w:sz w:val="21"/>
              </w:rPr>
            </w:pPr>
          </w:p>
        </w:tc>
        <w:tc>
          <w:tcPr>
            <w:tcW w:w="1931" w:type="dxa"/>
            <w:vAlign w:val="top"/>
          </w:tcPr>
          <w:p w14:paraId="4BE05E4B">
            <w:pPr>
              <w:rPr>
                <w:rFonts w:ascii="Arial"/>
                <w:sz w:val="21"/>
              </w:rPr>
            </w:pPr>
          </w:p>
        </w:tc>
        <w:tc>
          <w:tcPr>
            <w:tcW w:w="823" w:type="dxa"/>
            <w:vAlign w:val="top"/>
          </w:tcPr>
          <w:p w14:paraId="12763740">
            <w:pPr>
              <w:rPr>
                <w:rFonts w:ascii="Arial"/>
                <w:sz w:val="21"/>
              </w:rPr>
            </w:pPr>
          </w:p>
        </w:tc>
        <w:tc>
          <w:tcPr>
            <w:tcW w:w="748" w:type="dxa"/>
            <w:vAlign w:val="top"/>
          </w:tcPr>
          <w:p w14:paraId="458DDE4B">
            <w:pPr>
              <w:rPr>
                <w:rFonts w:ascii="Arial"/>
                <w:sz w:val="21"/>
              </w:rPr>
            </w:pPr>
          </w:p>
        </w:tc>
        <w:tc>
          <w:tcPr>
            <w:tcW w:w="1317" w:type="dxa"/>
            <w:vAlign w:val="top"/>
          </w:tcPr>
          <w:p w14:paraId="1D9C1C86">
            <w:pPr>
              <w:rPr>
                <w:rFonts w:ascii="Arial"/>
                <w:sz w:val="21"/>
              </w:rPr>
            </w:pPr>
          </w:p>
        </w:tc>
        <w:tc>
          <w:tcPr>
            <w:tcW w:w="1377" w:type="dxa"/>
            <w:vAlign w:val="top"/>
          </w:tcPr>
          <w:p w14:paraId="3166D6B7">
            <w:pPr>
              <w:rPr>
                <w:rFonts w:ascii="Arial"/>
                <w:sz w:val="21"/>
              </w:rPr>
            </w:pPr>
          </w:p>
        </w:tc>
        <w:tc>
          <w:tcPr>
            <w:tcW w:w="1684" w:type="dxa"/>
            <w:tcBorders>
              <w:right w:val="single" w:color="000000" w:sz="12" w:space="0"/>
            </w:tcBorders>
            <w:vAlign w:val="top"/>
          </w:tcPr>
          <w:p w14:paraId="10EB6B31">
            <w:pPr>
              <w:rPr>
                <w:rFonts w:ascii="Arial"/>
                <w:sz w:val="21"/>
              </w:rPr>
            </w:pPr>
          </w:p>
        </w:tc>
      </w:tr>
      <w:tr w14:paraId="6F19A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6" w:type="dxa"/>
            <w:tcBorders>
              <w:left w:val="single" w:color="000000" w:sz="12" w:space="0"/>
            </w:tcBorders>
            <w:vAlign w:val="top"/>
          </w:tcPr>
          <w:p w14:paraId="20C52986">
            <w:pPr>
              <w:rPr>
                <w:rFonts w:ascii="Arial"/>
                <w:sz w:val="21"/>
              </w:rPr>
            </w:pPr>
          </w:p>
        </w:tc>
        <w:tc>
          <w:tcPr>
            <w:tcW w:w="1931" w:type="dxa"/>
            <w:vAlign w:val="top"/>
          </w:tcPr>
          <w:p w14:paraId="39A409EA">
            <w:pPr>
              <w:rPr>
                <w:rFonts w:ascii="Arial"/>
                <w:sz w:val="21"/>
              </w:rPr>
            </w:pPr>
          </w:p>
        </w:tc>
        <w:tc>
          <w:tcPr>
            <w:tcW w:w="823" w:type="dxa"/>
            <w:vAlign w:val="top"/>
          </w:tcPr>
          <w:p w14:paraId="31253666">
            <w:pPr>
              <w:rPr>
                <w:rFonts w:ascii="Arial"/>
                <w:sz w:val="21"/>
              </w:rPr>
            </w:pPr>
          </w:p>
        </w:tc>
        <w:tc>
          <w:tcPr>
            <w:tcW w:w="748" w:type="dxa"/>
            <w:vAlign w:val="top"/>
          </w:tcPr>
          <w:p w14:paraId="4CEC9D25">
            <w:pPr>
              <w:rPr>
                <w:rFonts w:ascii="Arial"/>
                <w:sz w:val="21"/>
              </w:rPr>
            </w:pPr>
          </w:p>
        </w:tc>
        <w:tc>
          <w:tcPr>
            <w:tcW w:w="1317" w:type="dxa"/>
            <w:vAlign w:val="top"/>
          </w:tcPr>
          <w:p w14:paraId="108475E1">
            <w:pPr>
              <w:rPr>
                <w:rFonts w:ascii="Arial"/>
                <w:sz w:val="21"/>
              </w:rPr>
            </w:pPr>
          </w:p>
        </w:tc>
        <w:tc>
          <w:tcPr>
            <w:tcW w:w="1377" w:type="dxa"/>
            <w:vAlign w:val="top"/>
          </w:tcPr>
          <w:p w14:paraId="1BC170F5">
            <w:pPr>
              <w:rPr>
                <w:rFonts w:ascii="Arial"/>
                <w:sz w:val="21"/>
              </w:rPr>
            </w:pPr>
          </w:p>
        </w:tc>
        <w:tc>
          <w:tcPr>
            <w:tcW w:w="1684" w:type="dxa"/>
            <w:tcBorders>
              <w:right w:val="single" w:color="000000" w:sz="12" w:space="0"/>
            </w:tcBorders>
            <w:vAlign w:val="top"/>
          </w:tcPr>
          <w:p w14:paraId="1390F743">
            <w:pPr>
              <w:rPr>
                <w:rFonts w:ascii="Arial"/>
                <w:sz w:val="21"/>
              </w:rPr>
            </w:pPr>
          </w:p>
        </w:tc>
      </w:tr>
      <w:tr w14:paraId="5C626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0D968258">
            <w:pPr>
              <w:rPr>
                <w:rFonts w:ascii="Arial"/>
                <w:sz w:val="21"/>
              </w:rPr>
            </w:pPr>
          </w:p>
        </w:tc>
        <w:tc>
          <w:tcPr>
            <w:tcW w:w="1931" w:type="dxa"/>
            <w:vAlign w:val="top"/>
          </w:tcPr>
          <w:p w14:paraId="3CD40076">
            <w:pPr>
              <w:rPr>
                <w:rFonts w:ascii="Arial"/>
                <w:sz w:val="21"/>
              </w:rPr>
            </w:pPr>
          </w:p>
        </w:tc>
        <w:tc>
          <w:tcPr>
            <w:tcW w:w="823" w:type="dxa"/>
            <w:vAlign w:val="top"/>
          </w:tcPr>
          <w:p w14:paraId="26856A43">
            <w:pPr>
              <w:rPr>
                <w:rFonts w:ascii="Arial"/>
                <w:sz w:val="21"/>
              </w:rPr>
            </w:pPr>
          </w:p>
        </w:tc>
        <w:tc>
          <w:tcPr>
            <w:tcW w:w="748" w:type="dxa"/>
            <w:vAlign w:val="top"/>
          </w:tcPr>
          <w:p w14:paraId="6D148AFA">
            <w:pPr>
              <w:rPr>
                <w:rFonts w:ascii="Arial"/>
                <w:sz w:val="21"/>
              </w:rPr>
            </w:pPr>
          </w:p>
        </w:tc>
        <w:tc>
          <w:tcPr>
            <w:tcW w:w="1317" w:type="dxa"/>
            <w:vAlign w:val="top"/>
          </w:tcPr>
          <w:p w14:paraId="4849FC89">
            <w:pPr>
              <w:rPr>
                <w:rFonts w:ascii="Arial"/>
                <w:sz w:val="21"/>
              </w:rPr>
            </w:pPr>
          </w:p>
        </w:tc>
        <w:tc>
          <w:tcPr>
            <w:tcW w:w="1377" w:type="dxa"/>
            <w:vAlign w:val="top"/>
          </w:tcPr>
          <w:p w14:paraId="3FF87930">
            <w:pPr>
              <w:rPr>
                <w:rFonts w:ascii="Arial"/>
                <w:sz w:val="21"/>
              </w:rPr>
            </w:pPr>
          </w:p>
        </w:tc>
        <w:tc>
          <w:tcPr>
            <w:tcW w:w="1684" w:type="dxa"/>
            <w:tcBorders>
              <w:right w:val="single" w:color="000000" w:sz="12" w:space="0"/>
            </w:tcBorders>
            <w:vAlign w:val="top"/>
          </w:tcPr>
          <w:p w14:paraId="284650A5">
            <w:pPr>
              <w:rPr>
                <w:rFonts w:ascii="Arial"/>
                <w:sz w:val="21"/>
              </w:rPr>
            </w:pPr>
          </w:p>
        </w:tc>
      </w:tr>
      <w:tr w14:paraId="16B49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01399AE7">
            <w:pPr>
              <w:rPr>
                <w:rFonts w:ascii="Arial"/>
                <w:sz w:val="21"/>
              </w:rPr>
            </w:pPr>
          </w:p>
        </w:tc>
        <w:tc>
          <w:tcPr>
            <w:tcW w:w="1931" w:type="dxa"/>
            <w:vAlign w:val="top"/>
          </w:tcPr>
          <w:p w14:paraId="76F4D16D">
            <w:pPr>
              <w:rPr>
                <w:rFonts w:ascii="Arial"/>
                <w:sz w:val="21"/>
              </w:rPr>
            </w:pPr>
          </w:p>
        </w:tc>
        <w:tc>
          <w:tcPr>
            <w:tcW w:w="823" w:type="dxa"/>
            <w:vAlign w:val="top"/>
          </w:tcPr>
          <w:p w14:paraId="41D88066">
            <w:pPr>
              <w:rPr>
                <w:rFonts w:ascii="Arial"/>
                <w:sz w:val="21"/>
              </w:rPr>
            </w:pPr>
          </w:p>
        </w:tc>
        <w:tc>
          <w:tcPr>
            <w:tcW w:w="748" w:type="dxa"/>
            <w:vAlign w:val="top"/>
          </w:tcPr>
          <w:p w14:paraId="0DC253C3">
            <w:pPr>
              <w:rPr>
                <w:rFonts w:ascii="Arial"/>
                <w:sz w:val="21"/>
              </w:rPr>
            </w:pPr>
          </w:p>
        </w:tc>
        <w:tc>
          <w:tcPr>
            <w:tcW w:w="1317" w:type="dxa"/>
            <w:vAlign w:val="top"/>
          </w:tcPr>
          <w:p w14:paraId="0DB2425C">
            <w:pPr>
              <w:rPr>
                <w:rFonts w:ascii="Arial"/>
                <w:sz w:val="21"/>
              </w:rPr>
            </w:pPr>
          </w:p>
        </w:tc>
        <w:tc>
          <w:tcPr>
            <w:tcW w:w="1377" w:type="dxa"/>
            <w:vAlign w:val="top"/>
          </w:tcPr>
          <w:p w14:paraId="48F6B8DE">
            <w:pPr>
              <w:rPr>
                <w:rFonts w:ascii="Arial"/>
                <w:sz w:val="21"/>
              </w:rPr>
            </w:pPr>
          </w:p>
        </w:tc>
        <w:tc>
          <w:tcPr>
            <w:tcW w:w="1684" w:type="dxa"/>
            <w:tcBorders>
              <w:right w:val="single" w:color="000000" w:sz="12" w:space="0"/>
            </w:tcBorders>
            <w:vAlign w:val="top"/>
          </w:tcPr>
          <w:p w14:paraId="449E497A">
            <w:pPr>
              <w:rPr>
                <w:rFonts w:ascii="Arial"/>
                <w:sz w:val="21"/>
              </w:rPr>
            </w:pPr>
          </w:p>
        </w:tc>
      </w:tr>
      <w:tr w14:paraId="37978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153F515E">
            <w:pPr>
              <w:rPr>
                <w:rFonts w:ascii="Arial"/>
                <w:sz w:val="21"/>
              </w:rPr>
            </w:pPr>
          </w:p>
        </w:tc>
        <w:tc>
          <w:tcPr>
            <w:tcW w:w="1931" w:type="dxa"/>
            <w:vAlign w:val="top"/>
          </w:tcPr>
          <w:p w14:paraId="430428BE">
            <w:pPr>
              <w:rPr>
                <w:rFonts w:ascii="Arial"/>
                <w:sz w:val="21"/>
              </w:rPr>
            </w:pPr>
          </w:p>
        </w:tc>
        <w:tc>
          <w:tcPr>
            <w:tcW w:w="823" w:type="dxa"/>
            <w:vAlign w:val="top"/>
          </w:tcPr>
          <w:p w14:paraId="298D487A">
            <w:pPr>
              <w:rPr>
                <w:rFonts w:ascii="Arial"/>
                <w:sz w:val="21"/>
              </w:rPr>
            </w:pPr>
          </w:p>
        </w:tc>
        <w:tc>
          <w:tcPr>
            <w:tcW w:w="748" w:type="dxa"/>
            <w:vAlign w:val="top"/>
          </w:tcPr>
          <w:p w14:paraId="6F74F633">
            <w:pPr>
              <w:rPr>
                <w:rFonts w:ascii="Arial"/>
                <w:sz w:val="21"/>
              </w:rPr>
            </w:pPr>
          </w:p>
        </w:tc>
        <w:tc>
          <w:tcPr>
            <w:tcW w:w="1317" w:type="dxa"/>
            <w:vAlign w:val="top"/>
          </w:tcPr>
          <w:p w14:paraId="1177F171">
            <w:pPr>
              <w:rPr>
                <w:rFonts w:ascii="Arial"/>
                <w:sz w:val="21"/>
              </w:rPr>
            </w:pPr>
          </w:p>
        </w:tc>
        <w:tc>
          <w:tcPr>
            <w:tcW w:w="1377" w:type="dxa"/>
            <w:vAlign w:val="top"/>
          </w:tcPr>
          <w:p w14:paraId="04621BE0">
            <w:pPr>
              <w:rPr>
                <w:rFonts w:ascii="Arial"/>
                <w:sz w:val="21"/>
              </w:rPr>
            </w:pPr>
          </w:p>
        </w:tc>
        <w:tc>
          <w:tcPr>
            <w:tcW w:w="1684" w:type="dxa"/>
            <w:tcBorders>
              <w:right w:val="single" w:color="000000" w:sz="12" w:space="0"/>
            </w:tcBorders>
            <w:vAlign w:val="top"/>
          </w:tcPr>
          <w:p w14:paraId="084D6DC4">
            <w:pPr>
              <w:rPr>
                <w:rFonts w:ascii="Arial"/>
                <w:sz w:val="21"/>
              </w:rPr>
            </w:pPr>
          </w:p>
        </w:tc>
      </w:tr>
      <w:tr w14:paraId="3F136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526D7576">
            <w:pPr>
              <w:rPr>
                <w:rFonts w:ascii="Arial"/>
                <w:sz w:val="21"/>
              </w:rPr>
            </w:pPr>
          </w:p>
        </w:tc>
        <w:tc>
          <w:tcPr>
            <w:tcW w:w="1931" w:type="dxa"/>
            <w:vAlign w:val="top"/>
          </w:tcPr>
          <w:p w14:paraId="59761E8A">
            <w:pPr>
              <w:rPr>
                <w:rFonts w:ascii="Arial"/>
                <w:sz w:val="21"/>
              </w:rPr>
            </w:pPr>
          </w:p>
        </w:tc>
        <w:tc>
          <w:tcPr>
            <w:tcW w:w="823" w:type="dxa"/>
            <w:vAlign w:val="top"/>
          </w:tcPr>
          <w:p w14:paraId="46395DBA">
            <w:pPr>
              <w:rPr>
                <w:rFonts w:ascii="Arial"/>
                <w:sz w:val="21"/>
              </w:rPr>
            </w:pPr>
          </w:p>
        </w:tc>
        <w:tc>
          <w:tcPr>
            <w:tcW w:w="748" w:type="dxa"/>
            <w:vAlign w:val="top"/>
          </w:tcPr>
          <w:p w14:paraId="6A35BAE8">
            <w:pPr>
              <w:rPr>
                <w:rFonts w:ascii="Arial"/>
                <w:sz w:val="21"/>
              </w:rPr>
            </w:pPr>
          </w:p>
        </w:tc>
        <w:tc>
          <w:tcPr>
            <w:tcW w:w="1317" w:type="dxa"/>
            <w:vAlign w:val="top"/>
          </w:tcPr>
          <w:p w14:paraId="20233349">
            <w:pPr>
              <w:rPr>
                <w:rFonts w:ascii="Arial"/>
                <w:sz w:val="21"/>
              </w:rPr>
            </w:pPr>
          </w:p>
        </w:tc>
        <w:tc>
          <w:tcPr>
            <w:tcW w:w="1377" w:type="dxa"/>
            <w:vAlign w:val="top"/>
          </w:tcPr>
          <w:p w14:paraId="141333EB">
            <w:pPr>
              <w:rPr>
                <w:rFonts w:ascii="Arial"/>
                <w:sz w:val="21"/>
              </w:rPr>
            </w:pPr>
          </w:p>
        </w:tc>
        <w:tc>
          <w:tcPr>
            <w:tcW w:w="1684" w:type="dxa"/>
            <w:tcBorders>
              <w:right w:val="single" w:color="000000" w:sz="12" w:space="0"/>
            </w:tcBorders>
            <w:vAlign w:val="top"/>
          </w:tcPr>
          <w:p w14:paraId="6C56A4CC">
            <w:pPr>
              <w:rPr>
                <w:rFonts w:ascii="Arial"/>
                <w:sz w:val="21"/>
              </w:rPr>
            </w:pPr>
          </w:p>
        </w:tc>
      </w:tr>
      <w:tr w14:paraId="4B342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66" w:type="dxa"/>
            <w:tcBorders>
              <w:left w:val="single" w:color="000000" w:sz="12" w:space="0"/>
            </w:tcBorders>
            <w:vAlign w:val="top"/>
          </w:tcPr>
          <w:p w14:paraId="6257DB72">
            <w:pPr>
              <w:rPr>
                <w:rFonts w:ascii="Arial"/>
                <w:sz w:val="21"/>
              </w:rPr>
            </w:pPr>
          </w:p>
        </w:tc>
        <w:tc>
          <w:tcPr>
            <w:tcW w:w="1931" w:type="dxa"/>
            <w:vAlign w:val="top"/>
          </w:tcPr>
          <w:p w14:paraId="0B3620CB">
            <w:pPr>
              <w:rPr>
                <w:rFonts w:ascii="Arial"/>
                <w:sz w:val="21"/>
              </w:rPr>
            </w:pPr>
          </w:p>
        </w:tc>
        <w:tc>
          <w:tcPr>
            <w:tcW w:w="823" w:type="dxa"/>
            <w:vAlign w:val="top"/>
          </w:tcPr>
          <w:p w14:paraId="2E210C5A">
            <w:pPr>
              <w:rPr>
                <w:rFonts w:ascii="Arial"/>
                <w:sz w:val="21"/>
              </w:rPr>
            </w:pPr>
          </w:p>
        </w:tc>
        <w:tc>
          <w:tcPr>
            <w:tcW w:w="748" w:type="dxa"/>
            <w:vAlign w:val="top"/>
          </w:tcPr>
          <w:p w14:paraId="1588F1FF">
            <w:pPr>
              <w:rPr>
                <w:rFonts w:ascii="Arial"/>
                <w:sz w:val="21"/>
              </w:rPr>
            </w:pPr>
          </w:p>
        </w:tc>
        <w:tc>
          <w:tcPr>
            <w:tcW w:w="1317" w:type="dxa"/>
            <w:vAlign w:val="top"/>
          </w:tcPr>
          <w:p w14:paraId="21B1538F">
            <w:pPr>
              <w:rPr>
                <w:rFonts w:ascii="Arial"/>
                <w:sz w:val="21"/>
              </w:rPr>
            </w:pPr>
          </w:p>
        </w:tc>
        <w:tc>
          <w:tcPr>
            <w:tcW w:w="1377" w:type="dxa"/>
            <w:vAlign w:val="top"/>
          </w:tcPr>
          <w:p w14:paraId="11D88360">
            <w:pPr>
              <w:rPr>
                <w:rFonts w:ascii="Arial"/>
                <w:sz w:val="21"/>
              </w:rPr>
            </w:pPr>
          </w:p>
        </w:tc>
        <w:tc>
          <w:tcPr>
            <w:tcW w:w="1684" w:type="dxa"/>
            <w:tcBorders>
              <w:right w:val="single" w:color="000000" w:sz="12" w:space="0"/>
            </w:tcBorders>
            <w:vAlign w:val="top"/>
          </w:tcPr>
          <w:p w14:paraId="06602EA5">
            <w:pPr>
              <w:rPr>
                <w:rFonts w:ascii="Arial"/>
                <w:sz w:val="21"/>
              </w:rPr>
            </w:pPr>
          </w:p>
        </w:tc>
      </w:tr>
      <w:tr w14:paraId="678CD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966" w:type="dxa"/>
            <w:tcBorders>
              <w:left w:val="single" w:color="000000" w:sz="12" w:space="0"/>
            </w:tcBorders>
            <w:vAlign w:val="top"/>
          </w:tcPr>
          <w:p w14:paraId="7C4C3DF3">
            <w:pPr>
              <w:rPr>
                <w:rFonts w:ascii="Arial"/>
                <w:sz w:val="21"/>
              </w:rPr>
            </w:pPr>
          </w:p>
        </w:tc>
        <w:tc>
          <w:tcPr>
            <w:tcW w:w="1931" w:type="dxa"/>
            <w:vAlign w:val="top"/>
          </w:tcPr>
          <w:p w14:paraId="2962B82D">
            <w:pPr>
              <w:rPr>
                <w:rFonts w:ascii="Arial"/>
                <w:sz w:val="21"/>
              </w:rPr>
            </w:pPr>
          </w:p>
        </w:tc>
        <w:tc>
          <w:tcPr>
            <w:tcW w:w="823" w:type="dxa"/>
            <w:vAlign w:val="top"/>
          </w:tcPr>
          <w:p w14:paraId="2D7EFE7B">
            <w:pPr>
              <w:rPr>
                <w:rFonts w:ascii="Arial"/>
                <w:sz w:val="21"/>
              </w:rPr>
            </w:pPr>
          </w:p>
        </w:tc>
        <w:tc>
          <w:tcPr>
            <w:tcW w:w="748" w:type="dxa"/>
            <w:vAlign w:val="top"/>
          </w:tcPr>
          <w:p w14:paraId="02AE157C">
            <w:pPr>
              <w:rPr>
                <w:rFonts w:ascii="Arial"/>
                <w:sz w:val="21"/>
              </w:rPr>
            </w:pPr>
          </w:p>
        </w:tc>
        <w:tc>
          <w:tcPr>
            <w:tcW w:w="1317" w:type="dxa"/>
            <w:vAlign w:val="top"/>
          </w:tcPr>
          <w:p w14:paraId="392F1DA1">
            <w:pPr>
              <w:rPr>
                <w:rFonts w:ascii="Arial"/>
                <w:sz w:val="21"/>
              </w:rPr>
            </w:pPr>
          </w:p>
        </w:tc>
        <w:tc>
          <w:tcPr>
            <w:tcW w:w="1377" w:type="dxa"/>
            <w:vAlign w:val="top"/>
          </w:tcPr>
          <w:p w14:paraId="714751FD">
            <w:pPr>
              <w:rPr>
                <w:rFonts w:ascii="Arial"/>
                <w:sz w:val="21"/>
              </w:rPr>
            </w:pPr>
          </w:p>
        </w:tc>
        <w:tc>
          <w:tcPr>
            <w:tcW w:w="1684" w:type="dxa"/>
            <w:tcBorders>
              <w:right w:val="single" w:color="000000" w:sz="12" w:space="0"/>
            </w:tcBorders>
            <w:vAlign w:val="top"/>
          </w:tcPr>
          <w:p w14:paraId="7AFCFDD2">
            <w:pPr>
              <w:rPr>
                <w:rFonts w:ascii="Arial"/>
                <w:sz w:val="21"/>
              </w:rPr>
            </w:pPr>
          </w:p>
        </w:tc>
      </w:tr>
      <w:tr w14:paraId="1A36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43525AFE">
            <w:pPr>
              <w:rPr>
                <w:rFonts w:ascii="Arial"/>
                <w:sz w:val="21"/>
              </w:rPr>
            </w:pPr>
          </w:p>
        </w:tc>
        <w:tc>
          <w:tcPr>
            <w:tcW w:w="1931" w:type="dxa"/>
            <w:vAlign w:val="top"/>
          </w:tcPr>
          <w:p w14:paraId="2D3A6A89">
            <w:pPr>
              <w:rPr>
                <w:rFonts w:ascii="Arial"/>
                <w:sz w:val="21"/>
              </w:rPr>
            </w:pPr>
          </w:p>
        </w:tc>
        <w:tc>
          <w:tcPr>
            <w:tcW w:w="823" w:type="dxa"/>
            <w:vAlign w:val="top"/>
          </w:tcPr>
          <w:p w14:paraId="25E1285A">
            <w:pPr>
              <w:rPr>
                <w:rFonts w:ascii="Arial"/>
                <w:sz w:val="21"/>
              </w:rPr>
            </w:pPr>
          </w:p>
        </w:tc>
        <w:tc>
          <w:tcPr>
            <w:tcW w:w="748" w:type="dxa"/>
            <w:vAlign w:val="top"/>
          </w:tcPr>
          <w:p w14:paraId="1559D1EC">
            <w:pPr>
              <w:rPr>
                <w:rFonts w:ascii="Arial"/>
                <w:sz w:val="21"/>
              </w:rPr>
            </w:pPr>
          </w:p>
        </w:tc>
        <w:tc>
          <w:tcPr>
            <w:tcW w:w="1317" w:type="dxa"/>
            <w:vAlign w:val="top"/>
          </w:tcPr>
          <w:p w14:paraId="18A6DD70">
            <w:pPr>
              <w:rPr>
                <w:rFonts w:ascii="Arial"/>
                <w:sz w:val="21"/>
              </w:rPr>
            </w:pPr>
          </w:p>
        </w:tc>
        <w:tc>
          <w:tcPr>
            <w:tcW w:w="1377" w:type="dxa"/>
            <w:vAlign w:val="top"/>
          </w:tcPr>
          <w:p w14:paraId="6EE9D28E">
            <w:pPr>
              <w:rPr>
                <w:rFonts w:ascii="Arial"/>
                <w:sz w:val="21"/>
              </w:rPr>
            </w:pPr>
          </w:p>
        </w:tc>
        <w:tc>
          <w:tcPr>
            <w:tcW w:w="1684" w:type="dxa"/>
            <w:tcBorders>
              <w:right w:val="single" w:color="000000" w:sz="12" w:space="0"/>
            </w:tcBorders>
            <w:vAlign w:val="top"/>
          </w:tcPr>
          <w:p w14:paraId="797A6758">
            <w:pPr>
              <w:rPr>
                <w:rFonts w:ascii="Arial"/>
                <w:sz w:val="21"/>
              </w:rPr>
            </w:pPr>
          </w:p>
        </w:tc>
      </w:tr>
      <w:tr w14:paraId="288DD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3AA145D1">
            <w:pPr>
              <w:rPr>
                <w:rFonts w:ascii="Arial"/>
                <w:sz w:val="21"/>
              </w:rPr>
            </w:pPr>
          </w:p>
        </w:tc>
        <w:tc>
          <w:tcPr>
            <w:tcW w:w="1931" w:type="dxa"/>
            <w:vAlign w:val="top"/>
          </w:tcPr>
          <w:p w14:paraId="417D7674">
            <w:pPr>
              <w:rPr>
                <w:rFonts w:ascii="Arial"/>
                <w:sz w:val="21"/>
              </w:rPr>
            </w:pPr>
          </w:p>
        </w:tc>
        <w:tc>
          <w:tcPr>
            <w:tcW w:w="823" w:type="dxa"/>
            <w:vAlign w:val="top"/>
          </w:tcPr>
          <w:p w14:paraId="1C84D145">
            <w:pPr>
              <w:rPr>
                <w:rFonts w:ascii="Arial"/>
                <w:sz w:val="21"/>
              </w:rPr>
            </w:pPr>
          </w:p>
        </w:tc>
        <w:tc>
          <w:tcPr>
            <w:tcW w:w="748" w:type="dxa"/>
            <w:vAlign w:val="top"/>
          </w:tcPr>
          <w:p w14:paraId="021309CA">
            <w:pPr>
              <w:rPr>
                <w:rFonts w:ascii="Arial"/>
                <w:sz w:val="21"/>
              </w:rPr>
            </w:pPr>
          </w:p>
        </w:tc>
        <w:tc>
          <w:tcPr>
            <w:tcW w:w="1317" w:type="dxa"/>
            <w:vAlign w:val="top"/>
          </w:tcPr>
          <w:p w14:paraId="721E9B02">
            <w:pPr>
              <w:rPr>
                <w:rFonts w:ascii="Arial"/>
                <w:sz w:val="21"/>
              </w:rPr>
            </w:pPr>
          </w:p>
        </w:tc>
        <w:tc>
          <w:tcPr>
            <w:tcW w:w="1377" w:type="dxa"/>
            <w:vAlign w:val="top"/>
          </w:tcPr>
          <w:p w14:paraId="2861591F">
            <w:pPr>
              <w:rPr>
                <w:rFonts w:ascii="Arial"/>
                <w:sz w:val="21"/>
              </w:rPr>
            </w:pPr>
          </w:p>
        </w:tc>
        <w:tc>
          <w:tcPr>
            <w:tcW w:w="1684" w:type="dxa"/>
            <w:tcBorders>
              <w:right w:val="single" w:color="000000" w:sz="12" w:space="0"/>
            </w:tcBorders>
            <w:vAlign w:val="top"/>
          </w:tcPr>
          <w:p w14:paraId="56CC0685">
            <w:pPr>
              <w:rPr>
                <w:rFonts w:ascii="Arial"/>
                <w:sz w:val="21"/>
              </w:rPr>
            </w:pPr>
          </w:p>
        </w:tc>
      </w:tr>
      <w:tr w14:paraId="35191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66" w:type="dxa"/>
            <w:tcBorders>
              <w:left w:val="single" w:color="000000" w:sz="12" w:space="0"/>
            </w:tcBorders>
            <w:vAlign w:val="top"/>
          </w:tcPr>
          <w:p w14:paraId="3FB5CC17">
            <w:pPr>
              <w:rPr>
                <w:rFonts w:ascii="Arial"/>
                <w:sz w:val="21"/>
              </w:rPr>
            </w:pPr>
          </w:p>
        </w:tc>
        <w:tc>
          <w:tcPr>
            <w:tcW w:w="1931" w:type="dxa"/>
            <w:vAlign w:val="top"/>
          </w:tcPr>
          <w:p w14:paraId="532F0B62">
            <w:pPr>
              <w:rPr>
                <w:rFonts w:ascii="Arial"/>
                <w:sz w:val="21"/>
              </w:rPr>
            </w:pPr>
          </w:p>
        </w:tc>
        <w:tc>
          <w:tcPr>
            <w:tcW w:w="823" w:type="dxa"/>
            <w:vAlign w:val="top"/>
          </w:tcPr>
          <w:p w14:paraId="3CBECE4E">
            <w:pPr>
              <w:rPr>
                <w:rFonts w:ascii="Arial"/>
                <w:sz w:val="21"/>
              </w:rPr>
            </w:pPr>
          </w:p>
        </w:tc>
        <w:tc>
          <w:tcPr>
            <w:tcW w:w="748" w:type="dxa"/>
            <w:vAlign w:val="top"/>
          </w:tcPr>
          <w:p w14:paraId="3AC6D6D8">
            <w:pPr>
              <w:rPr>
                <w:rFonts w:ascii="Arial"/>
                <w:sz w:val="21"/>
              </w:rPr>
            </w:pPr>
          </w:p>
        </w:tc>
        <w:tc>
          <w:tcPr>
            <w:tcW w:w="1317" w:type="dxa"/>
            <w:vAlign w:val="top"/>
          </w:tcPr>
          <w:p w14:paraId="79EEB1A8">
            <w:pPr>
              <w:rPr>
                <w:rFonts w:ascii="Arial"/>
                <w:sz w:val="21"/>
              </w:rPr>
            </w:pPr>
          </w:p>
        </w:tc>
        <w:tc>
          <w:tcPr>
            <w:tcW w:w="1377" w:type="dxa"/>
            <w:vAlign w:val="top"/>
          </w:tcPr>
          <w:p w14:paraId="086A1DD0">
            <w:pPr>
              <w:rPr>
                <w:rFonts w:ascii="Arial"/>
                <w:sz w:val="21"/>
              </w:rPr>
            </w:pPr>
          </w:p>
        </w:tc>
        <w:tc>
          <w:tcPr>
            <w:tcW w:w="1684" w:type="dxa"/>
            <w:tcBorders>
              <w:right w:val="single" w:color="000000" w:sz="12" w:space="0"/>
            </w:tcBorders>
            <w:vAlign w:val="top"/>
          </w:tcPr>
          <w:p w14:paraId="7AEF8A0B">
            <w:pPr>
              <w:rPr>
                <w:rFonts w:ascii="Arial"/>
                <w:sz w:val="21"/>
              </w:rPr>
            </w:pPr>
          </w:p>
        </w:tc>
      </w:tr>
      <w:tr w14:paraId="6C165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14CE90B3">
            <w:pPr>
              <w:rPr>
                <w:rFonts w:ascii="Arial"/>
                <w:sz w:val="21"/>
              </w:rPr>
            </w:pPr>
          </w:p>
        </w:tc>
        <w:tc>
          <w:tcPr>
            <w:tcW w:w="1931" w:type="dxa"/>
            <w:vAlign w:val="top"/>
          </w:tcPr>
          <w:p w14:paraId="5A4322C0">
            <w:pPr>
              <w:rPr>
                <w:rFonts w:ascii="Arial"/>
                <w:sz w:val="21"/>
              </w:rPr>
            </w:pPr>
          </w:p>
        </w:tc>
        <w:tc>
          <w:tcPr>
            <w:tcW w:w="823" w:type="dxa"/>
            <w:vAlign w:val="top"/>
          </w:tcPr>
          <w:p w14:paraId="602D01B1">
            <w:pPr>
              <w:rPr>
                <w:rFonts w:ascii="Arial"/>
                <w:sz w:val="21"/>
              </w:rPr>
            </w:pPr>
          </w:p>
        </w:tc>
        <w:tc>
          <w:tcPr>
            <w:tcW w:w="748" w:type="dxa"/>
            <w:vAlign w:val="top"/>
          </w:tcPr>
          <w:p w14:paraId="185309AB">
            <w:pPr>
              <w:rPr>
                <w:rFonts w:ascii="Arial"/>
                <w:sz w:val="21"/>
              </w:rPr>
            </w:pPr>
          </w:p>
        </w:tc>
        <w:tc>
          <w:tcPr>
            <w:tcW w:w="1317" w:type="dxa"/>
            <w:vAlign w:val="top"/>
          </w:tcPr>
          <w:p w14:paraId="28AE71F5">
            <w:pPr>
              <w:rPr>
                <w:rFonts w:ascii="Arial"/>
                <w:sz w:val="21"/>
              </w:rPr>
            </w:pPr>
          </w:p>
        </w:tc>
        <w:tc>
          <w:tcPr>
            <w:tcW w:w="1377" w:type="dxa"/>
            <w:vAlign w:val="top"/>
          </w:tcPr>
          <w:p w14:paraId="16260BE0">
            <w:pPr>
              <w:rPr>
                <w:rFonts w:ascii="Arial"/>
                <w:sz w:val="21"/>
              </w:rPr>
            </w:pPr>
          </w:p>
        </w:tc>
        <w:tc>
          <w:tcPr>
            <w:tcW w:w="1684" w:type="dxa"/>
            <w:tcBorders>
              <w:right w:val="single" w:color="000000" w:sz="12" w:space="0"/>
            </w:tcBorders>
            <w:vAlign w:val="top"/>
          </w:tcPr>
          <w:p w14:paraId="6AE7B762">
            <w:pPr>
              <w:rPr>
                <w:rFonts w:ascii="Arial"/>
                <w:sz w:val="21"/>
              </w:rPr>
            </w:pPr>
          </w:p>
        </w:tc>
      </w:tr>
      <w:tr w14:paraId="10CF9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0FDDA80C">
            <w:pPr>
              <w:rPr>
                <w:rFonts w:ascii="Arial"/>
                <w:sz w:val="21"/>
              </w:rPr>
            </w:pPr>
          </w:p>
        </w:tc>
        <w:tc>
          <w:tcPr>
            <w:tcW w:w="1931" w:type="dxa"/>
            <w:vAlign w:val="top"/>
          </w:tcPr>
          <w:p w14:paraId="412FCFD8">
            <w:pPr>
              <w:rPr>
                <w:rFonts w:ascii="Arial"/>
                <w:sz w:val="21"/>
              </w:rPr>
            </w:pPr>
          </w:p>
        </w:tc>
        <w:tc>
          <w:tcPr>
            <w:tcW w:w="823" w:type="dxa"/>
            <w:vAlign w:val="top"/>
          </w:tcPr>
          <w:p w14:paraId="421522AE">
            <w:pPr>
              <w:rPr>
                <w:rFonts w:ascii="Arial"/>
                <w:sz w:val="21"/>
              </w:rPr>
            </w:pPr>
          </w:p>
        </w:tc>
        <w:tc>
          <w:tcPr>
            <w:tcW w:w="748" w:type="dxa"/>
            <w:vAlign w:val="top"/>
          </w:tcPr>
          <w:p w14:paraId="15424A0D">
            <w:pPr>
              <w:rPr>
                <w:rFonts w:ascii="Arial"/>
                <w:sz w:val="21"/>
              </w:rPr>
            </w:pPr>
          </w:p>
        </w:tc>
        <w:tc>
          <w:tcPr>
            <w:tcW w:w="1317" w:type="dxa"/>
            <w:vAlign w:val="top"/>
          </w:tcPr>
          <w:p w14:paraId="4F3F845F">
            <w:pPr>
              <w:rPr>
                <w:rFonts w:ascii="Arial"/>
                <w:sz w:val="21"/>
              </w:rPr>
            </w:pPr>
          </w:p>
        </w:tc>
        <w:tc>
          <w:tcPr>
            <w:tcW w:w="1377" w:type="dxa"/>
            <w:vAlign w:val="top"/>
          </w:tcPr>
          <w:p w14:paraId="5EF61F98">
            <w:pPr>
              <w:rPr>
                <w:rFonts w:ascii="Arial"/>
                <w:sz w:val="21"/>
              </w:rPr>
            </w:pPr>
          </w:p>
        </w:tc>
        <w:tc>
          <w:tcPr>
            <w:tcW w:w="1684" w:type="dxa"/>
            <w:tcBorders>
              <w:right w:val="single" w:color="000000" w:sz="12" w:space="0"/>
            </w:tcBorders>
            <w:vAlign w:val="top"/>
          </w:tcPr>
          <w:p w14:paraId="5D28BBA8">
            <w:pPr>
              <w:rPr>
                <w:rFonts w:ascii="Arial"/>
                <w:sz w:val="21"/>
              </w:rPr>
            </w:pPr>
          </w:p>
        </w:tc>
      </w:tr>
      <w:tr w14:paraId="5949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619D74E2">
            <w:pPr>
              <w:rPr>
                <w:rFonts w:ascii="Arial"/>
                <w:sz w:val="21"/>
              </w:rPr>
            </w:pPr>
          </w:p>
        </w:tc>
        <w:tc>
          <w:tcPr>
            <w:tcW w:w="1931" w:type="dxa"/>
            <w:vAlign w:val="top"/>
          </w:tcPr>
          <w:p w14:paraId="07748DD0">
            <w:pPr>
              <w:rPr>
                <w:rFonts w:ascii="Arial"/>
                <w:sz w:val="21"/>
              </w:rPr>
            </w:pPr>
          </w:p>
        </w:tc>
        <w:tc>
          <w:tcPr>
            <w:tcW w:w="823" w:type="dxa"/>
            <w:vAlign w:val="top"/>
          </w:tcPr>
          <w:p w14:paraId="1DDA184D">
            <w:pPr>
              <w:rPr>
                <w:rFonts w:ascii="Arial"/>
                <w:sz w:val="21"/>
              </w:rPr>
            </w:pPr>
          </w:p>
        </w:tc>
        <w:tc>
          <w:tcPr>
            <w:tcW w:w="748" w:type="dxa"/>
            <w:vAlign w:val="top"/>
          </w:tcPr>
          <w:p w14:paraId="27D48386">
            <w:pPr>
              <w:rPr>
                <w:rFonts w:ascii="Arial"/>
                <w:sz w:val="21"/>
              </w:rPr>
            </w:pPr>
          </w:p>
        </w:tc>
        <w:tc>
          <w:tcPr>
            <w:tcW w:w="1317" w:type="dxa"/>
            <w:vAlign w:val="top"/>
          </w:tcPr>
          <w:p w14:paraId="212FA5E0">
            <w:pPr>
              <w:rPr>
                <w:rFonts w:ascii="Arial"/>
                <w:sz w:val="21"/>
              </w:rPr>
            </w:pPr>
          </w:p>
        </w:tc>
        <w:tc>
          <w:tcPr>
            <w:tcW w:w="1377" w:type="dxa"/>
            <w:vAlign w:val="top"/>
          </w:tcPr>
          <w:p w14:paraId="2E6F4986">
            <w:pPr>
              <w:rPr>
                <w:rFonts w:ascii="Arial"/>
                <w:sz w:val="21"/>
              </w:rPr>
            </w:pPr>
          </w:p>
        </w:tc>
        <w:tc>
          <w:tcPr>
            <w:tcW w:w="1684" w:type="dxa"/>
            <w:tcBorders>
              <w:right w:val="single" w:color="000000" w:sz="12" w:space="0"/>
            </w:tcBorders>
            <w:vAlign w:val="top"/>
          </w:tcPr>
          <w:p w14:paraId="7C4D7CAF">
            <w:pPr>
              <w:rPr>
                <w:rFonts w:ascii="Arial"/>
                <w:sz w:val="21"/>
              </w:rPr>
            </w:pPr>
          </w:p>
        </w:tc>
      </w:tr>
      <w:tr w14:paraId="5195C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04B2C648">
            <w:pPr>
              <w:rPr>
                <w:rFonts w:ascii="Arial"/>
                <w:sz w:val="21"/>
              </w:rPr>
            </w:pPr>
          </w:p>
        </w:tc>
        <w:tc>
          <w:tcPr>
            <w:tcW w:w="1931" w:type="dxa"/>
            <w:vAlign w:val="top"/>
          </w:tcPr>
          <w:p w14:paraId="26F1B8D1">
            <w:pPr>
              <w:rPr>
                <w:rFonts w:ascii="Arial"/>
                <w:sz w:val="21"/>
              </w:rPr>
            </w:pPr>
          </w:p>
        </w:tc>
        <w:tc>
          <w:tcPr>
            <w:tcW w:w="823" w:type="dxa"/>
            <w:vAlign w:val="top"/>
          </w:tcPr>
          <w:p w14:paraId="78DC00B8">
            <w:pPr>
              <w:rPr>
                <w:rFonts w:ascii="Arial"/>
                <w:sz w:val="21"/>
              </w:rPr>
            </w:pPr>
          </w:p>
        </w:tc>
        <w:tc>
          <w:tcPr>
            <w:tcW w:w="748" w:type="dxa"/>
            <w:vAlign w:val="top"/>
          </w:tcPr>
          <w:p w14:paraId="061038E4">
            <w:pPr>
              <w:rPr>
                <w:rFonts w:ascii="Arial"/>
                <w:sz w:val="21"/>
              </w:rPr>
            </w:pPr>
          </w:p>
        </w:tc>
        <w:tc>
          <w:tcPr>
            <w:tcW w:w="1317" w:type="dxa"/>
            <w:vAlign w:val="top"/>
          </w:tcPr>
          <w:p w14:paraId="1B5A0C68">
            <w:pPr>
              <w:rPr>
                <w:rFonts w:ascii="Arial"/>
                <w:sz w:val="21"/>
              </w:rPr>
            </w:pPr>
          </w:p>
        </w:tc>
        <w:tc>
          <w:tcPr>
            <w:tcW w:w="1377" w:type="dxa"/>
            <w:vAlign w:val="top"/>
          </w:tcPr>
          <w:p w14:paraId="7E6A90A0">
            <w:pPr>
              <w:rPr>
                <w:rFonts w:ascii="Arial"/>
                <w:sz w:val="21"/>
              </w:rPr>
            </w:pPr>
          </w:p>
        </w:tc>
        <w:tc>
          <w:tcPr>
            <w:tcW w:w="1684" w:type="dxa"/>
            <w:tcBorders>
              <w:right w:val="single" w:color="000000" w:sz="12" w:space="0"/>
            </w:tcBorders>
            <w:vAlign w:val="top"/>
          </w:tcPr>
          <w:p w14:paraId="5F3095BD">
            <w:pPr>
              <w:rPr>
                <w:rFonts w:ascii="Arial"/>
                <w:sz w:val="21"/>
              </w:rPr>
            </w:pPr>
          </w:p>
        </w:tc>
      </w:tr>
      <w:tr w14:paraId="1B66B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66" w:type="dxa"/>
            <w:tcBorders>
              <w:left w:val="single" w:color="000000" w:sz="12" w:space="0"/>
            </w:tcBorders>
            <w:vAlign w:val="top"/>
          </w:tcPr>
          <w:p w14:paraId="163B3BA5">
            <w:pPr>
              <w:rPr>
                <w:rFonts w:ascii="Arial"/>
                <w:sz w:val="21"/>
              </w:rPr>
            </w:pPr>
          </w:p>
        </w:tc>
        <w:tc>
          <w:tcPr>
            <w:tcW w:w="1931" w:type="dxa"/>
            <w:vAlign w:val="top"/>
          </w:tcPr>
          <w:p w14:paraId="20C35D01">
            <w:pPr>
              <w:rPr>
                <w:rFonts w:ascii="Arial"/>
                <w:sz w:val="21"/>
              </w:rPr>
            </w:pPr>
          </w:p>
        </w:tc>
        <w:tc>
          <w:tcPr>
            <w:tcW w:w="823" w:type="dxa"/>
            <w:vAlign w:val="top"/>
          </w:tcPr>
          <w:p w14:paraId="2A1415F9">
            <w:pPr>
              <w:rPr>
                <w:rFonts w:ascii="Arial"/>
                <w:sz w:val="21"/>
              </w:rPr>
            </w:pPr>
          </w:p>
        </w:tc>
        <w:tc>
          <w:tcPr>
            <w:tcW w:w="748" w:type="dxa"/>
            <w:vAlign w:val="top"/>
          </w:tcPr>
          <w:p w14:paraId="64BC70E7">
            <w:pPr>
              <w:rPr>
                <w:rFonts w:ascii="Arial"/>
                <w:sz w:val="21"/>
              </w:rPr>
            </w:pPr>
          </w:p>
        </w:tc>
        <w:tc>
          <w:tcPr>
            <w:tcW w:w="1317" w:type="dxa"/>
            <w:vAlign w:val="top"/>
          </w:tcPr>
          <w:p w14:paraId="74CDE412">
            <w:pPr>
              <w:rPr>
                <w:rFonts w:ascii="Arial"/>
                <w:sz w:val="21"/>
              </w:rPr>
            </w:pPr>
          </w:p>
        </w:tc>
        <w:tc>
          <w:tcPr>
            <w:tcW w:w="1377" w:type="dxa"/>
            <w:vAlign w:val="top"/>
          </w:tcPr>
          <w:p w14:paraId="2306C302">
            <w:pPr>
              <w:rPr>
                <w:rFonts w:ascii="Arial"/>
                <w:sz w:val="21"/>
              </w:rPr>
            </w:pPr>
          </w:p>
        </w:tc>
        <w:tc>
          <w:tcPr>
            <w:tcW w:w="1684" w:type="dxa"/>
            <w:tcBorders>
              <w:right w:val="single" w:color="000000" w:sz="12" w:space="0"/>
            </w:tcBorders>
            <w:vAlign w:val="top"/>
          </w:tcPr>
          <w:p w14:paraId="56DC514E">
            <w:pPr>
              <w:rPr>
                <w:rFonts w:ascii="Arial"/>
                <w:sz w:val="21"/>
              </w:rPr>
            </w:pPr>
          </w:p>
        </w:tc>
      </w:tr>
      <w:tr w14:paraId="20D49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3A4B2A98">
            <w:pPr>
              <w:rPr>
                <w:rFonts w:ascii="Arial"/>
                <w:sz w:val="21"/>
              </w:rPr>
            </w:pPr>
          </w:p>
        </w:tc>
        <w:tc>
          <w:tcPr>
            <w:tcW w:w="1931" w:type="dxa"/>
            <w:vAlign w:val="top"/>
          </w:tcPr>
          <w:p w14:paraId="66526F48">
            <w:pPr>
              <w:rPr>
                <w:rFonts w:ascii="Arial"/>
                <w:sz w:val="21"/>
              </w:rPr>
            </w:pPr>
          </w:p>
        </w:tc>
        <w:tc>
          <w:tcPr>
            <w:tcW w:w="823" w:type="dxa"/>
            <w:vAlign w:val="top"/>
          </w:tcPr>
          <w:p w14:paraId="587BA8C6">
            <w:pPr>
              <w:rPr>
                <w:rFonts w:ascii="Arial"/>
                <w:sz w:val="21"/>
              </w:rPr>
            </w:pPr>
          </w:p>
        </w:tc>
        <w:tc>
          <w:tcPr>
            <w:tcW w:w="748" w:type="dxa"/>
            <w:vAlign w:val="top"/>
          </w:tcPr>
          <w:p w14:paraId="495BE190">
            <w:pPr>
              <w:rPr>
                <w:rFonts w:ascii="Arial"/>
                <w:sz w:val="21"/>
              </w:rPr>
            </w:pPr>
          </w:p>
        </w:tc>
        <w:tc>
          <w:tcPr>
            <w:tcW w:w="1317" w:type="dxa"/>
            <w:vAlign w:val="top"/>
          </w:tcPr>
          <w:p w14:paraId="3B3D3504">
            <w:pPr>
              <w:rPr>
                <w:rFonts w:ascii="Arial"/>
                <w:sz w:val="21"/>
              </w:rPr>
            </w:pPr>
          </w:p>
        </w:tc>
        <w:tc>
          <w:tcPr>
            <w:tcW w:w="1377" w:type="dxa"/>
            <w:vAlign w:val="top"/>
          </w:tcPr>
          <w:p w14:paraId="21E6086D">
            <w:pPr>
              <w:rPr>
                <w:rFonts w:ascii="Arial"/>
                <w:sz w:val="21"/>
              </w:rPr>
            </w:pPr>
          </w:p>
        </w:tc>
        <w:tc>
          <w:tcPr>
            <w:tcW w:w="1684" w:type="dxa"/>
            <w:tcBorders>
              <w:right w:val="single" w:color="000000" w:sz="12" w:space="0"/>
            </w:tcBorders>
            <w:vAlign w:val="top"/>
          </w:tcPr>
          <w:p w14:paraId="471E89CF">
            <w:pPr>
              <w:rPr>
                <w:rFonts w:ascii="Arial"/>
                <w:sz w:val="21"/>
              </w:rPr>
            </w:pPr>
          </w:p>
        </w:tc>
      </w:tr>
      <w:tr w14:paraId="7F038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42CCB011">
            <w:pPr>
              <w:rPr>
                <w:rFonts w:ascii="Arial"/>
                <w:sz w:val="21"/>
              </w:rPr>
            </w:pPr>
          </w:p>
        </w:tc>
        <w:tc>
          <w:tcPr>
            <w:tcW w:w="1931" w:type="dxa"/>
            <w:vAlign w:val="top"/>
          </w:tcPr>
          <w:p w14:paraId="5FF7D619">
            <w:pPr>
              <w:rPr>
                <w:rFonts w:ascii="Arial"/>
                <w:sz w:val="21"/>
              </w:rPr>
            </w:pPr>
          </w:p>
        </w:tc>
        <w:tc>
          <w:tcPr>
            <w:tcW w:w="823" w:type="dxa"/>
            <w:vAlign w:val="top"/>
          </w:tcPr>
          <w:p w14:paraId="634B6210">
            <w:pPr>
              <w:rPr>
                <w:rFonts w:ascii="Arial"/>
                <w:sz w:val="21"/>
              </w:rPr>
            </w:pPr>
          </w:p>
        </w:tc>
        <w:tc>
          <w:tcPr>
            <w:tcW w:w="748" w:type="dxa"/>
            <w:vAlign w:val="top"/>
          </w:tcPr>
          <w:p w14:paraId="3BEE3169">
            <w:pPr>
              <w:rPr>
                <w:rFonts w:ascii="Arial"/>
                <w:sz w:val="21"/>
              </w:rPr>
            </w:pPr>
          </w:p>
        </w:tc>
        <w:tc>
          <w:tcPr>
            <w:tcW w:w="1317" w:type="dxa"/>
            <w:vAlign w:val="top"/>
          </w:tcPr>
          <w:p w14:paraId="0EE2FF76">
            <w:pPr>
              <w:rPr>
                <w:rFonts w:ascii="Arial"/>
                <w:sz w:val="21"/>
              </w:rPr>
            </w:pPr>
          </w:p>
        </w:tc>
        <w:tc>
          <w:tcPr>
            <w:tcW w:w="1377" w:type="dxa"/>
            <w:vAlign w:val="top"/>
          </w:tcPr>
          <w:p w14:paraId="3023AEA2">
            <w:pPr>
              <w:rPr>
                <w:rFonts w:ascii="Arial"/>
                <w:sz w:val="21"/>
              </w:rPr>
            </w:pPr>
          </w:p>
        </w:tc>
        <w:tc>
          <w:tcPr>
            <w:tcW w:w="1684" w:type="dxa"/>
            <w:tcBorders>
              <w:right w:val="single" w:color="000000" w:sz="12" w:space="0"/>
            </w:tcBorders>
            <w:vAlign w:val="top"/>
          </w:tcPr>
          <w:p w14:paraId="1E471DC8">
            <w:pPr>
              <w:rPr>
                <w:rFonts w:ascii="Arial"/>
                <w:sz w:val="21"/>
              </w:rPr>
            </w:pPr>
          </w:p>
        </w:tc>
      </w:tr>
      <w:tr w14:paraId="1743B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24471149">
            <w:pPr>
              <w:rPr>
                <w:rFonts w:ascii="Arial"/>
                <w:sz w:val="21"/>
              </w:rPr>
            </w:pPr>
          </w:p>
        </w:tc>
        <w:tc>
          <w:tcPr>
            <w:tcW w:w="1931" w:type="dxa"/>
            <w:vAlign w:val="top"/>
          </w:tcPr>
          <w:p w14:paraId="05741F9A">
            <w:pPr>
              <w:rPr>
                <w:rFonts w:ascii="Arial"/>
                <w:sz w:val="21"/>
              </w:rPr>
            </w:pPr>
          </w:p>
        </w:tc>
        <w:tc>
          <w:tcPr>
            <w:tcW w:w="823" w:type="dxa"/>
            <w:vAlign w:val="top"/>
          </w:tcPr>
          <w:p w14:paraId="592507C4">
            <w:pPr>
              <w:rPr>
                <w:rFonts w:ascii="Arial"/>
                <w:sz w:val="21"/>
              </w:rPr>
            </w:pPr>
          </w:p>
        </w:tc>
        <w:tc>
          <w:tcPr>
            <w:tcW w:w="748" w:type="dxa"/>
            <w:vAlign w:val="top"/>
          </w:tcPr>
          <w:p w14:paraId="4A88229F">
            <w:pPr>
              <w:rPr>
                <w:rFonts w:ascii="Arial"/>
                <w:sz w:val="21"/>
              </w:rPr>
            </w:pPr>
          </w:p>
        </w:tc>
        <w:tc>
          <w:tcPr>
            <w:tcW w:w="1317" w:type="dxa"/>
            <w:vAlign w:val="top"/>
          </w:tcPr>
          <w:p w14:paraId="523D3492">
            <w:pPr>
              <w:rPr>
                <w:rFonts w:ascii="Arial"/>
                <w:sz w:val="21"/>
              </w:rPr>
            </w:pPr>
          </w:p>
        </w:tc>
        <w:tc>
          <w:tcPr>
            <w:tcW w:w="1377" w:type="dxa"/>
            <w:vAlign w:val="top"/>
          </w:tcPr>
          <w:p w14:paraId="0C35AA54">
            <w:pPr>
              <w:rPr>
                <w:rFonts w:ascii="Arial"/>
                <w:sz w:val="21"/>
              </w:rPr>
            </w:pPr>
          </w:p>
        </w:tc>
        <w:tc>
          <w:tcPr>
            <w:tcW w:w="1684" w:type="dxa"/>
            <w:tcBorders>
              <w:right w:val="single" w:color="000000" w:sz="12" w:space="0"/>
            </w:tcBorders>
            <w:vAlign w:val="top"/>
          </w:tcPr>
          <w:p w14:paraId="7C5B4E6A">
            <w:pPr>
              <w:rPr>
                <w:rFonts w:ascii="Arial"/>
                <w:sz w:val="21"/>
              </w:rPr>
            </w:pPr>
          </w:p>
        </w:tc>
      </w:tr>
      <w:tr w14:paraId="5943F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66" w:type="dxa"/>
            <w:tcBorders>
              <w:left w:val="single" w:color="000000" w:sz="12" w:space="0"/>
            </w:tcBorders>
            <w:vAlign w:val="top"/>
          </w:tcPr>
          <w:p w14:paraId="0F469D2D">
            <w:pPr>
              <w:rPr>
                <w:rFonts w:ascii="Arial"/>
                <w:sz w:val="21"/>
              </w:rPr>
            </w:pPr>
          </w:p>
        </w:tc>
        <w:tc>
          <w:tcPr>
            <w:tcW w:w="1931" w:type="dxa"/>
            <w:vAlign w:val="top"/>
          </w:tcPr>
          <w:p w14:paraId="50C7DC71">
            <w:pPr>
              <w:rPr>
                <w:rFonts w:ascii="Arial"/>
                <w:sz w:val="21"/>
              </w:rPr>
            </w:pPr>
          </w:p>
        </w:tc>
        <w:tc>
          <w:tcPr>
            <w:tcW w:w="823" w:type="dxa"/>
            <w:vAlign w:val="top"/>
          </w:tcPr>
          <w:p w14:paraId="56E22CC5">
            <w:pPr>
              <w:rPr>
                <w:rFonts w:ascii="Arial"/>
                <w:sz w:val="21"/>
              </w:rPr>
            </w:pPr>
          </w:p>
        </w:tc>
        <w:tc>
          <w:tcPr>
            <w:tcW w:w="748" w:type="dxa"/>
            <w:vAlign w:val="top"/>
          </w:tcPr>
          <w:p w14:paraId="4EF21DDB">
            <w:pPr>
              <w:rPr>
                <w:rFonts w:ascii="Arial"/>
                <w:sz w:val="21"/>
              </w:rPr>
            </w:pPr>
          </w:p>
        </w:tc>
        <w:tc>
          <w:tcPr>
            <w:tcW w:w="1317" w:type="dxa"/>
            <w:vAlign w:val="top"/>
          </w:tcPr>
          <w:p w14:paraId="5F33D714">
            <w:pPr>
              <w:rPr>
                <w:rFonts w:ascii="Arial"/>
                <w:sz w:val="21"/>
              </w:rPr>
            </w:pPr>
          </w:p>
        </w:tc>
        <w:tc>
          <w:tcPr>
            <w:tcW w:w="1377" w:type="dxa"/>
            <w:vAlign w:val="top"/>
          </w:tcPr>
          <w:p w14:paraId="041A666B">
            <w:pPr>
              <w:rPr>
                <w:rFonts w:ascii="Arial"/>
                <w:sz w:val="21"/>
              </w:rPr>
            </w:pPr>
          </w:p>
        </w:tc>
        <w:tc>
          <w:tcPr>
            <w:tcW w:w="1684" w:type="dxa"/>
            <w:tcBorders>
              <w:right w:val="single" w:color="000000" w:sz="12" w:space="0"/>
            </w:tcBorders>
            <w:vAlign w:val="top"/>
          </w:tcPr>
          <w:p w14:paraId="1CBC379D">
            <w:pPr>
              <w:rPr>
                <w:rFonts w:ascii="Arial"/>
                <w:sz w:val="21"/>
              </w:rPr>
            </w:pPr>
          </w:p>
        </w:tc>
      </w:tr>
      <w:tr w14:paraId="31C7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66" w:type="dxa"/>
            <w:tcBorders>
              <w:left w:val="single" w:color="000000" w:sz="12" w:space="0"/>
            </w:tcBorders>
            <w:vAlign w:val="top"/>
          </w:tcPr>
          <w:p w14:paraId="7E79B15C">
            <w:pPr>
              <w:rPr>
                <w:rFonts w:ascii="Arial"/>
                <w:sz w:val="21"/>
              </w:rPr>
            </w:pPr>
          </w:p>
        </w:tc>
        <w:tc>
          <w:tcPr>
            <w:tcW w:w="1931" w:type="dxa"/>
            <w:vAlign w:val="top"/>
          </w:tcPr>
          <w:p w14:paraId="267F7930">
            <w:pPr>
              <w:rPr>
                <w:rFonts w:ascii="Arial"/>
                <w:sz w:val="21"/>
              </w:rPr>
            </w:pPr>
          </w:p>
        </w:tc>
        <w:tc>
          <w:tcPr>
            <w:tcW w:w="823" w:type="dxa"/>
            <w:vAlign w:val="top"/>
          </w:tcPr>
          <w:p w14:paraId="41683D15">
            <w:pPr>
              <w:rPr>
                <w:rFonts w:ascii="Arial"/>
                <w:sz w:val="21"/>
              </w:rPr>
            </w:pPr>
          </w:p>
        </w:tc>
        <w:tc>
          <w:tcPr>
            <w:tcW w:w="748" w:type="dxa"/>
            <w:vAlign w:val="top"/>
          </w:tcPr>
          <w:p w14:paraId="30648444">
            <w:pPr>
              <w:rPr>
                <w:rFonts w:ascii="Arial"/>
                <w:sz w:val="21"/>
              </w:rPr>
            </w:pPr>
          </w:p>
        </w:tc>
        <w:tc>
          <w:tcPr>
            <w:tcW w:w="1317" w:type="dxa"/>
            <w:vAlign w:val="top"/>
          </w:tcPr>
          <w:p w14:paraId="3808C9EE">
            <w:pPr>
              <w:rPr>
                <w:rFonts w:ascii="Arial"/>
                <w:sz w:val="21"/>
              </w:rPr>
            </w:pPr>
          </w:p>
        </w:tc>
        <w:tc>
          <w:tcPr>
            <w:tcW w:w="1377" w:type="dxa"/>
            <w:vAlign w:val="top"/>
          </w:tcPr>
          <w:p w14:paraId="251318D3">
            <w:pPr>
              <w:rPr>
                <w:rFonts w:ascii="Arial"/>
                <w:sz w:val="21"/>
              </w:rPr>
            </w:pPr>
          </w:p>
        </w:tc>
        <w:tc>
          <w:tcPr>
            <w:tcW w:w="1684" w:type="dxa"/>
            <w:tcBorders>
              <w:right w:val="single" w:color="000000" w:sz="12" w:space="0"/>
            </w:tcBorders>
            <w:vAlign w:val="top"/>
          </w:tcPr>
          <w:p w14:paraId="0C98FB91">
            <w:pPr>
              <w:rPr>
                <w:rFonts w:ascii="Arial"/>
                <w:sz w:val="21"/>
              </w:rPr>
            </w:pPr>
          </w:p>
        </w:tc>
      </w:tr>
      <w:tr w14:paraId="2A3DB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966" w:type="dxa"/>
            <w:tcBorders>
              <w:left w:val="single" w:color="000000" w:sz="12" w:space="0"/>
              <w:bottom w:val="single" w:color="000000" w:sz="12" w:space="0"/>
            </w:tcBorders>
            <w:vAlign w:val="top"/>
          </w:tcPr>
          <w:p w14:paraId="4C2C954A">
            <w:pPr>
              <w:rPr>
                <w:rFonts w:ascii="Arial"/>
                <w:sz w:val="21"/>
              </w:rPr>
            </w:pPr>
          </w:p>
        </w:tc>
        <w:tc>
          <w:tcPr>
            <w:tcW w:w="1931" w:type="dxa"/>
            <w:tcBorders>
              <w:bottom w:val="single" w:color="000000" w:sz="12" w:space="0"/>
            </w:tcBorders>
            <w:vAlign w:val="top"/>
          </w:tcPr>
          <w:p w14:paraId="0832A112">
            <w:pPr>
              <w:rPr>
                <w:rFonts w:ascii="Arial"/>
                <w:sz w:val="21"/>
              </w:rPr>
            </w:pPr>
          </w:p>
        </w:tc>
        <w:tc>
          <w:tcPr>
            <w:tcW w:w="823" w:type="dxa"/>
            <w:tcBorders>
              <w:bottom w:val="single" w:color="000000" w:sz="12" w:space="0"/>
            </w:tcBorders>
            <w:vAlign w:val="top"/>
          </w:tcPr>
          <w:p w14:paraId="31B8C8FA">
            <w:pPr>
              <w:rPr>
                <w:rFonts w:ascii="Arial"/>
                <w:sz w:val="21"/>
              </w:rPr>
            </w:pPr>
          </w:p>
        </w:tc>
        <w:tc>
          <w:tcPr>
            <w:tcW w:w="748" w:type="dxa"/>
            <w:tcBorders>
              <w:bottom w:val="single" w:color="000000" w:sz="12" w:space="0"/>
            </w:tcBorders>
            <w:vAlign w:val="top"/>
          </w:tcPr>
          <w:p w14:paraId="5C41213C">
            <w:pPr>
              <w:rPr>
                <w:rFonts w:ascii="Arial"/>
                <w:sz w:val="21"/>
              </w:rPr>
            </w:pPr>
          </w:p>
        </w:tc>
        <w:tc>
          <w:tcPr>
            <w:tcW w:w="1317" w:type="dxa"/>
            <w:tcBorders>
              <w:bottom w:val="single" w:color="000000" w:sz="12" w:space="0"/>
            </w:tcBorders>
            <w:vAlign w:val="top"/>
          </w:tcPr>
          <w:p w14:paraId="3BAE130F">
            <w:pPr>
              <w:rPr>
                <w:rFonts w:ascii="Arial"/>
                <w:sz w:val="21"/>
              </w:rPr>
            </w:pPr>
          </w:p>
        </w:tc>
        <w:tc>
          <w:tcPr>
            <w:tcW w:w="1377" w:type="dxa"/>
            <w:tcBorders>
              <w:bottom w:val="single" w:color="000000" w:sz="12" w:space="0"/>
            </w:tcBorders>
            <w:vAlign w:val="top"/>
          </w:tcPr>
          <w:p w14:paraId="4AFCD652">
            <w:pPr>
              <w:rPr>
                <w:rFonts w:ascii="Arial"/>
                <w:sz w:val="21"/>
              </w:rPr>
            </w:pPr>
          </w:p>
        </w:tc>
        <w:tc>
          <w:tcPr>
            <w:tcW w:w="1684" w:type="dxa"/>
            <w:tcBorders>
              <w:bottom w:val="single" w:color="000000" w:sz="12" w:space="0"/>
              <w:right w:val="single" w:color="000000" w:sz="12" w:space="0"/>
            </w:tcBorders>
            <w:vAlign w:val="top"/>
          </w:tcPr>
          <w:p w14:paraId="0EE11399">
            <w:pPr>
              <w:rPr>
                <w:rFonts w:ascii="Arial"/>
                <w:sz w:val="21"/>
              </w:rPr>
            </w:pPr>
          </w:p>
        </w:tc>
      </w:tr>
    </w:tbl>
    <w:p w14:paraId="219D6952">
      <w:pPr>
        <w:pStyle w:val="2"/>
      </w:pPr>
    </w:p>
    <w:p w14:paraId="6E9CFF08">
      <w:pPr>
        <w:sectPr>
          <w:footerReference r:id="rId253" w:type="default"/>
          <w:pgSz w:w="11910" w:h="16845"/>
          <w:pgMar w:top="400" w:right="1381" w:bottom="1110" w:left="1651" w:header="0" w:footer="882" w:gutter="0"/>
          <w:cols w:space="720" w:num="1"/>
        </w:sectPr>
      </w:pPr>
    </w:p>
    <w:p w14:paraId="4E49B5E7">
      <w:pPr>
        <w:pStyle w:val="2"/>
        <w:spacing w:line="275" w:lineRule="auto"/>
      </w:pPr>
    </w:p>
    <w:p w14:paraId="4208D8D5">
      <w:pPr>
        <w:pStyle w:val="2"/>
        <w:spacing w:line="275" w:lineRule="auto"/>
      </w:pPr>
    </w:p>
    <w:p w14:paraId="3BAF5F3A">
      <w:pPr>
        <w:pStyle w:val="2"/>
        <w:spacing w:line="276" w:lineRule="auto"/>
      </w:pPr>
    </w:p>
    <w:p w14:paraId="123A1BFA">
      <w:pPr>
        <w:pStyle w:val="2"/>
        <w:spacing w:line="276" w:lineRule="auto"/>
      </w:pPr>
    </w:p>
    <w:p w14:paraId="11C38F01">
      <w:pPr>
        <w:pStyle w:val="2"/>
        <w:spacing w:line="276" w:lineRule="auto"/>
      </w:pPr>
    </w:p>
    <w:p w14:paraId="48EA2D18">
      <w:pPr>
        <w:pStyle w:val="2"/>
        <w:spacing w:line="276" w:lineRule="auto"/>
      </w:pPr>
    </w:p>
    <w:p w14:paraId="49783E41">
      <w:pPr>
        <w:spacing w:before="91" w:line="237" w:lineRule="auto"/>
        <w:ind w:left="2796"/>
        <w:rPr>
          <w:rFonts w:ascii="黑体" w:hAnsi="黑体" w:eastAsia="黑体" w:cs="黑体"/>
          <w:sz w:val="28"/>
          <w:szCs w:val="28"/>
        </w:rPr>
      </w:pPr>
      <w:r>
        <w:rPr>
          <w:rFonts w:ascii="Times New Roman" w:hAnsi="Times New Roman" w:eastAsia="Times New Roman" w:cs="Times New Roman"/>
          <w:sz w:val="28"/>
          <w:szCs w:val="28"/>
        </w:rPr>
        <w:t>11-2</w:t>
      </w:r>
      <w:r>
        <w:rPr>
          <w:rFonts w:ascii="黑体" w:hAnsi="黑体" w:eastAsia="黑体" w:cs="黑体"/>
          <w:sz w:val="28"/>
          <w:szCs w:val="28"/>
        </w:rPr>
        <w:t>：工程设备暂估价表</w:t>
      </w:r>
    </w:p>
    <w:p w14:paraId="576340B9">
      <w:pPr>
        <w:spacing w:line="111" w:lineRule="exact"/>
      </w:pPr>
    </w:p>
    <w:tbl>
      <w:tblPr>
        <w:tblStyle w:val="5"/>
        <w:tblW w:w="859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6"/>
        <w:gridCol w:w="1870"/>
        <w:gridCol w:w="808"/>
        <w:gridCol w:w="733"/>
        <w:gridCol w:w="1272"/>
        <w:gridCol w:w="1332"/>
        <w:gridCol w:w="1639"/>
      </w:tblGrid>
      <w:tr w14:paraId="72895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936" w:type="dxa"/>
            <w:tcBorders>
              <w:top w:val="single" w:color="000000" w:sz="12" w:space="0"/>
              <w:left w:val="single" w:color="000000" w:sz="12" w:space="0"/>
            </w:tcBorders>
            <w:vAlign w:val="top"/>
          </w:tcPr>
          <w:p w14:paraId="5A5E0ADB">
            <w:pPr>
              <w:pStyle w:val="6"/>
              <w:spacing w:before="194" w:line="221" w:lineRule="auto"/>
              <w:ind w:left="232"/>
              <w:rPr>
                <w:sz w:val="21"/>
                <w:szCs w:val="21"/>
              </w:rPr>
            </w:pPr>
            <w:r>
              <w:rPr>
                <w:spacing w:val="-2"/>
                <w:sz w:val="21"/>
                <w:szCs w:val="21"/>
              </w:rPr>
              <w:t>序号</w:t>
            </w:r>
          </w:p>
        </w:tc>
        <w:tc>
          <w:tcPr>
            <w:tcW w:w="1870" w:type="dxa"/>
            <w:tcBorders>
              <w:top w:val="single" w:color="000000" w:sz="12" w:space="0"/>
            </w:tcBorders>
            <w:vAlign w:val="top"/>
          </w:tcPr>
          <w:p w14:paraId="4963ED67">
            <w:pPr>
              <w:pStyle w:val="6"/>
              <w:spacing w:before="194" w:line="222" w:lineRule="auto"/>
              <w:ind w:left="719"/>
              <w:rPr>
                <w:sz w:val="21"/>
                <w:szCs w:val="21"/>
              </w:rPr>
            </w:pPr>
            <w:r>
              <w:rPr>
                <w:spacing w:val="-3"/>
                <w:sz w:val="21"/>
                <w:szCs w:val="21"/>
              </w:rPr>
              <w:t>名称</w:t>
            </w:r>
          </w:p>
        </w:tc>
        <w:tc>
          <w:tcPr>
            <w:tcW w:w="808" w:type="dxa"/>
            <w:tcBorders>
              <w:top w:val="single" w:color="000000" w:sz="12" w:space="0"/>
            </w:tcBorders>
            <w:vAlign w:val="top"/>
          </w:tcPr>
          <w:p w14:paraId="66EC6720">
            <w:pPr>
              <w:pStyle w:val="6"/>
              <w:spacing w:before="194" w:line="220" w:lineRule="auto"/>
              <w:ind w:left="200"/>
              <w:rPr>
                <w:sz w:val="21"/>
                <w:szCs w:val="21"/>
              </w:rPr>
            </w:pPr>
            <w:r>
              <w:rPr>
                <w:spacing w:val="-3"/>
                <w:sz w:val="21"/>
                <w:szCs w:val="21"/>
              </w:rPr>
              <w:t>单位</w:t>
            </w:r>
          </w:p>
        </w:tc>
        <w:tc>
          <w:tcPr>
            <w:tcW w:w="733" w:type="dxa"/>
            <w:tcBorders>
              <w:top w:val="single" w:color="000000" w:sz="12" w:space="0"/>
            </w:tcBorders>
            <w:vAlign w:val="top"/>
          </w:tcPr>
          <w:p w14:paraId="6D535E92">
            <w:pPr>
              <w:pStyle w:val="6"/>
              <w:spacing w:before="194" w:line="220" w:lineRule="auto"/>
              <w:ind w:left="158"/>
              <w:rPr>
                <w:sz w:val="21"/>
                <w:szCs w:val="21"/>
              </w:rPr>
            </w:pPr>
            <w:r>
              <w:rPr>
                <w:spacing w:val="-3"/>
                <w:sz w:val="21"/>
                <w:szCs w:val="21"/>
              </w:rPr>
              <w:t>数量</w:t>
            </w:r>
          </w:p>
        </w:tc>
        <w:tc>
          <w:tcPr>
            <w:tcW w:w="1272" w:type="dxa"/>
            <w:tcBorders>
              <w:top w:val="single" w:color="000000" w:sz="12" w:space="0"/>
            </w:tcBorders>
            <w:vAlign w:val="top"/>
          </w:tcPr>
          <w:p w14:paraId="04E2749C">
            <w:pPr>
              <w:pStyle w:val="6"/>
              <w:spacing w:before="194" w:line="218" w:lineRule="auto"/>
              <w:ind w:left="101"/>
              <w:rPr>
                <w:sz w:val="21"/>
                <w:szCs w:val="21"/>
              </w:rPr>
            </w:pPr>
            <w:r>
              <w:rPr>
                <w:spacing w:val="-4"/>
                <w:sz w:val="21"/>
                <w:szCs w:val="21"/>
              </w:rPr>
              <w:t>单价（元）</w:t>
            </w:r>
          </w:p>
        </w:tc>
        <w:tc>
          <w:tcPr>
            <w:tcW w:w="1332" w:type="dxa"/>
            <w:tcBorders>
              <w:top w:val="single" w:color="000000" w:sz="12" w:space="0"/>
            </w:tcBorders>
            <w:vAlign w:val="top"/>
          </w:tcPr>
          <w:p w14:paraId="4791775B">
            <w:pPr>
              <w:pStyle w:val="6"/>
              <w:spacing w:before="194" w:line="218" w:lineRule="auto"/>
              <w:ind w:left="149"/>
              <w:rPr>
                <w:sz w:val="21"/>
                <w:szCs w:val="21"/>
              </w:rPr>
            </w:pPr>
            <w:r>
              <w:rPr>
                <w:spacing w:val="-4"/>
                <w:sz w:val="21"/>
                <w:szCs w:val="21"/>
              </w:rPr>
              <w:t>合价（元）</w:t>
            </w:r>
          </w:p>
        </w:tc>
        <w:tc>
          <w:tcPr>
            <w:tcW w:w="1639" w:type="dxa"/>
            <w:tcBorders>
              <w:top w:val="single" w:color="000000" w:sz="12" w:space="0"/>
              <w:right w:val="single" w:color="000000" w:sz="12" w:space="0"/>
            </w:tcBorders>
            <w:vAlign w:val="top"/>
          </w:tcPr>
          <w:p w14:paraId="104BE655">
            <w:pPr>
              <w:pStyle w:val="6"/>
              <w:spacing w:before="194" w:line="221" w:lineRule="auto"/>
              <w:ind w:left="607"/>
              <w:rPr>
                <w:sz w:val="21"/>
                <w:szCs w:val="21"/>
              </w:rPr>
            </w:pPr>
            <w:r>
              <w:rPr>
                <w:spacing w:val="-3"/>
                <w:sz w:val="21"/>
                <w:szCs w:val="21"/>
              </w:rPr>
              <w:t>备注</w:t>
            </w:r>
          </w:p>
        </w:tc>
      </w:tr>
      <w:tr w14:paraId="41100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03A18994">
            <w:pPr>
              <w:rPr>
                <w:rFonts w:ascii="Arial"/>
                <w:sz w:val="21"/>
              </w:rPr>
            </w:pPr>
          </w:p>
        </w:tc>
        <w:tc>
          <w:tcPr>
            <w:tcW w:w="1870" w:type="dxa"/>
            <w:vAlign w:val="top"/>
          </w:tcPr>
          <w:p w14:paraId="5D5BABA7">
            <w:pPr>
              <w:rPr>
                <w:rFonts w:ascii="Arial"/>
                <w:sz w:val="21"/>
              </w:rPr>
            </w:pPr>
          </w:p>
        </w:tc>
        <w:tc>
          <w:tcPr>
            <w:tcW w:w="808" w:type="dxa"/>
            <w:vAlign w:val="top"/>
          </w:tcPr>
          <w:p w14:paraId="6BBE19F9">
            <w:pPr>
              <w:rPr>
                <w:rFonts w:ascii="Arial"/>
                <w:sz w:val="21"/>
              </w:rPr>
            </w:pPr>
          </w:p>
        </w:tc>
        <w:tc>
          <w:tcPr>
            <w:tcW w:w="733" w:type="dxa"/>
            <w:vAlign w:val="top"/>
          </w:tcPr>
          <w:p w14:paraId="42227B5F">
            <w:pPr>
              <w:rPr>
                <w:rFonts w:ascii="Arial"/>
                <w:sz w:val="21"/>
              </w:rPr>
            </w:pPr>
          </w:p>
        </w:tc>
        <w:tc>
          <w:tcPr>
            <w:tcW w:w="1272" w:type="dxa"/>
            <w:vAlign w:val="top"/>
          </w:tcPr>
          <w:p w14:paraId="5F7B7BDA">
            <w:pPr>
              <w:rPr>
                <w:rFonts w:ascii="Arial"/>
                <w:sz w:val="21"/>
              </w:rPr>
            </w:pPr>
          </w:p>
        </w:tc>
        <w:tc>
          <w:tcPr>
            <w:tcW w:w="1332" w:type="dxa"/>
            <w:vAlign w:val="top"/>
          </w:tcPr>
          <w:p w14:paraId="4A9108BF">
            <w:pPr>
              <w:rPr>
                <w:rFonts w:ascii="Arial"/>
                <w:sz w:val="21"/>
              </w:rPr>
            </w:pPr>
          </w:p>
        </w:tc>
        <w:tc>
          <w:tcPr>
            <w:tcW w:w="1639" w:type="dxa"/>
            <w:tcBorders>
              <w:right w:val="single" w:color="000000" w:sz="12" w:space="0"/>
            </w:tcBorders>
            <w:vAlign w:val="top"/>
          </w:tcPr>
          <w:p w14:paraId="20664F25">
            <w:pPr>
              <w:rPr>
                <w:rFonts w:ascii="Arial"/>
                <w:sz w:val="21"/>
              </w:rPr>
            </w:pPr>
          </w:p>
        </w:tc>
      </w:tr>
      <w:tr w14:paraId="7DD51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2133B6C7">
            <w:pPr>
              <w:rPr>
                <w:rFonts w:ascii="Arial"/>
                <w:sz w:val="21"/>
              </w:rPr>
            </w:pPr>
          </w:p>
        </w:tc>
        <w:tc>
          <w:tcPr>
            <w:tcW w:w="1870" w:type="dxa"/>
            <w:vAlign w:val="top"/>
          </w:tcPr>
          <w:p w14:paraId="7B264963">
            <w:pPr>
              <w:rPr>
                <w:rFonts w:ascii="Arial"/>
                <w:sz w:val="21"/>
              </w:rPr>
            </w:pPr>
          </w:p>
        </w:tc>
        <w:tc>
          <w:tcPr>
            <w:tcW w:w="808" w:type="dxa"/>
            <w:vAlign w:val="top"/>
          </w:tcPr>
          <w:p w14:paraId="08F540A6">
            <w:pPr>
              <w:rPr>
                <w:rFonts w:ascii="Arial"/>
                <w:sz w:val="21"/>
              </w:rPr>
            </w:pPr>
          </w:p>
        </w:tc>
        <w:tc>
          <w:tcPr>
            <w:tcW w:w="733" w:type="dxa"/>
            <w:vAlign w:val="top"/>
          </w:tcPr>
          <w:p w14:paraId="68C677A6">
            <w:pPr>
              <w:rPr>
                <w:rFonts w:ascii="Arial"/>
                <w:sz w:val="21"/>
              </w:rPr>
            </w:pPr>
          </w:p>
        </w:tc>
        <w:tc>
          <w:tcPr>
            <w:tcW w:w="1272" w:type="dxa"/>
            <w:vAlign w:val="top"/>
          </w:tcPr>
          <w:p w14:paraId="1BCF73AE">
            <w:pPr>
              <w:rPr>
                <w:rFonts w:ascii="Arial"/>
                <w:sz w:val="21"/>
              </w:rPr>
            </w:pPr>
          </w:p>
        </w:tc>
        <w:tc>
          <w:tcPr>
            <w:tcW w:w="1332" w:type="dxa"/>
            <w:vAlign w:val="top"/>
          </w:tcPr>
          <w:p w14:paraId="0657A436">
            <w:pPr>
              <w:rPr>
                <w:rFonts w:ascii="Arial"/>
                <w:sz w:val="21"/>
              </w:rPr>
            </w:pPr>
          </w:p>
        </w:tc>
        <w:tc>
          <w:tcPr>
            <w:tcW w:w="1639" w:type="dxa"/>
            <w:tcBorders>
              <w:right w:val="single" w:color="000000" w:sz="12" w:space="0"/>
            </w:tcBorders>
            <w:vAlign w:val="top"/>
          </w:tcPr>
          <w:p w14:paraId="01AA53EE">
            <w:pPr>
              <w:rPr>
                <w:rFonts w:ascii="Arial"/>
                <w:sz w:val="21"/>
              </w:rPr>
            </w:pPr>
          </w:p>
        </w:tc>
      </w:tr>
      <w:tr w14:paraId="3406F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0FAC0C00">
            <w:pPr>
              <w:rPr>
                <w:rFonts w:ascii="Arial"/>
                <w:sz w:val="21"/>
              </w:rPr>
            </w:pPr>
          </w:p>
        </w:tc>
        <w:tc>
          <w:tcPr>
            <w:tcW w:w="1870" w:type="dxa"/>
            <w:vAlign w:val="top"/>
          </w:tcPr>
          <w:p w14:paraId="708AAF55">
            <w:pPr>
              <w:rPr>
                <w:rFonts w:ascii="Arial"/>
                <w:sz w:val="21"/>
              </w:rPr>
            </w:pPr>
          </w:p>
        </w:tc>
        <w:tc>
          <w:tcPr>
            <w:tcW w:w="808" w:type="dxa"/>
            <w:vAlign w:val="top"/>
          </w:tcPr>
          <w:p w14:paraId="7AA58387">
            <w:pPr>
              <w:rPr>
                <w:rFonts w:ascii="Arial"/>
                <w:sz w:val="21"/>
              </w:rPr>
            </w:pPr>
          </w:p>
        </w:tc>
        <w:tc>
          <w:tcPr>
            <w:tcW w:w="733" w:type="dxa"/>
            <w:vAlign w:val="top"/>
          </w:tcPr>
          <w:p w14:paraId="39BBB912">
            <w:pPr>
              <w:rPr>
                <w:rFonts w:ascii="Arial"/>
                <w:sz w:val="21"/>
              </w:rPr>
            </w:pPr>
          </w:p>
        </w:tc>
        <w:tc>
          <w:tcPr>
            <w:tcW w:w="1272" w:type="dxa"/>
            <w:vAlign w:val="top"/>
          </w:tcPr>
          <w:p w14:paraId="31BEBB0E">
            <w:pPr>
              <w:rPr>
                <w:rFonts w:ascii="Arial"/>
                <w:sz w:val="21"/>
              </w:rPr>
            </w:pPr>
          </w:p>
        </w:tc>
        <w:tc>
          <w:tcPr>
            <w:tcW w:w="1332" w:type="dxa"/>
            <w:vAlign w:val="top"/>
          </w:tcPr>
          <w:p w14:paraId="2A387C2C">
            <w:pPr>
              <w:rPr>
                <w:rFonts w:ascii="Arial"/>
                <w:sz w:val="21"/>
              </w:rPr>
            </w:pPr>
          </w:p>
        </w:tc>
        <w:tc>
          <w:tcPr>
            <w:tcW w:w="1639" w:type="dxa"/>
            <w:tcBorders>
              <w:right w:val="single" w:color="000000" w:sz="12" w:space="0"/>
            </w:tcBorders>
            <w:vAlign w:val="top"/>
          </w:tcPr>
          <w:p w14:paraId="1B8B8EE5">
            <w:pPr>
              <w:rPr>
                <w:rFonts w:ascii="Arial"/>
                <w:sz w:val="21"/>
              </w:rPr>
            </w:pPr>
          </w:p>
        </w:tc>
      </w:tr>
      <w:tr w14:paraId="449CE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7B92935D">
            <w:pPr>
              <w:rPr>
                <w:rFonts w:ascii="Arial"/>
                <w:sz w:val="21"/>
              </w:rPr>
            </w:pPr>
          </w:p>
        </w:tc>
        <w:tc>
          <w:tcPr>
            <w:tcW w:w="1870" w:type="dxa"/>
            <w:vAlign w:val="top"/>
          </w:tcPr>
          <w:p w14:paraId="5C5F46BB">
            <w:pPr>
              <w:rPr>
                <w:rFonts w:ascii="Arial"/>
                <w:sz w:val="21"/>
              </w:rPr>
            </w:pPr>
          </w:p>
        </w:tc>
        <w:tc>
          <w:tcPr>
            <w:tcW w:w="808" w:type="dxa"/>
            <w:vAlign w:val="top"/>
          </w:tcPr>
          <w:p w14:paraId="3BF445A6">
            <w:pPr>
              <w:rPr>
                <w:rFonts w:ascii="Arial"/>
                <w:sz w:val="21"/>
              </w:rPr>
            </w:pPr>
          </w:p>
        </w:tc>
        <w:tc>
          <w:tcPr>
            <w:tcW w:w="733" w:type="dxa"/>
            <w:vAlign w:val="top"/>
          </w:tcPr>
          <w:p w14:paraId="47EFBC75">
            <w:pPr>
              <w:rPr>
                <w:rFonts w:ascii="Arial"/>
                <w:sz w:val="21"/>
              </w:rPr>
            </w:pPr>
          </w:p>
        </w:tc>
        <w:tc>
          <w:tcPr>
            <w:tcW w:w="1272" w:type="dxa"/>
            <w:vAlign w:val="top"/>
          </w:tcPr>
          <w:p w14:paraId="63E482CE">
            <w:pPr>
              <w:rPr>
                <w:rFonts w:ascii="Arial"/>
                <w:sz w:val="21"/>
              </w:rPr>
            </w:pPr>
          </w:p>
        </w:tc>
        <w:tc>
          <w:tcPr>
            <w:tcW w:w="1332" w:type="dxa"/>
            <w:vAlign w:val="top"/>
          </w:tcPr>
          <w:p w14:paraId="51343147">
            <w:pPr>
              <w:rPr>
                <w:rFonts w:ascii="Arial"/>
                <w:sz w:val="21"/>
              </w:rPr>
            </w:pPr>
          </w:p>
        </w:tc>
        <w:tc>
          <w:tcPr>
            <w:tcW w:w="1639" w:type="dxa"/>
            <w:tcBorders>
              <w:right w:val="single" w:color="000000" w:sz="12" w:space="0"/>
            </w:tcBorders>
            <w:vAlign w:val="top"/>
          </w:tcPr>
          <w:p w14:paraId="093DB1DC">
            <w:pPr>
              <w:rPr>
                <w:rFonts w:ascii="Arial"/>
                <w:sz w:val="21"/>
              </w:rPr>
            </w:pPr>
          </w:p>
        </w:tc>
      </w:tr>
      <w:tr w14:paraId="40074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260267BF">
            <w:pPr>
              <w:rPr>
                <w:rFonts w:ascii="Arial"/>
                <w:sz w:val="21"/>
              </w:rPr>
            </w:pPr>
          </w:p>
        </w:tc>
        <w:tc>
          <w:tcPr>
            <w:tcW w:w="1870" w:type="dxa"/>
            <w:vAlign w:val="top"/>
          </w:tcPr>
          <w:p w14:paraId="31235795">
            <w:pPr>
              <w:rPr>
                <w:rFonts w:ascii="Arial"/>
                <w:sz w:val="21"/>
              </w:rPr>
            </w:pPr>
          </w:p>
        </w:tc>
        <w:tc>
          <w:tcPr>
            <w:tcW w:w="808" w:type="dxa"/>
            <w:vAlign w:val="top"/>
          </w:tcPr>
          <w:p w14:paraId="68817A8A">
            <w:pPr>
              <w:rPr>
                <w:rFonts w:ascii="Arial"/>
                <w:sz w:val="21"/>
              </w:rPr>
            </w:pPr>
          </w:p>
        </w:tc>
        <w:tc>
          <w:tcPr>
            <w:tcW w:w="733" w:type="dxa"/>
            <w:vAlign w:val="top"/>
          </w:tcPr>
          <w:p w14:paraId="23413E17">
            <w:pPr>
              <w:rPr>
                <w:rFonts w:ascii="Arial"/>
                <w:sz w:val="21"/>
              </w:rPr>
            </w:pPr>
          </w:p>
        </w:tc>
        <w:tc>
          <w:tcPr>
            <w:tcW w:w="1272" w:type="dxa"/>
            <w:vAlign w:val="top"/>
          </w:tcPr>
          <w:p w14:paraId="38EF2366">
            <w:pPr>
              <w:rPr>
                <w:rFonts w:ascii="Arial"/>
                <w:sz w:val="21"/>
              </w:rPr>
            </w:pPr>
          </w:p>
        </w:tc>
        <w:tc>
          <w:tcPr>
            <w:tcW w:w="1332" w:type="dxa"/>
            <w:vAlign w:val="top"/>
          </w:tcPr>
          <w:p w14:paraId="2ADF40A9">
            <w:pPr>
              <w:rPr>
                <w:rFonts w:ascii="Arial"/>
                <w:sz w:val="21"/>
              </w:rPr>
            </w:pPr>
          </w:p>
        </w:tc>
        <w:tc>
          <w:tcPr>
            <w:tcW w:w="1639" w:type="dxa"/>
            <w:tcBorders>
              <w:right w:val="single" w:color="000000" w:sz="12" w:space="0"/>
            </w:tcBorders>
            <w:vAlign w:val="top"/>
          </w:tcPr>
          <w:p w14:paraId="1ADBF622">
            <w:pPr>
              <w:rPr>
                <w:rFonts w:ascii="Arial"/>
                <w:sz w:val="21"/>
              </w:rPr>
            </w:pPr>
          </w:p>
        </w:tc>
      </w:tr>
      <w:tr w14:paraId="212BF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518C2149">
            <w:pPr>
              <w:rPr>
                <w:rFonts w:ascii="Arial"/>
                <w:sz w:val="21"/>
              </w:rPr>
            </w:pPr>
          </w:p>
        </w:tc>
        <w:tc>
          <w:tcPr>
            <w:tcW w:w="1870" w:type="dxa"/>
            <w:vAlign w:val="top"/>
          </w:tcPr>
          <w:p w14:paraId="21D3B26D">
            <w:pPr>
              <w:rPr>
                <w:rFonts w:ascii="Arial"/>
                <w:sz w:val="21"/>
              </w:rPr>
            </w:pPr>
          </w:p>
        </w:tc>
        <w:tc>
          <w:tcPr>
            <w:tcW w:w="808" w:type="dxa"/>
            <w:vAlign w:val="top"/>
          </w:tcPr>
          <w:p w14:paraId="7CE1A2C7">
            <w:pPr>
              <w:rPr>
                <w:rFonts w:ascii="Arial"/>
                <w:sz w:val="21"/>
              </w:rPr>
            </w:pPr>
          </w:p>
        </w:tc>
        <w:tc>
          <w:tcPr>
            <w:tcW w:w="733" w:type="dxa"/>
            <w:vAlign w:val="top"/>
          </w:tcPr>
          <w:p w14:paraId="5F6EE4E2">
            <w:pPr>
              <w:rPr>
                <w:rFonts w:ascii="Arial"/>
                <w:sz w:val="21"/>
              </w:rPr>
            </w:pPr>
          </w:p>
        </w:tc>
        <w:tc>
          <w:tcPr>
            <w:tcW w:w="1272" w:type="dxa"/>
            <w:vAlign w:val="top"/>
          </w:tcPr>
          <w:p w14:paraId="5C4A721F">
            <w:pPr>
              <w:rPr>
                <w:rFonts w:ascii="Arial"/>
                <w:sz w:val="21"/>
              </w:rPr>
            </w:pPr>
          </w:p>
        </w:tc>
        <w:tc>
          <w:tcPr>
            <w:tcW w:w="1332" w:type="dxa"/>
            <w:vAlign w:val="top"/>
          </w:tcPr>
          <w:p w14:paraId="522DCA9E">
            <w:pPr>
              <w:rPr>
                <w:rFonts w:ascii="Arial"/>
                <w:sz w:val="21"/>
              </w:rPr>
            </w:pPr>
          </w:p>
        </w:tc>
        <w:tc>
          <w:tcPr>
            <w:tcW w:w="1639" w:type="dxa"/>
            <w:tcBorders>
              <w:right w:val="single" w:color="000000" w:sz="12" w:space="0"/>
            </w:tcBorders>
            <w:vAlign w:val="top"/>
          </w:tcPr>
          <w:p w14:paraId="745378BA">
            <w:pPr>
              <w:rPr>
                <w:rFonts w:ascii="Arial"/>
                <w:sz w:val="21"/>
              </w:rPr>
            </w:pPr>
          </w:p>
        </w:tc>
      </w:tr>
      <w:tr w14:paraId="2FF9E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2E796F94">
            <w:pPr>
              <w:rPr>
                <w:rFonts w:ascii="Arial"/>
                <w:sz w:val="21"/>
              </w:rPr>
            </w:pPr>
          </w:p>
        </w:tc>
        <w:tc>
          <w:tcPr>
            <w:tcW w:w="1870" w:type="dxa"/>
            <w:vAlign w:val="top"/>
          </w:tcPr>
          <w:p w14:paraId="58B4BA23">
            <w:pPr>
              <w:rPr>
                <w:rFonts w:ascii="Arial"/>
                <w:sz w:val="21"/>
              </w:rPr>
            </w:pPr>
          </w:p>
        </w:tc>
        <w:tc>
          <w:tcPr>
            <w:tcW w:w="808" w:type="dxa"/>
            <w:vAlign w:val="top"/>
          </w:tcPr>
          <w:p w14:paraId="0D6E9237">
            <w:pPr>
              <w:rPr>
                <w:rFonts w:ascii="Arial"/>
                <w:sz w:val="21"/>
              </w:rPr>
            </w:pPr>
          </w:p>
        </w:tc>
        <w:tc>
          <w:tcPr>
            <w:tcW w:w="733" w:type="dxa"/>
            <w:vAlign w:val="top"/>
          </w:tcPr>
          <w:p w14:paraId="0AB2094C">
            <w:pPr>
              <w:rPr>
                <w:rFonts w:ascii="Arial"/>
                <w:sz w:val="21"/>
              </w:rPr>
            </w:pPr>
          </w:p>
        </w:tc>
        <w:tc>
          <w:tcPr>
            <w:tcW w:w="1272" w:type="dxa"/>
            <w:vAlign w:val="top"/>
          </w:tcPr>
          <w:p w14:paraId="0A784E00">
            <w:pPr>
              <w:rPr>
                <w:rFonts w:ascii="Arial"/>
                <w:sz w:val="21"/>
              </w:rPr>
            </w:pPr>
          </w:p>
        </w:tc>
        <w:tc>
          <w:tcPr>
            <w:tcW w:w="1332" w:type="dxa"/>
            <w:vAlign w:val="top"/>
          </w:tcPr>
          <w:p w14:paraId="7B0DDF9B">
            <w:pPr>
              <w:rPr>
                <w:rFonts w:ascii="Arial"/>
                <w:sz w:val="21"/>
              </w:rPr>
            </w:pPr>
          </w:p>
        </w:tc>
        <w:tc>
          <w:tcPr>
            <w:tcW w:w="1639" w:type="dxa"/>
            <w:tcBorders>
              <w:right w:val="single" w:color="000000" w:sz="12" w:space="0"/>
            </w:tcBorders>
            <w:vAlign w:val="top"/>
          </w:tcPr>
          <w:p w14:paraId="74EE26E5">
            <w:pPr>
              <w:rPr>
                <w:rFonts w:ascii="Arial"/>
                <w:sz w:val="21"/>
              </w:rPr>
            </w:pPr>
          </w:p>
        </w:tc>
      </w:tr>
      <w:tr w14:paraId="5A3A9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7ADDB729">
            <w:pPr>
              <w:rPr>
                <w:rFonts w:ascii="Arial"/>
                <w:sz w:val="21"/>
              </w:rPr>
            </w:pPr>
          </w:p>
        </w:tc>
        <w:tc>
          <w:tcPr>
            <w:tcW w:w="1870" w:type="dxa"/>
            <w:vAlign w:val="top"/>
          </w:tcPr>
          <w:p w14:paraId="687C5CBD">
            <w:pPr>
              <w:rPr>
                <w:rFonts w:ascii="Arial"/>
                <w:sz w:val="21"/>
              </w:rPr>
            </w:pPr>
          </w:p>
        </w:tc>
        <w:tc>
          <w:tcPr>
            <w:tcW w:w="808" w:type="dxa"/>
            <w:vAlign w:val="top"/>
          </w:tcPr>
          <w:p w14:paraId="41560F2D">
            <w:pPr>
              <w:rPr>
                <w:rFonts w:ascii="Arial"/>
                <w:sz w:val="21"/>
              </w:rPr>
            </w:pPr>
          </w:p>
        </w:tc>
        <w:tc>
          <w:tcPr>
            <w:tcW w:w="733" w:type="dxa"/>
            <w:vAlign w:val="top"/>
          </w:tcPr>
          <w:p w14:paraId="4C877C9C">
            <w:pPr>
              <w:rPr>
                <w:rFonts w:ascii="Arial"/>
                <w:sz w:val="21"/>
              </w:rPr>
            </w:pPr>
          </w:p>
        </w:tc>
        <w:tc>
          <w:tcPr>
            <w:tcW w:w="1272" w:type="dxa"/>
            <w:vAlign w:val="top"/>
          </w:tcPr>
          <w:p w14:paraId="0D1C12C0">
            <w:pPr>
              <w:rPr>
                <w:rFonts w:ascii="Arial"/>
                <w:sz w:val="21"/>
              </w:rPr>
            </w:pPr>
          </w:p>
        </w:tc>
        <w:tc>
          <w:tcPr>
            <w:tcW w:w="1332" w:type="dxa"/>
            <w:vAlign w:val="top"/>
          </w:tcPr>
          <w:p w14:paraId="2AB5ED1E">
            <w:pPr>
              <w:rPr>
                <w:rFonts w:ascii="Arial"/>
                <w:sz w:val="21"/>
              </w:rPr>
            </w:pPr>
          </w:p>
        </w:tc>
        <w:tc>
          <w:tcPr>
            <w:tcW w:w="1639" w:type="dxa"/>
            <w:tcBorders>
              <w:right w:val="single" w:color="000000" w:sz="12" w:space="0"/>
            </w:tcBorders>
            <w:vAlign w:val="top"/>
          </w:tcPr>
          <w:p w14:paraId="5A0F16EC">
            <w:pPr>
              <w:rPr>
                <w:rFonts w:ascii="Arial"/>
                <w:sz w:val="21"/>
              </w:rPr>
            </w:pPr>
          </w:p>
        </w:tc>
      </w:tr>
      <w:tr w14:paraId="49D7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577E6235">
            <w:pPr>
              <w:rPr>
                <w:rFonts w:ascii="Arial"/>
                <w:sz w:val="21"/>
              </w:rPr>
            </w:pPr>
          </w:p>
        </w:tc>
        <w:tc>
          <w:tcPr>
            <w:tcW w:w="1870" w:type="dxa"/>
            <w:vAlign w:val="top"/>
          </w:tcPr>
          <w:p w14:paraId="77BB6F2F">
            <w:pPr>
              <w:rPr>
                <w:rFonts w:ascii="Arial"/>
                <w:sz w:val="21"/>
              </w:rPr>
            </w:pPr>
          </w:p>
        </w:tc>
        <w:tc>
          <w:tcPr>
            <w:tcW w:w="808" w:type="dxa"/>
            <w:vAlign w:val="top"/>
          </w:tcPr>
          <w:p w14:paraId="07D34653">
            <w:pPr>
              <w:rPr>
                <w:rFonts w:ascii="Arial"/>
                <w:sz w:val="21"/>
              </w:rPr>
            </w:pPr>
          </w:p>
        </w:tc>
        <w:tc>
          <w:tcPr>
            <w:tcW w:w="733" w:type="dxa"/>
            <w:vAlign w:val="top"/>
          </w:tcPr>
          <w:p w14:paraId="77A194D0">
            <w:pPr>
              <w:rPr>
                <w:rFonts w:ascii="Arial"/>
                <w:sz w:val="21"/>
              </w:rPr>
            </w:pPr>
          </w:p>
        </w:tc>
        <w:tc>
          <w:tcPr>
            <w:tcW w:w="1272" w:type="dxa"/>
            <w:vAlign w:val="top"/>
          </w:tcPr>
          <w:p w14:paraId="643DE2C6">
            <w:pPr>
              <w:rPr>
                <w:rFonts w:ascii="Arial"/>
                <w:sz w:val="21"/>
              </w:rPr>
            </w:pPr>
          </w:p>
        </w:tc>
        <w:tc>
          <w:tcPr>
            <w:tcW w:w="1332" w:type="dxa"/>
            <w:vAlign w:val="top"/>
          </w:tcPr>
          <w:p w14:paraId="61FE33A4">
            <w:pPr>
              <w:rPr>
                <w:rFonts w:ascii="Arial"/>
                <w:sz w:val="21"/>
              </w:rPr>
            </w:pPr>
          </w:p>
        </w:tc>
        <w:tc>
          <w:tcPr>
            <w:tcW w:w="1639" w:type="dxa"/>
            <w:tcBorders>
              <w:right w:val="single" w:color="000000" w:sz="12" w:space="0"/>
            </w:tcBorders>
            <w:vAlign w:val="top"/>
          </w:tcPr>
          <w:p w14:paraId="039E6B67">
            <w:pPr>
              <w:rPr>
                <w:rFonts w:ascii="Arial"/>
                <w:sz w:val="21"/>
              </w:rPr>
            </w:pPr>
          </w:p>
        </w:tc>
      </w:tr>
      <w:tr w14:paraId="34EFC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3AD03EFC">
            <w:pPr>
              <w:rPr>
                <w:rFonts w:ascii="Arial"/>
                <w:sz w:val="21"/>
              </w:rPr>
            </w:pPr>
          </w:p>
        </w:tc>
        <w:tc>
          <w:tcPr>
            <w:tcW w:w="1870" w:type="dxa"/>
            <w:vAlign w:val="top"/>
          </w:tcPr>
          <w:p w14:paraId="2D009C84">
            <w:pPr>
              <w:rPr>
                <w:rFonts w:ascii="Arial"/>
                <w:sz w:val="21"/>
              </w:rPr>
            </w:pPr>
          </w:p>
        </w:tc>
        <w:tc>
          <w:tcPr>
            <w:tcW w:w="808" w:type="dxa"/>
            <w:vAlign w:val="top"/>
          </w:tcPr>
          <w:p w14:paraId="2B08BF2E">
            <w:pPr>
              <w:rPr>
                <w:rFonts w:ascii="Arial"/>
                <w:sz w:val="21"/>
              </w:rPr>
            </w:pPr>
          </w:p>
        </w:tc>
        <w:tc>
          <w:tcPr>
            <w:tcW w:w="733" w:type="dxa"/>
            <w:vAlign w:val="top"/>
          </w:tcPr>
          <w:p w14:paraId="660FAEED">
            <w:pPr>
              <w:rPr>
                <w:rFonts w:ascii="Arial"/>
                <w:sz w:val="21"/>
              </w:rPr>
            </w:pPr>
          </w:p>
        </w:tc>
        <w:tc>
          <w:tcPr>
            <w:tcW w:w="1272" w:type="dxa"/>
            <w:vAlign w:val="top"/>
          </w:tcPr>
          <w:p w14:paraId="554A4DE4">
            <w:pPr>
              <w:rPr>
                <w:rFonts w:ascii="Arial"/>
                <w:sz w:val="21"/>
              </w:rPr>
            </w:pPr>
          </w:p>
        </w:tc>
        <w:tc>
          <w:tcPr>
            <w:tcW w:w="1332" w:type="dxa"/>
            <w:vAlign w:val="top"/>
          </w:tcPr>
          <w:p w14:paraId="6B701D8A">
            <w:pPr>
              <w:rPr>
                <w:rFonts w:ascii="Arial"/>
                <w:sz w:val="21"/>
              </w:rPr>
            </w:pPr>
          </w:p>
        </w:tc>
        <w:tc>
          <w:tcPr>
            <w:tcW w:w="1639" w:type="dxa"/>
            <w:tcBorders>
              <w:right w:val="single" w:color="000000" w:sz="12" w:space="0"/>
            </w:tcBorders>
            <w:vAlign w:val="top"/>
          </w:tcPr>
          <w:p w14:paraId="5287798A">
            <w:pPr>
              <w:rPr>
                <w:rFonts w:ascii="Arial"/>
                <w:sz w:val="21"/>
              </w:rPr>
            </w:pPr>
          </w:p>
        </w:tc>
      </w:tr>
      <w:tr w14:paraId="5FB46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28D19B62">
            <w:pPr>
              <w:rPr>
                <w:rFonts w:ascii="Arial"/>
                <w:sz w:val="21"/>
              </w:rPr>
            </w:pPr>
          </w:p>
        </w:tc>
        <w:tc>
          <w:tcPr>
            <w:tcW w:w="1870" w:type="dxa"/>
            <w:vAlign w:val="top"/>
          </w:tcPr>
          <w:p w14:paraId="03078C23">
            <w:pPr>
              <w:rPr>
                <w:rFonts w:ascii="Arial"/>
                <w:sz w:val="21"/>
              </w:rPr>
            </w:pPr>
          </w:p>
        </w:tc>
        <w:tc>
          <w:tcPr>
            <w:tcW w:w="808" w:type="dxa"/>
            <w:vAlign w:val="top"/>
          </w:tcPr>
          <w:p w14:paraId="2CA0C500">
            <w:pPr>
              <w:rPr>
                <w:rFonts w:ascii="Arial"/>
                <w:sz w:val="21"/>
              </w:rPr>
            </w:pPr>
          </w:p>
        </w:tc>
        <w:tc>
          <w:tcPr>
            <w:tcW w:w="733" w:type="dxa"/>
            <w:vAlign w:val="top"/>
          </w:tcPr>
          <w:p w14:paraId="78A15DC8">
            <w:pPr>
              <w:rPr>
                <w:rFonts w:ascii="Arial"/>
                <w:sz w:val="21"/>
              </w:rPr>
            </w:pPr>
          </w:p>
        </w:tc>
        <w:tc>
          <w:tcPr>
            <w:tcW w:w="1272" w:type="dxa"/>
            <w:vAlign w:val="top"/>
          </w:tcPr>
          <w:p w14:paraId="467B21C6">
            <w:pPr>
              <w:rPr>
                <w:rFonts w:ascii="Arial"/>
                <w:sz w:val="21"/>
              </w:rPr>
            </w:pPr>
          </w:p>
        </w:tc>
        <w:tc>
          <w:tcPr>
            <w:tcW w:w="1332" w:type="dxa"/>
            <w:vAlign w:val="top"/>
          </w:tcPr>
          <w:p w14:paraId="26709C7C">
            <w:pPr>
              <w:rPr>
                <w:rFonts w:ascii="Arial"/>
                <w:sz w:val="21"/>
              </w:rPr>
            </w:pPr>
          </w:p>
        </w:tc>
        <w:tc>
          <w:tcPr>
            <w:tcW w:w="1639" w:type="dxa"/>
            <w:tcBorders>
              <w:right w:val="single" w:color="000000" w:sz="12" w:space="0"/>
            </w:tcBorders>
            <w:vAlign w:val="top"/>
          </w:tcPr>
          <w:p w14:paraId="3273D1FB">
            <w:pPr>
              <w:rPr>
                <w:rFonts w:ascii="Arial"/>
                <w:sz w:val="21"/>
              </w:rPr>
            </w:pPr>
          </w:p>
        </w:tc>
      </w:tr>
      <w:tr w14:paraId="2BF5B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4616C7E5">
            <w:pPr>
              <w:rPr>
                <w:rFonts w:ascii="Arial"/>
                <w:sz w:val="21"/>
              </w:rPr>
            </w:pPr>
          </w:p>
        </w:tc>
        <w:tc>
          <w:tcPr>
            <w:tcW w:w="1870" w:type="dxa"/>
            <w:vAlign w:val="top"/>
          </w:tcPr>
          <w:p w14:paraId="29D5DB45">
            <w:pPr>
              <w:rPr>
                <w:rFonts w:ascii="Arial"/>
                <w:sz w:val="21"/>
              </w:rPr>
            </w:pPr>
          </w:p>
        </w:tc>
        <w:tc>
          <w:tcPr>
            <w:tcW w:w="808" w:type="dxa"/>
            <w:vAlign w:val="top"/>
          </w:tcPr>
          <w:p w14:paraId="0C477981">
            <w:pPr>
              <w:rPr>
                <w:rFonts w:ascii="Arial"/>
                <w:sz w:val="21"/>
              </w:rPr>
            </w:pPr>
          </w:p>
        </w:tc>
        <w:tc>
          <w:tcPr>
            <w:tcW w:w="733" w:type="dxa"/>
            <w:vAlign w:val="top"/>
          </w:tcPr>
          <w:p w14:paraId="21657CE8">
            <w:pPr>
              <w:rPr>
                <w:rFonts w:ascii="Arial"/>
                <w:sz w:val="21"/>
              </w:rPr>
            </w:pPr>
          </w:p>
        </w:tc>
        <w:tc>
          <w:tcPr>
            <w:tcW w:w="1272" w:type="dxa"/>
            <w:vAlign w:val="top"/>
          </w:tcPr>
          <w:p w14:paraId="1980E403">
            <w:pPr>
              <w:rPr>
                <w:rFonts w:ascii="Arial"/>
                <w:sz w:val="21"/>
              </w:rPr>
            </w:pPr>
          </w:p>
        </w:tc>
        <w:tc>
          <w:tcPr>
            <w:tcW w:w="1332" w:type="dxa"/>
            <w:vAlign w:val="top"/>
          </w:tcPr>
          <w:p w14:paraId="19E92500">
            <w:pPr>
              <w:rPr>
                <w:rFonts w:ascii="Arial"/>
                <w:sz w:val="21"/>
              </w:rPr>
            </w:pPr>
          </w:p>
        </w:tc>
        <w:tc>
          <w:tcPr>
            <w:tcW w:w="1639" w:type="dxa"/>
            <w:tcBorders>
              <w:right w:val="single" w:color="000000" w:sz="12" w:space="0"/>
            </w:tcBorders>
            <w:vAlign w:val="top"/>
          </w:tcPr>
          <w:p w14:paraId="0AEF1405">
            <w:pPr>
              <w:rPr>
                <w:rFonts w:ascii="Arial"/>
                <w:sz w:val="21"/>
              </w:rPr>
            </w:pPr>
          </w:p>
        </w:tc>
      </w:tr>
      <w:tr w14:paraId="20F15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0F7E20F3">
            <w:pPr>
              <w:rPr>
                <w:rFonts w:ascii="Arial"/>
                <w:sz w:val="21"/>
              </w:rPr>
            </w:pPr>
          </w:p>
        </w:tc>
        <w:tc>
          <w:tcPr>
            <w:tcW w:w="1870" w:type="dxa"/>
            <w:vAlign w:val="top"/>
          </w:tcPr>
          <w:p w14:paraId="236B09BD">
            <w:pPr>
              <w:rPr>
                <w:rFonts w:ascii="Arial"/>
                <w:sz w:val="21"/>
              </w:rPr>
            </w:pPr>
          </w:p>
        </w:tc>
        <w:tc>
          <w:tcPr>
            <w:tcW w:w="808" w:type="dxa"/>
            <w:vAlign w:val="top"/>
          </w:tcPr>
          <w:p w14:paraId="72397AB2">
            <w:pPr>
              <w:rPr>
                <w:rFonts w:ascii="Arial"/>
                <w:sz w:val="21"/>
              </w:rPr>
            </w:pPr>
          </w:p>
        </w:tc>
        <w:tc>
          <w:tcPr>
            <w:tcW w:w="733" w:type="dxa"/>
            <w:vAlign w:val="top"/>
          </w:tcPr>
          <w:p w14:paraId="068F4478">
            <w:pPr>
              <w:rPr>
                <w:rFonts w:ascii="Arial"/>
                <w:sz w:val="21"/>
              </w:rPr>
            </w:pPr>
          </w:p>
        </w:tc>
        <w:tc>
          <w:tcPr>
            <w:tcW w:w="1272" w:type="dxa"/>
            <w:vAlign w:val="top"/>
          </w:tcPr>
          <w:p w14:paraId="0E739D7A">
            <w:pPr>
              <w:rPr>
                <w:rFonts w:ascii="Arial"/>
                <w:sz w:val="21"/>
              </w:rPr>
            </w:pPr>
          </w:p>
        </w:tc>
        <w:tc>
          <w:tcPr>
            <w:tcW w:w="1332" w:type="dxa"/>
            <w:vAlign w:val="top"/>
          </w:tcPr>
          <w:p w14:paraId="020941FC">
            <w:pPr>
              <w:rPr>
                <w:rFonts w:ascii="Arial"/>
                <w:sz w:val="21"/>
              </w:rPr>
            </w:pPr>
          </w:p>
        </w:tc>
        <w:tc>
          <w:tcPr>
            <w:tcW w:w="1639" w:type="dxa"/>
            <w:tcBorders>
              <w:right w:val="single" w:color="000000" w:sz="12" w:space="0"/>
            </w:tcBorders>
            <w:vAlign w:val="top"/>
          </w:tcPr>
          <w:p w14:paraId="6C436822">
            <w:pPr>
              <w:rPr>
                <w:rFonts w:ascii="Arial"/>
                <w:sz w:val="21"/>
              </w:rPr>
            </w:pPr>
          </w:p>
        </w:tc>
      </w:tr>
      <w:tr w14:paraId="1AB24911">
        <w:tblPrEx>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661FDA5D">
            <w:pPr>
              <w:rPr>
                <w:rFonts w:ascii="Arial"/>
                <w:sz w:val="21"/>
              </w:rPr>
            </w:pPr>
          </w:p>
        </w:tc>
        <w:tc>
          <w:tcPr>
            <w:tcW w:w="1870" w:type="dxa"/>
            <w:vAlign w:val="top"/>
          </w:tcPr>
          <w:p w14:paraId="7C7505B8">
            <w:pPr>
              <w:rPr>
                <w:rFonts w:ascii="Arial"/>
                <w:sz w:val="21"/>
              </w:rPr>
            </w:pPr>
          </w:p>
        </w:tc>
        <w:tc>
          <w:tcPr>
            <w:tcW w:w="808" w:type="dxa"/>
            <w:vAlign w:val="top"/>
          </w:tcPr>
          <w:p w14:paraId="7880CA0F">
            <w:pPr>
              <w:rPr>
                <w:rFonts w:ascii="Arial"/>
                <w:sz w:val="21"/>
              </w:rPr>
            </w:pPr>
          </w:p>
        </w:tc>
        <w:tc>
          <w:tcPr>
            <w:tcW w:w="733" w:type="dxa"/>
            <w:vAlign w:val="top"/>
          </w:tcPr>
          <w:p w14:paraId="64330DA5">
            <w:pPr>
              <w:rPr>
                <w:rFonts w:ascii="Arial"/>
                <w:sz w:val="21"/>
              </w:rPr>
            </w:pPr>
          </w:p>
        </w:tc>
        <w:tc>
          <w:tcPr>
            <w:tcW w:w="1272" w:type="dxa"/>
            <w:vAlign w:val="top"/>
          </w:tcPr>
          <w:p w14:paraId="37E5200F">
            <w:pPr>
              <w:rPr>
                <w:rFonts w:ascii="Arial"/>
                <w:sz w:val="21"/>
              </w:rPr>
            </w:pPr>
          </w:p>
        </w:tc>
        <w:tc>
          <w:tcPr>
            <w:tcW w:w="1332" w:type="dxa"/>
            <w:vAlign w:val="top"/>
          </w:tcPr>
          <w:p w14:paraId="5FFA3B5C">
            <w:pPr>
              <w:rPr>
                <w:rFonts w:ascii="Arial"/>
                <w:sz w:val="21"/>
              </w:rPr>
            </w:pPr>
          </w:p>
        </w:tc>
        <w:tc>
          <w:tcPr>
            <w:tcW w:w="1639" w:type="dxa"/>
            <w:tcBorders>
              <w:right w:val="single" w:color="000000" w:sz="12" w:space="0"/>
            </w:tcBorders>
            <w:vAlign w:val="top"/>
          </w:tcPr>
          <w:p w14:paraId="20D72242">
            <w:pPr>
              <w:rPr>
                <w:rFonts w:ascii="Arial"/>
                <w:sz w:val="21"/>
              </w:rPr>
            </w:pPr>
          </w:p>
        </w:tc>
      </w:tr>
      <w:tr w14:paraId="6DA4F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3EE8CBBC">
            <w:pPr>
              <w:rPr>
                <w:rFonts w:ascii="Arial"/>
                <w:sz w:val="21"/>
              </w:rPr>
            </w:pPr>
          </w:p>
        </w:tc>
        <w:tc>
          <w:tcPr>
            <w:tcW w:w="1870" w:type="dxa"/>
            <w:vAlign w:val="top"/>
          </w:tcPr>
          <w:p w14:paraId="3037BFD2">
            <w:pPr>
              <w:rPr>
                <w:rFonts w:ascii="Arial"/>
                <w:sz w:val="21"/>
              </w:rPr>
            </w:pPr>
          </w:p>
        </w:tc>
        <w:tc>
          <w:tcPr>
            <w:tcW w:w="808" w:type="dxa"/>
            <w:vAlign w:val="top"/>
          </w:tcPr>
          <w:p w14:paraId="40278A19">
            <w:pPr>
              <w:rPr>
                <w:rFonts w:ascii="Arial"/>
                <w:sz w:val="21"/>
              </w:rPr>
            </w:pPr>
          </w:p>
        </w:tc>
        <w:tc>
          <w:tcPr>
            <w:tcW w:w="733" w:type="dxa"/>
            <w:vAlign w:val="top"/>
          </w:tcPr>
          <w:p w14:paraId="18DC7E3A">
            <w:pPr>
              <w:rPr>
                <w:rFonts w:ascii="Arial"/>
                <w:sz w:val="21"/>
              </w:rPr>
            </w:pPr>
          </w:p>
        </w:tc>
        <w:tc>
          <w:tcPr>
            <w:tcW w:w="1272" w:type="dxa"/>
            <w:vAlign w:val="top"/>
          </w:tcPr>
          <w:p w14:paraId="181C436A">
            <w:pPr>
              <w:rPr>
                <w:rFonts w:ascii="Arial"/>
                <w:sz w:val="21"/>
              </w:rPr>
            </w:pPr>
          </w:p>
        </w:tc>
        <w:tc>
          <w:tcPr>
            <w:tcW w:w="1332" w:type="dxa"/>
            <w:vAlign w:val="top"/>
          </w:tcPr>
          <w:p w14:paraId="7F3AE989">
            <w:pPr>
              <w:rPr>
                <w:rFonts w:ascii="Arial"/>
                <w:sz w:val="21"/>
              </w:rPr>
            </w:pPr>
          </w:p>
        </w:tc>
        <w:tc>
          <w:tcPr>
            <w:tcW w:w="1639" w:type="dxa"/>
            <w:tcBorders>
              <w:right w:val="single" w:color="000000" w:sz="12" w:space="0"/>
            </w:tcBorders>
            <w:vAlign w:val="top"/>
          </w:tcPr>
          <w:p w14:paraId="701B4CAD">
            <w:pPr>
              <w:rPr>
                <w:rFonts w:ascii="Arial"/>
                <w:sz w:val="21"/>
              </w:rPr>
            </w:pPr>
          </w:p>
        </w:tc>
      </w:tr>
      <w:tr w14:paraId="78E5B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09230CD4">
            <w:pPr>
              <w:rPr>
                <w:rFonts w:ascii="Arial"/>
                <w:sz w:val="21"/>
              </w:rPr>
            </w:pPr>
          </w:p>
        </w:tc>
        <w:tc>
          <w:tcPr>
            <w:tcW w:w="1870" w:type="dxa"/>
            <w:vAlign w:val="top"/>
          </w:tcPr>
          <w:p w14:paraId="2BFAEAA7">
            <w:pPr>
              <w:rPr>
                <w:rFonts w:ascii="Arial"/>
                <w:sz w:val="21"/>
              </w:rPr>
            </w:pPr>
          </w:p>
        </w:tc>
        <w:tc>
          <w:tcPr>
            <w:tcW w:w="808" w:type="dxa"/>
            <w:vAlign w:val="top"/>
          </w:tcPr>
          <w:p w14:paraId="1BC85C28">
            <w:pPr>
              <w:rPr>
                <w:rFonts w:ascii="Arial"/>
                <w:sz w:val="21"/>
              </w:rPr>
            </w:pPr>
          </w:p>
        </w:tc>
        <w:tc>
          <w:tcPr>
            <w:tcW w:w="733" w:type="dxa"/>
            <w:vAlign w:val="top"/>
          </w:tcPr>
          <w:p w14:paraId="6E3BE5CF">
            <w:pPr>
              <w:rPr>
                <w:rFonts w:ascii="Arial"/>
                <w:sz w:val="21"/>
              </w:rPr>
            </w:pPr>
          </w:p>
        </w:tc>
        <w:tc>
          <w:tcPr>
            <w:tcW w:w="1272" w:type="dxa"/>
            <w:vAlign w:val="top"/>
          </w:tcPr>
          <w:p w14:paraId="4F57DF3D">
            <w:pPr>
              <w:rPr>
                <w:rFonts w:ascii="Arial"/>
                <w:sz w:val="21"/>
              </w:rPr>
            </w:pPr>
          </w:p>
        </w:tc>
        <w:tc>
          <w:tcPr>
            <w:tcW w:w="1332" w:type="dxa"/>
            <w:vAlign w:val="top"/>
          </w:tcPr>
          <w:p w14:paraId="6CAE6D3B">
            <w:pPr>
              <w:rPr>
                <w:rFonts w:ascii="Arial"/>
                <w:sz w:val="21"/>
              </w:rPr>
            </w:pPr>
          </w:p>
        </w:tc>
        <w:tc>
          <w:tcPr>
            <w:tcW w:w="1639" w:type="dxa"/>
            <w:tcBorders>
              <w:right w:val="single" w:color="000000" w:sz="12" w:space="0"/>
            </w:tcBorders>
            <w:vAlign w:val="top"/>
          </w:tcPr>
          <w:p w14:paraId="16DBE790">
            <w:pPr>
              <w:rPr>
                <w:rFonts w:ascii="Arial"/>
                <w:sz w:val="21"/>
              </w:rPr>
            </w:pPr>
          </w:p>
        </w:tc>
      </w:tr>
      <w:tr w14:paraId="5A6F1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69087C8D">
            <w:pPr>
              <w:rPr>
                <w:rFonts w:ascii="Arial"/>
                <w:sz w:val="21"/>
              </w:rPr>
            </w:pPr>
          </w:p>
        </w:tc>
        <w:tc>
          <w:tcPr>
            <w:tcW w:w="1870" w:type="dxa"/>
            <w:vAlign w:val="top"/>
          </w:tcPr>
          <w:p w14:paraId="2A7EB969">
            <w:pPr>
              <w:rPr>
                <w:rFonts w:ascii="Arial"/>
                <w:sz w:val="21"/>
              </w:rPr>
            </w:pPr>
          </w:p>
        </w:tc>
        <w:tc>
          <w:tcPr>
            <w:tcW w:w="808" w:type="dxa"/>
            <w:vAlign w:val="top"/>
          </w:tcPr>
          <w:p w14:paraId="7DAB3BE7">
            <w:pPr>
              <w:rPr>
                <w:rFonts w:ascii="Arial"/>
                <w:sz w:val="21"/>
              </w:rPr>
            </w:pPr>
          </w:p>
        </w:tc>
        <w:tc>
          <w:tcPr>
            <w:tcW w:w="733" w:type="dxa"/>
            <w:vAlign w:val="top"/>
          </w:tcPr>
          <w:p w14:paraId="32B11AFE">
            <w:pPr>
              <w:rPr>
                <w:rFonts w:ascii="Arial"/>
                <w:sz w:val="21"/>
              </w:rPr>
            </w:pPr>
          </w:p>
        </w:tc>
        <w:tc>
          <w:tcPr>
            <w:tcW w:w="1272" w:type="dxa"/>
            <w:vAlign w:val="top"/>
          </w:tcPr>
          <w:p w14:paraId="12F328DE">
            <w:pPr>
              <w:rPr>
                <w:rFonts w:ascii="Arial"/>
                <w:sz w:val="21"/>
              </w:rPr>
            </w:pPr>
          </w:p>
        </w:tc>
        <w:tc>
          <w:tcPr>
            <w:tcW w:w="1332" w:type="dxa"/>
            <w:vAlign w:val="top"/>
          </w:tcPr>
          <w:p w14:paraId="75884534">
            <w:pPr>
              <w:rPr>
                <w:rFonts w:ascii="Arial"/>
                <w:sz w:val="21"/>
              </w:rPr>
            </w:pPr>
          </w:p>
        </w:tc>
        <w:tc>
          <w:tcPr>
            <w:tcW w:w="1639" w:type="dxa"/>
            <w:tcBorders>
              <w:right w:val="single" w:color="000000" w:sz="12" w:space="0"/>
            </w:tcBorders>
            <w:vAlign w:val="top"/>
          </w:tcPr>
          <w:p w14:paraId="11197850">
            <w:pPr>
              <w:rPr>
                <w:rFonts w:ascii="Arial"/>
                <w:sz w:val="21"/>
              </w:rPr>
            </w:pPr>
          </w:p>
        </w:tc>
      </w:tr>
      <w:tr w14:paraId="3EADC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936" w:type="dxa"/>
            <w:tcBorders>
              <w:left w:val="single" w:color="000000" w:sz="12" w:space="0"/>
            </w:tcBorders>
            <w:vAlign w:val="top"/>
          </w:tcPr>
          <w:p w14:paraId="2BA71CCE">
            <w:pPr>
              <w:rPr>
                <w:rFonts w:ascii="Arial"/>
                <w:sz w:val="21"/>
              </w:rPr>
            </w:pPr>
          </w:p>
        </w:tc>
        <w:tc>
          <w:tcPr>
            <w:tcW w:w="1870" w:type="dxa"/>
            <w:vAlign w:val="top"/>
          </w:tcPr>
          <w:p w14:paraId="31B24AFD">
            <w:pPr>
              <w:rPr>
                <w:rFonts w:ascii="Arial"/>
                <w:sz w:val="21"/>
              </w:rPr>
            </w:pPr>
          </w:p>
        </w:tc>
        <w:tc>
          <w:tcPr>
            <w:tcW w:w="808" w:type="dxa"/>
            <w:vAlign w:val="top"/>
          </w:tcPr>
          <w:p w14:paraId="033DD642">
            <w:pPr>
              <w:rPr>
                <w:rFonts w:ascii="Arial"/>
                <w:sz w:val="21"/>
              </w:rPr>
            </w:pPr>
          </w:p>
        </w:tc>
        <w:tc>
          <w:tcPr>
            <w:tcW w:w="733" w:type="dxa"/>
            <w:vAlign w:val="top"/>
          </w:tcPr>
          <w:p w14:paraId="103C1774">
            <w:pPr>
              <w:rPr>
                <w:rFonts w:ascii="Arial"/>
                <w:sz w:val="21"/>
              </w:rPr>
            </w:pPr>
          </w:p>
        </w:tc>
        <w:tc>
          <w:tcPr>
            <w:tcW w:w="1272" w:type="dxa"/>
            <w:vAlign w:val="top"/>
          </w:tcPr>
          <w:p w14:paraId="0A991FC4">
            <w:pPr>
              <w:rPr>
                <w:rFonts w:ascii="Arial"/>
                <w:sz w:val="21"/>
              </w:rPr>
            </w:pPr>
          </w:p>
        </w:tc>
        <w:tc>
          <w:tcPr>
            <w:tcW w:w="1332" w:type="dxa"/>
            <w:vAlign w:val="top"/>
          </w:tcPr>
          <w:p w14:paraId="774E1E57">
            <w:pPr>
              <w:rPr>
                <w:rFonts w:ascii="Arial"/>
                <w:sz w:val="21"/>
              </w:rPr>
            </w:pPr>
          </w:p>
        </w:tc>
        <w:tc>
          <w:tcPr>
            <w:tcW w:w="1639" w:type="dxa"/>
            <w:tcBorders>
              <w:right w:val="single" w:color="000000" w:sz="12" w:space="0"/>
            </w:tcBorders>
            <w:vAlign w:val="top"/>
          </w:tcPr>
          <w:p w14:paraId="30C3E63F">
            <w:pPr>
              <w:rPr>
                <w:rFonts w:ascii="Arial"/>
                <w:sz w:val="21"/>
              </w:rPr>
            </w:pPr>
          </w:p>
        </w:tc>
      </w:tr>
      <w:tr w14:paraId="7B133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439FF5F7">
            <w:pPr>
              <w:rPr>
                <w:rFonts w:ascii="Arial"/>
                <w:sz w:val="21"/>
              </w:rPr>
            </w:pPr>
          </w:p>
        </w:tc>
        <w:tc>
          <w:tcPr>
            <w:tcW w:w="1870" w:type="dxa"/>
            <w:vAlign w:val="top"/>
          </w:tcPr>
          <w:p w14:paraId="290B6F72">
            <w:pPr>
              <w:rPr>
                <w:rFonts w:ascii="Arial"/>
                <w:sz w:val="21"/>
              </w:rPr>
            </w:pPr>
          </w:p>
        </w:tc>
        <w:tc>
          <w:tcPr>
            <w:tcW w:w="808" w:type="dxa"/>
            <w:vAlign w:val="top"/>
          </w:tcPr>
          <w:p w14:paraId="3967AE24">
            <w:pPr>
              <w:rPr>
                <w:rFonts w:ascii="Arial"/>
                <w:sz w:val="21"/>
              </w:rPr>
            </w:pPr>
          </w:p>
        </w:tc>
        <w:tc>
          <w:tcPr>
            <w:tcW w:w="733" w:type="dxa"/>
            <w:vAlign w:val="top"/>
          </w:tcPr>
          <w:p w14:paraId="620DD090">
            <w:pPr>
              <w:rPr>
                <w:rFonts w:ascii="Arial"/>
                <w:sz w:val="21"/>
              </w:rPr>
            </w:pPr>
          </w:p>
        </w:tc>
        <w:tc>
          <w:tcPr>
            <w:tcW w:w="1272" w:type="dxa"/>
            <w:vAlign w:val="top"/>
          </w:tcPr>
          <w:p w14:paraId="1511144D">
            <w:pPr>
              <w:rPr>
                <w:rFonts w:ascii="Arial"/>
                <w:sz w:val="21"/>
              </w:rPr>
            </w:pPr>
          </w:p>
        </w:tc>
        <w:tc>
          <w:tcPr>
            <w:tcW w:w="1332" w:type="dxa"/>
            <w:vAlign w:val="top"/>
          </w:tcPr>
          <w:p w14:paraId="46B61576">
            <w:pPr>
              <w:rPr>
                <w:rFonts w:ascii="Arial"/>
                <w:sz w:val="21"/>
              </w:rPr>
            </w:pPr>
          </w:p>
        </w:tc>
        <w:tc>
          <w:tcPr>
            <w:tcW w:w="1639" w:type="dxa"/>
            <w:tcBorders>
              <w:right w:val="single" w:color="000000" w:sz="12" w:space="0"/>
            </w:tcBorders>
            <w:vAlign w:val="top"/>
          </w:tcPr>
          <w:p w14:paraId="1DCB0B26">
            <w:pPr>
              <w:rPr>
                <w:rFonts w:ascii="Arial"/>
                <w:sz w:val="21"/>
              </w:rPr>
            </w:pPr>
          </w:p>
        </w:tc>
      </w:tr>
      <w:tr w14:paraId="50D30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4A269A5A">
            <w:pPr>
              <w:rPr>
                <w:rFonts w:ascii="Arial"/>
                <w:sz w:val="21"/>
              </w:rPr>
            </w:pPr>
          </w:p>
        </w:tc>
        <w:tc>
          <w:tcPr>
            <w:tcW w:w="1870" w:type="dxa"/>
            <w:vAlign w:val="top"/>
          </w:tcPr>
          <w:p w14:paraId="264020D6">
            <w:pPr>
              <w:rPr>
                <w:rFonts w:ascii="Arial"/>
                <w:sz w:val="21"/>
              </w:rPr>
            </w:pPr>
          </w:p>
        </w:tc>
        <w:tc>
          <w:tcPr>
            <w:tcW w:w="808" w:type="dxa"/>
            <w:vAlign w:val="top"/>
          </w:tcPr>
          <w:p w14:paraId="6B6D5C32">
            <w:pPr>
              <w:rPr>
                <w:rFonts w:ascii="Arial"/>
                <w:sz w:val="21"/>
              </w:rPr>
            </w:pPr>
          </w:p>
        </w:tc>
        <w:tc>
          <w:tcPr>
            <w:tcW w:w="733" w:type="dxa"/>
            <w:vAlign w:val="top"/>
          </w:tcPr>
          <w:p w14:paraId="2C902650">
            <w:pPr>
              <w:rPr>
                <w:rFonts w:ascii="Arial"/>
                <w:sz w:val="21"/>
              </w:rPr>
            </w:pPr>
          </w:p>
        </w:tc>
        <w:tc>
          <w:tcPr>
            <w:tcW w:w="1272" w:type="dxa"/>
            <w:vAlign w:val="top"/>
          </w:tcPr>
          <w:p w14:paraId="6CC6D121">
            <w:pPr>
              <w:rPr>
                <w:rFonts w:ascii="Arial"/>
                <w:sz w:val="21"/>
              </w:rPr>
            </w:pPr>
          </w:p>
        </w:tc>
        <w:tc>
          <w:tcPr>
            <w:tcW w:w="1332" w:type="dxa"/>
            <w:vAlign w:val="top"/>
          </w:tcPr>
          <w:p w14:paraId="4F7BF08E">
            <w:pPr>
              <w:rPr>
                <w:rFonts w:ascii="Arial"/>
                <w:sz w:val="21"/>
              </w:rPr>
            </w:pPr>
          </w:p>
        </w:tc>
        <w:tc>
          <w:tcPr>
            <w:tcW w:w="1639" w:type="dxa"/>
            <w:tcBorders>
              <w:right w:val="single" w:color="000000" w:sz="12" w:space="0"/>
            </w:tcBorders>
            <w:vAlign w:val="top"/>
          </w:tcPr>
          <w:p w14:paraId="5CB9F0B1">
            <w:pPr>
              <w:rPr>
                <w:rFonts w:ascii="Arial"/>
                <w:sz w:val="21"/>
              </w:rPr>
            </w:pPr>
          </w:p>
        </w:tc>
      </w:tr>
      <w:tr w14:paraId="635D1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20219C29">
            <w:pPr>
              <w:rPr>
                <w:rFonts w:ascii="Arial"/>
                <w:sz w:val="21"/>
              </w:rPr>
            </w:pPr>
          </w:p>
        </w:tc>
        <w:tc>
          <w:tcPr>
            <w:tcW w:w="1870" w:type="dxa"/>
            <w:vAlign w:val="top"/>
          </w:tcPr>
          <w:p w14:paraId="0B33762C">
            <w:pPr>
              <w:rPr>
                <w:rFonts w:ascii="Arial"/>
                <w:sz w:val="21"/>
              </w:rPr>
            </w:pPr>
          </w:p>
        </w:tc>
        <w:tc>
          <w:tcPr>
            <w:tcW w:w="808" w:type="dxa"/>
            <w:vAlign w:val="top"/>
          </w:tcPr>
          <w:p w14:paraId="642C807C">
            <w:pPr>
              <w:rPr>
                <w:rFonts w:ascii="Arial"/>
                <w:sz w:val="21"/>
              </w:rPr>
            </w:pPr>
          </w:p>
        </w:tc>
        <w:tc>
          <w:tcPr>
            <w:tcW w:w="733" w:type="dxa"/>
            <w:vAlign w:val="top"/>
          </w:tcPr>
          <w:p w14:paraId="5699FA50">
            <w:pPr>
              <w:rPr>
                <w:rFonts w:ascii="Arial"/>
                <w:sz w:val="21"/>
              </w:rPr>
            </w:pPr>
          </w:p>
        </w:tc>
        <w:tc>
          <w:tcPr>
            <w:tcW w:w="1272" w:type="dxa"/>
            <w:vAlign w:val="top"/>
          </w:tcPr>
          <w:p w14:paraId="0E8E745C">
            <w:pPr>
              <w:rPr>
                <w:rFonts w:ascii="Arial"/>
                <w:sz w:val="21"/>
              </w:rPr>
            </w:pPr>
          </w:p>
        </w:tc>
        <w:tc>
          <w:tcPr>
            <w:tcW w:w="1332" w:type="dxa"/>
            <w:vAlign w:val="top"/>
          </w:tcPr>
          <w:p w14:paraId="0D37B599">
            <w:pPr>
              <w:rPr>
                <w:rFonts w:ascii="Arial"/>
                <w:sz w:val="21"/>
              </w:rPr>
            </w:pPr>
          </w:p>
        </w:tc>
        <w:tc>
          <w:tcPr>
            <w:tcW w:w="1639" w:type="dxa"/>
            <w:tcBorders>
              <w:right w:val="single" w:color="000000" w:sz="12" w:space="0"/>
            </w:tcBorders>
            <w:vAlign w:val="top"/>
          </w:tcPr>
          <w:p w14:paraId="0358F73F">
            <w:pPr>
              <w:rPr>
                <w:rFonts w:ascii="Arial"/>
                <w:sz w:val="21"/>
              </w:rPr>
            </w:pPr>
          </w:p>
        </w:tc>
      </w:tr>
      <w:tr w14:paraId="4CFEE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6" w:type="dxa"/>
            <w:tcBorders>
              <w:left w:val="single" w:color="000000" w:sz="12" w:space="0"/>
            </w:tcBorders>
            <w:vAlign w:val="top"/>
          </w:tcPr>
          <w:p w14:paraId="18089EE7">
            <w:pPr>
              <w:rPr>
                <w:rFonts w:ascii="Arial"/>
                <w:sz w:val="21"/>
              </w:rPr>
            </w:pPr>
          </w:p>
        </w:tc>
        <w:tc>
          <w:tcPr>
            <w:tcW w:w="1870" w:type="dxa"/>
            <w:vAlign w:val="top"/>
          </w:tcPr>
          <w:p w14:paraId="1A929CED">
            <w:pPr>
              <w:rPr>
                <w:rFonts w:ascii="Arial"/>
                <w:sz w:val="21"/>
              </w:rPr>
            </w:pPr>
          </w:p>
        </w:tc>
        <w:tc>
          <w:tcPr>
            <w:tcW w:w="808" w:type="dxa"/>
            <w:vAlign w:val="top"/>
          </w:tcPr>
          <w:p w14:paraId="5C8EE60E">
            <w:pPr>
              <w:rPr>
                <w:rFonts w:ascii="Arial"/>
                <w:sz w:val="21"/>
              </w:rPr>
            </w:pPr>
          </w:p>
        </w:tc>
        <w:tc>
          <w:tcPr>
            <w:tcW w:w="733" w:type="dxa"/>
            <w:vAlign w:val="top"/>
          </w:tcPr>
          <w:p w14:paraId="49BE56A2">
            <w:pPr>
              <w:rPr>
                <w:rFonts w:ascii="Arial"/>
                <w:sz w:val="21"/>
              </w:rPr>
            </w:pPr>
          </w:p>
        </w:tc>
        <w:tc>
          <w:tcPr>
            <w:tcW w:w="1272" w:type="dxa"/>
            <w:vAlign w:val="top"/>
          </w:tcPr>
          <w:p w14:paraId="6B131826">
            <w:pPr>
              <w:rPr>
                <w:rFonts w:ascii="Arial"/>
                <w:sz w:val="21"/>
              </w:rPr>
            </w:pPr>
          </w:p>
        </w:tc>
        <w:tc>
          <w:tcPr>
            <w:tcW w:w="1332" w:type="dxa"/>
            <w:vAlign w:val="top"/>
          </w:tcPr>
          <w:p w14:paraId="5386AD4F">
            <w:pPr>
              <w:rPr>
                <w:rFonts w:ascii="Arial"/>
                <w:sz w:val="21"/>
              </w:rPr>
            </w:pPr>
          </w:p>
        </w:tc>
        <w:tc>
          <w:tcPr>
            <w:tcW w:w="1639" w:type="dxa"/>
            <w:tcBorders>
              <w:right w:val="single" w:color="000000" w:sz="12" w:space="0"/>
            </w:tcBorders>
            <w:vAlign w:val="top"/>
          </w:tcPr>
          <w:p w14:paraId="30AF7377">
            <w:pPr>
              <w:rPr>
                <w:rFonts w:ascii="Arial"/>
                <w:sz w:val="21"/>
              </w:rPr>
            </w:pPr>
          </w:p>
        </w:tc>
      </w:tr>
      <w:tr w14:paraId="3DCF3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6" w:type="dxa"/>
            <w:tcBorders>
              <w:left w:val="single" w:color="000000" w:sz="12" w:space="0"/>
            </w:tcBorders>
            <w:vAlign w:val="top"/>
          </w:tcPr>
          <w:p w14:paraId="7C775A23">
            <w:pPr>
              <w:rPr>
                <w:rFonts w:ascii="Arial"/>
                <w:sz w:val="21"/>
              </w:rPr>
            </w:pPr>
          </w:p>
        </w:tc>
        <w:tc>
          <w:tcPr>
            <w:tcW w:w="1870" w:type="dxa"/>
            <w:vAlign w:val="top"/>
          </w:tcPr>
          <w:p w14:paraId="7F62710E">
            <w:pPr>
              <w:rPr>
                <w:rFonts w:ascii="Arial"/>
                <w:sz w:val="21"/>
              </w:rPr>
            </w:pPr>
          </w:p>
        </w:tc>
        <w:tc>
          <w:tcPr>
            <w:tcW w:w="808" w:type="dxa"/>
            <w:vAlign w:val="top"/>
          </w:tcPr>
          <w:p w14:paraId="7CF9FDFF">
            <w:pPr>
              <w:rPr>
                <w:rFonts w:ascii="Arial"/>
                <w:sz w:val="21"/>
              </w:rPr>
            </w:pPr>
          </w:p>
        </w:tc>
        <w:tc>
          <w:tcPr>
            <w:tcW w:w="733" w:type="dxa"/>
            <w:vAlign w:val="top"/>
          </w:tcPr>
          <w:p w14:paraId="73F50729">
            <w:pPr>
              <w:rPr>
                <w:rFonts w:ascii="Arial"/>
                <w:sz w:val="21"/>
              </w:rPr>
            </w:pPr>
          </w:p>
        </w:tc>
        <w:tc>
          <w:tcPr>
            <w:tcW w:w="1272" w:type="dxa"/>
            <w:vAlign w:val="top"/>
          </w:tcPr>
          <w:p w14:paraId="159343E7">
            <w:pPr>
              <w:rPr>
                <w:rFonts w:ascii="Arial"/>
                <w:sz w:val="21"/>
              </w:rPr>
            </w:pPr>
          </w:p>
        </w:tc>
        <w:tc>
          <w:tcPr>
            <w:tcW w:w="1332" w:type="dxa"/>
            <w:vAlign w:val="top"/>
          </w:tcPr>
          <w:p w14:paraId="5D608855">
            <w:pPr>
              <w:rPr>
                <w:rFonts w:ascii="Arial"/>
                <w:sz w:val="21"/>
              </w:rPr>
            </w:pPr>
          </w:p>
        </w:tc>
        <w:tc>
          <w:tcPr>
            <w:tcW w:w="1639" w:type="dxa"/>
            <w:tcBorders>
              <w:right w:val="single" w:color="000000" w:sz="12" w:space="0"/>
            </w:tcBorders>
            <w:vAlign w:val="top"/>
          </w:tcPr>
          <w:p w14:paraId="734A05B9">
            <w:pPr>
              <w:rPr>
                <w:rFonts w:ascii="Arial"/>
                <w:sz w:val="21"/>
              </w:rPr>
            </w:pPr>
          </w:p>
        </w:tc>
      </w:tr>
      <w:tr w14:paraId="0C92A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936" w:type="dxa"/>
            <w:tcBorders>
              <w:left w:val="single" w:color="000000" w:sz="12" w:space="0"/>
            </w:tcBorders>
            <w:vAlign w:val="top"/>
          </w:tcPr>
          <w:p w14:paraId="40734944">
            <w:pPr>
              <w:rPr>
                <w:rFonts w:ascii="Arial"/>
                <w:sz w:val="21"/>
              </w:rPr>
            </w:pPr>
          </w:p>
        </w:tc>
        <w:tc>
          <w:tcPr>
            <w:tcW w:w="1870" w:type="dxa"/>
            <w:vAlign w:val="top"/>
          </w:tcPr>
          <w:p w14:paraId="2418F522">
            <w:pPr>
              <w:rPr>
                <w:rFonts w:ascii="Arial"/>
                <w:sz w:val="21"/>
              </w:rPr>
            </w:pPr>
          </w:p>
        </w:tc>
        <w:tc>
          <w:tcPr>
            <w:tcW w:w="808" w:type="dxa"/>
            <w:vAlign w:val="top"/>
          </w:tcPr>
          <w:p w14:paraId="5D74E9DE">
            <w:pPr>
              <w:rPr>
                <w:rFonts w:ascii="Arial"/>
                <w:sz w:val="21"/>
              </w:rPr>
            </w:pPr>
          </w:p>
        </w:tc>
        <w:tc>
          <w:tcPr>
            <w:tcW w:w="733" w:type="dxa"/>
            <w:vAlign w:val="top"/>
          </w:tcPr>
          <w:p w14:paraId="0E0AF8D3">
            <w:pPr>
              <w:rPr>
                <w:rFonts w:ascii="Arial"/>
                <w:sz w:val="21"/>
              </w:rPr>
            </w:pPr>
          </w:p>
        </w:tc>
        <w:tc>
          <w:tcPr>
            <w:tcW w:w="1272" w:type="dxa"/>
            <w:vAlign w:val="top"/>
          </w:tcPr>
          <w:p w14:paraId="48101F18">
            <w:pPr>
              <w:rPr>
                <w:rFonts w:ascii="Arial"/>
                <w:sz w:val="21"/>
              </w:rPr>
            </w:pPr>
          </w:p>
        </w:tc>
        <w:tc>
          <w:tcPr>
            <w:tcW w:w="1332" w:type="dxa"/>
            <w:vAlign w:val="top"/>
          </w:tcPr>
          <w:p w14:paraId="0A8D2215">
            <w:pPr>
              <w:rPr>
                <w:rFonts w:ascii="Arial"/>
                <w:sz w:val="21"/>
              </w:rPr>
            </w:pPr>
          </w:p>
        </w:tc>
        <w:tc>
          <w:tcPr>
            <w:tcW w:w="1639" w:type="dxa"/>
            <w:tcBorders>
              <w:right w:val="single" w:color="000000" w:sz="12" w:space="0"/>
            </w:tcBorders>
            <w:vAlign w:val="top"/>
          </w:tcPr>
          <w:p w14:paraId="387FEDE8">
            <w:pPr>
              <w:rPr>
                <w:rFonts w:ascii="Arial"/>
                <w:sz w:val="21"/>
              </w:rPr>
            </w:pPr>
          </w:p>
        </w:tc>
      </w:tr>
      <w:tr w14:paraId="4D8A0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8" w:hRule="atLeast"/>
        </w:trPr>
        <w:tc>
          <w:tcPr>
            <w:tcW w:w="936" w:type="dxa"/>
            <w:tcBorders>
              <w:left w:val="single" w:color="000000" w:sz="12" w:space="0"/>
              <w:bottom w:val="single" w:color="000000" w:sz="12" w:space="0"/>
            </w:tcBorders>
            <w:vAlign w:val="top"/>
          </w:tcPr>
          <w:p w14:paraId="3FE5B832">
            <w:pPr>
              <w:rPr>
                <w:rFonts w:ascii="Arial"/>
                <w:sz w:val="21"/>
              </w:rPr>
            </w:pPr>
          </w:p>
        </w:tc>
        <w:tc>
          <w:tcPr>
            <w:tcW w:w="1870" w:type="dxa"/>
            <w:tcBorders>
              <w:bottom w:val="single" w:color="000000" w:sz="12" w:space="0"/>
            </w:tcBorders>
            <w:vAlign w:val="top"/>
          </w:tcPr>
          <w:p w14:paraId="25FB0412">
            <w:pPr>
              <w:rPr>
                <w:rFonts w:ascii="Arial"/>
                <w:sz w:val="21"/>
              </w:rPr>
            </w:pPr>
          </w:p>
        </w:tc>
        <w:tc>
          <w:tcPr>
            <w:tcW w:w="808" w:type="dxa"/>
            <w:tcBorders>
              <w:bottom w:val="single" w:color="000000" w:sz="12" w:space="0"/>
            </w:tcBorders>
            <w:vAlign w:val="top"/>
          </w:tcPr>
          <w:p w14:paraId="5FF7D55A">
            <w:pPr>
              <w:rPr>
                <w:rFonts w:ascii="Arial"/>
                <w:sz w:val="21"/>
              </w:rPr>
            </w:pPr>
          </w:p>
        </w:tc>
        <w:tc>
          <w:tcPr>
            <w:tcW w:w="733" w:type="dxa"/>
            <w:tcBorders>
              <w:bottom w:val="single" w:color="000000" w:sz="12" w:space="0"/>
            </w:tcBorders>
            <w:vAlign w:val="top"/>
          </w:tcPr>
          <w:p w14:paraId="7E6AE160">
            <w:pPr>
              <w:rPr>
                <w:rFonts w:ascii="Arial"/>
                <w:sz w:val="21"/>
              </w:rPr>
            </w:pPr>
          </w:p>
        </w:tc>
        <w:tc>
          <w:tcPr>
            <w:tcW w:w="1272" w:type="dxa"/>
            <w:tcBorders>
              <w:bottom w:val="single" w:color="000000" w:sz="12" w:space="0"/>
            </w:tcBorders>
            <w:vAlign w:val="top"/>
          </w:tcPr>
          <w:p w14:paraId="01DF3FF5">
            <w:pPr>
              <w:rPr>
                <w:rFonts w:ascii="Arial"/>
                <w:sz w:val="21"/>
              </w:rPr>
            </w:pPr>
          </w:p>
        </w:tc>
        <w:tc>
          <w:tcPr>
            <w:tcW w:w="1332" w:type="dxa"/>
            <w:tcBorders>
              <w:bottom w:val="single" w:color="000000" w:sz="12" w:space="0"/>
            </w:tcBorders>
            <w:vAlign w:val="top"/>
          </w:tcPr>
          <w:p w14:paraId="6DC39B02">
            <w:pPr>
              <w:rPr>
                <w:rFonts w:ascii="Arial"/>
                <w:sz w:val="21"/>
              </w:rPr>
            </w:pPr>
          </w:p>
        </w:tc>
        <w:tc>
          <w:tcPr>
            <w:tcW w:w="1639" w:type="dxa"/>
            <w:tcBorders>
              <w:bottom w:val="single" w:color="000000" w:sz="12" w:space="0"/>
              <w:right w:val="single" w:color="000000" w:sz="12" w:space="0"/>
            </w:tcBorders>
            <w:vAlign w:val="top"/>
          </w:tcPr>
          <w:p w14:paraId="2D6BAC77">
            <w:pPr>
              <w:rPr>
                <w:rFonts w:ascii="Arial"/>
                <w:sz w:val="21"/>
              </w:rPr>
            </w:pPr>
          </w:p>
        </w:tc>
      </w:tr>
    </w:tbl>
    <w:p w14:paraId="32F8E034">
      <w:pPr>
        <w:pStyle w:val="2"/>
      </w:pPr>
    </w:p>
    <w:p w14:paraId="32B6B376">
      <w:pPr>
        <w:sectPr>
          <w:footerReference r:id="rId254" w:type="default"/>
          <w:pgSz w:w="11910" w:h="16845"/>
          <w:pgMar w:top="400" w:right="1637" w:bottom="1110" w:left="1651" w:header="0" w:footer="882" w:gutter="0"/>
          <w:cols w:space="720" w:num="1"/>
        </w:sectPr>
      </w:pPr>
    </w:p>
    <w:p w14:paraId="4B9F2EA6">
      <w:pPr>
        <w:pStyle w:val="2"/>
        <w:spacing w:line="244" w:lineRule="auto"/>
      </w:pPr>
    </w:p>
    <w:p w14:paraId="4FE36D52">
      <w:pPr>
        <w:pStyle w:val="2"/>
        <w:spacing w:line="244" w:lineRule="auto"/>
      </w:pPr>
    </w:p>
    <w:p w14:paraId="4D0106B8">
      <w:pPr>
        <w:pStyle w:val="2"/>
        <w:spacing w:line="244" w:lineRule="auto"/>
      </w:pPr>
    </w:p>
    <w:p w14:paraId="3F172E70">
      <w:pPr>
        <w:pStyle w:val="2"/>
        <w:spacing w:line="245" w:lineRule="auto"/>
      </w:pPr>
    </w:p>
    <w:p w14:paraId="0C4D3551">
      <w:pPr>
        <w:pStyle w:val="2"/>
        <w:spacing w:line="245" w:lineRule="auto"/>
      </w:pPr>
    </w:p>
    <w:p w14:paraId="4E9FC270">
      <w:pPr>
        <w:spacing w:before="91" w:line="237" w:lineRule="auto"/>
        <w:ind w:left="2691"/>
        <w:rPr>
          <w:rFonts w:ascii="黑体" w:hAnsi="黑体" w:eastAsia="黑体" w:cs="黑体"/>
          <w:sz w:val="28"/>
          <w:szCs w:val="28"/>
        </w:rPr>
      </w:pPr>
      <w:r>
        <w:rPr>
          <w:rFonts w:ascii="Times New Roman" w:hAnsi="Times New Roman" w:eastAsia="Times New Roman" w:cs="Times New Roman"/>
          <w:sz w:val="28"/>
          <w:szCs w:val="28"/>
        </w:rPr>
        <w:t>11-3</w:t>
      </w:r>
      <w:r>
        <w:rPr>
          <w:rFonts w:ascii="黑体" w:hAnsi="黑体" w:eastAsia="黑体" w:cs="黑体"/>
          <w:sz w:val="28"/>
          <w:szCs w:val="28"/>
        </w:rPr>
        <w:t>：专业工程暂估价表</w:t>
      </w:r>
    </w:p>
    <w:p w14:paraId="2F58BE57">
      <w:pPr>
        <w:spacing w:line="111" w:lineRule="exact"/>
      </w:pPr>
    </w:p>
    <w:tbl>
      <w:tblPr>
        <w:tblStyle w:val="5"/>
        <w:tblW w:w="829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1"/>
        <w:gridCol w:w="1855"/>
        <w:gridCol w:w="4385"/>
        <w:gridCol w:w="1219"/>
      </w:tblGrid>
      <w:tr w14:paraId="1BC3F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8" w:hRule="atLeast"/>
        </w:trPr>
        <w:tc>
          <w:tcPr>
            <w:tcW w:w="831" w:type="dxa"/>
            <w:tcBorders>
              <w:top w:val="single" w:color="000000" w:sz="12" w:space="0"/>
              <w:left w:val="single" w:color="000000" w:sz="12" w:space="0"/>
            </w:tcBorders>
            <w:vAlign w:val="top"/>
          </w:tcPr>
          <w:p w14:paraId="20A75FA3">
            <w:pPr>
              <w:pStyle w:val="6"/>
              <w:spacing w:before="179" w:line="221" w:lineRule="auto"/>
              <w:ind w:left="187"/>
              <w:rPr>
                <w:sz w:val="21"/>
                <w:szCs w:val="21"/>
              </w:rPr>
            </w:pPr>
            <w:r>
              <w:rPr>
                <w:spacing w:val="-2"/>
                <w:sz w:val="21"/>
                <w:szCs w:val="21"/>
              </w:rPr>
              <w:t>序号</w:t>
            </w:r>
          </w:p>
        </w:tc>
        <w:tc>
          <w:tcPr>
            <w:tcW w:w="1855" w:type="dxa"/>
            <w:tcBorders>
              <w:top w:val="single" w:color="000000" w:sz="12" w:space="0"/>
            </w:tcBorders>
            <w:vAlign w:val="top"/>
          </w:tcPr>
          <w:p w14:paraId="1B729E11">
            <w:pPr>
              <w:pStyle w:val="6"/>
              <w:spacing w:before="180" w:line="220" w:lineRule="auto"/>
              <w:ind w:left="296"/>
              <w:rPr>
                <w:sz w:val="21"/>
                <w:szCs w:val="21"/>
              </w:rPr>
            </w:pPr>
            <w:r>
              <w:rPr>
                <w:spacing w:val="-1"/>
                <w:sz w:val="21"/>
                <w:szCs w:val="21"/>
              </w:rPr>
              <w:t>专业工程名称</w:t>
            </w:r>
          </w:p>
        </w:tc>
        <w:tc>
          <w:tcPr>
            <w:tcW w:w="4385" w:type="dxa"/>
            <w:tcBorders>
              <w:top w:val="single" w:color="000000" w:sz="12" w:space="0"/>
            </w:tcBorders>
            <w:vAlign w:val="top"/>
          </w:tcPr>
          <w:p w14:paraId="0ACDBA56">
            <w:pPr>
              <w:pStyle w:val="6"/>
              <w:spacing w:before="179" w:line="220" w:lineRule="auto"/>
              <w:ind w:left="1777"/>
              <w:rPr>
                <w:sz w:val="21"/>
                <w:szCs w:val="21"/>
              </w:rPr>
            </w:pPr>
            <w:r>
              <w:rPr>
                <w:spacing w:val="-3"/>
                <w:sz w:val="21"/>
                <w:szCs w:val="21"/>
              </w:rPr>
              <w:t>工程内容</w:t>
            </w:r>
          </w:p>
        </w:tc>
        <w:tc>
          <w:tcPr>
            <w:tcW w:w="1219" w:type="dxa"/>
            <w:tcBorders>
              <w:top w:val="single" w:color="000000" w:sz="12" w:space="0"/>
              <w:right w:val="single" w:color="000000" w:sz="12" w:space="0"/>
            </w:tcBorders>
            <w:vAlign w:val="top"/>
          </w:tcPr>
          <w:p w14:paraId="12A6B9A9">
            <w:pPr>
              <w:pStyle w:val="6"/>
              <w:spacing w:before="179" w:line="220" w:lineRule="auto"/>
              <w:ind w:left="410"/>
              <w:rPr>
                <w:sz w:val="21"/>
                <w:szCs w:val="21"/>
              </w:rPr>
            </w:pPr>
            <w:r>
              <w:rPr>
                <w:spacing w:val="-3"/>
                <w:sz w:val="21"/>
                <w:szCs w:val="21"/>
              </w:rPr>
              <w:t>金额</w:t>
            </w:r>
          </w:p>
        </w:tc>
      </w:tr>
      <w:tr w14:paraId="25A50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1" w:type="dxa"/>
            <w:tcBorders>
              <w:left w:val="single" w:color="000000" w:sz="12" w:space="0"/>
            </w:tcBorders>
            <w:vAlign w:val="top"/>
          </w:tcPr>
          <w:p w14:paraId="67D69990">
            <w:pPr>
              <w:rPr>
                <w:rFonts w:ascii="Arial"/>
                <w:sz w:val="21"/>
              </w:rPr>
            </w:pPr>
          </w:p>
        </w:tc>
        <w:tc>
          <w:tcPr>
            <w:tcW w:w="1855" w:type="dxa"/>
            <w:vAlign w:val="top"/>
          </w:tcPr>
          <w:p w14:paraId="6CA31B51">
            <w:pPr>
              <w:rPr>
                <w:rFonts w:ascii="Arial"/>
                <w:sz w:val="21"/>
              </w:rPr>
            </w:pPr>
          </w:p>
        </w:tc>
        <w:tc>
          <w:tcPr>
            <w:tcW w:w="4385" w:type="dxa"/>
            <w:vAlign w:val="top"/>
          </w:tcPr>
          <w:p w14:paraId="0B358113">
            <w:pPr>
              <w:rPr>
                <w:rFonts w:ascii="Arial"/>
                <w:sz w:val="21"/>
              </w:rPr>
            </w:pPr>
          </w:p>
        </w:tc>
        <w:tc>
          <w:tcPr>
            <w:tcW w:w="1219" w:type="dxa"/>
            <w:tcBorders>
              <w:right w:val="single" w:color="000000" w:sz="12" w:space="0"/>
            </w:tcBorders>
            <w:vAlign w:val="top"/>
          </w:tcPr>
          <w:p w14:paraId="3FD95EAF">
            <w:pPr>
              <w:rPr>
                <w:rFonts w:ascii="Arial"/>
                <w:sz w:val="21"/>
              </w:rPr>
            </w:pPr>
          </w:p>
        </w:tc>
      </w:tr>
      <w:tr w14:paraId="38F51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6BFAF43B">
            <w:pPr>
              <w:rPr>
                <w:rFonts w:ascii="Arial"/>
                <w:sz w:val="21"/>
              </w:rPr>
            </w:pPr>
          </w:p>
        </w:tc>
        <w:tc>
          <w:tcPr>
            <w:tcW w:w="1855" w:type="dxa"/>
            <w:vAlign w:val="top"/>
          </w:tcPr>
          <w:p w14:paraId="27332934">
            <w:pPr>
              <w:rPr>
                <w:rFonts w:ascii="Arial"/>
                <w:sz w:val="21"/>
              </w:rPr>
            </w:pPr>
          </w:p>
        </w:tc>
        <w:tc>
          <w:tcPr>
            <w:tcW w:w="4385" w:type="dxa"/>
            <w:vAlign w:val="top"/>
          </w:tcPr>
          <w:p w14:paraId="2F55D0DE">
            <w:pPr>
              <w:rPr>
                <w:rFonts w:ascii="Arial"/>
                <w:sz w:val="21"/>
              </w:rPr>
            </w:pPr>
          </w:p>
        </w:tc>
        <w:tc>
          <w:tcPr>
            <w:tcW w:w="1219" w:type="dxa"/>
            <w:tcBorders>
              <w:right w:val="single" w:color="000000" w:sz="12" w:space="0"/>
            </w:tcBorders>
            <w:vAlign w:val="top"/>
          </w:tcPr>
          <w:p w14:paraId="15FB5287">
            <w:pPr>
              <w:rPr>
                <w:rFonts w:ascii="Arial"/>
                <w:sz w:val="21"/>
              </w:rPr>
            </w:pPr>
          </w:p>
        </w:tc>
      </w:tr>
      <w:tr w14:paraId="74EC6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1" w:type="dxa"/>
            <w:tcBorders>
              <w:left w:val="single" w:color="000000" w:sz="12" w:space="0"/>
            </w:tcBorders>
            <w:vAlign w:val="top"/>
          </w:tcPr>
          <w:p w14:paraId="2C60E846">
            <w:pPr>
              <w:rPr>
                <w:rFonts w:ascii="Arial"/>
                <w:sz w:val="21"/>
              </w:rPr>
            </w:pPr>
          </w:p>
        </w:tc>
        <w:tc>
          <w:tcPr>
            <w:tcW w:w="1855" w:type="dxa"/>
            <w:vAlign w:val="top"/>
          </w:tcPr>
          <w:p w14:paraId="2DB84ED2">
            <w:pPr>
              <w:rPr>
                <w:rFonts w:ascii="Arial"/>
                <w:sz w:val="21"/>
              </w:rPr>
            </w:pPr>
          </w:p>
        </w:tc>
        <w:tc>
          <w:tcPr>
            <w:tcW w:w="4385" w:type="dxa"/>
            <w:vAlign w:val="top"/>
          </w:tcPr>
          <w:p w14:paraId="70418792">
            <w:pPr>
              <w:rPr>
                <w:rFonts w:ascii="Arial"/>
                <w:sz w:val="21"/>
              </w:rPr>
            </w:pPr>
          </w:p>
        </w:tc>
        <w:tc>
          <w:tcPr>
            <w:tcW w:w="1219" w:type="dxa"/>
            <w:tcBorders>
              <w:right w:val="single" w:color="000000" w:sz="12" w:space="0"/>
            </w:tcBorders>
            <w:vAlign w:val="top"/>
          </w:tcPr>
          <w:p w14:paraId="565AAE1A">
            <w:pPr>
              <w:rPr>
                <w:rFonts w:ascii="Arial"/>
                <w:sz w:val="21"/>
              </w:rPr>
            </w:pPr>
          </w:p>
        </w:tc>
      </w:tr>
      <w:tr w14:paraId="3B98E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1" w:type="dxa"/>
            <w:tcBorders>
              <w:left w:val="single" w:color="000000" w:sz="12" w:space="0"/>
            </w:tcBorders>
            <w:vAlign w:val="top"/>
          </w:tcPr>
          <w:p w14:paraId="34C01395">
            <w:pPr>
              <w:rPr>
                <w:rFonts w:ascii="Arial"/>
                <w:sz w:val="21"/>
              </w:rPr>
            </w:pPr>
          </w:p>
        </w:tc>
        <w:tc>
          <w:tcPr>
            <w:tcW w:w="1855" w:type="dxa"/>
            <w:vAlign w:val="top"/>
          </w:tcPr>
          <w:p w14:paraId="4A232052">
            <w:pPr>
              <w:rPr>
                <w:rFonts w:ascii="Arial"/>
                <w:sz w:val="21"/>
              </w:rPr>
            </w:pPr>
          </w:p>
        </w:tc>
        <w:tc>
          <w:tcPr>
            <w:tcW w:w="4385" w:type="dxa"/>
            <w:vAlign w:val="top"/>
          </w:tcPr>
          <w:p w14:paraId="36CC0DF4">
            <w:pPr>
              <w:rPr>
                <w:rFonts w:ascii="Arial"/>
                <w:sz w:val="21"/>
              </w:rPr>
            </w:pPr>
          </w:p>
        </w:tc>
        <w:tc>
          <w:tcPr>
            <w:tcW w:w="1219" w:type="dxa"/>
            <w:tcBorders>
              <w:right w:val="single" w:color="000000" w:sz="12" w:space="0"/>
            </w:tcBorders>
            <w:vAlign w:val="top"/>
          </w:tcPr>
          <w:p w14:paraId="7A88E25F">
            <w:pPr>
              <w:rPr>
                <w:rFonts w:ascii="Arial"/>
                <w:sz w:val="21"/>
              </w:rPr>
            </w:pPr>
          </w:p>
        </w:tc>
      </w:tr>
      <w:tr w14:paraId="4240E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43E5F780">
            <w:pPr>
              <w:rPr>
                <w:rFonts w:ascii="Arial"/>
                <w:sz w:val="21"/>
              </w:rPr>
            </w:pPr>
          </w:p>
        </w:tc>
        <w:tc>
          <w:tcPr>
            <w:tcW w:w="1855" w:type="dxa"/>
            <w:vAlign w:val="top"/>
          </w:tcPr>
          <w:p w14:paraId="3CD6FCDF">
            <w:pPr>
              <w:rPr>
                <w:rFonts w:ascii="Arial"/>
                <w:sz w:val="21"/>
              </w:rPr>
            </w:pPr>
          </w:p>
        </w:tc>
        <w:tc>
          <w:tcPr>
            <w:tcW w:w="4385" w:type="dxa"/>
            <w:vAlign w:val="top"/>
          </w:tcPr>
          <w:p w14:paraId="64B05A13">
            <w:pPr>
              <w:rPr>
                <w:rFonts w:ascii="Arial"/>
                <w:sz w:val="21"/>
              </w:rPr>
            </w:pPr>
          </w:p>
        </w:tc>
        <w:tc>
          <w:tcPr>
            <w:tcW w:w="1219" w:type="dxa"/>
            <w:tcBorders>
              <w:right w:val="single" w:color="000000" w:sz="12" w:space="0"/>
            </w:tcBorders>
            <w:vAlign w:val="top"/>
          </w:tcPr>
          <w:p w14:paraId="0FB251F3">
            <w:pPr>
              <w:rPr>
                <w:rFonts w:ascii="Arial"/>
                <w:sz w:val="21"/>
              </w:rPr>
            </w:pPr>
          </w:p>
        </w:tc>
      </w:tr>
      <w:tr w14:paraId="45B15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1" w:type="dxa"/>
            <w:tcBorders>
              <w:left w:val="single" w:color="000000" w:sz="12" w:space="0"/>
            </w:tcBorders>
            <w:vAlign w:val="top"/>
          </w:tcPr>
          <w:p w14:paraId="46E5527B">
            <w:pPr>
              <w:rPr>
                <w:rFonts w:ascii="Arial"/>
                <w:sz w:val="21"/>
              </w:rPr>
            </w:pPr>
          </w:p>
        </w:tc>
        <w:tc>
          <w:tcPr>
            <w:tcW w:w="1855" w:type="dxa"/>
            <w:vAlign w:val="top"/>
          </w:tcPr>
          <w:p w14:paraId="7DF4DEE4">
            <w:pPr>
              <w:rPr>
                <w:rFonts w:ascii="Arial"/>
                <w:sz w:val="21"/>
              </w:rPr>
            </w:pPr>
          </w:p>
        </w:tc>
        <w:tc>
          <w:tcPr>
            <w:tcW w:w="4385" w:type="dxa"/>
            <w:vAlign w:val="top"/>
          </w:tcPr>
          <w:p w14:paraId="02D16ADA">
            <w:pPr>
              <w:rPr>
                <w:rFonts w:ascii="Arial"/>
                <w:sz w:val="21"/>
              </w:rPr>
            </w:pPr>
          </w:p>
        </w:tc>
        <w:tc>
          <w:tcPr>
            <w:tcW w:w="1219" w:type="dxa"/>
            <w:tcBorders>
              <w:right w:val="single" w:color="000000" w:sz="12" w:space="0"/>
            </w:tcBorders>
            <w:vAlign w:val="top"/>
          </w:tcPr>
          <w:p w14:paraId="17AD3DA6">
            <w:pPr>
              <w:rPr>
                <w:rFonts w:ascii="Arial"/>
                <w:sz w:val="21"/>
              </w:rPr>
            </w:pPr>
          </w:p>
        </w:tc>
      </w:tr>
      <w:tr w14:paraId="3A142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1" w:type="dxa"/>
            <w:tcBorders>
              <w:left w:val="single" w:color="000000" w:sz="12" w:space="0"/>
            </w:tcBorders>
            <w:vAlign w:val="top"/>
          </w:tcPr>
          <w:p w14:paraId="098F6B6A">
            <w:pPr>
              <w:rPr>
                <w:rFonts w:ascii="Arial"/>
                <w:sz w:val="21"/>
              </w:rPr>
            </w:pPr>
          </w:p>
        </w:tc>
        <w:tc>
          <w:tcPr>
            <w:tcW w:w="1855" w:type="dxa"/>
            <w:vAlign w:val="top"/>
          </w:tcPr>
          <w:p w14:paraId="013FD43E">
            <w:pPr>
              <w:rPr>
                <w:rFonts w:ascii="Arial"/>
                <w:sz w:val="21"/>
              </w:rPr>
            </w:pPr>
          </w:p>
        </w:tc>
        <w:tc>
          <w:tcPr>
            <w:tcW w:w="4385" w:type="dxa"/>
            <w:vAlign w:val="top"/>
          </w:tcPr>
          <w:p w14:paraId="04B7E7E7">
            <w:pPr>
              <w:rPr>
                <w:rFonts w:ascii="Arial"/>
                <w:sz w:val="21"/>
              </w:rPr>
            </w:pPr>
          </w:p>
        </w:tc>
        <w:tc>
          <w:tcPr>
            <w:tcW w:w="1219" w:type="dxa"/>
            <w:tcBorders>
              <w:right w:val="single" w:color="000000" w:sz="12" w:space="0"/>
            </w:tcBorders>
            <w:vAlign w:val="top"/>
          </w:tcPr>
          <w:p w14:paraId="3F4240EC">
            <w:pPr>
              <w:rPr>
                <w:rFonts w:ascii="Arial"/>
                <w:sz w:val="21"/>
              </w:rPr>
            </w:pPr>
          </w:p>
        </w:tc>
      </w:tr>
      <w:tr w14:paraId="431E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5799A4D1">
            <w:pPr>
              <w:rPr>
                <w:rFonts w:ascii="Arial"/>
                <w:sz w:val="21"/>
              </w:rPr>
            </w:pPr>
          </w:p>
        </w:tc>
        <w:tc>
          <w:tcPr>
            <w:tcW w:w="1855" w:type="dxa"/>
            <w:vAlign w:val="top"/>
          </w:tcPr>
          <w:p w14:paraId="0E2055DD">
            <w:pPr>
              <w:rPr>
                <w:rFonts w:ascii="Arial"/>
                <w:sz w:val="21"/>
              </w:rPr>
            </w:pPr>
          </w:p>
        </w:tc>
        <w:tc>
          <w:tcPr>
            <w:tcW w:w="4385" w:type="dxa"/>
            <w:vAlign w:val="top"/>
          </w:tcPr>
          <w:p w14:paraId="7E695EC8">
            <w:pPr>
              <w:rPr>
                <w:rFonts w:ascii="Arial"/>
                <w:sz w:val="21"/>
              </w:rPr>
            </w:pPr>
          </w:p>
        </w:tc>
        <w:tc>
          <w:tcPr>
            <w:tcW w:w="1219" w:type="dxa"/>
            <w:tcBorders>
              <w:right w:val="single" w:color="000000" w:sz="12" w:space="0"/>
            </w:tcBorders>
            <w:vAlign w:val="top"/>
          </w:tcPr>
          <w:p w14:paraId="6BAAA3CA">
            <w:pPr>
              <w:rPr>
                <w:rFonts w:ascii="Arial"/>
                <w:sz w:val="21"/>
              </w:rPr>
            </w:pPr>
          </w:p>
        </w:tc>
      </w:tr>
      <w:tr w14:paraId="2E211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2CDF6529">
            <w:pPr>
              <w:rPr>
                <w:rFonts w:ascii="Arial"/>
                <w:sz w:val="21"/>
              </w:rPr>
            </w:pPr>
          </w:p>
        </w:tc>
        <w:tc>
          <w:tcPr>
            <w:tcW w:w="1855" w:type="dxa"/>
            <w:vAlign w:val="top"/>
          </w:tcPr>
          <w:p w14:paraId="488444CD">
            <w:pPr>
              <w:rPr>
                <w:rFonts w:ascii="Arial"/>
                <w:sz w:val="21"/>
              </w:rPr>
            </w:pPr>
          </w:p>
        </w:tc>
        <w:tc>
          <w:tcPr>
            <w:tcW w:w="4385" w:type="dxa"/>
            <w:vAlign w:val="top"/>
          </w:tcPr>
          <w:p w14:paraId="306C8825">
            <w:pPr>
              <w:rPr>
                <w:rFonts w:ascii="Arial"/>
                <w:sz w:val="21"/>
              </w:rPr>
            </w:pPr>
          </w:p>
        </w:tc>
        <w:tc>
          <w:tcPr>
            <w:tcW w:w="1219" w:type="dxa"/>
            <w:tcBorders>
              <w:right w:val="single" w:color="000000" w:sz="12" w:space="0"/>
            </w:tcBorders>
            <w:vAlign w:val="top"/>
          </w:tcPr>
          <w:p w14:paraId="0D78F151">
            <w:pPr>
              <w:rPr>
                <w:rFonts w:ascii="Arial"/>
                <w:sz w:val="21"/>
              </w:rPr>
            </w:pPr>
          </w:p>
        </w:tc>
      </w:tr>
      <w:tr w14:paraId="37CC1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1" w:type="dxa"/>
            <w:tcBorders>
              <w:left w:val="single" w:color="000000" w:sz="12" w:space="0"/>
            </w:tcBorders>
            <w:vAlign w:val="top"/>
          </w:tcPr>
          <w:p w14:paraId="3AAFC4C5">
            <w:pPr>
              <w:rPr>
                <w:rFonts w:ascii="Arial"/>
                <w:sz w:val="21"/>
              </w:rPr>
            </w:pPr>
          </w:p>
        </w:tc>
        <w:tc>
          <w:tcPr>
            <w:tcW w:w="1855" w:type="dxa"/>
            <w:vAlign w:val="top"/>
          </w:tcPr>
          <w:p w14:paraId="1346803F">
            <w:pPr>
              <w:rPr>
                <w:rFonts w:ascii="Arial"/>
                <w:sz w:val="21"/>
              </w:rPr>
            </w:pPr>
          </w:p>
        </w:tc>
        <w:tc>
          <w:tcPr>
            <w:tcW w:w="4385" w:type="dxa"/>
            <w:vAlign w:val="top"/>
          </w:tcPr>
          <w:p w14:paraId="54FF8000">
            <w:pPr>
              <w:rPr>
                <w:rFonts w:ascii="Arial"/>
                <w:sz w:val="21"/>
              </w:rPr>
            </w:pPr>
          </w:p>
        </w:tc>
        <w:tc>
          <w:tcPr>
            <w:tcW w:w="1219" w:type="dxa"/>
            <w:tcBorders>
              <w:right w:val="single" w:color="000000" w:sz="12" w:space="0"/>
            </w:tcBorders>
            <w:vAlign w:val="top"/>
          </w:tcPr>
          <w:p w14:paraId="5023C08A">
            <w:pPr>
              <w:rPr>
                <w:rFonts w:ascii="Arial"/>
                <w:sz w:val="21"/>
              </w:rPr>
            </w:pPr>
          </w:p>
        </w:tc>
      </w:tr>
      <w:tr w14:paraId="0AF91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5341BC79">
            <w:pPr>
              <w:rPr>
                <w:rFonts w:ascii="Arial"/>
                <w:sz w:val="21"/>
              </w:rPr>
            </w:pPr>
          </w:p>
        </w:tc>
        <w:tc>
          <w:tcPr>
            <w:tcW w:w="1855" w:type="dxa"/>
            <w:vAlign w:val="top"/>
          </w:tcPr>
          <w:p w14:paraId="5D586A14">
            <w:pPr>
              <w:rPr>
                <w:rFonts w:ascii="Arial"/>
                <w:sz w:val="21"/>
              </w:rPr>
            </w:pPr>
          </w:p>
        </w:tc>
        <w:tc>
          <w:tcPr>
            <w:tcW w:w="4385" w:type="dxa"/>
            <w:vAlign w:val="top"/>
          </w:tcPr>
          <w:p w14:paraId="6EA6CEBF">
            <w:pPr>
              <w:rPr>
                <w:rFonts w:ascii="Arial"/>
                <w:sz w:val="21"/>
              </w:rPr>
            </w:pPr>
          </w:p>
        </w:tc>
        <w:tc>
          <w:tcPr>
            <w:tcW w:w="1219" w:type="dxa"/>
            <w:tcBorders>
              <w:right w:val="single" w:color="000000" w:sz="12" w:space="0"/>
            </w:tcBorders>
            <w:vAlign w:val="top"/>
          </w:tcPr>
          <w:p w14:paraId="54F4DC8D">
            <w:pPr>
              <w:rPr>
                <w:rFonts w:ascii="Arial"/>
                <w:sz w:val="21"/>
              </w:rPr>
            </w:pPr>
          </w:p>
        </w:tc>
      </w:tr>
      <w:tr w14:paraId="3343A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2DD76719">
            <w:pPr>
              <w:rPr>
                <w:rFonts w:ascii="Arial"/>
                <w:sz w:val="21"/>
              </w:rPr>
            </w:pPr>
          </w:p>
        </w:tc>
        <w:tc>
          <w:tcPr>
            <w:tcW w:w="1855" w:type="dxa"/>
            <w:vAlign w:val="top"/>
          </w:tcPr>
          <w:p w14:paraId="30602142">
            <w:pPr>
              <w:rPr>
                <w:rFonts w:ascii="Arial"/>
                <w:sz w:val="21"/>
              </w:rPr>
            </w:pPr>
          </w:p>
        </w:tc>
        <w:tc>
          <w:tcPr>
            <w:tcW w:w="4385" w:type="dxa"/>
            <w:vAlign w:val="top"/>
          </w:tcPr>
          <w:p w14:paraId="040A7C6C">
            <w:pPr>
              <w:rPr>
                <w:rFonts w:ascii="Arial"/>
                <w:sz w:val="21"/>
              </w:rPr>
            </w:pPr>
          </w:p>
        </w:tc>
        <w:tc>
          <w:tcPr>
            <w:tcW w:w="1219" w:type="dxa"/>
            <w:tcBorders>
              <w:right w:val="single" w:color="000000" w:sz="12" w:space="0"/>
            </w:tcBorders>
            <w:vAlign w:val="top"/>
          </w:tcPr>
          <w:p w14:paraId="6F071EE9">
            <w:pPr>
              <w:rPr>
                <w:rFonts w:ascii="Arial"/>
                <w:sz w:val="21"/>
              </w:rPr>
            </w:pPr>
          </w:p>
        </w:tc>
      </w:tr>
      <w:tr w14:paraId="6FFCC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1" w:type="dxa"/>
            <w:tcBorders>
              <w:left w:val="single" w:color="000000" w:sz="12" w:space="0"/>
            </w:tcBorders>
            <w:vAlign w:val="top"/>
          </w:tcPr>
          <w:p w14:paraId="0B3E1C3A">
            <w:pPr>
              <w:rPr>
                <w:rFonts w:ascii="Arial"/>
                <w:sz w:val="21"/>
              </w:rPr>
            </w:pPr>
          </w:p>
        </w:tc>
        <w:tc>
          <w:tcPr>
            <w:tcW w:w="1855" w:type="dxa"/>
            <w:vAlign w:val="top"/>
          </w:tcPr>
          <w:p w14:paraId="42CDD3B1">
            <w:pPr>
              <w:rPr>
                <w:rFonts w:ascii="Arial"/>
                <w:sz w:val="21"/>
              </w:rPr>
            </w:pPr>
          </w:p>
        </w:tc>
        <w:tc>
          <w:tcPr>
            <w:tcW w:w="4385" w:type="dxa"/>
            <w:vAlign w:val="top"/>
          </w:tcPr>
          <w:p w14:paraId="19D14BAE">
            <w:pPr>
              <w:rPr>
                <w:rFonts w:ascii="Arial"/>
                <w:sz w:val="21"/>
              </w:rPr>
            </w:pPr>
          </w:p>
        </w:tc>
        <w:tc>
          <w:tcPr>
            <w:tcW w:w="1219" w:type="dxa"/>
            <w:tcBorders>
              <w:right w:val="single" w:color="000000" w:sz="12" w:space="0"/>
            </w:tcBorders>
            <w:vAlign w:val="top"/>
          </w:tcPr>
          <w:p w14:paraId="523A2D5E">
            <w:pPr>
              <w:rPr>
                <w:rFonts w:ascii="Arial"/>
                <w:sz w:val="21"/>
              </w:rPr>
            </w:pPr>
          </w:p>
        </w:tc>
      </w:tr>
      <w:tr w14:paraId="21484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1" w:type="dxa"/>
            <w:tcBorders>
              <w:left w:val="single" w:color="000000" w:sz="12" w:space="0"/>
            </w:tcBorders>
            <w:vAlign w:val="top"/>
          </w:tcPr>
          <w:p w14:paraId="02317E04">
            <w:pPr>
              <w:rPr>
                <w:rFonts w:ascii="Arial"/>
                <w:sz w:val="21"/>
              </w:rPr>
            </w:pPr>
          </w:p>
        </w:tc>
        <w:tc>
          <w:tcPr>
            <w:tcW w:w="1855" w:type="dxa"/>
            <w:vAlign w:val="top"/>
          </w:tcPr>
          <w:p w14:paraId="13FC09EC">
            <w:pPr>
              <w:rPr>
                <w:rFonts w:ascii="Arial"/>
                <w:sz w:val="21"/>
              </w:rPr>
            </w:pPr>
          </w:p>
        </w:tc>
        <w:tc>
          <w:tcPr>
            <w:tcW w:w="4385" w:type="dxa"/>
            <w:vAlign w:val="top"/>
          </w:tcPr>
          <w:p w14:paraId="001AFCA4">
            <w:pPr>
              <w:rPr>
                <w:rFonts w:ascii="Arial"/>
                <w:sz w:val="21"/>
              </w:rPr>
            </w:pPr>
          </w:p>
        </w:tc>
        <w:tc>
          <w:tcPr>
            <w:tcW w:w="1219" w:type="dxa"/>
            <w:tcBorders>
              <w:right w:val="single" w:color="000000" w:sz="12" w:space="0"/>
            </w:tcBorders>
            <w:vAlign w:val="top"/>
          </w:tcPr>
          <w:p w14:paraId="48F4D5A6">
            <w:pPr>
              <w:rPr>
                <w:rFonts w:ascii="Arial"/>
                <w:sz w:val="21"/>
              </w:rPr>
            </w:pPr>
          </w:p>
        </w:tc>
      </w:tr>
      <w:tr w14:paraId="465FB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1E8E869D">
            <w:pPr>
              <w:rPr>
                <w:rFonts w:ascii="Arial"/>
                <w:sz w:val="21"/>
              </w:rPr>
            </w:pPr>
          </w:p>
        </w:tc>
        <w:tc>
          <w:tcPr>
            <w:tcW w:w="1855" w:type="dxa"/>
            <w:vAlign w:val="top"/>
          </w:tcPr>
          <w:p w14:paraId="71251311">
            <w:pPr>
              <w:rPr>
                <w:rFonts w:ascii="Arial"/>
                <w:sz w:val="21"/>
              </w:rPr>
            </w:pPr>
          </w:p>
        </w:tc>
        <w:tc>
          <w:tcPr>
            <w:tcW w:w="4385" w:type="dxa"/>
            <w:vAlign w:val="top"/>
          </w:tcPr>
          <w:p w14:paraId="567AEC9F">
            <w:pPr>
              <w:rPr>
                <w:rFonts w:ascii="Arial"/>
                <w:sz w:val="21"/>
              </w:rPr>
            </w:pPr>
          </w:p>
        </w:tc>
        <w:tc>
          <w:tcPr>
            <w:tcW w:w="1219" w:type="dxa"/>
            <w:tcBorders>
              <w:right w:val="single" w:color="000000" w:sz="12" w:space="0"/>
            </w:tcBorders>
            <w:vAlign w:val="top"/>
          </w:tcPr>
          <w:p w14:paraId="7440E503">
            <w:pPr>
              <w:rPr>
                <w:rFonts w:ascii="Arial"/>
                <w:sz w:val="21"/>
              </w:rPr>
            </w:pPr>
          </w:p>
        </w:tc>
      </w:tr>
      <w:tr w14:paraId="31C81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1" w:type="dxa"/>
            <w:tcBorders>
              <w:left w:val="single" w:color="000000" w:sz="12" w:space="0"/>
            </w:tcBorders>
            <w:vAlign w:val="top"/>
          </w:tcPr>
          <w:p w14:paraId="6CFD81D0">
            <w:pPr>
              <w:rPr>
                <w:rFonts w:ascii="Arial"/>
                <w:sz w:val="21"/>
              </w:rPr>
            </w:pPr>
          </w:p>
        </w:tc>
        <w:tc>
          <w:tcPr>
            <w:tcW w:w="1855" w:type="dxa"/>
            <w:vAlign w:val="top"/>
          </w:tcPr>
          <w:p w14:paraId="76778F24">
            <w:pPr>
              <w:rPr>
                <w:rFonts w:ascii="Arial"/>
                <w:sz w:val="21"/>
              </w:rPr>
            </w:pPr>
          </w:p>
        </w:tc>
        <w:tc>
          <w:tcPr>
            <w:tcW w:w="4385" w:type="dxa"/>
            <w:vAlign w:val="top"/>
          </w:tcPr>
          <w:p w14:paraId="25256045">
            <w:pPr>
              <w:rPr>
                <w:rFonts w:ascii="Arial"/>
                <w:sz w:val="21"/>
              </w:rPr>
            </w:pPr>
          </w:p>
        </w:tc>
        <w:tc>
          <w:tcPr>
            <w:tcW w:w="1219" w:type="dxa"/>
            <w:tcBorders>
              <w:right w:val="single" w:color="000000" w:sz="12" w:space="0"/>
            </w:tcBorders>
            <w:vAlign w:val="top"/>
          </w:tcPr>
          <w:p w14:paraId="5DFCF7B8">
            <w:pPr>
              <w:rPr>
                <w:rFonts w:ascii="Arial"/>
                <w:sz w:val="21"/>
              </w:rPr>
            </w:pPr>
          </w:p>
        </w:tc>
      </w:tr>
      <w:tr w14:paraId="43C21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1" w:type="dxa"/>
            <w:tcBorders>
              <w:left w:val="single" w:color="000000" w:sz="12" w:space="0"/>
            </w:tcBorders>
            <w:vAlign w:val="top"/>
          </w:tcPr>
          <w:p w14:paraId="3E215D95">
            <w:pPr>
              <w:rPr>
                <w:rFonts w:ascii="Arial"/>
                <w:sz w:val="21"/>
              </w:rPr>
            </w:pPr>
          </w:p>
        </w:tc>
        <w:tc>
          <w:tcPr>
            <w:tcW w:w="1855" w:type="dxa"/>
            <w:vAlign w:val="top"/>
          </w:tcPr>
          <w:p w14:paraId="1E39362D">
            <w:pPr>
              <w:rPr>
                <w:rFonts w:ascii="Arial"/>
                <w:sz w:val="21"/>
              </w:rPr>
            </w:pPr>
          </w:p>
        </w:tc>
        <w:tc>
          <w:tcPr>
            <w:tcW w:w="4385" w:type="dxa"/>
            <w:vAlign w:val="top"/>
          </w:tcPr>
          <w:p w14:paraId="33264CA3">
            <w:pPr>
              <w:rPr>
                <w:rFonts w:ascii="Arial"/>
                <w:sz w:val="21"/>
              </w:rPr>
            </w:pPr>
          </w:p>
        </w:tc>
        <w:tc>
          <w:tcPr>
            <w:tcW w:w="1219" w:type="dxa"/>
            <w:tcBorders>
              <w:right w:val="single" w:color="000000" w:sz="12" w:space="0"/>
            </w:tcBorders>
            <w:vAlign w:val="top"/>
          </w:tcPr>
          <w:p w14:paraId="0D21ECF7">
            <w:pPr>
              <w:rPr>
                <w:rFonts w:ascii="Arial"/>
                <w:sz w:val="21"/>
              </w:rPr>
            </w:pPr>
          </w:p>
        </w:tc>
      </w:tr>
      <w:tr w14:paraId="5DC87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7AFC25CE">
            <w:pPr>
              <w:rPr>
                <w:rFonts w:ascii="Arial"/>
                <w:sz w:val="21"/>
              </w:rPr>
            </w:pPr>
          </w:p>
        </w:tc>
        <w:tc>
          <w:tcPr>
            <w:tcW w:w="1855" w:type="dxa"/>
            <w:vAlign w:val="top"/>
          </w:tcPr>
          <w:p w14:paraId="3F6C19D8">
            <w:pPr>
              <w:rPr>
                <w:rFonts w:ascii="Arial"/>
                <w:sz w:val="21"/>
              </w:rPr>
            </w:pPr>
          </w:p>
        </w:tc>
        <w:tc>
          <w:tcPr>
            <w:tcW w:w="4385" w:type="dxa"/>
            <w:vAlign w:val="top"/>
          </w:tcPr>
          <w:p w14:paraId="34145068">
            <w:pPr>
              <w:rPr>
                <w:rFonts w:ascii="Arial"/>
                <w:sz w:val="21"/>
              </w:rPr>
            </w:pPr>
          </w:p>
        </w:tc>
        <w:tc>
          <w:tcPr>
            <w:tcW w:w="1219" w:type="dxa"/>
            <w:tcBorders>
              <w:right w:val="single" w:color="000000" w:sz="12" w:space="0"/>
            </w:tcBorders>
            <w:vAlign w:val="top"/>
          </w:tcPr>
          <w:p w14:paraId="7D13D39A">
            <w:pPr>
              <w:rPr>
                <w:rFonts w:ascii="Arial"/>
                <w:sz w:val="21"/>
              </w:rPr>
            </w:pPr>
          </w:p>
        </w:tc>
      </w:tr>
      <w:tr w14:paraId="3B4CB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831" w:type="dxa"/>
            <w:tcBorders>
              <w:left w:val="single" w:color="000000" w:sz="12" w:space="0"/>
            </w:tcBorders>
            <w:vAlign w:val="top"/>
          </w:tcPr>
          <w:p w14:paraId="31EB7840">
            <w:pPr>
              <w:rPr>
                <w:rFonts w:ascii="Arial"/>
                <w:sz w:val="21"/>
              </w:rPr>
            </w:pPr>
          </w:p>
        </w:tc>
        <w:tc>
          <w:tcPr>
            <w:tcW w:w="1855" w:type="dxa"/>
            <w:vAlign w:val="top"/>
          </w:tcPr>
          <w:p w14:paraId="23CA1219">
            <w:pPr>
              <w:rPr>
                <w:rFonts w:ascii="Arial"/>
                <w:sz w:val="21"/>
              </w:rPr>
            </w:pPr>
          </w:p>
        </w:tc>
        <w:tc>
          <w:tcPr>
            <w:tcW w:w="4385" w:type="dxa"/>
            <w:vAlign w:val="top"/>
          </w:tcPr>
          <w:p w14:paraId="290D5F14">
            <w:pPr>
              <w:rPr>
                <w:rFonts w:ascii="Arial"/>
                <w:sz w:val="21"/>
              </w:rPr>
            </w:pPr>
          </w:p>
        </w:tc>
        <w:tc>
          <w:tcPr>
            <w:tcW w:w="1219" w:type="dxa"/>
            <w:tcBorders>
              <w:right w:val="single" w:color="000000" w:sz="12" w:space="0"/>
            </w:tcBorders>
            <w:vAlign w:val="top"/>
          </w:tcPr>
          <w:p w14:paraId="07759DFA">
            <w:pPr>
              <w:rPr>
                <w:rFonts w:ascii="Arial"/>
                <w:sz w:val="21"/>
              </w:rPr>
            </w:pPr>
          </w:p>
        </w:tc>
      </w:tr>
      <w:tr w14:paraId="1803F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1" w:type="dxa"/>
            <w:tcBorders>
              <w:left w:val="single" w:color="000000" w:sz="12" w:space="0"/>
            </w:tcBorders>
            <w:vAlign w:val="top"/>
          </w:tcPr>
          <w:p w14:paraId="2405E97F">
            <w:pPr>
              <w:rPr>
                <w:rFonts w:ascii="Arial"/>
                <w:sz w:val="21"/>
              </w:rPr>
            </w:pPr>
          </w:p>
        </w:tc>
        <w:tc>
          <w:tcPr>
            <w:tcW w:w="1855" w:type="dxa"/>
            <w:vAlign w:val="top"/>
          </w:tcPr>
          <w:p w14:paraId="5CEE731C">
            <w:pPr>
              <w:rPr>
                <w:rFonts w:ascii="Arial"/>
                <w:sz w:val="21"/>
              </w:rPr>
            </w:pPr>
          </w:p>
        </w:tc>
        <w:tc>
          <w:tcPr>
            <w:tcW w:w="4385" w:type="dxa"/>
            <w:vAlign w:val="top"/>
          </w:tcPr>
          <w:p w14:paraId="6313C9C2">
            <w:pPr>
              <w:rPr>
                <w:rFonts w:ascii="Arial"/>
                <w:sz w:val="21"/>
              </w:rPr>
            </w:pPr>
          </w:p>
        </w:tc>
        <w:tc>
          <w:tcPr>
            <w:tcW w:w="1219" w:type="dxa"/>
            <w:tcBorders>
              <w:right w:val="single" w:color="000000" w:sz="12" w:space="0"/>
            </w:tcBorders>
            <w:vAlign w:val="top"/>
          </w:tcPr>
          <w:p w14:paraId="47ACF031">
            <w:pPr>
              <w:rPr>
                <w:rFonts w:ascii="Arial"/>
                <w:sz w:val="21"/>
              </w:rPr>
            </w:pPr>
          </w:p>
        </w:tc>
      </w:tr>
      <w:tr w14:paraId="4EA16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1" w:hRule="atLeast"/>
        </w:trPr>
        <w:tc>
          <w:tcPr>
            <w:tcW w:w="831" w:type="dxa"/>
            <w:tcBorders>
              <w:left w:val="single" w:color="000000" w:sz="12" w:space="0"/>
            </w:tcBorders>
            <w:vAlign w:val="top"/>
          </w:tcPr>
          <w:p w14:paraId="34D6DFBF">
            <w:pPr>
              <w:rPr>
                <w:rFonts w:ascii="Arial"/>
                <w:sz w:val="21"/>
              </w:rPr>
            </w:pPr>
          </w:p>
        </w:tc>
        <w:tc>
          <w:tcPr>
            <w:tcW w:w="1855" w:type="dxa"/>
            <w:vAlign w:val="top"/>
          </w:tcPr>
          <w:p w14:paraId="09241C10">
            <w:pPr>
              <w:rPr>
                <w:rFonts w:ascii="Arial"/>
                <w:sz w:val="21"/>
              </w:rPr>
            </w:pPr>
          </w:p>
        </w:tc>
        <w:tc>
          <w:tcPr>
            <w:tcW w:w="4385" w:type="dxa"/>
            <w:vAlign w:val="top"/>
          </w:tcPr>
          <w:p w14:paraId="1B88EA29">
            <w:pPr>
              <w:rPr>
                <w:rFonts w:ascii="Arial"/>
                <w:sz w:val="21"/>
              </w:rPr>
            </w:pPr>
          </w:p>
        </w:tc>
        <w:tc>
          <w:tcPr>
            <w:tcW w:w="1219" w:type="dxa"/>
            <w:tcBorders>
              <w:right w:val="single" w:color="000000" w:sz="12" w:space="0"/>
            </w:tcBorders>
            <w:vAlign w:val="top"/>
          </w:tcPr>
          <w:p w14:paraId="7452B93B">
            <w:pPr>
              <w:rPr>
                <w:rFonts w:ascii="Arial"/>
                <w:sz w:val="21"/>
              </w:rPr>
            </w:pPr>
          </w:p>
        </w:tc>
      </w:tr>
      <w:tr w14:paraId="2F290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831" w:type="dxa"/>
            <w:tcBorders>
              <w:left w:val="single" w:color="000000" w:sz="12" w:space="0"/>
            </w:tcBorders>
            <w:vAlign w:val="top"/>
          </w:tcPr>
          <w:p w14:paraId="5E4E689C">
            <w:pPr>
              <w:rPr>
                <w:rFonts w:ascii="Arial"/>
                <w:sz w:val="21"/>
              </w:rPr>
            </w:pPr>
          </w:p>
        </w:tc>
        <w:tc>
          <w:tcPr>
            <w:tcW w:w="1855" w:type="dxa"/>
            <w:vAlign w:val="top"/>
          </w:tcPr>
          <w:p w14:paraId="57191B9F">
            <w:pPr>
              <w:rPr>
                <w:rFonts w:ascii="Arial"/>
                <w:sz w:val="21"/>
              </w:rPr>
            </w:pPr>
          </w:p>
        </w:tc>
        <w:tc>
          <w:tcPr>
            <w:tcW w:w="4385" w:type="dxa"/>
            <w:vAlign w:val="top"/>
          </w:tcPr>
          <w:p w14:paraId="25ADD10A">
            <w:pPr>
              <w:rPr>
                <w:rFonts w:ascii="Arial"/>
                <w:sz w:val="21"/>
              </w:rPr>
            </w:pPr>
          </w:p>
        </w:tc>
        <w:tc>
          <w:tcPr>
            <w:tcW w:w="1219" w:type="dxa"/>
            <w:tcBorders>
              <w:right w:val="single" w:color="000000" w:sz="12" w:space="0"/>
            </w:tcBorders>
            <w:vAlign w:val="top"/>
          </w:tcPr>
          <w:p w14:paraId="4A0013B1">
            <w:pPr>
              <w:rPr>
                <w:rFonts w:ascii="Arial"/>
                <w:sz w:val="21"/>
              </w:rPr>
            </w:pPr>
          </w:p>
        </w:tc>
      </w:tr>
      <w:tr w14:paraId="5E612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136A2DFD">
            <w:pPr>
              <w:rPr>
                <w:rFonts w:ascii="Arial"/>
                <w:sz w:val="21"/>
              </w:rPr>
            </w:pPr>
          </w:p>
        </w:tc>
        <w:tc>
          <w:tcPr>
            <w:tcW w:w="1855" w:type="dxa"/>
            <w:vAlign w:val="top"/>
          </w:tcPr>
          <w:p w14:paraId="7109D167">
            <w:pPr>
              <w:rPr>
                <w:rFonts w:ascii="Arial"/>
                <w:sz w:val="21"/>
              </w:rPr>
            </w:pPr>
          </w:p>
        </w:tc>
        <w:tc>
          <w:tcPr>
            <w:tcW w:w="4385" w:type="dxa"/>
            <w:vAlign w:val="top"/>
          </w:tcPr>
          <w:p w14:paraId="5435E32D">
            <w:pPr>
              <w:rPr>
                <w:rFonts w:ascii="Arial"/>
                <w:sz w:val="21"/>
              </w:rPr>
            </w:pPr>
          </w:p>
        </w:tc>
        <w:tc>
          <w:tcPr>
            <w:tcW w:w="1219" w:type="dxa"/>
            <w:tcBorders>
              <w:right w:val="single" w:color="000000" w:sz="12" w:space="0"/>
            </w:tcBorders>
            <w:vAlign w:val="top"/>
          </w:tcPr>
          <w:p w14:paraId="082C7A73">
            <w:pPr>
              <w:rPr>
                <w:rFonts w:ascii="Arial"/>
                <w:sz w:val="21"/>
              </w:rPr>
            </w:pPr>
          </w:p>
        </w:tc>
      </w:tr>
      <w:tr w14:paraId="0B20D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31" w:type="dxa"/>
            <w:tcBorders>
              <w:left w:val="single" w:color="000000" w:sz="12" w:space="0"/>
            </w:tcBorders>
            <w:vAlign w:val="top"/>
          </w:tcPr>
          <w:p w14:paraId="76868506">
            <w:pPr>
              <w:rPr>
                <w:rFonts w:ascii="Arial"/>
                <w:sz w:val="21"/>
              </w:rPr>
            </w:pPr>
          </w:p>
        </w:tc>
        <w:tc>
          <w:tcPr>
            <w:tcW w:w="1855" w:type="dxa"/>
            <w:vAlign w:val="top"/>
          </w:tcPr>
          <w:p w14:paraId="3AA64530">
            <w:pPr>
              <w:rPr>
                <w:rFonts w:ascii="Arial"/>
                <w:sz w:val="21"/>
              </w:rPr>
            </w:pPr>
          </w:p>
        </w:tc>
        <w:tc>
          <w:tcPr>
            <w:tcW w:w="4385" w:type="dxa"/>
            <w:vAlign w:val="top"/>
          </w:tcPr>
          <w:p w14:paraId="020CF21F">
            <w:pPr>
              <w:rPr>
                <w:rFonts w:ascii="Arial"/>
                <w:sz w:val="21"/>
              </w:rPr>
            </w:pPr>
          </w:p>
        </w:tc>
        <w:tc>
          <w:tcPr>
            <w:tcW w:w="1219" w:type="dxa"/>
            <w:tcBorders>
              <w:right w:val="single" w:color="000000" w:sz="12" w:space="0"/>
            </w:tcBorders>
            <w:vAlign w:val="top"/>
          </w:tcPr>
          <w:p w14:paraId="194B0CE9">
            <w:pPr>
              <w:rPr>
                <w:rFonts w:ascii="Arial"/>
                <w:sz w:val="21"/>
              </w:rPr>
            </w:pPr>
          </w:p>
        </w:tc>
      </w:tr>
      <w:tr w14:paraId="4EDFE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8" w:hRule="atLeast"/>
        </w:trPr>
        <w:tc>
          <w:tcPr>
            <w:tcW w:w="8290" w:type="dxa"/>
            <w:gridSpan w:val="4"/>
            <w:tcBorders>
              <w:left w:val="single" w:color="000000" w:sz="12" w:space="0"/>
              <w:bottom w:val="single" w:color="000000" w:sz="12" w:space="0"/>
              <w:right w:val="single" w:color="000000" w:sz="12" w:space="0"/>
            </w:tcBorders>
            <w:vAlign w:val="top"/>
          </w:tcPr>
          <w:p w14:paraId="16461719">
            <w:pPr>
              <w:spacing w:before="138" w:line="222" w:lineRule="auto"/>
              <w:ind w:left="93"/>
              <w:rPr>
                <w:rFonts w:ascii="仿宋" w:hAnsi="仿宋" w:eastAsia="仿宋" w:cs="仿宋"/>
                <w:sz w:val="28"/>
                <w:szCs w:val="28"/>
              </w:rPr>
            </w:pPr>
            <w:r>
              <w:rPr>
                <w:rFonts w:ascii="仿宋" w:hAnsi="仿宋" w:eastAsia="仿宋" w:cs="仿宋"/>
                <w:spacing w:val="-9"/>
                <w:sz w:val="28"/>
                <w:szCs w:val="28"/>
              </w:rPr>
              <w:t>小计：</w:t>
            </w:r>
          </w:p>
        </w:tc>
      </w:tr>
    </w:tbl>
    <w:p w14:paraId="75873A0E">
      <w:pPr>
        <w:pStyle w:val="2"/>
      </w:pPr>
    </w:p>
    <w:p w14:paraId="68746B1A">
      <w:pPr>
        <w:sectPr>
          <w:footerReference r:id="rId255" w:type="default"/>
          <w:pgSz w:w="11910" w:h="16845"/>
          <w:pgMar w:top="400" w:right="1786" w:bottom="1110" w:left="1757" w:header="0" w:footer="883" w:gutter="0"/>
          <w:cols w:space="720" w:num="1"/>
        </w:sectPr>
      </w:pPr>
    </w:p>
    <w:p w14:paraId="2C758D08">
      <w:pPr>
        <w:pStyle w:val="2"/>
        <w:spacing w:line="277" w:lineRule="auto"/>
      </w:pPr>
    </w:p>
    <w:p w14:paraId="7FA95034">
      <w:pPr>
        <w:pStyle w:val="2"/>
        <w:spacing w:line="278" w:lineRule="auto"/>
      </w:pPr>
    </w:p>
    <w:p w14:paraId="441C9A1F">
      <w:pPr>
        <w:pStyle w:val="2"/>
        <w:spacing w:line="278" w:lineRule="auto"/>
      </w:pPr>
    </w:p>
    <w:p w14:paraId="09ECA755">
      <w:pPr>
        <w:pStyle w:val="2"/>
        <w:spacing w:line="278" w:lineRule="auto"/>
      </w:pPr>
    </w:p>
    <w:p w14:paraId="6DA2238F">
      <w:pPr>
        <w:pStyle w:val="2"/>
        <w:spacing w:line="278" w:lineRule="auto"/>
      </w:pPr>
    </w:p>
    <w:p w14:paraId="3C73FC5A">
      <w:pPr>
        <w:spacing w:before="140" w:line="221" w:lineRule="auto"/>
        <w:ind w:left="1625"/>
        <w:outlineLvl w:val="0"/>
        <w:rPr>
          <w:rFonts w:ascii="宋体" w:hAnsi="宋体" w:eastAsia="宋体" w:cs="宋体"/>
          <w:sz w:val="43"/>
          <w:szCs w:val="43"/>
        </w:rPr>
      </w:pPr>
      <w:bookmarkStart w:id="574" w:name="bookmark530"/>
      <w:bookmarkEnd w:id="574"/>
      <w:bookmarkStart w:id="575" w:name="bookmark531"/>
      <w:bookmarkEnd w:id="575"/>
      <w:r>
        <w:rPr>
          <w:rFonts w:ascii="宋体" w:hAnsi="宋体" w:eastAsia="宋体" w:cs="宋体"/>
          <w:b/>
          <w:bCs/>
          <w:spacing w:val="8"/>
          <w:sz w:val="43"/>
          <w:szCs w:val="43"/>
        </w:rPr>
        <w:t>第五章</w:t>
      </w:r>
      <w:r>
        <w:rPr>
          <w:rFonts w:ascii="宋体" w:hAnsi="宋体" w:eastAsia="宋体" w:cs="宋体"/>
          <w:spacing w:val="8"/>
          <w:sz w:val="43"/>
          <w:szCs w:val="43"/>
        </w:rPr>
        <w:t xml:space="preserve"> </w:t>
      </w:r>
      <w:r>
        <w:rPr>
          <w:rFonts w:ascii="宋体" w:hAnsi="宋体" w:eastAsia="宋体" w:cs="宋体"/>
          <w:b/>
          <w:bCs/>
          <w:spacing w:val="8"/>
          <w:sz w:val="43"/>
          <w:szCs w:val="43"/>
        </w:rPr>
        <w:t>工程量清单</w:t>
      </w:r>
    </w:p>
    <w:p w14:paraId="55413C0A">
      <w:pPr>
        <w:pStyle w:val="2"/>
        <w:spacing w:line="257" w:lineRule="auto"/>
      </w:pPr>
    </w:p>
    <w:p w14:paraId="18072A57">
      <w:pPr>
        <w:pStyle w:val="2"/>
        <w:spacing w:line="257" w:lineRule="auto"/>
      </w:pPr>
    </w:p>
    <w:p w14:paraId="024E6FED">
      <w:pPr>
        <w:pStyle w:val="2"/>
        <w:spacing w:line="257" w:lineRule="auto"/>
      </w:pPr>
    </w:p>
    <w:p w14:paraId="2ED675B9">
      <w:pPr>
        <w:pStyle w:val="2"/>
        <w:spacing w:line="257" w:lineRule="auto"/>
      </w:pPr>
    </w:p>
    <w:p w14:paraId="3CDD4E1E">
      <w:pPr>
        <w:spacing w:before="100" w:line="235" w:lineRule="auto"/>
        <w:ind w:left="36"/>
        <w:outlineLvl w:val="1"/>
        <w:rPr>
          <w:rFonts w:ascii="黑体" w:hAnsi="黑体" w:eastAsia="黑体" w:cs="黑体"/>
          <w:sz w:val="31"/>
          <w:szCs w:val="31"/>
        </w:rPr>
      </w:pPr>
      <w:r>
        <w:rPr>
          <w:rFonts w:ascii="Times New Roman" w:hAnsi="Times New Roman" w:eastAsia="Times New Roman" w:cs="Times New Roman"/>
          <w:b/>
          <w:bCs/>
          <w:spacing w:val="7"/>
          <w:sz w:val="31"/>
          <w:szCs w:val="31"/>
        </w:rPr>
        <w:t xml:space="preserve">1.  </w:t>
      </w:r>
      <w:r>
        <w:rPr>
          <w:rFonts w:ascii="黑体" w:hAnsi="黑体" w:eastAsia="黑体" w:cs="黑体"/>
          <w:b/>
          <w:bCs/>
          <w:spacing w:val="7"/>
          <w:sz w:val="31"/>
          <w:szCs w:val="31"/>
        </w:rPr>
        <w:t>工程量清单说明</w:t>
      </w:r>
    </w:p>
    <w:p w14:paraId="61AAC8CF">
      <w:pPr>
        <w:pStyle w:val="2"/>
        <w:spacing w:line="404" w:lineRule="auto"/>
      </w:pPr>
    </w:p>
    <w:p w14:paraId="23F548D5">
      <w:pPr>
        <w:spacing w:before="68" w:line="350" w:lineRule="auto"/>
        <w:ind w:left="41"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1.1  </w:t>
      </w:r>
      <w:r>
        <w:rPr>
          <w:rFonts w:ascii="宋体" w:hAnsi="宋体" w:eastAsia="宋体" w:cs="宋体"/>
          <w:spacing w:val="-1"/>
          <w:sz w:val="21"/>
          <w:szCs w:val="21"/>
        </w:rPr>
        <w:t>本工程量清单是根据招标文件中包括的、有合同约束力的图纸以及有关工程量清单</w:t>
      </w:r>
      <w:r>
        <w:rPr>
          <w:rFonts w:ascii="宋体" w:hAnsi="宋体" w:eastAsia="宋体" w:cs="宋体"/>
          <w:spacing w:val="-2"/>
          <w:sz w:val="21"/>
          <w:szCs w:val="21"/>
        </w:rPr>
        <w:t>的国家标准、行业标准、合同条款中约定的</w:t>
      </w:r>
      <w:r>
        <w:rPr>
          <w:rFonts w:ascii="宋体" w:hAnsi="宋体" w:eastAsia="宋体" w:cs="宋体"/>
          <w:spacing w:val="-3"/>
          <w:sz w:val="21"/>
          <w:szCs w:val="21"/>
        </w:rPr>
        <w:t>工程量计算规则编制。约定计量规则中没有的子目，其工程量按照有合同约束力的图纸所标示尺寸的理论净量计算。计量采用中华人民共和</w:t>
      </w:r>
      <w:r>
        <w:rPr>
          <w:rFonts w:ascii="宋体" w:hAnsi="宋体" w:eastAsia="宋体" w:cs="宋体"/>
          <w:spacing w:val="-6"/>
          <w:sz w:val="21"/>
          <w:szCs w:val="21"/>
        </w:rPr>
        <w:t>国法定计量单位。</w:t>
      </w:r>
    </w:p>
    <w:p w14:paraId="0FD292D1">
      <w:pPr>
        <w:spacing w:line="348" w:lineRule="auto"/>
        <w:ind w:left="25"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1.2  </w:t>
      </w:r>
      <w:r>
        <w:rPr>
          <w:rFonts w:ascii="宋体" w:hAnsi="宋体" w:eastAsia="宋体" w:cs="宋体"/>
          <w:spacing w:val="-1"/>
          <w:sz w:val="21"/>
          <w:szCs w:val="21"/>
        </w:rPr>
        <w:t>本工程量清单应与招标文件中的投标人须知、通用合同条款、专用合同条款、技术</w:t>
      </w:r>
      <w:r>
        <w:rPr>
          <w:rFonts w:ascii="宋体" w:hAnsi="宋体" w:eastAsia="宋体" w:cs="宋体"/>
          <w:spacing w:val="-2"/>
          <w:sz w:val="21"/>
          <w:szCs w:val="21"/>
        </w:rPr>
        <w:t>标准和要求及图纸等一起阅读和理解。</w:t>
      </w:r>
    </w:p>
    <w:p w14:paraId="5D3D5AB6">
      <w:pPr>
        <w:spacing w:before="18" w:line="335" w:lineRule="auto"/>
        <w:ind w:left="44" w:firstLine="416"/>
        <w:rPr>
          <w:rFonts w:ascii="宋体" w:hAnsi="宋体" w:eastAsia="宋体" w:cs="宋体"/>
          <w:sz w:val="21"/>
          <w:szCs w:val="21"/>
        </w:rPr>
      </w:pPr>
      <w:r>
        <w:rPr>
          <w:rFonts w:ascii="Times New Roman" w:hAnsi="Times New Roman" w:eastAsia="Times New Roman" w:cs="Times New Roman"/>
          <w:spacing w:val="-1"/>
          <w:sz w:val="21"/>
          <w:szCs w:val="21"/>
        </w:rPr>
        <w:t xml:space="preserve">1.3  </w:t>
      </w:r>
      <w:r>
        <w:rPr>
          <w:rFonts w:ascii="宋体" w:hAnsi="宋体" w:eastAsia="宋体" w:cs="宋体"/>
          <w:spacing w:val="-1"/>
          <w:sz w:val="21"/>
          <w:szCs w:val="21"/>
        </w:rPr>
        <w:t>本工程量清单仅是投标报价的共同基础，实际工程计量和工程价款的支付应遵循合</w:t>
      </w:r>
      <w:r>
        <w:rPr>
          <w:rFonts w:ascii="宋体" w:hAnsi="宋体" w:eastAsia="宋体" w:cs="宋体"/>
          <w:spacing w:val="-2"/>
          <w:sz w:val="21"/>
          <w:szCs w:val="21"/>
        </w:rPr>
        <w:t>同条款的约定和第七章“技术标准和要求”的有关规定。</w:t>
      </w:r>
    </w:p>
    <w:p w14:paraId="6C586522">
      <w:pPr>
        <w:spacing w:before="34" w:line="233" w:lineRule="auto"/>
        <w:ind w:left="461"/>
        <w:rPr>
          <w:rFonts w:ascii="宋体" w:hAnsi="宋体" w:eastAsia="宋体" w:cs="宋体"/>
          <w:sz w:val="21"/>
          <w:szCs w:val="21"/>
        </w:rPr>
      </w:pPr>
      <w:r>
        <w:rPr>
          <w:rFonts w:ascii="Times New Roman" w:hAnsi="Times New Roman" w:eastAsia="Times New Roman" w:cs="Times New Roman"/>
          <w:spacing w:val="-3"/>
          <w:sz w:val="21"/>
          <w:szCs w:val="21"/>
        </w:rPr>
        <w:t xml:space="preserve">1.4  </w:t>
      </w:r>
      <w:r>
        <w:rPr>
          <w:rFonts w:ascii="宋体" w:hAnsi="宋体" w:eastAsia="宋体" w:cs="宋体"/>
          <w:spacing w:val="-3"/>
          <w:sz w:val="21"/>
          <w:szCs w:val="21"/>
        </w:rPr>
        <w:t>补充子目工程量计算规则及子目工作内容说明：</w:t>
      </w:r>
      <w:r>
        <w:rPr>
          <w:rFonts w:ascii="宋体" w:hAnsi="宋体" w:eastAsia="宋体" w:cs="宋体"/>
          <w:spacing w:val="-3"/>
          <w:sz w:val="21"/>
          <w:szCs w:val="21"/>
          <w:u w:val="single" w:color="auto"/>
        </w:rPr>
        <w:t xml:space="preserve">                               </w:t>
      </w:r>
    </w:p>
    <w:p w14:paraId="29722EF2">
      <w:pPr>
        <w:tabs>
          <w:tab w:val="left" w:pos="240"/>
        </w:tabs>
        <w:spacing w:before="276" w:line="93"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58AFA521">
      <w:pPr>
        <w:pStyle w:val="2"/>
        <w:spacing w:line="331" w:lineRule="auto"/>
      </w:pPr>
    </w:p>
    <w:p w14:paraId="12D6960D">
      <w:pPr>
        <w:spacing w:before="101" w:line="235" w:lineRule="auto"/>
        <w:ind w:left="23"/>
        <w:outlineLvl w:val="1"/>
        <w:rPr>
          <w:rFonts w:ascii="黑体" w:hAnsi="黑体" w:eastAsia="黑体" w:cs="黑体"/>
          <w:sz w:val="31"/>
          <w:szCs w:val="31"/>
        </w:rPr>
      </w:pPr>
      <w:bookmarkStart w:id="576" w:name="bookmark532"/>
      <w:bookmarkEnd w:id="576"/>
      <w:r>
        <w:rPr>
          <w:rFonts w:ascii="Times New Roman" w:hAnsi="Times New Roman" w:eastAsia="Times New Roman" w:cs="Times New Roman"/>
          <w:b/>
          <w:bCs/>
          <w:spacing w:val="9"/>
          <w:sz w:val="31"/>
          <w:szCs w:val="31"/>
        </w:rPr>
        <w:t xml:space="preserve">2.  </w:t>
      </w:r>
      <w:r>
        <w:rPr>
          <w:rFonts w:ascii="黑体" w:hAnsi="黑体" w:eastAsia="黑体" w:cs="黑体"/>
          <w:b/>
          <w:bCs/>
          <w:spacing w:val="9"/>
          <w:sz w:val="31"/>
          <w:szCs w:val="31"/>
        </w:rPr>
        <w:t>投标报价说明</w:t>
      </w:r>
    </w:p>
    <w:p w14:paraId="683CE6FA">
      <w:pPr>
        <w:pStyle w:val="2"/>
        <w:spacing w:line="405" w:lineRule="auto"/>
      </w:pPr>
    </w:p>
    <w:p w14:paraId="0275AE91">
      <w:pPr>
        <w:spacing w:before="69" w:line="232" w:lineRule="auto"/>
        <w:ind w:left="440"/>
        <w:rPr>
          <w:rFonts w:ascii="宋体" w:hAnsi="宋体" w:eastAsia="宋体" w:cs="宋体"/>
          <w:sz w:val="21"/>
          <w:szCs w:val="21"/>
        </w:rPr>
      </w:pPr>
      <w:r>
        <w:rPr>
          <w:rFonts w:ascii="Times New Roman" w:hAnsi="Times New Roman" w:eastAsia="Times New Roman" w:cs="Times New Roman"/>
          <w:sz w:val="21"/>
          <w:szCs w:val="21"/>
        </w:rPr>
        <w:t xml:space="preserve">2.1  </w:t>
      </w:r>
      <w:r>
        <w:rPr>
          <w:rFonts w:ascii="宋体" w:hAnsi="宋体" w:eastAsia="宋体" w:cs="宋体"/>
          <w:sz w:val="21"/>
          <w:szCs w:val="21"/>
        </w:rPr>
        <w:t>工程量清单中的每一子目须填入单价或价格</w:t>
      </w:r>
      <w:r>
        <w:rPr>
          <w:rFonts w:ascii="宋体" w:hAnsi="宋体" w:eastAsia="宋体" w:cs="宋体"/>
          <w:spacing w:val="-1"/>
          <w:sz w:val="21"/>
          <w:szCs w:val="21"/>
        </w:rPr>
        <w:t>，且只允许有一个报价。</w:t>
      </w:r>
    </w:p>
    <w:p w14:paraId="035CBE7E">
      <w:pPr>
        <w:spacing w:before="126" w:line="352" w:lineRule="auto"/>
        <w:ind w:left="25" w:firstLine="415"/>
        <w:rPr>
          <w:rFonts w:ascii="宋体" w:hAnsi="宋体" w:eastAsia="宋体" w:cs="宋体"/>
          <w:sz w:val="21"/>
          <w:szCs w:val="21"/>
        </w:rPr>
      </w:pPr>
      <w:r>
        <w:rPr>
          <w:rFonts w:ascii="Times New Roman" w:hAnsi="Times New Roman" w:eastAsia="Times New Roman" w:cs="Times New Roman"/>
          <w:spacing w:val="-1"/>
          <w:sz w:val="21"/>
          <w:szCs w:val="21"/>
        </w:rPr>
        <w:t>2.2</w:t>
      </w:r>
      <w:r>
        <w:rPr>
          <w:rFonts w:ascii="Times New Roman" w:hAnsi="Times New Roman" w:eastAsia="Times New Roman" w:cs="Times New Roman"/>
          <w:spacing w:val="14"/>
          <w:sz w:val="21"/>
          <w:szCs w:val="21"/>
        </w:rPr>
        <w:t xml:space="preserve">  </w:t>
      </w:r>
      <w:r>
        <w:rPr>
          <w:rFonts w:ascii="宋体" w:hAnsi="宋体" w:eastAsia="宋体" w:cs="宋体"/>
          <w:spacing w:val="-1"/>
          <w:sz w:val="21"/>
          <w:szCs w:val="21"/>
        </w:rPr>
        <w:t>工程量清单中标价的单价或金额，应包括所需人工费、施工机械使用费、材料费、</w:t>
      </w:r>
      <w:r>
        <w:rPr>
          <w:rFonts w:ascii="宋体" w:hAnsi="宋体" w:eastAsia="宋体" w:cs="宋体"/>
          <w:spacing w:val="-2"/>
          <w:sz w:val="21"/>
          <w:szCs w:val="21"/>
        </w:rPr>
        <w:t>其他（运杂费、质检费、安装费、缺陷修复费、</w:t>
      </w:r>
      <w:r>
        <w:rPr>
          <w:rFonts w:ascii="宋体" w:hAnsi="宋体" w:eastAsia="宋体" w:cs="宋体"/>
          <w:spacing w:val="-3"/>
          <w:sz w:val="21"/>
          <w:szCs w:val="21"/>
        </w:rPr>
        <w:t>保险费，以及合同明示或暗示的风险、责任</w:t>
      </w:r>
      <w:r>
        <w:rPr>
          <w:rFonts w:ascii="宋体" w:hAnsi="宋体" w:eastAsia="宋体" w:cs="宋体"/>
          <w:sz w:val="21"/>
          <w:szCs w:val="21"/>
        </w:rPr>
        <w:t>和义务等</w:t>
      </w:r>
      <w:r>
        <w:rPr>
          <w:rFonts w:ascii="宋体" w:hAnsi="宋体" w:eastAsia="宋体" w:cs="宋体"/>
          <w:spacing w:val="-55"/>
          <w:sz w:val="21"/>
          <w:szCs w:val="21"/>
        </w:rPr>
        <w:t>），</w:t>
      </w:r>
      <w:r>
        <w:rPr>
          <w:rFonts w:ascii="宋体" w:hAnsi="宋体" w:eastAsia="宋体" w:cs="宋体"/>
          <w:sz w:val="21"/>
          <w:szCs w:val="21"/>
        </w:rPr>
        <w:t>以及管理费、利润等。</w:t>
      </w:r>
    </w:p>
    <w:p w14:paraId="07E4B7FD">
      <w:pPr>
        <w:spacing w:before="1" w:line="347" w:lineRule="auto"/>
        <w:ind w:left="43" w:firstLine="396"/>
        <w:rPr>
          <w:rFonts w:ascii="宋体" w:hAnsi="宋体" w:eastAsia="宋体" w:cs="宋体"/>
          <w:sz w:val="21"/>
          <w:szCs w:val="21"/>
        </w:rPr>
      </w:pPr>
      <w:r>
        <w:rPr>
          <w:rFonts w:ascii="Times New Roman" w:hAnsi="Times New Roman" w:eastAsia="Times New Roman" w:cs="Times New Roman"/>
          <w:spacing w:val="-1"/>
          <w:sz w:val="21"/>
          <w:szCs w:val="21"/>
        </w:rPr>
        <w:t>2.3</w:t>
      </w:r>
      <w:r>
        <w:rPr>
          <w:rFonts w:ascii="Times New Roman" w:hAnsi="Times New Roman" w:eastAsia="Times New Roman" w:cs="Times New Roman"/>
          <w:spacing w:val="14"/>
          <w:sz w:val="21"/>
          <w:szCs w:val="21"/>
        </w:rPr>
        <w:t xml:space="preserve">  </w:t>
      </w:r>
      <w:r>
        <w:rPr>
          <w:rFonts w:ascii="宋体" w:hAnsi="宋体" w:eastAsia="宋体" w:cs="宋体"/>
          <w:spacing w:val="-1"/>
          <w:sz w:val="21"/>
          <w:szCs w:val="21"/>
        </w:rPr>
        <w:t>工程量清单中投标人没有填入单价或价格的子目，其费用视为已分摊在工程量清单</w:t>
      </w:r>
      <w:r>
        <w:rPr>
          <w:rFonts w:ascii="宋体" w:hAnsi="宋体" w:eastAsia="宋体" w:cs="宋体"/>
          <w:spacing w:val="-3"/>
          <w:sz w:val="21"/>
          <w:szCs w:val="21"/>
        </w:rPr>
        <w:t>中其他相关子目的单价或价格之中。</w:t>
      </w:r>
    </w:p>
    <w:p w14:paraId="5A6079EF">
      <w:pPr>
        <w:spacing w:before="20" w:line="233" w:lineRule="auto"/>
        <w:jc w:val="right"/>
        <w:rPr>
          <w:rFonts w:ascii="宋体" w:hAnsi="宋体" w:eastAsia="宋体" w:cs="宋体"/>
          <w:sz w:val="21"/>
          <w:szCs w:val="21"/>
        </w:rPr>
      </w:pPr>
      <w:r>
        <w:rPr>
          <w:rFonts w:ascii="Times New Roman" w:hAnsi="Times New Roman" w:eastAsia="Times New Roman" w:cs="Times New Roman"/>
          <w:spacing w:val="-1"/>
          <w:sz w:val="21"/>
          <w:szCs w:val="21"/>
        </w:rPr>
        <w:t>2.4</w:t>
      </w:r>
      <w:r>
        <w:rPr>
          <w:rFonts w:ascii="Times New Roman" w:hAnsi="Times New Roman" w:eastAsia="Times New Roman" w:cs="Times New Roman"/>
          <w:spacing w:val="19"/>
          <w:w w:val="101"/>
          <w:sz w:val="21"/>
          <w:szCs w:val="21"/>
        </w:rPr>
        <w:t xml:space="preserve">  </w:t>
      </w:r>
      <w:r>
        <w:rPr>
          <w:rFonts w:ascii="宋体" w:hAnsi="宋体" w:eastAsia="宋体" w:cs="宋体"/>
          <w:spacing w:val="-1"/>
          <w:sz w:val="21"/>
          <w:szCs w:val="21"/>
        </w:rPr>
        <w:t>暂列金额的数量及拟用子目的说明：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2B14BE36">
      <w:pPr>
        <w:spacing w:before="126" w:line="232" w:lineRule="auto"/>
        <w:ind w:right="23"/>
        <w:jc w:val="right"/>
        <w:rPr>
          <w:rFonts w:ascii="宋体" w:hAnsi="宋体" w:eastAsia="宋体" w:cs="宋体"/>
          <w:sz w:val="21"/>
          <w:szCs w:val="21"/>
        </w:rPr>
      </w:pPr>
      <w:r>
        <w:rPr>
          <w:rFonts w:ascii="Times New Roman" w:hAnsi="Times New Roman" w:eastAsia="Times New Roman" w:cs="Times New Roman"/>
          <w:sz w:val="21"/>
          <w:szCs w:val="21"/>
        </w:rPr>
        <w:t>2.5</w:t>
      </w:r>
      <w:r>
        <w:rPr>
          <w:rFonts w:ascii="Times New Roman" w:hAnsi="Times New Roman" w:eastAsia="Times New Roman" w:cs="Times New Roman"/>
          <w:spacing w:val="23"/>
          <w:sz w:val="21"/>
          <w:szCs w:val="21"/>
        </w:rPr>
        <w:t xml:space="preserve"> </w:t>
      </w:r>
      <w:r>
        <w:rPr>
          <w:rFonts w:ascii="宋体" w:hAnsi="宋体" w:eastAsia="宋体" w:cs="宋体"/>
          <w:sz w:val="21"/>
          <w:szCs w:val="21"/>
        </w:rPr>
        <w:t>暂估价的数量及拟用子目的说明：</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1B6439FD">
      <w:pPr>
        <w:pStyle w:val="2"/>
        <w:spacing w:line="323" w:lineRule="auto"/>
      </w:pPr>
    </w:p>
    <w:p w14:paraId="084945C1">
      <w:pPr>
        <w:spacing w:before="102" w:line="235" w:lineRule="auto"/>
        <w:ind w:left="21"/>
        <w:outlineLvl w:val="1"/>
        <w:rPr>
          <w:rFonts w:ascii="黑体" w:hAnsi="黑体" w:eastAsia="黑体" w:cs="黑体"/>
          <w:sz w:val="31"/>
          <w:szCs w:val="31"/>
        </w:rPr>
      </w:pPr>
      <w:bookmarkStart w:id="577" w:name="bookmark533"/>
      <w:bookmarkEnd w:id="577"/>
      <w:r>
        <w:rPr>
          <w:rFonts w:ascii="Times New Roman" w:hAnsi="Times New Roman" w:eastAsia="Times New Roman" w:cs="Times New Roman"/>
          <w:b/>
          <w:bCs/>
          <w:spacing w:val="9"/>
          <w:sz w:val="31"/>
          <w:szCs w:val="31"/>
        </w:rPr>
        <w:t>3.</w:t>
      </w:r>
      <w:r>
        <w:rPr>
          <w:rFonts w:ascii="Times New Roman" w:hAnsi="Times New Roman" w:eastAsia="Times New Roman" w:cs="Times New Roman"/>
          <w:b/>
          <w:bCs/>
          <w:spacing w:val="13"/>
          <w:sz w:val="31"/>
          <w:szCs w:val="31"/>
        </w:rPr>
        <w:t xml:space="preserve">  </w:t>
      </w:r>
      <w:r>
        <w:rPr>
          <w:rFonts w:ascii="黑体" w:hAnsi="黑体" w:eastAsia="黑体" w:cs="黑体"/>
          <w:b/>
          <w:bCs/>
          <w:spacing w:val="9"/>
          <w:sz w:val="31"/>
          <w:szCs w:val="31"/>
        </w:rPr>
        <w:t>其他说明</w:t>
      </w:r>
    </w:p>
    <w:p w14:paraId="33B3D354">
      <w:pPr>
        <w:pStyle w:val="2"/>
        <w:spacing w:line="278" w:lineRule="auto"/>
      </w:pPr>
    </w:p>
    <w:p w14:paraId="51BB2ABC">
      <w:pPr>
        <w:pStyle w:val="2"/>
        <w:spacing w:line="279" w:lineRule="auto"/>
      </w:pPr>
    </w:p>
    <w:p w14:paraId="161AED63">
      <w:pPr>
        <w:spacing w:before="60" w:line="23" w:lineRule="exact"/>
        <w:ind w:left="8246"/>
        <w:rPr>
          <w:rFonts w:ascii="Times New Roman" w:hAnsi="Times New Roman" w:eastAsia="Times New Roman" w:cs="Times New Roman"/>
          <w:sz w:val="21"/>
          <w:szCs w:val="21"/>
        </w:rPr>
      </w:pPr>
      <w:r>
        <w:pict>
          <v:shape id="_x0000_s1213" o:spid="_x0000_s1213" o:spt="202" type="#_x0000_t202" style="position:absolute;left:0pt;margin-left:20.8pt;margin-top:-4.9pt;height:14.1pt;width:394.75pt;z-index:251855872;mso-width-relative:page;mso-height-relative:page;" filled="f" stroked="f" coordsize="21600,21600">
            <v:path/>
            <v:fill on="f" focussize="0,0"/>
            <v:stroke on="f"/>
            <v:imagedata o:title=""/>
            <o:lock v:ext="edit" aspectratio="f"/>
            <v:textbox inset="0mm,0mm,0mm,0mm">
              <w:txbxContent>
                <w:p w14:paraId="2C53F2D7">
                  <w:pPr>
                    <w:pStyle w:val="2"/>
                    <w:tabs>
                      <w:tab w:val="left" w:pos="7874"/>
                    </w:tabs>
                    <w:spacing w:before="19"/>
                    <w:ind w:left="20"/>
                  </w:pPr>
                  <w:r>
                    <w:rPr>
                      <w:u w:val="single" w:color="auto"/>
                    </w:rPr>
                    <w:tab/>
                  </w:r>
                </w:p>
              </w:txbxContent>
            </v:textbox>
          </v:shape>
        </w:pict>
      </w:r>
      <w:r>
        <w:rPr>
          <w:rFonts w:ascii="Times New Roman" w:hAnsi="Times New Roman" w:eastAsia="Times New Roman" w:cs="Times New Roman"/>
          <w:sz w:val="21"/>
          <w:szCs w:val="21"/>
        </w:rPr>
        <w:t>.</w:t>
      </w:r>
    </w:p>
    <w:p w14:paraId="13F6B402">
      <w:pPr>
        <w:pStyle w:val="2"/>
        <w:spacing w:line="404" w:lineRule="auto"/>
      </w:pPr>
    </w:p>
    <w:p w14:paraId="193179BD">
      <w:pPr>
        <w:spacing w:before="101" w:line="236" w:lineRule="auto"/>
        <w:ind w:left="23"/>
        <w:rPr>
          <w:rFonts w:ascii="黑体" w:hAnsi="黑体" w:eastAsia="黑体" w:cs="黑体"/>
          <w:sz w:val="31"/>
          <w:szCs w:val="31"/>
        </w:rPr>
      </w:pPr>
      <w:bookmarkStart w:id="578" w:name="bookmark534"/>
      <w:bookmarkEnd w:id="578"/>
      <w:r>
        <w:rPr>
          <w:rFonts w:ascii="Times New Roman" w:hAnsi="Times New Roman" w:eastAsia="Times New Roman" w:cs="Times New Roman"/>
          <w:b/>
          <w:bCs/>
          <w:spacing w:val="8"/>
          <w:sz w:val="31"/>
          <w:szCs w:val="31"/>
        </w:rPr>
        <w:t xml:space="preserve">4.  </w:t>
      </w:r>
      <w:r>
        <w:rPr>
          <w:rFonts w:ascii="黑体" w:hAnsi="黑体" w:eastAsia="黑体" w:cs="黑体"/>
          <w:b/>
          <w:bCs/>
          <w:spacing w:val="8"/>
          <w:sz w:val="31"/>
          <w:szCs w:val="31"/>
        </w:rPr>
        <w:t>工程量清单</w:t>
      </w:r>
    </w:p>
    <w:p w14:paraId="2EC33579">
      <w:pPr>
        <w:spacing w:line="236" w:lineRule="auto"/>
        <w:rPr>
          <w:rFonts w:ascii="黑体" w:hAnsi="黑体" w:eastAsia="黑体" w:cs="黑体"/>
          <w:sz w:val="31"/>
          <w:szCs w:val="31"/>
        </w:rPr>
        <w:sectPr>
          <w:footerReference r:id="rId256" w:type="default"/>
          <w:pgSz w:w="11910" w:h="16845"/>
          <w:pgMar w:top="400" w:right="1763" w:bottom="1110" w:left="1786" w:header="0" w:footer="882" w:gutter="0"/>
          <w:cols w:space="720" w:num="1"/>
        </w:sectPr>
      </w:pPr>
    </w:p>
    <w:p w14:paraId="1061FD0E">
      <w:pPr>
        <w:pStyle w:val="2"/>
        <w:spacing w:line="275" w:lineRule="auto"/>
      </w:pPr>
    </w:p>
    <w:p w14:paraId="00C66286">
      <w:pPr>
        <w:pStyle w:val="2"/>
        <w:spacing w:line="275" w:lineRule="auto"/>
      </w:pPr>
    </w:p>
    <w:p w14:paraId="7551F7E9">
      <w:pPr>
        <w:pStyle w:val="2"/>
        <w:spacing w:line="276" w:lineRule="auto"/>
      </w:pPr>
    </w:p>
    <w:p w14:paraId="6718627D">
      <w:pPr>
        <w:pStyle w:val="2"/>
        <w:spacing w:line="276" w:lineRule="auto"/>
      </w:pPr>
    </w:p>
    <w:p w14:paraId="2BBF54BC">
      <w:pPr>
        <w:spacing w:before="91" w:line="237" w:lineRule="auto"/>
        <w:ind w:left="20"/>
        <w:outlineLvl w:val="2"/>
        <w:rPr>
          <w:rFonts w:ascii="黑体" w:hAnsi="黑体" w:eastAsia="黑体" w:cs="黑体"/>
          <w:sz w:val="28"/>
          <w:szCs w:val="28"/>
        </w:rPr>
      </w:pPr>
      <w:bookmarkStart w:id="579" w:name="bookmark535"/>
      <w:bookmarkEnd w:id="579"/>
      <w:r>
        <w:rPr>
          <w:rFonts w:ascii="Times New Roman" w:hAnsi="Times New Roman" w:eastAsia="Times New Roman" w:cs="Times New Roman"/>
          <w:spacing w:val="4"/>
          <w:sz w:val="28"/>
          <w:szCs w:val="28"/>
        </w:rPr>
        <w:t xml:space="preserve">4.1  </w:t>
      </w:r>
      <w:r>
        <w:rPr>
          <w:rFonts w:ascii="黑体" w:hAnsi="黑体" w:eastAsia="黑体" w:cs="黑体"/>
          <w:spacing w:val="4"/>
          <w:sz w:val="28"/>
          <w:szCs w:val="28"/>
        </w:rPr>
        <w:t>工程量清单表</w:t>
      </w:r>
    </w:p>
    <w:p w14:paraId="6AD3B41C">
      <w:pPr>
        <w:pStyle w:val="2"/>
        <w:spacing w:line="278" w:lineRule="auto"/>
      </w:pPr>
    </w:p>
    <w:p w14:paraId="79658525">
      <w:pPr>
        <w:pStyle w:val="2"/>
        <w:spacing w:line="278" w:lineRule="auto"/>
      </w:pPr>
    </w:p>
    <w:p w14:paraId="7A208DCE">
      <w:pPr>
        <w:pStyle w:val="2"/>
        <w:spacing w:line="278" w:lineRule="auto"/>
      </w:pPr>
    </w:p>
    <w:p w14:paraId="0FF0C47F">
      <w:pPr>
        <w:tabs>
          <w:tab w:val="left" w:pos="1923"/>
        </w:tabs>
        <w:spacing w:before="68" w:line="220" w:lineRule="auto"/>
        <w:ind w:left="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标段</w:t>
      </w:r>
    </w:p>
    <w:p w14:paraId="1C4DB0CF">
      <w:pPr>
        <w:spacing w:line="50"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690"/>
        <w:gridCol w:w="1199"/>
        <w:gridCol w:w="2444"/>
        <w:gridCol w:w="870"/>
        <w:gridCol w:w="689"/>
        <w:gridCol w:w="1034"/>
        <w:gridCol w:w="667"/>
      </w:tblGrid>
      <w:tr w14:paraId="36DA2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637" w:type="dxa"/>
            <w:textDirection w:val="tbRlV"/>
            <w:vAlign w:val="top"/>
          </w:tcPr>
          <w:p w14:paraId="61D4B283">
            <w:pPr>
              <w:pStyle w:val="6"/>
              <w:spacing w:before="217" w:line="210" w:lineRule="auto"/>
              <w:ind w:left="44"/>
              <w:rPr>
                <w:sz w:val="21"/>
                <w:szCs w:val="21"/>
              </w:rPr>
            </w:pPr>
            <w:r>
              <w:rPr>
                <w:b/>
                <w:bCs/>
                <w:spacing w:val="-2"/>
                <w:sz w:val="21"/>
                <w:szCs w:val="21"/>
              </w:rPr>
              <w:t>序</w:t>
            </w:r>
            <w:r>
              <w:rPr>
                <w:spacing w:val="-2"/>
                <w:sz w:val="21"/>
                <w:szCs w:val="21"/>
              </w:rPr>
              <w:t xml:space="preserve"> </w:t>
            </w:r>
            <w:r>
              <w:rPr>
                <w:b/>
                <w:bCs/>
                <w:spacing w:val="-2"/>
                <w:sz w:val="21"/>
                <w:szCs w:val="21"/>
              </w:rPr>
              <w:t>号</w:t>
            </w:r>
          </w:p>
        </w:tc>
        <w:tc>
          <w:tcPr>
            <w:tcW w:w="690" w:type="dxa"/>
            <w:vAlign w:val="top"/>
          </w:tcPr>
          <w:p w14:paraId="73214245">
            <w:pPr>
              <w:pStyle w:val="6"/>
              <w:spacing w:before="194" w:line="220" w:lineRule="auto"/>
              <w:ind w:left="123"/>
              <w:rPr>
                <w:sz w:val="21"/>
                <w:szCs w:val="21"/>
              </w:rPr>
            </w:pPr>
            <w:r>
              <w:rPr>
                <w:b/>
                <w:bCs/>
                <w:sz w:val="21"/>
                <w:szCs w:val="21"/>
              </w:rPr>
              <w:t>编码</w:t>
            </w:r>
          </w:p>
        </w:tc>
        <w:tc>
          <w:tcPr>
            <w:tcW w:w="1199" w:type="dxa"/>
            <w:vAlign w:val="top"/>
          </w:tcPr>
          <w:p w14:paraId="4A12C0B7">
            <w:pPr>
              <w:pStyle w:val="6"/>
              <w:spacing w:before="194" w:line="220" w:lineRule="auto"/>
              <w:ind w:left="154"/>
              <w:rPr>
                <w:sz w:val="21"/>
                <w:szCs w:val="21"/>
              </w:rPr>
            </w:pPr>
            <w:r>
              <w:rPr>
                <w:b/>
                <w:bCs/>
                <w:spacing w:val="7"/>
                <w:sz w:val="21"/>
                <w:szCs w:val="21"/>
              </w:rPr>
              <w:t>子目名称</w:t>
            </w:r>
          </w:p>
        </w:tc>
        <w:tc>
          <w:tcPr>
            <w:tcW w:w="2444" w:type="dxa"/>
            <w:vAlign w:val="top"/>
          </w:tcPr>
          <w:p w14:paraId="44E5D9A9">
            <w:pPr>
              <w:pStyle w:val="6"/>
              <w:spacing w:before="194" w:line="220" w:lineRule="auto"/>
              <w:ind w:left="811"/>
              <w:rPr>
                <w:sz w:val="21"/>
                <w:szCs w:val="21"/>
              </w:rPr>
            </w:pPr>
            <w:r>
              <w:rPr>
                <w:b/>
                <w:bCs/>
                <w:spacing w:val="1"/>
                <w:sz w:val="21"/>
                <w:szCs w:val="21"/>
              </w:rPr>
              <w:t>内容描述</w:t>
            </w:r>
          </w:p>
        </w:tc>
        <w:tc>
          <w:tcPr>
            <w:tcW w:w="870" w:type="dxa"/>
            <w:vAlign w:val="top"/>
          </w:tcPr>
          <w:p w14:paraId="5997B2F4">
            <w:pPr>
              <w:pStyle w:val="6"/>
              <w:spacing w:before="194" w:line="220" w:lineRule="auto"/>
              <w:ind w:left="221"/>
              <w:rPr>
                <w:sz w:val="21"/>
                <w:szCs w:val="21"/>
              </w:rPr>
            </w:pPr>
            <w:r>
              <w:rPr>
                <w:b/>
                <w:bCs/>
                <w:sz w:val="21"/>
                <w:szCs w:val="21"/>
              </w:rPr>
              <w:t>单位</w:t>
            </w:r>
          </w:p>
        </w:tc>
        <w:tc>
          <w:tcPr>
            <w:tcW w:w="689" w:type="dxa"/>
            <w:vAlign w:val="top"/>
          </w:tcPr>
          <w:p w14:paraId="305E141E">
            <w:pPr>
              <w:pStyle w:val="6"/>
              <w:spacing w:before="194" w:line="220" w:lineRule="auto"/>
              <w:ind w:left="132"/>
              <w:rPr>
                <w:sz w:val="21"/>
                <w:szCs w:val="21"/>
              </w:rPr>
            </w:pPr>
            <w:r>
              <w:rPr>
                <w:b/>
                <w:bCs/>
                <w:sz w:val="21"/>
                <w:szCs w:val="21"/>
              </w:rPr>
              <w:t>数量</w:t>
            </w:r>
          </w:p>
        </w:tc>
        <w:tc>
          <w:tcPr>
            <w:tcW w:w="1034" w:type="dxa"/>
            <w:vAlign w:val="top"/>
          </w:tcPr>
          <w:p w14:paraId="500FD600">
            <w:pPr>
              <w:pStyle w:val="6"/>
              <w:spacing w:before="194" w:line="218" w:lineRule="auto"/>
              <w:ind w:left="299"/>
              <w:rPr>
                <w:sz w:val="21"/>
                <w:szCs w:val="21"/>
              </w:rPr>
            </w:pPr>
            <w:r>
              <w:rPr>
                <w:b/>
                <w:bCs/>
                <w:sz w:val="21"/>
                <w:szCs w:val="21"/>
              </w:rPr>
              <w:t>单价</w:t>
            </w:r>
          </w:p>
        </w:tc>
        <w:tc>
          <w:tcPr>
            <w:tcW w:w="667" w:type="dxa"/>
            <w:vAlign w:val="top"/>
          </w:tcPr>
          <w:p w14:paraId="44685D84">
            <w:pPr>
              <w:pStyle w:val="6"/>
              <w:spacing w:before="194" w:line="218" w:lineRule="auto"/>
              <w:ind w:left="120"/>
              <w:rPr>
                <w:sz w:val="21"/>
                <w:szCs w:val="21"/>
              </w:rPr>
            </w:pPr>
            <w:r>
              <w:rPr>
                <w:b/>
                <w:bCs/>
                <w:spacing w:val="1"/>
                <w:sz w:val="21"/>
                <w:szCs w:val="21"/>
              </w:rPr>
              <w:t>合价</w:t>
            </w:r>
          </w:p>
        </w:tc>
      </w:tr>
      <w:tr w14:paraId="4B532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637" w:type="dxa"/>
            <w:vAlign w:val="top"/>
          </w:tcPr>
          <w:p w14:paraId="7A2C3AD0">
            <w:pPr>
              <w:rPr>
                <w:rFonts w:ascii="Arial"/>
                <w:sz w:val="21"/>
              </w:rPr>
            </w:pPr>
          </w:p>
        </w:tc>
        <w:tc>
          <w:tcPr>
            <w:tcW w:w="690" w:type="dxa"/>
            <w:vAlign w:val="top"/>
          </w:tcPr>
          <w:p w14:paraId="5B36E4CF">
            <w:pPr>
              <w:rPr>
                <w:rFonts w:ascii="Arial"/>
                <w:sz w:val="21"/>
              </w:rPr>
            </w:pPr>
          </w:p>
        </w:tc>
        <w:tc>
          <w:tcPr>
            <w:tcW w:w="1199" w:type="dxa"/>
            <w:vAlign w:val="top"/>
          </w:tcPr>
          <w:p w14:paraId="48D893E2">
            <w:pPr>
              <w:rPr>
                <w:rFonts w:ascii="Arial"/>
                <w:sz w:val="21"/>
              </w:rPr>
            </w:pPr>
          </w:p>
        </w:tc>
        <w:tc>
          <w:tcPr>
            <w:tcW w:w="2444" w:type="dxa"/>
            <w:vAlign w:val="top"/>
          </w:tcPr>
          <w:p w14:paraId="6F97AE76">
            <w:pPr>
              <w:rPr>
                <w:rFonts w:ascii="Arial"/>
                <w:sz w:val="21"/>
              </w:rPr>
            </w:pPr>
          </w:p>
        </w:tc>
        <w:tc>
          <w:tcPr>
            <w:tcW w:w="870" w:type="dxa"/>
            <w:vAlign w:val="top"/>
          </w:tcPr>
          <w:p w14:paraId="0833822F">
            <w:pPr>
              <w:rPr>
                <w:rFonts w:ascii="Arial"/>
                <w:sz w:val="21"/>
              </w:rPr>
            </w:pPr>
          </w:p>
        </w:tc>
        <w:tc>
          <w:tcPr>
            <w:tcW w:w="689" w:type="dxa"/>
            <w:vAlign w:val="top"/>
          </w:tcPr>
          <w:p w14:paraId="3085013A">
            <w:pPr>
              <w:rPr>
                <w:rFonts w:ascii="Arial"/>
                <w:sz w:val="21"/>
              </w:rPr>
            </w:pPr>
          </w:p>
        </w:tc>
        <w:tc>
          <w:tcPr>
            <w:tcW w:w="1034" w:type="dxa"/>
            <w:vAlign w:val="top"/>
          </w:tcPr>
          <w:p w14:paraId="6D0F516E">
            <w:pPr>
              <w:rPr>
                <w:rFonts w:ascii="Arial"/>
                <w:sz w:val="21"/>
              </w:rPr>
            </w:pPr>
          </w:p>
        </w:tc>
        <w:tc>
          <w:tcPr>
            <w:tcW w:w="667" w:type="dxa"/>
            <w:vAlign w:val="top"/>
          </w:tcPr>
          <w:p w14:paraId="5F51E5D9">
            <w:pPr>
              <w:rPr>
                <w:rFonts w:ascii="Arial"/>
                <w:sz w:val="21"/>
              </w:rPr>
            </w:pPr>
          </w:p>
        </w:tc>
      </w:tr>
      <w:tr w14:paraId="3AD59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2927FFC8">
            <w:pPr>
              <w:rPr>
                <w:rFonts w:ascii="Arial"/>
                <w:sz w:val="21"/>
              </w:rPr>
            </w:pPr>
          </w:p>
        </w:tc>
        <w:tc>
          <w:tcPr>
            <w:tcW w:w="690" w:type="dxa"/>
            <w:vAlign w:val="top"/>
          </w:tcPr>
          <w:p w14:paraId="3F810734">
            <w:pPr>
              <w:rPr>
                <w:rFonts w:ascii="Arial"/>
                <w:sz w:val="21"/>
              </w:rPr>
            </w:pPr>
          </w:p>
        </w:tc>
        <w:tc>
          <w:tcPr>
            <w:tcW w:w="1199" w:type="dxa"/>
            <w:vAlign w:val="top"/>
          </w:tcPr>
          <w:p w14:paraId="7FC5FDD4">
            <w:pPr>
              <w:rPr>
                <w:rFonts w:ascii="Arial"/>
                <w:sz w:val="21"/>
              </w:rPr>
            </w:pPr>
          </w:p>
        </w:tc>
        <w:tc>
          <w:tcPr>
            <w:tcW w:w="2444" w:type="dxa"/>
            <w:vAlign w:val="top"/>
          </w:tcPr>
          <w:p w14:paraId="43C231CD">
            <w:pPr>
              <w:rPr>
                <w:rFonts w:ascii="Arial"/>
                <w:sz w:val="21"/>
              </w:rPr>
            </w:pPr>
          </w:p>
        </w:tc>
        <w:tc>
          <w:tcPr>
            <w:tcW w:w="870" w:type="dxa"/>
            <w:vAlign w:val="top"/>
          </w:tcPr>
          <w:p w14:paraId="3D2DDDA2">
            <w:pPr>
              <w:rPr>
                <w:rFonts w:ascii="Arial"/>
                <w:sz w:val="21"/>
              </w:rPr>
            </w:pPr>
          </w:p>
        </w:tc>
        <w:tc>
          <w:tcPr>
            <w:tcW w:w="689" w:type="dxa"/>
            <w:vAlign w:val="top"/>
          </w:tcPr>
          <w:p w14:paraId="06204FB5">
            <w:pPr>
              <w:rPr>
                <w:rFonts w:ascii="Arial"/>
                <w:sz w:val="21"/>
              </w:rPr>
            </w:pPr>
          </w:p>
        </w:tc>
        <w:tc>
          <w:tcPr>
            <w:tcW w:w="1034" w:type="dxa"/>
            <w:vAlign w:val="top"/>
          </w:tcPr>
          <w:p w14:paraId="1726B581">
            <w:pPr>
              <w:rPr>
                <w:rFonts w:ascii="Arial"/>
                <w:sz w:val="21"/>
              </w:rPr>
            </w:pPr>
          </w:p>
        </w:tc>
        <w:tc>
          <w:tcPr>
            <w:tcW w:w="667" w:type="dxa"/>
            <w:vAlign w:val="top"/>
          </w:tcPr>
          <w:p w14:paraId="3D53FAC1">
            <w:pPr>
              <w:rPr>
                <w:rFonts w:ascii="Arial"/>
                <w:sz w:val="21"/>
              </w:rPr>
            </w:pPr>
          </w:p>
        </w:tc>
      </w:tr>
      <w:tr w14:paraId="23995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7" w:type="dxa"/>
            <w:vAlign w:val="top"/>
          </w:tcPr>
          <w:p w14:paraId="7721CB21">
            <w:pPr>
              <w:rPr>
                <w:rFonts w:ascii="Arial"/>
                <w:sz w:val="21"/>
              </w:rPr>
            </w:pPr>
          </w:p>
        </w:tc>
        <w:tc>
          <w:tcPr>
            <w:tcW w:w="690" w:type="dxa"/>
            <w:vAlign w:val="top"/>
          </w:tcPr>
          <w:p w14:paraId="39674136">
            <w:pPr>
              <w:rPr>
                <w:rFonts w:ascii="Arial"/>
                <w:sz w:val="21"/>
              </w:rPr>
            </w:pPr>
          </w:p>
        </w:tc>
        <w:tc>
          <w:tcPr>
            <w:tcW w:w="1199" w:type="dxa"/>
            <w:vAlign w:val="top"/>
          </w:tcPr>
          <w:p w14:paraId="44CE6624">
            <w:pPr>
              <w:rPr>
                <w:rFonts w:ascii="Arial"/>
                <w:sz w:val="21"/>
              </w:rPr>
            </w:pPr>
          </w:p>
        </w:tc>
        <w:tc>
          <w:tcPr>
            <w:tcW w:w="2444" w:type="dxa"/>
            <w:vAlign w:val="top"/>
          </w:tcPr>
          <w:p w14:paraId="7CFB5F43">
            <w:pPr>
              <w:rPr>
                <w:rFonts w:ascii="Arial"/>
                <w:sz w:val="21"/>
              </w:rPr>
            </w:pPr>
          </w:p>
        </w:tc>
        <w:tc>
          <w:tcPr>
            <w:tcW w:w="870" w:type="dxa"/>
            <w:vAlign w:val="top"/>
          </w:tcPr>
          <w:p w14:paraId="400E1955">
            <w:pPr>
              <w:rPr>
                <w:rFonts w:ascii="Arial"/>
                <w:sz w:val="21"/>
              </w:rPr>
            </w:pPr>
          </w:p>
        </w:tc>
        <w:tc>
          <w:tcPr>
            <w:tcW w:w="689" w:type="dxa"/>
            <w:vAlign w:val="top"/>
          </w:tcPr>
          <w:p w14:paraId="75E6D6B2">
            <w:pPr>
              <w:rPr>
                <w:rFonts w:ascii="Arial"/>
                <w:sz w:val="21"/>
              </w:rPr>
            </w:pPr>
          </w:p>
        </w:tc>
        <w:tc>
          <w:tcPr>
            <w:tcW w:w="1034" w:type="dxa"/>
            <w:vAlign w:val="top"/>
          </w:tcPr>
          <w:p w14:paraId="29CD3EC0">
            <w:pPr>
              <w:rPr>
                <w:rFonts w:ascii="Arial"/>
                <w:sz w:val="21"/>
              </w:rPr>
            </w:pPr>
          </w:p>
        </w:tc>
        <w:tc>
          <w:tcPr>
            <w:tcW w:w="667" w:type="dxa"/>
            <w:vAlign w:val="top"/>
          </w:tcPr>
          <w:p w14:paraId="0A8F3CAE">
            <w:pPr>
              <w:rPr>
                <w:rFonts w:ascii="Arial"/>
                <w:sz w:val="21"/>
              </w:rPr>
            </w:pPr>
          </w:p>
        </w:tc>
      </w:tr>
      <w:tr w14:paraId="3D34D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637" w:type="dxa"/>
            <w:vAlign w:val="top"/>
          </w:tcPr>
          <w:p w14:paraId="30B8B982">
            <w:pPr>
              <w:rPr>
                <w:rFonts w:ascii="Arial"/>
                <w:sz w:val="21"/>
              </w:rPr>
            </w:pPr>
          </w:p>
        </w:tc>
        <w:tc>
          <w:tcPr>
            <w:tcW w:w="690" w:type="dxa"/>
            <w:vAlign w:val="top"/>
          </w:tcPr>
          <w:p w14:paraId="01209067">
            <w:pPr>
              <w:rPr>
                <w:rFonts w:ascii="Arial"/>
                <w:sz w:val="21"/>
              </w:rPr>
            </w:pPr>
          </w:p>
        </w:tc>
        <w:tc>
          <w:tcPr>
            <w:tcW w:w="1199" w:type="dxa"/>
            <w:vAlign w:val="top"/>
          </w:tcPr>
          <w:p w14:paraId="66EA6BA7">
            <w:pPr>
              <w:rPr>
                <w:rFonts w:ascii="Arial"/>
                <w:sz w:val="21"/>
              </w:rPr>
            </w:pPr>
          </w:p>
        </w:tc>
        <w:tc>
          <w:tcPr>
            <w:tcW w:w="2444" w:type="dxa"/>
            <w:vAlign w:val="top"/>
          </w:tcPr>
          <w:p w14:paraId="1F2E2D35">
            <w:pPr>
              <w:rPr>
                <w:rFonts w:ascii="Arial"/>
                <w:sz w:val="21"/>
              </w:rPr>
            </w:pPr>
          </w:p>
        </w:tc>
        <w:tc>
          <w:tcPr>
            <w:tcW w:w="870" w:type="dxa"/>
            <w:vAlign w:val="top"/>
          </w:tcPr>
          <w:p w14:paraId="02BA853F">
            <w:pPr>
              <w:rPr>
                <w:rFonts w:ascii="Arial"/>
                <w:sz w:val="21"/>
              </w:rPr>
            </w:pPr>
          </w:p>
        </w:tc>
        <w:tc>
          <w:tcPr>
            <w:tcW w:w="689" w:type="dxa"/>
            <w:vAlign w:val="top"/>
          </w:tcPr>
          <w:p w14:paraId="3BAB9B5A">
            <w:pPr>
              <w:rPr>
                <w:rFonts w:ascii="Arial"/>
                <w:sz w:val="21"/>
              </w:rPr>
            </w:pPr>
          </w:p>
        </w:tc>
        <w:tc>
          <w:tcPr>
            <w:tcW w:w="1034" w:type="dxa"/>
            <w:vAlign w:val="top"/>
          </w:tcPr>
          <w:p w14:paraId="59DCB7A8">
            <w:pPr>
              <w:rPr>
                <w:rFonts w:ascii="Arial"/>
                <w:sz w:val="21"/>
              </w:rPr>
            </w:pPr>
          </w:p>
        </w:tc>
        <w:tc>
          <w:tcPr>
            <w:tcW w:w="667" w:type="dxa"/>
            <w:vAlign w:val="top"/>
          </w:tcPr>
          <w:p w14:paraId="2127AE91">
            <w:pPr>
              <w:rPr>
                <w:rFonts w:ascii="Arial"/>
                <w:sz w:val="21"/>
              </w:rPr>
            </w:pPr>
          </w:p>
        </w:tc>
      </w:tr>
      <w:tr w14:paraId="47999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7" w:type="dxa"/>
            <w:vAlign w:val="top"/>
          </w:tcPr>
          <w:p w14:paraId="69BE49C5">
            <w:pPr>
              <w:rPr>
                <w:rFonts w:ascii="Arial"/>
                <w:sz w:val="21"/>
              </w:rPr>
            </w:pPr>
          </w:p>
        </w:tc>
        <w:tc>
          <w:tcPr>
            <w:tcW w:w="690" w:type="dxa"/>
            <w:vAlign w:val="top"/>
          </w:tcPr>
          <w:p w14:paraId="7D74ED1B">
            <w:pPr>
              <w:rPr>
                <w:rFonts w:ascii="Arial"/>
                <w:sz w:val="21"/>
              </w:rPr>
            </w:pPr>
          </w:p>
        </w:tc>
        <w:tc>
          <w:tcPr>
            <w:tcW w:w="1199" w:type="dxa"/>
            <w:vAlign w:val="top"/>
          </w:tcPr>
          <w:p w14:paraId="10D0948E">
            <w:pPr>
              <w:rPr>
                <w:rFonts w:ascii="Arial"/>
                <w:sz w:val="21"/>
              </w:rPr>
            </w:pPr>
          </w:p>
        </w:tc>
        <w:tc>
          <w:tcPr>
            <w:tcW w:w="2444" w:type="dxa"/>
            <w:vAlign w:val="top"/>
          </w:tcPr>
          <w:p w14:paraId="51920E4C">
            <w:pPr>
              <w:rPr>
                <w:rFonts w:ascii="Arial"/>
                <w:sz w:val="21"/>
              </w:rPr>
            </w:pPr>
          </w:p>
        </w:tc>
        <w:tc>
          <w:tcPr>
            <w:tcW w:w="870" w:type="dxa"/>
            <w:vAlign w:val="top"/>
          </w:tcPr>
          <w:p w14:paraId="5E287C9A">
            <w:pPr>
              <w:rPr>
                <w:rFonts w:ascii="Arial"/>
                <w:sz w:val="21"/>
              </w:rPr>
            </w:pPr>
          </w:p>
        </w:tc>
        <w:tc>
          <w:tcPr>
            <w:tcW w:w="689" w:type="dxa"/>
            <w:vAlign w:val="top"/>
          </w:tcPr>
          <w:p w14:paraId="6AEC92B8">
            <w:pPr>
              <w:rPr>
                <w:rFonts w:ascii="Arial"/>
                <w:sz w:val="21"/>
              </w:rPr>
            </w:pPr>
          </w:p>
        </w:tc>
        <w:tc>
          <w:tcPr>
            <w:tcW w:w="1034" w:type="dxa"/>
            <w:vAlign w:val="top"/>
          </w:tcPr>
          <w:p w14:paraId="722132A9">
            <w:pPr>
              <w:rPr>
                <w:rFonts w:ascii="Arial"/>
                <w:sz w:val="21"/>
              </w:rPr>
            </w:pPr>
          </w:p>
        </w:tc>
        <w:tc>
          <w:tcPr>
            <w:tcW w:w="667" w:type="dxa"/>
            <w:vAlign w:val="top"/>
          </w:tcPr>
          <w:p w14:paraId="6123D4D4">
            <w:pPr>
              <w:rPr>
                <w:rFonts w:ascii="Arial"/>
                <w:sz w:val="21"/>
              </w:rPr>
            </w:pPr>
          </w:p>
        </w:tc>
      </w:tr>
      <w:tr w14:paraId="03A04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637" w:type="dxa"/>
            <w:vAlign w:val="top"/>
          </w:tcPr>
          <w:p w14:paraId="0C6894C9">
            <w:pPr>
              <w:rPr>
                <w:rFonts w:ascii="Arial"/>
                <w:sz w:val="21"/>
              </w:rPr>
            </w:pPr>
          </w:p>
        </w:tc>
        <w:tc>
          <w:tcPr>
            <w:tcW w:w="690" w:type="dxa"/>
            <w:vAlign w:val="top"/>
          </w:tcPr>
          <w:p w14:paraId="6891711C">
            <w:pPr>
              <w:rPr>
                <w:rFonts w:ascii="Arial"/>
                <w:sz w:val="21"/>
              </w:rPr>
            </w:pPr>
          </w:p>
        </w:tc>
        <w:tc>
          <w:tcPr>
            <w:tcW w:w="1199" w:type="dxa"/>
            <w:vAlign w:val="top"/>
          </w:tcPr>
          <w:p w14:paraId="389E95EC">
            <w:pPr>
              <w:rPr>
                <w:rFonts w:ascii="Arial"/>
                <w:sz w:val="21"/>
              </w:rPr>
            </w:pPr>
          </w:p>
        </w:tc>
        <w:tc>
          <w:tcPr>
            <w:tcW w:w="2444" w:type="dxa"/>
            <w:vAlign w:val="top"/>
          </w:tcPr>
          <w:p w14:paraId="0BE6E4C7">
            <w:pPr>
              <w:rPr>
                <w:rFonts w:ascii="Arial"/>
                <w:sz w:val="21"/>
              </w:rPr>
            </w:pPr>
          </w:p>
        </w:tc>
        <w:tc>
          <w:tcPr>
            <w:tcW w:w="870" w:type="dxa"/>
            <w:vAlign w:val="top"/>
          </w:tcPr>
          <w:p w14:paraId="2D7CFFBC">
            <w:pPr>
              <w:rPr>
                <w:rFonts w:ascii="Arial"/>
                <w:sz w:val="21"/>
              </w:rPr>
            </w:pPr>
          </w:p>
        </w:tc>
        <w:tc>
          <w:tcPr>
            <w:tcW w:w="689" w:type="dxa"/>
            <w:vAlign w:val="top"/>
          </w:tcPr>
          <w:p w14:paraId="31B8BEE3">
            <w:pPr>
              <w:rPr>
                <w:rFonts w:ascii="Arial"/>
                <w:sz w:val="21"/>
              </w:rPr>
            </w:pPr>
          </w:p>
        </w:tc>
        <w:tc>
          <w:tcPr>
            <w:tcW w:w="1034" w:type="dxa"/>
            <w:vAlign w:val="top"/>
          </w:tcPr>
          <w:p w14:paraId="544BE795">
            <w:pPr>
              <w:rPr>
                <w:rFonts w:ascii="Arial"/>
                <w:sz w:val="21"/>
              </w:rPr>
            </w:pPr>
          </w:p>
        </w:tc>
        <w:tc>
          <w:tcPr>
            <w:tcW w:w="667" w:type="dxa"/>
            <w:vAlign w:val="top"/>
          </w:tcPr>
          <w:p w14:paraId="42FD8ECA">
            <w:pPr>
              <w:rPr>
                <w:rFonts w:ascii="Arial"/>
                <w:sz w:val="21"/>
              </w:rPr>
            </w:pPr>
          </w:p>
        </w:tc>
      </w:tr>
      <w:tr w14:paraId="647C3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7" w:type="dxa"/>
            <w:vAlign w:val="top"/>
          </w:tcPr>
          <w:p w14:paraId="2087884E">
            <w:pPr>
              <w:rPr>
                <w:rFonts w:ascii="Arial"/>
                <w:sz w:val="21"/>
              </w:rPr>
            </w:pPr>
          </w:p>
        </w:tc>
        <w:tc>
          <w:tcPr>
            <w:tcW w:w="690" w:type="dxa"/>
            <w:vAlign w:val="top"/>
          </w:tcPr>
          <w:p w14:paraId="2BD05558">
            <w:pPr>
              <w:rPr>
                <w:rFonts w:ascii="Arial"/>
                <w:sz w:val="21"/>
              </w:rPr>
            </w:pPr>
          </w:p>
        </w:tc>
        <w:tc>
          <w:tcPr>
            <w:tcW w:w="1199" w:type="dxa"/>
            <w:vAlign w:val="top"/>
          </w:tcPr>
          <w:p w14:paraId="5E0C4271">
            <w:pPr>
              <w:rPr>
                <w:rFonts w:ascii="Arial"/>
                <w:sz w:val="21"/>
              </w:rPr>
            </w:pPr>
          </w:p>
        </w:tc>
        <w:tc>
          <w:tcPr>
            <w:tcW w:w="2444" w:type="dxa"/>
            <w:vAlign w:val="top"/>
          </w:tcPr>
          <w:p w14:paraId="23FFB954">
            <w:pPr>
              <w:rPr>
                <w:rFonts w:ascii="Arial"/>
                <w:sz w:val="21"/>
              </w:rPr>
            </w:pPr>
          </w:p>
        </w:tc>
        <w:tc>
          <w:tcPr>
            <w:tcW w:w="870" w:type="dxa"/>
            <w:vAlign w:val="top"/>
          </w:tcPr>
          <w:p w14:paraId="5406411C">
            <w:pPr>
              <w:rPr>
                <w:rFonts w:ascii="Arial"/>
                <w:sz w:val="21"/>
              </w:rPr>
            </w:pPr>
          </w:p>
        </w:tc>
        <w:tc>
          <w:tcPr>
            <w:tcW w:w="689" w:type="dxa"/>
            <w:vAlign w:val="top"/>
          </w:tcPr>
          <w:p w14:paraId="2389C8E0">
            <w:pPr>
              <w:rPr>
                <w:rFonts w:ascii="Arial"/>
                <w:sz w:val="21"/>
              </w:rPr>
            </w:pPr>
          </w:p>
        </w:tc>
        <w:tc>
          <w:tcPr>
            <w:tcW w:w="1034" w:type="dxa"/>
            <w:vAlign w:val="top"/>
          </w:tcPr>
          <w:p w14:paraId="07B08653">
            <w:pPr>
              <w:rPr>
                <w:rFonts w:ascii="Arial"/>
                <w:sz w:val="21"/>
              </w:rPr>
            </w:pPr>
          </w:p>
        </w:tc>
        <w:tc>
          <w:tcPr>
            <w:tcW w:w="667" w:type="dxa"/>
            <w:vAlign w:val="top"/>
          </w:tcPr>
          <w:p w14:paraId="640912C5">
            <w:pPr>
              <w:rPr>
                <w:rFonts w:ascii="Arial"/>
                <w:sz w:val="21"/>
              </w:rPr>
            </w:pPr>
          </w:p>
        </w:tc>
      </w:tr>
      <w:tr w14:paraId="4FC1B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637" w:type="dxa"/>
            <w:vAlign w:val="top"/>
          </w:tcPr>
          <w:p w14:paraId="573C59E7">
            <w:pPr>
              <w:rPr>
                <w:rFonts w:ascii="Arial"/>
                <w:sz w:val="21"/>
              </w:rPr>
            </w:pPr>
          </w:p>
        </w:tc>
        <w:tc>
          <w:tcPr>
            <w:tcW w:w="690" w:type="dxa"/>
            <w:vAlign w:val="top"/>
          </w:tcPr>
          <w:p w14:paraId="33D96EF2">
            <w:pPr>
              <w:rPr>
                <w:rFonts w:ascii="Arial"/>
                <w:sz w:val="21"/>
              </w:rPr>
            </w:pPr>
          </w:p>
        </w:tc>
        <w:tc>
          <w:tcPr>
            <w:tcW w:w="1199" w:type="dxa"/>
            <w:vAlign w:val="top"/>
          </w:tcPr>
          <w:p w14:paraId="425272BB">
            <w:pPr>
              <w:rPr>
                <w:rFonts w:ascii="Arial"/>
                <w:sz w:val="21"/>
              </w:rPr>
            </w:pPr>
          </w:p>
        </w:tc>
        <w:tc>
          <w:tcPr>
            <w:tcW w:w="2444" w:type="dxa"/>
            <w:vAlign w:val="top"/>
          </w:tcPr>
          <w:p w14:paraId="6330CB6D">
            <w:pPr>
              <w:rPr>
                <w:rFonts w:ascii="Arial"/>
                <w:sz w:val="21"/>
              </w:rPr>
            </w:pPr>
          </w:p>
        </w:tc>
        <w:tc>
          <w:tcPr>
            <w:tcW w:w="870" w:type="dxa"/>
            <w:vAlign w:val="top"/>
          </w:tcPr>
          <w:p w14:paraId="61598BF5">
            <w:pPr>
              <w:rPr>
                <w:rFonts w:ascii="Arial"/>
                <w:sz w:val="21"/>
              </w:rPr>
            </w:pPr>
          </w:p>
        </w:tc>
        <w:tc>
          <w:tcPr>
            <w:tcW w:w="689" w:type="dxa"/>
            <w:vAlign w:val="top"/>
          </w:tcPr>
          <w:p w14:paraId="2552A63F">
            <w:pPr>
              <w:rPr>
                <w:rFonts w:ascii="Arial"/>
                <w:sz w:val="21"/>
              </w:rPr>
            </w:pPr>
          </w:p>
        </w:tc>
        <w:tc>
          <w:tcPr>
            <w:tcW w:w="1034" w:type="dxa"/>
            <w:vAlign w:val="top"/>
          </w:tcPr>
          <w:p w14:paraId="3ABE4E9D">
            <w:pPr>
              <w:rPr>
                <w:rFonts w:ascii="Arial"/>
                <w:sz w:val="21"/>
              </w:rPr>
            </w:pPr>
          </w:p>
        </w:tc>
        <w:tc>
          <w:tcPr>
            <w:tcW w:w="667" w:type="dxa"/>
            <w:vAlign w:val="top"/>
          </w:tcPr>
          <w:p w14:paraId="51F8B968">
            <w:pPr>
              <w:rPr>
                <w:rFonts w:ascii="Arial"/>
                <w:sz w:val="21"/>
              </w:rPr>
            </w:pPr>
          </w:p>
        </w:tc>
      </w:tr>
      <w:tr w14:paraId="6985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7" w:type="dxa"/>
            <w:vAlign w:val="top"/>
          </w:tcPr>
          <w:p w14:paraId="68DB5024">
            <w:pPr>
              <w:rPr>
                <w:rFonts w:ascii="Arial"/>
                <w:sz w:val="21"/>
              </w:rPr>
            </w:pPr>
          </w:p>
        </w:tc>
        <w:tc>
          <w:tcPr>
            <w:tcW w:w="690" w:type="dxa"/>
            <w:vAlign w:val="top"/>
          </w:tcPr>
          <w:p w14:paraId="13F37FC8">
            <w:pPr>
              <w:rPr>
                <w:rFonts w:ascii="Arial"/>
                <w:sz w:val="21"/>
              </w:rPr>
            </w:pPr>
          </w:p>
        </w:tc>
        <w:tc>
          <w:tcPr>
            <w:tcW w:w="1199" w:type="dxa"/>
            <w:vAlign w:val="top"/>
          </w:tcPr>
          <w:p w14:paraId="1AABC05F">
            <w:pPr>
              <w:rPr>
                <w:rFonts w:ascii="Arial"/>
                <w:sz w:val="21"/>
              </w:rPr>
            </w:pPr>
          </w:p>
        </w:tc>
        <w:tc>
          <w:tcPr>
            <w:tcW w:w="2444" w:type="dxa"/>
            <w:vAlign w:val="top"/>
          </w:tcPr>
          <w:p w14:paraId="2B01E232">
            <w:pPr>
              <w:rPr>
                <w:rFonts w:ascii="Arial"/>
                <w:sz w:val="21"/>
              </w:rPr>
            </w:pPr>
          </w:p>
        </w:tc>
        <w:tc>
          <w:tcPr>
            <w:tcW w:w="870" w:type="dxa"/>
            <w:vAlign w:val="top"/>
          </w:tcPr>
          <w:p w14:paraId="1E915F5F">
            <w:pPr>
              <w:rPr>
                <w:rFonts w:ascii="Arial"/>
                <w:sz w:val="21"/>
              </w:rPr>
            </w:pPr>
          </w:p>
        </w:tc>
        <w:tc>
          <w:tcPr>
            <w:tcW w:w="689" w:type="dxa"/>
            <w:vAlign w:val="top"/>
          </w:tcPr>
          <w:p w14:paraId="26DE13BE">
            <w:pPr>
              <w:rPr>
                <w:rFonts w:ascii="Arial"/>
                <w:sz w:val="21"/>
              </w:rPr>
            </w:pPr>
          </w:p>
        </w:tc>
        <w:tc>
          <w:tcPr>
            <w:tcW w:w="1034" w:type="dxa"/>
            <w:vAlign w:val="top"/>
          </w:tcPr>
          <w:p w14:paraId="444C57B4">
            <w:pPr>
              <w:rPr>
                <w:rFonts w:ascii="Arial"/>
                <w:sz w:val="21"/>
              </w:rPr>
            </w:pPr>
          </w:p>
        </w:tc>
        <w:tc>
          <w:tcPr>
            <w:tcW w:w="667" w:type="dxa"/>
            <w:vAlign w:val="top"/>
          </w:tcPr>
          <w:p w14:paraId="097B378C">
            <w:pPr>
              <w:rPr>
                <w:rFonts w:ascii="Arial"/>
                <w:sz w:val="21"/>
              </w:rPr>
            </w:pPr>
          </w:p>
        </w:tc>
      </w:tr>
      <w:tr w14:paraId="13576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6A837433">
            <w:pPr>
              <w:rPr>
                <w:rFonts w:ascii="Arial"/>
                <w:sz w:val="21"/>
              </w:rPr>
            </w:pPr>
          </w:p>
        </w:tc>
        <w:tc>
          <w:tcPr>
            <w:tcW w:w="690" w:type="dxa"/>
            <w:vAlign w:val="top"/>
          </w:tcPr>
          <w:p w14:paraId="1E3CD0C4">
            <w:pPr>
              <w:rPr>
                <w:rFonts w:ascii="Arial"/>
                <w:sz w:val="21"/>
              </w:rPr>
            </w:pPr>
          </w:p>
        </w:tc>
        <w:tc>
          <w:tcPr>
            <w:tcW w:w="1199" w:type="dxa"/>
            <w:vAlign w:val="top"/>
          </w:tcPr>
          <w:p w14:paraId="2F84E829">
            <w:pPr>
              <w:rPr>
                <w:rFonts w:ascii="Arial"/>
                <w:sz w:val="21"/>
              </w:rPr>
            </w:pPr>
          </w:p>
        </w:tc>
        <w:tc>
          <w:tcPr>
            <w:tcW w:w="2444" w:type="dxa"/>
            <w:vAlign w:val="top"/>
          </w:tcPr>
          <w:p w14:paraId="72D8B344">
            <w:pPr>
              <w:rPr>
                <w:rFonts w:ascii="Arial"/>
                <w:sz w:val="21"/>
              </w:rPr>
            </w:pPr>
          </w:p>
        </w:tc>
        <w:tc>
          <w:tcPr>
            <w:tcW w:w="870" w:type="dxa"/>
            <w:vAlign w:val="top"/>
          </w:tcPr>
          <w:p w14:paraId="7371941D">
            <w:pPr>
              <w:rPr>
                <w:rFonts w:ascii="Arial"/>
                <w:sz w:val="21"/>
              </w:rPr>
            </w:pPr>
          </w:p>
        </w:tc>
        <w:tc>
          <w:tcPr>
            <w:tcW w:w="689" w:type="dxa"/>
            <w:vAlign w:val="top"/>
          </w:tcPr>
          <w:p w14:paraId="542518E2">
            <w:pPr>
              <w:rPr>
                <w:rFonts w:ascii="Arial"/>
                <w:sz w:val="21"/>
              </w:rPr>
            </w:pPr>
          </w:p>
        </w:tc>
        <w:tc>
          <w:tcPr>
            <w:tcW w:w="1034" w:type="dxa"/>
            <w:vAlign w:val="top"/>
          </w:tcPr>
          <w:p w14:paraId="7CDA20F7">
            <w:pPr>
              <w:rPr>
                <w:rFonts w:ascii="Arial"/>
                <w:sz w:val="21"/>
              </w:rPr>
            </w:pPr>
          </w:p>
        </w:tc>
        <w:tc>
          <w:tcPr>
            <w:tcW w:w="667" w:type="dxa"/>
            <w:vAlign w:val="top"/>
          </w:tcPr>
          <w:p w14:paraId="0E11E23E">
            <w:pPr>
              <w:rPr>
                <w:rFonts w:ascii="Arial"/>
                <w:sz w:val="21"/>
              </w:rPr>
            </w:pPr>
          </w:p>
        </w:tc>
      </w:tr>
      <w:tr w14:paraId="031DE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637" w:type="dxa"/>
            <w:vAlign w:val="top"/>
          </w:tcPr>
          <w:p w14:paraId="397FBD0D">
            <w:pPr>
              <w:rPr>
                <w:rFonts w:ascii="Arial"/>
                <w:sz w:val="21"/>
              </w:rPr>
            </w:pPr>
          </w:p>
        </w:tc>
        <w:tc>
          <w:tcPr>
            <w:tcW w:w="690" w:type="dxa"/>
            <w:vAlign w:val="top"/>
          </w:tcPr>
          <w:p w14:paraId="440D0742">
            <w:pPr>
              <w:rPr>
                <w:rFonts w:ascii="Arial"/>
                <w:sz w:val="21"/>
              </w:rPr>
            </w:pPr>
          </w:p>
        </w:tc>
        <w:tc>
          <w:tcPr>
            <w:tcW w:w="1199" w:type="dxa"/>
            <w:vAlign w:val="top"/>
          </w:tcPr>
          <w:p w14:paraId="5C5CFB69">
            <w:pPr>
              <w:rPr>
                <w:rFonts w:ascii="Arial"/>
                <w:sz w:val="21"/>
              </w:rPr>
            </w:pPr>
          </w:p>
        </w:tc>
        <w:tc>
          <w:tcPr>
            <w:tcW w:w="2444" w:type="dxa"/>
            <w:vAlign w:val="top"/>
          </w:tcPr>
          <w:p w14:paraId="7E91BC01">
            <w:pPr>
              <w:rPr>
                <w:rFonts w:ascii="Arial"/>
                <w:sz w:val="21"/>
              </w:rPr>
            </w:pPr>
          </w:p>
        </w:tc>
        <w:tc>
          <w:tcPr>
            <w:tcW w:w="870" w:type="dxa"/>
            <w:vAlign w:val="top"/>
          </w:tcPr>
          <w:p w14:paraId="43D5110C">
            <w:pPr>
              <w:rPr>
                <w:rFonts w:ascii="Arial"/>
                <w:sz w:val="21"/>
              </w:rPr>
            </w:pPr>
          </w:p>
        </w:tc>
        <w:tc>
          <w:tcPr>
            <w:tcW w:w="689" w:type="dxa"/>
            <w:vAlign w:val="top"/>
          </w:tcPr>
          <w:p w14:paraId="430979CE">
            <w:pPr>
              <w:rPr>
                <w:rFonts w:ascii="Arial"/>
                <w:sz w:val="21"/>
              </w:rPr>
            </w:pPr>
          </w:p>
        </w:tc>
        <w:tc>
          <w:tcPr>
            <w:tcW w:w="1034" w:type="dxa"/>
            <w:vAlign w:val="top"/>
          </w:tcPr>
          <w:p w14:paraId="0FAEBADD">
            <w:pPr>
              <w:rPr>
                <w:rFonts w:ascii="Arial"/>
                <w:sz w:val="21"/>
              </w:rPr>
            </w:pPr>
          </w:p>
        </w:tc>
        <w:tc>
          <w:tcPr>
            <w:tcW w:w="667" w:type="dxa"/>
            <w:vAlign w:val="top"/>
          </w:tcPr>
          <w:p w14:paraId="2A471BE8">
            <w:pPr>
              <w:rPr>
                <w:rFonts w:ascii="Arial"/>
                <w:sz w:val="21"/>
              </w:rPr>
            </w:pPr>
          </w:p>
        </w:tc>
      </w:tr>
      <w:tr w14:paraId="2B87E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063C53FD">
            <w:pPr>
              <w:rPr>
                <w:rFonts w:ascii="Arial"/>
                <w:sz w:val="21"/>
              </w:rPr>
            </w:pPr>
          </w:p>
        </w:tc>
        <w:tc>
          <w:tcPr>
            <w:tcW w:w="690" w:type="dxa"/>
            <w:vAlign w:val="top"/>
          </w:tcPr>
          <w:p w14:paraId="046CCCB7">
            <w:pPr>
              <w:rPr>
                <w:rFonts w:ascii="Arial"/>
                <w:sz w:val="21"/>
              </w:rPr>
            </w:pPr>
          </w:p>
        </w:tc>
        <w:tc>
          <w:tcPr>
            <w:tcW w:w="1199" w:type="dxa"/>
            <w:vAlign w:val="top"/>
          </w:tcPr>
          <w:p w14:paraId="65D3874F">
            <w:pPr>
              <w:rPr>
                <w:rFonts w:ascii="Arial"/>
                <w:sz w:val="21"/>
              </w:rPr>
            </w:pPr>
          </w:p>
        </w:tc>
        <w:tc>
          <w:tcPr>
            <w:tcW w:w="2444" w:type="dxa"/>
            <w:vAlign w:val="top"/>
          </w:tcPr>
          <w:p w14:paraId="37034426">
            <w:pPr>
              <w:rPr>
                <w:rFonts w:ascii="Arial"/>
                <w:sz w:val="21"/>
              </w:rPr>
            </w:pPr>
          </w:p>
        </w:tc>
        <w:tc>
          <w:tcPr>
            <w:tcW w:w="870" w:type="dxa"/>
            <w:vAlign w:val="top"/>
          </w:tcPr>
          <w:p w14:paraId="0259ECCB">
            <w:pPr>
              <w:rPr>
                <w:rFonts w:ascii="Arial"/>
                <w:sz w:val="21"/>
              </w:rPr>
            </w:pPr>
          </w:p>
        </w:tc>
        <w:tc>
          <w:tcPr>
            <w:tcW w:w="689" w:type="dxa"/>
            <w:vAlign w:val="top"/>
          </w:tcPr>
          <w:p w14:paraId="7A47D772">
            <w:pPr>
              <w:rPr>
                <w:rFonts w:ascii="Arial"/>
                <w:sz w:val="21"/>
              </w:rPr>
            </w:pPr>
          </w:p>
        </w:tc>
        <w:tc>
          <w:tcPr>
            <w:tcW w:w="1034" w:type="dxa"/>
            <w:vAlign w:val="top"/>
          </w:tcPr>
          <w:p w14:paraId="57870F24">
            <w:pPr>
              <w:rPr>
                <w:rFonts w:ascii="Arial"/>
                <w:sz w:val="21"/>
              </w:rPr>
            </w:pPr>
          </w:p>
        </w:tc>
        <w:tc>
          <w:tcPr>
            <w:tcW w:w="667" w:type="dxa"/>
            <w:vAlign w:val="top"/>
          </w:tcPr>
          <w:p w14:paraId="1E673DE7">
            <w:pPr>
              <w:rPr>
                <w:rFonts w:ascii="Arial"/>
                <w:sz w:val="21"/>
              </w:rPr>
            </w:pPr>
          </w:p>
        </w:tc>
      </w:tr>
      <w:tr w14:paraId="16B32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637" w:type="dxa"/>
            <w:vAlign w:val="top"/>
          </w:tcPr>
          <w:p w14:paraId="22789D43">
            <w:pPr>
              <w:rPr>
                <w:rFonts w:ascii="Arial"/>
                <w:sz w:val="21"/>
              </w:rPr>
            </w:pPr>
          </w:p>
        </w:tc>
        <w:tc>
          <w:tcPr>
            <w:tcW w:w="690" w:type="dxa"/>
            <w:vAlign w:val="top"/>
          </w:tcPr>
          <w:p w14:paraId="35E68DB0">
            <w:pPr>
              <w:rPr>
                <w:rFonts w:ascii="Arial"/>
                <w:sz w:val="21"/>
              </w:rPr>
            </w:pPr>
          </w:p>
        </w:tc>
        <w:tc>
          <w:tcPr>
            <w:tcW w:w="1199" w:type="dxa"/>
            <w:vAlign w:val="top"/>
          </w:tcPr>
          <w:p w14:paraId="1D9BE643">
            <w:pPr>
              <w:rPr>
                <w:rFonts w:ascii="Arial"/>
                <w:sz w:val="21"/>
              </w:rPr>
            </w:pPr>
          </w:p>
        </w:tc>
        <w:tc>
          <w:tcPr>
            <w:tcW w:w="2444" w:type="dxa"/>
            <w:vAlign w:val="top"/>
          </w:tcPr>
          <w:p w14:paraId="7286B5E6">
            <w:pPr>
              <w:rPr>
                <w:rFonts w:ascii="Arial"/>
                <w:sz w:val="21"/>
              </w:rPr>
            </w:pPr>
          </w:p>
        </w:tc>
        <w:tc>
          <w:tcPr>
            <w:tcW w:w="870" w:type="dxa"/>
            <w:vAlign w:val="top"/>
          </w:tcPr>
          <w:p w14:paraId="163AB2E9">
            <w:pPr>
              <w:rPr>
                <w:rFonts w:ascii="Arial"/>
                <w:sz w:val="21"/>
              </w:rPr>
            </w:pPr>
          </w:p>
        </w:tc>
        <w:tc>
          <w:tcPr>
            <w:tcW w:w="689" w:type="dxa"/>
            <w:vAlign w:val="top"/>
          </w:tcPr>
          <w:p w14:paraId="7A549527">
            <w:pPr>
              <w:rPr>
                <w:rFonts w:ascii="Arial"/>
                <w:sz w:val="21"/>
              </w:rPr>
            </w:pPr>
          </w:p>
        </w:tc>
        <w:tc>
          <w:tcPr>
            <w:tcW w:w="1034" w:type="dxa"/>
            <w:vAlign w:val="top"/>
          </w:tcPr>
          <w:p w14:paraId="7F914CDE">
            <w:pPr>
              <w:rPr>
                <w:rFonts w:ascii="Arial"/>
                <w:sz w:val="21"/>
              </w:rPr>
            </w:pPr>
          </w:p>
        </w:tc>
        <w:tc>
          <w:tcPr>
            <w:tcW w:w="667" w:type="dxa"/>
            <w:vAlign w:val="top"/>
          </w:tcPr>
          <w:p w14:paraId="23F2C793">
            <w:pPr>
              <w:rPr>
                <w:rFonts w:ascii="Arial"/>
                <w:sz w:val="21"/>
              </w:rPr>
            </w:pPr>
          </w:p>
        </w:tc>
      </w:tr>
      <w:tr w14:paraId="3EE68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5165B8BE">
            <w:pPr>
              <w:rPr>
                <w:rFonts w:ascii="Arial"/>
                <w:sz w:val="21"/>
              </w:rPr>
            </w:pPr>
          </w:p>
        </w:tc>
        <w:tc>
          <w:tcPr>
            <w:tcW w:w="690" w:type="dxa"/>
            <w:vAlign w:val="top"/>
          </w:tcPr>
          <w:p w14:paraId="4E0B0F37">
            <w:pPr>
              <w:rPr>
                <w:rFonts w:ascii="Arial"/>
                <w:sz w:val="21"/>
              </w:rPr>
            </w:pPr>
          </w:p>
        </w:tc>
        <w:tc>
          <w:tcPr>
            <w:tcW w:w="1199" w:type="dxa"/>
            <w:vAlign w:val="top"/>
          </w:tcPr>
          <w:p w14:paraId="709198B2">
            <w:pPr>
              <w:rPr>
                <w:rFonts w:ascii="Arial"/>
                <w:sz w:val="21"/>
              </w:rPr>
            </w:pPr>
          </w:p>
        </w:tc>
        <w:tc>
          <w:tcPr>
            <w:tcW w:w="2444" w:type="dxa"/>
            <w:vAlign w:val="top"/>
          </w:tcPr>
          <w:p w14:paraId="44B9A4BA">
            <w:pPr>
              <w:rPr>
                <w:rFonts w:ascii="Arial"/>
                <w:sz w:val="21"/>
              </w:rPr>
            </w:pPr>
          </w:p>
        </w:tc>
        <w:tc>
          <w:tcPr>
            <w:tcW w:w="870" w:type="dxa"/>
            <w:vAlign w:val="top"/>
          </w:tcPr>
          <w:p w14:paraId="2EDF32C3">
            <w:pPr>
              <w:rPr>
                <w:rFonts w:ascii="Arial"/>
                <w:sz w:val="21"/>
              </w:rPr>
            </w:pPr>
          </w:p>
        </w:tc>
        <w:tc>
          <w:tcPr>
            <w:tcW w:w="689" w:type="dxa"/>
            <w:vAlign w:val="top"/>
          </w:tcPr>
          <w:p w14:paraId="7EF74F6B">
            <w:pPr>
              <w:rPr>
                <w:rFonts w:ascii="Arial"/>
                <w:sz w:val="21"/>
              </w:rPr>
            </w:pPr>
          </w:p>
        </w:tc>
        <w:tc>
          <w:tcPr>
            <w:tcW w:w="1034" w:type="dxa"/>
            <w:vAlign w:val="top"/>
          </w:tcPr>
          <w:p w14:paraId="78A87D64">
            <w:pPr>
              <w:rPr>
                <w:rFonts w:ascii="Arial"/>
                <w:sz w:val="21"/>
              </w:rPr>
            </w:pPr>
          </w:p>
        </w:tc>
        <w:tc>
          <w:tcPr>
            <w:tcW w:w="667" w:type="dxa"/>
            <w:vAlign w:val="top"/>
          </w:tcPr>
          <w:p w14:paraId="043D13B3">
            <w:pPr>
              <w:rPr>
                <w:rFonts w:ascii="Arial"/>
                <w:sz w:val="21"/>
              </w:rPr>
            </w:pPr>
          </w:p>
        </w:tc>
      </w:tr>
      <w:tr w14:paraId="5CA8C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7" w:type="dxa"/>
            <w:vAlign w:val="top"/>
          </w:tcPr>
          <w:p w14:paraId="394AB106">
            <w:pPr>
              <w:rPr>
                <w:rFonts w:ascii="Arial"/>
                <w:sz w:val="21"/>
              </w:rPr>
            </w:pPr>
          </w:p>
        </w:tc>
        <w:tc>
          <w:tcPr>
            <w:tcW w:w="690" w:type="dxa"/>
            <w:vAlign w:val="top"/>
          </w:tcPr>
          <w:p w14:paraId="5652A26B">
            <w:pPr>
              <w:rPr>
                <w:rFonts w:ascii="Arial"/>
                <w:sz w:val="21"/>
              </w:rPr>
            </w:pPr>
          </w:p>
        </w:tc>
        <w:tc>
          <w:tcPr>
            <w:tcW w:w="1199" w:type="dxa"/>
            <w:vAlign w:val="top"/>
          </w:tcPr>
          <w:p w14:paraId="04894D94">
            <w:pPr>
              <w:rPr>
                <w:rFonts w:ascii="Arial"/>
                <w:sz w:val="21"/>
              </w:rPr>
            </w:pPr>
          </w:p>
        </w:tc>
        <w:tc>
          <w:tcPr>
            <w:tcW w:w="2444" w:type="dxa"/>
            <w:vAlign w:val="top"/>
          </w:tcPr>
          <w:p w14:paraId="513E2C10">
            <w:pPr>
              <w:rPr>
                <w:rFonts w:ascii="Arial"/>
                <w:sz w:val="21"/>
              </w:rPr>
            </w:pPr>
          </w:p>
        </w:tc>
        <w:tc>
          <w:tcPr>
            <w:tcW w:w="870" w:type="dxa"/>
            <w:vAlign w:val="top"/>
          </w:tcPr>
          <w:p w14:paraId="6F9879E0">
            <w:pPr>
              <w:rPr>
                <w:rFonts w:ascii="Arial"/>
                <w:sz w:val="21"/>
              </w:rPr>
            </w:pPr>
          </w:p>
        </w:tc>
        <w:tc>
          <w:tcPr>
            <w:tcW w:w="689" w:type="dxa"/>
            <w:vAlign w:val="top"/>
          </w:tcPr>
          <w:p w14:paraId="339A0DBB">
            <w:pPr>
              <w:rPr>
                <w:rFonts w:ascii="Arial"/>
                <w:sz w:val="21"/>
              </w:rPr>
            </w:pPr>
          </w:p>
        </w:tc>
        <w:tc>
          <w:tcPr>
            <w:tcW w:w="1034" w:type="dxa"/>
            <w:vAlign w:val="top"/>
          </w:tcPr>
          <w:p w14:paraId="7CE314A6">
            <w:pPr>
              <w:rPr>
                <w:rFonts w:ascii="Arial"/>
                <w:sz w:val="21"/>
              </w:rPr>
            </w:pPr>
          </w:p>
        </w:tc>
        <w:tc>
          <w:tcPr>
            <w:tcW w:w="667" w:type="dxa"/>
            <w:vAlign w:val="top"/>
          </w:tcPr>
          <w:p w14:paraId="0E1FF25B">
            <w:pPr>
              <w:rPr>
                <w:rFonts w:ascii="Arial"/>
                <w:sz w:val="21"/>
              </w:rPr>
            </w:pPr>
          </w:p>
        </w:tc>
      </w:tr>
      <w:tr w14:paraId="0283A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4676A230">
            <w:pPr>
              <w:rPr>
                <w:rFonts w:ascii="Arial"/>
                <w:sz w:val="21"/>
              </w:rPr>
            </w:pPr>
          </w:p>
        </w:tc>
        <w:tc>
          <w:tcPr>
            <w:tcW w:w="690" w:type="dxa"/>
            <w:vAlign w:val="top"/>
          </w:tcPr>
          <w:p w14:paraId="6DFECBDB">
            <w:pPr>
              <w:rPr>
                <w:rFonts w:ascii="Arial"/>
                <w:sz w:val="21"/>
              </w:rPr>
            </w:pPr>
          </w:p>
        </w:tc>
        <w:tc>
          <w:tcPr>
            <w:tcW w:w="1199" w:type="dxa"/>
            <w:vAlign w:val="top"/>
          </w:tcPr>
          <w:p w14:paraId="16085BB4">
            <w:pPr>
              <w:rPr>
                <w:rFonts w:ascii="Arial"/>
                <w:sz w:val="21"/>
              </w:rPr>
            </w:pPr>
          </w:p>
        </w:tc>
        <w:tc>
          <w:tcPr>
            <w:tcW w:w="2444" w:type="dxa"/>
            <w:vAlign w:val="top"/>
          </w:tcPr>
          <w:p w14:paraId="4578B066">
            <w:pPr>
              <w:rPr>
                <w:rFonts w:ascii="Arial"/>
                <w:sz w:val="21"/>
              </w:rPr>
            </w:pPr>
          </w:p>
        </w:tc>
        <w:tc>
          <w:tcPr>
            <w:tcW w:w="870" w:type="dxa"/>
            <w:vAlign w:val="top"/>
          </w:tcPr>
          <w:p w14:paraId="2188F516">
            <w:pPr>
              <w:rPr>
                <w:rFonts w:ascii="Arial"/>
                <w:sz w:val="21"/>
              </w:rPr>
            </w:pPr>
          </w:p>
        </w:tc>
        <w:tc>
          <w:tcPr>
            <w:tcW w:w="689" w:type="dxa"/>
            <w:vAlign w:val="top"/>
          </w:tcPr>
          <w:p w14:paraId="6B18278E">
            <w:pPr>
              <w:rPr>
                <w:rFonts w:ascii="Arial"/>
                <w:sz w:val="21"/>
              </w:rPr>
            </w:pPr>
          </w:p>
        </w:tc>
        <w:tc>
          <w:tcPr>
            <w:tcW w:w="1034" w:type="dxa"/>
            <w:vAlign w:val="top"/>
          </w:tcPr>
          <w:p w14:paraId="2A4FC438">
            <w:pPr>
              <w:rPr>
                <w:rFonts w:ascii="Arial"/>
                <w:sz w:val="21"/>
              </w:rPr>
            </w:pPr>
          </w:p>
        </w:tc>
        <w:tc>
          <w:tcPr>
            <w:tcW w:w="667" w:type="dxa"/>
            <w:vAlign w:val="top"/>
          </w:tcPr>
          <w:p w14:paraId="3654AB53">
            <w:pPr>
              <w:rPr>
                <w:rFonts w:ascii="Arial"/>
                <w:sz w:val="21"/>
              </w:rPr>
            </w:pPr>
          </w:p>
        </w:tc>
      </w:tr>
      <w:tr w14:paraId="4272A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7B9479A2">
            <w:pPr>
              <w:rPr>
                <w:rFonts w:ascii="Arial"/>
                <w:sz w:val="21"/>
              </w:rPr>
            </w:pPr>
          </w:p>
        </w:tc>
        <w:tc>
          <w:tcPr>
            <w:tcW w:w="690" w:type="dxa"/>
            <w:vAlign w:val="top"/>
          </w:tcPr>
          <w:p w14:paraId="65DEC642">
            <w:pPr>
              <w:rPr>
                <w:rFonts w:ascii="Arial"/>
                <w:sz w:val="21"/>
              </w:rPr>
            </w:pPr>
          </w:p>
        </w:tc>
        <w:tc>
          <w:tcPr>
            <w:tcW w:w="1199" w:type="dxa"/>
            <w:vAlign w:val="top"/>
          </w:tcPr>
          <w:p w14:paraId="27B7DAD8">
            <w:pPr>
              <w:rPr>
                <w:rFonts w:ascii="Arial"/>
                <w:sz w:val="21"/>
              </w:rPr>
            </w:pPr>
          </w:p>
        </w:tc>
        <w:tc>
          <w:tcPr>
            <w:tcW w:w="2444" w:type="dxa"/>
            <w:vAlign w:val="top"/>
          </w:tcPr>
          <w:p w14:paraId="7F6DF9A1">
            <w:pPr>
              <w:rPr>
                <w:rFonts w:ascii="Arial"/>
                <w:sz w:val="21"/>
              </w:rPr>
            </w:pPr>
          </w:p>
        </w:tc>
        <w:tc>
          <w:tcPr>
            <w:tcW w:w="870" w:type="dxa"/>
            <w:vAlign w:val="top"/>
          </w:tcPr>
          <w:p w14:paraId="69E0A39D">
            <w:pPr>
              <w:rPr>
                <w:rFonts w:ascii="Arial"/>
                <w:sz w:val="21"/>
              </w:rPr>
            </w:pPr>
          </w:p>
        </w:tc>
        <w:tc>
          <w:tcPr>
            <w:tcW w:w="689" w:type="dxa"/>
            <w:vAlign w:val="top"/>
          </w:tcPr>
          <w:p w14:paraId="27B21AA1">
            <w:pPr>
              <w:rPr>
                <w:rFonts w:ascii="Arial"/>
                <w:sz w:val="21"/>
              </w:rPr>
            </w:pPr>
          </w:p>
        </w:tc>
        <w:tc>
          <w:tcPr>
            <w:tcW w:w="1034" w:type="dxa"/>
            <w:vAlign w:val="top"/>
          </w:tcPr>
          <w:p w14:paraId="52FAF5E7">
            <w:pPr>
              <w:rPr>
                <w:rFonts w:ascii="Arial"/>
                <w:sz w:val="21"/>
              </w:rPr>
            </w:pPr>
          </w:p>
        </w:tc>
        <w:tc>
          <w:tcPr>
            <w:tcW w:w="667" w:type="dxa"/>
            <w:vAlign w:val="top"/>
          </w:tcPr>
          <w:p w14:paraId="43CCF585">
            <w:pPr>
              <w:rPr>
                <w:rFonts w:ascii="Arial"/>
                <w:sz w:val="21"/>
              </w:rPr>
            </w:pPr>
          </w:p>
        </w:tc>
      </w:tr>
      <w:tr w14:paraId="623C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637" w:type="dxa"/>
            <w:vAlign w:val="top"/>
          </w:tcPr>
          <w:p w14:paraId="0FB2F5CE">
            <w:pPr>
              <w:rPr>
                <w:rFonts w:ascii="Arial"/>
                <w:sz w:val="21"/>
              </w:rPr>
            </w:pPr>
          </w:p>
        </w:tc>
        <w:tc>
          <w:tcPr>
            <w:tcW w:w="690" w:type="dxa"/>
            <w:vAlign w:val="top"/>
          </w:tcPr>
          <w:p w14:paraId="71E438B7">
            <w:pPr>
              <w:rPr>
                <w:rFonts w:ascii="Arial"/>
                <w:sz w:val="21"/>
              </w:rPr>
            </w:pPr>
          </w:p>
        </w:tc>
        <w:tc>
          <w:tcPr>
            <w:tcW w:w="1199" w:type="dxa"/>
            <w:vAlign w:val="top"/>
          </w:tcPr>
          <w:p w14:paraId="68A9B58A">
            <w:pPr>
              <w:rPr>
                <w:rFonts w:ascii="Arial"/>
                <w:sz w:val="21"/>
              </w:rPr>
            </w:pPr>
          </w:p>
        </w:tc>
        <w:tc>
          <w:tcPr>
            <w:tcW w:w="2444" w:type="dxa"/>
            <w:vAlign w:val="top"/>
          </w:tcPr>
          <w:p w14:paraId="39C5B843">
            <w:pPr>
              <w:rPr>
                <w:rFonts w:ascii="Arial"/>
                <w:sz w:val="21"/>
              </w:rPr>
            </w:pPr>
          </w:p>
        </w:tc>
        <w:tc>
          <w:tcPr>
            <w:tcW w:w="870" w:type="dxa"/>
            <w:vAlign w:val="top"/>
          </w:tcPr>
          <w:p w14:paraId="7C937941">
            <w:pPr>
              <w:rPr>
                <w:rFonts w:ascii="Arial"/>
                <w:sz w:val="21"/>
              </w:rPr>
            </w:pPr>
          </w:p>
        </w:tc>
        <w:tc>
          <w:tcPr>
            <w:tcW w:w="689" w:type="dxa"/>
            <w:vAlign w:val="top"/>
          </w:tcPr>
          <w:p w14:paraId="62D06FB1">
            <w:pPr>
              <w:rPr>
                <w:rFonts w:ascii="Arial"/>
                <w:sz w:val="21"/>
              </w:rPr>
            </w:pPr>
          </w:p>
        </w:tc>
        <w:tc>
          <w:tcPr>
            <w:tcW w:w="1034" w:type="dxa"/>
            <w:vAlign w:val="top"/>
          </w:tcPr>
          <w:p w14:paraId="15B70DA3">
            <w:pPr>
              <w:rPr>
                <w:rFonts w:ascii="Arial"/>
                <w:sz w:val="21"/>
              </w:rPr>
            </w:pPr>
          </w:p>
        </w:tc>
        <w:tc>
          <w:tcPr>
            <w:tcW w:w="667" w:type="dxa"/>
            <w:vAlign w:val="top"/>
          </w:tcPr>
          <w:p w14:paraId="2B922A14">
            <w:pPr>
              <w:rPr>
                <w:rFonts w:ascii="Arial"/>
                <w:sz w:val="21"/>
              </w:rPr>
            </w:pPr>
          </w:p>
        </w:tc>
      </w:tr>
      <w:tr w14:paraId="71CED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4B995C95">
            <w:pPr>
              <w:rPr>
                <w:rFonts w:ascii="Arial"/>
                <w:sz w:val="21"/>
              </w:rPr>
            </w:pPr>
          </w:p>
        </w:tc>
        <w:tc>
          <w:tcPr>
            <w:tcW w:w="690" w:type="dxa"/>
            <w:vAlign w:val="top"/>
          </w:tcPr>
          <w:p w14:paraId="13F5B369">
            <w:pPr>
              <w:rPr>
                <w:rFonts w:ascii="Arial"/>
                <w:sz w:val="21"/>
              </w:rPr>
            </w:pPr>
          </w:p>
        </w:tc>
        <w:tc>
          <w:tcPr>
            <w:tcW w:w="1199" w:type="dxa"/>
            <w:vAlign w:val="top"/>
          </w:tcPr>
          <w:p w14:paraId="05769353">
            <w:pPr>
              <w:rPr>
                <w:rFonts w:ascii="Arial"/>
                <w:sz w:val="21"/>
              </w:rPr>
            </w:pPr>
          </w:p>
        </w:tc>
        <w:tc>
          <w:tcPr>
            <w:tcW w:w="2444" w:type="dxa"/>
            <w:vAlign w:val="top"/>
          </w:tcPr>
          <w:p w14:paraId="613D26CD">
            <w:pPr>
              <w:rPr>
                <w:rFonts w:ascii="Arial"/>
                <w:sz w:val="21"/>
              </w:rPr>
            </w:pPr>
          </w:p>
        </w:tc>
        <w:tc>
          <w:tcPr>
            <w:tcW w:w="870" w:type="dxa"/>
            <w:vAlign w:val="top"/>
          </w:tcPr>
          <w:p w14:paraId="5909A3A1">
            <w:pPr>
              <w:rPr>
                <w:rFonts w:ascii="Arial"/>
                <w:sz w:val="21"/>
              </w:rPr>
            </w:pPr>
          </w:p>
        </w:tc>
        <w:tc>
          <w:tcPr>
            <w:tcW w:w="689" w:type="dxa"/>
            <w:vAlign w:val="top"/>
          </w:tcPr>
          <w:p w14:paraId="42EDBEB3">
            <w:pPr>
              <w:rPr>
                <w:rFonts w:ascii="Arial"/>
                <w:sz w:val="21"/>
              </w:rPr>
            </w:pPr>
          </w:p>
        </w:tc>
        <w:tc>
          <w:tcPr>
            <w:tcW w:w="1034" w:type="dxa"/>
            <w:vAlign w:val="top"/>
          </w:tcPr>
          <w:p w14:paraId="77317C62">
            <w:pPr>
              <w:rPr>
                <w:rFonts w:ascii="Arial"/>
                <w:sz w:val="21"/>
              </w:rPr>
            </w:pPr>
          </w:p>
        </w:tc>
        <w:tc>
          <w:tcPr>
            <w:tcW w:w="667" w:type="dxa"/>
            <w:vAlign w:val="top"/>
          </w:tcPr>
          <w:p w14:paraId="1B07E6FB">
            <w:pPr>
              <w:rPr>
                <w:rFonts w:ascii="Arial"/>
                <w:sz w:val="21"/>
              </w:rPr>
            </w:pPr>
          </w:p>
        </w:tc>
      </w:tr>
      <w:tr w14:paraId="19ED7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637" w:type="dxa"/>
            <w:vAlign w:val="top"/>
          </w:tcPr>
          <w:p w14:paraId="10F96C1B">
            <w:pPr>
              <w:rPr>
                <w:rFonts w:ascii="Arial"/>
                <w:sz w:val="21"/>
              </w:rPr>
            </w:pPr>
          </w:p>
        </w:tc>
        <w:tc>
          <w:tcPr>
            <w:tcW w:w="690" w:type="dxa"/>
            <w:vAlign w:val="top"/>
          </w:tcPr>
          <w:p w14:paraId="50EE40C7">
            <w:pPr>
              <w:rPr>
                <w:rFonts w:ascii="Arial"/>
                <w:sz w:val="21"/>
              </w:rPr>
            </w:pPr>
          </w:p>
        </w:tc>
        <w:tc>
          <w:tcPr>
            <w:tcW w:w="1199" w:type="dxa"/>
            <w:vAlign w:val="top"/>
          </w:tcPr>
          <w:p w14:paraId="7C323AA5">
            <w:pPr>
              <w:rPr>
                <w:rFonts w:ascii="Arial"/>
                <w:sz w:val="21"/>
              </w:rPr>
            </w:pPr>
          </w:p>
        </w:tc>
        <w:tc>
          <w:tcPr>
            <w:tcW w:w="2444" w:type="dxa"/>
            <w:vAlign w:val="top"/>
          </w:tcPr>
          <w:p w14:paraId="0FC3768C">
            <w:pPr>
              <w:rPr>
                <w:rFonts w:ascii="Arial"/>
                <w:sz w:val="21"/>
              </w:rPr>
            </w:pPr>
          </w:p>
        </w:tc>
        <w:tc>
          <w:tcPr>
            <w:tcW w:w="870" w:type="dxa"/>
            <w:vAlign w:val="top"/>
          </w:tcPr>
          <w:p w14:paraId="50DC61E3">
            <w:pPr>
              <w:rPr>
                <w:rFonts w:ascii="Arial"/>
                <w:sz w:val="21"/>
              </w:rPr>
            </w:pPr>
          </w:p>
        </w:tc>
        <w:tc>
          <w:tcPr>
            <w:tcW w:w="689" w:type="dxa"/>
            <w:vAlign w:val="top"/>
          </w:tcPr>
          <w:p w14:paraId="2F8E2CDB">
            <w:pPr>
              <w:rPr>
                <w:rFonts w:ascii="Arial"/>
                <w:sz w:val="21"/>
              </w:rPr>
            </w:pPr>
          </w:p>
        </w:tc>
        <w:tc>
          <w:tcPr>
            <w:tcW w:w="1034" w:type="dxa"/>
            <w:vAlign w:val="top"/>
          </w:tcPr>
          <w:p w14:paraId="19BBCCD5">
            <w:pPr>
              <w:rPr>
                <w:rFonts w:ascii="Arial"/>
                <w:sz w:val="21"/>
              </w:rPr>
            </w:pPr>
          </w:p>
        </w:tc>
        <w:tc>
          <w:tcPr>
            <w:tcW w:w="667" w:type="dxa"/>
            <w:vAlign w:val="top"/>
          </w:tcPr>
          <w:p w14:paraId="0CE3EC32">
            <w:pPr>
              <w:rPr>
                <w:rFonts w:ascii="Arial"/>
                <w:sz w:val="21"/>
              </w:rPr>
            </w:pPr>
          </w:p>
        </w:tc>
      </w:tr>
      <w:tr w14:paraId="25BE9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637" w:type="dxa"/>
            <w:vAlign w:val="top"/>
          </w:tcPr>
          <w:p w14:paraId="0C975D54">
            <w:pPr>
              <w:rPr>
                <w:rFonts w:ascii="Arial"/>
                <w:sz w:val="21"/>
              </w:rPr>
            </w:pPr>
          </w:p>
        </w:tc>
        <w:tc>
          <w:tcPr>
            <w:tcW w:w="690" w:type="dxa"/>
            <w:vAlign w:val="top"/>
          </w:tcPr>
          <w:p w14:paraId="7609D180">
            <w:pPr>
              <w:rPr>
                <w:rFonts w:ascii="Arial"/>
                <w:sz w:val="21"/>
              </w:rPr>
            </w:pPr>
          </w:p>
        </w:tc>
        <w:tc>
          <w:tcPr>
            <w:tcW w:w="1199" w:type="dxa"/>
            <w:vAlign w:val="top"/>
          </w:tcPr>
          <w:p w14:paraId="2C54E965">
            <w:pPr>
              <w:rPr>
                <w:rFonts w:ascii="Arial"/>
                <w:sz w:val="21"/>
              </w:rPr>
            </w:pPr>
          </w:p>
        </w:tc>
        <w:tc>
          <w:tcPr>
            <w:tcW w:w="2444" w:type="dxa"/>
            <w:vAlign w:val="top"/>
          </w:tcPr>
          <w:p w14:paraId="605702D7">
            <w:pPr>
              <w:rPr>
                <w:rFonts w:ascii="Arial"/>
                <w:sz w:val="21"/>
              </w:rPr>
            </w:pPr>
          </w:p>
        </w:tc>
        <w:tc>
          <w:tcPr>
            <w:tcW w:w="870" w:type="dxa"/>
            <w:vAlign w:val="top"/>
          </w:tcPr>
          <w:p w14:paraId="734AABB2">
            <w:pPr>
              <w:rPr>
                <w:rFonts w:ascii="Arial"/>
                <w:sz w:val="21"/>
              </w:rPr>
            </w:pPr>
          </w:p>
        </w:tc>
        <w:tc>
          <w:tcPr>
            <w:tcW w:w="689" w:type="dxa"/>
            <w:vAlign w:val="top"/>
          </w:tcPr>
          <w:p w14:paraId="26BF6C58">
            <w:pPr>
              <w:rPr>
                <w:rFonts w:ascii="Arial"/>
                <w:sz w:val="21"/>
              </w:rPr>
            </w:pPr>
          </w:p>
        </w:tc>
        <w:tc>
          <w:tcPr>
            <w:tcW w:w="1034" w:type="dxa"/>
            <w:vAlign w:val="top"/>
          </w:tcPr>
          <w:p w14:paraId="543EFC1E">
            <w:pPr>
              <w:rPr>
                <w:rFonts w:ascii="Arial"/>
                <w:sz w:val="21"/>
              </w:rPr>
            </w:pPr>
          </w:p>
        </w:tc>
        <w:tc>
          <w:tcPr>
            <w:tcW w:w="667" w:type="dxa"/>
            <w:vAlign w:val="top"/>
          </w:tcPr>
          <w:p w14:paraId="4509F3D2">
            <w:pPr>
              <w:rPr>
                <w:rFonts w:ascii="Arial"/>
                <w:sz w:val="21"/>
              </w:rPr>
            </w:pPr>
          </w:p>
        </w:tc>
      </w:tr>
      <w:tr w14:paraId="75B6A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637" w:type="dxa"/>
            <w:vAlign w:val="top"/>
          </w:tcPr>
          <w:p w14:paraId="1AB68760">
            <w:pPr>
              <w:rPr>
                <w:rFonts w:ascii="Arial"/>
                <w:sz w:val="21"/>
              </w:rPr>
            </w:pPr>
          </w:p>
        </w:tc>
        <w:tc>
          <w:tcPr>
            <w:tcW w:w="690" w:type="dxa"/>
            <w:vAlign w:val="top"/>
          </w:tcPr>
          <w:p w14:paraId="3EFC7A40">
            <w:pPr>
              <w:rPr>
                <w:rFonts w:ascii="Arial"/>
                <w:sz w:val="21"/>
              </w:rPr>
            </w:pPr>
          </w:p>
        </w:tc>
        <w:tc>
          <w:tcPr>
            <w:tcW w:w="1199" w:type="dxa"/>
            <w:vAlign w:val="top"/>
          </w:tcPr>
          <w:p w14:paraId="6C6DDFF8">
            <w:pPr>
              <w:rPr>
                <w:rFonts w:ascii="Arial"/>
                <w:sz w:val="21"/>
              </w:rPr>
            </w:pPr>
          </w:p>
        </w:tc>
        <w:tc>
          <w:tcPr>
            <w:tcW w:w="2444" w:type="dxa"/>
            <w:vAlign w:val="top"/>
          </w:tcPr>
          <w:p w14:paraId="76CD57C0">
            <w:pPr>
              <w:rPr>
                <w:rFonts w:ascii="Arial"/>
                <w:sz w:val="21"/>
              </w:rPr>
            </w:pPr>
          </w:p>
        </w:tc>
        <w:tc>
          <w:tcPr>
            <w:tcW w:w="870" w:type="dxa"/>
            <w:vAlign w:val="top"/>
          </w:tcPr>
          <w:p w14:paraId="4E455D35">
            <w:pPr>
              <w:rPr>
                <w:rFonts w:ascii="Arial"/>
                <w:sz w:val="21"/>
              </w:rPr>
            </w:pPr>
          </w:p>
        </w:tc>
        <w:tc>
          <w:tcPr>
            <w:tcW w:w="689" w:type="dxa"/>
            <w:vAlign w:val="top"/>
          </w:tcPr>
          <w:p w14:paraId="10765A94">
            <w:pPr>
              <w:rPr>
                <w:rFonts w:ascii="Arial"/>
                <w:sz w:val="21"/>
              </w:rPr>
            </w:pPr>
          </w:p>
        </w:tc>
        <w:tc>
          <w:tcPr>
            <w:tcW w:w="1034" w:type="dxa"/>
            <w:vAlign w:val="top"/>
          </w:tcPr>
          <w:p w14:paraId="20891984">
            <w:pPr>
              <w:rPr>
                <w:rFonts w:ascii="Arial"/>
                <w:sz w:val="21"/>
              </w:rPr>
            </w:pPr>
          </w:p>
        </w:tc>
        <w:tc>
          <w:tcPr>
            <w:tcW w:w="667" w:type="dxa"/>
            <w:vAlign w:val="top"/>
          </w:tcPr>
          <w:p w14:paraId="13D8FD7C">
            <w:pPr>
              <w:rPr>
                <w:rFonts w:ascii="Arial"/>
                <w:sz w:val="21"/>
              </w:rPr>
            </w:pPr>
          </w:p>
        </w:tc>
      </w:tr>
      <w:tr w14:paraId="2F6F7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8230" w:type="dxa"/>
            <w:gridSpan w:val="8"/>
            <w:vAlign w:val="top"/>
          </w:tcPr>
          <w:p w14:paraId="668AF430">
            <w:pPr>
              <w:pStyle w:val="6"/>
              <w:spacing w:before="37" w:line="218" w:lineRule="auto"/>
              <w:ind w:left="4499"/>
              <w:rPr>
                <w:sz w:val="21"/>
                <w:szCs w:val="21"/>
              </w:rPr>
            </w:pPr>
            <w:r>
              <w:rPr>
                <w:spacing w:val="-2"/>
                <w:sz w:val="21"/>
                <w:szCs w:val="21"/>
              </w:rPr>
              <w:t>本页报价合计：</w:t>
            </w:r>
            <w:r>
              <w:rPr>
                <w:sz w:val="21"/>
                <w:szCs w:val="21"/>
                <w:u w:val="single" w:color="auto"/>
              </w:rPr>
              <w:t xml:space="preserve">                </w:t>
            </w:r>
          </w:p>
        </w:tc>
      </w:tr>
    </w:tbl>
    <w:p w14:paraId="5DE36CD2">
      <w:pPr>
        <w:pStyle w:val="2"/>
        <w:spacing w:line="337" w:lineRule="auto"/>
      </w:pPr>
    </w:p>
    <w:p w14:paraId="5B4CC1B3">
      <w:pPr>
        <w:spacing w:before="91" w:line="238" w:lineRule="auto"/>
        <w:ind w:left="20"/>
        <w:outlineLvl w:val="2"/>
        <w:rPr>
          <w:rFonts w:ascii="黑体" w:hAnsi="黑体" w:eastAsia="黑体" w:cs="黑体"/>
          <w:sz w:val="28"/>
          <w:szCs w:val="28"/>
        </w:rPr>
      </w:pPr>
      <w:bookmarkStart w:id="580" w:name="bookmark536"/>
      <w:bookmarkEnd w:id="580"/>
      <w:r>
        <w:rPr>
          <w:rFonts w:ascii="Times New Roman" w:hAnsi="Times New Roman" w:eastAsia="Times New Roman" w:cs="Times New Roman"/>
          <w:spacing w:val="5"/>
          <w:sz w:val="28"/>
          <w:szCs w:val="28"/>
        </w:rPr>
        <w:t xml:space="preserve">4.2  </w:t>
      </w:r>
      <w:r>
        <w:rPr>
          <w:rFonts w:ascii="黑体" w:hAnsi="黑体" w:eastAsia="黑体" w:cs="黑体"/>
          <w:spacing w:val="5"/>
          <w:sz w:val="28"/>
          <w:szCs w:val="28"/>
        </w:rPr>
        <w:t>计日工表</w:t>
      </w:r>
    </w:p>
    <w:p w14:paraId="705B26FE">
      <w:pPr>
        <w:pStyle w:val="2"/>
        <w:spacing w:line="414" w:lineRule="auto"/>
      </w:pPr>
    </w:p>
    <w:p w14:paraId="289BAFF6">
      <w:pPr>
        <w:spacing w:before="68" w:line="233" w:lineRule="auto"/>
        <w:ind w:left="439"/>
        <w:rPr>
          <w:rFonts w:ascii="宋体" w:hAnsi="宋体" w:eastAsia="宋体" w:cs="宋体"/>
          <w:sz w:val="21"/>
          <w:szCs w:val="21"/>
        </w:rPr>
      </w:pPr>
      <w:r>
        <w:rPr>
          <w:rFonts w:ascii="Times New Roman" w:hAnsi="Times New Roman" w:eastAsia="Times New Roman" w:cs="Times New Roman"/>
          <w:sz w:val="21"/>
          <w:szCs w:val="21"/>
        </w:rPr>
        <w:t>4.2.1</w:t>
      </w:r>
      <w:r>
        <w:rPr>
          <w:rFonts w:ascii="Times New Roman" w:hAnsi="Times New Roman" w:eastAsia="Times New Roman" w:cs="Times New Roman"/>
          <w:spacing w:val="55"/>
          <w:w w:val="101"/>
          <w:sz w:val="21"/>
          <w:szCs w:val="21"/>
        </w:rPr>
        <w:t xml:space="preserve"> </w:t>
      </w:r>
      <w:r>
        <w:rPr>
          <w:rFonts w:ascii="宋体" w:hAnsi="宋体" w:eastAsia="宋体" w:cs="宋体"/>
          <w:sz w:val="21"/>
          <w:szCs w:val="21"/>
        </w:rPr>
        <w:t>劳务</w:t>
      </w:r>
    </w:p>
    <w:p w14:paraId="56F63599">
      <w:pPr>
        <w:spacing w:line="57"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2939"/>
        <w:gridCol w:w="1394"/>
        <w:gridCol w:w="1214"/>
        <w:gridCol w:w="1034"/>
        <w:gridCol w:w="1012"/>
      </w:tblGrid>
      <w:tr w14:paraId="56754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37" w:type="dxa"/>
            <w:textDirection w:val="tbRlV"/>
            <w:vAlign w:val="top"/>
          </w:tcPr>
          <w:p w14:paraId="06C6A89D">
            <w:pPr>
              <w:pStyle w:val="6"/>
              <w:spacing w:before="217" w:line="206" w:lineRule="auto"/>
              <w:ind w:left="44"/>
              <w:rPr>
                <w:sz w:val="21"/>
                <w:szCs w:val="21"/>
              </w:rPr>
            </w:pPr>
            <w:r>
              <w:rPr>
                <w:b/>
                <w:bCs/>
                <w:spacing w:val="-3"/>
                <w:sz w:val="21"/>
                <w:szCs w:val="21"/>
              </w:rPr>
              <w:t>编</w:t>
            </w:r>
            <w:r>
              <w:rPr>
                <w:spacing w:val="-15"/>
                <w:sz w:val="21"/>
                <w:szCs w:val="21"/>
              </w:rPr>
              <w:t xml:space="preserve"> </w:t>
            </w:r>
            <w:r>
              <w:rPr>
                <w:b/>
                <w:bCs/>
                <w:spacing w:val="-3"/>
                <w:sz w:val="21"/>
                <w:szCs w:val="21"/>
              </w:rPr>
              <w:t>号</w:t>
            </w:r>
          </w:p>
        </w:tc>
        <w:tc>
          <w:tcPr>
            <w:tcW w:w="2939" w:type="dxa"/>
            <w:vAlign w:val="top"/>
          </w:tcPr>
          <w:p w14:paraId="1E5CE66C">
            <w:pPr>
              <w:pStyle w:val="6"/>
              <w:spacing w:before="195" w:line="220" w:lineRule="auto"/>
              <w:ind w:left="1024"/>
              <w:rPr>
                <w:sz w:val="21"/>
                <w:szCs w:val="21"/>
              </w:rPr>
            </w:pPr>
            <w:r>
              <w:rPr>
                <w:b/>
                <w:bCs/>
                <w:spacing w:val="7"/>
                <w:sz w:val="21"/>
                <w:szCs w:val="21"/>
              </w:rPr>
              <w:t>子目名称</w:t>
            </w:r>
          </w:p>
        </w:tc>
        <w:tc>
          <w:tcPr>
            <w:tcW w:w="1394" w:type="dxa"/>
            <w:vAlign w:val="top"/>
          </w:tcPr>
          <w:p w14:paraId="25D99C2E">
            <w:pPr>
              <w:pStyle w:val="6"/>
              <w:spacing w:before="195" w:line="220" w:lineRule="auto"/>
              <w:ind w:left="473"/>
              <w:rPr>
                <w:sz w:val="21"/>
                <w:szCs w:val="21"/>
              </w:rPr>
            </w:pPr>
            <w:r>
              <w:rPr>
                <w:b/>
                <w:bCs/>
                <w:sz w:val="21"/>
                <w:szCs w:val="21"/>
              </w:rPr>
              <w:t>单位</w:t>
            </w:r>
          </w:p>
        </w:tc>
        <w:tc>
          <w:tcPr>
            <w:tcW w:w="1214" w:type="dxa"/>
            <w:vAlign w:val="top"/>
          </w:tcPr>
          <w:p w14:paraId="0A7F0771">
            <w:pPr>
              <w:pStyle w:val="6"/>
              <w:spacing w:before="194" w:line="220" w:lineRule="auto"/>
              <w:ind w:left="181"/>
              <w:rPr>
                <w:sz w:val="21"/>
                <w:szCs w:val="21"/>
              </w:rPr>
            </w:pPr>
            <w:r>
              <w:rPr>
                <w:b/>
                <w:bCs/>
                <w:spacing w:val="5"/>
                <w:sz w:val="21"/>
                <w:szCs w:val="21"/>
              </w:rPr>
              <w:t>暂定数量</w:t>
            </w:r>
          </w:p>
        </w:tc>
        <w:tc>
          <w:tcPr>
            <w:tcW w:w="1034" w:type="dxa"/>
            <w:vAlign w:val="top"/>
          </w:tcPr>
          <w:p w14:paraId="614B3609">
            <w:pPr>
              <w:pStyle w:val="6"/>
              <w:spacing w:before="195" w:line="218" w:lineRule="auto"/>
              <w:ind w:left="298"/>
              <w:rPr>
                <w:sz w:val="21"/>
                <w:szCs w:val="21"/>
              </w:rPr>
            </w:pPr>
            <w:r>
              <w:rPr>
                <w:b/>
                <w:bCs/>
                <w:sz w:val="21"/>
                <w:szCs w:val="21"/>
              </w:rPr>
              <w:t>单价</w:t>
            </w:r>
          </w:p>
        </w:tc>
        <w:tc>
          <w:tcPr>
            <w:tcW w:w="1012" w:type="dxa"/>
            <w:vAlign w:val="top"/>
          </w:tcPr>
          <w:p w14:paraId="2BF3A589">
            <w:pPr>
              <w:pStyle w:val="6"/>
              <w:spacing w:before="195" w:line="218" w:lineRule="auto"/>
              <w:ind w:left="285"/>
              <w:rPr>
                <w:sz w:val="21"/>
                <w:szCs w:val="21"/>
              </w:rPr>
            </w:pPr>
            <w:r>
              <w:rPr>
                <w:b/>
                <w:bCs/>
                <w:spacing w:val="1"/>
                <w:sz w:val="21"/>
                <w:szCs w:val="21"/>
              </w:rPr>
              <w:t>合价</w:t>
            </w:r>
          </w:p>
        </w:tc>
      </w:tr>
      <w:tr w14:paraId="01681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637" w:type="dxa"/>
            <w:vAlign w:val="top"/>
          </w:tcPr>
          <w:p w14:paraId="4E8453F0">
            <w:pPr>
              <w:rPr>
                <w:rFonts w:ascii="Arial"/>
                <w:sz w:val="21"/>
              </w:rPr>
            </w:pPr>
          </w:p>
        </w:tc>
        <w:tc>
          <w:tcPr>
            <w:tcW w:w="2939" w:type="dxa"/>
            <w:vAlign w:val="top"/>
          </w:tcPr>
          <w:p w14:paraId="3AA792B3">
            <w:pPr>
              <w:rPr>
                <w:rFonts w:ascii="Arial"/>
                <w:sz w:val="21"/>
              </w:rPr>
            </w:pPr>
          </w:p>
        </w:tc>
        <w:tc>
          <w:tcPr>
            <w:tcW w:w="1394" w:type="dxa"/>
            <w:vAlign w:val="top"/>
          </w:tcPr>
          <w:p w14:paraId="788D28C6">
            <w:pPr>
              <w:rPr>
                <w:rFonts w:ascii="Arial"/>
                <w:sz w:val="21"/>
              </w:rPr>
            </w:pPr>
          </w:p>
        </w:tc>
        <w:tc>
          <w:tcPr>
            <w:tcW w:w="1214" w:type="dxa"/>
            <w:vAlign w:val="top"/>
          </w:tcPr>
          <w:p w14:paraId="10AE0458">
            <w:pPr>
              <w:rPr>
                <w:rFonts w:ascii="Arial"/>
                <w:sz w:val="21"/>
              </w:rPr>
            </w:pPr>
          </w:p>
        </w:tc>
        <w:tc>
          <w:tcPr>
            <w:tcW w:w="1034" w:type="dxa"/>
            <w:vAlign w:val="top"/>
          </w:tcPr>
          <w:p w14:paraId="42E486CA">
            <w:pPr>
              <w:rPr>
                <w:rFonts w:ascii="Arial"/>
                <w:sz w:val="21"/>
              </w:rPr>
            </w:pPr>
          </w:p>
        </w:tc>
        <w:tc>
          <w:tcPr>
            <w:tcW w:w="1012" w:type="dxa"/>
            <w:vAlign w:val="top"/>
          </w:tcPr>
          <w:p w14:paraId="32740A07">
            <w:pPr>
              <w:rPr>
                <w:rFonts w:ascii="Arial"/>
                <w:sz w:val="21"/>
              </w:rPr>
            </w:pPr>
          </w:p>
        </w:tc>
      </w:tr>
      <w:tr w14:paraId="1B6D1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637" w:type="dxa"/>
            <w:vAlign w:val="top"/>
          </w:tcPr>
          <w:p w14:paraId="15C3046D">
            <w:pPr>
              <w:rPr>
                <w:rFonts w:ascii="Arial"/>
                <w:sz w:val="21"/>
              </w:rPr>
            </w:pPr>
          </w:p>
        </w:tc>
        <w:tc>
          <w:tcPr>
            <w:tcW w:w="2939" w:type="dxa"/>
            <w:vAlign w:val="top"/>
          </w:tcPr>
          <w:p w14:paraId="6F471952">
            <w:pPr>
              <w:rPr>
                <w:rFonts w:ascii="Arial"/>
                <w:sz w:val="21"/>
              </w:rPr>
            </w:pPr>
          </w:p>
        </w:tc>
        <w:tc>
          <w:tcPr>
            <w:tcW w:w="1394" w:type="dxa"/>
            <w:vAlign w:val="top"/>
          </w:tcPr>
          <w:p w14:paraId="43E7A14A">
            <w:pPr>
              <w:rPr>
                <w:rFonts w:ascii="Arial"/>
                <w:sz w:val="21"/>
              </w:rPr>
            </w:pPr>
          </w:p>
        </w:tc>
        <w:tc>
          <w:tcPr>
            <w:tcW w:w="1214" w:type="dxa"/>
            <w:vAlign w:val="top"/>
          </w:tcPr>
          <w:p w14:paraId="49DB79FC">
            <w:pPr>
              <w:rPr>
                <w:rFonts w:ascii="Arial"/>
                <w:sz w:val="21"/>
              </w:rPr>
            </w:pPr>
          </w:p>
        </w:tc>
        <w:tc>
          <w:tcPr>
            <w:tcW w:w="1034" w:type="dxa"/>
            <w:vAlign w:val="top"/>
          </w:tcPr>
          <w:p w14:paraId="0EE015A7">
            <w:pPr>
              <w:rPr>
                <w:rFonts w:ascii="Arial"/>
                <w:sz w:val="21"/>
              </w:rPr>
            </w:pPr>
          </w:p>
        </w:tc>
        <w:tc>
          <w:tcPr>
            <w:tcW w:w="1012" w:type="dxa"/>
            <w:vAlign w:val="top"/>
          </w:tcPr>
          <w:p w14:paraId="5875323D">
            <w:pPr>
              <w:rPr>
                <w:rFonts w:ascii="Arial"/>
                <w:sz w:val="21"/>
              </w:rPr>
            </w:pPr>
          </w:p>
        </w:tc>
      </w:tr>
      <w:tr w14:paraId="78CC6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8230" w:type="dxa"/>
            <w:gridSpan w:val="6"/>
            <w:vAlign w:val="top"/>
          </w:tcPr>
          <w:p w14:paraId="610C0266">
            <w:pPr>
              <w:pStyle w:val="6"/>
              <w:spacing w:before="47" w:line="220" w:lineRule="auto"/>
              <w:ind w:left="5194"/>
              <w:rPr>
                <w:sz w:val="21"/>
                <w:szCs w:val="21"/>
              </w:rPr>
            </w:pPr>
            <w:r>
              <w:rPr>
                <w:spacing w:val="-2"/>
                <w:sz w:val="21"/>
                <w:szCs w:val="21"/>
              </w:rPr>
              <w:t xml:space="preserve">劳务小计金额： </w:t>
            </w:r>
            <w:r>
              <w:rPr>
                <w:sz w:val="21"/>
                <w:szCs w:val="21"/>
                <w:u w:val="single" w:color="auto"/>
              </w:rPr>
              <w:t xml:space="preserve">              </w:t>
            </w:r>
          </w:p>
          <w:p w14:paraId="297F8B39">
            <w:pPr>
              <w:pStyle w:val="6"/>
              <w:spacing w:before="65" w:line="215" w:lineRule="auto"/>
              <w:jc w:val="right"/>
              <w:rPr>
                <w:sz w:val="21"/>
                <w:szCs w:val="21"/>
              </w:rPr>
            </w:pPr>
            <w:r>
              <w:rPr>
                <w:spacing w:val="-11"/>
                <w:sz w:val="21"/>
                <w:szCs w:val="21"/>
              </w:rPr>
              <w:t>（计入</w:t>
            </w:r>
            <w:r>
              <w:rPr>
                <w:rFonts w:ascii="Times New Roman" w:hAnsi="Times New Roman" w:eastAsia="Times New Roman" w:cs="Times New Roman"/>
                <w:spacing w:val="-11"/>
                <w:sz w:val="21"/>
                <w:szCs w:val="21"/>
              </w:rPr>
              <w:t>“</w:t>
            </w:r>
            <w:r>
              <w:rPr>
                <w:spacing w:val="-11"/>
                <w:sz w:val="21"/>
                <w:szCs w:val="21"/>
              </w:rPr>
              <w:t>计日工汇总表</w:t>
            </w:r>
            <w:r>
              <w:rPr>
                <w:rFonts w:ascii="Times New Roman" w:hAnsi="Times New Roman" w:eastAsia="Times New Roman" w:cs="Times New Roman"/>
                <w:spacing w:val="-11"/>
                <w:sz w:val="21"/>
                <w:szCs w:val="21"/>
              </w:rPr>
              <w:t>”</w:t>
            </w:r>
            <w:r>
              <w:rPr>
                <w:spacing w:val="-11"/>
                <w:sz w:val="21"/>
                <w:szCs w:val="21"/>
              </w:rPr>
              <w:t>）</w:t>
            </w:r>
          </w:p>
        </w:tc>
      </w:tr>
    </w:tbl>
    <w:p w14:paraId="20D73136">
      <w:pPr>
        <w:spacing w:before="134"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4.2.2</w:t>
      </w:r>
      <w:r>
        <w:rPr>
          <w:rFonts w:ascii="Times New Roman" w:hAnsi="Times New Roman" w:eastAsia="Times New Roman" w:cs="Times New Roman"/>
          <w:spacing w:val="46"/>
          <w:w w:val="101"/>
          <w:sz w:val="21"/>
          <w:szCs w:val="21"/>
        </w:rPr>
        <w:t xml:space="preserve"> </w:t>
      </w:r>
      <w:r>
        <w:rPr>
          <w:rFonts w:ascii="宋体" w:hAnsi="宋体" w:eastAsia="宋体" w:cs="宋体"/>
          <w:spacing w:val="1"/>
          <w:sz w:val="21"/>
          <w:szCs w:val="21"/>
        </w:rPr>
        <w:t>材料</w:t>
      </w:r>
    </w:p>
    <w:p w14:paraId="7E37EDAA">
      <w:pPr>
        <w:spacing w:line="233" w:lineRule="auto"/>
        <w:rPr>
          <w:rFonts w:ascii="宋体" w:hAnsi="宋体" w:eastAsia="宋体" w:cs="宋体"/>
          <w:sz w:val="21"/>
          <w:szCs w:val="21"/>
        </w:rPr>
        <w:sectPr>
          <w:footerReference r:id="rId257" w:type="default"/>
          <w:pgSz w:w="11910" w:h="16845"/>
          <w:pgMar w:top="400" w:right="1786" w:bottom="1110" w:left="1786" w:header="0" w:footer="883" w:gutter="0"/>
          <w:cols w:space="720" w:num="1"/>
        </w:sectPr>
      </w:pPr>
    </w:p>
    <w:p w14:paraId="0137790A">
      <w:pPr>
        <w:spacing w:before="19"/>
      </w:pPr>
    </w:p>
    <w:p w14:paraId="12B572A4">
      <w:pPr>
        <w:spacing w:before="19"/>
      </w:pPr>
    </w:p>
    <w:p w14:paraId="5864D890">
      <w:pPr>
        <w:spacing w:before="19"/>
      </w:pPr>
    </w:p>
    <w:p w14:paraId="6762F670">
      <w:pPr>
        <w:spacing w:before="18"/>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2939"/>
        <w:gridCol w:w="1394"/>
        <w:gridCol w:w="1214"/>
        <w:gridCol w:w="1034"/>
        <w:gridCol w:w="1012"/>
      </w:tblGrid>
      <w:tr w14:paraId="7B74E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37" w:type="dxa"/>
            <w:textDirection w:val="tbRlV"/>
            <w:vAlign w:val="top"/>
          </w:tcPr>
          <w:p w14:paraId="11CE4976">
            <w:pPr>
              <w:pStyle w:val="6"/>
              <w:spacing w:before="217" w:line="206" w:lineRule="auto"/>
              <w:ind w:left="44"/>
              <w:rPr>
                <w:sz w:val="21"/>
                <w:szCs w:val="21"/>
              </w:rPr>
            </w:pPr>
            <w:r>
              <w:rPr>
                <w:b/>
                <w:bCs/>
                <w:spacing w:val="-3"/>
                <w:sz w:val="21"/>
                <w:szCs w:val="21"/>
              </w:rPr>
              <w:t>编</w:t>
            </w:r>
            <w:r>
              <w:rPr>
                <w:spacing w:val="-15"/>
                <w:sz w:val="21"/>
                <w:szCs w:val="21"/>
              </w:rPr>
              <w:t xml:space="preserve"> </w:t>
            </w:r>
            <w:r>
              <w:rPr>
                <w:b/>
                <w:bCs/>
                <w:spacing w:val="-3"/>
                <w:sz w:val="21"/>
                <w:szCs w:val="21"/>
              </w:rPr>
              <w:t>号</w:t>
            </w:r>
          </w:p>
        </w:tc>
        <w:tc>
          <w:tcPr>
            <w:tcW w:w="2939" w:type="dxa"/>
            <w:vAlign w:val="top"/>
          </w:tcPr>
          <w:p w14:paraId="5DD07635">
            <w:pPr>
              <w:pStyle w:val="6"/>
              <w:spacing w:before="194" w:line="220" w:lineRule="auto"/>
              <w:ind w:left="1024"/>
              <w:rPr>
                <w:sz w:val="21"/>
                <w:szCs w:val="21"/>
              </w:rPr>
            </w:pPr>
            <w:r>
              <w:rPr>
                <w:b/>
                <w:bCs/>
                <w:spacing w:val="7"/>
                <w:sz w:val="21"/>
                <w:szCs w:val="21"/>
              </w:rPr>
              <w:t>子目名称</w:t>
            </w:r>
          </w:p>
        </w:tc>
        <w:tc>
          <w:tcPr>
            <w:tcW w:w="1394" w:type="dxa"/>
            <w:vAlign w:val="top"/>
          </w:tcPr>
          <w:p w14:paraId="33B9B6F9">
            <w:pPr>
              <w:pStyle w:val="6"/>
              <w:spacing w:before="194" w:line="220" w:lineRule="auto"/>
              <w:ind w:left="473"/>
              <w:rPr>
                <w:sz w:val="21"/>
                <w:szCs w:val="21"/>
              </w:rPr>
            </w:pPr>
            <w:r>
              <w:rPr>
                <w:b/>
                <w:bCs/>
                <w:sz w:val="21"/>
                <w:szCs w:val="21"/>
              </w:rPr>
              <w:t>单位</w:t>
            </w:r>
          </w:p>
        </w:tc>
        <w:tc>
          <w:tcPr>
            <w:tcW w:w="1214" w:type="dxa"/>
            <w:vAlign w:val="top"/>
          </w:tcPr>
          <w:p w14:paraId="1DECCD46">
            <w:pPr>
              <w:pStyle w:val="6"/>
              <w:spacing w:before="194" w:line="220" w:lineRule="auto"/>
              <w:ind w:left="181"/>
              <w:rPr>
                <w:sz w:val="21"/>
                <w:szCs w:val="21"/>
              </w:rPr>
            </w:pPr>
            <w:r>
              <w:rPr>
                <w:b/>
                <w:bCs/>
                <w:spacing w:val="5"/>
                <w:sz w:val="21"/>
                <w:szCs w:val="21"/>
              </w:rPr>
              <w:t>暂定数量</w:t>
            </w:r>
          </w:p>
        </w:tc>
        <w:tc>
          <w:tcPr>
            <w:tcW w:w="1034" w:type="dxa"/>
            <w:vAlign w:val="top"/>
          </w:tcPr>
          <w:p w14:paraId="2CE8EC9F">
            <w:pPr>
              <w:pStyle w:val="6"/>
              <w:spacing w:before="194" w:line="218" w:lineRule="auto"/>
              <w:ind w:left="298"/>
              <w:rPr>
                <w:sz w:val="21"/>
                <w:szCs w:val="21"/>
              </w:rPr>
            </w:pPr>
            <w:r>
              <w:rPr>
                <w:b/>
                <w:bCs/>
                <w:sz w:val="21"/>
                <w:szCs w:val="21"/>
              </w:rPr>
              <w:t>单价</w:t>
            </w:r>
          </w:p>
        </w:tc>
        <w:tc>
          <w:tcPr>
            <w:tcW w:w="1012" w:type="dxa"/>
            <w:vAlign w:val="top"/>
          </w:tcPr>
          <w:p w14:paraId="2B4E542D">
            <w:pPr>
              <w:pStyle w:val="6"/>
              <w:spacing w:before="194" w:line="218" w:lineRule="auto"/>
              <w:ind w:left="285"/>
              <w:rPr>
                <w:sz w:val="21"/>
                <w:szCs w:val="21"/>
              </w:rPr>
            </w:pPr>
            <w:r>
              <w:rPr>
                <w:b/>
                <w:bCs/>
                <w:spacing w:val="1"/>
                <w:sz w:val="21"/>
                <w:szCs w:val="21"/>
              </w:rPr>
              <w:t>合价</w:t>
            </w:r>
          </w:p>
        </w:tc>
      </w:tr>
      <w:tr w14:paraId="65B28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637" w:type="dxa"/>
            <w:vAlign w:val="top"/>
          </w:tcPr>
          <w:p w14:paraId="7AA5CCB1">
            <w:pPr>
              <w:rPr>
                <w:rFonts w:ascii="Arial"/>
                <w:sz w:val="21"/>
              </w:rPr>
            </w:pPr>
          </w:p>
        </w:tc>
        <w:tc>
          <w:tcPr>
            <w:tcW w:w="2939" w:type="dxa"/>
            <w:vAlign w:val="top"/>
          </w:tcPr>
          <w:p w14:paraId="2E2C1C6C">
            <w:pPr>
              <w:rPr>
                <w:rFonts w:ascii="Arial"/>
                <w:sz w:val="21"/>
              </w:rPr>
            </w:pPr>
          </w:p>
        </w:tc>
        <w:tc>
          <w:tcPr>
            <w:tcW w:w="1394" w:type="dxa"/>
            <w:vAlign w:val="top"/>
          </w:tcPr>
          <w:p w14:paraId="03E3B518">
            <w:pPr>
              <w:rPr>
                <w:rFonts w:ascii="Arial"/>
                <w:sz w:val="21"/>
              </w:rPr>
            </w:pPr>
          </w:p>
        </w:tc>
        <w:tc>
          <w:tcPr>
            <w:tcW w:w="1214" w:type="dxa"/>
            <w:vAlign w:val="top"/>
          </w:tcPr>
          <w:p w14:paraId="4CDF190B">
            <w:pPr>
              <w:rPr>
                <w:rFonts w:ascii="Arial"/>
                <w:sz w:val="21"/>
              </w:rPr>
            </w:pPr>
          </w:p>
        </w:tc>
        <w:tc>
          <w:tcPr>
            <w:tcW w:w="1034" w:type="dxa"/>
            <w:vAlign w:val="top"/>
          </w:tcPr>
          <w:p w14:paraId="68265893">
            <w:pPr>
              <w:rPr>
                <w:rFonts w:ascii="Arial"/>
                <w:sz w:val="21"/>
              </w:rPr>
            </w:pPr>
          </w:p>
        </w:tc>
        <w:tc>
          <w:tcPr>
            <w:tcW w:w="1012" w:type="dxa"/>
            <w:vAlign w:val="top"/>
          </w:tcPr>
          <w:p w14:paraId="2C9D33B8">
            <w:pPr>
              <w:rPr>
                <w:rFonts w:ascii="Arial"/>
                <w:sz w:val="21"/>
              </w:rPr>
            </w:pPr>
          </w:p>
        </w:tc>
      </w:tr>
      <w:tr w14:paraId="01A6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637" w:type="dxa"/>
            <w:vAlign w:val="top"/>
          </w:tcPr>
          <w:p w14:paraId="08E4225C">
            <w:pPr>
              <w:rPr>
                <w:rFonts w:ascii="Arial"/>
                <w:sz w:val="21"/>
              </w:rPr>
            </w:pPr>
          </w:p>
        </w:tc>
        <w:tc>
          <w:tcPr>
            <w:tcW w:w="2939" w:type="dxa"/>
            <w:vAlign w:val="top"/>
          </w:tcPr>
          <w:p w14:paraId="04231FB4">
            <w:pPr>
              <w:rPr>
                <w:rFonts w:ascii="Arial"/>
                <w:sz w:val="21"/>
              </w:rPr>
            </w:pPr>
          </w:p>
        </w:tc>
        <w:tc>
          <w:tcPr>
            <w:tcW w:w="1394" w:type="dxa"/>
            <w:vAlign w:val="top"/>
          </w:tcPr>
          <w:p w14:paraId="6D165F84">
            <w:pPr>
              <w:rPr>
                <w:rFonts w:ascii="Arial"/>
                <w:sz w:val="21"/>
              </w:rPr>
            </w:pPr>
          </w:p>
        </w:tc>
        <w:tc>
          <w:tcPr>
            <w:tcW w:w="1214" w:type="dxa"/>
            <w:vAlign w:val="top"/>
          </w:tcPr>
          <w:p w14:paraId="6D6F717B">
            <w:pPr>
              <w:rPr>
                <w:rFonts w:ascii="Arial"/>
                <w:sz w:val="21"/>
              </w:rPr>
            </w:pPr>
          </w:p>
        </w:tc>
        <w:tc>
          <w:tcPr>
            <w:tcW w:w="1034" w:type="dxa"/>
            <w:vAlign w:val="top"/>
          </w:tcPr>
          <w:p w14:paraId="73022D3B">
            <w:pPr>
              <w:rPr>
                <w:rFonts w:ascii="Arial"/>
                <w:sz w:val="21"/>
              </w:rPr>
            </w:pPr>
          </w:p>
        </w:tc>
        <w:tc>
          <w:tcPr>
            <w:tcW w:w="1012" w:type="dxa"/>
            <w:vAlign w:val="top"/>
          </w:tcPr>
          <w:p w14:paraId="6104791C">
            <w:pPr>
              <w:rPr>
                <w:rFonts w:ascii="Arial"/>
                <w:sz w:val="21"/>
              </w:rPr>
            </w:pPr>
          </w:p>
        </w:tc>
      </w:tr>
      <w:tr w14:paraId="4877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8230" w:type="dxa"/>
            <w:gridSpan w:val="6"/>
            <w:vAlign w:val="top"/>
          </w:tcPr>
          <w:p w14:paraId="4FE5ACED">
            <w:pPr>
              <w:pStyle w:val="6"/>
              <w:spacing w:before="47" w:line="191" w:lineRule="auto"/>
              <w:ind w:left="2651"/>
              <w:rPr>
                <w:sz w:val="21"/>
                <w:szCs w:val="21"/>
              </w:rPr>
            </w:pPr>
            <w:r>
              <w:rPr>
                <w:spacing w:val="-7"/>
                <w:sz w:val="21"/>
                <w:szCs w:val="21"/>
              </w:rPr>
              <w:t>材料小计金额：</w:t>
            </w:r>
          </w:p>
          <w:p w14:paraId="28005BCD">
            <w:pPr>
              <w:spacing w:line="8" w:lineRule="exact"/>
              <w:ind w:left="4219"/>
              <w:rPr>
                <w:rFonts w:ascii="Times New Roman" w:hAnsi="Times New Roman" w:eastAsia="Times New Roman" w:cs="Times New Roman"/>
                <w:sz w:val="21"/>
                <w:szCs w:val="21"/>
              </w:rPr>
            </w:pPr>
            <w:r>
              <w:rPr>
                <w:rFonts w:ascii="Times New Roman" w:hAnsi="Times New Roman" w:eastAsia="Times New Roman" w:cs="Times New Roman"/>
                <w:position w:val="4"/>
                <w:sz w:val="21"/>
                <w:szCs w:val="21"/>
              </w:rPr>
              <w:t>_____________</w:t>
            </w:r>
          </w:p>
          <w:p w14:paraId="5A5D423C">
            <w:pPr>
              <w:pStyle w:val="6"/>
              <w:spacing w:before="90" w:line="215" w:lineRule="auto"/>
              <w:ind w:left="4549"/>
              <w:rPr>
                <w:sz w:val="21"/>
                <w:szCs w:val="21"/>
              </w:rPr>
            </w:pPr>
            <w:r>
              <w:rPr>
                <w:spacing w:val="-2"/>
                <w:sz w:val="21"/>
                <w:szCs w:val="21"/>
              </w:rPr>
              <w:t>（计入</w:t>
            </w:r>
            <w:r>
              <w:rPr>
                <w:rFonts w:ascii="Times New Roman" w:hAnsi="Times New Roman" w:eastAsia="Times New Roman" w:cs="Times New Roman"/>
                <w:spacing w:val="-2"/>
                <w:sz w:val="21"/>
                <w:szCs w:val="21"/>
              </w:rPr>
              <w:t>“</w:t>
            </w:r>
            <w:r>
              <w:rPr>
                <w:spacing w:val="-2"/>
                <w:sz w:val="21"/>
                <w:szCs w:val="21"/>
              </w:rPr>
              <w:t>计日工汇总表</w:t>
            </w:r>
            <w:r>
              <w:rPr>
                <w:rFonts w:ascii="Times New Roman" w:hAnsi="Times New Roman" w:eastAsia="Times New Roman" w:cs="Times New Roman"/>
                <w:spacing w:val="-2"/>
                <w:sz w:val="21"/>
                <w:szCs w:val="21"/>
              </w:rPr>
              <w:t>”</w:t>
            </w:r>
            <w:r>
              <w:rPr>
                <w:spacing w:val="-2"/>
                <w:sz w:val="21"/>
                <w:szCs w:val="21"/>
              </w:rPr>
              <w:t>）</w:t>
            </w:r>
          </w:p>
        </w:tc>
      </w:tr>
    </w:tbl>
    <w:p w14:paraId="780D8B86">
      <w:pPr>
        <w:spacing w:before="134" w:line="233" w:lineRule="auto"/>
        <w:ind w:left="439"/>
        <w:rPr>
          <w:rFonts w:ascii="宋体" w:hAnsi="宋体" w:eastAsia="宋体" w:cs="宋体"/>
          <w:sz w:val="21"/>
          <w:szCs w:val="21"/>
        </w:rPr>
      </w:pPr>
      <w:r>
        <w:rPr>
          <w:rFonts w:ascii="Times New Roman" w:hAnsi="Times New Roman" w:eastAsia="Times New Roman" w:cs="Times New Roman"/>
          <w:sz w:val="21"/>
          <w:szCs w:val="21"/>
        </w:rPr>
        <w:t>4.2.3</w:t>
      </w:r>
      <w:r>
        <w:rPr>
          <w:rFonts w:ascii="Times New Roman" w:hAnsi="Times New Roman" w:eastAsia="Times New Roman" w:cs="Times New Roman"/>
          <w:spacing w:val="51"/>
          <w:w w:val="101"/>
          <w:sz w:val="21"/>
          <w:szCs w:val="21"/>
        </w:rPr>
        <w:t xml:space="preserve"> </w:t>
      </w:r>
      <w:r>
        <w:rPr>
          <w:rFonts w:ascii="宋体" w:hAnsi="宋体" w:eastAsia="宋体" w:cs="宋体"/>
          <w:sz w:val="21"/>
          <w:szCs w:val="21"/>
        </w:rPr>
        <w:t>施工机械</w:t>
      </w:r>
    </w:p>
    <w:p w14:paraId="64BC63C6">
      <w:pPr>
        <w:spacing w:line="60"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7"/>
        <w:gridCol w:w="2939"/>
        <w:gridCol w:w="1394"/>
        <w:gridCol w:w="1214"/>
        <w:gridCol w:w="1034"/>
        <w:gridCol w:w="1012"/>
      </w:tblGrid>
      <w:tr w14:paraId="7CC9D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637" w:type="dxa"/>
            <w:textDirection w:val="tbRlV"/>
            <w:vAlign w:val="top"/>
          </w:tcPr>
          <w:p w14:paraId="5257C321">
            <w:pPr>
              <w:pStyle w:val="6"/>
              <w:spacing w:before="217" w:line="206" w:lineRule="auto"/>
              <w:ind w:left="29"/>
              <w:rPr>
                <w:sz w:val="21"/>
                <w:szCs w:val="21"/>
              </w:rPr>
            </w:pPr>
            <w:r>
              <w:rPr>
                <w:b/>
                <w:bCs/>
                <w:spacing w:val="-2"/>
                <w:sz w:val="21"/>
                <w:szCs w:val="21"/>
              </w:rPr>
              <w:t>编</w:t>
            </w:r>
            <w:r>
              <w:rPr>
                <w:spacing w:val="-2"/>
                <w:sz w:val="21"/>
                <w:szCs w:val="21"/>
              </w:rPr>
              <w:t xml:space="preserve"> </w:t>
            </w:r>
            <w:r>
              <w:rPr>
                <w:b/>
                <w:bCs/>
                <w:spacing w:val="-2"/>
                <w:sz w:val="21"/>
                <w:szCs w:val="21"/>
              </w:rPr>
              <w:t>号</w:t>
            </w:r>
          </w:p>
        </w:tc>
        <w:tc>
          <w:tcPr>
            <w:tcW w:w="2939" w:type="dxa"/>
            <w:vAlign w:val="top"/>
          </w:tcPr>
          <w:p w14:paraId="6E3E3A40">
            <w:pPr>
              <w:pStyle w:val="6"/>
              <w:spacing w:before="195" w:line="220" w:lineRule="auto"/>
              <w:ind w:left="1024"/>
              <w:rPr>
                <w:sz w:val="21"/>
                <w:szCs w:val="21"/>
              </w:rPr>
            </w:pPr>
            <w:r>
              <w:rPr>
                <w:b/>
                <w:bCs/>
                <w:spacing w:val="7"/>
                <w:sz w:val="21"/>
                <w:szCs w:val="21"/>
              </w:rPr>
              <w:t>子目名称</w:t>
            </w:r>
          </w:p>
        </w:tc>
        <w:tc>
          <w:tcPr>
            <w:tcW w:w="1394" w:type="dxa"/>
            <w:vAlign w:val="top"/>
          </w:tcPr>
          <w:p w14:paraId="1FF406A6">
            <w:pPr>
              <w:pStyle w:val="6"/>
              <w:spacing w:before="195" w:line="220" w:lineRule="auto"/>
              <w:ind w:left="473"/>
              <w:rPr>
                <w:sz w:val="21"/>
                <w:szCs w:val="21"/>
              </w:rPr>
            </w:pPr>
            <w:r>
              <w:rPr>
                <w:b/>
                <w:bCs/>
                <w:sz w:val="21"/>
                <w:szCs w:val="21"/>
              </w:rPr>
              <w:t>单位</w:t>
            </w:r>
          </w:p>
        </w:tc>
        <w:tc>
          <w:tcPr>
            <w:tcW w:w="1214" w:type="dxa"/>
            <w:vAlign w:val="top"/>
          </w:tcPr>
          <w:p w14:paraId="6D7F2C53">
            <w:pPr>
              <w:pStyle w:val="6"/>
              <w:spacing w:before="194" w:line="220" w:lineRule="auto"/>
              <w:ind w:left="181"/>
              <w:rPr>
                <w:sz w:val="21"/>
                <w:szCs w:val="21"/>
              </w:rPr>
            </w:pPr>
            <w:r>
              <w:rPr>
                <w:b/>
                <w:bCs/>
                <w:spacing w:val="5"/>
                <w:sz w:val="21"/>
                <w:szCs w:val="21"/>
              </w:rPr>
              <w:t>暂定数量</w:t>
            </w:r>
          </w:p>
        </w:tc>
        <w:tc>
          <w:tcPr>
            <w:tcW w:w="1034" w:type="dxa"/>
            <w:vAlign w:val="top"/>
          </w:tcPr>
          <w:p w14:paraId="7473FBDA">
            <w:pPr>
              <w:pStyle w:val="6"/>
              <w:spacing w:before="195" w:line="218" w:lineRule="auto"/>
              <w:ind w:left="298"/>
              <w:rPr>
                <w:sz w:val="21"/>
                <w:szCs w:val="21"/>
              </w:rPr>
            </w:pPr>
            <w:r>
              <w:rPr>
                <w:b/>
                <w:bCs/>
                <w:sz w:val="21"/>
                <w:szCs w:val="21"/>
              </w:rPr>
              <w:t>单价</w:t>
            </w:r>
          </w:p>
        </w:tc>
        <w:tc>
          <w:tcPr>
            <w:tcW w:w="1012" w:type="dxa"/>
            <w:vAlign w:val="top"/>
          </w:tcPr>
          <w:p w14:paraId="4744AA2E">
            <w:pPr>
              <w:pStyle w:val="6"/>
              <w:spacing w:before="195" w:line="218" w:lineRule="auto"/>
              <w:ind w:left="285"/>
              <w:rPr>
                <w:sz w:val="21"/>
                <w:szCs w:val="21"/>
              </w:rPr>
            </w:pPr>
            <w:r>
              <w:rPr>
                <w:b/>
                <w:bCs/>
                <w:spacing w:val="1"/>
                <w:sz w:val="21"/>
                <w:szCs w:val="21"/>
              </w:rPr>
              <w:t>合价</w:t>
            </w:r>
          </w:p>
        </w:tc>
      </w:tr>
      <w:tr w14:paraId="4A290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637" w:type="dxa"/>
            <w:vAlign w:val="top"/>
          </w:tcPr>
          <w:p w14:paraId="081EFB25">
            <w:pPr>
              <w:rPr>
                <w:rFonts w:ascii="Arial"/>
                <w:sz w:val="21"/>
              </w:rPr>
            </w:pPr>
          </w:p>
        </w:tc>
        <w:tc>
          <w:tcPr>
            <w:tcW w:w="2939" w:type="dxa"/>
            <w:vAlign w:val="top"/>
          </w:tcPr>
          <w:p w14:paraId="4D46F8B3">
            <w:pPr>
              <w:rPr>
                <w:rFonts w:ascii="Arial"/>
                <w:sz w:val="21"/>
              </w:rPr>
            </w:pPr>
          </w:p>
        </w:tc>
        <w:tc>
          <w:tcPr>
            <w:tcW w:w="1394" w:type="dxa"/>
            <w:vAlign w:val="top"/>
          </w:tcPr>
          <w:p w14:paraId="761FAC46">
            <w:pPr>
              <w:rPr>
                <w:rFonts w:ascii="Arial"/>
                <w:sz w:val="21"/>
              </w:rPr>
            </w:pPr>
          </w:p>
        </w:tc>
        <w:tc>
          <w:tcPr>
            <w:tcW w:w="1214" w:type="dxa"/>
            <w:vAlign w:val="top"/>
          </w:tcPr>
          <w:p w14:paraId="3F03408C">
            <w:pPr>
              <w:rPr>
                <w:rFonts w:ascii="Arial"/>
                <w:sz w:val="21"/>
              </w:rPr>
            </w:pPr>
          </w:p>
        </w:tc>
        <w:tc>
          <w:tcPr>
            <w:tcW w:w="1034" w:type="dxa"/>
            <w:vAlign w:val="top"/>
          </w:tcPr>
          <w:p w14:paraId="0B9B8CFE">
            <w:pPr>
              <w:rPr>
                <w:rFonts w:ascii="Arial"/>
                <w:sz w:val="21"/>
              </w:rPr>
            </w:pPr>
          </w:p>
        </w:tc>
        <w:tc>
          <w:tcPr>
            <w:tcW w:w="1012" w:type="dxa"/>
            <w:vAlign w:val="top"/>
          </w:tcPr>
          <w:p w14:paraId="460CE7B3">
            <w:pPr>
              <w:rPr>
                <w:rFonts w:ascii="Arial"/>
                <w:sz w:val="21"/>
              </w:rPr>
            </w:pPr>
          </w:p>
        </w:tc>
      </w:tr>
      <w:tr w14:paraId="38E18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7" w:hRule="atLeast"/>
        </w:trPr>
        <w:tc>
          <w:tcPr>
            <w:tcW w:w="637" w:type="dxa"/>
            <w:vAlign w:val="top"/>
          </w:tcPr>
          <w:p w14:paraId="2A409542">
            <w:pPr>
              <w:rPr>
                <w:rFonts w:ascii="Arial"/>
                <w:sz w:val="21"/>
              </w:rPr>
            </w:pPr>
          </w:p>
        </w:tc>
        <w:tc>
          <w:tcPr>
            <w:tcW w:w="2939" w:type="dxa"/>
            <w:vAlign w:val="top"/>
          </w:tcPr>
          <w:p w14:paraId="7A546C48">
            <w:pPr>
              <w:rPr>
                <w:rFonts w:ascii="Arial"/>
                <w:sz w:val="21"/>
              </w:rPr>
            </w:pPr>
          </w:p>
        </w:tc>
        <w:tc>
          <w:tcPr>
            <w:tcW w:w="1394" w:type="dxa"/>
            <w:vAlign w:val="top"/>
          </w:tcPr>
          <w:p w14:paraId="0C5D4059">
            <w:pPr>
              <w:rPr>
                <w:rFonts w:ascii="Arial"/>
                <w:sz w:val="21"/>
              </w:rPr>
            </w:pPr>
          </w:p>
        </w:tc>
        <w:tc>
          <w:tcPr>
            <w:tcW w:w="1214" w:type="dxa"/>
            <w:vAlign w:val="top"/>
          </w:tcPr>
          <w:p w14:paraId="7EE0C306">
            <w:pPr>
              <w:rPr>
                <w:rFonts w:ascii="Arial"/>
                <w:sz w:val="21"/>
              </w:rPr>
            </w:pPr>
          </w:p>
        </w:tc>
        <w:tc>
          <w:tcPr>
            <w:tcW w:w="1034" w:type="dxa"/>
            <w:vAlign w:val="top"/>
          </w:tcPr>
          <w:p w14:paraId="41C05C76">
            <w:pPr>
              <w:rPr>
                <w:rFonts w:ascii="Arial"/>
                <w:sz w:val="21"/>
              </w:rPr>
            </w:pPr>
          </w:p>
        </w:tc>
        <w:tc>
          <w:tcPr>
            <w:tcW w:w="1012" w:type="dxa"/>
            <w:vAlign w:val="top"/>
          </w:tcPr>
          <w:p w14:paraId="72A4559C">
            <w:pPr>
              <w:rPr>
                <w:rFonts w:ascii="Arial"/>
                <w:sz w:val="21"/>
              </w:rPr>
            </w:pPr>
          </w:p>
        </w:tc>
      </w:tr>
      <w:tr w14:paraId="6A6F1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8230" w:type="dxa"/>
            <w:gridSpan w:val="6"/>
            <w:vAlign w:val="top"/>
          </w:tcPr>
          <w:p w14:paraId="1E36A7BF">
            <w:pPr>
              <w:pStyle w:val="6"/>
              <w:spacing w:before="47" w:line="191" w:lineRule="auto"/>
              <w:ind w:left="2440"/>
              <w:rPr>
                <w:sz w:val="21"/>
                <w:szCs w:val="21"/>
              </w:rPr>
            </w:pPr>
            <w:r>
              <w:rPr>
                <w:spacing w:val="-6"/>
                <w:sz w:val="21"/>
                <w:szCs w:val="21"/>
              </w:rPr>
              <w:t>施工机械小计金额：</w:t>
            </w:r>
          </w:p>
          <w:p w14:paraId="315C5C55">
            <w:pPr>
              <w:spacing w:line="8" w:lineRule="exact"/>
              <w:ind w:left="4429"/>
              <w:rPr>
                <w:rFonts w:ascii="Times New Roman" w:hAnsi="Times New Roman" w:eastAsia="Times New Roman" w:cs="Times New Roman"/>
                <w:sz w:val="21"/>
                <w:szCs w:val="21"/>
              </w:rPr>
            </w:pPr>
            <w:r>
              <w:rPr>
                <w:rFonts w:ascii="Times New Roman" w:hAnsi="Times New Roman" w:eastAsia="Times New Roman" w:cs="Times New Roman"/>
                <w:position w:val="4"/>
                <w:sz w:val="21"/>
                <w:szCs w:val="21"/>
              </w:rPr>
              <w:t>_____________</w:t>
            </w:r>
          </w:p>
          <w:p w14:paraId="2A177078">
            <w:pPr>
              <w:pStyle w:val="6"/>
              <w:spacing w:before="74" w:line="221" w:lineRule="auto"/>
              <w:ind w:left="4549"/>
              <w:rPr>
                <w:sz w:val="21"/>
                <w:szCs w:val="21"/>
              </w:rPr>
            </w:pPr>
            <w:r>
              <w:rPr>
                <w:spacing w:val="-2"/>
                <w:sz w:val="21"/>
                <w:szCs w:val="21"/>
              </w:rPr>
              <w:t>（计入</w:t>
            </w:r>
            <w:r>
              <w:rPr>
                <w:rFonts w:ascii="Times New Roman" w:hAnsi="Times New Roman" w:eastAsia="Times New Roman" w:cs="Times New Roman"/>
                <w:spacing w:val="-2"/>
                <w:sz w:val="21"/>
                <w:szCs w:val="21"/>
              </w:rPr>
              <w:t>“</w:t>
            </w:r>
            <w:r>
              <w:rPr>
                <w:spacing w:val="-2"/>
                <w:sz w:val="21"/>
                <w:szCs w:val="21"/>
              </w:rPr>
              <w:t>计日工汇总表</w:t>
            </w:r>
            <w:r>
              <w:rPr>
                <w:rFonts w:ascii="Times New Roman" w:hAnsi="Times New Roman" w:eastAsia="Times New Roman" w:cs="Times New Roman"/>
                <w:spacing w:val="-2"/>
                <w:sz w:val="21"/>
                <w:szCs w:val="21"/>
              </w:rPr>
              <w:t>”</w:t>
            </w:r>
            <w:r>
              <w:rPr>
                <w:spacing w:val="-2"/>
                <w:sz w:val="21"/>
                <w:szCs w:val="21"/>
              </w:rPr>
              <w:t>）</w:t>
            </w:r>
          </w:p>
        </w:tc>
      </w:tr>
    </w:tbl>
    <w:p w14:paraId="1FE1DA80">
      <w:pPr>
        <w:spacing w:before="134" w:line="235" w:lineRule="auto"/>
        <w:ind w:left="439"/>
        <w:rPr>
          <w:rFonts w:ascii="宋体" w:hAnsi="宋体" w:eastAsia="宋体" w:cs="宋体"/>
          <w:sz w:val="21"/>
          <w:szCs w:val="21"/>
        </w:rPr>
      </w:pPr>
      <w:r>
        <w:rPr>
          <w:rFonts w:ascii="Times New Roman" w:hAnsi="Times New Roman" w:eastAsia="Times New Roman" w:cs="Times New Roman"/>
          <w:sz w:val="21"/>
          <w:szCs w:val="21"/>
        </w:rPr>
        <w:t>4.2.4</w:t>
      </w:r>
      <w:r>
        <w:rPr>
          <w:rFonts w:ascii="Times New Roman" w:hAnsi="Times New Roman" w:eastAsia="Times New Roman" w:cs="Times New Roman"/>
          <w:spacing w:val="52"/>
          <w:sz w:val="21"/>
          <w:szCs w:val="21"/>
        </w:rPr>
        <w:t xml:space="preserve"> </w:t>
      </w:r>
      <w:r>
        <w:rPr>
          <w:rFonts w:ascii="宋体" w:hAnsi="宋体" w:eastAsia="宋体" w:cs="宋体"/>
          <w:sz w:val="21"/>
          <w:szCs w:val="21"/>
        </w:rPr>
        <w:t>计日工汇总表</w:t>
      </w:r>
    </w:p>
    <w:p w14:paraId="36B79070">
      <w:pPr>
        <w:spacing w:line="37"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07"/>
        <w:gridCol w:w="5366"/>
        <w:gridCol w:w="1357"/>
      </w:tblGrid>
      <w:tr w14:paraId="67436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5" w:hRule="atLeast"/>
        </w:trPr>
        <w:tc>
          <w:tcPr>
            <w:tcW w:w="1507" w:type="dxa"/>
            <w:vAlign w:val="top"/>
          </w:tcPr>
          <w:p w14:paraId="0E9A7AC9">
            <w:pPr>
              <w:pStyle w:val="6"/>
              <w:spacing w:before="29" w:line="222" w:lineRule="auto"/>
              <w:ind w:left="521"/>
              <w:rPr>
                <w:sz w:val="21"/>
                <w:szCs w:val="21"/>
              </w:rPr>
            </w:pPr>
            <w:r>
              <w:rPr>
                <w:b/>
                <w:bCs/>
                <w:sz w:val="21"/>
                <w:szCs w:val="21"/>
              </w:rPr>
              <w:t>名称</w:t>
            </w:r>
          </w:p>
        </w:tc>
        <w:tc>
          <w:tcPr>
            <w:tcW w:w="5366" w:type="dxa"/>
            <w:vAlign w:val="top"/>
          </w:tcPr>
          <w:p w14:paraId="2A1E8DA8">
            <w:pPr>
              <w:pStyle w:val="6"/>
              <w:spacing w:before="44" w:line="220" w:lineRule="auto"/>
              <w:ind w:left="2542"/>
              <w:rPr>
                <w:sz w:val="21"/>
                <w:szCs w:val="21"/>
              </w:rPr>
            </w:pPr>
            <w:r>
              <w:rPr>
                <w:b/>
                <w:bCs/>
                <w:sz w:val="21"/>
                <w:szCs w:val="21"/>
              </w:rPr>
              <w:t>金额</w:t>
            </w:r>
          </w:p>
        </w:tc>
        <w:tc>
          <w:tcPr>
            <w:tcW w:w="1357" w:type="dxa"/>
            <w:vAlign w:val="top"/>
          </w:tcPr>
          <w:p w14:paraId="02189307">
            <w:pPr>
              <w:pStyle w:val="6"/>
              <w:spacing w:before="44" w:line="220" w:lineRule="auto"/>
              <w:ind w:left="542"/>
              <w:rPr>
                <w:sz w:val="21"/>
                <w:szCs w:val="21"/>
              </w:rPr>
            </w:pPr>
            <w:r>
              <w:rPr>
                <w:b/>
                <w:bCs/>
                <w:sz w:val="21"/>
                <w:szCs w:val="21"/>
              </w:rPr>
              <w:t>备注</w:t>
            </w:r>
          </w:p>
        </w:tc>
      </w:tr>
      <w:tr w14:paraId="5F00A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1507" w:type="dxa"/>
            <w:vAlign w:val="top"/>
          </w:tcPr>
          <w:p w14:paraId="127F1375">
            <w:pPr>
              <w:pStyle w:val="6"/>
              <w:spacing w:before="39" w:line="220" w:lineRule="auto"/>
              <w:ind w:left="538"/>
              <w:rPr>
                <w:sz w:val="21"/>
                <w:szCs w:val="21"/>
              </w:rPr>
            </w:pPr>
            <w:r>
              <w:rPr>
                <w:spacing w:val="-4"/>
                <w:sz w:val="21"/>
                <w:szCs w:val="21"/>
              </w:rPr>
              <w:t>劳务</w:t>
            </w:r>
          </w:p>
        </w:tc>
        <w:tc>
          <w:tcPr>
            <w:tcW w:w="5366" w:type="dxa"/>
            <w:vAlign w:val="top"/>
          </w:tcPr>
          <w:p w14:paraId="1DB84EE8">
            <w:pPr>
              <w:rPr>
                <w:rFonts w:ascii="Arial"/>
                <w:sz w:val="21"/>
              </w:rPr>
            </w:pPr>
          </w:p>
        </w:tc>
        <w:tc>
          <w:tcPr>
            <w:tcW w:w="1357" w:type="dxa"/>
            <w:vAlign w:val="top"/>
          </w:tcPr>
          <w:p w14:paraId="13632875">
            <w:pPr>
              <w:rPr>
                <w:rFonts w:ascii="Arial"/>
                <w:sz w:val="21"/>
              </w:rPr>
            </w:pPr>
          </w:p>
        </w:tc>
      </w:tr>
      <w:tr w14:paraId="02902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1507" w:type="dxa"/>
            <w:vAlign w:val="top"/>
          </w:tcPr>
          <w:p w14:paraId="1CEDDC6F">
            <w:pPr>
              <w:pStyle w:val="6"/>
              <w:spacing w:before="28" w:line="219" w:lineRule="auto"/>
              <w:ind w:left="533"/>
              <w:rPr>
                <w:sz w:val="21"/>
                <w:szCs w:val="21"/>
              </w:rPr>
            </w:pPr>
            <w:r>
              <w:rPr>
                <w:spacing w:val="-2"/>
                <w:sz w:val="21"/>
                <w:szCs w:val="21"/>
              </w:rPr>
              <w:t>材料</w:t>
            </w:r>
          </w:p>
        </w:tc>
        <w:tc>
          <w:tcPr>
            <w:tcW w:w="5366" w:type="dxa"/>
            <w:vAlign w:val="top"/>
          </w:tcPr>
          <w:p w14:paraId="7DE1A3B4">
            <w:pPr>
              <w:rPr>
                <w:rFonts w:ascii="Arial"/>
                <w:sz w:val="21"/>
              </w:rPr>
            </w:pPr>
          </w:p>
        </w:tc>
        <w:tc>
          <w:tcPr>
            <w:tcW w:w="1357" w:type="dxa"/>
            <w:vAlign w:val="top"/>
          </w:tcPr>
          <w:p w14:paraId="3ACBC895">
            <w:pPr>
              <w:rPr>
                <w:rFonts w:ascii="Arial"/>
                <w:sz w:val="21"/>
              </w:rPr>
            </w:pPr>
          </w:p>
        </w:tc>
      </w:tr>
      <w:tr w14:paraId="5999E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1507" w:type="dxa"/>
            <w:vAlign w:val="top"/>
          </w:tcPr>
          <w:p w14:paraId="01BAB5DA">
            <w:pPr>
              <w:pStyle w:val="6"/>
              <w:spacing w:before="45" w:line="213" w:lineRule="auto"/>
              <w:ind w:left="322"/>
              <w:rPr>
                <w:sz w:val="21"/>
                <w:szCs w:val="21"/>
              </w:rPr>
            </w:pPr>
            <w:r>
              <w:rPr>
                <w:spacing w:val="-2"/>
                <w:sz w:val="21"/>
                <w:szCs w:val="21"/>
              </w:rPr>
              <w:t>施工机械</w:t>
            </w:r>
          </w:p>
        </w:tc>
        <w:tc>
          <w:tcPr>
            <w:tcW w:w="5366" w:type="dxa"/>
            <w:vAlign w:val="top"/>
          </w:tcPr>
          <w:p w14:paraId="3C7F7F30">
            <w:pPr>
              <w:rPr>
                <w:rFonts w:ascii="Arial"/>
                <w:sz w:val="21"/>
              </w:rPr>
            </w:pPr>
          </w:p>
        </w:tc>
        <w:tc>
          <w:tcPr>
            <w:tcW w:w="1357" w:type="dxa"/>
            <w:vAlign w:val="top"/>
          </w:tcPr>
          <w:p w14:paraId="10E26EAC">
            <w:pPr>
              <w:rPr>
                <w:rFonts w:ascii="Arial"/>
                <w:sz w:val="21"/>
              </w:rPr>
            </w:pPr>
          </w:p>
        </w:tc>
      </w:tr>
      <w:tr w14:paraId="1B25A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8" w:hRule="atLeast"/>
        </w:trPr>
        <w:tc>
          <w:tcPr>
            <w:tcW w:w="8230" w:type="dxa"/>
            <w:gridSpan w:val="3"/>
            <w:vAlign w:val="top"/>
          </w:tcPr>
          <w:p w14:paraId="4A4C3EF2">
            <w:pPr>
              <w:pStyle w:val="6"/>
              <w:spacing w:before="47" w:line="221" w:lineRule="auto"/>
              <w:ind w:left="3492"/>
              <w:rPr>
                <w:sz w:val="21"/>
                <w:szCs w:val="21"/>
              </w:rPr>
            </w:pPr>
            <w:r>
              <w:rPr>
                <w:spacing w:val="-8"/>
                <w:sz w:val="21"/>
                <w:szCs w:val="21"/>
              </w:rPr>
              <w:t>计日工总计：</w:t>
            </w:r>
          </w:p>
          <w:p w14:paraId="765D29DB">
            <w:pPr>
              <w:pStyle w:val="6"/>
              <w:spacing w:before="64" w:line="215" w:lineRule="auto"/>
              <w:ind w:left="2867"/>
              <w:rPr>
                <w:sz w:val="21"/>
                <w:szCs w:val="21"/>
              </w:rPr>
            </w:pPr>
            <w:r>
              <w:rPr>
                <w:spacing w:val="-2"/>
                <w:sz w:val="21"/>
                <w:szCs w:val="21"/>
              </w:rPr>
              <w:t>（计入</w:t>
            </w:r>
            <w:r>
              <w:rPr>
                <w:rFonts w:ascii="Times New Roman" w:hAnsi="Times New Roman" w:eastAsia="Times New Roman" w:cs="Times New Roman"/>
                <w:spacing w:val="-2"/>
                <w:sz w:val="21"/>
                <w:szCs w:val="21"/>
              </w:rPr>
              <w:t>“</w:t>
            </w:r>
            <w:r>
              <w:rPr>
                <w:spacing w:val="-2"/>
                <w:sz w:val="21"/>
                <w:szCs w:val="21"/>
              </w:rPr>
              <w:t>投标报价汇总表</w:t>
            </w:r>
            <w:r>
              <w:rPr>
                <w:rFonts w:ascii="Times New Roman" w:hAnsi="Times New Roman" w:eastAsia="Times New Roman" w:cs="Times New Roman"/>
                <w:spacing w:val="-2"/>
                <w:sz w:val="21"/>
                <w:szCs w:val="21"/>
              </w:rPr>
              <w:t>”</w:t>
            </w:r>
            <w:r>
              <w:rPr>
                <w:spacing w:val="-2"/>
                <w:sz w:val="21"/>
                <w:szCs w:val="21"/>
              </w:rPr>
              <w:t>）</w:t>
            </w:r>
          </w:p>
        </w:tc>
      </w:tr>
    </w:tbl>
    <w:p w14:paraId="5C370FAB">
      <w:pPr>
        <w:pStyle w:val="2"/>
        <w:spacing w:line="336" w:lineRule="auto"/>
      </w:pPr>
    </w:p>
    <w:p w14:paraId="73640979">
      <w:pPr>
        <w:spacing w:before="92" w:line="237" w:lineRule="auto"/>
        <w:ind w:left="20"/>
        <w:outlineLvl w:val="2"/>
        <w:rPr>
          <w:rFonts w:ascii="黑体" w:hAnsi="黑体" w:eastAsia="黑体" w:cs="黑体"/>
          <w:sz w:val="28"/>
          <w:szCs w:val="28"/>
        </w:rPr>
      </w:pPr>
      <w:bookmarkStart w:id="581" w:name="bookmark537"/>
      <w:bookmarkEnd w:id="581"/>
      <w:r>
        <w:rPr>
          <w:rFonts w:ascii="Times New Roman" w:hAnsi="Times New Roman" w:eastAsia="Times New Roman" w:cs="Times New Roman"/>
          <w:spacing w:val="4"/>
          <w:sz w:val="28"/>
          <w:szCs w:val="28"/>
        </w:rPr>
        <w:t>4.3</w:t>
      </w:r>
      <w:r>
        <w:rPr>
          <w:rFonts w:ascii="Times New Roman" w:hAnsi="Times New Roman" w:eastAsia="Times New Roman" w:cs="Times New Roman"/>
          <w:spacing w:val="12"/>
          <w:sz w:val="28"/>
          <w:szCs w:val="28"/>
        </w:rPr>
        <w:t xml:space="preserve">  </w:t>
      </w:r>
      <w:r>
        <w:rPr>
          <w:rFonts w:ascii="黑体" w:hAnsi="黑体" w:eastAsia="黑体" w:cs="黑体"/>
          <w:spacing w:val="4"/>
          <w:sz w:val="28"/>
          <w:szCs w:val="28"/>
        </w:rPr>
        <w:t>暂估价表</w:t>
      </w:r>
    </w:p>
    <w:p w14:paraId="4F157A6D">
      <w:pPr>
        <w:pStyle w:val="2"/>
        <w:spacing w:line="430" w:lineRule="auto"/>
      </w:pPr>
    </w:p>
    <w:p w14:paraId="3EE9B622">
      <w:pPr>
        <w:spacing w:before="68" w:line="225"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4.3.1    </w:t>
      </w:r>
      <w:r>
        <w:rPr>
          <w:rFonts w:ascii="宋体" w:hAnsi="宋体" w:eastAsia="宋体" w:cs="宋体"/>
          <w:spacing w:val="1"/>
          <w:sz w:val="21"/>
          <w:szCs w:val="21"/>
        </w:rPr>
        <w:t>材料暂估价表</w:t>
      </w: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1214"/>
        <w:gridCol w:w="1215"/>
        <w:gridCol w:w="1214"/>
        <w:gridCol w:w="1214"/>
        <w:gridCol w:w="1214"/>
        <w:gridCol w:w="1177"/>
      </w:tblGrid>
      <w:tr w14:paraId="22D95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982" w:type="dxa"/>
            <w:vAlign w:val="top"/>
          </w:tcPr>
          <w:p w14:paraId="71D6A7C3">
            <w:pPr>
              <w:pStyle w:val="6"/>
              <w:spacing w:before="44" w:line="221" w:lineRule="auto"/>
              <w:ind w:left="262"/>
              <w:rPr>
                <w:sz w:val="21"/>
                <w:szCs w:val="21"/>
              </w:rPr>
            </w:pPr>
            <w:r>
              <w:rPr>
                <w:b/>
                <w:bCs/>
                <w:spacing w:val="1"/>
                <w:sz w:val="21"/>
                <w:szCs w:val="21"/>
              </w:rPr>
              <w:t>序号</w:t>
            </w:r>
          </w:p>
        </w:tc>
        <w:tc>
          <w:tcPr>
            <w:tcW w:w="1214" w:type="dxa"/>
            <w:vAlign w:val="top"/>
          </w:tcPr>
          <w:p w14:paraId="4A778589">
            <w:pPr>
              <w:pStyle w:val="6"/>
              <w:spacing w:before="44" w:line="222" w:lineRule="auto"/>
              <w:ind w:left="380"/>
              <w:rPr>
                <w:sz w:val="21"/>
                <w:szCs w:val="21"/>
              </w:rPr>
            </w:pPr>
            <w:r>
              <w:rPr>
                <w:b/>
                <w:bCs/>
                <w:sz w:val="21"/>
                <w:szCs w:val="21"/>
              </w:rPr>
              <w:t>名称</w:t>
            </w:r>
          </w:p>
        </w:tc>
        <w:tc>
          <w:tcPr>
            <w:tcW w:w="1215" w:type="dxa"/>
            <w:vAlign w:val="top"/>
          </w:tcPr>
          <w:p w14:paraId="37F152E0">
            <w:pPr>
              <w:pStyle w:val="6"/>
              <w:spacing w:before="45" w:line="220" w:lineRule="auto"/>
              <w:ind w:left="381"/>
              <w:rPr>
                <w:sz w:val="21"/>
                <w:szCs w:val="21"/>
              </w:rPr>
            </w:pPr>
            <w:r>
              <w:rPr>
                <w:b/>
                <w:bCs/>
                <w:sz w:val="21"/>
                <w:szCs w:val="21"/>
              </w:rPr>
              <w:t>单位</w:t>
            </w:r>
          </w:p>
        </w:tc>
        <w:tc>
          <w:tcPr>
            <w:tcW w:w="1214" w:type="dxa"/>
            <w:vAlign w:val="top"/>
          </w:tcPr>
          <w:p w14:paraId="69A215AC">
            <w:pPr>
              <w:pStyle w:val="6"/>
              <w:spacing w:before="44" w:line="220" w:lineRule="auto"/>
              <w:ind w:left="383"/>
              <w:rPr>
                <w:sz w:val="21"/>
                <w:szCs w:val="21"/>
              </w:rPr>
            </w:pPr>
            <w:r>
              <w:rPr>
                <w:b/>
                <w:bCs/>
                <w:sz w:val="21"/>
                <w:szCs w:val="21"/>
              </w:rPr>
              <w:t>数量</w:t>
            </w:r>
          </w:p>
        </w:tc>
        <w:tc>
          <w:tcPr>
            <w:tcW w:w="1214" w:type="dxa"/>
            <w:vAlign w:val="top"/>
          </w:tcPr>
          <w:p w14:paraId="40B07B57">
            <w:pPr>
              <w:pStyle w:val="6"/>
              <w:spacing w:before="60" w:line="218" w:lineRule="auto"/>
              <w:ind w:left="476"/>
              <w:rPr>
                <w:sz w:val="21"/>
                <w:szCs w:val="21"/>
              </w:rPr>
            </w:pPr>
            <w:r>
              <w:rPr>
                <w:b/>
                <w:bCs/>
                <w:sz w:val="21"/>
                <w:szCs w:val="21"/>
              </w:rPr>
              <w:t>单价</w:t>
            </w:r>
          </w:p>
        </w:tc>
        <w:tc>
          <w:tcPr>
            <w:tcW w:w="1214" w:type="dxa"/>
            <w:vAlign w:val="top"/>
          </w:tcPr>
          <w:p w14:paraId="28C49641">
            <w:pPr>
              <w:pStyle w:val="6"/>
              <w:spacing w:before="60" w:line="218" w:lineRule="auto"/>
              <w:ind w:left="433"/>
              <w:rPr>
                <w:sz w:val="21"/>
                <w:szCs w:val="21"/>
              </w:rPr>
            </w:pPr>
            <w:r>
              <w:rPr>
                <w:b/>
                <w:bCs/>
                <w:spacing w:val="1"/>
                <w:sz w:val="21"/>
                <w:szCs w:val="21"/>
              </w:rPr>
              <w:t>合价</w:t>
            </w:r>
          </w:p>
        </w:tc>
        <w:tc>
          <w:tcPr>
            <w:tcW w:w="1177" w:type="dxa"/>
            <w:vAlign w:val="top"/>
          </w:tcPr>
          <w:p w14:paraId="68C75B98">
            <w:pPr>
              <w:pStyle w:val="6"/>
              <w:spacing w:before="44" w:line="221" w:lineRule="auto"/>
              <w:ind w:left="362"/>
              <w:rPr>
                <w:sz w:val="21"/>
                <w:szCs w:val="21"/>
              </w:rPr>
            </w:pPr>
            <w:r>
              <w:rPr>
                <w:b/>
                <w:bCs/>
                <w:sz w:val="21"/>
                <w:szCs w:val="21"/>
              </w:rPr>
              <w:t>备注</w:t>
            </w:r>
          </w:p>
        </w:tc>
      </w:tr>
      <w:tr w14:paraId="597E4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982" w:type="dxa"/>
            <w:vAlign w:val="top"/>
          </w:tcPr>
          <w:p w14:paraId="6FAD2B4A">
            <w:pPr>
              <w:rPr>
                <w:rFonts w:ascii="Arial"/>
                <w:sz w:val="21"/>
              </w:rPr>
            </w:pPr>
          </w:p>
        </w:tc>
        <w:tc>
          <w:tcPr>
            <w:tcW w:w="1214" w:type="dxa"/>
            <w:vAlign w:val="top"/>
          </w:tcPr>
          <w:p w14:paraId="59851A0D">
            <w:pPr>
              <w:rPr>
                <w:rFonts w:ascii="Arial"/>
                <w:sz w:val="21"/>
              </w:rPr>
            </w:pPr>
          </w:p>
        </w:tc>
        <w:tc>
          <w:tcPr>
            <w:tcW w:w="1215" w:type="dxa"/>
            <w:vAlign w:val="top"/>
          </w:tcPr>
          <w:p w14:paraId="682237A5">
            <w:pPr>
              <w:rPr>
                <w:rFonts w:ascii="Arial"/>
                <w:sz w:val="21"/>
              </w:rPr>
            </w:pPr>
          </w:p>
        </w:tc>
        <w:tc>
          <w:tcPr>
            <w:tcW w:w="1214" w:type="dxa"/>
            <w:vAlign w:val="top"/>
          </w:tcPr>
          <w:p w14:paraId="4C98AABE">
            <w:pPr>
              <w:rPr>
                <w:rFonts w:ascii="Arial"/>
                <w:sz w:val="21"/>
              </w:rPr>
            </w:pPr>
          </w:p>
        </w:tc>
        <w:tc>
          <w:tcPr>
            <w:tcW w:w="1214" w:type="dxa"/>
            <w:vAlign w:val="top"/>
          </w:tcPr>
          <w:p w14:paraId="416C5189">
            <w:pPr>
              <w:rPr>
                <w:rFonts w:ascii="Arial"/>
                <w:sz w:val="21"/>
              </w:rPr>
            </w:pPr>
          </w:p>
        </w:tc>
        <w:tc>
          <w:tcPr>
            <w:tcW w:w="1214" w:type="dxa"/>
            <w:vAlign w:val="top"/>
          </w:tcPr>
          <w:p w14:paraId="58910D0E">
            <w:pPr>
              <w:rPr>
                <w:rFonts w:ascii="Arial"/>
                <w:sz w:val="21"/>
              </w:rPr>
            </w:pPr>
          </w:p>
        </w:tc>
        <w:tc>
          <w:tcPr>
            <w:tcW w:w="1177" w:type="dxa"/>
            <w:vAlign w:val="top"/>
          </w:tcPr>
          <w:p w14:paraId="51EF8DC1">
            <w:pPr>
              <w:rPr>
                <w:rFonts w:ascii="Arial"/>
                <w:sz w:val="21"/>
              </w:rPr>
            </w:pPr>
          </w:p>
        </w:tc>
      </w:tr>
      <w:tr w14:paraId="371B1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982" w:type="dxa"/>
            <w:vAlign w:val="top"/>
          </w:tcPr>
          <w:p w14:paraId="4C0DE849">
            <w:pPr>
              <w:rPr>
                <w:rFonts w:ascii="Arial"/>
                <w:sz w:val="21"/>
              </w:rPr>
            </w:pPr>
          </w:p>
        </w:tc>
        <w:tc>
          <w:tcPr>
            <w:tcW w:w="1214" w:type="dxa"/>
            <w:vAlign w:val="top"/>
          </w:tcPr>
          <w:p w14:paraId="32F47CAF">
            <w:pPr>
              <w:rPr>
                <w:rFonts w:ascii="Arial"/>
                <w:sz w:val="21"/>
              </w:rPr>
            </w:pPr>
          </w:p>
        </w:tc>
        <w:tc>
          <w:tcPr>
            <w:tcW w:w="1215" w:type="dxa"/>
            <w:vAlign w:val="top"/>
          </w:tcPr>
          <w:p w14:paraId="4B320DE3">
            <w:pPr>
              <w:rPr>
                <w:rFonts w:ascii="Arial"/>
                <w:sz w:val="21"/>
              </w:rPr>
            </w:pPr>
          </w:p>
        </w:tc>
        <w:tc>
          <w:tcPr>
            <w:tcW w:w="1214" w:type="dxa"/>
            <w:vAlign w:val="top"/>
          </w:tcPr>
          <w:p w14:paraId="1392386D">
            <w:pPr>
              <w:rPr>
                <w:rFonts w:ascii="Arial"/>
                <w:sz w:val="21"/>
              </w:rPr>
            </w:pPr>
          </w:p>
        </w:tc>
        <w:tc>
          <w:tcPr>
            <w:tcW w:w="1214" w:type="dxa"/>
            <w:vAlign w:val="top"/>
          </w:tcPr>
          <w:p w14:paraId="42DD698E">
            <w:pPr>
              <w:rPr>
                <w:rFonts w:ascii="Arial"/>
                <w:sz w:val="21"/>
              </w:rPr>
            </w:pPr>
          </w:p>
        </w:tc>
        <w:tc>
          <w:tcPr>
            <w:tcW w:w="1214" w:type="dxa"/>
            <w:vAlign w:val="top"/>
          </w:tcPr>
          <w:p w14:paraId="295C0C0E">
            <w:pPr>
              <w:rPr>
                <w:rFonts w:ascii="Arial"/>
                <w:sz w:val="21"/>
              </w:rPr>
            </w:pPr>
          </w:p>
        </w:tc>
        <w:tc>
          <w:tcPr>
            <w:tcW w:w="1177" w:type="dxa"/>
            <w:vAlign w:val="top"/>
          </w:tcPr>
          <w:p w14:paraId="5EFF8233">
            <w:pPr>
              <w:rPr>
                <w:rFonts w:ascii="Arial"/>
                <w:sz w:val="21"/>
              </w:rPr>
            </w:pPr>
          </w:p>
        </w:tc>
      </w:tr>
      <w:tr w14:paraId="2C1EB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982" w:type="dxa"/>
            <w:vAlign w:val="top"/>
          </w:tcPr>
          <w:p w14:paraId="0CDD3454">
            <w:pPr>
              <w:rPr>
                <w:rFonts w:ascii="Arial"/>
                <w:sz w:val="21"/>
              </w:rPr>
            </w:pPr>
          </w:p>
        </w:tc>
        <w:tc>
          <w:tcPr>
            <w:tcW w:w="1214" w:type="dxa"/>
            <w:vAlign w:val="top"/>
          </w:tcPr>
          <w:p w14:paraId="59E8DD06">
            <w:pPr>
              <w:rPr>
                <w:rFonts w:ascii="Arial"/>
                <w:sz w:val="21"/>
              </w:rPr>
            </w:pPr>
          </w:p>
        </w:tc>
        <w:tc>
          <w:tcPr>
            <w:tcW w:w="1215" w:type="dxa"/>
            <w:vAlign w:val="top"/>
          </w:tcPr>
          <w:p w14:paraId="1A206683">
            <w:pPr>
              <w:rPr>
                <w:rFonts w:ascii="Arial"/>
                <w:sz w:val="21"/>
              </w:rPr>
            </w:pPr>
          </w:p>
        </w:tc>
        <w:tc>
          <w:tcPr>
            <w:tcW w:w="1214" w:type="dxa"/>
            <w:vAlign w:val="top"/>
          </w:tcPr>
          <w:p w14:paraId="39487C9D">
            <w:pPr>
              <w:rPr>
                <w:rFonts w:ascii="Arial"/>
                <w:sz w:val="21"/>
              </w:rPr>
            </w:pPr>
          </w:p>
        </w:tc>
        <w:tc>
          <w:tcPr>
            <w:tcW w:w="1214" w:type="dxa"/>
            <w:vAlign w:val="top"/>
          </w:tcPr>
          <w:p w14:paraId="74FC5955">
            <w:pPr>
              <w:rPr>
                <w:rFonts w:ascii="Arial"/>
                <w:sz w:val="21"/>
              </w:rPr>
            </w:pPr>
          </w:p>
        </w:tc>
        <w:tc>
          <w:tcPr>
            <w:tcW w:w="1214" w:type="dxa"/>
            <w:vAlign w:val="top"/>
          </w:tcPr>
          <w:p w14:paraId="776CD430">
            <w:pPr>
              <w:rPr>
                <w:rFonts w:ascii="Arial"/>
                <w:sz w:val="21"/>
              </w:rPr>
            </w:pPr>
          </w:p>
        </w:tc>
        <w:tc>
          <w:tcPr>
            <w:tcW w:w="1177" w:type="dxa"/>
            <w:vAlign w:val="top"/>
          </w:tcPr>
          <w:p w14:paraId="2F986995">
            <w:pPr>
              <w:rPr>
                <w:rFonts w:ascii="Arial"/>
                <w:sz w:val="21"/>
              </w:rPr>
            </w:pPr>
          </w:p>
        </w:tc>
      </w:tr>
      <w:tr w14:paraId="0553F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982" w:type="dxa"/>
            <w:vAlign w:val="top"/>
          </w:tcPr>
          <w:p w14:paraId="18E8CFED">
            <w:pPr>
              <w:rPr>
                <w:rFonts w:ascii="Arial"/>
                <w:sz w:val="21"/>
              </w:rPr>
            </w:pPr>
          </w:p>
        </w:tc>
        <w:tc>
          <w:tcPr>
            <w:tcW w:w="1214" w:type="dxa"/>
            <w:vAlign w:val="top"/>
          </w:tcPr>
          <w:p w14:paraId="70BD6410">
            <w:pPr>
              <w:rPr>
                <w:rFonts w:ascii="Arial"/>
                <w:sz w:val="21"/>
              </w:rPr>
            </w:pPr>
          </w:p>
        </w:tc>
        <w:tc>
          <w:tcPr>
            <w:tcW w:w="1215" w:type="dxa"/>
            <w:vAlign w:val="top"/>
          </w:tcPr>
          <w:p w14:paraId="732AF469">
            <w:pPr>
              <w:rPr>
                <w:rFonts w:ascii="Arial"/>
                <w:sz w:val="21"/>
              </w:rPr>
            </w:pPr>
          </w:p>
        </w:tc>
        <w:tc>
          <w:tcPr>
            <w:tcW w:w="1214" w:type="dxa"/>
            <w:vAlign w:val="top"/>
          </w:tcPr>
          <w:p w14:paraId="12C40B21">
            <w:pPr>
              <w:rPr>
                <w:rFonts w:ascii="Arial"/>
                <w:sz w:val="21"/>
              </w:rPr>
            </w:pPr>
          </w:p>
        </w:tc>
        <w:tc>
          <w:tcPr>
            <w:tcW w:w="1214" w:type="dxa"/>
            <w:vAlign w:val="top"/>
          </w:tcPr>
          <w:p w14:paraId="560AA381">
            <w:pPr>
              <w:rPr>
                <w:rFonts w:ascii="Arial"/>
                <w:sz w:val="21"/>
              </w:rPr>
            </w:pPr>
          </w:p>
        </w:tc>
        <w:tc>
          <w:tcPr>
            <w:tcW w:w="1214" w:type="dxa"/>
            <w:vAlign w:val="top"/>
          </w:tcPr>
          <w:p w14:paraId="1AB8EF4B">
            <w:pPr>
              <w:rPr>
                <w:rFonts w:ascii="Arial"/>
                <w:sz w:val="21"/>
              </w:rPr>
            </w:pPr>
          </w:p>
        </w:tc>
        <w:tc>
          <w:tcPr>
            <w:tcW w:w="1177" w:type="dxa"/>
            <w:vAlign w:val="top"/>
          </w:tcPr>
          <w:p w14:paraId="65B11F3A">
            <w:pPr>
              <w:rPr>
                <w:rFonts w:ascii="Arial"/>
                <w:sz w:val="21"/>
              </w:rPr>
            </w:pPr>
          </w:p>
        </w:tc>
      </w:tr>
      <w:tr w14:paraId="03D0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982" w:type="dxa"/>
            <w:vAlign w:val="top"/>
          </w:tcPr>
          <w:p w14:paraId="06F535FD">
            <w:pPr>
              <w:rPr>
                <w:rFonts w:ascii="Arial"/>
                <w:sz w:val="21"/>
              </w:rPr>
            </w:pPr>
          </w:p>
        </w:tc>
        <w:tc>
          <w:tcPr>
            <w:tcW w:w="1214" w:type="dxa"/>
            <w:vAlign w:val="top"/>
          </w:tcPr>
          <w:p w14:paraId="4DCEE4CC">
            <w:pPr>
              <w:rPr>
                <w:rFonts w:ascii="Arial"/>
                <w:sz w:val="21"/>
              </w:rPr>
            </w:pPr>
          </w:p>
        </w:tc>
        <w:tc>
          <w:tcPr>
            <w:tcW w:w="1215" w:type="dxa"/>
            <w:vAlign w:val="top"/>
          </w:tcPr>
          <w:p w14:paraId="6646FF10">
            <w:pPr>
              <w:rPr>
                <w:rFonts w:ascii="Arial"/>
                <w:sz w:val="21"/>
              </w:rPr>
            </w:pPr>
          </w:p>
        </w:tc>
        <w:tc>
          <w:tcPr>
            <w:tcW w:w="1214" w:type="dxa"/>
            <w:vAlign w:val="top"/>
          </w:tcPr>
          <w:p w14:paraId="3833D8C6">
            <w:pPr>
              <w:rPr>
                <w:rFonts w:ascii="Arial"/>
                <w:sz w:val="21"/>
              </w:rPr>
            </w:pPr>
          </w:p>
        </w:tc>
        <w:tc>
          <w:tcPr>
            <w:tcW w:w="1214" w:type="dxa"/>
            <w:vAlign w:val="top"/>
          </w:tcPr>
          <w:p w14:paraId="49537EE2">
            <w:pPr>
              <w:rPr>
                <w:rFonts w:ascii="Arial"/>
                <w:sz w:val="21"/>
              </w:rPr>
            </w:pPr>
          </w:p>
        </w:tc>
        <w:tc>
          <w:tcPr>
            <w:tcW w:w="1214" w:type="dxa"/>
            <w:vAlign w:val="top"/>
          </w:tcPr>
          <w:p w14:paraId="1B859D14">
            <w:pPr>
              <w:rPr>
                <w:rFonts w:ascii="Arial"/>
                <w:sz w:val="21"/>
              </w:rPr>
            </w:pPr>
          </w:p>
        </w:tc>
        <w:tc>
          <w:tcPr>
            <w:tcW w:w="1177" w:type="dxa"/>
            <w:vAlign w:val="top"/>
          </w:tcPr>
          <w:p w14:paraId="3DF0D319">
            <w:pPr>
              <w:rPr>
                <w:rFonts w:ascii="Arial"/>
                <w:sz w:val="21"/>
              </w:rPr>
            </w:pPr>
          </w:p>
        </w:tc>
      </w:tr>
      <w:tr w14:paraId="10450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5" w:hRule="atLeast"/>
        </w:trPr>
        <w:tc>
          <w:tcPr>
            <w:tcW w:w="982" w:type="dxa"/>
            <w:vAlign w:val="top"/>
          </w:tcPr>
          <w:p w14:paraId="59231D50">
            <w:pPr>
              <w:rPr>
                <w:rFonts w:ascii="Arial"/>
                <w:sz w:val="21"/>
              </w:rPr>
            </w:pPr>
          </w:p>
        </w:tc>
        <w:tc>
          <w:tcPr>
            <w:tcW w:w="1214" w:type="dxa"/>
            <w:vAlign w:val="top"/>
          </w:tcPr>
          <w:p w14:paraId="6F24BFFB">
            <w:pPr>
              <w:rPr>
                <w:rFonts w:ascii="Arial"/>
                <w:sz w:val="21"/>
              </w:rPr>
            </w:pPr>
          </w:p>
        </w:tc>
        <w:tc>
          <w:tcPr>
            <w:tcW w:w="1215" w:type="dxa"/>
            <w:vAlign w:val="top"/>
          </w:tcPr>
          <w:p w14:paraId="5B20A714">
            <w:pPr>
              <w:rPr>
                <w:rFonts w:ascii="Arial"/>
                <w:sz w:val="21"/>
              </w:rPr>
            </w:pPr>
          </w:p>
        </w:tc>
        <w:tc>
          <w:tcPr>
            <w:tcW w:w="1214" w:type="dxa"/>
            <w:vAlign w:val="top"/>
          </w:tcPr>
          <w:p w14:paraId="14AAED4A">
            <w:pPr>
              <w:rPr>
                <w:rFonts w:ascii="Arial"/>
                <w:sz w:val="21"/>
              </w:rPr>
            </w:pPr>
          </w:p>
        </w:tc>
        <w:tc>
          <w:tcPr>
            <w:tcW w:w="1214" w:type="dxa"/>
            <w:vAlign w:val="top"/>
          </w:tcPr>
          <w:p w14:paraId="19D3C3B4">
            <w:pPr>
              <w:rPr>
                <w:rFonts w:ascii="Arial"/>
                <w:sz w:val="21"/>
              </w:rPr>
            </w:pPr>
          </w:p>
        </w:tc>
        <w:tc>
          <w:tcPr>
            <w:tcW w:w="1214" w:type="dxa"/>
            <w:vAlign w:val="top"/>
          </w:tcPr>
          <w:p w14:paraId="55848F66">
            <w:pPr>
              <w:rPr>
                <w:rFonts w:ascii="Arial"/>
                <w:sz w:val="21"/>
              </w:rPr>
            </w:pPr>
          </w:p>
        </w:tc>
        <w:tc>
          <w:tcPr>
            <w:tcW w:w="1177" w:type="dxa"/>
            <w:vAlign w:val="top"/>
          </w:tcPr>
          <w:p w14:paraId="7A9A6BD5">
            <w:pPr>
              <w:rPr>
                <w:rFonts w:ascii="Arial"/>
                <w:sz w:val="21"/>
              </w:rPr>
            </w:pPr>
          </w:p>
        </w:tc>
      </w:tr>
    </w:tbl>
    <w:p w14:paraId="6DE520DD">
      <w:pPr>
        <w:spacing w:before="135" w:line="232" w:lineRule="auto"/>
        <w:ind w:left="439"/>
        <w:rPr>
          <w:rFonts w:ascii="宋体" w:hAnsi="宋体" w:eastAsia="宋体" w:cs="宋体"/>
          <w:sz w:val="21"/>
          <w:szCs w:val="21"/>
        </w:rPr>
      </w:pPr>
      <w:r>
        <w:rPr>
          <w:rFonts w:ascii="Times New Roman" w:hAnsi="Times New Roman" w:eastAsia="Times New Roman" w:cs="Times New Roman"/>
          <w:sz w:val="21"/>
          <w:szCs w:val="21"/>
        </w:rPr>
        <w:t>4.3.2</w:t>
      </w:r>
      <w:r>
        <w:rPr>
          <w:rFonts w:ascii="Times New Roman" w:hAnsi="Times New Roman" w:eastAsia="Times New Roman" w:cs="Times New Roman"/>
          <w:spacing w:val="53"/>
          <w:sz w:val="21"/>
          <w:szCs w:val="21"/>
        </w:rPr>
        <w:t xml:space="preserve"> </w:t>
      </w:r>
      <w:r>
        <w:rPr>
          <w:rFonts w:ascii="宋体" w:hAnsi="宋体" w:eastAsia="宋体" w:cs="宋体"/>
          <w:sz w:val="21"/>
          <w:szCs w:val="21"/>
        </w:rPr>
        <w:t>工程设备暂估价表</w:t>
      </w:r>
    </w:p>
    <w:p w14:paraId="7CD6ECE8">
      <w:pPr>
        <w:spacing w:line="73"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82"/>
        <w:gridCol w:w="1214"/>
        <w:gridCol w:w="1215"/>
        <w:gridCol w:w="1214"/>
        <w:gridCol w:w="1214"/>
        <w:gridCol w:w="1214"/>
        <w:gridCol w:w="1177"/>
      </w:tblGrid>
      <w:tr w14:paraId="1001B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982" w:type="dxa"/>
            <w:vAlign w:val="top"/>
          </w:tcPr>
          <w:p w14:paraId="5B9091BD">
            <w:pPr>
              <w:pStyle w:val="6"/>
              <w:spacing w:before="44" w:line="221" w:lineRule="auto"/>
              <w:ind w:left="262"/>
              <w:rPr>
                <w:sz w:val="21"/>
                <w:szCs w:val="21"/>
              </w:rPr>
            </w:pPr>
            <w:r>
              <w:rPr>
                <w:b/>
                <w:bCs/>
                <w:spacing w:val="1"/>
                <w:sz w:val="21"/>
                <w:szCs w:val="21"/>
              </w:rPr>
              <w:t>序号</w:t>
            </w:r>
          </w:p>
        </w:tc>
        <w:tc>
          <w:tcPr>
            <w:tcW w:w="1214" w:type="dxa"/>
            <w:vAlign w:val="top"/>
          </w:tcPr>
          <w:p w14:paraId="44956539">
            <w:pPr>
              <w:pStyle w:val="6"/>
              <w:spacing w:before="44" w:line="221" w:lineRule="auto"/>
              <w:ind w:left="380"/>
              <w:rPr>
                <w:sz w:val="21"/>
                <w:szCs w:val="21"/>
              </w:rPr>
            </w:pPr>
            <w:r>
              <w:rPr>
                <w:b/>
                <w:bCs/>
                <w:sz w:val="21"/>
                <w:szCs w:val="21"/>
              </w:rPr>
              <w:t>名称</w:t>
            </w:r>
          </w:p>
        </w:tc>
        <w:tc>
          <w:tcPr>
            <w:tcW w:w="1215" w:type="dxa"/>
            <w:vAlign w:val="top"/>
          </w:tcPr>
          <w:p w14:paraId="4046B639">
            <w:pPr>
              <w:pStyle w:val="6"/>
              <w:spacing w:before="44" w:line="220" w:lineRule="auto"/>
              <w:ind w:left="381"/>
              <w:rPr>
                <w:sz w:val="21"/>
                <w:szCs w:val="21"/>
              </w:rPr>
            </w:pPr>
            <w:r>
              <w:rPr>
                <w:b/>
                <w:bCs/>
                <w:sz w:val="21"/>
                <w:szCs w:val="21"/>
              </w:rPr>
              <w:t>单位</w:t>
            </w:r>
          </w:p>
        </w:tc>
        <w:tc>
          <w:tcPr>
            <w:tcW w:w="1214" w:type="dxa"/>
            <w:vAlign w:val="top"/>
          </w:tcPr>
          <w:p w14:paraId="3AE84C9A">
            <w:pPr>
              <w:pStyle w:val="6"/>
              <w:spacing w:before="44" w:line="220" w:lineRule="auto"/>
              <w:ind w:left="383"/>
              <w:rPr>
                <w:sz w:val="21"/>
                <w:szCs w:val="21"/>
              </w:rPr>
            </w:pPr>
            <w:r>
              <w:rPr>
                <w:b/>
                <w:bCs/>
                <w:sz w:val="21"/>
                <w:szCs w:val="21"/>
              </w:rPr>
              <w:t>数量</w:t>
            </w:r>
          </w:p>
        </w:tc>
        <w:tc>
          <w:tcPr>
            <w:tcW w:w="1214" w:type="dxa"/>
            <w:vAlign w:val="top"/>
          </w:tcPr>
          <w:p w14:paraId="3FC663CE">
            <w:pPr>
              <w:pStyle w:val="6"/>
              <w:spacing w:before="59" w:line="208" w:lineRule="auto"/>
              <w:ind w:left="476"/>
              <w:rPr>
                <w:sz w:val="21"/>
                <w:szCs w:val="21"/>
              </w:rPr>
            </w:pPr>
            <w:r>
              <w:rPr>
                <w:b/>
                <w:bCs/>
                <w:sz w:val="21"/>
                <w:szCs w:val="21"/>
              </w:rPr>
              <w:t>单价</w:t>
            </w:r>
          </w:p>
        </w:tc>
        <w:tc>
          <w:tcPr>
            <w:tcW w:w="1214" w:type="dxa"/>
            <w:vAlign w:val="top"/>
          </w:tcPr>
          <w:p w14:paraId="67CFA54C">
            <w:pPr>
              <w:pStyle w:val="6"/>
              <w:spacing w:before="59" w:line="208" w:lineRule="auto"/>
              <w:ind w:left="433"/>
              <w:rPr>
                <w:sz w:val="21"/>
                <w:szCs w:val="21"/>
              </w:rPr>
            </w:pPr>
            <w:r>
              <w:rPr>
                <w:b/>
                <w:bCs/>
                <w:spacing w:val="1"/>
                <w:sz w:val="21"/>
                <w:szCs w:val="21"/>
              </w:rPr>
              <w:t>合价</w:t>
            </w:r>
          </w:p>
        </w:tc>
        <w:tc>
          <w:tcPr>
            <w:tcW w:w="1177" w:type="dxa"/>
            <w:vAlign w:val="top"/>
          </w:tcPr>
          <w:p w14:paraId="468C13B4">
            <w:pPr>
              <w:pStyle w:val="6"/>
              <w:spacing w:before="44" w:line="221" w:lineRule="auto"/>
              <w:ind w:left="362"/>
              <w:rPr>
                <w:sz w:val="21"/>
                <w:szCs w:val="21"/>
              </w:rPr>
            </w:pPr>
            <w:r>
              <w:rPr>
                <w:b/>
                <w:bCs/>
                <w:sz w:val="21"/>
                <w:szCs w:val="21"/>
              </w:rPr>
              <w:t>备注</w:t>
            </w:r>
          </w:p>
        </w:tc>
      </w:tr>
      <w:tr w14:paraId="77AD6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982" w:type="dxa"/>
            <w:vAlign w:val="top"/>
          </w:tcPr>
          <w:p w14:paraId="20C24800">
            <w:pPr>
              <w:rPr>
                <w:rFonts w:ascii="Arial"/>
                <w:sz w:val="21"/>
              </w:rPr>
            </w:pPr>
          </w:p>
        </w:tc>
        <w:tc>
          <w:tcPr>
            <w:tcW w:w="1214" w:type="dxa"/>
            <w:vAlign w:val="top"/>
          </w:tcPr>
          <w:p w14:paraId="2922E715">
            <w:pPr>
              <w:rPr>
                <w:rFonts w:ascii="Arial"/>
                <w:sz w:val="21"/>
              </w:rPr>
            </w:pPr>
          </w:p>
        </w:tc>
        <w:tc>
          <w:tcPr>
            <w:tcW w:w="1215" w:type="dxa"/>
            <w:vAlign w:val="top"/>
          </w:tcPr>
          <w:p w14:paraId="0275F2FA">
            <w:pPr>
              <w:rPr>
                <w:rFonts w:ascii="Arial"/>
                <w:sz w:val="21"/>
              </w:rPr>
            </w:pPr>
          </w:p>
        </w:tc>
        <w:tc>
          <w:tcPr>
            <w:tcW w:w="1214" w:type="dxa"/>
            <w:vAlign w:val="top"/>
          </w:tcPr>
          <w:p w14:paraId="4E6FB0A4">
            <w:pPr>
              <w:rPr>
                <w:rFonts w:ascii="Arial"/>
                <w:sz w:val="21"/>
              </w:rPr>
            </w:pPr>
          </w:p>
        </w:tc>
        <w:tc>
          <w:tcPr>
            <w:tcW w:w="1214" w:type="dxa"/>
            <w:vAlign w:val="top"/>
          </w:tcPr>
          <w:p w14:paraId="4CCC4283">
            <w:pPr>
              <w:rPr>
                <w:rFonts w:ascii="Arial"/>
                <w:sz w:val="21"/>
              </w:rPr>
            </w:pPr>
          </w:p>
        </w:tc>
        <w:tc>
          <w:tcPr>
            <w:tcW w:w="1214" w:type="dxa"/>
            <w:vAlign w:val="top"/>
          </w:tcPr>
          <w:p w14:paraId="4A496B44">
            <w:pPr>
              <w:rPr>
                <w:rFonts w:ascii="Arial"/>
                <w:sz w:val="21"/>
              </w:rPr>
            </w:pPr>
          </w:p>
        </w:tc>
        <w:tc>
          <w:tcPr>
            <w:tcW w:w="1177" w:type="dxa"/>
            <w:vAlign w:val="top"/>
          </w:tcPr>
          <w:p w14:paraId="33EEAC60">
            <w:pPr>
              <w:rPr>
                <w:rFonts w:ascii="Arial"/>
                <w:sz w:val="21"/>
              </w:rPr>
            </w:pPr>
          </w:p>
        </w:tc>
      </w:tr>
      <w:tr w14:paraId="74207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982" w:type="dxa"/>
            <w:vAlign w:val="top"/>
          </w:tcPr>
          <w:p w14:paraId="3440123C">
            <w:pPr>
              <w:rPr>
                <w:rFonts w:ascii="Arial"/>
                <w:sz w:val="21"/>
              </w:rPr>
            </w:pPr>
          </w:p>
        </w:tc>
        <w:tc>
          <w:tcPr>
            <w:tcW w:w="1214" w:type="dxa"/>
            <w:vAlign w:val="top"/>
          </w:tcPr>
          <w:p w14:paraId="12C746DE">
            <w:pPr>
              <w:rPr>
                <w:rFonts w:ascii="Arial"/>
                <w:sz w:val="21"/>
              </w:rPr>
            </w:pPr>
          </w:p>
        </w:tc>
        <w:tc>
          <w:tcPr>
            <w:tcW w:w="1215" w:type="dxa"/>
            <w:vAlign w:val="top"/>
          </w:tcPr>
          <w:p w14:paraId="6C1BA455">
            <w:pPr>
              <w:rPr>
                <w:rFonts w:ascii="Arial"/>
                <w:sz w:val="21"/>
              </w:rPr>
            </w:pPr>
          </w:p>
        </w:tc>
        <w:tc>
          <w:tcPr>
            <w:tcW w:w="1214" w:type="dxa"/>
            <w:vAlign w:val="top"/>
          </w:tcPr>
          <w:p w14:paraId="7AA8C79F">
            <w:pPr>
              <w:rPr>
                <w:rFonts w:ascii="Arial"/>
                <w:sz w:val="21"/>
              </w:rPr>
            </w:pPr>
          </w:p>
        </w:tc>
        <w:tc>
          <w:tcPr>
            <w:tcW w:w="1214" w:type="dxa"/>
            <w:vAlign w:val="top"/>
          </w:tcPr>
          <w:p w14:paraId="0F9F977A">
            <w:pPr>
              <w:rPr>
                <w:rFonts w:ascii="Arial"/>
                <w:sz w:val="21"/>
              </w:rPr>
            </w:pPr>
          </w:p>
        </w:tc>
        <w:tc>
          <w:tcPr>
            <w:tcW w:w="1214" w:type="dxa"/>
            <w:vAlign w:val="top"/>
          </w:tcPr>
          <w:p w14:paraId="298D421A">
            <w:pPr>
              <w:rPr>
                <w:rFonts w:ascii="Arial"/>
                <w:sz w:val="21"/>
              </w:rPr>
            </w:pPr>
          </w:p>
        </w:tc>
        <w:tc>
          <w:tcPr>
            <w:tcW w:w="1177" w:type="dxa"/>
            <w:vAlign w:val="top"/>
          </w:tcPr>
          <w:p w14:paraId="4C26227F">
            <w:pPr>
              <w:rPr>
                <w:rFonts w:ascii="Arial"/>
                <w:sz w:val="21"/>
              </w:rPr>
            </w:pPr>
          </w:p>
        </w:tc>
      </w:tr>
      <w:tr w14:paraId="473BB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982" w:type="dxa"/>
            <w:vAlign w:val="top"/>
          </w:tcPr>
          <w:p w14:paraId="0E8DE1BA">
            <w:pPr>
              <w:rPr>
                <w:rFonts w:ascii="Arial"/>
                <w:sz w:val="21"/>
              </w:rPr>
            </w:pPr>
          </w:p>
        </w:tc>
        <w:tc>
          <w:tcPr>
            <w:tcW w:w="1214" w:type="dxa"/>
            <w:vAlign w:val="top"/>
          </w:tcPr>
          <w:p w14:paraId="47130F58">
            <w:pPr>
              <w:rPr>
                <w:rFonts w:ascii="Arial"/>
                <w:sz w:val="21"/>
              </w:rPr>
            </w:pPr>
          </w:p>
        </w:tc>
        <w:tc>
          <w:tcPr>
            <w:tcW w:w="1215" w:type="dxa"/>
            <w:vAlign w:val="top"/>
          </w:tcPr>
          <w:p w14:paraId="67D99855">
            <w:pPr>
              <w:rPr>
                <w:rFonts w:ascii="Arial"/>
                <w:sz w:val="21"/>
              </w:rPr>
            </w:pPr>
          </w:p>
        </w:tc>
        <w:tc>
          <w:tcPr>
            <w:tcW w:w="1214" w:type="dxa"/>
            <w:vAlign w:val="top"/>
          </w:tcPr>
          <w:p w14:paraId="7DBA0C02">
            <w:pPr>
              <w:rPr>
                <w:rFonts w:ascii="Arial"/>
                <w:sz w:val="21"/>
              </w:rPr>
            </w:pPr>
          </w:p>
        </w:tc>
        <w:tc>
          <w:tcPr>
            <w:tcW w:w="1214" w:type="dxa"/>
            <w:vAlign w:val="top"/>
          </w:tcPr>
          <w:p w14:paraId="3B1F6A25">
            <w:pPr>
              <w:rPr>
                <w:rFonts w:ascii="Arial"/>
                <w:sz w:val="21"/>
              </w:rPr>
            </w:pPr>
          </w:p>
        </w:tc>
        <w:tc>
          <w:tcPr>
            <w:tcW w:w="1214" w:type="dxa"/>
            <w:vAlign w:val="top"/>
          </w:tcPr>
          <w:p w14:paraId="37CB7098">
            <w:pPr>
              <w:rPr>
                <w:rFonts w:ascii="Arial"/>
                <w:sz w:val="21"/>
              </w:rPr>
            </w:pPr>
          </w:p>
        </w:tc>
        <w:tc>
          <w:tcPr>
            <w:tcW w:w="1177" w:type="dxa"/>
            <w:vAlign w:val="top"/>
          </w:tcPr>
          <w:p w14:paraId="11B558E1">
            <w:pPr>
              <w:rPr>
                <w:rFonts w:ascii="Arial"/>
                <w:sz w:val="21"/>
              </w:rPr>
            </w:pPr>
          </w:p>
        </w:tc>
      </w:tr>
      <w:tr w14:paraId="7C3D6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982" w:type="dxa"/>
            <w:vAlign w:val="top"/>
          </w:tcPr>
          <w:p w14:paraId="36CB8B62">
            <w:pPr>
              <w:rPr>
                <w:rFonts w:ascii="Arial"/>
                <w:sz w:val="21"/>
              </w:rPr>
            </w:pPr>
          </w:p>
        </w:tc>
        <w:tc>
          <w:tcPr>
            <w:tcW w:w="1214" w:type="dxa"/>
            <w:vAlign w:val="top"/>
          </w:tcPr>
          <w:p w14:paraId="30D4AB0B">
            <w:pPr>
              <w:rPr>
                <w:rFonts w:ascii="Arial"/>
                <w:sz w:val="21"/>
              </w:rPr>
            </w:pPr>
          </w:p>
        </w:tc>
        <w:tc>
          <w:tcPr>
            <w:tcW w:w="1215" w:type="dxa"/>
            <w:vAlign w:val="top"/>
          </w:tcPr>
          <w:p w14:paraId="43095BC5">
            <w:pPr>
              <w:rPr>
                <w:rFonts w:ascii="Arial"/>
                <w:sz w:val="21"/>
              </w:rPr>
            </w:pPr>
          </w:p>
        </w:tc>
        <w:tc>
          <w:tcPr>
            <w:tcW w:w="1214" w:type="dxa"/>
            <w:vAlign w:val="top"/>
          </w:tcPr>
          <w:p w14:paraId="71F9B659">
            <w:pPr>
              <w:rPr>
                <w:rFonts w:ascii="Arial"/>
                <w:sz w:val="21"/>
              </w:rPr>
            </w:pPr>
          </w:p>
        </w:tc>
        <w:tc>
          <w:tcPr>
            <w:tcW w:w="1214" w:type="dxa"/>
            <w:vAlign w:val="top"/>
          </w:tcPr>
          <w:p w14:paraId="00A930C5">
            <w:pPr>
              <w:rPr>
                <w:rFonts w:ascii="Arial"/>
                <w:sz w:val="21"/>
              </w:rPr>
            </w:pPr>
          </w:p>
        </w:tc>
        <w:tc>
          <w:tcPr>
            <w:tcW w:w="1214" w:type="dxa"/>
            <w:vAlign w:val="top"/>
          </w:tcPr>
          <w:p w14:paraId="09510AFC">
            <w:pPr>
              <w:rPr>
                <w:rFonts w:ascii="Arial"/>
                <w:sz w:val="21"/>
              </w:rPr>
            </w:pPr>
          </w:p>
        </w:tc>
        <w:tc>
          <w:tcPr>
            <w:tcW w:w="1177" w:type="dxa"/>
            <w:vAlign w:val="top"/>
          </w:tcPr>
          <w:p w14:paraId="688AC8D4">
            <w:pPr>
              <w:rPr>
                <w:rFonts w:ascii="Arial"/>
                <w:sz w:val="21"/>
              </w:rPr>
            </w:pPr>
          </w:p>
        </w:tc>
      </w:tr>
      <w:tr w14:paraId="79930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982" w:type="dxa"/>
            <w:vAlign w:val="top"/>
          </w:tcPr>
          <w:p w14:paraId="645C51B7">
            <w:pPr>
              <w:rPr>
                <w:rFonts w:ascii="Arial"/>
                <w:sz w:val="21"/>
              </w:rPr>
            </w:pPr>
          </w:p>
        </w:tc>
        <w:tc>
          <w:tcPr>
            <w:tcW w:w="1214" w:type="dxa"/>
            <w:vAlign w:val="top"/>
          </w:tcPr>
          <w:p w14:paraId="337BA9AE">
            <w:pPr>
              <w:rPr>
                <w:rFonts w:ascii="Arial"/>
                <w:sz w:val="21"/>
              </w:rPr>
            </w:pPr>
          </w:p>
        </w:tc>
        <w:tc>
          <w:tcPr>
            <w:tcW w:w="1215" w:type="dxa"/>
            <w:vAlign w:val="top"/>
          </w:tcPr>
          <w:p w14:paraId="3198B948">
            <w:pPr>
              <w:rPr>
                <w:rFonts w:ascii="Arial"/>
                <w:sz w:val="21"/>
              </w:rPr>
            </w:pPr>
          </w:p>
        </w:tc>
        <w:tc>
          <w:tcPr>
            <w:tcW w:w="1214" w:type="dxa"/>
            <w:vAlign w:val="top"/>
          </w:tcPr>
          <w:p w14:paraId="68F86DDD">
            <w:pPr>
              <w:rPr>
                <w:rFonts w:ascii="Arial"/>
                <w:sz w:val="21"/>
              </w:rPr>
            </w:pPr>
          </w:p>
        </w:tc>
        <w:tc>
          <w:tcPr>
            <w:tcW w:w="1214" w:type="dxa"/>
            <w:vAlign w:val="top"/>
          </w:tcPr>
          <w:p w14:paraId="1DDF705A">
            <w:pPr>
              <w:rPr>
                <w:rFonts w:ascii="Arial"/>
                <w:sz w:val="21"/>
              </w:rPr>
            </w:pPr>
          </w:p>
        </w:tc>
        <w:tc>
          <w:tcPr>
            <w:tcW w:w="1214" w:type="dxa"/>
            <w:vAlign w:val="top"/>
          </w:tcPr>
          <w:p w14:paraId="0DAE3D9E">
            <w:pPr>
              <w:rPr>
                <w:rFonts w:ascii="Arial"/>
                <w:sz w:val="21"/>
              </w:rPr>
            </w:pPr>
          </w:p>
        </w:tc>
        <w:tc>
          <w:tcPr>
            <w:tcW w:w="1177" w:type="dxa"/>
            <w:vAlign w:val="top"/>
          </w:tcPr>
          <w:p w14:paraId="07F5F952">
            <w:pPr>
              <w:rPr>
                <w:rFonts w:ascii="Arial"/>
                <w:sz w:val="21"/>
              </w:rPr>
            </w:pPr>
          </w:p>
        </w:tc>
      </w:tr>
      <w:tr w14:paraId="18873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5" w:hRule="atLeast"/>
        </w:trPr>
        <w:tc>
          <w:tcPr>
            <w:tcW w:w="982" w:type="dxa"/>
            <w:vAlign w:val="top"/>
          </w:tcPr>
          <w:p w14:paraId="20501F50">
            <w:pPr>
              <w:rPr>
                <w:rFonts w:ascii="Arial"/>
                <w:sz w:val="21"/>
              </w:rPr>
            </w:pPr>
          </w:p>
        </w:tc>
        <w:tc>
          <w:tcPr>
            <w:tcW w:w="1214" w:type="dxa"/>
            <w:vAlign w:val="top"/>
          </w:tcPr>
          <w:p w14:paraId="3E203BEB">
            <w:pPr>
              <w:rPr>
                <w:rFonts w:ascii="Arial"/>
                <w:sz w:val="21"/>
              </w:rPr>
            </w:pPr>
          </w:p>
        </w:tc>
        <w:tc>
          <w:tcPr>
            <w:tcW w:w="1215" w:type="dxa"/>
            <w:vAlign w:val="top"/>
          </w:tcPr>
          <w:p w14:paraId="540FBB0A">
            <w:pPr>
              <w:rPr>
                <w:rFonts w:ascii="Arial"/>
                <w:sz w:val="21"/>
              </w:rPr>
            </w:pPr>
          </w:p>
        </w:tc>
        <w:tc>
          <w:tcPr>
            <w:tcW w:w="1214" w:type="dxa"/>
            <w:vAlign w:val="top"/>
          </w:tcPr>
          <w:p w14:paraId="66D868C2">
            <w:pPr>
              <w:rPr>
                <w:rFonts w:ascii="Arial"/>
                <w:sz w:val="21"/>
              </w:rPr>
            </w:pPr>
          </w:p>
        </w:tc>
        <w:tc>
          <w:tcPr>
            <w:tcW w:w="1214" w:type="dxa"/>
            <w:vAlign w:val="top"/>
          </w:tcPr>
          <w:p w14:paraId="63752DAE">
            <w:pPr>
              <w:rPr>
                <w:rFonts w:ascii="Arial"/>
                <w:sz w:val="21"/>
              </w:rPr>
            </w:pPr>
          </w:p>
        </w:tc>
        <w:tc>
          <w:tcPr>
            <w:tcW w:w="1214" w:type="dxa"/>
            <w:vAlign w:val="top"/>
          </w:tcPr>
          <w:p w14:paraId="797ACC8A">
            <w:pPr>
              <w:rPr>
                <w:rFonts w:ascii="Arial"/>
                <w:sz w:val="21"/>
              </w:rPr>
            </w:pPr>
          </w:p>
        </w:tc>
        <w:tc>
          <w:tcPr>
            <w:tcW w:w="1177" w:type="dxa"/>
            <w:vAlign w:val="top"/>
          </w:tcPr>
          <w:p w14:paraId="252B4011">
            <w:pPr>
              <w:rPr>
                <w:rFonts w:ascii="Arial"/>
                <w:sz w:val="21"/>
              </w:rPr>
            </w:pPr>
          </w:p>
        </w:tc>
      </w:tr>
    </w:tbl>
    <w:p w14:paraId="6E02B70B">
      <w:pPr>
        <w:spacing w:before="134" w:line="232" w:lineRule="auto"/>
        <w:ind w:left="439"/>
        <w:rPr>
          <w:rFonts w:ascii="宋体" w:hAnsi="宋体" w:eastAsia="宋体" w:cs="宋体"/>
          <w:sz w:val="21"/>
          <w:szCs w:val="21"/>
        </w:rPr>
      </w:pPr>
      <w:r>
        <w:rPr>
          <w:rFonts w:ascii="Times New Roman" w:hAnsi="Times New Roman" w:eastAsia="Times New Roman" w:cs="Times New Roman"/>
          <w:sz w:val="21"/>
          <w:szCs w:val="21"/>
        </w:rPr>
        <w:t xml:space="preserve">4.3.3    </w:t>
      </w:r>
      <w:r>
        <w:rPr>
          <w:rFonts w:ascii="宋体" w:hAnsi="宋体" w:eastAsia="宋体" w:cs="宋体"/>
          <w:sz w:val="21"/>
          <w:szCs w:val="21"/>
        </w:rPr>
        <w:t>专业工程暂估价表</w:t>
      </w:r>
    </w:p>
    <w:p w14:paraId="685B46A6">
      <w:pPr>
        <w:spacing w:line="79"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1559"/>
        <w:gridCol w:w="4857"/>
        <w:gridCol w:w="1012"/>
      </w:tblGrid>
      <w:tr w14:paraId="3D2EF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trPr>
        <w:tc>
          <w:tcPr>
            <w:tcW w:w="802" w:type="dxa"/>
            <w:vAlign w:val="top"/>
          </w:tcPr>
          <w:p w14:paraId="22CF97B0">
            <w:pPr>
              <w:pStyle w:val="6"/>
              <w:spacing w:before="29" w:line="221" w:lineRule="auto"/>
              <w:ind w:left="172"/>
              <w:rPr>
                <w:sz w:val="21"/>
                <w:szCs w:val="21"/>
              </w:rPr>
            </w:pPr>
            <w:r>
              <w:rPr>
                <w:b/>
                <w:bCs/>
                <w:spacing w:val="1"/>
                <w:sz w:val="21"/>
                <w:szCs w:val="21"/>
              </w:rPr>
              <w:t>序号</w:t>
            </w:r>
          </w:p>
        </w:tc>
        <w:tc>
          <w:tcPr>
            <w:tcW w:w="1559" w:type="dxa"/>
            <w:vAlign w:val="top"/>
          </w:tcPr>
          <w:p w14:paraId="7ADEF4B2">
            <w:pPr>
              <w:pStyle w:val="6"/>
              <w:spacing w:before="29" w:line="220" w:lineRule="auto"/>
              <w:ind w:left="123"/>
              <w:rPr>
                <w:sz w:val="21"/>
                <w:szCs w:val="21"/>
              </w:rPr>
            </w:pPr>
            <w:r>
              <w:rPr>
                <w:b/>
                <w:bCs/>
                <w:spacing w:val="4"/>
                <w:sz w:val="21"/>
                <w:szCs w:val="21"/>
              </w:rPr>
              <w:t>专业工程名称</w:t>
            </w:r>
          </w:p>
        </w:tc>
        <w:tc>
          <w:tcPr>
            <w:tcW w:w="4857" w:type="dxa"/>
            <w:vAlign w:val="top"/>
          </w:tcPr>
          <w:p w14:paraId="6336B395">
            <w:pPr>
              <w:pStyle w:val="6"/>
              <w:spacing w:before="29" w:line="220" w:lineRule="auto"/>
              <w:ind w:left="1990"/>
              <w:rPr>
                <w:sz w:val="21"/>
                <w:szCs w:val="21"/>
              </w:rPr>
            </w:pPr>
            <w:r>
              <w:rPr>
                <w:b/>
                <w:bCs/>
                <w:spacing w:val="6"/>
                <w:sz w:val="21"/>
                <w:szCs w:val="21"/>
              </w:rPr>
              <w:t>工程内容</w:t>
            </w:r>
          </w:p>
        </w:tc>
        <w:tc>
          <w:tcPr>
            <w:tcW w:w="1012" w:type="dxa"/>
            <w:vAlign w:val="top"/>
          </w:tcPr>
          <w:p w14:paraId="0AB71BB8">
            <w:pPr>
              <w:pStyle w:val="6"/>
              <w:spacing w:before="29" w:line="220" w:lineRule="auto"/>
              <w:ind w:left="286"/>
              <w:rPr>
                <w:sz w:val="21"/>
                <w:szCs w:val="21"/>
              </w:rPr>
            </w:pPr>
            <w:r>
              <w:rPr>
                <w:b/>
                <w:bCs/>
                <w:sz w:val="21"/>
                <w:szCs w:val="21"/>
              </w:rPr>
              <w:t>金额</w:t>
            </w:r>
          </w:p>
        </w:tc>
      </w:tr>
    </w:tbl>
    <w:p w14:paraId="3411C72B">
      <w:pPr>
        <w:pStyle w:val="2"/>
      </w:pPr>
    </w:p>
    <w:p w14:paraId="5AE59D47">
      <w:pPr>
        <w:sectPr>
          <w:footerReference r:id="rId258" w:type="default"/>
          <w:pgSz w:w="11910" w:h="16845"/>
          <w:pgMar w:top="400" w:right="1786" w:bottom="1110" w:left="1786" w:header="0" w:footer="883" w:gutter="0"/>
          <w:cols w:space="720" w:num="1"/>
        </w:sectPr>
      </w:pPr>
    </w:p>
    <w:p w14:paraId="5BE4818F">
      <w:pPr>
        <w:spacing w:before="19"/>
      </w:pPr>
    </w:p>
    <w:p w14:paraId="207E71FD">
      <w:pPr>
        <w:spacing w:before="19"/>
      </w:pPr>
    </w:p>
    <w:p w14:paraId="608E3F22">
      <w:pPr>
        <w:spacing w:before="19"/>
      </w:pPr>
    </w:p>
    <w:p w14:paraId="59A8FC17">
      <w:pPr>
        <w:spacing w:before="18"/>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1559"/>
        <w:gridCol w:w="4857"/>
        <w:gridCol w:w="1012"/>
      </w:tblGrid>
      <w:tr w14:paraId="1325F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802" w:type="dxa"/>
            <w:vAlign w:val="top"/>
          </w:tcPr>
          <w:p w14:paraId="40600B22">
            <w:pPr>
              <w:pStyle w:val="6"/>
              <w:spacing w:before="44" w:line="221" w:lineRule="auto"/>
              <w:ind w:left="172"/>
              <w:rPr>
                <w:sz w:val="21"/>
                <w:szCs w:val="21"/>
              </w:rPr>
            </w:pPr>
            <w:r>
              <w:rPr>
                <w:b/>
                <w:bCs/>
                <w:spacing w:val="1"/>
                <w:sz w:val="21"/>
                <w:szCs w:val="21"/>
              </w:rPr>
              <w:t>序号</w:t>
            </w:r>
          </w:p>
        </w:tc>
        <w:tc>
          <w:tcPr>
            <w:tcW w:w="1559" w:type="dxa"/>
            <w:vAlign w:val="top"/>
          </w:tcPr>
          <w:p w14:paraId="1B00D3C4">
            <w:pPr>
              <w:pStyle w:val="6"/>
              <w:spacing w:before="44" w:line="220" w:lineRule="auto"/>
              <w:ind w:left="123"/>
              <w:rPr>
                <w:sz w:val="21"/>
                <w:szCs w:val="21"/>
              </w:rPr>
            </w:pPr>
            <w:r>
              <w:rPr>
                <w:b/>
                <w:bCs/>
                <w:spacing w:val="4"/>
                <w:sz w:val="21"/>
                <w:szCs w:val="21"/>
              </w:rPr>
              <w:t>专业工程名称</w:t>
            </w:r>
          </w:p>
        </w:tc>
        <w:tc>
          <w:tcPr>
            <w:tcW w:w="4857" w:type="dxa"/>
            <w:vAlign w:val="top"/>
          </w:tcPr>
          <w:p w14:paraId="082F595F">
            <w:pPr>
              <w:pStyle w:val="6"/>
              <w:spacing w:before="44" w:line="220" w:lineRule="auto"/>
              <w:ind w:left="1990"/>
              <w:rPr>
                <w:sz w:val="21"/>
                <w:szCs w:val="21"/>
              </w:rPr>
            </w:pPr>
            <w:r>
              <w:rPr>
                <w:b/>
                <w:bCs/>
                <w:spacing w:val="6"/>
                <w:sz w:val="21"/>
                <w:szCs w:val="21"/>
              </w:rPr>
              <w:t>工程内容</w:t>
            </w:r>
          </w:p>
        </w:tc>
        <w:tc>
          <w:tcPr>
            <w:tcW w:w="1012" w:type="dxa"/>
            <w:vAlign w:val="top"/>
          </w:tcPr>
          <w:p w14:paraId="63E06D41">
            <w:pPr>
              <w:pStyle w:val="6"/>
              <w:spacing w:before="44" w:line="220" w:lineRule="auto"/>
              <w:ind w:left="286"/>
              <w:rPr>
                <w:sz w:val="21"/>
                <w:szCs w:val="21"/>
              </w:rPr>
            </w:pPr>
            <w:r>
              <w:rPr>
                <w:b/>
                <w:bCs/>
                <w:sz w:val="21"/>
                <w:szCs w:val="21"/>
              </w:rPr>
              <w:t>金额</w:t>
            </w:r>
          </w:p>
        </w:tc>
      </w:tr>
      <w:tr w14:paraId="2C6C7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802" w:type="dxa"/>
            <w:vAlign w:val="top"/>
          </w:tcPr>
          <w:p w14:paraId="3C8F7BED">
            <w:pPr>
              <w:rPr>
                <w:rFonts w:ascii="Arial"/>
                <w:sz w:val="21"/>
              </w:rPr>
            </w:pPr>
          </w:p>
        </w:tc>
        <w:tc>
          <w:tcPr>
            <w:tcW w:w="1559" w:type="dxa"/>
            <w:vAlign w:val="top"/>
          </w:tcPr>
          <w:p w14:paraId="1E47C9AD">
            <w:pPr>
              <w:rPr>
                <w:rFonts w:ascii="Arial"/>
                <w:sz w:val="21"/>
              </w:rPr>
            </w:pPr>
          </w:p>
        </w:tc>
        <w:tc>
          <w:tcPr>
            <w:tcW w:w="4857" w:type="dxa"/>
            <w:vAlign w:val="top"/>
          </w:tcPr>
          <w:p w14:paraId="4985D152">
            <w:pPr>
              <w:rPr>
                <w:rFonts w:ascii="Arial"/>
                <w:sz w:val="21"/>
              </w:rPr>
            </w:pPr>
          </w:p>
        </w:tc>
        <w:tc>
          <w:tcPr>
            <w:tcW w:w="1012" w:type="dxa"/>
            <w:vAlign w:val="top"/>
          </w:tcPr>
          <w:p w14:paraId="74A6C386">
            <w:pPr>
              <w:rPr>
                <w:rFonts w:ascii="Arial"/>
                <w:sz w:val="21"/>
              </w:rPr>
            </w:pPr>
          </w:p>
        </w:tc>
      </w:tr>
      <w:tr w14:paraId="630EC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802" w:type="dxa"/>
            <w:vAlign w:val="top"/>
          </w:tcPr>
          <w:p w14:paraId="1D017D6D">
            <w:pPr>
              <w:rPr>
                <w:rFonts w:ascii="Arial"/>
                <w:sz w:val="21"/>
              </w:rPr>
            </w:pPr>
          </w:p>
        </w:tc>
        <w:tc>
          <w:tcPr>
            <w:tcW w:w="1559" w:type="dxa"/>
            <w:vAlign w:val="top"/>
          </w:tcPr>
          <w:p w14:paraId="242BD421">
            <w:pPr>
              <w:rPr>
                <w:rFonts w:ascii="Arial"/>
                <w:sz w:val="21"/>
              </w:rPr>
            </w:pPr>
          </w:p>
        </w:tc>
        <w:tc>
          <w:tcPr>
            <w:tcW w:w="4857" w:type="dxa"/>
            <w:vAlign w:val="top"/>
          </w:tcPr>
          <w:p w14:paraId="23C7606E">
            <w:pPr>
              <w:rPr>
                <w:rFonts w:ascii="Arial"/>
                <w:sz w:val="21"/>
              </w:rPr>
            </w:pPr>
          </w:p>
        </w:tc>
        <w:tc>
          <w:tcPr>
            <w:tcW w:w="1012" w:type="dxa"/>
            <w:vAlign w:val="top"/>
          </w:tcPr>
          <w:p w14:paraId="2EFE3248">
            <w:pPr>
              <w:rPr>
                <w:rFonts w:ascii="Arial"/>
                <w:sz w:val="21"/>
              </w:rPr>
            </w:pPr>
          </w:p>
        </w:tc>
      </w:tr>
      <w:tr w14:paraId="6F395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802" w:type="dxa"/>
            <w:vAlign w:val="top"/>
          </w:tcPr>
          <w:p w14:paraId="2FB56757">
            <w:pPr>
              <w:rPr>
                <w:rFonts w:ascii="Arial"/>
                <w:sz w:val="21"/>
              </w:rPr>
            </w:pPr>
          </w:p>
        </w:tc>
        <w:tc>
          <w:tcPr>
            <w:tcW w:w="1559" w:type="dxa"/>
            <w:vAlign w:val="top"/>
          </w:tcPr>
          <w:p w14:paraId="0A928414">
            <w:pPr>
              <w:rPr>
                <w:rFonts w:ascii="Arial"/>
                <w:sz w:val="21"/>
              </w:rPr>
            </w:pPr>
          </w:p>
        </w:tc>
        <w:tc>
          <w:tcPr>
            <w:tcW w:w="4857" w:type="dxa"/>
            <w:vAlign w:val="top"/>
          </w:tcPr>
          <w:p w14:paraId="7001806F">
            <w:pPr>
              <w:rPr>
                <w:rFonts w:ascii="Arial"/>
                <w:sz w:val="21"/>
              </w:rPr>
            </w:pPr>
          </w:p>
        </w:tc>
        <w:tc>
          <w:tcPr>
            <w:tcW w:w="1012" w:type="dxa"/>
            <w:vAlign w:val="top"/>
          </w:tcPr>
          <w:p w14:paraId="112268E9">
            <w:pPr>
              <w:rPr>
                <w:rFonts w:ascii="Arial"/>
                <w:sz w:val="21"/>
              </w:rPr>
            </w:pPr>
          </w:p>
        </w:tc>
      </w:tr>
      <w:tr w14:paraId="31496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802" w:type="dxa"/>
            <w:vAlign w:val="top"/>
          </w:tcPr>
          <w:p w14:paraId="1ADCAF71">
            <w:pPr>
              <w:rPr>
                <w:rFonts w:ascii="Arial"/>
                <w:sz w:val="21"/>
              </w:rPr>
            </w:pPr>
          </w:p>
        </w:tc>
        <w:tc>
          <w:tcPr>
            <w:tcW w:w="1559" w:type="dxa"/>
            <w:vAlign w:val="top"/>
          </w:tcPr>
          <w:p w14:paraId="6F13B9C2">
            <w:pPr>
              <w:rPr>
                <w:rFonts w:ascii="Arial"/>
                <w:sz w:val="21"/>
              </w:rPr>
            </w:pPr>
          </w:p>
        </w:tc>
        <w:tc>
          <w:tcPr>
            <w:tcW w:w="4857" w:type="dxa"/>
            <w:vAlign w:val="top"/>
          </w:tcPr>
          <w:p w14:paraId="2B2D2CE5">
            <w:pPr>
              <w:rPr>
                <w:rFonts w:ascii="Arial"/>
                <w:sz w:val="21"/>
              </w:rPr>
            </w:pPr>
          </w:p>
        </w:tc>
        <w:tc>
          <w:tcPr>
            <w:tcW w:w="1012" w:type="dxa"/>
            <w:vAlign w:val="top"/>
          </w:tcPr>
          <w:p w14:paraId="389D9CEF">
            <w:pPr>
              <w:rPr>
                <w:rFonts w:ascii="Arial"/>
                <w:sz w:val="21"/>
              </w:rPr>
            </w:pPr>
          </w:p>
        </w:tc>
      </w:tr>
      <w:tr w14:paraId="63403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3" w:hRule="atLeast"/>
        </w:trPr>
        <w:tc>
          <w:tcPr>
            <w:tcW w:w="802" w:type="dxa"/>
            <w:vAlign w:val="top"/>
          </w:tcPr>
          <w:p w14:paraId="02A99968">
            <w:pPr>
              <w:rPr>
                <w:rFonts w:ascii="Arial"/>
                <w:sz w:val="21"/>
              </w:rPr>
            </w:pPr>
          </w:p>
        </w:tc>
        <w:tc>
          <w:tcPr>
            <w:tcW w:w="1559" w:type="dxa"/>
            <w:vAlign w:val="top"/>
          </w:tcPr>
          <w:p w14:paraId="06FBF3FB">
            <w:pPr>
              <w:rPr>
                <w:rFonts w:ascii="Arial"/>
                <w:sz w:val="21"/>
              </w:rPr>
            </w:pPr>
          </w:p>
        </w:tc>
        <w:tc>
          <w:tcPr>
            <w:tcW w:w="4857" w:type="dxa"/>
            <w:vAlign w:val="top"/>
          </w:tcPr>
          <w:p w14:paraId="56F777C8">
            <w:pPr>
              <w:rPr>
                <w:rFonts w:ascii="Arial"/>
                <w:sz w:val="21"/>
              </w:rPr>
            </w:pPr>
          </w:p>
        </w:tc>
        <w:tc>
          <w:tcPr>
            <w:tcW w:w="1012" w:type="dxa"/>
            <w:vAlign w:val="top"/>
          </w:tcPr>
          <w:p w14:paraId="2F2493CA">
            <w:pPr>
              <w:rPr>
                <w:rFonts w:ascii="Arial"/>
                <w:sz w:val="21"/>
              </w:rPr>
            </w:pPr>
          </w:p>
        </w:tc>
      </w:tr>
      <w:tr w14:paraId="33812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8" w:hRule="atLeast"/>
        </w:trPr>
        <w:tc>
          <w:tcPr>
            <w:tcW w:w="802" w:type="dxa"/>
            <w:vAlign w:val="top"/>
          </w:tcPr>
          <w:p w14:paraId="25088BD6">
            <w:pPr>
              <w:rPr>
                <w:rFonts w:ascii="Arial"/>
                <w:sz w:val="21"/>
              </w:rPr>
            </w:pPr>
          </w:p>
        </w:tc>
        <w:tc>
          <w:tcPr>
            <w:tcW w:w="1559" w:type="dxa"/>
            <w:vAlign w:val="top"/>
          </w:tcPr>
          <w:p w14:paraId="1F1609B9">
            <w:pPr>
              <w:rPr>
                <w:rFonts w:ascii="Arial"/>
                <w:sz w:val="21"/>
              </w:rPr>
            </w:pPr>
          </w:p>
        </w:tc>
        <w:tc>
          <w:tcPr>
            <w:tcW w:w="4857" w:type="dxa"/>
            <w:vAlign w:val="top"/>
          </w:tcPr>
          <w:p w14:paraId="0734CFD1">
            <w:pPr>
              <w:rPr>
                <w:rFonts w:ascii="Arial"/>
                <w:sz w:val="21"/>
              </w:rPr>
            </w:pPr>
          </w:p>
        </w:tc>
        <w:tc>
          <w:tcPr>
            <w:tcW w:w="1012" w:type="dxa"/>
            <w:vAlign w:val="top"/>
          </w:tcPr>
          <w:p w14:paraId="571832DB">
            <w:pPr>
              <w:rPr>
                <w:rFonts w:ascii="Arial"/>
                <w:sz w:val="21"/>
              </w:rPr>
            </w:pPr>
          </w:p>
        </w:tc>
      </w:tr>
      <w:tr w14:paraId="49BF2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 w:hRule="atLeast"/>
        </w:trPr>
        <w:tc>
          <w:tcPr>
            <w:tcW w:w="8230" w:type="dxa"/>
            <w:gridSpan w:val="4"/>
            <w:vAlign w:val="top"/>
          </w:tcPr>
          <w:p w14:paraId="55113734">
            <w:pPr>
              <w:pStyle w:val="6"/>
              <w:spacing w:before="51" w:line="215" w:lineRule="auto"/>
              <w:ind w:left="3813"/>
              <w:rPr>
                <w:sz w:val="21"/>
                <w:szCs w:val="21"/>
              </w:rPr>
            </w:pPr>
            <w:r>
              <w:rPr>
                <w:spacing w:val="-14"/>
                <w:sz w:val="21"/>
                <w:szCs w:val="21"/>
              </w:rPr>
              <w:t>小计：</w:t>
            </w:r>
          </w:p>
        </w:tc>
      </w:tr>
    </w:tbl>
    <w:p w14:paraId="089135AA">
      <w:pPr>
        <w:pStyle w:val="2"/>
        <w:spacing w:line="336" w:lineRule="auto"/>
      </w:pPr>
    </w:p>
    <w:p w14:paraId="7613A377">
      <w:pPr>
        <w:spacing w:before="91" w:line="237" w:lineRule="auto"/>
        <w:ind w:left="20"/>
        <w:outlineLvl w:val="2"/>
        <w:rPr>
          <w:rFonts w:ascii="黑体" w:hAnsi="黑体" w:eastAsia="黑体" w:cs="黑体"/>
          <w:sz w:val="28"/>
          <w:szCs w:val="28"/>
        </w:rPr>
      </w:pPr>
      <w:bookmarkStart w:id="582" w:name="bookmark538"/>
      <w:bookmarkEnd w:id="582"/>
      <w:r>
        <w:rPr>
          <w:rFonts w:ascii="Times New Roman" w:hAnsi="Times New Roman" w:eastAsia="Times New Roman" w:cs="Times New Roman"/>
          <w:spacing w:val="4"/>
          <w:sz w:val="28"/>
          <w:szCs w:val="28"/>
        </w:rPr>
        <w:t xml:space="preserve">4.4  </w:t>
      </w:r>
      <w:r>
        <w:rPr>
          <w:rFonts w:ascii="黑体" w:hAnsi="黑体" w:eastAsia="黑体" w:cs="黑体"/>
          <w:spacing w:val="4"/>
          <w:sz w:val="28"/>
          <w:szCs w:val="28"/>
        </w:rPr>
        <w:t>投标报价汇总表</w:t>
      </w:r>
    </w:p>
    <w:p w14:paraId="39AE5664">
      <w:pPr>
        <w:pStyle w:val="2"/>
        <w:spacing w:line="431" w:lineRule="auto"/>
      </w:pPr>
    </w:p>
    <w:p w14:paraId="32A4399B">
      <w:pPr>
        <w:tabs>
          <w:tab w:val="left" w:pos="1923"/>
        </w:tabs>
        <w:spacing w:before="68" w:line="220" w:lineRule="auto"/>
        <w:ind w:left="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
          <w:sz w:val="21"/>
          <w:szCs w:val="21"/>
        </w:rPr>
        <w:t>标段</w:t>
      </w:r>
    </w:p>
    <w:p w14:paraId="431E22AB">
      <w:pPr>
        <w:spacing w:line="50"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69"/>
        <w:gridCol w:w="922"/>
        <w:gridCol w:w="1417"/>
        <w:gridCol w:w="1522"/>
      </w:tblGrid>
      <w:tr w14:paraId="717F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4369" w:type="dxa"/>
            <w:tcBorders>
              <w:right w:val="nil"/>
            </w:tcBorders>
            <w:vAlign w:val="top"/>
          </w:tcPr>
          <w:p w14:paraId="6C68167A">
            <w:pPr>
              <w:pStyle w:val="6"/>
              <w:spacing w:before="179" w:line="220" w:lineRule="auto"/>
              <w:ind w:left="218"/>
              <w:rPr>
                <w:sz w:val="21"/>
                <w:szCs w:val="21"/>
              </w:rPr>
            </w:pPr>
            <w:r>
              <w:rPr>
                <w:b/>
                <w:bCs/>
                <w:spacing w:val="7"/>
                <w:sz w:val="21"/>
                <w:szCs w:val="21"/>
              </w:rPr>
              <w:t>汇总内容</w:t>
            </w:r>
          </w:p>
        </w:tc>
        <w:tc>
          <w:tcPr>
            <w:tcW w:w="922" w:type="dxa"/>
            <w:tcBorders>
              <w:left w:val="nil"/>
              <w:right w:val="nil"/>
            </w:tcBorders>
            <w:vAlign w:val="top"/>
          </w:tcPr>
          <w:p w14:paraId="3F6F75A2">
            <w:pPr>
              <w:rPr>
                <w:rFonts w:ascii="Arial"/>
                <w:sz w:val="21"/>
              </w:rPr>
            </w:pPr>
          </w:p>
        </w:tc>
        <w:tc>
          <w:tcPr>
            <w:tcW w:w="1417" w:type="dxa"/>
            <w:tcBorders>
              <w:left w:val="nil"/>
            </w:tcBorders>
            <w:vAlign w:val="top"/>
          </w:tcPr>
          <w:p w14:paraId="06C9363F">
            <w:pPr>
              <w:pStyle w:val="6"/>
              <w:spacing w:before="179" w:line="220" w:lineRule="auto"/>
              <w:ind w:left="748"/>
              <w:rPr>
                <w:sz w:val="21"/>
                <w:szCs w:val="21"/>
              </w:rPr>
            </w:pPr>
            <w:r>
              <w:rPr>
                <w:b/>
                <w:bCs/>
                <w:sz w:val="21"/>
                <w:szCs w:val="21"/>
              </w:rPr>
              <w:t>金额</w:t>
            </w:r>
          </w:p>
        </w:tc>
        <w:tc>
          <w:tcPr>
            <w:tcW w:w="1522" w:type="dxa"/>
            <w:vAlign w:val="top"/>
          </w:tcPr>
          <w:p w14:paraId="2D3DD4E2">
            <w:pPr>
              <w:pStyle w:val="6"/>
              <w:spacing w:before="180" w:line="221" w:lineRule="auto"/>
              <w:ind w:left="541"/>
              <w:rPr>
                <w:sz w:val="21"/>
                <w:szCs w:val="21"/>
              </w:rPr>
            </w:pPr>
            <w:r>
              <w:rPr>
                <w:b/>
                <w:bCs/>
                <w:sz w:val="21"/>
                <w:szCs w:val="21"/>
              </w:rPr>
              <w:t>备注</w:t>
            </w:r>
          </w:p>
        </w:tc>
      </w:tr>
      <w:tr w14:paraId="4E910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80" w:hRule="atLeast"/>
        </w:trPr>
        <w:tc>
          <w:tcPr>
            <w:tcW w:w="4369" w:type="dxa"/>
            <w:tcBorders>
              <w:right w:val="nil"/>
            </w:tcBorders>
            <w:vAlign w:val="top"/>
          </w:tcPr>
          <w:p w14:paraId="573EE852">
            <w:pPr>
              <w:rPr>
                <w:rFonts w:ascii="Arial"/>
                <w:sz w:val="21"/>
              </w:rPr>
            </w:pPr>
          </w:p>
          <w:p w14:paraId="7DE668BD">
            <w:pPr>
              <w:rPr>
                <w:rFonts w:ascii="Arial"/>
                <w:sz w:val="21"/>
              </w:rPr>
            </w:pPr>
          </w:p>
          <w:p w14:paraId="05713868">
            <w:pPr>
              <w:rPr>
                <w:rFonts w:ascii="Arial"/>
                <w:sz w:val="21"/>
              </w:rPr>
            </w:pPr>
          </w:p>
          <w:p w14:paraId="33C12823">
            <w:pPr>
              <w:rPr>
                <w:rFonts w:ascii="Arial"/>
                <w:sz w:val="21"/>
              </w:rPr>
            </w:pPr>
          </w:p>
          <w:p w14:paraId="63016597">
            <w:pPr>
              <w:spacing w:line="241" w:lineRule="auto"/>
              <w:rPr>
                <w:rFonts w:ascii="Arial"/>
                <w:sz w:val="21"/>
              </w:rPr>
            </w:pPr>
          </w:p>
          <w:p w14:paraId="5A04DC26">
            <w:pPr>
              <w:spacing w:line="241" w:lineRule="auto"/>
              <w:rPr>
                <w:rFonts w:ascii="Arial"/>
                <w:sz w:val="21"/>
              </w:rPr>
            </w:pPr>
          </w:p>
          <w:p w14:paraId="134B6187">
            <w:pPr>
              <w:spacing w:line="241" w:lineRule="auto"/>
              <w:rPr>
                <w:rFonts w:ascii="Arial"/>
                <w:sz w:val="21"/>
              </w:rPr>
            </w:pPr>
          </w:p>
          <w:p w14:paraId="57A74E88">
            <w:pPr>
              <w:spacing w:line="241" w:lineRule="auto"/>
              <w:rPr>
                <w:rFonts w:ascii="Arial"/>
                <w:sz w:val="21"/>
              </w:rPr>
            </w:pPr>
          </w:p>
          <w:p w14:paraId="5A3BDD61">
            <w:pPr>
              <w:spacing w:line="241" w:lineRule="auto"/>
              <w:rPr>
                <w:rFonts w:ascii="Arial"/>
                <w:sz w:val="21"/>
              </w:rPr>
            </w:pPr>
          </w:p>
          <w:p w14:paraId="35CABA32">
            <w:pPr>
              <w:spacing w:line="241" w:lineRule="auto"/>
              <w:rPr>
                <w:rFonts w:ascii="Arial"/>
                <w:sz w:val="21"/>
              </w:rPr>
            </w:pPr>
          </w:p>
          <w:p w14:paraId="1D0FC7DB">
            <w:pPr>
              <w:spacing w:line="241" w:lineRule="auto"/>
              <w:rPr>
                <w:rFonts w:ascii="Arial"/>
                <w:sz w:val="21"/>
              </w:rPr>
            </w:pPr>
          </w:p>
          <w:p w14:paraId="39F5E308">
            <w:pPr>
              <w:spacing w:line="241" w:lineRule="auto"/>
              <w:rPr>
                <w:rFonts w:ascii="Arial"/>
                <w:sz w:val="21"/>
              </w:rPr>
            </w:pPr>
          </w:p>
          <w:p w14:paraId="0CED0843">
            <w:pPr>
              <w:spacing w:line="241" w:lineRule="auto"/>
              <w:rPr>
                <w:rFonts w:ascii="Arial"/>
                <w:sz w:val="21"/>
              </w:rPr>
            </w:pPr>
          </w:p>
          <w:p w14:paraId="360963CB">
            <w:pPr>
              <w:spacing w:line="241" w:lineRule="auto"/>
              <w:rPr>
                <w:rFonts w:ascii="Arial"/>
                <w:sz w:val="21"/>
              </w:rPr>
            </w:pPr>
          </w:p>
          <w:p w14:paraId="59D3894D">
            <w:pPr>
              <w:spacing w:line="241" w:lineRule="auto"/>
              <w:rPr>
                <w:rFonts w:ascii="Arial"/>
                <w:sz w:val="21"/>
              </w:rPr>
            </w:pPr>
          </w:p>
          <w:p w14:paraId="76747114">
            <w:pPr>
              <w:pStyle w:val="6"/>
              <w:spacing w:before="68" w:line="220" w:lineRule="auto"/>
              <w:ind w:left="113"/>
              <w:rPr>
                <w:sz w:val="21"/>
                <w:szCs w:val="21"/>
              </w:rPr>
            </w:pPr>
            <w:r>
              <w:rPr>
                <w:spacing w:val="-1"/>
                <w:sz w:val="21"/>
                <w:szCs w:val="21"/>
              </w:rPr>
              <w:t>清单小计  A</w:t>
            </w:r>
          </w:p>
        </w:tc>
        <w:tc>
          <w:tcPr>
            <w:tcW w:w="922" w:type="dxa"/>
            <w:tcBorders>
              <w:left w:val="nil"/>
              <w:right w:val="nil"/>
            </w:tcBorders>
            <w:vAlign w:val="top"/>
          </w:tcPr>
          <w:p w14:paraId="0CDD95C7">
            <w:pPr>
              <w:rPr>
                <w:rFonts w:ascii="Arial"/>
                <w:sz w:val="21"/>
              </w:rPr>
            </w:pPr>
          </w:p>
        </w:tc>
        <w:tc>
          <w:tcPr>
            <w:tcW w:w="1417" w:type="dxa"/>
            <w:tcBorders>
              <w:left w:val="nil"/>
            </w:tcBorders>
            <w:vAlign w:val="top"/>
          </w:tcPr>
          <w:p w14:paraId="7A2E7AFC">
            <w:pPr>
              <w:rPr>
                <w:rFonts w:ascii="Arial"/>
                <w:sz w:val="21"/>
              </w:rPr>
            </w:pPr>
          </w:p>
        </w:tc>
        <w:tc>
          <w:tcPr>
            <w:tcW w:w="1522" w:type="dxa"/>
            <w:vAlign w:val="top"/>
          </w:tcPr>
          <w:p w14:paraId="5CA319BB">
            <w:pPr>
              <w:rPr>
                <w:rFonts w:ascii="Arial"/>
                <w:sz w:val="21"/>
              </w:rPr>
            </w:pPr>
          </w:p>
        </w:tc>
      </w:tr>
      <w:tr w14:paraId="59C5B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746" w:hRule="atLeast"/>
        </w:trPr>
        <w:tc>
          <w:tcPr>
            <w:tcW w:w="4369" w:type="dxa"/>
            <w:tcBorders>
              <w:right w:val="nil"/>
            </w:tcBorders>
            <w:vAlign w:val="top"/>
          </w:tcPr>
          <w:p w14:paraId="19CA4EFA">
            <w:pPr>
              <w:pStyle w:val="6"/>
              <w:spacing w:before="171" w:line="389" w:lineRule="auto"/>
              <w:ind w:left="218" w:right="152"/>
              <w:rPr>
                <w:sz w:val="21"/>
                <w:szCs w:val="21"/>
              </w:rPr>
            </w:pPr>
            <w:r>
              <w:rPr>
                <w:sz w:val="21"/>
                <w:szCs w:val="21"/>
              </w:rPr>
              <w:t>包含在清单小计中的材料、工程设备暂估价专业工程暂估价  C</w:t>
            </w:r>
          </w:p>
          <w:p w14:paraId="6D3B9810">
            <w:pPr>
              <w:pStyle w:val="6"/>
              <w:spacing w:line="219" w:lineRule="auto"/>
              <w:ind w:left="224"/>
              <w:rPr>
                <w:sz w:val="21"/>
                <w:szCs w:val="21"/>
              </w:rPr>
            </w:pPr>
            <w:r>
              <w:rPr>
                <w:spacing w:val="-1"/>
                <w:sz w:val="21"/>
                <w:szCs w:val="21"/>
              </w:rPr>
              <w:t>暂列金额   E</w:t>
            </w:r>
          </w:p>
          <w:p w14:paraId="769C36D4">
            <w:pPr>
              <w:pStyle w:val="6"/>
              <w:spacing w:before="185" w:line="215" w:lineRule="auto"/>
              <w:ind w:left="218"/>
              <w:rPr>
                <w:sz w:val="21"/>
                <w:szCs w:val="21"/>
              </w:rPr>
            </w:pPr>
            <w:r>
              <w:rPr>
                <w:sz w:val="21"/>
                <w:szCs w:val="21"/>
              </w:rPr>
              <w:t>包含在暂列金额中的计日工   D</w:t>
            </w:r>
          </w:p>
        </w:tc>
        <w:tc>
          <w:tcPr>
            <w:tcW w:w="922" w:type="dxa"/>
            <w:tcBorders>
              <w:left w:val="nil"/>
              <w:right w:val="nil"/>
            </w:tcBorders>
            <w:vAlign w:val="top"/>
          </w:tcPr>
          <w:p w14:paraId="4AD0C42C">
            <w:pPr>
              <w:pStyle w:val="6"/>
              <w:spacing w:before="206" w:line="180" w:lineRule="auto"/>
              <w:ind w:left="162"/>
              <w:rPr>
                <w:sz w:val="21"/>
                <w:szCs w:val="21"/>
              </w:rPr>
            </w:pPr>
            <w:r>
              <w:rPr>
                <w:sz w:val="21"/>
                <w:szCs w:val="21"/>
              </w:rPr>
              <w:t>B</w:t>
            </w:r>
          </w:p>
        </w:tc>
        <w:tc>
          <w:tcPr>
            <w:tcW w:w="1417" w:type="dxa"/>
            <w:tcBorders>
              <w:left w:val="nil"/>
            </w:tcBorders>
            <w:vAlign w:val="top"/>
          </w:tcPr>
          <w:p w14:paraId="708651BE">
            <w:pPr>
              <w:rPr>
                <w:rFonts w:ascii="Arial"/>
                <w:sz w:val="21"/>
              </w:rPr>
            </w:pPr>
          </w:p>
        </w:tc>
        <w:tc>
          <w:tcPr>
            <w:tcW w:w="1522" w:type="dxa"/>
            <w:vAlign w:val="top"/>
          </w:tcPr>
          <w:p w14:paraId="7EA2607E">
            <w:pPr>
              <w:rPr>
                <w:rFonts w:ascii="Arial"/>
                <w:sz w:val="21"/>
              </w:rPr>
            </w:pPr>
          </w:p>
        </w:tc>
      </w:tr>
    </w:tbl>
    <w:p w14:paraId="192124E6">
      <w:pPr>
        <w:pStyle w:val="2"/>
      </w:pPr>
    </w:p>
    <w:p w14:paraId="458F75F2">
      <w:pPr>
        <w:sectPr>
          <w:footerReference r:id="rId259" w:type="default"/>
          <w:pgSz w:w="11910" w:h="16845"/>
          <w:pgMar w:top="400" w:right="1786" w:bottom="1110" w:left="1786" w:header="0" w:footer="882" w:gutter="0"/>
          <w:cols w:space="720" w:num="1"/>
        </w:sectPr>
      </w:pPr>
    </w:p>
    <w:p w14:paraId="7C7B6DC1">
      <w:pPr>
        <w:spacing w:before="19"/>
      </w:pPr>
    </w:p>
    <w:p w14:paraId="3787739B">
      <w:pPr>
        <w:spacing w:before="19"/>
      </w:pPr>
    </w:p>
    <w:p w14:paraId="56E8EA57">
      <w:pPr>
        <w:spacing w:before="19"/>
      </w:pPr>
    </w:p>
    <w:p w14:paraId="4E5CEB5B">
      <w:pPr>
        <w:spacing w:before="18"/>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709"/>
        <w:gridCol w:w="1521"/>
      </w:tblGrid>
      <w:tr w14:paraId="30531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6" w:hRule="atLeast"/>
        </w:trPr>
        <w:tc>
          <w:tcPr>
            <w:tcW w:w="6709" w:type="dxa"/>
            <w:vAlign w:val="top"/>
          </w:tcPr>
          <w:p w14:paraId="55BD8590">
            <w:pPr>
              <w:pStyle w:val="6"/>
              <w:spacing w:before="179" w:line="218" w:lineRule="auto"/>
              <w:ind w:left="224"/>
              <w:rPr>
                <w:sz w:val="21"/>
                <w:szCs w:val="21"/>
              </w:rPr>
            </w:pPr>
            <w:r>
              <w:rPr>
                <w:spacing w:val="-2"/>
                <w:sz w:val="21"/>
                <w:szCs w:val="21"/>
              </w:rPr>
              <w:t>暂估价 F=B+C</w:t>
            </w:r>
          </w:p>
          <w:p w14:paraId="417E7272">
            <w:pPr>
              <w:pStyle w:val="6"/>
              <w:spacing w:before="187" w:line="220" w:lineRule="auto"/>
              <w:ind w:left="218"/>
              <w:rPr>
                <w:sz w:val="21"/>
                <w:szCs w:val="21"/>
              </w:rPr>
            </w:pPr>
            <w:r>
              <w:rPr>
                <w:spacing w:val="-3"/>
                <w:sz w:val="21"/>
                <w:szCs w:val="21"/>
              </w:rPr>
              <w:t>规费</w:t>
            </w:r>
            <w:r>
              <w:rPr>
                <w:spacing w:val="3"/>
                <w:sz w:val="21"/>
                <w:szCs w:val="21"/>
              </w:rPr>
              <w:t xml:space="preserve">  </w:t>
            </w:r>
            <w:r>
              <w:rPr>
                <w:spacing w:val="-3"/>
                <w:sz w:val="21"/>
                <w:szCs w:val="21"/>
              </w:rPr>
              <w:t>G</w:t>
            </w:r>
          </w:p>
          <w:p w14:paraId="126E657A">
            <w:pPr>
              <w:pStyle w:val="6"/>
              <w:spacing w:before="185" w:line="220" w:lineRule="auto"/>
              <w:ind w:left="217"/>
              <w:rPr>
                <w:sz w:val="21"/>
                <w:szCs w:val="21"/>
              </w:rPr>
            </w:pPr>
            <w:r>
              <w:rPr>
                <w:spacing w:val="-3"/>
                <w:sz w:val="21"/>
                <w:szCs w:val="21"/>
              </w:rPr>
              <w:t>税金</w:t>
            </w:r>
            <w:r>
              <w:rPr>
                <w:spacing w:val="2"/>
                <w:sz w:val="21"/>
                <w:szCs w:val="21"/>
              </w:rPr>
              <w:t xml:space="preserve">  </w:t>
            </w:r>
            <w:r>
              <w:rPr>
                <w:spacing w:val="-3"/>
                <w:sz w:val="21"/>
                <w:szCs w:val="21"/>
              </w:rPr>
              <w:t>H</w:t>
            </w:r>
          </w:p>
          <w:p w14:paraId="39FB0B43">
            <w:pPr>
              <w:pStyle w:val="6"/>
              <w:spacing w:before="200" w:line="215" w:lineRule="auto"/>
              <w:ind w:left="220"/>
              <w:rPr>
                <w:sz w:val="21"/>
                <w:szCs w:val="21"/>
              </w:rPr>
            </w:pPr>
            <w:r>
              <w:rPr>
                <w:spacing w:val="-1"/>
                <w:sz w:val="21"/>
                <w:szCs w:val="21"/>
              </w:rPr>
              <w:t>投标报价   P=A+C+E+G+H</w:t>
            </w:r>
          </w:p>
        </w:tc>
        <w:tc>
          <w:tcPr>
            <w:tcW w:w="1521" w:type="dxa"/>
            <w:vAlign w:val="top"/>
          </w:tcPr>
          <w:p w14:paraId="0B1CDEDF">
            <w:pPr>
              <w:rPr>
                <w:rFonts w:ascii="Arial"/>
                <w:sz w:val="21"/>
              </w:rPr>
            </w:pPr>
          </w:p>
        </w:tc>
      </w:tr>
    </w:tbl>
    <w:p w14:paraId="15ACD0AD">
      <w:pPr>
        <w:pStyle w:val="2"/>
        <w:spacing w:line="336" w:lineRule="auto"/>
      </w:pPr>
    </w:p>
    <w:p w14:paraId="61973A30">
      <w:pPr>
        <w:spacing w:before="91" w:line="237" w:lineRule="auto"/>
        <w:ind w:left="20"/>
        <w:outlineLvl w:val="2"/>
        <w:rPr>
          <w:rFonts w:ascii="黑体" w:hAnsi="黑体" w:eastAsia="黑体" w:cs="黑体"/>
          <w:sz w:val="28"/>
          <w:szCs w:val="28"/>
        </w:rPr>
      </w:pPr>
      <w:r>
        <w:rPr>
          <w:rFonts w:ascii="Times New Roman" w:hAnsi="Times New Roman" w:eastAsia="Times New Roman" w:cs="Times New Roman"/>
          <w:spacing w:val="3"/>
          <w:sz w:val="28"/>
          <w:szCs w:val="28"/>
        </w:rPr>
        <w:t xml:space="preserve">4.5  </w:t>
      </w:r>
      <w:r>
        <w:rPr>
          <w:rFonts w:ascii="黑体" w:hAnsi="黑体" w:eastAsia="黑体" w:cs="黑体"/>
          <w:spacing w:val="3"/>
          <w:sz w:val="28"/>
          <w:szCs w:val="28"/>
        </w:rPr>
        <w:t>工程量清单单价分析表</w:t>
      </w:r>
    </w:p>
    <w:p w14:paraId="3061F3C7">
      <w:pPr>
        <w:spacing w:before="110"/>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2"/>
        <w:gridCol w:w="480"/>
        <w:gridCol w:w="510"/>
        <w:gridCol w:w="479"/>
        <w:gridCol w:w="480"/>
        <w:gridCol w:w="480"/>
        <w:gridCol w:w="480"/>
        <w:gridCol w:w="480"/>
        <w:gridCol w:w="479"/>
        <w:gridCol w:w="495"/>
        <w:gridCol w:w="479"/>
        <w:gridCol w:w="480"/>
        <w:gridCol w:w="479"/>
        <w:gridCol w:w="480"/>
        <w:gridCol w:w="480"/>
        <w:gridCol w:w="480"/>
        <w:gridCol w:w="487"/>
      </w:tblGrid>
      <w:tr w14:paraId="4F606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502" w:type="dxa"/>
            <w:vMerge w:val="restart"/>
            <w:tcBorders>
              <w:bottom w:val="nil"/>
            </w:tcBorders>
            <w:textDirection w:val="tbRlV"/>
            <w:vAlign w:val="top"/>
          </w:tcPr>
          <w:p w14:paraId="1FC30751">
            <w:pPr>
              <w:pStyle w:val="6"/>
              <w:spacing w:before="141" w:line="210" w:lineRule="auto"/>
              <w:ind w:left="945"/>
              <w:rPr>
                <w:sz w:val="21"/>
                <w:szCs w:val="21"/>
              </w:rPr>
            </w:pPr>
            <w:bookmarkStart w:id="583" w:name="bookmark539"/>
            <w:bookmarkEnd w:id="583"/>
            <w:r>
              <w:rPr>
                <w:b/>
                <w:bCs/>
                <w:spacing w:val="-3"/>
                <w:sz w:val="21"/>
                <w:szCs w:val="21"/>
              </w:rPr>
              <w:t>序</w:t>
            </w:r>
            <w:r>
              <w:rPr>
                <w:spacing w:val="-15"/>
                <w:sz w:val="21"/>
                <w:szCs w:val="21"/>
              </w:rPr>
              <w:t xml:space="preserve"> </w:t>
            </w:r>
            <w:r>
              <w:rPr>
                <w:b/>
                <w:bCs/>
                <w:spacing w:val="-3"/>
                <w:sz w:val="21"/>
                <w:szCs w:val="21"/>
              </w:rPr>
              <w:t>号</w:t>
            </w:r>
          </w:p>
        </w:tc>
        <w:tc>
          <w:tcPr>
            <w:tcW w:w="480" w:type="dxa"/>
            <w:vMerge w:val="restart"/>
            <w:tcBorders>
              <w:bottom w:val="nil"/>
            </w:tcBorders>
            <w:textDirection w:val="tbRlV"/>
            <w:vAlign w:val="top"/>
          </w:tcPr>
          <w:p w14:paraId="2EBE2799">
            <w:pPr>
              <w:pStyle w:val="6"/>
              <w:spacing w:before="140" w:line="209" w:lineRule="auto"/>
              <w:ind w:left="1245"/>
              <w:rPr>
                <w:sz w:val="21"/>
                <w:szCs w:val="21"/>
              </w:rPr>
            </w:pPr>
            <w:r>
              <w:rPr>
                <w:b/>
                <w:bCs/>
                <w:spacing w:val="-2"/>
                <w:sz w:val="21"/>
                <w:szCs w:val="21"/>
              </w:rPr>
              <w:t>编</w:t>
            </w:r>
            <w:r>
              <w:rPr>
                <w:spacing w:val="-2"/>
                <w:sz w:val="21"/>
                <w:szCs w:val="21"/>
              </w:rPr>
              <w:t xml:space="preserve"> </w:t>
            </w:r>
            <w:r>
              <w:rPr>
                <w:b/>
                <w:bCs/>
                <w:spacing w:val="-2"/>
                <w:sz w:val="21"/>
                <w:szCs w:val="21"/>
              </w:rPr>
              <w:t>码</w:t>
            </w:r>
          </w:p>
        </w:tc>
        <w:tc>
          <w:tcPr>
            <w:tcW w:w="510" w:type="dxa"/>
            <w:vMerge w:val="restart"/>
            <w:tcBorders>
              <w:bottom w:val="nil"/>
            </w:tcBorders>
            <w:textDirection w:val="tbRlV"/>
            <w:vAlign w:val="top"/>
          </w:tcPr>
          <w:p w14:paraId="3F93E299">
            <w:pPr>
              <w:pStyle w:val="6"/>
              <w:spacing w:before="155" w:line="201" w:lineRule="auto"/>
              <w:ind w:left="630"/>
              <w:rPr>
                <w:sz w:val="21"/>
                <w:szCs w:val="21"/>
              </w:rPr>
            </w:pPr>
            <w:r>
              <w:rPr>
                <w:b/>
                <w:bCs/>
                <w:spacing w:val="-2"/>
                <w:sz w:val="21"/>
                <w:szCs w:val="21"/>
              </w:rPr>
              <w:t>子</w:t>
            </w:r>
            <w:r>
              <w:rPr>
                <w:spacing w:val="-2"/>
                <w:sz w:val="21"/>
                <w:szCs w:val="21"/>
              </w:rPr>
              <w:t xml:space="preserve"> </w:t>
            </w:r>
            <w:r>
              <w:rPr>
                <w:b/>
                <w:bCs/>
                <w:spacing w:val="-2"/>
                <w:position w:val="1"/>
                <w:sz w:val="21"/>
                <w:szCs w:val="21"/>
              </w:rPr>
              <w:t>目</w:t>
            </w:r>
            <w:r>
              <w:rPr>
                <w:spacing w:val="-12"/>
                <w:position w:val="1"/>
                <w:sz w:val="21"/>
                <w:szCs w:val="21"/>
              </w:rPr>
              <w:t xml:space="preserve"> </w:t>
            </w:r>
            <w:r>
              <w:rPr>
                <w:b/>
                <w:bCs/>
                <w:spacing w:val="-2"/>
                <w:sz w:val="21"/>
                <w:szCs w:val="21"/>
              </w:rPr>
              <w:t>名</w:t>
            </w:r>
            <w:r>
              <w:rPr>
                <w:spacing w:val="-2"/>
                <w:sz w:val="21"/>
                <w:szCs w:val="21"/>
              </w:rPr>
              <w:t xml:space="preserve"> </w:t>
            </w:r>
            <w:r>
              <w:rPr>
                <w:b/>
                <w:bCs/>
                <w:spacing w:val="-2"/>
                <w:sz w:val="21"/>
                <w:szCs w:val="21"/>
              </w:rPr>
              <w:t>称</w:t>
            </w:r>
          </w:p>
        </w:tc>
        <w:tc>
          <w:tcPr>
            <w:tcW w:w="1439" w:type="dxa"/>
            <w:gridSpan w:val="3"/>
            <w:vAlign w:val="top"/>
          </w:tcPr>
          <w:p w14:paraId="4A46619B">
            <w:pPr>
              <w:pStyle w:val="6"/>
              <w:spacing w:before="44" w:line="220" w:lineRule="auto"/>
              <w:ind w:left="380"/>
              <w:rPr>
                <w:sz w:val="21"/>
                <w:szCs w:val="21"/>
              </w:rPr>
            </w:pPr>
            <w:r>
              <w:rPr>
                <w:b/>
                <w:bCs/>
                <w:spacing w:val="4"/>
                <w:sz w:val="21"/>
                <w:szCs w:val="21"/>
              </w:rPr>
              <w:t>人工费</w:t>
            </w:r>
          </w:p>
        </w:tc>
        <w:tc>
          <w:tcPr>
            <w:tcW w:w="2893" w:type="dxa"/>
            <w:gridSpan w:val="6"/>
            <w:vAlign w:val="top"/>
          </w:tcPr>
          <w:p w14:paraId="718329AA">
            <w:pPr>
              <w:pStyle w:val="6"/>
              <w:spacing w:before="44" w:line="219" w:lineRule="auto"/>
              <w:ind w:left="1102"/>
              <w:rPr>
                <w:sz w:val="21"/>
                <w:szCs w:val="21"/>
              </w:rPr>
            </w:pPr>
            <w:r>
              <w:rPr>
                <w:b/>
                <w:bCs/>
                <w:spacing w:val="5"/>
                <w:sz w:val="21"/>
                <w:szCs w:val="21"/>
              </w:rPr>
              <w:t>材料费</w:t>
            </w:r>
          </w:p>
        </w:tc>
        <w:tc>
          <w:tcPr>
            <w:tcW w:w="479" w:type="dxa"/>
            <w:vMerge w:val="restart"/>
            <w:tcBorders>
              <w:bottom w:val="nil"/>
            </w:tcBorders>
            <w:textDirection w:val="tbRlV"/>
            <w:vAlign w:val="top"/>
          </w:tcPr>
          <w:p w14:paraId="6E67AE4E">
            <w:pPr>
              <w:pStyle w:val="6"/>
              <w:spacing w:before="130" w:line="208" w:lineRule="auto"/>
              <w:ind w:left="630"/>
              <w:rPr>
                <w:sz w:val="21"/>
                <w:szCs w:val="21"/>
              </w:rPr>
            </w:pPr>
            <w:r>
              <w:rPr>
                <w:b/>
                <w:bCs/>
                <w:spacing w:val="-2"/>
                <w:sz w:val="21"/>
                <w:szCs w:val="21"/>
              </w:rPr>
              <w:t>机</w:t>
            </w:r>
            <w:r>
              <w:rPr>
                <w:spacing w:val="-2"/>
                <w:sz w:val="21"/>
                <w:szCs w:val="21"/>
              </w:rPr>
              <w:t xml:space="preserve"> </w:t>
            </w:r>
            <w:r>
              <w:rPr>
                <w:b/>
                <w:bCs/>
                <w:spacing w:val="-2"/>
                <w:sz w:val="21"/>
                <w:szCs w:val="21"/>
              </w:rPr>
              <w:t>械</w:t>
            </w:r>
            <w:r>
              <w:rPr>
                <w:spacing w:val="-10"/>
                <w:sz w:val="21"/>
                <w:szCs w:val="21"/>
              </w:rPr>
              <w:t xml:space="preserve"> </w:t>
            </w:r>
            <w:r>
              <w:rPr>
                <w:b/>
                <w:bCs/>
                <w:spacing w:val="-2"/>
                <w:sz w:val="21"/>
                <w:szCs w:val="21"/>
              </w:rPr>
              <w:t>使</w:t>
            </w:r>
            <w:r>
              <w:rPr>
                <w:spacing w:val="-2"/>
                <w:sz w:val="21"/>
                <w:szCs w:val="21"/>
              </w:rPr>
              <w:t xml:space="preserve"> </w:t>
            </w:r>
            <w:r>
              <w:rPr>
                <w:b/>
                <w:bCs/>
                <w:spacing w:val="-2"/>
                <w:sz w:val="21"/>
                <w:szCs w:val="21"/>
              </w:rPr>
              <w:t>用</w:t>
            </w:r>
            <w:r>
              <w:rPr>
                <w:spacing w:val="-2"/>
                <w:sz w:val="21"/>
                <w:szCs w:val="21"/>
              </w:rPr>
              <w:t xml:space="preserve"> </w:t>
            </w:r>
            <w:r>
              <w:rPr>
                <w:b/>
                <w:bCs/>
                <w:spacing w:val="-2"/>
                <w:sz w:val="21"/>
                <w:szCs w:val="21"/>
              </w:rPr>
              <w:t>费</w:t>
            </w:r>
          </w:p>
        </w:tc>
        <w:tc>
          <w:tcPr>
            <w:tcW w:w="480" w:type="dxa"/>
            <w:vMerge w:val="restart"/>
            <w:tcBorders>
              <w:bottom w:val="nil"/>
            </w:tcBorders>
            <w:textDirection w:val="tbRlV"/>
            <w:vAlign w:val="top"/>
          </w:tcPr>
          <w:p w14:paraId="33C6874D">
            <w:pPr>
              <w:pStyle w:val="6"/>
              <w:spacing w:before="129" w:line="209" w:lineRule="auto"/>
              <w:ind w:left="1095"/>
              <w:rPr>
                <w:sz w:val="21"/>
                <w:szCs w:val="21"/>
              </w:rPr>
            </w:pPr>
            <w:r>
              <w:rPr>
                <w:b/>
                <w:bCs/>
                <w:spacing w:val="-2"/>
                <w:sz w:val="21"/>
                <w:szCs w:val="21"/>
              </w:rPr>
              <w:t>其</w:t>
            </w:r>
            <w:r>
              <w:rPr>
                <w:spacing w:val="-2"/>
                <w:sz w:val="21"/>
                <w:szCs w:val="21"/>
              </w:rPr>
              <w:t xml:space="preserve"> </w:t>
            </w:r>
            <w:r>
              <w:rPr>
                <w:b/>
                <w:bCs/>
                <w:spacing w:val="-2"/>
                <w:sz w:val="21"/>
                <w:szCs w:val="21"/>
              </w:rPr>
              <w:t>他</w:t>
            </w:r>
          </w:p>
        </w:tc>
        <w:tc>
          <w:tcPr>
            <w:tcW w:w="480" w:type="dxa"/>
            <w:vMerge w:val="restart"/>
            <w:tcBorders>
              <w:bottom w:val="nil"/>
            </w:tcBorders>
            <w:textDirection w:val="tbRlV"/>
            <w:vAlign w:val="top"/>
          </w:tcPr>
          <w:p w14:paraId="723FCA0E">
            <w:pPr>
              <w:pStyle w:val="6"/>
              <w:spacing w:before="129" w:line="206" w:lineRule="auto"/>
              <w:ind w:left="945"/>
              <w:rPr>
                <w:sz w:val="21"/>
                <w:szCs w:val="21"/>
              </w:rPr>
            </w:pPr>
            <w:r>
              <w:rPr>
                <w:b/>
                <w:bCs/>
                <w:spacing w:val="-2"/>
                <w:sz w:val="21"/>
                <w:szCs w:val="21"/>
              </w:rPr>
              <w:t>管</w:t>
            </w:r>
            <w:r>
              <w:rPr>
                <w:spacing w:val="-15"/>
                <w:sz w:val="21"/>
                <w:szCs w:val="21"/>
              </w:rPr>
              <w:t xml:space="preserve"> </w:t>
            </w:r>
            <w:r>
              <w:rPr>
                <w:b/>
                <w:bCs/>
                <w:spacing w:val="-2"/>
                <w:sz w:val="21"/>
                <w:szCs w:val="21"/>
              </w:rPr>
              <w:t>理</w:t>
            </w:r>
            <w:r>
              <w:rPr>
                <w:spacing w:val="-2"/>
                <w:sz w:val="21"/>
                <w:szCs w:val="21"/>
              </w:rPr>
              <w:t xml:space="preserve"> </w:t>
            </w:r>
            <w:r>
              <w:rPr>
                <w:b/>
                <w:bCs/>
                <w:spacing w:val="-2"/>
                <w:sz w:val="21"/>
                <w:szCs w:val="21"/>
              </w:rPr>
              <w:t>费</w:t>
            </w:r>
          </w:p>
        </w:tc>
        <w:tc>
          <w:tcPr>
            <w:tcW w:w="480" w:type="dxa"/>
            <w:vMerge w:val="restart"/>
            <w:tcBorders>
              <w:bottom w:val="nil"/>
            </w:tcBorders>
            <w:textDirection w:val="tbRlV"/>
            <w:vAlign w:val="top"/>
          </w:tcPr>
          <w:p w14:paraId="0F864B2F">
            <w:pPr>
              <w:pStyle w:val="6"/>
              <w:spacing w:before="128" w:line="208" w:lineRule="auto"/>
              <w:ind w:left="1095"/>
              <w:rPr>
                <w:sz w:val="21"/>
                <w:szCs w:val="21"/>
              </w:rPr>
            </w:pPr>
            <w:r>
              <w:rPr>
                <w:b/>
                <w:bCs/>
                <w:spacing w:val="-2"/>
                <w:sz w:val="21"/>
                <w:szCs w:val="21"/>
              </w:rPr>
              <w:t>利</w:t>
            </w:r>
            <w:r>
              <w:rPr>
                <w:spacing w:val="-2"/>
                <w:sz w:val="21"/>
                <w:szCs w:val="21"/>
              </w:rPr>
              <w:t xml:space="preserve"> </w:t>
            </w:r>
            <w:r>
              <w:rPr>
                <w:b/>
                <w:bCs/>
                <w:spacing w:val="-2"/>
                <w:sz w:val="21"/>
                <w:szCs w:val="21"/>
              </w:rPr>
              <w:t>润</w:t>
            </w:r>
          </w:p>
        </w:tc>
        <w:tc>
          <w:tcPr>
            <w:tcW w:w="487" w:type="dxa"/>
            <w:vMerge w:val="restart"/>
            <w:tcBorders>
              <w:bottom w:val="nil"/>
            </w:tcBorders>
            <w:textDirection w:val="tbRlV"/>
            <w:vAlign w:val="top"/>
          </w:tcPr>
          <w:p w14:paraId="63059870">
            <w:pPr>
              <w:pStyle w:val="6"/>
              <w:spacing w:before="134" w:line="206" w:lineRule="auto"/>
              <w:ind w:left="1095"/>
              <w:rPr>
                <w:sz w:val="21"/>
                <w:szCs w:val="21"/>
              </w:rPr>
            </w:pPr>
            <w:r>
              <w:rPr>
                <w:b/>
                <w:bCs/>
                <w:spacing w:val="-2"/>
                <w:sz w:val="21"/>
                <w:szCs w:val="21"/>
              </w:rPr>
              <w:t>单</w:t>
            </w:r>
            <w:r>
              <w:rPr>
                <w:spacing w:val="-2"/>
                <w:sz w:val="21"/>
                <w:szCs w:val="21"/>
              </w:rPr>
              <w:t xml:space="preserve"> </w:t>
            </w:r>
            <w:r>
              <w:rPr>
                <w:b/>
                <w:bCs/>
                <w:spacing w:val="-2"/>
                <w:sz w:val="21"/>
                <w:szCs w:val="21"/>
              </w:rPr>
              <w:t>价</w:t>
            </w:r>
          </w:p>
        </w:tc>
      </w:tr>
      <w:tr w14:paraId="07FB3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502" w:type="dxa"/>
            <w:vMerge w:val="continue"/>
            <w:tcBorders>
              <w:top w:val="nil"/>
              <w:bottom w:val="nil"/>
            </w:tcBorders>
            <w:textDirection w:val="tbRlV"/>
            <w:vAlign w:val="top"/>
          </w:tcPr>
          <w:p w14:paraId="061F823F">
            <w:pPr>
              <w:rPr>
                <w:rFonts w:ascii="Arial"/>
                <w:sz w:val="21"/>
              </w:rPr>
            </w:pPr>
          </w:p>
        </w:tc>
        <w:tc>
          <w:tcPr>
            <w:tcW w:w="480" w:type="dxa"/>
            <w:vMerge w:val="continue"/>
            <w:tcBorders>
              <w:top w:val="nil"/>
              <w:bottom w:val="nil"/>
            </w:tcBorders>
            <w:textDirection w:val="tbRlV"/>
            <w:vAlign w:val="top"/>
          </w:tcPr>
          <w:p w14:paraId="1B38F3CE">
            <w:pPr>
              <w:rPr>
                <w:rFonts w:ascii="Arial"/>
                <w:sz w:val="21"/>
              </w:rPr>
            </w:pPr>
          </w:p>
        </w:tc>
        <w:tc>
          <w:tcPr>
            <w:tcW w:w="510" w:type="dxa"/>
            <w:vMerge w:val="continue"/>
            <w:tcBorders>
              <w:top w:val="nil"/>
              <w:bottom w:val="nil"/>
            </w:tcBorders>
            <w:textDirection w:val="tbRlV"/>
            <w:vAlign w:val="top"/>
          </w:tcPr>
          <w:p w14:paraId="039BD268">
            <w:pPr>
              <w:rPr>
                <w:rFonts w:ascii="Arial"/>
                <w:sz w:val="21"/>
              </w:rPr>
            </w:pPr>
          </w:p>
        </w:tc>
        <w:tc>
          <w:tcPr>
            <w:tcW w:w="479" w:type="dxa"/>
            <w:vMerge w:val="restart"/>
            <w:tcBorders>
              <w:bottom w:val="nil"/>
            </w:tcBorders>
            <w:textDirection w:val="tbRlV"/>
            <w:vAlign w:val="top"/>
          </w:tcPr>
          <w:p w14:paraId="5818E1DF">
            <w:pPr>
              <w:pStyle w:val="6"/>
              <w:spacing w:before="138" w:line="211" w:lineRule="auto"/>
              <w:ind w:left="938"/>
              <w:rPr>
                <w:sz w:val="21"/>
                <w:szCs w:val="21"/>
              </w:rPr>
            </w:pPr>
            <w:r>
              <w:rPr>
                <w:b/>
                <w:bCs/>
                <w:spacing w:val="-3"/>
                <w:sz w:val="21"/>
                <w:szCs w:val="21"/>
              </w:rPr>
              <w:t>工</w:t>
            </w:r>
            <w:r>
              <w:rPr>
                <w:spacing w:val="-14"/>
                <w:sz w:val="21"/>
                <w:szCs w:val="21"/>
              </w:rPr>
              <w:t xml:space="preserve"> </w:t>
            </w:r>
            <w:r>
              <w:rPr>
                <w:b/>
                <w:bCs/>
                <w:spacing w:val="-3"/>
                <w:sz w:val="21"/>
                <w:szCs w:val="21"/>
              </w:rPr>
              <w:t>日</w:t>
            </w:r>
          </w:p>
        </w:tc>
        <w:tc>
          <w:tcPr>
            <w:tcW w:w="480" w:type="dxa"/>
            <w:vMerge w:val="restart"/>
            <w:tcBorders>
              <w:bottom w:val="nil"/>
            </w:tcBorders>
            <w:textDirection w:val="tbRlV"/>
            <w:vAlign w:val="top"/>
          </w:tcPr>
          <w:p w14:paraId="134F9681">
            <w:pPr>
              <w:pStyle w:val="6"/>
              <w:spacing w:before="138" w:line="206" w:lineRule="auto"/>
              <w:ind w:left="938"/>
              <w:rPr>
                <w:sz w:val="21"/>
                <w:szCs w:val="21"/>
              </w:rPr>
            </w:pPr>
            <w:r>
              <w:rPr>
                <w:b/>
                <w:bCs/>
                <w:spacing w:val="-3"/>
                <w:sz w:val="21"/>
                <w:szCs w:val="21"/>
              </w:rPr>
              <w:t>单</w:t>
            </w:r>
            <w:r>
              <w:rPr>
                <w:spacing w:val="-14"/>
                <w:sz w:val="21"/>
                <w:szCs w:val="21"/>
              </w:rPr>
              <w:t xml:space="preserve"> </w:t>
            </w:r>
            <w:r>
              <w:rPr>
                <w:b/>
                <w:bCs/>
                <w:spacing w:val="-3"/>
                <w:sz w:val="21"/>
                <w:szCs w:val="21"/>
              </w:rPr>
              <w:t>价</w:t>
            </w:r>
          </w:p>
        </w:tc>
        <w:tc>
          <w:tcPr>
            <w:tcW w:w="480" w:type="dxa"/>
            <w:vMerge w:val="restart"/>
            <w:tcBorders>
              <w:bottom w:val="nil"/>
            </w:tcBorders>
            <w:textDirection w:val="tbRlV"/>
            <w:vAlign w:val="top"/>
          </w:tcPr>
          <w:p w14:paraId="3CE4D9BF">
            <w:pPr>
              <w:pStyle w:val="6"/>
              <w:spacing w:before="137" w:line="208" w:lineRule="auto"/>
              <w:ind w:left="938"/>
              <w:rPr>
                <w:sz w:val="21"/>
                <w:szCs w:val="21"/>
              </w:rPr>
            </w:pPr>
            <w:r>
              <w:rPr>
                <w:b/>
                <w:bCs/>
                <w:spacing w:val="-3"/>
                <w:sz w:val="21"/>
                <w:szCs w:val="21"/>
              </w:rPr>
              <w:t>金</w:t>
            </w:r>
            <w:r>
              <w:rPr>
                <w:spacing w:val="-14"/>
                <w:sz w:val="21"/>
                <w:szCs w:val="21"/>
              </w:rPr>
              <w:t xml:space="preserve"> </w:t>
            </w:r>
            <w:r>
              <w:rPr>
                <w:b/>
                <w:bCs/>
                <w:spacing w:val="-3"/>
                <w:sz w:val="21"/>
                <w:szCs w:val="21"/>
              </w:rPr>
              <w:t>额</w:t>
            </w:r>
          </w:p>
        </w:tc>
        <w:tc>
          <w:tcPr>
            <w:tcW w:w="1934" w:type="dxa"/>
            <w:gridSpan w:val="4"/>
            <w:vAlign w:val="top"/>
          </w:tcPr>
          <w:p w14:paraId="60CEF32D">
            <w:pPr>
              <w:pStyle w:val="6"/>
              <w:spacing w:before="52" w:line="219" w:lineRule="auto"/>
              <w:ind w:left="743"/>
              <w:rPr>
                <w:sz w:val="21"/>
                <w:szCs w:val="21"/>
              </w:rPr>
            </w:pPr>
            <w:r>
              <w:rPr>
                <w:b/>
                <w:bCs/>
                <w:sz w:val="21"/>
                <w:szCs w:val="21"/>
              </w:rPr>
              <w:t>主材</w:t>
            </w:r>
          </w:p>
        </w:tc>
        <w:tc>
          <w:tcPr>
            <w:tcW w:w="479" w:type="dxa"/>
            <w:vMerge w:val="restart"/>
            <w:tcBorders>
              <w:bottom w:val="nil"/>
            </w:tcBorders>
            <w:textDirection w:val="tbRlV"/>
            <w:vAlign w:val="top"/>
          </w:tcPr>
          <w:p w14:paraId="28835C27">
            <w:pPr>
              <w:pStyle w:val="6"/>
              <w:spacing w:before="132" w:line="207" w:lineRule="auto"/>
              <w:ind w:left="773"/>
              <w:rPr>
                <w:sz w:val="21"/>
                <w:szCs w:val="21"/>
              </w:rPr>
            </w:pPr>
            <w:r>
              <w:rPr>
                <w:b/>
                <w:bCs/>
                <w:spacing w:val="-2"/>
                <w:sz w:val="21"/>
                <w:szCs w:val="21"/>
              </w:rPr>
              <w:t>辅</w:t>
            </w:r>
            <w:r>
              <w:rPr>
                <w:spacing w:val="-2"/>
                <w:sz w:val="21"/>
                <w:szCs w:val="21"/>
              </w:rPr>
              <w:t xml:space="preserve"> </w:t>
            </w:r>
            <w:r>
              <w:rPr>
                <w:b/>
                <w:bCs/>
                <w:spacing w:val="-2"/>
                <w:sz w:val="21"/>
                <w:szCs w:val="21"/>
              </w:rPr>
              <w:t>材</w:t>
            </w:r>
            <w:r>
              <w:rPr>
                <w:spacing w:val="-2"/>
                <w:sz w:val="21"/>
                <w:szCs w:val="21"/>
              </w:rPr>
              <w:t xml:space="preserve"> </w:t>
            </w:r>
            <w:r>
              <w:rPr>
                <w:b/>
                <w:bCs/>
                <w:spacing w:val="-2"/>
                <w:sz w:val="21"/>
                <w:szCs w:val="21"/>
              </w:rPr>
              <w:t>费</w:t>
            </w:r>
          </w:p>
        </w:tc>
        <w:tc>
          <w:tcPr>
            <w:tcW w:w="480" w:type="dxa"/>
            <w:vMerge w:val="restart"/>
            <w:tcBorders>
              <w:bottom w:val="nil"/>
            </w:tcBorders>
            <w:textDirection w:val="tbRlV"/>
            <w:vAlign w:val="top"/>
          </w:tcPr>
          <w:p w14:paraId="381CC3EF">
            <w:pPr>
              <w:pStyle w:val="6"/>
              <w:spacing w:before="131" w:line="208" w:lineRule="auto"/>
              <w:ind w:left="938"/>
              <w:rPr>
                <w:sz w:val="21"/>
                <w:szCs w:val="21"/>
              </w:rPr>
            </w:pPr>
            <w:r>
              <w:rPr>
                <w:b/>
                <w:bCs/>
                <w:spacing w:val="-3"/>
                <w:sz w:val="21"/>
                <w:szCs w:val="21"/>
              </w:rPr>
              <w:t>金</w:t>
            </w:r>
            <w:r>
              <w:rPr>
                <w:spacing w:val="-14"/>
                <w:sz w:val="21"/>
                <w:szCs w:val="21"/>
              </w:rPr>
              <w:t xml:space="preserve"> </w:t>
            </w:r>
            <w:r>
              <w:rPr>
                <w:b/>
                <w:bCs/>
                <w:spacing w:val="-3"/>
                <w:sz w:val="21"/>
                <w:szCs w:val="21"/>
              </w:rPr>
              <w:t>额</w:t>
            </w:r>
          </w:p>
        </w:tc>
        <w:tc>
          <w:tcPr>
            <w:tcW w:w="479" w:type="dxa"/>
            <w:vMerge w:val="continue"/>
            <w:tcBorders>
              <w:top w:val="nil"/>
              <w:bottom w:val="nil"/>
            </w:tcBorders>
            <w:textDirection w:val="tbRlV"/>
            <w:vAlign w:val="top"/>
          </w:tcPr>
          <w:p w14:paraId="451977EE">
            <w:pPr>
              <w:rPr>
                <w:rFonts w:ascii="Arial"/>
                <w:sz w:val="21"/>
              </w:rPr>
            </w:pPr>
          </w:p>
        </w:tc>
        <w:tc>
          <w:tcPr>
            <w:tcW w:w="480" w:type="dxa"/>
            <w:vMerge w:val="continue"/>
            <w:tcBorders>
              <w:top w:val="nil"/>
              <w:bottom w:val="nil"/>
            </w:tcBorders>
            <w:textDirection w:val="tbRlV"/>
            <w:vAlign w:val="top"/>
          </w:tcPr>
          <w:p w14:paraId="6EE44261">
            <w:pPr>
              <w:rPr>
                <w:rFonts w:ascii="Arial"/>
                <w:sz w:val="21"/>
              </w:rPr>
            </w:pPr>
          </w:p>
        </w:tc>
        <w:tc>
          <w:tcPr>
            <w:tcW w:w="480" w:type="dxa"/>
            <w:vMerge w:val="continue"/>
            <w:tcBorders>
              <w:top w:val="nil"/>
              <w:bottom w:val="nil"/>
            </w:tcBorders>
            <w:textDirection w:val="tbRlV"/>
            <w:vAlign w:val="top"/>
          </w:tcPr>
          <w:p w14:paraId="0EE16916">
            <w:pPr>
              <w:rPr>
                <w:rFonts w:ascii="Arial"/>
                <w:sz w:val="21"/>
              </w:rPr>
            </w:pPr>
          </w:p>
        </w:tc>
        <w:tc>
          <w:tcPr>
            <w:tcW w:w="480" w:type="dxa"/>
            <w:vMerge w:val="continue"/>
            <w:tcBorders>
              <w:top w:val="nil"/>
              <w:bottom w:val="nil"/>
            </w:tcBorders>
            <w:textDirection w:val="tbRlV"/>
            <w:vAlign w:val="top"/>
          </w:tcPr>
          <w:p w14:paraId="0B9265B3">
            <w:pPr>
              <w:rPr>
                <w:rFonts w:ascii="Arial"/>
                <w:sz w:val="21"/>
              </w:rPr>
            </w:pPr>
          </w:p>
        </w:tc>
        <w:tc>
          <w:tcPr>
            <w:tcW w:w="487" w:type="dxa"/>
            <w:vMerge w:val="continue"/>
            <w:tcBorders>
              <w:top w:val="nil"/>
              <w:bottom w:val="nil"/>
            </w:tcBorders>
            <w:textDirection w:val="tbRlV"/>
            <w:vAlign w:val="top"/>
          </w:tcPr>
          <w:p w14:paraId="473CBB98">
            <w:pPr>
              <w:rPr>
                <w:rFonts w:ascii="Arial"/>
                <w:sz w:val="21"/>
              </w:rPr>
            </w:pPr>
          </w:p>
        </w:tc>
      </w:tr>
      <w:tr w14:paraId="4D9D1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502" w:type="dxa"/>
            <w:vMerge w:val="continue"/>
            <w:tcBorders>
              <w:top w:val="nil"/>
            </w:tcBorders>
            <w:textDirection w:val="tbRlV"/>
            <w:vAlign w:val="top"/>
          </w:tcPr>
          <w:p w14:paraId="76F9F91D">
            <w:pPr>
              <w:rPr>
                <w:rFonts w:ascii="Arial"/>
                <w:sz w:val="21"/>
              </w:rPr>
            </w:pPr>
          </w:p>
        </w:tc>
        <w:tc>
          <w:tcPr>
            <w:tcW w:w="480" w:type="dxa"/>
            <w:vMerge w:val="continue"/>
            <w:tcBorders>
              <w:top w:val="nil"/>
            </w:tcBorders>
            <w:textDirection w:val="tbRlV"/>
            <w:vAlign w:val="top"/>
          </w:tcPr>
          <w:p w14:paraId="3AA15A47">
            <w:pPr>
              <w:rPr>
                <w:rFonts w:ascii="Arial"/>
                <w:sz w:val="21"/>
              </w:rPr>
            </w:pPr>
          </w:p>
        </w:tc>
        <w:tc>
          <w:tcPr>
            <w:tcW w:w="510" w:type="dxa"/>
            <w:vMerge w:val="continue"/>
            <w:tcBorders>
              <w:top w:val="nil"/>
            </w:tcBorders>
            <w:textDirection w:val="tbRlV"/>
            <w:vAlign w:val="top"/>
          </w:tcPr>
          <w:p w14:paraId="70D1E04F">
            <w:pPr>
              <w:rPr>
                <w:rFonts w:ascii="Arial"/>
                <w:sz w:val="21"/>
              </w:rPr>
            </w:pPr>
          </w:p>
        </w:tc>
        <w:tc>
          <w:tcPr>
            <w:tcW w:w="479" w:type="dxa"/>
            <w:vMerge w:val="continue"/>
            <w:tcBorders>
              <w:top w:val="nil"/>
            </w:tcBorders>
            <w:textDirection w:val="tbRlV"/>
            <w:vAlign w:val="top"/>
          </w:tcPr>
          <w:p w14:paraId="55E71D68">
            <w:pPr>
              <w:rPr>
                <w:rFonts w:ascii="Arial"/>
                <w:sz w:val="21"/>
              </w:rPr>
            </w:pPr>
          </w:p>
        </w:tc>
        <w:tc>
          <w:tcPr>
            <w:tcW w:w="480" w:type="dxa"/>
            <w:vMerge w:val="continue"/>
            <w:tcBorders>
              <w:top w:val="nil"/>
            </w:tcBorders>
            <w:textDirection w:val="tbRlV"/>
            <w:vAlign w:val="top"/>
          </w:tcPr>
          <w:p w14:paraId="2F79085B">
            <w:pPr>
              <w:rPr>
                <w:rFonts w:ascii="Arial"/>
                <w:sz w:val="21"/>
              </w:rPr>
            </w:pPr>
          </w:p>
        </w:tc>
        <w:tc>
          <w:tcPr>
            <w:tcW w:w="480" w:type="dxa"/>
            <w:vMerge w:val="continue"/>
            <w:tcBorders>
              <w:top w:val="nil"/>
            </w:tcBorders>
            <w:textDirection w:val="tbRlV"/>
            <w:vAlign w:val="top"/>
          </w:tcPr>
          <w:p w14:paraId="4B40F0C4">
            <w:pPr>
              <w:rPr>
                <w:rFonts w:ascii="Arial"/>
                <w:sz w:val="21"/>
              </w:rPr>
            </w:pPr>
          </w:p>
        </w:tc>
        <w:tc>
          <w:tcPr>
            <w:tcW w:w="480" w:type="dxa"/>
            <w:textDirection w:val="tbRlV"/>
            <w:vAlign w:val="top"/>
          </w:tcPr>
          <w:p w14:paraId="1BB32F01">
            <w:pPr>
              <w:pStyle w:val="6"/>
              <w:spacing w:before="137" w:line="207" w:lineRule="auto"/>
              <w:ind w:left="293"/>
              <w:rPr>
                <w:sz w:val="21"/>
                <w:szCs w:val="21"/>
              </w:rPr>
            </w:pPr>
            <w:r>
              <w:rPr>
                <w:b/>
                <w:bCs/>
                <w:spacing w:val="-2"/>
                <w:sz w:val="21"/>
                <w:szCs w:val="21"/>
              </w:rPr>
              <w:t>主</w:t>
            </w:r>
            <w:r>
              <w:rPr>
                <w:spacing w:val="-2"/>
                <w:sz w:val="21"/>
                <w:szCs w:val="21"/>
              </w:rPr>
              <w:t xml:space="preserve"> </w:t>
            </w:r>
            <w:r>
              <w:rPr>
                <w:b/>
                <w:bCs/>
                <w:spacing w:val="-2"/>
                <w:sz w:val="21"/>
                <w:szCs w:val="21"/>
              </w:rPr>
              <w:t>材</w:t>
            </w:r>
            <w:r>
              <w:rPr>
                <w:spacing w:val="-12"/>
                <w:sz w:val="21"/>
                <w:szCs w:val="21"/>
              </w:rPr>
              <w:t xml:space="preserve"> </w:t>
            </w:r>
            <w:r>
              <w:rPr>
                <w:b/>
                <w:bCs/>
                <w:spacing w:val="-2"/>
                <w:sz w:val="21"/>
                <w:szCs w:val="21"/>
              </w:rPr>
              <w:t>耗</w:t>
            </w:r>
            <w:r>
              <w:rPr>
                <w:spacing w:val="-2"/>
                <w:sz w:val="21"/>
                <w:szCs w:val="21"/>
              </w:rPr>
              <w:t xml:space="preserve"> </w:t>
            </w:r>
            <w:r>
              <w:rPr>
                <w:b/>
                <w:bCs/>
                <w:spacing w:val="-2"/>
                <w:sz w:val="21"/>
                <w:szCs w:val="21"/>
              </w:rPr>
              <w:t>量</w:t>
            </w:r>
          </w:p>
        </w:tc>
        <w:tc>
          <w:tcPr>
            <w:tcW w:w="480" w:type="dxa"/>
            <w:textDirection w:val="tbRlV"/>
            <w:vAlign w:val="top"/>
          </w:tcPr>
          <w:p w14:paraId="416C34EF">
            <w:pPr>
              <w:pStyle w:val="6"/>
              <w:spacing w:before="135" w:line="209" w:lineRule="auto"/>
              <w:ind w:left="759"/>
              <w:rPr>
                <w:sz w:val="21"/>
                <w:szCs w:val="21"/>
              </w:rPr>
            </w:pPr>
            <w:r>
              <w:rPr>
                <w:b/>
                <w:bCs/>
                <w:spacing w:val="-2"/>
                <w:sz w:val="21"/>
                <w:szCs w:val="21"/>
              </w:rPr>
              <w:t>单</w:t>
            </w:r>
            <w:r>
              <w:rPr>
                <w:spacing w:val="-2"/>
                <w:sz w:val="21"/>
                <w:szCs w:val="21"/>
              </w:rPr>
              <w:t xml:space="preserve"> </w:t>
            </w:r>
            <w:r>
              <w:rPr>
                <w:b/>
                <w:bCs/>
                <w:spacing w:val="-2"/>
                <w:sz w:val="21"/>
                <w:szCs w:val="21"/>
              </w:rPr>
              <w:t>位</w:t>
            </w:r>
          </w:p>
        </w:tc>
        <w:tc>
          <w:tcPr>
            <w:tcW w:w="479" w:type="dxa"/>
            <w:textDirection w:val="tbRlV"/>
            <w:vAlign w:val="top"/>
          </w:tcPr>
          <w:p w14:paraId="12A9D467">
            <w:pPr>
              <w:pStyle w:val="6"/>
              <w:spacing w:before="134" w:line="206" w:lineRule="auto"/>
              <w:ind w:left="759"/>
              <w:rPr>
                <w:sz w:val="21"/>
                <w:szCs w:val="21"/>
              </w:rPr>
            </w:pPr>
            <w:r>
              <w:rPr>
                <w:b/>
                <w:bCs/>
                <w:spacing w:val="-2"/>
                <w:sz w:val="21"/>
                <w:szCs w:val="21"/>
              </w:rPr>
              <w:t>单</w:t>
            </w:r>
            <w:r>
              <w:rPr>
                <w:spacing w:val="-2"/>
                <w:sz w:val="21"/>
                <w:szCs w:val="21"/>
              </w:rPr>
              <w:t xml:space="preserve"> </w:t>
            </w:r>
            <w:r>
              <w:rPr>
                <w:b/>
                <w:bCs/>
                <w:spacing w:val="-2"/>
                <w:sz w:val="21"/>
                <w:szCs w:val="21"/>
              </w:rPr>
              <w:t>价</w:t>
            </w:r>
          </w:p>
        </w:tc>
        <w:tc>
          <w:tcPr>
            <w:tcW w:w="495" w:type="dxa"/>
            <w:textDirection w:val="tbRlV"/>
            <w:vAlign w:val="top"/>
          </w:tcPr>
          <w:p w14:paraId="2AF27E43">
            <w:pPr>
              <w:pStyle w:val="6"/>
              <w:spacing w:before="149" w:line="207" w:lineRule="auto"/>
              <w:ind w:left="443"/>
              <w:rPr>
                <w:sz w:val="21"/>
                <w:szCs w:val="21"/>
              </w:rPr>
            </w:pPr>
            <w:r>
              <w:rPr>
                <w:b/>
                <w:bCs/>
                <w:spacing w:val="-2"/>
                <w:sz w:val="21"/>
                <w:szCs w:val="21"/>
              </w:rPr>
              <w:t>主</w:t>
            </w:r>
            <w:r>
              <w:rPr>
                <w:spacing w:val="-2"/>
                <w:sz w:val="21"/>
                <w:szCs w:val="21"/>
              </w:rPr>
              <w:t xml:space="preserve"> </w:t>
            </w:r>
            <w:r>
              <w:rPr>
                <w:b/>
                <w:bCs/>
                <w:spacing w:val="-2"/>
                <w:sz w:val="21"/>
                <w:szCs w:val="21"/>
              </w:rPr>
              <w:t>材</w:t>
            </w:r>
            <w:r>
              <w:rPr>
                <w:spacing w:val="-2"/>
                <w:sz w:val="21"/>
                <w:szCs w:val="21"/>
              </w:rPr>
              <w:t xml:space="preserve"> </w:t>
            </w:r>
            <w:r>
              <w:rPr>
                <w:b/>
                <w:bCs/>
                <w:spacing w:val="-2"/>
                <w:sz w:val="21"/>
                <w:szCs w:val="21"/>
              </w:rPr>
              <w:t>费</w:t>
            </w:r>
          </w:p>
        </w:tc>
        <w:tc>
          <w:tcPr>
            <w:tcW w:w="479" w:type="dxa"/>
            <w:vMerge w:val="continue"/>
            <w:tcBorders>
              <w:top w:val="nil"/>
            </w:tcBorders>
            <w:textDirection w:val="tbRlV"/>
            <w:vAlign w:val="top"/>
          </w:tcPr>
          <w:p w14:paraId="6934FAD3">
            <w:pPr>
              <w:rPr>
                <w:rFonts w:ascii="Arial"/>
                <w:sz w:val="21"/>
              </w:rPr>
            </w:pPr>
          </w:p>
        </w:tc>
        <w:tc>
          <w:tcPr>
            <w:tcW w:w="480" w:type="dxa"/>
            <w:vMerge w:val="continue"/>
            <w:tcBorders>
              <w:top w:val="nil"/>
            </w:tcBorders>
            <w:textDirection w:val="tbRlV"/>
            <w:vAlign w:val="top"/>
          </w:tcPr>
          <w:p w14:paraId="332C68A6">
            <w:pPr>
              <w:rPr>
                <w:rFonts w:ascii="Arial"/>
                <w:sz w:val="21"/>
              </w:rPr>
            </w:pPr>
          </w:p>
        </w:tc>
        <w:tc>
          <w:tcPr>
            <w:tcW w:w="479" w:type="dxa"/>
            <w:vMerge w:val="continue"/>
            <w:tcBorders>
              <w:top w:val="nil"/>
            </w:tcBorders>
            <w:textDirection w:val="tbRlV"/>
            <w:vAlign w:val="top"/>
          </w:tcPr>
          <w:p w14:paraId="382C17F1">
            <w:pPr>
              <w:rPr>
                <w:rFonts w:ascii="Arial"/>
                <w:sz w:val="21"/>
              </w:rPr>
            </w:pPr>
          </w:p>
        </w:tc>
        <w:tc>
          <w:tcPr>
            <w:tcW w:w="480" w:type="dxa"/>
            <w:vMerge w:val="continue"/>
            <w:tcBorders>
              <w:top w:val="nil"/>
            </w:tcBorders>
            <w:textDirection w:val="tbRlV"/>
            <w:vAlign w:val="top"/>
          </w:tcPr>
          <w:p w14:paraId="7DA55978">
            <w:pPr>
              <w:rPr>
                <w:rFonts w:ascii="Arial"/>
                <w:sz w:val="21"/>
              </w:rPr>
            </w:pPr>
          </w:p>
        </w:tc>
        <w:tc>
          <w:tcPr>
            <w:tcW w:w="480" w:type="dxa"/>
            <w:vMerge w:val="continue"/>
            <w:tcBorders>
              <w:top w:val="nil"/>
            </w:tcBorders>
            <w:textDirection w:val="tbRlV"/>
            <w:vAlign w:val="top"/>
          </w:tcPr>
          <w:p w14:paraId="3866013F">
            <w:pPr>
              <w:rPr>
                <w:rFonts w:ascii="Arial"/>
                <w:sz w:val="21"/>
              </w:rPr>
            </w:pPr>
          </w:p>
        </w:tc>
        <w:tc>
          <w:tcPr>
            <w:tcW w:w="480" w:type="dxa"/>
            <w:vMerge w:val="continue"/>
            <w:tcBorders>
              <w:top w:val="nil"/>
            </w:tcBorders>
            <w:textDirection w:val="tbRlV"/>
            <w:vAlign w:val="top"/>
          </w:tcPr>
          <w:p w14:paraId="74CF6424">
            <w:pPr>
              <w:rPr>
                <w:rFonts w:ascii="Arial"/>
                <w:sz w:val="21"/>
              </w:rPr>
            </w:pPr>
          </w:p>
        </w:tc>
        <w:tc>
          <w:tcPr>
            <w:tcW w:w="487" w:type="dxa"/>
            <w:vMerge w:val="continue"/>
            <w:tcBorders>
              <w:top w:val="nil"/>
            </w:tcBorders>
            <w:textDirection w:val="tbRlV"/>
            <w:vAlign w:val="top"/>
          </w:tcPr>
          <w:p w14:paraId="6C4D5379">
            <w:pPr>
              <w:rPr>
                <w:rFonts w:ascii="Arial"/>
                <w:sz w:val="21"/>
              </w:rPr>
            </w:pPr>
          </w:p>
        </w:tc>
      </w:tr>
      <w:tr w14:paraId="5A28B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02" w:type="dxa"/>
            <w:vAlign w:val="top"/>
          </w:tcPr>
          <w:p w14:paraId="1A9F1A21">
            <w:pPr>
              <w:rPr>
                <w:rFonts w:ascii="Arial"/>
                <w:sz w:val="21"/>
              </w:rPr>
            </w:pPr>
          </w:p>
        </w:tc>
        <w:tc>
          <w:tcPr>
            <w:tcW w:w="480" w:type="dxa"/>
            <w:vAlign w:val="top"/>
          </w:tcPr>
          <w:p w14:paraId="54482100">
            <w:pPr>
              <w:rPr>
                <w:rFonts w:ascii="Arial"/>
                <w:sz w:val="21"/>
              </w:rPr>
            </w:pPr>
          </w:p>
        </w:tc>
        <w:tc>
          <w:tcPr>
            <w:tcW w:w="510" w:type="dxa"/>
            <w:vAlign w:val="top"/>
          </w:tcPr>
          <w:p w14:paraId="7C2E2DEF">
            <w:pPr>
              <w:rPr>
                <w:rFonts w:ascii="Arial"/>
                <w:sz w:val="21"/>
              </w:rPr>
            </w:pPr>
          </w:p>
        </w:tc>
        <w:tc>
          <w:tcPr>
            <w:tcW w:w="479" w:type="dxa"/>
            <w:vAlign w:val="top"/>
          </w:tcPr>
          <w:p w14:paraId="0E1E4CDB">
            <w:pPr>
              <w:rPr>
                <w:rFonts w:ascii="Arial"/>
                <w:sz w:val="21"/>
              </w:rPr>
            </w:pPr>
          </w:p>
        </w:tc>
        <w:tc>
          <w:tcPr>
            <w:tcW w:w="480" w:type="dxa"/>
            <w:vAlign w:val="top"/>
          </w:tcPr>
          <w:p w14:paraId="76F30D74">
            <w:pPr>
              <w:rPr>
                <w:rFonts w:ascii="Arial"/>
                <w:sz w:val="21"/>
              </w:rPr>
            </w:pPr>
          </w:p>
        </w:tc>
        <w:tc>
          <w:tcPr>
            <w:tcW w:w="480" w:type="dxa"/>
            <w:vAlign w:val="top"/>
          </w:tcPr>
          <w:p w14:paraId="69CC52D6">
            <w:pPr>
              <w:rPr>
                <w:rFonts w:ascii="Arial"/>
                <w:sz w:val="21"/>
              </w:rPr>
            </w:pPr>
          </w:p>
        </w:tc>
        <w:tc>
          <w:tcPr>
            <w:tcW w:w="480" w:type="dxa"/>
            <w:vAlign w:val="top"/>
          </w:tcPr>
          <w:p w14:paraId="734E7AF4">
            <w:pPr>
              <w:rPr>
                <w:rFonts w:ascii="Arial"/>
                <w:sz w:val="21"/>
              </w:rPr>
            </w:pPr>
          </w:p>
        </w:tc>
        <w:tc>
          <w:tcPr>
            <w:tcW w:w="480" w:type="dxa"/>
            <w:vAlign w:val="top"/>
          </w:tcPr>
          <w:p w14:paraId="7DEBB80B">
            <w:pPr>
              <w:rPr>
                <w:rFonts w:ascii="Arial"/>
                <w:sz w:val="21"/>
              </w:rPr>
            </w:pPr>
          </w:p>
        </w:tc>
        <w:tc>
          <w:tcPr>
            <w:tcW w:w="479" w:type="dxa"/>
            <w:vAlign w:val="top"/>
          </w:tcPr>
          <w:p w14:paraId="047D69CE">
            <w:pPr>
              <w:rPr>
                <w:rFonts w:ascii="Arial"/>
                <w:sz w:val="21"/>
              </w:rPr>
            </w:pPr>
          </w:p>
        </w:tc>
        <w:tc>
          <w:tcPr>
            <w:tcW w:w="495" w:type="dxa"/>
            <w:vAlign w:val="top"/>
          </w:tcPr>
          <w:p w14:paraId="5C858F3E">
            <w:pPr>
              <w:rPr>
                <w:rFonts w:ascii="Arial"/>
                <w:sz w:val="21"/>
              </w:rPr>
            </w:pPr>
          </w:p>
        </w:tc>
        <w:tc>
          <w:tcPr>
            <w:tcW w:w="479" w:type="dxa"/>
            <w:vAlign w:val="top"/>
          </w:tcPr>
          <w:p w14:paraId="49990379">
            <w:pPr>
              <w:rPr>
                <w:rFonts w:ascii="Arial"/>
                <w:sz w:val="21"/>
              </w:rPr>
            </w:pPr>
          </w:p>
        </w:tc>
        <w:tc>
          <w:tcPr>
            <w:tcW w:w="480" w:type="dxa"/>
            <w:vAlign w:val="top"/>
          </w:tcPr>
          <w:p w14:paraId="415E5D0D">
            <w:pPr>
              <w:rPr>
                <w:rFonts w:ascii="Arial"/>
                <w:sz w:val="21"/>
              </w:rPr>
            </w:pPr>
          </w:p>
        </w:tc>
        <w:tc>
          <w:tcPr>
            <w:tcW w:w="479" w:type="dxa"/>
            <w:vAlign w:val="top"/>
          </w:tcPr>
          <w:p w14:paraId="1822968C">
            <w:pPr>
              <w:rPr>
                <w:rFonts w:ascii="Arial"/>
                <w:sz w:val="21"/>
              </w:rPr>
            </w:pPr>
          </w:p>
        </w:tc>
        <w:tc>
          <w:tcPr>
            <w:tcW w:w="480" w:type="dxa"/>
            <w:vAlign w:val="top"/>
          </w:tcPr>
          <w:p w14:paraId="11364EB3">
            <w:pPr>
              <w:rPr>
                <w:rFonts w:ascii="Arial"/>
                <w:sz w:val="21"/>
              </w:rPr>
            </w:pPr>
          </w:p>
        </w:tc>
        <w:tc>
          <w:tcPr>
            <w:tcW w:w="480" w:type="dxa"/>
            <w:vAlign w:val="top"/>
          </w:tcPr>
          <w:p w14:paraId="38644DC7">
            <w:pPr>
              <w:rPr>
                <w:rFonts w:ascii="Arial"/>
                <w:sz w:val="21"/>
              </w:rPr>
            </w:pPr>
          </w:p>
        </w:tc>
        <w:tc>
          <w:tcPr>
            <w:tcW w:w="480" w:type="dxa"/>
            <w:vAlign w:val="top"/>
          </w:tcPr>
          <w:p w14:paraId="40F55361">
            <w:pPr>
              <w:rPr>
                <w:rFonts w:ascii="Arial"/>
                <w:sz w:val="21"/>
              </w:rPr>
            </w:pPr>
          </w:p>
        </w:tc>
        <w:tc>
          <w:tcPr>
            <w:tcW w:w="487" w:type="dxa"/>
            <w:vAlign w:val="top"/>
          </w:tcPr>
          <w:p w14:paraId="6094EA49">
            <w:pPr>
              <w:rPr>
                <w:rFonts w:ascii="Arial"/>
                <w:sz w:val="21"/>
              </w:rPr>
            </w:pPr>
          </w:p>
        </w:tc>
      </w:tr>
      <w:tr w14:paraId="30431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502" w:type="dxa"/>
            <w:vAlign w:val="top"/>
          </w:tcPr>
          <w:p w14:paraId="1B9C435C">
            <w:pPr>
              <w:rPr>
                <w:rFonts w:ascii="Arial"/>
                <w:sz w:val="21"/>
              </w:rPr>
            </w:pPr>
          </w:p>
        </w:tc>
        <w:tc>
          <w:tcPr>
            <w:tcW w:w="480" w:type="dxa"/>
            <w:vAlign w:val="top"/>
          </w:tcPr>
          <w:p w14:paraId="5456108B">
            <w:pPr>
              <w:rPr>
                <w:rFonts w:ascii="Arial"/>
                <w:sz w:val="21"/>
              </w:rPr>
            </w:pPr>
          </w:p>
        </w:tc>
        <w:tc>
          <w:tcPr>
            <w:tcW w:w="510" w:type="dxa"/>
            <w:vAlign w:val="top"/>
          </w:tcPr>
          <w:p w14:paraId="2E127847">
            <w:pPr>
              <w:rPr>
                <w:rFonts w:ascii="Arial"/>
                <w:sz w:val="21"/>
              </w:rPr>
            </w:pPr>
          </w:p>
        </w:tc>
        <w:tc>
          <w:tcPr>
            <w:tcW w:w="479" w:type="dxa"/>
            <w:vAlign w:val="top"/>
          </w:tcPr>
          <w:p w14:paraId="0EDB825F">
            <w:pPr>
              <w:rPr>
                <w:rFonts w:ascii="Arial"/>
                <w:sz w:val="21"/>
              </w:rPr>
            </w:pPr>
          </w:p>
        </w:tc>
        <w:tc>
          <w:tcPr>
            <w:tcW w:w="480" w:type="dxa"/>
            <w:vAlign w:val="top"/>
          </w:tcPr>
          <w:p w14:paraId="1876EE9D">
            <w:pPr>
              <w:rPr>
                <w:rFonts w:ascii="Arial"/>
                <w:sz w:val="21"/>
              </w:rPr>
            </w:pPr>
          </w:p>
        </w:tc>
        <w:tc>
          <w:tcPr>
            <w:tcW w:w="480" w:type="dxa"/>
            <w:vAlign w:val="top"/>
          </w:tcPr>
          <w:p w14:paraId="23A3E74E">
            <w:pPr>
              <w:rPr>
                <w:rFonts w:ascii="Arial"/>
                <w:sz w:val="21"/>
              </w:rPr>
            </w:pPr>
          </w:p>
        </w:tc>
        <w:tc>
          <w:tcPr>
            <w:tcW w:w="480" w:type="dxa"/>
            <w:vAlign w:val="top"/>
          </w:tcPr>
          <w:p w14:paraId="67201C1E">
            <w:pPr>
              <w:rPr>
                <w:rFonts w:ascii="Arial"/>
                <w:sz w:val="21"/>
              </w:rPr>
            </w:pPr>
          </w:p>
        </w:tc>
        <w:tc>
          <w:tcPr>
            <w:tcW w:w="480" w:type="dxa"/>
            <w:vAlign w:val="top"/>
          </w:tcPr>
          <w:p w14:paraId="58566557">
            <w:pPr>
              <w:rPr>
                <w:rFonts w:ascii="Arial"/>
                <w:sz w:val="21"/>
              </w:rPr>
            </w:pPr>
          </w:p>
        </w:tc>
        <w:tc>
          <w:tcPr>
            <w:tcW w:w="479" w:type="dxa"/>
            <w:vAlign w:val="top"/>
          </w:tcPr>
          <w:p w14:paraId="25AD8867">
            <w:pPr>
              <w:rPr>
                <w:rFonts w:ascii="Arial"/>
                <w:sz w:val="21"/>
              </w:rPr>
            </w:pPr>
          </w:p>
        </w:tc>
        <w:tc>
          <w:tcPr>
            <w:tcW w:w="495" w:type="dxa"/>
            <w:vAlign w:val="top"/>
          </w:tcPr>
          <w:p w14:paraId="3A7E1D31">
            <w:pPr>
              <w:rPr>
                <w:rFonts w:ascii="Arial"/>
                <w:sz w:val="21"/>
              </w:rPr>
            </w:pPr>
          </w:p>
        </w:tc>
        <w:tc>
          <w:tcPr>
            <w:tcW w:w="479" w:type="dxa"/>
            <w:vAlign w:val="top"/>
          </w:tcPr>
          <w:p w14:paraId="218E41A0">
            <w:pPr>
              <w:rPr>
                <w:rFonts w:ascii="Arial"/>
                <w:sz w:val="21"/>
              </w:rPr>
            </w:pPr>
          </w:p>
        </w:tc>
        <w:tc>
          <w:tcPr>
            <w:tcW w:w="480" w:type="dxa"/>
            <w:vAlign w:val="top"/>
          </w:tcPr>
          <w:p w14:paraId="05048503">
            <w:pPr>
              <w:rPr>
                <w:rFonts w:ascii="Arial"/>
                <w:sz w:val="21"/>
              </w:rPr>
            </w:pPr>
          </w:p>
        </w:tc>
        <w:tc>
          <w:tcPr>
            <w:tcW w:w="479" w:type="dxa"/>
            <w:vAlign w:val="top"/>
          </w:tcPr>
          <w:p w14:paraId="58255D95">
            <w:pPr>
              <w:rPr>
                <w:rFonts w:ascii="Arial"/>
                <w:sz w:val="21"/>
              </w:rPr>
            </w:pPr>
          </w:p>
        </w:tc>
        <w:tc>
          <w:tcPr>
            <w:tcW w:w="480" w:type="dxa"/>
            <w:vAlign w:val="top"/>
          </w:tcPr>
          <w:p w14:paraId="6B3C6EFE">
            <w:pPr>
              <w:rPr>
                <w:rFonts w:ascii="Arial"/>
                <w:sz w:val="21"/>
              </w:rPr>
            </w:pPr>
          </w:p>
        </w:tc>
        <w:tc>
          <w:tcPr>
            <w:tcW w:w="480" w:type="dxa"/>
            <w:vAlign w:val="top"/>
          </w:tcPr>
          <w:p w14:paraId="27721A48">
            <w:pPr>
              <w:rPr>
                <w:rFonts w:ascii="Arial"/>
                <w:sz w:val="21"/>
              </w:rPr>
            </w:pPr>
          </w:p>
        </w:tc>
        <w:tc>
          <w:tcPr>
            <w:tcW w:w="480" w:type="dxa"/>
            <w:vAlign w:val="top"/>
          </w:tcPr>
          <w:p w14:paraId="0FE8EA61">
            <w:pPr>
              <w:rPr>
                <w:rFonts w:ascii="Arial"/>
                <w:sz w:val="21"/>
              </w:rPr>
            </w:pPr>
          </w:p>
        </w:tc>
        <w:tc>
          <w:tcPr>
            <w:tcW w:w="487" w:type="dxa"/>
            <w:vAlign w:val="top"/>
          </w:tcPr>
          <w:p w14:paraId="19282B5D">
            <w:pPr>
              <w:rPr>
                <w:rFonts w:ascii="Arial"/>
                <w:sz w:val="21"/>
              </w:rPr>
            </w:pPr>
          </w:p>
        </w:tc>
      </w:tr>
      <w:tr w14:paraId="52F92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02" w:type="dxa"/>
            <w:vAlign w:val="top"/>
          </w:tcPr>
          <w:p w14:paraId="3C509EDD">
            <w:pPr>
              <w:rPr>
                <w:rFonts w:ascii="Arial"/>
                <w:sz w:val="21"/>
              </w:rPr>
            </w:pPr>
          </w:p>
        </w:tc>
        <w:tc>
          <w:tcPr>
            <w:tcW w:w="480" w:type="dxa"/>
            <w:vAlign w:val="top"/>
          </w:tcPr>
          <w:p w14:paraId="719C9066">
            <w:pPr>
              <w:rPr>
                <w:rFonts w:ascii="Arial"/>
                <w:sz w:val="21"/>
              </w:rPr>
            </w:pPr>
          </w:p>
        </w:tc>
        <w:tc>
          <w:tcPr>
            <w:tcW w:w="510" w:type="dxa"/>
            <w:vAlign w:val="top"/>
          </w:tcPr>
          <w:p w14:paraId="307AE5A6">
            <w:pPr>
              <w:rPr>
                <w:rFonts w:ascii="Arial"/>
                <w:sz w:val="21"/>
              </w:rPr>
            </w:pPr>
          </w:p>
        </w:tc>
        <w:tc>
          <w:tcPr>
            <w:tcW w:w="479" w:type="dxa"/>
            <w:vAlign w:val="top"/>
          </w:tcPr>
          <w:p w14:paraId="4FA52A7F">
            <w:pPr>
              <w:rPr>
                <w:rFonts w:ascii="Arial"/>
                <w:sz w:val="21"/>
              </w:rPr>
            </w:pPr>
          </w:p>
        </w:tc>
        <w:tc>
          <w:tcPr>
            <w:tcW w:w="480" w:type="dxa"/>
            <w:vAlign w:val="top"/>
          </w:tcPr>
          <w:p w14:paraId="7BA24F5E">
            <w:pPr>
              <w:rPr>
                <w:rFonts w:ascii="Arial"/>
                <w:sz w:val="21"/>
              </w:rPr>
            </w:pPr>
          </w:p>
        </w:tc>
        <w:tc>
          <w:tcPr>
            <w:tcW w:w="480" w:type="dxa"/>
            <w:vAlign w:val="top"/>
          </w:tcPr>
          <w:p w14:paraId="12BC7642">
            <w:pPr>
              <w:rPr>
                <w:rFonts w:ascii="Arial"/>
                <w:sz w:val="21"/>
              </w:rPr>
            </w:pPr>
          </w:p>
        </w:tc>
        <w:tc>
          <w:tcPr>
            <w:tcW w:w="480" w:type="dxa"/>
            <w:vAlign w:val="top"/>
          </w:tcPr>
          <w:p w14:paraId="7F0814CF">
            <w:pPr>
              <w:rPr>
                <w:rFonts w:ascii="Arial"/>
                <w:sz w:val="21"/>
              </w:rPr>
            </w:pPr>
          </w:p>
        </w:tc>
        <w:tc>
          <w:tcPr>
            <w:tcW w:w="480" w:type="dxa"/>
            <w:vAlign w:val="top"/>
          </w:tcPr>
          <w:p w14:paraId="5B4697AA">
            <w:pPr>
              <w:rPr>
                <w:rFonts w:ascii="Arial"/>
                <w:sz w:val="21"/>
              </w:rPr>
            </w:pPr>
          </w:p>
        </w:tc>
        <w:tc>
          <w:tcPr>
            <w:tcW w:w="479" w:type="dxa"/>
            <w:vAlign w:val="top"/>
          </w:tcPr>
          <w:p w14:paraId="43DA4E1F">
            <w:pPr>
              <w:rPr>
                <w:rFonts w:ascii="Arial"/>
                <w:sz w:val="21"/>
              </w:rPr>
            </w:pPr>
          </w:p>
        </w:tc>
        <w:tc>
          <w:tcPr>
            <w:tcW w:w="495" w:type="dxa"/>
            <w:vAlign w:val="top"/>
          </w:tcPr>
          <w:p w14:paraId="5E272A2D">
            <w:pPr>
              <w:rPr>
                <w:rFonts w:ascii="Arial"/>
                <w:sz w:val="21"/>
              </w:rPr>
            </w:pPr>
          </w:p>
        </w:tc>
        <w:tc>
          <w:tcPr>
            <w:tcW w:w="479" w:type="dxa"/>
            <w:vAlign w:val="top"/>
          </w:tcPr>
          <w:p w14:paraId="48B23926">
            <w:pPr>
              <w:rPr>
                <w:rFonts w:ascii="Arial"/>
                <w:sz w:val="21"/>
              </w:rPr>
            </w:pPr>
          </w:p>
        </w:tc>
        <w:tc>
          <w:tcPr>
            <w:tcW w:w="480" w:type="dxa"/>
            <w:vAlign w:val="top"/>
          </w:tcPr>
          <w:p w14:paraId="24D39C14">
            <w:pPr>
              <w:rPr>
                <w:rFonts w:ascii="Arial"/>
                <w:sz w:val="21"/>
              </w:rPr>
            </w:pPr>
          </w:p>
        </w:tc>
        <w:tc>
          <w:tcPr>
            <w:tcW w:w="479" w:type="dxa"/>
            <w:vAlign w:val="top"/>
          </w:tcPr>
          <w:p w14:paraId="69D9FBCE">
            <w:pPr>
              <w:rPr>
                <w:rFonts w:ascii="Arial"/>
                <w:sz w:val="21"/>
              </w:rPr>
            </w:pPr>
          </w:p>
        </w:tc>
        <w:tc>
          <w:tcPr>
            <w:tcW w:w="480" w:type="dxa"/>
            <w:vAlign w:val="top"/>
          </w:tcPr>
          <w:p w14:paraId="783DCCFB">
            <w:pPr>
              <w:rPr>
                <w:rFonts w:ascii="Arial"/>
                <w:sz w:val="21"/>
              </w:rPr>
            </w:pPr>
          </w:p>
        </w:tc>
        <w:tc>
          <w:tcPr>
            <w:tcW w:w="480" w:type="dxa"/>
            <w:vAlign w:val="top"/>
          </w:tcPr>
          <w:p w14:paraId="1BFC9DC1">
            <w:pPr>
              <w:rPr>
                <w:rFonts w:ascii="Arial"/>
                <w:sz w:val="21"/>
              </w:rPr>
            </w:pPr>
          </w:p>
        </w:tc>
        <w:tc>
          <w:tcPr>
            <w:tcW w:w="480" w:type="dxa"/>
            <w:vAlign w:val="top"/>
          </w:tcPr>
          <w:p w14:paraId="244E2051">
            <w:pPr>
              <w:rPr>
                <w:rFonts w:ascii="Arial"/>
                <w:sz w:val="21"/>
              </w:rPr>
            </w:pPr>
          </w:p>
        </w:tc>
        <w:tc>
          <w:tcPr>
            <w:tcW w:w="487" w:type="dxa"/>
            <w:vAlign w:val="top"/>
          </w:tcPr>
          <w:p w14:paraId="19B7A3D0">
            <w:pPr>
              <w:rPr>
                <w:rFonts w:ascii="Arial"/>
                <w:sz w:val="21"/>
              </w:rPr>
            </w:pPr>
          </w:p>
        </w:tc>
      </w:tr>
      <w:tr w14:paraId="1B9A1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02" w:type="dxa"/>
            <w:vAlign w:val="top"/>
          </w:tcPr>
          <w:p w14:paraId="6637FAC3">
            <w:pPr>
              <w:rPr>
                <w:rFonts w:ascii="Arial"/>
                <w:sz w:val="21"/>
              </w:rPr>
            </w:pPr>
          </w:p>
        </w:tc>
        <w:tc>
          <w:tcPr>
            <w:tcW w:w="480" w:type="dxa"/>
            <w:vAlign w:val="top"/>
          </w:tcPr>
          <w:p w14:paraId="5F62FF48">
            <w:pPr>
              <w:rPr>
                <w:rFonts w:ascii="Arial"/>
                <w:sz w:val="21"/>
              </w:rPr>
            </w:pPr>
          </w:p>
        </w:tc>
        <w:tc>
          <w:tcPr>
            <w:tcW w:w="510" w:type="dxa"/>
            <w:vAlign w:val="top"/>
          </w:tcPr>
          <w:p w14:paraId="05499840">
            <w:pPr>
              <w:rPr>
                <w:rFonts w:ascii="Arial"/>
                <w:sz w:val="21"/>
              </w:rPr>
            </w:pPr>
          </w:p>
        </w:tc>
        <w:tc>
          <w:tcPr>
            <w:tcW w:w="479" w:type="dxa"/>
            <w:vAlign w:val="top"/>
          </w:tcPr>
          <w:p w14:paraId="50100760">
            <w:pPr>
              <w:rPr>
                <w:rFonts w:ascii="Arial"/>
                <w:sz w:val="21"/>
              </w:rPr>
            </w:pPr>
          </w:p>
        </w:tc>
        <w:tc>
          <w:tcPr>
            <w:tcW w:w="480" w:type="dxa"/>
            <w:vAlign w:val="top"/>
          </w:tcPr>
          <w:p w14:paraId="3E24A380">
            <w:pPr>
              <w:rPr>
                <w:rFonts w:ascii="Arial"/>
                <w:sz w:val="21"/>
              </w:rPr>
            </w:pPr>
          </w:p>
        </w:tc>
        <w:tc>
          <w:tcPr>
            <w:tcW w:w="480" w:type="dxa"/>
            <w:vAlign w:val="top"/>
          </w:tcPr>
          <w:p w14:paraId="00A2CE14">
            <w:pPr>
              <w:rPr>
                <w:rFonts w:ascii="Arial"/>
                <w:sz w:val="21"/>
              </w:rPr>
            </w:pPr>
          </w:p>
        </w:tc>
        <w:tc>
          <w:tcPr>
            <w:tcW w:w="480" w:type="dxa"/>
            <w:vAlign w:val="top"/>
          </w:tcPr>
          <w:p w14:paraId="535CD91E">
            <w:pPr>
              <w:rPr>
                <w:rFonts w:ascii="Arial"/>
                <w:sz w:val="21"/>
              </w:rPr>
            </w:pPr>
          </w:p>
        </w:tc>
        <w:tc>
          <w:tcPr>
            <w:tcW w:w="480" w:type="dxa"/>
            <w:vAlign w:val="top"/>
          </w:tcPr>
          <w:p w14:paraId="338526AC">
            <w:pPr>
              <w:rPr>
                <w:rFonts w:ascii="Arial"/>
                <w:sz w:val="21"/>
              </w:rPr>
            </w:pPr>
          </w:p>
        </w:tc>
        <w:tc>
          <w:tcPr>
            <w:tcW w:w="479" w:type="dxa"/>
            <w:vAlign w:val="top"/>
          </w:tcPr>
          <w:p w14:paraId="388E0D3A">
            <w:pPr>
              <w:rPr>
                <w:rFonts w:ascii="Arial"/>
                <w:sz w:val="21"/>
              </w:rPr>
            </w:pPr>
          </w:p>
        </w:tc>
        <w:tc>
          <w:tcPr>
            <w:tcW w:w="495" w:type="dxa"/>
            <w:vAlign w:val="top"/>
          </w:tcPr>
          <w:p w14:paraId="45BC6DF7">
            <w:pPr>
              <w:rPr>
                <w:rFonts w:ascii="Arial"/>
                <w:sz w:val="21"/>
              </w:rPr>
            </w:pPr>
          </w:p>
        </w:tc>
        <w:tc>
          <w:tcPr>
            <w:tcW w:w="479" w:type="dxa"/>
            <w:vAlign w:val="top"/>
          </w:tcPr>
          <w:p w14:paraId="016B2D77">
            <w:pPr>
              <w:rPr>
                <w:rFonts w:ascii="Arial"/>
                <w:sz w:val="21"/>
              </w:rPr>
            </w:pPr>
          </w:p>
        </w:tc>
        <w:tc>
          <w:tcPr>
            <w:tcW w:w="480" w:type="dxa"/>
            <w:vAlign w:val="top"/>
          </w:tcPr>
          <w:p w14:paraId="0479EA97">
            <w:pPr>
              <w:rPr>
                <w:rFonts w:ascii="Arial"/>
                <w:sz w:val="21"/>
              </w:rPr>
            </w:pPr>
          </w:p>
        </w:tc>
        <w:tc>
          <w:tcPr>
            <w:tcW w:w="479" w:type="dxa"/>
            <w:vAlign w:val="top"/>
          </w:tcPr>
          <w:p w14:paraId="7F414802">
            <w:pPr>
              <w:rPr>
                <w:rFonts w:ascii="Arial"/>
                <w:sz w:val="21"/>
              </w:rPr>
            </w:pPr>
          </w:p>
        </w:tc>
        <w:tc>
          <w:tcPr>
            <w:tcW w:w="480" w:type="dxa"/>
            <w:vAlign w:val="top"/>
          </w:tcPr>
          <w:p w14:paraId="552B84C3">
            <w:pPr>
              <w:rPr>
                <w:rFonts w:ascii="Arial"/>
                <w:sz w:val="21"/>
              </w:rPr>
            </w:pPr>
          </w:p>
        </w:tc>
        <w:tc>
          <w:tcPr>
            <w:tcW w:w="480" w:type="dxa"/>
            <w:vAlign w:val="top"/>
          </w:tcPr>
          <w:p w14:paraId="795F9B7D">
            <w:pPr>
              <w:rPr>
                <w:rFonts w:ascii="Arial"/>
                <w:sz w:val="21"/>
              </w:rPr>
            </w:pPr>
          </w:p>
        </w:tc>
        <w:tc>
          <w:tcPr>
            <w:tcW w:w="480" w:type="dxa"/>
            <w:vAlign w:val="top"/>
          </w:tcPr>
          <w:p w14:paraId="78775044">
            <w:pPr>
              <w:rPr>
                <w:rFonts w:ascii="Arial"/>
                <w:sz w:val="21"/>
              </w:rPr>
            </w:pPr>
          </w:p>
        </w:tc>
        <w:tc>
          <w:tcPr>
            <w:tcW w:w="487" w:type="dxa"/>
            <w:vAlign w:val="top"/>
          </w:tcPr>
          <w:p w14:paraId="2C4CED7F">
            <w:pPr>
              <w:rPr>
                <w:rFonts w:ascii="Arial"/>
                <w:sz w:val="21"/>
              </w:rPr>
            </w:pPr>
          </w:p>
        </w:tc>
      </w:tr>
      <w:tr w14:paraId="72AC5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02" w:type="dxa"/>
            <w:vAlign w:val="top"/>
          </w:tcPr>
          <w:p w14:paraId="0243CCA9">
            <w:pPr>
              <w:rPr>
                <w:rFonts w:ascii="Arial"/>
                <w:sz w:val="21"/>
              </w:rPr>
            </w:pPr>
          </w:p>
        </w:tc>
        <w:tc>
          <w:tcPr>
            <w:tcW w:w="480" w:type="dxa"/>
            <w:vAlign w:val="top"/>
          </w:tcPr>
          <w:p w14:paraId="08A592C8">
            <w:pPr>
              <w:rPr>
                <w:rFonts w:ascii="Arial"/>
                <w:sz w:val="21"/>
              </w:rPr>
            </w:pPr>
          </w:p>
        </w:tc>
        <w:tc>
          <w:tcPr>
            <w:tcW w:w="510" w:type="dxa"/>
            <w:vAlign w:val="top"/>
          </w:tcPr>
          <w:p w14:paraId="3EC95820">
            <w:pPr>
              <w:rPr>
                <w:rFonts w:ascii="Arial"/>
                <w:sz w:val="21"/>
              </w:rPr>
            </w:pPr>
          </w:p>
        </w:tc>
        <w:tc>
          <w:tcPr>
            <w:tcW w:w="479" w:type="dxa"/>
            <w:vAlign w:val="top"/>
          </w:tcPr>
          <w:p w14:paraId="72C90631">
            <w:pPr>
              <w:rPr>
                <w:rFonts w:ascii="Arial"/>
                <w:sz w:val="21"/>
              </w:rPr>
            </w:pPr>
          </w:p>
        </w:tc>
        <w:tc>
          <w:tcPr>
            <w:tcW w:w="480" w:type="dxa"/>
            <w:vAlign w:val="top"/>
          </w:tcPr>
          <w:p w14:paraId="12210BC0">
            <w:pPr>
              <w:rPr>
                <w:rFonts w:ascii="Arial"/>
                <w:sz w:val="21"/>
              </w:rPr>
            </w:pPr>
          </w:p>
        </w:tc>
        <w:tc>
          <w:tcPr>
            <w:tcW w:w="480" w:type="dxa"/>
            <w:vAlign w:val="top"/>
          </w:tcPr>
          <w:p w14:paraId="572CF3A6">
            <w:pPr>
              <w:rPr>
                <w:rFonts w:ascii="Arial"/>
                <w:sz w:val="21"/>
              </w:rPr>
            </w:pPr>
          </w:p>
        </w:tc>
        <w:tc>
          <w:tcPr>
            <w:tcW w:w="480" w:type="dxa"/>
            <w:vAlign w:val="top"/>
          </w:tcPr>
          <w:p w14:paraId="478BB20B">
            <w:pPr>
              <w:rPr>
                <w:rFonts w:ascii="Arial"/>
                <w:sz w:val="21"/>
              </w:rPr>
            </w:pPr>
          </w:p>
        </w:tc>
        <w:tc>
          <w:tcPr>
            <w:tcW w:w="480" w:type="dxa"/>
            <w:vAlign w:val="top"/>
          </w:tcPr>
          <w:p w14:paraId="073C1719">
            <w:pPr>
              <w:rPr>
                <w:rFonts w:ascii="Arial"/>
                <w:sz w:val="21"/>
              </w:rPr>
            </w:pPr>
          </w:p>
        </w:tc>
        <w:tc>
          <w:tcPr>
            <w:tcW w:w="479" w:type="dxa"/>
            <w:vAlign w:val="top"/>
          </w:tcPr>
          <w:p w14:paraId="57398868">
            <w:pPr>
              <w:rPr>
                <w:rFonts w:ascii="Arial"/>
                <w:sz w:val="21"/>
              </w:rPr>
            </w:pPr>
          </w:p>
        </w:tc>
        <w:tc>
          <w:tcPr>
            <w:tcW w:w="495" w:type="dxa"/>
            <w:vAlign w:val="top"/>
          </w:tcPr>
          <w:p w14:paraId="25F3DCC0">
            <w:pPr>
              <w:rPr>
                <w:rFonts w:ascii="Arial"/>
                <w:sz w:val="21"/>
              </w:rPr>
            </w:pPr>
          </w:p>
        </w:tc>
        <w:tc>
          <w:tcPr>
            <w:tcW w:w="479" w:type="dxa"/>
            <w:vAlign w:val="top"/>
          </w:tcPr>
          <w:p w14:paraId="4DA2F6E7">
            <w:pPr>
              <w:rPr>
                <w:rFonts w:ascii="Arial"/>
                <w:sz w:val="21"/>
              </w:rPr>
            </w:pPr>
          </w:p>
        </w:tc>
        <w:tc>
          <w:tcPr>
            <w:tcW w:w="480" w:type="dxa"/>
            <w:vAlign w:val="top"/>
          </w:tcPr>
          <w:p w14:paraId="1804D531">
            <w:pPr>
              <w:rPr>
                <w:rFonts w:ascii="Arial"/>
                <w:sz w:val="21"/>
              </w:rPr>
            </w:pPr>
          </w:p>
        </w:tc>
        <w:tc>
          <w:tcPr>
            <w:tcW w:w="479" w:type="dxa"/>
            <w:vAlign w:val="top"/>
          </w:tcPr>
          <w:p w14:paraId="703C5784">
            <w:pPr>
              <w:rPr>
                <w:rFonts w:ascii="Arial"/>
                <w:sz w:val="21"/>
              </w:rPr>
            </w:pPr>
          </w:p>
        </w:tc>
        <w:tc>
          <w:tcPr>
            <w:tcW w:w="480" w:type="dxa"/>
            <w:vAlign w:val="top"/>
          </w:tcPr>
          <w:p w14:paraId="5BE5D551">
            <w:pPr>
              <w:rPr>
                <w:rFonts w:ascii="Arial"/>
                <w:sz w:val="21"/>
              </w:rPr>
            </w:pPr>
          </w:p>
        </w:tc>
        <w:tc>
          <w:tcPr>
            <w:tcW w:w="480" w:type="dxa"/>
            <w:vAlign w:val="top"/>
          </w:tcPr>
          <w:p w14:paraId="399FFF3F">
            <w:pPr>
              <w:rPr>
                <w:rFonts w:ascii="Arial"/>
                <w:sz w:val="21"/>
              </w:rPr>
            </w:pPr>
          </w:p>
        </w:tc>
        <w:tc>
          <w:tcPr>
            <w:tcW w:w="480" w:type="dxa"/>
            <w:vAlign w:val="top"/>
          </w:tcPr>
          <w:p w14:paraId="4F0699E7">
            <w:pPr>
              <w:rPr>
                <w:rFonts w:ascii="Arial"/>
                <w:sz w:val="21"/>
              </w:rPr>
            </w:pPr>
          </w:p>
        </w:tc>
        <w:tc>
          <w:tcPr>
            <w:tcW w:w="487" w:type="dxa"/>
            <w:vAlign w:val="top"/>
          </w:tcPr>
          <w:p w14:paraId="443DDE86">
            <w:pPr>
              <w:rPr>
                <w:rFonts w:ascii="Arial"/>
                <w:sz w:val="21"/>
              </w:rPr>
            </w:pPr>
          </w:p>
        </w:tc>
      </w:tr>
      <w:tr w14:paraId="26E0A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502" w:type="dxa"/>
            <w:vAlign w:val="top"/>
          </w:tcPr>
          <w:p w14:paraId="691705B4">
            <w:pPr>
              <w:rPr>
                <w:rFonts w:ascii="Arial"/>
                <w:sz w:val="21"/>
              </w:rPr>
            </w:pPr>
          </w:p>
        </w:tc>
        <w:tc>
          <w:tcPr>
            <w:tcW w:w="480" w:type="dxa"/>
            <w:vAlign w:val="top"/>
          </w:tcPr>
          <w:p w14:paraId="3A1EA0BF">
            <w:pPr>
              <w:rPr>
                <w:rFonts w:ascii="Arial"/>
                <w:sz w:val="21"/>
              </w:rPr>
            </w:pPr>
          </w:p>
        </w:tc>
        <w:tc>
          <w:tcPr>
            <w:tcW w:w="510" w:type="dxa"/>
            <w:vAlign w:val="top"/>
          </w:tcPr>
          <w:p w14:paraId="6FFFC4A8">
            <w:pPr>
              <w:rPr>
                <w:rFonts w:ascii="Arial"/>
                <w:sz w:val="21"/>
              </w:rPr>
            </w:pPr>
          </w:p>
        </w:tc>
        <w:tc>
          <w:tcPr>
            <w:tcW w:w="479" w:type="dxa"/>
            <w:vAlign w:val="top"/>
          </w:tcPr>
          <w:p w14:paraId="7759B1AD">
            <w:pPr>
              <w:rPr>
                <w:rFonts w:ascii="Arial"/>
                <w:sz w:val="21"/>
              </w:rPr>
            </w:pPr>
          </w:p>
        </w:tc>
        <w:tc>
          <w:tcPr>
            <w:tcW w:w="480" w:type="dxa"/>
            <w:vAlign w:val="top"/>
          </w:tcPr>
          <w:p w14:paraId="2A01B226">
            <w:pPr>
              <w:rPr>
                <w:rFonts w:ascii="Arial"/>
                <w:sz w:val="21"/>
              </w:rPr>
            </w:pPr>
          </w:p>
        </w:tc>
        <w:tc>
          <w:tcPr>
            <w:tcW w:w="480" w:type="dxa"/>
            <w:vAlign w:val="top"/>
          </w:tcPr>
          <w:p w14:paraId="0BEBA0F7">
            <w:pPr>
              <w:rPr>
                <w:rFonts w:ascii="Arial"/>
                <w:sz w:val="21"/>
              </w:rPr>
            </w:pPr>
          </w:p>
        </w:tc>
        <w:tc>
          <w:tcPr>
            <w:tcW w:w="480" w:type="dxa"/>
            <w:vAlign w:val="top"/>
          </w:tcPr>
          <w:p w14:paraId="723EA7F1">
            <w:pPr>
              <w:rPr>
                <w:rFonts w:ascii="Arial"/>
                <w:sz w:val="21"/>
              </w:rPr>
            </w:pPr>
          </w:p>
        </w:tc>
        <w:tc>
          <w:tcPr>
            <w:tcW w:w="480" w:type="dxa"/>
            <w:vAlign w:val="top"/>
          </w:tcPr>
          <w:p w14:paraId="12680080">
            <w:pPr>
              <w:rPr>
                <w:rFonts w:ascii="Arial"/>
                <w:sz w:val="21"/>
              </w:rPr>
            </w:pPr>
          </w:p>
        </w:tc>
        <w:tc>
          <w:tcPr>
            <w:tcW w:w="479" w:type="dxa"/>
            <w:vAlign w:val="top"/>
          </w:tcPr>
          <w:p w14:paraId="5FD4FF5B">
            <w:pPr>
              <w:rPr>
                <w:rFonts w:ascii="Arial"/>
                <w:sz w:val="21"/>
              </w:rPr>
            </w:pPr>
          </w:p>
        </w:tc>
        <w:tc>
          <w:tcPr>
            <w:tcW w:w="495" w:type="dxa"/>
            <w:vAlign w:val="top"/>
          </w:tcPr>
          <w:p w14:paraId="7D5A3DB5">
            <w:pPr>
              <w:rPr>
                <w:rFonts w:ascii="Arial"/>
                <w:sz w:val="21"/>
              </w:rPr>
            </w:pPr>
          </w:p>
        </w:tc>
        <w:tc>
          <w:tcPr>
            <w:tcW w:w="479" w:type="dxa"/>
            <w:vAlign w:val="top"/>
          </w:tcPr>
          <w:p w14:paraId="7482A391">
            <w:pPr>
              <w:rPr>
                <w:rFonts w:ascii="Arial"/>
                <w:sz w:val="21"/>
              </w:rPr>
            </w:pPr>
          </w:p>
        </w:tc>
        <w:tc>
          <w:tcPr>
            <w:tcW w:w="480" w:type="dxa"/>
            <w:vAlign w:val="top"/>
          </w:tcPr>
          <w:p w14:paraId="1211DB0D">
            <w:pPr>
              <w:rPr>
                <w:rFonts w:ascii="Arial"/>
                <w:sz w:val="21"/>
              </w:rPr>
            </w:pPr>
          </w:p>
        </w:tc>
        <w:tc>
          <w:tcPr>
            <w:tcW w:w="479" w:type="dxa"/>
            <w:vAlign w:val="top"/>
          </w:tcPr>
          <w:p w14:paraId="52226ED3">
            <w:pPr>
              <w:rPr>
                <w:rFonts w:ascii="Arial"/>
                <w:sz w:val="21"/>
              </w:rPr>
            </w:pPr>
          </w:p>
        </w:tc>
        <w:tc>
          <w:tcPr>
            <w:tcW w:w="480" w:type="dxa"/>
            <w:vAlign w:val="top"/>
          </w:tcPr>
          <w:p w14:paraId="54E3FC9E">
            <w:pPr>
              <w:rPr>
                <w:rFonts w:ascii="Arial"/>
                <w:sz w:val="21"/>
              </w:rPr>
            </w:pPr>
          </w:p>
        </w:tc>
        <w:tc>
          <w:tcPr>
            <w:tcW w:w="480" w:type="dxa"/>
            <w:vAlign w:val="top"/>
          </w:tcPr>
          <w:p w14:paraId="35257E18">
            <w:pPr>
              <w:rPr>
                <w:rFonts w:ascii="Arial"/>
                <w:sz w:val="21"/>
              </w:rPr>
            </w:pPr>
          </w:p>
        </w:tc>
        <w:tc>
          <w:tcPr>
            <w:tcW w:w="480" w:type="dxa"/>
            <w:vAlign w:val="top"/>
          </w:tcPr>
          <w:p w14:paraId="32A566C6">
            <w:pPr>
              <w:rPr>
                <w:rFonts w:ascii="Arial"/>
                <w:sz w:val="21"/>
              </w:rPr>
            </w:pPr>
          </w:p>
        </w:tc>
        <w:tc>
          <w:tcPr>
            <w:tcW w:w="487" w:type="dxa"/>
            <w:vAlign w:val="top"/>
          </w:tcPr>
          <w:p w14:paraId="04123EEF">
            <w:pPr>
              <w:rPr>
                <w:rFonts w:ascii="Arial"/>
                <w:sz w:val="21"/>
              </w:rPr>
            </w:pPr>
          </w:p>
        </w:tc>
      </w:tr>
      <w:tr w14:paraId="0CC2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502" w:type="dxa"/>
            <w:vAlign w:val="top"/>
          </w:tcPr>
          <w:p w14:paraId="57E5954B">
            <w:pPr>
              <w:rPr>
                <w:rFonts w:ascii="Arial"/>
                <w:sz w:val="21"/>
              </w:rPr>
            </w:pPr>
          </w:p>
        </w:tc>
        <w:tc>
          <w:tcPr>
            <w:tcW w:w="480" w:type="dxa"/>
            <w:vAlign w:val="top"/>
          </w:tcPr>
          <w:p w14:paraId="79F465D8">
            <w:pPr>
              <w:rPr>
                <w:rFonts w:ascii="Arial"/>
                <w:sz w:val="21"/>
              </w:rPr>
            </w:pPr>
          </w:p>
        </w:tc>
        <w:tc>
          <w:tcPr>
            <w:tcW w:w="510" w:type="dxa"/>
            <w:vAlign w:val="top"/>
          </w:tcPr>
          <w:p w14:paraId="12C1E822">
            <w:pPr>
              <w:rPr>
                <w:rFonts w:ascii="Arial"/>
                <w:sz w:val="21"/>
              </w:rPr>
            </w:pPr>
          </w:p>
        </w:tc>
        <w:tc>
          <w:tcPr>
            <w:tcW w:w="479" w:type="dxa"/>
            <w:vAlign w:val="top"/>
          </w:tcPr>
          <w:p w14:paraId="3D397CE5">
            <w:pPr>
              <w:rPr>
                <w:rFonts w:ascii="Arial"/>
                <w:sz w:val="21"/>
              </w:rPr>
            </w:pPr>
          </w:p>
        </w:tc>
        <w:tc>
          <w:tcPr>
            <w:tcW w:w="480" w:type="dxa"/>
            <w:vAlign w:val="top"/>
          </w:tcPr>
          <w:p w14:paraId="1D765212">
            <w:pPr>
              <w:rPr>
                <w:rFonts w:ascii="Arial"/>
                <w:sz w:val="21"/>
              </w:rPr>
            </w:pPr>
          </w:p>
        </w:tc>
        <w:tc>
          <w:tcPr>
            <w:tcW w:w="480" w:type="dxa"/>
            <w:vAlign w:val="top"/>
          </w:tcPr>
          <w:p w14:paraId="5B44D721">
            <w:pPr>
              <w:rPr>
                <w:rFonts w:ascii="Arial"/>
                <w:sz w:val="21"/>
              </w:rPr>
            </w:pPr>
          </w:p>
        </w:tc>
        <w:tc>
          <w:tcPr>
            <w:tcW w:w="480" w:type="dxa"/>
            <w:vAlign w:val="top"/>
          </w:tcPr>
          <w:p w14:paraId="05C574E6">
            <w:pPr>
              <w:rPr>
                <w:rFonts w:ascii="Arial"/>
                <w:sz w:val="21"/>
              </w:rPr>
            </w:pPr>
          </w:p>
        </w:tc>
        <w:tc>
          <w:tcPr>
            <w:tcW w:w="480" w:type="dxa"/>
            <w:vAlign w:val="top"/>
          </w:tcPr>
          <w:p w14:paraId="6A5A0124">
            <w:pPr>
              <w:rPr>
                <w:rFonts w:ascii="Arial"/>
                <w:sz w:val="21"/>
              </w:rPr>
            </w:pPr>
          </w:p>
        </w:tc>
        <w:tc>
          <w:tcPr>
            <w:tcW w:w="479" w:type="dxa"/>
            <w:vAlign w:val="top"/>
          </w:tcPr>
          <w:p w14:paraId="427EB0CF">
            <w:pPr>
              <w:rPr>
                <w:rFonts w:ascii="Arial"/>
                <w:sz w:val="21"/>
              </w:rPr>
            </w:pPr>
          </w:p>
        </w:tc>
        <w:tc>
          <w:tcPr>
            <w:tcW w:w="495" w:type="dxa"/>
            <w:vAlign w:val="top"/>
          </w:tcPr>
          <w:p w14:paraId="7438A15A">
            <w:pPr>
              <w:rPr>
                <w:rFonts w:ascii="Arial"/>
                <w:sz w:val="21"/>
              </w:rPr>
            </w:pPr>
          </w:p>
        </w:tc>
        <w:tc>
          <w:tcPr>
            <w:tcW w:w="479" w:type="dxa"/>
            <w:vAlign w:val="top"/>
          </w:tcPr>
          <w:p w14:paraId="52056E2D">
            <w:pPr>
              <w:rPr>
                <w:rFonts w:ascii="Arial"/>
                <w:sz w:val="21"/>
              </w:rPr>
            </w:pPr>
          </w:p>
        </w:tc>
        <w:tc>
          <w:tcPr>
            <w:tcW w:w="480" w:type="dxa"/>
            <w:vAlign w:val="top"/>
          </w:tcPr>
          <w:p w14:paraId="31C4BC66">
            <w:pPr>
              <w:rPr>
                <w:rFonts w:ascii="Arial"/>
                <w:sz w:val="21"/>
              </w:rPr>
            </w:pPr>
          </w:p>
        </w:tc>
        <w:tc>
          <w:tcPr>
            <w:tcW w:w="479" w:type="dxa"/>
            <w:vAlign w:val="top"/>
          </w:tcPr>
          <w:p w14:paraId="631429BA">
            <w:pPr>
              <w:rPr>
                <w:rFonts w:ascii="Arial"/>
                <w:sz w:val="21"/>
              </w:rPr>
            </w:pPr>
          </w:p>
        </w:tc>
        <w:tc>
          <w:tcPr>
            <w:tcW w:w="480" w:type="dxa"/>
            <w:vAlign w:val="top"/>
          </w:tcPr>
          <w:p w14:paraId="50014960">
            <w:pPr>
              <w:rPr>
                <w:rFonts w:ascii="Arial"/>
                <w:sz w:val="21"/>
              </w:rPr>
            </w:pPr>
          </w:p>
        </w:tc>
        <w:tc>
          <w:tcPr>
            <w:tcW w:w="480" w:type="dxa"/>
            <w:vAlign w:val="top"/>
          </w:tcPr>
          <w:p w14:paraId="45279EC0">
            <w:pPr>
              <w:rPr>
                <w:rFonts w:ascii="Arial"/>
                <w:sz w:val="21"/>
              </w:rPr>
            </w:pPr>
          </w:p>
        </w:tc>
        <w:tc>
          <w:tcPr>
            <w:tcW w:w="480" w:type="dxa"/>
            <w:vAlign w:val="top"/>
          </w:tcPr>
          <w:p w14:paraId="471D92FB">
            <w:pPr>
              <w:rPr>
                <w:rFonts w:ascii="Arial"/>
                <w:sz w:val="21"/>
              </w:rPr>
            </w:pPr>
          </w:p>
        </w:tc>
        <w:tc>
          <w:tcPr>
            <w:tcW w:w="487" w:type="dxa"/>
            <w:vAlign w:val="top"/>
          </w:tcPr>
          <w:p w14:paraId="11D0DC05">
            <w:pPr>
              <w:rPr>
                <w:rFonts w:ascii="Arial"/>
                <w:sz w:val="21"/>
              </w:rPr>
            </w:pPr>
          </w:p>
        </w:tc>
      </w:tr>
      <w:tr w14:paraId="1FB9E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502" w:type="dxa"/>
            <w:vAlign w:val="top"/>
          </w:tcPr>
          <w:p w14:paraId="4164C64C">
            <w:pPr>
              <w:rPr>
                <w:rFonts w:ascii="Arial"/>
                <w:sz w:val="21"/>
              </w:rPr>
            </w:pPr>
          </w:p>
        </w:tc>
        <w:tc>
          <w:tcPr>
            <w:tcW w:w="480" w:type="dxa"/>
            <w:vAlign w:val="top"/>
          </w:tcPr>
          <w:p w14:paraId="4FBBB164">
            <w:pPr>
              <w:rPr>
                <w:rFonts w:ascii="Arial"/>
                <w:sz w:val="21"/>
              </w:rPr>
            </w:pPr>
          </w:p>
        </w:tc>
        <w:tc>
          <w:tcPr>
            <w:tcW w:w="510" w:type="dxa"/>
            <w:vAlign w:val="top"/>
          </w:tcPr>
          <w:p w14:paraId="43B5A6EF">
            <w:pPr>
              <w:rPr>
                <w:rFonts w:ascii="Arial"/>
                <w:sz w:val="21"/>
              </w:rPr>
            </w:pPr>
          </w:p>
        </w:tc>
        <w:tc>
          <w:tcPr>
            <w:tcW w:w="479" w:type="dxa"/>
            <w:vAlign w:val="top"/>
          </w:tcPr>
          <w:p w14:paraId="6835EEAB">
            <w:pPr>
              <w:rPr>
                <w:rFonts w:ascii="Arial"/>
                <w:sz w:val="21"/>
              </w:rPr>
            </w:pPr>
          </w:p>
        </w:tc>
        <w:tc>
          <w:tcPr>
            <w:tcW w:w="480" w:type="dxa"/>
            <w:vAlign w:val="top"/>
          </w:tcPr>
          <w:p w14:paraId="782D3216">
            <w:pPr>
              <w:rPr>
                <w:rFonts w:ascii="Arial"/>
                <w:sz w:val="21"/>
              </w:rPr>
            </w:pPr>
          </w:p>
        </w:tc>
        <w:tc>
          <w:tcPr>
            <w:tcW w:w="480" w:type="dxa"/>
            <w:vAlign w:val="top"/>
          </w:tcPr>
          <w:p w14:paraId="7FB2663B">
            <w:pPr>
              <w:rPr>
                <w:rFonts w:ascii="Arial"/>
                <w:sz w:val="21"/>
              </w:rPr>
            </w:pPr>
          </w:p>
        </w:tc>
        <w:tc>
          <w:tcPr>
            <w:tcW w:w="480" w:type="dxa"/>
            <w:vAlign w:val="top"/>
          </w:tcPr>
          <w:p w14:paraId="278A647D">
            <w:pPr>
              <w:rPr>
                <w:rFonts w:ascii="Arial"/>
                <w:sz w:val="21"/>
              </w:rPr>
            </w:pPr>
          </w:p>
        </w:tc>
        <w:tc>
          <w:tcPr>
            <w:tcW w:w="480" w:type="dxa"/>
            <w:vAlign w:val="top"/>
          </w:tcPr>
          <w:p w14:paraId="3B6B6722">
            <w:pPr>
              <w:rPr>
                <w:rFonts w:ascii="Arial"/>
                <w:sz w:val="21"/>
              </w:rPr>
            </w:pPr>
          </w:p>
        </w:tc>
        <w:tc>
          <w:tcPr>
            <w:tcW w:w="479" w:type="dxa"/>
            <w:vAlign w:val="top"/>
          </w:tcPr>
          <w:p w14:paraId="4FE01BEE">
            <w:pPr>
              <w:rPr>
                <w:rFonts w:ascii="Arial"/>
                <w:sz w:val="21"/>
              </w:rPr>
            </w:pPr>
          </w:p>
        </w:tc>
        <w:tc>
          <w:tcPr>
            <w:tcW w:w="495" w:type="dxa"/>
            <w:vAlign w:val="top"/>
          </w:tcPr>
          <w:p w14:paraId="7A861E4B">
            <w:pPr>
              <w:rPr>
                <w:rFonts w:ascii="Arial"/>
                <w:sz w:val="21"/>
              </w:rPr>
            </w:pPr>
          </w:p>
        </w:tc>
        <w:tc>
          <w:tcPr>
            <w:tcW w:w="479" w:type="dxa"/>
            <w:vAlign w:val="top"/>
          </w:tcPr>
          <w:p w14:paraId="68307970">
            <w:pPr>
              <w:rPr>
                <w:rFonts w:ascii="Arial"/>
                <w:sz w:val="21"/>
              </w:rPr>
            </w:pPr>
          </w:p>
        </w:tc>
        <w:tc>
          <w:tcPr>
            <w:tcW w:w="480" w:type="dxa"/>
            <w:vAlign w:val="top"/>
          </w:tcPr>
          <w:p w14:paraId="7FDDA89D">
            <w:pPr>
              <w:rPr>
                <w:rFonts w:ascii="Arial"/>
                <w:sz w:val="21"/>
              </w:rPr>
            </w:pPr>
          </w:p>
        </w:tc>
        <w:tc>
          <w:tcPr>
            <w:tcW w:w="479" w:type="dxa"/>
            <w:vAlign w:val="top"/>
          </w:tcPr>
          <w:p w14:paraId="48973BE6">
            <w:pPr>
              <w:rPr>
                <w:rFonts w:ascii="Arial"/>
                <w:sz w:val="21"/>
              </w:rPr>
            </w:pPr>
          </w:p>
        </w:tc>
        <w:tc>
          <w:tcPr>
            <w:tcW w:w="480" w:type="dxa"/>
            <w:vAlign w:val="top"/>
          </w:tcPr>
          <w:p w14:paraId="58E14165">
            <w:pPr>
              <w:rPr>
                <w:rFonts w:ascii="Arial"/>
                <w:sz w:val="21"/>
              </w:rPr>
            </w:pPr>
          </w:p>
        </w:tc>
        <w:tc>
          <w:tcPr>
            <w:tcW w:w="480" w:type="dxa"/>
            <w:vAlign w:val="top"/>
          </w:tcPr>
          <w:p w14:paraId="19C95EF2">
            <w:pPr>
              <w:rPr>
                <w:rFonts w:ascii="Arial"/>
                <w:sz w:val="21"/>
              </w:rPr>
            </w:pPr>
          </w:p>
        </w:tc>
        <w:tc>
          <w:tcPr>
            <w:tcW w:w="480" w:type="dxa"/>
            <w:vAlign w:val="top"/>
          </w:tcPr>
          <w:p w14:paraId="20DD1721">
            <w:pPr>
              <w:rPr>
                <w:rFonts w:ascii="Arial"/>
                <w:sz w:val="21"/>
              </w:rPr>
            </w:pPr>
          </w:p>
        </w:tc>
        <w:tc>
          <w:tcPr>
            <w:tcW w:w="487" w:type="dxa"/>
            <w:vAlign w:val="top"/>
          </w:tcPr>
          <w:p w14:paraId="3410F5A8">
            <w:pPr>
              <w:rPr>
                <w:rFonts w:ascii="Arial"/>
                <w:sz w:val="21"/>
              </w:rPr>
            </w:pPr>
          </w:p>
        </w:tc>
      </w:tr>
      <w:tr w14:paraId="6BF30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502" w:type="dxa"/>
            <w:vAlign w:val="top"/>
          </w:tcPr>
          <w:p w14:paraId="7BE21AAA">
            <w:pPr>
              <w:rPr>
                <w:rFonts w:ascii="Arial"/>
                <w:sz w:val="21"/>
              </w:rPr>
            </w:pPr>
          </w:p>
        </w:tc>
        <w:tc>
          <w:tcPr>
            <w:tcW w:w="480" w:type="dxa"/>
            <w:vAlign w:val="top"/>
          </w:tcPr>
          <w:p w14:paraId="67B7D7BA">
            <w:pPr>
              <w:rPr>
                <w:rFonts w:ascii="Arial"/>
                <w:sz w:val="21"/>
              </w:rPr>
            </w:pPr>
          </w:p>
        </w:tc>
        <w:tc>
          <w:tcPr>
            <w:tcW w:w="510" w:type="dxa"/>
            <w:vAlign w:val="top"/>
          </w:tcPr>
          <w:p w14:paraId="334CF431">
            <w:pPr>
              <w:rPr>
                <w:rFonts w:ascii="Arial"/>
                <w:sz w:val="21"/>
              </w:rPr>
            </w:pPr>
          </w:p>
        </w:tc>
        <w:tc>
          <w:tcPr>
            <w:tcW w:w="479" w:type="dxa"/>
            <w:vAlign w:val="top"/>
          </w:tcPr>
          <w:p w14:paraId="230F4A8B">
            <w:pPr>
              <w:rPr>
                <w:rFonts w:ascii="Arial"/>
                <w:sz w:val="21"/>
              </w:rPr>
            </w:pPr>
          </w:p>
        </w:tc>
        <w:tc>
          <w:tcPr>
            <w:tcW w:w="480" w:type="dxa"/>
            <w:vAlign w:val="top"/>
          </w:tcPr>
          <w:p w14:paraId="5209E4F1">
            <w:pPr>
              <w:rPr>
                <w:rFonts w:ascii="Arial"/>
                <w:sz w:val="21"/>
              </w:rPr>
            </w:pPr>
          </w:p>
        </w:tc>
        <w:tc>
          <w:tcPr>
            <w:tcW w:w="480" w:type="dxa"/>
            <w:vAlign w:val="top"/>
          </w:tcPr>
          <w:p w14:paraId="3F07DE3C">
            <w:pPr>
              <w:rPr>
                <w:rFonts w:ascii="Arial"/>
                <w:sz w:val="21"/>
              </w:rPr>
            </w:pPr>
          </w:p>
        </w:tc>
        <w:tc>
          <w:tcPr>
            <w:tcW w:w="480" w:type="dxa"/>
            <w:vAlign w:val="top"/>
          </w:tcPr>
          <w:p w14:paraId="06B63557">
            <w:pPr>
              <w:rPr>
                <w:rFonts w:ascii="Arial"/>
                <w:sz w:val="21"/>
              </w:rPr>
            </w:pPr>
          </w:p>
        </w:tc>
        <w:tc>
          <w:tcPr>
            <w:tcW w:w="480" w:type="dxa"/>
            <w:vAlign w:val="top"/>
          </w:tcPr>
          <w:p w14:paraId="0C4F3388">
            <w:pPr>
              <w:rPr>
                <w:rFonts w:ascii="Arial"/>
                <w:sz w:val="21"/>
              </w:rPr>
            </w:pPr>
          </w:p>
        </w:tc>
        <w:tc>
          <w:tcPr>
            <w:tcW w:w="479" w:type="dxa"/>
            <w:vAlign w:val="top"/>
          </w:tcPr>
          <w:p w14:paraId="6BD38572">
            <w:pPr>
              <w:rPr>
                <w:rFonts w:ascii="Arial"/>
                <w:sz w:val="21"/>
              </w:rPr>
            </w:pPr>
          </w:p>
        </w:tc>
        <w:tc>
          <w:tcPr>
            <w:tcW w:w="495" w:type="dxa"/>
            <w:vAlign w:val="top"/>
          </w:tcPr>
          <w:p w14:paraId="49873776">
            <w:pPr>
              <w:rPr>
                <w:rFonts w:ascii="Arial"/>
                <w:sz w:val="21"/>
              </w:rPr>
            </w:pPr>
          </w:p>
        </w:tc>
        <w:tc>
          <w:tcPr>
            <w:tcW w:w="479" w:type="dxa"/>
            <w:vAlign w:val="top"/>
          </w:tcPr>
          <w:p w14:paraId="225D3B05">
            <w:pPr>
              <w:rPr>
                <w:rFonts w:ascii="Arial"/>
                <w:sz w:val="21"/>
              </w:rPr>
            </w:pPr>
          </w:p>
        </w:tc>
        <w:tc>
          <w:tcPr>
            <w:tcW w:w="480" w:type="dxa"/>
            <w:vAlign w:val="top"/>
          </w:tcPr>
          <w:p w14:paraId="23BAF0B2">
            <w:pPr>
              <w:rPr>
                <w:rFonts w:ascii="Arial"/>
                <w:sz w:val="21"/>
              </w:rPr>
            </w:pPr>
          </w:p>
        </w:tc>
        <w:tc>
          <w:tcPr>
            <w:tcW w:w="479" w:type="dxa"/>
            <w:vAlign w:val="top"/>
          </w:tcPr>
          <w:p w14:paraId="7812E3DB">
            <w:pPr>
              <w:rPr>
                <w:rFonts w:ascii="Arial"/>
                <w:sz w:val="21"/>
              </w:rPr>
            </w:pPr>
          </w:p>
        </w:tc>
        <w:tc>
          <w:tcPr>
            <w:tcW w:w="480" w:type="dxa"/>
            <w:vAlign w:val="top"/>
          </w:tcPr>
          <w:p w14:paraId="6CBD3BC0">
            <w:pPr>
              <w:rPr>
                <w:rFonts w:ascii="Arial"/>
                <w:sz w:val="21"/>
              </w:rPr>
            </w:pPr>
          </w:p>
        </w:tc>
        <w:tc>
          <w:tcPr>
            <w:tcW w:w="480" w:type="dxa"/>
            <w:vAlign w:val="top"/>
          </w:tcPr>
          <w:p w14:paraId="4ABC6F13">
            <w:pPr>
              <w:rPr>
                <w:rFonts w:ascii="Arial"/>
                <w:sz w:val="21"/>
              </w:rPr>
            </w:pPr>
          </w:p>
        </w:tc>
        <w:tc>
          <w:tcPr>
            <w:tcW w:w="480" w:type="dxa"/>
            <w:vAlign w:val="top"/>
          </w:tcPr>
          <w:p w14:paraId="777A0C99">
            <w:pPr>
              <w:rPr>
                <w:rFonts w:ascii="Arial"/>
                <w:sz w:val="21"/>
              </w:rPr>
            </w:pPr>
          </w:p>
        </w:tc>
        <w:tc>
          <w:tcPr>
            <w:tcW w:w="487" w:type="dxa"/>
            <w:vAlign w:val="top"/>
          </w:tcPr>
          <w:p w14:paraId="7430DCAE">
            <w:pPr>
              <w:rPr>
                <w:rFonts w:ascii="Arial"/>
                <w:sz w:val="21"/>
              </w:rPr>
            </w:pPr>
          </w:p>
        </w:tc>
      </w:tr>
      <w:tr w14:paraId="7ADB3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502" w:type="dxa"/>
            <w:vAlign w:val="top"/>
          </w:tcPr>
          <w:p w14:paraId="0BEEF140">
            <w:pPr>
              <w:rPr>
                <w:rFonts w:ascii="Arial"/>
                <w:sz w:val="21"/>
              </w:rPr>
            </w:pPr>
          </w:p>
        </w:tc>
        <w:tc>
          <w:tcPr>
            <w:tcW w:w="480" w:type="dxa"/>
            <w:vAlign w:val="top"/>
          </w:tcPr>
          <w:p w14:paraId="708FB987">
            <w:pPr>
              <w:rPr>
                <w:rFonts w:ascii="Arial"/>
                <w:sz w:val="21"/>
              </w:rPr>
            </w:pPr>
          </w:p>
        </w:tc>
        <w:tc>
          <w:tcPr>
            <w:tcW w:w="510" w:type="dxa"/>
            <w:vAlign w:val="top"/>
          </w:tcPr>
          <w:p w14:paraId="3FADD35C">
            <w:pPr>
              <w:rPr>
                <w:rFonts w:ascii="Arial"/>
                <w:sz w:val="21"/>
              </w:rPr>
            </w:pPr>
          </w:p>
        </w:tc>
        <w:tc>
          <w:tcPr>
            <w:tcW w:w="479" w:type="dxa"/>
            <w:vAlign w:val="top"/>
          </w:tcPr>
          <w:p w14:paraId="0BB48BB6">
            <w:pPr>
              <w:rPr>
                <w:rFonts w:ascii="Arial"/>
                <w:sz w:val="21"/>
              </w:rPr>
            </w:pPr>
          </w:p>
        </w:tc>
        <w:tc>
          <w:tcPr>
            <w:tcW w:w="480" w:type="dxa"/>
            <w:vAlign w:val="top"/>
          </w:tcPr>
          <w:p w14:paraId="48B5B9E4">
            <w:pPr>
              <w:rPr>
                <w:rFonts w:ascii="Arial"/>
                <w:sz w:val="21"/>
              </w:rPr>
            </w:pPr>
          </w:p>
        </w:tc>
        <w:tc>
          <w:tcPr>
            <w:tcW w:w="480" w:type="dxa"/>
            <w:vAlign w:val="top"/>
          </w:tcPr>
          <w:p w14:paraId="499881D5">
            <w:pPr>
              <w:rPr>
                <w:rFonts w:ascii="Arial"/>
                <w:sz w:val="21"/>
              </w:rPr>
            </w:pPr>
          </w:p>
        </w:tc>
        <w:tc>
          <w:tcPr>
            <w:tcW w:w="480" w:type="dxa"/>
            <w:vAlign w:val="top"/>
          </w:tcPr>
          <w:p w14:paraId="1E38E119">
            <w:pPr>
              <w:rPr>
                <w:rFonts w:ascii="Arial"/>
                <w:sz w:val="21"/>
              </w:rPr>
            </w:pPr>
          </w:p>
        </w:tc>
        <w:tc>
          <w:tcPr>
            <w:tcW w:w="480" w:type="dxa"/>
            <w:vAlign w:val="top"/>
          </w:tcPr>
          <w:p w14:paraId="0D541C70">
            <w:pPr>
              <w:rPr>
                <w:rFonts w:ascii="Arial"/>
                <w:sz w:val="21"/>
              </w:rPr>
            </w:pPr>
          </w:p>
        </w:tc>
        <w:tc>
          <w:tcPr>
            <w:tcW w:w="479" w:type="dxa"/>
            <w:vAlign w:val="top"/>
          </w:tcPr>
          <w:p w14:paraId="4798CCBA">
            <w:pPr>
              <w:rPr>
                <w:rFonts w:ascii="Arial"/>
                <w:sz w:val="21"/>
              </w:rPr>
            </w:pPr>
          </w:p>
        </w:tc>
        <w:tc>
          <w:tcPr>
            <w:tcW w:w="495" w:type="dxa"/>
            <w:vAlign w:val="top"/>
          </w:tcPr>
          <w:p w14:paraId="18917FDD">
            <w:pPr>
              <w:rPr>
                <w:rFonts w:ascii="Arial"/>
                <w:sz w:val="21"/>
              </w:rPr>
            </w:pPr>
          </w:p>
        </w:tc>
        <w:tc>
          <w:tcPr>
            <w:tcW w:w="479" w:type="dxa"/>
            <w:vAlign w:val="top"/>
          </w:tcPr>
          <w:p w14:paraId="7C506C02">
            <w:pPr>
              <w:rPr>
                <w:rFonts w:ascii="Arial"/>
                <w:sz w:val="21"/>
              </w:rPr>
            </w:pPr>
          </w:p>
        </w:tc>
        <w:tc>
          <w:tcPr>
            <w:tcW w:w="480" w:type="dxa"/>
            <w:vAlign w:val="top"/>
          </w:tcPr>
          <w:p w14:paraId="471AD790">
            <w:pPr>
              <w:rPr>
                <w:rFonts w:ascii="Arial"/>
                <w:sz w:val="21"/>
              </w:rPr>
            </w:pPr>
          </w:p>
        </w:tc>
        <w:tc>
          <w:tcPr>
            <w:tcW w:w="479" w:type="dxa"/>
            <w:vAlign w:val="top"/>
          </w:tcPr>
          <w:p w14:paraId="1B7AC31F">
            <w:pPr>
              <w:rPr>
                <w:rFonts w:ascii="Arial"/>
                <w:sz w:val="21"/>
              </w:rPr>
            </w:pPr>
          </w:p>
        </w:tc>
        <w:tc>
          <w:tcPr>
            <w:tcW w:w="480" w:type="dxa"/>
            <w:vAlign w:val="top"/>
          </w:tcPr>
          <w:p w14:paraId="3BAA3418">
            <w:pPr>
              <w:rPr>
                <w:rFonts w:ascii="Arial"/>
                <w:sz w:val="21"/>
              </w:rPr>
            </w:pPr>
          </w:p>
        </w:tc>
        <w:tc>
          <w:tcPr>
            <w:tcW w:w="480" w:type="dxa"/>
            <w:vAlign w:val="top"/>
          </w:tcPr>
          <w:p w14:paraId="1C3CA0EA">
            <w:pPr>
              <w:rPr>
                <w:rFonts w:ascii="Arial"/>
                <w:sz w:val="21"/>
              </w:rPr>
            </w:pPr>
          </w:p>
        </w:tc>
        <w:tc>
          <w:tcPr>
            <w:tcW w:w="480" w:type="dxa"/>
            <w:vAlign w:val="top"/>
          </w:tcPr>
          <w:p w14:paraId="4A877FB1">
            <w:pPr>
              <w:rPr>
                <w:rFonts w:ascii="Arial"/>
                <w:sz w:val="21"/>
              </w:rPr>
            </w:pPr>
          </w:p>
        </w:tc>
        <w:tc>
          <w:tcPr>
            <w:tcW w:w="487" w:type="dxa"/>
            <w:vAlign w:val="top"/>
          </w:tcPr>
          <w:p w14:paraId="49336E0A">
            <w:pPr>
              <w:rPr>
                <w:rFonts w:ascii="Arial"/>
                <w:sz w:val="21"/>
              </w:rPr>
            </w:pPr>
          </w:p>
        </w:tc>
      </w:tr>
    </w:tbl>
    <w:p w14:paraId="02B7F11D">
      <w:pPr>
        <w:pStyle w:val="2"/>
      </w:pPr>
    </w:p>
    <w:p w14:paraId="42D48AB8">
      <w:pPr>
        <w:sectPr>
          <w:footerReference r:id="rId260" w:type="default"/>
          <w:pgSz w:w="11910" w:h="16845"/>
          <w:pgMar w:top="400" w:right="1786" w:bottom="1110" w:left="1786" w:header="0" w:footer="883" w:gutter="0"/>
          <w:cols w:space="720" w:num="1"/>
        </w:sectPr>
      </w:pPr>
    </w:p>
    <w:p w14:paraId="5357294D">
      <w:pPr>
        <w:pStyle w:val="2"/>
        <w:spacing w:line="243" w:lineRule="auto"/>
      </w:pPr>
    </w:p>
    <w:p w14:paraId="6CC401C8">
      <w:pPr>
        <w:pStyle w:val="2"/>
        <w:spacing w:line="243" w:lineRule="auto"/>
      </w:pPr>
    </w:p>
    <w:p w14:paraId="532D80AC">
      <w:pPr>
        <w:pStyle w:val="2"/>
        <w:spacing w:line="243" w:lineRule="auto"/>
      </w:pPr>
    </w:p>
    <w:p w14:paraId="41879E2B">
      <w:pPr>
        <w:pStyle w:val="2"/>
        <w:spacing w:line="243" w:lineRule="auto"/>
      </w:pPr>
    </w:p>
    <w:p w14:paraId="0735D312">
      <w:pPr>
        <w:pStyle w:val="2"/>
        <w:spacing w:line="243" w:lineRule="auto"/>
      </w:pPr>
    </w:p>
    <w:p w14:paraId="7267E896">
      <w:pPr>
        <w:pStyle w:val="2"/>
        <w:spacing w:line="243" w:lineRule="auto"/>
      </w:pPr>
    </w:p>
    <w:p w14:paraId="3AEEC6E6">
      <w:pPr>
        <w:pStyle w:val="2"/>
        <w:spacing w:line="244" w:lineRule="auto"/>
      </w:pPr>
    </w:p>
    <w:p w14:paraId="678DB48A">
      <w:pPr>
        <w:spacing w:before="140" w:line="222" w:lineRule="auto"/>
        <w:ind w:left="3517"/>
        <w:outlineLvl w:val="0"/>
        <w:rPr>
          <w:rFonts w:ascii="宋体" w:hAnsi="宋体" w:eastAsia="宋体" w:cs="宋体"/>
          <w:sz w:val="43"/>
          <w:szCs w:val="43"/>
        </w:rPr>
      </w:pPr>
      <w:bookmarkStart w:id="584" w:name="bookmark540"/>
      <w:bookmarkEnd w:id="584"/>
      <w:r>
        <w:rPr>
          <w:rFonts w:ascii="宋体" w:hAnsi="宋体" w:eastAsia="宋体" w:cs="宋体"/>
          <w:b/>
          <w:bCs/>
          <w:spacing w:val="5"/>
          <w:sz w:val="43"/>
          <w:szCs w:val="43"/>
        </w:rPr>
        <w:t>第二卷</w:t>
      </w:r>
    </w:p>
    <w:p w14:paraId="5C42D772">
      <w:pPr>
        <w:spacing w:line="222" w:lineRule="auto"/>
        <w:rPr>
          <w:rFonts w:ascii="宋体" w:hAnsi="宋体" w:eastAsia="宋体" w:cs="宋体"/>
          <w:sz w:val="43"/>
          <w:szCs w:val="43"/>
        </w:rPr>
        <w:sectPr>
          <w:footerReference r:id="rId261" w:type="default"/>
          <w:pgSz w:w="11910" w:h="16845"/>
          <w:pgMar w:top="400" w:right="1786" w:bottom="1110" w:left="1786" w:header="0" w:footer="883" w:gutter="0"/>
          <w:cols w:space="720" w:num="1"/>
        </w:sectPr>
      </w:pPr>
    </w:p>
    <w:p w14:paraId="1C853420">
      <w:pPr>
        <w:pStyle w:val="2"/>
        <w:spacing w:line="248" w:lineRule="auto"/>
      </w:pPr>
    </w:p>
    <w:p w14:paraId="61F4AF9F">
      <w:pPr>
        <w:pStyle w:val="2"/>
        <w:spacing w:line="248" w:lineRule="auto"/>
      </w:pPr>
    </w:p>
    <w:p w14:paraId="62E8E156">
      <w:pPr>
        <w:pStyle w:val="2"/>
        <w:spacing w:line="248" w:lineRule="auto"/>
      </w:pPr>
    </w:p>
    <w:p w14:paraId="5C3C1430">
      <w:pPr>
        <w:pStyle w:val="2"/>
        <w:spacing w:line="248" w:lineRule="auto"/>
      </w:pPr>
    </w:p>
    <w:p w14:paraId="6DD24923">
      <w:pPr>
        <w:pStyle w:val="2"/>
        <w:spacing w:line="248" w:lineRule="auto"/>
      </w:pPr>
    </w:p>
    <w:p w14:paraId="358D636A">
      <w:pPr>
        <w:pStyle w:val="2"/>
        <w:spacing w:line="248" w:lineRule="auto"/>
      </w:pPr>
    </w:p>
    <w:p w14:paraId="23A587EF">
      <w:pPr>
        <w:pStyle w:val="2"/>
        <w:spacing w:line="248" w:lineRule="auto"/>
      </w:pPr>
    </w:p>
    <w:p w14:paraId="15396B70">
      <w:pPr>
        <w:pStyle w:val="2"/>
        <w:spacing w:line="249" w:lineRule="auto"/>
      </w:pPr>
    </w:p>
    <w:p w14:paraId="00EFCA56">
      <w:pPr>
        <w:pStyle w:val="2"/>
        <w:spacing w:line="249" w:lineRule="auto"/>
      </w:pPr>
    </w:p>
    <w:p w14:paraId="357177D4">
      <w:pPr>
        <w:pStyle w:val="2"/>
        <w:spacing w:line="249" w:lineRule="auto"/>
      </w:pPr>
    </w:p>
    <w:p w14:paraId="006043BA">
      <w:pPr>
        <w:pStyle w:val="2"/>
        <w:spacing w:line="249" w:lineRule="auto"/>
      </w:pPr>
    </w:p>
    <w:p w14:paraId="1326C5B1">
      <w:pPr>
        <w:pStyle w:val="2"/>
        <w:spacing w:line="249" w:lineRule="auto"/>
      </w:pPr>
    </w:p>
    <w:p w14:paraId="0BE23E36">
      <w:pPr>
        <w:pStyle w:val="2"/>
        <w:spacing w:line="249" w:lineRule="auto"/>
      </w:pPr>
    </w:p>
    <w:p w14:paraId="3D439993">
      <w:pPr>
        <w:pStyle w:val="2"/>
        <w:spacing w:line="249" w:lineRule="auto"/>
      </w:pPr>
    </w:p>
    <w:p w14:paraId="061883A4">
      <w:pPr>
        <w:spacing w:before="139" w:line="221" w:lineRule="auto"/>
        <w:ind w:left="2961"/>
        <w:outlineLvl w:val="0"/>
        <w:rPr>
          <w:rFonts w:ascii="宋体" w:hAnsi="宋体" w:eastAsia="宋体" w:cs="宋体"/>
          <w:sz w:val="43"/>
          <w:szCs w:val="43"/>
        </w:rPr>
      </w:pPr>
      <w:bookmarkStart w:id="585" w:name="bookmark541"/>
      <w:bookmarkEnd w:id="585"/>
      <w:bookmarkStart w:id="586" w:name="bookmark542"/>
      <w:bookmarkEnd w:id="586"/>
      <w:r>
        <w:rPr>
          <w:rFonts w:ascii="宋体" w:hAnsi="宋体" w:eastAsia="宋体" w:cs="宋体"/>
          <w:b/>
          <w:bCs/>
          <w:spacing w:val="-2"/>
          <w:sz w:val="43"/>
          <w:szCs w:val="43"/>
        </w:rPr>
        <w:t>第六章</w:t>
      </w:r>
      <w:r>
        <w:rPr>
          <w:rFonts w:ascii="宋体" w:hAnsi="宋体" w:eastAsia="宋体" w:cs="宋体"/>
          <w:spacing w:val="55"/>
          <w:sz w:val="43"/>
          <w:szCs w:val="43"/>
        </w:rPr>
        <w:t xml:space="preserve"> </w:t>
      </w:r>
      <w:r>
        <w:rPr>
          <w:rFonts w:ascii="宋体" w:hAnsi="宋体" w:eastAsia="宋体" w:cs="宋体"/>
          <w:b/>
          <w:bCs/>
          <w:spacing w:val="-2"/>
          <w:sz w:val="43"/>
          <w:szCs w:val="43"/>
        </w:rPr>
        <w:t>图纸</w:t>
      </w:r>
    </w:p>
    <w:p w14:paraId="78726F6D">
      <w:pPr>
        <w:pStyle w:val="2"/>
        <w:spacing w:line="256" w:lineRule="auto"/>
      </w:pPr>
    </w:p>
    <w:p w14:paraId="24DE1370">
      <w:pPr>
        <w:pStyle w:val="2"/>
        <w:spacing w:line="257" w:lineRule="auto"/>
      </w:pPr>
    </w:p>
    <w:p w14:paraId="737505FD">
      <w:pPr>
        <w:pStyle w:val="2"/>
        <w:spacing w:line="257" w:lineRule="auto"/>
      </w:pPr>
    </w:p>
    <w:p w14:paraId="5F2280EE">
      <w:pPr>
        <w:pStyle w:val="2"/>
        <w:spacing w:line="257" w:lineRule="auto"/>
      </w:pPr>
    </w:p>
    <w:p w14:paraId="01419ADB">
      <w:pPr>
        <w:spacing w:before="101" w:line="236" w:lineRule="auto"/>
        <w:ind w:left="36"/>
        <w:outlineLvl w:val="1"/>
        <w:rPr>
          <w:rFonts w:ascii="黑体" w:hAnsi="黑体" w:eastAsia="黑体" w:cs="黑体"/>
          <w:sz w:val="31"/>
          <w:szCs w:val="31"/>
        </w:rPr>
      </w:pPr>
      <w:bookmarkStart w:id="587" w:name="bookmark722"/>
      <w:bookmarkEnd w:id="587"/>
      <w:r>
        <w:rPr>
          <w:rFonts w:ascii="Times New Roman" w:hAnsi="Times New Roman" w:eastAsia="Times New Roman" w:cs="Times New Roman"/>
          <w:b/>
          <w:bCs/>
          <w:spacing w:val="-6"/>
          <w:sz w:val="31"/>
          <w:szCs w:val="31"/>
        </w:rPr>
        <w:t>1</w:t>
      </w:r>
      <w:r>
        <w:rPr>
          <w:rFonts w:ascii="黑体" w:hAnsi="黑体" w:eastAsia="黑体" w:cs="黑体"/>
          <w:b/>
          <w:bCs/>
          <w:spacing w:val="-6"/>
          <w:sz w:val="31"/>
          <w:szCs w:val="31"/>
        </w:rPr>
        <w:t>.</w:t>
      </w:r>
      <w:r>
        <w:rPr>
          <w:rFonts w:ascii="黑体" w:hAnsi="黑体" w:eastAsia="黑体" w:cs="黑体"/>
          <w:spacing w:val="94"/>
          <w:sz w:val="31"/>
          <w:szCs w:val="31"/>
        </w:rPr>
        <w:t xml:space="preserve"> </w:t>
      </w:r>
      <w:r>
        <w:rPr>
          <w:rFonts w:ascii="黑体" w:hAnsi="黑体" w:eastAsia="黑体" w:cs="黑体"/>
          <w:b/>
          <w:bCs/>
          <w:spacing w:val="-6"/>
          <w:sz w:val="31"/>
          <w:szCs w:val="31"/>
        </w:rPr>
        <w:t>图纸目录</w:t>
      </w:r>
    </w:p>
    <w:p w14:paraId="0EA5FA1B">
      <w:pPr>
        <w:spacing w:before="98"/>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1"/>
        <w:gridCol w:w="1379"/>
        <w:gridCol w:w="1364"/>
        <w:gridCol w:w="1365"/>
        <w:gridCol w:w="1379"/>
        <w:gridCol w:w="1372"/>
      </w:tblGrid>
      <w:tr w14:paraId="4882A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371" w:type="dxa"/>
            <w:vAlign w:val="top"/>
          </w:tcPr>
          <w:p w14:paraId="0A83E1C1">
            <w:pPr>
              <w:pStyle w:val="6"/>
              <w:spacing w:before="104" w:line="221" w:lineRule="auto"/>
              <w:ind w:left="457"/>
              <w:rPr>
                <w:sz w:val="21"/>
                <w:szCs w:val="21"/>
              </w:rPr>
            </w:pPr>
            <w:r>
              <w:rPr>
                <w:b/>
                <w:bCs/>
                <w:spacing w:val="1"/>
                <w:sz w:val="21"/>
                <w:szCs w:val="21"/>
              </w:rPr>
              <w:t>序号</w:t>
            </w:r>
          </w:p>
        </w:tc>
        <w:tc>
          <w:tcPr>
            <w:tcW w:w="1379" w:type="dxa"/>
            <w:vAlign w:val="top"/>
          </w:tcPr>
          <w:p w14:paraId="13BFFDBD">
            <w:pPr>
              <w:pStyle w:val="6"/>
              <w:spacing w:before="104" w:line="221" w:lineRule="auto"/>
              <w:ind w:left="474"/>
              <w:rPr>
                <w:sz w:val="21"/>
                <w:szCs w:val="21"/>
              </w:rPr>
            </w:pPr>
            <w:r>
              <w:rPr>
                <w:b/>
                <w:bCs/>
                <w:spacing w:val="-6"/>
                <w:sz w:val="21"/>
                <w:szCs w:val="21"/>
              </w:rPr>
              <w:t>图名</w:t>
            </w:r>
          </w:p>
        </w:tc>
        <w:tc>
          <w:tcPr>
            <w:tcW w:w="1364" w:type="dxa"/>
            <w:vAlign w:val="top"/>
          </w:tcPr>
          <w:p w14:paraId="01C33BF2">
            <w:pPr>
              <w:pStyle w:val="6"/>
              <w:spacing w:before="104" w:line="221" w:lineRule="auto"/>
              <w:ind w:left="477"/>
              <w:rPr>
                <w:sz w:val="21"/>
                <w:szCs w:val="21"/>
              </w:rPr>
            </w:pPr>
            <w:r>
              <w:rPr>
                <w:b/>
                <w:bCs/>
                <w:spacing w:val="-6"/>
                <w:sz w:val="21"/>
                <w:szCs w:val="21"/>
              </w:rPr>
              <w:t>图号</w:t>
            </w:r>
          </w:p>
        </w:tc>
        <w:tc>
          <w:tcPr>
            <w:tcW w:w="1365" w:type="dxa"/>
            <w:vAlign w:val="top"/>
          </w:tcPr>
          <w:p w14:paraId="65A65F1A">
            <w:pPr>
              <w:pStyle w:val="6"/>
              <w:spacing w:before="104" w:line="219" w:lineRule="auto"/>
              <w:ind w:left="460"/>
              <w:rPr>
                <w:sz w:val="21"/>
                <w:szCs w:val="21"/>
              </w:rPr>
            </w:pPr>
            <w:r>
              <w:rPr>
                <w:b/>
                <w:bCs/>
                <w:spacing w:val="1"/>
                <w:sz w:val="21"/>
                <w:szCs w:val="21"/>
              </w:rPr>
              <w:t>版本</w:t>
            </w:r>
          </w:p>
        </w:tc>
        <w:tc>
          <w:tcPr>
            <w:tcW w:w="1379" w:type="dxa"/>
            <w:vAlign w:val="top"/>
          </w:tcPr>
          <w:p w14:paraId="23F9C828">
            <w:pPr>
              <w:pStyle w:val="6"/>
              <w:spacing w:before="104" w:line="220" w:lineRule="auto"/>
              <w:ind w:left="269"/>
              <w:rPr>
                <w:sz w:val="21"/>
                <w:szCs w:val="21"/>
              </w:rPr>
            </w:pPr>
            <w:r>
              <w:rPr>
                <w:b/>
                <w:bCs/>
                <w:spacing w:val="2"/>
                <w:sz w:val="21"/>
                <w:szCs w:val="21"/>
              </w:rPr>
              <w:t>出图日期</w:t>
            </w:r>
          </w:p>
        </w:tc>
        <w:tc>
          <w:tcPr>
            <w:tcW w:w="1372" w:type="dxa"/>
            <w:vAlign w:val="top"/>
          </w:tcPr>
          <w:p w14:paraId="59063792">
            <w:pPr>
              <w:pStyle w:val="6"/>
              <w:spacing w:before="104" w:line="221" w:lineRule="auto"/>
              <w:ind w:left="467"/>
              <w:rPr>
                <w:sz w:val="21"/>
                <w:szCs w:val="21"/>
              </w:rPr>
            </w:pPr>
            <w:r>
              <w:rPr>
                <w:b/>
                <w:bCs/>
                <w:sz w:val="21"/>
                <w:szCs w:val="21"/>
              </w:rPr>
              <w:t>备注</w:t>
            </w:r>
          </w:p>
        </w:tc>
      </w:tr>
      <w:tr w14:paraId="2F24C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301A2C8C">
            <w:pPr>
              <w:rPr>
                <w:rFonts w:ascii="Arial"/>
                <w:sz w:val="21"/>
              </w:rPr>
            </w:pPr>
          </w:p>
        </w:tc>
        <w:tc>
          <w:tcPr>
            <w:tcW w:w="1379" w:type="dxa"/>
            <w:vAlign w:val="top"/>
          </w:tcPr>
          <w:p w14:paraId="1DCDE1AD">
            <w:pPr>
              <w:rPr>
                <w:rFonts w:ascii="Arial"/>
                <w:sz w:val="21"/>
              </w:rPr>
            </w:pPr>
          </w:p>
        </w:tc>
        <w:tc>
          <w:tcPr>
            <w:tcW w:w="1364" w:type="dxa"/>
            <w:vAlign w:val="top"/>
          </w:tcPr>
          <w:p w14:paraId="5EEB9723">
            <w:pPr>
              <w:rPr>
                <w:rFonts w:ascii="Arial"/>
                <w:sz w:val="21"/>
              </w:rPr>
            </w:pPr>
          </w:p>
        </w:tc>
        <w:tc>
          <w:tcPr>
            <w:tcW w:w="1365" w:type="dxa"/>
            <w:vAlign w:val="top"/>
          </w:tcPr>
          <w:p w14:paraId="0D449685">
            <w:pPr>
              <w:rPr>
                <w:rFonts w:ascii="Arial"/>
                <w:sz w:val="21"/>
              </w:rPr>
            </w:pPr>
          </w:p>
        </w:tc>
        <w:tc>
          <w:tcPr>
            <w:tcW w:w="1379" w:type="dxa"/>
            <w:vAlign w:val="top"/>
          </w:tcPr>
          <w:p w14:paraId="5C71E317">
            <w:pPr>
              <w:rPr>
                <w:rFonts w:ascii="Arial"/>
                <w:sz w:val="21"/>
              </w:rPr>
            </w:pPr>
          </w:p>
        </w:tc>
        <w:tc>
          <w:tcPr>
            <w:tcW w:w="1372" w:type="dxa"/>
            <w:vAlign w:val="top"/>
          </w:tcPr>
          <w:p w14:paraId="74927493">
            <w:pPr>
              <w:rPr>
                <w:rFonts w:ascii="Arial"/>
                <w:sz w:val="21"/>
              </w:rPr>
            </w:pPr>
          </w:p>
        </w:tc>
      </w:tr>
      <w:tr w14:paraId="1F5AE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371" w:type="dxa"/>
            <w:vAlign w:val="top"/>
          </w:tcPr>
          <w:p w14:paraId="1671A1BF">
            <w:pPr>
              <w:rPr>
                <w:rFonts w:ascii="Arial"/>
                <w:sz w:val="21"/>
              </w:rPr>
            </w:pPr>
          </w:p>
        </w:tc>
        <w:tc>
          <w:tcPr>
            <w:tcW w:w="1379" w:type="dxa"/>
            <w:vAlign w:val="top"/>
          </w:tcPr>
          <w:p w14:paraId="19E3DC5E">
            <w:pPr>
              <w:rPr>
                <w:rFonts w:ascii="Arial"/>
                <w:sz w:val="21"/>
              </w:rPr>
            </w:pPr>
          </w:p>
        </w:tc>
        <w:tc>
          <w:tcPr>
            <w:tcW w:w="1364" w:type="dxa"/>
            <w:vAlign w:val="top"/>
          </w:tcPr>
          <w:p w14:paraId="187635E5">
            <w:pPr>
              <w:rPr>
                <w:rFonts w:ascii="Arial"/>
                <w:sz w:val="21"/>
              </w:rPr>
            </w:pPr>
          </w:p>
        </w:tc>
        <w:tc>
          <w:tcPr>
            <w:tcW w:w="1365" w:type="dxa"/>
            <w:vAlign w:val="top"/>
          </w:tcPr>
          <w:p w14:paraId="1F280C5A">
            <w:pPr>
              <w:rPr>
                <w:rFonts w:ascii="Arial"/>
                <w:sz w:val="21"/>
              </w:rPr>
            </w:pPr>
          </w:p>
        </w:tc>
        <w:tc>
          <w:tcPr>
            <w:tcW w:w="1379" w:type="dxa"/>
            <w:vAlign w:val="top"/>
          </w:tcPr>
          <w:p w14:paraId="095546D8">
            <w:pPr>
              <w:rPr>
                <w:rFonts w:ascii="Arial"/>
                <w:sz w:val="21"/>
              </w:rPr>
            </w:pPr>
          </w:p>
        </w:tc>
        <w:tc>
          <w:tcPr>
            <w:tcW w:w="1372" w:type="dxa"/>
            <w:vAlign w:val="top"/>
          </w:tcPr>
          <w:p w14:paraId="1A43AF31">
            <w:pPr>
              <w:rPr>
                <w:rFonts w:ascii="Arial"/>
                <w:sz w:val="21"/>
              </w:rPr>
            </w:pPr>
          </w:p>
        </w:tc>
      </w:tr>
      <w:tr w14:paraId="45BAD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5D58D42E">
            <w:pPr>
              <w:rPr>
                <w:rFonts w:ascii="Arial"/>
                <w:sz w:val="21"/>
              </w:rPr>
            </w:pPr>
          </w:p>
        </w:tc>
        <w:tc>
          <w:tcPr>
            <w:tcW w:w="1379" w:type="dxa"/>
            <w:vAlign w:val="top"/>
          </w:tcPr>
          <w:p w14:paraId="31BA6532">
            <w:pPr>
              <w:rPr>
                <w:rFonts w:ascii="Arial"/>
                <w:sz w:val="21"/>
              </w:rPr>
            </w:pPr>
          </w:p>
        </w:tc>
        <w:tc>
          <w:tcPr>
            <w:tcW w:w="1364" w:type="dxa"/>
            <w:vAlign w:val="top"/>
          </w:tcPr>
          <w:p w14:paraId="44CB9A19">
            <w:pPr>
              <w:rPr>
                <w:rFonts w:ascii="Arial"/>
                <w:sz w:val="21"/>
              </w:rPr>
            </w:pPr>
          </w:p>
        </w:tc>
        <w:tc>
          <w:tcPr>
            <w:tcW w:w="1365" w:type="dxa"/>
            <w:vAlign w:val="top"/>
          </w:tcPr>
          <w:p w14:paraId="7CDAC77B">
            <w:pPr>
              <w:rPr>
                <w:rFonts w:ascii="Arial"/>
                <w:sz w:val="21"/>
              </w:rPr>
            </w:pPr>
          </w:p>
        </w:tc>
        <w:tc>
          <w:tcPr>
            <w:tcW w:w="1379" w:type="dxa"/>
            <w:vAlign w:val="top"/>
          </w:tcPr>
          <w:p w14:paraId="28F52366">
            <w:pPr>
              <w:rPr>
                <w:rFonts w:ascii="Arial"/>
                <w:sz w:val="21"/>
              </w:rPr>
            </w:pPr>
          </w:p>
        </w:tc>
        <w:tc>
          <w:tcPr>
            <w:tcW w:w="1372" w:type="dxa"/>
            <w:vAlign w:val="top"/>
          </w:tcPr>
          <w:p w14:paraId="65B12CB2">
            <w:pPr>
              <w:rPr>
                <w:rFonts w:ascii="Arial"/>
                <w:sz w:val="21"/>
              </w:rPr>
            </w:pPr>
          </w:p>
        </w:tc>
      </w:tr>
      <w:tr w14:paraId="70A45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6604A8A2">
            <w:pPr>
              <w:rPr>
                <w:rFonts w:ascii="Arial"/>
                <w:sz w:val="21"/>
              </w:rPr>
            </w:pPr>
          </w:p>
        </w:tc>
        <w:tc>
          <w:tcPr>
            <w:tcW w:w="1379" w:type="dxa"/>
            <w:vAlign w:val="top"/>
          </w:tcPr>
          <w:p w14:paraId="41BC6A6F">
            <w:pPr>
              <w:rPr>
                <w:rFonts w:ascii="Arial"/>
                <w:sz w:val="21"/>
              </w:rPr>
            </w:pPr>
          </w:p>
        </w:tc>
        <w:tc>
          <w:tcPr>
            <w:tcW w:w="1364" w:type="dxa"/>
            <w:vAlign w:val="top"/>
          </w:tcPr>
          <w:p w14:paraId="144EC64E">
            <w:pPr>
              <w:rPr>
                <w:rFonts w:ascii="Arial"/>
                <w:sz w:val="21"/>
              </w:rPr>
            </w:pPr>
          </w:p>
        </w:tc>
        <w:tc>
          <w:tcPr>
            <w:tcW w:w="1365" w:type="dxa"/>
            <w:vAlign w:val="top"/>
          </w:tcPr>
          <w:p w14:paraId="62389CBC">
            <w:pPr>
              <w:rPr>
                <w:rFonts w:ascii="Arial"/>
                <w:sz w:val="21"/>
              </w:rPr>
            </w:pPr>
          </w:p>
        </w:tc>
        <w:tc>
          <w:tcPr>
            <w:tcW w:w="1379" w:type="dxa"/>
            <w:vAlign w:val="top"/>
          </w:tcPr>
          <w:p w14:paraId="0D3F1354">
            <w:pPr>
              <w:rPr>
                <w:rFonts w:ascii="Arial"/>
                <w:sz w:val="21"/>
              </w:rPr>
            </w:pPr>
          </w:p>
        </w:tc>
        <w:tc>
          <w:tcPr>
            <w:tcW w:w="1372" w:type="dxa"/>
            <w:vAlign w:val="top"/>
          </w:tcPr>
          <w:p w14:paraId="0A9A77FC">
            <w:pPr>
              <w:rPr>
                <w:rFonts w:ascii="Arial"/>
                <w:sz w:val="21"/>
              </w:rPr>
            </w:pPr>
          </w:p>
        </w:tc>
      </w:tr>
      <w:tr w14:paraId="19F59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17E2A7C1">
            <w:pPr>
              <w:rPr>
                <w:rFonts w:ascii="Arial"/>
                <w:sz w:val="21"/>
              </w:rPr>
            </w:pPr>
          </w:p>
        </w:tc>
        <w:tc>
          <w:tcPr>
            <w:tcW w:w="1379" w:type="dxa"/>
            <w:vAlign w:val="top"/>
          </w:tcPr>
          <w:p w14:paraId="26735BE1">
            <w:pPr>
              <w:rPr>
                <w:rFonts w:ascii="Arial"/>
                <w:sz w:val="21"/>
              </w:rPr>
            </w:pPr>
          </w:p>
        </w:tc>
        <w:tc>
          <w:tcPr>
            <w:tcW w:w="1364" w:type="dxa"/>
            <w:vAlign w:val="top"/>
          </w:tcPr>
          <w:p w14:paraId="3C749EDB">
            <w:pPr>
              <w:rPr>
                <w:rFonts w:ascii="Arial"/>
                <w:sz w:val="21"/>
              </w:rPr>
            </w:pPr>
          </w:p>
        </w:tc>
        <w:tc>
          <w:tcPr>
            <w:tcW w:w="1365" w:type="dxa"/>
            <w:vAlign w:val="top"/>
          </w:tcPr>
          <w:p w14:paraId="6C88F54D">
            <w:pPr>
              <w:rPr>
                <w:rFonts w:ascii="Arial"/>
                <w:sz w:val="21"/>
              </w:rPr>
            </w:pPr>
          </w:p>
        </w:tc>
        <w:tc>
          <w:tcPr>
            <w:tcW w:w="1379" w:type="dxa"/>
            <w:vAlign w:val="top"/>
          </w:tcPr>
          <w:p w14:paraId="53440380">
            <w:pPr>
              <w:rPr>
                <w:rFonts w:ascii="Arial"/>
                <w:sz w:val="21"/>
              </w:rPr>
            </w:pPr>
          </w:p>
        </w:tc>
        <w:tc>
          <w:tcPr>
            <w:tcW w:w="1372" w:type="dxa"/>
            <w:vAlign w:val="top"/>
          </w:tcPr>
          <w:p w14:paraId="3EAB4B11">
            <w:pPr>
              <w:rPr>
                <w:rFonts w:ascii="Arial"/>
                <w:sz w:val="21"/>
              </w:rPr>
            </w:pPr>
          </w:p>
        </w:tc>
      </w:tr>
      <w:tr w14:paraId="43642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7AD8E637">
            <w:pPr>
              <w:rPr>
                <w:rFonts w:ascii="Arial"/>
                <w:sz w:val="21"/>
              </w:rPr>
            </w:pPr>
          </w:p>
        </w:tc>
        <w:tc>
          <w:tcPr>
            <w:tcW w:w="1379" w:type="dxa"/>
            <w:vAlign w:val="top"/>
          </w:tcPr>
          <w:p w14:paraId="1A5F2980">
            <w:pPr>
              <w:rPr>
                <w:rFonts w:ascii="Arial"/>
                <w:sz w:val="21"/>
              </w:rPr>
            </w:pPr>
          </w:p>
        </w:tc>
        <w:tc>
          <w:tcPr>
            <w:tcW w:w="1364" w:type="dxa"/>
            <w:vAlign w:val="top"/>
          </w:tcPr>
          <w:p w14:paraId="62609FCF">
            <w:pPr>
              <w:rPr>
                <w:rFonts w:ascii="Arial"/>
                <w:sz w:val="21"/>
              </w:rPr>
            </w:pPr>
          </w:p>
        </w:tc>
        <w:tc>
          <w:tcPr>
            <w:tcW w:w="1365" w:type="dxa"/>
            <w:vAlign w:val="top"/>
          </w:tcPr>
          <w:p w14:paraId="74578A99">
            <w:pPr>
              <w:rPr>
                <w:rFonts w:ascii="Arial"/>
                <w:sz w:val="21"/>
              </w:rPr>
            </w:pPr>
          </w:p>
        </w:tc>
        <w:tc>
          <w:tcPr>
            <w:tcW w:w="1379" w:type="dxa"/>
            <w:vAlign w:val="top"/>
          </w:tcPr>
          <w:p w14:paraId="389B243A">
            <w:pPr>
              <w:rPr>
                <w:rFonts w:ascii="Arial"/>
                <w:sz w:val="21"/>
              </w:rPr>
            </w:pPr>
          </w:p>
        </w:tc>
        <w:tc>
          <w:tcPr>
            <w:tcW w:w="1372" w:type="dxa"/>
            <w:vAlign w:val="top"/>
          </w:tcPr>
          <w:p w14:paraId="6210BF0D">
            <w:pPr>
              <w:rPr>
                <w:rFonts w:ascii="Arial"/>
                <w:sz w:val="21"/>
              </w:rPr>
            </w:pPr>
          </w:p>
        </w:tc>
      </w:tr>
      <w:tr w14:paraId="3B31F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62B9B01C">
            <w:pPr>
              <w:rPr>
                <w:rFonts w:ascii="Arial"/>
                <w:sz w:val="21"/>
              </w:rPr>
            </w:pPr>
          </w:p>
        </w:tc>
        <w:tc>
          <w:tcPr>
            <w:tcW w:w="1379" w:type="dxa"/>
            <w:vAlign w:val="top"/>
          </w:tcPr>
          <w:p w14:paraId="2AAC8B54">
            <w:pPr>
              <w:rPr>
                <w:rFonts w:ascii="Arial"/>
                <w:sz w:val="21"/>
              </w:rPr>
            </w:pPr>
          </w:p>
        </w:tc>
        <w:tc>
          <w:tcPr>
            <w:tcW w:w="1364" w:type="dxa"/>
            <w:vAlign w:val="top"/>
          </w:tcPr>
          <w:p w14:paraId="6294FDE1">
            <w:pPr>
              <w:rPr>
                <w:rFonts w:ascii="Arial"/>
                <w:sz w:val="21"/>
              </w:rPr>
            </w:pPr>
          </w:p>
        </w:tc>
        <w:tc>
          <w:tcPr>
            <w:tcW w:w="1365" w:type="dxa"/>
            <w:vAlign w:val="top"/>
          </w:tcPr>
          <w:p w14:paraId="3AF34697">
            <w:pPr>
              <w:rPr>
                <w:rFonts w:ascii="Arial"/>
                <w:sz w:val="21"/>
              </w:rPr>
            </w:pPr>
          </w:p>
        </w:tc>
        <w:tc>
          <w:tcPr>
            <w:tcW w:w="1379" w:type="dxa"/>
            <w:vAlign w:val="top"/>
          </w:tcPr>
          <w:p w14:paraId="168A6BE0">
            <w:pPr>
              <w:rPr>
                <w:rFonts w:ascii="Arial"/>
                <w:sz w:val="21"/>
              </w:rPr>
            </w:pPr>
          </w:p>
        </w:tc>
        <w:tc>
          <w:tcPr>
            <w:tcW w:w="1372" w:type="dxa"/>
            <w:vAlign w:val="top"/>
          </w:tcPr>
          <w:p w14:paraId="4A1C1813">
            <w:pPr>
              <w:rPr>
                <w:rFonts w:ascii="Arial"/>
                <w:sz w:val="21"/>
              </w:rPr>
            </w:pPr>
          </w:p>
        </w:tc>
      </w:tr>
      <w:tr w14:paraId="5182D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1B4686B5">
            <w:pPr>
              <w:rPr>
                <w:rFonts w:ascii="Arial"/>
                <w:sz w:val="21"/>
              </w:rPr>
            </w:pPr>
          </w:p>
        </w:tc>
        <w:tc>
          <w:tcPr>
            <w:tcW w:w="1379" w:type="dxa"/>
            <w:vAlign w:val="top"/>
          </w:tcPr>
          <w:p w14:paraId="38E06CDC">
            <w:pPr>
              <w:rPr>
                <w:rFonts w:ascii="Arial"/>
                <w:sz w:val="21"/>
              </w:rPr>
            </w:pPr>
          </w:p>
        </w:tc>
        <w:tc>
          <w:tcPr>
            <w:tcW w:w="1364" w:type="dxa"/>
            <w:vAlign w:val="top"/>
          </w:tcPr>
          <w:p w14:paraId="3C46F3A9">
            <w:pPr>
              <w:rPr>
                <w:rFonts w:ascii="Arial"/>
                <w:sz w:val="21"/>
              </w:rPr>
            </w:pPr>
          </w:p>
        </w:tc>
        <w:tc>
          <w:tcPr>
            <w:tcW w:w="1365" w:type="dxa"/>
            <w:vAlign w:val="top"/>
          </w:tcPr>
          <w:p w14:paraId="5E15B956">
            <w:pPr>
              <w:rPr>
                <w:rFonts w:ascii="Arial"/>
                <w:sz w:val="21"/>
              </w:rPr>
            </w:pPr>
          </w:p>
        </w:tc>
        <w:tc>
          <w:tcPr>
            <w:tcW w:w="1379" w:type="dxa"/>
            <w:vAlign w:val="top"/>
          </w:tcPr>
          <w:p w14:paraId="1BA253D6">
            <w:pPr>
              <w:rPr>
                <w:rFonts w:ascii="Arial"/>
                <w:sz w:val="21"/>
              </w:rPr>
            </w:pPr>
          </w:p>
        </w:tc>
        <w:tc>
          <w:tcPr>
            <w:tcW w:w="1372" w:type="dxa"/>
            <w:vAlign w:val="top"/>
          </w:tcPr>
          <w:p w14:paraId="4100C5A2">
            <w:pPr>
              <w:rPr>
                <w:rFonts w:ascii="Arial"/>
                <w:sz w:val="21"/>
              </w:rPr>
            </w:pPr>
          </w:p>
        </w:tc>
      </w:tr>
      <w:tr w14:paraId="726A2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0CE1019C">
            <w:pPr>
              <w:rPr>
                <w:rFonts w:ascii="Arial"/>
                <w:sz w:val="21"/>
              </w:rPr>
            </w:pPr>
          </w:p>
        </w:tc>
        <w:tc>
          <w:tcPr>
            <w:tcW w:w="1379" w:type="dxa"/>
            <w:vAlign w:val="top"/>
          </w:tcPr>
          <w:p w14:paraId="2996BB43">
            <w:pPr>
              <w:rPr>
                <w:rFonts w:ascii="Arial"/>
                <w:sz w:val="21"/>
              </w:rPr>
            </w:pPr>
          </w:p>
        </w:tc>
        <w:tc>
          <w:tcPr>
            <w:tcW w:w="1364" w:type="dxa"/>
            <w:vAlign w:val="top"/>
          </w:tcPr>
          <w:p w14:paraId="3B8A2545">
            <w:pPr>
              <w:rPr>
                <w:rFonts w:ascii="Arial"/>
                <w:sz w:val="21"/>
              </w:rPr>
            </w:pPr>
          </w:p>
        </w:tc>
        <w:tc>
          <w:tcPr>
            <w:tcW w:w="1365" w:type="dxa"/>
            <w:vAlign w:val="top"/>
          </w:tcPr>
          <w:p w14:paraId="636A64E4">
            <w:pPr>
              <w:rPr>
                <w:rFonts w:ascii="Arial"/>
                <w:sz w:val="21"/>
              </w:rPr>
            </w:pPr>
          </w:p>
        </w:tc>
        <w:tc>
          <w:tcPr>
            <w:tcW w:w="1379" w:type="dxa"/>
            <w:vAlign w:val="top"/>
          </w:tcPr>
          <w:p w14:paraId="3536A6B4">
            <w:pPr>
              <w:rPr>
                <w:rFonts w:ascii="Arial"/>
                <w:sz w:val="21"/>
              </w:rPr>
            </w:pPr>
          </w:p>
        </w:tc>
        <w:tc>
          <w:tcPr>
            <w:tcW w:w="1372" w:type="dxa"/>
            <w:vAlign w:val="top"/>
          </w:tcPr>
          <w:p w14:paraId="711625A2">
            <w:pPr>
              <w:rPr>
                <w:rFonts w:ascii="Arial"/>
                <w:sz w:val="21"/>
              </w:rPr>
            </w:pPr>
          </w:p>
        </w:tc>
      </w:tr>
      <w:tr w14:paraId="674B0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62674408">
            <w:pPr>
              <w:rPr>
                <w:rFonts w:ascii="Arial"/>
                <w:sz w:val="21"/>
              </w:rPr>
            </w:pPr>
          </w:p>
        </w:tc>
        <w:tc>
          <w:tcPr>
            <w:tcW w:w="1379" w:type="dxa"/>
            <w:vAlign w:val="top"/>
          </w:tcPr>
          <w:p w14:paraId="1ADF39E7">
            <w:pPr>
              <w:rPr>
                <w:rFonts w:ascii="Arial"/>
                <w:sz w:val="21"/>
              </w:rPr>
            </w:pPr>
          </w:p>
        </w:tc>
        <w:tc>
          <w:tcPr>
            <w:tcW w:w="1364" w:type="dxa"/>
            <w:vAlign w:val="top"/>
          </w:tcPr>
          <w:p w14:paraId="349E777B">
            <w:pPr>
              <w:rPr>
                <w:rFonts w:ascii="Arial"/>
                <w:sz w:val="21"/>
              </w:rPr>
            </w:pPr>
          </w:p>
        </w:tc>
        <w:tc>
          <w:tcPr>
            <w:tcW w:w="1365" w:type="dxa"/>
            <w:vAlign w:val="top"/>
          </w:tcPr>
          <w:p w14:paraId="138F6890">
            <w:pPr>
              <w:rPr>
                <w:rFonts w:ascii="Arial"/>
                <w:sz w:val="21"/>
              </w:rPr>
            </w:pPr>
          </w:p>
        </w:tc>
        <w:tc>
          <w:tcPr>
            <w:tcW w:w="1379" w:type="dxa"/>
            <w:vAlign w:val="top"/>
          </w:tcPr>
          <w:p w14:paraId="630BE2A6">
            <w:pPr>
              <w:rPr>
                <w:rFonts w:ascii="Arial"/>
                <w:sz w:val="21"/>
              </w:rPr>
            </w:pPr>
          </w:p>
        </w:tc>
        <w:tc>
          <w:tcPr>
            <w:tcW w:w="1372" w:type="dxa"/>
            <w:vAlign w:val="top"/>
          </w:tcPr>
          <w:p w14:paraId="732F02AA">
            <w:pPr>
              <w:rPr>
                <w:rFonts w:ascii="Arial"/>
                <w:sz w:val="21"/>
              </w:rPr>
            </w:pPr>
          </w:p>
        </w:tc>
      </w:tr>
      <w:tr w14:paraId="27482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302BD7A7">
            <w:pPr>
              <w:rPr>
                <w:rFonts w:ascii="Arial"/>
                <w:sz w:val="21"/>
              </w:rPr>
            </w:pPr>
          </w:p>
        </w:tc>
        <w:tc>
          <w:tcPr>
            <w:tcW w:w="1379" w:type="dxa"/>
            <w:vAlign w:val="top"/>
          </w:tcPr>
          <w:p w14:paraId="37032B9E">
            <w:pPr>
              <w:rPr>
                <w:rFonts w:ascii="Arial"/>
                <w:sz w:val="21"/>
              </w:rPr>
            </w:pPr>
          </w:p>
        </w:tc>
        <w:tc>
          <w:tcPr>
            <w:tcW w:w="1364" w:type="dxa"/>
            <w:vAlign w:val="top"/>
          </w:tcPr>
          <w:p w14:paraId="3250249F">
            <w:pPr>
              <w:rPr>
                <w:rFonts w:ascii="Arial"/>
                <w:sz w:val="21"/>
              </w:rPr>
            </w:pPr>
          </w:p>
        </w:tc>
        <w:tc>
          <w:tcPr>
            <w:tcW w:w="1365" w:type="dxa"/>
            <w:vAlign w:val="top"/>
          </w:tcPr>
          <w:p w14:paraId="48F5429B">
            <w:pPr>
              <w:rPr>
                <w:rFonts w:ascii="Arial"/>
                <w:sz w:val="21"/>
              </w:rPr>
            </w:pPr>
          </w:p>
        </w:tc>
        <w:tc>
          <w:tcPr>
            <w:tcW w:w="1379" w:type="dxa"/>
            <w:vAlign w:val="top"/>
          </w:tcPr>
          <w:p w14:paraId="21D6A930">
            <w:pPr>
              <w:rPr>
                <w:rFonts w:ascii="Arial"/>
                <w:sz w:val="21"/>
              </w:rPr>
            </w:pPr>
          </w:p>
        </w:tc>
        <w:tc>
          <w:tcPr>
            <w:tcW w:w="1372" w:type="dxa"/>
            <w:vAlign w:val="top"/>
          </w:tcPr>
          <w:p w14:paraId="42F3B122">
            <w:pPr>
              <w:rPr>
                <w:rFonts w:ascii="Arial"/>
                <w:sz w:val="21"/>
              </w:rPr>
            </w:pPr>
          </w:p>
        </w:tc>
      </w:tr>
      <w:tr w14:paraId="07F69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3D62DDD8">
            <w:pPr>
              <w:rPr>
                <w:rFonts w:ascii="Arial"/>
                <w:sz w:val="21"/>
              </w:rPr>
            </w:pPr>
          </w:p>
        </w:tc>
        <w:tc>
          <w:tcPr>
            <w:tcW w:w="1379" w:type="dxa"/>
            <w:vAlign w:val="top"/>
          </w:tcPr>
          <w:p w14:paraId="68095E75">
            <w:pPr>
              <w:rPr>
                <w:rFonts w:ascii="Arial"/>
                <w:sz w:val="21"/>
              </w:rPr>
            </w:pPr>
          </w:p>
        </w:tc>
        <w:tc>
          <w:tcPr>
            <w:tcW w:w="1364" w:type="dxa"/>
            <w:vAlign w:val="top"/>
          </w:tcPr>
          <w:p w14:paraId="6341912E">
            <w:pPr>
              <w:rPr>
                <w:rFonts w:ascii="Arial"/>
                <w:sz w:val="21"/>
              </w:rPr>
            </w:pPr>
          </w:p>
        </w:tc>
        <w:tc>
          <w:tcPr>
            <w:tcW w:w="1365" w:type="dxa"/>
            <w:vAlign w:val="top"/>
          </w:tcPr>
          <w:p w14:paraId="1DCF03DC">
            <w:pPr>
              <w:rPr>
                <w:rFonts w:ascii="Arial"/>
                <w:sz w:val="21"/>
              </w:rPr>
            </w:pPr>
          </w:p>
        </w:tc>
        <w:tc>
          <w:tcPr>
            <w:tcW w:w="1379" w:type="dxa"/>
            <w:vAlign w:val="top"/>
          </w:tcPr>
          <w:p w14:paraId="168FCCBD">
            <w:pPr>
              <w:rPr>
                <w:rFonts w:ascii="Arial"/>
                <w:sz w:val="21"/>
              </w:rPr>
            </w:pPr>
          </w:p>
        </w:tc>
        <w:tc>
          <w:tcPr>
            <w:tcW w:w="1372" w:type="dxa"/>
            <w:vAlign w:val="top"/>
          </w:tcPr>
          <w:p w14:paraId="49B6C52D">
            <w:pPr>
              <w:rPr>
                <w:rFonts w:ascii="Arial"/>
                <w:sz w:val="21"/>
              </w:rPr>
            </w:pPr>
          </w:p>
        </w:tc>
      </w:tr>
      <w:tr w14:paraId="4AEF7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5FE82D71">
            <w:pPr>
              <w:rPr>
                <w:rFonts w:ascii="Arial"/>
                <w:sz w:val="21"/>
              </w:rPr>
            </w:pPr>
          </w:p>
        </w:tc>
        <w:tc>
          <w:tcPr>
            <w:tcW w:w="1379" w:type="dxa"/>
            <w:vAlign w:val="top"/>
          </w:tcPr>
          <w:p w14:paraId="058FAE7B">
            <w:pPr>
              <w:rPr>
                <w:rFonts w:ascii="Arial"/>
                <w:sz w:val="21"/>
              </w:rPr>
            </w:pPr>
          </w:p>
        </w:tc>
        <w:tc>
          <w:tcPr>
            <w:tcW w:w="1364" w:type="dxa"/>
            <w:vAlign w:val="top"/>
          </w:tcPr>
          <w:p w14:paraId="5FB37955">
            <w:pPr>
              <w:rPr>
                <w:rFonts w:ascii="Arial"/>
                <w:sz w:val="21"/>
              </w:rPr>
            </w:pPr>
          </w:p>
        </w:tc>
        <w:tc>
          <w:tcPr>
            <w:tcW w:w="1365" w:type="dxa"/>
            <w:vAlign w:val="top"/>
          </w:tcPr>
          <w:p w14:paraId="790BB16F">
            <w:pPr>
              <w:rPr>
                <w:rFonts w:ascii="Arial"/>
                <w:sz w:val="21"/>
              </w:rPr>
            </w:pPr>
          </w:p>
        </w:tc>
        <w:tc>
          <w:tcPr>
            <w:tcW w:w="1379" w:type="dxa"/>
            <w:vAlign w:val="top"/>
          </w:tcPr>
          <w:p w14:paraId="5079A757">
            <w:pPr>
              <w:rPr>
                <w:rFonts w:ascii="Arial"/>
                <w:sz w:val="21"/>
              </w:rPr>
            </w:pPr>
          </w:p>
        </w:tc>
        <w:tc>
          <w:tcPr>
            <w:tcW w:w="1372" w:type="dxa"/>
            <w:vAlign w:val="top"/>
          </w:tcPr>
          <w:p w14:paraId="5D558070">
            <w:pPr>
              <w:rPr>
                <w:rFonts w:ascii="Arial"/>
                <w:sz w:val="21"/>
              </w:rPr>
            </w:pPr>
          </w:p>
        </w:tc>
      </w:tr>
      <w:tr w14:paraId="73E94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5DC9EF27">
            <w:pPr>
              <w:rPr>
                <w:rFonts w:ascii="Arial"/>
                <w:sz w:val="21"/>
              </w:rPr>
            </w:pPr>
          </w:p>
        </w:tc>
        <w:tc>
          <w:tcPr>
            <w:tcW w:w="1379" w:type="dxa"/>
            <w:vAlign w:val="top"/>
          </w:tcPr>
          <w:p w14:paraId="720481A7">
            <w:pPr>
              <w:rPr>
                <w:rFonts w:ascii="Arial"/>
                <w:sz w:val="21"/>
              </w:rPr>
            </w:pPr>
          </w:p>
        </w:tc>
        <w:tc>
          <w:tcPr>
            <w:tcW w:w="1364" w:type="dxa"/>
            <w:vAlign w:val="top"/>
          </w:tcPr>
          <w:p w14:paraId="58B1C9FC">
            <w:pPr>
              <w:rPr>
                <w:rFonts w:ascii="Arial"/>
                <w:sz w:val="21"/>
              </w:rPr>
            </w:pPr>
          </w:p>
        </w:tc>
        <w:tc>
          <w:tcPr>
            <w:tcW w:w="1365" w:type="dxa"/>
            <w:vAlign w:val="top"/>
          </w:tcPr>
          <w:p w14:paraId="2B3B989F">
            <w:pPr>
              <w:rPr>
                <w:rFonts w:ascii="Arial"/>
                <w:sz w:val="21"/>
              </w:rPr>
            </w:pPr>
          </w:p>
        </w:tc>
        <w:tc>
          <w:tcPr>
            <w:tcW w:w="1379" w:type="dxa"/>
            <w:vAlign w:val="top"/>
          </w:tcPr>
          <w:p w14:paraId="4836C4DA">
            <w:pPr>
              <w:rPr>
                <w:rFonts w:ascii="Arial"/>
                <w:sz w:val="21"/>
              </w:rPr>
            </w:pPr>
          </w:p>
        </w:tc>
        <w:tc>
          <w:tcPr>
            <w:tcW w:w="1372" w:type="dxa"/>
            <w:vAlign w:val="top"/>
          </w:tcPr>
          <w:p w14:paraId="03FB6E03">
            <w:pPr>
              <w:rPr>
                <w:rFonts w:ascii="Arial"/>
                <w:sz w:val="21"/>
              </w:rPr>
            </w:pPr>
          </w:p>
        </w:tc>
      </w:tr>
      <w:tr w14:paraId="77CEC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00ADC782">
            <w:pPr>
              <w:rPr>
                <w:rFonts w:ascii="Arial"/>
                <w:sz w:val="21"/>
              </w:rPr>
            </w:pPr>
          </w:p>
        </w:tc>
        <w:tc>
          <w:tcPr>
            <w:tcW w:w="1379" w:type="dxa"/>
            <w:vAlign w:val="top"/>
          </w:tcPr>
          <w:p w14:paraId="573357CE">
            <w:pPr>
              <w:rPr>
                <w:rFonts w:ascii="Arial"/>
                <w:sz w:val="21"/>
              </w:rPr>
            </w:pPr>
          </w:p>
        </w:tc>
        <w:tc>
          <w:tcPr>
            <w:tcW w:w="1364" w:type="dxa"/>
            <w:vAlign w:val="top"/>
          </w:tcPr>
          <w:p w14:paraId="4FBFF11E">
            <w:pPr>
              <w:rPr>
                <w:rFonts w:ascii="Arial"/>
                <w:sz w:val="21"/>
              </w:rPr>
            </w:pPr>
          </w:p>
        </w:tc>
        <w:tc>
          <w:tcPr>
            <w:tcW w:w="1365" w:type="dxa"/>
            <w:vAlign w:val="top"/>
          </w:tcPr>
          <w:p w14:paraId="7A88B66F">
            <w:pPr>
              <w:rPr>
                <w:rFonts w:ascii="Arial"/>
                <w:sz w:val="21"/>
              </w:rPr>
            </w:pPr>
          </w:p>
        </w:tc>
        <w:tc>
          <w:tcPr>
            <w:tcW w:w="1379" w:type="dxa"/>
            <w:vAlign w:val="top"/>
          </w:tcPr>
          <w:p w14:paraId="5E1E128A">
            <w:pPr>
              <w:rPr>
                <w:rFonts w:ascii="Arial"/>
                <w:sz w:val="21"/>
              </w:rPr>
            </w:pPr>
          </w:p>
        </w:tc>
        <w:tc>
          <w:tcPr>
            <w:tcW w:w="1372" w:type="dxa"/>
            <w:vAlign w:val="top"/>
          </w:tcPr>
          <w:p w14:paraId="40F82D2A">
            <w:pPr>
              <w:rPr>
                <w:rFonts w:ascii="Arial"/>
                <w:sz w:val="21"/>
              </w:rPr>
            </w:pPr>
          </w:p>
        </w:tc>
      </w:tr>
      <w:tr w14:paraId="0C78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371" w:type="dxa"/>
            <w:vAlign w:val="top"/>
          </w:tcPr>
          <w:p w14:paraId="7A6DE4E3">
            <w:pPr>
              <w:rPr>
                <w:rFonts w:ascii="Arial"/>
                <w:sz w:val="21"/>
              </w:rPr>
            </w:pPr>
          </w:p>
        </w:tc>
        <w:tc>
          <w:tcPr>
            <w:tcW w:w="1379" w:type="dxa"/>
            <w:vAlign w:val="top"/>
          </w:tcPr>
          <w:p w14:paraId="3B20B03F">
            <w:pPr>
              <w:rPr>
                <w:rFonts w:ascii="Arial"/>
                <w:sz w:val="21"/>
              </w:rPr>
            </w:pPr>
          </w:p>
        </w:tc>
        <w:tc>
          <w:tcPr>
            <w:tcW w:w="1364" w:type="dxa"/>
            <w:vAlign w:val="top"/>
          </w:tcPr>
          <w:p w14:paraId="66916BBD">
            <w:pPr>
              <w:rPr>
                <w:rFonts w:ascii="Arial"/>
                <w:sz w:val="21"/>
              </w:rPr>
            </w:pPr>
          </w:p>
        </w:tc>
        <w:tc>
          <w:tcPr>
            <w:tcW w:w="1365" w:type="dxa"/>
            <w:vAlign w:val="top"/>
          </w:tcPr>
          <w:p w14:paraId="48D71AE6">
            <w:pPr>
              <w:rPr>
                <w:rFonts w:ascii="Arial"/>
                <w:sz w:val="21"/>
              </w:rPr>
            </w:pPr>
          </w:p>
        </w:tc>
        <w:tc>
          <w:tcPr>
            <w:tcW w:w="1379" w:type="dxa"/>
            <w:vAlign w:val="top"/>
          </w:tcPr>
          <w:p w14:paraId="714E8362">
            <w:pPr>
              <w:rPr>
                <w:rFonts w:ascii="Arial"/>
                <w:sz w:val="21"/>
              </w:rPr>
            </w:pPr>
          </w:p>
        </w:tc>
        <w:tc>
          <w:tcPr>
            <w:tcW w:w="1372" w:type="dxa"/>
            <w:vAlign w:val="top"/>
          </w:tcPr>
          <w:p w14:paraId="585134FB">
            <w:pPr>
              <w:rPr>
                <w:rFonts w:ascii="Arial"/>
                <w:sz w:val="21"/>
              </w:rPr>
            </w:pPr>
          </w:p>
        </w:tc>
      </w:tr>
      <w:tr w14:paraId="546EB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371" w:type="dxa"/>
            <w:vAlign w:val="top"/>
          </w:tcPr>
          <w:p w14:paraId="304663BF">
            <w:pPr>
              <w:rPr>
                <w:rFonts w:ascii="Arial"/>
                <w:sz w:val="21"/>
              </w:rPr>
            </w:pPr>
          </w:p>
        </w:tc>
        <w:tc>
          <w:tcPr>
            <w:tcW w:w="1379" w:type="dxa"/>
            <w:vAlign w:val="top"/>
          </w:tcPr>
          <w:p w14:paraId="08D9046E">
            <w:pPr>
              <w:rPr>
                <w:rFonts w:ascii="Arial"/>
                <w:sz w:val="21"/>
              </w:rPr>
            </w:pPr>
          </w:p>
        </w:tc>
        <w:tc>
          <w:tcPr>
            <w:tcW w:w="1364" w:type="dxa"/>
            <w:vAlign w:val="top"/>
          </w:tcPr>
          <w:p w14:paraId="7BC450AD">
            <w:pPr>
              <w:rPr>
                <w:rFonts w:ascii="Arial"/>
                <w:sz w:val="21"/>
              </w:rPr>
            </w:pPr>
          </w:p>
        </w:tc>
        <w:tc>
          <w:tcPr>
            <w:tcW w:w="1365" w:type="dxa"/>
            <w:vAlign w:val="top"/>
          </w:tcPr>
          <w:p w14:paraId="13B9C947">
            <w:pPr>
              <w:rPr>
                <w:rFonts w:ascii="Arial"/>
                <w:sz w:val="21"/>
              </w:rPr>
            </w:pPr>
          </w:p>
        </w:tc>
        <w:tc>
          <w:tcPr>
            <w:tcW w:w="1379" w:type="dxa"/>
            <w:vAlign w:val="top"/>
          </w:tcPr>
          <w:p w14:paraId="4DEE69F0">
            <w:pPr>
              <w:rPr>
                <w:rFonts w:ascii="Arial"/>
                <w:sz w:val="21"/>
              </w:rPr>
            </w:pPr>
          </w:p>
        </w:tc>
        <w:tc>
          <w:tcPr>
            <w:tcW w:w="1372" w:type="dxa"/>
            <w:vAlign w:val="top"/>
          </w:tcPr>
          <w:p w14:paraId="6C09C88C">
            <w:pPr>
              <w:rPr>
                <w:rFonts w:ascii="Arial"/>
                <w:sz w:val="21"/>
              </w:rPr>
            </w:pPr>
          </w:p>
        </w:tc>
      </w:tr>
      <w:tr w14:paraId="14C71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371" w:type="dxa"/>
            <w:vAlign w:val="top"/>
          </w:tcPr>
          <w:p w14:paraId="3FFC3802">
            <w:pPr>
              <w:rPr>
                <w:rFonts w:ascii="Arial"/>
                <w:sz w:val="21"/>
              </w:rPr>
            </w:pPr>
          </w:p>
        </w:tc>
        <w:tc>
          <w:tcPr>
            <w:tcW w:w="1379" w:type="dxa"/>
            <w:vAlign w:val="top"/>
          </w:tcPr>
          <w:p w14:paraId="03398287">
            <w:pPr>
              <w:rPr>
                <w:rFonts w:ascii="Arial"/>
                <w:sz w:val="21"/>
              </w:rPr>
            </w:pPr>
          </w:p>
        </w:tc>
        <w:tc>
          <w:tcPr>
            <w:tcW w:w="1364" w:type="dxa"/>
            <w:vAlign w:val="top"/>
          </w:tcPr>
          <w:p w14:paraId="5E7BCCEE">
            <w:pPr>
              <w:rPr>
                <w:rFonts w:ascii="Arial"/>
                <w:sz w:val="21"/>
              </w:rPr>
            </w:pPr>
          </w:p>
        </w:tc>
        <w:tc>
          <w:tcPr>
            <w:tcW w:w="1365" w:type="dxa"/>
            <w:vAlign w:val="top"/>
          </w:tcPr>
          <w:p w14:paraId="425C741D">
            <w:pPr>
              <w:rPr>
                <w:rFonts w:ascii="Arial"/>
                <w:sz w:val="21"/>
              </w:rPr>
            </w:pPr>
          </w:p>
        </w:tc>
        <w:tc>
          <w:tcPr>
            <w:tcW w:w="1379" w:type="dxa"/>
            <w:vAlign w:val="top"/>
          </w:tcPr>
          <w:p w14:paraId="5CD983EE">
            <w:pPr>
              <w:rPr>
                <w:rFonts w:ascii="Arial"/>
                <w:sz w:val="21"/>
              </w:rPr>
            </w:pPr>
          </w:p>
        </w:tc>
        <w:tc>
          <w:tcPr>
            <w:tcW w:w="1372" w:type="dxa"/>
            <w:vAlign w:val="top"/>
          </w:tcPr>
          <w:p w14:paraId="034392E9">
            <w:pPr>
              <w:rPr>
                <w:rFonts w:ascii="Arial"/>
                <w:sz w:val="21"/>
              </w:rPr>
            </w:pPr>
          </w:p>
        </w:tc>
      </w:tr>
    </w:tbl>
    <w:p w14:paraId="5718454E">
      <w:pPr>
        <w:pStyle w:val="2"/>
      </w:pPr>
    </w:p>
    <w:p w14:paraId="26D06521">
      <w:pPr>
        <w:sectPr>
          <w:footerReference r:id="rId262" w:type="default"/>
          <w:pgSz w:w="11910" w:h="16845"/>
          <w:pgMar w:top="400" w:right="1786" w:bottom="1110" w:left="1786" w:header="0" w:footer="883" w:gutter="0"/>
          <w:cols w:space="720" w:num="1"/>
        </w:sectPr>
      </w:pPr>
    </w:p>
    <w:p w14:paraId="447D403B">
      <w:pPr>
        <w:spacing w:before="19"/>
      </w:pPr>
    </w:p>
    <w:p w14:paraId="300D8A1A">
      <w:pPr>
        <w:spacing w:before="19"/>
      </w:pPr>
    </w:p>
    <w:p w14:paraId="714EFF97">
      <w:pPr>
        <w:spacing w:before="19"/>
      </w:pPr>
    </w:p>
    <w:p w14:paraId="037ADEB5">
      <w:pPr>
        <w:spacing w:before="18"/>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1"/>
        <w:gridCol w:w="1379"/>
        <w:gridCol w:w="1364"/>
        <w:gridCol w:w="1365"/>
        <w:gridCol w:w="1379"/>
        <w:gridCol w:w="1372"/>
      </w:tblGrid>
      <w:tr w14:paraId="31FB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371" w:type="dxa"/>
            <w:vAlign w:val="top"/>
          </w:tcPr>
          <w:p w14:paraId="473052AA">
            <w:pPr>
              <w:pStyle w:val="6"/>
              <w:spacing w:before="104" w:line="221" w:lineRule="auto"/>
              <w:ind w:left="457"/>
              <w:rPr>
                <w:sz w:val="21"/>
                <w:szCs w:val="21"/>
              </w:rPr>
            </w:pPr>
            <w:r>
              <w:rPr>
                <w:b/>
                <w:bCs/>
                <w:spacing w:val="1"/>
                <w:sz w:val="21"/>
                <w:szCs w:val="21"/>
              </w:rPr>
              <w:t>序号</w:t>
            </w:r>
          </w:p>
        </w:tc>
        <w:tc>
          <w:tcPr>
            <w:tcW w:w="1379" w:type="dxa"/>
            <w:vAlign w:val="top"/>
          </w:tcPr>
          <w:p w14:paraId="2340A386">
            <w:pPr>
              <w:pStyle w:val="6"/>
              <w:spacing w:before="104" w:line="221" w:lineRule="auto"/>
              <w:ind w:left="474"/>
              <w:rPr>
                <w:sz w:val="21"/>
                <w:szCs w:val="21"/>
              </w:rPr>
            </w:pPr>
            <w:r>
              <w:rPr>
                <w:b/>
                <w:bCs/>
                <w:spacing w:val="-6"/>
                <w:sz w:val="21"/>
                <w:szCs w:val="21"/>
              </w:rPr>
              <w:t>图名</w:t>
            </w:r>
          </w:p>
        </w:tc>
        <w:tc>
          <w:tcPr>
            <w:tcW w:w="1364" w:type="dxa"/>
            <w:vAlign w:val="top"/>
          </w:tcPr>
          <w:p w14:paraId="2EE691EB">
            <w:pPr>
              <w:pStyle w:val="6"/>
              <w:spacing w:before="104" w:line="221" w:lineRule="auto"/>
              <w:ind w:left="477"/>
              <w:rPr>
                <w:sz w:val="21"/>
                <w:szCs w:val="21"/>
              </w:rPr>
            </w:pPr>
            <w:r>
              <w:rPr>
                <w:b/>
                <w:bCs/>
                <w:spacing w:val="-6"/>
                <w:sz w:val="21"/>
                <w:szCs w:val="21"/>
              </w:rPr>
              <w:t>图号</w:t>
            </w:r>
          </w:p>
        </w:tc>
        <w:tc>
          <w:tcPr>
            <w:tcW w:w="1365" w:type="dxa"/>
            <w:vAlign w:val="top"/>
          </w:tcPr>
          <w:p w14:paraId="00EE013D">
            <w:pPr>
              <w:pStyle w:val="6"/>
              <w:spacing w:before="104" w:line="219" w:lineRule="auto"/>
              <w:ind w:left="460"/>
              <w:rPr>
                <w:sz w:val="21"/>
                <w:szCs w:val="21"/>
              </w:rPr>
            </w:pPr>
            <w:r>
              <w:rPr>
                <w:b/>
                <w:bCs/>
                <w:spacing w:val="1"/>
                <w:sz w:val="21"/>
                <w:szCs w:val="21"/>
              </w:rPr>
              <w:t>版本</w:t>
            </w:r>
          </w:p>
        </w:tc>
        <w:tc>
          <w:tcPr>
            <w:tcW w:w="1379" w:type="dxa"/>
            <w:vAlign w:val="top"/>
          </w:tcPr>
          <w:p w14:paraId="07498CDB">
            <w:pPr>
              <w:pStyle w:val="6"/>
              <w:spacing w:before="104" w:line="220" w:lineRule="auto"/>
              <w:ind w:left="269"/>
              <w:rPr>
                <w:sz w:val="21"/>
                <w:szCs w:val="21"/>
              </w:rPr>
            </w:pPr>
            <w:r>
              <w:rPr>
                <w:b/>
                <w:bCs/>
                <w:spacing w:val="2"/>
                <w:sz w:val="21"/>
                <w:szCs w:val="21"/>
              </w:rPr>
              <w:t>出图日期</w:t>
            </w:r>
          </w:p>
        </w:tc>
        <w:tc>
          <w:tcPr>
            <w:tcW w:w="1372" w:type="dxa"/>
            <w:vAlign w:val="top"/>
          </w:tcPr>
          <w:p w14:paraId="05039DF6">
            <w:pPr>
              <w:pStyle w:val="6"/>
              <w:spacing w:before="104" w:line="221" w:lineRule="auto"/>
              <w:ind w:left="467"/>
              <w:rPr>
                <w:sz w:val="21"/>
                <w:szCs w:val="21"/>
              </w:rPr>
            </w:pPr>
            <w:r>
              <w:rPr>
                <w:b/>
                <w:bCs/>
                <w:sz w:val="21"/>
                <w:szCs w:val="21"/>
              </w:rPr>
              <w:t>备注</w:t>
            </w:r>
          </w:p>
        </w:tc>
      </w:tr>
      <w:tr w14:paraId="3547E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371" w:type="dxa"/>
            <w:vAlign w:val="top"/>
          </w:tcPr>
          <w:p w14:paraId="41B328C8">
            <w:pPr>
              <w:rPr>
                <w:rFonts w:ascii="Arial"/>
                <w:sz w:val="21"/>
              </w:rPr>
            </w:pPr>
          </w:p>
        </w:tc>
        <w:tc>
          <w:tcPr>
            <w:tcW w:w="1379" w:type="dxa"/>
            <w:vAlign w:val="top"/>
          </w:tcPr>
          <w:p w14:paraId="031695AD">
            <w:pPr>
              <w:rPr>
                <w:rFonts w:ascii="Arial"/>
                <w:sz w:val="21"/>
              </w:rPr>
            </w:pPr>
          </w:p>
        </w:tc>
        <w:tc>
          <w:tcPr>
            <w:tcW w:w="1364" w:type="dxa"/>
            <w:vAlign w:val="top"/>
          </w:tcPr>
          <w:p w14:paraId="0C2FBB82">
            <w:pPr>
              <w:rPr>
                <w:rFonts w:ascii="Arial"/>
                <w:sz w:val="21"/>
              </w:rPr>
            </w:pPr>
          </w:p>
        </w:tc>
        <w:tc>
          <w:tcPr>
            <w:tcW w:w="1365" w:type="dxa"/>
            <w:vAlign w:val="top"/>
          </w:tcPr>
          <w:p w14:paraId="0AF01A3C">
            <w:pPr>
              <w:rPr>
                <w:rFonts w:ascii="Arial"/>
                <w:sz w:val="21"/>
              </w:rPr>
            </w:pPr>
          </w:p>
        </w:tc>
        <w:tc>
          <w:tcPr>
            <w:tcW w:w="1379" w:type="dxa"/>
            <w:vAlign w:val="top"/>
          </w:tcPr>
          <w:p w14:paraId="0C2FC4FF">
            <w:pPr>
              <w:rPr>
                <w:rFonts w:ascii="Arial"/>
                <w:sz w:val="21"/>
              </w:rPr>
            </w:pPr>
          </w:p>
        </w:tc>
        <w:tc>
          <w:tcPr>
            <w:tcW w:w="1372" w:type="dxa"/>
            <w:vAlign w:val="top"/>
          </w:tcPr>
          <w:p w14:paraId="1428E6E7">
            <w:pPr>
              <w:rPr>
                <w:rFonts w:ascii="Arial"/>
                <w:sz w:val="21"/>
              </w:rPr>
            </w:pPr>
          </w:p>
        </w:tc>
      </w:tr>
      <w:tr w14:paraId="72B11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371" w:type="dxa"/>
            <w:vAlign w:val="top"/>
          </w:tcPr>
          <w:p w14:paraId="4669B147">
            <w:pPr>
              <w:rPr>
                <w:rFonts w:ascii="Arial"/>
                <w:sz w:val="21"/>
              </w:rPr>
            </w:pPr>
          </w:p>
        </w:tc>
        <w:tc>
          <w:tcPr>
            <w:tcW w:w="1379" w:type="dxa"/>
            <w:vAlign w:val="top"/>
          </w:tcPr>
          <w:p w14:paraId="263D14C1">
            <w:pPr>
              <w:rPr>
                <w:rFonts w:ascii="Arial"/>
                <w:sz w:val="21"/>
              </w:rPr>
            </w:pPr>
          </w:p>
        </w:tc>
        <w:tc>
          <w:tcPr>
            <w:tcW w:w="1364" w:type="dxa"/>
            <w:vAlign w:val="top"/>
          </w:tcPr>
          <w:p w14:paraId="67C73ADC">
            <w:pPr>
              <w:rPr>
                <w:rFonts w:ascii="Arial"/>
                <w:sz w:val="21"/>
              </w:rPr>
            </w:pPr>
          </w:p>
        </w:tc>
        <w:tc>
          <w:tcPr>
            <w:tcW w:w="1365" w:type="dxa"/>
            <w:vAlign w:val="top"/>
          </w:tcPr>
          <w:p w14:paraId="1C3C1788">
            <w:pPr>
              <w:rPr>
                <w:rFonts w:ascii="Arial"/>
                <w:sz w:val="21"/>
              </w:rPr>
            </w:pPr>
          </w:p>
        </w:tc>
        <w:tc>
          <w:tcPr>
            <w:tcW w:w="1379" w:type="dxa"/>
            <w:vAlign w:val="top"/>
          </w:tcPr>
          <w:p w14:paraId="4538BF1E">
            <w:pPr>
              <w:rPr>
                <w:rFonts w:ascii="Arial"/>
                <w:sz w:val="21"/>
              </w:rPr>
            </w:pPr>
          </w:p>
        </w:tc>
        <w:tc>
          <w:tcPr>
            <w:tcW w:w="1372" w:type="dxa"/>
            <w:vAlign w:val="top"/>
          </w:tcPr>
          <w:p w14:paraId="1A46AA63">
            <w:pPr>
              <w:rPr>
                <w:rFonts w:ascii="Arial"/>
                <w:sz w:val="21"/>
              </w:rPr>
            </w:pPr>
          </w:p>
        </w:tc>
      </w:tr>
      <w:tr w14:paraId="565E7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4A7CF067">
            <w:pPr>
              <w:rPr>
                <w:rFonts w:ascii="Arial"/>
                <w:sz w:val="21"/>
              </w:rPr>
            </w:pPr>
          </w:p>
        </w:tc>
        <w:tc>
          <w:tcPr>
            <w:tcW w:w="1379" w:type="dxa"/>
            <w:vAlign w:val="top"/>
          </w:tcPr>
          <w:p w14:paraId="39F3C4A6">
            <w:pPr>
              <w:rPr>
                <w:rFonts w:ascii="Arial"/>
                <w:sz w:val="21"/>
              </w:rPr>
            </w:pPr>
          </w:p>
        </w:tc>
        <w:tc>
          <w:tcPr>
            <w:tcW w:w="1364" w:type="dxa"/>
            <w:vAlign w:val="top"/>
          </w:tcPr>
          <w:p w14:paraId="34AB2A10">
            <w:pPr>
              <w:rPr>
                <w:rFonts w:ascii="Arial"/>
                <w:sz w:val="21"/>
              </w:rPr>
            </w:pPr>
          </w:p>
        </w:tc>
        <w:tc>
          <w:tcPr>
            <w:tcW w:w="1365" w:type="dxa"/>
            <w:vAlign w:val="top"/>
          </w:tcPr>
          <w:p w14:paraId="589BE5D9">
            <w:pPr>
              <w:rPr>
                <w:rFonts w:ascii="Arial"/>
                <w:sz w:val="21"/>
              </w:rPr>
            </w:pPr>
          </w:p>
        </w:tc>
        <w:tc>
          <w:tcPr>
            <w:tcW w:w="1379" w:type="dxa"/>
            <w:vAlign w:val="top"/>
          </w:tcPr>
          <w:p w14:paraId="275C9EEE">
            <w:pPr>
              <w:rPr>
                <w:rFonts w:ascii="Arial"/>
                <w:sz w:val="21"/>
              </w:rPr>
            </w:pPr>
          </w:p>
        </w:tc>
        <w:tc>
          <w:tcPr>
            <w:tcW w:w="1372" w:type="dxa"/>
            <w:vAlign w:val="top"/>
          </w:tcPr>
          <w:p w14:paraId="08ACD5F9">
            <w:pPr>
              <w:rPr>
                <w:rFonts w:ascii="Arial"/>
                <w:sz w:val="21"/>
              </w:rPr>
            </w:pPr>
          </w:p>
        </w:tc>
      </w:tr>
      <w:tr w14:paraId="348C5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371" w:type="dxa"/>
            <w:vAlign w:val="top"/>
          </w:tcPr>
          <w:p w14:paraId="56F69B56">
            <w:pPr>
              <w:rPr>
                <w:rFonts w:ascii="Arial"/>
                <w:sz w:val="21"/>
              </w:rPr>
            </w:pPr>
          </w:p>
        </w:tc>
        <w:tc>
          <w:tcPr>
            <w:tcW w:w="1379" w:type="dxa"/>
            <w:vAlign w:val="top"/>
          </w:tcPr>
          <w:p w14:paraId="7E765D02">
            <w:pPr>
              <w:rPr>
                <w:rFonts w:ascii="Arial"/>
                <w:sz w:val="21"/>
              </w:rPr>
            </w:pPr>
          </w:p>
        </w:tc>
        <w:tc>
          <w:tcPr>
            <w:tcW w:w="1364" w:type="dxa"/>
            <w:vAlign w:val="top"/>
          </w:tcPr>
          <w:p w14:paraId="3A16822C">
            <w:pPr>
              <w:rPr>
                <w:rFonts w:ascii="Arial"/>
                <w:sz w:val="21"/>
              </w:rPr>
            </w:pPr>
          </w:p>
        </w:tc>
        <w:tc>
          <w:tcPr>
            <w:tcW w:w="1365" w:type="dxa"/>
            <w:vAlign w:val="top"/>
          </w:tcPr>
          <w:p w14:paraId="1627FF6B">
            <w:pPr>
              <w:rPr>
                <w:rFonts w:ascii="Arial"/>
                <w:sz w:val="21"/>
              </w:rPr>
            </w:pPr>
          </w:p>
        </w:tc>
        <w:tc>
          <w:tcPr>
            <w:tcW w:w="1379" w:type="dxa"/>
            <w:vAlign w:val="top"/>
          </w:tcPr>
          <w:p w14:paraId="144059D2">
            <w:pPr>
              <w:rPr>
                <w:rFonts w:ascii="Arial"/>
                <w:sz w:val="21"/>
              </w:rPr>
            </w:pPr>
          </w:p>
        </w:tc>
        <w:tc>
          <w:tcPr>
            <w:tcW w:w="1372" w:type="dxa"/>
            <w:vAlign w:val="top"/>
          </w:tcPr>
          <w:p w14:paraId="7A0C3786">
            <w:pPr>
              <w:rPr>
                <w:rFonts w:ascii="Arial"/>
                <w:sz w:val="21"/>
              </w:rPr>
            </w:pPr>
          </w:p>
        </w:tc>
      </w:tr>
      <w:tr w14:paraId="407F8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371" w:type="dxa"/>
            <w:vAlign w:val="top"/>
          </w:tcPr>
          <w:p w14:paraId="1CB82C04">
            <w:pPr>
              <w:rPr>
                <w:rFonts w:ascii="Arial"/>
                <w:sz w:val="21"/>
              </w:rPr>
            </w:pPr>
          </w:p>
        </w:tc>
        <w:tc>
          <w:tcPr>
            <w:tcW w:w="1379" w:type="dxa"/>
            <w:vAlign w:val="top"/>
          </w:tcPr>
          <w:p w14:paraId="68829703">
            <w:pPr>
              <w:rPr>
                <w:rFonts w:ascii="Arial"/>
                <w:sz w:val="21"/>
              </w:rPr>
            </w:pPr>
          </w:p>
        </w:tc>
        <w:tc>
          <w:tcPr>
            <w:tcW w:w="1364" w:type="dxa"/>
            <w:vAlign w:val="top"/>
          </w:tcPr>
          <w:p w14:paraId="56F05927">
            <w:pPr>
              <w:rPr>
                <w:rFonts w:ascii="Arial"/>
                <w:sz w:val="21"/>
              </w:rPr>
            </w:pPr>
          </w:p>
        </w:tc>
        <w:tc>
          <w:tcPr>
            <w:tcW w:w="1365" w:type="dxa"/>
            <w:vAlign w:val="top"/>
          </w:tcPr>
          <w:p w14:paraId="115DEF13">
            <w:pPr>
              <w:rPr>
                <w:rFonts w:ascii="Arial"/>
                <w:sz w:val="21"/>
              </w:rPr>
            </w:pPr>
          </w:p>
        </w:tc>
        <w:tc>
          <w:tcPr>
            <w:tcW w:w="1379" w:type="dxa"/>
            <w:vAlign w:val="top"/>
          </w:tcPr>
          <w:p w14:paraId="693E7941">
            <w:pPr>
              <w:rPr>
                <w:rFonts w:ascii="Arial"/>
                <w:sz w:val="21"/>
              </w:rPr>
            </w:pPr>
          </w:p>
        </w:tc>
        <w:tc>
          <w:tcPr>
            <w:tcW w:w="1372" w:type="dxa"/>
            <w:vAlign w:val="top"/>
          </w:tcPr>
          <w:p w14:paraId="1A9A3912">
            <w:pPr>
              <w:rPr>
                <w:rFonts w:ascii="Arial"/>
                <w:sz w:val="21"/>
              </w:rPr>
            </w:pPr>
          </w:p>
        </w:tc>
      </w:tr>
      <w:tr w14:paraId="6B1ED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1371" w:type="dxa"/>
            <w:vAlign w:val="top"/>
          </w:tcPr>
          <w:p w14:paraId="79EFBB8B">
            <w:pPr>
              <w:rPr>
                <w:rFonts w:ascii="Arial"/>
                <w:sz w:val="21"/>
              </w:rPr>
            </w:pPr>
          </w:p>
        </w:tc>
        <w:tc>
          <w:tcPr>
            <w:tcW w:w="1379" w:type="dxa"/>
            <w:vAlign w:val="top"/>
          </w:tcPr>
          <w:p w14:paraId="666D1B6E">
            <w:pPr>
              <w:rPr>
                <w:rFonts w:ascii="Arial"/>
                <w:sz w:val="21"/>
              </w:rPr>
            </w:pPr>
          </w:p>
        </w:tc>
        <w:tc>
          <w:tcPr>
            <w:tcW w:w="1364" w:type="dxa"/>
            <w:vAlign w:val="top"/>
          </w:tcPr>
          <w:p w14:paraId="2C054683">
            <w:pPr>
              <w:rPr>
                <w:rFonts w:ascii="Arial"/>
                <w:sz w:val="21"/>
              </w:rPr>
            </w:pPr>
          </w:p>
        </w:tc>
        <w:tc>
          <w:tcPr>
            <w:tcW w:w="1365" w:type="dxa"/>
            <w:vAlign w:val="top"/>
          </w:tcPr>
          <w:p w14:paraId="5B8C11B8">
            <w:pPr>
              <w:rPr>
                <w:rFonts w:ascii="Arial"/>
                <w:sz w:val="21"/>
              </w:rPr>
            </w:pPr>
          </w:p>
        </w:tc>
        <w:tc>
          <w:tcPr>
            <w:tcW w:w="1379" w:type="dxa"/>
            <w:vAlign w:val="top"/>
          </w:tcPr>
          <w:p w14:paraId="284E4779">
            <w:pPr>
              <w:rPr>
                <w:rFonts w:ascii="Arial"/>
                <w:sz w:val="21"/>
              </w:rPr>
            </w:pPr>
          </w:p>
        </w:tc>
        <w:tc>
          <w:tcPr>
            <w:tcW w:w="1372" w:type="dxa"/>
            <w:vAlign w:val="top"/>
          </w:tcPr>
          <w:p w14:paraId="2082830B">
            <w:pPr>
              <w:rPr>
                <w:rFonts w:ascii="Arial"/>
                <w:sz w:val="21"/>
              </w:rPr>
            </w:pPr>
          </w:p>
        </w:tc>
      </w:tr>
      <w:tr w14:paraId="38229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1371" w:type="dxa"/>
            <w:vAlign w:val="top"/>
          </w:tcPr>
          <w:p w14:paraId="53E714D8">
            <w:pPr>
              <w:rPr>
                <w:rFonts w:ascii="Arial"/>
                <w:sz w:val="21"/>
              </w:rPr>
            </w:pPr>
          </w:p>
        </w:tc>
        <w:tc>
          <w:tcPr>
            <w:tcW w:w="1379" w:type="dxa"/>
            <w:vAlign w:val="top"/>
          </w:tcPr>
          <w:p w14:paraId="13BEC536">
            <w:pPr>
              <w:rPr>
                <w:rFonts w:ascii="Arial"/>
                <w:sz w:val="21"/>
              </w:rPr>
            </w:pPr>
          </w:p>
        </w:tc>
        <w:tc>
          <w:tcPr>
            <w:tcW w:w="1364" w:type="dxa"/>
            <w:vAlign w:val="top"/>
          </w:tcPr>
          <w:p w14:paraId="1C41FD68">
            <w:pPr>
              <w:rPr>
                <w:rFonts w:ascii="Arial"/>
                <w:sz w:val="21"/>
              </w:rPr>
            </w:pPr>
          </w:p>
        </w:tc>
        <w:tc>
          <w:tcPr>
            <w:tcW w:w="1365" w:type="dxa"/>
            <w:vAlign w:val="top"/>
          </w:tcPr>
          <w:p w14:paraId="6A4543FA">
            <w:pPr>
              <w:rPr>
                <w:rFonts w:ascii="Arial"/>
                <w:sz w:val="21"/>
              </w:rPr>
            </w:pPr>
          </w:p>
        </w:tc>
        <w:tc>
          <w:tcPr>
            <w:tcW w:w="1379" w:type="dxa"/>
            <w:vAlign w:val="top"/>
          </w:tcPr>
          <w:p w14:paraId="39CAB2FD">
            <w:pPr>
              <w:rPr>
                <w:rFonts w:ascii="Arial"/>
                <w:sz w:val="21"/>
              </w:rPr>
            </w:pPr>
          </w:p>
        </w:tc>
        <w:tc>
          <w:tcPr>
            <w:tcW w:w="1372" w:type="dxa"/>
            <w:vAlign w:val="top"/>
          </w:tcPr>
          <w:p w14:paraId="68793536">
            <w:pPr>
              <w:rPr>
                <w:rFonts w:ascii="Arial"/>
                <w:sz w:val="21"/>
              </w:rPr>
            </w:pPr>
          </w:p>
        </w:tc>
      </w:tr>
    </w:tbl>
    <w:p w14:paraId="19C19E15">
      <w:pPr>
        <w:pStyle w:val="2"/>
        <w:spacing w:line="317" w:lineRule="auto"/>
      </w:pPr>
    </w:p>
    <w:p w14:paraId="3493D45E">
      <w:pPr>
        <w:spacing w:before="101" w:line="237" w:lineRule="auto"/>
        <w:ind w:left="669"/>
        <w:outlineLvl w:val="1"/>
        <w:rPr>
          <w:rFonts w:ascii="黑体" w:hAnsi="黑体" w:eastAsia="黑体" w:cs="黑体"/>
          <w:sz w:val="31"/>
          <w:szCs w:val="31"/>
        </w:rPr>
      </w:pPr>
      <w:bookmarkStart w:id="588" w:name="bookmark543"/>
      <w:bookmarkEnd w:id="588"/>
      <w:r>
        <w:rPr>
          <w:rFonts w:ascii="Times New Roman" w:hAnsi="Times New Roman" w:eastAsia="Times New Roman" w:cs="Times New Roman"/>
          <w:b/>
          <w:bCs/>
          <w:sz w:val="31"/>
          <w:szCs w:val="31"/>
        </w:rPr>
        <w:t>2</w:t>
      </w:r>
      <w:r>
        <w:rPr>
          <w:rFonts w:ascii="Times New Roman" w:hAnsi="Times New Roman" w:eastAsia="Times New Roman" w:cs="Times New Roman"/>
          <w:b/>
          <w:bCs/>
          <w:spacing w:val="-39"/>
          <w:sz w:val="31"/>
          <w:szCs w:val="31"/>
        </w:rPr>
        <w:t xml:space="preserve"> </w:t>
      </w:r>
      <w:r>
        <w:rPr>
          <w:rFonts w:ascii="黑体" w:hAnsi="黑体" w:eastAsia="黑体" w:cs="黑体"/>
          <w:b/>
          <w:bCs/>
          <w:sz w:val="31"/>
          <w:szCs w:val="31"/>
        </w:rPr>
        <w:t>．图纸</w:t>
      </w:r>
    </w:p>
    <w:p w14:paraId="21101F57">
      <w:pPr>
        <w:spacing w:line="237" w:lineRule="auto"/>
        <w:rPr>
          <w:rFonts w:ascii="黑体" w:hAnsi="黑体" w:eastAsia="黑体" w:cs="黑体"/>
          <w:sz w:val="31"/>
          <w:szCs w:val="31"/>
        </w:rPr>
        <w:sectPr>
          <w:footerReference r:id="rId263" w:type="default"/>
          <w:pgSz w:w="11910" w:h="16845"/>
          <w:pgMar w:top="400" w:right="1786" w:bottom="1110" w:left="1786" w:header="0" w:footer="883" w:gutter="0"/>
          <w:cols w:space="720" w:num="1"/>
        </w:sectPr>
      </w:pPr>
    </w:p>
    <w:p w14:paraId="4C3B6E9A">
      <w:pPr>
        <w:pStyle w:val="2"/>
        <w:spacing w:line="247" w:lineRule="auto"/>
      </w:pPr>
    </w:p>
    <w:p w14:paraId="598A3938">
      <w:pPr>
        <w:pStyle w:val="2"/>
        <w:spacing w:line="247" w:lineRule="auto"/>
      </w:pPr>
    </w:p>
    <w:p w14:paraId="5BA2B8AE">
      <w:pPr>
        <w:pStyle w:val="2"/>
        <w:spacing w:line="247" w:lineRule="auto"/>
      </w:pPr>
    </w:p>
    <w:p w14:paraId="4EACF875">
      <w:pPr>
        <w:pStyle w:val="2"/>
        <w:spacing w:line="247" w:lineRule="auto"/>
      </w:pPr>
    </w:p>
    <w:p w14:paraId="68A7C681">
      <w:pPr>
        <w:pStyle w:val="2"/>
        <w:spacing w:line="247" w:lineRule="auto"/>
      </w:pPr>
    </w:p>
    <w:p w14:paraId="0B294984">
      <w:pPr>
        <w:pStyle w:val="2"/>
        <w:spacing w:line="247" w:lineRule="auto"/>
      </w:pPr>
    </w:p>
    <w:p w14:paraId="01F6DF81">
      <w:pPr>
        <w:pStyle w:val="2"/>
        <w:spacing w:line="247" w:lineRule="auto"/>
      </w:pPr>
    </w:p>
    <w:p w14:paraId="5D252F73">
      <w:pPr>
        <w:pStyle w:val="2"/>
        <w:spacing w:line="247" w:lineRule="auto"/>
      </w:pPr>
    </w:p>
    <w:p w14:paraId="1C732B91">
      <w:pPr>
        <w:pStyle w:val="2"/>
        <w:spacing w:line="247" w:lineRule="auto"/>
      </w:pPr>
    </w:p>
    <w:p w14:paraId="03B661C7">
      <w:pPr>
        <w:pStyle w:val="2"/>
        <w:spacing w:line="247" w:lineRule="auto"/>
      </w:pPr>
    </w:p>
    <w:p w14:paraId="2B8CAF11">
      <w:pPr>
        <w:pStyle w:val="2"/>
        <w:spacing w:line="247" w:lineRule="auto"/>
      </w:pPr>
    </w:p>
    <w:p w14:paraId="3A5F11F3">
      <w:pPr>
        <w:pStyle w:val="2"/>
        <w:spacing w:line="247" w:lineRule="auto"/>
      </w:pPr>
    </w:p>
    <w:p w14:paraId="14C2889F">
      <w:pPr>
        <w:pStyle w:val="2"/>
        <w:spacing w:line="248" w:lineRule="auto"/>
      </w:pPr>
    </w:p>
    <w:p w14:paraId="378D625F">
      <w:pPr>
        <w:pStyle w:val="2"/>
        <w:spacing w:line="248" w:lineRule="auto"/>
      </w:pPr>
    </w:p>
    <w:p w14:paraId="1BEB7DF8">
      <w:pPr>
        <w:pStyle w:val="2"/>
        <w:spacing w:line="248" w:lineRule="auto"/>
      </w:pPr>
    </w:p>
    <w:p w14:paraId="7B09E9CB">
      <w:pPr>
        <w:pStyle w:val="2"/>
        <w:spacing w:line="248" w:lineRule="auto"/>
      </w:pPr>
    </w:p>
    <w:p w14:paraId="273B0E6D">
      <w:pPr>
        <w:pStyle w:val="2"/>
        <w:spacing w:line="248" w:lineRule="auto"/>
      </w:pPr>
    </w:p>
    <w:p w14:paraId="4A57756D">
      <w:pPr>
        <w:pStyle w:val="2"/>
        <w:spacing w:line="248" w:lineRule="auto"/>
      </w:pPr>
    </w:p>
    <w:p w14:paraId="079402C3">
      <w:pPr>
        <w:pStyle w:val="2"/>
        <w:spacing w:line="248" w:lineRule="auto"/>
      </w:pPr>
    </w:p>
    <w:p w14:paraId="75C859C5">
      <w:pPr>
        <w:pStyle w:val="2"/>
        <w:spacing w:line="248" w:lineRule="auto"/>
      </w:pPr>
    </w:p>
    <w:p w14:paraId="02772D27">
      <w:pPr>
        <w:pStyle w:val="2"/>
        <w:spacing w:line="248" w:lineRule="auto"/>
      </w:pPr>
    </w:p>
    <w:p w14:paraId="76757936">
      <w:pPr>
        <w:pStyle w:val="2"/>
        <w:spacing w:line="248" w:lineRule="auto"/>
      </w:pPr>
    </w:p>
    <w:p w14:paraId="6604A55D">
      <w:pPr>
        <w:pStyle w:val="2"/>
        <w:spacing w:line="248" w:lineRule="auto"/>
      </w:pPr>
    </w:p>
    <w:p w14:paraId="4EA990C3">
      <w:pPr>
        <w:pStyle w:val="2"/>
        <w:spacing w:line="248" w:lineRule="auto"/>
      </w:pPr>
    </w:p>
    <w:p w14:paraId="1DEB9142">
      <w:pPr>
        <w:spacing w:before="140" w:line="222" w:lineRule="auto"/>
        <w:ind w:left="3517"/>
        <w:outlineLvl w:val="0"/>
        <w:rPr>
          <w:rFonts w:ascii="宋体" w:hAnsi="宋体" w:eastAsia="宋体" w:cs="宋体"/>
          <w:sz w:val="43"/>
          <w:szCs w:val="43"/>
        </w:rPr>
      </w:pPr>
      <w:bookmarkStart w:id="589" w:name="bookmark544"/>
      <w:bookmarkEnd w:id="589"/>
      <w:r>
        <w:rPr>
          <w:rFonts w:ascii="宋体" w:hAnsi="宋体" w:eastAsia="宋体" w:cs="宋体"/>
          <w:b/>
          <w:bCs/>
          <w:spacing w:val="5"/>
          <w:sz w:val="43"/>
          <w:szCs w:val="43"/>
        </w:rPr>
        <w:t>第三卷</w:t>
      </w:r>
    </w:p>
    <w:p w14:paraId="411CBFB9">
      <w:pPr>
        <w:spacing w:line="222" w:lineRule="auto"/>
        <w:rPr>
          <w:rFonts w:ascii="宋体" w:hAnsi="宋体" w:eastAsia="宋体" w:cs="宋体"/>
          <w:sz w:val="43"/>
          <w:szCs w:val="43"/>
        </w:rPr>
        <w:sectPr>
          <w:footerReference r:id="rId264" w:type="default"/>
          <w:pgSz w:w="11910" w:h="16845"/>
          <w:pgMar w:top="400" w:right="1786" w:bottom="1110" w:left="1786" w:header="0" w:footer="883" w:gutter="0"/>
          <w:cols w:space="720" w:num="1"/>
        </w:sectPr>
      </w:pPr>
    </w:p>
    <w:p w14:paraId="3FB5F1BA">
      <w:pPr>
        <w:pStyle w:val="2"/>
        <w:spacing w:line="248" w:lineRule="auto"/>
      </w:pPr>
    </w:p>
    <w:p w14:paraId="3654E849">
      <w:pPr>
        <w:pStyle w:val="2"/>
        <w:spacing w:line="248" w:lineRule="auto"/>
      </w:pPr>
    </w:p>
    <w:p w14:paraId="41A20E01">
      <w:pPr>
        <w:pStyle w:val="2"/>
        <w:spacing w:line="248" w:lineRule="auto"/>
      </w:pPr>
    </w:p>
    <w:p w14:paraId="6D1D41A7">
      <w:pPr>
        <w:pStyle w:val="2"/>
        <w:spacing w:line="248" w:lineRule="auto"/>
      </w:pPr>
    </w:p>
    <w:p w14:paraId="08D6B255">
      <w:pPr>
        <w:pStyle w:val="2"/>
        <w:spacing w:line="248" w:lineRule="auto"/>
      </w:pPr>
    </w:p>
    <w:p w14:paraId="74776AAF">
      <w:pPr>
        <w:pStyle w:val="2"/>
        <w:spacing w:line="248" w:lineRule="auto"/>
      </w:pPr>
    </w:p>
    <w:p w14:paraId="70370786">
      <w:pPr>
        <w:pStyle w:val="2"/>
        <w:spacing w:line="248" w:lineRule="auto"/>
      </w:pPr>
    </w:p>
    <w:p w14:paraId="6AA6514A">
      <w:pPr>
        <w:pStyle w:val="2"/>
        <w:spacing w:line="249" w:lineRule="auto"/>
      </w:pPr>
    </w:p>
    <w:p w14:paraId="034A27D4">
      <w:pPr>
        <w:pStyle w:val="2"/>
        <w:spacing w:line="249" w:lineRule="auto"/>
      </w:pPr>
    </w:p>
    <w:p w14:paraId="3C42F624">
      <w:pPr>
        <w:pStyle w:val="2"/>
        <w:spacing w:line="249" w:lineRule="auto"/>
      </w:pPr>
    </w:p>
    <w:p w14:paraId="1DBA7306">
      <w:pPr>
        <w:pStyle w:val="2"/>
        <w:spacing w:line="249" w:lineRule="auto"/>
      </w:pPr>
    </w:p>
    <w:p w14:paraId="585BF36F">
      <w:pPr>
        <w:pStyle w:val="2"/>
        <w:spacing w:line="249" w:lineRule="auto"/>
      </w:pPr>
    </w:p>
    <w:p w14:paraId="3142D34E">
      <w:pPr>
        <w:pStyle w:val="2"/>
        <w:spacing w:line="249" w:lineRule="auto"/>
      </w:pPr>
    </w:p>
    <w:p w14:paraId="13463260">
      <w:pPr>
        <w:pStyle w:val="2"/>
        <w:spacing w:line="249" w:lineRule="auto"/>
      </w:pPr>
    </w:p>
    <w:p w14:paraId="79C9B170">
      <w:pPr>
        <w:spacing w:before="139" w:line="221" w:lineRule="auto"/>
        <w:ind w:left="1850"/>
        <w:outlineLvl w:val="0"/>
        <w:rPr>
          <w:rFonts w:ascii="宋体" w:hAnsi="宋体" w:eastAsia="宋体" w:cs="宋体"/>
          <w:sz w:val="43"/>
          <w:szCs w:val="43"/>
        </w:rPr>
      </w:pPr>
      <w:bookmarkStart w:id="590" w:name="bookmark545"/>
      <w:bookmarkEnd w:id="590"/>
      <w:r>
        <w:rPr>
          <w:rFonts w:ascii="宋体" w:hAnsi="宋体" w:eastAsia="宋体" w:cs="宋体"/>
          <w:b/>
          <w:bCs/>
          <w:spacing w:val="9"/>
          <w:sz w:val="43"/>
          <w:szCs w:val="43"/>
        </w:rPr>
        <w:t>第七章</w:t>
      </w:r>
      <w:r>
        <w:rPr>
          <w:rFonts w:ascii="宋体" w:hAnsi="宋体" w:eastAsia="宋体" w:cs="宋体"/>
          <w:spacing w:val="9"/>
          <w:sz w:val="43"/>
          <w:szCs w:val="43"/>
        </w:rPr>
        <w:t xml:space="preserve"> </w:t>
      </w:r>
      <w:r>
        <w:rPr>
          <w:rFonts w:ascii="宋体" w:hAnsi="宋体" w:eastAsia="宋体" w:cs="宋体"/>
          <w:b/>
          <w:bCs/>
          <w:spacing w:val="9"/>
          <w:sz w:val="43"/>
          <w:szCs w:val="43"/>
        </w:rPr>
        <w:t>技术标准和要求</w:t>
      </w:r>
    </w:p>
    <w:p w14:paraId="799A19F4">
      <w:pPr>
        <w:pStyle w:val="2"/>
      </w:pPr>
    </w:p>
    <w:p w14:paraId="52F3EE7C">
      <w:pPr>
        <w:pStyle w:val="2"/>
      </w:pPr>
    </w:p>
    <w:p w14:paraId="260A1E3A">
      <w:pPr>
        <w:pStyle w:val="2"/>
      </w:pPr>
    </w:p>
    <w:p w14:paraId="2D79149C">
      <w:pPr>
        <w:pStyle w:val="2"/>
      </w:pPr>
    </w:p>
    <w:p w14:paraId="506DB94C">
      <w:pPr>
        <w:pStyle w:val="2"/>
      </w:pPr>
    </w:p>
    <w:p w14:paraId="4AC2F79A">
      <w:pPr>
        <w:pStyle w:val="2"/>
      </w:pPr>
    </w:p>
    <w:p w14:paraId="0694F7A6">
      <w:pPr>
        <w:pStyle w:val="2"/>
      </w:pPr>
    </w:p>
    <w:p w14:paraId="1645F4E0">
      <w:pPr>
        <w:pStyle w:val="2"/>
      </w:pPr>
    </w:p>
    <w:p w14:paraId="0C4F9AFC">
      <w:pPr>
        <w:pStyle w:val="2"/>
      </w:pPr>
    </w:p>
    <w:p w14:paraId="43BC0189">
      <w:pPr>
        <w:pStyle w:val="2"/>
        <w:spacing w:line="241" w:lineRule="auto"/>
      </w:pPr>
    </w:p>
    <w:p w14:paraId="67A6066F">
      <w:pPr>
        <w:pStyle w:val="2"/>
        <w:spacing w:line="241" w:lineRule="auto"/>
      </w:pPr>
    </w:p>
    <w:p w14:paraId="481527CD">
      <w:pPr>
        <w:pStyle w:val="2"/>
        <w:spacing w:line="241" w:lineRule="auto"/>
      </w:pPr>
    </w:p>
    <w:p w14:paraId="3901BC49">
      <w:pPr>
        <w:pStyle w:val="2"/>
        <w:spacing w:line="241" w:lineRule="auto"/>
      </w:pPr>
    </w:p>
    <w:p w14:paraId="1CF74E21">
      <w:pPr>
        <w:pStyle w:val="2"/>
        <w:spacing w:line="241" w:lineRule="auto"/>
      </w:pPr>
    </w:p>
    <w:p w14:paraId="7DA75488">
      <w:pPr>
        <w:pStyle w:val="2"/>
        <w:spacing w:line="241" w:lineRule="auto"/>
      </w:pPr>
    </w:p>
    <w:p w14:paraId="7F81DD48">
      <w:pPr>
        <w:pStyle w:val="2"/>
        <w:spacing w:line="241" w:lineRule="auto"/>
      </w:pPr>
    </w:p>
    <w:p w14:paraId="230C9ED1">
      <w:pPr>
        <w:pStyle w:val="2"/>
        <w:spacing w:line="241" w:lineRule="auto"/>
      </w:pPr>
    </w:p>
    <w:p w14:paraId="54042A76">
      <w:pPr>
        <w:pStyle w:val="2"/>
        <w:spacing w:line="241" w:lineRule="auto"/>
      </w:pPr>
    </w:p>
    <w:p w14:paraId="51F083BA">
      <w:pPr>
        <w:pStyle w:val="2"/>
        <w:spacing w:line="241" w:lineRule="auto"/>
      </w:pPr>
    </w:p>
    <w:p w14:paraId="67C78BDF">
      <w:pPr>
        <w:pStyle w:val="2"/>
        <w:spacing w:line="241" w:lineRule="auto"/>
      </w:pPr>
    </w:p>
    <w:p w14:paraId="7070F4C3">
      <w:pPr>
        <w:pStyle w:val="2"/>
        <w:spacing w:line="241" w:lineRule="auto"/>
      </w:pPr>
    </w:p>
    <w:p w14:paraId="28305081">
      <w:pPr>
        <w:pStyle w:val="2"/>
        <w:spacing w:line="241" w:lineRule="auto"/>
      </w:pPr>
    </w:p>
    <w:p w14:paraId="63522DFF">
      <w:pPr>
        <w:pStyle w:val="2"/>
        <w:spacing w:line="241" w:lineRule="auto"/>
      </w:pPr>
    </w:p>
    <w:p w14:paraId="6D51CA09">
      <w:pPr>
        <w:pStyle w:val="2"/>
        <w:spacing w:line="241" w:lineRule="auto"/>
      </w:pPr>
    </w:p>
    <w:p w14:paraId="397E52A9">
      <w:pPr>
        <w:pStyle w:val="2"/>
        <w:spacing w:line="241" w:lineRule="auto"/>
      </w:pPr>
    </w:p>
    <w:p w14:paraId="58073D76">
      <w:pPr>
        <w:pStyle w:val="2"/>
        <w:spacing w:line="241" w:lineRule="auto"/>
      </w:pPr>
    </w:p>
    <w:p w14:paraId="55C93CC8">
      <w:pPr>
        <w:pStyle w:val="2"/>
        <w:spacing w:line="241" w:lineRule="auto"/>
      </w:pPr>
    </w:p>
    <w:p w14:paraId="4CE56B13">
      <w:pPr>
        <w:pStyle w:val="2"/>
        <w:spacing w:line="241" w:lineRule="auto"/>
      </w:pPr>
    </w:p>
    <w:p w14:paraId="75CE3563">
      <w:pPr>
        <w:pStyle w:val="2"/>
        <w:spacing w:line="241" w:lineRule="auto"/>
      </w:pPr>
    </w:p>
    <w:p w14:paraId="5929C46D">
      <w:pPr>
        <w:pStyle w:val="2"/>
        <w:spacing w:line="241" w:lineRule="auto"/>
      </w:pPr>
    </w:p>
    <w:p w14:paraId="64CCF7DF">
      <w:pPr>
        <w:pStyle w:val="2"/>
        <w:spacing w:line="241" w:lineRule="auto"/>
      </w:pPr>
    </w:p>
    <w:p w14:paraId="2471510D">
      <w:pPr>
        <w:spacing w:before="68" w:line="348" w:lineRule="auto"/>
        <w:ind w:left="25" w:firstLine="422"/>
        <w:rPr>
          <w:rFonts w:ascii="宋体" w:hAnsi="宋体" w:eastAsia="宋体" w:cs="宋体"/>
          <w:sz w:val="21"/>
          <w:szCs w:val="21"/>
        </w:rPr>
      </w:pPr>
      <w:r>
        <w:rPr>
          <w:rFonts w:ascii="宋体" w:hAnsi="宋体" w:eastAsia="宋体" w:cs="宋体"/>
          <w:spacing w:val="-5"/>
          <w:sz w:val="21"/>
          <w:szCs w:val="21"/>
        </w:rPr>
        <w:t>备注：本章内容采用自</w:t>
      </w:r>
      <w:r>
        <w:rPr>
          <w:rFonts w:ascii="宋体" w:hAnsi="宋体" w:eastAsia="宋体" w:cs="宋体"/>
          <w:spacing w:val="-42"/>
          <w:sz w:val="21"/>
          <w:szCs w:val="21"/>
        </w:rPr>
        <w:t xml:space="preserve"> </w:t>
      </w:r>
      <w:r>
        <w:rPr>
          <w:rFonts w:ascii="Times New Roman" w:hAnsi="Times New Roman" w:eastAsia="Times New Roman" w:cs="Times New Roman"/>
          <w:spacing w:val="-5"/>
          <w:sz w:val="21"/>
          <w:szCs w:val="21"/>
        </w:rPr>
        <w:t>2010</w:t>
      </w:r>
      <w:r>
        <w:rPr>
          <w:rFonts w:ascii="Times New Roman" w:hAnsi="Times New Roman" w:eastAsia="Times New Roman" w:cs="Times New Roman"/>
          <w:spacing w:val="17"/>
          <w:w w:val="101"/>
          <w:sz w:val="21"/>
          <w:szCs w:val="21"/>
        </w:rPr>
        <w:t xml:space="preserve"> </w:t>
      </w:r>
      <w:r>
        <w:rPr>
          <w:rFonts w:ascii="宋体" w:hAnsi="宋体" w:eastAsia="宋体" w:cs="宋体"/>
          <w:spacing w:val="-5"/>
          <w:sz w:val="21"/>
          <w:szCs w:val="21"/>
        </w:rPr>
        <w:t>年版《房屋建筑和市政工程标准施工招标</w:t>
      </w:r>
      <w:r>
        <w:rPr>
          <w:rFonts w:ascii="宋体" w:hAnsi="宋体" w:eastAsia="宋体" w:cs="宋体"/>
          <w:spacing w:val="-6"/>
          <w:sz w:val="21"/>
          <w:szCs w:val="21"/>
        </w:rPr>
        <w:t>文件》，也可由招</w:t>
      </w:r>
      <w:r>
        <w:rPr>
          <w:rFonts w:ascii="宋体" w:hAnsi="宋体" w:eastAsia="宋体" w:cs="宋体"/>
          <w:spacing w:val="-3"/>
          <w:sz w:val="21"/>
          <w:szCs w:val="21"/>
        </w:rPr>
        <w:t>标人根据其他行业标准施工招标文件（如有）</w:t>
      </w:r>
      <w:r>
        <w:rPr>
          <w:rFonts w:ascii="宋体" w:hAnsi="宋体" w:eastAsia="宋体" w:cs="宋体"/>
          <w:spacing w:val="-4"/>
          <w:sz w:val="21"/>
          <w:szCs w:val="21"/>
        </w:rPr>
        <w:t>、招标项目具体特点和实际需要编制。</w:t>
      </w:r>
    </w:p>
    <w:p w14:paraId="17205843">
      <w:pPr>
        <w:spacing w:line="348" w:lineRule="auto"/>
        <w:rPr>
          <w:rFonts w:ascii="宋体" w:hAnsi="宋体" w:eastAsia="宋体" w:cs="宋体"/>
          <w:sz w:val="21"/>
          <w:szCs w:val="21"/>
        </w:rPr>
        <w:sectPr>
          <w:footerReference r:id="rId265" w:type="default"/>
          <w:pgSz w:w="11910" w:h="16845"/>
          <w:pgMar w:top="400" w:right="1770" w:bottom="1110" w:left="1786" w:header="0" w:footer="883" w:gutter="0"/>
          <w:cols w:space="720" w:num="1"/>
        </w:sectPr>
      </w:pPr>
    </w:p>
    <w:p w14:paraId="5344D819">
      <w:pPr>
        <w:pStyle w:val="2"/>
        <w:spacing w:line="287" w:lineRule="auto"/>
      </w:pPr>
    </w:p>
    <w:p w14:paraId="3C238E8B">
      <w:pPr>
        <w:pStyle w:val="2"/>
        <w:spacing w:line="288" w:lineRule="auto"/>
      </w:pPr>
    </w:p>
    <w:p w14:paraId="59371776">
      <w:pPr>
        <w:pStyle w:val="2"/>
        <w:spacing w:line="288" w:lineRule="auto"/>
      </w:pPr>
    </w:p>
    <w:p w14:paraId="155EE43C">
      <w:pPr>
        <w:pStyle w:val="2"/>
        <w:spacing w:line="288" w:lineRule="auto"/>
      </w:pPr>
    </w:p>
    <w:p w14:paraId="34BADB09">
      <w:pPr>
        <w:spacing w:before="140" w:line="221" w:lineRule="auto"/>
        <w:ind w:left="2120"/>
        <w:rPr>
          <w:rFonts w:ascii="宋体" w:hAnsi="宋体" w:eastAsia="宋体" w:cs="宋体"/>
          <w:sz w:val="43"/>
          <w:szCs w:val="43"/>
        </w:rPr>
      </w:pPr>
      <w:bookmarkStart w:id="591" w:name="bookmark546"/>
      <w:bookmarkEnd w:id="591"/>
      <w:bookmarkStart w:id="592" w:name="bookmark547"/>
      <w:bookmarkEnd w:id="592"/>
      <w:r>
        <w:rPr>
          <w:rFonts w:ascii="宋体" w:hAnsi="宋体" w:eastAsia="宋体" w:cs="宋体"/>
          <w:b/>
          <w:bCs/>
          <w:spacing w:val="9"/>
          <w:sz w:val="43"/>
          <w:szCs w:val="43"/>
        </w:rPr>
        <w:t>第七章</w:t>
      </w:r>
      <w:r>
        <w:rPr>
          <w:rFonts w:ascii="宋体" w:hAnsi="宋体" w:eastAsia="宋体" w:cs="宋体"/>
          <w:spacing w:val="9"/>
          <w:sz w:val="43"/>
          <w:szCs w:val="43"/>
        </w:rPr>
        <w:t xml:space="preserve"> </w:t>
      </w:r>
      <w:r>
        <w:rPr>
          <w:rFonts w:ascii="宋体" w:hAnsi="宋体" w:eastAsia="宋体" w:cs="宋体"/>
          <w:b/>
          <w:bCs/>
          <w:spacing w:val="9"/>
          <w:sz w:val="43"/>
          <w:szCs w:val="43"/>
        </w:rPr>
        <w:t>技术标准和要求</w:t>
      </w:r>
    </w:p>
    <w:p w14:paraId="4CA56D6D">
      <w:pPr>
        <w:pStyle w:val="2"/>
        <w:spacing w:line="296" w:lineRule="auto"/>
      </w:pPr>
    </w:p>
    <w:p w14:paraId="122E45C7">
      <w:pPr>
        <w:spacing w:before="101" w:line="221" w:lineRule="auto"/>
        <w:ind w:left="28"/>
        <w:outlineLvl w:val="1"/>
        <w:rPr>
          <w:rFonts w:ascii="黑体" w:hAnsi="黑体" w:eastAsia="黑体" w:cs="黑体"/>
          <w:sz w:val="31"/>
          <w:szCs w:val="31"/>
        </w:rPr>
      </w:pPr>
      <w:bookmarkStart w:id="593" w:name="bookmark723"/>
      <w:bookmarkEnd w:id="593"/>
      <w:r>
        <w:rPr>
          <w:rFonts w:ascii="黑体" w:hAnsi="黑体" w:eastAsia="黑体" w:cs="黑体"/>
          <w:b/>
          <w:bCs/>
          <w:spacing w:val="8"/>
          <w:sz w:val="31"/>
          <w:szCs w:val="31"/>
        </w:rPr>
        <w:t>第一节</w:t>
      </w:r>
      <w:r>
        <w:rPr>
          <w:rFonts w:ascii="黑体" w:hAnsi="黑体" w:eastAsia="黑体" w:cs="黑体"/>
          <w:spacing w:val="31"/>
          <w:sz w:val="31"/>
          <w:szCs w:val="31"/>
        </w:rPr>
        <w:t xml:space="preserve"> </w:t>
      </w:r>
      <w:r>
        <w:rPr>
          <w:rFonts w:ascii="黑体" w:hAnsi="黑体" w:eastAsia="黑体" w:cs="黑体"/>
          <w:b/>
          <w:bCs/>
          <w:spacing w:val="8"/>
          <w:sz w:val="31"/>
          <w:szCs w:val="31"/>
        </w:rPr>
        <w:t>一般要求</w:t>
      </w:r>
    </w:p>
    <w:p w14:paraId="1622525B">
      <w:pPr>
        <w:pStyle w:val="2"/>
        <w:spacing w:line="431" w:lineRule="auto"/>
      </w:pPr>
    </w:p>
    <w:p w14:paraId="54057650">
      <w:pPr>
        <w:spacing w:before="91" w:line="236" w:lineRule="auto"/>
        <w:ind w:left="49"/>
        <w:outlineLvl w:val="2"/>
        <w:rPr>
          <w:rFonts w:ascii="黑体" w:hAnsi="黑体" w:eastAsia="黑体" w:cs="黑体"/>
          <w:sz w:val="28"/>
          <w:szCs w:val="28"/>
        </w:rPr>
      </w:pPr>
      <w:bookmarkStart w:id="594" w:name="bookmark724"/>
      <w:bookmarkEnd w:id="594"/>
      <w:r>
        <w:rPr>
          <w:rFonts w:ascii="Times New Roman" w:hAnsi="Times New Roman" w:eastAsia="Times New Roman" w:cs="Times New Roman"/>
          <w:spacing w:val="3"/>
          <w:sz w:val="28"/>
          <w:szCs w:val="28"/>
        </w:rPr>
        <w:t>1.</w:t>
      </w:r>
      <w:r>
        <w:rPr>
          <w:rFonts w:ascii="黑体" w:hAnsi="黑体" w:eastAsia="黑体" w:cs="黑体"/>
          <w:spacing w:val="3"/>
          <w:sz w:val="28"/>
          <w:szCs w:val="28"/>
        </w:rPr>
        <w:t>工程说明</w:t>
      </w:r>
    </w:p>
    <w:p w14:paraId="6EEDBC5D">
      <w:pPr>
        <w:pStyle w:val="2"/>
        <w:spacing w:line="432" w:lineRule="auto"/>
      </w:pPr>
    </w:p>
    <w:p w14:paraId="4E864D4B">
      <w:pPr>
        <w:spacing w:before="68" w:line="233" w:lineRule="auto"/>
        <w:ind w:left="461"/>
        <w:rPr>
          <w:rFonts w:ascii="宋体" w:hAnsi="宋体" w:eastAsia="宋体" w:cs="宋体"/>
          <w:sz w:val="21"/>
          <w:szCs w:val="21"/>
        </w:rPr>
      </w:pPr>
      <w:r>
        <w:rPr>
          <w:rFonts w:ascii="Times New Roman" w:hAnsi="Times New Roman" w:eastAsia="Times New Roman" w:cs="Times New Roman"/>
          <w:spacing w:val="-4"/>
          <w:sz w:val="21"/>
          <w:szCs w:val="21"/>
        </w:rPr>
        <w:t>1.1</w:t>
      </w:r>
      <w:r>
        <w:rPr>
          <w:rFonts w:ascii="Times New Roman" w:hAnsi="Times New Roman" w:eastAsia="Times New Roman" w:cs="Times New Roman"/>
          <w:spacing w:val="7"/>
          <w:sz w:val="21"/>
          <w:szCs w:val="21"/>
        </w:rPr>
        <w:t xml:space="preserve">    </w:t>
      </w:r>
      <w:r>
        <w:rPr>
          <w:rFonts w:ascii="宋体" w:hAnsi="宋体" w:eastAsia="宋体" w:cs="宋体"/>
          <w:spacing w:val="-4"/>
          <w:sz w:val="21"/>
          <w:szCs w:val="21"/>
        </w:rPr>
        <w:t>工程概况</w:t>
      </w:r>
    </w:p>
    <w:p w14:paraId="325BC048">
      <w:pPr>
        <w:spacing w:before="139" w:line="233" w:lineRule="auto"/>
        <w:ind w:left="442"/>
        <w:rPr>
          <w:rFonts w:ascii="宋体" w:hAnsi="宋体" w:eastAsia="宋体" w:cs="宋体"/>
          <w:sz w:val="21"/>
          <w:szCs w:val="21"/>
        </w:rPr>
      </w:pPr>
      <w:r>
        <w:rPr>
          <w:rFonts w:ascii="Times New Roman" w:hAnsi="Times New Roman" w:eastAsia="Times New Roman" w:cs="Times New Roman"/>
          <w:spacing w:val="-4"/>
          <w:sz w:val="21"/>
          <w:szCs w:val="21"/>
        </w:rPr>
        <w:t>l.1.1</w:t>
      </w:r>
      <w:r>
        <w:rPr>
          <w:rFonts w:ascii="Times New Roman" w:hAnsi="Times New Roman" w:eastAsia="Times New Roman" w:cs="Times New Roman"/>
          <w:spacing w:val="7"/>
          <w:sz w:val="21"/>
          <w:szCs w:val="21"/>
        </w:rPr>
        <w:t xml:space="preserve">    </w:t>
      </w:r>
      <w:r>
        <w:rPr>
          <w:rFonts w:ascii="宋体" w:hAnsi="宋体" w:eastAsia="宋体" w:cs="宋体"/>
          <w:spacing w:val="-4"/>
          <w:sz w:val="21"/>
          <w:szCs w:val="21"/>
        </w:rPr>
        <w:t>本工程基本情况如下：</w:t>
      </w:r>
    </w:p>
    <w:p w14:paraId="6C0700C7">
      <w:pPr>
        <w:pStyle w:val="2"/>
        <w:tabs>
          <w:tab w:val="left" w:pos="5167"/>
        </w:tabs>
        <w:spacing w:before="146"/>
        <w:ind w:left="436"/>
      </w:pPr>
      <w:r>
        <w:rPr>
          <w:u w:val="single" w:color="auto"/>
        </w:rPr>
        <w:tab/>
      </w:r>
    </w:p>
    <w:p w14:paraId="22AB6127">
      <w:pPr>
        <w:pStyle w:val="2"/>
        <w:tabs>
          <w:tab w:val="left" w:pos="5167"/>
        </w:tabs>
        <w:spacing w:before="163"/>
        <w:ind w:left="436"/>
      </w:pPr>
      <w:r>
        <w:rPr>
          <w:u w:val="single" w:color="auto"/>
        </w:rPr>
        <w:tab/>
      </w:r>
    </w:p>
    <w:p w14:paraId="4165F420">
      <w:pPr>
        <w:spacing w:before="143" w:line="21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1.1.2    </w:t>
      </w:r>
      <w:r>
        <w:rPr>
          <w:rFonts w:ascii="宋体" w:hAnsi="宋体" w:eastAsia="宋体" w:cs="宋体"/>
          <w:spacing w:val="-1"/>
          <w:sz w:val="21"/>
          <w:szCs w:val="21"/>
        </w:rPr>
        <w:t>本工程施工场地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具</w:t>
      </w:r>
      <w:r>
        <w:rPr>
          <w:rFonts w:ascii="宋体" w:hAnsi="宋体" w:eastAsia="宋体" w:cs="宋体"/>
          <w:spacing w:val="-2"/>
          <w:sz w:val="21"/>
          <w:szCs w:val="21"/>
        </w:rPr>
        <w:t>体地理位置如下：</w:t>
      </w:r>
    </w:p>
    <w:p w14:paraId="36457B6E">
      <w:pPr>
        <w:pStyle w:val="2"/>
        <w:tabs>
          <w:tab w:val="left" w:pos="5167"/>
        </w:tabs>
        <w:spacing w:before="170"/>
        <w:ind w:left="436"/>
      </w:pPr>
      <w:r>
        <w:rPr>
          <w:u w:val="single" w:color="auto"/>
        </w:rPr>
        <w:tab/>
      </w:r>
    </w:p>
    <w:p w14:paraId="3AC72475">
      <w:pPr>
        <w:pStyle w:val="2"/>
        <w:tabs>
          <w:tab w:val="left" w:pos="5167"/>
        </w:tabs>
        <w:spacing w:before="164"/>
        <w:ind w:left="436"/>
      </w:pPr>
      <w:r>
        <w:rPr>
          <w:u w:val="single" w:color="auto"/>
        </w:rPr>
        <w:tab/>
      </w:r>
    </w:p>
    <w:p w14:paraId="470CC9AB">
      <w:pPr>
        <w:spacing w:before="143"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1.2  </w:t>
      </w:r>
      <w:r>
        <w:rPr>
          <w:rFonts w:ascii="宋体" w:hAnsi="宋体" w:eastAsia="宋体" w:cs="宋体"/>
          <w:spacing w:val="-1"/>
          <w:sz w:val="21"/>
          <w:szCs w:val="21"/>
        </w:rPr>
        <w:t>现场条件和周围环境</w:t>
      </w:r>
    </w:p>
    <w:p w14:paraId="64CFBBAB">
      <w:pPr>
        <w:spacing w:before="124" w:line="350" w:lineRule="auto"/>
        <w:ind w:left="23" w:right="21" w:firstLine="437"/>
        <w:rPr>
          <w:rFonts w:ascii="宋体" w:hAnsi="宋体" w:eastAsia="宋体" w:cs="宋体"/>
          <w:sz w:val="21"/>
          <w:szCs w:val="21"/>
        </w:rPr>
      </w:pPr>
      <w:r>
        <w:rPr>
          <w:rFonts w:ascii="Times New Roman" w:hAnsi="Times New Roman" w:eastAsia="Times New Roman" w:cs="Times New Roman"/>
          <w:sz w:val="21"/>
          <w:szCs w:val="21"/>
        </w:rPr>
        <w:t xml:space="preserve">1.2.1    </w:t>
      </w:r>
      <w:r>
        <w:rPr>
          <w:rFonts w:ascii="宋体" w:hAnsi="宋体" w:eastAsia="宋体" w:cs="宋体"/>
          <w:sz w:val="21"/>
          <w:szCs w:val="21"/>
        </w:rPr>
        <w:t>本工程施工场地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已经具备施工条件。施工场地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临时水源接口位置、</w:t>
      </w:r>
      <w:r>
        <w:rPr>
          <w:rFonts w:ascii="宋体" w:hAnsi="宋体" w:eastAsia="宋体" w:cs="宋体"/>
          <w:spacing w:val="-4"/>
          <w:sz w:val="21"/>
          <w:szCs w:val="21"/>
        </w:rPr>
        <w:t>临时电源接口位置、临时排污口位置、建筑红线位置、道路交通和出入口、以及施工场地</w:t>
      </w:r>
      <w:r>
        <w:rPr>
          <w:rFonts w:ascii="Times New Roman" w:hAnsi="Times New Roman" w:eastAsia="Times New Roman" w:cs="Times New Roman"/>
          <w:spacing w:val="-4"/>
          <w:sz w:val="21"/>
          <w:szCs w:val="21"/>
        </w:rPr>
        <w:t>(</w:t>
      </w:r>
      <w:r>
        <w:rPr>
          <w:rFonts w:ascii="宋体" w:hAnsi="宋体" w:eastAsia="宋体" w:cs="宋体"/>
          <w:spacing w:val="-4"/>
          <w:sz w:val="21"/>
          <w:szCs w:val="21"/>
        </w:rPr>
        <w:t>现</w:t>
      </w:r>
      <w:r>
        <w:rPr>
          <w:rFonts w:ascii="宋体" w:hAnsi="宋体" w:eastAsia="宋体" w:cs="宋体"/>
          <w:spacing w:val="-1"/>
          <w:sz w:val="21"/>
          <w:szCs w:val="21"/>
        </w:rPr>
        <w:t>场</w:t>
      </w:r>
      <w:r>
        <w:rPr>
          <w:rFonts w:ascii="Times New Roman" w:hAnsi="Times New Roman" w:eastAsia="Times New Roman" w:cs="Times New Roman"/>
          <w:spacing w:val="-1"/>
          <w:sz w:val="21"/>
          <w:szCs w:val="21"/>
        </w:rPr>
        <w:t>)</w:t>
      </w:r>
      <w:r>
        <w:rPr>
          <w:rFonts w:ascii="宋体" w:hAnsi="宋体" w:eastAsia="宋体" w:cs="宋体"/>
          <w:spacing w:val="-1"/>
          <w:sz w:val="21"/>
          <w:szCs w:val="21"/>
        </w:rPr>
        <w:t>和周围环境等情况见本章附件</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A</w:t>
      </w:r>
      <w:r>
        <w:rPr>
          <w:rFonts w:ascii="宋体" w:hAnsi="宋体" w:eastAsia="宋体" w:cs="宋体"/>
          <w:spacing w:val="-1"/>
          <w:sz w:val="21"/>
          <w:szCs w:val="21"/>
        </w:rPr>
        <w:t>：施工场地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现状平面图。</w:t>
      </w:r>
    </w:p>
    <w:p w14:paraId="1C579DC1">
      <w:pPr>
        <w:spacing w:before="7" w:line="213" w:lineRule="auto"/>
        <w:ind w:left="461"/>
        <w:rPr>
          <w:rFonts w:ascii="宋体" w:hAnsi="宋体" w:eastAsia="宋体" w:cs="宋体"/>
          <w:sz w:val="21"/>
          <w:szCs w:val="21"/>
        </w:rPr>
      </w:pPr>
      <w:r>
        <w:rPr>
          <w:rFonts w:ascii="Times New Roman" w:hAnsi="Times New Roman" w:eastAsia="Times New Roman" w:cs="Times New Roman"/>
          <w:sz w:val="21"/>
          <w:szCs w:val="21"/>
        </w:rPr>
        <w:t xml:space="preserve">1.2.2    </w:t>
      </w:r>
      <w:r>
        <w:rPr>
          <w:rFonts w:ascii="宋体" w:hAnsi="宋体" w:eastAsia="宋体" w:cs="宋体"/>
          <w:sz w:val="21"/>
          <w:szCs w:val="21"/>
        </w:rPr>
        <w:t>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临时供水管径</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388A231">
      <w:pPr>
        <w:spacing w:before="163" w:line="213" w:lineRule="auto"/>
        <w:ind w:left="443"/>
        <w:rPr>
          <w:rFonts w:ascii="宋体" w:hAnsi="宋体" w:eastAsia="宋体" w:cs="宋体"/>
          <w:sz w:val="21"/>
          <w:szCs w:val="21"/>
        </w:rPr>
      </w:pPr>
      <w:r>
        <w:rPr>
          <w:rFonts w:ascii="宋体" w:hAnsi="宋体" w:eastAsia="宋体" w:cs="宋体"/>
          <w:sz w:val="21"/>
          <w:szCs w:val="21"/>
        </w:rPr>
        <w:t>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临时排污管径</w:t>
      </w:r>
      <w:r>
        <w:rPr>
          <w:rFonts w:ascii="宋体" w:hAnsi="宋体" w:eastAsia="宋体" w:cs="宋体"/>
          <w:sz w:val="21"/>
          <w:szCs w:val="21"/>
          <w:u w:val="single" w:color="auto"/>
        </w:rPr>
        <w:t xml:space="preserve">                                           </w:t>
      </w:r>
      <w:r>
        <w:rPr>
          <w:rFonts w:ascii="宋体" w:hAnsi="宋体" w:eastAsia="宋体" w:cs="宋体"/>
          <w:sz w:val="21"/>
          <w:szCs w:val="21"/>
        </w:rPr>
        <w:t>。</w:t>
      </w:r>
    </w:p>
    <w:p w14:paraId="6B1B6658">
      <w:pPr>
        <w:spacing w:before="163" w:line="213" w:lineRule="auto"/>
        <w:ind w:left="443"/>
        <w:rPr>
          <w:rFonts w:ascii="宋体" w:hAnsi="宋体" w:eastAsia="宋体" w:cs="宋体"/>
          <w:sz w:val="21"/>
          <w:szCs w:val="21"/>
        </w:rPr>
      </w:pPr>
      <w:r>
        <w:rPr>
          <w:rFonts w:ascii="宋体" w:hAnsi="宋体" w:eastAsia="宋体" w:cs="宋体"/>
          <w:sz w:val="21"/>
          <w:szCs w:val="21"/>
        </w:rPr>
        <w:t>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临时雨水管径</w:t>
      </w:r>
      <w:r>
        <w:rPr>
          <w:rFonts w:ascii="宋体" w:hAnsi="宋体" w:eastAsia="宋体" w:cs="宋体"/>
          <w:sz w:val="21"/>
          <w:szCs w:val="21"/>
          <w:u w:val="single" w:color="auto"/>
        </w:rPr>
        <w:t xml:space="preserve">                                           </w:t>
      </w:r>
      <w:r>
        <w:rPr>
          <w:rFonts w:ascii="宋体" w:hAnsi="宋体" w:eastAsia="宋体" w:cs="宋体"/>
          <w:sz w:val="21"/>
          <w:szCs w:val="21"/>
        </w:rPr>
        <w:t>。</w:t>
      </w:r>
    </w:p>
    <w:p w14:paraId="777CA377">
      <w:pPr>
        <w:spacing w:before="148" w:line="213" w:lineRule="auto"/>
        <w:ind w:left="443"/>
        <w:rPr>
          <w:rFonts w:ascii="宋体" w:hAnsi="宋体" w:eastAsia="宋体" w:cs="宋体"/>
          <w:sz w:val="21"/>
          <w:szCs w:val="21"/>
        </w:rPr>
      </w:pPr>
      <w:r>
        <w:rPr>
          <w:rFonts w:ascii="宋体" w:hAnsi="宋体" w:eastAsia="宋体" w:cs="宋体"/>
          <w:sz w:val="21"/>
          <w:szCs w:val="21"/>
        </w:rPr>
        <w:t>施工现场临时供电容量</w:t>
      </w:r>
      <w:r>
        <w:rPr>
          <w:rFonts w:ascii="Times New Roman" w:hAnsi="Times New Roman" w:eastAsia="Times New Roman" w:cs="Times New Roman"/>
          <w:sz w:val="21"/>
          <w:szCs w:val="21"/>
        </w:rPr>
        <w:t>(</w:t>
      </w:r>
      <w:r>
        <w:rPr>
          <w:rFonts w:ascii="宋体" w:hAnsi="宋体" w:eastAsia="宋体" w:cs="宋体"/>
          <w:sz w:val="21"/>
          <w:szCs w:val="21"/>
        </w:rPr>
        <w:t>变压器输出功率</w:t>
      </w:r>
      <w:r>
        <w:rPr>
          <w:rFonts w:ascii="Times New Roman" w:hAnsi="Times New Roman" w:eastAsia="Times New Roman" w:cs="Times New Roman"/>
          <w:sz w:val="21"/>
          <w:szCs w:val="21"/>
        </w:rPr>
        <w:t>)</w:t>
      </w:r>
      <w:r>
        <w:rPr>
          <w:rFonts w:ascii="Times New Roman" w:hAnsi="Times New Roman" w:eastAsia="Times New Roman" w:cs="Times New Roman"/>
          <w:spacing w:val="-42"/>
          <w:sz w:val="21"/>
          <w:szCs w:val="21"/>
        </w:rPr>
        <w:t xml:space="preserve"> </w:t>
      </w:r>
      <w:r>
        <w:rPr>
          <w:rFonts w:ascii="Times New Roman" w:hAnsi="Times New Roman" w:eastAsia="Times New Roman" w:cs="Times New Roman"/>
          <w:sz w:val="21"/>
          <w:szCs w:val="21"/>
          <w:u w:val="single" w:color="auto"/>
        </w:rPr>
        <w:t xml:space="preserve">                                                                  </w:t>
      </w:r>
      <w:r>
        <w:rPr>
          <w:rFonts w:ascii="宋体" w:hAnsi="宋体" w:eastAsia="宋体" w:cs="宋体"/>
          <w:sz w:val="21"/>
          <w:szCs w:val="21"/>
        </w:rPr>
        <w:t>。</w:t>
      </w:r>
    </w:p>
    <w:p w14:paraId="59A27FF8">
      <w:pPr>
        <w:spacing w:before="164"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1.2.3    </w:t>
      </w:r>
      <w:r>
        <w:rPr>
          <w:rFonts w:ascii="宋体" w:hAnsi="宋体" w:eastAsia="宋体" w:cs="宋体"/>
          <w:spacing w:val="-2"/>
          <w:sz w:val="21"/>
          <w:szCs w:val="21"/>
        </w:rPr>
        <w:t>现场条件和周围环境的其他资料和信息数据如下：</w:t>
      </w:r>
    </w:p>
    <w:p w14:paraId="2E0E8C94">
      <w:pPr>
        <w:pStyle w:val="2"/>
        <w:tabs>
          <w:tab w:val="left" w:pos="4957"/>
        </w:tabs>
        <w:spacing w:before="236"/>
        <w:ind w:left="436"/>
      </w:pPr>
      <w:r>
        <w:rPr>
          <w:u w:val="single" w:color="auto"/>
        </w:rPr>
        <w:tab/>
      </w:r>
    </w:p>
    <w:p w14:paraId="29C15828">
      <w:pPr>
        <w:pStyle w:val="2"/>
        <w:tabs>
          <w:tab w:val="left" w:pos="4957"/>
        </w:tabs>
        <w:spacing w:before="239"/>
        <w:ind w:left="436"/>
      </w:pPr>
      <w:r>
        <w:rPr>
          <w:u w:val="single" w:color="auto"/>
        </w:rPr>
        <w:tab/>
      </w:r>
    </w:p>
    <w:p w14:paraId="024AB5AA">
      <w:pPr>
        <w:spacing w:before="143" w:line="335" w:lineRule="auto"/>
        <w:ind w:left="444" w:right="119" w:firstLine="16"/>
        <w:rPr>
          <w:rFonts w:ascii="宋体" w:hAnsi="宋体" w:eastAsia="宋体" w:cs="宋体"/>
          <w:sz w:val="21"/>
          <w:szCs w:val="21"/>
        </w:rPr>
      </w:pPr>
      <w:r>
        <w:rPr>
          <w:rFonts w:ascii="Times New Roman" w:hAnsi="Times New Roman" w:eastAsia="Times New Roman" w:cs="Times New Roman"/>
          <w:sz w:val="21"/>
          <w:szCs w:val="21"/>
        </w:rPr>
        <w:t xml:space="preserve">1.2.4    </w:t>
      </w:r>
      <w:r>
        <w:rPr>
          <w:rFonts w:ascii="宋体" w:hAnsi="宋体" w:eastAsia="宋体" w:cs="宋体"/>
          <w:sz w:val="21"/>
          <w:szCs w:val="21"/>
        </w:rPr>
        <w:t>承包人被认为已在本工程投标阶段踏勘现场时充分了解本工程现场条件和周围</w:t>
      </w:r>
      <w:r>
        <w:rPr>
          <w:rFonts w:ascii="宋体" w:hAnsi="宋体" w:eastAsia="宋体" w:cs="宋体"/>
          <w:spacing w:val="-1"/>
          <w:sz w:val="21"/>
          <w:szCs w:val="21"/>
        </w:rPr>
        <w:t>环境，并已在其投标时就此给予了充分的考</w:t>
      </w:r>
      <w:r>
        <w:rPr>
          <w:rFonts w:ascii="宋体" w:hAnsi="宋体" w:eastAsia="宋体" w:cs="宋体"/>
          <w:spacing w:val="-2"/>
          <w:sz w:val="21"/>
          <w:szCs w:val="21"/>
        </w:rPr>
        <w:t>虑。</w:t>
      </w:r>
    </w:p>
    <w:p w14:paraId="7DB5A4C7">
      <w:pPr>
        <w:spacing w:before="34"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1.3      </w:t>
      </w:r>
      <w:r>
        <w:rPr>
          <w:rFonts w:ascii="宋体" w:hAnsi="宋体" w:eastAsia="宋体" w:cs="宋体"/>
          <w:spacing w:val="-1"/>
          <w:sz w:val="21"/>
          <w:szCs w:val="21"/>
        </w:rPr>
        <w:t>地质及水文资料</w:t>
      </w:r>
    </w:p>
    <w:p w14:paraId="58A60702">
      <w:pPr>
        <w:spacing w:before="141"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1.3.1    </w:t>
      </w:r>
      <w:r>
        <w:rPr>
          <w:rFonts w:ascii="宋体" w:hAnsi="宋体" w:eastAsia="宋体" w:cs="宋体"/>
          <w:spacing w:val="-2"/>
          <w:sz w:val="21"/>
          <w:szCs w:val="21"/>
        </w:rPr>
        <w:t>现场地质及水文资料和信息数据如下：</w:t>
      </w:r>
    </w:p>
    <w:p w14:paraId="50981879">
      <w:pPr>
        <w:pStyle w:val="2"/>
        <w:spacing w:line="407" w:lineRule="auto"/>
      </w:pPr>
    </w:p>
    <w:p w14:paraId="2A4DB635">
      <w:pPr>
        <w:spacing w:line="495" w:lineRule="exact"/>
        <w:ind w:firstLine="436"/>
      </w:pPr>
      <w:r>
        <w:rPr>
          <w:position w:val="-9"/>
        </w:rPr>
        <w:pict>
          <v:shape id="_x0000_s1214" o:spid="_x0000_s1214" style="height:24.8pt;width:226.05pt;" fillcolor="#000000" filled="t" stroked="f" coordsize="4521,495" path="m0,15l4520,15,4520,0,0,0,0,15xem0,495l4520,495,4520,480,0,480,0,495xe">
            <v:path/>
            <v:fill on="t" focussize="0,0"/>
            <v:stroke on="f"/>
            <v:imagedata o:title=""/>
            <o:lock v:ext="edit"/>
            <w10:wrap type="none"/>
            <w10:anchorlock/>
          </v:shape>
        </w:pict>
      </w:r>
    </w:p>
    <w:p w14:paraId="79078E4B">
      <w:pPr>
        <w:spacing w:before="181" w:line="233" w:lineRule="auto"/>
        <w:ind w:left="461"/>
        <w:rPr>
          <w:rFonts w:ascii="宋体" w:hAnsi="宋体" w:eastAsia="宋体" w:cs="宋体"/>
          <w:sz w:val="21"/>
          <w:szCs w:val="21"/>
        </w:rPr>
      </w:pPr>
      <w:r>
        <w:rPr>
          <w:rFonts w:ascii="Times New Roman" w:hAnsi="Times New Roman" w:eastAsia="Times New Roman" w:cs="Times New Roman"/>
          <w:spacing w:val="-3"/>
          <w:sz w:val="21"/>
          <w:szCs w:val="21"/>
        </w:rPr>
        <w:t>1.4</w:t>
      </w:r>
      <w:r>
        <w:rPr>
          <w:rFonts w:ascii="Times New Roman" w:hAnsi="Times New Roman" w:eastAsia="Times New Roman" w:cs="Times New Roman"/>
          <w:spacing w:val="4"/>
          <w:sz w:val="21"/>
          <w:szCs w:val="21"/>
        </w:rPr>
        <w:t xml:space="preserve">        </w:t>
      </w:r>
      <w:r>
        <w:rPr>
          <w:rFonts w:ascii="宋体" w:hAnsi="宋体" w:eastAsia="宋体" w:cs="宋体"/>
          <w:spacing w:val="-3"/>
          <w:sz w:val="21"/>
          <w:szCs w:val="21"/>
        </w:rPr>
        <w:t>资料和信息的使用</w:t>
      </w:r>
    </w:p>
    <w:p w14:paraId="66AEC28F">
      <w:pPr>
        <w:spacing w:before="140" w:line="348" w:lineRule="auto"/>
        <w:ind w:left="24"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1.4.1    </w:t>
      </w:r>
      <w:r>
        <w:rPr>
          <w:rFonts w:ascii="宋体" w:hAnsi="宋体" w:eastAsia="宋体" w:cs="宋体"/>
          <w:spacing w:val="-2"/>
          <w:sz w:val="21"/>
          <w:szCs w:val="21"/>
        </w:rPr>
        <w:t>合同文件中载明的涉及本工程现场条件、周围环境、地质及水文等情况的资料和信息数据，是发包人现有的和客观的，发包人保证有关资料和信息数据的真实、准确。但承</w:t>
      </w:r>
    </w:p>
    <w:p w14:paraId="70DCA32B">
      <w:pPr>
        <w:spacing w:line="348" w:lineRule="auto"/>
        <w:rPr>
          <w:rFonts w:ascii="宋体" w:hAnsi="宋体" w:eastAsia="宋体" w:cs="宋体"/>
          <w:sz w:val="21"/>
          <w:szCs w:val="21"/>
        </w:rPr>
        <w:sectPr>
          <w:footerReference r:id="rId266" w:type="default"/>
          <w:pgSz w:w="11910" w:h="16845"/>
          <w:pgMar w:top="400" w:right="1765" w:bottom="1110" w:left="1786" w:header="0" w:footer="883" w:gutter="0"/>
          <w:cols w:space="720" w:num="1"/>
        </w:sectPr>
      </w:pPr>
    </w:p>
    <w:p w14:paraId="37A8A482">
      <w:pPr>
        <w:pStyle w:val="2"/>
        <w:spacing w:line="275" w:lineRule="auto"/>
      </w:pPr>
    </w:p>
    <w:p w14:paraId="5D64E37C">
      <w:pPr>
        <w:pStyle w:val="2"/>
        <w:spacing w:line="275" w:lineRule="auto"/>
      </w:pPr>
    </w:p>
    <w:p w14:paraId="5AD4110E">
      <w:pPr>
        <w:pStyle w:val="2"/>
        <w:spacing w:line="275" w:lineRule="auto"/>
      </w:pPr>
    </w:p>
    <w:p w14:paraId="038AEF16">
      <w:pPr>
        <w:pStyle w:val="2"/>
        <w:spacing w:line="275" w:lineRule="auto"/>
      </w:pPr>
    </w:p>
    <w:p w14:paraId="5E4008FC">
      <w:pPr>
        <w:spacing w:before="68" w:line="220" w:lineRule="auto"/>
        <w:ind w:left="120"/>
        <w:rPr>
          <w:rFonts w:ascii="宋体" w:hAnsi="宋体" w:eastAsia="宋体" w:cs="宋体"/>
          <w:sz w:val="21"/>
          <w:szCs w:val="21"/>
        </w:rPr>
      </w:pPr>
      <w:r>
        <w:rPr>
          <w:rFonts w:ascii="宋体" w:hAnsi="宋体" w:eastAsia="宋体" w:cs="宋体"/>
          <w:spacing w:val="-1"/>
          <w:sz w:val="21"/>
          <w:szCs w:val="21"/>
        </w:rPr>
        <w:t>包人据此作出的推论、判断和决策，由承包人自行负</w:t>
      </w:r>
      <w:r>
        <w:rPr>
          <w:rFonts w:ascii="宋体" w:hAnsi="宋体" w:eastAsia="宋体" w:cs="宋体"/>
          <w:spacing w:val="-2"/>
          <w:sz w:val="21"/>
          <w:szCs w:val="21"/>
        </w:rPr>
        <w:t>责。</w:t>
      </w:r>
    </w:p>
    <w:p w14:paraId="1303A024">
      <w:pPr>
        <w:pStyle w:val="2"/>
        <w:spacing w:line="358" w:lineRule="auto"/>
      </w:pPr>
    </w:p>
    <w:p w14:paraId="20E7D741">
      <w:pPr>
        <w:spacing w:before="91" w:line="237" w:lineRule="auto"/>
        <w:ind w:left="118"/>
        <w:outlineLvl w:val="2"/>
        <w:rPr>
          <w:rFonts w:ascii="黑体" w:hAnsi="黑体" w:eastAsia="黑体" w:cs="黑体"/>
          <w:sz w:val="28"/>
          <w:szCs w:val="28"/>
        </w:rPr>
      </w:pPr>
      <w:bookmarkStart w:id="595" w:name="bookmark548"/>
      <w:bookmarkEnd w:id="595"/>
      <w:r>
        <w:rPr>
          <w:rFonts w:ascii="Times New Roman" w:hAnsi="Times New Roman" w:eastAsia="Times New Roman" w:cs="Times New Roman"/>
          <w:spacing w:val="7"/>
          <w:sz w:val="28"/>
          <w:szCs w:val="28"/>
        </w:rPr>
        <w:t>2.</w:t>
      </w:r>
      <w:r>
        <w:rPr>
          <w:rFonts w:ascii="黑体" w:hAnsi="黑体" w:eastAsia="黑体" w:cs="黑体"/>
          <w:spacing w:val="7"/>
          <w:sz w:val="28"/>
          <w:szCs w:val="28"/>
        </w:rPr>
        <w:t>承包范围</w:t>
      </w:r>
    </w:p>
    <w:p w14:paraId="47D1A3C1">
      <w:pPr>
        <w:pStyle w:val="2"/>
        <w:spacing w:line="415" w:lineRule="auto"/>
      </w:pPr>
    </w:p>
    <w:p w14:paraId="49D8D409">
      <w:pPr>
        <w:spacing w:before="68" w:line="233" w:lineRule="auto"/>
        <w:ind w:left="536"/>
        <w:rPr>
          <w:rFonts w:ascii="宋体" w:hAnsi="宋体" w:eastAsia="宋体" w:cs="宋体"/>
          <w:sz w:val="21"/>
          <w:szCs w:val="21"/>
        </w:rPr>
      </w:pPr>
      <w:r>
        <w:rPr>
          <w:rFonts w:ascii="Times New Roman" w:hAnsi="Times New Roman" w:eastAsia="Times New Roman" w:cs="Times New Roman"/>
          <w:spacing w:val="-1"/>
          <w:sz w:val="21"/>
          <w:szCs w:val="21"/>
        </w:rPr>
        <w:t>2.1</w:t>
      </w:r>
      <w:r>
        <w:rPr>
          <w:rFonts w:ascii="Times New Roman" w:hAnsi="Times New Roman" w:eastAsia="Times New Roman" w:cs="Times New Roman"/>
          <w:spacing w:val="3"/>
          <w:sz w:val="21"/>
          <w:szCs w:val="21"/>
        </w:rPr>
        <w:t xml:space="preserve">        </w:t>
      </w:r>
      <w:r>
        <w:rPr>
          <w:rFonts w:ascii="宋体" w:hAnsi="宋体" w:eastAsia="宋体" w:cs="宋体"/>
          <w:spacing w:val="-1"/>
          <w:sz w:val="21"/>
          <w:szCs w:val="21"/>
        </w:rPr>
        <w:t>承包范围</w:t>
      </w:r>
    </w:p>
    <w:p w14:paraId="66322EDF">
      <w:pPr>
        <w:spacing w:before="140" w:line="233" w:lineRule="auto"/>
        <w:ind w:left="536"/>
        <w:rPr>
          <w:rFonts w:ascii="宋体" w:hAnsi="宋体" w:eastAsia="宋体" w:cs="宋体"/>
          <w:sz w:val="21"/>
          <w:szCs w:val="21"/>
        </w:rPr>
      </w:pPr>
      <w:r>
        <w:rPr>
          <w:rFonts w:ascii="Times New Roman" w:hAnsi="Times New Roman" w:eastAsia="Times New Roman" w:cs="Times New Roman"/>
          <w:sz w:val="21"/>
          <w:szCs w:val="21"/>
        </w:rPr>
        <w:t>2.1.1</w:t>
      </w:r>
      <w:r>
        <w:rPr>
          <w:rFonts w:ascii="Times New Roman" w:hAnsi="Times New Roman" w:eastAsia="Times New Roman" w:cs="Times New Roman"/>
          <w:spacing w:val="10"/>
          <w:sz w:val="21"/>
          <w:szCs w:val="21"/>
        </w:rPr>
        <w:t xml:space="preserve">     </w:t>
      </w:r>
      <w:r>
        <w:rPr>
          <w:rFonts w:ascii="宋体" w:hAnsi="宋体" w:eastAsia="宋体" w:cs="宋体"/>
          <w:sz w:val="21"/>
          <w:szCs w:val="21"/>
        </w:rPr>
        <w:t>承包人自行施工范围</w:t>
      </w:r>
    </w:p>
    <w:p w14:paraId="17FD5F8E">
      <w:pPr>
        <w:spacing w:before="124" w:line="219" w:lineRule="auto"/>
        <w:ind w:left="541"/>
        <w:rPr>
          <w:rFonts w:ascii="宋体" w:hAnsi="宋体" w:eastAsia="宋体" w:cs="宋体"/>
          <w:sz w:val="21"/>
          <w:szCs w:val="21"/>
        </w:rPr>
      </w:pPr>
      <w:r>
        <w:rPr>
          <w:rFonts w:ascii="宋体" w:hAnsi="宋体" w:eastAsia="宋体" w:cs="宋体"/>
          <w:spacing w:val="-3"/>
          <w:sz w:val="21"/>
          <w:szCs w:val="21"/>
        </w:rPr>
        <w:t>本工程承包人自行施工的工程范围如下：</w:t>
      </w:r>
    </w:p>
    <w:p w14:paraId="60BF1092">
      <w:pPr>
        <w:pStyle w:val="2"/>
        <w:spacing w:line="454" w:lineRule="auto"/>
      </w:pPr>
    </w:p>
    <w:p w14:paraId="24FBB8A9">
      <w:pPr>
        <w:spacing w:line="421" w:lineRule="exact"/>
        <w:ind w:firstLine="532"/>
      </w:pPr>
      <w:r>
        <w:rPr>
          <w:position w:val="-8"/>
        </w:rPr>
        <w:pict>
          <v:shape id="_x0000_s1215" o:spid="_x0000_s1215" style="height:21.05pt;width:226.05pt;" fillcolor="#000000" filled="t" stroked="f" coordsize="4521,420" path="m0,15l4520,15,4520,0,0,0,0,15xem0,420l4520,420,4520,405,0,405,0,420xe">
            <v:path/>
            <v:fill on="t" focussize="0,0"/>
            <v:stroke on="f"/>
            <v:imagedata o:title=""/>
            <o:lock v:ext="edit"/>
            <w10:wrap type="none"/>
            <w10:anchorlock/>
          </v:shape>
        </w:pict>
      </w:r>
    </w:p>
    <w:p w14:paraId="292AE451">
      <w:pPr>
        <w:spacing w:before="180" w:line="232" w:lineRule="auto"/>
        <w:ind w:left="536"/>
        <w:rPr>
          <w:rFonts w:ascii="宋体" w:hAnsi="宋体" w:eastAsia="宋体" w:cs="宋体"/>
          <w:sz w:val="21"/>
          <w:szCs w:val="21"/>
        </w:rPr>
      </w:pPr>
      <w:r>
        <w:rPr>
          <w:rFonts w:ascii="Times New Roman" w:hAnsi="Times New Roman" w:eastAsia="Times New Roman" w:cs="Times New Roman"/>
          <w:sz w:val="21"/>
          <w:szCs w:val="21"/>
        </w:rPr>
        <w:t xml:space="preserve">2.1.2        </w:t>
      </w:r>
      <w:r>
        <w:rPr>
          <w:rFonts w:ascii="宋体" w:hAnsi="宋体" w:eastAsia="宋体" w:cs="宋体"/>
          <w:sz w:val="21"/>
          <w:szCs w:val="21"/>
        </w:rPr>
        <w:t>承包范围内的暂估价项目</w:t>
      </w:r>
    </w:p>
    <w:p w14:paraId="48B25DE9">
      <w:pPr>
        <w:spacing w:before="141" w:line="335" w:lineRule="auto"/>
        <w:ind w:right="93" w:firstLine="536"/>
        <w:rPr>
          <w:rFonts w:ascii="宋体" w:hAnsi="宋体" w:eastAsia="宋体" w:cs="宋体"/>
          <w:sz w:val="21"/>
          <w:szCs w:val="21"/>
        </w:rPr>
      </w:pPr>
      <w:r>
        <w:rPr>
          <w:rFonts w:ascii="Times New Roman" w:hAnsi="Times New Roman" w:eastAsia="Times New Roman" w:cs="Times New Roman"/>
          <w:spacing w:val="1"/>
          <w:sz w:val="21"/>
          <w:szCs w:val="21"/>
        </w:rPr>
        <w:t xml:space="preserve">2.1.2.1    </w:t>
      </w:r>
      <w:r>
        <w:rPr>
          <w:rFonts w:ascii="宋体" w:hAnsi="宋体" w:eastAsia="宋体" w:cs="宋体"/>
          <w:spacing w:val="1"/>
          <w:sz w:val="21"/>
          <w:szCs w:val="21"/>
        </w:rPr>
        <w:t>承包范围内以暂估价形式实施的专业工程见第五章“</w:t>
      </w:r>
      <w:r>
        <w:rPr>
          <w:rFonts w:ascii="宋体" w:hAnsi="宋体" w:eastAsia="宋体" w:cs="宋体"/>
          <w:sz w:val="21"/>
          <w:szCs w:val="21"/>
        </w:rPr>
        <w:t xml:space="preserve">工程量清单”表 </w:t>
      </w:r>
      <w:r>
        <w:rPr>
          <w:rFonts w:ascii="Times New Roman" w:hAnsi="Times New Roman" w:eastAsia="Times New Roman" w:cs="Times New Roman"/>
          <w:sz w:val="21"/>
          <w:szCs w:val="21"/>
        </w:rPr>
        <w:t>4.11</w:t>
      </w:r>
      <w:r>
        <w:rPr>
          <w:rFonts w:ascii="宋体" w:hAnsi="宋体" w:eastAsia="宋体" w:cs="宋体"/>
          <w:sz w:val="21"/>
          <w:szCs w:val="21"/>
        </w:rPr>
        <w:t>—</w:t>
      </w:r>
      <w:r>
        <w:rPr>
          <w:rFonts w:ascii="Times New Roman" w:hAnsi="Times New Roman" w:eastAsia="Times New Roman" w:cs="Times New Roman"/>
          <w:sz w:val="21"/>
          <w:szCs w:val="21"/>
        </w:rPr>
        <w:t xml:space="preserve">3 </w:t>
      </w:r>
      <w:r>
        <w:rPr>
          <w:rFonts w:ascii="宋体" w:hAnsi="宋体" w:eastAsia="宋体" w:cs="宋体"/>
          <w:spacing w:val="1"/>
          <w:sz w:val="21"/>
          <w:szCs w:val="21"/>
        </w:rPr>
        <w:t>“专业工程暂估价表”。</w:t>
      </w:r>
    </w:p>
    <w:p w14:paraId="4FCDFAF3">
      <w:pPr>
        <w:spacing w:before="33" w:line="350" w:lineRule="auto"/>
        <w:ind w:left="136" w:right="100" w:firstLine="400"/>
        <w:rPr>
          <w:rFonts w:ascii="宋体" w:hAnsi="宋体" w:eastAsia="宋体" w:cs="宋体"/>
          <w:sz w:val="21"/>
          <w:szCs w:val="21"/>
        </w:rPr>
      </w:pPr>
      <w:r>
        <w:rPr>
          <w:rFonts w:ascii="Times New Roman" w:hAnsi="Times New Roman" w:eastAsia="Times New Roman" w:cs="Times New Roman"/>
          <w:spacing w:val="-1"/>
          <w:sz w:val="21"/>
          <w:szCs w:val="21"/>
        </w:rPr>
        <w:t xml:space="preserve">2.1.2.2    </w:t>
      </w:r>
      <w:r>
        <w:rPr>
          <w:rFonts w:ascii="宋体" w:hAnsi="宋体" w:eastAsia="宋体" w:cs="宋体"/>
          <w:spacing w:val="-1"/>
          <w:sz w:val="21"/>
          <w:szCs w:val="21"/>
        </w:rPr>
        <w:t>承包范围内以暂估价形式实施的材料和工程设备见第五章“工程量清单”表</w:t>
      </w:r>
      <w:r>
        <w:rPr>
          <w:rFonts w:ascii="宋体" w:hAnsi="宋体" w:eastAsia="宋体" w:cs="宋体"/>
          <w:spacing w:val="-32"/>
          <w:sz w:val="21"/>
          <w:szCs w:val="21"/>
        </w:rPr>
        <w:t xml:space="preserve"> </w:t>
      </w:r>
      <w:r>
        <w:rPr>
          <w:rFonts w:ascii="Times New Roman" w:hAnsi="Times New Roman" w:eastAsia="Times New Roman" w:cs="Times New Roman"/>
          <w:spacing w:val="-1"/>
          <w:sz w:val="21"/>
          <w:szCs w:val="21"/>
        </w:rPr>
        <w:t>4.</w:t>
      </w:r>
      <w:r>
        <w:rPr>
          <w:rFonts w:ascii="Times New Roman" w:hAnsi="Times New Roman" w:eastAsia="Times New Roman" w:cs="Times New Roman"/>
          <w:sz w:val="21"/>
          <w:szCs w:val="21"/>
        </w:rPr>
        <w:t xml:space="preserve"> </w:t>
      </w:r>
      <w:r>
        <w:rPr>
          <w:rFonts w:ascii="Times New Roman" w:hAnsi="Times New Roman" w:eastAsia="Times New Roman" w:cs="Times New Roman"/>
          <w:spacing w:val="-2"/>
          <w:sz w:val="21"/>
          <w:szCs w:val="21"/>
        </w:rPr>
        <w:t>11</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“材料和工程设备暂估单价表”。</w:t>
      </w:r>
    </w:p>
    <w:p w14:paraId="7BCA0237">
      <w:pPr>
        <w:spacing w:before="1" w:line="231" w:lineRule="auto"/>
        <w:ind w:left="536"/>
        <w:rPr>
          <w:rFonts w:ascii="宋体" w:hAnsi="宋体" w:eastAsia="宋体" w:cs="宋体"/>
          <w:sz w:val="21"/>
          <w:szCs w:val="21"/>
        </w:rPr>
      </w:pPr>
      <w:r>
        <w:rPr>
          <w:rFonts w:ascii="Times New Roman" w:hAnsi="Times New Roman" w:eastAsia="Times New Roman" w:cs="Times New Roman"/>
          <w:sz w:val="21"/>
          <w:szCs w:val="21"/>
        </w:rPr>
        <w:t xml:space="preserve">2.1.2.3    </w:t>
      </w:r>
      <w:r>
        <w:rPr>
          <w:rFonts w:ascii="宋体" w:hAnsi="宋体" w:eastAsia="宋体" w:cs="宋体"/>
          <w:sz w:val="21"/>
          <w:szCs w:val="21"/>
        </w:rPr>
        <w:t>上述暂估价项目与本节第</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2.1.1</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项承包人自</w:t>
      </w:r>
      <w:r>
        <w:rPr>
          <w:rFonts w:ascii="宋体" w:hAnsi="宋体" w:eastAsia="宋体" w:cs="宋体"/>
          <w:spacing w:val="-1"/>
          <w:sz w:val="21"/>
          <w:szCs w:val="21"/>
        </w:rPr>
        <w:t>行施工范围的工作界面划分如下：</w:t>
      </w:r>
    </w:p>
    <w:p w14:paraId="64652CE8">
      <w:pPr>
        <w:pStyle w:val="2"/>
        <w:spacing w:line="275" w:lineRule="auto"/>
      </w:pPr>
    </w:p>
    <w:p w14:paraId="119CAA68">
      <w:pPr>
        <w:pStyle w:val="2"/>
        <w:spacing w:line="275" w:lineRule="auto"/>
      </w:pPr>
      <w:r>
        <w:pict>
          <v:shape id="_x0000_s1216" o:spid="_x0000_s1216" style="position:absolute;left:0pt;margin-left:31.85pt;margin-top:8.25pt;height:0.75pt;width:352.25pt;z-index:251860992;mso-width-relative:page;mso-height-relative:page;" fillcolor="#000000" filled="t" stroked="f" coordsize="7045,15" path="m0,15l7044,15,7044,0,0,0,0,15xe">
            <v:path/>
            <v:fill on="t" focussize="0,0"/>
            <v:stroke on="f"/>
            <v:imagedata o:title=""/>
            <o:lock v:ext="edit"/>
          </v:shape>
        </w:pict>
      </w:r>
    </w:p>
    <w:p w14:paraId="3ABEBA04">
      <w:pPr>
        <w:pStyle w:val="2"/>
        <w:spacing w:line="276" w:lineRule="auto"/>
      </w:pPr>
    </w:p>
    <w:p w14:paraId="3C4962B9">
      <w:pPr>
        <w:pStyle w:val="2"/>
        <w:spacing w:line="276" w:lineRule="auto"/>
      </w:pPr>
      <w:r>
        <w:pict>
          <v:shape id="_x0000_s1217" o:spid="_x0000_s1217" style="position:absolute;left:0pt;margin-left:26.6pt;margin-top:0.8pt;height:0.75pt;width:352.25pt;z-index:251857920;mso-width-relative:page;mso-height-relative:page;" fillcolor="#000000" filled="t" stroked="f" coordsize="7045,15" path="m0,15l7044,15,7044,0,0,0,0,15xe">
            <v:path/>
            <v:fill on="t" focussize="0,0"/>
            <v:stroke on="f"/>
            <v:imagedata o:title=""/>
            <o:lock v:ext="edit"/>
          </v:shape>
        </w:pict>
      </w:r>
    </w:p>
    <w:p w14:paraId="64D2007E">
      <w:pPr>
        <w:spacing w:before="69" w:line="106" w:lineRule="exact"/>
        <w:ind w:left="7605"/>
        <w:rPr>
          <w:rFonts w:ascii="宋体" w:hAnsi="宋体" w:eastAsia="宋体" w:cs="宋体"/>
          <w:sz w:val="21"/>
          <w:szCs w:val="21"/>
        </w:rPr>
      </w:pPr>
      <w:r>
        <w:pict>
          <v:shape id="_x0000_s1218" o:spid="_x0000_s1218" style="position:absolute;left:0pt;margin-left:26.6pt;margin-top:7.2pt;height:0.75pt;width:352.25pt;z-index:251862016;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EEFDDA0">
      <w:pPr>
        <w:spacing w:before="164" w:line="233" w:lineRule="auto"/>
        <w:ind w:left="536"/>
        <w:rPr>
          <w:rFonts w:ascii="宋体" w:hAnsi="宋体" w:eastAsia="宋体" w:cs="宋体"/>
          <w:sz w:val="21"/>
          <w:szCs w:val="21"/>
        </w:rPr>
      </w:pPr>
      <w:r>
        <w:rPr>
          <w:rFonts w:ascii="Times New Roman" w:hAnsi="Times New Roman" w:eastAsia="Times New Roman" w:cs="Times New Roman"/>
          <w:sz w:val="21"/>
          <w:szCs w:val="21"/>
        </w:rPr>
        <w:t>2.1.3</w:t>
      </w:r>
      <w:r>
        <w:rPr>
          <w:rFonts w:ascii="Times New Roman" w:hAnsi="Times New Roman" w:eastAsia="Times New Roman" w:cs="Times New Roman"/>
          <w:spacing w:val="5"/>
          <w:sz w:val="21"/>
          <w:szCs w:val="21"/>
        </w:rPr>
        <w:t xml:space="preserve">         </w:t>
      </w:r>
      <w:r>
        <w:rPr>
          <w:rFonts w:ascii="宋体" w:hAnsi="宋体" w:eastAsia="宋体" w:cs="宋体"/>
          <w:sz w:val="21"/>
          <w:szCs w:val="21"/>
        </w:rPr>
        <w:t>承包范围内的暂列金额项目</w:t>
      </w:r>
    </w:p>
    <w:p w14:paraId="7E630A52">
      <w:pPr>
        <w:spacing w:before="124" w:line="348" w:lineRule="auto"/>
        <w:ind w:left="119" w:firstLine="417"/>
        <w:rPr>
          <w:rFonts w:ascii="宋体" w:hAnsi="宋体" w:eastAsia="宋体" w:cs="宋体"/>
          <w:sz w:val="21"/>
          <w:szCs w:val="21"/>
        </w:rPr>
      </w:pPr>
      <w:r>
        <w:rPr>
          <w:rFonts w:ascii="Times New Roman" w:hAnsi="Times New Roman" w:eastAsia="Times New Roman" w:cs="Times New Roman"/>
          <w:spacing w:val="3"/>
          <w:sz w:val="21"/>
          <w:szCs w:val="21"/>
        </w:rPr>
        <w:t xml:space="preserve">2.1.3.1    </w:t>
      </w:r>
      <w:r>
        <w:rPr>
          <w:rFonts w:ascii="宋体" w:hAnsi="宋体" w:eastAsia="宋体" w:cs="宋体"/>
          <w:spacing w:val="3"/>
          <w:sz w:val="21"/>
          <w:szCs w:val="21"/>
        </w:rPr>
        <w:t>承包范围内以暂列金额</w:t>
      </w:r>
      <w:r>
        <w:rPr>
          <w:rFonts w:ascii="Times New Roman" w:hAnsi="Times New Roman" w:eastAsia="Times New Roman" w:cs="Times New Roman"/>
          <w:spacing w:val="3"/>
          <w:sz w:val="21"/>
          <w:szCs w:val="21"/>
        </w:rPr>
        <w:t>(</w:t>
      </w:r>
      <w:r>
        <w:rPr>
          <w:rFonts w:ascii="宋体" w:hAnsi="宋体" w:eastAsia="宋体" w:cs="宋体"/>
          <w:spacing w:val="3"/>
          <w:sz w:val="21"/>
          <w:szCs w:val="21"/>
        </w:rPr>
        <w:t>包括计日工</w:t>
      </w:r>
      <w:r>
        <w:rPr>
          <w:rFonts w:ascii="Times New Roman" w:hAnsi="Times New Roman" w:eastAsia="Times New Roman" w:cs="Times New Roman"/>
          <w:spacing w:val="3"/>
          <w:sz w:val="21"/>
          <w:szCs w:val="21"/>
        </w:rPr>
        <w:t>)</w:t>
      </w:r>
      <w:r>
        <w:rPr>
          <w:rFonts w:ascii="宋体" w:hAnsi="宋体" w:eastAsia="宋体" w:cs="宋体"/>
          <w:spacing w:val="3"/>
          <w:sz w:val="21"/>
          <w:szCs w:val="21"/>
        </w:rPr>
        <w:t>方式实施的项目见第五章“工程量清单”</w:t>
      </w:r>
      <w:r>
        <w:rPr>
          <w:rFonts w:ascii="宋体" w:hAnsi="宋体" w:eastAsia="宋体" w:cs="宋体"/>
          <w:spacing w:val="-6"/>
          <w:sz w:val="21"/>
          <w:szCs w:val="21"/>
        </w:rPr>
        <w:t>表</w:t>
      </w:r>
      <w:r>
        <w:rPr>
          <w:rFonts w:ascii="宋体" w:hAnsi="宋体" w:eastAsia="宋体" w:cs="宋体"/>
          <w:spacing w:val="-28"/>
          <w:sz w:val="21"/>
          <w:szCs w:val="21"/>
        </w:rPr>
        <w:t xml:space="preserve"> </w:t>
      </w:r>
      <w:r>
        <w:rPr>
          <w:rFonts w:ascii="Times New Roman" w:hAnsi="Times New Roman" w:eastAsia="Times New Roman" w:cs="Times New Roman"/>
          <w:spacing w:val="-6"/>
          <w:sz w:val="21"/>
          <w:szCs w:val="21"/>
        </w:rPr>
        <w:t>4.</w:t>
      </w:r>
      <w:r>
        <w:rPr>
          <w:rFonts w:ascii="Times New Roman" w:hAnsi="Times New Roman" w:eastAsia="Times New Roman" w:cs="Times New Roman"/>
          <w:spacing w:val="-20"/>
          <w:sz w:val="21"/>
          <w:szCs w:val="21"/>
        </w:rPr>
        <w:t xml:space="preserve"> </w:t>
      </w:r>
      <w:r>
        <w:rPr>
          <w:rFonts w:ascii="Times New Roman" w:hAnsi="Times New Roman" w:eastAsia="Times New Roman" w:cs="Times New Roman"/>
          <w:spacing w:val="-6"/>
          <w:sz w:val="21"/>
          <w:szCs w:val="21"/>
        </w:rPr>
        <w:t>1l</w:t>
      </w:r>
      <w:r>
        <w:rPr>
          <w:rFonts w:ascii="宋体" w:hAnsi="宋体" w:eastAsia="宋体" w:cs="宋体"/>
          <w:spacing w:val="-6"/>
          <w:sz w:val="21"/>
          <w:szCs w:val="21"/>
        </w:rPr>
        <w:t>—</w:t>
      </w:r>
      <w:r>
        <w:rPr>
          <w:rFonts w:ascii="Times New Roman" w:hAnsi="Times New Roman" w:eastAsia="Times New Roman" w:cs="Times New Roman"/>
          <w:spacing w:val="-6"/>
          <w:sz w:val="21"/>
          <w:szCs w:val="21"/>
        </w:rPr>
        <w:t>l</w:t>
      </w:r>
      <w:r>
        <w:rPr>
          <w:rFonts w:ascii="宋体" w:hAnsi="宋体" w:eastAsia="宋体" w:cs="宋体"/>
          <w:spacing w:val="-6"/>
          <w:sz w:val="21"/>
          <w:szCs w:val="21"/>
        </w:rPr>
        <w:t>“暂列金额明细表”</w:t>
      </w:r>
      <w:r>
        <w:rPr>
          <w:rFonts w:ascii="Times New Roman" w:hAnsi="Times New Roman" w:eastAsia="Times New Roman" w:cs="Times New Roman"/>
          <w:spacing w:val="-6"/>
          <w:sz w:val="21"/>
          <w:szCs w:val="21"/>
        </w:rPr>
        <w:t>(</w:t>
      </w:r>
      <w:r>
        <w:rPr>
          <w:rFonts w:ascii="宋体" w:hAnsi="宋体" w:eastAsia="宋体" w:cs="宋体"/>
          <w:spacing w:val="-6"/>
          <w:sz w:val="21"/>
          <w:szCs w:val="21"/>
        </w:rPr>
        <w:t>不包括计日工</w:t>
      </w:r>
      <w:r>
        <w:rPr>
          <w:rFonts w:ascii="Times New Roman" w:hAnsi="Times New Roman" w:eastAsia="Times New Roman" w:cs="Times New Roman"/>
          <w:spacing w:val="-6"/>
          <w:sz w:val="21"/>
          <w:szCs w:val="21"/>
        </w:rPr>
        <w:t>)</w:t>
      </w:r>
      <w:r>
        <w:rPr>
          <w:rFonts w:ascii="宋体" w:hAnsi="宋体" w:eastAsia="宋体" w:cs="宋体"/>
          <w:spacing w:val="-6"/>
          <w:sz w:val="21"/>
          <w:szCs w:val="21"/>
        </w:rPr>
        <w:t>和表</w:t>
      </w:r>
      <w:r>
        <w:rPr>
          <w:rFonts w:ascii="宋体" w:hAnsi="宋体" w:eastAsia="宋体" w:cs="宋体"/>
          <w:spacing w:val="-42"/>
          <w:sz w:val="21"/>
          <w:szCs w:val="21"/>
        </w:rPr>
        <w:t xml:space="preserve"> </w:t>
      </w:r>
      <w:r>
        <w:rPr>
          <w:rFonts w:ascii="Times New Roman" w:hAnsi="Times New Roman" w:eastAsia="Times New Roman" w:cs="Times New Roman"/>
          <w:spacing w:val="-6"/>
          <w:sz w:val="21"/>
          <w:szCs w:val="21"/>
        </w:rPr>
        <w:t>4.</w:t>
      </w:r>
      <w:r>
        <w:rPr>
          <w:rFonts w:ascii="Times New Roman" w:hAnsi="Times New Roman" w:eastAsia="Times New Roman" w:cs="Times New Roman"/>
          <w:spacing w:val="-20"/>
          <w:sz w:val="21"/>
          <w:szCs w:val="21"/>
        </w:rPr>
        <w:t xml:space="preserve"> </w:t>
      </w:r>
      <w:r>
        <w:rPr>
          <w:rFonts w:ascii="Times New Roman" w:hAnsi="Times New Roman" w:eastAsia="Times New Roman" w:cs="Times New Roman"/>
          <w:spacing w:val="-6"/>
          <w:sz w:val="21"/>
          <w:szCs w:val="21"/>
        </w:rPr>
        <w:t xml:space="preserve">1l </w:t>
      </w:r>
      <w:r>
        <w:rPr>
          <w:rFonts w:ascii="宋体" w:hAnsi="宋体" w:eastAsia="宋体" w:cs="宋体"/>
          <w:spacing w:val="-6"/>
          <w:sz w:val="21"/>
          <w:szCs w:val="21"/>
        </w:rPr>
        <w:t>一</w:t>
      </w:r>
      <w:r>
        <w:rPr>
          <w:rFonts w:ascii="宋体" w:hAnsi="宋体" w:eastAsia="宋体" w:cs="宋体"/>
          <w:spacing w:val="-42"/>
          <w:sz w:val="21"/>
          <w:szCs w:val="21"/>
        </w:rPr>
        <w:t xml:space="preserve"> </w:t>
      </w:r>
      <w:r>
        <w:rPr>
          <w:rFonts w:ascii="Times New Roman" w:hAnsi="Times New Roman" w:eastAsia="Times New Roman" w:cs="Times New Roman"/>
          <w:spacing w:val="-6"/>
          <w:sz w:val="21"/>
          <w:szCs w:val="21"/>
        </w:rPr>
        <w:t>4</w:t>
      </w:r>
      <w:r>
        <w:rPr>
          <w:rFonts w:ascii="宋体" w:hAnsi="宋体" w:eastAsia="宋体" w:cs="宋体"/>
          <w:spacing w:val="-6"/>
          <w:sz w:val="21"/>
          <w:szCs w:val="21"/>
        </w:rPr>
        <w:t>“计日工表”，其中计日工金额为</w:t>
      </w:r>
      <w:r>
        <w:rPr>
          <w:rFonts w:ascii="宋体" w:hAnsi="宋体" w:eastAsia="宋体" w:cs="宋体"/>
          <w:sz w:val="21"/>
          <w:szCs w:val="21"/>
        </w:rPr>
        <w:t>承包人在其投标报价中按表</w:t>
      </w:r>
      <w:r>
        <w:rPr>
          <w:rFonts w:ascii="宋体" w:hAnsi="宋体" w:eastAsia="宋体" w:cs="宋体"/>
          <w:spacing w:val="-29"/>
          <w:sz w:val="21"/>
          <w:szCs w:val="21"/>
        </w:rPr>
        <w:t xml:space="preserve"> </w:t>
      </w:r>
      <w:r>
        <w:rPr>
          <w:rFonts w:ascii="Times New Roman" w:hAnsi="Times New Roman" w:eastAsia="Times New Roman" w:cs="Times New Roman"/>
          <w:sz w:val="21"/>
          <w:szCs w:val="21"/>
        </w:rPr>
        <w:t>4.11</w:t>
      </w:r>
      <w:r>
        <w:rPr>
          <w:rFonts w:ascii="宋体" w:hAnsi="宋体" w:eastAsia="宋体" w:cs="宋体"/>
          <w:sz w:val="21"/>
          <w:szCs w:val="21"/>
        </w:rPr>
        <w:t>—</w:t>
      </w:r>
      <w:r>
        <w:rPr>
          <w:rFonts w:ascii="Times New Roman" w:hAnsi="Times New Roman" w:eastAsia="Times New Roman" w:cs="Times New Roman"/>
          <w:sz w:val="21"/>
          <w:szCs w:val="21"/>
        </w:rPr>
        <w:t>4</w:t>
      </w:r>
      <w:r>
        <w:rPr>
          <w:rFonts w:ascii="宋体" w:hAnsi="宋体" w:eastAsia="宋体" w:cs="宋体"/>
          <w:sz w:val="21"/>
          <w:szCs w:val="21"/>
        </w:rPr>
        <w:t>“计日工表”所列计日工子目、数量和相应规定填</w:t>
      </w:r>
      <w:r>
        <w:rPr>
          <w:rFonts w:ascii="宋体" w:hAnsi="宋体" w:eastAsia="宋体" w:cs="宋体"/>
          <w:spacing w:val="-1"/>
          <w:sz w:val="21"/>
          <w:szCs w:val="21"/>
        </w:rPr>
        <w:t>报的</w:t>
      </w:r>
      <w:r>
        <w:rPr>
          <w:rFonts w:ascii="宋体" w:hAnsi="宋体" w:eastAsia="宋体" w:cs="宋体"/>
          <w:spacing w:val="-9"/>
          <w:sz w:val="21"/>
          <w:szCs w:val="21"/>
        </w:rPr>
        <w:t>金额。</w:t>
      </w:r>
    </w:p>
    <w:p w14:paraId="0AF969A3">
      <w:pPr>
        <w:spacing w:before="24" w:line="352" w:lineRule="auto"/>
        <w:ind w:left="121" w:right="85" w:firstLine="415"/>
        <w:rPr>
          <w:rFonts w:ascii="宋体" w:hAnsi="宋体" w:eastAsia="宋体" w:cs="宋体"/>
          <w:sz w:val="21"/>
          <w:szCs w:val="21"/>
        </w:rPr>
      </w:pPr>
      <w:r>
        <w:rPr>
          <w:rFonts w:ascii="Times New Roman" w:hAnsi="Times New Roman" w:eastAsia="Times New Roman" w:cs="Times New Roman"/>
          <w:sz w:val="21"/>
          <w:szCs w:val="21"/>
        </w:rPr>
        <w:t xml:space="preserve">2.1.3.2    </w:t>
      </w:r>
      <w:r>
        <w:rPr>
          <w:rFonts w:ascii="宋体" w:hAnsi="宋体" w:eastAsia="宋体" w:cs="宋体"/>
          <w:sz w:val="21"/>
          <w:szCs w:val="21"/>
        </w:rPr>
        <w:t>暂列金额明细表中每笔暂列金额所对应的子目，包括</w:t>
      </w:r>
      <w:r>
        <w:rPr>
          <w:rFonts w:ascii="宋体" w:hAnsi="宋体" w:eastAsia="宋体" w:cs="宋体"/>
          <w:spacing w:val="-1"/>
          <w:sz w:val="21"/>
          <w:szCs w:val="21"/>
        </w:rPr>
        <w:t>计日工，均只是可能发生</w:t>
      </w:r>
      <w:r>
        <w:rPr>
          <w:rFonts w:ascii="宋体" w:hAnsi="宋体" w:eastAsia="宋体" w:cs="宋体"/>
          <w:spacing w:val="-2"/>
          <w:sz w:val="21"/>
          <w:szCs w:val="21"/>
        </w:rPr>
        <w:t>的子目。承包人应当充分认识到，合同履行过程中所列暂列金额可能不</w:t>
      </w:r>
      <w:r>
        <w:rPr>
          <w:rFonts w:ascii="宋体" w:hAnsi="宋体" w:eastAsia="宋体" w:cs="宋体"/>
          <w:spacing w:val="-3"/>
          <w:sz w:val="21"/>
          <w:szCs w:val="21"/>
        </w:rPr>
        <w:t>发生，也可能部分发</w:t>
      </w:r>
      <w:r>
        <w:rPr>
          <w:rFonts w:ascii="宋体" w:hAnsi="宋体" w:eastAsia="宋体" w:cs="宋体"/>
          <w:spacing w:val="-2"/>
          <w:sz w:val="21"/>
          <w:szCs w:val="21"/>
        </w:rPr>
        <w:t>生。即便发生，监理人按照合同约定发出的使用暂列金额的指示也不限于只能用</w:t>
      </w:r>
      <w:r>
        <w:rPr>
          <w:rFonts w:ascii="宋体" w:hAnsi="宋体" w:eastAsia="宋体" w:cs="宋体"/>
          <w:spacing w:val="-3"/>
          <w:sz w:val="21"/>
          <w:szCs w:val="21"/>
        </w:rPr>
        <w:t>于表中所列</w:t>
      </w:r>
      <w:r>
        <w:rPr>
          <w:rFonts w:ascii="宋体" w:hAnsi="宋体" w:eastAsia="宋体" w:cs="宋体"/>
          <w:spacing w:val="-9"/>
          <w:sz w:val="21"/>
          <w:szCs w:val="21"/>
        </w:rPr>
        <w:t>子目。</w:t>
      </w:r>
    </w:p>
    <w:p w14:paraId="274FA227">
      <w:pPr>
        <w:spacing w:before="5" w:line="334" w:lineRule="auto"/>
        <w:ind w:left="121" w:right="86" w:firstLine="415"/>
        <w:rPr>
          <w:rFonts w:ascii="宋体" w:hAnsi="宋体" w:eastAsia="宋体" w:cs="宋体"/>
          <w:sz w:val="21"/>
          <w:szCs w:val="21"/>
        </w:rPr>
      </w:pPr>
      <w:r>
        <w:rPr>
          <w:rFonts w:ascii="Times New Roman" w:hAnsi="Times New Roman" w:eastAsia="Times New Roman" w:cs="Times New Roman"/>
          <w:sz w:val="21"/>
          <w:szCs w:val="21"/>
        </w:rPr>
        <w:t xml:space="preserve">2.1.3.3    </w:t>
      </w:r>
      <w:r>
        <w:rPr>
          <w:rFonts w:ascii="宋体" w:hAnsi="宋体" w:eastAsia="宋体" w:cs="宋体"/>
          <w:sz w:val="21"/>
          <w:szCs w:val="21"/>
        </w:rPr>
        <w:t>暂列金额是否实际发生、其再分和合并等均不应成为</w:t>
      </w:r>
      <w:r>
        <w:rPr>
          <w:rFonts w:ascii="宋体" w:hAnsi="宋体" w:eastAsia="宋体" w:cs="宋体"/>
          <w:spacing w:val="-1"/>
          <w:sz w:val="21"/>
          <w:szCs w:val="21"/>
        </w:rPr>
        <w:t>承包人要求任何追加费用</w:t>
      </w:r>
      <w:r>
        <w:rPr>
          <w:rFonts w:ascii="宋体" w:hAnsi="宋体" w:eastAsia="宋体" w:cs="宋体"/>
          <w:spacing w:val="-2"/>
          <w:sz w:val="21"/>
          <w:szCs w:val="21"/>
        </w:rPr>
        <w:t>和</w:t>
      </w:r>
      <w:r>
        <w:rPr>
          <w:rFonts w:ascii="Times New Roman" w:hAnsi="Times New Roman" w:eastAsia="Times New Roman" w:cs="Times New Roman"/>
          <w:spacing w:val="-2"/>
          <w:sz w:val="21"/>
          <w:szCs w:val="21"/>
        </w:rPr>
        <w:t>(</w:t>
      </w:r>
      <w:r>
        <w:rPr>
          <w:rFonts w:ascii="宋体" w:hAnsi="宋体" w:eastAsia="宋体" w:cs="宋体"/>
          <w:spacing w:val="-2"/>
          <w:sz w:val="21"/>
          <w:szCs w:val="21"/>
        </w:rPr>
        <w:t>或</w:t>
      </w:r>
      <w:r>
        <w:rPr>
          <w:rFonts w:ascii="Times New Roman" w:hAnsi="Times New Roman" w:eastAsia="Times New Roman" w:cs="Times New Roman"/>
          <w:spacing w:val="-2"/>
          <w:sz w:val="21"/>
          <w:szCs w:val="21"/>
        </w:rPr>
        <w:t>)</w:t>
      </w:r>
      <w:r>
        <w:rPr>
          <w:rFonts w:ascii="宋体" w:hAnsi="宋体" w:eastAsia="宋体" w:cs="宋体"/>
          <w:spacing w:val="-2"/>
          <w:sz w:val="21"/>
          <w:szCs w:val="21"/>
        </w:rPr>
        <w:t>延长工期的理由。</w:t>
      </w:r>
    </w:p>
    <w:p w14:paraId="7194BD82">
      <w:pPr>
        <w:spacing w:before="37" w:line="233" w:lineRule="auto"/>
        <w:ind w:left="536"/>
        <w:rPr>
          <w:rFonts w:ascii="宋体" w:hAnsi="宋体" w:eastAsia="宋体" w:cs="宋体"/>
          <w:sz w:val="21"/>
          <w:szCs w:val="21"/>
        </w:rPr>
      </w:pPr>
      <w:r>
        <w:rPr>
          <w:rFonts w:ascii="Times New Roman" w:hAnsi="Times New Roman" w:eastAsia="Times New Roman" w:cs="Times New Roman"/>
          <w:spacing w:val="-1"/>
          <w:sz w:val="21"/>
          <w:szCs w:val="21"/>
        </w:rPr>
        <w:t xml:space="preserve">2.1.3.4    </w:t>
      </w:r>
      <w:r>
        <w:rPr>
          <w:rFonts w:ascii="宋体" w:hAnsi="宋体" w:eastAsia="宋体" w:cs="宋体"/>
          <w:spacing w:val="-1"/>
          <w:sz w:val="21"/>
          <w:szCs w:val="21"/>
        </w:rPr>
        <w:t>关于暂列金额的其他说明：</w:t>
      </w:r>
    </w:p>
    <w:p w14:paraId="72AA999F">
      <w:pPr>
        <w:pStyle w:val="2"/>
        <w:spacing w:line="275" w:lineRule="auto"/>
      </w:pPr>
    </w:p>
    <w:p w14:paraId="3A9ED95D">
      <w:pPr>
        <w:pStyle w:val="2"/>
        <w:spacing w:line="275" w:lineRule="auto"/>
      </w:pPr>
      <w:r>
        <w:pict>
          <v:shape id="_x0000_s1219" o:spid="_x0000_s1219" style="position:absolute;left:0pt;margin-left:31.85pt;margin-top:8.15pt;height:0.75pt;width:352.25pt;z-index:251858944;mso-width-relative:page;mso-height-relative:page;" fillcolor="#000000" filled="t" stroked="f" coordsize="7045,15" path="m0,15l7044,15,7044,0,0,0,0,15xe">
            <v:path/>
            <v:fill on="t" focussize="0,0"/>
            <v:stroke on="f"/>
            <v:imagedata o:title=""/>
            <o:lock v:ext="edit"/>
          </v:shape>
        </w:pict>
      </w:r>
    </w:p>
    <w:p w14:paraId="7938B8E5">
      <w:pPr>
        <w:pStyle w:val="2"/>
        <w:spacing w:line="275" w:lineRule="auto"/>
      </w:pPr>
    </w:p>
    <w:p w14:paraId="53B50D7F">
      <w:pPr>
        <w:pStyle w:val="2"/>
        <w:spacing w:line="276" w:lineRule="auto"/>
      </w:pPr>
      <w:r>
        <w:pict>
          <v:shape id="_x0000_s1220" o:spid="_x0000_s1220" style="position:absolute;left:0pt;margin-left:26.6pt;margin-top:0.75pt;height:0.75pt;width:352.25pt;z-index:251856896;mso-width-relative:page;mso-height-relative:page;" fillcolor="#000000" filled="t" stroked="f" coordsize="7045,15" path="m0,15l7044,15,7044,0,0,0,0,15xe">
            <v:path/>
            <v:fill on="t" focussize="0,0"/>
            <v:stroke on="f"/>
            <v:imagedata o:title=""/>
            <o:lock v:ext="edit"/>
          </v:shape>
        </w:pict>
      </w:r>
    </w:p>
    <w:p w14:paraId="20FFBA51">
      <w:pPr>
        <w:spacing w:before="68" w:line="106" w:lineRule="exact"/>
        <w:ind w:left="7605"/>
        <w:rPr>
          <w:rFonts w:ascii="宋体" w:hAnsi="宋体" w:eastAsia="宋体" w:cs="宋体"/>
          <w:sz w:val="21"/>
          <w:szCs w:val="21"/>
        </w:rPr>
      </w:pPr>
      <w:r>
        <w:pict>
          <v:shape id="_x0000_s1221" o:spid="_x0000_s1221" style="position:absolute;left:0pt;margin-left:26.6pt;margin-top:7.15pt;height:0.75pt;width:352.25pt;z-index:25185996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42A2E4FC">
      <w:pPr>
        <w:spacing w:before="148" w:line="233" w:lineRule="auto"/>
        <w:ind w:left="536"/>
        <w:rPr>
          <w:rFonts w:ascii="宋体" w:hAnsi="宋体" w:eastAsia="宋体" w:cs="宋体"/>
          <w:sz w:val="21"/>
          <w:szCs w:val="21"/>
        </w:rPr>
      </w:pPr>
      <w:r>
        <w:rPr>
          <w:rFonts w:ascii="Times New Roman" w:hAnsi="Times New Roman" w:eastAsia="Times New Roman" w:cs="Times New Roman"/>
          <w:spacing w:val="1"/>
          <w:sz w:val="21"/>
          <w:szCs w:val="21"/>
        </w:rPr>
        <w:t xml:space="preserve">2.2        </w:t>
      </w:r>
      <w:r>
        <w:rPr>
          <w:rFonts w:ascii="宋体" w:hAnsi="宋体" w:eastAsia="宋体" w:cs="宋体"/>
          <w:spacing w:val="1"/>
          <w:sz w:val="21"/>
          <w:szCs w:val="21"/>
        </w:rPr>
        <w:t>发包人发包专业工程和发包人供应的材料</w:t>
      </w:r>
      <w:r>
        <w:rPr>
          <w:rFonts w:ascii="宋体" w:hAnsi="宋体" w:eastAsia="宋体" w:cs="宋体"/>
          <w:sz w:val="21"/>
          <w:szCs w:val="21"/>
        </w:rPr>
        <w:t>和工程设备</w:t>
      </w:r>
    </w:p>
    <w:p w14:paraId="14E6BB0C">
      <w:pPr>
        <w:spacing w:line="233" w:lineRule="auto"/>
        <w:rPr>
          <w:rFonts w:ascii="宋体" w:hAnsi="宋体" w:eastAsia="宋体" w:cs="宋体"/>
          <w:sz w:val="21"/>
          <w:szCs w:val="21"/>
        </w:rPr>
        <w:sectPr>
          <w:footerReference r:id="rId267" w:type="default"/>
          <w:pgSz w:w="11910" w:h="16845"/>
          <w:pgMar w:top="400" w:right="1678" w:bottom="1110" w:left="1690" w:header="0" w:footer="883" w:gutter="0"/>
          <w:cols w:space="720" w:num="1"/>
        </w:sectPr>
      </w:pPr>
    </w:p>
    <w:p w14:paraId="4EB8ABB2">
      <w:pPr>
        <w:pStyle w:val="2"/>
        <w:spacing w:line="275" w:lineRule="auto"/>
      </w:pPr>
    </w:p>
    <w:p w14:paraId="7ACCC991">
      <w:pPr>
        <w:pStyle w:val="2"/>
        <w:spacing w:line="275" w:lineRule="auto"/>
      </w:pPr>
    </w:p>
    <w:p w14:paraId="5310F334">
      <w:pPr>
        <w:pStyle w:val="2"/>
        <w:spacing w:line="275" w:lineRule="auto"/>
      </w:pPr>
    </w:p>
    <w:p w14:paraId="2E053ADC">
      <w:pPr>
        <w:pStyle w:val="2"/>
        <w:spacing w:line="275" w:lineRule="auto"/>
      </w:pPr>
    </w:p>
    <w:p w14:paraId="1F8DEE51">
      <w:pPr>
        <w:spacing w:before="68" w:line="349" w:lineRule="auto"/>
        <w:ind w:left="43" w:right="43" w:firstLine="397"/>
        <w:rPr>
          <w:rFonts w:ascii="宋体" w:hAnsi="宋体" w:eastAsia="宋体" w:cs="宋体"/>
          <w:sz w:val="21"/>
          <w:szCs w:val="21"/>
        </w:rPr>
      </w:pPr>
      <w:r>
        <w:rPr>
          <w:rFonts w:ascii="Times New Roman" w:hAnsi="Times New Roman" w:eastAsia="Times New Roman" w:cs="Times New Roman"/>
          <w:spacing w:val="-1"/>
          <w:sz w:val="21"/>
          <w:szCs w:val="21"/>
        </w:rPr>
        <w:t xml:space="preserve">2.2.1    </w:t>
      </w:r>
      <w:r>
        <w:rPr>
          <w:rFonts w:ascii="宋体" w:hAnsi="宋体" w:eastAsia="宋体" w:cs="宋体"/>
          <w:spacing w:val="-1"/>
          <w:sz w:val="21"/>
          <w:szCs w:val="21"/>
        </w:rPr>
        <w:t>由发包人发包的专业工程属于与本</w:t>
      </w:r>
      <w:r>
        <w:rPr>
          <w:rFonts w:ascii="宋体" w:hAnsi="宋体" w:eastAsia="宋体" w:cs="宋体"/>
          <w:spacing w:val="-2"/>
          <w:sz w:val="21"/>
          <w:szCs w:val="21"/>
        </w:rPr>
        <w:t>工程有关的其他工程，不属于承包人的承包范</w:t>
      </w:r>
      <w:r>
        <w:rPr>
          <w:rFonts w:ascii="宋体" w:hAnsi="宋体" w:eastAsia="宋体" w:cs="宋体"/>
          <w:spacing w:val="-5"/>
          <w:sz w:val="21"/>
          <w:szCs w:val="21"/>
        </w:rPr>
        <w:t>围。发包人发包的专业工程如下：</w:t>
      </w:r>
    </w:p>
    <w:p w14:paraId="1259320C">
      <w:pPr>
        <w:pStyle w:val="2"/>
        <w:spacing w:line="241" w:lineRule="auto"/>
      </w:pPr>
    </w:p>
    <w:p w14:paraId="3444C34C">
      <w:pPr>
        <w:pStyle w:val="2"/>
        <w:spacing w:line="241" w:lineRule="auto"/>
      </w:pPr>
      <w:r>
        <w:pict>
          <v:shape id="_x0000_s1222" o:spid="_x0000_s1222" style="position:absolute;left:0pt;margin-left:27.05pt;margin-top:3pt;height:0.75pt;width:352.25pt;z-index:251870208;mso-width-relative:page;mso-height-relative:page;" fillcolor="#000000" filled="t" stroked="f" coordsize="7045,15" path="m0,15l7044,15,7044,0,0,0,0,15xe">
            <v:path/>
            <v:fill on="t" focussize="0,0"/>
            <v:stroke on="f"/>
            <v:imagedata o:title=""/>
            <o:lock v:ext="edit"/>
          </v:shape>
        </w:pict>
      </w:r>
    </w:p>
    <w:p w14:paraId="5E638578">
      <w:pPr>
        <w:pStyle w:val="2"/>
        <w:spacing w:line="241" w:lineRule="auto"/>
      </w:pPr>
      <w:r>
        <w:pict>
          <v:shape id="_x0000_s1223" o:spid="_x0000_s1223" style="position:absolute;left:0pt;margin-left:21.8pt;margin-top:11.9pt;height:0.75pt;width:352.25pt;z-index:251864064;mso-width-relative:page;mso-height-relative:page;" fillcolor="#000000" filled="t" stroked="f" coordsize="7045,15" path="m0,15l7044,15,7044,0,0,0,0,15xe">
            <v:path/>
            <v:fill on="t" focussize="0,0"/>
            <v:stroke on="f"/>
            <v:imagedata o:title=""/>
            <o:lock v:ext="edit"/>
          </v:shape>
        </w:pict>
      </w:r>
    </w:p>
    <w:p w14:paraId="1BCB2134">
      <w:pPr>
        <w:pStyle w:val="2"/>
        <w:spacing w:line="241" w:lineRule="auto"/>
      </w:pPr>
    </w:p>
    <w:p w14:paraId="661B455A">
      <w:pPr>
        <w:spacing w:before="68" w:line="106" w:lineRule="exact"/>
        <w:ind w:left="7509"/>
        <w:rPr>
          <w:rFonts w:ascii="宋体" w:hAnsi="宋体" w:eastAsia="宋体" w:cs="宋体"/>
          <w:sz w:val="21"/>
          <w:szCs w:val="21"/>
        </w:rPr>
      </w:pPr>
      <w:r>
        <w:pict>
          <v:shape id="_x0000_s1224" o:spid="_x0000_s1224" style="position:absolute;left:0pt;margin-left:21.8pt;margin-top:7.15pt;height:0.75pt;width:352.25pt;z-index:25186816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B5A2C54">
      <w:pPr>
        <w:spacing w:before="164" w:line="348" w:lineRule="auto"/>
        <w:ind w:left="26" w:right="43" w:firstLine="414"/>
        <w:rPr>
          <w:rFonts w:ascii="宋体" w:hAnsi="宋体" w:eastAsia="宋体" w:cs="宋体"/>
          <w:sz w:val="21"/>
          <w:szCs w:val="21"/>
        </w:rPr>
      </w:pPr>
      <w:r>
        <w:rPr>
          <w:rFonts w:ascii="Times New Roman" w:hAnsi="Times New Roman" w:eastAsia="Times New Roman" w:cs="Times New Roman"/>
          <w:spacing w:val="-1"/>
          <w:sz w:val="21"/>
          <w:szCs w:val="21"/>
        </w:rPr>
        <w:t xml:space="preserve">2.2.2    </w:t>
      </w:r>
      <w:r>
        <w:rPr>
          <w:rFonts w:ascii="宋体" w:hAnsi="宋体" w:eastAsia="宋体" w:cs="宋体"/>
          <w:spacing w:val="-1"/>
          <w:sz w:val="21"/>
          <w:szCs w:val="21"/>
        </w:rPr>
        <w:t>由发包人供应的材料和工程设备不</w:t>
      </w:r>
      <w:r>
        <w:rPr>
          <w:rFonts w:ascii="宋体" w:hAnsi="宋体" w:eastAsia="宋体" w:cs="宋体"/>
          <w:spacing w:val="-2"/>
          <w:sz w:val="21"/>
          <w:szCs w:val="21"/>
        </w:rPr>
        <w:t>属于承包人的承包范围。发包人供应的材料和</w:t>
      </w:r>
      <w:r>
        <w:rPr>
          <w:rFonts w:ascii="宋体" w:hAnsi="宋体" w:eastAsia="宋体" w:cs="宋体"/>
          <w:sz w:val="21"/>
          <w:szCs w:val="21"/>
        </w:rPr>
        <w:t>工程设备见合同附件二“发包人供应的材料和工程设备一览表”。</w:t>
      </w:r>
    </w:p>
    <w:p w14:paraId="012AF604">
      <w:pPr>
        <w:spacing w:before="4" w:line="233"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2.3        </w:t>
      </w:r>
      <w:r>
        <w:rPr>
          <w:rFonts w:ascii="宋体" w:hAnsi="宋体" w:eastAsia="宋体" w:cs="宋体"/>
          <w:spacing w:val="1"/>
          <w:sz w:val="21"/>
          <w:szCs w:val="21"/>
        </w:rPr>
        <w:t>承包人与发包人发包专业工程承包人的</w:t>
      </w:r>
      <w:r>
        <w:rPr>
          <w:rFonts w:ascii="宋体" w:hAnsi="宋体" w:eastAsia="宋体" w:cs="宋体"/>
          <w:sz w:val="21"/>
          <w:szCs w:val="21"/>
        </w:rPr>
        <w:t>工作界面</w:t>
      </w:r>
    </w:p>
    <w:p w14:paraId="0F659B22">
      <w:pPr>
        <w:spacing w:before="139" w:line="349" w:lineRule="auto"/>
        <w:ind w:left="25" w:right="79" w:firstLine="415"/>
        <w:rPr>
          <w:rFonts w:ascii="宋体" w:hAnsi="宋体" w:eastAsia="宋体" w:cs="宋体"/>
          <w:sz w:val="21"/>
          <w:szCs w:val="21"/>
        </w:rPr>
      </w:pPr>
      <w:r>
        <w:rPr>
          <w:rFonts w:ascii="Times New Roman" w:hAnsi="Times New Roman" w:eastAsia="Times New Roman" w:cs="Times New Roman"/>
          <w:spacing w:val="3"/>
          <w:sz w:val="21"/>
          <w:szCs w:val="21"/>
        </w:rPr>
        <w:t xml:space="preserve">2.3.1    </w:t>
      </w:r>
      <w:r>
        <w:rPr>
          <w:rFonts w:ascii="宋体" w:hAnsi="宋体" w:eastAsia="宋体" w:cs="宋体"/>
          <w:spacing w:val="3"/>
          <w:sz w:val="21"/>
          <w:szCs w:val="21"/>
        </w:rPr>
        <w:t>承包人与发包人发包专业工程承包</w:t>
      </w:r>
      <w:r>
        <w:rPr>
          <w:rFonts w:ascii="宋体" w:hAnsi="宋体" w:eastAsia="宋体" w:cs="宋体"/>
          <w:spacing w:val="2"/>
          <w:sz w:val="21"/>
          <w:szCs w:val="21"/>
        </w:rPr>
        <w:t>人以及与发包人供应的材料和设备的供应商</w:t>
      </w:r>
      <w:r>
        <w:rPr>
          <w:rFonts w:ascii="宋体" w:hAnsi="宋体" w:eastAsia="宋体" w:cs="宋体"/>
          <w:spacing w:val="-5"/>
          <w:sz w:val="21"/>
          <w:szCs w:val="21"/>
        </w:rPr>
        <w:t>之间的工作界面划分如下：</w:t>
      </w:r>
    </w:p>
    <w:p w14:paraId="5DF3A94A">
      <w:pPr>
        <w:pStyle w:val="2"/>
        <w:spacing w:line="241" w:lineRule="auto"/>
      </w:pPr>
    </w:p>
    <w:p w14:paraId="5BDDA812">
      <w:pPr>
        <w:pStyle w:val="2"/>
        <w:spacing w:line="241" w:lineRule="auto"/>
      </w:pPr>
      <w:r>
        <w:pict>
          <v:shape id="_x0000_s1225" o:spid="_x0000_s1225" style="position:absolute;left:0pt;margin-left:27.05pt;margin-top:3pt;height:0.75pt;width:352.25pt;z-index:251871232;mso-width-relative:page;mso-height-relative:page;" fillcolor="#000000" filled="t" stroked="f" coordsize="7045,15" path="m0,15l7044,15,7044,0,0,0,0,15xe">
            <v:path/>
            <v:fill on="t" focussize="0,0"/>
            <v:stroke on="f"/>
            <v:imagedata o:title=""/>
            <o:lock v:ext="edit"/>
          </v:shape>
        </w:pict>
      </w:r>
    </w:p>
    <w:p w14:paraId="5E0CEAD3">
      <w:pPr>
        <w:pStyle w:val="2"/>
        <w:spacing w:line="241" w:lineRule="auto"/>
      </w:pPr>
      <w:r>
        <w:pict>
          <v:shape id="_x0000_s1226" o:spid="_x0000_s1226" style="position:absolute;left:0pt;margin-left:21.8pt;margin-top:11.9pt;height:0.75pt;width:352.25pt;z-index:251867136;mso-width-relative:page;mso-height-relative:page;" fillcolor="#000000" filled="t" stroked="f" coordsize="7045,15" path="m0,15l7044,15,7044,0,0,0,0,15xe">
            <v:path/>
            <v:fill on="t" focussize="0,0"/>
            <v:stroke on="f"/>
            <v:imagedata o:title=""/>
            <o:lock v:ext="edit"/>
          </v:shape>
        </w:pict>
      </w:r>
    </w:p>
    <w:p w14:paraId="2E4A5B7C">
      <w:pPr>
        <w:pStyle w:val="2"/>
        <w:spacing w:line="241" w:lineRule="auto"/>
      </w:pPr>
    </w:p>
    <w:p w14:paraId="44D4A86C">
      <w:pPr>
        <w:spacing w:before="68" w:line="106" w:lineRule="exact"/>
        <w:ind w:left="7509"/>
        <w:rPr>
          <w:rFonts w:ascii="宋体" w:hAnsi="宋体" w:eastAsia="宋体" w:cs="宋体"/>
          <w:sz w:val="21"/>
          <w:szCs w:val="21"/>
        </w:rPr>
      </w:pPr>
      <w:r>
        <w:pict>
          <v:shape id="_x0000_s1227" o:spid="_x0000_s1227" style="position:absolute;left:0pt;margin-left:21.8pt;margin-top:7.15pt;height:0.75pt;width:352.25pt;z-index:251866112;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68F1E12E">
      <w:pPr>
        <w:spacing w:before="164" w:line="233"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承包人需要为发包人和监理人提</w:t>
      </w:r>
      <w:r>
        <w:rPr>
          <w:rFonts w:ascii="宋体" w:hAnsi="宋体" w:eastAsia="宋体" w:cs="宋体"/>
          <w:sz w:val="21"/>
          <w:szCs w:val="21"/>
        </w:rPr>
        <w:t>供的现场办公条件和设施</w:t>
      </w:r>
    </w:p>
    <w:p w14:paraId="475ADB5F">
      <w:pPr>
        <w:spacing w:before="140" w:line="233" w:lineRule="auto"/>
        <w:ind w:left="440"/>
        <w:rPr>
          <w:rFonts w:ascii="宋体" w:hAnsi="宋体" w:eastAsia="宋体" w:cs="宋体"/>
          <w:sz w:val="21"/>
          <w:szCs w:val="21"/>
        </w:rPr>
      </w:pPr>
      <w:r>
        <w:rPr>
          <w:rFonts w:ascii="Times New Roman" w:hAnsi="Times New Roman" w:eastAsia="Times New Roman" w:cs="Times New Roman"/>
          <w:sz w:val="21"/>
          <w:szCs w:val="21"/>
        </w:rPr>
        <w:t xml:space="preserve">2.4.1    </w:t>
      </w:r>
      <w:r>
        <w:rPr>
          <w:rFonts w:ascii="宋体" w:hAnsi="宋体" w:eastAsia="宋体" w:cs="宋体"/>
          <w:sz w:val="21"/>
          <w:szCs w:val="21"/>
        </w:rPr>
        <w:t>承包人需要为发包人和监理人</w:t>
      </w:r>
      <w:r>
        <w:rPr>
          <w:rFonts w:ascii="宋体" w:hAnsi="宋体" w:eastAsia="宋体" w:cs="宋体"/>
          <w:spacing w:val="-1"/>
          <w:sz w:val="21"/>
          <w:szCs w:val="21"/>
        </w:rPr>
        <w:t>提供的现场办公条件和设施及其详细要求如下：</w:t>
      </w:r>
    </w:p>
    <w:p w14:paraId="08DA2C08">
      <w:pPr>
        <w:pStyle w:val="2"/>
        <w:spacing w:line="271" w:lineRule="auto"/>
      </w:pPr>
    </w:p>
    <w:p w14:paraId="68EBEBBA">
      <w:pPr>
        <w:pStyle w:val="2"/>
        <w:spacing w:line="271" w:lineRule="auto"/>
      </w:pPr>
      <w:r>
        <w:pict>
          <v:shape id="_x0000_s1228" o:spid="_x0000_s1228" style="position:absolute;left:0pt;margin-left:27.05pt;margin-top:7.65pt;height:0.75pt;width:352.25pt;z-index:251869184;mso-width-relative:page;mso-height-relative:page;" fillcolor="#000000" filled="t" stroked="f" coordsize="7045,15" path="m0,15l7044,15,7044,0,0,0,0,15xe">
            <v:path/>
            <v:fill on="t" focussize="0,0"/>
            <v:stroke on="f"/>
            <v:imagedata o:title=""/>
            <o:lock v:ext="edit"/>
          </v:shape>
        </w:pict>
      </w:r>
    </w:p>
    <w:p w14:paraId="5E64154F">
      <w:pPr>
        <w:pStyle w:val="2"/>
        <w:spacing w:line="272" w:lineRule="auto"/>
      </w:pPr>
    </w:p>
    <w:p w14:paraId="6C17F7B4">
      <w:pPr>
        <w:pStyle w:val="2"/>
        <w:spacing w:line="272" w:lineRule="auto"/>
      </w:pPr>
      <w:r>
        <w:pict>
          <v:shape id="_x0000_s1229" o:spid="_x0000_s1229" style="position:absolute;left:0pt;margin-left:21.8pt;margin-top:1.35pt;height:0.75pt;width:352.25pt;z-index:251863040;mso-width-relative:page;mso-height-relative:page;" fillcolor="#000000" filled="t" stroked="f" coordsize="7045,15" path="m0,15l7044,15,7044,0,0,0,0,15xe">
            <v:path/>
            <v:fill on="t" focussize="0,0"/>
            <v:stroke on="f"/>
            <v:imagedata o:title=""/>
            <o:lock v:ext="edit"/>
          </v:shape>
        </w:pict>
      </w:r>
    </w:p>
    <w:p w14:paraId="439CA1E9">
      <w:pPr>
        <w:spacing w:before="69" w:line="106" w:lineRule="exact"/>
        <w:ind w:left="7509"/>
        <w:rPr>
          <w:rFonts w:ascii="宋体" w:hAnsi="宋体" w:eastAsia="宋体" w:cs="宋体"/>
          <w:sz w:val="21"/>
          <w:szCs w:val="21"/>
        </w:rPr>
      </w:pPr>
      <w:r>
        <w:pict>
          <v:shape id="_x0000_s1230" o:spid="_x0000_s1230" style="position:absolute;left:0pt;margin-left:21.8pt;margin-top:7.2pt;height:0.75pt;width:352.25pt;z-index:25186508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0907BCF2">
      <w:pPr>
        <w:pStyle w:val="2"/>
        <w:spacing w:line="366" w:lineRule="auto"/>
      </w:pPr>
    </w:p>
    <w:p w14:paraId="02C854C4">
      <w:pPr>
        <w:spacing w:before="92" w:line="237" w:lineRule="auto"/>
        <w:ind w:left="27"/>
        <w:outlineLvl w:val="2"/>
        <w:rPr>
          <w:rFonts w:ascii="黑体" w:hAnsi="黑体" w:eastAsia="黑体" w:cs="黑体"/>
          <w:sz w:val="28"/>
          <w:szCs w:val="28"/>
        </w:rPr>
      </w:pPr>
      <w:bookmarkStart w:id="596" w:name="bookmark549"/>
      <w:bookmarkEnd w:id="596"/>
      <w:r>
        <w:rPr>
          <w:rFonts w:ascii="Times New Roman" w:hAnsi="Times New Roman" w:eastAsia="Times New Roman" w:cs="Times New Roman"/>
          <w:spacing w:val="6"/>
          <w:sz w:val="28"/>
          <w:szCs w:val="28"/>
        </w:rPr>
        <w:t>3.</w:t>
      </w:r>
      <w:r>
        <w:rPr>
          <w:rFonts w:ascii="黑体" w:hAnsi="黑体" w:eastAsia="黑体" w:cs="黑体"/>
          <w:spacing w:val="6"/>
          <w:sz w:val="28"/>
          <w:szCs w:val="28"/>
        </w:rPr>
        <w:t>工期要求</w:t>
      </w:r>
    </w:p>
    <w:p w14:paraId="33E6B8E0">
      <w:pPr>
        <w:pStyle w:val="2"/>
        <w:spacing w:line="447" w:lineRule="auto"/>
      </w:pPr>
    </w:p>
    <w:p w14:paraId="3D0DE488">
      <w:pPr>
        <w:spacing w:before="91" w:line="238" w:lineRule="auto"/>
        <w:ind w:left="27"/>
        <w:outlineLvl w:val="3"/>
        <w:rPr>
          <w:rFonts w:ascii="黑体" w:hAnsi="黑体" w:eastAsia="黑体" w:cs="黑体"/>
          <w:sz w:val="28"/>
          <w:szCs w:val="28"/>
        </w:rPr>
      </w:pPr>
      <w:r>
        <w:rPr>
          <w:rFonts w:ascii="Times New Roman" w:hAnsi="Times New Roman" w:eastAsia="Times New Roman" w:cs="Times New Roman"/>
          <w:spacing w:val="5"/>
          <w:sz w:val="28"/>
          <w:szCs w:val="28"/>
        </w:rPr>
        <w:t xml:space="preserve">3.1  </w:t>
      </w:r>
      <w:r>
        <w:rPr>
          <w:rFonts w:ascii="黑体" w:hAnsi="黑体" w:eastAsia="黑体" w:cs="黑体"/>
          <w:spacing w:val="5"/>
          <w:sz w:val="28"/>
          <w:szCs w:val="28"/>
        </w:rPr>
        <w:t>合同工期</w:t>
      </w:r>
    </w:p>
    <w:p w14:paraId="7F469CCB">
      <w:pPr>
        <w:pStyle w:val="2"/>
        <w:spacing w:line="458" w:lineRule="auto"/>
      </w:pPr>
    </w:p>
    <w:p w14:paraId="454ED439">
      <w:pPr>
        <w:spacing w:before="69" w:line="345" w:lineRule="auto"/>
        <w:ind w:left="26" w:right="58" w:firstLine="418"/>
        <w:rPr>
          <w:rFonts w:ascii="宋体" w:hAnsi="宋体" w:eastAsia="宋体" w:cs="宋体"/>
          <w:sz w:val="21"/>
          <w:szCs w:val="21"/>
        </w:rPr>
      </w:pPr>
      <w:r>
        <w:rPr>
          <w:rFonts w:ascii="宋体" w:hAnsi="宋体" w:eastAsia="宋体" w:cs="宋体"/>
          <w:spacing w:val="-2"/>
          <w:sz w:val="21"/>
          <w:szCs w:val="21"/>
        </w:rPr>
        <w:t>本工程合同工期和计划开、竣工日期为承包人在投标函附录中承诺的工</w:t>
      </w:r>
      <w:r>
        <w:rPr>
          <w:rFonts w:ascii="宋体" w:hAnsi="宋体" w:eastAsia="宋体" w:cs="宋体"/>
          <w:spacing w:val="-3"/>
          <w:sz w:val="21"/>
          <w:szCs w:val="21"/>
        </w:rPr>
        <w:t>期和计划开、竣工日期，并在合同协议书中载明。</w:t>
      </w:r>
    </w:p>
    <w:p w14:paraId="568030AF">
      <w:pPr>
        <w:spacing w:before="321" w:line="236" w:lineRule="auto"/>
        <w:ind w:left="27"/>
        <w:outlineLvl w:val="3"/>
        <w:rPr>
          <w:rFonts w:ascii="黑体" w:hAnsi="黑体" w:eastAsia="黑体" w:cs="黑体"/>
          <w:sz w:val="28"/>
          <w:szCs w:val="28"/>
        </w:rPr>
      </w:pPr>
      <w:r>
        <w:rPr>
          <w:rFonts w:ascii="Times New Roman" w:hAnsi="Times New Roman" w:eastAsia="Times New Roman" w:cs="Times New Roman"/>
          <w:spacing w:val="3"/>
          <w:sz w:val="28"/>
          <w:szCs w:val="28"/>
        </w:rPr>
        <w:t xml:space="preserve">3.2  </w:t>
      </w:r>
      <w:r>
        <w:rPr>
          <w:rFonts w:ascii="黑体" w:hAnsi="黑体" w:eastAsia="黑体" w:cs="黑体"/>
          <w:spacing w:val="3"/>
          <w:sz w:val="28"/>
          <w:szCs w:val="28"/>
        </w:rPr>
        <w:t>关于工期的一般规定</w:t>
      </w:r>
    </w:p>
    <w:p w14:paraId="5529F8A1">
      <w:pPr>
        <w:pStyle w:val="2"/>
        <w:spacing w:line="448" w:lineRule="auto"/>
      </w:pPr>
    </w:p>
    <w:p w14:paraId="19D91AD9">
      <w:pPr>
        <w:spacing w:before="69" w:line="350" w:lineRule="auto"/>
        <w:ind w:left="26" w:firstLine="418"/>
        <w:rPr>
          <w:rFonts w:ascii="宋体" w:hAnsi="宋体" w:eastAsia="宋体" w:cs="宋体"/>
          <w:sz w:val="21"/>
          <w:szCs w:val="21"/>
        </w:rPr>
      </w:pPr>
      <w:r>
        <w:rPr>
          <w:rFonts w:ascii="Times New Roman" w:hAnsi="Times New Roman" w:eastAsia="Times New Roman" w:cs="Times New Roman"/>
          <w:sz w:val="21"/>
          <w:szCs w:val="21"/>
        </w:rPr>
        <w:t xml:space="preserve">3.2.1    </w:t>
      </w:r>
      <w:r>
        <w:rPr>
          <w:rFonts w:ascii="宋体" w:hAnsi="宋体" w:eastAsia="宋体" w:cs="宋体"/>
          <w:sz w:val="21"/>
          <w:szCs w:val="21"/>
        </w:rPr>
        <w:t>承包人在投标函中承诺的</w:t>
      </w:r>
      <w:r>
        <w:rPr>
          <w:rFonts w:ascii="宋体" w:hAnsi="宋体" w:eastAsia="宋体" w:cs="宋体"/>
          <w:spacing w:val="-1"/>
          <w:sz w:val="21"/>
          <w:szCs w:val="21"/>
        </w:rPr>
        <w:t xml:space="preserve">工期和计划开、竣工日期之间发生矛盾或者不一致时，以承包人承诺的工期为准。实际开工日期以通用合同条款第 </w:t>
      </w:r>
      <w:r>
        <w:rPr>
          <w:rFonts w:ascii="Times New Roman" w:hAnsi="Times New Roman" w:eastAsia="Times New Roman" w:cs="Times New Roman"/>
          <w:spacing w:val="-1"/>
          <w:sz w:val="21"/>
          <w:szCs w:val="21"/>
        </w:rPr>
        <w:t>11.1</w:t>
      </w:r>
      <w:r>
        <w:rPr>
          <w:rFonts w:ascii="Times New Roman" w:hAnsi="Times New Roman" w:eastAsia="Times New Roman" w:cs="Times New Roman"/>
          <w:spacing w:val="57"/>
          <w:w w:val="101"/>
          <w:sz w:val="21"/>
          <w:szCs w:val="21"/>
        </w:rPr>
        <w:t xml:space="preserve"> </w:t>
      </w:r>
      <w:r>
        <w:rPr>
          <w:rFonts w:ascii="宋体" w:hAnsi="宋体" w:eastAsia="宋体" w:cs="宋体"/>
          <w:spacing w:val="-1"/>
          <w:sz w:val="21"/>
          <w:szCs w:val="21"/>
        </w:rPr>
        <w:t>款约定的监理人发出的开</w:t>
      </w:r>
      <w:r>
        <w:rPr>
          <w:rFonts w:ascii="宋体" w:hAnsi="宋体" w:eastAsia="宋体" w:cs="宋体"/>
          <w:spacing w:val="-3"/>
          <w:sz w:val="21"/>
          <w:szCs w:val="21"/>
        </w:rPr>
        <w:t>工通知中载明的开工日期为准。</w:t>
      </w:r>
    </w:p>
    <w:p w14:paraId="05467EE3">
      <w:pPr>
        <w:spacing w:before="6" w:line="348" w:lineRule="auto"/>
        <w:ind w:left="25" w:right="65" w:firstLine="419"/>
        <w:rPr>
          <w:rFonts w:ascii="宋体" w:hAnsi="宋体" w:eastAsia="宋体" w:cs="宋体"/>
          <w:sz w:val="21"/>
          <w:szCs w:val="21"/>
        </w:rPr>
      </w:pPr>
      <w:r>
        <w:rPr>
          <w:rFonts w:ascii="Times New Roman" w:hAnsi="Times New Roman" w:eastAsia="Times New Roman" w:cs="Times New Roman"/>
          <w:spacing w:val="3"/>
          <w:sz w:val="21"/>
          <w:szCs w:val="21"/>
        </w:rPr>
        <w:t xml:space="preserve">3.2.2    </w:t>
      </w:r>
      <w:r>
        <w:rPr>
          <w:rFonts w:ascii="宋体" w:hAnsi="宋体" w:eastAsia="宋体" w:cs="宋体"/>
          <w:spacing w:val="3"/>
          <w:sz w:val="21"/>
          <w:szCs w:val="21"/>
        </w:rPr>
        <w:t>如果承包人在投标函附录中承诺的</w:t>
      </w:r>
      <w:r>
        <w:rPr>
          <w:rFonts w:ascii="宋体" w:hAnsi="宋体" w:eastAsia="宋体" w:cs="宋体"/>
          <w:spacing w:val="2"/>
          <w:sz w:val="21"/>
          <w:szCs w:val="21"/>
        </w:rPr>
        <w:t>工期提前于发包人在本工程招标文件中所要</w:t>
      </w:r>
      <w:r>
        <w:rPr>
          <w:rFonts w:ascii="宋体" w:hAnsi="宋体" w:eastAsia="宋体" w:cs="宋体"/>
          <w:spacing w:val="-2"/>
          <w:sz w:val="21"/>
          <w:szCs w:val="21"/>
        </w:rPr>
        <w:t>求的工期，承包人在施工组织设计中应当制定相应的工期保证措施，</w:t>
      </w:r>
      <w:r>
        <w:rPr>
          <w:rFonts w:ascii="宋体" w:hAnsi="宋体" w:eastAsia="宋体" w:cs="宋体"/>
          <w:spacing w:val="-3"/>
          <w:sz w:val="21"/>
          <w:szCs w:val="21"/>
        </w:rPr>
        <w:t>由此而增加的费用应当</w:t>
      </w:r>
    </w:p>
    <w:p w14:paraId="021A0A1B">
      <w:pPr>
        <w:spacing w:line="348" w:lineRule="auto"/>
        <w:rPr>
          <w:rFonts w:ascii="宋体" w:hAnsi="宋体" w:eastAsia="宋体" w:cs="宋体"/>
          <w:sz w:val="21"/>
          <w:szCs w:val="21"/>
        </w:rPr>
        <w:sectPr>
          <w:footerReference r:id="rId268" w:type="default"/>
          <w:pgSz w:w="11910" w:h="16845"/>
          <w:pgMar w:top="400" w:right="1721" w:bottom="1110" w:left="1786" w:header="0" w:footer="883" w:gutter="0"/>
          <w:cols w:space="720" w:num="1"/>
        </w:sectPr>
      </w:pPr>
    </w:p>
    <w:p w14:paraId="28C90B11">
      <w:pPr>
        <w:pStyle w:val="2"/>
        <w:spacing w:line="275" w:lineRule="auto"/>
      </w:pPr>
    </w:p>
    <w:p w14:paraId="7E002252">
      <w:pPr>
        <w:pStyle w:val="2"/>
        <w:spacing w:line="275" w:lineRule="auto"/>
      </w:pPr>
    </w:p>
    <w:p w14:paraId="5B066D77">
      <w:pPr>
        <w:pStyle w:val="2"/>
        <w:spacing w:line="275" w:lineRule="auto"/>
      </w:pPr>
    </w:p>
    <w:p w14:paraId="719883ED">
      <w:pPr>
        <w:pStyle w:val="2"/>
        <w:spacing w:line="275" w:lineRule="auto"/>
      </w:pPr>
    </w:p>
    <w:p w14:paraId="467E7B42">
      <w:pPr>
        <w:spacing w:before="68" w:line="350" w:lineRule="auto"/>
        <w:ind w:left="24" w:right="13"/>
        <w:rPr>
          <w:rFonts w:ascii="宋体" w:hAnsi="宋体" w:eastAsia="宋体" w:cs="宋体"/>
          <w:sz w:val="21"/>
          <w:szCs w:val="21"/>
        </w:rPr>
      </w:pPr>
      <w:r>
        <w:rPr>
          <w:rFonts w:ascii="宋体" w:hAnsi="宋体" w:eastAsia="宋体" w:cs="宋体"/>
          <w:spacing w:val="-3"/>
          <w:sz w:val="21"/>
          <w:szCs w:val="21"/>
        </w:rPr>
        <w:t>被认为已经包括在投标总价中。除合同另有约</w:t>
      </w:r>
      <w:r>
        <w:rPr>
          <w:rFonts w:ascii="宋体" w:hAnsi="宋体" w:eastAsia="宋体" w:cs="宋体"/>
          <w:spacing w:val="-4"/>
          <w:sz w:val="21"/>
          <w:szCs w:val="21"/>
        </w:rPr>
        <w:t>定外，</w:t>
      </w:r>
      <w:r>
        <w:rPr>
          <w:rFonts w:ascii="宋体" w:hAnsi="宋体" w:eastAsia="宋体" w:cs="宋体"/>
          <w:spacing w:val="-46"/>
          <w:sz w:val="21"/>
          <w:szCs w:val="21"/>
        </w:rPr>
        <w:t xml:space="preserve"> </w:t>
      </w:r>
      <w:r>
        <w:rPr>
          <w:rFonts w:ascii="宋体" w:hAnsi="宋体" w:eastAsia="宋体" w:cs="宋体"/>
          <w:spacing w:val="-4"/>
          <w:sz w:val="21"/>
          <w:szCs w:val="21"/>
        </w:rPr>
        <w:t>合同履约过程中发包人不会因此再向承</w:t>
      </w:r>
      <w:r>
        <w:rPr>
          <w:rFonts w:ascii="宋体" w:hAnsi="宋体" w:eastAsia="宋体" w:cs="宋体"/>
          <w:spacing w:val="-1"/>
          <w:sz w:val="21"/>
          <w:szCs w:val="21"/>
        </w:rPr>
        <w:t>包人支付任何性质的技术措施费用、赶工费用或其他任何性质的提前完工奖励等费用。</w:t>
      </w:r>
    </w:p>
    <w:p w14:paraId="02CC5AC2">
      <w:pPr>
        <w:spacing w:line="356" w:lineRule="auto"/>
        <w:ind w:left="41" w:right="6" w:firstLine="403"/>
        <w:rPr>
          <w:rFonts w:ascii="宋体" w:hAnsi="宋体" w:eastAsia="宋体" w:cs="宋体"/>
          <w:sz w:val="21"/>
          <w:szCs w:val="21"/>
        </w:rPr>
      </w:pPr>
      <w:r>
        <w:rPr>
          <w:rFonts w:ascii="Times New Roman" w:hAnsi="Times New Roman" w:eastAsia="Times New Roman" w:cs="Times New Roman"/>
          <w:sz w:val="21"/>
          <w:szCs w:val="21"/>
        </w:rPr>
        <w:t xml:space="preserve">3.2.3    </w:t>
      </w:r>
      <w:r>
        <w:rPr>
          <w:rFonts w:ascii="宋体" w:hAnsi="宋体" w:eastAsia="宋体" w:cs="宋体"/>
          <w:sz w:val="21"/>
          <w:szCs w:val="21"/>
        </w:rPr>
        <w:t>承包人在投标函附录中所承诺的工期应当包括实施并完成本节上述</w:t>
      </w:r>
      <w:r>
        <w:rPr>
          <w:rFonts w:ascii="宋体" w:hAnsi="宋体" w:eastAsia="宋体" w:cs="宋体"/>
          <w:spacing w:val="-42"/>
          <w:sz w:val="21"/>
          <w:szCs w:val="21"/>
        </w:rPr>
        <w:t xml:space="preserve"> </w:t>
      </w:r>
      <w:r>
        <w:rPr>
          <w:rFonts w:ascii="Times New Roman" w:hAnsi="Times New Roman" w:eastAsia="Times New Roman" w:cs="Times New Roman"/>
          <w:sz w:val="21"/>
          <w:szCs w:val="21"/>
        </w:rPr>
        <w:t>2.1.2</w:t>
      </w:r>
      <w:r>
        <w:rPr>
          <w:rFonts w:ascii="Times New Roman" w:hAnsi="Times New Roman" w:eastAsia="Times New Roman" w:cs="Times New Roman"/>
          <w:spacing w:val="19"/>
          <w:w w:val="101"/>
          <w:sz w:val="21"/>
          <w:szCs w:val="21"/>
        </w:rPr>
        <w:t xml:space="preserve"> </w:t>
      </w:r>
      <w:r>
        <w:rPr>
          <w:rFonts w:ascii="宋体" w:hAnsi="宋体" w:eastAsia="宋体" w:cs="宋体"/>
          <w:sz w:val="21"/>
          <w:szCs w:val="21"/>
        </w:rPr>
        <w:t>项规定</w:t>
      </w:r>
      <w:r>
        <w:rPr>
          <w:rFonts w:ascii="宋体" w:hAnsi="宋体" w:eastAsia="宋体" w:cs="宋体"/>
          <w:spacing w:val="-1"/>
          <w:sz w:val="21"/>
          <w:szCs w:val="21"/>
        </w:rPr>
        <w:t>的暂估价项目和上述</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2.1.3</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项规定的实际可能发生的暂列金额在内的所有工作的工期。</w:t>
      </w:r>
    </w:p>
    <w:p w14:paraId="555E9322">
      <w:pPr>
        <w:spacing w:before="296" w:line="237" w:lineRule="auto"/>
        <w:ind w:left="20"/>
        <w:outlineLvl w:val="2"/>
        <w:rPr>
          <w:rFonts w:ascii="黑体" w:hAnsi="黑体" w:eastAsia="黑体" w:cs="黑体"/>
          <w:sz w:val="28"/>
          <w:szCs w:val="28"/>
        </w:rPr>
      </w:pPr>
      <w:bookmarkStart w:id="597" w:name="bookmark550"/>
      <w:bookmarkEnd w:id="597"/>
      <w:r>
        <w:rPr>
          <w:rFonts w:ascii="Times New Roman" w:hAnsi="Times New Roman" w:eastAsia="Times New Roman" w:cs="Times New Roman"/>
          <w:spacing w:val="7"/>
          <w:sz w:val="28"/>
          <w:szCs w:val="28"/>
        </w:rPr>
        <w:t>4.</w:t>
      </w:r>
      <w:r>
        <w:rPr>
          <w:rFonts w:ascii="黑体" w:hAnsi="黑体" w:eastAsia="黑体" w:cs="黑体"/>
          <w:spacing w:val="7"/>
          <w:sz w:val="28"/>
          <w:szCs w:val="28"/>
        </w:rPr>
        <w:t>质量要求</w:t>
      </w:r>
    </w:p>
    <w:p w14:paraId="630EB4CD">
      <w:pPr>
        <w:pStyle w:val="2"/>
        <w:spacing w:line="447" w:lineRule="auto"/>
      </w:pPr>
    </w:p>
    <w:p w14:paraId="6973E898">
      <w:pPr>
        <w:spacing w:before="91" w:line="237" w:lineRule="auto"/>
        <w:ind w:left="20"/>
        <w:outlineLvl w:val="3"/>
        <w:rPr>
          <w:rFonts w:ascii="黑体" w:hAnsi="黑体" w:eastAsia="黑体" w:cs="黑体"/>
          <w:sz w:val="28"/>
          <w:szCs w:val="28"/>
        </w:rPr>
      </w:pPr>
      <w:r>
        <w:rPr>
          <w:rFonts w:ascii="Times New Roman" w:hAnsi="Times New Roman" w:eastAsia="Times New Roman" w:cs="Times New Roman"/>
          <w:spacing w:val="5"/>
          <w:sz w:val="28"/>
          <w:szCs w:val="28"/>
        </w:rPr>
        <w:t xml:space="preserve">4.1  </w:t>
      </w:r>
      <w:r>
        <w:rPr>
          <w:rFonts w:ascii="黑体" w:hAnsi="黑体" w:eastAsia="黑体" w:cs="黑体"/>
          <w:spacing w:val="5"/>
          <w:sz w:val="28"/>
          <w:szCs w:val="28"/>
        </w:rPr>
        <w:t>质量标准</w:t>
      </w:r>
    </w:p>
    <w:p w14:paraId="3EF09C18">
      <w:pPr>
        <w:pStyle w:val="2"/>
        <w:spacing w:line="445" w:lineRule="auto"/>
      </w:pPr>
    </w:p>
    <w:p w14:paraId="21E46E58">
      <w:pPr>
        <w:spacing w:before="69" w:line="348" w:lineRule="auto"/>
        <w:ind w:left="23" w:right="11" w:firstLine="416"/>
        <w:rPr>
          <w:rFonts w:ascii="宋体" w:hAnsi="宋体" w:eastAsia="宋体" w:cs="宋体"/>
          <w:sz w:val="21"/>
          <w:szCs w:val="21"/>
        </w:rPr>
      </w:pPr>
      <w:r>
        <w:rPr>
          <w:rFonts w:ascii="Times New Roman" w:hAnsi="Times New Roman" w:eastAsia="Times New Roman" w:cs="Times New Roman"/>
          <w:spacing w:val="-2"/>
          <w:sz w:val="21"/>
          <w:szCs w:val="21"/>
        </w:rPr>
        <w:t xml:space="preserve">4.1.1    </w:t>
      </w:r>
      <w:r>
        <w:rPr>
          <w:rFonts w:ascii="宋体" w:hAnsi="宋体" w:eastAsia="宋体" w:cs="宋体"/>
          <w:spacing w:val="-2"/>
          <w:sz w:val="21"/>
          <w:szCs w:val="21"/>
        </w:rPr>
        <w:t>本工程要求的质量标准为符合现行国家有关工程施工验收规范和标准的要求（也</w:t>
      </w:r>
      <w:r>
        <w:rPr>
          <w:rFonts w:ascii="宋体" w:hAnsi="宋体" w:eastAsia="宋体" w:cs="宋体"/>
          <w:spacing w:val="-26"/>
          <w:sz w:val="21"/>
          <w:szCs w:val="21"/>
        </w:rPr>
        <w:t>称合格）。</w:t>
      </w:r>
    </w:p>
    <w:p w14:paraId="756C467E">
      <w:pPr>
        <w:spacing w:before="328" w:line="237" w:lineRule="auto"/>
        <w:ind w:left="20"/>
        <w:outlineLvl w:val="3"/>
        <w:rPr>
          <w:rFonts w:ascii="黑体" w:hAnsi="黑体" w:eastAsia="黑体" w:cs="黑体"/>
          <w:sz w:val="28"/>
          <w:szCs w:val="28"/>
        </w:rPr>
      </w:pPr>
      <w:r>
        <w:rPr>
          <w:rFonts w:ascii="Times New Roman" w:hAnsi="Times New Roman" w:eastAsia="Times New Roman" w:cs="Times New Roman"/>
          <w:spacing w:val="4"/>
          <w:sz w:val="28"/>
          <w:szCs w:val="28"/>
        </w:rPr>
        <w:t xml:space="preserve">4.2  </w:t>
      </w:r>
      <w:r>
        <w:rPr>
          <w:rFonts w:ascii="黑体" w:hAnsi="黑体" w:eastAsia="黑体" w:cs="黑体"/>
          <w:spacing w:val="4"/>
          <w:sz w:val="28"/>
          <w:szCs w:val="28"/>
        </w:rPr>
        <w:t>特殊质量要求</w:t>
      </w:r>
    </w:p>
    <w:p w14:paraId="56C99FA7">
      <w:pPr>
        <w:pStyle w:val="2"/>
        <w:spacing w:line="445" w:lineRule="auto"/>
      </w:pPr>
    </w:p>
    <w:p w14:paraId="62A92629">
      <w:pPr>
        <w:spacing w:before="68" w:line="233" w:lineRule="auto"/>
        <w:ind w:left="439"/>
        <w:rPr>
          <w:rFonts w:ascii="宋体" w:hAnsi="宋体" w:eastAsia="宋体" w:cs="宋体"/>
          <w:sz w:val="21"/>
          <w:szCs w:val="21"/>
        </w:rPr>
      </w:pPr>
      <w:r>
        <w:rPr>
          <w:rFonts w:ascii="Times New Roman" w:hAnsi="Times New Roman" w:eastAsia="Times New Roman" w:cs="Times New Roman"/>
          <w:spacing w:val="-1"/>
          <w:sz w:val="21"/>
          <w:szCs w:val="21"/>
        </w:rPr>
        <w:t xml:space="preserve">4.2.1    </w:t>
      </w:r>
      <w:r>
        <w:rPr>
          <w:rFonts w:ascii="宋体" w:hAnsi="宋体" w:eastAsia="宋体" w:cs="宋体"/>
          <w:spacing w:val="-1"/>
          <w:sz w:val="21"/>
          <w:szCs w:val="21"/>
        </w:rPr>
        <w:t>有关本工程质量方面的特殊要求如下：</w:t>
      </w:r>
    </w:p>
    <w:p w14:paraId="79925207">
      <w:pPr>
        <w:pStyle w:val="2"/>
        <w:spacing w:line="275" w:lineRule="auto"/>
      </w:pPr>
    </w:p>
    <w:p w14:paraId="7088B768">
      <w:pPr>
        <w:pStyle w:val="2"/>
        <w:spacing w:line="275" w:lineRule="auto"/>
      </w:pPr>
      <w:r>
        <w:pict>
          <v:shape id="_x0000_s1231" o:spid="_x0000_s1231" style="position:absolute;left:0pt;margin-left:27.05pt;margin-top:8.2pt;height:0.75pt;width:352.25pt;z-index:251874304;mso-width-relative:page;mso-height-relative:page;" fillcolor="#000000" filled="t" stroked="f" coordsize="7045,15" path="m0,15l7044,15,7044,0,0,0,0,15xe">
            <v:path/>
            <v:fill on="t" focussize="0,0"/>
            <v:stroke on="f"/>
            <v:imagedata o:title=""/>
            <o:lock v:ext="edit"/>
          </v:shape>
        </w:pict>
      </w:r>
    </w:p>
    <w:p w14:paraId="7A51FB07">
      <w:pPr>
        <w:pStyle w:val="2"/>
        <w:spacing w:line="276" w:lineRule="auto"/>
      </w:pPr>
    </w:p>
    <w:p w14:paraId="5BD75D23">
      <w:pPr>
        <w:pStyle w:val="2"/>
        <w:spacing w:line="276" w:lineRule="auto"/>
      </w:pPr>
      <w:r>
        <w:pict>
          <v:shape id="_x0000_s1232" o:spid="_x0000_s1232" style="position:absolute;left:0pt;margin-left:21.8pt;margin-top:0.75pt;height:0.75pt;width:352.25pt;z-index:251872256;mso-width-relative:page;mso-height-relative:page;" fillcolor="#000000" filled="t" stroked="f" coordsize="7045,15" path="m0,15l7044,15,7044,0,0,0,0,15xe">
            <v:path/>
            <v:fill on="t" focussize="0,0"/>
            <v:stroke on="f"/>
            <v:imagedata o:title=""/>
            <o:lock v:ext="edit"/>
          </v:shape>
        </w:pict>
      </w:r>
    </w:p>
    <w:p w14:paraId="355E5A95">
      <w:pPr>
        <w:spacing w:before="69" w:line="105" w:lineRule="exact"/>
        <w:ind w:left="7509"/>
        <w:rPr>
          <w:rFonts w:ascii="宋体" w:hAnsi="宋体" w:eastAsia="宋体" w:cs="宋体"/>
          <w:sz w:val="21"/>
          <w:szCs w:val="21"/>
        </w:rPr>
      </w:pPr>
      <w:r>
        <w:pict>
          <v:shape id="_x0000_s1233" o:spid="_x0000_s1233" style="position:absolute;left:0pt;margin-left:21.8pt;margin-top:7.15pt;height:0.75pt;width:352.25pt;z-index:25187328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63DB21A7">
      <w:pPr>
        <w:pStyle w:val="2"/>
        <w:spacing w:line="351" w:lineRule="auto"/>
      </w:pPr>
    </w:p>
    <w:p w14:paraId="48FB4968">
      <w:pPr>
        <w:spacing w:before="92" w:line="238" w:lineRule="auto"/>
        <w:ind w:left="29"/>
        <w:outlineLvl w:val="2"/>
        <w:rPr>
          <w:rFonts w:ascii="黑体" w:hAnsi="黑体" w:eastAsia="黑体" w:cs="黑体"/>
          <w:sz w:val="28"/>
          <w:szCs w:val="28"/>
        </w:rPr>
      </w:pPr>
      <w:bookmarkStart w:id="598" w:name="bookmark551"/>
      <w:bookmarkEnd w:id="598"/>
      <w:r>
        <w:rPr>
          <w:rFonts w:ascii="Times New Roman" w:hAnsi="Times New Roman" w:eastAsia="Times New Roman" w:cs="Times New Roman"/>
          <w:spacing w:val="4"/>
          <w:sz w:val="28"/>
          <w:szCs w:val="28"/>
        </w:rPr>
        <w:t>5.</w:t>
      </w:r>
      <w:r>
        <w:rPr>
          <w:rFonts w:ascii="黑体" w:hAnsi="黑体" w:eastAsia="黑体" w:cs="黑体"/>
          <w:spacing w:val="4"/>
          <w:sz w:val="28"/>
          <w:szCs w:val="28"/>
        </w:rPr>
        <w:t>适用规范和标准</w:t>
      </w:r>
    </w:p>
    <w:p w14:paraId="31F6D6C8">
      <w:pPr>
        <w:pStyle w:val="2"/>
        <w:spacing w:line="460" w:lineRule="auto"/>
      </w:pPr>
    </w:p>
    <w:p w14:paraId="1E570800">
      <w:pPr>
        <w:spacing w:before="91" w:line="237" w:lineRule="auto"/>
        <w:ind w:left="29"/>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5.1  </w:t>
      </w:r>
      <w:r>
        <w:rPr>
          <w:rFonts w:ascii="黑体" w:hAnsi="黑体" w:eastAsia="黑体" w:cs="黑体"/>
          <w:spacing w:val="2"/>
          <w:sz w:val="28"/>
          <w:szCs w:val="28"/>
        </w:rPr>
        <w:t>适用的规范、标准和规程</w:t>
      </w:r>
    </w:p>
    <w:p w14:paraId="74F95D54">
      <w:pPr>
        <w:pStyle w:val="2"/>
        <w:spacing w:line="445" w:lineRule="auto"/>
      </w:pPr>
    </w:p>
    <w:p w14:paraId="06059D35">
      <w:pPr>
        <w:spacing w:before="69" w:line="348" w:lineRule="auto"/>
        <w:ind w:left="27" w:right="2"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5.1.1    </w:t>
      </w:r>
      <w:r>
        <w:rPr>
          <w:rFonts w:ascii="宋体" w:hAnsi="宋体" w:eastAsia="宋体" w:cs="宋体"/>
          <w:spacing w:val="-2"/>
          <w:sz w:val="21"/>
          <w:szCs w:val="21"/>
        </w:rPr>
        <w:t>除合同另有约定外，本工程适用现行国家、行业和地方规范、标准和规程。适用</w:t>
      </w:r>
      <w:r>
        <w:rPr>
          <w:rFonts w:ascii="宋体" w:hAnsi="宋体" w:eastAsia="宋体" w:cs="宋体"/>
          <w:spacing w:val="-1"/>
          <w:sz w:val="21"/>
          <w:szCs w:val="21"/>
        </w:rPr>
        <w:t>于本工程的国家、行业和地方的规范、标准和规范等的名录见本章第三节。</w:t>
      </w:r>
    </w:p>
    <w:p w14:paraId="3CEB94C6">
      <w:pPr>
        <w:spacing w:before="5" w:line="356" w:lineRule="auto"/>
        <w:ind w:left="25" w:right="14" w:firstLine="422"/>
        <w:rPr>
          <w:rFonts w:ascii="宋体" w:hAnsi="宋体" w:eastAsia="宋体" w:cs="宋体"/>
          <w:sz w:val="21"/>
          <w:szCs w:val="21"/>
        </w:rPr>
      </w:pPr>
      <w:r>
        <w:rPr>
          <w:rFonts w:ascii="宋体" w:hAnsi="宋体" w:eastAsia="宋体" w:cs="宋体"/>
          <w:spacing w:val="-4"/>
          <w:sz w:val="21"/>
          <w:szCs w:val="21"/>
        </w:rPr>
        <w:t>构成合同文件的任何内容与适用的规范、标准和规程之间出现矛盾，</w:t>
      </w:r>
      <w:r>
        <w:rPr>
          <w:rFonts w:ascii="宋体" w:hAnsi="宋体" w:eastAsia="宋体" w:cs="宋体"/>
          <w:spacing w:val="-38"/>
          <w:sz w:val="21"/>
          <w:szCs w:val="21"/>
        </w:rPr>
        <w:t xml:space="preserve"> </w:t>
      </w:r>
      <w:r>
        <w:rPr>
          <w:rFonts w:ascii="宋体" w:hAnsi="宋体" w:eastAsia="宋体" w:cs="宋体"/>
          <w:spacing w:val="-4"/>
          <w:sz w:val="21"/>
          <w:szCs w:val="21"/>
        </w:rPr>
        <w:t>承包人应书面要求</w:t>
      </w:r>
      <w:r>
        <w:rPr>
          <w:rFonts w:ascii="宋体" w:hAnsi="宋体" w:eastAsia="宋体" w:cs="宋体"/>
          <w:spacing w:val="-1"/>
          <w:sz w:val="21"/>
          <w:szCs w:val="21"/>
        </w:rPr>
        <w:t>监理人予以澄清，除监理人有特别指示外，承包人应按照其中要求最严格的标准执行。</w:t>
      </w:r>
    </w:p>
    <w:p w14:paraId="758F2E6C">
      <w:pPr>
        <w:spacing w:before="4" w:line="356" w:lineRule="auto"/>
        <w:ind w:left="23" w:firstLine="423"/>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5.1.2    </w:t>
      </w:r>
      <w:r>
        <w:rPr>
          <w:rFonts w:ascii="宋体" w:hAnsi="宋体" w:eastAsia="宋体" w:cs="宋体"/>
          <w:spacing w:val="-2"/>
          <w:sz w:val="21"/>
          <w:szCs w:val="21"/>
        </w:rPr>
        <w:t>除合同另有约定外，材料、施工工艺和本工程都应依照本技术标准和要求以及适用的现行规范、标准和规程的最新版本执行。若适用的现行规范、标准和规程的最</w:t>
      </w:r>
      <w:r>
        <w:rPr>
          <w:rFonts w:ascii="宋体" w:hAnsi="宋体" w:eastAsia="宋体" w:cs="宋体"/>
          <w:spacing w:val="-3"/>
          <w:sz w:val="21"/>
          <w:szCs w:val="21"/>
        </w:rPr>
        <w:t>新版本是</w:t>
      </w:r>
      <w:r>
        <w:rPr>
          <w:rFonts w:ascii="宋体" w:hAnsi="宋体" w:eastAsia="宋体" w:cs="宋体"/>
          <w:spacing w:val="-2"/>
          <w:sz w:val="21"/>
          <w:szCs w:val="21"/>
        </w:rPr>
        <w:t>在基准日后颁布的，且相应标准发生变更并成为合同文件中最严格的标准，</w:t>
      </w:r>
      <w:r>
        <w:rPr>
          <w:rFonts w:ascii="宋体" w:hAnsi="宋体" w:eastAsia="宋体" w:cs="宋体"/>
          <w:spacing w:val="-3"/>
          <w:sz w:val="21"/>
          <w:szCs w:val="21"/>
        </w:rPr>
        <w:t>则应按合同条款</w:t>
      </w:r>
      <w:r>
        <w:rPr>
          <w:rFonts w:ascii="宋体" w:hAnsi="宋体" w:eastAsia="宋体" w:cs="宋体"/>
          <w:spacing w:val="-7"/>
          <w:sz w:val="21"/>
          <w:szCs w:val="21"/>
        </w:rPr>
        <w:t>第</w:t>
      </w:r>
      <w:r>
        <w:rPr>
          <w:rFonts w:ascii="宋体" w:hAnsi="宋体" w:eastAsia="宋体" w:cs="宋体"/>
          <w:spacing w:val="-16"/>
          <w:sz w:val="21"/>
          <w:szCs w:val="21"/>
        </w:rPr>
        <w:t xml:space="preserve"> </w:t>
      </w:r>
      <w:r>
        <w:rPr>
          <w:rFonts w:ascii="Times New Roman" w:hAnsi="Times New Roman" w:eastAsia="Times New Roman" w:cs="Times New Roman"/>
          <w:spacing w:val="-7"/>
          <w:sz w:val="21"/>
          <w:szCs w:val="21"/>
        </w:rPr>
        <w:t>15</w:t>
      </w:r>
      <w:r>
        <w:rPr>
          <w:rFonts w:ascii="Times New Roman" w:hAnsi="Times New Roman" w:eastAsia="Times New Roman" w:cs="Times New Roman"/>
          <w:spacing w:val="18"/>
          <w:w w:val="101"/>
          <w:sz w:val="21"/>
          <w:szCs w:val="21"/>
        </w:rPr>
        <w:t xml:space="preserve"> </w:t>
      </w:r>
      <w:r>
        <w:rPr>
          <w:rFonts w:ascii="宋体" w:hAnsi="宋体" w:eastAsia="宋体" w:cs="宋体"/>
          <w:spacing w:val="-7"/>
          <w:sz w:val="21"/>
          <w:szCs w:val="21"/>
        </w:rPr>
        <w:t>条的约定办理。</w:t>
      </w:r>
    </w:p>
    <w:p w14:paraId="3F37249B">
      <w:pPr>
        <w:spacing w:before="277" w:line="237" w:lineRule="auto"/>
        <w:ind w:left="29"/>
        <w:outlineLvl w:val="3"/>
        <w:rPr>
          <w:rFonts w:ascii="黑体" w:hAnsi="黑体" w:eastAsia="黑体" w:cs="黑体"/>
          <w:sz w:val="28"/>
          <w:szCs w:val="28"/>
        </w:rPr>
      </w:pPr>
      <w:r>
        <w:rPr>
          <w:rFonts w:ascii="Times New Roman" w:hAnsi="Times New Roman" w:eastAsia="Times New Roman" w:cs="Times New Roman"/>
          <w:spacing w:val="3"/>
          <w:sz w:val="28"/>
          <w:szCs w:val="28"/>
        </w:rPr>
        <w:t xml:space="preserve">5.2  </w:t>
      </w:r>
      <w:r>
        <w:rPr>
          <w:rFonts w:ascii="黑体" w:hAnsi="黑体" w:eastAsia="黑体" w:cs="黑体"/>
          <w:spacing w:val="3"/>
          <w:sz w:val="28"/>
          <w:szCs w:val="28"/>
        </w:rPr>
        <w:t>特殊技术标准和要求</w:t>
      </w:r>
    </w:p>
    <w:p w14:paraId="04E8020E">
      <w:pPr>
        <w:spacing w:line="237" w:lineRule="auto"/>
        <w:rPr>
          <w:rFonts w:ascii="黑体" w:hAnsi="黑体" w:eastAsia="黑体" w:cs="黑体"/>
          <w:sz w:val="28"/>
          <w:szCs w:val="28"/>
        </w:rPr>
        <w:sectPr>
          <w:footerReference r:id="rId269" w:type="default"/>
          <w:pgSz w:w="11910" w:h="16845"/>
          <w:pgMar w:top="400" w:right="1765" w:bottom="1110" w:left="1786" w:header="0" w:footer="883" w:gutter="0"/>
          <w:cols w:space="720" w:num="1"/>
        </w:sectPr>
      </w:pPr>
    </w:p>
    <w:p w14:paraId="1039A2C2">
      <w:pPr>
        <w:pStyle w:val="2"/>
        <w:spacing w:line="275" w:lineRule="auto"/>
      </w:pPr>
    </w:p>
    <w:p w14:paraId="5CC4B3A8">
      <w:pPr>
        <w:pStyle w:val="2"/>
        <w:spacing w:line="275" w:lineRule="auto"/>
      </w:pPr>
    </w:p>
    <w:p w14:paraId="62F19615">
      <w:pPr>
        <w:pStyle w:val="2"/>
        <w:spacing w:line="275" w:lineRule="auto"/>
      </w:pPr>
    </w:p>
    <w:p w14:paraId="3647C462">
      <w:pPr>
        <w:pStyle w:val="2"/>
        <w:spacing w:line="275" w:lineRule="auto"/>
      </w:pPr>
    </w:p>
    <w:p w14:paraId="16034CEF">
      <w:pPr>
        <w:spacing w:before="69" w:line="233" w:lineRule="auto"/>
        <w:ind w:left="446"/>
        <w:rPr>
          <w:rFonts w:ascii="宋体" w:hAnsi="宋体" w:eastAsia="宋体" w:cs="宋体"/>
          <w:sz w:val="21"/>
          <w:szCs w:val="21"/>
        </w:rPr>
      </w:pPr>
      <w:r>
        <w:rPr>
          <w:rFonts w:ascii="Times New Roman" w:hAnsi="Times New Roman" w:eastAsia="Times New Roman" w:cs="Times New Roman"/>
          <w:spacing w:val="-1"/>
          <w:sz w:val="21"/>
          <w:szCs w:val="21"/>
        </w:rPr>
        <w:t xml:space="preserve">5.2.1    </w:t>
      </w:r>
      <w:r>
        <w:rPr>
          <w:rFonts w:ascii="宋体" w:hAnsi="宋体" w:eastAsia="宋体" w:cs="宋体"/>
          <w:spacing w:val="-1"/>
          <w:sz w:val="21"/>
          <w:szCs w:val="21"/>
        </w:rPr>
        <w:t>适用本工程的特殊技术标准和要求见本章第二节。</w:t>
      </w:r>
    </w:p>
    <w:p w14:paraId="593AC7D7">
      <w:pPr>
        <w:spacing w:before="140" w:line="233" w:lineRule="auto"/>
        <w:ind w:left="446"/>
        <w:rPr>
          <w:rFonts w:ascii="宋体" w:hAnsi="宋体" w:eastAsia="宋体" w:cs="宋体"/>
          <w:sz w:val="21"/>
          <w:szCs w:val="21"/>
        </w:rPr>
      </w:pPr>
      <w:r>
        <w:rPr>
          <w:rFonts w:ascii="Times New Roman" w:hAnsi="Times New Roman" w:eastAsia="Times New Roman" w:cs="Times New Roman"/>
          <w:sz w:val="21"/>
          <w:szCs w:val="21"/>
        </w:rPr>
        <w:t xml:space="preserve">5.2.2    </w:t>
      </w:r>
      <w:r>
        <w:rPr>
          <w:rFonts w:ascii="宋体" w:hAnsi="宋体" w:eastAsia="宋体" w:cs="宋体"/>
          <w:sz w:val="21"/>
          <w:szCs w:val="21"/>
        </w:rPr>
        <w:t>有合同约束力的图纸和其他设计文件中的有关文字说</w:t>
      </w:r>
      <w:r>
        <w:rPr>
          <w:rFonts w:ascii="宋体" w:hAnsi="宋体" w:eastAsia="宋体" w:cs="宋体"/>
          <w:spacing w:val="-1"/>
          <w:sz w:val="21"/>
          <w:szCs w:val="21"/>
        </w:rPr>
        <w:t>明是本节的组成内容。</w:t>
      </w:r>
    </w:p>
    <w:p w14:paraId="0CA8019A">
      <w:pPr>
        <w:pStyle w:val="2"/>
        <w:spacing w:line="327" w:lineRule="auto"/>
      </w:pPr>
    </w:p>
    <w:p w14:paraId="70022981">
      <w:pPr>
        <w:spacing w:before="91" w:line="236" w:lineRule="auto"/>
        <w:ind w:left="28"/>
        <w:outlineLvl w:val="2"/>
        <w:rPr>
          <w:rFonts w:ascii="黑体" w:hAnsi="黑体" w:eastAsia="黑体" w:cs="黑体"/>
          <w:sz w:val="28"/>
          <w:szCs w:val="28"/>
        </w:rPr>
      </w:pPr>
      <w:bookmarkStart w:id="599" w:name="bookmark552"/>
      <w:bookmarkEnd w:id="599"/>
      <w:r>
        <w:rPr>
          <w:rFonts w:ascii="Times New Roman" w:hAnsi="Times New Roman" w:eastAsia="Times New Roman" w:cs="Times New Roman"/>
          <w:spacing w:val="5"/>
          <w:sz w:val="28"/>
          <w:szCs w:val="28"/>
        </w:rPr>
        <w:t>6.</w:t>
      </w:r>
      <w:r>
        <w:rPr>
          <w:rFonts w:ascii="黑体" w:hAnsi="黑体" w:eastAsia="黑体" w:cs="黑体"/>
          <w:spacing w:val="5"/>
          <w:sz w:val="28"/>
          <w:szCs w:val="28"/>
        </w:rPr>
        <w:t>安全文明施工</w:t>
      </w:r>
    </w:p>
    <w:p w14:paraId="4F35F447">
      <w:pPr>
        <w:pStyle w:val="2"/>
        <w:spacing w:line="464" w:lineRule="auto"/>
      </w:pPr>
    </w:p>
    <w:p w14:paraId="6C1D9163">
      <w:pPr>
        <w:spacing w:before="91" w:line="236" w:lineRule="auto"/>
        <w:ind w:left="28"/>
        <w:outlineLvl w:val="3"/>
        <w:rPr>
          <w:rFonts w:ascii="黑体" w:hAnsi="黑体" w:eastAsia="黑体" w:cs="黑体"/>
          <w:sz w:val="28"/>
          <w:szCs w:val="28"/>
        </w:rPr>
      </w:pPr>
      <w:r>
        <w:rPr>
          <w:rFonts w:ascii="Times New Roman" w:hAnsi="Times New Roman" w:eastAsia="Times New Roman" w:cs="Times New Roman"/>
          <w:spacing w:val="2"/>
          <w:sz w:val="28"/>
          <w:szCs w:val="28"/>
        </w:rPr>
        <w:t>6.1</w:t>
      </w:r>
      <w:r>
        <w:rPr>
          <w:rFonts w:ascii="Times New Roman" w:hAnsi="Times New Roman" w:eastAsia="Times New Roman" w:cs="Times New Roman"/>
          <w:spacing w:val="14"/>
          <w:sz w:val="28"/>
          <w:szCs w:val="28"/>
        </w:rPr>
        <w:t xml:space="preserve">  </w:t>
      </w:r>
      <w:r>
        <w:rPr>
          <w:rFonts w:ascii="黑体" w:hAnsi="黑体" w:eastAsia="黑体" w:cs="黑体"/>
          <w:spacing w:val="2"/>
          <w:sz w:val="28"/>
          <w:szCs w:val="28"/>
        </w:rPr>
        <w:t>安全防护</w:t>
      </w:r>
    </w:p>
    <w:p w14:paraId="755AF7E0">
      <w:pPr>
        <w:pStyle w:val="2"/>
        <w:spacing w:line="448" w:lineRule="auto"/>
      </w:pPr>
    </w:p>
    <w:p w14:paraId="5146F9EE">
      <w:pPr>
        <w:spacing w:before="68" w:line="344" w:lineRule="auto"/>
        <w:ind w:left="24" w:right="75" w:firstLine="421"/>
        <w:rPr>
          <w:rFonts w:ascii="宋体" w:hAnsi="宋体" w:eastAsia="宋体" w:cs="宋体"/>
          <w:sz w:val="21"/>
          <w:szCs w:val="21"/>
        </w:rPr>
      </w:pPr>
      <w:r>
        <w:rPr>
          <w:rFonts w:ascii="Times New Roman" w:hAnsi="Times New Roman" w:eastAsia="Times New Roman" w:cs="Times New Roman"/>
          <w:spacing w:val="-2"/>
          <w:sz w:val="21"/>
          <w:szCs w:val="21"/>
        </w:rPr>
        <w:t xml:space="preserve">6.1.1    </w:t>
      </w:r>
      <w:r>
        <w:rPr>
          <w:rFonts w:ascii="宋体" w:hAnsi="宋体" w:eastAsia="宋体" w:cs="宋体"/>
          <w:spacing w:val="-2"/>
          <w:sz w:val="21"/>
          <w:szCs w:val="21"/>
        </w:rPr>
        <w:t>在工程施工、竣工、交付及修补任何缺陷的过程中，承包人应当始终遵守国家和</w:t>
      </w:r>
      <w:r>
        <w:rPr>
          <w:rFonts w:ascii="宋体" w:hAnsi="宋体" w:eastAsia="宋体" w:cs="宋体"/>
          <w:spacing w:val="-1"/>
          <w:sz w:val="21"/>
          <w:szCs w:val="21"/>
        </w:rPr>
        <w:t>地方有关安全生产的法律、法规、规范、标准和规程等，按照通用合同条款第</w:t>
      </w:r>
      <w:r>
        <w:rPr>
          <w:rFonts w:ascii="宋体" w:hAnsi="宋体" w:eastAsia="宋体" w:cs="宋体"/>
          <w:spacing w:val="-44"/>
          <w:sz w:val="21"/>
          <w:szCs w:val="21"/>
        </w:rPr>
        <w:t xml:space="preserve"> </w:t>
      </w:r>
      <w:r>
        <w:rPr>
          <w:rFonts w:ascii="Times New Roman" w:hAnsi="Times New Roman" w:eastAsia="Times New Roman" w:cs="Times New Roman"/>
          <w:spacing w:val="-1"/>
          <w:sz w:val="21"/>
          <w:szCs w:val="21"/>
        </w:rPr>
        <w:t>9</w:t>
      </w:r>
      <w:r>
        <w:rPr>
          <w:rFonts w:ascii="Times New Roman" w:hAnsi="Times New Roman" w:eastAsia="Times New Roman" w:cs="Times New Roman"/>
          <w:spacing w:val="-2"/>
          <w:sz w:val="21"/>
          <w:szCs w:val="21"/>
        </w:rPr>
        <w:t>.2</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款的约定</w:t>
      </w:r>
      <w:r>
        <w:rPr>
          <w:rFonts w:ascii="宋体" w:hAnsi="宋体" w:eastAsia="宋体" w:cs="宋体"/>
          <w:spacing w:val="-4"/>
          <w:sz w:val="21"/>
          <w:szCs w:val="21"/>
        </w:rPr>
        <w:t>履行其安全施工职责。</w:t>
      </w:r>
    </w:p>
    <w:p w14:paraId="436997D7">
      <w:pPr>
        <w:spacing w:before="25" w:line="344" w:lineRule="auto"/>
        <w:ind w:left="25" w:right="78" w:firstLine="420"/>
        <w:rPr>
          <w:rFonts w:ascii="宋体" w:hAnsi="宋体" w:eastAsia="宋体" w:cs="宋体"/>
          <w:sz w:val="21"/>
          <w:szCs w:val="21"/>
        </w:rPr>
      </w:pPr>
      <w:r>
        <w:rPr>
          <w:rFonts w:ascii="Times New Roman" w:hAnsi="Times New Roman" w:eastAsia="Times New Roman" w:cs="Times New Roman"/>
          <w:spacing w:val="-2"/>
          <w:sz w:val="21"/>
          <w:szCs w:val="21"/>
        </w:rPr>
        <w:t xml:space="preserve">6.1.2    </w:t>
      </w:r>
      <w:r>
        <w:rPr>
          <w:rFonts w:ascii="宋体" w:hAnsi="宋体" w:eastAsia="宋体" w:cs="宋体"/>
          <w:spacing w:val="-2"/>
          <w:sz w:val="21"/>
          <w:szCs w:val="21"/>
        </w:rPr>
        <w:t>承包人应坚持“安全第一，预防为主”的方针，建立、健全安全生产责任制度和</w:t>
      </w:r>
      <w:r>
        <w:rPr>
          <w:rFonts w:ascii="宋体" w:hAnsi="宋体" w:eastAsia="宋体" w:cs="宋体"/>
          <w:sz w:val="21"/>
          <w:szCs w:val="21"/>
        </w:rPr>
        <w:t>安全生产教育培训制度。在整个工程施工期间，承包人应在施工场地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设立、</w:t>
      </w:r>
      <w:r>
        <w:rPr>
          <w:rFonts w:ascii="宋体" w:hAnsi="宋体" w:eastAsia="宋体" w:cs="宋体"/>
          <w:spacing w:val="-1"/>
          <w:sz w:val="21"/>
          <w:szCs w:val="21"/>
        </w:rPr>
        <w:t>提供和维</w:t>
      </w:r>
      <w:r>
        <w:rPr>
          <w:rFonts w:ascii="宋体" w:hAnsi="宋体" w:eastAsia="宋体" w:cs="宋体"/>
          <w:spacing w:val="-3"/>
          <w:sz w:val="21"/>
          <w:szCs w:val="21"/>
        </w:rPr>
        <w:t>护并在有关工作完成或竣工后撤除：</w:t>
      </w:r>
    </w:p>
    <w:p w14:paraId="1ED20C48">
      <w:pPr>
        <w:spacing w:before="27" w:line="348" w:lineRule="auto"/>
        <w:ind w:left="24" w:firstLine="320"/>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）设立在现场入口显著位置的现场施工总平面图、总平面管理</w:t>
      </w:r>
      <w:r>
        <w:rPr>
          <w:rFonts w:ascii="宋体" w:hAnsi="宋体" w:eastAsia="宋体" w:cs="宋体"/>
          <w:spacing w:val="-6"/>
          <w:sz w:val="21"/>
          <w:szCs w:val="21"/>
        </w:rPr>
        <w:t>、安全生产、文明施工、</w:t>
      </w:r>
      <w:r>
        <w:rPr>
          <w:rFonts w:ascii="宋体" w:hAnsi="宋体" w:eastAsia="宋体" w:cs="宋体"/>
          <w:spacing w:val="-5"/>
          <w:sz w:val="21"/>
          <w:szCs w:val="21"/>
        </w:rPr>
        <w:t>环境保护、质量控制、材料管理等的规章制度和主要</w:t>
      </w:r>
      <w:r>
        <w:rPr>
          <w:rFonts w:ascii="宋体" w:hAnsi="宋体" w:eastAsia="宋体" w:cs="宋体"/>
          <w:spacing w:val="-6"/>
          <w:sz w:val="21"/>
          <w:szCs w:val="21"/>
        </w:rPr>
        <w:t>参建单位名称和工程概况等说明的图板；</w:t>
      </w:r>
    </w:p>
    <w:p w14:paraId="6D26A78E">
      <w:pPr>
        <w:spacing w:before="5" w:line="348" w:lineRule="auto"/>
        <w:ind w:left="36" w:firstLine="308"/>
        <w:rPr>
          <w:rFonts w:ascii="宋体" w:hAnsi="宋体" w:eastAsia="宋体" w:cs="宋体"/>
          <w:sz w:val="21"/>
          <w:szCs w:val="21"/>
        </w:rPr>
      </w:pP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）为确保工程安全施工须设立的足够的标志、宣传画、标语</w:t>
      </w:r>
      <w:r>
        <w:rPr>
          <w:rFonts w:ascii="宋体" w:hAnsi="宋体" w:eastAsia="宋体" w:cs="宋体"/>
          <w:spacing w:val="-6"/>
          <w:sz w:val="21"/>
          <w:szCs w:val="21"/>
        </w:rPr>
        <w:t>、指示牌、警告牌、火警、</w:t>
      </w:r>
      <w:r>
        <w:rPr>
          <w:rFonts w:ascii="宋体" w:hAnsi="宋体" w:eastAsia="宋体" w:cs="宋体"/>
          <w:spacing w:val="-5"/>
          <w:sz w:val="21"/>
          <w:szCs w:val="21"/>
        </w:rPr>
        <w:t>匪警和急救电话提示牌等等；</w:t>
      </w:r>
    </w:p>
    <w:p w14:paraId="618D8567">
      <w:pPr>
        <w:spacing w:before="19" w:line="335" w:lineRule="auto"/>
        <w:ind w:left="37" w:right="82" w:firstLine="307"/>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）洞口和临边位置的安全防护设施，包括护身栏杆、脚手架、洞口盖板</w:t>
      </w:r>
      <w:r>
        <w:rPr>
          <w:rFonts w:ascii="宋体" w:hAnsi="宋体" w:eastAsia="宋体" w:cs="宋体"/>
          <w:spacing w:val="-3"/>
          <w:sz w:val="21"/>
          <w:szCs w:val="21"/>
        </w:rPr>
        <w:t>和加筋、竖井</w:t>
      </w:r>
      <w:r>
        <w:rPr>
          <w:rFonts w:ascii="宋体" w:hAnsi="宋体" w:eastAsia="宋体" w:cs="宋体"/>
          <w:spacing w:val="-4"/>
          <w:sz w:val="21"/>
          <w:szCs w:val="21"/>
        </w:rPr>
        <w:t>防护栏杆、防护棚、防护网、坡道等等；</w:t>
      </w:r>
    </w:p>
    <w:p w14:paraId="097E1718">
      <w:pPr>
        <w:spacing w:before="34" w:line="348" w:lineRule="auto"/>
        <w:ind w:left="25" w:right="102" w:firstLine="318"/>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）安全带、安全绳、安全帽、安全网、绝缘鞋、绝缘手套、防护口罩和防护衣等安全</w:t>
      </w:r>
      <w:r>
        <w:rPr>
          <w:rFonts w:ascii="宋体" w:hAnsi="宋体" w:eastAsia="宋体" w:cs="宋体"/>
          <w:spacing w:val="-10"/>
          <w:sz w:val="21"/>
          <w:szCs w:val="21"/>
        </w:rPr>
        <w:t>生产用品；</w:t>
      </w:r>
    </w:p>
    <w:p w14:paraId="54083A06">
      <w:pPr>
        <w:spacing w:before="2" w:line="233"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）所有机械设备包括各类电动工具的安全保护和接地装置和操作说明；</w:t>
      </w:r>
    </w:p>
    <w:p w14:paraId="68A4E73E">
      <w:pPr>
        <w:spacing w:before="142" w:line="233"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6</w:t>
      </w:r>
      <w:r>
        <w:rPr>
          <w:rFonts w:ascii="宋体" w:hAnsi="宋体" w:eastAsia="宋体" w:cs="宋体"/>
          <w:spacing w:val="-2"/>
          <w:sz w:val="21"/>
          <w:szCs w:val="21"/>
        </w:rPr>
        <w:t>）装备良好的临时急救站和配备称职的医</w:t>
      </w:r>
      <w:r>
        <w:rPr>
          <w:rFonts w:ascii="宋体" w:hAnsi="宋体" w:eastAsia="宋体" w:cs="宋体"/>
          <w:spacing w:val="-3"/>
          <w:sz w:val="21"/>
          <w:szCs w:val="21"/>
        </w:rPr>
        <w:t>护人员；</w:t>
      </w:r>
    </w:p>
    <w:p w14:paraId="17A9C1B0">
      <w:pPr>
        <w:spacing w:before="140" w:line="336" w:lineRule="auto"/>
        <w:ind w:left="24" w:right="75" w:firstLine="320"/>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7</w:t>
      </w:r>
      <w:r>
        <w:rPr>
          <w:rFonts w:ascii="宋体" w:hAnsi="宋体" w:eastAsia="宋体" w:cs="宋体"/>
          <w:spacing w:val="-3"/>
          <w:sz w:val="21"/>
          <w:szCs w:val="21"/>
        </w:rPr>
        <w:t>）主要作业场所和临时安全疏散通道</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4"/>
          <w:sz w:val="21"/>
          <w:szCs w:val="21"/>
        </w:rPr>
        <w:t>4</w:t>
      </w:r>
      <w:r>
        <w:rPr>
          <w:rFonts w:ascii="Times New Roman" w:hAnsi="Times New Roman" w:eastAsia="Times New Roman" w:cs="Times New Roman"/>
          <w:spacing w:val="22"/>
          <w:sz w:val="21"/>
          <w:szCs w:val="21"/>
        </w:rPr>
        <w:t xml:space="preserve"> </w:t>
      </w:r>
      <w:r>
        <w:rPr>
          <w:rFonts w:ascii="宋体" w:hAnsi="宋体" w:eastAsia="宋体" w:cs="宋体"/>
          <w:spacing w:val="-4"/>
          <w:sz w:val="21"/>
          <w:szCs w:val="21"/>
        </w:rPr>
        <w:t>小时</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36</w:t>
      </w:r>
      <w:r>
        <w:rPr>
          <w:rFonts w:ascii="Times New Roman" w:hAnsi="Times New Roman" w:eastAsia="Times New Roman" w:cs="Times New Roman"/>
          <w:spacing w:val="15"/>
          <w:w w:val="101"/>
          <w:sz w:val="21"/>
          <w:szCs w:val="21"/>
        </w:rPr>
        <w:t xml:space="preserve"> </w:t>
      </w:r>
      <w:r>
        <w:rPr>
          <w:rFonts w:ascii="宋体" w:hAnsi="宋体" w:eastAsia="宋体" w:cs="宋体"/>
          <w:spacing w:val="-4"/>
          <w:sz w:val="21"/>
          <w:szCs w:val="21"/>
        </w:rPr>
        <w:t>伏安全照明和必要的警示等以防止各</w:t>
      </w:r>
      <w:r>
        <w:rPr>
          <w:rFonts w:ascii="宋体" w:hAnsi="宋体" w:eastAsia="宋体" w:cs="宋体"/>
          <w:spacing w:val="-7"/>
          <w:sz w:val="21"/>
          <w:szCs w:val="21"/>
        </w:rPr>
        <w:t>种可能的事故；</w:t>
      </w:r>
    </w:p>
    <w:p w14:paraId="593F9354">
      <w:pPr>
        <w:spacing w:before="31" w:line="233" w:lineRule="auto"/>
        <w:ind w:left="34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8</w:t>
      </w:r>
      <w:r>
        <w:rPr>
          <w:rFonts w:ascii="宋体" w:hAnsi="宋体" w:eastAsia="宋体" w:cs="宋体"/>
          <w:spacing w:val="-3"/>
          <w:sz w:val="21"/>
          <w:szCs w:val="21"/>
        </w:rPr>
        <w:t>）足够数量的和合格的手提灭火器；</w:t>
      </w:r>
    </w:p>
    <w:p w14:paraId="0A91CA55">
      <w:pPr>
        <w:spacing w:before="140" w:line="232"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9</w:t>
      </w:r>
      <w:r>
        <w:rPr>
          <w:rFonts w:ascii="宋体" w:hAnsi="宋体" w:eastAsia="宋体" w:cs="宋体"/>
          <w:spacing w:val="-2"/>
          <w:sz w:val="21"/>
          <w:szCs w:val="21"/>
        </w:rPr>
        <w:t>）装备良好的易燃易爆物品仓库和相应的使用管理制度；</w:t>
      </w:r>
    </w:p>
    <w:p w14:paraId="36EA86C8">
      <w:pPr>
        <w:spacing w:before="127" w:line="233"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10</w:t>
      </w:r>
      <w:r>
        <w:rPr>
          <w:rFonts w:ascii="宋体" w:hAnsi="宋体" w:eastAsia="宋体" w:cs="宋体"/>
          <w:spacing w:val="-2"/>
          <w:sz w:val="21"/>
          <w:szCs w:val="21"/>
        </w:rPr>
        <w:t>）对涉及明火施工的工作制定诸如用火证等的管理制度；</w:t>
      </w:r>
    </w:p>
    <w:p w14:paraId="7E3F3116">
      <w:pPr>
        <w:spacing w:before="140" w:line="234" w:lineRule="auto"/>
        <w:ind w:left="34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11</w:t>
      </w:r>
      <w:r>
        <w:rPr>
          <w:rFonts w:ascii="宋体" w:hAnsi="宋体" w:eastAsia="宋体" w:cs="宋体"/>
          <w:spacing w:val="-1"/>
          <w:sz w:val="21"/>
          <w:szCs w:val="21"/>
        </w:rPr>
        <w:t>）其他：</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w:t>
      </w:r>
    </w:p>
    <w:p w14:paraId="49A2ECE4">
      <w:pPr>
        <w:spacing w:before="138" w:line="336" w:lineRule="auto"/>
        <w:ind w:left="28" w:right="71"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6.1.3        </w:t>
      </w:r>
      <w:r>
        <w:rPr>
          <w:rFonts w:ascii="宋体" w:hAnsi="宋体" w:eastAsia="宋体" w:cs="宋体"/>
          <w:spacing w:val="-1"/>
          <w:sz w:val="21"/>
          <w:szCs w:val="21"/>
        </w:rPr>
        <w:t>安全文明施工费用必须专款</w:t>
      </w:r>
      <w:r>
        <w:rPr>
          <w:rFonts w:ascii="宋体" w:hAnsi="宋体" w:eastAsia="宋体" w:cs="宋体"/>
          <w:spacing w:val="-2"/>
          <w:sz w:val="21"/>
          <w:szCs w:val="21"/>
        </w:rPr>
        <w:t>专用，承包人应对其由于安全文明施工费用和施工安全措施不到位而发生的安全事故承担全部责任。</w:t>
      </w:r>
    </w:p>
    <w:p w14:paraId="1C1E49FE">
      <w:pPr>
        <w:spacing w:before="31" w:line="348" w:lineRule="auto"/>
        <w:ind w:left="24" w:right="75" w:firstLine="421"/>
        <w:rPr>
          <w:rFonts w:ascii="宋体" w:hAnsi="宋体" w:eastAsia="宋体" w:cs="宋体"/>
          <w:sz w:val="21"/>
          <w:szCs w:val="21"/>
        </w:rPr>
      </w:pPr>
      <w:r>
        <w:rPr>
          <w:rFonts w:ascii="Times New Roman" w:hAnsi="Times New Roman" w:eastAsia="Times New Roman" w:cs="Times New Roman"/>
          <w:sz w:val="21"/>
          <w:szCs w:val="21"/>
        </w:rPr>
        <w:t xml:space="preserve">6.1.4        </w:t>
      </w:r>
      <w:r>
        <w:rPr>
          <w:rFonts w:ascii="宋体" w:hAnsi="宋体" w:eastAsia="宋体" w:cs="宋体"/>
          <w:sz w:val="21"/>
          <w:szCs w:val="21"/>
        </w:rPr>
        <w:t>承包人应建立专门的施工场地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安全生产管理机构，配备足够数量的</w:t>
      </w:r>
      <w:r>
        <w:rPr>
          <w:rFonts w:ascii="宋体" w:hAnsi="宋体" w:eastAsia="宋体" w:cs="宋体"/>
          <w:spacing w:val="-1"/>
          <w:sz w:val="21"/>
          <w:szCs w:val="21"/>
        </w:rPr>
        <w:t>和符</w:t>
      </w:r>
      <w:r>
        <w:rPr>
          <w:rFonts w:ascii="宋体" w:hAnsi="宋体" w:eastAsia="宋体" w:cs="宋体"/>
          <w:spacing w:val="-2"/>
          <w:sz w:val="21"/>
          <w:szCs w:val="21"/>
        </w:rPr>
        <w:t>合有关规定的专职安全生产管理人员，负责日常安全生产巡查和专项检查，召集和主持现场</w:t>
      </w:r>
      <w:r>
        <w:rPr>
          <w:rFonts w:ascii="宋体" w:hAnsi="宋体" w:eastAsia="宋体" w:cs="宋体"/>
          <w:spacing w:val="-1"/>
          <w:sz w:val="21"/>
          <w:szCs w:val="21"/>
        </w:rPr>
        <w:t>全体人员参加的安全生产例会</w:t>
      </w:r>
      <w:r>
        <w:rPr>
          <w:rFonts w:ascii="Times New Roman" w:hAnsi="Times New Roman" w:eastAsia="Times New Roman" w:cs="Times New Roman"/>
          <w:spacing w:val="-1"/>
          <w:sz w:val="21"/>
          <w:szCs w:val="21"/>
        </w:rPr>
        <w:t>(</w:t>
      </w:r>
      <w:r>
        <w:rPr>
          <w:rFonts w:ascii="宋体" w:hAnsi="宋体" w:eastAsia="宋体" w:cs="宋体"/>
          <w:spacing w:val="-1"/>
          <w:sz w:val="21"/>
          <w:szCs w:val="21"/>
        </w:rPr>
        <w:t>每周至少一次</w:t>
      </w:r>
      <w:r>
        <w:rPr>
          <w:rFonts w:ascii="Times New Roman" w:hAnsi="Times New Roman" w:eastAsia="Times New Roman" w:cs="Times New Roman"/>
          <w:spacing w:val="-1"/>
          <w:sz w:val="21"/>
          <w:szCs w:val="21"/>
        </w:rPr>
        <w:t>)</w:t>
      </w:r>
      <w:r>
        <w:rPr>
          <w:rFonts w:ascii="宋体" w:hAnsi="宋体" w:eastAsia="宋体" w:cs="宋体"/>
          <w:spacing w:val="-1"/>
          <w:sz w:val="21"/>
          <w:szCs w:val="21"/>
        </w:rPr>
        <w:t>，负责安全技术交底和技术方案的安全把关，</w:t>
      </w:r>
    </w:p>
    <w:p w14:paraId="4198B28F">
      <w:pPr>
        <w:spacing w:line="348" w:lineRule="auto"/>
        <w:rPr>
          <w:rFonts w:ascii="宋体" w:hAnsi="宋体" w:eastAsia="宋体" w:cs="宋体"/>
          <w:sz w:val="21"/>
          <w:szCs w:val="21"/>
        </w:rPr>
        <w:sectPr>
          <w:footerReference r:id="rId270" w:type="default"/>
          <w:pgSz w:w="11910" w:h="16845"/>
          <w:pgMar w:top="400" w:right="1693" w:bottom="1110" w:left="1786" w:header="0" w:footer="883" w:gutter="0"/>
          <w:cols w:space="720" w:num="1"/>
        </w:sectPr>
      </w:pPr>
    </w:p>
    <w:p w14:paraId="77AA2314">
      <w:pPr>
        <w:pStyle w:val="2"/>
        <w:spacing w:line="275" w:lineRule="auto"/>
      </w:pPr>
    </w:p>
    <w:p w14:paraId="0D2DB87E">
      <w:pPr>
        <w:pStyle w:val="2"/>
        <w:spacing w:line="275" w:lineRule="auto"/>
      </w:pPr>
    </w:p>
    <w:p w14:paraId="0EC6185A">
      <w:pPr>
        <w:pStyle w:val="2"/>
        <w:spacing w:line="275" w:lineRule="auto"/>
      </w:pPr>
    </w:p>
    <w:p w14:paraId="3E3EC87E">
      <w:pPr>
        <w:pStyle w:val="2"/>
        <w:spacing w:line="275" w:lineRule="auto"/>
      </w:pPr>
    </w:p>
    <w:p w14:paraId="3635506E">
      <w:pPr>
        <w:spacing w:before="69" w:line="351" w:lineRule="auto"/>
        <w:ind w:left="24" w:right="85" w:firstLine="8"/>
        <w:jc w:val="both"/>
        <w:rPr>
          <w:rFonts w:ascii="宋体" w:hAnsi="宋体" w:eastAsia="宋体" w:cs="宋体"/>
          <w:sz w:val="21"/>
          <w:szCs w:val="21"/>
        </w:rPr>
      </w:pPr>
      <w:r>
        <w:rPr>
          <w:rFonts w:ascii="宋体" w:hAnsi="宋体" w:eastAsia="宋体" w:cs="宋体"/>
          <w:spacing w:val="-2"/>
          <w:sz w:val="21"/>
          <w:szCs w:val="21"/>
        </w:rPr>
        <w:t>负责制定或审核安全隐患的整改措施并监督落实，负责安</w:t>
      </w:r>
      <w:r>
        <w:rPr>
          <w:rFonts w:ascii="宋体" w:hAnsi="宋体" w:eastAsia="宋体" w:cs="宋体"/>
          <w:spacing w:val="-3"/>
          <w:sz w:val="21"/>
          <w:szCs w:val="21"/>
        </w:rPr>
        <w:t>全资料的整理和管理，及时消除安</w:t>
      </w:r>
      <w:r>
        <w:rPr>
          <w:rFonts w:ascii="宋体" w:hAnsi="宋体" w:eastAsia="宋体" w:cs="宋体"/>
          <w:spacing w:val="-2"/>
          <w:sz w:val="21"/>
          <w:szCs w:val="21"/>
        </w:rPr>
        <w:t>全隐患，做好安全检查记录，确保所有的安全设施都处于良好的运转状态。承包人</w:t>
      </w:r>
      <w:r>
        <w:rPr>
          <w:rFonts w:ascii="宋体" w:hAnsi="宋体" w:eastAsia="宋体" w:cs="宋体"/>
          <w:spacing w:val="-3"/>
          <w:sz w:val="21"/>
          <w:szCs w:val="21"/>
        </w:rPr>
        <w:t>项目经理</w:t>
      </w:r>
      <w:r>
        <w:rPr>
          <w:rFonts w:ascii="宋体" w:hAnsi="宋体" w:eastAsia="宋体" w:cs="宋体"/>
          <w:spacing w:val="-1"/>
          <w:sz w:val="21"/>
          <w:szCs w:val="21"/>
        </w:rPr>
        <w:t>和专职安全生产管理人员均应当具备有效的安全生产考核合格证书。</w:t>
      </w:r>
    </w:p>
    <w:p w14:paraId="2FDA1FB3">
      <w:pPr>
        <w:spacing w:before="3" w:line="351" w:lineRule="auto"/>
        <w:ind w:left="23" w:right="69"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6.1.5        </w:t>
      </w:r>
      <w:r>
        <w:rPr>
          <w:rFonts w:ascii="宋体" w:hAnsi="宋体" w:eastAsia="宋体" w:cs="宋体"/>
          <w:spacing w:val="-1"/>
          <w:sz w:val="21"/>
          <w:szCs w:val="21"/>
        </w:rPr>
        <w:t>承包人应遵照有关法规要求</w:t>
      </w:r>
      <w:r>
        <w:rPr>
          <w:rFonts w:ascii="宋体" w:hAnsi="宋体" w:eastAsia="宋体" w:cs="宋体"/>
          <w:spacing w:val="-2"/>
          <w:sz w:val="21"/>
          <w:szCs w:val="21"/>
        </w:rPr>
        <w:t>，编印安全防护手册发给进场施工人员，做好进场施工人员上岗前的安全教育和培训工作，并建立考核制度，只有考核合格的人员才能进场施工作业。特种作业人员还应经过专门的安全作业培训，并取得特种作业操作资格证</w:t>
      </w:r>
      <w:r>
        <w:rPr>
          <w:rFonts w:ascii="宋体" w:hAnsi="宋体" w:eastAsia="宋体" w:cs="宋体"/>
          <w:spacing w:val="-3"/>
          <w:sz w:val="21"/>
          <w:szCs w:val="21"/>
        </w:rPr>
        <w:t>书后方可</w:t>
      </w:r>
      <w:r>
        <w:rPr>
          <w:rFonts w:ascii="宋体" w:hAnsi="宋体" w:eastAsia="宋体" w:cs="宋体"/>
          <w:spacing w:val="-2"/>
          <w:sz w:val="21"/>
          <w:szCs w:val="21"/>
        </w:rPr>
        <w:t>上岗。在任何分部分项工程开始施工前，承包人应当就有关安全施工的技术要求向</w:t>
      </w:r>
      <w:r>
        <w:rPr>
          <w:rFonts w:ascii="宋体" w:hAnsi="宋体" w:eastAsia="宋体" w:cs="宋体"/>
          <w:spacing w:val="-3"/>
          <w:sz w:val="21"/>
          <w:szCs w:val="21"/>
        </w:rPr>
        <w:t>施工作业</w:t>
      </w:r>
      <w:r>
        <w:rPr>
          <w:rFonts w:ascii="宋体" w:hAnsi="宋体" w:eastAsia="宋体" w:cs="宋体"/>
          <w:spacing w:val="-1"/>
          <w:sz w:val="21"/>
          <w:szCs w:val="21"/>
        </w:rPr>
        <w:t>班组和作业人员等进行安全交底，并由双方签</w:t>
      </w:r>
      <w:r>
        <w:rPr>
          <w:rFonts w:ascii="宋体" w:hAnsi="宋体" w:eastAsia="宋体" w:cs="宋体"/>
          <w:spacing w:val="-2"/>
          <w:sz w:val="21"/>
          <w:szCs w:val="21"/>
        </w:rPr>
        <w:t>字确认。</w:t>
      </w:r>
    </w:p>
    <w:p w14:paraId="644E9A26">
      <w:pPr>
        <w:spacing w:before="2" w:line="349" w:lineRule="auto"/>
        <w:ind w:left="26" w:right="68"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6.1.6        </w:t>
      </w:r>
      <w:r>
        <w:rPr>
          <w:rFonts w:ascii="宋体" w:hAnsi="宋体" w:eastAsia="宋体" w:cs="宋体"/>
          <w:spacing w:val="-1"/>
          <w:sz w:val="21"/>
          <w:szCs w:val="21"/>
        </w:rPr>
        <w:t>承包人应为其进场施工人员</w:t>
      </w:r>
      <w:r>
        <w:rPr>
          <w:rFonts w:ascii="宋体" w:hAnsi="宋体" w:eastAsia="宋体" w:cs="宋体"/>
          <w:spacing w:val="-2"/>
          <w:sz w:val="21"/>
          <w:szCs w:val="21"/>
        </w:rPr>
        <w:t>配备必需的安全防护设施和设备，承包人还应为施</w:t>
      </w:r>
      <w:r>
        <w:rPr>
          <w:rFonts w:ascii="宋体" w:hAnsi="宋体" w:eastAsia="宋体" w:cs="宋体"/>
          <w:sz w:val="21"/>
          <w:szCs w:val="21"/>
        </w:rPr>
        <w:t>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邻近地区的所有者和占有者、公众和其他人员，提供一切必</w:t>
      </w:r>
      <w:r>
        <w:rPr>
          <w:rFonts w:ascii="宋体" w:hAnsi="宋体" w:eastAsia="宋体" w:cs="宋体"/>
          <w:spacing w:val="-1"/>
          <w:sz w:val="21"/>
          <w:szCs w:val="21"/>
        </w:rPr>
        <w:t>要的临时道路、人</w:t>
      </w:r>
      <w:r>
        <w:rPr>
          <w:rFonts w:ascii="宋体" w:hAnsi="宋体" w:eastAsia="宋体" w:cs="宋体"/>
          <w:spacing w:val="-2"/>
          <w:sz w:val="21"/>
          <w:szCs w:val="21"/>
        </w:rPr>
        <w:t>行道、防护棚、围栏及警告等，以确保财产和人身安全以及最大程度地降低</w:t>
      </w:r>
      <w:r>
        <w:rPr>
          <w:rFonts w:ascii="宋体" w:hAnsi="宋体" w:eastAsia="宋体" w:cs="宋体"/>
          <w:spacing w:val="-3"/>
          <w:sz w:val="21"/>
          <w:szCs w:val="21"/>
        </w:rPr>
        <w:t>施工可能造成的</w:t>
      </w:r>
      <w:r>
        <w:rPr>
          <w:rFonts w:ascii="宋体" w:hAnsi="宋体" w:eastAsia="宋体" w:cs="宋体"/>
          <w:spacing w:val="-9"/>
          <w:sz w:val="21"/>
          <w:szCs w:val="21"/>
        </w:rPr>
        <w:t>不便。</w:t>
      </w:r>
    </w:p>
    <w:p w14:paraId="661A8DE2">
      <w:pPr>
        <w:spacing w:before="15" w:line="351" w:lineRule="auto"/>
        <w:ind w:left="22" w:firstLine="423"/>
        <w:rPr>
          <w:rFonts w:ascii="宋体" w:hAnsi="宋体" w:eastAsia="宋体" w:cs="宋体"/>
          <w:sz w:val="21"/>
          <w:szCs w:val="21"/>
        </w:rPr>
      </w:pPr>
      <w:r>
        <w:rPr>
          <w:rFonts w:ascii="Times New Roman" w:hAnsi="Times New Roman" w:eastAsia="Times New Roman" w:cs="Times New Roman"/>
          <w:sz w:val="21"/>
          <w:szCs w:val="21"/>
        </w:rPr>
        <w:t xml:space="preserve">6.1.7        </w:t>
      </w:r>
      <w:r>
        <w:rPr>
          <w:rFonts w:ascii="宋体" w:hAnsi="宋体" w:eastAsia="宋体" w:cs="宋体"/>
          <w:sz w:val="21"/>
          <w:szCs w:val="21"/>
        </w:rPr>
        <w:t>承包人应在施工场地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入口处、施工</w:t>
      </w:r>
      <w:r>
        <w:rPr>
          <w:rFonts w:ascii="宋体" w:hAnsi="宋体" w:eastAsia="宋体" w:cs="宋体"/>
          <w:spacing w:val="-1"/>
          <w:sz w:val="21"/>
          <w:szCs w:val="21"/>
        </w:rPr>
        <w:t>起重机械、临时用电设施、脚手架、</w:t>
      </w:r>
      <w:r>
        <w:rPr>
          <w:rFonts w:ascii="宋体" w:hAnsi="宋体" w:eastAsia="宋体" w:cs="宋体"/>
          <w:spacing w:val="-2"/>
          <w:sz w:val="21"/>
          <w:szCs w:val="21"/>
        </w:rPr>
        <w:t>出入通道口、楼梯口、电梯井口、孔洞口、隧道口、基坑边沿、危险品存放处等危险部</w:t>
      </w:r>
      <w:r>
        <w:rPr>
          <w:rFonts w:ascii="宋体" w:hAnsi="宋体" w:eastAsia="宋体" w:cs="宋体"/>
          <w:spacing w:val="-3"/>
          <w:sz w:val="21"/>
          <w:szCs w:val="21"/>
        </w:rPr>
        <w:t>位设</w:t>
      </w:r>
      <w:r>
        <w:rPr>
          <w:rFonts w:ascii="宋体" w:hAnsi="宋体" w:eastAsia="宋体" w:cs="宋体"/>
          <w:spacing w:val="-5"/>
          <w:sz w:val="21"/>
          <w:szCs w:val="21"/>
        </w:rPr>
        <w:t>置一切必需的安全警示标志，包括但不限于标准道路标志、报警标志、危险标志、控制标</w:t>
      </w:r>
      <w:r>
        <w:rPr>
          <w:rFonts w:ascii="宋体" w:hAnsi="宋体" w:eastAsia="宋体" w:cs="宋体"/>
          <w:spacing w:val="-6"/>
          <w:sz w:val="21"/>
          <w:szCs w:val="21"/>
        </w:rPr>
        <w:t>志、</w:t>
      </w:r>
      <w:r>
        <w:rPr>
          <w:rFonts w:ascii="宋体" w:hAnsi="宋体" w:eastAsia="宋体" w:cs="宋体"/>
          <w:spacing w:val="-2"/>
          <w:sz w:val="21"/>
          <w:szCs w:val="21"/>
        </w:rPr>
        <w:t>安全标志、指示标志、警告标志等，并配备必要的照明、防护和看守。承包人应当按监理人的指示，经常补充或更换失效的警示和标志。</w:t>
      </w:r>
    </w:p>
    <w:p w14:paraId="1672359B">
      <w:pPr>
        <w:spacing w:before="4" w:line="351" w:lineRule="auto"/>
        <w:ind w:left="23" w:right="71" w:firstLine="422"/>
        <w:rPr>
          <w:rFonts w:ascii="宋体" w:hAnsi="宋体" w:eastAsia="宋体" w:cs="宋体"/>
          <w:sz w:val="21"/>
          <w:szCs w:val="21"/>
        </w:rPr>
      </w:pPr>
      <w:r>
        <w:rPr>
          <w:rFonts w:ascii="Times New Roman" w:hAnsi="Times New Roman" w:eastAsia="Times New Roman" w:cs="Times New Roman"/>
          <w:sz w:val="21"/>
          <w:szCs w:val="21"/>
        </w:rPr>
        <w:t xml:space="preserve">6.1.8        </w:t>
      </w:r>
      <w:r>
        <w:rPr>
          <w:rFonts w:ascii="宋体" w:hAnsi="宋体" w:eastAsia="宋体" w:cs="宋体"/>
          <w:sz w:val="21"/>
          <w:szCs w:val="21"/>
        </w:rPr>
        <w:t>承包人应对施工场地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内由其提供并安装的所有提升架、外用电梯和塔吊</w:t>
      </w:r>
      <w:r>
        <w:rPr>
          <w:rFonts w:ascii="宋体" w:hAnsi="宋体" w:eastAsia="宋体" w:cs="宋体"/>
          <w:spacing w:val="-4"/>
          <w:sz w:val="21"/>
          <w:szCs w:val="21"/>
        </w:rPr>
        <w:t>等垂直和水平运输机械进行安全围护，包括</w:t>
      </w:r>
      <w:r>
        <w:rPr>
          <w:rFonts w:ascii="宋体" w:hAnsi="宋体" w:eastAsia="宋体" w:cs="宋体"/>
          <w:spacing w:val="-5"/>
          <w:sz w:val="21"/>
          <w:szCs w:val="21"/>
        </w:rPr>
        <w:t>卸料平台门的安全开关、警示铃和警示灯， 卸料</w:t>
      </w:r>
      <w:r>
        <w:rPr>
          <w:rFonts w:ascii="宋体" w:hAnsi="宋体" w:eastAsia="宋体" w:cs="宋体"/>
          <w:spacing w:val="-2"/>
          <w:sz w:val="21"/>
          <w:szCs w:val="21"/>
        </w:rPr>
        <w:t>平台的护身栏杆，脚手架和安全网等等；所有的机械设备应设置安全操作防护罩，并在醒目位置张挂详细的安全操作要点等。</w:t>
      </w:r>
    </w:p>
    <w:p w14:paraId="23D819F2">
      <w:pPr>
        <w:spacing w:before="8" w:line="351" w:lineRule="auto"/>
        <w:ind w:left="24" w:right="83" w:firstLine="421"/>
        <w:rPr>
          <w:rFonts w:ascii="宋体" w:hAnsi="宋体" w:eastAsia="宋体" w:cs="宋体"/>
          <w:sz w:val="21"/>
          <w:szCs w:val="21"/>
        </w:rPr>
      </w:pPr>
      <w:r>
        <w:rPr>
          <w:rFonts w:ascii="Times New Roman" w:hAnsi="Times New Roman" w:eastAsia="Times New Roman" w:cs="Times New Roman"/>
          <w:spacing w:val="-2"/>
          <w:sz w:val="21"/>
          <w:szCs w:val="21"/>
        </w:rPr>
        <w:t xml:space="preserve">6.1.9        </w:t>
      </w:r>
      <w:r>
        <w:rPr>
          <w:rFonts w:ascii="宋体" w:hAnsi="宋体" w:eastAsia="宋体" w:cs="宋体"/>
          <w:spacing w:val="-2"/>
          <w:sz w:val="21"/>
          <w:szCs w:val="21"/>
        </w:rPr>
        <w:t>承包人应对所有用于提升的挂钩、挂环、钢丝绳、铁扁担等进行定期检测、检查和标定；如果监理人认为，任何此类设施已经损坏或有使用不当之处，承包人</w:t>
      </w:r>
      <w:r>
        <w:rPr>
          <w:rFonts w:ascii="宋体" w:hAnsi="宋体" w:eastAsia="宋体" w:cs="宋体"/>
          <w:spacing w:val="-3"/>
          <w:sz w:val="21"/>
          <w:szCs w:val="21"/>
        </w:rPr>
        <w:t>应立即以合</w:t>
      </w:r>
      <w:r>
        <w:rPr>
          <w:rFonts w:ascii="宋体" w:hAnsi="宋体" w:eastAsia="宋体" w:cs="宋体"/>
          <w:spacing w:val="-2"/>
          <w:sz w:val="21"/>
          <w:szCs w:val="21"/>
        </w:rPr>
        <w:t>格的产品进行更换；所有垂直和水平运输机械的搭设、顶升、使用和拆除必须严格依照</w:t>
      </w:r>
      <w:r>
        <w:rPr>
          <w:rFonts w:ascii="宋体" w:hAnsi="宋体" w:eastAsia="宋体" w:cs="宋体"/>
          <w:spacing w:val="-3"/>
          <w:sz w:val="21"/>
          <w:szCs w:val="21"/>
        </w:rPr>
        <w:t>现行</w:t>
      </w:r>
      <w:r>
        <w:rPr>
          <w:rFonts w:ascii="宋体" w:hAnsi="宋体" w:eastAsia="宋体" w:cs="宋体"/>
          <w:spacing w:val="-2"/>
          <w:sz w:val="21"/>
          <w:szCs w:val="21"/>
        </w:rPr>
        <w:t>有关法规、规章、规范、标准和规程等的要求。</w:t>
      </w:r>
    </w:p>
    <w:p w14:paraId="75BEEC15">
      <w:pPr>
        <w:spacing w:before="9" w:line="348" w:lineRule="auto"/>
        <w:ind w:left="25" w:right="69" w:firstLine="420"/>
        <w:rPr>
          <w:rFonts w:ascii="宋体" w:hAnsi="宋体" w:eastAsia="宋体" w:cs="宋体"/>
          <w:sz w:val="21"/>
          <w:szCs w:val="21"/>
        </w:rPr>
      </w:pPr>
      <w:r>
        <w:rPr>
          <w:rFonts w:ascii="Times New Roman" w:hAnsi="Times New Roman" w:eastAsia="Times New Roman" w:cs="Times New Roman"/>
          <w:spacing w:val="-3"/>
          <w:sz w:val="21"/>
          <w:szCs w:val="21"/>
        </w:rPr>
        <w:t xml:space="preserve">6.1.10      </w:t>
      </w:r>
      <w:r>
        <w:rPr>
          <w:rFonts w:ascii="宋体" w:hAnsi="宋体" w:eastAsia="宋体" w:cs="宋体"/>
          <w:spacing w:val="-3"/>
          <w:sz w:val="21"/>
          <w:szCs w:val="21"/>
        </w:rPr>
        <w:t>所有机械和工器具应定期保养、校核和维护，</w:t>
      </w:r>
      <w:r>
        <w:rPr>
          <w:rFonts w:ascii="宋体" w:hAnsi="宋体" w:eastAsia="宋体" w:cs="宋体"/>
          <w:spacing w:val="-25"/>
          <w:sz w:val="21"/>
          <w:szCs w:val="21"/>
        </w:rPr>
        <w:t xml:space="preserve"> </w:t>
      </w:r>
      <w:r>
        <w:rPr>
          <w:rFonts w:ascii="宋体" w:hAnsi="宋体" w:eastAsia="宋体" w:cs="宋体"/>
          <w:spacing w:val="-3"/>
          <w:sz w:val="21"/>
          <w:szCs w:val="21"/>
        </w:rPr>
        <w:t>以保证</w:t>
      </w:r>
      <w:r>
        <w:rPr>
          <w:rFonts w:ascii="宋体" w:hAnsi="宋体" w:eastAsia="宋体" w:cs="宋体"/>
          <w:spacing w:val="-4"/>
          <w:sz w:val="21"/>
          <w:szCs w:val="21"/>
        </w:rPr>
        <w:t>它们处于良好和安全的工</w:t>
      </w:r>
      <w:r>
        <w:rPr>
          <w:rFonts w:ascii="宋体" w:hAnsi="宋体" w:eastAsia="宋体" w:cs="宋体"/>
          <w:spacing w:val="-2"/>
          <w:sz w:val="21"/>
          <w:szCs w:val="21"/>
        </w:rPr>
        <w:t>作状态。保养、校核和维护工作应尽可能安排在非工作时间进行，并为上述机械</w:t>
      </w:r>
      <w:r>
        <w:rPr>
          <w:rFonts w:ascii="宋体" w:hAnsi="宋体" w:eastAsia="宋体" w:cs="宋体"/>
          <w:spacing w:val="-3"/>
          <w:sz w:val="21"/>
          <w:szCs w:val="21"/>
        </w:rPr>
        <w:t>和工器具准</w:t>
      </w:r>
      <w:r>
        <w:rPr>
          <w:rFonts w:ascii="宋体" w:hAnsi="宋体" w:eastAsia="宋体" w:cs="宋体"/>
          <w:spacing w:val="-1"/>
          <w:sz w:val="21"/>
          <w:szCs w:val="21"/>
        </w:rPr>
        <w:t>备足够的备用配件，以确保工程的施工能不间断地</w:t>
      </w:r>
      <w:r>
        <w:rPr>
          <w:rFonts w:ascii="宋体" w:hAnsi="宋体" w:eastAsia="宋体" w:cs="宋体"/>
          <w:spacing w:val="-2"/>
          <w:sz w:val="21"/>
          <w:szCs w:val="21"/>
        </w:rPr>
        <w:t>进行。</w:t>
      </w:r>
    </w:p>
    <w:p w14:paraId="473F9EBB">
      <w:pPr>
        <w:spacing w:before="11" w:line="350" w:lineRule="auto"/>
        <w:ind w:left="22" w:right="69" w:firstLine="423"/>
        <w:rPr>
          <w:rFonts w:ascii="宋体" w:hAnsi="宋体" w:eastAsia="宋体" w:cs="宋体"/>
          <w:sz w:val="21"/>
          <w:szCs w:val="21"/>
        </w:rPr>
      </w:pPr>
      <w:r>
        <w:rPr>
          <w:rFonts w:ascii="Times New Roman" w:hAnsi="Times New Roman" w:eastAsia="Times New Roman" w:cs="Times New Roman"/>
          <w:spacing w:val="-4"/>
          <w:sz w:val="21"/>
          <w:szCs w:val="21"/>
        </w:rPr>
        <w:t xml:space="preserve">6.1.11      </w:t>
      </w:r>
      <w:r>
        <w:rPr>
          <w:rFonts w:ascii="宋体" w:hAnsi="宋体" w:eastAsia="宋体" w:cs="宋体"/>
          <w:spacing w:val="-4"/>
          <w:sz w:val="21"/>
          <w:szCs w:val="21"/>
        </w:rPr>
        <w:t>在永久工程和施工边坡、建筑物基坑、地下洞室等的开挖过程中， 应根据其施</w:t>
      </w:r>
      <w:r>
        <w:rPr>
          <w:rFonts w:ascii="宋体" w:hAnsi="宋体" w:eastAsia="宋体" w:cs="宋体"/>
          <w:sz w:val="21"/>
          <w:szCs w:val="21"/>
        </w:rPr>
        <w:t>工安全的需要和</w:t>
      </w:r>
      <w:r>
        <w:rPr>
          <w:rFonts w:ascii="Times New Roman" w:hAnsi="Times New Roman" w:eastAsia="Times New Roman" w:cs="Times New Roman"/>
          <w:sz w:val="21"/>
          <w:szCs w:val="21"/>
        </w:rPr>
        <w:t>(</w:t>
      </w:r>
      <w:r>
        <w:rPr>
          <w:rFonts w:ascii="宋体" w:hAnsi="宋体" w:eastAsia="宋体" w:cs="宋体"/>
          <w:sz w:val="21"/>
          <w:szCs w:val="21"/>
        </w:rPr>
        <w:t>或</w:t>
      </w:r>
      <w:r>
        <w:rPr>
          <w:rFonts w:ascii="Times New Roman" w:hAnsi="Times New Roman" w:eastAsia="Times New Roman" w:cs="Times New Roman"/>
          <w:sz w:val="21"/>
          <w:szCs w:val="21"/>
        </w:rPr>
        <w:t>)</w:t>
      </w:r>
      <w:r>
        <w:rPr>
          <w:rFonts w:ascii="宋体" w:hAnsi="宋体" w:eastAsia="宋体" w:cs="宋体"/>
          <w:sz w:val="21"/>
          <w:szCs w:val="21"/>
        </w:rPr>
        <w:t>监理人指示，安装必要的施工安全监测仪</w:t>
      </w:r>
      <w:r>
        <w:rPr>
          <w:rFonts w:ascii="宋体" w:hAnsi="宋体" w:eastAsia="宋体" w:cs="宋体"/>
          <w:spacing w:val="-1"/>
          <w:sz w:val="21"/>
          <w:szCs w:val="21"/>
        </w:rPr>
        <w:t>器，及时进行必要的施工安全</w:t>
      </w:r>
      <w:r>
        <w:rPr>
          <w:rFonts w:ascii="宋体" w:hAnsi="宋体" w:eastAsia="宋体" w:cs="宋体"/>
          <w:spacing w:val="-2"/>
          <w:sz w:val="21"/>
          <w:szCs w:val="21"/>
        </w:rPr>
        <w:t>监测，并定期将安全监测成果提交监理人，以防止引起任何沉降、变形或其他影响正</w:t>
      </w:r>
      <w:r>
        <w:rPr>
          <w:rFonts w:ascii="宋体" w:hAnsi="宋体" w:eastAsia="宋体" w:cs="宋体"/>
          <w:spacing w:val="-3"/>
          <w:sz w:val="21"/>
          <w:szCs w:val="21"/>
        </w:rPr>
        <w:t>常施工</w:t>
      </w:r>
      <w:r>
        <w:rPr>
          <w:rFonts w:ascii="宋体" w:hAnsi="宋体" w:eastAsia="宋体" w:cs="宋体"/>
          <w:spacing w:val="-5"/>
          <w:sz w:val="21"/>
          <w:szCs w:val="21"/>
        </w:rPr>
        <w:t>进度的损害。</w:t>
      </w:r>
    </w:p>
    <w:p w14:paraId="20DB0C69">
      <w:pPr>
        <w:spacing w:before="2" w:line="347" w:lineRule="auto"/>
        <w:ind w:left="27" w:right="68"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6.1.12      </w:t>
      </w:r>
      <w:r>
        <w:rPr>
          <w:rFonts w:ascii="宋体" w:hAnsi="宋体" w:eastAsia="宋体" w:cs="宋体"/>
          <w:spacing w:val="-1"/>
          <w:sz w:val="21"/>
          <w:szCs w:val="21"/>
        </w:rPr>
        <w:t>承包人应对任何施工中的</w:t>
      </w:r>
      <w:r>
        <w:rPr>
          <w:rFonts w:ascii="宋体" w:hAnsi="宋体" w:eastAsia="宋体" w:cs="宋体"/>
          <w:spacing w:val="-2"/>
          <w:sz w:val="21"/>
          <w:szCs w:val="21"/>
        </w:rPr>
        <w:t>永久工程进行必要的支撑或临时加固。除非承包人已获得监理人书面许可并按要求进行了必要的加固或支撑，不允许承包人在任何已完</w:t>
      </w:r>
      <w:r>
        <w:rPr>
          <w:rFonts w:ascii="宋体" w:hAnsi="宋体" w:eastAsia="宋体" w:cs="宋体"/>
          <w:spacing w:val="-3"/>
          <w:sz w:val="21"/>
          <w:szCs w:val="21"/>
        </w:rPr>
        <w:t>成的永久</w:t>
      </w:r>
    </w:p>
    <w:p w14:paraId="7026A2F4">
      <w:pPr>
        <w:spacing w:line="347" w:lineRule="auto"/>
        <w:rPr>
          <w:rFonts w:ascii="宋体" w:hAnsi="宋体" w:eastAsia="宋体" w:cs="宋体"/>
          <w:sz w:val="21"/>
          <w:szCs w:val="21"/>
        </w:rPr>
        <w:sectPr>
          <w:footerReference r:id="rId271" w:type="default"/>
          <w:pgSz w:w="11910" w:h="16845"/>
          <w:pgMar w:top="400" w:right="1696" w:bottom="1110" w:left="1786" w:header="0" w:footer="883" w:gutter="0"/>
          <w:cols w:space="720" w:num="1"/>
        </w:sectPr>
      </w:pPr>
    </w:p>
    <w:p w14:paraId="4C88085C">
      <w:pPr>
        <w:pStyle w:val="2"/>
        <w:spacing w:line="275" w:lineRule="auto"/>
      </w:pPr>
    </w:p>
    <w:p w14:paraId="11BED1F7">
      <w:pPr>
        <w:pStyle w:val="2"/>
        <w:spacing w:line="275" w:lineRule="auto"/>
      </w:pPr>
    </w:p>
    <w:p w14:paraId="2BEC9C22">
      <w:pPr>
        <w:pStyle w:val="2"/>
        <w:spacing w:line="275" w:lineRule="auto"/>
      </w:pPr>
    </w:p>
    <w:p w14:paraId="64BF4B09">
      <w:pPr>
        <w:pStyle w:val="2"/>
        <w:spacing w:line="275" w:lineRule="auto"/>
      </w:pPr>
    </w:p>
    <w:p w14:paraId="50F2B49C">
      <w:pPr>
        <w:spacing w:before="68" w:line="350" w:lineRule="auto"/>
        <w:ind w:left="23" w:right="87" w:firstLine="3"/>
        <w:rPr>
          <w:rFonts w:ascii="宋体" w:hAnsi="宋体" w:eastAsia="宋体" w:cs="宋体"/>
          <w:sz w:val="21"/>
          <w:szCs w:val="21"/>
        </w:rPr>
      </w:pPr>
      <w:r>
        <w:rPr>
          <w:rFonts w:ascii="宋体" w:hAnsi="宋体" w:eastAsia="宋体" w:cs="宋体"/>
          <w:spacing w:val="-5"/>
          <w:sz w:val="21"/>
          <w:szCs w:val="21"/>
        </w:rPr>
        <w:t>性结构上堆放超过设计允许荷载的任何材料、物品或设备。在任何情况下， 承包人均应对其</w:t>
      </w:r>
      <w:r>
        <w:rPr>
          <w:rFonts w:ascii="宋体" w:hAnsi="宋体" w:eastAsia="宋体" w:cs="宋体"/>
          <w:spacing w:val="-1"/>
          <w:sz w:val="21"/>
          <w:szCs w:val="21"/>
        </w:rPr>
        <w:t>任何上述超载行为引起的后果负责，并承担相应的修缮费用。</w:t>
      </w:r>
    </w:p>
    <w:p w14:paraId="6766D397">
      <w:pPr>
        <w:spacing w:before="3" w:line="351" w:lineRule="auto"/>
        <w:ind w:left="24" w:right="77"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6.1.13      </w:t>
      </w:r>
      <w:r>
        <w:rPr>
          <w:rFonts w:ascii="宋体" w:hAnsi="宋体" w:eastAsia="宋体" w:cs="宋体"/>
          <w:spacing w:val="-1"/>
          <w:sz w:val="21"/>
          <w:szCs w:val="21"/>
        </w:rPr>
        <w:t>承包人应成立应</w:t>
      </w:r>
      <w:r>
        <w:rPr>
          <w:rFonts w:ascii="宋体" w:hAnsi="宋体" w:eastAsia="宋体" w:cs="宋体"/>
          <w:spacing w:val="-2"/>
          <w:sz w:val="21"/>
          <w:szCs w:val="21"/>
        </w:rPr>
        <w:t>急救援小组，配备必要的应急救援器材和设备，制定灾害和生产安全事故的应急救援预案，并将应急救援预案报送监理人。应急救援预案应能随时组织应</w:t>
      </w:r>
      <w:r>
        <w:rPr>
          <w:rFonts w:ascii="宋体" w:hAnsi="宋体" w:eastAsia="宋体" w:cs="宋体"/>
          <w:spacing w:val="-3"/>
          <w:sz w:val="21"/>
          <w:szCs w:val="21"/>
        </w:rPr>
        <w:t>救专职人员、并定期组织演练。</w:t>
      </w:r>
    </w:p>
    <w:p w14:paraId="4095218F">
      <w:pPr>
        <w:spacing w:line="352" w:lineRule="auto"/>
        <w:ind w:left="24" w:right="73"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6.1.14      </w:t>
      </w:r>
      <w:r>
        <w:rPr>
          <w:rFonts w:ascii="宋体" w:hAnsi="宋体" w:eastAsia="宋体" w:cs="宋体"/>
          <w:spacing w:val="-1"/>
          <w:sz w:val="21"/>
          <w:szCs w:val="21"/>
        </w:rPr>
        <w:t>施工过程中需要使用爆破</w:t>
      </w:r>
      <w:r>
        <w:rPr>
          <w:rFonts w:ascii="宋体" w:hAnsi="宋体" w:eastAsia="宋体" w:cs="宋体"/>
          <w:spacing w:val="-2"/>
          <w:sz w:val="21"/>
          <w:szCs w:val="21"/>
        </w:rPr>
        <w:t>或带炸药的工具等危险性施工方法时，承包人应提前</w:t>
      </w:r>
      <w:r>
        <w:rPr>
          <w:rFonts w:ascii="宋体" w:hAnsi="宋体" w:eastAsia="宋体" w:cs="宋体"/>
          <w:sz w:val="21"/>
          <w:szCs w:val="21"/>
        </w:rPr>
        <w:t>通</w:t>
      </w:r>
    </w:p>
    <w:p w14:paraId="492915B5">
      <w:pPr>
        <w:spacing w:before="11" w:line="350" w:lineRule="auto"/>
        <w:ind w:left="24" w:right="74" w:firstLine="424"/>
        <w:jc w:val="both"/>
        <w:rPr>
          <w:rFonts w:ascii="宋体" w:hAnsi="宋体" w:eastAsia="宋体" w:cs="宋体"/>
          <w:sz w:val="21"/>
          <w:szCs w:val="21"/>
        </w:rPr>
      </w:pPr>
      <w:r>
        <w:rPr>
          <w:rFonts w:ascii="宋体" w:hAnsi="宋体" w:eastAsia="宋体" w:cs="宋体"/>
          <w:spacing w:val="-2"/>
          <w:sz w:val="21"/>
          <w:szCs w:val="21"/>
        </w:rPr>
        <w:t>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w:t>
      </w:r>
      <w:r>
        <w:rPr>
          <w:rFonts w:ascii="宋体" w:hAnsi="宋体" w:eastAsia="宋体" w:cs="宋体"/>
          <w:spacing w:val="-3"/>
          <w:sz w:val="21"/>
          <w:szCs w:val="21"/>
        </w:rPr>
        <w:t>用可能引起</w:t>
      </w:r>
      <w:r>
        <w:rPr>
          <w:rFonts w:ascii="宋体" w:hAnsi="宋体" w:eastAsia="宋体" w:cs="宋体"/>
          <w:spacing w:val="-2"/>
          <w:sz w:val="21"/>
          <w:szCs w:val="21"/>
        </w:rPr>
        <w:t>的任何损失或损害的赔偿。任何情况下，承包人不得在已完永久性工程中和空</w:t>
      </w:r>
      <w:r>
        <w:rPr>
          <w:rFonts w:ascii="宋体" w:hAnsi="宋体" w:eastAsia="宋体" w:cs="宋体"/>
          <w:spacing w:val="-3"/>
          <w:sz w:val="21"/>
          <w:szCs w:val="21"/>
        </w:rPr>
        <w:t>心砌体中使用</w:t>
      </w:r>
      <w:r>
        <w:rPr>
          <w:rFonts w:ascii="宋体" w:hAnsi="宋体" w:eastAsia="宋体" w:cs="宋体"/>
          <w:spacing w:val="-6"/>
          <w:sz w:val="21"/>
          <w:szCs w:val="21"/>
        </w:rPr>
        <w:t>爆破方法。</w:t>
      </w:r>
    </w:p>
    <w:p w14:paraId="4669E5D4">
      <w:pPr>
        <w:spacing w:before="3" w:line="352" w:lineRule="auto"/>
        <w:ind w:left="24" w:firstLine="421"/>
        <w:rPr>
          <w:rFonts w:ascii="宋体" w:hAnsi="宋体" w:eastAsia="宋体" w:cs="宋体"/>
          <w:sz w:val="21"/>
          <w:szCs w:val="21"/>
        </w:rPr>
      </w:pPr>
      <w:r>
        <w:rPr>
          <w:rFonts w:ascii="Times New Roman" w:hAnsi="Times New Roman" w:eastAsia="Times New Roman" w:cs="Times New Roman"/>
          <w:spacing w:val="-4"/>
          <w:sz w:val="21"/>
          <w:szCs w:val="21"/>
        </w:rPr>
        <w:t xml:space="preserve">6.1.15      </w:t>
      </w:r>
      <w:r>
        <w:rPr>
          <w:rFonts w:ascii="宋体" w:hAnsi="宋体" w:eastAsia="宋体" w:cs="宋体"/>
          <w:spacing w:val="-4"/>
          <w:sz w:val="21"/>
          <w:szCs w:val="21"/>
        </w:rPr>
        <w:t>基坑支护与降水工程、土方开挖工程、模</w:t>
      </w:r>
      <w:r>
        <w:rPr>
          <w:rFonts w:ascii="宋体" w:hAnsi="宋体" w:eastAsia="宋体" w:cs="宋体"/>
          <w:spacing w:val="-5"/>
          <w:sz w:val="21"/>
          <w:szCs w:val="21"/>
        </w:rPr>
        <w:t>板工程、起重吊装工程、脚手架工程、</w:t>
      </w:r>
      <w:r>
        <w:rPr>
          <w:rFonts w:ascii="宋体" w:hAnsi="宋体" w:eastAsia="宋体" w:cs="宋体"/>
          <w:spacing w:val="-2"/>
          <w:sz w:val="21"/>
          <w:szCs w:val="21"/>
        </w:rPr>
        <w:t>拆除工程和爆破工程等达到一定规模和危险性较大的分部分项工程，承包人应当编制专项施工方案，其中深基坑、地下暗挖和高大模板工程的专项施工方案，还应组织专家进</w:t>
      </w:r>
      <w:r>
        <w:rPr>
          <w:rFonts w:ascii="宋体" w:hAnsi="宋体" w:eastAsia="宋体" w:cs="宋体"/>
          <w:spacing w:val="-3"/>
          <w:sz w:val="21"/>
          <w:szCs w:val="21"/>
        </w:rPr>
        <w:t>行论证和</w:t>
      </w:r>
      <w:r>
        <w:rPr>
          <w:rFonts w:ascii="宋体" w:hAnsi="宋体" w:eastAsia="宋体" w:cs="宋体"/>
          <w:spacing w:val="-9"/>
          <w:sz w:val="21"/>
          <w:szCs w:val="21"/>
        </w:rPr>
        <w:t>审查。</w:t>
      </w:r>
    </w:p>
    <w:p w14:paraId="6B271D49">
      <w:pPr>
        <w:spacing w:before="7" w:line="351" w:lineRule="auto"/>
        <w:ind w:left="25" w:right="75"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6.1.16      </w:t>
      </w:r>
      <w:r>
        <w:rPr>
          <w:rFonts w:ascii="宋体" w:hAnsi="宋体" w:eastAsia="宋体" w:cs="宋体"/>
          <w:spacing w:val="1"/>
          <w:sz w:val="21"/>
          <w:szCs w:val="21"/>
        </w:rPr>
        <w:t xml:space="preserve">承包人应按照通用合同条款第 </w:t>
      </w:r>
      <w:r>
        <w:rPr>
          <w:rFonts w:ascii="Times New Roman" w:hAnsi="Times New Roman" w:eastAsia="Times New Roman" w:cs="Times New Roman"/>
          <w:spacing w:val="1"/>
          <w:sz w:val="21"/>
          <w:szCs w:val="21"/>
        </w:rPr>
        <w:t xml:space="preserve">9.5  </w:t>
      </w:r>
      <w:r>
        <w:rPr>
          <w:rFonts w:ascii="宋体" w:hAnsi="宋体" w:eastAsia="宋体" w:cs="宋体"/>
          <w:spacing w:val="1"/>
          <w:sz w:val="21"/>
          <w:szCs w:val="21"/>
        </w:rPr>
        <w:t>款的约定处理本工程施工过程中发生的事</w:t>
      </w:r>
      <w:r>
        <w:rPr>
          <w:rFonts w:ascii="宋体" w:hAnsi="宋体" w:eastAsia="宋体" w:cs="宋体"/>
          <w:spacing w:val="-2"/>
          <w:sz w:val="21"/>
          <w:szCs w:val="21"/>
        </w:rPr>
        <w:t>故。发生施工安全事故后，承包人必须立即报告监理人和发包人，并在事故发</w:t>
      </w:r>
      <w:r>
        <w:rPr>
          <w:rFonts w:ascii="宋体" w:hAnsi="宋体" w:eastAsia="宋体" w:cs="宋体"/>
          <w:spacing w:val="-3"/>
          <w:sz w:val="21"/>
          <w:szCs w:val="21"/>
        </w:rPr>
        <w:t>生后一小时内</w:t>
      </w:r>
      <w:r>
        <w:rPr>
          <w:rFonts w:ascii="宋体" w:hAnsi="宋体" w:eastAsia="宋体" w:cs="宋体"/>
          <w:spacing w:val="-2"/>
          <w:sz w:val="21"/>
          <w:szCs w:val="21"/>
        </w:rPr>
        <w:t>向发包人提交事故情况书面报告，并根据《生产安全事故报告和调查处理条例》的规定，及时向工程所在地县级以上地方人民政府安全生产监督管理部门和建设行政主管部门报告</w:t>
      </w:r>
      <w:r>
        <w:rPr>
          <w:rFonts w:ascii="宋体" w:hAnsi="宋体" w:eastAsia="宋体" w:cs="宋体"/>
          <w:spacing w:val="-3"/>
          <w:sz w:val="21"/>
          <w:szCs w:val="21"/>
        </w:rPr>
        <w:t>。情</w:t>
      </w:r>
      <w:r>
        <w:rPr>
          <w:rFonts w:ascii="宋体" w:hAnsi="宋体" w:eastAsia="宋体" w:cs="宋体"/>
          <w:spacing w:val="-2"/>
          <w:sz w:val="21"/>
          <w:szCs w:val="21"/>
        </w:rPr>
        <w:t>况紧急时，事故现场有关人员可以直接向工程所在地县级以上地方人民政府安</w:t>
      </w:r>
      <w:r>
        <w:rPr>
          <w:rFonts w:ascii="宋体" w:hAnsi="宋体" w:eastAsia="宋体" w:cs="宋体"/>
          <w:spacing w:val="-3"/>
          <w:sz w:val="21"/>
          <w:szCs w:val="21"/>
        </w:rPr>
        <w:t>全生产监督管理部门和建设行政主管部门报告。</w:t>
      </w:r>
    </w:p>
    <w:p w14:paraId="0280FB48">
      <w:pPr>
        <w:spacing w:before="6" w:line="348" w:lineRule="auto"/>
        <w:ind w:left="26" w:right="74" w:firstLine="418"/>
        <w:rPr>
          <w:rFonts w:ascii="宋体" w:hAnsi="宋体" w:eastAsia="宋体" w:cs="宋体"/>
          <w:sz w:val="21"/>
          <w:szCs w:val="21"/>
        </w:rPr>
      </w:pPr>
      <w:r>
        <w:rPr>
          <w:rFonts w:ascii="Times New Roman" w:hAnsi="Times New Roman" w:eastAsia="Times New Roman" w:cs="Times New Roman"/>
          <w:spacing w:val="-4"/>
          <w:sz w:val="21"/>
          <w:szCs w:val="21"/>
        </w:rPr>
        <w:t xml:space="preserve">6.1.17      </w:t>
      </w:r>
      <w:r>
        <w:rPr>
          <w:rFonts w:ascii="宋体" w:hAnsi="宋体" w:eastAsia="宋体" w:cs="宋体"/>
          <w:spacing w:val="-4"/>
          <w:sz w:val="21"/>
          <w:szCs w:val="21"/>
        </w:rPr>
        <w:t>承包人还应根据有关法律、法规、规定和条例等的要求， 制定一套安全生产应</w:t>
      </w:r>
      <w:r>
        <w:rPr>
          <w:rFonts w:ascii="宋体" w:hAnsi="宋体" w:eastAsia="宋体" w:cs="宋体"/>
          <w:spacing w:val="-2"/>
          <w:sz w:val="21"/>
          <w:szCs w:val="21"/>
        </w:rPr>
        <w:t>急措施和程序，保证一旦出现任何安全事故，能立即保护好现场，抢救伤员和财产，保证施工生产的正常进行，防止损失扩大。</w:t>
      </w:r>
    </w:p>
    <w:p w14:paraId="34C8C6ED">
      <w:pPr>
        <w:spacing w:before="13" w:line="234" w:lineRule="auto"/>
        <w:ind w:left="445"/>
        <w:rPr>
          <w:rFonts w:ascii="宋体" w:hAnsi="宋体" w:eastAsia="宋体" w:cs="宋体"/>
          <w:sz w:val="21"/>
          <w:szCs w:val="21"/>
        </w:rPr>
      </w:pPr>
      <w:r>
        <w:rPr>
          <w:rFonts w:ascii="Times New Roman" w:hAnsi="Times New Roman" w:eastAsia="Times New Roman" w:cs="Times New Roman"/>
          <w:spacing w:val="-2"/>
          <w:sz w:val="21"/>
          <w:szCs w:val="21"/>
        </w:rPr>
        <w:t xml:space="preserve">6.1.18      </w:t>
      </w:r>
      <w:r>
        <w:rPr>
          <w:rFonts w:ascii="宋体" w:hAnsi="宋体" w:eastAsia="宋体" w:cs="宋体"/>
          <w:spacing w:val="-2"/>
          <w:sz w:val="21"/>
          <w:szCs w:val="21"/>
        </w:rPr>
        <w:t>安全防护方面的其他要求如下：</w:t>
      </w:r>
    </w:p>
    <w:p w14:paraId="032A1BB7">
      <w:pPr>
        <w:pStyle w:val="2"/>
        <w:spacing w:line="271" w:lineRule="auto"/>
      </w:pPr>
    </w:p>
    <w:p w14:paraId="46016C59">
      <w:pPr>
        <w:pStyle w:val="2"/>
        <w:spacing w:line="271" w:lineRule="auto"/>
      </w:pPr>
      <w:r>
        <w:pict>
          <v:shape id="_x0000_s1234" o:spid="_x0000_s1234" style="position:absolute;left:0pt;margin-left:27.05pt;margin-top:7.55pt;height:0.75pt;width:352.25pt;z-index:251876352;mso-width-relative:page;mso-height-relative:page;" fillcolor="#000000" filled="t" stroked="f" coordsize="7045,15" path="m0,15l7044,15,7044,0,0,0,0,15xe">
            <v:path/>
            <v:fill on="t" focussize="0,0"/>
            <v:stroke on="f"/>
            <v:imagedata o:title=""/>
            <o:lock v:ext="edit"/>
          </v:shape>
        </w:pict>
      </w:r>
    </w:p>
    <w:p w14:paraId="549DAE87">
      <w:pPr>
        <w:pStyle w:val="2"/>
        <w:spacing w:line="271" w:lineRule="auto"/>
      </w:pPr>
    </w:p>
    <w:p w14:paraId="2D35019D">
      <w:pPr>
        <w:pStyle w:val="2"/>
        <w:spacing w:line="272" w:lineRule="auto"/>
      </w:pPr>
      <w:r>
        <w:pict>
          <v:shape id="_x0000_s1235" o:spid="_x0000_s1235" style="position:absolute;left:0pt;margin-left:21.8pt;margin-top:1.35pt;height:0.75pt;width:352.25pt;z-index:251877376;mso-width-relative:page;mso-height-relative:page;" fillcolor="#000000" filled="t" stroked="f" coordsize="7045,15" path="m0,15l7044,15,7044,0,0,0,0,15xe">
            <v:path/>
            <v:fill on="t" focussize="0,0"/>
            <v:stroke on="f"/>
            <v:imagedata o:title=""/>
            <o:lock v:ext="edit"/>
          </v:shape>
        </w:pict>
      </w:r>
    </w:p>
    <w:p w14:paraId="3EBB6633">
      <w:pPr>
        <w:spacing w:before="68" w:line="106" w:lineRule="exact"/>
        <w:ind w:left="7509"/>
        <w:rPr>
          <w:rFonts w:ascii="宋体" w:hAnsi="宋体" w:eastAsia="宋体" w:cs="宋体"/>
          <w:sz w:val="21"/>
          <w:szCs w:val="21"/>
        </w:rPr>
      </w:pPr>
      <w:r>
        <w:pict>
          <v:shape id="_x0000_s1236" o:spid="_x0000_s1236" style="position:absolute;left:0pt;margin-left:21.8pt;margin-top:7.15pt;height:0.75pt;width:352.25pt;z-index:25187532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47B6B9BD">
      <w:pPr>
        <w:pStyle w:val="2"/>
        <w:spacing w:line="381" w:lineRule="auto"/>
      </w:pPr>
    </w:p>
    <w:p w14:paraId="094A799D">
      <w:pPr>
        <w:spacing w:before="91" w:line="236" w:lineRule="auto"/>
        <w:ind w:left="28"/>
        <w:outlineLvl w:val="3"/>
        <w:rPr>
          <w:rFonts w:ascii="黑体" w:hAnsi="黑体" w:eastAsia="黑体" w:cs="黑体"/>
          <w:sz w:val="28"/>
          <w:szCs w:val="28"/>
        </w:rPr>
      </w:pPr>
      <w:r>
        <w:rPr>
          <w:rFonts w:ascii="Times New Roman" w:hAnsi="Times New Roman" w:eastAsia="Times New Roman" w:cs="Times New Roman"/>
          <w:spacing w:val="3"/>
          <w:sz w:val="28"/>
          <w:szCs w:val="28"/>
        </w:rPr>
        <w:t>6.2</w:t>
      </w:r>
      <w:r>
        <w:rPr>
          <w:rFonts w:ascii="Times New Roman" w:hAnsi="Times New Roman" w:eastAsia="Times New Roman" w:cs="Times New Roman"/>
          <w:spacing w:val="11"/>
          <w:sz w:val="28"/>
          <w:szCs w:val="28"/>
        </w:rPr>
        <w:t xml:space="preserve">  </w:t>
      </w:r>
      <w:r>
        <w:rPr>
          <w:rFonts w:ascii="黑体" w:hAnsi="黑体" w:eastAsia="黑体" w:cs="黑体"/>
          <w:spacing w:val="3"/>
          <w:sz w:val="28"/>
          <w:szCs w:val="28"/>
        </w:rPr>
        <w:t>临时消防</w:t>
      </w:r>
    </w:p>
    <w:p w14:paraId="1837681B">
      <w:pPr>
        <w:pStyle w:val="2"/>
        <w:spacing w:line="462" w:lineRule="auto"/>
      </w:pPr>
    </w:p>
    <w:p w14:paraId="299AE9AE">
      <w:pPr>
        <w:spacing w:before="69" w:line="335" w:lineRule="auto"/>
        <w:ind w:left="28" w:right="73" w:firstLine="417"/>
        <w:rPr>
          <w:rFonts w:ascii="宋体" w:hAnsi="宋体" w:eastAsia="宋体" w:cs="宋体"/>
          <w:sz w:val="21"/>
          <w:szCs w:val="21"/>
        </w:rPr>
      </w:pPr>
      <w:r>
        <w:rPr>
          <w:rFonts w:ascii="Times New Roman" w:hAnsi="Times New Roman" w:eastAsia="Times New Roman" w:cs="Times New Roman"/>
          <w:spacing w:val="-1"/>
          <w:sz w:val="21"/>
          <w:szCs w:val="21"/>
        </w:rPr>
        <w:t xml:space="preserve">6.2.1        </w:t>
      </w:r>
      <w:r>
        <w:rPr>
          <w:rFonts w:ascii="宋体" w:hAnsi="宋体" w:eastAsia="宋体" w:cs="宋体"/>
          <w:spacing w:val="-1"/>
          <w:sz w:val="21"/>
          <w:szCs w:val="21"/>
        </w:rPr>
        <w:t>承包人应建立消防安全责任</w:t>
      </w:r>
      <w:r>
        <w:rPr>
          <w:rFonts w:ascii="宋体" w:hAnsi="宋体" w:eastAsia="宋体" w:cs="宋体"/>
          <w:spacing w:val="-2"/>
          <w:sz w:val="21"/>
          <w:szCs w:val="21"/>
        </w:rPr>
        <w:t>制度，制定用火、用电和使用易燃易爆等危险品的消防安全管理制度和操作规程。各项制度和规程等应满足相关法律法规和政府</w:t>
      </w:r>
      <w:r>
        <w:rPr>
          <w:rFonts w:ascii="宋体" w:hAnsi="宋体" w:eastAsia="宋体" w:cs="宋体"/>
          <w:spacing w:val="-3"/>
          <w:sz w:val="21"/>
          <w:szCs w:val="21"/>
        </w:rPr>
        <w:t>消防管理部门</w:t>
      </w:r>
    </w:p>
    <w:p w14:paraId="1489E058">
      <w:pPr>
        <w:spacing w:line="335" w:lineRule="auto"/>
        <w:rPr>
          <w:rFonts w:ascii="宋体" w:hAnsi="宋体" w:eastAsia="宋体" w:cs="宋体"/>
          <w:sz w:val="21"/>
          <w:szCs w:val="21"/>
        </w:rPr>
        <w:sectPr>
          <w:footerReference r:id="rId272" w:type="default"/>
          <w:pgSz w:w="11910" w:h="16845"/>
          <w:pgMar w:top="400" w:right="1691" w:bottom="1110" w:left="1786" w:header="0" w:footer="883" w:gutter="0"/>
          <w:cols w:space="720" w:num="1"/>
        </w:sectPr>
      </w:pPr>
    </w:p>
    <w:p w14:paraId="5FA399B9">
      <w:pPr>
        <w:pStyle w:val="2"/>
        <w:spacing w:line="275" w:lineRule="auto"/>
      </w:pPr>
    </w:p>
    <w:p w14:paraId="52CCA674">
      <w:pPr>
        <w:pStyle w:val="2"/>
        <w:spacing w:line="275" w:lineRule="auto"/>
      </w:pPr>
    </w:p>
    <w:p w14:paraId="1FE8DF7A">
      <w:pPr>
        <w:pStyle w:val="2"/>
        <w:spacing w:line="275" w:lineRule="auto"/>
      </w:pPr>
    </w:p>
    <w:p w14:paraId="2C055915">
      <w:pPr>
        <w:pStyle w:val="2"/>
        <w:spacing w:line="276" w:lineRule="auto"/>
      </w:pPr>
    </w:p>
    <w:p w14:paraId="10BA6F8F">
      <w:pPr>
        <w:spacing w:before="68" w:line="221" w:lineRule="auto"/>
        <w:ind w:left="41"/>
        <w:rPr>
          <w:rFonts w:ascii="宋体" w:hAnsi="宋体" w:eastAsia="宋体" w:cs="宋体"/>
          <w:sz w:val="21"/>
          <w:szCs w:val="21"/>
        </w:rPr>
      </w:pPr>
      <w:r>
        <w:rPr>
          <w:rFonts w:ascii="宋体" w:hAnsi="宋体" w:eastAsia="宋体" w:cs="宋体"/>
          <w:spacing w:val="-11"/>
          <w:sz w:val="21"/>
          <w:szCs w:val="21"/>
        </w:rPr>
        <w:t>的要求。</w:t>
      </w:r>
    </w:p>
    <w:p w14:paraId="62D36369">
      <w:pPr>
        <w:spacing w:before="155" w:line="351" w:lineRule="auto"/>
        <w:ind w:left="25" w:right="2"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6.2.2        </w:t>
      </w:r>
      <w:r>
        <w:rPr>
          <w:rFonts w:ascii="宋体" w:hAnsi="宋体" w:eastAsia="宋体" w:cs="宋体"/>
          <w:spacing w:val="-1"/>
          <w:sz w:val="21"/>
          <w:szCs w:val="21"/>
        </w:rPr>
        <w:t>承包人应根据相关法律法规</w:t>
      </w:r>
      <w:r>
        <w:rPr>
          <w:rFonts w:ascii="宋体" w:hAnsi="宋体" w:eastAsia="宋体" w:cs="宋体"/>
          <w:spacing w:val="-2"/>
          <w:sz w:val="21"/>
          <w:szCs w:val="21"/>
        </w:rPr>
        <w:t>和消防管理部门的要求，为施工中的永久工程和所有临时工程提供必要的临时消防和紧急疏散设施，包括提供并维持畅通的消防通道、临</w:t>
      </w:r>
      <w:r>
        <w:rPr>
          <w:rFonts w:ascii="宋体" w:hAnsi="宋体" w:eastAsia="宋体" w:cs="宋体"/>
          <w:spacing w:val="-3"/>
          <w:sz w:val="21"/>
          <w:szCs w:val="21"/>
        </w:rPr>
        <w:t>时消</w:t>
      </w:r>
      <w:r>
        <w:rPr>
          <w:rFonts w:ascii="宋体" w:hAnsi="宋体" w:eastAsia="宋体" w:cs="宋体"/>
          <w:spacing w:val="-2"/>
          <w:sz w:val="21"/>
          <w:szCs w:val="21"/>
        </w:rPr>
        <w:t>火栓、灭火器、水龙带、灭火桶、灭火铲、灭火</w:t>
      </w:r>
      <w:r>
        <w:rPr>
          <w:rFonts w:ascii="宋体" w:hAnsi="宋体" w:eastAsia="宋体" w:cs="宋体"/>
          <w:spacing w:val="-3"/>
          <w:sz w:val="21"/>
          <w:szCs w:val="21"/>
        </w:rPr>
        <w:t>斧、消防水管、阀门、检查井、临时消防水</w:t>
      </w:r>
      <w:r>
        <w:rPr>
          <w:rFonts w:ascii="宋体" w:hAnsi="宋体" w:eastAsia="宋体" w:cs="宋体"/>
          <w:spacing w:val="-2"/>
          <w:sz w:val="21"/>
          <w:szCs w:val="21"/>
        </w:rPr>
        <w:t>箱、泵房和紧随工作面的临时疏散楼梯或疏散设施，消防设施的设立和消防设备</w:t>
      </w:r>
      <w:r>
        <w:rPr>
          <w:rFonts w:ascii="宋体" w:hAnsi="宋体" w:eastAsia="宋体" w:cs="宋体"/>
          <w:spacing w:val="-3"/>
          <w:sz w:val="21"/>
          <w:szCs w:val="21"/>
        </w:rPr>
        <w:t>的型号和功</w:t>
      </w:r>
      <w:r>
        <w:rPr>
          <w:rFonts w:ascii="宋体" w:hAnsi="宋体" w:eastAsia="宋体" w:cs="宋体"/>
          <w:spacing w:val="-2"/>
          <w:sz w:val="21"/>
          <w:szCs w:val="21"/>
        </w:rPr>
        <w:t>率应满足消防任务的需要，始终保持能够随时投入正常使用的状态，并设立明显标志。</w:t>
      </w:r>
      <w:r>
        <w:rPr>
          <w:rFonts w:ascii="宋体" w:hAnsi="宋体" w:eastAsia="宋体" w:cs="宋体"/>
          <w:spacing w:val="-3"/>
          <w:sz w:val="21"/>
          <w:szCs w:val="21"/>
        </w:rPr>
        <w:t>承包</w:t>
      </w:r>
      <w:r>
        <w:rPr>
          <w:rFonts w:ascii="宋体" w:hAnsi="宋体" w:eastAsia="宋体" w:cs="宋体"/>
          <w:spacing w:val="-2"/>
          <w:sz w:val="21"/>
          <w:szCs w:val="21"/>
        </w:rPr>
        <w:t>人的临时消防系统和配置应分别经过监理人和消防管理部门的审批和验收；承包</w:t>
      </w:r>
      <w:r>
        <w:rPr>
          <w:rFonts w:ascii="宋体" w:hAnsi="宋体" w:eastAsia="宋体" w:cs="宋体"/>
          <w:spacing w:val="-3"/>
          <w:sz w:val="21"/>
          <w:szCs w:val="21"/>
        </w:rPr>
        <w:t>人还应自费</w:t>
      </w:r>
      <w:r>
        <w:rPr>
          <w:rFonts w:ascii="宋体" w:hAnsi="宋体" w:eastAsia="宋体" w:cs="宋体"/>
          <w:spacing w:val="-4"/>
          <w:sz w:val="21"/>
          <w:szCs w:val="21"/>
        </w:rPr>
        <w:t>获得消防管理部门的临时消防证书。所有的临时消防设施属于承包人所有，</w:t>
      </w:r>
      <w:r>
        <w:rPr>
          <w:rFonts w:ascii="宋体" w:hAnsi="宋体" w:eastAsia="宋体" w:cs="宋体"/>
          <w:spacing w:val="-27"/>
          <w:sz w:val="21"/>
          <w:szCs w:val="21"/>
        </w:rPr>
        <w:t xml:space="preserve"> </w:t>
      </w:r>
      <w:r>
        <w:rPr>
          <w:rFonts w:ascii="宋体" w:hAnsi="宋体" w:eastAsia="宋体" w:cs="宋体"/>
          <w:spacing w:val="-4"/>
          <w:sz w:val="21"/>
          <w:szCs w:val="21"/>
        </w:rPr>
        <w:t>至工程实际竣工</w:t>
      </w:r>
      <w:r>
        <w:rPr>
          <w:rFonts w:ascii="宋体" w:hAnsi="宋体" w:eastAsia="宋体" w:cs="宋体"/>
          <w:spacing w:val="-2"/>
          <w:sz w:val="21"/>
          <w:szCs w:val="21"/>
        </w:rPr>
        <w:t>时且永久性消防系统投入使用后从现场拆除。</w:t>
      </w:r>
    </w:p>
    <w:p w14:paraId="12F1014C">
      <w:pPr>
        <w:spacing w:before="3" w:line="348" w:lineRule="auto"/>
        <w:ind w:left="24"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6.2.3        </w:t>
      </w:r>
      <w:r>
        <w:rPr>
          <w:rFonts w:ascii="宋体" w:hAnsi="宋体" w:eastAsia="宋体" w:cs="宋体"/>
          <w:spacing w:val="-1"/>
          <w:sz w:val="21"/>
          <w:szCs w:val="21"/>
        </w:rPr>
        <w:t>承包人应当成立由项目主要</w:t>
      </w:r>
      <w:r>
        <w:rPr>
          <w:rFonts w:ascii="宋体" w:hAnsi="宋体" w:eastAsia="宋体" w:cs="宋体"/>
          <w:spacing w:val="-2"/>
          <w:sz w:val="21"/>
          <w:szCs w:val="21"/>
        </w:rPr>
        <w:t>负责人担任组长的临时消防组或消防队，宣传消防基本知识和基本操作培训，组织消防演练，保证一旦发生火灾，能够组织有效的自救，保护</w:t>
      </w:r>
      <w:r>
        <w:rPr>
          <w:rFonts w:ascii="宋体" w:hAnsi="宋体" w:eastAsia="宋体" w:cs="宋体"/>
          <w:spacing w:val="-4"/>
          <w:sz w:val="21"/>
          <w:szCs w:val="21"/>
        </w:rPr>
        <w:t>生命和财产安全。</w:t>
      </w:r>
    </w:p>
    <w:p w14:paraId="118F7EDC">
      <w:pPr>
        <w:spacing w:before="13" w:line="344" w:lineRule="auto"/>
        <w:ind w:left="24" w:right="20" w:firstLine="421"/>
        <w:rPr>
          <w:rFonts w:ascii="宋体" w:hAnsi="宋体" w:eastAsia="宋体" w:cs="宋体"/>
          <w:sz w:val="21"/>
          <w:szCs w:val="21"/>
        </w:rPr>
      </w:pPr>
      <w:r>
        <w:rPr>
          <w:rFonts w:ascii="Times New Roman" w:hAnsi="Times New Roman" w:eastAsia="Times New Roman" w:cs="Times New Roman"/>
          <w:sz w:val="21"/>
          <w:szCs w:val="21"/>
        </w:rPr>
        <w:t xml:space="preserve">6.2.4        </w:t>
      </w:r>
      <w:r>
        <w:rPr>
          <w:rFonts w:ascii="宋体" w:hAnsi="宋体" w:eastAsia="宋体" w:cs="宋体"/>
          <w:sz w:val="21"/>
          <w:szCs w:val="21"/>
        </w:rPr>
        <w:t>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内的易燃、易爆物品应</w:t>
      </w:r>
      <w:r>
        <w:rPr>
          <w:rFonts w:ascii="宋体" w:hAnsi="宋体" w:eastAsia="宋体" w:cs="宋体"/>
          <w:spacing w:val="-1"/>
          <w:sz w:val="21"/>
          <w:szCs w:val="21"/>
        </w:rPr>
        <w:t>单独和安全地存放，设专人进行存放和</w:t>
      </w:r>
      <w:r>
        <w:rPr>
          <w:rFonts w:ascii="宋体" w:hAnsi="宋体" w:eastAsia="宋体" w:cs="宋体"/>
          <w:sz w:val="21"/>
          <w:szCs w:val="21"/>
        </w:rPr>
        <w:t>领用管理。施工场地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储有或正在使用易燃、易爆或</w:t>
      </w:r>
      <w:r>
        <w:rPr>
          <w:rFonts w:ascii="宋体" w:hAnsi="宋体" w:eastAsia="宋体" w:cs="宋体"/>
          <w:spacing w:val="-1"/>
          <w:sz w:val="21"/>
          <w:szCs w:val="21"/>
        </w:rPr>
        <w:t>可燃材料时或有明火施工的工序，</w:t>
      </w:r>
      <w:r>
        <w:rPr>
          <w:rFonts w:ascii="宋体" w:hAnsi="宋体" w:eastAsia="宋体" w:cs="宋体"/>
          <w:spacing w:val="-2"/>
          <w:sz w:val="21"/>
          <w:szCs w:val="21"/>
        </w:rPr>
        <w:t>应当实行严格的“用火证”管理制度。</w:t>
      </w:r>
    </w:p>
    <w:p w14:paraId="4E8AE651">
      <w:pPr>
        <w:spacing w:before="27"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 xml:space="preserve">6.2.5        </w:t>
      </w:r>
      <w:r>
        <w:rPr>
          <w:rFonts w:ascii="宋体" w:hAnsi="宋体" w:eastAsia="宋体" w:cs="宋体"/>
          <w:spacing w:val="-1"/>
          <w:sz w:val="21"/>
          <w:szCs w:val="21"/>
        </w:rPr>
        <w:t>临时消防方面的其他</w:t>
      </w:r>
      <w:r>
        <w:rPr>
          <w:rFonts w:ascii="宋体" w:hAnsi="宋体" w:eastAsia="宋体" w:cs="宋体"/>
          <w:spacing w:val="-2"/>
          <w:sz w:val="21"/>
          <w:szCs w:val="21"/>
        </w:rPr>
        <w:t>要求如下：</w:t>
      </w:r>
    </w:p>
    <w:p w14:paraId="1791FF1D">
      <w:pPr>
        <w:pStyle w:val="2"/>
        <w:spacing w:line="275" w:lineRule="auto"/>
      </w:pPr>
    </w:p>
    <w:p w14:paraId="6F869335">
      <w:pPr>
        <w:pStyle w:val="2"/>
        <w:spacing w:line="275" w:lineRule="auto"/>
      </w:pPr>
      <w:r>
        <w:pict>
          <v:shape id="_x0000_s1237" o:spid="_x0000_s1237" style="position:absolute;left:0pt;margin-left:27.05pt;margin-top:8.15pt;height:0.75pt;width:352.25pt;z-index:251879424;mso-width-relative:page;mso-height-relative:page;" fillcolor="#000000" filled="t" stroked="f" coordsize="7045,15" path="m0,15l7044,15,7044,0,0,0,0,15xe">
            <v:path/>
            <v:fill on="t" focussize="0,0"/>
            <v:stroke on="f"/>
            <v:imagedata o:title=""/>
            <o:lock v:ext="edit"/>
          </v:shape>
        </w:pict>
      </w:r>
    </w:p>
    <w:p w14:paraId="03E8922A">
      <w:pPr>
        <w:pStyle w:val="2"/>
        <w:spacing w:line="275" w:lineRule="auto"/>
      </w:pPr>
    </w:p>
    <w:p w14:paraId="019603F2">
      <w:pPr>
        <w:pStyle w:val="2"/>
        <w:spacing w:line="275" w:lineRule="auto"/>
      </w:pPr>
      <w:r>
        <w:pict>
          <v:shape id="_x0000_s1238" o:spid="_x0000_s1238" style="position:absolute;left:0pt;margin-left:21.8pt;margin-top:0.75pt;height:0.75pt;width:352.25pt;z-index:251878400;mso-width-relative:page;mso-height-relative:page;" fillcolor="#000000" filled="t" stroked="f" coordsize="7045,15" path="m0,15l7044,15,7044,0,0,0,0,15xe">
            <v:path/>
            <v:fill on="t" focussize="0,0"/>
            <v:stroke on="f"/>
            <v:imagedata o:title=""/>
            <o:lock v:ext="edit"/>
          </v:shape>
        </w:pict>
      </w:r>
    </w:p>
    <w:p w14:paraId="009F3F4C">
      <w:pPr>
        <w:spacing w:before="69" w:line="105" w:lineRule="exact"/>
        <w:ind w:left="7509"/>
        <w:rPr>
          <w:rFonts w:ascii="宋体" w:hAnsi="宋体" w:eastAsia="宋体" w:cs="宋体"/>
          <w:sz w:val="21"/>
          <w:szCs w:val="21"/>
        </w:rPr>
      </w:pPr>
      <w:r>
        <w:pict>
          <v:shape id="_x0000_s1239" o:spid="_x0000_s1239" style="position:absolute;left:0pt;margin-left:21.8pt;margin-top:7.2pt;height:0.75pt;width:352.25pt;z-index:25188044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E8DB2CD">
      <w:pPr>
        <w:pStyle w:val="2"/>
        <w:spacing w:line="366" w:lineRule="auto"/>
      </w:pPr>
    </w:p>
    <w:p w14:paraId="596C7570">
      <w:pPr>
        <w:spacing w:before="91" w:line="238" w:lineRule="auto"/>
        <w:ind w:left="28"/>
        <w:outlineLvl w:val="3"/>
        <w:rPr>
          <w:rFonts w:ascii="黑体" w:hAnsi="黑体" w:eastAsia="黑体" w:cs="黑体"/>
          <w:sz w:val="28"/>
          <w:szCs w:val="28"/>
        </w:rPr>
      </w:pPr>
      <w:r>
        <w:rPr>
          <w:rFonts w:ascii="Times New Roman" w:hAnsi="Times New Roman" w:eastAsia="Times New Roman" w:cs="Times New Roman"/>
          <w:spacing w:val="3"/>
          <w:sz w:val="28"/>
          <w:szCs w:val="28"/>
        </w:rPr>
        <w:t>6.3</w:t>
      </w:r>
      <w:r>
        <w:rPr>
          <w:rFonts w:ascii="Times New Roman" w:hAnsi="Times New Roman" w:eastAsia="Times New Roman" w:cs="Times New Roman"/>
          <w:spacing w:val="11"/>
          <w:sz w:val="28"/>
          <w:szCs w:val="28"/>
        </w:rPr>
        <w:t xml:space="preserve">  </w:t>
      </w:r>
      <w:r>
        <w:rPr>
          <w:rFonts w:ascii="黑体" w:hAnsi="黑体" w:eastAsia="黑体" w:cs="黑体"/>
          <w:spacing w:val="3"/>
          <w:sz w:val="28"/>
          <w:szCs w:val="28"/>
        </w:rPr>
        <w:t>临时供电</w:t>
      </w:r>
    </w:p>
    <w:p w14:paraId="5D97DCCE">
      <w:pPr>
        <w:pStyle w:val="2"/>
        <w:spacing w:line="456" w:lineRule="auto"/>
      </w:pPr>
    </w:p>
    <w:p w14:paraId="1BF98E75">
      <w:pPr>
        <w:spacing w:before="70" w:line="352" w:lineRule="auto"/>
        <w:ind w:left="25" w:right="3" w:firstLine="420"/>
        <w:rPr>
          <w:rFonts w:ascii="宋体" w:hAnsi="宋体" w:eastAsia="宋体" w:cs="宋体"/>
          <w:sz w:val="21"/>
          <w:szCs w:val="21"/>
        </w:rPr>
      </w:pPr>
      <w:r>
        <w:rPr>
          <w:rFonts w:ascii="Times New Roman" w:hAnsi="Times New Roman" w:eastAsia="Times New Roman" w:cs="Times New Roman"/>
          <w:sz w:val="21"/>
          <w:szCs w:val="21"/>
        </w:rPr>
        <w:t xml:space="preserve">6.3.1        </w:t>
      </w:r>
      <w:r>
        <w:rPr>
          <w:rFonts w:ascii="宋体" w:hAnsi="宋体" w:eastAsia="宋体" w:cs="宋体"/>
          <w:sz w:val="21"/>
          <w:szCs w:val="21"/>
        </w:rPr>
        <w:t>承包人应当根据《施工现场临时用电安全技术规范》</w:t>
      </w:r>
      <w:r>
        <w:rPr>
          <w:rFonts w:ascii="Times New Roman" w:hAnsi="Times New Roman" w:eastAsia="Times New Roman" w:cs="Times New Roman"/>
          <w:sz w:val="21"/>
          <w:szCs w:val="21"/>
        </w:rPr>
        <w:t>(JGJ  46</w:t>
      </w:r>
      <w:r>
        <w:rPr>
          <w:rFonts w:ascii="宋体" w:hAnsi="宋体" w:eastAsia="宋体" w:cs="宋体"/>
          <w:sz w:val="21"/>
          <w:szCs w:val="21"/>
        </w:rPr>
        <w:t>—</w:t>
      </w:r>
      <w:r>
        <w:rPr>
          <w:rFonts w:ascii="Times New Roman" w:hAnsi="Times New Roman" w:eastAsia="Times New Roman" w:cs="Times New Roman"/>
          <w:sz w:val="21"/>
          <w:szCs w:val="21"/>
        </w:rPr>
        <w:t>2005</w:t>
      </w:r>
      <w:r>
        <w:rPr>
          <w:rFonts w:ascii="Times New Roman" w:hAnsi="Times New Roman" w:eastAsia="Times New Roman" w:cs="Times New Roman"/>
          <w:spacing w:val="-1"/>
          <w:sz w:val="21"/>
          <w:szCs w:val="21"/>
        </w:rPr>
        <w:t>)</w:t>
      </w:r>
      <w:r>
        <w:rPr>
          <w:rFonts w:ascii="宋体" w:hAnsi="宋体" w:eastAsia="宋体" w:cs="宋体"/>
          <w:spacing w:val="-1"/>
          <w:sz w:val="21"/>
          <w:szCs w:val="21"/>
        </w:rPr>
        <w:t>及其适用</w:t>
      </w:r>
      <w:r>
        <w:rPr>
          <w:rFonts w:ascii="宋体" w:hAnsi="宋体" w:eastAsia="宋体" w:cs="宋体"/>
          <w:spacing w:val="-2"/>
          <w:sz w:val="21"/>
          <w:szCs w:val="21"/>
        </w:rPr>
        <w:t>的修订版本的规定和施工要求编制施工临时用电方案。临时用电方案及其变更必须履行</w:t>
      </w:r>
      <w:r>
        <w:rPr>
          <w:rFonts w:ascii="宋体" w:hAnsi="宋体" w:eastAsia="宋体" w:cs="宋体"/>
          <w:spacing w:val="-3"/>
          <w:sz w:val="21"/>
          <w:szCs w:val="21"/>
        </w:rPr>
        <w:t>“编</w:t>
      </w:r>
      <w:r>
        <w:rPr>
          <w:rFonts w:ascii="宋体" w:hAnsi="宋体" w:eastAsia="宋体" w:cs="宋体"/>
          <w:spacing w:val="-2"/>
          <w:sz w:val="21"/>
          <w:szCs w:val="21"/>
        </w:rPr>
        <w:t>制、审核、批准”程序。施工临时用电方案应当由电气工程技术人员组织编制，经企业技术</w:t>
      </w:r>
      <w:r>
        <w:rPr>
          <w:rFonts w:ascii="宋体" w:hAnsi="宋体" w:eastAsia="宋体" w:cs="宋体"/>
          <w:spacing w:val="-1"/>
          <w:sz w:val="21"/>
          <w:szCs w:val="21"/>
        </w:rPr>
        <w:t>负责人批准后实施，经编制、审核、批准部门和使用单位共同验收合格后方可投入使用。</w:t>
      </w:r>
    </w:p>
    <w:p w14:paraId="220131E4">
      <w:pPr>
        <w:spacing w:before="7" w:line="348" w:lineRule="auto"/>
        <w:ind w:left="25" w:right="20" w:firstLine="419"/>
        <w:rPr>
          <w:rFonts w:ascii="宋体" w:hAnsi="宋体" w:eastAsia="宋体" w:cs="宋体"/>
          <w:sz w:val="21"/>
          <w:szCs w:val="21"/>
        </w:rPr>
      </w:pPr>
      <w:r>
        <w:rPr>
          <w:rFonts w:ascii="Times New Roman" w:hAnsi="Times New Roman" w:eastAsia="Times New Roman" w:cs="Times New Roman"/>
          <w:sz w:val="21"/>
          <w:szCs w:val="21"/>
        </w:rPr>
        <w:t xml:space="preserve">6.3.2        </w:t>
      </w:r>
      <w:r>
        <w:rPr>
          <w:rFonts w:ascii="宋体" w:hAnsi="宋体" w:eastAsia="宋体" w:cs="宋体"/>
          <w:sz w:val="21"/>
          <w:szCs w:val="21"/>
        </w:rPr>
        <w:t>承包人应为施工场地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，包括为工程</w:t>
      </w:r>
      <w:r>
        <w:rPr>
          <w:rFonts w:ascii="宋体" w:hAnsi="宋体" w:eastAsia="宋体" w:cs="宋体"/>
          <w:spacing w:val="-1"/>
          <w:sz w:val="21"/>
          <w:szCs w:val="21"/>
        </w:rPr>
        <w:t>楼层或者各区域，提供、设立和维护</w:t>
      </w:r>
      <w:r>
        <w:rPr>
          <w:rFonts w:ascii="宋体" w:hAnsi="宋体" w:eastAsia="宋体" w:cs="宋体"/>
          <w:spacing w:val="-2"/>
          <w:sz w:val="21"/>
          <w:szCs w:val="21"/>
        </w:rPr>
        <w:t>必要的临时电力供应系统，并保证电力供应系统始终处于满足供电管</w:t>
      </w:r>
      <w:r>
        <w:rPr>
          <w:rFonts w:ascii="宋体" w:hAnsi="宋体" w:eastAsia="宋体" w:cs="宋体"/>
          <w:spacing w:val="-3"/>
          <w:sz w:val="21"/>
          <w:szCs w:val="21"/>
        </w:rPr>
        <w:t>理部门要求和正常施工</w:t>
      </w:r>
      <w:r>
        <w:rPr>
          <w:rFonts w:ascii="宋体" w:hAnsi="宋体" w:eastAsia="宋体" w:cs="宋体"/>
          <w:spacing w:val="-1"/>
          <w:sz w:val="21"/>
          <w:szCs w:val="21"/>
        </w:rPr>
        <w:t>生产所要求的状态，并在工程实际竣工和相应永久系统投入使用后从现场拆除。</w:t>
      </w:r>
    </w:p>
    <w:p w14:paraId="0B2E2021">
      <w:pPr>
        <w:spacing w:before="10" w:line="349" w:lineRule="auto"/>
        <w:ind w:left="25" w:right="1"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6.3.3        </w:t>
      </w:r>
      <w:r>
        <w:rPr>
          <w:rFonts w:ascii="宋体" w:hAnsi="宋体" w:eastAsia="宋体" w:cs="宋体"/>
          <w:spacing w:val="-1"/>
          <w:sz w:val="21"/>
          <w:szCs w:val="21"/>
        </w:rPr>
        <w:t>临时供电系统的电缆、电线、配</w:t>
      </w:r>
      <w:r>
        <w:rPr>
          <w:rFonts w:ascii="宋体" w:hAnsi="宋体" w:eastAsia="宋体" w:cs="宋体"/>
          <w:spacing w:val="-2"/>
          <w:sz w:val="21"/>
          <w:szCs w:val="21"/>
        </w:rPr>
        <w:t>电箱、控制柜、开关箱、漏电保护器等材料设</w:t>
      </w:r>
      <w:r>
        <w:rPr>
          <w:rFonts w:ascii="宋体" w:hAnsi="宋体" w:eastAsia="宋体" w:cs="宋体"/>
          <w:sz w:val="21"/>
          <w:szCs w:val="21"/>
        </w:rPr>
        <w:t>备均应当具有生产</w:t>
      </w:r>
      <w:r>
        <w:rPr>
          <w:rFonts w:ascii="Times New Roman" w:hAnsi="Times New Roman" w:eastAsia="Times New Roman" w:cs="Times New Roman"/>
          <w:sz w:val="21"/>
          <w:szCs w:val="21"/>
        </w:rPr>
        <w:t>(</w:t>
      </w:r>
      <w:r>
        <w:rPr>
          <w:rFonts w:ascii="宋体" w:hAnsi="宋体" w:eastAsia="宋体" w:cs="宋体"/>
          <w:sz w:val="21"/>
          <w:szCs w:val="21"/>
        </w:rPr>
        <w:t>制造</w:t>
      </w:r>
      <w:r>
        <w:rPr>
          <w:rFonts w:ascii="Times New Roman" w:hAnsi="Times New Roman" w:eastAsia="Times New Roman" w:cs="Times New Roman"/>
          <w:sz w:val="21"/>
          <w:szCs w:val="21"/>
        </w:rPr>
        <w:t>)</w:t>
      </w:r>
      <w:r>
        <w:rPr>
          <w:rFonts w:ascii="宋体" w:hAnsi="宋体" w:eastAsia="宋体" w:cs="宋体"/>
          <w:sz w:val="21"/>
          <w:szCs w:val="21"/>
        </w:rPr>
        <w:t>许可证、产品合格证并经过检</w:t>
      </w:r>
      <w:r>
        <w:rPr>
          <w:rFonts w:ascii="宋体" w:hAnsi="宋体" w:eastAsia="宋体" w:cs="宋体"/>
          <w:spacing w:val="-1"/>
          <w:sz w:val="21"/>
          <w:szCs w:val="21"/>
        </w:rPr>
        <w:t>验合格的产品。临时用电采用三相五</w:t>
      </w:r>
      <w:r>
        <w:rPr>
          <w:rFonts w:ascii="宋体" w:hAnsi="宋体" w:eastAsia="宋体" w:cs="宋体"/>
          <w:spacing w:val="-2"/>
          <w:sz w:val="21"/>
          <w:szCs w:val="21"/>
        </w:rPr>
        <w:t>线制、三级配电和两极漏电保护供电，三相四线制配电的电缆线路必须采用五</w:t>
      </w:r>
      <w:r>
        <w:rPr>
          <w:rFonts w:ascii="宋体" w:hAnsi="宋体" w:eastAsia="宋体" w:cs="宋体"/>
          <w:spacing w:val="-3"/>
          <w:sz w:val="21"/>
          <w:szCs w:val="21"/>
        </w:rPr>
        <w:t>芯电缆，按规</w:t>
      </w:r>
      <w:r>
        <w:rPr>
          <w:rFonts w:ascii="宋体" w:hAnsi="宋体" w:eastAsia="宋体" w:cs="宋体"/>
          <w:spacing w:val="-5"/>
          <w:sz w:val="21"/>
          <w:szCs w:val="21"/>
        </w:rPr>
        <w:t>定设立零线和接地线。电缆和电线的铺设要符合安全用电标准要求， 电缆线路应采用埋地或</w:t>
      </w:r>
      <w:r>
        <w:rPr>
          <w:rFonts w:ascii="宋体" w:hAnsi="宋体" w:eastAsia="宋体" w:cs="宋体"/>
          <w:spacing w:val="-2"/>
          <w:sz w:val="21"/>
          <w:szCs w:val="21"/>
        </w:rPr>
        <w:t>架空敷设，严禁地面明设，并应避免机械损伤和介质腐蚀。埋地电缆路径应设方位标志。各</w:t>
      </w:r>
    </w:p>
    <w:p w14:paraId="29810AB4">
      <w:pPr>
        <w:spacing w:line="349" w:lineRule="auto"/>
        <w:rPr>
          <w:rFonts w:ascii="宋体" w:hAnsi="宋体" w:eastAsia="宋体" w:cs="宋体"/>
          <w:sz w:val="21"/>
          <w:szCs w:val="21"/>
        </w:rPr>
        <w:sectPr>
          <w:footerReference r:id="rId273" w:type="default"/>
          <w:pgSz w:w="11910" w:h="16845"/>
          <w:pgMar w:top="400" w:right="1762" w:bottom="1110" w:left="1786" w:header="0" w:footer="882" w:gutter="0"/>
          <w:cols w:space="720" w:num="1"/>
        </w:sectPr>
      </w:pPr>
    </w:p>
    <w:p w14:paraId="3C8AB11F">
      <w:pPr>
        <w:pStyle w:val="2"/>
        <w:spacing w:line="275" w:lineRule="auto"/>
      </w:pPr>
    </w:p>
    <w:p w14:paraId="772DB63C">
      <w:pPr>
        <w:pStyle w:val="2"/>
        <w:spacing w:line="275" w:lineRule="auto"/>
      </w:pPr>
    </w:p>
    <w:p w14:paraId="323B401E">
      <w:pPr>
        <w:pStyle w:val="2"/>
        <w:spacing w:line="275" w:lineRule="auto"/>
      </w:pPr>
    </w:p>
    <w:p w14:paraId="40543E2C">
      <w:pPr>
        <w:pStyle w:val="2"/>
        <w:spacing w:line="275" w:lineRule="auto"/>
      </w:pPr>
    </w:p>
    <w:p w14:paraId="7150B993">
      <w:pPr>
        <w:spacing w:before="68" w:line="220" w:lineRule="auto"/>
        <w:ind w:left="24"/>
        <w:rPr>
          <w:rFonts w:ascii="宋体" w:hAnsi="宋体" w:eastAsia="宋体" w:cs="宋体"/>
          <w:sz w:val="21"/>
          <w:szCs w:val="21"/>
        </w:rPr>
      </w:pPr>
      <w:r>
        <w:rPr>
          <w:rFonts w:ascii="宋体" w:hAnsi="宋体" w:eastAsia="宋体" w:cs="宋体"/>
          <w:spacing w:val="-2"/>
          <w:sz w:val="21"/>
          <w:szCs w:val="21"/>
        </w:rPr>
        <w:t>种配电设备均设有防止漏电和防雨防水设施。</w:t>
      </w:r>
    </w:p>
    <w:p w14:paraId="2631FC86">
      <w:pPr>
        <w:spacing w:before="155" w:line="348" w:lineRule="auto"/>
        <w:ind w:left="24" w:right="47"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6.3.4        </w:t>
      </w:r>
      <w:r>
        <w:rPr>
          <w:rFonts w:ascii="宋体" w:hAnsi="宋体" w:eastAsia="宋体" w:cs="宋体"/>
          <w:spacing w:val="-1"/>
          <w:sz w:val="21"/>
          <w:szCs w:val="21"/>
        </w:rPr>
        <w:t>承包人应在施工作业区、施</w:t>
      </w:r>
      <w:r>
        <w:rPr>
          <w:rFonts w:ascii="宋体" w:hAnsi="宋体" w:eastAsia="宋体" w:cs="宋体"/>
          <w:spacing w:val="-2"/>
          <w:sz w:val="21"/>
          <w:szCs w:val="21"/>
        </w:rPr>
        <w:t>工道路、临时设施、办公区和生活区设置足够的照</w:t>
      </w:r>
      <w:r>
        <w:rPr>
          <w:rFonts w:ascii="宋体" w:hAnsi="宋体" w:eastAsia="宋体" w:cs="宋体"/>
          <w:spacing w:val="-3"/>
          <w:sz w:val="21"/>
          <w:szCs w:val="21"/>
        </w:rPr>
        <w:t>明，地下工程照明系统的电压不得高于</w:t>
      </w:r>
      <w:r>
        <w:rPr>
          <w:rFonts w:ascii="宋体" w:hAnsi="宋体" w:eastAsia="宋体" w:cs="宋体"/>
          <w:spacing w:val="-26"/>
          <w:sz w:val="21"/>
          <w:szCs w:val="21"/>
        </w:rPr>
        <w:t xml:space="preserve"> </w:t>
      </w:r>
      <w:r>
        <w:rPr>
          <w:rFonts w:ascii="Times New Roman" w:hAnsi="Times New Roman" w:eastAsia="Times New Roman" w:cs="Times New Roman"/>
          <w:spacing w:val="-3"/>
          <w:sz w:val="21"/>
          <w:szCs w:val="21"/>
        </w:rPr>
        <w:t>36V</w:t>
      </w:r>
      <w:r>
        <w:rPr>
          <w:rFonts w:ascii="宋体" w:hAnsi="宋体" w:eastAsia="宋体" w:cs="宋体"/>
          <w:spacing w:val="-3"/>
          <w:sz w:val="21"/>
          <w:szCs w:val="21"/>
        </w:rPr>
        <w:t>，在潮湿和易触及带电体场所的照明供电电压不</w:t>
      </w:r>
      <w:r>
        <w:rPr>
          <w:rFonts w:ascii="宋体" w:hAnsi="宋体" w:eastAsia="宋体" w:cs="宋体"/>
          <w:spacing w:val="-2"/>
          <w:sz w:val="21"/>
          <w:szCs w:val="21"/>
        </w:rPr>
        <w:t>应大于</w:t>
      </w:r>
      <w:r>
        <w:rPr>
          <w:rFonts w:ascii="宋体" w:hAnsi="宋体" w:eastAsia="宋体" w:cs="宋体"/>
          <w:spacing w:val="-28"/>
          <w:sz w:val="21"/>
          <w:szCs w:val="21"/>
        </w:rPr>
        <w:t xml:space="preserve"> </w:t>
      </w:r>
      <w:r>
        <w:rPr>
          <w:rFonts w:ascii="Times New Roman" w:hAnsi="Times New Roman" w:eastAsia="Times New Roman" w:cs="Times New Roman"/>
          <w:spacing w:val="-2"/>
          <w:sz w:val="21"/>
          <w:szCs w:val="21"/>
        </w:rPr>
        <w:t>24V</w:t>
      </w:r>
      <w:r>
        <w:rPr>
          <w:rFonts w:ascii="宋体" w:hAnsi="宋体" w:eastAsia="宋体" w:cs="宋体"/>
          <w:spacing w:val="-2"/>
          <w:sz w:val="21"/>
          <w:szCs w:val="21"/>
        </w:rPr>
        <w:t>。不便于使用电器照明的工作面应采用特殊照明设施。</w:t>
      </w:r>
    </w:p>
    <w:p w14:paraId="071865F9">
      <w:pPr>
        <w:spacing w:before="14" w:line="335" w:lineRule="auto"/>
        <w:ind w:left="24" w:right="46"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6.3.5        </w:t>
      </w:r>
      <w:r>
        <w:rPr>
          <w:rFonts w:ascii="宋体" w:hAnsi="宋体" w:eastAsia="宋体" w:cs="宋体"/>
          <w:spacing w:val="-1"/>
          <w:sz w:val="21"/>
          <w:szCs w:val="21"/>
        </w:rPr>
        <w:t>凡可能漏电伤人或易受雷击</w:t>
      </w:r>
      <w:r>
        <w:rPr>
          <w:rFonts w:ascii="宋体" w:hAnsi="宋体" w:eastAsia="宋体" w:cs="宋体"/>
          <w:spacing w:val="-2"/>
          <w:sz w:val="21"/>
          <w:szCs w:val="21"/>
        </w:rPr>
        <w:t>的电器及建筑物均应设置接地和避雷装置。承包人</w:t>
      </w:r>
      <w:r>
        <w:rPr>
          <w:rFonts w:ascii="宋体" w:hAnsi="宋体" w:eastAsia="宋体" w:cs="宋体"/>
          <w:spacing w:val="-1"/>
          <w:sz w:val="21"/>
          <w:szCs w:val="21"/>
        </w:rPr>
        <w:t>应负责避雷装置的采购、安装、管理和维修，并建立定期检查制度。</w:t>
      </w:r>
    </w:p>
    <w:p w14:paraId="5CABF6BD">
      <w:pPr>
        <w:spacing w:before="33"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 xml:space="preserve">6.3.6        </w:t>
      </w:r>
      <w:r>
        <w:rPr>
          <w:rFonts w:ascii="宋体" w:hAnsi="宋体" w:eastAsia="宋体" w:cs="宋体"/>
          <w:spacing w:val="-1"/>
          <w:sz w:val="21"/>
          <w:szCs w:val="21"/>
        </w:rPr>
        <w:t>临时用电方面的其他</w:t>
      </w:r>
      <w:r>
        <w:rPr>
          <w:rFonts w:ascii="宋体" w:hAnsi="宋体" w:eastAsia="宋体" w:cs="宋体"/>
          <w:spacing w:val="-2"/>
          <w:sz w:val="21"/>
          <w:szCs w:val="21"/>
        </w:rPr>
        <w:t>要求如下：</w:t>
      </w:r>
    </w:p>
    <w:p w14:paraId="58344B35">
      <w:pPr>
        <w:pStyle w:val="2"/>
        <w:spacing w:line="275" w:lineRule="auto"/>
      </w:pPr>
    </w:p>
    <w:p w14:paraId="652E8479">
      <w:pPr>
        <w:pStyle w:val="2"/>
        <w:spacing w:line="275" w:lineRule="auto"/>
      </w:pPr>
      <w:r>
        <w:pict>
          <v:shape id="_x0000_s1240" o:spid="_x0000_s1240" style="position:absolute;left:0pt;margin-left:27.05pt;margin-top:8.15pt;height:0.75pt;width:352.25pt;z-index:251881472;mso-width-relative:page;mso-height-relative:page;" fillcolor="#000000" filled="t" stroked="f" coordsize="7045,15" path="m0,15l7044,15,7044,0,0,0,0,15xe">
            <v:path/>
            <v:fill on="t" focussize="0,0"/>
            <v:stroke on="f"/>
            <v:imagedata o:title=""/>
            <o:lock v:ext="edit"/>
          </v:shape>
        </w:pict>
      </w:r>
    </w:p>
    <w:p w14:paraId="2452B257">
      <w:pPr>
        <w:pStyle w:val="2"/>
        <w:spacing w:line="275" w:lineRule="auto"/>
      </w:pPr>
    </w:p>
    <w:p w14:paraId="184D85D1">
      <w:pPr>
        <w:pStyle w:val="2"/>
        <w:spacing w:line="275" w:lineRule="auto"/>
      </w:pPr>
      <w:r>
        <w:pict>
          <v:shape id="_x0000_s1241" o:spid="_x0000_s1241" style="position:absolute;left:0pt;margin-left:21.8pt;margin-top:0.75pt;height:0.75pt;width:352.25pt;z-index:251882496;mso-width-relative:page;mso-height-relative:page;" fillcolor="#000000" filled="t" stroked="f" coordsize="7045,15" path="m0,15l7044,15,7044,0,0,0,0,15xe">
            <v:path/>
            <v:fill on="t" focussize="0,0"/>
            <v:stroke on="f"/>
            <v:imagedata o:title=""/>
            <o:lock v:ext="edit"/>
          </v:shape>
        </w:pict>
      </w:r>
    </w:p>
    <w:p w14:paraId="013C036E">
      <w:pPr>
        <w:spacing w:before="69" w:line="106" w:lineRule="exact"/>
        <w:ind w:left="7509"/>
        <w:rPr>
          <w:rFonts w:ascii="宋体" w:hAnsi="宋体" w:eastAsia="宋体" w:cs="宋体"/>
          <w:sz w:val="21"/>
          <w:szCs w:val="21"/>
        </w:rPr>
      </w:pPr>
      <w:r>
        <w:pict>
          <v:shape id="_x0000_s1242" o:spid="_x0000_s1242" style="position:absolute;left:0pt;margin-left:21.8pt;margin-top:7.2pt;height:0.75pt;width:352.25pt;z-index:25188352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6D8857D5">
      <w:pPr>
        <w:pStyle w:val="2"/>
        <w:spacing w:line="365" w:lineRule="auto"/>
      </w:pPr>
    </w:p>
    <w:p w14:paraId="02628B92">
      <w:pPr>
        <w:spacing w:before="91" w:line="237" w:lineRule="auto"/>
        <w:ind w:left="28"/>
        <w:outlineLvl w:val="3"/>
        <w:rPr>
          <w:rFonts w:ascii="黑体" w:hAnsi="黑体" w:eastAsia="黑体" w:cs="黑体"/>
          <w:sz w:val="28"/>
          <w:szCs w:val="28"/>
        </w:rPr>
      </w:pPr>
      <w:r>
        <w:rPr>
          <w:rFonts w:ascii="Times New Roman" w:hAnsi="Times New Roman" w:eastAsia="Times New Roman" w:cs="Times New Roman"/>
          <w:spacing w:val="2"/>
          <w:sz w:val="28"/>
          <w:szCs w:val="28"/>
        </w:rPr>
        <w:t>6.4</w:t>
      </w:r>
      <w:r>
        <w:rPr>
          <w:rFonts w:ascii="Times New Roman" w:hAnsi="Times New Roman" w:eastAsia="Times New Roman" w:cs="Times New Roman"/>
          <w:spacing w:val="14"/>
          <w:sz w:val="28"/>
          <w:szCs w:val="28"/>
        </w:rPr>
        <w:t xml:space="preserve">  </w:t>
      </w:r>
      <w:r>
        <w:rPr>
          <w:rFonts w:ascii="黑体" w:hAnsi="黑体" w:eastAsia="黑体" w:cs="黑体"/>
          <w:spacing w:val="2"/>
          <w:sz w:val="28"/>
          <w:szCs w:val="28"/>
        </w:rPr>
        <w:t>劳动保护</w:t>
      </w:r>
    </w:p>
    <w:p w14:paraId="7ECE399C">
      <w:pPr>
        <w:pStyle w:val="2"/>
        <w:spacing w:line="463" w:lineRule="auto"/>
      </w:pPr>
    </w:p>
    <w:p w14:paraId="614F6993">
      <w:pPr>
        <w:spacing w:before="69" w:line="351" w:lineRule="auto"/>
        <w:ind w:left="24" w:right="47"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6.4.1        </w:t>
      </w:r>
      <w:r>
        <w:rPr>
          <w:rFonts w:ascii="宋体" w:hAnsi="宋体" w:eastAsia="宋体" w:cs="宋体"/>
          <w:spacing w:val="-1"/>
          <w:sz w:val="21"/>
          <w:szCs w:val="21"/>
        </w:rPr>
        <w:t>承包人应遵守所有适用于本</w:t>
      </w:r>
      <w:r>
        <w:rPr>
          <w:rFonts w:ascii="宋体" w:hAnsi="宋体" w:eastAsia="宋体" w:cs="宋体"/>
          <w:spacing w:val="-2"/>
          <w:sz w:val="21"/>
          <w:szCs w:val="21"/>
        </w:rPr>
        <w:t>合同的劳动法规及其他有关法律、法规、规章和规</w:t>
      </w:r>
      <w:r>
        <w:rPr>
          <w:rFonts w:ascii="宋体" w:hAnsi="宋体" w:eastAsia="宋体" w:cs="宋体"/>
          <w:spacing w:val="-4"/>
          <w:sz w:val="21"/>
          <w:szCs w:val="21"/>
        </w:rPr>
        <w:t>定中关于工人工资标准、劳动时间和劳动条件的规定，</w:t>
      </w:r>
      <w:r>
        <w:rPr>
          <w:rFonts w:ascii="宋体" w:hAnsi="宋体" w:eastAsia="宋体" w:cs="宋体"/>
          <w:spacing w:val="-32"/>
          <w:sz w:val="21"/>
          <w:szCs w:val="21"/>
        </w:rPr>
        <w:t xml:space="preserve"> </w:t>
      </w:r>
      <w:r>
        <w:rPr>
          <w:rFonts w:ascii="宋体" w:hAnsi="宋体" w:eastAsia="宋体" w:cs="宋体"/>
          <w:spacing w:val="-4"/>
          <w:sz w:val="21"/>
          <w:szCs w:val="21"/>
        </w:rPr>
        <w:t>合理安排现场作业人员的劳动和休息</w:t>
      </w:r>
      <w:r>
        <w:rPr>
          <w:rFonts w:ascii="宋体" w:hAnsi="宋体" w:eastAsia="宋体" w:cs="宋体"/>
          <w:spacing w:val="-2"/>
          <w:sz w:val="21"/>
          <w:szCs w:val="21"/>
        </w:rPr>
        <w:t>时间，保障劳动者必须的休息时间，支付合理的报酬和费用。承包人应按有关行</w:t>
      </w:r>
      <w:r>
        <w:rPr>
          <w:rFonts w:ascii="宋体" w:hAnsi="宋体" w:eastAsia="宋体" w:cs="宋体"/>
          <w:spacing w:val="-3"/>
          <w:sz w:val="21"/>
          <w:szCs w:val="21"/>
        </w:rPr>
        <w:t>政管理部门</w:t>
      </w:r>
      <w:r>
        <w:rPr>
          <w:rFonts w:ascii="宋体" w:hAnsi="宋体" w:eastAsia="宋体" w:cs="宋体"/>
          <w:spacing w:val="-5"/>
          <w:sz w:val="21"/>
          <w:szCs w:val="21"/>
        </w:rPr>
        <w:t>的规定为本合同下雇佣的职员和工人办理任何必要的证件、许可、保险和注册等， 并保障发</w:t>
      </w:r>
      <w:r>
        <w:rPr>
          <w:rFonts w:ascii="宋体" w:hAnsi="宋体" w:eastAsia="宋体" w:cs="宋体"/>
          <w:spacing w:val="-2"/>
          <w:sz w:val="21"/>
          <w:szCs w:val="21"/>
        </w:rPr>
        <w:t>包人免于因承包人不能依照或完全依照上述所有法律、法规、规章和规定等可能给发包人带来的任何处罚、索赔、损失和损害等。</w:t>
      </w:r>
    </w:p>
    <w:p w14:paraId="615A9ECA">
      <w:pPr>
        <w:spacing w:before="3" w:line="348" w:lineRule="auto"/>
        <w:ind w:left="24" w:firstLine="421"/>
        <w:rPr>
          <w:rFonts w:ascii="宋体" w:hAnsi="宋体" w:eastAsia="宋体" w:cs="宋体"/>
          <w:sz w:val="21"/>
          <w:szCs w:val="21"/>
        </w:rPr>
      </w:pPr>
      <w:r>
        <w:rPr>
          <w:rFonts w:ascii="Times New Roman" w:hAnsi="Times New Roman" w:eastAsia="Times New Roman" w:cs="Times New Roman"/>
          <w:spacing w:val="-3"/>
          <w:sz w:val="21"/>
          <w:szCs w:val="21"/>
        </w:rPr>
        <w:t xml:space="preserve">6.4.2        </w:t>
      </w:r>
      <w:r>
        <w:rPr>
          <w:rFonts w:ascii="宋体" w:hAnsi="宋体" w:eastAsia="宋体" w:cs="宋体"/>
          <w:spacing w:val="-3"/>
          <w:sz w:val="21"/>
          <w:szCs w:val="21"/>
        </w:rPr>
        <w:t>承包人应按照国</w:t>
      </w:r>
      <w:r>
        <w:rPr>
          <w:rFonts w:ascii="宋体" w:hAnsi="宋体" w:eastAsia="宋体" w:cs="宋体"/>
          <w:spacing w:val="-4"/>
          <w:sz w:val="21"/>
          <w:szCs w:val="21"/>
        </w:rPr>
        <w:t>家《劳动保护法》的规定， 保障现场施工人员的劳动安全。承</w:t>
      </w:r>
      <w:r>
        <w:rPr>
          <w:rFonts w:ascii="宋体" w:hAnsi="宋体" w:eastAsia="宋体" w:cs="宋体"/>
          <w:sz w:val="21"/>
          <w:szCs w:val="21"/>
        </w:rPr>
        <w:t>包人应为本合同下雇佣的职员和工人提供适</w:t>
      </w:r>
      <w:r>
        <w:rPr>
          <w:rFonts w:ascii="宋体" w:hAnsi="宋体" w:eastAsia="宋体" w:cs="宋体"/>
          <w:spacing w:val="-1"/>
          <w:sz w:val="21"/>
          <w:szCs w:val="21"/>
        </w:rPr>
        <w:t>当和充分的劳动保护，包括但不限于安全防护、防寒、防雨、防尘、绝缘保护、常用药品、急救设备、传染病预防等。</w:t>
      </w:r>
    </w:p>
    <w:p w14:paraId="6BDBC118">
      <w:pPr>
        <w:spacing w:before="12" w:line="350" w:lineRule="auto"/>
        <w:ind w:left="23" w:right="16" w:firstLine="422"/>
        <w:rPr>
          <w:rFonts w:ascii="宋体" w:hAnsi="宋体" w:eastAsia="宋体" w:cs="宋体"/>
          <w:sz w:val="21"/>
          <w:szCs w:val="21"/>
        </w:rPr>
      </w:pPr>
      <w:r>
        <w:rPr>
          <w:rFonts w:ascii="Times New Roman" w:hAnsi="Times New Roman" w:eastAsia="Times New Roman" w:cs="Times New Roman"/>
          <w:spacing w:val="2"/>
          <w:sz w:val="21"/>
          <w:szCs w:val="21"/>
        </w:rPr>
        <w:t xml:space="preserve">6.4.3        </w:t>
      </w:r>
      <w:r>
        <w:rPr>
          <w:rFonts w:ascii="宋体" w:hAnsi="宋体" w:eastAsia="宋体" w:cs="宋体"/>
          <w:spacing w:val="2"/>
          <w:sz w:val="21"/>
          <w:szCs w:val="21"/>
        </w:rPr>
        <w:t>承包人应为其履行本合同所雇佣的职员和工人提供和维护任何必要的膳宿条</w:t>
      </w:r>
      <w:r>
        <w:rPr>
          <w:rFonts w:ascii="宋体" w:hAnsi="宋体" w:eastAsia="宋体" w:cs="宋体"/>
          <w:sz w:val="21"/>
          <w:szCs w:val="21"/>
        </w:rPr>
        <w:t>件和生活环境，包括但不限于宿舍、围栏、供水</w:t>
      </w:r>
      <w:r>
        <w:rPr>
          <w:rFonts w:ascii="Times New Roman" w:hAnsi="Times New Roman" w:eastAsia="Times New Roman" w:cs="Times New Roman"/>
          <w:sz w:val="21"/>
          <w:szCs w:val="21"/>
        </w:rPr>
        <w:t>(</w:t>
      </w:r>
      <w:r>
        <w:rPr>
          <w:rFonts w:ascii="宋体" w:hAnsi="宋体" w:eastAsia="宋体" w:cs="宋体"/>
          <w:sz w:val="21"/>
          <w:szCs w:val="21"/>
        </w:rPr>
        <w:t>饮用</w:t>
      </w:r>
      <w:r>
        <w:rPr>
          <w:rFonts w:ascii="宋体" w:hAnsi="宋体" w:eastAsia="宋体" w:cs="宋体"/>
          <w:spacing w:val="-1"/>
          <w:sz w:val="21"/>
          <w:szCs w:val="21"/>
        </w:rPr>
        <w:t>及其他目的用水</w:t>
      </w:r>
      <w:r>
        <w:rPr>
          <w:rFonts w:ascii="Times New Roman" w:hAnsi="Times New Roman" w:eastAsia="Times New Roman" w:cs="Times New Roman"/>
          <w:spacing w:val="-1"/>
          <w:sz w:val="21"/>
          <w:szCs w:val="21"/>
        </w:rPr>
        <w:t>)</w:t>
      </w:r>
      <w:r>
        <w:rPr>
          <w:rFonts w:ascii="宋体" w:hAnsi="宋体" w:eastAsia="宋体" w:cs="宋体"/>
          <w:spacing w:val="-1"/>
          <w:sz w:val="21"/>
          <w:szCs w:val="21"/>
        </w:rPr>
        <w:t>、供电、卫生设备、食堂及炊具、防火及灭火设备、供热、家具及其他正常膳宿条件和生活环境所需的必需品，</w:t>
      </w:r>
      <w:r>
        <w:rPr>
          <w:rFonts w:ascii="宋体" w:hAnsi="宋体" w:eastAsia="宋体" w:cs="宋体"/>
          <w:spacing w:val="-3"/>
          <w:sz w:val="21"/>
          <w:szCs w:val="21"/>
        </w:rPr>
        <w:t>并应考虑宗教和民族习惯。</w:t>
      </w:r>
    </w:p>
    <w:p w14:paraId="2798E878">
      <w:pPr>
        <w:spacing w:before="15" w:line="350" w:lineRule="auto"/>
        <w:ind w:left="24"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6.4.4        </w:t>
      </w:r>
      <w:r>
        <w:rPr>
          <w:rFonts w:ascii="宋体" w:hAnsi="宋体" w:eastAsia="宋体" w:cs="宋体"/>
          <w:spacing w:val="-1"/>
          <w:sz w:val="21"/>
          <w:szCs w:val="21"/>
        </w:rPr>
        <w:t>承包人应为现场工人提供符</w:t>
      </w:r>
      <w:r>
        <w:rPr>
          <w:rFonts w:ascii="宋体" w:hAnsi="宋体" w:eastAsia="宋体" w:cs="宋体"/>
          <w:spacing w:val="-2"/>
          <w:sz w:val="21"/>
          <w:szCs w:val="21"/>
        </w:rPr>
        <w:t>合政府卫生规定的生活条件并获得必要的许可，保</w:t>
      </w:r>
      <w:r>
        <w:rPr>
          <w:rFonts w:ascii="宋体" w:hAnsi="宋体" w:eastAsia="宋体" w:cs="宋体"/>
          <w:spacing w:val="-4"/>
          <w:sz w:val="21"/>
          <w:szCs w:val="21"/>
        </w:rPr>
        <w:t xml:space="preserve">证工人的健康和防止任何传染病，包括工人的食堂、厕所、工具房、宿舍等； </w:t>
      </w:r>
      <w:r>
        <w:rPr>
          <w:rFonts w:ascii="宋体" w:hAnsi="宋体" w:eastAsia="宋体" w:cs="宋体"/>
          <w:spacing w:val="-5"/>
          <w:sz w:val="21"/>
          <w:szCs w:val="21"/>
        </w:rPr>
        <w:t>承包人应聘请</w:t>
      </w:r>
      <w:r>
        <w:rPr>
          <w:rFonts w:ascii="宋体" w:hAnsi="宋体" w:eastAsia="宋体" w:cs="宋体"/>
          <w:sz w:val="21"/>
          <w:szCs w:val="21"/>
        </w:rPr>
        <w:t>专业的卫生防疫部门定期对现场、工人生活</w:t>
      </w:r>
      <w:r>
        <w:rPr>
          <w:rFonts w:ascii="宋体" w:hAnsi="宋体" w:eastAsia="宋体" w:cs="宋体"/>
          <w:spacing w:val="-1"/>
          <w:sz w:val="21"/>
          <w:szCs w:val="21"/>
        </w:rPr>
        <w:t>基地和工程进行防疫和卫生的专业检查和处理，</w:t>
      </w:r>
      <w:r>
        <w:rPr>
          <w:rFonts w:ascii="宋体" w:hAnsi="宋体" w:eastAsia="宋体" w:cs="宋体"/>
          <w:sz w:val="21"/>
          <w:szCs w:val="21"/>
        </w:rPr>
        <w:t>包括消灭白蚁、鼠害、蚊蝇和其它害虫，以</w:t>
      </w:r>
      <w:r>
        <w:rPr>
          <w:rFonts w:ascii="宋体" w:hAnsi="宋体" w:eastAsia="宋体" w:cs="宋体"/>
          <w:spacing w:val="-1"/>
          <w:sz w:val="21"/>
          <w:szCs w:val="21"/>
        </w:rPr>
        <w:t>防对施工人员、现场和永久工程造成任何危害。</w:t>
      </w:r>
    </w:p>
    <w:p w14:paraId="26B5EE61">
      <w:pPr>
        <w:spacing w:before="1" w:line="348" w:lineRule="auto"/>
        <w:ind w:left="25" w:right="47"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6.4.5        </w:t>
      </w:r>
      <w:r>
        <w:rPr>
          <w:rFonts w:ascii="宋体" w:hAnsi="宋体" w:eastAsia="宋体" w:cs="宋体"/>
          <w:spacing w:val="-1"/>
          <w:sz w:val="21"/>
          <w:szCs w:val="21"/>
        </w:rPr>
        <w:t>承包人应在现场设立专门的</w:t>
      </w:r>
      <w:r>
        <w:rPr>
          <w:rFonts w:ascii="宋体" w:hAnsi="宋体" w:eastAsia="宋体" w:cs="宋体"/>
          <w:spacing w:val="-2"/>
          <w:sz w:val="21"/>
          <w:szCs w:val="21"/>
        </w:rPr>
        <w:t>临时医疗站，配备足够的设施、药物和称职的医务</w:t>
      </w:r>
      <w:r>
        <w:rPr>
          <w:rFonts w:ascii="宋体" w:hAnsi="宋体" w:eastAsia="宋体" w:cs="宋体"/>
          <w:spacing w:val="-1"/>
          <w:sz w:val="21"/>
          <w:szCs w:val="21"/>
        </w:rPr>
        <w:t>人员，承包人还应准备急救担架，用于一旦发生安全事故时对受伤人员的急救。</w:t>
      </w:r>
    </w:p>
    <w:p w14:paraId="6D70C129">
      <w:pPr>
        <w:spacing w:before="19" w:line="233" w:lineRule="auto"/>
        <w:ind w:left="445"/>
        <w:rPr>
          <w:rFonts w:ascii="宋体" w:hAnsi="宋体" w:eastAsia="宋体" w:cs="宋体"/>
          <w:sz w:val="21"/>
          <w:szCs w:val="21"/>
        </w:rPr>
      </w:pPr>
      <w:r>
        <w:pict>
          <v:shape id="_x0000_s1243" o:spid="_x0000_s1243" style="position:absolute;left:0pt;margin-left:27.05pt;margin-top:35.45pt;height:0.75pt;width:352.25pt;z-index:251884544;mso-width-relative:page;mso-height-relative:page;" fillcolor="#000000" filled="t" stroked="f" coordsize="7045,15" path="m0,15l7044,15,7044,0,0,0,0,15xe">
            <v:path/>
            <v:fill on="t" focussize="0,0"/>
            <v:stroke on="f"/>
            <v:imagedata o:title=""/>
            <o:lock v:ext="edit"/>
          </v:shape>
        </w:pict>
      </w:r>
      <w:r>
        <w:rPr>
          <w:rFonts w:ascii="Times New Roman" w:hAnsi="Times New Roman" w:eastAsia="Times New Roman" w:cs="Times New Roman"/>
          <w:spacing w:val="-1"/>
          <w:sz w:val="21"/>
          <w:szCs w:val="21"/>
        </w:rPr>
        <w:t xml:space="preserve">6.4.6        </w:t>
      </w:r>
      <w:r>
        <w:rPr>
          <w:rFonts w:ascii="宋体" w:hAnsi="宋体" w:eastAsia="宋体" w:cs="宋体"/>
          <w:spacing w:val="-1"/>
          <w:sz w:val="21"/>
          <w:szCs w:val="21"/>
        </w:rPr>
        <w:t>劳动保护方面的其他</w:t>
      </w:r>
      <w:r>
        <w:rPr>
          <w:rFonts w:ascii="宋体" w:hAnsi="宋体" w:eastAsia="宋体" w:cs="宋体"/>
          <w:spacing w:val="-2"/>
          <w:sz w:val="21"/>
          <w:szCs w:val="21"/>
        </w:rPr>
        <w:t>要求如下：</w:t>
      </w:r>
    </w:p>
    <w:p w14:paraId="666B7BE4">
      <w:pPr>
        <w:spacing w:line="233" w:lineRule="auto"/>
        <w:rPr>
          <w:rFonts w:ascii="宋体" w:hAnsi="宋体" w:eastAsia="宋体" w:cs="宋体"/>
          <w:sz w:val="21"/>
          <w:szCs w:val="21"/>
        </w:rPr>
        <w:sectPr>
          <w:footerReference r:id="rId274" w:type="default"/>
          <w:pgSz w:w="11910" w:h="16845"/>
          <w:pgMar w:top="400" w:right="1718" w:bottom="1110" w:left="1786" w:header="0" w:footer="882" w:gutter="0"/>
          <w:cols w:space="720" w:num="1"/>
        </w:sectPr>
      </w:pPr>
    </w:p>
    <w:p w14:paraId="25807CD4">
      <w:pPr>
        <w:pStyle w:val="2"/>
        <w:spacing w:line="273" w:lineRule="auto"/>
      </w:pPr>
    </w:p>
    <w:p w14:paraId="2EC05FB0">
      <w:pPr>
        <w:pStyle w:val="2"/>
        <w:spacing w:line="273" w:lineRule="auto"/>
      </w:pPr>
    </w:p>
    <w:p w14:paraId="0D6CD8B2">
      <w:pPr>
        <w:pStyle w:val="2"/>
        <w:spacing w:line="273" w:lineRule="auto"/>
      </w:pPr>
    </w:p>
    <w:p w14:paraId="389A8ADF">
      <w:pPr>
        <w:pStyle w:val="2"/>
        <w:spacing w:line="273" w:lineRule="auto"/>
      </w:pPr>
    </w:p>
    <w:p w14:paraId="1BDD83AD">
      <w:pPr>
        <w:pStyle w:val="2"/>
        <w:spacing w:line="273" w:lineRule="auto"/>
      </w:pPr>
    </w:p>
    <w:p w14:paraId="266929FA">
      <w:pPr>
        <w:pStyle w:val="2"/>
        <w:spacing w:line="273" w:lineRule="auto"/>
      </w:pPr>
      <w:r>
        <w:pict>
          <v:shape id="_x0000_s1244" o:spid="_x0000_s1244" style="position:absolute;left:0pt;margin-left:25.8pt;margin-top:0.65pt;height:0.75pt;width:352.25pt;z-index:251885568;mso-width-relative:page;mso-height-relative:page;" fillcolor="#000000" filled="t" stroked="f" coordsize="7045,15" path="m0,15l7044,15,7044,0,0,0,0,15xe">
            <v:path/>
            <v:fill on="t" focussize="0,0"/>
            <v:stroke on="f"/>
            <v:imagedata o:title=""/>
            <o:lock v:ext="edit"/>
          </v:shape>
        </w:pict>
      </w:r>
    </w:p>
    <w:p w14:paraId="7A270944">
      <w:pPr>
        <w:spacing w:before="68" w:line="106" w:lineRule="exact"/>
        <w:ind w:left="7589"/>
        <w:rPr>
          <w:rFonts w:ascii="宋体" w:hAnsi="宋体" w:eastAsia="宋体" w:cs="宋体"/>
          <w:sz w:val="21"/>
          <w:szCs w:val="21"/>
        </w:rPr>
      </w:pPr>
      <w:r>
        <w:pict>
          <v:shape id="_x0000_s1245" o:spid="_x0000_s1245" style="position:absolute;left:0pt;margin-left:25.8pt;margin-top:7.15pt;height:0.75pt;width:352.25pt;z-index:251886592;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59B1089C">
      <w:pPr>
        <w:pStyle w:val="2"/>
        <w:spacing w:line="366" w:lineRule="auto"/>
      </w:pPr>
    </w:p>
    <w:p w14:paraId="42D561E9">
      <w:pPr>
        <w:spacing w:before="91" w:line="238" w:lineRule="auto"/>
        <w:ind w:left="108"/>
        <w:outlineLvl w:val="3"/>
        <w:rPr>
          <w:rFonts w:ascii="黑体" w:hAnsi="黑体" w:eastAsia="黑体" w:cs="黑体"/>
          <w:sz w:val="28"/>
          <w:szCs w:val="28"/>
        </w:rPr>
      </w:pPr>
      <w:r>
        <w:rPr>
          <w:rFonts w:ascii="Times New Roman" w:hAnsi="Times New Roman" w:eastAsia="Times New Roman" w:cs="Times New Roman"/>
          <w:spacing w:val="4"/>
          <w:sz w:val="28"/>
          <w:szCs w:val="28"/>
        </w:rPr>
        <w:t xml:space="preserve">6.5  </w:t>
      </w:r>
      <w:r>
        <w:rPr>
          <w:rFonts w:ascii="黑体" w:hAnsi="黑体" w:eastAsia="黑体" w:cs="黑体"/>
          <w:spacing w:val="4"/>
          <w:sz w:val="28"/>
          <w:szCs w:val="28"/>
        </w:rPr>
        <w:t>脚手架</w:t>
      </w:r>
    </w:p>
    <w:p w14:paraId="44813EFB">
      <w:pPr>
        <w:pStyle w:val="2"/>
        <w:spacing w:line="460" w:lineRule="auto"/>
      </w:pPr>
    </w:p>
    <w:p w14:paraId="4E1035AC">
      <w:pPr>
        <w:spacing w:before="69" w:line="351" w:lineRule="auto"/>
        <w:ind w:left="104" w:right="12" w:firstLine="421"/>
        <w:rPr>
          <w:rFonts w:ascii="宋体" w:hAnsi="宋体" w:eastAsia="宋体" w:cs="宋体"/>
          <w:sz w:val="21"/>
          <w:szCs w:val="21"/>
        </w:rPr>
      </w:pPr>
      <w:r>
        <w:rPr>
          <w:rFonts w:ascii="Times New Roman" w:hAnsi="Times New Roman" w:eastAsia="Times New Roman" w:cs="Times New Roman"/>
          <w:sz w:val="21"/>
          <w:szCs w:val="21"/>
        </w:rPr>
        <w:t xml:space="preserve">6.5.1        </w:t>
      </w:r>
      <w:r>
        <w:rPr>
          <w:rFonts w:ascii="宋体" w:hAnsi="宋体" w:eastAsia="宋体" w:cs="宋体"/>
          <w:sz w:val="21"/>
          <w:szCs w:val="21"/>
        </w:rPr>
        <w:t>承包人应搭设并维护一切必要的临时脚手架、挑平台并配以</w:t>
      </w:r>
      <w:r>
        <w:rPr>
          <w:rFonts w:ascii="宋体" w:hAnsi="宋体" w:eastAsia="宋体" w:cs="宋体"/>
          <w:spacing w:val="-1"/>
          <w:sz w:val="21"/>
          <w:szCs w:val="21"/>
        </w:rPr>
        <w:t>脚手板、安全网、</w:t>
      </w:r>
      <w:r>
        <w:rPr>
          <w:rFonts w:ascii="宋体" w:hAnsi="宋体" w:eastAsia="宋体" w:cs="宋体"/>
          <w:spacing w:val="-2"/>
          <w:sz w:val="21"/>
          <w:szCs w:val="21"/>
        </w:rPr>
        <w:t>护身栏杆、门架、马道、坡道、爬梯等等。脚手架和挑平台的搭设应满足有关安全生产的法律、法规、规范、标准和规程等的要求。新搭设的脚手架投入使用前，承包人必须组织安全</w:t>
      </w:r>
      <w:r>
        <w:rPr>
          <w:rFonts w:ascii="宋体" w:hAnsi="宋体" w:eastAsia="宋体" w:cs="宋体"/>
          <w:spacing w:val="-1"/>
          <w:sz w:val="21"/>
          <w:szCs w:val="21"/>
        </w:rPr>
        <w:t>检查和验收，并对使用脚手架的作业人员进行安全交底。</w:t>
      </w:r>
    </w:p>
    <w:p w14:paraId="4786E257">
      <w:pPr>
        <w:spacing w:before="6" w:line="335" w:lineRule="auto"/>
        <w:ind w:left="103" w:right="17" w:firstLine="422"/>
        <w:rPr>
          <w:rFonts w:ascii="宋体" w:hAnsi="宋体" w:eastAsia="宋体" w:cs="宋体"/>
          <w:sz w:val="21"/>
          <w:szCs w:val="21"/>
        </w:rPr>
      </w:pPr>
      <w:r>
        <w:rPr>
          <w:rFonts w:ascii="Times New Roman" w:hAnsi="Times New Roman" w:eastAsia="Times New Roman" w:cs="Times New Roman"/>
          <w:spacing w:val="-5"/>
          <w:sz w:val="21"/>
          <w:szCs w:val="21"/>
        </w:rPr>
        <w:t xml:space="preserve">6.5.2        </w:t>
      </w:r>
      <w:r>
        <w:rPr>
          <w:rFonts w:ascii="宋体" w:hAnsi="宋体" w:eastAsia="宋体" w:cs="宋体"/>
          <w:spacing w:val="-5"/>
          <w:sz w:val="21"/>
          <w:szCs w:val="21"/>
        </w:rPr>
        <w:t>所有脚手架，尤其是大型、复杂、高耸和非常规脚手架，要编制专项施工方案，</w:t>
      </w:r>
      <w:r>
        <w:rPr>
          <w:rFonts w:ascii="宋体" w:hAnsi="宋体" w:eastAsia="宋体" w:cs="宋体"/>
          <w:spacing w:val="-1"/>
          <w:sz w:val="21"/>
          <w:szCs w:val="21"/>
        </w:rPr>
        <w:t>还应当经过安全验算，脚手架安全验算结果必须报送监理人核查后方可实施。</w:t>
      </w:r>
    </w:p>
    <w:p w14:paraId="66FC2AC1">
      <w:pPr>
        <w:spacing w:before="35" w:line="348" w:lineRule="auto"/>
        <w:ind w:left="105" w:right="76"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6.5.3        </w:t>
      </w:r>
      <w:r>
        <w:rPr>
          <w:rFonts w:ascii="宋体" w:hAnsi="宋体" w:eastAsia="宋体" w:cs="宋体"/>
          <w:spacing w:val="-1"/>
          <w:sz w:val="21"/>
          <w:szCs w:val="21"/>
        </w:rPr>
        <w:t>搭设爬架、挂架、超</w:t>
      </w:r>
      <w:r>
        <w:rPr>
          <w:rFonts w:ascii="宋体" w:hAnsi="宋体" w:eastAsia="宋体" w:cs="宋体"/>
          <w:spacing w:val="-2"/>
          <w:sz w:val="21"/>
          <w:szCs w:val="21"/>
        </w:rPr>
        <w:t>高脚手架等特种或新型脚手架时，承包人应确保此类脚手架的安全性和保证此类脚手架已经过有关行政管理部门允许使用的批准，并承担与此有</w:t>
      </w:r>
      <w:r>
        <w:rPr>
          <w:rFonts w:ascii="宋体" w:hAnsi="宋体" w:eastAsia="宋体" w:cs="宋体"/>
          <w:spacing w:val="-3"/>
          <w:sz w:val="21"/>
          <w:szCs w:val="21"/>
        </w:rPr>
        <w:t>关的</w:t>
      </w:r>
      <w:r>
        <w:rPr>
          <w:rFonts w:ascii="宋体" w:hAnsi="宋体" w:eastAsia="宋体" w:cs="宋体"/>
          <w:spacing w:val="-7"/>
          <w:sz w:val="21"/>
          <w:szCs w:val="21"/>
        </w:rPr>
        <w:t>一切费用。</w:t>
      </w:r>
    </w:p>
    <w:p w14:paraId="36574C84">
      <w:pPr>
        <w:spacing w:before="12" w:line="348" w:lineRule="auto"/>
        <w:ind w:left="105" w:right="51"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6.5.4        </w:t>
      </w:r>
      <w:r>
        <w:rPr>
          <w:rFonts w:ascii="宋体" w:hAnsi="宋体" w:eastAsia="宋体" w:cs="宋体"/>
          <w:spacing w:val="-1"/>
          <w:sz w:val="21"/>
          <w:szCs w:val="21"/>
        </w:rPr>
        <w:t>承包人应当加强脚手架的日</w:t>
      </w:r>
      <w:r>
        <w:rPr>
          <w:rFonts w:ascii="宋体" w:hAnsi="宋体" w:eastAsia="宋体" w:cs="宋体"/>
          <w:spacing w:val="-2"/>
          <w:sz w:val="21"/>
          <w:szCs w:val="21"/>
        </w:rPr>
        <w:t>常安全巡查，及时对其中的安全隐患进行整改，确</w:t>
      </w:r>
      <w:r>
        <w:rPr>
          <w:rFonts w:ascii="宋体" w:hAnsi="宋体" w:eastAsia="宋体" w:cs="宋体"/>
          <w:spacing w:val="-1"/>
          <w:sz w:val="21"/>
          <w:szCs w:val="21"/>
        </w:rPr>
        <w:t>保脚手架使用安全。雨、雪、雾、霜和大风等天气后，承包人必须对脚手架</w:t>
      </w:r>
      <w:r>
        <w:rPr>
          <w:rFonts w:ascii="宋体" w:hAnsi="宋体" w:eastAsia="宋体" w:cs="宋体"/>
          <w:spacing w:val="-2"/>
          <w:sz w:val="21"/>
          <w:szCs w:val="21"/>
        </w:rPr>
        <w:t>进行安全巡查，</w:t>
      </w:r>
      <w:r>
        <w:rPr>
          <w:rFonts w:ascii="宋体" w:hAnsi="宋体" w:eastAsia="宋体" w:cs="宋体"/>
          <w:spacing w:val="-4"/>
          <w:sz w:val="21"/>
          <w:szCs w:val="21"/>
        </w:rPr>
        <w:t>并及时消除安全隐患。</w:t>
      </w:r>
    </w:p>
    <w:p w14:paraId="61FA2A30">
      <w:pPr>
        <w:spacing w:before="14" w:line="351" w:lineRule="auto"/>
        <w:ind w:left="103" w:firstLine="422"/>
        <w:rPr>
          <w:rFonts w:ascii="宋体" w:hAnsi="宋体" w:eastAsia="宋体" w:cs="宋体"/>
          <w:sz w:val="21"/>
          <w:szCs w:val="21"/>
        </w:rPr>
      </w:pPr>
      <w:r>
        <w:rPr>
          <w:rFonts w:ascii="Times New Roman" w:hAnsi="Times New Roman" w:eastAsia="Times New Roman" w:cs="Times New Roman"/>
          <w:sz w:val="21"/>
          <w:szCs w:val="21"/>
        </w:rPr>
        <w:t xml:space="preserve">6.5.5        </w:t>
      </w:r>
      <w:r>
        <w:rPr>
          <w:rFonts w:ascii="宋体" w:hAnsi="宋体" w:eastAsia="宋体" w:cs="宋体"/>
          <w:sz w:val="21"/>
          <w:szCs w:val="21"/>
        </w:rPr>
        <w:t>承包人应允许发包人、监理人、专业分包人、独立承包人</w:t>
      </w:r>
      <w:r>
        <w:rPr>
          <w:rFonts w:ascii="Times New Roman" w:hAnsi="Times New Roman" w:eastAsia="Times New Roman" w:cs="Times New Roman"/>
          <w:sz w:val="21"/>
          <w:szCs w:val="21"/>
        </w:rPr>
        <w:t>(</w:t>
      </w:r>
      <w:r>
        <w:rPr>
          <w:rFonts w:ascii="宋体" w:hAnsi="宋体" w:eastAsia="宋体" w:cs="宋体"/>
          <w:sz w:val="21"/>
          <w:szCs w:val="21"/>
        </w:rPr>
        <w:t>如果有</w:t>
      </w:r>
      <w:r>
        <w:rPr>
          <w:rFonts w:ascii="Times New Roman" w:hAnsi="Times New Roman" w:eastAsia="Times New Roman" w:cs="Times New Roman"/>
          <w:sz w:val="21"/>
          <w:szCs w:val="21"/>
        </w:rPr>
        <w:t>)</w:t>
      </w:r>
      <w:r>
        <w:rPr>
          <w:rFonts w:ascii="宋体" w:hAnsi="宋体" w:eastAsia="宋体" w:cs="宋体"/>
          <w:spacing w:val="-1"/>
          <w:sz w:val="21"/>
          <w:szCs w:val="21"/>
        </w:rPr>
        <w:t>和有关行政</w:t>
      </w:r>
      <w:r>
        <w:rPr>
          <w:rFonts w:ascii="宋体" w:hAnsi="宋体" w:eastAsia="宋体" w:cs="宋体"/>
          <w:spacing w:val="-2"/>
          <w:sz w:val="21"/>
          <w:szCs w:val="21"/>
        </w:rPr>
        <w:t>管理部门或者机构免费使用承包人在现场搭设的任何已有脚手架，并就其安全使用做必要交</w:t>
      </w:r>
      <w:r>
        <w:rPr>
          <w:rFonts w:ascii="宋体" w:hAnsi="宋体" w:eastAsia="宋体" w:cs="宋体"/>
          <w:spacing w:val="-5"/>
          <w:sz w:val="21"/>
          <w:szCs w:val="21"/>
        </w:rPr>
        <w:t>底说明。承包人在拆除任何脚手架前，应书面请示监理人他将要拆除的脚手架是否为发包人、</w:t>
      </w:r>
      <w:r>
        <w:rPr>
          <w:rFonts w:ascii="宋体" w:hAnsi="宋体" w:eastAsia="宋体" w:cs="宋体"/>
          <w:sz w:val="21"/>
          <w:szCs w:val="21"/>
        </w:rPr>
        <w:t>监理人、专业分包人、独立承包人</w:t>
      </w:r>
      <w:r>
        <w:rPr>
          <w:rFonts w:ascii="Times New Roman" w:hAnsi="Times New Roman" w:eastAsia="Times New Roman" w:cs="Times New Roman"/>
          <w:sz w:val="21"/>
          <w:szCs w:val="21"/>
        </w:rPr>
        <w:t>(</w:t>
      </w:r>
      <w:r>
        <w:rPr>
          <w:rFonts w:ascii="宋体" w:hAnsi="宋体" w:eastAsia="宋体" w:cs="宋体"/>
          <w:sz w:val="21"/>
          <w:szCs w:val="21"/>
        </w:rPr>
        <w:t>如果有</w:t>
      </w:r>
      <w:r>
        <w:rPr>
          <w:rFonts w:ascii="Times New Roman" w:hAnsi="Times New Roman" w:eastAsia="Times New Roman" w:cs="Times New Roman"/>
          <w:sz w:val="21"/>
          <w:szCs w:val="21"/>
        </w:rPr>
        <w:t>)</w:t>
      </w:r>
      <w:r>
        <w:rPr>
          <w:rFonts w:ascii="宋体" w:hAnsi="宋体" w:eastAsia="宋体" w:cs="宋体"/>
          <w:sz w:val="21"/>
          <w:szCs w:val="21"/>
        </w:rPr>
        <w:t>和政府有关机构所需，只有在获</w:t>
      </w:r>
      <w:r>
        <w:rPr>
          <w:rFonts w:ascii="宋体" w:hAnsi="宋体" w:eastAsia="宋体" w:cs="宋体"/>
          <w:spacing w:val="-1"/>
          <w:sz w:val="21"/>
          <w:szCs w:val="21"/>
        </w:rPr>
        <w:t>得监理人书面批准后，承包人才能拆除相关脚手架，否则承包人应自费重新搭设。</w:t>
      </w:r>
    </w:p>
    <w:p w14:paraId="10AAD9B1">
      <w:pPr>
        <w:spacing w:before="1" w:line="232" w:lineRule="auto"/>
        <w:ind w:left="525"/>
        <w:rPr>
          <w:rFonts w:ascii="宋体" w:hAnsi="宋体" w:eastAsia="宋体" w:cs="宋体"/>
          <w:sz w:val="21"/>
          <w:szCs w:val="21"/>
        </w:rPr>
      </w:pPr>
      <w:r>
        <w:rPr>
          <w:rFonts w:ascii="Times New Roman" w:hAnsi="Times New Roman" w:eastAsia="Times New Roman" w:cs="Times New Roman"/>
          <w:spacing w:val="-2"/>
          <w:sz w:val="21"/>
          <w:szCs w:val="21"/>
        </w:rPr>
        <w:t xml:space="preserve">6.5.6        </w:t>
      </w:r>
      <w:r>
        <w:rPr>
          <w:rFonts w:ascii="宋体" w:hAnsi="宋体" w:eastAsia="宋体" w:cs="宋体"/>
          <w:spacing w:val="-2"/>
          <w:sz w:val="21"/>
          <w:szCs w:val="21"/>
        </w:rPr>
        <w:t>脚手架的其他要求如下：</w:t>
      </w:r>
    </w:p>
    <w:p w14:paraId="059401D5">
      <w:pPr>
        <w:pStyle w:val="2"/>
        <w:spacing w:line="275" w:lineRule="auto"/>
      </w:pPr>
    </w:p>
    <w:p w14:paraId="662557FA">
      <w:pPr>
        <w:pStyle w:val="2"/>
        <w:spacing w:line="275" w:lineRule="auto"/>
      </w:pPr>
      <w:r>
        <w:pict>
          <v:shape id="_x0000_s1246" o:spid="_x0000_s1246" style="position:absolute;left:0pt;margin-left:31.05pt;margin-top:8.2pt;height:0.75pt;width:352.25pt;z-index:251888640;mso-width-relative:page;mso-height-relative:page;" fillcolor="#000000" filled="t" stroked="f" coordsize="7045,15" path="m0,15l7044,15,7044,0,0,0,0,15xe">
            <v:path/>
            <v:fill on="t" focussize="0,0"/>
            <v:stroke on="f"/>
            <v:imagedata o:title=""/>
            <o:lock v:ext="edit"/>
          </v:shape>
        </w:pict>
      </w:r>
    </w:p>
    <w:p w14:paraId="6BE56492">
      <w:pPr>
        <w:pStyle w:val="2"/>
        <w:spacing w:line="275" w:lineRule="auto"/>
      </w:pPr>
    </w:p>
    <w:p w14:paraId="24B5E286">
      <w:pPr>
        <w:pStyle w:val="2"/>
        <w:spacing w:line="276" w:lineRule="auto"/>
      </w:pPr>
      <w:r>
        <w:pict>
          <v:shape id="_x0000_s1247" o:spid="_x0000_s1247" style="position:absolute;left:0pt;margin-left:25.8pt;margin-top:0.8pt;height:0.75pt;width:352.25pt;z-index:251887616;mso-width-relative:page;mso-height-relative:page;" fillcolor="#000000" filled="t" stroked="f" coordsize="7045,15" path="m0,15l7044,15,7044,0,0,0,0,15xe">
            <v:path/>
            <v:fill on="t" focussize="0,0"/>
            <v:stroke on="f"/>
            <v:imagedata o:title=""/>
            <o:lock v:ext="edit"/>
          </v:shape>
        </w:pict>
      </w:r>
    </w:p>
    <w:p w14:paraId="4F69E01C">
      <w:pPr>
        <w:spacing w:before="69" w:line="106" w:lineRule="exact"/>
        <w:ind w:left="7589"/>
        <w:rPr>
          <w:rFonts w:ascii="宋体" w:hAnsi="宋体" w:eastAsia="宋体" w:cs="宋体"/>
          <w:sz w:val="21"/>
          <w:szCs w:val="21"/>
        </w:rPr>
      </w:pPr>
      <w:r>
        <w:pict>
          <v:shape id="_x0000_s1248" o:spid="_x0000_s1248" style="position:absolute;left:0pt;margin-left:25.8pt;margin-top:7.15pt;height:0.75pt;width:352.25pt;z-index:251889664;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81F3DD6">
      <w:pPr>
        <w:pStyle w:val="2"/>
        <w:spacing w:line="381" w:lineRule="auto"/>
      </w:pPr>
    </w:p>
    <w:p w14:paraId="2B681A99">
      <w:pPr>
        <w:spacing w:before="91" w:line="238" w:lineRule="auto"/>
        <w:ind w:left="108"/>
        <w:outlineLvl w:val="3"/>
        <w:rPr>
          <w:rFonts w:ascii="黑体" w:hAnsi="黑体" w:eastAsia="黑体" w:cs="黑体"/>
          <w:sz w:val="28"/>
          <w:szCs w:val="28"/>
        </w:rPr>
      </w:pPr>
      <w:r>
        <w:rPr>
          <w:rFonts w:ascii="Times New Roman" w:hAnsi="Times New Roman" w:eastAsia="Times New Roman" w:cs="Times New Roman"/>
          <w:spacing w:val="3"/>
          <w:sz w:val="28"/>
          <w:szCs w:val="28"/>
        </w:rPr>
        <w:t xml:space="preserve">6.6  </w:t>
      </w:r>
      <w:r>
        <w:rPr>
          <w:rFonts w:ascii="黑体" w:hAnsi="黑体" w:eastAsia="黑体" w:cs="黑体"/>
          <w:spacing w:val="3"/>
          <w:sz w:val="28"/>
          <w:szCs w:val="28"/>
        </w:rPr>
        <w:t>施工安全措施计划</w:t>
      </w:r>
    </w:p>
    <w:p w14:paraId="6EA64843">
      <w:pPr>
        <w:pStyle w:val="2"/>
        <w:spacing w:line="441" w:lineRule="auto"/>
      </w:pPr>
    </w:p>
    <w:p w14:paraId="42A188BC">
      <w:pPr>
        <w:spacing w:before="69" w:line="350" w:lineRule="auto"/>
        <w:ind w:firstLine="525"/>
        <w:rPr>
          <w:rFonts w:ascii="宋体" w:hAnsi="宋体" w:eastAsia="宋体" w:cs="宋体"/>
          <w:sz w:val="21"/>
          <w:szCs w:val="21"/>
        </w:rPr>
      </w:pPr>
      <w:r>
        <w:rPr>
          <w:rFonts w:ascii="Times New Roman" w:hAnsi="Times New Roman" w:eastAsia="Times New Roman" w:cs="Times New Roman"/>
          <w:spacing w:val="-8"/>
          <w:sz w:val="21"/>
          <w:szCs w:val="21"/>
        </w:rPr>
        <w:t xml:space="preserve">6.6.1        </w:t>
      </w:r>
      <w:r>
        <w:rPr>
          <w:rFonts w:ascii="宋体" w:hAnsi="宋体" w:eastAsia="宋体" w:cs="宋体"/>
          <w:spacing w:val="-8"/>
          <w:sz w:val="21"/>
          <w:szCs w:val="21"/>
        </w:rPr>
        <w:t>承包人应根据《中华人民</w:t>
      </w:r>
      <w:r>
        <w:rPr>
          <w:rFonts w:ascii="宋体" w:hAnsi="宋体" w:eastAsia="宋体" w:cs="宋体"/>
          <w:spacing w:val="-9"/>
          <w:sz w:val="21"/>
          <w:szCs w:val="21"/>
        </w:rPr>
        <w:t>共和国安全生产法》、《职业健康安全管理体系规范》、</w:t>
      </w:r>
      <w:r>
        <w:rPr>
          <w:rFonts w:ascii="宋体" w:hAnsi="宋体" w:eastAsia="宋体" w:cs="宋体"/>
          <w:sz w:val="21"/>
          <w:szCs w:val="21"/>
        </w:rPr>
        <w:t xml:space="preserve"> </w:t>
      </w:r>
      <w:r>
        <w:rPr>
          <w:rFonts w:ascii="宋体" w:hAnsi="宋体" w:eastAsia="宋体" w:cs="宋体"/>
          <w:spacing w:val="-10"/>
          <w:sz w:val="21"/>
          <w:szCs w:val="21"/>
        </w:rPr>
        <w:t>《中华人民共和国消防法》、《中华人民共和国道路交通安全法》、《中华人民</w:t>
      </w:r>
      <w:r>
        <w:rPr>
          <w:rFonts w:ascii="宋体" w:hAnsi="宋体" w:eastAsia="宋体" w:cs="宋体"/>
          <w:spacing w:val="-11"/>
          <w:sz w:val="21"/>
          <w:szCs w:val="21"/>
        </w:rPr>
        <w:t>共和国传染病防</w:t>
      </w:r>
      <w:r>
        <w:rPr>
          <w:rFonts w:ascii="宋体" w:hAnsi="宋体" w:eastAsia="宋体" w:cs="宋体"/>
          <w:spacing w:val="3"/>
          <w:sz w:val="21"/>
          <w:szCs w:val="21"/>
        </w:rPr>
        <w:t>治法实施办法》和地方有关的法规等，按照合同条款</w:t>
      </w:r>
      <w:r>
        <w:rPr>
          <w:rFonts w:ascii="宋体" w:hAnsi="宋体" w:eastAsia="宋体" w:cs="宋体"/>
          <w:spacing w:val="2"/>
          <w:sz w:val="21"/>
          <w:szCs w:val="21"/>
        </w:rPr>
        <w:t>第</w:t>
      </w:r>
      <w:r>
        <w:rPr>
          <w:rFonts w:ascii="宋体" w:hAnsi="宋体" w:eastAsia="宋体" w:cs="宋体"/>
          <w:spacing w:val="-41"/>
          <w:sz w:val="21"/>
          <w:szCs w:val="21"/>
        </w:rPr>
        <w:t xml:space="preserve"> </w:t>
      </w:r>
      <w:r>
        <w:rPr>
          <w:rFonts w:ascii="Times New Roman" w:hAnsi="Times New Roman" w:eastAsia="Times New Roman" w:cs="Times New Roman"/>
          <w:spacing w:val="2"/>
          <w:sz w:val="21"/>
          <w:szCs w:val="21"/>
        </w:rPr>
        <w:t>9.2.1</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项的约定，编制一份施工安全</w:t>
      </w:r>
      <w:r>
        <w:rPr>
          <w:rFonts w:ascii="宋体" w:hAnsi="宋体" w:eastAsia="宋体" w:cs="宋体"/>
          <w:spacing w:val="5"/>
          <w:sz w:val="21"/>
          <w:szCs w:val="21"/>
        </w:rPr>
        <w:t>措施计划，报送监理人审批。</w:t>
      </w:r>
    </w:p>
    <w:p w14:paraId="18876FC7">
      <w:pPr>
        <w:spacing w:before="16" w:line="233" w:lineRule="auto"/>
        <w:ind w:left="525"/>
        <w:rPr>
          <w:rFonts w:ascii="宋体" w:hAnsi="宋体" w:eastAsia="宋体" w:cs="宋体"/>
          <w:sz w:val="21"/>
          <w:szCs w:val="21"/>
        </w:rPr>
      </w:pPr>
      <w:r>
        <w:rPr>
          <w:rFonts w:ascii="Times New Roman" w:hAnsi="Times New Roman" w:eastAsia="Times New Roman" w:cs="Times New Roman"/>
          <w:spacing w:val="-1"/>
          <w:sz w:val="21"/>
          <w:szCs w:val="21"/>
        </w:rPr>
        <w:t xml:space="preserve">6.6.2        </w:t>
      </w:r>
      <w:r>
        <w:rPr>
          <w:rFonts w:ascii="宋体" w:hAnsi="宋体" w:eastAsia="宋体" w:cs="宋体"/>
          <w:spacing w:val="-1"/>
          <w:sz w:val="21"/>
          <w:szCs w:val="21"/>
        </w:rPr>
        <w:t>施工安全措施计划是承包人</w:t>
      </w:r>
      <w:r>
        <w:rPr>
          <w:rFonts w:ascii="宋体" w:hAnsi="宋体" w:eastAsia="宋体" w:cs="宋体"/>
          <w:spacing w:val="-2"/>
          <w:sz w:val="21"/>
          <w:szCs w:val="21"/>
        </w:rPr>
        <w:t>阐明其安全管理方针、管理体系、安全制度和安全</w:t>
      </w:r>
    </w:p>
    <w:p w14:paraId="11F74617">
      <w:pPr>
        <w:spacing w:line="233" w:lineRule="auto"/>
        <w:rPr>
          <w:rFonts w:ascii="宋体" w:hAnsi="宋体" w:eastAsia="宋体" w:cs="宋体"/>
          <w:sz w:val="21"/>
          <w:szCs w:val="21"/>
        </w:rPr>
        <w:sectPr>
          <w:footerReference r:id="rId275" w:type="default"/>
          <w:pgSz w:w="11910" w:h="16845"/>
          <w:pgMar w:top="400" w:right="1692" w:bottom="1110" w:left="1706" w:header="0" w:footer="883" w:gutter="0"/>
          <w:cols w:space="720" w:num="1"/>
        </w:sectPr>
      </w:pPr>
    </w:p>
    <w:p w14:paraId="117A7AAE">
      <w:pPr>
        <w:pStyle w:val="2"/>
        <w:spacing w:line="275" w:lineRule="auto"/>
      </w:pPr>
    </w:p>
    <w:p w14:paraId="2AF473F9">
      <w:pPr>
        <w:pStyle w:val="2"/>
        <w:spacing w:line="275" w:lineRule="auto"/>
      </w:pPr>
    </w:p>
    <w:p w14:paraId="29E237F7">
      <w:pPr>
        <w:pStyle w:val="2"/>
        <w:spacing w:line="275" w:lineRule="auto"/>
      </w:pPr>
    </w:p>
    <w:p w14:paraId="692A553B">
      <w:pPr>
        <w:pStyle w:val="2"/>
        <w:spacing w:line="275" w:lineRule="auto"/>
      </w:pPr>
    </w:p>
    <w:p w14:paraId="7E3725A4">
      <w:pPr>
        <w:spacing w:before="68" w:line="350" w:lineRule="auto"/>
        <w:ind w:left="24" w:right="84"/>
        <w:rPr>
          <w:rFonts w:ascii="宋体" w:hAnsi="宋体" w:eastAsia="宋体" w:cs="宋体"/>
          <w:sz w:val="21"/>
          <w:szCs w:val="21"/>
        </w:rPr>
      </w:pPr>
      <w:r>
        <w:rPr>
          <w:rFonts w:ascii="宋体" w:hAnsi="宋体" w:eastAsia="宋体" w:cs="宋体"/>
          <w:spacing w:val="-2"/>
          <w:sz w:val="21"/>
          <w:szCs w:val="21"/>
        </w:rPr>
        <w:t>措施等的文件，其内容应当反映现行法律法规规定的和合同条款约定的以及本条上</w:t>
      </w:r>
      <w:r>
        <w:rPr>
          <w:rFonts w:ascii="宋体" w:hAnsi="宋体" w:eastAsia="宋体" w:cs="宋体"/>
          <w:spacing w:val="-3"/>
          <w:sz w:val="21"/>
          <w:szCs w:val="21"/>
        </w:rPr>
        <w:t>述约定的</w:t>
      </w:r>
      <w:r>
        <w:rPr>
          <w:rFonts w:ascii="宋体" w:hAnsi="宋体" w:eastAsia="宋体" w:cs="宋体"/>
          <w:spacing w:val="-4"/>
          <w:sz w:val="21"/>
          <w:szCs w:val="21"/>
        </w:rPr>
        <w:t>承包人安全职责，包括但不限于：</w:t>
      </w:r>
    </w:p>
    <w:p w14:paraId="4306B6FD">
      <w:pPr>
        <w:spacing w:line="212" w:lineRule="auto"/>
        <w:ind w:left="24"/>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施工安全管理机构的设置；</w:t>
      </w:r>
    </w:p>
    <w:p w14:paraId="1CD63FEA">
      <w:pPr>
        <w:spacing w:before="162" w:line="213" w:lineRule="auto"/>
        <w:ind w:left="24"/>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专职安全管理人员的配备；</w:t>
      </w:r>
    </w:p>
    <w:p w14:paraId="6EF7EB26">
      <w:pPr>
        <w:spacing w:before="163" w:line="213" w:lineRule="auto"/>
        <w:ind w:left="24"/>
        <w:rPr>
          <w:rFonts w:ascii="宋体" w:hAnsi="宋体" w:eastAsia="宋体" w:cs="宋体"/>
          <w:sz w:val="21"/>
          <w:szCs w:val="21"/>
        </w:rPr>
      </w:pPr>
      <w:r>
        <w:rPr>
          <w:rFonts w:ascii="Times New Roman" w:hAnsi="Times New Roman" w:eastAsia="Times New Roman" w:cs="Times New Roman"/>
          <w:spacing w:val="-3"/>
          <w:sz w:val="21"/>
          <w:szCs w:val="21"/>
        </w:rPr>
        <w:t>(3)</w:t>
      </w:r>
      <w:r>
        <w:rPr>
          <w:rFonts w:ascii="宋体" w:hAnsi="宋体" w:eastAsia="宋体" w:cs="宋体"/>
          <w:spacing w:val="-3"/>
          <w:sz w:val="21"/>
          <w:szCs w:val="21"/>
        </w:rPr>
        <w:t>安全责任制度和管理措施；</w:t>
      </w:r>
    </w:p>
    <w:p w14:paraId="3F48CEBC">
      <w:pPr>
        <w:spacing w:before="148" w:line="213" w:lineRule="auto"/>
        <w:ind w:left="24"/>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安全教育和培训制度及管理措施；</w:t>
      </w:r>
    </w:p>
    <w:p w14:paraId="0CF52058">
      <w:pPr>
        <w:spacing w:before="164" w:line="213" w:lineRule="auto"/>
        <w:ind w:left="24"/>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各项安全生产规章制度和操作规程；</w:t>
      </w:r>
    </w:p>
    <w:p w14:paraId="757B3C7B">
      <w:pPr>
        <w:spacing w:before="162" w:line="213" w:lineRule="auto"/>
        <w:ind w:left="24"/>
        <w:rPr>
          <w:rFonts w:ascii="宋体" w:hAnsi="宋体" w:eastAsia="宋体" w:cs="宋体"/>
          <w:sz w:val="21"/>
          <w:szCs w:val="21"/>
        </w:rPr>
      </w:pPr>
      <w:r>
        <w:rPr>
          <w:rFonts w:ascii="Times New Roman" w:hAnsi="Times New Roman" w:eastAsia="Times New Roman" w:cs="Times New Roman"/>
          <w:spacing w:val="-3"/>
          <w:sz w:val="21"/>
          <w:szCs w:val="21"/>
        </w:rPr>
        <w:t>(6)</w:t>
      </w:r>
      <w:r>
        <w:rPr>
          <w:rFonts w:ascii="宋体" w:hAnsi="宋体" w:eastAsia="宋体" w:cs="宋体"/>
          <w:spacing w:val="-3"/>
          <w:sz w:val="21"/>
          <w:szCs w:val="21"/>
        </w:rPr>
        <w:t>各项施工安全措施和防护措施；</w:t>
      </w:r>
    </w:p>
    <w:p w14:paraId="256F1F4E">
      <w:pPr>
        <w:spacing w:before="148" w:line="213" w:lineRule="auto"/>
        <w:ind w:left="24"/>
        <w:rPr>
          <w:rFonts w:ascii="宋体" w:hAnsi="宋体" w:eastAsia="宋体" w:cs="宋体"/>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危险品管理和使用制度；</w:t>
      </w:r>
    </w:p>
    <w:p w14:paraId="42F21220">
      <w:pPr>
        <w:spacing w:before="164" w:line="213" w:lineRule="auto"/>
        <w:ind w:left="24"/>
        <w:rPr>
          <w:rFonts w:ascii="宋体" w:hAnsi="宋体" w:eastAsia="宋体" w:cs="宋体"/>
          <w:sz w:val="21"/>
          <w:szCs w:val="21"/>
        </w:rPr>
      </w:pPr>
      <w:r>
        <w:rPr>
          <w:rFonts w:ascii="Times New Roman" w:hAnsi="Times New Roman" w:eastAsia="Times New Roman" w:cs="Times New Roman"/>
          <w:spacing w:val="-2"/>
          <w:sz w:val="21"/>
          <w:szCs w:val="21"/>
        </w:rPr>
        <w:t>(8)</w:t>
      </w:r>
      <w:r>
        <w:rPr>
          <w:rFonts w:ascii="宋体" w:hAnsi="宋体" w:eastAsia="宋体" w:cs="宋体"/>
          <w:spacing w:val="-2"/>
          <w:sz w:val="21"/>
          <w:szCs w:val="21"/>
        </w:rPr>
        <w:t>安全设施、设备、器材和劳动保护用品的配置；</w:t>
      </w:r>
    </w:p>
    <w:p w14:paraId="3FFD7C99">
      <w:pPr>
        <w:spacing w:before="162" w:line="213" w:lineRule="auto"/>
        <w:ind w:left="24"/>
        <w:rPr>
          <w:rFonts w:ascii="宋体" w:hAnsi="宋体" w:eastAsia="宋体" w:cs="宋体"/>
          <w:sz w:val="21"/>
          <w:szCs w:val="21"/>
        </w:rPr>
      </w:pPr>
      <w:r>
        <w:rPr>
          <w:rFonts w:ascii="Times New Roman" w:hAnsi="Times New Roman" w:eastAsia="Times New Roman" w:cs="Times New Roman"/>
          <w:sz w:val="21"/>
          <w:szCs w:val="21"/>
        </w:rPr>
        <w:t>(9)</w:t>
      </w:r>
      <w:r>
        <w:rPr>
          <w:rFonts w:ascii="宋体" w:hAnsi="宋体" w:eastAsia="宋体" w:cs="宋体"/>
          <w:sz w:val="21"/>
          <w:szCs w:val="21"/>
        </w:rPr>
        <w:t>其他：                                             。</w:t>
      </w:r>
    </w:p>
    <w:p w14:paraId="0C095BC5">
      <w:pPr>
        <w:spacing w:before="148" w:line="351" w:lineRule="auto"/>
        <w:ind w:left="23" w:firstLine="420"/>
        <w:jc w:val="both"/>
        <w:rPr>
          <w:rFonts w:ascii="宋体" w:hAnsi="宋体" w:eastAsia="宋体" w:cs="宋体"/>
          <w:sz w:val="21"/>
          <w:szCs w:val="21"/>
        </w:rPr>
      </w:pPr>
      <w:r>
        <w:rPr>
          <w:rFonts w:ascii="宋体" w:hAnsi="宋体" w:eastAsia="宋体" w:cs="宋体"/>
          <w:sz w:val="21"/>
          <w:szCs w:val="21"/>
        </w:rPr>
        <w:t>施工安全措施的项目和范围，应符合国家颁发的《安全技术措施计划的项目总名称表》</w:t>
      </w:r>
      <w:r>
        <w:rPr>
          <w:rFonts w:ascii="宋体" w:hAnsi="宋体" w:eastAsia="宋体" w:cs="宋体"/>
          <w:spacing w:val="-3"/>
          <w:sz w:val="21"/>
          <w:szCs w:val="21"/>
        </w:rPr>
        <w:t>及其附录</w:t>
      </w:r>
      <w:r>
        <w:rPr>
          <w:rFonts w:ascii="宋体" w:hAnsi="宋体" w:eastAsia="宋体" w:cs="宋体"/>
          <w:spacing w:val="-28"/>
          <w:sz w:val="21"/>
          <w:szCs w:val="21"/>
        </w:rPr>
        <w:t xml:space="preserve"> </w:t>
      </w:r>
      <w:r>
        <w:rPr>
          <w:rFonts w:ascii="Times New Roman" w:hAnsi="Times New Roman" w:eastAsia="Times New Roman" w:cs="Times New Roman"/>
          <w:spacing w:val="-3"/>
          <w:sz w:val="21"/>
          <w:szCs w:val="21"/>
        </w:rPr>
        <w:t>H</w:t>
      </w:r>
      <w:r>
        <w:rPr>
          <w:rFonts w:ascii="宋体" w:hAnsi="宋体" w:eastAsia="宋体" w:cs="宋体"/>
          <w:spacing w:val="-3"/>
          <w:sz w:val="21"/>
          <w:szCs w:val="21"/>
        </w:rPr>
        <w:t>、</w:t>
      </w:r>
      <w:r>
        <w:rPr>
          <w:rFonts w:ascii="Times New Roman" w:hAnsi="Times New Roman" w:eastAsia="Times New Roman" w:cs="Times New Roman"/>
          <w:spacing w:val="-3"/>
          <w:sz w:val="21"/>
          <w:szCs w:val="21"/>
        </w:rPr>
        <w:t>I</w:t>
      </w:r>
      <w:r>
        <w:rPr>
          <w:rFonts w:ascii="宋体" w:hAnsi="宋体" w:eastAsia="宋体" w:cs="宋体"/>
          <w:spacing w:val="-3"/>
          <w:sz w:val="21"/>
          <w:szCs w:val="21"/>
        </w:rPr>
        <w:t>、</w:t>
      </w:r>
      <w:r>
        <w:rPr>
          <w:rFonts w:ascii="Times New Roman" w:hAnsi="Times New Roman" w:eastAsia="Times New Roman" w:cs="Times New Roman"/>
          <w:spacing w:val="-3"/>
          <w:sz w:val="21"/>
          <w:szCs w:val="21"/>
        </w:rPr>
        <w:t>J</w:t>
      </w:r>
      <w:r>
        <w:rPr>
          <w:rFonts w:ascii="Times New Roman" w:hAnsi="Times New Roman" w:eastAsia="Times New Roman" w:cs="Times New Roman"/>
          <w:spacing w:val="42"/>
          <w:sz w:val="21"/>
          <w:szCs w:val="21"/>
        </w:rPr>
        <w:t xml:space="preserve"> </w:t>
      </w:r>
      <w:r>
        <w:rPr>
          <w:rFonts w:ascii="宋体" w:hAnsi="宋体" w:eastAsia="宋体" w:cs="宋体"/>
          <w:spacing w:val="-3"/>
          <w:sz w:val="21"/>
          <w:szCs w:val="21"/>
        </w:rPr>
        <w:t>的规定，即应采取以改善劳动条件，防止工伤事故，预防职业病和职业中</w:t>
      </w:r>
      <w:r>
        <w:rPr>
          <w:rFonts w:ascii="宋体" w:hAnsi="宋体" w:eastAsia="宋体" w:cs="宋体"/>
          <w:spacing w:val="-2"/>
          <w:sz w:val="21"/>
          <w:szCs w:val="21"/>
        </w:rPr>
        <w:t>毒为目的的一切施工安全措施，以及修建必要的安全设施、配备安全技术开发试验所需的器</w:t>
      </w:r>
      <w:r>
        <w:rPr>
          <w:rFonts w:ascii="宋体" w:hAnsi="宋体" w:eastAsia="宋体" w:cs="宋体"/>
          <w:spacing w:val="-1"/>
          <w:sz w:val="21"/>
          <w:szCs w:val="21"/>
        </w:rPr>
        <w:t>材、设备和技术资料，并对现场的施工管理及作业人员做好相应的安全宣传教育。</w:t>
      </w:r>
    </w:p>
    <w:p w14:paraId="53F683EE">
      <w:pPr>
        <w:spacing w:before="11" w:line="348" w:lineRule="auto"/>
        <w:ind w:left="24" w:right="82" w:firstLine="421"/>
        <w:rPr>
          <w:rFonts w:ascii="宋体" w:hAnsi="宋体" w:eastAsia="宋体" w:cs="宋体"/>
          <w:sz w:val="21"/>
          <w:szCs w:val="21"/>
        </w:rPr>
      </w:pPr>
      <w:r>
        <w:rPr>
          <w:rFonts w:ascii="Times New Roman" w:hAnsi="Times New Roman" w:eastAsia="Times New Roman" w:cs="Times New Roman"/>
          <w:sz w:val="21"/>
          <w:szCs w:val="21"/>
        </w:rPr>
        <w:t xml:space="preserve">6.6.3        </w:t>
      </w:r>
      <w:r>
        <w:rPr>
          <w:rFonts w:ascii="宋体" w:hAnsi="宋体" w:eastAsia="宋体" w:cs="宋体"/>
          <w:sz w:val="21"/>
          <w:szCs w:val="21"/>
        </w:rPr>
        <w:t>施工安全措施计划应当在专用合同条款第</w:t>
      </w:r>
      <w:r>
        <w:rPr>
          <w:rFonts w:ascii="宋体" w:hAnsi="宋体" w:eastAsia="宋体" w:cs="宋体"/>
          <w:spacing w:val="-40"/>
          <w:sz w:val="21"/>
          <w:szCs w:val="21"/>
        </w:rPr>
        <w:t xml:space="preserve"> </w:t>
      </w:r>
      <w:r>
        <w:rPr>
          <w:rFonts w:ascii="Times New Roman" w:hAnsi="Times New Roman" w:eastAsia="Times New Roman" w:cs="Times New Roman"/>
          <w:sz w:val="21"/>
          <w:szCs w:val="21"/>
        </w:rPr>
        <w:t>9.2.1</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项约定</w:t>
      </w:r>
      <w:r>
        <w:rPr>
          <w:rFonts w:ascii="宋体" w:hAnsi="宋体" w:eastAsia="宋体" w:cs="宋体"/>
          <w:spacing w:val="-1"/>
          <w:sz w:val="21"/>
          <w:szCs w:val="21"/>
        </w:rPr>
        <w:t>的期限内报送监理人。</w:t>
      </w:r>
      <w:r>
        <w:rPr>
          <w:rFonts w:ascii="宋体" w:hAnsi="宋体" w:eastAsia="宋体" w:cs="宋体"/>
          <w:spacing w:val="-2"/>
          <w:sz w:val="21"/>
          <w:szCs w:val="21"/>
        </w:rPr>
        <w:t>承包人应当严格执行经监理人批准的施工安全措施计划，并及时补充、修订和完善施工安全</w:t>
      </w:r>
      <w:r>
        <w:rPr>
          <w:rFonts w:ascii="宋体" w:hAnsi="宋体" w:eastAsia="宋体" w:cs="宋体"/>
          <w:spacing w:val="-3"/>
          <w:sz w:val="21"/>
          <w:szCs w:val="21"/>
        </w:rPr>
        <w:t>措施计划，确保安全生产。</w:t>
      </w:r>
    </w:p>
    <w:p w14:paraId="50338ABF">
      <w:pPr>
        <w:spacing w:before="323" w:line="236" w:lineRule="auto"/>
        <w:ind w:left="28"/>
        <w:outlineLvl w:val="3"/>
        <w:rPr>
          <w:rFonts w:ascii="黑体" w:hAnsi="黑体" w:eastAsia="黑体" w:cs="黑体"/>
          <w:sz w:val="28"/>
          <w:szCs w:val="28"/>
        </w:rPr>
      </w:pPr>
      <w:r>
        <w:rPr>
          <w:rFonts w:ascii="Times New Roman" w:hAnsi="Times New Roman" w:eastAsia="Times New Roman" w:cs="Times New Roman"/>
          <w:spacing w:val="3"/>
          <w:sz w:val="28"/>
          <w:szCs w:val="28"/>
        </w:rPr>
        <w:t>6.7</w:t>
      </w:r>
      <w:r>
        <w:rPr>
          <w:rFonts w:ascii="Times New Roman" w:hAnsi="Times New Roman" w:eastAsia="Times New Roman" w:cs="Times New Roman"/>
          <w:spacing w:val="11"/>
          <w:sz w:val="28"/>
          <w:szCs w:val="28"/>
        </w:rPr>
        <w:t xml:space="preserve">  </w:t>
      </w:r>
      <w:r>
        <w:rPr>
          <w:rFonts w:ascii="黑体" w:hAnsi="黑体" w:eastAsia="黑体" w:cs="黑体"/>
          <w:spacing w:val="3"/>
          <w:sz w:val="28"/>
          <w:szCs w:val="28"/>
        </w:rPr>
        <w:t>文明施工</w:t>
      </w:r>
    </w:p>
    <w:p w14:paraId="64924FE9">
      <w:pPr>
        <w:pStyle w:val="2"/>
        <w:spacing w:line="461" w:lineRule="auto"/>
      </w:pPr>
    </w:p>
    <w:p w14:paraId="3CFA4006">
      <w:pPr>
        <w:spacing w:before="69" w:line="336" w:lineRule="auto"/>
        <w:ind w:left="43" w:right="69" w:firstLine="401"/>
        <w:rPr>
          <w:rFonts w:ascii="宋体" w:hAnsi="宋体" w:eastAsia="宋体" w:cs="宋体"/>
          <w:sz w:val="21"/>
          <w:szCs w:val="21"/>
        </w:rPr>
      </w:pPr>
      <w:r>
        <w:rPr>
          <w:rFonts w:ascii="Times New Roman" w:hAnsi="Times New Roman" w:eastAsia="Times New Roman" w:cs="Times New Roman"/>
          <w:spacing w:val="-4"/>
          <w:sz w:val="21"/>
          <w:szCs w:val="21"/>
        </w:rPr>
        <w:t xml:space="preserve">6.7.1        </w:t>
      </w:r>
      <w:r>
        <w:rPr>
          <w:rFonts w:ascii="宋体" w:hAnsi="宋体" w:eastAsia="宋体" w:cs="宋体"/>
          <w:spacing w:val="-4"/>
          <w:sz w:val="21"/>
          <w:szCs w:val="21"/>
        </w:rPr>
        <w:t>承包人应遵守国家和工程所在地有关法规、规范、规程和标准的规定， 履行文</w:t>
      </w:r>
      <w:r>
        <w:rPr>
          <w:rFonts w:ascii="宋体" w:hAnsi="宋体" w:eastAsia="宋体" w:cs="宋体"/>
          <w:spacing w:val="-3"/>
          <w:sz w:val="21"/>
          <w:szCs w:val="21"/>
        </w:rPr>
        <w:t>明施工义务，确保文明施工专项费用专款专用。</w:t>
      </w:r>
    </w:p>
    <w:p w14:paraId="56903C81">
      <w:pPr>
        <w:spacing w:before="32" w:line="233" w:lineRule="auto"/>
        <w:ind w:left="445"/>
        <w:rPr>
          <w:rFonts w:ascii="宋体" w:hAnsi="宋体" w:eastAsia="宋体" w:cs="宋体"/>
          <w:sz w:val="21"/>
          <w:szCs w:val="21"/>
        </w:rPr>
      </w:pPr>
      <w:r>
        <w:rPr>
          <w:rFonts w:ascii="Times New Roman" w:hAnsi="Times New Roman" w:eastAsia="Times New Roman" w:cs="Times New Roman"/>
          <w:spacing w:val="-2"/>
          <w:sz w:val="21"/>
          <w:szCs w:val="21"/>
        </w:rPr>
        <w:t>6.7.2</w:t>
      </w:r>
      <w:r>
        <w:rPr>
          <w:rFonts w:ascii="Times New Roman" w:hAnsi="Times New Roman" w:eastAsia="Times New Roman" w:cs="Times New Roman"/>
          <w:spacing w:val="6"/>
          <w:sz w:val="21"/>
          <w:szCs w:val="21"/>
        </w:rPr>
        <w:t xml:space="preserve">         </w:t>
      </w:r>
      <w:r>
        <w:rPr>
          <w:rFonts w:ascii="宋体" w:hAnsi="宋体" w:eastAsia="宋体" w:cs="宋体"/>
          <w:spacing w:val="-2"/>
          <w:sz w:val="21"/>
          <w:szCs w:val="21"/>
        </w:rPr>
        <w:t>承包人应当规范现场施工秩序，实行标准化管理：</w:t>
      </w:r>
    </w:p>
    <w:p w14:paraId="37643809">
      <w:pPr>
        <w:spacing w:before="139" w:line="336" w:lineRule="auto"/>
        <w:ind w:left="24" w:right="84" w:firstLine="420"/>
        <w:rPr>
          <w:rFonts w:ascii="宋体" w:hAnsi="宋体" w:eastAsia="宋体" w:cs="宋体"/>
          <w:sz w:val="21"/>
          <w:szCs w:val="21"/>
        </w:rPr>
      </w:pPr>
      <w:r>
        <w:rPr>
          <w:rFonts w:ascii="Times New Roman" w:hAnsi="Times New Roman" w:eastAsia="Times New Roman" w:cs="Times New Roman"/>
          <w:spacing w:val="-1"/>
          <w:sz w:val="21"/>
          <w:szCs w:val="21"/>
        </w:rPr>
        <w:t>(1)</w:t>
      </w:r>
      <w:r>
        <w:rPr>
          <w:rFonts w:ascii="宋体" w:hAnsi="宋体" w:eastAsia="宋体" w:cs="宋体"/>
          <w:spacing w:val="-1"/>
          <w:sz w:val="21"/>
          <w:szCs w:val="21"/>
        </w:rPr>
        <w:t>承包人的施工场地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必须干净整治、做到无积水、无淤泥、无</w:t>
      </w:r>
      <w:r>
        <w:rPr>
          <w:rFonts w:ascii="宋体" w:hAnsi="宋体" w:eastAsia="宋体" w:cs="宋体"/>
          <w:spacing w:val="-2"/>
          <w:sz w:val="21"/>
          <w:szCs w:val="21"/>
        </w:rPr>
        <w:t>杂物，材料堆放整</w:t>
      </w:r>
      <w:r>
        <w:rPr>
          <w:rFonts w:ascii="宋体" w:hAnsi="宋体" w:eastAsia="宋体" w:cs="宋体"/>
          <w:spacing w:val="-15"/>
          <w:sz w:val="21"/>
          <w:szCs w:val="21"/>
        </w:rPr>
        <w:t>齐；</w:t>
      </w:r>
    </w:p>
    <w:p w14:paraId="1BF2D360">
      <w:pPr>
        <w:spacing w:before="32"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应进行硬化处理，定期定时洒水，做好防治扬尘和大气污染工作；</w:t>
      </w:r>
    </w:p>
    <w:p w14:paraId="7FB8E5D6">
      <w:pPr>
        <w:spacing w:before="165" w:line="335" w:lineRule="auto"/>
        <w:ind w:left="28" w:right="99" w:firstLine="416"/>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严格遵守“工完、料尽、场地净”的原则，不留垃圾、不留剩余施工材料和施</w:t>
      </w:r>
      <w:r>
        <w:rPr>
          <w:rFonts w:ascii="宋体" w:hAnsi="宋体" w:eastAsia="宋体" w:cs="宋体"/>
          <w:spacing w:val="1"/>
          <w:sz w:val="21"/>
          <w:szCs w:val="21"/>
        </w:rPr>
        <w:t>工机</w:t>
      </w:r>
      <w:r>
        <w:rPr>
          <w:rFonts w:ascii="宋体" w:hAnsi="宋体" w:eastAsia="宋体" w:cs="宋体"/>
          <w:spacing w:val="-5"/>
          <w:sz w:val="21"/>
          <w:szCs w:val="21"/>
        </w:rPr>
        <w:t>具，各种设备运转正常；</w:t>
      </w:r>
    </w:p>
    <w:p w14:paraId="410C0E61">
      <w:pPr>
        <w:spacing w:before="31" w:line="349" w:lineRule="auto"/>
        <w:ind w:left="41" w:right="99" w:firstLine="403"/>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承包人修建的施工临时设施应符合监理人批准的施工规划要求，并应满足本节</w:t>
      </w:r>
      <w:r>
        <w:rPr>
          <w:rFonts w:ascii="宋体" w:hAnsi="宋体" w:eastAsia="宋体" w:cs="宋体"/>
          <w:spacing w:val="1"/>
          <w:sz w:val="21"/>
          <w:szCs w:val="21"/>
        </w:rPr>
        <w:t>规定</w:t>
      </w:r>
      <w:r>
        <w:rPr>
          <w:rFonts w:ascii="宋体" w:hAnsi="宋体" w:eastAsia="宋体" w:cs="宋体"/>
          <w:spacing w:val="-8"/>
          <w:sz w:val="21"/>
          <w:szCs w:val="21"/>
        </w:rPr>
        <w:t>的各项安全要求；</w:t>
      </w:r>
    </w:p>
    <w:p w14:paraId="2667A001">
      <w:pPr>
        <w:spacing w:before="3" w:line="348" w:lineRule="auto"/>
        <w:ind w:left="43" w:right="103" w:firstLine="401"/>
        <w:rPr>
          <w:rFonts w:ascii="宋体" w:hAnsi="宋体" w:eastAsia="宋体" w:cs="宋体"/>
          <w:sz w:val="21"/>
          <w:szCs w:val="21"/>
        </w:rPr>
      </w:pPr>
      <w:r>
        <w:rPr>
          <w:rFonts w:ascii="Times New Roman" w:hAnsi="Times New Roman" w:eastAsia="Times New Roman" w:cs="Times New Roman"/>
          <w:spacing w:val="4"/>
          <w:sz w:val="21"/>
          <w:szCs w:val="21"/>
        </w:rPr>
        <w:t>(5)</w:t>
      </w:r>
      <w:r>
        <w:rPr>
          <w:rFonts w:ascii="宋体" w:hAnsi="宋体" w:eastAsia="宋体" w:cs="宋体"/>
          <w:spacing w:val="4"/>
          <w:sz w:val="21"/>
          <w:szCs w:val="21"/>
        </w:rPr>
        <w:t>监理人可要求承包人在施工场地</w:t>
      </w:r>
      <w:r>
        <w:rPr>
          <w:rFonts w:ascii="Times New Roman" w:hAnsi="Times New Roman" w:eastAsia="Times New Roman" w:cs="Times New Roman"/>
          <w:spacing w:val="4"/>
          <w:sz w:val="21"/>
          <w:szCs w:val="21"/>
        </w:rPr>
        <w:t>(</w:t>
      </w:r>
      <w:r>
        <w:rPr>
          <w:rFonts w:ascii="宋体" w:hAnsi="宋体" w:eastAsia="宋体" w:cs="宋体"/>
          <w:spacing w:val="4"/>
          <w:sz w:val="21"/>
          <w:szCs w:val="21"/>
        </w:rPr>
        <w:t>现场</w:t>
      </w:r>
      <w:r>
        <w:rPr>
          <w:rFonts w:ascii="Times New Roman" w:hAnsi="Times New Roman" w:eastAsia="Times New Roman" w:cs="Times New Roman"/>
          <w:spacing w:val="4"/>
          <w:sz w:val="21"/>
          <w:szCs w:val="21"/>
        </w:rPr>
        <w:t>)</w:t>
      </w:r>
      <w:r>
        <w:rPr>
          <w:rFonts w:ascii="宋体" w:hAnsi="宋体" w:eastAsia="宋体" w:cs="宋体"/>
          <w:spacing w:val="4"/>
          <w:sz w:val="21"/>
          <w:szCs w:val="21"/>
        </w:rPr>
        <w:t>设</w:t>
      </w:r>
      <w:r>
        <w:rPr>
          <w:rFonts w:ascii="宋体" w:hAnsi="宋体" w:eastAsia="宋体" w:cs="宋体"/>
          <w:spacing w:val="3"/>
          <w:sz w:val="21"/>
          <w:szCs w:val="21"/>
        </w:rPr>
        <w:t>置各级承包人的安全文明施工责任牌等文</w:t>
      </w:r>
      <w:r>
        <w:rPr>
          <w:rFonts w:ascii="宋体" w:hAnsi="宋体" w:eastAsia="宋体" w:cs="宋体"/>
          <w:spacing w:val="-10"/>
          <w:sz w:val="21"/>
          <w:szCs w:val="21"/>
        </w:rPr>
        <w:t>明施工警示牌；</w:t>
      </w:r>
    </w:p>
    <w:p w14:paraId="06BB66E9">
      <w:pPr>
        <w:spacing w:before="18" w:line="213" w:lineRule="auto"/>
        <w:ind w:left="445"/>
        <w:rPr>
          <w:rFonts w:ascii="宋体" w:hAnsi="宋体" w:eastAsia="宋体" w:cs="宋体"/>
          <w:sz w:val="21"/>
          <w:szCs w:val="21"/>
        </w:rPr>
      </w:pPr>
      <w:r>
        <w:rPr>
          <w:rFonts w:ascii="Times New Roman" w:hAnsi="Times New Roman" w:eastAsia="Times New Roman" w:cs="Times New Roman"/>
          <w:sz w:val="21"/>
          <w:szCs w:val="21"/>
        </w:rPr>
        <w:t>(6)</w:t>
      </w:r>
      <w:r>
        <w:rPr>
          <w:rFonts w:ascii="宋体" w:hAnsi="宋体" w:eastAsia="宋体" w:cs="宋体"/>
          <w:sz w:val="21"/>
          <w:szCs w:val="21"/>
        </w:rPr>
        <w:t>材料进入现场应按指定位置堆放整齐，</w:t>
      </w:r>
      <w:r>
        <w:rPr>
          <w:rFonts w:ascii="宋体" w:hAnsi="宋体" w:eastAsia="宋体" w:cs="宋体"/>
          <w:spacing w:val="-57"/>
          <w:sz w:val="21"/>
          <w:szCs w:val="21"/>
        </w:rPr>
        <w:t xml:space="preserve"> </w:t>
      </w:r>
      <w:r>
        <w:rPr>
          <w:rFonts w:ascii="宋体" w:hAnsi="宋体" w:eastAsia="宋体" w:cs="宋体"/>
          <w:sz w:val="21"/>
          <w:szCs w:val="21"/>
        </w:rPr>
        <w:t>不得影响现场施工和堵塞施工、消防通道。</w:t>
      </w:r>
    </w:p>
    <w:p w14:paraId="645AB8F9">
      <w:pPr>
        <w:spacing w:line="213" w:lineRule="auto"/>
        <w:rPr>
          <w:rFonts w:ascii="宋体" w:hAnsi="宋体" w:eastAsia="宋体" w:cs="宋体"/>
          <w:sz w:val="21"/>
          <w:szCs w:val="21"/>
        </w:rPr>
        <w:sectPr>
          <w:footerReference r:id="rId276" w:type="default"/>
          <w:pgSz w:w="11910" w:h="16845"/>
          <w:pgMar w:top="400" w:right="1696" w:bottom="1110" w:left="1786" w:header="0" w:footer="882" w:gutter="0"/>
          <w:cols w:space="720" w:num="1"/>
        </w:sectPr>
      </w:pPr>
    </w:p>
    <w:p w14:paraId="2F9B4759">
      <w:pPr>
        <w:pStyle w:val="2"/>
        <w:spacing w:line="275" w:lineRule="auto"/>
      </w:pPr>
    </w:p>
    <w:p w14:paraId="061828CC">
      <w:pPr>
        <w:pStyle w:val="2"/>
        <w:spacing w:line="275" w:lineRule="auto"/>
      </w:pPr>
    </w:p>
    <w:p w14:paraId="23833460">
      <w:pPr>
        <w:pStyle w:val="2"/>
        <w:spacing w:line="275" w:lineRule="auto"/>
      </w:pPr>
    </w:p>
    <w:p w14:paraId="20B05835">
      <w:pPr>
        <w:pStyle w:val="2"/>
        <w:spacing w:line="275" w:lineRule="auto"/>
      </w:pPr>
    </w:p>
    <w:p w14:paraId="5D9D98C8">
      <w:pPr>
        <w:spacing w:before="69" w:line="219" w:lineRule="auto"/>
        <w:ind w:left="24"/>
        <w:rPr>
          <w:rFonts w:ascii="宋体" w:hAnsi="宋体" w:eastAsia="宋体" w:cs="宋体"/>
          <w:sz w:val="21"/>
          <w:szCs w:val="21"/>
        </w:rPr>
      </w:pPr>
      <w:r>
        <w:rPr>
          <w:rFonts w:ascii="宋体" w:hAnsi="宋体" w:eastAsia="宋体" w:cs="宋体"/>
          <w:spacing w:val="-3"/>
          <w:sz w:val="21"/>
          <w:szCs w:val="21"/>
        </w:rPr>
        <w:t>材料堆放场地应有专职的管理人员；</w:t>
      </w:r>
    </w:p>
    <w:p w14:paraId="0AE333B2">
      <w:pPr>
        <w:spacing w:before="156" w:line="336" w:lineRule="auto"/>
        <w:ind w:left="24" w:right="52" w:firstLine="420"/>
        <w:rPr>
          <w:rFonts w:ascii="宋体" w:hAnsi="宋体" w:eastAsia="宋体" w:cs="宋体"/>
          <w:sz w:val="21"/>
          <w:szCs w:val="21"/>
        </w:rPr>
      </w:pPr>
      <w:r>
        <w:rPr>
          <w:rFonts w:ascii="Times New Roman" w:hAnsi="Times New Roman" w:eastAsia="Times New Roman" w:cs="Times New Roman"/>
          <w:spacing w:val="2"/>
          <w:sz w:val="21"/>
          <w:szCs w:val="21"/>
        </w:rPr>
        <w:t>(7)</w:t>
      </w:r>
      <w:r>
        <w:rPr>
          <w:rFonts w:ascii="宋体" w:hAnsi="宋体" w:eastAsia="宋体" w:cs="宋体"/>
          <w:spacing w:val="2"/>
          <w:sz w:val="21"/>
          <w:szCs w:val="21"/>
        </w:rPr>
        <w:t>施工和安装用的各种扣件、紧固件、绳索具、小型配件、镙钉等应在专设的仓</w:t>
      </w:r>
      <w:r>
        <w:rPr>
          <w:rFonts w:ascii="宋体" w:hAnsi="宋体" w:eastAsia="宋体" w:cs="宋体"/>
          <w:spacing w:val="1"/>
          <w:sz w:val="21"/>
          <w:szCs w:val="21"/>
        </w:rPr>
        <w:t>库内</w:t>
      </w:r>
      <w:r>
        <w:rPr>
          <w:rFonts w:ascii="宋体" w:hAnsi="宋体" w:eastAsia="宋体" w:cs="宋体"/>
          <w:spacing w:val="-9"/>
          <w:sz w:val="21"/>
          <w:szCs w:val="21"/>
        </w:rPr>
        <w:t>装箱放置；</w:t>
      </w:r>
    </w:p>
    <w:p w14:paraId="6C32765E">
      <w:pPr>
        <w:spacing w:before="32" w:line="348" w:lineRule="auto"/>
        <w:ind w:left="35" w:right="52" w:firstLine="409"/>
        <w:rPr>
          <w:rFonts w:ascii="宋体" w:hAnsi="宋体" w:eastAsia="宋体" w:cs="宋体"/>
          <w:sz w:val="21"/>
          <w:szCs w:val="21"/>
        </w:rPr>
      </w:pPr>
      <w:r>
        <w:rPr>
          <w:rFonts w:ascii="Times New Roman" w:hAnsi="Times New Roman" w:eastAsia="Times New Roman" w:cs="Times New Roman"/>
          <w:spacing w:val="2"/>
          <w:sz w:val="21"/>
          <w:szCs w:val="21"/>
        </w:rPr>
        <w:t>(8)</w:t>
      </w:r>
      <w:r>
        <w:rPr>
          <w:rFonts w:ascii="宋体" w:hAnsi="宋体" w:eastAsia="宋体" w:cs="宋体"/>
          <w:spacing w:val="2"/>
          <w:sz w:val="21"/>
          <w:szCs w:val="21"/>
        </w:rPr>
        <w:t>现场风、水管及照明电线的布置应安全、合理、规范、有序，做到整齐美观。</w:t>
      </w:r>
      <w:r>
        <w:rPr>
          <w:rFonts w:ascii="宋体" w:hAnsi="宋体" w:eastAsia="宋体" w:cs="宋体"/>
          <w:spacing w:val="1"/>
          <w:sz w:val="21"/>
          <w:szCs w:val="21"/>
        </w:rPr>
        <w:t>不得</w:t>
      </w:r>
      <w:r>
        <w:rPr>
          <w:rFonts w:ascii="宋体" w:hAnsi="宋体" w:eastAsia="宋体" w:cs="宋体"/>
          <w:spacing w:val="-3"/>
          <w:sz w:val="21"/>
          <w:szCs w:val="21"/>
        </w:rPr>
        <w:t>随意架设和造成隐患或影响施工。</w:t>
      </w:r>
    </w:p>
    <w:p w14:paraId="2A4F8897">
      <w:pPr>
        <w:spacing w:before="3" w:line="348" w:lineRule="auto"/>
        <w:ind w:left="25" w:right="23"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6.7.3        </w:t>
      </w:r>
      <w:r>
        <w:rPr>
          <w:rFonts w:ascii="宋体" w:hAnsi="宋体" w:eastAsia="宋体" w:cs="宋体"/>
          <w:spacing w:val="-1"/>
          <w:sz w:val="21"/>
          <w:szCs w:val="21"/>
        </w:rPr>
        <w:t>承包人应为其雇佣的施工工</w:t>
      </w:r>
      <w:r>
        <w:rPr>
          <w:rFonts w:ascii="宋体" w:hAnsi="宋体" w:eastAsia="宋体" w:cs="宋体"/>
          <w:spacing w:val="-2"/>
          <w:sz w:val="21"/>
          <w:szCs w:val="21"/>
        </w:rPr>
        <w:t>人建立并维护相应的生活宿舍、食堂、浴室、厕所</w:t>
      </w:r>
      <w:r>
        <w:rPr>
          <w:rFonts w:ascii="宋体" w:hAnsi="宋体" w:eastAsia="宋体" w:cs="宋体"/>
          <w:spacing w:val="-1"/>
          <w:sz w:val="21"/>
          <w:szCs w:val="21"/>
        </w:rPr>
        <w:t>和文化活动室等，其标准应满足政府有关机构的生活标准和卫生标准等的要求。</w:t>
      </w:r>
    </w:p>
    <w:p w14:paraId="314D2DCF">
      <w:pPr>
        <w:spacing w:before="18" w:line="350" w:lineRule="auto"/>
        <w:ind w:left="24"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6.7.4        </w:t>
      </w:r>
      <w:r>
        <w:rPr>
          <w:rFonts w:ascii="宋体" w:hAnsi="宋体" w:eastAsia="宋体" w:cs="宋体"/>
          <w:spacing w:val="-1"/>
          <w:sz w:val="21"/>
          <w:szCs w:val="21"/>
        </w:rPr>
        <w:t>承包人应为任何已完成的、</w:t>
      </w:r>
      <w:r>
        <w:rPr>
          <w:rFonts w:ascii="宋体" w:hAnsi="宋体" w:eastAsia="宋体" w:cs="宋体"/>
          <w:spacing w:val="-2"/>
          <w:sz w:val="21"/>
          <w:szCs w:val="21"/>
        </w:rPr>
        <w:t>正在施工的和将要进行的任何永久和临时工程、材</w:t>
      </w:r>
      <w:r>
        <w:rPr>
          <w:rFonts w:ascii="宋体" w:hAnsi="宋体" w:eastAsia="宋体" w:cs="宋体"/>
          <w:spacing w:val="-1"/>
          <w:sz w:val="21"/>
          <w:szCs w:val="21"/>
        </w:rPr>
        <w:t>料、物品、设备、以及因永久工程施工而暴露的任何毗邻财产提供必要的覆盖和</w:t>
      </w:r>
      <w:r>
        <w:rPr>
          <w:rFonts w:ascii="宋体" w:hAnsi="宋体" w:eastAsia="宋体" w:cs="宋体"/>
          <w:spacing w:val="-2"/>
          <w:sz w:val="21"/>
          <w:szCs w:val="21"/>
        </w:rPr>
        <w:t>保护措施，以避免恶劣天气影响工程施工和造成损失。保护措施包括必要的冬季供暖、雨季用阻燃防水油布覆盖、额外的临时仓库等等。因承包人措施不得力或不到位而给工程带来的任</w:t>
      </w:r>
      <w:r>
        <w:rPr>
          <w:rFonts w:ascii="宋体" w:hAnsi="宋体" w:eastAsia="宋体" w:cs="宋体"/>
          <w:spacing w:val="-3"/>
          <w:sz w:val="21"/>
          <w:szCs w:val="21"/>
        </w:rPr>
        <w:t>何损失或损害由承包人自己负责。</w:t>
      </w:r>
    </w:p>
    <w:p w14:paraId="72830624">
      <w:pPr>
        <w:spacing w:before="6" w:line="349" w:lineRule="auto"/>
        <w:ind w:left="22" w:right="22"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6.7.5        </w:t>
      </w:r>
      <w:r>
        <w:rPr>
          <w:rFonts w:ascii="宋体" w:hAnsi="宋体" w:eastAsia="宋体" w:cs="宋体"/>
          <w:spacing w:val="-1"/>
          <w:sz w:val="21"/>
          <w:szCs w:val="21"/>
        </w:rPr>
        <w:t>在工程施工期间，承包人应</w:t>
      </w:r>
      <w:r>
        <w:rPr>
          <w:rFonts w:ascii="宋体" w:hAnsi="宋体" w:eastAsia="宋体" w:cs="宋体"/>
          <w:spacing w:val="-2"/>
          <w:sz w:val="21"/>
          <w:szCs w:val="21"/>
        </w:rPr>
        <w:t>始终避免现场出现不必要的障碍物，妥当存放并处置施工设备和多余的材料，及时从现场清除运走任何废料、垃圾或不再需要的临时工程和设</w:t>
      </w:r>
      <w:r>
        <w:rPr>
          <w:rFonts w:ascii="宋体" w:hAnsi="宋体" w:eastAsia="宋体" w:cs="宋体"/>
          <w:spacing w:val="-10"/>
          <w:sz w:val="21"/>
          <w:szCs w:val="21"/>
        </w:rPr>
        <w:t>施。</w:t>
      </w:r>
    </w:p>
    <w:p w14:paraId="565B9A1C">
      <w:pPr>
        <w:spacing w:before="8" w:line="352" w:lineRule="auto"/>
        <w:ind w:left="23" w:right="22"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6.7.6        </w:t>
      </w:r>
      <w:r>
        <w:rPr>
          <w:rFonts w:ascii="宋体" w:hAnsi="宋体" w:eastAsia="宋体" w:cs="宋体"/>
          <w:spacing w:val="-1"/>
          <w:sz w:val="21"/>
          <w:szCs w:val="21"/>
        </w:rPr>
        <w:t>承包人应为现场的工人和其</w:t>
      </w:r>
      <w:r>
        <w:rPr>
          <w:rFonts w:ascii="宋体" w:hAnsi="宋体" w:eastAsia="宋体" w:cs="宋体"/>
          <w:spacing w:val="-2"/>
          <w:sz w:val="21"/>
          <w:szCs w:val="21"/>
        </w:rPr>
        <w:t>他所有工作人员提供符合卫生要求的厕所，厕所应贴有磁砖并带手动或自动冲刷设备和洗手盆；承包人负责支付与该厕所相关的</w:t>
      </w:r>
      <w:r>
        <w:rPr>
          <w:rFonts w:ascii="宋体" w:hAnsi="宋体" w:eastAsia="宋体" w:cs="宋体"/>
          <w:spacing w:val="-3"/>
          <w:sz w:val="21"/>
          <w:szCs w:val="21"/>
        </w:rPr>
        <w:t>所有费用，并</w:t>
      </w:r>
      <w:r>
        <w:rPr>
          <w:rFonts w:ascii="宋体" w:hAnsi="宋体" w:eastAsia="宋体" w:cs="宋体"/>
          <w:spacing w:val="-2"/>
          <w:sz w:val="21"/>
          <w:szCs w:val="21"/>
        </w:rPr>
        <w:t>在工程竣工时，从现场拆除。承包人应在工作区域设立必要的临时厕所，并安排专</w:t>
      </w:r>
      <w:r>
        <w:rPr>
          <w:rFonts w:ascii="宋体" w:hAnsi="宋体" w:eastAsia="宋体" w:cs="宋体"/>
          <w:spacing w:val="-3"/>
          <w:sz w:val="21"/>
          <w:szCs w:val="21"/>
        </w:rPr>
        <w:t>门人员负</w:t>
      </w:r>
      <w:r>
        <w:rPr>
          <w:rFonts w:ascii="宋体" w:hAnsi="宋体" w:eastAsia="宋体" w:cs="宋体"/>
          <w:spacing w:val="-1"/>
          <w:sz w:val="21"/>
          <w:szCs w:val="21"/>
        </w:rPr>
        <w:t>责看护和定时清理，以确保现场免于随地大小便的污染。</w:t>
      </w:r>
    </w:p>
    <w:p w14:paraId="0FB25DA0">
      <w:pPr>
        <w:spacing w:before="8" w:line="348" w:lineRule="auto"/>
        <w:ind w:left="25" w:right="39" w:firstLine="420"/>
        <w:rPr>
          <w:rFonts w:ascii="宋体" w:hAnsi="宋体" w:eastAsia="宋体" w:cs="宋体"/>
          <w:sz w:val="21"/>
          <w:szCs w:val="21"/>
        </w:rPr>
      </w:pPr>
      <w:r>
        <w:rPr>
          <w:rFonts w:ascii="Times New Roman" w:hAnsi="Times New Roman" w:eastAsia="Times New Roman" w:cs="Times New Roman"/>
          <w:spacing w:val="2"/>
          <w:sz w:val="21"/>
          <w:szCs w:val="21"/>
        </w:rPr>
        <w:t xml:space="preserve">6.7.7        </w:t>
      </w:r>
      <w:r>
        <w:rPr>
          <w:rFonts w:ascii="宋体" w:hAnsi="宋体" w:eastAsia="宋体" w:cs="宋体"/>
          <w:spacing w:val="2"/>
          <w:sz w:val="21"/>
          <w:szCs w:val="21"/>
        </w:rPr>
        <w:t>承包人应在现场设立固定的垃圾临时存放点并在各楼层或区域设立必要的垃</w:t>
      </w:r>
      <w:r>
        <w:rPr>
          <w:rFonts w:ascii="宋体" w:hAnsi="宋体" w:eastAsia="宋体" w:cs="宋体"/>
          <w:spacing w:val="-2"/>
          <w:sz w:val="21"/>
          <w:szCs w:val="21"/>
        </w:rPr>
        <w:t>圾箱；所有垃圾必须在当天清除出现场，并按有关行政管理部门的规定，运送</w:t>
      </w:r>
      <w:r>
        <w:rPr>
          <w:rFonts w:ascii="宋体" w:hAnsi="宋体" w:eastAsia="宋体" w:cs="宋体"/>
          <w:spacing w:val="-3"/>
          <w:sz w:val="21"/>
          <w:szCs w:val="21"/>
        </w:rPr>
        <w:t>到指定的垃圾</w:t>
      </w:r>
      <w:r>
        <w:rPr>
          <w:rFonts w:ascii="宋体" w:hAnsi="宋体" w:eastAsia="宋体" w:cs="宋体"/>
          <w:spacing w:val="-8"/>
          <w:sz w:val="21"/>
          <w:szCs w:val="21"/>
        </w:rPr>
        <w:t>消纳场。</w:t>
      </w:r>
    </w:p>
    <w:p w14:paraId="5004EBA9">
      <w:pPr>
        <w:spacing w:before="11" w:line="350" w:lineRule="auto"/>
        <w:ind w:left="23" w:right="22"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6.7.8        </w:t>
      </w:r>
      <w:r>
        <w:rPr>
          <w:rFonts w:ascii="宋体" w:hAnsi="宋体" w:eastAsia="宋体" w:cs="宋体"/>
          <w:spacing w:val="-1"/>
          <w:sz w:val="21"/>
          <w:szCs w:val="21"/>
        </w:rPr>
        <w:t>承包人应对离场垃圾和所有</w:t>
      </w:r>
      <w:r>
        <w:rPr>
          <w:rFonts w:ascii="宋体" w:hAnsi="宋体" w:eastAsia="宋体" w:cs="宋体"/>
          <w:spacing w:val="-2"/>
          <w:sz w:val="21"/>
          <w:szCs w:val="21"/>
        </w:rPr>
        <w:t>车辆进行防遗洒和防污染公共道路的处理。承包人在运输任何材料的过程中，应采取一切必要的措施，防止遗洒和污染公共道路；一旦出现上述遗洒或污染现象，承包人应立即采取措施进行清扫，并承担所有费用。承包人在混</w:t>
      </w:r>
      <w:r>
        <w:rPr>
          <w:rFonts w:ascii="宋体" w:hAnsi="宋体" w:eastAsia="宋体" w:cs="宋体"/>
          <w:spacing w:val="-3"/>
          <w:sz w:val="21"/>
          <w:szCs w:val="21"/>
        </w:rPr>
        <w:t>凝土浇</w:t>
      </w:r>
      <w:r>
        <w:rPr>
          <w:rFonts w:ascii="宋体" w:hAnsi="宋体" w:eastAsia="宋体" w:cs="宋体"/>
          <w:sz w:val="21"/>
          <w:szCs w:val="21"/>
        </w:rPr>
        <w:t>筑、材料运输、材料装卸、现场清理等工作中</w:t>
      </w:r>
      <w:r>
        <w:rPr>
          <w:rFonts w:ascii="宋体" w:hAnsi="宋体" w:eastAsia="宋体" w:cs="宋体"/>
          <w:spacing w:val="-1"/>
          <w:sz w:val="21"/>
          <w:szCs w:val="21"/>
        </w:rPr>
        <w:t>应采取一切必要的措施防止影响公共交通。</w:t>
      </w:r>
    </w:p>
    <w:p w14:paraId="04F7C70F">
      <w:pPr>
        <w:spacing w:before="4" w:line="353" w:lineRule="auto"/>
        <w:ind w:left="23" w:right="22"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6.7.9        </w:t>
      </w:r>
      <w:r>
        <w:rPr>
          <w:rFonts w:ascii="宋体" w:hAnsi="宋体" w:eastAsia="宋体" w:cs="宋体"/>
          <w:spacing w:val="-1"/>
          <w:sz w:val="21"/>
          <w:szCs w:val="21"/>
        </w:rPr>
        <w:t>承包人应当制订成品保护措</w:t>
      </w:r>
      <w:r>
        <w:rPr>
          <w:rFonts w:ascii="宋体" w:hAnsi="宋体" w:eastAsia="宋体" w:cs="宋体"/>
          <w:spacing w:val="-2"/>
          <w:sz w:val="21"/>
          <w:szCs w:val="21"/>
        </w:rPr>
        <w:t>施计划，并提供必要的人员、材料和设备用于整个</w:t>
      </w:r>
      <w:r>
        <w:rPr>
          <w:rFonts w:ascii="宋体" w:hAnsi="宋体" w:eastAsia="宋体" w:cs="宋体"/>
          <w:sz w:val="21"/>
          <w:szCs w:val="21"/>
        </w:rPr>
        <w:t>工程的成品保护，包括对已完成的所有分包人和独立承包人</w:t>
      </w:r>
      <w:r>
        <w:rPr>
          <w:rFonts w:ascii="Times New Roman" w:hAnsi="Times New Roman" w:eastAsia="Times New Roman" w:cs="Times New Roman"/>
          <w:sz w:val="21"/>
          <w:szCs w:val="21"/>
        </w:rPr>
        <w:t>(</w:t>
      </w:r>
      <w:r>
        <w:rPr>
          <w:rFonts w:ascii="宋体" w:hAnsi="宋体" w:eastAsia="宋体" w:cs="宋体"/>
          <w:sz w:val="21"/>
          <w:szCs w:val="21"/>
        </w:rPr>
        <w:t>如果有</w:t>
      </w:r>
      <w:r>
        <w:rPr>
          <w:rFonts w:ascii="Times New Roman" w:hAnsi="Times New Roman" w:eastAsia="Times New Roman" w:cs="Times New Roman"/>
          <w:sz w:val="21"/>
          <w:szCs w:val="21"/>
        </w:rPr>
        <w:t>)</w:t>
      </w:r>
      <w:r>
        <w:rPr>
          <w:rFonts w:ascii="宋体" w:hAnsi="宋体" w:eastAsia="宋体" w:cs="宋体"/>
          <w:sz w:val="21"/>
          <w:szCs w:val="21"/>
        </w:rPr>
        <w:t>的工程或工作的保护，</w:t>
      </w:r>
      <w:r>
        <w:rPr>
          <w:rFonts w:ascii="宋体" w:hAnsi="宋体" w:eastAsia="宋体" w:cs="宋体"/>
          <w:spacing w:val="-4"/>
          <w:sz w:val="21"/>
          <w:szCs w:val="21"/>
        </w:rPr>
        <w:t>防止已完工作遭受任何损坏或破坏。成品保护措施应当合理安排工序，</w:t>
      </w:r>
      <w:r>
        <w:rPr>
          <w:rFonts w:ascii="宋体" w:hAnsi="宋体" w:eastAsia="宋体" w:cs="宋体"/>
          <w:spacing w:val="-25"/>
          <w:sz w:val="21"/>
          <w:szCs w:val="21"/>
        </w:rPr>
        <w:t xml:space="preserve"> </w:t>
      </w:r>
      <w:r>
        <w:rPr>
          <w:rFonts w:ascii="宋体" w:hAnsi="宋体" w:eastAsia="宋体" w:cs="宋体"/>
          <w:spacing w:val="-4"/>
          <w:sz w:val="21"/>
          <w:szCs w:val="21"/>
        </w:rPr>
        <w:t>并包括工作面移交制</w:t>
      </w:r>
      <w:r>
        <w:rPr>
          <w:rFonts w:ascii="宋体" w:hAnsi="宋体" w:eastAsia="宋体" w:cs="宋体"/>
          <w:spacing w:val="-2"/>
          <w:sz w:val="21"/>
          <w:szCs w:val="21"/>
        </w:rPr>
        <w:t>度和责任赔偿制度。成品保护措施计划最迟应当在任何专业分包人或独立承包人进场施工前</w:t>
      </w:r>
      <w:r>
        <w:rPr>
          <w:rFonts w:ascii="宋体" w:hAnsi="宋体" w:eastAsia="宋体" w:cs="宋体"/>
          <w:spacing w:val="-4"/>
          <w:sz w:val="21"/>
          <w:szCs w:val="21"/>
        </w:rPr>
        <w:t>不少于</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28</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天报监理人审批。</w:t>
      </w:r>
    </w:p>
    <w:p w14:paraId="00C5032C">
      <w:pPr>
        <w:spacing w:line="233" w:lineRule="auto"/>
        <w:ind w:left="445"/>
        <w:rPr>
          <w:rFonts w:ascii="宋体" w:hAnsi="宋体" w:eastAsia="宋体" w:cs="宋体"/>
          <w:sz w:val="21"/>
          <w:szCs w:val="21"/>
        </w:rPr>
      </w:pPr>
      <w:r>
        <w:rPr>
          <w:rFonts w:ascii="Times New Roman" w:hAnsi="Times New Roman" w:eastAsia="Times New Roman" w:cs="Times New Roman"/>
          <w:spacing w:val="-2"/>
          <w:sz w:val="21"/>
          <w:szCs w:val="21"/>
        </w:rPr>
        <w:t xml:space="preserve">6.7.10      </w:t>
      </w:r>
      <w:r>
        <w:rPr>
          <w:rFonts w:ascii="宋体" w:hAnsi="宋体" w:eastAsia="宋体" w:cs="宋体"/>
          <w:spacing w:val="-2"/>
          <w:sz w:val="21"/>
          <w:szCs w:val="21"/>
        </w:rPr>
        <w:t>文明施工方面的其他要求如下：</w:t>
      </w:r>
    </w:p>
    <w:p w14:paraId="7463210D">
      <w:pPr>
        <w:pStyle w:val="2"/>
        <w:spacing w:line="422" w:lineRule="auto"/>
      </w:pPr>
    </w:p>
    <w:p w14:paraId="373D4F60">
      <w:pPr>
        <w:spacing w:before="1" w:line="436" w:lineRule="exact"/>
        <w:ind w:firstLine="436"/>
      </w:pPr>
      <w:r>
        <w:rPr>
          <w:position w:val="-8"/>
        </w:rPr>
        <w:pict>
          <v:shape id="_x0000_s1249" o:spid="_x0000_s1249" style="height:21.8pt;width:357.5pt;" fillcolor="#000000" filled="t" stroked="f" coordsize="7150,435" path="m105,15l7149,15,7149,0,105,0,105,15xem0,435l7044,435,7044,420,0,420,0,435xe">
            <v:path/>
            <v:fill on="t" focussize="0,0"/>
            <v:stroke on="f"/>
            <v:imagedata o:title=""/>
            <o:lock v:ext="edit"/>
            <w10:wrap type="none"/>
            <w10:anchorlock/>
          </v:shape>
        </w:pict>
      </w:r>
    </w:p>
    <w:p w14:paraId="71ECB3D5">
      <w:pPr>
        <w:spacing w:line="436" w:lineRule="exact"/>
        <w:sectPr>
          <w:footerReference r:id="rId277" w:type="default"/>
          <w:pgSz w:w="11910" w:h="16845"/>
          <w:pgMar w:top="400" w:right="1742" w:bottom="1110" w:left="1786" w:header="0" w:footer="883" w:gutter="0"/>
          <w:cols w:space="720" w:num="1"/>
        </w:sectPr>
      </w:pPr>
    </w:p>
    <w:p w14:paraId="32E7CAE6">
      <w:pPr>
        <w:pStyle w:val="2"/>
        <w:spacing w:line="258" w:lineRule="auto"/>
      </w:pPr>
    </w:p>
    <w:p w14:paraId="6BC90531">
      <w:pPr>
        <w:spacing w:before="91" w:line="237" w:lineRule="auto"/>
        <w:ind w:left="28"/>
        <w:outlineLvl w:val="3"/>
        <w:rPr>
          <w:rFonts w:ascii="黑体" w:hAnsi="黑体" w:eastAsia="黑体" w:cs="黑体"/>
          <w:sz w:val="28"/>
          <w:szCs w:val="28"/>
        </w:rPr>
      </w:pPr>
      <w:r>
        <w:rPr>
          <w:rFonts w:ascii="Times New Roman" w:hAnsi="Times New Roman" w:eastAsia="Times New Roman" w:cs="Times New Roman"/>
          <w:spacing w:val="4"/>
          <w:sz w:val="28"/>
          <w:szCs w:val="28"/>
        </w:rPr>
        <w:t xml:space="preserve">6.8  </w:t>
      </w:r>
      <w:r>
        <w:rPr>
          <w:rFonts w:ascii="黑体" w:hAnsi="黑体" w:eastAsia="黑体" w:cs="黑体"/>
          <w:spacing w:val="4"/>
          <w:sz w:val="28"/>
          <w:szCs w:val="28"/>
        </w:rPr>
        <w:t>环境保护</w:t>
      </w:r>
    </w:p>
    <w:p w14:paraId="5A4AE33E">
      <w:pPr>
        <w:pStyle w:val="2"/>
        <w:spacing w:line="445" w:lineRule="auto"/>
      </w:pPr>
    </w:p>
    <w:p w14:paraId="3D033131">
      <w:pPr>
        <w:spacing w:before="68" w:line="352" w:lineRule="auto"/>
        <w:ind w:left="24" w:right="51"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6.8.1        </w:t>
      </w:r>
      <w:r>
        <w:rPr>
          <w:rFonts w:ascii="宋体" w:hAnsi="宋体" w:eastAsia="宋体" w:cs="宋体"/>
          <w:spacing w:val="-1"/>
          <w:sz w:val="21"/>
          <w:szCs w:val="21"/>
        </w:rPr>
        <w:t>在工程施工、完</w:t>
      </w:r>
      <w:r>
        <w:rPr>
          <w:rFonts w:ascii="宋体" w:hAnsi="宋体" w:eastAsia="宋体" w:cs="宋体"/>
          <w:spacing w:val="-2"/>
          <w:sz w:val="21"/>
          <w:szCs w:val="21"/>
        </w:rPr>
        <w:t>工及修补任何缺陷的过程中，承包人应当始终遵守国家和工程</w:t>
      </w:r>
      <w:r>
        <w:rPr>
          <w:rFonts w:ascii="宋体" w:hAnsi="宋体" w:eastAsia="宋体" w:cs="宋体"/>
          <w:spacing w:val="-6"/>
          <w:sz w:val="21"/>
          <w:szCs w:val="21"/>
        </w:rPr>
        <w:t>所在地有关环境保护、水土保护和污染防治的法律、法规、规章、规范、标准和规程等，</w:t>
      </w:r>
      <w:r>
        <w:rPr>
          <w:rFonts w:ascii="宋体" w:hAnsi="宋体" w:eastAsia="宋体" w:cs="宋体"/>
          <w:spacing w:val="55"/>
          <w:sz w:val="21"/>
          <w:szCs w:val="21"/>
        </w:rPr>
        <w:t xml:space="preserve"> </w:t>
      </w:r>
      <w:r>
        <w:rPr>
          <w:rFonts w:ascii="宋体" w:hAnsi="宋体" w:eastAsia="宋体" w:cs="宋体"/>
          <w:spacing w:val="-6"/>
          <w:sz w:val="21"/>
          <w:szCs w:val="21"/>
        </w:rPr>
        <w:t>按</w:t>
      </w:r>
      <w:r>
        <w:rPr>
          <w:rFonts w:ascii="宋体" w:hAnsi="宋体" w:eastAsia="宋体" w:cs="宋体"/>
          <w:spacing w:val="-1"/>
          <w:sz w:val="21"/>
          <w:szCs w:val="21"/>
        </w:rPr>
        <w:t>照通用合同条款第</w:t>
      </w:r>
      <w:r>
        <w:rPr>
          <w:rFonts w:ascii="宋体" w:hAnsi="宋体" w:eastAsia="宋体" w:cs="宋体"/>
          <w:spacing w:val="-43"/>
          <w:sz w:val="21"/>
          <w:szCs w:val="21"/>
        </w:rPr>
        <w:t xml:space="preserve"> </w:t>
      </w:r>
      <w:r>
        <w:rPr>
          <w:rFonts w:ascii="Times New Roman" w:hAnsi="Times New Roman" w:eastAsia="Times New Roman" w:cs="Times New Roman"/>
          <w:spacing w:val="-1"/>
          <w:sz w:val="21"/>
          <w:szCs w:val="21"/>
        </w:rPr>
        <w:t>4.1.6</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项和第</w:t>
      </w:r>
      <w:r>
        <w:rPr>
          <w:rFonts w:ascii="宋体" w:hAnsi="宋体" w:eastAsia="宋体" w:cs="宋体"/>
          <w:spacing w:val="-37"/>
          <w:sz w:val="21"/>
          <w:szCs w:val="21"/>
        </w:rPr>
        <w:t xml:space="preserve"> </w:t>
      </w:r>
      <w:r>
        <w:rPr>
          <w:rFonts w:ascii="Times New Roman" w:hAnsi="Times New Roman" w:eastAsia="Times New Roman" w:cs="Times New Roman"/>
          <w:spacing w:val="-1"/>
          <w:sz w:val="21"/>
          <w:szCs w:val="21"/>
        </w:rPr>
        <w:t>9.4</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款的约定履行其环境与生态保护职责。</w:t>
      </w:r>
    </w:p>
    <w:p w14:paraId="5C5FD02D">
      <w:pPr>
        <w:spacing w:before="3" w:line="351" w:lineRule="auto"/>
        <w:ind w:left="25" w:right="46"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6.8.2        </w:t>
      </w:r>
      <w:r>
        <w:rPr>
          <w:rFonts w:ascii="宋体" w:hAnsi="宋体" w:eastAsia="宋体" w:cs="宋体"/>
          <w:spacing w:val="-1"/>
          <w:sz w:val="21"/>
          <w:szCs w:val="21"/>
        </w:rPr>
        <w:t>承包人应按合同约定和监理</w:t>
      </w:r>
      <w:r>
        <w:rPr>
          <w:rFonts w:ascii="宋体" w:hAnsi="宋体" w:eastAsia="宋体" w:cs="宋体"/>
          <w:spacing w:val="-2"/>
          <w:sz w:val="21"/>
          <w:szCs w:val="21"/>
        </w:rPr>
        <w:t>人指示，接受国家和地方环境保护行政主管部门的监督、监测和检查。承包人应对其违反现行法律、法规、规章、规范、标准和规程</w:t>
      </w:r>
      <w:r>
        <w:rPr>
          <w:rFonts w:ascii="宋体" w:hAnsi="宋体" w:eastAsia="宋体" w:cs="宋体"/>
          <w:spacing w:val="-3"/>
          <w:sz w:val="21"/>
          <w:szCs w:val="21"/>
        </w:rPr>
        <w:t>等以及本</w:t>
      </w:r>
      <w:r>
        <w:rPr>
          <w:rFonts w:ascii="宋体" w:hAnsi="宋体" w:eastAsia="宋体" w:cs="宋体"/>
          <w:spacing w:val="-1"/>
          <w:sz w:val="21"/>
          <w:szCs w:val="21"/>
        </w:rPr>
        <w:t>合同约定所造成的环境污染、水土流失、人员伤害和财产损失等承担赔偿责任。</w:t>
      </w:r>
    </w:p>
    <w:p w14:paraId="61A1250B">
      <w:pPr>
        <w:spacing w:line="352" w:lineRule="auto"/>
        <w:ind w:left="23" w:firstLine="422"/>
        <w:rPr>
          <w:rFonts w:ascii="宋体" w:hAnsi="宋体" w:eastAsia="宋体" w:cs="宋体"/>
          <w:sz w:val="21"/>
          <w:szCs w:val="21"/>
        </w:rPr>
      </w:pPr>
      <w:r>
        <w:rPr>
          <w:rFonts w:ascii="Times New Roman" w:hAnsi="Times New Roman" w:eastAsia="Times New Roman" w:cs="Times New Roman"/>
          <w:spacing w:val="-2"/>
          <w:sz w:val="21"/>
          <w:szCs w:val="21"/>
        </w:rPr>
        <w:t xml:space="preserve">6.8.3        </w:t>
      </w:r>
      <w:r>
        <w:rPr>
          <w:rFonts w:ascii="宋体" w:hAnsi="宋体" w:eastAsia="宋体" w:cs="宋体"/>
          <w:spacing w:val="-2"/>
          <w:sz w:val="21"/>
          <w:szCs w:val="21"/>
        </w:rPr>
        <w:t>承包人制订施工方案和组织措施时应当同步考虑环境和资源保护，包括水土资</w:t>
      </w:r>
      <w:r>
        <w:rPr>
          <w:rFonts w:ascii="宋体" w:hAnsi="宋体" w:eastAsia="宋体" w:cs="宋体"/>
          <w:spacing w:val="-6"/>
          <w:sz w:val="21"/>
          <w:szCs w:val="21"/>
        </w:rPr>
        <w:t>源保护、噪声、振动和照明污染防治、固体废弃物处理、污水和废气处理、粉尘和扬尘控制、</w:t>
      </w:r>
      <w:r>
        <w:rPr>
          <w:rFonts w:ascii="宋体" w:hAnsi="宋体" w:eastAsia="宋体" w:cs="宋体"/>
          <w:sz w:val="21"/>
          <w:szCs w:val="21"/>
        </w:rPr>
        <w:t>道路污染防治、卫生防疫、禁止有害材料、节</w:t>
      </w:r>
      <w:r>
        <w:rPr>
          <w:rFonts w:ascii="宋体" w:hAnsi="宋体" w:eastAsia="宋体" w:cs="宋体"/>
          <w:spacing w:val="-1"/>
          <w:sz w:val="21"/>
          <w:szCs w:val="21"/>
        </w:rPr>
        <w:t>能减排以及不可再生资源的循环使用等因素。</w:t>
      </w:r>
    </w:p>
    <w:p w14:paraId="2F5B7C84">
      <w:pPr>
        <w:spacing w:before="2" w:line="351" w:lineRule="auto"/>
        <w:ind w:left="23" w:right="16" w:firstLine="422"/>
        <w:rPr>
          <w:rFonts w:ascii="宋体" w:hAnsi="宋体" w:eastAsia="宋体" w:cs="宋体"/>
          <w:sz w:val="21"/>
          <w:szCs w:val="21"/>
        </w:rPr>
      </w:pPr>
      <w:r>
        <w:rPr>
          <w:rFonts w:ascii="Times New Roman" w:hAnsi="Times New Roman" w:eastAsia="Times New Roman" w:cs="Times New Roman"/>
          <w:sz w:val="21"/>
          <w:szCs w:val="21"/>
        </w:rPr>
        <w:t xml:space="preserve">6.8.4        </w:t>
      </w:r>
      <w:r>
        <w:rPr>
          <w:rFonts w:ascii="宋体" w:hAnsi="宋体" w:eastAsia="宋体" w:cs="宋体"/>
          <w:sz w:val="21"/>
          <w:szCs w:val="21"/>
        </w:rPr>
        <w:t>承包人应当做好施工场地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范围内各项工</w:t>
      </w:r>
      <w:r>
        <w:rPr>
          <w:rFonts w:ascii="宋体" w:hAnsi="宋体" w:eastAsia="宋体" w:cs="宋体"/>
          <w:spacing w:val="-1"/>
          <w:sz w:val="21"/>
          <w:szCs w:val="21"/>
        </w:rPr>
        <w:t>程的开挖支护、截水、降水、灌</w:t>
      </w:r>
      <w:r>
        <w:rPr>
          <w:rFonts w:ascii="宋体" w:hAnsi="宋体" w:eastAsia="宋体" w:cs="宋体"/>
          <w:sz w:val="21"/>
          <w:szCs w:val="21"/>
        </w:rPr>
        <w:t>浆、衬砌、挡护结构及排水等工程防护措施。施工场地</w:t>
      </w:r>
      <w:r>
        <w:rPr>
          <w:rFonts w:ascii="Times New Roman" w:hAnsi="Times New Roman" w:eastAsia="Times New Roman" w:cs="Times New Roman"/>
          <w:sz w:val="21"/>
          <w:szCs w:val="21"/>
        </w:rPr>
        <w:t>(</w:t>
      </w:r>
      <w:r>
        <w:rPr>
          <w:rFonts w:ascii="宋体" w:hAnsi="宋体" w:eastAsia="宋体" w:cs="宋体"/>
          <w:sz w:val="21"/>
          <w:szCs w:val="21"/>
        </w:rPr>
        <w:t>现场</w:t>
      </w:r>
      <w:r>
        <w:rPr>
          <w:rFonts w:ascii="Times New Roman" w:hAnsi="Times New Roman" w:eastAsia="Times New Roman" w:cs="Times New Roman"/>
          <w:sz w:val="21"/>
          <w:szCs w:val="21"/>
        </w:rPr>
        <w:t>)</w:t>
      </w:r>
      <w:r>
        <w:rPr>
          <w:rFonts w:ascii="宋体" w:hAnsi="宋体" w:eastAsia="宋体" w:cs="宋体"/>
          <w:sz w:val="21"/>
          <w:szCs w:val="21"/>
        </w:rPr>
        <w:t>内所有边坡应当采取有效的水</w:t>
      </w:r>
      <w:r>
        <w:rPr>
          <w:rFonts w:ascii="宋体" w:hAnsi="宋体" w:eastAsia="宋体" w:cs="宋体"/>
          <w:spacing w:val="-1"/>
          <w:sz w:val="21"/>
          <w:szCs w:val="21"/>
        </w:rPr>
        <w:t>土流失防治和保持措施。承包人采用的降水方案应当充分考虑对地下水的保护和合理使用，</w:t>
      </w:r>
      <w:r>
        <w:rPr>
          <w:rFonts w:ascii="宋体" w:hAnsi="宋体" w:eastAsia="宋体" w:cs="宋体"/>
          <w:sz w:val="21"/>
          <w:szCs w:val="21"/>
        </w:rPr>
        <w:t>如果国家和</w:t>
      </w:r>
      <w:r>
        <w:rPr>
          <w:rFonts w:ascii="Times New Roman" w:hAnsi="Times New Roman" w:eastAsia="Times New Roman" w:cs="Times New Roman"/>
          <w:sz w:val="21"/>
          <w:szCs w:val="21"/>
        </w:rPr>
        <w:t>(</w:t>
      </w:r>
      <w:r>
        <w:rPr>
          <w:rFonts w:ascii="宋体" w:hAnsi="宋体" w:eastAsia="宋体" w:cs="宋体"/>
          <w:sz w:val="21"/>
          <w:szCs w:val="21"/>
        </w:rPr>
        <w:t>或</w:t>
      </w:r>
      <w:r>
        <w:rPr>
          <w:rFonts w:ascii="Times New Roman" w:hAnsi="Times New Roman" w:eastAsia="Times New Roman" w:cs="Times New Roman"/>
          <w:sz w:val="21"/>
          <w:szCs w:val="21"/>
        </w:rPr>
        <w:t>)</w:t>
      </w:r>
      <w:r>
        <w:rPr>
          <w:rFonts w:ascii="宋体" w:hAnsi="宋体" w:eastAsia="宋体" w:cs="宋体"/>
          <w:sz w:val="21"/>
          <w:szCs w:val="21"/>
        </w:rPr>
        <w:t>地方人民政府有特别规定的，承包人应当遵守有关</w:t>
      </w:r>
      <w:r>
        <w:rPr>
          <w:rFonts w:ascii="宋体" w:hAnsi="宋体" w:eastAsia="宋体" w:cs="宋体"/>
          <w:spacing w:val="-1"/>
          <w:sz w:val="21"/>
          <w:szCs w:val="21"/>
        </w:rPr>
        <w:t>规定。承包人还应设置完</w:t>
      </w:r>
      <w:r>
        <w:rPr>
          <w:rFonts w:ascii="宋体" w:hAnsi="宋体" w:eastAsia="宋体" w:cs="宋体"/>
          <w:spacing w:val="-2"/>
          <w:sz w:val="21"/>
          <w:szCs w:val="21"/>
        </w:rPr>
        <w:t>善的排水系统，保持施工场地</w:t>
      </w:r>
      <w:r>
        <w:rPr>
          <w:rFonts w:ascii="Times New Roman" w:hAnsi="Times New Roman" w:eastAsia="Times New Roman" w:cs="Times New Roman"/>
          <w:spacing w:val="-2"/>
          <w:sz w:val="21"/>
          <w:szCs w:val="21"/>
        </w:rPr>
        <w:t>(</w:t>
      </w:r>
      <w:r>
        <w:rPr>
          <w:rFonts w:ascii="宋体" w:hAnsi="宋体" w:eastAsia="宋体" w:cs="宋体"/>
          <w:spacing w:val="-2"/>
          <w:sz w:val="21"/>
          <w:szCs w:val="21"/>
        </w:rPr>
        <w:t>现场</w:t>
      </w:r>
      <w:r>
        <w:rPr>
          <w:rFonts w:ascii="Times New Roman" w:hAnsi="Times New Roman" w:eastAsia="Times New Roman" w:cs="Times New Roman"/>
          <w:spacing w:val="-2"/>
          <w:sz w:val="21"/>
          <w:szCs w:val="21"/>
        </w:rPr>
        <w:t>)</w:t>
      </w:r>
      <w:r>
        <w:rPr>
          <w:rFonts w:ascii="宋体" w:hAnsi="宋体" w:eastAsia="宋体" w:cs="宋体"/>
          <w:spacing w:val="-2"/>
          <w:sz w:val="21"/>
          <w:szCs w:val="21"/>
        </w:rPr>
        <w:t>始终处于良好的排水状态，防止降雨径流对施工场地</w:t>
      </w:r>
      <w:r>
        <w:rPr>
          <w:rFonts w:ascii="Times New Roman" w:hAnsi="Times New Roman" w:eastAsia="Times New Roman" w:cs="Times New Roman"/>
          <w:spacing w:val="-2"/>
          <w:sz w:val="21"/>
          <w:szCs w:val="21"/>
        </w:rPr>
        <w:t>(</w:t>
      </w:r>
      <w:r>
        <w:rPr>
          <w:rFonts w:ascii="宋体" w:hAnsi="宋体" w:eastAsia="宋体" w:cs="宋体"/>
          <w:spacing w:val="-2"/>
          <w:sz w:val="21"/>
          <w:szCs w:val="21"/>
        </w:rPr>
        <w:t>现</w:t>
      </w:r>
      <w:r>
        <w:rPr>
          <w:rFonts w:ascii="宋体" w:hAnsi="宋体" w:eastAsia="宋体" w:cs="宋体"/>
          <w:spacing w:val="-5"/>
          <w:sz w:val="21"/>
          <w:szCs w:val="21"/>
        </w:rPr>
        <w:t>场</w:t>
      </w:r>
      <w:r>
        <w:rPr>
          <w:rFonts w:ascii="Times New Roman" w:hAnsi="Times New Roman" w:eastAsia="Times New Roman" w:cs="Times New Roman"/>
          <w:spacing w:val="-5"/>
          <w:sz w:val="21"/>
          <w:szCs w:val="21"/>
        </w:rPr>
        <w:t>)</w:t>
      </w:r>
      <w:r>
        <w:rPr>
          <w:rFonts w:ascii="宋体" w:hAnsi="宋体" w:eastAsia="宋体" w:cs="宋体"/>
          <w:spacing w:val="-5"/>
          <w:sz w:val="21"/>
          <w:szCs w:val="21"/>
        </w:rPr>
        <w:t>的冲刷。</w:t>
      </w:r>
    </w:p>
    <w:p w14:paraId="530B5BA0">
      <w:pPr>
        <w:spacing w:before="3" w:line="352" w:lineRule="auto"/>
        <w:ind w:left="23" w:right="47" w:firstLine="422"/>
        <w:rPr>
          <w:rFonts w:ascii="宋体" w:hAnsi="宋体" w:eastAsia="宋体" w:cs="宋体"/>
          <w:sz w:val="21"/>
          <w:szCs w:val="21"/>
        </w:rPr>
      </w:pPr>
      <w:r>
        <w:rPr>
          <w:rFonts w:ascii="Times New Roman" w:hAnsi="Times New Roman" w:eastAsia="Times New Roman" w:cs="Times New Roman"/>
          <w:spacing w:val="-1"/>
          <w:sz w:val="21"/>
          <w:szCs w:val="21"/>
        </w:rPr>
        <w:t xml:space="preserve">6.8.5        </w:t>
      </w:r>
      <w:r>
        <w:rPr>
          <w:rFonts w:ascii="宋体" w:hAnsi="宋体" w:eastAsia="宋体" w:cs="宋体"/>
          <w:spacing w:val="-1"/>
          <w:sz w:val="21"/>
          <w:szCs w:val="21"/>
        </w:rPr>
        <w:t>承包人应当确保其所提供的</w:t>
      </w:r>
      <w:r>
        <w:rPr>
          <w:rFonts w:ascii="宋体" w:hAnsi="宋体" w:eastAsia="宋体" w:cs="宋体"/>
          <w:spacing w:val="-2"/>
          <w:sz w:val="21"/>
          <w:szCs w:val="21"/>
        </w:rPr>
        <w:t>材料、工程设备、施工设备和其他材料都是绿色环保产品，列入国家强制认证产品名录的，还应当是通过国家强制认证的产品。承包</w:t>
      </w:r>
      <w:r>
        <w:rPr>
          <w:rFonts w:ascii="宋体" w:hAnsi="宋体" w:eastAsia="宋体" w:cs="宋体"/>
          <w:spacing w:val="-3"/>
          <w:sz w:val="21"/>
          <w:szCs w:val="21"/>
        </w:rPr>
        <w:t>人不得在</w:t>
      </w:r>
      <w:r>
        <w:rPr>
          <w:rFonts w:ascii="宋体" w:hAnsi="宋体" w:eastAsia="宋体" w:cs="宋体"/>
          <w:spacing w:val="1"/>
          <w:sz w:val="21"/>
          <w:szCs w:val="21"/>
        </w:rPr>
        <w:t>任何临时和永久性工程中使用任何政府明令禁止使用的对人体有害的任何材料</w:t>
      </w:r>
      <w:r>
        <w:rPr>
          <w:rFonts w:ascii="Times New Roman" w:hAnsi="Times New Roman" w:eastAsia="Times New Roman" w:cs="Times New Roman"/>
          <w:spacing w:val="1"/>
          <w:sz w:val="21"/>
          <w:szCs w:val="21"/>
        </w:rPr>
        <w:t>(</w:t>
      </w:r>
      <w:r>
        <w:rPr>
          <w:rFonts w:ascii="宋体" w:hAnsi="宋体" w:eastAsia="宋体" w:cs="宋体"/>
          <w:spacing w:val="1"/>
          <w:sz w:val="21"/>
          <w:szCs w:val="21"/>
        </w:rPr>
        <w:t>如放</w:t>
      </w:r>
      <w:r>
        <w:rPr>
          <w:rFonts w:ascii="宋体" w:hAnsi="宋体" w:eastAsia="宋体" w:cs="宋体"/>
          <w:sz w:val="21"/>
          <w:szCs w:val="21"/>
        </w:rPr>
        <w:t>射性材</w:t>
      </w:r>
      <w:r>
        <w:rPr>
          <w:rFonts w:ascii="宋体" w:hAnsi="宋体" w:eastAsia="宋体" w:cs="宋体"/>
          <w:spacing w:val="1"/>
          <w:sz w:val="21"/>
          <w:szCs w:val="21"/>
        </w:rPr>
        <w:t>料、石棉制品等</w:t>
      </w:r>
      <w:r>
        <w:rPr>
          <w:rFonts w:ascii="Times New Roman" w:hAnsi="Times New Roman" w:eastAsia="Times New Roman" w:cs="Times New Roman"/>
          <w:spacing w:val="1"/>
          <w:sz w:val="21"/>
          <w:szCs w:val="21"/>
        </w:rPr>
        <w:t>)</w:t>
      </w:r>
      <w:r>
        <w:rPr>
          <w:rFonts w:ascii="宋体" w:hAnsi="宋体" w:eastAsia="宋体" w:cs="宋体"/>
          <w:spacing w:val="1"/>
          <w:sz w:val="21"/>
          <w:szCs w:val="21"/>
        </w:rPr>
        <w:t>和方法，同时也不得在永久性工程中使用政府虽未明令禁止但会给居住或</w:t>
      </w:r>
      <w:r>
        <w:rPr>
          <w:rFonts w:ascii="宋体" w:hAnsi="宋体" w:eastAsia="宋体" w:cs="宋体"/>
          <w:spacing w:val="-2"/>
          <w:sz w:val="21"/>
          <w:szCs w:val="21"/>
        </w:rPr>
        <w:t>使用人带来不适感觉或味觉的任何材料和添加剂等；承包人应在其施工环保措施计划中明确</w:t>
      </w:r>
      <w:r>
        <w:rPr>
          <w:rFonts w:ascii="宋体" w:hAnsi="宋体" w:eastAsia="宋体" w:cs="宋体"/>
          <w:spacing w:val="-1"/>
          <w:sz w:val="21"/>
          <w:szCs w:val="21"/>
        </w:rPr>
        <w:t>防止误用的保证措施；承包人违背此项约定的责任和后果全部由承包人承担。</w:t>
      </w:r>
    </w:p>
    <w:p w14:paraId="3138EEA4">
      <w:pPr>
        <w:spacing w:before="3" w:line="351" w:lineRule="auto"/>
        <w:ind w:left="24" w:right="60" w:firstLine="421"/>
        <w:rPr>
          <w:rFonts w:ascii="宋体" w:hAnsi="宋体" w:eastAsia="宋体" w:cs="宋体"/>
          <w:sz w:val="21"/>
          <w:szCs w:val="21"/>
        </w:rPr>
      </w:pPr>
      <w:r>
        <w:rPr>
          <w:rFonts w:ascii="Times New Roman" w:hAnsi="Times New Roman" w:eastAsia="Times New Roman" w:cs="Times New Roman"/>
          <w:spacing w:val="2"/>
          <w:sz w:val="21"/>
          <w:szCs w:val="21"/>
        </w:rPr>
        <w:t xml:space="preserve">6.8.6        </w:t>
      </w:r>
      <w:r>
        <w:rPr>
          <w:rFonts w:ascii="宋体" w:hAnsi="宋体" w:eastAsia="宋体" w:cs="宋体"/>
          <w:spacing w:val="2"/>
          <w:sz w:val="21"/>
          <w:szCs w:val="21"/>
        </w:rPr>
        <w:t>承包人应为防止进出场的车辆的遗洒和轮胎夹带物等污染周边和公共道路等</w:t>
      </w:r>
      <w:r>
        <w:rPr>
          <w:rFonts w:ascii="宋体" w:hAnsi="宋体" w:eastAsia="宋体" w:cs="宋体"/>
          <w:spacing w:val="-2"/>
          <w:sz w:val="21"/>
          <w:szCs w:val="21"/>
        </w:rPr>
        <w:t>行为制定并落实必要的措施，这类措施应至少包括在现场出入口设立冲刷池、对现场道路做</w:t>
      </w:r>
      <w:r>
        <w:rPr>
          <w:rFonts w:ascii="宋体" w:hAnsi="宋体" w:eastAsia="宋体" w:cs="宋体"/>
          <w:spacing w:val="-1"/>
          <w:sz w:val="21"/>
          <w:szCs w:val="21"/>
        </w:rPr>
        <w:t>硬化处理和采用密闭车厢或者对车厢进行必要的覆盖等等。</w:t>
      </w:r>
    </w:p>
    <w:p w14:paraId="4D8E0D82">
      <w:pPr>
        <w:spacing w:before="2" w:line="349" w:lineRule="auto"/>
        <w:ind w:left="24" w:right="46" w:firstLine="421"/>
        <w:rPr>
          <w:rFonts w:ascii="宋体" w:hAnsi="宋体" w:eastAsia="宋体" w:cs="宋体"/>
          <w:sz w:val="21"/>
          <w:szCs w:val="21"/>
        </w:rPr>
      </w:pPr>
      <w:r>
        <w:rPr>
          <w:rFonts w:ascii="Times New Roman" w:hAnsi="Times New Roman" w:eastAsia="Times New Roman" w:cs="Times New Roman"/>
          <w:spacing w:val="-1"/>
          <w:sz w:val="21"/>
          <w:szCs w:val="21"/>
        </w:rPr>
        <w:t xml:space="preserve">6.8.7        </w:t>
      </w:r>
      <w:r>
        <w:rPr>
          <w:rFonts w:ascii="宋体" w:hAnsi="宋体" w:eastAsia="宋体" w:cs="宋体"/>
          <w:spacing w:val="-1"/>
          <w:sz w:val="21"/>
          <w:szCs w:val="21"/>
        </w:rPr>
        <w:t>承包人应当保证施工生产用</w:t>
      </w:r>
      <w:r>
        <w:rPr>
          <w:rFonts w:ascii="宋体" w:hAnsi="宋体" w:eastAsia="宋体" w:cs="宋体"/>
          <w:spacing w:val="-2"/>
          <w:sz w:val="21"/>
          <w:szCs w:val="21"/>
        </w:rPr>
        <w:t>水和生活用水符合国家有关标准的规定。承包人还</w:t>
      </w:r>
      <w:r>
        <w:rPr>
          <w:rFonts w:ascii="宋体" w:hAnsi="宋体" w:eastAsia="宋体" w:cs="宋体"/>
          <w:sz w:val="21"/>
          <w:szCs w:val="21"/>
        </w:rPr>
        <w:t>应建设、运行和维护施工生产和生活污水收集和处</w:t>
      </w:r>
      <w:r>
        <w:rPr>
          <w:rFonts w:ascii="宋体" w:hAnsi="宋体" w:eastAsia="宋体" w:cs="宋体"/>
          <w:spacing w:val="-1"/>
          <w:sz w:val="21"/>
          <w:szCs w:val="21"/>
        </w:rPr>
        <w:t>理系统</w:t>
      </w:r>
      <w:r>
        <w:rPr>
          <w:rFonts w:ascii="Times New Roman" w:hAnsi="Times New Roman" w:eastAsia="Times New Roman" w:cs="Times New Roman"/>
          <w:spacing w:val="-1"/>
          <w:sz w:val="21"/>
          <w:szCs w:val="21"/>
        </w:rPr>
        <w:t>(</w:t>
      </w:r>
      <w:r>
        <w:rPr>
          <w:rFonts w:ascii="宋体" w:hAnsi="宋体" w:eastAsia="宋体" w:cs="宋体"/>
          <w:spacing w:val="-1"/>
          <w:sz w:val="21"/>
          <w:szCs w:val="21"/>
        </w:rPr>
        <w:t>包括排污口接入</w:t>
      </w:r>
      <w:r>
        <w:rPr>
          <w:rFonts w:ascii="Times New Roman" w:hAnsi="Times New Roman" w:eastAsia="Times New Roman" w:cs="Times New Roman"/>
          <w:spacing w:val="-1"/>
          <w:sz w:val="21"/>
          <w:szCs w:val="21"/>
        </w:rPr>
        <w:t>)</w:t>
      </w:r>
      <w:r>
        <w:rPr>
          <w:rFonts w:ascii="宋体" w:hAnsi="宋体" w:eastAsia="宋体" w:cs="宋体"/>
          <w:spacing w:val="-1"/>
          <w:sz w:val="21"/>
          <w:szCs w:val="21"/>
        </w:rPr>
        <w:t>，建立符合排放</w:t>
      </w:r>
      <w:r>
        <w:rPr>
          <w:rFonts w:ascii="宋体" w:hAnsi="宋体" w:eastAsia="宋体" w:cs="宋体"/>
          <w:spacing w:val="-2"/>
          <w:sz w:val="21"/>
          <w:szCs w:val="21"/>
        </w:rPr>
        <w:t>标准的临时沉淀池和化粪池等，不得将未处理的污水直接或间接排放</w:t>
      </w:r>
      <w:r>
        <w:rPr>
          <w:rFonts w:ascii="宋体" w:hAnsi="宋体" w:eastAsia="宋体" w:cs="宋体"/>
          <w:spacing w:val="-3"/>
          <w:sz w:val="21"/>
          <w:szCs w:val="21"/>
        </w:rPr>
        <w:t>或造成地表水体、地下</w:t>
      </w:r>
      <w:r>
        <w:rPr>
          <w:rFonts w:ascii="宋体" w:hAnsi="宋体" w:eastAsia="宋体" w:cs="宋体"/>
          <w:spacing w:val="-2"/>
          <w:sz w:val="21"/>
          <w:szCs w:val="21"/>
        </w:rPr>
        <w:t>水体或生产和生活供水系统的污染。</w:t>
      </w:r>
    </w:p>
    <w:p w14:paraId="78CF2405">
      <w:pPr>
        <w:spacing w:before="17" w:line="347" w:lineRule="auto"/>
        <w:ind w:left="27" w:right="2" w:firstLine="417"/>
        <w:rPr>
          <w:rFonts w:ascii="宋体" w:hAnsi="宋体" w:eastAsia="宋体" w:cs="宋体"/>
          <w:sz w:val="21"/>
          <w:szCs w:val="21"/>
        </w:rPr>
      </w:pPr>
      <w:r>
        <w:rPr>
          <w:rFonts w:ascii="Times New Roman" w:hAnsi="Times New Roman" w:eastAsia="Times New Roman" w:cs="Times New Roman"/>
          <w:sz w:val="21"/>
          <w:szCs w:val="21"/>
        </w:rPr>
        <w:t xml:space="preserve">6.8.8        </w:t>
      </w:r>
      <w:r>
        <w:rPr>
          <w:rFonts w:ascii="宋体" w:hAnsi="宋体" w:eastAsia="宋体" w:cs="宋体"/>
          <w:sz w:val="21"/>
          <w:szCs w:val="21"/>
        </w:rPr>
        <w:t>承包人应当采取有效</w:t>
      </w:r>
      <w:r>
        <w:rPr>
          <w:rFonts w:ascii="宋体" w:hAnsi="宋体" w:eastAsia="宋体" w:cs="宋体"/>
          <w:spacing w:val="-1"/>
          <w:sz w:val="21"/>
          <w:szCs w:val="21"/>
        </w:rPr>
        <w:t>措施，建立相应的过滤、分离、分解或沉淀等处理系统，</w:t>
      </w:r>
      <w:r>
        <w:rPr>
          <w:rFonts w:ascii="宋体" w:hAnsi="宋体" w:eastAsia="宋体" w:cs="宋体"/>
          <w:sz w:val="21"/>
          <w:szCs w:val="21"/>
        </w:rPr>
        <w:t>不得让有害物质</w:t>
      </w:r>
      <w:r>
        <w:rPr>
          <w:rFonts w:ascii="Times New Roman" w:hAnsi="Times New Roman" w:eastAsia="Times New Roman" w:cs="Times New Roman"/>
          <w:sz w:val="21"/>
          <w:szCs w:val="21"/>
        </w:rPr>
        <w:t>(</w:t>
      </w:r>
      <w:r>
        <w:rPr>
          <w:rFonts w:ascii="宋体" w:hAnsi="宋体" w:eastAsia="宋体" w:cs="宋体"/>
          <w:sz w:val="21"/>
          <w:szCs w:val="21"/>
        </w:rPr>
        <w:t>如燃料、油料、化学品、酸等，以及超过剂量的有害气体和尘埃、污水、</w:t>
      </w:r>
    </w:p>
    <w:p w14:paraId="7F5B5BE3">
      <w:pPr>
        <w:spacing w:line="347" w:lineRule="auto"/>
        <w:rPr>
          <w:rFonts w:ascii="宋体" w:hAnsi="宋体" w:eastAsia="宋体" w:cs="宋体"/>
          <w:sz w:val="21"/>
          <w:szCs w:val="21"/>
        </w:rPr>
        <w:sectPr>
          <w:headerReference r:id="rId278" w:type="default"/>
          <w:footerReference r:id="rId279" w:type="default"/>
          <w:pgSz w:w="11910" w:h="16845"/>
          <w:pgMar w:top="1940" w:right="1718" w:bottom="1110" w:left="1786" w:header="1572" w:footer="883" w:gutter="0"/>
          <w:cols w:space="720" w:num="1"/>
        </w:sectPr>
      </w:pPr>
    </w:p>
    <w:p w14:paraId="7E6F74B8">
      <w:pPr>
        <w:pStyle w:val="2"/>
        <w:spacing w:line="275" w:lineRule="auto"/>
      </w:pPr>
    </w:p>
    <w:p w14:paraId="0CE4EBEB">
      <w:pPr>
        <w:pStyle w:val="2"/>
        <w:spacing w:line="275" w:lineRule="auto"/>
      </w:pPr>
    </w:p>
    <w:p w14:paraId="5C1F2016">
      <w:pPr>
        <w:pStyle w:val="2"/>
        <w:spacing w:line="275" w:lineRule="auto"/>
      </w:pPr>
    </w:p>
    <w:p w14:paraId="0562FAFB">
      <w:pPr>
        <w:pStyle w:val="2"/>
        <w:spacing w:line="275" w:lineRule="auto"/>
      </w:pPr>
    </w:p>
    <w:p w14:paraId="1A294015">
      <w:pPr>
        <w:spacing w:before="69" w:line="344" w:lineRule="auto"/>
        <w:ind w:left="25" w:right="3"/>
        <w:jc w:val="both"/>
        <w:rPr>
          <w:rFonts w:ascii="宋体" w:hAnsi="宋体" w:eastAsia="宋体" w:cs="宋体"/>
          <w:sz w:val="21"/>
          <w:szCs w:val="21"/>
        </w:rPr>
      </w:pPr>
      <w:r>
        <w:rPr>
          <w:rFonts w:ascii="宋体" w:hAnsi="宋体" w:eastAsia="宋体" w:cs="宋体"/>
          <w:spacing w:val="-2"/>
          <w:sz w:val="21"/>
          <w:szCs w:val="21"/>
        </w:rPr>
        <w:t>泥土或水、弃渣等</w:t>
      </w:r>
      <w:r>
        <w:rPr>
          <w:rFonts w:ascii="Times New Roman" w:hAnsi="Times New Roman" w:eastAsia="Times New Roman" w:cs="Times New Roman"/>
          <w:spacing w:val="-2"/>
          <w:sz w:val="21"/>
          <w:szCs w:val="21"/>
        </w:rPr>
        <w:t>)</w:t>
      </w:r>
      <w:r>
        <w:rPr>
          <w:rFonts w:ascii="宋体" w:hAnsi="宋体" w:eastAsia="宋体" w:cs="宋体"/>
          <w:spacing w:val="-2"/>
          <w:sz w:val="21"/>
          <w:szCs w:val="21"/>
        </w:rPr>
        <w:t>污染施工场地</w:t>
      </w:r>
      <w:r>
        <w:rPr>
          <w:rFonts w:ascii="Times New Roman" w:hAnsi="Times New Roman" w:eastAsia="Times New Roman" w:cs="Times New Roman"/>
          <w:spacing w:val="-2"/>
          <w:sz w:val="21"/>
          <w:szCs w:val="21"/>
        </w:rPr>
        <w:t>(</w:t>
      </w:r>
      <w:r>
        <w:rPr>
          <w:rFonts w:ascii="宋体" w:hAnsi="宋体" w:eastAsia="宋体" w:cs="宋体"/>
          <w:spacing w:val="-2"/>
          <w:sz w:val="21"/>
          <w:szCs w:val="21"/>
        </w:rPr>
        <w:t>现场</w:t>
      </w:r>
      <w:r>
        <w:rPr>
          <w:rFonts w:ascii="Times New Roman" w:hAnsi="Times New Roman" w:eastAsia="Times New Roman" w:cs="Times New Roman"/>
          <w:spacing w:val="-2"/>
          <w:sz w:val="21"/>
          <w:szCs w:val="21"/>
        </w:rPr>
        <w:t>)</w:t>
      </w:r>
      <w:r>
        <w:rPr>
          <w:rFonts w:ascii="宋体" w:hAnsi="宋体" w:eastAsia="宋体" w:cs="宋体"/>
          <w:spacing w:val="-2"/>
          <w:sz w:val="21"/>
          <w:szCs w:val="21"/>
        </w:rPr>
        <w:t>及其周边环境。承包人施工工序、工作时间安排和施</w:t>
      </w:r>
      <w:r>
        <w:rPr>
          <w:rFonts w:ascii="宋体" w:hAnsi="宋体" w:eastAsia="宋体" w:cs="宋体"/>
          <w:spacing w:val="2"/>
          <w:sz w:val="21"/>
          <w:szCs w:val="21"/>
        </w:rPr>
        <w:t>工设备的配置应当充分考虑降低噪声和照明</w:t>
      </w:r>
      <w:r>
        <w:rPr>
          <w:rFonts w:ascii="宋体" w:hAnsi="宋体" w:eastAsia="宋体" w:cs="宋体"/>
          <w:spacing w:val="1"/>
          <w:sz w:val="21"/>
          <w:szCs w:val="21"/>
        </w:rPr>
        <w:t xml:space="preserve">等对施工场地 </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周边生产和生活的影响，</w:t>
      </w:r>
      <w:r>
        <w:rPr>
          <w:rFonts w:ascii="宋体" w:hAnsi="宋体" w:eastAsia="宋体" w:cs="宋体"/>
          <w:spacing w:val="-2"/>
          <w:sz w:val="21"/>
          <w:szCs w:val="21"/>
        </w:rPr>
        <w:t>并满足国家和地方政府有关规定的要求。</w:t>
      </w:r>
    </w:p>
    <w:p w14:paraId="3C99871F">
      <w:pPr>
        <w:spacing w:before="27" w:line="234" w:lineRule="auto"/>
        <w:ind w:left="445"/>
        <w:rPr>
          <w:rFonts w:ascii="宋体" w:hAnsi="宋体" w:eastAsia="宋体" w:cs="宋体"/>
          <w:sz w:val="21"/>
          <w:szCs w:val="21"/>
        </w:rPr>
      </w:pPr>
      <w:r>
        <w:rPr>
          <w:rFonts w:ascii="Times New Roman" w:hAnsi="Times New Roman" w:eastAsia="Times New Roman" w:cs="Times New Roman"/>
          <w:spacing w:val="-1"/>
          <w:sz w:val="21"/>
          <w:szCs w:val="21"/>
        </w:rPr>
        <w:t xml:space="preserve">6.8.9        </w:t>
      </w:r>
      <w:r>
        <w:rPr>
          <w:rFonts w:ascii="宋体" w:hAnsi="宋体" w:eastAsia="宋体" w:cs="宋体"/>
          <w:spacing w:val="-1"/>
          <w:sz w:val="21"/>
          <w:szCs w:val="21"/>
        </w:rPr>
        <w:t>环境保护方面的其</w:t>
      </w:r>
      <w:r>
        <w:rPr>
          <w:rFonts w:ascii="宋体" w:hAnsi="宋体" w:eastAsia="宋体" w:cs="宋体"/>
          <w:spacing w:val="-2"/>
          <w:sz w:val="21"/>
          <w:szCs w:val="21"/>
        </w:rPr>
        <w:t>他要求如下：</w:t>
      </w:r>
    </w:p>
    <w:p w14:paraId="394B5E4D">
      <w:pPr>
        <w:pStyle w:val="2"/>
        <w:spacing w:line="275" w:lineRule="auto"/>
      </w:pPr>
    </w:p>
    <w:p w14:paraId="519F3178">
      <w:pPr>
        <w:pStyle w:val="2"/>
        <w:spacing w:line="275" w:lineRule="auto"/>
      </w:pPr>
      <w:r>
        <w:pict>
          <v:shape id="_x0000_s1250" o:spid="_x0000_s1250" style="position:absolute;left:0pt;margin-left:27.05pt;margin-top:8.15pt;height:0.75pt;width:352.25pt;z-index:251891712;mso-width-relative:page;mso-height-relative:page;" fillcolor="#000000" filled="t" stroked="f" coordsize="7045,15" path="m0,15l7044,15,7044,0,0,0,0,15xe">
            <v:path/>
            <v:fill on="t" focussize="0,0"/>
            <v:stroke on="f"/>
            <v:imagedata o:title=""/>
            <o:lock v:ext="edit"/>
          </v:shape>
        </w:pict>
      </w:r>
    </w:p>
    <w:p w14:paraId="74C24083">
      <w:pPr>
        <w:pStyle w:val="2"/>
        <w:spacing w:line="275" w:lineRule="auto"/>
      </w:pPr>
    </w:p>
    <w:p w14:paraId="329E1774">
      <w:pPr>
        <w:pStyle w:val="2"/>
        <w:spacing w:line="275" w:lineRule="auto"/>
      </w:pPr>
      <w:r>
        <w:pict>
          <v:shape id="_x0000_s1251" o:spid="_x0000_s1251" style="position:absolute;left:0pt;margin-left:21.8pt;margin-top:0.75pt;height:0.75pt;width:352.25pt;z-index:251890688;mso-width-relative:page;mso-height-relative:page;" fillcolor="#000000" filled="t" stroked="f" coordsize="7045,15" path="m0,15l7044,15,7044,0,0,0,0,15xe">
            <v:path/>
            <v:fill on="t" focussize="0,0"/>
            <v:stroke on="f"/>
            <v:imagedata o:title=""/>
            <o:lock v:ext="edit"/>
          </v:shape>
        </w:pict>
      </w:r>
    </w:p>
    <w:p w14:paraId="0611AD53">
      <w:pPr>
        <w:spacing w:before="68" w:line="106" w:lineRule="exact"/>
        <w:ind w:left="7509"/>
        <w:rPr>
          <w:rFonts w:ascii="宋体" w:hAnsi="宋体" w:eastAsia="宋体" w:cs="宋体"/>
          <w:sz w:val="21"/>
          <w:szCs w:val="21"/>
        </w:rPr>
      </w:pPr>
      <w:r>
        <w:pict>
          <v:shape id="_x0000_s1252" o:spid="_x0000_s1252" style="position:absolute;left:0pt;margin-left:21.8pt;margin-top:7.15pt;height:0.75pt;width:352.25pt;z-index:251892736;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0341FCCF">
      <w:pPr>
        <w:pStyle w:val="2"/>
        <w:spacing w:line="366" w:lineRule="auto"/>
      </w:pPr>
    </w:p>
    <w:p w14:paraId="77A4D238">
      <w:pPr>
        <w:spacing w:before="91" w:line="238" w:lineRule="auto"/>
        <w:ind w:left="28"/>
        <w:outlineLvl w:val="3"/>
        <w:rPr>
          <w:rFonts w:ascii="黑体" w:hAnsi="黑体" w:eastAsia="黑体" w:cs="黑体"/>
          <w:sz w:val="28"/>
          <w:szCs w:val="28"/>
        </w:rPr>
      </w:pPr>
      <w:r>
        <w:rPr>
          <w:rFonts w:ascii="Times New Roman" w:hAnsi="Times New Roman" w:eastAsia="Times New Roman" w:cs="Times New Roman"/>
          <w:spacing w:val="3"/>
          <w:sz w:val="28"/>
          <w:szCs w:val="28"/>
        </w:rPr>
        <w:t xml:space="preserve">6.9  </w:t>
      </w:r>
      <w:r>
        <w:rPr>
          <w:rFonts w:ascii="黑体" w:hAnsi="黑体" w:eastAsia="黑体" w:cs="黑体"/>
          <w:spacing w:val="3"/>
          <w:sz w:val="28"/>
          <w:szCs w:val="28"/>
        </w:rPr>
        <w:t>施工环保措施计划</w:t>
      </w:r>
    </w:p>
    <w:p w14:paraId="5A96AD78">
      <w:pPr>
        <w:pStyle w:val="2"/>
        <w:spacing w:line="458" w:lineRule="auto"/>
      </w:pPr>
    </w:p>
    <w:p w14:paraId="1478553E">
      <w:pPr>
        <w:spacing w:before="68" w:line="348" w:lineRule="auto"/>
        <w:ind w:left="23" w:firstLine="422"/>
        <w:rPr>
          <w:rFonts w:ascii="宋体" w:hAnsi="宋体" w:eastAsia="宋体" w:cs="宋体"/>
          <w:sz w:val="21"/>
          <w:szCs w:val="21"/>
        </w:rPr>
      </w:pPr>
      <w:r>
        <w:rPr>
          <w:rFonts w:ascii="Times New Roman" w:hAnsi="Times New Roman" w:eastAsia="Times New Roman" w:cs="Times New Roman"/>
          <w:sz w:val="21"/>
          <w:szCs w:val="21"/>
        </w:rPr>
        <w:t xml:space="preserve">6.9.1        </w:t>
      </w:r>
      <w:r>
        <w:rPr>
          <w:rFonts w:ascii="宋体" w:hAnsi="宋体" w:eastAsia="宋体" w:cs="宋体"/>
          <w:sz w:val="21"/>
          <w:szCs w:val="21"/>
        </w:rPr>
        <w:t>通用合同条款第</w:t>
      </w:r>
      <w:r>
        <w:rPr>
          <w:rFonts w:ascii="宋体" w:hAnsi="宋体" w:eastAsia="宋体" w:cs="宋体"/>
          <w:spacing w:val="-38"/>
          <w:sz w:val="21"/>
          <w:szCs w:val="21"/>
        </w:rPr>
        <w:t xml:space="preserve"> </w:t>
      </w:r>
      <w:r>
        <w:rPr>
          <w:rFonts w:ascii="Times New Roman" w:hAnsi="Times New Roman" w:eastAsia="Times New Roman" w:cs="Times New Roman"/>
          <w:sz w:val="21"/>
          <w:szCs w:val="21"/>
        </w:rPr>
        <w:t>9.4.2</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项约定的施工环保措施计划是承包人阐明环保方针和拟</w:t>
      </w:r>
      <w:r>
        <w:rPr>
          <w:rFonts w:ascii="宋体" w:hAnsi="宋体" w:eastAsia="宋体" w:cs="宋体"/>
          <w:spacing w:val="-2"/>
          <w:sz w:val="21"/>
          <w:szCs w:val="21"/>
        </w:rPr>
        <w:t>采用的环保措施及方法等的文件，其内容应包括但不限于：</w:t>
      </w:r>
    </w:p>
    <w:p w14:paraId="0C5BA3ED">
      <w:pPr>
        <w:spacing w:before="4"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(1)</w:t>
      </w:r>
      <w:r>
        <w:rPr>
          <w:rFonts w:ascii="宋体" w:hAnsi="宋体" w:eastAsia="宋体" w:cs="宋体"/>
          <w:spacing w:val="-1"/>
          <w:sz w:val="21"/>
          <w:szCs w:val="21"/>
        </w:rPr>
        <w:t>承包人生活区</w:t>
      </w:r>
      <w:r>
        <w:rPr>
          <w:rFonts w:ascii="Times New Roman" w:hAnsi="Times New Roman" w:eastAsia="Times New Roman" w:cs="Times New Roman"/>
          <w:spacing w:val="-1"/>
          <w:sz w:val="21"/>
          <w:szCs w:val="21"/>
        </w:rPr>
        <w:t>(</w:t>
      </w:r>
      <w:r>
        <w:rPr>
          <w:rFonts w:ascii="宋体" w:hAnsi="宋体" w:eastAsia="宋体" w:cs="宋体"/>
          <w:spacing w:val="-1"/>
          <w:sz w:val="21"/>
          <w:szCs w:val="21"/>
        </w:rPr>
        <w:t>如果有</w:t>
      </w:r>
      <w:r>
        <w:rPr>
          <w:rFonts w:ascii="Times New Roman" w:hAnsi="Times New Roman" w:eastAsia="Times New Roman" w:cs="Times New Roman"/>
          <w:spacing w:val="-1"/>
          <w:sz w:val="21"/>
          <w:szCs w:val="21"/>
        </w:rPr>
        <w:t>)</w:t>
      </w:r>
      <w:r>
        <w:rPr>
          <w:rFonts w:ascii="宋体" w:hAnsi="宋体" w:eastAsia="宋体" w:cs="宋体"/>
          <w:spacing w:val="-1"/>
          <w:sz w:val="21"/>
          <w:szCs w:val="21"/>
        </w:rPr>
        <w:t>的生活用水和生活污水处理措施；</w:t>
      </w:r>
    </w:p>
    <w:p w14:paraId="23A064D3">
      <w:pPr>
        <w:spacing w:before="16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施工生产废水处理措施；</w:t>
      </w:r>
    </w:p>
    <w:p w14:paraId="5037E77B">
      <w:pPr>
        <w:spacing w:before="162"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(3)</w:t>
      </w:r>
      <w:r>
        <w:rPr>
          <w:rFonts w:ascii="宋体" w:hAnsi="宋体" w:eastAsia="宋体" w:cs="宋体"/>
          <w:spacing w:val="-3"/>
          <w:sz w:val="21"/>
          <w:szCs w:val="21"/>
        </w:rPr>
        <w:t>施工扬尘和废气的处理措施；</w:t>
      </w:r>
    </w:p>
    <w:p w14:paraId="43113291">
      <w:pPr>
        <w:spacing w:before="148"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施工噪声和光污染控制措施；</w:t>
      </w:r>
    </w:p>
    <w:p w14:paraId="3EEDF082">
      <w:pPr>
        <w:spacing w:before="164"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(5)</w:t>
      </w:r>
      <w:r>
        <w:rPr>
          <w:rFonts w:ascii="宋体" w:hAnsi="宋体" w:eastAsia="宋体" w:cs="宋体"/>
          <w:spacing w:val="-4"/>
          <w:sz w:val="21"/>
          <w:szCs w:val="21"/>
        </w:rPr>
        <w:t>节能减排措施；</w:t>
      </w:r>
    </w:p>
    <w:p w14:paraId="66AE70F5">
      <w:pPr>
        <w:spacing w:before="16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(6)</w:t>
      </w:r>
      <w:r>
        <w:rPr>
          <w:rFonts w:ascii="宋体" w:hAnsi="宋体" w:eastAsia="宋体" w:cs="宋体"/>
          <w:spacing w:val="-3"/>
          <w:sz w:val="21"/>
          <w:szCs w:val="21"/>
        </w:rPr>
        <w:t>不可再生资源循环利用措施；</w:t>
      </w:r>
    </w:p>
    <w:p w14:paraId="4803C9AB">
      <w:pPr>
        <w:spacing w:before="148"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(7)</w:t>
      </w:r>
      <w:r>
        <w:rPr>
          <w:rFonts w:ascii="宋体" w:hAnsi="宋体" w:eastAsia="宋体" w:cs="宋体"/>
          <w:spacing w:val="-4"/>
          <w:sz w:val="21"/>
          <w:szCs w:val="21"/>
        </w:rPr>
        <w:t>固体废弃物处理措施；</w:t>
      </w:r>
    </w:p>
    <w:p w14:paraId="46E4F6F4">
      <w:pPr>
        <w:spacing w:before="16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(8)</w:t>
      </w:r>
      <w:r>
        <w:rPr>
          <w:rFonts w:ascii="宋体" w:hAnsi="宋体" w:eastAsia="宋体" w:cs="宋体"/>
          <w:spacing w:val="-3"/>
          <w:sz w:val="21"/>
          <w:szCs w:val="21"/>
        </w:rPr>
        <w:t>人群健康保护和卫生防疫措施；</w:t>
      </w:r>
    </w:p>
    <w:p w14:paraId="31F405E0">
      <w:pPr>
        <w:spacing w:before="16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(9)</w:t>
      </w:r>
      <w:r>
        <w:rPr>
          <w:rFonts w:ascii="宋体" w:hAnsi="宋体" w:eastAsia="宋体" w:cs="宋体"/>
          <w:spacing w:val="-3"/>
          <w:sz w:val="21"/>
          <w:szCs w:val="21"/>
        </w:rPr>
        <w:t>防止误用有害材料的保证措施；</w:t>
      </w:r>
    </w:p>
    <w:p w14:paraId="53DA5131">
      <w:pPr>
        <w:spacing w:before="148"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(10)</w:t>
      </w:r>
      <w:r>
        <w:rPr>
          <w:rFonts w:ascii="宋体" w:hAnsi="宋体" w:eastAsia="宋体" w:cs="宋体"/>
          <w:spacing w:val="-2"/>
          <w:sz w:val="21"/>
          <w:szCs w:val="21"/>
        </w:rPr>
        <w:t>施工边坡工程的水土流失保护措施；</w:t>
      </w:r>
    </w:p>
    <w:p w14:paraId="20A1CF2D">
      <w:pPr>
        <w:spacing w:before="163" w:line="213" w:lineRule="auto"/>
        <w:ind w:left="445"/>
        <w:rPr>
          <w:rFonts w:ascii="宋体" w:hAnsi="宋体" w:eastAsia="宋体" w:cs="宋体"/>
          <w:sz w:val="21"/>
          <w:szCs w:val="21"/>
        </w:rPr>
      </w:pPr>
      <w:r>
        <w:rPr>
          <w:rFonts w:ascii="Times New Roman" w:hAnsi="Times New Roman" w:eastAsia="Times New Roman" w:cs="Times New Roman"/>
          <w:spacing w:val="-5"/>
          <w:sz w:val="21"/>
          <w:szCs w:val="21"/>
        </w:rPr>
        <w:t>(11)</w:t>
      </w:r>
      <w:r>
        <w:rPr>
          <w:rFonts w:ascii="宋体" w:hAnsi="宋体" w:eastAsia="宋体" w:cs="宋体"/>
          <w:spacing w:val="-5"/>
          <w:sz w:val="21"/>
          <w:szCs w:val="21"/>
        </w:rPr>
        <w:t>道路污染防治措施；</w:t>
      </w:r>
    </w:p>
    <w:p w14:paraId="66FBE1FD">
      <w:pPr>
        <w:spacing w:before="163"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(12)</w:t>
      </w:r>
      <w:r>
        <w:rPr>
          <w:rFonts w:ascii="宋体" w:hAnsi="宋体" w:eastAsia="宋体" w:cs="宋体"/>
          <w:spacing w:val="-1"/>
          <w:sz w:val="21"/>
          <w:szCs w:val="21"/>
        </w:rPr>
        <w:t>完工后场地清理及其植被</w:t>
      </w:r>
      <w:r>
        <w:rPr>
          <w:rFonts w:ascii="Times New Roman" w:hAnsi="Times New Roman" w:eastAsia="Times New Roman" w:cs="Times New Roman"/>
          <w:spacing w:val="-1"/>
          <w:sz w:val="21"/>
          <w:szCs w:val="21"/>
        </w:rPr>
        <w:t>(</w:t>
      </w:r>
      <w:r>
        <w:rPr>
          <w:rFonts w:ascii="宋体" w:hAnsi="宋体" w:eastAsia="宋体" w:cs="宋体"/>
          <w:spacing w:val="-1"/>
          <w:sz w:val="21"/>
          <w:szCs w:val="21"/>
        </w:rPr>
        <w:t>如果有</w:t>
      </w:r>
      <w:r>
        <w:rPr>
          <w:rFonts w:ascii="Times New Roman" w:hAnsi="Times New Roman" w:eastAsia="Times New Roman" w:cs="Times New Roman"/>
          <w:spacing w:val="-1"/>
          <w:sz w:val="21"/>
          <w:szCs w:val="21"/>
        </w:rPr>
        <w:t>)</w:t>
      </w:r>
      <w:r>
        <w:rPr>
          <w:rFonts w:ascii="宋体" w:hAnsi="宋体" w:eastAsia="宋体" w:cs="宋体"/>
          <w:spacing w:val="-1"/>
          <w:sz w:val="21"/>
          <w:szCs w:val="21"/>
        </w:rPr>
        <w:t>恢复的规划和措施；</w:t>
      </w:r>
    </w:p>
    <w:p w14:paraId="7A39B908">
      <w:pPr>
        <w:spacing w:before="148"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(13)</w:t>
      </w:r>
      <w:r>
        <w:rPr>
          <w:rFonts w:ascii="宋体" w:hAnsi="宋体" w:eastAsia="宋体" w:cs="宋体"/>
          <w:spacing w:val="1"/>
          <w:sz w:val="21"/>
          <w:szCs w:val="21"/>
        </w:rPr>
        <w:t>其他：</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z w:val="21"/>
          <w:szCs w:val="21"/>
        </w:rPr>
        <w:t>。</w:t>
      </w:r>
    </w:p>
    <w:p w14:paraId="004B7DB9">
      <w:pPr>
        <w:spacing w:before="163" w:line="349" w:lineRule="auto"/>
        <w:ind w:left="23" w:right="3" w:firstLine="422"/>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6.9.2        </w:t>
      </w:r>
      <w:r>
        <w:rPr>
          <w:rFonts w:ascii="宋体" w:hAnsi="宋体" w:eastAsia="宋体" w:cs="宋体"/>
          <w:spacing w:val="-1"/>
          <w:sz w:val="21"/>
          <w:szCs w:val="21"/>
        </w:rPr>
        <w:t>施工环保措施计划应当在专用合同条款第</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9.4</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款约定的期限内报送监理人</w:t>
      </w:r>
      <w:r>
        <w:rPr>
          <w:rFonts w:ascii="宋体" w:hAnsi="宋体" w:eastAsia="宋体" w:cs="宋体"/>
          <w:spacing w:val="-2"/>
          <w:sz w:val="21"/>
          <w:szCs w:val="21"/>
        </w:rPr>
        <w:t>。承包人应当严格执行经监理人批准的施工环保措施计划，并及时补充、修订和完善施工环保措</w:t>
      </w:r>
      <w:r>
        <w:rPr>
          <w:rFonts w:ascii="宋体" w:hAnsi="宋体" w:eastAsia="宋体" w:cs="宋体"/>
          <w:spacing w:val="-7"/>
          <w:sz w:val="21"/>
          <w:szCs w:val="21"/>
        </w:rPr>
        <w:t>施计划。</w:t>
      </w:r>
    </w:p>
    <w:p w14:paraId="2A77FB2F">
      <w:pPr>
        <w:spacing w:before="305" w:line="237" w:lineRule="auto"/>
        <w:ind w:left="26"/>
        <w:outlineLvl w:val="2"/>
        <w:rPr>
          <w:rFonts w:ascii="黑体" w:hAnsi="黑体" w:eastAsia="黑体" w:cs="黑体"/>
          <w:sz w:val="28"/>
          <w:szCs w:val="28"/>
        </w:rPr>
      </w:pPr>
      <w:bookmarkStart w:id="600" w:name="bookmark553"/>
      <w:bookmarkEnd w:id="600"/>
      <w:r>
        <w:rPr>
          <w:rFonts w:ascii="Times New Roman" w:hAnsi="Times New Roman" w:eastAsia="Times New Roman" w:cs="Times New Roman"/>
          <w:spacing w:val="6"/>
          <w:sz w:val="28"/>
          <w:szCs w:val="28"/>
        </w:rPr>
        <w:t>7.</w:t>
      </w:r>
      <w:r>
        <w:rPr>
          <w:rFonts w:ascii="黑体" w:hAnsi="黑体" w:eastAsia="黑体" w:cs="黑体"/>
          <w:spacing w:val="6"/>
          <w:sz w:val="28"/>
          <w:szCs w:val="28"/>
        </w:rPr>
        <w:t>治安保卫</w:t>
      </w:r>
    </w:p>
    <w:p w14:paraId="7A4B6E95">
      <w:pPr>
        <w:pStyle w:val="2"/>
        <w:spacing w:line="417" w:lineRule="auto"/>
      </w:pPr>
    </w:p>
    <w:p w14:paraId="6ED9AADC">
      <w:pPr>
        <w:spacing w:before="69" w:line="354" w:lineRule="auto"/>
        <w:ind w:left="25" w:firstLine="418"/>
        <w:jc w:val="both"/>
        <w:rPr>
          <w:rFonts w:ascii="宋体" w:hAnsi="宋体" w:eastAsia="宋体" w:cs="宋体"/>
          <w:sz w:val="21"/>
          <w:szCs w:val="21"/>
        </w:rPr>
      </w:pPr>
      <w:r>
        <w:rPr>
          <w:rFonts w:ascii="Times New Roman" w:hAnsi="Times New Roman" w:eastAsia="Times New Roman" w:cs="Times New Roman"/>
          <w:sz w:val="21"/>
          <w:szCs w:val="21"/>
        </w:rPr>
        <w:t xml:space="preserve">7.1            </w:t>
      </w:r>
      <w:r>
        <w:rPr>
          <w:rFonts w:ascii="宋体" w:hAnsi="宋体" w:eastAsia="宋体" w:cs="宋体"/>
          <w:sz w:val="21"/>
          <w:szCs w:val="21"/>
        </w:rPr>
        <w:t>承包人应为施工场地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提供</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 xml:space="preserve">24  </w:t>
      </w:r>
      <w:r>
        <w:rPr>
          <w:rFonts w:ascii="宋体" w:hAnsi="宋体" w:eastAsia="宋体" w:cs="宋体"/>
          <w:spacing w:val="-1"/>
          <w:sz w:val="21"/>
          <w:szCs w:val="21"/>
        </w:rPr>
        <w:t>小时的保安保卫服务，配备足够的保安人</w:t>
      </w:r>
      <w:r>
        <w:rPr>
          <w:rFonts w:ascii="宋体" w:hAnsi="宋体" w:eastAsia="宋体" w:cs="宋体"/>
          <w:spacing w:val="-2"/>
          <w:sz w:val="21"/>
          <w:szCs w:val="21"/>
        </w:rPr>
        <w:t>员和保安设备，防止未经批准的任何人进入现场，控制人员、材料和设备等的进出场，防止</w:t>
      </w:r>
      <w:r>
        <w:rPr>
          <w:rFonts w:ascii="宋体" w:hAnsi="宋体" w:eastAsia="宋体" w:cs="宋体"/>
          <w:spacing w:val="-1"/>
          <w:sz w:val="21"/>
          <w:szCs w:val="21"/>
        </w:rPr>
        <w:t>现场材料、设备或其他任何物品的失窃，禁止任何现场内的打架斗殴事件。</w:t>
      </w:r>
    </w:p>
    <w:p w14:paraId="59C089A9">
      <w:pPr>
        <w:spacing w:line="354" w:lineRule="auto"/>
        <w:rPr>
          <w:rFonts w:ascii="宋体" w:hAnsi="宋体" w:eastAsia="宋体" w:cs="宋体"/>
          <w:sz w:val="21"/>
          <w:szCs w:val="21"/>
        </w:rPr>
        <w:sectPr>
          <w:headerReference r:id="rId280" w:type="default"/>
          <w:footerReference r:id="rId281" w:type="default"/>
          <w:pgSz w:w="11910" w:h="16845"/>
          <w:pgMar w:top="400" w:right="1766" w:bottom="1110" w:left="1786" w:header="0" w:footer="882" w:gutter="0"/>
          <w:cols w:space="720" w:num="1"/>
        </w:sectPr>
      </w:pPr>
    </w:p>
    <w:p w14:paraId="1F950370">
      <w:pPr>
        <w:pStyle w:val="2"/>
        <w:spacing w:line="275" w:lineRule="auto"/>
      </w:pPr>
    </w:p>
    <w:p w14:paraId="5C78B2D0">
      <w:pPr>
        <w:pStyle w:val="2"/>
        <w:spacing w:line="275" w:lineRule="auto"/>
      </w:pPr>
    </w:p>
    <w:p w14:paraId="6AE5CF1F">
      <w:pPr>
        <w:pStyle w:val="2"/>
        <w:spacing w:line="275" w:lineRule="auto"/>
      </w:pPr>
    </w:p>
    <w:p w14:paraId="4EBE20E0">
      <w:pPr>
        <w:pStyle w:val="2"/>
        <w:spacing w:line="275" w:lineRule="auto"/>
      </w:pPr>
    </w:p>
    <w:p w14:paraId="7DBE487C">
      <w:pPr>
        <w:spacing w:before="68" w:line="348" w:lineRule="auto"/>
        <w:ind w:left="30" w:right="68" w:firstLine="413"/>
        <w:rPr>
          <w:rFonts w:ascii="宋体" w:hAnsi="宋体" w:eastAsia="宋体" w:cs="宋体"/>
          <w:sz w:val="21"/>
          <w:szCs w:val="21"/>
        </w:rPr>
      </w:pPr>
      <w:r>
        <w:rPr>
          <w:rFonts w:ascii="Times New Roman" w:hAnsi="Times New Roman" w:eastAsia="Times New Roman" w:cs="Times New Roman"/>
          <w:spacing w:val="1"/>
          <w:sz w:val="21"/>
          <w:szCs w:val="21"/>
        </w:rPr>
        <w:t xml:space="preserve">7.2            </w:t>
      </w:r>
      <w:r>
        <w:rPr>
          <w:rFonts w:ascii="宋体" w:hAnsi="宋体" w:eastAsia="宋体" w:cs="宋体"/>
          <w:spacing w:val="1"/>
          <w:sz w:val="21"/>
          <w:szCs w:val="21"/>
        </w:rPr>
        <w:t>承包人的保安人员应是训练有素的专业保安人员，承包人可以雇佣专业保安</w:t>
      </w:r>
      <w:r>
        <w:rPr>
          <w:rFonts w:ascii="宋体" w:hAnsi="宋体" w:eastAsia="宋体" w:cs="宋体"/>
          <w:spacing w:val="-2"/>
          <w:sz w:val="21"/>
          <w:szCs w:val="21"/>
        </w:rPr>
        <w:t>公司负责现场保安和保卫；保安保卫制度除规范现场出入大门控制外，还</w:t>
      </w:r>
      <w:r>
        <w:rPr>
          <w:rFonts w:ascii="宋体" w:hAnsi="宋体" w:eastAsia="宋体" w:cs="宋体"/>
          <w:spacing w:val="-3"/>
          <w:sz w:val="21"/>
          <w:szCs w:val="21"/>
        </w:rPr>
        <w:t>应规定定时和不定</w:t>
      </w:r>
      <w:r>
        <w:rPr>
          <w:rFonts w:ascii="宋体" w:hAnsi="宋体" w:eastAsia="宋体" w:cs="宋体"/>
          <w:spacing w:val="-2"/>
          <w:sz w:val="21"/>
          <w:szCs w:val="21"/>
        </w:rPr>
        <w:t>时的施工场地</w:t>
      </w:r>
      <w:r>
        <w:rPr>
          <w:rFonts w:ascii="Times New Roman" w:hAnsi="Times New Roman" w:eastAsia="Times New Roman" w:cs="Times New Roman"/>
          <w:spacing w:val="-2"/>
          <w:sz w:val="21"/>
          <w:szCs w:val="21"/>
        </w:rPr>
        <w:t>(</w:t>
      </w:r>
      <w:r>
        <w:rPr>
          <w:rFonts w:ascii="宋体" w:hAnsi="宋体" w:eastAsia="宋体" w:cs="宋体"/>
          <w:spacing w:val="-2"/>
          <w:sz w:val="21"/>
          <w:szCs w:val="21"/>
        </w:rPr>
        <w:t>现场</w:t>
      </w:r>
      <w:r>
        <w:rPr>
          <w:rFonts w:ascii="Times New Roman" w:hAnsi="Times New Roman" w:eastAsia="Times New Roman" w:cs="Times New Roman"/>
          <w:spacing w:val="-2"/>
          <w:sz w:val="21"/>
          <w:szCs w:val="21"/>
        </w:rPr>
        <w:t>)</w:t>
      </w:r>
      <w:r>
        <w:rPr>
          <w:rFonts w:ascii="宋体" w:hAnsi="宋体" w:eastAsia="宋体" w:cs="宋体"/>
          <w:spacing w:val="-2"/>
          <w:sz w:val="21"/>
          <w:szCs w:val="21"/>
        </w:rPr>
        <w:t>周边和全现场的保安巡逻。</w:t>
      </w:r>
    </w:p>
    <w:p w14:paraId="537BEE1F">
      <w:pPr>
        <w:spacing w:before="14" w:line="348" w:lineRule="auto"/>
        <w:ind w:left="25" w:right="58"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7.3            </w:t>
      </w:r>
      <w:r>
        <w:rPr>
          <w:rFonts w:ascii="宋体" w:hAnsi="宋体" w:eastAsia="宋体" w:cs="宋体"/>
          <w:spacing w:val="-1"/>
          <w:sz w:val="21"/>
          <w:szCs w:val="21"/>
        </w:rPr>
        <w:t>承包人应制定并实施严格的施工场地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出入制度并报监理人审批</w:t>
      </w:r>
      <w:r>
        <w:rPr>
          <w:rFonts w:ascii="宋体" w:hAnsi="宋体" w:eastAsia="宋体" w:cs="宋体"/>
          <w:spacing w:val="-2"/>
          <w:sz w:val="21"/>
          <w:szCs w:val="21"/>
        </w:rPr>
        <w:t>；车辆的出入须有出入审批制度，并有指定的专人负责管理；人员进出现场应有出入证，出入</w:t>
      </w:r>
      <w:r>
        <w:rPr>
          <w:rFonts w:ascii="宋体" w:hAnsi="宋体" w:eastAsia="宋体" w:cs="宋体"/>
          <w:spacing w:val="-3"/>
          <w:sz w:val="21"/>
          <w:szCs w:val="21"/>
        </w:rPr>
        <w:t>证须以经过监理人批准的格式印制。</w:t>
      </w:r>
    </w:p>
    <w:p w14:paraId="6A9A2374">
      <w:pPr>
        <w:spacing w:before="13" w:line="351" w:lineRule="auto"/>
        <w:ind w:left="25" w:right="68"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7.4            </w:t>
      </w:r>
      <w:r>
        <w:rPr>
          <w:rFonts w:ascii="宋体" w:hAnsi="宋体" w:eastAsia="宋体" w:cs="宋体"/>
          <w:spacing w:val="1"/>
          <w:sz w:val="21"/>
          <w:szCs w:val="21"/>
        </w:rPr>
        <w:t>承包人应确保任何未经监理人同意的参观人员进入现场；承包人应准备足够</w:t>
      </w:r>
      <w:r>
        <w:rPr>
          <w:rFonts w:ascii="宋体" w:hAnsi="宋体" w:eastAsia="宋体" w:cs="宋体"/>
          <w:spacing w:val="-2"/>
          <w:sz w:val="21"/>
          <w:szCs w:val="21"/>
        </w:rPr>
        <w:t>数量的专门用于参观人员的安全帽并带明显标志，承包人同时应准备一个</w:t>
      </w:r>
      <w:r>
        <w:rPr>
          <w:rFonts w:ascii="宋体" w:hAnsi="宋体" w:eastAsia="宋体" w:cs="宋体"/>
          <w:spacing w:val="-3"/>
          <w:sz w:val="21"/>
          <w:szCs w:val="21"/>
        </w:rPr>
        <w:t>参观人员登记簿用</w:t>
      </w:r>
      <w:r>
        <w:rPr>
          <w:rFonts w:ascii="宋体" w:hAnsi="宋体" w:eastAsia="宋体" w:cs="宋体"/>
          <w:spacing w:val="-4"/>
          <w:sz w:val="21"/>
          <w:szCs w:val="21"/>
        </w:rPr>
        <w:t>于记录所有参观现场人员的姓名、参观目的和参观时间等内容；</w:t>
      </w:r>
      <w:r>
        <w:rPr>
          <w:rFonts w:ascii="宋体" w:hAnsi="宋体" w:eastAsia="宋体" w:cs="宋体"/>
          <w:spacing w:val="-28"/>
          <w:sz w:val="21"/>
          <w:szCs w:val="21"/>
        </w:rPr>
        <w:t xml:space="preserve"> </w:t>
      </w:r>
      <w:r>
        <w:rPr>
          <w:rFonts w:ascii="宋体" w:hAnsi="宋体" w:eastAsia="宋体" w:cs="宋体"/>
          <w:spacing w:val="-4"/>
          <w:sz w:val="21"/>
          <w:szCs w:val="21"/>
        </w:rPr>
        <w:t>承包人应确保每个参观现场</w:t>
      </w:r>
      <w:r>
        <w:rPr>
          <w:rFonts w:ascii="宋体" w:hAnsi="宋体" w:eastAsia="宋体" w:cs="宋体"/>
          <w:spacing w:val="-2"/>
          <w:sz w:val="21"/>
          <w:szCs w:val="21"/>
        </w:rPr>
        <w:t>的人员了解和遵守现场的安全管理规章制度，佩带安全帽，确保所有经发包人和监理</w:t>
      </w:r>
      <w:r>
        <w:rPr>
          <w:rFonts w:ascii="宋体" w:hAnsi="宋体" w:eastAsia="宋体" w:cs="宋体"/>
          <w:spacing w:val="-3"/>
          <w:sz w:val="21"/>
          <w:szCs w:val="21"/>
        </w:rPr>
        <w:t>人批准的参观人员的人身安全。</w:t>
      </w:r>
    </w:p>
    <w:p w14:paraId="47055BAD">
      <w:pPr>
        <w:spacing w:before="2" w:line="351" w:lineRule="auto"/>
        <w:ind w:left="23" w:right="7" w:firstLine="420"/>
        <w:rPr>
          <w:rFonts w:ascii="宋体" w:hAnsi="宋体" w:eastAsia="宋体" w:cs="宋体"/>
          <w:sz w:val="21"/>
          <w:szCs w:val="21"/>
        </w:rPr>
      </w:pPr>
      <w:r>
        <w:rPr>
          <w:rFonts w:ascii="Times New Roman" w:hAnsi="Times New Roman" w:eastAsia="Times New Roman" w:cs="Times New Roman"/>
          <w:spacing w:val="3"/>
          <w:sz w:val="21"/>
          <w:szCs w:val="21"/>
        </w:rPr>
        <w:t xml:space="preserve">7.5            </w:t>
      </w:r>
      <w:r>
        <w:rPr>
          <w:rFonts w:ascii="宋体" w:hAnsi="宋体" w:eastAsia="宋体" w:cs="宋体"/>
          <w:spacing w:val="3"/>
          <w:sz w:val="21"/>
          <w:szCs w:val="21"/>
        </w:rPr>
        <w:t>承包人应为施工场地</w:t>
      </w:r>
      <w:r>
        <w:rPr>
          <w:rFonts w:ascii="Times New Roman" w:hAnsi="Times New Roman" w:eastAsia="Times New Roman" w:cs="Times New Roman"/>
          <w:spacing w:val="3"/>
          <w:sz w:val="21"/>
          <w:szCs w:val="21"/>
        </w:rPr>
        <w:t>(</w:t>
      </w:r>
      <w:r>
        <w:rPr>
          <w:rFonts w:ascii="宋体" w:hAnsi="宋体" w:eastAsia="宋体" w:cs="宋体"/>
          <w:spacing w:val="3"/>
          <w:sz w:val="21"/>
          <w:szCs w:val="21"/>
        </w:rPr>
        <w:t>现场</w:t>
      </w:r>
      <w:r>
        <w:rPr>
          <w:rFonts w:ascii="Times New Roman" w:hAnsi="Times New Roman" w:eastAsia="Times New Roman" w:cs="Times New Roman"/>
          <w:spacing w:val="2"/>
          <w:sz w:val="21"/>
          <w:szCs w:val="21"/>
        </w:rPr>
        <w:t>)</w:t>
      </w:r>
      <w:r>
        <w:rPr>
          <w:rFonts w:ascii="宋体" w:hAnsi="宋体" w:eastAsia="宋体" w:cs="宋体"/>
          <w:spacing w:val="2"/>
          <w:sz w:val="21"/>
          <w:szCs w:val="21"/>
        </w:rPr>
        <w:t>提供和维护符合建设行政主管部门和市容管理部</w:t>
      </w:r>
      <w:r>
        <w:rPr>
          <w:rFonts w:ascii="宋体" w:hAnsi="宋体" w:eastAsia="宋体" w:cs="宋体"/>
          <w:spacing w:val="-2"/>
          <w:sz w:val="21"/>
          <w:szCs w:val="21"/>
        </w:rPr>
        <w:t>门规定的临时围墙和其他安全维护，并在工程进度需要时，进行必要的改造。围墙和大门的</w:t>
      </w:r>
      <w:r>
        <w:rPr>
          <w:rFonts w:ascii="宋体" w:hAnsi="宋体" w:eastAsia="宋体" w:cs="宋体"/>
          <w:sz w:val="21"/>
          <w:szCs w:val="21"/>
        </w:rPr>
        <w:t>表面维护应考虑定期的修补和重新刷漆，并应</w:t>
      </w:r>
      <w:r>
        <w:rPr>
          <w:rFonts w:ascii="宋体" w:hAnsi="宋体" w:eastAsia="宋体" w:cs="宋体"/>
          <w:spacing w:val="-1"/>
          <w:sz w:val="21"/>
          <w:szCs w:val="21"/>
        </w:rPr>
        <w:t>保证所有的乱涂乱画或招贴广告随时被清理。临时围墙和出入大门考虑必要的照明，照明系统要满足现场安全保卫和美观的要求。</w:t>
      </w:r>
    </w:p>
    <w:p w14:paraId="6628E668">
      <w:pPr>
        <w:spacing w:before="5" w:line="352" w:lineRule="auto"/>
        <w:ind w:left="24" w:right="68" w:firstLine="420"/>
        <w:rPr>
          <w:rFonts w:ascii="宋体" w:hAnsi="宋体" w:eastAsia="宋体" w:cs="宋体"/>
          <w:sz w:val="21"/>
          <w:szCs w:val="21"/>
        </w:rPr>
      </w:pPr>
      <w:r>
        <w:rPr>
          <w:rFonts w:ascii="Times New Roman" w:hAnsi="Times New Roman" w:eastAsia="Times New Roman" w:cs="Times New Roman"/>
          <w:spacing w:val="1"/>
          <w:sz w:val="21"/>
          <w:szCs w:val="21"/>
        </w:rPr>
        <w:t xml:space="preserve">7.6            </w:t>
      </w:r>
      <w:r>
        <w:rPr>
          <w:rFonts w:ascii="宋体" w:hAnsi="宋体" w:eastAsia="宋体" w:cs="宋体"/>
          <w:spacing w:val="1"/>
          <w:sz w:val="21"/>
          <w:szCs w:val="21"/>
        </w:rPr>
        <w:t>承包人应当保证发包人支付的工程款项仅用于本合同</w:t>
      </w:r>
      <w:r>
        <w:rPr>
          <w:rFonts w:ascii="宋体" w:hAnsi="宋体" w:eastAsia="宋体" w:cs="宋体"/>
          <w:sz w:val="21"/>
          <w:szCs w:val="21"/>
        </w:rPr>
        <w:t>目的，及时和足额地向</w:t>
      </w:r>
      <w:r>
        <w:rPr>
          <w:rFonts w:ascii="宋体" w:hAnsi="宋体" w:eastAsia="宋体" w:cs="宋体"/>
          <w:spacing w:val="-2"/>
          <w:sz w:val="21"/>
          <w:szCs w:val="21"/>
        </w:rPr>
        <w:t>所雇佣的人员支付劳动报酬，并制定严格的工人工资支付保障措施，确保所有分包人及时支付所雇佣工人的工资，有效防止影响社会安定的群体事件发生，并保障发包人免于因承包人</w:t>
      </w:r>
      <w:r>
        <w:rPr>
          <w:rFonts w:ascii="Times New Roman" w:hAnsi="Times New Roman" w:eastAsia="Times New Roman" w:cs="Times New Roman"/>
          <w:sz w:val="21"/>
          <w:szCs w:val="21"/>
        </w:rPr>
        <w:t>(</w:t>
      </w:r>
      <w:r>
        <w:rPr>
          <w:rFonts w:ascii="宋体" w:hAnsi="宋体" w:eastAsia="宋体" w:cs="宋体"/>
          <w:sz w:val="21"/>
          <w:szCs w:val="21"/>
        </w:rPr>
        <w:t>包括其分包人</w:t>
      </w:r>
      <w:r>
        <w:rPr>
          <w:rFonts w:ascii="Times New Roman" w:hAnsi="Times New Roman" w:eastAsia="Times New Roman" w:cs="Times New Roman"/>
          <w:sz w:val="21"/>
          <w:szCs w:val="21"/>
        </w:rPr>
        <w:t>)</w:t>
      </w:r>
      <w:r>
        <w:rPr>
          <w:rFonts w:ascii="宋体" w:hAnsi="宋体" w:eastAsia="宋体" w:cs="宋体"/>
          <w:sz w:val="21"/>
          <w:szCs w:val="21"/>
        </w:rPr>
        <w:t>拖欠工人工资而可能遭受的</w:t>
      </w:r>
      <w:r>
        <w:rPr>
          <w:rFonts w:ascii="宋体" w:hAnsi="宋体" w:eastAsia="宋体" w:cs="宋体"/>
          <w:spacing w:val="-1"/>
          <w:sz w:val="21"/>
          <w:szCs w:val="21"/>
        </w:rPr>
        <w:t>任何处罚、索赔、损失和损害等。</w:t>
      </w:r>
    </w:p>
    <w:p w14:paraId="712DA5DA">
      <w:pPr>
        <w:spacing w:before="6" w:line="213" w:lineRule="auto"/>
        <w:ind w:left="444"/>
        <w:rPr>
          <w:rFonts w:ascii="宋体" w:hAnsi="宋体" w:eastAsia="宋体" w:cs="宋体"/>
          <w:sz w:val="21"/>
          <w:szCs w:val="21"/>
        </w:rPr>
      </w:pPr>
      <w:r>
        <w:rPr>
          <w:rFonts w:ascii="Times New Roman" w:hAnsi="Times New Roman" w:eastAsia="Times New Roman" w:cs="Times New Roman"/>
          <w:sz w:val="21"/>
          <w:szCs w:val="21"/>
        </w:rPr>
        <w:t xml:space="preserve">7.7            </w:t>
      </w:r>
      <w:r>
        <w:rPr>
          <w:rFonts w:ascii="宋体" w:hAnsi="宋体" w:eastAsia="宋体" w:cs="宋体"/>
          <w:sz w:val="21"/>
          <w:szCs w:val="21"/>
        </w:rPr>
        <w:t>施工场地</w:t>
      </w:r>
      <w:r>
        <w:rPr>
          <w:rFonts w:ascii="Times New Roman" w:hAnsi="Times New Roman" w:eastAsia="Times New Roman" w:cs="Times New Roman"/>
          <w:spacing w:val="-1"/>
          <w:sz w:val="21"/>
          <w:szCs w:val="21"/>
        </w:rPr>
        <w:t>(</w:t>
      </w:r>
      <w:r>
        <w:rPr>
          <w:rFonts w:ascii="宋体" w:hAnsi="宋体" w:eastAsia="宋体" w:cs="宋体"/>
          <w:spacing w:val="-1"/>
          <w:sz w:val="21"/>
          <w:szCs w:val="21"/>
        </w:rPr>
        <w:t>现场</w:t>
      </w:r>
      <w:r>
        <w:rPr>
          <w:rFonts w:ascii="Times New Roman" w:hAnsi="Times New Roman" w:eastAsia="Times New Roman" w:cs="Times New Roman"/>
          <w:spacing w:val="-1"/>
          <w:sz w:val="21"/>
          <w:szCs w:val="21"/>
        </w:rPr>
        <w:t>)</w:t>
      </w:r>
      <w:r>
        <w:rPr>
          <w:rFonts w:ascii="宋体" w:hAnsi="宋体" w:eastAsia="宋体" w:cs="宋体"/>
          <w:spacing w:val="-1"/>
          <w:sz w:val="21"/>
          <w:szCs w:val="21"/>
        </w:rPr>
        <w:t>治安管理计划的要求：</w:t>
      </w:r>
    </w:p>
    <w:p w14:paraId="33536A9B">
      <w:pPr>
        <w:spacing w:before="284" w:line="46" w:lineRule="exact"/>
        <w:jc w:val="right"/>
        <w:rPr>
          <w:rFonts w:ascii="宋体" w:hAnsi="宋体" w:eastAsia="宋体" w:cs="宋体"/>
          <w:sz w:val="21"/>
          <w:szCs w:val="21"/>
        </w:rPr>
      </w:pPr>
      <w:r>
        <w:pict>
          <v:shape id="_x0000_s1253" o:spid="_x0000_s1253" o:spt="202" type="#_x0000_t202" style="position:absolute;left:0pt;margin-left:20.8pt;margin-top:7.45pt;height:14.1pt;width:397pt;z-index:251893760;mso-width-relative:page;mso-height-relative:page;" filled="f" stroked="f" coordsize="21600,21600">
            <v:path/>
            <v:fill on="f" focussize="0,0"/>
            <v:stroke on="f"/>
            <v:imagedata o:title=""/>
            <o:lock v:ext="edit" aspectratio="f"/>
            <v:textbox inset="0mm,0mm,0mm,0mm">
              <w:txbxContent>
                <w:p w14:paraId="29E4A8BA">
                  <w:pPr>
                    <w:pStyle w:val="2"/>
                    <w:tabs>
                      <w:tab w:val="left" w:pos="7919"/>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53B862BE">
      <w:pPr>
        <w:spacing w:before="224" w:line="233" w:lineRule="auto"/>
        <w:ind w:left="444"/>
        <w:rPr>
          <w:rFonts w:ascii="宋体" w:hAnsi="宋体" w:eastAsia="宋体" w:cs="宋体"/>
          <w:sz w:val="21"/>
          <w:szCs w:val="21"/>
        </w:rPr>
      </w:pPr>
      <w:r>
        <w:rPr>
          <w:rFonts w:ascii="Times New Roman" w:hAnsi="Times New Roman" w:eastAsia="Times New Roman" w:cs="Times New Roman"/>
          <w:spacing w:val="-4"/>
          <w:sz w:val="21"/>
          <w:szCs w:val="21"/>
        </w:rPr>
        <w:t>7.8</w:t>
      </w:r>
      <w:r>
        <w:rPr>
          <w:rFonts w:ascii="Times New Roman" w:hAnsi="Times New Roman" w:eastAsia="Times New Roman" w:cs="Times New Roman"/>
          <w:spacing w:val="3"/>
          <w:sz w:val="21"/>
          <w:szCs w:val="21"/>
        </w:rPr>
        <w:t xml:space="preserve">            </w:t>
      </w:r>
      <w:r>
        <w:rPr>
          <w:rFonts w:ascii="宋体" w:hAnsi="宋体" w:eastAsia="宋体" w:cs="宋体"/>
          <w:spacing w:val="-4"/>
          <w:sz w:val="21"/>
          <w:szCs w:val="21"/>
        </w:rPr>
        <w:t>突发治安事件紧急预案的要求：</w:t>
      </w:r>
    </w:p>
    <w:p w14:paraId="3C7A8EFC">
      <w:pPr>
        <w:spacing w:before="276" w:line="45" w:lineRule="exact"/>
        <w:jc w:val="right"/>
        <w:rPr>
          <w:rFonts w:ascii="宋体" w:hAnsi="宋体" w:eastAsia="宋体" w:cs="宋体"/>
          <w:sz w:val="21"/>
          <w:szCs w:val="21"/>
        </w:rPr>
      </w:pPr>
      <w:r>
        <w:pict>
          <v:shape id="_x0000_s1254" o:spid="_x0000_s1254" o:spt="202" type="#_x0000_t202" style="position:absolute;left:0pt;margin-left:20.8pt;margin-top:7.05pt;height:14.1pt;width:397pt;z-index:251894784;mso-width-relative:page;mso-height-relative:page;" filled="f" stroked="f" coordsize="21600,21600">
            <v:path/>
            <v:fill on="f" focussize="0,0"/>
            <v:stroke on="f"/>
            <v:imagedata o:title=""/>
            <o:lock v:ext="edit" aspectratio="f"/>
            <v:textbox inset="0mm,0mm,0mm,0mm">
              <w:txbxContent>
                <w:p w14:paraId="2952A72C">
                  <w:pPr>
                    <w:pStyle w:val="2"/>
                    <w:tabs>
                      <w:tab w:val="left" w:pos="7919"/>
                    </w:tabs>
                    <w:spacing w:before="19"/>
                    <w:ind w:left="20"/>
                  </w:pPr>
                  <w:r>
                    <w:rPr>
                      <w:u w:val="single" w:color="auto"/>
                    </w:rPr>
                    <w:tab/>
                  </w:r>
                </w:p>
              </w:txbxContent>
            </v:textbox>
          </v:shape>
        </w:pict>
      </w:r>
      <w:r>
        <w:rPr>
          <w:rFonts w:ascii="宋体" w:hAnsi="宋体" w:eastAsia="宋体" w:cs="宋体"/>
          <w:spacing w:val="-56"/>
          <w:w w:val="98"/>
          <w:position w:val="-1"/>
          <w:sz w:val="21"/>
          <w:szCs w:val="21"/>
        </w:rPr>
        <w:t>。</w:t>
      </w:r>
    </w:p>
    <w:p w14:paraId="0194A9A4">
      <w:pPr>
        <w:spacing w:before="210" w:line="234" w:lineRule="auto"/>
        <w:ind w:left="444"/>
        <w:rPr>
          <w:rFonts w:ascii="宋体" w:hAnsi="宋体" w:eastAsia="宋体" w:cs="宋体"/>
          <w:sz w:val="21"/>
          <w:szCs w:val="21"/>
        </w:rPr>
      </w:pPr>
      <w:r>
        <w:rPr>
          <w:rFonts w:ascii="Times New Roman" w:hAnsi="Times New Roman" w:eastAsia="Times New Roman" w:cs="Times New Roman"/>
          <w:spacing w:val="-4"/>
          <w:sz w:val="21"/>
          <w:szCs w:val="21"/>
        </w:rPr>
        <w:t>7.9</w:t>
      </w:r>
      <w:r>
        <w:rPr>
          <w:rFonts w:ascii="Times New Roman" w:hAnsi="Times New Roman" w:eastAsia="Times New Roman" w:cs="Times New Roman"/>
          <w:spacing w:val="3"/>
          <w:sz w:val="21"/>
          <w:szCs w:val="21"/>
        </w:rPr>
        <w:t xml:space="preserve">            </w:t>
      </w:r>
      <w:r>
        <w:rPr>
          <w:rFonts w:ascii="宋体" w:hAnsi="宋体" w:eastAsia="宋体" w:cs="宋体"/>
          <w:spacing w:val="-4"/>
          <w:sz w:val="21"/>
          <w:szCs w:val="21"/>
        </w:rPr>
        <w:t>治安保卫方面的其他要求如下：</w:t>
      </w:r>
    </w:p>
    <w:p w14:paraId="52A04C81">
      <w:pPr>
        <w:pStyle w:val="2"/>
        <w:tabs>
          <w:tab w:val="left" w:pos="7585"/>
        </w:tabs>
        <w:spacing w:before="250"/>
        <w:ind w:left="541"/>
      </w:pPr>
      <w:r>
        <w:rPr>
          <w:u w:val="single" w:color="auto"/>
        </w:rPr>
        <w:tab/>
      </w:r>
    </w:p>
    <w:p w14:paraId="048C3DA1">
      <w:pPr>
        <w:pStyle w:val="2"/>
        <w:spacing w:line="305" w:lineRule="auto"/>
      </w:pPr>
    </w:p>
    <w:p w14:paraId="283FF297">
      <w:pPr>
        <w:pStyle w:val="2"/>
        <w:spacing w:line="306" w:lineRule="auto"/>
      </w:pPr>
      <w:r>
        <w:pict>
          <v:shape id="_x0000_s1255" o:spid="_x0000_s1255" style="position:absolute;left:0pt;margin-left:21.8pt;margin-top:2.3pt;height:0.75pt;width:352.25pt;z-index:251896832;mso-width-relative:page;mso-height-relative:page;" fillcolor="#000000" filled="t" stroked="f" coordsize="7045,15" path="m0,15l7044,15,7044,0,0,0,0,15xe">
            <v:path/>
            <v:fill on="t" focussize="0,0"/>
            <v:stroke on="f"/>
            <v:imagedata o:title=""/>
            <o:lock v:ext="edit"/>
          </v:shape>
        </w:pict>
      </w:r>
    </w:p>
    <w:p w14:paraId="5A530624">
      <w:pPr>
        <w:spacing w:before="69" w:line="106" w:lineRule="exact"/>
        <w:ind w:left="7509"/>
        <w:rPr>
          <w:rFonts w:ascii="宋体" w:hAnsi="宋体" w:eastAsia="宋体" w:cs="宋体"/>
          <w:sz w:val="21"/>
          <w:szCs w:val="21"/>
        </w:rPr>
      </w:pPr>
      <w:r>
        <w:pict>
          <v:shape id="_x0000_s1256" o:spid="_x0000_s1256" style="position:absolute;left:0pt;margin-left:21.8pt;margin-top:7.15pt;height:0.75pt;width:352.25pt;z-index:25189580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49E7BA38">
      <w:pPr>
        <w:pStyle w:val="2"/>
        <w:spacing w:line="365" w:lineRule="auto"/>
      </w:pPr>
    </w:p>
    <w:p w14:paraId="07304133">
      <w:pPr>
        <w:spacing w:before="91" w:line="237" w:lineRule="auto"/>
        <w:ind w:left="33"/>
        <w:outlineLvl w:val="2"/>
        <w:rPr>
          <w:rFonts w:ascii="黑体" w:hAnsi="黑体" w:eastAsia="黑体" w:cs="黑体"/>
          <w:sz w:val="28"/>
          <w:szCs w:val="28"/>
        </w:rPr>
      </w:pPr>
      <w:bookmarkStart w:id="601" w:name="bookmark554"/>
      <w:bookmarkEnd w:id="601"/>
      <w:r>
        <w:rPr>
          <w:rFonts w:ascii="Times New Roman" w:hAnsi="Times New Roman" w:eastAsia="Times New Roman" w:cs="Times New Roman"/>
          <w:spacing w:val="2"/>
          <w:sz w:val="28"/>
          <w:szCs w:val="28"/>
        </w:rPr>
        <w:t>8.</w:t>
      </w:r>
      <w:r>
        <w:rPr>
          <w:rFonts w:ascii="黑体" w:hAnsi="黑体" w:eastAsia="黑体" w:cs="黑体"/>
          <w:spacing w:val="2"/>
          <w:sz w:val="28"/>
          <w:szCs w:val="28"/>
        </w:rPr>
        <w:t>地上、地下设施和周边建筑物的临时保护</w:t>
      </w:r>
    </w:p>
    <w:p w14:paraId="10CDB24F">
      <w:pPr>
        <w:pStyle w:val="2"/>
        <w:spacing w:line="416" w:lineRule="auto"/>
      </w:pPr>
    </w:p>
    <w:p w14:paraId="08EB5B78">
      <w:pPr>
        <w:spacing w:before="69" w:line="348" w:lineRule="auto"/>
        <w:ind w:left="34" w:right="84" w:firstLine="415"/>
        <w:rPr>
          <w:rFonts w:ascii="宋体" w:hAnsi="宋体" w:eastAsia="宋体" w:cs="宋体"/>
          <w:sz w:val="21"/>
          <w:szCs w:val="21"/>
        </w:rPr>
      </w:pPr>
      <w:r>
        <w:rPr>
          <w:rFonts w:ascii="Times New Roman" w:hAnsi="Times New Roman" w:eastAsia="Times New Roman" w:cs="Times New Roman"/>
          <w:spacing w:val="1"/>
          <w:sz w:val="21"/>
          <w:szCs w:val="21"/>
        </w:rPr>
        <w:t xml:space="preserve">8.1            </w:t>
      </w:r>
      <w:r>
        <w:rPr>
          <w:rFonts w:ascii="宋体" w:hAnsi="宋体" w:eastAsia="宋体" w:cs="宋体"/>
          <w:spacing w:val="1"/>
          <w:sz w:val="21"/>
          <w:szCs w:val="21"/>
        </w:rPr>
        <w:t>承包人应为施工场地及其周边现有的地上、地下设施和建筑物提供足够的临</w:t>
      </w:r>
      <w:r>
        <w:rPr>
          <w:rFonts w:ascii="宋体" w:hAnsi="宋体" w:eastAsia="宋体" w:cs="宋体"/>
          <w:spacing w:val="-1"/>
          <w:sz w:val="21"/>
          <w:szCs w:val="21"/>
        </w:rPr>
        <w:t>时保护设施，确保施工过程中这些设施和建筑物不会受到干扰和</w:t>
      </w:r>
      <w:r>
        <w:rPr>
          <w:rFonts w:ascii="宋体" w:hAnsi="宋体" w:eastAsia="宋体" w:cs="宋体"/>
          <w:spacing w:val="-2"/>
          <w:sz w:val="21"/>
          <w:szCs w:val="21"/>
        </w:rPr>
        <w:t>破坏。</w:t>
      </w:r>
    </w:p>
    <w:p w14:paraId="3EACD2AD">
      <w:pPr>
        <w:spacing w:before="4" w:line="357" w:lineRule="auto"/>
        <w:ind w:left="25" w:firstLine="423"/>
        <w:rPr>
          <w:rFonts w:ascii="宋体" w:hAnsi="宋体" w:eastAsia="宋体" w:cs="宋体"/>
          <w:sz w:val="21"/>
          <w:szCs w:val="21"/>
        </w:rPr>
      </w:pPr>
      <w:r>
        <w:rPr>
          <w:rFonts w:ascii="Times New Roman" w:hAnsi="Times New Roman" w:eastAsia="Times New Roman" w:cs="Times New Roman"/>
          <w:spacing w:val="1"/>
          <w:sz w:val="21"/>
          <w:szCs w:val="21"/>
        </w:rPr>
        <w:t xml:space="preserve">8.2            </w:t>
      </w:r>
      <w:r>
        <w:rPr>
          <w:rFonts w:ascii="宋体" w:hAnsi="宋体" w:eastAsia="宋体" w:cs="宋体"/>
          <w:spacing w:val="1"/>
          <w:sz w:val="21"/>
          <w:szCs w:val="21"/>
        </w:rPr>
        <w:t>承包人应当制订现有设施临时保护方案和应急处理方案，并在本工程开工前</w:t>
      </w:r>
      <w:r>
        <w:rPr>
          <w:rFonts w:ascii="宋体" w:hAnsi="宋体" w:eastAsia="宋体" w:cs="宋体"/>
          <w:sz w:val="21"/>
          <w:szCs w:val="21"/>
        </w:rPr>
        <w:t>至少提前</w:t>
      </w:r>
      <w:r>
        <w:rPr>
          <w:rFonts w:ascii="宋体" w:hAnsi="宋体" w:eastAsia="宋体" w:cs="宋体"/>
          <w:spacing w:val="-38"/>
          <w:sz w:val="21"/>
          <w:szCs w:val="21"/>
        </w:rPr>
        <w:t xml:space="preserve"> </w:t>
      </w:r>
      <w:r>
        <w:rPr>
          <w:rFonts w:ascii="Times New Roman" w:hAnsi="Times New Roman" w:eastAsia="Times New Roman" w:cs="Times New Roman"/>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天报送监理人，监理人应在收到现有设施</w:t>
      </w:r>
      <w:r>
        <w:rPr>
          <w:rFonts w:ascii="宋体" w:hAnsi="宋体" w:eastAsia="宋体" w:cs="宋体"/>
          <w:spacing w:val="-1"/>
          <w:sz w:val="21"/>
          <w:szCs w:val="21"/>
        </w:rPr>
        <w:t>临时保护方案后的</w:t>
      </w:r>
      <w:r>
        <w:rPr>
          <w:rFonts w:ascii="Times New Roman" w:hAnsi="Times New Roman" w:eastAsia="Times New Roman" w:cs="Times New Roman"/>
          <w:spacing w:val="-1"/>
          <w:sz w:val="21"/>
          <w:szCs w:val="21"/>
        </w:rPr>
        <w:t>3</w:t>
      </w:r>
      <w:r>
        <w:rPr>
          <w:rFonts w:ascii="Times New Roman" w:hAnsi="Times New Roman" w:eastAsia="Times New Roman" w:cs="Times New Roman"/>
          <w:spacing w:val="20"/>
          <w:sz w:val="21"/>
          <w:szCs w:val="21"/>
        </w:rPr>
        <w:t xml:space="preserve"> </w:t>
      </w:r>
      <w:r>
        <w:rPr>
          <w:rFonts w:ascii="宋体" w:hAnsi="宋体" w:eastAsia="宋体" w:cs="宋体"/>
          <w:spacing w:val="-1"/>
          <w:sz w:val="21"/>
          <w:szCs w:val="21"/>
        </w:rPr>
        <w:t>天内批复承包人。</w:t>
      </w:r>
    </w:p>
    <w:p w14:paraId="305D7155">
      <w:pPr>
        <w:spacing w:line="357" w:lineRule="auto"/>
        <w:rPr>
          <w:rFonts w:ascii="宋体" w:hAnsi="宋体" w:eastAsia="宋体" w:cs="宋体"/>
          <w:sz w:val="21"/>
          <w:szCs w:val="21"/>
        </w:rPr>
        <w:sectPr>
          <w:footerReference r:id="rId282" w:type="default"/>
          <w:pgSz w:w="11910" w:h="16845"/>
          <w:pgMar w:top="400" w:right="1710" w:bottom="1110" w:left="1786" w:header="0" w:footer="883" w:gutter="0"/>
          <w:cols w:space="720" w:num="1"/>
        </w:sectPr>
      </w:pPr>
    </w:p>
    <w:p w14:paraId="0859C26A">
      <w:pPr>
        <w:pStyle w:val="2"/>
        <w:spacing w:line="275" w:lineRule="auto"/>
      </w:pPr>
    </w:p>
    <w:p w14:paraId="030984AA">
      <w:pPr>
        <w:pStyle w:val="2"/>
        <w:spacing w:line="275" w:lineRule="auto"/>
      </w:pPr>
    </w:p>
    <w:p w14:paraId="7BD5E540">
      <w:pPr>
        <w:pStyle w:val="2"/>
        <w:spacing w:line="275" w:lineRule="auto"/>
      </w:pPr>
    </w:p>
    <w:p w14:paraId="00A3A779">
      <w:pPr>
        <w:pStyle w:val="2"/>
        <w:spacing w:line="275" w:lineRule="auto"/>
      </w:pPr>
    </w:p>
    <w:p w14:paraId="3493F230">
      <w:pPr>
        <w:spacing w:before="68" w:line="350" w:lineRule="auto"/>
        <w:ind w:left="30" w:right="16" w:hanging="6"/>
        <w:rPr>
          <w:rFonts w:ascii="宋体" w:hAnsi="宋体" w:eastAsia="宋体" w:cs="宋体"/>
          <w:sz w:val="21"/>
          <w:szCs w:val="21"/>
        </w:rPr>
      </w:pPr>
      <w:r>
        <w:rPr>
          <w:rFonts w:ascii="宋体" w:hAnsi="宋体" w:eastAsia="宋体" w:cs="宋体"/>
          <w:spacing w:val="-2"/>
          <w:sz w:val="21"/>
          <w:szCs w:val="21"/>
        </w:rPr>
        <w:t>承包人应当严格执行经监理人批准的保护方案，并保证在任何可能影响周边现有的地上、地</w:t>
      </w:r>
      <w:r>
        <w:rPr>
          <w:rFonts w:ascii="宋体" w:hAnsi="宋体" w:eastAsia="宋体" w:cs="宋体"/>
          <w:spacing w:val="-1"/>
          <w:sz w:val="21"/>
          <w:szCs w:val="21"/>
        </w:rPr>
        <w:t>下设施或周边建筑物的施工作业开始前，相应的临时保护设施能够落实到位。</w:t>
      </w:r>
    </w:p>
    <w:p w14:paraId="3EBCC1A6">
      <w:pPr>
        <w:spacing w:line="233" w:lineRule="auto"/>
        <w:ind w:left="449"/>
        <w:rPr>
          <w:rFonts w:ascii="宋体" w:hAnsi="宋体" w:eastAsia="宋体" w:cs="宋体"/>
          <w:sz w:val="21"/>
          <w:szCs w:val="21"/>
        </w:rPr>
      </w:pPr>
      <w:r>
        <w:rPr>
          <w:rFonts w:ascii="Times New Roman" w:hAnsi="Times New Roman" w:eastAsia="Times New Roman" w:cs="Times New Roman"/>
          <w:sz w:val="21"/>
          <w:szCs w:val="21"/>
        </w:rPr>
        <w:t xml:space="preserve">8.3            </w:t>
      </w:r>
      <w:r>
        <w:rPr>
          <w:rFonts w:ascii="宋体" w:hAnsi="宋体" w:eastAsia="宋体" w:cs="宋体"/>
          <w:sz w:val="21"/>
          <w:szCs w:val="21"/>
        </w:rPr>
        <w:t>发包人特别提醒承</w:t>
      </w:r>
      <w:r>
        <w:rPr>
          <w:rFonts w:ascii="宋体" w:hAnsi="宋体" w:eastAsia="宋体" w:cs="宋体"/>
          <w:spacing w:val="-1"/>
          <w:sz w:val="21"/>
          <w:szCs w:val="21"/>
        </w:rPr>
        <w:t>包人注意以下地上、地下设施和周边建筑物的保护：</w:t>
      </w:r>
    </w:p>
    <w:p w14:paraId="048C0DF0">
      <w:pPr>
        <w:pStyle w:val="2"/>
        <w:spacing w:line="275" w:lineRule="auto"/>
      </w:pPr>
    </w:p>
    <w:p w14:paraId="603D845B">
      <w:pPr>
        <w:pStyle w:val="2"/>
        <w:spacing w:line="275" w:lineRule="auto"/>
      </w:pPr>
      <w:r>
        <w:pict>
          <v:shape id="_x0000_s1257" o:spid="_x0000_s1257" style="position:absolute;left:0pt;margin-left:27.05pt;margin-top:8.15pt;height:0.75pt;width:352.25pt;z-index:251902976;mso-width-relative:page;mso-height-relative:page;" fillcolor="#000000" filled="t" stroked="f" coordsize="7045,15" path="m0,15l7044,15,7044,0,0,0,0,15xe">
            <v:path/>
            <v:fill on="t" focussize="0,0"/>
            <v:stroke on="f"/>
            <v:imagedata o:title=""/>
            <o:lock v:ext="edit"/>
          </v:shape>
        </w:pict>
      </w:r>
    </w:p>
    <w:p w14:paraId="1B065B5B">
      <w:pPr>
        <w:pStyle w:val="2"/>
        <w:spacing w:line="275" w:lineRule="auto"/>
      </w:pPr>
    </w:p>
    <w:p w14:paraId="3618067F">
      <w:pPr>
        <w:pStyle w:val="2"/>
        <w:spacing w:line="275" w:lineRule="auto"/>
      </w:pPr>
      <w:r>
        <w:pict>
          <v:shape id="_x0000_s1258" o:spid="_x0000_s1258" style="position:absolute;left:0pt;margin-left:21.8pt;margin-top:0.75pt;height:0.75pt;width:352.25pt;z-index:251898880;mso-width-relative:page;mso-height-relative:page;" fillcolor="#000000" filled="t" stroked="f" coordsize="7045,15" path="m0,15l7044,15,7044,0,0,0,0,15xe">
            <v:path/>
            <v:fill on="t" focussize="0,0"/>
            <v:stroke on="f"/>
            <v:imagedata o:title=""/>
            <o:lock v:ext="edit"/>
          </v:shape>
        </w:pict>
      </w:r>
    </w:p>
    <w:p w14:paraId="7FFA730C">
      <w:pPr>
        <w:spacing w:before="69" w:line="105" w:lineRule="exact"/>
        <w:ind w:left="7509"/>
        <w:rPr>
          <w:rFonts w:ascii="宋体" w:hAnsi="宋体" w:eastAsia="宋体" w:cs="宋体"/>
          <w:sz w:val="21"/>
          <w:szCs w:val="21"/>
        </w:rPr>
      </w:pPr>
      <w:r>
        <w:pict>
          <v:shape id="_x0000_s1259" o:spid="_x0000_s1259" style="position:absolute;left:0pt;margin-left:21.8pt;margin-top:7.2pt;height:0.75pt;width:352.25pt;z-index:251897856;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4C28D888">
      <w:pPr>
        <w:spacing w:before="165" w:line="233" w:lineRule="auto"/>
        <w:ind w:left="449"/>
        <w:rPr>
          <w:rFonts w:ascii="宋体" w:hAnsi="宋体" w:eastAsia="宋体" w:cs="宋体"/>
          <w:sz w:val="21"/>
          <w:szCs w:val="21"/>
        </w:rPr>
      </w:pPr>
      <w:r>
        <w:rPr>
          <w:rFonts w:ascii="Times New Roman" w:hAnsi="Times New Roman" w:eastAsia="Times New Roman" w:cs="Times New Roman"/>
          <w:sz w:val="21"/>
          <w:szCs w:val="21"/>
        </w:rPr>
        <w:t xml:space="preserve">8.4          </w:t>
      </w:r>
      <w:r>
        <w:rPr>
          <w:rFonts w:ascii="宋体" w:hAnsi="宋体" w:eastAsia="宋体" w:cs="宋体"/>
          <w:sz w:val="21"/>
          <w:szCs w:val="21"/>
        </w:rPr>
        <w:t>地上、地下设施和周边建筑物的临时保护的其他要求如下</w:t>
      </w:r>
    </w:p>
    <w:p w14:paraId="40D25D5D">
      <w:pPr>
        <w:spacing w:before="184"/>
      </w:pPr>
    </w:p>
    <w:tbl>
      <w:tblPr>
        <w:tblStyle w:val="5"/>
        <w:tblW w:w="7558" w:type="dxa"/>
        <w:tblInd w:w="2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453"/>
        <w:gridCol w:w="105"/>
      </w:tblGrid>
      <w:tr w14:paraId="1A346B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7" w:hRule="atLeast"/>
        </w:trPr>
        <w:tc>
          <w:tcPr>
            <w:tcW w:w="7453" w:type="dxa"/>
            <w:vMerge w:val="restart"/>
            <w:tcBorders>
              <w:top w:val="single" w:color="000000" w:sz="6" w:space="0"/>
              <w:bottom w:val="nil"/>
            </w:tcBorders>
            <w:vAlign w:val="top"/>
          </w:tcPr>
          <w:p w14:paraId="6AB7CB75">
            <w:pPr>
              <w:spacing w:line="297" w:lineRule="auto"/>
              <w:rPr>
                <w:rFonts w:ascii="Arial"/>
                <w:sz w:val="21"/>
              </w:rPr>
            </w:pPr>
            <w:r>
              <w:pict>
                <v:shape id="_x0000_s1260" o:spid="_x0000_s1260" style="position:absolute;left:0pt;margin-left:20.5pt;margin-top:21pt;height:0.75pt;width:352.25pt;mso-position-horizontal-relative:page;mso-position-vertical-relative:page;z-index:251900928;mso-width-relative:page;mso-height-relative:page;" fillcolor="#000000" filled="t" stroked="f" coordsize="7045,15" path="m0,15l7044,15,7044,0,0,0,0,15xe">
                  <v:path/>
                  <v:fill on="t" focussize="0,0"/>
                  <v:stroke on="f"/>
                  <v:imagedata o:title=""/>
                  <o:lock v:ext="edit"/>
                </v:shape>
              </w:pict>
            </w:r>
            <w:r>
              <w:pict>
                <v:shape id="_x0000_s1261" o:spid="_x0000_s1261" style="position:absolute;left:0pt;margin-left:20.5pt;margin-top:40.5pt;height:0.75pt;width:352.25pt;mso-position-horizontal-relative:page;mso-position-vertical-relative:page;z-index:251899904;mso-width-relative:page;mso-height-relative:page;" fillcolor="#000000" filled="t" stroked="f" coordsize="7045,15" path="m0,15l7044,15,7044,0,0,0,0,15xe">
                  <v:path/>
                  <v:fill on="t" focussize="0,0"/>
                  <v:stroke on="f"/>
                  <v:imagedata o:title=""/>
                  <o:lock v:ext="edit"/>
                </v:shape>
              </w:pict>
            </w:r>
          </w:p>
          <w:p w14:paraId="5CC8F56A">
            <w:pPr>
              <w:spacing w:line="297" w:lineRule="auto"/>
              <w:rPr>
                <w:rFonts w:ascii="Arial"/>
                <w:sz w:val="21"/>
              </w:rPr>
            </w:pPr>
          </w:p>
          <w:p w14:paraId="302F9A22">
            <w:pPr>
              <w:spacing w:line="297" w:lineRule="auto"/>
              <w:rPr>
                <w:rFonts w:ascii="Arial"/>
                <w:sz w:val="21"/>
              </w:rPr>
            </w:pPr>
          </w:p>
          <w:p w14:paraId="723C2223">
            <w:pPr>
              <w:spacing w:line="297" w:lineRule="auto"/>
              <w:rPr>
                <w:rFonts w:ascii="Arial"/>
                <w:sz w:val="21"/>
              </w:rPr>
            </w:pPr>
          </w:p>
          <w:p w14:paraId="04C62926">
            <w:pPr>
              <w:spacing w:before="91" w:line="237" w:lineRule="auto"/>
              <w:outlineLvl w:val="2"/>
              <w:rPr>
                <w:rFonts w:ascii="黑体" w:hAnsi="黑体" w:eastAsia="黑体" w:cs="黑体"/>
                <w:sz w:val="28"/>
                <w:szCs w:val="28"/>
              </w:rPr>
            </w:pPr>
            <w:bookmarkStart w:id="602" w:name="bookmark555"/>
            <w:bookmarkEnd w:id="602"/>
            <w:r>
              <w:rPr>
                <w:rFonts w:ascii="Times New Roman" w:hAnsi="Times New Roman" w:eastAsia="Times New Roman" w:cs="Times New Roman"/>
                <w:spacing w:val="4"/>
                <w:sz w:val="28"/>
                <w:szCs w:val="28"/>
              </w:rPr>
              <w:t>9.</w:t>
            </w:r>
            <w:r>
              <w:rPr>
                <w:rFonts w:ascii="黑体" w:hAnsi="黑体" w:eastAsia="黑体" w:cs="黑体"/>
                <w:spacing w:val="4"/>
                <w:sz w:val="28"/>
                <w:szCs w:val="28"/>
              </w:rPr>
              <w:t>样品和材料代换</w:t>
            </w:r>
          </w:p>
          <w:p w14:paraId="2C7A2F76">
            <w:pPr>
              <w:spacing w:line="446" w:lineRule="auto"/>
              <w:rPr>
                <w:rFonts w:ascii="Arial"/>
                <w:sz w:val="21"/>
              </w:rPr>
            </w:pPr>
          </w:p>
          <w:p w14:paraId="244A9676">
            <w:pPr>
              <w:spacing w:before="91" w:line="239" w:lineRule="auto"/>
              <w:outlineLvl w:val="3"/>
              <w:rPr>
                <w:rFonts w:ascii="黑体" w:hAnsi="黑体" w:eastAsia="黑体" w:cs="黑体"/>
                <w:sz w:val="28"/>
                <w:szCs w:val="28"/>
              </w:rPr>
            </w:pPr>
            <w:r>
              <w:rPr>
                <w:rFonts w:ascii="Times New Roman" w:hAnsi="Times New Roman" w:eastAsia="Times New Roman" w:cs="Times New Roman"/>
                <w:spacing w:val="1"/>
                <w:sz w:val="28"/>
                <w:szCs w:val="28"/>
              </w:rPr>
              <w:t>9.1</w:t>
            </w:r>
            <w:r>
              <w:rPr>
                <w:rFonts w:ascii="Times New Roman" w:hAnsi="Times New Roman" w:eastAsia="Times New Roman" w:cs="Times New Roman"/>
                <w:spacing w:val="7"/>
                <w:sz w:val="28"/>
                <w:szCs w:val="28"/>
              </w:rPr>
              <w:t xml:space="preserve">  </w:t>
            </w:r>
            <w:r>
              <w:rPr>
                <w:rFonts w:ascii="黑体" w:hAnsi="黑体" w:eastAsia="黑体" w:cs="黑体"/>
                <w:spacing w:val="1"/>
                <w:sz w:val="28"/>
                <w:szCs w:val="28"/>
              </w:rPr>
              <w:t>样品</w:t>
            </w:r>
          </w:p>
          <w:p w14:paraId="2EEFC0F7">
            <w:pPr>
              <w:spacing w:line="456" w:lineRule="auto"/>
              <w:rPr>
                <w:rFonts w:ascii="Arial"/>
                <w:sz w:val="21"/>
              </w:rPr>
            </w:pPr>
          </w:p>
          <w:p w14:paraId="46E4D018">
            <w:pPr>
              <w:pStyle w:val="6"/>
              <w:spacing w:before="69" w:line="233" w:lineRule="auto"/>
              <w:ind w:left="417"/>
              <w:rPr>
                <w:sz w:val="21"/>
                <w:szCs w:val="21"/>
              </w:rPr>
            </w:pPr>
            <w:r>
              <w:rPr>
                <w:rFonts w:ascii="Times New Roman" w:hAnsi="Times New Roman" w:eastAsia="Times New Roman" w:cs="Times New Roman"/>
                <w:spacing w:val="-1"/>
                <w:sz w:val="21"/>
                <w:szCs w:val="21"/>
              </w:rPr>
              <w:t xml:space="preserve">9.1.1        </w:t>
            </w:r>
            <w:r>
              <w:rPr>
                <w:spacing w:val="-1"/>
                <w:sz w:val="21"/>
                <w:szCs w:val="21"/>
              </w:rPr>
              <w:t>本工程需要承包人提供样品的材料和工程设备如下：</w:t>
            </w:r>
          </w:p>
        </w:tc>
        <w:tc>
          <w:tcPr>
            <w:tcW w:w="105" w:type="dxa"/>
            <w:tcBorders>
              <w:top w:val="single" w:color="000000" w:sz="6" w:space="0"/>
            </w:tcBorders>
            <w:vAlign w:val="top"/>
          </w:tcPr>
          <w:p w14:paraId="26403D36">
            <w:pPr>
              <w:rPr>
                <w:rFonts w:ascii="Arial"/>
                <w:sz w:val="21"/>
              </w:rPr>
            </w:pPr>
          </w:p>
        </w:tc>
      </w:tr>
      <w:tr w14:paraId="225456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1" w:hRule="atLeast"/>
        </w:trPr>
        <w:tc>
          <w:tcPr>
            <w:tcW w:w="7453" w:type="dxa"/>
            <w:vMerge w:val="continue"/>
            <w:tcBorders>
              <w:top w:val="nil"/>
              <w:bottom w:val="nil"/>
            </w:tcBorders>
            <w:vAlign w:val="top"/>
          </w:tcPr>
          <w:p w14:paraId="4E0C2EC8">
            <w:pPr>
              <w:rPr>
                <w:rFonts w:ascii="Arial"/>
                <w:sz w:val="21"/>
              </w:rPr>
            </w:pPr>
          </w:p>
        </w:tc>
        <w:tc>
          <w:tcPr>
            <w:tcW w:w="105" w:type="dxa"/>
            <w:vAlign w:val="top"/>
          </w:tcPr>
          <w:p w14:paraId="73B847ED">
            <w:pPr>
              <w:rPr>
                <w:rFonts w:ascii="Arial"/>
                <w:sz w:val="21"/>
              </w:rPr>
            </w:pPr>
            <w:r>
              <w:pict>
                <v:shape id="_x0000_s1262" o:spid="_x0000_s1262" o:spt="202" type="#_x0000_t202" style="position:absolute;left:0pt;margin-left:0.45pt;margin-top:16.65pt;height:7.3pt;width:9.55pt;mso-position-horizontal-relative:page;mso-position-vertical-relative:page;z-index:251905024;mso-width-relative:page;mso-height-relative:page;" filled="f" stroked="f" coordsize="21600,21600">
                  <v:path/>
                  <v:fill on="f" focussize="0,0"/>
                  <v:stroke on="f"/>
                  <v:imagedata o:title=""/>
                  <o:lock v:ext="edit" aspectratio="f"/>
                  <v:textbox inset="0mm,0mm,0mm,0mm">
                    <w:txbxContent>
                      <w:p w14:paraId="7EC994EF">
                        <w:pPr>
                          <w:pStyle w:val="6"/>
                          <w:spacing w:before="20" w:line="105" w:lineRule="exact"/>
                          <w:jc w:val="right"/>
                          <w:rPr>
                            <w:sz w:val="21"/>
                            <w:szCs w:val="21"/>
                          </w:rPr>
                        </w:pPr>
                        <w:r>
                          <w:rPr>
                            <w:spacing w:val="-56"/>
                            <w:w w:val="98"/>
                            <w:position w:val="1"/>
                            <w:sz w:val="21"/>
                            <w:szCs w:val="21"/>
                          </w:rPr>
                          <w:t>。</w:t>
                        </w:r>
                      </w:p>
                    </w:txbxContent>
                  </v:textbox>
                </v:shape>
              </w:pict>
            </w:r>
          </w:p>
        </w:tc>
      </w:tr>
      <w:tr w14:paraId="46E91C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20" w:hRule="atLeast"/>
        </w:trPr>
        <w:tc>
          <w:tcPr>
            <w:tcW w:w="7453" w:type="dxa"/>
            <w:vMerge w:val="continue"/>
            <w:tcBorders>
              <w:top w:val="nil"/>
              <w:bottom w:val="single" w:color="000000" w:sz="6" w:space="0"/>
            </w:tcBorders>
            <w:vAlign w:val="top"/>
          </w:tcPr>
          <w:p w14:paraId="032D9C59">
            <w:pPr>
              <w:rPr>
                <w:rFonts w:ascii="Arial"/>
                <w:sz w:val="21"/>
              </w:rPr>
            </w:pPr>
          </w:p>
        </w:tc>
        <w:tc>
          <w:tcPr>
            <w:tcW w:w="105" w:type="dxa"/>
            <w:tcBorders>
              <w:bottom w:val="single" w:color="000000" w:sz="6" w:space="0"/>
            </w:tcBorders>
            <w:vAlign w:val="top"/>
          </w:tcPr>
          <w:p w14:paraId="5CFAA709">
            <w:pPr>
              <w:rPr>
                <w:rFonts w:ascii="Arial"/>
                <w:sz w:val="21"/>
              </w:rPr>
            </w:pPr>
          </w:p>
        </w:tc>
      </w:tr>
    </w:tbl>
    <w:p w14:paraId="219F9B08">
      <w:pPr>
        <w:pStyle w:val="2"/>
        <w:spacing w:line="324" w:lineRule="auto"/>
      </w:pPr>
    </w:p>
    <w:p w14:paraId="66D9D8A9">
      <w:pPr>
        <w:pStyle w:val="2"/>
        <w:spacing w:line="324" w:lineRule="auto"/>
      </w:pPr>
      <w:r>
        <w:pict>
          <v:shape id="_x0000_s1263" o:spid="_x0000_s1263" style="position:absolute;left:0pt;margin-left:21.8pt;margin-top:3.95pt;height:0.75pt;width:352.25pt;z-index:251904000;mso-width-relative:page;mso-height-relative:page;" fillcolor="#000000" filled="t" stroked="f" coordsize="7045,15" path="m0,15l7044,15,7044,0,0,0,0,15xe">
            <v:path/>
            <v:fill on="t" focussize="0,0"/>
            <v:stroke on="f"/>
            <v:imagedata o:title=""/>
            <o:lock v:ext="edit"/>
          </v:shape>
        </w:pict>
      </w:r>
    </w:p>
    <w:p w14:paraId="425DA831">
      <w:pPr>
        <w:spacing w:before="69" w:line="105" w:lineRule="exact"/>
        <w:ind w:left="7509"/>
        <w:rPr>
          <w:rFonts w:ascii="宋体" w:hAnsi="宋体" w:eastAsia="宋体" w:cs="宋体"/>
          <w:sz w:val="21"/>
          <w:szCs w:val="21"/>
        </w:rPr>
      </w:pPr>
      <w:r>
        <w:pict>
          <v:shape id="_x0000_s1264" o:spid="_x0000_s1264" style="position:absolute;left:0pt;margin-left:21.8pt;margin-top:7.2pt;height:0.75pt;width:352.25pt;z-index:251901952;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8ECFD41">
      <w:pPr>
        <w:spacing w:before="162" w:line="351" w:lineRule="auto"/>
        <w:ind w:left="23" w:firstLine="421"/>
        <w:rPr>
          <w:rFonts w:ascii="宋体" w:hAnsi="宋体" w:eastAsia="宋体" w:cs="宋体"/>
          <w:sz w:val="21"/>
          <w:szCs w:val="21"/>
        </w:rPr>
      </w:pPr>
      <w:r>
        <w:rPr>
          <w:rFonts w:ascii="Times New Roman" w:hAnsi="Times New Roman" w:eastAsia="Times New Roman" w:cs="Times New Roman"/>
          <w:sz w:val="21"/>
          <w:szCs w:val="21"/>
        </w:rPr>
        <w:t xml:space="preserve">9.1.2        </w:t>
      </w:r>
      <w:r>
        <w:rPr>
          <w:rFonts w:ascii="宋体" w:hAnsi="宋体" w:eastAsia="宋体" w:cs="宋体"/>
          <w:sz w:val="21"/>
          <w:szCs w:val="21"/>
        </w:rPr>
        <w:t>对于本款第</w:t>
      </w:r>
      <w:r>
        <w:rPr>
          <w:rFonts w:ascii="宋体" w:hAnsi="宋体" w:eastAsia="宋体" w:cs="宋体"/>
          <w:spacing w:val="-37"/>
          <w:sz w:val="21"/>
          <w:szCs w:val="21"/>
        </w:rPr>
        <w:t xml:space="preserve"> </w:t>
      </w:r>
      <w:r>
        <w:rPr>
          <w:rFonts w:ascii="Times New Roman" w:hAnsi="Times New Roman" w:eastAsia="Times New Roman" w:cs="Times New Roman"/>
          <w:sz w:val="21"/>
          <w:szCs w:val="21"/>
        </w:rPr>
        <w:t>9.1.1</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项约</w:t>
      </w:r>
      <w:r>
        <w:rPr>
          <w:rFonts w:ascii="宋体" w:hAnsi="宋体" w:eastAsia="宋体" w:cs="宋体"/>
          <w:spacing w:val="-1"/>
          <w:sz w:val="21"/>
          <w:szCs w:val="21"/>
        </w:rPr>
        <w:t>定的材料和工程设备，承包人应按照专用合同条款第</w:t>
      </w:r>
      <w:r>
        <w:rPr>
          <w:rFonts w:ascii="宋体" w:hAnsi="宋体" w:eastAsia="宋体" w:cs="宋体"/>
          <w:spacing w:val="-40"/>
          <w:sz w:val="21"/>
          <w:szCs w:val="21"/>
        </w:rPr>
        <w:t xml:space="preserve"> </w:t>
      </w:r>
      <w:r>
        <w:rPr>
          <w:rFonts w:ascii="Times New Roman" w:hAnsi="Times New Roman" w:eastAsia="Times New Roman" w:cs="Times New Roman"/>
          <w:spacing w:val="-1"/>
          <w:sz w:val="21"/>
          <w:szCs w:val="21"/>
        </w:rPr>
        <w:t>5.</w:t>
      </w:r>
      <w:r>
        <w:rPr>
          <w:rFonts w:ascii="Times New Roman" w:hAnsi="Times New Roman" w:eastAsia="Times New Roman" w:cs="Times New Roman"/>
          <w:sz w:val="21"/>
          <w:szCs w:val="21"/>
        </w:rPr>
        <w:t xml:space="preserve"> </w:t>
      </w:r>
      <w:r>
        <w:rPr>
          <w:rFonts w:ascii="Times New Roman" w:hAnsi="Times New Roman" w:eastAsia="Times New Roman" w:cs="Times New Roman"/>
          <w:spacing w:val="1"/>
          <w:sz w:val="21"/>
          <w:szCs w:val="21"/>
        </w:rPr>
        <w:t xml:space="preserve">1.2  </w:t>
      </w:r>
      <w:r>
        <w:rPr>
          <w:rFonts w:ascii="宋体" w:hAnsi="宋体" w:eastAsia="宋体" w:cs="宋体"/>
          <w:spacing w:val="1"/>
          <w:sz w:val="21"/>
          <w:szCs w:val="21"/>
        </w:rPr>
        <w:t>项约定的期限，向监理人提交样品</w:t>
      </w:r>
      <w:r>
        <w:rPr>
          <w:rFonts w:ascii="宋体" w:hAnsi="宋体" w:eastAsia="宋体" w:cs="宋体"/>
          <w:sz w:val="21"/>
          <w:szCs w:val="21"/>
        </w:rPr>
        <w:t>并附上任何必要的说明书、生产</w:t>
      </w:r>
      <w:r>
        <w:rPr>
          <w:rFonts w:ascii="Times New Roman" w:hAnsi="Times New Roman" w:eastAsia="Times New Roman" w:cs="Times New Roman"/>
          <w:sz w:val="21"/>
          <w:szCs w:val="21"/>
        </w:rPr>
        <w:t>(</w:t>
      </w:r>
      <w:r>
        <w:rPr>
          <w:rFonts w:ascii="宋体" w:hAnsi="宋体" w:eastAsia="宋体" w:cs="宋体"/>
          <w:sz w:val="21"/>
          <w:szCs w:val="21"/>
        </w:rPr>
        <w:t>制造</w:t>
      </w:r>
      <w:r>
        <w:rPr>
          <w:rFonts w:ascii="Times New Roman" w:hAnsi="Times New Roman" w:eastAsia="Times New Roman" w:cs="Times New Roman"/>
          <w:sz w:val="21"/>
          <w:szCs w:val="21"/>
        </w:rPr>
        <w:t>)</w:t>
      </w:r>
      <w:r>
        <w:rPr>
          <w:rFonts w:ascii="宋体" w:hAnsi="宋体" w:eastAsia="宋体" w:cs="宋体"/>
          <w:sz w:val="21"/>
          <w:szCs w:val="21"/>
        </w:rPr>
        <w:t>许可证书、出</w:t>
      </w:r>
      <w:r>
        <w:rPr>
          <w:rFonts w:ascii="宋体" w:hAnsi="宋体" w:eastAsia="宋体" w:cs="宋体"/>
          <w:spacing w:val="-2"/>
          <w:sz w:val="21"/>
          <w:szCs w:val="21"/>
        </w:rPr>
        <w:t>厂合格证明或者证书、出厂检测报告、性能介绍、使用说明等相关资料，同时注明材料和工</w:t>
      </w:r>
      <w:r>
        <w:rPr>
          <w:rFonts w:ascii="宋体" w:hAnsi="宋体" w:eastAsia="宋体" w:cs="宋体"/>
          <w:spacing w:val="-6"/>
          <w:sz w:val="21"/>
          <w:szCs w:val="21"/>
        </w:rPr>
        <w:t>程设备的供货人及品种、规格、数量和供货时间等，</w:t>
      </w:r>
      <w:r>
        <w:rPr>
          <w:rFonts w:ascii="宋体" w:hAnsi="宋体" w:eastAsia="宋体" w:cs="宋体"/>
          <w:spacing w:val="71"/>
          <w:sz w:val="21"/>
          <w:szCs w:val="21"/>
        </w:rPr>
        <w:t xml:space="preserve"> </w:t>
      </w:r>
      <w:r>
        <w:rPr>
          <w:rFonts w:ascii="宋体" w:hAnsi="宋体" w:eastAsia="宋体" w:cs="宋体"/>
          <w:spacing w:val="-6"/>
          <w:sz w:val="21"/>
          <w:szCs w:val="21"/>
        </w:rPr>
        <w:t>以供检验和审批。样品送达的地点和样</w:t>
      </w:r>
      <w:r>
        <w:rPr>
          <w:rFonts w:ascii="宋体" w:hAnsi="宋体" w:eastAsia="宋体" w:cs="宋体"/>
          <w:spacing w:val="-2"/>
          <w:sz w:val="21"/>
          <w:szCs w:val="21"/>
        </w:rPr>
        <w:t>品的数量或尺寸应符合监理人和发包人的要求。除合同另有约定外，承包人</w:t>
      </w:r>
      <w:r>
        <w:rPr>
          <w:rFonts w:ascii="宋体" w:hAnsi="宋体" w:eastAsia="宋体" w:cs="宋体"/>
          <w:spacing w:val="-3"/>
          <w:sz w:val="21"/>
          <w:szCs w:val="21"/>
        </w:rPr>
        <w:t>在报送任何样品</w:t>
      </w:r>
      <w:r>
        <w:rPr>
          <w:rFonts w:ascii="宋体" w:hAnsi="宋体" w:eastAsia="宋体" w:cs="宋体"/>
          <w:spacing w:val="-1"/>
          <w:sz w:val="21"/>
          <w:szCs w:val="21"/>
        </w:rPr>
        <w:t>时应按监理人同意的格式填写并递交样品报送单。监理人应及时签收样品。</w:t>
      </w:r>
    </w:p>
    <w:p w14:paraId="2AAA279F">
      <w:pPr>
        <w:spacing w:before="8" w:line="350" w:lineRule="auto"/>
        <w:ind w:left="25" w:right="3" w:firstLine="419"/>
        <w:rPr>
          <w:rFonts w:ascii="宋体" w:hAnsi="宋体" w:eastAsia="宋体" w:cs="宋体"/>
          <w:sz w:val="21"/>
          <w:szCs w:val="21"/>
        </w:rPr>
      </w:pPr>
      <w:r>
        <w:rPr>
          <w:rFonts w:ascii="Times New Roman" w:hAnsi="Times New Roman" w:eastAsia="Times New Roman" w:cs="Times New Roman"/>
          <w:spacing w:val="-2"/>
          <w:sz w:val="21"/>
          <w:szCs w:val="21"/>
        </w:rPr>
        <w:t xml:space="preserve">9.1.3        </w:t>
      </w:r>
      <w:r>
        <w:rPr>
          <w:rFonts w:ascii="宋体" w:hAnsi="宋体" w:eastAsia="宋体" w:cs="宋体"/>
          <w:spacing w:val="-2"/>
          <w:sz w:val="21"/>
          <w:szCs w:val="21"/>
        </w:rPr>
        <w:t>合同条款第</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15.8.2</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项约定的依</w:t>
      </w:r>
      <w:r>
        <w:rPr>
          <w:rFonts w:ascii="宋体" w:hAnsi="宋体" w:eastAsia="宋体" w:cs="宋体"/>
          <w:spacing w:val="-3"/>
          <w:sz w:val="21"/>
          <w:szCs w:val="21"/>
        </w:rPr>
        <w:t>法不需要招标的、以暂估价形式包括在工程量清</w:t>
      </w:r>
      <w:r>
        <w:rPr>
          <w:rFonts w:ascii="宋体" w:hAnsi="宋体" w:eastAsia="宋体" w:cs="宋体"/>
          <w:sz w:val="21"/>
          <w:szCs w:val="21"/>
        </w:rPr>
        <w:t>单中的材料和工程设备，所附资料除本款第</w:t>
      </w:r>
      <w:r>
        <w:rPr>
          <w:rFonts w:ascii="宋体" w:hAnsi="宋体" w:eastAsia="宋体" w:cs="宋体"/>
          <w:spacing w:val="-39"/>
          <w:sz w:val="21"/>
          <w:szCs w:val="21"/>
        </w:rPr>
        <w:t xml:space="preserve"> </w:t>
      </w:r>
      <w:r>
        <w:rPr>
          <w:rFonts w:ascii="Times New Roman" w:hAnsi="Times New Roman" w:eastAsia="Times New Roman" w:cs="Times New Roman"/>
          <w:sz w:val="21"/>
          <w:szCs w:val="21"/>
        </w:rPr>
        <w:t>9.1.2</w:t>
      </w:r>
      <w:r>
        <w:rPr>
          <w:rFonts w:ascii="Times New Roman" w:hAnsi="Times New Roman" w:eastAsia="Times New Roman" w:cs="Times New Roman"/>
          <w:spacing w:val="20"/>
          <w:sz w:val="21"/>
          <w:szCs w:val="21"/>
        </w:rPr>
        <w:t xml:space="preserve"> </w:t>
      </w:r>
      <w:r>
        <w:rPr>
          <w:rFonts w:ascii="宋体" w:hAnsi="宋体" w:eastAsia="宋体" w:cs="宋体"/>
          <w:sz w:val="21"/>
          <w:szCs w:val="21"/>
        </w:rPr>
        <w:t>项约定的内容外，还应附上价格资料，每</w:t>
      </w:r>
      <w:r>
        <w:rPr>
          <w:rFonts w:ascii="宋体" w:hAnsi="宋体" w:eastAsia="宋体" w:cs="宋体"/>
          <w:spacing w:val="-2"/>
          <w:sz w:val="21"/>
          <w:szCs w:val="21"/>
        </w:rPr>
        <w:t>一类材料设备，至少应准备符合合同要求的三个产品，价格分高、中、低三档，以便监理人</w:t>
      </w:r>
      <w:r>
        <w:rPr>
          <w:rFonts w:ascii="宋体" w:hAnsi="宋体" w:eastAsia="宋体" w:cs="宋体"/>
          <w:spacing w:val="-4"/>
          <w:sz w:val="21"/>
          <w:szCs w:val="21"/>
        </w:rPr>
        <w:t>和发包人选择和批准。</w:t>
      </w:r>
    </w:p>
    <w:p w14:paraId="40187E28">
      <w:pPr>
        <w:spacing w:before="16" w:line="347" w:lineRule="auto"/>
        <w:ind w:left="34" w:right="8" w:firstLine="410"/>
        <w:rPr>
          <w:rFonts w:ascii="宋体" w:hAnsi="宋体" w:eastAsia="宋体" w:cs="宋体"/>
          <w:sz w:val="21"/>
          <w:szCs w:val="21"/>
        </w:rPr>
      </w:pPr>
      <w:r>
        <w:rPr>
          <w:rFonts w:ascii="Times New Roman" w:hAnsi="Times New Roman" w:eastAsia="Times New Roman" w:cs="Times New Roman"/>
          <w:sz w:val="21"/>
          <w:szCs w:val="21"/>
        </w:rPr>
        <w:t xml:space="preserve">9.1.4        </w:t>
      </w:r>
      <w:r>
        <w:rPr>
          <w:rFonts w:ascii="宋体" w:hAnsi="宋体" w:eastAsia="宋体" w:cs="宋体"/>
          <w:sz w:val="21"/>
          <w:szCs w:val="21"/>
        </w:rPr>
        <w:t xml:space="preserve">监理人应在收到承包人报送的样品后 </w:t>
      </w:r>
      <w:r>
        <w:rPr>
          <w:rFonts w:ascii="Times New Roman" w:hAnsi="Times New Roman" w:eastAsia="Times New Roman" w:cs="Times New Roman"/>
          <w:sz w:val="21"/>
          <w:szCs w:val="21"/>
        </w:rPr>
        <w:t xml:space="preserve">7  </w:t>
      </w:r>
      <w:r>
        <w:rPr>
          <w:rFonts w:ascii="宋体" w:hAnsi="宋体" w:eastAsia="宋体" w:cs="宋体"/>
          <w:sz w:val="21"/>
          <w:szCs w:val="21"/>
        </w:rPr>
        <w:t>天内转呈发包人并附上监理人的书面</w:t>
      </w:r>
      <w:r>
        <w:rPr>
          <w:rFonts w:ascii="宋体" w:hAnsi="宋体" w:eastAsia="宋体" w:cs="宋体"/>
          <w:spacing w:val="-3"/>
          <w:sz w:val="21"/>
          <w:szCs w:val="21"/>
        </w:rPr>
        <w:t>审批意见。发包人在收到通过监理人转交的样品以及监理人的审批意见后</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19"/>
          <w:w w:val="101"/>
          <w:sz w:val="21"/>
          <w:szCs w:val="21"/>
        </w:rPr>
        <w:t xml:space="preserve"> </w:t>
      </w:r>
      <w:r>
        <w:rPr>
          <w:rFonts w:ascii="宋体" w:hAnsi="宋体" w:eastAsia="宋体" w:cs="宋体"/>
          <w:spacing w:val="-3"/>
          <w:sz w:val="21"/>
          <w:szCs w:val="21"/>
        </w:rPr>
        <w:t>天内就此样品给</w:t>
      </w:r>
      <w:r>
        <w:rPr>
          <w:rFonts w:ascii="宋体" w:hAnsi="宋体" w:eastAsia="宋体" w:cs="宋体"/>
          <w:spacing w:val="-2"/>
          <w:sz w:val="21"/>
          <w:szCs w:val="21"/>
        </w:rPr>
        <w:t>出书面批复。监理人应在收到样品后</w:t>
      </w:r>
      <w:r>
        <w:rPr>
          <w:rFonts w:ascii="宋体" w:hAnsi="宋体" w:eastAsia="宋体" w:cs="宋体"/>
          <w:spacing w:val="-40"/>
          <w:sz w:val="21"/>
          <w:szCs w:val="21"/>
        </w:rPr>
        <w:t xml:space="preserve"> </w:t>
      </w:r>
      <w:r>
        <w:rPr>
          <w:rFonts w:ascii="Times New Roman" w:hAnsi="Times New Roman" w:eastAsia="Times New Roman" w:cs="Times New Roman"/>
          <w:spacing w:val="-2"/>
          <w:sz w:val="21"/>
          <w:szCs w:val="21"/>
        </w:rPr>
        <w:t>21</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天内通知承包人他相关样品所做出的决定或指示</w:t>
      </w:r>
      <w:r>
        <w:rPr>
          <w:rFonts w:ascii="Times New Roman" w:hAnsi="Times New Roman" w:eastAsia="Times New Roman" w:cs="Times New Roman"/>
          <w:spacing w:val="-2"/>
          <w:sz w:val="21"/>
          <w:szCs w:val="21"/>
        </w:rPr>
        <w:t>(</w:t>
      </w:r>
      <w:r>
        <w:rPr>
          <w:rFonts w:ascii="宋体" w:hAnsi="宋体" w:eastAsia="宋体" w:cs="宋体"/>
          <w:spacing w:val="-2"/>
          <w:sz w:val="21"/>
          <w:szCs w:val="21"/>
        </w:rPr>
        <w:t>同</w:t>
      </w:r>
      <w:r>
        <w:rPr>
          <w:rFonts w:ascii="宋体" w:hAnsi="宋体" w:eastAsia="宋体" w:cs="宋体"/>
          <w:spacing w:val="1"/>
          <w:sz w:val="21"/>
          <w:szCs w:val="21"/>
        </w:rPr>
        <w:t>时抄送一份给发包人</w:t>
      </w:r>
      <w:r>
        <w:rPr>
          <w:rFonts w:ascii="Times New Roman" w:hAnsi="Times New Roman" w:eastAsia="Times New Roman" w:cs="Times New Roman"/>
          <w:spacing w:val="1"/>
          <w:sz w:val="21"/>
          <w:szCs w:val="21"/>
        </w:rPr>
        <w:t>)</w:t>
      </w:r>
      <w:r>
        <w:rPr>
          <w:rFonts w:ascii="宋体" w:hAnsi="宋体" w:eastAsia="宋体" w:cs="宋体"/>
          <w:spacing w:val="1"/>
          <w:sz w:val="21"/>
          <w:szCs w:val="21"/>
        </w:rPr>
        <w:t>。承包人应根据监理人的书面批复和指示相应地进</w:t>
      </w:r>
      <w:r>
        <w:rPr>
          <w:rFonts w:ascii="宋体" w:hAnsi="宋体" w:eastAsia="宋体" w:cs="宋体"/>
          <w:sz w:val="21"/>
          <w:szCs w:val="21"/>
        </w:rPr>
        <w:t>行下一步工作。如</w:t>
      </w:r>
    </w:p>
    <w:p w14:paraId="413616F9">
      <w:pPr>
        <w:spacing w:line="347" w:lineRule="auto"/>
        <w:rPr>
          <w:rFonts w:ascii="宋体" w:hAnsi="宋体" w:eastAsia="宋体" w:cs="宋体"/>
          <w:sz w:val="21"/>
          <w:szCs w:val="21"/>
        </w:rPr>
        <w:sectPr>
          <w:footerReference r:id="rId283" w:type="default"/>
          <w:pgSz w:w="11910" w:h="16845"/>
          <w:pgMar w:top="400" w:right="1762" w:bottom="1110" w:left="1786" w:header="0" w:footer="883" w:gutter="0"/>
          <w:cols w:space="720" w:num="1"/>
        </w:sectPr>
      </w:pPr>
    </w:p>
    <w:p w14:paraId="792FCD9C">
      <w:pPr>
        <w:pStyle w:val="2"/>
        <w:spacing w:line="274" w:lineRule="auto"/>
      </w:pPr>
    </w:p>
    <w:p w14:paraId="3167FE88">
      <w:pPr>
        <w:pStyle w:val="2"/>
        <w:spacing w:line="275" w:lineRule="auto"/>
      </w:pPr>
    </w:p>
    <w:p w14:paraId="50641BEC">
      <w:pPr>
        <w:pStyle w:val="2"/>
        <w:spacing w:line="275" w:lineRule="auto"/>
      </w:pPr>
    </w:p>
    <w:p w14:paraId="18425848">
      <w:pPr>
        <w:pStyle w:val="2"/>
        <w:spacing w:line="275" w:lineRule="auto"/>
      </w:pPr>
    </w:p>
    <w:p w14:paraId="6585B1E4">
      <w:pPr>
        <w:spacing w:before="69" w:line="345" w:lineRule="auto"/>
        <w:ind w:left="25" w:right="49" w:firstLine="3"/>
        <w:jc w:val="both"/>
        <w:rPr>
          <w:rFonts w:ascii="宋体" w:hAnsi="宋体" w:eastAsia="宋体" w:cs="宋体"/>
          <w:sz w:val="21"/>
          <w:szCs w:val="21"/>
        </w:rPr>
      </w:pPr>
      <w:r>
        <w:rPr>
          <w:rFonts w:ascii="宋体" w:hAnsi="宋体" w:eastAsia="宋体" w:cs="宋体"/>
          <w:sz w:val="21"/>
          <w:szCs w:val="21"/>
        </w:rPr>
        <w:t>果监理人未能在承包人报送样品后</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21</w:t>
      </w:r>
      <w:r>
        <w:rPr>
          <w:rFonts w:ascii="Times New Roman" w:hAnsi="Times New Roman" w:eastAsia="Times New Roman" w:cs="Times New Roman"/>
          <w:spacing w:val="20"/>
          <w:w w:val="101"/>
          <w:sz w:val="21"/>
          <w:szCs w:val="21"/>
        </w:rPr>
        <w:t xml:space="preserve"> </w:t>
      </w:r>
      <w:r>
        <w:rPr>
          <w:rFonts w:ascii="宋体" w:hAnsi="宋体" w:eastAsia="宋体" w:cs="宋体"/>
          <w:sz w:val="21"/>
          <w:szCs w:val="21"/>
        </w:rPr>
        <w:t>天内给出书面批复，承</w:t>
      </w:r>
      <w:r>
        <w:rPr>
          <w:rFonts w:ascii="宋体" w:hAnsi="宋体" w:eastAsia="宋体" w:cs="宋体"/>
          <w:spacing w:val="-1"/>
          <w:sz w:val="21"/>
          <w:szCs w:val="21"/>
        </w:rPr>
        <w:t>包人应就此通知监理人，要求</w:t>
      </w:r>
      <w:r>
        <w:rPr>
          <w:rFonts w:ascii="宋体" w:hAnsi="宋体" w:eastAsia="宋体" w:cs="宋体"/>
          <w:spacing w:val="-3"/>
          <w:sz w:val="21"/>
          <w:szCs w:val="21"/>
        </w:rPr>
        <w:t>尽快批复。如果发包人在收到此类通知后</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天内仍未对样品进行批复，则视为监理人和发包</w:t>
      </w:r>
      <w:r>
        <w:rPr>
          <w:rFonts w:ascii="宋体" w:hAnsi="宋体" w:eastAsia="宋体" w:cs="宋体"/>
          <w:spacing w:val="-6"/>
          <w:sz w:val="21"/>
          <w:szCs w:val="21"/>
        </w:rPr>
        <w:t>人已经批准。</w:t>
      </w:r>
    </w:p>
    <w:p w14:paraId="28773AC0">
      <w:pPr>
        <w:spacing w:before="25" w:line="348" w:lineRule="auto"/>
        <w:ind w:left="41" w:right="46" w:firstLine="403"/>
        <w:rPr>
          <w:rFonts w:ascii="宋体" w:hAnsi="宋体" w:eastAsia="宋体" w:cs="宋体"/>
          <w:sz w:val="21"/>
          <w:szCs w:val="21"/>
        </w:rPr>
      </w:pPr>
      <w:r>
        <w:rPr>
          <w:rFonts w:ascii="Times New Roman" w:hAnsi="Times New Roman" w:eastAsia="Times New Roman" w:cs="Times New Roman"/>
          <w:spacing w:val="-1"/>
          <w:sz w:val="21"/>
          <w:szCs w:val="21"/>
        </w:rPr>
        <w:t xml:space="preserve">9.1.5        </w:t>
      </w:r>
      <w:r>
        <w:rPr>
          <w:rFonts w:ascii="宋体" w:hAnsi="宋体" w:eastAsia="宋体" w:cs="宋体"/>
          <w:spacing w:val="-1"/>
          <w:sz w:val="21"/>
          <w:szCs w:val="21"/>
        </w:rPr>
        <w:t>得到批准后的样品由监理人负</w:t>
      </w:r>
      <w:r>
        <w:rPr>
          <w:rFonts w:ascii="宋体" w:hAnsi="宋体" w:eastAsia="宋体" w:cs="宋体"/>
          <w:spacing w:val="-2"/>
          <w:sz w:val="21"/>
          <w:szCs w:val="21"/>
        </w:rPr>
        <w:t>责存放。但承包人应为保存样品提供适当和固定</w:t>
      </w:r>
      <w:r>
        <w:rPr>
          <w:rFonts w:ascii="宋体" w:hAnsi="宋体" w:eastAsia="宋体" w:cs="宋体"/>
          <w:spacing w:val="-3"/>
          <w:sz w:val="21"/>
          <w:szCs w:val="21"/>
        </w:rPr>
        <w:t>的场所并保持适当和良好的环境条件。</w:t>
      </w:r>
    </w:p>
    <w:p w14:paraId="122D9C46">
      <w:pPr>
        <w:spacing w:before="2" w:line="233" w:lineRule="auto"/>
        <w:ind w:left="444"/>
        <w:rPr>
          <w:rFonts w:ascii="宋体" w:hAnsi="宋体" w:eastAsia="宋体" w:cs="宋体"/>
          <w:sz w:val="21"/>
          <w:szCs w:val="21"/>
        </w:rPr>
      </w:pPr>
      <w:r>
        <w:rPr>
          <w:rFonts w:ascii="Times New Roman" w:hAnsi="Times New Roman" w:eastAsia="Times New Roman" w:cs="Times New Roman"/>
          <w:sz w:val="21"/>
          <w:szCs w:val="21"/>
        </w:rPr>
        <w:t xml:space="preserve">9.1.6        </w:t>
      </w:r>
      <w:r>
        <w:rPr>
          <w:rFonts w:ascii="宋体" w:hAnsi="宋体" w:eastAsia="宋体" w:cs="宋体"/>
          <w:sz w:val="21"/>
          <w:szCs w:val="21"/>
        </w:rPr>
        <w:t>提供样品和提供存放样</w:t>
      </w:r>
      <w:r>
        <w:rPr>
          <w:rFonts w:ascii="宋体" w:hAnsi="宋体" w:eastAsia="宋体" w:cs="宋体"/>
          <w:spacing w:val="-1"/>
          <w:sz w:val="21"/>
          <w:szCs w:val="21"/>
        </w:rPr>
        <w:t>品场所的费用由承包人承担。</w:t>
      </w:r>
    </w:p>
    <w:p w14:paraId="618C58D8">
      <w:pPr>
        <w:pStyle w:val="2"/>
        <w:spacing w:line="358" w:lineRule="auto"/>
      </w:pPr>
    </w:p>
    <w:p w14:paraId="1DC79F0A">
      <w:pPr>
        <w:spacing w:before="91" w:line="237" w:lineRule="auto"/>
        <w:ind w:left="27"/>
        <w:outlineLvl w:val="3"/>
        <w:rPr>
          <w:rFonts w:ascii="黑体" w:hAnsi="黑体" w:eastAsia="黑体" w:cs="黑体"/>
          <w:sz w:val="28"/>
          <w:szCs w:val="28"/>
        </w:rPr>
      </w:pPr>
      <w:r>
        <w:rPr>
          <w:rFonts w:ascii="Times New Roman" w:hAnsi="Times New Roman" w:eastAsia="Times New Roman" w:cs="Times New Roman"/>
          <w:spacing w:val="5"/>
          <w:sz w:val="28"/>
          <w:szCs w:val="28"/>
        </w:rPr>
        <w:t xml:space="preserve">9.2  </w:t>
      </w:r>
      <w:r>
        <w:rPr>
          <w:rFonts w:ascii="黑体" w:hAnsi="黑体" w:eastAsia="黑体" w:cs="黑体"/>
          <w:spacing w:val="5"/>
          <w:sz w:val="28"/>
          <w:szCs w:val="28"/>
        </w:rPr>
        <w:t>材料代换</w:t>
      </w:r>
    </w:p>
    <w:p w14:paraId="59C3BC4C">
      <w:pPr>
        <w:pStyle w:val="2"/>
        <w:spacing w:line="459" w:lineRule="auto"/>
      </w:pPr>
    </w:p>
    <w:p w14:paraId="528FB6AF">
      <w:pPr>
        <w:spacing w:before="68" w:line="350" w:lineRule="auto"/>
        <w:ind w:left="25"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9.2.1        </w:t>
      </w:r>
      <w:r>
        <w:rPr>
          <w:rFonts w:ascii="宋体" w:hAnsi="宋体" w:eastAsia="宋体" w:cs="宋体"/>
          <w:spacing w:val="-1"/>
          <w:sz w:val="21"/>
          <w:szCs w:val="21"/>
        </w:rPr>
        <w:t>如果任何后继法律、法规、规章</w:t>
      </w:r>
      <w:r>
        <w:rPr>
          <w:rFonts w:ascii="宋体" w:hAnsi="宋体" w:eastAsia="宋体" w:cs="宋体"/>
          <w:spacing w:val="-2"/>
          <w:sz w:val="21"/>
          <w:szCs w:val="21"/>
        </w:rPr>
        <w:t>、规范、标准和规程等等禁止使用合同中约定</w:t>
      </w:r>
      <w:r>
        <w:rPr>
          <w:rFonts w:ascii="宋体" w:hAnsi="宋体" w:eastAsia="宋体" w:cs="宋体"/>
          <w:sz w:val="21"/>
          <w:szCs w:val="21"/>
        </w:rPr>
        <w:t>的材料和工程设备，承包人应当按本款约定</w:t>
      </w:r>
      <w:r>
        <w:rPr>
          <w:rFonts w:ascii="宋体" w:hAnsi="宋体" w:eastAsia="宋体" w:cs="宋体"/>
          <w:spacing w:val="-1"/>
          <w:sz w:val="21"/>
          <w:szCs w:val="21"/>
        </w:rPr>
        <w:t>的程序使用其他替代品来实施工程或修补缺陷。</w:t>
      </w:r>
      <w:r>
        <w:rPr>
          <w:rFonts w:ascii="宋体" w:hAnsi="宋体" w:eastAsia="宋体" w:cs="宋体"/>
          <w:spacing w:val="3"/>
          <w:sz w:val="21"/>
          <w:szCs w:val="21"/>
        </w:rPr>
        <w:t>监理人对使用替代品的批准以及承包人据此使用替代品不应减免合同约定</w:t>
      </w:r>
      <w:r>
        <w:rPr>
          <w:rFonts w:ascii="宋体" w:hAnsi="宋体" w:eastAsia="宋体" w:cs="宋体"/>
          <w:spacing w:val="2"/>
          <w:sz w:val="21"/>
          <w:szCs w:val="21"/>
        </w:rPr>
        <w:t>的承包人的任何</w:t>
      </w:r>
      <w:r>
        <w:rPr>
          <w:rFonts w:ascii="宋体" w:hAnsi="宋体" w:eastAsia="宋体" w:cs="宋体"/>
          <w:spacing w:val="-6"/>
          <w:sz w:val="21"/>
          <w:szCs w:val="21"/>
        </w:rPr>
        <w:t>责任和义务。</w:t>
      </w:r>
    </w:p>
    <w:p w14:paraId="77389CF2">
      <w:pPr>
        <w:spacing w:line="356" w:lineRule="auto"/>
        <w:ind w:left="26" w:right="46" w:firstLine="418"/>
        <w:rPr>
          <w:rFonts w:ascii="宋体" w:hAnsi="宋体" w:eastAsia="宋体" w:cs="宋体"/>
          <w:sz w:val="21"/>
          <w:szCs w:val="21"/>
        </w:rPr>
      </w:pPr>
      <w:r>
        <w:rPr>
          <w:rFonts w:ascii="Times New Roman" w:hAnsi="Times New Roman" w:eastAsia="Times New Roman" w:cs="Times New Roman"/>
          <w:spacing w:val="-1"/>
          <w:sz w:val="21"/>
          <w:szCs w:val="21"/>
        </w:rPr>
        <w:t xml:space="preserve">9.2.2        </w:t>
      </w:r>
      <w:r>
        <w:rPr>
          <w:rFonts w:ascii="宋体" w:hAnsi="宋体" w:eastAsia="宋体" w:cs="宋体"/>
          <w:spacing w:val="-1"/>
          <w:sz w:val="21"/>
          <w:szCs w:val="21"/>
        </w:rPr>
        <w:t>如果使用替代品，承包人应至</w:t>
      </w:r>
      <w:r>
        <w:rPr>
          <w:rFonts w:ascii="宋体" w:hAnsi="宋体" w:eastAsia="宋体" w:cs="宋体"/>
          <w:spacing w:val="-2"/>
          <w:sz w:val="21"/>
          <w:szCs w:val="21"/>
        </w:rPr>
        <w:t>少在被替代品按批准的进度计划用于永久工程前</w:t>
      </w:r>
      <w:r>
        <w:rPr>
          <w:rFonts w:ascii="Times New Roman" w:hAnsi="Times New Roman" w:eastAsia="Times New Roman" w:cs="Times New Roman"/>
          <w:spacing w:val="-3"/>
          <w:sz w:val="21"/>
          <w:szCs w:val="21"/>
        </w:rPr>
        <w:t>56</w:t>
      </w:r>
      <w:r>
        <w:rPr>
          <w:rFonts w:ascii="Times New Roman" w:hAnsi="Times New Roman" w:eastAsia="Times New Roman" w:cs="Times New Roman"/>
          <w:spacing w:val="36"/>
          <w:sz w:val="21"/>
          <w:szCs w:val="21"/>
        </w:rPr>
        <w:t xml:space="preserve"> </w:t>
      </w:r>
      <w:r>
        <w:rPr>
          <w:rFonts w:ascii="宋体" w:hAnsi="宋体" w:eastAsia="宋体" w:cs="宋体"/>
          <w:spacing w:val="-3"/>
          <w:sz w:val="21"/>
          <w:szCs w:val="21"/>
        </w:rPr>
        <w:t>天以书面形式通知监理人并随此通知提交下列文件：</w:t>
      </w:r>
    </w:p>
    <w:p w14:paraId="1E958025">
      <w:pPr>
        <w:spacing w:before="2" w:line="334" w:lineRule="auto"/>
        <w:ind w:left="25" w:right="112" w:firstLine="420"/>
        <w:rPr>
          <w:rFonts w:ascii="宋体" w:hAnsi="宋体" w:eastAsia="宋体" w:cs="宋体"/>
          <w:sz w:val="21"/>
          <w:szCs w:val="21"/>
        </w:rPr>
      </w:pPr>
      <w:r>
        <w:rPr>
          <w:rFonts w:ascii="Times New Roman" w:hAnsi="Times New Roman" w:eastAsia="Times New Roman" w:cs="Times New Roman"/>
          <w:spacing w:val="1"/>
          <w:sz w:val="21"/>
          <w:szCs w:val="21"/>
        </w:rPr>
        <w:t>(1)</w:t>
      </w:r>
      <w:r>
        <w:rPr>
          <w:rFonts w:ascii="宋体" w:hAnsi="宋体" w:eastAsia="宋体" w:cs="宋体"/>
          <w:spacing w:val="1"/>
          <w:sz w:val="21"/>
          <w:szCs w:val="21"/>
        </w:rPr>
        <w:t>拟被替代的合同约定的材料和工程设备的名称、数量、规格、型号、品牌、性能、</w:t>
      </w:r>
      <w:r>
        <w:rPr>
          <w:rFonts w:ascii="宋体" w:hAnsi="宋体" w:eastAsia="宋体" w:cs="宋体"/>
          <w:spacing w:val="-5"/>
          <w:sz w:val="21"/>
          <w:szCs w:val="21"/>
        </w:rPr>
        <w:t>价格及其他任何详细资料；</w:t>
      </w:r>
    </w:p>
    <w:p w14:paraId="6D0A90B9">
      <w:pPr>
        <w:spacing w:before="33" w:line="349" w:lineRule="auto"/>
        <w:ind w:left="26" w:right="77" w:firstLine="418"/>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拟采用的替代品的名称、数量、规格、型号、品牌、性能、价格及其他任何必</w:t>
      </w:r>
      <w:r>
        <w:rPr>
          <w:rFonts w:ascii="宋体" w:hAnsi="宋体" w:eastAsia="宋体" w:cs="宋体"/>
          <w:spacing w:val="1"/>
          <w:sz w:val="21"/>
          <w:szCs w:val="21"/>
        </w:rPr>
        <w:t>要的</w:t>
      </w:r>
      <w:r>
        <w:rPr>
          <w:rFonts w:ascii="宋体" w:hAnsi="宋体" w:eastAsia="宋体" w:cs="宋体"/>
          <w:spacing w:val="-10"/>
          <w:sz w:val="21"/>
          <w:szCs w:val="21"/>
        </w:rPr>
        <w:t>详细资料；</w:t>
      </w:r>
    </w:p>
    <w:p w14:paraId="0B1FBC1D">
      <w:pPr>
        <w:spacing w:before="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(3)</w:t>
      </w:r>
      <w:r>
        <w:rPr>
          <w:rFonts w:ascii="宋体" w:hAnsi="宋体" w:eastAsia="宋体" w:cs="宋体"/>
          <w:spacing w:val="-3"/>
          <w:sz w:val="21"/>
          <w:szCs w:val="21"/>
        </w:rPr>
        <w:t>替代品使用的工程部位；</w:t>
      </w:r>
    </w:p>
    <w:p w14:paraId="36FD371B">
      <w:pPr>
        <w:spacing w:before="16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采用替代品的理由和原因说明；</w:t>
      </w:r>
    </w:p>
    <w:p w14:paraId="0F3E2E64">
      <w:pPr>
        <w:spacing w:before="163" w:line="337" w:lineRule="auto"/>
        <w:ind w:left="34" w:right="77" w:firstLine="410"/>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替代品与合同中约定的产品之间的差异以及使用替代品后可能对工程产生的任</w:t>
      </w:r>
      <w:r>
        <w:rPr>
          <w:rFonts w:ascii="宋体" w:hAnsi="宋体" w:eastAsia="宋体" w:cs="宋体"/>
          <w:spacing w:val="1"/>
          <w:sz w:val="21"/>
          <w:szCs w:val="21"/>
        </w:rPr>
        <w:t>何影</w:t>
      </w:r>
      <w:r>
        <w:rPr>
          <w:rFonts w:ascii="宋体" w:hAnsi="宋体" w:eastAsia="宋体" w:cs="宋体"/>
          <w:spacing w:val="-17"/>
          <w:sz w:val="21"/>
          <w:szCs w:val="21"/>
        </w:rPr>
        <w:t>响；</w:t>
      </w:r>
    </w:p>
    <w:p w14:paraId="30AFAF9C">
      <w:pPr>
        <w:spacing w:before="29"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(6)</w:t>
      </w:r>
      <w:r>
        <w:rPr>
          <w:rFonts w:ascii="宋体" w:hAnsi="宋体" w:eastAsia="宋体" w:cs="宋体"/>
          <w:spacing w:val="-4"/>
          <w:sz w:val="21"/>
          <w:szCs w:val="21"/>
        </w:rPr>
        <w:t>价格上的差异；</w:t>
      </w:r>
    </w:p>
    <w:p w14:paraId="48DD3364">
      <w:pPr>
        <w:spacing w:before="163"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(7)</w:t>
      </w:r>
      <w:r>
        <w:rPr>
          <w:rFonts w:ascii="宋体" w:hAnsi="宋体" w:eastAsia="宋体" w:cs="宋体"/>
          <w:spacing w:val="-1"/>
          <w:sz w:val="21"/>
          <w:szCs w:val="21"/>
        </w:rPr>
        <w:t>监理人为做出适当的决定而随时要求承包人提供的任何其他文件。</w:t>
      </w:r>
    </w:p>
    <w:p w14:paraId="2A7F777E">
      <w:pPr>
        <w:spacing w:before="148" w:line="352" w:lineRule="auto"/>
        <w:ind w:left="23" w:right="67" w:firstLine="422"/>
        <w:jc w:val="both"/>
        <w:rPr>
          <w:rFonts w:ascii="宋体" w:hAnsi="宋体" w:eastAsia="宋体" w:cs="宋体"/>
          <w:sz w:val="21"/>
          <w:szCs w:val="21"/>
        </w:rPr>
      </w:pPr>
      <w:r>
        <w:rPr>
          <w:rFonts w:ascii="宋体" w:hAnsi="宋体" w:eastAsia="宋体" w:cs="宋体"/>
          <w:sz w:val="21"/>
          <w:szCs w:val="21"/>
        </w:rPr>
        <w:t xml:space="preserve">监理人在收到此类通知及上述文件后，应在 </w:t>
      </w:r>
      <w:r>
        <w:rPr>
          <w:rFonts w:ascii="Times New Roman" w:hAnsi="Times New Roman" w:eastAsia="Times New Roman" w:cs="Times New Roman"/>
          <w:sz w:val="21"/>
          <w:szCs w:val="21"/>
        </w:rPr>
        <w:t xml:space="preserve">28  </w:t>
      </w:r>
      <w:r>
        <w:rPr>
          <w:rFonts w:ascii="宋体" w:hAnsi="宋体" w:eastAsia="宋体" w:cs="宋体"/>
          <w:sz w:val="21"/>
          <w:szCs w:val="21"/>
        </w:rPr>
        <w:t xml:space="preserve">天内向承包人给出书面指示。如果 </w:t>
      </w:r>
      <w:r>
        <w:rPr>
          <w:rFonts w:ascii="Times New Roman" w:hAnsi="Times New Roman" w:eastAsia="Times New Roman" w:cs="Times New Roman"/>
          <w:sz w:val="21"/>
          <w:szCs w:val="21"/>
        </w:rPr>
        <w:t>28</w:t>
      </w:r>
      <w:r>
        <w:rPr>
          <w:rFonts w:ascii="宋体" w:hAnsi="宋体" w:eastAsia="宋体" w:cs="宋体"/>
          <w:spacing w:val="-2"/>
          <w:sz w:val="21"/>
          <w:szCs w:val="21"/>
        </w:rPr>
        <w:t>天内监理人未给出书面指示，应视为监理人和发包人已经批准使用上述替代</w:t>
      </w:r>
      <w:r>
        <w:rPr>
          <w:rFonts w:ascii="宋体" w:hAnsi="宋体" w:eastAsia="宋体" w:cs="宋体"/>
          <w:spacing w:val="-3"/>
          <w:sz w:val="21"/>
          <w:szCs w:val="21"/>
        </w:rPr>
        <w:t>品，承包人可以</w:t>
      </w:r>
      <w:r>
        <w:rPr>
          <w:rFonts w:ascii="宋体" w:hAnsi="宋体" w:eastAsia="宋体" w:cs="宋体"/>
          <w:spacing w:val="-4"/>
          <w:sz w:val="21"/>
          <w:szCs w:val="21"/>
        </w:rPr>
        <w:t>据此使用替代品。</w:t>
      </w:r>
    </w:p>
    <w:p w14:paraId="2F962A68">
      <w:pPr>
        <w:spacing w:before="1" w:line="232" w:lineRule="auto"/>
        <w:ind w:left="444"/>
        <w:rPr>
          <w:rFonts w:ascii="宋体" w:hAnsi="宋体" w:eastAsia="宋体" w:cs="宋体"/>
          <w:sz w:val="21"/>
          <w:szCs w:val="21"/>
        </w:rPr>
      </w:pPr>
      <w:r>
        <w:rPr>
          <w:rFonts w:ascii="Times New Roman" w:hAnsi="Times New Roman" w:eastAsia="Times New Roman" w:cs="Times New Roman"/>
          <w:sz w:val="21"/>
          <w:szCs w:val="21"/>
        </w:rPr>
        <w:t xml:space="preserve">9.2.3        </w:t>
      </w:r>
      <w:r>
        <w:rPr>
          <w:rFonts w:ascii="宋体" w:hAnsi="宋体" w:eastAsia="宋体" w:cs="宋体"/>
          <w:sz w:val="21"/>
          <w:szCs w:val="21"/>
        </w:rPr>
        <w:t>任何情况下，替代品都应遵守本合同中对相关材料</w:t>
      </w:r>
      <w:r>
        <w:rPr>
          <w:rFonts w:ascii="宋体" w:hAnsi="宋体" w:eastAsia="宋体" w:cs="宋体"/>
          <w:spacing w:val="-1"/>
          <w:sz w:val="21"/>
          <w:szCs w:val="21"/>
        </w:rPr>
        <w:t>和工程设备的要求。</w:t>
      </w:r>
    </w:p>
    <w:p w14:paraId="23E7B11C">
      <w:pPr>
        <w:spacing w:before="141" w:line="348" w:lineRule="auto"/>
        <w:ind w:left="25" w:right="46" w:firstLine="419"/>
        <w:rPr>
          <w:rFonts w:ascii="宋体" w:hAnsi="宋体" w:eastAsia="宋体" w:cs="宋体"/>
          <w:sz w:val="21"/>
          <w:szCs w:val="21"/>
        </w:rPr>
      </w:pPr>
      <w:r>
        <w:rPr>
          <w:rFonts w:ascii="Times New Roman" w:hAnsi="Times New Roman" w:eastAsia="Times New Roman" w:cs="Times New Roman"/>
          <w:spacing w:val="-1"/>
          <w:sz w:val="21"/>
          <w:szCs w:val="21"/>
        </w:rPr>
        <w:t xml:space="preserve">9.2.4        </w:t>
      </w:r>
      <w:r>
        <w:rPr>
          <w:rFonts w:ascii="宋体" w:hAnsi="宋体" w:eastAsia="宋体" w:cs="宋体"/>
          <w:spacing w:val="-1"/>
          <w:sz w:val="21"/>
          <w:szCs w:val="21"/>
        </w:rPr>
        <w:t>如果承包人根据本条约定使用</w:t>
      </w:r>
      <w:r>
        <w:rPr>
          <w:rFonts w:ascii="宋体" w:hAnsi="宋体" w:eastAsia="宋体" w:cs="宋体"/>
          <w:spacing w:val="-2"/>
          <w:sz w:val="21"/>
          <w:szCs w:val="21"/>
        </w:rPr>
        <w:t>了替代品，监理人应与承包人适当协商之后并在合理的期限内确定替代材料和工程设备与合同中约定的材料和工程设备之间的价值差值</w:t>
      </w:r>
      <w:r>
        <w:rPr>
          <w:rFonts w:ascii="宋体" w:hAnsi="宋体" w:eastAsia="宋体" w:cs="宋体"/>
          <w:spacing w:val="-3"/>
          <w:sz w:val="21"/>
          <w:szCs w:val="21"/>
        </w:rPr>
        <w:t>，并</w:t>
      </w:r>
      <w:r>
        <w:rPr>
          <w:rFonts w:ascii="宋体" w:hAnsi="宋体" w:eastAsia="宋体" w:cs="宋体"/>
          <w:spacing w:val="-13"/>
          <w:sz w:val="21"/>
          <w:szCs w:val="21"/>
        </w:rPr>
        <w:t>决定：</w:t>
      </w:r>
    </w:p>
    <w:p w14:paraId="0328274F">
      <w:pPr>
        <w:spacing w:before="12" w:line="348" w:lineRule="auto"/>
        <w:ind w:left="42" w:right="77" w:firstLine="402"/>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如果替代材料和工程设备的价值高于合同中约定的材料和工程设备的价值，则</w:t>
      </w:r>
      <w:r>
        <w:rPr>
          <w:rFonts w:ascii="宋体" w:hAnsi="宋体" w:eastAsia="宋体" w:cs="宋体"/>
          <w:spacing w:val="1"/>
          <w:sz w:val="21"/>
          <w:szCs w:val="21"/>
        </w:rPr>
        <w:t>将高</w:t>
      </w:r>
      <w:r>
        <w:rPr>
          <w:rFonts w:ascii="宋体" w:hAnsi="宋体" w:eastAsia="宋体" w:cs="宋体"/>
          <w:spacing w:val="-3"/>
          <w:sz w:val="21"/>
          <w:szCs w:val="21"/>
        </w:rPr>
        <w:t>出部分的价值追加到合同价格中并相应地通知承包人；</w:t>
      </w:r>
    </w:p>
    <w:p w14:paraId="4AEBC8E0">
      <w:pPr>
        <w:spacing w:line="348" w:lineRule="auto"/>
        <w:rPr>
          <w:rFonts w:ascii="宋体" w:hAnsi="宋体" w:eastAsia="宋体" w:cs="宋体"/>
          <w:sz w:val="21"/>
          <w:szCs w:val="21"/>
        </w:rPr>
        <w:sectPr>
          <w:footerReference r:id="rId284" w:type="default"/>
          <w:pgSz w:w="11910" w:h="16845"/>
          <w:pgMar w:top="400" w:right="1718" w:bottom="1110" w:left="1786" w:header="0" w:footer="883" w:gutter="0"/>
          <w:cols w:space="720" w:num="1"/>
        </w:sectPr>
      </w:pPr>
    </w:p>
    <w:p w14:paraId="0491A470">
      <w:pPr>
        <w:pStyle w:val="2"/>
        <w:spacing w:line="275" w:lineRule="auto"/>
      </w:pPr>
    </w:p>
    <w:p w14:paraId="48CFC9D3">
      <w:pPr>
        <w:pStyle w:val="2"/>
        <w:spacing w:line="275" w:lineRule="auto"/>
      </w:pPr>
    </w:p>
    <w:p w14:paraId="5EC1913E">
      <w:pPr>
        <w:pStyle w:val="2"/>
        <w:spacing w:line="275" w:lineRule="auto"/>
      </w:pPr>
    </w:p>
    <w:p w14:paraId="4D115D7E">
      <w:pPr>
        <w:pStyle w:val="2"/>
        <w:spacing w:line="275" w:lineRule="auto"/>
      </w:pPr>
    </w:p>
    <w:p w14:paraId="21485B1C">
      <w:pPr>
        <w:spacing w:before="68" w:line="348" w:lineRule="auto"/>
        <w:ind w:left="24" w:right="101" w:firstLine="420"/>
        <w:rPr>
          <w:rFonts w:ascii="宋体" w:hAnsi="宋体" w:eastAsia="宋体" w:cs="宋体"/>
          <w:sz w:val="21"/>
          <w:szCs w:val="21"/>
        </w:rPr>
      </w:pPr>
      <w:r>
        <w:rPr>
          <w:rFonts w:ascii="Times New Roman" w:hAnsi="Times New Roman" w:eastAsia="Times New Roman" w:cs="Times New Roman"/>
          <w:spacing w:val="1"/>
          <w:sz w:val="21"/>
          <w:szCs w:val="21"/>
        </w:rPr>
        <w:t>(2)(2)</w:t>
      </w:r>
      <w:r>
        <w:rPr>
          <w:rFonts w:ascii="宋体" w:hAnsi="宋体" w:eastAsia="宋体" w:cs="宋体"/>
          <w:spacing w:val="1"/>
          <w:sz w:val="21"/>
          <w:szCs w:val="21"/>
        </w:rPr>
        <w:t>如果替代材料和工程设备的价值低于合同中约定的材料和工程设备的价值，则将</w:t>
      </w:r>
      <w:r>
        <w:rPr>
          <w:rFonts w:ascii="宋体" w:hAnsi="宋体" w:eastAsia="宋体" w:cs="宋体"/>
          <w:spacing w:val="-1"/>
          <w:sz w:val="21"/>
          <w:szCs w:val="21"/>
        </w:rPr>
        <w:t>节余部分的价值从合同价格中扣除并相应地通知承</w:t>
      </w:r>
      <w:r>
        <w:rPr>
          <w:rFonts w:ascii="宋体" w:hAnsi="宋体" w:eastAsia="宋体" w:cs="宋体"/>
          <w:spacing w:val="-2"/>
          <w:sz w:val="21"/>
          <w:szCs w:val="21"/>
        </w:rPr>
        <w:t>包人。</w:t>
      </w:r>
    </w:p>
    <w:p w14:paraId="45BE4025">
      <w:pPr>
        <w:spacing w:before="299" w:line="237" w:lineRule="auto"/>
        <w:ind w:left="49"/>
        <w:outlineLvl w:val="2"/>
        <w:rPr>
          <w:rFonts w:ascii="黑体" w:hAnsi="黑体" w:eastAsia="黑体" w:cs="黑体"/>
          <w:sz w:val="28"/>
          <w:szCs w:val="28"/>
        </w:rPr>
      </w:pPr>
      <w:bookmarkStart w:id="603" w:name="bookmark556"/>
      <w:bookmarkEnd w:id="603"/>
      <w:r>
        <w:rPr>
          <w:rFonts w:ascii="Times New Roman" w:hAnsi="Times New Roman" w:eastAsia="Times New Roman" w:cs="Times New Roman"/>
          <w:spacing w:val="2"/>
          <w:sz w:val="28"/>
          <w:szCs w:val="28"/>
        </w:rPr>
        <w:t>10.</w:t>
      </w:r>
      <w:r>
        <w:rPr>
          <w:rFonts w:ascii="黑体" w:hAnsi="黑体" w:eastAsia="黑体" w:cs="黑体"/>
          <w:spacing w:val="2"/>
          <w:sz w:val="28"/>
          <w:szCs w:val="28"/>
        </w:rPr>
        <w:t>进口材料和工程设备</w:t>
      </w:r>
    </w:p>
    <w:p w14:paraId="256D4AA7">
      <w:pPr>
        <w:pStyle w:val="2"/>
        <w:spacing w:line="430" w:lineRule="auto"/>
      </w:pPr>
    </w:p>
    <w:p w14:paraId="2F3B142E">
      <w:pPr>
        <w:spacing w:before="6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10.1        </w:t>
      </w:r>
      <w:r>
        <w:rPr>
          <w:rFonts w:ascii="宋体" w:hAnsi="宋体" w:eastAsia="宋体" w:cs="宋体"/>
          <w:spacing w:val="-1"/>
          <w:sz w:val="21"/>
          <w:szCs w:val="21"/>
        </w:rPr>
        <w:t>本工程需要进口的</w:t>
      </w:r>
      <w:r>
        <w:rPr>
          <w:rFonts w:ascii="宋体" w:hAnsi="宋体" w:eastAsia="宋体" w:cs="宋体"/>
          <w:spacing w:val="-2"/>
          <w:sz w:val="21"/>
          <w:szCs w:val="21"/>
        </w:rPr>
        <w:t>材料和工程设备如下：</w:t>
      </w:r>
    </w:p>
    <w:p w14:paraId="059452F4">
      <w:pPr>
        <w:pStyle w:val="2"/>
        <w:spacing w:line="271" w:lineRule="auto"/>
      </w:pPr>
    </w:p>
    <w:p w14:paraId="0D5022A0">
      <w:pPr>
        <w:pStyle w:val="2"/>
        <w:spacing w:line="271" w:lineRule="auto"/>
      </w:pPr>
      <w:r>
        <w:pict>
          <v:shape id="_x0000_s1265" o:spid="_x0000_s1265" style="position:absolute;left:0pt;margin-left:27.05pt;margin-top:7.65pt;height:0.75pt;width:352.25pt;z-index:251908096;mso-width-relative:page;mso-height-relative:page;" fillcolor="#000000" filled="t" stroked="f" coordsize="7045,15" path="m0,15l7044,15,7044,0,0,0,0,15xe">
            <v:path/>
            <v:fill on="t" focussize="0,0"/>
            <v:stroke on="f"/>
            <v:imagedata o:title=""/>
            <o:lock v:ext="edit"/>
          </v:shape>
        </w:pict>
      </w:r>
    </w:p>
    <w:p w14:paraId="1F3E8107">
      <w:pPr>
        <w:pStyle w:val="2"/>
        <w:spacing w:line="272" w:lineRule="auto"/>
      </w:pPr>
    </w:p>
    <w:p w14:paraId="3DD6E53A">
      <w:pPr>
        <w:pStyle w:val="2"/>
        <w:spacing w:line="272" w:lineRule="auto"/>
      </w:pPr>
      <w:r>
        <w:pict>
          <v:shape id="_x0000_s1266" o:spid="_x0000_s1266" style="position:absolute;left:0pt;margin-left:21.8pt;margin-top:1.35pt;height:0.75pt;width:352.25pt;z-index:251909120;mso-width-relative:page;mso-height-relative:page;" fillcolor="#000000" filled="t" stroked="f" coordsize="7045,15" path="m0,15l7044,15,7044,0,0,0,0,15xe">
            <v:path/>
            <v:fill on="t" focussize="0,0"/>
            <v:stroke on="f"/>
            <v:imagedata o:title=""/>
            <o:lock v:ext="edit"/>
          </v:shape>
        </w:pict>
      </w:r>
    </w:p>
    <w:p w14:paraId="6ED2E56F">
      <w:pPr>
        <w:spacing w:before="69" w:line="105" w:lineRule="exact"/>
        <w:ind w:left="7509"/>
        <w:rPr>
          <w:rFonts w:ascii="宋体" w:hAnsi="宋体" w:eastAsia="宋体" w:cs="宋体"/>
          <w:sz w:val="21"/>
          <w:szCs w:val="21"/>
        </w:rPr>
      </w:pPr>
      <w:r>
        <w:pict>
          <v:shape id="_x0000_s1267" o:spid="_x0000_s1267" style="position:absolute;left:0pt;margin-left:21.8pt;margin-top:7.2pt;height:0.75pt;width:352.25pt;z-index:25190604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0BE9C5A8">
      <w:pPr>
        <w:spacing w:before="163" w:line="347" w:lineRule="auto"/>
        <w:ind w:left="35" w:right="108" w:firstLine="425"/>
        <w:rPr>
          <w:rFonts w:ascii="宋体" w:hAnsi="宋体" w:eastAsia="宋体" w:cs="宋体"/>
          <w:sz w:val="21"/>
          <w:szCs w:val="21"/>
        </w:rPr>
      </w:pPr>
      <w:r>
        <w:rPr>
          <w:rFonts w:ascii="Times New Roman" w:hAnsi="Times New Roman" w:eastAsia="Times New Roman" w:cs="Times New Roman"/>
          <w:spacing w:val="2"/>
          <w:sz w:val="21"/>
          <w:szCs w:val="21"/>
        </w:rPr>
        <w:t xml:space="preserve">10.2        </w:t>
      </w:r>
      <w:r>
        <w:rPr>
          <w:rFonts w:ascii="宋体" w:hAnsi="宋体" w:eastAsia="宋体" w:cs="宋体"/>
          <w:spacing w:val="2"/>
          <w:sz w:val="21"/>
          <w:szCs w:val="21"/>
        </w:rPr>
        <w:t>上述进口材料和工程设备采购</w:t>
      </w:r>
      <w:r>
        <w:rPr>
          <w:rFonts w:ascii="宋体" w:hAnsi="宋体" w:eastAsia="宋体" w:cs="宋体"/>
          <w:spacing w:val="1"/>
          <w:sz w:val="21"/>
          <w:szCs w:val="21"/>
        </w:rPr>
        <w:t>、进口、报关、清关、商检、境内运输</w:t>
      </w:r>
      <w:r>
        <w:rPr>
          <w:rFonts w:ascii="Times New Roman" w:hAnsi="Times New Roman" w:eastAsia="Times New Roman" w:cs="Times New Roman"/>
          <w:spacing w:val="1"/>
          <w:sz w:val="21"/>
          <w:szCs w:val="21"/>
        </w:rPr>
        <w:t>(</w:t>
      </w:r>
      <w:r>
        <w:rPr>
          <w:rFonts w:ascii="宋体" w:hAnsi="宋体" w:eastAsia="宋体" w:cs="宋体"/>
          <w:spacing w:val="1"/>
          <w:sz w:val="21"/>
          <w:szCs w:val="21"/>
        </w:rPr>
        <w:t>包括保</w:t>
      </w:r>
      <w:r>
        <w:rPr>
          <w:rFonts w:ascii="宋体" w:hAnsi="宋体" w:eastAsia="宋体" w:cs="宋体"/>
          <w:spacing w:val="-3"/>
          <w:sz w:val="21"/>
          <w:szCs w:val="21"/>
        </w:rPr>
        <w:t>险</w:t>
      </w:r>
      <w:r>
        <w:rPr>
          <w:rFonts w:ascii="Times New Roman" w:hAnsi="Times New Roman" w:eastAsia="Times New Roman" w:cs="Times New Roman"/>
          <w:spacing w:val="-3"/>
          <w:sz w:val="21"/>
          <w:szCs w:val="21"/>
        </w:rPr>
        <w:t>)</w:t>
      </w:r>
      <w:r>
        <w:rPr>
          <w:rFonts w:ascii="宋体" w:hAnsi="宋体" w:eastAsia="宋体" w:cs="宋体"/>
          <w:spacing w:val="-3"/>
          <w:sz w:val="21"/>
          <w:szCs w:val="21"/>
        </w:rPr>
        <w:t>、保管的责任以及费用承担方式划分如下：</w:t>
      </w:r>
    </w:p>
    <w:p w14:paraId="5D75638F">
      <w:pPr>
        <w:pStyle w:val="2"/>
        <w:spacing w:line="242" w:lineRule="auto"/>
      </w:pPr>
    </w:p>
    <w:p w14:paraId="5861B7C8">
      <w:pPr>
        <w:pStyle w:val="2"/>
        <w:spacing w:line="242" w:lineRule="auto"/>
      </w:pPr>
      <w:r>
        <w:pict>
          <v:shape id="_x0000_s1268" o:spid="_x0000_s1268" style="position:absolute;left:0pt;margin-left:27.05pt;margin-top:3.2pt;height:0.75pt;width:352.25pt;z-index:251907072;mso-width-relative:page;mso-height-relative:page;" fillcolor="#000000" filled="t" stroked="f" coordsize="7045,15" path="m0,15l7044,15,7044,0,0,0,0,15xe">
            <v:path/>
            <v:fill on="t" focussize="0,0"/>
            <v:stroke on="f"/>
            <v:imagedata o:title=""/>
            <o:lock v:ext="edit"/>
          </v:shape>
        </w:pict>
      </w:r>
    </w:p>
    <w:p w14:paraId="0140440A">
      <w:pPr>
        <w:pStyle w:val="2"/>
        <w:spacing w:line="242" w:lineRule="auto"/>
      </w:pPr>
      <w:r>
        <w:pict>
          <v:shape id="_x0000_s1269" o:spid="_x0000_s1269" style="position:absolute;left:0pt;margin-left:21.8pt;margin-top:12pt;height:0.75pt;width:352.25pt;z-index:251911168;mso-width-relative:page;mso-height-relative:page;" fillcolor="#000000" filled="t" stroked="f" coordsize="7045,15" path="m0,15l7044,15,7044,0,0,0,0,15xe">
            <v:path/>
            <v:fill on="t" focussize="0,0"/>
            <v:stroke on="f"/>
            <v:imagedata o:title=""/>
            <o:lock v:ext="edit"/>
          </v:shape>
        </w:pict>
      </w:r>
    </w:p>
    <w:p w14:paraId="3B09879C">
      <w:pPr>
        <w:pStyle w:val="2"/>
        <w:spacing w:line="243" w:lineRule="auto"/>
      </w:pPr>
    </w:p>
    <w:p w14:paraId="142E33BF">
      <w:pPr>
        <w:spacing w:before="68" w:line="106" w:lineRule="exact"/>
        <w:ind w:left="7509"/>
        <w:rPr>
          <w:rFonts w:ascii="宋体" w:hAnsi="宋体" w:eastAsia="宋体" w:cs="宋体"/>
          <w:sz w:val="21"/>
          <w:szCs w:val="21"/>
        </w:rPr>
      </w:pPr>
      <w:r>
        <w:pict>
          <v:shape id="_x0000_s1270" o:spid="_x0000_s1270" style="position:absolute;left:0pt;margin-left:21.8pt;margin-top:7.15pt;height:0.75pt;width:352.25pt;z-index:251910144;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0846E33B">
      <w:pPr>
        <w:pStyle w:val="2"/>
        <w:spacing w:line="365" w:lineRule="auto"/>
      </w:pPr>
    </w:p>
    <w:p w14:paraId="21EF7A7B">
      <w:pPr>
        <w:spacing w:before="92" w:line="237" w:lineRule="auto"/>
        <w:ind w:left="49"/>
        <w:outlineLvl w:val="2"/>
        <w:rPr>
          <w:rFonts w:ascii="黑体" w:hAnsi="黑体" w:eastAsia="黑体" w:cs="黑体"/>
          <w:sz w:val="28"/>
          <w:szCs w:val="28"/>
        </w:rPr>
      </w:pPr>
      <w:bookmarkStart w:id="604" w:name="bookmark557"/>
      <w:bookmarkEnd w:id="604"/>
      <w:r>
        <w:rPr>
          <w:rFonts w:ascii="Times New Roman" w:hAnsi="Times New Roman" w:eastAsia="Times New Roman" w:cs="Times New Roman"/>
          <w:spacing w:val="1"/>
          <w:sz w:val="28"/>
          <w:szCs w:val="28"/>
        </w:rPr>
        <w:t>11.</w:t>
      </w:r>
      <w:r>
        <w:rPr>
          <w:rFonts w:ascii="黑体" w:hAnsi="黑体" w:eastAsia="黑体" w:cs="黑体"/>
          <w:spacing w:val="1"/>
          <w:sz w:val="28"/>
          <w:szCs w:val="28"/>
        </w:rPr>
        <w:t>进度报告和进度例会</w:t>
      </w:r>
    </w:p>
    <w:p w14:paraId="75A166D2">
      <w:pPr>
        <w:pStyle w:val="2"/>
        <w:spacing w:line="447" w:lineRule="auto"/>
      </w:pPr>
    </w:p>
    <w:p w14:paraId="2B5E5898">
      <w:pPr>
        <w:spacing w:before="91" w:line="237" w:lineRule="auto"/>
        <w:ind w:left="49"/>
        <w:outlineLvl w:val="3"/>
        <w:rPr>
          <w:rFonts w:ascii="黑体" w:hAnsi="黑体" w:eastAsia="黑体" w:cs="黑体"/>
          <w:sz w:val="28"/>
          <w:szCs w:val="28"/>
        </w:rPr>
      </w:pPr>
      <w:r>
        <w:rPr>
          <w:rFonts w:ascii="Times New Roman" w:hAnsi="Times New Roman" w:eastAsia="Times New Roman" w:cs="Times New Roman"/>
          <w:sz w:val="28"/>
          <w:szCs w:val="28"/>
        </w:rPr>
        <w:t xml:space="preserve">11.1  </w:t>
      </w:r>
      <w:r>
        <w:rPr>
          <w:rFonts w:ascii="黑体" w:hAnsi="黑体" w:eastAsia="黑体" w:cs="黑体"/>
          <w:sz w:val="28"/>
          <w:szCs w:val="28"/>
        </w:rPr>
        <w:t>进度报告</w:t>
      </w:r>
    </w:p>
    <w:p w14:paraId="2B973B5E">
      <w:pPr>
        <w:pStyle w:val="2"/>
        <w:spacing w:line="444" w:lineRule="auto"/>
      </w:pPr>
    </w:p>
    <w:p w14:paraId="2270167E">
      <w:pPr>
        <w:spacing w:before="69" w:line="350" w:lineRule="auto"/>
        <w:ind w:left="23" w:right="12" w:firstLine="437"/>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11.1.1      </w:t>
      </w:r>
      <w:r>
        <w:rPr>
          <w:rFonts w:ascii="宋体" w:hAnsi="宋体" w:eastAsia="宋体" w:cs="宋体"/>
          <w:spacing w:val="-2"/>
          <w:sz w:val="21"/>
          <w:szCs w:val="21"/>
        </w:rPr>
        <w:t>施工过程中，承包人应向监理人指定的代表呈递一份每日的日进度报表、每周</w:t>
      </w:r>
      <w:r>
        <w:rPr>
          <w:rFonts w:ascii="宋体" w:hAnsi="宋体" w:eastAsia="宋体" w:cs="宋体"/>
          <w:spacing w:val="-5"/>
          <w:sz w:val="21"/>
          <w:szCs w:val="21"/>
        </w:rPr>
        <w:t>的周进度报表和每月的月进度报表。除非监理人同意，日进度报表</w:t>
      </w:r>
      <w:r>
        <w:rPr>
          <w:rFonts w:ascii="宋体" w:hAnsi="宋体" w:eastAsia="宋体" w:cs="宋体"/>
          <w:spacing w:val="-6"/>
          <w:sz w:val="21"/>
          <w:szCs w:val="21"/>
        </w:rPr>
        <w:t>应在次日上午九点前递交，</w:t>
      </w:r>
      <w:r>
        <w:rPr>
          <w:rFonts w:ascii="宋体" w:hAnsi="宋体" w:eastAsia="宋体" w:cs="宋体"/>
          <w:spacing w:val="-3"/>
          <w:sz w:val="21"/>
          <w:szCs w:val="21"/>
        </w:rPr>
        <w:t>周进度报表应在次周的周一上午九时前递交，月进度报表应随合同条款第</w:t>
      </w:r>
      <w:r>
        <w:rPr>
          <w:rFonts w:ascii="宋体" w:hAnsi="宋体" w:eastAsia="宋体" w:cs="宋体"/>
          <w:spacing w:val="-16"/>
          <w:sz w:val="21"/>
          <w:szCs w:val="21"/>
        </w:rPr>
        <w:t xml:space="preserve"> </w:t>
      </w:r>
      <w:r>
        <w:rPr>
          <w:rFonts w:ascii="Times New Roman" w:hAnsi="Times New Roman" w:eastAsia="Times New Roman" w:cs="Times New Roman"/>
          <w:spacing w:val="-3"/>
          <w:sz w:val="21"/>
          <w:szCs w:val="21"/>
        </w:rPr>
        <w:t>17.3.2</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项约定的进度付款申请单一并递交。</w:t>
      </w:r>
    </w:p>
    <w:p w14:paraId="77406F3E">
      <w:pPr>
        <w:spacing w:before="16" w:line="351" w:lineRule="auto"/>
        <w:ind w:left="23" w:right="21" w:firstLine="437"/>
        <w:jc w:val="both"/>
        <w:rPr>
          <w:rFonts w:ascii="宋体" w:hAnsi="宋体" w:eastAsia="宋体" w:cs="宋体"/>
          <w:sz w:val="21"/>
          <w:szCs w:val="21"/>
        </w:rPr>
      </w:pPr>
      <w:r>
        <w:rPr>
          <w:rFonts w:ascii="Times New Roman" w:hAnsi="Times New Roman" w:eastAsia="Times New Roman" w:cs="Times New Roman"/>
          <w:spacing w:val="-3"/>
          <w:sz w:val="21"/>
          <w:szCs w:val="21"/>
        </w:rPr>
        <w:t xml:space="preserve">11.1.2       </w:t>
      </w:r>
      <w:r>
        <w:rPr>
          <w:rFonts w:ascii="宋体" w:hAnsi="宋体" w:eastAsia="宋体" w:cs="宋体"/>
          <w:spacing w:val="-3"/>
          <w:sz w:val="21"/>
          <w:szCs w:val="21"/>
        </w:rPr>
        <w:t>日和周进度报表的内容应至少包括每日在现场工作的技术管理人员数量、各工</w:t>
      </w:r>
      <w:r>
        <w:rPr>
          <w:rFonts w:ascii="宋体" w:hAnsi="宋体" w:eastAsia="宋体" w:cs="宋体"/>
          <w:spacing w:val="-5"/>
          <w:sz w:val="21"/>
          <w:szCs w:val="21"/>
        </w:rPr>
        <w:t>种技术工人和非技术工人数量、后勤人员数量</w:t>
      </w:r>
      <w:r>
        <w:rPr>
          <w:rFonts w:ascii="宋体" w:hAnsi="宋体" w:eastAsia="宋体" w:cs="宋体"/>
          <w:spacing w:val="-6"/>
          <w:sz w:val="21"/>
          <w:szCs w:val="21"/>
        </w:rPr>
        <w:t>、参观现场的人员数量，包括分包人人员数量；</w:t>
      </w:r>
      <w:r>
        <w:rPr>
          <w:rFonts w:ascii="宋体" w:hAnsi="宋体" w:eastAsia="宋体" w:cs="宋体"/>
          <w:spacing w:val="-4"/>
          <w:sz w:val="21"/>
          <w:szCs w:val="21"/>
        </w:rPr>
        <w:t>还应包括所使用的各种主要机械设备和车辆</w:t>
      </w:r>
      <w:r>
        <w:rPr>
          <w:rFonts w:ascii="宋体" w:hAnsi="宋体" w:eastAsia="宋体" w:cs="宋体"/>
          <w:spacing w:val="-5"/>
          <w:sz w:val="21"/>
          <w:szCs w:val="21"/>
        </w:rPr>
        <w:t>的型号、数量和台班， 工作的区段，以及工程进</w:t>
      </w:r>
      <w:r>
        <w:rPr>
          <w:rFonts w:ascii="宋体" w:hAnsi="宋体" w:eastAsia="宋体" w:cs="宋体"/>
          <w:spacing w:val="-2"/>
          <w:sz w:val="21"/>
          <w:szCs w:val="21"/>
        </w:rPr>
        <w:t>度情况、天气情况记录、停工、质量和安全事故等特别事项说明；此外，应附上每日进场材</w:t>
      </w:r>
      <w:r>
        <w:rPr>
          <w:rFonts w:ascii="宋体" w:hAnsi="宋体" w:eastAsia="宋体" w:cs="宋体"/>
          <w:spacing w:val="-1"/>
          <w:sz w:val="21"/>
          <w:szCs w:val="21"/>
        </w:rPr>
        <w:t>料、物品或设备的分类汇总表、用于次日或次周的工程进度计划等。</w:t>
      </w:r>
    </w:p>
    <w:p w14:paraId="490C6713">
      <w:pPr>
        <w:spacing w:before="4" w:line="351" w:lineRule="auto"/>
        <w:ind w:left="23" w:firstLine="437"/>
        <w:jc w:val="both"/>
        <w:rPr>
          <w:rFonts w:ascii="宋体" w:hAnsi="宋体" w:eastAsia="宋体" w:cs="宋体"/>
          <w:sz w:val="21"/>
          <w:szCs w:val="21"/>
        </w:rPr>
      </w:pPr>
      <w:r>
        <w:rPr>
          <w:rFonts w:ascii="Times New Roman" w:hAnsi="Times New Roman" w:eastAsia="Times New Roman" w:cs="Times New Roman"/>
          <w:spacing w:val="1"/>
          <w:sz w:val="21"/>
          <w:szCs w:val="21"/>
        </w:rPr>
        <w:t xml:space="preserve">11.1.3      </w:t>
      </w:r>
      <w:r>
        <w:rPr>
          <w:rFonts w:ascii="宋体" w:hAnsi="宋体" w:eastAsia="宋体" w:cs="宋体"/>
          <w:spacing w:val="1"/>
          <w:sz w:val="21"/>
          <w:szCs w:val="21"/>
        </w:rPr>
        <w:t>月进度报表应当反映</w:t>
      </w:r>
      <w:r>
        <w:rPr>
          <w:rFonts w:ascii="宋体" w:hAnsi="宋体" w:eastAsia="宋体" w:cs="宋体"/>
          <w:sz w:val="21"/>
          <w:szCs w:val="21"/>
        </w:rPr>
        <w:t>月完成工程量和累计完成工程量</w:t>
      </w:r>
      <w:r>
        <w:rPr>
          <w:rFonts w:ascii="Times New Roman" w:hAnsi="Times New Roman" w:eastAsia="Times New Roman" w:cs="Times New Roman"/>
          <w:sz w:val="21"/>
          <w:szCs w:val="21"/>
        </w:rPr>
        <w:t>(</w:t>
      </w:r>
      <w:r>
        <w:rPr>
          <w:rFonts w:ascii="宋体" w:hAnsi="宋体" w:eastAsia="宋体" w:cs="宋体"/>
          <w:sz w:val="21"/>
          <w:szCs w:val="21"/>
        </w:rPr>
        <w:t>包括永久工程和临时工</w:t>
      </w:r>
      <w:r>
        <w:rPr>
          <w:rFonts w:ascii="宋体" w:hAnsi="宋体" w:eastAsia="宋体" w:cs="宋体"/>
          <w:spacing w:val="1"/>
          <w:sz w:val="21"/>
          <w:szCs w:val="21"/>
        </w:rPr>
        <w:t>程</w:t>
      </w:r>
      <w:r>
        <w:rPr>
          <w:rFonts w:ascii="Times New Roman" w:hAnsi="Times New Roman" w:eastAsia="Times New Roman" w:cs="Times New Roman"/>
          <w:spacing w:val="1"/>
          <w:sz w:val="21"/>
          <w:szCs w:val="21"/>
        </w:rPr>
        <w:t>)</w:t>
      </w:r>
      <w:r>
        <w:rPr>
          <w:rFonts w:ascii="宋体" w:hAnsi="宋体" w:eastAsia="宋体" w:cs="宋体"/>
          <w:spacing w:val="1"/>
          <w:sz w:val="21"/>
          <w:szCs w:val="21"/>
        </w:rPr>
        <w:t>、材料实际进货、消耗和库存量、现场施工设备的投运数量和运行状况、工程设备的到</w:t>
      </w:r>
      <w:r>
        <w:rPr>
          <w:rFonts w:ascii="宋体" w:hAnsi="宋体" w:eastAsia="宋体" w:cs="宋体"/>
          <w:sz w:val="21"/>
          <w:szCs w:val="21"/>
        </w:rPr>
        <w:t>货情况、劳动力数量</w:t>
      </w:r>
      <w:r>
        <w:rPr>
          <w:rFonts w:ascii="Times New Roman" w:hAnsi="Times New Roman" w:eastAsia="Times New Roman" w:cs="Times New Roman"/>
          <w:sz w:val="21"/>
          <w:szCs w:val="21"/>
        </w:rPr>
        <w:t>(</w:t>
      </w:r>
      <w:r>
        <w:rPr>
          <w:rFonts w:ascii="宋体" w:hAnsi="宋体" w:eastAsia="宋体" w:cs="宋体"/>
          <w:sz w:val="21"/>
          <w:szCs w:val="21"/>
        </w:rPr>
        <w:t>本月及预计未来三个月劳动力的</w:t>
      </w:r>
      <w:r>
        <w:rPr>
          <w:rFonts w:ascii="宋体" w:hAnsi="宋体" w:eastAsia="宋体" w:cs="宋体"/>
          <w:spacing w:val="-1"/>
          <w:sz w:val="21"/>
          <w:szCs w:val="21"/>
        </w:rPr>
        <w:t>数量</w:t>
      </w:r>
      <w:r>
        <w:rPr>
          <w:rFonts w:ascii="Times New Roman" w:hAnsi="Times New Roman" w:eastAsia="Times New Roman" w:cs="Times New Roman"/>
          <w:spacing w:val="-1"/>
          <w:sz w:val="21"/>
          <w:szCs w:val="21"/>
        </w:rPr>
        <w:t>)</w:t>
      </w:r>
      <w:r>
        <w:rPr>
          <w:rFonts w:ascii="宋体" w:hAnsi="宋体" w:eastAsia="宋体" w:cs="宋体"/>
          <w:spacing w:val="-1"/>
          <w:sz w:val="21"/>
          <w:szCs w:val="21"/>
        </w:rPr>
        <w:t>、当前影响施工进度计划的因素</w:t>
      </w:r>
      <w:r>
        <w:rPr>
          <w:rFonts w:ascii="宋体" w:hAnsi="宋体" w:eastAsia="宋体" w:cs="宋体"/>
          <w:spacing w:val="-5"/>
          <w:sz w:val="21"/>
          <w:szCs w:val="21"/>
        </w:rPr>
        <w:t>和采取的改进措施、进度计划调整及其说明、质量事故和质量缺陷处理纪录、质量状况评价、</w:t>
      </w:r>
      <w:r>
        <w:rPr>
          <w:rFonts w:ascii="宋体" w:hAnsi="宋体" w:eastAsia="宋体" w:cs="宋体"/>
          <w:sz w:val="21"/>
          <w:szCs w:val="21"/>
        </w:rPr>
        <w:t>安全施工措施计划实施情况、安全事故以及人员伤亡和</w:t>
      </w:r>
      <w:r>
        <w:rPr>
          <w:rFonts w:ascii="宋体" w:hAnsi="宋体" w:eastAsia="宋体" w:cs="宋体"/>
          <w:spacing w:val="-1"/>
          <w:sz w:val="21"/>
          <w:szCs w:val="21"/>
        </w:rPr>
        <w:t>财产损失情况</w:t>
      </w:r>
      <w:r>
        <w:rPr>
          <w:rFonts w:ascii="Times New Roman" w:hAnsi="Times New Roman" w:eastAsia="Times New Roman" w:cs="Times New Roman"/>
          <w:spacing w:val="-1"/>
          <w:sz w:val="21"/>
          <w:szCs w:val="21"/>
        </w:rPr>
        <w:t>(</w:t>
      </w:r>
      <w:r>
        <w:rPr>
          <w:rFonts w:ascii="宋体" w:hAnsi="宋体" w:eastAsia="宋体" w:cs="宋体"/>
          <w:spacing w:val="-1"/>
          <w:sz w:val="21"/>
          <w:szCs w:val="21"/>
        </w:rPr>
        <w:t>如果有</w:t>
      </w:r>
      <w:r>
        <w:rPr>
          <w:rFonts w:ascii="Times New Roman" w:hAnsi="Times New Roman" w:eastAsia="Times New Roman" w:cs="Times New Roman"/>
          <w:spacing w:val="-1"/>
          <w:sz w:val="21"/>
          <w:szCs w:val="21"/>
        </w:rPr>
        <w:t>)</w:t>
      </w:r>
      <w:r>
        <w:rPr>
          <w:rFonts w:ascii="宋体" w:hAnsi="宋体" w:eastAsia="宋体" w:cs="宋体"/>
          <w:spacing w:val="-1"/>
          <w:sz w:val="21"/>
          <w:szCs w:val="21"/>
        </w:rPr>
        <w:t>、环境保护措</w:t>
      </w:r>
      <w:r>
        <w:rPr>
          <w:rFonts w:ascii="宋体" w:hAnsi="宋体" w:eastAsia="宋体" w:cs="宋体"/>
          <w:spacing w:val="-2"/>
          <w:sz w:val="21"/>
          <w:szCs w:val="21"/>
        </w:rPr>
        <w:t>施实施和文明施工措施实施情况。</w:t>
      </w:r>
    </w:p>
    <w:p w14:paraId="3B277852">
      <w:pPr>
        <w:spacing w:line="351" w:lineRule="auto"/>
        <w:rPr>
          <w:rFonts w:ascii="宋体" w:hAnsi="宋体" w:eastAsia="宋体" w:cs="宋体"/>
          <w:sz w:val="21"/>
          <w:szCs w:val="21"/>
        </w:rPr>
        <w:sectPr>
          <w:footerReference r:id="rId285" w:type="default"/>
          <w:pgSz w:w="11910" w:h="16845"/>
          <w:pgMar w:top="400" w:right="1693" w:bottom="1110" w:left="1786" w:header="0" w:footer="883" w:gutter="0"/>
          <w:cols w:space="720" w:num="1"/>
        </w:sectPr>
      </w:pPr>
    </w:p>
    <w:p w14:paraId="6D53EA7A">
      <w:pPr>
        <w:pStyle w:val="2"/>
        <w:spacing w:line="275" w:lineRule="auto"/>
      </w:pPr>
    </w:p>
    <w:p w14:paraId="45E97E74">
      <w:pPr>
        <w:pStyle w:val="2"/>
        <w:spacing w:line="275" w:lineRule="auto"/>
      </w:pPr>
    </w:p>
    <w:p w14:paraId="11D4B462">
      <w:pPr>
        <w:pStyle w:val="2"/>
        <w:spacing w:line="275" w:lineRule="auto"/>
      </w:pPr>
    </w:p>
    <w:p w14:paraId="7BA49899">
      <w:pPr>
        <w:pStyle w:val="2"/>
        <w:spacing w:line="276" w:lineRule="auto"/>
      </w:pPr>
    </w:p>
    <w:p w14:paraId="32E8310A">
      <w:pPr>
        <w:spacing w:before="68" w:line="348" w:lineRule="auto"/>
        <w:ind w:left="24" w:right="2" w:firstLine="436"/>
        <w:jc w:val="both"/>
        <w:rPr>
          <w:rFonts w:ascii="宋体" w:hAnsi="宋体" w:eastAsia="宋体" w:cs="宋体"/>
          <w:sz w:val="21"/>
          <w:szCs w:val="21"/>
        </w:rPr>
      </w:pPr>
      <w:r>
        <w:rPr>
          <w:rFonts w:ascii="Times New Roman" w:hAnsi="Times New Roman" w:eastAsia="Times New Roman" w:cs="Times New Roman"/>
          <w:spacing w:val="-2"/>
          <w:sz w:val="21"/>
          <w:szCs w:val="21"/>
        </w:rPr>
        <w:t xml:space="preserve">11.1.4      </w:t>
      </w:r>
      <w:r>
        <w:rPr>
          <w:rFonts w:ascii="宋体" w:hAnsi="宋体" w:eastAsia="宋体" w:cs="宋体"/>
          <w:spacing w:val="-2"/>
          <w:sz w:val="21"/>
          <w:szCs w:val="21"/>
        </w:rPr>
        <w:t>月进度报告还应附有一组充分显示工程形象进度的定点摄影照片。照片应当在经监理人批准的不同位置定期拍摄，每张照片都应标上相应的拍摄日期和简要文字说明，且</w:t>
      </w:r>
      <w:r>
        <w:rPr>
          <w:rFonts w:ascii="宋体" w:hAnsi="宋体" w:eastAsia="宋体" w:cs="宋体"/>
          <w:spacing w:val="-1"/>
          <w:sz w:val="21"/>
          <w:szCs w:val="21"/>
        </w:rPr>
        <w:t>应用经发包人和监理人批准的标准或格式装裱</w:t>
      </w:r>
      <w:r>
        <w:rPr>
          <w:rFonts w:ascii="宋体" w:hAnsi="宋体" w:eastAsia="宋体" w:cs="宋体"/>
          <w:spacing w:val="-2"/>
          <w:sz w:val="21"/>
          <w:szCs w:val="21"/>
        </w:rPr>
        <w:t>后呈交。</w:t>
      </w:r>
    </w:p>
    <w:p w14:paraId="1625512C">
      <w:pPr>
        <w:spacing w:before="13" w:line="348" w:lineRule="auto"/>
        <w:ind w:left="24" w:right="3" w:firstLine="436"/>
        <w:rPr>
          <w:rFonts w:ascii="宋体" w:hAnsi="宋体" w:eastAsia="宋体" w:cs="宋体"/>
          <w:sz w:val="21"/>
          <w:szCs w:val="21"/>
        </w:rPr>
      </w:pPr>
      <w:r>
        <w:rPr>
          <w:rFonts w:ascii="Times New Roman" w:hAnsi="Times New Roman" w:eastAsia="Times New Roman" w:cs="Times New Roman"/>
          <w:spacing w:val="-4"/>
          <w:sz w:val="21"/>
          <w:szCs w:val="21"/>
        </w:rPr>
        <w:t xml:space="preserve">11.1.5      </w:t>
      </w:r>
      <w:r>
        <w:rPr>
          <w:rFonts w:ascii="宋体" w:hAnsi="宋体" w:eastAsia="宋体" w:cs="宋体"/>
          <w:spacing w:val="-4"/>
          <w:sz w:val="21"/>
          <w:szCs w:val="21"/>
        </w:rPr>
        <w:t>各个进度报表的格式和内容应经过监理人的审批。进度报表应如实填写，</w:t>
      </w:r>
      <w:r>
        <w:rPr>
          <w:rFonts w:ascii="宋体" w:hAnsi="宋体" w:eastAsia="宋体" w:cs="宋体"/>
          <w:spacing w:val="-6"/>
          <w:sz w:val="21"/>
          <w:szCs w:val="21"/>
        </w:rPr>
        <w:t xml:space="preserve"> </w:t>
      </w:r>
      <w:r>
        <w:rPr>
          <w:rFonts w:ascii="宋体" w:hAnsi="宋体" w:eastAsia="宋体" w:cs="宋体"/>
          <w:spacing w:val="-4"/>
          <w:sz w:val="21"/>
          <w:szCs w:val="21"/>
        </w:rPr>
        <w:t>由承</w:t>
      </w:r>
      <w:r>
        <w:rPr>
          <w:rFonts w:ascii="宋体" w:hAnsi="宋体" w:eastAsia="宋体" w:cs="宋体"/>
          <w:spacing w:val="-1"/>
          <w:sz w:val="21"/>
          <w:szCs w:val="21"/>
        </w:rPr>
        <w:t>包人授权代表签名，并报监理人的指定代表签名确认后再行分发。</w:t>
      </w:r>
    </w:p>
    <w:p w14:paraId="57CF478A">
      <w:pPr>
        <w:spacing w:before="3" w:line="352" w:lineRule="auto"/>
        <w:ind w:left="23" w:right="2"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11.1.6      </w:t>
      </w:r>
      <w:r>
        <w:rPr>
          <w:rFonts w:ascii="宋体" w:hAnsi="宋体" w:eastAsia="宋体" w:cs="宋体"/>
          <w:spacing w:val="-2"/>
          <w:sz w:val="21"/>
          <w:szCs w:val="21"/>
        </w:rPr>
        <w:t>如果监理人认为必要，进度报告和进度照片应同时以存储在磁盘或光盘中的数据文件的形式递交给发包人和监理人。数据文件采用的应用软件及其版本应经过监理人的审</w:t>
      </w:r>
      <w:r>
        <w:rPr>
          <w:rFonts w:ascii="宋体" w:hAnsi="宋体" w:eastAsia="宋体" w:cs="宋体"/>
          <w:spacing w:val="-10"/>
          <w:sz w:val="21"/>
          <w:szCs w:val="21"/>
        </w:rPr>
        <w:t>批。</w:t>
      </w:r>
    </w:p>
    <w:p w14:paraId="39C8470C">
      <w:pPr>
        <w:spacing w:before="1" w:line="231" w:lineRule="auto"/>
        <w:ind w:left="461"/>
        <w:rPr>
          <w:rFonts w:ascii="宋体" w:hAnsi="宋体" w:eastAsia="宋体" w:cs="宋体"/>
          <w:sz w:val="21"/>
          <w:szCs w:val="21"/>
        </w:rPr>
      </w:pPr>
      <w:r>
        <w:rPr>
          <w:rFonts w:ascii="Times New Roman" w:hAnsi="Times New Roman" w:eastAsia="Times New Roman" w:cs="Times New Roman"/>
          <w:spacing w:val="-3"/>
          <w:sz w:val="21"/>
          <w:szCs w:val="21"/>
        </w:rPr>
        <w:t xml:space="preserve">11.1.7      </w:t>
      </w:r>
      <w:r>
        <w:rPr>
          <w:rFonts w:ascii="宋体" w:hAnsi="宋体" w:eastAsia="宋体" w:cs="宋体"/>
          <w:spacing w:val="-3"/>
          <w:sz w:val="21"/>
          <w:szCs w:val="21"/>
        </w:rPr>
        <w:t>有关进度报告的其他要求：</w:t>
      </w:r>
    </w:p>
    <w:p w14:paraId="6AF3F31B">
      <w:pPr>
        <w:pStyle w:val="2"/>
        <w:spacing w:line="275" w:lineRule="auto"/>
      </w:pPr>
    </w:p>
    <w:p w14:paraId="3BB3752C">
      <w:pPr>
        <w:pStyle w:val="2"/>
        <w:spacing w:line="275" w:lineRule="auto"/>
      </w:pPr>
      <w:r>
        <w:pict>
          <v:shape id="_x0000_s1271" o:spid="_x0000_s1271" style="position:absolute;left:0pt;margin-left:27.05pt;margin-top:8.25pt;height:0.75pt;width:352.25pt;z-index:251916288;mso-width-relative:page;mso-height-relative:page;" fillcolor="#000000" filled="t" stroked="f" coordsize="7045,15" path="m0,15l7044,15,7044,0,0,0,0,15xe">
            <v:path/>
            <v:fill on="t" focussize="0,0"/>
            <v:stroke on="f"/>
            <v:imagedata o:title=""/>
            <o:lock v:ext="edit"/>
          </v:shape>
        </w:pict>
      </w:r>
    </w:p>
    <w:p w14:paraId="30755542">
      <w:pPr>
        <w:pStyle w:val="2"/>
        <w:spacing w:line="276" w:lineRule="auto"/>
      </w:pPr>
    </w:p>
    <w:p w14:paraId="40B93F58">
      <w:pPr>
        <w:pStyle w:val="2"/>
        <w:spacing w:line="276" w:lineRule="auto"/>
      </w:pPr>
      <w:r>
        <w:pict>
          <v:shape id="_x0000_s1272" o:spid="_x0000_s1272" style="position:absolute;left:0pt;margin-left:21.8pt;margin-top:0.8pt;height:0.75pt;width:352.25pt;z-index:251913216;mso-width-relative:page;mso-height-relative:page;" fillcolor="#000000" filled="t" stroked="f" coordsize="7045,15" path="m0,15l7044,15,7044,0,0,0,0,15xe">
            <v:path/>
            <v:fill on="t" focussize="0,0"/>
            <v:stroke on="f"/>
            <v:imagedata o:title=""/>
            <o:lock v:ext="edit"/>
          </v:shape>
        </w:pict>
      </w:r>
    </w:p>
    <w:p w14:paraId="117260B8">
      <w:pPr>
        <w:spacing w:before="69" w:line="105" w:lineRule="exact"/>
        <w:ind w:left="7509"/>
        <w:rPr>
          <w:rFonts w:ascii="宋体" w:hAnsi="宋体" w:eastAsia="宋体" w:cs="宋体"/>
          <w:sz w:val="21"/>
          <w:szCs w:val="21"/>
        </w:rPr>
      </w:pPr>
      <w:r>
        <w:pict>
          <v:shape id="_x0000_s1273" o:spid="_x0000_s1273" style="position:absolute;left:0pt;margin-left:21.8pt;margin-top:7.15pt;height:0.75pt;width:352.25pt;z-index:251915264;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17AAFA02">
      <w:pPr>
        <w:pStyle w:val="2"/>
        <w:spacing w:line="380" w:lineRule="auto"/>
      </w:pPr>
    </w:p>
    <w:p w14:paraId="48D80E4B">
      <w:pPr>
        <w:spacing w:before="92" w:line="237" w:lineRule="auto"/>
        <w:ind w:left="49"/>
        <w:outlineLvl w:val="3"/>
        <w:rPr>
          <w:rFonts w:ascii="黑体" w:hAnsi="黑体" w:eastAsia="黑体" w:cs="黑体"/>
          <w:sz w:val="28"/>
          <w:szCs w:val="28"/>
        </w:rPr>
      </w:pPr>
      <w:r>
        <w:rPr>
          <w:rFonts w:ascii="Times New Roman" w:hAnsi="Times New Roman" w:eastAsia="Times New Roman" w:cs="Times New Roman"/>
          <w:sz w:val="28"/>
          <w:szCs w:val="28"/>
        </w:rPr>
        <w:t xml:space="preserve">11.2  </w:t>
      </w:r>
      <w:r>
        <w:rPr>
          <w:rFonts w:ascii="黑体" w:hAnsi="黑体" w:eastAsia="黑体" w:cs="黑体"/>
          <w:sz w:val="28"/>
          <w:szCs w:val="28"/>
        </w:rPr>
        <w:t>进度例会</w:t>
      </w:r>
    </w:p>
    <w:p w14:paraId="64F03886">
      <w:pPr>
        <w:pStyle w:val="2"/>
        <w:spacing w:line="445" w:lineRule="auto"/>
      </w:pPr>
    </w:p>
    <w:p w14:paraId="3AAA3DB4">
      <w:pPr>
        <w:spacing w:before="69" w:line="352" w:lineRule="auto"/>
        <w:ind w:left="26" w:right="3" w:firstLine="434"/>
        <w:rPr>
          <w:rFonts w:ascii="宋体" w:hAnsi="宋体" w:eastAsia="宋体" w:cs="宋体"/>
          <w:sz w:val="21"/>
          <w:szCs w:val="21"/>
        </w:rPr>
      </w:pPr>
      <w:r>
        <w:rPr>
          <w:rFonts w:ascii="Times New Roman" w:hAnsi="Times New Roman" w:eastAsia="Times New Roman" w:cs="Times New Roman"/>
          <w:spacing w:val="-2"/>
          <w:sz w:val="21"/>
          <w:szCs w:val="21"/>
        </w:rPr>
        <w:t xml:space="preserve">11.2.1      </w:t>
      </w:r>
      <w:r>
        <w:rPr>
          <w:rFonts w:ascii="宋体" w:hAnsi="宋体" w:eastAsia="宋体" w:cs="宋体"/>
          <w:spacing w:val="-2"/>
          <w:sz w:val="21"/>
          <w:szCs w:val="21"/>
        </w:rPr>
        <w:t>监理人将主持召开有发包人、承包人、独立承包人和主要分包人等与本工程建</w:t>
      </w:r>
      <w:r>
        <w:rPr>
          <w:rFonts w:ascii="宋体" w:hAnsi="宋体" w:eastAsia="宋体" w:cs="宋体"/>
          <w:spacing w:val="-3"/>
          <w:sz w:val="21"/>
          <w:szCs w:val="21"/>
        </w:rPr>
        <w:t>设有关各方出席的每周一次的进度例会。必要</w:t>
      </w:r>
      <w:r>
        <w:rPr>
          <w:rFonts w:ascii="宋体" w:hAnsi="宋体" w:eastAsia="宋体" w:cs="宋体"/>
          <w:spacing w:val="-4"/>
          <w:sz w:val="21"/>
          <w:szCs w:val="21"/>
        </w:rPr>
        <w:t>时，</w:t>
      </w:r>
      <w:r>
        <w:rPr>
          <w:rFonts w:ascii="宋体" w:hAnsi="宋体" w:eastAsia="宋体" w:cs="宋体"/>
          <w:spacing w:val="-49"/>
          <w:sz w:val="21"/>
          <w:szCs w:val="21"/>
        </w:rPr>
        <w:t xml:space="preserve"> </w:t>
      </w:r>
      <w:r>
        <w:rPr>
          <w:rFonts w:ascii="宋体" w:hAnsi="宋体" w:eastAsia="宋体" w:cs="宋体"/>
          <w:spacing w:val="-4"/>
          <w:sz w:val="21"/>
          <w:szCs w:val="21"/>
        </w:rPr>
        <w:t>监理人可随时召集所有上述各方或其中部</w:t>
      </w:r>
      <w:r>
        <w:rPr>
          <w:rFonts w:ascii="宋体" w:hAnsi="宋体" w:eastAsia="宋体" w:cs="宋体"/>
          <w:spacing w:val="-1"/>
          <w:sz w:val="21"/>
          <w:szCs w:val="21"/>
        </w:rPr>
        <w:t>分单位参加的会议。承包人应保证能代表其当场作出决定的高级管理人员出席会议。</w:t>
      </w:r>
    </w:p>
    <w:p w14:paraId="0CD7746A">
      <w:pPr>
        <w:spacing w:before="1" w:line="356" w:lineRule="auto"/>
        <w:ind w:left="25" w:right="3" w:firstLine="435"/>
        <w:rPr>
          <w:rFonts w:ascii="宋体" w:hAnsi="宋体" w:eastAsia="宋体" w:cs="宋体"/>
          <w:sz w:val="21"/>
          <w:szCs w:val="21"/>
        </w:rPr>
      </w:pPr>
      <w:r>
        <w:rPr>
          <w:rFonts w:ascii="Times New Roman" w:hAnsi="Times New Roman" w:eastAsia="Times New Roman" w:cs="Times New Roman"/>
          <w:spacing w:val="-4"/>
          <w:sz w:val="21"/>
          <w:szCs w:val="21"/>
        </w:rPr>
        <w:t xml:space="preserve">11.2.2      </w:t>
      </w:r>
      <w:r>
        <w:rPr>
          <w:rFonts w:ascii="宋体" w:hAnsi="宋体" w:eastAsia="宋体" w:cs="宋体"/>
          <w:spacing w:val="-4"/>
          <w:sz w:val="21"/>
          <w:szCs w:val="21"/>
        </w:rPr>
        <w:t>进度例会的内容将涉及合同管理、进度协调和工程管理的各个方面， 由监</w:t>
      </w:r>
      <w:r>
        <w:rPr>
          <w:rFonts w:ascii="宋体" w:hAnsi="宋体" w:eastAsia="宋体" w:cs="宋体"/>
          <w:spacing w:val="-5"/>
          <w:sz w:val="21"/>
          <w:szCs w:val="21"/>
        </w:rPr>
        <w:t>理人</w:t>
      </w:r>
      <w:r>
        <w:rPr>
          <w:rFonts w:ascii="宋体" w:hAnsi="宋体" w:eastAsia="宋体" w:cs="宋体"/>
          <w:spacing w:val="-1"/>
          <w:sz w:val="21"/>
          <w:szCs w:val="21"/>
        </w:rPr>
        <w:t>准备的会议议题将随会议通知在会议召开前至少</w:t>
      </w:r>
      <w:r>
        <w:rPr>
          <w:rFonts w:ascii="宋体" w:hAnsi="宋体" w:eastAsia="宋体" w:cs="宋体"/>
          <w:spacing w:val="-44"/>
          <w:sz w:val="21"/>
          <w:szCs w:val="21"/>
        </w:rPr>
        <w:t xml:space="preserve"> </w:t>
      </w:r>
      <w:r>
        <w:rPr>
          <w:rFonts w:ascii="Times New Roman" w:hAnsi="Times New Roman" w:eastAsia="Times New Roman" w:cs="Times New Roman"/>
          <w:spacing w:val="-2"/>
          <w:sz w:val="21"/>
          <w:szCs w:val="21"/>
        </w:rPr>
        <w:t>24</w:t>
      </w:r>
      <w:r>
        <w:rPr>
          <w:rFonts w:ascii="Times New Roman" w:hAnsi="Times New Roman" w:eastAsia="Times New Roman" w:cs="Times New Roman"/>
          <w:spacing w:val="22"/>
          <w:w w:val="101"/>
          <w:sz w:val="21"/>
          <w:szCs w:val="21"/>
        </w:rPr>
        <w:t xml:space="preserve"> </w:t>
      </w:r>
      <w:r>
        <w:rPr>
          <w:rFonts w:ascii="宋体" w:hAnsi="宋体" w:eastAsia="宋体" w:cs="宋体"/>
          <w:spacing w:val="-2"/>
          <w:sz w:val="21"/>
          <w:szCs w:val="21"/>
        </w:rPr>
        <w:t>小时发给各参会方。</w:t>
      </w:r>
    </w:p>
    <w:p w14:paraId="385A97CC">
      <w:pPr>
        <w:spacing w:before="5" w:line="350" w:lineRule="auto"/>
        <w:ind w:left="23" w:firstLine="437"/>
        <w:rPr>
          <w:rFonts w:ascii="宋体" w:hAnsi="宋体" w:eastAsia="宋体" w:cs="宋体"/>
          <w:sz w:val="21"/>
          <w:szCs w:val="21"/>
        </w:rPr>
      </w:pPr>
      <w:r>
        <w:rPr>
          <w:rFonts w:ascii="Times New Roman" w:hAnsi="Times New Roman" w:eastAsia="Times New Roman" w:cs="Times New Roman"/>
          <w:spacing w:val="-2"/>
          <w:sz w:val="21"/>
          <w:szCs w:val="21"/>
        </w:rPr>
        <w:t xml:space="preserve">11.2.3      </w:t>
      </w:r>
      <w:r>
        <w:rPr>
          <w:rFonts w:ascii="宋体" w:hAnsi="宋体" w:eastAsia="宋体" w:cs="宋体"/>
          <w:spacing w:val="-2"/>
          <w:sz w:val="21"/>
          <w:szCs w:val="21"/>
        </w:rPr>
        <w:t>监理人应当做好会议记录，并在会议结束时由与会各方签字确认。监理人应根</w:t>
      </w:r>
      <w:r>
        <w:rPr>
          <w:rFonts w:ascii="宋体" w:hAnsi="宋体" w:eastAsia="宋体" w:cs="宋体"/>
          <w:sz w:val="21"/>
          <w:szCs w:val="21"/>
        </w:rPr>
        <w:t>据会议记录整理出会议纪要，并在相应会议后</w:t>
      </w:r>
      <w:r>
        <w:rPr>
          <w:rFonts w:ascii="宋体" w:hAnsi="宋体" w:eastAsia="宋体" w:cs="宋体"/>
          <w:spacing w:val="-45"/>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小时内分发给出席会</w:t>
      </w:r>
      <w:r>
        <w:rPr>
          <w:rFonts w:ascii="宋体" w:hAnsi="宋体" w:eastAsia="宋体" w:cs="宋体"/>
          <w:spacing w:val="-1"/>
          <w:sz w:val="21"/>
          <w:szCs w:val="21"/>
        </w:rPr>
        <w:t>议的各方。会议纪要</w:t>
      </w:r>
      <w:r>
        <w:rPr>
          <w:rFonts w:ascii="宋体" w:hAnsi="宋体" w:eastAsia="宋体" w:cs="宋体"/>
          <w:spacing w:val="-2"/>
          <w:sz w:val="21"/>
          <w:szCs w:val="21"/>
        </w:rPr>
        <w:t>应当如实反映会议记录的内容，包括任何决定、存在的问题、责任方、有关工作的时间目标</w:t>
      </w:r>
      <w:r>
        <w:rPr>
          <w:rFonts w:ascii="宋体" w:hAnsi="宋体" w:eastAsia="宋体" w:cs="宋体"/>
          <w:sz w:val="21"/>
          <w:szCs w:val="21"/>
        </w:rPr>
        <w:t>等等。各方在收到会议纪要后</w:t>
      </w:r>
      <w:r>
        <w:rPr>
          <w:rFonts w:ascii="宋体" w:hAnsi="宋体" w:eastAsia="宋体" w:cs="宋体"/>
          <w:spacing w:val="-43"/>
          <w:sz w:val="21"/>
          <w:szCs w:val="21"/>
        </w:rPr>
        <w:t xml:space="preserve"> </w:t>
      </w:r>
      <w:r>
        <w:rPr>
          <w:rFonts w:ascii="Times New Roman" w:hAnsi="Times New Roman" w:eastAsia="Times New Roman" w:cs="Times New Roman"/>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z w:val="21"/>
          <w:szCs w:val="21"/>
        </w:rPr>
        <w:t>小时内给予签字确认，如有任何异议</w:t>
      </w:r>
      <w:r>
        <w:rPr>
          <w:rFonts w:ascii="宋体" w:hAnsi="宋体" w:eastAsia="宋体" w:cs="宋体"/>
          <w:spacing w:val="-1"/>
          <w:sz w:val="21"/>
          <w:szCs w:val="21"/>
        </w:rPr>
        <w:t>，应将有关异议以书</w:t>
      </w:r>
      <w:r>
        <w:rPr>
          <w:rFonts w:ascii="宋体" w:hAnsi="宋体" w:eastAsia="宋体" w:cs="宋体"/>
          <w:spacing w:val="-2"/>
          <w:sz w:val="21"/>
          <w:szCs w:val="21"/>
        </w:rPr>
        <w:t>面形式通知监理人，由监理人与有异议一方或各方共同核对会议记录，有异议的一方或者各方对与会议记录内容一致的会议纪要必须给予签字确认，否则监理人可以用会</w:t>
      </w:r>
      <w:r>
        <w:rPr>
          <w:rFonts w:ascii="宋体" w:hAnsi="宋体" w:eastAsia="宋体" w:cs="宋体"/>
          <w:spacing w:val="-3"/>
          <w:sz w:val="21"/>
          <w:szCs w:val="21"/>
        </w:rPr>
        <w:t>议记录作为会</w:t>
      </w:r>
      <w:r>
        <w:rPr>
          <w:rFonts w:ascii="宋体" w:hAnsi="宋体" w:eastAsia="宋体" w:cs="宋体"/>
          <w:spacing w:val="-1"/>
          <w:sz w:val="21"/>
          <w:szCs w:val="21"/>
        </w:rPr>
        <w:t>议纪要。经参会各方签字认可的会议纪要对各方有合同约束力。</w:t>
      </w:r>
    </w:p>
    <w:p w14:paraId="32029454">
      <w:pPr>
        <w:spacing w:before="1" w:line="232" w:lineRule="auto"/>
        <w:ind w:left="461"/>
        <w:rPr>
          <w:rFonts w:ascii="宋体" w:hAnsi="宋体" w:eastAsia="宋体" w:cs="宋体"/>
          <w:sz w:val="21"/>
          <w:szCs w:val="21"/>
        </w:rPr>
      </w:pPr>
      <w:r>
        <w:rPr>
          <w:rFonts w:ascii="Times New Roman" w:hAnsi="Times New Roman" w:eastAsia="Times New Roman" w:cs="Times New Roman"/>
          <w:spacing w:val="-3"/>
          <w:sz w:val="21"/>
          <w:szCs w:val="21"/>
        </w:rPr>
        <w:t xml:space="preserve">11.2.4      </w:t>
      </w:r>
      <w:r>
        <w:rPr>
          <w:rFonts w:ascii="宋体" w:hAnsi="宋体" w:eastAsia="宋体" w:cs="宋体"/>
          <w:spacing w:val="-3"/>
          <w:sz w:val="21"/>
          <w:szCs w:val="21"/>
        </w:rPr>
        <w:t>有关进度例会的其他要求：</w:t>
      </w:r>
    </w:p>
    <w:p w14:paraId="11109C2F">
      <w:pPr>
        <w:pStyle w:val="2"/>
        <w:spacing w:line="275" w:lineRule="auto"/>
      </w:pPr>
    </w:p>
    <w:p w14:paraId="4B4A2A51">
      <w:pPr>
        <w:pStyle w:val="2"/>
        <w:spacing w:line="275" w:lineRule="auto"/>
      </w:pPr>
      <w:r>
        <w:pict>
          <v:shape id="_x0000_s1274" o:spid="_x0000_s1274" style="position:absolute;left:0pt;margin-left:27.05pt;margin-top:8.2pt;height:0.75pt;width:352.25pt;z-index:251917312;mso-width-relative:page;mso-height-relative:page;" fillcolor="#000000" filled="t" stroked="f" coordsize="7045,15" path="m0,15l7044,15,7044,0,0,0,0,15xe">
            <v:path/>
            <v:fill on="t" focussize="0,0"/>
            <v:stroke on="f"/>
            <v:imagedata o:title=""/>
            <o:lock v:ext="edit"/>
          </v:shape>
        </w:pict>
      </w:r>
    </w:p>
    <w:p w14:paraId="34557B53">
      <w:pPr>
        <w:pStyle w:val="2"/>
        <w:spacing w:line="275" w:lineRule="auto"/>
      </w:pPr>
    </w:p>
    <w:p w14:paraId="07540BB8">
      <w:pPr>
        <w:pStyle w:val="2"/>
        <w:spacing w:line="276" w:lineRule="auto"/>
      </w:pPr>
      <w:r>
        <w:pict>
          <v:shape id="_x0000_s1275" o:spid="_x0000_s1275" style="position:absolute;left:0pt;margin-left:21.8pt;margin-top:0.8pt;height:0.75pt;width:352.25pt;z-index:251912192;mso-width-relative:page;mso-height-relative:page;" fillcolor="#000000" filled="t" stroked="f" coordsize="7045,15" path="m0,15l7044,15,7044,0,0,0,0,15xe">
            <v:path/>
            <v:fill on="t" focussize="0,0"/>
            <v:stroke on="f"/>
            <v:imagedata o:title=""/>
            <o:lock v:ext="edit"/>
          </v:shape>
        </w:pict>
      </w:r>
    </w:p>
    <w:p w14:paraId="5F655133">
      <w:pPr>
        <w:spacing w:before="69" w:line="106" w:lineRule="exact"/>
        <w:ind w:left="7509"/>
        <w:rPr>
          <w:rFonts w:ascii="宋体" w:hAnsi="宋体" w:eastAsia="宋体" w:cs="宋体"/>
          <w:sz w:val="21"/>
          <w:szCs w:val="21"/>
        </w:rPr>
      </w:pPr>
      <w:r>
        <w:pict>
          <v:shape id="_x0000_s1276" o:spid="_x0000_s1276" style="position:absolute;left:0pt;margin-left:21.8pt;margin-top:7.15pt;height:0.75pt;width:352.25pt;z-index:25191424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0AEEFDCC">
      <w:pPr>
        <w:pStyle w:val="2"/>
        <w:spacing w:line="365" w:lineRule="auto"/>
      </w:pPr>
    </w:p>
    <w:p w14:paraId="646B8191">
      <w:pPr>
        <w:spacing w:before="92" w:line="236" w:lineRule="auto"/>
        <w:ind w:left="49"/>
        <w:outlineLvl w:val="2"/>
        <w:rPr>
          <w:rFonts w:ascii="黑体" w:hAnsi="黑体" w:eastAsia="黑体" w:cs="黑体"/>
          <w:sz w:val="28"/>
          <w:szCs w:val="28"/>
        </w:rPr>
      </w:pPr>
      <w:bookmarkStart w:id="605" w:name="bookmark558"/>
      <w:bookmarkEnd w:id="605"/>
      <w:r>
        <w:rPr>
          <w:rFonts w:ascii="Times New Roman" w:hAnsi="Times New Roman" w:eastAsia="Times New Roman" w:cs="Times New Roman"/>
          <w:spacing w:val="2"/>
          <w:sz w:val="28"/>
          <w:szCs w:val="28"/>
        </w:rPr>
        <w:t>12.</w:t>
      </w:r>
      <w:r>
        <w:rPr>
          <w:rFonts w:ascii="黑体" w:hAnsi="黑体" w:eastAsia="黑体" w:cs="黑体"/>
          <w:spacing w:val="2"/>
          <w:sz w:val="28"/>
          <w:szCs w:val="28"/>
        </w:rPr>
        <w:t>试验和检验</w:t>
      </w:r>
    </w:p>
    <w:p w14:paraId="35EFC99A">
      <w:pPr>
        <w:spacing w:line="236" w:lineRule="auto"/>
        <w:rPr>
          <w:rFonts w:ascii="黑体" w:hAnsi="黑体" w:eastAsia="黑体" w:cs="黑体"/>
          <w:sz w:val="28"/>
          <w:szCs w:val="28"/>
        </w:rPr>
        <w:sectPr>
          <w:footerReference r:id="rId286" w:type="default"/>
          <w:pgSz w:w="11910" w:h="16845"/>
          <w:pgMar w:top="400" w:right="1762" w:bottom="1110" w:left="1786" w:header="0" w:footer="883" w:gutter="0"/>
          <w:cols w:space="720" w:num="1"/>
        </w:sectPr>
      </w:pPr>
    </w:p>
    <w:p w14:paraId="5F1B54A7">
      <w:pPr>
        <w:pStyle w:val="2"/>
        <w:spacing w:line="275" w:lineRule="auto"/>
      </w:pPr>
    </w:p>
    <w:p w14:paraId="47C9FABD">
      <w:pPr>
        <w:pStyle w:val="2"/>
        <w:spacing w:line="275" w:lineRule="auto"/>
      </w:pPr>
    </w:p>
    <w:p w14:paraId="21A7395F">
      <w:pPr>
        <w:pStyle w:val="2"/>
        <w:spacing w:line="275" w:lineRule="auto"/>
      </w:pPr>
    </w:p>
    <w:p w14:paraId="56BFF07C">
      <w:pPr>
        <w:pStyle w:val="2"/>
        <w:spacing w:line="275" w:lineRule="auto"/>
      </w:pPr>
    </w:p>
    <w:p w14:paraId="3E99A50B">
      <w:pPr>
        <w:spacing w:before="69" w:line="348" w:lineRule="auto"/>
        <w:ind w:left="29" w:right="33" w:firstLine="431"/>
        <w:rPr>
          <w:rFonts w:ascii="宋体" w:hAnsi="宋体" w:eastAsia="宋体" w:cs="宋体"/>
          <w:sz w:val="21"/>
          <w:szCs w:val="21"/>
        </w:rPr>
      </w:pPr>
      <w:r>
        <w:rPr>
          <w:rFonts w:ascii="Times New Roman" w:hAnsi="Times New Roman" w:eastAsia="Times New Roman" w:cs="Times New Roman"/>
          <w:sz w:val="21"/>
          <w:szCs w:val="21"/>
        </w:rPr>
        <w:t xml:space="preserve">12.1          </w:t>
      </w:r>
      <w:r>
        <w:rPr>
          <w:rFonts w:ascii="宋体" w:hAnsi="宋体" w:eastAsia="宋体" w:cs="宋体"/>
          <w:sz w:val="21"/>
          <w:szCs w:val="21"/>
        </w:rPr>
        <w:t>承包人应当按照工程施工验</w:t>
      </w:r>
      <w:r>
        <w:rPr>
          <w:rFonts w:ascii="宋体" w:hAnsi="宋体" w:eastAsia="宋体" w:cs="宋体"/>
          <w:spacing w:val="-1"/>
          <w:sz w:val="21"/>
          <w:szCs w:val="21"/>
        </w:rPr>
        <w:t>收规范和标准的规定和通用合同条款第</w:t>
      </w:r>
      <w:r>
        <w:rPr>
          <w:rFonts w:ascii="宋体" w:hAnsi="宋体" w:eastAsia="宋体" w:cs="宋体"/>
          <w:spacing w:val="-56"/>
          <w:sz w:val="21"/>
          <w:szCs w:val="21"/>
        </w:rPr>
        <w:t xml:space="preserve"> </w:t>
      </w:r>
      <w:r>
        <w:rPr>
          <w:rFonts w:ascii="Times New Roman" w:hAnsi="Times New Roman" w:eastAsia="Times New Roman" w:cs="Times New Roman"/>
          <w:spacing w:val="-1"/>
          <w:sz w:val="21"/>
          <w:szCs w:val="21"/>
        </w:rPr>
        <w:t>14</w:t>
      </w:r>
      <w:r>
        <w:rPr>
          <w:rFonts w:ascii="Times New Roman" w:hAnsi="Times New Roman" w:eastAsia="Times New Roman" w:cs="Times New Roman"/>
          <w:spacing w:val="-13"/>
          <w:sz w:val="21"/>
          <w:szCs w:val="21"/>
        </w:rPr>
        <w:t xml:space="preserve"> </w:t>
      </w:r>
      <w:r>
        <w:rPr>
          <w:rFonts w:ascii="宋体" w:hAnsi="宋体" w:eastAsia="宋体" w:cs="宋体"/>
          <w:spacing w:val="-1"/>
          <w:sz w:val="21"/>
          <w:szCs w:val="21"/>
        </w:rPr>
        <w:t>条的约</w:t>
      </w:r>
      <w:r>
        <w:rPr>
          <w:rFonts w:ascii="宋体" w:hAnsi="宋体" w:eastAsia="宋体" w:cs="宋体"/>
          <w:spacing w:val="-6"/>
          <w:sz w:val="21"/>
          <w:szCs w:val="21"/>
        </w:rPr>
        <w:t>定，对用于永久工程的主要材料、半成品、成品、建筑构配件、工程设备等进行试验和检验。</w:t>
      </w:r>
    </w:p>
    <w:p w14:paraId="4ED4D8DE">
      <w:pPr>
        <w:spacing w:before="3"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12.2          </w:t>
      </w:r>
      <w:r>
        <w:rPr>
          <w:rFonts w:ascii="宋体" w:hAnsi="宋体" w:eastAsia="宋体" w:cs="宋体"/>
          <w:spacing w:val="-1"/>
          <w:sz w:val="21"/>
          <w:szCs w:val="21"/>
        </w:rPr>
        <w:t>本工程需要承包人进行试验和检验的材料、工程设</w:t>
      </w:r>
      <w:r>
        <w:rPr>
          <w:rFonts w:ascii="宋体" w:hAnsi="宋体" w:eastAsia="宋体" w:cs="宋体"/>
          <w:spacing w:val="-2"/>
          <w:sz w:val="21"/>
          <w:szCs w:val="21"/>
        </w:rPr>
        <w:t>备和工艺如下：</w:t>
      </w:r>
    </w:p>
    <w:p w14:paraId="1B857233">
      <w:pPr>
        <w:pStyle w:val="2"/>
        <w:spacing w:line="275" w:lineRule="auto"/>
      </w:pPr>
    </w:p>
    <w:p w14:paraId="0D727F66">
      <w:pPr>
        <w:pStyle w:val="2"/>
        <w:spacing w:line="275" w:lineRule="auto"/>
      </w:pPr>
      <w:r>
        <w:pict>
          <v:shape id="_x0000_s1277" o:spid="_x0000_s1277" style="position:absolute;left:0pt;margin-left:27.05pt;margin-top:8.2pt;height:0.75pt;width:352.25pt;z-index:251923456;mso-width-relative:page;mso-height-relative:page;" fillcolor="#000000" filled="t" stroked="f" coordsize="7045,15" path="m0,15l7044,15,7044,0,0,0,0,15xe">
            <v:path/>
            <v:fill on="t" focussize="0,0"/>
            <v:stroke on="f"/>
            <v:imagedata o:title=""/>
            <o:lock v:ext="edit"/>
          </v:shape>
        </w:pict>
      </w:r>
    </w:p>
    <w:p w14:paraId="5976EE72">
      <w:pPr>
        <w:pStyle w:val="2"/>
        <w:spacing w:line="275" w:lineRule="auto"/>
      </w:pPr>
    </w:p>
    <w:p w14:paraId="01A3496F">
      <w:pPr>
        <w:pStyle w:val="2"/>
        <w:spacing w:line="276" w:lineRule="auto"/>
      </w:pPr>
      <w:r>
        <w:pict>
          <v:shape id="_x0000_s1278" o:spid="_x0000_s1278" style="position:absolute;left:0pt;margin-left:21.8pt;margin-top:0.8pt;height:0.75pt;width:352.25pt;z-index:251922432;mso-width-relative:page;mso-height-relative:page;" fillcolor="#000000" filled="t" stroked="f" coordsize="7045,15" path="m0,15l7044,15,7044,0,0,0,0,15xe">
            <v:path/>
            <v:fill on="t" focussize="0,0"/>
            <v:stroke on="f"/>
            <v:imagedata o:title=""/>
            <o:lock v:ext="edit"/>
          </v:shape>
        </w:pict>
      </w:r>
    </w:p>
    <w:p w14:paraId="19C841FE">
      <w:pPr>
        <w:spacing w:before="69" w:line="105" w:lineRule="exact"/>
        <w:ind w:left="7509"/>
        <w:rPr>
          <w:rFonts w:ascii="宋体" w:hAnsi="宋体" w:eastAsia="宋体" w:cs="宋体"/>
          <w:sz w:val="21"/>
          <w:szCs w:val="21"/>
        </w:rPr>
      </w:pPr>
      <w:r>
        <w:pict>
          <v:shape id="_x0000_s1279" o:spid="_x0000_s1279" style="position:absolute;left:0pt;margin-left:21.8pt;margin-top:7.15pt;height:0.75pt;width:352.25pt;z-index:251918336;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4E272869">
      <w:pPr>
        <w:spacing w:before="164" w:line="219" w:lineRule="auto"/>
        <w:ind w:left="445"/>
        <w:rPr>
          <w:rFonts w:ascii="宋体" w:hAnsi="宋体" w:eastAsia="宋体" w:cs="宋体"/>
          <w:sz w:val="21"/>
          <w:szCs w:val="21"/>
        </w:rPr>
      </w:pPr>
      <w:r>
        <w:rPr>
          <w:rFonts w:ascii="宋体" w:hAnsi="宋体" w:eastAsia="宋体" w:cs="宋体"/>
          <w:spacing w:val="-1"/>
          <w:sz w:val="21"/>
          <w:szCs w:val="21"/>
        </w:rPr>
        <w:t>监理人可以根据工程需要，指示承包人进行其他现场材料和工艺的试验和检验。</w:t>
      </w:r>
    </w:p>
    <w:p w14:paraId="68A6670F">
      <w:pPr>
        <w:spacing w:before="140" w:line="349" w:lineRule="auto"/>
        <w:ind w:left="27" w:right="118"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12.3          </w:t>
      </w:r>
      <w:r>
        <w:rPr>
          <w:rFonts w:ascii="宋体" w:hAnsi="宋体" w:eastAsia="宋体" w:cs="宋体"/>
          <w:spacing w:val="1"/>
          <w:sz w:val="21"/>
          <w:szCs w:val="21"/>
        </w:rPr>
        <w:t>本工程需要由监理人和承包人共同进</w:t>
      </w:r>
      <w:r>
        <w:rPr>
          <w:rFonts w:ascii="宋体" w:hAnsi="宋体" w:eastAsia="宋体" w:cs="宋体"/>
          <w:sz w:val="21"/>
          <w:szCs w:val="21"/>
        </w:rPr>
        <w:t>行试验和检验的材料、工程设备和工艺</w:t>
      </w:r>
      <w:r>
        <w:rPr>
          <w:rFonts w:ascii="宋体" w:hAnsi="宋体" w:eastAsia="宋体" w:cs="宋体"/>
          <w:spacing w:val="-14"/>
          <w:sz w:val="21"/>
          <w:szCs w:val="21"/>
        </w:rPr>
        <w:t>如下：</w:t>
      </w:r>
    </w:p>
    <w:p w14:paraId="05417CEC">
      <w:pPr>
        <w:pStyle w:val="2"/>
        <w:spacing w:line="244" w:lineRule="auto"/>
      </w:pPr>
    </w:p>
    <w:p w14:paraId="4FF7A0A8">
      <w:pPr>
        <w:pStyle w:val="2"/>
        <w:spacing w:line="245" w:lineRule="auto"/>
      </w:pPr>
      <w:r>
        <w:pict>
          <v:shape id="_x0000_s1280" o:spid="_x0000_s1280" style="position:absolute;left:0pt;margin-left:27.05pt;margin-top:3.6pt;height:0.75pt;width:352.25pt;z-index:251920384;mso-width-relative:page;mso-height-relative:page;" fillcolor="#000000" filled="t" stroked="f" coordsize="7045,15" path="m0,15l7044,15,7044,0,0,0,0,15xe">
            <v:path/>
            <v:fill on="t" focussize="0,0"/>
            <v:stroke on="f"/>
            <v:imagedata o:title=""/>
            <o:lock v:ext="edit"/>
          </v:shape>
        </w:pict>
      </w:r>
    </w:p>
    <w:p w14:paraId="58513F67">
      <w:pPr>
        <w:pStyle w:val="2"/>
        <w:spacing w:line="245" w:lineRule="auto"/>
      </w:pPr>
      <w:r>
        <w:pict>
          <v:shape id="_x0000_s1281" o:spid="_x0000_s1281" style="position:absolute;left:0pt;margin-left:21.8pt;margin-top:11.55pt;height:0.75pt;width:352.25pt;z-index:251919360;mso-width-relative:page;mso-height-relative:page;" fillcolor="#000000" filled="t" stroked="f" coordsize="7045,15" path="m0,15l7044,15,7044,0,0,0,0,15xe">
            <v:path/>
            <v:fill on="t" focussize="0,0"/>
            <v:stroke on="f"/>
            <v:imagedata o:title=""/>
            <o:lock v:ext="edit"/>
          </v:shape>
        </w:pict>
      </w:r>
    </w:p>
    <w:p w14:paraId="65F0A6AF">
      <w:pPr>
        <w:pStyle w:val="2"/>
        <w:spacing w:line="245" w:lineRule="auto"/>
      </w:pPr>
    </w:p>
    <w:p w14:paraId="2F045BC6">
      <w:pPr>
        <w:spacing w:before="69" w:line="106" w:lineRule="exact"/>
        <w:ind w:left="7509"/>
        <w:rPr>
          <w:rFonts w:ascii="宋体" w:hAnsi="宋体" w:eastAsia="宋体" w:cs="宋体"/>
          <w:sz w:val="21"/>
          <w:szCs w:val="21"/>
        </w:rPr>
      </w:pPr>
      <w:r>
        <w:pict>
          <v:shape id="_x0000_s1282" o:spid="_x0000_s1282" style="position:absolute;left:0pt;margin-left:21.8pt;margin-top:7.2pt;height:0.75pt;width:352.25pt;z-index:251921408;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2860B1EC">
      <w:pPr>
        <w:spacing w:before="149" w:line="348" w:lineRule="auto"/>
        <w:ind w:left="25" w:right="105" w:firstLine="435"/>
        <w:rPr>
          <w:rFonts w:ascii="宋体" w:hAnsi="宋体" w:eastAsia="宋体" w:cs="宋体"/>
          <w:sz w:val="21"/>
          <w:szCs w:val="21"/>
        </w:rPr>
      </w:pPr>
      <w:r>
        <w:rPr>
          <w:rFonts w:ascii="Times New Roman" w:hAnsi="Times New Roman" w:eastAsia="Times New Roman" w:cs="Times New Roman"/>
          <w:spacing w:val="1"/>
          <w:sz w:val="21"/>
          <w:szCs w:val="21"/>
        </w:rPr>
        <w:t xml:space="preserve">12.4          </w:t>
      </w:r>
      <w:r>
        <w:rPr>
          <w:rFonts w:ascii="宋体" w:hAnsi="宋体" w:eastAsia="宋体" w:cs="宋体"/>
          <w:spacing w:val="1"/>
          <w:sz w:val="21"/>
          <w:szCs w:val="21"/>
        </w:rPr>
        <w:t>本条上述约定需要进行检验的材料、工程设备和工艺在经过检验并</w:t>
      </w:r>
      <w:r>
        <w:rPr>
          <w:rFonts w:ascii="宋体" w:hAnsi="宋体" w:eastAsia="宋体" w:cs="宋体"/>
          <w:sz w:val="21"/>
          <w:szCs w:val="21"/>
        </w:rPr>
        <w:t>获得监理</w:t>
      </w:r>
      <w:r>
        <w:rPr>
          <w:rFonts w:ascii="宋体" w:hAnsi="宋体" w:eastAsia="宋体" w:cs="宋体"/>
          <w:spacing w:val="-2"/>
          <w:sz w:val="21"/>
          <w:szCs w:val="21"/>
        </w:rPr>
        <w:t>人批准以前，不得用于任何永久工程。</w:t>
      </w:r>
    </w:p>
    <w:p w14:paraId="664D7235">
      <w:pPr>
        <w:spacing w:before="22" w:line="348" w:lineRule="auto"/>
        <w:ind w:left="23"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12.5          </w:t>
      </w:r>
      <w:r>
        <w:rPr>
          <w:rFonts w:ascii="宋体" w:hAnsi="宋体" w:eastAsia="宋体" w:cs="宋体"/>
          <w:spacing w:val="-1"/>
          <w:sz w:val="21"/>
          <w:szCs w:val="21"/>
        </w:rPr>
        <w:t>承包人应为任何材料、工程设备和工艺的检查、</w:t>
      </w:r>
      <w:r>
        <w:rPr>
          <w:rFonts w:ascii="宋体" w:hAnsi="宋体" w:eastAsia="宋体" w:cs="宋体"/>
          <w:spacing w:val="-2"/>
          <w:sz w:val="21"/>
          <w:szCs w:val="21"/>
        </w:rPr>
        <w:t>检测和检验提供劳务、电力、燃料、备用品、设备和仪器以及必要的协助。监理人及其任何授权人员应能够在</w:t>
      </w:r>
      <w:r>
        <w:rPr>
          <w:rFonts w:ascii="宋体" w:hAnsi="宋体" w:eastAsia="宋体" w:cs="宋体"/>
          <w:spacing w:val="-3"/>
          <w:sz w:val="21"/>
          <w:szCs w:val="21"/>
        </w:rPr>
        <w:t>任何时候进</w:t>
      </w:r>
      <w:r>
        <w:rPr>
          <w:rFonts w:ascii="宋体" w:hAnsi="宋体" w:eastAsia="宋体" w:cs="宋体"/>
          <w:sz w:val="21"/>
          <w:szCs w:val="21"/>
        </w:rPr>
        <w:t>入现场及正在为工程制造、装配、准备材料和</w:t>
      </w:r>
      <w:r>
        <w:rPr>
          <w:rFonts w:ascii="Times New Roman" w:hAnsi="Times New Roman" w:eastAsia="Times New Roman" w:cs="Times New Roman"/>
          <w:sz w:val="21"/>
          <w:szCs w:val="21"/>
        </w:rPr>
        <w:t>(</w:t>
      </w:r>
      <w:r>
        <w:rPr>
          <w:rFonts w:ascii="宋体" w:hAnsi="宋体" w:eastAsia="宋体" w:cs="宋体"/>
          <w:sz w:val="21"/>
          <w:szCs w:val="21"/>
        </w:rPr>
        <w:t>或</w:t>
      </w:r>
      <w:r>
        <w:rPr>
          <w:rFonts w:ascii="Times New Roman" w:hAnsi="Times New Roman" w:eastAsia="Times New Roman" w:cs="Times New Roman"/>
          <w:sz w:val="21"/>
          <w:szCs w:val="21"/>
        </w:rPr>
        <w:t>)</w:t>
      </w:r>
      <w:r>
        <w:rPr>
          <w:rFonts w:ascii="宋体" w:hAnsi="宋体" w:eastAsia="宋体" w:cs="宋体"/>
          <w:sz w:val="21"/>
          <w:szCs w:val="21"/>
        </w:rPr>
        <w:t>工程设</w:t>
      </w:r>
      <w:r>
        <w:rPr>
          <w:rFonts w:ascii="宋体" w:hAnsi="宋体" w:eastAsia="宋体" w:cs="宋体"/>
          <w:spacing w:val="-1"/>
          <w:sz w:val="21"/>
          <w:szCs w:val="21"/>
        </w:rPr>
        <w:t>备的车间和场所进行任何必要的检</w:t>
      </w:r>
      <w:r>
        <w:rPr>
          <w:rFonts w:ascii="宋体" w:hAnsi="宋体" w:eastAsia="宋体" w:cs="宋体"/>
          <w:spacing w:val="-2"/>
          <w:sz w:val="21"/>
          <w:szCs w:val="21"/>
        </w:rPr>
        <w:t>查。无论这些车间和场所是否属于承包人，承包人都应提供一切便利，并协助其取得</w:t>
      </w:r>
      <w:r>
        <w:rPr>
          <w:rFonts w:ascii="宋体" w:hAnsi="宋体" w:eastAsia="宋体" w:cs="宋体"/>
          <w:spacing w:val="-3"/>
          <w:sz w:val="21"/>
          <w:szCs w:val="21"/>
        </w:rPr>
        <w:t>相应的</w:t>
      </w:r>
      <w:r>
        <w:rPr>
          <w:rFonts w:ascii="宋体" w:hAnsi="宋体" w:eastAsia="宋体" w:cs="宋体"/>
          <w:spacing w:val="-2"/>
          <w:sz w:val="21"/>
          <w:szCs w:val="21"/>
        </w:rPr>
        <w:t>权力和</w:t>
      </w:r>
      <w:r>
        <w:rPr>
          <w:rFonts w:ascii="Times New Roman" w:hAnsi="Times New Roman" w:eastAsia="Times New Roman" w:cs="Times New Roman"/>
          <w:spacing w:val="-2"/>
          <w:sz w:val="21"/>
          <w:szCs w:val="21"/>
        </w:rPr>
        <w:t>(</w:t>
      </w:r>
      <w:r>
        <w:rPr>
          <w:rFonts w:ascii="宋体" w:hAnsi="宋体" w:eastAsia="宋体" w:cs="宋体"/>
          <w:spacing w:val="-2"/>
          <w:sz w:val="21"/>
          <w:szCs w:val="21"/>
        </w:rPr>
        <w:t>或</w:t>
      </w:r>
      <w:r>
        <w:rPr>
          <w:rFonts w:ascii="Times New Roman" w:hAnsi="Times New Roman" w:eastAsia="Times New Roman" w:cs="Times New Roman"/>
          <w:spacing w:val="-2"/>
          <w:sz w:val="21"/>
          <w:szCs w:val="21"/>
        </w:rPr>
        <w:t>)</w:t>
      </w:r>
      <w:r>
        <w:rPr>
          <w:rFonts w:ascii="宋体" w:hAnsi="宋体" w:eastAsia="宋体" w:cs="宋体"/>
          <w:spacing w:val="-2"/>
          <w:sz w:val="21"/>
          <w:szCs w:val="21"/>
        </w:rPr>
        <w:t>许可。</w:t>
      </w:r>
    </w:p>
    <w:p w14:paraId="1F40BB88">
      <w:pPr>
        <w:spacing w:before="17" w:line="351" w:lineRule="auto"/>
        <w:ind w:left="23" w:right="89"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12.6          </w:t>
      </w:r>
      <w:r>
        <w:rPr>
          <w:rFonts w:ascii="宋体" w:hAnsi="宋体" w:eastAsia="宋体" w:cs="宋体"/>
          <w:spacing w:val="1"/>
          <w:sz w:val="21"/>
          <w:szCs w:val="21"/>
        </w:rPr>
        <w:t>如果检查、检测、检验或试验的结果表明，材料、工程设备和工艺</w:t>
      </w:r>
      <w:r>
        <w:rPr>
          <w:rFonts w:ascii="宋体" w:hAnsi="宋体" w:eastAsia="宋体" w:cs="宋体"/>
          <w:sz w:val="21"/>
          <w:szCs w:val="21"/>
        </w:rPr>
        <w:t>有缺陷或</w:t>
      </w:r>
      <w:r>
        <w:rPr>
          <w:rFonts w:ascii="宋体" w:hAnsi="宋体" w:eastAsia="宋体" w:cs="宋体"/>
          <w:spacing w:val="-4"/>
          <w:sz w:val="21"/>
          <w:szCs w:val="21"/>
        </w:rPr>
        <w:t>不符合合同约定，监理人和发包人可拒收此</w:t>
      </w:r>
      <w:r>
        <w:rPr>
          <w:rFonts w:ascii="宋体" w:hAnsi="宋体" w:eastAsia="宋体" w:cs="宋体"/>
          <w:spacing w:val="-5"/>
          <w:sz w:val="21"/>
          <w:szCs w:val="21"/>
        </w:rPr>
        <w:t>类材料、工程设备和工艺， 并应立即通知承包人</w:t>
      </w:r>
      <w:r>
        <w:rPr>
          <w:rFonts w:ascii="宋体" w:hAnsi="宋体" w:eastAsia="宋体" w:cs="宋体"/>
          <w:spacing w:val="-2"/>
          <w:sz w:val="21"/>
          <w:szCs w:val="21"/>
        </w:rPr>
        <w:t>同时说明理由。承包人应立即修复上述缺陷并保证其符合合同约定。若监理人或发</w:t>
      </w:r>
      <w:r>
        <w:rPr>
          <w:rFonts w:ascii="宋体" w:hAnsi="宋体" w:eastAsia="宋体" w:cs="宋体"/>
          <w:spacing w:val="-3"/>
          <w:sz w:val="21"/>
          <w:szCs w:val="21"/>
        </w:rPr>
        <w:t>包人要求</w:t>
      </w:r>
      <w:r>
        <w:rPr>
          <w:rFonts w:ascii="宋体" w:hAnsi="宋体" w:eastAsia="宋体" w:cs="宋体"/>
          <w:spacing w:val="-5"/>
          <w:sz w:val="21"/>
          <w:szCs w:val="21"/>
        </w:rPr>
        <w:t>对此类工程设备、材料、设计或工艺重新进行检验， 则此类检验应按相同条款和条件重新进</w:t>
      </w:r>
      <w:r>
        <w:rPr>
          <w:rFonts w:ascii="宋体" w:hAnsi="宋体" w:eastAsia="宋体" w:cs="宋体"/>
          <w:spacing w:val="-2"/>
          <w:sz w:val="21"/>
          <w:szCs w:val="21"/>
        </w:rPr>
        <w:t>行。如果此类拒收和重新检验致使发包人产生了额外费用，则此类费用应由承包人</w:t>
      </w:r>
      <w:r>
        <w:rPr>
          <w:rFonts w:ascii="宋体" w:hAnsi="宋体" w:eastAsia="宋体" w:cs="宋体"/>
          <w:spacing w:val="-3"/>
          <w:sz w:val="21"/>
          <w:szCs w:val="21"/>
        </w:rPr>
        <w:t>支付给发</w:t>
      </w:r>
      <w:r>
        <w:rPr>
          <w:rFonts w:ascii="宋体" w:hAnsi="宋体" w:eastAsia="宋体" w:cs="宋体"/>
          <w:spacing w:val="-2"/>
          <w:sz w:val="21"/>
          <w:szCs w:val="21"/>
        </w:rPr>
        <w:t>包人，或从发包人应支付给承包人的款项中扣除。</w:t>
      </w:r>
    </w:p>
    <w:p w14:paraId="09BDFE38">
      <w:pPr>
        <w:spacing w:before="4" w:line="348" w:lineRule="auto"/>
        <w:ind w:left="27" w:right="105" w:firstLine="433"/>
        <w:rPr>
          <w:rFonts w:ascii="宋体" w:hAnsi="宋体" w:eastAsia="宋体" w:cs="宋体"/>
          <w:sz w:val="21"/>
          <w:szCs w:val="21"/>
        </w:rPr>
      </w:pPr>
      <w:r>
        <w:rPr>
          <w:rFonts w:ascii="Times New Roman" w:hAnsi="Times New Roman" w:eastAsia="Times New Roman" w:cs="Times New Roman"/>
          <w:spacing w:val="1"/>
          <w:sz w:val="21"/>
          <w:szCs w:val="21"/>
        </w:rPr>
        <w:t xml:space="preserve">12.7          </w:t>
      </w:r>
      <w:r>
        <w:rPr>
          <w:rFonts w:ascii="宋体" w:hAnsi="宋体" w:eastAsia="宋体" w:cs="宋体"/>
          <w:spacing w:val="1"/>
          <w:sz w:val="21"/>
          <w:szCs w:val="21"/>
        </w:rPr>
        <w:t>承包人应在监理人的监督下，对涉及结构安全的试块、试件以及有</w:t>
      </w:r>
      <w:r>
        <w:rPr>
          <w:rFonts w:ascii="宋体" w:hAnsi="宋体" w:eastAsia="宋体" w:cs="宋体"/>
          <w:sz w:val="21"/>
          <w:szCs w:val="21"/>
        </w:rPr>
        <w:t>关材料进</w:t>
      </w:r>
      <w:r>
        <w:rPr>
          <w:rFonts w:ascii="宋体" w:hAnsi="宋体" w:eastAsia="宋体" w:cs="宋体"/>
          <w:spacing w:val="-1"/>
          <w:sz w:val="21"/>
          <w:szCs w:val="21"/>
        </w:rPr>
        <w:t>行现场取样，并送</w:t>
      </w:r>
      <w:r>
        <w:rPr>
          <w:rFonts w:ascii="宋体" w:hAnsi="宋体" w:eastAsia="宋体" w:cs="宋体"/>
          <w:spacing w:val="-1"/>
          <w:sz w:val="21"/>
          <w:szCs w:val="21"/>
          <w:u w:val="single" w:color="auto"/>
        </w:rPr>
        <w:t xml:space="preserve">                      </w:t>
      </w:r>
      <w:r>
        <w:rPr>
          <w:rFonts w:ascii="宋体" w:hAnsi="宋体" w:eastAsia="宋体" w:cs="宋体"/>
          <w:spacing w:val="-79"/>
          <w:sz w:val="21"/>
          <w:szCs w:val="21"/>
        </w:rPr>
        <w:t xml:space="preserve"> </w:t>
      </w:r>
      <w:r>
        <w:rPr>
          <w:rFonts w:ascii="宋体" w:hAnsi="宋体" w:eastAsia="宋体" w:cs="宋体"/>
          <w:spacing w:val="-1"/>
          <w:sz w:val="21"/>
          <w:szCs w:val="21"/>
        </w:rPr>
        <w:t>质量检测单位进行检测。</w:t>
      </w:r>
    </w:p>
    <w:p w14:paraId="3C067853">
      <w:pPr>
        <w:spacing w:before="5" w:line="348" w:lineRule="auto"/>
        <w:ind w:left="24" w:right="118" w:firstLine="436"/>
        <w:rPr>
          <w:rFonts w:ascii="宋体" w:hAnsi="宋体" w:eastAsia="宋体" w:cs="宋体"/>
          <w:sz w:val="21"/>
          <w:szCs w:val="21"/>
        </w:rPr>
      </w:pPr>
      <w:r>
        <w:rPr>
          <w:rFonts w:ascii="Times New Roman" w:hAnsi="Times New Roman" w:eastAsia="Times New Roman" w:cs="Times New Roman"/>
          <w:sz w:val="21"/>
          <w:szCs w:val="21"/>
        </w:rPr>
        <w:t xml:space="preserve">12.8           </w:t>
      </w:r>
      <w:r>
        <w:rPr>
          <w:rFonts w:ascii="宋体" w:hAnsi="宋体" w:eastAsia="宋体" w:cs="宋体"/>
          <w:sz w:val="21"/>
          <w:szCs w:val="21"/>
        </w:rPr>
        <w:t>除合同另有约定外，承包</w:t>
      </w:r>
      <w:r>
        <w:rPr>
          <w:rFonts w:ascii="宋体" w:hAnsi="宋体" w:eastAsia="宋体" w:cs="宋体"/>
          <w:spacing w:val="-1"/>
          <w:sz w:val="21"/>
          <w:szCs w:val="21"/>
        </w:rPr>
        <w:t>人应负担本合同项下的所有材料、工程设备和工艺</w:t>
      </w:r>
      <w:r>
        <w:rPr>
          <w:rFonts w:ascii="宋体" w:hAnsi="宋体" w:eastAsia="宋体" w:cs="宋体"/>
          <w:spacing w:val="-6"/>
          <w:sz w:val="21"/>
          <w:szCs w:val="21"/>
        </w:rPr>
        <w:t>检验的费用。</w:t>
      </w:r>
    </w:p>
    <w:p w14:paraId="4400BE14">
      <w:pPr>
        <w:spacing w:before="314" w:line="239" w:lineRule="auto"/>
        <w:ind w:left="49"/>
        <w:outlineLvl w:val="2"/>
        <w:rPr>
          <w:rFonts w:ascii="黑体" w:hAnsi="黑体" w:eastAsia="黑体" w:cs="黑体"/>
          <w:sz w:val="28"/>
          <w:szCs w:val="28"/>
        </w:rPr>
      </w:pPr>
      <w:bookmarkStart w:id="606" w:name="bookmark559"/>
      <w:bookmarkEnd w:id="606"/>
      <w:r>
        <w:rPr>
          <w:rFonts w:ascii="Times New Roman" w:hAnsi="Times New Roman" w:eastAsia="Times New Roman" w:cs="Times New Roman"/>
          <w:spacing w:val="1"/>
          <w:sz w:val="28"/>
          <w:szCs w:val="28"/>
        </w:rPr>
        <w:t>13.</w:t>
      </w:r>
      <w:r>
        <w:rPr>
          <w:rFonts w:ascii="黑体" w:hAnsi="黑体" w:eastAsia="黑体" w:cs="黑体"/>
          <w:spacing w:val="1"/>
          <w:sz w:val="28"/>
          <w:szCs w:val="28"/>
        </w:rPr>
        <w:t>计日工</w:t>
      </w:r>
    </w:p>
    <w:p w14:paraId="22AE640A">
      <w:pPr>
        <w:pStyle w:val="2"/>
        <w:spacing w:line="412" w:lineRule="auto"/>
      </w:pPr>
    </w:p>
    <w:p w14:paraId="47B3C80C">
      <w:pPr>
        <w:spacing w:before="69" w:line="348" w:lineRule="auto"/>
        <w:ind w:left="26" w:right="81" w:firstLine="434"/>
        <w:rPr>
          <w:rFonts w:ascii="宋体" w:hAnsi="宋体" w:eastAsia="宋体" w:cs="宋体"/>
          <w:sz w:val="21"/>
          <w:szCs w:val="21"/>
        </w:rPr>
      </w:pPr>
      <w:r>
        <w:rPr>
          <w:rFonts w:ascii="Times New Roman" w:hAnsi="Times New Roman" w:eastAsia="Times New Roman" w:cs="Times New Roman"/>
          <w:spacing w:val="-1"/>
          <w:sz w:val="21"/>
          <w:szCs w:val="21"/>
        </w:rPr>
        <w:t xml:space="preserve">13.1          </w:t>
      </w:r>
      <w:r>
        <w:rPr>
          <w:rFonts w:ascii="宋体" w:hAnsi="宋体" w:eastAsia="宋体" w:cs="宋体"/>
          <w:spacing w:val="-1"/>
          <w:sz w:val="21"/>
          <w:szCs w:val="21"/>
        </w:rPr>
        <w:t>通用合同条款第</w:t>
      </w:r>
      <w:r>
        <w:rPr>
          <w:rFonts w:ascii="宋体" w:hAnsi="宋体" w:eastAsia="宋体" w:cs="宋体"/>
          <w:spacing w:val="-6"/>
          <w:sz w:val="21"/>
          <w:szCs w:val="21"/>
        </w:rPr>
        <w:t xml:space="preserve"> </w:t>
      </w:r>
      <w:r>
        <w:rPr>
          <w:rFonts w:ascii="Times New Roman" w:hAnsi="Times New Roman" w:eastAsia="Times New Roman" w:cs="Times New Roman"/>
          <w:spacing w:val="-1"/>
          <w:sz w:val="21"/>
          <w:szCs w:val="21"/>
        </w:rPr>
        <w:t>15.7</w:t>
      </w:r>
      <w:r>
        <w:rPr>
          <w:rFonts w:ascii="Times New Roman" w:hAnsi="Times New Roman" w:eastAsia="Times New Roman" w:cs="Times New Roman"/>
          <w:spacing w:val="17"/>
          <w:w w:val="101"/>
          <w:sz w:val="21"/>
          <w:szCs w:val="21"/>
        </w:rPr>
        <w:t xml:space="preserve"> </w:t>
      </w:r>
      <w:r>
        <w:rPr>
          <w:rFonts w:ascii="宋体" w:hAnsi="宋体" w:eastAsia="宋体" w:cs="宋体"/>
          <w:spacing w:val="-1"/>
          <w:sz w:val="21"/>
          <w:szCs w:val="21"/>
        </w:rPr>
        <w:t>款约定的计日工，一般适用于合同约定之外的或者因变</w:t>
      </w:r>
      <w:r>
        <w:rPr>
          <w:rFonts w:ascii="宋体" w:hAnsi="宋体" w:eastAsia="宋体" w:cs="宋体"/>
          <w:spacing w:val="-2"/>
          <w:sz w:val="21"/>
          <w:szCs w:val="21"/>
        </w:rPr>
        <w:t>更而产生的、工程量清单中没有设立相应子目或者即便有相应子目但因工作</w:t>
      </w:r>
      <w:r>
        <w:rPr>
          <w:rFonts w:ascii="宋体" w:hAnsi="宋体" w:eastAsia="宋体" w:cs="宋体"/>
          <w:spacing w:val="-3"/>
          <w:sz w:val="21"/>
          <w:szCs w:val="21"/>
        </w:rPr>
        <w:t>条件发生变化而</w:t>
      </w:r>
    </w:p>
    <w:p w14:paraId="152A5130">
      <w:pPr>
        <w:spacing w:line="348" w:lineRule="auto"/>
        <w:rPr>
          <w:rFonts w:ascii="宋体" w:hAnsi="宋体" w:eastAsia="宋体" w:cs="宋体"/>
          <w:sz w:val="21"/>
          <w:szCs w:val="21"/>
        </w:rPr>
        <w:sectPr>
          <w:footerReference r:id="rId287" w:type="default"/>
          <w:pgSz w:w="11910" w:h="16845"/>
          <w:pgMar w:top="400" w:right="1689" w:bottom="1110" w:left="1786" w:header="0" w:footer="883" w:gutter="0"/>
          <w:cols w:space="720" w:num="1"/>
        </w:sectPr>
      </w:pPr>
    </w:p>
    <w:p w14:paraId="0868BCE6">
      <w:pPr>
        <w:pStyle w:val="2"/>
        <w:spacing w:line="275" w:lineRule="auto"/>
      </w:pPr>
    </w:p>
    <w:p w14:paraId="1508C219">
      <w:pPr>
        <w:pStyle w:val="2"/>
        <w:spacing w:line="275" w:lineRule="auto"/>
      </w:pPr>
    </w:p>
    <w:p w14:paraId="132C1046">
      <w:pPr>
        <w:pStyle w:val="2"/>
        <w:spacing w:line="275" w:lineRule="auto"/>
      </w:pPr>
    </w:p>
    <w:p w14:paraId="42B4D08E">
      <w:pPr>
        <w:pStyle w:val="2"/>
        <w:spacing w:line="275" w:lineRule="auto"/>
      </w:pPr>
    </w:p>
    <w:p w14:paraId="0723605C">
      <w:pPr>
        <w:spacing w:before="68" w:line="350" w:lineRule="auto"/>
        <w:ind w:left="25" w:right="60"/>
        <w:rPr>
          <w:rFonts w:ascii="宋体" w:hAnsi="宋体" w:eastAsia="宋体" w:cs="宋体"/>
          <w:sz w:val="21"/>
          <w:szCs w:val="21"/>
        </w:rPr>
      </w:pPr>
      <w:r>
        <w:rPr>
          <w:rFonts w:ascii="宋体" w:hAnsi="宋体" w:eastAsia="宋体" w:cs="宋体"/>
          <w:spacing w:val="-2"/>
          <w:sz w:val="21"/>
          <w:szCs w:val="21"/>
        </w:rPr>
        <w:t>无法适用的额外工作，尤其是那些时间不允许事先商定价格的额外工作。计日工在发</w:t>
      </w:r>
      <w:r>
        <w:rPr>
          <w:rFonts w:ascii="宋体" w:hAnsi="宋体" w:eastAsia="宋体" w:cs="宋体"/>
          <w:spacing w:val="-3"/>
          <w:sz w:val="21"/>
          <w:szCs w:val="21"/>
        </w:rPr>
        <w:t>包人认</w:t>
      </w:r>
      <w:r>
        <w:rPr>
          <w:rFonts w:ascii="宋体" w:hAnsi="宋体" w:eastAsia="宋体" w:cs="宋体"/>
          <w:spacing w:val="-1"/>
          <w:sz w:val="21"/>
          <w:szCs w:val="21"/>
        </w:rPr>
        <w:t>为必要时，由监理人按通用合同条款第</w:t>
      </w:r>
      <w:r>
        <w:rPr>
          <w:rFonts w:ascii="宋体" w:hAnsi="宋体" w:eastAsia="宋体" w:cs="宋体"/>
          <w:spacing w:val="-24"/>
          <w:sz w:val="21"/>
          <w:szCs w:val="21"/>
        </w:rPr>
        <w:t xml:space="preserve"> </w:t>
      </w:r>
      <w:r>
        <w:rPr>
          <w:rFonts w:ascii="Times New Roman" w:hAnsi="Times New Roman" w:eastAsia="Times New Roman" w:cs="Times New Roman"/>
          <w:spacing w:val="-1"/>
          <w:sz w:val="21"/>
          <w:szCs w:val="21"/>
        </w:rPr>
        <w:t>15.</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项约定通知承包人实施。</w:t>
      </w:r>
    </w:p>
    <w:p w14:paraId="6A0A287C">
      <w:pPr>
        <w:spacing w:before="3" w:line="351" w:lineRule="auto"/>
        <w:ind w:left="23" w:right="52" w:firstLine="437"/>
        <w:rPr>
          <w:rFonts w:ascii="宋体" w:hAnsi="宋体" w:eastAsia="宋体" w:cs="宋体"/>
          <w:sz w:val="21"/>
          <w:szCs w:val="21"/>
        </w:rPr>
      </w:pPr>
      <w:r>
        <w:rPr>
          <w:rFonts w:ascii="Times New Roman" w:hAnsi="Times New Roman" w:eastAsia="Times New Roman" w:cs="Times New Roman"/>
          <w:spacing w:val="-3"/>
          <w:sz w:val="21"/>
          <w:szCs w:val="21"/>
        </w:rPr>
        <w:t xml:space="preserve">13.2          </w:t>
      </w:r>
      <w:r>
        <w:rPr>
          <w:rFonts w:ascii="宋体" w:hAnsi="宋体" w:eastAsia="宋体" w:cs="宋体"/>
          <w:spacing w:val="-3"/>
          <w:sz w:val="21"/>
          <w:szCs w:val="21"/>
        </w:rPr>
        <w:t>在工程实际开工后</w:t>
      </w:r>
      <w:r>
        <w:rPr>
          <w:rFonts w:ascii="宋体" w:hAnsi="宋体" w:eastAsia="宋体" w:cs="宋体"/>
          <w:spacing w:val="-8"/>
          <w:sz w:val="21"/>
          <w:szCs w:val="21"/>
        </w:rPr>
        <w:t xml:space="preserve"> </w:t>
      </w:r>
      <w:r>
        <w:rPr>
          <w:rFonts w:ascii="Times New Roman" w:hAnsi="Times New Roman" w:eastAsia="Times New Roman" w:cs="Times New Roman"/>
          <w:spacing w:val="-3"/>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天内，承包人应当按通用合同条款第</w:t>
      </w:r>
      <w:r>
        <w:rPr>
          <w:rFonts w:ascii="宋体" w:hAnsi="宋体" w:eastAsia="宋体" w:cs="宋体"/>
          <w:spacing w:val="-22"/>
          <w:sz w:val="21"/>
          <w:szCs w:val="21"/>
        </w:rPr>
        <w:t xml:space="preserve"> </w:t>
      </w:r>
      <w:r>
        <w:rPr>
          <w:rFonts w:ascii="Times New Roman" w:hAnsi="Times New Roman" w:eastAsia="Times New Roman" w:cs="Times New Roman"/>
          <w:spacing w:val="-3"/>
          <w:sz w:val="21"/>
          <w:szCs w:val="21"/>
        </w:rPr>
        <w:t>15.7.2</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项约定的计</w:t>
      </w:r>
      <w:r>
        <w:rPr>
          <w:rFonts w:ascii="宋体" w:hAnsi="宋体" w:eastAsia="宋体" w:cs="宋体"/>
          <w:spacing w:val="-2"/>
          <w:sz w:val="21"/>
          <w:szCs w:val="21"/>
        </w:rPr>
        <w:t>日工报表内容，准备一份计日工日报表的格式，报送监理人审批，监理人应当在收</w:t>
      </w:r>
      <w:r>
        <w:rPr>
          <w:rFonts w:ascii="宋体" w:hAnsi="宋体" w:eastAsia="宋体" w:cs="宋体"/>
          <w:spacing w:val="-3"/>
          <w:sz w:val="21"/>
          <w:szCs w:val="21"/>
        </w:rPr>
        <w:t>到之日后</w:t>
      </w:r>
      <w:r>
        <w:rPr>
          <w:rFonts w:ascii="Times New Roman" w:hAnsi="Times New Roman" w:eastAsia="Times New Roman" w:cs="Times New Roman"/>
          <w:spacing w:val="-3"/>
          <w:sz w:val="21"/>
          <w:szCs w:val="21"/>
        </w:rPr>
        <w:t>7</w:t>
      </w:r>
      <w:r>
        <w:rPr>
          <w:rFonts w:ascii="Times New Roman" w:hAnsi="Times New Roman" w:eastAsia="Times New Roman" w:cs="Times New Roman"/>
          <w:spacing w:val="22"/>
          <w:sz w:val="21"/>
          <w:szCs w:val="21"/>
        </w:rPr>
        <w:t xml:space="preserve"> </w:t>
      </w:r>
      <w:r>
        <w:rPr>
          <w:rFonts w:ascii="宋体" w:hAnsi="宋体" w:eastAsia="宋体" w:cs="宋体"/>
          <w:spacing w:val="-3"/>
          <w:sz w:val="21"/>
          <w:szCs w:val="21"/>
        </w:rPr>
        <w:t>天内给予批复或提出修改意见。</w:t>
      </w:r>
    </w:p>
    <w:p w14:paraId="71FEBC79">
      <w:pPr>
        <w:spacing w:before="3" w:line="351" w:lineRule="auto"/>
        <w:ind w:left="23" w:right="63" w:firstLine="437"/>
        <w:rPr>
          <w:rFonts w:ascii="宋体" w:hAnsi="宋体" w:eastAsia="宋体" w:cs="宋体"/>
          <w:sz w:val="21"/>
          <w:szCs w:val="21"/>
        </w:rPr>
      </w:pPr>
      <w:r>
        <w:rPr>
          <w:rFonts w:ascii="Times New Roman" w:hAnsi="Times New Roman" w:eastAsia="Times New Roman" w:cs="Times New Roman"/>
          <w:spacing w:val="1"/>
          <w:sz w:val="21"/>
          <w:szCs w:val="21"/>
        </w:rPr>
        <w:t xml:space="preserve">13.3          </w:t>
      </w:r>
      <w:r>
        <w:rPr>
          <w:rFonts w:ascii="宋体" w:hAnsi="宋体" w:eastAsia="宋体" w:cs="宋体"/>
          <w:spacing w:val="1"/>
          <w:sz w:val="21"/>
          <w:szCs w:val="21"/>
        </w:rPr>
        <w:t>按计日工实施相关变更的过程中，承包人应当按经监理</w:t>
      </w:r>
      <w:r>
        <w:rPr>
          <w:rFonts w:ascii="宋体" w:hAnsi="宋体" w:eastAsia="宋体" w:cs="宋体"/>
          <w:sz w:val="21"/>
          <w:szCs w:val="21"/>
        </w:rPr>
        <w:t>人批准的计日工日报</w:t>
      </w:r>
      <w:r>
        <w:rPr>
          <w:rFonts w:ascii="宋体" w:hAnsi="宋体" w:eastAsia="宋体" w:cs="宋体"/>
          <w:spacing w:val="-2"/>
          <w:sz w:val="21"/>
          <w:szCs w:val="21"/>
        </w:rPr>
        <w:t>表格式，每天提交计日工报表和有关凭证，报送监理人审批，监理人应当在收到相关</w:t>
      </w:r>
      <w:r>
        <w:rPr>
          <w:rFonts w:ascii="宋体" w:hAnsi="宋体" w:eastAsia="宋体" w:cs="宋体"/>
          <w:spacing w:val="-3"/>
          <w:sz w:val="21"/>
          <w:szCs w:val="21"/>
        </w:rPr>
        <w:t>报表和</w:t>
      </w:r>
      <w:r>
        <w:rPr>
          <w:rFonts w:ascii="宋体" w:hAnsi="宋体" w:eastAsia="宋体" w:cs="宋体"/>
          <w:spacing w:val="-4"/>
          <w:sz w:val="21"/>
          <w:szCs w:val="21"/>
        </w:rPr>
        <w:t>凭证后</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24</w:t>
      </w:r>
      <w:r>
        <w:rPr>
          <w:rFonts w:ascii="Times New Roman" w:hAnsi="Times New Roman" w:eastAsia="Times New Roman" w:cs="Times New Roman"/>
          <w:spacing w:val="22"/>
          <w:sz w:val="21"/>
          <w:szCs w:val="21"/>
        </w:rPr>
        <w:t xml:space="preserve"> </w:t>
      </w:r>
      <w:r>
        <w:rPr>
          <w:rFonts w:ascii="宋体" w:hAnsi="宋体" w:eastAsia="宋体" w:cs="宋体"/>
          <w:spacing w:val="-4"/>
          <w:sz w:val="21"/>
          <w:szCs w:val="21"/>
        </w:rPr>
        <w:t>小时内给予批复。</w:t>
      </w:r>
    </w:p>
    <w:p w14:paraId="739D83E2">
      <w:pPr>
        <w:spacing w:line="350" w:lineRule="auto"/>
        <w:ind w:left="22" w:right="49"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13.4          </w:t>
      </w:r>
      <w:r>
        <w:rPr>
          <w:rFonts w:ascii="宋体" w:hAnsi="宋体" w:eastAsia="宋体" w:cs="宋体"/>
          <w:spacing w:val="-1"/>
          <w:sz w:val="21"/>
          <w:szCs w:val="21"/>
        </w:rPr>
        <w:t>计日工劳务按工日</w:t>
      </w:r>
      <w:r>
        <w:rPr>
          <w:rFonts w:ascii="Times New Roman" w:hAnsi="Times New Roman" w:eastAsia="Times New Roman" w:cs="Times New Roman"/>
          <w:spacing w:val="-1"/>
          <w:sz w:val="21"/>
          <w:szCs w:val="21"/>
        </w:rPr>
        <w:t>(8</w:t>
      </w:r>
      <w:r>
        <w:rPr>
          <w:rFonts w:ascii="Times New Roman" w:hAnsi="Times New Roman" w:eastAsia="Times New Roman" w:cs="Times New Roman"/>
          <w:spacing w:val="22"/>
          <w:sz w:val="21"/>
          <w:szCs w:val="21"/>
        </w:rPr>
        <w:t xml:space="preserve"> </w:t>
      </w:r>
      <w:r>
        <w:rPr>
          <w:rFonts w:ascii="宋体" w:hAnsi="宋体" w:eastAsia="宋体" w:cs="宋体"/>
          <w:spacing w:val="-1"/>
          <w:sz w:val="21"/>
          <w:szCs w:val="21"/>
        </w:rPr>
        <w:t>小时</w:t>
      </w:r>
      <w:r>
        <w:rPr>
          <w:rFonts w:ascii="Times New Roman" w:hAnsi="Times New Roman" w:eastAsia="Times New Roman" w:cs="Times New Roman"/>
          <w:spacing w:val="-1"/>
          <w:sz w:val="21"/>
          <w:szCs w:val="21"/>
        </w:rPr>
        <w:t>)</w:t>
      </w:r>
      <w:r>
        <w:rPr>
          <w:rFonts w:ascii="宋体" w:hAnsi="宋体" w:eastAsia="宋体" w:cs="宋体"/>
          <w:spacing w:val="-1"/>
          <w:sz w:val="21"/>
          <w:szCs w:val="21"/>
        </w:rPr>
        <w:t>计量，</w:t>
      </w:r>
      <w:r>
        <w:rPr>
          <w:rFonts w:ascii="宋体" w:hAnsi="宋体" w:eastAsia="宋体" w:cs="宋体"/>
          <w:spacing w:val="-2"/>
          <w:sz w:val="21"/>
          <w:szCs w:val="21"/>
        </w:rPr>
        <w:t>单次</w:t>
      </w:r>
      <w:r>
        <w:rPr>
          <w:rFonts w:ascii="宋体" w:hAnsi="宋体" w:eastAsia="宋体" w:cs="宋体"/>
          <w:spacing w:val="-57"/>
          <w:sz w:val="21"/>
          <w:szCs w:val="21"/>
        </w:rPr>
        <w:t xml:space="preserve"> </w:t>
      </w:r>
      <w:r>
        <w:rPr>
          <w:rFonts w:ascii="Times New Roman" w:hAnsi="Times New Roman" w:eastAsia="Times New Roman" w:cs="Times New Roman"/>
          <w:spacing w:val="-2"/>
          <w:sz w:val="21"/>
          <w:szCs w:val="21"/>
        </w:rPr>
        <w:t>4</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小时以内按</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0.5</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个工日，单次</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4</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小时</w:t>
      </w:r>
      <w:r>
        <w:rPr>
          <w:rFonts w:ascii="宋体" w:hAnsi="宋体" w:eastAsia="宋体" w:cs="宋体"/>
          <w:spacing w:val="-4"/>
          <w:sz w:val="21"/>
          <w:szCs w:val="21"/>
        </w:rPr>
        <w:t>至</w:t>
      </w:r>
      <w:r>
        <w:rPr>
          <w:rFonts w:ascii="宋体" w:hAnsi="宋体" w:eastAsia="宋体" w:cs="宋体"/>
          <w:spacing w:val="-16"/>
          <w:sz w:val="21"/>
          <w:szCs w:val="21"/>
        </w:rPr>
        <w:t xml:space="preserve"> </w:t>
      </w:r>
      <w:r>
        <w:rPr>
          <w:rFonts w:ascii="Times New Roman" w:hAnsi="Times New Roman" w:eastAsia="Times New Roman" w:cs="Times New Roman"/>
          <w:spacing w:val="-4"/>
          <w:sz w:val="21"/>
          <w:szCs w:val="21"/>
        </w:rPr>
        <w:t>8</w:t>
      </w:r>
      <w:r>
        <w:rPr>
          <w:rFonts w:ascii="Times New Roman" w:hAnsi="Times New Roman" w:eastAsia="Times New Roman" w:cs="Times New Roman"/>
          <w:spacing w:val="22"/>
          <w:sz w:val="21"/>
          <w:szCs w:val="21"/>
        </w:rPr>
        <w:t xml:space="preserve"> </w:t>
      </w:r>
      <w:r>
        <w:rPr>
          <w:rFonts w:ascii="宋体" w:hAnsi="宋体" w:eastAsia="宋体" w:cs="宋体"/>
          <w:spacing w:val="-4"/>
          <w:sz w:val="21"/>
          <w:szCs w:val="21"/>
        </w:rPr>
        <w:t>小时按</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16"/>
          <w:w w:val="101"/>
          <w:sz w:val="21"/>
          <w:szCs w:val="21"/>
        </w:rPr>
        <w:t xml:space="preserve"> </w:t>
      </w:r>
      <w:r>
        <w:rPr>
          <w:rFonts w:ascii="宋体" w:hAnsi="宋体" w:eastAsia="宋体" w:cs="宋体"/>
          <w:spacing w:val="-4"/>
          <w:sz w:val="21"/>
          <w:szCs w:val="21"/>
        </w:rPr>
        <w:t>个工日，加班时间按照国家劳动法律法规的规定办理。实施计日工的劳务人员</w:t>
      </w:r>
      <w:r>
        <w:rPr>
          <w:rFonts w:ascii="宋体" w:hAnsi="宋体" w:eastAsia="宋体" w:cs="宋体"/>
          <w:sz w:val="21"/>
          <w:szCs w:val="21"/>
        </w:rPr>
        <w:t>仅应包括直接从事计日工工作的工人和班组长</w:t>
      </w:r>
      <w:r>
        <w:rPr>
          <w:rFonts w:ascii="Times New Roman" w:hAnsi="Times New Roman" w:eastAsia="Times New Roman" w:cs="Times New Roman"/>
          <w:sz w:val="21"/>
          <w:szCs w:val="21"/>
        </w:rPr>
        <w:t>(</w:t>
      </w:r>
      <w:r>
        <w:rPr>
          <w:rFonts w:ascii="宋体" w:hAnsi="宋体" w:eastAsia="宋体" w:cs="宋体"/>
          <w:sz w:val="21"/>
          <w:szCs w:val="21"/>
        </w:rPr>
        <w:t>如果有</w:t>
      </w:r>
      <w:r>
        <w:rPr>
          <w:rFonts w:ascii="Times New Roman" w:hAnsi="Times New Roman" w:eastAsia="Times New Roman" w:cs="Times New Roman"/>
          <w:sz w:val="21"/>
          <w:szCs w:val="21"/>
        </w:rPr>
        <w:t>)</w:t>
      </w:r>
      <w:r>
        <w:rPr>
          <w:rFonts w:ascii="宋体" w:hAnsi="宋体" w:eastAsia="宋体" w:cs="宋体"/>
          <w:sz w:val="21"/>
          <w:szCs w:val="21"/>
        </w:rPr>
        <w:t>，不</w:t>
      </w:r>
      <w:r>
        <w:rPr>
          <w:rFonts w:ascii="宋体" w:hAnsi="宋体" w:eastAsia="宋体" w:cs="宋体"/>
          <w:spacing w:val="-1"/>
          <w:sz w:val="21"/>
          <w:szCs w:val="21"/>
        </w:rPr>
        <w:t>应包括工长及其以上管理人员。</w:t>
      </w:r>
    </w:p>
    <w:p w14:paraId="62F74687">
      <w:pPr>
        <w:spacing w:before="4" w:line="348" w:lineRule="auto"/>
        <w:ind w:left="23" w:right="76" w:firstLine="437"/>
        <w:rPr>
          <w:rFonts w:ascii="宋体" w:hAnsi="宋体" w:eastAsia="宋体" w:cs="宋体"/>
          <w:sz w:val="21"/>
          <w:szCs w:val="21"/>
        </w:rPr>
      </w:pPr>
      <w:r>
        <w:rPr>
          <w:rFonts w:ascii="Times New Roman" w:hAnsi="Times New Roman" w:eastAsia="Times New Roman" w:cs="Times New Roman"/>
          <w:sz w:val="21"/>
          <w:szCs w:val="21"/>
        </w:rPr>
        <w:t xml:space="preserve">13.5           </w:t>
      </w:r>
      <w:r>
        <w:rPr>
          <w:rFonts w:ascii="宋体" w:hAnsi="宋体" w:eastAsia="宋体" w:cs="宋体"/>
          <w:sz w:val="21"/>
          <w:szCs w:val="21"/>
        </w:rPr>
        <w:t>已标价工程量清单计日工材料表中未列出的材料，实际</w:t>
      </w:r>
      <w:r>
        <w:rPr>
          <w:rFonts w:ascii="宋体" w:hAnsi="宋体" w:eastAsia="宋体" w:cs="宋体"/>
          <w:spacing w:val="-1"/>
          <w:sz w:val="21"/>
          <w:szCs w:val="21"/>
        </w:rPr>
        <w:t>发生于计日工时，其</w:t>
      </w:r>
      <w:r>
        <w:rPr>
          <w:rFonts w:ascii="宋体" w:hAnsi="宋体" w:eastAsia="宋体" w:cs="宋体"/>
          <w:spacing w:val="1"/>
          <w:sz w:val="21"/>
          <w:szCs w:val="21"/>
        </w:rPr>
        <w:t>价格按照经监理人事先审批的材料运到现场的价格和有关材料采购的发票票面价格</w:t>
      </w:r>
      <w:r>
        <w:rPr>
          <w:rFonts w:ascii="Times New Roman" w:hAnsi="Times New Roman" w:eastAsia="Times New Roman" w:cs="Times New Roman"/>
          <w:spacing w:val="1"/>
          <w:sz w:val="21"/>
          <w:szCs w:val="21"/>
        </w:rPr>
        <w:t>(</w:t>
      </w:r>
      <w:r>
        <w:rPr>
          <w:rFonts w:ascii="宋体" w:hAnsi="宋体" w:eastAsia="宋体" w:cs="宋体"/>
          <w:sz w:val="21"/>
          <w:szCs w:val="21"/>
        </w:rPr>
        <w:t>运到现</w:t>
      </w:r>
      <w:r>
        <w:rPr>
          <w:rFonts w:ascii="宋体" w:hAnsi="宋体" w:eastAsia="宋体" w:cs="宋体"/>
          <w:spacing w:val="1"/>
          <w:sz w:val="21"/>
          <w:szCs w:val="21"/>
        </w:rPr>
        <w:t>场价</w:t>
      </w:r>
      <w:r>
        <w:rPr>
          <w:rFonts w:ascii="Times New Roman" w:hAnsi="Times New Roman" w:eastAsia="Times New Roman" w:cs="Times New Roman"/>
          <w:spacing w:val="1"/>
          <w:sz w:val="21"/>
          <w:szCs w:val="21"/>
        </w:rPr>
        <w:t>)</w:t>
      </w:r>
      <w:r>
        <w:rPr>
          <w:rFonts w:ascii="宋体" w:hAnsi="宋体" w:eastAsia="宋体" w:cs="宋体"/>
          <w:spacing w:val="1"/>
          <w:sz w:val="21"/>
          <w:szCs w:val="21"/>
        </w:rPr>
        <w:t>中的较低者结算，另计一个在计日工材料表中填写的包括承包人企业管理费、利润在</w:t>
      </w:r>
      <w:r>
        <w:rPr>
          <w:rFonts w:ascii="宋体" w:hAnsi="宋体" w:eastAsia="宋体" w:cs="宋体"/>
          <w:spacing w:val="-2"/>
          <w:sz w:val="21"/>
          <w:szCs w:val="21"/>
        </w:rPr>
        <w:t>内的一个固定百分比，规费和税金另计。</w:t>
      </w:r>
    </w:p>
    <w:p w14:paraId="2D806A7C">
      <w:pPr>
        <w:spacing w:before="23" w:line="344" w:lineRule="auto"/>
        <w:ind w:left="25"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13.6          </w:t>
      </w:r>
      <w:r>
        <w:rPr>
          <w:rFonts w:ascii="宋体" w:hAnsi="宋体" w:eastAsia="宋体" w:cs="宋体"/>
          <w:spacing w:val="-1"/>
          <w:sz w:val="21"/>
          <w:szCs w:val="21"/>
        </w:rPr>
        <w:t>施工机械按台班计</w:t>
      </w:r>
      <w:r>
        <w:rPr>
          <w:rFonts w:ascii="宋体" w:hAnsi="宋体" w:eastAsia="宋体" w:cs="宋体"/>
          <w:spacing w:val="-2"/>
          <w:sz w:val="21"/>
          <w:szCs w:val="21"/>
        </w:rPr>
        <w:t>量</w:t>
      </w:r>
      <w:r>
        <w:rPr>
          <w:rFonts w:ascii="Times New Roman" w:hAnsi="Times New Roman" w:eastAsia="Times New Roman" w:cs="Times New Roman"/>
          <w:spacing w:val="-2"/>
          <w:sz w:val="21"/>
          <w:szCs w:val="21"/>
        </w:rPr>
        <w:t>(8</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小时</w:t>
      </w:r>
      <w:r>
        <w:rPr>
          <w:rFonts w:ascii="Times New Roman" w:hAnsi="Times New Roman" w:eastAsia="Times New Roman" w:cs="Times New Roman"/>
          <w:spacing w:val="-2"/>
          <w:sz w:val="21"/>
          <w:szCs w:val="21"/>
        </w:rPr>
        <w:t>)</w:t>
      </w:r>
      <w:r>
        <w:rPr>
          <w:rFonts w:ascii="宋体" w:hAnsi="宋体" w:eastAsia="宋体" w:cs="宋体"/>
          <w:spacing w:val="-2"/>
          <w:sz w:val="21"/>
          <w:szCs w:val="21"/>
        </w:rPr>
        <w:t>，单次</w:t>
      </w:r>
      <w:r>
        <w:rPr>
          <w:rFonts w:ascii="宋体" w:hAnsi="宋体" w:eastAsia="宋体" w:cs="宋体"/>
          <w:spacing w:val="-49"/>
          <w:sz w:val="21"/>
          <w:szCs w:val="21"/>
        </w:rPr>
        <w:t xml:space="preserve"> </w:t>
      </w:r>
      <w:r>
        <w:rPr>
          <w:rFonts w:ascii="Times New Roman" w:hAnsi="Times New Roman" w:eastAsia="Times New Roman" w:cs="Times New Roman"/>
          <w:spacing w:val="-2"/>
          <w:sz w:val="21"/>
          <w:szCs w:val="21"/>
        </w:rPr>
        <w:t>4</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小时以内按</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0.5</w:t>
      </w:r>
      <w:r>
        <w:rPr>
          <w:rFonts w:ascii="Times New Roman" w:hAnsi="Times New Roman" w:eastAsia="Times New Roman" w:cs="Times New Roman"/>
          <w:spacing w:val="16"/>
          <w:sz w:val="21"/>
          <w:szCs w:val="21"/>
        </w:rPr>
        <w:t xml:space="preserve"> </w:t>
      </w:r>
      <w:r>
        <w:rPr>
          <w:rFonts w:ascii="宋体" w:hAnsi="宋体" w:eastAsia="宋体" w:cs="宋体"/>
          <w:spacing w:val="-2"/>
          <w:sz w:val="21"/>
          <w:szCs w:val="21"/>
        </w:rPr>
        <w:t>个台班，单次</w:t>
      </w:r>
      <w:r>
        <w:rPr>
          <w:rFonts w:ascii="宋体" w:hAnsi="宋体" w:eastAsia="宋体" w:cs="宋体"/>
          <w:spacing w:val="-42"/>
          <w:sz w:val="21"/>
          <w:szCs w:val="21"/>
        </w:rPr>
        <w:t xml:space="preserve"> </w:t>
      </w:r>
      <w:r>
        <w:rPr>
          <w:rFonts w:ascii="Times New Roman" w:hAnsi="Times New Roman" w:eastAsia="Times New Roman" w:cs="Times New Roman"/>
          <w:spacing w:val="-2"/>
          <w:sz w:val="21"/>
          <w:szCs w:val="21"/>
        </w:rPr>
        <w:t>4</w:t>
      </w:r>
      <w:r>
        <w:rPr>
          <w:rFonts w:ascii="Times New Roman" w:hAnsi="Times New Roman" w:eastAsia="Times New Roman" w:cs="Times New Roman"/>
          <w:spacing w:val="21"/>
          <w:w w:val="101"/>
          <w:sz w:val="21"/>
          <w:szCs w:val="21"/>
        </w:rPr>
        <w:t xml:space="preserve"> </w:t>
      </w:r>
      <w:r>
        <w:rPr>
          <w:rFonts w:ascii="宋体" w:hAnsi="宋体" w:eastAsia="宋体" w:cs="宋体"/>
          <w:spacing w:val="-2"/>
          <w:sz w:val="21"/>
          <w:szCs w:val="21"/>
        </w:rPr>
        <w:t>小时至</w:t>
      </w:r>
      <w:r>
        <w:rPr>
          <w:rFonts w:ascii="Times New Roman" w:hAnsi="Times New Roman" w:eastAsia="Times New Roman" w:cs="Times New Roman"/>
          <w:spacing w:val="-2"/>
          <w:sz w:val="21"/>
          <w:szCs w:val="21"/>
        </w:rPr>
        <w:t>8</w:t>
      </w:r>
      <w:r>
        <w:rPr>
          <w:rFonts w:ascii="Times New Roman" w:hAnsi="Times New Roman" w:eastAsia="Times New Roman" w:cs="Times New Roman"/>
          <w:spacing w:val="22"/>
          <w:sz w:val="21"/>
          <w:szCs w:val="21"/>
        </w:rPr>
        <w:t xml:space="preserve"> </w:t>
      </w:r>
      <w:r>
        <w:rPr>
          <w:rFonts w:ascii="宋体" w:hAnsi="宋体" w:eastAsia="宋体" w:cs="宋体"/>
          <w:spacing w:val="-2"/>
          <w:sz w:val="21"/>
          <w:szCs w:val="21"/>
        </w:rPr>
        <w:t>小时按</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6"/>
          <w:w w:val="101"/>
          <w:sz w:val="21"/>
          <w:szCs w:val="21"/>
        </w:rPr>
        <w:t xml:space="preserve"> </w:t>
      </w:r>
      <w:r>
        <w:rPr>
          <w:rFonts w:ascii="宋体" w:hAnsi="宋体" w:eastAsia="宋体" w:cs="宋体"/>
          <w:spacing w:val="-2"/>
          <w:sz w:val="21"/>
          <w:szCs w:val="21"/>
        </w:rPr>
        <w:t>个台班，操作人员加班时间按照国家劳动法律法规的规定办理。</w:t>
      </w:r>
      <w:r>
        <w:rPr>
          <w:rFonts w:ascii="宋体" w:hAnsi="宋体" w:eastAsia="宋体" w:cs="宋体"/>
          <w:spacing w:val="-3"/>
          <w:sz w:val="21"/>
          <w:szCs w:val="21"/>
        </w:rPr>
        <w:t>计日工如果需要</w:t>
      </w:r>
      <w:r>
        <w:rPr>
          <w:rFonts w:ascii="宋体" w:hAnsi="宋体" w:eastAsia="宋体" w:cs="宋体"/>
          <w:sz w:val="21"/>
          <w:szCs w:val="21"/>
        </w:rPr>
        <w:t>使用场外施工机械，台班费用和进出场费用</w:t>
      </w:r>
      <w:r>
        <w:rPr>
          <w:rFonts w:ascii="宋体" w:hAnsi="宋体" w:eastAsia="宋体" w:cs="宋体"/>
          <w:spacing w:val="-1"/>
          <w:sz w:val="21"/>
          <w:szCs w:val="21"/>
        </w:rPr>
        <w:t>按市场平均价格，由承包人事后报监理人审批。</w:t>
      </w:r>
    </w:p>
    <w:p w14:paraId="3E03854C">
      <w:pPr>
        <w:spacing w:before="29" w:line="234"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13.7          </w:t>
      </w:r>
      <w:r>
        <w:rPr>
          <w:rFonts w:ascii="宋体" w:hAnsi="宋体" w:eastAsia="宋体" w:cs="宋体"/>
          <w:spacing w:val="-2"/>
          <w:sz w:val="21"/>
          <w:szCs w:val="21"/>
        </w:rPr>
        <w:t>关于计日工</w:t>
      </w:r>
      <w:r>
        <w:rPr>
          <w:rFonts w:ascii="宋体" w:hAnsi="宋体" w:eastAsia="宋体" w:cs="宋体"/>
          <w:spacing w:val="-3"/>
          <w:sz w:val="21"/>
          <w:szCs w:val="21"/>
        </w:rPr>
        <w:t>的其他约定：</w:t>
      </w:r>
    </w:p>
    <w:p w14:paraId="1DAFED30">
      <w:pPr>
        <w:tabs>
          <w:tab w:val="left" w:pos="8139"/>
        </w:tabs>
        <w:spacing w:before="274" w:line="93" w:lineRule="auto"/>
        <w:ind w:left="4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w:t>
      </w:r>
    </w:p>
    <w:p w14:paraId="6319D5B3">
      <w:pPr>
        <w:pStyle w:val="2"/>
        <w:spacing w:line="350" w:lineRule="auto"/>
      </w:pPr>
    </w:p>
    <w:p w14:paraId="4877364A">
      <w:pPr>
        <w:spacing w:before="92" w:line="239" w:lineRule="auto"/>
        <w:ind w:left="49"/>
        <w:outlineLvl w:val="2"/>
        <w:rPr>
          <w:rFonts w:ascii="黑体" w:hAnsi="黑体" w:eastAsia="黑体" w:cs="黑体"/>
          <w:sz w:val="28"/>
          <w:szCs w:val="28"/>
        </w:rPr>
      </w:pPr>
      <w:bookmarkStart w:id="607" w:name="bookmark560"/>
      <w:bookmarkEnd w:id="607"/>
      <w:r>
        <w:rPr>
          <w:rFonts w:ascii="Times New Roman" w:hAnsi="Times New Roman" w:eastAsia="Times New Roman" w:cs="Times New Roman"/>
          <w:spacing w:val="2"/>
          <w:sz w:val="28"/>
          <w:szCs w:val="28"/>
        </w:rPr>
        <w:t>14.</w:t>
      </w:r>
      <w:r>
        <w:rPr>
          <w:rFonts w:ascii="黑体" w:hAnsi="黑体" w:eastAsia="黑体" w:cs="黑体"/>
          <w:spacing w:val="2"/>
          <w:sz w:val="28"/>
          <w:szCs w:val="28"/>
        </w:rPr>
        <w:t>计量与支付</w:t>
      </w:r>
    </w:p>
    <w:p w14:paraId="085B4F33">
      <w:pPr>
        <w:pStyle w:val="2"/>
        <w:spacing w:line="460" w:lineRule="auto"/>
      </w:pPr>
    </w:p>
    <w:p w14:paraId="787EBFC9">
      <w:pPr>
        <w:spacing w:before="92" w:line="237" w:lineRule="auto"/>
        <w:ind w:left="49"/>
        <w:outlineLvl w:val="3"/>
        <w:rPr>
          <w:rFonts w:ascii="黑体" w:hAnsi="黑体" w:eastAsia="黑体" w:cs="黑体"/>
          <w:sz w:val="28"/>
          <w:szCs w:val="28"/>
        </w:rPr>
      </w:pPr>
      <w:r>
        <w:rPr>
          <w:rFonts w:ascii="Times New Roman" w:hAnsi="Times New Roman" w:eastAsia="Times New Roman" w:cs="Times New Roman"/>
          <w:spacing w:val="2"/>
          <w:sz w:val="28"/>
          <w:szCs w:val="28"/>
        </w:rPr>
        <w:t xml:space="preserve">14.1  </w:t>
      </w:r>
      <w:r>
        <w:rPr>
          <w:rFonts w:ascii="黑体" w:hAnsi="黑体" w:eastAsia="黑体" w:cs="黑体"/>
          <w:spacing w:val="2"/>
          <w:sz w:val="28"/>
          <w:szCs w:val="28"/>
        </w:rPr>
        <w:t>付款申请单</w:t>
      </w:r>
    </w:p>
    <w:p w14:paraId="69A0782C">
      <w:pPr>
        <w:pStyle w:val="2"/>
        <w:spacing w:line="444" w:lineRule="auto"/>
      </w:pPr>
    </w:p>
    <w:p w14:paraId="73706489">
      <w:pPr>
        <w:spacing w:before="68" w:line="352" w:lineRule="auto"/>
        <w:ind w:left="24" w:right="52" w:firstLine="436"/>
        <w:rPr>
          <w:rFonts w:ascii="宋体" w:hAnsi="宋体" w:eastAsia="宋体" w:cs="宋体"/>
          <w:sz w:val="21"/>
          <w:szCs w:val="21"/>
        </w:rPr>
      </w:pPr>
      <w:r>
        <w:rPr>
          <w:rFonts w:ascii="Times New Roman" w:hAnsi="Times New Roman" w:eastAsia="Times New Roman" w:cs="Times New Roman"/>
          <w:spacing w:val="-4"/>
          <w:sz w:val="21"/>
          <w:szCs w:val="21"/>
        </w:rPr>
        <w:t xml:space="preserve">14.1.1      </w:t>
      </w:r>
      <w:r>
        <w:rPr>
          <w:rFonts w:ascii="宋体" w:hAnsi="宋体" w:eastAsia="宋体" w:cs="宋体"/>
          <w:spacing w:val="-4"/>
          <w:sz w:val="21"/>
          <w:szCs w:val="21"/>
        </w:rPr>
        <w:t>在工程实际开工后</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14</w:t>
      </w:r>
      <w:r>
        <w:rPr>
          <w:rFonts w:ascii="Times New Roman" w:hAnsi="Times New Roman" w:eastAsia="Times New Roman" w:cs="Times New Roman"/>
          <w:spacing w:val="20"/>
          <w:w w:val="101"/>
          <w:sz w:val="21"/>
          <w:szCs w:val="21"/>
        </w:rPr>
        <w:t xml:space="preserve"> </w:t>
      </w:r>
      <w:r>
        <w:rPr>
          <w:rFonts w:ascii="宋体" w:hAnsi="宋体" w:eastAsia="宋体" w:cs="宋体"/>
          <w:spacing w:val="-4"/>
          <w:sz w:val="21"/>
          <w:szCs w:val="21"/>
        </w:rPr>
        <w:t>天内，承包人应当按照合同条款第</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17</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条的约定，准</w:t>
      </w:r>
      <w:r>
        <w:rPr>
          <w:rFonts w:ascii="宋体" w:hAnsi="宋体" w:eastAsia="宋体" w:cs="宋体"/>
          <w:spacing w:val="-5"/>
          <w:sz w:val="21"/>
          <w:szCs w:val="21"/>
        </w:rPr>
        <w:t>备一</w:t>
      </w:r>
      <w:r>
        <w:rPr>
          <w:rFonts w:ascii="宋体" w:hAnsi="宋体" w:eastAsia="宋体" w:cs="宋体"/>
          <w:spacing w:val="-4"/>
          <w:sz w:val="21"/>
          <w:szCs w:val="21"/>
        </w:rPr>
        <w:t>份已完工程量报表、进度付款申请单和计量文件的格式等报送监理人，</w:t>
      </w:r>
      <w:r>
        <w:rPr>
          <w:rFonts w:ascii="宋体" w:hAnsi="宋体" w:eastAsia="宋体" w:cs="宋体"/>
          <w:spacing w:val="-26"/>
          <w:sz w:val="21"/>
          <w:szCs w:val="21"/>
        </w:rPr>
        <w:t xml:space="preserve"> </w:t>
      </w:r>
      <w:r>
        <w:rPr>
          <w:rFonts w:ascii="宋体" w:hAnsi="宋体" w:eastAsia="宋体" w:cs="宋体"/>
          <w:spacing w:val="-4"/>
          <w:sz w:val="21"/>
          <w:szCs w:val="21"/>
        </w:rPr>
        <w:t>监理人应当在收到承</w:t>
      </w:r>
      <w:r>
        <w:rPr>
          <w:rFonts w:ascii="宋体" w:hAnsi="宋体" w:eastAsia="宋体" w:cs="宋体"/>
          <w:spacing w:val="-2"/>
          <w:sz w:val="21"/>
          <w:szCs w:val="21"/>
        </w:rPr>
        <w:t>包人报送的格式后</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20"/>
          <w:w w:val="101"/>
          <w:sz w:val="21"/>
          <w:szCs w:val="21"/>
        </w:rPr>
        <w:t xml:space="preserve"> </w:t>
      </w:r>
      <w:r>
        <w:rPr>
          <w:rFonts w:ascii="宋体" w:hAnsi="宋体" w:eastAsia="宋体" w:cs="宋体"/>
          <w:spacing w:val="-2"/>
          <w:sz w:val="21"/>
          <w:szCs w:val="21"/>
        </w:rPr>
        <w:t>天内给予批复或者提出修改意见。</w:t>
      </w:r>
    </w:p>
    <w:p w14:paraId="7BC5851A">
      <w:pPr>
        <w:spacing w:before="5" w:line="350" w:lineRule="auto"/>
        <w:ind w:left="22" w:right="50" w:firstLine="438"/>
        <w:rPr>
          <w:rFonts w:ascii="宋体" w:hAnsi="宋体" w:eastAsia="宋体" w:cs="宋体"/>
          <w:sz w:val="21"/>
          <w:szCs w:val="21"/>
        </w:rPr>
      </w:pPr>
      <w:r>
        <w:rPr>
          <w:rFonts w:ascii="Times New Roman" w:hAnsi="Times New Roman" w:eastAsia="Times New Roman" w:cs="Times New Roman"/>
          <w:spacing w:val="-1"/>
          <w:sz w:val="21"/>
          <w:szCs w:val="21"/>
        </w:rPr>
        <w:t xml:space="preserve">14.1.2      </w:t>
      </w:r>
      <w:r>
        <w:rPr>
          <w:rFonts w:ascii="宋体" w:hAnsi="宋体" w:eastAsia="宋体" w:cs="宋体"/>
          <w:spacing w:val="-1"/>
          <w:sz w:val="21"/>
          <w:szCs w:val="21"/>
        </w:rPr>
        <w:t>根据合同条款第</w:t>
      </w:r>
      <w:r>
        <w:rPr>
          <w:rFonts w:ascii="宋体" w:hAnsi="宋体" w:eastAsia="宋体" w:cs="宋体"/>
          <w:spacing w:val="-22"/>
          <w:sz w:val="21"/>
          <w:szCs w:val="21"/>
        </w:rPr>
        <w:t xml:space="preserve"> </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
          <w:sz w:val="21"/>
          <w:szCs w:val="21"/>
        </w:rPr>
        <w:t>7.1</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款和第</w:t>
      </w:r>
      <w:r>
        <w:rPr>
          <w:rFonts w:ascii="宋体" w:hAnsi="宋体" w:eastAsia="宋体" w:cs="宋体"/>
          <w:spacing w:val="-21"/>
          <w:sz w:val="21"/>
          <w:szCs w:val="21"/>
        </w:rPr>
        <w:t xml:space="preserve"> </w:t>
      </w:r>
      <w:r>
        <w:rPr>
          <w:rFonts w:ascii="Times New Roman" w:hAnsi="Times New Roman" w:eastAsia="Times New Roman" w:cs="Times New Roman"/>
          <w:spacing w:val="-2"/>
          <w:sz w:val="21"/>
          <w:szCs w:val="21"/>
        </w:rPr>
        <w:t>17.3</w:t>
      </w:r>
      <w:r>
        <w:rPr>
          <w:rFonts w:ascii="Times New Roman" w:hAnsi="Times New Roman" w:eastAsia="Times New Roman" w:cs="Times New Roman"/>
          <w:spacing w:val="17"/>
          <w:w w:val="101"/>
          <w:sz w:val="21"/>
          <w:szCs w:val="21"/>
        </w:rPr>
        <w:t xml:space="preserve"> </w:t>
      </w:r>
      <w:r>
        <w:rPr>
          <w:rFonts w:ascii="宋体" w:hAnsi="宋体" w:eastAsia="宋体" w:cs="宋体"/>
          <w:spacing w:val="-2"/>
          <w:sz w:val="21"/>
          <w:szCs w:val="21"/>
        </w:rPr>
        <w:t>款，  承包人应当在合同约定的每个付款周</w:t>
      </w:r>
      <w:r>
        <w:rPr>
          <w:rFonts w:ascii="宋体" w:hAnsi="宋体" w:eastAsia="宋体" w:cs="宋体"/>
          <w:spacing w:val="-3"/>
          <w:sz w:val="21"/>
          <w:szCs w:val="21"/>
        </w:rPr>
        <w:t>期末，对当期完成的各项工程量进行计量和计价，并按照第</w:t>
      </w:r>
      <w:r>
        <w:rPr>
          <w:rFonts w:ascii="宋体" w:hAnsi="宋体" w:eastAsia="宋体" w:cs="宋体"/>
          <w:spacing w:val="-16"/>
          <w:sz w:val="21"/>
          <w:szCs w:val="21"/>
        </w:rPr>
        <w:t xml:space="preserve"> </w:t>
      </w:r>
      <w:r>
        <w:rPr>
          <w:rFonts w:ascii="Times New Roman" w:hAnsi="Times New Roman" w:eastAsia="Times New Roman" w:cs="Times New Roman"/>
          <w:spacing w:val="-3"/>
          <w:sz w:val="21"/>
          <w:szCs w:val="21"/>
        </w:rPr>
        <w:t>17.3.2</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项的约定，对当期应增加</w:t>
      </w:r>
      <w:r>
        <w:rPr>
          <w:rFonts w:ascii="宋体" w:hAnsi="宋体" w:eastAsia="宋体" w:cs="宋体"/>
          <w:spacing w:val="-2"/>
          <w:sz w:val="21"/>
          <w:szCs w:val="21"/>
        </w:rPr>
        <w:t>和扣减的各类款项进行梳理和汇总，按经监理人批准的格式和专用合同条款约定的份数和内容准备并向监理人递交进度付款申请单，并将进度付款申请单连同已完工程量报表、有关计</w:t>
      </w:r>
      <w:r>
        <w:rPr>
          <w:rFonts w:ascii="宋体" w:hAnsi="宋体" w:eastAsia="宋体" w:cs="宋体"/>
          <w:spacing w:val="3"/>
          <w:sz w:val="21"/>
          <w:szCs w:val="21"/>
        </w:rPr>
        <w:t>量资料以及能够证明其进度付款申请单中所索要款项符合合同约定的各个支持</w:t>
      </w:r>
      <w:r>
        <w:rPr>
          <w:rFonts w:ascii="宋体" w:hAnsi="宋体" w:eastAsia="宋体" w:cs="宋体"/>
          <w:spacing w:val="2"/>
          <w:sz w:val="21"/>
          <w:szCs w:val="21"/>
        </w:rPr>
        <w:t>性文件同时</w:t>
      </w:r>
      <w:r>
        <w:rPr>
          <w:rFonts w:ascii="宋体" w:hAnsi="宋体" w:eastAsia="宋体" w:cs="宋体"/>
          <w:spacing w:val="-4"/>
          <w:sz w:val="21"/>
          <w:szCs w:val="21"/>
        </w:rPr>
        <w:t>报送监理人审批。</w:t>
      </w:r>
    </w:p>
    <w:p w14:paraId="4D761D85">
      <w:pPr>
        <w:spacing w:line="350" w:lineRule="auto"/>
        <w:rPr>
          <w:rFonts w:ascii="宋体" w:hAnsi="宋体" w:eastAsia="宋体" w:cs="宋体"/>
          <w:sz w:val="21"/>
          <w:szCs w:val="21"/>
        </w:rPr>
        <w:sectPr>
          <w:footerReference r:id="rId288" w:type="default"/>
          <w:pgSz w:w="11910" w:h="16845"/>
          <w:pgMar w:top="400" w:right="1718" w:bottom="1110" w:left="1786" w:header="0" w:footer="883" w:gutter="0"/>
          <w:cols w:space="720" w:num="1"/>
        </w:sectPr>
      </w:pPr>
    </w:p>
    <w:p w14:paraId="18810595">
      <w:pPr>
        <w:pStyle w:val="2"/>
        <w:spacing w:line="275" w:lineRule="auto"/>
      </w:pPr>
    </w:p>
    <w:p w14:paraId="4F8A44D3">
      <w:pPr>
        <w:pStyle w:val="2"/>
        <w:spacing w:line="275" w:lineRule="auto"/>
      </w:pPr>
    </w:p>
    <w:p w14:paraId="18BB036D">
      <w:pPr>
        <w:pStyle w:val="2"/>
        <w:spacing w:line="276" w:lineRule="auto"/>
      </w:pPr>
    </w:p>
    <w:p w14:paraId="578F63C3">
      <w:pPr>
        <w:pStyle w:val="2"/>
        <w:spacing w:line="276" w:lineRule="auto"/>
      </w:pPr>
    </w:p>
    <w:p w14:paraId="604F8979">
      <w:pPr>
        <w:spacing w:before="68" w:line="349" w:lineRule="auto"/>
        <w:ind w:left="22" w:firstLine="438"/>
        <w:rPr>
          <w:rFonts w:ascii="宋体" w:hAnsi="宋体" w:eastAsia="宋体" w:cs="宋体"/>
          <w:sz w:val="21"/>
          <w:szCs w:val="21"/>
        </w:rPr>
      </w:pPr>
      <w:r>
        <w:rPr>
          <w:rFonts w:ascii="Times New Roman" w:hAnsi="Times New Roman" w:eastAsia="Times New Roman" w:cs="Times New Roman"/>
          <w:spacing w:val="-2"/>
          <w:sz w:val="21"/>
          <w:szCs w:val="21"/>
        </w:rPr>
        <w:t xml:space="preserve">14.1.3      </w:t>
      </w:r>
      <w:r>
        <w:rPr>
          <w:rFonts w:ascii="宋体" w:hAnsi="宋体" w:eastAsia="宋体" w:cs="宋体"/>
          <w:spacing w:val="-2"/>
          <w:sz w:val="21"/>
          <w:szCs w:val="21"/>
        </w:rPr>
        <w:t>竣工付款申诅单的</w:t>
      </w:r>
      <w:r>
        <w:rPr>
          <w:rFonts w:ascii="宋体" w:hAnsi="宋体" w:eastAsia="宋体" w:cs="宋体"/>
          <w:spacing w:val="-3"/>
          <w:sz w:val="21"/>
          <w:szCs w:val="21"/>
        </w:rPr>
        <w:t>内容按专用合同条款第</w:t>
      </w:r>
      <w:r>
        <w:rPr>
          <w:rFonts w:ascii="宋体" w:hAnsi="宋体" w:eastAsia="宋体" w:cs="宋体"/>
          <w:spacing w:val="-24"/>
          <w:sz w:val="21"/>
          <w:szCs w:val="21"/>
        </w:rPr>
        <w:t xml:space="preserve"> </w:t>
      </w:r>
      <w:r>
        <w:rPr>
          <w:rFonts w:ascii="Times New Roman" w:hAnsi="Times New Roman" w:eastAsia="Times New Roman" w:cs="Times New Roman"/>
          <w:spacing w:val="-3"/>
          <w:sz w:val="21"/>
          <w:szCs w:val="21"/>
        </w:rPr>
        <w:t>17.5.</w:t>
      </w:r>
      <w:r>
        <w:rPr>
          <w:rFonts w:ascii="Times New Roman" w:hAnsi="Times New Roman" w:eastAsia="Times New Roman" w:cs="Times New Roman"/>
          <w:spacing w:val="-20"/>
          <w:sz w:val="21"/>
          <w:szCs w:val="21"/>
        </w:rPr>
        <w:t xml:space="preserve"> </w:t>
      </w:r>
      <w:r>
        <w:rPr>
          <w:rFonts w:ascii="Times New Roman" w:hAnsi="Times New Roman" w:eastAsia="Times New Roman" w:cs="Times New Roman"/>
          <w:spacing w:val="-3"/>
          <w:sz w:val="21"/>
          <w:szCs w:val="21"/>
        </w:rPr>
        <w:t>1(1)</w:t>
      </w:r>
      <w:r>
        <w:rPr>
          <w:rFonts w:ascii="宋体" w:hAnsi="宋体" w:eastAsia="宋体" w:cs="宋体"/>
          <w:spacing w:val="-3"/>
          <w:sz w:val="21"/>
          <w:szCs w:val="21"/>
        </w:rPr>
        <w:t>目的约定。采用单价合同形</w:t>
      </w:r>
      <w:r>
        <w:rPr>
          <w:rFonts w:ascii="宋体" w:hAnsi="宋体" w:eastAsia="宋体" w:cs="宋体"/>
          <w:spacing w:val="-2"/>
          <w:sz w:val="21"/>
          <w:szCs w:val="21"/>
        </w:rPr>
        <w:t>式的，竣工付款申请单应当附上按通用合同条款第</w:t>
      </w:r>
      <w:r>
        <w:rPr>
          <w:rFonts w:ascii="宋体" w:hAnsi="宋体" w:eastAsia="宋体" w:cs="宋体"/>
          <w:spacing w:val="-15"/>
          <w:sz w:val="21"/>
          <w:szCs w:val="21"/>
        </w:rPr>
        <w:t xml:space="preserve"> </w:t>
      </w:r>
      <w:r>
        <w:rPr>
          <w:rFonts w:ascii="Times New Roman" w:hAnsi="Times New Roman" w:eastAsia="Times New Roman" w:cs="Times New Roman"/>
          <w:spacing w:val="-2"/>
          <w:sz w:val="21"/>
          <w:szCs w:val="21"/>
        </w:rPr>
        <w:t>17.1.4(5)</w:t>
      </w:r>
      <w:r>
        <w:rPr>
          <w:rFonts w:ascii="宋体" w:hAnsi="宋体" w:eastAsia="宋体" w:cs="宋体"/>
          <w:spacing w:val="-2"/>
          <w:sz w:val="21"/>
          <w:szCs w:val="21"/>
        </w:rPr>
        <w:t>目确定的结算工程量和最近一欠进度付款和竣工付款之间完成的各子目的工程量计量文件。采用总价合同形</w:t>
      </w:r>
      <w:r>
        <w:rPr>
          <w:rFonts w:ascii="宋体" w:hAnsi="宋体" w:eastAsia="宋体" w:cs="宋体"/>
          <w:spacing w:val="-3"/>
          <w:sz w:val="21"/>
          <w:szCs w:val="21"/>
        </w:rPr>
        <w:t>式的，签约合同</w:t>
      </w:r>
      <w:r>
        <w:rPr>
          <w:rFonts w:ascii="宋体" w:hAnsi="宋体" w:eastAsia="宋体" w:cs="宋体"/>
          <w:sz w:val="21"/>
          <w:szCs w:val="21"/>
        </w:rPr>
        <w:t>价所基于的工程量就是相应的竣工结算工程量，</w:t>
      </w:r>
      <w:r>
        <w:rPr>
          <w:rFonts w:ascii="宋体" w:hAnsi="宋体" w:eastAsia="宋体" w:cs="宋体"/>
          <w:spacing w:val="-1"/>
          <w:sz w:val="21"/>
          <w:szCs w:val="21"/>
        </w:rPr>
        <w:t>但是，变更应按合同约定进行计量和计价。</w:t>
      </w:r>
    </w:p>
    <w:p w14:paraId="735F5337">
      <w:pPr>
        <w:spacing w:before="16" w:line="21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14.1.4</w:t>
      </w:r>
      <w:r>
        <w:rPr>
          <w:rFonts w:ascii="Times New Roman" w:hAnsi="Times New Roman" w:eastAsia="Times New Roman" w:cs="Times New Roman"/>
          <w:spacing w:val="11"/>
          <w:sz w:val="21"/>
          <w:szCs w:val="21"/>
        </w:rPr>
        <w:t xml:space="preserve">     </w:t>
      </w:r>
      <w:r>
        <w:rPr>
          <w:rFonts w:ascii="宋体" w:hAnsi="宋体" w:eastAsia="宋体" w:cs="宋体"/>
          <w:spacing w:val="-2"/>
          <w:sz w:val="21"/>
          <w:szCs w:val="21"/>
        </w:rPr>
        <w:t>竣工结算总价</w:t>
      </w:r>
      <w:r>
        <w:rPr>
          <w:rFonts w:ascii="Times New Roman" w:hAnsi="Times New Roman" w:eastAsia="Times New Roman" w:cs="Times New Roman"/>
          <w:spacing w:val="-2"/>
          <w:sz w:val="21"/>
          <w:szCs w:val="21"/>
        </w:rPr>
        <w:t>(</w:t>
      </w:r>
      <w:r>
        <w:rPr>
          <w:rFonts w:ascii="宋体" w:hAnsi="宋体" w:eastAsia="宋体" w:cs="宋体"/>
          <w:spacing w:val="-2"/>
          <w:sz w:val="21"/>
          <w:szCs w:val="21"/>
        </w:rPr>
        <w:t>合同价格</w:t>
      </w:r>
      <w:r>
        <w:rPr>
          <w:rFonts w:ascii="Times New Roman" w:hAnsi="Times New Roman" w:eastAsia="Times New Roman" w:cs="Times New Roman"/>
          <w:spacing w:val="-2"/>
          <w:sz w:val="21"/>
          <w:szCs w:val="21"/>
        </w:rPr>
        <w:t>)</w:t>
      </w:r>
      <w:r>
        <w:rPr>
          <w:rFonts w:ascii="宋体" w:hAnsi="宋体" w:eastAsia="宋体" w:cs="宋体"/>
          <w:spacing w:val="-2"/>
          <w:sz w:val="21"/>
          <w:szCs w:val="21"/>
        </w:rPr>
        <w:t>应当按以下内容梳理：</w:t>
      </w:r>
    </w:p>
    <w:p w14:paraId="706EE439">
      <w:pPr>
        <w:spacing w:before="148" w:line="213" w:lineRule="auto"/>
        <w:ind w:left="445"/>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签约合同价；</w:t>
      </w:r>
    </w:p>
    <w:p w14:paraId="32ED22B6">
      <w:pPr>
        <w:spacing w:before="163"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(2)</w:t>
      </w:r>
      <w:r>
        <w:rPr>
          <w:rFonts w:ascii="宋体" w:hAnsi="宋体" w:eastAsia="宋体" w:cs="宋体"/>
          <w:spacing w:val="-4"/>
          <w:sz w:val="21"/>
          <w:szCs w:val="21"/>
        </w:rPr>
        <w:t>应当扣减的项目；</w:t>
      </w:r>
    </w:p>
    <w:p w14:paraId="204FEF2A">
      <w:pPr>
        <w:spacing w:before="162" w:line="213" w:lineRule="auto"/>
        <w:ind w:left="461"/>
        <w:rPr>
          <w:rFonts w:ascii="宋体" w:hAnsi="宋体" w:eastAsia="宋体" w:cs="宋体"/>
          <w:sz w:val="21"/>
          <w:szCs w:val="21"/>
        </w:rPr>
      </w:pPr>
      <w:r>
        <w:rPr>
          <w:rFonts w:ascii="Times New Roman" w:hAnsi="Times New Roman" w:eastAsia="Times New Roman" w:cs="Times New Roman"/>
          <w:spacing w:val="-7"/>
          <w:sz w:val="21"/>
          <w:szCs w:val="21"/>
        </w:rPr>
        <w:t>1)</w:t>
      </w:r>
      <w:r>
        <w:rPr>
          <w:rFonts w:ascii="宋体" w:hAnsi="宋体" w:eastAsia="宋体" w:cs="宋体"/>
          <w:spacing w:val="-7"/>
          <w:sz w:val="21"/>
          <w:szCs w:val="21"/>
        </w:rPr>
        <w:t>所有暂列金额；</w:t>
      </w:r>
    </w:p>
    <w:p w14:paraId="1367D234">
      <w:pPr>
        <w:spacing w:before="148" w:line="213" w:lineRule="auto"/>
        <w:ind w:left="440"/>
        <w:rPr>
          <w:rFonts w:ascii="宋体" w:hAnsi="宋体" w:eastAsia="宋体" w:cs="宋体"/>
          <w:sz w:val="21"/>
          <w:szCs w:val="21"/>
        </w:rPr>
      </w:pPr>
      <w:r>
        <w:rPr>
          <w:rFonts w:ascii="Times New Roman" w:hAnsi="Times New Roman" w:eastAsia="Times New Roman" w:cs="Times New Roman"/>
          <w:spacing w:val="-5"/>
          <w:sz w:val="21"/>
          <w:szCs w:val="21"/>
        </w:rPr>
        <w:t>2)</w:t>
      </w:r>
      <w:r>
        <w:rPr>
          <w:rFonts w:ascii="宋体" w:hAnsi="宋体" w:eastAsia="宋体" w:cs="宋体"/>
          <w:spacing w:val="-5"/>
          <w:sz w:val="21"/>
          <w:szCs w:val="21"/>
        </w:rPr>
        <w:t>所有暂估价；</w:t>
      </w:r>
    </w:p>
    <w:p w14:paraId="322EDEEC">
      <w:pPr>
        <w:spacing w:before="164"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根据合同条款第</w:t>
      </w:r>
      <w:r>
        <w:rPr>
          <w:rFonts w:ascii="宋体" w:hAnsi="宋体" w:eastAsia="宋体" w:cs="宋体"/>
          <w:spacing w:val="-13"/>
          <w:sz w:val="21"/>
          <w:szCs w:val="21"/>
        </w:rPr>
        <w:t xml:space="preserve"> </w:t>
      </w:r>
      <w:r>
        <w:rPr>
          <w:rFonts w:ascii="Times New Roman" w:hAnsi="Times New Roman" w:eastAsia="Times New Roman" w:cs="Times New Roman"/>
          <w:spacing w:val="-4"/>
          <w:sz w:val="21"/>
          <w:szCs w:val="21"/>
        </w:rPr>
        <w:t>15</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条应扣减的变更金额；</w:t>
      </w:r>
    </w:p>
    <w:p w14:paraId="39F33348">
      <w:pPr>
        <w:spacing w:before="162" w:line="21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根据合同条款第</w:t>
      </w:r>
      <w:r>
        <w:rPr>
          <w:rFonts w:ascii="宋体" w:hAnsi="宋体" w:eastAsia="宋体" w:cs="宋体"/>
          <w:spacing w:val="-17"/>
          <w:sz w:val="21"/>
          <w:szCs w:val="21"/>
        </w:rPr>
        <w:t xml:space="preserve"> </w:t>
      </w:r>
      <w:r>
        <w:rPr>
          <w:rFonts w:ascii="Times New Roman" w:hAnsi="Times New Roman" w:eastAsia="Times New Roman" w:cs="Times New Roman"/>
          <w:spacing w:val="-1"/>
          <w:sz w:val="21"/>
          <w:szCs w:val="21"/>
        </w:rPr>
        <w:t>16</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条应扣减的价格调整</w:t>
      </w:r>
      <w:r>
        <w:rPr>
          <w:rFonts w:ascii="Times New Roman" w:hAnsi="Times New Roman" w:eastAsia="Times New Roman" w:cs="Times New Roman"/>
          <w:spacing w:val="-1"/>
          <w:sz w:val="21"/>
          <w:szCs w:val="21"/>
        </w:rPr>
        <w:t>(</w:t>
      </w:r>
      <w:r>
        <w:rPr>
          <w:rFonts w:ascii="宋体" w:hAnsi="宋体" w:eastAsia="宋体" w:cs="宋体"/>
          <w:spacing w:val="-1"/>
          <w:sz w:val="21"/>
          <w:szCs w:val="21"/>
        </w:rPr>
        <w:t>下调部分</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14:paraId="13E4FE32">
      <w:pPr>
        <w:spacing w:before="149" w:line="213" w:lineRule="auto"/>
        <w:ind w:left="446"/>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根据合同条款第</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23.4</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款应扣减的发包人索赔金额；</w:t>
      </w:r>
    </w:p>
    <w:p w14:paraId="1F390D8B">
      <w:pPr>
        <w:spacing w:before="163" w:line="213" w:lineRule="auto"/>
        <w:ind w:left="445"/>
        <w:rPr>
          <w:rFonts w:ascii="宋体" w:hAnsi="宋体" w:eastAsia="宋体" w:cs="宋体"/>
          <w:sz w:val="21"/>
          <w:szCs w:val="21"/>
        </w:rPr>
      </w:pPr>
      <w:r>
        <w:rPr>
          <w:rFonts w:ascii="Times New Roman" w:hAnsi="Times New Roman" w:eastAsia="Times New Roman" w:cs="Times New Roman"/>
          <w:sz w:val="21"/>
          <w:szCs w:val="21"/>
        </w:rPr>
        <w:t>6)</w:t>
      </w:r>
      <w:r>
        <w:rPr>
          <w:rFonts w:ascii="宋体" w:hAnsi="宋体" w:eastAsia="宋体" w:cs="宋体"/>
          <w:sz w:val="21"/>
          <w:szCs w:val="21"/>
        </w:rPr>
        <w:t>甩项工程的合同价值</w:t>
      </w:r>
      <w:r>
        <w:rPr>
          <w:rFonts w:ascii="Times New Roman" w:hAnsi="Times New Roman" w:eastAsia="Times New Roman" w:cs="Times New Roman"/>
          <w:sz w:val="21"/>
          <w:szCs w:val="21"/>
        </w:rPr>
        <w:t>(</w:t>
      </w:r>
      <w:r>
        <w:rPr>
          <w:rFonts w:ascii="宋体" w:hAnsi="宋体" w:eastAsia="宋体" w:cs="宋体"/>
          <w:sz w:val="21"/>
          <w:szCs w:val="21"/>
        </w:rPr>
        <w:t>如果有</w:t>
      </w:r>
      <w:r>
        <w:rPr>
          <w:rFonts w:ascii="Times New Roman" w:hAnsi="Times New Roman" w:eastAsia="Times New Roman" w:cs="Times New Roman"/>
          <w:sz w:val="21"/>
          <w:szCs w:val="21"/>
        </w:rPr>
        <w:t>)</w:t>
      </w:r>
      <w:r>
        <w:rPr>
          <w:rFonts w:ascii="宋体" w:hAnsi="宋体" w:eastAsia="宋体" w:cs="宋体"/>
          <w:sz w:val="21"/>
          <w:szCs w:val="21"/>
        </w:rPr>
        <w:t>；</w:t>
      </w:r>
    </w:p>
    <w:p w14:paraId="56DE6251">
      <w:pPr>
        <w:spacing w:before="163" w:line="213" w:lineRule="auto"/>
        <w:ind w:left="444"/>
        <w:rPr>
          <w:rFonts w:ascii="宋体" w:hAnsi="宋体" w:eastAsia="宋体" w:cs="宋体"/>
          <w:sz w:val="21"/>
          <w:szCs w:val="21"/>
        </w:rPr>
      </w:pPr>
      <w:r>
        <w:rPr>
          <w:rFonts w:ascii="Times New Roman" w:hAnsi="Times New Roman" w:eastAsia="Times New Roman" w:cs="Times New Roman"/>
          <w:spacing w:val="-2"/>
          <w:sz w:val="21"/>
          <w:szCs w:val="21"/>
        </w:rPr>
        <w:t>7)</w:t>
      </w:r>
      <w:r>
        <w:rPr>
          <w:rFonts w:ascii="宋体" w:hAnsi="宋体" w:eastAsia="宋体" w:cs="宋体"/>
          <w:spacing w:val="-2"/>
          <w:sz w:val="21"/>
          <w:szCs w:val="21"/>
        </w:rPr>
        <w:t>根据合同约定发包人应扣减的其他金额。</w:t>
      </w:r>
    </w:p>
    <w:p w14:paraId="061526C7">
      <w:pPr>
        <w:spacing w:before="148"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应当增加的项目；</w:t>
      </w:r>
    </w:p>
    <w:p w14:paraId="0A608A46">
      <w:pPr>
        <w:spacing w:before="163" w:line="213" w:lineRule="auto"/>
        <w:ind w:left="461"/>
        <w:rPr>
          <w:rFonts w:ascii="宋体" w:hAnsi="宋体" w:eastAsia="宋体" w:cs="宋体"/>
          <w:sz w:val="21"/>
          <w:szCs w:val="21"/>
        </w:rPr>
      </w:pPr>
      <w:r>
        <w:rPr>
          <w:rFonts w:ascii="Times New Roman" w:hAnsi="Times New Roman" w:eastAsia="Times New Roman" w:cs="Times New Roman"/>
          <w:spacing w:val="-1"/>
          <w:sz w:val="21"/>
          <w:szCs w:val="21"/>
        </w:rPr>
        <w:t>1)</w:t>
      </w:r>
      <w:r>
        <w:rPr>
          <w:rFonts w:ascii="宋体" w:hAnsi="宋体" w:eastAsia="宋体" w:cs="宋体"/>
          <w:spacing w:val="-1"/>
          <w:sz w:val="21"/>
          <w:szCs w:val="21"/>
        </w:rPr>
        <w:t>实际发生的暂列金额</w:t>
      </w:r>
      <w:r>
        <w:rPr>
          <w:rFonts w:ascii="Times New Roman" w:hAnsi="Times New Roman" w:eastAsia="Times New Roman" w:cs="Times New Roman"/>
          <w:spacing w:val="-1"/>
          <w:sz w:val="21"/>
          <w:szCs w:val="21"/>
        </w:rPr>
        <w:t>(</w:t>
      </w:r>
      <w:r>
        <w:rPr>
          <w:rFonts w:ascii="宋体" w:hAnsi="宋体" w:eastAsia="宋体" w:cs="宋体"/>
          <w:spacing w:val="-1"/>
          <w:sz w:val="21"/>
          <w:szCs w:val="21"/>
        </w:rPr>
        <w:t>包括计日工</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14:paraId="1ED398B5">
      <w:pPr>
        <w:spacing w:before="163" w:line="213" w:lineRule="auto"/>
        <w:ind w:left="440"/>
        <w:rPr>
          <w:rFonts w:ascii="宋体" w:hAnsi="宋体" w:eastAsia="宋体" w:cs="宋体"/>
          <w:sz w:val="21"/>
          <w:szCs w:val="21"/>
        </w:rPr>
      </w:pPr>
      <w:r>
        <w:rPr>
          <w:rFonts w:ascii="Times New Roman" w:hAnsi="Times New Roman" w:eastAsia="Times New Roman" w:cs="Times New Roman"/>
          <w:spacing w:val="-4"/>
          <w:sz w:val="21"/>
          <w:szCs w:val="21"/>
        </w:rPr>
        <w:t>2)</w:t>
      </w:r>
      <w:r>
        <w:rPr>
          <w:rFonts w:ascii="宋体" w:hAnsi="宋体" w:eastAsia="宋体" w:cs="宋体"/>
          <w:spacing w:val="-4"/>
          <w:sz w:val="21"/>
          <w:szCs w:val="21"/>
        </w:rPr>
        <w:t>实际发生的暂估价；</w:t>
      </w:r>
    </w:p>
    <w:p w14:paraId="4C71C283">
      <w:pPr>
        <w:spacing w:before="148"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根据合同条款第</w:t>
      </w:r>
      <w:r>
        <w:rPr>
          <w:rFonts w:ascii="宋体" w:hAnsi="宋体" w:eastAsia="宋体" w:cs="宋体"/>
          <w:spacing w:val="-13"/>
          <w:sz w:val="21"/>
          <w:szCs w:val="21"/>
        </w:rPr>
        <w:t xml:space="preserve"> </w:t>
      </w:r>
      <w:r>
        <w:rPr>
          <w:rFonts w:ascii="Times New Roman" w:hAnsi="Times New Roman" w:eastAsia="Times New Roman" w:cs="Times New Roman"/>
          <w:spacing w:val="-4"/>
          <w:sz w:val="21"/>
          <w:szCs w:val="21"/>
        </w:rPr>
        <w:t>15</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条应增加的变更金额；</w:t>
      </w:r>
    </w:p>
    <w:p w14:paraId="5E25D0E7">
      <w:pPr>
        <w:spacing w:before="163" w:line="21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根据合同条款第</w:t>
      </w:r>
      <w:r>
        <w:rPr>
          <w:rFonts w:ascii="宋体" w:hAnsi="宋体" w:eastAsia="宋体" w:cs="宋体"/>
          <w:spacing w:val="-17"/>
          <w:sz w:val="21"/>
          <w:szCs w:val="21"/>
        </w:rPr>
        <w:t xml:space="preserve"> </w:t>
      </w:r>
      <w:r>
        <w:rPr>
          <w:rFonts w:ascii="Times New Roman" w:hAnsi="Times New Roman" w:eastAsia="Times New Roman" w:cs="Times New Roman"/>
          <w:spacing w:val="-1"/>
          <w:sz w:val="21"/>
          <w:szCs w:val="21"/>
        </w:rPr>
        <w:t>16</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条应增加的价格调整</w:t>
      </w:r>
      <w:r>
        <w:rPr>
          <w:rFonts w:ascii="Times New Roman" w:hAnsi="Times New Roman" w:eastAsia="Times New Roman" w:cs="Times New Roman"/>
          <w:spacing w:val="-1"/>
          <w:sz w:val="21"/>
          <w:szCs w:val="21"/>
        </w:rPr>
        <w:t>(</w:t>
      </w:r>
      <w:r>
        <w:rPr>
          <w:rFonts w:ascii="宋体" w:hAnsi="宋体" w:eastAsia="宋体" w:cs="宋体"/>
          <w:spacing w:val="-1"/>
          <w:sz w:val="21"/>
          <w:szCs w:val="21"/>
        </w:rPr>
        <w:t>上调部分</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14:paraId="4F830160">
      <w:pPr>
        <w:spacing w:before="163" w:line="213" w:lineRule="auto"/>
        <w:ind w:left="446"/>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根据合同条款第</w:t>
      </w:r>
      <w:r>
        <w:rPr>
          <w:rFonts w:ascii="宋体" w:hAnsi="宋体" w:eastAsia="宋体" w:cs="宋体"/>
          <w:spacing w:val="-38"/>
          <w:sz w:val="21"/>
          <w:szCs w:val="21"/>
        </w:rPr>
        <w:t xml:space="preserve"> </w:t>
      </w:r>
      <w:r>
        <w:rPr>
          <w:rFonts w:ascii="Times New Roman" w:hAnsi="Times New Roman" w:eastAsia="Times New Roman" w:cs="Times New Roman"/>
          <w:spacing w:val="-2"/>
          <w:sz w:val="21"/>
          <w:szCs w:val="21"/>
        </w:rPr>
        <w:t>23.2</w:t>
      </w:r>
      <w:r>
        <w:rPr>
          <w:rFonts w:ascii="Times New Roman" w:hAnsi="Times New Roman" w:eastAsia="Times New Roman" w:cs="Times New Roman"/>
          <w:spacing w:val="17"/>
          <w:sz w:val="21"/>
          <w:szCs w:val="21"/>
        </w:rPr>
        <w:t xml:space="preserve"> </w:t>
      </w:r>
      <w:r>
        <w:rPr>
          <w:rFonts w:ascii="宋体" w:hAnsi="宋体" w:eastAsia="宋体" w:cs="宋体"/>
          <w:spacing w:val="-2"/>
          <w:sz w:val="21"/>
          <w:szCs w:val="21"/>
        </w:rPr>
        <w:t>款应增加的承包人索赔金额；</w:t>
      </w:r>
    </w:p>
    <w:p w14:paraId="6F3C1152">
      <w:pPr>
        <w:spacing w:before="148"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6)</w:t>
      </w:r>
      <w:r>
        <w:rPr>
          <w:rFonts w:ascii="宋体" w:hAnsi="宋体" w:eastAsia="宋体" w:cs="宋体"/>
          <w:spacing w:val="-2"/>
          <w:sz w:val="21"/>
          <w:szCs w:val="21"/>
        </w:rPr>
        <w:t>根据合同约定承包人应当得到的其他金额。</w:t>
      </w:r>
    </w:p>
    <w:p w14:paraId="2CB12CE9">
      <w:pPr>
        <w:spacing w:before="163"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规费和税金差额部分。</w:t>
      </w:r>
    </w:p>
    <w:p w14:paraId="042E12FE">
      <w:pPr>
        <w:spacing w:before="164"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 xml:space="preserve">14.1.5      </w:t>
      </w:r>
      <w:r>
        <w:rPr>
          <w:rFonts w:ascii="宋体" w:hAnsi="宋体" w:eastAsia="宋体" w:cs="宋体"/>
          <w:spacing w:val="-2"/>
          <w:sz w:val="21"/>
          <w:szCs w:val="21"/>
        </w:rPr>
        <w:t>最终结清申请单的应付金额应当按下列内容梳理：</w:t>
      </w:r>
    </w:p>
    <w:p w14:paraId="3D52CA90">
      <w:pPr>
        <w:spacing w:before="125"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按合同约定扣留的质量保证金；</w:t>
      </w:r>
    </w:p>
    <w:p w14:paraId="23A87CBA">
      <w:pPr>
        <w:spacing w:before="162"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(2)</w:t>
      </w:r>
      <w:r>
        <w:rPr>
          <w:rFonts w:ascii="宋体" w:hAnsi="宋体" w:eastAsia="宋体" w:cs="宋体"/>
          <w:spacing w:val="-4"/>
          <w:sz w:val="21"/>
          <w:szCs w:val="21"/>
        </w:rPr>
        <w:t>应当扣除的金额：</w:t>
      </w:r>
    </w:p>
    <w:p w14:paraId="5CB4986C">
      <w:pPr>
        <w:spacing w:before="164" w:line="213" w:lineRule="auto"/>
        <w:ind w:left="461"/>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按通用合同条款</w:t>
      </w:r>
      <w:r>
        <w:rPr>
          <w:rFonts w:ascii="宋体" w:hAnsi="宋体" w:eastAsia="宋体" w:cs="宋体"/>
          <w:spacing w:val="-19"/>
          <w:sz w:val="21"/>
          <w:szCs w:val="21"/>
        </w:rPr>
        <w:t xml:space="preserve"> </w:t>
      </w:r>
      <w:r>
        <w:rPr>
          <w:rFonts w:ascii="Times New Roman" w:hAnsi="Times New Roman" w:eastAsia="Times New Roman" w:cs="Times New Roman"/>
          <w:spacing w:val="-3"/>
          <w:sz w:val="21"/>
          <w:szCs w:val="21"/>
        </w:rPr>
        <w:t>17.4.3</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项约定扣留的质量保证金；</w:t>
      </w:r>
    </w:p>
    <w:p w14:paraId="59630B83">
      <w:pPr>
        <w:spacing w:before="148" w:line="213" w:lineRule="auto"/>
        <w:ind w:left="440"/>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按通用合同条款</w:t>
      </w:r>
      <w:r>
        <w:rPr>
          <w:rFonts w:ascii="宋体" w:hAnsi="宋体" w:eastAsia="宋体" w:cs="宋体"/>
          <w:spacing w:val="-22"/>
          <w:sz w:val="21"/>
          <w:szCs w:val="21"/>
        </w:rPr>
        <w:t xml:space="preserve"> </w:t>
      </w:r>
      <w:r>
        <w:rPr>
          <w:rFonts w:ascii="Times New Roman" w:hAnsi="Times New Roman" w:eastAsia="Times New Roman" w:cs="Times New Roman"/>
          <w:spacing w:val="-2"/>
          <w:sz w:val="21"/>
          <w:szCs w:val="21"/>
        </w:rPr>
        <w:t>19.2.4</w:t>
      </w:r>
      <w:r>
        <w:rPr>
          <w:rFonts w:ascii="Times New Roman" w:hAnsi="Times New Roman" w:eastAsia="Times New Roman" w:cs="Times New Roman"/>
          <w:spacing w:val="21"/>
          <w:sz w:val="21"/>
          <w:szCs w:val="21"/>
        </w:rPr>
        <w:t xml:space="preserve"> </w:t>
      </w:r>
      <w:r>
        <w:rPr>
          <w:rFonts w:ascii="宋体" w:hAnsi="宋体" w:eastAsia="宋体" w:cs="宋体"/>
          <w:spacing w:val="-2"/>
          <w:sz w:val="21"/>
          <w:szCs w:val="21"/>
        </w:rPr>
        <w:t>项约定扣除的质量</w:t>
      </w:r>
      <w:r>
        <w:rPr>
          <w:rFonts w:ascii="宋体" w:hAnsi="宋体" w:eastAsia="宋体" w:cs="宋体"/>
          <w:spacing w:val="-3"/>
          <w:sz w:val="21"/>
          <w:szCs w:val="21"/>
        </w:rPr>
        <w:t>保证金；</w:t>
      </w:r>
    </w:p>
    <w:p w14:paraId="1299F1FF">
      <w:pPr>
        <w:spacing w:before="163"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根据合同条款第</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23.4</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款应扣减的缺陷责任期内发</w:t>
      </w:r>
      <w:r>
        <w:rPr>
          <w:rFonts w:ascii="宋体" w:hAnsi="宋体" w:eastAsia="宋体" w:cs="宋体"/>
          <w:spacing w:val="-2"/>
          <w:sz w:val="21"/>
          <w:szCs w:val="21"/>
        </w:rPr>
        <w:t>生的发包人索赔金额；</w:t>
      </w:r>
    </w:p>
    <w:p w14:paraId="78332114">
      <w:pPr>
        <w:spacing w:before="163" w:line="213" w:lineRule="auto"/>
        <w:ind w:left="439"/>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根据合同约定应扣减的其他金额。</w:t>
      </w:r>
    </w:p>
    <w:p w14:paraId="7030DF95">
      <w:pPr>
        <w:spacing w:before="148" w:line="213" w:lineRule="auto"/>
        <w:ind w:left="445"/>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应当增加的金额：</w:t>
      </w:r>
    </w:p>
    <w:p w14:paraId="481AA84C">
      <w:pPr>
        <w:spacing w:before="163" w:line="213" w:lineRule="auto"/>
        <w:ind w:left="461"/>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已完且符合合同约定的甩项工程的价值；</w:t>
      </w:r>
    </w:p>
    <w:p w14:paraId="0323D8F6">
      <w:pPr>
        <w:spacing w:before="163" w:line="213" w:lineRule="auto"/>
        <w:ind w:left="440"/>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按通用合同条款</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19.2.3</w:t>
      </w:r>
      <w:r>
        <w:rPr>
          <w:rFonts w:ascii="Times New Roman" w:hAnsi="Times New Roman" w:eastAsia="Times New Roman" w:cs="Times New Roman"/>
          <w:spacing w:val="20"/>
          <w:w w:val="101"/>
          <w:sz w:val="21"/>
          <w:szCs w:val="21"/>
        </w:rPr>
        <w:t xml:space="preserve"> </w:t>
      </w:r>
      <w:r>
        <w:rPr>
          <w:rFonts w:ascii="宋体" w:hAnsi="宋体" w:eastAsia="宋体" w:cs="宋体"/>
          <w:spacing w:val="-1"/>
          <w:sz w:val="21"/>
          <w:szCs w:val="21"/>
        </w:rPr>
        <w:t>项约定由承包人修</w:t>
      </w:r>
      <w:r>
        <w:rPr>
          <w:rFonts w:ascii="宋体" w:hAnsi="宋体" w:eastAsia="宋体" w:cs="宋体"/>
          <w:spacing w:val="-2"/>
          <w:sz w:val="21"/>
          <w:szCs w:val="21"/>
        </w:rPr>
        <w:t>复的发包人原因造成的缺陷的价值；</w:t>
      </w:r>
    </w:p>
    <w:p w14:paraId="314A9AF0">
      <w:pPr>
        <w:spacing w:before="148"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根据合同条款第</w:t>
      </w:r>
      <w:r>
        <w:rPr>
          <w:rFonts w:ascii="宋体" w:hAnsi="宋体" w:eastAsia="宋体" w:cs="宋体"/>
          <w:spacing w:val="-41"/>
          <w:sz w:val="21"/>
          <w:szCs w:val="21"/>
        </w:rPr>
        <w:t xml:space="preserve"> </w:t>
      </w:r>
      <w:r>
        <w:rPr>
          <w:rFonts w:ascii="Times New Roman" w:hAnsi="Times New Roman" w:eastAsia="Times New Roman" w:cs="Times New Roman"/>
          <w:spacing w:val="-1"/>
          <w:sz w:val="21"/>
          <w:szCs w:val="21"/>
        </w:rPr>
        <w:t>23.2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款应增加的缺陷责任期内发</w:t>
      </w:r>
      <w:r>
        <w:rPr>
          <w:rFonts w:ascii="宋体" w:hAnsi="宋体" w:eastAsia="宋体" w:cs="宋体"/>
          <w:spacing w:val="-2"/>
          <w:sz w:val="21"/>
          <w:szCs w:val="21"/>
        </w:rPr>
        <w:t>生的承包人索赔金额；</w:t>
      </w:r>
    </w:p>
    <w:p w14:paraId="73F4E9A1">
      <w:pPr>
        <w:spacing w:before="163" w:line="213" w:lineRule="auto"/>
        <w:ind w:left="439"/>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根据合同约定承包人应当得到的其他金额。</w:t>
      </w:r>
    </w:p>
    <w:p w14:paraId="0BE008A9">
      <w:pPr>
        <w:spacing w:line="213" w:lineRule="auto"/>
        <w:rPr>
          <w:rFonts w:ascii="宋体" w:hAnsi="宋体" w:eastAsia="宋体" w:cs="宋体"/>
          <w:sz w:val="21"/>
          <w:szCs w:val="21"/>
        </w:rPr>
        <w:sectPr>
          <w:footerReference r:id="rId289" w:type="default"/>
          <w:pgSz w:w="11910" w:h="16845"/>
          <w:pgMar w:top="400" w:right="1718" w:bottom="1110" w:left="1786" w:header="0" w:footer="883" w:gutter="0"/>
          <w:cols w:space="720" w:num="1"/>
        </w:sectPr>
      </w:pPr>
    </w:p>
    <w:p w14:paraId="38118462">
      <w:pPr>
        <w:pStyle w:val="2"/>
        <w:spacing w:line="275" w:lineRule="auto"/>
      </w:pPr>
    </w:p>
    <w:p w14:paraId="78BBF166">
      <w:pPr>
        <w:pStyle w:val="2"/>
        <w:spacing w:line="275" w:lineRule="auto"/>
      </w:pPr>
    </w:p>
    <w:p w14:paraId="00BCF211">
      <w:pPr>
        <w:pStyle w:val="2"/>
        <w:spacing w:line="275" w:lineRule="auto"/>
      </w:pPr>
    </w:p>
    <w:p w14:paraId="2EE6FF7F">
      <w:pPr>
        <w:pStyle w:val="2"/>
        <w:spacing w:line="275" w:lineRule="auto"/>
      </w:pPr>
    </w:p>
    <w:p w14:paraId="478783B6">
      <w:pPr>
        <w:spacing w:before="68" w:line="220" w:lineRule="auto"/>
        <w:ind w:left="447"/>
        <w:rPr>
          <w:rFonts w:ascii="宋体" w:hAnsi="宋体" w:eastAsia="宋体" w:cs="宋体"/>
          <w:sz w:val="21"/>
          <w:szCs w:val="21"/>
        </w:rPr>
      </w:pPr>
      <w:r>
        <w:rPr>
          <w:rFonts w:ascii="宋体" w:hAnsi="宋体" w:eastAsia="宋体" w:cs="宋体"/>
          <w:spacing w:val="-1"/>
          <w:sz w:val="21"/>
          <w:szCs w:val="21"/>
        </w:rPr>
        <w:t>最终结清应当由发包人和承包人按照“多退少补”的原则办理。</w:t>
      </w:r>
    </w:p>
    <w:p w14:paraId="174E7DD8">
      <w:pPr>
        <w:spacing w:before="156" w:line="335" w:lineRule="auto"/>
        <w:ind w:left="24" w:right="65"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14.1.6      </w:t>
      </w:r>
      <w:r>
        <w:rPr>
          <w:rFonts w:ascii="宋体" w:hAnsi="宋体" w:eastAsia="宋体" w:cs="宋体"/>
          <w:spacing w:val="-2"/>
          <w:sz w:val="21"/>
          <w:szCs w:val="21"/>
        </w:rPr>
        <w:t>竣工付款申请单和最终结清申请单应当比照进度付款申请单的格式准备，并提</w:t>
      </w:r>
      <w:r>
        <w:rPr>
          <w:rFonts w:ascii="宋体" w:hAnsi="宋体" w:eastAsia="宋体" w:cs="宋体"/>
          <w:spacing w:val="-4"/>
          <w:sz w:val="21"/>
          <w:szCs w:val="21"/>
        </w:rPr>
        <w:t>供相关证明材料。</w:t>
      </w:r>
    </w:p>
    <w:p w14:paraId="173B75C0">
      <w:pPr>
        <w:pStyle w:val="2"/>
        <w:spacing w:line="251" w:lineRule="auto"/>
      </w:pPr>
    </w:p>
    <w:p w14:paraId="6448BA76">
      <w:pPr>
        <w:spacing w:before="91" w:line="237" w:lineRule="auto"/>
        <w:ind w:left="49"/>
        <w:outlineLvl w:val="3"/>
        <w:rPr>
          <w:rFonts w:ascii="黑体" w:hAnsi="黑体" w:eastAsia="黑体" w:cs="黑体"/>
          <w:sz w:val="28"/>
          <w:szCs w:val="28"/>
        </w:rPr>
      </w:pPr>
      <w:r>
        <w:rPr>
          <w:rFonts w:ascii="Times New Roman" w:hAnsi="Times New Roman" w:eastAsia="Times New Roman" w:cs="Times New Roman"/>
          <w:sz w:val="28"/>
          <w:szCs w:val="28"/>
        </w:rPr>
        <w:t>14.2</w:t>
      </w:r>
      <w:r>
        <w:rPr>
          <w:rFonts w:ascii="Times New Roman" w:hAnsi="Times New Roman" w:eastAsia="Times New Roman" w:cs="Times New Roman"/>
          <w:spacing w:val="8"/>
          <w:sz w:val="28"/>
          <w:szCs w:val="28"/>
        </w:rPr>
        <w:t xml:space="preserve">  </w:t>
      </w:r>
      <w:r>
        <w:rPr>
          <w:rFonts w:ascii="黑体" w:hAnsi="黑体" w:eastAsia="黑体" w:cs="黑体"/>
          <w:sz w:val="28"/>
          <w:szCs w:val="28"/>
        </w:rPr>
        <w:t>其他约定</w:t>
      </w:r>
    </w:p>
    <w:p w14:paraId="3DC6ECF3">
      <w:pPr>
        <w:pStyle w:val="2"/>
        <w:spacing w:line="459" w:lineRule="auto"/>
      </w:pPr>
    </w:p>
    <w:p w14:paraId="7C6BA3BE">
      <w:pPr>
        <w:spacing w:before="68" w:line="220" w:lineRule="auto"/>
        <w:ind w:left="445"/>
        <w:rPr>
          <w:rFonts w:ascii="宋体" w:hAnsi="宋体" w:eastAsia="宋体" w:cs="宋体"/>
          <w:sz w:val="21"/>
          <w:szCs w:val="21"/>
        </w:rPr>
      </w:pPr>
      <w:r>
        <w:rPr>
          <w:rFonts w:ascii="宋体" w:hAnsi="宋体" w:eastAsia="宋体" w:cs="宋体"/>
          <w:spacing w:val="-7"/>
          <w:sz w:val="21"/>
          <w:szCs w:val="21"/>
        </w:rPr>
        <w:t>其他约定内容：</w:t>
      </w:r>
    </w:p>
    <w:p w14:paraId="13A77235">
      <w:pPr>
        <w:pStyle w:val="2"/>
        <w:spacing w:line="275" w:lineRule="auto"/>
      </w:pPr>
    </w:p>
    <w:p w14:paraId="429BFD2B">
      <w:pPr>
        <w:pStyle w:val="2"/>
        <w:spacing w:line="275" w:lineRule="auto"/>
      </w:pPr>
      <w:r>
        <w:pict>
          <v:shape id="_x0000_s1283" o:spid="_x0000_s1283" style="position:absolute;left:0pt;margin-left:27.05pt;margin-top:8.15pt;height:0.75pt;width:352.25pt;z-index:251926528;mso-width-relative:page;mso-height-relative:page;" fillcolor="#000000" filled="t" stroked="f" coordsize="7045,15" path="m0,15l7044,15,7044,0,0,0,0,15xe">
            <v:path/>
            <v:fill on="t" focussize="0,0"/>
            <v:stroke on="f"/>
            <v:imagedata o:title=""/>
            <o:lock v:ext="edit"/>
          </v:shape>
        </w:pict>
      </w:r>
    </w:p>
    <w:p w14:paraId="749CBDD0">
      <w:pPr>
        <w:pStyle w:val="2"/>
        <w:spacing w:line="275" w:lineRule="auto"/>
      </w:pPr>
    </w:p>
    <w:p w14:paraId="589E1655">
      <w:pPr>
        <w:pStyle w:val="2"/>
        <w:spacing w:line="276" w:lineRule="auto"/>
      </w:pPr>
      <w:r>
        <w:pict>
          <v:shape id="_x0000_s1284" o:spid="_x0000_s1284" style="position:absolute;left:0pt;margin-left:21.8pt;margin-top:1.5pt;height:0.75pt;width:352.25pt;z-index:251924480;mso-width-relative:page;mso-height-relative:page;" fillcolor="#000000" filled="t" stroked="f" coordsize="7045,15" path="m0,15l7044,15,7044,0,0,0,0,15xe">
            <v:path/>
            <v:fill on="t" focussize="0,0"/>
            <v:stroke on="f"/>
            <v:imagedata o:title=""/>
            <o:lock v:ext="edit"/>
          </v:shape>
        </w:pict>
      </w:r>
    </w:p>
    <w:p w14:paraId="3AC4CBCC">
      <w:pPr>
        <w:spacing w:before="69" w:line="105" w:lineRule="exact"/>
        <w:ind w:left="7509"/>
        <w:rPr>
          <w:rFonts w:ascii="宋体" w:hAnsi="宋体" w:eastAsia="宋体" w:cs="宋体"/>
          <w:sz w:val="21"/>
          <w:szCs w:val="21"/>
        </w:rPr>
      </w:pPr>
      <w:r>
        <w:pict>
          <v:shape id="_x0000_s1285" o:spid="_x0000_s1285" style="position:absolute;left:0pt;margin-left:21.8pt;margin-top:7.15pt;height:0.75pt;width:352.25pt;z-index:251925504;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7EA0E6A">
      <w:pPr>
        <w:pStyle w:val="2"/>
        <w:spacing w:line="365" w:lineRule="auto"/>
      </w:pPr>
    </w:p>
    <w:p w14:paraId="314C3DD1">
      <w:pPr>
        <w:spacing w:before="92" w:line="236" w:lineRule="auto"/>
        <w:ind w:left="49"/>
        <w:outlineLvl w:val="2"/>
        <w:rPr>
          <w:rFonts w:ascii="黑体" w:hAnsi="黑体" w:eastAsia="黑体" w:cs="黑体"/>
          <w:sz w:val="28"/>
          <w:szCs w:val="28"/>
        </w:rPr>
      </w:pPr>
      <w:bookmarkStart w:id="608" w:name="bookmark561"/>
      <w:bookmarkEnd w:id="608"/>
      <w:r>
        <w:rPr>
          <w:rFonts w:ascii="Times New Roman" w:hAnsi="Times New Roman" w:eastAsia="Times New Roman" w:cs="Times New Roman"/>
          <w:spacing w:val="2"/>
          <w:sz w:val="28"/>
          <w:szCs w:val="28"/>
        </w:rPr>
        <w:t>15.</w:t>
      </w:r>
      <w:r>
        <w:rPr>
          <w:rFonts w:ascii="黑体" w:hAnsi="黑体" w:eastAsia="黑体" w:cs="黑体"/>
          <w:spacing w:val="2"/>
          <w:sz w:val="28"/>
          <w:szCs w:val="28"/>
        </w:rPr>
        <w:t>竣工验收和工程移交</w:t>
      </w:r>
    </w:p>
    <w:p w14:paraId="37BD5810">
      <w:pPr>
        <w:pStyle w:val="2"/>
        <w:spacing w:line="449" w:lineRule="auto"/>
      </w:pPr>
    </w:p>
    <w:p w14:paraId="3D0218B1">
      <w:pPr>
        <w:spacing w:before="91" w:line="236" w:lineRule="auto"/>
        <w:ind w:left="49"/>
        <w:outlineLvl w:val="3"/>
        <w:rPr>
          <w:rFonts w:ascii="黑体" w:hAnsi="黑体" w:eastAsia="黑体" w:cs="黑体"/>
          <w:sz w:val="28"/>
          <w:szCs w:val="28"/>
        </w:rPr>
      </w:pPr>
      <w:r>
        <w:rPr>
          <w:rFonts w:ascii="Times New Roman" w:hAnsi="Times New Roman" w:eastAsia="Times New Roman" w:cs="Times New Roman"/>
          <w:spacing w:val="1"/>
          <w:sz w:val="28"/>
          <w:szCs w:val="28"/>
        </w:rPr>
        <w:t xml:space="preserve">15.1  </w:t>
      </w:r>
      <w:r>
        <w:rPr>
          <w:rFonts w:ascii="黑体" w:hAnsi="黑体" w:eastAsia="黑体" w:cs="黑体"/>
          <w:spacing w:val="1"/>
          <w:sz w:val="28"/>
          <w:szCs w:val="28"/>
        </w:rPr>
        <w:t>竣工验收前的清理</w:t>
      </w:r>
    </w:p>
    <w:p w14:paraId="55C9A7B0">
      <w:pPr>
        <w:pStyle w:val="2"/>
        <w:spacing w:line="445" w:lineRule="auto"/>
      </w:pPr>
    </w:p>
    <w:p w14:paraId="32BA4FEF">
      <w:pPr>
        <w:spacing w:before="70" w:line="349" w:lineRule="auto"/>
        <w:ind w:left="25" w:right="89"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15.1.1      </w:t>
      </w:r>
      <w:r>
        <w:rPr>
          <w:rFonts w:ascii="宋体" w:hAnsi="宋体" w:eastAsia="宋体" w:cs="宋体"/>
          <w:spacing w:val="2"/>
          <w:sz w:val="21"/>
          <w:szCs w:val="21"/>
        </w:rPr>
        <w:t>在向监理人提交竣工验收申请报告前，承包人应当完成竣工验收前的清理工</w:t>
      </w:r>
      <w:r>
        <w:rPr>
          <w:rFonts w:ascii="宋体" w:hAnsi="宋体" w:eastAsia="宋体" w:cs="宋体"/>
          <w:spacing w:val="-6"/>
          <w:sz w:val="21"/>
          <w:szCs w:val="21"/>
        </w:rPr>
        <w:t>作，包括但不限于：</w:t>
      </w:r>
    </w:p>
    <w:p w14:paraId="4C04C0C4">
      <w:pPr>
        <w:spacing w:before="17"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从永久工程内清除所有剩余材料、杂物、垃圾等等；</w:t>
      </w:r>
    </w:p>
    <w:p w14:paraId="122D81A2">
      <w:pPr>
        <w:spacing w:before="148"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清洗工程的所有地面、墙面、楼面、路面等表面；</w:t>
      </w:r>
    </w:p>
    <w:p w14:paraId="140863E7">
      <w:pPr>
        <w:spacing w:before="163"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清洗和擦洗所有玻璃、磁砖、石材和所有金属面；</w:t>
      </w:r>
    </w:p>
    <w:p w14:paraId="330112D7">
      <w:pPr>
        <w:spacing w:before="163"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修缮所有损坏、清除所有污迹、替换所</w:t>
      </w:r>
      <w:r>
        <w:rPr>
          <w:rFonts w:ascii="宋体" w:hAnsi="宋体" w:eastAsia="宋体" w:cs="宋体"/>
          <w:spacing w:val="-2"/>
          <w:sz w:val="21"/>
          <w:szCs w:val="21"/>
        </w:rPr>
        <w:t>有需更换的材料；</w:t>
      </w:r>
    </w:p>
    <w:p w14:paraId="52E6857C">
      <w:pPr>
        <w:spacing w:before="149"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(5)</w:t>
      </w:r>
      <w:r>
        <w:rPr>
          <w:rFonts w:ascii="宋体" w:hAnsi="宋体" w:eastAsia="宋体" w:cs="宋体"/>
          <w:spacing w:val="-3"/>
          <w:sz w:val="21"/>
          <w:szCs w:val="21"/>
        </w:rPr>
        <w:t>所有表面完成约定的装修和装饰；</w:t>
      </w:r>
    </w:p>
    <w:p w14:paraId="7F1552A3">
      <w:pPr>
        <w:spacing w:before="162"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检查和调试所有的门、窗、抽屉等以确保他们</w:t>
      </w:r>
      <w:r>
        <w:rPr>
          <w:rFonts w:ascii="宋体" w:hAnsi="宋体" w:eastAsia="宋体" w:cs="宋体"/>
          <w:spacing w:val="-2"/>
          <w:sz w:val="21"/>
          <w:szCs w:val="21"/>
        </w:rPr>
        <w:t>开启的顺畅；</w:t>
      </w:r>
    </w:p>
    <w:p w14:paraId="7E595C07">
      <w:pPr>
        <w:spacing w:before="163" w:line="213" w:lineRule="auto"/>
        <w:ind w:left="445"/>
        <w:rPr>
          <w:rFonts w:ascii="宋体" w:hAnsi="宋体" w:eastAsia="宋体" w:cs="宋体"/>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检查和调试所有的五金件并上油；</w:t>
      </w:r>
    </w:p>
    <w:p w14:paraId="593EB0AF">
      <w:pPr>
        <w:spacing w:before="149" w:line="213" w:lineRule="auto"/>
        <w:ind w:left="445"/>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检查、测试和确保所有服务系统、设施和设备达到良好的运行状态和效果；</w:t>
      </w:r>
    </w:p>
    <w:p w14:paraId="4BD13DC8">
      <w:pPr>
        <w:spacing w:before="162" w:line="213" w:lineRule="auto"/>
        <w:ind w:left="445"/>
        <w:rPr>
          <w:rFonts w:ascii="宋体" w:hAnsi="宋体" w:eastAsia="宋体" w:cs="宋体"/>
          <w:sz w:val="21"/>
          <w:szCs w:val="21"/>
        </w:rPr>
      </w:pPr>
      <w:r>
        <w:rPr>
          <w:rFonts w:ascii="Times New Roman" w:hAnsi="Times New Roman" w:eastAsia="Times New Roman" w:cs="Times New Roman"/>
          <w:sz w:val="21"/>
          <w:szCs w:val="21"/>
        </w:rPr>
        <w:t>(9)</w:t>
      </w:r>
      <w:r>
        <w:rPr>
          <w:rFonts w:ascii="宋体" w:hAnsi="宋体" w:eastAsia="宋体" w:cs="宋体"/>
          <w:sz w:val="21"/>
          <w:szCs w:val="21"/>
        </w:rPr>
        <w:t>所有钥匙</w:t>
      </w:r>
      <w:r>
        <w:rPr>
          <w:rFonts w:ascii="Times New Roman" w:hAnsi="Times New Roman" w:eastAsia="Times New Roman" w:cs="Times New Roman"/>
          <w:sz w:val="21"/>
          <w:szCs w:val="21"/>
        </w:rPr>
        <w:t>(</w:t>
      </w:r>
      <w:r>
        <w:rPr>
          <w:rFonts w:ascii="宋体" w:hAnsi="宋体" w:eastAsia="宋体" w:cs="宋体"/>
          <w:sz w:val="21"/>
          <w:szCs w:val="21"/>
        </w:rPr>
        <w:t>如果有</w:t>
      </w:r>
      <w:r>
        <w:rPr>
          <w:rFonts w:ascii="Times New Roman" w:hAnsi="Times New Roman" w:eastAsia="Times New Roman" w:cs="Times New Roman"/>
          <w:sz w:val="21"/>
          <w:szCs w:val="21"/>
        </w:rPr>
        <w:t>)</w:t>
      </w:r>
      <w:r>
        <w:rPr>
          <w:rFonts w:ascii="宋体" w:hAnsi="宋体" w:eastAsia="宋体" w:cs="宋体"/>
          <w:sz w:val="21"/>
          <w:szCs w:val="21"/>
        </w:rPr>
        <w:t>贴上标签并固定到钥匙排上随时可</w:t>
      </w:r>
      <w:r>
        <w:rPr>
          <w:rFonts w:ascii="宋体" w:hAnsi="宋体" w:eastAsia="宋体" w:cs="宋体"/>
          <w:spacing w:val="-1"/>
          <w:sz w:val="21"/>
          <w:szCs w:val="21"/>
        </w:rPr>
        <w:t>以交给监理人。</w:t>
      </w:r>
    </w:p>
    <w:p w14:paraId="43A60CD2">
      <w:pPr>
        <w:spacing w:before="164" w:line="233" w:lineRule="auto"/>
        <w:ind w:left="461"/>
        <w:rPr>
          <w:rFonts w:ascii="宋体" w:hAnsi="宋体" w:eastAsia="宋体" w:cs="宋体"/>
          <w:sz w:val="21"/>
          <w:szCs w:val="21"/>
        </w:rPr>
      </w:pPr>
      <w:r>
        <w:rPr>
          <w:rFonts w:ascii="Times New Roman" w:hAnsi="Times New Roman" w:eastAsia="Times New Roman" w:cs="Times New Roman"/>
          <w:spacing w:val="-2"/>
          <w:sz w:val="21"/>
          <w:szCs w:val="21"/>
        </w:rPr>
        <w:t>15.1.2</w:t>
      </w:r>
      <w:r>
        <w:rPr>
          <w:rFonts w:ascii="Times New Roman" w:hAnsi="Times New Roman" w:eastAsia="Times New Roman" w:cs="Times New Roman"/>
          <w:spacing w:val="9"/>
          <w:sz w:val="21"/>
          <w:szCs w:val="21"/>
        </w:rPr>
        <w:t xml:space="preserve">     </w:t>
      </w:r>
      <w:r>
        <w:rPr>
          <w:rFonts w:ascii="宋体" w:hAnsi="宋体" w:eastAsia="宋体" w:cs="宋体"/>
          <w:spacing w:val="-2"/>
          <w:sz w:val="21"/>
          <w:szCs w:val="21"/>
        </w:rPr>
        <w:t>清理工作所需费用由承包人承担。</w:t>
      </w:r>
    </w:p>
    <w:p w14:paraId="3139A73D">
      <w:pPr>
        <w:pStyle w:val="2"/>
        <w:spacing w:line="342" w:lineRule="auto"/>
      </w:pPr>
    </w:p>
    <w:p w14:paraId="59F8B8DE">
      <w:pPr>
        <w:spacing w:before="92" w:line="236" w:lineRule="auto"/>
        <w:ind w:left="49"/>
        <w:outlineLvl w:val="3"/>
        <w:rPr>
          <w:rFonts w:ascii="黑体" w:hAnsi="黑体" w:eastAsia="黑体" w:cs="黑体"/>
          <w:sz w:val="28"/>
          <w:szCs w:val="28"/>
        </w:rPr>
      </w:pPr>
      <w:r>
        <w:rPr>
          <w:rFonts w:ascii="Times New Roman" w:hAnsi="Times New Roman" w:eastAsia="Times New Roman" w:cs="Times New Roman"/>
          <w:spacing w:val="1"/>
          <w:sz w:val="28"/>
          <w:szCs w:val="28"/>
        </w:rPr>
        <w:t xml:space="preserve">15.2  </w:t>
      </w:r>
      <w:r>
        <w:rPr>
          <w:rFonts w:ascii="黑体" w:hAnsi="黑体" w:eastAsia="黑体" w:cs="黑体"/>
          <w:spacing w:val="1"/>
          <w:sz w:val="28"/>
          <w:szCs w:val="28"/>
        </w:rPr>
        <w:t>竣工验收申请报告</w:t>
      </w:r>
    </w:p>
    <w:p w14:paraId="12981508">
      <w:pPr>
        <w:pStyle w:val="2"/>
        <w:spacing w:line="462" w:lineRule="auto"/>
      </w:pPr>
    </w:p>
    <w:p w14:paraId="13CD200B">
      <w:pPr>
        <w:spacing w:before="69" w:line="351" w:lineRule="auto"/>
        <w:ind w:left="25" w:firstLine="436"/>
        <w:jc w:val="both"/>
        <w:rPr>
          <w:rFonts w:ascii="宋体" w:hAnsi="宋体" w:eastAsia="宋体" w:cs="宋体"/>
          <w:sz w:val="21"/>
          <w:szCs w:val="21"/>
        </w:rPr>
      </w:pPr>
      <w:r>
        <w:rPr>
          <w:rFonts w:ascii="Times New Roman" w:hAnsi="Times New Roman" w:eastAsia="Times New Roman" w:cs="Times New Roman"/>
          <w:spacing w:val="-5"/>
          <w:sz w:val="21"/>
          <w:szCs w:val="21"/>
        </w:rPr>
        <w:t xml:space="preserve">15.2.1      </w:t>
      </w:r>
      <w:r>
        <w:rPr>
          <w:rFonts w:ascii="宋体" w:hAnsi="宋体" w:eastAsia="宋体" w:cs="宋体"/>
          <w:spacing w:val="-5"/>
          <w:sz w:val="21"/>
          <w:szCs w:val="21"/>
        </w:rPr>
        <w:t>竣工验收申请报告，也称竣工验收报告，是承包人完成合同约定的工作内容后，</w:t>
      </w:r>
      <w:r>
        <w:rPr>
          <w:rFonts w:ascii="宋体" w:hAnsi="宋体" w:eastAsia="宋体" w:cs="宋体"/>
          <w:spacing w:val="-2"/>
          <w:sz w:val="21"/>
          <w:szCs w:val="21"/>
        </w:rPr>
        <w:t>按照国家有关施工质量验收标准的规定，经其自行检查，证明已经完成合同工作内容并</w:t>
      </w:r>
      <w:r>
        <w:rPr>
          <w:rFonts w:ascii="宋体" w:hAnsi="宋体" w:eastAsia="宋体" w:cs="宋体"/>
          <w:spacing w:val="-3"/>
          <w:sz w:val="21"/>
          <w:szCs w:val="21"/>
        </w:rPr>
        <w:t>符合</w:t>
      </w:r>
      <w:r>
        <w:rPr>
          <w:rFonts w:ascii="宋体" w:hAnsi="宋体" w:eastAsia="宋体" w:cs="宋体"/>
          <w:spacing w:val="-2"/>
          <w:sz w:val="21"/>
          <w:szCs w:val="21"/>
        </w:rPr>
        <w:t>合同约定，达到竣工验收标准，而向监理人或发包人提交的请求发包人组织进行</w:t>
      </w:r>
      <w:r>
        <w:rPr>
          <w:rFonts w:ascii="宋体" w:hAnsi="宋体" w:eastAsia="宋体" w:cs="宋体"/>
          <w:spacing w:val="-3"/>
          <w:sz w:val="21"/>
          <w:szCs w:val="21"/>
        </w:rPr>
        <w:t>合同工程竣</w:t>
      </w:r>
      <w:r>
        <w:rPr>
          <w:rFonts w:ascii="宋体" w:hAnsi="宋体" w:eastAsia="宋体" w:cs="宋体"/>
          <w:spacing w:val="-2"/>
          <w:sz w:val="21"/>
          <w:szCs w:val="21"/>
        </w:rPr>
        <w:t>工验收的一份书面申请函，合同约定的竣工验收资料和其他文件一般作为竣工验收申请</w:t>
      </w:r>
      <w:r>
        <w:rPr>
          <w:rFonts w:ascii="宋体" w:hAnsi="宋体" w:eastAsia="宋体" w:cs="宋体"/>
          <w:spacing w:val="-3"/>
          <w:sz w:val="21"/>
          <w:szCs w:val="21"/>
        </w:rPr>
        <w:t>报告</w:t>
      </w:r>
    </w:p>
    <w:p w14:paraId="43247C4E">
      <w:pPr>
        <w:spacing w:line="351" w:lineRule="auto"/>
        <w:rPr>
          <w:rFonts w:ascii="宋体" w:hAnsi="宋体" w:eastAsia="宋体" w:cs="宋体"/>
          <w:sz w:val="21"/>
          <w:szCs w:val="21"/>
        </w:rPr>
        <w:sectPr>
          <w:footerReference r:id="rId290" w:type="default"/>
          <w:pgSz w:w="11910" w:h="16845"/>
          <w:pgMar w:top="400" w:right="1706" w:bottom="1110" w:left="1786" w:header="0" w:footer="883" w:gutter="0"/>
          <w:cols w:space="720" w:num="1"/>
        </w:sectPr>
      </w:pPr>
    </w:p>
    <w:p w14:paraId="61A6A5D0">
      <w:pPr>
        <w:pStyle w:val="2"/>
        <w:spacing w:line="275" w:lineRule="auto"/>
      </w:pPr>
    </w:p>
    <w:p w14:paraId="3FDC97BD">
      <w:pPr>
        <w:pStyle w:val="2"/>
        <w:spacing w:line="275" w:lineRule="auto"/>
      </w:pPr>
    </w:p>
    <w:p w14:paraId="5A8BA799">
      <w:pPr>
        <w:pStyle w:val="2"/>
        <w:spacing w:line="275" w:lineRule="auto"/>
      </w:pPr>
    </w:p>
    <w:p w14:paraId="13CD0760">
      <w:pPr>
        <w:pStyle w:val="2"/>
        <w:spacing w:line="276" w:lineRule="auto"/>
      </w:pPr>
    </w:p>
    <w:p w14:paraId="639D4B73">
      <w:pPr>
        <w:spacing w:before="68" w:line="218" w:lineRule="auto"/>
        <w:ind w:left="41"/>
        <w:rPr>
          <w:rFonts w:ascii="宋体" w:hAnsi="宋体" w:eastAsia="宋体" w:cs="宋体"/>
          <w:sz w:val="21"/>
          <w:szCs w:val="21"/>
        </w:rPr>
      </w:pPr>
      <w:r>
        <w:rPr>
          <w:rFonts w:ascii="宋体" w:hAnsi="宋体" w:eastAsia="宋体" w:cs="宋体"/>
          <w:spacing w:val="-3"/>
          <w:sz w:val="21"/>
          <w:szCs w:val="21"/>
        </w:rPr>
        <w:t>的附件，是竣工验收申请报告的组成部分。</w:t>
      </w:r>
    </w:p>
    <w:p w14:paraId="0CE49B02">
      <w:pPr>
        <w:spacing w:before="156" w:line="348" w:lineRule="auto"/>
        <w:ind w:left="24" w:firstLine="436"/>
        <w:rPr>
          <w:rFonts w:ascii="宋体" w:hAnsi="宋体" w:eastAsia="宋体" w:cs="宋体"/>
          <w:sz w:val="21"/>
          <w:szCs w:val="21"/>
        </w:rPr>
      </w:pPr>
      <w:r>
        <w:rPr>
          <w:rFonts w:ascii="Times New Roman" w:hAnsi="Times New Roman" w:eastAsia="Times New Roman" w:cs="Times New Roman"/>
          <w:spacing w:val="-2"/>
          <w:sz w:val="21"/>
          <w:szCs w:val="21"/>
        </w:rPr>
        <w:t xml:space="preserve">15.2.2      </w:t>
      </w:r>
      <w:r>
        <w:rPr>
          <w:rFonts w:ascii="宋体" w:hAnsi="宋体" w:eastAsia="宋体" w:cs="宋体"/>
          <w:spacing w:val="-2"/>
          <w:sz w:val="21"/>
          <w:szCs w:val="21"/>
        </w:rPr>
        <w:t>竣工验收申请报告一般应当包括工程概况说明，承包范围，分包工程情况，主要材料、设备供应情况，采用的主要施工方法，新材料、新技术和新工艺采用情况，自检质</w:t>
      </w:r>
      <w:r>
        <w:rPr>
          <w:rFonts w:ascii="宋体" w:hAnsi="宋体" w:eastAsia="宋体" w:cs="宋体"/>
          <w:spacing w:val="-1"/>
          <w:sz w:val="21"/>
          <w:szCs w:val="21"/>
        </w:rPr>
        <w:t>量情况等的说明。竣工验收申请报告的格式和应当包括的内容应事先经过监理人的审批。</w:t>
      </w:r>
    </w:p>
    <w:p w14:paraId="4FF45B1D">
      <w:pPr>
        <w:spacing w:before="14"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15.2.3     </w:t>
      </w:r>
      <w:r>
        <w:rPr>
          <w:rFonts w:ascii="宋体" w:hAnsi="宋体" w:eastAsia="宋体" w:cs="宋体"/>
          <w:spacing w:val="-1"/>
          <w:sz w:val="21"/>
          <w:szCs w:val="21"/>
        </w:rPr>
        <w:t>竣工验收申请报告应当按通用合同条款第</w:t>
      </w:r>
      <w:r>
        <w:rPr>
          <w:rFonts w:ascii="宋体" w:hAnsi="宋体" w:eastAsia="宋体" w:cs="宋体"/>
          <w:spacing w:val="-11"/>
          <w:sz w:val="21"/>
          <w:szCs w:val="21"/>
        </w:rPr>
        <w:t xml:space="preserve"> </w:t>
      </w:r>
      <w:r>
        <w:rPr>
          <w:rFonts w:ascii="Times New Roman" w:hAnsi="Times New Roman" w:eastAsia="Times New Roman" w:cs="Times New Roman"/>
          <w:spacing w:val="-1"/>
          <w:sz w:val="21"/>
          <w:szCs w:val="21"/>
        </w:rPr>
        <w:t>18.2</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款附上下列内容：</w:t>
      </w:r>
    </w:p>
    <w:p w14:paraId="67B8E43A">
      <w:pPr>
        <w:spacing w:before="124" w:line="351" w:lineRule="auto"/>
        <w:ind w:left="24" w:right="20" w:firstLine="420"/>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承包人的自行检查和评定记录文件，即除监理人同意列入缺陷责任期内完成的</w:t>
      </w:r>
      <w:r>
        <w:rPr>
          <w:rFonts w:ascii="宋体" w:hAnsi="宋体" w:eastAsia="宋体" w:cs="宋体"/>
          <w:spacing w:val="1"/>
          <w:sz w:val="21"/>
          <w:szCs w:val="21"/>
        </w:rPr>
        <w:t>尾工</w:t>
      </w:r>
      <w:r>
        <w:rPr>
          <w:rFonts w:ascii="Times New Roman" w:hAnsi="Times New Roman" w:eastAsia="Times New Roman" w:cs="Times New Roman"/>
          <w:sz w:val="21"/>
          <w:szCs w:val="21"/>
        </w:rPr>
        <w:t>(</w:t>
      </w:r>
      <w:r>
        <w:rPr>
          <w:rFonts w:ascii="宋体" w:hAnsi="宋体" w:eastAsia="宋体" w:cs="宋体"/>
          <w:sz w:val="21"/>
          <w:szCs w:val="21"/>
        </w:rPr>
        <w:t>甩项</w:t>
      </w:r>
      <w:r>
        <w:rPr>
          <w:rFonts w:ascii="Times New Roman" w:hAnsi="Times New Roman" w:eastAsia="Times New Roman" w:cs="Times New Roman"/>
          <w:sz w:val="21"/>
          <w:szCs w:val="21"/>
        </w:rPr>
        <w:t>)</w:t>
      </w:r>
      <w:r>
        <w:rPr>
          <w:rFonts w:ascii="宋体" w:hAnsi="宋体" w:eastAsia="宋体" w:cs="宋体"/>
          <w:sz w:val="21"/>
          <w:szCs w:val="21"/>
        </w:rPr>
        <w:t>工程和缺陷修补工作外，合同范围内的全</w:t>
      </w:r>
      <w:r>
        <w:rPr>
          <w:rFonts w:ascii="宋体" w:hAnsi="宋体" w:eastAsia="宋体" w:cs="宋体"/>
          <w:spacing w:val="-1"/>
          <w:sz w:val="21"/>
          <w:szCs w:val="21"/>
        </w:rPr>
        <w:t>部单位工程以及有关工作，包括合同要求的</w:t>
      </w:r>
      <w:r>
        <w:rPr>
          <w:rFonts w:ascii="宋体" w:hAnsi="宋体" w:eastAsia="宋体" w:cs="宋体"/>
          <w:spacing w:val="-2"/>
          <w:sz w:val="21"/>
          <w:szCs w:val="21"/>
        </w:rPr>
        <w:t>试验、试运行以及检验和验收均已完成，并符合合同要求；</w:t>
      </w:r>
    </w:p>
    <w:p w14:paraId="10E05BC1">
      <w:pPr>
        <w:spacing w:before="4" w:line="213"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 xml:space="preserve">）按专用合同条款第 </w:t>
      </w:r>
      <w:r>
        <w:rPr>
          <w:rFonts w:ascii="Times New Roman" w:hAnsi="Times New Roman" w:eastAsia="Times New Roman" w:cs="Times New Roman"/>
          <w:spacing w:val="-2"/>
          <w:sz w:val="21"/>
          <w:szCs w:val="21"/>
        </w:rPr>
        <w:t>18.2(2)</w:t>
      </w:r>
      <w:r>
        <w:rPr>
          <w:rFonts w:ascii="宋体" w:hAnsi="宋体" w:eastAsia="宋体" w:cs="宋体"/>
          <w:spacing w:val="-2"/>
          <w:sz w:val="21"/>
          <w:szCs w:val="21"/>
        </w:rPr>
        <w:t>目约定的内容和份数整理的符合要求的竣工资料；</w:t>
      </w:r>
    </w:p>
    <w:p w14:paraId="5B144313">
      <w:pPr>
        <w:spacing w:before="163" w:line="349" w:lineRule="auto"/>
        <w:ind w:left="47" w:right="4" w:firstLine="296"/>
        <w:rPr>
          <w:rFonts w:ascii="宋体" w:hAnsi="宋体" w:eastAsia="宋体" w:cs="宋体"/>
          <w:sz w:val="21"/>
          <w:szCs w:val="21"/>
        </w:rPr>
      </w:pPr>
      <w:r>
        <w:rPr>
          <w:rFonts w:ascii="宋体" w:hAnsi="宋体" w:eastAsia="宋体" w:cs="宋体"/>
          <w:sz w:val="21"/>
          <w:szCs w:val="21"/>
        </w:rPr>
        <w:t>（</w:t>
      </w:r>
      <w:r>
        <w:rPr>
          <w:rFonts w:ascii="Times New Roman" w:hAnsi="Times New Roman" w:eastAsia="Times New Roman" w:cs="Times New Roman"/>
          <w:sz w:val="21"/>
          <w:szCs w:val="21"/>
        </w:rPr>
        <w:t>3</w:t>
      </w:r>
      <w:r>
        <w:rPr>
          <w:rFonts w:ascii="宋体" w:hAnsi="宋体" w:eastAsia="宋体" w:cs="宋体"/>
          <w:sz w:val="21"/>
          <w:szCs w:val="21"/>
        </w:rPr>
        <w:t>）按监理人的要求编制了在缺陷责任期内完成的尾工</w:t>
      </w:r>
      <w:r>
        <w:rPr>
          <w:rFonts w:ascii="Times New Roman" w:hAnsi="Times New Roman" w:eastAsia="Times New Roman" w:cs="Times New Roman"/>
          <w:sz w:val="21"/>
          <w:szCs w:val="21"/>
        </w:rPr>
        <w:t>(</w:t>
      </w:r>
      <w:r>
        <w:rPr>
          <w:rFonts w:ascii="宋体" w:hAnsi="宋体" w:eastAsia="宋体" w:cs="宋体"/>
          <w:sz w:val="21"/>
          <w:szCs w:val="21"/>
        </w:rPr>
        <w:t>甩项</w:t>
      </w:r>
      <w:r>
        <w:rPr>
          <w:rFonts w:ascii="Times New Roman" w:hAnsi="Times New Roman" w:eastAsia="Times New Roman" w:cs="Times New Roman"/>
          <w:sz w:val="21"/>
          <w:szCs w:val="21"/>
        </w:rPr>
        <w:t>)</w:t>
      </w:r>
      <w:r>
        <w:rPr>
          <w:rFonts w:ascii="宋体" w:hAnsi="宋体" w:eastAsia="宋体" w:cs="宋体"/>
          <w:sz w:val="21"/>
          <w:szCs w:val="21"/>
        </w:rPr>
        <w:t>工程和</w:t>
      </w:r>
      <w:r>
        <w:rPr>
          <w:rFonts w:ascii="宋体" w:hAnsi="宋体" w:eastAsia="宋体" w:cs="宋体"/>
          <w:spacing w:val="-1"/>
          <w:sz w:val="21"/>
          <w:szCs w:val="21"/>
        </w:rPr>
        <w:t>缺陷修补工作清单</w:t>
      </w:r>
      <w:r>
        <w:rPr>
          <w:rFonts w:ascii="宋体" w:hAnsi="宋体" w:eastAsia="宋体" w:cs="宋体"/>
          <w:spacing w:val="-8"/>
          <w:sz w:val="21"/>
          <w:szCs w:val="21"/>
        </w:rPr>
        <w:t>以及相应施工计划；</w:t>
      </w:r>
    </w:p>
    <w:p w14:paraId="0A20A75D">
      <w:pPr>
        <w:spacing w:before="2" w:line="233"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）监理人要求在竣工验收前应完成的其他工作的证明材料；</w:t>
      </w:r>
    </w:p>
    <w:p w14:paraId="4D130A5B">
      <w:pPr>
        <w:spacing w:before="141" w:line="233" w:lineRule="auto"/>
        <w:ind w:left="344"/>
        <w:rPr>
          <w:rFonts w:ascii="宋体" w:hAnsi="宋体" w:eastAsia="宋体" w:cs="宋体"/>
          <w:sz w:val="21"/>
          <w:szCs w:val="21"/>
        </w:rPr>
      </w:pPr>
      <w:r>
        <w:rPr>
          <w:rFonts w:ascii="宋体" w:hAnsi="宋体" w:eastAsia="宋体" w:cs="宋体"/>
          <w:spacing w:val="-3"/>
          <w:sz w:val="21"/>
          <w:szCs w:val="21"/>
        </w:rPr>
        <w:t>（</w:t>
      </w:r>
      <w:r>
        <w:rPr>
          <w:rFonts w:ascii="Times New Roman" w:hAnsi="Times New Roman" w:eastAsia="Times New Roman" w:cs="Times New Roman"/>
          <w:spacing w:val="-3"/>
          <w:sz w:val="21"/>
          <w:szCs w:val="21"/>
        </w:rPr>
        <w:t>5</w:t>
      </w:r>
      <w:r>
        <w:rPr>
          <w:rFonts w:ascii="宋体" w:hAnsi="宋体" w:eastAsia="宋体" w:cs="宋体"/>
          <w:spacing w:val="-3"/>
          <w:sz w:val="21"/>
          <w:szCs w:val="21"/>
        </w:rPr>
        <w:t>）监理人要求提交的竣工验收资料清单；</w:t>
      </w:r>
    </w:p>
    <w:p w14:paraId="0AAE67B2">
      <w:pPr>
        <w:spacing w:before="140" w:line="213" w:lineRule="auto"/>
        <w:ind w:left="34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 xml:space="preserve">）通用合同条款第 </w:t>
      </w:r>
      <w:r>
        <w:rPr>
          <w:rFonts w:ascii="Times New Roman" w:hAnsi="Times New Roman" w:eastAsia="Times New Roman" w:cs="Times New Roman"/>
          <w:spacing w:val="-1"/>
          <w:sz w:val="21"/>
          <w:szCs w:val="21"/>
        </w:rPr>
        <w:t>18.4.1</w:t>
      </w:r>
      <w:r>
        <w:rPr>
          <w:rFonts w:ascii="Times New Roman" w:hAnsi="Times New Roman" w:eastAsia="Times New Roman" w:cs="Times New Roman"/>
          <w:spacing w:val="19"/>
          <w:w w:val="101"/>
          <w:sz w:val="21"/>
          <w:szCs w:val="21"/>
        </w:rPr>
        <w:t xml:space="preserve"> </w:t>
      </w:r>
      <w:r>
        <w:rPr>
          <w:rFonts w:ascii="宋体" w:hAnsi="宋体" w:eastAsia="宋体" w:cs="宋体"/>
          <w:spacing w:val="-1"/>
          <w:sz w:val="21"/>
          <w:szCs w:val="21"/>
        </w:rPr>
        <w:t>项约定的单位工程竣工验收成果和结论文件</w:t>
      </w:r>
      <w:r>
        <w:rPr>
          <w:rFonts w:ascii="Times New Roman" w:hAnsi="Times New Roman" w:eastAsia="Times New Roman" w:cs="Times New Roman"/>
          <w:spacing w:val="-1"/>
          <w:sz w:val="21"/>
          <w:szCs w:val="21"/>
        </w:rPr>
        <w:t>(</w:t>
      </w:r>
      <w:r>
        <w:rPr>
          <w:rFonts w:ascii="宋体" w:hAnsi="宋体" w:eastAsia="宋体" w:cs="宋体"/>
          <w:spacing w:val="-1"/>
          <w:sz w:val="21"/>
          <w:szCs w:val="21"/>
        </w:rPr>
        <w:t>如果有</w:t>
      </w:r>
      <w:r>
        <w:rPr>
          <w:rFonts w:ascii="Times New Roman" w:hAnsi="Times New Roman" w:eastAsia="Times New Roman" w:cs="Times New Roman"/>
          <w:spacing w:val="-1"/>
          <w:sz w:val="21"/>
          <w:szCs w:val="21"/>
        </w:rPr>
        <w:t>)</w:t>
      </w:r>
      <w:r>
        <w:rPr>
          <w:rFonts w:ascii="宋体" w:hAnsi="宋体" w:eastAsia="宋体" w:cs="宋体"/>
          <w:spacing w:val="-1"/>
          <w:sz w:val="21"/>
          <w:szCs w:val="21"/>
        </w:rPr>
        <w:t>；</w:t>
      </w:r>
    </w:p>
    <w:p w14:paraId="2520CB3E">
      <w:pPr>
        <w:spacing w:before="148" w:line="213" w:lineRule="auto"/>
        <w:ind w:left="344"/>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 xml:space="preserve">）专用合同条款第 </w:t>
      </w:r>
      <w:r>
        <w:rPr>
          <w:rFonts w:ascii="Times New Roman" w:hAnsi="Times New Roman" w:eastAsia="Times New Roman" w:cs="Times New Roman"/>
          <w:spacing w:val="-1"/>
          <w:sz w:val="21"/>
          <w:szCs w:val="21"/>
        </w:rPr>
        <w:t>19.7</w:t>
      </w:r>
      <w:r>
        <w:rPr>
          <w:rFonts w:ascii="Times New Roman" w:hAnsi="Times New Roman" w:eastAsia="Times New Roman" w:cs="Times New Roman"/>
          <w:spacing w:val="18"/>
          <w:sz w:val="21"/>
          <w:szCs w:val="21"/>
        </w:rPr>
        <w:t xml:space="preserve"> </w:t>
      </w:r>
      <w:r>
        <w:rPr>
          <w:rFonts w:ascii="宋体" w:hAnsi="宋体" w:eastAsia="宋体" w:cs="宋体"/>
          <w:spacing w:val="-1"/>
          <w:sz w:val="21"/>
          <w:szCs w:val="21"/>
        </w:rPr>
        <w:t>款约定的质量保修书</w:t>
      </w:r>
      <w:r>
        <w:rPr>
          <w:rFonts w:ascii="Times New Roman" w:hAnsi="Times New Roman" w:eastAsia="Times New Roman" w:cs="Times New Roman"/>
          <w:spacing w:val="-1"/>
          <w:sz w:val="21"/>
          <w:szCs w:val="21"/>
        </w:rPr>
        <w:t>(</w:t>
      </w:r>
      <w:r>
        <w:rPr>
          <w:rFonts w:ascii="宋体" w:hAnsi="宋体" w:eastAsia="宋体" w:cs="宋体"/>
          <w:spacing w:val="-1"/>
          <w:sz w:val="21"/>
          <w:szCs w:val="21"/>
        </w:rPr>
        <w:t>此前</w:t>
      </w:r>
      <w:r>
        <w:rPr>
          <w:rFonts w:ascii="宋体" w:hAnsi="宋体" w:eastAsia="宋体" w:cs="宋体"/>
          <w:spacing w:val="-2"/>
          <w:sz w:val="21"/>
          <w:szCs w:val="21"/>
        </w:rPr>
        <w:t>已经提交的不再提交</w:t>
      </w:r>
      <w:r>
        <w:rPr>
          <w:rFonts w:ascii="Times New Roman" w:hAnsi="Times New Roman" w:eastAsia="Times New Roman" w:cs="Times New Roman"/>
          <w:spacing w:val="-2"/>
          <w:sz w:val="21"/>
          <w:szCs w:val="21"/>
        </w:rPr>
        <w:t>)</w:t>
      </w:r>
      <w:r>
        <w:rPr>
          <w:rFonts w:ascii="宋体" w:hAnsi="宋体" w:eastAsia="宋体" w:cs="宋体"/>
          <w:spacing w:val="-2"/>
          <w:sz w:val="21"/>
          <w:szCs w:val="21"/>
        </w:rPr>
        <w:t>；</w:t>
      </w:r>
    </w:p>
    <w:p w14:paraId="6715C568">
      <w:pPr>
        <w:spacing w:before="163" w:line="234" w:lineRule="auto"/>
        <w:ind w:left="344"/>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8</w:t>
      </w:r>
      <w:r>
        <w:rPr>
          <w:rFonts w:ascii="宋体" w:hAnsi="宋体" w:eastAsia="宋体" w:cs="宋体"/>
          <w:spacing w:val="-2"/>
          <w:sz w:val="21"/>
          <w:szCs w:val="21"/>
        </w:rPr>
        <w:t>）其他：</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761982A7">
      <w:pPr>
        <w:pStyle w:val="2"/>
        <w:spacing w:line="355" w:lineRule="auto"/>
      </w:pPr>
    </w:p>
    <w:p w14:paraId="49D01E50">
      <w:pPr>
        <w:spacing w:before="92" w:line="236" w:lineRule="auto"/>
        <w:ind w:left="49"/>
        <w:outlineLvl w:val="3"/>
        <w:rPr>
          <w:rFonts w:ascii="黑体" w:hAnsi="黑体" w:eastAsia="黑体" w:cs="黑体"/>
          <w:sz w:val="28"/>
          <w:szCs w:val="28"/>
        </w:rPr>
      </w:pPr>
      <w:r>
        <w:rPr>
          <w:rFonts w:ascii="Times New Roman" w:hAnsi="Times New Roman" w:eastAsia="Times New Roman" w:cs="Times New Roman"/>
          <w:spacing w:val="1"/>
          <w:sz w:val="28"/>
          <w:szCs w:val="28"/>
        </w:rPr>
        <w:t xml:space="preserve">15.3  </w:t>
      </w:r>
      <w:r>
        <w:rPr>
          <w:rFonts w:ascii="黑体" w:hAnsi="黑体" w:eastAsia="黑体" w:cs="黑体"/>
          <w:spacing w:val="1"/>
          <w:sz w:val="28"/>
          <w:szCs w:val="28"/>
        </w:rPr>
        <w:t>竣工清场</w:t>
      </w:r>
    </w:p>
    <w:p w14:paraId="1922AB24">
      <w:pPr>
        <w:pStyle w:val="2"/>
        <w:spacing w:line="447" w:lineRule="auto"/>
      </w:pPr>
    </w:p>
    <w:p w14:paraId="79725C7D">
      <w:pPr>
        <w:spacing w:before="69" w:line="347" w:lineRule="auto"/>
        <w:ind w:left="24" w:right="19" w:firstLine="436"/>
        <w:rPr>
          <w:rFonts w:ascii="宋体" w:hAnsi="宋体" w:eastAsia="宋体" w:cs="宋体"/>
          <w:sz w:val="21"/>
          <w:szCs w:val="21"/>
        </w:rPr>
      </w:pPr>
      <w:r>
        <w:rPr>
          <w:rFonts w:ascii="Times New Roman" w:hAnsi="Times New Roman" w:eastAsia="Times New Roman" w:cs="Times New Roman"/>
          <w:spacing w:val="-1"/>
          <w:sz w:val="21"/>
          <w:szCs w:val="21"/>
        </w:rPr>
        <w:t xml:space="preserve">15.3.1      </w:t>
      </w:r>
      <w:r>
        <w:rPr>
          <w:rFonts w:ascii="宋体" w:hAnsi="宋体" w:eastAsia="宋体" w:cs="宋体"/>
          <w:spacing w:val="-1"/>
          <w:sz w:val="21"/>
          <w:szCs w:val="21"/>
        </w:rPr>
        <w:t>监理人颁发</w:t>
      </w:r>
      <w:r>
        <w:rPr>
          <w:rFonts w:ascii="Times New Roman" w:hAnsi="Times New Roman" w:eastAsia="Times New Roman" w:cs="Times New Roman"/>
          <w:spacing w:val="-1"/>
          <w:sz w:val="21"/>
          <w:szCs w:val="21"/>
        </w:rPr>
        <w:t>(</w:t>
      </w:r>
      <w:r>
        <w:rPr>
          <w:rFonts w:ascii="宋体" w:hAnsi="宋体" w:eastAsia="宋体" w:cs="宋体"/>
          <w:spacing w:val="-1"/>
          <w:sz w:val="21"/>
          <w:szCs w:val="21"/>
        </w:rPr>
        <w:t>出具</w:t>
      </w:r>
      <w:r>
        <w:rPr>
          <w:rFonts w:ascii="Times New Roman" w:hAnsi="Times New Roman" w:eastAsia="Times New Roman" w:cs="Times New Roman"/>
          <w:spacing w:val="-1"/>
          <w:sz w:val="21"/>
          <w:szCs w:val="21"/>
        </w:rPr>
        <w:t>)</w:t>
      </w:r>
      <w:r>
        <w:rPr>
          <w:rFonts w:ascii="宋体" w:hAnsi="宋体" w:eastAsia="宋体" w:cs="宋体"/>
          <w:spacing w:val="-1"/>
          <w:sz w:val="21"/>
          <w:szCs w:val="21"/>
        </w:rPr>
        <w:t xml:space="preserve">工程接收证书后，承包人应在 </w:t>
      </w:r>
      <w:r>
        <w:rPr>
          <w:rFonts w:ascii="Times New Roman" w:hAnsi="Times New Roman" w:eastAsia="Times New Roman" w:cs="Times New Roman"/>
          <w:spacing w:val="-1"/>
          <w:sz w:val="21"/>
          <w:szCs w:val="21"/>
        </w:rPr>
        <w:t xml:space="preserve">56  </w:t>
      </w:r>
      <w:r>
        <w:rPr>
          <w:rFonts w:ascii="宋体" w:hAnsi="宋体" w:eastAsia="宋体" w:cs="宋体"/>
          <w:spacing w:val="-1"/>
          <w:sz w:val="21"/>
          <w:szCs w:val="21"/>
        </w:rPr>
        <w:t>天内按以下要求对施工场</w:t>
      </w:r>
      <w:r>
        <w:rPr>
          <w:rFonts w:ascii="宋体" w:hAnsi="宋体" w:eastAsia="宋体" w:cs="宋体"/>
          <w:spacing w:val="-4"/>
          <w:sz w:val="21"/>
          <w:szCs w:val="21"/>
        </w:rPr>
        <w:t>地</w:t>
      </w:r>
      <w:r>
        <w:rPr>
          <w:rFonts w:ascii="Times New Roman" w:hAnsi="Times New Roman" w:eastAsia="Times New Roman" w:cs="Times New Roman"/>
          <w:spacing w:val="-4"/>
          <w:sz w:val="21"/>
          <w:szCs w:val="21"/>
        </w:rPr>
        <w:t>(</w:t>
      </w:r>
      <w:r>
        <w:rPr>
          <w:rFonts w:ascii="宋体" w:hAnsi="宋体" w:eastAsia="宋体" w:cs="宋体"/>
          <w:spacing w:val="-4"/>
          <w:sz w:val="21"/>
          <w:szCs w:val="21"/>
        </w:rPr>
        <w:t>现场</w:t>
      </w:r>
      <w:r>
        <w:rPr>
          <w:rFonts w:ascii="Times New Roman" w:hAnsi="Times New Roman" w:eastAsia="Times New Roman" w:cs="Times New Roman"/>
          <w:spacing w:val="-4"/>
          <w:sz w:val="21"/>
          <w:szCs w:val="21"/>
        </w:rPr>
        <w:t>)</w:t>
      </w:r>
      <w:r>
        <w:rPr>
          <w:rFonts w:ascii="宋体" w:hAnsi="宋体" w:eastAsia="宋体" w:cs="宋体"/>
          <w:spacing w:val="-4"/>
          <w:sz w:val="21"/>
          <w:szCs w:val="21"/>
        </w:rPr>
        <w:t>进行清理：</w:t>
      </w:r>
    </w:p>
    <w:p w14:paraId="69398134">
      <w:pPr>
        <w:spacing w:before="20"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从施工场地</w:t>
      </w:r>
      <w:r>
        <w:rPr>
          <w:rFonts w:ascii="Times New Roman" w:hAnsi="Times New Roman" w:eastAsia="Times New Roman" w:cs="Times New Roman"/>
          <w:spacing w:val="-2"/>
          <w:sz w:val="21"/>
          <w:szCs w:val="21"/>
        </w:rPr>
        <w:t>(</w:t>
      </w:r>
      <w:r>
        <w:rPr>
          <w:rFonts w:ascii="宋体" w:hAnsi="宋体" w:eastAsia="宋体" w:cs="宋体"/>
          <w:spacing w:val="-2"/>
          <w:sz w:val="21"/>
          <w:szCs w:val="21"/>
        </w:rPr>
        <w:t>现场</w:t>
      </w:r>
      <w:r>
        <w:rPr>
          <w:rFonts w:ascii="Times New Roman" w:hAnsi="Times New Roman" w:eastAsia="Times New Roman" w:cs="Times New Roman"/>
          <w:spacing w:val="-2"/>
          <w:sz w:val="21"/>
          <w:szCs w:val="21"/>
        </w:rPr>
        <w:t>)</w:t>
      </w:r>
      <w:r>
        <w:rPr>
          <w:rFonts w:ascii="宋体" w:hAnsi="宋体" w:eastAsia="宋体" w:cs="宋体"/>
          <w:spacing w:val="-2"/>
          <w:sz w:val="21"/>
          <w:szCs w:val="21"/>
        </w:rPr>
        <w:t>清除所有杂物和垃圾等；</w:t>
      </w:r>
    </w:p>
    <w:p w14:paraId="35D47633">
      <w:pPr>
        <w:spacing w:before="149" w:line="348" w:lineRule="auto"/>
        <w:ind w:left="41" w:right="30" w:firstLine="403"/>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从施工场地现场拆除所有的临时工程和临时设施并恢复地面原状，但经监理人</w:t>
      </w:r>
      <w:r>
        <w:rPr>
          <w:rFonts w:ascii="宋体" w:hAnsi="宋体" w:eastAsia="宋体" w:cs="宋体"/>
          <w:spacing w:val="1"/>
          <w:sz w:val="21"/>
          <w:szCs w:val="21"/>
        </w:rPr>
        <w:t>批准</w:t>
      </w:r>
      <w:r>
        <w:rPr>
          <w:rFonts w:ascii="宋体" w:hAnsi="宋体" w:eastAsia="宋体" w:cs="宋体"/>
          <w:spacing w:val="-2"/>
          <w:sz w:val="21"/>
          <w:szCs w:val="21"/>
        </w:rPr>
        <w:t>的护坡桩、锚杆、塔吊基础和无法拆除的埋入式模板等无法拆除的临时设施除外；</w:t>
      </w:r>
    </w:p>
    <w:p w14:paraId="0B3BDE12">
      <w:pPr>
        <w:spacing w:before="19" w:line="334" w:lineRule="auto"/>
        <w:ind w:left="28" w:right="17" w:firstLine="416"/>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撤离所有承包人施工设备和剩余材料</w:t>
      </w:r>
      <w:r>
        <w:rPr>
          <w:rFonts w:ascii="Times New Roman" w:hAnsi="Times New Roman" w:eastAsia="Times New Roman" w:cs="Times New Roman"/>
          <w:sz w:val="21"/>
          <w:szCs w:val="21"/>
        </w:rPr>
        <w:t>(</w:t>
      </w:r>
      <w:r>
        <w:rPr>
          <w:rFonts w:ascii="宋体" w:hAnsi="宋体" w:eastAsia="宋体" w:cs="宋体"/>
          <w:sz w:val="21"/>
          <w:szCs w:val="21"/>
        </w:rPr>
        <w:t>经监理人同意需在缺陷责任期内继续使用的除</w:t>
      </w:r>
      <w:r>
        <w:rPr>
          <w:rFonts w:ascii="宋体" w:hAnsi="宋体" w:eastAsia="宋体" w:cs="宋体"/>
          <w:spacing w:val="-5"/>
          <w:sz w:val="21"/>
          <w:szCs w:val="21"/>
        </w:rPr>
        <w:t>外</w:t>
      </w:r>
      <w:r>
        <w:rPr>
          <w:rFonts w:ascii="Times New Roman" w:hAnsi="Times New Roman" w:eastAsia="Times New Roman" w:cs="Times New Roman"/>
          <w:spacing w:val="-5"/>
          <w:sz w:val="21"/>
          <w:szCs w:val="21"/>
        </w:rPr>
        <w:t>)</w:t>
      </w:r>
      <w:r>
        <w:rPr>
          <w:rFonts w:ascii="宋体" w:hAnsi="宋体" w:eastAsia="宋体" w:cs="宋体"/>
          <w:spacing w:val="-5"/>
          <w:sz w:val="21"/>
          <w:szCs w:val="21"/>
        </w:rPr>
        <w:t>；</w:t>
      </w:r>
    </w:p>
    <w:p w14:paraId="3DC348B1">
      <w:pPr>
        <w:spacing w:before="35" w:line="213" w:lineRule="auto"/>
        <w:ind w:left="445"/>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监理人指示的其他清场工作。</w:t>
      </w:r>
    </w:p>
    <w:p w14:paraId="6E484D82">
      <w:pPr>
        <w:pStyle w:val="2"/>
        <w:spacing w:line="366" w:lineRule="auto"/>
      </w:pPr>
    </w:p>
    <w:p w14:paraId="3620EF2C">
      <w:pPr>
        <w:spacing w:before="91" w:line="237" w:lineRule="auto"/>
        <w:ind w:left="49"/>
        <w:outlineLvl w:val="2"/>
        <w:rPr>
          <w:rFonts w:ascii="黑体" w:hAnsi="黑体" w:eastAsia="黑体" w:cs="黑体"/>
          <w:sz w:val="28"/>
          <w:szCs w:val="28"/>
        </w:rPr>
      </w:pPr>
      <w:bookmarkStart w:id="609" w:name="bookmark562"/>
      <w:bookmarkEnd w:id="609"/>
      <w:r>
        <w:rPr>
          <w:rFonts w:ascii="Times New Roman" w:hAnsi="Times New Roman" w:eastAsia="Times New Roman" w:cs="Times New Roman"/>
          <w:spacing w:val="1"/>
          <w:sz w:val="28"/>
          <w:szCs w:val="28"/>
        </w:rPr>
        <w:t>16.</w:t>
      </w:r>
      <w:r>
        <w:rPr>
          <w:rFonts w:ascii="黑体" w:hAnsi="黑体" w:eastAsia="黑体" w:cs="黑体"/>
          <w:spacing w:val="1"/>
          <w:sz w:val="28"/>
          <w:szCs w:val="28"/>
        </w:rPr>
        <w:t>其他要求</w:t>
      </w:r>
    </w:p>
    <w:p w14:paraId="7A4963CD">
      <w:pPr>
        <w:pStyle w:val="2"/>
      </w:pPr>
    </w:p>
    <w:p w14:paraId="2821AD8D">
      <w:pPr>
        <w:pStyle w:val="2"/>
      </w:pPr>
    </w:p>
    <w:p w14:paraId="6F4D0DBB">
      <w:pPr>
        <w:pStyle w:val="2"/>
        <w:spacing w:line="241" w:lineRule="auto"/>
      </w:pPr>
    </w:p>
    <w:p w14:paraId="4195A6ED">
      <w:pPr>
        <w:pStyle w:val="2"/>
        <w:spacing w:line="241" w:lineRule="auto"/>
      </w:pPr>
      <w:r>
        <w:pict>
          <v:shape id="_x0000_s1286" o:spid="_x0000_s1286" style="position:absolute;left:0pt;margin-left:27.05pt;margin-top:3pt;height:0.75pt;width:352.25pt;z-index:251928576;mso-width-relative:page;mso-height-relative:page;" fillcolor="#000000" filled="t" stroked="f" coordsize="7045,15" path="m0,15l7044,15,7044,0,0,0,0,15xe">
            <v:path/>
            <v:fill on="t" focussize="0,0"/>
            <v:stroke on="f"/>
            <v:imagedata o:title=""/>
            <o:lock v:ext="edit"/>
          </v:shape>
        </w:pict>
      </w:r>
    </w:p>
    <w:p w14:paraId="1651BBFF">
      <w:pPr>
        <w:pStyle w:val="2"/>
        <w:spacing w:line="241" w:lineRule="auto"/>
      </w:pPr>
      <w:r>
        <w:pict>
          <v:shape id="_x0000_s1287" o:spid="_x0000_s1287" style="position:absolute;left:0pt;margin-left:21.8pt;margin-top:11.15pt;height:0.75pt;width:352.25pt;z-index:251927552;mso-width-relative:page;mso-height-relative:page;" fillcolor="#000000" filled="t" stroked="f" coordsize="7045,15" path="m0,15l7044,15,7044,0,0,0,0,15xe">
            <v:path/>
            <v:fill on="t" focussize="0,0"/>
            <v:stroke on="f"/>
            <v:imagedata o:title=""/>
            <o:lock v:ext="edit"/>
          </v:shape>
        </w:pict>
      </w:r>
    </w:p>
    <w:p w14:paraId="35CBC0AF">
      <w:pPr>
        <w:pStyle w:val="2"/>
        <w:spacing w:line="241" w:lineRule="auto"/>
      </w:pPr>
    </w:p>
    <w:p w14:paraId="3131661C">
      <w:pPr>
        <w:spacing w:before="69" w:line="106" w:lineRule="exact"/>
        <w:ind w:left="7509"/>
        <w:rPr>
          <w:rFonts w:ascii="宋体" w:hAnsi="宋体" w:eastAsia="宋体" w:cs="宋体"/>
          <w:sz w:val="21"/>
          <w:szCs w:val="21"/>
        </w:rPr>
      </w:pPr>
      <w:r>
        <w:pict>
          <v:shape id="_x0000_s1288" o:spid="_x0000_s1288" style="position:absolute;left:0pt;margin-left:21.8pt;margin-top:7.15pt;height:0.75pt;width:352.25pt;z-index:25192960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365974E6">
      <w:pPr>
        <w:spacing w:line="106" w:lineRule="exact"/>
        <w:rPr>
          <w:rFonts w:ascii="宋体" w:hAnsi="宋体" w:eastAsia="宋体" w:cs="宋体"/>
          <w:sz w:val="21"/>
          <w:szCs w:val="21"/>
        </w:rPr>
        <w:sectPr>
          <w:footerReference r:id="rId291" w:type="default"/>
          <w:pgSz w:w="11910" w:h="16845"/>
          <w:pgMar w:top="400" w:right="1765" w:bottom="1110" w:left="1786" w:header="0" w:footer="883" w:gutter="0"/>
          <w:cols w:space="720" w:num="1"/>
        </w:sectPr>
      </w:pPr>
    </w:p>
    <w:p w14:paraId="5BCF789A">
      <w:pPr>
        <w:pStyle w:val="2"/>
        <w:spacing w:line="270" w:lineRule="auto"/>
      </w:pPr>
    </w:p>
    <w:p w14:paraId="706802BE">
      <w:pPr>
        <w:pStyle w:val="2"/>
        <w:spacing w:line="270" w:lineRule="auto"/>
      </w:pPr>
    </w:p>
    <w:p w14:paraId="3B80801D">
      <w:pPr>
        <w:pStyle w:val="2"/>
        <w:spacing w:line="270" w:lineRule="auto"/>
      </w:pPr>
    </w:p>
    <w:p w14:paraId="666E95F9">
      <w:pPr>
        <w:pStyle w:val="2"/>
        <w:spacing w:line="271" w:lineRule="auto"/>
      </w:pPr>
    </w:p>
    <w:p w14:paraId="626E45BB">
      <w:pPr>
        <w:pStyle w:val="2"/>
        <w:spacing w:line="271" w:lineRule="auto"/>
      </w:pPr>
    </w:p>
    <w:p w14:paraId="57F7A04C">
      <w:pPr>
        <w:spacing w:before="100" w:line="222" w:lineRule="auto"/>
        <w:ind w:left="28"/>
        <w:outlineLvl w:val="1"/>
        <w:rPr>
          <w:rFonts w:ascii="黑体" w:hAnsi="黑体" w:eastAsia="黑体" w:cs="黑体"/>
          <w:sz w:val="31"/>
          <w:szCs w:val="31"/>
        </w:rPr>
      </w:pPr>
      <w:bookmarkStart w:id="610" w:name="bookmark563"/>
      <w:bookmarkEnd w:id="610"/>
      <w:bookmarkStart w:id="611" w:name="bookmark564"/>
      <w:bookmarkEnd w:id="611"/>
      <w:r>
        <w:rPr>
          <w:rFonts w:ascii="黑体" w:hAnsi="黑体" w:eastAsia="黑体" w:cs="黑体"/>
          <w:b/>
          <w:bCs/>
          <w:spacing w:val="9"/>
          <w:sz w:val="31"/>
          <w:szCs w:val="31"/>
        </w:rPr>
        <w:t>第二节</w:t>
      </w:r>
      <w:r>
        <w:rPr>
          <w:rFonts w:ascii="黑体" w:hAnsi="黑体" w:eastAsia="黑体" w:cs="黑体"/>
          <w:spacing w:val="9"/>
          <w:sz w:val="31"/>
          <w:szCs w:val="31"/>
        </w:rPr>
        <w:t xml:space="preserve"> </w:t>
      </w:r>
      <w:r>
        <w:rPr>
          <w:rFonts w:ascii="黑体" w:hAnsi="黑体" w:eastAsia="黑体" w:cs="黑体"/>
          <w:b/>
          <w:bCs/>
          <w:spacing w:val="9"/>
          <w:sz w:val="31"/>
          <w:szCs w:val="31"/>
        </w:rPr>
        <w:t>特殊技术标准和要求</w:t>
      </w:r>
    </w:p>
    <w:p w14:paraId="505413F7">
      <w:pPr>
        <w:pStyle w:val="2"/>
        <w:spacing w:line="414" w:lineRule="auto"/>
      </w:pPr>
    </w:p>
    <w:p w14:paraId="2377258B">
      <w:pPr>
        <w:spacing w:before="91" w:line="237" w:lineRule="auto"/>
        <w:ind w:left="49"/>
        <w:outlineLvl w:val="2"/>
        <w:rPr>
          <w:rFonts w:ascii="黑体" w:hAnsi="黑体" w:eastAsia="黑体" w:cs="黑体"/>
          <w:sz w:val="28"/>
          <w:szCs w:val="28"/>
        </w:rPr>
      </w:pPr>
      <w:r>
        <w:rPr>
          <w:rFonts w:ascii="Times New Roman" w:hAnsi="Times New Roman" w:eastAsia="Times New Roman" w:cs="Times New Roman"/>
          <w:spacing w:val="2"/>
          <w:sz w:val="28"/>
          <w:szCs w:val="28"/>
        </w:rPr>
        <w:t>1</w:t>
      </w:r>
      <w:r>
        <w:rPr>
          <w:rFonts w:ascii="黑体" w:hAnsi="黑体" w:eastAsia="黑体" w:cs="黑体"/>
          <w:spacing w:val="2"/>
          <w:sz w:val="28"/>
          <w:szCs w:val="28"/>
        </w:rPr>
        <w:t>．材料和工程设备技术要求</w:t>
      </w:r>
    </w:p>
    <w:p w14:paraId="68959ECE">
      <w:pPr>
        <w:pStyle w:val="2"/>
        <w:spacing w:line="430" w:lineRule="auto"/>
      </w:pPr>
    </w:p>
    <w:p w14:paraId="6CFA7D91">
      <w:pPr>
        <w:spacing w:before="69" w:line="233"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1.1            </w:t>
      </w:r>
      <w:r>
        <w:rPr>
          <w:rFonts w:ascii="宋体" w:hAnsi="宋体" w:eastAsia="宋体" w:cs="宋体"/>
          <w:spacing w:val="-1"/>
          <w:sz w:val="21"/>
          <w:szCs w:val="21"/>
        </w:rPr>
        <w:t>承包人自行施工范围内的部分材料和工程设备技术要求如下：</w:t>
      </w:r>
    </w:p>
    <w:p w14:paraId="6ECD38D7">
      <w:pPr>
        <w:pStyle w:val="2"/>
        <w:spacing w:line="275" w:lineRule="auto"/>
      </w:pPr>
    </w:p>
    <w:p w14:paraId="0DDB3C30">
      <w:pPr>
        <w:pStyle w:val="2"/>
        <w:spacing w:line="275" w:lineRule="auto"/>
      </w:pPr>
      <w:r>
        <w:pict>
          <v:shape id="_x0000_s1289" o:spid="_x0000_s1289" style="position:absolute;left:0pt;margin-left:27.05pt;margin-top:8.2pt;height:0.75pt;width:352.25pt;z-index:251931648;mso-width-relative:page;mso-height-relative:page;" fillcolor="#000000" filled="t" stroked="f" coordsize="7045,15" path="m0,15l7044,15,7044,0,0,0,0,15xe">
            <v:path/>
            <v:fill on="t" focussize="0,0"/>
            <v:stroke on="f"/>
            <v:imagedata o:title=""/>
            <o:lock v:ext="edit"/>
          </v:shape>
        </w:pict>
      </w:r>
    </w:p>
    <w:p w14:paraId="5D0C25AA">
      <w:pPr>
        <w:pStyle w:val="2"/>
        <w:spacing w:line="275" w:lineRule="auto"/>
      </w:pPr>
    </w:p>
    <w:p w14:paraId="1C360884">
      <w:pPr>
        <w:pStyle w:val="2"/>
        <w:spacing w:line="276" w:lineRule="auto"/>
      </w:pPr>
      <w:r>
        <w:pict>
          <v:shape id="_x0000_s1290" o:spid="_x0000_s1290" style="position:absolute;left:0pt;margin-left:21.8pt;margin-top:0.8pt;height:0.8pt;width:352.25pt;z-index:251930624;mso-width-relative:page;mso-height-relative:page;" fillcolor="#000000" filled="t" stroked="f" coordsize="7045,16" path="m0,15l7044,15,7044,0,0,0,0,15xe">
            <v:path/>
            <v:fill on="t" focussize="0,0"/>
            <v:stroke on="f"/>
            <v:imagedata o:title=""/>
            <o:lock v:ext="edit"/>
          </v:shape>
        </w:pict>
      </w:r>
    </w:p>
    <w:p w14:paraId="48B2E968">
      <w:pPr>
        <w:spacing w:before="69" w:line="105" w:lineRule="exact"/>
        <w:ind w:left="7509"/>
        <w:rPr>
          <w:rFonts w:ascii="宋体" w:hAnsi="宋体" w:eastAsia="宋体" w:cs="宋体"/>
          <w:sz w:val="21"/>
          <w:szCs w:val="21"/>
        </w:rPr>
      </w:pPr>
      <w:r>
        <w:pict>
          <v:shape id="_x0000_s1291" o:spid="_x0000_s1291" style="position:absolute;left:0pt;margin-left:21.8pt;margin-top:7.15pt;height:0.75pt;width:352.25pt;z-index:251935744;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1C71092C">
      <w:pPr>
        <w:pStyle w:val="2"/>
        <w:spacing w:line="281" w:lineRule="auto"/>
      </w:pPr>
    </w:p>
    <w:p w14:paraId="21A35A1D">
      <w:pPr>
        <w:pStyle w:val="2"/>
        <w:spacing w:line="281" w:lineRule="auto"/>
      </w:pPr>
      <w:r>
        <w:pict>
          <v:shape id="_x0000_s1292" o:spid="_x0000_s1292" style="position:absolute;left:0pt;margin-left:27.05pt;margin-top:9.1pt;height:0.75pt;width:352.25pt;z-index:251933696;mso-width-relative:page;mso-height-relative:page;" fillcolor="#000000" filled="t" stroked="f" coordsize="7045,15" path="m0,15l7044,15,7044,0,0,0,0,15xe">
            <v:path/>
            <v:fill on="t" focussize="0,0"/>
            <v:stroke on="f"/>
            <v:imagedata o:title=""/>
            <o:lock v:ext="edit"/>
          </v:shape>
        </w:pict>
      </w:r>
    </w:p>
    <w:p w14:paraId="7C16FD94">
      <w:pPr>
        <w:pStyle w:val="2"/>
        <w:spacing w:line="281" w:lineRule="auto"/>
      </w:pPr>
    </w:p>
    <w:p w14:paraId="4B6EA770">
      <w:pPr>
        <w:pStyle w:val="2"/>
        <w:spacing w:line="282" w:lineRule="auto"/>
      </w:pPr>
      <w:r>
        <w:pict>
          <v:shape id="_x0000_s1293" o:spid="_x0000_s1293" style="position:absolute;left:0pt;margin-left:21.8pt;margin-top:1.1pt;height:0.75pt;width:352.25pt;z-index:251932672;mso-width-relative:page;mso-height-relative:page;" fillcolor="#000000" filled="t" stroked="f" coordsize="7045,15" path="m0,15l7044,15,7044,0,0,0,0,15xe">
            <v:path/>
            <v:fill on="t" focussize="0,0"/>
            <v:stroke on="f"/>
            <v:imagedata o:title=""/>
            <o:lock v:ext="edit"/>
          </v:shape>
        </w:pict>
      </w:r>
    </w:p>
    <w:p w14:paraId="14449F65">
      <w:pPr>
        <w:spacing w:before="68" w:line="106" w:lineRule="exact"/>
        <w:ind w:left="7509"/>
        <w:rPr>
          <w:rFonts w:ascii="宋体" w:hAnsi="宋体" w:eastAsia="宋体" w:cs="宋体"/>
          <w:sz w:val="21"/>
          <w:szCs w:val="21"/>
        </w:rPr>
      </w:pPr>
      <w:r>
        <w:pict>
          <v:shape id="_x0000_s1294" o:spid="_x0000_s1294" style="position:absolute;left:0pt;margin-left:21.8pt;margin-top:7.15pt;height:0.75pt;width:352.25pt;z-index:25193472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72682A58">
      <w:pPr>
        <w:spacing w:before="149" w:line="353" w:lineRule="auto"/>
        <w:ind w:left="24" w:firstLine="422"/>
        <w:jc w:val="both"/>
        <w:rPr>
          <w:rFonts w:ascii="宋体" w:hAnsi="宋体" w:eastAsia="宋体" w:cs="宋体"/>
          <w:sz w:val="21"/>
          <w:szCs w:val="21"/>
        </w:rPr>
      </w:pPr>
      <w:r>
        <w:rPr>
          <w:rFonts w:ascii="宋体" w:hAnsi="宋体" w:eastAsia="宋体" w:cs="宋体"/>
          <w:spacing w:val="-2"/>
          <w:sz w:val="21"/>
          <w:szCs w:val="21"/>
        </w:rPr>
        <w:t>上述材料和工程设备技术要求中如果出现了参考品牌或规格型号，其目</w:t>
      </w:r>
      <w:r>
        <w:rPr>
          <w:rFonts w:ascii="宋体" w:hAnsi="宋体" w:eastAsia="宋体" w:cs="宋体"/>
          <w:spacing w:val="-3"/>
          <w:sz w:val="21"/>
          <w:szCs w:val="21"/>
        </w:rPr>
        <w:t>的是为了方便承</w:t>
      </w:r>
      <w:r>
        <w:rPr>
          <w:rFonts w:ascii="宋体" w:hAnsi="宋体" w:eastAsia="宋体" w:cs="宋体"/>
          <w:spacing w:val="-2"/>
          <w:sz w:val="21"/>
          <w:szCs w:val="21"/>
        </w:rPr>
        <w:t>包人直观和准确地把握相应材料和工程设备的技术标准，不具指定或唯一的</w:t>
      </w:r>
      <w:r>
        <w:rPr>
          <w:rFonts w:ascii="宋体" w:hAnsi="宋体" w:eastAsia="宋体" w:cs="宋体"/>
          <w:spacing w:val="-3"/>
          <w:sz w:val="21"/>
          <w:szCs w:val="21"/>
        </w:rPr>
        <w:t>意思表示，承包</w:t>
      </w:r>
      <w:r>
        <w:rPr>
          <w:rFonts w:ascii="宋体" w:hAnsi="宋体" w:eastAsia="宋体" w:cs="宋体"/>
          <w:spacing w:val="-2"/>
          <w:sz w:val="21"/>
          <w:szCs w:val="21"/>
        </w:rPr>
        <w:t>人应当参考所列品牌的材料和工程设备，采购相当于或高于所列品牌技术标准的材料和工程</w:t>
      </w:r>
      <w:r>
        <w:rPr>
          <w:rFonts w:ascii="宋体" w:hAnsi="宋体" w:eastAsia="宋体" w:cs="宋体"/>
          <w:spacing w:val="-9"/>
          <w:sz w:val="21"/>
          <w:szCs w:val="21"/>
        </w:rPr>
        <w:t>设备。</w:t>
      </w:r>
    </w:p>
    <w:p w14:paraId="3AB1CCFB">
      <w:pPr>
        <w:spacing w:before="1" w:line="232" w:lineRule="auto"/>
        <w:ind w:left="461"/>
        <w:rPr>
          <w:rFonts w:ascii="宋体" w:hAnsi="宋体" w:eastAsia="宋体" w:cs="宋体"/>
          <w:sz w:val="21"/>
          <w:szCs w:val="21"/>
        </w:rPr>
      </w:pPr>
      <w:r>
        <w:rPr>
          <w:rFonts w:ascii="Times New Roman" w:hAnsi="Times New Roman" w:eastAsia="Times New Roman" w:cs="Times New Roman"/>
          <w:spacing w:val="-1"/>
          <w:sz w:val="21"/>
          <w:szCs w:val="21"/>
        </w:rPr>
        <w:t xml:space="preserve">1.2            </w:t>
      </w:r>
      <w:r>
        <w:rPr>
          <w:rFonts w:ascii="宋体" w:hAnsi="宋体" w:eastAsia="宋体" w:cs="宋体"/>
          <w:spacing w:val="-1"/>
          <w:sz w:val="21"/>
          <w:szCs w:val="21"/>
        </w:rPr>
        <w:t>承包人自行施工范围内的材料和工程设备选型允许的偏离如下：</w:t>
      </w:r>
    </w:p>
    <w:p w14:paraId="6E4C6F85">
      <w:pPr>
        <w:spacing w:line="60" w:lineRule="auto"/>
        <w:rPr>
          <w:rFonts w:ascii="Arial"/>
          <w:sz w:val="2"/>
        </w:rPr>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12"/>
        <w:gridCol w:w="1994"/>
        <w:gridCol w:w="1634"/>
        <w:gridCol w:w="1649"/>
        <w:gridCol w:w="1641"/>
      </w:tblGrid>
      <w:tr w14:paraId="5C20B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3" w:hRule="atLeast"/>
        </w:trPr>
        <w:tc>
          <w:tcPr>
            <w:tcW w:w="1312" w:type="dxa"/>
            <w:vAlign w:val="top"/>
          </w:tcPr>
          <w:p w14:paraId="16CFE34D">
            <w:pPr>
              <w:pStyle w:val="6"/>
              <w:spacing w:before="300" w:line="221" w:lineRule="auto"/>
              <w:ind w:left="427"/>
              <w:rPr>
                <w:sz w:val="21"/>
                <w:szCs w:val="21"/>
              </w:rPr>
            </w:pPr>
            <w:r>
              <w:rPr>
                <w:b/>
                <w:bCs/>
                <w:spacing w:val="1"/>
                <w:sz w:val="21"/>
                <w:szCs w:val="21"/>
              </w:rPr>
              <w:t>序号</w:t>
            </w:r>
          </w:p>
        </w:tc>
        <w:tc>
          <w:tcPr>
            <w:tcW w:w="1994" w:type="dxa"/>
            <w:vAlign w:val="top"/>
          </w:tcPr>
          <w:p w14:paraId="5D454357">
            <w:pPr>
              <w:pStyle w:val="6"/>
              <w:spacing w:before="150" w:line="280" w:lineRule="auto"/>
              <w:ind w:left="771" w:right="242" w:hanging="543"/>
              <w:rPr>
                <w:sz w:val="21"/>
                <w:szCs w:val="21"/>
              </w:rPr>
            </w:pPr>
            <w:r>
              <w:rPr>
                <w:b/>
                <w:bCs/>
                <w:spacing w:val="3"/>
                <w:sz w:val="21"/>
                <w:szCs w:val="21"/>
              </w:rPr>
              <w:t>材料和工程设备</w:t>
            </w:r>
            <w:r>
              <w:rPr>
                <w:b/>
                <w:bCs/>
                <w:sz w:val="21"/>
                <w:szCs w:val="21"/>
              </w:rPr>
              <w:t>名称</w:t>
            </w:r>
          </w:p>
        </w:tc>
        <w:tc>
          <w:tcPr>
            <w:tcW w:w="1634" w:type="dxa"/>
            <w:vAlign w:val="top"/>
          </w:tcPr>
          <w:p w14:paraId="0AC35AED">
            <w:pPr>
              <w:pStyle w:val="6"/>
              <w:spacing w:before="299" w:line="220" w:lineRule="auto"/>
              <w:ind w:left="382"/>
              <w:rPr>
                <w:sz w:val="21"/>
                <w:szCs w:val="21"/>
              </w:rPr>
            </w:pPr>
            <w:r>
              <w:rPr>
                <w:b/>
                <w:bCs/>
                <w:spacing w:val="7"/>
                <w:sz w:val="21"/>
                <w:szCs w:val="21"/>
              </w:rPr>
              <w:t>技术指标</w:t>
            </w:r>
          </w:p>
        </w:tc>
        <w:tc>
          <w:tcPr>
            <w:tcW w:w="1649" w:type="dxa"/>
            <w:vAlign w:val="top"/>
          </w:tcPr>
          <w:p w14:paraId="59C003EA">
            <w:pPr>
              <w:pStyle w:val="6"/>
              <w:spacing w:before="299" w:line="220" w:lineRule="auto"/>
              <w:ind w:left="182"/>
              <w:rPr>
                <w:sz w:val="21"/>
                <w:szCs w:val="21"/>
              </w:rPr>
            </w:pPr>
            <w:r>
              <w:rPr>
                <w:b/>
                <w:bCs/>
                <w:spacing w:val="3"/>
                <w:sz w:val="21"/>
                <w:szCs w:val="21"/>
              </w:rPr>
              <w:t>允许偏离范围</w:t>
            </w:r>
          </w:p>
        </w:tc>
        <w:tc>
          <w:tcPr>
            <w:tcW w:w="1641" w:type="dxa"/>
            <w:vAlign w:val="top"/>
          </w:tcPr>
          <w:p w14:paraId="73BFFB8A">
            <w:pPr>
              <w:pStyle w:val="6"/>
              <w:spacing w:before="300" w:line="221" w:lineRule="auto"/>
              <w:ind w:left="390"/>
              <w:rPr>
                <w:sz w:val="21"/>
                <w:szCs w:val="21"/>
              </w:rPr>
            </w:pPr>
            <w:r>
              <w:rPr>
                <w:b/>
                <w:bCs/>
                <w:spacing w:val="-8"/>
                <w:sz w:val="21"/>
                <w:szCs w:val="21"/>
              </w:rPr>
              <w:t>备</w:t>
            </w:r>
            <w:r>
              <w:rPr>
                <w:spacing w:val="5"/>
                <w:sz w:val="21"/>
                <w:szCs w:val="21"/>
              </w:rPr>
              <w:t xml:space="preserve">    </w:t>
            </w:r>
            <w:r>
              <w:rPr>
                <w:b/>
                <w:bCs/>
                <w:spacing w:val="-8"/>
                <w:sz w:val="21"/>
                <w:szCs w:val="21"/>
              </w:rPr>
              <w:t>注</w:t>
            </w:r>
          </w:p>
        </w:tc>
      </w:tr>
      <w:tr w14:paraId="71289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12" w:type="dxa"/>
            <w:vAlign w:val="top"/>
          </w:tcPr>
          <w:p w14:paraId="404BB642">
            <w:pPr>
              <w:spacing w:before="107" w:line="209" w:lineRule="auto"/>
              <w:ind w:left="625"/>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1994" w:type="dxa"/>
            <w:vAlign w:val="top"/>
          </w:tcPr>
          <w:p w14:paraId="1A5509B1">
            <w:pPr>
              <w:rPr>
                <w:rFonts w:ascii="Arial"/>
                <w:sz w:val="21"/>
              </w:rPr>
            </w:pPr>
          </w:p>
        </w:tc>
        <w:tc>
          <w:tcPr>
            <w:tcW w:w="1634" w:type="dxa"/>
            <w:vAlign w:val="top"/>
          </w:tcPr>
          <w:p w14:paraId="030478EC">
            <w:pPr>
              <w:rPr>
                <w:rFonts w:ascii="Arial"/>
                <w:sz w:val="21"/>
              </w:rPr>
            </w:pPr>
          </w:p>
        </w:tc>
        <w:tc>
          <w:tcPr>
            <w:tcW w:w="1649" w:type="dxa"/>
            <w:vAlign w:val="top"/>
          </w:tcPr>
          <w:p w14:paraId="17926377">
            <w:pPr>
              <w:rPr>
                <w:rFonts w:ascii="Arial"/>
                <w:sz w:val="21"/>
              </w:rPr>
            </w:pPr>
          </w:p>
        </w:tc>
        <w:tc>
          <w:tcPr>
            <w:tcW w:w="1641" w:type="dxa"/>
            <w:vAlign w:val="top"/>
          </w:tcPr>
          <w:p w14:paraId="269AF0C2">
            <w:pPr>
              <w:rPr>
                <w:rFonts w:ascii="Arial"/>
                <w:sz w:val="21"/>
              </w:rPr>
            </w:pPr>
          </w:p>
        </w:tc>
      </w:tr>
      <w:tr w14:paraId="164A0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3" w:hRule="atLeast"/>
        </w:trPr>
        <w:tc>
          <w:tcPr>
            <w:tcW w:w="1312" w:type="dxa"/>
            <w:vAlign w:val="top"/>
          </w:tcPr>
          <w:p w14:paraId="31AAA3CB">
            <w:pPr>
              <w:spacing w:before="109" w:line="222" w:lineRule="auto"/>
              <w:ind w:left="604"/>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1994" w:type="dxa"/>
            <w:vAlign w:val="top"/>
          </w:tcPr>
          <w:p w14:paraId="060DBFDB">
            <w:pPr>
              <w:rPr>
                <w:rFonts w:ascii="Arial"/>
                <w:sz w:val="21"/>
              </w:rPr>
            </w:pPr>
          </w:p>
        </w:tc>
        <w:tc>
          <w:tcPr>
            <w:tcW w:w="1634" w:type="dxa"/>
            <w:vAlign w:val="top"/>
          </w:tcPr>
          <w:p w14:paraId="6944F6AF">
            <w:pPr>
              <w:rPr>
                <w:rFonts w:ascii="Arial"/>
                <w:sz w:val="21"/>
              </w:rPr>
            </w:pPr>
          </w:p>
        </w:tc>
        <w:tc>
          <w:tcPr>
            <w:tcW w:w="1649" w:type="dxa"/>
            <w:vAlign w:val="top"/>
          </w:tcPr>
          <w:p w14:paraId="54862170">
            <w:pPr>
              <w:rPr>
                <w:rFonts w:ascii="Arial"/>
                <w:sz w:val="21"/>
              </w:rPr>
            </w:pPr>
          </w:p>
        </w:tc>
        <w:tc>
          <w:tcPr>
            <w:tcW w:w="1641" w:type="dxa"/>
            <w:vAlign w:val="top"/>
          </w:tcPr>
          <w:p w14:paraId="5F38E8D0">
            <w:pPr>
              <w:rPr>
                <w:rFonts w:ascii="Arial"/>
                <w:sz w:val="21"/>
              </w:rPr>
            </w:pPr>
          </w:p>
        </w:tc>
      </w:tr>
      <w:tr w14:paraId="3834C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1312" w:type="dxa"/>
            <w:vAlign w:val="top"/>
          </w:tcPr>
          <w:p w14:paraId="2176078C">
            <w:pPr>
              <w:pStyle w:val="6"/>
              <w:spacing w:before="47" w:line="238" w:lineRule="auto"/>
              <w:ind w:left="456"/>
              <w:rPr>
                <w:sz w:val="21"/>
                <w:szCs w:val="21"/>
              </w:rPr>
            </w:pPr>
            <w:r>
              <w:rPr>
                <w:spacing w:val="-6"/>
                <w:sz w:val="21"/>
                <w:szCs w:val="21"/>
              </w:rPr>
              <w:t>……</w:t>
            </w:r>
          </w:p>
        </w:tc>
        <w:tc>
          <w:tcPr>
            <w:tcW w:w="1994" w:type="dxa"/>
            <w:vAlign w:val="top"/>
          </w:tcPr>
          <w:p w14:paraId="5EC58DC7">
            <w:pPr>
              <w:rPr>
                <w:rFonts w:ascii="Arial"/>
                <w:sz w:val="21"/>
              </w:rPr>
            </w:pPr>
          </w:p>
        </w:tc>
        <w:tc>
          <w:tcPr>
            <w:tcW w:w="1634" w:type="dxa"/>
            <w:vAlign w:val="top"/>
          </w:tcPr>
          <w:p w14:paraId="0A22A80F">
            <w:pPr>
              <w:rPr>
                <w:rFonts w:ascii="Arial"/>
                <w:sz w:val="21"/>
              </w:rPr>
            </w:pPr>
          </w:p>
        </w:tc>
        <w:tc>
          <w:tcPr>
            <w:tcW w:w="1649" w:type="dxa"/>
            <w:vAlign w:val="top"/>
          </w:tcPr>
          <w:p w14:paraId="30E1E9A0">
            <w:pPr>
              <w:rPr>
                <w:rFonts w:ascii="Arial"/>
                <w:sz w:val="21"/>
              </w:rPr>
            </w:pPr>
          </w:p>
        </w:tc>
        <w:tc>
          <w:tcPr>
            <w:tcW w:w="1641" w:type="dxa"/>
            <w:vAlign w:val="top"/>
          </w:tcPr>
          <w:p w14:paraId="6267F0FA">
            <w:pPr>
              <w:rPr>
                <w:rFonts w:ascii="Arial"/>
                <w:sz w:val="21"/>
              </w:rPr>
            </w:pPr>
          </w:p>
        </w:tc>
      </w:tr>
      <w:tr w14:paraId="77082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trPr>
        <w:tc>
          <w:tcPr>
            <w:tcW w:w="1312" w:type="dxa"/>
            <w:vAlign w:val="top"/>
          </w:tcPr>
          <w:p w14:paraId="37C203D0">
            <w:pPr>
              <w:rPr>
                <w:rFonts w:ascii="Arial"/>
                <w:sz w:val="21"/>
              </w:rPr>
            </w:pPr>
          </w:p>
        </w:tc>
        <w:tc>
          <w:tcPr>
            <w:tcW w:w="1994" w:type="dxa"/>
            <w:vAlign w:val="top"/>
          </w:tcPr>
          <w:p w14:paraId="43FF1A98">
            <w:pPr>
              <w:rPr>
                <w:rFonts w:ascii="Arial"/>
                <w:sz w:val="21"/>
              </w:rPr>
            </w:pPr>
          </w:p>
        </w:tc>
        <w:tc>
          <w:tcPr>
            <w:tcW w:w="1634" w:type="dxa"/>
            <w:vAlign w:val="top"/>
          </w:tcPr>
          <w:p w14:paraId="3AC19AD1">
            <w:pPr>
              <w:rPr>
                <w:rFonts w:ascii="Arial"/>
                <w:sz w:val="21"/>
              </w:rPr>
            </w:pPr>
          </w:p>
        </w:tc>
        <w:tc>
          <w:tcPr>
            <w:tcW w:w="1649" w:type="dxa"/>
            <w:vAlign w:val="top"/>
          </w:tcPr>
          <w:p w14:paraId="569671FC">
            <w:pPr>
              <w:rPr>
                <w:rFonts w:ascii="Arial"/>
                <w:sz w:val="21"/>
              </w:rPr>
            </w:pPr>
          </w:p>
        </w:tc>
        <w:tc>
          <w:tcPr>
            <w:tcW w:w="1641" w:type="dxa"/>
            <w:vAlign w:val="top"/>
          </w:tcPr>
          <w:p w14:paraId="6D2A158F">
            <w:pPr>
              <w:rPr>
                <w:rFonts w:ascii="Arial"/>
                <w:sz w:val="21"/>
              </w:rPr>
            </w:pPr>
          </w:p>
        </w:tc>
      </w:tr>
    </w:tbl>
    <w:p w14:paraId="7210EF58">
      <w:pPr>
        <w:spacing w:before="134" w:line="233" w:lineRule="auto"/>
        <w:ind w:left="461"/>
        <w:rPr>
          <w:rFonts w:ascii="宋体" w:hAnsi="宋体" w:eastAsia="宋体" w:cs="宋体"/>
          <w:sz w:val="21"/>
          <w:szCs w:val="21"/>
        </w:rPr>
      </w:pPr>
      <w:r>
        <w:rPr>
          <w:rFonts w:ascii="Times New Roman" w:hAnsi="Times New Roman" w:eastAsia="Times New Roman" w:cs="Times New Roman"/>
          <w:sz w:val="21"/>
          <w:szCs w:val="21"/>
        </w:rPr>
        <w:t xml:space="preserve">1.3            </w:t>
      </w:r>
      <w:r>
        <w:rPr>
          <w:rFonts w:ascii="宋体" w:hAnsi="宋体" w:eastAsia="宋体" w:cs="宋体"/>
          <w:sz w:val="21"/>
          <w:szCs w:val="21"/>
        </w:rPr>
        <w:t>本工程施工现场所用混凝土或砂浆的供应方式为</w:t>
      </w:r>
      <w:r>
        <w:rPr>
          <w:rFonts w:ascii="宋体" w:hAnsi="宋体" w:eastAsia="宋体" w:cs="宋体"/>
          <w:sz w:val="21"/>
          <w:szCs w:val="21"/>
          <w:u w:val="single" w:color="auto"/>
        </w:rPr>
        <w:t xml:space="preserve">      </w:t>
      </w:r>
      <w:r>
        <w:rPr>
          <w:rFonts w:ascii="宋体" w:hAnsi="宋体" w:eastAsia="宋体" w:cs="宋体"/>
          <w:sz w:val="21"/>
          <w:szCs w:val="21"/>
        </w:rPr>
        <w:t>。</w:t>
      </w:r>
    </w:p>
    <w:p w14:paraId="6F618DB6">
      <w:pPr>
        <w:pStyle w:val="2"/>
        <w:spacing w:line="342" w:lineRule="auto"/>
      </w:pPr>
    </w:p>
    <w:p w14:paraId="01B3B82A">
      <w:pPr>
        <w:spacing w:before="91" w:line="237" w:lineRule="auto"/>
        <w:ind w:left="21"/>
        <w:outlineLvl w:val="2"/>
        <w:rPr>
          <w:rFonts w:ascii="黑体" w:hAnsi="黑体" w:eastAsia="黑体" w:cs="黑体"/>
          <w:sz w:val="28"/>
          <w:szCs w:val="28"/>
        </w:rPr>
      </w:pPr>
      <w:bookmarkStart w:id="612" w:name="bookmark565"/>
      <w:bookmarkEnd w:id="612"/>
      <w:r>
        <w:rPr>
          <w:rFonts w:ascii="Times New Roman" w:hAnsi="Times New Roman" w:eastAsia="Times New Roman" w:cs="Times New Roman"/>
          <w:spacing w:val="6"/>
          <w:sz w:val="28"/>
          <w:szCs w:val="28"/>
        </w:rPr>
        <w:t>2.</w:t>
      </w:r>
      <w:r>
        <w:rPr>
          <w:rFonts w:ascii="黑体" w:hAnsi="黑体" w:eastAsia="黑体" w:cs="黑体"/>
          <w:spacing w:val="6"/>
          <w:sz w:val="28"/>
          <w:szCs w:val="28"/>
        </w:rPr>
        <w:t>特殊技术要求</w:t>
      </w:r>
    </w:p>
    <w:p w14:paraId="69361901">
      <w:pPr>
        <w:pStyle w:val="2"/>
        <w:spacing w:line="416" w:lineRule="auto"/>
      </w:pPr>
    </w:p>
    <w:p w14:paraId="39098FF6">
      <w:pPr>
        <w:spacing w:before="69" w:line="233" w:lineRule="auto"/>
        <w:ind w:left="440"/>
        <w:rPr>
          <w:rFonts w:ascii="宋体" w:hAnsi="宋体" w:eastAsia="宋体" w:cs="宋体"/>
          <w:sz w:val="21"/>
          <w:szCs w:val="21"/>
        </w:rPr>
      </w:pPr>
      <w:r>
        <w:rPr>
          <w:rFonts w:ascii="Times New Roman" w:hAnsi="Times New Roman" w:eastAsia="Times New Roman" w:cs="Times New Roman"/>
          <w:spacing w:val="-1"/>
          <w:sz w:val="21"/>
          <w:szCs w:val="21"/>
        </w:rPr>
        <w:t xml:space="preserve">2.1              </w:t>
      </w:r>
      <w:r>
        <w:rPr>
          <w:rFonts w:ascii="宋体" w:hAnsi="宋体" w:eastAsia="宋体" w:cs="宋体"/>
          <w:spacing w:val="-1"/>
          <w:sz w:val="21"/>
          <w:szCs w:val="21"/>
        </w:rPr>
        <w:t>除合同约定的技术要求外，本工程的特殊技术要求如下：</w:t>
      </w:r>
    </w:p>
    <w:p w14:paraId="599B86DC">
      <w:pPr>
        <w:pStyle w:val="2"/>
        <w:spacing w:line="275" w:lineRule="auto"/>
      </w:pPr>
    </w:p>
    <w:p w14:paraId="6ED11F39">
      <w:pPr>
        <w:pStyle w:val="2"/>
        <w:spacing w:line="275" w:lineRule="auto"/>
      </w:pPr>
      <w:r>
        <w:pict>
          <v:shape id="_x0000_s1295" o:spid="_x0000_s1295" style="position:absolute;left:0pt;margin-left:27.05pt;margin-top:8.2pt;height:0.75pt;width:352.25pt;z-index:251938816;mso-width-relative:page;mso-height-relative:page;" fillcolor="#000000" filled="t" stroked="f" coordsize="7045,15" path="m0,15l7044,15,7044,0,0,0,0,15xe">
            <v:path/>
            <v:fill on="t" focussize="0,0"/>
            <v:stroke on="f"/>
            <v:imagedata o:title=""/>
            <o:lock v:ext="edit"/>
          </v:shape>
        </w:pict>
      </w:r>
    </w:p>
    <w:p w14:paraId="276BADDA">
      <w:pPr>
        <w:pStyle w:val="2"/>
        <w:spacing w:line="275" w:lineRule="auto"/>
      </w:pPr>
    </w:p>
    <w:p w14:paraId="309EFF7E">
      <w:pPr>
        <w:pStyle w:val="2"/>
        <w:spacing w:line="276" w:lineRule="auto"/>
      </w:pPr>
      <w:r>
        <w:pict>
          <v:shape id="_x0000_s1296" o:spid="_x0000_s1296" style="position:absolute;left:0pt;margin-left:21.8pt;margin-top:0.8pt;height:0.75pt;width:352.25pt;z-index:251936768;mso-width-relative:page;mso-height-relative:page;" fillcolor="#000000" filled="t" stroked="f" coordsize="7045,15" path="m0,15l7044,15,7044,0,0,0,0,15xe">
            <v:path/>
            <v:fill on="t" focussize="0,0"/>
            <v:stroke on="f"/>
            <v:imagedata o:title=""/>
            <o:lock v:ext="edit"/>
          </v:shape>
        </w:pict>
      </w:r>
    </w:p>
    <w:p w14:paraId="48264A0E">
      <w:pPr>
        <w:spacing w:before="68" w:line="106" w:lineRule="exact"/>
        <w:ind w:left="7509"/>
        <w:rPr>
          <w:rFonts w:ascii="宋体" w:hAnsi="宋体" w:eastAsia="宋体" w:cs="宋体"/>
          <w:sz w:val="21"/>
          <w:szCs w:val="21"/>
        </w:rPr>
      </w:pPr>
      <w:r>
        <w:pict>
          <v:shape id="_x0000_s1297" o:spid="_x0000_s1297" style="position:absolute;left:0pt;margin-left:21.8pt;margin-top:7.15pt;height:0.75pt;width:352.25pt;z-index:251937792;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3E36AC33">
      <w:pPr>
        <w:pStyle w:val="2"/>
        <w:spacing w:line="351" w:lineRule="auto"/>
      </w:pPr>
    </w:p>
    <w:p w14:paraId="6026A9C5">
      <w:pPr>
        <w:spacing w:before="91" w:line="236" w:lineRule="auto"/>
        <w:ind w:left="27"/>
        <w:outlineLvl w:val="2"/>
        <w:rPr>
          <w:rFonts w:ascii="黑体" w:hAnsi="黑体" w:eastAsia="黑体" w:cs="黑体"/>
          <w:sz w:val="28"/>
          <w:szCs w:val="28"/>
        </w:rPr>
      </w:pPr>
      <w:bookmarkStart w:id="613" w:name="bookmark566"/>
      <w:bookmarkEnd w:id="613"/>
      <w:r>
        <w:rPr>
          <w:rFonts w:ascii="Times New Roman" w:hAnsi="Times New Roman" w:eastAsia="Times New Roman" w:cs="Times New Roman"/>
          <w:spacing w:val="3"/>
          <w:sz w:val="28"/>
          <w:szCs w:val="28"/>
        </w:rPr>
        <w:t>3</w:t>
      </w:r>
      <w:r>
        <w:rPr>
          <w:rFonts w:ascii="黑体" w:hAnsi="黑体" w:eastAsia="黑体" w:cs="黑体"/>
          <w:spacing w:val="3"/>
          <w:sz w:val="28"/>
          <w:szCs w:val="28"/>
        </w:rPr>
        <w:t>．新技术、新工艺和新材料</w:t>
      </w:r>
    </w:p>
    <w:p w14:paraId="308C0989">
      <w:pPr>
        <w:spacing w:line="236" w:lineRule="auto"/>
        <w:rPr>
          <w:rFonts w:ascii="黑体" w:hAnsi="黑体" w:eastAsia="黑体" w:cs="黑体"/>
          <w:sz w:val="28"/>
          <w:szCs w:val="28"/>
        </w:rPr>
        <w:sectPr>
          <w:footerReference r:id="rId292" w:type="default"/>
          <w:pgSz w:w="11910" w:h="16845"/>
          <w:pgMar w:top="400" w:right="1778" w:bottom="1110" w:left="1786" w:header="0" w:footer="883" w:gutter="0"/>
          <w:cols w:space="720" w:num="1"/>
        </w:sectPr>
      </w:pPr>
    </w:p>
    <w:p w14:paraId="030C1CC4">
      <w:pPr>
        <w:pStyle w:val="2"/>
        <w:spacing w:line="275" w:lineRule="auto"/>
      </w:pPr>
    </w:p>
    <w:p w14:paraId="3830A1F6">
      <w:pPr>
        <w:pStyle w:val="2"/>
        <w:spacing w:line="275" w:lineRule="auto"/>
      </w:pPr>
    </w:p>
    <w:p w14:paraId="3BB222DE">
      <w:pPr>
        <w:pStyle w:val="2"/>
        <w:spacing w:line="275" w:lineRule="auto"/>
      </w:pPr>
    </w:p>
    <w:p w14:paraId="10489AE8">
      <w:pPr>
        <w:pStyle w:val="2"/>
        <w:spacing w:line="275" w:lineRule="auto"/>
      </w:pPr>
    </w:p>
    <w:p w14:paraId="6E0D9430">
      <w:pPr>
        <w:spacing w:before="69" w:line="233" w:lineRule="auto"/>
        <w:ind w:left="445"/>
        <w:rPr>
          <w:rFonts w:ascii="宋体" w:hAnsi="宋体" w:eastAsia="宋体" w:cs="宋体"/>
          <w:sz w:val="21"/>
          <w:szCs w:val="21"/>
        </w:rPr>
      </w:pPr>
      <w:r>
        <w:rPr>
          <w:rFonts w:ascii="Times New Roman" w:hAnsi="Times New Roman" w:eastAsia="Times New Roman" w:cs="Times New Roman"/>
          <w:spacing w:val="-1"/>
          <w:sz w:val="21"/>
          <w:szCs w:val="21"/>
        </w:rPr>
        <w:t xml:space="preserve">3.1  </w:t>
      </w:r>
      <w:r>
        <w:rPr>
          <w:rFonts w:ascii="宋体" w:hAnsi="宋体" w:eastAsia="宋体" w:cs="宋体"/>
          <w:spacing w:val="-1"/>
          <w:sz w:val="21"/>
          <w:szCs w:val="21"/>
        </w:rPr>
        <w:t>本工程涉及的新技术、新工艺和新材料及相应使用和操作说明如下：</w:t>
      </w:r>
    </w:p>
    <w:p w14:paraId="7837206F">
      <w:pPr>
        <w:spacing w:before="199"/>
      </w:pPr>
    </w:p>
    <w:tbl>
      <w:tblPr>
        <w:tblStyle w:val="5"/>
        <w:tblW w:w="7564"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459"/>
        <w:gridCol w:w="105"/>
      </w:tblGrid>
      <w:tr w14:paraId="5AEAA5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7" w:hRule="atLeast"/>
        </w:trPr>
        <w:tc>
          <w:tcPr>
            <w:tcW w:w="7459" w:type="dxa"/>
            <w:vMerge w:val="restart"/>
            <w:tcBorders>
              <w:top w:val="single" w:color="000000" w:sz="6" w:space="0"/>
              <w:bottom w:val="nil"/>
            </w:tcBorders>
            <w:vAlign w:val="top"/>
          </w:tcPr>
          <w:p w14:paraId="0B7CE7DE">
            <w:pPr>
              <w:spacing w:line="293" w:lineRule="auto"/>
              <w:rPr>
                <w:rFonts w:ascii="Arial"/>
                <w:sz w:val="21"/>
              </w:rPr>
            </w:pPr>
            <w:r>
              <w:pict>
                <v:shape id="_x0000_s1298" o:spid="_x0000_s1298" style="position:absolute;left:0pt;margin-left:20.8pt;margin-top:20.25pt;height:0.75pt;width:352.25pt;mso-position-horizontal-relative:page;mso-position-vertical-relative:page;z-index:251940864;mso-width-relative:page;mso-height-relative:page;" fillcolor="#000000" filled="t" stroked="f" coordsize="7045,15" path="m0,15l7044,15,7044,0,0,0,0,15xe">
                  <v:path/>
                  <v:fill on="t" focussize="0,0"/>
                  <v:stroke on="f"/>
                  <v:imagedata o:title=""/>
                  <o:lock v:ext="edit"/>
                </v:shape>
              </w:pict>
            </w:r>
            <w:r>
              <w:pict>
                <v:shape id="_x0000_s1299" o:spid="_x0000_s1299" style="position:absolute;left:0pt;margin-left:20.8pt;margin-top:40.55pt;height:0.75pt;width:352.25pt;mso-position-horizontal-relative:page;mso-position-vertical-relative:page;z-index:251942912;mso-width-relative:page;mso-height-relative:page;" fillcolor="#000000" filled="t" stroked="f" coordsize="7045,15" path="m0,15l7044,15,7044,0,0,0,0,15xe">
                  <v:path/>
                  <v:fill on="t" focussize="0,0"/>
                  <v:stroke on="f"/>
                  <v:imagedata o:title=""/>
                  <o:lock v:ext="edit"/>
                </v:shape>
              </w:pict>
            </w:r>
            <w:r>
              <w:pict>
                <v:shape id="_x0000_s1300" o:spid="_x0000_s1300" style="position:absolute;left:0pt;margin-left:20.8pt;margin-top:142.6pt;height:0.75pt;width:352.25pt;mso-position-horizontal-relative:page;mso-position-vertical-relative:page;z-index:251941888;mso-width-relative:page;mso-height-relative:page;" fillcolor="#000000" filled="t" stroked="f" coordsize="7045,15" path="m0,15l7044,15,7044,0,0,0,0,15xe">
                  <v:path/>
                  <v:fill on="t" focussize="0,0"/>
                  <v:stroke on="f"/>
                  <v:imagedata o:title=""/>
                  <o:lock v:ext="edit"/>
                </v:shape>
              </w:pict>
            </w:r>
            <w:r>
              <w:pict>
                <v:shape id="_x0000_s1301" o:spid="_x0000_s1301" style="position:absolute;left:0pt;margin-left:20.8pt;margin-top:162.9pt;height:0.75pt;width:352.25pt;mso-position-horizontal-relative:page;mso-position-vertical-relative:page;z-index:251939840;mso-width-relative:page;mso-height-relative:page;" fillcolor="#000000" filled="t" stroked="f" coordsize="7045,15" path="m0,15l7044,15,7044,0,0,0,0,15xe">
                  <v:path/>
                  <v:fill on="t" focussize="0,0"/>
                  <v:stroke on="f"/>
                  <v:imagedata o:title=""/>
                  <o:lock v:ext="edit"/>
                </v:shape>
              </w:pict>
            </w:r>
          </w:p>
          <w:p w14:paraId="77D3280D">
            <w:pPr>
              <w:spacing w:line="293" w:lineRule="auto"/>
              <w:rPr>
                <w:rFonts w:ascii="Arial"/>
                <w:sz w:val="21"/>
              </w:rPr>
            </w:pPr>
          </w:p>
          <w:p w14:paraId="326A1C8F">
            <w:pPr>
              <w:spacing w:line="293" w:lineRule="auto"/>
              <w:rPr>
                <w:rFonts w:ascii="Arial"/>
                <w:sz w:val="21"/>
              </w:rPr>
            </w:pPr>
          </w:p>
          <w:p w14:paraId="7760FD03">
            <w:pPr>
              <w:spacing w:line="293" w:lineRule="auto"/>
              <w:rPr>
                <w:rFonts w:ascii="Arial"/>
                <w:sz w:val="21"/>
              </w:rPr>
            </w:pPr>
          </w:p>
          <w:p w14:paraId="17105413">
            <w:pPr>
              <w:spacing w:before="91" w:line="237" w:lineRule="auto"/>
              <w:outlineLvl w:val="2"/>
              <w:rPr>
                <w:rFonts w:ascii="黑体" w:hAnsi="黑体" w:eastAsia="黑体" w:cs="黑体"/>
                <w:sz w:val="28"/>
                <w:szCs w:val="28"/>
              </w:rPr>
            </w:pPr>
            <w:bookmarkStart w:id="614" w:name="bookmark567"/>
            <w:bookmarkEnd w:id="614"/>
            <w:r>
              <w:rPr>
                <w:rFonts w:ascii="Times New Roman" w:hAnsi="Times New Roman" w:eastAsia="Times New Roman" w:cs="Times New Roman"/>
                <w:spacing w:val="4"/>
                <w:sz w:val="28"/>
                <w:szCs w:val="28"/>
              </w:rPr>
              <w:t>4</w:t>
            </w:r>
            <w:r>
              <w:rPr>
                <w:rFonts w:ascii="黑体" w:hAnsi="黑体" w:eastAsia="黑体" w:cs="黑体"/>
                <w:spacing w:val="4"/>
                <w:sz w:val="28"/>
                <w:szCs w:val="28"/>
              </w:rPr>
              <w:t>．其他特殊技术标准和要求</w:t>
            </w:r>
          </w:p>
        </w:tc>
        <w:tc>
          <w:tcPr>
            <w:tcW w:w="105" w:type="dxa"/>
            <w:tcBorders>
              <w:top w:val="single" w:color="000000" w:sz="6" w:space="0"/>
            </w:tcBorders>
            <w:vAlign w:val="top"/>
          </w:tcPr>
          <w:p w14:paraId="795CA280">
            <w:pPr>
              <w:rPr>
                <w:rFonts w:ascii="Arial"/>
                <w:sz w:val="21"/>
              </w:rPr>
            </w:pPr>
          </w:p>
        </w:tc>
      </w:tr>
      <w:tr w14:paraId="4932BD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1" w:hRule="atLeast"/>
        </w:trPr>
        <w:tc>
          <w:tcPr>
            <w:tcW w:w="7459" w:type="dxa"/>
            <w:vMerge w:val="continue"/>
            <w:tcBorders>
              <w:top w:val="nil"/>
              <w:bottom w:val="nil"/>
            </w:tcBorders>
            <w:vAlign w:val="top"/>
          </w:tcPr>
          <w:p w14:paraId="786E375B">
            <w:pPr>
              <w:rPr>
                <w:rFonts w:ascii="Arial"/>
                <w:sz w:val="21"/>
              </w:rPr>
            </w:pPr>
          </w:p>
        </w:tc>
        <w:tc>
          <w:tcPr>
            <w:tcW w:w="105" w:type="dxa"/>
            <w:vAlign w:val="top"/>
          </w:tcPr>
          <w:p w14:paraId="6B6C797A">
            <w:pPr>
              <w:rPr>
                <w:rFonts w:ascii="Arial"/>
                <w:sz w:val="21"/>
              </w:rPr>
            </w:pPr>
            <w:r>
              <w:pict>
                <v:shape id="_x0000_s1302" o:spid="_x0000_s1302" o:spt="202" type="#_x0000_t202" style="position:absolute;left:0pt;margin-left:0.5pt;margin-top:16.7pt;height:7.3pt;width:9.55pt;mso-position-horizontal-relative:page;mso-position-vertical-relative:page;z-index:251945984;mso-width-relative:page;mso-height-relative:page;" filled="f" stroked="f" coordsize="21600,21600">
                  <v:path/>
                  <v:fill on="f" focussize="0,0"/>
                  <v:stroke on="f"/>
                  <v:imagedata o:title=""/>
                  <o:lock v:ext="edit" aspectratio="f"/>
                  <v:textbox inset="0mm,0mm,0mm,0mm">
                    <w:txbxContent>
                      <w:p w14:paraId="4CF6A224">
                        <w:pPr>
                          <w:pStyle w:val="6"/>
                          <w:spacing w:before="20" w:line="105" w:lineRule="exact"/>
                          <w:jc w:val="right"/>
                          <w:rPr>
                            <w:sz w:val="21"/>
                            <w:szCs w:val="21"/>
                          </w:rPr>
                        </w:pPr>
                        <w:r>
                          <w:rPr>
                            <w:spacing w:val="-56"/>
                            <w:w w:val="98"/>
                            <w:position w:val="1"/>
                            <w:sz w:val="21"/>
                            <w:szCs w:val="21"/>
                          </w:rPr>
                          <w:t>。</w:t>
                        </w:r>
                      </w:p>
                    </w:txbxContent>
                  </v:textbox>
                </v:shape>
              </w:pict>
            </w:r>
          </w:p>
        </w:tc>
      </w:tr>
      <w:tr w14:paraId="13B9C46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682" w:hRule="atLeast"/>
        </w:trPr>
        <w:tc>
          <w:tcPr>
            <w:tcW w:w="7459" w:type="dxa"/>
            <w:vMerge w:val="continue"/>
            <w:tcBorders>
              <w:top w:val="nil"/>
              <w:bottom w:val="nil"/>
            </w:tcBorders>
            <w:vAlign w:val="top"/>
          </w:tcPr>
          <w:p w14:paraId="60C20CA1">
            <w:pPr>
              <w:rPr>
                <w:rFonts w:ascii="Arial"/>
                <w:sz w:val="21"/>
              </w:rPr>
            </w:pPr>
          </w:p>
        </w:tc>
        <w:tc>
          <w:tcPr>
            <w:tcW w:w="105" w:type="dxa"/>
            <w:tcBorders>
              <w:bottom w:val="single" w:color="000000" w:sz="6" w:space="0"/>
            </w:tcBorders>
            <w:vAlign w:val="top"/>
          </w:tcPr>
          <w:p w14:paraId="30B9A531">
            <w:pPr>
              <w:rPr>
                <w:rFonts w:ascii="Arial"/>
                <w:sz w:val="21"/>
              </w:rPr>
            </w:pPr>
          </w:p>
        </w:tc>
      </w:tr>
      <w:tr w14:paraId="2E1E4C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37" w:hRule="atLeast"/>
        </w:trPr>
        <w:tc>
          <w:tcPr>
            <w:tcW w:w="7459" w:type="dxa"/>
            <w:vMerge w:val="continue"/>
            <w:tcBorders>
              <w:top w:val="nil"/>
              <w:bottom w:val="nil"/>
            </w:tcBorders>
            <w:vAlign w:val="top"/>
          </w:tcPr>
          <w:p w14:paraId="3D8E1B4E">
            <w:pPr>
              <w:rPr>
                <w:rFonts w:ascii="Arial"/>
                <w:sz w:val="21"/>
              </w:rPr>
            </w:pPr>
          </w:p>
        </w:tc>
        <w:tc>
          <w:tcPr>
            <w:tcW w:w="105" w:type="dxa"/>
            <w:tcBorders>
              <w:top w:val="single" w:color="000000" w:sz="6" w:space="0"/>
            </w:tcBorders>
            <w:vAlign w:val="top"/>
          </w:tcPr>
          <w:p w14:paraId="52A4FEF9">
            <w:pPr>
              <w:rPr>
                <w:rFonts w:ascii="Arial"/>
                <w:sz w:val="21"/>
              </w:rPr>
            </w:pPr>
          </w:p>
        </w:tc>
      </w:tr>
      <w:tr w14:paraId="51B32F4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1" w:hRule="atLeast"/>
        </w:trPr>
        <w:tc>
          <w:tcPr>
            <w:tcW w:w="7459" w:type="dxa"/>
            <w:vMerge w:val="continue"/>
            <w:tcBorders>
              <w:top w:val="nil"/>
              <w:bottom w:val="nil"/>
            </w:tcBorders>
            <w:vAlign w:val="top"/>
          </w:tcPr>
          <w:p w14:paraId="16064E1E">
            <w:pPr>
              <w:rPr>
                <w:rFonts w:ascii="Arial"/>
                <w:sz w:val="21"/>
              </w:rPr>
            </w:pPr>
          </w:p>
        </w:tc>
        <w:tc>
          <w:tcPr>
            <w:tcW w:w="105" w:type="dxa"/>
            <w:vAlign w:val="top"/>
          </w:tcPr>
          <w:p w14:paraId="5D841AC0">
            <w:pPr>
              <w:rPr>
                <w:rFonts w:ascii="Arial"/>
                <w:sz w:val="21"/>
              </w:rPr>
            </w:pPr>
          </w:p>
        </w:tc>
      </w:tr>
      <w:tr w14:paraId="714519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0" w:hRule="atLeast"/>
        </w:trPr>
        <w:tc>
          <w:tcPr>
            <w:tcW w:w="7459" w:type="dxa"/>
            <w:vMerge w:val="continue"/>
            <w:tcBorders>
              <w:top w:val="nil"/>
              <w:bottom w:val="single" w:color="000000" w:sz="6" w:space="0"/>
            </w:tcBorders>
            <w:vAlign w:val="top"/>
          </w:tcPr>
          <w:p w14:paraId="09C41607">
            <w:pPr>
              <w:rPr>
                <w:rFonts w:ascii="Arial"/>
                <w:sz w:val="21"/>
              </w:rPr>
            </w:pPr>
          </w:p>
        </w:tc>
        <w:tc>
          <w:tcPr>
            <w:tcW w:w="105" w:type="dxa"/>
            <w:tcBorders>
              <w:bottom w:val="single" w:color="000000" w:sz="6" w:space="0"/>
            </w:tcBorders>
            <w:vAlign w:val="top"/>
          </w:tcPr>
          <w:p w14:paraId="3B8BED69">
            <w:pPr>
              <w:rPr>
                <w:rFonts w:ascii="Arial"/>
                <w:sz w:val="21"/>
              </w:rPr>
            </w:pPr>
            <w:r>
              <w:pict>
                <v:shape id="_x0000_s1303" o:spid="_x0000_s1303" o:spt="202" type="#_x0000_t202" style="position:absolute;left:0pt;margin-left:0.5pt;margin-top:-0.7pt;height:7.3pt;width:9.55pt;mso-position-horizontal-relative:page;mso-position-vertical-relative:page;z-index:251947008;mso-width-relative:page;mso-height-relative:page;" filled="f" stroked="f" coordsize="21600,21600">
                  <v:path/>
                  <v:fill on="f" focussize="0,0"/>
                  <v:stroke on="f"/>
                  <v:imagedata o:title=""/>
                  <o:lock v:ext="edit" aspectratio="f"/>
                  <v:textbox inset="0mm,0mm,0mm,0mm">
                    <w:txbxContent>
                      <w:p w14:paraId="74C7804F">
                        <w:pPr>
                          <w:pStyle w:val="6"/>
                          <w:spacing w:before="20" w:line="105" w:lineRule="exact"/>
                          <w:jc w:val="right"/>
                          <w:rPr>
                            <w:sz w:val="21"/>
                            <w:szCs w:val="21"/>
                          </w:rPr>
                        </w:pPr>
                        <w:r>
                          <w:rPr>
                            <w:spacing w:val="-56"/>
                            <w:w w:val="98"/>
                            <w:position w:val="1"/>
                            <w:sz w:val="21"/>
                            <w:szCs w:val="21"/>
                          </w:rPr>
                          <w:t>。</w:t>
                        </w:r>
                      </w:p>
                    </w:txbxContent>
                  </v:textbox>
                </v:shape>
              </w:pict>
            </w:r>
          </w:p>
        </w:tc>
      </w:tr>
    </w:tbl>
    <w:p w14:paraId="1B0DCCCA">
      <w:pPr>
        <w:pStyle w:val="2"/>
        <w:spacing w:line="324" w:lineRule="auto"/>
      </w:pPr>
    </w:p>
    <w:p w14:paraId="73843CDA">
      <w:pPr>
        <w:pStyle w:val="2"/>
        <w:spacing w:line="324" w:lineRule="auto"/>
      </w:pPr>
      <w:r>
        <w:pict>
          <v:shape id="_x0000_s1304" o:spid="_x0000_s1304" style="position:absolute;left:0pt;margin-left:21.8pt;margin-top:3.95pt;height:0.75pt;width:352.25pt;z-index:251943936;mso-width-relative:page;mso-height-relative:page;" fillcolor="#000000" filled="t" stroked="f" coordsize="7045,15" path="m0,15l7044,15,7044,0,0,0,0,15xe">
            <v:path/>
            <v:fill on="t" focussize="0,0"/>
            <v:stroke on="f"/>
            <v:imagedata o:title=""/>
            <o:lock v:ext="edit"/>
          </v:shape>
        </w:pict>
      </w:r>
    </w:p>
    <w:p w14:paraId="50204629">
      <w:pPr>
        <w:spacing w:before="68" w:line="106" w:lineRule="exact"/>
        <w:ind w:left="7509"/>
        <w:rPr>
          <w:rFonts w:ascii="宋体" w:hAnsi="宋体" w:eastAsia="宋体" w:cs="宋体"/>
          <w:sz w:val="21"/>
          <w:szCs w:val="21"/>
        </w:rPr>
      </w:pPr>
      <w:r>
        <w:pict>
          <v:shape id="_x0000_s1305" o:spid="_x0000_s1305" style="position:absolute;left:0pt;margin-left:21.8pt;margin-top:7.15pt;height:0.75pt;width:352.25pt;z-index:251944960;mso-width-relative:page;mso-height-relative:page;" fillcolor="#000000" filled="t" stroked="f" coordsize="7045,15" path="m0,15l7044,15,7044,0,0,0,0,15xe">
            <v:path/>
            <v:fill on="t" focussize="0,0"/>
            <v:stroke on="f"/>
            <v:imagedata o:title=""/>
            <o:lock v:ext="edit"/>
          </v:shape>
        </w:pict>
      </w:r>
      <w:r>
        <w:rPr>
          <w:rFonts w:ascii="宋体" w:hAnsi="宋体" w:eastAsia="宋体" w:cs="宋体"/>
          <w:position w:val="1"/>
          <w:sz w:val="21"/>
          <w:szCs w:val="21"/>
        </w:rPr>
        <w:t>。</w:t>
      </w:r>
    </w:p>
    <w:p w14:paraId="3AF67746">
      <w:pPr>
        <w:spacing w:line="106" w:lineRule="exact"/>
        <w:rPr>
          <w:rFonts w:ascii="宋体" w:hAnsi="宋体" w:eastAsia="宋体" w:cs="宋体"/>
          <w:sz w:val="21"/>
          <w:szCs w:val="21"/>
        </w:rPr>
        <w:sectPr>
          <w:footerReference r:id="rId293" w:type="default"/>
          <w:pgSz w:w="11910" w:h="16845"/>
          <w:pgMar w:top="400" w:right="1786" w:bottom="1110" w:left="1786" w:header="0" w:footer="883" w:gutter="0"/>
          <w:cols w:space="720" w:num="1"/>
        </w:sectPr>
      </w:pPr>
    </w:p>
    <w:p w14:paraId="1BDED0B1">
      <w:pPr>
        <w:pStyle w:val="2"/>
        <w:spacing w:line="270" w:lineRule="auto"/>
      </w:pPr>
    </w:p>
    <w:p w14:paraId="27D534E8">
      <w:pPr>
        <w:pStyle w:val="2"/>
        <w:spacing w:line="270" w:lineRule="auto"/>
      </w:pPr>
    </w:p>
    <w:p w14:paraId="4896D20C">
      <w:pPr>
        <w:pStyle w:val="2"/>
        <w:spacing w:line="270" w:lineRule="auto"/>
      </w:pPr>
    </w:p>
    <w:p w14:paraId="5922889D">
      <w:pPr>
        <w:pStyle w:val="2"/>
        <w:spacing w:line="271" w:lineRule="auto"/>
      </w:pPr>
    </w:p>
    <w:p w14:paraId="0CC1EFCB">
      <w:pPr>
        <w:pStyle w:val="2"/>
        <w:spacing w:line="271" w:lineRule="auto"/>
      </w:pPr>
    </w:p>
    <w:p w14:paraId="0004578B">
      <w:pPr>
        <w:spacing w:before="101" w:line="221" w:lineRule="auto"/>
        <w:ind w:left="28"/>
        <w:outlineLvl w:val="1"/>
        <w:rPr>
          <w:rFonts w:ascii="黑体" w:hAnsi="黑体" w:eastAsia="黑体" w:cs="黑体"/>
          <w:sz w:val="31"/>
          <w:szCs w:val="31"/>
        </w:rPr>
      </w:pPr>
      <w:bookmarkStart w:id="615" w:name="bookmark568"/>
      <w:bookmarkEnd w:id="615"/>
      <w:r>
        <w:rPr>
          <w:rFonts w:ascii="黑体" w:hAnsi="黑体" w:eastAsia="黑体" w:cs="黑体"/>
          <w:b/>
          <w:bCs/>
          <w:spacing w:val="9"/>
          <w:sz w:val="31"/>
          <w:szCs w:val="31"/>
        </w:rPr>
        <w:t>第三节</w:t>
      </w:r>
      <w:r>
        <w:rPr>
          <w:rFonts w:ascii="黑体" w:hAnsi="黑体" w:eastAsia="黑体" w:cs="黑体"/>
          <w:spacing w:val="9"/>
          <w:sz w:val="31"/>
          <w:szCs w:val="31"/>
        </w:rPr>
        <w:t xml:space="preserve"> </w:t>
      </w:r>
      <w:r>
        <w:rPr>
          <w:rFonts w:ascii="黑体" w:hAnsi="黑体" w:eastAsia="黑体" w:cs="黑体"/>
          <w:b/>
          <w:bCs/>
          <w:spacing w:val="9"/>
          <w:sz w:val="31"/>
          <w:szCs w:val="31"/>
        </w:rPr>
        <w:t>适用的国家、行业以及地方规范、标准和规程</w:t>
      </w:r>
    </w:p>
    <w:p w14:paraId="37203314">
      <w:pPr>
        <w:pStyle w:val="2"/>
        <w:spacing w:line="412" w:lineRule="auto"/>
      </w:pPr>
    </w:p>
    <w:p w14:paraId="190B71BC">
      <w:pPr>
        <w:spacing w:before="68" w:line="359" w:lineRule="auto"/>
        <w:ind w:left="44" w:firstLine="402"/>
        <w:rPr>
          <w:rFonts w:ascii="宋体" w:hAnsi="宋体" w:eastAsia="宋体" w:cs="宋体"/>
          <w:sz w:val="21"/>
          <w:szCs w:val="21"/>
        </w:rPr>
      </w:pPr>
      <w:r>
        <w:rPr>
          <w:rFonts w:ascii="宋体" w:hAnsi="宋体" w:eastAsia="宋体" w:cs="宋体"/>
          <w:spacing w:val="-2"/>
          <w:sz w:val="21"/>
          <w:szCs w:val="21"/>
        </w:rPr>
        <w:t>说明：本节内容只需列出规范、标准、规程等的名称、编号等内容。本节由招标人根据国家、行业和地方现行标准、规范和规程等，以及项目具体情况摘录。</w:t>
      </w:r>
    </w:p>
    <w:p w14:paraId="0BD20E10">
      <w:pPr>
        <w:spacing w:line="359" w:lineRule="auto"/>
        <w:rPr>
          <w:rFonts w:ascii="宋体" w:hAnsi="宋体" w:eastAsia="宋体" w:cs="宋体"/>
          <w:sz w:val="21"/>
          <w:szCs w:val="21"/>
        </w:rPr>
        <w:sectPr>
          <w:footerReference r:id="rId294" w:type="default"/>
          <w:pgSz w:w="11910" w:h="16845"/>
          <w:pgMar w:top="400" w:right="1766" w:bottom="1110" w:left="1786" w:header="0" w:footer="883" w:gutter="0"/>
          <w:cols w:space="720" w:num="1"/>
        </w:sectPr>
      </w:pPr>
    </w:p>
    <w:p w14:paraId="2C8182C6">
      <w:pPr>
        <w:pStyle w:val="2"/>
        <w:spacing w:line="274" w:lineRule="auto"/>
      </w:pPr>
    </w:p>
    <w:p w14:paraId="13E59E9A">
      <w:pPr>
        <w:pStyle w:val="2"/>
        <w:spacing w:line="274" w:lineRule="auto"/>
      </w:pPr>
    </w:p>
    <w:p w14:paraId="7DE62A00">
      <w:pPr>
        <w:pStyle w:val="2"/>
        <w:spacing w:line="274" w:lineRule="auto"/>
      </w:pPr>
    </w:p>
    <w:p w14:paraId="6DDF98F1">
      <w:pPr>
        <w:pStyle w:val="2"/>
        <w:spacing w:line="275" w:lineRule="auto"/>
      </w:pPr>
    </w:p>
    <w:p w14:paraId="4DC82976">
      <w:pPr>
        <w:pStyle w:val="2"/>
        <w:spacing w:line="275" w:lineRule="auto"/>
      </w:pPr>
    </w:p>
    <w:p w14:paraId="235D3E86">
      <w:pPr>
        <w:spacing w:before="91" w:line="222" w:lineRule="auto"/>
        <w:ind w:left="42"/>
        <w:outlineLvl w:val="2"/>
        <w:rPr>
          <w:rFonts w:ascii="黑体" w:hAnsi="黑体" w:eastAsia="黑体" w:cs="黑体"/>
          <w:sz w:val="28"/>
          <w:szCs w:val="28"/>
        </w:rPr>
      </w:pPr>
      <w:bookmarkStart w:id="616" w:name="bookmark569"/>
      <w:bookmarkEnd w:id="616"/>
      <w:r>
        <w:rPr>
          <w:rFonts w:ascii="黑体" w:hAnsi="黑体" w:eastAsia="黑体" w:cs="黑体"/>
          <w:spacing w:val="-1"/>
          <w:sz w:val="28"/>
          <w:szCs w:val="28"/>
        </w:rPr>
        <w:t>附件</w:t>
      </w:r>
      <w:r>
        <w:rPr>
          <w:rFonts w:ascii="黑体" w:hAnsi="黑体" w:eastAsia="黑体" w:cs="黑体"/>
          <w:spacing w:val="-40"/>
          <w:sz w:val="28"/>
          <w:szCs w:val="28"/>
        </w:rPr>
        <w:t xml:space="preserve"> </w:t>
      </w:r>
      <w:r>
        <w:rPr>
          <w:rFonts w:ascii="Times New Roman" w:hAnsi="Times New Roman" w:eastAsia="Times New Roman" w:cs="Times New Roman"/>
          <w:spacing w:val="-1"/>
          <w:sz w:val="28"/>
          <w:szCs w:val="28"/>
        </w:rPr>
        <w:t>A</w:t>
      </w:r>
      <w:r>
        <w:rPr>
          <w:rFonts w:ascii="黑体" w:hAnsi="黑体" w:eastAsia="黑体" w:cs="黑体"/>
          <w:spacing w:val="-1"/>
          <w:sz w:val="28"/>
          <w:szCs w:val="28"/>
        </w:rPr>
        <w:t>：施工现场现状平面图</w:t>
      </w:r>
    </w:p>
    <w:p w14:paraId="69394EAA">
      <w:pPr>
        <w:pStyle w:val="2"/>
        <w:spacing w:line="437" w:lineRule="auto"/>
      </w:pPr>
    </w:p>
    <w:p w14:paraId="52FD6031">
      <w:pPr>
        <w:spacing w:before="68" w:line="368" w:lineRule="auto"/>
        <w:ind w:left="25" w:firstLine="422"/>
        <w:rPr>
          <w:rFonts w:ascii="宋体" w:hAnsi="宋体" w:eastAsia="宋体" w:cs="宋体"/>
          <w:sz w:val="21"/>
          <w:szCs w:val="21"/>
        </w:rPr>
      </w:pPr>
      <w:r>
        <w:rPr>
          <w:rFonts w:ascii="宋体" w:hAnsi="宋体" w:eastAsia="宋体" w:cs="宋体"/>
          <w:spacing w:val="-2"/>
          <w:sz w:val="21"/>
          <w:szCs w:val="21"/>
        </w:rPr>
        <w:t>说明：该图由招标人准备，并作为招标文件本章的组成内容</w:t>
      </w:r>
      <w:r>
        <w:rPr>
          <w:rFonts w:ascii="宋体" w:hAnsi="宋体" w:eastAsia="宋体" w:cs="宋体"/>
          <w:spacing w:val="-3"/>
          <w:sz w:val="21"/>
          <w:szCs w:val="21"/>
        </w:rPr>
        <w:t>提供给投标人。图中应当标</w:t>
      </w:r>
      <w:r>
        <w:rPr>
          <w:rFonts w:ascii="宋体" w:hAnsi="宋体" w:eastAsia="宋体" w:cs="宋体"/>
          <w:spacing w:val="-2"/>
          <w:sz w:val="21"/>
          <w:szCs w:val="21"/>
        </w:rPr>
        <w:t>示本章第一节第</w:t>
      </w:r>
      <w:r>
        <w:rPr>
          <w:rFonts w:ascii="宋体" w:hAnsi="宋体" w:eastAsia="宋体" w:cs="宋体"/>
          <w:spacing w:val="-13"/>
          <w:sz w:val="21"/>
          <w:szCs w:val="21"/>
        </w:rPr>
        <w:t xml:space="preserve"> </w:t>
      </w:r>
      <w:r>
        <w:rPr>
          <w:rFonts w:ascii="Times New Roman" w:hAnsi="Times New Roman" w:eastAsia="Times New Roman" w:cs="Times New Roman"/>
          <w:spacing w:val="-2"/>
          <w:sz w:val="21"/>
          <w:szCs w:val="21"/>
        </w:rPr>
        <w:t>1.2.1</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项规定的内容，并做必要的文字说明。</w:t>
      </w:r>
    </w:p>
    <w:p w14:paraId="3665E9DA">
      <w:pPr>
        <w:spacing w:line="368" w:lineRule="auto"/>
        <w:rPr>
          <w:rFonts w:ascii="宋体" w:hAnsi="宋体" w:eastAsia="宋体" w:cs="宋体"/>
          <w:sz w:val="21"/>
          <w:szCs w:val="21"/>
        </w:rPr>
        <w:sectPr>
          <w:footerReference r:id="rId295" w:type="default"/>
          <w:pgSz w:w="11910" w:h="16845"/>
          <w:pgMar w:top="400" w:right="1782" w:bottom="1110" w:left="1786" w:header="0" w:footer="883" w:gutter="0"/>
          <w:cols w:space="720" w:num="1"/>
        </w:sectPr>
      </w:pPr>
    </w:p>
    <w:p w14:paraId="13260112">
      <w:pPr>
        <w:pStyle w:val="2"/>
        <w:spacing w:line="243" w:lineRule="auto"/>
      </w:pPr>
    </w:p>
    <w:p w14:paraId="0F9FE518">
      <w:pPr>
        <w:pStyle w:val="2"/>
        <w:spacing w:line="243" w:lineRule="auto"/>
      </w:pPr>
    </w:p>
    <w:p w14:paraId="210DA430">
      <w:pPr>
        <w:pStyle w:val="2"/>
        <w:spacing w:line="243" w:lineRule="auto"/>
      </w:pPr>
    </w:p>
    <w:p w14:paraId="3A002EB0">
      <w:pPr>
        <w:pStyle w:val="2"/>
        <w:spacing w:line="243" w:lineRule="auto"/>
      </w:pPr>
    </w:p>
    <w:p w14:paraId="2C1BD849">
      <w:pPr>
        <w:pStyle w:val="2"/>
        <w:spacing w:line="243" w:lineRule="auto"/>
      </w:pPr>
    </w:p>
    <w:p w14:paraId="3AD65D38">
      <w:pPr>
        <w:pStyle w:val="2"/>
        <w:spacing w:line="243" w:lineRule="auto"/>
      </w:pPr>
    </w:p>
    <w:p w14:paraId="67203544">
      <w:pPr>
        <w:pStyle w:val="2"/>
        <w:spacing w:line="244" w:lineRule="auto"/>
      </w:pPr>
    </w:p>
    <w:p w14:paraId="009F43EC">
      <w:pPr>
        <w:spacing w:before="140" w:line="222" w:lineRule="auto"/>
        <w:ind w:left="3517"/>
        <w:outlineLvl w:val="0"/>
        <w:rPr>
          <w:rFonts w:ascii="宋体" w:hAnsi="宋体" w:eastAsia="宋体" w:cs="宋体"/>
          <w:sz w:val="43"/>
          <w:szCs w:val="43"/>
        </w:rPr>
      </w:pPr>
      <w:bookmarkStart w:id="617" w:name="bookmark570"/>
      <w:bookmarkEnd w:id="617"/>
      <w:r>
        <w:rPr>
          <w:rFonts w:ascii="宋体" w:hAnsi="宋体" w:eastAsia="宋体" w:cs="宋体"/>
          <w:b/>
          <w:bCs/>
          <w:spacing w:val="5"/>
          <w:sz w:val="43"/>
          <w:szCs w:val="43"/>
        </w:rPr>
        <w:t>第四卷</w:t>
      </w:r>
    </w:p>
    <w:p w14:paraId="36283967">
      <w:pPr>
        <w:spacing w:line="222" w:lineRule="auto"/>
        <w:rPr>
          <w:rFonts w:ascii="宋体" w:hAnsi="宋体" w:eastAsia="宋体" w:cs="宋体"/>
          <w:sz w:val="43"/>
          <w:szCs w:val="43"/>
        </w:rPr>
        <w:sectPr>
          <w:footerReference r:id="rId296" w:type="default"/>
          <w:pgSz w:w="11910" w:h="16845"/>
          <w:pgMar w:top="400" w:right="1786" w:bottom="1110" w:left="1786" w:header="0" w:footer="883" w:gutter="0"/>
          <w:cols w:space="720" w:num="1"/>
        </w:sectPr>
      </w:pPr>
    </w:p>
    <w:p w14:paraId="0B4A5947">
      <w:pPr>
        <w:pStyle w:val="2"/>
        <w:spacing w:line="258" w:lineRule="auto"/>
      </w:pPr>
    </w:p>
    <w:p w14:paraId="74837A8D">
      <w:pPr>
        <w:pStyle w:val="2"/>
        <w:spacing w:line="258" w:lineRule="auto"/>
      </w:pPr>
    </w:p>
    <w:p w14:paraId="023D690C">
      <w:pPr>
        <w:pStyle w:val="2"/>
        <w:spacing w:line="258" w:lineRule="auto"/>
      </w:pPr>
    </w:p>
    <w:p w14:paraId="0658A4F0">
      <w:pPr>
        <w:pStyle w:val="2"/>
        <w:spacing w:line="258" w:lineRule="auto"/>
      </w:pPr>
    </w:p>
    <w:p w14:paraId="6921064A">
      <w:pPr>
        <w:pStyle w:val="2"/>
        <w:spacing w:line="258" w:lineRule="auto"/>
      </w:pPr>
    </w:p>
    <w:p w14:paraId="634D2489">
      <w:pPr>
        <w:pStyle w:val="2"/>
        <w:spacing w:line="258" w:lineRule="auto"/>
      </w:pPr>
    </w:p>
    <w:p w14:paraId="6177395A">
      <w:pPr>
        <w:pStyle w:val="2"/>
        <w:spacing w:line="259" w:lineRule="auto"/>
      </w:pPr>
    </w:p>
    <w:p w14:paraId="6CB2DF3A">
      <w:pPr>
        <w:spacing w:before="140" w:line="221" w:lineRule="auto"/>
        <w:ind w:left="2060"/>
        <w:outlineLvl w:val="0"/>
        <w:rPr>
          <w:rFonts w:ascii="宋体" w:hAnsi="宋体" w:eastAsia="宋体" w:cs="宋体"/>
          <w:sz w:val="43"/>
          <w:szCs w:val="43"/>
        </w:rPr>
      </w:pPr>
      <w:bookmarkStart w:id="618" w:name="bookmark571"/>
      <w:bookmarkEnd w:id="618"/>
      <w:r>
        <w:rPr>
          <w:rFonts w:ascii="宋体" w:hAnsi="宋体" w:eastAsia="宋体" w:cs="宋体"/>
          <w:b/>
          <w:bCs/>
          <w:spacing w:val="9"/>
          <w:sz w:val="43"/>
          <w:szCs w:val="43"/>
        </w:rPr>
        <w:t>第八章</w:t>
      </w:r>
      <w:r>
        <w:rPr>
          <w:rFonts w:ascii="宋体" w:hAnsi="宋体" w:eastAsia="宋体" w:cs="宋体"/>
          <w:spacing w:val="9"/>
          <w:sz w:val="43"/>
          <w:szCs w:val="43"/>
        </w:rPr>
        <w:t xml:space="preserve"> </w:t>
      </w:r>
      <w:r>
        <w:rPr>
          <w:rFonts w:ascii="宋体" w:hAnsi="宋体" w:eastAsia="宋体" w:cs="宋体"/>
          <w:b/>
          <w:bCs/>
          <w:spacing w:val="9"/>
          <w:sz w:val="43"/>
          <w:szCs w:val="43"/>
        </w:rPr>
        <w:t>投标文件格式</w:t>
      </w:r>
    </w:p>
    <w:p w14:paraId="75F1A178">
      <w:pPr>
        <w:spacing w:line="221" w:lineRule="auto"/>
        <w:rPr>
          <w:rFonts w:ascii="宋体" w:hAnsi="宋体" w:eastAsia="宋体" w:cs="宋体"/>
          <w:sz w:val="43"/>
          <w:szCs w:val="43"/>
        </w:rPr>
        <w:sectPr>
          <w:footerReference r:id="rId297" w:type="default"/>
          <w:pgSz w:w="11910" w:h="16845"/>
          <w:pgMar w:top="400" w:right="1786" w:bottom="1110" w:left="1786" w:header="0" w:footer="883" w:gutter="0"/>
          <w:cols w:space="720" w:num="1"/>
        </w:sectPr>
      </w:pPr>
    </w:p>
    <w:p w14:paraId="2D8E6564">
      <w:pPr>
        <w:pStyle w:val="2"/>
        <w:spacing w:line="249" w:lineRule="auto"/>
      </w:pPr>
    </w:p>
    <w:p w14:paraId="69BA78BB">
      <w:pPr>
        <w:pStyle w:val="2"/>
        <w:spacing w:line="249" w:lineRule="auto"/>
      </w:pPr>
    </w:p>
    <w:p w14:paraId="5B23481C">
      <w:pPr>
        <w:pStyle w:val="2"/>
        <w:spacing w:line="250" w:lineRule="auto"/>
      </w:pPr>
    </w:p>
    <w:p w14:paraId="4A83C907">
      <w:pPr>
        <w:pStyle w:val="2"/>
        <w:spacing w:line="250" w:lineRule="auto"/>
      </w:pPr>
    </w:p>
    <w:p w14:paraId="1D3A9C7B">
      <w:pPr>
        <w:pStyle w:val="2"/>
        <w:spacing w:line="250" w:lineRule="auto"/>
      </w:pPr>
    </w:p>
    <w:p w14:paraId="5A3EFA6F">
      <w:pPr>
        <w:pStyle w:val="2"/>
        <w:spacing w:line="250" w:lineRule="auto"/>
      </w:pPr>
    </w:p>
    <w:p w14:paraId="35DBFFA1">
      <w:pPr>
        <w:pStyle w:val="2"/>
        <w:spacing w:line="250" w:lineRule="auto"/>
      </w:pPr>
    </w:p>
    <w:p w14:paraId="083D5856">
      <w:pPr>
        <w:pStyle w:val="2"/>
        <w:spacing w:line="250" w:lineRule="auto"/>
      </w:pPr>
    </w:p>
    <w:p w14:paraId="3EB6C8D3">
      <w:pPr>
        <w:spacing w:before="91" w:line="224" w:lineRule="auto"/>
        <w:ind w:left="2065"/>
        <w:rPr>
          <w:rFonts w:ascii="宋体" w:hAnsi="宋体" w:eastAsia="宋体" w:cs="宋体"/>
          <w:sz w:val="28"/>
          <w:szCs w:val="28"/>
        </w:rPr>
      </w:pPr>
      <w:r>
        <w:rPr>
          <w:rFonts w:ascii="宋体" w:hAnsi="宋体" w:eastAsia="宋体" w:cs="宋体"/>
          <w:spacing w:val="2"/>
          <w:sz w:val="28"/>
          <w:szCs w:val="28"/>
        </w:rPr>
        <w:t>（项目名称）      (标段名称)施工招标</w:t>
      </w:r>
    </w:p>
    <w:p w14:paraId="29CE4A45">
      <w:pPr>
        <w:pStyle w:val="2"/>
        <w:spacing w:line="242" w:lineRule="auto"/>
      </w:pPr>
    </w:p>
    <w:p w14:paraId="42CFD41D">
      <w:pPr>
        <w:pStyle w:val="2"/>
        <w:spacing w:line="242" w:lineRule="auto"/>
      </w:pPr>
    </w:p>
    <w:p w14:paraId="6ACC8A6A">
      <w:pPr>
        <w:pStyle w:val="2"/>
        <w:spacing w:line="242" w:lineRule="auto"/>
      </w:pPr>
    </w:p>
    <w:p w14:paraId="2C372A0D">
      <w:pPr>
        <w:pStyle w:val="2"/>
        <w:spacing w:line="242" w:lineRule="auto"/>
      </w:pPr>
    </w:p>
    <w:p w14:paraId="1818A155">
      <w:pPr>
        <w:pStyle w:val="2"/>
        <w:spacing w:line="243" w:lineRule="auto"/>
      </w:pPr>
    </w:p>
    <w:p w14:paraId="5E1D7FED">
      <w:pPr>
        <w:pStyle w:val="2"/>
        <w:spacing w:line="243" w:lineRule="auto"/>
      </w:pPr>
    </w:p>
    <w:p w14:paraId="5AFCD79B">
      <w:pPr>
        <w:spacing w:before="140" w:line="222" w:lineRule="auto"/>
        <w:ind w:left="2200"/>
        <w:rPr>
          <w:rFonts w:ascii="宋体" w:hAnsi="宋体" w:eastAsia="宋体" w:cs="宋体"/>
          <w:sz w:val="43"/>
          <w:szCs w:val="43"/>
        </w:rPr>
      </w:pPr>
      <w:r>
        <w:rPr>
          <w:rFonts w:ascii="宋体" w:hAnsi="宋体" w:eastAsia="宋体" w:cs="宋体"/>
          <w:spacing w:val="-12"/>
          <w:sz w:val="43"/>
          <w:szCs w:val="43"/>
        </w:rPr>
        <w:t>投</w:t>
      </w:r>
      <w:r>
        <w:rPr>
          <w:rFonts w:ascii="宋体" w:hAnsi="宋体" w:eastAsia="宋体" w:cs="宋体"/>
          <w:spacing w:val="12"/>
          <w:sz w:val="43"/>
          <w:szCs w:val="43"/>
        </w:rPr>
        <w:t xml:space="preserve">   </w:t>
      </w:r>
      <w:r>
        <w:rPr>
          <w:rFonts w:ascii="宋体" w:hAnsi="宋体" w:eastAsia="宋体" w:cs="宋体"/>
          <w:spacing w:val="-12"/>
          <w:sz w:val="43"/>
          <w:szCs w:val="43"/>
        </w:rPr>
        <w:t>标</w:t>
      </w:r>
      <w:r>
        <w:rPr>
          <w:rFonts w:ascii="宋体" w:hAnsi="宋体" w:eastAsia="宋体" w:cs="宋体"/>
          <w:spacing w:val="17"/>
          <w:sz w:val="43"/>
          <w:szCs w:val="43"/>
        </w:rPr>
        <w:t xml:space="preserve">   </w:t>
      </w:r>
      <w:r>
        <w:rPr>
          <w:rFonts w:ascii="宋体" w:hAnsi="宋体" w:eastAsia="宋体" w:cs="宋体"/>
          <w:spacing w:val="-12"/>
          <w:sz w:val="43"/>
          <w:szCs w:val="43"/>
        </w:rPr>
        <w:t>文</w:t>
      </w:r>
      <w:r>
        <w:rPr>
          <w:rFonts w:ascii="宋体" w:hAnsi="宋体" w:eastAsia="宋体" w:cs="宋体"/>
          <w:spacing w:val="10"/>
          <w:sz w:val="43"/>
          <w:szCs w:val="43"/>
        </w:rPr>
        <w:t xml:space="preserve">   </w:t>
      </w:r>
      <w:r>
        <w:rPr>
          <w:rFonts w:ascii="宋体" w:hAnsi="宋体" w:eastAsia="宋体" w:cs="宋体"/>
          <w:spacing w:val="-12"/>
          <w:sz w:val="43"/>
          <w:szCs w:val="43"/>
        </w:rPr>
        <w:t>件</w:t>
      </w:r>
    </w:p>
    <w:p w14:paraId="05A388CF">
      <w:pPr>
        <w:pStyle w:val="2"/>
        <w:spacing w:line="261" w:lineRule="auto"/>
      </w:pPr>
    </w:p>
    <w:p w14:paraId="013A29E7">
      <w:pPr>
        <w:pStyle w:val="2"/>
        <w:spacing w:line="261" w:lineRule="auto"/>
      </w:pPr>
    </w:p>
    <w:p w14:paraId="45DBFA97">
      <w:pPr>
        <w:pStyle w:val="2"/>
        <w:spacing w:line="261" w:lineRule="auto"/>
      </w:pPr>
    </w:p>
    <w:p w14:paraId="2CE3AF90">
      <w:pPr>
        <w:pStyle w:val="2"/>
        <w:spacing w:line="261" w:lineRule="auto"/>
      </w:pPr>
    </w:p>
    <w:p w14:paraId="43F06BA2">
      <w:pPr>
        <w:pStyle w:val="2"/>
        <w:spacing w:line="262" w:lineRule="auto"/>
      </w:pPr>
    </w:p>
    <w:p w14:paraId="3C90A76D">
      <w:pPr>
        <w:spacing w:before="78" w:line="219" w:lineRule="auto"/>
        <w:ind w:left="3632"/>
        <w:rPr>
          <w:rFonts w:ascii="宋体" w:hAnsi="宋体" w:eastAsia="宋体" w:cs="宋体"/>
          <w:sz w:val="24"/>
          <w:szCs w:val="24"/>
        </w:rPr>
      </w:pPr>
      <w:r>
        <w:rPr>
          <w:rFonts w:ascii="宋体" w:hAnsi="宋体" w:eastAsia="宋体" w:cs="宋体"/>
          <w:spacing w:val="-3"/>
          <w:sz w:val="24"/>
          <w:szCs w:val="24"/>
        </w:rPr>
        <w:t>投标人</w:t>
      </w:r>
      <w:r>
        <w:rPr>
          <w:rFonts w:ascii="宋体" w:hAnsi="宋体" w:eastAsia="宋体" w:cs="宋体"/>
          <w:sz w:val="24"/>
          <w:szCs w:val="24"/>
        </w:rPr>
        <w:t>：      （</w:t>
      </w:r>
      <w:r>
        <w:rPr>
          <w:rFonts w:ascii="宋体" w:hAnsi="宋体" w:eastAsia="宋体" w:cs="宋体"/>
          <w:spacing w:val="-3"/>
          <w:sz w:val="24"/>
          <w:szCs w:val="24"/>
        </w:rPr>
        <w:t>盖单位章）</w:t>
      </w:r>
    </w:p>
    <w:p w14:paraId="04800717">
      <w:pPr>
        <w:spacing w:before="270" w:line="220" w:lineRule="auto"/>
        <w:ind w:left="3630"/>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24"/>
          <w:sz w:val="24"/>
          <w:szCs w:val="24"/>
        </w:rPr>
        <w:t xml:space="preserve">     </w:t>
      </w:r>
      <w:r>
        <w:rPr>
          <w:rFonts w:ascii="宋体" w:hAnsi="宋体" w:eastAsia="宋体" w:cs="宋体"/>
          <w:spacing w:val="-2"/>
          <w:sz w:val="24"/>
          <w:szCs w:val="24"/>
        </w:rPr>
        <w:t>（签字）</w:t>
      </w:r>
    </w:p>
    <w:p w14:paraId="706D1853">
      <w:pPr>
        <w:spacing w:before="270" w:line="220" w:lineRule="auto"/>
        <w:ind w:left="3671"/>
        <w:rPr>
          <w:rFonts w:ascii="宋体" w:hAnsi="宋体" w:eastAsia="宋体" w:cs="宋体"/>
          <w:sz w:val="24"/>
          <w:szCs w:val="24"/>
        </w:rPr>
      </w:pPr>
      <w:r>
        <w:rPr>
          <w:rFonts w:ascii="宋体" w:hAnsi="宋体" w:eastAsia="宋体" w:cs="宋体"/>
          <w:spacing w:val="-29"/>
          <w:sz w:val="24"/>
          <w:szCs w:val="24"/>
        </w:rPr>
        <w:t>日</w:t>
      </w:r>
      <w:r>
        <w:rPr>
          <w:rFonts w:ascii="宋体" w:hAnsi="宋体" w:eastAsia="宋体" w:cs="宋体"/>
          <w:spacing w:val="7"/>
          <w:sz w:val="24"/>
          <w:szCs w:val="24"/>
        </w:rPr>
        <w:t xml:space="preserve">  </w:t>
      </w:r>
      <w:r>
        <w:rPr>
          <w:rFonts w:ascii="宋体" w:hAnsi="宋体" w:eastAsia="宋体" w:cs="宋体"/>
          <w:spacing w:val="-29"/>
          <w:sz w:val="24"/>
          <w:szCs w:val="24"/>
        </w:rPr>
        <w:t>期：</w:t>
      </w:r>
    </w:p>
    <w:p w14:paraId="6F5D1F0E">
      <w:pPr>
        <w:spacing w:line="220" w:lineRule="auto"/>
        <w:rPr>
          <w:rFonts w:ascii="宋体" w:hAnsi="宋体" w:eastAsia="宋体" w:cs="宋体"/>
          <w:sz w:val="24"/>
          <w:szCs w:val="24"/>
        </w:rPr>
        <w:sectPr>
          <w:footerReference r:id="rId298" w:type="default"/>
          <w:pgSz w:w="11910" w:h="16845"/>
          <w:pgMar w:top="400" w:right="1786" w:bottom="1110" w:left="1786" w:header="0" w:footer="883" w:gutter="0"/>
          <w:cols w:space="720" w:num="1"/>
        </w:sectPr>
      </w:pPr>
    </w:p>
    <w:p w14:paraId="1A9F61AF">
      <w:pPr>
        <w:pStyle w:val="2"/>
        <w:spacing w:line="251" w:lineRule="auto"/>
      </w:pPr>
    </w:p>
    <w:p w14:paraId="46FC7A89">
      <w:pPr>
        <w:pStyle w:val="2"/>
        <w:spacing w:line="252" w:lineRule="auto"/>
      </w:pPr>
    </w:p>
    <w:p w14:paraId="62384B4B">
      <w:pPr>
        <w:pStyle w:val="2"/>
        <w:spacing w:line="252" w:lineRule="auto"/>
      </w:pPr>
    </w:p>
    <w:p w14:paraId="4CFA513E">
      <w:pPr>
        <w:pStyle w:val="2"/>
        <w:spacing w:line="252" w:lineRule="auto"/>
      </w:pPr>
    </w:p>
    <w:p w14:paraId="4195AA60">
      <w:pPr>
        <w:spacing w:before="130" w:line="221" w:lineRule="auto"/>
        <w:ind w:left="3416"/>
        <w:rPr>
          <w:rFonts w:ascii="黑体" w:hAnsi="黑体" w:eastAsia="黑体" w:cs="黑体"/>
          <w:sz w:val="40"/>
          <w:szCs w:val="40"/>
        </w:rPr>
      </w:pPr>
      <w:r>
        <w:rPr>
          <w:rFonts w:ascii="黑体" w:hAnsi="黑体" w:eastAsia="黑体" w:cs="黑体"/>
          <w:spacing w:val="-31"/>
          <w:sz w:val="40"/>
          <w:szCs w:val="40"/>
        </w:rPr>
        <w:t>目</w:t>
      </w:r>
      <w:r>
        <w:rPr>
          <w:rFonts w:ascii="黑体" w:hAnsi="黑体" w:eastAsia="黑体" w:cs="黑体"/>
          <w:spacing w:val="7"/>
          <w:sz w:val="40"/>
          <w:szCs w:val="40"/>
        </w:rPr>
        <w:t xml:space="preserve">    </w:t>
      </w:r>
      <w:r>
        <w:rPr>
          <w:rFonts w:ascii="黑体" w:hAnsi="黑体" w:eastAsia="黑体" w:cs="黑体"/>
          <w:spacing w:val="-31"/>
          <w:sz w:val="40"/>
          <w:szCs w:val="40"/>
        </w:rPr>
        <w:t>录</w:t>
      </w:r>
    </w:p>
    <w:p w14:paraId="72126E07">
      <w:pPr>
        <w:pStyle w:val="2"/>
        <w:spacing w:line="392" w:lineRule="auto"/>
      </w:pPr>
    </w:p>
    <w:p w14:paraId="7613A822">
      <w:pPr>
        <w:spacing w:before="78" w:line="219" w:lineRule="auto"/>
        <w:ind w:left="29"/>
        <w:rPr>
          <w:rFonts w:ascii="宋体" w:hAnsi="宋体" w:eastAsia="宋体" w:cs="宋体"/>
          <w:sz w:val="24"/>
          <w:szCs w:val="24"/>
        </w:rPr>
      </w:pPr>
      <w:r>
        <w:rPr>
          <w:rFonts w:ascii="宋体" w:hAnsi="宋体" w:eastAsia="宋体" w:cs="宋体"/>
          <w:spacing w:val="-2"/>
          <w:sz w:val="24"/>
          <w:szCs w:val="24"/>
        </w:rPr>
        <w:t>一、投标函及投标函附录</w:t>
      </w:r>
    </w:p>
    <w:p w14:paraId="7BFD380D">
      <w:pPr>
        <w:spacing w:before="270" w:line="220" w:lineRule="auto"/>
        <w:ind w:left="29"/>
        <w:rPr>
          <w:rFonts w:ascii="宋体" w:hAnsi="宋体" w:eastAsia="宋体" w:cs="宋体"/>
          <w:sz w:val="24"/>
          <w:szCs w:val="24"/>
        </w:rPr>
      </w:pPr>
      <w:r>
        <w:rPr>
          <w:rFonts w:ascii="宋体" w:hAnsi="宋体" w:eastAsia="宋体" w:cs="宋体"/>
          <w:spacing w:val="-1"/>
          <w:sz w:val="24"/>
          <w:szCs w:val="24"/>
        </w:rPr>
        <w:t>二、法定代表人身份证明</w:t>
      </w:r>
    </w:p>
    <w:sdt>
      <w:sdtPr>
        <w:rPr>
          <w:rFonts w:ascii="Arial" w:hAnsi="Arial" w:eastAsia="Arial" w:cs="Arial"/>
          <w:sz w:val="21"/>
          <w:szCs w:val="21"/>
        </w:rPr>
        <w:id w:val="147477975"/>
        <w:docPartObj>
          <w:docPartGallery w:val="Table of Contents"/>
          <w:docPartUnique/>
        </w:docPartObj>
      </w:sdtPr>
      <w:sdtEndPr>
        <w:rPr>
          <w:rFonts w:ascii="宋体" w:hAnsi="宋体" w:eastAsia="宋体" w:cs="宋体"/>
          <w:sz w:val="24"/>
          <w:szCs w:val="24"/>
        </w:rPr>
      </w:sdtEndPr>
      <w:sdtContent>
        <w:p w14:paraId="1F5FDDD0">
          <w:pPr>
            <w:spacing w:before="270" w:line="220" w:lineRule="auto"/>
            <w:ind w:left="25"/>
            <w:rPr>
              <w:rFonts w:ascii="宋体" w:hAnsi="宋体" w:eastAsia="宋体" w:cs="宋体"/>
              <w:sz w:val="24"/>
              <w:szCs w:val="24"/>
            </w:rPr>
          </w:pPr>
          <w:r>
            <w:rPr>
              <w:rFonts w:ascii="宋体" w:hAnsi="宋体" w:eastAsia="宋体" w:cs="宋体"/>
              <w:spacing w:val="-1"/>
              <w:sz w:val="24"/>
              <w:szCs w:val="24"/>
            </w:rPr>
            <w:t>三、投标保证金</w:t>
          </w:r>
        </w:p>
        <w:p w14:paraId="52A1ED06">
          <w:pPr>
            <w:spacing w:before="269" w:line="219" w:lineRule="auto"/>
            <w:ind w:left="47"/>
            <w:rPr>
              <w:rFonts w:ascii="宋体" w:hAnsi="宋体" w:eastAsia="宋体" w:cs="宋体"/>
              <w:sz w:val="24"/>
              <w:szCs w:val="24"/>
            </w:rPr>
          </w:pPr>
          <w:r>
            <w:rPr>
              <w:rFonts w:ascii="宋体" w:hAnsi="宋体" w:eastAsia="宋体" w:cs="宋体"/>
              <w:spacing w:val="-4"/>
              <w:sz w:val="24"/>
              <w:szCs w:val="24"/>
            </w:rPr>
            <w:t>四、联合体协议书（如有）</w:t>
          </w:r>
        </w:p>
        <w:p w14:paraId="7D0C10E1">
          <w:pPr>
            <w:spacing w:before="256" w:line="219" w:lineRule="auto"/>
            <w:ind w:left="29"/>
            <w:rPr>
              <w:rFonts w:ascii="宋体" w:hAnsi="宋体" w:eastAsia="宋体" w:cs="宋体"/>
              <w:sz w:val="24"/>
              <w:szCs w:val="24"/>
            </w:rPr>
          </w:pPr>
          <w:r>
            <w:rPr>
              <w:rFonts w:ascii="宋体" w:hAnsi="宋体" w:eastAsia="宋体" w:cs="宋体"/>
              <w:spacing w:val="-2"/>
              <w:sz w:val="24"/>
              <w:szCs w:val="24"/>
            </w:rPr>
            <w:t>五、拟分包计划表</w:t>
          </w:r>
        </w:p>
        <w:p w14:paraId="1812225B">
          <w:pPr>
            <w:spacing w:before="271" w:line="219" w:lineRule="auto"/>
            <w:ind w:left="29"/>
            <w:rPr>
              <w:rFonts w:ascii="宋体" w:hAnsi="宋体" w:eastAsia="宋体" w:cs="宋体"/>
              <w:sz w:val="24"/>
              <w:szCs w:val="24"/>
            </w:rPr>
          </w:pPr>
          <w:r>
            <w:rPr>
              <w:rFonts w:ascii="宋体" w:hAnsi="宋体" w:eastAsia="宋体" w:cs="宋体"/>
              <w:spacing w:val="-1"/>
              <w:sz w:val="24"/>
              <w:szCs w:val="24"/>
            </w:rPr>
            <w:t>五、分包意向协议书</w:t>
          </w:r>
        </w:p>
        <w:p w14:paraId="3269B929">
          <w:pPr>
            <w:spacing w:before="270" w:line="220" w:lineRule="auto"/>
            <w:ind w:left="27"/>
            <w:rPr>
              <w:rFonts w:ascii="宋体" w:hAnsi="宋体" w:eastAsia="宋体" w:cs="宋体"/>
              <w:sz w:val="24"/>
              <w:szCs w:val="24"/>
            </w:rPr>
          </w:pPr>
          <w:r>
            <w:rPr>
              <w:rFonts w:ascii="宋体" w:hAnsi="宋体" w:eastAsia="宋体" w:cs="宋体"/>
              <w:spacing w:val="-1"/>
              <w:sz w:val="24"/>
              <w:szCs w:val="24"/>
            </w:rPr>
            <w:t>六、中小企业声明函</w:t>
          </w:r>
        </w:p>
        <w:p w14:paraId="088CBD1A">
          <w:pPr>
            <w:spacing w:before="270" w:line="219" w:lineRule="auto"/>
            <w:ind w:left="24"/>
            <w:rPr>
              <w:rFonts w:ascii="宋体" w:hAnsi="宋体" w:eastAsia="宋体" w:cs="宋体"/>
              <w:sz w:val="24"/>
              <w:szCs w:val="24"/>
            </w:rPr>
          </w:pPr>
          <w:r>
            <w:rPr>
              <w:rFonts w:ascii="宋体" w:hAnsi="宋体" w:eastAsia="宋体" w:cs="宋体"/>
              <w:spacing w:val="-1"/>
              <w:sz w:val="24"/>
              <w:szCs w:val="24"/>
            </w:rPr>
            <w:t>七、项目管理机构</w:t>
          </w:r>
        </w:p>
        <w:p w14:paraId="69A3A2FB">
          <w:pPr>
            <w:spacing w:before="270" w:line="220" w:lineRule="auto"/>
            <w:ind w:left="29"/>
            <w:rPr>
              <w:rFonts w:ascii="宋体" w:hAnsi="宋体" w:eastAsia="宋体" w:cs="宋体"/>
              <w:sz w:val="24"/>
              <w:szCs w:val="24"/>
            </w:rPr>
          </w:pPr>
          <w:r>
            <w:rPr>
              <w:rFonts w:ascii="宋体" w:hAnsi="宋体" w:eastAsia="宋体" w:cs="宋体"/>
              <w:spacing w:val="-2"/>
              <w:sz w:val="24"/>
              <w:szCs w:val="24"/>
            </w:rPr>
            <w:t>八、资格审查资料</w:t>
          </w:r>
        </w:p>
        <w:p w14:paraId="1925A99F">
          <w:pPr>
            <w:spacing w:before="255" w:line="218" w:lineRule="auto"/>
            <w:ind w:left="31"/>
            <w:rPr>
              <w:rFonts w:ascii="宋体" w:hAnsi="宋体" w:eastAsia="宋体" w:cs="宋体"/>
              <w:sz w:val="24"/>
              <w:szCs w:val="24"/>
            </w:rPr>
          </w:pPr>
          <w:r>
            <w:rPr>
              <w:rFonts w:ascii="宋体" w:hAnsi="宋体" w:eastAsia="宋体" w:cs="宋体"/>
              <w:spacing w:val="-1"/>
              <w:sz w:val="24"/>
              <w:szCs w:val="24"/>
            </w:rPr>
            <w:t>九、已标价工程量清单</w:t>
          </w:r>
        </w:p>
        <w:p w14:paraId="440D2ADF">
          <w:pPr>
            <w:spacing w:before="272" w:line="221" w:lineRule="auto"/>
            <w:ind w:left="26"/>
            <w:rPr>
              <w:rFonts w:ascii="宋体" w:hAnsi="宋体" w:eastAsia="宋体" w:cs="宋体"/>
              <w:sz w:val="24"/>
              <w:szCs w:val="24"/>
            </w:rPr>
          </w:pPr>
          <w:r>
            <w:rPr>
              <w:rFonts w:ascii="宋体" w:hAnsi="宋体" w:eastAsia="宋体" w:cs="宋体"/>
              <w:spacing w:val="-2"/>
              <w:sz w:val="24"/>
              <w:szCs w:val="24"/>
            </w:rPr>
            <w:t>十、施工组织设计</w:t>
          </w:r>
        </w:p>
      </w:sdtContent>
    </w:sdt>
    <w:p w14:paraId="4E9555BE">
      <w:pPr>
        <w:spacing w:before="269" w:line="220" w:lineRule="auto"/>
        <w:ind w:left="26"/>
        <w:rPr>
          <w:rFonts w:ascii="宋体" w:hAnsi="宋体" w:eastAsia="宋体" w:cs="宋体"/>
          <w:sz w:val="24"/>
          <w:szCs w:val="24"/>
        </w:rPr>
      </w:pPr>
      <w:r>
        <w:rPr>
          <w:rFonts w:ascii="宋体" w:hAnsi="宋体" w:eastAsia="宋体" w:cs="宋体"/>
          <w:spacing w:val="-2"/>
          <w:sz w:val="24"/>
          <w:szCs w:val="24"/>
        </w:rPr>
        <w:t>十一、投标所需其他资料</w:t>
      </w:r>
    </w:p>
    <w:p w14:paraId="7E90EE7A">
      <w:pPr>
        <w:spacing w:line="220" w:lineRule="auto"/>
        <w:rPr>
          <w:rFonts w:ascii="宋体" w:hAnsi="宋体" w:eastAsia="宋体" w:cs="宋体"/>
          <w:sz w:val="24"/>
          <w:szCs w:val="24"/>
        </w:rPr>
        <w:sectPr>
          <w:footerReference r:id="rId299" w:type="default"/>
          <w:pgSz w:w="11910" w:h="16845"/>
          <w:pgMar w:top="400" w:right="1786" w:bottom="1110" w:left="1786" w:header="0" w:footer="883" w:gutter="0"/>
          <w:cols w:space="720" w:num="1"/>
        </w:sectPr>
      </w:pPr>
    </w:p>
    <w:p w14:paraId="199DBAC2">
      <w:pPr>
        <w:pStyle w:val="2"/>
        <w:spacing w:line="270" w:lineRule="auto"/>
      </w:pPr>
    </w:p>
    <w:p w14:paraId="550A50A8">
      <w:pPr>
        <w:pStyle w:val="2"/>
        <w:spacing w:line="271" w:lineRule="auto"/>
      </w:pPr>
    </w:p>
    <w:p w14:paraId="4FC9667F">
      <w:pPr>
        <w:pStyle w:val="2"/>
        <w:spacing w:line="271" w:lineRule="auto"/>
      </w:pPr>
    </w:p>
    <w:p w14:paraId="487E3314">
      <w:pPr>
        <w:pStyle w:val="2"/>
        <w:spacing w:line="271" w:lineRule="auto"/>
      </w:pPr>
    </w:p>
    <w:p w14:paraId="4B9EA483">
      <w:pPr>
        <w:spacing w:before="101" w:line="222" w:lineRule="auto"/>
        <w:ind w:left="33"/>
        <w:rPr>
          <w:rFonts w:ascii="黑体" w:hAnsi="黑体" w:eastAsia="黑体" w:cs="黑体"/>
          <w:sz w:val="31"/>
          <w:szCs w:val="31"/>
        </w:rPr>
      </w:pPr>
      <w:r>
        <w:rPr>
          <w:rFonts w:ascii="黑体" w:hAnsi="黑体" w:eastAsia="黑体" w:cs="黑体"/>
          <w:spacing w:val="10"/>
          <w:sz w:val="31"/>
          <w:szCs w:val="31"/>
        </w:rPr>
        <w:t>一、投标函及投标函附录</w:t>
      </w:r>
    </w:p>
    <w:p w14:paraId="7E54F052">
      <w:pPr>
        <w:pStyle w:val="2"/>
        <w:spacing w:line="261" w:lineRule="auto"/>
      </w:pPr>
    </w:p>
    <w:p w14:paraId="568F5060">
      <w:pPr>
        <w:pStyle w:val="2"/>
        <w:spacing w:line="261" w:lineRule="auto"/>
      </w:pPr>
    </w:p>
    <w:p w14:paraId="0165F214">
      <w:pPr>
        <w:pStyle w:val="2"/>
        <w:spacing w:line="261" w:lineRule="auto"/>
      </w:pPr>
    </w:p>
    <w:p w14:paraId="7CBABE8E">
      <w:pPr>
        <w:spacing w:before="100" w:line="222" w:lineRule="auto"/>
        <w:ind w:left="2391"/>
        <w:outlineLvl w:val="1"/>
        <w:rPr>
          <w:rFonts w:ascii="宋体" w:hAnsi="宋体" w:eastAsia="宋体" w:cs="宋体"/>
          <w:sz w:val="31"/>
          <w:szCs w:val="31"/>
        </w:rPr>
      </w:pPr>
      <w:bookmarkStart w:id="619" w:name="bookmark572"/>
      <w:bookmarkEnd w:id="619"/>
      <w:r>
        <w:rPr>
          <w:rFonts w:ascii="宋体" w:hAnsi="宋体" w:eastAsia="宋体" w:cs="宋体"/>
          <w:b/>
          <w:bCs/>
          <w:spacing w:val="8"/>
          <w:sz w:val="31"/>
          <w:szCs w:val="31"/>
        </w:rPr>
        <w:t>一、投标函及投标函附录</w:t>
      </w:r>
    </w:p>
    <w:p w14:paraId="53023EEA">
      <w:pPr>
        <w:pStyle w:val="2"/>
        <w:spacing w:line="468" w:lineRule="auto"/>
      </w:pPr>
    </w:p>
    <w:p w14:paraId="713E17B8">
      <w:pPr>
        <w:spacing w:before="100" w:line="224" w:lineRule="auto"/>
        <w:ind w:left="3208"/>
        <w:rPr>
          <w:rFonts w:ascii="宋体" w:hAnsi="宋体" w:eastAsia="宋体" w:cs="宋体"/>
          <w:sz w:val="31"/>
          <w:szCs w:val="31"/>
        </w:rPr>
      </w:pPr>
      <w:r>
        <w:rPr>
          <w:rFonts w:ascii="宋体" w:hAnsi="宋体" w:eastAsia="宋体" w:cs="宋体"/>
          <w:b/>
          <w:bCs/>
          <w:spacing w:val="5"/>
          <w:sz w:val="31"/>
          <w:szCs w:val="31"/>
        </w:rPr>
        <w:t>（一）投标函</w:t>
      </w:r>
    </w:p>
    <w:p w14:paraId="386221FA">
      <w:pPr>
        <w:pStyle w:val="2"/>
        <w:spacing w:line="435" w:lineRule="auto"/>
      </w:pPr>
    </w:p>
    <w:p w14:paraId="1A751568">
      <w:pPr>
        <w:spacing w:before="78" w:line="220" w:lineRule="auto"/>
        <w:ind w:left="752"/>
        <w:rPr>
          <w:rFonts w:ascii="宋体" w:hAnsi="宋体" w:eastAsia="宋体" w:cs="宋体"/>
          <w:sz w:val="24"/>
          <w:szCs w:val="24"/>
        </w:rPr>
      </w:pPr>
      <w:r>
        <w:rPr>
          <w:rFonts w:ascii="宋体" w:hAnsi="宋体" w:eastAsia="宋体" w:cs="宋体"/>
          <w:spacing w:val="-9"/>
          <w:sz w:val="24"/>
          <w:szCs w:val="24"/>
        </w:rPr>
        <w:t>（招标人名称</w:t>
      </w:r>
      <w:r>
        <w:rPr>
          <w:rFonts w:ascii="宋体" w:hAnsi="宋体" w:eastAsia="宋体" w:cs="宋体"/>
          <w:spacing w:val="-4"/>
          <w:sz w:val="24"/>
          <w:szCs w:val="24"/>
        </w:rPr>
        <w:t>）：</w:t>
      </w:r>
    </w:p>
    <w:p w14:paraId="4C99F267">
      <w:pPr>
        <w:spacing w:before="253"/>
        <w:ind w:left="26" w:right="15" w:firstLine="436"/>
        <w:rPr>
          <w:rFonts w:ascii="宋体" w:hAnsi="宋体" w:eastAsia="宋体" w:cs="宋体"/>
          <w:sz w:val="24"/>
          <w:szCs w:val="24"/>
        </w:rPr>
      </w:pPr>
      <w:r>
        <w:rPr>
          <w:rFonts w:ascii="宋体" w:hAnsi="宋体" w:eastAsia="宋体" w:cs="宋体"/>
          <w:sz w:val="24"/>
          <w:szCs w:val="24"/>
        </w:rPr>
        <w:t>1．我方已仔细研究了      （项目名称）</w:t>
      </w:r>
      <w:r>
        <w:rPr>
          <w:rFonts w:ascii="宋体" w:hAnsi="宋体" w:eastAsia="宋体" w:cs="宋体"/>
          <w:spacing w:val="-1"/>
          <w:sz w:val="24"/>
          <w:szCs w:val="24"/>
        </w:rPr>
        <w:t xml:space="preserve">      标段施工招标文件的全部</w:t>
      </w:r>
      <w:r>
        <w:rPr>
          <w:rFonts w:ascii="宋体" w:hAnsi="宋体" w:eastAsia="宋体" w:cs="宋体"/>
          <w:spacing w:val="-8"/>
          <w:sz w:val="24"/>
          <w:szCs w:val="24"/>
        </w:rPr>
        <w:t>内容，愿意以人民币（大写）</w:t>
      </w:r>
      <w:r>
        <w:rPr>
          <w:rFonts w:ascii="宋体" w:hAnsi="宋体" w:eastAsia="宋体" w:cs="宋体"/>
          <w:spacing w:val="9"/>
          <w:sz w:val="24"/>
          <w:szCs w:val="24"/>
        </w:rPr>
        <w:t xml:space="preserve">      </w:t>
      </w:r>
      <w:r>
        <w:rPr>
          <w:rFonts w:ascii="宋体" w:hAnsi="宋体" w:eastAsia="宋体" w:cs="宋体"/>
          <w:spacing w:val="-8"/>
          <w:sz w:val="24"/>
          <w:szCs w:val="24"/>
        </w:rPr>
        <w:t xml:space="preserve">(¥      </w:t>
      </w:r>
      <w:r>
        <w:rPr>
          <w:rFonts w:ascii="宋体" w:hAnsi="宋体" w:eastAsia="宋体" w:cs="宋体"/>
          <w:spacing w:val="-8"/>
          <w:sz w:val="21"/>
          <w:szCs w:val="21"/>
        </w:rPr>
        <w:t>元</w:t>
      </w:r>
      <w:r>
        <w:rPr>
          <w:rFonts w:ascii="宋体" w:hAnsi="宋体" w:eastAsia="宋体" w:cs="宋体"/>
          <w:spacing w:val="4"/>
          <w:sz w:val="21"/>
          <w:szCs w:val="21"/>
        </w:rPr>
        <w:t xml:space="preserve"> </w:t>
      </w:r>
      <w:r>
        <w:rPr>
          <w:rFonts w:ascii="宋体" w:hAnsi="宋体" w:eastAsia="宋体" w:cs="宋体"/>
          <w:spacing w:val="-8"/>
          <w:sz w:val="24"/>
          <w:szCs w:val="24"/>
        </w:rPr>
        <w:t>）的投标总报价，</w:t>
      </w:r>
      <w:r>
        <w:rPr>
          <w:rFonts w:ascii="宋体" w:hAnsi="宋体" w:eastAsia="宋体" w:cs="宋体"/>
          <w:spacing w:val="-9"/>
          <w:sz w:val="24"/>
          <w:szCs w:val="24"/>
        </w:rPr>
        <w:t xml:space="preserve">工期       </w:t>
      </w:r>
      <w:r>
        <w:rPr>
          <w:rFonts w:ascii="宋体" w:hAnsi="宋体" w:eastAsia="宋体" w:cs="宋体"/>
          <w:spacing w:val="-9"/>
          <w:sz w:val="21"/>
          <w:szCs w:val="21"/>
        </w:rPr>
        <w:t>日</w:t>
      </w:r>
      <w:r>
        <w:rPr>
          <w:rFonts w:ascii="宋体" w:hAnsi="宋体" w:eastAsia="宋体" w:cs="宋体"/>
          <w:spacing w:val="-1"/>
          <w:sz w:val="21"/>
          <w:szCs w:val="21"/>
        </w:rPr>
        <w:t>历天</w:t>
      </w:r>
      <w:r>
        <w:rPr>
          <w:rFonts w:ascii="宋体" w:hAnsi="宋体" w:eastAsia="宋体" w:cs="宋体"/>
          <w:spacing w:val="29"/>
          <w:sz w:val="21"/>
          <w:szCs w:val="21"/>
        </w:rPr>
        <w:t xml:space="preserve"> </w:t>
      </w:r>
      <w:r>
        <w:rPr>
          <w:rFonts w:ascii="宋体" w:hAnsi="宋体" w:eastAsia="宋体" w:cs="宋体"/>
          <w:spacing w:val="-1"/>
          <w:sz w:val="24"/>
          <w:szCs w:val="24"/>
        </w:rPr>
        <w:t>，按合同约定实施和完成承包工程，修补工程中的任何缺陷，工程质量达</w:t>
      </w:r>
      <w:r>
        <w:rPr>
          <w:rFonts w:ascii="宋体" w:hAnsi="宋体" w:eastAsia="宋体" w:cs="宋体"/>
          <w:spacing w:val="-6"/>
          <w:sz w:val="24"/>
          <w:szCs w:val="24"/>
        </w:rPr>
        <w:t>到</w:t>
      </w:r>
      <w:r>
        <w:rPr>
          <w:rFonts w:ascii="宋体" w:hAnsi="宋体" w:eastAsia="宋体" w:cs="宋体"/>
          <w:sz w:val="24"/>
          <w:szCs w:val="24"/>
        </w:rPr>
        <w:t xml:space="preserve">      </w:t>
      </w:r>
      <w:r>
        <w:rPr>
          <w:rFonts w:ascii="宋体" w:hAnsi="宋体" w:eastAsia="宋体" w:cs="宋体"/>
          <w:spacing w:val="-6"/>
          <w:sz w:val="24"/>
          <w:szCs w:val="24"/>
        </w:rPr>
        <w:t>。</w:t>
      </w:r>
    </w:p>
    <w:p w14:paraId="5677D177">
      <w:pPr>
        <w:spacing w:before="237" w:line="246" w:lineRule="auto"/>
        <w:ind w:left="31" w:right="348" w:firstLine="417"/>
        <w:rPr>
          <w:rFonts w:ascii="宋体" w:hAnsi="宋体" w:eastAsia="宋体" w:cs="宋体"/>
          <w:sz w:val="24"/>
          <w:szCs w:val="24"/>
        </w:rPr>
      </w:pPr>
      <w:r>
        <w:rPr>
          <w:rFonts w:ascii="宋体" w:hAnsi="宋体" w:eastAsia="宋体" w:cs="宋体"/>
          <w:spacing w:val="-1"/>
          <w:sz w:val="24"/>
          <w:szCs w:val="24"/>
        </w:rPr>
        <w:t>2. 我方拟派的项目经理：</w:t>
      </w:r>
      <w:r>
        <w:rPr>
          <w:rFonts w:ascii="宋体" w:hAnsi="宋体" w:eastAsia="宋体" w:cs="宋体"/>
          <w:spacing w:val="24"/>
          <w:sz w:val="24"/>
          <w:szCs w:val="24"/>
        </w:rPr>
        <w:t xml:space="preserve">     </w:t>
      </w:r>
      <w:r>
        <w:rPr>
          <w:rFonts w:ascii="宋体" w:hAnsi="宋体" w:eastAsia="宋体" w:cs="宋体"/>
          <w:spacing w:val="-1"/>
          <w:sz w:val="24"/>
          <w:szCs w:val="24"/>
        </w:rPr>
        <w:t>（姓名），证书名称：</w:t>
      </w:r>
      <w:r>
        <w:rPr>
          <w:rFonts w:ascii="宋体" w:hAnsi="宋体" w:eastAsia="宋体" w:cs="宋体"/>
          <w:spacing w:val="1"/>
          <w:sz w:val="24"/>
          <w:szCs w:val="24"/>
        </w:rPr>
        <w:t xml:space="preserve">      </w:t>
      </w:r>
      <w:r>
        <w:rPr>
          <w:rFonts w:ascii="宋体" w:hAnsi="宋体" w:eastAsia="宋体" w:cs="宋体"/>
          <w:spacing w:val="-1"/>
          <w:sz w:val="24"/>
          <w:szCs w:val="24"/>
        </w:rPr>
        <w:t>，证书编</w:t>
      </w:r>
      <w:r>
        <w:rPr>
          <w:rFonts w:ascii="宋体" w:hAnsi="宋体" w:eastAsia="宋体" w:cs="宋体"/>
          <w:spacing w:val="-5"/>
          <w:sz w:val="24"/>
          <w:szCs w:val="24"/>
        </w:rPr>
        <w:t>号：</w:t>
      </w:r>
      <w:r>
        <w:rPr>
          <w:rFonts w:ascii="宋体" w:hAnsi="宋体" w:eastAsia="宋体" w:cs="宋体"/>
          <w:sz w:val="24"/>
          <w:szCs w:val="24"/>
        </w:rPr>
        <w:t xml:space="preserve">      </w:t>
      </w:r>
      <w:r>
        <w:rPr>
          <w:rFonts w:ascii="宋体" w:hAnsi="宋体" w:eastAsia="宋体" w:cs="宋体"/>
          <w:spacing w:val="-5"/>
          <w:sz w:val="24"/>
          <w:szCs w:val="24"/>
        </w:rPr>
        <w:t>。</w:t>
      </w:r>
    </w:p>
    <w:p w14:paraId="1348A8C5">
      <w:pPr>
        <w:spacing w:before="217" w:line="220" w:lineRule="auto"/>
        <w:ind w:left="450"/>
        <w:rPr>
          <w:rFonts w:ascii="宋体" w:hAnsi="宋体" w:eastAsia="宋体" w:cs="宋体"/>
          <w:sz w:val="24"/>
          <w:szCs w:val="24"/>
        </w:rPr>
      </w:pPr>
      <w:r>
        <w:rPr>
          <w:rFonts w:ascii="宋体" w:hAnsi="宋体" w:eastAsia="宋体" w:cs="宋体"/>
          <w:spacing w:val="-1"/>
          <w:sz w:val="24"/>
          <w:szCs w:val="24"/>
        </w:rPr>
        <w:t>3．我方承诺在投标有效期      天内不修改、撤</w:t>
      </w:r>
      <w:r>
        <w:rPr>
          <w:rFonts w:ascii="宋体" w:hAnsi="宋体" w:eastAsia="宋体" w:cs="宋体"/>
          <w:spacing w:val="-2"/>
          <w:sz w:val="24"/>
          <w:szCs w:val="24"/>
        </w:rPr>
        <w:t>销投标文件。</w:t>
      </w:r>
    </w:p>
    <w:p w14:paraId="779CCAEF">
      <w:pPr>
        <w:spacing w:before="271" w:line="245" w:lineRule="auto"/>
        <w:ind w:left="31" w:right="1769" w:firstLine="413"/>
        <w:rPr>
          <w:rFonts w:ascii="宋体" w:hAnsi="宋体" w:eastAsia="宋体" w:cs="宋体"/>
          <w:sz w:val="24"/>
          <w:szCs w:val="24"/>
        </w:rPr>
      </w:pPr>
      <w:r>
        <w:rPr>
          <w:rFonts w:ascii="宋体" w:hAnsi="宋体" w:eastAsia="宋体" w:cs="宋体"/>
          <w:sz w:val="24"/>
          <w:szCs w:val="24"/>
        </w:rPr>
        <w:t>4．随同本投标函提交投标保证金一份，金额为人民币（大</w:t>
      </w:r>
      <w:r>
        <w:rPr>
          <w:rFonts w:ascii="宋体" w:hAnsi="宋体" w:eastAsia="宋体" w:cs="宋体"/>
          <w:spacing w:val="-9"/>
          <w:sz w:val="24"/>
          <w:szCs w:val="24"/>
        </w:rPr>
        <w:t>写）</w:t>
      </w:r>
      <w:r>
        <w:rPr>
          <w:rFonts w:ascii="宋体" w:hAnsi="宋体" w:eastAsia="宋体" w:cs="宋体"/>
          <w:spacing w:val="2"/>
          <w:sz w:val="24"/>
          <w:szCs w:val="24"/>
        </w:rPr>
        <w:t xml:space="preserve">       </w:t>
      </w:r>
      <w:r>
        <w:rPr>
          <w:rFonts w:ascii="宋体" w:hAnsi="宋体" w:eastAsia="宋体" w:cs="宋体"/>
          <w:spacing w:val="-9"/>
          <w:sz w:val="24"/>
          <w:szCs w:val="24"/>
        </w:rPr>
        <w:t>(¥</w:t>
      </w:r>
      <w:r>
        <w:rPr>
          <w:rFonts w:ascii="宋体" w:hAnsi="宋体" w:eastAsia="宋体" w:cs="宋体"/>
          <w:spacing w:val="2"/>
          <w:sz w:val="24"/>
          <w:szCs w:val="24"/>
        </w:rPr>
        <w:t xml:space="preserve">      </w:t>
      </w:r>
      <w:r>
        <w:rPr>
          <w:rFonts w:ascii="宋体" w:hAnsi="宋体" w:eastAsia="宋体" w:cs="宋体"/>
          <w:spacing w:val="-9"/>
          <w:sz w:val="24"/>
          <w:szCs w:val="24"/>
        </w:rPr>
        <w:t>元）。</w:t>
      </w:r>
    </w:p>
    <w:p w14:paraId="62E3FA00">
      <w:pPr>
        <w:spacing w:before="234" w:line="220" w:lineRule="auto"/>
        <w:ind w:left="450"/>
        <w:rPr>
          <w:rFonts w:ascii="宋体" w:hAnsi="宋体" w:eastAsia="宋体" w:cs="宋体"/>
          <w:sz w:val="24"/>
          <w:szCs w:val="24"/>
        </w:rPr>
      </w:pPr>
      <w:r>
        <w:rPr>
          <w:rFonts w:ascii="宋体" w:hAnsi="宋体" w:eastAsia="宋体" w:cs="宋体"/>
          <w:spacing w:val="-7"/>
          <w:sz w:val="24"/>
          <w:szCs w:val="24"/>
        </w:rPr>
        <w:t>5．如我方中标：</w:t>
      </w:r>
    </w:p>
    <w:p w14:paraId="1092FA0F">
      <w:pPr>
        <w:spacing w:before="269" w:line="234" w:lineRule="auto"/>
        <w:ind w:left="28" w:right="95" w:firstLine="424"/>
        <w:rPr>
          <w:rFonts w:ascii="宋体" w:hAnsi="宋体" w:eastAsia="宋体" w:cs="宋体"/>
          <w:sz w:val="24"/>
          <w:szCs w:val="24"/>
        </w:rPr>
      </w:pPr>
      <w:r>
        <w:rPr>
          <w:rFonts w:ascii="宋体" w:hAnsi="宋体" w:eastAsia="宋体" w:cs="宋体"/>
          <w:sz w:val="24"/>
          <w:szCs w:val="24"/>
        </w:rPr>
        <w:t>（1）我方承诺在收到中标通知书后，在中标通</w:t>
      </w:r>
      <w:r>
        <w:rPr>
          <w:rFonts w:ascii="宋体" w:hAnsi="宋体" w:eastAsia="宋体" w:cs="宋体"/>
          <w:spacing w:val="-1"/>
          <w:sz w:val="24"/>
          <w:szCs w:val="24"/>
        </w:rPr>
        <w:t>知书规定的期限内与你方签</w:t>
      </w:r>
      <w:r>
        <w:rPr>
          <w:rFonts w:ascii="宋体" w:hAnsi="宋体" w:eastAsia="宋体" w:cs="宋体"/>
          <w:spacing w:val="-9"/>
          <w:sz w:val="24"/>
          <w:szCs w:val="24"/>
        </w:rPr>
        <w:t>订合同。</w:t>
      </w:r>
    </w:p>
    <w:p w14:paraId="724BF833">
      <w:pPr>
        <w:spacing w:before="247" w:line="219" w:lineRule="auto"/>
        <w:ind w:left="452"/>
        <w:rPr>
          <w:rFonts w:ascii="宋体" w:hAnsi="宋体" w:eastAsia="宋体" w:cs="宋体"/>
          <w:sz w:val="24"/>
          <w:szCs w:val="24"/>
        </w:rPr>
      </w:pPr>
      <w:r>
        <w:rPr>
          <w:rFonts w:ascii="宋体" w:hAnsi="宋体" w:eastAsia="宋体" w:cs="宋体"/>
          <w:spacing w:val="-1"/>
          <w:sz w:val="24"/>
          <w:szCs w:val="24"/>
        </w:rPr>
        <w:t>（2）随同本投标函递交的投标函附录属于合</w:t>
      </w:r>
      <w:r>
        <w:rPr>
          <w:rFonts w:ascii="宋体" w:hAnsi="宋体" w:eastAsia="宋体" w:cs="宋体"/>
          <w:spacing w:val="-2"/>
          <w:sz w:val="24"/>
          <w:szCs w:val="24"/>
        </w:rPr>
        <w:t>同文件的组成部分。</w:t>
      </w:r>
    </w:p>
    <w:p w14:paraId="342EE7D1">
      <w:pPr>
        <w:spacing w:before="270" w:line="220" w:lineRule="auto"/>
        <w:ind w:left="452"/>
        <w:rPr>
          <w:rFonts w:ascii="宋体" w:hAnsi="宋体" w:eastAsia="宋体" w:cs="宋体"/>
          <w:sz w:val="24"/>
          <w:szCs w:val="24"/>
        </w:rPr>
      </w:pPr>
      <w:r>
        <w:rPr>
          <w:rFonts w:ascii="宋体" w:hAnsi="宋体" w:eastAsia="宋体" w:cs="宋体"/>
          <w:spacing w:val="-2"/>
          <w:sz w:val="24"/>
          <w:szCs w:val="24"/>
        </w:rPr>
        <w:t>（3）我方承诺按照招标文件规定向你方递交履约保证金。</w:t>
      </w:r>
    </w:p>
    <w:p w14:paraId="4D368C2A">
      <w:pPr>
        <w:spacing w:before="270" w:line="220" w:lineRule="auto"/>
        <w:ind w:left="452"/>
        <w:rPr>
          <w:rFonts w:ascii="宋体" w:hAnsi="宋体" w:eastAsia="宋体" w:cs="宋体"/>
          <w:sz w:val="24"/>
          <w:szCs w:val="24"/>
        </w:rPr>
      </w:pPr>
      <w:r>
        <w:rPr>
          <w:rFonts w:ascii="宋体" w:hAnsi="宋体" w:eastAsia="宋体" w:cs="宋体"/>
          <w:spacing w:val="-2"/>
          <w:sz w:val="24"/>
          <w:szCs w:val="24"/>
        </w:rPr>
        <w:t>（4）我方承诺在合同约定的期限内完成并移交全部合同工程。</w:t>
      </w:r>
    </w:p>
    <w:p w14:paraId="2128B20A">
      <w:pPr>
        <w:spacing w:before="271" w:line="238" w:lineRule="auto"/>
        <w:ind w:left="25" w:right="138" w:firstLine="422"/>
        <w:rPr>
          <w:rFonts w:ascii="宋体" w:hAnsi="宋体" w:eastAsia="宋体" w:cs="宋体"/>
          <w:sz w:val="24"/>
          <w:szCs w:val="24"/>
        </w:rPr>
      </w:pPr>
      <w:r>
        <w:rPr>
          <w:rFonts w:ascii="宋体" w:hAnsi="宋体" w:eastAsia="宋体" w:cs="宋体"/>
          <w:spacing w:val="-2"/>
          <w:sz w:val="24"/>
          <w:szCs w:val="24"/>
        </w:rPr>
        <w:t>6．我方在此声明，所递交的投标文件及有关资料内容完整、真实和准确，且不存在本招标项目资格预审文件第二章“投标人须知</w:t>
      </w:r>
      <w:r>
        <w:rPr>
          <w:rFonts w:ascii="宋体" w:hAnsi="宋体" w:eastAsia="宋体" w:cs="宋体"/>
          <w:spacing w:val="-89"/>
          <w:sz w:val="24"/>
          <w:szCs w:val="24"/>
        </w:rPr>
        <w:t xml:space="preserve"> </w:t>
      </w:r>
      <w:r>
        <w:rPr>
          <w:rFonts w:ascii="宋体" w:hAnsi="宋体" w:eastAsia="宋体" w:cs="宋体"/>
          <w:spacing w:val="-2"/>
          <w:sz w:val="24"/>
          <w:szCs w:val="24"/>
        </w:rPr>
        <w:t>”第</w:t>
      </w:r>
      <w:r>
        <w:rPr>
          <w:rFonts w:ascii="宋体" w:hAnsi="宋体" w:eastAsia="宋体" w:cs="宋体"/>
          <w:spacing w:val="-33"/>
          <w:sz w:val="24"/>
          <w:szCs w:val="24"/>
        </w:rPr>
        <w:t xml:space="preserve"> </w:t>
      </w:r>
      <w:r>
        <w:rPr>
          <w:rFonts w:ascii="宋体" w:hAnsi="宋体" w:eastAsia="宋体" w:cs="宋体"/>
          <w:spacing w:val="-2"/>
          <w:sz w:val="24"/>
          <w:szCs w:val="24"/>
        </w:rPr>
        <w:t>1.4.3</w:t>
      </w:r>
      <w:r>
        <w:rPr>
          <w:rFonts w:ascii="宋体" w:hAnsi="宋体" w:eastAsia="宋体" w:cs="宋体"/>
          <w:spacing w:val="-46"/>
          <w:sz w:val="24"/>
          <w:szCs w:val="24"/>
        </w:rPr>
        <w:t xml:space="preserve"> </w:t>
      </w:r>
      <w:r>
        <w:rPr>
          <w:rFonts w:ascii="宋体" w:hAnsi="宋体" w:eastAsia="宋体" w:cs="宋体"/>
          <w:spacing w:val="-2"/>
          <w:sz w:val="24"/>
          <w:szCs w:val="24"/>
        </w:rPr>
        <w:t>项规定的任</w:t>
      </w:r>
      <w:r>
        <w:rPr>
          <w:rFonts w:ascii="宋体" w:hAnsi="宋体" w:eastAsia="宋体" w:cs="宋体"/>
          <w:spacing w:val="-6"/>
          <w:sz w:val="24"/>
          <w:szCs w:val="24"/>
        </w:rPr>
        <w:t>何一种情形。</w:t>
      </w:r>
    </w:p>
    <w:p w14:paraId="24127FDD">
      <w:pPr>
        <w:spacing w:before="241" w:line="220" w:lineRule="auto"/>
        <w:ind w:left="451"/>
        <w:rPr>
          <w:rFonts w:ascii="宋体" w:hAnsi="宋体" w:eastAsia="宋体" w:cs="宋体"/>
          <w:sz w:val="24"/>
          <w:szCs w:val="24"/>
        </w:rPr>
      </w:pPr>
      <w:r>
        <w:rPr>
          <w:rFonts w:ascii="宋体" w:hAnsi="宋体" w:eastAsia="宋体" w:cs="宋体"/>
          <w:spacing w:val="-5"/>
          <w:sz w:val="24"/>
          <w:szCs w:val="24"/>
        </w:rPr>
        <w:t>7</w:t>
      </w:r>
      <w:r>
        <w:rPr>
          <w:rFonts w:ascii="宋体" w:hAnsi="宋体" w:eastAsia="宋体" w:cs="宋体"/>
          <w:sz w:val="24"/>
          <w:szCs w:val="24"/>
        </w:rPr>
        <w:t>．      （</w:t>
      </w:r>
      <w:r>
        <w:rPr>
          <w:rFonts w:ascii="宋体" w:hAnsi="宋体" w:eastAsia="宋体" w:cs="宋体"/>
          <w:spacing w:val="-5"/>
          <w:sz w:val="24"/>
          <w:szCs w:val="24"/>
        </w:rPr>
        <w:t>其他补充说明）。</w:t>
      </w:r>
    </w:p>
    <w:p w14:paraId="17FE143B">
      <w:pPr>
        <w:pStyle w:val="2"/>
        <w:spacing w:line="247" w:lineRule="auto"/>
      </w:pPr>
    </w:p>
    <w:p w14:paraId="5900C31B">
      <w:pPr>
        <w:pStyle w:val="2"/>
        <w:spacing w:line="247" w:lineRule="auto"/>
      </w:pPr>
    </w:p>
    <w:p w14:paraId="0F256F49">
      <w:pPr>
        <w:pStyle w:val="2"/>
        <w:spacing w:line="248" w:lineRule="auto"/>
      </w:pPr>
    </w:p>
    <w:p w14:paraId="7402AB17">
      <w:pPr>
        <w:spacing w:before="79" w:line="219" w:lineRule="auto"/>
        <w:ind w:left="3031"/>
        <w:rPr>
          <w:rFonts w:ascii="宋体" w:hAnsi="宋体" w:eastAsia="宋体" w:cs="宋体"/>
          <w:sz w:val="24"/>
          <w:szCs w:val="24"/>
        </w:rPr>
      </w:pPr>
      <w:r>
        <w:rPr>
          <w:rFonts w:ascii="宋体" w:hAnsi="宋体" w:eastAsia="宋体" w:cs="宋体"/>
          <w:spacing w:val="-3"/>
          <w:sz w:val="24"/>
          <w:szCs w:val="24"/>
        </w:rPr>
        <w:t>投标人</w:t>
      </w:r>
      <w:r>
        <w:rPr>
          <w:rFonts w:ascii="宋体" w:hAnsi="宋体" w:eastAsia="宋体" w:cs="宋体"/>
          <w:sz w:val="24"/>
          <w:szCs w:val="24"/>
        </w:rPr>
        <w:t>：      （</w:t>
      </w:r>
      <w:r>
        <w:rPr>
          <w:rFonts w:ascii="宋体" w:hAnsi="宋体" w:eastAsia="宋体" w:cs="宋体"/>
          <w:spacing w:val="-3"/>
          <w:sz w:val="24"/>
          <w:szCs w:val="24"/>
        </w:rPr>
        <w:t>盖单位章）</w:t>
      </w:r>
    </w:p>
    <w:p w14:paraId="78AD6483">
      <w:pPr>
        <w:spacing w:before="255" w:line="220" w:lineRule="auto"/>
        <w:ind w:left="3029"/>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z w:val="24"/>
          <w:szCs w:val="24"/>
        </w:rPr>
        <w:t xml:space="preserve">      </w:t>
      </w:r>
      <w:r>
        <w:rPr>
          <w:rFonts w:ascii="宋体" w:hAnsi="宋体" w:eastAsia="宋体" w:cs="宋体"/>
          <w:spacing w:val="-2"/>
          <w:sz w:val="24"/>
          <w:szCs w:val="24"/>
        </w:rPr>
        <w:t>（签字）</w:t>
      </w:r>
    </w:p>
    <w:p w14:paraId="531E34F3">
      <w:pPr>
        <w:spacing w:line="220" w:lineRule="auto"/>
        <w:rPr>
          <w:rFonts w:ascii="宋体" w:hAnsi="宋体" w:eastAsia="宋体" w:cs="宋体"/>
          <w:sz w:val="24"/>
          <w:szCs w:val="24"/>
        </w:rPr>
        <w:sectPr>
          <w:footerReference r:id="rId300" w:type="default"/>
          <w:pgSz w:w="11910" w:h="16845"/>
          <w:pgMar w:top="400" w:right="1786" w:bottom="1110" w:left="1786" w:header="0" w:footer="883" w:gutter="0"/>
          <w:cols w:space="720" w:num="1"/>
        </w:sectPr>
      </w:pPr>
    </w:p>
    <w:p w14:paraId="5DF0C9E8">
      <w:pPr>
        <w:pStyle w:val="2"/>
        <w:spacing w:line="247" w:lineRule="auto"/>
      </w:pPr>
    </w:p>
    <w:p w14:paraId="28E40780">
      <w:pPr>
        <w:pStyle w:val="2"/>
        <w:spacing w:line="248" w:lineRule="auto"/>
      </w:pPr>
    </w:p>
    <w:p w14:paraId="35F66A31">
      <w:pPr>
        <w:pStyle w:val="2"/>
        <w:spacing w:line="248" w:lineRule="auto"/>
      </w:pPr>
    </w:p>
    <w:p w14:paraId="19287176">
      <w:pPr>
        <w:pStyle w:val="2"/>
        <w:spacing w:line="248" w:lineRule="auto"/>
      </w:pPr>
    </w:p>
    <w:p w14:paraId="510C4E82">
      <w:pPr>
        <w:spacing w:before="78" w:line="229" w:lineRule="auto"/>
        <w:ind w:left="3028"/>
        <w:rPr>
          <w:rFonts w:ascii="宋体" w:hAnsi="宋体" w:eastAsia="宋体" w:cs="宋体"/>
          <w:sz w:val="24"/>
          <w:szCs w:val="24"/>
        </w:rPr>
      </w:pPr>
      <w:r>
        <w:rPr>
          <w:rFonts w:ascii="宋体" w:hAnsi="宋体" w:eastAsia="宋体" w:cs="宋体"/>
          <w:spacing w:val="-15"/>
          <w:sz w:val="24"/>
          <w:szCs w:val="24"/>
        </w:rPr>
        <w:t>地址：</w:t>
      </w:r>
    </w:p>
    <w:p w14:paraId="796E4D00">
      <w:pPr>
        <w:spacing w:before="257" w:line="225" w:lineRule="auto"/>
        <w:ind w:left="3047"/>
        <w:rPr>
          <w:rFonts w:ascii="宋体" w:hAnsi="宋体" w:eastAsia="宋体" w:cs="宋体"/>
          <w:sz w:val="24"/>
          <w:szCs w:val="24"/>
        </w:rPr>
      </w:pPr>
      <w:r>
        <w:rPr>
          <w:rFonts w:ascii="宋体" w:hAnsi="宋体" w:eastAsia="宋体" w:cs="宋体"/>
          <w:spacing w:val="-19"/>
          <w:sz w:val="24"/>
          <w:szCs w:val="24"/>
        </w:rPr>
        <w:t>网址：</w:t>
      </w:r>
    </w:p>
    <w:p w14:paraId="4D80F707">
      <w:pPr>
        <w:spacing w:before="263" w:line="222" w:lineRule="auto"/>
        <w:ind w:left="3056"/>
        <w:rPr>
          <w:rFonts w:ascii="宋体" w:hAnsi="宋体" w:eastAsia="宋体" w:cs="宋体"/>
          <w:sz w:val="24"/>
          <w:szCs w:val="24"/>
        </w:rPr>
      </w:pPr>
      <w:r>
        <w:rPr>
          <w:rFonts w:ascii="宋体" w:hAnsi="宋体" w:eastAsia="宋体" w:cs="宋体"/>
          <w:spacing w:val="-21"/>
          <w:sz w:val="24"/>
          <w:szCs w:val="24"/>
        </w:rPr>
        <w:t>电话：</w:t>
      </w:r>
    </w:p>
    <w:p w14:paraId="608A7511">
      <w:pPr>
        <w:spacing w:before="252" w:line="219" w:lineRule="auto"/>
        <w:ind w:left="3026"/>
        <w:rPr>
          <w:rFonts w:ascii="宋体" w:hAnsi="宋体" w:eastAsia="宋体" w:cs="宋体"/>
          <w:sz w:val="24"/>
          <w:szCs w:val="24"/>
        </w:rPr>
      </w:pPr>
      <w:r>
        <w:rPr>
          <w:rFonts w:ascii="宋体" w:hAnsi="宋体" w:eastAsia="宋体" w:cs="宋体"/>
          <w:spacing w:val="-14"/>
          <w:sz w:val="24"/>
          <w:szCs w:val="24"/>
        </w:rPr>
        <w:t>传真：</w:t>
      </w:r>
    </w:p>
    <w:p w14:paraId="5E09BFDB">
      <w:pPr>
        <w:spacing w:before="270" w:line="220" w:lineRule="auto"/>
        <w:ind w:left="3046"/>
        <w:rPr>
          <w:rFonts w:ascii="宋体" w:hAnsi="宋体" w:eastAsia="宋体" w:cs="宋体"/>
          <w:sz w:val="24"/>
          <w:szCs w:val="24"/>
        </w:rPr>
      </w:pPr>
      <w:r>
        <w:rPr>
          <w:rFonts w:ascii="宋体" w:hAnsi="宋体" w:eastAsia="宋体" w:cs="宋体"/>
          <w:spacing w:val="-13"/>
          <w:sz w:val="24"/>
          <w:szCs w:val="24"/>
        </w:rPr>
        <w:t>邮政编码：</w:t>
      </w:r>
    </w:p>
    <w:p w14:paraId="6639DDCE">
      <w:pPr>
        <w:spacing w:before="270" w:line="220" w:lineRule="auto"/>
        <w:ind w:left="3070"/>
        <w:rPr>
          <w:rFonts w:ascii="宋体" w:hAnsi="宋体" w:eastAsia="宋体" w:cs="宋体"/>
          <w:sz w:val="24"/>
          <w:szCs w:val="24"/>
        </w:rPr>
      </w:pPr>
      <w:r>
        <w:rPr>
          <w:rFonts w:ascii="宋体" w:hAnsi="宋体" w:eastAsia="宋体" w:cs="宋体"/>
          <w:spacing w:val="-24"/>
          <w:sz w:val="24"/>
          <w:szCs w:val="24"/>
        </w:rPr>
        <w:t>日期：</w:t>
      </w:r>
    </w:p>
    <w:p w14:paraId="243417FE">
      <w:pPr>
        <w:pStyle w:val="2"/>
        <w:spacing w:line="247" w:lineRule="auto"/>
      </w:pPr>
    </w:p>
    <w:p w14:paraId="5F3E149C">
      <w:pPr>
        <w:pStyle w:val="2"/>
        <w:spacing w:line="247" w:lineRule="auto"/>
      </w:pPr>
    </w:p>
    <w:p w14:paraId="404CAECB">
      <w:pPr>
        <w:pStyle w:val="2"/>
        <w:spacing w:line="248" w:lineRule="auto"/>
      </w:pPr>
    </w:p>
    <w:p w14:paraId="5FF8499E">
      <w:pPr>
        <w:spacing w:before="78" w:line="237" w:lineRule="auto"/>
        <w:ind w:left="24" w:firstLine="364"/>
        <w:jc w:val="both"/>
        <w:rPr>
          <w:rFonts w:ascii="宋体" w:hAnsi="宋体" w:eastAsia="宋体" w:cs="宋体"/>
          <w:sz w:val="24"/>
          <w:szCs w:val="24"/>
        </w:rPr>
      </w:pPr>
      <w:r>
        <w:rPr>
          <w:rFonts w:ascii="宋体" w:hAnsi="宋体" w:eastAsia="宋体" w:cs="宋体"/>
          <w:spacing w:val="-2"/>
          <w:sz w:val="24"/>
          <w:szCs w:val="24"/>
        </w:rPr>
        <w:t>备注：项目经理如是注册类执业资格，证书名称填写 专业</w:t>
      </w:r>
      <w:r>
        <w:rPr>
          <w:rFonts w:ascii="宋体" w:hAnsi="宋体" w:eastAsia="宋体" w:cs="宋体"/>
          <w:spacing w:val="-3"/>
          <w:sz w:val="24"/>
          <w:szCs w:val="24"/>
        </w:rPr>
        <w:t>类别 级别 注册建</w:t>
      </w:r>
      <w:r>
        <w:rPr>
          <w:rFonts w:ascii="宋体" w:hAnsi="宋体" w:eastAsia="宋体" w:cs="宋体"/>
          <w:spacing w:val="-2"/>
          <w:sz w:val="24"/>
          <w:szCs w:val="24"/>
        </w:rPr>
        <w:t>造师，其证书编号应填写注册执业证书编号</w:t>
      </w:r>
      <w:r>
        <w:rPr>
          <w:rFonts w:ascii="宋体" w:hAnsi="宋体" w:eastAsia="宋体" w:cs="宋体"/>
          <w:spacing w:val="-3"/>
          <w:sz w:val="24"/>
          <w:szCs w:val="24"/>
        </w:rPr>
        <w:t>。如是职称证书，证书名称填写专业</w:t>
      </w:r>
      <w:r>
        <w:rPr>
          <w:rFonts w:ascii="宋体" w:hAnsi="宋体" w:eastAsia="宋体" w:cs="宋体"/>
          <w:spacing w:val="-2"/>
          <w:sz w:val="24"/>
          <w:szCs w:val="24"/>
        </w:rPr>
        <w:t>类别 级别 工程师,其证书编号应填写职称证书编号。</w:t>
      </w:r>
    </w:p>
    <w:p w14:paraId="5875CDA2">
      <w:pPr>
        <w:spacing w:line="237" w:lineRule="auto"/>
        <w:rPr>
          <w:rFonts w:ascii="宋体" w:hAnsi="宋体" w:eastAsia="宋体" w:cs="宋体"/>
          <w:sz w:val="24"/>
          <w:szCs w:val="24"/>
        </w:rPr>
        <w:sectPr>
          <w:footerReference r:id="rId301" w:type="default"/>
          <w:pgSz w:w="11910" w:h="16845"/>
          <w:pgMar w:top="400" w:right="1772" w:bottom="1110" w:left="1786" w:header="0" w:footer="883" w:gutter="0"/>
          <w:cols w:space="720" w:num="1"/>
        </w:sectPr>
      </w:pPr>
    </w:p>
    <w:p w14:paraId="45B2AB71">
      <w:pPr>
        <w:pStyle w:val="2"/>
        <w:spacing w:line="277" w:lineRule="auto"/>
      </w:pPr>
    </w:p>
    <w:p w14:paraId="07D19229">
      <w:pPr>
        <w:pStyle w:val="2"/>
        <w:spacing w:line="277" w:lineRule="auto"/>
      </w:pPr>
    </w:p>
    <w:p w14:paraId="0978DE5D">
      <w:pPr>
        <w:pStyle w:val="2"/>
        <w:spacing w:line="277" w:lineRule="auto"/>
      </w:pPr>
    </w:p>
    <w:p w14:paraId="238F97E5">
      <w:pPr>
        <w:pStyle w:val="2"/>
        <w:spacing w:line="278" w:lineRule="auto"/>
      </w:pPr>
    </w:p>
    <w:p w14:paraId="651F83F6">
      <w:pPr>
        <w:pStyle w:val="2"/>
        <w:spacing w:line="278" w:lineRule="auto"/>
      </w:pPr>
    </w:p>
    <w:p w14:paraId="56160AC4">
      <w:pPr>
        <w:pStyle w:val="2"/>
        <w:spacing w:line="278" w:lineRule="auto"/>
      </w:pPr>
    </w:p>
    <w:p w14:paraId="43ADC05F">
      <w:pPr>
        <w:spacing w:before="100" w:line="222" w:lineRule="auto"/>
        <w:ind w:left="520"/>
        <w:outlineLvl w:val="1"/>
        <w:rPr>
          <w:rFonts w:ascii="宋体" w:hAnsi="宋体" w:eastAsia="宋体" w:cs="宋体"/>
          <w:sz w:val="31"/>
          <w:szCs w:val="31"/>
        </w:rPr>
      </w:pPr>
      <w:bookmarkStart w:id="620" w:name="bookmark573"/>
      <w:bookmarkEnd w:id="620"/>
      <w:r>
        <w:rPr>
          <w:rFonts w:ascii="宋体" w:hAnsi="宋体" w:eastAsia="宋体" w:cs="宋体"/>
          <w:b/>
          <w:bCs/>
          <w:spacing w:val="8"/>
          <w:sz w:val="31"/>
          <w:szCs w:val="31"/>
        </w:rPr>
        <w:t>（二）投标函附录</w:t>
      </w:r>
    </w:p>
    <w:p w14:paraId="0A92BB5A">
      <w:pPr>
        <w:pStyle w:val="2"/>
        <w:spacing w:line="413" w:lineRule="auto"/>
      </w:pPr>
    </w:p>
    <w:p w14:paraId="1F9A4F39">
      <w:pPr>
        <w:spacing w:before="68" w:line="220" w:lineRule="auto"/>
        <w:ind w:left="447"/>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77360D4B">
      <w:pPr>
        <w:spacing w:line="19" w:lineRule="exact"/>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324"/>
        <w:gridCol w:w="1274"/>
        <w:gridCol w:w="3268"/>
        <w:gridCol w:w="682"/>
      </w:tblGrid>
      <w:tr w14:paraId="0BC49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682" w:type="dxa"/>
            <w:vAlign w:val="top"/>
          </w:tcPr>
          <w:p w14:paraId="2170BF5D">
            <w:pPr>
              <w:pStyle w:val="6"/>
              <w:spacing w:before="164" w:line="221" w:lineRule="auto"/>
              <w:ind w:left="112"/>
              <w:rPr>
                <w:sz w:val="21"/>
                <w:szCs w:val="21"/>
              </w:rPr>
            </w:pPr>
            <w:r>
              <w:rPr>
                <w:b/>
                <w:bCs/>
                <w:spacing w:val="1"/>
                <w:sz w:val="21"/>
                <w:szCs w:val="21"/>
              </w:rPr>
              <w:t>序号</w:t>
            </w:r>
          </w:p>
        </w:tc>
        <w:tc>
          <w:tcPr>
            <w:tcW w:w="2324" w:type="dxa"/>
            <w:vAlign w:val="top"/>
          </w:tcPr>
          <w:p w14:paraId="277C0C5D">
            <w:pPr>
              <w:pStyle w:val="6"/>
              <w:spacing w:before="164" w:line="220" w:lineRule="auto"/>
              <w:ind w:left="724"/>
              <w:rPr>
                <w:sz w:val="21"/>
                <w:szCs w:val="21"/>
              </w:rPr>
            </w:pPr>
            <w:r>
              <w:rPr>
                <w:b/>
                <w:bCs/>
                <w:spacing w:val="6"/>
                <w:sz w:val="21"/>
                <w:szCs w:val="21"/>
              </w:rPr>
              <w:t>条款内容</w:t>
            </w:r>
          </w:p>
        </w:tc>
        <w:tc>
          <w:tcPr>
            <w:tcW w:w="1274" w:type="dxa"/>
            <w:vAlign w:val="top"/>
          </w:tcPr>
          <w:p w14:paraId="204FE993">
            <w:pPr>
              <w:pStyle w:val="6"/>
              <w:spacing w:before="164" w:line="220" w:lineRule="auto"/>
              <w:ind w:left="112"/>
              <w:rPr>
                <w:sz w:val="21"/>
                <w:szCs w:val="21"/>
              </w:rPr>
            </w:pPr>
            <w:r>
              <w:rPr>
                <w:b/>
                <w:bCs/>
                <w:spacing w:val="-1"/>
                <w:sz w:val="21"/>
                <w:szCs w:val="21"/>
              </w:rPr>
              <w:t>合同条款号</w:t>
            </w:r>
          </w:p>
        </w:tc>
        <w:tc>
          <w:tcPr>
            <w:tcW w:w="3268" w:type="dxa"/>
            <w:vAlign w:val="top"/>
          </w:tcPr>
          <w:p w14:paraId="4A612AB5">
            <w:pPr>
              <w:pStyle w:val="6"/>
              <w:spacing w:before="164" w:line="220" w:lineRule="auto"/>
              <w:ind w:left="1200"/>
              <w:rPr>
                <w:sz w:val="21"/>
                <w:szCs w:val="21"/>
              </w:rPr>
            </w:pPr>
            <w:r>
              <w:rPr>
                <w:b/>
                <w:bCs/>
                <w:spacing w:val="6"/>
                <w:sz w:val="21"/>
                <w:szCs w:val="21"/>
              </w:rPr>
              <w:t>约定内容</w:t>
            </w:r>
          </w:p>
        </w:tc>
        <w:tc>
          <w:tcPr>
            <w:tcW w:w="682" w:type="dxa"/>
            <w:vAlign w:val="top"/>
          </w:tcPr>
          <w:p w14:paraId="23A5AB62">
            <w:pPr>
              <w:pStyle w:val="6"/>
              <w:spacing w:before="164" w:line="221" w:lineRule="auto"/>
              <w:ind w:left="122"/>
              <w:rPr>
                <w:sz w:val="21"/>
                <w:szCs w:val="21"/>
              </w:rPr>
            </w:pPr>
            <w:r>
              <w:rPr>
                <w:b/>
                <w:bCs/>
                <w:sz w:val="21"/>
                <w:szCs w:val="21"/>
              </w:rPr>
              <w:t>备注</w:t>
            </w:r>
          </w:p>
        </w:tc>
      </w:tr>
      <w:tr w14:paraId="1ADE0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82" w:type="dxa"/>
            <w:vAlign w:val="top"/>
          </w:tcPr>
          <w:p w14:paraId="0E3F9B92">
            <w:pPr>
              <w:spacing w:before="208" w:line="235" w:lineRule="auto"/>
              <w:ind w:left="294"/>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2324" w:type="dxa"/>
            <w:vAlign w:val="top"/>
          </w:tcPr>
          <w:p w14:paraId="26E57FC7">
            <w:pPr>
              <w:pStyle w:val="6"/>
              <w:spacing w:before="158" w:line="220" w:lineRule="auto"/>
              <w:ind w:left="741"/>
              <w:rPr>
                <w:sz w:val="21"/>
                <w:szCs w:val="21"/>
              </w:rPr>
            </w:pPr>
            <w:r>
              <w:rPr>
                <w:spacing w:val="-2"/>
                <w:sz w:val="21"/>
                <w:szCs w:val="21"/>
              </w:rPr>
              <w:t>项目经理</w:t>
            </w:r>
          </w:p>
        </w:tc>
        <w:tc>
          <w:tcPr>
            <w:tcW w:w="1274" w:type="dxa"/>
            <w:vAlign w:val="top"/>
          </w:tcPr>
          <w:p w14:paraId="727436E4">
            <w:pPr>
              <w:spacing w:before="208" w:line="232" w:lineRule="auto"/>
              <w:ind w:left="352"/>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1.1.2.4</w:t>
            </w:r>
          </w:p>
        </w:tc>
        <w:tc>
          <w:tcPr>
            <w:tcW w:w="3268" w:type="dxa"/>
            <w:vAlign w:val="top"/>
          </w:tcPr>
          <w:p w14:paraId="13A3A7E9">
            <w:pPr>
              <w:pStyle w:val="6"/>
              <w:spacing w:before="158" w:line="220" w:lineRule="auto"/>
              <w:ind w:left="960"/>
              <w:rPr>
                <w:sz w:val="21"/>
                <w:szCs w:val="21"/>
              </w:rPr>
            </w:pPr>
            <w:r>
              <w:rPr>
                <w:spacing w:val="-4"/>
                <w:sz w:val="21"/>
                <w:szCs w:val="21"/>
              </w:rPr>
              <w:t>（见投标函）</w:t>
            </w:r>
          </w:p>
        </w:tc>
        <w:tc>
          <w:tcPr>
            <w:tcW w:w="682" w:type="dxa"/>
            <w:vAlign w:val="top"/>
          </w:tcPr>
          <w:p w14:paraId="2A87EC41">
            <w:pPr>
              <w:rPr>
                <w:rFonts w:ascii="Arial"/>
                <w:sz w:val="21"/>
              </w:rPr>
            </w:pPr>
          </w:p>
        </w:tc>
      </w:tr>
      <w:tr w14:paraId="146C4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682" w:type="dxa"/>
            <w:vAlign w:val="top"/>
          </w:tcPr>
          <w:p w14:paraId="49E149EE">
            <w:pPr>
              <w:spacing w:before="208" w:line="235" w:lineRule="auto"/>
              <w:ind w:left="274"/>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324" w:type="dxa"/>
            <w:vAlign w:val="top"/>
          </w:tcPr>
          <w:p w14:paraId="7D9E8159">
            <w:pPr>
              <w:pStyle w:val="6"/>
              <w:spacing w:before="159" w:line="220" w:lineRule="auto"/>
              <w:ind w:left="950"/>
              <w:rPr>
                <w:sz w:val="21"/>
                <w:szCs w:val="21"/>
              </w:rPr>
            </w:pPr>
            <w:r>
              <w:rPr>
                <w:spacing w:val="-3"/>
                <w:sz w:val="21"/>
                <w:szCs w:val="21"/>
              </w:rPr>
              <w:t>工期</w:t>
            </w:r>
          </w:p>
        </w:tc>
        <w:tc>
          <w:tcPr>
            <w:tcW w:w="1274" w:type="dxa"/>
            <w:vAlign w:val="top"/>
          </w:tcPr>
          <w:p w14:paraId="111E068B">
            <w:pPr>
              <w:spacing w:before="208" w:line="232" w:lineRule="auto"/>
              <w:ind w:left="352"/>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1.1.4.3</w:t>
            </w:r>
          </w:p>
        </w:tc>
        <w:tc>
          <w:tcPr>
            <w:tcW w:w="3268" w:type="dxa"/>
            <w:vAlign w:val="top"/>
          </w:tcPr>
          <w:p w14:paraId="7D8E2894">
            <w:pPr>
              <w:pStyle w:val="6"/>
              <w:spacing w:before="158" w:line="220" w:lineRule="auto"/>
              <w:ind w:left="960"/>
              <w:rPr>
                <w:sz w:val="21"/>
                <w:szCs w:val="21"/>
              </w:rPr>
            </w:pPr>
            <w:r>
              <w:rPr>
                <w:spacing w:val="-4"/>
                <w:sz w:val="21"/>
                <w:szCs w:val="21"/>
              </w:rPr>
              <w:t>（见投标函）</w:t>
            </w:r>
          </w:p>
        </w:tc>
        <w:tc>
          <w:tcPr>
            <w:tcW w:w="682" w:type="dxa"/>
            <w:vAlign w:val="top"/>
          </w:tcPr>
          <w:p w14:paraId="4A8F0ABB">
            <w:pPr>
              <w:rPr>
                <w:rFonts w:ascii="Arial"/>
                <w:sz w:val="21"/>
              </w:rPr>
            </w:pPr>
          </w:p>
        </w:tc>
      </w:tr>
      <w:tr w14:paraId="5F059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82" w:type="dxa"/>
            <w:vAlign w:val="top"/>
          </w:tcPr>
          <w:p w14:paraId="6A6CE908">
            <w:pPr>
              <w:spacing w:before="210" w:line="232" w:lineRule="auto"/>
              <w:ind w:left="278"/>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2324" w:type="dxa"/>
            <w:vAlign w:val="top"/>
          </w:tcPr>
          <w:p w14:paraId="6CEEA6BA">
            <w:pPr>
              <w:pStyle w:val="6"/>
              <w:spacing w:before="160" w:line="220" w:lineRule="auto"/>
              <w:ind w:left="632"/>
              <w:rPr>
                <w:sz w:val="21"/>
                <w:szCs w:val="21"/>
              </w:rPr>
            </w:pPr>
            <w:r>
              <w:rPr>
                <w:spacing w:val="-1"/>
                <w:sz w:val="21"/>
                <w:szCs w:val="21"/>
              </w:rPr>
              <w:t>缺陷责任期</w:t>
            </w:r>
          </w:p>
        </w:tc>
        <w:tc>
          <w:tcPr>
            <w:tcW w:w="1274" w:type="dxa"/>
            <w:vAlign w:val="top"/>
          </w:tcPr>
          <w:p w14:paraId="51E2C0E3">
            <w:pPr>
              <w:spacing w:before="210" w:line="232" w:lineRule="auto"/>
              <w:ind w:left="382"/>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1.1.4.5</w:t>
            </w:r>
          </w:p>
        </w:tc>
        <w:tc>
          <w:tcPr>
            <w:tcW w:w="3268" w:type="dxa"/>
            <w:vAlign w:val="top"/>
          </w:tcPr>
          <w:p w14:paraId="6EB28584">
            <w:pPr>
              <w:rPr>
                <w:rFonts w:ascii="Arial"/>
                <w:sz w:val="21"/>
              </w:rPr>
            </w:pPr>
          </w:p>
        </w:tc>
        <w:tc>
          <w:tcPr>
            <w:tcW w:w="682" w:type="dxa"/>
            <w:vAlign w:val="top"/>
          </w:tcPr>
          <w:p w14:paraId="63BF3895">
            <w:pPr>
              <w:rPr>
                <w:rFonts w:ascii="Arial"/>
                <w:sz w:val="21"/>
              </w:rPr>
            </w:pPr>
          </w:p>
        </w:tc>
      </w:tr>
      <w:tr w14:paraId="1175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vAlign w:val="top"/>
          </w:tcPr>
          <w:p w14:paraId="173BD032">
            <w:pPr>
              <w:spacing w:before="210" w:line="235" w:lineRule="auto"/>
              <w:ind w:left="273"/>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2324" w:type="dxa"/>
            <w:vAlign w:val="top"/>
          </w:tcPr>
          <w:p w14:paraId="2E50AE63">
            <w:pPr>
              <w:pStyle w:val="6"/>
              <w:spacing w:before="160" w:line="220" w:lineRule="auto"/>
              <w:ind w:left="212"/>
              <w:rPr>
                <w:sz w:val="21"/>
                <w:szCs w:val="21"/>
              </w:rPr>
            </w:pPr>
            <w:r>
              <w:rPr>
                <w:spacing w:val="-1"/>
                <w:sz w:val="21"/>
                <w:szCs w:val="21"/>
              </w:rPr>
              <w:t>承包人履约担保金额</w:t>
            </w:r>
          </w:p>
        </w:tc>
        <w:tc>
          <w:tcPr>
            <w:tcW w:w="1274" w:type="dxa"/>
            <w:vAlign w:val="top"/>
          </w:tcPr>
          <w:p w14:paraId="0361D840">
            <w:pPr>
              <w:spacing w:before="211" w:line="232" w:lineRule="auto"/>
              <w:ind w:left="526"/>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4.2</w:t>
            </w:r>
          </w:p>
        </w:tc>
        <w:tc>
          <w:tcPr>
            <w:tcW w:w="3268" w:type="dxa"/>
            <w:vAlign w:val="top"/>
          </w:tcPr>
          <w:p w14:paraId="6736D677">
            <w:pPr>
              <w:rPr>
                <w:rFonts w:ascii="Arial"/>
                <w:sz w:val="21"/>
              </w:rPr>
            </w:pPr>
          </w:p>
        </w:tc>
        <w:tc>
          <w:tcPr>
            <w:tcW w:w="682" w:type="dxa"/>
            <w:vAlign w:val="top"/>
          </w:tcPr>
          <w:p w14:paraId="79E55B8C">
            <w:pPr>
              <w:rPr>
                <w:rFonts w:ascii="Arial"/>
                <w:sz w:val="21"/>
              </w:rPr>
            </w:pPr>
          </w:p>
        </w:tc>
      </w:tr>
      <w:tr w14:paraId="5836C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vAlign w:val="top"/>
          </w:tcPr>
          <w:p w14:paraId="43E71C85">
            <w:pPr>
              <w:spacing w:before="211" w:line="232" w:lineRule="auto"/>
              <w:ind w:left="279"/>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2324" w:type="dxa"/>
            <w:vAlign w:val="top"/>
          </w:tcPr>
          <w:p w14:paraId="27E6517F">
            <w:pPr>
              <w:pStyle w:val="6"/>
              <w:spacing w:before="161" w:line="220" w:lineRule="auto"/>
              <w:ind w:left="950"/>
              <w:rPr>
                <w:sz w:val="21"/>
                <w:szCs w:val="21"/>
              </w:rPr>
            </w:pPr>
            <w:r>
              <w:rPr>
                <w:spacing w:val="-3"/>
                <w:sz w:val="21"/>
                <w:szCs w:val="21"/>
              </w:rPr>
              <w:t>分包</w:t>
            </w:r>
          </w:p>
        </w:tc>
        <w:tc>
          <w:tcPr>
            <w:tcW w:w="1274" w:type="dxa"/>
            <w:vAlign w:val="top"/>
          </w:tcPr>
          <w:p w14:paraId="3C42DADA">
            <w:pPr>
              <w:spacing w:before="211" w:line="232" w:lineRule="auto"/>
              <w:ind w:left="451"/>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4.3.4</w:t>
            </w:r>
          </w:p>
        </w:tc>
        <w:tc>
          <w:tcPr>
            <w:tcW w:w="3268" w:type="dxa"/>
            <w:vAlign w:val="top"/>
          </w:tcPr>
          <w:p w14:paraId="60AE89F5">
            <w:pPr>
              <w:pStyle w:val="6"/>
              <w:spacing w:before="161" w:line="219" w:lineRule="auto"/>
              <w:ind w:left="898"/>
              <w:rPr>
                <w:sz w:val="21"/>
                <w:szCs w:val="21"/>
              </w:rPr>
            </w:pPr>
            <w:r>
              <w:rPr>
                <w:spacing w:val="-2"/>
                <w:sz w:val="21"/>
                <w:szCs w:val="21"/>
              </w:rPr>
              <w:t>见拟分包计划表</w:t>
            </w:r>
          </w:p>
        </w:tc>
        <w:tc>
          <w:tcPr>
            <w:tcW w:w="682" w:type="dxa"/>
            <w:vAlign w:val="top"/>
          </w:tcPr>
          <w:p w14:paraId="58C0A80A">
            <w:pPr>
              <w:rPr>
                <w:rFonts w:ascii="Arial"/>
                <w:sz w:val="21"/>
              </w:rPr>
            </w:pPr>
          </w:p>
        </w:tc>
      </w:tr>
      <w:tr w14:paraId="0F9B9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vAlign w:val="top"/>
          </w:tcPr>
          <w:p w14:paraId="7011787E">
            <w:pPr>
              <w:spacing w:before="213" w:line="232" w:lineRule="auto"/>
              <w:ind w:left="278"/>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2324" w:type="dxa"/>
            <w:vAlign w:val="top"/>
          </w:tcPr>
          <w:p w14:paraId="024AB00A">
            <w:pPr>
              <w:pStyle w:val="6"/>
              <w:spacing w:before="162" w:line="220" w:lineRule="auto"/>
              <w:ind w:left="421"/>
              <w:rPr>
                <w:sz w:val="21"/>
                <w:szCs w:val="21"/>
              </w:rPr>
            </w:pPr>
            <w:r>
              <w:rPr>
                <w:spacing w:val="-1"/>
                <w:sz w:val="21"/>
                <w:szCs w:val="21"/>
              </w:rPr>
              <w:t>逾期竣工违约金</w:t>
            </w:r>
          </w:p>
        </w:tc>
        <w:tc>
          <w:tcPr>
            <w:tcW w:w="1274" w:type="dxa"/>
            <w:vAlign w:val="top"/>
          </w:tcPr>
          <w:p w14:paraId="5187A872">
            <w:pPr>
              <w:spacing w:before="213" w:line="232" w:lineRule="auto"/>
              <w:ind w:left="503"/>
              <w:rPr>
                <w:rFonts w:ascii="Times New Roman" w:hAnsi="Times New Roman" w:eastAsia="Times New Roman" w:cs="Times New Roman"/>
                <w:sz w:val="21"/>
                <w:szCs w:val="21"/>
              </w:rPr>
            </w:pPr>
            <w:r>
              <w:rPr>
                <w:rFonts w:ascii="Times New Roman" w:hAnsi="Times New Roman" w:eastAsia="Times New Roman" w:cs="Times New Roman"/>
                <w:spacing w:val="-9"/>
                <w:sz w:val="21"/>
                <w:szCs w:val="21"/>
              </w:rPr>
              <w:t>11.5</w:t>
            </w:r>
          </w:p>
        </w:tc>
        <w:tc>
          <w:tcPr>
            <w:tcW w:w="3268" w:type="dxa"/>
            <w:vAlign w:val="top"/>
          </w:tcPr>
          <w:p w14:paraId="250EFB3C">
            <w:pPr>
              <w:pStyle w:val="6"/>
              <w:spacing w:before="163" w:line="234" w:lineRule="auto"/>
              <w:ind w:left="1977"/>
              <w:rPr>
                <w:sz w:val="21"/>
                <w:szCs w:val="21"/>
              </w:rPr>
            </w:pPr>
            <w:r>
              <w:rPr>
                <w:spacing w:val="-3"/>
                <w:sz w:val="21"/>
                <w:szCs w:val="21"/>
              </w:rPr>
              <w:t>元</w:t>
            </w:r>
            <w:r>
              <w:rPr>
                <w:rFonts w:ascii="Times New Roman" w:hAnsi="Times New Roman" w:eastAsia="Times New Roman" w:cs="Times New Roman"/>
                <w:spacing w:val="-3"/>
                <w:sz w:val="21"/>
                <w:szCs w:val="21"/>
              </w:rPr>
              <w:t>/</w:t>
            </w:r>
            <w:r>
              <w:rPr>
                <w:spacing w:val="-3"/>
                <w:sz w:val="21"/>
                <w:szCs w:val="21"/>
              </w:rPr>
              <w:t>天</w:t>
            </w:r>
          </w:p>
        </w:tc>
        <w:tc>
          <w:tcPr>
            <w:tcW w:w="682" w:type="dxa"/>
            <w:vAlign w:val="top"/>
          </w:tcPr>
          <w:p w14:paraId="58D86966">
            <w:pPr>
              <w:rPr>
                <w:rFonts w:ascii="Arial"/>
                <w:sz w:val="21"/>
              </w:rPr>
            </w:pPr>
          </w:p>
        </w:tc>
      </w:tr>
      <w:tr w14:paraId="06941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682" w:type="dxa"/>
            <w:vAlign w:val="top"/>
          </w:tcPr>
          <w:p w14:paraId="4477E750">
            <w:pPr>
              <w:spacing w:before="243" w:line="232" w:lineRule="auto"/>
              <w:ind w:left="277"/>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2324" w:type="dxa"/>
            <w:vAlign w:val="top"/>
          </w:tcPr>
          <w:p w14:paraId="3BD981CB">
            <w:pPr>
              <w:pStyle w:val="6"/>
              <w:spacing w:before="43" w:line="220" w:lineRule="auto"/>
              <w:ind w:left="105"/>
              <w:rPr>
                <w:sz w:val="21"/>
                <w:szCs w:val="21"/>
              </w:rPr>
            </w:pPr>
            <w:r>
              <w:rPr>
                <w:spacing w:val="-1"/>
                <w:sz w:val="21"/>
                <w:szCs w:val="21"/>
              </w:rPr>
              <w:t>逾期竣工违约金最高限</w:t>
            </w:r>
          </w:p>
          <w:p w14:paraId="58ABF401">
            <w:pPr>
              <w:pStyle w:val="6"/>
              <w:spacing w:before="49" w:line="220" w:lineRule="auto"/>
              <w:ind w:left="1053"/>
              <w:rPr>
                <w:sz w:val="21"/>
                <w:szCs w:val="21"/>
              </w:rPr>
            </w:pPr>
            <w:r>
              <w:rPr>
                <w:sz w:val="21"/>
                <w:szCs w:val="21"/>
              </w:rPr>
              <w:t>额</w:t>
            </w:r>
          </w:p>
        </w:tc>
        <w:tc>
          <w:tcPr>
            <w:tcW w:w="1274" w:type="dxa"/>
            <w:vAlign w:val="top"/>
          </w:tcPr>
          <w:p w14:paraId="544F7E7E">
            <w:pPr>
              <w:spacing w:before="243" w:line="232" w:lineRule="auto"/>
              <w:ind w:left="503"/>
              <w:rPr>
                <w:rFonts w:ascii="Times New Roman" w:hAnsi="Times New Roman" w:eastAsia="Times New Roman" w:cs="Times New Roman"/>
                <w:sz w:val="21"/>
                <w:szCs w:val="21"/>
              </w:rPr>
            </w:pPr>
            <w:r>
              <w:rPr>
                <w:rFonts w:ascii="Times New Roman" w:hAnsi="Times New Roman" w:eastAsia="Times New Roman" w:cs="Times New Roman"/>
                <w:spacing w:val="-9"/>
                <w:sz w:val="21"/>
                <w:szCs w:val="21"/>
              </w:rPr>
              <w:t>11.5</w:t>
            </w:r>
          </w:p>
        </w:tc>
        <w:tc>
          <w:tcPr>
            <w:tcW w:w="3268" w:type="dxa"/>
            <w:vAlign w:val="top"/>
          </w:tcPr>
          <w:p w14:paraId="45BFD28C">
            <w:pPr>
              <w:rPr>
                <w:rFonts w:ascii="Arial"/>
                <w:sz w:val="21"/>
              </w:rPr>
            </w:pPr>
          </w:p>
        </w:tc>
        <w:tc>
          <w:tcPr>
            <w:tcW w:w="682" w:type="dxa"/>
            <w:vAlign w:val="top"/>
          </w:tcPr>
          <w:p w14:paraId="6EE8657E">
            <w:pPr>
              <w:rPr>
                <w:rFonts w:ascii="Arial"/>
                <w:sz w:val="21"/>
              </w:rPr>
            </w:pPr>
          </w:p>
        </w:tc>
      </w:tr>
      <w:tr w14:paraId="565EA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vAlign w:val="top"/>
          </w:tcPr>
          <w:p w14:paraId="562324D9">
            <w:pPr>
              <w:spacing w:before="215" w:line="232" w:lineRule="auto"/>
              <w:ind w:left="282"/>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2324" w:type="dxa"/>
            <w:vAlign w:val="top"/>
          </w:tcPr>
          <w:p w14:paraId="5ABA0986">
            <w:pPr>
              <w:pStyle w:val="6"/>
              <w:spacing w:before="165" w:line="220" w:lineRule="auto"/>
              <w:ind w:left="738"/>
              <w:rPr>
                <w:sz w:val="21"/>
                <w:szCs w:val="21"/>
              </w:rPr>
            </w:pPr>
            <w:r>
              <w:rPr>
                <w:spacing w:val="-2"/>
                <w:sz w:val="21"/>
                <w:szCs w:val="21"/>
              </w:rPr>
              <w:t>质量标准</w:t>
            </w:r>
          </w:p>
        </w:tc>
        <w:tc>
          <w:tcPr>
            <w:tcW w:w="1274" w:type="dxa"/>
            <w:vAlign w:val="top"/>
          </w:tcPr>
          <w:p w14:paraId="26BAFFA4">
            <w:pPr>
              <w:spacing w:before="214" w:line="232" w:lineRule="auto"/>
              <w:ind w:left="503"/>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13.1</w:t>
            </w:r>
          </w:p>
        </w:tc>
        <w:tc>
          <w:tcPr>
            <w:tcW w:w="3268" w:type="dxa"/>
            <w:vAlign w:val="top"/>
          </w:tcPr>
          <w:p w14:paraId="2D1A4913">
            <w:pPr>
              <w:rPr>
                <w:rFonts w:ascii="Arial"/>
                <w:sz w:val="21"/>
              </w:rPr>
            </w:pPr>
          </w:p>
        </w:tc>
        <w:tc>
          <w:tcPr>
            <w:tcW w:w="682" w:type="dxa"/>
            <w:vAlign w:val="top"/>
          </w:tcPr>
          <w:p w14:paraId="508286EF">
            <w:pPr>
              <w:rPr>
                <w:rFonts w:ascii="Arial"/>
                <w:sz w:val="21"/>
              </w:rPr>
            </w:pPr>
          </w:p>
        </w:tc>
      </w:tr>
      <w:tr w14:paraId="276DA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vAlign w:val="top"/>
          </w:tcPr>
          <w:p w14:paraId="240B604D">
            <w:pPr>
              <w:spacing w:before="216" w:line="232" w:lineRule="auto"/>
              <w:ind w:left="278"/>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2324" w:type="dxa"/>
            <w:vAlign w:val="top"/>
          </w:tcPr>
          <w:p w14:paraId="7EDEF889">
            <w:pPr>
              <w:pStyle w:val="6"/>
              <w:spacing w:before="166" w:line="218" w:lineRule="auto"/>
              <w:ind w:left="213"/>
              <w:rPr>
                <w:sz w:val="21"/>
                <w:szCs w:val="21"/>
              </w:rPr>
            </w:pPr>
            <w:r>
              <w:rPr>
                <w:spacing w:val="-1"/>
                <w:sz w:val="21"/>
                <w:szCs w:val="21"/>
              </w:rPr>
              <w:t>价格调整的差额计算</w:t>
            </w:r>
          </w:p>
        </w:tc>
        <w:tc>
          <w:tcPr>
            <w:tcW w:w="1274" w:type="dxa"/>
            <w:vAlign w:val="top"/>
          </w:tcPr>
          <w:p w14:paraId="43C750E1">
            <w:pPr>
              <w:spacing w:before="216" w:line="232" w:lineRule="auto"/>
              <w:ind w:left="41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16.1.1</w:t>
            </w:r>
          </w:p>
        </w:tc>
        <w:tc>
          <w:tcPr>
            <w:tcW w:w="3268" w:type="dxa"/>
            <w:vAlign w:val="top"/>
          </w:tcPr>
          <w:p w14:paraId="507E1DD7">
            <w:pPr>
              <w:pStyle w:val="6"/>
              <w:spacing w:before="166" w:line="218" w:lineRule="auto"/>
              <w:ind w:left="793"/>
              <w:rPr>
                <w:sz w:val="21"/>
                <w:szCs w:val="21"/>
              </w:rPr>
            </w:pPr>
            <w:r>
              <w:rPr>
                <w:spacing w:val="-1"/>
                <w:sz w:val="21"/>
                <w:szCs w:val="21"/>
              </w:rPr>
              <w:t>见价格指数权重表</w:t>
            </w:r>
          </w:p>
        </w:tc>
        <w:tc>
          <w:tcPr>
            <w:tcW w:w="682" w:type="dxa"/>
            <w:vAlign w:val="top"/>
          </w:tcPr>
          <w:p w14:paraId="24558706">
            <w:pPr>
              <w:rPr>
                <w:rFonts w:ascii="Arial"/>
                <w:sz w:val="21"/>
              </w:rPr>
            </w:pPr>
          </w:p>
        </w:tc>
      </w:tr>
      <w:tr w14:paraId="4A7C5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682" w:type="dxa"/>
            <w:vAlign w:val="top"/>
          </w:tcPr>
          <w:p w14:paraId="0981D6A9">
            <w:pPr>
              <w:spacing w:before="217" w:line="232"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10</w:t>
            </w:r>
          </w:p>
        </w:tc>
        <w:tc>
          <w:tcPr>
            <w:tcW w:w="2324" w:type="dxa"/>
            <w:vAlign w:val="top"/>
          </w:tcPr>
          <w:p w14:paraId="6243C0EC">
            <w:pPr>
              <w:pStyle w:val="6"/>
              <w:spacing w:before="166" w:line="220" w:lineRule="auto"/>
              <w:ind w:left="634"/>
              <w:rPr>
                <w:sz w:val="21"/>
                <w:szCs w:val="21"/>
              </w:rPr>
            </w:pPr>
            <w:r>
              <w:rPr>
                <w:spacing w:val="-2"/>
                <w:sz w:val="21"/>
                <w:szCs w:val="21"/>
              </w:rPr>
              <w:t>预付款额度</w:t>
            </w:r>
          </w:p>
        </w:tc>
        <w:tc>
          <w:tcPr>
            <w:tcW w:w="1274" w:type="dxa"/>
            <w:vAlign w:val="top"/>
          </w:tcPr>
          <w:p w14:paraId="650E0610">
            <w:pPr>
              <w:spacing w:before="216" w:line="232" w:lineRule="auto"/>
              <w:ind w:left="41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17.2.1</w:t>
            </w:r>
          </w:p>
        </w:tc>
        <w:tc>
          <w:tcPr>
            <w:tcW w:w="3268" w:type="dxa"/>
            <w:vAlign w:val="top"/>
          </w:tcPr>
          <w:p w14:paraId="7BF8CAD5">
            <w:pPr>
              <w:rPr>
                <w:rFonts w:ascii="Arial"/>
                <w:sz w:val="21"/>
              </w:rPr>
            </w:pPr>
          </w:p>
        </w:tc>
        <w:tc>
          <w:tcPr>
            <w:tcW w:w="682" w:type="dxa"/>
            <w:vAlign w:val="top"/>
          </w:tcPr>
          <w:p w14:paraId="0F8EF77C">
            <w:pPr>
              <w:rPr>
                <w:rFonts w:ascii="Arial"/>
                <w:sz w:val="21"/>
              </w:rPr>
            </w:pPr>
          </w:p>
        </w:tc>
      </w:tr>
      <w:tr w14:paraId="0A913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vAlign w:val="top"/>
          </w:tcPr>
          <w:p w14:paraId="2AA58B2E">
            <w:pPr>
              <w:spacing w:before="217" w:line="235"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10"/>
                <w:sz w:val="21"/>
                <w:szCs w:val="21"/>
              </w:rPr>
              <w:t>11</w:t>
            </w:r>
          </w:p>
        </w:tc>
        <w:tc>
          <w:tcPr>
            <w:tcW w:w="2324" w:type="dxa"/>
            <w:vAlign w:val="top"/>
          </w:tcPr>
          <w:p w14:paraId="790E346C">
            <w:pPr>
              <w:pStyle w:val="6"/>
              <w:spacing w:before="167" w:line="220" w:lineRule="auto"/>
              <w:ind w:left="424"/>
              <w:rPr>
                <w:sz w:val="21"/>
                <w:szCs w:val="21"/>
              </w:rPr>
            </w:pPr>
            <w:r>
              <w:rPr>
                <w:spacing w:val="-2"/>
                <w:sz w:val="21"/>
                <w:szCs w:val="21"/>
              </w:rPr>
              <w:t>预付款保函金额</w:t>
            </w:r>
          </w:p>
        </w:tc>
        <w:tc>
          <w:tcPr>
            <w:tcW w:w="1274" w:type="dxa"/>
            <w:vAlign w:val="top"/>
          </w:tcPr>
          <w:p w14:paraId="773D3C91">
            <w:pPr>
              <w:spacing w:before="217" w:line="232" w:lineRule="auto"/>
              <w:ind w:left="41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17.2.2</w:t>
            </w:r>
          </w:p>
        </w:tc>
        <w:tc>
          <w:tcPr>
            <w:tcW w:w="3268" w:type="dxa"/>
            <w:vAlign w:val="top"/>
          </w:tcPr>
          <w:p w14:paraId="40732EAD">
            <w:pPr>
              <w:rPr>
                <w:rFonts w:ascii="Arial"/>
                <w:sz w:val="21"/>
              </w:rPr>
            </w:pPr>
          </w:p>
        </w:tc>
        <w:tc>
          <w:tcPr>
            <w:tcW w:w="682" w:type="dxa"/>
            <w:vAlign w:val="top"/>
          </w:tcPr>
          <w:p w14:paraId="6BE651BE">
            <w:pPr>
              <w:rPr>
                <w:rFonts w:ascii="Arial"/>
                <w:sz w:val="21"/>
              </w:rPr>
            </w:pPr>
          </w:p>
        </w:tc>
      </w:tr>
      <w:tr w14:paraId="0FB98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682" w:type="dxa"/>
            <w:vAlign w:val="top"/>
          </w:tcPr>
          <w:p w14:paraId="139C2A91">
            <w:pPr>
              <w:spacing w:before="217" w:line="235"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12</w:t>
            </w:r>
          </w:p>
        </w:tc>
        <w:tc>
          <w:tcPr>
            <w:tcW w:w="2324" w:type="dxa"/>
            <w:vAlign w:val="top"/>
          </w:tcPr>
          <w:p w14:paraId="150ADDFF">
            <w:pPr>
              <w:pStyle w:val="6"/>
              <w:spacing w:before="168" w:line="220" w:lineRule="auto"/>
              <w:ind w:left="108"/>
              <w:rPr>
                <w:sz w:val="21"/>
                <w:szCs w:val="21"/>
              </w:rPr>
            </w:pPr>
            <w:r>
              <w:rPr>
                <w:spacing w:val="-1"/>
                <w:sz w:val="21"/>
                <w:szCs w:val="21"/>
              </w:rPr>
              <w:t>质量保证金扣留百分比</w:t>
            </w:r>
          </w:p>
        </w:tc>
        <w:tc>
          <w:tcPr>
            <w:tcW w:w="1274" w:type="dxa"/>
            <w:vAlign w:val="top"/>
          </w:tcPr>
          <w:p w14:paraId="08DD4BCE">
            <w:pPr>
              <w:spacing w:before="217" w:line="232" w:lineRule="auto"/>
              <w:ind w:left="41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17.4.1</w:t>
            </w:r>
          </w:p>
        </w:tc>
        <w:tc>
          <w:tcPr>
            <w:tcW w:w="3268" w:type="dxa"/>
            <w:vAlign w:val="top"/>
          </w:tcPr>
          <w:p w14:paraId="0B9E80ED">
            <w:pPr>
              <w:rPr>
                <w:rFonts w:ascii="Arial"/>
                <w:sz w:val="21"/>
              </w:rPr>
            </w:pPr>
          </w:p>
        </w:tc>
        <w:tc>
          <w:tcPr>
            <w:tcW w:w="682" w:type="dxa"/>
            <w:vAlign w:val="top"/>
          </w:tcPr>
          <w:p w14:paraId="7B5D272C">
            <w:pPr>
              <w:rPr>
                <w:rFonts w:ascii="Arial"/>
                <w:sz w:val="21"/>
              </w:rPr>
            </w:pPr>
          </w:p>
        </w:tc>
      </w:tr>
      <w:tr w14:paraId="0A896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682" w:type="dxa"/>
            <w:vAlign w:val="top"/>
          </w:tcPr>
          <w:p w14:paraId="7922F4F1">
            <w:pPr>
              <w:spacing w:before="219" w:line="232"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13</w:t>
            </w:r>
          </w:p>
        </w:tc>
        <w:tc>
          <w:tcPr>
            <w:tcW w:w="2324" w:type="dxa"/>
            <w:vAlign w:val="top"/>
          </w:tcPr>
          <w:p w14:paraId="2F75CE39">
            <w:pPr>
              <w:pStyle w:val="6"/>
              <w:spacing w:before="169" w:line="220" w:lineRule="auto"/>
              <w:ind w:left="423"/>
              <w:rPr>
                <w:sz w:val="21"/>
                <w:szCs w:val="21"/>
              </w:rPr>
            </w:pPr>
            <w:r>
              <w:rPr>
                <w:spacing w:val="-1"/>
                <w:sz w:val="21"/>
                <w:szCs w:val="21"/>
              </w:rPr>
              <w:t>质量保证金额度</w:t>
            </w:r>
          </w:p>
        </w:tc>
        <w:tc>
          <w:tcPr>
            <w:tcW w:w="1274" w:type="dxa"/>
            <w:vAlign w:val="top"/>
          </w:tcPr>
          <w:p w14:paraId="16E4EAF2">
            <w:pPr>
              <w:spacing w:before="219" w:line="232" w:lineRule="auto"/>
              <w:ind w:left="41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17.4.1</w:t>
            </w:r>
          </w:p>
        </w:tc>
        <w:tc>
          <w:tcPr>
            <w:tcW w:w="3268" w:type="dxa"/>
            <w:vAlign w:val="top"/>
          </w:tcPr>
          <w:p w14:paraId="20E74B26">
            <w:pPr>
              <w:rPr>
                <w:rFonts w:ascii="Arial"/>
                <w:sz w:val="21"/>
              </w:rPr>
            </w:pPr>
          </w:p>
        </w:tc>
        <w:tc>
          <w:tcPr>
            <w:tcW w:w="682" w:type="dxa"/>
            <w:vAlign w:val="top"/>
          </w:tcPr>
          <w:p w14:paraId="297BF5D6">
            <w:pPr>
              <w:rPr>
                <w:rFonts w:ascii="Arial"/>
                <w:sz w:val="21"/>
              </w:rPr>
            </w:pPr>
          </w:p>
        </w:tc>
      </w:tr>
      <w:tr w14:paraId="12341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682" w:type="dxa"/>
            <w:vAlign w:val="top"/>
          </w:tcPr>
          <w:p w14:paraId="218BC70A">
            <w:pPr>
              <w:spacing w:before="249" w:line="235"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14</w:t>
            </w:r>
          </w:p>
        </w:tc>
        <w:tc>
          <w:tcPr>
            <w:tcW w:w="2324" w:type="dxa"/>
            <w:vAlign w:val="top"/>
          </w:tcPr>
          <w:p w14:paraId="28208222">
            <w:pPr>
              <w:pStyle w:val="6"/>
              <w:spacing w:before="199" w:line="220" w:lineRule="auto"/>
              <w:ind w:left="423"/>
              <w:rPr>
                <w:sz w:val="21"/>
                <w:szCs w:val="21"/>
              </w:rPr>
            </w:pPr>
            <w:r>
              <w:rPr>
                <w:spacing w:val="-1"/>
                <w:sz w:val="21"/>
                <w:szCs w:val="21"/>
              </w:rPr>
              <w:t>技术标准和要求</w:t>
            </w:r>
          </w:p>
        </w:tc>
        <w:tc>
          <w:tcPr>
            <w:tcW w:w="1274" w:type="dxa"/>
            <w:vAlign w:val="top"/>
          </w:tcPr>
          <w:p w14:paraId="38A93E5C">
            <w:pPr>
              <w:rPr>
                <w:rFonts w:ascii="Arial"/>
                <w:sz w:val="21"/>
              </w:rPr>
            </w:pPr>
          </w:p>
        </w:tc>
        <w:tc>
          <w:tcPr>
            <w:tcW w:w="3268" w:type="dxa"/>
            <w:vAlign w:val="top"/>
          </w:tcPr>
          <w:p w14:paraId="60762365">
            <w:pPr>
              <w:pStyle w:val="6"/>
              <w:spacing w:before="49" w:line="219" w:lineRule="auto"/>
              <w:ind w:left="115"/>
              <w:rPr>
                <w:sz w:val="21"/>
                <w:szCs w:val="21"/>
              </w:rPr>
            </w:pPr>
            <w:r>
              <w:rPr>
                <w:spacing w:val="-4"/>
                <w:sz w:val="21"/>
                <w:szCs w:val="21"/>
              </w:rPr>
              <w:t>符合第七章“技术标准和要求”规</w:t>
            </w:r>
          </w:p>
          <w:p w14:paraId="57CC122F">
            <w:pPr>
              <w:pStyle w:val="6"/>
              <w:spacing w:before="66" w:line="210" w:lineRule="auto"/>
              <w:ind w:left="1530"/>
              <w:rPr>
                <w:sz w:val="21"/>
                <w:szCs w:val="21"/>
              </w:rPr>
            </w:pPr>
            <w:r>
              <w:rPr>
                <w:sz w:val="21"/>
                <w:szCs w:val="21"/>
              </w:rPr>
              <w:t>定</w:t>
            </w:r>
          </w:p>
        </w:tc>
        <w:tc>
          <w:tcPr>
            <w:tcW w:w="682" w:type="dxa"/>
            <w:vAlign w:val="top"/>
          </w:tcPr>
          <w:p w14:paraId="4B2A2776">
            <w:pPr>
              <w:rPr>
                <w:rFonts w:ascii="Arial"/>
                <w:sz w:val="21"/>
              </w:rPr>
            </w:pPr>
          </w:p>
        </w:tc>
      </w:tr>
      <w:tr w14:paraId="0B514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8230" w:type="dxa"/>
            <w:gridSpan w:val="5"/>
            <w:vAlign w:val="top"/>
          </w:tcPr>
          <w:p w14:paraId="0DB4EDCA">
            <w:pPr>
              <w:pStyle w:val="6"/>
              <w:spacing w:before="51" w:line="220" w:lineRule="auto"/>
              <w:ind w:left="130"/>
              <w:rPr>
                <w:sz w:val="21"/>
                <w:szCs w:val="21"/>
              </w:rPr>
            </w:pPr>
            <w:r>
              <w:rPr>
                <w:sz w:val="21"/>
                <w:szCs w:val="21"/>
              </w:rPr>
              <w:t>备注：投标人在响应招标文件中规定的实质性要求和条件的基础上，可做出其他有利于</w:t>
            </w:r>
          </w:p>
          <w:p w14:paraId="7772A081">
            <w:pPr>
              <w:pStyle w:val="6"/>
              <w:spacing w:before="66" w:line="215" w:lineRule="auto"/>
              <w:ind w:left="1706"/>
              <w:rPr>
                <w:sz w:val="21"/>
                <w:szCs w:val="21"/>
              </w:rPr>
            </w:pPr>
            <w:r>
              <w:rPr>
                <w:spacing w:val="-2"/>
                <w:sz w:val="21"/>
                <w:szCs w:val="21"/>
              </w:rPr>
              <w:t>招标人的承诺。此类承诺可在本表中予以补充填写。</w:t>
            </w:r>
          </w:p>
        </w:tc>
      </w:tr>
    </w:tbl>
    <w:p w14:paraId="1A5FD785">
      <w:pPr>
        <w:spacing w:before="179" w:line="219" w:lineRule="auto"/>
        <w:ind w:right="16"/>
        <w:jc w:val="right"/>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盖单位章）</w:t>
      </w:r>
    </w:p>
    <w:p w14:paraId="4731BC6A">
      <w:pPr>
        <w:tabs>
          <w:tab w:val="left" w:pos="6007"/>
        </w:tabs>
        <w:spacing w:before="202" w:line="363" w:lineRule="auto"/>
        <w:ind w:left="5061" w:right="5" w:hanging="135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0790A694">
      <w:pPr>
        <w:spacing w:line="349" w:lineRule="auto"/>
        <w:ind w:left="25" w:firstLine="422"/>
        <w:rPr>
          <w:rFonts w:ascii="宋体" w:hAnsi="宋体" w:eastAsia="宋体" w:cs="宋体"/>
          <w:sz w:val="21"/>
          <w:szCs w:val="21"/>
        </w:rPr>
      </w:pPr>
      <w:r>
        <w:rPr>
          <w:rFonts w:ascii="宋体" w:hAnsi="宋体" w:eastAsia="宋体" w:cs="宋体"/>
          <w:sz w:val="21"/>
          <w:szCs w:val="21"/>
        </w:rPr>
        <w:t>备注：本附录适用于</w:t>
      </w:r>
      <w:r>
        <w:rPr>
          <w:rFonts w:ascii="宋体" w:hAnsi="宋体" w:eastAsia="宋体" w:cs="宋体"/>
          <w:spacing w:val="-41"/>
          <w:sz w:val="21"/>
          <w:szCs w:val="21"/>
        </w:rPr>
        <w:t xml:space="preserve"> </w:t>
      </w:r>
      <w:r>
        <w:rPr>
          <w:rFonts w:ascii="Times New Roman" w:hAnsi="Times New Roman" w:eastAsia="Times New Roman" w:cs="Times New Roman"/>
          <w:sz w:val="21"/>
          <w:szCs w:val="21"/>
        </w:rPr>
        <w:t>2010</w:t>
      </w:r>
      <w:r>
        <w:rPr>
          <w:rFonts w:ascii="Times New Roman" w:hAnsi="Times New Roman" w:eastAsia="Times New Roman" w:cs="Times New Roman"/>
          <w:spacing w:val="17"/>
          <w:sz w:val="21"/>
          <w:szCs w:val="21"/>
        </w:rPr>
        <w:t xml:space="preserve"> </w:t>
      </w:r>
      <w:r>
        <w:rPr>
          <w:rFonts w:ascii="宋体" w:hAnsi="宋体" w:eastAsia="宋体" w:cs="宋体"/>
          <w:sz w:val="21"/>
          <w:szCs w:val="21"/>
        </w:rPr>
        <w:t>年版《房屋建筑和市政工程标准施工</w:t>
      </w:r>
      <w:r>
        <w:rPr>
          <w:rFonts w:ascii="宋体" w:hAnsi="宋体" w:eastAsia="宋体" w:cs="宋体"/>
          <w:spacing w:val="-1"/>
          <w:sz w:val="21"/>
          <w:szCs w:val="21"/>
        </w:rPr>
        <w:t>招标文件》中的合同条</w:t>
      </w:r>
      <w:r>
        <w:rPr>
          <w:rFonts w:ascii="宋体" w:hAnsi="宋体" w:eastAsia="宋体" w:cs="宋体"/>
          <w:spacing w:val="-10"/>
          <w:sz w:val="21"/>
          <w:szCs w:val="21"/>
        </w:rPr>
        <w:t>款。</w:t>
      </w:r>
    </w:p>
    <w:p w14:paraId="56BAE5E8">
      <w:pPr>
        <w:spacing w:line="349" w:lineRule="auto"/>
        <w:rPr>
          <w:rFonts w:ascii="宋体" w:hAnsi="宋体" w:eastAsia="宋体" w:cs="宋体"/>
          <w:sz w:val="21"/>
          <w:szCs w:val="21"/>
        </w:rPr>
        <w:sectPr>
          <w:footerReference r:id="rId302" w:type="default"/>
          <w:pgSz w:w="11910" w:h="16845"/>
          <w:pgMar w:top="400" w:right="1781" w:bottom="1110" w:left="1786" w:header="0" w:footer="883" w:gutter="0"/>
          <w:cols w:space="720" w:num="1"/>
        </w:sectPr>
      </w:pPr>
    </w:p>
    <w:p w14:paraId="340575B1">
      <w:pPr>
        <w:pStyle w:val="2"/>
        <w:spacing w:line="270" w:lineRule="auto"/>
      </w:pPr>
    </w:p>
    <w:p w14:paraId="209D6315">
      <w:pPr>
        <w:pStyle w:val="2"/>
        <w:spacing w:line="270" w:lineRule="auto"/>
      </w:pPr>
    </w:p>
    <w:p w14:paraId="448174FE">
      <w:pPr>
        <w:pStyle w:val="2"/>
        <w:spacing w:line="270" w:lineRule="auto"/>
      </w:pPr>
    </w:p>
    <w:p w14:paraId="7ADEA4F5">
      <w:pPr>
        <w:pStyle w:val="2"/>
        <w:spacing w:line="271" w:lineRule="auto"/>
      </w:pPr>
    </w:p>
    <w:p w14:paraId="786DD8F2">
      <w:pPr>
        <w:pStyle w:val="2"/>
        <w:spacing w:line="271" w:lineRule="auto"/>
      </w:pPr>
    </w:p>
    <w:p w14:paraId="43C2146C">
      <w:pPr>
        <w:spacing w:before="100" w:line="222" w:lineRule="auto"/>
        <w:ind w:left="520"/>
        <w:outlineLvl w:val="1"/>
        <w:rPr>
          <w:rFonts w:ascii="宋体" w:hAnsi="宋体" w:eastAsia="宋体" w:cs="宋体"/>
          <w:sz w:val="31"/>
          <w:szCs w:val="31"/>
        </w:rPr>
      </w:pPr>
      <w:bookmarkStart w:id="621" w:name="bookmark574"/>
      <w:bookmarkEnd w:id="621"/>
      <w:r>
        <w:rPr>
          <w:rFonts w:ascii="宋体" w:hAnsi="宋体" w:eastAsia="宋体" w:cs="宋体"/>
          <w:b/>
          <w:bCs/>
          <w:spacing w:val="8"/>
          <w:sz w:val="31"/>
          <w:szCs w:val="31"/>
        </w:rPr>
        <w:t>（二）投标函附录</w:t>
      </w:r>
    </w:p>
    <w:p w14:paraId="1F98B5EC">
      <w:pPr>
        <w:pStyle w:val="2"/>
        <w:spacing w:line="412" w:lineRule="auto"/>
      </w:pPr>
    </w:p>
    <w:p w14:paraId="76BEE196">
      <w:pPr>
        <w:spacing w:before="68" w:line="220" w:lineRule="auto"/>
        <w:ind w:left="447"/>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08E7271D">
      <w:pPr>
        <w:spacing w:line="19" w:lineRule="exact"/>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2"/>
        <w:gridCol w:w="2069"/>
        <w:gridCol w:w="1169"/>
        <w:gridCol w:w="3628"/>
        <w:gridCol w:w="682"/>
      </w:tblGrid>
      <w:tr w14:paraId="1C0E8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682" w:type="dxa"/>
            <w:vAlign w:val="top"/>
          </w:tcPr>
          <w:p w14:paraId="19EDF7F2">
            <w:pPr>
              <w:pStyle w:val="6"/>
              <w:spacing w:before="195" w:line="221" w:lineRule="auto"/>
              <w:ind w:left="112"/>
              <w:rPr>
                <w:sz w:val="21"/>
                <w:szCs w:val="21"/>
              </w:rPr>
            </w:pPr>
            <w:r>
              <w:rPr>
                <w:b/>
                <w:bCs/>
                <w:spacing w:val="1"/>
                <w:sz w:val="21"/>
                <w:szCs w:val="21"/>
              </w:rPr>
              <w:t>序号</w:t>
            </w:r>
          </w:p>
        </w:tc>
        <w:tc>
          <w:tcPr>
            <w:tcW w:w="2069" w:type="dxa"/>
            <w:vAlign w:val="top"/>
          </w:tcPr>
          <w:p w14:paraId="7CFFAC43">
            <w:pPr>
              <w:pStyle w:val="6"/>
              <w:spacing w:before="194" w:line="220" w:lineRule="auto"/>
              <w:ind w:left="589"/>
              <w:rPr>
                <w:sz w:val="21"/>
                <w:szCs w:val="21"/>
              </w:rPr>
            </w:pPr>
            <w:r>
              <w:rPr>
                <w:b/>
                <w:bCs/>
                <w:spacing w:val="6"/>
                <w:sz w:val="21"/>
                <w:szCs w:val="21"/>
              </w:rPr>
              <w:t>条款内容</w:t>
            </w:r>
          </w:p>
        </w:tc>
        <w:tc>
          <w:tcPr>
            <w:tcW w:w="1169" w:type="dxa"/>
            <w:vAlign w:val="top"/>
          </w:tcPr>
          <w:p w14:paraId="7A9A3B3C">
            <w:pPr>
              <w:pStyle w:val="6"/>
              <w:spacing w:before="45" w:line="249" w:lineRule="auto"/>
              <w:ind w:left="475" w:right="135" w:hanging="334"/>
              <w:rPr>
                <w:sz w:val="21"/>
                <w:szCs w:val="21"/>
              </w:rPr>
            </w:pPr>
            <w:r>
              <w:rPr>
                <w:b/>
                <w:bCs/>
                <w:spacing w:val="7"/>
                <w:sz w:val="21"/>
                <w:szCs w:val="21"/>
              </w:rPr>
              <w:t>合同条款</w:t>
            </w:r>
            <w:r>
              <w:rPr>
                <w:b/>
                <w:bCs/>
                <w:spacing w:val="-3"/>
                <w:sz w:val="21"/>
                <w:szCs w:val="21"/>
              </w:rPr>
              <w:t>号</w:t>
            </w:r>
          </w:p>
        </w:tc>
        <w:tc>
          <w:tcPr>
            <w:tcW w:w="3628" w:type="dxa"/>
            <w:vAlign w:val="top"/>
          </w:tcPr>
          <w:p w14:paraId="4A083EE9">
            <w:pPr>
              <w:pStyle w:val="6"/>
              <w:spacing w:before="194" w:line="220" w:lineRule="auto"/>
              <w:ind w:left="1379"/>
              <w:rPr>
                <w:sz w:val="21"/>
                <w:szCs w:val="21"/>
              </w:rPr>
            </w:pPr>
            <w:r>
              <w:rPr>
                <w:b/>
                <w:bCs/>
                <w:spacing w:val="6"/>
                <w:sz w:val="21"/>
                <w:szCs w:val="21"/>
              </w:rPr>
              <w:t>约定内容</w:t>
            </w:r>
          </w:p>
        </w:tc>
        <w:tc>
          <w:tcPr>
            <w:tcW w:w="682" w:type="dxa"/>
            <w:vAlign w:val="top"/>
          </w:tcPr>
          <w:p w14:paraId="578B0D07">
            <w:pPr>
              <w:pStyle w:val="6"/>
              <w:spacing w:before="195" w:line="221" w:lineRule="auto"/>
              <w:ind w:left="122"/>
              <w:rPr>
                <w:sz w:val="21"/>
                <w:szCs w:val="21"/>
              </w:rPr>
            </w:pPr>
            <w:r>
              <w:rPr>
                <w:b/>
                <w:bCs/>
                <w:sz w:val="21"/>
                <w:szCs w:val="21"/>
              </w:rPr>
              <w:t>备注</w:t>
            </w:r>
          </w:p>
        </w:tc>
      </w:tr>
      <w:tr w14:paraId="69C99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682" w:type="dxa"/>
            <w:vAlign w:val="top"/>
          </w:tcPr>
          <w:p w14:paraId="51616082">
            <w:pPr>
              <w:spacing w:before="163" w:line="235" w:lineRule="auto"/>
              <w:ind w:left="294"/>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2069" w:type="dxa"/>
            <w:vAlign w:val="top"/>
          </w:tcPr>
          <w:p w14:paraId="4D469723">
            <w:pPr>
              <w:pStyle w:val="6"/>
              <w:spacing w:before="113" w:line="220" w:lineRule="auto"/>
              <w:ind w:left="621"/>
              <w:rPr>
                <w:sz w:val="21"/>
                <w:szCs w:val="21"/>
              </w:rPr>
            </w:pPr>
            <w:r>
              <w:rPr>
                <w:spacing w:val="-2"/>
                <w:sz w:val="21"/>
                <w:szCs w:val="21"/>
              </w:rPr>
              <w:t>项目经理</w:t>
            </w:r>
          </w:p>
        </w:tc>
        <w:tc>
          <w:tcPr>
            <w:tcW w:w="1169" w:type="dxa"/>
            <w:vAlign w:val="top"/>
          </w:tcPr>
          <w:p w14:paraId="0CF97133">
            <w:pPr>
              <w:spacing w:before="163" w:line="232" w:lineRule="auto"/>
              <w:ind w:left="307"/>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1.1.2.8</w:t>
            </w:r>
          </w:p>
        </w:tc>
        <w:tc>
          <w:tcPr>
            <w:tcW w:w="3628" w:type="dxa"/>
            <w:vAlign w:val="top"/>
          </w:tcPr>
          <w:p w14:paraId="30C50258">
            <w:pPr>
              <w:pStyle w:val="6"/>
              <w:spacing w:before="113" w:line="220" w:lineRule="auto"/>
              <w:ind w:left="1140"/>
              <w:rPr>
                <w:sz w:val="21"/>
                <w:szCs w:val="21"/>
              </w:rPr>
            </w:pPr>
            <w:r>
              <w:rPr>
                <w:spacing w:val="-4"/>
                <w:sz w:val="21"/>
                <w:szCs w:val="21"/>
              </w:rPr>
              <w:t>（见投标函）</w:t>
            </w:r>
          </w:p>
        </w:tc>
        <w:tc>
          <w:tcPr>
            <w:tcW w:w="682" w:type="dxa"/>
            <w:vAlign w:val="top"/>
          </w:tcPr>
          <w:p w14:paraId="6797282E">
            <w:pPr>
              <w:rPr>
                <w:rFonts w:ascii="Arial"/>
                <w:sz w:val="21"/>
              </w:rPr>
            </w:pPr>
          </w:p>
        </w:tc>
      </w:tr>
      <w:tr w14:paraId="4408F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682" w:type="dxa"/>
            <w:vAlign w:val="top"/>
          </w:tcPr>
          <w:p w14:paraId="4E9E7936">
            <w:pPr>
              <w:spacing w:before="134" w:line="235" w:lineRule="auto"/>
              <w:ind w:left="274"/>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069" w:type="dxa"/>
            <w:vAlign w:val="top"/>
          </w:tcPr>
          <w:p w14:paraId="3610F844">
            <w:pPr>
              <w:pStyle w:val="6"/>
              <w:spacing w:before="85" w:line="220" w:lineRule="auto"/>
              <w:ind w:left="830"/>
              <w:rPr>
                <w:sz w:val="21"/>
                <w:szCs w:val="21"/>
              </w:rPr>
            </w:pPr>
            <w:r>
              <w:rPr>
                <w:spacing w:val="-3"/>
                <w:sz w:val="21"/>
                <w:szCs w:val="21"/>
              </w:rPr>
              <w:t>工期</w:t>
            </w:r>
          </w:p>
        </w:tc>
        <w:tc>
          <w:tcPr>
            <w:tcW w:w="1169" w:type="dxa"/>
            <w:vAlign w:val="top"/>
          </w:tcPr>
          <w:p w14:paraId="11AAD62E">
            <w:pPr>
              <w:spacing w:before="135" w:line="232" w:lineRule="auto"/>
              <w:ind w:left="307"/>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1.1.4.3</w:t>
            </w:r>
          </w:p>
        </w:tc>
        <w:tc>
          <w:tcPr>
            <w:tcW w:w="3628" w:type="dxa"/>
            <w:vAlign w:val="top"/>
          </w:tcPr>
          <w:p w14:paraId="5BB3E9F1">
            <w:pPr>
              <w:pStyle w:val="6"/>
              <w:spacing w:before="84" w:line="220" w:lineRule="auto"/>
              <w:ind w:left="1140"/>
              <w:rPr>
                <w:sz w:val="21"/>
                <w:szCs w:val="21"/>
              </w:rPr>
            </w:pPr>
            <w:r>
              <w:rPr>
                <w:spacing w:val="-4"/>
                <w:sz w:val="21"/>
                <w:szCs w:val="21"/>
              </w:rPr>
              <w:t>（见投标函）</w:t>
            </w:r>
          </w:p>
        </w:tc>
        <w:tc>
          <w:tcPr>
            <w:tcW w:w="682" w:type="dxa"/>
            <w:vAlign w:val="top"/>
          </w:tcPr>
          <w:p w14:paraId="6A916528">
            <w:pPr>
              <w:rPr>
                <w:rFonts w:ascii="Arial"/>
                <w:sz w:val="21"/>
              </w:rPr>
            </w:pPr>
          </w:p>
        </w:tc>
      </w:tr>
      <w:tr w14:paraId="4E44C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82" w:type="dxa"/>
            <w:vAlign w:val="top"/>
          </w:tcPr>
          <w:p w14:paraId="641DD7F8">
            <w:pPr>
              <w:spacing w:before="135" w:line="232" w:lineRule="auto"/>
              <w:ind w:left="278"/>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2069" w:type="dxa"/>
            <w:vAlign w:val="top"/>
          </w:tcPr>
          <w:p w14:paraId="0FA4E846">
            <w:pPr>
              <w:pStyle w:val="6"/>
              <w:spacing w:before="85" w:line="220" w:lineRule="auto"/>
              <w:ind w:left="512"/>
              <w:rPr>
                <w:sz w:val="21"/>
                <w:szCs w:val="21"/>
              </w:rPr>
            </w:pPr>
            <w:r>
              <w:rPr>
                <w:spacing w:val="-1"/>
                <w:sz w:val="21"/>
                <w:szCs w:val="21"/>
              </w:rPr>
              <w:t>缺陷责任期</w:t>
            </w:r>
          </w:p>
        </w:tc>
        <w:tc>
          <w:tcPr>
            <w:tcW w:w="1169" w:type="dxa"/>
            <w:vAlign w:val="top"/>
          </w:tcPr>
          <w:p w14:paraId="60100E06">
            <w:pPr>
              <w:spacing w:before="135" w:line="232" w:lineRule="auto"/>
              <w:ind w:left="352"/>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1.1.4.4</w:t>
            </w:r>
          </w:p>
        </w:tc>
        <w:tc>
          <w:tcPr>
            <w:tcW w:w="3628" w:type="dxa"/>
            <w:vAlign w:val="top"/>
          </w:tcPr>
          <w:p w14:paraId="5F235FFF">
            <w:pPr>
              <w:rPr>
                <w:rFonts w:ascii="Arial"/>
                <w:sz w:val="21"/>
              </w:rPr>
            </w:pPr>
          </w:p>
        </w:tc>
        <w:tc>
          <w:tcPr>
            <w:tcW w:w="682" w:type="dxa"/>
            <w:vAlign w:val="top"/>
          </w:tcPr>
          <w:p w14:paraId="1C0FB66E">
            <w:pPr>
              <w:rPr>
                <w:rFonts w:ascii="Arial"/>
                <w:sz w:val="21"/>
              </w:rPr>
            </w:pPr>
          </w:p>
        </w:tc>
      </w:tr>
      <w:tr w14:paraId="7068C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82" w:type="dxa"/>
            <w:vAlign w:val="top"/>
          </w:tcPr>
          <w:p w14:paraId="14FCFE3B">
            <w:pPr>
              <w:spacing w:before="240" w:line="235" w:lineRule="auto"/>
              <w:ind w:left="273"/>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2069" w:type="dxa"/>
            <w:vAlign w:val="top"/>
          </w:tcPr>
          <w:p w14:paraId="689970BD">
            <w:pPr>
              <w:pStyle w:val="6"/>
              <w:spacing w:before="24" w:line="255" w:lineRule="auto"/>
              <w:ind w:left="409" w:right="181" w:hanging="209"/>
              <w:rPr>
                <w:sz w:val="21"/>
                <w:szCs w:val="21"/>
              </w:rPr>
            </w:pPr>
            <w:r>
              <w:rPr>
                <w:spacing w:val="-2"/>
                <w:sz w:val="21"/>
                <w:szCs w:val="21"/>
              </w:rPr>
              <w:t>项目经理每月在施工现场的时间</w:t>
            </w:r>
          </w:p>
        </w:tc>
        <w:tc>
          <w:tcPr>
            <w:tcW w:w="1169" w:type="dxa"/>
            <w:vAlign w:val="top"/>
          </w:tcPr>
          <w:p w14:paraId="7135A256">
            <w:pPr>
              <w:spacing w:before="241" w:line="232" w:lineRule="auto"/>
              <w:ind w:left="411"/>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3.2.1</w:t>
            </w:r>
          </w:p>
        </w:tc>
        <w:tc>
          <w:tcPr>
            <w:tcW w:w="3628" w:type="dxa"/>
            <w:vAlign w:val="top"/>
          </w:tcPr>
          <w:p w14:paraId="61A926E9">
            <w:pPr>
              <w:rPr>
                <w:rFonts w:ascii="Arial"/>
                <w:sz w:val="21"/>
              </w:rPr>
            </w:pPr>
          </w:p>
        </w:tc>
        <w:tc>
          <w:tcPr>
            <w:tcW w:w="682" w:type="dxa"/>
            <w:vAlign w:val="top"/>
          </w:tcPr>
          <w:p w14:paraId="7C0B4C18">
            <w:pPr>
              <w:rPr>
                <w:rFonts w:ascii="Arial"/>
                <w:sz w:val="21"/>
              </w:rPr>
            </w:pPr>
          </w:p>
        </w:tc>
      </w:tr>
      <w:tr w14:paraId="33A24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0" w:hRule="atLeast"/>
        </w:trPr>
        <w:tc>
          <w:tcPr>
            <w:tcW w:w="682" w:type="dxa"/>
            <w:vAlign w:val="top"/>
          </w:tcPr>
          <w:p w14:paraId="712DE8DA">
            <w:pPr>
              <w:spacing w:line="329" w:lineRule="auto"/>
              <w:rPr>
                <w:rFonts w:ascii="Arial"/>
                <w:sz w:val="21"/>
              </w:rPr>
            </w:pPr>
          </w:p>
          <w:p w14:paraId="4281E5D2">
            <w:pPr>
              <w:spacing w:before="61" w:line="232" w:lineRule="auto"/>
              <w:ind w:left="279"/>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2069" w:type="dxa"/>
            <w:vAlign w:val="top"/>
          </w:tcPr>
          <w:p w14:paraId="1152DB46">
            <w:pPr>
              <w:pStyle w:val="6"/>
              <w:spacing w:before="41" w:line="220" w:lineRule="auto"/>
              <w:ind w:left="200"/>
              <w:rPr>
                <w:sz w:val="21"/>
                <w:szCs w:val="21"/>
              </w:rPr>
            </w:pPr>
            <w:r>
              <w:rPr>
                <w:spacing w:val="-1"/>
                <w:sz w:val="21"/>
                <w:szCs w:val="21"/>
              </w:rPr>
              <w:t>项目经理擅自离开</w:t>
            </w:r>
          </w:p>
          <w:p w14:paraId="210F3EA5">
            <w:pPr>
              <w:pStyle w:val="6"/>
              <w:spacing w:before="50" w:line="220" w:lineRule="auto"/>
              <w:ind w:left="196"/>
              <w:rPr>
                <w:sz w:val="21"/>
                <w:szCs w:val="21"/>
              </w:rPr>
            </w:pPr>
            <w:r>
              <w:rPr>
                <w:spacing w:val="-1"/>
                <w:sz w:val="21"/>
                <w:szCs w:val="21"/>
              </w:rPr>
              <w:t>施工现场的违约责</w:t>
            </w:r>
          </w:p>
          <w:p w14:paraId="0FCBECFA">
            <w:pPr>
              <w:pStyle w:val="6"/>
              <w:spacing w:before="64" w:line="220" w:lineRule="auto"/>
              <w:ind w:left="932"/>
              <w:rPr>
                <w:sz w:val="21"/>
                <w:szCs w:val="21"/>
              </w:rPr>
            </w:pPr>
            <w:r>
              <w:rPr>
                <w:sz w:val="21"/>
                <w:szCs w:val="21"/>
              </w:rPr>
              <w:t>任</w:t>
            </w:r>
          </w:p>
        </w:tc>
        <w:tc>
          <w:tcPr>
            <w:tcW w:w="1169" w:type="dxa"/>
            <w:vAlign w:val="top"/>
          </w:tcPr>
          <w:p w14:paraId="55789EA1">
            <w:pPr>
              <w:spacing w:line="329" w:lineRule="auto"/>
              <w:rPr>
                <w:rFonts w:ascii="Arial"/>
                <w:sz w:val="21"/>
              </w:rPr>
            </w:pPr>
          </w:p>
          <w:p w14:paraId="0C8729FE">
            <w:pPr>
              <w:spacing w:before="60" w:line="232" w:lineRule="auto"/>
              <w:ind w:left="411"/>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3.2.1</w:t>
            </w:r>
          </w:p>
        </w:tc>
        <w:tc>
          <w:tcPr>
            <w:tcW w:w="3628" w:type="dxa"/>
            <w:vAlign w:val="top"/>
          </w:tcPr>
          <w:p w14:paraId="5700DA5D">
            <w:pPr>
              <w:rPr>
                <w:rFonts w:ascii="Arial"/>
                <w:sz w:val="21"/>
              </w:rPr>
            </w:pPr>
          </w:p>
        </w:tc>
        <w:tc>
          <w:tcPr>
            <w:tcW w:w="682" w:type="dxa"/>
            <w:vAlign w:val="top"/>
          </w:tcPr>
          <w:p w14:paraId="27C7475C">
            <w:pPr>
              <w:rPr>
                <w:rFonts w:ascii="Arial"/>
                <w:sz w:val="21"/>
              </w:rPr>
            </w:pPr>
          </w:p>
        </w:tc>
      </w:tr>
      <w:tr w14:paraId="1484C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82" w:type="dxa"/>
            <w:vAlign w:val="top"/>
          </w:tcPr>
          <w:p w14:paraId="31370441">
            <w:pPr>
              <w:spacing w:before="242" w:line="232" w:lineRule="auto"/>
              <w:ind w:left="278"/>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2069" w:type="dxa"/>
            <w:vAlign w:val="top"/>
          </w:tcPr>
          <w:p w14:paraId="4941C2F1">
            <w:pPr>
              <w:pStyle w:val="6"/>
              <w:spacing w:before="43" w:line="247" w:lineRule="auto"/>
              <w:ind w:left="529" w:right="181" w:hanging="331"/>
              <w:rPr>
                <w:sz w:val="21"/>
                <w:szCs w:val="21"/>
              </w:rPr>
            </w:pPr>
            <w:r>
              <w:rPr>
                <w:spacing w:val="-1"/>
                <w:sz w:val="21"/>
                <w:szCs w:val="21"/>
              </w:rPr>
              <w:t>擅自更换项目经理</w:t>
            </w:r>
            <w:r>
              <w:rPr>
                <w:spacing w:val="-4"/>
                <w:sz w:val="21"/>
                <w:szCs w:val="21"/>
              </w:rPr>
              <w:t>的违约责任</w:t>
            </w:r>
          </w:p>
        </w:tc>
        <w:tc>
          <w:tcPr>
            <w:tcW w:w="1169" w:type="dxa"/>
            <w:vAlign w:val="top"/>
          </w:tcPr>
          <w:p w14:paraId="214CCFDC">
            <w:pPr>
              <w:spacing w:before="242" w:line="232" w:lineRule="auto"/>
              <w:ind w:left="411"/>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3.2.3</w:t>
            </w:r>
          </w:p>
        </w:tc>
        <w:tc>
          <w:tcPr>
            <w:tcW w:w="3628" w:type="dxa"/>
            <w:vAlign w:val="top"/>
          </w:tcPr>
          <w:p w14:paraId="06B4720A">
            <w:pPr>
              <w:rPr>
                <w:rFonts w:ascii="Arial"/>
                <w:sz w:val="21"/>
              </w:rPr>
            </w:pPr>
          </w:p>
        </w:tc>
        <w:tc>
          <w:tcPr>
            <w:tcW w:w="682" w:type="dxa"/>
            <w:vAlign w:val="top"/>
          </w:tcPr>
          <w:p w14:paraId="4E3B7F4C">
            <w:pPr>
              <w:rPr>
                <w:rFonts w:ascii="Arial"/>
                <w:sz w:val="21"/>
              </w:rPr>
            </w:pPr>
          </w:p>
        </w:tc>
      </w:tr>
      <w:tr w14:paraId="71EF8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9" w:hRule="atLeast"/>
        </w:trPr>
        <w:tc>
          <w:tcPr>
            <w:tcW w:w="682" w:type="dxa"/>
            <w:vAlign w:val="top"/>
          </w:tcPr>
          <w:p w14:paraId="30E518B8">
            <w:pPr>
              <w:spacing w:line="345" w:lineRule="auto"/>
              <w:rPr>
                <w:rFonts w:ascii="Arial"/>
                <w:sz w:val="21"/>
              </w:rPr>
            </w:pPr>
          </w:p>
          <w:p w14:paraId="1D275AC6">
            <w:pPr>
              <w:spacing w:before="60" w:line="232" w:lineRule="auto"/>
              <w:ind w:left="277"/>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2069" w:type="dxa"/>
            <w:vAlign w:val="top"/>
          </w:tcPr>
          <w:p w14:paraId="40D6B8C9">
            <w:pPr>
              <w:pStyle w:val="6"/>
              <w:spacing w:before="43" w:line="220" w:lineRule="auto"/>
              <w:ind w:left="198"/>
              <w:rPr>
                <w:sz w:val="21"/>
                <w:szCs w:val="21"/>
              </w:rPr>
            </w:pPr>
            <w:r>
              <w:rPr>
                <w:spacing w:val="-1"/>
                <w:sz w:val="21"/>
                <w:szCs w:val="21"/>
              </w:rPr>
              <w:t>无正当理由拒绝更</w:t>
            </w:r>
          </w:p>
          <w:p w14:paraId="2CC38492">
            <w:pPr>
              <w:pStyle w:val="6"/>
              <w:spacing w:before="65" w:line="220" w:lineRule="auto"/>
              <w:ind w:left="198"/>
              <w:rPr>
                <w:sz w:val="21"/>
                <w:szCs w:val="21"/>
              </w:rPr>
            </w:pPr>
            <w:r>
              <w:rPr>
                <w:spacing w:val="-1"/>
                <w:sz w:val="21"/>
                <w:szCs w:val="21"/>
              </w:rPr>
              <w:t>换项目经理的违约</w:t>
            </w:r>
          </w:p>
          <w:p w14:paraId="4EB0661C">
            <w:pPr>
              <w:pStyle w:val="6"/>
              <w:spacing w:before="64" w:line="216" w:lineRule="auto"/>
              <w:ind w:left="835"/>
              <w:rPr>
                <w:sz w:val="21"/>
                <w:szCs w:val="21"/>
              </w:rPr>
            </w:pPr>
            <w:r>
              <w:rPr>
                <w:spacing w:val="-4"/>
                <w:sz w:val="21"/>
                <w:szCs w:val="21"/>
              </w:rPr>
              <w:t>责任</w:t>
            </w:r>
          </w:p>
        </w:tc>
        <w:tc>
          <w:tcPr>
            <w:tcW w:w="1169" w:type="dxa"/>
            <w:vAlign w:val="top"/>
          </w:tcPr>
          <w:p w14:paraId="14592DB2">
            <w:pPr>
              <w:spacing w:line="345" w:lineRule="auto"/>
              <w:rPr>
                <w:rFonts w:ascii="Arial"/>
                <w:sz w:val="21"/>
              </w:rPr>
            </w:pPr>
          </w:p>
          <w:p w14:paraId="1F1330F6">
            <w:pPr>
              <w:spacing w:before="60" w:line="232" w:lineRule="auto"/>
              <w:ind w:left="411"/>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3.2.4</w:t>
            </w:r>
          </w:p>
        </w:tc>
        <w:tc>
          <w:tcPr>
            <w:tcW w:w="3628" w:type="dxa"/>
            <w:vAlign w:val="top"/>
          </w:tcPr>
          <w:p w14:paraId="4DACB368">
            <w:pPr>
              <w:rPr>
                <w:rFonts w:ascii="Arial"/>
                <w:sz w:val="21"/>
              </w:rPr>
            </w:pPr>
          </w:p>
        </w:tc>
        <w:tc>
          <w:tcPr>
            <w:tcW w:w="682" w:type="dxa"/>
            <w:vAlign w:val="top"/>
          </w:tcPr>
          <w:p w14:paraId="30A33DBA">
            <w:pPr>
              <w:rPr>
                <w:rFonts w:ascii="Arial"/>
                <w:sz w:val="21"/>
              </w:rPr>
            </w:pPr>
          </w:p>
        </w:tc>
      </w:tr>
      <w:tr w14:paraId="76281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82" w:type="dxa"/>
            <w:vAlign w:val="top"/>
          </w:tcPr>
          <w:p w14:paraId="727A6B6A">
            <w:pPr>
              <w:spacing w:before="244" w:line="232" w:lineRule="auto"/>
              <w:ind w:left="282"/>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2069" w:type="dxa"/>
            <w:vAlign w:val="top"/>
          </w:tcPr>
          <w:p w14:paraId="453202BE">
            <w:pPr>
              <w:pStyle w:val="6"/>
              <w:spacing w:before="44" w:line="220" w:lineRule="auto"/>
              <w:ind w:left="197"/>
              <w:rPr>
                <w:sz w:val="21"/>
                <w:szCs w:val="21"/>
              </w:rPr>
            </w:pPr>
            <w:r>
              <w:rPr>
                <w:spacing w:val="-1"/>
                <w:sz w:val="21"/>
                <w:szCs w:val="21"/>
              </w:rPr>
              <w:t>承包人履约担保金</w:t>
            </w:r>
          </w:p>
          <w:p w14:paraId="233E524F">
            <w:pPr>
              <w:pStyle w:val="6"/>
              <w:spacing w:before="65" w:line="220" w:lineRule="auto"/>
              <w:ind w:left="933"/>
              <w:rPr>
                <w:sz w:val="21"/>
                <w:szCs w:val="21"/>
              </w:rPr>
            </w:pPr>
            <w:r>
              <w:rPr>
                <w:sz w:val="21"/>
                <w:szCs w:val="21"/>
              </w:rPr>
              <w:t>额</w:t>
            </w:r>
          </w:p>
        </w:tc>
        <w:tc>
          <w:tcPr>
            <w:tcW w:w="1169" w:type="dxa"/>
            <w:vAlign w:val="top"/>
          </w:tcPr>
          <w:p w14:paraId="263AA323">
            <w:pPr>
              <w:spacing w:before="244" w:line="232" w:lineRule="auto"/>
              <w:ind w:left="501"/>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3.7</w:t>
            </w:r>
          </w:p>
        </w:tc>
        <w:tc>
          <w:tcPr>
            <w:tcW w:w="3628" w:type="dxa"/>
            <w:vAlign w:val="top"/>
          </w:tcPr>
          <w:p w14:paraId="098BC0BB">
            <w:pPr>
              <w:rPr>
                <w:rFonts w:ascii="Arial"/>
                <w:sz w:val="21"/>
              </w:rPr>
            </w:pPr>
          </w:p>
        </w:tc>
        <w:tc>
          <w:tcPr>
            <w:tcW w:w="682" w:type="dxa"/>
            <w:vAlign w:val="top"/>
          </w:tcPr>
          <w:p w14:paraId="7A18526C">
            <w:pPr>
              <w:rPr>
                <w:rFonts w:ascii="Arial"/>
                <w:sz w:val="21"/>
              </w:rPr>
            </w:pPr>
          </w:p>
        </w:tc>
      </w:tr>
      <w:tr w14:paraId="185BF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682" w:type="dxa"/>
            <w:vAlign w:val="top"/>
          </w:tcPr>
          <w:p w14:paraId="5C5BF2C3">
            <w:pPr>
              <w:spacing w:before="109" w:line="223" w:lineRule="auto"/>
              <w:ind w:left="278"/>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2069" w:type="dxa"/>
            <w:vAlign w:val="top"/>
          </w:tcPr>
          <w:p w14:paraId="7BC595D6">
            <w:pPr>
              <w:pStyle w:val="6"/>
              <w:spacing w:before="60" w:line="220" w:lineRule="auto"/>
              <w:ind w:left="830"/>
              <w:rPr>
                <w:sz w:val="21"/>
                <w:szCs w:val="21"/>
              </w:rPr>
            </w:pPr>
            <w:r>
              <w:rPr>
                <w:spacing w:val="-3"/>
                <w:sz w:val="21"/>
                <w:szCs w:val="21"/>
              </w:rPr>
              <w:t>分包</w:t>
            </w:r>
          </w:p>
        </w:tc>
        <w:tc>
          <w:tcPr>
            <w:tcW w:w="1169" w:type="dxa"/>
            <w:vAlign w:val="top"/>
          </w:tcPr>
          <w:p w14:paraId="431A090D">
            <w:pPr>
              <w:spacing w:before="109" w:line="223" w:lineRule="auto"/>
              <w:ind w:left="411"/>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3.5.2</w:t>
            </w:r>
          </w:p>
        </w:tc>
        <w:tc>
          <w:tcPr>
            <w:tcW w:w="3628" w:type="dxa"/>
            <w:vAlign w:val="top"/>
          </w:tcPr>
          <w:p w14:paraId="4D025DE7">
            <w:pPr>
              <w:pStyle w:val="6"/>
              <w:spacing w:before="59" w:line="219" w:lineRule="auto"/>
              <w:ind w:left="1078"/>
              <w:rPr>
                <w:sz w:val="21"/>
                <w:szCs w:val="21"/>
              </w:rPr>
            </w:pPr>
            <w:r>
              <w:rPr>
                <w:spacing w:val="-2"/>
                <w:sz w:val="21"/>
                <w:szCs w:val="21"/>
              </w:rPr>
              <w:t>见拟分包计划表</w:t>
            </w:r>
          </w:p>
        </w:tc>
        <w:tc>
          <w:tcPr>
            <w:tcW w:w="682" w:type="dxa"/>
            <w:vAlign w:val="top"/>
          </w:tcPr>
          <w:p w14:paraId="6D5EF8FE">
            <w:pPr>
              <w:rPr>
                <w:rFonts w:ascii="Arial"/>
                <w:sz w:val="21"/>
              </w:rPr>
            </w:pPr>
          </w:p>
        </w:tc>
      </w:tr>
      <w:tr w14:paraId="07DF7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82" w:type="dxa"/>
            <w:vAlign w:val="top"/>
          </w:tcPr>
          <w:p w14:paraId="0B9C9276">
            <w:pPr>
              <w:spacing w:before="141" w:line="232"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10</w:t>
            </w:r>
          </w:p>
        </w:tc>
        <w:tc>
          <w:tcPr>
            <w:tcW w:w="2069" w:type="dxa"/>
            <w:vAlign w:val="top"/>
          </w:tcPr>
          <w:p w14:paraId="646C3FD5">
            <w:pPr>
              <w:pStyle w:val="6"/>
              <w:spacing w:before="91" w:line="220" w:lineRule="auto"/>
              <w:ind w:left="300"/>
              <w:rPr>
                <w:sz w:val="21"/>
                <w:szCs w:val="21"/>
              </w:rPr>
            </w:pPr>
            <w:r>
              <w:rPr>
                <w:spacing w:val="-1"/>
                <w:sz w:val="21"/>
                <w:szCs w:val="21"/>
              </w:rPr>
              <w:t>逾期竣工违约金</w:t>
            </w:r>
          </w:p>
        </w:tc>
        <w:tc>
          <w:tcPr>
            <w:tcW w:w="1169" w:type="dxa"/>
            <w:vAlign w:val="top"/>
          </w:tcPr>
          <w:p w14:paraId="3FA2EC6A">
            <w:pPr>
              <w:spacing w:before="141" w:line="232" w:lineRule="auto"/>
              <w:ind w:left="41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7.5.2</w:t>
            </w:r>
          </w:p>
        </w:tc>
        <w:tc>
          <w:tcPr>
            <w:tcW w:w="3628" w:type="dxa"/>
            <w:vAlign w:val="top"/>
          </w:tcPr>
          <w:p w14:paraId="14FA7537">
            <w:pPr>
              <w:pStyle w:val="6"/>
              <w:spacing w:before="91" w:line="234" w:lineRule="auto"/>
              <w:ind w:left="2157"/>
              <w:rPr>
                <w:sz w:val="21"/>
                <w:szCs w:val="21"/>
              </w:rPr>
            </w:pPr>
            <w:r>
              <w:rPr>
                <w:spacing w:val="-3"/>
                <w:sz w:val="21"/>
                <w:szCs w:val="21"/>
              </w:rPr>
              <w:t>元</w:t>
            </w:r>
            <w:r>
              <w:rPr>
                <w:rFonts w:ascii="Times New Roman" w:hAnsi="Times New Roman" w:eastAsia="Times New Roman" w:cs="Times New Roman"/>
                <w:spacing w:val="-3"/>
                <w:sz w:val="21"/>
                <w:szCs w:val="21"/>
              </w:rPr>
              <w:t>/</w:t>
            </w:r>
            <w:r>
              <w:rPr>
                <w:spacing w:val="-3"/>
                <w:sz w:val="21"/>
                <w:szCs w:val="21"/>
              </w:rPr>
              <w:t>天</w:t>
            </w:r>
          </w:p>
        </w:tc>
        <w:tc>
          <w:tcPr>
            <w:tcW w:w="682" w:type="dxa"/>
            <w:vAlign w:val="top"/>
          </w:tcPr>
          <w:p w14:paraId="4091FA04">
            <w:pPr>
              <w:rPr>
                <w:rFonts w:ascii="Arial"/>
                <w:sz w:val="21"/>
              </w:rPr>
            </w:pPr>
          </w:p>
        </w:tc>
      </w:tr>
      <w:tr w14:paraId="43954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682" w:type="dxa"/>
            <w:vAlign w:val="top"/>
          </w:tcPr>
          <w:p w14:paraId="5A6A7DF0">
            <w:pPr>
              <w:spacing w:before="246" w:line="235"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10"/>
                <w:sz w:val="21"/>
                <w:szCs w:val="21"/>
              </w:rPr>
              <w:t>11</w:t>
            </w:r>
          </w:p>
        </w:tc>
        <w:tc>
          <w:tcPr>
            <w:tcW w:w="2069" w:type="dxa"/>
            <w:vAlign w:val="top"/>
          </w:tcPr>
          <w:p w14:paraId="7FCC2D38">
            <w:pPr>
              <w:pStyle w:val="6"/>
              <w:spacing w:before="32" w:line="251" w:lineRule="auto"/>
              <w:ind w:left="829" w:right="181" w:hanging="634"/>
              <w:rPr>
                <w:sz w:val="21"/>
                <w:szCs w:val="21"/>
              </w:rPr>
            </w:pPr>
            <w:r>
              <w:rPr>
                <w:spacing w:val="-1"/>
                <w:sz w:val="21"/>
                <w:szCs w:val="21"/>
              </w:rPr>
              <w:t>逾期竣工违约金的</w:t>
            </w:r>
            <w:r>
              <w:rPr>
                <w:spacing w:val="-3"/>
                <w:sz w:val="21"/>
                <w:szCs w:val="21"/>
              </w:rPr>
              <w:t>上限</w:t>
            </w:r>
          </w:p>
        </w:tc>
        <w:tc>
          <w:tcPr>
            <w:tcW w:w="1169" w:type="dxa"/>
            <w:vAlign w:val="top"/>
          </w:tcPr>
          <w:p w14:paraId="008AA001">
            <w:pPr>
              <w:spacing w:before="247" w:line="232" w:lineRule="auto"/>
              <w:ind w:left="410"/>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7.5.2</w:t>
            </w:r>
          </w:p>
        </w:tc>
        <w:tc>
          <w:tcPr>
            <w:tcW w:w="3628" w:type="dxa"/>
            <w:vAlign w:val="top"/>
          </w:tcPr>
          <w:p w14:paraId="10969702">
            <w:pPr>
              <w:rPr>
                <w:rFonts w:ascii="Arial"/>
                <w:sz w:val="21"/>
              </w:rPr>
            </w:pPr>
          </w:p>
        </w:tc>
        <w:tc>
          <w:tcPr>
            <w:tcW w:w="682" w:type="dxa"/>
            <w:vAlign w:val="top"/>
          </w:tcPr>
          <w:p w14:paraId="3BBC1FC3">
            <w:pPr>
              <w:rPr>
                <w:rFonts w:ascii="Arial"/>
                <w:sz w:val="21"/>
              </w:rPr>
            </w:pPr>
          </w:p>
        </w:tc>
      </w:tr>
      <w:tr w14:paraId="235DC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682" w:type="dxa"/>
            <w:vAlign w:val="top"/>
          </w:tcPr>
          <w:p w14:paraId="3E522343">
            <w:pPr>
              <w:spacing w:before="248" w:line="235"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12</w:t>
            </w:r>
          </w:p>
        </w:tc>
        <w:tc>
          <w:tcPr>
            <w:tcW w:w="2069" w:type="dxa"/>
            <w:vAlign w:val="top"/>
          </w:tcPr>
          <w:p w14:paraId="0D37AB5E">
            <w:pPr>
              <w:pStyle w:val="6"/>
              <w:spacing w:before="48" w:line="218" w:lineRule="auto"/>
              <w:ind w:left="198"/>
              <w:rPr>
                <w:sz w:val="21"/>
                <w:szCs w:val="21"/>
              </w:rPr>
            </w:pPr>
            <w:r>
              <w:rPr>
                <w:spacing w:val="-1"/>
                <w:sz w:val="21"/>
                <w:szCs w:val="21"/>
              </w:rPr>
              <w:t>价格调整的差额计</w:t>
            </w:r>
          </w:p>
          <w:p w14:paraId="55AAB3DD">
            <w:pPr>
              <w:pStyle w:val="6"/>
              <w:spacing w:before="51" w:line="220" w:lineRule="auto"/>
              <w:ind w:left="934"/>
              <w:rPr>
                <w:sz w:val="21"/>
                <w:szCs w:val="21"/>
              </w:rPr>
            </w:pPr>
            <w:r>
              <w:rPr>
                <w:sz w:val="21"/>
                <w:szCs w:val="21"/>
              </w:rPr>
              <w:t>算</w:t>
            </w:r>
          </w:p>
        </w:tc>
        <w:tc>
          <w:tcPr>
            <w:tcW w:w="1169" w:type="dxa"/>
            <w:vAlign w:val="top"/>
          </w:tcPr>
          <w:p w14:paraId="56A45A2D">
            <w:pPr>
              <w:spacing w:before="248" w:line="232" w:lineRule="auto"/>
              <w:ind w:left="472"/>
              <w:rPr>
                <w:rFonts w:ascii="Times New Roman" w:hAnsi="Times New Roman" w:eastAsia="Times New Roman" w:cs="Times New Roman"/>
                <w:sz w:val="21"/>
                <w:szCs w:val="21"/>
              </w:rPr>
            </w:pPr>
            <w:r>
              <w:rPr>
                <w:rFonts w:ascii="Times New Roman" w:hAnsi="Times New Roman" w:eastAsia="Times New Roman" w:cs="Times New Roman"/>
                <w:spacing w:val="-9"/>
                <w:sz w:val="21"/>
                <w:szCs w:val="21"/>
              </w:rPr>
              <w:t>11.1</w:t>
            </w:r>
          </w:p>
        </w:tc>
        <w:tc>
          <w:tcPr>
            <w:tcW w:w="3628" w:type="dxa"/>
            <w:vAlign w:val="top"/>
          </w:tcPr>
          <w:p w14:paraId="2B0D88D5">
            <w:pPr>
              <w:pStyle w:val="6"/>
              <w:spacing w:before="48" w:line="218" w:lineRule="auto"/>
              <w:ind w:left="127"/>
              <w:rPr>
                <w:sz w:val="21"/>
                <w:szCs w:val="21"/>
              </w:rPr>
            </w:pPr>
            <w:r>
              <w:rPr>
                <w:sz w:val="21"/>
                <w:szCs w:val="21"/>
              </w:rPr>
              <w:t>采用价格指数进行价格调整时，见价</w:t>
            </w:r>
          </w:p>
          <w:p w14:paraId="6818FA9A">
            <w:pPr>
              <w:pStyle w:val="6"/>
              <w:spacing w:before="51" w:line="220" w:lineRule="auto"/>
              <w:ind w:left="1179"/>
              <w:rPr>
                <w:sz w:val="21"/>
                <w:szCs w:val="21"/>
              </w:rPr>
            </w:pPr>
            <w:r>
              <w:rPr>
                <w:spacing w:val="-1"/>
                <w:sz w:val="21"/>
                <w:szCs w:val="21"/>
              </w:rPr>
              <w:t>格指数权重表</w:t>
            </w:r>
          </w:p>
        </w:tc>
        <w:tc>
          <w:tcPr>
            <w:tcW w:w="682" w:type="dxa"/>
            <w:vAlign w:val="top"/>
          </w:tcPr>
          <w:p w14:paraId="067D762A">
            <w:pPr>
              <w:rPr>
                <w:rFonts w:ascii="Arial"/>
                <w:sz w:val="21"/>
              </w:rPr>
            </w:pPr>
          </w:p>
        </w:tc>
      </w:tr>
      <w:tr w14:paraId="37043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82" w:type="dxa"/>
            <w:vAlign w:val="top"/>
          </w:tcPr>
          <w:p w14:paraId="204EA3AF">
            <w:pPr>
              <w:spacing w:before="249" w:line="232"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13</w:t>
            </w:r>
          </w:p>
        </w:tc>
        <w:tc>
          <w:tcPr>
            <w:tcW w:w="2069" w:type="dxa"/>
            <w:vAlign w:val="top"/>
          </w:tcPr>
          <w:p w14:paraId="386A3C8F">
            <w:pPr>
              <w:pStyle w:val="6"/>
              <w:spacing w:before="48" w:line="251" w:lineRule="auto"/>
              <w:ind w:left="829" w:right="181" w:hanging="631"/>
              <w:rPr>
                <w:sz w:val="21"/>
                <w:szCs w:val="21"/>
              </w:rPr>
            </w:pPr>
            <w:r>
              <w:rPr>
                <w:spacing w:val="-1"/>
                <w:sz w:val="21"/>
                <w:szCs w:val="21"/>
              </w:rPr>
              <w:t>预付款支付比例或</w:t>
            </w:r>
            <w:r>
              <w:rPr>
                <w:spacing w:val="-3"/>
                <w:sz w:val="21"/>
                <w:szCs w:val="21"/>
              </w:rPr>
              <w:t>金额</w:t>
            </w:r>
          </w:p>
        </w:tc>
        <w:tc>
          <w:tcPr>
            <w:tcW w:w="1169" w:type="dxa"/>
            <w:vAlign w:val="top"/>
          </w:tcPr>
          <w:p w14:paraId="0C8AA1F5">
            <w:pPr>
              <w:spacing w:before="249" w:line="232" w:lineRule="auto"/>
              <w:ind w:left="38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12.2.1</w:t>
            </w:r>
          </w:p>
        </w:tc>
        <w:tc>
          <w:tcPr>
            <w:tcW w:w="3628" w:type="dxa"/>
            <w:vAlign w:val="top"/>
          </w:tcPr>
          <w:p w14:paraId="6061DFB0">
            <w:pPr>
              <w:rPr>
                <w:rFonts w:ascii="Arial"/>
                <w:sz w:val="21"/>
              </w:rPr>
            </w:pPr>
          </w:p>
        </w:tc>
        <w:tc>
          <w:tcPr>
            <w:tcW w:w="682" w:type="dxa"/>
            <w:vAlign w:val="top"/>
          </w:tcPr>
          <w:p w14:paraId="40416FCA">
            <w:pPr>
              <w:rPr>
                <w:rFonts w:ascii="Arial"/>
                <w:sz w:val="21"/>
              </w:rPr>
            </w:pPr>
          </w:p>
        </w:tc>
      </w:tr>
      <w:tr w14:paraId="558D1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82" w:type="dxa"/>
            <w:vAlign w:val="top"/>
          </w:tcPr>
          <w:p w14:paraId="615DF563">
            <w:pPr>
              <w:spacing w:before="144" w:line="235"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14</w:t>
            </w:r>
          </w:p>
        </w:tc>
        <w:tc>
          <w:tcPr>
            <w:tcW w:w="2069" w:type="dxa"/>
            <w:vAlign w:val="top"/>
          </w:tcPr>
          <w:p w14:paraId="5531E4D5">
            <w:pPr>
              <w:pStyle w:val="6"/>
              <w:spacing w:before="94" w:line="220" w:lineRule="auto"/>
              <w:ind w:left="303"/>
              <w:rPr>
                <w:sz w:val="21"/>
                <w:szCs w:val="21"/>
              </w:rPr>
            </w:pPr>
            <w:r>
              <w:rPr>
                <w:spacing w:val="-1"/>
                <w:sz w:val="21"/>
                <w:szCs w:val="21"/>
              </w:rPr>
              <w:t>质量保证金额度</w:t>
            </w:r>
          </w:p>
        </w:tc>
        <w:tc>
          <w:tcPr>
            <w:tcW w:w="1169" w:type="dxa"/>
            <w:vAlign w:val="top"/>
          </w:tcPr>
          <w:p w14:paraId="7FA85DA9">
            <w:pPr>
              <w:spacing w:before="144" w:line="232" w:lineRule="auto"/>
              <w:ind w:left="38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15.3.1</w:t>
            </w:r>
          </w:p>
        </w:tc>
        <w:tc>
          <w:tcPr>
            <w:tcW w:w="3628" w:type="dxa"/>
            <w:vAlign w:val="top"/>
          </w:tcPr>
          <w:p w14:paraId="4ABA3A8E">
            <w:pPr>
              <w:rPr>
                <w:rFonts w:ascii="Arial"/>
                <w:sz w:val="21"/>
              </w:rPr>
            </w:pPr>
          </w:p>
        </w:tc>
        <w:tc>
          <w:tcPr>
            <w:tcW w:w="682" w:type="dxa"/>
            <w:vAlign w:val="top"/>
          </w:tcPr>
          <w:p w14:paraId="71968105">
            <w:pPr>
              <w:rPr>
                <w:rFonts w:ascii="Arial"/>
                <w:sz w:val="21"/>
              </w:rPr>
            </w:pPr>
          </w:p>
        </w:tc>
      </w:tr>
      <w:tr w14:paraId="2D8E0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82" w:type="dxa"/>
            <w:vAlign w:val="top"/>
          </w:tcPr>
          <w:p w14:paraId="35523C03">
            <w:pPr>
              <w:spacing w:before="251" w:line="232"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15</w:t>
            </w:r>
          </w:p>
        </w:tc>
        <w:tc>
          <w:tcPr>
            <w:tcW w:w="2069" w:type="dxa"/>
            <w:vAlign w:val="top"/>
          </w:tcPr>
          <w:p w14:paraId="21EEA2ED">
            <w:pPr>
              <w:pStyle w:val="6"/>
              <w:spacing w:before="51" w:line="250" w:lineRule="auto"/>
              <w:ind w:left="829" w:right="182" w:hanging="631"/>
              <w:rPr>
                <w:sz w:val="21"/>
                <w:szCs w:val="21"/>
              </w:rPr>
            </w:pPr>
            <w:r>
              <w:rPr>
                <w:spacing w:val="-1"/>
                <w:sz w:val="21"/>
                <w:szCs w:val="21"/>
              </w:rPr>
              <w:t>质量保证金的扣留</w:t>
            </w:r>
            <w:r>
              <w:rPr>
                <w:spacing w:val="-3"/>
                <w:sz w:val="21"/>
                <w:szCs w:val="21"/>
              </w:rPr>
              <w:t>方式</w:t>
            </w:r>
          </w:p>
        </w:tc>
        <w:tc>
          <w:tcPr>
            <w:tcW w:w="1169" w:type="dxa"/>
            <w:vAlign w:val="top"/>
          </w:tcPr>
          <w:p w14:paraId="58F3A517">
            <w:pPr>
              <w:spacing w:before="251" w:line="232" w:lineRule="auto"/>
              <w:ind w:left="382"/>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15.3.2</w:t>
            </w:r>
          </w:p>
        </w:tc>
        <w:tc>
          <w:tcPr>
            <w:tcW w:w="3628" w:type="dxa"/>
            <w:vAlign w:val="top"/>
          </w:tcPr>
          <w:p w14:paraId="4A0F4B14">
            <w:pPr>
              <w:rPr>
                <w:rFonts w:ascii="Arial"/>
                <w:sz w:val="21"/>
              </w:rPr>
            </w:pPr>
          </w:p>
        </w:tc>
        <w:tc>
          <w:tcPr>
            <w:tcW w:w="682" w:type="dxa"/>
            <w:vAlign w:val="top"/>
          </w:tcPr>
          <w:p w14:paraId="43DE1857">
            <w:pPr>
              <w:rPr>
                <w:rFonts w:ascii="Arial"/>
                <w:sz w:val="21"/>
              </w:rPr>
            </w:pPr>
          </w:p>
        </w:tc>
      </w:tr>
      <w:tr w14:paraId="6EBFA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682" w:type="dxa"/>
            <w:vAlign w:val="top"/>
          </w:tcPr>
          <w:p w14:paraId="7CC9B7E8">
            <w:pPr>
              <w:spacing w:before="207" w:line="232" w:lineRule="auto"/>
              <w:ind w:left="249"/>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16</w:t>
            </w:r>
          </w:p>
        </w:tc>
        <w:tc>
          <w:tcPr>
            <w:tcW w:w="2069" w:type="dxa"/>
            <w:vAlign w:val="top"/>
          </w:tcPr>
          <w:p w14:paraId="7019F2D1">
            <w:pPr>
              <w:pStyle w:val="6"/>
              <w:spacing w:before="156" w:line="220" w:lineRule="auto"/>
              <w:ind w:left="303"/>
              <w:rPr>
                <w:sz w:val="21"/>
                <w:szCs w:val="21"/>
              </w:rPr>
            </w:pPr>
            <w:r>
              <w:rPr>
                <w:spacing w:val="-1"/>
                <w:sz w:val="21"/>
                <w:szCs w:val="21"/>
              </w:rPr>
              <w:t>技术标准和要求</w:t>
            </w:r>
          </w:p>
        </w:tc>
        <w:tc>
          <w:tcPr>
            <w:tcW w:w="1169" w:type="dxa"/>
            <w:vAlign w:val="top"/>
          </w:tcPr>
          <w:p w14:paraId="00F486D2">
            <w:pPr>
              <w:rPr>
                <w:rFonts w:ascii="Arial"/>
                <w:sz w:val="21"/>
              </w:rPr>
            </w:pPr>
          </w:p>
        </w:tc>
        <w:tc>
          <w:tcPr>
            <w:tcW w:w="3628" w:type="dxa"/>
            <w:vAlign w:val="top"/>
          </w:tcPr>
          <w:p w14:paraId="713662D1">
            <w:pPr>
              <w:pStyle w:val="6"/>
              <w:spacing w:before="156" w:line="219" w:lineRule="auto"/>
              <w:ind w:left="129"/>
              <w:rPr>
                <w:sz w:val="21"/>
                <w:szCs w:val="21"/>
              </w:rPr>
            </w:pPr>
            <w:r>
              <w:rPr>
                <w:spacing w:val="-1"/>
                <w:sz w:val="21"/>
                <w:szCs w:val="21"/>
              </w:rPr>
              <w:t>符合第七章“技术标准和要求”规定</w:t>
            </w:r>
          </w:p>
        </w:tc>
        <w:tc>
          <w:tcPr>
            <w:tcW w:w="682" w:type="dxa"/>
            <w:vAlign w:val="top"/>
          </w:tcPr>
          <w:p w14:paraId="35C9F5F0">
            <w:pPr>
              <w:rPr>
                <w:rFonts w:ascii="Arial"/>
                <w:sz w:val="21"/>
              </w:rPr>
            </w:pPr>
          </w:p>
        </w:tc>
      </w:tr>
      <w:tr w14:paraId="10951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8230" w:type="dxa"/>
            <w:gridSpan w:val="5"/>
            <w:vAlign w:val="top"/>
          </w:tcPr>
          <w:p w14:paraId="5308BE90">
            <w:pPr>
              <w:pStyle w:val="6"/>
              <w:spacing w:before="81" w:line="220" w:lineRule="auto"/>
              <w:ind w:left="130"/>
              <w:rPr>
                <w:sz w:val="21"/>
                <w:szCs w:val="21"/>
              </w:rPr>
            </w:pPr>
            <w:r>
              <w:rPr>
                <w:sz w:val="21"/>
                <w:szCs w:val="21"/>
              </w:rPr>
              <w:t>备注：投标人在响应招标文件中规定的实质性要求和条件的基础上，可做出其他有利于</w:t>
            </w:r>
          </w:p>
          <w:p w14:paraId="5D137F58">
            <w:pPr>
              <w:pStyle w:val="6"/>
              <w:spacing w:before="65" w:line="219" w:lineRule="auto"/>
              <w:ind w:left="1706"/>
              <w:rPr>
                <w:sz w:val="21"/>
                <w:szCs w:val="21"/>
              </w:rPr>
            </w:pPr>
            <w:r>
              <w:rPr>
                <w:spacing w:val="-2"/>
                <w:sz w:val="21"/>
                <w:szCs w:val="21"/>
              </w:rPr>
              <w:t>招标人的承诺。此类承诺可在本表中予以补充填写。</w:t>
            </w:r>
          </w:p>
        </w:tc>
      </w:tr>
    </w:tbl>
    <w:p w14:paraId="217A0DFA">
      <w:pPr>
        <w:tabs>
          <w:tab w:val="left" w:pos="4650"/>
        </w:tabs>
        <w:spacing w:before="181" w:line="384" w:lineRule="auto"/>
        <w:ind w:left="3704" w:firstLine="1"/>
        <w:jc w:val="right"/>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z w:val="21"/>
          <w:szCs w:val="21"/>
          <w:u w:val="single" w:color="auto"/>
        </w:rPr>
        <w:t xml:space="preserve">                      </w:t>
      </w:r>
      <w:r>
        <w:rPr>
          <w:rFonts w:ascii="宋体" w:hAnsi="宋体" w:eastAsia="宋体" w:cs="宋体"/>
          <w:spacing w:val="-3"/>
          <w:sz w:val="21"/>
          <w:szCs w:val="21"/>
        </w:rPr>
        <w:t>（盖单位章）</w:t>
      </w: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2AB00CC7">
      <w:pPr>
        <w:spacing w:line="384" w:lineRule="auto"/>
        <w:rPr>
          <w:rFonts w:ascii="宋体" w:hAnsi="宋体" w:eastAsia="宋体" w:cs="宋体"/>
          <w:sz w:val="21"/>
          <w:szCs w:val="21"/>
        </w:rPr>
        <w:sectPr>
          <w:footerReference r:id="rId303" w:type="default"/>
          <w:pgSz w:w="11910" w:h="16845"/>
          <w:pgMar w:top="400" w:right="1786" w:bottom="1110" w:left="1786" w:header="0" w:footer="883" w:gutter="0"/>
          <w:cols w:space="720" w:num="1"/>
        </w:sectPr>
      </w:pPr>
    </w:p>
    <w:p w14:paraId="26918574">
      <w:pPr>
        <w:pStyle w:val="2"/>
        <w:spacing w:line="275" w:lineRule="auto"/>
      </w:pPr>
    </w:p>
    <w:p w14:paraId="277EADDD">
      <w:pPr>
        <w:pStyle w:val="2"/>
        <w:spacing w:line="275" w:lineRule="auto"/>
      </w:pPr>
    </w:p>
    <w:p w14:paraId="34944C15">
      <w:pPr>
        <w:pStyle w:val="2"/>
        <w:spacing w:line="275" w:lineRule="auto"/>
      </w:pPr>
    </w:p>
    <w:p w14:paraId="5B8E549B">
      <w:pPr>
        <w:pStyle w:val="2"/>
        <w:spacing w:line="275" w:lineRule="auto"/>
      </w:pPr>
    </w:p>
    <w:p w14:paraId="3730A1D0">
      <w:pPr>
        <w:spacing w:before="69" w:line="233" w:lineRule="auto"/>
        <w:ind w:left="447"/>
        <w:rPr>
          <w:rFonts w:ascii="宋体" w:hAnsi="宋体" w:eastAsia="宋体" w:cs="宋体"/>
          <w:sz w:val="21"/>
          <w:szCs w:val="21"/>
        </w:rPr>
      </w:pPr>
      <w:r>
        <w:rPr>
          <w:rFonts w:ascii="宋体" w:hAnsi="宋体" w:eastAsia="宋体" w:cs="宋体"/>
          <w:spacing w:val="-5"/>
          <w:sz w:val="21"/>
          <w:szCs w:val="21"/>
        </w:rPr>
        <w:t>备注：本附录适用于《建设工程施工合同（示范文本）》（</w:t>
      </w:r>
      <w:r>
        <w:rPr>
          <w:rFonts w:ascii="Times New Roman" w:hAnsi="Times New Roman" w:eastAsia="Times New Roman" w:cs="Times New Roman"/>
          <w:spacing w:val="-5"/>
          <w:sz w:val="21"/>
          <w:szCs w:val="21"/>
        </w:rPr>
        <w:t>GF-20</w:t>
      </w:r>
      <w:r>
        <w:rPr>
          <w:rFonts w:ascii="Times New Roman" w:hAnsi="Times New Roman" w:eastAsia="Times New Roman" w:cs="Times New Roman"/>
          <w:spacing w:val="-6"/>
          <w:sz w:val="21"/>
          <w:szCs w:val="21"/>
        </w:rPr>
        <w:t>17-0201</w:t>
      </w:r>
      <w:r>
        <w:rPr>
          <w:rFonts w:ascii="宋体" w:hAnsi="宋体" w:eastAsia="宋体" w:cs="宋体"/>
          <w:spacing w:val="-6"/>
          <w:sz w:val="21"/>
          <w:szCs w:val="21"/>
        </w:rPr>
        <w:t>）</w:t>
      </w:r>
    </w:p>
    <w:p w14:paraId="75FE345A">
      <w:pPr>
        <w:spacing w:line="233" w:lineRule="auto"/>
        <w:rPr>
          <w:rFonts w:ascii="宋体" w:hAnsi="宋体" w:eastAsia="宋体" w:cs="宋体"/>
          <w:sz w:val="21"/>
          <w:szCs w:val="21"/>
        </w:rPr>
        <w:sectPr>
          <w:footerReference r:id="rId304" w:type="default"/>
          <w:pgSz w:w="11910" w:h="16845"/>
          <w:pgMar w:top="400" w:right="1786" w:bottom="1110" w:left="1786" w:header="0" w:footer="883" w:gutter="0"/>
          <w:cols w:space="720" w:num="1"/>
        </w:sectPr>
      </w:pPr>
    </w:p>
    <w:p w14:paraId="08ABEDBF">
      <w:pPr>
        <w:pStyle w:val="2"/>
        <w:spacing w:line="283" w:lineRule="auto"/>
      </w:pPr>
    </w:p>
    <w:p w14:paraId="3B457AC6">
      <w:pPr>
        <w:pStyle w:val="2"/>
        <w:spacing w:line="283" w:lineRule="auto"/>
      </w:pPr>
    </w:p>
    <w:p w14:paraId="24375010">
      <w:pPr>
        <w:pStyle w:val="2"/>
        <w:spacing w:line="283" w:lineRule="auto"/>
      </w:pPr>
    </w:p>
    <w:p w14:paraId="3142FBE3">
      <w:pPr>
        <w:pStyle w:val="2"/>
        <w:spacing w:line="284" w:lineRule="auto"/>
      </w:pPr>
    </w:p>
    <w:p w14:paraId="3680B2FB">
      <w:pPr>
        <w:pStyle w:val="2"/>
        <w:spacing w:line="284" w:lineRule="auto"/>
      </w:pPr>
    </w:p>
    <w:p w14:paraId="707B6280">
      <w:pPr>
        <w:spacing w:before="91" w:line="222" w:lineRule="auto"/>
        <w:ind w:left="3180"/>
        <w:rPr>
          <w:rFonts w:ascii="黑体" w:hAnsi="黑体" w:eastAsia="黑体" w:cs="黑体"/>
          <w:sz w:val="28"/>
          <w:szCs w:val="28"/>
        </w:rPr>
      </w:pPr>
      <w:r>
        <w:rPr>
          <w:rFonts w:ascii="黑体" w:hAnsi="黑体" w:eastAsia="黑体" w:cs="黑体"/>
          <w:spacing w:val="6"/>
          <w:sz w:val="28"/>
          <w:szCs w:val="28"/>
        </w:rPr>
        <w:t>价格指数权重表</w:t>
      </w:r>
    </w:p>
    <w:p w14:paraId="71A3B9F0">
      <w:pPr>
        <w:spacing w:before="191"/>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974"/>
        <w:gridCol w:w="705"/>
        <w:gridCol w:w="945"/>
        <w:gridCol w:w="704"/>
        <w:gridCol w:w="1230"/>
        <w:gridCol w:w="1619"/>
        <w:gridCol w:w="1626"/>
      </w:tblGrid>
      <w:tr w14:paraId="16FE7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1" w:hRule="atLeast"/>
        </w:trPr>
        <w:tc>
          <w:tcPr>
            <w:tcW w:w="1401" w:type="dxa"/>
            <w:gridSpan w:val="2"/>
            <w:vMerge w:val="restart"/>
            <w:tcBorders>
              <w:bottom w:val="nil"/>
            </w:tcBorders>
            <w:vAlign w:val="top"/>
          </w:tcPr>
          <w:p w14:paraId="68D660ED">
            <w:pPr>
              <w:pStyle w:val="6"/>
              <w:spacing w:before="209" w:line="222" w:lineRule="auto"/>
              <w:ind w:left="431"/>
              <w:rPr>
                <w:sz w:val="21"/>
                <w:szCs w:val="21"/>
              </w:rPr>
            </w:pPr>
            <w:r>
              <w:rPr>
                <w:b/>
                <w:bCs/>
                <w:spacing w:val="-8"/>
                <w:sz w:val="21"/>
                <w:szCs w:val="21"/>
              </w:rPr>
              <w:t>名</w:t>
            </w:r>
            <w:r>
              <w:rPr>
                <w:spacing w:val="7"/>
                <w:sz w:val="21"/>
                <w:szCs w:val="21"/>
              </w:rPr>
              <w:t xml:space="preserve"> </w:t>
            </w:r>
            <w:r>
              <w:rPr>
                <w:b/>
                <w:bCs/>
                <w:spacing w:val="-8"/>
                <w:sz w:val="21"/>
                <w:szCs w:val="21"/>
              </w:rPr>
              <w:t>称</w:t>
            </w:r>
          </w:p>
        </w:tc>
        <w:tc>
          <w:tcPr>
            <w:tcW w:w="1650" w:type="dxa"/>
            <w:gridSpan w:val="2"/>
            <w:vAlign w:val="top"/>
          </w:tcPr>
          <w:p w14:paraId="48EA9D91">
            <w:pPr>
              <w:pStyle w:val="6"/>
              <w:spacing w:before="44" w:line="218" w:lineRule="auto"/>
              <w:ind w:left="169"/>
              <w:rPr>
                <w:sz w:val="21"/>
                <w:szCs w:val="21"/>
              </w:rPr>
            </w:pPr>
            <w:r>
              <w:rPr>
                <w:b/>
                <w:bCs/>
                <w:spacing w:val="4"/>
                <w:sz w:val="21"/>
                <w:szCs w:val="21"/>
              </w:rPr>
              <w:t>基本价格指数</w:t>
            </w:r>
          </w:p>
        </w:tc>
        <w:tc>
          <w:tcPr>
            <w:tcW w:w="3553" w:type="dxa"/>
            <w:gridSpan w:val="3"/>
            <w:vAlign w:val="top"/>
          </w:tcPr>
          <w:p w14:paraId="0223A90D">
            <w:pPr>
              <w:pStyle w:val="6"/>
              <w:spacing w:before="44" w:line="220" w:lineRule="auto"/>
              <w:ind w:left="1296"/>
              <w:rPr>
                <w:sz w:val="21"/>
                <w:szCs w:val="21"/>
              </w:rPr>
            </w:pPr>
            <w:r>
              <w:rPr>
                <w:b/>
                <w:bCs/>
                <w:spacing w:val="-6"/>
                <w:sz w:val="21"/>
                <w:szCs w:val="21"/>
              </w:rPr>
              <w:t>权</w:t>
            </w:r>
            <w:r>
              <w:rPr>
                <w:spacing w:val="2"/>
                <w:sz w:val="21"/>
                <w:szCs w:val="21"/>
              </w:rPr>
              <w:t xml:space="preserve">     </w:t>
            </w:r>
            <w:r>
              <w:rPr>
                <w:b/>
                <w:bCs/>
                <w:spacing w:val="-6"/>
                <w:sz w:val="21"/>
                <w:szCs w:val="21"/>
              </w:rPr>
              <w:t>重</w:t>
            </w:r>
          </w:p>
        </w:tc>
        <w:tc>
          <w:tcPr>
            <w:tcW w:w="1626" w:type="dxa"/>
            <w:vMerge w:val="restart"/>
            <w:tcBorders>
              <w:bottom w:val="nil"/>
            </w:tcBorders>
            <w:vAlign w:val="top"/>
          </w:tcPr>
          <w:p w14:paraId="682D3CF3">
            <w:pPr>
              <w:pStyle w:val="6"/>
              <w:spacing w:before="210" w:line="218" w:lineRule="auto"/>
              <w:ind w:left="163"/>
              <w:rPr>
                <w:sz w:val="21"/>
                <w:szCs w:val="21"/>
              </w:rPr>
            </w:pPr>
            <w:r>
              <w:rPr>
                <w:b/>
                <w:bCs/>
                <w:spacing w:val="4"/>
                <w:sz w:val="21"/>
                <w:szCs w:val="21"/>
              </w:rPr>
              <w:t>价格指数来源</w:t>
            </w:r>
          </w:p>
        </w:tc>
      </w:tr>
      <w:tr w14:paraId="67F75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1401" w:type="dxa"/>
            <w:gridSpan w:val="2"/>
            <w:vMerge w:val="continue"/>
            <w:tcBorders>
              <w:top w:val="nil"/>
            </w:tcBorders>
            <w:vAlign w:val="top"/>
          </w:tcPr>
          <w:p w14:paraId="1B183159">
            <w:pPr>
              <w:rPr>
                <w:rFonts w:ascii="Arial"/>
                <w:sz w:val="21"/>
              </w:rPr>
            </w:pPr>
          </w:p>
        </w:tc>
        <w:tc>
          <w:tcPr>
            <w:tcW w:w="705" w:type="dxa"/>
            <w:vAlign w:val="top"/>
          </w:tcPr>
          <w:p w14:paraId="4A8D8191">
            <w:pPr>
              <w:pStyle w:val="6"/>
              <w:spacing w:before="38" w:line="220" w:lineRule="auto"/>
              <w:ind w:left="123"/>
              <w:rPr>
                <w:sz w:val="21"/>
                <w:szCs w:val="21"/>
              </w:rPr>
            </w:pPr>
            <w:r>
              <w:rPr>
                <w:b/>
                <w:bCs/>
                <w:spacing w:val="1"/>
                <w:sz w:val="21"/>
                <w:szCs w:val="21"/>
              </w:rPr>
              <w:t>代号</w:t>
            </w:r>
          </w:p>
        </w:tc>
        <w:tc>
          <w:tcPr>
            <w:tcW w:w="945" w:type="dxa"/>
            <w:vAlign w:val="top"/>
          </w:tcPr>
          <w:p w14:paraId="693E7A88">
            <w:pPr>
              <w:pStyle w:val="6"/>
              <w:spacing w:before="38" w:line="220" w:lineRule="auto"/>
              <w:ind w:left="142"/>
              <w:rPr>
                <w:sz w:val="21"/>
                <w:szCs w:val="21"/>
              </w:rPr>
            </w:pPr>
            <w:r>
              <w:rPr>
                <w:b/>
                <w:bCs/>
                <w:spacing w:val="4"/>
                <w:sz w:val="21"/>
                <w:szCs w:val="21"/>
              </w:rPr>
              <w:t>指数值</w:t>
            </w:r>
          </w:p>
        </w:tc>
        <w:tc>
          <w:tcPr>
            <w:tcW w:w="704" w:type="dxa"/>
            <w:vAlign w:val="top"/>
          </w:tcPr>
          <w:p w14:paraId="50AA7936">
            <w:pPr>
              <w:pStyle w:val="6"/>
              <w:spacing w:before="38" w:line="220" w:lineRule="auto"/>
              <w:ind w:left="125"/>
              <w:rPr>
                <w:sz w:val="21"/>
                <w:szCs w:val="21"/>
              </w:rPr>
            </w:pPr>
            <w:r>
              <w:rPr>
                <w:b/>
                <w:bCs/>
                <w:spacing w:val="1"/>
                <w:sz w:val="21"/>
                <w:szCs w:val="21"/>
              </w:rPr>
              <w:t>代号</w:t>
            </w:r>
          </w:p>
        </w:tc>
        <w:tc>
          <w:tcPr>
            <w:tcW w:w="1230" w:type="dxa"/>
            <w:vAlign w:val="top"/>
          </w:tcPr>
          <w:p w14:paraId="242EA3F1">
            <w:pPr>
              <w:pStyle w:val="6"/>
              <w:spacing w:before="38" w:line="220" w:lineRule="auto"/>
              <w:ind w:left="180"/>
              <w:rPr>
                <w:sz w:val="21"/>
                <w:szCs w:val="21"/>
              </w:rPr>
            </w:pPr>
            <w:r>
              <w:rPr>
                <w:b/>
                <w:bCs/>
                <w:spacing w:val="5"/>
                <w:sz w:val="21"/>
                <w:szCs w:val="21"/>
              </w:rPr>
              <w:t>允许范围</w:t>
            </w:r>
          </w:p>
        </w:tc>
        <w:tc>
          <w:tcPr>
            <w:tcW w:w="1619" w:type="dxa"/>
            <w:vAlign w:val="top"/>
          </w:tcPr>
          <w:p w14:paraId="1B3B945D">
            <w:pPr>
              <w:pStyle w:val="6"/>
              <w:spacing w:before="38" w:line="220" w:lineRule="auto"/>
              <w:ind w:left="162"/>
              <w:rPr>
                <w:sz w:val="21"/>
                <w:szCs w:val="21"/>
              </w:rPr>
            </w:pPr>
            <w:r>
              <w:rPr>
                <w:b/>
                <w:bCs/>
                <w:spacing w:val="3"/>
                <w:sz w:val="21"/>
                <w:szCs w:val="21"/>
              </w:rPr>
              <w:t>投标人建议值</w:t>
            </w:r>
          </w:p>
        </w:tc>
        <w:tc>
          <w:tcPr>
            <w:tcW w:w="1626" w:type="dxa"/>
            <w:vMerge w:val="continue"/>
            <w:tcBorders>
              <w:top w:val="nil"/>
            </w:tcBorders>
            <w:vAlign w:val="top"/>
          </w:tcPr>
          <w:p w14:paraId="496FE09E">
            <w:pPr>
              <w:rPr>
                <w:rFonts w:ascii="Arial"/>
                <w:sz w:val="21"/>
              </w:rPr>
            </w:pPr>
          </w:p>
        </w:tc>
      </w:tr>
      <w:tr w14:paraId="2979C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1401" w:type="dxa"/>
            <w:gridSpan w:val="2"/>
            <w:vAlign w:val="top"/>
          </w:tcPr>
          <w:p w14:paraId="77B62155">
            <w:pPr>
              <w:pStyle w:val="6"/>
              <w:spacing w:before="24" w:line="220" w:lineRule="auto"/>
              <w:ind w:left="283"/>
              <w:rPr>
                <w:sz w:val="21"/>
                <w:szCs w:val="21"/>
              </w:rPr>
            </w:pPr>
            <w:r>
              <w:rPr>
                <w:spacing w:val="-3"/>
                <w:sz w:val="21"/>
                <w:szCs w:val="21"/>
              </w:rPr>
              <w:t>定值部分</w:t>
            </w:r>
          </w:p>
        </w:tc>
        <w:tc>
          <w:tcPr>
            <w:tcW w:w="705" w:type="dxa"/>
            <w:vAlign w:val="top"/>
          </w:tcPr>
          <w:p w14:paraId="1E3AF4DF">
            <w:pPr>
              <w:rPr>
                <w:rFonts w:ascii="Arial"/>
                <w:sz w:val="21"/>
              </w:rPr>
            </w:pPr>
          </w:p>
        </w:tc>
        <w:tc>
          <w:tcPr>
            <w:tcW w:w="945" w:type="dxa"/>
            <w:vAlign w:val="top"/>
          </w:tcPr>
          <w:p w14:paraId="36D3468D">
            <w:pPr>
              <w:rPr>
                <w:rFonts w:ascii="Arial"/>
                <w:sz w:val="21"/>
              </w:rPr>
            </w:pPr>
          </w:p>
        </w:tc>
        <w:tc>
          <w:tcPr>
            <w:tcW w:w="704" w:type="dxa"/>
            <w:vAlign w:val="top"/>
          </w:tcPr>
          <w:p w14:paraId="6C26DF52">
            <w:pPr>
              <w:spacing w:before="78" w:line="186" w:lineRule="auto"/>
              <w:ind w:left="269"/>
              <w:rPr>
                <w:rFonts w:ascii="Times New Roman" w:hAnsi="Times New Roman" w:eastAsia="Times New Roman" w:cs="Times New Roman"/>
                <w:sz w:val="21"/>
                <w:szCs w:val="21"/>
              </w:rPr>
            </w:pPr>
            <w:r>
              <w:rPr>
                <w:rFonts w:ascii="Times New Roman" w:hAnsi="Times New Roman" w:eastAsia="Times New Roman" w:cs="Times New Roman"/>
                <w:sz w:val="21"/>
                <w:szCs w:val="21"/>
              </w:rPr>
              <w:t>A</w:t>
            </w:r>
          </w:p>
        </w:tc>
        <w:tc>
          <w:tcPr>
            <w:tcW w:w="1230" w:type="dxa"/>
            <w:vAlign w:val="top"/>
          </w:tcPr>
          <w:p w14:paraId="52206143">
            <w:pPr>
              <w:rPr>
                <w:rFonts w:ascii="Arial"/>
                <w:sz w:val="21"/>
              </w:rPr>
            </w:pPr>
          </w:p>
        </w:tc>
        <w:tc>
          <w:tcPr>
            <w:tcW w:w="1619" w:type="dxa"/>
            <w:vAlign w:val="top"/>
          </w:tcPr>
          <w:p w14:paraId="367D232B">
            <w:pPr>
              <w:rPr>
                <w:rFonts w:ascii="Arial"/>
                <w:sz w:val="21"/>
              </w:rPr>
            </w:pPr>
          </w:p>
        </w:tc>
        <w:tc>
          <w:tcPr>
            <w:tcW w:w="1626" w:type="dxa"/>
            <w:vAlign w:val="top"/>
          </w:tcPr>
          <w:p w14:paraId="305E2096">
            <w:pPr>
              <w:rPr>
                <w:rFonts w:ascii="Arial"/>
                <w:sz w:val="21"/>
              </w:rPr>
            </w:pPr>
          </w:p>
        </w:tc>
      </w:tr>
      <w:tr w14:paraId="7E4EC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restart"/>
            <w:tcBorders>
              <w:bottom w:val="nil"/>
            </w:tcBorders>
            <w:textDirection w:val="tbRlV"/>
            <w:vAlign w:val="top"/>
          </w:tcPr>
          <w:p w14:paraId="4545CB66">
            <w:pPr>
              <w:pStyle w:val="6"/>
              <w:spacing w:before="96" w:line="208" w:lineRule="auto"/>
              <w:ind w:left="417"/>
              <w:rPr>
                <w:sz w:val="21"/>
                <w:szCs w:val="21"/>
              </w:rPr>
            </w:pPr>
            <w:r>
              <w:rPr>
                <w:sz w:val="21"/>
                <w:szCs w:val="21"/>
              </w:rPr>
              <w:t>变 值 部 分</w:t>
            </w:r>
          </w:p>
        </w:tc>
        <w:tc>
          <w:tcPr>
            <w:tcW w:w="974" w:type="dxa"/>
            <w:vAlign w:val="top"/>
          </w:tcPr>
          <w:p w14:paraId="0D17D59A">
            <w:pPr>
              <w:pStyle w:val="6"/>
              <w:spacing w:before="41" w:line="220" w:lineRule="auto"/>
              <w:ind w:left="168"/>
              <w:rPr>
                <w:sz w:val="21"/>
                <w:szCs w:val="21"/>
              </w:rPr>
            </w:pPr>
            <w:r>
              <w:rPr>
                <w:spacing w:val="-2"/>
                <w:sz w:val="21"/>
                <w:szCs w:val="21"/>
              </w:rPr>
              <w:t>人工费</w:t>
            </w:r>
          </w:p>
        </w:tc>
        <w:tc>
          <w:tcPr>
            <w:tcW w:w="705" w:type="dxa"/>
            <w:vAlign w:val="top"/>
          </w:tcPr>
          <w:p w14:paraId="1353DC82">
            <w:pPr>
              <w:spacing w:before="95" w:line="186" w:lineRule="auto"/>
              <w:ind w:left="17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F01</w:t>
            </w:r>
          </w:p>
        </w:tc>
        <w:tc>
          <w:tcPr>
            <w:tcW w:w="945" w:type="dxa"/>
            <w:vAlign w:val="top"/>
          </w:tcPr>
          <w:p w14:paraId="6687408E">
            <w:pPr>
              <w:rPr>
                <w:rFonts w:ascii="Arial"/>
                <w:sz w:val="21"/>
              </w:rPr>
            </w:pPr>
          </w:p>
        </w:tc>
        <w:tc>
          <w:tcPr>
            <w:tcW w:w="704" w:type="dxa"/>
            <w:vAlign w:val="top"/>
          </w:tcPr>
          <w:p w14:paraId="728AC19C">
            <w:pPr>
              <w:spacing w:before="95" w:line="186" w:lineRule="auto"/>
              <w:ind w:left="226"/>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B1</w:t>
            </w:r>
          </w:p>
        </w:tc>
        <w:tc>
          <w:tcPr>
            <w:tcW w:w="1230" w:type="dxa"/>
            <w:vAlign w:val="top"/>
          </w:tcPr>
          <w:p w14:paraId="369D5A41">
            <w:pPr>
              <w:pStyle w:val="6"/>
              <w:spacing w:before="41" w:line="231" w:lineRule="auto"/>
              <w:ind w:left="520"/>
              <w:rPr>
                <w:sz w:val="21"/>
                <w:szCs w:val="21"/>
              </w:rPr>
            </w:pPr>
            <w:r>
              <w:rPr>
                <w:sz w:val="21"/>
                <w:szCs w:val="21"/>
              </w:rPr>
              <w:t>至</w:t>
            </w:r>
          </w:p>
        </w:tc>
        <w:tc>
          <w:tcPr>
            <w:tcW w:w="1619" w:type="dxa"/>
            <w:vAlign w:val="top"/>
          </w:tcPr>
          <w:p w14:paraId="4D4D1253">
            <w:pPr>
              <w:rPr>
                <w:rFonts w:ascii="Arial"/>
                <w:sz w:val="21"/>
              </w:rPr>
            </w:pPr>
          </w:p>
        </w:tc>
        <w:tc>
          <w:tcPr>
            <w:tcW w:w="1626" w:type="dxa"/>
            <w:vAlign w:val="top"/>
          </w:tcPr>
          <w:p w14:paraId="0587A48F">
            <w:pPr>
              <w:rPr>
                <w:rFonts w:ascii="Arial"/>
                <w:sz w:val="21"/>
              </w:rPr>
            </w:pPr>
          </w:p>
        </w:tc>
      </w:tr>
      <w:tr w14:paraId="52CE0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 w:hRule="atLeast"/>
        </w:trPr>
        <w:tc>
          <w:tcPr>
            <w:tcW w:w="427" w:type="dxa"/>
            <w:vMerge w:val="continue"/>
            <w:tcBorders>
              <w:top w:val="nil"/>
              <w:bottom w:val="nil"/>
            </w:tcBorders>
            <w:textDirection w:val="tbRlV"/>
            <w:vAlign w:val="top"/>
          </w:tcPr>
          <w:p w14:paraId="3C195B5B">
            <w:pPr>
              <w:rPr>
                <w:rFonts w:ascii="Arial"/>
                <w:sz w:val="21"/>
              </w:rPr>
            </w:pPr>
          </w:p>
        </w:tc>
        <w:tc>
          <w:tcPr>
            <w:tcW w:w="974" w:type="dxa"/>
            <w:vAlign w:val="top"/>
          </w:tcPr>
          <w:p w14:paraId="66B2C92F">
            <w:pPr>
              <w:pStyle w:val="6"/>
              <w:spacing w:before="42" w:line="219" w:lineRule="auto"/>
              <w:ind w:left="270"/>
              <w:rPr>
                <w:sz w:val="21"/>
                <w:szCs w:val="21"/>
              </w:rPr>
            </w:pPr>
            <w:r>
              <w:rPr>
                <w:spacing w:val="-2"/>
                <w:sz w:val="21"/>
                <w:szCs w:val="21"/>
              </w:rPr>
              <w:t>钢材</w:t>
            </w:r>
          </w:p>
        </w:tc>
        <w:tc>
          <w:tcPr>
            <w:tcW w:w="705" w:type="dxa"/>
            <w:vAlign w:val="top"/>
          </w:tcPr>
          <w:p w14:paraId="40780CDD">
            <w:pPr>
              <w:spacing w:before="96" w:line="186" w:lineRule="auto"/>
              <w:ind w:left="17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F02</w:t>
            </w:r>
          </w:p>
        </w:tc>
        <w:tc>
          <w:tcPr>
            <w:tcW w:w="945" w:type="dxa"/>
            <w:vAlign w:val="top"/>
          </w:tcPr>
          <w:p w14:paraId="1D5A25E8">
            <w:pPr>
              <w:rPr>
                <w:rFonts w:ascii="Arial"/>
                <w:sz w:val="21"/>
              </w:rPr>
            </w:pPr>
          </w:p>
        </w:tc>
        <w:tc>
          <w:tcPr>
            <w:tcW w:w="704" w:type="dxa"/>
            <w:vAlign w:val="top"/>
          </w:tcPr>
          <w:p w14:paraId="6A88B0FB">
            <w:pPr>
              <w:spacing w:before="96" w:line="186" w:lineRule="auto"/>
              <w:ind w:left="226"/>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B2</w:t>
            </w:r>
          </w:p>
        </w:tc>
        <w:tc>
          <w:tcPr>
            <w:tcW w:w="1230" w:type="dxa"/>
            <w:vAlign w:val="top"/>
          </w:tcPr>
          <w:p w14:paraId="08D489A3">
            <w:pPr>
              <w:pStyle w:val="6"/>
              <w:spacing w:before="42" w:line="232" w:lineRule="auto"/>
              <w:ind w:left="520"/>
              <w:rPr>
                <w:sz w:val="21"/>
                <w:szCs w:val="21"/>
              </w:rPr>
            </w:pPr>
            <w:r>
              <w:rPr>
                <w:sz w:val="21"/>
                <w:szCs w:val="21"/>
              </w:rPr>
              <w:t>至</w:t>
            </w:r>
          </w:p>
        </w:tc>
        <w:tc>
          <w:tcPr>
            <w:tcW w:w="1619" w:type="dxa"/>
            <w:vAlign w:val="top"/>
          </w:tcPr>
          <w:p w14:paraId="6BDF5F8C">
            <w:pPr>
              <w:rPr>
                <w:rFonts w:ascii="Arial"/>
                <w:sz w:val="21"/>
              </w:rPr>
            </w:pPr>
          </w:p>
        </w:tc>
        <w:tc>
          <w:tcPr>
            <w:tcW w:w="1626" w:type="dxa"/>
            <w:vAlign w:val="top"/>
          </w:tcPr>
          <w:p w14:paraId="188C0B92">
            <w:pPr>
              <w:rPr>
                <w:rFonts w:ascii="Arial"/>
                <w:sz w:val="21"/>
              </w:rPr>
            </w:pPr>
          </w:p>
        </w:tc>
      </w:tr>
      <w:tr w14:paraId="6A5C0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427" w:type="dxa"/>
            <w:vMerge w:val="continue"/>
            <w:tcBorders>
              <w:top w:val="nil"/>
              <w:bottom w:val="nil"/>
            </w:tcBorders>
            <w:textDirection w:val="tbRlV"/>
            <w:vAlign w:val="top"/>
          </w:tcPr>
          <w:p w14:paraId="00E825B1">
            <w:pPr>
              <w:rPr>
                <w:rFonts w:ascii="Arial"/>
                <w:sz w:val="21"/>
              </w:rPr>
            </w:pPr>
          </w:p>
        </w:tc>
        <w:tc>
          <w:tcPr>
            <w:tcW w:w="974" w:type="dxa"/>
            <w:vAlign w:val="top"/>
          </w:tcPr>
          <w:p w14:paraId="73593D7E">
            <w:pPr>
              <w:pStyle w:val="6"/>
              <w:spacing w:before="43" w:line="220" w:lineRule="auto"/>
              <w:ind w:left="274"/>
              <w:rPr>
                <w:sz w:val="21"/>
                <w:szCs w:val="21"/>
              </w:rPr>
            </w:pPr>
            <w:r>
              <w:rPr>
                <w:spacing w:val="-3"/>
                <w:sz w:val="21"/>
                <w:szCs w:val="21"/>
              </w:rPr>
              <w:t>水泥</w:t>
            </w:r>
          </w:p>
        </w:tc>
        <w:tc>
          <w:tcPr>
            <w:tcW w:w="705" w:type="dxa"/>
            <w:vAlign w:val="top"/>
          </w:tcPr>
          <w:p w14:paraId="343EEABD">
            <w:pPr>
              <w:spacing w:before="97" w:line="186" w:lineRule="auto"/>
              <w:ind w:left="179"/>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F03</w:t>
            </w:r>
          </w:p>
        </w:tc>
        <w:tc>
          <w:tcPr>
            <w:tcW w:w="945" w:type="dxa"/>
            <w:vAlign w:val="top"/>
          </w:tcPr>
          <w:p w14:paraId="235F6EB9">
            <w:pPr>
              <w:rPr>
                <w:rFonts w:ascii="Arial"/>
                <w:sz w:val="21"/>
              </w:rPr>
            </w:pPr>
          </w:p>
        </w:tc>
        <w:tc>
          <w:tcPr>
            <w:tcW w:w="704" w:type="dxa"/>
            <w:vAlign w:val="top"/>
          </w:tcPr>
          <w:p w14:paraId="09CAAD1A">
            <w:pPr>
              <w:spacing w:before="97" w:line="186" w:lineRule="auto"/>
              <w:ind w:left="226"/>
              <w:rPr>
                <w:rFonts w:ascii="Times New Roman" w:hAnsi="Times New Roman" w:eastAsia="Times New Roman" w:cs="Times New Roman"/>
                <w:sz w:val="21"/>
                <w:szCs w:val="21"/>
              </w:rPr>
            </w:pPr>
            <w:r>
              <w:rPr>
                <w:rFonts w:ascii="Times New Roman" w:hAnsi="Times New Roman" w:eastAsia="Times New Roman" w:cs="Times New Roman"/>
                <w:spacing w:val="-7"/>
                <w:sz w:val="21"/>
                <w:szCs w:val="21"/>
              </w:rPr>
              <w:t>B3</w:t>
            </w:r>
          </w:p>
        </w:tc>
        <w:tc>
          <w:tcPr>
            <w:tcW w:w="1230" w:type="dxa"/>
            <w:vAlign w:val="top"/>
          </w:tcPr>
          <w:p w14:paraId="7DB07015">
            <w:pPr>
              <w:pStyle w:val="6"/>
              <w:spacing w:before="43" w:line="232" w:lineRule="auto"/>
              <w:ind w:left="520"/>
              <w:rPr>
                <w:sz w:val="21"/>
                <w:szCs w:val="21"/>
              </w:rPr>
            </w:pPr>
            <w:r>
              <w:rPr>
                <w:sz w:val="21"/>
                <w:szCs w:val="21"/>
              </w:rPr>
              <w:t>至</w:t>
            </w:r>
          </w:p>
        </w:tc>
        <w:tc>
          <w:tcPr>
            <w:tcW w:w="1619" w:type="dxa"/>
            <w:vAlign w:val="top"/>
          </w:tcPr>
          <w:p w14:paraId="063E1677">
            <w:pPr>
              <w:rPr>
                <w:rFonts w:ascii="Arial"/>
                <w:sz w:val="21"/>
              </w:rPr>
            </w:pPr>
          </w:p>
        </w:tc>
        <w:tc>
          <w:tcPr>
            <w:tcW w:w="1626" w:type="dxa"/>
            <w:vAlign w:val="top"/>
          </w:tcPr>
          <w:p w14:paraId="51BD2D1F">
            <w:pPr>
              <w:rPr>
                <w:rFonts w:ascii="Arial"/>
                <w:sz w:val="21"/>
              </w:rPr>
            </w:pPr>
          </w:p>
        </w:tc>
      </w:tr>
      <w:tr w14:paraId="6E222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7FAABC61">
            <w:pPr>
              <w:rPr>
                <w:rFonts w:ascii="Arial"/>
                <w:sz w:val="21"/>
              </w:rPr>
            </w:pPr>
          </w:p>
        </w:tc>
        <w:tc>
          <w:tcPr>
            <w:tcW w:w="974" w:type="dxa"/>
            <w:vAlign w:val="top"/>
          </w:tcPr>
          <w:p w14:paraId="159E7653">
            <w:pPr>
              <w:pStyle w:val="6"/>
              <w:spacing w:before="46" w:line="226" w:lineRule="auto"/>
              <w:ind w:left="285"/>
              <w:rPr>
                <w:sz w:val="21"/>
                <w:szCs w:val="21"/>
              </w:rPr>
            </w:pPr>
            <w:r>
              <w:rPr>
                <w:spacing w:val="-6"/>
                <w:sz w:val="21"/>
                <w:szCs w:val="21"/>
              </w:rPr>
              <w:t>……</w:t>
            </w:r>
          </w:p>
        </w:tc>
        <w:tc>
          <w:tcPr>
            <w:tcW w:w="705" w:type="dxa"/>
            <w:vAlign w:val="top"/>
          </w:tcPr>
          <w:p w14:paraId="6F13F071">
            <w:pPr>
              <w:pStyle w:val="6"/>
              <w:spacing w:before="46" w:line="226" w:lineRule="auto"/>
              <w:ind w:left="152"/>
              <w:rPr>
                <w:sz w:val="21"/>
                <w:szCs w:val="21"/>
              </w:rPr>
            </w:pPr>
            <w:r>
              <w:rPr>
                <w:spacing w:val="-6"/>
                <w:sz w:val="21"/>
                <w:szCs w:val="21"/>
              </w:rPr>
              <w:t>……</w:t>
            </w:r>
          </w:p>
        </w:tc>
        <w:tc>
          <w:tcPr>
            <w:tcW w:w="945" w:type="dxa"/>
            <w:vAlign w:val="top"/>
          </w:tcPr>
          <w:p w14:paraId="309EE883">
            <w:pPr>
              <w:rPr>
                <w:rFonts w:ascii="Arial"/>
                <w:sz w:val="21"/>
              </w:rPr>
            </w:pPr>
          </w:p>
        </w:tc>
        <w:tc>
          <w:tcPr>
            <w:tcW w:w="704" w:type="dxa"/>
            <w:vAlign w:val="top"/>
          </w:tcPr>
          <w:p w14:paraId="7A430565">
            <w:pPr>
              <w:pStyle w:val="6"/>
              <w:spacing w:before="46" w:line="226" w:lineRule="auto"/>
              <w:ind w:left="154"/>
              <w:rPr>
                <w:sz w:val="21"/>
                <w:szCs w:val="21"/>
              </w:rPr>
            </w:pPr>
            <w:r>
              <w:rPr>
                <w:spacing w:val="-6"/>
                <w:sz w:val="21"/>
                <w:szCs w:val="21"/>
              </w:rPr>
              <w:t>……</w:t>
            </w:r>
          </w:p>
        </w:tc>
        <w:tc>
          <w:tcPr>
            <w:tcW w:w="1230" w:type="dxa"/>
            <w:vAlign w:val="top"/>
          </w:tcPr>
          <w:p w14:paraId="1018FB6D">
            <w:pPr>
              <w:pStyle w:val="6"/>
              <w:spacing w:before="46" w:line="226" w:lineRule="auto"/>
              <w:ind w:left="426"/>
              <w:rPr>
                <w:sz w:val="21"/>
                <w:szCs w:val="21"/>
              </w:rPr>
            </w:pPr>
            <w:r>
              <w:rPr>
                <w:spacing w:val="-6"/>
                <w:sz w:val="21"/>
                <w:szCs w:val="21"/>
              </w:rPr>
              <w:t>……</w:t>
            </w:r>
          </w:p>
        </w:tc>
        <w:tc>
          <w:tcPr>
            <w:tcW w:w="1619" w:type="dxa"/>
            <w:vAlign w:val="top"/>
          </w:tcPr>
          <w:p w14:paraId="0EC6DD77">
            <w:pPr>
              <w:rPr>
                <w:rFonts w:ascii="Arial"/>
                <w:sz w:val="21"/>
              </w:rPr>
            </w:pPr>
          </w:p>
        </w:tc>
        <w:tc>
          <w:tcPr>
            <w:tcW w:w="1626" w:type="dxa"/>
            <w:vAlign w:val="top"/>
          </w:tcPr>
          <w:p w14:paraId="2875ED90">
            <w:pPr>
              <w:rPr>
                <w:rFonts w:ascii="Arial"/>
                <w:sz w:val="21"/>
              </w:rPr>
            </w:pPr>
          </w:p>
        </w:tc>
      </w:tr>
      <w:tr w14:paraId="79813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4" w:hRule="atLeast"/>
        </w:trPr>
        <w:tc>
          <w:tcPr>
            <w:tcW w:w="427" w:type="dxa"/>
            <w:vMerge w:val="continue"/>
            <w:tcBorders>
              <w:top w:val="nil"/>
              <w:bottom w:val="nil"/>
            </w:tcBorders>
            <w:textDirection w:val="tbRlV"/>
            <w:vAlign w:val="top"/>
          </w:tcPr>
          <w:p w14:paraId="5914D489">
            <w:pPr>
              <w:rPr>
                <w:rFonts w:ascii="Arial"/>
                <w:sz w:val="21"/>
              </w:rPr>
            </w:pPr>
          </w:p>
        </w:tc>
        <w:tc>
          <w:tcPr>
            <w:tcW w:w="974" w:type="dxa"/>
            <w:vAlign w:val="top"/>
          </w:tcPr>
          <w:p w14:paraId="42B4EF2D">
            <w:pPr>
              <w:rPr>
                <w:rFonts w:ascii="Arial"/>
                <w:sz w:val="21"/>
              </w:rPr>
            </w:pPr>
          </w:p>
        </w:tc>
        <w:tc>
          <w:tcPr>
            <w:tcW w:w="705" w:type="dxa"/>
            <w:vAlign w:val="top"/>
          </w:tcPr>
          <w:p w14:paraId="645D7DDF">
            <w:pPr>
              <w:rPr>
                <w:rFonts w:ascii="Arial"/>
                <w:sz w:val="21"/>
              </w:rPr>
            </w:pPr>
          </w:p>
        </w:tc>
        <w:tc>
          <w:tcPr>
            <w:tcW w:w="945" w:type="dxa"/>
            <w:vAlign w:val="top"/>
          </w:tcPr>
          <w:p w14:paraId="6E990354">
            <w:pPr>
              <w:rPr>
                <w:rFonts w:ascii="Arial"/>
                <w:sz w:val="21"/>
              </w:rPr>
            </w:pPr>
          </w:p>
        </w:tc>
        <w:tc>
          <w:tcPr>
            <w:tcW w:w="704" w:type="dxa"/>
            <w:vAlign w:val="top"/>
          </w:tcPr>
          <w:p w14:paraId="0FFED0BF">
            <w:pPr>
              <w:rPr>
                <w:rFonts w:ascii="Arial"/>
                <w:sz w:val="21"/>
              </w:rPr>
            </w:pPr>
          </w:p>
        </w:tc>
        <w:tc>
          <w:tcPr>
            <w:tcW w:w="1230" w:type="dxa"/>
            <w:vAlign w:val="top"/>
          </w:tcPr>
          <w:p w14:paraId="5B3847BC">
            <w:pPr>
              <w:rPr>
                <w:rFonts w:ascii="Arial"/>
                <w:sz w:val="21"/>
              </w:rPr>
            </w:pPr>
          </w:p>
        </w:tc>
        <w:tc>
          <w:tcPr>
            <w:tcW w:w="1619" w:type="dxa"/>
            <w:vAlign w:val="top"/>
          </w:tcPr>
          <w:p w14:paraId="5ADF0F1A">
            <w:pPr>
              <w:rPr>
                <w:rFonts w:ascii="Arial"/>
                <w:sz w:val="21"/>
              </w:rPr>
            </w:pPr>
          </w:p>
        </w:tc>
        <w:tc>
          <w:tcPr>
            <w:tcW w:w="1626" w:type="dxa"/>
            <w:vAlign w:val="top"/>
          </w:tcPr>
          <w:p w14:paraId="7CF29C4A">
            <w:pPr>
              <w:rPr>
                <w:rFonts w:ascii="Arial"/>
                <w:sz w:val="21"/>
              </w:rPr>
            </w:pPr>
          </w:p>
        </w:tc>
      </w:tr>
      <w:tr w14:paraId="2F9FA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trPr>
        <w:tc>
          <w:tcPr>
            <w:tcW w:w="427" w:type="dxa"/>
            <w:vMerge w:val="continue"/>
            <w:tcBorders>
              <w:top w:val="nil"/>
            </w:tcBorders>
            <w:textDirection w:val="tbRlV"/>
            <w:vAlign w:val="top"/>
          </w:tcPr>
          <w:p w14:paraId="0BBECDF0">
            <w:pPr>
              <w:rPr>
                <w:rFonts w:ascii="Arial"/>
                <w:sz w:val="21"/>
              </w:rPr>
            </w:pPr>
          </w:p>
        </w:tc>
        <w:tc>
          <w:tcPr>
            <w:tcW w:w="974" w:type="dxa"/>
            <w:vAlign w:val="top"/>
          </w:tcPr>
          <w:p w14:paraId="7807F6F3">
            <w:pPr>
              <w:rPr>
                <w:rFonts w:ascii="Arial"/>
                <w:sz w:val="21"/>
              </w:rPr>
            </w:pPr>
          </w:p>
        </w:tc>
        <w:tc>
          <w:tcPr>
            <w:tcW w:w="705" w:type="dxa"/>
            <w:vAlign w:val="top"/>
          </w:tcPr>
          <w:p w14:paraId="0DEA7C69">
            <w:pPr>
              <w:rPr>
                <w:rFonts w:ascii="Arial"/>
                <w:sz w:val="21"/>
              </w:rPr>
            </w:pPr>
          </w:p>
        </w:tc>
        <w:tc>
          <w:tcPr>
            <w:tcW w:w="945" w:type="dxa"/>
            <w:vAlign w:val="top"/>
          </w:tcPr>
          <w:p w14:paraId="2C302622">
            <w:pPr>
              <w:rPr>
                <w:rFonts w:ascii="Arial"/>
                <w:sz w:val="21"/>
              </w:rPr>
            </w:pPr>
          </w:p>
        </w:tc>
        <w:tc>
          <w:tcPr>
            <w:tcW w:w="704" w:type="dxa"/>
            <w:vAlign w:val="top"/>
          </w:tcPr>
          <w:p w14:paraId="48381DCF">
            <w:pPr>
              <w:rPr>
                <w:rFonts w:ascii="Arial"/>
                <w:sz w:val="21"/>
              </w:rPr>
            </w:pPr>
          </w:p>
        </w:tc>
        <w:tc>
          <w:tcPr>
            <w:tcW w:w="1230" w:type="dxa"/>
            <w:vAlign w:val="top"/>
          </w:tcPr>
          <w:p w14:paraId="417E9353">
            <w:pPr>
              <w:rPr>
                <w:rFonts w:ascii="Arial"/>
                <w:sz w:val="21"/>
              </w:rPr>
            </w:pPr>
          </w:p>
        </w:tc>
        <w:tc>
          <w:tcPr>
            <w:tcW w:w="1619" w:type="dxa"/>
            <w:vAlign w:val="top"/>
          </w:tcPr>
          <w:p w14:paraId="6D65884C">
            <w:pPr>
              <w:rPr>
                <w:rFonts w:ascii="Arial"/>
                <w:sz w:val="21"/>
              </w:rPr>
            </w:pPr>
          </w:p>
        </w:tc>
        <w:tc>
          <w:tcPr>
            <w:tcW w:w="1626" w:type="dxa"/>
            <w:vAlign w:val="top"/>
          </w:tcPr>
          <w:p w14:paraId="71B11A13">
            <w:pPr>
              <w:rPr>
                <w:rFonts w:ascii="Arial"/>
                <w:sz w:val="21"/>
              </w:rPr>
            </w:pPr>
          </w:p>
        </w:tc>
      </w:tr>
      <w:tr w14:paraId="30B6D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trPr>
        <w:tc>
          <w:tcPr>
            <w:tcW w:w="4985" w:type="dxa"/>
            <w:gridSpan w:val="6"/>
            <w:vAlign w:val="top"/>
          </w:tcPr>
          <w:p w14:paraId="4CE265EA">
            <w:pPr>
              <w:pStyle w:val="6"/>
              <w:spacing w:before="66" w:line="221" w:lineRule="auto"/>
              <w:ind w:left="1601"/>
              <w:rPr>
                <w:sz w:val="21"/>
                <w:szCs w:val="21"/>
              </w:rPr>
            </w:pPr>
            <w:r>
              <w:rPr>
                <w:spacing w:val="-5"/>
                <w:sz w:val="21"/>
                <w:szCs w:val="21"/>
              </w:rPr>
              <w:t>合</w:t>
            </w:r>
            <w:r>
              <w:rPr>
                <w:sz w:val="21"/>
                <w:szCs w:val="21"/>
              </w:rPr>
              <w:t xml:space="preserve">             </w:t>
            </w:r>
            <w:r>
              <w:rPr>
                <w:spacing w:val="-5"/>
                <w:sz w:val="21"/>
                <w:szCs w:val="21"/>
              </w:rPr>
              <w:t>计</w:t>
            </w:r>
          </w:p>
        </w:tc>
        <w:tc>
          <w:tcPr>
            <w:tcW w:w="1619" w:type="dxa"/>
            <w:vAlign w:val="top"/>
          </w:tcPr>
          <w:p w14:paraId="2A34DB6F">
            <w:pPr>
              <w:spacing w:before="116" w:line="209" w:lineRule="auto"/>
              <w:ind w:left="641"/>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1.00</w:t>
            </w:r>
          </w:p>
        </w:tc>
        <w:tc>
          <w:tcPr>
            <w:tcW w:w="1626" w:type="dxa"/>
            <w:vAlign w:val="top"/>
          </w:tcPr>
          <w:p w14:paraId="4F8B7EAA">
            <w:pPr>
              <w:rPr>
                <w:rFonts w:ascii="Arial"/>
                <w:sz w:val="21"/>
              </w:rPr>
            </w:pPr>
          </w:p>
        </w:tc>
      </w:tr>
    </w:tbl>
    <w:p w14:paraId="31B0D539">
      <w:pPr>
        <w:spacing w:before="133" w:line="345" w:lineRule="auto"/>
        <w:ind w:left="25" w:firstLine="421"/>
        <w:rPr>
          <w:rFonts w:ascii="宋体" w:hAnsi="宋体" w:eastAsia="宋体" w:cs="宋体"/>
          <w:sz w:val="21"/>
          <w:szCs w:val="21"/>
        </w:rPr>
      </w:pPr>
      <w:r>
        <w:rPr>
          <w:rFonts w:ascii="宋体" w:hAnsi="宋体" w:eastAsia="宋体" w:cs="宋体"/>
          <w:spacing w:val="-2"/>
          <w:sz w:val="21"/>
          <w:szCs w:val="21"/>
        </w:rPr>
        <w:t>备注：专用合同条款约定采用价格指数法进行价格调整时适</w:t>
      </w:r>
      <w:r>
        <w:rPr>
          <w:rFonts w:ascii="宋体" w:hAnsi="宋体" w:eastAsia="宋体" w:cs="宋体"/>
          <w:spacing w:val="-3"/>
          <w:sz w:val="21"/>
          <w:szCs w:val="21"/>
        </w:rPr>
        <w:t>用本表。表中除“投标人建</w:t>
      </w:r>
      <w:r>
        <w:rPr>
          <w:rFonts w:ascii="宋体" w:hAnsi="宋体" w:eastAsia="宋体" w:cs="宋体"/>
          <w:spacing w:val="-1"/>
          <w:sz w:val="21"/>
          <w:szCs w:val="21"/>
        </w:rPr>
        <w:t>议值”由投标人结合其投标报价情况选择填写外，其余均由招标人在招标文件发出前填写。</w:t>
      </w:r>
    </w:p>
    <w:p w14:paraId="305C0529">
      <w:pPr>
        <w:spacing w:line="345" w:lineRule="auto"/>
        <w:rPr>
          <w:rFonts w:ascii="宋体" w:hAnsi="宋体" w:eastAsia="宋体" w:cs="宋体"/>
          <w:sz w:val="21"/>
          <w:szCs w:val="21"/>
        </w:rPr>
        <w:sectPr>
          <w:footerReference r:id="rId305" w:type="default"/>
          <w:pgSz w:w="11910" w:h="16845"/>
          <w:pgMar w:top="400" w:right="1725" w:bottom="1110" w:left="1786" w:header="0" w:footer="882" w:gutter="0"/>
          <w:cols w:space="720" w:num="1"/>
        </w:sectPr>
      </w:pPr>
    </w:p>
    <w:p w14:paraId="33BC3973">
      <w:pPr>
        <w:pStyle w:val="2"/>
        <w:spacing w:line="277" w:lineRule="auto"/>
      </w:pPr>
    </w:p>
    <w:p w14:paraId="34C6F277">
      <w:pPr>
        <w:pStyle w:val="2"/>
        <w:spacing w:line="277" w:lineRule="auto"/>
      </w:pPr>
    </w:p>
    <w:p w14:paraId="6502C0B9">
      <w:pPr>
        <w:pStyle w:val="2"/>
        <w:spacing w:line="277" w:lineRule="auto"/>
      </w:pPr>
    </w:p>
    <w:p w14:paraId="6923EEFE">
      <w:pPr>
        <w:pStyle w:val="2"/>
        <w:spacing w:line="278" w:lineRule="auto"/>
      </w:pPr>
    </w:p>
    <w:p w14:paraId="46D33BBF">
      <w:pPr>
        <w:pStyle w:val="2"/>
        <w:spacing w:line="278" w:lineRule="auto"/>
      </w:pPr>
    </w:p>
    <w:p w14:paraId="535DD282">
      <w:pPr>
        <w:pStyle w:val="2"/>
        <w:spacing w:line="278" w:lineRule="auto"/>
      </w:pPr>
    </w:p>
    <w:p w14:paraId="5CF1765D">
      <w:pPr>
        <w:spacing w:before="101" w:line="221" w:lineRule="auto"/>
        <w:ind w:left="33"/>
        <w:outlineLvl w:val="1"/>
        <w:rPr>
          <w:rFonts w:ascii="黑体" w:hAnsi="黑体" w:eastAsia="黑体" w:cs="黑体"/>
          <w:sz w:val="31"/>
          <w:szCs w:val="31"/>
        </w:rPr>
      </w:pPr>
      <w:bookmarkStart w:id="622" w:name="bookmark575"/>
      <w:bookmarkEnd w:id="622"/>
      <w:r>
        <w:rPr>
          <w:rFonts w:ascii="黑体" w:hAnsi="黑体" w:eastAsia="黑体" w:cs="黑体"/>
          <w:b/>
          <w:bCs/>
          <w:spacing w:val="10"/>
          <w:sz w:val="31"/>
          <w:szCs w:val="31"/>
        </w:rPr>
        <w:t>二、法定代表人身份证明</w:t>
      </w:r>
    </w:p>
    <w:p w14:paraId="42748660">
      <w:pPr>
        <w:pStyle w:val="2"/>
        <w:spacing w:line="251" w:lineRule="auto"/>
      </w:pPr>
    </w:p>
    <w:p w14:paraId="0C39E9CD">
      <w:pPr>
        <w:pStyle w:val="2"/>
        <w:spacing w:line="252" w:lineRule="auto"/>
      </w:pPr>
    </w:p>
    <w:p w14:paraId="6BD3E6E1">
      <w:pPr>
        <w:spacing w:before="69" w:line="220" w:lineRule="auto"/>
        <w:ind w:left="447"/>
        <w:rPr>
          <w:rFonts w:ascii="宋体" w:hAnsi="宋体" w:eastAsia="宋体" w:cs="宋体"/>
          <w:sz w:val="21"/>
          <w:szCs w:val="21"/>
        </w:rPr>
      </w:pPr>
      <w:r>
        <w:rPr>
          <w:rFonts w:ascii="宋体" w:hAnsi="宋体" w:eastAsia="宋体" w:cs="宋体"/>
          <w:spacing w:val="-8"/>
          <w:sz w:val="21"/>
          <w:szCs w:val="21"/>
        </w:rPr>
        <w:t>投</w:t>
      </w:r>
      <w:r>
        <w:rPr>
          <w:rFonts w:ascii="宋体" w:hAnsi="宋体" w:eastAsia="宋体" w:cs="宋体"/>
          <w:spacing w:val="11"/>
          <w:sz w:val="21"/>
          <w:szCs w:val="21"/>
        </w:rPr>
        <w:t xml:space="preserve"> </w:t>
      </w:r>
      <w:r>
        <w:rPr>
          <w:rFonts w:ascii="宋体" w:hAnsi="宋体" w:eastAsia="宋体" w:cs="宋体"/>
          <w:spacing w:val="-8"/>
          <w:sz w:val="21"/>
          <w:szCs w:val="21"/>
        </w:rPr>
        <w:t>标</w:t>
      </w:r>
      <w:r>
        <w:rPr>
          <w:rFonts w:ascii="宋体" w:hAnsi="宋体" w:eastAsia="宋体" w:cs="宋体"/>
          <w:spacing w:val="10"/>
          <w:sz w:val="21"/>
          <w:szCs w:val="21"/>
        </w:rPr>
        <w:t xml:space="preserve"> </w:t>
      </w:r>
      <w:r>
        <w:rPr>
          <w:rFonts w:ascii="宋体" w:hAnsi="宋体" w:eastAsia="宋体" w:cs="宋体"/>
          <w:spacing w:val="-8"/>
          <w:sz w:val="21"/>
          <w:szCs w:val="21"/>
        </w:rPr>
        <w:t>人：</w:t>
      </w:r>
      <w:r>
        <w:rPr>
          <w:rFonts w:ascii="宋体" w:hAnsi="宋体" w:eastAsia="宋体" w:cs="宋体"/>
          <w:sz w:val="21"/>
          <w:szCs w:val="21"/>
          <w:u w:val="single" w:color="auto"/>
        </w:rPr>
        <w:t xml:space="preserve">                                                         </w:t>
      </w:r>
    </w:p>
    <w:p w14:paraId="4C69A4A9">
      <w:pPr>
        <w:spacing w:before="245" w:line="220" w:lineRule="auto"/>
        <w:ind w:left="446"/>
        <w:rPr>
          <w:rFonts w:ascii="宋体" w:hAnsi="宋体" w:eastAsia="宋体" w:cs="宋体"/>
          <w:sz w:val="21"/>
          <w:szCs w:val="21"/>
        </w:rPr>
      </w:pPr>
      <w:r>
        <w:rPr>
          <w:rFonts w:ascii="宋体" w:hAnsi="宋体" w:eastAsia="宋体" w:cs="宋体"/>
          <w:spacing w:val="-2"/>
          <w:sz w:val="21"/>
          <w:szCs w:val="21"/>
        </w:rPr>
        <w:t>单位性质：</w:t>
      </w:r>
      <w:r>
        <w:rPr>
          <w:rFonts w:ascii="宋体" w:hAnsi="宋体" w:eastAsia="宋体" w:cs="宋体"/>
          <w:spacing w:val="-2"/>
          <w:sz w:val="21"/>
          <w:szCs w:val="21"/>
          <w:u w:val="single" w:color="auto"/>
        </w:rPr>
        <w:t xml:space="preserve">                                                         </w:t>
      </w:r>
    </w:p>
    <w:p w14:paraId="723078F0">
      <w:pPr>
        <w:spacing w:before="259" w:line="229" w:lineRule="auto"/>
        <w:ind w:left="444"/>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6E6D4B06">
      <w:pPr>
        <w:spacing w:before="234" w:line="220" w:lineRule="auto"/>
        <w:ind w:left="446"/>
        <w:rPr>
          <w:rFonts w:ascii="宋体" w:hAnsi="宋体" w:eastAsia="宋体" w:cs="宋体"/>
          <w:sz w:val="21"/>
          <w:szCs w:val="21"/>
        </w:rPr>
      </w:pPr>
      <w:r>
        <w:rPr>
          <w:rFonts w:ascii="宋体" w:hAnsi="宋体" w:eastAsia="宋体" w:cs="宋体"/>
          <w:spacing w:val="-4"/>
          <w:sz w:val="21"/>
          <w:szCs w:val="21"/>
        </w:rPr>
        <w:t>成立时间：</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4"/>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4"/>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4"/>
          <w:sz w:val="21"/>
          <w:szCs w:val="21"/>
        </w:rPr>
        <w:t>日</w:t>
      </w:r>
    </w:p>
    <w:p w14:paraId="0DB18B6E">
      <w:pPr>
        <w:spacing w:before="246" w:line="220" w:lineRule="auto"/>
        <w:ind w:left="446"/>
        <w:rPr>
          <w:rFonts w:ascii="宋体" w:hAnsi="宋体" w:eastAsia="宋体" w:cs="宋体"/>
          <w:sz w:val="21"/>
          <w:szCs w:val="21"/>
        </w:rPr>
      </w:pPr>
      <w:r>
        <w:rPr>
          <w:rFonts w:ascii="宋体" w:hAnsi="宋体" w:eastAsia="宋体" w:cs="宋体"/>
          <w:spacing w:val="-2"/>
          <w:sz w:val="21"/>
          <w:szCs w:val="21"/>
        </w:rPr>
        <w:t>经营期限：</w:t>
      </w:r>
      <w:r>
        <w:rPr>
          <w:rFonts w:ascii="宋体" w:hAnsi="宋体" w:eastAsia="宋体" w:cs="宋体"/>
          <w:spacing w:val="-2"/>
          <w:sz w:val="21"/>
          <w:szCs w:val="21"/>
          <w:u w:val="single" w:color="auto"/>
        </w:rPr>
        <w:t xml:space="preserve">                                                         </w:t>
      </w:r>
    </w:p>
    <w:p w14:paraId="1F373430">
      <w:pPr>
        <w:spacing w:before="259" w:line="220" w:lineRule="auto"/>
        <w:ind w:left="444"/>
        <w:rPr>
          <w:rFonts w:ascii="宋体" w:hAnsi="宋体" w:eastAsia="宋体" w:cs="宋体"/>
          <w:sz w:val="21"/>
          <w:szCs w:val="21"/>
        </w:rPr>
      </w:pPr>
      <w:r>
        <w:rPr>
          <w:rFonts w:ascii="宋体" w:hAnsi="宋体" w:eastAsia="宋体" w:cs="宋体"/>
          <w:spacing w:val="-7"/>
          <w:sz w:val="21"/>
          <w:szCs w:val="21"/>
        </w:rPr>
        <w:t>姓</w:t>
      </w:r>
      <w:r>
        <w:rPr>
          <w:rFonts w:ascii="宋体" w:hAnsi="宋体" w:eastAsia="宋体" w:cs="宋体"/>
          <w:spacing w:val="3"/>
          <w:sz w:val="21"/>
          <w:szCs w:val="21"/>
        </w:rPr>
        <w:t xml:space="preserve">    </w:t>
      </w:r>
      <w:r>
        <w:rPr>
          <w:rFonts w:ascii="宋体" w:hAnsi="宋体" w:eastAsia="宋体" w:cs="宋体"/>
          <w:spacing w:val="-7"/>
          <w:sz w:val="21"/>
          <w:szCs w:val="21"/>
        </w:rPr>
        <w:t>名：</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7"/>
          <w:sz w:val="21"/>
          <w:szCs w:val="21"/>
        </w:rPr>
        <w:t>性</w:t>
      </w:r>
      <w:r>
        <w:rPr>
          <w:rFonts w:ascii="宋体" w:hAnsi="宋体" w:eastAsia="宋体" w:cs="宋体"/>
          <w:spacing w:val="1"/>
          <w:sz w:val="21"/>
          <w:szCs w:val="21"/>
        </w:rPr>
        <w:t xml:space="preserve">        </w:t>
      </w:r>
      <w:r>
        <w:rPr>
          <w:rFonts w:ascii="宋体" w:hAnsi="宋体" w:eastAsia="宋体" w:cs="宋体"/>
          <w:spacing w:val="-7"/>
          <w:sz w:val="21"/>
          <w:szCs w:val="21"/>
        </w:rPr>
        <w:t>别：</w:t>
      </w:r>
      <w:r>
        <w:rPr>
          <w:rFonts w:ascii="宋体" w:hAnsi="宋体" w:eastAsia="宋体" w:cs="宋体"/>
          <w:sz w:val="21"/>
          <w:szCs w:val="21"/>
          <w:u w:val="single" w:color="auto"/>
        </w:rPr>
        <w:t xml:space="preserve">                 </w:t>
      </w:r>
    </w:p>
    <w:p w14:paraId="43445311">
      <w:pPr>
        <w:spacing w:before="245" w:line="220" w:lineRule="auto"/>
        <w:ind w:left="445"/>
        <w:rPr>
          <w:rFonts w:ascii="宋体" w:hAnsi="宋体" w:eastAsia="宋体" w:cs="宋体"/>
          <w:sz w:val="21"/>
          <w:szCs w:val="21"/>
        </w:rPr>
      </w:pPr>
      <w:r>
        <w:rPr>
          <w:rFonts w:ascii="宋体" w:hAnsi="宋体" w:eastAsia="宋体" w:cs="宋体"/>
          <w:spacing w:val="-6"/>
          <w:sz w:val="21"/>
          <w:szCs w:val="21"/>
        </w:rPr>
        <w:t>年</w:t>
      </w:r>
      <w:r>
        <w:rPr>
          <w:rFonts w:ascii="宋体" w:hAnsi="宋体" w:eastAsia="宋体" w:cs="宋体"/>
          <w:spacing w:val="2"/>
          <w:sz w:val="21"/>
          <w:szCs w:val="21"/>
        </w:rPr>
        <w:t xml:space="preserve">    </w:t>
      </w:r>
      <w:r>
        <w:rPr>
          <w:rFonts w:ascii="宋体" w:hAnsi="宋体" w:eastAsia="宋体" w:cs="宋体"/>
          <w:spacing w:val="-6"/>
          <w:sz w:val="21"/>
          <w:szCs w:val="21"/>
        </w:rPr>
        <w:t>龄：</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职</w:t>
      </w:r>
      <w:r>
        <w:rPr>
          <w:rFonts w:ascii="宋体" w:hAnsi="宋体" w:eastAsia="宋体" w:cs="宋体"/>
          <w:spacing w:val="1"/>
          <w:sz w:val="21"/>
          <w:szCs w:val="21"/>
        </w:rPr>
        <w:t xml:space="preserve">        </w:t>
      </w:r>
      <w:r>
        <w:rPr>
          <w:rFonts w:ascii="宋体" w:hAnsi="宋体" w:eastAsia="宋体" w:cs="宋体"/>
          <w:spacing w:val="-6"/>
          <w:sz w:val="21"/>
          <w:szCs w:val="21"/>
        </w:rPr>
        <w:t>务：</w:t>
      </w:r>
      <w:r>
        <w:rPr>
          <w:rFonts w:ascii="宋体" w:hAnsi="宋体" w:eastAsia="宋体" w:cs="宋体"/>
          <w:sz w:val="21"/>
          <w:szCs w:val="21"/>
          <w:u w:val="single" w:color="auto"/>
        </w:rPr>
        <w:t xml:space="preserve">                 </w:t>
      </w:r>
    </w:p>
    <w:p w14:paraId="3B8E4BF4">
      <w:pPr>
        <w:spacing w:before="245" w:line="220" w:lineRule="auto"/>
        <w:ind w:left="448"/>
        <w:rPr>
          <w:rFonts w:ascii="宋体" w:hAnsi="宋体" w:eastAsia="宋体" w:cs="宋体"/>
          <w:sz w:val="21"/>
          <w:szCs w:val="21"/>
        </w:rPr>
      </w:pPr>
      <w:r>
        <w:rPr>
          <w:rFonts w:ascii="宋体" w:hAnsi="宋体" w:eastAsia="宋体" w:cs="宋体"/>
          <w:sz w:val="21"/>
          <w:szCs w:val="21"/>
        </w:rPr>
        <w:t>系</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（投标人名称）的法定代表人。</w:t>
      </w:r>
    </w:p>
    <w:p w14:paraId="12231B46">
      <w:pPr>
        <w:spacing w:before="260" w:line="220" w:lineRule="auto"/>
        <w:ind w:left="444"/>
        <w:rPr>
          <w:rFonts w:ascii="宋体" w:hAnsi="宋体" w:eastAsia="宋体" w:cs="宋体"/>
          <w:sz w:val="21"/>
          <w:szCs w:val="21"/>
        </w:rPr>
      </w:pPr>
      <w:r>
        <w:rPr>
          <w:rFonts w:ascii="宋体" w:hAnsi="宋体" w:eastAsia="宋体" w:cs="宋体"/>
          <w:spacing w:val="-6"/>
          <w:sz w:val="21"/>
          <w:szCs w:val="21"/>
        </w:rPr>
        <w:t>特此证明。</w:t>
      </w:r>
    </w:p>
    <w:p w14:paraId="56374087">
      <w:pPr>
        <w:pStyle w:val="2"/>
        <w:spacing w:line="293" w:lineRule="auto"/>
      </w:pPr>
    </w:p>
    <w:p w14:paraId="2A93A896">
      <w:pPr>
        <w:pStyle w:val="2"/>
        <w:spacing w:line="294" w:lineRule="auto"/>
      </w:pPr>
    </w:p>
    <w:p w14:paraId="29B76830">
      <w:pPr>
        <w:pStyle w:val="2"/>
        <w:spacing w:line="294" w:lineRule="auto"/>
      </w:pPr>
    </w:p>
    <w:p w14:paraId="5304763C">
      <w:pPr>
        <w:pStyle w:val="2"/>
        <w:spacing w:line="294" w:lineRule="auto"/>
      </w:pPr>
    </w:p>
    <w:p w14:paraId="06882BF0">
      <w:pPr>
        <w:tabs>
          <w:tab w:val="left" w:pos="6022"/>
        </w:tabs>
        <w:spacing w:before="69" w:line="438" w:lineRule="auto"/>
        <w:ind w:left="5077" w:hanging="1566"/>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55EA73DB">
      <w:pPr>
        <w:spacing w:line="438" w:lineRule="auto"/>
        <w:rPr>
          <w:rFonts w:ascii="宋体" w:hAnsi="宋体" w:eastAsia="宋体" w:cs="宋体"/>
          <w:sz w:val="21"/>
          <w:szCs w:val="21"/>
        </w:rPr>
        <w:sectPr>
          <w:footerReference r:id="rId306" w:type="default"/>
          <w:pgSz w:w="11910" w:h="16845"/>
          <w:pgMar w:top="400" w:right="1786" w:bottom="1110" w:left="1786" w:header="0" w:footer="882" w:gutter="0"/>
          <w:cols w:space="720" w:num="1"/>
        </w:sectPr>
      </w:pPr>
    </w:p>
    <w:p w14:paraId="1811A8A0">
      <w:pPr>
        <w:pStyle w:val="2"/>
        <w:spacing w:line="286" w:lineRule="auto"/>
      </w:pPr>
    </w:p>
    <w:p w14:paraId="6E457963">
      <w:pPr>
        <w:pStyle w:val="2"/>
        <w:spacing w:line="286" w:lineRule="auto"/>
      </w:pPr>
    </w:p>
    <w:p w14:paraId="2F3F32A6">
      <w:pPr>
        <w:pStyle w:val="2"/>
        <w:spacing w:line="286" w:lineRule="auto"/>
      </w:pPr>
    </w:p>
    <w:p w14:paraId="26E0005A">
      <w:pPr>
        <w:pStyle w:val="2"/>
        <w:spacing w:line="287" w:lineRule="auto"/>
      </w:pPr>
    </w:p>
    <w:p w14:paraId="3BB24C43">
      <w:pPr>
        <w:pStyle w:val="2"/>
        <w:spacing w:line="287" w:lineRule="auto"/>
      </w:pPr>
    </w:p>
    <w:p w14:paraId="4EC6D56F">
      <w:pPr>
        <w:spacing w:before="91" w:line="223" w:lineRule="auto"/>
        <w:ind w:left="3186"/>
        <w:outlineLvl w:val="1"/>
        <w:rPr>
          <w:rFonts w:ascii="黑体" w:hAnsi="黑体" w:eastAsia="黑体" w:cs="黑体"/>
          <w:sz w:val="28"/>
          <w:szCs w:val="28"/>
        </w:rPr>
      </w:pPr>
      <w:bookmarkStart w:id="623" w:name="bookmark576"/>
      <w:bookmarkEnd w:id="623"/>
      <w:r>
        <w:rPr>
          <w:rFonts w:ascii="黑体" w:hAnsi="黑体" w:eastAsia="黑体" w:cs="黑体"/>
          <w:spacing w:val="5"/>
          <w:sz w:val="28"/>
          <w:szCs w:val="28"/>
        </w:rPr>
        <w:t>三、投标保证金</w:t>
      </w:r>
    </w:p>
    <w:p w14:paraId="2BBDB350">
      <w:pPr>
        <w:pStyle w:val="2"/>
        <w:spacing w:line="262" w:lineRule="auto"/>
      </w:pPr>
    </w:p>
    <w:p w14:paraId="3709AD84">
      <w:pPr>
        <w:pStyle w:val="2"/>
        <w:spacing w:line="263" w:lineRule="auto"/>
      </w:pPr>
    </w:p>
    <w:p w14:paraId="6D21A6B0">
      <w:pPr>
        <w:spacing w:before="68" w:line="219" w:lineRule="auto"/>
        <w:ind w:left="415"/>
        <w:rPr>
          <w:rFonts w:ascii="宋体" w:hAnsi="宋体" w:eastAsia="宋体" w:cs="宋体"/>
          <w:sz w:val="21"/>
          <w:szCs w:val="21"/>
        </w:rPr>
      </w:pPr>
      <w:r>
        <w:rPr>
          <w:rFonts w:ascii="宋体" w:hAnsi="宋体" w:eastAsia="宋体" w:cs="宋体"/>
          <w:spacing w:val="-1"/>
          <w:sz w:val="21"/>
          <w:szCs w:val="21"/>
        </w:rPr>
        <w:t>若采用现金或支票，投标人应在此提供汇款凭证的扫描件。</w:t>
      </w:r>
    </w:p>
    <w:p w14:paraId="1CF4BD3A">
      <w:pPr>
        <w:spacing w:before="140" w:line="219" w:lineRule="auto"/>
        <w:ind w:left="418"/>
        <w:rPr>
          <w:rFonts w:ascii="宋体" w:hAnsi="宋体" w:eastAsia="宋体" w:cs="宋体"/>
          <w:sz w:val="21"/>
          <w:szCs w:val="21"/>
        </w:rPr>
      </w:pPr>
      <w:r>
        <w:rPr>
          <w:rFonts w:ascii="宋体" w:hAnsi="宋体" w:eastAsia="宋体" w:cs="宋体"/>
          <w:spacing w:val="-3"/>
          <w:sz w:val="21"/>
          <w:szCs w:val="21"/>
        </w:rPr>
        <w:t>如采用银行保函，格式如下。</w:t>
      </w:r>
    </w:p>
    <w:p w14:paraId="3AD96502">
      <w:pPr>
        <w:pStyle w:val="2"/>
        <w:spacing w:line="260" w:lineRule="auto"/>
      </w:pPr>
    </w:p>
    <w:p w14:paraId="4E5CB063">
      <w:pPr>
        <w:pStyle w:val="2"/>
        <w:spacing w:line="260" w:lineRule="auto"/>
      </w:pPr>
    </w:p>
    <w:p w14:paraId="7797D475">
      <w:pPr>
        <w:tabs>
          <w:tab w:val="left" w:pos="2223"/>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7059722">
      <w:pPr>
        <w:spacing w:before="197" w:line="407" w:lineRule="auto"/>
        <w:ind w:left="29" w:firstLine="417"/>
        <w:jc w:val="both"/>
        <w:rPr>
          <w:rFonts w:ascii="宋体" w:hAnsi="宋体" w:eastAsia="宋体" w:cs="宋体"/>
          <w:sz w:val="21"/>
          <w:szCs w:val="21"/>
        </w:rPr>
      </w:pPr>
      <w:r>
        <w:rPr>
          <w:rFonts w:ascii="宋体" w:hAnsi="宋体" w:eastAsia="宋体" w:cs="宋体"/>
          <w:spacing w:val="-6"/>
          <w:sz w:val="21"/>
          <w:szCs w:val="21"/>
        </w:rPr>
        <w:t>鉴于</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
          <w:sz w:val="21"/>
          <w:szCs w:val="21"/>
        </w:rPr>
        <w:t>（投标人名称</w:t>
      </w:r>
      <w:r>
        <w:rPr>
          <w:rFonts w:ascii="宋体" w:hAnsi="宋体" w:eastAsia="宋体" w:cs="宋体"/>
          <w:spacing w:val="-59"/>
          <w:sz w:val="21"/>
          <w:szCs w:val="21"/>
        </w:rPr>
        <w:t>）（</w:t>
      </w:r>
      <w:r>
        <w:rPr>
          <w:rFonts w:ascii="宋体" w:hAnsi="宋体" w:eastAsia="宋体" w:cs="宋体"/>
          <w:spacing w:val="-6"/>
          <w:sz w:val="21"/>
          <w:szCs w:val="21"/>
        </w:rPr>
        <w:t>以下简称“投标人”）参加你方</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（项</w:t>
      </w:r>
      <w:r>
        <w:rPr>
          <w:rFonts w:ascii="宋体" w:hAnsi="宋体" w:eastAsia="宋体" w:cs="宋体"/>
          <w:spacing w:val="-1"/>
          <w:sz w:val="21"/>
          <w:szCs w:val="21"/>
        </w:rPr>
        <w:t>目名称</w:t>
      </w:r>
      <w:r>
        <w:rPr>
          <w:rFonts w:ascii="宋体" w:hAnsi="宋体" w:eastAsia="宋体" w:cs="宋体"/>
          <w:spacing w:val="3"/>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标段名称）的施工投标</w:t>
      </w:r>
      <w:r>
        <w:rPr>
          <w:rFonts w:ascii="宋体" w:hAnsi="宋体" w:eastAsia="宋体" w:cs="宋体"/>
          <w:spacing w:val="3"/>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担保人名称）</w:t>
      </w:r>
      <w:r>
        <w:rPr>
          <w:rFonts w:ascii="宋体" w:hAnsi="宋体" w:eastAsia="宋体" w:cs="宋体"/>
          <w:spacing w:val="1"/>
          <w:sz w:val="21"/>
          <w:szCs w:val="21"/>
        </w:rPr>
        <w:t xml:space="preserve"> </w:t>
      </w:r>
      <w:r>
        <w:rPr>
          <w:rFonts w:ascii="宋体" w:hAnsi="宋体" w:eastAsia="宋体" w:cs="宋体"/>
          <w:spacing w:val="-2"/>
          <w:sz w:val="21"/>
          <w:szCs w:val="21"/>
        </w:rPr>
        <w:t>（以下简称“我方”）受该投标人委托，在</w:t>
      </w:r>
      <w:r>
        <w:rPr>
          <w:rFonts w:ascii="宋体" w:hAnsi="宋体" w:eastAsia="宋体" w:cs="宋体"/>
          <w:spacing w:val="-3"/>
          <w:sz w:val="21"/>
          <w:szCs w:val="21"/>
        </w:rPr>
        <w:t>此无条件地、不可撤销地保证：一旦收到你方提</w:t>
      </w:r>
      <w:r>
        <w:rPr>
          <w:rFonts w:ascii="宋体" w:hAnsi="宋体" w:eastAsia="宋体" w:cs="宋体"/>
          <w:spacing w:val="15"/>
          <w:sz w:val="21"/>
          <w:szCs w:val="21"/>
        </w:rPr>
        <w:t>出的下述任何一种事</w:t>
      </w:r>
      <w:r>
        <w:rPr>
          <w:rFonts w:ascii="宋体" w:hAnsi="宋体" w:eastAsia="宋体" w:cs="宋体"/>
          <w:spacing w:val="-47"/>
          <w:sz w:val="21"/>
          <w:szCs w:val="21"/>
        </w:rPr>
        <w:t xml:space="preserve"> </w:t>
      </w:r>
      <w:r>
        <w:rPr>
          <w:rFonts w:ascii="宋体" w:hAnsi="宋体" w:eastAsia="宋体" w:cs="宋体"/>
          <w:spacing w:val="15"/>
          <w:sz w:val="21"/>
          <w:szCs w:val="21"/>
        </w:rPr>
        <w:t>实的书面通知</w:t>
      </w:r>
      <w:r>
        <w:rPr>
          <w:rFonts w:ascii="宋体" w:hAnsi="宋体" w:eastAsia="宋体" w:cs="宋体"/>
          <w:spacing w:val="-35"/>
          <w:sz w:val="21"/>
          <w:szCs w:val="21"/>
        </w:rPr>
        <w:t xml:space="preserve"> </w:t>
      </w:r>
      <w:r>
        <w:rPr>
          <w:rFonts w:ascii="宋体" w:hAnsi="宋体" w:eastAsia="宋体" w:cs="宋体"/>
          <w:spacing w:val="15"/>
          <w:sz w:val="21"/>
          <w:szCs w:val="21"/>
        </w:rPr>
        <w:t>，在</w:t>
      </w:r>
      <w:r>
        <w:rPr>
          <w:rFonts w:ascii="宋体" w:hAnsi="宋体" w:eastAsia="宋体" w:cs="宋体"/>
          <w:spacing w:val="54"/>
          <w:sz w:val="21"/>
          <w:szCs w:val="21"/>
        </w:rPr>
        <w:t xml:space="preserve"> </w:t>
      </w:r>
      <w:r>
        <w:rPr>
          <w:rFonts w:ascii="宋体" w:hAnsi="宋体" w:eastAsia="宋体" w:cs="宋体"/>
          <w:spacing w:val="15"/>
          <w:sz w:val="21"/>
          <w:szCs w:val="21"/>
        </w:rPr>
        <w:t>7</w:t>
      </w:r>
      <w:r>
        <w:rPr>
          <w:rFonts w:ascii="宋体" w:hAnsi="宋体" w:eastAsia="宋体" w:cs="宋体"/>
          <w:spacing w:val="75"/>
          <w:sz w:val="21"/>
          <w:szCs w:val="21"/>
        </w:rPr>
        <w:t xml:space="preserve"> </w:t>
      </w:r>
      <w:r>
        <w:rPr>
          <w:rFonts w:ascii="宋体" w:hAnsi="宋体" w:eastAsia="宋体" w:cs="宋体"/>
          <w:spacing w:val="15"/>
          <w:sz w:val="21"/>
          <w:szCs w:val="21"/>
        </w:rPr>
        <w:t>日</w:t>
      </w:r>
      <w:r>
        <w:rPr>
          <w:rFonts w:ascii="宋体" w:hAnsi="宋体" w:eastAsia="宋体" w:cs="宋体"/>
          <w:spacing w:val="-42"/>
          <w:sz w:val="21"/>
          <w:szCs w:val="21"/>
        </w:rPr>
        <w:t xml:space="preserve"> </w:t>
      </w:r>
      <w:r>
        <w:rPr>
          <w:rFonts w:ascii="宋体" w:hAnsi="宋体" w:eastAsia="宋体" w:cs="宋体"/>
          <w:spacing w:val="15"/>
          <w:sz w:val="21"/>
          <w:szCs w:val="21"/>
        </w:rPr>
        <w:t>内无</w:t>
      </w:r>
      <w:r>
        <w:rPr>
          <w:rFonts w:ascii="宋体" w:hAnsi="宋体" w:eastAsia="宋体" w:cs="宋体"/>
          <w:spacing w:val="-49"/>
          <w:sz w:val="21"/>
          <w:szCs w:val="21"/>
        </w:rPr>
        <w:t xml:space="preserve"> </w:t>
      </w:r>
      <w:r>
        <w:rPr>
          <w:rFonts w:ascii="宋体" w:hAnsi="宋体" w:eastAsia="宋体" w:cs="宋体"/>
          <w:spacing w:val="15"/>
          <w:sz w:val="21"/>
          <w:szCs w:val="21"/>
        </w:rPr>
        <w:t>条件地</w:t>
      </w:r>
      <w:r>
        <w:rPr>
          <w:rFonts w:ascii="宋体" w:hAnsi="宋体" w:eastAsia="宋体" w:cs="宋体"/>
          <w:spacing w:val="-46"/>
          <w:sz w:val="21"/>
          <w:szCs w:val="21"/>
        </w:rPr>
        <w:t xml:space="preserve"> </w:t>
      </w:r>
      <w:r>
        <w:rPr>
          <w:rFonts w:ascii="宋体" w:hAnsi="宋体" w:eastAsia="宋体" w:cs="宋体"/>
          <w:spacing w:val="15"/>
          <w:sz w:val="21"/>
          <w:szCs w:val="21"/>
        </w:rPr>
        <w:t>向你方</w:t>
      </w:r>
      <w:r>
        <w:rPr>
          <w:rFonts w:ascii="宋体" w:hAnsi="宋体" w:eastAsia="宋体" w:cs="宋体"/>
          <w:spacing w:val="-50"/>
          <w:sz w:val="21"/>
          <w:szCs w:val="21"/>
        </w:rPr>
        <w:t xml:space="preserve"> </w:t>
      </w:r>
      <w:r>
        <w:rPr>
          <w:rFonts w:ascii="宋体" w:hAnsi="宋体" w:eastAsia="宋体" w:cs="宋体"/>
          <w:spacing w:val="15"/>
          <w:sz w:val="21"/>
          <w:szCs w:val="21"/>
        </w:rPr>
        <w:t>支付</w:t>
      </w:r>
      <w:r>
        <w:rPr>
          <w:rFonts w:ascii="宋体" w:hAnsi="宋体" w:eastAsia="宋体" w:cs="宋体"/>
          <w:spacing w:val="-61"/>
          <w:sz w:val="21"/>
          <w:szCs w:val="21"/>
        </w:rPr>
        <w:t xml:space="preserve"> </w:t>
      </w:r>
      <w:r>
        <w:rPr>
          <w:rFonts w:ascii="宋体" w:hAnsi="宋体" w:eastAsia="宋体" w:cs="宋体"/>
          <w:spacing w:val="15"/>
          <w:sz w:val="21"/>
          <w:szCs w:val="21"/>
        </w:rPr>
        <w:t>总额不超过</w:t>
      </w:r>
      <w:r>
        <w:rPr>
          <w:rFonts w:ascii="宋体" w:hAnsi="宋体" w:eastAsia="宋体" w:cs="宋体"/>
          <w:spacing w:val="-3"/>
          <w:sz w:val="21"/>
          <w:szCs w:val="21"/>
        </w:rPr>
        <w:t>（投标保函额度）的任何你方要求的金额：</w:t>
      </w:r>
    </w:p>
    <w:p w14:paraId="2C97A95A">
      <w:pPr>
        <w:spacing w:before="1" w:line="219" w:lineRule="auto"/>
        <w:ind w:left="460"/>
        <w:rPr>
          <w:rFonts w:ascii="宋体" w:hAnsi="宋体" w:eastAsia="宋体" w:cs="宋体"/>
          <w:sz w:val="21"/>
          <w:szCs w:val="21"/>
        </w:rPr>
      </w:pPr>
      <w:r>
        <w:rPr>
          <w:rFonts w:ascii="宋体" w:hAnsi="宋体" w:eastAsia="宋体" w:cs="宋体"/>
          <w:spacing w:val="-2"/>
          <w:sz w:val="21"/>
          <w:szCs w:val="21"/>
        </w:rPr>
        <w:t>1．投标人在规定的投标有效期内撤销或者修改其投标文件。</w:t>
      </w:r>
    </w:p>
    <w:p w14:paraId="45768CE4">
      <w:pPr>
        <w:spacing w:before="200" w:line="409" w:lineRule="auto"/>
        <w:ind w:left="24" w:right="92" w:firstLine="423"/>
        <w:rPr>
          <w:rFonts w:ascii="宋体" w:hAnsi="宋体" w:eastAsia="宋体" w:cs="宋体"/>
          <w:sz w:val="21"/>
          <w:szCs w:val="21"/>
        </w:rPr>
      </w:pPr>
      <w:r>
        <w:rPr>
          <w:rFonts w:ascii="宋体" w:hAnsi="宋体" w:eastAsia="宋体" w:cs="宋体"/>
          <w:sz w:val="21"/>
          <w:szCs w:val="21"/>
        </w:rPr>
        <w:t>2．投标人在收到中标通知书后无正当理由而未在规定期限内与贵方签署合同，</w:t>
      </w:r>
      <w:r>
        <w:rPr>
          <w:rFonts w:ascii="宋体" w:hAnsi="宋体" w:eastAsia="宋体" w:cs="宋体"/>
          <w:spacing w:val="-1"/>
          <w:sz w:val="21"/>
          <w:szCs w:val="21"/>
        </w:rPr>
        <w:t>或者在</w:t>
      </w:r>
      <w:r>
        <w:rPr>
          <w:rFonts w:ascii="宋体" w:hAnsi="宋体" w:eastAsia="宋体" w:cs="宋体"/>
          <w:spacing w:val="-2"/>
          <w:sz w:val="21"/>
          <w:szCs w:val="21"/>
        </w:rPr>
        <w:t>签订合同时向招标人提出附加条件。</w:t>
      </w:r>
    </w:p>
    <w:p w14:paraId="13B27198">
      <w:pPr>
        <w:spacing w:before="1" w:line="398" w:lineRule="auto"/>
        <w:ind w:left="25" w:right="83" w:firstLine="423"/>
        <w:rPr>
          <w:rFonts w:ascii="宋体" w:hAnsi="宋体" w:eastAsia="宋体" w:cs="宋体"/>
          <w:sz w:val="21"/>
          <w:szCs w:val="21"/>
        </w:rPr>
      </w:pPr>
      <w:r>
        <w:rPr>
          <w:rFonts w:ascii="宋体" w:hAnsi="宋体" w:eastAsia="宋体" w:cs="宋体"/>
          <w:sz w:val="21"/>
          <w:szCs w:val="21"/>
        </w:rPr>
        <w:t>3．投标人在收到中标通知书后未能在规定期限内向贵方提交招标文件所要求的履约担</w:t>
      </w:r>
      <w:r>
        <w:rPr>
          <w:rFonts w:ascii="宋体" w:hAnsi="宋体" w:eastAsia="宋体" w:cs="宋体"/>
          <w:spacing w:val="-10"/>
          <w:sz w:val="21"/>
          <w:szCs w:val="21"/>
        </w:rPr>
        <w:t>保。</w:t>
      </w:r>
    </w:p>
    <w:p w14:paraId="652B13DD">
      <w:pPr>
        <w:spacing w:before="11" w:line="402" w:lineRule="auto"/>
        <w:ind w:left="31" w:right="72" w:firstLine="413"/>
        <w:rPr>
          <w:rFonts w:ascii="宋体" w:hAnsi="宋体" w:eastAsia="宋体" w:cs="宋体"/>
          <w:sz w:val="21"/>
          <w:szCs w:val="21"/>
        </w:rPr>
      </w:pPr>
      <w:r>
        <w:rPr>
          <w:rFonts w:ascii="宋体" w:hAnsi="宋体" w:eastAsia="宋体" w:cs="宋体"/>
          <w:spacing w:val="-2"/>
          <w:sz w:val="21"/>
          <w:szCs w:val="21"/>
        </w:rPr>
        <w:t>本保函在投标有效期内保持有效，除非你方提前终止或解除本</w:t>
      </w:r>
      <w:r>
        <w:rPr>
          <w:rFonts w:ascii="宋体" w:hAnsi="宋体" w:eastAsia="宋体" w:cs="宋体"/>
          <w:spacing w:val="-3"/>
          <w:sz w:val="21"/>
          <w:szCs w:val="21"/>
        </w:rPr>
        <w:t>保函。要求我方承担保证</w:t>
      </w:r>
      <w:r>
        <w:rPr>
          <w:rFonts w:ascii="宋体" w:hAnsi="宋体" w:eastAsia="宋体" w:cs="宋体"/>
          <w:spacing w:val="-2"/>
          <w:sz w:val="21"/>
          <w:szCs w:val="21"/>
        </w:rPr>
        <w:t>责任的通知应在投标有效期内送达我方。</w:t>
      </w:r>
    </w:p>
    <w:p w14:paraId="254B298D">
      <w:pPr>
        <w:spacing w:before="1" w:line="218" w:lineRule="auto"/>
        <w:ind w:left="445"/>
        <w:rPr>
          <w:rFonts w:ascii="宋体" w:hAnsi="宋体" w:eastAsia="宋体" w:cs="宋体"/>
          <w:sz w:val="21"/>
          <w:szCs w:val="21"/>
        </w:rPr>
      </w:pPr>
      <w:r>
        <w:rPr>
          <w:rFonts w:ascii="宋体" w:hAnsi="宋体" w:eastAsia="宋体" w:cs="宋体"/>
          <w:spacing w:val="-1"/>
          <w:sz w:val="21"/>
          <w:szCs w:val="21"/>
        </w:rPr>
        <w:t>本保函项下所有权利和义务均受中华人民共和国法律管辖和制约。</w:t>
      </w:r>
    </w:p>
    <w:p w14:paraId="02246C16">
      <w:pPr>
        <w:pStyle w:val="2"/>
        <w:spacing w:line="304" w:lineRule="auto"/>
      </w:pPr>
    </w:p>
    <w:p w14:paraId="07449B8E">
      <w:pPr>
        <w:pStyle w:val="2"/>
        <w:spacing w:line="305" w:lineRule="auto"/>
      </w:pPr>
    </w:p>
    <w:p w14:paraId="15228178">
      <w:pPr>
        <w:spacing w:before="69" w:line="219" w:lineRule="auto"/>
        <w:ind w:left="2127"/>
        <w:rPr>
          <w:rFonts w:ascii="宋体" w:hAnsi="宋体" w:eastAsia="宋体" w:cs="宋体"/>
          <w:sz w:val="21"/>
          <w:szCs w:val="21"/>
        </w:rPr>
      </w:pPr>
      <w:r>
        <w:rPr>
          <w:rFonts w:ascii="宋体" w:hAnsi="宋体" w:eastAsia="宋体" w:cs="宋体"/>
          <w:spacing w:val="-2"/>
          <w:sz w:val="21"/>
          <w:szCs w:val="21"/>
        </w:rPr>
        <w:t>担保人名称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5066FDF2">
      <w:pPr>
        <w:spacing w:before="201" w:line="220" w:lineRule="auto"/>
        <w:ind w:left="2127"/>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7A6BF810">
      <w:pPr>
        <w:spacing w:before="216" w:line="229" w:lineRule="auto"/>
        <w:ind w:left="2126"/>
        <w:rPr>
          <w:rFonts w:ascii="宋体" w:hAnsi="宋体" w:eastAsia="宋体" w:cs="宋体"/>
          <w:sz w:val="21"/>
          <w:szCs w:val="21"/>
        </w:rPr>
      </w:pPr>
      <w:r>
        <w:rPr>
          <w:rFonts w:ascii="宋体" w:hAnsi="宋体" w:eastAsia="宋体" w:cs="宋体"/>
          <w:spacing w:val="-6"/>
          <w:sz w:val="21"/>
          <w:szCs w:val="21"/>
        </w:rPr>
        <w:t>地</w:t>
      </w:r>
      <w:r>
        <w:rPr>
          <w:rFonts w:ascii="宋体" w:hAnsi="宋体" w:eastAsia="宋体" w:cs="宋体"/>
          <w:spacing w:val="2"/>
          <w:sz w:val="21"/>
          <w:szCs w:val="21"/>
        </w:rPr>
        <w:t xml:space="preserve">    </w:t>
      </w:r>
      <w:r>
        <w:rPr>
          <w:rFonts w:ascii="宋体" w:hAnsi="宋体" w:eastAsia="宋体" w:cs="宋体"/>
          <w:spacing w:val="-6"/>
          <w:sz w:val="21"/>
          <w:szCs w:val="21"/>
        </w:rPr>
        <w:t>址：</w:t>
      </w:r>
      <w:r>
        <w:rPr>
          <w:rFonts w:ascii="宋体" w:hAnsi="宋体" w:eastAsia="宋体" w:cs="宋体"/>
          <w:sz w:val="21"/>
          <w:szCs w:val="21"/>
          <w:u w:val="single" w:color="auto"/>
        </w:rPr>
        <w:t xml:space="preserve">                                              </w:t>
      </w:r>
    </w:p>
    <w:p w14:paraId="5376E719">
      <w:pPr>
        <w:spacing w:before="204" w:line="220" w:lineRule="auto"/>
        <w:ind w:left="2142"/>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p>
    <w:p w14:paraId="2C675BF7">
      <w:pPr>
        <w:spacing w:before="200" w:line="222" w:lineRule="auto"/>
        <w:ind w:left="2151"/>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070852A0">
      <w:pPr>
        <w:spacing w:before="213" w:line="219" w:lineRule="auto"/>
        <w:ind w:left="2125"/>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3"/>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3959D6C7">
      <w:pPr>
        <w:tabs>
          <w:tab w:val="left" w:pos="6232"/>
        </w:tabs>
        <w:spacing w:before="216" w:line="220" w:lineRule="auto"/>
        <w:ind w:left="51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7D5546E">
      <w:pPr>
        <w:pStyle w:val="2"/>
        <w:spacing w:line="274" w:lineRule="auto"/>
      </w:pPr>
    </w:p>
    <w:p w14:paraId="07EFB02F">
      <w:pPr>
        <w:pStyle w:val="2"/>
        <w:spacing w:line="275" w:lineRule="auto"/>
      </w:pPr>
    </w:p>
    <w:p w14:paraId="26E52A13">
      <w:pPr>
        <w:spacing w:before="69" w:line="219" w:lineRule="auto"/>
        <w:ind w:left="26"/>
        <w:rPr>
          <w:rFonts w:ascii="宋体" w:hAnsi="宋体" w:eastAsia="宋体" w:cs="宋体"/>
          <w:sz w:val="21"/>
          <w:szCs w:val="21"/>
        </w:rPr>
      </w:pPr>
      <w:r>
        <w:rPr>
          <w:rFonts w:ascii="宋体" w:hAnsi="宋体" w:eastAsia="宋体" w:cs="宋体"/>
          <w:spacing w:val="-1"/>
          <w:sz w:val="21"/>
          <w:szCs w:val="21"/>
        </w:rPr>
        <w:t>备注：1.投标人采用保函形式提交投标保证金的采用本格</w:t>
      </w:r>
      <w:r>
        <w:rPr>
          <w:rFonts w:ascii="宋体" w:hAnsi="宋体" w:eastAsia="宋体" w:cs="宋体"/>
          <w:spacing w:val="-2"/>
          <w:sz w:val="21"/>
          <w:szCs w:val="21"/>
        </w:rPr>
        <w:t>式。</w:t>
      </w:r>
    </w:p>
    <w:p w14:paraId="0C3E2303">
      <w:pPr>
        <w:spacing w:before="156" w:line="219" w:lineRule="auto"/>
        <w:ind w:left="657"/>
        <w:rPr>
          <w:rFonts w:ascii="宋体" w:hAnsi="宋体" w:eastAsia="宋体" w:cs="宋体"/>
          <w:sz w:val="21"/>
          <w:szCs w:val="21"/>
        </w:rPr>
      </w:pPr>
      <w:r>
        <w:rPr>
          <w:rFonts w:ascii="宋体" w:hAnsi="宋体" w:eastAsia="宋体" w:cs="宋体"/>
          <w:spacing w:val="-2"/>
          <w:sz w:val="21"/>
          <w:szCs w:val="21"/>
        </w:rPr>
        <w:t>2.投标人可采用银行提供的保函格式，但担保内容不得背离招标</w:t>
      </w:r>
      <w:r>
        <w:rPr>
          <w:rFonts w:ascii="宋体" w:hAnsi="宋体" w:eastAsia="宋体" w:cs="宋体"/>
          <w:spacing w:val="-3"/>
          <w:sz w:val="21"/>
          <w:szCs w:val="21"/>
        </w:rPr>
        <w:t>文件约定的实质性内</w:t>
      </w:r>
    </w:p>
    <w:p w14:paraId="4EE1C7F7">
      <w:pPr>
        <w:spacing w:line="219" w:lineRule="auto"/>
        <w:rPr>
          <w:rFonts w:ascii="宋体" w:hAnsi="宋体" w:eastAsia="宋体" w:cs="宋体"/>
          <w:sz w:val="21"/>
          <w:szCs w:val="21"/>
        </w:rPr>
        <w:sectPr>
          <w:footerReference r:id="rId307" w:type="default"/>
          <w:pgSz w:w="11910" w:h="16845"/>
          <w:pgMar w:top="400" w:right="1710" w:bottom="1110" w:left="1786" w:header="0" w:footer="883" w:gutter="0"/>
          <w:cols w:space="720" w:num="1"/>
        </w:sectPr>
      </w:pPr>
    </w:p>
    <w:p w14:paraId="695C182D">
      <w:pPr>
        <w:pStyle w:val="2"/>
        <w:spacing w:line="275" w:lineRule="auto"/>
      </w:pPr>
    </w:p>
    <w:p w14:paraId="4A24AF2E">
      <w:pPr>
        <w:pStyle w:val="2"/>
        <w:spacing w:line="275" w:lineRule="auto"/>
      </w:pPr>
    </w:p>
    <w:p w14:paraId="5A5B0324">
      <w:pPr>
        <w:pStyle w:val="2"/>
        <w:spacing w:line="275" w:lineRule="auto"/>
      </w:pPr>
    </w:p>
    <w:p w14:paraId="7389AB0C">
      <w:pPr>
        <w:pStyle w:val="2"/>
        <w:spacing w:line="275" w:lineRule="auto"/>
      </w:pPr>
    </w:p>
    <w:p w14:paraId="0A3D6769">
      <w:pPr>
        <w:spacing w:before="68" w:line="220" w:lineRule="auto"/>
        <w:ind w:left="867"/>
        <w:rPr>
          <w:rFonts w:ascii="宋体" w:hAnsi="宋体" w:eastAsia="宋体" w:cs="宋体"/>
          <w:sz w:val="21"/>
          <w:szCs w:val="21"/>
        </w:rPr>
      </w:pPr>
      <w:r>
        <w:rPr>
          <w:rFonts w:ascii="宋体" w:hAnsi="宋体" w:eastAsia="宋体" w:cs="宋体"/>
          <w:spacing w:val="-2"/>
          <w:sz w:val="21"/>
          <w:szCs w:val="21"/>
        </w:rPr>
        <w:t>容或对招标人的权利造成实质性的限制。</w:t>
      </w:r>
    </w:p>
    <w:p w14:paraId="0CD07605">
      <w:pPr>
        <w:spacing w:line="220" w:lineRule="auto"/>
        <w:rPr>
          <w:rFonts w:ascii="宋体" w:hAnsi="宋体" w:eastAsia="宋体" w:cs="宋体"/>
          <w:sz w:val="21"/>
          <w:szCs w:val="21"/>
        </w:rPr>
        <w:sectPr>
          <w:footerReference r:id="rId308" w:type="default"/>
          <w:pgSz w:w="11910" w:h="16845"/>
          <w:pgMar w:top="400" w:right="1786" w:bottom="1110" w:left="1786" w:header="0" w:footer="882" w:gutter="0"/>
          <w:cols w:space="720" w:num="1"/>
        </w:sectPr>
      </w:pPr>
    </w:p>
    <w:p w14:paraId="7D2E1AD4">
      <w:pPr>
        <w:pStyle w:val="2"/>
        <w:spacing w:line="286" w:lineRule="auto"/>
      </w:pPr>
    </w:p>
    <w:p w14:paraId="527365B9">
      <w:pPr>
        <w:pStyle w:val="2"/>
        <w:spacing w:line="286" w:lineRule="auto"/>
      </w:pPr>
    </w:p>
    <w:p w14:paraId="5C87053F">
      <w:pPr>
        <w:pStyle w:val="2"/>
        <w:spacing w:line="286" w:lineRule="auto"/>
      </w:pPr>
    </w:p>
    <w:p w14:paraId="7A28F865">
      <w:pPr>
        <w:pStyle w:val="2"/>
        <w:spacing w:line="287" w:lineRule="auto"/>
      </w:pPr>
    </w:p>
    <w:p w14:paraId="78CAB555">
      <w:pPr>
        <w:pStyle w:val="2"/>
        <w:spacing w:line="287" w:lineRule="auto"/>
      </w:pPr>
    </w:p>
    <w:p w14:paraId="31D43738">
      <w:pPr>
        <w:spacing w:before="91" w:line="222" w:lineRule="auto"/>
        <w:ind w:left="3062"/>
        <w:outlineLvl w:val="1"/>
        <w:rPr>
          <w:rFonts w:ascii="黑体" w:hAnsi="黑体" w:eastAsia="黑体" w:cs="黑体"/>
          <w:sz w:val="28"/>
          <w:szCs w:val="28"/>
        </w:rPr>
      </w:pPr>
      <w:bookmarkStart w:id="624" w:name="bookmark577"/>
      <w:bookmarkEnd w:id="624"/>
      <w:r>
        <w:rPr>
          <w:rFonts w:ascii="黑体" w:hAnsi="黑体" w:eastAsia="黑体" w:cs="黑体"/>
          <w:spacing w:val="3"/>
          <w:sz w:val="28"/>
          <w:szCs w:val="28"/>
        </w:rPr>
        <w:t>四、联合体协议书</w:t>
      </w:r>
    </w:p>
    <w:p w14:paraId="04E5AF12">
      <w:pPr>
        <w:spacing w:before="117" w:line="219" w:lineRule="auto"/>
        <w:ind w:left="25"/>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u w:val="single" w:color="auto"/>
        </w:rPr>
        <w:t xml:space="preserve">                                                   </w:t>
      </w:r>
    </w:p>
    <w:p w14:paraId="18EB5BDC">
      <w:pPr>
        <w:spacing w:before="140" w:line="220" w:lineRule="auto"/>
        <w:ind w:left="2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p>
    <w:p w14:paraId="79BB84CF">
      <w:pPr>
        <w:spacing w:before="156" w:line="220" w:lineRule="auto"/>
        <w:ind w:left="25"/>
        <w:rPr>
          <w:rFonts w:ascii="宋体" w:hAnsi="宋体" w:eastAsia="宋体" w:cs="宋体"/>
          <w:sz w:val="21"/>
          <w:szCs w:val="21"/>
        </w:rPr>
      </w:pPr>
      <w:r>
        <w:rPr>
          <w:rFonts w:ascii="宋体" w:hAnsi="宋体" w:eastAsia="宋体" w:cs="宋体"/>
          <w:spacing w:val="-2"/>
          <w:sz w:val="21"/>
          <w:szCs w:val="21"/>
        </w:rPr>
        <w:t>法定住所：</w:t>
      </w:r>
      <w:r>
        <w:rPr>
          <w:rFonts w:ascii="宋体" w:hAnsi="宋体" w:eastAsia="宋体" w:cs="宋体"/>
          <w:spacing w:val="-2"/>
          <w:sz w:val="21"/>
          <w:szCs w:val="21"/>
          <w:u w:val="single" w:color="auto"/>
        </w:rPr>
        <w:t xml:space="preserve">                                                     </w:t>
      </w:r>
    </w:p>
    <w:p w14:paraId="779AAAF7">
      <w:pPr>
        <w:pStyle w:val="2"/>
        <w:spacing w:line="458" w:lineRule="auto"/>
      </w:pPr>
    </w:p>
    <w:p w14:paraId="4419C8B9">
      <w:pPr>
        <w:spacing w:before="69" w:line="221" w:lineRule="auto"/>
        <w:ind w:left="25"/>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z w:val="21"/>
          <w:szCs w:val="21"/>
          <w:u w:val="single" w:color="auto"/>
        </w:rPr>
        <w:t xml:space="preserve">                                                   </w:t>
      </w:r>
    </w:p>
    <w:p w14:paraId="32EF0AF9">
      <w:pPr>
        <w:spacing w:before="138" w:line="220" w:lineRule="auto"/>
        <w:ind w:left="2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p>
    <w:p w14:paraId="2720F637">
      <w:pPr>
        <w:spacing w:before="156" w:line="343" w:lineRule="auto"/>
        <w:ind w:left="562" w:right="1870" w:hanging="537"/>
        <w:rPr>
          <w:rFonts w:ascii="宋体" w:hAnsi="宋体" w:eastAsia="宋体" w:cs="宋体"/>
          <w:sz w:val="21"/>
          <w:szCs w:val="21"/>
        </w:rPr>
      </w:pPr>
      <w:r>
        <w:rPr>
          <w:rFonts w:ascii="宋体" w:hAnsi="宋体" w:eastAsia="宋体" w:cs="宋体"/>
          <w:sz w:val="21"/>
          <w:szCs w:val="21"/>
        </w:rPr>
        <w:t>法定住所：</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6"/>
          <w:sz w:val="21"/>
          <w:szCs w:val="21"/>
        </w:rPr>
        <w:t>……</w:t>
      </w:r>
    </w:p>
    <w:p w14:paraId="6BCE3E02">
      <w:pPr>
        <w:spacing w:before="2" w:line="349" w:lineRule="auto"/>
        <w:ind w:left="24" w:right="90" w:firstLine="423"/>
        <w:rPr>
          <w:rFonts w:ascii="宋体" w:hAnsi="宋体" w:eastAsia="宋体" w:cs="宋体"/>
          <w:sz w:val="21"/>
          <w:szCs w:val="21"/>
        </w:rPr>
      </w:pPr>
      <w:r>
        <w:rPr>
          <w:rFonts w:ascii="宋体" w:hAnsi="宋体" w:eastAsia="宋体" w:cs="宋体"/>
          <w:sz w:val="21"/>
          <w:szCs w:val="21"/>
        </w:rPr>
        <w:t>鉴于上述各成员单位经过友好协商，自愿组成</w:t>
      </w:r>
      <w:r>
        <w:rPr>
          <w:rFonts w:ascii="宋体" w:hAnsi="宋体" w:eastAsia="宋体" w:cs="宋体"/>
          <w:spacing w:val="16"/>
          <w:sz w:val="21"/>
          <w:szCs w:val="21"/>
          <w:u w:val="single" w:color="auto"/>
        </w:rPr>
        <w:t xml:space="preserve">      </w:t>
      </w:r>
      <w:r>
        <w:rPr>
          <w:rFonts w:ascii="宋体" w:hAnsi="宋体" w:eastAsia="宋体" w:cs="宋体"/>
          <w:sz w:val="21"/>
          <w:szCs w:val="21"/>
        </w:rPr>
        <w:t>（联合体名称）联</w:t>
      </w:r>
      <w:r>
        <w:rPr>
          <w:rFonts w:ascii="宋体" w:hAnsi="宋体" w:eastAsia="宋体" w:cs="宋体"/>
          <w:spacing w:val="-1"/>
          <w:sz w:val="21"/>
          <w:szCs w:val="21"/>
        </w:rPr>
        <w:t>合体，共同参</w:t>
      </w:r>
      <w:r>
        <w:rPr>
          <w:rFonts w:ascii="宋体" w:hAnsi="宋体" w:eastAsia="宋体" w:cs="宋体"/>
          <w:sz w:val="21"/>
          <w:szCs w:val="21"/>
        </w:rPr>
        <w:t>加</w:t>
      </w:r>
    </w:p>
    <w:p w14:paraId="2178F20E">
      <w:pPr>
        <w:tabs>
          <w:tab w:val="left" w:pos="1906"/>
        </w:tabs>
        <w:spacing w:before="2" w:line="344" w:lineRule="auto"/>
        <w:ind w:left="24" w:right="1" w:hanging="9"/>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1"/>
          <w:sz w:val="21"/>
          <w:szCs w:val="21"/>
        </w:rPr>
        <w:t>（招标人名称</w:t>
      </w:r>
      <w:r>
        <w:rPr>
          <w:rFonts w:ascii="宋体" w:hAnsi="宋体" w:eastAsia="宋体" w:cs="宋体"/>
          <w:spacing w:val="-21"/>
          <w:sz w:val="21"/>
          <w:szCs w:val="21"/>
        </w:rPr>
        <w:t>）（</w:t>
      </w:r>
      <w:r>
        <w:rPr>
          <w:rFonts w:ascii="宋体" w:hAnsi="宋体" w:eastAsia="宋体" w:cs="宋体"/>
          <w:spacing w:val="1"/>
          <w:sz w:val="21"/>
          <w:szCs w:val="21"/>
        </w:rPr>
        <w:t>以下简称招标人</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1"/>
          <w:sz w:val="21"/>
          <w:szCs w:val="21"/>
        </w:rPr>
        <w:t>项目名称</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1"/>
          <w:sz w:val="21"/>
          <w:szCs w:val="21"/>
        </w:rPr>
        <w:t>标</w:t>
      </w:r>
      <w:r>
        <w:rPr>
          <w:rFonts w:ascii="宋体" w:hAnsi="宋体" w:eastAsia="宋体" w:cs="宋体"/>
          <w:spacing w:val="-6"/>
          <w:sz w:val="21"/>
          <w:szCs w:val="21"/>
        </w:rPr>
        <w:t>段名称</w:t>
      </w:r>
      <w:r>
        <w:rPr>
          <w:rFonts w:ascii="宋体" w:hAnsi="宋体" w:eastAsia="宋体" w:cs="宋体"/>
          <w:sz w:val="21"/>
          <w:szCs w:val="21"/>
        </w:rPr>
        <w:t>）（</w:t>
      </w:r>
      <w:r>
        <w:rPr>
          <w:rFonts w:ascii="宋体" w:hAnsi="宋体" w:eastAsia="宋体" w:cs="宋体"/>
          <w:spacing w:val="-6"/>
          <w:sz w:val="21"/>
          <w:szCs w:val="21"/>
        </w:rPr>
        <w:t>以下简称本工程）的施工投标并争取赢得本工程施工承包合同（以下简称合同）。</w:t>
      </w:r>
      <w:r>
        <w:rPr>
          <w:rFonts w:ascii="宋体" w:hAnsi="宋体" w:eastAsia="宋体" w:cs="宋体"/>
          <w:spacing w:val="-3"/>
          <w:sz w:val="21"/>
          <w:szCs w:val="21"/>
        </w:rPr>
        <w:t>现就联合体投标事宜订立如下协议：</w:t>
      </w:r>
    </w:p>
    <w:p w14:paraId="7A4116E4">
      <w:pPr>
        <w:spacing w:before="10" w:line="219" w:lineRule="auto"/>
        <w:ind w:left="460"/>
        <w:rPr>
          <w:rFonts w:ascii="宋体" w:hAnsi="宋体" w:eastAsia="宋体" w:cs="宋体"/>
          <w:sz w:val="21"/>
          <w:szCs w:val="21"/>
        </w:rPr>
      </w:pPr>
      <w:r>
        <w:rPr>
          <w:rFonts w:ascii="宋体" w:hAnsi="宋体" w:eastAsia="宋体" w:cs="宋体"/>
          <w:spacing w:val="-2"/>
          <w:sz w:val="21"/>
          <w:szCs w:val="21"/>
        </w:rPr>
        <w:t>1</w:t>
      </w:r>
      <w:r>
        <w:rPr>
          <w:rFonts w:ascii="宋体" w:hAnsi="宋体" w:eastAsia="宋体" w:cs="宋体"/>
          <w:spacing w:val="9"/>
          <w:sz w:val="21"/>
          <w:szCs w:val="21"/>
        </w:rPr>
        <w:t>．</w:t>
      </w:r>
      <w:r>
        <w:rPr>
          <w:rFonts w:ascii="宋体" w:hAnsi="宋体" w:eastAsia="宋体" w:cs="宋体"/>
          <w:sz w:val="21"/>
          <w:szCs w:val="21"/>
          <w:u w:val="single" w:color="auto"/>
        </w:rPr>
        <w:t xml:space="preserve">        </w:t>
      </w:r>
      <w:r>
        <w:rPr>
          <w:rFonts w:ascii="宋体" w:hAnsi="宋体" w:eastAsia="宋体" w:cs="宋体"/>
          <w:spacing w:val="9"/>
          <w:sz w:val="21"/>
          <w:szCs w:val="21"/>
        </w:rPr>
        <w:t>（</w:t>
      </w:r>
      <w:r>
        <w:rPr>
          <w:rFonts w:ascii="宋体" w:hAnsi="宋体" w:eastAsia="宋体" w:cs="宋体"/>
          <w:spacing w:val="-2"/>
          <w:sz w:val="21"/>
          <w:szCs w:val="21"/>
        </w:rPr>
        <w:t>某成员单位名称）为</w:t>
      </w:r>
      <w:r>
        <w:rPr>
          <w:rFonts w:ascii="宋体" w:hAnsi="宋体" w:eastAsia="宋体" w:cs="宋体"/>
          <w:spacing w:val="-9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（联合体名称）牵头人。</w:t>
      </w:r>
    </w:p>
    <w:p w14:paraId="67A1C78D">
      <w:pPr>
        <w:spacing w:before="142" w:line="344" w:lineRule="auto"/>
        <w:ind w:left="25" w:firstLine="421"/>
        <w:rPr>
          <w:rFonts w:ascii="宋体" w:hAnsi="宋体" w:eastAsia="宋体" w:cs="宋体"/>
          <w:sz w:val="21"/>
          <w:szCs w:val="21"/>
        </w:rPr>
      </w:pPr>
      <w:r>
        <w:rPr>
          <w:rFonts w:ascii="宋体" w:hAnsi="宋体" w:eastAsia="宋体" w:cs="宋体"/>
          <w:sz w:val="21"/>
          <w:szCs w:val="21"/>
        </w:rPr>
        <w:t>2．在本工程投标阶段，联合体牵头人合法代表联合体各成员负责本工程投标文件编制</w:t>
      </w:r>
      <w:r>
        <w:rPr>
          <w:rFonts w:ascii="宋体" w:hAnsi="宋体" w:eastAsia="宋体" w:cs="宋体"/>
          <w:spacing w:val="-2"/>
          <w:sz w:val="21"/>
          <w:szCs w:val="21"/>
        </w:rPr>
        <w:t>活动，代表联合体提交和接收相关的资料、信息及指示，并处理与投标和中标</w:t>
      </w:r>
      <w:r>
        <w:rPr>
          <w:rFonts w:ascii="宋体" w:hAnsi="宋体" w:eastAsia="宋体" w:cs="宋体"/>
          <w:spacing w:val="-3"/>
          <w:sz w:val="21"/>
          <w:szCs w:val="21"/>
        </w:rPr>
        <w:t>有关的一切事</w:t>
      </w:r>
      <w:r>
        <w:rPr>
          <w:rFonts w:ascii="宋体" w:hAnsi="宋体" w:eastAsia="宋体" w:cs="宋体"/>
          <w:spacing w:val="-1"/>
          <w:sz w:val="21"/>
          <w:szCs w:val="21"/>
        </w:rPr>
        <w:t>务；联合体中标后，联合体牵头人负责合同订立和合同实施阶段的主办、组织和协调工作。</w:t>
      </w:r>
    </w:p>
    <w:p w14:paraId="29B7F7C1">
      <w:pPr>
        <w:spacing w:before="12" w:line="343" w:lineRule="auto"/>
        <w:ind w:left="25" w:right="64" w:firstLine="423"/>
        <w:rPr>
          <w:rFonts w:ascii="宋体" w:hAnsi="宋体" w:eastAsia="宋体" w:cs="宋体"/>
          <w:sz w:val="21"/>
          <w:szCs w:val="21"/>
        </w:rPr>
      </w:pPr>
      <w:r>
        <w:rPr>
          <w:rFonts w:ascii="宋体" w:hAnsi="宋体" w:eastAsia="宋体" w:cs="宋体"/>
          <w:sz w:val="21"/>
          <w:szCs w:val="21"/>
        </w:rPr>
        <w:t>3．联合体将严格按照招标文件的各项要求，递交投标文件，履行投标义务和中标后的</w:t>
      </w:r>
      <w:r>
        <w:rPr>
          <w:rFonts w:ascii="宋体" w:hAnsi="宋体" w:eastAsia="宋体" w:cs="宋体"/>
          <w:spacing w:val="-2"/>
          <w:sz w:val="21"/>
          <w:szCs w:val="21"/>
        </w:rPr>
        <w:t>合同，共同承担合同规定的一切义务和责任，联合体各成员单位按照内部职责</w:t>
      </w:r>
      <w:r>
        <w:rPr>
          <w:rFonts w:ascii="宋体" w:hAnsi="宋体" w:eastAsia="宋体" w:cs="宋体"/>
          <w:spacing w:val="-3"/>
          <w:sz w:val="21"/>
          <w:szCs w:val="21"/>
        </w:rPr>
        <w:t>的部分，承担</w:t>
      </w:r>
      <w:r>
        <w:rPr>
          <w:rFonts w:ascii="宋体" w:hAnsi="宋体" w:eastAsia="宋体" w:cs="宋体"/>
          <w:spacing w:val="-2"/>
          <w:sz w:val="21"/>
          <w:szCs w:val="21"/>
        </w:rPr>
        <w:t>各自所负的责任和风险，并向招标人承担连带责任。</w:t>
      </w:r>
    </w:p>
    <w:p w14:paraId="241880B3">
      <w:pPr>
        <w:pStyle w:val="2"/>
        <w:tabs>
          <w:tab w:val="left" w:pos="8320"/>
        </w:tabs>
        <w:spacing w:before="1" w:line="371" w:lineRule="auto"/>
        <w:ind w:left="15" w:right="68" w:firstLine="427"/>
      </w:pPr>
      <w:r>
        <w:rPr>
          <w:rFonts w:ascii="宋体" w:hAnsi="宋体" w:eastAsia="宋体" w:cs="宋体"/>
        </w:rPr>
        <w:t>4．联合体各成员单位内部的职责分工如下：</w:t>
      </w:r>
      <w:r>
        <w:rPr>
          <w:rFonts w:ascii="宋体" w:hAnsi="宋体" w:eastAsia="宋体" w:cs="宋体"/>
          <w:u w:val="single" w:color="auto"/>
        </w:rPr>
        <w:t xml:space="preserve">                                    </w:t>
      </w:r>
      <w:r>
        <w:rPr>
          <w:u w:val="single" w:color="auto"/>
        </w:rPr>
        <w:tab/>
      </w:r>
    </w:p>
    <w:p w14:paraId="50465C0D">
      <w:pPr>
        <w:spacing w:line="218" w:lineRule="auto"/>
        <w:ind w:left="44"/>
        <w:rPr>
          <w:rFonts w:ascii="宋体" w:hAnsi="宋体" w:eastAsia="宋体" w:cs="宋体"/>
          <w:sz w:val="21"/>
          <w:szCs w:val="21"/>
        </w:rPr>
      </w:pPr>
      <w:r>
        <w:rPr>
          <w:rFonts w:ascii="宋体" w:hAnsi="宋体" w:eastAsia="宋体" w:cs="宋体"/>
          <w:sz w:val="21"/>
          <w:szCs w:val="21"/>
          <w:u w:val="single" w:color="auto"/>
        </w:rPr>
        <w:t>。按照本条上述分工，联合体成员单位各自</w:t>
      </w:r>
      <w:r>
        <w:rPr>
          <w:rFonts w:ascii="宋体" w:hAnsi="宋体" w:eastAsia="宋体" w:cs="宋体"/>
          <w:spacing w:val="-1"/>
          <w:sz w:val="21"/>
          <w:szCs w:val="21"/>
          <w:u w:val="single" w:color="auto"/>
        </w:rPr>
        <w:t>所承担的合同工作量比例如下：</w:t>
      </w:r>
      <w:r>
        <w:rPr>
          <w:rFonts w:ascii="宋体" w:hAnsi="宋体" w:eastAsia="宋体" w:cs="宋体"/>
          <w:sz w:val="21"/>
          <w:szCs w:val="21"/>
          <w:u w:val="double" w:color="auto"/>
        </w:rPr>
        <w:t xml:space="preserve">              </w:t>
      </w:r>
    </w:p>
    <w:p w14:paraId="07B5B39F">
      <w:pPr>
        <w:pStyle w:val="2"/>
        <w:spacing w:line="305" w:lineRule="auto"/>
      </w:pPr>
    </w:p>
    <w:p w14:paraId="474DC3EB">
      <w:pPr>
        <w:pStyle w:val="2"/>
        <w:spacing w:line="305" w:lineRule="auto"/>
      </w:pPr>
    </w:p>
    <w:p w14:paraId="5D97EFA2">
      <w:pPr>
        <w:spacing w:before="69" w:line="46" w:lineRule="exact"/>
        <w:ind w:left="359"/>
        <w:rPr>
          <w:rFonts w:ascii="宋体" w:hAnsi="宋体" w:eastAsia="宋体" w:cs="宋体"/>
          <w:sz w:val="21"/>
          <w:szCs w:val="21"/>
        </w:rPr>
      </w:pPr>
      <w:r>
        <w:pict>
          <v:shape id="_x0000_s1306" o:spid="_x0000_s1306" o:spt="202" type="#_x0000_t202" style="position:absolute;left:0pt;margin-left:-0.2pt;margin-top:-3.25pt;height:14.1pt;width:17.75pt;z-index:251948032;mso-width-relative:page;mso-height-relative:page;" filled="f" stroked="f" coordsize="21600,21600">
            <v:path/>
            <v:fill on="f" focussize="0,0"/>
            <v:stroke on="f"/>
            <v:imagedata o:title=""/>
            <o:lock v:ext="edit" aspectratio="f"/>
            <v:textbox inset="0mm,0mm,0mm,0mm">
              <w:txbxContent>
                <w:p w14:paraId="7B27C818">
                  <w:pPr>
                    <w:pStyle w:val="2"/>
                    <w:tabs>
                      <w:tab w:val="left" w:pos="335"/>
                    </w:tabs>
                    <w:spacing w:before="19"/>
                    <w:ind w:left="20"/>
                  </w:pPr>
                  <w:r>
                    <w:rPr>
                      <w:u w:val="single" w:color="auto"/>
                    </w:rPr>
                    <w:tab/>
                  </w:r>
                </w:p>
              </w:txbxContent>
            </v:textbox>
          </v:shape>
        </w:pict>
      </w:r>
      <w:r>
        <w:rPr>
          <w:rFonts w:ascii="宋体" w:hAnsi="宋体" w:eastAsia="宋体" w:cs="宋体"/>
          <w:position w:val="-1"/>
          <w:sz w:val="21"/>
          <w:szCs w:val="21"/>
        </w:rPr>
        <w:t>。</w:t>
      </w:r>
    </w:p>
    <w:p w14:paraId="38A50E5A">
      <w:pPr>
        <w:spacing w:before="208" w:line="220" w:lineRule="auto"/>
        <w:ind w:left="448"/>
        <w:rPr>
          <w:rFonts w:ascii="宋体" w:hAnsi="宋体" w:eastAsia="宋体" w:cs="宋体"/>
          <w:sz w:val="21"/>
          <w:szCs w:val="21"/>
        </w:rPr>
      </w:pPr>
      <w:r>
        <w:rPr>
          <w:rFonts w:ascii="宋体" w:hAnsi="宋体" w:eastAsia="宋体" w:cs="宋体"/>
          <w:spacing w:val="-1"/>
          <w:sz w:val="21"/>
          <w:szCs w:val="21"/>
        </w:rPr>
        <w:t>5．投标工作和联合体在中标后工程实施过程中的有关费用按各自承担的工作量分摊。</w:t>
      </w:r>
    </w:p>
    <w:p w14:paraId="6C2BE5A4">
      <w:pPr>
        <w:spacing w:before="141" w:line="219" w:lineRule="auto"/>
        <w:ind w:left="446"/>
        <w:rPr>
          <w:rFonts w:ascii="宋体" w:hAnsi="宋体" w:eastAsia="宋体" w:cs="宋体"/>
          <w:sz w:val="21"/>
          <w:szCs w:val="21"/>
        </w:rPr>
      </w:pPr>
      <w:r>
        <w:rPr>
          <w:rFonts w:ascii="宋体" w:hAnsi="宋体" w:eastAsia="宋体" w:cs="宋体"/>
          <w:spacing w:val="-1"/>
          <w:sz w:val="21"/>
          <w:szCs w:val="21"/>
        </w:rPr>
        <w:t>6．联合体中标后，本联合体协议是合同的附件，对联合体各成员单位有合同约束力。</w:t>
      </w:r>
    </w:p>
    <w:p w14:paraId="41641C0D">
      <w:pPr>
        <w:spacing w:before="141" w:line="219" w:lineRule="auto"/>
        <w:ind w:left="449"/>
        <w:rPr>
          <w:rFonts w:ascii="宋体" w:hAnsi="宋体" w:eastAsia="宋体" w:cs="宋体"/>
          <w:sz w:val="21"/>
          <w:szCs w:val="21"/>
        </w:rPr>
      </w:pPr>
      <w:r>
        <w:rPr>
          <w:rFonts w:ascii="宋体" w:hAnsi="宋体" w:eastAsia="宋体" w:cs="宋体"/>
          <w:spacing w:val="-1"/>
          <w:sz w:val="21"/>
          <w:szCs w:val="21"/>
        </w:rPr>
        <w:t>7．本协议书自签署之日起生效，联合体未中标或者中标合同履行完毕后自动失效。</w:t>
      </w:r>
    </w:p>
    <w:p w14:paraId="6264B300">
      <w:pPr>
        <w:spacing w:before="156" w:line="219" w:lineRule="auto"/>
        <w:ind w:left="445"/>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84"/>
          <w:sz w:val="21"/>
          <w:szCs w:val="21"/>
        </w:rPr>
        <w:t xml:space="preserve"> </w:t>
      </w:r>
      <w:r>
        <w:rPr>
          <w:rFonts w:ascii="宋体" w:hAnsi="宋体" w:eastAsia="宋体" w:cs="宋体"/>
          <w:spacing w:val="-1"/>
          <w:sz w:val="21"/>
          <w:szCs w:val="21"/>
        </w:rPr>
        <w:t>份，联合体成员和招标人各执一份。</w:t>
      </w:r>
    </w:p>
    <w:p w14:paraId="6E7F120E">
      <w:pPr>
        <w:pStyle w:val="2"/>
        <w:spacing w:line="250" w:lineRule="auto"/>
      </w:pPr>
    </w:p>
    <w:p w14:paraId="3010AD94">
      <w:pPr>
        <w:pStyle w:val="2"/>
        <w:spacing w:line="250" w:lineRule="auto"/>
      </w:pPr>
    </w:p>
    <w:p w14:paraId="446B92A2">
      <w:pPr>
        <w:pStyle w:val="2"/>
        <w:spacing w:line="250" w:lineRule="auto"/>
      </w:pPr>
    </w:p>
    <w:p w14:paraId="316217FC">
      <w:pPr>
        <w:pStyle w:val="2"/>
        <w:spacing w:line="250" w:lineRule="auto"/>
      </w:pPr>
    </w:p>
    <w:p w14:paraId="3CCDB0D3">
      <w:pPr>
        <w:pStyle w:val="2"/>
        <w:spacing w:line="251" w:lineRule="auto"/>
      </w:pPr>
    </w:p>
    <w:p w14:paraId="283425B5">
      <w:pPr>
        <w:spacing w:before="69" w:line="219" w:lineRule="auto"/>
        <w:ind w:left="1812"/>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03868013">
      <w:pPr>
        <w:spacing w:line="219" w:lineRule="auto"/>
        <w:rPr>
          <w:rFonts w:ascii="宋体" w:hAnsi="宋体" w:eastAsia="宋体" w:cs="宋体"/>
          <w:sz w:val="21"/>
          <w:szCs w:val="21"/>
        </w:rPr>
        <w:sectPr>
          <w:footerReference r:id="rId309" w:type="default"/>
          <w:pgSz w:w="11910" w:h="16845"/>
          <w:pgMar w:top="400" w:right="1718" w:bottom="1110" w:left="1786" w:header="0" w:footer="883" w:gutter="0"/>
          <w:cols w:space="720" w:num="1"/>
        </w:sectPr>
      </w:pPr>
    </w:p>
    <w:p w14:paraId="3CCB1810">
      <w:pPr>
        <w:pStyle w:val="2"/>
        <w:spacing w:line="275" w:lineRule="auto"/>
      </w:pPr>
    </w:p>
    <w:p w14:paraId="24E08315">
      <w:pPr>
        <w:pStyle w:val="2"/>
        <w:spacing w:line="275" w:lineRule="auto"/>
      </w:pPr>
    </w:p>
    <w:p w14:paraId="43765E54">
      <w:pPr>
        <w:pStyle w:val="2"/>
        <w:spacing w:line="275" w:lineRule="auto"/>
      </w:pPr>
    </w:p>
    <w:p w14:paraId="70186311">
      <w:pPr>
        <w:pStyle w:val="2"/>
        <w:spacing w:line="275" w:lineRule="auto"/>
      </w:pPr>
    </w:p>
    <w:p w14:paraId="3705DE93">
      <w:pPr>
        <w:spacing w:before="68" w:line="220" w:lineRule="auto"/>
        <w:ind w:left="1812"/>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0E461C5C">
      <w:pPr>
        <w:pStyle w:val="2"/>
        <w:spacing w:line="474" w:lineRule="auto"/>
      </w:pPr>
    </w:p>
    <w:p w14:paraId="0E970A1E">
      <w:pPr>
        <w:spacing w:before="68" w:line="219" w:lineRule="auto"/>
        <w:ind w:left="1812"/>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12F2F08F">
      <w:pPr>
        <w:spacing w:before="141" w:line="343" w:lineRule="auto"/>
        <w:ind w:left="2139" w:right="184" w:hanging="32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pacing w:val="7"/>
          <w:sz w:val="21"/>
          <w:szCs w:val="21"/>
        </w:rPr>
        <w:t xml:space="preserve"> </w:t>
      </w:r>
      <w:r>
        <w:rPr>
          <w:rFonts w:ascii="宋体" w:hAnsi="宋体" w:eastAsia="宋体" w:cs="宋体"/>
          <w:spacing w:val="-6"/>
          <w:sz w:val="21"/>
          <w:szCs w:val="21"/>
        </w:rPr>
        <w:t>……</w:t>
      </w:r>
    </w:p>
    <w:p w14:paraId="49C42C78">
      <w:pPr>
        <w:tabs>
          <w:tab w:val="left" w:pos="4867"/>
        </w:tabs>
        <w:spacing w:before="1" w:line="219" w:lineRule="auto"/>
        <w:ind w:left="402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9A832B7">
      <w:pPr>
        <w:pStyle w:val="2"/>
        <w:spacing w:line="248" w:lineRule="auto"/>
      </w:pPr>
    </w:p>
    <w:p w14:paraId="7BC3B82F">
      <w:pPr>
        <w:pStyle w:val="2"/>
        <w:spacing w:line="248" w:lineRule="auto"/>
      </w:pPr>
    </w:p>
    <w:p w14:paraId="7ACD92AA">
      <w:pPr>
        <w:pStyle w:val="2"/>
        <w:spacing w:line="248" w:lineRule="auto"/>
      </w:pPr>
    </w:p>
    <w:p w14:paraId="4D5C6B5C">
      <w:pPr>
        <w:pStyle w:val="2"/>
        <w:spacing w:line="248" w:lineRule="auto"/>
      </w:pPr>
    </w:p>
    <w:p w14:paraId="3C850FFD">
      <w:pPr>
        <w:pStyle w:val="2"/>
        <w:spacing w:line="248" w:lineRule="auto"/>
      </w:pPr>
    </w:p>
    <w:p w14:paraId="547D5415">
      <w:pPr>
        <w:pStyle w:val="2"/>
        <w:spacing w:line="248" w:lineRule="auto"/>
      </w:pPr>
    </w:p>
    <w:p w14:paraId="5928C5B1">
      <w:pPr>
        <w:pStyle w:val="2"/>
        <w:spacing w:line="248" w:lineRule="auto"/>
      </w:pPr>
    </w:p>
    <w:p w14:paraId="1E7A37D8">
      <w:pPr>
        <w:pStyle w:val="2"/>
        <w:spacing w:line="248" w:lineRule="auto"/>
      </w:pPr>
    </w:p>
    <w:p w14:paraId="4FC789DB">
      <w:pPr>
        <w:pStyle w:val="2"/>
        <w:spacing w:line="248" w:lineRule="auto"/>
      </w:pPr>
    </w:p>
    <w:p w14:paraId="71ADFAFF">
      <w:pPr>
        <w:pStyle w:val="2"/>
        <w:spacing w:line="248" w:lineRule="auto"/>
      </w:pPr>
    </w:p>
    <w:p w14:paraId="642A6A33">
      <w:pPr>
        <w:pStyle w:val="2"/>
        <w:spacing w:line="248" w:lineRule="auto"/>
      </w:pPr>
    </w:p>
    <w:p w14:paraId="169670D9">
      <w:pPr>
        <w:pStyle w:val="2"/>
        <w:spacing w:line="249" w:lineRule="auto"/>
      </w:pPr>
    </w:p>
    <w:p w14:paraId="51D52438">
      <w:pPr>
        <w:pStyle w:val="2"/>
        <w:spacing w:line="249" w:lineRule="auto"/>
      </w:pPr>
    </w:p>
    <w:p w14:paraId="14DF0E69">
      <w:pPr>
        <w:pStyle w:val="2"/>
        <w:spacing w:line="249" w:lineRule="auto"/>
      </w:pPr>
    </w:p>
    <w:p w14:paraId="0FA2B5AB">
      <w:pPr>
        <w:pStyle w:val="2"/>
        <w:spacing w:line="249" w:lineRule="auto"/>
      </w:pPr>
    </w:p>
    <w:p w14:paraId="551E5A70">
      <w:pPr>
        <w:pStyle w:val="2"/>
        <w:spacing w:line="249" w:lineRule="auto"/>
      </w:pPr>
    </w:p>
    <w:p w14:paraId="57EAC6C6">
      <w:pPr>
        <w:pStyle w:val="2"/>
        <w:spacing w:line="249" w:lineRule="auto"/>
      </w:pPr>
    </w:p>
    <w:p w14:paraId="6901D59A">
      <w:pPr>
        <w:pStyle w:val="2"/>
        <w:spacing w:line="249" w:lineRule="auto"/>
      </w:pPr>
    </w:p>
    <w:p w14:paraId="32C6A2FF">
      <w:pPr>
        <w:pStyle w:val="2"/>
        <w:spacing w:line="249" w:lineRule="auto"/>
      </w:pPr>
    </w:p>
    <w:p w14:paraId="7F2794D0">
      <w:pPr>
        <w:pStyle w:val="2"/>
        <w:spacing w:line="249" w:lineRule="auto"/>
      </w:pPr>
    </w:p>
    <w:p w14:paraId="744B1FAC">
      <w:pPr>
        <w:pStyle w:val="2"/>
        <w:spacing w:line="249" w:lineRule="auto"/>
      </w:pPr>
    </w:p>
    <w:p w14:paraId="637DA5E5">
      <w:pPr>
        <w:pStyle w:val="2"/>
        <w:spacing w:line="249" w:lineRule="auto"/>
      </w:pPr>
    </w:p>
    <w:p w14:paraId="5DF808BE">
      <w:pPr>
        <w:pStyle w:val="2"/>
        <w:spacing w:line="249" w:lineRule="auto"/>
      </w:pPr>
    </w:p>
    <w:p w14:paraId="19F3B9C1">
      <w:pPr>
        <w:pStyle w:val="2"/>
        <w:spacing w:line="249" w:lineRule="auto"/>
      </w:pPr>
    </w:p>
    <w:p w14:paraId="63DB5BBC">
      <w:pPr>
        <w:spacing w:before="69" w:line="219" w:lineRule="auto"/>
        <w:ind w:left="26"/>
        <w:rPr>
          <w:rFonts w:ascii="宋体" w:hAnsi="宋体" w:eastAsia="宋体" w:cs="宋体"/>
          <w:sz w:val="21"/>
          <w:szCs w:val="21"/>
        </w:rPr>
      </w:pPr>
      <w:r>
        <w:rPr>
          <w:rFonts w:ascii="宋体" w:hAnsi="宋体" w:eastAsia="宋体" w:cs="宋体"/>
          <w:spacing w:val="-1"/>
          <w:sz w:val="21"/>
          <w:szCs w:val="21"/>
        </w:rPr>
        <w:t>备注：l.本协议书由委托代理人签字的，应附法定代表人签字的授权委托书。</w:t>
      </w:r>
    </w:p>
    <w:p w14:paraId="0C92AA2F">
      <w:pPr>
        <w:spacing w:before="140" w:line="350" w:lineRule="auto"/>
        <w:ind w:left="865" w:right="46" w:hanging="208"/>
        <w:rPr>
          <w:rFonts w:ascii="宋体" w:hAnsi="宋体" w:eastAsia="宋体" w:cs="宋体"/>
          <w:sz w:val="21"/>
          <w:szCs w:val="21"/>
        </w:rPr>
      </w:pPr>
      <w:r>
        <w:rPr>
          <w:rFonts w:ascii="宋体" w:hAnsi="宋体" w:eastAsia="宋体" w:cs="宋体"/>
          <w:spacing w:val="-2"/>
          <w:sz w:val="21"/>
          <w:szCs w:val="21"/>
        </w:rPr>
        <w:t>2.投标人未采用联合体投标的，投标文件中不需联合体协</w:t>
      </w:r>
      <w:r>
        <w:rPr>
          <w:rFonts w:ascii="宋体" w:hAnsi="宋体" w:eastAsia="宋体" w:cs="宋体"/>
          <w:spacing w:val="-3"/>
          <w:sz w:val="21"/>
          <w:szCs w:val="21"/>
        </w:rPr>
        <w:t>议书，也无须盖单位章和签</w:t>
      </w:r>
      <w:r>
        <w:rPr>
          <w:rFonts w:ascii="宋体" w:hAnsi="宋体" w:eastAsia="宋体" w:cs="宋体"/>
          <w:spacing w:val="-10"/>
          <w:sz w:val="21"/>
          <w:szCs w:val="21"/>
        </w:rPr>
        <w:t>字。</w:t>
      </w:r>
    </w:p>
    <w:p w14:paraId="0E7D87B8">
      <w:pPr>
        <w:spacing w:before="6" w:line="351" w:lineRule="auto"/>
        <w:ind w:left="863" w:hanging="205"/>
        <w:rPr>
          <w:rFonts w:ascii="宋体" w:hAnsi="宋体" w:eastAsia="宋体" w:cs="宋体"/>
          <w:sz w:val="21"/>
          <w:szCs w:val="21"/>
        </w:rPr>
      </w:pPr>
      <w:r>
        <w:rPr>
          <w:rFonts w:ascii="宋体" w:hAnsi="宋体" w:eastAsia="宋体" w:cs="宋体"/>
          <w:spacing w:val="-2"/>
          <w:sz w:val="21"/>
          <w:szCs w:val="21"/>
        </w:rPr>
        <w:t>3.政府采购工程部分预留专门面向中小企业采购的项目，招标</w:t>
      </w:r>
      <w:r>
        <w:rPr>
          <w:rFonts w:ascii="宋体" w:hAnsi="宋体" w:eastAsia="宋体" w:cs="宋体"/>
          <w:spacing w:val="-3"/>
          <w:sz w:val="21"/>
          <w:szCs w:val="21"/>
        </w:rPr>
        <w:t>人要求大型企业与中小</w:t>
      </w:r>
      <w:r>
        <w:rPr>
          <w:rFonts w:ascii="宋体" w:hAnsi="宋体" w:eastAsia="宋体" w:cs="宋体"/>
          <w:spacing w:val="-1"/>
          <w:sz w:val="21"/>
          <w:szCs w:val="21"/>
        </w:rPr>
        <w:t>微企业组成联合体形式投标，且联合体中的中小企业承担的部分达到一定比例</w:t>
      </w:r>
      <w:r>
        <w:rPr>
          <w:rFonts w:ascii="宋体" w:hAnsi="宋体" w:eastAsia="宋体" w:cs="宋体"/>
          <w:spacing w:val="-2"/>
          <w:sz w:val="21"/>
          <w:szCs w:val="21"/>
        </w:rPr>
        <w:t>的，</w:t>
      </w:r>
      <w:r>
        <w:rPr>
          <w:rFonts w:ascii="宋体" w:hAnsi="宋体" w:eastAsia="宋体" w:cs="宋体"/>
          <w:spacing w:val="-3"/>
          <w:sz w:val="21"/>
          <w:szCs w:val="21"/>
        </w:rPr>
        <w:t>联合体协议书第</w:t>
      </w:r>
      <w:r>
        <w:rPr>
          <w:rFonts w:ascii="宋体" w:hAnsi="宋体" w:eastAsia="宋体" w:cs="宋体"/>
          <w:spacing w:val="-31"/>
          <w:sz w:val="21"/>
          <w:szCs w:val="21"/>
        </w:rPr>
        <w:t xml:space="preserve"> </w:t>
      </w:r>
      <w:r>
        <w:rPr>
          <w:rFonts w:ascii="宋体" w:hAnsi="宋体" w:eastAsia="宋体" w:cs="宋体"/>
          <w:spacing w:val="-3"/>
          <w:sz w:val="21"/>
          <w:szCs w:val="21"/>
        </w:rPr>
        <w:t>4</w:t>
      </w:r>
      <w:r>
        <w:rPr>
          <w:rFonts w:ascii="宋体" w:hAnsi="宋体" w:eastAsia="宋体" w:cs="宋体"/>
          <w:spacing w:val="-35"/>
          <w:sz w:val="21"/>
          <w:szCs w:val="21"/>
        </w:rPr>
        <w:t xml:space="preserve"> </w:t>
      </w:r>
      <w:r>
        <w:rPr>
          <w:rFonts w:ascii="宋体" w:hAnsi="宋体" w:eastAsia="宋体" w:cs="宋体"/>
          <w:spacing w:val="-3"/>
          <w:sz w:val="21"/>
          <w:szCs w:val="21"/>
        </w:rPr>
        <w:t>条中应当按照第二章投标人须知附录二“政府采购工程预留工作</w:t>
      </w:r>
      <w:r>
        <w:rPr>
          <w:rFonts w:ascii="宋体" w:hAnsi="宋体" w:eastAsia="宋体" w:cs="宋体"/>
          <w:spacing w:val="-2"/>
          <w:sz w:val="21"/>
          <w:szCs w:val="21"/>
        </w:rPr>
        <w:t>及金额”的范围，明确联合体各方承担的合同工作内</w:t>
      </w:r>
      <w:r>
        <w:rPr>
          <w:rFonts w:ascii="宋体" w:hAnsi="宋体" w:eastAsia="宋体" w:cs="宋体"/>
          <w:spacing w:val="-3"/>
          <w:sz w:val="21"/>
          <w:szCs w:val="21"/>
        </w:rPr>
        <w:t>容、合同金额及合同金额与项</w:t>
      </w:r>
      <w:r>
        <w:rPr>
          <w:rFonts w:ascii="宋体" w:hAnsi="宋体" w:eastAsia="宋体" w:cs="宋体"/>
          <w:spacing w:val="-4"/>
          <w:sz w:val="21"/>
          <w:szCs w:val="21"/>
        </w:rPr>
        <w:t>目合同金额的占比。同时，</w:t>
      </w:r>
      <w:r>
        <w:rPr>
          <w:rFonts w:ascii="宋体" w:hAnsi="宋体" w:eastAsia="宋体" w:cs="宋体"/>
          <w:spacing w:val="-43"/>
          <w:sz w:val="21"/>
          <w:szCs w:val="21"/>
        </w:rPr>
        <w:t xml:space="preserve"> </w:t>
      </w:r>
      <w:r>
        <w:rPr>
          <w:rFonts w:ascii="宋体" w:hAnsi="宋体" w:eastAsia="宋体" w:cs="宋体"/>
          <w:spacing w:val="-4"/>
          <w:sz w:val="21"/>
          <w:szCs w:val="21"/>
        </w:rPr>
        <w:t>声明组成联合体的中小企业与联合体内其他企业之间是</w:t>
      </w:r>
      <w:r>
        <w:rPr>
          <w:rFonts w:ascii="宋体" w:hAnsi="宋体" w:eastAsia="宋体" w:cs="宋体"/>
          <w:spacing w:val="-2"/>
          <w:sz w:val="21"/>
          <w:szCs w:val="21"/>
        </w:rPr>
        <w:t>否存在直接控股、管理关系。</w:t>
      </w:r>
    </w:p>
    <w:p w14:paraId="29A1C723">
      <w:pPr>
        <w:spacing w:before="4" w:line="350" w:lineRule="auto"/>
        <w:ind w:left="865" w:right="34" w:hanging="212"/>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4.政府采购工程未预留份额专门面向中小企业采购的项目，招标人接受大</w:t>
      </w:r>
      <w:r>
        <w:rPr>
          <w:rFonts w:ascii="宋体" w:hAnsi="宋体" w:eastAsia="宋体" w:cs="宋体"/>
          <w:spacing w:val="-3"/>
          <w:sz w:val="21"/>
          <w:szCs w:val="21"/>
        </w:rPr>
        <w:t>中型企业与</w:t>
      </w:r>
      <w:r>
        <w:rPr>
          <w:rFonts w:ascii="宋体" w:hAnsi="宋体" w:eastAsia="宋体" w:cs="宋体"/>
          <w:spacing w:val="-2"/>
          <w:sz w:val="21"/>
          <w:szCs w:val="21"/>
        </w:rPr>
        <w:t>小微企业组成联合体形式投标，且联合体中的小微企业</w:t>
      </w:r>
      <w:r>
        <w:rPr>
          <w:rFonts w:ascii="宋体" w:hAnsi="宋体" w:eastAsia="宋体" w:cs="宋体"/>
          <w:spacing w:val="-3"/>
          <w:sz w:val="21"/>
          <w:szCs w:val="21"/>
        </w:rPr>
        <w:t>承担的部分达到一定比例可享受价格扣除或增加价格分优惠政策的，联合体协议书第</w:t>
      </w:r>
      <w:r>
        <w:rPr>
          <w:rFonts w:ascii="宋体" w:hAnsi="宋体" w:eastAsia="宋体" w:cs="宋体"/>
          <w:spacing w:val="-37"/>
          <w:sz w:val="21"/>
          <w:szCs w:val="21"/>
        </w:rPr>
        <w:t xml:space="preserve"> </w:t>
      </w:r>
      <w:r>
        <w:rPr>
          <w:rFonts w:ascii="宋体" w:hAnsi="宋体" w:eastAsia="宋体" w:cs="宋体"/>
          <w:spacing w:val="-3"/>
          <w:sz w:val="21"/>
          <w:szCs w:val="21"/>
        </w:rPr>
        <w:t>4</w:t>
      </w:r>
      <w:r>
        <w:rPr>
          <w:rFonts w:ascii="宋体" w:hAnsi="宋体" w:eastAsia="宋体" w:cs="宋体"/>
          <w:spacing w:val="-34"/>
          <w:sz w:val="21"/>
          <w:szCs w:val="21"/>
        </w:rPr>
        <w:t xml:space="preserve"> </w:t>
      </w:r>
      <w:r>
        <w:rPr>
          <w:rFonts w:ascii="宋体" w:hAnsi="宋体" w:eastAsia="宋体" w:cs="宋体"/>
          <w:spacing w:val="-3"/>
          <w:sz w:val="21"/>
          <w:szCs w:val="21"/>
        </w:rPr>
        <w:t>条中应当明确联合体各</w:t>
      </w:r>
      <w:r>
        <w:rPr>
          <w:rFonts w:ascii="宋体" w:hAnsi="宋体" w:eastAsia="宋体" w:cs="宋体"/>
          <w:spacing w:val="-5"/>
          <w:sz w:val="21"/>
          <w:szCs w:val="21"/>
        </w:rPr>
        <w:t>方承担的合同工作内容、合同金额及合同金额与项目合同金额的占比。同时</w:t>
      </w:r>
      <w:r>
        <w:rPr>
          <w:rFonts w:ascii="宋体" w:hAnsi="宋体" w:eastAsia="宋体" w:cs="宋体"/>
          <w:spacing w:val="-6"/>
          <w:sz w:val="21"/>
          <w:szCs w:val="21"/>
        </w:rPr>
        <w:t>， 声明</w:t>
      </w:r>
      <w:r>
        <w:rPr>
          <w:rFonts w:ascii="宋体" w:hAnsi="宋体" w:eastAsia="宋体" w:cs="宋体"/>
          <w:spacing w:val="-1"/>
          <w:sz w:val="21"/>
          <w:szCs w:val="21"/>
        </w:rPr>
        <w:t>组成联合体的小微企业与联合体内其他企业是否存在直接控股、管理关系。</w:t>
      </w:r>
    </w:p>
    <w:p w14:paraId="41566683">
      <w:pPr>
        <w:spacing w:line="350" w:lineRule="auto"/>
        <w:rPr>
          <w:rFonts w:ascii="宋体" w:hAnsi="宋体" w:eastAsia="宋体" w:cs="宋体"/>
          <w:sz w:val="21"/>
          <w:szCs w:val="21"/>
        </w:rPr>
        <w:sectPr>
          <w:footerReference r:id="rId310" w:type="default"/>
          <w:pgSz w:w="11910" w:h="16845"/>
          <w:pgMar w:top="400" w:right="1735" w:bottom="1110" w:left="1786" w:header="0" w:footer="883" w:gutter="0"/>
          <w:cols w:space="720" w:num="1"/>
        </w:sectPr>
      </w:pPr>
    </w:p>
    <w:p w14:paraId="1B1FD703">
      <w:pPr>
        <w:pStyle w:val="2"/>
      </w:pPr>
    </w:p>
    <w:p w14:paraId="535352D5">
      <w:pPr>
        <w:sectPr>
          <w:footerReference r:id="rId311" w:type="default"/>
          <w:pgSz w:w="11910" w:h="16845"/>
          <w:pgMar w:top="1" w:right="1786" w:bottom="1110" w:left="1786" w:header="0" w:footer="882" w:gutter="0"/>
          <w:cols w:space="720" w:num="1"/>
        </w:sectPr>
      </w:pPr>
    </w:p>
    <w:p w14:paraId="0B3769B4">
      <w:pPr>
        <w:pStyle w:val="2"/>
        <w:spacing w:line="286" w:lineRule="auto"/>
      </w:pPr>
    </w:p>
    <w:p w14:paraId="7BCA11FE">
      <w:pPr>
        <w:pStyle w:val="2"/>
        <w:spacing w:line="286" w:lineRule="auto"/>
      </w:pPr>
    </w:p>
    <w:p w14:paraId="64C0F020">
      <w:pPr>
        <w:pStyle w:val="2"/>
        <w:spacing w:line="286" w:lineRule="auto"/>
      </w:pPr>
    </w:p>
    <w:p w14:paraId="44F25135">
      <w:pPr>
        <w:pStyle w:val="2"/>
        <w:spacing w:line="287" w:lineRule="auto"/>
      </w:pPr>
    </w:p>
    <w:p w14:paraId="4FBF98E1">
      <w:pPr>
        <w:pStyle w:val="2"/>
        <w:spacing w:line="287" w:lineRule="auto"/>
      </w:pPr>
    </w:p>
    <w:p w14:paraId="39F72374">
      <w:pPr>
        <w:spacing w:before="91" w:line="223" w:lineRule="auto"/>
        <w:ind w:left="3142"/>
        <w:outlineLvl w:val="1"/>
        <w:rPr>
          <w:rFonts w:ascii="黑体" w:hAnsi="黑体" w:eastAsia="黑体" w:cs="黑体"/>
          <w:sz w:val="28"/>
          <w:szCs w:val="28"/>
        </w:rPr>
      </w:pPr>
      <w:bookmarkStart w:id="625" w:name="bookmark578"/>
      <w:bookmarkEnd w:id="625"/>
      <w:r>
        <w:rPr>
          <w:rFonts w:ascii="黑体" w:hAnsi="黑体" w:eastAsia="黑体" w:cs="黑体"/>
          <w:spacing w:val="5"/>
          <w:sz w:val="28"/>
          <w:szCs w:val="28"/>
        </w:rPr>
        <w:t>五、拟分包计划表</w:t>
      </w:r>
    </w:p>
    <w:p w14:paraId="5B1C8CAB">
      <w:pPr>
        <w:spacing w:before="175"/>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3"/>
        <w:gridCol w:w="1844"/>
        <w:gridCol w:w="749"/>
        <w:gridCol w:w="960"/>
        <w:gridCol w:w="1124"/>
        <w:gridCol w:w="1079"/>
        <w:gridCol w:w="1199"/>
        <w:gridCol w:w="997"/>
      </w:tblGrid>
      <w:tr w14:paraId="470F2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563" w:type="dxa"/>
            <w:vMerge w:val="restart"/>
            <w:tcBorders>
              <w:bottom w:val="nil"/>
            </w:tcBorders>
            <w:textDirection w:val="tbRlV"/>
            <w:vAlign w:val="top"/>
          </w:tcPr>
          <w:p w14:paraId="18FF102D">
            <w:pPr>
              <w:pStyle w:val="6"/>
              <w:spacing w:before="172" w:line="210" w:lineRule="auto"/>
              <w:ind w:left="195"/>
              <w:rPr>
                <w:sz w:val="21"/>
                <w:szCs w:val="21"/>
              </w:rPr>
            </w:pPr>
            <w:r>
              <w:rPr>
                <w:sz w:val="21"/>
                <w:szCs w:val="21"/>
              </w:rPr>
              <w:t>序 号</w:t>
            </w:r>
          </w:p>
        </w:tc>
        <w:tc>
          <w:tcPr>
            <w:tcW w:w="1844" w:type="dxa"/>
            <w:vMerge w:val="restart"/>
            <w:tcBorders>
              <w:bottom w:val="nil"/>
            </w:tcBorders>
            <w:vAlign w:val="top"/>
          </w:tcPr>
          <w:p w14:paraId="48B7C4BF">
            <w:pPr>
              <w:pStyle w:val="6"/>
              <w:spacing w:before="196" w:line="279" w:lineRule="auto"/>
              <w:ind w:left="396" w:right="77" w:hanging="290"/>
              <w:rPr>
                <w:sz w:val="21"/>
                <w:szCs w:val="21"/>
              </w:rPr>
            </w:pPr>
            <w:r>
              <w:rPr>
                <w:spacing w:val="-5"/>
                <w:sz w:val="21"/>
                <w:szCs w:val="21"/>
              </w:rPr>
              <w:t>拟分包项目名称、</w:t>
            </w:r>
            <w:r>
              <w:rPr>
                <w:spacing w:val="-2"/>
                <w:sz w:val="21"/>
                <w:szCs w:val="21"/>
              </w:rPr>
              <w:t>范围及理由</w:t>
            </w:r>
          </w:p>
        </w:tc>
        <w:tc>
          <w:tcPr>
            <w:tcW w:w="5111" w:type="dxa"/>
            <w:gridSpan w:val="5"/>
            <w:vAlign w:val="top"/>
          </w:tcPr>
          <w:p w14:paraId="66ABC948">
            <w:pPr>
              <w:pStyle w:val="6"/>
              <w:spacing w:before="119" w:line="219" w:lineRule="auto"/>
              <w:ind w:left="2032"/>
              <w:rPr>
                <w:sz w:val="21"/>
                <w:szCs w:val="21"/>
              </w:rPr>
            </w:pPr>
            <w:r>
              <w:rPr>
                <w:spacing w:val="-1"/>
                <w:sz w:val="21"/>
                <w:szCs w:val="21"/>
              </w:rPr>
              <w:t>拟选分包人</w:t>
            </w:r>
          </w:p>
        </w:tc>
        <w:tc>
          <w:tcPr>
            <w:tcW w:w="997" w:type="dxa"/>
            <w:vMerge w:val="restart"/>
            <w:tcBorders>
              <w:bottom w:val="nil"/>
            </w:tcBorders>
            <w:vAlign w:val="top"/>
          </w:tcPr>
          <w:p w14:paraId="153DDD7F">
            <w:pPr>
              <w:spacing w:line="275" w:lineRule="auto"/>
              <w:rPr>
                <w:rFonts w:ascii="Arial"/>
                <w:sz w:val="21"/>
              </w:rPr>
            </w:pPr>
          </w:p>
          <w:p w14:paraId="299CFF5D">
            <w:pPr>
              <w:pStyle w:val="6"/>
              <w:spacing w:before="68" w:line="221" w:lineRule="auto"/>
              <w:ind w:left="287"/>
              <w:rPr>
                <w:sz w:val="21"/>
                <w:szCs w:val="21"/>
              </w:rPr>
            </w:pPr>
            <w:r>
              <w:rPr>
                <w:spacing w:val="-3"/>
                <w:sz w:val="21"/>
                <w:szCs w:val="21"/>
              </w:rPr>
              <w:t>备注</w:t>
            </w:r>
          </w:p>
        </w:tc>
      </w:tr>
      <w:tr w14:paraId="23CEC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continue"/>
            <w:tcBorders>
              <w:top w:val="nil"/>
            </w:tcBorders>
            <w:textDirection w:val="tbRlV"/>
            <w:vAlign w:val="top"/>
          </w:tcPr>
          <w:p w14:paraId="55270278">
            <w:pPr>
              <w:rPr>
                <w:rFonts w:ascii="Arial"/>
                <w:sz w:val="21"/>
              </w:rPr>
            </w:pPr>
          </w:p>
        </w:tc>
        <w:tc>
          <w:tcPr>
            <w:tcW w:w="1844" w:type="dxa"/>
            <w:vMerge w:val="continue"/>
            <w:tcBorders>
              <w:top w:val="nil"/>
            </w:tcBorders>
            <w:vAlign w:val="top"/>
          </w:tcPr>
          <w:p w14:paraId="0E534519">
            <w:pPr>
              <w:rPr>
                <w:rFonts w:ascii="Arial"/>
                <w:sz w:val="21"/>
              </w:rPr>
            </w:pPr>
          </w:p>
        </w:tc>
        <w:tc>
          <w:tcPr>
            <w:tcW w:w="1709" w:type="dxa"/>
            <w:gridSpan w:val="2"/>
            <w:vAlign w:val="top"/>
          </w:tcPr>
          <w:p w14:paraId="078F05C6">
            <w:pPr>
              <w:pStyle w:val="6"/>
              <w:spacing w:before="112" w:line="219" w:lineRule="auto"/>
              <w:ind w:left="109"/>
              <w:rPr>
                <w:sz w:val="21"/>
                <w:szCs w:val="21"/>
              </w:rPr>
            </w:pPr>
            <w:r>
              <w:rPr>
                <w:spacing w:val="-1"/>
                <w:sz w:val="21"/>
                <w:szCs w:val="21"/>
              </w:rPr>
              <w:t>拟选分包人名称</w:t>
            </w:r>
          </w:p>
        </w:tc>
        <w:tc>
          <w:tcPr>
            <w:tcW w:w="1124" w:type="dxa"/>
            <w:vAlign w:val="top"/>
          </w:tcPr>
          <w:p w14:paraId="6198D938">
            <w:pPr>
              <w:pStyle w:val="6"/>
              <w:spacing w:before="113" w:line="221" w:lineRule="auto"/>
              <w:ind w:left="142"/>
              <w:rPr>
                <w:sz w:val="21"/>
                <w:szCs w:val="21"/>
              </w:rPr>
            </w:pPr>
            <w:r>
              <w:rPr>
                <w:spacing w:val="-2"/>
                <w:sz w:val="21"/>
                <w:szCs w:val="21"/>
              </w:rPr>
              <w:t>注册地点</w:t>
            </w:r>
          </w:p>
        </w:tc>
        <w:tc>
          <w:tcPr>
            <w:tcW w:w="1079" w:type="dxa"/>
            <w:vAlign w:val="top"/>
          </w:tcPr>
          <w:p w14:paraId="0AEFFB40">
            <w:pPr>
              <w:pStyle w:val="6"/>
              <w:spacing w:before="113" w:line="220" w:lineRule="auto"/>
              <w:ind w:left="133"/>
              <w:rPr>
                <w:sz w:val="21"/>
                <w:szCs w:val="21"/>
              </w:rPr>
            </w:pPr>
            <w:r>
              <w:rPr>
                <w:spacing w:val="-2"/>
                <w:sz w:val="21"/>
                <w:szCs w:val="21"/>
              </w:rPr>
              <w:t>企业资质</w:t>
            </w:r>
          </w:p>
        </w:tc>
        <w:tc>
          <w:tcPr>
            <w:tcW w:w="1199" w:type="dxa"/>
            <w:vAlign w:val="top"/>
          </w:tcPr>
          <w:p w14:paraId="7DDC552A">
            <w:pPr>
              <w:pStyle w:val="6"/>
              <w:spacing w:before="113" w:line="220" w:lineRule="auto"/>
              <w:ind w:left="178"/>
              <w:rPr>
                <w:sz w:val="21"/>
                <w:szCs w:val="21"/>
              </w:rPr>
            </w:pPr>
            <w:r>
              <w:rPr>
                <w:spacing w:val="-2"/>
                <w:sz w:val="21"/>
                <w:szCs w:val="21"/>
              </w:rPr>
              <w:t>有关业绩</w:t>
            </w:r>
          </w:p>
        </w:tc>
        <w:tc>
          <w:tcPr>
            <w:tcW w:w="997" w:type="dxa"/>
            <w:vMerge w:val="continue"/>
            <w:tcBorders>
              <w:top w:val="nil"/>
            </w:tcBorders>
            <w:vAlign w:val="top"/>
          </w:tcPr>
          <w:p w14:paraId="3F4A18BF">
            <w:pPr>
              <w:rPr>
                <w:rFonts w:ascii="Arial"/>
                <w:sz w:val="21"/>
              </w:rPr>
            </w:pPr>
          </w:p>
        </w:tc>
      </w:tr>
      <w:tr w14:paraId="2A16D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restart"/>
            <w:tcBorders>
              <w:bottom w:val="nil"/>
            </w:tcBorders>
            <w:vAlign w:val="top"/>
          </w:tcPr>
          <w:p w14:paraId="1A1B8D19">
            <w:pPr>
              <w:rPr>
                <w:rFonts w:ascii="Arial"/>
                <w:sz w:val="21"/>
              </w:rPr>
            </w:pPr>
          </w:p>
        </w:tc>
        <w:tc>
          <w:tcPr>
            <w:tcW w:w="1844" w:type="dxa"/>
            <w:vMerge w:val="restart"/>
            <w:tcBorders>
              <w:bottom w:val="nil"/>
            </w:tcBorders>
            <w:vAlign w:val="top"/>
          </w:tcPr>
          <w:p w14:paraId="68C899B4">
            <w:pPr>
              <w:rPr>
                <w:rFonts w:ascii="Arial"/>
                <w:sz w:val="21"/>
              </w:rPr>
            </w:pPr>
          </w:p>
        </w:tc>
        <w:tc>
          <w:tcPr>
            <w:tcW w:w="749" w:type="dxa"/>
            <w:vAlign w:val="top"/>
          </w:tcPr>
          <w:p w14:paraId="42471653">
            <w:pPr>
              <w:spacing w:before="114" w:line="276" w:lineRule="exact"/>
              <w:ind w:left="330"/>
              <w:rPr>
                <w:rFonts w:ascii="黑体" w:hAnsi="黑体" w:eastAsia="黑体" w:cs="黑体"/>
                <w:sz w:val="21"/>
                <w:szCs w:val="21"/>
              </w:rPr>
            </w:pPr>
            <w:r>
              <w:rPr>
                <w:rFonts w:ascii="黑体" w:hAnsi="黑体" w:eastAsia="黑体" w:cs="黑体"/>
                <w:position w:val="1"/>
                <w:sz w:val="21"/>
                <w:szCs w:val="21"/>
              </w:rPr>
              <w:t>1</w:t>
            </w:r>
          </w:p>
        </w:tc>
        <w:tc>
          <w:tcPr>
            <w:tcW w:w="960" w:type="dxa"/>
            <w:vAlign w:val="top"/>
          </w:tcPr>
          <w:p w14:paraId="5F24F985">
            <w:pPr>
              <w:rPr>
                <w:rFonts w:ascii="Arial"/>
                <w:sz w:val="21"/>
              </w:rPr>
            </w:pPr>
          </w:p>
        </w:tc>
        <w:tc>
          <w:tcPr>
            <w:tcW w:w="1124" w:type="dxa"/>
            <w:vAlign w:val="top"/>
          </w:tcPr>
          <w:p w14:paraId="609978B8">
            <w:pPr>
              <w:rPr>
                <w:rFonts w:ascii="Arial"/>
                <w:sz w:val="21"/>
              </w:rPr>
            </w:pPr>
          </w:p>
        </w:tc>
        <w:tc>
          <w:tcPr>
            <w:tcW w:w="1079" w:type="dxa"/>
            <w:vAlign w:val="top"/>
          </w:tcPr>
          <w:p w14:paraId="2E062AA9">
            <w:pPr>
              <w:rPr>
                <w:rFonts w:ascii="Arial"/>
                <w:sz w:val="21"/>
              </w:rPr>
            </w:pPr>
          </w:p>
        </w:tc>
        <w:tc>
          <w:tcPr>
            <w:tcW w:w="1199" w:type="dxa"/>
            <w:vAlign w:val="top"/>
          </w:tcPr>
          <w:p w14:paraId="026458A8">
            <w:pPr>
              <w:rPr>
                <w:rFonts w:ascii="Arial"/>
                <w:sz w:val="21"/>
              </w:rPr>
            </w:pPr>
          </w:p>
        </w:tc>
        <w:tc>
          <w:tcPr>
            <w:tcW w:w="997" w:type="dxa"/>
            <w:vAlign w:val="top"/>
          </w:tcPr>
          <w:p w14:paraId="58097C89">
            <w:pPr>
              <w:rPr>
                <w:rFonts w:ascii="Arial"/>
                <w:sz w:val="21"/>
              </w:rPr>
            </w:pPr>
          </w:p>
        </w:tc>
      </w:tr>
      <w:tr w14:paraId="51544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63" w:type="dxa"/>
            <w:vMerge w:val="continue"/>
            <w:tcBorders>
              <w:top w:val="nil"/>
              <w:bottom w:val="nil"/>
            </w:tcBorders>
            <w:vAlign w:val="top"/>
          </w:tcPr>
          <w:p w14:paraId="5CDB8683">
            <w:pPr>
              <w:rPr>
                <w:rFonts w:ascii="Arial"/>
                <w:sz w:val="21"/>
              </w:rPr>
            </w:pPr>
          </w:p>
        </w:tc>
        <w:tc>
          <w:tcPr>
            <w:tcW w:w="1844" w:type="dxa"/>
            <w:vMerge w:val="continue"/>
            <w:tcBorders>
              <w:top w:val="nil"/>
              <w:bottom w:val="nil"/>
            </w:tcBorders>
            <w:vAlign w:val="top"/>
          </w:tcPr>
          <w:p w14:paraId="10A667A3">
            <w:pPr>
              <w:rPr>
                <w:rFonts w:ascii="Arial"/>
                <w:sz w:val="21"/>
              </w:rPr>
            </w:pPr>
          </w:p>
        </w:tc>
        <w:tc>
          <w:tcPr>
            <w:tcW w:w="749" w:type="dxa"/>
            <w:vAlign w:val="top"/>
          </w:tcPr>
          <w:p w14:paraId="37BF45F6">
            <w:pPr>
              <w:spacing w:before="116"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60" w:type="dxa"/>
            <w:vAlign w:val="top"/>
          </w:tcPr>
          <w:p w14:paraId="39FC6CBD">
            <w:pPr>
              <w:rPr>
                <w:rFonts w:ascii="Arial"/>
                <w:sz w:val="21"/>
              </w:rPr>
            </w:pPr>
          </w:p>
        </w:tc>
        <w:tc>
          <w:tcPr>
            <w:tcW w:w="1124" w:type="dxa"/>
            <w:vAlign w:val="top"/>
          </w:tcPr>
          <w:p w14:paraId="7AF7E40B">
            <w:pPr>
              <w:rPr>
                <w:rFonts w:ascii="Arial"/>
                <w:sz w:val="21"/>
              </w:rPr>
            </w:pPr>
          </w:p>
        </w:tc>
        <w:tc>
          <w:tcPr>
            <w:tcW w:w="1079" w:type="dxa"/>
            <w:vAlign w:val="top"/>
          </w:tcPr>
          <w:p w14:paraId="3AD54A2A">
            <w:pPr>
              <w:rPr>
                <w:rFonts w:ascii="Arial"/>
                <w:sz w:val="21"/>
              </w:rPr>
            </w:pPr>
          </w:p>
        </w:tc>
        <w:tc>
          <w:tcPr>
            <w:tcW w:w="1199" w:type="dxa"/>
            <w:vAlign w:val="top"/>
          </w:tcPr>
          <w:p w14:paraId="3F442AB1">
            <w:pPr>
              <w:rPr>
                <w:rFonts w:ascii="Arial"/>
                <w:sz w:val="21"/>
              </w:rPr>
            </w:pPr>
          </w:p>
        </w:tc>
        <w:tc>
          <w:tcPr>
            <w:tcW w:w="997" w:type="dxa"/>
            <w:vAlign w:val="top"/>
          </w:tcPr>
          <w:p w14:paraId="36673D81">
            <w:pPr>
              <w:rPr>
                <w:rFonts w:ascii="Arial"/>
                <w:sz w:val="21"/>
              </w:rPr>
            </w:pPr>
          </w:p>
        </w:tc>
      </w:tr>
      <w:tr w14:paraId="7B685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continue"/>
            <w:tcBorders>
              <w:top w:val="nil"/>
            </w:tcBorders>
            <w:vAlign w:val="top"/>
          </w:tcPr>
          <w:p w14:paraId="39167AF3">
            <w:pPr>
              <w:rPr>
                <w:rFonts w:ascii="Arial"/>
                <w:sz w:val="21"/>
              </w:rPr>
            </w:pPr>
          </w:p>
        </w:tc>
        <w:tc>
          <w:tcPr>
            <w:tcW w:w="1844" w:type="dxa"/>
            <w:vMerge w:val="continue"/>
            <w:tcBorders>
              <w:top w:val="nil"/>
            </w:tcBorders>
            <w:vAlign w:val="top"/>
          </w:tcPr>
          <w:p w14:paraId="67B64AC7">
            <w:pPr>
              <w:rPr>
                <w:rFonts w:ascii="Arial"/>
                <w:sz w:val="21"/>
              </w:rPr>
            </w:pPr>
          </w:p>
        </w:tc>
        <w:tc>
          <w:tcPr>
            <w:tcW w:w="749" w:type="dxa"/>
            <w:vAlign w:val="top"/>
          </w:tcPr>
          <w:p w14:paraId="479FD430">
            <w:pPr>
              <w:spacing w:before="117"/>
              <w:ind w:left="319"/>
              <w:rPr>
                <w:rFonts w:ascii="黑体" w:hAnsi="黑体" w:eastAsia="黑体" w:cs="黑体"/>
                <w:sz w:val="21"/>
                <w:szCs w:val="21"/>
              </w:rPr>
            </w:pPr>
            <w:r>
              <w:rPr>
                <w:rFonts w:ascii="黑体" w:hAnsi="黑体" w:eastAsia="黑体" w:cs="黑体"/>
                <w:sz w:val="21"/>
                <w:szCs w:val="21"/>
              </w:rPr>
              <w:t>3</w:t>
            </w:r>
          </w:p>
        </w:tc>
        <w:tc>
          <w:tcPr>
            <w:tcW w:w="960" w:type="dxa"/>
            <w:vAlign w:val="top"/>
          </w:tcPr>
          <w:p w14:paraId="2CE4A50C">
            <w:pPr>
              <w:rPr>
                <w:rFonts w:ascii="Arial"/>
                <w:sz w:val="21"/>
              </w:rPr>
            </w:pPr>
          </w:p>
        </w:tc>
        <w:tc>
          <w:tcPr>
            <w:tcW w:w="1124" w:type="dxa"/>
            <w:vAlign w:val="top"/>
          </w:tcPr>
          <w:p w14:paraId="447450A9">
            <w:pPr>
              <w:rPr>
                <w:rFonts w:ascii="Arial"/>
                <w:sz w:val="21"/>
              </w:rPr>
            </w:pPr>
          </w:p>
        </w:tc>
        <w:tc>
          <w:tcPr>
            <w:tcW w:w="1079" w:type="dxa"/>
            <w:vAlign w:val="top"/>
          </w:tcPr>
          <w:p w14:paraId="4AED55A0">
            <w:pPr>
              <w:rPr>
                <w:rFonts w:ascii="Arial"/>
                <w:sz w:val="21"/>
              </w:rPr>
            </w:pPr>
          </w:p>
        </w:tc>
        <w:tc>
          <w:tcPr>
            <w:tcW w:w="1199" w:type="dxa"/>
            <w:vAlign w:val="top"/>
          </w:tcPr>
          <w:p w14:paraId="2D72F511">
            <w:pPr>
              <w:rPr>
                <w:rFonts w:ascii="Arial"/>
                <w:sz w:val="21"/>
              </w:rPr>
            </w:pPr>
          </w:p>
        </w:tc>
        <w:tc>
          <w:tcPr>
            <w:tcW w:w="997" w:type="dxa"/>
            <w:vAlign w:val="top"/>
          </w:tcPr>
          <w:p w14:paraId="4F74E2D3">
            <w:pPr>
              <w:rPr>
                <w:rFonts w:ascii="Arial"/>
                <w:sz w:val="21"/>
              </w:rPr>
            </w:pPr>
          </w:p>
        </w:tc>
      </w:tr>
      <w:tr w14:paraId="767FA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63" w:type="dxa"/>
            <w:vMerge w:val="restart"/>
            <w:tcBorders>
              <w:bottom w:val="nil"/>
            </w:tcBorders>
            <w:vAlign w:val="top"/>
          </w:tcPr>
          <w:p w14:paraId="7BF80ECA">
            <w:pPr>
              <w:rPr>
                <w:rFonts w:ascii="Arial"/>
                <w:sz w:val="21"/>
              </w:rPr>
            </w:pPr>
          </w:p>
        </w:tc>
        <w:tc>
          <w:tcPr>
            <w:tcW w:w="1844" w:type="dxa"/>
            <w:vMerge w:val="restart"/>
            <w:tcBorders>
              <w:bottom w:val="nil"/>
            </w:tcBorders>
            <w:vAlign w:val="top"/>
          </w:tcPr>
          <w:p w14:paraId="6C1A7A6E">
            <w:pPr>
              <w:rPr>
                <w:rFonts w:ascii="Arial"/>
                <w:sz w:val="21"/>
              </w:rPr>
            </w:pPr>
          </w:p>
        </w:tc>
        <w:tc>
          <w:tcPr>
            <w:tcW w:w="749" w:type="dxa"/>
            <w:vAlign w:val="top"/>
          </w:tcPr>
          <w:p w14:paraId="1E96FB94">
            <w:pPr>
              <w:spacing w:before="118" w:line="276" w:lineRule="exact"/>
              <w:ind w:left="330"/>
              <w:rPr>
                <w:rFonts w:ascii="黑体" w:hAnsi="黑体" w:eastAsia="黑体" w:cs="黑体"/>
                <w:sz w:val="21"/>
                <w:szCs w:val="21"/>
              </w:rPr>
            </w:pPr>
            <w:r>
              <w:rPr>
                <w:rFonts w:ascii="黑体" w:hAnsi="黑体" w:eastAsia="黑体" w:cs="黑体"/>
                <w:position w:val="1"/>
                <w:sz w:val="21"/>
                <w:szCs w:val="21"/>
              </w:rPr>
              <w:t>1</w:t>
            </w:r>
          </w:p>
        </w:tc>
        <w:tc>
          <w:tcPr>
            <w:tcW w:w="960" w:type="dxa"/>
            <w:vAlign w:val="top"/>
          </w:tcPr>
          <w:p w14:paraId="0F203AFD">
            <w:pPr>
              <w:rPr>
                <w:rFonts w:ascii="Arial"/>
                <w:sz w:val="21"/>
              </w:rPr>
            </w:pPr>
          </w:p>
        </w:tc>
        <w:tc>
          <w:tcPr>
            <w:tcW w:w="1124" w:type="dxa"/>
            <w:vAlign w:val="top"/>
          </w:tcPr>
          <w:p w14:paraId="622FDCA1">
            <w:pPr>
              <w:rPr>
                <w:rFonts w:ascii="Arial"/>
                <w:sz w:val="21"/>
              </w:rPr>
            </w:pPr>
          </w:p>
        </w:tc>
        <w:tc>
          <w:tcPr>
            <w:tcW w:w="1079" w:type="dxa"/>
            <w:vAlign w:val="top"/>
          </w:tcPr>
          <w:p w14:paraId="03E5FDEA">
            <w:pPr>
              <w:rPr>
                <w:rFonts w:ascii="Arial"/>
                <w:sz w:val="21"/>
              </w:rPr>
            </w:pPr>
          </w:p>
        </w:tc>
        <w:tc>
          <w:tcPr>
            <w:tcW w:w="1199" w:type="dxa"/>
            <w:vAlign w:val="top"/>
          </w:tcPr>
          <w:p w14:paraId="11B0C365">
            <w:pPr>
              <w:rPr>
                <w:rFonts w:ascii="Arial"/>
                <w:sz w:val="21"/>
              </w:rPr>
            </w:pPr>
          </w:p>
        </w:tc>
        <w:tc>
          <w:tcPr>
            <w:tcW w:w="997" w:type="dxa"/>
            <w:vAlign w:val="top"/>
          </w:tcPr>
          <w:p w14:paraId="5567F14D">
            <w:pPr>
              <w:rPr>
                <w:rFonts w:ascii="Arial"/>
                <w:sz w:val="21"/>
              </w:rPr>
            </w:pPr>
          </w:p>
        </w:tc>
      </w:tr>
      <w:tr w14:paraId="32D66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continue"/>
            <w:tcBorders>
              <w:top w:val="nil"/>
              <w:bottom w:val="nil"/>
            </w:tcBorders>
            <w:vAlign w:val="top"/>
          </w:tcPr>
          <w:p w14:paraId="0E973042">
            <w:pPr>
              <w:rPr>
                <w:rFonts w:ascii="Arial"/>
                <w:sz w:val="21"/>
              </w:rPr>
            </w:pPr>
          </w:p>
        </w:tc>
        <w:tc>
          <w:tcPr>
            <w:tcW w:w="1844" w:type="dxa"/>
            <w:vMerge w:val="continue"/>
            <w:tcBorders>
              <w:top w:val="nil"/>
              <w:bottom w:val="nil"/>
            </w:tcBorders>
            <w:vAlign w:val="top"/>
          </w:tcPr>
          <w:p w14:paraId="5AD306B4">
            <w:pPr>
              <w:rPr>
                <w:rFonts w:ascii="Arial"/>
                <w:sz w:val="21"/>
              </w:rPr>
            </w:pPr>
          </w:p>
        </w:tc>
        <w:tc>
          <w:tcPr>
            <w:tcW w:w="749" w:type="dxa"/>
            <w:vAlign w:val="top"/>
          </w:tcPr>
          <w:p w14:paraId="3A513EF7">
            <w:pPr>
              <w:spacing w:before="103"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60" w:type="dxa"/>
            <w:vAlign w:val="top"/>
          </w:tcPr>
          <w:p w14:paraId="25CAE307">
            <w:pPr>
              <w:rPr>
                <w:rFonts w:ascii="Arial"/>
                <w:sz w:val="21"/>
              </w:rPr>
            </w:pPr>
          </w:p>
        </w:tc>
        <w:tc>
          <w:tcPr>
            <w:tcW w:w="1124" w:type="dxa"/>
            <w:vAlign w:val="top"/>
          </w:tcPr>
          <w:p w14:paraId="7D01406A">
            <w:pPr>
              <w:rPr>
                <w:rFonts w:ascii="Arial"/>
                <w:sz w:val="21"/>
              </w:rPr>
            </w:pPr>
          </w:p>
        </w:tc>
        <w:tc>
          <w:tcPr>
            <w:tcW w:w="1079" w:type="dxa"/>
            <w:vAlign w:val="top"/>
          </w:tcPr>
          <w:p w14:paraId="6080E757">
            <w:pPr>
              <w:rPr>
                <w:rFonts w:ascii="Arial"/>
                <w:sz w:val="21"/>
              </w:rPr>
            </w:pPr>
          </w:p>
        </w:tc>
        <w:tc>
          <w:tcPr>
            <w:tcW w:w="1199" w:type="dxa"/>
            <w:vAlign w:val="top"/>
          </w:tcPr>
          <w:p w14:paraId="0DC19D0F">
            <w:pPr>
              <w:rPr>
                <w:rFonts w:ascii="Arial"/>
                <w:sz w:val="21"/>
              </w:rPr>
            </w:pPr>
          </w:p>
        </w:tc>
        <w:tc>
          <w:tcPr>
            <w:tcW w:w="997" w:type="dxa"/>
            <w:vAlign w:val="top"/>
          </w:tcPr>
          <w:p w14:paraId="68DB5653">
            <w:pPr>
              <w:rPr>
                <w:rFonts w:ascii="Arial"/>
                <w:sz w:val="21"/>
              </w:rPr>
            </w:pPr>
          </w:p>
        </w:tc>
      </w:tr>
      <w:tr w14:paraId="20C0F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continue"/>
            <w:tcBorders>
              <w:top w:val="nil"/>
            </w:tcBorders>
            <w:vAlign w:val="top"/>
          </w:tcPr>
          <w:p w14:paraId="3AE7E60A">
            <w:pPr>
              <w:rPr>
                <w:rFonts w:ascii="Arial"/>
                <w:sz w:val="21"/>
              </w:rPr>
            </w:pPr>
          </w:p>
        </w:tc>
        <w:tc>
          <w:tcPr>
            <w:tcW w:w="1844" w:type="dxa"/>
            <w:vMerge w:val="continue"/>
            <w:tcBorders>
              <w:top w:val="nil"/>
            </w:tcBorders>
            <w:vAlign w:val="top"/>
          </w:tcPr>
          <w:p w14:paraId="11CCBCE1">
            <w:pPr>
              <w:rPr>
                <w:rFonts w:ascii="Arial"/>
                <w:sz w:val="21"/>
              </w:rPr>
            </w:pPr>
          </w:p>
        </w:tc>
        <w:tc>
          <w:tcPr>
            <w:tcW w:w="749" w:type="dxa"/>
            <w:vAlign w:val="top"/>
          </w:tcPr>
          <w:p w14:paraId="01A270E6">
            <w:pPr>
              <w:spacing w:before="105"/>
              <w:ind w:left="319"/>
              <w:rPr>
                <w:rFonts w:ascii="黑体" w:hAnsi="黑体" w:eastAsia="黑体" w:cs="黑体"/>
                <w:sz w:val="21"/>
                <w:szCs w:val="21"/>
              </w:rPr>
            </w:pPr>
            <w:r>
              <w:rPr>
                <w:rFonts w:ascii="黑体" w:hAnsi="黑体" w:eastAsia="黑体" w:cs="黑体"/>
                <w:sz w:val="21"/>
                <w:szCs w:val="21"/>
              </w:rPr>
              <w:t>3</w:t>
            </w:r>
          </w:p>
        </w:tc>
        <w:tc>
          <w:tcPr>
            <w:tcW w:w="960" w:type="dxa"/>
            <w:vAlign w:val="top"/>
          </w:tcPr>
          <w:p w14:paraId="364F57C4">
            <w:pPr>
              <w:rPr>
                <w:rFonts w:ascii="Arial"/>
                <w:sz w:val="21"/>
              </w:rPr>
            </w:pPr>
          </w:p>
        </w:tc>
        <w:tc>
          <w:tcPr>
            <w:tcW w:w="1124" w:type="dxa"/>
            <w:vAlign w:val="top"/>
          </w:tcPr>
          <w:p w14:paraId="6C14555E">
            <w:pPr>
              <w:rPr>
                <w:rFonts w:ascii="Arial"/>
                <w:sz w:val="21"/>
              </w:rPr>
            </w:pPr>
          </w:p>
        </w:tc>
        <w:tc>
          <w:tcPr>
            <w:tcW w:w="1079" w:type="dxa"/>
            <w:vAlign w:val="top"/>
          </w:tcPr>
          <w:p w14:paraId="3514776E">
            <w:pPr>
              <w:rPr>
                <w:rFonts w:ascii="Arial"/>
                <w:sz w:val="21"/>
              </w:rPr>
            </w:pPr>
          </w:p>
        </w:tc>
        <w:tc>
          <w:tcPr>
            <w:tcW w:w="1199" w:type="dxa"/>
            <w:vAlign w:val="top"/>
          </w:tcPr>
          <w:p w14:paraId="0BBB6E80">
            <w:pPr>
              <w:rPr>
                <w:rFonts w:ascii="Arial"/>
                <w:sz w:val="21"/>
              </w:rPr>
            </w:pPr>
          </w:p>
        </w:tc>
        <w:tc>
          <w:tcPr>
            <w:tcW w:w="997" w:type="dxa"/>
            <w:vAlign w:val="top"/>
          </w:tcPr>
          <w:p w14:paraId="46743DE3">
            <w:pPr>
              <w:rPr>
                <w:rFonts w:ascii="Arial"/>
                <w:sz w:val="21"/>
              </w:rPr>
            </w:pPr>
          </w:p>
        </w:tc>
      </w:tr>
      <w:tr w14:paraId="7FE94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restart"/>
            <w:tcBorders>
              <w:bottom w:val="nil"/>
            </w:tcBorders>
            <w:vAlign w:val="top"/>
          </w:tcPr>
          <w:p w14:paraId="6AA451EB">
            <w:pPr>
              <w:rPr>
                <w:rFonts w:ascii="Arial"/>
                <w:sz w:val="21"/>
              </w:rPr>
            </w:pPr>
          </w:p>
        </w:tc>
        <w:tc>
          <w:tcPr>
            <w:tcW w:w="1844" w:type="dxa"/>
            <w:vMerge w:val="restart"/>
            <w:tcBorders>
              <w:bottom w:val="nil"/>
            </w:tcBorders>
            <w:vAlign w:val="top"/>
          </w:tcPr>
          <w:p w14:paraId="513C17C7">
            <w:pPr>
              <w:rPr>
                <w:rFonts w:ascii="Arial"/>
                <w:sz w:val="21"/>
              </w:rPr>
            </w:pPr>
          </w:p>
        </w:tc>
        <w:tc>
          <w:tcPr>
            <w:tcW w:w="749" w:type="dxa"/>
            <w:vAlign w:val="top"/>
          </w:tcPr>
          <w:p w14:paraId="6CE46BFC">
            <w:pPr>
              <w:spacing w:before="106" w:line="276" w:lineRule="exact"/>
              <w:ind w:left="330"/>
              <w:rPr>
                <w:rFonts w:ascii="黑体" w:hAnsi="黑体" w:eastAsia="黑体" w:cs="黑体"/>
                <w:sz w:val="21"/>
                <w:szCs w:val="21"/>
              </w:rPr>
            </w:pPr>
            <w:r>
              <w:rPr>
                <w:rFonts w:ascii="黑体" w:hAnsi="黑体" w:eastAsia="黑体" w:cs="黑体"/>
                <w:position w:val="1"/>
                <w:sz w:val="21"/>
                <w:szCs w:val="21"/>
              </w:rPr>
              <w:t>1</w:t>
            </w:r>
          </w:p>
        </w:tc>
        <w:tc>
          <w:tcPr>
            <w:tcW w:w="960" w:type="dxa"/>
            <w:vAlign w:val="top"/>
          </w:tcPr>
          <w:p w14:paraId="2A9D5C04">
            <w:pPr>
              <w:rPr>
                <w:rFonts w:ascii="Arial"/>
                <w:sz w:val="21"/>
              </w:rPr>
            </w:pPr>
          </w:p>
        </w:tc>
        <w:tc>
          <w:tcPr>
            <w:tcW w:w="1124" w:type="dxa"/>
            <w:vAlign w:val="top"/>
          </w:tcPr>
          <w:p w14:paraId="6965F194">
            <w:pPr>
              <w:rPr>
                <w:rFonts w:ascii="Arial"/>
                <w:sz w:val="21"/>
              </w:rPr>
            </w:pPr>
          </w:p>
        </w:tc>
        <w:tc>
          <w:tcPr>
            <w:tcW w:w="1079" w:type="dxa"/>
            <w:vAlign w:val="top"/>
          </w:tcPr>
          <w:p w14:paraId="0EC87EBE">
            <w:pPr>
              <w:rPr>
                <w:rFonts w:ascii="Arial"/>
                <w:sz w:val="21"/>
              </w:rPr>
            </w:pPr>
          </w:p>
        </w:tc>
        <w:tc>
          <w:tcPr>
            <w:tcW w:w="1199" w:type="dxa"/>
            <w:vAlign w:val="top"/>
          </w:tcPr>
          <w:p w14:paraId="66767343">
            <w:pPr>
              <w:rPr>
                <w:rFonts w:ascii="Arial"/>
                <w:sz w:val="21"/>
              </w:rPr>
            </w:pPr>
          </w:p>
        </w:tc>
        <w:tc>
          <w:tcPr>
            <w:tcW w:w="997" w:type="dxa"/>
            <w:vAlign w:val="top"/>
          </w:tcPr>
          <w:p w14:paraId="7DB0495F">
            <w:pPr>
              <w:rPr>
                <w:rFonts w:ascii="Arial"/>
                <w:sz w:val="21"/>
              </w:rPr>
            </w:pPr>
          </w:p>
        </w:tc>
      </w:tr>
      <w:tr w14:paraId="049D4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63" w:type="dxa"/>
            <w:vMerge w:val="continue"/>
            <w:tcBorders>
              <w:top w:val="nil"/>
              <w:bottom w:val="nil"/>
            </w:tcBorders>
            <w:vAlign w:val="top"/>
          </w:tcPr>
          <w:p w14:paraId="2B982918">
            <w:pPr>
              <w:rPr>
                <w:rFonts w:ascii="Arial"/>
                <w:sz w:val="21"/>
              </w:rPr>
            </w:pPr>
          </w:p>
        </w:tc>
        <w:tc>
          <w:tcPr>
            <w:tcW w:w="1844" w:type="dxa"/>
            <w:vMerge w:val="continue"/>
            <w:tcBorders>
              <w:top w:val="nil"/>
              <w:bottom w:val="nil"/>
            </w:tcBorders>
            <w:vAlign w:val="top"/>
          </w:tcPr>
          <w:p w14:paraId="31C6A04B">
            <w:pPr>
              <w:rPr>
                <w:rFonts w:ascii="Arial"/>
                <w:sz w:val="21"/>
              </w:rPr>
            </w:pPr>
          </w:p>
        </w:tc>
        <w:tc>
          <w:tcPr>
            <w:tcW w:w="749" w:type="dxa"/>
            <w:vAlign w:val="top"/>
          </w:tcPr>
          <w:p w14:paraId="64BEB621">
            <w:pPr>
              <w:spacing w:before="107"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60" w:type="dxa"/>
            <w:vAlign w:val="top"/>
          </w:tcPr>
          <w:p w14:paraId="06BD34B1">
            <w:pPr>
              <w:rPr>
                <w:rFonts w:ascii="Arial"/>
                <w:sz w:val="21"/>
              </w:rPr>
            </w:pPr>
          </w:p>
        </w:tc>
        <w:tc>
          <w:tcPr>
            <w:tcW w:w="1124" w:type="dxa"/>
            <w:vAlign w:val="top"/>
          </w:tcPr>
          <w:p w14:paraId="6EAE2510">
            <w:pPr>
              <w:rPr>
                <w:rFonts w:ascii="Arial"/>
                <w:sz w:val="21"/>
              </w:rPr>
            </w:pPr>
          </w:p>
        </w:tc>
        <w:tc>
          <w:tcPr>
            <w:tcW w:w="1079" w:type="dxa"/>
            <w:vAlign w:val="top"/>
          </w:tcPr>
          <w:p w14:paraId="30F6AD4A">
            <w:pPr>
              <w:rPr>
                <w:rFonts w:ascii="Arial"/>
                <w:sz w:val="21"/>
              </w:rPr>
            </w:pPr>
          </w:p>
        </w:tc>
        <w:tc>
          <w:tcPr>
            <w:tcW w:w="1199" w:type="dxa"/>
            <w:vAlign w:val="top"/>
          </w:tcPr>
          <w:p w14:paraId="7EE4EC52">
            <w:pPr>
              <w:rPr>
                <w:rFonts w:ascii="Arial"/>
                <w:sz w:val="21"/>
              </w:rPr>
            </w:pPr>
          </w:p>
        </w:tc>
        <w:tc>
          <w:tcPr>
            <w:tcW w:w="997" w:type="dxa"/>
            <w:vAlign w:val="top"/>
          </w:tcPr>
          <w:p w14:paraId="6F79F000">
            <w:pPr>
              <w:rPr>
                <w:rFonts w:ascii="Arial"/>
                <w:sz w:val="21"/>
              </w:rPr>
            </w:pPr>
          </w:p>
        </w:tc>
      </w:tr>
      <w:tr w14:paraId="57A19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3" w:type="dxa"/>
            <w:vMerge w:val="continue"/>
            <w:tcBorders>
              <w:top w:val="nil"/>
            </w:tcBorders>
            <w:vAlign w:val="top"/>
          </w:tcPr>
          <w:p w14:paraId="6F85FDBD">
            <w:pPr>
              <w:rPr>
                <w:rFonts w:ascii="Arial"/>
                <w:sz w:val="21"/>
              </w:rPr>
            </w:pPr>
          </w:p>
        </w:tc>
        <w:tc>
          <w:tcPr>
            <w:tcW w:w="1844" w:type="dxa"/>
            <w:vMerge w:val="continue"/>
            <w:tcBorders>
              <w:top w:val="nil"/>
            </w:tcBorders>
            <w:vAlign w:val="top"/>
          </w:tcPr>
          <w:p w14:paraId="26111177">
            <w:pPr>
              <w:rPr>
                <w:rFonts w:ascii="Arial"/>
                <w:sz w:val="21"/>
              </w:rPr>
            </w:pPr>
          </w:p>
        </w:tc>
        <w:tc>
          <w:tcPr>
            <w:tcW w:w="749" w:type="dxa"/>
            <w:vAlign w:val="top"/>
          </w:tcPr>
          <w:p w14:paraId="5A678DE9">
            <w:pPr>
              <w:spacing w:before="108"/>
              <w:ind w:left="319"/>
              <w:rPr>
                <w:rFonts w:ascii="黑体" w:hAnsi="黑体" w:eastAsia="黑体" w:cs="黑体"/>
                <w:sz w:val="21"/>
                <w:szCs w:val="21"/>
              </w:rPr>
            </w:pPr>
            <w:r>
              <w:rPr>
                <w:rFonts w:ascii="黑体" w:hAnsi="黑体" w:eastAsia="黑体" w:cs="黑体"/>
                <w:sz w:val="21"/>
                <w:szCs w:val="21"/>
              </w:rPr>
              <w:t>3</w:t>
            </w:r>
          </w:p>
        </w:tc>
        <w:tc>
          <w:tcPr>
            <w:tcW w:w="960" w:type="dxa"/>
            <w:vAlign w:val="top"/>
          </w:tcPr>
          <w:p w14:paraId="05723288">
            <w:pPr>
              <w:rPr>
                <w:rFonts w:ascii="Arial"/>
                <w:sz w:val="21"/>
              </w:rPr>
            </w:pPr>
          </w:p>
        </w:tc>
        <w:tc>
          <w:tcPr>
            <w:tcW w:w="1124" w:type="dxa"/>
            <w:vAlign w:val="top"/>
          </w:tcPr>
          <w:p w14:paraId="1845F842">
            <w:pPr>
              <w:rPr>
                <w:rFonts w:ascii="Arial"/>
                <w:sz w:val="21"/>
              </w:rPr>
            </w:pPr>
          </w:p>
        </w:tc>
        <w:tc>
          <w:tcPr>
            <w:tcW w:w="1079" w:type="dxa"/>
            <w:vAlign w:val="top"/>
          </w:tcPr>
          <w:p w14:paraId="7F578C32">
            <w:pPr>
              <w:rPr>
                <w:rFonts w:ascii="Arial"/>
                <w:sz w:val="21"/>
              </w:rPr>
            </w:pPr>
          </w:p>
        </w:tc>
        <w:tc>
          <w:tcPr>
            <w:tcW w:w="1199" w:type="dxa"/>
            <w:vAlign w:val="top"/>
          </w:tcPr>
          <w:p w14:paraId="5EE24D44">
            <w:pPr>
              <w:rPr>
                <w:rFonts w:ascii="Arial"/>
                <w:sz w:val="21"/>
              </w:rPr>
            </w:pPr>
          </w:p>
        </w:tc>
        <w:tc>
          <w:tcPr>
            <w:tcW w:w="997" w:type="dxa"/>
            <w:vAlign w:val="top"/>
          </w:tcPr>
          <w:p w14:paraId="68D86460">
            <w:pPr>
              <w:rPr>
                <w:rFonts w:ascii="Arial"/>
                <w:sz w:val="21"/>
              </w:rPr>
            </w:pPr>
          </w:p>
        </w:tc>
      </w:tr>
      <w:tr w14:paraId="0821C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49" w:hRule="atLeast"/>
        </w:trPr>
        <w:tc>
          <w:tcPr>
            <w:tcW w:w="563" w:type="dxa"/>
            <w:vMerge w:val="restart"/>
            <w:tcBorders>
              <w:bottom w:val="nil"/>
            </w:tcBorders>
            <w:vAlign w:val="top"/>
          </w:tcPr>
          <w:p w14:paraId="2B0C57E7">
            <w:pPr>
              <w:rPr>
                <w:rFonts w:ascii="Arial"/>
                <w:sz w:val="21"/>
              </w:rPr>
            </w:pPr>
          </w:p>
        </w:tc>
        <w:tc>
          <w:tcPr>
            <w:tcW w:w="1844" w:type="dxa"/>
            <w:vMerge w:val="restart"/>
            <w:tcBorders>
              <w:bottom w:val="nil"/>
            </w:tcBorders>
            <w:vAlign w:val="top"/>
          </w:tcPr>
          <w:p w14:paraId="6A84B525">
            <w:pPr>
              <w:rPr>
                <w:rFonts w:ascii="Arial"/>
                <w:sz w:val="21"/>
              </w:rPr>
            </w:pPr>
          </w:p>
        </w:tc>
        <w:tc>
          <w:tcPr>
            <w:tcW w:w="749" w:type="dxa"/>
            <w:vAlign w:val="top"/>
          </w:tcPr>
          <w:p w14:paraId="10AB4A04">
            <w:pPr>
              <w:spacing w:before="109" w:line="276" w:lineRule="exact"/>
              <w:ind w:left="330"/>
              <w:rPr>
                <w:rFonts w:ascii="黑体" w:hAnsi="黑体" w:eastAsia="黑体" w:cs="黑体"/>
                <w:sz w:val="21"/>
                <w:szCs w:val="21"/>
              </w:rPr>
            </w:pPr>
            <w:r>
              <w:rPr>
                <w:rFonts w:ascii="黑体" w:hAnsi="黑体" w:eastAsia="黑体" w:cs="黑体"/>
                <w:position w:val="1"/>
                <w:sz w:val="21"/>
                <w:szCs w:val="21"/>
              </w:rPr>
              <w:t>1</w:t>
            </w:r>
          </w:p>
        </w:tc>
        <w:tc>
          <w:tcPr>
            <w:tcW w:w="960" w:type="dxa"/>
            <w:vAlign w:val="top"/>
          </w:tcPr>
          <w:p w14:paraId="580472DD">
            <w:pPr>
              <w:rPr>
                <w:rFonts w:ascii="Arial"/>
                <w:sz w:val="21"/>
              </w:rPr>
            </w:pPr>
          </w:p>
        </w:tc>
        <w:tc>
          <w:tcPr>
            <w:tcW w:w="1124" w:type="dxa"/>
            <w:vAlign w:val="top"/>
          </w:tcPr>
          <w:p w14:paraId="4B6DB820">
            <w:pPr>
              <w:rPr>
                <w:rFonts w:ascii="Arial"/>
                <w:sz w:val="21"/>
              </w:rPr>
            </w:pPr>
          </w:p>
        </w:tc>
        <w:tc>
          <w:tcPr>
            <w:tcW w:w="1079" w:type="dxa"/>
            <w:vAlign w:val="top"/>
          </w:tcPr>
          <w:p w14:paraId="307354A3">
            <w:pPr>
              <w:rPr>
                <w:rFonts w:ascii="Arial"/>
                <w:sz w:val="21"/>
              </w:rPr>
            </w:pPr>
          </w:p>
        </w:tc>
        <w:tc>
          <w:tcPr>
            <w:tcW w:w="1199" w:type="dxa"/>
            <w:vAlign w:val="top"/>
          </w:tcPr>
          <w:p w14:paraId="505F7C67">
            <w:pPr>
              <w:rPr>
                <w:rFonts w:ascii="Arial"/>
                <w:sz w:val="21"/>
              </w:rPr>
            </w:pPr>
          </w:p>
        </w:tc>
        <w:tc>
          <w:tcPr>
            <w:tcW w:w="997" w:type="dxa"/>
            <w:vAlign w:val="top"/>
          </w:tcPr>
          <w:p w14:paraId="6FF40687">
            <w:pPr>
              <w:rPr>
                <w:rFonts w:ascii="Arial"/>
                <w:sz w:val="21"/>
              </w:rPr>
            </w:pPr>
          </w:p>
        </w:tc>
      </w:tr>
      <w:tr w14:paraId="4EEC8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563" w:type="dxa"/>
            <w:vMerge w:val="continue"/>
            <w:tcBorders>
              <w:top w:val="nil"/>
              <w:bottom w:val="nil"/>
            </w:tcBorders>
            <w:vAlign w:val="top"/>
          </w:tcPr>
          <w:p w14:paraId="6018AAD0">
            <w:pPr>
              <w:rPr>
                <w:rFonts w:ascii="Arial"/>
                <w:sz w:val="21"/>
              </w:rPr>
            </w:pPr>
          </w:p>
        </w:tc>
        <w:tc>
          <w:tcPr>
            <w:tcW w:w="1844" w:type="dxa"/>
            <w:vMerge w:val="continue"/>
            <w:tcBorders>
              <w:top w:val="nil"/>
              <w:bottom w:val="nil"/>
            </w:tcBorders>
            <w:vAlign w:val="top"/>
          </w:tcPr>
          <w:p w14:paraId="10B54A4C">
            <w:pPr>
              <w:rPr>
                <w:rFonts w:ascii="Arial"/>
                <w:sz w:val="21"/>
              </w:rPr>
            </w:pPr>
          </w:p>
        </w:tc>
        <w:tc>
          <w:tcPr>
            <w:tcW w:w="749" w:type="dxa"/>
            <w:vAlign w:val="top"/>
          </w:tcPr>
          <w:p w14:paraId="660452CF">
            <w:pPr>
              <w:spacing w:before="110" w:line="276" w:lineRule="exact"/>
              <w:ind w:left="318"/>
              <w:rPr>
                <w:rFonts w:ascii="黑体" w:hAnsi="黑体" w:eastAsia="黑体" w:cs="黑体"/>
                <w:sz w:val="21"/>
                <w:szCs w:val="21"/>
              </w:rPr>
            </w:pPr>
            <w:r>
              <w:rPr>
                <w:rFonts w:ascii="黑体" w:hAnsi="黑体" w:eastAsia="黑体" w:cs="黑体"/>
                <w:position w:val="1"/>
                <w:sz w:val="21"/>
                <w:szCs w:val="21"/>
              </w:rPr>
              <w:t>2</w:t>
            </w:r>
          </w:p>
        </w:tc>
        <w:tc>
          <w:tcPr>
            <w:tcW w:w="960" w:type="dxa"/>
            <w:vAlign w:val="top"/>
          </w:tcPr>
          <w:p w14:paraId="6741F21F">
            <w:pPr>
              <w:rPr>
                <w:rFonts w:ascii="Arial"/>
                <w:sz w:val="21"/>
              </w:rPr>
            </w:pPr>
          </w:p>
        </w:tc>
        <w:tc>
          <w:tcPr>
            <w:tcW w:w="1124" w:type="dxa"/>
            <w:vAlign w:val="top"/>
          </w:tcPr>
          <w:p w14:paraId="3231CB66">
            <w:pPr>
              <w:rPr>
                <w:rFonts w:ascii="Arial"/>
                <w:sz w:val="21"/>
              </w:rPr>
            </w:pPr>
          </w:p>
        </w:tc>
        <w:tc>
          <w:tcPr>
            <w:tcW w:w="1079" w:type="dxa"/>
            <w:vAlign w:val="top"/>
          </w:tcPr>
          <w:p w14:paraId="38B41256">
            <w:pPr>
              <w:rPr>
                <w:rFonts w:ascii="Arial"/>
                <w:sz w:val="21"/>
              </w:rPr>
            </w:pPr>
          </w:p>
        </w:tc>
        <w:tc>
          <w:tcPr>
            <w:tcW w:w="1199" w:type="dxa"/>
            <w:vAlign w:val="top"/>
          </w:tcPr>
          <w:p w14:paraId="7466CD5C">
            <w:pPr>
              <w:rPr>
                <w:rFonts w:ascii="Arial"/>
                <w:sz w:val="21"/>
              </w:rPr>
            </w:pPr>
          </w:p>
        </w:tc>
        <w:tc>
          <w:tcPr>
            <w:tcW w:w="997" w:type="dxa"/>
            <w:vAlign w:val="top"/>
          </w:tcPr>
          <w:p w14:paraId="76EC0393">
            <w:pPr>
              <w:rPr>
                <w:rFonts w:ascii="Arial"/>
                <w:sz w:val="21"/>
              </w:rPr>
            </w:pPr>
          </w:p>
        </w:tc>
      </w:tr>
      <w:tr w14:paraId="4F1C7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63" w:type="dxa"/>
            <w:vMerge w:val="continue"/>
            <w:tcBorders>
              <w:top w:val="nil"/>
            </w:tcBorders>
            <w:vAlign w:val="top"/>
          </w:tcPr>
          <w:p w14:paraId="2E5C0B8B">
            <w:pPr>
              <w:rPr>
                <w:rFonts w:ascii="Arial"/>
                <w:sz w:val="21"/>
              </w:rPr>
            </w:pPr>
          </w:p>
        </w:tc>
        <w:tc>
          <w:tcPr>
            <w:tcW w:w="1844" w:type="dxa"/>
            <w:vMerge w:val="continue"/>
            <w:tcBorders>
              <w:top w:val="nil"/>
            </w:tcBorders>
            <w:vAlign w:val="top"/>
          </w:tcPr>
          <w:p w14:paraId="0D8973FC">
            <w:pPr>
              <w:rPr>
                <w:rFonts w:ascii="Arial"/>
                <w:sz w:val="21"/>
              </w:rPr>
            </w:pPr>
          </w:p>
        </w:tc>
        <w:tc>
          <w:tcPr>
            <w:tcW w:w="749" w:type="dxa"/>
            <w:vAlign w:val="top"/>
          </w:tcPr>
          <w:p w14:paraId="55C6CFBB">
            <w:pPr>
              <w:spacing w:before="111"/>
              <w:ind w:left="319"/>
              <w:rPr>
                <w:rFonts w:ascii="黑体" w:hAnsi="黑体" w:eastAsia="黑体" w:cs="黑体"/>
                <w:sz w:val="21"/>
                <w:szCs w:val="21"/>
              </w:rPr>
            </w:pPr>
            <w:r>
              <w:rPr>
                <w:rFonts w:ascii="黑体" w:hAnsi="黑体" w:eastAsia="黑体" w:cs="黑体"/>
                <w:sz w:val="21"/>
                <w:szCs w:val="21"/>
              </w:rPr>
              <w:t>3</w:t>
            </w:r>
          </w:p>
        </w:tc>
        <w:tc>
          <w:tcPr>
            <w:tcW w:w="960" w:type="dxa"/>
            <w:vAlign w:val="top"/>
          </w:tcPr>
          <w:p w14:paraId="3DFA7CCF">
            <w:pPr>
              <w:rPr>
                <w:rFonts w:ascii="Arial"/>
                <w:sz w:val="21"/>
              </w:rPr>
            </w:pPr>
          </w:p>
        </w:tc>
        <w:tc>
          <w:tcPr>
            <w:tcW w:w="1124" w:type="dxa"/>
            <w:vAlign w:val="top"/>
          </w:tcPr>
          <w:p w14:paraId="5D2604B2">
            <w:pPr>
              <w:rPr>
                <w:rFonts w:ascii="Arial"/>
                <w:sz w:val="21"/>
              </w:rPr>
            </w:pPr>
          </w:p>
        </w:tc>
        <w:tc>
          <w:tcPr>
            <w:tcW w:w="1079" w:type="dxa"/>
            <w:vAlign w:val="top"/>
          </w:tcPr>
          <w:p w14:paraId="5AC7C2CB">
            <w:pPr>
              <w:rPr>
                <w:rFonts w:ascii="Arial"/>
                <w:sz w:val="21"/>
              </w:rPr>
            </w:pPr>
          </w:p>
        </w:tc>
        <w:tc>
          <w:tcPr>
            <w:tcW w:w="1199" w:type="dxa"/>
            <w:vAlign w:val="top"/>
          </w:tcPr>
          <w:p w14:paraId="216022D1">
            <w:pPr>
              <w:rPr>
                <w:rFonts w:ascii="Arial"/>
                <w:sz w:val="21"/>
              </w:rPr>
            </w:pPr>
          </w:p>
        </w:tc>
        <w:tc>
          <w:tcPr>
            <w:tcW w:w="997" w:type="dxa"/>
            <w:vAlign w:val="top"/>
          </w:tcPr>
          <w:p w14:paraId="5C0629D2">
            <w:pPr>
              <w:rPr>
                <w:rFonts w:ascii="Arial"/>
                <w:sz w:val="21"/>
              </w:rPr>
            </w:pPr>
          </w:p>
        </w:tc>
      </w:tr>
    </w:tbl>
    <w:p w14:paraId="59563BD9">
      <w:pPr>
        <w:pStyle w:val="2"/>
        <w:spacing w:line="247" w:lineRule="auto"/>
      </w:pPr>
    </w:p>
    <w:p w14:paraId="32B88C99">
      <w:pPr>
        <w:pStyle w:val="2"/>
        <w:spacing w:line="247" w:lineRule="auto"/>
      </w:pPr>
    </w:p>
    <w:p w14:paraId="05001303">
      <w:pPr>
        <w:pStyle w:val="2"/>
        <w:spacing w:line="248" w:lineRule="auto"/>
      </w:pPr>
    </w:p>
    <w:p w14:paraId="598F2121">
      <w:pPr>
        <w:pStyle w:val="2"/>
        <w:spacing w:line="248" w:lineRule="auto"/>
      </w:pPr>
    </w:p>
    <w:p w14:paraId="5B43D18B">
      <w:pPr>
        <w:spacing w:before="68" w:line="220" w:lineRule="auto"/>
        <w:ind w:left="4685"/>
        <w:rPr>
          <w:rFonts w:ascii="宋体" w:hAnsi="宋体" w:eastAsia="宋体" w:cs="宋体"/>
          <w:sz w:val="21"/>
          <w:szCs w:val="21"/>
        </w:rPr>
      </w:pPr>
      <w:r>
        <w:rPr>
          <w:rFonts w:ascii="宋体" w:hAnsi="宋体" w:eastAsia="宋体" w:cs="宋体"/>
          <w:spacing w:val="-11"/>
          <w:sz w:val="21"/>
          <w:szCs w:val="21"/>
        </w:rPr>
        <w:t>日</w:t>
      </w:r>
      <w:r>
        <w:rPr>
          <w:rFonts w:ascii="宋体" w:hAnsi="宋体" w:eastAsia="宋体" w:cs="宋体"/>
          <w:spacing w:val="11"/>
          <w:sz w:val="21"/>
          <w:szCs w:val="21"/>
        </w:rPr>
        <w:t xml:space="preserve"> </w:t>
      </w:r>
      <w:r>
        <w:rPr>
          <w:rFonts w:ascii="宋体" w:hAnsi="宋体" w:eastAsia="宋体" w:cs="宋体"/>
          <w:spacing w:val="-11"/>
          <w:sz w:val="21"/>
          <w:szCs w:val="21"/>
        </w:rPr>
        <w:t xml:space="preserve">期：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11"/>
          <w:sz w:val="21"/>
          <w:szCs w:val="21"/>
        </w:rPr>
        <w:t>日</w:t>
      </w:r>
    </w:p>
    <w:p w14:paraId="45F8710D">
      <w:pPr>
        <w:pStyle w:val="2"/>
        <w:spacing w:line="281" w:lineRule="auto"/>
      </w:pPr>
    </w:p>
    <w:p w14:paraId="71EF2FCA">
      <w:pPr>
        <w:pStyle w:val="2"/>
        <w:spacing w:line="282" w:lineRule="auto"/>
      </w:pPr>
    </w:p>
    <w:p w14:paraId="767F3C20">
      <w:pPr>
        <w:spacing w:before="69" w:line="219" w:lineRule="auto"/>
        <w:ind w:left="116"/>
        <w:rPr>
          <w:rFonts w:ascii="宋体" w:hAnsi="宋体" w:eastAsia="宋体" w:cs="宋体"/>
          <w:sz w:val="21"/>
          <w:szCs w:val="21"/>
        </w:rPr>
      </w:pPr>
      <w:r>
        <w:rPr>
          <w:rFonts w:ascii="宋体" w:hAnsi="宋体" w:eastAsia="宋体" w:cs="宋体"/>
          <w:spacing w:val="-2"/>
          <w:sz w:val="21"/>
          <w:szCs w:val="21"/>
        </w:rPr>
        <w:t>备注：1.本表适用于非政府采购工程。</w:t>
      </w:r>
    </w:p>
    <w:p w14:paraId="53017B73">
      <w:pPr>
        <w:spacing w:before="186" w:line="219" w:lineRule="auto"/>
        <w:ind w:left="746"/>
        <w:rPr>
          <w:rFonts w:ascii="宋体" w:hAnsi="宋体" w:eastAsia="宋体" w:cs="宋体"/>
          <w:sz w:val="21"/>
          <w:szCs w:val="21"/>
        </w:rPr>
      </w:pPr>
      <w:r>
        <w:rPr>
          <w:rFonts w:ascii="宋体" w:hAnsi="宋体" w:eastAsia="宋体" w:cs="宋体"/>
          <w:spacing w:val="-1"/>
          <w:sz w:val="21"/>
          <w:szCs w:val="21"/>
        </w:rPr>
        <w:t>2.本表所列分包仅限于承包人自行施工范围内的非主体、非关键工程。</w:t>
      </w:r>
    </w:p>
    <w:p w14:paraId="2320FD7C">
      <w:pPr>
        <w:spacing w:line="219" w:lineRule="auto"/>
        <w:rPr>
          <w:rFonts w:ascii="宋体" w:hAnsi="宋体" w:eastAsia="宋体" w:cs="宋体"/>
          <w:sz w:val="21"/>
          <w:szCs w:val="21"/>
        </w:rPr>
        <w:sectPr>
          <w:footerReference r:id="rId312" w:type="default"/>
          <w:pgSz w:w="11910" w:h="16845"/>
          <w:pgMar w:top="400" w:right="1682" w:bottom="1110" w:left="1697" w:header="0" w:footer="883" w:gutter="0"/>
          <w:cols w:space="720" w:num="1"/>
        </w:sectPr>
      </w:pPr>
    </w:p>
    <w:p w14:paraId="0BD3A934">
      <w:pPr>
        <w:pStyle w:val="2"/>
        <w:spacing w:line="286" w:lineRule="auto"/>
      </w:pPr>
    </w:p>
    <w:p w14:paraId="002AA716">
      <w:pPr>
        <w:pStyle w:val="2"/>
        <w:spacing w:line="286" w:lineRule="auto"/>
      </w:pPr>
    </w:p>
    <w:p w14:paraId="233FB08A">
      <w:pPr>
        <w:pStyle w:val="2"/>
        <w:spacing w:line="286" w:lineRule="auto"/>
      </w:pPr>
    </w:p>
    <w:p w14:paraId="7C9A0291">
      <w:pPr>
        <w:pStyle w:val="2"/>
        <w:spacing w:line="287" w:lineRule="auto"/>
      </w:pPr>
    </w:p>
    <w:p w14:paraId="196CC6A0">
      <w:pPr>
        <w:pStyle w:val="2"/>
        <w:spacing w:line="287" w:lineRule="auto"/>
      </w:pPr>
    </w:p>
    <w:p w14:paraId="17C599C2">
      <w:pPr>
        <w:spacing w:before="91" w:line="222" w:lineRule="auto"/>
        <w:ind w:left="3007"/>
        <w:outlineLvl w:val="1"/>
        <w:rPr>
          <w:rFonts w:ascii="黑体" w:hAnsi="黑体" w:eastAsia="黑体" w:cs="黑体"/>
          <w:sz w:val="28"/>
          <w:szCs w:val="28"/>
        </w:rPr>
      </w:pPr>
      <w:bookmarkStart w:id="626" w:name="bookmark579"/>
      <w:bookmarkEnd w:id="626"/>
      <w:r>
        <w:rPr>
          <w:rFonts w:ascii="黑体" w:hAnsi="黑体" w:eastAsia="黑体" w:cs="黑体"/>
          <w:spacing w:val="4"/>
          <w:sz w:val="28"/>
          <w:szCs w:val="28"/>
        </w:rPr>
        <w:t>五、分包意向协议书</w:t>
      </w:r>
    </w:p>
    <w:p w14:paraId="70F07331">
      <w:pPr>
        <w:pStyle w:val="2"/>
        <w:spacing w:line="255" w:lineRule="auto"/>
      </w:pPr>
    </w:p>
    <w:p w14:paraId="4718D302">
      <w:pPr>
        <w:pStyle w:val="2"/>
        <w:spacing w:line="256" w:lineRule="auto"/>
      </w:pPr>
    </w:p>
    <w:p w14:paraId="2DA5D67F">
      <w:pPr>
        <w:spacing w:before="69" w:line="220" w:lineRule="auto"/>
        <w:ind w:left="576"/>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4"/>
          <w:sz w:val="21"/>
          <w:szCs w:val="21"/>
        </w:rPr>
        <w:t>投标人名称）</w:t>
      </w:r>
    </w:p>
    <w:p w14:paraId="6578B1E5">
      <w:pPr>
        <w:spacing w:before="155" w:line="220" w:lineRule="auto"/>
        <w:ind w:left="569"/>
        <w:rPr>
          <w:rFonts w:ascii="宋体" w:hAnsi="宋体" w:eastAsia="宋体" w:cs="宋体"/>
          <w:sz w:val="21"/>
          <w:szCs w:val="21"/>
        </w:rPr>
      </w:pPr>
      <w:r>
        <w:rPr>
          <w:rFonts w:ascii="宋体" w:hAnsi="宋体" w:eastAsia="宋体" w:cs="宋体"/>
          <w:sz w:val="21"/>
          <w:szCs w:val="21"/>
        </w:rPr>
        <w:t>乙方</w:t>
      </w:r>
      <w:r>
        <w:rPr>
          <w:rFonts w:ascii="宋体" w:hAnsi="宋体" w:eastAsia="宋体" w:cs="宋体"/>
          <w:spacing w:val="-19"/>
          <w:sz w:val="21"/>
          <w:szCs w:val="21"/>
        </w:rPr>
        <w:t>：</w:t>
      </w:r>
      <w:r>
        <w:rPr>
          <w:rFonts w:ascii="宋体" w:hAnsi="宋体" w:eastAsia="宋体" w:cs="宋体"/>
          <w:sz w:val="21"/>
          <w:szCs w:val="21"/>
          <w:u w:val="single" w:color="auto"/>
        </w:rPr>
        <w:t xml:space="preserve">              </w:t>
      </w:r>
      <w:r>
        <w:rPr>
          <w:rFonts w:ascii="宋体" w:hAnsi="宋体" w:eastAsia="宋体" w:cs="宋体"/>
          <w:spacing w:val="-19"/>
          <w:sz w:val="21"/>
          <w:szCs w:val="21"/>
        </w:rPr>
        <w:t>（</w:t>
      </w:r>
      <w:r>
        <w:rPr>
          <w:rFonts w:ascii="宋体" w:hAnsi="宋体" w:eastAsia="宋体" w:cs="宋体"/>
          <w:sz w:val="21"/>
          <w:szCs w:val="21"/>
        </w:rPr>
        <w:t>接受分包合同企业名称）</w:t>
      </w:r>
    </w:p>
    <w:p w14:paraId="48DC5C5C">
      <w:pPr>
        <w:spacing w:before="140" w:line="220" w:lineRule="auto"/>
        <w:ind w:left="569"/>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357C37C2">
      <w:pPr>
        <w:pStyle w:val="2"/>
        <w:spacing w:before="299" w:line="65" w:lineRule="exact"/>
        <w:ind w:left="565"/>
      </w:pPr>
      <w:r>
        <w:rPr>
          <w:position w:val="1"/>
        </w:rPr>
        <w:t>…</w:t>
      </w:r>
    </w:p>
    <w:p w14:paraId="4EB06673">
      <w:pPr>
        <w:spacing w:before="162" w:line="347" w:lineRule="auto"/>
        <w:ind w:left="130" w:right="53" w:firstLine="421"/>
        <w:rPr>
          <w:rFonts w:ascii="宋体" w:hAnsi="宋体" w:eastAsia="宋体" w:cs="宋体"/>
          <w:sz w:val="21"/>
          <w:szCs w:val="21"/>
        </w:rPr>
      </w:pPr>
      <w:r>
        <w:rPr>
          <w:rFonts w:ascii="宋体" w:hAnsi="宋体" w:eastAsia="宋体" w:cs="宋体"/>
          <w:spacing w:val="-4"/>
          <w:sz w:val="21"/>
          <w:szCs w:val="21"/>
        </w:rPr>
        <w:t>鉴于甲方参加</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（招标人名称</w:t>
      </w:r>
      <w:r>
        <w:rPr>
          <w:rFonts w:ascii="宋体" w:hAnsi="宋体" w:eastAsia="宋体" w:cs="宋体"/>
          <w:spacing w:val="-48"/>
          <w:sz w:val="21"/>
          <w:szCs w:val="21"/>
        </w:rPr>
        <w:t>）（</w:t>
      </w:r>
      <w:r>
        <w:rPr>
          <w:rFonts w:ascii="宋体" w:hAnsi="宋体" w:eastAsia="宋体" w:cs="宋体"/>
          <w:spacing w:val="-4"/>
          <w:sz w:val="21"/>
          <w:szCs w:val="21"/>
        </w:rPr>
        <w:t>以下简称招标人或发包人</w:t>
      </w:r>
      <w:r>
        <w:rPr>
          <w:rFonts w:ascii="宋体" w:hAnsi="宋体" w:eastAsia="宋体" w:cs="宋体"/>
          <w:spacing w:val="-48"/>
          <w:sz w:val="21"/>
          <w:szCs w:val="21"/>
        </w:rPr>
        <w:t>）</w:t>
      </w:r>
      <w:r>
        <w:rPr>
          <w:rFonts w:ascii="宋体" w:hAnsi="宋体" w:eastAsia="宋体" w:cs="宋体"/>
          <w:spacing w:val="-77"/>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8"/>
          <w:sz w:val="21"/>
          <w:szCs w:val="21"/>
        </w:rPr>
        <w:t>（</w:t>
      </w:r>
      <w:r>
        <w:rPr>
          <w:rFonts w:ascii="宋体" w:hAnsi="宋体" w:eastAsia="宋体" w:cs="宋体"/>
          <w:spacing w:val="-4"/>
          <w:sz w:val="21"/>
          <w:szCs w:val="21"/>
        </w:rPr>
        <w:t>项</w:t>
      </w:r>
      <w:r>
        <w:rPr>
          <w:rFonts w:ascii="宋体" w:hAnsi="宋体" w:eastAsia="宋体" w:cs="宋体"/>
          <w:spacing w:val="-1"/>
          <w:sz w:val="21"/>
          <w:szCs w:val="21"/>
        </w:rPr>
        <w:t>目名称</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1"/>
          <w:sz w:val="21"/>
          <w:szCs w:val="21"/>
        </w:rPr>
        <w:t>标段名称</w:t>
      </w:r>
      <w:r>
        <w:rPr>
          <w:rFonts w:ascii="宋体" w:hAnsi="宋体" w:eastAsia="宋体" w:cs="宋体"/>
          <w:spacing w:val="-17"/>
          <w:sz w:val="21"/>
          <w:szCs w:val="21"/>
        </w:rPr>
        <w:t>）（</w:t>
      </w:r>
      <w:r>
        <w:rPr>
          <w:rFonts w:ascii="宋体" w:hAnsi="宋体" w:eastAsia="宋体" w:cs="宋体"/>
          <w:spacing w:val="-1"/>
          <w:sz w:val="21"/>
          <w:szCs w:val="21"/>
        </w:rPr>
        <w:t>以下简称本工程）的施工投标并争取赢得本工程施工承</w:t>
      </w:r>
      <w:r>
        <w:rPr>
          <w:rFonts w:ascii="宋体" w:hAnsi="宋体" w:eastAsia="宋体" w:cs="宋体"/>
          <w:spacing w:val="-2"/>
          <w:sz w:val="21"/>
          <w:szCs w:val="21"/>
        </w:rPr>
        <w:t>包合</w:t>
      </w:r>
      <w:r>
        <w:rPr>
          <w:rFonts w:ascii="宋体" w:hAnsi="宋体" w:eastAsia="宋体" w:cs="宋体"/>
          <w:spacing w:val="-6"/>
          <w:sz w:val="21"/>
          <w:szCs w:val="21"/>
        </w:rPr>
        <w:t>同（以下简称合同）。在遵守《建筑法》《招标投标法》及其相关的法律法规规章的前</w:t>
      </w:r>
      <w:r>
        <w:rPr>
          <w:rFonts w:ascii="宋体" w:hAnsi="宋体" w:eastAsia="宋体" w:cs="宋体"/>
          <w:spacing w:val="-7"/>
          <w:sz w:val="21"/>
          <w:szCs w:val="21"/>
        </w:rPr>
        <w:t>提下，</w:t>
      </w:r>
      <w:r>
        <w:rPr>
          <w:rFonts w:ascii="宋体" w:hAnsi="宋体" w:eastAsia="宋体" w:cs="宋体"/>
          <w:spacing w:val="-3"/>
          <w:sz w:val="21"/>
          <w:szCs w:val="21"/>
        </w:rPr>
        <w:t>经甲乙双方友好协商订立如下分包意向协议：</w:t>
      </w:r>
    </w:p>
    <w:p w14:paraId="5BC142CF">
      <w:pPr>
        <w:spacing w:before="2" w:line="349" w:lineRule="auto"/>
        <w:ind w:left="132" w:right="112" w:firstLine="432"/>
        <w:rPr>
          <w:rFonts w:ascii="宋体" w:hAnsi="宋体" w:eastAsia="宋体" w:cs="宋体"/>
          <w:sz w:val="21"/>
          <w:szCs w:val="21"/>
        </w:rPr>
      </w:pPr>
      <w:r>
        <w:rPr>
          <w:rFonts w:ascii="宋体" w:hAnsi="宋体" w:eastAsia="宋体" w:cs="宋体"/>
          <w:sz w:val="21"/>
          <w:szCs w:val="21"/>
        </w:rPr>
        <w:t>1．在本工程的投标阶段，甲方负责本工程投标文件编制活动，并处理</w:t>
      </w:r>
      <w:r>
        <w:rPr>
          <w:rFonts w:ascii="宋体" w:hAnsi="宋体" w:eastAsia="宋体" w:cs="宋体"/>
          <w:spacing w:val="-1"/>
          <w:sz w:val="21"/>
          <w:szCs w:val="21"/>
        </w:rPr>
        <w:t>与投标和中标有关的一切事务。中标后，甲方负责合同订立和合同实施、组织和协调工作。</w:t>
      </w:r>
    </w:p>
    <w:p w14:paraId="5F46D8D0">
      <w:pPr>
        <w:spacing w:line="344" w:lineRule="auto"/>
        <w:ind w:left="129" w:right="23" w:firstLine="422"/>
        <w:rPr>
          <w:rFonts w:ascii="宋体" w:hAnsi="宋体" w:eastAsia="宋体" w:cs="宋体"/>
          <w:sz w:val="21"/>
          <w:szCs w:val="21"/>
        </w:rPr>
      </w:pPr>
      <w:r>
        <w:rPr>
          <w:rFonts w:ascii="宋体" w:hAnsi="宋体" w:eastAsia="宋体" w:cs="宋体"/>
          <w:spacing w:val="-4"/>
          <w:sz w:val="21"/>
          <w:szCs w:val="21"/>
        </w:rPr>
        <w:t>2.</w:t>
      </w:r>
      <w:r>
        <w:rPr>
          <w:rFonts w:ascii="宋体" w:hAnsi="宋体" w:eastAsia="宋体" w:cs="宋体"/>
          <w:spacing w:val="41"/>
          <w:sz w:val="21"/>
          <w:szCs w:val="21"/>
        </w:rPr>
        <w:t xml:space="preserve"> </w:t>
      </w:r>
      <w:r>
        <w:rPr>
          <w:rFonts w:ascii="宋体" w:hAnsi="宋体" w:eastAsia="宋体" w:cs="宋体"/>
          <w:spacing w:val="-4"/>
          <w:sz w:val="21"/>
          <w:szCs w:val="21"/>
        </w:rPr>
        <w:t>乙方按照甲方的要求提供分包工作投标所需的相关资料，包括但不限于资质、资格、</w:t>
      </w:r>
      <w:r>
        <w:rPr>
          <w:rFonts w:ascii="宋体" w:hAnsi="宋体" w:eastAsia="宋体" w:cs="宋体"/>
          <w:spacing w:val="-2"/>
          <w:sz w:val="21"/>
          <w:szCs w:val="21"/>
        </w:rPr>
        <w:t>分包工作报价、技术文件、经营状况等资料，并对所提供资料的真实性负责。甲方为此提供</w:t>
      </w:r>
      <w:r>
        <w:rPr>
          <w:rFonts w:ascii="宋体" w:hAnsi="宋体" w:eastAsia="宋体" w:cs="宋体"/>
          <w:spacing w:val="-1"/>
          <w:sz w:val="21"/>
          <w:szCs w:val="21"/>
        </w:rPr>
        <w:t>便利条件，未经乙方同意，甲方不得擅自降低乙方提供的分包工作报价。</w:t>
      </w:r>
    </w:p>
    <w:p w14:paraId="182BE8CB">
      <w:pPr>
        <w:spacing w:before="14" w:line="344" w:lineRule="auto"/>
        <w:ind w:left="128" w:right="112" w:firstLine="424"/>
        <w:rPr>
          <w:rFonts w:ascii="宋体" w:hAnsi="宋体" w:eastAsia="宋体" w:cs="宋体"/>
          <w:sz w:val="21"/>
          <w:szCs w:val="21"/>
        </w:rPr>
      </w:pPr>
      <w:r>
        <w:rPr>
          <w:rFonts w:ascii="宋体" w:hAnsi="宋体" w:eastAsia="宋体" w:cs="宋体"/>
          <w:spacing w:val="-1"/>
          <w:sz w:val="21"/>
          <w:szCs w:val="21"/>
        </w:rPr>
        <w:t>3.</w:t>
      </w:r>
      <w:r>
        <w:rPr>
          <w:rFonts w:ascii="宋体" w:hAnsi="宋体" w:eastAsia="宋体" w:cs="宋体"/>
          <w:spacing w:val="42"/>
          <w:sz w:val="21"/>
          <w:szCs w:val="21"/>
        </w:rPr>
        <w:t xml:space="preserve"> </w:t>
      </w:r>
      <w:r>
        <w:rPr>
          <w:rFonts w:ascii="宋体" w:hAnsi="宋体" w:eastAsia="宋体" w:cs="宋体"/>
          <w:spacing w:val="-1"/>
          <w:sz w:val="21"/>
          <w:szCs w:val="21"/>
        </w:rPr>
        <w:t>甲方承诺中标后，就本协议约定的分包工作以分包合同的形式交由乙方承担；乙方</w:t>
      </w:r>
      <w:r>
        <w:rPr>
          <w:rFonts w:ascii="宋体" w:hAnsi="宋体" w:eastAsia="宋体" w:cs="宋体"/>
          <w:spacing w:val="1"/>
          <w:sz w:val="21"/>
          <w:szCs w:val="21"/>
        </w:rPr>
        <w:t>承诺按照分包合同的约定履行责任和义务并对甲方负责。</w:t>
      </w:r>
      <w:r>
        <w:rPr>
          <w:rFonts w:ascii="宋体" w:hAnsi="宋体" w:eastAsia="宋体" w:cs="宋体"/>
          <w:spacing w:val="-38"/>
          <w:sz w:val="21"/>
          <w:szCs w:val="21"/>
        </w:rPr>
        <w:t xml:space="preserve"> </w:t>
      </w:r>
      <w:r>
        <w:rPr>
          <w:rFonts w:ascii="宋体" w:hAnsi="宋体" w:eastAsia="宋体" w:cs="宋体"/>
          <w:spacing w:val="1"/>
          <w:sz w:val="21"/>
          <w:szCs w:val="21"/>
        </w:rPr>
        <w:t>甲方和乙方就分包工作对招标人</w:t>
      </w:r>
      <w:r>
        <w:rPr>
          <w:rFonts w:ascii="宋体" w:hAnsi="宋体" w:eastAsia="宋体" w:cs="宋体"/>
          <w:spacing w:val="-3"/>
          <w:sz w:val="21"/>
          <w:szCs w:val="21"/>
        </w:rPr>
        <w:t>（发包人）承担连带责任。</w:t>
      </w:r>
    </w:p>
    <w:p w14:paraId="2C1E0B95">
      <w:pPr>
        <w:spacing w:before="10" w:line="219" w:lineRule="auto"/>
        <w:ind w:left="548"/>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54"/>
          <w:sz w:val="21"/>
          <w:szCs w:val="21"/>
        </w:rPr>
        <w:t xml:space="preserve"> </w:t>
      </w:r>
      <w:r>
        <w:rPr>
          <w:rFonts w:ascii="宋体" w:hAnsi="宋体" w:eastAsia="宋体" w:cs="宋体"/>
          <w:spacing w:val="-3"/>
          <w:sz w:val="21"/>
          <w:szCs w:val="21"/>
        </w:rPr>
        <w:t>甲方拟分包给乙方的工作、分包合同金额、分包合同金额占比如下：</w:t>
      </w:r>
    </w:p>
    <w:p w14:paraId="1421D6BD">
      <w:pPr>
        <w:spacing w:before="156"/>
      </w:pPr>
    </w:p>
    <w:tbl>
      <w:tblPr>
        <w:tblStyle w:val="5"/>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10"/>
        <w:gridCol w:w="1109"/>
        <w:gridCol w:w="1365"/>
        <w:gridCol w:w="1312"/>
      </w:tblGrid>
      <w:tr w14:paraId="5D866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4" w:hRule="atLeast"/>
        </w:trPr>
        <w:tc>
          <w:tcPr>
            <w:tcW w:w="562" w:type="dxa"/>
            <w:textDirection w:val="tbRlV"/>
            <w:vAlign w:val="top"/>
          </w:tcPr>
          <w:p w14:paraId="7989F706">
            <w:pPr>
              <w:pStyle w:val="6"/>
              <w:spacing w:before="171" w:line="210" w:lineRule="auto"/>
              <w:ind w:left="194"/>
              <w:rPr>
                <w:sz w:val="21"/>
                <w:szCs w:val="21"/>
              </w:rPr>
            </w:pPr>
            <w:r>
              <w:rPr>
                <w:sz w:val="21"/>
                <w:szCs w:val="21"/>
              </w:rPr>
              <w:t>序 号</w:t>
            </w:r>
          </w:p>
        </w:tc>
        <w:tc>
          <w:tcPr>
            <w:tcW w:w="1484" w:type="dxa"/>
            <w:vAlign w:val="top"/>
          </w:tcPr>
          <w:p w14:paraId="4E83F189">
            <w:pPr>
              <w:pStyle w:val="6"/>
              <w:spacing w:before="195" w:line="280" w:lineRule="auto"/>
              <w:ind w:left="320" w:right="107" w:hanging="214"/>
              <w:rPr>
                <w:sz w:val="21"/>
                <w:szCs w:val="21"/>
              </w:rPr>
            </w:pPr>
            <w:r>
              <w:rPr>
                <w:spacing w:val="-1"/>
                <w:sz w:val="21"/>
                <w:szCs w:val="21"/>
              </w:rPr>
              <w:t>接受分包合同</w:t>
            </w:r>
            <w:r>
              <w:rPr>
                <w:spacing w:val="-2"/>
                <w:sz w:val="21"/>
                <w:szCs w:val="21"/>
              </w:rPr>
              <w:t>企业名称</w:t>
            </w:r>
          </w:p>
        </w:tc>
        <w:tc>
          <w:tcPr>
            <w:tcW w:w="1589" w:type="dxa"/>
            <w:vAlign w:val="top"/>
          </w:tcPr>
          <w:p w14:paraId="15EA763E">
            <w:pPr>
              <w:pStyle w:val="6"/>
              <w:spacing w:before="194" w:line="220" w:lineRule="auto"/>
              <w:ind w:left="383"/>
              <w:rPr>
                <w:sz w:val="21"/>
                <w:szCs w:val="21"/>
              </w:rPr>
            </w:pPr>
            <w:r>
              <w:rPr>
                <w:spacing w:val="-2"/>
                <w:sz w:val="21"/>
                <w:szCs w:val="21"/>
              </w:rPr>
              <w:t>分包合同</w:t>
            </w:r>
          </w:p>
          <w:p w14:paraId="43D05D04">
            <w:pPr>
              <w:pStyle w:val="6"/>
              <w:spacing w:before="64" w:line="220" w:lineRule="auto"/>
              <w:ind w:left="172"/>
              <w:rPr>
                <w:sz w:val="21"/>
                <w:szCs w:val="21"/>
              </w:rPr>
            </w:pPr>
            <w:r>
              <w:rPr>
                <w:spacing w:val="-2"/>
                <w:sz w:val="21"/>
                <w:szCs w:val="21"/>
              </w:rPr>
              <w:t>工作内容名称</w:t>
            </w:r>
          </w:p>
        </w:tc>
        <w:tc>
          <w:tcPr>
            <w:tcW w:w="1110" w:type="dxa"/>
            <w:vAlign w:val="top"/>
          </w:tcPr>
          <w:p w14:paraId="242123F8">
            <w:pPr>
              <w:pStyle w:val="6"/>
              <w:spacing w:before="44" w:line="220" w:lineRule="auto"/>
              <w:ind w:left="130"/>
              <w:rPr>
                <w:sz w:val="21"/>
                <w:szCs w:val="21"/>
              </w:rPr>
            </w:pPr>
            <w:r>
              <w:rPr>
                <w:spacing w:val="-2"/>
                <w:sz w:val="21"/>
                <w:szCs w:val="21"/>
              </w:rPr>
              <w:t>分包合同</w:t>
            </w:r>
          </w:p>
          <w:p w14:paraId="59F5E5A6">
            <w:pPr>
              <w:pStyle w:val="6"/>
              <w:spacing w:before="64" w:line="220" w:lineRule="auto"/>
              <w:ind w:left="340"/>
              <w:rPr>
                <w:sz w:val="21"/>
                <w:szCs w:val="21"/>
              </w:rPr>
            </w:pPr>
            <w:r>
              <w:rPr>
                <w:spacing w:val="-3"/>
                <w:sz w:val="21"/>
                <w:szCs w:val="21"/>
              </w:rPr>
              <w:t>金额</w:t>
            </w:r>
          </w:p>
          <w:p w14:paraId="3AD80525">
            <w:pPr>
              <w:pStyle w:val="6"/>
              <w:spacing w:before="50" w:line="220" w:lineRule="auto"/>
              <w:ind w:left="133"/>
              <w:rPr>
                <w:sz w:val="21"/>
                <w:szCs w:val="21"/>
              </w:rPr>
            </w:pPr>
            <w:r>
              <w:rPr>
                <w:spacing w:val="-5"/>
                <w:sz w:val="21"/>
                <w:szCs w:val="21"/>
              </w:rPr>
              <w:t>（万元）</w:t>
            </w:r>
          </w:p>
        </w:tc>
        <w:tc>
          <w:tcPr>
            <w:tcW w:w="1109" w:type="dxa"/>
            <w:vAlign w:val="top"/>
          </w:tcPr>
          <w:p w14:paraId="074B6392">
            <w:pPr>
              <w:pStyle w:val="6"/>
              <w:spacing w:before="44" w:line="220" w:lineRule="auto"/>
              <w:ind w:left="147"/>
              <w:rPr>
                <w:sz w:val="21"/>
                <w:szCs w:val="21"/>
              </w:rPr>
            </w:pPr>
            <w:r>
              <w:rPr>
                <w:spacing w:val="-2"/>
                <w:sz w:val="21"/>
                <w:szCs w:val="21"/>
              </w:rPr>
              <w:t>分包合同</w:t>
            </w:r>
          </w:p>
          <w:p w14:paraId="4BF82751">
            <w:pPr>
              <w:pStyle w:val="6"/>
              <w:spacing w:before="64" w:line="248" w:lineRule="auto"/>
              <w:ind w:left="299" w:right="116" w:hanging="153"/>
              <w:rPr>
                <w:sz w:val="21"/>
                <w:szCs w:val="21"/>
              </w:rPr>
            </w:pPr>
            <w:r>
              <w:rPr>
                <w:spacing w:val="-3"/>
                <w:sz w:val="21"/>
                <w:szCs w:val="21"/>
              </w:rPr>
              <w:t>金额占比</w:t>
            </w:r>
            <w:r>
              <w:rPr>
                <w:spacing w:val="-5"/>
                <w:sz w:val="21"/>
                <w:szCs w:val="21"/>
              </w:rPr>
              <w:t>（%）</w:t>
            </w:r>
          </w:p>
        </w:tc>
        <w:tc>
          <w:tcPr>
            <w:tcW w:w="1365" w:type="dxa"/>
            <w:vAlign w:val="top"/>
          </w:tcPr>
          <w:p w14:paraId="68262A39">
            <w:pPr>
              <w:pStyle w:val="6"/>
              <w:spacing w:before="44" w:line="220" w:lineRule="auto"/>
              <w:ind w:left="162"/>
              <w:rPr>
                <w:sz w:val="21"/>
                <w:szCs w:val="21"/>
              </w:rPr>
            </w:pPr>
            <w:r>
              <w:rPr>
                <w:spacing w:val="-1"/>
                <w:sz w:val="21"/>
                <w:szCs w:val="21"/>
              </w:rPr>
              <w:t>满足分包工</w:t>
            </w:r>
          </w:p>
          <w:p w14:paraId="078145BB">
            <w:pPr>
              <w:pStyle w:val="6"/>
              <w:spacing w:before="66" w:line="220" w:lineRule="auto"/>
              <w:ind w:left="163"/>
              <w:rPr>
                <w:sz w:val="21"/>
                <w:szCs w:val="21"/>
              </w:rPr>
            </w:pPr>
            <w:r>
              <w:rPr>
                <w:spacing w:val="-2"/>
                <w:sz w:val="21"/>
                <w:szCs w:val="21"/>
              </w:rPr>
              <w:t>作的企业资</w:t>
            </w:r>
          </w:p>
          <w:p w14:paraId="513DC9F4">
            <w:pPr>
              <w:pStyle w:val="6"/>
              <w:spacing w:before="49" w:line="220" w:lineRule="auto"/>
              <w:ind w:left="163"/>
              <w:rPr>
                <w:sz w:val="21"/>
                <w:szCs w:val="21"/>
              </w:rPr>
            </w:pPr>
            <w:r>
              <w:rPr>
                <w:spacing w:val="-4"/>
                <w:sz w:val="21"/>
                <w:szCs w:val="21"/>
              </w:rPr>
              <w:t>质（如需）</w:t>
            </w:r>
          </w:p>
        </w:tc>
        <w:tc>
          <w:tcPr>
            <w:tcW w:w="1312" w:type="dxa"/>
            <w:vAlign w:val="top"/>
          </w:tcPr>
          <w:p w14:paraId="4AC3D8D8">
            <w:pPr>
              <w:spacing w:line="290" w:lineRule="auto"/>
              <w:rPr>
                <w:rFonts w:ascii="Arial"/>
                <w:sz w:val="21"/>
              </w:rPr>
            </w:pPr>
          </w:p>
          <w:p w14:paraId="05343F11">
            <w:pPr>
              <w:pStyle w:val="6"/>
              <w:spacing w:before="68" w:line="221" w:lineRule="auto"/>
              <w:ind w:left="451"/>
              <w:rPr>
                <w:sz w:val="21"/>
                <w:szCs w:val="21"/>
              </w:rPr>
            </w:pPr>
            <w:r>
              <w:rPr>
                <w:spacing w:val="-3"/>
                <w:sz w:val="21"/>
                <w:szCs w:val="21"/>
              </w:rPr>
              <w:t>备注</w:t>
            </w:r>
          </w:p>
        </w:tc>
      </w:tr>
      <w:tr w14:paraId="4B708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3A6A090C">
            <w:pPr>
              <w:rPr>
                <w:rFonts w:ascii="Arial"/>
                <w:sz w:val="21"/>
              </w:rPr>
            </w:pPr>
          </w:p>
        </w:tc>
        <w:tc>
          <w:tcPr>
            <w:tcW w:w="1484" w:type="dxa"/>
            <w:vAlign w:val="top"/>
          </w:tcPr>
          <w:p w14:paraId="7341D1F3">
            <w:pPr>
              <w:rPr>
                <w:rFonts w:ascii="Arial"/>
                <w:sz w:val="21"/>
              </w:rPr>
            </w:pPr>
          </w:p>
        </w:tc>
        <w:tc>
          <w:tcPr>
            <w:tcW w:w="1589" w:type="dxa"/>
            <w:vAlign w:val="top"/>
          </w:tcPr>
          <w:p w14:paraId="03ED7551">
            <w:pPr>
              <w:rPr>
                <w:rFonts w:ascii="Arial"/>
                <w:sz w:val="21"/>
              </w:rPr>
            </w:pPr>
          </w:p>
        </w:tc>
        <w:tc>
          <w:tcPr>
            <w:tcW w:w="1110" w:type="dxa"/>
            <w:vAlign w:val="top"/>
          </w:tcPr>
          <w:p w14:paraId="546EC206">
            <w:pPr>
              <w:rPr>
                <w:rFonts w:ascii="Arial"/>
                <w:sz w:val="21"/>
              </w:rPr>
            </w:pPr>
          </w:p>
        </w:tc>
        <w:tc>
          <w:tcPr>
            <w:tcW w:w="1109" w:type="dxa"/>
            <w:vAlign w:val="top"/>
          </w:tcPr>
          <w:p w14:paraId="4D5F9BFC">
            <w:pPr>
              <w:rPr>
                <w:rFonts w:ascii="Arial"/>
                <w:sz w:val="21"/>
              </w:rPr>
            </w:pPr>
          </w:p>
        </w:tc>
        <w:tc>
          <w:tcPr>
            <w:tcW w:w="1365" w:type="dxa"/>
            <w:vAlign w:val="top"/>
          </w:tcPr>
          <w:p w14:paraId="2C7A4DFB">
            <w:pPr>
              <w:rPr>
                <w:rFonts w:ascii="Arial"/>
                <w:sz w:val="21"/>
              </w:rPr>
            </w:pPr>
          </w:p>
        </w:tc>
        <w:tc>
          <w:tcPr>
            <w:tcW w:w="1312" w:type="dxa"/>
            <w:vAlign w:val="top"/>
          </w:tcPr>
          <w:p w14:paraId="0DA17D07">
            <w:pPr>
              <w:rPr>
                <w:rFonts w:ascii="Arial"/>
                <w:sz w:val="21"/>
              </w:rPr>
            </w:pPr>
          </w:p>
        </w:tc>
      </w:tr>
      <w:tr w14:paraId="7EC91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386FFCC9">
            <w:pPr>
              <w:rPr>
                <w:rFonts w:ascii="Arial"/>
                <w:sz w:val="21"/>
              </w:rPr>
            </w:pPr>
          </w:p>
        </w:tc>
        <w:tc>
          <w:tcPr>
            <w:tcW w:w="1484" w:type="dxa"/>
            <w:vAlign w:val="top"/>
          </w:tcPr>
          <w:p w14:paraId="7AA8CD19">
            <w:pPr>
              <w:rPr>
                <w:rFonts w:ascii="Arial"/>
                <w:sz w:val="21"/>
              </w:rPr>
            </w:pPr>
          </w:p>
        </w:tc>
        <w:tc>
          <w:tcPr>
            <w:tcW w:w="1589" w:type="dxa"/>
            <w:vAlign w:val="top"/>
          </w:tcPr>
          <w:p w14:paraId="06BE346B">
            <w:pPr>
              <w:rPr>
                <w:rFonts w:ascii="Arial"/>
                <w:sz w:val="21"/>
              </w:rPr>
            </w:pPr>
          </w:p>
        </w:tc>
        <w:tc>
          <w:tcPr>
            <w:tcW w:w="1110" w:type="dxa"/>
            <w:vAlign w:val="top"/>
          </w:tcPr>
          <w:p w14:paraId="620CC37E">
            <w:pPr>
              <w:rPr>
                <w:rFonts w:ascii="Arial"/>
                <w:sz w:val="21"/>
              </w:rPr>
            </w:pPr>
          </w:p>
        </w:tc>
        <w:tc>
          <w:tcPr>
            <w:tcW w:w="1109" w:type="dxa"/>
            <w:vAlign w:val="top"/>
          </w:tcPr>
          <w:p w14:paraId="7D6656FE">
            <w:pPr>
              <w:rPr>
                <w:rFonts w:ascii="Arial"/>
                <w:sz w:val="21"/>
              </w:rPr>
            </w:pPr>
          </w:p>
        </w:tc>
        <w:tc>
          <w:tcPr>
            <w:tcW w:w="1365" w:type="dxa"/>
            <w:vAlign w:val="top"/>
          </w:tcPr>
          <w:p w14:paraId="0C5CA447">
            <w:pPr>
              <w:rPr>
                <w:rFonts w:ascii="Arial"/>
                <w:sz w:val="21"/>
              </w:rPr>
            </w:pPr>
          </w:p>
        </w:tc>
        <w:tc>
          <w:tcPr>
            <w:tcW w:w="1312" w:type="dxa"/>
            <w:vAlign w:val="top"/>
          </w:tcPr>
          <w:p w14:paraId="42EFB18B">
            <w:pPr>
              <w:rPr>
                <w:rFonts w:ascii="Arial"/>
                <w:sz w:val="21"/>
              </w:rPr>
            </w:pPr>
          </w:p>
        </w:tc>
      </w:tr>
      <w:tr w14:paraId="41CE7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5376F898">
            <w:pPr>
              <w:rPr>
                <w:rFonts w:ascii="Arial"/>
                <w:sz w:val="21"/>
              </w:rPr>
            </w:pPr>
          </w:p>
        </w:tc>
        <w:tc>
          <w:tcPr>
            <w:tcW w:w="1484" w:type="dxa"/>
            <w:vAlign w:val="top"/>
          </w:tcPr>
          <w:p w14:paraId="0EA292AF">
            <w:pPr>
              <w:rPr>
                <w:rFonts w:ascii="Arial"/>
                <w:sz w:val="21"/>
              </w:rPr>
            </w:pPr>
          </w:p>
        </w:tc>
        <w:tc>
          <w:tcPr>
            <w:tcW w:w="1589" w:type="dxa"/>
            <w:vAlign w:val="top"/>
          </w:tcPr>
          <w:p w14:paraId="51D7EB8D">
            <w:pPr>
              <w:rPr>
                <w:rFonts w:ascii="Arial"/>
                <w:sz w:val="21"/>
              </w:rPr>
            </w:pPr>
          </w:p>
        </w:tc>
        <w:tc>
          <w:tcPr>
            <w:tcW w:w="1110" w:type="dxa"/>
            <w:vAlign w:val="top"/>
          </w:tcPr>
          <w:p w14:paraId="6B8857EE">
            <w:pPr>
              <w:rPr>
                <w:rFonts w:ascii="Arial"/>
                <w:sz w:val="21"/>
              </w:rPr>
            </w:pPr>
          </w:p>
        </w:tc>
        <w:tc>
          <w:tcPr>
            <w:tcW w:w="1109" w:type="dxa"/>
            <w:vAlign w:val="top"/>
          </w:tcPr>
          <w:p w14:paraId="3C929225">
            <w:pPr>
              <w:rPr>
                <w:rFonts w:ascii="Arial"/>
                <w:sz w:val="21"/>
              </w:rPr>
            </w:pPr>
          </w:p>
        </w:tc>
        <w:tc>
          <w:tcPr>
            <w:tcW w:w="1365" w:type="dxa"/>
            <w:vAlign w:val="top"/>
          </w:tcPr>
          <w:p w14:paraId="2BF64D4E">
            <w:pPr>
              <w:rPr>
                <w:rFonts w:ascii="Arial"/>
                <w:sz w:val="21"/>
              </w:rPr>
            </w:pPr>
          </w:p>
        </w:tc>
        <w:tc>
          <w:tcPr>
            <w:tcW w:w="1312" w:type="dxa"/>
            <w:vAlign w:val="top"/>
          </w:tcPr>
          <w:p w14:paraId="3C0FEA00">
            <w:pPr>
              <w:rPr>
                <w:rFonts w:ascii="Arial"/>
                <w:sz w:val="21"/>
              </w:rPr>
            </w:pPr>
          </w:p>
        </w:tc>
      </w:tr>
      <w:tr w14:paraId="38711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72999E51">
            <w:pPr>
              <w:rPr>
                <w:rFonts w:ascii="Arial"/>
                <w:sz w:val="21"/>
              </w:rPr>
            </w:pPr>
          </w:p>
        </w:tc>
        <w:tc>
          <w:tcPr>
            <w:tcW w:w="1484" w:type="dxa"/>
            <w:vAlign w:val="top"/>
          </w:tcPr>
          <w:p w14:paraId="00BABE83">
            <w:pPr>
              <w:rPr>
                <w:rFonts w:ascii="Arial"/>
                <w:sz w:val="21"/>
              </w:rPr>
            </w:pPr>
          </w:p>
        </w:tc>
        <w:tc>
          <w:tcPr>
            <w:tcW w:w="1589" w:type="dxa"/>
            <w:vAlign w:val="top"/>
          </w:tcPr>
          <w:p w14:paraId="41A13B51">
            <w:pPr>
              <w:rPr>
                <w:rFonts w:ascii="Arial"/>
                <w:sz w:val="21"/>
              </w:rPr>
            </w:pPr>
          </w:p>
        </w:tc>
        <w:tc>
          <w:tcPr>
            <w:tcW w:w="1110" w:type="dxa"/>
            <w:vAlign w:val="top"/>
          </w:tcPr>
          <w:p w14:paraId="4A5DD5CA">
            <w:pPr>
              <w:rPr>
                <w:rFonts w:ascii="Arial"/>
                <w:sz w:val="21"/>
              </w:rPr>
            </w:pPr>
          </w:p>
        </w:tc>
        <w:tc>
          <w:tcPr>
            <w:tcW w:w="1109" w:type="dxa"/>
            <w:vAlign w:val="top"/>
          </w:tcPr>
          <w:p w14:paraId="6F00121C">
            <w:pPr>
              <w:rPr>
                <w:rFonts w:ascii="Arial"/>
                <w:sz w:val="21"/>
              </w:rPr>
            </w:pPr>
          </w:p>
        </w:tc>
        <w:tc>
          <w:tcPr>
            <w:tcW w:w="1365" w:type="dxa"/>
            <w:vAlign w:val="top"/>
          </w:tcPr>
          <w:p w14:paraId="6DFA4C99">
            <w:pPr>
              <w:rPr>
                <w:rFonts w:ascii="Arial"/>
                <w:sz w:val="21"/>
              </w:rPr>
            </w:pPr>
          </w:p>
        </w:tc>
        <w:tc>
          <w:tcPr>
            <w:tcW w:w="1312" w:type="dxa"/>
            <w:vAlign w:val="top"/>
          </w:tcPr>
          <w:p w14:paraId="79C5B717">
            <w:pPr>
              <w:rPr>
                <w:rFonts w:ascii="Arial"/>
                <w:sz w:val="21"/>
              </w:rPr>
            </w:pPr>
          </w:p>
        </w:tc>
      </w:tr>
      <w:tr w14:paraId="762E6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1C15AE57">
            <w:pPr>
              <w:rPr>
                <w:rFonts w:ascii="Arial"/>
                <w:sz w:val="21"/>
              </w:rPr>
            </w:pPr>
          </w:p>
        </w:tc>
        <w:tc>
          <w:tcPr>
            <w:tcW w:w="1484" w:type="dxa"/>
            <w:vAlign w:val="top"/>
          </w:tcPr>
          <w:p w14:paraId="73A7F1A4">
            <w:pPr>
              <w:rPr>
                <w:rFonts w:ascii="Arial"/>
                <w:sz w:val="21"/>
              </w:rPr>
            </w:pPr>
          </w:p>
        </w:tc>
        <w:tc>
          <w:tcPr>
            <w:tcW w:w="1589" w:type="dxa"/>
            <w:vAlign w:val="top"/>
          </w:tcPr>
          <w:p w14:paraId="7BA3A2BF">
            <w:pPr>
              <w:rPr>
                <w:rFonts w:ascii="Arial"/>
                <w:sz w:val="21"/>
              </w:rPr>
            </w:pPr>
          </w:p>
        </w:tc>
        <w:tc>
          <w:tcPr>
            <w:tcW w:w="1110" w:type="dxa"/>
            <w:vAlign w:val="top"/>
          </w:tcPr>
          <w:p w14:paraId="123D94C1">
            <w:pPr>
              <w:rPr>
                <w:rFonts w:ascii="Arial"/>
                <w:sz w:val="21"/>
              </w:rPr>
            </w:pPr>
          </w:p>
        </w:tc>
        <w:tc>
          <w:tcPr>
            <w:tcW w:w="1109" w:type="dxa"/>
            <w:vAlign w:val="top"/>
          </w:tcPr>
          <w:p w14:paraId="351F9A03">
            <w:pPr>
              <w:rPr>
                <w:rFonts w:ascii="Arial"/>
                <w:sz w:val="21"/>
              </w:rPr>
            </w:pPr>
          </w:p>
        </w:tc>
        <w:tc>
          <w:tcPr>
            <w:tcW w:w="1365" w:type="dxa"/>
            <w:vAlign w:val="top"/>
          </w:tcPr>
          <w:p w14:paraId="490DB4AD">
            <w:pPr>
              <w:rPr>
                <w:rFonts w:ascii="Arial"/>
                <w:sz w:val="21"/>
              </w:rPr>
            </w:pPr>
          </w:p>
        </w:tc>
        <w:tc>
          <w:tcPr>
            <w:tcW w:w="1312" w:type="dxa"/>
            <w:vAlign w:val="top"/>
          </w:tcPr>
          <w:p w14:paraId="53C54845">
            <w:pPr>
              <w:rPr>
                <w:rFonts w:ascii="Arial"/>
                <w:sz w:val="21"/>
              </w:rPr>
            </w:pPr>
          </w:p>
        </w:tc>
      </w:tr>
      <w:tr w14:paraId="4C50B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4CB7D3C5">
            <w:pPr>
              <w:rPr>
                <w:rFonts w:ascii="Arial"/>
                <w:sz w:val="21"/>
              </w:rPr>
            </w:pPr>
          </w:p>
        </w:tc>
        <w:tc>
          <w:tcPr>
            <w:tcW w:w="3073" w:type="dxa"/>
            <w:gridSpan w:val="2"/>
            <w:vAlign w:val="top"/>
          </w:tcPr>
          <w:p w14:paraId="70BDB391">
            <w:pPr>
              <w:pStyle w:val="6"/>
              <w:spacing w:before="108" w:line="221" w:lineRule="auto"/>
              <w:ind w:left="1324"/>
              <w:rPr>
                <w:sz w:val="21"/>
                <w:szCs w:val="21"/>
              </w:rPr>
            </w:pPr>
            <w:r>
              <w:rPr>
                <w:spacing w:val="-3"/>
                <w:sz w:val="21"/>
                <w:szCs w:val="21"/>
              </w:rPr>
              <w:t>合计</w:t>
            </w:r>
          </w:p>
        </w:tc>
        <w:tc>
          <w:tcPr>
            <w:tcW w:w="1110" w:type="dxa"/>
            <w:vAlign w:val="top"/>
          </w:tcPr>
          <w:p w14:paraId="4206D130">
            <w:pPr>
              <w:rPr>
                <w:rFonts w:ascii="Arial"/>
                <w:sz w:val="21"/>
              </w:rPr>
            </w:pPr>
          </w:p>
        </w:tc>
        <w:tc>
          <w:tcPr>
            <w:tcW w:w="1109" w:type="dxa"/>
            <w:vAlign w:val="top"/>
          </w:tcPr>
          <w:p w14:paraId="3911A666">
            <w:pPr>
              <w:rPr>
                <w:rFonts w:ascii="Arial"/>
                <w:sz w:val="21"/>
              </w:rPr>
            </w:pPr>
          </w:p>
        </w:tc>
        <w:tc>
          <w:tcPr>
            <w:tcW w:w="1365" w:type="dxa"/>
            <w:vAlign w:val="top"/>
          </w:tcPr>
          <w:p w14:paraId="770CD303">
            <w:pPr>
              <w:rPr>
                <w:rFonts w:ascii="Arial"/>
                <w:sz w:val="21"/>
              </w:rPr>
            </w:pPr>
          </w:p>
        </w:tc>
        <w:tc>
          <w:tcPr>
            <w:tcW w:w="1312" w:type="dxa"/>
            <w:vAlign w:val="top"/>
          </w:tcPr>
          <w:p w14:paraId="1B1A895C">
            <w:pPr>
              <w:rPr>
                <w:rFonts w:ascii="Arial"/>
                <w:sz w:val="21"/>
              </w:rPr>
            </w:pPr>
          </w:p>
        </w:tc>
      </w:tr>
      <w:tr w14:paraId="5C1FA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562" w:type="dxa"/>
            <w:vAlign w:val="top"/>
          </w:tcPr>
          <w:p w14:paraId="35746D94">
            <w:pPr>
              <w:rPr>
                <w:rFonts w:ascii="Arial"/>
                <w:sz w:val="21"/>
              </w:rPr>
            </w:pPr>
          </w:p>
        </w:tc>
        <w:tc>
          <w:tcPr>
            <w:tcW w:w="3073" w:type="dxa"/>
            <w:gridSpan w:val="2"/>
            <w:vAlign w:val="top"/>
          </w:tcPr>
          <w:p w14:paraId="6B6B9B0F">
            <w:pPr>
              <w:pStyle w:val="6"/>
              <w:spacing w:before="110" w:line="219" w:lineRule="auto"/>
              <w:ind w:left="378"/>
              <w:rPr>
                <w:sz w:val="21"/>
                <w:szCs w:val="21"/>
              </w:rPr>
            </w:pPr>
            <w:r>
              <w:rPr>
                <w:spacing w:val="-2"/>
                <w:sz w:val="21"/>
                <w:szCs w:val="21"/>
              </w:rPr>
              <w:t>本项目合同金额（万元）</w:t>
            </w:r>
          </w:p>
        </w:tc>
        <w:tc>
          <w:tcPr>
            <w:tcW w:w="2219" w:type="dxa"/>
            <w:gridSpan w:val="2"/>
            <w:vAlign w:val="top"/>
          </w:tcPr>
          <w:p w14:paraId="5DA110EA">
            <w:pPr>
              <w:rPr>
                <w:rFonts w:ascii="Arial"/>
                <w:sz w:val="21"/>
              </w:rPr>
            </w:pPr>
          </w:p>
        </w:tc>
        <w:tc>
          <w:tcPr>
            <w:tcW w:w="2677" w:type="dxa"/>
            <w:gridSpan w:val="2"/>
            <w:vAlign w:val="top"/>
          </w:tcPr>
          <w:p w14:paraId="10E3329B">
            <w:pPr>
              <w:rPr>
                <w:rFonts w:ascii="Arial"/>
                <w:sz w:val="21"/>
              </w:rPr>
            </w:pPr>
          </w:p>
        </w:tc>
      </w:tr>
    </w:tbl>
    <w:p w14:paraId="75217CFD">
      <w:pPr>
        <w:spacing w:before="134" w:line="350" w:lineRule="auto"/>
        <w:ind w:left="127" w:right="112" w:firstLine="425"/>
        <w:rPr>
          <w:rFonts w:ascii="宋体" w:hAnsi="宋体" w:eastAsia="宋体" w:cs="宋体"/>
          <w:sz w:val="21"/>
          <w:szCs w:val="21"/>
        </w:rPr>
      </w:pPr>
      <w:r>
        <w:rPr>
          <w:rFonts w:ascii="宋体" w:hAnsi="宋体" w:eastAsia="宋体" w:cs="宋体"/>
          <w:sz w:val="21"/>
          <w:szCs w:val="21"/>
        </w:rPr>
        <w:t>5．本协议中接受分包合同的中小（小微）企业（乙方）与分包企业（甲方）之间不存</w:t>
      </w:r>
      <w:r>
        <w:rPr>
          <w:rFonts w:ascii="宋体" w:hAnsi="宋体" w:eastAsia="宋体" w:cs="宋体"/>
          <w:spacing w:val="-3"/>
          <w:sz w:val="21"/>
          <w:szCs w:val="21"/>
        </w:rPr>
        <w:t>在直接控股、管理关系。</w:t>
      </w:r>
    </w:p>
    <w:p w14:paraId="004EE857">
      <w:pPr>
        <w:spacing w:before="1" w:line="218" w:lineRule="auto"/>
        <w:ind w:left="550"/>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4"/>
          <w:sz w:val="21"/>
          <w:szCs w:val="21"/>
        </w:rPr>
        <w:t xml:space="preserve"> </w:t>
      </w:r>
      <w:r>
        <w:rPr>
          <w:rFonts w:ascii="宋体" w:hAnsi="宋体" w:eastAsia="宋体" w:cs="宋体"/>
          <w:spacing w:val="-2"/>
          <w:sz w:val="21"/>
          <w:szCs w:val="21"/>
        </w:rPr>
        <w:t>中标后，本协议是合同的组成部分，对甲乙双方有合同约束力。</w:t>
      </w:r>
    </w:p>
    <w:p w14:paraId="7C636DC9">
      <w:pPr>
        <w:spacing w:line="218" w:lineRule="auto"/>
        <w:rPr>
          <w:rFonts w:ascii="宋体" w:hAnsi="宋体" w:eastAsia="宋体" w:cs="宋体"/>
          <w:sz w:val="21"/>
          <w:szCs w:val="21"/>
        </w:rPr>
        <w:sectPr>
          <w:footerReference r:id="rId313" w:type="default"/>
          <w:pgSz w:w="11910" w:h="16845"/>
          <w:pgMar w:top="400" w:right="1682" w:bottom="1110" w:left="1681" w:header="0" w:footer="883" w:gutter="0"/>
          <w:cols w:space="720" w:num="1"/>
        </w:sectPr>
      </w:pPr>
    </w:p>
    <w:p w14:paraId="6B6AA1A3">
      <w:pPr>
        <w:pStyle w:val="2"/>
        <w:spacing w:line="275" w:lineRule="auto"/>
      </w:pPr>
    </w:p>
    <w:p w14:paraId="2155B91A">
      <w:pPr>
        <w:pStyle w:val="2"/>
        <w:spacing w:line="275" w:lineRule="auto"/>
      </w:pPr>
    </w:p>
    <w:p w14:paraId="242247FD">
      <w:pPr>
        <w:pStyle w:val="2"/>
        <w:spacing w:line="275" w:lineRule="auto"/>
      </w:pPr>
    </w:p>
    <w:p w14:paraId="6C5C5FD4">
      <w:pPr>
        <w:pStyle w:val="2"/>
        <w:spacing w:line="275" w:lineRule="auto"/>
      </w:pPr>
    </w:p>
    <w:p w14:paraId="033E0F02">
      <w:pPr>
        <w:spacing w:before="69" w:line="219" w:lineRule="auto"/>
        <w:ind w:left="449"/>
        <w:rPr>
          <w:rFonts w:ascii="宋体" w:hAnsi="宋体" w:eastAsia="宋体" w:cs="宋体"/>
          <w:sz w:val="21"/>
          <w:szCs w:val="21"/>
        </w:rPr>
      </w:pPr>
      <w:r>
        <w:rPr>
          <w:rFonts w:ascii="宋体" w:hAnsi="宋体" w:eastAsia="宋体" w:cs="宋体"/>
          <w:spacing w:val="-1"/>
          <w:sz w:val="21"/>
          <w:szCs w:val="21"/>
        </w:rPr>
        <w:t>7．本协议书自签署之日起生效，未中标或者中标合同履行完毕后自动失效。</w:t>
      </w:r>
    </w:p>
    <w:p w14:paraId="340578C6">
      <w:pPr>
        <w:spacing w:before="141" w:line="219" w:lineRule="auto"/>
        <w:ind w:left="445"/>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份，甲方和乙方各执一份。</w:t>
      </w:r>
    </w:p>
    <w:p w14:paraId="27B94279">
      <w:pPr>
        <w:pStyle w:val="2"/>
        <w:spacing w:line="287" w:lineRule="auto"/>
      </w:pPr>
    </w:p>
    <w:p w14:paraId="594A0CA6">
      <w:pPr>
        <w:pStyle w:val="2"/>
        <w:spacing w:line="288" w:lineRule="auto"/>
      </w:pPr>
    </w:p>
    <w:p w14:paraId="35EF5017">
      <w:pPr>
        <w:pStyle w:val="2"/>
        <w:spacing w:line="288" w:lineRule="auto"/>
      </w:pPr>
    </w:p>
    <w:p w14:paraId="73B5654A">
      <w:pPr>
        <w:spacing w:before="68" w:line="219" w:lineRule="auto"/>
        <w:jc w:val="right"/>
        <w:rPr>
          <w:rFonts w:ascii="宋体" w:hAnsi="宋体" w:eastAsia="宋体" w:cs="宋体"/>
          <w:sz w:val="21"/>
          <w:szCs w:val="21"/>
        </w:rPr>
      </w:pPr>
      <w:r>
        <w:rPr>
          <w:rFonts w:ascii="宋体" w:hAnsi="宋体" w:eastAsia="宋体" w:cs="宋体"/>
          <w:spacing w:val="-12"/>
          <w:sz w:val="21"/>
          <w:szCs w:val="21"/>
        </w:rPr>
        <w:t>甲  方</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12"/>
          <w:sz w:val="21"/>
          <w:szCs w:val="21"/>
        </w:rPr>
        <w:t>盖单位章）</w:t>
      </w:r>
      <w:r>
        <w:rPr>
          <w:rFonts w:ascii="宋体" w:hAnsi="宋体" w:eastAsia="宋体" w:cs="宋体"/>
          <w:spacing w:val="23"/>
          <w:sz w:val="21"/>
          <w:szCs w:val="21"/>
        </w:rPr>
        <w:t xml:space="preserve">    </w:t>
      </w:r>
      <w:r>
        <w:rPr>
          <w:rFonts w:ascii="宋体" w:hAnsi="宋体" w:eastAsia="宋体" w:cs="宋体"/>
          <w:spacing w:val="-12"/>
          <w:sz w:val="21"/>
          <w:szCs w:val="21"/>
        </w:rPr>
        <w:t>乙</w:t>
      </w:r>
      <w:r>
        <w:rPr>
          <w:rFonts w:ascii="宋体" w:hAnsi="宋体" w:eastAsia="宋体" w:cs="宋体"/>
          <w:spacing w:val="4"/>
          <w:sz w:val="21"/>
          <w:szCs w:val="21"/>
        </w:rPr>
        <w:t xml:space="preserve">  </w:t>
      </w:r>
      <w:r>
        <w:rPr>
          <w:rFonts w:ascii="宋体" w:hAnsi="宋体" w:eastAsia="宋体" w:cs="宋体"/>
          <w:spacing w:val="-12"/>
          <w:sz w:val="21"/>
          <w:szCs w:val="21"/>
        </w:rPr>
        <w:t>方</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12"/>
          <w:sz w:val="21"/>
          <w:szCs w:val="21"/>
        </w:rPr>
        <w:t>盖单位章）</w:t>
      </w:r>
    </w:p>
    <w:p w14:paraId="43A2A459">
      <w:pPr>
        <w:pStyle w:val="2"/>
        <w:spacing w:line="474" w:lineRule="auto"/>
      </w:pPr>
    </w:p>
    <w:p w14:paraId="357E83B3">
      <w:pPr>
        <w:spacing w:before="69" w:line="220" w:lineRule="auto"/>
        <w:ind w:left="445"/>
        <w:rPr>
          <w:rFonts w:ascii="宋体" w:hAnsi="宋体" w:eastAsia="宋体" w:cs="宋体"/>
          <w:sz w:val="21"/>
          <w:szCs w:val="21"/>
        </w:rPr>
      </w:pPr>
      <w:r>
        <w:rPr>
          <w:rFonts w:ascii="宋体" w:hAnsi="宋体" w:eastAsia="宋体" w:cs="宋体"/>
          <w:sz w:val="21"/>
          <w:szCs w:val="21"/>
        </w:rPr>
        <w:t>法定代表人或其委托人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z w:val="21"/>
          <w:szCs w:val="21"/>
        </w:rPr>
        <w:t>签字）     法定代表人或其委托</w:t>
      </w:r>
      <w:r>
        <w:rPr>
          <w:rFonts w:ascii="宋体" w:hAnsi="宋体" w:eastAsia="宋体" w:cs="宋体"/>
          <w:spacing w:val="-1"/>
          <w:sz w:val="21"/>
          <w:szCs w:val="21"/>
        </w:rPr>
        <w:t>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w:t>
      </w:r>
    </w:p>
    <w:p w14:paraId="20227E8F">
      <w:pPr>
        <w:spacing w:before="140" w:line="220" w:lineRule="auto"/>
        <w:ind w:left="25"/>
        <w:rPr>
          <w:rFonts w:ascii="宋体" w:hAnsi="宋体" w:eastAsia="宋体" w:cs="宋体"/>
          <w:sz w:val="21"/>
          <w:szCs w:val="21"/>
        </w:rPr>
      </w:pPr>
      <w:r>
        <w:rPr>
          <w:rFonts w:ascii="宋体" w:hAnsi="宋体" w:eastAsia="宋体" w:cs="宋体"/>
          <w:spacing w:val="-6"/>
          <w:sz w:val="21"/>
          <w:szCs w:val="21"/>
        </w:rPr>
        <w:t>字）</w:t>
      </w:r>
    </w:p>
    <w:p w14:paraId="771CAD74">
      <w:pPr>
        <w:pStyle w:val="2"/>
        <w:spacing w:line="459" w:lineRule="auto"/>
      </w:pPr>
    </w:p>
    <w:p w14:paraId="53B86C90">
      <w:pPr>
        <w:spacing w:before="68" w:line="358" w:lineRule="auto"/>
        <w:ind w:left="31" w:right="99" w:firstLine="4849"/>
        <w:rPr>
          <w:rFonts w:ascii="宋体" w:hAnsi="宋体" w:eastAsia="宋体" w:cs="宋体"/>
          <w:sz w:val="21"/>
          <w:szCs w:val="21"/>
        </w:rPr>
      </w:pPr>
      <w:r>
        <w:rPr>
          <w:rFonts w:ascii="宋体" w:hAnsi="宋体" w:eastAsia="宋体" w:cs="宋体"/>
          <w:spacing w:val="-8"/>
          <w:sz w:val="21"/>
          <w:szCs w:val="21"/>
        </w:rPr>
        <w:t>乙</w:t>
      </w:r>
      <w:r>
        <w:rPr>
          <w:rFonts w:ascii="宋体" w:hAnsi="宋体" w:eastAsia="宋体" w:cs="宋体"/>
          <w:spacing w:val="5"/>
          <w:sz w:val="21"/>
          <w:szCs w:val="21"/>
        </w:rPr>
        <w:t xml:space="preserve">  </w:t>
      </w:r>
      <w:r>
        <w:rPr>
          <w:rFonts w:ascii="宋体" w:hAnsi="宋体" w:eastAsia="宋体" w:cs="宋体"/>
          <w:spacing w:val="-8"/>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8"/>
          <w:sz w:val="21"/>
          <w:szCs w:val="21"/>
        </w:rPr>
        <w:t>盖单位章）</w:t>
      </w:r>
    </w:p>
    <w:p w14:paraId="19B05A2F">
      <w:pPr>
        <w:pStyle w:val="2"/>
        <w:spacing w:line="301" w:lineRule="auto"/>
      </w:pPr>
    </w:p>
    <w:p w14:paraId="6D835874">
      <w:pPr>
        <w:spacing w:before="69" w:line="345" w:lineRule="auto"/>
        <w:ind w:left="25" w:right="101" w:firstLine="4835"/>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w:t>
      </w:r>
      <w:r>
        <w:rPr>
          <w:rFonts w:ascii="宋体" w:hAnsi="宋体" w:eastAsia="宋体" w:cs="宋体"/>
          <w:spacing w:val="-6"/>
          <w:sz w:val="21"/>
          <w:szCs w:val="21"/>
        </w:rPr>
        <w:t>字）</w:t>
      </w:r>
    </w:p>
    <w:p w14:paraId="3A4B6DFC">
      <w:pPr>
        <w:pStyle w:val="2"/>
        <w:spacing w:line="330" w:lineRule="auto"/>
      </w:pPr>
    </w:p>
    <w:p w14:paraId="2267E23F">
      <w:pPr>
        <w:spacing w:before="69" w:line="220" w:lineRule="auto"/>
        <w:ind w:left="5421"/>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1"/>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1"/>
          <w:sz w:val="21"/>
          <w:szCs w:val="21"/>
        </w:rPr>
        <w:t>日</w:t>
      </w:r>
    </w:p>
    <w:p w14:paraId="7B8E34D1">
      <w:pPr>
        <w:pStyle w:val="2"/>
        <w:spacing w:line="261" w:lineRule="auto"/>
      </w:pPr>
    </w:p>
    <w:p w14:paraId="77A4D7C0">
      <w:pPr>
        <w:pStyle w:val="2"/>
        <w:spacing w:line="262" w:lineRule="auto"/>
      </w:pPr>
    </w:p>
    <w:p w14:paraId="47CD7C35">
      <w:pPr>
        <w:pStyle w:val="2"/>
        <w:spacing w:line="262" w:lineRule="auto"/>
      </w:pPr>
    </w:p>
    <w:p w14:paraId="4B80CB13">
      <w:pPr>
        <w:pStyle w:val="2"/>
        <w:spacing w:line="262" w:lineRule="auto"/>
      </w:pPr>
    </w:p>
    <w:p w14:paraId="3103E093">
      <w:pPr>
        <w:pStyle w:val="2"/>
        <w:spacing w:line="262" w:lineRule="auto"/>
      </w:pPr>
    </w:p>
    <w:p w14:paraId="5A259C74">
      <w:pPr>
        <w:spacing w:before="69" w:line="350" w:lineRule="auto"/>
        <w:ind w:left="881" w:right="71" w:hanging="855"/>
        <w:rPr>
          <w:rFonts w:ascii="宋体" w:hAnsi="宋体" w:eastAsia="宋体" w:cs="宋体"/>
          <w:sz w:val="21"/>
          <w:szCs w:val="21"/>
        </w:rPr>
      </w:pPr>
      <w:r>
        <w:rPr>
          <w:rFonts w:ascii="宋体" w:hAnsi="宋体" w:eastAsia="宋体" w:cs="宋体"/>
          <w:spacing w:val="-2"/>
          <w:sz w:val="21"/>
          <w:szCs w:val="21"/>
        </w:rPr>
        <w:t>备注：1.本分包意向协议书适用于政府采购工程，可以分开签署。协议书由委托代</w:t>
      </w:r>
      <w:r>
        <w:rPr>
          <w:rFonts w:ascii="宋体" w:hAnsi="宋体" w:eastAsia="宋体" w:cs="宋体"/>
          <w:spacing w:val="-3"/>
          <w:sz w:val="21"/>
          <w:szCs w:val="21"/>
        </w:rPr>
        <w:t>理人签字的，应附法定代表人签字的授权委托书。</w:t>
      </w:r>
    </w:p>
    <w:p w14:paraId="5D11D4F8">
      <w:pPr>
        <w:spacing w:before="1" w:line="356" w:lineRule="auto"/>
        <w:ind w:left="884" w:right="70" w:hanging="227"/>
        <w:rPr>
          <w:rFonts w:ascii="宋体" w:hAnsi="宋体" w:eastAsia="宋体" w:cs="宋体"/>
          <w:sz w:val="21"/>
          <w:szCs w:val="21"/>
        </w:rPr>
      </w:pPr>
      <w:r>
        <w:rPr>
          <w:rFonts w:ascii="宋体" w:hAnsi="宋体" w:eastAsia="宋体" w:cs="宋体"/>
          <w:spacing w:val="-2"/>
          <w:sz w:val="21"/>
          <w:szCs w:val="21"/>
        </w:rPr>
        <w:t>2.政府采购工程投标人未采用向中小（小微）企业分包的形式参</w:t>
      </w:r>
      <w:r>
        <w:rPr>
          <w:rFonts w:ascii="宋体" w:hAnsi="宋体" w:eastAsia="宋体" w:cs="宋体"/>
          <w:spacing w:val="-3"/>
          <w:sz w:val="21"/>
          <w:szCs w:val="21"/>
        </w:rPr>
        <w:t>加投标的，投标文件</w:t>
      </w:r>
      <w:r>
        <w:rPr>
          <w:rFonts w:ascii="宋体" w:hAnsi="宋体" w:eastAsia="宋体" w:cs="宋体"/>
          <w:spacing w:val="-2"/>
          <w:sz w:val="21"/>
          <w:szCs w:val="21"/>
        </w:rPr>
        <w:t>中不需分包意向协议书，也无须盖单位章和</w:t>
      </w:r>
      <w:r>
        <w:rPr>
          <w:rFonts w:ascii="宋体" w:hAnsi="宋体" w:eastAsia="宋体" w:cs="宋体"/>
          <w:spacing w:val="-3"/>
          <w:sz w:val="21"/>
          <w:szCs w:val="21"/>
        </w:rPr>
        <w:t>签字。</w:t>
      </w:r>
    </w:p>
    <w:p w14:paraId="101BAF4A">
      <w:pPr>
        <w:spacing w:before="5" w:line="351" w:lineRule="auto"/>
        <w:ind w:left="863" w:right="69" w:hanging="205"/>
        <w:rPr>
          <w:rFonts w:ascii="宋体" w:hAnsi="宋体" w:eastAsia="宋体" w:cs="宋体"/>
          <w:sz w:val="21"/>
          <w:szCs w:val="21"/>
        </w:rPr>
      </w:pPr>
      <w:r>
        <w:rPr>
          <w:rFonts w:ascii="宋体" w:hAnsi="宋体" w:eastAsia="宋体" w:cs="宋体"/>
          <w:spacing w:val="-2"/>
          <w:sz w:val="21"/>
          <w:szCs w:val="21"/>
        </w:rPr>
        <w:t>3.政府采购工程部分预留专门面向中小企业采购的项目，招标</w:t>
      </w:r>
      <w:r>
        <w:rPr>
          <w:rFonts w:ascii="宋体" w:hAnsi="宋体" w:eastAsia="宋体" w:cs="宋体"/>
          <w:spacing w:val="-3"/>
          <w:sz w:val="21"/>
          <w:szCs w:val="21"/>
        </w:rPr>
        <w:t>人要求大企业向中小企</w:t>
      </w:r>
      <w:r>
        <w:rPr>
          <w:rFonts w:ascii="宋体" w:hAnsi="宋体" w:eastAsia="宋体" w:cs="宋体"/>
          <w:spacing w:val="-2"/>
          <w:sz w:val="21"/>
          <w:szCs w:val="21"/>
        </w:rPr>
        <w:t>业分包的形式参加投标，且接受分包的中小企业承担的部分</w:t>
      </w:r>
      <w:r>
        <w:rPr>
          <w:rFonts w:ascii="宋体" w:hAnsi="宋体" w:eastAsia="宋体" w:cs="宋体"/>
          <w:spacing w:val="-3"/>
          <w:sz w:val="21"/>
          <w:szCs w:val="21"/>
        </w:rPr>
        <w:t>达到一定比例的，分包</w:t>
      </w:r>
      <w:r>
        <w:rPr>
          <w:rFonts w:ascii="宋体" w:hAnsi="宋体" w:eastAsia="宋体" w:cs="宋体"/>
          <w:spacing w:val="-2"/>
          <w:sz w:val="21"/>
          <w:szCs w:val="21"/>
        </w:rPr>
        <w:t>意向协议书应当按照第二章投标人须知附录二“政府采购工</w:t>
      </w:r>
      <w:r>
        <w:rPr>
          <w:rFonts w:ascii="宋体" w:hAnsi="宋体" w:eastAsia="宋体" w:cs="宋体"/>
          <w:spacing w:val="-3"/>
          <w:sz w:val="21"/>
          <w:szCs w:val="21"/>
        </w:rPr>
        <w:t>程预留工作及金额”的范围，明确接受分包的中小企业承担的合同工作内容、合同金额及合同金额与项目</w:t>
      </w:r>
      <w:r>
        <w:rPr>
          <w:rFonts w:ascii="宋体" w:hAnsi="宋体" w:eastAsia="宋体" w:cs="宋体"/>
          <w:spacing w:val="-4"/>
          <w:sz w:val="21"/>
          <w:szCs w:val="21"/>
        </w:rPr>
        <w:t>合同金额的占比。同时，</w:t>
      </w:r>
      <w:r>
        <w:rPr>
          <w:rFonts w:ascii="宋体" w:hAnsi="宋体" w:eastAsia="宋体" w:cs="宋体"/>
          <w:spacing w:val="-43"/>
          <w:sz w:val="21"/>
          <w:szCs w:val="21"/>
        </w:rPr>
        <w:t xml:space="preserve"> </w:t>
      </w:r>
      <w:r>
        <w:rPr>
          <w:rFonts w:ascii="宋体" w:hAnsi="宋体" w:eastAsia="宋体" w:cs="宋体"/>
          <w:spacing w:val="-4"/>
          <w:sz w:val="21"/>
          <w:szCs w:val="21"/>
        </w:rPr>
        <w:t>声明接受分包的中小企业与分包企业之间是否存在直接控</w:t>
      </w:r>
      <w:r>
        <w:rPr>
          <w:rFonts w:ascii="宋体" w:hAnsi="宋体" w:eastAsia="宋体" w:cs="宋体"/>
          <w:spacing w:val="-5"/>
          <w:sz w:val="21"/>
          <w:szCs w:val="21"/>
        </w:rPr>
        <w:t>股、管理关系。</w:t>
      </w:r>
    </w:p>
    <w:p w14:paraId="4023192B">
      <w:pPr>
        <w:spacing w:before="2" w:line="352" w:lineRule="auto"/>
        <w:ind w:left="863" w:right="69" w:hanging="210"/>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4.政府采购工程未预留份额专门面向中小企业采购的项目，招标人允许大</w:t>
      </w:r>
      <w:r>
        <w:rPr>
          <w:rFonts w:ascii="宋体" w:hAnsi="宋体" w:eastAsia="宋体" w:cs="宋体"/>
          <w:spacing w:val="-3"/>
          <w:sz w:val="21"/>
          <w:szCs w:val="21"/>
        </w:rPr>
        <w:t>中型企业以</w:t>
      </w:r>
      <w:r>
        <w:rPr>
          <w:rFonts w:ascii="宋体" w:hAnsi="宋体" w:eastAsia="宋体" w:cs="宋体"/>
          <w:spacing w:val="-2"/>
          <w:sz w:val="21"/>
          <w:szCs w:val="21"/>
        </w:rPr>
        <w:t>向一家或者多家小微企业分包的形式参加投标，且接受分包</w:t>
      </w:r>
      <w:r>
        <w:rPr>
          <w:rFonts w:ascii="宋体" w:hAnsi="宋体" w:eastAsia="宋体" w:cs="宋体"/>
          <w:spacing w:val="-3"/>
          <w:sz w:val="21"/>
          <w:szCs w:val="21"/>
        </w:rPr>
        <w:t>的小微企业承担的部分</w:t>
      </w:r>
      <w:r>
        <w:rPr>
          <w:rFonts w:ascii="宋体" w:hAnsi="宋体" w:eastAsia="宋体" w:cs="宋体"/>
          <w:spacing w:val="-2"/>
          <w:sz w:val="21"/>
          <w:szCs w:val="21"/>
        </w:rPr>
        <w:t>达到一定比例可享受价格扣除或增加价格分优惠政策的，分</w:t>
      </w:r>
      <w:r>
        <w:rPr>
          <w:rFonts w:ascii="宋体" w:hAnsi="宋体" w:eastAsia="宋体" w:cs="宋体"/>
          <w:spacing w:val="-3"/>
          <w:sz w:val="21"/>
          <w:szCs w:val="21"/>
        </w:rPr>
        <w:t>包意向协议书应当明确</w:t>
      </w:r>
      <w:r>
        <w:rPr>
          <w:rFonts w:ascii="宋体" w:hAnsi="宋体" w:eastAsia="宋体" w:cs="宋体"/>
          <w:spacing w:val="-2"/>
          <w:sz w:val="21"/>
          <w:szCs w:val="21"/>
        </w:rPr>
        <w:t>接受分包的小微企业承担的合同工作内容、合同金额及合同</w:t>
      </w:r>
      <w:r>
        <w:rPr>
          <w:rFonts w:ascii="宋体" w:hAnsi="宋体" w:eastAsia="宋体" w:cs="宋体"/>
          <w:spacing w:val="-3"/>
          <w:sz w:val="21"/>
          <w:szCs w:val="21"/>
        </w:rPr>
        <w:t>金额与项目合同金额的</w:t>
      </w:r>
      <w:r>
        <w:rPr>
          <w:rFonts w:ascii="宋体" w:hAnsi="宋体" w:eastAsia="宋体" w:cs="宋体"/>
          <w:spacing w:val="-2"/>
          <w:sz w:val="21"/>
          <w:szCs w:val="21"/>
        </w:rPr>
        <w:t>占比。同时，声明接受分包的小微企业与分包企业</w:t>
      </w:r>
      <w:r>
        <w:rPr>
          <w:rFonts w:ascii="宋体" w:hAnsi="宋体" w:eastAsia="宋体" w:cs="宋体"/>
          <w:spacing w:val="-3"/>
          <w:sz w:val="21"/>
          <w:szCs w:val="21"/>
        </w:rPr>
        <w:t>之间是否存在直接控股、管理关</w:t>
      </w:r>
      <w:r>
        <w:rPr>
          <w:rFonts w:ascii="宋体" w:hAnsi="宋体" w:eastAsia="宋体" w:cs="宋体"/>
          <w:spacing w:val="-10"/>
          <w:sz w:val="21"/>
          <w:szCs w:val="21"/>
        </w:rPr>
        <w:t>系。</w:t>
      </w:r>
    </w:p>
    <w:p w14:paraId="2DB0BFF0">
      <w:pPr>
        <w:spacing w:line="352" w:lineRule="auto"/>
        <w:rPr>
          <w:rFonts w:ascii="宋体" w:hAnsi="宋体" w:eastAsia="宋体" w:cs="宋体"/>
          <w:sz w:val="21"/>
          <w:szCs w:val="21"/>
        </w:rPr>
        <w:sectPr>
          <w:footerReference r:id="rId314" w:type="default"/>
          <w:pgSz w:w="11910" w:h="16845"/>
          <w:pgMar w:top="400" w:right="1709" w:bottom="1110" w:left="1786" w:header="0" w:footer="883" w:gutter="0"/>
          <w:cols w:space="720" w:num="1"/>
        </w:sectPr>
      </w:pPr>
    </w:p>
    <w:p w14:paraId="175DEBB7">
      <w:pPr>
        <w:pStyle w:val="2"/>
        <w:spacing w:line="275" w:lineRule="auto"/>
      </w:pPr>
    </w:p>
    <w:p w14:paraId="5A491650">
      <w:pPr>
        <w:pStyle w:val="2"/>
        <w:spacing w:line="275" w:lineRule="auto"/>
      </w:pPr>
    </w:p>
    <w:p w14:paraId="50AD9D47">
      <w:pPr>
        <w:pStyle w:val="2"/>
        <w:spacing w:line="275" w:lineRule="auto"/>
      </w:pPr>
    </w:p>
    <w:p w14:paraId="4AF4F334">
      <w:pPr>
        <w:pStyle w:val="2"/>
        <w:spacing w:line="276" w:lineRule="auto"/>
      </w:pPr>
    </w:p>
    <w:p w14:paraId="346C6C41">
      <w:pPr>
        <w:spacing w:before="69" w:line="351" w:lineRule="auto"/>
        <w:ind w:left="863" w:hanging="205"/>
        <w:rPr>
          <w:rFonts w:ascii="宋体" w:hAnsi="宋体" w:eastAsia="宋体" w:cs="宋体"/>
          <w:sz w:val="21"/>
          <w:szCs w:val="21"/>
        </w:rPr>
      </w:pPr>
      <w:r>
        <w:rPr>
          <w:rFonts w:ascii="宋体" w:hAnsi="宋体" w:eastAsia="宋体" w:cs="宋体"/>
          <w:spacing w:val="-2"/>
          <w:sz w:val="21"/>
          <w:szCs w:val="21"/>
        </w:rPr>
        <w:t>5.分包意向协议书后附接受分包的中小（小微）企</w:t>
      </w:r>
      <w:r>
        <w:rPr>
          <w:rFonts w:ascii="宋体" w:hAnsi="宋体" w:eastAsia="宋体" w:cs="宋体"/>
          <w:spacing w:val="-3"/>
          <w:sz w:val="21"/>
          <w:szCs w:val="21"/>
        </w:rPr>
        <w:t>业，能够承担分包工作所需的有效</w:t>
      </w:r>
      <w:r>
        <w:rPr>
          <w:rFonts w:ascii="宋体" w:hAnsi="宋体" w:eastAsia="宋体" w:cs="宋体"/>
          <w:spacing w:val="-8"/>
          <w:sz w:val="21"/>
          <w:szCs w:val="21"/>
        </w:rPr>
        <w:t>的营业执照、企业资质证书（如需）、安全生产许可证（如需）、项目负责人资格证</w:t>
      </w:r>
      <w:r>
        <w:rPr>
          <w:rFonts w:ascii="宋体" w:hAnsi="宋体" w:eastAsia="宋体" w:cs="宋体"/>
          <w:spacing w:val="-5"/>
          <w:sz w:val="21"/>
          <w:szCs w:val="21"/>
        </w:rPr>
        <w:t>件的扫描件。</w:t>
      </w:r>
    </w:p>
    <w:p w14:paraId="42C2C328">
      <w:pPr>
        <w:spacing w:line="351" w:lineRule="auto"/>
        <w:rPr>
          <w:rFonts w:ascii="宋体" w:hAnsi="宋体" w:eastAsia="宋体" w:cs="宋体"/>
          <w:sz w:val="21"/>
          <w:szCs w:val="21"/>
        </w:rPr>
        <w:sectPr>
          <w:footerReference r:id="rId315" w:type="default"/>
          <w:pgSz w:w="11910" w:h="16845"/>
          <w:pgMar w:top="400" w:right="1767" w:bottom="1110" w:left="1786" w:header="0" w:footer="883" w:gutter="0"/>
          <w:cols w:space="720" w:num="1"/>
        </w:sectPr>
      </w:pPr>
    </w:p>
    <w:p w14:paraId="57F69D0F">
      <w:pPr>
        <w:pStyle w:val="2"/>
        <w:spacing w:line="286" w:lineRule="auto"/>
      </w:pPr>
    </w:p>
    <w:p w14:paraId="67B15A8B">
      <w:pPr>
        <w:pStyle w:val="2"/>
        <w:spacing w:line="286" w:lineRule="auto"/>
      </w:pPr>
    </w:p>
    <w:p w14:paraId="401082A6">
      <w:pPr>
        <w:pStyle w:val="2"/>
        <w:spacing w:line="286" w:lineRule="auto"/>
      </w:pPr>
    </w:p>
    <w:p w14:paraId="32C3D08A">
      <w:pPr>
        <w:pStyle w:val="2"/>
        <w:spacing w:line="286" w:lineRule="auto"/>
      </w:pPr>
    </w:p>
    <w:p w14:paraId="0F52AE62">
      <w:pPr>
        <w:pStyle w:val="2"/>
        <w:spacing w:line="287" w:lineRule="auto"/>
      </w:pPr>
    </w:p>
    <w:p w14:paraId="31F007F0">
      <w:pPr>
        <w:spacing w:before="91" w:line="222" w:lineRule="auto"/>
        <w:ind w:left="2904"/>
        <w:outlineLvl w:val="1"/>
        <w:rPr>
          <w:rFonts w:ascii="黑体" w:hAnsi="黑体" w:eastAsia="黑体" w:cs="黑体"/>
          <w:sz w:val="28"/>
          <w:szCs w:val="28"/>
        </w:rPr>
      </w:pPr>
      <w:bookmarkStart w:id="627" w:name="bookmark580"/>
      <w:bookmarkEnd w:id="627"/>
      <w:r>
        <w:rPr>
          <w:rFonts w:ascii="黑体" w:hAnsi="黑体" w:eastAsia="黑体" w:cs="黑体"/>
          <w:spacing w:val="4"/>
          <w:sz w:val="28"/>
          <w:szCs w:val="28"/>
        </w:rPr>
        <w:t>六、中小企业声明函</w:t>
      </w:r>
    </w:p>
    <w:p w14:paraId="28C8602D">
      <w:pPr>
        <w:pStyle w:val="2"/>
        <w:spacing w:line="241" w:lineRule="auto"/>
      </w:pPr>
    </w:p>
    <w:p w14:paraId="667EF06F">
      <w:pPr>
        <w:pStyle w:val="2"/>
        <w:spacing w:line="242" w:lineRule="auto"/>
      </w:pPr>
    </w:p>
    <w:p w14:paraId="54B4EFC2">
      <w:pPr>
        <w:tabs>
          <w:tab w:val="left" w:pos="222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1CB12E22">
      <w:pPr>
        <w:spacing w:before="154" w:line="346" w:lineRule="auto"/>
        <w:ind w:left="23" w:right="43" w:firstLine="422"/>
        <w:jc w:val="both"/>
        <w:rPr>
          <w:rFonts w:ascii="宋体" w:hAnsi="宋体" w:eastAsia="宋体" w:cs="宋体"/>
          <w:sz w:val="21"/>
          <w:szCs w:val="21"/>
        </w:rPr>
      </w:pPr>
      <w:r>
        <w:rPr>
          <w:rFonts w:ascii="宋体" w:hAnsi="宋体" w:eastAsia="宋体" w:cs="宋体"/>
          <w:spacing w:val="-12"/>
          <w:sz w:val="21"/>
          <w:szCs w:val="21"/>
        </w:rPr>
        <w:t>本公司（联合体）郑重声明，根据《政府采购促进中小企业发展管理办法》（财</w:t>
      </w:r>
      <w:r>
        <w:rPr>
          <w:rFonts w:ascii="宋体" w:hAnsi="宋体" w:eastAsia="宋体" w:cs="宋体"/>
          <w:spacing w:val="-13"/>
          <w:sz w:val="21"/>
          <w:szCs w:val="21"/>
        </w:rPr>
        <w:t>库﹝2020﹞</w:t>
      </w:r>
      <w:r>
        <w:rPr>
          <w:rFonts w:ascii="宋体" w:hAnsi="宋体" w:eastAsia="宋体" w:cs="宋体"/>
          <w:sz w:val="21"/>
          <w:szCs w:val="21"/>
        </w:rPr>
        <w:t xml:space="preserve"> </w:t>
      </w:r>
      <w:r>
        <w:rPr>
          <w:rFonts w:ascii="宋体" w:hAnsi="宋体" w:eastAsia="宋体" w:cs="宋体"/>
          <w:spacing w:val="-16"/>
          <w:sz w:val="21"/>
          <w:szCs w:val="21"/>
        </w:rPr>
        <w:t>46 号）的规定，本公司（联合体）参加</w:t>
      </w:r>
      <w:r>
        <w:rPr>
          <w:rFonts w:ascii="宋体" w:hAnsi="宋体" w:eastAsia="宋体" w:cs="宋体"/>
          <w:sz w:val="21"/>
          <w:szCs w:val="21"/>
          <w:u w:val="single" w:color="auto"/>
        </w:rPr>
        <w:t xml:space="preserve">      </w:t>
      </w:r>
      <w:r>
        <w:rPr>
          <w:rFonts w:ascii="宋体" w:hAnsi="宋体" w:eastAsia="宋体" w:cs="宋体"/>
          <w:spacing w:val="-16"/>
          <w:sz w:val="21"/>
          <w:szCs w:val="21"/>
        </w:rPr>
        <w:t>（招标人名</w:t>
      </w:r>
      <w:r>
        <w:rPr>
          <w:rFonts w:ascii="宋体" w:hAnsi="宋体" w:eastAsia="宋体" w:cs="宋体"/>
          <w:spacing w:val="-17"/>
          <w:sz w:val="21"/>
          <w:szCs w:val="21"/>
        </w:rPr>
        <w:t>称）的</w:t>
      </w:r>
      <w:r>
        <w:rPr>
          <w:rFonts w:ascii="宋体" w:hAnsi="宋体" w:eastAsia="宋体" w:cs="宋体"/>
          <w:sz w:val="21"/>
          <w:szCs w:val="21"/>
          <w:u w:val="single" w:color="auto"/>
        </w:rPr>
        <w:t xml:space="preserve">       </w:t>
      </w:r>
      <w:r>
        <w:rPr>
          <w:rFonts w:ascii="宋体" w:hAnsi="宋体" w:eastAsia="宋体" w:cs="宋体"/>
          <w:spacing w:val="-17"/>
          <w:sz w:val="21"/>
          <w:szCs w:val="21"/>
        </w:rPr>
        <w:t>（项目名称</w:t>
      </w:r>
      <w:r>
        <w:rPr>
          <w:rFonts w:ascii="宋体" w:hAnsi="宋体" w:eastAsia="宋体" w:cs="宋体"/>
          <w:spacing w:val="-51"/>
          <w:sz w:val="21"/>
          <w:szCs w:val="21"/>
        </w:rPr>
        <w:t>）</w:t>
      </w:r>
      <w:r>
        <w:rPr>
          <w:rFonts w:ascii="宋体" w:hAnsi="宋体" w:eastAsia="宋体" w:cs="宋体"/>
          <w:sz w:val="21"/>
          <w:szCs w:val="21"/>
          <w:u w:val="single" w:color="auto"/>
        </w:rPr>
        <w:t xml:space="preserve">     </w:t>
      </w:r>
      <w:r>
        <w:rPr>
          <w:rFonts w:ascii="宋体" w:hAnsi="宋体" w:eastAsia="宋体" w:cs="宋体"/>
          <w:spacing w:val="-51"/>
          <w:sz w:val="21"/>
          <w:szCs w:val="21"/>
        </w:rPr>
        <w:t>（</w:t>
      </w:r>
      <w:r>
        <w:rPr>
          <w:rFonts w:ascii="宋体" w:hAnsi="宋体" w:eastAsia="宋体" w:cs="宋体"/>
          <w:spacing w:val="-17"/>
          <w:sz w:val="21"/>
          <w:szCs w:val="21"/>
        </w:rPr>
        <w:t>标</w:t>
      </w:r>
      <w:r>
        <w:rPr>
          <w:rFonts w:ascii="宋体" w:hAnsi="宋体" w:eastAsia="宋体" w:cs="宋体"/>
          <w:spacing w:val="-4"/>
          <w:sz w:val="21"/>
          <w:szCs w:val="21"/>
        </w:rPr>
        <w:t>段名称</w:t>
      </w:r>
      <w:r>
        <w:rPr>
          <w:rFonts w:ascii="宋体" w:hAnsi="宋体" w:eastAsia="宋体" w:cs="宋体"/>
          <w:spacing w:val="-30"/>
          <w:sz w:val="21"/>
          <w:szCs w:val="21"/>
        </w:rPr>
        <w:t>）（</w:t>
      </w:r>
      <w:r>
        <w:rPr>
          <w:rFonts w:ascii="宋体" w:hAnsi="宋体" w:eastAsia="宋体" w:cs="宋体"/>
          <w:spacing w:val="-4"/>
          <w:sz w:val="21"/>
          <w:szCs w:val="21"/>
        </w:rPr>
        <w:t>以下简称本工程）施工招标投标活动，本工程招标范围内的</w:t>
      </w:r>
      <w:r>
        <w:rPr>
          <w:rFonts w:ascii="宋体" w:hAnsi="宋体" w:eastAsia="宋体" w:cs="宋体"/>
          <w:spacing w:val="-4"/>
          <w:sz w:val="21"/>
          <w:szCs w:val="21"/>
          <w:u w:val="single" w:color="auto"/>
        </w:rPr>
        <w:t xml:space="preserve">    全部／部分   </w:t>
      </w:r>
      <w:r>
        <w:rPr>
          <w:rFonts w:ascii="宋体" w:hAnsi="宋体" w:eastAsia="宋体" w:cs="宋体"/>
          <w:spacing w:val="-71"/>
          <w:sz w:val="21"/>
          <w:szCs w:val="21"/>
        </w:rPr>
        <w:t xml:space="preserve"> </w:t>
      </w:r>
      <w:r>
        <w:rPr>
          <w:rFonts w:ascii="宋体" w:hAnsi="宋体" w:eastAsia="宋体" w:cs="宋体"/>
          <w:spacing w:val="-4"/>
          <w:sz w:val="21"/>
          <w:szCs w:val="21"/>
        </w:rPr>
        <w:t>内</w:t>
      </w:r>
      <w:r>
        <w:rPr>
          <w:rFonts w:ascii="宋体" w:hAnsi="宋体" w:eastAsia="宋体" w:cs="宋体"/>
          <w:spacing w:val="-2"/>
          <w:sz w:val="21"/>
          <w:szCs w:val="21"/>
        </w:rPr>
        <w:t>容为符合政策要求的中小企业承建（承接）</w:t>
      </w:r>
      <w:r>
        <w:rPr>
          <w:rFonts w:ascii="宋体" w:hAnsi="宋体" w:eastAsia="宋体" w:cs="宋体"/>
          <w:spacing w:val="-3"/>
          <w:sz w:val="21"/>
          <w:szCs w:val="21"/>
        </w:rPr>
        <w:t>。相关企业（含联合体中的中小企业、签订分包意向协议的中小企业）的具体情况如下：</w:t>
      </w:r>
    </w:p>
    <w:p w14:paraId="61D102C3">
      <w:pPr>
        <w:spacing w:before="1" w:line="347" w:lineRule="auto"/>
        <w:ind w:left="24" w:firstLine="436"/>
        <w:rPr>
          <w:rFonts w:ascii="宋体" w:hAnsi="宋体" w:eastAsia="宋体" w:cs="宋体"/>
          <w:sz w:val="21"/>
          <w:szCs w:val="21"/>
        </w:rPr>
      </w:pPr>
      <w:r>
        <w:rPr>
          <w:rFonts w:ascii="宋体" w:hAnsi="宋体" w:eastAsia="宋体" w:cs="宋体"/>
          <w:spacing w:val="-4"/>
          <w:sz w:val="21"/>
          <w:szCs w:val="21"/>
        </w:rPr>
        <w:t>1.</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（工作内容名称</w:t>
      </w:r>
      <w:r>
        <w:rPr>
          <w:rFonts w:ascii="宋体" w:hAnsi="宋体" w:eastAsia="宋体" w:cs="宋体"/>
          <w:spacing w:val="-12"/>
          <w:sz w:val="21"/>
          <w:szCs w:val="21"/>
        </w:rPr>
        <w:t>）</w:t>
      </w:r>
      <w:r>
        <w:rPr>
          <w:rFonts w:ascii="宋体" w:hAnsi="宋体" w:eastAsia="宋体" w:cs="宋体"/>
          <w:spacing w:val="3"/>
          <w:sz w:val="21"/>
          <w:szCs w:val="21"/>
        </w:rPr>
        <w:t xml:space="preserve"> </w:t>
      </w:r>
      <w:r>
        <w:rPr>
          <w:rFonts w:ascii="宋体" w:hAnsi="宋体" w:eastAsia="宋体" w:cs="宋体"/>
          <w:spacing w:val="-12"/>
          <w:sz w:val="21"/>
          <w:szCs w:val="21"/>
        </w:rPr>
        <w:t>，</w:t>
      </w:r>
      <w:r>
        <w:rPr>
          <w:rFonts w:ascii="宋体" w:hAnsi="宋体" w:eastAsia="宋体" w:cs="宋体"/>
          <w:spacing w:val="-4"/>
          <w:sz w:val="21"/>
          <w:szCs w:val="21"/>
        </w:rPr>
        <w:t>属于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
          <w:sz w:val="21"/>
          <w:szCs w:val="21"/>
        </w:rPr>
        <w:t>（招标文件中明确的</w:t>
      </w:r>
      <w:r>
        <w:rPr>
          <w:rFonts w:ascii="宋体" w:hAnsi="宋体" w:eastAsia="宋体" w:cs="宋体"/>
          <w:spacing w:val="-5"/>
          <w:sz w:val="21"/>
          <w:szCs w:val="21"/>
        </w:rPr>
        <w:t>所属行业</w:t>
      </w:r>
      <w:r>
        <w:rPr>
          <w:rFonts w:ascii="宋体" w:hAnsi="宋体" w:eastAsia="宋体" w:cs="宋体"/>
          <w:spacing w:val="-12"/>
          <w:sz w:val="21"/>
          <w:szCs w:val="21"/>
        </w:rPr>
        <w:t>）；</w:t>
      </w:r>
      <w:r>
        <w:rPr>
          <w:rFonts w:ascii="宋体" w:hAnsi="宋体" w:eastAsia="宋体" w:cs="宋体"/>
          <w:spacing w:val="-9"/>
          <w:sz w:val="21"/>
          <w:szCs w:val="21"/>
        </w:rPr>
        <w:t>承建（承接）企业为</w:t>
      </w:r>
      <w:r>
        <w:rPr>
          <w:rFonts w:ascii="宋体" w:hAnsi="宋体" w:eastAsia="宋体" w:cs="宋体"/>
          <w:sz w:val="21"/>
          <w:szCs w:val="21"/>
          <w:u w:val="single" w:color="auto"/>
        </w:rPr>
        <w:t xml:space="preserve">              </w:t>
      </w:r>
      <w:r>
        <w:rPr>
          <w:rFonts w:ascii="宋体" w:hAnsi="宋体" w:eastAsia="宋体" w:cs="宋体"/>
          <w:spacing w:val="-9"/>
          <w:sz w:val="21"/>
          <w:szCs w:val="21"/>
        </w:rPr>
        <w:t>（企业名称</w:t>
      </w:r>
      <w:r>
        <w:rPr>
          <w:rFonts w:ascii="宋体" w:hAnsi="宋体" w:eastAsia="宋体" w:cs="宋体"/>
          <w:spacing w:val="-32"/>
          <w:sz w:val="21"/>
          <w:szCs w:val="21"/>
        </w:rPr>
        <w:t>）</w:t>
      </w:r>
      <w:r>
        <w:rPr>
          <w:rFonts w:ascii="宋体" w:hAnsi="宋体" w:eastAsia="宋体" w:cs="宋体"/>
          <w:spacing w:val="-59"/>
          <w:sz w:val="21"/>
          <w:szCs w:val="21"/>
        </w:rPr>
        <w:t xml:space="preserve"> </w:t>
      </w:r>
      <w:r>
        <w:rPr>
          <w:rFonts w:ascii="宋体" w:hAnsi="宋体" w:eastAsia="宋体" w:cs="宋体"/>
          <w:spacing w:val="-32"/>
          <w:sz w:val="21"/>
          <w:szCs w:val="21"/>
        </w:rPr>
        <w:t>，</w:t>
      </w:r>
      <w:r>
        <w:rPr>
          <w:rFonts w:ascii="宋体" w:hAnsi="宋体" w:eastAsia="宋体" w:cs="宋体"/>
          <w:spacing w:val="-9"/>
          <w:sz w:val="21"/>
          <w:szCs w:val="21"/>
        </w:rPr>
        <w:t>从业人员</w:t>
      </w:r>
      <w:r>
        <w:rPr>
          <w:rFonts w:ascii="宋体" w:hAnsi="宋体" w:eastAsia="宋体" w:cs="宋体"/>
          <w:spacing w:val="-104"/>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9"/>
          <w:sz w:val="21"/>
          <w:szCs w:val="21"/>
        </w:rPr>
        <w:t xml:space="preserve"> 人，营业收入</w:t>
      </w:r>
      <w:r>
        <w:rPr>
          <w:rFonts w:ascii="宋体" w:hAnsi="宋体" w:eastAsia="宋体" w:cs="宋体"/>
          <w:spacing w:val="-10"/>
          <w:sz w:val="21"/>
          <w:szCs w:val="21"/>
        </w:rPr>
        <w:t>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万</w:t>
      </w:r>
      <w:r>
        <w:rPr>
          <w:rFonts w:ascii="宋体" w:hAnsi="宋体" w:eastAsia="宋体" w:cs="宋体"/>
          <w:sz w:val="21"/>
          <w:szCs w:val="21"/>
        </w:rPr>
        <w:t>元，资产总额为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中型</w:t>
      </w:r>
      <w:r>
        <w:rPr>
          <w:rFonts w:ascii="宋体" w:hAnsi="宋体" w:eastAsia="宋体" w:cs="宋体"/>
          <w:spacing w:val="-1"/>
          <w:sz w:val="21"/>
          <w:szCs w:val="21"/>
          <w:u w:val="single" w:color="auto"/>
        </w:rPr>
        <w:t xml:space="preserve">企业／小型企业／微型企业 </w:t>
      </w:r>
      <w:r>
        <w:rPr>
          <w:rFonts w:ascii="宋体" w:hAnsi="宋体" w:eastAsia="宋体" w:cs="宋体"/>
          <w:spacing w:val="-1"/>
          <w:sz w:val="21"/>
          <w:szCs w:val="21"/>
        </w:rPr>
        <w:t>；</w:t>
      </w:r>
    </w:p>
    <w:p w14:paraId="4164E50B">
      <w:pPr>
        <w:spacing w:before="1" w:line="344" w:lineRule="auto"/>
        <w:ind w:left="24" w:firstLine="423"/>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（工作内容名称</w:t>
      </w:r>
      <w:r>
        <w:rPr>
          <w:rFonts w:ascii="宋体" w:hAnsi="宋体" w:eastAsia="宋体" w:cs="宋体"/>
          <w:spacing w:val="-8"/>
          <w:sz w:val="21"/>
          <w:szCs w:val="21"/>
        </w:rPr>
        <w:t>）</w:t>
      </w:r>
      <w:r>
        <w:rPr>
          <w:rFonts w:ascii="宋体" w:hAnsi="宋体" w:eastAsia="宋体" w:cs="宋体"/>
          <w:spacing w:val="4"/>
          <w:sz w:val="21"/>
          <w:szCs w:val="21"/>
        </w:rPr>
        <w:t xml:space="preserve"> </w:t>
      </w:r>
      <w:r>
        <w:rPr>
          <w:rFonts w:ascii="宋体" w:hAnsi="宋体" w:eastAsia="宋体" w:cs="宋体"/>
          <w:spacing w:val="-8"/>
          <w:sz w:val="21"/>
          <w:szCs w:val="21"/>
        </w:rPr>
        <w:t>，</w:t>
      </w:r>
      <w:r>
        <w:rPr>
          <w:rFonts w:ascii="宋体" w:hAnsi="宋体" w:eastAsia="宋体" w:cs="宋体"/>
          <w:spacing w:val="-3"/>
          <w:sz w:val="21"/>
          <w:szCs w:val="21"/>
        </w:rPr>
        <w:t>属于</w:t>
      </w:r>
      <w:r>
        <w:rPr>
          <w:rFonts w:ascii="宋体" w:hAnsi="宋体" w:eastAsia="宋体" w:cs="宋体"/>
          <w:spacing w:val="-93"/>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（招标文件中明确的所属行业</w:t>
      </w:r>
      <w:r>
        <w:rPr>
          <w:rFonts w:ascii="宋体" w:hAnsi="宋体" w:eastAsia="宋体" w:cs="宋体"/>
          <w:spacing w:val="-8"/>
          <w:sz w:val="21"/>
          <w:szCs w:val="21"/>
        </w:rPr>
        <w:t>）；</w:t>
      </w:r>
      <w:r>
        <w:rPr>
          <w:rFonts w:ascii="宋体" w:hAnsi="宋体" w:eastAsia="宋体" w:cs="宋体"/>
          <w:spacing w:val="-9"/>
          <w:sz w:val="21"/>
          <w:szCs w:val="21"/>
        </w:rPr>
        <w:t>承建（承接）企业为</w:t>
      </w:r>
      <w:r>
        <w:rPr>
          <w:rFonts w:ascii="宋体" w:hAnsi="宋体" w:eastAsia="宋体" w:cs="宋体"/>
          <w:sz w:val="21"/>
          <w:szCs w:val="21"/>
          <w:u w:val="single" w:color="auto"/>
        </w:rPr>
        <w:t xml:space="preserve">              </w:t>
      </w:r>
      <w:r>
        <w:rPr>
          <w:rFonts w:ascii="宋体" w:hAnsi="宋体" w:eastAsia="宋体" w:cs="宋体"/>
          <w:spacing w:val="-9"/>
          <w:sz w:val="21"/>
          <w:szCs w:val="21"/>
        </w:rPr>
        <w:t>（企业名称</w:t>
      </w:r>
      <w:r>
        <w:rPr>
          <w:rFonts w:ascii="宋体" w:hAnsi="宋体" w:eastAsia="宋体" w:cs="宋体"/>
          <w:spacing w:val="-32"/>
          <w:sz w:val="21"/>
          <w:szCs w:val="21"/>
        </w:rPr>
        <w:t>）</w:t>
      </w:r>
      <w:r>
        <w:rPr>
          <w:rFonts w:ascii="宋体" w:hAnsi="宋体" w:eastAsia="宋体" w:cs="宋体"/>
          <w:spacing w:val="-59"/>
          <w:sz w:val="21"/>
          <w:szCs w:val="21"/>
        </w:rPr>
        <w:t xml:space="preserve"> </w:t>
      </w:r>
      <w:r>
        <w:rPr>
          <w:rFonts w:ascii="宋体" w:hAnsi="宋体" w:eastAsia="宋体" w:cs="宋体"/>
          <w:spacing w:val="-32"/>
          <w:sz w:val="21"/>
          <w:szCs w:val="21"/>
        </w:rPr>
        <w:t>，</w:t>
      </w:r>
      <w:r>
        <w:rPr>
          <w:rFonts w:ascii="宋体" w:hAnsi="宋体" w:eastAsia="宋体" w:cs="宋体"/>
          <w:spacing w:val="-9"/>
          <w:sz w:val="21"/>
          <w:szCs w:val="21"/>
        </w:rPr>
        <w:t>从业人员</w:t>
      </w:r>
      <w:r>
        <w:rPr>
          <w:rFonts w:ascii="宋体" w:hAnsi="宋体" w:eastAsia="宋体" w:cs="宋体"/>
          <w:spacing w:val="-104"/>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9"/>
          <w:sz w:val="21"/>
          <w:szCs w:val="21"/>
        </w:rPr>
        <w:t xml:space="preserve"> 人，营业收入</w:t>
      </w:r>
      <w:r>
        <w:rPr>
          <w:rFonts w:ascii="宋体" w:hAnsi="宋体" w:eastAsia="宋体" w:cs="宋体"/>
          <w:spacing w:val="-10"/>
          <w:sz w:val="21"/>
          <w:szCs w:val="21"/>
        </w:rPr>
        <w:t>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万</w:t>
      </w:r>
      <w:r>
        <w:rPr>
          <w:rFonts w:ascii="宋体" w:hAnsi="宋体" w:eastAsia="宋体" w:cs="宋体"/>
          <w:sz w:val="21"/>
          <w:szCs w:val="21"/>
        </w:rPr>
        <w:t>元，资产总额为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中型</w:t>
      </w:r>
      <w:r>
        <w:rPr>
          <w:rFonts w:ascii="宋体" w:hAnsi="宋体" w:eastAsia="宋体" w:cs="宋体"/>
          <w:spacing w:val="-1"/>
          <w:sz w:val="21"/>
          <w:szCs w:val="21"/>
          <w:u w:val="single" w:color="auto"/>
        </w:rPr>
        <w:t xml:space="preserve">企业／小型企业／微型企业 </w:t>
      </w:r>
      <w:r>
        <w:rPr>
          <w:rFonts w:ascii="宋体" w:hAnsi="宋体" w:eastAsia="宋体" w:cs="宋体"/>
          <w:spacing w:val="-1"/>
          <w:sz w:val="21"/>
          <w:szCs w:val="21"/>
        </w:rPr>
        <w:t>；</w:t>
      </w:r>
    </w:p>
    <w:p w14:paraId="37818D61">
      <w:pPr>
        <w:spacing w:before="10" w:line="331" w:lineRule="exact"/>
        <w:ind w:left="457"/>
        <w:rPr>
          <w:rFonts w:ascii="宋体" w:hAnsi="宋体" w:eastAsia="宋体" w:cs="宋体"/>
          <w:sz w:val="21"/>
          <w:szCs w:val="21"/>
        </w:rPr>
      </w:pPr>
      <w:r>
        <w:rPr>
          <w:rFonts w:ascii="宋体" w:hAnsi="宋体" w:eastAsia="宋体" w:cs="宋体"/>
          <w:spacing w:val="-6"/>
          <w:position w:val="2"/>
          <w:sz w:val="21"/>
          <w:szCs w:val="21"/>
        </w:rPr>
        <w:t>……</w:t>
      </w:r>
    </w:p>
    <w:p w14:paraId="0A6B47E7">
      <w:pPr>
        <w:spacing w:before="60" w:line="343" w:lineRule="auto"/>
        <w:ind w:left="27" w:right="39" w:firstLine="440"/>
        <w:rPr>
          <w:rFonts w:ascii="宋体" w:hAnsi="宋体" w:eastAsia="宋体" w:cs="宋体"/>
          <w:sz w:val="21"/>
          <w:szCs w:val="21"/>
        </w:rPr>
      </w:pPr>
      <w:r>
        <w:rPr>
          <w:rFonts w:ascii="宋体" w:hAnsi="宋体" w:eastAsia="宋体" w:cs="宋体"/>
          <w:spacing w:val="-3"/>
          <w:sz w:val="21"/>
          <w:szCs w:val="21"/>
        </w:rPr>
        <w:t>以上企业，不属于大企业的分支机构，不存在控股股东为大企业的情形，也不存在与大企业的负责人为同一人的情形。</w:t>
      </w:r>
    </w:p>
    <w:p w14:paraId="23B32BE4">
      <w:pPr>
        <w:spacing w:before="1" w:line="218" w:lineRule="auto"/>
        <w:ind w:left="445"/>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48977FA8">
      <w:pPr>
        <w:pStyle w:val="2"/>
        <w:spacing w:line="282" w:lineRule="auto"/>
      </w:pPr>
    </w:p>
    <w:p w14:paraId="7D70D043">
      <w:pPr>
        <w:pStyle w:val="2"/>
        <w:spacing w:line="283" w:lineRule="auto"/>
      </w:pPr>
    </w:p>
    <w:p w14:paraId="49AB947E">
      <w:pPr>
        <w:spacing w:before="68" w:line="219" w:lineRule="auto"/>
        <w:ind w:left="3601"/>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22540D05">
      <w:pPr>
        <w:spacing w:before="186" w:line="220" w:lineRule="auto"/>
        <w:ind w:left="3634"/>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3"/>
          <w:sz w:val="21"/>
          <w:szCs w:val="21"/>
        </w:rPr>
        <w:t>日</w:t>
      </w:r>
    </w:p>
    <w:p w14:paraId="04CBEE89">
      <w:pPr>
        <w:pStyle w:val="2"/>
        <w:spacing w:line="241" w:lineRule="auto"/>
      </w:pPr>
    </w:p>
    <w:p w14:paraId="6D6817C7">
      <w:pPr>
        <w:pStyle w:val="2"/>
        <w:spacing w:line="242" w:lineRule="auto"/>
      </w:pPr>
    </w:p>
    <w:p w14:paraId="49D08048">
      <w:pPr>
        <w:pStyle w:val="2"/>
        <w:spacing w:line="242" w:lineRule="auto"/>
      </w:pPr>
    </w:p>
    <w:p w14:paraId="067E27CB">
      <w:pPr>
        <w:pStyle w:val="2"/>
        <w:spacing w:line="242" w:lineRule="auto"/>
      </w:pPr>
    </w:p>
    <w:p w14:paraId="5ED85C8A">
      <w:pPr>
        <w:spacing w:before="69" w:line="352" w:lineRule="auto"/>
        <w:ind w:left="867" w:right="53" w:hanging="841"/>
        <w:rPr>
          <w:rFonts w:ascii="宋体" w:hAnsi="宋体" w:eastAsia="宋体" w:cs="宋体"/>
          <w:sz w:val="21"/>
          <w:szCs w:val="21"/>
        </w:rPr>
      </w:pPr>
      <w:r>
        <w:rPr>
          <w:rFonts w:ascii="宋体" w:hAnsi="宋体" w:eastAsia="宋体" w:cs="宋体"/>
          <w:spacing w:val="-2"/>
          <w:sz w:val="21"/>
          <w:szCs w:val="21"/>
        </w:rPr>
        <w:t>备注：1.政府采购工程的投标人应当如实提供</w:t>
      </w:r>
      <w:r>
        <w:rPr>
          <w:rFonts w:ascii="宋体" w:hAnsi="宋体" w:eastAsia="宋体" w:cs="宋体"/>
          <w:spacing w:val="-3"/>
          <w:sz w:val="21"/>
          <w:szCs w:val="21"/>
        </w:rPr>
        <w:t>中小企业声明函，中小微企业划型按照《中小企业划型标准规定》（工信部联企业〔2011〕300 号）执行，非政府采购工程的无</w:t>
      </w:r>
      <w:r>
        <w:rPr>
          <w:rFonts w:ascii="宋体" w:hAnsi="宋体" w:eastAsia="宋体" w:cs="宋体"/>
          <w:spacing w:val="-4"/>
          <w:sz w:val="21"/>
          <w:szCs w:val="21"/>
        </w:rPr>
        <w:t>需提供中小企业声明函。</w:t>
      </w:r>
    </w:p>
    <w:p w14:paraId="25B7FB18">
      <w:pPr>
        <w:spacing w:before="5" w:line="353" w:lineRule="auto"/>
        <w:ind w:left="864" w:right="23" w:hanging="207"/>
        <w:rPr>
          <w:rFonts w:ascii="宋体" w:hAnsi="宋体" w:eastAsia="宋体" w:cs="宋体"/>
          <w:sz w:val="21"/>
          <w:szCs w:val="21"/>
        </w:rPr>
      </w:pPr>
      <w:r>
        <w:rPr>
          <w:rFonts w:ascii="宋体" w:hAnsi="宋体" w:eastAsia="宋体" w:cs="宋体"/>
          <w:spacing w:val="-2"/>
          <w:sz w:val="21"/>
          <w:szCs w:val="21"/>
        </w:rPr>
        <w:t>2.从业人员、营业收入、资产总额填报上一年度数据，无</w:t>
      </w:r>
      <w:r>
        <w:rPr>
          <w:rFonts w:ascii="宋体" w:hAnsi="宋体" w:eastAsia="宋体" w:cs="宋体"/>
          <w:spacing w:val="-3"/>
          <w:sz w:val="21"/>
          <w:szCs w:val="21"/>
        </w:rPr>
        <w:t>上一年度数据的新成立企业</w:t>
      </w:r>
      <w:r>
        <w:rPr>
          <w:rFonts w:ascii="宋体" w:hAnsi="宋体" w:eastAsia="宋体" w:cs="宋体"/>
          <w:spacing w:val="-2"/>
          <w:sz w:val="21"/>
          <w:szCs w:val="21"/>
        </w:rPr>
        <w:t>可不填报。投标截止日如在</w:t>
      </w:r>
      <w:r>
        <w:rPr>
          <w:rFonts w:ascii="宋体" w:hAnsi="宋体" w:eastAsia="宋体" w:cs="宋体"/>
          <w:spacing w:val="-38"/>
          <w:sz w:val="21"/>
          <w:szCs w:val="21"/>
        </w:rPr>
        <w:t xml:space="preserve"> </w:t>
      </w:r>
      <w:r>
        <w:rPr>
          <w:rFonts w:ascii="宋体" w:hAnsi="宋体" w:eastAsia="宋体" w:cs="宋体"/>
          <w:spacing w:val="-2"/>
          <w:sz w:val="21"/>
          <w:szCs w:val="21"/>
        </w:rPr>
        <w:t>6</w:t>
      </w:r>
      <w:r>
        <w:rPr>
          <w:rFonts w:ascii="宋体" w:hAnsi="宋体" w:eastAsia="宋体" w:cs="宋体"/>
          <w:spacing w:val="-31"/>
          <w:sz w:val="21"/>
          <w:szCs w:val="21"/>
        </w:rPr>
        <w:t xml:space="preserve"> </w:t>
      </w:r>
      <w:r>
        <w:rPr>
          <w:rFonts w:ascii="宋体" w:hAnsi="宋体" w:eastAsia="宋体" w:cs="宋体"/>
          <w:spacing w:val="-2"/>
          <w:sz w:val="21"/>
          <w:szCs w:val="21"/>
        </w:rPr>
        <w:t>月</w:t>
      </w:r>
      <w:r>
        <w:rPr>
          <w:rFonts w:ascii="宋体" w:hAnsi="宋体" w:eastAsia="宋体" w:cs="宋体"/>
          <w:spacing w:val="-32"/>
          <w:sz w:val="21"/>
          <w:szCs w:val="21"/>
        </w:rPr>
        <w:t xml:space="preserve"> </w:t>
      </w:r>
      <w:r>
        <w:rPr>
          <w:rFonts w:ascii="宋体" w:hAnsi="宋体" w:eastAsia="宋体" w:cs="宋体"/>
          <w:spacing w:val="-2"/>
          <w:sz w:val="21"/>
          <w:szCs w:val="21"/>
        </w:rPr>
        <w:t>30 日以前，则上一年度数据是指上上个年度的数</w:t>
      </w:r>
      <w:r>
        <w:rPr>
          <w:rFonts w:ascii="宋体" w:hAnsi="宋体" w:eastAsia="宋体" w:cs="宋体"/>
          <w:spacing w:val="-3"/>
          <w:sz w:val="21"/>
          <w:szCs w:val="21"/>
        </w:rPr>
        <w:t>据，例如投标截止日为</w:t>
      </w:r>
      <w:r>
        <w:rPr>
          <w:rFonts w:ascii="宋体" w:hAnsi="宋体" w:eastAsia="宋体" w:cs="宋体"/>
          <w:spacing w:val="-36"/>
          <w:sz w:val="21"/>
          <w:szCs w:val="21"/>
        </w:rPr>
        <w:t xml:space="preserve"> </w:t>
      </w:r>
      <w:r>
        <w:rPr>
          <w:rFonts w:ascii="宋体" w:hAnsi="宋体" w:eastAsia="宋体" w:cs="宋体"/>
          <w:spacing w:val="-3"/>
          <w:sz w:val="21"/>
          <w:szCs w:val="21"/>
        </w:rPr>
        <w:t>2014</w:t>
      </w:r>
      <w:r>
        <w:rPr>
          <w:rFonts w:ascii="宋体" w:hAnsi="宋体" w:eastAsia="宋体" w:cs="宋体"/>
          <w:spacing w:val="-35"/>
          <w:sz w:val="21"/>
          <w:szCs w:val="21"/>
        </w:rPr>
        <w:t xml:space="preserve"> </w:t>
      </w:r>
      <w:r>
        <w:rPr>
          <w:rFonts w:ascii="宋体" w:hAnsi="宋体" w:eastAsia="宋体" w:cs="宋体"/>
          <w:spacing w:val="-3"/>
          <w:sz w:val="21"/>
          <w:szCs w:val="21"/>
        </w:rPr>
        <w:t>年</w:t>
      </w:r>
      <w:r>
        <w:rPr>
          <w:rFonts w:ascii="宋体" w:hAnsi="宋体" w:eastAsia="宋体" w:cs="宋体"/>
          <w:spacing w:val="-35"/>
          <w:sz w:val="21"/>
          <w:szCs w:val="21"/>
        </w:rPr>
        <w:t xml:space="preserve"> </w:t>
      </w:r>
      <w:r>
        <w:rPr>
          <w:rFonts w:ascii="宋体" w:hAnsi="宋体" w:eastAsia="宋体" w:cs="宋体"/>
          <w:spacing w:val="-3"/>
          <w:sz w:val="21"/>
          <w:szCs w:val="21"/>
        </w:rPr>
        <w:t>6</w:t>
      </w:r>
      <w:r>
        <w:rPr>
          <w:rFonts w:ascii="宋体" w:hAnsi="宋体" w:eastAsia="宋体" w:cs="宋体"/>
          <w:spacing w:val="-46"/>
          <w:sz w:val="21"/>
          <w:szCs w:val="21"/>
        </w:rPr>
        <w:t xml:space="preserve"> </w:t>
      </w:r>
      <w:r>
        <w:rPr>
          <w:rFonts w:ascii="宋体" w:hAnsi="宋体" w:eastAsia="宋体" w:cs="宋体"/>
          <w:spacing w:val="-3"/>
          <w:sz w:val="21"/>
          <w:szCs w:val="21"/>
        </w:rPr>
        <w:t>月</w:t>
      </w:r>
      <w:r>
        <w:rPr>
          <w:rFonts w:ascii="宋体" w:hAnsi="宋体" w:eastAsia="宋体" w:cs="宋体"/>
          <w:spacing w:val="-33"/>
          <w:sz w:val="21"/>
          <w:szCs w:val="21"/>
        </w:rPr>
        <w:t xml:space="preserve"> </w:t>
      </w:r>
      <w:r>
        <w:rPr>
          <w:rFonts w:ascii="宋体" w:hAnsi="宋体" w:eastAsia="宋体" w:cs="宋体"/>
          <w:spacing w:val="-3"/>
          <w:sz w:val="21"/>
          <w:szCs w:val="21"/>
        </w:rPr>
        <w:t>30 日，上一年度数据是指</w:t>
      </w:r>
      <w:r>
        <w:rPr>
          <w:rFonts w:ascii="宋体" w:hAnsi="宋体" w:eastAsia="宋体" w:cs="宋体"/>
          <w:spacing w:val="-36"/>
          <w:sz w:val="21"/>
          <w:szCs w:val="21"/>
        </w:rPr>
        <w:t xml:space="preserve"> </w:t>
      </w:r>
      <w:r>
        <w:rPr>
          <w:rFonts w:ascii="宋体" w:hAnsi="宋体" w:eastAsia="宋体" w:cs="宋体"/>
          <w:spacing w:val="-3"/>
          <w:sz w:val="21"/>
          <w:szCs w:val="21"/>
        </w:rPr>
        <w:t>20</w:t>
      </w:r>
      <w:r>
        <w:rPr>
          <w:rFonts w:ascii="宋体" w:hAnsi="宋体" w:eastAsia="宋体" w:cs="宋体"/>
          <w:spacing w:val="-4"/>
          <w:sz w:val="21"/>
          <w:szCs w:val="21"/>
        </w:rPr>
        <w:t>12</w:t>
      </w:r>
      <w:r>
        <w:rPr>
          <w:rFonts w:ascii="宋体" w:hAnsi="宋体" w:eastAsia="宋体" w:cs="宋体"/>
          <w:spacing w:val="-35"/>
          <w:sz w:val="21"/>
          <w:szCs w:val="21"/>
        </w:rPr>
        <w:t xml:space="preserve"> </w:t>
      </w:r>
      <w:r>
        <w:rPr>
          <w:rFonts w:ascii="宋体" w:hAnsi="宋体" w:eastAsia="宋体" w:cs="宋体"/>
          <w:spacing w:val="-4"/>
          <w:sz w:val="21"/>
          <w:szCs w:val="21"/>
        </w:rPr>
        <w:t>年度的数据。</w:t>
      </w:r>
      <w:r>
        <w:rPr>
          <w:rFonts w:ascii="宋体" w:hAnsi="宋体" w:eastAsia="宋体" w:cs="宋体"/>
          <w:spacing w:val="-2"/>
          <w:sz w:val="21"/>
          <w:szCs w:val="21"/>
        </w:rPr>
        <w:t>如投标截止日如在</w:t>
      </w:r>
      <w:r>
        <w:rPr>
          <w:rFonts w:ascii="宋体" w:hAnsi="宋体" w:eastAsia="宋体" w:cs="宋体"/>
          <w:spacing w:val="-36"/>
          <w:sz w:val="21"/>
          <w:szCs w:val="21"/>
        </w:rPr>
        <w:t xml:space="preserve"> </w:t>
      </w:r>
      <w:r>
        <w:rPr>
          <w:rFonts w:ascii="宋体" w:hAnsi="宋体" w:eastAsia="宋体" w:cs="宋体"/>
          <w:spacing w:val="-2"/>
          <w:sz w:val="21"/>
          <w:szCs w:val="21"/>
        </w:rPr>
        <w:t>6</w:t>
      </w:r>
      <w:r>
        <w:rPr>
          <w:rFonts w:ascii="宋体" w:hAnsi="宋体" w:eastAsia="宋体" w:cs="宋体"/>
          <w:spacing w:val="-32"/>
          <w:sz w:val="21"/>
          <w:szCs w:val="21"/>
        </w:rPr>
        <w:t xml:space="preserve"> </w:t>
      </w:r>
      <w:r>
        <w:rPr>
          <w:rFonts w:ascii="宋体" w:hAnsi="宋体" w:eastAsia="宋体" w:cs="宋体"/>
          <w:spacing w:val="-2"/>
          <w:sz w:val="21"/>
          <w:szCs w:val="21"/>
        </w:rPr>
        <w:t>月</w:t>
      </w:r>
      <w:r>
        <w:rPr>
          <w:rFonts w:ascii="宋体" w:hAnsi="宋体" w:eastAsia="宋体" w:cs="宋体"/>
          <w:spacing w:val="-32"/>
          <w:sz w:val="21"/>
          <w:szCs w:val="21"/>
        </w:rPr>
        <w:t xml:space="preserve"> </w:t>
      </w:r>
      <w:r>
        <w:rPr>
          <w:rFonts w:ascii="宋体" w:hAnsi="宋体" w:eastAsia="宋体" w:cs="宋体"/>
          <w:spacing w:val="-2"/>
          <w:sz w:val="21"/>
          <w:szCs w:val="21"/>
        </w:rPr>
        <w:t>30 日以后，则上一年度数据是指上个年度数据，例如投标</w:t>
      </w:r>
      <w:r>
        <w:rPr>
          <w:rFonts w:ascii="宋体" w:hAnsi="宋体" w:eastAsia="宋体" w:cs="宋体"/>
          <w:spacing w:val="-5"/>
          <w:sz w:val="21"/>
          <w:szCs w:val="21"/>
        </w:rPr>
        <w:t>截止日为</w:t>
      </w:r>
      <w:r>
        <w:rPr>
          <w:rFonts w:ascii="宋体" w:hAnsi="宋体" w:eastAsia="宋体" w:cs="宋体"/>
          <w:spacing w:val="-34"/>
          <w:sz w:val="21"/>
          <w:szCs w:val="21"/>
        </w:rPr>
        <w:t xml:space="preserve"> </w:t>
      </w:r>
      <w:r>
        <w:rPr>
          <w:rFonts w:ascii="宋体" w:hAnsi="宋体" w:eastAsia="宋体" w:cs="宋体"/>
          <w:spacing w:val="-5"/>
          <w:sz w:val="21"/>
          <w:szCs w:val="21"/>
        </w:rPr>
        <w:t>2014</w:t>
      </w:r>
      <w:r>
        <w:rPr>
          <w:rFonts w:ascii="宋体" w:hAnsi="宋体" w:eastAsia="宋体" w:cs="宋体"/>
          <w:spacing w:val="-36"/>
          <w:sz w:val="21"/>
          <w:szCs w:val="21"/>
        </w:rPr>
        <w:t xml:space="preserve"> </w:t>
      </w:r>
      <w:r>
        <w:rPr>
          <w:rFonts w:ascii="宋体" w:hAnsi="宋体" w:eastAsia="宋体" w:cs="宋体"/>
          <w:spacing w:val="-5"/>
          <w:sz w:val="21"/>
          <w:szCs w:val="21"/>
        </w:rPr>
        <w:t>年</w:t>
      </w:r>
      <w:r>
        <w:rPr>
          <w:rFonts w:ascii="宋体" w:hAnsi="宋体" w:eastAsia="宋体" w:cs="宋体"/>
          <w:spacing w:val="-31"/>
          <w:sz w:val="21"/>
          <w:szCs w:val="21"/>
        </w:rPr>
        <w:t xml:space="preserve"> </w:t>
      </w:r>
      <w:r>
        <w:rPr>
          <w:rFonts w:ascii="宋体" w:hAnsi="宋体" w:eastAsia="宋体" w:cs="宋体"/>
          <w:spacing w:val="-5"/>
          <w:sz w:val="21"/>
          <w:szCs w:val="21"/>
        </w:rPr>
        <w:t>7</w:t>
      </w:r>
      <w:r>
        <w:rPr>
          <w:rFonts w:ascii="宋体" w:hAnsi="宋体" w:eastAsia="宋体" w:cs="宋体"/>
          <w:spacing w:val="-32"/>
          <w:sz w:val="21"/>
          <w:szCs w:val="21"/>
        </w:rPr>
        <w:t xml:space="preserve"> </w:t>
      </w:r>
      <w:r>
        <w:rPr>
          <w:rFonts w:ascii="宋体" w:hAnsi="宋体" w:eastAsia="宋体" w:cs="宋体"/>
          <w:spacing w:val="-5"/>
          <w:sz w:val="21"/>
          <w:szCs w:val="21"/>
        </w:rPr>
        <w:t>月</w:t>
      </w:r>
      <w:r>
        <w:rPr>
          <w:rFonts w:ascii="宋体" w:hAnsi="宋体" w:eastAsia="宋体" w:cs="宋体"/>
          <w:spacing w:val="-20"/>
          <w:sz w:val="21"/>
          <w:szCs w:val="21"/>
        </w:rPr>
        <w:t xml:space="preserve"> </w:t>
      </w:r>
      <w:r>
        <w:rPr>
          <w:rFonts w:ascii="宋体" w:hAnsi="宋体" w:eastAsia="宋体" w:cs="宋体"/>
          <w:spacing w:val="-5"/>
          <w:sz w:val="21"/>
          <w:szCs w:val="21"/>
        </w:rPr>
        <w:t>1 日，上一年度数据是</w:t>
      </w:r>
      <w:r>
        <w:rPr>
          <w:rFonts w:ascii="宋体" w:hAnsi="宋体" w:eastAsia="宋体" w:cs="宋体"/>
          <w:spacing w:val="-36"/>
          <w:sz w:val="21"/>
          <w:szCs w:val="21"/>
        </w:rPr>
        <w:t xml:space="preserve"> </w:t>
      </w:r>
      <w:r>
        <w:rPr>
          <w:rFonts w:ascii="宋体" w:hAnsi="宋体" w:eastAsia="宋体" w:cs="宋体"/>
          <w:spacing w:val="-5"/>
          <w:sz w:val="21"/>
          <w:szCs w:val="21"/>
        </w:rPr>
        <w:t>2013</w:t>
      </w:r>
      <w:r>
        <w:rPr>
          <w:rFonts w:ascii="宋体" w:hAnsi="宋体" w:eastAsia="宋体" w:cs="宋体"/>
          <w:spacing w:val="-51"/>
          <w:sz w:val="21"/>
          <w:szCs w:val="21"/>
        </w:rPr>
        <w:t xml:space="preserve"> </w:t>
      </w:r>
      <w:r>
        <w:rPr>
          <w:rFonts w:ascii="宋体" w:hAnsi="宋体" w:eastAsia="宋体" w:cs="宋体"/>
          <w:spacing w:val="-5"/>
          <w:sz w:val="21"/>
          <w:szCs w:val="21"/>
        </w:rPr>
        <w:t>年度的数据。</w:t>
      </w:r>
    </w:p>
    <w:p w14:paraId="7BA7EB10">
      <w:pPr>
        <w:spacing w:line="353" w:lineRule="auto"/>
        <w:rPr>
          <w:rFonts w:ascii="宋体" w:hAnsi="宋体" w:eastAsia="宋体" w:cs="宋体"/>
          <w:sz w:val="21"/>
          <w:szCs w:val="21"/>
        </w:rPr>
        <w:sectPr>
          <w:footerReference r:id="rId316" w:type="default"/>
          <w:pgSz w:w="11910" w:h="16845"/>
          <w:pgMar w:top="400" w:right="1743" w:bottom="1110" w:left="1786" w:header="0" w:footer="883" w:gutter="0"/>
          <w:cols w:space="720" w:num="1"/>
        </w:sectPr>
      </w:pPr>
    </w:p>
    <w:p w14:paraId="6A58F0ED">
      <w:pPr>
        <w:pStyle w:val="2"/>
        <w:spacing w:line="270" w:lineRule="auto"/>
      </w:pPr>
    </w:p>
    <w:p w14:paraId="7EB68540">
      <w:pPr>
        <w:pStyle w:val="2"/>
        <w:spacing w:line="271" w:lineRule="auto"/>
      </w:pPr>
    </w:p>
    <w:p w14:paraId="7F32B47C">
      <w:pPr>
        <w:pStyle w:val="2"/>
        <w:spacing w:line="271" w:lineRule="auto"/>
      </w:pPr>
    </w:p>
    <w:p w14:paraId="00195725">
      <w:pPr>
        <w:pStyle w:val="2"/>
        <w:spacing w:line="271" w:lineRule="auto"/>
      </w:pPr>
    </w:p>
    <w:p w14:paraId="2929DC78">
      <w:pPr>
        <w:spacing w:before="101" w:line="222" w:lineRule="auto"/>
        <w:ind w:left="152"/>
        <w:outlineLvl w:val="1"/>
        <w:rPr>
          <w:rFonts w:ascii="黑体" w:hAnsi="黑体" w:eastAsia="黑体" w:cs="黑体"/>
          <w:sz w:val="31"/>
          <w:szCs w:val="31"/>
        </w:rPr>
      </w:pPr>
      <w:bookmarkStart w:id="628" w:name="bookmark725"/>
      <w:bookmarkEnd w:id="628"/>
      <w:r>
        <w:rPr>
          <w:rFonts w:ascii="黑体" w:hAnsi="黑体" w:eastAsia="黑体" w:cs="黑体"/>
          <w:spacing w:val="13"/>
          <w:sz w:val="31"/>
          <w:szCs w:val="31"/>
        </w:rPr>
        <w:t>七、项目管理机构</w:t>
      </w:r>
    </w:p>
    <w:p w14:paraId="04BEC7F0">
      <w:pPr>
        <w:pStyle w:val="2"/>
        <w:spacing w:line="424" w:lineRule="auto"/>
      </w:pPr>
    </w:p>
    <w:p w14:paraId="19632B69">
      <w:pPr>
        <w:spacing w:before="101" w:line="222" w:lineRule="auto"/>
        <w:outlineLvl w:val="1"/>
        <w:rPr>
          <w:rFonts w:ascii="宋体" w:hAnsi="宋体" w:eastAsia="宋体" w:cs="宋体"/>
          <w:sz w:val="31"/>
          <w:szCs w:val="31"/>
        </w:rPr>
      </w:pPr>
      <w:bookmarkStart w:id="629" w:name="bookmark581"/>
      <w:bookmarkEnd w:id="629"/>
      <w:bookmarkStart w:id="630" w:name="bookmark582"/>
      <w:bookmarkEnd w:id="630"/>
      <w:r>
        <w:rPr>
          <w:rFonts w:ascii="宋体" w:hAnsi="宋体" w:eastAsia="宋体" w:cs="宋体"/>
          <w:b/>
          <w:bCs/>
          <w:spacing w:val="9"/>
          <w:sz w:val="31"/>
          <w:szCs w:val="31"/>
        </w:rPr>
        <w:t>（一）项目管理机构主要人员表</w:t>
      </w:r>
    </w:p>
    <w:p w14:paraId="59CAD566">
      <w:pPr>
        <w:spacing w:before="107"/>
      </w:pPr>
    </w:p>
    <w:tbl>
      <w:tblPr>
        <w:tblStyle w:val="5"/>
        <w:tblW w:w="8230" w:type="dxa"/>
        <w:tblInd w:w="17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12"/>
        <w:gridCol w:w="599"/>
        <w:gridCol w:w="450"/>
        <w:gridCol w:w="405"/>
        <w:gridCol w:w="435"/>
        <w:gridCol w:w="435"/>
        <w:gridCol w:w="599"/>
        <w:gridCol w:w="405"/>
        <w:gridCol w:w="405"/>
        <w:gridCol w:w="405"/>
        <w:gridCol w:w="405"/>
        <w:gridCol w:w="600"/>
        <w:gridCol w:w="405"/>
        <w:gridCol w:w="554"/>
        <w:gridCol w:w="540"/>
        <w:gridCol w:w="554"/>
        <w:gridCol w:w="622"/>
      </w:tblGrid>
      <w:tr w14:paraId="6639C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trPr>
        <w:tc>
          <w:tcPr>
            <w:tcW w:w="412" w:type="dxa"/>
            <w:vMerge w:val="restart"/>
            <w:tcBorders>
              <w:bottom w:val="nil"/>
            </w:tcBorders>
            <w:textDirection w:val="tbRlV"/>
            <w:vAlign w:val="top"/>
          </w:tcPr>
          <w:p w14:paraId="5D83CF40">
            <w:pPr>
              <w:pStyle w:val="6"/>
              <w:spacing w:before="111" w:line="210" w:lineRule="auto"/>
              <w:ind w:left="660"/>
              <w:rPr>
                <w:sz w:val="21"/>
                <w:szCs w:val="21"/>
              </w:rPr>
            </w:pPr>
            <w:r>
              <w:rPr>
                <w:b/>
                <w:bCs/>
                <w:spacing w:val="-2"/>
                <w:sz w:val="21"/>
                <w:szCs w:val="21"/>
              </w:rPr>
              <w:t>序</w:t>
            </w:r>
            <w:r>
              <w:rPr>
                <w:spacing w:val="-2"/>
                <w:sz w:val="21"/>
                <w:szCs w:val="21"/>
              </w:rPr>
              <w:t xml:space="preserve"> </w:t>
            </w:r>
            <w:r>
              <w:rPr>
                <w:b/>
                <w:bCs/>
                <w:spacing w:val="-2"/>
                <w:sz w:val="21"/>
                <w:szCs w:val="21"/>
              </w:rPr>
              <w:t>号</w:t>
            </w:r>
          </w:p>
        </w:tc>
        <w:tc>
          <w:tcPr>
            <w:tcW w:w="599" w:type="dxa"/>
            <w:vMerge w:val="restart"/>
            <w:tcBorders>
              <w:bottom w:val="nil"/>
            </w:tcBorders>
            <w:vAlign w:val="top"/>
          </w:tcPr>
          <w:p w14:paraId="6BC1F468">
            <w:pPr>
              <w:spacing w:line="250" w:lineRule="auto"/>
              <w:rPr>
                <w:rFonts w:ascii="Arial"/>
                <w:sz w:val="21"/>
              </w:rPr>
            </w:pPr>
          </w:p>
          <w:p w14:paraId="092C7B56">
            <w:pPr>
              <w:spacing w:line="251" w:lineRule="auto"/>
              <w:rPr>
                <w:rFonts w:ascii="Arial"/>
                <w:sz w:val="21"/>
              </w:rPr>
            </w:pPr>
          </w:p>
          <w:p w14:paraId="436C1D12">
            <w:pPr>
              <w:spacing w:line="251" w:lineRule="auto"/>
              <w:rPr>
                <w:rFonts w:ascii="Arial"/>
                <w:sz w:val="21"/>
              </w:rPr>
            </w:pPr>
          </w:p>
          <w:p w14:paraId="220EFAE9">
            <w:pPr>
              <w:pStyle w:val="6"/>
              <w:spacing w:before="69" w:line="220" w:lineRule="auto"/>
              <w:ind w:left="84"/>
              <w:rPr>
                <w:sz w:val="21"/>
                <w:szCs w:val="21"/>
              </w:rPr>
            </w:pPr>
            <w:r>
              <w:rPr>
                <w:b/>
                <w:bCs/>
                <w:spacing w:val="-7"/>
                <w:sz w:val="21"/>
                <w:szCs w:val="21"/>
              </w:rPr>
              <w:t>岗位</w:t>
            </w:r>
          </w:p>
        </w:tc>
        <w:tc>
          <w:tcPr>
            <w:tcW w:w="450" w:type="dxa"/>
            <w:vMerge w:val="restart"/>
            <w:tcBorders>
              <w:bottom w:val="nil"/>
            </w:tcBorders>
            <w:vAlign w:val="top"/>
          </w:tcPr>
          <w:p w14:paraId="6A11DC2D">
            <w:pPr>
              <w:spacing w:line="250" w:lineRule="auto"/>
              <w:rPr>
                <w:rFonts w:ascii="Arial"/>
                <w:sz w:val="21"/>
              </w:rPr>
            </w:pPr>
          </w:p>
          <w:p w14:paraId="32B1F83D">
            <w:pPr>
              <w:spacing w:line="251" w:lineRule="auto"/>
              <w:rPr>
                <w:rFonts w:ascii="Arial"/>
                <w:sz w:val="21"/>
              </w:rPr>
            </w:pPr>
          </w:p>
          <w:p w14:paraId="7503B718">
            <w:pPr>
              <w:spacing w:line="251" w:lineRule="auto"/>
              <w:rPr>
                <w:rFonts w:ascii="Arial"/>
                <w:sz w:val="21"/>
              </w:rPr>
            </w:pPr>
          </w:p>
          <w:p w14:paraId="48717988">
            <w:pPr>
              <w:pStyle w:val="6"/>
              <w:spacing w:before="68" w:line="220" w:lineRule="auto"/>
              <w:ind w:left="3"/>
              <w:rPr>
                <w:sz w:val="21"/>
                <w:szCs w:val="21"/>
              </w:rPr>
            </w:pPr>
            <w:r>
              <w:rPr>
                <w:b/>
                <w:bCs/>
                <w:spacing w:val="1"/>
                <w:sz w:val="21"/>
                <w:szCs w:val="21"/>
              </w:rPr>
              <w:t>姓名</w:t>
            </w:r>
          </w:p>
        </w:tc>
        <w:tc>
          <w:tcPr>
            <w:tcW w:w="405" w:type="dxa"/>
            <w:vMerge w:val="restart"/>
            <w:tcBorders>
              <w:bottom w:val="nil"/>
            </w:tcBorders>
            <w:textDirection w:val="tbRlV"/>
            <w:vAlign w:val="top"/>
          </w:tcPr>
          <w:p w14:paraId="2A752811">
            <w:pPr>
              <w:pStyle w:val="6"/>
              <w:spacing w:before="94" w:line="206" w:lineRule="auto"/>
              <w:ind w:left="660"/>
              <w:rPr>
                <w:sz w:val="21"/>
                <w:szCs w:val="21"/>
              </w:rPr>
            </w:pPr>
            <w:r>
              <w:rPr>
                <w:b/>
                <w:bCs/>
                <w:spacing w:val="-2"/>
                <w:sz w:val="21"/>
                <w:szCs w:val="21"/>
              </w:rPr>
              <w:t>性</w:t>
            </w:r>
            <w:r>
              <w:rPr>
                <w:spacing w:val="-2"/>
                <w:sz w:val="21"/>
                <w:szCs w:val="21"/>
              </w:rPr>
              <w:t xml:space="preserve"> </w:t>
            </w:r>
            <w:r>
              <w:rPr>
                <w:b/>
                <w:bCs/>
                <w:spacing w:val="-2"/>
                <w:sz w:val="21"/>
                <w:szCs w:val="21"/>
              </w:rPr>
              <w:t>别</w:t>
            </w:r>
          </w:p>
        </w:tc>
        <w:tc>
          <w:tcPr>
            <w:tcW w:w="435" w:type="dxa"/>
            <w:vMerge w:val="restart"/>
            <w:tcBorders>
              <w:bottom w:val="nil"/>
            </w:tcBorders>
            <w:vAlign w:val="top"/>
          </w:tcPr>
          <w:p w14:paraId="403FF186">
            <w:pPr>
              <w:spacing w:line="250" w:lineRule="auto"/>
              <w:rPr>
                <w:rFonts w:ascii="Arial"/>
                <w:sz w:val="21"/>
              </w:rPr>
            </w:pPr>
          </w:p>
          <w:p w14:paraId="31C26B50">
            <w:pPr>
              <w:spacing w:line="251" w:lineRule="auto"/>
              <w:rPr>
                <w:rFonts w:ascii="Arial"/>
                <w:sz w:val="21"/>
              </w:rPr>
            </w:pPr>
          </w:p>
          <w:p w14:paraId="013C0EAA">
            <w:pPr>
              <w:spacing w:line="251" w:lineRule="auto"/>
              <w:rPr>
                <w:rFonts w:ascii="Arial"/>
                <w:sz w:val="21"/>
              </w:rPr>
            </w:pPr>
          </w:p>
          <w:p w14:paraId="691C7309">
            <w:pPr>
              <w:pStyle w:val="6"/>
              <w:spacing w:before="68" w:line="220" w:lineRule="auto"/>
              <w:jc w:val="right"/>
              <w:rPr>
                <w:sz w:val="21"/>
                <w:szCs w:val="21"/>
              </w:rPr>
            </w:pPr>
            <w:r>
              <w:rPr>
                <w:b/>
                <w:bCs/>
                <w:spacing w:val="-17"/>
                <w:sz w:val="21"/>
                <w:szCs w:val="21"/>
              </w:rPr>
              <w:t>年</w:t>
            </w:r>
            <w:r>
              <w:rPr>
                <w:b/>
                <w:bCs/>
                <w:spacing w:val="-9"/>
                <w:sz w:val="21"/>
                <w:szCs w:val="21"/>
              </w:rPr>
              <w:t>龄</w:t>
            </w:r>
          </w:p>
        </w:tc>
        <w:tc>
          <w:tcPr>
            <w:tcW w:w="435" w:type="dxa"/>
            <w:vMerge w:val="restart"/>
            <w:tcBorders>
              <w:bottom w:val="nil"/>
            </w:tcBorders>
            <w:vAlign w:val="top"/>
          </w:tcPr>
          <w:p w14:paraId="55A7701C">
            <w:pPr>
              <w:spacing w:line="250" w:lineRule="auto"/>
              <w:rPr>
                <w:rFonts w:ascii="Arial"/>
                <w:sz w:val="21"/>
              </w:rPr>
            </w:pPr>
          </w:p>
          <w:p w14:paraId="69FED9BC">
            <w:pPr>
              <w:spacing w:line="251" w:lineRule="auto"/>
              <w:rPr>
                <w:rFonts w:ascii="Arial"/>
                <w:sz w:val="21"/>
              </w:rPr>
            </w:pPr>
          </w:p>
          <w:p w14:paraId="31C579E4">
            <w:pPr>
              <w:spacing w:line="251" w:lineRule="auto"/>
              <w:rPr>
                <w:rFonts w:ascii="Arial"/>
                <w:sz w:val="21"/>
              </w:rPr>
            </w:pPr>
          </w:p>
          <w:p w14:paraId="79295FF2">
            <w:pPr>
              <w:pStyle w:val="6"/>
              <w:spacing w:before="68" w:line="221" w:lineRule="auto"/>
              <w:jc w:val="right"/>
              <w:rPr>
                <w:sz w:val="21"/>
                <w:szCs w:val="21"/>
              </w:rPr>
            </w:pPr>
            <w:r>
              <w:rPr>
                <w:b/>
                <w:bCs/>
                <w:spacing w:val="-9"/>
                <w:sz w:val="21"/>
                <w:szCs w:val="21"/>
              </w:rPr>
              <w:t>学历</w:t>
            </w:r>
          </w:p>
        </w:tc>
        <w:tc>
          <w:tcPr>
            <w:tcW w:w="599" w:type="dxa"/>
            <w:vMerge w:val="restart"/>
            <w:tcBorders>
              <w:bottom w:val="nil"/>
            </w:tcBorders>
            <w:vAlign w:val="top"/>
          </w:tcPr>
          <w:p w14:paraId="79CE3F45">
            <w:pPr>
              <w:spacing w:line="250" w:lineRule="auto"/>
              <w:rPr>
                <w:rFonts w:ascii="Arial"/>
                <w:sz w:val="21"/>
              </w:rPr>
            </w:pPr>
          </w:p>
          <w:p w14:paraId="1AEA3912">
            <w:pPr>
              <w:spacing w:line="251" w:lineRule="auto"/>
              <w:rPr>
                <w:rFonts w:ascii="Arial"/>
                <w:sz w:val="21"/>
              </w:rPr>
            </w:pPr>
          </w:p>
          <w:p w14:paraId="79971517">
            <w:pPr>
              <w:spacing w:line="251" w:lineRule="auto"/>
              <w:rPr>
                <w:rFonts w:ascii="Arial"/>
                <w:sz w:val="21"/>
              </w:rPr>
            </w:pPr>
          </w:p>
          <w:p w14:paraId="4E8A5AF5">
            <w:pPr>
              <w:pStyle w:val="6"/>
              <w:spacing w:before="69" w:line="220" w:lineRule="auto"/>
              <w:ind w:left="66"/>
              <w:rPr>
                <w:sz w:val="21"/>
                <w:szCs w:val="21"/>
              </w:rPr>
            </w:pPr>
            <w:r>
              <w:rPr>
                <w:b/>
                <w:bCs/>
                <w:spacing w:val="1"/>
                <w:sz w:val="21"/>
                <w:szCs w:val="21"/>
              </w:rPr>
              <w:t>专业</w:t>
            </w:r>
          </w:p>
        </w:tc>
        <w:tc>
          <w:tcPr>
            <w:tcW w:w="405" w:type="dxa"/>
            <w:vMerge w:val="restart"/>
            <w:tcBorders>
              <w:bottom w:val="nil"/>
            </w:tcBorders>
            <w:textDirection w:val="tbRlV"/>
            <w:vAlign w:val="top"/>
          </w:tcPr>
          <w:p w14:paraId="404BB5CF">
            <w:pPr>
              <w:pStyle w:val="6"/>
              <w:spacing w:before="104" w:line="209" w:lineRule="auto"/>
              <w:ind w:left="44"/>
              <w:rPr>
                <w:sz w:val="21"/>
                <w:szCs w:val="21"/>
              </w:rPr>
            </w:pPr>
            <w:r>
              <w:rPr>
                <w:b/>
                <w:bCs/>
                <w:spacing w:val="-2"/>
                <w:sz w:val="21"/>
                <w:szCs w:val="21"/>
              </w:rPr>
              <w:t>专</w:t>
            </w:r>
            <w:r>
              <w:rPr>
                <w:spacing w:val="-8"/>
                <w:sz w:val="21"/>
                <w:szCs w:val="21"/>
              </w:rPr>
              <w:t xml:space="preserve"> </w:t>
            </w:r>
            <w:r>
              <w:rPr>
                <w:b/>
                <w:bCs/>
                <w:spacing w:val="-2"/>
                <w:sz w:val="21"/>
                <w:szCs w:val="21"/>
              </w:rPr>
              <w:t>业</w:t>
            </w:r>
            <w:r>
              <w:rPr>
                <w:spacing w:val="-2"/>
                <w:sz w:val="21"/>
                <w:szCs w:val="21"/>
              </w:rPr>
              <w:t xml:space="preserve"> </w:t>
            </w:r>
            <w:r>
              <w:rPr>
                <w:b/>
                <w:bCs/>
                <w:spacing w:val="-2"/>
                <w:sz w:val="21"/>
                <w:szCs w:val="21"/>
              </w:rPr>
              <w:t>工</w:t>
            </w:r>
            <w:r>
              <w:rPr>
                <w:spacing w:val="-2"/>
                <w:sz w:val="21"/>
                <w:szCs w:val="21"/>
              </w:rPr>
              <w:t xml:space="preserve"> </w:t>
            </w:r>
            <w:r>
              <w:rPr>
                <w:b/>
                <w:bCs/>
                <w:spacing w:val="-2"/>
                <w:sz w:val="21"/>
                <w:szCs w:val="21"/>
              </w:rPr>
              <w:t>作</w:t>
            </w:r>
            <w:r>
              <w:rPr>
                <w:spacing w:val="-2"/>
                <w:sz w:val="21"/>
                <w:szCs w:val="21"/>
              </w:rPr>
              <w:t xml:space="preserve"> </w:t>
            </w:r>
            <w:r>
              <w:rPr>
                <w:b/>
                <w:bCs/>
                <w:spacing w:val="-2"/>
                <w:sz w:val="21"/>
                <w:szCs w:val="21"/>
              </w:rPr>
              <w:t>年</w:t>
            </w:r>
            <w:r>
              <w:rPr>
                <w:spacing w:val="-2"/>
                <w:sz w:val="21"/>
                <w:szCs w:val="21"/>
              </w:rPr>
              <w:t xml:space="preserve"> </w:t>
            </w:r>
            <w:r>
              <w:rPr>
                <w:b/>
                <w:bCs/>
                <w:spacing w:val="-2"/>
                <w:sz w:val="21"/>
                <w:szCs w:val="21"/>
              </w:rPr>
              <w:t>限</w:t>
            </w:r>
          </w:p>
        </w:tc>
        <w:tc>
          <w:tcPr>
            <w:tcW w:w="1215" w:type="dxa"/>
            <w:gridSpan w:val="3"/>
            <w:vAlign w:val="top"/>
          </w:tcPr>
          <w:p w14:paraId="3AF4FFA9">
            <w:pPr>
              <w:pStyle w:val="6"/>
              <w:spacing w:before="44" w:line="220" w:lineRule="auto"/>
              <w:ind w:left="159"/>
              <w:rPr>
                <w:sz w:val="21"/>
                <w:szCs w:val="21"/>
              </w:rPr>
            </w:pPr>
            <w:r>
              <w:rPr>
                <w:b/>
                <w:bCs/>
                <w:spacing w:val="7"/>
                <w:sz w:val="21"/>
                <w:szCs w:val="21"/>
              </w:rPr>
              <w:t>专业技术</w:t>
            </w:r>
          </w:p>
          <w:p w14:paraId="600988BD">
            <w:pPr>
              <w:pStyle w:val="6"/>
              <w:spacing w:before="50" w:line="222" w:lineRule="auto"/>
              <w:ind w:left="384"/>
              <w:rPr>
                <w:sz w:val="21"/>
                <w:szCs w:val="21"/>
              </w:rPr>
            </w:pPr>
            <w:r>
              <w:rPr>
                <w:b/>
                <w:bCs/>
                <w:spacing w:val="1"/>
                <w:sz w:val="21"/>
                <w:szCs w:val="21"/>
              </w:rPr>
              <w:t>职称</w:t>
            </w:r>
          </w:p>
        </w:tc>
        <w:tc>
          <w:tcPr>
            <w:tcW w:w="2099" w:type="dxa"/>
            <w:gridSpan w:val="4"/>
            <w:vAlign w:val="top"/>
          </w:tcPr>
          <w:p w14:paraId="24848AB0">
            <w:pPr>
              <w:pStyle w:val="6"/>
              <w:spacing w:before="194" w:line="220" w:lineRule="auto"/>
              <w:ind w:left="84"/>
              <w:rPr>
                <w:sz w:val="21"/>
                <w:szCs w:val="21"/>
              </w:rPr>
            </w:pPr>
            <w:r>
              <w:rPr>
                <w:b/>
                <w:bCs/>
                <w:spacing w:val="2"/>
                <w:sz w:val="21"/>
                <w:szCs w:val="21"/>
              </w:rPr>
              <w:t>执业或职业资格证明</w:t>
            </w:r>
          </w:p>
        </w:tc>
        <w:tc>
          <w:tcPr>
            <w:tcW w:w="554" w:type="dxa"/>
            <w:vMerge w:val="restart"/>
            <w:tcBorders>
              <w:bottom w:val="nil"/>
            </w:tcBorders>
            <w:vAlign w:val="top"/>
          </w:tcPr>
          <w:p w14:paraId="09EA091C">
            <w:pPr>
              <w:spacing w:line="293" w:lineRule="auto"/>
              <w:rPr>
                <w:rFonts w:ascii="Arial"/>
                <w:sz w:val="21"/>
              </w:rPr>
            </w:pPr>
          </w:p>
          <w:p w14:paraId="4AA2AB76">
            <w:pPr>
              <w:spacing w:line="294" w:lineRule="auto"/>
              <w:rPr>
                <w:rFonts w:ascii="Arial"/>
                <w:sz w:val="21"/>
              </w:rPr>
            </w:pPr>
          </w:p>
          <w:p w14:paraId="3A312D9D">
            <w:pPr>
              <w:pStyle w:val="6"/>
              <w:spacing w:before="69" w:line="280" w:lineRule="auto"/>
              <w:ind w:left="59" w:right="53"/>
              <w:rPr>
                <w:sz w:val="21"/>
                <w:szCs w:val="21"/>
              </w:rPr>
            </w:pPr>
            <w:r>
              <w:rPr>
                <w:b/>
                <w:bCs/>
                <w:sz w:val="21"/>
                <w:szCs w:val="21"/>
              </w:rPr>
              <w:t>社会</w:t>
            </w:r>
            <w:r>
              <w:rPr>
                <w:b/>
                <w:bCs/>
                <w:spacing w:val="1"/>
                <w:sz w:val="21"/>
                <w:szCs w:val="21"/>
              </w:rPr>
              <w:t>保险</w:t>
            </w:r>
          </w:p>
        </w:tc>
        <w:tc>
          <w:tcPr>
            <w:tcW w:w="622" w:type="dxa"/>
            <w:vMerge w:val="restart"/>
            <w:tcBorders>
              <w:bottom w:val="nil"/>
            </w:tcBorders>
            <w:vAlign w:val="top"/>
          </w:tcPr>
          <w:p w14:paraId="0A0577CB">
            <w:pPr>
              <w:spacing w:line="439" w:lineRule="auto"/>
              <w:rPr>
                <w:rFonts w:ascii="Arial"/>
                <w:sz w:val="21"/>
              </w:rPr>
            </w:pPr>
          </w:p>
          <w:p w14:paraId="1A3A6829">
            <w:pPr>
              <w:pStyle w:val="6"/>
              <w:spacing w:before="69" w:line="272" w:lineRule="auto"/>
              <w:ind w:left="89" w:hanging="75"/>
              <w:jc w:val="both"/>
              <w:rPr>
                <w:sz w:val="21"/>
                <w:szCs w:val="21"/>
              </w:rPr>
            </w:pPr>
            <w:r>
              <w:rPr>
                <w:b/>
                <w:bCs/>
                <w:spacing w:val="-15"/>
                <w:sz w:val="21"/>
                <w:szCs w:val="21"/>
              </w:rPr>
              <w:t>执业、</w:t>
            </w:r>
            <w:r>
              <w:rPr>
                <w:b/>
                <w:bCs/>
                <w:spacing w:val="1"/>
                <w:sz w:val="21"/>
                <w:szCs w:val="21"/>
              </w:rPr>
              <w:t>职业单位</w:t>
            </w:r>
          </w:p>
        </w:tc>
      </w:tr>
      <w:tr w14:paraId="7BAB9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28" w:hRule="atLeast"/>
        </w:trPr>
        <w:tc>
          <w:tcPr>
            <w:tcW w:w="412" w:type="dxa"/>
            <w:vMerge w:val="continue"/>
            <w:tcBorders>
              <w:top w:val="nil"/>
            </w:tcBorders>
            <w:textDirection w:val="tbRlV"/>
            <w:vAlign w:val="top"/>
          </w:tcPr>
          <w:p w14:paraId="57303E91">
            <w:pPr>
              <w:rPr>
                <w:rFonts w:ascii="Arial"/>
                <w:sz w:val="21"/>
              </w:rPr>
            </w:pPr>
          </w:p>
        </w:tc>
        <w:tc>
          <w:tcPr>
            <w:tcW w:w="599" w:type="dxa"/>
            <w:vMerge w:val="continue"/>
            <w:tcBorders>
              <w:top w:val="nil"/>
            </w:tcBorders>
            <w:vAlign w:val="top"/>
          </w:tcPr>
          <w:p w14:paraId="49EAD48E">
            <w:pPr>
              <w:rPr>
                <w:rFonts w:ascii="Arial"/>
                <w:sz w:val="21"/>
              </w:rPr>
            </w:pPr>
          </w:p>
        </w:tc>
        <w:tc>
          <w:tcPr>
            <w:tcW w:w="450" w:type="dxa"/>
            <w:vMerge w:val="continue"/>
            <w:tcBorders>
              <w:top w:val="nil"/>
            </w:tcBorders>
            <w:vAlign w:val="top"/>
          </w:tcPr>
          <w:p w14:paraId="5255F35A">
            <w:pPr>
              <w:rPr>
                <w:rFonts w:ascii="Arial"/>
                <w:sz w:val="21"/>
              </w:rPr>
            </w:pPr>
          </w:p>
        </w:tc>
        <w:tc>
          <w:tcPr>
            <w:tcW w:w="405" w:type="dxa"/>
            <w:vMerge w:val="continue"/>
            <w:tcBorders>
              <w:top w:val="nil"/>
            </w:tcBorders>
            <w:textDirection w:val="tbRlV"/>
            <w:vAlign w:val="top"/>
          </w:tcPr>
          <w:p w14:paraId="53B6A8DF">
            <w:pPr>
              <w:rPr>
                <w:rFonts w:ascii="Arial"/>
                <w:sz w:val="21"/>
              </w:rPr>
            </w:pPr>
          </w:p>
        </w:tc>
        <w:tc>
          <w:tcPr>
            <w:tcW w:w="435" w:type="dxa"/>
            <w:vMerge w:val="continue"/>
            <w:tcBorders>
              <w:top w:val="nil"/>
            </w:tcBorders>
            <w:vAlign w:val="top"/>
          </w:tcPr>
          <w:p w14:paraId="2899626D">
            <w:pPr>
              <w:rPr>
                <w:rFonts w:ascii="Arial"/>
                <w:sz w:val="21"/>
              </w:rPr>
            </w:pPr>
          </w:p>
        </w:tc>
        <w:tc>
          <w:tcPr>
            <w:tcW w:w="435" w:type="dxa"/>
            <w:vMerge w:val="continue"/>
            <w:tcBorders>
              <w:top w:val="nil"/>
            </w:tcBorders>
            <w:vAlign w:val="top"/>
          </w:tcPr>
          <w:p w14:paraId="396D1F06">
            <w:pPr>
              <w:rPr>
                <w:rFonts w:ascii="Arial"/>
                <w:sz w:val="21"/>
              </w:rPr>
            </w:pPr>
          </w:p>
        </w:tc>
        <w:tc>
          <w:tcPr>
            <w:tcW w:w="599" w:type="dxa"/>
            <w:vMerge w:val="continue"/>
            <w:tcBorders>
              <w:top w:val="nil"/>
            </w:tcBorders>
            <w:vAlign w:val="top"/>
          </w:tcPr>
          <w:p w14:paraId="3B95A9AD">
            <w:pPr>
              <w:rPr>
                <w:rFonts w:ascii="Arial"/>
                <w:sz w:val="21"/>
              </w:rPr>
            </w:pPr>
          </w:p>
        </w:tc>
        <w:tc>
          <w:tcPr>
            <w:tcW w:w="405" w:type="dxa"/>
            <w:vMerge w:val="continue"/>
            <w:tcBorders>
              <w:top w:val="nil"/>
            </w:tcBorders>
            <w:textDirection w:val="tbRlV"/>
            <w:vAlign w:val="top"/>
          </w:tcPr>
          <w:p w14:paraId="3B73A63C">
            <w:pPr>
              <w:rPr>
                <w:rFonts w:ascii="Arial"/>
                <w:sz w:val="21"/>
              </w:rPr>
            </w:pPr>
          </w:p>
        </w:tc>
        <w:tc>
          <w:tcPr>
            <w:tcW w:w="405" w:type="dxa"/>
            <w:textDirection w:val="tbRlV"/>
            <w:vAlign w:val="top"/>
          </w:tcPr>
          <w:p w14:paraId="6E4756A8">
            <w:pPr>
              <w:pStyle w:val="6"/>
              <w:spacing w:before="104" w:line="211" w:lineRule="auto"/>
              <w:ind w:left="339"/>
              <w:rPr>
                <w:sz w:val="21"/>
                <w:szCs w:val="21"/>
              </w:rPr>
            </w:pPr>
            <w:r>
              <w:rPr>
                <w:b/>
                <w:bCs/>
                <w:spacing w:val="-2"/>
                <w:sz w:val="21"/>
                <w:szCs w:val="21"/>
              </w:rPr>
              <w:t>初</w:t>
            </w:r>
            <w:r>
              <w:rPr>
                <w:spacing w:val="-2"/>
                <w:sz w:val="21"/>
                <w:szCs w:val="21"/>
              </w:rPr>
              <w:t xml:space="preserve"> </w:t>
            </w:r>
            <w:r>
              <w:rPr>
                <w:b/>
                <w:bCs/>
                <w:spacing w:val="-2"/>
                <w:sz w:val="21"/>
                <w:szCs w:val="21"/>
              </w:rPr>
              <w:t>级</w:t>
            </w:r>
          </w:p>
        </w:tc>
        <w:tc>
          <w:tcPr>
            <w:tcW w:w="405" w:type="dxa"/>
            <w:textDirection w:val="tbRlV"/>
            <w:vAlign w:val="top"/>
          </w:tcPr>
          <w:p w14:paraId="5A490E1F">
            <w:pPr>
              <w:pStyle w:val="6"/>
              <w:spacing w:before="104" w:line="206" w:lineRule="auto"/>
              <w:ind w:left="339"/>
              <w:rPr>
                <w:sz w:val="21"/>
                <w:szCs w:val="21"/>
              </w:rPr>
            </w:pPr>
            <w:r>
              <w:rPr>
                <w:b/>
                <w:bCs/>
                <w:spacing w:val="-2"/>
                <w:sz w:val="21"/>
                <w:szCs w:val="21"/>
              </w:rPr>
              <w:t>中</w:t>
            </w:r>
            <w:r>
              <w:rPr>
                <w:spacing w:val="-2"/>
                <w:sz w:val="21"/>
                <w:szCs w:val="21"/>
              </w:rPr>
              <w:t xml:space="preserve"> </w:t>
            </w:r>
            <w:r>
              <w:rPr>
                <w:b/>
                <w:bCs/>
                <w:spacing w:val="-2"/>
                <w:sz w:val="21"/>
                <w:szCs w:val="21"/>
              </w:rPr>
              <w:t>级</w:t>
            </w:r>
          </w:p>
        </w:tc>
        <w:tc>
          <w:tcPr>
            <w:tcW w:w="405" w:type="dxa"/>
            <w:textDirection w:val="tbRlV"/>
            <w:vAlign w:val="top"/>
          </w:tcPr>
          <w:p w14:paraId="68BAC7A2">
            <w:pPr>
              <w:pStyle w:val="6"/>
              <w:spacing w:before="103" w:line="205" w:lineRule="auto"/>
              <w:ind w:left="339"/>
              <w:rPr>
                <w:sz w:val="21"/>
                <w:szCs w:val="21"/>
              </w:rPr>
            </w:pPr>
            <w:r>
              <w:rPr>
                <w:b/>
                <w:bCs/>
                <w:spacing w:val="-2"/>
                <w:sz w:val="21"/>
                <w:szCs w:val="21"/>
              </w:rPr>
              <w:t>高</w:t>
            </w:r>
            <w:r>
              <w:rPr>
                <w:spacing w:val="-2"/>
                <w:sz w:val="21"/>
                <w:szCs w:val="21"/>
              </w:rPr>
              <w:t xml:space="preserve"> </w:t>
            </w:r>
            <w:r>
              <w:rPr>
                <w:b/>
                <w:bCs/>
                <w:spacing w:val="-2"/>
                <w:sz w:val="21"/>
                <w:szCs w:val="21"/>
              </w:rPr>
              <w:t>级</w:t>
            </w:r>
          </w:p>
        </w:tc>
        <w:tc>
          <w:tcPr>
            <w:tcW w:w="600" w:type="dxa"/>
            <w:vAlign w:val="top"/>
          </w:tcPr>
          <w:p w14:paraId="727069E6">
            <w:pPr>
              <w:spacing w:line="269" w:lineRule="auto"/>
              <w:rPr>
                <w:rFonts w:ascii="Arial"/>
                <w:sz w:val="21"/>
              </w:rPr>
            </w:pPr>
          </w:p>
          <w:p w14:paraId="5D903AC3">
            <w:pPr>
              <w:pStyle w:val="6"/>
              <w:spacing w:before="69" w:line="280" w:lineRule="auto"/>
              <w:ind w:left="86" w:right="73" w:hanging="2"/>
              <w:rPr>
                <w:sz w:val="21"/>
                <w:szCs w:val="21"/>
              </w:rPr>
            </w:pPr>
            <w:r>
              <w:rPr>
                <w:b/>
                <w:bCs/>
                <w:spacing w:val="1"/>
                <w:sz w:val="21"/>
                <w:szCs w:val="21"/>
              </w:rPr>
              <w:t>证书</w:t>
            </w:r>
            <w:r>
              <w:rPr>
                <w:b/>
                <w:bCs/>
                <w:sz w:val="21"/>
                <w:szCs w:val="21"/>
              </w:rPr>
              <w:t>名称</w:t>
            </w:r>
          </w:p>
        </w:tc>
        <w:tc>
          <w:tcPr>
            <w:tcW w:w="405" w:type="dxa"/>
            <w:textDirection w:val="tbRlV"/>
            <w:vAlign w:val="top"/>
          </w:tcPr>
          <w:p w14:paraId="4B0D7469">
            <w:pPr>
              <w:pStyle w:val="6"/>
              <w:spacing w:before="103" w:line="206" w:lineRule="auto"/>
              <w:ind w:left="339"/>
              <w:rPr>
                <w:sz w:val="21"/>
                <w:szCs w:val="21"/>
              </w:rPr>
            </w:pPr>
            <w:r>
              <w:rPr>
                <w:b/>
                <w:bCs/>
                <w:spacing w:val="-2"/>
                <w:sz w:val="21"/>
                <w:szCs w:val="21"/>
              </w:rPr>
              <w:t>级</w:t>
            </w:r>
            <w:r>
              <w:rPr>
                <w:spacing w:val="-2"/>
                <w:sz w:val="21"/>
                <w:szCs w:val="21"/>
              </w:rPr>
              <w:t xml:space="preserve"> </w:t>
            </w:r>
            <w:r>
              <w:rPr>
                <w:b/>
                <w:bCs/>
                <w:spacing w:val="-2"/>
                <w:sz w:val="21"/>
                <w:szCs w:val="21"/>
              </w:rPr>
              <w:t>别</w:t>
            </w:r>
          </w:p>
        </w:tc>
        <w:tc>
          <w:tcPr>
            <w:tcW w:w="554" w:type="dxa"/>
            <w:vAlign w:val="top"/>
          </w:tcPr>
          <w:p w14:paraId="4061D65A">
            <w:pPr>
              <w:spacing w:line="433" w:lineRule="auto"/>
              <w:rPr>
                <w:rFonts w:ascii="Arial"/>
                <w:sz w:val="21"/>
              </w:rPr>
            </w:pPr>
          </w:p>
          <w:p w14:paraId="5ABAF634">
            <w:pPr>
              <w:pStyle w:val="6"/>
              <w:spacing w:before="68" w:line="221" w:lineRule="auto"/>
              <w:ind w:left="55"/>
              <w:rPr>
                <w:sz w:val="21"/>
                <w:szCs w:val="21"/>
              </w:rPr>
            </w:pPr>
            <w:r>
              <w:rPr>
                <w:b/>
                <w:bCs/>
                <w:spacing w:val="1"/>
                <w:sz w:val="21"/>
                <w:szCs w:val="21"/>
              </w:rPr>
              <w:t>证号</w:t>
            </w:r>
          </w:p>
        </w:tc>
        <w:tc>
          <w:tcPr>
            <w:tcW w:w="540" w:type="dxa"/>
            <w:vAlign w:val="top"/>
          </w:tcPr>
          <w:p w14:paraId="5AE7D604">
            <w:pPr>
              <w:spacing w:line="433" w:lineRule="auto"/>
              <w:rPr>
                <w:rFonts w:ascii="Arial"/>
                <w:sz w:val="21"/>
              </w:rPr>
            </w:pPr>
          </w:p>
          <w:p w14:paraId="5DFA12BC">
            <w:pPr>
              <w:pStyle w:val="6"/>
              <w:spacing w:before="69" w:line="220" w:lineRule="auto"/>
              <w:ind w:left="58"/>
              <w:rPr>
                <w:sz w:val="21"/>
                <w:szCs w:val="21"/>
              </w:rPr>
            </w:pPr>
            <w:r>
              <w:rPr>
                <w:b/>
                <w:bCs/>
                <w:spacing w:val="1"/>
                <w:sz w:val="21"/>
                <w:szCs w:val="21"/>
              </w:rPr>
              <w:t>专业</w:t>
            </w:r>
          </w:p>
        </w:tc>
        <w:tc>
          <w:tcPr>
            <w:tcW w:w="554" w:type="dxa"/>
            <w:vMerge w:val="continue"/>
            <w:tcBorders>
              <w:top w:val="nil"/>
            </w:tcBorders>
            <w:vAlign w:val="top"/>
          </w:tcPr>
          <w:p w14:paraId="4B837DA0">
            <w:pPr>
              <w:rPr>
                <w:rFonts w:ascii="Arial"/>
                <w:sz w:val="21"/>
              </w:rPr>
            </w:pPr>
          </w:p>
        </w:tc>
        <w:tc>
          <w:tcPr>
            <w:tcW w:w="622" w:type="dxa"/>
            <w:vMerge w:val="continue"/>
            <w:tcBorders>
              <w:top w:val="nil"/>
            </w:tcBorders>
            <w:vAlign w:val="top"/>
          </w:tcPr>
          <w:p w14:paraId="1008B884">
            <w:pPr>
              <w:rPr>
                <w:rFonts w:ascii="Arial"/>
                <w:sz w:val="21"/>
              </w:rPr>
            </w:pPr>
          </w:p>
        </w:tc>
      </w:tr>
      <w:tr w14:paraId="2F9D6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12" w:type="dxa"/>
            <w:vAlign w:val="top"/>
          </w:tcPr>
          <w:p w14:paraId="0DFCA36D">
            <w:pPr>
              <w:spacing w:before="152" w:line="235" w:lineRule="auto"/>
              <w:ind w:left="159"/>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599" w:type="dxa"/>
            <w:vAlign w:val="top"/>
          </w:tcPr>
          <w:p w14:paraId="033FBA79">
            <w:pPr>
              <w:rPr>
                <w:rFonts w:ascii="Arial"/>
                <w:sz w:val="21"/>
              </w:rPr>
            </w:pPr>
          </w:p>
        </w:tc>
        <w:tc>
          <w:tcPr>
            <w:tcW w:w="450" w:type="dxa"/>
            <w:vAlign w:val="top"/>
          </w:tcPr>
          <w:p w14:paraId="4F2D4CFF">
            <w:pPr>
              <w:rPr>
                <w:rFonts w:ascii="Arial"/>
                <w:sz w:val="21"/>
              </w:rPr>
            </w:pPr>
          </w:p>
        </w:tc>
        <w:tc>
          <w:tcPr>
            <w:tcW w:w="405" w:type="dxa"/>
            <w:vAlign w:val="top"/>
          </w:tcPr>
          <w:p w14:paraId="4F083686">
            <w:pPr>
              <w:rPr>
                <w:rFonts w:ascii="Arial"/>
                <w:sz w:val="21"/>
              </w:rPr>
            </w:pPr>
          </w:p>
        </w:tc>
        <w:tc>
          <w:tcPr>
            <w:tcW w:w="435" w:type="dxa"/>
            <w:vAlign w:val="top"/>
          </w:tcPr>
          <w:p w14:paraId="2A1D7611">
            <w:pPr>
              <w:rPr>
                <w:rFonts w:ascii="Arial"/>
                <w:sz w:val="21"/>
              </w:rPr>
            </w:pPr>
          </w:p>
        </w:tc>
        <w:tc>
          <w:tcPr>
            <w:tcW w:w="435" w:type="dxa"/>
            <w:vAlign w:val="top"/>
          </w:tcPr>
          <w:p w14:paraId="61159813">
            <w:pPr>
              <w:rPr>
                <w:rFonts w:ascii="Arial"/>
                <w:sz w:val="21"/>
              </w:rPr>
            </w:pPr>
          </w:p>
        </w:tc>
        <w:tc>
          <w:tcPr>
            <w:tcW w:w="599" w:type="dxa"/>
            <w:vAlign w:val="top"/>
          </w:tcPr>
          <w:p w14:paraId="2C21A6CB">
            <w:pPr>
              <w:rPr>
                <w:rFonts w:ascii="Arial"/>
                <w:sz w:val="21"/>
              </w:rPr>
            </w:pPr>
          </w:p>
        </w:tc>
        <w:tc>
          <w:tcPr>
            <w:tcW w:w="405" w:type="dxa"/>
            <w:vAlign w:val="top"/>
          </w:tcPr>
          <w:p w14:paraId="21BD2425">
            <w:pPr>
              <w:rPr>
                <w:rFonts w:ascii="Arial"/>
                <w:sz w:val="21"/>
              </w:rPr>
            </w:pPr>
          </w:p>
        </w:tc>
        <w:tc>
          <w:tcPr>
            <w:tcW w:w="405" w:type="dxa"/>
            <w:vAlign w:val="top"/>
          </w:tcPr>
          <w:p w14:paraId="594D3CF3">
            <w:pPr>
              <w:rPr>
                <w:rFonts w:ascii="Arial"/>
                <w:sz w:val="21"/>
              </w:rPr>
            </w:pPr>
          </w:p>
        </w:tc>
        <w:tc>
          <w:tcPr>
            <w:tcW w:w="405" w:type="dxa"/>
            <w:vAlign w:val="top"/>
          </w:tcPr>
          <w:p w14:paraId="30B424C6">
            <w:pPr>
              <w:rPr>
                <w:rFonts w:ascii="Arial"/>
                <w:sz w:val="21"/>
              </w:rPr>
            </w:pPr>
          </w:p>
        </w:tc>
        <w:tc>
          <w:tcPr>
            <w:tcW w:w="405" w:type="dxa"/>
            <w:vAlign w:val="top"/>
          </w:tcPr>
          <w:p w14:paraId="4C107290">
            <w:pPr>
              <w:rPr>
                <w:rFonts w:ascii="Arial"/>
                <w:sz w:val="21"/>
              </w:rPr>
            </w:pPr>
          </w:p>
        </w:tc>
        <w:tc>
          <w:tcPr>
            <w:tcW w:w="600" w:type="dxa"/>
            <w:vAlign w:val="top"/>
          </w:tcPr>
          <w:p w14:paraId="7C90515C">
            <w:pPr>
              <w:rPr>
                <w:rFonts w:ascii="Arial"/>
                <w:sz w:val="21"/>
              </w:rPr>
            </w:pPr>
          </w:p>
        </w:tc>
        <w:tc>
          <w:tcPr>
            <w:tcW w:w="405" w:type="dxa"/>
            <w:vAlign w:val="top"/>
          </w:tcPr>
          <w:p w14:paraId="1C243518">
            <w:pPr>
              <w:rPr>
                <w:rFonts w:ascii="Arial"/>
                <w:sz w:val="21"/>
              </w:rPr>
            </w:pPr>
          </w:p>
        </w:tc>
        <w:tc>
          <w:tcPr>
            <w:tcW w:w="554" w:type="dxa"/>
            <w:vAlign w:val="top"/>
          </w:tcPr>
          <w:p w14:paraId="71ADF7EC">
            <w:pPr>
              <w:rPr>
                <w:rFonts w:ascii="Arial"/>
                <w:sz w:val="21"/>
              </w:rPr>
            </w:pPr>
          </w:p>
        </w:tc>
        <w:tc>
          <w:tcPr>
            <w:tcW w:w="540" w:type="dxa"/>
            <w:vAlign w:val="top"/>
          </w:tcPr>
          <w:p w14:paraId="1D0EE4AB">
            <w:pPr>
              <w:rPr>
                <w:rFonts w:ascii="Arial"/>
                <w:sz w:val="21"/>
              </w:rPr>
            </w:pPr>
          </w:p>
        </w:tc>
        <w:tc>
          <w:tcPr>
            <w:tcW w:w="554" w:type="dxa"/>
            <w:vAlign w:val="top"/>
          </w:tcPr>
          <w:p w14:paraId="6C5E435D">
            <w:pPr>
              <w:rPr>
                <w:rFonts w:ascii="Arial"/>
                <w:sz w:val="21"/>
              </w:rPr>
            </w:pPr>
          </w:p>
        </w:tc>
        <w:tc>
          <w:tcPr>
            <w:tcW w:w="622" w:type="dxa"/>
            <w:vAlign w:val="top"/>
          </w:tcPr>
          <w:p w14:paraId="0BB56339">
            <w:pPr>
              <w:rPr>
                <w:rFonts w:ascii="Arial"/>
                <w:sz w:val="21"/>
              </w:rPr>
            </w:pPr>
          </w:p>
        </w:tc>
      </w:tr>
      <w:tr w14:paraId="5E7ED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12" w:type="dxa"/>
            <w:vAlign w:val="top"/>
          </w:tcPr>
          <w:p w14:paraId="0AA586EB">
            <w:pPr>
              <w:spacing w:before="152" w:line="235" w:lineRule="auto"/>
              <w:ind w:left="139"/>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599" w:type="dxa"/>
            <w:vAlign w:val="top"/>
          </w:tcPr>
          <w:p w14:paraId="0826E2C8">
            <w:pPr>
              <w:rPr>
                <w:rFonts w:ascii="Arial"/>
                <w:sz w:val="21"/>
              </w:rPr>
            </w:pPr>
          </w:p>
        </w:tc>
        <w:tc>
          <w:tcPr>
            <w:tcW w:w="450" w:type="dxa"/>
            <w:vAlign w:val="top"/>
          </w:tcPr>
          <w:p w14:paraId="68B5004B">
            <w:pPr>
              <w:rPr>
                <w:rFonts w:ascii="Arial"/>
                <w:sz w:val="21"/>
              </w:rPr>
            </w:pPr>
          </w:p>
        </w:tc>
        <w:tc>
          <w:tcPr>
            <w:tcW w:w="405" w:type="dxa"/>
            <w:vAlign w:val="top"/>
          </w:tcPr>
          <w:p w14:paraId="123595FF">
            <w:pPr>
              <w:rPr>
                <w:rFonts w:ascii="Arial"/>
                <w:sz w:val="21"/>
              </w:rPr>
            </w:pPr>
          </w:p>
        </w:tc>
        <w:tc>
          <w:tcPr>
            <w:tcW w:w="435" w:type="dxa"/>
            <w:vAlign w:val="top"/>
          </w:tcPr>
          <w:p w14:paraId="2A2656FE">
            <w:pPr>
              <w:rPr>
                <w:rFonts w:ascii="Arial"/>
                <w:sz w:val="21"/>
              </w:rPr>
            </w:pPr>
          </w:p>
        </w:tc>
        <w:tc>
          <w:tcPr>
            <w:tcW w:w="435" w:type="dxa"/>
            <w:vAlign w:val="top"/>
          </w:tcPr>
          <w:p w14:paraId="097AF2ED">
            <w:pPr>
              <w:rPr>
                <w:rFonts w:ascii="Arial"/>
                <w:sz w:val="21"/>
              </w:rPr>
            </w:pPr>
          </w:p>
        </w:tc>
        <w:tc>
          <w:tcPr>
            <w:tcW w:w="599" w:type="dxa"/>
            <w:vAlign w:val="top"/>
          </w:tcPr>
          <w:p w14:paraId="0544B290">
            <w:pPr>
              <w:rPr>
                <w:rFonts w:ascii="Arial"/>
                <w:sz w:val="21"/>
              </w:rPr>
            </w:pPr>
          </w:p>
        </w:tc>
        <w:tc>
          <w:tcPr>
            <w:tcW w:w="405" w:type="dxa"/>
            <w:vAlign w:val="top"/>
          </w:tcPr>
          <w:p w14:paraId="011EFB6D">
            <w:pPr>
              <w:rPr>
                <w:rFonts w:ascii="Arial"/>
                <w:sz w:val="21"/>
              </w:rPr>
            </w:pPr>
          </w:p>
        </w:tc>
        <w:tc>
          <w:tcPr>
            <w:tcW w:w="405" w:type="dxa"/>
            <w:vAlign w:val="top"/>
          </w:tcPr>
          <w:p w14:paraId="0C33DBBF">
            <w:pPr>
              <w:rPr>
                <w:rFonts w:ascii="Arial"/>
                <w:sz w:val="21"/>
              </w:rPr>
            </w:pPr>
          </w:p>
        </w:tc>
        <w:tc>
          <w:tcPr>
            <w:tcW w:w="405" w:type="dxa"/>
            <w:vAlign w:val="top"/>
          </w:tcPr>
          <w:p w14:paraId="4DB4C7CB">
            <w:pPr>
              <w:rPr>
                <w:rFonts w:ascii="Arial"/>
                <w:sz w:val="21"/>
              </w:rPr>
            </w:pPr>
          </w:p>
        </w:tc>
        <w:tc>
          <w:tcPr>
            <w:tcW w:w="405" w:type="dxa"/>
            <w:vAlign w:val="top"/>
          </w:tcPr>
          <w:p w14:paraId="15B2FE21">
            <w:pPr>
              <w:rPr>
                <w:rFonts w:ascii="Arial"/>
                <w:sz w:val="21"/>
              </w:rPr>
            </w:pPr>
          </w:p>
        </w:tc>
        <w:tc>
          <w:tcPr>
            <w:tcW w:w="600" w:type="dxa"/>
            <w:vAlign w:val="top"/>
          </w:tcPr>
          <w:p w14:paraId="2C19037B">
            <w:pPr>
              <w:rPr>
                <w:rFonts w:ascii="Arial"/>
                <w:sz w:val="21"/>
              </w:rPr>
            </w:pPr>
          </w:p>
        </w:tc>
        <w:tc>
          <w:tcPr>
            <w:tcW w:w="405" w:type="dxa"/>
            <w:vAlign w:val="top"/>
          </w:tcPr>
          <w:p w14:paraId="2095099B">
            <w:pPr>
              <w:rPr>
                <w:rFonts w:ascii="Arial"/>
                <w:sz w:val="21"/>
              </w:rPr>
            </w:pPr>
          </w:p>
        </w:tc>
        <w:tc>
          <w:tcPr>
            <w:tcW w:w="554" w:type="dxa"/>
            <w:vAlign w:val="top"/>
          </w:tcPr>
          <w:p w14:paraId="37C28414">
            <w:pPr>
              <w:rPr>
                <w:rFonts w:ascii="Arial"/>
                <w:sz w:val="21"/>
              </w:rPr>
            </w:pPr>
          </w:p>
        </w:tc>
        <w:tc>
          <w:tcPr>
            <w:tcW w:w="540" w:type="dxa"/>
            <w:vAlign w:val="top"/>
          </w:tcPr>
          <w:p w14:paraId="761BAC2E">
            <w:pPr>
              <w:rPr>
                <w:rFonts w:ascii="Arial"/>
                <w:sz w:val="21"/>
              </w:rPr>
            </w:pPr>
          </w:p>
        </w:tc>
        <w:tc>
          <w:tcPr>
            <w:tcW w:w="554" w:type="dxa"/>
            <w:vAlign w:val="top"/>
          </w:tcPr>
          <w:p w14:paraId="5C09586D">
            <w:pPr>
              <w:rPr>
                <w:rFonts w:ascii="Arial"/>
                <w:sz w:val="21"/>
              </w:rPr>
            </w:pPr>
          </w:p>
        </w:tc>
        <w:tc>
          <w:tcPr>
            <w:tcW w:w="622" w:type="dxa"/>
            <w:vAlign w:val="top"/>
          </w:tcPr>
          <w:p w14:paraId="0C35FAD6">
            <w:pPr>
              <w:rPr>
                <w:rFonts w:ascii="Arial"/>
                <w:sz w:val="21"/>
              </w:rPr>
            </w:pPr>
          </w:p>
        </w:tc>
      </w:tr>
      <w:tr w14:paraId="1291A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5CFB401E">
            <w:pPr>
              <w:spacing w:before="153"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599" w:type="dxa"/>
            <w:vAlign w:val="top"/>
          </w:tcPr>
          <w:p w14:paraId="53A1F4C7">
            <w:pPr>
              <w:rPr>
                <w:rFonts w:ascii="Arial"/>
                <w:sz w:val="21"/>
              </w:rPr>
            </w:pPr>
          </w:p>
        </w:tc>
        <w:tc>
          <w:tcPr>
            <w:tcW w:w="450" w:type="dxa"/>
            <w:vAlign w:val="top"/>
          </w:tcPr>
          <w:p w14:paraId="069C1E7D">
            <w:pPr>
              <w:rPr>
                <w:rFonts w:ascii="Arial"/>
                <w:sz w:val="21"/>
              </w:rPr>
            </w:pPr>
          </w:p>
        </w:tc>
        <w:tc>
          <w:tcPr>
            <w:tcW w:w="405" w:type="dxa"/>
            <w:vAlign w:val="top"/>
          </w:tcPr>
          <w:p w14:paraId="14CE1135">
            <w:pPr>
              <w:rPr>
                <w:rFonts w:ascii="Arial"/>
                <w:sz w:val="21"/>
              </w:rPr>
            </w:pPr>
          </w:p>
        </w:tc>
        <w:tc>
          <w:tcPr>
            <w:tcW w:w="435" w:type="dxa"/>
            <w:vAlign w:val="top"/>
          </w:tcPr>
          <w:p w14:paraId="03947C52">
            <w:pPr>
              <w:rPr>
                <w:rFonts w:ascii="Arial"/>
                <w:sz w:val="21"/>
              </w:rPr>
            </w:pPr>
          </w:p>
        </w:tc>
        <w:tc>
          <w:tcPr>
            <w:tcW w:w="435" w:type="dxa"/>
            <w:vAlign w:val="top"/>
          </w:tcPr>
          <w:p w14:paraId="5A72AA49">
            <w:pPr>
              <w:rPr>
                <w:rFonts w:ascii="Arial"/>
                <w:sz w:val="21"/>
              </w:rPr>
            </w:pPr>
          </w:p>
        </w:tc>
        <w:tc>
          <w:tcPr>
            <w:tcW w:w="599" w:type="dxa"/>
            <w:vAlign w:val="top"/>
          </w:tcPr>
          <w:p w14:paraId="3DE98943">
            <w:pPr>
              <w:rPr>
                <w:rFonts w:ascii="Arial"/>
                <w:sz w:val="21"/>
              </w:rPr>
            </w:pPr>
          </w:p>
        </w:tc>
        <w:tc>
          <w:tcPr>
            <w:tcW w:w="405" w:type="dxa"/>
            <w:vAlign w:val="top"/>
          </w:tcPr>
          <w:p w14:paraId="2AA4D786">
            <w:pPr>
              <w:rPr>
                <w:rFonts w:ascii="Arial"/>
                <w:sz w:val="21"/>
              </w:rPr>
            </w:pPr>
          </w:p>
        </w:tc>
        <w:tc>
          <w:tcPr>
            <w:tcW w:w="405" w:type="dxa"/>
            <w:vAlign w:val="top"/>
          </w:tcPr>
          <w:p w14:paraId="170FCBCC">
            <w:pPr>
              <w:rPr>
                <w:rFonts w:ascii="Arial"/>
                <w:sz w:val="21"/>
              </w:rPr>
            </w:pPr>
          </w:p>
        </w:tc>
        <w:tc>
          <w:tcPr>
            <w:tcW w:w="405" w:type="dxa"/>
            <w:vAlign w:val="top"/>
          </w:tcPr>
          <w:p w14:paraId="647F492A">
            <w:pPr>
              <w:rPr>
                <w:rFonts w:ascii="Arial"/>
                <w:sz w:val="21"/>
              </w:rPr>
            </w:pPr>
          </w:p>
        </w:tc>
        <w:tc>
          <w:tcPr>
            <w:tcW w:w="405" w:type="dxa"/>
            <w:vAlign w:val="top"/>
          </w:tcPr>
          <w:p w14:paraId="7521FE22">
            <w:pPr>
              <w:rPr>
                <w:rFonts w:ascii="Arial"/>
                <w:sz w:val="21"/>
              </w:rPr>
            </w:pPr>
          </w:p>
        </w:tc>
        <w:tc>
          <w:tcPr>
            <w:tcW w:w="600" w:type="dxa"/>
            <w:vAlign w:val="top"/>
          </w:tcPr>
          <w:p w14:paraId="59BF8954">
            <w:pPr>
              <w:rPr>
                <w:rFonts w:ascii="Arial"/>
                <w:sz w:val="21"/>
              </w:rPr>
            </w:pPr>
          </w:p>
        </w:tc>
        <w:tc>
          <w:tcPr>
            <w:tcW w:w="405" w:type="dxa"/>
            <w:vAlign w:val="top"/>
          </w:tcPr>
          <w:p w14:paraId="4BB70A7A">
            <w:pPr>
              <w:rPr>
                <w:rFonts w:ascii="Arial"/>
                <w:sz w:val="21"/>
              </w:rPr>
            </w:pPr>
          </w:p>
        </w:tc>
        <w:tc>
          <w:tcPr>
            <w:tcW w:w="554" w:type="dxa"/>
            <w:vAlign w:val="top"/>
          </w:tcPr>
          <w:p w14:paraId="2F06B8CA">
            <w:pPr>
              <w:rPr>
                <w:rFonts w:ascii="Arial"/>
                <w:sz w:val="21"/>
              </w:rPr>
            </w:pPr>
          </w:p>
        </w:tc>
        <w:tc>
          <w:tcPr>
            <w:tcW w:w="540" w:type="dxa"/>
            <w:vAlign w:val="top"/>
          </w:tcPr>
          <w:p w14:paraId="7147F6FB">
            <w:pPr>
              <w:rPr>
                <w:rFonts w:ascii="Arial"/>
                <w:sz w:val="21"/>
              </w:rPr>
            </w:pPr>
          </w:p>
        </w:tc>
        <w:tc>
          <w:tcPr>
            <w:tcW w:w="554" w:type="dxa"/>
            <w:vAlign w:val="top"/>
          </w:tcPr>
          <w:p w14:paraId="42867F6D">
            <w:pPr>
              <w:rPr>
                <w:rFonts w:ascii="Arial"/>
                <w:sz w:val="21"/>
              </w:rPr>
            </w:pPr>
          </w:p>
        </w:tc>
        <w:tc>
          <w:tcPr>
            <w:tcW w:w="622" w:type="dxa"/>
            <w:vAlign w:val="top"/>
          </w:tcPr>
          <w:p w14:paraId="35E27A13">
            <w:pPr>
              <w:rPr>
                <w:rFonts w:ascii="Arial"/>
                <w:sz w:val="21"/>
              </w:rPr>
            </w:pPr>
          </w:p>
        </w:tc>
      </w:tr>
      <w:tr w14:paraId="7729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49F33F3A">
            <w:pPr>
              <w:spacing w:before="154" w:line="235" w:lineRule="auto"/>
              <w:ind w:left="138"/>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599" w:type="dxa"/>
            <w:vAlign w:val="top"/>
          </w:tcPr>
          <w:p w14:paraId="39E58EBA">
            <w:pPr>
              <w:rPr>
                <w:rFonts w:ascii="Arial"/>
                <w:sz w:val="21"/>
              </w:rPr>
            </w:pPr>
          </w:p>
        </w:tc>
        <w:tc>
          <w:tcPr>
            <w:tcW w:w="450" w:type="dxa"/>
            <w:vAlign w:val="top"/>
          </w:tcPr>
          <w:p w14:paraId="57620CB4">
            <w:pPr>
              <w:rPr>
                <w:rFonts w:ascii="Arial"/>
                <w:sz w:val="21"/>
              </w:rPr>
            </w:pPr>
          </w:p>
        </w:tc>
        <w:tc>
          <w:tcPr>
            <w:tcW w:w="405" w:type="dxa"/>
            <w:vAlign w:val="top"/>
          </w:tcPr>
          <w:p w14:paraId="4856EEA9">
            <w:pPr>
              <w:rPr>
                <w:rFonts w:ascii="Arial"/>
                <w:sz w:val="21"/>
              </w:rPr>
            </w:pPr>
          </w:p>
        </w:tc>
        <w:tc>
          <w:tcPr>
            <w:tcW w:w="435" w:type="dxa"/>
            <w:vAlign w:val="top"/>
          </w:tcPr>
          <w:p w14:paraId="784403A8">
            <w:pPr>
              <w:rPr>
                <w:rFonts w:ascii="Arial"/>
                <w:sz w:val="21"/>
              </w:rPr>
            </w:pPr>
          </w:p>
        </w:tc>
        <w:tc>
          <w:tcPr>
            <w:tcW w:w="435" w:type="dxa"/>
            <w:vAlign w:val="top"/>
          </w:tcPr>
          <w:p w14:paraId="6A9FB08C">
            <w:pPr>
              <w:rPr>
                <w:rFonts w:ascii="Arial"/>
                <w:sz w:val="21"/>
              </w:rPr>
            </w:pPr>
          </w:p>
        </w:tc>
        <w:tc>
          <w:tcPr>
            <w:tcW w:w="599" w:type="dxa"/>
            <w:vAlign w:val="top"/>
          </w:tcPr>
          <w:p w14:paraId="71F4E319">
            <w:pPr>
              <w:rPr>
                <w:rFonts w:ascii="Arial"/>
                <w:sz w:val="21"/>
              </w:rPr>
            </w:pPr>
          </w:p>
        </w:tc>
        <w:tc>
          <w:tcPr>
            <w:tcW w:w="405" w:type="dxa"/>
            <w:vAlign w:val="top"/>
          </w:tcPr>
          <w:p w14:paraId="78D21014">
            <w:pPr>
              <w:rPr>
                <w:rFonts w:ascii="Arial"/>
                <w:sz w:val="21"/>
              </w:rPr>
            </w:pPr>
          </w:p>
        </w:tc>
        <w:tc>
          <w:tcPr>
            <w:tcW w:w="405" w:type="dxa"/>
            <w:vAlign w:val="top"/>
          </w:tcPr>
          <w:p w14:paraId="7BC5C2E8">
            <w:pPr>
              <w:rPr>
                <w:rFonts w:ascii="Arial"/>
                <w:sz w:val="21"/>
              </w:rPr>
            </w:pPr>
          </w:p>
        </w:tc>
        <w:tc>
          <w:tcPr>
            <w:tcW w:w="405" w:type="dxa"/>
            <w:vAlign w:val="top"/>
          </w:tcPr>
          <w:p w14:paraId="32667AE0">
            <w:pPr>
              <w:rPr>
                <w:rFonts w:ascii="Arial"/>
                <w:sz w:val="21"/>
              </w:rPr>
            </w:pPr>
          </w:p>
        </w:tc>
        <w:tc>
          <w:tcPr>
            <w:tcW w:w="405" w:type="dxa"/>
            <w:vAlign w:val="top"/>
          </w:tcPr>
          <w:p w14:paraId="3C43D419">
            <w:pPr>
              <w:rPr>
                <w:rFonts w:ascii="Arial"/>
                <w:sz w:val="21"/>
              </w:rPr>
            </w:pPr>
          </w:p>
        </w:tc>
        <w:tc>
          <w:tcPr>
            <w:tcW w:w="600" w:type="dxa"/>
            <w:vAlign w:val="top"/>
          </w:tcPr>
          <w:p w14:paraId="708D3956">
            <w:pPr>
              <w:rPr>
                <w:rFonts w:ascii="Arial"/>
                <w:sz w:val="21"/>
              </w:rPr>
            </w:pPr>
          </w:p>
        </w:tc>
        <w:tc>
          <w:tcPr>
            <w:tcW w:w="405" w:type="dxa"/>
            <w:vAlign w:val="top"/>
          </w:tcPr>
          <w:p w14:paraId="7F58560F">
            <w:pPr>
              <w:rPr>
                <w:rFonts w:ascii="Arial"/>
                <w:sz w:val="21"/>
              </w:rPr>
            </w:pPr>
          </w:p>
        </w:tc>
        <w:tc>
          <w:tcPr>
            <w:tcW w:w="554" w:type="dxa"/>
            <w:vAlign w:val="top"/>
          </w:tcPr>
          <w:p w14:paraId="50E46BD4">
            <w:pPr>
              <w:rPr>
                <w:rFonts w:ascii="Arial"/>
                <w:sz w:val="21"/>
              </w:rPr>
            </w:pPr>
          </w:p>
        </w:tc>
        <w:tc>
          <w:tcPr>
            <w:tcW w:w="540" w:type="dxa"/>
            <w:vAlign w:val="top"/>
          </w:tcPr>
          <w:p w14:paraId="373E1D42">
            <w:pPr>
              <w:rPr>
                <w:rFonts w:ascii="Arial"/>
                <w:sz w:val="21"/>
              </w:rPr>
            </w:pPr>
          </w:p>
        </w:tc>
        <w:tc>
          <w:tcPr>
            <w:tcW w:w="554" w:type="dxa"/>
            <w:vAlign w:val="top"/>
          </w:tcPr>
          <w:p w14:paraId="6F4DFFE4">
            <w:pPr>
              <w:rPr>
                <w:rFonts w:ascii="Arial"/>
                <w:sz w:val="21"/>
              </w:rPr>
            </w:pPr>
          </w:p>
        </w:tc>
        <w:tc>
          <w:tcPr>
            <w:tcW w:w="622" w:type="dxa"/>
            <w:vAlign w:val="top"/>
          </w:tcPr>
          <w:p w14:paraId="3D2ABE24">
            <w:pPr>
              <w:rPr>
                <w:rFonts w:ascii="Arial"/>
                <w:sz w:val="21"/>
              </w:rPr>
            </w:pPr>
          </w:p>
        </w:tc>
      </w:tr>
      <w:tr w14:paraId="42021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12" w:type="dxa"/>
            <w:vAlign w:val="top"/>
          </w:tcPr>
          <w:p w14:paraId="028D7D89">
            <w:pPr>
              <w:spacing w:before="156" w:line="232" w:lineRule="auto"/>
              <w:ind w:left="145"/>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599" w:type="dxa"/>
            <w:vAlign w:val="top"/>
          </w:tcPr>
          <w:p w14:paraId="59D572B4">
            <w:pPr>
              <w:rPr>
                <w:rFonts w:ascii="Arial"/>
                <w:sz w:val="21"/>
              </w:rPr>
            </w:pPr>
          </w:p>
        </w:tc>
        <w:tc>
          <w:tcPr>
            <w:tcW w:w="450" w:type="dxa"/>
            <w:vAlign w:val="top"/>
          </w:tcPr>
          <w:p w14:paraId="287AE37F">
            <w:pPr>
              <w:rPr>
                <w:rFonts w:ascii="Arial"/>
                <w:sz w:val="21"/>
              </w:rPr>
            </w:pPr>
          </w:p>
        </w:tc>
        <w:tc>
          <w:tcPr>
            <w:tcW w:w="405" w:type="dxa"/>
            <w:vAlign w:val="top"/>
          </w:tcPr>
          <w:p w14:paraId="5DB9BB0F">
            <w:pPr>
              <w:rPr>
                <w:rFonts w:ascii="Arial"/>
                <w:sz w:val="21"/>
              </w:rPr>
            </w:pPr>
          </w:p>
        </w:tc>
        <w:tc>
          <w:tcPr>
            <w:tcW w:w="435" w:type="dxa"/>
            <w:vAlign w:val="top"/>
          </w:tcPr>
          <w:p w14:paraId="535A8A06">
            <w:pPr>
              <w:rPr>
                <w:rFonts w:ascii="Arial"/>
                <w:sz w:val="21"/>
              </w:rPr>
            </w:pPr>
          </w:p>
        </w:tc>
        <w:tc>
          <w:tcPr>
            <w:tcW w:w="435" w:type="dxa"/>
            <w:vAlign w:val="top"/>
          </w:tcPr>
          <w:p w14:paraId="160726C5">
            <w:pPr>
              <w:rPr>
                <w:rFonts w:ascii="Arial"/>
                <w:sz w:val="21"/>
              </w:rPr>
            </w:pPr>
          </w:p>
        </w:tc>
        <w:tc>
          <w:tcPr>
            <w:tcW w:w="599" w:type="dxa"/>
            <w:vAlign w:val="top"/>
          </w:tcPr>
          <w:p w14:paraId="0BBDC146">
            <w:pPr>
              <w:rPr>
                <w:rFonts w:ascii="Arial"/>
                <w:sz w:val="21"/>
              </w:rPr>
            </w:pPr>
          </w:p>
        </w:tc>
        <w:tc>
          <w:tcPr>
            <w:tcW w:w="405" w:type="dxa"/>
            <w:vAlign w:val="top"/>
          </w:tcPr>
          <w:p w14:paraId="7E039AA5">
            <w:pPr>
              <w:rPr>
                <w:rFonts w:ascii="Arial"/>
                <w:sz w:val="21"/>
              </w:rPr>
            </w:pPr>
          </w:p>
        </w:tc>
        <w:tc>
          <w:tcPr>
            <w:tcW w:w="405" w:type="dxa"/>
            <w:vAlign w:val="top"/>
          </w:tcPr>
          <w:p w14:paraId="254D22A7">
            <w:pPr>
              <w:rPr>
                <w:rFonts w:ascii="Arial"/>
                <w:sz w:val="21"/>
              </w:rPr>
            </w:pPr>
          </w:p>
        </w:tc>
        <w:tc>
          <w:tcPr>
            <w:tcW w:w="405" w:type="dxa"/>
            <w:vAlign w:val="top"/>
          </w:tcPr>
          <w:p w14:paraId="7C5420AA">
            <w:pPr>
              <w:rPr>
                <w:rFonts w:ascii="Arial"/>
                <w:sz w:val="21"/>
              </w:rPr>
            </w:pPr>
          </w:p>
        </w:tc>
        <w:tc>
          <w:tcPr>
            <w:tcW w:w="405" w:type="dxa"/>
            <w:vAlign w:val="top"/>
          </w:tcPr>
          <w:p w14:paraId="02AB7F0A">
            <w:pPr>
              <w:rPr>
                <w:rFonts w:ascii="Arial"/>
                <w:sz w:val="21"/>
              </w:rPr>
            </w:pPr>
          </w:p>
        </w:tc>
        <w:tc>
          <w:tcPr>
            <w:tcW w:w="600" w:type="dxa"/>
            <w:vAlign w:val="top"/>
          </w:tcPr>
          <w:p w14:paraId="7C38CE34">
            <w:pPr>
              <w:rPr>
                <w:rFonts w:ascii="Arial"/>
                <w:sz w:val="21"/>
              </w:rPr>
            </w:pPr>
          </w:p>
        </w:tc>
        <w:tc>
          <w:tcPr>
            <w:tcW w:w="405" w:type="dxa"/>
            <w:vAlign w:val="top"/>
          </w:tcPr>
          <w:p w14:paraId="62564EAC">
            <w:pPr>
              <w:rPr>
                <w:rFonts w:ascii="Arial"/>
                <w:sz w:val="21"/>
              </w:rPr>
            </w:pPr>
          </w:p>
        </w:tc>
        <w:tc>
          <w:tcPr>
            <w:tcW w:w="554" w:type="dxa"/>
            <w:vAlign w:val="top"/>
          </w:tcPr>
          <w:p w14:paraId="148F50B6">
            <w:pPr>
              <w:rPr>
                <w:rFonts w:ascii="Arial"/>
                <w:sz w:val="21"/>
              </w:rPr>
            </w:pPr>
          </w:p>
        </w:tc>
        <w:tc>
          <w:tcPr>
            <w:tcW w:w="540" w:type="dxa"/>
            <w:vAlign w:val="top"/>
          </w:tcPr>
          <w:p w14:paraId="1798D3AB">
            <w:pPr>
              <w:rPr>
                <w:rFonts w:ascii="Arial"/>
                <w:sz w:val="21"/>
              </w:rPr>
            </w:pPr>
          </w:p>
        </w:tc>
        <w:tc>
          <w:tcPr>
            <w:tcW w:w="554" w:type="dxa"/>
            <w:vAlign w:val="top"/>
          </w:tcPr>
          <w:p w14:paraId="2DF1332F">
            <w:pPr>
              <w:rPr>
                <w:rFonts w:ascii="Arial"/>
                <w:sz w:val="21"/>
              </w:rPr>
            </w:pPr>
          </w:p>
        </w:tc>
        <w:tc>
          <w:tcPr>
            <w:tcW w:w="622" w:type="dxa"/>
            <w:vAlign w:val="top"/>
          </w:tcPr>
          <w:p w14:paraId="182013AE">
            <w:pPr>
              <w:rPr>
                <w:rFonts w:ascii="Arial"/>
                <w:sz w:val="21"/>
              </w:rPr>
            </w:pPr>
          </w:p>
        </w:tc>
      </w:tr>
      <w:tr w14:paraId="7B16F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02AF6556">
            <w:pPr>
              <w:spacing w:before="156" w:line="232" w:lineRule="auto"/>
              <w:ind w:left="144"/>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599" w:type="dxa"/>
            <w:vAlign w:val="top"/>
          </w:tcPr>
          <w:p w14:paraId="5BE168AE">
            <w:pPr>
              <w:rPr>
                <w:rFonts w:ascii="Arial"/>
                <w:sz w:val="21"/>
              </w:rPr>
            </w:pPr>
          </w:p>
        </w:tc>
        <w:tc>
          <w:tcPr>
            <w:tcW w:w="450" w:type="dxa"/>
            <w:vAlign w:val="top"/>
          </w:tcPr>
          <w:p w14:paraId="0500A161">
            <w:pPr>
              <w:rPr>
                <w:rFonts w:ascii="Arial"/>
                <w:sz w:val="21"/>
              </w:rPr>
            </w:pPr>
          </w:p>
        </w:tc>
        <w:tc>
          <w:tcPr>
            <w:tcW w:w="405" w:type="dxa"/>
            <w:vAlign w:val="top"/>
          </w:tcPr>
          <w:p w14:paraId="30B10814">
            <w:pPr>
              <w:rPr>
                <w:rFonts w:ascii="Arial"/>
                <w:sz w:val="21"/>
              </w:rPr>
            </w:pPr>
          </w:p>
        </w:tc>
        <w:tc>
          <w:tcPr>
            <w:tcW w:w="435" w:type="dxa"/>
            <w:vAlign w:val="top"/>
          </w:tcPr>
          <w:p w14:paraId="018FC768">
            <w:pPr>
              <w:rPr>
                <w:rFonts w:ascii="Arial"/>
                <w:sz w:val="21"/>
              </w:rPr>
            </w:pPr>
          </w:p>
        </w:tc>
        <w:tc>
          <w:tcPr>
            <w:tcW w:w="435" w:type="dxa"/>
            <w:vAlign w:val="top"/>
          </w:tcPr>
          <w:p w14:paraId="6C830058">
            <w:pPr>
              <w:rPr>
                <w:rFonts w:ascii="Arial"/>
                <w:sz w:val="21"/>
              </w:rPr>
            </w:pPr>
          </w:p>
        </w:tc>
        <w:tc>
          <w:tcPr>
            <w:tcW w:w="599" w:type="dxa"/>
            <w:vAlign w:val="top"/>
          </w:tcPr>
          <w:p w14:paraId="1590752C">
            <w:pPr>
              <w:rPr>
                <w:rFonts w:ascii="Arial"/>
                <w:sz w:val="21"/>
              </w:rPr>
            </w:pPr>
          </w:p>
        </w:tc>
        <w:tc>
          <w:tcPr>
            <w:tcW w:w="405" w:type="dxa"/>
            <w:vAlign w:val="top"/>
          </w:tcPr>
          <w:p w14:paraId="29213C32">
            <w:pPr>
              <w:rPr>
                <w:rFonts w:ascii="Arial"/>
                <w:sz w:val="21"/>
              </w:rPr>
            </w:pPr>
          </w:p>
        </w:tc>
        <w:tc>
          <w:tcPr>
            <w:tcW w:w="405" w:type="dxa"/>
            <w:vAlign w:val="top"/>
          </w:tcPr>
          <w:p w14:paraId="4761236F">
            <w:pPr>
              <w:rPr>
                <w:rFonts w:ascii="Arial"/>
                <w:sz w:val="21"/>
              </w:rPr>
            </w:pPr>
          </w:p>
        </w:tc>
        <w:tc>
          <w:tcPr>
            <w:tcW w:w="405" w:type="dxa"/>
            <w:vAlign w:val="top"/>
          </w:tcPr>
          <w:p w14:paraId="1B357DAF">
            <w:pPr>
              <w:rPr>
                <w:rFonts w:ascii="Arial"/>
                <w:sz w:val="21"/>
              </w:rPr>
            </w:pPr>
          </w:p>
        </w:tc>
        <w:tc>
          <w:tcPr>
            <w:tcW w:w="405" w:type="dxa"/>
            <w:vAlign w:val="top"/>
          </w:tcPr>
          <w:p w14:paraId="1A6B9BCB">
            <w:pPr>
              <w:rPr>
                <w:rFonts w:ascii="Arial"/>
                <w:sz w:val="21"/>
              </w:rPr>
            </w:pPr>
          </w:p>
        </w:tc>
        <w:tc>
          <w:tcPr>
            <w:tcW w:w="600" w:type="dxa"/>
            <w:vAlign w:val="top"/>
          </w:tcPr>
          <w:p w14:paraId="7DA22B77">
            <w:pPr>
              <w:rPr>
                <w:rFonts w:ascii="Arial"/>
                <w:sz w:val="21"/>
              </w:rPr>
            </w:pPr>
          </w:p>
        </w:tc>
        <w:tc>
          <w:tcPr>
            <w:tcW w:w="405" w:type="dxa"/>
            <w:vAlign w:val="top"/>
          </w:tcPr>
          <w:p w14:paraId="4BC3DE9A">
            <w:pPr>
              <w:rPr>
                <w:rFonts w:ascii="Arial"/>
                <w:sz w:val="21"/>
              </w:rPr>
            </w:pPr>
          </w:p>
        </w:tc>
        <w:tc>
          <w:tcPr>
            <w:tcW w:w="554" w:type="dxa"/>
            <w:vAlign w:val="top"/>
          </w:tcPr>
          <w:p w14:paraId="0B3B0D58">
            <w:pPr>
              <w:rPr>
                <w:rFonts w:ascii="Arial"/>
                <w:sz w:val="21"/>
              </w:rPr>
            </w:pPr>
          </w:p>
        </w:tc>
        <w:tc>
          <w:tcPr>
            <w:tcW w:w="540" w:type="dxa"/>
            <w:vAlign w:val="top"/>
          </w:tcPr>
          <w:p w14:paraId="4A1BBC29">
            <w:pPr>
              <w:rPr>
                <w:rFonts w:ascii="Arial"/>
                <w:sz w:val="21"/>
              </w:rPr>
            </w:pPr>
          </w:p>
        </w:tc>
        <w:tc>
          <w:tcPr>
            <w:tcW w:w="554" w:type="dxa"/>
            <w:vAlign w:val="top"/>
          </w:tcPr>
          <w:p w14:paraId="5416C87B">
            <w:pPr>
              <w:rPr>
                <w:rFonts w:ascii="Arial"/>
                <w:sz w:val="21"/>
              </w:rPr>
            </w:pPr>
          </w:p>
        </w:tc>
        <w:tc>
          <w:tcPr>
            <w:tcW w:w="622" w:type="dxa"/>
            <w:vAlign w:val="top"/>
          </w:tcPr>
          <w:p w14:paraId="6CBA7B4D">
            <w:pPr>
              <w:rPr>
                <w:rFonts w:ascii="Arial"/>
                <w:sz w:val="21"/>
              </w:rPr>
            </w:pPr>
          </w:p>
        </w:tc>
      </w:tr>
      <w:tr w14:paraId="0DE15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12" w:type="dxa"/>
            <w:vAlign w:val="top"/>
          </w:tcPr>
          <w:p w14:paraId="2E075CD2">
            <w:pPr>
              <w:spacing w:before="157" w:line="232" w:lineRule="auto"/>
              <w:ind w:left="142"/>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599" w:type="dxa"/>
            <w:vAlign w:val="top"/>
          </w:tcPr>
          <w:p w14:paraId="36AD7084">
            <w:pPr>
              <w:rPr>
                <w:rFonts w:ascii="Arial"/>
                <w:sz w:val="21"/>
              </w:rPr>
            </w:pPr>
          </w:p>
        </w:tc>
        <w:tc>
          <w:tcPr>
            <w:tcW w:w="450" w:type="dxa"/>
            <w:vAlign w:val="top"/>
          </w:tcPr>
          <w:p w14:paraId="72DD06B7">
            <w:pPr>
              <w:rPr>
                <w:rFonts w:ascii="Arial"/>
                <w:sz w:val="21"/>
              </w:rPr>
            </w:pPr>
          </w:p>
        </w:tc>
        <w:tc>
          <w:tcPr>
            <w:tcW w:w="405" w:type="dxa"/>
            <w:vAlign w:val="top"/>
          </w:tcPr>
          <w:p w14:paraId="20836116">
            <w:pPr>
              <w:rPr>
                <w:rFonts w:ascii="Arial"/>
                <w:sz w:val="21"/>
              </w:rPr>
            </w:pPr>
          </w:p>
        </w:tc>
        <w:tc>
          <w:tcPr>
            <w:tcW w:w="435" w:type="dxa"/>
            <w:vAlign w:val="top"/>
          </w:tcPr>
          <w:p w14:paraId="046636A4">
            <w:pPr>
              <w:rPr>
                <w:rFonts w:ascii="Arial"/>
                <w:sz w:val="21"/>
              </w:rPr>
            </w:pPr>
          </w:p>
        </w:tc>
        <w:tc>
          <w:tcPr>
            <w:tcW w:w="435" w:type="dxa"/>
            <w:vAlign w:val="top"/>
          </w:tcPr>
          <w:p w14:paraId="5934FCDE">
            <w:pPr>
              <w:rPr>
                <w:rFonts w:ascii="Arial"/>
                <w:sz w:val="21"/>
              </w:rPr>
            </w:pPr>
          </w:p>
        </w:tc>
        <w:tc>
          <w:tcPr>
            <w:tcW w:w="599" w:type="dxa"/>
            <w:vAlign w:val="top"/>
          </w:tcPr>
          <w:p w14:paraId="709070B5">
            <w:pPr>
              <w:rPr>
                <w:rFonts w:ascii="Arial"/>
                <w:sz w:val="21"/>
              </w:rPr>
            </w:pPr>
          </w:p>
        </w:tc>
        <w:tc>
          <w:tcPr>
            <w:tcW w:w="405" w:type="dxa"/>
            <w:vAlign w:val="top"/>
          </w:tcPr>
          <w:p w14:paraId="73D96B23">
            <w:pPr>
              <w:rPr>
                <w:rFonts w:ascii="Arial"/>
                <w:sz w:val="21"/>
              </w:rPr>
            </w:pPr>
          </w:p>
        </w:tc>
        <w:tc>
          <w:tcPr>
            <w:tcW w:w="405" w:type="dxa"/>
            <w:vAlign w:val="top"/>
          </w:tcPr>
          <w:p w14:paraId="4909DDB6">
            <w:pPr>
              <w:rPr>
                <w:rFonts w:ascii="Arial"/>
                <w:sz w:val="21"/>
              </w:rPr>
            </w:pPr>
          </w:p>
        </w:tc>
        <w:tc>
          <w:tcPr>
            <w:tcW w:w="405" w:type="dxa"/>
            <w:vAlign w:val="top"/>
          </w:tcPr>
          <w:p w14:paraId="284E3E0C">
            <w:pPr>
              <w:rPr>
                <w:rFonts w:ascii="Arial"/>
                <w:sz w:val="21"/>
              </w:rPr>
            </w:pPr>
          </w:p>
        </w:tc>
        <w:tc>
          <w:tcPr>
            <w:tcW w:w="405" w:type="dxa"/>
            <w:vAlign w:val="top"/>
          </w:tcPr>
          <w:p w14:paraId="6EB59168">
            <w:pPr>
              <w:rPr>
                <w:rFonts w:ascii="Arial"/>
                <w:sz w:val="21"/>
              </w:rPr>
            </w:pPr>
          </w:p>
        </w:tc>
        <w:tc>
          <w:tcPr>
            <w:tcW w:w="600" w:type="dxa"/>
            <w:vAlign w:val="top"/>
          </w:tcPr>
          <w:p w14:paraId="7AF04385">
            <w:pPr>
              <w:rPr>
                <w:rFonts w:ascii="Arial"/>
                <w:sz w:val="21"/>
              </w:rPr>
            </w:pPr>
          </w:p>
        </w:tc>
        <w:tc>
          <w:tcPr>
            <w:tcW w:w="405" w:type="dxa"/>
            <w:vAlign w:val="top"/>
          </w:tcPr>
          <w:p w14:paraId="5EF0C27C">
            <w:pPr>
              <w:rPr>
                <w:rFonts w:ascii="Arial"/>
                <w:sz w:val="21"/>
              </w:rPr>
            </w:pPr>
          </w:p>
        </w:tc>
        <w:tc>
          <w:tcPr>
            <w:tcW w:w="554" w:type="dxa"/>
            <w:vAlign w:val="top"/>
          </w:tcPr>
          <w:p w14:paraId="07EE2889">
            <w:pPr>
              <w:rPr>
                <w:rFonts w:ascii="Arial"/>
                <w:sz w:val="21"/>
              </w:rPr>
            </w:pPr>
          </w:p>
        </w:tc>
        <w:tc>
          <w:tcPr>
            <w:tcW w:w="540" w:type="dxa"/>
            <w:vAlign w:val="top"/>
          </w:tcPr>
          <w:p w14:paraId="7169DD53">
            <w:pPr>
              <w:rPr>
                <w:rFonts w:ascii="Arial"/>
                <w:sz w:val="21"/>
              </w:rPr>
            </w:pPr>
          </w:p>
        </w:tc>
        <w:tc>
          <w:tcPr>
            <w:tcW w:w="554" w:type="dxa"/>
            <w:vAlign w:val="top"/>
          </w:tcPr>
          <w:p w14:paraId="1219826B">
            <w:pPr>
              <w:rPr>
                <w:rFonts w:ascii="Arial"/>
                <w:sz w:val="21"/>
              </w:rPr>
            </w:pPr>
          </w:p>
        </w:tc>
        <w:tc>
          <w:tcPr>
            <w:tcW w:w="622" w:type="dxa"/>
            <w:vAlign w:val="top"/>
          </w:tcPr>
          <w:p w14:paraId="2483A7D5">
            <w:pPr>
              <w:rPr>
                <w:rFonts w:ascii="Arial"/>
                <w:sz w:val="21"/>
              </w:rPr>
            </w:pPr>
          </w:p>
        </w:tc>
      </w:tr>
      <w:tr w14:paraId="0E8BE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12" w:type="dxa"/>
            <w:vAlign w:val="top"/>
          </w:tcPr>
          <w:p w14:paraId="24BDC910">
            <w:pPr>
              <w:spacing w:before="159" w:line="232" w:lineRule="auto"/>
              <w:ind w:left="147"/>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599" w:type="dxa"/>
            <w:vAlign w:val="top"/>
          </w:tcPr>
          <w:p w14:paraId="6DC34447">
            <w:pPr>
              <w:rPr>
                <w:rFonts w:ascii="Arial"/>
                <w:sz w:val="21"/>
              </w:rPr>
            </w:pPr>
          </w:p>
        </w:tc>
        <w:tc>
          <w:tcPr>
            <w:tcW w:w="450" w:type="dxa"/>
            <w:vAlign w:val="top"/>
          </w:tcPr>
          <w:p w14:paraId="0117B793">
            <w:pPr>
              <w:rPr>
                <w:rFonts w:ascii="Arial"/>
                <w:sz w:val="21"/>
              </w:rPr>
            </w:pPr>
          </w:p>
        </w:tc>
        <w:tc>
          <w:tcPr>
            <w:tcW w:w="405" w:type="dxa"/>
            <w:vAlign w:val="top"/>
          </w:tcPr>
          <w:p w14:paraId="61563A30">
            <w:pPr>
              <w:rPr>
                <w:rFonts w:ascii="Arial"/>
                <w:sz w:val="21"/>
              </w:rPr>
            </w:pPr>
          </w:p>
        </w:tc>
        <w:tc>
          <w:tcPr>
            <w:tcW w:w="435" w:type="dxa"/>
            <w:vAlign w:val="top"/>
          </w:tcPr>
          <w:p w14:paraId="0D8CA135">
            <w:pPr>
              <w:rPr>
                <w:rFonts w:ascii="Arial"/>
                <w:sz w:val="21"/>
              </w:rPr>
            </w:pPr>
          </w:p>
        </w:tc>
        <w:tc>
          <w:tcPr>
            <w:tcW w:w="435" w:type="dxa"/>
            <w:vAlign w:val="top"/>
          </w:tcPr>
          <w:p w14:paraId="437DD731">
            <w:pPr>
              <w:rPr>
                <w:rFonts w:ascii="Arial"/>
                <w:sz w:val="21"/>
              </w:rPr>
            </w:pPr>
          </w:p>
        </w:tc>
        <w:tc>
          <w:tcPr>
            <w:tcW w:w="599" w:type="dxa"/>
            <w:vAlign w:val="top"/>
          </w:tcPr>
          <w:p w14:paraId="545DE62C">
            <w:pPr>
              <w:rPr>
                <w:rFonts w:ascii="Arial"/>
                <w:sz w:val="21"/>
              </w:rPr>
            </w:pPr>
          </w:p>
        </w:tc>
        <w:tc>
          <w:tcPr>
            <w:tcW w:w="405" w:type="dxa"/>
            <w:vAlign w:val="top"/>
          </w:tcPr>
          <w:p w14:paraId="390381E6">
            <w:pPr>
              <w:rPr>
                <w:rFonts w:ascii="Arial"/>
                <w:sz w:val="21"/>
              </w:rPr>
            </w:pPr>
          </w:p>
        </w:tc>
        <w:tc>
          <w:tcPr>
            <w:tcW w:w="405" w:type="dxa"/>
            <w:vAlign w:val="top"/>
          </w:tcPr>
          <w:p w14:paraId="7544FB03">
            <w:pPr>
              <w:rPr>
                <w:rFonts w:ascii="Arial"/>
                <w:sz w:val="21"/>
              </w:rPr>
            </w:pPr>
          </w:p>
        </w:tc>
        <w:tc>
          <w:tcPr>
            <w:tcW w:w="405" w:type="dxa"/>
            <w:vAlign w:val="top"/>
          </w:tcPr>
          <w:p w14:paraId="675A340B">
            <w:pPr>
              <w:rPr>
                <w:rFonts w:ascii="Arial"/>
                <w:sz w:val="21"/>
              </w:rPr>
            </w:pPr>
          </w:p>
        </w:tc>
        <w:tc>
          <w:tcPr>
            <w:tcW w:w="405" w:type="dxa"/>
            <w:vAlign w:val="top"/>
          </w:tcPr>
          <w:p w14:paraId="081F78C7">
            <w:pPr>
              <w:rPr>
                <w:rFonts w:ascii="Arial"/>
                <w:sz w:val="21"/>
              </w:rPr>
            </w:pPr>
          </w:p>
        </w:tc>
        <w:tc>
          <w:tcPr>
            <w:tcW w:w="600" w:type="dxa"/>
            <w:vAlign w:val="top"/>
          </w:tcPr>
          <w:p w14:paraId="6F9A0C4E">
            <w:pPr>
              <w:rPr>
                <w:rFonts w:ascii="Arial"/>
                <w:sz w:val="21"/>
              </w:rPr>
            </w:pPr>
          </w:p>
        </w:tc>
        <w:tc>
          <w:tcPr>
            <w:tcW w:w="405" w:type="dxa"/>
            <w:vAlign w:val="top"/>
          </w:tcPr>
          <w:p w14:paraId="4D02E12F">
            <w:pPr>
              <w:rPr>
                <w:rFonts w:ascii="Arial"/>
                <w:sz w:val="21"/>
              </w:rPr>
            </w:pPr>
          </w:p>
        </w:tc>
        <w:tc>
          <w:tcPr>
            <w:tcW w:w="554" w:type="dxa"/>
            <w:vAlign w:val="top"/>
          </w:tcPr>
          <w:p w14:paraId="1C29D440">
            <w:pPr>
              <w:rPr>
                <w:rFonts w:ascii="Arial"/>
                <w:sz w:val="21"/>
              </w:rPr>
            </w:pPr>
          </w:p>
        </w:tc>
        <w:tc>
          <w:tcPr>
            <w:tcW w:w="540" w:type="dxa"/>
            <w:vAlign w:val="top"/>
          </w:tcPr>
          <w:p w14:paraId="44FE188C">
            <w:pPr>
              <w:rPr>
                <w:rFonts w:ascii="Arial"/>
                <w:sz w:val="21"/>
              </w:rPr>
            </w:pPr>
          </w:p>
        </w:tc>
        <w:tc>
          <w:tcPr>
            <w:tcW w:w="554" w:type="dxa"/>
            <w:vAlign w:val="top"/>
          </w:tcPr>
          <w:p w14:paraId="70C5AC8D">
            <w:pPr>
              <w:rPr>
                <w:rFonts w:ascii="Arial"/>
                <w:sz w:val="21"/>
              </w:rPr>
            </w:pPr>
          </w:p>
        </w:tc>
        <w:tc>
          <w:tcPr>
            <w:tcW w:w="622" w:type="dxa"/>
            <w:vAlign w:val="top"/>
          </w:tcPr>
          <w:p w14:paraId="21B1A3D7">
            <w:pPr>
              <w:rPr>
                <w:rFonts w:ascii="Arial"/>
                <w:sz w:val="21"/>
              </w:rPr>
            </w:pPr>
          </w:p>
        </w:tc>
      </w:tr>
      <w:tr w14:paraId="12262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12" w:type="dxa"/>
            <w:vAlign w:val="top"/>
          </w:tcPr>
          <w:p w14:paraId="7A9E652D">
            <w:pPr>
              <w:spacing w:before="174" w:line="232" w:lineRule="auto"/>
              <w:ind w:left="143"/>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599" w:type="dxa"/>
            <w:vAlign w:val="top"/>
          </w:tcPr>
          <w:p w14:paraId="6840904B">
            <w:pPr>
              <w:rPr>
                <w:rFonts w:ascii="Arial"/>
                <w:sz w:val="21"/>
              </w:rPr>
            </w:pPr>
          </w:p>
        </w:tc>
        <w:tc>
          <w:tcPr>
            <w:tcW w:w="450" w:type="dxa"/>
            <w:vAlign w:val="top"/>
          </w:tcPr>
          <w:p w14:paraId="698CBFA0">
            <w:pPr>
              <w:rPr>
                <w:rFonts w:ascii="Arial"/>
                <w:sz w:val="21"/>
              </w:rPr>
            </w:pPr>
          </w:p>
        </w:tc>
        <w:tc>
          <w:tcPr>
            <w:tcW w:w="405" w:type="dxa"/>
            <w:vAlign w:val="top"/>
          </w:tcPr>
          <w:p w14:paraId="608B6E5F">
            <w:pPr>
              <w:rPr>
                <w:rFonts w:ascii="Arial"/>
                <w:sz w:val="21"/>
              </w:rPr>
            </w:pPr>
          </w:p>
        </w:tc>
        <w:tc>
          <w:tcPr>
            <w:tcW w:w="435" w:type="dxa"/>
            <w:vAlign w:val="top"/>
          </w:tcPr>
          <w:p w14:paraId="79C46B4C">
            <w:pPr>
              <w:rPr>
                <w:rFonts w:ascii="Arial"/>
                <w:sz w:val="21"/>
              </w:rPr>
            </w:pPr>
          </w:p>
        </w:tc>
        <w:tc>
          <w:tcPr>
            <w:tcW w:w="435" w:type="dxa"/>
            <w:vAlign w:val="top"/>
          </w:tcPr>
          <w:p w14:paraId="2CDE7F5D">
            <w:pPr>
              <w:rPr>
                <w:rFonts w:ascii="Arial"/>
                <w:sz w:val="21"/>
              </w:rPr>
            </w:pPr>
          </w:p>
        </w:tc>
        <w:tc>
          <w:tcPr>
            <w:tcW w:w="599" w:type="dxa"/>
            <w:vAlign w:val="top"/>
          </w:tcPr>
          <w:p w14:paraId="20383FE8">
            <w:pPr>
              <w:rPr>
                <w:rFonts w:ascii="Arial"/>
                <w:sz w:val="21"/>
              </w:rPr>
            </w:pPr>
          </w:p>
        </w:tc>
        <w:tc>
          <w:tcPr>
            <w:tcW w:w="405" w:type="dxa"/>
            <w:vAlign w:val="top"/>
          </w:tcPr>
          <w:p w14:paraId="324A713A">
            <w:pPr>
              <w:rPr>
                <w:rFonts w:ascii="Arial"/>
                <w:sz w:val="21"/>
              </w:rPr>
            </w:pPr>
          </w:p>
        </w:tc>
        <w:tc>
          <w:tcPr>
            <w:tcW w:w="405" w:type="dxa"/>
            <w:vAlign w:val="top"/>
          </w:tcPr>
          <w:p w14:paraId="532531EE">
            <w:pPr>
              <w:rPr>
                <w:rFonts w:ascii="Arial"/>
                <w:sz w:val="21"/>
              </w:rPr>
            </w:pPr>
          </w:p>
        </w:tc>
        <w:tc>
          <w:tcPr>
            <w:tcW w:w="405" w:type="dxa"/>
            <w:vAlign w:val="top"/>
          </w:tcPr>
          <w:p w14:paraId="7D163548">
            <w:pPr>
              <w:rPr>
                <w:rFonts w:ascii="Arial"/>
                <w:sz w:val="21"/>
              </w:rPr>
            </w:pPr>
          </w:p>
        </w:tc>
        <w:tc>
          <w:tcPr>
            <w:tcW w:w="405" w:type="dxa"/>
            <w:vAlign w:val="top"/>
          </w:tcPr>
          <w:p w14:paraId="1202785C">
            <w:pPr>
              <w:rPr>
                <w:rFonts w:ascii="Arial"/>
                <w:sz w:val="21"/>
              </w:rPr>
            </w:pPr>
          </w:p>
        </w:tc>
        <w:tc>
          <w:tcPr>
            <w:tcW w:w="600" w:type="dxa"/>
            <w:vAlign w:val="top"/>
          </w:tcPr>
          <w:p w14:paraId="25AE7AA4">
            <w:pPr>
              <w:rPr>
                <w:rFonts w:ascii="Arial"/>
                <w:sz w:val="21"/>
              </w:rPr>
            </w:pPr>
          </w:p>
        </w:tc>
        <w:tc>
          <w:tcPr>
            <w:tcW w:w="405" w:type="dxa"/>
            <w:vAlign w:val="top"/>
          </w:tcPr>
          <w:p w14:paraId="653DB1AE">
            <w:pPr>
              <w:rPr>
                <w:rFonts w:ascii="Arial"/>
                <w:sz w:val="21"/>
              </w:rPr>
            </w:pPr>
          </w:p>
        </w:tc>
        <w:tc>
          <w:tcPr>
            <w:tcW w:w="554" w:type="dxa"/>
            <w:vAlign w:val="top"/>
          </w:tcPr>
          <w:p w14:paraId="474C2958">
            <w:pPr>
              <w:rPr>
                <w:rFonts w:ascii="Arial"/>
                <w:sz w:val="21"/>
              </w:rPr>
            </w:pPr>
          </w:p>
        </w:tc>
        <w:tc>
          <w:tcPr>
            <w:tcW w:w="540" w:type="dxa"/>
            <w:vAlign w:val="top"/>
          </w:tcPr>
          <w:p w14:paraId="4B179CE8">
            <w:pPr>
              <w:rPr>
                <w:rFonts w:ascii="Arial"/>
                <w:sz w:val="21"/>
              </w:rPr>
            </w:pPr>
          </w:p>
        </w:tc>
        <w:tc>
          <w:tcPr>
            <w:tcW w:w="554" w:type="dxa"/>
            <w:vAlign w:val="top"/>
          </w:tcPr>
          <w:p w14:paraId="5983EF85">
            <w:pPr>
              <w:rPr>
                <w:rFonts w:ascii="Arial"/>
                <w:sz w:val="21"/>
              </w:rPr>
            </w:pPr>
          </w:p>
        </w:tc>
        <w:tc>
          <w:tcPr>
            <w:tcW w:w="622" w:type="dxa"/>
            <w:vAlign w:val="top"/>
          </w:tcPr>
          <w:p w14:paraId="307B350C">
            <w:pPr>
              <w:rPr>
                <w:rFonts w:ascii="Arial"/>
                <w:sz w:val="21"/>
              </w:rPr>
            </w:pPr>
          </w:p>
        </w:tc>
      </w:tr>
      <w:tr w14:paraId="343A9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12" w:type="dxa"/>
            <w:vAlign w:val="top"/>
          </w:tcPr>
          <w:p w14:paraId="2207B7AE">
            <w:pPr>
              <w:spacing w:before="286" w:line="65" w:lineRule="exact"/>
              <w:ind w:left="113"/>
              <w:rPr>
                <w:rFonts w:ascii="Times New Roman" w:hAnsi="Times New Roman" w:eastAsia="Times New Roman" w:cs="Times New Roman"/>
                <w:sz w:val="21"/>
                <w:szCs w:val="21"/>
              </w:rPr>
            </w:pPr>
            <w:r>
              <w:rPr>
                <w:rFonts w:ascii="Times New Roman" w:hAnsi="Times New Roman" w:eastAsia="Times New Roman" w:cs="Times New Roman"/>
                <w:position w:val="1"/>
                <w:sz w:val="21"/>
                <w:szCs w:val="21"/>
              </w:rPr>
              <w:t>…</w:t>
            </w:r>
          </w:p>
        </w:tc>
        <w:tc>
          <w:tcPr>
            <w:tcW w:w="599" w:type="dxa"/>
            <w:vAlign w:val="top"/>
          </w:tcPr>
          <w:p w14:paraId="10E5105C">
            <w:pPr>
              <w:rPr>
                <w:rFonts w:ascii="Arial"/>
                <w:sz w:val="21"/>
              </w:rPr>
            </w:pPr>
          </w:p>
        </w:tc>
        <w:tc>
          <w:tcPr>
            <w:tcW w:w="450" w:type="dxa"/>
            <w:vAlign w:val="top"/>
          </w:tcPr>
          <w:p w14:paraId="29B1E833">
            <w:pPr>
              <w:rPr>
                <w:rFonts w:ascii="Arial"/>
                <w:sz w:val="21"/>
              </w:rPr>
            </w:pPr>
          </w:p>
        </w:tc>
        <w:tc>
          <w:tcPr>
            <w:tcW w:w="405" w:type="dxa"/>
            <w:vAlign w:val="top"/>
          </w:tcPr>
          <w:p w14:paraId="7432E758">
            <w:pPr>
              <w:rPr>
                <w:rFonts w:ascii="Arial"/>
                <w:sz w:val="21"/>
              </w:rPr>
            </w:pPr>
          </w:p>
        </w:tc>
        <w:tc>
          <w:tcPr>
            <w:tcW w:w="435" w:type="dxa"/>
            <w:vAlign w:val="top"/>
          </w:tcPr>
          <w:p w14:paraId="3A418979">
            <w:pPr>
              <w:rPr>
                <w:rFonts w:ascii="Arial"/>
                <w:sz w:val="21"/>
              </w:rPr>
            </w:pPr>
          </w:p>
        </w:tc>
        <w:tc>
          <w:tcPr>
            <w:tcW w:w="435" w:type="dxa"/>
            <w:vAlign w:val="top"/>
          </w:tcPr>
          <w:p w14:paraId="62D10133">
            <w:pPr>
              <w:rPr>
                <w:rFonts w:ascii="Arial"/>
                <w:sz w:val="21"/>
              </w:rPr>
            </w:pPr>
          </w:p>
        </w:tc>
        <w:tc>
          <w:tcPr>
            <w:tcW w:w="599" w:type="dxa"/>
            <w:vAlign w:val="top"/>
          </w:tcPr>
          <w:p w14:paraId="0AA2A460">
            <w:pPr>
              <w:rPr>
                <w:rFonts w:ascii="Arial"/>
                <w:sz w:val="21"/>
              </w:rPr>
            </w:pPr>
          </w:p>
        </w:tc>
        <w:tc>
          <w:tcPr>
            <w:tcW w:w="405" w:type="dxa"/>
            <w:vAlign w:val="top"/>
          </w:tcPr>
          <w:p w14:paraId="439C329C">
            <w:pPr>
              <w:rPr>
                <w:rFonts w:ascii="Arial"/>
                <w:sz w:val="21"/>
              </w:rPr>
            </w:pPr>
          </w:p>
        </w:tc>
        <w:tc>
          <w:tcPr>
            <w:tcW w:w="405" w:type="dxa"/>
            <w:vAlign w:val="top"/>
          </w:tcPr>
          <w:p w14:paraId="3BF2E702">
            <w:pPr>
              <w:rPr>
                <w:rFonts w:ascii="Arial"/>
                <w:sz w:val="21"/>
              </w:rPr>
            </w:pPr>
          </w:p>
        </w:tc>
        <w:tc>
          <w:tcPr>
            <w:tcW w:w="405" w:type="dxa"/>
            <w:vAlign w:val="top"/>
          </w:tcPr>
          <w:p w14:paraId="54468808">
            <w:pPr>
              <w:rPr>
                <w:rFonts w:ascii="Arial"/>
                <w:sz w:val="21"/>
              </w:rPr>
            </w:pPr>
          </w:p>
        </w:tc>
        <w:tc>
          <w:tcPr>
            <w:tcW w:w="405" w:type="dxa"/>
            <w:vAlign w:val="top"/>
          </w:tcPr>
          <w:p w14:paraId="09100AED">
            <w:pPr>
              <w:rPr>
                <w:rFonts w:ascii="Arial"/>
                <w:sz w:val="21"/>
              </w:rPr>
            </w:pPr>
          </w:p>
        </w:tc>
        <w:tc>
          <w:tcPr>
            <w:tcW w:w="600" w:type="dxa"/>
            <w:vAlign w:val="top"/>
          </w:tcPr>
          <w:p w14:paraId="3E123B74">
            <w:pPr>
              <w:rPr>
                <w:rFonts w:ascii="Arial"/>
                <w:sz w:val="21"/>
              </w:rPr>
            </w:pPr>
          </w:p>
        </w:tc>
        <w:tc>
          <w:tcPr>
            <w:tcW w:w="405" w:type="dxa"/>
            <w:vAlign w:val="top"/>
          </w:tcPr>
          <w:p w14:paraId="3F9B62AD">
            <w:pPr>
              <w:rPr>
                <w:rFonts w:ascii="Arial"/>
                <w:sz w:val="21"/>
              </w:rPr>
            </w:pPr>
          </w:p>
        </w:tc>
        <w:tc>
          <w:tcPr>
            <w:tcW w:w="554" w:type="dxa"/>
            <w:vAlign w:val="top"/>
          </w:tcPr>
          <w:p w14:paraId="4A65F826">
            <w:pPr>
              <w:rPr>
                <w:rFonts w:ascii="Arial"/>
                <w:sz w:val="21"/>
              </w:rPr>
            </w:pPr>
          </w:p>
        </w:tc>
        <w:tc>
          <w:tcPr>
            <w:tcW w:w="540" w:type="dxa"/>
            <w:vAlign w:val="top"/>
          </w:tcPr>
          <w:p w14:paraId="71730BEE">
            <w:pPr>
              <w:rPr>
                <w:rFonts w:ascii="Arial"/>
                <w:sz w:val="21"/>
              </w:rPr>
            </w:pPr>
          </w:p>
        </w:tc>
        <w:tc>
          <w:tcPr>
            <w:tcW w:w="554" w:type="dxa"/>
            <w:vAlign w:val="top"/>
          </w:tcPr>
          <w:p w14:paraId="76A03085">
            <w:pPr>
              <w:rPr>
                <w:rFonts w:ascii="Arial"/>
                <w:sz w:val="21"/>
              </w:rPr>
            </w:pPr>
          </w:p>
        </w:tc>
        <w:tc>
          <w:tcPr>
            <w:tcW w:w="622" w:type="dxa"/>
            <w:vAlign w:val="top"/>
          </w:tcPr>
          <w:p w14:paraId="1B72CE6D">
            <w:pPr>
              <w:rPr>
                <w:rFonts w:ascii="Arial"/>
                <w:sz w:val="21"/>
              </w:rPr>
            </w:pPr>
          </w:p>
        </w:tc>
      </w:tr>
    </w:tbl>
    <w:p w14:paraId="5B37A536">
      <w:pPr>
        <w:spacing w:before="134" w:line="221" w:lineRule="auto"/>
        <w:ind w:left="573"/>
        <w:rPr>
          <w:rFonts w:ascii="宋体" w:hAnsi="宋体" w:eastAsia="宋体" w:cs="宋体"/>
          <w:sz w:val="21"/>
          <w:szCs w:val="21"/>
        </w:rPr>
      </w:pPr>
      <w:r>
        <w:rPr>
          <w:rFonts w:ascii="宋体" w:hAnsi="宋体" w:eastAsia="宋体" w:cs="宋体"/>
          <w:spacing w:val="-4"/>
          <w:sz w:val="21"/>
          <w:szCs w:val="21"/>
        </w:rPr>
        <w:t>备注：</w:t>
      </w:r>
    </w:p>
    <w:p w14:paraId="3FE63E30">
      <w:pPr>
        <w:spacing w:before="138" w:line="351" w:lineRule="auto"/>
        <w:ind w:left="154" w:right="112" w:firstLine="432"/>
        <w:rPr>
          <w:rFonts w:ascii="宋体" w:hAnsi="宋体" w:eastAsia="宋体" w:cs="宋体"/>
          <w:sz w:val="21"/>
          <w:szCs w:val="21"/>
        </w:rPr>
      </w:pPr>
      <w:r>
        <w:rPr>
          <w:rFonts w:ascii="Times New Roman" w:hAnsi="Times New Roman" w:eastAsia="Times New Roman" w:cs="Times New Roman"/>
          <w:sz w:val="21"/>
          <w:szCs w:val="21"/>
        </w:rPr>
        <w:t>1</w:t>
      </w:r>
      <w:r>
        <w:rPr>
          <w:rFonts w:ascii="宋体" w:hAnsi="宋体" w:eastAsia="宋体" w:cs="宋体"/>
          <w:sz w:val="21"/>
          <w:szCs w:val="21"/>
        </w:rPr>
        <w:t>．执业、职业单位指拟投入的项目管理机构人员目前是否在投标人</w:t>
      </w:r>
      <w:r>
        <w:rPr>
          <w:rFonts w:ascii="宋体" w:hAnsi="宋体" w:eastAsia="宋体" w:cs="宋体"/>
          <w:spacing w:val="-1"/>
          <w:sz w:val="21"/>
          <w:szCs w:val="21"/>
        </w:rPr>
        <w:t>处注册执业或岗位</w:t>
      </w:r>
      <w:r>
        <w:rPr>
          <w:rFonts w:ascii="宋体" w:hAnsi="宋体" w:eastAsia="宋体" w:cs="宋体"/>
          <w:spacing w:val="-4"/>
          <w:sz w:val="21"/>
          <w:szCs w:val="21"/>
        </w:rPr>
        <w:t>登记。</w:t>
      </w:r>
    </w:p>
    <w:p w14:paraId="31917B89">
      <w:pPr>
        <w:spacing w:before="11" w:line="340" w:lineRule="auto"/>
        <w:ind w:left="150" w:right="95" w:firstLine="416"/>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．附项目管理机构主要人员社会保险证明的扫描件。社会保险证明是指社会统筹保险</w:t>
      </w:r>
      <w:r>
        <w:rPr>
          <w:rFonts w:ascii="宋体" w:hAnsi="宋体" w:eastAsia="宋体" w:cs="宋体"/>
          <w:spacing w:val="3"/>
          <w:sz w:val="21"/>
          <w:szCs w:val="21"/>
        </w:rPr>
        <w:t>基金管理部门出具的基本养老保险对账单或加盖社会统筹保险基金管理部门</w:t>
      </w:r>
      <w:r>
        <w:rPr>
          <w:rFonts w:ascii="宋体" w:hAnsi="宋体" w:eastAsia="宋体" w:cs="宋体"/>
          <w:spacing w:val="2"/>
          <w:sz w:val="21"/>
          <w:szCs w:val="21"/>
        </w:rPr>
        <w:t>公章的单位缴</w:t>
      </w:r>
      <w:r>
        <w:rPr>
          <w:rFonts w:ascii="宋体" w:hAnsi="宋体" w:eastAsia="宋体" w:cs="宋体"/>
          <w:spacing w:val="-3"/>
          <w:sz w:val="21"/>
          <w:szCs w:val="21"/>
        </w:rPr>
        <w:t>费明细，以及企业缴费凭证（社会保险缴费发票或银行转账凭证等证明</w:t>
      </w:r>
      <w:r>
        <w:rPr>
          <w:rFonts w:ascii="宋体" w:hAnsi="宋体" w:eastAsia="宋体" w:cs="宋体"/>
          <w:spacing w:val="4"/>
          <w:sz w:val="21"/>
          <w:szCs w:val="21"/>
        </w:rPr>
        <w:t>）；</w:t>
      </w:r>
      <w:r>
        <w:rPr>
          <w:rFonts w:ascii="宋体" w:hAnsi="宋体" w:eastAsia="宋体" w:cs="宋体"/>
          <w:spacing w:val="-3"/>
          <w:sz w:val="21"/>
          <w:szCs w:val="21"/>
        </w:rPr>
        <w:t>社会保险证明应</w:t>
      </w:r>
      <w:r>
        <w:rPr>
          <w:rFonts w:ascii="宋体" w:hAnsi="宋体" w:eastAsia="宋体" w:cs="宋体"/>
          <w:spacing w:val="-2"/>
          <w:sz w:val="21"/>
          <w:szCs w:val="21"/>
        </w:rPr>
        <w:t>至少体现以下内容：缴纳保险单位名称、人员姓名、社会保障号、险种、缴费期限等。社会</w:t>
      </w:r>
      <w:r>
        <w:rPr>
          <w:rFonts w:ascii="宋体" w:hAnsi="宋体" w:eastAsia="宋体" w:cs="宋体"/>
          <w:spacing w:val="-1"/>
          <w:sz w:val="21"/>
          <w:szCs w:val="21"/>
        </w:rPr>
        <w:t>保险证明中缴费单位应与投标单位一致。</w:t>
      </w:r>
    </w:p>
    <w:p w14:paraId="01247C40">
      <w:pPr>
        <w:spacing w:line="222" w:lineRule="auto"/>
        <w:ind w:left="2908"/>
        <w:outlineLvl w:val="2"/>
        <w:rPr>
          <w:rFonts w:ascii="黑体" w:hAnsi="黑体" w:eastAsia="黑体" w:cs="黑体"/>
          <w:sz w:val="28"/>
          <w:szCs w:val="28"/>
        </w:rPr>
      </w:pPr>
      <w:bookmarkStart w:id="631" w:name="bookmark583"/>
      <w:bookmarkEnd w:id="631"/>
      <w:r>
        <w:rPr>
          <w:rFonts w:ascii="黑体" w:hAnsi="黑体" w:eastAsia="黑体" w:cs="黑体"/>
          <w:spacing w:val="1"/>
          <w:sz w:val="28"/>
          <w:szCs w:val="28"/>
        </w:rPr>
        <w:t>（二）项目经理简历表</w:t>
      </w:r>
    </w:p>
    <w:p w14:paraId="1F8AA16B">
      <w:pPr>
        <w:spacing w:before="177"/>
      </w:pPr>
    </w:p>
    <w:tbl>
      <w:tblPr>
        <w:tblStyle w:val="5"/>
        <w:tblW w:w="8425"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989"/>
        <w:gridCol w:w="1080"/>
        <w:gridCol w:w="1229"/>
        <w:gridCol w:w="2009"/>
        <w:gridCol w:w="2061"/>
      </w:tblGrid>
      <w:tr w14:paraId="393CA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2" w:hRule="atLeast"/>
        </w:trPr>
        <w:tc>
          <w:tcPr>
            <w:tcW w:w="1057" w:type="dxa"/>
            <w:vAlign w:val="top"/>
          </w:tcPr>
          <w:p w14:paraId="63DD4325">
            <w:pPr>
              <w:pStyle w:val="6"/>
              <w:spacing w:before="104" w:line="220" w:lineRule="auto"/>
              <w:ind w:left="113"/>
              <w:rPr>
                <w:sz w:val="21"/>
                <w:szCs w:val="21"/>
              </w:rPr>
            </w:pPr>
            <w:r>
              <w:rPr>
                <w:spacing w:val="-5"/>
                <w:sz w:val="21"/>
                <w:szCs w:val="21"/>
              </w:rPr>
              <w:t>姓</w:t>
            </w:r>
            <w:r>
              <w:rPr>
                <w:spacing w:val="6"/>
                <w:sz w:val="21"/>
                <w:szCs w:val="21"/>
              </w:rPr>
              <w:t xml:space="preserve">  </w:t>
            </w:r>
            <w:r>
              <w:rPr>
                <w:spacing w:val="-5"/>
                <w:sz w:val="21"/>
                <w:szCs w:val="21"/>
              </w:rPr>
              <w:t>名</w:t>
            </w:r>
          </w:p>
        </w:tc>
        <w:tc>
          <w:tcPr>
            <w:tcW w:w="989" w:type="dxa"/>
            <w:vAlign w:val="top"/>
          </w:tcPr>
          <w:p w14:paraId="56281BF6">
            <w:pPr>
              <w:rPr>
                <w:rFonts w:ascii="Arial"/>
                <w:sz w:val="21"/>
              </w:rPr>
            </w:pPr>
          </w:p>
        </w:tc>
        <w:tc>
          <w:tcPr>
            <w:tcW w:w="1080" w:type="dxa"/>
            <w:vAlign w:val="top"/>
          </w:tcPr>
          <w:p w14:paraId="029DF439">
            <w:pPr>
              <w:pStyle w:val="6"/>
              <w:spacing w:before="104" w:line="220" w:lineRule="auto"/>
              <w:ind w:left="230"/>
              <w:rPr>
                <w:sz w:val="21"/>
                <w:szCs w:val="21"/>
              </w:rPr>
            </w:pPr>
            <w:r>
              <w:rPr>
                <w:spacing w:val="-5"/>
                <w:sz w:val="21"/>
                <w:szCs w:val="21"/>
              </w:rPr>
              <w:t>年</w:t>
            </w:r>
            <w:r>
              <w:rPr>
                <w:spacing w:val="4"/>
                <w:sz w:val="21"/>
                <w:szCs w:val="21"/>
              </w:rPr>
              <w:t xml:space="preserve">  </w:t>
            </w:r>
            <w:r>
              <w:rPr>
                <w:spacing w:val="-5"/>
                <w:sz w:val="21"/>
                <w:szCs w:val="21"/>
              </w:rPr>
              <w:t>龄</w:t>
            </w:r>
          </w:p>
        </w:tc>
        <w:tc>
          <w:tcPr>
            <w:tcW w:w="1229" w:type="dxa"/>
            <w:vAlign w:val="top"/>
          </w:tcPr>
          <w:p w14:paraId="78A3E939">
            <w:pPr>
              <w:rPr>
                <w:rFonts w:ascii="Arial"/>
                <w:sz w:val="21"/>
              </w:rPr>
            </w:pPr>
          </w:p>
        </w:tc>
        <w:tc>
          <w:tcPr>
            <w:tcW w:w="2009" w:type="dxa"/>
            <w:vAlign w:val="top"/>
          </w:tcPr>
          <w:p w14:paraId="03E77714">
            <w:pPr>
              <w:pStyle w:val="6"/>
              <w:spacing w:before="104" w:line="221" w:lineRule="auto"/>
              <w:ind w:left="808"/>
              <w:rPr>
                <w:sz w:val="21"/>
                <w:szCs w:val="21"/>
              </w:rPr>
            </w:pPr>
            <w:r>
              <w:rPr>
                <w:spacing w:val="-7"/>
                <w:sz w:val="21"/>
                <w:szCs w:val="21"/>
              </w:rPr>
              <w:t>学历</w:t>
            </w:r>
          </w:p>
        </w:tc>
        <w:tc>
          <w:tcPr>
            <w:tcW w:w="2061" w:type="dxa"/>
            <w:vAlign w:val="top"/>
          </w:tcPr>
          <w:p w14:paraId="5107F102">
            <w:pPr>
              <w:rPr>
                <w:rFonts w:ascii="Arial"/>
                <w:sz w:val="21"/>
              </w:rPr>
            </w:pPr>
          </w:p>
        </w:tc>
      </w:tr>
      <w:tr w14:paraId="03A7D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1057" w:type="dxa"/>
            <w:vAlign w:val="top"/>
          </w:tcPr>
          <w:p w14:paraId="21DA746F">
            <w:pPr>
              <w:pStyle w:val="6"/>
              <w:spacing w:before="102" w:line="222" w:lineRule="auto"/>
              <w:ind w:left="218"/>
              <w:rPr>
                <w:sz w:val="21"/>
                <w:szCs w:val="21"/>
              </w:rPr>
            </w:pPr>
            <w:r>
              <w:rPr>
                <w:spacing w:val="-5"/>
                <w:sz w:val="21"/>
                <w:szCs w:val="21"/>
              </w:rPr>
              <w:t>职</w:t>
            </w:r>
            <w:r>
              <w:rPr>
                <w:spacing w:val="3"/>
                <w:sz w:val="21"/>
                <w:szCs w:val="21"/>
              </w:rPr>
              <w:t xml:space="preserve">  </w:t>
            </w:r>
            <w:r>
              <w:rPr>
                <w:spacing w:val="-5"/>
                <w:sz w:val="21"/>
                <w:szCs w:val="21"/>
              </w:rPr>
              <w:t>称</w:t>
            </w:r>
          </w:p>
        </w:tc>
        <w:tc>
          <w:tcPr>
            <w:tcW w:w="989" w:type="dxa"/>
            <w:vAlign w:val="top"/>
          </w:tcPr>
          <w:p w14:paraId="1ACBBF71">
            <w:pPr>
              <w:rPr>
                <w:rFonts w:ascii="Arial"/>
                <w:sz w:val="21"/>
              </w:rPr>
            </w:pPr>
          </w:p>
        </w:tc>
        <w:tc>
          <w:tcPr>
            <w:tcW w:w="1080" w:type="dxa"/>
            <w:vAlign w:val="top"/>
          </w:tcPr>
          <w:p w14:paraId="027622BE">
            <w:pPr>
              <w:pStyle w:val="6"/>
              <w:spacing w:before="102" w:line="220" w:lineRule="auto"/>
              <w:ind w:left="230"/>
              <w:rPr>
                <w:sz w:val="21"/>
                <w:szCs w:val="21"/>
              </w:rPr>
            </w:pPr>
            <w:r>
              <w:rPr>
                <w:spacing w:val="-5"/>
                <w:sz w:val="21"/>
                <w:szCs w:val="21"/>
              </w:rPr>
              <w:t>职</w:t>
            </w:r>
            <w:r>
              <w:rPr>
                <w:spacing w:val="5"/>
                <w:sz w:val="21"/>
                <w:szCs w:val="21"/>
              </w:rPr>
              <w:t xml:space="preserve">  </w:t>
            </w:r>
            <w:r>
              <w:rPr>
                <w:spacing w:val="-5"/>
                <w:sz w:val="21"/>
                <w:szCs w:val="21"/>
              </w:rPr>
              <w:t>务</w:t>
            </w:r>
          </w:p>
        </w:tc>
        <w:tc>
          <w:tcPr>
            <w:tcW w:w="1229" w:type="dxa"/>
            <w:vAlign w:val="top"/>
          </w:tcPr>
          <w:p w14:paraId="2336B664">
            <w:pPr>
              <w:rPr>
                <w:rFonts w:ascii="Arial"/>
                <w:sz w:val="21"/>
              </w:rPr>
            </w:pPr>
          </w:p>
        </w:tc>
        <w:tc>
          <w:tcPr>
            <w:tcW w:w="2009" w:type="dxa"/>
            <w:vAlign w:val="top"/>
          </w:tcPr>
          <w:p w14:paraId="5A11942F">
            <w:pPr>
              <w:pStyle w:val="6"/>
              <w:spacing w:before="102" w:line="219" w:lineRule="auto"/>
              <w:ind w:left="279"/>
              <w:rPr>
                <w:sz w:val="21"/>
                <w:szCs w:val="21"/>
              </w:rPr>
            </w:pPr>
            <w:r>
              <w:rPr>
                <w:spacing w:val="-1"/>
                <w:sz w:val="21"/>
                <w:szCs w:val="21"/>
              </w:rPr>
              <w:t>拟在本工程任职</w:t>
            </w:r>
          </w:p>
        </w:tc>
        <w:tc>
          <w:tcPr>
            <w:tcW w:w="2061" w:type="dxa"/>
            <w:vAlign w:val="top"/>
          </w:tcPr>
          <w:p w14:paraId="192543D0">
            <w:pPr>
              <w:pStyle w:val="6"/>
              <w:spacing w:before="103" w:line="220" w:lineRule="auto"/>
              <w:ind w:left="616"/>
              <w:rPr>
                <w:sz w:val="21"/>
                <w:szCs w:val="21"/>
              </w:rPr>
            </w:pPr>
            <w:r>
              <w:rPr>
                <w:spacing w:val="-2"/>
                <w:sz w:val="21"/>
                <w:szCs w:val="21"/>
              </w:rPr>
              <w:t>项目经理</w:t>
            </w:r>
          </w:p>
        </w:tc>
      </w:tr>
      <w:tr w14:paraId="5A70C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8" w:hRule="atLeast"/>
        </w:trPr>
        <w:tc>
          <w:tcPr>
            <w:tcW w:w="3126" w:type="dxa"/>
            <w:gridSpan w:val="3"/>
            <w:vAlign w:val="top"/>
          </w:tcPr>
          <w:p w14:paraId="19841919">
            <w:pPr>
              <w:pStyle w:val="6"/>
              <w:spacing w:before="107" w:line="220" w:lineRule="auto"/>
              <w:ind w:left="413"/>
              <w:rPr>
                <w:sz w:val="21"/>
                <w:szCs w:val="21"/>
              </w:rPr>
            </w:pPr>
            <w:r>
              <w:rPr>
                <w:spacing w:val="-1"/>
                <w:sz w:val="21"/>
                <w:szCs w:val="21"/>
              </w:rPr>
              <w:t>注册建造师执业资格等级</w:t>
            </w:r>
          </w:p>
        </w:tc>
        <w:tc>
          <w:tcPr>
            <w:tcW w:w="1229" w:type="dxa"/>
            <w:vAlign w:val="top"/>
          </w:tcPr>
          <w:p w14:paraId="6C491A3B">
            <w:pPr>
              <w:pStyle w:val="6"/>
              <w:spacing w:before="107" w:line="222" w:lineRule="auto"/>
              <w:ind w:left="820"/>
              <w:rPr>
                <w:sz w:val="21"/>
                <w:szCs w:val="21"/>
              </w:rPr>
            </w:pPr>
            <w:r>
              <w:rPr>
                <w:sz w:val="21"/>
                <w:szCs w:val="21"/>
              </w:rPr>
              <w:t>级</w:t>
            </w:r>
          </w:p>
        </w:tc>
        <w:tc>
          <w:tcPr>
            <w:tcW w:w="2009" w:type="dxa"/>
            <w:vAlign w:val="top"/>
          </w:tcPr>
          <w:p w14:paraId="42B42248">
            <w:pPr>
              <w:pStyle w:val="6"/>
              <w:spacing w:before="107" w:line="220" w:lineRule="auto"/>
              <w:ind w:left="491"/>
              <w:rPr>
                <w:sz w:val="21"/>
                <w:szCs w:val="21"/>
              </w:rPr>
            </w:pPr>
            <w:r>
              <w:rPr>
                <w:spacing w:val="-2"/>
                <w:sz w:val="21"/>
                <w:szCs w:val="21"/>
              </w:rPr>
              <w:t>建造师专业</w:t>
            </w:r>
          </w:p>
        </w:tc>
        <w:tc>
          <w:tcPr>
            <w:tcW w:w="2061" w:type="dxa"/>
            <w:vAlign w:val="top"/>
          </w:tcPr>
          <w:p w14:paraId="30066B72">
            <w:pPr>
              <w:rPr>
                <w:rFonts w:ascii="Arial"/>
                <w:sz w:val="21"/>
              </w:rPr>
            </w:pPr>
          </w:p>
        </w:tc>
      </w:tr>
    </w:tbl>
    <w:p w14:paraId="1342D0C1">
      <w:pPr>
        <w:pStyle w:val="2"/>
      </w:pPr>
    </w:p>
    <w:p w14:paraId="11BF25B7">
      <w:pPr>
        <w:sectPr>
          <w:footerReference r:id="rId317" w:type="default"/>
          <w:pgSz w:w="11910" w:h="16845"/>
          <w:pgMar w:top="400" w:right="1682" w:bottom="1110" w:left="1660" w:header="0" w:footer="883" w:gutter="0"/>
          <w:cols w:space="720" w:num="1"/>
        </w:sectPr>
      </w:pPr>
    </w:p>
    <w:p w14:paraId="7660C702">
      <w:pPr>
        <w:spacing w:before="19"/>
      </w:pPr>
    </w:p>
    <w:p w14:paraId="4B0B48C5">
      <w:pPr>
        <w:spacing w:before="19"/>
      </w:pPr>
    </w:p>
    <w:p w14:paraId="59895CC7">
      <w:pPr>
        <w:spacing w:before="19"/>
      </w:pPr>
    </w:p>
    <w:p w14:paraId="744ACDA8">
      <w:pPr>
        <w:spacing w:before="18"/>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2069"/>
        <w:gridCol w:w="1229"/>
        <w:gridCol w:w="2009"/>
        <w:gridCol w:w="2061"/>
      </w:tblGrid>
      <w:tr w14:paraId="548FA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3126" w:type="dxa"/>
            <w:gridSpan w:val="2"/>
            <w:vAlign w:val="top"/>
          </w:tcPr>
          <w:p w14:paraId="57A6375E">
            <w:pPr>
              <w:pStyle w:val="6"/>
              <w:spacing w:before="104" w:line="219" w:lineRule="auto"/>
              <w:ind w:left="522"/>
              <w:rPr>
                <w:sz w:val="21"/>
                <w:szCs w:val="21"/>
              </w:rPr>
            </w:pPr>
            <w:r>
              <w:rPr>
                <w:spacing w:val="-1"/>
                <w:sz w:val="21"/>
                <w:szCs w:val="21"/>
              </w:rPr>
              <w:t>安全生产考核合格证书</w:t>
            </w:r>
          </w:p>
        </w:tc>
        <w:tc>
          <w:tcPr>
            <w:tcW w:w="5299" w:type="dxa"/>
            <w:gridSpan w:val="3"/>
            <w:vAlign w:val="top"/>
          </w:tcPr>
          <w:p w14:paraId="62BE1AFA">
            <w:pPr>
              <w:rPr>
                <w:rFonts w:ascii="Arial"/>
                <w:sz w:val="21"/>
              </w:rPr>
            </w:pPr>
          </w:p>
        </w:tc>
      </w:tr>
      <w:tr w14:paraId="2DF6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057" w:type="dxa"/>
            <w:vAlign w:val="top"/>
          </w:tcPr>
          <w:p w14:paraId="398F6E88">
            <w:pPr>
              <w:pStyle w:val="6"/>
              <w:spacing w:before="38" w:line="249" w:lineRule="auto"/>
              <w:ind w:left="429" w:right="201" w:hanging="207"/>
              <w:rPr>
                <w:sz w:val="21"/>
                <w:szCs w:val="21"/>
              </w:rPr>
            </w:pPr>
            <w:r>
              <w:rPr>
                <w:spacing w:val="-4"/>
                <w:sz w:val="21"/>
                <w:szCs w:val="21"/>
              </w:rPr>
              <w:t>毕业学</w:t>
            </w:r>
            <w:r>
              <w:rPr>
                <w:sz w:val="21"/>
                <w:szCs w:val="21"/>
              </w:rPr>
              <w:t>校</w:t>
            </w:r>
          </w:p>
        </w:tc>
        <w:tc>
          <w:tcPr>
            <w:tcW w:w="7368" w:type="dxa"/>
            <w:gridSpan w:val="4"/>
            <w:vAlign w:val="top"/>
          </w:tcPr>
          <w:p w14:paraId="6C3FBC17">
            <w:pPr>
              <w:pStyle w:val="6"/>
              <w:spacing w:before="187" w:line="220" w:lineRule="auto"/>
              <w:ind w:left="949"/>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4ACA2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5"/>
            <w:vAlign w:val="top"/>
          </w:tcPr>
          <w:p w14:paraId="4A975854">
            <w:pPr>
              <w:pStyle w:val="6"/>
              <w:spacing w:before="113" w:line="220" w:lineRule="auto"/>
              <w:ind w:left="3584"/>
              <w:rPr>
                <w:sz w:val="21"/>
                <w:szCs w:val="21"/>
              </w:rPr>
            </w:pPr>
            <w:r>
              <w:rPr>
                <w:spacing w:val="-2"/>
                <w:sz w:val="21"/>
                <w:szCs w:val="21"/>
              </w:rPr>
              <w:t>主要工作经历</w:t>
            </w:r>
          </w:p>
        </w:tc>
      </w:tr>
      <w:tr w14:paraId="37A45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55CDADA2">
            <w:pPr>
              <w:pStyle w:val="6"/>
              <w:spacing w:before="114" w:line="222" w:lineRule="auto"/>
              <w:ind w:left="227"/>
              <w:rPr>
                <w:sz w:val="21"/>
                <w:szCs w:val="21"/>
              </w:rPr>
            </w:pPr>
            <w:r>
              <w:rPr>
                <w:spacing w:val="-10"/>
                <w:sz w:val="21"/>
                <w:szCs w:val="21"/>
              </w:rPr>
              <w:t>时</w:t>
            </w:r>
            <w:r>
              <w:rPr>
                <w:spacing w:val="13"/>
                <w:sz w:val="21"/>
                <w:szCs w:val="21"/>
              </w:rPr>
              <w:t xml:space="preserve">  </w:t>
            </w:r>
            <w:r>
              <w:rPr>
                <w:spacing w:val="-10"/>
                <w:sz w:val="21"/>
                <w:szCs w:val="21"/>
              </w:rPr>
              <w:t>间</w:t>
            </w:r>
          </w:p>
        </w:tc>
        <w:tc>
          <w:tcPr>
            <w:tcW w:w="3298" w:type="dxa"/>
            <w:gridSpan w:val="2"/>
            <w:vAlign w:val="top"/>
          </w:tcPr>
          <w:p w14:paraId="32EE688D">
            <w:pPr>
              <w:pStyle w:val="6"/>
              <w:spacing w:before="114" w:line="220" w:lineRule="auto"/>
              <w:ind w:left="589"/>
              <w:rPr>
                <w:sz w:val="21"/>
                <w:szCs w:val="21"/>
              </w:rPr>
            </w:pPr>
            <w:r>
              <w:rPr>
                <w:spacing w:val="-1"/>
                <w:sz w:val="21"/>
                <w:szCs w:val="21"/>
              </w:rPr>
              <w:t>参加过的类似项目名称</w:t>
            </w:r>
          </w:p>
        </w:tc>
        <w:tc>
          <w:tcPr>
            <w:tcW w:w="2009" w:type="dxa"/>
            <w:vAlign w:val="top"/>
          </w:tcPr>
          <w:p w14:paraId="2F67D556">
            <w:pPr>
              <w:pStyle w:val="6"/>
              <w:spacing w:before="114" w:line="220" w:lineRule="auto"/>
              <w:ind w:left="386"/>
              <w:rPr>
                <w:sz w:val="21"/>
                <w:szCs w:val="21"/>
              </w:rPr>
            </w:pPr>
            <w:r>
              <w:rPr>
                <w:spacing w:val="-2"/>
                <w:sz w:val="21"/>
                <w:szCs w:val="21"/>
              </w:rPr>
              <w:t>工程概况说明</w:t>
            </w:r>
          </w:p>
        </w:tc>
        <w:tc>
          <w:tcPr>
            <w:tcW w:w="2061" w:type="dxa"/>
            <w:vAlign w:val="top"/>
          </w:tcPr>
          <w:p w14:paraId="4D3C18ED">
            <w:pPr>
              <w:pStyle w:val="6"/>
              <w:spacing w:before="115" w:line="220" w:lineRule="auto"/>
              <w:ind w:left="195"/>
              <w:rPr>
                <w:sz w:val="21"/>
                <w:szCs w:val="21"/>
              </w:rPr>
            </w:pPr>
            <w:r>
              <w:rPr>
                <w:spacing w:val="-1"/>
                <w:sz w:val="21"/>
                <w:szCs w:val="21"/>
              </w:rPr>
              <w:t>发包人及联系电话</w:t>
            </w:r>
          </w:p>
        </w:tc>
      </w:tr>
      <w:tr w14:paraId="3CC26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7" w:type="dxa"/>
            <w:vAlign w:val="top"/>
          </w:tcPr>
          <w:p w14:paraId="2DE5B04B">
            <w:pPr>
              <w:rPr>
                <w:rFonts w:ascii="Arial"/>
                <w:sz w:val="21"/>
              </w:rPr>
            </w:pPr>
          </w:p>
        </w:tc>
        <w:tc>
          <w:tcPr>
            <w:tcW w:w="3298" w:type="dxa"/>
            <w:gridSpan w:val="2"/>
            <w:vAlign w:val="top"/>
          </w:tcPr>
          <w:p w14:paraId="43C56928">
            <w:pPr>
              <w:rPr>
                <w:rFonts w:ascii="Arial"/>
                <w:sz w:val="21"/>
              </w:rPr>
            </w:pPr>
          </w:p>
        </w:tc>
        <w:tc>
          <w:tcPr>
            <w:tcW w:w="2009" w:type="dxa"/>
            <w:vAlign w:val="top"/>
          </w:tcPr>
          <w:p w14:paraId="725F4CC1">
            <w:pPr>
              <w:rPr>
                <w:rFonts w:ascii="Arial"/>
                <w:sz w:val="21"/>
              </w:rPr>
            </w:pPr>
          </w:p>
        </w:tc>
        <w:tc>
          <w:tcPr>
            <w:tcW w:w="2061" w:type="dxa"/>
            <w:vAlign w:val="top"/>
          </w:tcPr>
          <w:p w14:paraId="44BAD201">
            <w:pPr>
              <w:rPr>
                <w:rFonts w:ascii="Arial"/>
                <w:sz w:val="21"/>
              </w:rPr>
            </w:pPr>
          </w:p>
        </w:tc>
      </w:tr>
      <w:tr w14:paraId="40C73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057" w:type="dxa"/>
            <w:vAlign w:val="top"/>
          </w:tcPr>
          <w:p w14:paraId="008B3FBE">
            <w:pPr>
              <w:rPr>
                <w:rFonts w:ascii="Arial"/>
                <w:sz w:val="21"/>
              </w:rPr>
            </w:pPr>
          </w:p>
        </w:tc>
        <w:tc>
          <w:tcPr>
            <w:tcW w:w="3298" w:type="dxa"/>
            <w:gridSpan w:val="2"/>
            <w:vAlign w:val="top"/>
          </w:tcPr>
          <w:p w14:paraId="18683287">
            <w:pPr>
              <w:rPr>
                <w:rFonts w:ascii="Arial"/>
                <w:sz w:val="21"/>
              </w:rPr>
            </w:pPr>
          </w:p>
        </w:tc>
        <w:tc>
          <w:tcPr>
            <w:tcW w:w="2009" w:type="dxa"/>
            <w:vAlign w:val="top"/>
          </w:tcPr>
          <w:p w14:paraId="14769C9C">
            <w:pPr>
              <w:rPr>
                <w:rFonts w:ascii="Arial"/>
                <w:sz w:val="21"/>
              </w:rPr>
            </w:pPr>
          </w:p>
        </w:tc>
        <w:tc>
          <w:tcPr>
            <w:tcW w:w="2061" w:type="dxa"/>
            <w:vAlign w:val="top"/>
          </w:tcPr>
          <w:p w14:paraId="2336A255">
            <w:pPr>
              <w:rPr>
                <w:rFonts w:ascii="Arial"/>
                <w:sz w:val="21"/>
              </w:rPr>
            </w:pPr>
          </w:p>
        </w:tc>
      </w:tr>
      <w:tr w14:paraId="05797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057" w:type="dxa"/>
            <w:vAlign w:val="top"/>
          </w:tcPr>
          <w:p w14:paraId="56B86E85">
            <w:pPr>
              <w:rPr>
                <w:rFonts w:ascii="Arial"/>
                <w:sz w:val="21"/>
              </w:rPr>
            </w:pPr>
          </w:p>
        </w:tc>
        <w:tc>
          <w:tcPr>
            <w:tcW w:w="3298" w:type="dxa"/>
            <w:gridSpan w:val="2"/>
            <w:vAlign w:val="top"/>
          </w:tcPr>
          <w:p w14:paraId="11E80AF2">
            <w:pPr>
              <w:rPr>
                <w:rFonts w:ascii="Arial"/>
                <w:sz w:val="21"/>
              </w:rPr>
            </w:pPr>
          </w:p>
        </w:tc>
        <w:tc>
          <w:tcPr>
            <w:tcW w:w="2009" w:type="dxa"/>
            <w:vAlign w:val="top"/>
          </w:tcPr>
          <w:p w14:paraId="3D4CD2A6">
            <w:pPr>
              <w:rPr>
                <w:rFonts w:ascii="Arial"/>
                <w:sz w:val="21"/>
              </w:rPr>
            </w:pPr>
          </w:p>
        </w:tc>
        <w:tc>
          <w:tcPr>
            <w:tcW w:w="2061" w:type="dxa"/>
            <w:vAlign w:val="top"/>
          </w:tcPr>
          <w:p w14:paraId="0D37135B">
            <w:pPr>
              <w:rPr>
                <w:rFonts w:ascii="Arial"/>
                <w:sz w:val="21"/>
              </w:rPr>
            </w:pPr>
          </w:p>
        </w:tc>
      </w:tr>
      <w:tr w14:paraId="4918A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057" w:type="dxa"/>
            <w:vAlign w:val="top"/>
          </w:tcPr>
          <w:p w14:paraId="0ECBA09F">
            <w:pPr>
              <w:rPr>
                <w:rFonts w:ascii="Arial"/>
                <w:sz w:val="21"/>
              </w:rPr>
            </w:pPr>
          </w:p>
        </w:tc>
        <w:tc>
          <w:tcPr>
            <w:tcW w:w="3298" w:type="dxa"/>
            <w:gridSpan w:val="2"/>
            <w:vAlign w:val="top"/>
          </w:tcPr>
          <w:p w14:paraId="2E3BAACE">
            <w:pPr>
              <w:rPr>
                <w:rFonts w:ascii="Arial"/>
                <w:sz w:val="21"/>
              </w:rPr>
            </w:pPr>
          </w:p>
        </w:tc>
        <w:tc>
          <w:tcPr>
            <w:tcW w:w="2009" w:type="dxa"/>
            <w:vAlign w:val="top"/>
          </w:tcPr>
          <w:p w14:paraId="4115CC4C">
            <w:pPr>
              <w:rPr>
                <w:rFonts w:ascii="Arial"/>
                <w:sz w:val="21"/>
              </w:rPr>
            </w:pPr>
          </w:p>
        </w:tc>
        <w:tc>
          <w:tcPr>
            <w:tcW w:w="2061" w:type="dxa"/>
            <w:vAlign w:val="top"/>
          </w:tcPr>
          <w:p w14:paraId="76CEF30E">
            <w:pPr>
              <w:rPr>
                <w:rFonts w:ascii="Arial"/>
                <w:sz w:val="21"/>
              </w:rPr>
            </w:pPr>
          </w:p>
        </w:tc>
      </w:tr>
      <w:tr w14:paraId="657E1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057" w:type="dxa"/>
            <w:vAlign w:val="top"/>
          </w:tcPr>
          <w:p w14:paraId="421077DD">
            <w:pPr>
              <w:rPr>
                <w:rFonts w:ascii="Arial"/>
                <w:sz w:val="21"/>
              </w:rPr>
            </w:pPr>
          </w:p>
        </w:tc>
        <w:tc>
          <w:tcPr>
            <w:tcW w:w="3298" w:type="dxa"/>
            <w:gridSpan w:val="2"/>
            <w:vAlign w:val="top"/>
          </w:tcPr>
          <w:p w14:paraId="69F8318A">
            <w:pPr>
              <w:rPr>
                <w:rFonts w:ascii="Arial"/>
                <w:sz w:val="21"/>
              </w:rPr>
            </w:pPr>
          </w:p>
        </w:tc>
        <w:tc>
          <w:tcPr>
            <w:tcW w:w="2009" w:type="dxa"/>
            <w:vAlign w:val="top"/>
          </w:tcPr>
          <w:p w14:paraId="77D09A52">
            <w:pPr>
              <w:rPr>
                <w:rFonts w:ascii="Arial"/>
                <w:sz w:val="21"/>
              </w:rPr>
            </w:pPr>
          </w:p>
        </w:tc>
        <w:tc>
          <w:tcPr>
            <w:tcW w:w="2061" w:type="dxa"/>
            <w:vAlign w:val="top"/>
          </w:tcPr>
          <w:p w14:paraId="53A843BC">
            <w:pPr>
              <w:rPr>
                <w:rFonts w:ascii="Arial"/>
                <w:sz w:val="21"/>
              </w:rPr>
            </w:pPr>
          </w:p>
        </w:tc>
      </w:tr>
      <w:tr w14:paraId="2C802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057" w:type="dxa"/>
            <w:vAlign w:val="top"/>
          </w:tcPr>
          <w:p w14:paraId="55C85EDC">
            <w:pPr>
              <w:rPr>
                <w:rFonts w:ascii="Arial"/>
                <w:sz w:val="21"/>
              </w:rPr>
            </w:pPr>
          </w:p>
        </w:tc>
        <w:tc>
          <w:tcPr>
            <w:tcW w:w="3298" w:type="dxa"/>
            <w:gridSpan w:val="2"/>
            <w:vAlign w:val="top"/>
          </w:tcPr>
          <w:p w14:paraId="11F9B181">
            <w:pPr>
              <w:rPr>
                <w:rFonts w:ascii="Arial"/>
                <w:sz w:val="21"/>
              </w:rPr>
            </w:pPr>
          </w:p>
        </w:tc>
        <w:tc>
          <w:tcPr>
            <w:tcW w:w="2009" w:type="dxa"/>
            <w:vAlign w:val="top"/>
          </w:tcPr>
          <w:p w14:paraId="2C3B7913">
            <w:pPr>
              <w:rPr>
                <w:rFonts w:ascii="Arial"/>
                <w:sz w:val="21"/>
              </w:rPr>
            </w:pPr>
          </w:p>
        </w:tc>
        <w:tc>
          <w:tcPr>
            <w:tcW w:w="2061" w:type="dxa"/>
            <w:vAlign w:val="top"/>
          </w:tcPr>
          <w:p w14:paraId="1344427C">
            <w:pPr>
              <w:rPr>
                <w:rFonts w:ascii="Arial"/>
                <w:sz w:val="21"/>
              </w:rPr>
            </w:pPr>
          </w:p>
        </w:tc>
      </w:tr>
      <w:tr w14:paraId="5DFBA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057" w:type="dxa"/>
            <w:vAlign w:val="top"/>
          </w:tcPr>
          <w:p w14:paraId="65360F34">
            <w:pPr>
              <w:rPr>
                <w:rFonts w:ascii="Arial"/>
                <w:sz w:val="21"/>
              </w:rPr>
            </w:pPr>
          </w:p>
        </w:tc>
        <w:tc>
          <w:tcPr>
            <w:tcW w:w="3298" w:type="dxa"/>
            <w:gridSpan w:val="2"/>
            <w:vAlign w:val="top"/>
          </w:tcPr>
          <w:p w14:paraId="79D8482A">
            <w:pPr>
              <w:rPr>
                <w:rFonts w:ascii="Arial"/>
                <w:sz w:val="21"/>
              </w:rPr>
            </w:pPr>
          </w:p>
        </w:tc>
        <w:tc>
          <w:tcPr>
            <w:tcW w:w="2009" w:type="dxa"/>
            <w:vAlign w:val="top"/>
          </w:tcPr>
          <w:p w14:paraId="5A6848A0">
            <w:pPr>
              <w:rPr>
                <w:rFonts w:ascii="Arial"/>
                <w:sz w:val="21"/>
              </w:rPr>
            </w:pPr>
          </w:p>
        </w:tc>
        <w:tc>
          <w:tcPr>
            <w:tcW w:w="2061" w:type="dxa"/>
            <w:vAlign w:val="top"/>
          </w:tcPr>
          <w:p w14:paraId="5B79E5ED">
            <w:pPr>
              <w:rPr>
                <w:rFonts w:ascii="Arial"/>
                <w:sz w:val="21"/>
              </w:rPr>
            </w:pPr>
          </w:p>
        </w:tc>
      </w:tr>
      <w:tr w14:paraId="1C026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057" w:type="dxa"/>
            <w:vAlign w:val="top"/>
          </w:tcPr>
          <w:p w14:paraId="39706D77">
            <w:pPr>
              <w:rPr>
                <w:rFonts w:ascii="Arial"/>
                <w:sz w:val="21"/>
              </w:rPr>
            </w:pPr>
          </w:p>
        </w:tc>
        <w:tc>
          <w:tcPr>
            <w:tcW w:w="3298" w:type="dxa"/>
            <w:gridSpan w:val="2"/>
            <w:vAlign w:val="top"/>
          </w:tcPr>
          <w:p w14:paraId="3F758562">
            <w:pPr>
              <w:rPr>
                <w:rFonts w:ascii="Arial"/>
                <w:sz w:val="21"/>
              </w:rPr>
            </w:pPr>
          </w:p>
        </w:tc>
        <w:tc>
          <w:tcPr>
            <w:tcW w:w="2009" w:type="dxa"/>
            <w:vAlign w:val="top"/>
          </w:tcPr>
          <w:p w14:paraId="3A011465">
            <w:pPr>
              <w:rPr>
                <w:rFonts w:ascii="Arial"/>
                <w:sz w:val="21"/>
              </w:rPr>
            </w:pPr>
          </w:p>
        </w:tc>
        <w:tc>
          <w:tcPr>
            <w:tcW w:w="2061" w:type="dxa"/>
            <w:vAlign w:val="top"/>
          </w:tcPr>
          <w:p w14:paraId="285E527A">
            <w:pPr>
              <w:rPr>
                <w:rFonts w:ascii="Arial"/>
                <w:sz w:val="21"/>
              </w:rPr>
            </w:pPr>
          </w:p>
        </w:tc>
      </w:tr>
      <w:tr w14:paraId="72BEE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1057" w:type="dxa"/>
            <w:vAlign w:val="top"/>
          </w:tcPr>
          <w:p w14:paraId="3DAC0314">
            <w:pPr>
              <w:rPr>
                <w:rFonts w:ascii="Arial"/>
                <w:sz w:val="21"/>
              </w:rPr>
            </w:pPr>
          </w:p>
        </w:tc>
        <w:tc>
          <w:tcPr>
            <w:tcW w:w="3298" w:type="dxa"/>
            <w:gridSpan w:val="2"/>
            <w:vAlign w:val="top"/>
          </w:tcPr>
          <w:p w14:paraId="3BD04E36">
            <w:pPr>
              <w:rPr>
                <w:rFonts w:ascii="Arial"/>
                <w:sz w:val="21"/>
              </w:rPr>
            </w:pPr>
          </w:p>
        </w:tc>
        <w:tc>
          <w:tcPr>
            <w:tcW w:w="2009" w:type="dxa"/>
            <w:vAlign w:val="top"/>
          </w:tcPr>
          <w:p w14:paraId="66704D7E">
            <w:pPr>
              <w:rPr>
                <w:rFonts w:ascii="Arial"/>
                <w:sz w:val="21"/>
              </w:rPr>
            </w:pPr>
          </w:p>
        </w:tc>
        <w:tc>
          <w:tcPr>
            <w:tcW w:w="2061" w:type="dxa"/>
            <w:vAlign w:val="top"/>
          </w:tcPr>
          <w:p w14:paraId="155F963B">
            <w:pPr>
              <w:rPr>
                <w:rFonts w:ascii="Arial"/>
                <w:sz w:val="21"/>
              </w:rPr>
            </w:pPr>
          </w:p>
        </w:tc>
      </w:tr>
    </w:tbl>
    <w:p w14:paraId="4DBCA7FF">
      <w:pPr>
        <w:pStyle w:val="2"/>
        <w:spacing w:line="324" w:lineRule="auto"/>
      </w:pPr>
    </w:p>
    <w:p w14:paraId="457E889A">
      <w:pPr>
        <w:pStyle w:val="2"/>
        <w:spacing w:line="324" w:lineRule="auto"/>
      </w:pPr>
    </w:p>
    <w:p w14:paraId="2D1AAB28">
      <w:pPr>
        <w:spacing w:before="68" w:line="219" w:lineRule="auto"/>
        <w:ind w:right="3"/>
        <w:jc w:val="right"/>
        <w:rPr>
          <w:rFonts w:ascii="宋体" w:hAnsi="宋体" w:eastAsia="宋体" w:cs="宋体"/>
          <w:sz w:val="21"/>
          <w:szCs w:val="21"/>
        </w:rPr>
      </w:pPr>
      <w:r>
        <w:rPr>
          <w:rFonts w:ascii="宋体" w:hAnsi="宋体" w:eastAsia="宋体" w:cs="宋体"/>
          <w:spacing w:val="-4"/>
          <w:sz w:val="21"/>
          <w:szCs w:val="21"/>
        </w:rPr>
        <w:t>备注：1. 除第二章投标人须知前附表第3.5.6项另有规定外</w:t>
      </w:r>
      <w:r>
        <w:rPr>
          <w:rFonts w:ascii="宋体" w:hAnsi="宋体" w:eastAsia="宋体" w:cs="宋体"/>
          <w:spacing w:val="-5"/>
          <w:sz w:val="21"/>
          <w:szCs w:val="21"/>
        </w:rPr>
        <w:t>，项目经理应附建造师资格证书、</w:t>
      </w:r>
    </w:p>
    <w:p w14:paraId="3156ACAB">
      <w:pPr>
        <w:spacing w:before="81" w:line="219" w:lineRule="auto"/>
        <w:ind w:left="970"/>
        <w:rPr>
          <w:rFonts w:ascii="宋体" w:hAnsi="宋体" w:eastAsia="宋体" w:cs="宋体"/>
          <w:sz w:val="21"/>
          <w:szCs w:val="21"/>
        </w:rPr>
      </w:pPr>
      <w:r>
        <w:rPr>
          <w:rFonts w:ascii="宋体" w:hAnsi="宋体" w:eastAsia="宋体" w:cs="宋体"/>
          <w:spacing w:val="-4"/>
          <w:sz w:val="21"/>
          <w:szCs w:val="21"/>
        </w:rPr>
        <w:t>注册证书、安全生产考核合格证书（B证）、职称证书、学历证书扫描件。</w:t>
      </w:r>
    </w:p>
    <w:p w14:paraId="0BCF6F47">
      <w:pPr>
        <w:spacing w:before="64" w:line="288" w:lineRule="auto"/>
        <w:ind w:left="969" w:hanging="312"/>
        <w:rPr>
          <w:rFonts w:ascii="宋体" w:hAnsi="宋体" w:eastAsia="宋体" w:cs="宋体"/>
          <w:sz w:val="21"/>
          <w:szCs w:val="21"/>
        </w:rPr>
      </w:pPr>
      <w:r>
        <w:rPr>
          <w:rFonts w:ascii="宋体" w:hAnsi="宋体" w:eastAsia="宋体" w:cs="宋体"/>
          <w:spacing w:val="-8"/>
          <w:sz w:val="21"/>
          <w:szCs w:val="21"/>
        </w:rPr>
        <w:t>2. 类似项目限于以项目经理身份参与的项目。须附中标通知书（如有）、合同协议书、</w:t>
      </w:r>
      <w:r>
        <w:rPr>
          <w:rFonts w:ascii="宋体" w:hAnsi="宋体" w:eastAsia="宋体" w:cs="宋体"/>
          <w:spacing w:val="-2"/>
          <w:sz w:val="21"/>
          <w:szCs w:val="21"/>
        </w:rPr>
        <w:t>施工许可证（如有）、工程接收证书或工程竣工验收</w:t>
      </w:r>
      <w:r>
        <w:rPr>
          <w:rFonts w:ascii="宋体" w:hAnsi="宋体" w:eastAsia="宋体" w:cs="宋体"/>
          <w:spacing w:val="-3"/>
          <w:sz w:val="21"/>
          <w:szCs w:val="21"/>
        </w:rPr>
        <w:t>证书（工程竣工验收备案证）</w:t>
      </w:r>
      <w:r>
        <w:rPr>
          <w:rFonts w:ascii="宋体" w:hAnsi="宋体" w:eastAsia="宋体" w:cs="宋体"/>
          <w:spacing w:val="-2"/>
          <w:sz w:val="21"/>
          <w:szCs w:val="21"/>
        </w:rPr>
        <w:t>的扫描件，上述证明材料不足以反映“类似项目” 的工程特征指标时，还应当提</w:t>
      </w:r>
      <w:r>
        <w:rPr>
          <w:rFonts w:ascii="宋体" w:hAnsi="宋体" w:eastAsia="宋体" w:cs="宋体"/>
          <w:sz w:val="21"/>
          <w:szCs w:val="21"/>
        </w:rPr>
        <w:t>供其他技术资料的扫描件予以证明。招标发包的工程应附中标通知书，工程总承包发包、施工总承包发包、独立发包的施工专业承包应附施工许可证。</w:t>
      </w:r>
    </w:p>
    <w:p w14:paraId="37FA99E3">
      <w:pPr>
        <w:pStyle w:val="2"/>
        <w:spacing w:line="242" w:lineRule="auto"/>
      </w:pPr>
    </w:p>
    <w:p w14:paraId="315F02FA">
      <w:pPr>
        <w:spacing w:before="101" w:line="222" w:lineRule="auto"/>
        <w:ind w:left="2923"/>
        <w:outlineLvl w:val="1"/>
        <w:rPr>
          <w:rFonts w:ascii="宋体" w:hAnsi="宋体" w:eastAsia="宋体" w:cs="宋体"/>
          <w:sz w:val="31"/>
          <w:szCs w:val="31"/>
        </w:rPr>
      </w:pPr>
      <w:bookmarkStart w:id="632" w:name="bookmark584"/>
      <w:bookmarkEnd w:id="632"/>
      <w:r>
        <w:rPr>
          <w:rFonts w:ascii="宋体" w:hAnsi="宋体" w:eastAsia="宋体" w:cs="宋体"/>
          <w:b/>
          <w:bCs/>
          <w:spacing w:val="7"/>
          <w:sz w:val="31"/>
          <w:szCs w:val="31"/>
        </w:rPr>
        <w:t>（三）承诺书</w:t>
      </w:r>
    </w:p>
    <w:p w14:paraId="17F1E94A">
      <w:pPr>
        <w:pStyle w:val="2"/>
        <w:spacing w:line="271" w:lineRule="auto"/>
      </w:pPr>
    </w:p>
    <w:p w14:paraId="76BCB609">
      <w:pPr>
        <w:pStyle w:val="2"/>
        <w:spacing w:line="272" w:lineRule="auto"/>
      </w:pPr>
    </w:p>
    <w:p w14:paraId="3608C578">
      <w:pPr>
        <w:pStyle w:val="2"/>
        <w:spacing w:line="272" w:lineRule="auto"/>
      </w:pPr>
    </w:p>
    <w:p w14:paraId="0E9A66D5">
      <w:pPr>
        <w:tabs>
          <w:tab w:val="left" w:pos="2223"/>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66DDC0D1">
      <w:pPr>
        <w:spacing w:before="185" w:line="219" w:lineRule="auto"/>
        <w:ind w:left="446"/>
        <w:rPr>
          <w:rFonts w:ascii="宋体" w:hAnsi="宋体" w:eastAsia="宋体" w:cs="宋体"/>
          <w:sz w:val="21"/>
          <w:szCs w:val="21"/>
        </w:rPr>
      </w:pPr>
      <w:r>
        <w:rPr>
          <w:rFonts w:ascii="宋体" w:hAnsi="宋体" w:eastAsia="宋体" w:cs="宋体"/>
          <w:spacing w:val="-8"/>
          <w:sz w:val="21"/>
          <w:szCs w:val="21"/>
        </w:rPr>
        <w:t>我方在此声明，我方拟派往</w:t>
      </w:r>
      <w:r>
        <w:rPr>
          <w:rFonts w:ascii="宋体" w:hAnsi="宋体" w:eastAsia="宋体" w:cs="宋体"/>
          <w:sz w:val="21"/>
          <w:szCs w:val="21"/>
          <w:u w:val="single" w:color="auto"/>
        </w:rPr>
        <w:t xml:space="preserve">                 </w:t>
      </w:r>
      <w:r>
        <w:rPr>
          <w:rFonts w:ascii="宋体" w:hAnsi="宋体" w:eastAsia="宋体" w:cs="宋体"/>
          <w:spacing w:val="-8"/>
          <w:sz w:val="21"/>
          <w:szCs w:val="21"/>
        </w:rPr>
        <w:t>（项目名称</w:t>
      </w:r>
      <w:r>
        <w:rPr>
          <w:rFonts w:ascii="宋体" w:hAnsi="宋体" w:eastAsia="宋体" w:cs="宋体"/>
          <w:spacing w:val="-27"/>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27"/>
          <w:sz w:val="21"/>
          <w:szCs w:val="21"/>
        </w:rPr>
        <w:t>（</w:t>
      </w:r>
      <w:r>
        <w:rPr>
          <w:rFonts w:ascii="宋体" w:hAnsi="宋体" w:eastAsia="宋体" w:cs="宋体"/>
          <w:spacing w:val="-8"/>
          <w:sz w:val="21"/>
          <w:szCs w:val="21"/>
        </w:rPr>
        <w:t>标段名称</w:t>
      </w:r>
      <w:r>
        <w:rPr>
          <w:rFonts w:ascii="宋体" w:hAnsi="宋体" w:eastAsia="宋体" w:cs="宋体"/>
          <w:spacing w:val="-27"/>
          <w:sz w:val="21"/>
          <w:szCs w:val="21"/>
        </w:rPr>
        <w:t>）（</w:t>
      </w:r>
      <w:r>
        <w:rPr>
          <w:rFonts w:ascii="宋体" w:hAnsi="宋体" w:eastAsia="宋体" w:cs="宋体"/>
          <w:spacing w:val="-8"/>
          <w:sz w:val="21"/>
          <w:szCs w:val="21"/>
        </w:rPr>
        <w:t>以</w:t>
      </w:r>
    </w:p>
    <w:p w14:paraId="4F70ACE5">
      <w:pPr>
        <w:spacing w:line="219" w:lineRule="auto"/>
        <w:rPr>
          <w:rFonts w:ascii="宋体" w:hAnsi="宋体" w:eastAsia="宋体" w:cs="宋体"/>
          <w:sz w:val="21"/>
          <w:szCs w:val="21"/>
        </w:rPr>
        <w:sectPr>
          <w:footerReference r:id="rId318" w:type="default"/>
          <w:pgSz w:w="11910" w:h="16845"/>
          <w:pgMar w:top="400" w:right="1677" w:bottom="1110" w:left="1786" w:header="0" w:footer="883" w:gutter="0"/>
          <w:cols w:space="720" w:num="1"/>
        </w:sectPr>
      </w:pPr>
    </w:p>
    <w:p w14:paraId="43BC0431">
      <w:pPr>
        <w:pStyle w:val="2"/>
        <w:spacing w:line="286" w:lineRule="auto"/>
      </w:pPr>
    </w:p>
    <w:p w14:paraId="113F40C9">
      <w:pPr>
        <w:pStyle w:val="2"/>
        <w:spacing w:line="286" w:lineRule="auto"/>
      </w:pPr>
    </w:p>
    <w:p w14:paraId="1ACD7A30">
      <w:pPr>
        <w:pStyle w:val="2"/>
        <w:spacing w:line="287" w:lineRule="auto"/>
      </w:pPr>
    </w:p>
    <w:p w14:paraId="3E8D1215">
      <w:pPr>
        <w:pStyle w:val="2"/>
        <w:spacing w:line="287" w:lineRule="auto"/>
      </w:pPr>
    </w:p>
    <w:p w14:paraId="0CA74F30">
      <w:pPr>
        <w:spacing w:before="68" w:line="385" w:lineRule="auto"/>
        <w:ind w:left="27" w:firstLine="3"/>
        <w:rPr>
          <w:rFonts w:ascii="宋体" w:hAnsi="宋体" w:eastAsia="宋体" w:cs="宋体"/>
          <w:sz w:val="21"/>
          <w:szCs w:val="21"/>
        </w:rPr>
      </w:pPr>
      <w:r>
        <w:rPr>
          <w:rFonts w:ascii="宋体" w:hAnsi="宋体" w:eastAsia="宋体" w:cs="宋体"/>
          <w:spacing w:val="-3"/>
          <w:sz w:val="21"/>
          <w:szCs w:val="21"/>
        </w:rPr>
        <w:t>下简称“本工程”）的项目经理</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 xml:space="preserve"> （项目经理姓名） 现阶段（投标截止时间之前）</w:t>
      </w:r>
      <w:r>
        <w:rPr>
          <w:rFonts w:ascii="宋体" w:hAnsi="宋体" w:eastAsia="宋体" w:cs="宋体"/>
          <w:spacing w:val="-2"/>
          <w:sz w:val="21"/>
          <w:szCs w:val="21"/>
        </w:rPr>
        <w:t>没有担其他在施建设工程项目的项目经理。</w:t>
      </w:r>
    </w:p>
    <w:p w14:paraId="537D0919">
      <w:pPr>
        <w:spacing w:before="9" w:line="374" w:lineRule="auto"/>
        <w:ind w:left="23" w:right="75" w:firstLine="421"/>
        <w:jc w:val="both"/>
        <w:rPr>
          <w:rFonts w:ascii="宋体" w:hAnsi="宋体" w:eastAsia="宋体" w:cs="宋体"/>
          <w:sz w:val="21"/>
          <w:szCs w:val="21"/>
        </w:rPr>
      </w:pPr>
      <w:r>
        <w:rPr>
          <w:rFonts w:ascii="宋体" w:hAnsi="宋体" w:eastAsia="宋体" w:cs="宋体"/>
          <w:spacing w:val="-3"/>
          <w:sz w:val="21"/>
          <w:szCs w:val="21"/>
        </w:rPr>
        <w:t>根据《注册建造师执业管理办法（试行）》第九条规定“注册建造师不得同时担任两个</w:t>
      </w:r>
      <w:r>
        <w:rPr>
          <w:rFonts w:ascii="宋体" w:hAnsi="宋体" w:eastAsia="宋体" w:cs="宋体"/>
          <w:spacing w:val="-2"/>
          <w:sz w:val="21"/>
          <w:szCs w:val="21"/>
        </w:rPr>
        <w:t>及以上建设工程施工项目负责人”，第十条规定“注册建造师担任施工项目负责</w:t>
      </w:r>
      <w:r>
        <w:rPr>
          <w:rFonts w:ascii="宋体" w:hAnsi="宋体" w:eastAsia="宋体" w:cs="宋体"/>
          <w:spacing w:val="-3"/>
          <w:sz w:val="21"/>
          <w:szCs w:val="21"/>
        </w:rPr>
        <w:t>人期间原则</w:t>
      </w:r>
      <w:r>
        <w:rPr>
          <w:rFonts w:ascii="宋体" w:hAnsi="宋体" w:eastAsia="宋体" w:cs="宋体"/>
          <w:spacing w:val="-4"/>
          <w:sz w:val="21"/>
          <w:szCs w:val="21"/>
        </w:rPr>
        <w:t>上不得更换”。我方拟派项目经理的能够参加本工程的投标是基于以下理由：</w:t>
      </w:r>
    </w:p>
    <w:p w14:paraId="774DB4BF">
      <w:pPr>
        <w:spacing w:line="218" w:lineRule="auto"/>
        <w:ind w:left="466"/>
        <w:rPr>
          <w:rFonts w:ascii="宋体" w:hAnsi="宋体" w:eastAsia="宋体" w:cs="宋体"/>
          <w:sz w:val="21"/>
          <w:szCs w:val="21"/>
        </w:rPr>
      </w:pPr>
      <w:r>
        <w:rPr>
          <w:rFonts w:ascii="宋体" w:hAnsi="宋体" w:eastAsia="宋体" w:cs="宋体"/>
          <w:spacing w:val="-4"/>
          <w:sz w:val="21"/>
          <w:szCs w:val="21"/>
        </w:rPr>
        <w:t>□  拟派项目经理存在《注册建造师执业管理办法（试行）》第九条规定的下列情形：</w:t>
      </w:r>
    </w:p>
    <w:p w14:paraId="1F48C928">
      <w:pPr>
        <w:spacing w:before="142" w:line="221" w:lineRule="auto"/>
        <w:ind w:left="466"/>
        <w:rPr>
          <w:rFonts w:ascii="Times New Roman" w:hAnsi="Times New Roman" w:eastAsia="Times New Roman" w:cs="Times New Roman"/>
          <w:sz w:val="21"/>
          <w:szCs w:val="21"/>
        </w:rPr>
      </w:pPr>
      <w:r>
        <w:rPr>
          <w:rFonts w:ascii="宋体" w:hAnsi="宋体" w:eastAsia="宋体" w:cs="宋体"/>
          <w:spacing w:val="-2"/>
          <w:sz w:val="21"/>
          <w:szCs w:val="21"/>
        </w:rPr>
        <w:t>□同一工程相邻分段发包或分期施工的</w:t>
      </w:r>
      <w:r>
        <w:rPr>
          <w:rFonts w:ascii="Times New Roman" w:hAnsi="Times New Roman" w:eastAsia="Times New Roman" w:cs="Times New Roman"/>
          <w:spacing w:val="-2"/>
          <w:sz w:val="21"/>
          <w:szCs w:val="21"/>
        </w:rPr>
        <w:t>;</w:t>
      </w:r>
    </w:p>
    <w:p w14:paraId="1EB1B3B6">
      <w:pPr>
        <w:spacing w:before="153" w:line="220" w:lineRule="auto"/>
        <w:ind w:left="466"/>
        <w:rPr>
          <w:rFonts w:ascii="宋体" w:hAnsi="宋体" w:eastAsia="宋体" w:cs="宋体"/>
          <w:sz w:val="21"/>
          <w:szCs w:val="21"/>
        </w:rPr>
      </w:pPr>
      <w:r>
        <w:rPr>
          <w:rFonts w:ascii="宋体" w:hAnsi="宋体" w:eastAsia="宋体" w:cs="宋体"/>
          <w:spacing w:val="-5"/>
          <w:sz w:val="21"/>
          <w:szCs w:val="21"/>
        </w:rPr>
        <w:t>□合同约定的工程验收合格的；</w:t>
      </w:r>
    </w:p>
    <w:p w14:paraId="1B0BE511">
      <w:pPr>
        <w:spacing w:before="155" w:line="233" w:lineRule="auto"/>
        <w:ind w:left="466"/>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3"/>
          <w:sz w:val="21"/>
          <w:szCs w:val="21"/>
        </w:rPr>
        <w:t xml:space="preserve"> </w:t>
      </w:r>
      <w:r>
        <w:rPr>
          <w:rFonts w:ascii="Times New Roman" w:hAnsi="Times New Roman" w:eastAsia="Times New Roman" w:cs="Times New Roman"/>
          <w:spacing w:val="-4"/>
          <w:sz w:val="21"/>
          <w:szCs w:val="21"/>
        </w:rPr>
        <w:t>120</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经建设单位同</w:t>
      </w:r>
      <w:r>
        <w:rPr>
          <w:rFonts w:ascii="宋体" w:hAnsi="宋体" w:eastAsia="宋体" w:cs="宋体"/>
          <w:spacing w:val="-5"/>
          <w:sz w:val="21"/>
          <w:szCs w:val="21"/>
        </w:rPr>
        <w:t>意的。</w:t>
      </w:r>
    </w:p>
    <w:p w14:paraId="62C9399D">
      <w:pPr>
        <w:spacing w:before="126" w:line="356" w:lineRule="auto"/>
        <w:ind w:left="23" w:right="55" w:firstLine="442"/>
        <w:rPr>
          <w:rFonts w:ascii="宋体" w:hAnsi="宋体" w:eastAsia="宋体" w:cs="宋体"/>
          <w:sz w:val="21"/>
          <w:szCs w:val="21"/>
        </w:rPr>
      </w:pPr>
      <w:r>
        <w:rPr>
          <w:rFonts w:ascii="宋体" w:hAnsi="宋体" w:eastAsia="宋体" w:cs="宋体"/>
          <w:spacing w:val="-2"/>
          <w:sz w:val="21"/>
          <w:szCs w:val="21"/>
        </w:rPr>
        <w:t>□  拟派项目经理担任其他施工项目负责人期间因下列原因进</w:t>
      </w:r>
      <w:r>
        <w:rPr>
          <w:rFonts w:ascii="宋体" w:hAnsi="宋体" w:eastAsia="宋体" w:cs="宋体"/>
          <w:spacing w:val="-3"/>
          <w:sz w:val="21"/>
          <w:szCs w:val="21"/>
        </w:rPr>
        <w:t>行了更换，并办理书面交</w:t>
      </w:r>
      <w:r>
        <w:rPr>
          <w:rFonts w:ascii="宋体" w:hAnsi="宋体" w:eastAsia="宋体" w:cs="宋体"/>
          <w:spacing w:val="-11"/>
          <w:sz w:val="21"/>
          <w:szCs w:val="21"/>
        </w:rPr>
        <w:t>接手续：</w:t>
      </w:r>
    </w:p>
    <w:p w14:paraId="2F16785F">
      <w:pPr>
        <w:spacing w:before="1" w:line="219" w:lineRule="auto"/>
        <w:ind w:left="466"/>
        <w:rPr>
          <w:rFonts w:ascii="宋体" w:hAnsi="宋体" w:eastAsia="宋体" w:cs="宋体"/>
          <w:sz w:val="21"/>
          <w:szCs w:val="21"/>
        </w:rPr>
      </w:pPr>
      <w:r>
        <w:rPr>
          <w:rFonts w:ascii="宋体" w:hAnsi="宋体" w:eastAsia="宋体" w:cs="宋体"/>
          <w:spacing w:val="-3"/>
          <w:sz w:val="21"/>
          <w:szCs w:val="21"/>
        </w:rPr>
        <w:t>□发包方与注册建造师受聘企业已解除承包合同的；</w:t>
      </w:r>
    </w:p>
    <w:p w14:paraId="7419B012">
      <w:pPr>
        <w:spacing w:before="140" w:line="220" w:lineRule="auto"/>
        <w:ind w:left="466"/>
        <w:rPr>
          <w:rFonts w:ascii="宋体" w:hAnsi="宋体" w:eastAsia="宋体" w:cs="宋体"/>
          <w:sz w:val="21"/>
          <w:szCs w:val="21"/>
        </w:rPr>
      </w:pPr>
      <w:r>
        <w:rPr>
          <w:rFonts w:ascii="宋体" w:hAnsi="宋体" w:eastAsia="宋体" w:cs="宋体"/>
          <w:spacing w:val="-5"/>
          <w:sz w:val="21"/>
          <w:szCs w:val="21"/>
        </w:rPr>
        <w:t>□发包方同意更换项目负责人的；</w:t>
      </w:r>
    </w:p>
    <w:p w14:paraId="027FFD2A">
      <w:pPr>
        <w:spacing w:before="155" w:line="220" w:lineRule="auto"/>
        <w:ind w:left="466"/>
        <w:rPr>
          <w:rFonts w:ascii="宋体" w:hAnsi="宋体" w:eastAsia="宋体" w:cs="宋体"/>
          <w:sz w:val="21"/>
          <w:szCs w:val="21"/>
        </w:rPr>
      </w:pPr>
      <w:r>
        <w:rPr>
          <w:rFonts w:ascii="宋体" w:hAnsi="宋体" w:eastAsia="宋体" w:cs="宋体"/>
          <w:spacing w:val="-3"/>
          <w:sz w:val="21"/>
          <w:szCs w:val="21"/>
        </w:rPr>
        <w:t>□因不可抗力等特殊情况必须更换项目负责人的。</w:t>
      </w:r>
    </w:p>
    <w:p w14:paraId="5A327826">
      <w:pPr>
        <w:spacing w:before="155" w:line="238" w:lineRule="auto"/>
        <w:ind w:left="466"/>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15"/>
          <w:sz w:val="21"/>
          <w:szCs w:val="21"/>
        </w:rPr>
        <w:t>。</w:t>
      </w:r>
    </w:p>
    <w:p w14:paraId="2AEDF604">
      <w:pPr>
        <w:spacing w:before="164" w:line="220" w:lineRule="auto"/>
        <w:ind w:left="446"/>
        <w:rPr>
          <w:rFonts w:ascii="宋体" w:hAnsi="宋体" w:eastAsia="宋体" w:cs="宋体"/>
          <w:sz w:val="21"/>
          <w:szCs w:val="21"/>
        </w:rPr>
      </w:pPr>
      <w:r>
        <w:rPr>
          <w:rFonts w:ascii="宋体" w:hAnsi="宋体" w:eastAsia="宋体" w:cs="宋体"/>
          <w:spacing w:val="-1"/>
          <w:sz w:val="21"/>
          <w:szCs w:val="21"/>
        </w:rPr>
        <w:t>我方保证上述信息的真实性和准确性，并承担相应的法律责任。</w:t>
      </w:r>
    </w:p>
    <w:p w14:paraId="71E29563">
      <w:pPr>
        <w:spacing w:before="201" w:line="220" w:lineRule="auto"/>
        <w:ind w:left="444"/>
        <w:rPr>
          <w:rFonts w:ascii="宋体" w:hAnsi="宋体" w:eastAsia="宋体" w:cs="宋体"/>
          <w:sz w:val="21"/>
          <w:szCs w:val="21"/>
        </w:rPr>
      </w:pPr>
      <w:r>
        <w:rPr>
          <w:rFonts w:ascii="宋体" w:hAnsi="宋体" w:eastAsia="宋体" w:cs="宋体"/>
          <w:spacing w:val="-2"/>
          <w:sz w:val="21"/>
          <w:szCs w:val="21"/>
        </w:rPr>
        <w:t>特此承诺</w:t>
      </w:r>
    </w:p>
    <w:p w14:paraId="5A02C752">
      <w:pPr>
        <w:pStyle w:val="2"/>
        <w:spacing w:line="274" w:lineRule="auto"/>
      </w:pPr>
    </w:p>
    <w:p w14:paraId="4B0B6B3C">
      <w:pPr>
        <w:pStyle w:val="2"/>
        <w:spacing w:line="275" w:lineRule="auto"/>
      </w:pPr>
    </w:p>
    <w:p w14:paraId="2ADA4DB0">
      <w:pPr>
        <w:spacing w:before="68" w:line="219" w:lineRule="auto"/>
        <w:ind w:left="3195"/>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445B4361">
      <w:pPr>
        <w:tabs>
          <w:tab w:val="left" w:pos="6022"/>
        </w:tabs>
        <w:spacing w:before="202" w:line="345" w:lineRule="auto"/>
        <w:ind w:left="4971" w:right="78" w:hanging="177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6F00E517">
      <w:pPr>
        <w:pStyle w:val="2"/>
        <w:spacing w:line="244" w:lineRule="auto"/>
      </w:pPr>
    </w:p>
    <w:p w14:paraId="038C6EFE">
      <w:pPr>
        <w:pStyle w:val="2"/>
        <w:spacing w:line="244" w:lineRule="auto"/>
      </w:pPr>
    </w:p>
    <w:p w14:paraId="1C137CA1">
      <w:pPr>
        <w:pStyle w:val="2"/>
        <w:spacing w:line="245" w:lineRule="auto"/>
      </w:pPr>
    </w:p>
    <w:p w14:paraId="256901B8">
      <w:pPr>
        <w:spacing w:before="69" w:line="221" w:lineRule="auto"/>
        <w:ind w:left="447"/>
        <w:rPr>
          <w:rFonts w:ascii="宋体" w:hAnsi="宋体" w:eastAsia="宋体" w:cs="宋体"/>
          <w:sz w:val="21"/>
          <w:szCs w:val="21"/>
        </w:rPr>
      </w:pPr>
      <w:r>
        <w:rPr>
          <w:rFonts w:ascii="宋体" w:hAnsi="宋体" w:eastAsia="宋体" w:cs="宋体"/>
          <w:spacing w:val="-13"/>
          <w:sz w:val="21"/>
          <w:szCs w:val="21"/>
        </w:rPr>
        <w:t>备注：</w:t>
      </w:r>
    </w:p>
    <w:p w14:paraId="7D026E32">
      <w:pPr>
        <w:spacing w:before="154" w:line="335" w:lineRule="auto"/>
        <w:ind w:left="26" w:right="86" w:firstLine="434"/>
        <w:rPr>
          <w:rFonts w:ascii="宋体" w:hAnsi="宋体" w:eastAsia="宋体" w:cs="宋体"/>
          <w:sz w:val="21"/>
          <w:szCs w:val="21"/>
        </w:rPr>
      </w:pPr>
      <w:r>
        <w:rPr>
          <w:rFonts w:ascii="Times New Roman" w:hAnsi="Times New Roman" w:eastAsia="Times New Roman" w:cs="Times New Roman"/>
          <w:sz w:val="21"/>
          <w:szCs w:val="21"/>
        </w:rPr>
        <w:t>1.</w:t>
      </w:r>
      <w:r>
        <w:rPr>
          <w:rFonts w:ascii="Times New Roman" w:hAnsi="Times New Roman" w:eastAsia="Times New Roman" w:cs="Times New Roman"/>
          <w:spacing w:val="21"/>
          <w:w w:val="101"/>
          <w:sz w:val="21"/>
          <w:szCs w:val="21"/>
        </w:rPr>
        <w:t xml:space="preserve">  </w:t>
      </w:r>
      <w:r>
        <w:rPr>
          <w:rFonts w:ascii="宋体" w:hAnsi="宋体" w:eastAsia="宋体" w:cs="宋体"/>
          <w:sz w:val="21"/>
          <w:szCs w:val="21"/>
        </w:rPr>
        <w:t>投标人应当根据“承诺书”的格式，如实说明拟派项目经理能够参加本工程投标的</w:t>
      </w:r>
      <w:r>
        <w:rPr>
          <w:rFonts w:ascii="宋体" w:hAnsi="宋体" w:eastAsia="宋体" w:cs="宋体"/>
          <w:spacing w:val="-2"/>
          <w:sz w:val="21"/>
          <w:szCs w:val="21"/>
        </w:rPr>
        <w:t>理由，并附相关证明材料的扫描件。</w:t>
      </w:r>
    </w:p>
    <w:p w14:paraId="1E5F3400">
      <w:pPr>
        <w:spacing w:before="33" w:line="233" w:lineRule="auto"/>
        <w:ind w:left="440"/>
        <w:rPr>
          <w:rFonts w:ascii="宋体" w:hAnsi="宋体" w:eastAsia="宋体" w:cs="宋体"/>
          <w:sz w:val="21"/>
          <w:szCs w:val="21"/>
        </w:rPr>
      </w:pPr>
      <w:r>
        <w:rPr>
          <w:rFonts w:ascii="Times New Roman" w:hAnsi="Times New Roman" w:eastAsia="Times New Roman" w:cs="Times New Roman"/>
          <w:sz w:val="21"/>
          <w:szCs w:val="21"/>
        </w:rPr>
        <w:t xml:space="preserve">2.  </w:t>
      </w:r>
      <w:r>
        <w:rPr>
          <w:rFonts w:ascii="宋体" w:hAnsi="宋体" w:eastAsia="宋体" w:cs="宋体"/>
          <w:sz w:val="21"/>
          <w:szCs w:val="21"/>
        </w:rPr>
        <w:t>投标人“承诺书”的实质内容应当与格式规定的实质内容一致。</w:t>
      </w:r>
    </w:p>
    <w:p w14:paraId="6E0DD5D1">
      <w:pPr>
        <w:spacing w:line="233" w:lineRule="auto"/>
        <w:rPr>
          <w:rFonts w:ascii="宋体" w:hAnsi="宋体" w:eastAsia="宋体" w:cs="宋体"/>
          <w:sz w:val="21"/>
          <w:szCs w:val="21"/>
        </w:rPr>
        <w:sectPr>
          <w:footerReference r:id="rId319" w:type="default"/>
          <w:pgSz w:w="11910" w:h="16845"/>
          <w:pgMar w:top="400" w:right="1708" w:bottom="1110" w:left="1786" w:header="0" w:footer="883" w:gutter="0"/>
          <w:cols w:space="720" w:num="1"/>
        </w:sectPr>
      </w:pPr>
    </w:p>
    <w:p w14:paraId="2958B9B5">
      <w:pPr>
        <w:pStyle w:val="2"/>
        <w:spacing w:line="250" w:lineRule="auto"/>
      </w:pPr>
    </w:p>
    <w:p w14:paraId="1E5CB700">
      <w:pPr>
        <w:pStyle w:val="2"/>
        <w:spacing w:line="250" w:lineRule="auto"/>
      </w:pPr>
    </w:p>
    <w:p w14:paraId="7B1EAB6B">
      <w:pPr>
        <w:pStyle w:val="2"/>
        <w:spacing w:line="250" w:lineRule="auto"/>
      </w:pPr>
    </w:p>
    <w:p w14:paraId="7A093DD9">
      <w:pPr>
        <w:pStyle w:val="2"/>
        <w:spacing w:line="251" w:lineRule="auto"/>
      </w:pPr>
    </w:p>
    <w:p w14:paraId="780ED3C2">
      <w:pPr>
        <w:pStyle w:val="2"/>
        <w:spacing w:line="251" w:lineRule="auto"/>
      </w:pPr>
    </w:p>
    <w:p w14:paraId="779F3E58">
      <w:pPr>
        <w:pStyle w:val="2"/>
        <w:spacing w:line="251" w:lineRule="auto"/>
      </w:pPr>
    </w:p>
    <w:p w14:paraId="657326D8">
      <w:pPr>
        <w:pStyle w:val="2"/>
        <w:spacing w:line="251" w:lineRule="auto"/>
      </w:pPr>
    </w:p>
    <w:p w14:paraId="6D5A4F4D">
      <w:pPr>
        <w:spacing w:before="101" w:line="222" w:lineRule="auto"/>
        <w:ind w:left="1511"/>
        <w:outlineLvl w:val="1"/>
        <w:rPr>
          <w:rFonts w:ascii="宋体" w:hAnsi="宋体" w:eastAsia="宋体" w:cs="宋体"/>
          <w:sz w:val="31"/>
          <w:szCs w:val="31"/>
        </w:rPr>
      </w:pPr>
      <w:bookmarkStart w:id="633" w:name="bookmark585"/>
      <w:bookmarkEnd w:id="633"/>
      <w:r>
        <w:rPr>
          <w:rFonts w:ascii="宋体" w:hAnsi="宋体" w:eastAsia="宋体" w:cs="宋体"/>
          <w:b/>
          <w:bCs/>
          <w:spacing w:val="9"/>
          <w:sz w:val="31"/>
          <w:szCs w:val="31"/>
        </w:rPr>
        <w:t>（四）其他主要项目管理人员简历表</w:t>
      </w:r>
    </w:p>
    <w:p w14:paraId="621FA630">
      <w:pPr>
        <w:spacing w:before="106"/>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1"/>
        <w:gridCol w:w="2639"/>
        <w:gridCol w:w="1664"/>
        <w:gridCol w:w="2646"/>
      </w:tblGrid>
      <w:tr w14:paraId="7BFE8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281" w:type="dxa"/>
            <w:vAlign w:val="top"/>
          </w:tcPr>
          <w:p w14:paraId="76A0B2EB">
            <w:pPr>
              <w:pStyle w:val="6"/>
              <w:spacing w:before="210" w:line="220" w:lineRule="auto"/>
              <w:ind w:left="225"/>
              <w:rPr>
                <w:sz w:val="21"/>
                <w:szCs w:val="21"/>
              </w:rPr>
            </w:pPr>
            <w:r>
              <w:rPr>
                <w:b/>
                <w:bCs/>
                <w:spacing w:val="1"/>
                <w:sz w:val="21"/>
                <w:szCs w:val="21"/>
              </w:rPr>
              <w:t>岗位名称</w:t>
            </w:r>
          </w:p>
        </w:tc>
        <w:tc>
          <w:tcPr>
            <w:tcW w:w="6949" w:type="dxa"/>
            <w:gridSpan w:val="3"/>
            <w:vAlign w:val="top"/>
          </w:tcPr>
          <w:p w14:paraId="1C4BEAE1">
            <w:pPr>
              <w:rPr>
                <w:rFonts w:ascii="Arial"/>
                <w:sz w:val="21"/>
              </w:rPr>
            </w:pPr>
          </w:p>
        </w:tc>
      </w:tr>
      <w:tr w14:paraId="265E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281" w:type="dxa"/>
            <w:vAlign w:val="top"/>
          </w:tcPr>
          <w:p w14:paraId="0D73E23C">
            <w:pPr>
              <w:pStyle w:val="6"/>
              <w:spacing w:before="203" w:line="220" w:lineRule="auto"/>
              <w:ind w:left="203"/>
              <w:rPr>
                <w:sz w:val="21"/>
                <w:szCs w:val="21"/>
              </w:rPr>
            </w:pPr>
            <w:r>
              <w:rPr>
                <w:b/>
                <w:bCs/>
                <w:spacing w:val="-7"/>
                <w:sz w:val="21"/>
                <w:szCs w:val="21"/>
              </w:rPr>
              <w:t>姓</w:t>
            </w:r>
            <w:r>
              <w:rPr>
                <w:spacing w:val="6"/>
                <w:sz w:val="21"/>
                <w:szCs w:val="21"/>
              </w:rPr>
              <w:t xml:space="preserve">    </w:t>
            </w:r>
            <w:r>
              <w:rPr>
                <w:b/>
                <w:bCs/>
                <w:spacing w:val="-7"/>
                <w:sz w:val="21"/>
                <w:szCs w:val="21"/>
              </w:rPr>
              <w:t>名</w:t>
            </w:r>
          </w:p>
        </w:tc>
        <w:tc>
          <w:tcPr>
            <w:tcW w:w="2639" w:type="dxa"/>
            <w:vAlign w:val="top"/>
          </w:tcPr>
          <w:p w14:paraId="55986F33">
            <w:pPr>
              <w:rPr>
                <w:rFonts w:ascii="Arial"/>
                <w:sz w:val="21"/>
              </w:rPr>
            </w:pPr>
          </w:p>
        </w:tc>
        <w:tc>
          <w:tcPr>
            <w:tcW w:w="1664" w:type="dxa"/>
            <w:vAlign w:val="top"/>
          </w:tcPr>
          <w:p w14:paraId="0EC05E96">
            <w:pPr>
              <w:pStyle w:val="6"/>
              <w:spacing w:before="203" w:line="220" w:lineRule="auto"/>
              <w:ind w:left="399"/>
              <w:rPr>
                <w:sz w:val="21"/>
                <w:szCs w:val="21"/>
              </w:rPr>
            </w:pPr>
            <w:r>
              <w:rPr>
                <w:b/>
                <w:bCs/>
                <w:spacing w:val="-7"/>
                <w:sz w:val="21"/>
                <w:szCs w:val="21"/>
              </w:rPr>
              <w:t>年</w:t>
            </w:r>
            <w:r>
              <w:rPr>
                <w:spacing w:val="5"/>
                <w:sz w:val="21"/>
                <w:szCs w:val="21"/>
              </w:rPr>
              <w:t xml:space="preserve">    </w:t>
            </w:r>
            <w:r>
              <w:rPr>
                <w:b/>
                <w:bCs/>
                <w:spacing w:val="-7"/>
                <w:sz w:val="21"/>
                <w:szCs w:val="21"/>
              </w:rPr>
              <w:t>龄</w:t>
            </w:r>
          </w:p>
        </w:tc>
        <w:tc>
          <w:tcPr>
            <w:tcW w:w="2646" w:type="dxa"/>
            <w:vAlign w:val="top"/>
          </w:tcPr>
          <w:p w14:paraId="23B098A4">
            <w:pPr>
              <w:rPr>
                <w:rFonts w:ascii="Arial"/>
                <w:sz w:val="21"/>
              </w:rPr>
            </w:pPr>
          </w:p>
        </w:tc>
      </w:tr>
      <w:tr w14:paraId="14274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281" w:type="dxa"/>
            <w:vAlign w:val="top"/>
          </w:tcPr>
          <w:p w14:paraId="5453C989">
            <w:pPr>
              <w:pStyle w:val="6"/>
              <w:spacing w:before="219" w:line="220" w:lineRule="auto"/>
              <w:ind w:left="205"/>
              <w:rPr>
                <w:sz w:val="21"/>
                <w:szCs w:val="21"/>
              </w:rPr>
            </w:pPr>
            <w:r>
              <w:rPr>
                <w:b/>
                <w:bCs/>
                <w:spacing w:val="-8"/>
                <w:sz w:val="21"/>
                <w:szCs w:val="21"/>
              </w:rPr>
              <w:t>性</w:t>
            </w:r>
            <w:r>
              <w:rPr>
                <w:spacing w:val="6"/>
                <w:sz w:val="21"/>
                <w:szCs w:val="21"/>
              </w:rPr>
              <w:t xml:space="preserve">    </w:t>
            </w:r>
            <w:r>
              <w:rPr>
                <w:b/>
                <w:bCs/>
                <w:spacing w:val="-8"/>
                <w:sz w:val="21"/>
                <w:szCs w:val="21"/>
              </w:rPr>
              <w:t>别</w:t>
            </w:r>
          </w:p>
        </w:tc>
        <w:tc>
          <w:tcPr>
            <w:tcW w:w="2639" w:type="dxa"/>
            <w:vAlign w:val="top"/>
          </w:tcPr>
          <w:p w14:paraId="6221A747">
            <w:pPr>
              <w:rPr>
                <w:rFonts w:ascii="Arial"/>
                <w:sz w:val="21"/>
              </w:rPr>
            </w:pPr>
          </w:p>
        </w:tc>
        <w:tc>
          <w:tcPr>
            <w:tcW w:w="1664" w:type="dxa"/>
            <w:vAlign w:val="top"/>
          </w:tcPr>
          <w:p w14:paraId="3FA9319D">
            <w:pPr>
              <w:pStyle w:val="6"/>
              <w:spacing w:before="219" w:line="220" w:lineRule="auto"/>
              <w:ind w:left="402"/>
              <w:rPr>
                <w:sz w:val="21"/>
                <w:szCs w:val="21"/>
              </w:rPr>
            </w:pPr>
            <w:r>
              <w:rPr>
                <w:b/>
                <w:bCs/>
                <w:spacing w:val="6"/>
                <w:sz w:val="21"/>
                <w:szCs w:val="21"/>
              </w:rPr>
              <w:t>毕业学校</w:t>
            </w:r>
          </w:p>
        </w:tc>
        <w:tc>
          <w:tcPr>
            <w:tcW w:w="2646" w:type="dxa"/>
            <w:vAlign w:val="top"/>
          </w:tcPr>
          <w:p w14:paraId="128C9A97">
            <w:pPr>
              <w:rPr>
                <w:rFonts w:ascii="Arial"/>
                <w:sz w:val="21"/>
              </w:rPr>
            </w:pPr>
          </w:p>
        </w:tc>
      </w:tr>
      <w:tr w14:paraId="7C8B5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281" w:type="dxa"/>
            <w:vAlign w:val="top"/>
          </w:tcPr>
          <w:p w14:paraId="50514656">
            <w:pPr>
              <w:pStyle w:val="6"/>
              <w:spacing w:before="206" w:line="220" w:lineRule="auto"/>
              <w:ind w:left="117"/>
              <w:rPr>
                <w:sz w:val="21"/>
                <w:szCs w:val="21"/>
              </w:rPr>
            </w:pPr>
            <w:r>
              <w:rPr>
                <w:b/>
                <w:bCs/>
                <w:spacing w:val="-2"/>
                <w:sz w:val="21"/>
                <w:szCs w:val="21"/>
              </w:rPr>
              <w:t>学历和专业</w:t>
            </w:r>
          </w:p>
        </w:tc>
        <w:tc>
          <w:tcPr>
            <w:tcW w:w="2639" w:type="dxa"/>
            <w:vAlign w:val="top"/>
          </w:tcPr>
          <w:p w14:paraId="3FF91D98">
            <w:pPr>
              <w:rPr>
                <w:rFonts w:ascii="Arial"/>
                <w:sz w:val="21"/>
              </w:rPr>
            </w:pPr>
          </w:p>
        </w:tc>
        <w:tc>
          <w:tcPr>
            <w:tcW w:w="1664" w:type="dxa"/>
            <w:vAlign w:val="top"/>
          </w:tcPr>
          <w:p w14:paraId="2B0A9096">
            <w:pPr>
              <w:pStyle w:val="6"/>
              <w:spacing w:before="205" w:line="220" w:lineRule="auto"/>
              <w:ind w:left="402"/>
              <w:rPr>
                <w:sz w:val="21"/>
                <w:szCs w:val="21"/>
              </w:rPr>
            </w:pPr>
            <w:r>
              <w:rPr>
                <w:b/>
                <w:bCs/>
                <w:spacing w:val="6"/>
                <w:sz w:val="21"/>
                <w:szCs w:val="21"/>
              </w:rPr>
              <w:t>毕业时间</w:t>
            </w:r>
          </w:p>
        </w:tc>
        <w:tc>
          <w:tcPr>
            <w:tcW w:w="2646" w:type="dxa"/>
            <w:vAlign w:val="top"/>
          </w:tcPr>
          <w:p w14:paraId="1F774579">
            <w:pPr>
              <w:rPr>
                <w:rFonts w:ascii="Arial"/>
                <w:sz w:val="21"/>
              </w:rPr>
            </w:pPr>
          </w:p>
        </w:tc>
      </w:tr>
      <w:tr w14:paraId="4E256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281" w:type="dxa"/>
            <w:vAlign w:val="top"/>
          </w:tcPr>
          <w:p w14:paraId="0D75FBE5">
            <w:pPr>
              <w:pStyle w:val="6"/>
              <w:spacing w:before="57" w:line="254" w:lineRule="auto"/>
              <w:ind w:left="422" w:right="154" w:hanging="249"/>
              <w:rPr>
                <w:sz w:val="21"/>
                <w:szCs w:val="21"/>
              </w:rPr>
            </w:pPr>
            <w:r>
              <w:rPr>
                <w:b/>
                <w:bCs/>
                <w:spacing w:val="6"/>
                <w:sz w:val="21"/>
                <w:szCs w:val="21"/>
              </w:rPr>
              <w:t>执业</w:t>
            </w:r>
            <w:r>
              <w:rPr>
                <w:rFonts w:ascii="Times New Roman" w:hAnsi="Times New Roman" w:eastAsia="Times New Roman" w:cs="Times New Roman"/>
                <w:b/>
                <w:bCs/>
                <w:spacing w:val="6"/>
                <w:sz w:val="21"/>
                <w:szCs w:val="21"/>
              </w:rPr>
              <w:t>/</w:t>
            </w:r>
            <w:r>
              <w:rPr>
                <w:b/>
                <w:bCs/>
                <w:spacing w:val="6"/>
                <w:sz w:val="21"/>
                <w:szCs w:val="21"/>
              </w:rPr>
              <w:t>岗位</w:t>
            </w:r>
            <w:r>
              <w:rPr>
                <w:b/>
                <w:bCs/>
                <w:spacing w:val="-3"/>
                <w:sz w:val="21"/>
                <w:szCs w:val="21"/>
              </w:rPr>
              <w:t>资格</w:t>
            </w:r>
          </w:p>
        </w:tc>
        <w:tc>
          <w:tcPr>
            <w:tcW w:w="2639" w:type="dxa"/>
            <w:vAlign w:val="top"/>
          </w:tcPr>
          <w:p w14:paraId="64AEF457">
            <w:pPr>
              <w:rPr>
                <w:rFonts w:ascii="Arial"/>
                <w:sz w:val="21"/>
              </w:rPr>
            </w:pPr>
          </w:p>
        </w:tc>
        <w:tc>
          <w:tcPr>
            <w:tcW w:w="1664" w:type="dxa"/>
            <w:vAlign w:val="top"/>
          </w:tcPr>
          <w:p w14:paraId="0E1AFE1A">
            <w:pPr>
              <w:pStyle w:val="6"/>
              <w:spacing w:before="207" w:line="220" w:lineRule="auto"/>
              <w:ind w:left="399"/>
              <w:rPr>
                <w:sz w:val="21"/>
                <w:szCs w:val="21"/>
              </w:rPr>
            </w:pPr>
            <w:r>
              <w:rPr>
                <w:b/>
                <w:bCs/>
                <w:spacing w:val="7"/>
                <w:sz w:val="21"/>
                <w:szCs w:val="21"/>
              </w:rPr>
              <w:t>专业职称</w:t>
            </w:r>
          </w:p>
        </w:tc>
        <w:tc>
          <w:tcPr>
            <w:tcW w:w="2646" w:type="dxa"/>
            <w:vAlign w:val="top"/>
          </w:tcPr>
          <w:p w14:paraId="45B1EB9C">
            <w:pPr>
              <w:rPr>
                <w:rFonts w:ascii="Arial"/>
                <w:sz w:val="21"/>
              </w:rPr>
            </w:pPr>
          </w:p>
        </w:tc>
      </w:tr>
      <w:tr w14:paraId="4BE04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281" w:type="dxa"/>
            <w:vAlign w:val="top"/>
          </w:tcPr>
          <w:p w14:paraId="2FA90960">
            <w:pPr>
              <w:pStyle w:val="6"/>
              <w:spacing w:before="72" w:line="254" w:lineRule="auto"/>
              <w:ind w:left="203" w:right="154" w:hanging="30"/>
              <w:rPr>
                <w:sz w:val="21"/>
                <w:szCs w:val="21"/>
              </w:rPr>
            </w:pPr>
            <w:r>
              <w:rPr>
                <w:b/>
                <w:bCs/>
                <w:spacing w:val="6"/>
                <w:sz w:val="21"/>
                <w:szCs w:val="21"/>
              </w:rPr>
              <w:t>执业</w:t>
            </w:r>
            <w:r>
              <w:rPr>
                <w:rFonts w:ascii="Times New Roman" w:hAnsi="Times New Roman" w:eastAsia="Times New Roman" w:cs="Times New Roman"/>
                <w:b/>
                <w:bCs/>
                <w:spacing w:val="6"/>
                <w:sz w:val="21"/>
                <w:szCs w:val="21"/>
              </w:rPr>
              <w:t>/</w:t>
            </w:r>
            <w:r>
              <w:rPr>
                <w:b/>
                <w:bCs/>
                <w:spacing w:val="6"/>
                <w:sz w:val="21"/>
                <w:szCs w:val="21"/>
              </w:rPr>
              <w:t>岗位</w:t>
            </w:r>
            <w:r>
              <w:rPr>
                <w:b/>
                <w:bCs/>
                <w:spacing w:val="7"/>
                <w:sz w:val="21"/>
                <w:szCs w:val="21"/>
              </w:rPr>
              <w:t>证书编号</w:t>
            </w:r>
          </w:p>
        </w:tc>
        <w:tc>
          <w:tcPr>
            <w:tcW w:w="2639" w:type="dxa"/>
            <w:vAlign w:val="top"/>
          </w:tcPr>
          <w:p w14:paraId="30E65FCC">
            <w:pPr>
              <w:rPr>
                <w:rFonts w:ascii="Arial"/>
                <w:sz w:val="21"/>
              </w:rPr>
            </w:pPr>
          </w:p>
        </w:tc>
        <w:tc>
          <w:tcPr>
            <w:tcW w:w="1664" w:type="dxa"/>
            <w:vAlign w:val="top"/>
          </w:tcPr>
          <w:p w14:paraId="366824E1">
            <w:pPr>
              <w:pStyle w:val="6"/>
              <w:spacing w:before="221" w:line="220" w:lineRule="auto"/>
              <w:ind w:left="189"/>
              <w:rPr>
                <w:sz w:val="21"/>
                <w:szCs w:val="21"/>
              </w:rPr>
            </w:pPr>
            <w:r>
              <w:rPr>
                <w:b/>
                <w:bCs/>
                <w:spacing w:val="4"/>
                <w:sz w:val="21"/>
                <w:szCs w:val="21"/>
              </w:rPr>
              <w:t>专业工作年限</w:t>
            </w:r>
          </w:p>
        </w:tc>
        <w:tc>
          <w:tcPr>
            <w:tcW w:w="2646" w:type="dxa"/>
            <w:vAlign w:val="top"/>
          </w:tcPr>
          <w:p w14:paraId="1CD61427">
            <w:pPr>
              <w:rPr>
                <w:rFonts w:ascii="Arial"/>
                <w:sz w:val="21"/>
              </w:rPr>
            </w:pPr>
          </w:p>
        </w:tc>
      </w:tr>
      <w:tr w14:paraId="09FC4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88" w:hRule="atLeast"/>
        </w:trPr>
        <w:tc>
          <w:tcPr>
            <w:tcW w:w="1281" w:type="dxa"/>
            <w:textDirection w:val="tbRlV"/>
            <w:vAlign w:val="top"/>
          </w:tcPr>
          <w:p w14:paraId="20AB9FA1">
            <w:pPr>
              <w:spacing w:line="445" w:lineRule="auto"/>
              <w:rPr>
                <w:rFonts w:ascii="Arial"/>
                <w:sz w:val="21"/>
              </w:rPr>
            </w:pPr>
          </w:p>
          <w:p w14:paraId="376158C7">
            <w:pPr>
              <w:pStyle w:val="6"/>
              <w:spacing w:before="71" w:line="209" w:lineRule="auto"/>
              <w:ind w:left="1318"/>
              <w:rPr>
                <w:sz w:val="21"/>
                <w:szCs w:val="21"/>
              </w:rPr>
            </w:pPr>
            <w:r>
              <w:rPr>
                <w:b/>
                <w:bCs/>
                <w:spacing w:val="-2"/>
                <w:sz w:val="21"/>
                <w:szCs w:val="21"/>
              </w:rPr>
              <w:t>主</w:t>
            </w:r>
            <w:r>
              <w:rPr>
                <w:spacing w:val="-2"/>
                <w:sz w:val="21"/>
                <w:szCs w:val="21"/>
              </w:rPr>
              <w:t xml:space="preserve"> </w:t>
            </w:r>
            <w:r>
              <w:rPr>
                <w:b/>
                <w:bCs/>
                <w:spacing w:val="-2"/>
                <w:sz w:val="21"/>
                <w:szCs w:val="21"/>
              </w:rPr>
              <w:t>要</w:t>
            </w:r>
            <w:r>
              <w:rPr>
                <w:spacing w:val="-2"/>
                <w:sz w:val="21"/>
                <w:szCs w:val="21"/>
              </w:rPr>
              <w:t xml:space="preserve"> </w:t>
            </w:r>
            <w:r>
              <w:rPr>
                <w:b/>
                <w:bCs/>
                <w:spacing w:val="-2"/>
                <w:sz w:val="21"/>
                <w:szCs w:val="21"/>
              </w:rPr>
              <w:t>工</w:t>
            </w:r>
            <w:r>
              <w:rPr>
                <w:spacing w:val="-2"/>
                <w:sz w:val="21"/>
                <w:szCs w:val="21"/>
              </w:rPr>
              <w:t xml:space="preserve"> </w:t>
            </w:r>
            <w:r>
              <w:rPr>
                <w:b/>
                <w:bCs/>
                <w:spacing w:val="-2"/>
                <w:sz w:val="21"/>
                <w:szCs w:val="21"/>
              </w:rPr>
              <w:t>作</w:t>
            </w:r>
            <w:r>
              <w:rPr>
                <w:spacing w:val="-2"/>
                <w:sz w:val="21"/>
                <w:szCs w:val="21"/>
              </w:rPr>
              <w:t xml:space="preserve"> </w:t>
            </w:r>
            <w:r>
              <w:rPr>
                <w:b/>
                <w:bCs/>
                <w:spacing w:val="-2"/>
                <w:sz w:val="21"/>
                <w:szCs w:val="21"/>
              </w:rPr>
              <w:t>业</w:t>
            </w:r>
            <w:r>
              <w:rPr>
                <w:spacing w:val="-2"/>
                <w:sz w:val="21"/>
                <w:szCs w:val="21"/>
              </w:rPr>
              <w:t xml:space="preserve"> </w:t>
            </w:r>
            <w:r>
              <w:rPr>
                <w:b/>
                <w:bCs/>
                <w:spacing w:val="-2"/>
                <w:sz w:val="21"/>
                <w:szCs w:val="21"/>
              </w:rPr>
              <w:t>绩</w:t>
            </w:r>
            <w:r>
              <w:rPr>
                <w:spacing w:val="-2"/>
                <w:sz w:val="21"/>
                <w:szCs w:val="21"/>
              </w:rPr>
              <w:t xml:space="preserve"> </w:t>
            </w:r>
            <w:r>
              <w:rPr>
                <w:b/>
                <w:bCs/>
                <w:spacing w:val="-2"/>
                <w:sz w:val="21"/>
                <w:szCs w:val="21"/>
              </w:rPr>
              <w:t>及</w:t>
            </w:r>
            <w:r>
              <w:rPr>
                <w:spacing w:val="-2"/>
                <w:sz w:val="21"/>
                <w:szCs w:val="21"/>
              </w:rPr>
              <w:t xml:space="preserve"> </w:t>
            </w:r>
            <w:r>
              <w:rPr>
                <w:b/>
                <w:bCs/>
                <w:spacing w:val="-2"/>
                <w:sz w:val="21"/>
                <w:szCs w:val="21"/>
              </w:rPr>
              <w:t>担</w:t>
            </w:r>
            <w:r>
              <w:rPr>
                <w:spacing w:val="-2"/>
                <w:sz w:val="21"/>
                <w:szCs w:val="21"/>
              </w:rPr>
              <w:t xml:space="preserve"> </w:t>
            </w:r>
            <w:r>
              <w:rPr>
                <w:b/>
                <w:bCs/>
                <w:spacing w:val="-2"/>
                <w:sz w:val="21"/>
                <w:szCs w:val="21"/>
              </w:rPr>
              <w:t>任</w:t>
            </w:r>
            <w:r>
              <w:rPr>
                <w:spacing w:val="-2"/>
                <w:sz w:val="21"/>
                <w:szCs w:val="21"/>
              </w:rPr>
              <w:t xml:space="preserve"> </w:t>
            </w:r>
            <w:r>
              <w:rPr>
                <w:b/>
                <w:bCs/>
                <w:spacing w:val="-2"/>
                <w:sz w:val="21"/>
                <w:szCs w:val="21"/>
              </w:rPr>
              <w:t>的</w:t>
            </w:r>
            <w:r>
              <w:rPr>
                <w:spacing w:val="-2"/>
                <w:sz w:val="21"/>
                <w:szCs w:val="21"/>
              </w:rPr>
              <w:t xml:space="preserve"> </w:t>
            </w:r>
            <w:r>
              <w:rPr>
                <w:b/>
                <w:bCs/>
                <w:spacing w:val="-2"/>
                <w:sz w:val="21"/>
                <w:szCs w:val="21"/>
              </w:rPr>
              <w:t>主</w:t>
            </w:r>
            <w:r>
              <w:rPr>
                <w:spacing w:val="-2"/>
                <w:sz w:val="21"/>
                <w:szCs w:val="21"/>
              </w:rPr>
              <w:t xml:space="preserve"> </w:t>
            </w:r>
            <w:r>
              <w:rPr>
                <w:b/>
                <w:bCs/>
                <w:spacing w:val="-2"/>
                <w:sz w:val="21"/>
                <w:szCs w:val="21"/>
              </w:rPr>
              <w:t>要</w:t>
            </w:r>
            <w:r>
              <w:rPr>
                <w:spacing w:val="-3"/>
                <w:sz w:val="21"/>
                <w:szCs w:val="21"/>
              </w:rPr>
              <w:t xml:space="preserve"> </w:t>
            </w:r>
            <w:r>
              <w:rPr>
                <w:b/>
                <w:bCs/>
                <w:spacing w:val="-3"/>
                <w:sz w:val="21"/>
                <w:szCs w:val="21"/>
              </w:rPr>
              <w:t>工</w:t>
            </w:r>
            <w:r>
              <w:rPr>
                <w:spacing w:val="-3"/>
                <w:sz w:val="21"/>
                <w:szCs w:val="21"/>
              </w:rPr>
              <w:t xml:space="preserve"> </w:t>
            </w:r>
            <w:r>
              <w:rPr>
                <w:b/>
                <w:bCs/>
                <w:spacing w:val="-3"/>
                <w:sz w:val="21"/>
                <w:szCs w:val="21"/>
              </w:rPr>
              <w:t>作</w:t>
            </w:r>
          </w:p>
        </w:tc>
        <w:tc>
          <w:tcPr>
            <w:tcW w:w="6949" w:type="dxa"/>
            <w:gridSpan w:val="3"/>
            <w:vAlign w:val="top"/>
          </w:tcPr>
          <w:p w14:paraId="6FA7B546">
            <w:pPr>
              <w:rPr>
                <w:rFonts w:ascii="Arial"/>
                <w:sz w:val="21"/>
              </w:rPr>
            </w:pPr>
          </w:p>
        </w:tc>
      </w:tr>
    </w:tbl>
    <w:p w14:paraId="325A1A53">
      <w:pPr>
        <w:pStyle w:val="2"/>
        <w:spacing w:line="424" w:lineRule="auto"/>
      </w:pPr>
    </w:p>
    <w:p w14:paraId="72E53FAA">
      <w:pPr>
        <w:spacing w:before="69" w:line="275" w:lineRule="auto"/>
        <w:ind w:left="653" w:hanging="627"/>
        <w:rPr>
          <w:rFonts w:ascii="宋体" w:hAnsi="宋体" w:eastAsia="宋体" w:cs="宋体"/>
          <w:sz w:val="21"/>
          <w:szCs w:val="21"/>
        </w:rPr>
      </w:pPr>
      <w:r>
        <w:rPr>
          <w:rFonts w:ascii="宋体" w:hAnsi="宋体" w:eastAsia="宋体" w:cs="宋体"/>
          <w:spacing w:val="-3"/>
          <w:sz w:val="21"/>
          <w:szCs w:val="21"/>
        </w:rPr>
        <w:t>备注：其他主要项目管理人员指项目副经理（如有）、项目技术负责人、施工管理、质量管</w:t>
      </w:r>
      <w:r>
        <w:rPr>
          <w:rFonts w:ascii="宋体" w:hAnsi="宋体" w:eastAsia="宋体" w:cs="宋体"/>
          <w:spacing w:val="-1"/>
          <w:sz w:val="21"/>
          <w:szCs w:val="21"/>
        </w:rPr>
        <w:t>理、安全管理及资格条件要求的其他岗位人员。除第二章投标人须知前附表第</w:t>
      </w:r>
      <w:r>
        <w:rPr>
          <w:rFonts w:ascii="宋体" w:hAnsi="宋体" w:eastAsia="宋体" w:cs="宋体"/>
          <w:spacing w:val="-36"/>
          <w:sz w:val="21"/>
          <w:szCs w:val="21"/>
        </w:rPr>
        <w:t xml:space="preserve"> </w:t>
      </w:r>
      <w:r>
        <w:rPr>
          <w:rFonts w:ascii="宋体" w:hAnsi="宋体" w:eastAsia="宋体" w:cs="宋体"/>
          <w:spacing w:val="-1"/>
          <w:sz w:val="21"/>
          <w:szCs w:val="21"/>
        </w:rPr>
        <w:t>3.5.6</w:t>
      </w:r>
      <w:r>
        <w:rPr>
          <w:rFonts w:ascii="宋体" w:hAnsi="宋体" w:eastAsia="宋体" w:cs="宋体"/>
          <w:spacing w:val="-7"/>
          <w:sz w:val="21"/>
          <w:szCs w:val="21"/>
        </w:rPr>
        <w:t>项另有规定外，项目副经理（如有）、项目技术负责</w:t>
      </w:r>
      <w:r>
        <w:rPr>
          <w:rFonts w:ascii="宋体" w:hAnsi="宋体" w:eastAsia="宋体" w:cs="宋体"/>
          <w:spacing w:val="-8"/>
          <w:sz w:val="21"/>
          <w:szCs w:val="21"/>
        </w:rPr>
        <w:t>人应附资格证书（如有）、注册证</w:t>
      </w:r>
      <w:r>
        <w:rPr>
          <w:rFonts w:ascii="宋体" w:hAnsi="宋体" w:eastAsia="宋体" w:cs="宋体"/>
          <w:spacing w:val="-3"/>
          <w:sz w:val="21"/>
          <w:szCs w:val="21"/>
        </w:rPr>
        <w:t>书（如有）、职称证书、学历证书的扫描件, 主要业绩须附合同协议书的扫描件；安</w:t>
      </w:r>
      <w:r>
        <w:rPr>
          <w:rFonts w:ascii="宋体" w:hAnsi="宋体" w:eastAsia="宋体" w:cs="宋体"/>
          <w:spacing w:val="-2"/>
          <w:sz w:val="21"/>
          <w:szCs w:val="21"/>
        </w:rPr>
        <w:t>全管理人员应附有效的安全生产考核合格证书（C</w:t>
      </w:r>
      <w:r>
        <w:rPr>
          <w:rFonts w:ascii="宋体" w:hAnsi="宋体" w:eastAsia="宋体" w:cs="宋体"/>
          <w:spacing w:val="-31"/>
          <w:sz w:val="21"/>
          <w:szCs w:val="21"/>
        </w:rPr>
        <w:t xml:space="preserve"> </w:t>
      </w:r>
      <w:r>
        <w:rPr>
          <w:rFonts w:ascii="宋体" w:hAnsi="宋体" w:eastAsia="宋体" w:cs="宋体"/>
          <w:spacing w:val="-2"/>
          <w:sz w:val="21"/>
          <w:szCs w:val="21"/>
        </w:rPr>
        <w:t>证）的扫描件；施工管理、质量管</w:t>
      </w:r>
      <w:r>
        <w:rPr>
          <w:rFonts w:ascii="宋体" w:hAnsi="宋体" w:eastAsia="宋体" w:cs="宋体"/>
          <w:spacing w:val="-1"/>
          <w:sz w:val="21"/>
          <w:szCs w:val="21"/>
        </w:rPr>
        <w:t>理及资格条件要求的其他岗位人员应附岗位培训考核合格证书的扫描件。</w:t>
      </w:r>
    </w:p>
    <w:p w14:paraId="012CB6AE">
      <w:pPr>
        <w:spacing w:line="275" w:lineRule="auto"/>
        <w:rPr>
          <w:rFonts w:ascii="宋体" w:hAnsi="宋体" w:eastAsia="宋体" w:cs="宋体"/>
          <w:sz w:val="21"/>
          <w:szCs w:val="21"/>
        </w:rPr>
        <w:sectPr>
          <w:footerReference r:id="rId320" w:type="default"/>
          <w:pgSz w:w="11910" w:h="16845"/>
          <w:pgMar w:top="400" w:right="1767" w:bottom="1110" w:left="1786" w:header="0" w:footer="883" w:gutter="0"/>
          <w:cols w:space="720" w:num="1"/>
        </w:sectPr>
      </w:pPr>
    </w:p>
    <w:p w14:paraId="7FBE93C3">
      <w:pPr>
        <w:pStyle w:val="2"/>
        <w:spacing w:line="270" w:lineRule="auto"/>
      </w:pPr>
    </w:p>
    <w:p w14:paraId="73A0AE42">
      <w:pPr>
        <w:pStyle w:val="2"/>
        <w:spacing w:line="271" w:lineRule="auto"/>
      </w:pPr>
    </w:p>
    <w:p w14:paraId="5AE8CE7E">
      <w:pPr>
        <w:pStyle w:val="2"/>
        <w:spacing w:line="271" w:lineRule="auto"/>
      </w:pPr>
    </w:p>
    <w:p w14:paraId="7346348C">
      <w:pPr>
        <w:pStyle w:val="2"/>
        <w:spacing w:line="271" w:lineRule="auto"/>
      </w:pPr>
    </w:p>
    <w:p w14:paraId="67D94BA4">
      <w:pPr>
        <w:spacing w:before="101" w:line="222" w:lineRule="auto"/>
        <w:ind w:left="28"/>
        <w:outlineLvl w:val="1"/>
        <w:rPr>
          <w:rFonts w:ascii="黑体" w:hAnsi="黑体" w:eastAsia="黑体" w:cs="黑体"/>
          <w:sz w:val="31"/>
          <w:szCs w:val="31"/>
        </w:rPr>
      </w:pPr>
      <w:bookmarkStart w:id="634" w:name="bookmark586"/>
      <w:bookmarkEnd w:id="634"/>
      <w:r>
        <w:rPr>
          <w:rFonts w:ascii="黑体" w:hAnsi="黑体" w:eastAsia="黑体" w:cs="黑体"/>
          <w:spacing w:val="13"/>
          <w:sz w:val="31"/>
          <w:szCs w:val="31"/>
        </w:rPr>
        <w:t>八、资格审查资料</w:t>
      </w:r>
    </w:p>
    <w:p w14:paraId="0EF58543">
      <w:pPr>
        <w:spacing w:line="222" w:lineRule="auto"/>
        <w:rPr>
          <w:rFonts w:ascii="黑体" w:hAnsi="黑体" w:eastAsia="黑体" w:cs="黑体"/>
          <w:sz w:val="31"/>
          <w:szCs w:val="31"/>
        </w:rPr>
        <w:sectPr>
          <w:footerReference r:id="rId321" w:type="default"/>
          <w:pgSz w:w="11910" w:h="16845"/>
          <w:pgMar w:top="400" w:right="1786" w:bottom="1110" w:left="1786" w:header="0" w:footer="883" w:gutter="0"/>
          <w:cols w:space="720" w:num="1"/>
        </w:sectPr>
      </w:pPr>
    </w:p>
    <w:p w14:paraId="76893A2C">
      <w:pPr>
        <w:pStyle w:val="2"/>
        <w:spacing w:line="275" w:lineRule="auto"/>
      </w:pPr>
    </w:p>
    <w:p w14:paraId="6DCA43F4">
      <w:pPr>
        <w:pStyle w:val="2"/>
        <w:spacing w:line="276" w:lineRule="auto"/>
      </w:pPr>
    </w:p>
    <w:p w14:paraId="0B01FED6">
      <w:pPr>
        <w:pStyle w:val="2"/>
        <w:spacing w:line="276" w:lineRule="auto"/>
      </w:pPr>
    </w:p>
    <w:p w14:paraId="698DF79F">
      <w:pPr>
        <w:pStyle w:val="2"/>
        <w:spacing w:line="276" w:lineRule="auto"/>
      </w:pPr>
    </w:p>
    <w:p w14:paraId="7ACAE27A">
      <w:pPr>
        <w:spacing w:before="91" w:line="223" w:lineRule="auto"/>
        <w:ind w:left="185"/>
        <w:outlineLvl w:val="2"/>
        <w:rPr>
          <w:rFonts w:ascii="黑体" w:hAnsi="黑体" w:eastAsia="黑体" w:cs="黑体"/>
          <w:sz w:val="28"/>
          <w:szCs w:val="28"/>
        </w:rPr>
      </w:pPr>
      <w:bookmarkStart w:id="635" w:name="bookmark588"/>
      <w:bookmarkEnd w:id="635"/>
      <w:bookmarkStart w:id="636" w:name="bookmark587"/>
      <w:bookmarkEnd w:id="636"/>
      <w:r>
        <w:rPr>
          <w:rFonts w:ascii="黑体" w:hAnsi="黑体" w:eastAsia="黑体" w:cs="黑体"/>
          <w:spacing w:val="-1"/>
          <w:sz w:val="28"/>
          <w:szCs w:val="28"/>
        </w:rPr>
        <w:t>(一)投标人基本情况</w:t>
      </w:r>
    </w:p>
    <w:p w14:paraId="68A163AF">
      <w:pPr>
        <w:spacing w:before="241" w:line="216" w:lineRule="auto"/>
        <w:ind w:left="3144"/>
        <w:outlineLvl w:val="2"/>
        <w:rPr>
          <w:rFonts w:ascii="黑体" w:hAnsi="黑体" w:eastAsia="黑体" w:cs="黑体"/>
          <w:sz w:val="24"/>
          <w:szCs w:val="24"/>
        </w:rPr>
      </w:pPr>
      <w:bookmarkStart w:id="637" w:name="bookmark726"/>
      <w:bookmarkEnd w:id="637"/>
      <w:r>
        <w:rPr>
          <w:rFonts w:ascii="Calibri" w:hAnsi="Calibri" w:eastAsia="Calibri" w:cs="Calibri"/>
          <w:spacing w:val="-1"/>
          <w:sz w:val="24"/>
          <w:szCs w:val="24"/>
        </w:rPr>
        <w:t xml:space="preserve">1-1 </w:t>
      </w:r>
      <w:r>
        <w:rPr>
          <w:rFonts w:ascii="黑体" w:hAnsi="黑体" w:eastAsia="黑体" w:cs="黑体"/>
          <w:spacing w:val="-1"/>
          <w:sz w:val="24"/>
          <w:szCs w:val="24"/>
        </w:rPr>
        <w:t>投标人基本情况表</w:t>
      </w: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884"/>
        <w:gridCol w:w="1349"/>
        <w:gridCol w:w="1075"/>
        <w:gridCol w:w="1229"/>
        <w:gridCol w:w="360"/>
        <w:gridCol w:w="885"/>
        <w:gridCol w:w="1286"/>
      </w:tblGrid>
      <w:tr w14:paraId="0CEF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1462" w:type="dxa"/>
            <w:vAlign w:val="top"/>
          </w:tcPr>
          <w:p w14:paraId="005F754C">
            <w:pPr>
              <w:pStyle w:val="6"/>
              <w:spacing w:before="165" w:line="220" w:lineRule="auto"/>
              <w:ind w:left="206"/>
              <w:rPr>
                <w:sz w:val="21"/>
                <w:szCs w:val="21"/>
              </w:rPr>
            </w:pPr>
            <w:r>
              <w:rPr>
                <w:spacing w:val="-2"/>
                <w:sz w:val="21"/>
                <w:szCs w:val="21"/>
              </w:rPr>
              <w:t>投标人名称</w:t>
            </w:r>
          </w:p>
        </w:tc>
        <w:tc>
          <w:tcPr>
            <w:tcW w:w="7068" w:type="dxa"/>
            <w:gridSpan w:val="7"/>
            <w:vAlign w:val="top"/>
          </w:tcPr>
          <w:p w14:paraId="7B2BC358">
            <w:pPr>
              <w:rPr>
                <w:rFonts w:ascii="Arial"/>
                <w:sz w:val="21"/>
              </w:rPr>
            </w:pPr>
          </w:p>
        </w:tc>
      </w:tr>
      <w:tr w14:paraId="0D3E6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62" w:type="dxa"/>
            <w:vAlign w:val="top"/>
          </w:tcPr>
          <w:p w14:paraId="58999FD2">
            <w:pPr>
              <w:pStyle w:val="6"/>
              <w:spacing w:before="157" w:line="221" w:lineRule="auto"/>
              <w:ind w:left="308"/>
              <w:rPr>
                <w:sz w:val="21"/>
                <w:szCs w:val="21"/>
              </w:rPr>
            </w:pPr>
            <w:r>
              <w:rPr>
                <w:spacing w:val="-2"/>
                <w:sz w:val="21"/>
                <w:szCs w:val="21"/>
              </w:rPr>
              <w:t>注册地址</w:t>
            </w:r>
          </w:p>
        </w:tc>
        <w:tc>
          <w:tcPr>
            <w:tcW w:w="3308" w:type="dxa"/>
            <w:gridSpan w:val="3"/>
            <w:vAlign w:val="top"/>
          </w:tcPr>
          <w:p w14:paraId="72C383F3">
            <w:pPr>
              <w:rPr>
                <w:rFonts w:ascii="Arial"/>
                <w:sz w:val="21"/>
              </w:rPr>
            </w:pPr>
          </w:p>
        </w:tc>
        <w:tc>
          <w:tcPr>
            <w:tcW w:w="1229" w:type="dxa"/>
            <w:vAlign w:val="top"/>
          </w:tcPr>
          <w:p w14:paraId="28F399DF">
            <w:pPr>
              <w:pStyle w:val="6"/>
              <w:spacing w:before="157" w:line="220" w:lineRule="auto"/>
              <w:ind w:left="225"/>
              <w:rPr>
                <w:sz w:val="21"/>
                <w:szCs w:val="21"/>
              </w:rPr>
            </w:pPr>
            <w:r>
              <w:rPr>
                <w:spacing w:val="-5"/>
                <w:sz w:val="21"/>
                <w:szCs w:val="21"/>
              </w:rPr>
              <w:t>邮政编码</w:t>
            </w:r>
          </w:p>
        </w:tc>
        <w:tc>
          <w:tcPr>
            <w:tcW w:w="2531" w:type="dxa"/>
            <w:gridSpan w:val="3"/>
            <w:vAlign w:val="top"/>
          </w:tcPr>
          <w:p w14:paraId="055E80ED">
            <w:pPr>
              <w:rPr>
                <w:rFonts w:ascii="Arial"/>
                <w:sz w:val="21"/>
              </w:rPr>
            </w:pPr>
          </w:p>
        </w:tc>
      </w:tr>
      <w:tr w14:paraId="13FA6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62" w:type="dxa"/>
            <w:vMerge w:val="restart"/>
            <w:tcBorders>
              <w:bottom w:val="nil"/>
            </w:tcBorders>
            <w:vAlign w:val="top"/>
          </w:tcPr>
          <w:p w14:paraId="32151291">
            <w:pPr>
              <w:spacing w:line="388" w:lineRule="auto"/>
              <w:rPr>
                <w:rFonts w:ascii="Arial"/>
                <w:sz w:val="21"/>
              </w:rPr>
            </w:pPr>
          </w:p>
          <w:p w14:paraId="4B7CC4BC">
            <w:pPr>
              <w:pStyle w:val="6"/>
              <w:spacing w:before="69" w:line="221" w:lineRule="auto"/>
              <w:ind w:left="309"/>
              <w:rPr>
                <w:sz w:val="21"/>
                <w:szCs w:val="21"/>
              </w:rPr>
            </w:pPr>
            <w:r>
              <w:rPr>
                <w:spacing w:val="-2"/>
                <w:sz w:val="21"/>
                <w:szCs w:val="21"/>
              </w:rPr>
              <w:t>联系方式</w:t>
            </w:r>
          </w:p>
        </w:tc>
        <w:tc>
          <w:tcPr>
            <w:tcW w:w="884" w:type="dxa"/>
            <w:vAlign w:val="top"/>
          </w:tcPr>
          <w:p w14:paraId="4E6FE4A6">
            <w:pPr>
              <w:pStyle w:val="6"/>
              <w:spacing w:before="158" w:line="222" w:lineRule="auto"/>
              <w:ind w:left="124"/>
              <w:rPr>
                <w:sz w:val="21"/>
                <w:szCs w:val="21"/>
              </w:rPr>
            </w:pPr>
            <w:r>
              <w:rPr>
                <w:spacing w:val="-2"/>
                <w:sz w:val="21"/>
                <w:szCs w:val="21"/>
              </w:rPr>
              <w:t>联系人</w:t>
            </w:r>
          </w:p>
        </w:tc>
        <w:tc>
          <w:tcPr>
            <w:tcW w:w="2424" w:type="dxa"/>
            <w:gridSpan w:val="2"/>
            <w:vAlign w:val="top"/>
          </w:tcPr>
          <w:p w14:paraId="419A77DD">
            <w:pPr>
              <w:rPr>
                <w:rFonts w:ascii="Arial"/>
                <w:sz w:val="21"/>
              </w:rPr>
            </w:pPr>
          </w:p>
        </w:tc>
        <w:tc>
          <w:tcPr>
            <w:tcW w:w="1229" w:type="dxa"/>
            <w:vAlign w:val="top"/>
          </w:tcPr>
          <w:p w14:paraId="4ACD1BA7">
            <w:pPr>
              <w:pStyle w:val="6"/>
              <w:spacing w:before="158" w:line="222" w:lineRule="auto"/>
              <w:ind w:left="339"/>
              <w:rPr>
                <w:sz w:val="21"/>
                <w:szCs w:val="21"/>
              </w:rPr>
            </w:pPr>
            <w:r>
              <w:rPr>
                <w:spacing w:val="-17"/>
                <w:sz w:val="21"/>
                <w:szCs w:val="21"/>
              </w:rPr>
              <w:t>电</w:t>
            </w:r>
            <w:r>
              <w:rPr>
                <w:spacing w:val="4"/>
                <w:sz w:val="21"/>
                <w:szCs w:val="21"/>
              </w:rPr>
              <w:t xml:space="preserve">  </w:t>
            </w:r>
            <w:r>
              <w:rPr>
                <w:spacing w:val="-17"/>
                <w:sz w:val="21"/>
                <w:szCs w:val="21"/>
              </w:rPr>
              <w:t>话</w:t>
            </w:r>
          </w:p>
        </w:tc>
        <w:tc>
          <w:tcPr>
            <w:tcW w:w="2531" w:type="dxa"/>
            <w:gridSpan w:val="3"/>
            <w:vAlign w:val="top"/>
          </w:tcPr>
          <w:p w14:paraId="24330C92">
            <w:pPr>
              <w:rPr>
                <w:rFonts w:ascii="Arial"/>
                <w:sz w:val="21"/>
              </w:rPr>
            </w:pPr>
          </w:p>
        </w:tc>
      </w:tr>
      <w:tr w14:paraId="7C160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462" w:type="dxa"/>
            <w:vMerge w:val="continue"/>
            <w:tcBorders>
              <w:top w:val="nil"/>
            </w:tcBorders>
            <w:vAlign w:val="top"/>
          </w:tcPr>
          <w:p w14:paraId="5ECC7088">
            <w:pPr>
              <w:rPr>
                <w:rFonts w:ascii="Arial"/>
                <w:sz w:val="21"/>
              </w:rPr>
            </w:pPr>
          </w:p>
        </w:tc>
        <w:tc>
          <w:tcPr>
            <w:tcW w:w="884" w:type="dxa"/>
            <w:vAlign w:val="top"/>
          </w:tcPr>
          <w:p w14:paraId="37EAC1A4">
            <w:pPr>
              <w:pStyle w:val="6"/>
              <w:spacing w:before="159" w:line="219" w:lineRule="auto"/>
              <w:ind w:left="121"/>
              <w:rPr>
                <w:sz w:val="21"/>
                <w:szCs w:val="21"/>
              </w:rPr>
            </w:pPr>
            <w:r>
              <w:rPr>
                <w:spacing w:val="-4"/>
                <w:sz w:val="21"/>
                <w:szCs w:val="21"/>
              </w:rPr>
              <w:t>传</w:t>
            </w:r>
            <w:r>
              <w:rPr>
                <w:spacing w:val="5"/>
                <w:sz w:val="21"/>
                <w:szCs w:val="21"/>
              </w:rPr>
              <w:t xml:space="preserve">  </w:t>
            </w:r>
            <w:r>
              <w:rPr>
                <w:spacing w:val="-4"/>
                <w:sz w:val="21"/>
                <w:szCs w:val="21"/>
              </w:rPr>
              <w:t>真</w:t>
            </w:r>
          </w:p>
        </w:tc>
        <w:tc>
          <w:tcPr>
            <w:tcW w:w="2424" w:type="dxa"/>
            <w:gridSpan w:val="2"/>
            <w:vAlign w:val="top"/>
          </w:tcPr>
          <w:p w14:paraId="42AC2DC9">
            <w:pPr>
              <w:rPr>
                <w:rFonts w:ascii="Arial"/>
                <w:sz w:val="21"/>
              </w:rPr>
            </w:pPr>
          </w:p>
        </w:tc>
        <w:tc>
          <w:tcPr>
            <w:tcW w:w="1229" w:type="dxa"/>
            <w:vAlign w:val="top"/>
          </w:tcPr>
          <w:p w14:paraId="13EE2230">
            <w:pPr>
              <w:pStyle w:val="6"/>
              <w:spacing w:before="159" w:line="225" w:lineRule="auto"/>
              <w:ind w:left="330"/>
              <w:rPr>
                <w:sz w:val="21"/>
                <w:szCs w:val="21"/>
              </w:rPr>
            </w:pPr>
            <w:r>
              <w:rPr>
                <w:spacing w:val="-13"/>
                <w:sz w:val="21"/>
                <w:szCs w:val="21"/>
              </w:rPr>
              <w:t>网</w:t>
            </w:r>
            <w:r>
              <w:rPr>
                <w:spacing w:val="5"/>
                <w:sz w:val="21"/>
                <w:szCs w:val="21"/>
              </w:rPr>
              <w:t xml:space="preserve">  </w:t>
            </w:r>
            <w:r>
              <w:rPr>
                <w:spacing w:val="-13"/>
                <w:sz w:val="21"/>
                <w:szCs w:val="21"/>
              </w:rPr>
              <w:t>址</w:t>
            </w:r>
          </w:p>
        </w:tc>
        <w:tc>
          <w:tcPr>
            <w:tcW w:w="2531" w:type="dxa"/>
            <w:gridSpan w:val="3"/>
            <w:vAlign w:val="top"/>
          </w:tcPr>
          <w:p w14:paraId="30A159E5">
            <w:pPr>
              <w:rPr>
                <w:rFonts w:ascii="Arial"/>
                <w:sz w:val="21"/>
              </w:rPr>
            </w:pPr>
          </w:p>
        </w:tc>
      </w:tr>
      <w:tr w14:paraId="0DF98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462" w:type="dxa"/>
            <w:vAlign w:val="top"/>
          </w:tcPr>
          <w:p w14:paraId="688401F1">
            <w:pPr>
              <w:pStyle w:val="6"/>
              <w:spacing w:before="161" w:line="220" w:lineRule="auto"/>
              <w:ind w:left="311"/>
              <w:rPr>
                <w:sz w:val="21"/>
                <w:szCs w:val="21"/>
              </w:rPr>
            </w:pPr>
            <w:r>
              <w:rPr>
                <w:spacing w:val="-2"/>
                <w:sz w:val="21"/>
                <w:szCs w:val="21"/>
              </w:rPr>
              <w:t>组织结构</w:t>
            </w:r>
          </w:p>
        </w:tc>
        <w:tc>
          <w:tcPr>
            <w:tcW w:w="7068" w:type="dxa"/>
            <w:gridSpan w:val="7"/>
            <w:vAlign w:val="top"/>
          </w:tcPr>
          <w:p w14:paraId="60C1AA89">
            <w:pPr>
              <w:rPr>
                <w:rFonts w:ascii="Arial"/>
                <w:sz w:val="21"/>
              </w:rPr>
            </w:pPr>
          </w:p>
        </w:tc>
      </w:tr>
      <w:tr w14:paraId="16BF4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25E2C259">
            <w:pPr>
              <w:pStyle w:val="6"/>
              <w:spacing w:before="161" w:line="220" w:lineRule="auto"/>
              <w:ind w:left="204"/>
              <w:rPr>
                <w:sz w:val="21"/>
                <w:szCs w:val="21"/>
              </w:rPr>
            </w:pPr>
            <w:r>
              <w:rPr>
                <w:spacing w:val="-2"/>
                <w:sz w:val="21"/>
                <w:szCs w:val="21"/>
              </w:rPr>
              <w:t>法定代表人</w:t>
            </w:r>
          </w:p>
        </w:tc>
        <w:tc>
          <w:tcPr>
            <w:tcW w:w="884" w:type="dxa"/>
            <w:vAlign w:val="top"/>
          </w:tcPr>
          <w:p w14:paraId="0FD0C88B">
            <w:pPr>
              <w:pStyle w:val="6"/>
              <w:spacing w:before="161" w:line="220" w:lineRule="auto"/>
              <w:ind w:left="228"/>
              <w:rPr>
                <w:sz w:val="21"/>
                <w:szCs w:val="21"/>
              </w:rPr>
            </w:pPr>
            <w:r>
              <w:rPr>
                <w:spacing w:val="-2"/>
                <w:sz w:val="21"/>
                <w:szCs w:val="21"/>
              </w:rPr>
              <w:t>姓名</w:t>
            </w:r>
          </w:p>
        </w:tc>
        <w:tc>
          <w:tcPr>
            <w:tcW w:w="1349" w:type="dxa"/>
            <w:vAlign w:val="top"/>
          </w:tcPr>
          <w:p w14:paraId="3B112D1B">
            <w:pPr>
              <w:rPr>
                <w:rFonts w:ascii="Arial"/>
                <w:sz w:val="21"/>
              </w:rPr>
            </w:pPr>
          </w:p>
        </w:tc>
        <w:tc>
          <w:tcPr>
            <w:tcW w:w="1075" w:type="dxa"/>
            <w:vAlign w:val="top"/>
          </w:tcPr>
          <w:p w14:paraId="2EA656C9">
            <w:pPr>
              <w:pStyle w:val="6"/>
              <w:spacing w:before="161" w:line="220" w:lineRule="auto"/>
              <w:ind w:left="114"/>
              <w:rPr>
                <w:sz w:val="21"/>
                <w:szCs w:val="21"/>
              </w:rPr>
            </w:pPr>
            <w:r>
              <w:rPr>
                <w:spacing w:val="-2"/>
                <w:sz w:val="21"/>
                <w:szCs w:val="21"/>
              </w:rPr>
              <w:t>技术职称</w:t>
            </w:r>
          </w:p>
        </w:tc>
        <w:tc>
          <w:tcPr>
            <w:tcW w:w="1589" w:type="dxa"/>
            <w:gridSpan w:val="2"/>
            <w:vAlign w:val="top"/>
          </w:tcPr>
          <w:p w14:paraId="7AC3BD69">
            <w:pPr>
              <w:rPr>
                <w:rFonts w:ascii="Arial"/>
                <w:sz w:val="21"/>
              </w:rPr>
            </w:pPr>
          </w:p>
        </w:tc>
        <w:tc>
          <w:tcPr>
            <w:tcW w:w="885" w:type="dxa"/>
            <w:vAlign w:val="top"/>
          </w:tcPr>
          <w:p w14:paraId="50ABBB66">
            <w:pPr>
              <w:pStyle w:val="6"/>
              <w:spacing w:before="161" w:line="222" w:lineRule="auto"/>
              <w:ind w:left="252"/>
              <w:rPr>
                <w:sz w:val="21"/>
                <w:szCs w:val="21"/>
              </w:rPr>
            </w:pPr>
            <w:r>
              <w:rPr>
                <w:spacing w:val="-9"/>
                <w:sz w:val="21"/>
                <w:szCs w:val="21"/>
              </w:rPr>
              <w:t>电话</w:t>
            </w:r>
          </w:p>
        </w:tc>
        <w:tc>
          <w:tcPr>
            <w:tcW w:w="1286" w:type="dxa"/>
            <w:vAlign w:val="top"/>
          </w:tcPr>
          <w:p w14:paraId="27E42A46">
            <w:pPr>
              <w:rPr>
                <w:rFonts w:ascii="Arial"/>
                <w:sz w:val="21"/>
              </w:rPr>
            </w:pPr>
          </w:p>
        </w:tc>
      </w:tr>
      <w:tr w14:paraId="72690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Align w:val="top"/>
          </w:tcPr>
          <w:p w14:paraId="448021F1">
            <w:pPr>
              <w:pStyle w:val="6"/>
              <w:spacing w:before="162" w:line="221" w:lineRule="auto"/>
              <w:ind w:left="310"/>
              <w:rPr>
                <w:sz w:val="21"/>
                <w:szCs w:val="21"/>
              </w:rPr>
            </w:pPr>
            <w:r>
              <w:rPr>
                <w:spacing w:val="-2"/>
                <w:sz w:val="21"/>
                <w:szCs w:val="21"/>
              </w:rPr>
              <w:t>成立时间</w:t>
            </w:r>
          </w:p>
        </w:tc>
        <w:tc>
          <w:tcPr>
            <w:tcW w:w="2233" w:type="dxa"/>
            <w:gridSpan w:val="2"/>
            <w:vAlign w:val="top"/>
          </w:tcPr>
          <w:p w14:paraId="3ECF2948">
            <w:pPr>
              <w:rPr>
                <w:rFonts w:ascii="Arial"/>
                <w:sz w:val="21"/>
              </w:rPr>
            </w:pPr>
          </w:p>
        </w:tc>
        <w:tc>
          <w:tcPr>
            <w:tcW w:w="4835" w:type="dxa"/>
            <w:gridSpan w:val="5"/>
            <w:vAlign w:val="top"/>
          </w:tcPr>
          <w:p w14:paraId="1337873C">
            <w:pPr>
              <w:pStyle w:val="6"/>
              <w:spacing w:before="161" w:line="220" w:lineRule="auto"/>
              <w:ind w:left="1803"/>
              <w:rPr>
                <w:sz w:val="21"/>
                <w:szCs w:val="21"/>
              </w:rPr>
            </w:pPr>
            <w:r>
              <w:rPr>
                <w:spacing w:val="-9"/>
                <w:sz w:val="21"/>
                <w:szCs w:val="21"/>
              </w:rPr>
              <w:t>员工总人数：</w:t>
            </w:r>
          </w:p>
        </w:tc>
      </w:tr>
      <w:tr w14:paraId="1F71C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462" w:type="dxa"/>
            <w:vAlign w:val="top"/>
          </w:tcPr>
          <w:p w14:paraId="70BD3F48">
            <w:pPr>
              <w:pStyle w:val="6"/>
              <w:spacing w:before="29" w:line="253" w:lineRule="auto"/>
              <w:ind w:left="627" w:right="199" w:hanging="420"/>
              <w:rPr>
                <w:sz w:val="21"/>
                <w:szCs w:val="21"/>
              </w:rPr>
            </w:pPr>
            <w:r>
              <w:rPr>
                <w:spacing w:val="-2"/>
                <w:sz w:val="21"/>
                <w:szCs w:val="21"/>
              </w:rPr>
              <w:t>企业资质等</w:t>
            </w:r>
            <w:r>
              <w:rPr>
                <w:sz w:val="21"/>
                <w:szCs w:val="21"/>
              </w:rPr>
              <w:t>级</w:t>
            </w:r>
          </w:p>
        </w:tc>
        <w:tc>
          <w:tcPr>
            <w:tcW w:w="2233" w:type="dxa"/>
            <w:gridSpan w:val="2"/>
            <w:vAlign w:val="top"/>
          </w:tcPr>
          <w:p w14:paraId="683FC750">
            <w:pPr>
              <w:rPr>
                <w:rFonts w:ascii="Arial"/>
                <w:sz w:val="21"/>
              </w:rPr>
            </w:pPr>
          </w:p>
        </w:tc>
        <w:tc>
          <w:tcPr>
            <w:tcW w:w="1075" w:type="dxa"/>
            <w:vMerge w:val="restart"/>
            <w:tcBorders>
              <w:bottom w:val="nil"/>
            </w:tcBorders>
            <w:vAlign w:val="top"/>
          </w:tcPr>
          <w:p w14:paraId="1B5C4854">
            <w:pPr>
              <w:spacing w:line="252" w:lineRule="auto"/>
              <w:rPr>
                <w:rFonts w:ascii="Arial"/>
                <w:sz w:val="21"/>
              </w:rPr>
            </w:pPr>
          </w:p>
          <w:p w14:paraId="59D6FDEC">
            <w:pPr>
              <w:spacing w:line="252" w:lineRule="auto"/>
              <w:rPr>
                <w:rFonts w:ascii="Arial"/>
                <w:sz w:val="21"/>
              </w:rPr>
            </w:pPr>
          </w:p>
          <w:p w14:paraId="6F2E6F1F">
            <w:pPr>
              <w:spacing w:line="252" w:lineRule="auto"/>
              <w:rPr>
                <w:rFonts w:ascii="Arial"/>
                <w:sz w:val="21"/>
              </w:rPr>
            </w:pPr>
          </w:p>
          <w:p w14:paraId="5F63F6E2">
            <w:pPr>
              <w:spacing w:line="252" w:lineRule="auto"/>
              <w:rPr>
                <w:rFonts w:ascii="Arial"/>
                <w:sz w:val="21"/>
              </w:rPr>
            </w:pPr>
          </w:p>
          <w:p w14:paraId="53C9AFE5">
            <w:pPr>
              <w:spacing w:line="252" w:lineRule="auto"/>
              <w:rPr>
                <w:rFonts w:ascii="Arial"/>
                <w:sz w:val="21"/>
              </w:rPr>
            </w:pPr>
          </w:p>
          <w:p w14:paraId="46729A05">
            <w:pPr>
              <w:spacing w:line="252" w:lineRule="auto"/>
              <w:rPr>
                <w:rFonts w:ascii="Arial"/>
                <w:sz w:val="21"/>
              </w:rPr>
            </w:pPr>
          </w:p>
          <w:p w14:paraId="2FEE68D7">
            <w:pPr>
              <w:pStyle w:val="6"/>
              <w:spacing w:before="68" w:line="220" w:lineRule="auto"/>
              <w:ind w:left="324"/>
              <w:rPr>
                <w:sz w:val="21"/>
                <w:szCs w:val="21"/>
              </w:rPr>
            </w:pPr>
            <w:r>
              <w:rPr>
                <w:spacing w:val="-3"/>
                <w:sz w:val="21"/>
                <w:szCs w:val="21"/>
              </w:rPr>
              <w:t>其中</w:t>
            </w:r>
          </w:p>
        </w:tc>
        <w:tc>
          <w:tcPr>
            <w:tcW w:w="1589" w:type="dxa"/>
            <w:gridSpan w:val="2"/>
            <w:vAlign w:val="top"/>
          </w:tcPr>
          <w:p w14:paraId="2EF9C263">
            <w:pPr>
              <w:pStyle w:val="6"/>
              <w:spacing w:before="193" w:line="220" w:lineRule="auto"/>
              <w:ind w:left="269"/>
              <w:rPr>
                <w:sz w:val="21"/>
                <w:szCs w:val="21"/>
              </w:rPr>
            </w:pPr>
            <w:r>
              <w:rPr>
                <w:spacing w:val="-1"/>
                <w:sz w:val="21"/>
                <w:szCs w:val="21"/>
              </w:rPr>
              <w:t>注册建造师</w:t>
            </w:r>
          </w:p>
        </w:tc>
        <w:tc>
          <w:tcPr>
            <w:tcW w:w="2171" w:type="dxa"/>
            <w:gridSpan w:val="2"/>
            <w:vAlign w:val="top"/>
          </w:tcPr>
          <w:p w14:paraId="0B1C3BC7">
            <w:pPr>
              <w:rPr>
                <w:rFonts w:ascii="Arial"/>
                <w:sz w:val="21"/>
              </w:rPr>
            </w:pPr>
          </w:p>
        </w:tc>
      </w:tr>
      <w:tr w14:paraId="4AAB3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9" w:hRule="atLeast"/>
        </w:trPr>
        <w:tc>
          <w:tcPr>
            <w:tcW w:w="1462" w:type="dxa"/>
            <w:vAlign w:val="top"/>
          </w:tcPr>
          <w:p w14:paraId="2236EF97">
            <w:pPr>
              <w:pStyle w:val="6"/>
              <w:spacing w:before="28" w:line="219" w:lineRule="auto"/>
              <w:ind w:left="208"/>
              <w:rPr>
                <w:sz w:val="21"/>
                <w:szCs w:val="21"/>
              </w:rPr>
            </w:pPr>
            <w:r>
              <w:rPr>
                <w:spacing w:val="-3"/>
                <w:sz w:val="21"/>
                <w:szCs w:val="21"/>
              </w:rPr>
              <w:t>统一社会信</w:t>
            </w:r>
          </w:p>
          <w:p w14:paraId="3A175827">
            <w:pPr>
              <w:pStyle w:val="6"/>
              <w:spacing w:before="65" w:line="220" w:lineRule="auto"/>
              <w:ind w:left="160"/>
              <w:rPr>
                <w:sz w:val="21"/>
                <w:szCs w:val="21"/>
              </w:rPr>
            </w:pPr>
            <w:r>
              <w:rPr>
                <w:spacing w:val="-2"/>
                <w:sz w:val="21"/>
                <w:szCs w:val="21"/>
              </w:rPr>
              <w:t>用代码/注册</w:t>
            </w:r>
          </w:p>
          <w:p w14:paraId="5D7D922C">
            <w:pPr>
              <w:pStyle w:val="6"/>
              <w:spacing w:before="65" w:line="223" w:lineRule="auto"/>
              <w:ind w:left="623"/>
              <w:rPr>
                <w:sz w:val="21"/>
                <w:szCs w:val="21"/>
              </w:rPr>
            </w:pPr>
            <w:r>
              <w:rPr>
                <w:sz w:val="21"/>
                <w:szCs w:val="21"/>
              </w:rPr>
              <w:t>码</w:t>
            </w:r>
          </w:p>
        </w:tc>
        <w:tc>
          <w:tcPr>
            <w:tcW w:w="2233" w:type="dxa"/>
            <w:gridSpan w:val="2"/>
            <w:vAlign w:val="top"/>
          </w:tcPr>
          <w:p w14:paraId="05E7EBD9">
            <w:pPr>
              <w:rPr>
                <w:rFonts w:ascii="Arial"/>
                <w:sz w:val="21"/>
              </w:rPr>
            </w:pPr>
          </w:p>
        </w:tc>
        <w:tc>
          <w:tcPr>
            <w:tcW w:w="1075" w:type="dxa"/>
            <w:vMerge w:val="continue"/>
            <w:tcBorders>
              <w:top w:val="nil"/>
              <w:bottom w:val="nil"/>
            </w:tcBorders>
            <w:vAlign w:val="top"/>
          </w:tcPr>
          <w:p w14:paraId="1021E401">
            <w:pPr>
              <w:rPr>
                <w:rFonts w:ascii="Arial"/>
                <w:sz w:val="21"/>
              </w:rPr>
            </w:pPr>
          </w:p>
        </w:tc>
        <w:tc>
          <w:tcPr>
            <w:tcW w:w="1589" w:type="dxa"/>
            <w:gridSpan w:val="2"/>
            <w:vAlign w:val="top"/>
          </w:tcPr>
          <w:p w14:paraId="444B2A0D">
            <w:pPr>
              <w:spacing w:line="274" w:lineRule="auto"/>
              <w:rPr>
                <w:rFonts w:ascii="Arial"/>
                <w:sz w:val="21"/>
              </w:rPr>
            </w:pPr>
          </w:p>
          <w:p w14:paraId="7444E144">
            <w:pPr>
              <w:pStyle w:val="6"/>
              <w:spacing w:before="68" w:line="220" w:lineRule="auto"/>
              <w:ind w:left="170"/>
              <w:rPr>
                <w:sz w:val="21"/>
                <w:szCs w:val="21"/>
              </w:rPr>
            </w:pPr>
            <w:r>
              <w:rPr>
                <w:spacing w:val="-2"/>
                <w:sz w:val="21"/>
                <w:szCs w:val="21"/>
              </w:rPr>
              <w:t>高级职称人员</w:t>
            </w:r>
          </w:p>
        </w:tc>
        <w:tc>
          <w:tcPr>
            <w:tcW w:w="2171" w:type="dxa"/>
            <w:gridSpan w:val="2"/>
            <w:vAlign w:val="top"/>
          </w:tcPr>
          <w:p w14:paraId="60732141">
            <w:pPr>
              <w:rPr>
                <w:rFonts w:ascii="Arial"/>
                <w:sz w:val="21"/>
              </w:rPr>
            </w:pPr>
          </w:p>
        </w:tc>
      </w:tr>
      <w:tr w14:paraId="275A5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72C2731B">
            <w:pPr>
              <w:pStyle w:val="6"/>
              <w:spacing w:before="165" w:line="221" w:lineRule="auto"/>
              <w:ind w:left="308"/>
              <w:rPr>
                <w:sz w:val="21"/>
                <w:szCs w:val="21"/>
              </w:rPr>
            </w:pPr>
            <w:r>
              <w:rPr>
                <w:spacing w:val="-2"/>
                <w:sz w:val="21"/>
                <w:szCs w:val="21"/>
              </w:rPr>
              <w:t>注册资金</w:t>
            </w:r>
          </w:p>
        </w:tc>
        <w:tc>
          <w:tcPr>
            <w:tcW w:w="2233" w:type="dxa"/>
            <w:gridSpan w:val="2"/>
            <w:vAlign w:val="top"/>
          </w:tcPr>
          <w:p w14:paraId="5DBC2E4B">
            <w:pPr>
              <w:rPr>
                <w:rFonts w:ascii="Arial"/>
                <w:sz w:val="21"/>
              </w:rPr>
            </w:pPr>
          </w:p>
        </w:tc>
        <w:tc>
          <w:tcPr>
            <w:tcW w:w="1075" w:type="dxa"/>
            <w:vMerge w:val="continue"/>
            <w:tcBorders>
              <w:top w:val="nil"/>
              <w:bottom w:val="nil"/>
            </w:tcBorders>
            <w:vAlign w:val="top"/>
          </w:tcPr>
          <w:p w14:paraId="3CE28AA1">
            <w:pPr>
              <w:rPr>
                <w:rFonts w:ascii="Arial"/>
                <w:sz w:val="21"/>
              </w:rPr>
            </w:pPr>
          </w:p>
        </w:tc>
        <w:tc>
          <w:tcPr>
            <w:tcW w:w="1589" w:type="dxa"/>
            <w:gridSpan w:val="2"/>
            <w:vAlign w:val="top"/>
          </w:tcPr>
          <w:p w14:paraId="5885B4FD">
            <w:pPr>
              <w:pStyle w:val="6"/>
              <w:spacing w:before="166" w:line="220" w:lineRule="auto"/>
              <w:ind w:left="184"/>
              <w:rPr>
                <w:sz w:val="21"/>
                <w:szCs w:val="21"/>
              </w:rPr>
            </w:pPr>
            <w:r>
              <w:rPr>
                <w:spacing w:val="-5"/>
                <w:sz w:val="21"/>
                <w:szCs w:val="21"/>
              </w:rPr>
              <w:t>中级职称人员</w:t>
            </w:r>
          </w:p>
        </w:tc>
        <w:tc>
          <w:tcPr>
            <w:tcW w:w="2171" w:type="dxa"/>
            <w:gridSpan w:val="2"/>
            <w:vAlign w:val="top"/>
          </w:tcPr>
          <w:p w14:paraId="0326C019">
            <w:pPr>
              <w:rPr>
                <w:rFonts w:ascii="Arial"/>
                <w:sz w:val="21"/>
              </w:rPr>
            </w:pPr>
          </w:p>
        </w:tc>
      </w:tr>
      <w:tr w14:paraId="1DB43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462" w:type="dxa"/>
            <w:vAlign w:val="top"/>
          </w:tcPr>
          <w:p w14:paraId="2F16265E">
            <w:pPr>
              <w:pStyle w:val="6"/>
              <w:spacing w:before="46" w:line="219" w:lineRule="auto"/>
              <w:ind w:left="308"/>
              <w:rPr>
                <w:sz w:val="21"/>
                <w:szCs w:val="21"/>
              </w:rPr>
            </w:pPr>
            <w:r>
              <w:rPr>
                <w:spacing w:val="-2"/>
                <w:sz w:val="21"/>
                <w:szCs w:val="21"/>
              </w:rPr>
              <w:t>基本帐户</w:t>
            </w:r>
          </w:p>
          <w:p w14:paraId="07ACE83E">
            <w:pPr>
              <w:pStyle w:val="6"/>
              <w:spacing w:before="66" w:line="220" w:lineRule="auto"/>
              <w:ind w:left="309"/>
              <w:rPr>
                <w:sz w:val="21"/>
                <w:szCs w:val="21"/>
              </w:rPr>
            </w:pPr>
            <w:r>
              <w:rPr>
                <w:spacing w:val="-2"/>
                <w:sz w:val="21"/>
                <w:szCs w:val="21"/>
              </w:rPr>
              <w:t>开户银行</w:t>
            </w:r>
          </w:p>
        </w:tc>
        <w:tc>
          <w:tcPr>
            <w:tcW w:w="2233" w:type="dxa"/>
            <w:gridSpan w:val="2"/>
            <w:vAlign w:val="top"/>
          </w:tcPr>
          <w:p w14:paraId="4642EA3D">
            <w:pPr>
              <w:rPr>
                <w:rFonts w:ascii="Arial"/>
                <w:sz w:val="21"/>
              </w:rPr>
            </w:pPr>
          </w:p>
        </w:tc>
        <w:tc>
          <w:tcPr>
            <w:tcW w:w="1075" w:type="dxa"/>
            <w:vMerge w:val="continue"/>
            <w:tcBorders>
              <w:top w:val="nil"/>
              <w:bottom w:val="nil"/>
            </w:tcBorders>
            <w:vAlign w:val="top"/>
          </w:tcPr>
          <w:p w14:paraId="7557E5B2">
            <w:pPr>
              <w:rPr>
                <w:rFonts w:ascii="Arial"/>
                <w:sz w:val="21"/>
              </w:rPr>
            </w:pPr>
          </w:p>
        </w:tc>
        <w:tc>
          <w:tcPr>
            <w:tcW w:w="1589" w:type="dxa"/>
            <w:gridSpan w:val="2"/>
            <w:vAlign w:val="top"/>
          </w:tcPr>
          <w:p w14:paraId="3DF4BBFA">
            <w:pPr>
              <w:pStyle w:val="6"/>
              <w:spacing w:before="196" w:line="221" w:lineRule="auto"/>
              <w:ind w:left="163"/>
              <w:rPr>
                <w:sz w:val="21"/>
                <w:szCs w:val="21"/>
              </w:rPr>
            </w:pPr>
            <w:r>
              <w:rPr>
                <w:spacing w:val="-1"/>
                <w:sz w:val="21"/>
                <w:szCs w:val="21"/>
              </w:rPr>
              <w:t>初级职称人员</w:t>
            </w:r>
          </w:p>
        </w:tc>
        <w:tc>
          <w:tcPr>
            <w:tcW w:w="2171" w:type="dxa"/>
            <w:gridSpan w:val="2"/>
            <w:vAlign w:val="top"/>
          </w:tcPr>
          <w:p w14:paraId="2A2BA1F2">
            <w:pPr>
              <w:rPr>
                <w:rFonts w:ascii="Arial"/>
                <w:sz w:val="21"/>
              </w:rPr>
            </w:pPr>
          </w:p>
        </w:tc>
      </w:tr>
      <w:tr w14:paraId="4F42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1462" w:type="dxa"/>
            <w:vAlign w:val="top"/>
          </w:tcPr>
          <w:p w14:paraId="24DE83C6">
            <w:pPr>
              <w:pStyle w:val="6"/>
              <w:spacing w:before="32" w:line="251" w:lineRule="auto"/>
              <w:ind w:left="521" w:right="305" w:hanging="213"/>
              <w:rPr>
                <w:sz w:val="21"/>
                <w:szCs w:val="21"/>
              </w:rPr>
            </w:pPr>
            <w:r>
              <w:rPr>
                <w:spacing w:val="-2"/>
                <w:sz w:val="21"/>
                <w:szCs w:val="21"/>
              </w:rPr>
              <w:t>基本帐户</w:t>
            </w:r>
            <w:r>
              <w:rPr>
                <w:spacing w:val="-3"/>
                <w:sz w:val="21"/>
                <w:szCs w:val="21"/>
              </w:rPr>
              <w:t>账号</w:t>
            </w:r>
          </w:p>
        </w:tc>
        <w:tc>
          <w:tcPr>
            <w:tcW w:w="2233" w:type="dxa"/>
            <w:gridSpan w:val="2"/>
            <w:vAlign w:val="top"/>
          </w:tcPr>
          <w:p w14:paraId="6DF77A25">
            <w:pPr>
              <w:rPr>
                <w:rFonts w:ascii="Arial"/>
                <w:sz w:val="21"/>
              </w:rPr>
            </w:pPr>
          </w:p>
        </w:tc>
        <w:tc>
          <w:tcPr>
            <w:tcW w:w="1075" w:type="dxa"/>
            <w:vMerge w:val="continue"/>
            <w:tcBorders>
              <w:top w:val="nil"/>
            </w:tcBorders>
            <w:vAlign w:val="top"/>
          </w:tcPr>
          <w:p w14:paraId="249F0274">
            <w:pPr>
              <w:rPr>
                <w:rFonts w:ascii="Arial"/>
                <w:sz w:val="21"/>
              </w:rPr>
            </w:pPr>
          </w:p>
        </w:tc>
        <w:tc>
          <w:tcPr>
            <w:tcW w:w="1589" w:type="dxa"/>
            <w:gridSpan w:val="2"/>
            <w:vAlign w:val="top"/>
          </w:tcPr>
          <w:p w14:paraId="55484743">
            <w:pPr>
              <w:pStyle w:val="6"/>
              <w:spacing w:before="196" w:line="221" w:lineRule="auto"/>
              <w:ind w:left="481"/>
              <w:rPr>
                <w:sz w:val="21"/>
                <w:szCs w:val="21"/>
              </w:rPr>
            </w:pPr>
            <w:r>
              <w:rPr>
                <w:spacing w:val="-5"/>
                <w:sz w:val="21"/>
                <w:szCs w:val="21"/>
              </w:rPr>
              <w:t>技</w:t>
            </w:r>
            <w:r>
              <w:rPr>
                <w:spacing w:val="5"/>
                <w:sz w:val="21"/>
                <w:szCs w:val="21"/>
              </w:rPr>
              <w:t xml:space="preserve">  </w:t>
            </w:r>
            <w:r>
              <w:rPr>
                <w:spacing w:val="-5"/>
                <w:sz w:val="21"/>
                <w:szCs w:val="21"/>
              </w:rPr>
              <w:t>工</w:t>
            </w:r>
          </w:p>
        </w:tc>
        <w:tc>
          <w:tcPr>
            <w:tcW w:w="2171" w:type="dxa"/>
            <w:gridSpan w:val="2"/>
            <w:vAlign w:val="top"/>
          </w:tcPr>
          <w:p w14:paraId="525F4004">
            <w:pPr>
              <w:rPr>
                <w:rFonts w:ascii="Arial"/>
                <w:sz w:val="21"/>
              </w:rPr>
            </w:pPr>
          </w:p>
        </w:tc>
      </w:tr>
      <w:tr w14:paraId="50CAA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62" w:type="dxa"/>
            <w:vAlign w:val="top"/>
          </w:tcPr>
          <w:p w14:paraId="4FB4BA74">
            <w:pPr>
              <w:spacing w:line="266" w:lineRule="auto"/>
              <w:rPr>
                <w:rFonts w:ascii="Arial"/>
                <w:sz w:val="21"/>
              </w:rPr>
            </w:pPr>
          </w:p>
          <w:p w14:paraId="705F33C5">
            <w:pPr>
              <w:spacing w:line="266" w:lineRule="auto"/>
              <w:rPr>
                <w:rFonts w:ascii="Arial"/>
                <w:sz w:val="21"/>
              </w:rPr>
            </w:pPr>
          </w:p>
          <w:p w14:paraId="28655D70">
            <w:pPr>
              <w:pStyle w:val="6"/>
              <w:spacing w:before="69" w:line="220" w:lineRule="auto"/>
              <w:ind w:left="310"/>
              <w:rPr>
                <w:sz w:val="21"/>
                <w:szCs w:val="21"/>
              </w:rPr>
            </w:pPr>
            <w:r>
              <w:rPr>
                <w:spacing w:val="-2"/>
                <w:sz w:val="21"/>
                <w:szCs w:val="21"/>
              </w:rPr>
              <w:t>经营范围</w:t>
            </w:r>
          </w:p>
        </w:tc>
        <w:tc>
          <w:tcPr>
            <w:tcW w:w="7068" w:type="dxa"/>
            <w:gridSpan w:val="7"/>
            <w:vAlign w:val="top"/>
          </w:tcPr>
          <w:p w14:paraId="0A92768E">
            <w:pPr>
              <w:rPr>
                <w:rFonts w:ascii="Arial"/>
                <w:sz w:val="21"/>
              </w:rPr>
            </w:pPr>
          </w:p>
        </w:tc>
      </w:tr>
      <w:tr w14:paraId="254A5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62" w:type="dxa"/>
            <w:vAlign w:val="top"/>
          </w:tcPr>
          <w:p w14:paraId="3ABD295F">
            <w:pPr>
              <w:pStyle w:val="6"/>
              <w:spacing w:before="171" w:line="221" w:lineRule="auto"/>
              <w:ind w:left="521"/>
              <w:rPr>
                <w:sz w:val="21"/>
                <w:szCs w:val="21"/>
              </w:rPr>
            </w:pPr>
            <w:r>
              <w:rPr>
                <w:spacing w:val="-3"/>
                <w:sz w:val="21"/>
                <w:szCs w:val="21"/>
              </w:rPr>
              <w:t>备注</w:t>
            </w:r>
          </w:p>
        </w:tc>
        <w:tc>
          <w:tcPr>
            <w:tcW w:w="7068" w:type="dxa"/>
            <w:gridSpan w:val="7"/>
            <w:vAlign w:val="top"/>
          </w:tcPr>
          <w:p w14:paraId="6BF90F66">
            <w:pPr>
              <w:rPr>
                <w:rFonts w:ascii="Arial"/>
                <w:sz w:val="21"/>
              </w:rPr>
            </w:pPr>
          </w:p>
        </w:tc>
      </w:tr>
    </w:tbl>
    <w:p w14:paraId="1C4AD737">
      <w:pPr>
        <w:spacing w:before="149" w:line="310" w:lineRule="auto"/>
        <w:ind w:left="130" w:right="89"/>
        <w:rPr>
          <w:rFonts w:ascii="宋体" w:hAnsi="宋体" w:eastAsia="宋体" w:cs="宋体"/>
          <w:sz w:val="21"/>
          <w:szCs w:val="21"/>
        </w:rPr>
      </w:pPr>
      <w:r>
        <w:rPr>
          <w:rFonts w:ascii="宋体" w:hAnsi="宋体" w:eastAsia="宋体" w:cs="宋体"/>
          <w:spacing w:val="-2"/>
          <w:sz w:val="21"/>
          <w:szCs w:val="21"/>
        </w:rPr>
        <w:t>备注：1.本表后应附企业法人营业执照、企业资质证书、安全生产许可证、基本账户开户许可证（基本存款账户信息）等材料的扫描件。</w:t>
      </w:r>
    </w:p>
    <w:p w14:paraId="281AC813">
      <w:pPr>
        <w:ind w:left="132"/>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．联合体投标的，联合体各成员应分别填写。</w:t>
      </w:r>
    </w:p>
    <w:p w14:paraId="6CBAA27D">
      <w:pPr>
        <w:pStyle w:val="2"/>
        <w:spacing w:line="319" w:lineRule="auto"/>
      </w:pPr>
    </w:p>
    <w:p w14:paraId="232B8593">
      <w:pPr>
        <w:spacing w:before="91" w:line="236" w:lineRule="auto"/>
        <w:ind w:left="153"/>
        <w:outlineLvl w:val="2"/>
        <w:rPr>
          <w:rFonts w:ascii="黑体" w:hAnsi="黑体" w:eastAsia="黑体" w:cs="黑体"/>
          <w:sz w:val="28"/>
          <w:szCs w:val="28"/>
        </w:rPr>
      </w:pPr>
      <w:bookmarkStart w:id="638" w:name="bookmark589"/>
      <w:bookmarkEnd w:id="638"/>
      <w:r>
        <w:rPr>
          <w:rFonts w:ascii="Times New Roman" w:hAnsi="Times New Roman" w:eastAsia="Times New Roman" w:cs="Times New Roman"/>
          <w:sz w:val="28"/>
          <w:szCs w:val="28"/>
        </w:rPr>
        <w:t>1-2</w:t>
      </w:r>
      <w:r>
        <w:rPr>
          <w:rFonts w:ascii="Times New Roman" w:hAnsi="Times New Roman" w:eastAsia="Times New Roman" w:cs="Times New Roman"/>
          <w:spacing w:val="26"/>
          <w:sz w:val="28"/>
          <w:szCs w:val="28"/>
        </w:rPr>
        <w:t xml:space="preserve"> </w:t>
      </w:r>
      <w:r>
        <w:rPr>
          <w:rFonts w:ascii="黑体" w:hAnsi="黑体" w:eastAsia="黑体" w:cs="黑体"/>
          <w:sz w:val="28"/>
          <w:szCs w:val="28"/>
        </w:rPr>
        <w:t>关联单位情况说明</w:t>
      </w:r>
    </w:p>
    <w:p w14:paraId="3E07E33D">
      <w:pPr>
        <w:spacing w:line="236" w:lineRule="auto"/>
        <w:rPr>
          <w:rFonts w:ascii="黑体" w:hAnsi="黑体" w:eastAsia="黑体" w:cs="黑体"/>
          <w:sz w:val="28"/>
          <w:szCs w:val="28"/>
        </w:rPr>
        <w:sectPr>
          <w:footerReference r:id="rId322" w:type="default"/>
          <w:pgSz w:w="11910" w:h="16845"/>
          <w:pgMar w:top="400" w:right="1682" w:bottom="1110" w:left="1681" w:header="0" w:footer="883" w:gutter="0"/>
          <w:cols w:space="720" w:num="1"/>
        </w:sectPr>
      </w:pPr>
    </w:p>
    <w:p w14:paraId="2E4CFA69">
      <w:pPr>
        <w:spacing w:before="19"/>
      </w:pPr>
    </w:p>
    <w:p w14:paraId="18EF07BB">
      <w:pPr>
        <w:spacing w:before="19"/>
      </w:pPr>
    </w:p>
    <w:p w14:paraId="5BBB208D">
      <w:pPr>
        <w:spacing w:before="19"/>
      </w:pPr>
    </w:p>
    <w:p w14:paraId="1C9CD20C">
      <w:pPr>
        <w:spacing w:before="18"/>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230"/>
      </w:tblGrid>
      <w:tr w14:paraId="2A4D102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392" w:hRule="atLeast"/>
        </w:trPr>
        <w:tc>
          <w:tcPr>
            <w:tcW w:w="8230" w:type="dxa"/>
            <w:vAlign w:val="top"/>
          </w:tcPr>
          <w:p w14:paraId="52E3D9D7">
            <w:pPr>
              <w:spacing w:line="295" w:lineRule="auto"/>
              <w:rPr>
                <w:rFonts w:ascii="Arial"/>
                <w:sz w:val="21"/>
              </w:rPr>
            </w:pPr>
          </w:p>
          <w:p w14:paraId="7CB43E03">
            <w:pPr>
              <w:spacing w:line="295" w:lineRule="auto"/>
              <w:rPr>
                <w:rFonts w:ascii="Arial"/>
                <w:sz w:val="21"/>
              </w:rPr>
            </w:pPr>
          </w:p>
          <w:p w14:paraId="63C8849D">
            <w:pPr>
              <w:spacing w:line="296" w:lineRule="auto"/>
              <w:rPr>
                <w:rFonts w:ascii="Arial"/>
                <w:sz w:val="21"/>
              </w:rPr>
            </w:pPr>
          </w:p>
          <w:p w14:paraId="6250E991">
            <w:pPr>
              <w:pStyle w:val="6"/>
              <w:spacing w:before="68" w:line="219" w:lineRule="auto"/>
              <w:ind w:left="9"/>
              <w:rPr>
                <w:sz w:val="21"/>
                <w:szCs w:val="21"/>
              </w:rPr>
            </w:pPr>
            <w:r>
              <w:rPr>
                <w:spacing w:val="-3"/>
                <w:sz w:val="21"/>
                <w:szCs w:val="21"/>
              </w:rPr>
              <w:t>单位负责人与本单位负责人为同一人的单位：</w:t>
            </w:r>
          </w:p>
          <w:p w14:paraId="16DFA847">
            <w:pPr>
              <w:spacing w:line="266" w:lineRule="auto"/>
              <w:rPr>
                <w:rFonts w:ascii="Arial"/>
                <w:sz w:val="21"/>
              </w:rPr>
            </w:pPr>
          </w:p>
          <w:p w14:paraId="6AB89A05">
            <w:pPr>
              <w:spacing w:line="266" w:lineRule="auto"/>
              <w:rPr>
                <w:rFonts w:ascii="Arial"/>
                <w:sz w:val="21"/>
              </w:rPr>
            </w:pPr>
          </w:p>
          <w:p w14:paraId="45F7B924">
            <w:pPr>
              <w:spacing w:line="266" w:lineRule="auto"/>
              <w:rPr>
                <w:rFonts w:ascii="Arial"/>
                <w:sz w:val="21"/>
              </w:rPr>
            </w:pPr>
          </w:p>
          <w:p w14:paraId="35487DEA">
            <w:pPr>
              <w:spacing w:line="266" w:lineRule="auto"/>
              <w:rPr>
                <w:rFonts w:ascii="Arial"/>
                <w:sz w:val="21"/>
              </w:rPr>
            </w:pPr>
          </w:p>
          <w:p w14:paraId="3D905612">
            <w:pPr>
              <w:spacing w:line="266" w:lineRule="auto"/>
              <w:rPr>
                <w:rFonts w:ascii="Arial"/>
                <w:sz w:val="21"/>
              </w:rPr>
            </w:pPr>
          </w:p>
          <w:p w14:paraId="27F3C59D">
            <w:pPr>
              <w:spacing w:line="266" w:lineRule="auto"/>
              <w:rPr>
                <w:rFonts w:ascii="Arial"/>
                <w:sz w:val="21"/>
              </w:rPr>
            </w:pPr>
          </w:p>
          <w:p w14:paraId="21B61D40">
            <w:pPr>
              <w:spacing w:line="267" w:lineRule="auto"/>
              <w:rPr>
                <w:rFonts w:ascii="Arial"/>
                <w:sz w:val="21"/>
              </w:rPr>
            </w:pPr>
          </w:p>
          <w:p w14:paraId="49BC0E1A">
            <w:pPr>
              <w:pStyle w:val="6"/>
              <w:spacing w:before="68" w:line="219" w:lineRule="auto"/>
              <w:ind w:left="12"/>
              <w:rPr>
                <w:sz w:val="21"/>
                <w:szCs w:val="21"/>
              </w:rPr>
            </w:pPr>
            <w:r>
              <w:rPr>
                <w:spacing w:val="-1"/>
                <w:sz w:val="21"/>
                <w:szCs w:val="21"/>
              </w:rPr>
              <w:t>与本单位存在控股与被控股关系的单位：</w:t>
            </w:r>
          </w:p>
          <w:p w14:paraId="4DF322E7">
            <w:pPr>
              <w:spacing w:line="253" w:lineRule="auto"/>
              <w:rPr>
                <w:rFonts w:ascii="Arial"/>
                <w:sz w:val="21"/>
              </w:rPr>
            </w:pPr>
          </w:p>
          <w:p w14:paraId="16521991">
            <w:pPr>
              <w:spacing w:line="253" w:lineRule="auto"/>
              <w:rPr>
                <w:rFonts w:ascii="Arial"/>
                <w:sz w:val="21"/>
              </w:rPr>
            </w:pPr>
          </w:p>
          <w:p w14:paraId="25F2B7D6">
            <w:pPr>
              <w:spacing w:line="253" w:lineRule="auto"/>
              <w:rPr>
                <w:rFonts w:ascii="Arial"/>
                <w:sz w:val="21"/>
              </w:rPr>
            </w:pPr>
          </w:p>
          <w:p w14:paraId="294B1376">
            <w:pPr>
              <w:spacing w:line="253" w:lineRule="auto"/>
              <w:rPr>
                <w:rFonts w:ascii="Arial"/>
                <w:sz w:val="21"/>
              </w:rPr>
            </w:pPr>
          </w:p>
          <w:p w14:paraId="5841CF84">
            <w:pPr>
              <w:spacing w:line="253" w:lineRule="auto"/>
              <w:rPr>
                <w:rFonts w:ascii="Arial"/>
                <w:sz w:val="21"/>
              </w:rPr>
            </w:pPr>
          </w:p>
          <w:p w14:paraId="3CBE77C4">
            <w:pPr>
              <w:spacing w:line="253" w:lineRule="auto"/>
              <w:rPr>
                <w:rFonts w:ascii="Arial"/>
                <w:sz w:val="21"/>
              </w:rPr>
            </w:pPr>
          </w:p>
          <w:p w14:paraId="5B3EAA40">
            <w:pPr>
              <w:spacing w:line="254" w:lineRule="auto"/>
              <w:rPr>
                <w:rFonts w:ascii="Arial"/>
                <w:sz w:val="21"/>
              </w:rPr>
            </w:pPr>
          </w:p>
          <w:p w14:paraId="01C211E4">
            <w:pPr>
              <w:spacing w:line="254" w:lineRule="auto"/>
              <w:rPr>
                <w:rFonts w:ascii="Arial"/>
                <w:sz w:val="21"/>
              </w:rPr>
            </w:pPr>
          </w:p>
          <w:p w14:paraId="497D29E7">
            <w:pPr>
              <w:spacing w:line="254" w:lineRule="auto"/>
              <w:rPr>
                <w:rFonts w:ascii="Arial"/>
                <w:sz w:val="21"/>
              </w:rPr>
            </w:pPr>
          </w:p>
          <w:p w14:paraId="051804CE">
            <w:pPr>
              <w:spacing w:line="254" w:lineRule="auto"/>
              <w:rPr>
                <w:rFonts w:ascii="Arial"/>
                <w:sz w:val="21"/>
              </w:rPr>
            </w:pPr>
          </w:p>
          <w:p w14:paraId="068430A1">
            <w:pPr>
              <w:spacing w:line="254" w:lineRule="auto"/>
              <w:rPr>
                <w:rFonts w:ascii="Arial"/>
                <w:sz w:val="21"/>
              </w:rPr>
            </w:pPr>
          </w:p>
          <w:p w14:paraId="0DDF8675">
            <w:pPr>
              <w:pStyle w:val="6"/>
              <w:spacing w:before="68" w:line="219" w:lineRule="auto"/>
              <w:ind w:left="12"/>
              <w:rPr>
                <w:sz w:val="21"/>
                <w:szCs w:val="21"/>
              </w:rPr>
            </w:pPr>
            <w:r>
              <w:rPr>
                <w:spacing w:val="-1"/>
                <w:sz w:val="21"/>
                <w:szCs w:val="21"/>
              </w:rPr>
              <w:t>与本单位存在管理与被管理关系的单位：</w:t>
            </w:r>
          </w:p>
        </w:tc>
      </w:tr>
    </w:tbl>
    <w:p w14:paraId="0DB25B1F">
      <w:pPr>
        <w:spacing w:before="134" w:line="221" w:lineRule="auto"/>
        <w:ind w:left="447"/>
        <w:rPr>
          <w:rFonts w:ascii="宋体" w:hAnsi="宋体" w:eastAsia="宋体" w:cs="宋体"/>
          <w:sz w:val="21"/>
          <w:szCs w:val="21"/>
        </w:rPr>
      </w:pPr>
      <w:r>
        <w:rPr>
          <w:rFonts w:ascii="宋体" w:hAnsi="宋体" w:eastAsia="宋体" w:cs="宋体"/>
          <w:spacing w:val="-13"/>
          <w:sz w:val="21"/>
          <w:szCs w:val="21"/>
        </w:rPr>
        <w:t>备注：</w:t>
      </w:r>
    </w:p>
    <w:p w14:paraId="087C6F8E">
      <w:pPr>
        <w:spacing w:before="154" w:line="233" w:lineRule="auto"/>
        <w:ind w:left="461"/>
        <w:rPr>
          <w:rFonts w:ascii="宋体" w:hAnsi="宋体" w:eastAsia="宋体" w:cs="宋体"/>
          <w:sz w:val="21"/>
          <w:szCs w:val="21"/>
        </w:rPr>
      </w:pPr>
      <w:r>
        <w:rPr>
          <w:rFonts w:ascii="Times New Roman" w:hAnsi="Times New Roman" w:eastAsia="Times New Roman" w:cs="Times New Roman"/>
          <w:sz w:val="21"/>
          <w:szCs w:val="21"/>
        </w:rPr>
        <w:t xml:space="preserve">1.  </w:t>
      </w:r>
      <w:r>
        <w:rPr>
          <w:rFonts w:ascii="宋体" w:hAnsi="宋体" w:eastAsia="宋体" w:cs="宋体"/>
          <w:sz w:val="21"/>
          <w:szCs w:val="21"/>
        </w:rPr>
        <w:t>投标人应当如实披露相关关联单位的情况。没有相关关联单位的明</w:t>
      </w:r>
      <w:r>
        <w:rPr>
          <w:rFonts w:ascii="宋体" w:hAnsi="宋体" w:eastAsia="宋体" w:cs="宋体"/>
          <w:spacing w:val="-1"/>
          <w:sz w:val="21"/>
          <w:szCs w:val="21"/>
        </w:rPr>
        <w:t>确填“无”。</w:t>
      </w:r>
    </w:p>
    <w:p w14:paraId="15736702">
      <w:pPr>
        <w:spacing w:before="140" w:line="234" w:lineRule="auto"/>
        <w:ind w:left="440"/>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．联合体投标的，联合体各成员应分别填写。</w:t>
      </w:r>
    </w:p>
    <w:p w14:paraId="5CC77FD4">
      <w:pPr>
        <w:pStyle w:val="2"/>
        <w:spacing w:line="306" w:lineRule="auto"/>
      </w:pPr>
    </w:p>
    <w:p w14:paraId="2FE6D809">
      <w:pPr>
        <w:spacing w:before="101" w:line="237" w:lineRule="auto"/>
        <w:ind w:left="40"/>
        <w:outlineLvl w:val="1"/>
        <w:rPr>
          <w:rFonts w:ascii="宋体" w:hAnsi="宋体" w:eastAsia="宋体" w:cs="宋体"/>
          <w:sz w:val="31"/>
          <w:szCs w:val="31"/>
        </w:rPr>
      </w:pPr>
      <w:bookmarkStart w:id="639" w:name="bookmark590"/>
      <w:bookmarkEnd w:id="639"/>
      <w:r>
        <w:rPr>
          <w:rFonts w:ascii="Cambria" w:hAnsi="Cambria" w:eastAsia="Cambria" w:cs="Cambria"/>
          <w:b/>
          <w:bCs/>
          <w:spacing w:val="8"/>
          <w:sz w:val="31"/>
          <w:szCs w:val="31"/>
        </w:rPr>
        <w:t xml:space="preserve">1-3 </w:t>
      </w:r>
      <w:r>
        <w:rPr>
          <w:rFonts w:ascii="宋体" w:hAnsi="宋体" w:eastAsia="宋体" w:cs="宋体"/>
          <w:b/>
          <w:bCs/>
          <w:spacing w:val="8"/>
          <w:sz w:val="31"/>
          <w:szCs w:val="31"/>
        </w:rPr>
        <w:t>项目管理机构主要人员及简历表</w:t>
      </w:r>
    </w:p>
    <w:p w14:paraId="35D098B9">
      <w:pPr>
        <w:pStyle w:val="2"/>
        <w:spacing w:line="312" w:lineRule="auto"/>
      </w:pPr>
    </w:p>
    <w:p w14:paraId="6BAABF4D">
      <w:pPr>
        <w:pStyle w:val="2"/>
        <w:spacing w:line="313" w:lineRule="auto"/>
      </w:pPr>
    </w:p>
    <w:p w14:paraId="04D675D2">
      <w:pPr>
        <w:spacing w:before="69" w:line="219" w:lineRule="auto"/>
        <w:ind w:left="26"/>
        <w:rPr>
          <w:rFonts w:ascii="宋体" w:hAnsi="宋体" w:eastAsia="宋体" w:cs="宋体"/>
          <w:sz w:val="21"/>
          <w:szCs w:val="21"/>
        </w:rPr>
      </w:pPr>
      <w:r>
        <w:rPr>
          <w:rFonts w:ascii="宋体" w:hAnsi="宋体" w:eastAsia="宋体" w:cs="宋体"/>
          <w:spacing w:val="-4"/>
          <w:sz w:val="21"/>
          <w:szCs w:val="21"/>
        </w:rPr>
        <w:t>说明：“项目管理机构主要人员及简历表”同本章</w:t>
      </w:r>
      <w:r>
        <w:rPr>
          <w:rFonts w:ascii="宋体" w:hAnsi="宋体" w:eastAsia="宋体" w:cs="宋体"/>
          <w:spacing w:val="-5"/>
          <w:sz w:val="21"/>
          <w:szCs w:val="21"/>
        </w:rPr>
        <w:t>第七节。</w:t>
      </w:r>
    </w:p>
    <w:p w14:paraId="1E0698ED">
      <w:pPr>
        <w:pStyle w:val="2"/>
        <w:spacing w:line="242" w:lineRule="auto"/>
      </w:pPr>
    </w:p>
    <w:p w14:paraId="0E604419">
      <w:pPr>
        <w:pStyle w:val="2"/>
        <w:spacing w:line="242" w:lineRule="auto"/>
      </w:pPr>
    </w:p>
    <w:p w14:paraId="0F9EF331">
      <w:pPr>
        <w:pStyle w:val="2"/>
        <w:spacing w:line="243" w:lineRule="auto"/>
      </w:pPr>
    </w:p>
    <w:p w14:paraId="757569A9">
      <w:pPr>
        <w:pStyle w:val="2"/>
        <w:spacing w:line="243" w:lineRule="auto"/>
      </w:pPr>
    </w:p>
    <w:p w14:paraId="1B84C6A4">
      <w:pPr>
        <w:spacing w:before="92" w:line="222" w:lineRule="auto"/>
        <w:ind w:left="48"/>
        <w:outlineLvl w:val="2"/>
        <w:rPr>
          <w:rFonts w:ascii="宋体" w:hAnsi="宋体" w:eastAsia="宋体" w:cs="宋体"/>
          <w:sz w:val="28"/>
          <w:szCs w:val="28"/>
        </w:rPr>
      </w:pPr>
      <w:bookmarkStart w:id="640" w:name="bookmark591"/>
      <w:bookmarkEnd w:id="640"/>
      <w:r>
        <w:rPr>
          <w:rFonts w:ascii="宋体" w:hAnsi="宋体" w:eastAsia="宋体" w:cs="宋体"/>
          <w:b/>
          <w:bCs/>
          <w:spacing w:val="-2"/>
          <w:sz w:val="28"/>
          <w:szCs w:val="28"/>
        </w:rPr>
        <w:t>1-4</w:t>
      </w:r>
      <w:r>
        <w:rPr>
          <w:rFonts w:ascii="宋体" w:hAnsi="宋体" w:eastAsia="宋体" w:cs="宋体"/>
          <w:spacing w:val="-38"/>
          <w:sz w:val="28"/>
          <w:szCs w:val="28"/>
        </w:rPr>
        <w:t xml:space="preserve"> </w:t>
      </w:r>
      <w:r>
        <w:rPr>
          <w:rFonts w:ascii="宋体" w:hAnsi="宋体" w:eastAsia="宋体" w:cs="宋体"/>
          <w:b/>
          <w:bCs/>
          <w:spacing w:val="-2"/>
          <w:sz w:val="28"/>
          <w:szCs w:val="28"/>
        </w:rPr>
        <w:t>拟投入主要施工机械设备情况表</w:t>
      </w:r>
    </w:p>
    <w:p w14:paraId="5EBAB046">
      <w:pPr>
        <w:spacing w:before="132"/>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77"/>
        <w:gridCol w:w="1184"/>
        <w:gridCol w:w="1169"/>
        <w:gridCol w:w="1170"/>
        <w:gridCol w:w="1169"/>
        <w:gridCol w:w="1289"/>
        <w:gridCol w:w="1072"/>
      </w:tblGrid>
      <w:tr w14:paraId="1CA31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77" w:type="dxa"/>
            <w:vAlign w:val="top"/>
          </w:tcPr>
          <w:p w14:paraId="15D2BA18">
            <w:pPr>
              <w:pStyle w:val="6"/>
              <w:spacing w:before="75" w:line="259" w:lineRule="auto"/>
              <w:ind w:left="370" w:right="140" w:hanging="228"/>
              <w:rPr>
                <w:sz w:val="21"/>
                <w:szCs w:val="21"/>
              </w:rPr>
            </w:pPr>
            <w:r>
              <w:rPr>
                <w:b/>
                <w:bCs/>
                <w:spacing w:val="7"/>
                <w:sz w:val="21"/>
                <w:szCs w:val="21"/>
              </w:rPr>
              <w:t>机械设备</w:t>
            </w:r>
            <w:r>
              <w:rPr>
                <w:b/>
                <w:bCs/>
                <w:sz w:val="21"/>
                <w:szCs w:val="21"/>
              </w:rPr>
              <w:t>名称</w:t>
            </w:r>
          </w:p>
        </w:tc>
        <w:tc>
          <w:tcPr>
            <w:tcW w:w="1184" w:type="dxa"/>
            <w:vAlign w:val="top"/>
          </w:tcPr>
          <w:p w14:paraId="2356A38E">
            <w:pPr>
              <w:pStyle w:val="6"/>
              <w:spacing w:before="224" w:line="220" w:lineRule="auto"/>
              <w:ind w:left="144"/>
              <w:rPr>
                <w:sz w:val="21"/>
                <w:szCs w:val="21"/>
              </w:rPr>
            </w:pPr>
            <w:r>
              <w:rPr>
                <w:b/>
                <w:bCs/>
                <w:spacing w:val="5"/>
                <w:sz w:val="21"/>
                <w:szCs w:val="21"/>
              </w:rPr>
              <w:t>型号规格</w:t>
            </w:r>
          </w:p>
        </w:tc>
        <w:tc>
          <w:tcPr>
            <w:tcW w:w="1169" w:type="dxa"/>
            <w:vAlign w:val="top"/>
          </w:tcPr>
          <w:p w14:paraId="1240AF64">
            <w:pPr>
              <w:pStyle w:val="6"/>
              <w:spacing w:before="224" w:line="220" w:lineRule="auto"/>
              <w:ind w:left="261"/>
              <w:rPr>
                <w:sz w:val="21"/>
                <w:szCs w:val="21"/>
              </w:rPr>
            </w:pPr>
            <w:r>
              <w:rPr>
                <w:b/>
                <w:bCs/>
                <w:spacing w:val="-8"/>
                <w:sz w:val="21"/>
                <w:szCs w:val="21"/>
              </w:rPr>
              <w:t>数</w:t>
            </w:r>
            <w:r>
              <w:rPr>
                <w:spacing w:val="12"/>
                <w:sz w:val="21"/>
                <w:szCs w:val="21"/>
              </w:rPr>
              <w:t xml:space="preserve">  </w:t>
            </w:r>
            <w:r>
              <w:rPr>
                <w:b/>
                <w:bCs/>
                <w:spacing w:val="-8"/>
                <w:sz w:val="21"/>
                <w:szCs w:val="21"/>
              </w:rPr>
              <w:t>量</w:t>
            </w:r>
          </w:p>
        </w:tc>
        <w:tc>
          <w:tcPr>
            <w:tcW w:w="1170" w:type="dxa"/>
            <w:vAlign w:val="top"/>
          </w:tcPr>
          <w:p w14:paraId="16E93333">
            <w:pPr>
              <w:pStyle w:val="6"/>
              <w:spacing w:before="224" w:line="220" w:lineRule="auto"/>
              <w:ind w:left="182"/>
              <w:rPr>
                <w:sz w:val="21"/>
                <w:szCs w:val="21"/>
              </w:rPr>
            </w:pPr>
            <w:r>
              <w:rPr>
                <w:b/>
                <w:bCs/>
                <w:spacing w:val="-3"/>
                <w:sz w:val="21"/>
                <w:szCs w:val="21"/>
              </w:rPr>
              <w:t>目前状况</w:t>
            </w:r>
          </w:p>
        </w:tc>
        <w:tc>
          <w:tcPr>
            <w:tcW w:w="1169" w:type="dxa"/>
            <w:vAlign w:val="top"/>
          </w:tcPr>
          <w:p w14:paraId="16203725">
            <w:pPr>
              <w:pStyle w:val="6"/>
              <w:spacing w:before="224" w:line="220" w:lineRule="auto"/>
              <w:ind w:left="264"/>
              <w:rPr>
                <w:sz w:val="21"/>
                <w:szCs w:val="21"/>
              </w:rPr>
            </w:pPr>
            <w:r>
              <w:rPr>
                <w:b/>
                <w:bCs/>
                <w:spacing w:val="-7"/>
                <w:sz w:val="21"/>
                <w:szCs w:val="21"/>
              </w:rPr>
              <w:t>来</w:t>
            </w:r>
            <w:r>
              <w:rPr>
                <w:spacing w:val="11"/>
                <w:sz w:val="21"/>
                <w:szCs w:val="21"/>
              </w:rPr>
              <w:t xml:space="preserve">  </w:t>
            </w:r>
            <w:r>
              <w:rPr>
                <w:b/>
                <w:bCs/>
                <w:spacing w:val="-7"/>
                <w:sz w:val="21"/>
                <w:szCs w:val="21"/>
              </w:rPr>
              <w:t>源</w:t>
            </w:r>
          </w:p>
        </w:tc>
        <w:tc>
          <w:tcPr>
            <w:tcW w:w="1289" w:type="dxa"/>
            <w:vAlign w:val="top"/>
          </w:tcPr>
          <w:p w14:paraId="004FAD05">
            <w:pPr>
              <w:pStyle w:val="6"/>
              <w:spacing w:before="225" w:line="220" w:lineRule="auto"/>
              <w:ind w:left="118"/>
              <w:rPr>
                <w:sz w:val="21"/>
                <w:szCs w:val="21"/>
              </w:rPr>
            </w:pPr>
            <w:r>
              <w:rPr>
                <w:b/>
                <w:bCs/>
                <w:spacing w:val="-1"/>
                <w:sz w:val="21"/>
                <w:szCs w:val="21"/>
              </w:rPr>
              <w:t>现停放地点</w:t>
            </w:r>
          </w:p>
        </w:tc>
        <w:tc>
          <w:tcPr>
            <w:tcW w:w="1072" w:type="dxa"/>
            <w:vAlign w:val="top"/>
          </w:tcPr>
          <w:p w14:paraId="6B7EE02D">
            <w:pPr>
              <w:pStyle w:val="6"/>
              <w:spacing w:before="225" w:line="221" w:lineRule="auto"/>
              <w:ind w:left="212"/>
              <w:rPr>
                <w:sz w:val="21"/>
                <w:szCs w:val="21"/>
              </w:rPr>
            </w:pPr>
            <w:r>
              <w:rPr>
                <w:b/>
                <w:bCs/>
                <w:spacing w:val="-8"/>
                <w:sz w:val="21"/>
                <w:szCs w:val="21"/>
              </w:rPr>
              <w:t>备</w:t>
            </w:r>
            <w:r>
              <w:rPr>
                <w:spacing w:val="11"/>
                <w:sz w:val="21"/>
                <w:szCs w:val="21"/>
              </w:rPr>
              <w:t xml:space="preserve">  </w:t>
            </w:r>
            <w:r>
              <w:rPr>
                <w:b/>
                <w:bCs/>
                <w:spacing w:val="-8"/>
                <w:sz w:val="21"/>
                <w:szCs w:val="21"/>
              </w:rPr>
              <w:t>注</w:t>
            </w:r>
          </w:p>
        </w:tc>
      </w:tr>
    </w:tbl>
    <w:p w14:paraId="2630CB8A">
      <w:pPr>
        <w:pStyle w:val="2"/>
      </w:pPr>
    </w:p>
    <w:p w14:paraId="20601E77">
      <w:pPr>
        <w:sectPr>
          <w:footerReference r:id="rId323" w:type="default"/>
          <w:pgSz w:w="11910" w:h="16845"/>
          <w:pgMar w:top="400" w:right="1786" w:bottom="1110" w:left="1786" w:header="0" w:footer="883" w:gutter="0"/>
          <w:cols w:space="720" w:num="1"/>
        </w:sectPr>
      </w:pPr>
    </w:p>
    <w:p w14:paraId="28E3854A">
      <w:pPr>
        <w:spacing w:before="19"/>
      </w:pPr>
    </w:p>
    <w:p w14:paraId="16B91498">
      <w:pPr>
        <w:spacing w:before="19"/>
      </w:pPr>
    </w:p>
    <w:p w14:paraId="0D0567CF">
      <w:pPr>
        <w:spacing w:before="19"/>
      </w:pPr>
    </w:p>
    <w:p w14:paraId="3231215E">
      <w:pPr>
        <w:spacing w:before="18"/>
      </w:pPr>
    </w:p>
    <w:tbl>
      <w:tblPr>
        <w:tblStyle w:val="5"/>
        <w:tblW w:w="8230" w:type="dxa"/>
        <w:tblInd w:w="14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77"/>
        <w:gridCol w:w="1184"/>
        <w:gridCol w:w="1169"/>
        <w:gridCol w:w="1170"/>
        <w:gridCol w:w="1169"/>
        <w:gridCol w:w="1289"/>
        <w:gridCol w:w="1072"/>
      </w:tblGrid>
      <w:tr w14:paraId="0D45C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1177" w:type="dxa"/>
            <w:vAlign w:val="top"/>
          </w:tcPr>
          <w:p w14:paraId="68E2D91E">
            <w:pPr>
              <w:rPr>
                <w:rFonts w:ascii="Arial"/>
                <w:sz w:val="21"/>
              </w:rPr>
            </w:pPr>
          </w:p>
        </w:tc>
        <w:tc>
          <w:tcPr>
            <w:tcW w:w="1184" w:type="dxa"/>
            <w:vAlign w:val="top"/>
          </w:tcPr>
          <w:p w14:paraId="537F0033">
            <w:pPr>
              <w:rPr>
                <w:rFonts w:ascii="Arial"/>
                <w:sz w:val="21"/>
              </w:rPr>
            </w:pPr>
          </w:p>
        </w:tc>
        <w:tc>
          <w:tcPr>
            <w:tcW w:w="1169" w:type="dxa"/>
            <w:vAlign w:val="top"/>
          </w:tcPr>
          <w:p w14:paraId="6858B064">
            <w:pPr>
              <w:rPr>
                <w:rFonts w:ascii="Arial"/>
                <w:sz w:val="21"/>
              </w:rPr>
            </w:pPr>
          </w:p>
        </w:tc>
        <w:tc>
          <w:tcPr>
            <w:tcW w:w="1170" w:type="dxa"/>
            <w:vAlign w:val="top"/>
          </w:tcPr>
          <w:p w14:paraId="667CC3C2">
            <w:pPr>
              <w:rPr>
                <w:rFonts w:ascii="Arial"/>
                <w:sz w:val="21"/>
              </w:rPr>
            </w:pPr>
          </w:p>
        </w:tc>
        <w:tc>
          <w:tcPr>
            <w:tcW w:w="1169" w:type="dxa"/>
            <w:vAlign w:val="top"/>
          </w:tcPr>
          <w:p w14:paraId="18DAD3E7">
            <w:pPr>
              <w:rPr>
                <w:rFonts w:ascii="Arial"/>
                <w:sz w:val="21"/>
              </w:rPr>
            </w:pPr>
          </w:p>
        </w:tc>
        <w:tc>
          <w:tcPr>
            <w:tcW w:w="1289" w:type="dxa"/>
            <w:vAlign w:val="top"/>
          </w:tcPr>
          <w:p w14:paraId="392C5510">
            <w:pPr>
              <w:rPr>
                <w:rFonts w:ascii="Arial"/>
                <w:sz w:val="21"/>
              </w:rPr>
            </w:pPr>
          </w:p>
        </w:tc>
        <w:tc>
          <w:tcPr>
            <w:tcW w:w="1072" w:type="dxa"/>
            <w:vAlign w:val="top"/>
          </w:tcPr>
          <w:p w14:paraId="45ADCAB0">
            <w:pPr>
              <w:rPr>
                <w:rFonts w:ascii="Arial"/>
                <w:sz w:val="21"/>
              </w:rPr>
            </w:pPr>
          </w:p>
        </w:tc>
      </w:tr>
      <w:tr w14:paraId="752F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1177" w:type="dxa"/>
            <w:vAlign w:val="top"/>
          </w:tcPr>
          <w:p w14:paraId="150110FA">
            <w:pPr>
              <w:rPr>
                <w:rFonts w:ascii="Arial"/>
                <w:sz w:val="21"/>
              </w:rPr>
            </w:pPr>
          </w:p>
        </w:tc>
        <w:tc>
          <w:tcPr>
            <w:tcW w:w="1184" w:type="dxa"/>
            <w:vAlign w:val="top"/>
          </w:tcPr>
          <w:p w14:paraId="7483F57A">
            <w:pPr>
              <w:rPr>
                <w:rFonts w:ascii="Arial"/>
                <w:sz w:val="21"/>
              </w:rPr>
            </w:pPr>
          </w:p>
        </w:tc>
        <w:tc>
          <w:tcPr>
            <w:tcW w:w="1169" w:type="dxa"/>
            <w:vAlign w:val="top"/>
          </w:tcPr>
          <w:p w14:paraId="2CFF6FF6">
            <w:pPr>
              <w:rPr>
                <w:rFonts w:ascii="Arial"/>
                <w:sz w:val="21"/>
              </w:rPr>
            </w:pPr>
          </w:p>
        </w:tc>
        <w:tc>
          <w:tcPr>
            <w:tcW w:w="1170" w:type="dxa"/>
            <w:vAlign w:val="top"/>
          </w:tcPr>
          <w:p w14:paraId="17B67443">
            <w:pPr>
              <w:rPr>
                <w:rFonts w:ascii="Arial"/>
                <w:sz w:val="21"/>
              </w:rPr>
            </w:pPr>
          </w:p>
        </w:tc>
        <w:tc>
          <w:tcPr>
            <w:tcW w:w="1169" w:type="dxa"/>
            <w:vAlign w:val="top"/>
          </w:tcPr>
          <w:p w14:paraId="63BCDFFC">
            <w:pPr>
              <w:rPr>
                <w:rFonts w:ascii="Arial"/>
                <w:sz w:val="21"/>
              </w:rPr>
            </w:pPr>
          </w:p>
        </w:tc>
        <w:tc>
          <w:tcPr>
            <w:tcW w:w="1289" w:type="dxa"/>
            <w:vAlign w:val="top"/>
          </w:tcPr>
          <w:p w14:paraId="4D5B0E24">
            <w:pPr>
              <w:rPr>
                <w:rFonts w:ascii="Arial"/>
                <w:sz w:val="21"/>
              </w:rPr>
            </w:pPr>
          </w:p>
        </w:tc>
        <w:tc>
          <w:tcPr>
            <w:tcW w:w="1072" w:type="dxa"/>
            <w:vAlign w:val="top"/>
          </w:tcPr>
          <w:p w14:paraId="44074972">
            <w:pPr>
              <w:rPr>
                <w:rFonts w:ascii="Arial"/>
                <w:sz w:val="21"/>
              </w:rPr>
            </w:pPr>
          </w:p>
        </w:tc>
      </w:tr>
      <w:tr w14:paraId="432D2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77" w:type="dxa"/>
            <w:vAlign w:val="top"/>
          </w:tcPr>
          <w:p w14:paraId="5E7B2076">
            <w:pPr>
              <w:rPr>
                <w:rFonts w:ascii="Arial"/>
                <w:sz w:val="21"/>
              </w:rPr>
            </w:pPr>
          </w:p>
        </w:tc>
        <w:tc>
          <w:tcPr>
            <w:tcW w:w="1184" w:type="dxa"/>
            <w:vAlign w:val="top"/>
          </w:tcPr>
          <w:p w14:paraId="4FD644DB">
            <w:pPr>
              <w:rPr>
                <w:rFonts w:ascii="Arial"/>
                <w:sz w:val="21"/>
              </w:rPr>
            </w:pPr>
          </w:p>
        </w:tc>
        <w:tc>
          <w:tcPr>
            <w:tcW w:w="1169" w:type="dxa"/>
            <w:vAlign w:val="top"/>
          </w:tcPr>
          <w:p w14:paraId="4083E234">
            <w:pPr>
              <w:rPr>
                <w:rFonts w:ascii="Arial"/>
                <w:sz w:val="21"/>
              </w:rPr>
            </w:pPr>
          </w:p>
        </w:tc>
        <w:tc>
          <w:tcPr>
            <w:tcW w:w="1170" w:type="dxa"/>
            <w:vAlign w:val="top"/>
          </w:tcPr>
          <w:p w14:paraId="31F58ADA">
            <w:pPr>
              <w:rPr>
                <w:rFonts w:ascii="Arial"/>
                <w:sz w:val="21"/>
              </w:rPr>
            </w:pPr>
          </w:p>
        </w:tc>
        <w:tc>
          <w:tcPr>
            <w:tcW w:w="1169" w:type="dxa"/>
            <w:vAlign w:val="top"/>
          </w:tcPr>
          <w:p w14:paraId="0A089D1C">
            <w:pPr>
              <w:rPr>
                <w:rFonts w:ascii="Arial"/>
                <w:sz w:val="21"/>
              </w:rPr>
            </w:pPr>
          </w:p>
        </w:tc>
        <w:tc>
          <w:tcPr>
            <w:tcW w:w="1289" w:type="dxa"/>
            <w:vAlign w:val="top"/>
          </w:tcPr>
          <w:p w14:paraId="563CEA51">
            <w:pPr>
              <w:rPr>
                <w:rFonts w:ascii="Arial"/>
                <w:sz w:val="21"/>
              </w:rPr>
            </w:pPr>
          </w:p>
        </w:tc>
        <w:tc>
          <w:tcPr>
            <w:tcW w:w="1072" w:type="dxa"/>
            <w:vAlign w:val="top"/>
          </w:tcPr>
          <w:p w14:paraId="4FA9FD5A">
            <w:pPr>
              <w:rPr>
                <w:rFonts w:ascii="Arial"/>
                <w:sz w:val="21"/>
              </w:rPr>
            </w:pPr>
          </w:p>
        </w:tc>
      </w:tr>
      <w:tr w14:paraId="4D533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77" w:type="dxa"/>
            <w:vAlign w:val="top"/>
          </w:tcPr>
          <w:p w14:paraId="368BA657">
            <w:pPr>
              <w:rPr>
                <w:rFonts w:ascii="Arial"/>
                <w:sz w:val="21"/>
              </w:rPr>
            </w:pPr>
          </w:p>
        </w:tc>
        <w:tc>
          <w:tcPr>
            <w:tcW w:w="1184" w:type="dxa"/>
            <w:vAlign w:val="top"/>
          </w:tcPr>
          <w:p w14:paraId="1B38C4B1">
            <w:pPr>
              <w:rPr>
                <w:rFonts w:ascii="Arial"/>
                <w:sz w:val="21"/>
              </w:rPr>
            </w:pPr>
          </w:p>
        </w:tc>
        <w:tc>
          <w:tcPr>
            <w:tcW w:w="1169" w:type="dxa"/>
            <w:vAlign w:val="top"/>
          </w:tcPr>
          <w:p w14:paraId="65011293">
            <w:pPr>
              <w:rPr>
                <w:rFonts w:ascii="Arial"/>
                <w:sz w:val="21"/>
              </w:rPr>
            </w:pPr>
          </w:p>
        </w:tc>
        <w:tc>
          <w:tcPr>
            <w:tcW w:w="1170" w:type="dxa"/>
            <w:vAlign w:val="top"/>
          </w:tcPr>
          <w:p w14:paraId="1B575B74">
            <w:pPr>
              <w:rPr>
                <w:rFonts w:ascii="Arial"/>
                <w:sz w:val="21"/>
              </w:rPr>
            </w:pPr>
          </w:p>
        </w:tc>
        <w:tc>
          <w:tcPr>
            <w:tcW w:w="1169" w:type="dxa"/>
            <w:vAlign w:val="top"/>
          </w:tcPr>
          <w:p w14:paraId="472A909B">
            <w:pPr>
              <w:rPr>
                <w:rFonts w:ascii="Arial"/>
                <w:sz w:val="21"/>
              </w:rPr>
            </w:pPr>
          </w:p>
        </w:tc>
        <w:tc>
          <w:tcPr>
            <w:tcW w:w="1289" w:type="dxa"/>
            <w:vAlign w:val="top"/>
          </w:tcPr>
          <w:p w14:paraId="283606D2">
            <w:pPr>
              <w:rPr>
                <w:rFonts w:ascii="Arial"/>
                <w:sz w:val="21"/>
              </w:rPr>
            </w:pPr>
          </w:p>
        </w:tc>
        <w:tc>
          <w:tcPr>
            <w:tcW w:w="1072" w:type="dxa"/>
            <w:vAlign w:val="top"/>
          </w:tcPr>
          <w:p w14:paraId="63A0A859">
            <w:pPr>
              <w:rPr>
                <w:rFonts w:ascii="Arial"/>
                <w:sz w:val="21"/>
              </w:rPr>
            </w:pPr>
          </w:p>
        </w:tc>
      </w:tr>
      <w:tr w14:paraId="2C641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1177" w:type="dxa"/>
            <w:vAlign w:val="top"/>
          </w:tcPr>
          <w:p w14:paraId="4DD144C7">
            <w:pPr>
              <w:rPr>
                <w:rFonts w:ascii="Arial"/>
                <w:sz w:val="21"/>
              </w:rPr>
            </w:pPr>
          </w:p>
        </w:tc>
        <w:tc>
          <w:tcPr>
            <w:tcW w:w="1184" w:type="dxa"/>
            <w:vAlign w:val="top"/>
          </w:tcPr>
          <w:p w14:paraId="5743035D">
            <w:pPr>
              <w:rPr>
                <w:rFonts w:ascii="Arial"/>
                <w:sz w:val="21"/>
              </w:rPr>
            </w:pPr>
          </w:p>
        </w:tc>
        <w:tc>
          <w:tcPr>
            <w:tcW w:w="1169" w:type="dxa"/>
            <w:vAlign w:val="top"/>
          </w:tcPr>
          <w:p w14:paraId="738A2572">
            <w:pPr>
              <w:rPr>
                <w:rFonts w:ascii="Arial"/>
                <w:sz w:val="21"/>
              </w:rPr>
            </w:pPr>
          </w:p>
        </w:tc>
        <w:tc>
          <w:tcPr>
            <w:tcW w:w="1170" w:type="dxa"/>
            <w:vAlign w:val="top"/>
          </w:tcPr>
          <w:p w14:paraId="06F74624">
            <w:pPr>
              <w:rPr>
                <w:rFonts w:ascii="Arial"/>
                <w:sz w:val="21"/>
              </w:rPr>
            </w:pPr>
          </w:p>
        </w:tc>
        <w:tc>
          <w:tcPr>
            <w:tcW w:w="1169" w:type="dxa"/>
            <w:vAlign w:val="top"/>
          </w:tcPr>
          <w:p w14:paraId="61B1B132">
            <w:pPr>
              <w:rPr>
                <w:rFonts w:ascii="Arial"/>
                <w:sz w:val="21"/>
              </w:rPr>
            </w:pPr>
          </w:p>
        </w:tc>
        <w:tc>
          <w:tcPr>
            <w:tcW w:w="1289" w:type="dxa"/>
            <w:vAlign w:val="top"/>
          </w:tcPr>
          <w:p w14:paraId="444789C7">
            <w:pPr>
              <w:rPr>
                <w:rFonts w:ascii="Arial"/>
                <w:sz w:val="21"/>
              </w:rPr>
            </w:pPr>
          </w:p>
        </w:tc>
        <w:tc>
          <w:tcPr>
            <w:tcW w:w="1072" w:type="dxa"/>
            <w:vAlign w:val="top"/>
          </w:tcPr>
          <w:p w14:paraId="168450AA">
            <w:pPr>
              <w:rPr>
                <w:rFonts w:ascii="Arial"/>
                <w:sz w:val="21"/>
              </w:rPr>
            </w:pPr>
          </w:p>
        </w:tc>
      </w:tr>
      <w:tr w14:paraId="65036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77" w:type="dxa"/>
            <w:vAlign w:val="top"/>
          </w:tcPr>
          <w:p w14:paraId="656636BD">
            <w:pPr>
              <w:rPr>
                <w:rFonts w:ascii="Arial"/>
                <w:sz w:val="21"/>
              </w:rPr>
            </w:pPr>
          </w:p>
        </w:tc>
        <w:tc>
          <w:tcPr>
            <w:tcW w:w="1184" w:type="dxa"/>
            <w:vAlign w:val="top"/>
          </w:tcPr>
          <w:p w14:paraId="61B7E56B">
            <w:pPr>
              <w:rPr>
                <w:rFonts w:ascii="Arial"/>
                <w:sz w:val="21"/>
              </w:rPr>
            </w:pPr>
          </w:p>
        </w:tc>
        <w:tc>
          <w:tcPr>
            <w:tcW w:w="1169" w:type="dxa"/>
            <w:vAlign w:val="top"/>
          </w:tcPr>
          <w:p w14:paraId="7C06370E">
            <w:pPr>
              <w:rPr>
                <w:rFonts w:ascii="Arial"/>
                <w:sz w:val="21"/>
              </w:rPr>
            </w:pPr>
          </w:p>
        </w:tc>
        <w:tc>
          <w:tcPr>
            <w:tcW w:w="1170" w:type="dxa"/>
            <w:vAlign w:val="top"/>
          </w:tcPr>
          <w:p w14:paraId="3ACF34F2">
            <w:pPr>
              <w:rPr>
                <w:rFonts w:ascii="Arial"/>
                <w:sz w:val="21"/>
              </w:rPr>
            </w:pPr>
          </w:p>
        </w:tc>
        <w:tc>
          <w:tcPr>
            <w:tcW w:w="1169" w:type="dxa"/>
            <w:vAlign w:val="top"/>
          </w:tcPr>
          <w:p w14:paraId="73F47107">
            <w:pPr>
              <w:rPr>
                <w:rFonts w:ascii="Arial"/>
                <w:sz w:val="21"/>
              </w:rPr>
            </w:pPr>
          </w:p>
        </w:tc>
        <w:tc>
          <w:tcPr>
            <w:tcW w:w="1289" w:type="dxa"/>
            <w:vAlign w:val="top"/>
          </w:tcPr>
          <w:p w14:paraId="372C4C33">
            <w:pPr>
              <w:rPr>
                <w:rFonts w:ascii="Arial"/>
                <w:sz w:val="21"/>
              </w:rPr>
            </w:pPr>
          </w:p>
        </w:tc>
        <w:tc>
          <w:tcPr>
            <w:tcW w:w="1072" w:type="dxa"/>
            <w:vAlign w:val="top"/>
          </w:tcPr>
          <w:p w14:paraId="54B8B782">
            <w:pPr>
              <w:rPr>
                <w:rFonts w:ascii="Arial"/>
                <w:sz w:val="21"/>
              </w:rPr>
            </w:pPr>
          </w:p>
        </w:tc>
      </w:tr>
      <w:tr w14:paraId="66254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77" w:type="dxa"/>
            <w:vAlign w:val="top"/>
          </w:tcPr>
          <w:p w14:paraId="123A3752">
            <w:pPr>
              <w:rPr>
                <w:rFonts w:ascii="Arial"/>
                <w:sz w:val="21"/>
              </w:rPr>
            </w:pPr>
          </w:p>
        </w:tc>
        <w:tc>
          <w:tcPr>
            <w:tcW w:w="1184" w:type="dxa"/>
            <w:vAlign w:val="top"/>
          </w:tcPr>
          <w:p w14:paraId="718E425A">
            <w:pPr>
              <w:rPr>
                <w:rFonts w:ascii="Arial"/>
                <w:sz w:val="21"/>
              </w:rPr>
            </w:pPr>
          </w:p>
        </w:tc>
        <w:tc>
          <w:tcPr>
            <w:tcW w:w="1169" w:type="dxa"/>
            <w:vAlign w:val="top"/>
          </w:tcPr>
          <w:p w14:paraId="7FAD6360">
            <w:pPr>
              <w:rPr>
                <w:rFonts w:ascii="Arial"/>
                <w:sz w:val="21"/>
              </w:rPr>
            </w:pPr>
          </w:p>
        </w:tc>
        <w:tc>
          <w:tcPr>
            <w:tcW w:w="1170" w:type="dxa"/>
            <w:vAlign w:val="top"/>
          </w:tcPr>
          <w:p w14:paraId="48542B04">
            <w:pPr>
              <w:rPr>
                <w:rFonts w:ascii="Arial"/>
                <w:sz w:val="21"/>
              </w:rPr>
            </w:pPr>
          </w:p>
        </w:tc>
        <w:tc>
          <w:tcPr>
            <w:tcW w:w="1169" w:type="dxa"/>
            <w:vAlign w:val="top"/>
          </w:tcPr>
          <w:p w14:paraId="57AB534E">
            <w:pPr>
              <w:rPr>
                <w:rFonts w:ascii="Arial"/>
                <w:sz w:val="21"/>
              </w:rPr>
            </w:pPr>
          </w:p>
        </w:tc>
        <w:tc>
          <w:tcPr>
            <w:tcW w:w="1289" w:type="dxa"/>
            <w:vAlign w:val="top"/>
          </w:tcPr>
          <w:p w14:paraId="302FCEC5">
            <w:pPr>
              <w:rPr>
                <w:rFonts w:ascii="Arial"/>
                <w:sz w:val="21"/>
              </w:rPr>
            </w:pPr>
          </w:p>
        </w:tc>
        <w:tc>
          <w:tcPr>
            <w:tcW w:w="1072" w:type="dxa"/>
            <w:vAlign w:val="top"/>
          </w:tcPr>
          <w:p w14:paraId="193E32DF">
            <w:pPr>
              <w:rPr>
                <w:rFonts w:ascii="Arial"/>
                <w:sz w:val="21"/>
              </w:rPr>
            </w:pPr>
          </w:p>
        </w:tc>
      </w:tr>
      <w:tr w14:paraId="3C494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1177" w:type="dxa"/>
            <w:vAlign w:val="top"/>
          </w:tcPr>
          <w:p w14:paraId="285BE0B5">
            <w:pPr>
              <w:rPr>
                <w:rFonts w:ascii="Arial"/>
                <w:sz w:val="21"/>
              </w:rPr>
            </w:pPr>
          </w:p>
        </w:tc>
        <w:tc>
          <w:tcPr>
            <w:tcW w:w="1184" w:type="dxa"/>
            <w:vAlign w:val="top"/>
          </w:tcPr>
          <w:p w14:paraId="028B469B">
            <w:pPr>
              <w:rPr>
                <w:rFonts w:ascii="Arial"/>
                <w:sz w:val="21"/>
              </w:rPr>
            </w:pPr>
          </w:p>
        </w:tc>
        <w:tc>
          <w:tcPr>
            <w:tcW w:w="1169" w:type="dxa"/>
            <w:vAlign w:val="top"/>
          </w:tcPr>
          <w:p w14:paraId="00992220">
            <w:pPr>
              <w:rPr>
                <w:rFonts w:ascii="Arial"/>
                <w:sz w:val="21"/>
              </w:rPr>
            </w:pPr>
          </w:p>
        </w:tc>
        <w:tc>
          <w:tcPr>
            <w:tcW w:w="1170" w:type="dxa"/>
            <w:vAlign w:val="top"/>
          </w:tcPr>
          <w:p w14:paraId="73ADEB9A">
            <w:pPr>
              <w:rPr>
                <w:rFonts w:ascii="Arial"/>
                <w:sz w:val="21"/>
              </w:rPr>
            </w:pPr>
          </w:p>
        </w:tc>
        <w:tc>
          <w:tcPr>
            <w:tcW w:w="1169" w:type="dxa"/>
            <w:vAlign w:val="top"/>
          </w:tcPr>
          <w:p w14:paraId="17D9FD19">
            <w:pPr>
              <w:rPr>
                <w:rFonts w:ascii="Arial"/>
                <w:sz w:val="21"/>
              </w:rPr>
            </w:pPr>
          </w:p>
        </w:tc>
        <w:tc>
          <w:tcPr>
            <w:tcW w:w="1289" w:type="dxa"/>
            <w:vAlign w:val="top"/>
          </w:tcPr>
          <w:p w14:paraId="10CAF0A5">
            <w:pPr>
              <w:rPr>
                <w:rFonts w:ascii="Arial"/>
                <w:sz w:val="21"/>
              </w:rPr>
            </w:pPr>
          </w:p>
        </w:tc>
        <w:tc>
          <w:tcPr>
            <w:tcW w:w="1072" w:type="dxa"/>
            <w:vAlign w:val="top"/>
          </w:tcPr>
          <w:p w14:paraId="313A6CA5">
            <w:pPr>
              <w:rPr>
                <w:rFonts w:ascii="Arial"/>
                <w:sz w:val="21"/>
              </w:rPr>
            </w:pPr>
          </w:p>
        </w:tc>
      </w:tr>
    </w:tbl>
    <w:p w14:paraId="464E938A">
      <w:pPr>
        <w:spacing w:before="137" w:line="350" w:lineRule="auto"/>
        <w:ind w:firstLine="543"/>
        <w:jc w:val="both"/>
        <w:rPr>
          <w:rFonts w:ascii="宋体" w:hAnsi="宋体" w:eastAsia="宋体" w:cs="宋体"/>
          <w:sz w:val="21"/>
          <w:szCs w:val="21"/>
        </w:rPr>
      </w:pPr>
      <w:r>
        <w:rPr>
          <w:rFonts w:ascii="宋体" w:hAnsi="宋体" w:eastAsia="宋体" w:cs="宋体"/>
          <w:spacing w:val="-7"/>
          <w:sz w:val="21"/>
          <w:szCs w:val="21"/>
        </w:rPr>
        <w:t>备注：“目前状况”应说明已使用年限、是否完好以及目前是否正在</w:t>
      </w:r>
      <w:r>
        <w:rPr>
          <w:rFonts w:ascii="宋体" w:hAnsi="宋体" w:eastAsia="宋体" w:cs="宋体"/>
          <w:spacing w:val="-8"/>
          <w:sz w:val="21"/>
          <w:szCs w:val="21"/>
        </w:rPr>
        <w:t>使用，“来源”分为</w:t>
      </w:r>
      <w:r>
        <w:rPr>
          <w:rFonts w:ascii="宋体" w:hAnsi="宋体" w:eastAsia="宋体" w:cs="宋体"/>
          <w:spacing w:val="1"/>
          <w:sz w:val="21"/>
          <w:szCs w:val="21"/>
        </w:rPr>
        <w:t>“自有”和“市场租赁”两种情况，正在使用中的设</w:t>
      </w:r>
      <w:r>
        <w:rPr>
          <w:rFonts w:ascii="宋体" w:hAnsi="宋体" w:eastAsia="宋体" w:cs="宋体"/>
          <w:sz w:val="21"/>
          <w:szCs w:val="21"/>
        </w:rPr>
        <w:t>备应在“备注”中注明何时能够投入本</w:t>
      </w:r>
      <w:r>
        <w:rPr>
          <w:rFonts w:ascii="宋体" w:hAnsi="宋体" w:eastAsia="宋体" w:cs="宋体"/>
          <w:spacing w:val="1"/>
          <w:sz w:val="21"/>
          <w:szCs w:val="21"/>
        </w:rPr>
        <w:t>项目。本招标项目（标段）投标人资质条件、能力和信誉中要求的主要施工机械设备，投标</w:t>
      </w:r>
      <w:r>
        <w:rPr>
          <w:rFonts w:ascii="宋体" w:hAnsi="宋体" w:eastAsia="宋体" w:cs="宋体"/>
          <w:spacing w:val="-2"/>
          <w:sz w:val="21"/>
          <w:szCs w:val="21"/>
        </w:rPr>
        <w:t>人应提供相关证明材料， 如自有设备的原始发票扫描件、折旧政策、停放地点和使用状况等</w:t>
      </w:r>
      <w:r>
        <w:rPr>
          <w:rFonts w:ascii="宋体" w:hAnsi="宋体" w:eastAsia="宋体" w:cs="宋体"/>
          <w:spacing w:val="3"/>
          <w:sz w:val="21"/>
          <w:szCs w:val="21"/>
        </w:rPr>
        <w:t>的说明文件，租赁设备的租赁意向书或带条件生效的租赁合同扫描件。</w:t>
      </w:r>
    </w:p>
    <w:p w14:paraId="7211B9BC">
      <w:pPr>
        <w:spacing w:line="350" w:lineRule="auto"/>
        <w:rPr>
          <w:rFonts w:ascii="宋体" w:hAnsi="宋体" w:eastAsia="宋体" w:cs="宋体"/>
          <w:sz w:val="21"/>
          <w:szCs w:val="21"/>
        </w:rPr>
        <w:sectPr>
          <w:footerReference r:id="rId324" w:type="default"/>
          <w:pgSz w:w="11910" w:h="16845"/>
          <w:pgMar w:top="400" w:right="1766" w:bottom="1110" w:left="1690" w:header="0" w:footer="883" w:gutter="0"/>
          <w:cols w:space="720" w:num="1"/>
        </w:sectPr>
      </w:pPr>
    </w:p>
    <w:p w14:paraId="123A4922">
      <w:pPr>
        <w:pStyle w:val="2"/>
        <w:spacing w:line="275" w:lineRule="auto"/>
      </w:pPr>
    </w:p>
    <w:p w14:paraId="2175CCE4">
      <w:pPr>
        <w:pStyle w:val="2"/>
        <w:spacing w:line="276" w:lineRule="auto"/>
      </w:pPr>
    </w:p>
    <w:p w14:paraId="09FF3DEE">
      <w:pPr>
        <w:pStyle w:val="2"/>
        <w:spacing w:line="276" w:lineRule="auto"/>
      </w:pPr>
    </w:p>
    <w:p w14:paraId="4681AE9A">
      <w:pPr>
        <w:pStyle w:val="2"/>
        <w:spacing w:line="276" w:lineRule="auto"/>
      </w:pPr>
    </w:p>
    <w:p w14:paraId="596517C7">
      <w:pPr>
        <w:spacing w:before="91" w:line="222" w:lineRule="auto"/>
        <w:ind w:left="80"/>
        <w:outlineLvl w:val="2"/>
        <w:rPr>
          <w:rFonts w:ascii="黑体" w:hAnsi="黑体" w:eastAsia="黑体" w:cs="黑体"/>
          <w:sz w:val="28"/>
          <w:szCs w:val="28"/>
        </w:rPr>
      </w:pPr>
      <w:bookmarkStart w:id="641" w:name="bookmark592"/>
      <w:bookmarkEnd w:id="641"/>
      <w:bookmarkStart w:id="642" w:name="bookmark593"/>
      <w:bookmarkEnd w:id="642"/>
      <w:bookmarkStart w:id="643" w:name="bookmark594"/>
      <w:bookmarkEnd w:id="643"/>
      <w:r>
        <w:rPr>
          <w:rFonts w:ascii="黑体" w:hAnsi="黑体" w:eastAsia="黑体" w:cs="黑体"/>
          <w:spacing w:val="-1"/>
          <w:sz w:val="28"/>
          <w:szCs w:val="28"/>
        </w:rPr>
        <w:t>(二)近年财务状况</w:t>
      </w:r>
    </w:p>
    <w:p w14:paraId="03FDB1EA">
      <w:pPr>
        <w:spacing w:before="242" w:line="220" w:lineRule="auto"/>
        <w:ind w:left="3110"/>
        <w:rPr>
          <w:rFonts w:ascii="宋体" w:hAnsi="宋体" w:eastAsia="宋体" w:cs="宋体"/>
          <w:sz w:val="24"/>
          <w:szCs w:val="24"/>
        </w:rPr>
      </w:pPr>
      <w:r>
        <w:rPr>
          <w:rFonts w:ascii="宋体" w:hAnsi="宋体" w:eastAsia="宋体" w:cs="宋体"/>
          <w:spacing w:val="-3"/>
          <w:sz w:val="24"/>
          <w:szCs w:val="24"/>
        </w:rPr>
        <w:t>（二）近年财务状况</w:t>
      </w:r>
    </w:p>
    <w:p w14:paraId="227828F3">
      <w:pPr>
        <w:spacing w:before="104" w:line="232" w:lineRule="auto"/>
        <w:ind w:left="3145"/>
        <w:outlineLvl w:val="2"/>
        <w:rPr>
          <w:rFonts w:ascii="黑体" w:hAnsi="黑体" w:eastAsia="黑体" w:cs="黑体"/>
          <w:sz w:val="24"/>
          <w:szCs w:val="24"/>
        </w:rPr>
      </w:pPr>
      <w:r>
        <w:rPr>
          <w:rFonts w:ascii="Times New Roman" w:hAnsi="Times New Roman" w:eastAsia="Times New Roman" w:cs="Times New Roman"/>
          <w:sz w:val="24"/>
          <w:szCs w:val="24"/>
        </w:rPr>
        <w:t xml:space="preserve">2-1 </w:t>
      </w:r>
      <w:r>
        <w:rPr>
          <w:rFonts w:ascii="黑体" w:hAnsi="黑体" w:eastAsia="黑体" w:cs="黑体"/>
          <w:sz w:val="24"/>
          <w:szCs w:val="24"/>
        </w:rPr>
        <w:t>近年财务状况表</w:t>
      </w:r>
    </w:p>
    <w:p w14:paraId="23609226">
      <w:pPr>
        <w:spacing w:before="68"/>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51"/>
        <w:gridCol w:w="780"/>
        <w:gridCol w:w="1440"/>
        <w:gridCol w:w="1454"/>
        <w:gridCol w:w="1454"/>
        <w:gridCol w:w="1446"/>
      </w:tblGrid>
      <w:tr w14:paraId="40ADB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851" w:type="dxa"/>
            <w:vAlign w:val="top"/>
          </w:tcPr>
          <w:p w14:paraId="6AB1C447">
            <w:pPr>
              <w:pStyle w:val="6"/>
              <w:spacing w:before="134" w:line="222" w:lineRule="auto"/>
              <w:ind w:left="716"/>
              <w:rPr>
                <w:sz w:val="21"/>
                <w:szCs w:val="21"/>
              </w:rPr>
            </w:pPr>
            <w:r>
              <w:rPr>
                <w:spacing w:val="-3"/>
                <w:sz w:val="21"/>
                <w:szCs w:val="21"/>
              </w:rPr>
              <w:t>名称</w:t>
            </w:r>
          </w:p>
        </w:tc>
        <w:tc>
          <w:tcPr>
            <w:tcW w:w="780" w:type="dxa"/>
            <w:vAlign w:val="top"/>
          </w:tcPr>
          <w:p w14:paraId="178C5ADD">
            <w:pPr>
              <w:pStyle w:val="6"/>
              <w:spacing w:before="134" w:line="220" w:lineRule="auto"/>
              <w:ind w:left="186"/>
              <w:rPr>
                <w:sz w:val="21"/>
                <w:szCs w:val="21"/>
              </w:rPr>
            </w:pPr>
            <w:r>
              <w:rPr>
                <w:spacing w:val="-3"/>
                <w:sz w:val="21"/>
                <w:szCs w:val="21"/>
              </w:rPr>
              <w:t>单位</w:t>
            </w:r>
          </w:p>
        </w:tc>
        <w:tc>
          <w:tcPr>
            <w:tcW w:w="1440" w:type="dxa"/>
            <w:vAlign w:val="top"/>
          </w:tcPr>
          <w:p w14:paraId="42671CCE">
            <w:pPr>
              <w:pStyle w:val="6"/>
              <w:tabs>
                <w:tab w:val="left" w:pos="1033"/>
              </w:tabs>
              <w:spacing w:before="134" w:line="220" w:lineRule="auto"/>
              <w:ind w:left="402"/>
              <w:rPr>
                <w:sz w:val="21"/>
                <w:szCs w:val="21"/>
              </w:rPr>
            </w:pPr>
            <w:r>
              <w:rPr>
                <w:sz w:val="21"/>
                <w:szCs w:val="21"/>
                <w:u w:val="single" w:color="auto"/>
              </w:rPr>
              <w:tab/>
            </w:r>
            <w:r>
              <w:rPr>
                <w:spacing w:val="-96"/>
                <w:sz w:val="21"/>
                <w:szCs w:val="21"/>
              </w:rPr>
              <w:t xml:space="preserve"> </w:t>
            </w:r>
            <w:r>
              <w:rPr>
                <w:sz w:val="21"/>
                <w:szCs w:val="21"/>
              </w:rPr>
              <w:t>年</w:t>
            </w:r>
          </w:p>
        </w:tc>
        <w:tc>
          <w:tcPr>
            <w:tcW w:w="1454" w:type="dxa"/>
            <w:vAlign w:val="top"/>
          </w:tcPr>
          <w:p w14:paraId="42DB5870">
            <w:pPr>
              <w:pStyle w:val="6"/>
              <w:tabs>
                <w:tab w:val="left" w:pos="1035"/>
              </w:tabs>
              <w:spacing w:before="134" w:line="220" w:lineRule="auto"/>
              <w:ind w:left="404"/>
              <w:rPr>
                <w:sz w:val="21"/>
                <w:szCs w:val="21"/>
              </w:rPr>
            </w:pPr>
            <w:r>
              <w:rPr>
                <w:sz w:val="21"/>
                <w:szCs w:val="21"/>
                <w:u w:val="single" w:color="auto"/>
              </w:rPr>
              <w:tab/>
            </w:r>
            <w:r>
              <w:rPr>
                <w:spacing w:val="-96"/>
                <w:sz w:val="21"/>
                <w:szCs w:val="21"/>
              </w:rPr>
              <w:t xml:space="preserve"> </w:t>
            </w:r>
            <w:r>
              <w:rPr>
                <w:sz w:val="21"/>
                <w:szCs w:val="21"/>
              </w:rPr>
              <w:t>年</w:t>
            </w:r>
          </w:p>
        </w:tc>
        <w:tc>
          <w:tcPr>
            <w:tcW w:w="1454" w:type="dxa"/>
            <w:vAlign w:val="top"/>
          </w:tcPr>
          <w:p w14:paraId="50CBE37D">
            <w:pPr>
              <w:pStyle w:val="6"/>
              <w:tabs>
                <w:tab w:val="left" w:pos="931"/>
              </w:tabs>
              <w:spacing w:before="134" w:line="220" w:lineRule="auto"/>
              <w:ind w:left="302"/>
              <w:rPr>
                <w:sz w:val="21"/>
                <w:szCs w:val="21"/>
              </w:rPr>
            </w:pPr>
            <w:r>
              <w:rPr>
                <w:sz w:val="21"/>
                <w:szCs w:val="21"/>
                <w:u w:val="single" w:color="auto"/>
              </w:rPr>
              <w:tab/>
            </w:r>
            <w:r>
              <w:rPr>
                <w:spacing w:val="-96"/>
                <w:sz w:val="21"/>
                <w:szCs w:val="21"/>
              </w:rPr>
              <w:t xml:space="preserve"> </w:t>
            </w:r>
            <w:r>
              <w:rPr>
                <w:sz w:val="21"/>
                <w:szCs w:val="21"/>
              </w:rPr>
              <w:t>年</w:t>
            </w:r>
          </w:p>
        </w:tc>
        <w:tc>
          <w:tcPr>
            <w:tcW w:w="1446" w:type="dxa"/>
            <w:vAlign w:val="top"/>
          </w:tcPr>
          <w:p w14:paraId="47A837D3">
            <w:pPr>
              <w:pStyle w:val="6"/>
              <w:spacing w:before="134" w:line="220" w:lineRule="auto"/>
              <w:ind w:left="117"/>
              <w:rPr>
                <w:sz w:val="21"/>
                <w:szCs w:val="21"/>
              </w:rPr>
            </w:pPr>
            <w:r>
              <w:rPr>
                <w:spacing w:val="-5"/>
                <w:sz w:val="21"/>
                <w:szCs w:val="21"/>
              </w:rPr>
              <w:t>近</w:t>
            </w:r>
            <w:r>
              <w:rPr>
                <w:spacing w:val="-44"/>
                <w:sz w:val="21"/>
                <w:szCs w:val="21"/>
              </w:rPr>
              <w:t xml:space="preserve"> </w:t>
            </w:r>
            <w:r>
              <w:rPr>
                <w:spacing w:val="-5"/>
                <w:sz w:val="21"/>
                <w:szCs w:val="21"/>
              </w:rPr>
              <w:t>3</w:t>
            </w:r>
            <w:r>
              <w:rPr>
                <w:spacing w:val="-51"/>
                <w:sz w:val="21"/>
                <w:szCs w:val="21"/>
              </w:rPr>
              <w:t xml:space="preserve"> </w:t>
            </w:r>
            <w:r>
              <w:rPr>
                <w:spacing w:val="-5"/>
                <w:sz w:val="21"/>
                <w:szCs w:val="21"/>
              </w:rPr>
              <w:t>年平均值</w:t>
            </w:r>
          </w:p>
        </w:tc>
      </w:tr>
      <w:tr w14:paraId="21781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44ED7FD9">
            <w:pPr>
              <w:pStyle w:val="6"/>
              <w:spacing w:before="142" w:line="221" w:lineRule="auto"/>
              <w:ind w:left="116"/>
              <w:rPr>
                <w:sz w:val="21"/>
                <w:szCs w:val="21"/>
              </w:rPr>
            </w:pPr>
            <w:r>
              <w:rPr>
                <w:spacing w:val="-2"/>
                <w:sz w:val="21"/>
                <w:szCs w:val="21"/>
              </w:rPr>
              <w:t>一．注册资金</w:t>
            </w:r>
          </w:p>
        </w:tc>
        <w:tc>
          <w:tcPr>
            <w:tcW w:w="780" w:type="dxa"/>
            <w:vAlign w:val="top"/>
          </w:tcPr>
          <w:p w14:paraId="3C1FC976">
            <w:pPr>
              <w:pStyle w:val="6"/>
              <w:spacing w:before="143" w:line="220" w:lineRule="auto"/>
              <w:ind w:left="189"/>
              <w:rPr>
                <w:sz w:val="21"/>
                <w:szCs w:val="21"/>
              </w:rPr>
            </w:pPr>
            <w:r>
              <w:rPr>
                <w:spacing w:val="-4"/>
                <w:sz w:val="21"/>
                <w:szCs w:val="21"/>
              </w:rPr>
              <w:t>万元</w:t>
            </w:r>
          </w:p>
        </w:tc>
        <w:tc>
          <w:tcPr>
            <w:tcW w:w="1440" w:type="dxa"/>
            <w:vAlign w:val="top"/>
          </w:tcPr>
          <w:p w14:paraId="175625F4">
            <w:pPr>
              <w:rPr>
                <w:rFonts w:ascii="Arial"/>
                <w:sz w:val="21"/>
              </w:rPr>
            </w:pPr>
          </w:p>
        </w:tc>
        <w:tc>
          <w:tcPr>
            <w:tcW w:w="1454" w:type="dxa"/>
            <w:vAlign w:val="top"/>
          </w:tcPr>
          <w:p w14:paraId="0B4A3FF8">
            <w:pPr>
              <w:rPr>
                <w:rFonts w:ascii="Arial"/>
                <w:sz w:val="21"/>
              </w:rPr>
            </w:pPr>
          </w:p>
        </w:tc>
        <w:tc>
          <w:tcPr>
            <w:tcW w:w="1454" w:type="dxa"/>
            <w:vAlign w:val="top"/>
          </w:tcPr>
          <w:p w14:paraId="42CD24DB">
            <w:pPr>
              <w:rPr>
                <w:rFonts w:ascii="Arial"/>
                <w:sz w:val="21"/>
              </w:rPr>
            </w:pPr>
          </w:p>
        </w:tc>
        <w:tc>
          <w:tcPr>
            <w:tcW w:w="1446" w:type="dxa"/>
            <w:vAlign w:val="top"/>
          </w:tcPr>
          <w:p w14:paraId="2D681575">
            <w:pPr>
              <w:pStyle w:val="6"/>
              <w:spacing w:before="242" w:line="142" w:lineRule="exact"/>
              <w:ind w:left="672"/>
              <w:rPr>
                <w:sz w:val="21"/>
                <w:szCs w:val="21"/>
              </w:rPr>
            </w:pPr>
            <w:r>
              <w:rPr>
                <w:position w:val="-10"/>
                <w:sz w:val="21"/>
                <w:szCs w:val="21"/>
              </w:rPr>
              <w:t>-</w:t>
            </w:r>
          </w:p>
        </w:tc>
      </w:tr>
      <w:tr w14:paraId="3AE1D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851" w:type="dxa"/>
            <w:vAlign w:val="top"/>
          </w:tcPr>
          <w:p w14:paraId="3B6BE914">
            <w:pPr>
              <w:pStyle w:val="6"/>
              <w:spacing w:before="128" w:line="220" w:lineRule="auto"/>
              <w:ind w:left="116"/>
              <w:rPr>
                <w:sz w:val="21"/>
                <w:szCs w:val="21"/>
              </w:rPr>
            </w:pPr>
            <w:r>
              <w:rPr>
                <w:spacing w:val="-2"/>
                <w:sz w:val="21"/>
                <w:szCs w:val="21"/>
              </w:rPr>
              <w:t>二．净资产</w:t>
            </w:r>
          </w:p>
        </w:tc>
        <w:tc>
          <w:tcPr>
            <w:tcW w:w="780" w:type="dxa"/>
            <w:vAlign w:val="top"/>
          </w:tcPr>
          <w:p w14:paraId="335D0F91">
            <w:pPr>
              <w:pStyle w:val="6"/>
              <w:spacing w:before="128" w:line="220" w:lineRule="auto"/>
              <w:ind w:left="189"/>
              <w:rPr>
                <w:sz w:val="21"/>
                <w:szCs w:val="21"/>
              </w:rPr>
            </w:pPr>
            <w:r>
              <w:rPr>
                <w:spacing w:val="-4"/>
                <w:sz w:val="21"/>
                <w:szCs w:val="21"/>
              </w:rPr>
              <w:t>万元</w:t>
            </w:r>
          </w:p>
        </w:tc>
        <w:tc>
          <w:tcPr>
            <w:tcW w:w="1440" w:type="dxa"/>
            <w:vAlign w:val="top"/>
          </w:tcPr>
          <w:p w14:paraId="76FCD5FC">
            <w:pPr>
              <w:rPr>
                <w:rFonts w:ascii="Arial"/>
                <w:sz w:val="21"/>
              </w:rPr>
            </w:pPr>
          </w:p>
        </w:tc>
        <w:tc>
          <w:tcPr>
            <w:tcW w:w="1454" w:type="dxa"/>
            <w:vAlign w:val="top"/>
          </w:tcPr>
          <w:p w14:paraId="653678CB">
            <w:pPr>
              <w:rPr>
                <w:rFonts w:ascii="Arial"/>
                <w:sz w:val="21"/>
              </w:rPr>
            </w:pPr>
          </w:p>
        </w:tc>
        <w:tc>
          <w:tcPr>
            <w:tcW w:w="1454" w:type="dxa"/>
            <w:vAlign w:val="top"/>
          </w:tcPr>
          <w:p w14:paraId="1FCCE300">
            <w:pPr>
              <w:rPr>
                <w:rFonts w:ascii="Arial"/>
                <w:sz w:val="21"/>
              </w:rPr>
            </w:pPr>
          </w:p>
        </w:tc>
        <w:tc>
          <w:tcPr>
            <w:tcW w:w="1446" w:type="dxa"/>
            <w:vAlign w:val="top"/>
          </w:tcPr>
          <w:p w14:paraId="21253310">
            <w:pPr>
              <w:pStyle w:val="6"/>
              <w:spacing w:before="228" w:line="141" w:lineRule="exact"/>
              <w:ind w:left="672"/>
              <w:rPr>
                <w:sz w:val="21"/>
                <w:szCs w:val="21"/>
              </w:rPr>
            </w:pPr>
            <w:r>
              <w:rPr>
                <w:position w:val="-10"/>
                <w:sz w:val="21"/>
                <w:szCs w:val="21"/>
              </w:rPr>
              <w:t>-</w:t>
            </w:r>
          </w:p>
        </w:tc>
      </w:tr>
      <w:tr w14:paraId="1093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851" w:type="dxa"/>
            <w:vAlign w:val="top"/>
          </w:tcPr>
          <w:p w14:paraId="4BDA376D">
            <w:pPr>
              <w:pStyle w:val="6"/>
              <w:spacing w:before="129" w:line="220" w:lineRule="auto"/>
              <w:ind w:left="113"/>
              <w:rPr>
                <w:sz w:val="21"/>
                <w:szCs w:val="21"/>
              </w:rPr>
            </w:pPr>
            <w:r>
              <w:rPr>
                <w:spacing w:val="-1"/>
                <w:sz w:val="21"/>
                <w:szCs w:val="21"/>
              </w:rPr>
              <w:t>三．总资产</w:t>
            </w:r>
          </w:p>
        </w:tc>
        <w:tc>
          <w:tcPr>
            <w:tcW w:w="780" w:type="dxa"/>
            <w:vAlign w:val="top"/>
          </w:tcPr>
          <w:p w14:paraId="2897CE1B">
            <w:pPr>
              <w:pStyle w:val="6"/>
              <w:spacing w:before="130" w:line="220" w:lineRule="auto"/>
              <w:ind w:left="189"/>
              <w:rPr>
                <w:sz w:val="21"/>
                <w:szCs w:val="21"/>
              </w:rPr>
            </w:pPr>
            <w:r>
              <w:rPr>
                <w:spacing w:val="-4"/>
                <w:sz w:val="21"/>
                <w:szCs w:val="21"/>
              </w:rPr>
              <w:t>万元</w:t>
            </w:r>
          </w:p>
        </w:tc>
        <w:tc>
          <w:tcPr>
            <w:tcW w:w="1440" w:type="dxa"/>
            <w:vAlign w:val="top"/>
          </w:tcPr>
          <w:p w14:paraId="69988864">
            <w:pPr>
              <w:rPr>
                <w:rFonts w:ascii="Arial"/>
                <w:sz w:val="21"/>
              </w:rPr>
            </w:pPr>
          </w:p>
        </w:tc>
        <w:tc>
          <w:tcPr>
            <w:tcW w:w="1454" w:type="dxa"/>
            <w:vAlign w:val="top"/>
          </w:tcPr>
          <w:p w14:paraId="26899C86">
            <w:pPr>
              <w:rPr>
                <w:rFonts w:ascii="Arial"/>
                <w:sz w:val="21"/>
              </w:rPr>
            </w:pPr>
          </w:p>
        </w:tc>
        <w:tc>
          <w:tcPr>
            <w:tcW w:w="1454" w:type="dxa"/>
            <w:vAlign w:val="top"/>
          </w:tcPr>
          <w:p w14:paraId="6673AAC2">
            <w:pPr>
              <w:rPr>
                <w:rFonts w:ascii="Arial"/>
                <w:sz w:val="21"/>
              </w:rPr>
            </w:pPr>
          </w:p>
        </w:tc>
        <w:tc>
          <w:tcPr>
            <w:tcW w:w="1446" w:type="dxa"/>
            <w:vAlign w:val="top"/>
          </w:tcPr>
          <w:p w14:paraId="5FCB3B86">
            <w:pPr>
              <w:rPr>
                <w:rFonts w:ascii="Arial"/>
                <w:sz w:val="21"/>
              </w:rPr>
            </w:pPr>
          </w:p>
        </w:tc>
      </w:tr>
      <w:tr w14:paraId="33B9B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46A428F9">
            <w:pPr>
              <w:pStyle w:val="6"/>
              <w:spacing w:before="146" w:line="220" w:lineRule="auto"/>
              <w:ind w:left="132"/>
              <w:rPr>
                <w:sz w:val="21"/>
                <w:szCs w:val="21"/>
              </w:rPr>
            </w:pPr>
            <w:r>
              <w:rPr>
                <w:spacing w:val="-4"/>
                <w:sz w:val="21"/>
                <w:szCs w:val="21"/>
              </w:rPr>
              <w:t>四．固定资产</w:t>
            </w:r>
          </w:p>
        </w:tc>
        <w:tc>
          <w:tcPr>
            <w:tcW w:w="780" w:type="dxa"/>
            <w:vAlign w:val="top"/>
          </w:tcPr>
          <w:p w14:paraId="79976BC6">
            <w:pPr>
              <w:pStyle w:val="6"/>
              <w:spacing w:before="146" w:line="220" w:lineRule="auto"/>
              <w:ind w:left="189"/>
              <w:rPr>
                <w:sz w:val="21"/>
                <w:szCs w:val="21"/>
              </w:rPr>
            </w:pPr>
            <w:r>
              <w:rPr>
                <w:spacing w:val="-4"/>
                <w:sz w:val="21"/>
                <w:szCs w:val="21"/>
              </w:rPr>
              <w:t>万元</w:t>
            </w:r>
          </w:p>
        </w:tc>
        <w:tc>
          <w:tcPr>
            <w:tcW w:w="1440" w:type="dxa"/>
            <w:vAlign w:val="top"/>
          </w:tcPr>
          <w:p w14:paraId="23DB7707">
            <w:pPr>
              <w:rPr>
                <w:rFonts w:ascii="Arial"/>
                <w:sz w:val="21"/>
              </w:rPr>
            </w:pPr>
          </w:p>
        </w:tc>
        <w:tc>
          <w:tcPr>
            <w:tcW w:w="1454" w:type="dxa"/>
            <w:vAlign w:val="top"/>
          </w:tcPr>
          <w:p w14:paraId="5F8A87A2">
            <w:pPr>
              <w:rPr>
                <w:rFonts w:ascii="Arial"/>
                <w:sz w:val="21"/>
              </w:rPr>
            </w:pPr>
          </w:p>
        </w:tc>
        <w:tc>
          <w:tcPr>
            <w:tcW w:w="1454" w:type="dxa"/>
            <w:vAlign w:val="top"/>
          </w:tcPr>
          <w:p w14:paraId="436ED201">
            <w:pPr>
              <w:rPr>
                <w:rFonts w:ascii="Arial"/>
                <w:sz w:val="21"/>
              </w:rPr>
            </w:pPr>
          </w:p>
        </w:tc>
        <w:tc>
          <w:tcPr>
            <w:tcW w:w="1446" w:type="dxa"/>
            <w:vAlign w:val="top"/>
          </w:tcPr>
          <w:p w14:paraId="685A64D7">
            <w:pPr>
              <w:pStyle w:val="6"/>
              <w:spacing w:before="246" w:line="141" w:lineRule="exact"/>
              <w:ind w:left="672"/>
              <w:rPr>
                <w:sz w:val="21"/>
                <w:szCs w:val="21"/>
              </w:rPr>
            </w:pPr>
            <w:r>
              <w:rPr>
                <w:position w:val="-10"/>
                <w:sz w:val="21"/>
                <w:szCs w:val="21"/>
              </w:rPr>
              <w:t>-</w:t>
            </w:r>
          </w:p>
        </w:tc>
      </w:tr>
      <w:tr w14:paraId="0F1AF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74FA3394">
            <w:pPr>
              <w:pStyle w:val="6"/>
              <w:spacing w:before="131" w:line="220" w:lineRule="auto"/>
              <w:ind w:left="116"/>
              <w:rPr>
                <w:sz w:val="21"/>
                <w:szCs w:val="21"/>
              </w:rPr>
            </w:pPr>
            <w:r>
              <w:rPr>
                <w:spacing w:val="-2"/>
                <w:sz w:val="21"/>
                <w:szCs w:val="21"/>
              </w:rPr>
              <w:t>五．流动资产</w:t>
            </w:r>
          </w:p>
        </w:tc>
        <w:tc>
          <w:tcPr>
            <w:tcW w:w="780" w:type="dxa"/>
            <w:vAlign w:val="top"/>
          </w:tcPr>
          <w:p w14:paraId="3847919B">
            <w:pPr>
              <w:pStyle w:val="6"/>
              <w:spacing w:before="132" w:line="220" w:lineRule="auto"/>
              <w:ind w:left="189"/>
              <w:rPr>
                <w:sz w:val="21"/>
                <w:szCs w:val="21"/>
              </w:rPr>
            </w:pPr>
            <w:r>
              <w:rPr>
                <w:spacing w:val="-4"/>
                <w:sz w:val="21"/>
                <w:szCs w:val="21"/>
              </w:rPr>
              <w:t>万元</w:t>
            </w:r>
          </w:p>
        </w:tc>
        <w:tc>
          <w:tcPr>
            <w:tcW w:w="1440" w:type="dxa"/>
            <w:vAlign w:val="top"/>
          </w:tcPr>
          <w:p w14:paraId="1B38BB1C">
            <w:pPr>
              <w:rPr>
                <w:rFonts w:ascii="Arial"/>
                <w:sz w:val="21"/>
              </w:rPr>
            </w:pPr>
          </w:p>
        </w:tc>
        <w:tc>
          <w:tcPr>
            <w:tcW w:w="1454" w:type="dxa"/>
            <w:vAlign w:val="top"/>
          </w:tcPr>
          <w:p w14:paraId="4410B19A">
            <w:pPr>
              <w:rPr>
                <w:rFonts w:ascii="Arial"/>
                <w:sz w:val="21"/>
              </w:rPr>
            </w:pPr>
          </w:p>
        </w:tc>
        <w:tc>
          <w:tcPr>
            <w:tcW w:w="1454" w:type="dxa"/>
            <w:vAlign w:val="top"/>
          </w:tcPr>
          <w:p w14:paraId="7E61099D">
            <w:pPr>
              <w:rPr>
                <w:rFonts w:ascii="Arial"/>
                <w:sz w:val="21"/>
              </w:rPr>
            </w:pPr>
          </w:p>
        </w:tc>
        <w:tc>
          <w:tcPr>
            <w:tcW w:w="1446" w:type="dxa"/>
            <w:vAlign w:val="top"/>
          </w:tcPr>
          <w:p w14:paraId="0C8A39B5">
            <w:pPr>
              <w:rPr>
                <w:rFonts w:ascii="Arial"/>
                <w:sz w:val="21"/>
              </w:rPr>
            </w:pPr>
          </w:p>
        </w:tc>
      </w:tr>
      <w:tr w14:paraId="751E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51" w:type="dxa"/>
            <w:vAlign w:val="top"/>
          </w:tcPr>
          <w:p w14:paraId="08735043">
            <w:pPr>
              <w:pStyle w:val="6"/>
              <w:spacing w:before="132" w:line="220" w:lineRule="auto"/>
              <w:ind w:left="114"/>
              <w:rPr>
                <w:sz w:val="21"/>
                <w:szCs w:val="21"/>
              </w:rPr>
            </w:pPr>
            <w:r>
              <w:rPr>
                <w:spacing w:val="-1"/>
                <w:sz w:val="21"/>
                <w:szCs w:val="21"/>
              </w:rPr>
              <w:t>六．流动负债</w:t>
            </w:r>
          </w:p>
        </w:tc>
        <w:tc>
          <w:tcPr>
            <w:tcW w:w="780" w:type="dxa"/>
            <w:vAlign w:val="top"/>
          </w:tcPr>
          <w:p w14:paraId="4B2E16C9">
            <w:pPr>
              <w:pStyle w:val="6"/>
              <w:spacing w:before="132" w:line="220" w:lineRule="auto"/>
              <w:ind w:left="189"/>
              <w:rPr>
                <w:sz w:val="21"/>
                <w:szCs w:val="21"/>
              </w:rPr>
            </w:pPr>
            <w:r>
              <w:rPr>
                <w:spacing w:val="-4"/>
                <w:sz w:val="21"/>
                <w:szCs w:val="21"/>
              </w:rPr>
              <w:t>万元</w:t>
            </w:r>
          </w:p>
        </w:tc>
        <w:tc>
          <w:tcPr>
            <w:tcW w:w="1440" w:type="dxa"/>
            <w:vAlign w:val="top"/>
          </w:tcPr>
          <w:p w14:paraId="145F8769">
            <w:pPr>
              <w:rPr>
                <w:rFonts w:ascii="Arial"/>
                <w:sz w:val="21"/>
              </w:rPr>
            </w:pPr>
          </w:p>
        </w:tc>
        <w:tc>
          <w:tcPr>
            <w:tcW w:w="1454" w:type="dxa"/>
            <w:vAlign w:val="top"/>
          </w:tcPr>
          <w:p w14:paraId="7822017A">
            <w:pPr>
              <w:rPr>
                <w:rFonts w:ascii="Arial"/>
                <w:sz w:val="21"/>
              </w:rPr>
            </w:pPr>
          </w:p>
        </w:tc>
        <w:tc>
          <w:tcPr>
            <w:tcW w:w="1454" w:type="dxa"/>
            <w:vAlign w:val="top"/>
          </w:tcPr>
          <w:p w14:paraId="40745513">
            <w:pPr>
              <w:rPr>
                <w:rFonts w:ascii="Arial"/>
                <w:sz w:val="21"/>
              </w:rPr>
            </w:pPr>
          </w:p>
        </w:tc>
        <w:tc>
          <w:tcPr>
            <w:tcW w:w="1446" w:type="dxa"/>
            <w:vAlign w:val="top"/>
          </w:tcPr>
          <w:p w14:paraId="0C1E44A0">
            <w:pPr>
              <w:rPr>
                <w:rFonts w:ascii="Arial"/>
                <w:sz w:val="21"/>
              </w:rPr>
            </w:pPr>
          </w:p>
        </w:tc>
      </w:tr>
      <w:tr w14:paraId="4118B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40BAD9F1">
            <w:pPr>
              <w:pStyle w:val="6"/>
              <w:spacing w:before="147" w:line="220" w:lineRule="auto"/>
              <w:ind w:left="112"/>
              <w:rPr>
                <w:sz w:val="21"/>
                <w:szCs w:val="21"/>
              </w:rPr>
            </w:pPr>
            <w:r>
              <w:rPr>
                <w:spacing w:val="-1"/>
                <w:sz w:val="21"/>
                <w:szCs w:val="21"/>
              </w:rPr>
              <w:t>七．负债合计</w:t>
            </w:r>
          </w:p>
        </w:tc>
        <w:tc>
          <w:tcPr>
            <w:tcW w:w="780" w:type="dxa"/>
            <w:vAlign w:val="top"/>
          </w:tcPr>
          <w:p w14:paraId="23378E43">
            <w:pPr>
              <w:pStyle w:val="6"/>
              <w:spacing w:before="148" w:line="220" w:lineRule="auto"/>
              <w:ind w:left="189"/>
              <w:rPr>
                <w:sz w:val="21"/>
                <w:szCs w:val="21"/>
              </w:rPr>
            </w:pPr>
            <w:r>
              <w:rPr>
                <w:spacing w:val="-4"/>
                <w:sz w:val="21"/>
                <w:szCs w:val="21"/>
              </w:rPr>
              <w:t>万元</w:t>
            </w:r>
          </w:p>
        </w:tc>
        <w:tc>
          <w:tcPr>
            <w:tcW w:w="1440" w:type="dxa"/>
            <w:vAlign w:val="top"/>
          </w:tcPr>
          <w:p w14:paraId="71D4993F">
            <w:pPr>
              <w:rPr>
                <w:rFonts w:ascii="Arial"/>
                <w:sz w:val="21"/>
              </w:rPr>
            </w:pPr>
          </w:p>
        </w:tc>
        <w:tc>
          <w:tcPr>
            <w:tcW w:w="1454" w:type="dxa"/>
            <w:vAlign w:val="top"/>
          </w:tcPr>
          <w:p w14:paraId="491EB411">
            <w:pPr>
              <w:rPr>
                <w:rFonts w:ascii="Arial"/>
                <w:sz w:val="21"/>
              </w:rPr>
            </w:pPr>
          </w:p>
        </w:tc>
        <w:tc>
          <w:tcPr>
            <w:tcW w:w="1454" w:type="dxa"/>
            <w:vAlign w:val="top"/>
          </w:tcPr>
          <w:p w14:paraId="5F7AE6C2">
            <w:pPr>
              <w:rPr>
                <w:rFonts w:ascii="Arial"/>
                <w:sz w:val="21"/>
              </w:rPr>
            </w:pPr>
          </w:p>
        </w:tc>
        <w:tc>
          <w:tcPr>
            <w:tcW w:w="1446" w:type="dxa"/>
            <w:vAlign w:val="top"/>
          </w:tcPr>
          <w:p w14:paraId="41161B11">
            <w:pPr>
              <w:rPr>
                <w:rFonts w:ascii="Arial"/>
                <w:sz w:val="21"/>
              </w:rPr>
            </w:pPr>
          </w:p>
        </w:tc>
      </w:tr>
      <w:tr w14:paraId="09FB4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851" w:type="dxa"/>
            <w:vAlign w:val="top"/>
          </w:tcPr>
          <w:p w14:paraId="53874D5D">
            <w:pPr>
              <w:pStyle w:val="6"/>
              <w:spacing w:before="133" w:line="220" w:lineRule="auto"/>
              <w:ind w:left="116"/>
              <w:rPr>
                <w:sz w:val="21"/>
                <w:szCs w:val="21"/>
              </w:rPr>
            </w:pPr>
            <w:r>
              <w:rPr>
                <w:spacing w:val="-1"/>
                <w:sz w:val="21"/>
                <w:szCs w:val="21"/>
              </w:rPr>
              <w:t>八．营业收入</w:t>
            </w:r>
          </w:p>
        </w:tc>
        <w:tc>
          <w:tcPr>
            <w:tcW w:w="780" w:type="dxa"/>
            <w:vAlign w:val="top"/>
          </w:tcPr>
          <w:p w14:paraId="08F5A602">
            <w:pPr>
              <w:pStyle w:val="6"/>
              <w:spacing w:before="133" w:line="220" w:lineRule="auto"/>
              <w:ind w:left="189"/>
              <w:rPr>
                <w:sz w:val="21"/>
                <w:szCs w:val="21"/>
              </w:rPr>
            </w:pPr>
            <w:r>
              <w:rPr>
                <w:spacing w:val="-4"/>
                <w:sz w:val="21"/>
                <w:szCs w:val="21"/>
              </w:rPr>
              <w:t>万元</w:t>
            </w:r>
          </w:p>
        </w:tc>
        <w:tc>
          <w:tcPr>
            <w:tcW w:w="1440" w:type="dxa"/>
            <w:vAlign w:val="top"/>
          </w:tcPr>
          <w:p w14:paraId="42D3D0CF">
            <w:pPr>
              <w:rPr>
                <w:rFonts w:ascii="Arial"/>
                <w:sz w:val="21"/>
              </w:rPr>
            </w:pPr>
          </w:p>
        </w:tc>
        <w:tc>
          <w:tcPr>
            <w:tcW w:w="1454" w:type="dxa"/>
            <w:vAlign w:val="top"/>
          </w:tcPr>
          <w:p w14:paraId="386636DF">
            <w:pPr>
              <w:rPr>
                <w:rFonts w:ascii="Arial"/>
                <w:sz w:val="21"/>
              </w:rPr>
            </w:pPr>
          </w:p>
        </w:tc>
        <w:tc>
          <w:tcPr>
            <w:tcW w:w="1454" w:type="dxa"/>
            <w:vAlign w:val="top"/>
          </w:tcPr>
          <w:p w14:paraId="3D6EA037">
            <w:pPr>
              <w:rPr>
                <w:rFonts w:ascii="Arial"/>
                <w:sz w:val="21"/>
              </w:rPr>
            </w:pPr>
          </w:p>
        </w:tc>
        <w:tc>
          <w:tcPr>
            <w:tcW w:w="1446" w:type="dxa"/>
            <w:vAlign w:val="top"/>
          </w:tcPr>
          <w:p w14:paraId="7BE39759">
            <w:pPr>
              <w:rPr>
                <w:rFonts w:ascii="Arial"/>
                <w:sz w:val="21"/>
              </w:rPr>
            </w:pPr>
          </w:p>
        </w:tc>
      </w:tr>
      <w:tr w14:paraId="70693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851" w:type="dxa"/>
            <w:vAlign w:val="top"/>
          </w:tcPr>
          <w:p w14:paraId="69A6927F">
            <w:pPr>
              <w:pStyle w:val="6"/>
              <w:spacing w:before="135" w:line="220" w:lineRule="auto"/>
              <w:ind w:left="118"/>
              <w:rPr>
                <w:sz w:val="21"/>
                <w:szCs w:val="21"/>
              </w:rPr>
            </w:pPr>
            <w:r>
              <w:rPr>
                <w:spacing w:val="-2"/>
                <w:sz w:val="21"/>
                <w:szCs w:val="21"/>
              </w:rPr>
              <w:t>九．净利润</w:t>
            </w:r>
          </w:p>
        </w:tc>
        <w:tc>
          <w:tcPr>
            <w:tcW w:w="780" w:type="dxa"/>
            <w:vAlign w:val="top"/>
          </w:tcPr>
          <w:p w14:paraId="1B924427">
            <w:pPr>
              <w:pStyle w:val="6"/>
              <w:spacing w:before="135" w:line="220" w:lineRule="auto"/>
              <w:ind w:left="189"/>
              <w:rPr>
                <w:sz w:val="21"/>
                <w:szCs w:val="21"/>
              </w:rPr>
            </w:pPr>
            <w:r>
              <w:rPr>
                <w:spacing w:val="-4"/>
                <w:sz w:val="21"/>
                <w:szCs w:val="21"/>
              </w:rPr>
              <w:t>万元</w:t>
            </w:r>
          </w:p>
        </w:tc>
        <w:tc>
          <w:tcPr>
            <w:tcW w:w="1440" w:type="dxa"/>
            <w:vAlign w:val="top"/>
          </w:tcPr>
          <w:p w14:paraId="5E6C99D9">
            <w:pPr>
              <w:rPr>
                <w:rFonts w:ascii="Arial"/>
                <w:sz w:val="21"/>
              </w:rPr>
            </w:pPr>
          </w:p>
        </w:tc>
        <w:tc>
          <w:tcPr>
            <w:tcW w:w="1454" w:type="dxa"/>
            <w:vAlign w:val="top"/>
          </w:tcPr>
          <w:p w14:paraId="0F3E8E4A">
            <w:pPr>
              <w:rPr>
                <w:rFonts w:ascii="Arial"/>
                <w:sz w:val="21"/>
              </w:rPr>
            </w:pPr>
          </w:p>
        </w:tc>
        <w:tc>
          <w:tcPr>
            <w:tcW w:w="1454" w:type="dxa"/>
            <w:vAlign w:val="top"/>
          </w:tcPr>
          <w:p w14:paraId="683D8480">
            <w:pPr>
              <w:rPr>
                <w:rFonts w:ascii="Arial"/>
                <w:sz w:val="21"/>
              </w:rPr>
            </w:pPr>
          </w:p>
        </w:tc>
        <w:tc>
          <w:tcPr>
            <w:tcW w:w="1446" w:type="dxa"/>
            <w:vAlign w:val="top"/>
          </w:tcPr>
          <w:p w14:paraId="1027F40D">
            <w:pPr>
              <w:pStyle w:val="6"/>
              <w:spacing w:before="234" w:line="142" w:lineRule="exact"/>
              <w:ind w:left="672"/>
              <w:rPr>
                <w:sz w:val="21"/>
                <w:szCs w:val="21"/>
              </w:rPr>
            </w:pPr>
            <w:r>
              <w:rPr>
                <w:position w:val="-10"/>
                <w:sz w:val="21"/>
                <w:szCs w:val="21"/>
              </w:rPr>
              <w:t>-</w:t>
            </w:r>
          </w:p>
        </w:tc>
      </w:tr>
      <w:tr w14:paraId="259B1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6D29D777">
            <w:pPr>
              <w:pStyle w:val="6"/>
              <w:spacing w:before="151" w:line="220" w:lineRule="auto"/>
              <w:ind w:left="114"/>
              <w:rPr>
                <w:sz w:val="21"/>
                <w:szCs w:val="21"/>
              </w:rPr>
            </w:pPr>
            <w:r>
              <w:rPr>
                <w:spacing w:val="-9"/>
                <w:sz w:val="21"/>
                <w:szCs w:val="21"/>
              </w:rPr>
              <w:t>十．现金流量净额</w:t>
            </w:r>
          </w:p>
        </w:tc>
        <w:tc>
          <w:tcPr>
            <w:tcW w:w="780" w:type="dxa"/>
            <w:vAlign w:val="top"/>
          </w:tcPr>
          <w:p w14:paraId="2FE6F9FC">
            <w:pPr>
              <w:pStyle w:val="6"/>
              <w:spacing w:before="151" w:line="220" w:lineRule="auto"/>
              <w:ind w:left="189"/>
              <w:rPr>
                <w:sz w:val="21"/>
                <w:szCs w:val="21"/>
              </w:rPr>
            </w:pPr>
            <w:r>
              <w:rPr>
                <w:spacing w:val="-4"/>
                <w:sz w:val="21"/>
                <w:szCs w:val="21"/>
              </w:rPr>
              <w:t>万元</w:t>
            </w:r>
          </w:p>
        </w:tc>
        <w:tc>
          <w:tcPr>
            <w:tcW w:w="1440" w:type="dxa"/>
            <w:vAlign w:val="top"/>
          </w:tcPr>
          <w:p w14:paraId="6003FCBE">
            <w:pPr>
              <w:rPr>
                <w:rFonts w:ascii="Arial"/>
                <w:sz w:val="21"/>
              </w:rPr>
            </w:pPr>
          </w:p>
        </w:tc>
        <w:tc>
          <w:tcPr>
            <w:tcW w:w="1454" w:type="dxa"/>
            <w:vAlign w:val="top"/>
          </w:tcPr>
          <w:p w14:paraId="5658DFD2">
            <w:pPr>
              <w:rPr>
                <w:rFonts w:ascii="Arial"/>
                <w:sz w:val="21"/>
              </w:rPr>
            </w:pPr>
          </w:p>
        </w:tc>
        <w:tc>
          <w:tcPr>
            <w:tcW w:w="1454" w:type="dxa"/>
            <w:vAlign w:val="top"/>
          </w:tcPr>
          <w:p w14:paraId="3E175B8E">
            <w:pPr>
              <w:rPr>
                <w:rFonts w:ascii="Arial"/>
                <w:sz w:val="21"/>
              </w:rPr>
            </w:pPr>
          </w:p>
        </w:tc>
        <w:tc>
          <w:tcPr>
            <w:tcW w:w="1446" w:type="dxa"/>
            <w:vAlign w:val="top"/>
          </w:tcPr>
          <w:p w14:paraId="015870B4">
            <w:pPr>
              <w:pStyle w:val="6"/>
              <w:spacing w:before="251" w:line="141" w:lineRule="exact"/>
              <w:ind w:left="672"/>
              <w:rPr>
                <w:sz w:val="21"/>
                <w:szCs w:val="21"/>
              </w:rPr>
            </w:pPr>
            <w:r>
              <w:rPr>
                <w:position w:val="-10"/>
                <w:sz w:val="21"/>
                <w:szCs w:val="21"/>
              </w:rPr>
              <w:t>-</w:t>
            </w:r>
          </w:p>
        </w:tc>
      </w:tr>
      <w:tr w14:paraId="0B612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1851" w:type="dxa"/>
            <w:vAlign w:val="top"/>
          </w:tcPr>
          <w:p w14:paraId="10C749F2">
            <w:pPr>
              <w:pStyle w:val="6"/>
              <w:spacing w:before="47" w:line="245" w:lineRule="auto"/>
              <w:ind w:left="114" w:right="108"/>
              <w:rPr>
                <w:sz w:val="21"/>
                <w:szCs w:val="21"/>
              </w:rPr>
            </w:pPr>
            <w:r>
              <w:rPr>
                <w:spacing w:val="-9"/>
                <w:sz w:val="21"/>
                <w:szCs w:val="21"/>
              </w:rPr>
              <w:t>十一．主要财务指</w:t>
            </w:r>
            <w:r>
              <w:rPr>
                <w:sz w:val="21"/>
                <w:szCs w:val="21"/>
              </w:rPr>
              <w:t>标</w:t>
            </w:r>
          </w:p>
        </w:tc>
        <w:tc>
          <w:tcPr>
            <w:tcW w:w="780" w:type="dxa"/>
            <w:vAlign w:val="top"/>
          </w:tcPr>
          <w:p w14:paraId="670392AD">
            <w:pPr>
              <w:rPr>
                <w:rFonts w:ascii="Arial"/>
                <w:sz w:val="21"/>
              </w:rPr>
            </w:pPr>
          </w:p>
        </w:tc>
        <w:tc>
          <w:tcPr>
            <w:tcW w:w="1440" w:type="dxa"/>
            <w:vAlign w:val="top"/>
          </w:tcPr>
          <w:p w14:paraId="00FE508E">
            <w:pPr>
              <w:rPr>
                <w:rFonts w:ascii="Arial"/>
                <w:sz w:val="21"/>
              </w:rPr>
            </w:pPr>
          </w:p>
        </w:tc>
        <w:tc>
          <w:tcPr>
            <w:tcW w:w="1454" w:type="dxa"/>
            <w:vAlign w:val="top"/>
          </w:tcPr>
          <w:p w14:paraId="2367FFCA">
            <w:pPr>
              <w:rPr>
                <w:rFonts w:ascii="Arial"/>
                <w:sz w:val="21"/>
              </w:rPr>
            </w:pPr>
          </w:p>
        </w:tc>
        <w:tc>
          <w:tcPr>
            <w:tcW w:w="1454" w:type="dxa"/>
            <w:vAlign w:val="top"/>
          </w:tcPr>
          <w:p w14:paraId="54AB09E3">
            <w:pPr>
              <w:rPr>
                <w:rFonts w:ascii="Arial"/>
                <w:sz w:val="21"/>
              </w:rPr>
            </w:pPr>
          </w:p>
        </w:tc>
        <w:tc>
          <w:tcPr>
            <w:tcW w:w="1446" w:type="dxa"/>
            <w:vAlign w:val="top"/>
          </w:tcPr>
          <w:p w14:paraId="67C2BB73">
            <w:pPr>
              <w:pStyle w:val="6"/>
              <w:spacing w:before="296" w:line="142" w:lineRule="exact"/>
              <w:ind w:left="672"/>
              <w:rPr>
                <w:sz w:val="21"/>
                <w:szCs w:val="21"/>
              </w:rPr>
            </w:pPr>
            <w:r>
              <w:rPr>
                <w:position w:val="-10"/>
                <w:sz w:val="21"/>
                <w:szCs w:val="21"/>
              </w:rPr>
              <w:t>-</w:t>
            </w:r>
          </w:p>
        </w:tc>
      </w:tr>
      <w:tr w14:paraId="6F7EA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851" w:type="dxa"/>
            <w:vAlign w:val="top"/>
          </w:tcPr>
          <w:p w14:paraId="40A0B6FA">
            <w:pPr>
              <w:pStyle w:val="6"/>
              <w:spacing w:before="152" w:line="220" w:lineRule="auto"/>
              <w:ind w:left="128"/>
              <w:rPr>
                <w:sz w:val="21"/>
                <w:szCs w:val="21"/>
              </w:rPr>
            </w:pPr>
            <w:r>
              <w:rPr>
                <w:spacing w:val="-3"/>
                <w:sz w:val="21"/>
                <w:szCs w:val="21"/>
              </w:rPr>
              <w:t>1．净资产收益率</w:t>
            </w:r>
          </w:p>
        </w:tc>
        <w:tc>
          <w:tcPr>
            <w:tcW w:w="780" w:type="dxa"/>
            <w:vAlign w:val="top"/>
          </w:tcPr>
          <w:p w14:paraId="72ADF9AE">
            <w:pPr>
              <w:spacing w:before="187" w:line="229" w:lineRule="auto"/>
              <w:ind w:left="303"/>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440" w:type="dxa"/>
            <w:vAlign w:val="top"/>
          </w:tcPr>
          <w:p w14:paraId="179C9770">
            <w:pPr>
              <w:rPr>
                <w:rFonts w:ascii="Arial"/>
                <w:sz w:val="21"/>
              </w:rPr>
            </w:pPr>
          </w:p>
        </w:tc>
        <w:tc>
          <w:tcPr>
            <w:tcW w:w="1454" w:type="dxa"/>
            <w:vAlign w:val="top"/>
          </w:tcPr>
          <w:p w14:paraId="671C1BFA">
            <w:pPr>
              <w:rPr>
                <w:rFonts w:ascii="Arial"/>
                <w:sz w:val="21"/>
              </w:rPr>
            </w:pPr>
          </w:p>
        </w:tc>
        <w:tc>
          <w:tcPr>
            <w:tcW w:w="1454" w:type="dxa"/>
            <w:vAlign w:val="top"/>
          </w:tcPr>
          <w:p w14:paraId="6C281E38">
            <w:pPr>
              <w:rPr>
                <w:rFonts w:ascii="Arial"/>
                <w:sz w:val="21"/>
              </w:rPr>
            </w:pPr>
          </w:p>
        </w:tc>
        <w:tc>
          <w:tcPr>
            <w:tcW w:w="1446" w:type="dxa"/>
            <w:vAlign w:val="top"/>
          </w:tcPr>
          <w:p w14:paraId="37A03360">
            <w:pPr>
              <w:rPr>
                <w:rFonts w:ascii="Arial"/>
                <w:sz w:val="21"/>
              </w:rPr>
            </w:pPr>
          </w:p>
        </w:tc>
      </w:tr>
      <w:tr w14:paraId="06006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7BCEE1C9">
            <w:pPr>
              <w:pStyle w:val="6"/>
              <w:spacing w:before="138" w:line="220" w:lineRule="auto"/>
              <w:ind w:left="115"/>
              <w:rPr>
                <w:sz w:val="21"/>
                <w:szCs w:val="21"/>
              </w:rPr>
            </w:pPr>
            <w:r>
              <w:rPr>
                <w:spacing w:val="-1"/>
                <w:sz w:val="21"/>
                <w:szCs w:val="21"/>
              </w:rPr>
              <w:t>2．总资产报酬率</w:t>
            </w:r>
          </w:p>
        </w:tc>
        <w:tc>
          <w:tcPr>
            <w:tcW w:w="780" w:type="dxa"/>
            <w:vAlign w:val="top"/>
          </w:tcPr>
          <w:p w14:paraId="4F50F7AE">
            <w:pPr>
              <w:spacing w:before="189" w:line="229" w:lineRule="auto"/>
              <w:ind w:left="303"/>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440" w:type="dxa"/>
            <w:vAlign w:val="top"/>
          </w:tcPr>
          <w:p w14:paraId="4EAE0E1D">
            <w:pPr>
              <w:rPr>
                <w:rFonts w:ascii="Arial"/>
                <w:sz w:val="21"/>
              </w:rPr>
            </w:pPr>
          </w:p>
        </w:tc>
        <w:tc>
          <w:tcPr>
            <w:tcW w:w="1454" w:type="dxa"/>
            <w:vAlign w:val="top"/>
          </w:tcPr>
          <w:p w14:paraId="06FA2B8D">
            <w:pPr>
              <w:rPr>
                <w:rFonts w:ascii="Arial"/>
                <w:sz w:val="21"/>
              </w:rPr>
            </w:pPr>
          </w:p>
        </w:tc>
        <w:tc>
          <w:tcPr>
            <w:tcW w:w="1454" w:type="dxa"/>
            <w:vAlign w:val="top"/>
          </w:tcPr>
          <w:p w14:paraId="6AAF8DC9">
            <w:pPr>
              <w:rPr>
                <w:rFonts w:ascii="Arial"/>
                <w:sz w:val="21"/>
              </w:rPr>
            </w:pPr>
          </w:p>
        </w:tc>
        <w:tc>
          <w:tcPr>
            <w:tcW w:w="1446" w:type="dxa"/>
            <w:vAlign w:val="top"/>
          </w:tcPr>
          <w:p w14:paraId="59A81418">
            <w:pPr>
              <w:rPr>
                <w:rFonts w:ascii="Arial"/>
                <w:sz w:val="21"/>
              </w:rPr>
            </w:pPr>
          </w:p>
        </w:tc>
      </w:tr>
      <w:tr w14:paraId="4EDB1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1851" w:type="dxa"/>
            <w:vAlign w:val="top"/>
          </w:tcPr>
          <w:p w14:paraId="70E486AC">
            <w:pPr>
              <w:pStyle w:val="6"/>
              <w:spacing w:before="32" w:line="251" w:lineRule="auto"/>
              <w:ind w:left="114" w:right="123" w:firstLine="2"/>
              <w:rPr>
                <w:sz w:val="21"/>
                <w:szCs w:val="21"/>
              </w:rPr>
            </w:pPr>
            <w:r>
              <w:rPr>
                <w:spacing w:val="2"/>
                <w:sz w:val="21"/>
                <w:szCs w:val="21"/>
              </w:rPr>
              <w:t>3．主营业务利润</w:t>
            </w:r>
            <w:r>
              <w:rPr>
                <w:sz w:val="21"/>
                <w:szCs w:val="21"/>
              </w:rPr>
              <w:t>率</w:t>
            </w:r>
          </w:p>
        </w:tc>
        <w:tc>
          <w:tcPr>
            <w:tcW w:w="780" w:type="dxa"/>
            <w:vAlign w:val="top"/>
          </w:tcPr>
          <w:p w14:paraId="1934CE3C">
            <w:pPr>
              <w:spacing w:before="174" w:line="229" w:lineRule="auto"/>
              <w:ind w:left="303"/>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440" w:type="dxa"/>
            <w:vAlign w:val="top"/>
          </w:tcPr>
          <w:p w14:paraId="372069FD">
            <w:pPr>
              <w:rPr>
                <w:rFonts w:ascii="Arial"/>
                <w:sz w:val="21"/>
              </w:rPr>
            </w:pPr>
          </w:p>
        </w:tc>
        <w:tc>
          <w:tcPr>
            <w:tcW w:w="1454" w:type="dxa"/>
            <w:vAlign w:val="top"/>
          </w:tcPr>
          <w:p w14:paraId="48AE747D">
            <w:pPr>
              <w:rPr>
                <w:rFonts w:ascii="Arial"/>
                <w:sz w:val="21"/>
              </w:rPr>
            </w:pPr>
          </w:p>
        </w:tc>
        <w:tc>
          <w:tcPr>
            <w:tcW w:w="1454" w:type="dxa"/>
            <w:vAlign w:val="top"/>
          </w:tcPr>
          <w:p w14:paraId="65B4FCA9">
            <w:pPr>
              <w:rPr>
                <w:rFonts w:ascii="Arial"/>
                <w:sz w:val="21"/>
              </w:rPr>
            </w:pPr>
          </w:p>
        </w:tc>
        <w:tc>
          <w:tcPr>
            <w:tcW w:w="1446" w:type="dxa"/>
            <w:vAlign w:val="top"/>
          </w:tcPr>
          <w:p w14:paraId="0C4006C4">
            <w:pPr>
              <w:pStyle w:val="6"/>
              <w:spacing w:before="299" w:line="141" w:lineRule="exact"/>
              <w:ind w:left="672"/>
              <w:rPr>
                <w:sz w:val="21"/>
                <w:szCs w:val="21"/>
              </w:rPr>
            </w:pPr>
            <w:r>
              <w:rPr>
                <w:position w:val="-10"/>
                <w:sz w:val="21"/>
                <w:szCs w:val="21"/>
              </w:rPr>
              <w:t>-</w:t>
            </w:r>
          </w:p>
        </w:tc>
      </w:tr>
      <w:tr w14:paraId="34282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851" w:type="dxa"/>
            <w:vAlign w:val="top"/>
          </w:tcPr>
          <w:p w14:paraId="06E1F6CD">
            <w:pPr>
              <w:pStyle w:val="6"/>
              <w:spacing w:before="140" w:line="220" w:lineRule="auto"/>
              <w:ind w:left="112"/>
              <w:rPr>
                <w:sz w:val="21"/>
                <w:szCs w:val="21"/>
              </w:rPr>
            </w:pPr>
            <w:r>
              <w:rPr>
                <w:spacing w:val="-1"/>
                <w:sz w:val="21"/>
                <w:szCs w:val="21"/>
              </w:rPr>
              <w:t>4．资产负债率</w:t>
            </w:r>
          </w:p>
        </w:tc>
        <w:tc>
          <w:tcPr>
            <w:tcW w:w="780" w:type="dxa"/>
            <w:vAlign w:val="top"/>
          </w:tcPr>
          <w:p w14:paraId="67ABF202">
            <w:pPr>
              <w:spacing w:before="191" w:line="229" w:lineRule="auto"/>
              <w:ind w:left="303"/>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440" w:type="dxa"/>
            <w:vAlign w:val="top"/>
          </w:tcPr>
          <w:p w14:paraId="43814537">
            <w:pPr>
              <w:rPr>
                <w:rFonts w:ascii="Arial"/>
                <w:sz w:val="21"/>
              </w:rPr>
            </w:pPr>
          </w:p>
        </w:tc>
        <w:tc>
          <w:tcPr>
            <w:tcW w:w="1454" w:type="dxa"/>
            <w:vAlign w:val="top"/>
          </w:tcPr>
          <w:p w14:paraId="26794FAF">
            <w:pPr>
              <w:rPr>
                <w:rFonts w:ascii="Arial"/>
                <w:sz w:val="21"/>
              </w:rPr>
            </w:pPr>
          </w:p>
        </w:tc>
        <w:tc>
          <w:tcPr>
            <w:tcW w:w="1454" w:type="dxa"/>
            <w:vAlign w:val="top"/>
          </w:tcPr>
          <w:p w14:paraId="68FDEF44">
            <w:pPr>
              <w:rPr>
                <w:rFonts w:ascii="Arial"/>
                <w:sz w:val="21"/>
              </w:rPr>
            </w:pPr>
          </w:p>
        </w:tc>
        <w:tc>
          <w:tcPr>
            <w:tcW w:w="1446" w:type="dxa"/>
            <w:vAlign w:val="top"/>
          </w:tcPr>
          <w:p w14:paraId="74B2DFA8">
            <w:pPr>
              <w:rPr>
                <w:rFonts w:ascii="Arial"/>
                <w:sz w:val="21"/>
              </w:rPr>
            </w:pPr>
          </w:p>
        </w:tc>
      </w:tr>
      <w:tr w14:paraId="6C0D7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851" w:type="dxa"/>
            <w:vAlign w:val="top"/>
          </w:tcPr>
          <w:p w14:paraId="45C4849C">
            <w:pPr>
              <w:pStyle w:val="6"/>
              <w:spacing w:before="141" w:line="220" w:lineRule="auto"/>
              <w:ind w:left="117"/>
              <w:rPr>
                <w:sz w:val="21"/>
                <w:szCs w:val="21"/>
              </w:rPr>
            </w:pPr>
            <w:r>
              <w:rPr>
                <w:spacing w:val="-2"/>
                <w:sz w:val="21"/>
                <w:szCs w:val="21"/>
              </w:rPr>
              <w:t>5．流动比率</w:t>
            </w:r>
          </w:p>
        </w:tc>
        <w:tc>
          <w:tcPr>
            <w:tcW w:w="780" w:type="dxa"/>
            <w:vAlign w:val="top"/>
          </w:tcPr>
          <w:p w14:paraId="0AB8C621">
            <w:pPr>
              <w:spacing w:before="176" w:line="229" w:lineRule="auto"/>
              <w:ind w:left="303"/>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440" w:type="dxa"/>
            <w:vAlign w:val="top"/>
          </w:tcPr>
          <w:p w14:paraId="251A2873">
            <w:pPr>
              <w:rPr>
                <w:rFonts w:ascii="Arial"/>
                <w:sz w:val="21"/>
              </w:rPr>
            </w:pPr>
          </w:p>
        </w:tc>
        <w:tc>
          <w:tcPr>
            <w:tcW w:w="1454" w:type="dxa"/>
            <w:vAlign w:val="top"/>
          </w:tcPr>
          <w:p w14:paraId="68E1A1F1">
            <w:pPr>
              <w:rPr>
                <w:rFonts w:ascii="Arial"/>
                <w:sz w:val="21"/>
              </w:rPr>
            </w:pPr>
          </w:p>
        </w:tc>
        <w:tc>
          <w:tcPr>
            <w:tcW w:w="1454" w:type="dxa"/>
            <w:vAlign w:val="top"/>
          </w:tcPr>
          <w:p w14:paraId="23404D04">
            <w:pPr>
              <w:rPr>
                <w:rFonts w:ascii="Arial"/>
                <w:sz w:val="21"/>
              </w:rPr>
            </w:pPr>
          </w:p>
        </w:tc>
        <w:tc>
          <w:tcPr>
            <w:tcW w:w="1446" w:type="dxa"/>
            <w:vAlign w:val="top"/>
          </w:tcPr>
          <w:p w14:paraId="4EA65CD9">
            <w:pPr>
              <w:rPr>
                <w:rFonts w:ascii="Arial"/>
                <w:sz w:val="21"/>
              </w:rPr>
            </w:pPr>
          </w:p>
        </w:tc>
      </w:tr>
      <w:tr w14:paraId="376C2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851" w:type="dxa"/>
            <w:vAlign w:val="top"/>
          </w:tcPr>
          <w:p w14:paraId="7DA7F01F">
            <w:pPr>
              <w:pStyle w:val="6"/>
              <w:spacing w:before="156" w:line="220" w:lineRule="auto"/>
              <w:ind w:left="114"/>
              <w:rPr>
                <w:sz w:val="21"/>
                <w:szCs w:val="21"/>
              </w:rPr>
            </w:pPr>
            <w:r>
              <w:rPr>
                <w:spacing w:val="-2"/>
                <w:sz w:val="21"/>
                <w:szCs w:val="21"/>
              </w:rPr>
              <w:t>6．速动比率</w:t>
            </w:r>
          </w:p>
        </w:tc>
        <w:tc>
          <w:tcPr>
            <w:tcW w:w="780" w:type="dxa"/>
            <w:vAlign w:val="top"/>
          </w:tcPr>
          <w:p w14:paraId="26D644A6">
            <w:pPr>
              <w:spacing w:before="192" w:line="229" w:lineRule="auto"/>
              <w:ind w:left="303"/>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440" w:type="dxa"/>
            <w:vAlign w:val="top"/>
          </w:tcPr>
          <w:p w14:paraId="559FB3E2">
            <w:pPr>
              <w:rPr>
                <w:rFonts w:ascii="Arial"/>
                <w:sz w:val="21"/>
              </w:rPr>
            </w:pPr>
          </w:p>
        </w:tc>
        <w:tc>
          <w:tcPr>
            <w:tcW w:w="1454" w:type="dxa"/>
            <w:vAlign w:val="top"/>
          </w:tcPr>
          <w:p w14:paraId="200C479D">
            <w:pPr>
              <w:rPr>
                <w:rFonts w:ascii="Arial"/>
                <w:sz w:val="21"/>
              </w:rPr>
            </w:pPr>
          </w:p>
        </w:tc>
        <w:tc>
          <w:tcPr>
            <w:tcW w:w="1454" w:type="dxa"/>
            <w:vAlign w:val="top"/>
          </w:tcPr>
          <w:p w14:paraId="7E4A6C0F">
            <w:pPr>
              <w:rPr>
                <w:rFonts w:ascii="Arial"/>
                <w:sz w:val="21"/>
              </w:rPr>
            </w:pPr>
          </w:p>
        </w:tc>
        <w:tc>
          <w:tcPr>
            <w:tcW w:w="1446" w:type="dxa"/>
            <w:vAlign w:val="top"/>
          </w:tcPr>
          <w:p w14:paraId="1D7F2E79">
            <w:pPr>
              <w:rPr>
                <w:rFonts w:ascii="Arial"/>
                <w:sz w:val="21"/>
              </w:rPr>
            </w:pPr>
          </w:p>
        </w:tc>
      </w:tr>
    </w:tbl>
    <w:p w14:paraId="10412EBA">
      <w:pPr>
        <w:pStyle w:val="2"/>
        <w:spacing w:line="319" w:lineRule="auto"/>
      </w:pPr>
    </w:p>
    <w:p w14:paraId="1A09CE2B">
      <w:pPr>
        <w:spacing w:before="69" w:line="286" w:lineRule="auto"/>
        <w:ind w:left="970" w:right="88" w:hanging="946"/>
        <w:rPr>
          <w:rFonts w:ascii="宋体" w:hAnsi="宋体" w:eastAsia="宋体" w:cs="宋体"/>
          <w:sz w:val="21"/>
          <w:szCs w:val="21"/>
        </w:rPr>
      </w:pPr>
      <w:r>
        <w:rPr>
          <w:rFonts w:ascii="黑体" w:hAnsi="黑体" w:eastAsia="黑体" w:cs="黑体"/>
          <w:spacing w:val="-2"/>
          <w:sz w:val="21"/>
          <w:szCs w:val="21"/>
        </w:rPr>
        <w:t>备注：</w:t>
      </w:r>
      <w:r>
        <w:rPr>
          <w:rFonts w:ascii="宋体" w:hAnsi="宋体" w:eastAsia="宋体" w:cs="宋体"/>
          <w:spacing w:val="-2"/>
          <w:sz w:val="21"/>
          <w:szCs w:val="21"/>
        </w:rPr>
        <w:t>1．“近年”见第二章投标人须知前附表第3.5.2项。本表后应附近年经会计师事务所</w:t>
      </w:r>
      <w:r>
        <w:rPr>
          <w:rFonts w:ascii="宋体" w:hAnsi="宋体" w:eastAsia="宋体" w:cs="宋体"/>
          <w:sz w:val="21"/>
          <w:szCs w:val="21"/>
        </w:rPr>
        <w:t>或审计机构审计的财务会计报表，包括资产负债表、现金流量表、利润表和财务</w:t>
      </w:r>
      <w:r>
        <w:rPr>
          <w:rFonts w:ascii="宋体" w:hAnsi="宋体" w:eastAsia="宋体" w:cs="宋体"/>
          <w:spacing w:val="-4"/>
          <w:sz w:val="21"/>
          <w:szCs w:val="21"/>
        </w:rPr>
        <w:t>情况说明书的扫描件。</w:t>
      </w:r>
    </w:p>
    <w:p w14:paraId="46B179D0">
      <w:pPr>
        <w:spacing w:before="1" w:line="290" w:lineRule="auto"/>
        <w:ind w:left="972" w:right="117" w:hanging="315"/>
        <w:rPr>
          <w:rFonts w:ascii="宋体" w:hAnsi="宋体" w:eastAsia="宋体" w:cs="宋体"/>
          <w:sz w:val="21"/>
          <w:szCs w:val="21"/>
        </w:rPr>
      </w:pPr>
      <w:r>
        <w:rPr>
          <w:rFonts w:ascii="宋体" w:hAnsi="宋体" w:eastAsia="宋体" w:cs="宋体"/>
          <w:sz w:val="21"/>
          <w:szCs w:val="21"/>
        </w:rPr>
        <w:t>2．本表所列数据必须与本表各附件中的数据相一致。如果有不一致之处，以不利于</w:t>
      </w:r>
      <w:r>
        <w:rPr>
          <w:rFonts w:ascii="宋体" w:hAnsi="宋体" w:eastAsia="宋体" w:cs="宋体"/>
          <w:spacing w:val="-4"/>
          <w:sz w:val="21"/>
          <w:szCs w:val="21"/>
        </w:rPr>
        <w:t>投标人的数据为准。</w:t>
      </w:r>
    </w:p>
    <w:p w14:paraId="5A3A2149">
      <w:pPr>
        <w:spacing w:line="220" w:lineRule="auto"/>
        <w:ind w:left="658"/>
        <w:rPr>
          <w:rFonts w:ascii="宋体" w:hAnsi="宋体" w:eastAsia="宋体" w:cs="宋体"/>
          <w:sz w:val="21"/>
          <w:szCs w:val="21"/>
        </w:rPr>
      </w:pPr>
      <w:r>
        <w:rPr>
          <w:rFonts w:ascii="宋体" w:hAnsi="宋体" w:eastAsia="宋体" w:cs="宋体"/>
          <w:spacing w:val="-2"/>
          <w:sz w:val="21"/>
          <w:szCs w:val="21"/>
        </w:rPr>
        <w:t>3．联合体投标的，联合体各成员应分别填写。</w:t>
      </w:r>
    </w:p>
    <w:p w14:paraId="6AF3E63A">
      <w:pPr>
        <w:spacing w:line="220" w:lineRule="auto"/>
        <w:rPr>
          <w:rFonts w:ascii="宋体" w:hAnsi="宋体" w:eastAsia="宋体" w:cs="宋体"/>
          <w:sz w:val="21"/>
          <w:szCs w:val="21"/>
        </w:rPr>
        <w:sectPr>
          <w:footerReference r:id="rId325" w:type="default"/>
          <w:pgSz w:w="11910" w:h="16845"/>
          <w:pgMar w:top="400" w:right="1682" w:bottom="1110" w:left="1786" w:header="0" w:footer="883" w:gutter="0"/>
          <w:cols w:space="720" w:num="1"/>
        </w:sectPr>
      </w:pPr>
    </w:p>
    <w:p w14:paraId="0561EF9F">
      <w:pPr>
        <w:pStyle w:val="2"/>
        <w:spacing w:line="253" w:lineRule="auto"/>
      </w:pPr>
    </w:p>
    <w:p w14:paraId="6192DC09">
      <w:pPr>
        <w:pStyle w:val="2"/>
        <w:spacing w:line="253" w:lineRule="auto"/>
      </w:pPr>
    </w:p>
    <w:p w14:paraId="6C105501">
      <w:pPr>
        <w:pStyle w:val="2"/>
        <w:spacing w:line="253" w:lineRule="auto"/>
      </w:pPr>
    </w:p>
    <w:p w14:paraId="49F423A0">
      <w:pPr>
        <w:pStyle w:val="2"/>
        <w:spacing w:line="253" w:lineRule="auto"/>
      </w:pPr>
    </w:p>
    <w:p w14:paraId="0AF9149E">
      <w:pPr>
        <w:pStyle w:val="2"/>
        <w:spacing w:line="253" w:lineRule="auto"/>
      </w:pPr>
    </w:p>
    <w:p w14:paraId="4A849092">
      <w:pPr>
        <w:pStyle w:val="2"/>
        <w:spacing w:line="253" w:lineRule="auto"/>
      </w:pPr>
    </w:p>
    <w:p w14:paraId="6B9A9678">
      <w:pPr>
        <w:pStyle w:val="2"/>
        <w:spacing w:line="253" w:lineRule="auto"/>
      </w:pPr>
    </w:p>
    <w:p w14:paraId="39D8CAEF">
      <w:pPr>
        <w:pStyle w:val="2"/>
        <w:spacing w:line="253" w:lineRule="auto"/>
      </w:pPr>
    </w:p>
    <w:p w14:paraId="5291DB6B">
      <w:pPr>
        <w:pStyle w:val="2"/>
        <w:spacing w:line="253" w:lineRule="auto"/>
      </w:pPr>
    </w:p>
    <w:p w14:paraId="78FDB561">
      <w:pPr>
        <w:pStyle w:val="2"/>
        <w:spacing w:line="253" w:lineRule="auto"/>
      </w:pPr>
    </w:p>
    <w:p w14:paraId="007CE95A">
      <w:pPr>
        <w:pStyle w:val="2"/>
        <w:spacing w:line="253" w:lineRule="auto"/>
      </w:pPr>
    </w:p>
    <w:p w14:paraId="481D378B">
      <w:pPr>
        <w:pStyle w:val="2"/>
        <w:spacing w:line="253" w:lineRule="auto"/>
      </w:pPr>
    </w:p>
    <w:p w14:paraId="13F569DF">
      <w:pPr>
        <w:pStyle w:val="2"/>
        <w:spacing w:line="253" w:lineRule="auto"/>
      </w:pPr>
    </w:p>
    <w:p w14:paraId="11818515">
      <w:pPr>
        <w:pStyle w:val="2"/>
        <w:spacing w:line="253" w:lineRule="auto"/>
      </w:pPr>
    </w:p>
    <w:p w14:paraId="3995B2AB">
      <w:pPr>
        <w:spacing w:before="78" w:line="213" w:lineRule="auto"/>
        <w:ind w:left="2588"/>
        <w:outlineLvl w:val="2"/>
        <w:rPr>
          <w:rFonts w:ascii="Times New Roman" w:hAnsi="Times New Roman" w:eastAsia="Times New Roman" w:cs="Times New Roman"/>
          <w:sz w:val="24"/>
          <w:szCs w:val="24"/>
        </w:rPr>
      </w:pPr>
      <w:bookmarkStart w:id="644" w:name="bookmark595"/>
      <w:bookmarkEnd w:id="644"/>
      <w:r>
        <w:rPr>
          <w:rFonts w:ascii="Times New Roman" w:hAnsi="Times New Roman" w:eastAsia="Times New Roman" w:cs="Times New Roman"/>
          <w:sz w:val="24"/>
          <w:szCs w:val="24"/>
        </w:rPr>
        <w:t xml:space="preserve">2-2 </w:t>
      </w:r>
      <w:r>
        <w:rPr>
          <w:rFonts w:ascii="黑体" w:hAnsi="黑体" w:eastAsia="黑体" w:cs="黑体"/>
          <w:sz w:val="24"/>
          <w:szCs w:val="24"/>
        </w:rPr>
        <w:t>拟投入的流动资金函</w:t>
      </w:r>
      <w:r>
        <w:rPr>
          <w:rFonts w:ascii="Times New Roman" w:hAnsi="Times New Roman" w:eastAsia="Times New Roman" w:cs="Times New Roman"/>
          <w:sz w:val="24"/>
          <w:szCs w:val="24"/>
        </w:rPr>
        <w:t>(</w:t>
      </w:r>
      <w:r>
        <w:rPr>
          <w:rFonts w:ascii="黑体" w:hAnsi="黑体" w:eastAsia="黑体" w:cs="黑体"/>
          <w:sz w:val="24"/>
          <w:szCs w:val="24"/>
        </w:rPr>
        <w:t>格式</w:t>
      </w:r>
      <w:r>
        <w:rPr>
          <w:rFonts w:ascii="Times New Roman" w:hAnsi="Times New Roman" w:eastAsia="Times New Roman" w:cs="Times New Roman"/>
          <w:sz w:val="24"/>
          <w:szCs w:val="24"/>
        </w:rPr>
        <w:t>)</w:t>
      </w:r>
    </w:p>
    <w:p w14:paraId="2A5835B6">
      <w:pPr>
        <w:pStyle w:val="2"/>
        <w:spacing w:line="244" w:lineRule="auto"/>
      </w:pPr>
    </w:p>
    <w:p w14:paraId="626DDF0C">
      <w:pPr>
        <w:pStyle w:val="2"/>
        <w:spacing w:line="244" w:lineRule="auto"/>
      </w:pPr>
    </w:p>
    <w:p w14:paraId="384E6D8E">
      <w:pPr>
        <w:tabs>
          <w:tab w:val="left" w:pos="1696"/>
        </w:tabs>
        <w:spacing w:before="69"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(招标人名称)：</w:t>
      </w:r>
    </w:p>
    <w:p w14:paraId="0DC02F3A">
      <w:pPr>
        <w:spacing w:before="140" w:line="356" w:lineRule="auto"/>
        <w:ind w:left="25" w:right="15" w:firstLine="420"/>
        <w:rPr>
          <w:rFonts w:ascii="宋体" w:hAnsi="宋体" w:eastAsia="宋体" w:cs="宋体"/>
          <w:sz w:val="21"/>
          <w:szCs w:val="21"/>
        </w:rPr>
      </w:pPr>
      <w:r>
        <w:rPr>
          <w:rFonts w:ascii="宋体" w:hAnsi="宋体" w:eastAsia="宋体" w:cs="宋体"/>
          <w:spacing w:val="-1"/>
          <w:sz w:val="21"/>
          <w:szCs w:val="21"/>
        </w:rPr>
        <w:t>我方拟投入</w:t>
      </w:r>
      <w:r>
        <w:rPr>
          <w:rFonts w:ascii="宋体" w:hAnsi="宋体" w:eastAsia="宋体" w:cs="宋体"/>
          <w:spacing w:val="-1"/>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1"/>
          <w:sz w:val="21"/>
          <w:szCs w:val="21"/>
        </w:rPr>
        <w:t>(项目名称)</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54"/>
          <w:sz w:val="21"/>
          <w:szCs w:val="21"/>
        </w:rPr>
        <w:t xml:space="preserve"> </w:t>
      </w:r>
      <w:r>
        <w:rPr>
          <w:rFonts w:ascii="宋体" w:hAnsi="宋体" w:eastAsia="宋体" w:cs="宋体"/>
          <w:spacing w:val="-1"/>
          <w:sz w:val="21"/>
          <w:szCs w:val="21"/>
        </w:rPr>
        <w:t>(标段名称)的流动资金为</w:t>
      </w:r>
      <w:r>
        <w:rPr>
          <w:rFonts w:ascii="宋体" w:hAnsi="宋体" w:eastAsia="宋体" w:cs="宋体"/>
          <w:spacing w:val="-9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万元，资金来源于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，资金来源证明文件附后。</w:t>
      </w:r>
    </w:p>
    <w:p w14:paraId="5FC31AD6">
      <w:pPr>
        <w:spacing w:line="219" w:lineRule="auto"/>
        <w:ind w:left="446"/>
        <w:rPr>
          <w:rFonts w:ascii="宋体" w:hAnsi="宋体" w:eastAsia="宋体" w:cs="宋体"/>
          <w:sz w:val="21"/>
          <w:szCs w:val="21"/>
        </w:rPr>
      </w:pPr>
      <w:r>
        <w:rPr>
          <w:rFonts w:ascii="宋体" w:hAnsi="宋体" w:eastAsia="宋体" w:cs="宋体"/>
          <w:spacing w:val="-2"/>
          <w:sz w:val="21"/>
          <w:szCs w:val="21"/>
        </w:rPr>
        <w:t>我方可使用的银行授信余额和银行存款共计</w:t>
      </w:r>
      <w:r>
        <w:rPr>
          <w:rFonts w:ascii="宋体" w:hAnsi="宋体" w:eastAsia="宋体" w:cs="宋体"/>
          <w:spacing w:val="-96"/>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万元。</w:t>
      </w:r>
    </w:p>
    <w:p w14:paraId="7C324C40">
      <w:pPr>
        <w:pStyle w:val="2"/>
        <w:spacing w:line="292" w:lineRule="auto"/>
      </w:pPr>
    </w:p>
    <w:p w14:paraId="1A3B2891">
      <w:pPr>
        <w:pStyle w:val="2"/>
        <w:spacing w:line="293" w:lineRule="auto"/>
      </w:pPr>
    </w:p>
    <w:p w14:paraId="0CDCA8D4">
      <w:pPr>
        <w:pStyle w:val="2"/>
        <w:spacing w:line="293" w:lineRule="auto"/>
      </w:pPr>
    </w:p>
    <w:p w14:paraId="7500F7BE">
      <w:pPr>
        <w:tabs>
          <w:tab w:val="left" w:pos="6849"/>
        </w:tabs>
        <w:spacing w:before="68" w:line="345" w:lineRule="auto"/>
        <w:ind w:left="5797" w:hanging="935"/>
        <w:rPr>
          <w:rFonts w:ascii="宋体" w:hAnsi="宋体" w:eastAsia="宋体" w:cs="宋体"/>
          <w:sz w:val="21"/>
          <w:szCs w:val="21"/>
        </w:rPr>
      </w:pPr>
      <w:r>
        <w:rPr>
          <w:rFonts w:ascii="宋体" w:hAnsi="宋体" w:eastAsia="宋体" w:cs="宋体"/>
          <w:spacing w:val="-9"/>
          <w:sz w:val="21"/>
          <w:szCs w:val="21"/>
        </w:rPr>
        <w:t>投标人：</w:t>
      </w:r>
      <w:r>
        <w:rPr>
          <w:rFonts w:ascii="宋体" w:hAnsi="宋体" w:eastAsia="宋体" w:cs="宋体"/>
          <w:spacing w:val="-9"/>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9"/>
          <w:sz w:val="21"/>
          <w:szCs w:val="21"/>
        </w:rPr>
        <w:t>(</w:t>
      </w:r>
      <w:r>
        <w:rPr>
          <w:rFonts w:ascii="宋体" w:hAnsi="宋体" w:eastAsia="宋体" w:cs="宋体"/>
          <w:spacing w:val="-10"/>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D9CE0D5">
      <w:pPr>
        <w:pStyle w:val="2"/>
        <w:spacing w:line="281" w:lineRule="auto"/>
      </w:pPr>
    </w:p>
    <w:p w14:paraId="2FA65E11">
      <w:pPr>
        <w:pStyle w:val="2"/>
        <w:spacing w:line="281" w:lineRule="auto"/>
      </w:pPr>
    </w:p>
    <w:p w14:paraId="17254054">
      <w:pPr>
        <w:pStyle w:val="2"/>
        <w:spacing w:line="281" w:lineRule="auto"/>
      </w:pPr>
    </w:p>
    <w:p w14:paraId="233BA74D">
      <w:pPr>
        <w:pStyle w:val="2"/>
        <w:spacing w:line="281" w:lineRule="auto"/>
      </w:pPr>
    </w:p>
    <w:p w14:paraId="48F4C8AA">
      <w:pPr>
        <w:pStyle w:val="2"/>
        <w:spacing w:line="281" w:lineRule="auto"/>
      </w:pPr>
    </w:p>
    <w:p w14:paraId="513ECA34">
      <w:pPr>
        <w:spacing w:before="68" w:line="277" w:lineRule="auto"/>
        <w:ind w:left="972" w:right="15" w:hanging="946"/>
        <w:rPr>
          <w:rFonts w:ascii="宋体" w:hAnsi="宋体" w:eastAsia="宋体" w:cs="宋体"/>
          <w:sz w:val="21"/>
          <w:szCs w:val="21"/>
        </w:rPr>
      </w:pPr>
      <w:r>
        <w:rPr>
          <w:rFonts w:ascii="宋体" w:hAnsi="宋体" w:eastAsia="宋体" w:cs="宋体"/>
          <w:sz w:val="21"/>
          <w:szCs w:val="21"/>
        </w:rPr>
        <w:t>备注：1．如招标人为避免投标人中标后因流动资金不足影响工程施工，而要求投标人</w:t>
      </w:r>
      <w:r>
        <w:rPr>
          <w:rFonts w:ascii="宋体" w:hAnsi="宋体" w:eastAsia="宋体" w:cs="宋体"/>
          <w:spacing w:val="-1"/>
          <w:sz w:val="21"/>
          <w:szCs w:val="21"/>
        </w:rPr>
        <w:t>具有</w:t>
      </w:r>
      <w:r>
        <w:rPr>
          <w:rFonts w:ascii="宋体" w:hAnsi="宋体" w:eastAsia="宋体" w:cs="宋体"/>
          <w:spacing w:val="-2"/>
          <w:sz w:val="21"/>
          <w:szCs w:val="21"/>
        </w:rPr>
        <w:t>一定的流动资金的，投标人应当填写此表。</w:t>
      </w:r>
    </w:p>
    <w:p w14:paraId="24314507">
      <w:pPr>
        <w:spacing w:before="2" w:line="265" w:lineRule="auto"/>
        <w:ind w:left="971" w:right="12" w:hanging="314"/>
        <w:rPr>
          <w:rFonts w:ascii="宋体" w:hAnsi="宋体" w:eastAsia="宋体" w:cs="宋体"/>
          <w:sz w:val="21"/>
          <w:szCs w:val="21"/>
        </w:rPr>
      </w:pPr>
      <w:r>
        <w:rPr>
          <w:rFonts w:ascii="宋体" w:hAnsi="宋体" w:eastAsia="宋体" w:cs="宋体"/>
          <w:sz w:val="21"/>
          <w:szCs w:val="21"/>
        </w:rPr>
        <w:t>2．资金来源填写银行存款、银行信贷或其它形式，如银行授信总额度、本年度可使</w:t>
      </w:r>
      <w:r>
        <w:rPr>
          <w:rFonts w:ascii="宋体" w:hAnsi="宋体" w:eastAsia="宋体" w:cs="宋体"/>
          <w:spacing w:val="-4"/>
          <w:sz w:val="21"/>
          <w:szCs w:val="21"/>
        </w:rPr>
        <w:t>用的银行授信余额等。</w:t>
      </w:r>
    </w:p>
    <w:p w14:paraId="1682E342">
      <w:pPr>
        <w:spacing w:before="11" w:line="279" w:lineRule="auto"/>
        <w:ind w:left="972" w:right="15" w:hanging="314"/>
        <w:rPr>
          <w:rFonts w:ascii="宋体" w:hAnsi="宋体" w:eastAsia="宋体" w:cs="宋体"/>
          <w:sz w:val="21"/>
          <w:szCs w:val="21"/>
        </w:rPr>
      </w:pPr>
      <w:r>
        <w:rPr>
          <w:rFonts w:ascii="宋体" w:hAnsi="宋体" w:eastAsia="宋体" w:cs="宋体"/>
          <w:sz w:val="21"/>
          <w:szCs w:val="21"/>
        </w:rPr>
        <w:t>3．本表后附相关资金来源证明文件扫描件，银行存款证明、银行信贷证明</w:t>
      </w:r>
      <w:r>
        <w:rPr>
          <w:rFonts w:ascii="宋体" w:hAnsi="宋体" w:eastAsia="宋体" w:cs="宋体"/>
          <w:spacing w:val="-1"/>
          <w:sz w:val="21"/>
          <w:szCs w:val="21"/>
        </w:rPr>
        <w:t>应采用相</w:t>
      </w:r>
      <w:r>
        <w:rPr>
          <w:rFonts w:ascii="宋体" w:hAnsi="宋体" w:eastAsia="宋体" w:cs="宋体"/>
          <w:spacing w:val="-4"/>
          <w:sz w:val="21"/>
          <w:szCs w:val="21"/>
        </w:rPr>
        <w:t>关银行出具的格式。</w:t>
      </w:r>
    </w:p>
    <w:p w14:paraId="73B49F14">
      <w:pPr>
        <w:spacing w:before="85" w:line="359" w:lineRule="auto"/>
        <w:ind w:left="43" w:firstLine="609"/>
        <w:rPr>
          <w:rFonts w:ascii="宋体" w:hAnsi="宋体" w:eastAsia="宋体" w:cs="宋体"/>
          <w:sz w:val="21"/>
          <w:szCs w:val="21"/>
        </w:rPr>
      </w:pPr>
      <w:r>
        <w:rPr>
          <w:rFonts w:ascii="宋体" w:hAnsi="宋体" w:eastAsia="宋体" w:cs="宋体"/>
          <w:sz w:val="21"/>
          <w:szCs w:val="21"/>
        </w:rPr>
        <w:t>4．招标人也可根据招标项目具体情况要求说明是否拥有有效</w:t>
      </w:r>
      <w:r>
        <w:rPr>
          <w:rFonts w:ascii="宋体" w:hAnsi="宋体" w:eastAsia="宋体" w:cs="宋体"/>
          <w:spacing w:val="-1"/>
          <w:sz w:val="21"/>
          <w:szCs w:val="21"/>
        </w:rPr>
        <w:t>期内的银行</w:t>
      </w:r>
      <w:r>
        <w:rPr>
          <w:rFonts w:ascii="宋体" w:hAnsi="宋体" w:eastAsia="宋体" w:cs="宋体"/>
          <w:spacing w:val="-51"/>
          <w:sz w:val="21"/>
          <w:szCs w:val="21"/>
        </w:rPr>
        <w:t xml:space="preserve"> </w:t>
      </w:r>
      <w:r>
        <w:rPr>
          <w:rFonts w:ascii="宋体" w:hAnsi="宋体" w:eastAsia="宋体" w:cs="宋体"/>
          <w:spacing w:val="-1"/>
          <w:sz w:val="21"/>
          <w:szCs w:val="21"/>
        </w:rPr>
        <w:t>AAA</w:t>
      </w:r>
      <w:r>
        <w:rPr>
          <w:rFonts w:ascii="宋体" w:hAnsi="宋体" w:eastAsia="宋体" w:cs="宋体"/>
          <w:spacing w:val="-27"/>
          <w:sz w:val="21"/>
          <w:szCs w:val="21"/>
        </w:rPr>
        <w:t xml:space="preserve"> </w:t>
      </w:r>
      <w:r>
        <w:rPr>
          <w:rFonts w:ascii="宋体" w:hAnsi="宋体" w:eastAsia="宋体" w:cs="宋体"/>
          <w:spacing w:val="-1"/>
          <w:sz w:val="21"/>
          <w:szCs w:val="21"/>
        </w:rPr>
        <w:t>资信证</w:t>
      </w:r>
      <w:r>
        <w:rPr>
          <w:rFonts w:ascii="宋体" w:hAnsi="宋体" w:eastAsia="宋体" w:cs="宋体"/>
          <w:spacing w:val="-15"/>
          <w:sz w:val="21"/>
          <w:szCs w:val="21"/>
        </w:rPr>
        <w:t>明。</w:t>
      </w:r>
    </w:p>
    <w:p w14:paraId="11F063D5">
      <w:pPr>
        <w:spacing w:line="359" w:lineRule="auto"/>
        <w:rPr>
          <w:rFonts w:ascii="宋体" w:hAnsi="宋体" w:eastAsia="宋体" w:cs="宋体"/>
          <w:sz w:val="21"/>
          <w:szCs w:val="21"/>
        </w:rPr>
        <w:sectPr>
          <w:footerReference r:id="rId326" w:type="default"/>
          <w:pgSz w:w="11910" w:h="16845"/>
          <w:pgMar w:top="400" w:right="1786" w:bottom="1110" w:left="1786" w:header="0" w:footer="883" w:gutter="0"/>
          <w:cols w:space="720" w:num="1"/>
        </w:sectPr>
      </w:pPr>
    </w:p>
    <w:p w14:paraId="76D33457">
      <w:pPr>
        <w:pStyle w:val="2"/>
        <w:spacing w:line="275" w:lineRule="auto"/>
      </w:pPr>
    </w:p>
    <w:p w14:paraId="3A494EA7">
      <w:pPr>
        <w:pStyle w:val="2"/>
        <w:spacing w:line="276" w:lineRule="auto"/>
      </w:pPr>
    </w:p>
    <w:p w14:paraId="6769520E">
      <w:pPr>
        <w:pStyle w:val="2"/>
        <w:spacing w:line="276" w:lineRule="auto"/>
      </w:pPr>
    </w:p>
    <w:p w14:paraId="3CF8BB2F">
      <w:pPr>
        <w:pStyle w:val="2"/>
        <w:spacing w:line="276" w:lineRule="auto"/>
      </w:pPr>
    </w:p>
    <w:p w14:paraId="78B9D77D">
      <w:pPr>
        <w:spacing w:before="91" w:line="222" w:lineRule="auto"/>
        <w:ind w:left="80"/>
        <w:outlineLvl w:val="2"/>
        <w:rPr>
          <w:rFonts w:ascii="黑体" w:hAnsi="黑体" w:eastAsia="黑体" w:cs="黑体"/>
          <w:sz w:val="28"/>
          <w:szCs w:val="28"/>
        </w:rPr>
      </w:pPr>
      <w:bookmarkStart w:id="645" w:name="bookmark597"/>
      <w:bookmarkEnd w:id="645"/>
      <w:bookmarkStart w:id="646" w:name="bookmark596"/>
      <w:bookmarkEnd w:id="646"/>
      <w:r>
        <w:rPr>
          <w:rFonts w:ascii="黑体" w:hAnsi="黑体" w:eastAsia="黑体" w:cs="黑体"/>
          <w:spacing w:val="-1"/>
          <w:sz w:val="28"/>
          <w:szCs w:val="28"/>
        </w:rPr>
        <w:t>(三)近年完成的类似项目情况</w:t>
      </w:r>
    </w:p>
    <w:p w14:paraId="7B4807C2">
      <w:pPr>
        <w:pStyle w:val="2"/>
        <w:spacing w:line="470" w:lineRule="auto"/>
      </w:pPr>
    </w:p>
    <w:p w14:paraId="084797FE">
      <w:pPr>
        <w:spacing w:before="91" w:line="236" w:lineRule="auto"/>
        <w:ind w:left="27"/>
        <w:outlineLvl w:val="2"/>
        <w:rPr>
          <w:rFonts w:ascii="黑体" w:hAnsi="黑体" w:eastAsia="黑体" w:cs="黑体"/>
          <w:sz w:val="28"/>
          <w:szCs w:val="28"/>
        </w:rPr>
      </w:pPr>
      <w:bookmarkStart w:id="647" w:name="bookmark727"/>
      <w:bookmarkEnd w:id="647"/>
      <w:r>
        <w:rPr>
          <w:rFonts w:ascii="Times New Roman" w:hAnsi="Times New Roman" w:eastAsia="Times New Roman" w:cs="Times New Roman"/>
          <w:spacing w:val="2"/>
          <w:sz w:val="28"/>
          <w:szCs w:val="28"/>
        </w:rPr>
        <w:t xml:space="preserve">3-1  </w:t>
      </w:r>
      <w:r>
        <w:rPr>
          <w:rFonts w:ascii="黑体" w:hAnsi="黑体" w:eastAsia="黑体" w:cs="黑体"/>
          <w:spacing w:val="2"/>
          <w:sz w:val="28"/>
          <w:szCs w:val="28"/>
        </w:rPr>
        <w:t>近年完成的类似项目汇总表</w:t>
      </w:r>
    </w:p>
    <w:p w14:paraId="41D9A4AC">
      <w:pPr>
        <w:spacing w:before="111"/>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32"/>
        <w:gridCol w:w="1694"/>
        <w:gridCol w:w="1275"/>
        <w:gridCol w:w="1004"/>
        <w:gridCol w:w="1244"/>
        <w:gridCol w:w="1469"/>
        <w:gridCol w:w="1012"/>
      </w:tblGrid>
      <w:tr w14:paraId="455F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532" w:type="dxa"/>
            <w:textDirection w:val="tbRlV"/>
            <w:vAlign w:val="top"/>
          </w:tcPr>
          <w:p w14:paraId="21F507E9">
            <w:pPr>
              <w:pStyle w:val="6"/>
              <w:spacing w:before="156" w:line="210" w:lineRule="auto"/>
              <w:ind w:left="44"/>
              <w:rPr>
                <w:sz w:val="21"/>
                <w:szCs w:val="21"/>
              </w:rPr>
            </w:pPr>
            <w:r>
              <w:rPr>
                <w:b/>
                <w:bCs/>
                <w:spacing w:val="-3"/>
                <w:sz w:val="21"/>
                <w:szCs w:val="21"/>
              </w:rPr>
              <w:t>序</w:t>
            </w:r>
            <w:r>
              <w:rPr>
                <w:spacing w:val="-15"/>
                <w:sz w:val="21"/>
                <w:szCs w:val="21"/>
              </w:rPr>
              <w:t xml:space="preserve"> </w:t>
            </w:r>
            <w:r>
              <w:rPr>
                <w:b/>
                <w:bCs/>
                <w:spacing w:val="-3"/>
                <w:sz w:val="21"/>
                <w:szCs w:val="21"/>
              </w:rPr>
              <w:t>号</w:t>
            </w:r>
          </w:p>
        </w:tc>
        <w:tc>
          <w:tcPr>
            <w:tcW w:w="1694" w:type="dxa"/>
            <w:vAlign w:val="top"/>
          </w:tcPr>
          <w:p w14:paraId="40996242">
            <w:pPr>
              <w:pStyle w:val="6"/>
              <w:spacing w:before="195" w:line="220" w:lineRule="auto"/>
              <w:ind w:left="395"/>
              <w:rPr>
                <w:sz w:val="21"/>
                <w:szCs w:val="21"/>
              </w:rPr>
            </w:pPr>
            <w:r>
              <w:rPr>
                <w:b/>
                <w:bCs/>
                <w:spacing w:val="6"/>
                <w:sz w:val="21"/>
                <w:szCs w:val="21"/>
              </w:rPr>
              <w:t>项目名称</w:t>
            </w:r>
          </w:p>
        </w:tc>
        <w:tc>
          <w:tcPr>
            <w:tcW w:w="1275" w:type="dxa"/>
            <w:vAlign w:val="top"/>
          </w:tcPr>
          <w:p w14:paraId="32DE24E6">
            <w:pPr>
              <w:pStyle w:val="6"/>
              <w:spacing w:before="195" w:line="220" w:lineRule="auto"/>
              <w:ind w:left="113"/>
              <w:rPr>
                <w:sz w:val="21"/>
                <w:szCs w:val="21"/>
              </w:rPr>
            </w:pPr>
            <w:r>
              <w:rPr>
                <w:b/>
                <w:bCs/>
                <w:spacing w:val="-2"/>
                <w:sz w:val="21"/>
                <w:szCs w:val="21"/>
              </w:rPr>
              <w:t>发包人名称</w:t>
            </w:r>
          </w:p>
        </w:tc>
        <w:tc>
          <w:tcPr>
            <w:tcW w:w="1004" w:type="dxa"/>
            <w:vAlign w:val="top"/>
          </w:tcPr>
          <w:p w14:paraId="4AC43FF0">
            <w:pPr>
              <w:pStyle w:val="6"/>
              <w:spacing w:before="45" w:line="249" w:lineRule="auto"/>
              <w:ind w:left="396" w:right="164" w:hanging="222"/>
              <w:rPr>
                <w:sz w:val="21"/>
                <w:szCs w:val="21"/>
              </w:rPr>
            </w:pPr>
            <w:r>
              <w:rPr>
                <w:b/>
                <w:bCs/>
                <w:spacing w:val="4"/>
                <w:sz w:val="21"/>
                <w:szCs w:val="21"/>
              </w:rPr>
              <w:t>工程规</w:t>
            </w:r>
            <w:r>
              <w:rPr>
                <w:b/>
                <w:bCs/>
                <w:spacing w:val="-3"/>
                <w:sz w:val="21"/>
                <w:szCs w:val="21"/>
              </w:rPr>
              <w:t>模</w:t>
            </w:r>
          </w:p>
        </w:tc>
        <w:tc>
          <w:tcPr>
            <w:tcW w:w="1244" w:type="dxa"/>
            <w:vAlign w:val="top"/>
          </w:tcPr>
          <w:p w14:paraId="6AA382E8">
            <w:pPr>
              <w:pStyle w:val="6"/>
              <w:spacing w:before="44" w:line="218" w:lineRule="auto"/>
              <w:ind w:left="175"/>
              <w:rPr>
                <w:sz w:val="21"/>
                <w:szCs w:val="21"/>
              </w:rPr>
            </w:pPr>
            <w:r>
              <w:rPr>
                <w:b/>
                <w:bCs/>
                <w:spacing w:val="7"/>
                <w:sz w:val="21"/>
                <w:szCs w:val="21"/>
              </w:rPr>
              <w:t>合同价格</w:t>
            </w:r>
          </w:p>
          <w:p w14:paraId="70D26828">
            <w:pPr>
              <w:pStyle w:val="6"/>
              <w:spacing w:before="52" w:line="220" w:lineRule="auto"/>
              <w:ind w:left="134"/>
              <w:rPr>
                <w:sz w:val="21"/>
                <w:szCs w:val="21"/>
              </w:rPr>
            </w:pPr>
            <w:r>
              <w:rPr>
                <w:b/>
                <w:bCs/>
                <w:spacing w:val="2"/>
                <w:sz w:val="21"/>
                <w:szCs w:val="21"/>
              </w:rPr>
              <w:t>（万元）</w:t>
            </w:r>
          </w:p>
        </w:tc>
        <w:tc>
          <w:tcPr>
            <w:tcW w:w="1469" w:type="dxa"/>
            <w:vAlign w:val="top"/>
          </w:tcPr>
          <w:p w14:paraId="5D6F7EFA">
            <w:pPr>
              <w:pStyle w:val="6"/>
              <w:spacing w:before="194" w:line="220" w:lineRule="auto"/>
              <w:ind w:left="117"/>
              <w:rPr>
                <w:sz w:val="21"/>
                <w:szCs w:val="21"/>
              </w:rPr>
            </w:pPr>
            <w:r>
              <w:rPr>
                <w:b/>
                <w:bCs/>
                <w:spacing w:val="-6"/>
                <w:sz w:val="21"/>
                <w:szCs w:val="21"/>
              </w:rPr>
              <w:t>开、竣工日期</w:t>
            </w:r>
          </w:p>
        </w:tc>
        <w:tc>
          <w:tcPr>
            <w:tcW w:w="1012" w:type="dxa"/>
            <w:vAlign w:val="top"/>
          </w:tcPr>
          <w:p w14:paraId="4D32C726">
            <w:pPr>
              <w:pStyle w:val="6"/>
              <w:spacing w:before="45" w:line="249" w:lineRule="auto"/>
              <w:ind w:left="407" w:right="164" w:hanging="224"/>
              <w:rPr>
                <w:sz w:val="21"/>
                <w:szCs w:val="21"/>
              </w:rPr>
            </w:pPr>
            <w:r>
              <w:rPr>
                <w:b/>
                <w:bCs/>
                <w:spacing w:val="4"/>
                <w:sz w:val="21"/>
                <w:szCs w:val="21"/>
              </w:rPr>
              <w:t>项目经</w:t>
            </w:r>
            <w:r>
              <w:rPr>
                <w:b/>
                <w:bCs/>
                <w:spacing w:val="-3"/>
                <w:sz w:val="21"/>
                <w:szCs w:val="21"/>
              </w:rPr>
              <w:t>理</w:t>
            </w:r>
          </w:p>
        </w:tc>
      </w:tr>
      <w:tr w14:paraId="46C31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32" w:type="dxa"/>
            <w:vAlign w:val="top"/>
          </w:tcPr>
          <w:p w14:paraId="281B23BB">
            <w:pPr>
              <w:rPr>
                <w:rFonts w:ascii="Arial"/>
                <w:sz w:val="21"/>
              </w:rPr>
            </w:pPr>
          </w:p>
        </w:tc>
        <w:tc>
          <w:tcPr>
            <w:tcW w:w="1694" w:type="dxa"/>
            <w:vAlign w:val="top"/>
          </w:tcPr>
          <w:p w14:paraId="7CF235A9">
            <w:pPr>
              <w:rPr>
                <w:rFonts w:ascii="Arial"/>
                <w:sz w:val="21"/>
              </w:rPr>
            </w:pPr>
          </w:p>
        </w:tc>
        <w:tc>
          <w:tcPr>
            <w:tcW w:w="1275" w:type="dxa"/>
            <w:vAlign w:val="top"/>
          </w:tcPr>
          <w:p w14:paraId="5CB89258">
            <w:pPr>
              <w:rPr>
                <w:rFonts w:ascii="Arial"/>
                <w:sz w:val="21"/>
              </w:rPr>
            </w:pPr>
          </w:p>
        </w:tc>
        <w:tc>
          <w:tcPr>
            <w:tcW w:w="1004" w:type="dxa"/>
            <w:vAlign w:val="top"/>
          </w:tcPr>
          <w:p w14:paraId="68260298">
            <w:pPr>
              <w:rPr>
                <w:rFonts w:ascii="Arial"/>
                <w:sz w:val="21"/>
              </w:rPr>
            </w:pPr>
          </w:p>
        </w:tc>
        <w:tc>
          <w:tcPr>
            <w:tcW w:w="1244" w:type="dxa"/>
            <w:vAlign w:val="top"/>
          </w:tcPr>
          <w:p w14:paraId="5D500D81">
            <w:pPr>
              <w:rPr>
                <w:rFonts w:ascii="Arial"/>
                <w:sz w:val="21"/>
              </w:rPr>
            </w:pPr>
          </w:p>
        </w:tc>
        <w:tc>
          <w:tcPr>
            <w:tcW w:w="1469" w:type="dxa"/>
            <w:vAlign w:val="top"/>
          </w:tcPr>
          <w:p w14:paraId="78768ACD">
            <w:pPr>
              <w:rPr>
                <w:rFonts w:ascii="Arial"/>
                <w:sz w:val="21"/>
              </w:rPr>
            </w:pPr>
          </w:p>
        </w:tc>
        <w:tc>
          <w:tcPr>
            <w:tcW w:w="1012" w:type="dxa"/>
            <w:vAlign w:val="top"/>
          </w:tcPr>
          <w:p w14:paraId="0ECC78B5">
            <w:pPr>
              <w:rPr>
                <w:rFonts w:ascii="Arial"/>
                <w:sz w:val="21"/>
              </w:rPr>
            </w:pPr>
          </w:p>
        </w:tc>
      </w:tr>
      <w:tr w14:paraId="1F55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32" w:type="dxa"/>
            <w:vAlign w:val="top"/>
          </w:tcPr>
          <w:p w14:paraId="5EA72FE3">
            <w:pPr>
              <w:rPr>
                <w:rFonts w:ascii="Arial"/>
                <w:sz w:val="21"/>
              </w:rPr>
            </w:pPr>
          </w:p>
        </w:tc>
        <w:tc>
          <w:tcPr>
            <w:tcW w:w="1694" w:type="dxa"/>
            <w:vAlign w:val="top"/>
          </w:tcPr>
          <w:p w14:paraId="13595C0E">
            <w:pPr>
              <w:rPr>
                <w:rFonts w:ascii="Arial"/>
                <w:sz w:val="21"/>
              </w:rPr>
            </w:pPr>
          </w:p>
        </w:tc>
        <w:tc>
          <w:tcPr>
            <w:tcW w:w="1275" w:type="dxa"/>
            <w:vAlign w:val="top"/>
          </w:tcPr>
          <w:p w14:paraId="2482B427">
            <w:pPr>
              <w:rPr>
                <w:rFonts w:ascii="Arial"/>
                <w:sz w:val="21"/>
              </w:rPr>
            </w:pPr>
          </w:p>
        </w:tc>
        <w:tc>
          <w:tcPr>
            <w:tcW w:w="1004" w:type="dxa"/>
            <w:vAlign w:val="top"/>
          </w:tcPr>
          <w:p w14:paraId="04CB92AD">
            <w:pPr>
              <w:rPr>
                <w:rFonts w:ascii="Arial"/>
                <w:sz w:val="21"/>
              </w:rPr>
            </w:pPr>
          </w:p>
        </w:tc>
        <w:tc>
          <w:tcPr>
            <w:tcW w:w="1244" w:type="dxa"/>
            <w:vAlign w:val="top"/>
          </w:tcPr>
          <w:p w14:paraId="1221E957">
            <w:pPr>
              <w:rPr>
                <w:rFonts w:ascii="Arial"/>
                <w:sz w:val="21"/>
              </w:rPr>
            </w:pPr>
          </w:p>
        </w:tc>
        <w:tc>
          <w:tcPr>
            <w:tcW w:w="1469" w:type="dxa"/>
            <w:vAlign w:val="top"/>
          </w:tcPr>
          <w:p w14:paraId="5579F862">
            <w:pPr>
              <w:rPr>
                <w:rFonts w:ascii="Arial"/>
                <w:sz w:val="21"/>
              </w:rPr>
            </w:pPr>
          </w:p>
        </w:tc>
        <w:tc>
          <w:tcPr>
            <w:tcW w:w="1012" w:type="dxa"/>
            <w:vAlign w:val="top"/>
          </w:tcPr>
          <w:p w14:paraId="1EC7630F">
            <w:pPr>
              <w:rPr>
                <w:rFonts w:ascii="Arial"/>
                <w:sz w:val="21"/>
              </w:rPr>
            </w:pPr>
          </w:p>
        </w:tc>
      </w:tr>
      <w:tr w14:paraId="0FADB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32" w:type="dxa"/>
            <w:vAlign w:val="top"/>
          </w:tcPr>
          <w:p w14:paraId="118E3BF0">
            <w:pPr>
              <w:rPr>
                <w:rFonts w:ascii="Arial"/>
                <w:sz w:val="21"/>
              </w:rPr>
            </w:pPr>
          </w:p>
        </w:tc>
        <w:tc>
          <w:tcPr>
            <w:tcW w:w="1694" w:type="dxa"/>
            <w:vAlign w:val="top"/>
          </w:tcPr>
          <w:p w14:paraId="539EA445">
            <w:pPr>
              <w:rPr>
                <w:rFonts w:ascii="Arial"/>
                <w:sz w:val="21"/>
              </w:rPr>
            </w:pPr>
          </w:p>
        </w:tc>
        <w:tc>
          <w:tcPr>
            <w:tcW w:w="1275" w:type="dxa"/>
            <w:vAlign w:val="top"/>
          </w:tcPr>
          <w:p w14:paraId="43F53B90">
            <w:pPr>
              <w:rPr>
                <w:rFonts w:ascii="Arial"/>
                <w:sz w:val="21"/>
              </w:rPr>
            </w:pPr>
          </w:p>
        </w:tc>
        <w:tc>
          <w:tcPr>
            <w:tcW w:w="1004" w:type="dxa"/>
            <w:vAlign w:val="top"/>
          </w:tcPr>
          <w:p w14:paraId="1244B854">
            <w:pPr>
              <w:rPr>
                <w:rFonts w:ascii="Arial"/>
                <w:sz w:val="21"/>
              </w:rPr>
            </w:pPr>
          </w:p>
        </w:tc>
        <w:tc>
          <w:tcPr>
            <w:tcW w:w="1244" w:type="dxa"/>
            <w:vAlign w:val="top"/>
          </w:tcPr>
          <w:p w14:paraId="5615C2AE">
            <w:pPr>
              <w:rPr>
                <w:rFonts w:ascii="Arial"/>
                <w:sz w:val="21"/>
              </w:rPr>
            </w:pPr>
          </w:p>
        </w:tc>
        <w:tc>
          <w:tcPr>
            <w:tcW w:w="1469" w:type="dxa"/>
            <w:vAlign w:val="top"/>
          </w:tcPr>
          <w:p w14:paraId="341B6CC3">
            <w:pPr>
              <w:rPr>
                <w:rFonts w:ascii="Arial"/>
                <w:sz w:val="21"/>
              </w:rPr>
            </w:pPr>
          </w:p>
        </w:tc>
        <w:tc>
          <w:tcPr>
            <w:tcW w:w="1012" w:type="dxa"/>
            <w:vAlign w:val="top"/>
          </w:tcPr>
          <w:p w14:paraId="49649DC8">
            <w:pPr>
              <w:rPr>
                <w:rFonts w:ascii="Arial"/>
                <w:sz w:val="21"/>
              </w:rPr>
            </w:pPr>
          </w:p>
        </w:tc>
      </w:tr>
      <w:tr w14:paraId="65DD3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32" w:type="dxa"/>
            <w:vAlign w:val="top"/>
          </w:tcPr>
          <w:p w14:paraId="491BF0CA">
            <w:pPr>
              <w:rPr>
                <w:rFonts w:ascii="Arial"/>
                <w:sz w:val="21"/>
              </w:rPr>
            </w:pPr>
          </w:p>
        </w:tc>
        <w:tc>
          <w:tcPr>
            <w:tcW w:w="1694" w:type="dxa"/>
            <w:vAlign w:val="top"/>
          </w:tcPr>
          <w:p w14:paraId="60149541">
            <w:pPr>
              <w:rPr>
                <w:rFonts w:ascii="Arial"/>
                <w:sz w:val="21"/>
              </w:rPr>
            </w:pPr>
          </w:p>
        </w:tc>
        <w:tc>
          <w:tcPr>
            <w:tcW w:w="1275" w:type="dxa"/>
            <w:vAlign w:val="top"/>
          </w:tcPr>
          <w:p w14:paraId="0543EBE4">
            <w:pPr>
              <w:rPr>
                <w:rFonts w:ascii="Arial"/>
                <w:sz w:val="21"/>
              </w:rPr>
            </w:pPr>
          </w:p>
        </w:tc>
        <w:tc>
          <w:tcPr>
            <w:tcW w:w="1004" w:type="dxa"/>
            <w:vAlign w:val="top"/>
          </w:tcPr>
          <w:p w14:paraId="5C6935E2">
            <w:pPr>
              <w:rPr>
                <w:rFonts w:ascii="Arial"/>
                <w:sz w:val="21"/>
              </w:rPr>
            </w:pPr>
          </w:p>
        </w:tc>
        <w:tc>
          <w:tcPr>
            <w:tcW w:w="1244" w:type="dxa"/>
            <w:vAlign w:val="top"/>
          </w:tcPr>
          <w:p w14:paraId="6300B1BB">
            <w:pPr>
              <w:rPr>
                <w:rFonts w:ascii="Arial"/>
                <w:sz w:val="21"/>
              </w:rPr>
            </w:pPr>
          </w:p>
        </w:tc>
        <w:tc>
          <w:tcPr>
            <w:tcW w:w="1469" w:type="dxa"/>
            <w:vAlign w:val="top"/>
          </w:tcPr>
          <w:p w14:paraId="68970817">
            <w:pPr>
              <w:rPr>
                <w:rFonts w:ascii="Arial"/>
                <w:sz w:val="21"/>
              </w:rPr>
            </w:pPr>
          </w:p>
        </w:tc>
        <w:tc>
          <w:tcPr>
            <w:tcW w:w="1012" w:type="dxa"/>
            <w:vAlign w:val="top"/>
          </w:tcPr>
          <w:p w14:paraId="405EFD0A">
            <w:pPr>
              <w:rPr>
                <w:rFonts w:ascii="Arial"/>
                <w:sz w:val="21"/>
              </w:rPr>
            </w:pPr>
          </w:p>
        </w:tc>
      </w:tr>
      <w:tr w14:paraId="7F79E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32" w:type="dxa"/>
            <w:vAlign w:val="top"/>
          </w:tcPr>
          <w:p w14:paraId="56CDA595">
            <w:pPr>
              <w:rPr>
                <w:rFonts w:ascii="Arial"/>
                <w:sz w:val="21"/>
              </w:rPr>
            </w:pPr>
          </w:p>
        </w:tc>
        <w:tc>
          <w:tcPr>
            <w:tcW w:w="1694" w:type="dxa"/>
            <w:vAlign w:val="top"/>
          </w:tcPr>
          <w:p w14:paraId="34AA0096">
            <w:pPr>
              <w:rPr>
                <w:rFonts w:ascii="Arial"/>
                <w:sz w:val="21"/>
              </w:rPr>
            </w:pPr>
          </w:p>
        </w:tc>
        <w:tc>
          <w:tcPr>
            <w:tcW w:w="1275" w:type="dxa"/>
            <w:vAlign w:val="top"/>
          </w:tcPr>
          <w:p w14:paraId="0FC3D859">
            <w:pPr>
              <w:rPr>
                <w:rFonts w:ascii="Arial"/>
                <w:sz w:val="21"/>
              </w:rPr>
            </w:pPr>
          </w:p>
        </w:tc>
        <w:tc>
          <w:tcPr>
            <w:tcW w:w="1004" w:type="dxa"/>
            <w:vAlign w:val="top"/>
          </w:tcPr>
          <w:p w14:paraId="63729777">
            <w:pPr>
              <w:rPr>
                <w:rFonts w:ascii="Arial"/>
                <w:sz w:val="21"/>
              </w:rPr>
            </w:pPr>
          </w:p>
        </w:tc>
        <w:tc>
          <w:tcPr>
            <w:tcW w:w="1244" w:type="dxa"/>
            <w:vAlign w:val="top"/>
          </w:tcPr>
          <w:p w14:paraId="7278B395">
            <w:pPr>
              <w:rPr>
                <w:rFonts w:ascii="Arial"/>
                <w:sz w:val="21"/>
              </w:rPr>
            </w:pPr>
          </w:p>
        </w:tc>
        <w:tc>
          <w:tcPr>
            <w:tcW w:w="1469" w:type="dxa"/>
            <w:vAlign w:val="top"/>
          </w:tcPr>
          <w:p w14:paraId="5ECA7CBF">
            <w:pPr>
              <w:rPr>
                <w:rFonts w:ascii="Arial"/>
                <w:sz w:val="21"/>
              </w:rPr>
            </w:pPr>
          </w:p>
        </w:tc>
        <w:tc>
          <w:tcPr>
            <w:tcW w:w="1012" w:type="dxa"/>
            <w:vAlign w:val="top"/>
          </w:tcPr>
          <w:p w14:paraId="703ACE74">
            <w:pPr>
              <w:rPr>
                <w:rFonts w:ascii="Arial"/>
                <w:sz w:val="21"/>
              </w:rPr>
            </w:pPr>
          </w:p>
        </w:tc>
      </w:tr>
      <w:tr w14:paraId="5A624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32" w:type="dxa"/>
            <w:vAlign w:val="top"/>
          </w:tcPr>
          <w:p w14:paraId="150139A3">
            <w:pPr>
              <w:rPr>
                <w:rFonts w:ascii="Arial"/>
                <w:sz w:val="21"/>
              </w:rPr>
            </w:pPr>
          </w:p>
        </w:tc>
        <w:tc>
          <w:tcPr>
            <w:tcW w:w="1694" w:type="dxa"/>
            <w:vAlign w:val="top"/>
          </w:tcPr>
          <w:p w14:paraId="4FCFCB1D">
            <w:pPr>
              <w:rPr>
                <w:rFonts w:ascii="Arial"/>
                <w:sz w:val="21"/>
              </w:rPr>
            </w:pPr>
          </w:p>
        </w:tc>
        <w:tc>
          <w:tcPr>
            <w:tcW w:w="1275" w:type="dxa"/>
            <w:vAlign w:val="top"/>
          </w:tcPr>
          <w:p w14:paraId="2C44FFD8">
            <w:pPr>
              <w:rPr>
                <w:rFonts w:ascii="Arial"/>
                <w:sz w:val="21"/>
              </w:rPr>
            </w:pPr>
          </w:p>
        </w:tc>
        <w:tc>
          <w:tcPr>
            <w:tcW w:w="1004" w:type="dxa"/>
            <w:vAlign w:val="top"/>
          </w:tcPr>
          <w:p w14:paraId="7C52CD41">
            <w:pPr>
              <w:rPr>
                <w:rFonts w:ascii="Arial"/>
                <w:sz w:val="21"/>
              </w:rPr>
            </w:pPr>
          </w:p>
        </w:tc>
        <w:tc>
          <w:tcPr>
            <w:tcW w:w="1244" w:type="dxa"/>
            <w:vAlign w:val="top"/>
          </w:tcPr>
          <w:p w14:paraId="115324E3">
            <w:pPr>
              <w:rPr>
                <w:rFonts w:ascii="Arial"/>
                <w:sz w:val="21"/>
              </w:rPr>
            </w:pPr>
          </w:p>
        </w:tc>
        <w:tc>
          <w:tcPr>
            <w:tcW w:w="1469" w:type="dxa"/>
            <w:vAlign w:val="top"/>
          </w:tcPr>
          <w:p w14:paraId="536B7B36">
            <w:pPr>
              <w:rPr>
                <w:rFonts w:ascii="Arial"/>
                <w:sz w:val="21"/>
              </w:rPr>
            </w:pPr>
          </w:p>
        </w:tc>
        <w:tc>
          <w:tcPr>
            <w:tcW w:w="1012" w:type="dxa"/>
            <w:vAlign w:val="top"/>
          </w:tcPr>
          <w:p w14:paraId="63A57A4B">
            <w:pPr>
              <w:rPr>
                <w:rFonts w:ascii="Arial"/>
                <w:sz w:val="21"/>
              </w:rPr>
            </w:pPr>
          </w:p>
        </w:tc>
      </w:tr>
      <w:tr w14:paraId="081AF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32" w:type="dxa"/>
            <w:vAlign w:val="top"/>
          </w:tcPr>
          <w:p w14:paraId="50D6D1FC">
            <w:pPr>
              <w:rPr>
                <w:rFonts w:ascii="Arial"/>
                <w:sz w:val="21"/>
              </w:rPr>
            </w:pPr>
          </w:p>
        </w:tc>
        <w:tc>
          <w:tcPr>
            <w:tcW w:w="1694" w:type="dxa"/>
            <w:vAlign w:val="top"/>
          </w:tcPr>
          <w:p w14:paraId="1BA2C647">
            <w:pPr>
              <w:rPr>
                <w:rFonts w:ascii="Arial"/>
                <w:sz w:val="21"/>
              </w:rPr>
            </w:pPr>
          </w:p>
        </w:tc>
        <w:tc>
          <w:tcPr>
            <w:tcW w:w="1275" w:type="dxa"/>
            <w:vAlign w:val="top"/>
          </w:tcPr>
          <w:p w14:paraId="0B4557AD">
            <w:pPr>
              <w:rPr>
                <w:rFonts w:ascii="Arial"/>
                <w:sz w:val="21"/>
              </w:rPr>
            </w:pPr>
          </w:p>
        </w:tc>
        <w:tc>
          <w:tcPr>
            <w:tcW w:w="1004" w:type="dxa"/>
            <w:vAlign w:val="top"/>
          </w:tcPr>
          <w:p w14:paraId="4994516F">
            <w:pPr>
              <w:rPr>
                <w:rFonts w:ascii="Arial"/>
                <w:sz w:val="21"/>
              </w:rPr>
            </w:pPr>
          </w:p>
        </w:tc>
        <w:tc>
          <w:tcPr>
            <w:tcW w:w="1244" w:type="dxa"/>
            <w:vAlign w:val="top"/>
          </w:tcPr>
          <w:p w14:paraId="3C376AA5">
            <w:pPr>
              <w:rPr>
                <w:rFonts w:ascii="Arial"/>
                <w:sz w:val="21"/>
              </w:rPr>
            </w:pPr>
          </w:p>
        </w:tc>
        <w:tc>
          <w:tcPr>
            <w:tcW w:w="1469" w:type="dxa"/>
            <w:vAlign w:val="top"/>
          </w:tcPr>
          <w:p w14:paraId="01E15E05">
            <w:pPr>
              <w:rPr>
                <w:rFonts w:ascii="Arial"/>
                <w:sz w:val="21"/>
              </w:rPr>
            </w:pPr>
          </w:p>
        </w:tc>
        <w:tc>
          <w:tcPr>
            <w:tcW w:w="1012" w:type="dxa"/>
            <w:vAlign w:val="top"/>
          </w:tcPr>
          <w:p w14:paraId="3A0105F8">
            <w:pPr>
              <w:rPr>
                <w:rFonts w:ascii="Arial"/>
                <w:sz w:val="21"/>
              </w:rPr>
            </w:pPr>
          </w:p>
        </w:tc>
      </w:tr>
      <w:tr w14:paraId="7CD03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32" w:type="dxa"/>
            <w:vAlign w:val="top"/>
          </w:tcPr>
          <w:p w14:paraId="6A711B52">
            <w:pPr>
              <w:rPr>
                <w:rFonts w:ascii="Arial"/>
                <w:sz w:val="21"/>
              </w:rPr>
            </w:pPr>
          </w:p>
        </w:tc>
        <w:tc>
          <w:tcPr>
            <w:tcW w:w="1694" w:type="dxa"/>
            <w:vAlign w:val="top"/>
          </w:tcPr>
          <w:p w14:paraId="0A7B2067">
            <w:pPr>
              <w:rPr>
                <w:rFonts w:ascii="Arial"/>
                <w:sz w:val="21"/>
              </w:rPr>
            </w:pPr>
          </w:p>
        </w:tc>
        <w:tc>
          <w:tcPr>
            <w:tcW w:w="1275" w:type="dxa"/>
            <w:vAlign w:val="top"/>
          </w:tcPr>
          <w:p w14:paraId="510BD565">
            <w:pPr>
              <w:rPr>
                <w:rFonts w:ascii="Arial"/>
                <w:sz w:val="21"/>
              </w:rPr>
            </w:pPr>
          </w:p>
        </w:tc>
        <w:tc>
          <w:tcPr>
            <w:tcW w:w="1004" w:type="dxa"/>
            <w:vAlign w:val="top"/>
          </w:tcPr>
          <w:p w14:paraId="18929108">
            <w:pPr>
              <w:rPr>
                <w:rFonts w:ascii="Arial"/>
                <w:sz w:val="21"/>
              </w:rPr>
            </w:pPr>
          </w:p>
        </w:tc>
        <w:tc>
          <w:tcPr>
            <w:tcW w:w="1244" w:type="dxa"/>
            <w:vAlign w:val="top"/>
          </w:tcPr>
          <w:p w14:paraId="258C8A7C">
            <w:pPr>
              <w:rPr>
                <w:rFonts w:ascii="Arial"/>
                <w:sz w:val="21"/>
              </w:rPr>
            </w:pPr>
          </w:p>
        </w:tc>
        <w:tc>
          <w:tcPr>
            <w:tcW w:w="1469" w:type="dxa"/>
            <w:vAlign w:val="top"/>
          </w:tcPr>
          <w:p w14:paraId="1CD50955">
            <w:pPr>
              <w:rPr>
                <w:rFonts w:ascii="Arial"/>
                <w:sz w:val="21"/>
              </w:rPr>
            </w:pPr>
          </w:p>
        </w:tc>
        <w:tc>
          <w:tcPr>
            <w:tcW w:w="1012" w:type="dxa"/>
            <w:vAlign w:val="top"/>
          </w:tcPr>
          <w:p w14:paraId="41B8B083">
            <w:pPr>
              <w:rPr>
                <w:rFonts w:ascii="Arial"/>
                <w:sz w:val="21"/>
              </w:rPr>
            </w:pPr>
          </w:p>
        </w:tc>
      </w:tr>
      <w:tr w14:paraId="7349D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32" w:type="dxa"/>
            <w:vAlign w:val="top"/>
          </w:tcPr>
          <w:p w14:paraId="7B6AB23E">
            <w:pPr>
              <w:rPr>
                <w:rFonts w:ascii="Arial"/>
                <w:sz w:val="21"/>
              </w:rPr>
            </w:pPr>
          </w:p>
        </w:tc>
        <w:tc>
          <w:tcPr>
            <w:tcW w:w="1694" w:type="dxa"/>
            <w:vAlign w:val="top"/>
          </w:tcPr>
          <w:p w14:paraId="59E9AD38">
            <w:pPr>
              <w:rPr>
                <w:rFonts w:ascii="Arial"/>
                <w:sz w:val="21"/>
              </w:rPr>
            </w:pPr>
          </w:p>
        </w:tc>
        <w:tc>
          <w:tcPr>
            <w:tcW w:w="1275" w:type="dxa"/>
            <w:vAlign w:val="top"/>
          </w:tcPr>
          <w:p w14:paraId="3126ECE8">
            <w:pPr>
              <w:rPr>
                <w:rFonts w:ascii="Arial"/>
                <w:sz w:val="21"/>
              </w:rPr>
            </w:pPr>
          </w:p>
        </w:tc>
        <w:tc>
          <w:tcPr>
            <w:tcW w:w="1004" w:type="dxa"/>
            <w:vAlign w:val="top"/>
          </w:tcPr>
          <w:p w14:paraId="290DECE5">
            <w:pPr>
              <w:rPr>
                <w:rFonts w:ascii="Arial"/>
                <w:sz w:val="21"/>
              </w:rPr>
            </w:pPr>
          </w:p>
        </w:tc>
        <w:tc>
          <w:tcPr>
            <w:tcW w:w="1244" w:type="dxa"/>
            <w:vAlign w:val="top"/>
          </w:tcPr>
          <w:p w14:paraId="3B2FFFFC">
            <w:pPr>
              <w:rPr>
                <w:rFonts w:ascii="Arial"/>
                <w:sz w:val="21"/>
              </w:rPr>
            </w:pPr>
          </w:p>
        </w:tc>
        <w:tc>
          <w:tcPr>
            <w:tcW w:w="1469" w:type="dxa"/>
            <w:vAlign w:val="top"/>
          </w:tcPr>
          <w:p w14:paraId="2C84EDC5">
            <w:pPr>
              <w:rPr>
                <w:rFonts w:ascii="Arial"/>
                <w:sz w:val="21"/>
              </w:rPr>
            </w:pPr>
          </w:p>
        </w:tc>
        <w:tc>
          <w:tcPr>
            <w:tcW w:w="1012" w:type="dxa"/>
            <w:vAlign w:val="top"/>
          </w:tcPr>
          <w:p w14:paraId="1A05079A">
            <w:pPr>
              <w:rPr>
                <w:rFonts w:ascii="Arial"/>
                <w:sz w:val="21"/>
              </w:rPr>
            </w:pPr>
          </w:p>
        </w:tc>
      </w:tr>
      <w:tr w14:paraId="392A7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32" w:type="dxa"/>
            <w:vAlign w:val="top"/>
          </w:tcPr>
          <w:p w14:paraId="4C7CF1BD">
            <w:pPr>
              <w:rPr>
                <w:rFonts w:ascii="Arial"/>
                <w:sz w:val="21"/>
              </w:rPr>
            </w:pPr>
          </w:p>
        </w:tc>
        <w:tc>
          <w:tcPr>
            <w:tcW w:w="1694" w:type="dxa"/>
            <w:vAlign w:val="top"/>
          </w:tcPr>
          <w:p w14:paraId="1C20F348">
            <w:pPr>
              <w:rPr>
                <w:rFonts w:ascii="Arial"/>
                <w:sz w:val="21"/>
              </w:rPr>
            </w:pPr>
          </w:p>
        </w:tc>
        <w:tc>
          <w:tcPr>
            <w:tcW w:w="1275" w:type="dxa"/>
            <w:vAlign w:val="top"/>
          </w:tcPr>
          <w:p w14:paraId="7800D3AF">
            <w:pPr>
              <w:rPr>
                <w:rFonts w:ascii="Arial"/>
                <w:sz w:val="21"/>
              </w:rPr>
            </w:pPr>
          </w:p>
        </w:tc>
        <w:tc>
          <w:tcPr>
            <w:tcW w:w="1004" w:type="dxa"/>
            <w:vAlign w:val="top"/>
          </w:tcPr>
          <w:p w14:paraId="22541894">
            <w:pPr>
              <w:rPr>
                <w:rFonts w:ascii="Arial"/>
                <w:sz w:val="21"/>
              </w:rPr>
            </w:pPr>
          </w:p>
        </w:tc>
        <w:tc>
          <w:tcPr>
            <w:tcW w:w="1244" w:type="dxa"/>
            <w:vAlign w:val="top"/>
          </w:tcPr>
          <w:p w14:paraId="702ED48F">
            <w:pPr>
              <w:rPr>
                <w:rFonts w:ascii="Arial"/>
                <w:sz w:val="21"/>
              </w:rPr>
            </w:pPr>
          </w:p>
        </w:tc>
        <w:tc>
          <w:tcPr>
            <w:tcW w:w="1469" w:type="dxa"/>
            <w:vAlign w:val="top"/>
          </w:tcPr>
          <w:p w14:paraId="280ACF8F">
            <w:pPr>
              <w:rPr>
                <w:rFonts w:ascii="Arial"/>
                <w:sz w:val="21"/>
              </w:rPr>
            </w:pPr>
          </w:p>
        </w:tc>
        <w:tc>
          <w:tcPr>
            <w:tcW w:w="1012" w:type="dxa"/>
            <w:vAlign w:val="top"/>
          </w:tcPr>
          <w:p w14:paraId="6036A8E2">
            <w:pPr>
              <w:rPr>
                <w:rFonts w:ascii="Arial"/>
                <w:sz w:val="21"/>
              </w:rPr>
            </w:pPr>
          </w:p>
        </w:tc>
      </w:tr>
      <w:tr w14:paraId="708D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32" w:type="dxa"/>
            <w:vAlign w:val="top"/>
          </w:tcPr>
          <w:p w14:paraId="66014233">
            <w:pPr>
              <w:rPr>
                <w:rFonts w:ascii="Arial"/>
                <w:sz w:val="21"/>
              </w:rPr>
            </w:pPr>
          </w:p>
        </w:tc>
        <w:tc>
          <w:tcPr>
            <w:tcW w:w="1694" w:type="dxa"/>
            <w:vAlign w:val="top"/>
          </w:tcPr>
          <w:p w14:paraId="3BA32753">
            <w:pPr>
              <w:rPr>
                <w:rFonts w:ascii="Arial"/>
                <w:sz w:val="21"/>
              </w:rPr>
            </w:pPr>
          </w:p>
        </w:tc>
        <w:tc>
          <w:tcPr>
            <w:tcW w:w="1275" w:type="dxa"/>
            <w:vAlign w:val="top"/>
          </w:tcPr>
          <w:p w14:paraId="78953478">
            <w:pPr>
              <w:rPr>
                <w:rFonts w:ascii="Arial"/>
                <w:sz w:val="21"/>
              </w:rPr>
            </w:pPr>
          </w:p>
        </w:tc>
        <w:tc>
          <w:tcPr>
            <w:tcW w:w="1004" w:type="dxa"/>
            <w:vAlign w:val="top"/>
          </w:tcPr>
          <w:p w14:paraId="55C77129">
            <w:pPr>
              <w:rPr>
                <w:rFonts w:ascii="Arial"/>
                <w:sz w:val="21"/>
              </w:rPr>
            </w:pPr>
          </w:p>
        </w:tc>
        <w:tc>
          <w:tcPr>
            <w:tcW w:w="1244" w:type="dxa"/>
            <w:vAlign w:val="top"/>
          </w:tcPr>
          <w:p w14:paraId="5C6AC5D3">
            <w:pPr>
              <w:rPr>
                <w:rFonts w:ascii="Arial"/>
                <w:sz w:val="21"/>
              </w:rPr>
            </w:pPr>
          </w:p>
        </w:tc>
        <w:tc>
          <w:tcPr>
            <w:tcW w:w="1469" w:type="dxa"/>
            <w:vAlign w:val="top"/>
          </w:tcPr>
          <w:p w14:paraId="66835314">
            <w:pPr>
              <w:rPr>
                <w:rFonts w:ascii="Arial"/>
                <w:sz w:val="21"/>
              </w:rPr>
            </w:pPr>
          </w:p>
        </w:tc>
        <w:tc>
          <w:tcPr>
            <w:tcW w:w="1012" w:type="dxa"/>
            <w:vAlign w:val="top"/>
          </w:tcPr>
          <w:p w14:paraId="2EB2B9FC">
            <w:pPr>
              <w:rPr>
                <w:rFonts w:ascii="Arial"/>
                <w:sz w:val="21"/>
              </w:rPr>
            </w:pPr>
          </w:p>
        </w:tc>
      </w:tr>
      <w:tr w14:paraId="14205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32" w:type="dxa"/>
            <w:vAlign w:val="top"/>
          </w:tcPr>
          <w:p w14:paraId="3EB307D8">
            <w:pPr>
              <w:rPr>
                <w:rFonts w:ascii="Arial"/>
                <w:sz w:val="21"/>
              </w:rPr>
            </w:pPr>
          </w:p>
        </w:tc>
        <w:tc>
          <w:tcPr>
            <w:tcW w:w="1694" w:type="dxa"/>
            <w:vAlign w:val="top"/>
          </w:tcPr>
          <w:p w14:paraId="0430A1EA">
            <w:pPr>
              <w:rPr>
                <w:rFonts w:ascii="Arial"/>
                <w:sz w:val="21"/>
              </w:rPr>
            </w:pPr>
          </w:p>
        </w:tc>
        <w:tc>
          <w:tcPr>
            <w:tcW w:w="1275" w:type="dxa"/>
            <w:vAlign w:val="top"/>
          </w:tcPr>
          <w:p w14:paraId="5513A044">
            <w:pPr>
              <w:rPr>
                <w:rFonts w:ascii="Arial"/>
                <w:sz w:val="21"/>
              </w:rPr>
            </w:pPr>
          </w:p>
        </w:tc>
        <w:tc>
          <w:tcPr>
            <w:tcW w:w="1004" w:type="dxa"/>
            <w:vAlign w:val="top"/>
          </w:tcPr>
          <w:p w14:paraId="0CD33EE5">
            <w:pPr>
              <w:rPr>
                <w:rFonts w:ascii="Arial"/>
                <w:sz w:val="21"/>
              </w:rPr>
            </w:pPr>
          </w:p>
        </w:tc>
        <w:tc>
          <w:tcPr>
            <w:tcW w:w="1244" w:type="dxa"/>
            <w:vAlign w:val="top"/>
          </w:tcPr>
          <w:p w14:paraId="06C59FEF">
            <w:pPr>
              <w:rPr>
                <w:rFonts w:ascii="Arial"/>
                <w:sz w:val="21"/>
              </w:rPr>
            </w:pPr>
          </w:p>
        </w:tc>
        <w:tc>
          <w:tcPr>
            <w:tcW w:w="1469" w:type="dxa"/>
            <w:vAlign w:val="top"/>
          </w:tcPr>
          <w:p w14:paraId="2E63B905">
            <w:pPr>
              <w:rPr>
                <w:rFonts w:ascii="Arial"/>
                <w:sz w:val="21"/>
              </w:rPr>
            </w:pPr>
          </w:p>
        </w:tc>
        <w:tc>
          <w:tcPr>
            <w:tcW w:w="1012" w:type="dxa"/>
            <w:vAlign w:val="top"/>
          </w:tcPr>
          <w:p w14:paraId="7EBF7C55">
            <w:pPr>
              <w:rPr>
                <w:rFonts w:ascii="Arial"/>
                <w:sz w:val="21"/>
              </w:rPr>
            </w:pPr>
          </w:p>
        </w:tc>
      </w:tr>
    </w:tbl>
    <w:p w14:paraId="2AA8B185">
      <w:pPr>
        <w:pStyle w:val="2"/>
      </w:pPr>
    </w:p>
    <w:p w14:paraId="4313DD0B">
      <w:pPr>
        <w:sectPr>
          <w:footerReference r:id="rId327" w:type="default"/>
          <w:pgSz w:w="11910" w:h="16845"/>
          <w:pgMar w:top="400" w:right="1786" w:bottom="1110" w:left="1786" w:header="0" w:footer="883" w:gutter="0"/>
          <w:cols w:space="720" w:num="1"/>
        </w:sectPr>
      </w:pPr>
    </w:p>
    <w:p w14:paraId="3CC4CBFF">
      <w:pPr>
        <w:spacing w:before="107"/>
      </w:pPr>
    </w:p>
    <w:tbl>
      <w:tblPr>
        <w:tblStyle w:val="5"/>
        <w:tblW w:w="8230" w:type="dxa"/>
        <w:tblInd w:w="5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46"/>
        <w:gridCol w:w="5884"/>
      </w:tblGrid>
      <w:tr w14:paraId="5C870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346" w:type="dxa"/>
            <w:vAlign w:val="top"/>
          </w:tcPr>
          <w:p w14:paraId="15D05D5B">
            <w:pPr>
              <w:pStyle w:val="6"/>
              <w:spacing w:before="195" w:line="220" w:lineRule="auto"/>
              <w:ind w:left="732"/>
              <w:outlineLvl w:val="2"/>
              <w:rPr>
                <w:sz w:val="21"/>
                <w:szCs w:val="21"/>
              </w:rPr>
            </w:pPr>
            <w:bookmarkStart w:id="648" w:name="bookmark598"/>
            <w:bookmarkEnd w:id="648"/>
            <w:r>
              <w:rPr>
                <w:b/>
                <w:bCs/>
                <w:spacing w:val="6"/>
                <w:sz w:val="21"/>
                <w:szCs w:val="21"/>
              </w:rPr>
              <w:t>项目名称</w:t>
            </w:r>
          </w:p>
        </w:tc>
        <w:tc>
          <w:tcPr>
            <w:tcW w:w="5884" w:type="dxa"/>
            <w:vAlign w:val="top"/>
          </w:tcPr>
          <w:p w14:paraId="741C7594">
            <w:pPr>
              <w:rPr>
                <w:rFonts w:ascii="Arial"/>
                <w:sz w:val="21"/>
              </w:rPr>
            </w:pPr>
          </w:p>
        </w:tc>
      </w:tr>
      <w:tr w14:paraId="62FF5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0944F8CB">
            <w:pPr>
              <w:pStyle w:val="6"/>
              <w:spacing w:before="188" w:line="220" w:lineRule="auto"/>
              <w:ind w:left="627"/>
              <w:rPr>
                <w:sz w:val="21"/>
                <w:szCs w:val="21"/>
              </w:rPr>
            </w:pPr>
            <w:r>
              <w:rPr>
                <w:b/>
                <w:bCs/>
                <w:spacing w:val="4"/>
                <w:sz w:val="21"/>
                <w:szCs w:val="21"/>
              </w:rPr>
              <w:t>项目所在地</w:t>
            </w:r>
          </w:p>
        </w:tc>
        <w:tc>
          <w:tcPr>
            <w:tcW w:w="5884" w:type="dxa"/>
            <w:vAlign w:val="top"/>
          </w:tcPr>
          <w:p w14:paraId="44EA3C27">
            <w:pPr>
              <w:rPr>
                <w:rFonts w:ascii="Arial"/>
                <w:sz w:val="21"/>
              </w:rPr>
            </w:pPr>
          </w:p>
        </w:tc>
      </w:tr>
      <w:tr w14:paraId="48853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346" w:type="dxa"/>
            <w:vAlign w:val="top"/>
          </w:tcPr>
          <w:p w14:paraId="0788A066">
            <w:pPr>
              <w:pStyle w:val="6"/>
              <w:spacing w:before="189" w:line="220" w:lineRule="auto"/>
              <w:ind w:left="627"/>
              <w:rPr>
                <w:sz w:val="21"/>
                <w:szCs w:val="21"/>
              </w:rPr>
            </w:pPr>
            <w:r>
              <w:rPr>
                <w:b/>
                <w:bCs/>
                <w:spacing w:val="4"/>
                <w:sz w:val="21"/>
                <w:szCs w:val="21"/>
              </w:rPr>
              <w:t>发包人名称</w:t>
            </w:r>
          </w:p>
        </w:tc>
        <w:tc>
          <w:tcPr>
            <w:tcW w:w="5884" w:type="dxa"/>
            <w:vAlign w:val="top"/>
          </w:tcPr>
          <w:p w14:paraId="6DE20E77">
            <w:pPr>
              <w:rPr>
                <w:rFonts w:ascii="Arial"/>
                <w:sz w:val="21"/>
              </w:rPr>
            </w:pPr>
          </w:p>
        </w:tc>
      </w:tr>
      <w:tr w14:paraId="2E61B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5CD59656">
            <w:pPr>
              <w:pStyle w:val="6"/>
              <w:spacing w:before="190" w:line="220" w:lineRule="auto"/>
              <w:ind w:left="627"/>
              <w:rPr>
                <w:sz w:val="21"/>
                <w:szCs w:val="21"/>
              </w:rPr>
            </w:pPr>
            <w:r>
              <w:rPr>
                <w:b/>
                <w:bCs/>
                <w:spacing w:val="4"/>
                <w:sz w:val="21"/>
                <w:szCs w:val="21"/>
              </w:rPr>
              <w:t>发包人地址</w:t>
            </w:r>
          </w:p>
        </w:tc>
        <w:tc>
          <w:tcPr>
            <w:tcW w:w="5884" w:type="dxa"/>
            <w:vAlign w:val="top"/>
          </w:tcPr>
          <w:p w14:paraId="642E1FD2">
            <w:pPr>
              <w:rPr>
                <w:rFonts w:ascii="Arial"/>
                <w:sz w:val="21"/>
              </w:rPr>
            </w:pPr>
          </w:p>
        </w:tc>
      </w:tr>
      <w:tr w14:paraId="2F84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1A177709">
            <w:pPr>
              <w:pStyle w:val="6"/>
              <w:spacing w:before="191" w:line="220" w:lineRule="auto"/>
              <w:ind w:left="206"/>
              <w:rPr>
                <w:sz w:val="21"/>
                <w:szCs w:val="21"/>
              </w:rPr>
            </w:pPr>
            <w:r>
              <w:rPr>
                <w:b/>
                <w:bCs/>
                <w:spacing w:val="1"/>
                <w:sz w:val="21"/>
                <w:szCs w:val="21"/>
              </w:rPr>
              <w:t>发包人联系人及电话</w:t>
            </w:r>
          </w:p>
        </w:tc>
        <w:tc>
          <w:tcPr>
            <w:tcW w:w="5884" w:type="dxa"/>
            <w:vAlign w:val="top"/>
          </w:tcPr>
          <w:p w14:paraId="0371E66D">
            <w:pPr>
              <w:rPr>
                <w:rFonts w:ascii="Arial"/>
                <w:sz w:val="21"/>
              </w:rPr>
            </w:pPr>
          </w:p>
        </w:tc>
      </w:tr>
      <w:tr w14:paraId="173CF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78A52F73">
            <w:pPr>
              <w:pStyle w:val="6"/>
              <w:spacing w:before="191" w:line="218" w:lineRule="auto"/>
              <w:ind w:left="730"/>
              <w:rPr>
                <w:sz w:val="21"/>
                <w:szCs w:val="21"/>
              </w:rPr>
            </w:pPr>
            <w:r>
              <w:rPr>
                <w:b/>
                <w:bCs/>
                <w:spacing w:val="7"/>
                <w:sz w:val="21"/>
                <w:szCs w:val="21"/>
              </w:rPr>
              <w:t>合同价格</w:t>
            </w:r>
          </w:p>
        </w:tc>
        <w:tc>
          <w:tcPr>
            <w:tcW w:w="5884" w:type="dxa"/>
            <w:vAlign w:val="top"/>
          </w:tcPr>
          <w:p w14:paraId="63AC05AB">
            <w:pPr>
              <w:rPr>
                <w:rFonts w:ascii="Arial"/>
                <w:sz w:val="21"/>
              </w:rPr>
            </w:pPr>
          </w:p>
        </w:tc>
      </w:tr>
      <w:tr w14:paraId="2A1BC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346" w:type="dxa"/>
            <w:vAlign w:val="top"/>
          </w:tcPr>
          <w:p w14:paraId="50D61D9F">
            <w:pPr>
              <w:pStyle w:val="6"/>
              <w:spacing w:before="207" w:line="220" w:lineRule="auto"/>
              <w:ind w:left="730"/>
              <w:rPr>
                <w:sz w:val="21"/>
                <w:szCs w:val="21"/>
              </w:rPr>
            </w:pPr>
            <w:r>
              <w:rPr>
                <w:b/>
                <w:bCs/>
                <w:spacing w:val="7"/>
                <w:sz w:val="21"/>
                <w:szCs w:val="21"/>
              </w:rPr>
              <w:t>开工日期</w:t>
            </w:r>
          </w:p>
        </w:tc>
        <w:tc>
          <w:tcPr>
            <w:tcW w:w="5884" w:type="dxa"/>
            <w:vAlign w:val="top"/>
          </w:tcPr>
          <w:p w14:paraId="1E5BC5F9">
            <w:pPr>
              <w:rPr>
                <w:rFonts w:ascii="Arial"/>
                <w:sz w:val="21"/>
              </w:rPr>
            </w:pPr>
          </w:p>
        </w:tc>
      </w:tr>
      <w:tr w14:paraId="69007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346" w:type="dxa"/>
            <w:vAlign w:val="top"/>
          </w:tcPr>
          <w:p w14:paraId="1EE202ED">
            <w:pPr>
              <w:pStyle w:val="6"/>
              <w:spacing w:before="193" w:line="220" w:lineRule="auto"/>
              <w:ind w:left="730"/>
              <w:rPr>
                <w:sz w:val="21"/>
                <w:szCs w:val="21"/>
              </w:rPr>
            </w:pPr>
            <w:r>
              <w:rPr>
                <w:b/>
                <w:bCs/>
                <w:spacing w:val="7"/>
                <w:sz w:val="21"/>
                <w:szCs w:val="21"/>
              </w:rPr>
              <w:t>竣工日期</w:t>
            </w:r>
          </w:p>
        </w:tc>
        <w:tc>
          <w:tcPr>
            <w:tcW w:w="5884" w:type="dxa"/>
            <w:vAlign w:val="top"/>
          </w:tcPr>
          <w:p w14:paraId="60800456">
            <w:pPr>
              <w:rPr>
                <w:rFonts w:ascii="Arial"/>
                <w:sz w:val="21"/>
              </w:rPr>
            </w:pPr>
          </w:p>
        </w:tc>
      </w:tr>
      <w:tr w14:paraId="264A8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2DE9E770">
            <w:pPr>
              <w:pStyle w:val="6"/>
              <w:spacing w:before="195" w:line="220" w:lineRule="auto"/>
              <w:ind w:left="623"/>
              <w:rPr>
                <w:sz w:val="21"/>
                <w:szCs w:val="21"/>
              </w:rPr>
            </w:pPr>
            <w:r>
              <w:rPr>
                <w:b/>
                <w:bCs/>
                <w:spacing w:val="5"/>
                <w:sz w:val="21"/>
                <w:szCs w:val="21"/>
              </w:rPr>
              <w:t>承担的工作</w:t>
            </w:r>
          </w:p>
        </w:tc>
        <w:tc>
          <w:tcPr>
            <w:tcW w:w="5884" w:type="dxa"/>
            <w:vAlign w:val="top"/>
          </w:tcPr>
          <w:p w14:paraId="17DD905E">
            <w:pPr>
              <w:rPr>
                <w:rFonts w:ascii="Arial"/>
                <w:sz w:val="21"/>
              </w:rPr>
            </w:pPr>
          </w:p>
        </w:tc>
      </w:tr>
      <w:tr w14:paraId="59220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346" w:type="dxa"/>
            <w:vAlign w:val="top"/>
          </w:tcPr>
          <w:p w14:paraId="79C11985">
            <w:pPr>
              <w:pStyle w:val="6"/>
              <w:spacing w:before="196" w:line="220" w:lineRule="auto"/>
              <w:ind w:left="731"/>
              <w:rPr>
                <w:sz w:val="21"/>
                <w:szCs w:val="21"/>
              </w:rPr>
            </w:pPr>
            <w:r>
              <w:rPr>
                <w:b/>
                <w:bCs/>
                <w:spacing w:val="6"/>
                <w:sz w:val="21"/>
                <w:szCs w:val="21"/>
              </w:rPr>
              <w:t>工程质量</w:t>
            </w:r>
          </w:p>
        </w:tc>
        <w:tc>
          <w:tcPr>
            <w:tcW w:w="5884" w:type="dxa"/>
            <w:vAlign w:val="top"/>
          </w:tcPr>
          <w:p w14:paraId="33402739">
            <w:pPr>
              <w:rPr>
                <w:rFonts w:ascii="Arial"/>
                <w:sz w:val="21"/>
              </w:rPr>
            </w:pPr>
          </w:p>
        </w:tc>
      </w:tr>
      <w:tr w14:paraId="39713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346" w:type="dxa"/>
            <w:vAlign w:val="top"/>
          </w:tcPr>
          <w:p w14:paraId="06259456">
            <w:pPr>
              <w:pStyle w:val="6"/>
              <w:spacing w:before="197" w:line="220" w:lineRule="auto"/>
              <w:ind w:left="732"/>
              <w:rPr>
                <w:sz w:val="21"/>
                <w:szCs w:val="21"/>
              </w:rPr>
            </w:pPr>
            <w:r>
              <w:rPr>
                <w:b/>
                <w:bCs/>
                <w:spacing w:val="6"/>
                <w:sz w:val="21"/>
                <w:szCs w:val="21"/>
              </w:rPr>
              <w:t>项目经理</w:t>
            </w:r>
          </w:p>
        </w:tc>
        <w:tc>
          <w:tcPr>
            <w:tcW w:w="5884" w:type="dxa"/>
            <w:vAlign w:val="top"/>
          </w:tcPr>
          <w:p w14:paraId="55E8C1FF">
            <w:pPr>
              <w:rPr>
                <w:rFonts w:ascii="Arial"/>
                <w:sz w:val="21"/>
              </w:rPr>
            </w:pPr>
          </w:p>
        </w:tc>
      </w:tr>
      <w:tr w14:paraId="0BB80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05EB01E8">
            <w:pPr>
              <w:pStyle w:val="6"/>
              <w:spacing w:before="198" w:line="220" w:lineRule="auto"/>
              <w:ind w:left="624"/>
              <w:rPr>
                <w:sz w:val="21"/>
                <w:szCs w:val="21"/>
              </w:rPr>
            </w:pPr>
            <w:r>
              <w:rPr>
                <w:b/>
                <w:bCs/>
                <w:spacing w:val="5"/>
                <w:sz w:val="21"/>
                <w:szCs w:val="21"/>
              </w:rPr>
              <w:t>技术负责人</w:t>
            </w:r>
          </w:p>
        </w:tc>
        <w:tc>
          <w:tcPr>
            <w:tcW w:w="5884" w:type="dxa"/>
            <w:vAlign w:val="top"/>
          </w:tcPr>
          <w:p w14:paraId="03413512">
            <w:pPr>
              <w:rPr>
                <w:rFonts w:ascii="Arial"/>
                <w:sz w:val="21"/>
              </w:rPr>
            </w:pPr>
          </w:p>
        </w:tc>
      </w:tr>
      <w:tr w14:paraId="2C99C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346" w:type="dxa"/>
            <w:vAlign w:val="top"/>
          </w:tcPr>
          <w:p w14:paraId="5B6C14AC">
            <w:pPr>
              <w:pStyle w:val="6"/>
              <w:spacing w:before="199" w:line="220" w:lineRule="auto"/>
              <w:ind w:left="208"/>
              <w:rPr>
                <w:sz w:val="21"/>
                <w:szCs w:val="21"/>
              </w:rPr>
            </w:pPr>
            <w:r>
              <w:rPr>
                <w:b/>
                <w:bCs/>
                <w:spacing w:val="1"/>
                <w:sz w:val="21"/>
                <w:szCs w:val="21"/>
              </w:rPr>
              <w:t>总监理工程师及电话</w:t>
            </w:r>
          </w:p>
        </w:tc>
        <w:tc>
          <w:tcPr>
            <w:tcW w:w="5884" w:type="dxa"/>
            <w:vAlign w:val="top"/>
          </w:tcPr>
          <w:p w14:paraId="11A3F41A">
            <w:pPr>
              <w:rPr>
                <w:rFonts w:ascii="Arial"/>
                <w:sz w:val="21"/>
              </w:rPr>
            </w:pPr>
          </w:p>
        </w:tc>
      </w:tr>
      <w:tr w14:paraId="3428F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2346" w:type="dxa"/>
            <w:vAlign w:val="top"/>
          </w:tcPr>
          <w:p w14:paraId="175D730D">
            <w:pPr>
              <w:pStyle w:val="6"/>
              <w:spacing w:before="290" w:line="220" w:lineRule="auto"/>
              <w:ind w:left="732"/>
              <w:rPr>
                <w:sz w:val="21"/>
                <w:szCs w:val="21"/>
              </w:rPr>
            </w:pPr>
            <w:r>
              <w:rPr>
                <w:b/>
                <w:bCs/>
                <w:spacing w:val="6"/>
                <w:sz w:val="21"/>
                <w:szCs w:val="21"/>
              </w:rPr>
              <w:t>项目描述</w:t>
            </w:r>
          </w:p>
        </w:tc>
        <w:tc>
          <w:tcPr>
            <w:tcW w:w="5884" w:type="dxa"/>
            <w:vAlign w:val="top"/>
          </w:tcPr>
          <w:p w14:paraId="1DE2DA48">
            <w:pPr>
              <w:rPr>
                <w:rFonts w:ascii="Arial"/>
                <w:sz w:val="21"/>
              </w:rPr>
            </w:pPr>
          </w:p>
        </w:tc>
      </w:tr>
      <w:tr w14:paraId="6D02A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346" w:type="dxa"/>
            <w:vAlign w:val="top"/>
          </w:tcPr>
          <w:p w14:paraId="06C25BD1">
            <w:pPr>
              <w:pStyle w:val="6"/>
              <w:spacing w:before="202" w:line="221" w:lineRule="auto"/>
              <w:ind w:left="956"/>
              <w:rPr>
                <w:sz w:val="21"/>
                <w:szCs w:val="21"/>
              </w:rPr>
            </w:pPr>
            <w:r>
              <w:rPr>
                <w:b/>
                <w:bCs/>
                <w:sz w:val="21"/>
                <w:szCs w:val="21"/>
              </w:rPr>
              <w:t>备注</w:t>
            </w:r>
          </w:p>
        </w:tc>
        <w:tc>
          <w:tcPr>
            <w:tcW w:w="5884" w:type="dxa"/>
            <w:vAlign w:val="top"/>
          </w:tcPr>
          <w:p w14:paraId="040A59CC">
            <w:pPr>
              <w:rPr>
                <w:rFonts w:ascii="Arial"/>
                <w:sz w:val="21"/>
              </w:rPr>
            </w:pPr>
          </w:p>
        </w:tc>
      </w:tr>
    </w:tbl>
    <w:p w14:paraId="5A6E7610">
      <w:pPr>
        <w:spacing w:before="134" w:line="219" w:lineRule="auto"/>
        <w:ind w:left="26"/>
        <w:rPr>
          <w:rFonts w:ascii="宋体" w:hAnsi="宋体" w:eastAsia="宋体" w:cs="宋体"/>
          <w:sz w:val="21"/>
          <w:szCs w:val="21"/>
        </w:rPr>
      </w:pPr>
      <w:r>
        <w:rPr>
          <w:rFonts w:ascii="宋体" w:hAnsi="宋体" w:eastAsia="宋体" w:cs="宋体"/>
          <w:spacing w:val="-4"/>
          <w:sz w:val="21"/>
          <w:szCs w:val="21"/>
        </w:rPr>
        <w:t>备注：l．“类似项目”见第二章投标人须知前附</w:t>
      </w:r>
      <w:r>
        <w:rPr>
          <w:rFonts w:ascii="宋体" w:hAnsi="宋体" w:eastAsia="宋体" w:cs="宋体"/>
          <w:spacing w:val="-5"/>
          <w:sz w:val="21"/>
          <w:szCs w:val="21"/>
        </w:rPr>
        <w:t>表第</w:t>
      </w:r>
      <w:r>
        <w:rPr>
          <w:rFonts w:ascii="宋体" w:hAnsi="宋体" w:eastAsia="宋体" w:cs="宋体"/>
          <w:spacing w:val="-35"/>
          <w:sz w:val="21"/>
          <w:szCs w:val="21"/>
        </w:rPr>
        <w:t xml:space="preserve"> </w:t>
      </w:r>
      <w:r>
        <w:rPr>
          <w:rFonts w:ascii="宋体" w:hAnsi="宋体" w:eastAsia="宋体" w:cs="宋体"/>
          <w:spacing w:val="-5"/>
          <w:sz w:val="21"/>
          <w:szCs w:val="21"/>
        </w:rPr>
        <w:t>3.5.8</w:t>
      </w:r>
      <w:r>
        <w:rPr>
          <w:rFonts w:ascii="宋体" w:hAnsi="宋体" w:eastAsia="宋体" w:cs="宋体"/>
          <w:spacing w:val="-32"/>
          <w:sz w:val="21"/>
          <w:szCs w:val="21"/>
        </w:rPr>
        <w:t xml:space="preserve"> </w:t>
      </w:r>
      <w:r>
        <w:rPr>
          <w:rFonts w:ascii="宋体" w:hAnsi="宋体" w:eastAsia="宋体" w:cs="宋体"/>
          <w:spacing w:val="-5"/>
          <w:sz w:val="21"/>
          <w:szCs w:val="21"/>
        </w:rPr>
        <w:t>项。</w:t>
      </w:r>
    </w:p>
    <w:p w14:paraId="3737282D">
      <w:pPr>
        <w:spacing w:before="141" w:line="219" w:lineRule="auto"/>
        <w:ind w:left="657"/>
        <w:rPr>
          <w:rFonts w:ascii="宋体" w:hAnsi="宋体" w:eastAsia="宋体" w:cs="宋体"/>
          <w:sz w:val="21"/>
          <w:szCs w:val="21"/>
        </w:rPr>
      </w:pPr>
      <w:r>
        <w:rPr>
          <w:rFonts w:ascii="宋体" w:hAnsi="宋体" w:eastAsia="宋体" w:cs="宋体"/>
          <w:spacing w:val="-2"/>
          <w:sz w:val="21"/>
          <w:szCs w:val="21"/>
        </w:rPr>
        <w:t>2. “近年”见第二章投标人须知前附表第</w:t>
      </w:r>
      <w:r>
        <w:rPr>
          <w:rFonts w:ascii="宋体" w:hAnsi="宋体" w:eastAsia="宋体" w:cs="宋体"/>
          <w:spacing w:val="-19"/>
          <w:sz w:val="21"/>
          <w:szCs w:val="21"/>
        </w:rPr>
        <w:t xml:space="preserve"> </w:t>
      </w:r>
      <w:r>
        <w:rPr>
          <w:rFonts w:ascii="宋体" w:hAnsi="宋体" w:eastAsia="宋体" w:cs="宋体"/>
          <w:spacing w:val="-2"/>
          <w:sz w:val="21"/>
          <w:szCs w:val="21"/>
        </w:rPr>
        <w:t>3.5.3</w:t>
      </w:r>
      <w:r>
        <w:rPr>
          <w:rFonts w:ascii="宋体" w:hAnsi="宋体" w:eastAsia="宋体" w:cs="宋体"/>
          <w:spacing w:val="-32"/>
          <w:sz w:val="21"/>
          <w:szCs w:val="21"/>
        </w:rPr>
        <w:t xml:space="preserve"> </w:t>
      </w:r>
      <w:r>
        <w:rPr>
          <w:rFonts w:ascii="宋体" w:hAnsi="宋体" w:eastAsia="宋体" w:cs="宋体"/>
          <w:spacing w:val="-2"/>
          <w:sz w:val="21"/>
          <w:szCs w:val="21"/>
        </w:rPr>
        <w:t>项。</w:t>
      </w:r>
    </w:p>
    <w:p w14:paraId="72A5A618">
      <w:pPr>
        <w:spacing w:before="155" w:line="353" w:lineRule="auto"/>
        <w:ind w:left="970" w:hanging="312"/>
        <w:rPr>
          <w:rFonts w:ascii="宋体" w:hAnsi="宋体" w:eastAsia="宋体" w:cs="宋体"/>
          <w:sz w:val="21"/>
          <w:szCs w:val="21"/>
        </w:rPr>
      </w:pPr>
      <w:r>
        <w:rPr>
          <w:rFonts w:ascii="宋体" w:hAnsi="宋体" w:eastAsia="宋体" w:cs="宋体"/>
          <w:spacing w:val="-6"/>
          <w:sz w:val="21"/>
          <w:szCs w:val="21"/>
        </w:rPr>
        <w:t>3．本表后附中标通知书（如有）、合同协议书、施工许可证（如有）、工程接收证书</w:t>
      </w:r>
      <w:r>
        <w:rPr>
          <w:rFonts w:ascii="宋体" w:hAnsi="宋体" w:eastAsia="宋体" w:cs="宋体"/>
          <w:sz w:val="21"/>
          <w:szCs w:val="21"/>
        </w:rPr>
        <w:t>或工程竣工验收证书（工程竣工验收备案证）的扫描件，上述证明材料不足以反</w:t>
      </w:r>
      <w:r>
        <w:rPr>
          <w:rFonts w:ascii="宋体" w:hAnsi="宋体" w:eastAsia="宋体" w:cs="宋体"/>
          <w:spacing w:val="-5"/>
          <w:sz w:val="21"/>
          <w:szCs w:val="21"/>
        </w:rPr>
        <w:t>映“类似项目”</w:t>
      </w:r>
      <w:r>
        <w:rPr>
          <w:rFonts w:ascii="宋体" w:hAnsi="宋体" w:eastAsia="宋体" w:cs="宋体"/>
          <w:spacing w:val="-29"/>
          <w:sz w:val="21"/>
          <w:szCs w:val="21"/>
        </w:rPr>
        <w:t xml:space="preserve"> </w:t>
      </w:r>
      <w:r>
        <w:rPr>
          <w:rFonts w:ascii="宋体" w:hAnsi="宋体" w:eastAsia="宋体" w:cs="宋体"/>
          <w:spacing w:val="-5"/>
          <w:sz w:val="21"/>
          <w:szCs w:val="21"/>
        </w:rPr>
        <w:t>的工程特征指标时，还应当提供其他技术资料的扫描件予以证明。</w:t>
      </w:r>
      <w:r>
        <w:rPr>
          <w:rFonts w:ascii="宋体" w:hAnsi="宋体" w:eastAsia="宋体" w:cs="宋体"/>
          <w:sz w:val="21"/>
          <w:szCs w:val="21"/>
        </w:rPr>
        <w:t>招标发包的工程应附中标通知书，工程总承包发包、施工总承包发包、独立发包</w:t>
      </w:r>
    </w:p>
    <w:p w14:paraId="264F9563">
      <w:pPr>
        <w:spacing w:line="353" w:lineRule="auto"/>
        <w:rPr>
          <w:rFonts w:ascii="宋体" w:hAnsi="宋体" w:eastAsia="宋体" w:cs="宋体"/>
          <w:sz w:val="21"/>
          <w:szCs w:val="21"/>
        </w:rPr>
        <w:sectPr>
          <w:headerReference r:id="rId328" w:type="default"/>
          <w:footerReference r:id="rId329" w:type="default"/>
          <w:pgSz w:w="11910" w:h="16845"/>
          <w:pgMar w:top="2864" w:right="1694" w:bottom="1110" w:left="1786" w:header="2425" w:footer="883" w:gutter="0"/>
          <w:cols w:space="720" w:num="1"/>
        </w:sectPr>
      </w:pPr>
    </w:p>
    <w:p w14:paraId="74BCD648">
      <w:pPr>
        <w:pStyle w:val="2"/>
        <w:spacing w:line="275" w:lineRule="auto"/>
      </w:pPr>
    </w:p>
    <w:p w14:paraId="12E9B729">
      <w:pPr>
        <w:pStyle w:val="2"/>
        <w:spacing w:line="275" w:lineRule="auto"/>
      </w:pPr>
    </w:p>
    <w:p w14:paraId="482CA310">
      <w:pPr>
        <w:pStyle w:val="2"/>
        <w:spacing w:line="275" w:lineRule="auto"/>
      </w:pPr>
    </w:p>
    <w:p w14:paraId="00064EDC">
      <w:pPr>
        <w:pStyle w:val="2"/>
        <w:spacing w:line="275" w:lineRule="auto"/>
      </w:pPr>
    </w:p>
    <w:p w14:paraId="23957D50">
      <w:pPr>
        <w:spacing w:before="68" w:line="350" w:lineRule="auto"/>
        <w:ind w:left="972" w:right="22" w:firstLine="14"/>
        <w:rPr>
          <w:rFonts w:ascii="宋体" w:hAnsi="宋体" w:eastAsia="宋体" w:cs="宋体"/>
          <w:sz w:val="21"/>
          <w:szCs w:val="21"/>
        </w:rPr>
      </w:pPr>
      <w:r>
        <w:rPr>
          <w:rFonts w:ascii="宋体" w:hAnsi="宋体" w:eastAsia="宋体" w:cs="宋体"/>
          <w:spacing w:val="-1"/>
          <w:sz w:val="21"/>
          <w:szCs w:val="21"/>
        </w:rPr>
        <w:t>的施工专业承包应附施工许可证。以工程接收证书或工程竣工验收证书（工程竣</w:t>
      </w:r>
      <w:r>
        <w:rPr>
          <w:rFonts w:ascii="宋体" w:hAnsi="宋体" w:eastAsia="宋体" w:cs="宋体"/>
          <w:spacing w:val="-3"/>
          <w:sz w:val="21"/>
          <w:szCs w:val="21"/>
        </w:rPr>
        <w:t>工验收备案证）时间为准。</w:t>
      </w:r>
    </w:p>
    <w:p w14:paraId="4AE136B7">
      <w:pPr>
        <w:spacing w:line="219" w:lineRule="auto"/>
        <w:ind w:left="653"/>
        <w:rPr>
          <w:rFonts w:ascii="宋体" w:hAnsi="宋体" w:eastAsia="宋体" w:cs="宋体"/>
          <w:sz w:val="21"/>
          <w:szCs w:val="21"/>
        </w:rPr>
      </w:pPr>
      <w:r>
        <w:rPr>
          <w:rFonts w:ascii="宋体" w:hAnsi="宋体" w:eastAsia="宋体" w:cs="宋体"/>
          <w:spacing w:val="-2"/>
          <w:sz w:val="21"/>
          <w:szCs w:val="21"/>
        </w:rPr>
        <w:t>4. 每张表格只填写一个项目，并标明序号。</w:t>
      </w:r>
    </w:p>
    <w:p w14:paraId="65BDED51">
      <w:pPr>
        <w:spacing w:line="219" w:lineRule="auto"/>
        <w:rPr>
          <w:rFonts w:ascii="宋体" w:hAnsi="宋体" w:eastAsia="宋体" w:cs="宋体"/>
          <w:sz w:val="21"/>
          <w:szCs w:val="21"/>
        </w:rPr>
        <w:sectPr>
          <w:headerReference r:id="rId330" w:type="default"/>
          <w:footerReference r:id="rId331" w:type="default"/>
          <w:pgSz w:w="11910" w:h="16845"/>
          <w:pgMar w:top="400" w:right="1786" w:bottom="1110" w:left="1786" w:header="0" w:footer="883" w:gutter="0"/>
          <w:cols w:space="720" w:num="1"/>
        </w:sectPr>
      </w:pPr>
    </w:p>
    <w:p w14:paraId="3E13DEF9">
      <w:pPr>
        <w:pStyle w:val="2"/>
        <w:spacing w:line="275" w:lineRule="auto"/>
      </w:pPr>
    </w:p>
    <w:p w14:paraId="48A3C803">
      <w:pPr>
        <w:pStyle w:val="2"/>
        <w:spacing w:line="276" w:lineRule="auto"/>
      </w:pPr>
    </w:p>
    <w:p w14:paraId="193B8FF8">
      <w:pPr>
        <w:pStyle w:val="2"/>
        <w:spacing w:line="276" w:lineRule="auto"/>
      </w:pPr>
    </w:p>
    <w:p w14:paraId="1E3687E0">
      <w:pPr>
        <w:pStyle w:val="2"/>
        <w:spacing w:line="276" w:lineRule="auto"/>
      </w:pPr>
    </w:p>
    <w:p w14:paraId="298FE487">
      <w:pPr>
        <w:spacing w:before="91" w:line="222" w:lineRule="auto"/>
        <w:ind w:left="80"/>
        <w:outlineLvl w:val="2"/>
        <w:rPr>
          <w:rFonts w:ascii="黑体" w:hAnsi="黑体" w:eastAsia="黑体" w:cs="黑体"/>
          <w:sz w:val="28"/>
          <w:szCs w:val="28"/>
        </w:rPr>
      </w:pPr>
      <w:bookmarkStart w:id="649" w:name="bookmark599"/>
      <w:bookmarkEnd w:id="649"/>
      <w:bookmarkStart w:id="650" w:name="bookmark600"/>
      <w:bookmarkEnd w:id="650"/>
      <w:r>
        <w:rPr>
          <w:rFonts w:ascii="黑体" w:hAnsi="黑体" w:eastAsia="黑体" w:cs="黑体"/>
          <w:spacing w:val="-1"/>
          <w:sz w:val="28"/>
          <w:szCs w:val="28"/>
        </w:rPr>
        <w:t>(四)近年完成的类似项目情况</w:t>
      </w:r>
    </w:p>
    <w:p w14:paraId="7B494CD5">
      <w:pPr>
        <w:spacing w:before="242" w:line="220" w:lineRule="auto"/>
        <w:ind w:left="2149"/>
        <w:outlineLvl w:val="2"/>
        <w:rPr>
          <w:rFonts w:ascii="宋体" w:hAnsi="宋体" w:eastAsia="宋体" w:cs="宋体"/>
          <w:sz w:val="24"/>
          <w:szCs w:val="24"/>
        </w:rPr>
      </w:pPr>
      <w:bookmarkStart w:id="651" w:name="bookmark601"/>
      <w:bookmarkEnd w:id="651"/>
      <w:r>
        <w:rPr>
          <w:rFonts w:ascii="宋体" w:hAnsi="宋体" w:eastAsia="宋体" w:cs="宋体"/>
          <w:spacing w:val="-2"/>
          <w:sz w:val="24"/>
          <w:szCs w:val="24"/>
        </w:rPr>
        <w:t>（四）正在施工的和新承接的项目情况</w:t>
      </w:r>
    </w:p>
    <w:p w14:paraId="7D9EAA07">
      <w:pPr>
        <w:spacing w:before="104" w:line="228" w:lineRule="auto"/>
        <w:ind w:left="2152"/>
        <w:outlineLvl w:val="2"/>
        <w:rPr>
          <w:rFonts w:ascii="黑体" w:hAnsi="黑体" w:eastAsia="黑体" w:cs="黑体"/>
          <w:sz w:val="24"/>
          <w:szCs w:val="24"/>
        </w:rPr>
      </w:pPr>
      <w:bookmarkStart w:id="652" w:name="bookmark728"/>
      <w:bookmarkEnd w:id="652"/>
      <w:r>
        <w:rPr>
          <w:rFonts w:ascii="Times New Roman" w:hAnsi="Times New Roman" w:eastAsia="Times New Roman" w:cs="Times New Roman"/>
          <w:spacing w:val="-1"/>
          <w:sz w:val="24"/>
          <w:szCs w:val="24"/>
        </w:rPr>
        <w:t>4-1</w:t>
      </w:r>
      <w:r>
        <w:rPr>
          <w:rFonts w:ascii="Times New Roman" w:hAnsi="Times New Roman" w:eastAsia="Times New Roman" w:cs="Times New Roman"/>
          <w:spacing w:val="76"/>
          <w:sz w:val="24"/>
          <w:szCs w:val="24"/>
        </w:rPr>
        <w:t xml:space="preserve"> </w:t>
      </w:r>
      <w:r>
        <w:rPr>
          <w:rFonts w:ascii="黑体" w:hAnsi="黑体" w:eastAsia="黑体" w:cs="黑体"/>
          <w:spacing w:val="-1"/>
          <w:sz w:val="24"/>
          <w:szCs w:val="24"/>
        </w:rPr>
        <w:t>正在施工的和新承接的项目汇总表</w:t>
      </w:r>
    </w:p>
    <w:tbl>
      <w:tblPr>
        <w:tblStyle w:val="5"/>
        <w:tblW w:w="8846"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7"/>
      </w:tblGrid>
      <w:tr w14:paraId="76ABC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437B83E6">
            <w:pPr>
              <w:pStyle w:val="6"/>
              <w:spacing w:before="156" w:line="210" w:lineRule="auto"/>
              <w:ind w:left="150"/>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4E06394E">
            <w:pPr>
              <w:pStyle w:val="6"/>
              <w:spacing w:before="150" w:line="220" w:lineRule="auto"/>
              <w:ind w:left="501"/>
              <w:rPr>
                <w:sz w:val="21"/>
                <w:szCs w:val="21"/>
              </w:rPr>
            </w:pPr>
            <w:r>
              <w:rPr>
                <w:spacing w:val="-2"/>
                <w:sz w:val="21"/>
                <w:szCs w:val="21"/>
              </w:rPr>
              <w:t>项目名称</w:t>
            </w:r>
          </w:p>
        </w:tc>
        <w:tc>
          <w:tcPr>
            <w:tcW w:w="1395" w:type="dxa"/>
            <w:vAlign w:val="top"/>
          </w:tcPr>
          <w:p w14:paraId="6C1FAE93">
            <w:pPr>
              <w:pStyle w:val="6"/>
              <w:spacing w:before="150" w:line="220" w:lineRule="auto"/>
              <w:ind w:left="174"/>
              <w:rPr>
                <w:sz w:val="21"/>
                <w:szCs w:val="21"/>
              </w:rPr>
            </w:pPr>
            <w:r>
              <w:rPr>
                <w:spacing w:val="-2"/>
                <w:sz w:val="21"/>
                <w:szCs w:val="21"/>
              </w:rPr>
              <w:t>发包人名称</w:t>
            </w:r>
          </w:p>
        </w:tc>
        <w:tc>
          <w:tcPr>
            <w:tcW w:w="1079" w:type="dxa"/>
            <w:vAlign w:val="top"/>
          </w:tcPr>
          <w:p w14:paraId="34407FB2">
            <w:pPr>
              <w:pStyle w:val="6"/>
              <w:spacing w:before="149" w:line="220" w:lineRule="auto"/>
              <w:ind w:left="129"/>
              <w:rPr>
                <w:sz w:val="21"/>
                <w:szCs w:val="21"/>
              </w:rPr>
            </w:pPr>
            <w:r>
              <w:rPr>
                <w:spacing w:val="-2"/>
                <w:sz w:val="21"/>
                <w:szCs w:val="21"/>
              </w:rPr>
              <w:t>工程规模</w:t>
            </w:r>
          </w:p>
        </w:tc>
        <w:tc>
          <w:tcPr>
            <w:tcW w:w="1109" w:type="dxa"/>
            <w:vAlign w:val="top"/>
          </w:tcPr>
          <w:p w14:paraId="28E193D1">
            <w:pPr>
              <w:pStyle w:val="6"/>
              <w:spacing w:before="150" w:line="218" w:lineRule="auto"/>
              <w:ind w:left="145"/>
              <w:rPr>
                <w:sz w:val="21"/>
                <w:szCs w:val="21"/>
              </w:rPr>
            </w:pPr>
            <w:r>
              <w:rPr>
                <w:spacing w:val="-2"/>
                <w:sz w:val="21"/>
                <w:szCs w:val="21"/>
              </w:rPr>
              <w:t>合同价格</w:t>
            </w:r>
          </w:p>
          <w:p w14:paraId="709D282F">
            <w:pPr>
              <w:pStyle w:val="6"/>
              <w:spacing w:before="142" w:line="220" w:lineRule="auto"/>
              <w:ind w:left="90"/>
              <w:rPr>
                <w:sz w:val="21"/>
                <w:szCs w:val="21"/>
              </w:rPr>
            </w:pPr>
            <w:r>
              <w:rPr>
                <w:spacing w:val="-5"/>
                <w:sz w:val="21"/>
                <w:szCs w:val="21"/>
              </w:rPr>
              <w:t>（万元）</w:t>
            </w:r>
          </w:p>
        </w:tc>
        <w:tc>
          <w:tcPr>
            <w:tcW w:w="1785" w:type="dxa"/>
            <w:vAlign w:val="top"/>
          </w:tcPr>
          <w:p w14:paraId="78F9B892">
            <w:pPr>
              <w:pStyle w:val="6"/>
              <w:spacing w:before="150" w:line="282" w:lineRule="auto"/>
              <w:ind w:left="585" w:right="354" w:hanging="213"/>
              <w:rPr>
                <w:sz w:val="21"/>
                <w:szCs w:val="21"/>
              </w:rPr>
            </w:pPr>
            <w:r>
              <w:rPr>
                <w:spacing w:val="-2"/>
                <w:sz w:val="21"/>
                <w:szCs w:val="21"/>
              </w:rPr>
              <w:t>计划开、竣</w:t>
            </w:r>
            <w:r>
              <w:rPr>
                <w:spacing w:val="-3"/>
                <w:sz w:val="21"/>
                <w:szCs w:val="21"/>
              </w:rPr>
              <w:t>工日期</w:t>
            </w:r>
          </w:p>
        </w:tc>
        <w:tc>
          <w:tcPr>
            <w:tcW w:w="1087" w:type="dxa"/>
            <w:vAlign w:val="top"/>
          </w:tcPr>
          <w:p w14:paraId="4331AEB6">
            <w:pPr>
              <w:pStyle w:val="6"/>
              <w:spacing w:before="150" w:line="220" w:lineRule="auto"/>
              <w:ind w:left="137"/>
              <w:rPr>
                <w:sz w:val="21"/>
                <w:szCs w:val="21"/>
              </w:rPr>
            </w:pPr>
            <w:r>
              <w:rPr>
                <w:spacing w:val="-2"/>
                <w:sz w:val="21"/>
                <w:szCs w:val="21"/>
              </w:rPr>
              <w:t>项目经理</w:t>
            </w:r>
          </w:p>
        </w:tc>
      </w:tr>
      <w:tr w14:paraId="2FCDA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AAAC7CD">
            <w:pPr>
              <w:rPr>
                <w:rFonts w:ascii="Arial"/>
                <w:sz w:val="21"/>
              </w:rPr>
            </w:pPr>
          </w:p>
        </w:tc>
        <w:tc>
          <w:tcPr>
            <w:tcW w:w="1844" w:type="dxa"/>
            <w:vAlign w:val="top"/>
          </w:tcPr>
          <w:p w14:paraId="16F76648">
            <w:pPr>
              <w:rPr>
                <w:rFonts w:ascii="Arial"/>
                <w:sz w:val="21"/>
              </w:rPr>
            </w:pPr>
          </w:p>
        </w:tc>
        <w:tc>
          <w:tcPr>
            <w:tcW w:w="1395" w:type="dxa"/>
            <w:vAlign w:val="top"/>
          </w:tcPr>
          <w:p w14:paraId="22ADF0A2">
            <w:pPr>
              <w:rPr>
                <w:rFonts w:ascii="Arial"/>
                <w:sz w:val="21"/>
              </w:rPr>
            </w:pPr>
          </w:p>
        </w:tc>
        <w:tc>
          <w:tcPr>
            <w:tcW w:w="1079" w:type="dxa"/>
            <w:vAlign w:val="top"/>
          </w:tcPr>
          <w:p w14:paraId="00BB2C15">
            <w:pPr>
              <w:rPr>
                <w:rFonts w:ascii="Arial"/>
                <w:sz w:val="21"/>
              </w:rPr>
            </w:pPr>
          </w:p>
        </w:tc>
        <w:tc>
          <w:tcPr>
            <w:tcW w:w="1109" w:type="dxa"/>
            <w:vAlign w:val="top"/>
          </w:tcPr>
          <w:p w14:paraId="218391F5">
            <w:pPr>
              <w:rPr>
                <w:rFonts w:ascii="Arial"/>
                <w:sz w:val="21"/>
              </w:rPr>
            </w:pPr>
          </w:p>
        </w:tc>
        <w:tc>
          <w:tcPr>
            <w:tcW w:w="1785" w:type="dxa"/>
            <w:vAlign w:val="top"/>
          </w:tcPr>
          <w:p w14:paraId="670D5D47">
            <w:pPr>
              <w:rPr>
                <w:rFonts w:ascii="Arial"/>
                <w:sz w:val="21"/>
              </w:rPr>
            </w:pPr>
          </w:p>
        </w:tc>
        <w:tc>
          <w:tcPr>
            <w:tcW w:w="1087" w:type="dxa"/>
            <w:vAlign w:val="top"/>
          </w:tcPr>
          <w:p w14:paraId="65881643">
            <w:pPr>
              <w:rPr>
                <w:rFonts w:ascii="Arial"/>
                <w:sz w:val="21"/>
              </w:rPr>
            </w:pPr>
          </w:p>
        </w:tc>
      </w:tr>
      <w:tr w14:paraId="7534D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94" w:hRule="atLeast"/>
        </w:trPr>
        <w:tc>
          <w:tcPr>
            <w:tcW w:w="547" w:type="dxa"/>
            <w:vAlign w:val="top"/>
          </w:tcPr>
          <w:p w14:paraId="778B9426">
            <w:pPr>
              <w:rPr>
                <w:rFonts w:ascii="Arial"/>
                <w:sz w:val="21"/>
              </w:rPr>
            </w:pPr>
          </w:p>
        </w:tc>
        <w:tc>
          <w:tcPr>
            <w:tcW w:w="1844" w:type="dxa"/>
            <w:vAlign w:val="top"/>
          </w:tcPr>
          <w:p w14:paraId="312BCA67">
            <w:pPr>
              <w:rPr>
                <w:rFonts w:ascii="Arial"/>
                <w:sz w:val="21"/>
              </w:rPr>
            </w:pPr>
          </w:p>
        </w:tc>
        <w:tc>
          <w:tcPr>
            <w:tcW w:w="1395" w:type="dxa"/>
            <w:vAlign w:val="top"/>
          </w:tcPr>
          <w:p w14:paraId="14D90415">
            <w:pPr>
              <w:rPr>
                <w:rFonts w:ascii="Arial"/>
                <w:sz w:val="21"/>
              </w:rPr>
            </w:pPr>
          </w:p>
        </w:tc>
        <w:tc>
          <w:tcPr>
            <w:tcW w:w="1079" w:type="dxa"/>
            <w:vAlign w:val="top"/>
          </w:tcPr>
          <w:p w14:paraId="6E382E7F">
            <w:pPr>
              <w:rPr>
                <w:rFonts w:ascii="Arial"/>
                <w:sz w:val="21"/>
              </w:rPr>
            </w:pPr>
          </w:p>
        </w:tc>
        <w:tc>
          <w:tcPr>
            <w:tcW w:w="1109" w:type="dxa"/>
            <w:vAlign w:val="top"/>
          </w:tcPr>
          <w:p w14:paraId="46878B76">
            <w:pPr>
              <w:rPr>
                <w:rFonts w:ascii="Arial"/>
                <w:sz w:val="21"/>
              </w:rPr>
            </w:pPr>
          </w:p>
        </w:tc>
        <w:tc>
          <w:tcPr>
            <w:tcW w:w="1785" w:type="dxa"/>
            <w:vAlign w:val="top"/>
          </w:tcPr>
          <w:p w14:paraId="708D65F7">
            <w:pPr>
              <w:rPr>
                <w:rFonts w:ascii="Arial"/>
                <w:sz w:val="21"/>
              </w:rPr>
            </w:pPr>
          </w:p>
        </w:tc>
        <w:tc>
          <w:tcPr>
            <w:tcW w:w="1087" w:type="dxa"/>
            <w:vAlign w:val="top"/>
          </w:tcPr>
          <w:p w14:paraId="5C99901A">
            <w:pPr>
              <w:rPr>
                <w:rFonts w:ascii="Arial"/>
                <w:sz w:val="21"/>
              </w:rPr>
            </w:pPr>
          </w:p>
        </w:tc>
      </w:tr>
      <w:tr w14:paraId="77914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A6BD99A">
            <w:pPr>
              <w:rPr>
                <w:rFonts w:ascii="Arial"/>
                <w:sz w:val="21"/>
              </w:rPr>
            </w:pPr>
          </w:p>
        </w:tc>
        <w:tc>
          <w:tcPr>
            <w:tcW w:w="1844" w:type="dxa"/>
            <w:vAlign w:val="top"/>
          </w:tcPr>
          <w:p w14:paraId="7A84E28B">
            <w:pPr>
              <w:rPr>
                <w:rFonts w:ascii="Arial"/>
                <w:sz w:val="21"/>
              </w:rPr>
            </w:pPr>
          </w:p>
        </w:tc>
        <w:tc>
          <w:tcPr>
            <w:tcW w:w="1395" w:type="dxa"/>
            <w:vAlign w:val="top"/>
          </w:tcPr>
          <w:p w14:paraId="75C9552D">
            <w:pPr>
              <w:rPr>
                <w:rFonts w:ascii="Arial"/>
                <w:sz w:val="21"/>
              </w:rPr>
            </w:pPr>
          </w:p>
        </w:tc>
        <w:tc>
          <w:tcPr>
            <w:tcW w:w="1079" w:type="dxa"/>
            <w:vAlign w:val="top"/>
          </w:tcPr>
          <w:p w14:paraId="419E1BFD">
            <w:pPr>
              <w:rPr>
                <w:rFonts w:ascii="Arial"/>
                <w:sz w:val="21"/>
              </w:rPr>
            </w:pPr>
          </w:p>
        </w:tc>
        <w:tc>
          <w:tcPr>
            <w:tcW w:w="1109" w:type="dxa"/>
            <w:vAlign w:val="top"/>
          </w:tcPr>
          <w:p w14:paraId="09FF9F87">
            <w:pPr>
              <w:rPr>
                <w:rFonts w:ascii="Arial"/>
                <w:sz w:val="21"/>
              </w:rPr>
            </w:pPr>
          </w:p>
        </w:tc>
        <w:tc>
          <w:tcPr>
            <w:tcW w:w="1785" w:type="dxa"/>
            <w:vAlign w:val="top"/>
          </w:tcPr>
          <w:p w14:paraId="6173CCA8">
            <w:pPr>
              <w:rPr>
                <w:rFonts w:ascii="Arial"/>
                <w:sz w:val="21"/>
              </w:rPr>
            </w:pPr>
          </w:p>
        </w:tc>
        <w:tc>
          <w:tcPr>
            <w:tcW w:w="1087" w:type="dxa"/>
            <w:vAlign w:val="top"/>
          </w:tcPr>
          <w:p w14:paraId="1B09D21C">
            <w:pPr>
              <w:rPr>
                <w:rFonts w:ascii="Arial"/>
                <w:sz w:val="21"/>
              </w:rPr>
            </w:pPr>
          </w:p>
        </w:tc>
      </w:tr>
      <w:tr w14:paraId="00FC5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B84A5B1">
            <w:pPr>
              <w:rPr>
                <w:rFonts w:ascii="Arial"/>
                <w:sz w:val="21"/>
              </w:rPr>
            </w:pPr>
          </w:p>
        </w:tc>
        <w:tc>
          <w:tcPr>
            <w:tcW w:w="1844" w:type="dxa"/>
            <w:vAlign w:val="top"/>
          </w:tcPr>
          <w:p w14:paraId="3D14A33B">
            <w:pPr>
              <w:rPr>
                <w:rFonts w:ascii="Arial"/>
                <w:sz w:val="21"/>
              </w:rPr>
            </w:pPr>
          </w:p>
        </w:tc>
        <w:tc>
          <w:tcPr>
            <w:tcW w:w="1395" w:type="dxa"/>
            <w:vAlign w:val="top"/>
          </w:tcPr>
          <w:p w14:paraId="1C4FDD19">
            <w:pPr>
              <w:rPr>
                <w:rFonts w:ascii="Arial"/>
                <w:sz w:val="21"/>
              </w:rPr>
            </w:pPr>
          </w:p>
        </w:tc>
        <w:tc>
          <w:tcPr>
            <w:tcW w:w="1079" w:type="dxa"/>
            <w:vAlign w:val="top"/>
          </w:tcPr>
          <w:p w14:paraId="2DCB1A79">
            <w:pPr>
              <w:rPr>
                <w:rFonts w:ascii="Arial"/>
                <w:sz w:val="21"/>
              </w:rPr>
            </w:pPr>
          </w:p>
        </w:tc>
        <w:tc>
          <w:tcPr>
            <w:tcW w:w="1109" w:type="dxa"/>
            <w:vAlign w:val="top"/>
          </w:tcPr>
          <w:p w14:paraId="11AE67B0">
            <w:pPr>
              <w:rPr>
                <w:rFonts w:ascii="Arial"/>
                <w:sz w:val="21"/>
              </w:rPr>
            </w:pPr>
          </w:p>
        </w:tc>
        <w:tc>
          <w:tcPr>
            <w:tcW w:w="1785" w:type="dxa"/>
            <w:vAlign w:val="top"/>
          </w:tcPr>
          <w:p w14:paraId="00C65827">
            <w:pPr>
              <w:rPr>
                <w:rFonts w:ascii="Arial"/>
                <w:sz w:val="21"/>
              </w:rPr>
            </w:pPr>
          </w:p>
        </w:tc>
        <w:tc>
          <w:tcPr>
            <w:tcW w:w="1087" w:type="dxa"/>
            <w:vAlign w:val="top"/>
          </w:tcPr>
          <w:p w14:paraId="7E8A140C">
            <w:pPr>
              <w:rPr>
                <w:rFonts w:ascii="Arial"/>
                <w:sz w:val="21"/>
              </w:rPr>
            </w:pPr>
          </w:p>
        </w:tc>
      </w:tr>
      <w:tr w14:paraId="5E174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503AA824">
            <w:pPr>
              <w:rPr>
                <w:rFonts w:ascii="Arial"/>
                <w:sz w:val="21"/>
              </w:rPr>
            </w:pPr>
          </w:p>
        </w:tc>
        <w:tc>
          <w:tcPr>
            <w:tcW w:w="1844" w:type="dxa"/>
            <w:vAlign w:val="top"/>
          </w:tcPr>
          <w:p w14:paraId="1DFCE7A2">
            <w:pPr>
              <w:rPr>
                <w:rFonts w:ascii="Arial"/>
                <w:sz w:val="21"/>
              </w:rPr>
            </w:pPr>
          </w:p>
        </w:tc>
        <w:tc>
          <w:tcPr>
            <w:tcW w:w="1395" w:type="dxa"/>
            <w:vAlign w:val="top"/>
          </w:tcPr>
          <w:p w14:paraId="04D6A5E0">
            <w:pPr>
              <w:rPr>
                <w:rFonts w:ascii="Arial"/>
                <w:sz w:val="21"/>
              </w:rPr>
            </w:pPr>
          </w:p>
        </w:tc>
        <w:tc>
          <w:tcPr>
            <w:tcW w:w="1079" w:type="dxa"/>
            <w:vAlign w:val="top"/>
          </w:tcPr>
          <w:p w14:paraId="44B216CD">
            <w:pPr>
              <w:rPr>
                <w:rFonts w:ascii="Arial"/>
                <w:sz w:val="21"/>
              </w:rPr>
            </w:pPr>
          </w:p>
        </w:tc>
        <w:tc>
          <w:tcPr>
            <w:tcW w:w="1109" w:type="dxa"/>
            <w:vAlign w:val="top"/>
          </w:tcPr>
          <w:p w14:paraId="5D8B8BDC">
            <w:pPr>
              <w:rPr>
                <w:rFonts w:ascii="Arial"/>
                <w:sz w:val="21"/>
              </w:rPr>
            </w:pPr>
          </w:p>
        </w:tc>
        <w:tc>
          <w:tcPr>
            <w:tcW w:w="1785" w:type="dxa"/>
            <w:vAlign w:val="top"/>
          </w:tcPr>
          <w:p w14:paraId="55DBF427">
            <w:pPr>
              <w:rPr>
                <w:rFonts w:ascii="Arial"/>
                <w:sz w:val="21"/>
              </w:rPr>
            </w:pPr>
          </w:p>
        </w:tc>
        <w:tc>
          <w:tcPr>
            <w:tcW w:w="1087" w:type="dxa"/>
            <w:vAlign w:val="top"/>
          </w:tcPr>
          <w:p w14:paraId="55F9A3ED">
            <w:pPr>
              <w:rPr>
                <w:rFonts w:ascii="Arial"/>
                <w:sz w:val="21"/>
              </w:rPr>
            </w:pPr>
          </w:p>
        </w:tc>
      </w:tr>
      <w:tr w14:paraId="4E61A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BE66655">
            <w:pPr>
              <w:rPr>
                <w:rFonts w:ascii="Arial"/>
                <w:sz w:val="21"/>
              </w:rPr>
            </w:pPr>
          </w:p>
        </w:tc>
        <w:tc>
          <w:tcPr>
            <w:tcW w:w="1844" w:type="dxa"/>
            <w:vAlign w:val="top"/>
          </w:tcPr>
          <w:p w14:paraId="4ED4FCCF">
            <w:pPr>
              <w:rPr>
                <w:rFonts w:ascii="Arial"/>
                <w:sz w:val="21"/>
              </w:rPr>
            </w:pPr>
          </w:p>
        </w:tc>
        <w:tc>
          <w:tcPr>
            <w:tcW w:w="1395" w:type="dxa"/>
            <w:vAlign w:val="top"/>
          </w:tcPr>
          <w:p w14:paraId="49A81E16">
            <w:pPr>
              <w:rPr>
                <w:rFonts w:ascii="Arial"/>
                <w:sz w:val="21"/>
              </w:rPr>
            </w:pPr>
          </w:p>
        </w:tc>
        <w:tc>
          <w:tcPr>
            <w:tcW w:w="1079" w:type="dxa"/>
            <w:vAlign w:val="top"/>
          </w:tcPr>
          <w:p w14:paraId="65BC15C1">
            <w:pPr>
              <w:rPr>
                <w:rFonts w:ascii="Arial"/>
                <w:sz w:val="21"/>
              </w:rPr>
            </w:pPr>
          </w:p>
        </w:tc>
        <w:tc>
          <w:tcPr>
            <w:tcW w:w="1109" w:type="dxa"/>
            <w:vAlign w:val="top"/>
          </w:tcPr>
          <w:p w14:paraId="504EFB7C">
            <w:pPr>
              <w:rPr>
                <w:rFonts w:ascii="Arial"/>
                <w:sz w:val="21"/>
              </w:rPr>
            </w:pPr>
          </w:p>
        </w:tc>
        <w:tc>
          <w:tcPr>
            <w:tcW w:w="1785" w:type="dxa"/>
            <w:vAlign w:val="top"/>
          </w:tcPr>
          <w:p w14:paraId="780D2C2A">
            <w:pPr>
              <w:rPr>
                <w:rFonts w:ascii="Arial"/>
                <w:sz w:val="21"/>
              </w:rPr>
            </w:pPr>
          </w:p>
        </w:tc>
        <w:tc>
          <w:tcPr>
            <w:tcW w:w="1087" w:type="dxa"/>
            <w:vAlign w:val="top"/>
          </w:tcPr>
          <w:p w14:paraId="7A18D6C5">
            <w:pPr>
              <w:rPr>
                <w:rFonts w:ascii="Arial"/>
                <w:sz w:val="21"/>
              </w:rPr>
            </w:pPr>
          </w:p>
        </w:tc>
      </w:tr>
      <w:tr w14:paraId="5072E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55DD751">
            <w:pPr>
              <w:rPr>
                <w:rFonts w:ascii="Arial"/>
                <w:sz w:val="21"/>
              </w:rPr>
            </w:pPr>
          </w:p>
        </w:tc>
        <w:tc>
          <w:tcPr>
            <w:tcW w:w="1844" w:type="dxa"/>
            <w:vAlign w:val="top"/>
          </w:tcPr>
          <w:p w14:paraId="76FB0A1C">
            <w:pPr>
              <w:rPr>
                <w:rFonts w:ascii="Arial"/>
                <w:sz w:val="21"/>
              </w:rPr>
            </w:pPr>
          </w:p>
        </w:tc>
        <w:tc>
          <w:tcPr>
            <w:tcW w:w="1395" w:type="dxa"/>
            <w:vAlign w:val="top"/>
          </w:tcPr>
          <w:p w14:paraId="6863A822">
            <w:pPr>
              <w:rPr>
                <w:rFonts w:ascii="Arial"/>
                <w:sz w:val="21"/>
              </w:rPr>
            </w:pPr>
          </w:p>
        </w:tc>
        <w:tc>
          <w:tcPr>
            <w:tcW w:w="1079" w:type="dxa"/>
            <w:vAlign w:val="top"/>
          </w:tcPr>
          <w:p w14:paraId="29A65EA0">
            <w:pPr>
              <w:rPr>
                <w:rFonts w:ascii="Arial"/>
                <w:sz w:val="21"/>
              </w:rPr>
            </w:pPr>
          </w:p>
        </w:tc>
        <w:tc>
          <w:tcPr>
            <w:tcW w:w="1109" w:type="dxa"/>
            <w:vAlign w:val="top"/>
          </w:tcPr>
          <w:p w14:paraId="25CEABB0">
            <w:pPr>
              <w:rPr>
                <w:rFonts w:ascii="Arial"/>
                <w:sz w:val="21"/>
              </w:rPr>
            </w:pPr>
          </w:p>
        </w:tc>
        <w:tc>
          <w:tcPr>
            <w:tcW w:w="1785" w:type="dxa"/>
            <w:vAlign w:val="top"/>
          </w:tcPr>
          <w:p w14:paraId="5FAD1AF0">
            <w:pPr>
              <w:rPr>
                <w:rFonts w:ascii="Arial"/>
                <w:sz w:val="21"/>
              </w:rPr>
            </w:pPr>
          </w:p>
        </w:tc>
        <w:tc>
          <w:tcPr>
            <w:tcW w:w="1087" w:type="dxa"/>
            <w:vAlign w:val="top"/>
          </w:tcPr>
          <w:p w14:paraId="54FADB5E">
            <w:pPr>
              <w:rPr>
                <w:rFonts w:ascii="Arial"/>
                <w:sz w:val="21"/>
              </w:rPr>
            </w:pPr>
          </w:p>
        </w:tc>
      </w:tr>
      <w:tr w14:paraId="26CD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27FA1AD">
            <w:pPr>
              <w:rPr>
                <w:rFonts w:ascii="Arial"/>
                <w:sz w:val="21"/>
              </w:rPr>
            </w:pPr>
          </w:p>
        </w:tc>
        <w:tc>
          <w:tcPr>
            <w:tcW w:w="1844" w:type="dxa"/>
            <w:vAlign w:val="top"/>
          </w:tcPr>
          <w:p w14:paraId="209E03D2">
            <w:pPr>
              <w:rPr>
                <w:rFonts w:ascii="Arial"/>
                <w:sz w:val="21"/>
              </w:rPr>
            </w:pPr>
          </w:p>
        </w:tc>
        <w:tc>
          <w:tcPr>
            <w:tcW w:w="1395" w:type="dxa"/>
            <w:vAlign w:val="top"/>
          </w:tcPr>
          <w:p w14:paraId="78E17A80">
            <w:pPr>
              <w:rPr>
                <w:rFonts w:ascii="Arial"/>
                <w:sz w:val="21"/>
              </w:rPr>
            </w:pPr>
          </w:p>
        </w:tc>
        <w:tc>
          <w:tcPr>
            <w:tcW w:w="1079" w:type="dxa"/>
            <w:vAlign w:val="top"/>
          </w:tcPr>
          <w:p w14:paraId="125F2DB2">
            <w:pPr>
              <w:rPr>
                <w:rFonts w:ascii="Arial"/>
                <w:sz w:val="21"/>
              </w:rPr>
            </w:pPr>
          </w:p>
        </w:tc>
        <w:tc>
          <w:tcPr>
            <w:tcW w:w="1109" w:type="dxa"/>
            <w:vAlign w:val="top"/>
          </w:tcPr>
          <w:p w14:paraId="4C08D549">
            <w:pPr>
              <w:rPr>
                <w:rFonts w:ascii="Arial"/>
                <w:sz w:val="21"/>
              </w:rPr>
            </w:pPr>
          </w:p>
        </w:tc>
        <w:tc>
          <w:tcPr>
            <w:tcW w:w="1785" w:type="dxa"/>
            <w:vAlign w:val="top"/>
          </w:tcPr>
          <w:p w14:paraId="7740D7E4">
            <w:pPr>
              <w:rPr>
                <w:rFonts w:ascii="Arial"/>
                <w:sz w:val="21"/>
              </w:rPr>
            </w:pPr>
          </w:p>
        </w:tc>
        <w:tc>
          <w:tcPr>
            <w:tcW w:w="1087" w:type="dxa"/>
            <w:vAlign w:val="top"/>
          </w:tcPr>
          <w:p w14:paraId="246C488F">
            <w:pPr>
              <w:rPr>
                <w:rFonts w:ascii="Arial"/>
                <w:sz w:val="21"/>
              </w:rPr>
            </w:pPr>
          </w:p>
        </w:tc>
      </w:tr>
      <w:tr w14:paraId="51333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FCBFE50">
            <w:pPr>
              <w:rPr>
                <w:rFonts w:ascii="Arial"/>
                <w:sz w:val="21"/>
              </w:rPr>
            </w:pPr>
          </w:p>
        </w:tc>
        <w:tc>
          <w:tcPr>
            <w:tcW w:w="1844" w:type="dxa"/>
            <w:vAlign w:val="top"/>
          </w:tcPr>
          <w:p w14:paraId="03942660">
            <w:pPr>
              <w:rPr>
                <w:rFonts w:ascii="Arial"/>
                <w:sz w:val="21"/>
              </w:rPr>
            </w:pPr>
          </w:p>
        </w:tc>
        <w:tc>
          <w:tcPr>
            <w:tcW w:w="1395" w:type="dxa"/>
            <w:vAlign w:val="top"/>
          </w:tcPr>
          <w:p w14:paraId="4447FA07">
            <w:pPr>
              <w:rPr>
                <w:rFonts w:ascii="Arial"/>
                <w:sz w:val="21"/>
              </w:rPr>
            </w:pPr>
          </w:p>
        </w:tc>
        <w:tc>
          <w:tcPr>
            <w:tcW w:w="1079" w:type="dxa"/>
            <w:vAlign w:val="top"/>
          </w:tcPr>
          <w:p w14:paraId="04C5C14F">
            <w:pPr>
              <w:rPr>
                <w:rFonts w:ascii="Arial"/>
                <w:sz w:val="21"/>
              </w:rPr>
            </w:pPr>
          </w:p>
        </w:tc>
        <w:tc>
          <w:tcPr>
            <w:tcW w:w="1109" w:type="dxa"/>
            <w:vAlign w:val="top"/>
          </w:tcPr>
          <w:p w14:paraId="22059898">
            <w:pPr>
              <w:rPr>
                <w:rFonts w:ascii="Arial"/>
                <w:sz w:val="21"/>
              </w:rPr>
            </w:pPr>
          </w:p>
        </w:tc>
        <w:tc>
          <w:tcPr>
            <w:tcW w:w="1785" w:type="dxa"/>
            <w:vAlign w:val="top"/>
          </w:tcPr>
          <w:p w14:paraId="1BFE67E8">
            <w:pPr>
              <w:rPr>
                <w:rFonts w:ascii="Arial"/>
                <w:sz w:val="21"/>
              </w:rPr>
            </w:pPr>
          </w:p>
        </w:tc>
        <w:tc>
          <w:tcPr>
            <w:tcW w:w="1087" w:type="dxa"/>
            <w:vAlign w:val="top"/>
          </w:tcPr>
          <w:p w14:paraId="30BF7D58">
            <w:pPr>
              <w:rPr>
                <w:rFonts w:ascii="Arial"/>
                <w:sz w:val="21"/>
              </w:rPr>
            </w:pPr>
          </w:p>
        </w:tc>
      </w:tr>
      <w:tr w14:paraId="76DAF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63074AE">
            <w:pPr>
              <w:rPr>
                <w:rFonts w:ascii="Arial"/>
                <w:sz w:val="21"/>
              </w:rPr>
            </w:pPr>
          </w:p>
        </w:tc>
        <w:tc>
          <w:tcPr>
            <w:tcW w:w="1844" w:type="dxa"/>
            <w:vAlign w:val="top"/>
          </w:tcPr>
          <w:p w14:paraId="45E1725D">
            <w:pPr>
              <w:rPr>
                <w:rFonts w:ascii="Arial"/>
                <w:sz w:val="21"/>
              </w:rPr>
            </w:pPr>
          </w:p>
        </w:tc>
        <w:tc>
          <w:tcPr>
            <w:tcW w:w="1395" w:type="dxa"/>
            <w:vAlign w:val="top"/>
          </w:tcPr>
          <w:p w14:paraId="14EBCE39">
            <w:pPr>
              <w:rPr>
                <w:rFonts w:ascii="Arial"/>
                <w:sz w:val="21"/>
              </w:rPr>
            </w:pPr>
          </w:p>
        </w:tc>
        <w:tc>
          <w:tcPr>
            <w:tcW w:w="1079" w:type="dxa"/>
            <w:vAlign w:val="top"/>
          </w:tcPr>
          <w:p w14:paraId="254CC9A3">
            <w:pPr>
              <w:rPr>
                <w:rFonts w:ascii="Arial"/>
                <w:sz w:val="21"/>
              </w:rPr>
            </w:pPr>
          </w:p>
        </w:tc>
        <w:tc>
          <w:tcPr>
            <w:tcW w:w="1109" w:type="dxa"/>
            <w:vAlign w:val="top"/>
          </w:tcPr>
          <w:p w14:paraId="6B12D5CB">
            <w:pPr>
              <w:rPr>
                <w:rFonts w:ascii="Arial"/>
                <w:sz w:val="21"/>
              </w:rPr>
            </w:pPr>
          </w:p>
        </w:tc>
        <w:tc>
          <w:tcPr>
            <w:tcW w:w="1785" w:type="dxa"/>
            <w:vAlign w:val="top"/>
          </w:tcPr>
          <w:p w14:paraId="790DD780">
            <w:pPr>
              <w:rPr>
                <w:rFonts w:ascii="Arial"/>
                <w:sz w:val="21"/>
              </w:rPr>
            </w:pPr>
          </w:p>
        </w:tc>
        <w:tc>
          <w:tcPr>
            <w:tcW w:w="1087" w:type="dxa"/>
            <w:vAlign w:val="top"/>
          </w:tcPr>
          <w:p w14:paraId="0BAE8AAD">
            <w:pPr>
              <w:rPr>
                <w:rFonts w:ascii="Arial"/>
                <w:sz w:val="21"/>
              </w:rPr>
            </w:pPr>
          </w:p>
        </w:tc>
      </w:tr>
      <w:tr w14:paraId="7D036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EE9BFAE">
            <w:pPr>
              <w:rPr>
                <w:rFonts w:ascii="Arial"/>
                <w:sz w:val="21"/>
              </w:rPr>
            </w:pPr>
          </w:p>
        </w:tc>
        <w:tc>
          <w:tcPr>
            <w:tcW w:w="1844" w:type="dxa"/>
            <w:vAlign w:val="top"/>
          </w:tcPr>
          <w:p w14:paraId="354538A5">
            <w:pPr>
              <w:rPr>
                <w:rFonts w:ascii="Arial"/>
                <w:sz w:val="21"/>
              </w:rPr>
            </w:pPr>
          </w:p>
        </w:tc>
        <w:tc>
          <w:tcPr>
            <w:tcW w:w="1395" w:type="dxa"/>
            <w:vAlign w:val="top"/>
          </w:tcPr>
          <w:p w14:paraId="67D7F73D">
            <w:pPr>
              <w:rPr>
                <w:rFonts w:ascii="Arial"/>
                <w:sz w:val="21"/>
              </w:rPr>
            </w:pPr>
          </w:p>
        </w:tc>
        <w:tc>
          <w:tcPr>
            <w:tcW w:w="1079" w:type="dxa"/>
            <w:vAlign w:val="top"/>
          </w:tcPr>
          <w:p w14:paraId="59364BF6">
            <w:pPr>
              <w:rPr>
                <w:rFonts w:ascii="Arial"/>
                <w:sz w:val="21"/>
              </w:rPr>
            </w:pPr>
          </w:p>
        </w:tc>
        <w:tc>
          <w:tcPr>
            <w:tcW w:w="1109" w:type="dxa"/>
            <w:vAlign w:val="top"/>
          </w:tcPr>
          <w:p w14:paraId="1C7464A2">
            <w:pPr>
              <w:rPr>
                <w:rFonts w:ascii="Arial"/>
                <w:sz w:val="21"/>
              </w:rPr>
            </w:pPr>
          </w:p>
        </w:tc>
        <w:tc>
          <w:tcPr>
            <w:tcW w:w="1785" w:type="dxa"/>
            <w:vAlign w:val="top"/>
          </w:tcPr>
          <w:p w14:paraId="043451FB">
            <w:pPr>
              <w:rPr>
                <w:rFonts w:ascii="Arial"/>
                <w:sz w:val="21"/>
              </w:rPr>
            </w:pPr>
          </w:p>
        </w:tc>
        <w:tc>
          <w:tcPr>
            <w:tcW w:w="1087" w:type="dxa"/>
            <w:vAlign w:val="top"/>
          </w:tcPr>
          <w:p w14:paraId="7216D9EB">
            <w:pPr>
              <w:rPr>
                <w:rFonts w:ascii="Arial"/>
                <w:sz w:val="21"/>
              </w:rPr>
            </w:pPr>
          </w:p>
        </w:tc>
      </w:tr>
      <w:tr w14:paraId="5A8E4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308B8EB">
            <w:pPr>
              <w:rPr>
                <w:rFonts w:ascii="Arial"/>
                <w:sz w:val="21"/>
              </w:rPr>
            </w:pPr>
          </w:p>
        </w:tc>
        <w:tc>
          <w:tcPr>
            <w:tcW w:w="1844" w:type="dxa"/>
            <w:vAlign w:val="top"/>
          </w:tcPr>
          <w:p w14:paraId="57B895EA">
            <w:pPr>
              <w:rPr>
                <w:rFonts w:ascii="Arial"/>
                <w:sz w:val="21"/>
              </w:rPr>
            </w:pPr>
          </w:p>
        </w:tc>
        <w:tc>
          <w:tcPr>
            <w:tcW w:w="1395" w:type="dxa"/>
            <w:vAlign w:val="top"/>
          </w:tcPr>
          <w:p w14:paraId="43064663">
            <w:pPr>
              <w:rPr>
                <w:rFonts w:ascii="Arial"/>
                <w:sz w:val="21"/>
              </w:rPr>
            </w:pPr>
          </w:p>
        </w:tc>
        <w:tc>
          <w:tcPr>
            <w:tcW w:w="1079" w:type="dxa"/>
            <w:vAlign w:val="top"/>
          </w:tcPr>
          <w:p w14:paraId="58D2EBF3">
            <w:pPr>
              <w:rPr>
                <w:rFonts w:ascii="Arial"/>
                <w:sz w:val="21"/>
              </w:rPr>
            </w:pPr>
          </w:p>
        </w:tc>
        <w:tc>
          <w:tcPr>
            <w:tcW w:w="1109" w:type="dxa"/>
            <w:vAlign w:val="top"/>
          </w:tcPr>
          <w:p w14:paraId="65D2EBEB">
            <w:pPr>
              <w:rPr>
                <w:rFonts w:ascii="Arial"/>
                <w:sz w:val="21"/>
              </w:rPr>
            </w:pPr>
          </w:p>
        </w:tc>
        <w:tc>
          <w:tcPr>
            <w:tcW w:w="1785" w:type="dxa"/>
            <w:vAlign w:val="top"/>
          </w:tcPr>
          <w:p w14:paraId="14C46B4C">
            <w:pPr>
              <w:rPr>
                <w:rFonts w:ascii="Arial"/>
                <w:sz w:val="21"/>
              </w:rPr>
            </w:pPr>
          </w:p>
        </w:tc>
        <w:tc>
          <w:tcPr>
            <w:tcW w:w="1087" w:type="dxa"/>
            <w:vAlign w:val="top"/>
          </w:tcPr>
          <w:p w14:paraId="397BAEA8">
            <w:pPr>
              <w:rPr>
                <w:rFonts w:ascii="Arial"/>
                <w:sz w:val="21"/>
              </w:rPr>
            </w:pPr>
          </w:p>
        </w:tc>
      </w:tr>
      <w:tr w14:paraId="4BE8A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6631F00">
            <w:pPr>
              <w:rPr>
                <w:rFonts w:ascii="Arial"/>
                <w:sz w:val="21"/>
              </w:rPr>
            </w:pPr>
          </w:p>
        </w:tc>
        <w:tc>
          <w:tcPr>
            <w:tcW w:w="1844" w:type="dxa"/>
            <w:vAlign w:val="top"/>
          </w:tcPr>
          <w:p w14:paraId="41EC9694">
            <w:pPr>
              <w:rPr>
                <w:rFonts w:ascii="Arial"/>
                <w:sz w:val="21"/>
              </w:rPr>
            </w:pPr>
          </w:p>
        </w:tc>
        <w:tc>
          <w:tcPr>
            <w:tcW w:w="1395" w:type="dxa"/>
            <w:vAlign w:val="top"/>
          </w:tcPr>
          <w:p w14:paraId="22832757">
            <w:pPr>
              <w:rPr>
                <w:rFonts w:ascii="Arial"/>
                <w:sz w:val="21"/>
              </w:rPr>
            </w:pPr>
          </w:p>
        </w:tc>
        <w:tc>
          <w:tcPr>
            <w:tcW w:w="1079" w:type="dxa"/>
            <w:vAlign w:val="top"/>
          </w:tcPr>
          <w:p w14:paraId="6F01F0CA">
            <w:pPr>
              <w:rPr>
                <w:rFonts w:ascii="Arial"/>
                <w:sz w:val="21"/>
              </w:rPr>
            </w:pPr>
          </w:p>
        </w:tc>
        <w:tc>
          <w:tcPr>
            <w:tcW w:w="1109" w:type="dxa"/>
            <w:vAlign w:val="top"/>
          </w:tcPr>
          <w:p w14:paraId="4C752BA3">
            <w:pPr>
              <w:rPr>
                <w:rFonts w:ascii="Arial"/>
                <w:sz w:val="21"/>
              </w:rPr>
            </w:pPr>
          </w:p>
        </w:tc>
        <w:tc>
          <w:tcPr>
            <w:tcW w:w="1785" w:type="dxa"/>
            <w:vAlign w:val="top"/>
          </w:tcPr>
          <w:p w14:paraId="668BFD4A">
            <w:pPr>
              <w:rPr>
                <w:rFonts w:ascii="Arial"/>
                <w:sz w:val="21"/>
              </w:rPr>
            </w:pPr>
          </w:p>
        </w:tc>
        <w:tc>
          <w:tcPr>
            <w:tcW w:w="1087" w:type="dxa"/>
            <w:vAlign w:val="top"/>
          </w:tcPr>
          <w:p w14:paraId="5A21F9A0">
            <w:pPr>
              <w:rPr>
                <w:rFonts w:ascii="Arial"/>
                <w:sz w:val="21"/>
              </w:rPr>
            </w:pPr>
          </w:p>
        </w:tc>
      </w:tr>
      <w:tr w14:paraId="24FC9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315B0642">
            <w:pPr>
              <w:rPr>
                <w:rFonts w:ascii="Arial"/>
                <w:sz w:val="21"/>
              </w:rPr>
            </w:pPr>
          </w:p>
        </w:tc>
        <w:tc>
          <w:tcPr>
            <w:tcW w:w="1844" w:type="dxa"/>
            <w:vAlign w:val="top"/>
          </w:tcPr>
          <w:p w14:paraId="73C767B0">
            <w:pPr>
              <w:rPr>
                <w:rFonts w:ascii="Arial"/>
                <w:sz w:val="21"/>
              </w:rPr>
            </w:pPr>
          </w:p>
        </w:tc>
        <w:tc>
          <w:tcPr>
            <w:tcW w:w="1395" w:type="dxa"/>
            <w:vAlign w:val="top"/>
          </w:tcPr>
          <w:p w14:paraId="4452DBEB">
            <w:pPr>
              <w:rPr>
                <w:rFonts w:ascii="Arial"/>
                <w:sz w:val="21"/>
              </w:rPr>
            </w:pPr>
          </w:p>
        </w:tc>
        <w:tc>
          <w:tcPr>
            <w:tcW w:w="1079" w:type="dxa"/>
            <w:vAlign w:val="top"/>
          </w:tcPr>
          <w:p w14:paraId="7A39A9B3">
            <w:pPr>
              <w:rPr>
                <w:rFonts w:ascii="Arial"/>
                <w:sz w:val="21"/>
              </w:rPr>
            </w:pPr>
          </w:p>
        </w:tc>
        <w:tc>
          <w:tcPr>
            <w:tcW w:w="1109" w:type="dxa"/>
            <w:vAlign w:val="top"/>
          </w:tcPr>
          <w:p w14:paraId="26705CFF">
            <w:pPr>
              <w:rPr>
                <w:rFonts w:ascii="Arial"/>
                <w:sz w:val="21"/>
              </w:rPr>
            </w:pPr>
          </w:p>
        </w:tc>
        <w:tc>
          <w:tcPr>
            <w:tcW w:w="1785" w:type="dxa"/>
            <w:vAlign w:val="top"/>
          </w:tcPr>
          <w:p w14:paraId="61003F47">
            <w:pPr>
              <w:rPr>
                <w:rFonts w:ascii="Arial"/>
                <w:sz w:val="21"/>
              </w:rPr>
            </w:pPr>
          </w:p>
        </w:tc>
        <w:tc>
          <w:tcPr>
            <w:tcW w:w="1087" w:type="dxa"/>
            <w:vAlign w:val="top"/>
          </w:tcPr>
          <w:p w14:paraId="58A815C5">
            <w:pPr>
              <w:rPr>
                <w:rFonts w:ascii="Arial"/>
                <w:sz w:val="21"/>
              </w:rPr>
            </w:pPr>
          </w:p>
        </w:tc>
      </w:tr>
      <w:tr w14:paraId="691D8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6885710">
            <w:pPr>
              <w:rPr>
                <w:rFonts w:ascii="Arial"/>
                <w:sz w:val="21"/>
              </w:rPr>
            </w:pPr>
          </w:p>
        </w:tc>
        <w:tc>
          <w:tcPr>
            <w:tcW w:w="1844" w:type="dxa"/>
            <w:vAlign w:val="top"/>
          </w:tcPr>
          <w:p w14:paraId="531B2D3D">
            <w:pPr>
              <w:rPr>
                <w:rFonts w:ascii="Arial"/>
                <w:sz w:val="21"/>
              </w:rPr>
            </w:pPr>
          </w:p>
        </w:tc>
        <w:tc>
          <w:tcPr>
            <w:tcW w:w="1395" w:type="dxa"/>
            <w:vAlign w:val="top"/>
          </w:tcPr>
          <w:p w14:paraId="38B039A8">
            <w:pPr>
              <w:rPr>
                <w:rFonts w:ascii="Arial"/>
                <w:sz w:val="21"/>
              </w:rPr>
            </w:pPr>
          </w:p>
        </w:tc>
        <w:tc>
          <w:tcPr>
            <w:tcW w:w="1079" w:type="dxa"/>
            <w:vAlign w:val="top"/>
          </w:tcPr>
          <w:p w14:paraId="1909882D">
            <w:pPr>
              <w:rPr>
                <w:rFonts w:ascii="Arial"/>
                <w:sz w:val="21"/>
              </w:rPr>
            </w:pPr>
          </w:p>
        </w:tc>
        <w:tc>
          <w:tcPr>
            <w:tcW w:w="1109" w:type="dxa"/>
            <w:vAlign w:val="top"/>
          </w:tcPr>
          <w:p w14:paraId="34C7B483">
            <w:pPr>
              <w:rPr>
                <w:rFonts w:ascii="Arial"/>
                <w:sz w:val="21"/>
              </w:rPr>
            </w:pPr>
          </w:p>
        </w:tc>
        <w:tc>
          <w:tcPr>
            <w:tcW w:w="1785" w:type="dxa"/>
            <w:vAlign w:val="top"/>
          </w:tcPr>
          <w:p w14:paraId="28BC792C">
            <w:pPr>
              <w:rPr>
                <w:rFonts w:ascii="Arial"/>
                <w:sz w:val="21"/>
              </w:rPr>
            </w:pPr>
          </w:p>
        </w:tc>
        <w:tc>
          <w:tcPr>
            <w:tcW w:w="1087" w:type="dxa"/>
            <w:vAlign w:val="top"/>
          </w:tcPr>
          <w:p w14:paraId="22B50656">
            <w:pPr>
              <w:rPr>
                <w:rFonts w:ascii="Arial"/>
                <w:sz w:val="21"/>
              </w:rPr>
            </w:pPr>
          </w:p>
        </w:tc>
      </w:tr>
      <w:tr w14:paraId="1F175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308613FE">
            <w:pPr>
              <w:rPr>
                <w:rFonts w:ascii="Arial"/>
                <w:sz w:val="21"/>
              </w:rPr>
            </w:pPr>
          </w:p>
        </w:tc>
        <w:tc>
          <w:tcPr>
            <w:tcW w:w="1844" w:type="dxa"/>
            <w:vAlign w:val="top"/>
          </w:tcPr>
          <w:p w14:paraId="03C5CFED">
            <w:pPr>
              <w:rPr>
                <w:rFonts w:ascii="Arial"/>
                <w:sz w:val="21"/>
              </w:rPr>
            </w:pPr>
          </w:p>
        </w:tc>
        <w:tc>
          <w:tcPr>
            <w:tcW w:w="1395" w:type="dxa"/>
            <w:vAlign w:val="top"/>
          </w:tcPr>
          <w:p w14:paraId="683C5AB1">
            <w:pPr>
              <w:rPr>
                <w:rFonts w:ascii="Arial"/>
                <w:sz w:val="21"/>
              </w:rPr>
            </w:pPr>
          </w:p>
        </w:tc>
        <w:tc>
          <w:tcPr>
            <w:tcW w:w="1079" w:type="dxa"/>
            <w:vAlign w:val="top"/>
          </w:tcPr>
          <w:p w14:paraId="2AF42203">
            <w:pPr>
              <w:rPr>
                <w:rFonts w:ascii="Arial"/>
                <w:sz w:val="21"/>
              </w:rPr>
            </w:pPr>
          </w:p>
        </w:tc>
        <w:tc>
          <w:tcPr>
            <w:tcW w:w="1109" w:type="dxa"/>
            <w:vAlign w:val="top"/>
          </w:tcPr>
          <w:p w14:paraId="13B802E1">
            <w:pPr>
              <w:rPr>
                <w:rFonts w:ascii="Arial"/>
                <w:sz w:val="21"/>
              </w:rPr>
            </w:pPr>
          </w:p>
        </w:tc>
        <w:tc>
          <w:tcPr>
            <w:tcW w:w="1785" w:type="dxa"/>
            <w:vAlign w:val="top"/>
          </w:tcPr>
          <w:p w14:paraId="4D5616D6">
            <w:pPr>
              <w:rPr>
                <w:rFonts w:ascii="Arial"/>
                <w:sz w:val="21"/>
              </w:rPr>
            </w:pPr>
          </w:p>
        </w:tc>
        <w:tc>
          <w:tcPr>
            <w:tcW w:w="1087" w:type="dxa"/>
            <w:vAlign w:val="top"/>
          </w:tcPr>
          <w:p w14:paraId="00C6955B">
            <w:pPr>
              <w:rPr>
                <w:rFonts w:ascii="Arial"/>
                <w:sz w:val="21"/>
              </w:rPr>
            </w:pPr>
          </w:p>
        </w:tc>
      </w:tr>
    </w:tbl>
    <w:p w14:paraId="31B208C3">
      <w:pPr>
        <w:pStyle w:val="2"/>
      </w:pPr>
    </w:p>
    <w:p w14:paraId="3A2C1641">
      <w:pPr>
        <w:sectPr>
          <w:footerReference r:id="rId332" w:type="default"/>
          <w:pgSz w:w="11910" w:h="16845"/>
          <w:pgMar w:top="400" w:right="1080" w:bottom="1110" w:left="1786" w:header="0" w:footer="883" w:gutter="0"/>
          <w:cols w:space="720" w:num="1"/>
        </w:sectPr>
      </w:pPr>
    </w:p>
    <w:tbl>
      <w:tblPr>
        <w:tblStyle w:val="5"/>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06"/>
        <w:gridCol w:w="6109"/>
      </w:tblGrid>
      <w:tr w14:paraId="19384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0A4785D5">
            <w:pPr>
              <w:pStyle w:val="6"/>
              <w:spacing w:before="195" w:line="220" w:lineRule="auto"/>
              <w:ind w:left="792"/>
              <w:outlineLvl w:val="2"/>
              <w:rPr>
                <w:sz w:val="21"/>
                <w:szCs w:val="21"/>
              </w:rPr>
            </w:pPr>
            <w:bookmarkStart w:id="653" w:name="bookmark602"/>
            <w:bookmarkEnd w:id="653"/>
            <w:r>
              <w:rPr>
                <w:spacing w:val="-2"/>
                <w:sz w:val="21"/>
                <w:szCs w:val="21"/>
              </w:rPr>
              <w:t>项目名称</w:t>
            </w:r>
          </w:p>
        </w:tc>
        <w:tc>
          <w:tcPr>
            <w:tcW w:w="6109" w:type="dxa"/>
            <w:vAlign w:val="top"/>
          </w:tcPr>
          <w:p w14:paraId="1E555572">
            <w:pPr>
              <w:rPr>
                <w:rFonts w:ascii="Arial"/>
                <w:sz w:val="21"/>
              </w:rPr>
            </w:pPr>
          </w:p>
        </w:tc>
      </w:tr>
      <w:tr w14:paraId="16B77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1373F1E8">
            <w:pPr>
              <w:pStyle w:val="6"/>
              <w:spacing w:before="188" w:line="220" w:lineRule="auto"/>
              <w:ind w:left="687"/>
              <w:rPr>
                <w:sz w:val="21"/>
                <w:szCs w:val="21"/>
              </w:rPr>
            </w:pPr>
            <w:r>
              <w:rPr>
                <w:spacing w:val="-2"/>
                <w:sz w:val="21"/>
                <w:szCs w:val="21"/>
              </w:rPr>
              <w:t>项目所在地</w:t>
            </w:r>
          </w:p>
        </w:tc>
        <w:tc>
          <w:tcPr>
            <w:tcW w:w="6109" w:type="dxa"/>
            <w:vAlign w:val="top"/>
          </w:tcPr>
          <w:p w14:paraId="339BED36">
            <w:pPr>
              <w:rPr>
                <w:rFonts w:ascii="Arial"/>
                <w:sz w:val="21"/>
              </w:rPr>
            </w:pPr>
          </w:p>
        </w:tc>
      </w:tr>
      <w:tr w14:paraId="4D2F3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22CC9642">
            <w:pPr>
              <w:pStyle w:val="6"/>
              <w:spacing w:before="189" w:line="220" w:lineRule="auto"/>
              <w:ind w:left="687"/>
              <w:rPr>
                <w:sz w:val="21"/>
                <w:szCs w:val="21"/>
              </w:rPr>
            </w:pPr>
            <w:r>
              <w:rPr>
                <w:spacing w:val="-2"/>
                <w:sz w:val="21"/>
                <w:szCs w:val="21"/>
              </w:rPr>
              <w:t>发包人名称</w:t>
            </w:r>
          </w:p>
        </w:tc>
        <w:tc>
          <w:tcPr>
            <w:tcW w:w="6109" w:type="dxa"/>
            <w:vAlign w:val="top"/>
          </w:tcPr>
          <w:p w14:paraId="523C7988">
            <w:pPr>
              <w:rPr>
                <w:rFonts w:ascii="Arial"/>
                <w:sz w:val="21"/>
              </w:rPr>
            </w:pPr>
          </w:p>
        </w:tc>
      </w:tr>
      <w:tr w14:paraId="36790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3E5751D8">
            <w:pPr>
              <w:pStyle w:val="6"/>
              <w:spacing w:before="205" w:line="220" w:lineRule="auto"/>
              <w:ind w:left="687"/>
              <w:rPr>
                <w:sz w:val="21"/>
                <w:szCs w:val="21"/>
              </w:rPr>
            </w:pPr>
            <w:r>
              <w:rPr>
                <w:spacing w:val="-2"/>
                <w:sz w:val="21"/>
                <w:szCs w:val="21"/>
              </w:rPr>
              <w:t>发包人地址</w:t>
            </w:r>
          </w:p>
        </w:tc>
        <w:tc>
          <w:tcPr>
            <w:tcW w:w="6109" w:type="dxa"/>
            <w:vAlign w:val="top"/>
          </w:tcPr>
          <w:p w14:paraId="2AD6FE1A">
            <w:pPr>
              <w:rPr>
                <w:rFonts w:ascii="Arial"/>
                <w:sz w:val="21"/>
              </w:rPr>
            </w:pPr>
          </w:p>
        </w:tc>
      </w:tr>
      <w:tr w14:paraId="61C63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1D3A4F0">
            <w:pPr>
              <w:pStyle w:val="6"/>
              <w:spacing w:before="191" w:line="220" w:lineRule="auto"/>
              <w:ind w:left="687"/>
              <w:rPr>
                <w:sz w:val="21"/>
                <w:szCs w:val="21"/>
              </w:rPr>
            </w:pPr>
            <w:r>
              <w:rPr>
                <w:spacing w:val="-2"/>
                <w:sz w:val="21"/>
                <w:szCs w:val="21"/>
              </w:rPr>
              <w:t>发包人电话</w:t>
            </w:r>
          </w:p>
        </w:tc>
        <w:tc>
          <w:tcPr>
            <w:tcW w:w="6109" w:type="dxa"/>
            <w:vAlign w:val="top"/>
          </w:tcPr>
          <w:p w14:paraId="68590977">
            <w:pPr>
              <w:rPr>
                <w:rFonts w:ascii="Arial"/>
                <w:sz w:val="21"/>
              </w:rPr>
            </w:pPr>
          </w:p>
        </w:tc>
      </w:tr>
      <w:tr w14:paraId="13F61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DC133E1">
            <w:pPr>
              <w:pStyle w:val="6"/>
              <w:spacing w:before="193" w:line="218" w:lineRule="auto"/>
              <w:ind w:left="684"/>
              <w:rPr>
                <w:sz w:val="21"/>
                <w:szCs w:val="21"/>
              </w:rPr>
            </w:pPr>
            <w:r>
              <w:rPr>
                <w:spacing w:val="-1"/>
                <w:sz w:val="21"/>
                <w:szCs w:val="21"/>
              </w:rPr>
              <w:t>签约合同价</w:t>
            </w:r>
          </w:p>
        </w:tc>
        <w:tc>
          <w:tcPr>
            <w:tcW w:w="6109" w:type="dxa"/>
            <w:vAlign w:val="top"/>
          </w:tcPr>
          <w:p w14:paraId="4789A869">
            <w:pPr>
              <w:rPr>
                <w:rFonts w:ascii="Arial"/>
                <w:sz w:val="21"/>
              </w:rPr>
            </w:pPr>
          </w:p>
        </w:tc>
      </w:tr>
      <w:tr w14:paraId="76B50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0343BF99">
            <w:pPr>
              <w:pStyle w:val="6"/>
              <w:spacing w:before="193" w:line="220" w:lineRule="auto"/>
              <w:ind w:left="790"/>
              <w:rPr>
                <w:sz w:val="21"/>
                <w:szCs w:val="21"/>
              </w:rPr>
            </w:pPr>
            <w:r>
              <w:rPr>
                <w:spacing w:val="-2"/>
                <w:sz w:val="21"/>
                <w:szCs w:val="21"/>
              </w:rPr>
              <w:t>开工日期</w:t>
            </w:r>
          </w:p>
        </w:tc>
        <w:tc>
          <w:tcPr>
            <w:tcW w:w="6109" w:type="dxa"/>
            <w:vAlign w:val="top"/>
          </w:tcPr>
          <w:p w14:paraId="1E698EB4">
            <w:pPr>
              <w:rPr>
                <w:rFonts w:ascii="Arial"/>
                <w:sz w:val="21"/>
              </w:rPr>
            </w:pPr>
          </w:p>
        </w:tc>
      </w:tr>
      <w:tr w14:paraId="480B9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264CFBF9">
            <w:pPr>
              <w:pStyle w:val="6"/>
              <w:spacing w:before="193" w:line="220" w:lineRule="auto"/>
              <w:ind w:left="579"/>
              <w:rPr>
                <w:sz w:val="21"/>
                <w:szCs w:val="21"/>
              </w:rPr>
            </w:pPr>
            <w:r>
              <w:rPr>
                <w:spacing w:val="-1"/>
                <w:sz w:val="21"/>
                <w:szCs w:val="21"/>
              </w:rPr>
              <w:t>计划竣工日期</w:t>
            </w:r>
          </w:p>
        </w:tc>
        <w:tc>
          <w:tcPr>
            <w:tcW w:w="6109" w:type="dxa"/>
            <w:vAlign w:val="top"/>
          </w:tcPr>
          <w:p w14:paraId="6BC1F83B">
            <w:pPr>
              <w:rPr>
                <w:rFonts w:ascii="Arial"/>
                <w:sz w:val="21"/>
              </w:rPr>
            </w:pPr>
          </w:p>
        </w:tc>
      </w:tr>
      <w:tr w14:paraId="2EA1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4283ED4C">
            <w:pPr>
              <w:pStyle w:val="6"/>
              <w:spacing w:before="194" w:line="220" w:lineRule="auto"/>
              <w:ind w:left="684"/>
              <w:rPr>
                <w:sz w:val="21"/>
                <w:szCs w:val="21"/>
              </w:rPr>
            </w:pPr>
            <w:r>
              <w:rPr>
                <w:spacing w:val="-1"/>
                <w:sz w:val="21"/>
                <w:szCs w:val="21"/>
              </w:rPr>
              <w:t>承担的工作</w:t>
            </w:r>
          </w:p>
        </w:tc>
        <w:tc>
          <w:tcPr>
            <w:tcW w:w="6109" w:type="dxa"/>
            <w:vAlign w:val="top"/>
          </w:tcPr>
          <w:p w14:paraId="257BEBBD">
            <w:pPr>
              <w:rPr>
                <w:rFonts w:ascii="Arial"/>
                <w:sz w:val="21"/>
              </w:rPr>
            </w:pPr>
          </w:p>
        </w:tc>
      </w:tr>
      <w:tr w14:paraId="3B7D4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06" w:type="dxa"/>
            <w:vAlign w:val="top"/>
          </w:tcPr>
          <w:p w14:paraId="1CABE4A8">
            <w:pPr>
              <w:pStyle w:val="6"/>
              <w:spacing w:before="195" w:line="220" w:lineRule="auto"/>
              <w:ind w:left="791"/>
              <w:rPr>
                <w:sz w:val="21"/>
                <w:szCs w:val="21"/>
              </w:rPr>
            </w:pPr>
            <w:r>
              <w:rPr>
                <w:spacing w:val="-2"/>
                <w:sz w:val="21"/>
                <w:szCs w:val="21"/>
              </w:rPr>
              <w:t>工程质量</w:t>
            </w:r>
          </w:p>
        </w:tc>
        <w:tc>
          <w:tcPr>
            <w:tcW w:w="6109" w:type="dxa"/>
            <w:vAlign w:val="top"/>
          </w:tcPr>
          <w:p w14:paraId="72EB3874">
            <w:pPr>
              <w:rPr>
                <w:rFonts w:ascii="Arial"/>
                <w:sz w:val="21"/>
              </w:rPr>
            </w:pPr>
          </w:p>
        </w:tc>
      </w:tr>
      <w:tr w14:paraId="3BE69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06" w:type="dxa"/>
            <w:vAlign w:val="top"/>
          </w:tcPr>
          <w:p w14:paraId="4B02EED4">
            <w:pPr>
              <w:pStyle w:val="6"/>
              <w:spacing w:before="196" w:line="220" w:lineRule="auto"/>
              <w:ind w:left="792"/>
              <w:rPr>
                <w:sz w:val="21"/>
                <w:szCs w:val="21"/>
              </w:rPr>
            </w:pPr>
            <w:r>
              <w:rPr>
                <w:spacing w:val="-2"/>
                <w:sz w:val="21"/>
                <w:szCs w:val="21"/>
              </w:rPr>
              <w:t>项目经理</w:t>
            </w:r>
          </w:p>
        </w:tc>
        <w:tc>
          <w:tcPr>
            <w:tcW w:w="6109" w:type="dxa"/>
            <w:vAlign w:val="top"/>
          </w:tcPr>
          <w:p w14:paraId="15F0D8D9">
            <w:pPr>
              <w:rPr>
                <w:rFonts w:ascii="Arial"/>
                <w:sz w:val="21"/>
              </w:rPr>
            </w:pPr>
          </w:p>
        </w:tc>
      </w:tr>
      <w:tr w14:paraId="25679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7A23E48E">
            <w:pPr>
              <w:pStyle w:val="6"/>
              <w:spacing w:before="197" w:line="220" w:lineRule="auto"/>
              <w:ind w:left="685"/>
              <w:rPr>
                <w:sz w:val="21"/>
                <w:szCs w:val="21"/>
              </w:rPr>
            </w:pPr>
            <w:r>
              <w:rPr>
                <w:spacing w:val="-2"/>
                <w:sz w:val="21"/>
                <w:szCs w:val="21"/>
              </w:rPr>
              <w:t>技术负责人</w:t>
            </w:r>
          </w:p>
        </w:tc>
        <w:tc>
          <w:tcPr>
            <w:tcW w:w="6109" w:type="dxa"/>
            <w:vAlign w:val="top"/>
          </w:tcPr>
          <w:p w14:paraId="19C914DD">
            <w:pPr>
              <w:rPr>
                <w:rFonts w:ascii="Arial"/>
                <w:sz w:val="21"/>
              </w:rPr>
            </w:pPr>
          </w:p>
        </w:tc>
      </w:tr>
      <w:tr w14:paraId="2EA11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06" w:type="dxa"/>
            <w:vAlign w:val="top"/>
          </w:tcPr>
          <w:p w14:paraId="6070C81D">
            <w:pPr>
              <w:pStyle w:val="6"/>
              <w:spacing w:before="197" w:line="220" w:lineRule="auto"/>
              <w:ind w:left="269"/>
              <w:rPr>
                <w:sz w:val="21"/>
                <w:szCs w:val="21"/>
              </w:rPr>
            </w:pPr>
            <w:r>
              <w:rPr>
                <w:spacing w:val="-1"/>
                <w:sz w:val="21"/>
                <w:szCs w:val="21"/>
              </w:rPr>
              <w:t>总监理工程师及电话</w:t>
            </w:r>
          </w:p>
        </w:tc>
        <w:tc>
          <w:tcPr>
            <w:tcW w:w="6109" w:type="dxa"/>
            <w:vAlign w:val="top"/>
          </w:tcPr>
          <w:p w14:paraId="5C33CCDB">
            <w:pPr>
              <w:rPr>
                <w:rFonts w:ascii="Arial"/>
                <w:sz w:val="21"/>
              </w:rPr>
            </w:pPr>
          </w:p>
        </w:tc>
      </w:tr>
      <w:tr w14:paraId="01E9F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9" w:hRule="atLeast"/>
        </w:trPr>
        <w:tc>
          <w:tcPr>
            <w:tcW w:w="2406" w:type="dxa"/>
            <w:vAlign w:val="top"/>
          </w:tcPr>
          <w:p w14:paraId="1F001752">
            <w:pPr>
              <w:spacing w:line="271" w:lineRule="auto"/>
              <w:rPr>
                <w:rFonts w:ascii="Arial"/>
                <w:sz w:val="21"/>
              </w:rPr>
            </w:pPr>
          </w:p>
          <w:p w14:paraId="26092D0F">
            <w:pPr>
              <w:spacing w:line="271" w:lineRule="auto"/>
              <w:rPr>
                <w:rFonts w:ascii="Arial"/>
                <w:sz w:val="21"/>
              </w:rPr>
            </w:pPr>
          </w:p>
          <w:p w14:paraId="00A7DEEA">
            <w:pPr>
              <w:spacing w:line="271" w:lineRule="auto"/>
              <w:rPr>
                <w:rFonts w:ascii="Arial"/>
                <w:sz w:val="21"/>
              </w:rPr>
            </w:pPr>
          </w:p>
          <w:p w14:paraId="180A0F29">
            <w:pPr>
              <w:spacing w:line="271" w:lineRule="auto"/>
              <w:rPr>
                <w:rFonts w:ascii="Arial"/>
                <w:sz w:val="21"/>
              </w:rPr>
            </w:pPr>
          </w:p>
          <w:p w14:paraId="4CDBB37A">
            <w:pPr>
              <w:pStyle w:val="6"/>
              <w:spacing w:before="69" w:line="220" w:lineRule="auto"/>
              <w:ind w:left="792"/>
              <w:rPr>
                <w:sz w:val="21"/>
                <w:szCs w:val="21"/>
              </w:rPr>
            </w:pPr>
            <w:r>
              <w:rPr>
                <w:spacing w:val="-2"/>
                <w:sz w:val="21"/>
                <w:szCs w:val="21"/>
              </w:rPr>
              <w:t>项目描述</w:t>
            </w:r>
          </w:p>
        </w:tc>
        <w:tc>
          <w:tcPr>
            <w:tcW w:w="6109" w:type="dxa"/>
            <w:vAlign w:val="top"/>
          </w:tcPr>
          <w:p w14:paraId="27A6D609">
            <w:pPr>
              <w:rPr>
                <w:rFonts w:ascii="Arial"/>
                <w:sz w:val="21"/>
              </w:rPr>
            </w:pPr>
          </w:p>
        </w:tc>
      </w:tr>
      <w:tr w14:paraId="08437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06" w:type="dxa"/>
            <w:vAlign w:val="top"/>
          </w:tcPr>
          <w:p w14:paraId="21419644">
            <w:pPr>
              <w:pStyle w:val="6"/>
              <w:spacing w:before="201" w:line="221" w:lineRule="auto"/>
              <w:ind w:left="1002"/>
              <w:rPr>
                <w:sz w:val="21"/>
                <w:szCs w:val="21"/>
              </w:rPr>
            </w:pPr>
            <w:r>
              <w:rPr>
                <w:spacing w:val="-3"/>
                <w:sz w:val="21"/>
                <w:szCs w:val="21"/>
              </w:rPr>
              <w:t>备注</w:t>
            </w:r>
          </w:p>
        </w:tc>
        <w:tc>
          <w:tcPr>
            <w:tcW w:w="6109" w:type="dxa"/>
            <w:vAlign w:val="top"/>
          </w:tcPr>
          <w:p w14:paraId="516BC008">
            <w:pPr>
              <w:rPr>
                <w:rFonts w:ascii="Arial"/>
                <w:sz w:val="21"/>
              </w:rPr>
            </w:pPr>
          </w:p>
        </w:tc>
      </w:tr>
    </w:tbl>
    <w:p w14:paraId="70B3A2BB">
      <w:pPr>
        <w:pStyle w:val="2"/>
        <w:spacing w:line="293" w:lineRule="auto"/>
      </w:pPr>
    </w:p>
    <w:p w14:paraId="09F295EA">
      <w:pPr>
        <w:pStyle w:val="2"/>
        <w:spacing w:line="293" w:lineRule="auto"/>
      </w:pPr>
    </w:p>
    <w:p w14:paraId="3B210E55">
      <w:pPr>
        <w:spacing w:before="68" w:line="279" w:lineRule="auto"/>
        <w:ind w:left="744" w:right="100" w:hanging="628"/>
        <w:rPr>
          <w:rFonts w:ascii="宋体" w:hAnsi="宋体" w:eastAsia="宋体" w:cs="宋体"/>
          <w:sz w:val="21"/>
          <w:szCs w:val="21"/>
        </w:rPr>
      </w:pPr>
      <w:r>
        <w:rPr>
          <w:rFonts w:ascii="宋体" w:hAnsi="宋体" w:eastAsia="宋体" w:cs="宋体"/>
          <w:spacing w:val="-4"/>
          <w:sz w:val="21"/>
          <w:szCs w:val="21"/>
        </w:rPr>
        <w:t>备注：本表后附中标通知书（如有）、合同协议书、施工许可证（如有）</w:t>
      </w:r>
      <w:r>
        <w:rPr>
          <w:rFonts w:ascii="宋体" w:hAnsi="宋体" w:eastAsia="宋体" w:cs="宋体"/>
          <w:spacing w:val="-49"/>
          <w:sz w:val="21"/>
          <w:szCs w:val="21"/>
        </w:rPr>
        <w:t xml:space="preserve"> </w:t>
      </w:r>
      <w:r>
        <w:rPr>
          <w:rFonts w:ascii="宋体" w:hAnsi="宋体" w:eastAsia="宋体" w:cs="宋体"/>
          <w:spacing w:val="-4"/>
          <w:sz w:val="21"/>
          <w:szCs w:val="21"/>
        </w:rPr>
        <w:t>的扫描件。其中招</w:t>
      </w:r>
      <w:r>
        <w:rPr>
          <w:rFonts w:ascii="宋体" w:hAnsi="宋体" w:eastAsia="宋体" w:cs="宋体"/>
          <w:spacing w:val="-2"/>
          <w:sz w:val="21"/>
          <w:szCs w:val="21"/>
        </w:rPr>
        <w:t>标发包的工程应附中标通知书，工程总承包发包、施工总</w:t>
      </w:r>
      <w:r>
        <w:rPr>
          <w:rFonts w:ascii="宋体" w:hAnsi="宋体" w:eastAsia="宋体" w:cs="宋体"/>
          <w:spacing w:val="-3"/>
          <w:sz w:val="21"/>
          <w:szCs w:val="21"/>
        </w:rPr>
        <w:t>承包发包、独立发包的施工</w:t>
      </w:r>
      <w:r>
        <w:rPr>
          <w:rFonts w:ascii="宋体" w:hAnsi="宋体" w:eastAsia="宋体" w:cs="宋体"/>
          <w:spacing w:val="-1"/>
          <w:sz w:val="21"/>
          <w:szCs w:val="21"/>
        </w:rPr>
        <w:t>专业承包正在施工的应附施工许可证。每张表格只填写一个项目，并标明序号。</w:t>
      </w:r>
    </w:p>
    <w:p w14:paraId="4CCC4EF2">
      <w:pPr>
        <w:spacing w:line="279" w:lineRule="auto"/>
        <w:rPr>
          <w:rFonts w:ascii="宋体" w:hAnsi="宋体" w:eastAsia="宋体" w:cs="宋体"/>
          <w:sz w:val="21"/>
          <w:szCs w:val="21"/>
        </w:rPr>
        <w:sectPr>
          <w:headerReference r:id="rId333" w:type="default"/>
          <w:footerReference r:id="rId334" w:type="default"/>
          <w:pgSz w:w="11910" w:h="16845"/>
          <w:pgMar w:top="1846" w:right="1682" w:bottom="1110" w:left="1697" w:header="1494" w:footer="883" w:gutter="0"/>
          <w:cols w:space="720" w:num="1"/>
        </w:sectPr>
      </w:pPr>
    </w:p>
    <w:p w14:paraId="57F451AD">
      <w:pPr>
        <w:pStyle w:val="2"/>
        <w:spacing w:line="270" w:lineRule="auto"/>
      </w:pPr>
    </w:p>
    <w:p w14:paraId="57E84C09">
      <w:pPr>
        <w:pStyle w:val="2"/>
        <w:spacing w:line="270" w:lineRule="auto"/>
      </w:pPr>
    </w:p>
    <w:p w14:paraId="3A02F6D3">
      <w:pPr>
        <w:pStyle w:val="2"/>
        <w:spacing w:line="271" w:lineRule="auto"/>
      </w:pPr>
    </w:p>
    <w:p w14:paraId="6F03A3B2">
      <w:pPr>
        <w:pStyle w:val="2"/>
        <w:spacing w:line="271" w:lineRule="auto"/>
      </w:pPr>
    </w:p>
    <w:p w14:paraId="72E9DBD9">
      <w:pPr>
        <w:spacing w:before="101" w:line="223" w:lineRule="auto"/>
        <w:ind w:left="87"/>
        <w:outlineLvl w:val="2"/>
        <w:rPr>
          <w:rFonts w:ascii="黑体" w:hAnsi="黑体" w:eastAsia="黑体" w:cs="黑体"/>
          <w:sz w:val="31"/>
          <w:szCs w:val="31"/>
        </w:rPr>
      </w:pPr>
      <w:bookmarkStart w:id="654" w:name="bookmark605"/>
      <w:bookmarkEnd w:id="654"/>
      <w:bookmarkStart w:id="655" w:name="bookmark604"/>
      <w:bookmarkEnd w:id="655"/>
      <w:bookmarkStart w:id="656" w:name="bookmark603"/>
      <w:bookmarkEnd w:id="656"/>
      <w:r>
        <w:rPr>
          <w:rFonts w:ascii="黑体" w:hAnsi="黑体" w:eastAsia="黑体" w:cs="黑体"/>
          <w:spacing w:val="5"/>
          <w:sz w:val="31"/>
          <w:szCs w:val="31"/>
        </w:rPr>
        <w:t>(五)、企业信誉情况</w:t>
      </w:r>
    </w:p>
    <w:p w14:paraId="254524A3">
      <w:pPr>
        <w:spacing w:before="215" w:line="219" w:lineRule="auto"/>
        <w:ind w:left="3110"/>
        <w:outlineLvl w:val="2"/>
        <w:rPr>
          <w:rFonts w:ascii="宋体" w:hAnsi="宋体" w:eastAsia="宋体" w:cs="宋体"/>
          <w:sz w:val="24"/>
          <w:szCs w:val="24"/>
        </w:rPr>
      </w:pPr>
      <w:bookmarkStart w:id="657" w:name="bookmark729"/>
      <w:bookmarkEnd w:id="657"/>
      <w:r>
        <w:rPr>
          <w:rFonts w:ascii="宋体" w:hAnsi="宋体" w:eastAsia="宋体" w:cs="宋体"/>
          <w:spacing w:val="-3"/>
          <w:sz w:val="24"/>
          <w:szCs w:val="24"/>
        </w:rPr>
        <w:t>（五）企业信誉情况</w:t>
      </w:r>
    </w:p>
    <w:p w14:paraId="3159C0BF">
      <w:pPr>
        <w:pStyle w:val="2"/>
        <w:spacing w:line="327" w:lineRule="auto"/>
      </w:pPr>
    </w:p>
    <w:p w14:paraId="0580F052">
      <w:pPr>
        <w:pStyle w:val="2"/>
        <w:spacing w:line="327" w:lineRule="auto"/>
      </w:pPr>
    </w:p>
    <w:p w14:paraId="4E83317D">
      <w:pPr>
        <w:spacing w:before="78" w:line="219" w:lineRule="auto"/>
        <w:ind w:left="3259"/>
        <w:outlineLvl w:val="2"/>
        <w:rPr>
          <w:rFonts w:ascii="宋体" w:hAnsi="宋体" w:eastAsia="宋体" w:cs="宋体"/>
          <w:sz w:val="24"/>
          <w:szCs w:val="24"/>
        </w:rPr>
      </w:pPr>
      <w:bookmarkStart w:id="658" w:name="bookmark730"/>
      <w:bookmarkEnd w:id="658"/>
      <w:r>
        <w:rPr>
          <w:rFonts w:ascii="宋体" w:hAnsi="宋体" w:eastAsia="宋体" w:cs="宋体"/>
          <w:spacing w:val="-3"/>
          <w:sz w:val="24"/>
          <w:szCs w:val="24"/>
        </w:rPr>
        <w:t>5-1</w:t>
      </w:r>
      <w:r>
        <w:rPr>
          <w:rFonts w:ascii="宋体" w:hAnsi="宋体" w:eastAsia="宋体" w:cs="宋体"/>
          <w:spacing w:val="-44"/>
          <w:sz w:val="24"/>
          <w:szCs w:val="24"/>
        </w:rPr>
        <w:t xml:space="preserve"> </w:t>
      </w:r>
      <w:r>
        <w:rPr>
          <w:rFonts w:ascii="宋体" w:hAnsi="宋体" w:eastAsia="宋体" w:cs="宋体"/>
          <w:spacing w:val="-3"/>
          <w:sz w:val="24"/>
          <w:szCs w:val="24"/>
        </w:rPr>
        <w:t>企业信誉声明</w:t>
      </w:r>
    </w:p>
    <w:p w14:paraId="08FFD0BF">
      <w:pPr>
        <w:pStyle w:val="2"/>
        <w:spacing w:line="304" w:lineRule="auto"/>
      </w:pPr>
    </w:p>
    <w:p w14:paraId="0B99E0AB">
      <w:pPr>
        <w:pStyle w:val="2"/>
        <w:spacing w:line="304" w:lineRule="auto"/>
      </w:pPr>
    </w:p>
    <w:p w14:paraId="6AB3DEBB">
      <w:pPr>
        <w:pStyle w:val="2"/>
        <w:spacing w:line="305" w:lineRule="auto"/>
      </w:pPr>
    </w:p>
    <w:p w14:paraId="7E61B8DD">
      <w:pPr>
        <w:tabs>
          <w:tab w:val="left" w:pos="2223"/>
        </w:tabs>
        <w:spacing w:before="68" w:line="220" w:lineRule="auto"/>
        <w:ind w:left="15"/>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6C53A835">
      <w:pPr>
        <w:pStyle w:val="2"/>
        <w:spacing w:line="444" w:lineRule="auto"/>
      </w:pPr>
    </w:p>
    <w:p w14:paraId="1AF47FA6">
      <w:pPr>
        <w:spacing w:before="69" w:line="363" w:lineRule="auto"/>
        <w:ind w:left="23" w:right="222" w:firstLine="423"/>
        <w:rPr>
          <w:rFonts w:ascii="宋体" w:hAnsi="宋体" w:eastAsia="宋体" w:cs="宋体"/>
          <w:sz w:val="21"/>
          <w:szCs w:val="21"/>
        </w:rPr>
      </w:pPr>
      <w:r>
        <w:rPr>
          <w:rFonts w:ascii="宋体" w:hAnsi="宋体" w:eastAsia="宋体" w:cs="宋体"/>
          <w:spacing w:val="-2"/>
          <w:sz w:val="21"/>
          <w:szCs w:val="21"/>
        </w:rPr>
        <w:t>我方在此声明，截止本招标项目投标截止时间，我方处于</w:t>
      </w:r>
      <w:r>
        <w:rPr>
          <w:rFonts w:ascii="宋体" w:hAnsi="宋体" w:eastAsia="宋体" w:cs="宋体"/>
          <w:spacing w:val="-3"/>
          <w:sz w:val="21"/>
          <w:szCs w:val="21"/>
        </w:rPr>
        <w:t>正常的经营状态，不存在下列</w:t>
      </w:r>
      <w:r>
        <w:rPr>
          <w:rFonts w:ascii="宋体" w:hAnsi="宋体" w:eastAsia="宋体" w:cs="宋体"/>
          <w:spacing w:val="-4"/>
          <w:sz w:val="21"/>
          <w:szCs w:val="21"/>
        </w:rPr>
        <w:t>任何一种情形。</w:t>
      </w:r>
    </w:p>
    <w:p w14:paraId="4C6E1889">
      <w:pPr>
        <w:spacing w:line="232" w:lineRule="auto"/>
        <w:ind w:left="461"/>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被依法暂停或取消投标资格；</w:t>
      </w:r>
    </w:p>
    <w:p w14:paraId="03B182D4">
      <w:pPr>
        <w:spacing w:before="141" w:line="233" w:lineRule="auto"/>
        <w:ind w:left="440"/>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被责令停产停业、暂扣或者吊销许可证、暂扣或者吊销执照；</w:t>
      </w:r>
    </w:p>
    <w:p w14:paraId="49421555">
      <w:pPr>
        <w:spacing w:before="141" w:line="232" w:lineRule="auto"/>
        <w:ind w:left="445"/>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进入清算程序，或被宣告破产，或其他丧</w:t>
      </w:r>
      <w:r>
        <w:rPr>
          <w:rFonts w:ascii="宋体" w:hAnsi="宋体" w:eastAsia="宋体" w:cs="宋体"/>
          <w:spacing w:val="-2"/>
          <w:sz w:val="21"/>
          <w:szCs w:val="21"/>
        </w:rPr>
        <w:t>失履约能力的情形；</w:t>
      </w:r>
    </w:p>
    <w:p w14:paraId="4ADF0B04">
      <w:pPr>
        <w:spacing w:before="126" w:line="233" w:lineRule="auto"/>
        <w:ind w:left="439"/>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在最近三年内发生重大工程质量问题；</w:t>
      </w:r>
    </w:p>
    <w:p w14:paraId="63D92297">
      <w:pPr>
        <w:spacing w:before="141" w:line="212" w:lineRule="auto"/>
        <w:ind w:left="446"/>
        <w:rPr>
          <w:rFonts w:ascii="宋体" w:hAnsi="宋体" w:eastAsia="宋体" w:cs="宋体"/>
          <w:sz w:val="21"/>
          <w:szCs w:val="21"/>
        </w:rPr>
      </w:pPr>
      <w:r>
        <w:rPr>
          <w:rFonts w:ascii="Times New Roman" w:hAnsi="Times New Roman" w:eastAsia="Times New Roman" w:cs="Times New Roman"/>
          <w:spacing w:val="-5"/>
          <w:sz w:val="21"/>
          <w:szCs w:val="21"/>
        </w:rPr>
        <w:t>5.</w:t>
      </w:r>
      <w:r>
        <w:rPr>
          <w:rFonts w:ascii="宋体" w:hAnsi="宋体" w:eastAsia="宋体" w:cs="宋体"/>
          <w:spacing w:val="-5"/>
          <w:sz w:val="21"/>
          <w:szCs w:val="21"/>
        </w:rPr>
        <w:t xml:space="preserve">在“国家企业信用信息公示系统”（ </w:t>
      </w:r>
      <w:r>
        <w:fldChar w:fldCharType="begin"/>
      </w:r>
      <w:r>
        <w:instrText xml:space="preserve"> HYPERLINK "https://www.gsxt.gov.cn" </w:instrText>
      </w:r>
      <w:r>
        <w:fldChar w:fldCharType="separate"/>
      </w:r>
      <w:r>
        <w:rPr>
          <w:rFonts w:ascii="Times New Roman" w:hAnsi="Times New Roman" w:eastAsia="Times New Roman" w:cs="Times New Roman"/>
          <w:spacing w:val="-5"/>
          <w:sz w:val="21"/>
          <w:szCs w:val="21"/>
        </w:rPr>
        <w:t>www.gsxt.go</w:t>
      </w:r>
      <w:r>
        <w:rPr>
          <w:rFonts w:ascii="Times New Roman" w:hAnsi="Times New Roman" w:eastAsia="Times New Roman" w:cs="Times New Roman"/>
          <w:spacing w:val="-6"/>
          <w:sz w:val="21"/>
          <w:szCs w:val="21"/>
        </w:rPr>
        <w:t>v.cn</w:t>
      </w:r>
      <w:r>
        <w:rPr>
          <w:rFonts w:ascii="Times New Roman" w:hAnsi="Times New Roman" w:eastAsia="Times New Roman" w:cs="Times New Roman"/>
          <w:spacing w:val="-6"/>
          <w:sz w:val="21"/>
          <w:szCs w:val="21"/>
        </w:rPr>
        <w:fldChar w:fldCharType="end"/>
      </w:r>
      <w:r>
        <w:rPr>
          <w:rFonts w:ascii="宋体" w:hAnsi="宋体" w:eastAsia="宋体" w:cs="宋体"/>
          <w:spacing w:val="-6"/>
          <w:sz w:val="21"/>
          <w:szCs w:val="21"/>
        </w:rPr>
        <w:t>）被列入严重违法失信企业名单；</w:t>
      </w:r>
    </w:p>
    <w:p w14:paraId="4EB84D8B">
      <w:pPr>
        <w:spacing w:before="163" w:line="334" w:lineRule="auto"/>
        <w:ind w:left="29" w:firstLine="415"/>
        <w:rPr>
          <w:rFonts w:ascii="宋体" w:hAnsi="宋体" w:eastAsia="宋体" w:cs="宋体"/>
          <w:sz w:val="21"/>
          <w:szCs w:val="21"/>
        </w:rPr>
      </w:pPr>
      <w:r>
        <w:rPr>
          <w:rFonts w:ascii="Times New Roman" w:hAnsi="Times New Roman" w:eastAsia="Times New Roman" w:cs="Times New Roman"/>
          <w:spacing w:val="-2"/>
          <w:sz w:val="21"/>
          <w:szCs w:val="21"/>
        </w:rPr>
        <w:t xml:space="preserve">6. </w:t>
      </w:r>
      <w:r>
        <w:rPr>
          <w:rFonts w:ascii="宋体" w:hAnsi="宋体" w:eastAsia="宋体" w:cs="宋体"/>
          <w:spacing w:val="-2"/>
          <w:sz w:val="21"/>
          <w:szCs w:val="21"/>
        </w:rPr>
        <w:t>在</w:t>
      </w:r>
      <w:r>
        <w:rPr>
          <w:rFonts w:ascii="宋体" w:hAnsi="宋体" w:eastAsia="宋体" w:cs="宋体"/>
          <w:spacing w:val="-60"/>
          <w:sz w:val="21"/>
          <w:szCs w:val="21"/>
        </w:rPr>
        <w:t xml:space="preserve"> </w:t>
      </w:r>
      <w:r>
        <w:rPr>
          <w:rFonts w:ascii="宋体" w:hAnsi="宋体" w:eastAsia="宋体" w:cs="宋体"/>
          <w:spacing w:val="-2"/>
          <w:sz w:val="21"/>
          <w:szCs w:val="21"/>
        </w:rPr>
        <w:t>“</w:t>
      </w:r>
      <w:r>
        <w:rPr>
          <w:rFonts w:ascii="宋体" w:hAnsi="宋体" w:eastAsia="宋体" w:cs="宋体"/>
          <w:spacing w:val="-67"/>
          <w:sz w:val="21"/>
          <w:szCs w:val="21"/>
        </w:rPr>
        <w:t xml:space="preserve"> </w:t>
      </w:r>
      <w:r>
        <w:rPr>
          <w:rFonts w:ascii="宋体" w:hAnsi="宋体" w:eastAsia="宋体" w:cs="宋体"/>
          <w:spacing w:val="-2"/>
          <w:sz w:val="21"/>
          <w:szCs w:val="21"/>
        </w:rPr>
        <w:t>信</w:t>
      </w:r>
      <w:r>
        <w:rPr>
          <w:rFonts w:ascii="宋体" w:hAnsi="宋体" w:eastAsia="宋体" w:cs="宋体"/>
          <w:spacing w:val="-49"/>
          <w:sz w:val="21"/>
          <w:szCs w:val="21"/>
        </w:rPr>
        <w:t xml:space="preserve"> </w:t>
      </w:r>
      <w:r>
        <w:rPr>
          <w:rFonts w:ascii="宋体" w:hAnsi="宋体" w:eastAsia="宋体" w:cs="宋体"/>
          <w:spacing w:val="-2"/>
          <w:sz w:val="21"/>
          <w:szCs w:val="21"/>
        </w:rPr>
        <w:t>用</w:t>
      </w:r>
      <w:r>
        <w:rPr>
          <w:rFonts w:ascii="宋体" w:hAnsi="宋体" w:eastAsia="宋体" w:cs="宋体"/>
          <w:spacing w:val="-32"/>
          <w:sz w:val="21"/>
          <w:szCs w:val="21"/>
        </w:rPr>
        <w:t xml:space="preserve"> </w:t>
      </w:r>
      <w:r>
        <w:rPr>
          <w:rFonts w:ascii="宋体" w:hAnsi="宋体" w:eastAsia="宋体" w:cs="宋体"/>
          <w:spacing w:val="-2"/>
          <w:sz w:val="21"/>
          <w:szCs w:val="21"/>
        </w:rPr>
        <w:t>中</w:t>
      </w:r>
      <w:r>
        <w:rPr>
          <w:rFonts w:ascii="宋体" w:hAnsi="宋体" w:eastAsia="宋体" w:cs="宋体"/>
          <w:spacing w:val="-31"/>
          <w:sz w:val="21"/>
          <w:szCs w:val="21"/>
        </w:rPr>
        <w:t xml:space="preserve"> </w:t>
      </w:r>
      <w:r>
        <w:rPr>
          <w:rFonts w:ascii="宋体" w:hAnsi="宋体" w:eastAsia="宋体" w:cs="宋体"/>
          <w:spacing w:val="-2"/>
          <w:sz w:val="21"/>
          <w:szCs w:val="21"/>
        </w:rPr>
        <w:t>国</w:t>
      </w:r>
      <w:r>
        <w:rPr>
          <w:rFonts w:ascii="宋体" w:hAnsi="宋体" w:eastAsia="宋体" w:cs="宋体"/>
          <w:spacing w:val="-47"/>
          <w:sz w:val="21"/>
          <w:szCs w:val="21"/>
        </w:rPr>
        <w:t xml:space="preserve"> </w:t>
      </w:r>
      <w:r>
        <w:rPr>
          <w:rFonts w:ascii="宋体" w:hAnsi="宋体" w:eastAsia="宋体" w:cs="宋体"/>
          <w:spacing w:val="-2"/>
          <w:sz w:val="21"/>
          <w:szCs w:val="21"/>
        </w:rPr>
        <w:t>”</w:t>
      </w:r>
      <w:r>
        <w:rPr>
          <w:rFonts w:ascii="宋体" w:hAnsi="宋体" w:eastAsia="宋体" w:cs="宋体"/>
          <w:spacing w:val="-63"/>
          <w:sz w:val="21"/>
          <w:szCs w:val="21"/>
        </w:rPr>
        <w:t xml:space="preserve"> </w:t>
      </w:r>
      <w:r>
        <w:rPr>
          <w:rFonts w:ascii="宋体" w:hAnsi="宋体" w:eastAsia="宋体" w:cs="宋体"/>
          <w:spacing w:val="-2"/>
          <w:sz w:val="21"/>
          <w:szCs w:val="21"/>
        </w:rPr>
        <w:t>网</w:t>
      </w:r>
      <w:r>
        <w:rPr>
          <w:rFonts w:ascii="宋体" w:hAnsi="宋体" w:eastAsia="宋体" w:cs="宋体"/>
          <w:spacing w:val="-50"/>
          <w:sz w:val="21"/>
          <w:szCs w:val="21"/>
        </w:rPr>
        <w:t xml:space="preserve"> </w:t>
      </w:r>
      <w:r>
        <w:rPr>
          <w:rFonts w:ascii="宋体" w:hAnsi="宋体" w:eastAsia="宋体" w:cs="宋体"/>
          <w:spacing w:val="-2"/>
          <w:sz w:val="21"/>
          <w:szCs w:val="21"/>
        </w:rPr>
        <w:t>站（</w:t>
      </w:r>
      <w:r>
        <w:fldChar w:fldCharType="begin"/>
      </w:r>
      <w:r>
        <w:instrText xml:space="preserve"> HYPERLINK "http://www.creditchina.gov.cn/" </w:instrText>
      </w:r>
      <w:r>
        <w:fldChar w:fldCharType="separate"/>
      </w:r>
      <w:r>
        <w:rPr>
          <w:rFonts w:ascii="Times New Roman" w:hAnsi="Times New Roman" w:eastAsia="Times New Roman" w:cs="Times New Roman"/>
          <w:spacing w:val="-2"/>
          <w:sz w:val="21"/>
          <w:szCs w:val="21"/>
        </w:rPr>
        <w:t>www.creditc</w:t>
      </w:r>
      <w:r>
        <w:rPr>
          <w:rFonts w:ascii="Times New Roman" w:hAnsi="Times New Roman" w:eastAsia="Times New Roman" w:cs="Times New Roman"/>
          <w:spacing w:val="-3"/>
          <w:sz w:val="21"/>
          <w:szCs w:val="21"/>
        </w:rPr>
        <w:t>hina.gov.cn</w:t>
      </w:r>
      <w:r>
        <w:rPr>
          <w:rFonts w:ascii="Times New Roman" w:hAnsi="Times New Roman" w:eastAsia="Times New Roman" w:cs="Times New Roman"/>
          <w:spacing w:val="-3"/>
          <w:sz w:val="21"/>
          <w:szCs w:val="21"/>
        </w:rPr>
        <w:fldChar w:fldCharType="end"/>
      </w:r>
      <w:r>
        <w:rPr>
          <w:rFonts w:ascii="宋体" w:hAnsi="宋体" w:eastAsia="宋体" w:cs="宋体"/>
          <w:spacing w:val="-3"/>
          <w:sz w:val="21"/>
          <w:szCs w:val="21"/>
        </w:rPr>
        <w:t>） 或</w:t>
      </w:r>
      <w:r>
        <w:rPr>
          <w:rFonts w:ascii="宋体" w:hAnsi="宋体" w:eastAsia="宋体" w:cs="宋体"/>
          <w:spacing w:val="-60"/>
          <w:sz w:val="21"/>
          <w:szCs w:val="21"/>
        </w:rPr>
        <w:t xml:space="preserve"> </w:t>
      </w:r>
      <w:r>
        <w:rPr>
          <w:rFonts w:ascii="宋体" w:hAnsi="宋体" w:eastAsia="宋体" w:cs="宋体"/>
          <w:spacing w:val="-3"/>
          <w:sz w:val="21"/>
          <w:szCs w:val="21"/>
        </w:rPr>
        <w:t>“</w:t>
      </w:r>
      <w:r>
        <w:rPr>
          <w:rFonts w:ascii="宋体" w:hAnsi="宋体" w:eastAsia="宋体" w:cs="宋体"/>
          <w:spacing w:val="-32"/>
          <w:sz w:val="21"/>
          <w:szCs w:val="21"/>
        </w:rPr>
        <w:t xml:space="preserve"> </w:t>
      </w:r>
      <w:r>
        <w:rPr>
          <w:rFonts w:ascii="宋体" w:hAnsi="宋体" w:eastAsia="宋体" w:cs="宋体"/>
          <w:spacing w:val="-3"/>
          <w:sz w:val="21"/>
          <w:szCs w:val="21"/>
        </w:rPr>
        <w:t>中</w:t>
      </w:r>
      <w:r>
        <w:rPr>
          <w:rFonts w:ascii="宋体" w:hAnsi="宋体" w:eastAsia="宋体" w:cs="宋体"/>
          <w:spacing w:val="-46"/>
          <w:sz w:val="21"/>
          <w:szCs w:val="21"/>
        </w:rPr>
        <w:t xml:space="preserve"> </w:t>
      </w:r>
      <w:r>
        <w:rPr>
          <w:rFonts w:ascii="宋体" w:hAnsi="宋体" w:eastAsia="宋体" w:cs="宋体"/>
          <w:spacing w:val="-3"/>
          <w:sz w:val="21"/>
          <w:szCs w:val="21"/>
        </w:rPr>
        <w:t>国</w:t>
      </w:r>
      <w:r>
        <w:rPr>
          <w:rFonts w:ascii="宋体" w:hAnsi="宋体" w:eastAsia="宋体" w:cs="宋体"/>
          <w:spacing w:val="-51"/>
          <w:sz w:val="21"/>
          <w:szCs w:val="21"/>
        </w:rPr>
        <w:t xml:space="preserve"> </w:t>
      </w:r>
      <w:r>
        <w:rPr>
          <w:rFonts w:ascii="宋体" w:hAnsi="宋体" w:eastAsia="宋体" w:cs="宋体"/>
          <w:spacing w:val="-3"/>
          <w:sz w:val="21"/>
          <w:szCs w:val="21"/>
        </w:rPr>
        <w:t>执</w:t>
      </w:r>
      <w:r>
        <w:rPr>
          <w:rFonts w:ascii="宋体" w:hAnsi="宋体" w:eastAsia="宋体" w:cs="宋体"/>
          <w:spacing w:val="-48"/>
          <w:sz w:val="21"/>
          <w:szCs w:val="21"/>
        </w:rPr>
        <w:t xml:space="preserve"> </w:t>
      </w:r>
      <w:r>
        <w:rPr>
          <w:rFonts w:ascii="宋体" w:hAnsi="宋体" w:eastAsia="宋体" w:cs="宋体"/>
          <w:spacing w:val="-3"/>
          <w:sz w:val="21"/>
          <w:szCs w:val="21"/>
        </w:rPr>
        <w:t>行信</w:t>
      </w:r>
      <w:r>
        <w:rPr>
          <w:rFonts w:ascii="宋体" w:hAnsi="宋体" w:eastAsia="宋体" w:cs="宋体"/>
          <w:spacing w:val="-43"/>
          <w:sz w:val="21"/>
          <w:szCs w:val="21"/>
        </w:rPr>
        <w:t xml:space="preserve"> </w:t>
      </w:r>
      <w:r>
        <w:rPr>
          <w:rFonts w:ascii="宋体" w:hAnsi="宋体" w:eastAsia="宋体" w:cs="宋体"/>
          <w:spacing w:val="-3"/>
          <w:sz w:val="21"/>
          <w:szCs w:val="21"/>
        </w:rPr>
        <w:t>息</w:t>
      </w:r>
      <w:r>
        <w:rPr>
          <w:rFonts w:ascii="宋体" w:hAnsi="宋体" w:eastAsia="宋体" w:cs="宋体"/>
          <w:spacing w:val="-45"/>
          <w:sz w:val="21"/>
          <w:szCs w:val="21"/>
        </w:rPr>
        <w:t xml:space="preserve"> </w:t>
      </w:r>
      <w:r>
        <w:rPr>
          <w:rFonts w:ascii="宋体" w:hAnsi="宋体" w:eastAsia="宋体" w:cs="宋体"/>
          <w:spacing w:val="-3"/>
          <w:sz w:val="21"/>
          <w:szCs w:val="21"/>
        </w:rPr>
        <w:t>公</w:t>
      </w:r>
      <w:r>
        <w:rPr>
          <w:rFonts w:ascii="宋体" w:hAnsi="宋体" w:eastAsia="宋体" w:cs="宋体"/>
          <w:spacing w:val="-50"/>
          <w:sz w:val="21"/>
          <w:szCs w:val="21"/>
        </w:rPr>
        <w:t xml:space="preserve"> </w:t>
      </w:r>
      <w:r>
        <w:rPr>
          <w:rFonts w:ascii="宋体" w:hAnsi="宋体" w:eastAsia="宋体" w:cs="宋体"/>
          <w:spacing w:val="-3"/>
          <w:sz w:val="21"/>
          <w:szCs w:val="21"/>
        </w:rPr>
        <w:t>开</w:t>
      </w:r>
      <w:r>
        <w:rPr>
          <w:rFonts w:ascii="宋体" w:hAnsi="宋体" w:eastAsia="宋体" w:cs="宋体"/>
          <w:spacing w:val="-50"/>
          <w:sz w:val="21"/>
          <w:szCs w:val="21"/>
        </w:rPr>
        <w:t xml:space="preserve"> </w:t>
      </w:r>
      <w:r>
        <w:rPr>
          <w:rFonts w:ascii="宋体" w:hAnsi="宋体" w:eastAsia="宋体" w:cs="宋体"/>
          <w:spacing w:val="-3"/>
          <w:sz w:val="21"/>
          <w:szCs w:val="21"/>
        </w:rPr>
        <w:t>网</w:t>
      </w:r>
      <w:r>
        <w:rPr>
          <w:rFonts w:ascii="宋体" w:hAnsi="宋体" w:eastAsia="宋体" w:cs="宋体"/>
          <w:spacing w:val="-32"/>
          <w:sz w:val="21"/>
          <w:szCs w:val="21"/>
        </w:rPr>
        <w:t xml:space="preserve"> </w:t>
      </w:r>
      <w:r>
        <w:rPr>
          <w:rFonts w:ascii="宋体" w:hAnsi="宋体" w:eastAsia="宋体" w:cs="宋体"/>
          <w:spacing w:val="-3"/>
          <w:sz w:val="21"/>
          <w:szCs w:val="21"/>
        </w:rPr>
        <w:t>”</w:t>
      </w:r>
      <w:r>
        <w:rPr>
          <w:rFonts w:ascii="宋体" w:hAnsi="宋体" w:eastAsia="宋体" w:cs="宋体"/>
          <w:sz w:val="21"/>
          <w:szCs w:val="21"/>
        </w:rPr>
        <w:t xml:space="preserve"> </w:t>
      </w:r>
      <w:r>
        <w:rPr>
          <w:rFonts w:ascii="宋体" w:hAnsi="宋体" w:eastAsia="宋体" w:cs="宋体"/>
          <w:spacing w:val="-1"/>
          <w:sz w:val="21"/>
          <w:szCs w:val="21"/>
        </w:rPr>
        <w:t>（</w:t>
      </w:r>
      <w:r>
        <w:fldChar w:fldCharType="begin"/>
      </w:r>
      <w:r>
        <w:instrText xml:space="preserve"> HYPERLINK "http://zxgk.court.gov.cn/shixin/" </w:instrText>
      </w:r>
      <w:r>
        <w:fldChar w:fldCharType="separate"/>
      </w:r>
      <w:r>
        <w:rPr>
          <w:rFonts w:ascii="Times New Roman" w:hAnsi="Times New Roman" w:eastAsia="Times New Roman" w:cs="Times New Roman"/>
          <w:spacing w:val="-1"/>
          <w:sz w:val="21"/>
          <w:szCs w:val="21"/>
        </w:rPr>
        <w:t>http://zxgk.court.gov.cn/shixin/</w:t>
      </w:r>
      <w:r>
        <w:rPr>
          <w:rFonts w:ascii="Times New Roman" w:hAnsi="Times New Roman" w:eastAsia="Times New Roman" w:cs="Times New Roman"/>
          <w:spacing w:val="-1"/>
          <w:sz w:val="21"/>
          <w:szCs w:val="21"/>
        </w:rPr>
        <w:fldChar w:fldCharType="end"/>
      </w:r>
      <w:r>
        <w:rPr>
          <w:rFonts w:ascii="宋体" w:hAnsi="宋体" w:eastAsia="宋体" w:cs="宋体"/>
          <w:spacing w:val="-1"/>
          <w:sz w:val="21"/>
          <w:szCs w:val="21"/>
        </w:rPr>
        <w:t>）被列入失信被执行人名单；</w:t>
      </w:r>
    </w:p>
    <w:p w14:paraId="425F6266">
      <w:pPr>
        <w:spacing w:before="36" w:line="233" w:lineRule="auto"/>
        <w:ind w:left="444"/>
        <w:rPr>
          <w:rFonts w:ascii="宋体" w:hAnsi="宋体" w:eastAsia="宋体" w:cs="宋体"/>
          <w:sz w:val="21"/>
          <w:szCs w:val="21"/>
        </w:rPr>
      </w:pPr>
      <w:r>
        <w:rPr>
          <w:rFonts w:ascii="Times New Roman" w:hAnsi="Times New Roman" w:eastAsia="Times New Roman" w:cs="Times New Roman"/>
          <w:spacing w:val="-1"/>
          <w:sz w:val="21"/>
          <w:szCs w:val="21"/>
        </w:rPr>
        <w:t>7.</w:t>
      </w:r>
      <w:r>
        <w:rPr>
          <w:rFonts w:ascii="宋体" w:hAnsi="宋体" w:eastAsia="宋体" w:cs="宋体"/>
          <w:spacing w:val="-1"/>
          <w:sz w:val="21"/>
          <w:szCs w:val="21"/>
        </w:rPr>
        <w:t>在近三年内投标人或其法定代表人、拟委任的项目经理有行贿犯罪行</w:t>
      </w:r>
      <w:r>
        <w:rPr>
          <w:rFonts w:ascii="宋体" w:hAnsi="宋体" w:eastAsia="宋体" w:cs="宋体"/>
          <w:spacing w:val="-2"/>
          <w:sz w:val="21"/>
          <w:szCs w:val="21"/>
        </w:rPr>
        <w:t>为；</w:t>
      </w:r>
    </w:p>
    <w:p w14:paraId="5B6EA399">
      <w:pPr>
        <w:spacing w:before="185" w:line="233" w:lineRule="auto"/>
        <w:ind w:left="449"/>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法律法规或投标人须知前附表第</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1.4.3</w:t>
      </w:r>
      <w:r>
        <w:rPr>
          <w:rFonts w:ascii="宋体" w:hAnsi="宋体" w:eastAsia="宋体" w:cs="宋体"/>
          <w:spacing w:val="-1"/>
          <w:sz w:val="21"/>
          <w:szCs w:val="21"/>
        </w:rPr>
        <w:t>（</w:t>
      </w:r>
      <w:r>
        <w:rPr>
          <w:rFonts w:ascii="Times New Roman" w:hAnsi="Times New Roman" w:eastAsia="Times New Roman" w:cs="Times New Roman"/>
          <w:spacing w:val="-1"/>
          <w:sz w:val="21"/>
          <w:szCs w:val="21"/>
        </w:rPr>
        <w:t>19</w:t>
      </w:r>
      <w:r>
        <w:rPr>
          <w:rFonts w:ascii="宋体" w:hAnsi="宋体" w:eastAsia="宋体" w:cs="宋体"/>
          <w:spacing w:val="-1"/>
          <w:sz w:val="21"/>
          <w:szCs w:val="21"/>
        </w:rPr>
        <w:t>）目规定的其他情形。</w:t>
      </w:r>
    </w:p>
    <w:p w14:paraId="623E700C">
      <w:pPr>
        <w:spacing w:before="171" w:line="220" w:lineRule="auto"/>
        <w:ind w:left="446"/>
        <w:rPr>
          <w:rFonts w:ascii="宋体" w:hAnsi="宋体" w:eastAsia="宋体" w:cs="宋体"/>
          <w:sz w:val="21"/>
          <w:szCs w:val="21"/>
        </w:rPr>
      </w:pPr>
      <w:r>
        <w:rPr>
          <w:rFonts w:ascii="宋体" w:hAnsi="宋体" w:eastAsia="宋体" w:cs="宋体"/>
          <w:spacing w:val="-1"/>
          <w:sz w:val="21"/>
          <w:szCs w:val="21"/>
        </w:rPr>
        <w:t>我方对上述声明的真实性和准确性负责，并承担相应的法律责任。</w:t>
      </w:r>
    </w:p>
    <w:p w14:paraId="7408E62A">
      <w:pPr>
        <w:pStyle w:val="2"/>
        <w:spacing w:line="249" w:lineRule="auto"/>
      </w:pPr>
    </w:p>
    <w:p w14:paraId="064A6973">
      <w:pPr>
        <w:pStyle w:val="2"/>
        <w:spacing w:line="249" w:lineRule="auto"/>
      </w:pPr>
    </w:p>
    <w:p w14:paraId="21448303">
      <w:pPr>
        <w:pStyle w:val="2"/>
        <w:spacing w:line="249" w:lineRule="auto"/>
      </w:pPr>
    </w:p>
    <w:p w14:paraId="2BF4A5A5">
      <w:pPr>
        <w:pStyle w:val="2"/>
        <w:spacing w:line="249" w:lineRule="auto"/>
      </w:pPr>
    </w:p>
    <w:p w14:paraId="0D37228D">
      <w:pPr>
        <w:spacing w:before="69" w:line="219" w:lineRule="auto"/>
        <w:ind w:left="4021"/>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263C9C31">
      <w:pPr>
        <w:spacing w:before="186" w:line="220" w:lineRule="auto"/>
        <w:ind w:left="4020"/>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2A3930F7">
      <w:pPr>
        <w:pStyle w:val="2"/>
        <w:spacing w:line="282" w:lineRule="auto"/>
      </w:pPr>
    </w:p>
    <w:p w14:paraId="46D056E8">
      <w:pPr>
        <w:pStyle w:val="2"/>
        <w:spacing w:line="282" w:lineRule="auto"/>
      </w:pPr>
    </w:p>
    <w:p w14:paraId="20B7A002">
      <w:pPr>
        <w:tabs>
          <w:tab w:val="left" w:pos="6112"/>
        </w:tabs>
        <w:spacing w:before="68" w:line="220" w:lineRule="auto"/>
        <w:ind w:left="527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6"/>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6"/>
          <w:sz w:val="21"/>
          <w:szCs w:val="21"/>
        </w:rPr>
        <w:t>日</w:t>
      </w:r>
    </w:p>
    <w:p w14:paraId="59085334">
      <w:pPr>
        <w:pStyle w:val="2"/>
        <w:spacing w:line="287" w:lineRule="auto"/>
      </w:pPr>
    </w:p>
    <w:p w14:paraId="52C16AF6">
      <w:pPr>
        <w:pStyle w:val="2"/>
        <w:spacing w:line="287" w:lineRule="auto"/>
      </w:pPr>
    </w:p>
    <w:p w14:paraId="7B6E310B">
      <w:pPr>
        <w:pStyle w:val="2"/>
        <w:spacing w:line="287" w:lineRule="auto"/>
      </w:pPr>
    </w:p>
    <w:p w14:paraId="1EAF926F">
      <w:pPr>
        <w:spacing w:before="69" w:line="271" w:lineRule="auto"/>
        <w:ind w:left="969" w:right="208" w:hanging="943"/>
        <w:rPr>
          <w:rFonts w:ascii="宋体" w:hAnsi="宋体" w:eastAsia="宋体" w:cs="宋体"/>
          <w:sz w:val="21"/>
          <w:szCs w:val="21"/>
        </w:rPr>
      </w:pPr>
      <w:r>
        <w:rPr>
          <w:rFonts w:ascii="宋体" w:hAnsi="宋体" w:eastAsia="宋体" w:cs="宋体"/>
          <w:spacing w:val="-1"/>
          <w:sz w:val="21"/>
          <w:szCs w:val="21"/>
        </w:rPr>
        <w:t>备注：1. 投标人应针对第二章“投标人须知</w:t>
      </w:r>
      <w:r>
        <w:rPr>
          <w:rFonts w:ascii="宋体" w:hAnsi="宋体" w:eastAsia="宋体" w:cs="宋体"/>
          <w:spacing w:val="-2"/>
          <w:sz w:val="21"/>
          <w:szCs w:val="21"/>
        </w:rPr>
        <w:t>”第</w:t>
      </w:r>
      <w:r>
        <w:rPr>
          <w:rFonts w:ascii="宋体" w:hAnsi="宋体" w:eastAsia="宋体" w:cs="宋体"/>
          <w:spacing w:val="-25"/>
          <w:sz w:val="21"/>
          <w:szCs w:val="21"/>
        </w:rPr>
        <w:t xml:space="preserve"> </w:t>
      </w:r>
      <w:r>
        <w:rPr>
          <w:rFonts w:ascii="宋体" w:hAnsi="宋体" w:eastAsia="宋体" w:cs="宋体"/>
          <w:spacing w:val="-2"/>
          <w:sz w:val="21"/>
          <w:szCs w:val="21"/>
        </w:rPr>
        <w:t>1.4.1</w:t>
      </w:r>
      <w:r>
        <w:rPr>
          <w:rFonts w:ascii="宋体" w:hAnsi="宋体" w:eastAsia="宋体" w:cs="宋体"/>
          <w:spacing w:val="-33"/>
          <w:sz w:val="21"/>
          <w:szCs w:val="21"/>
        </w:rPr>
        <w:t xml:space="preserve"> </w:t>
      </w:r>
      <w:r>
        <w:rPr>
          <w:rFonts w:ascii="宋体" w:hAnsi="宋体" w:eastAsia="宋体" w:cs="宋体"/>
          <w:spacing w:val="-2"/>
          <w:sz w:val="21"/>
          <w:szCs w:val="21"/>
        </w:rPr>
        <w:t>项和第</w:t>
      </w:r>
      <w:r>
        <w:rPr>
          <w:rFonts w:ascii="宋体" w:hAnsi="宋体" w:eastAsia="宋体" w:cs="宋体"/>
          <w:spacing w:val="-20"/>
          <w:sz w:val="21"/>
          <w:szCs w:val="21"/>
        </w:rPr>
        <w:t xml:space="preserve"> </w:t>
      </w:r>
      <w:r>
        <w:rPr>
          <w:rFonts w:ascii="宋体" w:hAnsi="宋体" w:eastAsia="宋体" w:cs="宋体"/>
          <w:spacing w:val="-2"/>
          <w:sz w:val="21"/>
          <w:szCs w:val="21"/>
        </w:rPr>
        <w:t>1.4.3</w:t>
      </w:r>
      <w:r>
        <w:rPr>
          <w:rFonts w:ascii="宋体" w:hAnsi="宋体" w:eastAsia="宋体" w:cs="宋体"/>
          <w:spacing w:val="-33"/>
          <w:sz w:val="21"/>
          <w:szCs w:val="21"/>
        </w:rPr>
        <w:t xml:space="preserve"> </w:t>
      </w:r>
      <w:r>
        <w:rPr>
          <w:rFonts w:ascii="宋体" w:hAnsi="宋体" w:eastAsia="宋体" w:cs="宋体"/>
          <w:spacing w:val="-2"/>
          <w:sz w:val="21"/>
          <w:szCs w:val="21"/>
        </w:rPr>
        <w:t>项的要求，在此对其信誉情况做出说明。如上格式文件所示。</w:t>
      </w:r>
    </w:p>
    <w:p w14:paraId="7F3DA216">
      <w:pPr>
        <w:spacing w:line="219" w:lineRule="auto"/>
        <w:ind w:left="657"/>
        <w:rPr>
          <w:rFonts w:ascii="宋体" w:hAnsi="宋体" w:eastAsia="宋体" w:cs="宋体"/>
          <w:sz w:val="21"/>
          <w:szCs w:val="21"/>
        </w:rPr>
      </w:pPr>
      <w:r>
        <w:rPr>
          <w:rFonts w:ascii="宋体" w:hAnsi="宋体" w:eastAsia="宋体" w:cs="宋体"/>
          <w:spacing w:val="-1"/>
          <w:sz w:val="21"/>
          <w:szCs w:val="21"/>
        </w:rPr>
        <w:t>2. 联合体投标的，联合体各成员单位均应按要求做出说明。</w:t>
      </w:r>
    </w:p>
    <w:p w14:paraId="6883F6C5">
      <w:pPr>
        <w:spacing w:before="67" w:line="278" w:lineRule="auto"/>
        <w:ind w:left="970" w:right="232" w:hanging="312"/>
        <w:rPr>
          <w:rFonts w:ascii="宋体" w:hAnsi="宋体" w:eastAsia="宋体" w:cs="宋体"/>
          <w:sz w:val="21"/>
          <w:szCs w:val="21"/>
        </w:rPr>
      </w:pPr>
      <w:r>
        <w:rPr>
          <w:rFonts w:ascii="宋体" w:hAnsi="宋体" w:eastAsia="宋体" w:cs="宋体"/>
          <w:sz w:val="21"/>
          <w:szCs w:val="21"/>
        </w:rPr>
        <w:t>3. 招标人和评标委员会在评标过程中，应对各投标人（包括联合体各成员单位）的严重违法失信企业、失信被执行人、行贿犯罪行为等情况进行查询，并将查询结</w:t>
      </w:r>
      <w:r>
        <w:rPr>
          <w:rFonts w:ascii="宋体" w:hAnsi="宋体" w:eastAsia="宋体" w:cs="宋体"/>
          <w:spacing w:val="-3"/>
          <w:sz w:val="21"/>
          <w:szCs w:val="21"/>
        </w:rPr>
        <w:t>果“截图”附在评标报告中。</w:t>
      </w:r>
    </w:p>
    <w:p w14:paraId="18D853A0">
      <w:pPr>
        <w:spacing w:line="278" w:lineRule="auto"/>
        <w:rPr>
          <w:rFonts w:ascii="宋体" w:hAnsi="宋体" w:eastAsia="宋体" w:cs="宋体"/>
          <w:sz w:val="21"/>
          <w:szCs w:val="21"/>
        </w:rPr>
        <w:sectPr>
          <w:headerReference r:id="rId335" w:type="default"/>
          <w:footerReference r:id="rId336" w:type="default"/>
          <w:pgSz w:w="11910" w:h="16845"/>
          <w:pgMar w:top="400" w:right="1562" w:bottom="1110" w:left="1786" w:header="0" w:footer="883" w:gutter="0"/>
          <w:cols w:space="720" w:num="1"/>
        </w:sectPr>
      </w:pPr>
    </w:p>
    <w:p w14:paraId="32B58C0A">
      <w:pPr>
        <w:pStyle w:val="2"/>
        <w:spacing w:line="249" w:lineRule="auto"/>
      </w:pPr>
    </w:p>
    <w:p w14:paraId="25782552">
      <w:pPr>
        <w:pStyle w:val="2"/>
        <w:spacing w:line="249" w:lineRule="auto"/>
      </w:pPr>
    </w:p>
    <w:p w14:paraId="1F21A22B">
      <w:pPr>
        <w:pStyle w:val="2"/>
        <w:spacing w:line="249" w:lineRule="auto"/>
      </w:pPr>
    </w:p>
    <w:p w14:paraId="64B058EB">
      <w:pPr>
        <w:pStyle w:val="2"/>
        <w:spacing w:line="250" w:lineRule="auto"/>
      </w:pPr>
    </w:p>
    <w:p w14:paraId="1E491895">
      <w:pPr>
        <w:pStyle w:val="2"/>
        <w:spacing w:line="250" w:lineRule="auto"/>
      </w:pPr>
    </w:p>
    <w:p w14:paraId="0E986039">
      <w:pPr>
        <w:pStyle w:val="2"/>
        <w:spacing w:line="250" w:lineRule="auto"/>
      </w:pPr>
    </w:p>
    <w:p w14:paraId="625AE254">
      <w:pPr>
        <w:spacing w:before="78" w:line="220" w:lineRule="auto"/>
        <w:ind w:left="2612"/>
        <w:outlineLvl w:val="2"/>
        <w:rPr>
          <w:rFonts w:ascii="宋体" w:hAnsi="宋体" w:eastAsia="宋体" w:cs="宋体"/>
          <w:sz w:val="24"/>
          <w:szCs w:val="24"/>
        </w:rPr>
      </w:pPr>
      <w:bookmarkStart w:id="659" w:name="bookmark606"/>
      <w:bookmarkEnd w:id="659"/>
      <w:r>
        <w:rPr>
          <w:rFonts w:ascii="宋体" w:hAnsi="宋体" w:eastAsia="宋体" w:cs="宋体"/>
          <w:spacing w:val="-1"/>
          <w:sz w:val="24"/>
          <w:szCs w:val="24"/>
        </w:rPr>
        <w:t>5-2 近年发生的诉讼和仲裁情况</w:t>
      </w:r>
    </w:p>
    <w:p w14:paraId="27D6C0AC">
      <w:pPr>
        <w:spacing w:before="68"/>
      </w:pPr>
    </w:p>
    <w:p w14:paraId="38116C34">
      <w:pPr>
        <w:spacing w:before="67"/>
      </w:pPr>
    </w:p>
    <w:p w14:paraId="1E88AEDD">
      <w:pPr>
        <w:spacing w:before="67"/>
      </w:pPr>
    </w:p>
    <w:tbl>
      <w:tblPr>
        <w:tblStyle w:val="5"/>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944"/>
        <w:gridCol w:w="1229"/>
        <w:gridCol w:w="3508"/>
        <w:gridCol w:w="1912"/>
      </w:tblGrid>
      <w:tr w14:paraId="2004A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937" w:type="dxa"/>
            <w:vAlign w:val="top"/>
          </w:tcPr>
          <w:p w14:paraId="48EA8835">
            <w:pPr>
              <w:pStyle w:val="6"/>
              <w:spacing w:before="224" w:line="220" w:lineRule="auto"/>
              <w:ind w:left="263"/>
              <w:rPr>
                <w:sz w:val="21"/>
                <w:szCs w:val="21"/>
              </w:rPr>
            </w:pPr>
            <w:r>
              <w:rPr>
                <w:spacing w:val="-2"/>
                <w:sz w:val="21"/>
                <w:szCs w:val="21"/>
              </w:rPr>
              <w:t>类别</w:t>
            </w:r>
          </w:p>
        </w:tc>
        <w:tc>
          <w:tcPr>
            <w:tcW w:w="944" w:type="dxa"/>
            <w:vAlign w:val="top"/>
          </w:tcPr>
          <w:p w14:paraId="33350DAC">
            <w:pPr>
              <w:pStyle w:val="6"/>
              <w:spacing w:before="224" w:line="221" w:lineRule="auto"/>
              <w:ind w:left="256"/>
              <w:rPr>
                <w:sz w:val="21"/>
                <w:szCs w:val="21"/>
              </w:rPr>
            </w:pPr>
            <w:r>
              <w:rPr>
                <w:spacing w:val="-2"/>
                <w:sz w:val="21"/>
                <w:szCs w:val="21"/>
              </w:rPr>
              <w:t>序号</w:t>
            </w:r>
          </w:p>
        </w:tc>
        <w:tc>
          <w:tcPr>
            <w:tcW w:w="1229" w:type="dxa"/>
            <w:vAlign w:val="top"/>
          </w:tcPr>
          <w:p w14:paraId="0B24D4B4">
            <w:pPr>
              <w:pStyle w:val="6"/>
              <w:spacing w:before="225" w:line="220" w:lineRule="auto"/>
              <w:ind w:left="203"/>
              <w:rPr>
                <w:sz w:val="21"/>
                <w:szCs w:val="21"/>
              </w:rPr>
            </w:pPr>
            <w:r>
              <w:rPr>
                <w:spacing w:val="-2"/>
                <w:sz w:val="21"/>
                <w:szCs w:val="21"/>
              </w:rPr>
              <w:t>发生时间</w:t>
            </w:r>
          </w:p>
        </w:tc>
        <w:tc>
          <w:tcPr>
            <w:tcW w:w="3508" w:type="dxa"/>
            <w:vAlign w:val="top"/>
          </w:tcPr>
          <w:p w14:paraId="2D8C7E33">
            <w:pPr>
              <w:pStyle w:val="6"/>
              <w:spacing w:before="224" w:line="219" w:lineRule="auto"/>
              <w:ind w:left="1330"/>
              <w:rPr>
                <w:sz w:val="21"/>
                <w:szCs w:val="21"/>
              </w:rPr>
            </w:pPr>
            <w:r>
              <w:rPr>
                <w:spacing w:val="-2"/>
                <w:sz w:val="21"/>
                <w:szCs w:val="21"/>
              </w:rPr>
              <w:t>情况简介</w:t>
            </w:r>
          </w:p>
        </w:tc>
        <w:tc>
          <w:tcPr>
            <w:tcW w:w="1912" w:type="dxa"/>
            <w:vAlign w:val="top"/>
          </w:tcPr>
          <w:p w14:paraId="1328E1E5">
            <w:pPr>
              <w:pStyle w:val="6"/>
              <w:spacing w:before="224" w:line="219" w:lineRule="auto"/>
              <w:ind w:left="329"/>
              <w:rPr>
                <w:sz w:val="21"/>
                <w:szCs w:val="21"/>
              </w:rPr>
            </w:pPr>
            <w:r>
              <w:rPr>
                <w:spacing w:val="-1"/>
                <w:sz w:val="21"/>
                <w:szCs w:val="21"/>
              </w:rPr>
              <w:t>证明材料索引</w:t>
            </w:r>
          </w:p>
        </w:tc>
      </w:tr>
      <w:tr w14:paraId="2D356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37" w:type="dxa"/>
            <w:vMerge w:val="restart"/>
            <w:tcBorders>
              <w:bottom w:val="nil"/>
            </w:tcBorders>
            <w:textDirection w:val="tbRlV"/>
            <w:vAlign w:val="top"/>
          </w:tcPr>
          <w:p w14:paraId="0A5B4F70">
            <w:pPr>
              <w:spacing w:line="273" w:lineRule="auto"/>
              <w:rPr>
                <w:rFonts w:ascii="Arial"/>
                <w:sz w:val="21"/>
              </w:rPr>
            </w:pPr>
          </w:p>
          <w:p w14:paraId="18E40E0C">
            <w:pPr>
              <w:pStyle w:val="6"/>
              <w:spacing w:before="70" w:line="209" w:lineRule="auto"/>
              <w:ind w:left="1584"/>
              <w:rPr>
                <w:sz w:val="21"/>
                <w:szCs w:val="21"/>
              </w:rPr>
            </w:pPr>
            <w:r>
              <w:rPr>
                <w:spacing w:val="22"/>
                <w:sz w:val="21"/>
                <w:szCs w:val="21"/>
              </w:rPr>
              <w:t>诉讼情况</w:t>
            </w:r>
          </w:p>
        </w:tc>
        <w:tc>
          <w:tcPr>
            <w:tcW w:w="944" w:type="dxa"/>
            <w:vAlign w:val="top"/>
          </w:tcPr>
          <w:p w14:paraId="3D9AE13C">
            <w:pPr>
              <w:rPr>
                <w:rFonts w:ascii="Arial"/>
                <w:sz w:val="21"/>
              </w:rPr>
            </w:pPr>
          </w:p>
        </w:tc>
        <w:tc>
          <w:tcPr>
            <w:tcW w:w="1229" w:type="dxa"/>
            <w:vAlign w:val="top"/>
          </w:tcPr>
          <w:p w14:paraId="5767B3E2">
            <w:pPr>
              <w:rPr>
                <w:rFonts w:ascii="Arial"/>
                <w:sz w:val="21"/>
              </w:rPr>
            </w:pPr>
          </w:p>
        </w:tc>
        <w:tc>
          <w:tcPr>
            <w:tcW w:w="3508" w:type="dxa"/>
            <w:vAlign w:val="top"/>
          </w:tcPr>
          <w:p w14:paraId="18CF02B8">
            <w:pPr>
              <w:rPr>
                <w:rFonts w:ascii="Arial"/>
                <w:sz w:val="21"/>
              </w:rPr>
            </w:pPr>
          </w:p>
        </w:tc>
        <w:tc>
          <w:tcPr>
            <w:tcW w:w="1912" w:type="dxa"/>
            <w:vAlign w:val="top"/>
          </w:tcPr>
          <w:p w14:paraId="41FB8A71">
            <w:pPr>
              <w:rPr>
                <w:rFonts w:ascii="Arial"/>
                <w:sz w:val="21"/>
              </w:rPr>
            </w:pPr>
          </w:p>
        </w:tc>
      </w:tr>
      <w:tr w14:paraId="094B9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37" w:type="dxa"/>
            <w:vMerge w:val="continue"/>
            <w:tcBorders>
              <w:top w:val="nil"/>
              <w:bottom w:val="nil"/>
            </w:tcBorders>
            <w:textDirection w:val="tbRlV"/>
            <w:vAlign w:val="top"/>
          </w:tcPr>
          <w:p w14:paraId="26E5F034">
            <w:pPr>
              <w:rPr>
                <w:rFonts w:ascii="Arial"/>
                <w:sz w:val="21"/>
              </w:rPr>
            </w:pPr>
          </w:p>
        </w:tc>
        <w:tc>
          <w:tcPr>
            <w:tcW w:w="944" w:type="dxa"/>
            <w:vAlign w:val="top"/>
          </w:tcPr>
          <w:p w14:paraId="10755992">
            <w:pPr>
              <w:rPr>
                <w:rFonts w:ascii="Arial"/>
                <w:sz w:val="21"/>
              </w:rPr>
            </w:pPr>
          </w:p>
        </w:tc>
        <w:tc>
          <w:tcPr>
            <w:tcW w:w="1229" w:type="dxa"/>
            <w:vAlign w:val="top"/>
          </w:tcPr>
          <w:p w14:paraId="19C3F699">
            <w:pPr>
              <w:rPr>
                <w:rFonts w:ascii="Arial"/>
                <w:sz w:val="21"/>
              </w:rPr>
            </w:pPr>
          </w:p>
        </w:tc>
        <w:tc>
          <w:tcPr>
            <w:tcW w:w="3508" w:type="dxa"/>
            <w:vAlign w:val="top"/>
          </w:tcPr>
          <w:p w14:paraId="44063FBB">
            <w:pPr>
              <w:rPr>
                <w:rFonts w:ascii="Arial"/>
                <w:sz w:val="21"/>
              </w:rPr>
            </w:pPr>
          </w:p>
        </w:tc>
        <w:tc>
          <w:tcPr>
            <w:tcW w:w="1912" w:type="dxa"/>
            <w:vAlign w:val="top"/>
          </w:tcPr>
          <w:p w14:paraId="4E4895D0">
            <w:pPr>
              <w:rPr>
                <w:rFonts w:ascii="Arial"/>
                <w:sz w:val="21"/>
              </w:rPr>
            </w:pPr>
          </w:p>
        </w:tc>
      </w:tr>
      <w:tr w14:paraId="784B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37" w:type="dxa"/>
            <w:vMerge w:val="continue"/>
            <w:tcBorders>
              <w:top w:val="nil"/>
            </w:tcBorders>
            <w:textDirection w:val="tbRlV"/>
            <w:vAlign w:val="top"/>
          </w:tcPr>
          <w:p w14:paraId="0873AD17">
            <w:pPr>
              <w:rPr>
                <w:rFonts w:ascii="Arial"/>
                <w:sz w:val="21"/>
              </w:rPr>
            </w:pPr>
          </w:p>
        </w:tc>
        <w:tc>
          <w:tcPr>
            <w:tcW w:w="944" w:type="dxa"/>
            <w:vAlign w:val="top"/>
          </w:tcPr>
          <w:p w14:paraId="484A6E85">
            <w:pPr>
              <w:rPr>
                <w:rFonts w:ascii="Arial"/>
                <w:sz w:val="21"/>
              </w:rPr>
            </w:pPr>
          </w:p>
        </w:tc>
        <w:tc>
          <w:tcPr>
            <w:tcW w:w="1229" w:type="dxa"/>
            <w:vAlign w:val="top"/>
          </w:tcPr>
          <w:p w14:paraId="2300DF28">
            <w:pPr>
              <w:rPr>
                <w:rFonts w:ascii="Arial"/>
                <w:sz w:val="21"/>
              </w:rPr>
            </w:pPr>
          </w:p>
        </w:tc>
        <w:tc>
          <w:tcPr>
            <w:tcW w:w="3508" w:type="dxa"/>
            <w:vAlign w:val="top"/>
          </w:tcPr>
          <w:p w14:paraId="5C17739D">
            <w:pPr>
              <w:rPr>
                <w:rFonts w:ascii="Arial"/>
                <w:sz w:val="21"/>
              </w:rPr>
            </w:pPr>
          </w:p>
        </w:tc>
        <w:tc>
          <w:tcPr>
            <w:tcW w:w="1912" w:type="dxa"/>
            <w:vAlign w:val="top"/>
          </w:tcPr>
          <w:p w14:paraId="5993B34C">
            <w:pPr>
              <w:rPr>
                <w:rFonts w:ascii="Arial"/>
                <w:sz w:val="21"/>
              </w:rPr>
            </w:pPr>
          </w:p>
        </w:tc>
      </w:tr>
      <w:tr w14:paraId="426F0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37" w:type="dxa"/>
            <w:vMerge w:val="restart"/>
            <w:tcBorders>
              <w:bottom w:val="nil"/>
            </w:tcBorders>
            <w:textDirection w:val="tbRlV"/>
            <w:vAlign w:val="top"/>
          </w:tcPr>
          <w:p w14:paraId="46EB86A2">
            <w:pPr>
              <w:spacing w:line="272" w:lineRule="auto"/>
              <w:rPr>
                <w:rFonts w:ascii="Arial"/>
                <w:sz w:val="21"/>
              </w:rPr>
            </w:pPr>
          </w:p>
          <w:p w14:paraId="3EE1D5AC">
            <w:pPr>
              <w:pStyle w:val="6"/>
              <w:spacing w:before="70" w:line="209" w:lineRule="auto"/>
              <w:ind w:left="1591"/>
              <w:rPr>
                <w:sz w:val="21"/>
                <w:szCs w:val="21"/>
              </w:rPr>
            </w:pPr>
            <w:r>
              <w:rPr>
                <w:spacing w:val="22"/>
                <w:sz w:val="21"/>
                <w:szCs w:val="21"/>
              </w:rPr>
              <w:t>仲裁情况</w:t>
            </w:r>
          </w:p>
        </w:tc>
        <w:tc>
          <w:tcPr>
            <w:tcW w:w="944" w:type="dxa"/>
            <w:vAlign w:val="top"/>
          </w:tcPr>
          <w:p w14:paraId="164D9251">
            <w:pPr>
              <w:rPr>
                <w:rFonts w:ascii="Arial"/>
                <w:sz w:val="21"/>
              </w:rPr>
            </w:pPr>
          </w:p>
        </w:tc>
        <w:tc>
          <w:tcPr>
            <w:tcW w:w="1229" w:type="dxa"/>
            <w:vAlign w:val="top"/>
          </w:tcPr>
          <w:p w14:paraId="0375B5E3">
            <w:pPr>
              <w:rPr>
                <w:rFonts w:ascii="Arial"/>
                <w:sz w:val="21"/>
              </w:rPr>
            </w:pPr>
          </w:p>
        </w:tc>
        <w:tc>
          <w:tcPr>
            <w:tcW w:w="3508" w:type="dxa"/>
            <w:vAlign w:val="top"/>
          </w:tcPr>
          <w:p w14:paraId="60849117">
            <w:pPr>
              <w:rPr>
                <w:rFonts w:ascii="Arial"/>
                <w:sz w:val="21"/>
              </w:rPr>
            </w:pPr>
          </w:p>
        </w:tc>
        <w:tc>
          <w:tcPr>
            <w:tcW w:w="1912" w:type="dxa"/>
            <w:vAlign w:val="top"/>
          </w:tcPr>
          <w:p w14:paraId="45E1EBB0">
            <w:pPr>
              <w:rPr>
                <w:rFonts w:ascii="Arial"/>
                <w:sz w:val="21"/>
              </w:rPr>
            </w:pPr>
          </w:p>
        </w:tc>
      </w:tr>
      <w:tr w14:paraId="3B9CD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8" w:hRule="atLeast"/>
        </w:trPr>
        <w:tc>
          <w:tcPr>
            <w:tcW w:w="937" w:type="dxa"/>
            <w:vMerge w:val="continue"/>
            <w:tcBorders>
              <w:top w:val="nil"/>
              <w:bottom w:val="nil"/>
            </w:tcBorders>
            <w:textDirection w:val="tbRlV"/>
            <w:vAlign w:val="top"/>
          </w:tcPr>
          <w:p w14:paraId="10593EE1">
            <w:pPr>
              <w:rPr>
                <w:rFonts w:ascii="Arial"/>
                <w:sz w:val="21"/>
              </w:rPr>
            </w:pPr>
          </w:p>
        </w:tc>
        <w:tc>
          <w:tcPr>
            <w:tcW w:w="944" w:type="dxa"/>
            <w:vAlign w:val="top"/>
          </w:tcPr>
          <w:p w14:paraId="2701AC12">
            <w:pPr>
              <w:rPr>
                <w:rFonts w:ascii="Arial"/>
                <w:sz w:val="21"/>
              </w:rPr>
            </w:pPr>
          </w:p>
        </w:tc>
        <w:tc>
          <w:tcPr>
            <w:tcW w:w="1229" w:type="dxa"/>
            <w:vAlign w:val="top"/>
          </w:tcPr>
          <w:p w14:paraId="3C4A0D4B">
            <w:pPr>
              <w:rPr>
                <w:rFonts w:ascii="Arial"/>
                <w:sz w:val="21"/>
              </w:rPr>
            </w:pPr>
          </w:p>
        </w:tc>
        <w:tc>
          <w:tcPr>
            <w:tcW w:w="3508" w:type="dxa"/>
            <w:vAlign w:val="top"/>
          </w:tcPr>
          <w:p w14:paraId="2A23AD2C">
            <w:pPr>
              <w:rPr>
                <w:rFonts w:ascii="Arial"/>
                <w:sz w:val="21"/>
              </w:rPr>
            </w:pPr>
          </w:p>
        </w:tc>
        <w:tc>
          <w:tcPr>
            <w:tcW w:w="1912" w:type="dxa"/>
            <w:vAlign w:val="top"/>
          </w:tcPr>
          <w:p w14:paraId="5CD467B4">
            <w:pPr>
              <w:rPr>
                <w:rFonts w:ascii="Arial"/>
                <w:sz w:val="21"/>
              </w:rPr>
            </w:pPr>
          </w:p>
        </w:tc>
      </w:tr>
      <w:tr w14:paraId="27F32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937" w:type="dxa"/>
            <w:vMerge w:val="continue"/>
            <w:tcBorders>
              <w:top w:val="nil"/>
            </w:tcBorders>
            <w:textDirection w:val="tbRlV"/>
            <w:vAlign w:val="top"/>
          </w:tcPr>
          <w:p w14:paraId="16ADB9AF">
            <w:pPr>
              <w:rPr>
                <w:rFonts w:ascii="Arial"/>
                <w:sz w:val="21"/>
              </w:rPr>
            </w:pPr>
          </w:p>
        </w:tc>
        <w:tc>
          <w:tcPr>
            <w:tcW w:w="944" w:type="dxa"/>
            <w:vAlign w:val="top"/>
          </w:tcPr>
          <w:p w14:paraId="59A4BB1B">
            <w:pPr>
              <w:rPr>
                <w:rFonts w:ascii="Arial"/>
                <w:sz w:val="21"/>
              </w:rPr>
            </w:pPr>
          </w:p>
        </w:tc>
        <w:tc>
          <w:tcPr>
            <w:tcW w:w="1229" w:type="dxa"/>
            <w:vAlign w:val="top"/>
          </w:tcPr>
          <w:p w14:paraId="23EF32D7">
            <w:pPr>
              <w:rPr>
                <w:rFonts w:ascii="Arial"/>
                <w:sz w:val="21"/>
              </w:rPr>
            </w:pPr>
          </w:p>
        </w:tc>
        <w:tc>
          <w:tcPr>
            <w:tcW w:w="3508" w:type="dxa"/>
            <w:vAlign w:val="top"/>
          </w:tcPr>
          <w:p w14:paraId="66869873">
            <w:pPr>
              <w:rPr>
                <w:rFonts w:ascii="Arial"/>
                <w:sz w:val="21"/>
              </w:rPr>
            </w:pPr>
          </w:p>
        </w:tc>
        <w:tc>
          <w:tcPr>
            <w:tcW w:w="1912" w:type="dxa"/>
            <w:vAlign w:val="top"/>
          </w:tcPr>
          <w:p w14:paraId="15BF9A48">
            <w:pPr>
              <w:rPr>
                <w:rFonts w:ascii="Arial"/>
                <w:sz w:val="21"/>
              </w:rPr>
            </w:pPr>
          </w:p>
        </w:tc>
      </w:tr>
    </w:tbl>
    <w:p w14:paraId="61B00350">
      <w:pPr>
        <w:pStyle w:val="2"/>
        <w:spacing w:line="454" w:lineRule="auto"/>
      </w:pPr>
    </w:p>
    <w:p w14:paraId="3F23A705">
      <w:pPr>
        <w:spacing w:before="68" w:line="348" w:lineRule="auto"/>
        <w:ind w:left="974" w:right="120" w:hanging="843"/>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招标文件将近年发生的诉讼和仲</w:t>
      </w:r>
      <w:r>
        <w:rPr>
          <w:rFonts w:ascii="宋体" w:hAnsi="宋体" w:eastAsia="宋体" w:cs="宋体"/>
          <w:sz w:val="21"/>
          <w:szCs w:val="21"/>
        </w:rPr>
        <w:t>裁情况作为资格条件或评分项的，投标人应当如</w:t>
      </w:r>
      <w:r>
        <w:rPr>
          <w:rFonts w:ascii="宋体" w:hAnsi="宋体" w:eastAsia="宋体" w:cs="宋体"/>
          <w:spacing w:val="-5"/>
          <w:sz w:val="21"/>
          <w:szCs w:val="21"/>
        </w:rPr>
        <w:t>实填报相关情况。</w:t>
      </w:r>
    </w:p>
    <w:p w14:paraId="2ED005AA">
      <w:pPr>
        <w:spacing w:before="18" w:line="219" w:lineRule="auto"/>
        <w:ind w:left="761"/>
        <w:rPr>
          <w:rFonts w:ascii="宋体" w:hAnsi="宋体" w:eastAsia="宋体" w:cs="宋体"/>
          <w:sz w:val="21"/>
          <w:szCs w:val="21"/>
        </w:rPr>
      </w:pPr>
      <w:r>
        <w:rPr>
          <w:rFonts w:ascii="宋体" w:hAnsi="宋体" w:eastAsia="宋体" w:cs="宋体"/>
          <w:spacing w:val="-2"/>
          <w:sz w:val="21"/>
          <w:szCs w:val="21"/>
        </w:rPr>
        <w:t>2.“近年”见第二章投标人须知前附表第</w:t>
      </w:r>
      <w:r>
        <w:rPr>
          <w:rFonts w:ascii="宋体" w:hAnsi="宋体" w:eastAsia="宋体" w:cs="宋体"/>
          <w:spacing w:val="-21"/>
          <w:sz w:val="21"/>
          <w:szCs w:val="21"/>
        </w:rPr>
        <w:t xml:space="preserve"> </w:t>
      </w:r>
      <w:r>
        <w:rPr>
          <w:rFonts w:ascii="宋体" w:hAnsi="宋体" w:eastAsia="宋体" w:cs="宋体"/>
          <w:spacing w:val="-2"/>
          <w:sz w:val="21"/>
          <w:szCs w:val="21"/>
        </w:rPr>
        <w:t>3.5.5</w:t>
      </w:r>
      <w:r>
        <w:rPr>
          <w:rFonts w:ascii="宋体" w:hAnsi="宋体" w:eastAsia="宋体" w:cs="宋体"/>
          <w:spacing w:val="-32"/>
          <w:sz w:val="21"/>
          <w:szCs w:val="21"/>
        </w:rPr>
        <w:t xml:space="preserve"> </w:t>
      </w:r>
      <w:r>
        <w:rPr>
          <w:rFonts w:ascii="宋体" w:hAnsi="宋体" w:eastAsia="宋体" w:cs="宋体"/>
          <w:spacing w:val="-2"/>
          <w:sz w:val="21"/>
          <w:szCs w:val="21"/>
        </w:rPr>
        <w:t>项。</w:t>
      </w:r>
    </w:p>
    <w:p w14:paraId="07E7785F">
      <w:pPr>
        <w:spacing w:before="141" w:line="352" w:lineRule="auto"/>
        <w:ind w:left="970" w:right="100" w:hanging="211"/>
        <w:rPr>
          <w:rFonts w:ascii="宋体" w:hAnsi="宋体" w:eastAsia="宋体" w:cs="宋体"/>
          <w:sz w:val="21"/>
          <w:szCs w:val="21"/>
        </w:rPr>
      </w:pPr>
      <w:r>
        <w:rPr>
          <w:rFonts w:ascii="Times New Roman" w:hAnsi="Times New Roman" w:eastAsia="Times New Roman" w:cs="Times New Roman"/>
          <w:spacing w:val="2"/>
          <w:sz w:val="21"/>
          <w:szCs w:val="21"/>
        </w:rPr>
        <w:t xml:space="preserve">3.  </w:t>
      </w:r>
      <w:r>
        <w:rPr>
          <w:rFonts w:ascii="宋体" w:hAnsi="宋体" w:eastAsia="宋体" w:cs="宋体"/>
          <w:spacing w:val="2"/>
          <w:sz w:val="21"/>
          <w:szCs w:val="21"/>
        </w:rPr>
        <w:t>近年发生的诉讼和仲裁情况仅限于投</w:t>
      </w:r>
      <w:r>
        <w:rPr>
          <w:rFonts w:ascii="宋体" w:hAnsi="宋体" w:eastAsia="宋体" w:cs="宋体"/>
          <w:spacing w:val="1"/>
          <w:sz w:val="21"/>
          <w:szCs w:val="21"/>
        </w:rPr>
        <w:t>标人败诉的，且与签订或履行施工承包合同</w:t>
      </w:r>
      <w:r>
        <w:rPr>
          <w:rFonts w:ascii="宋体" w:hAnsi="宋体" w:eastAsia="宋体" w:cs="宋体"/>
          <w:spacing w:val="-2"/>
          <w:sz w:val="21"/>
          <w:szCs w:val="21"/>
        </w:rPr>
        <w:t>有关的案件，不包括调解结案以及未终审判决的</w:t>
      </w:r>
      <w:r>
        <w:rPr>
          <w:rFonts w:ascii="宋体" w:hAnsi="宋体" w:eastAsia="宋体" w:cs="宋体"/>
          <w:spacing w:val="-3"/>
          <w:sz w:val="21"/>
          <w:szCs w:val="21"/>
        </w:rPr>
        <w:t>诉讼或未裁决的仲裁。附法院或仲裁机构作出的判决或裁决等有关法律文书的扫描件。以仲裁裁决或判决书的制发时间为准。</w:t>
      </w:r>
    </w:p>
    <w:p w14:paraId="48F47298">
      <w:pPr>
        <w:spacing w:line="352" w:lineRule="auto"/>
        <w:rPr>
          <w:rFonts w:ascii="宋体" w:hAnsi="宋体" w:eastAsia="宋体" w:cs="宋体"/>
          <w:sz w:val="21"/>
          <w:szCs w:val="21"/>
        </w:rPr>
        <w:sectPr>
          <w:footerReference r:id="rId337" w:type="default"/>
          <w:pgSz w:w="11910" w:h="16845"/>
          <w:pgMar w:top="400" w:right="1682" w:bottom="1110" w:left="1681" w:header="0" w:footer="883" w:gutter="0"/>
          <w:cols w:space="720" w:num="1"/>
        </w:sectPr>
      </w:pPr>
    </w:p>
    <w:p w14:paraId="0DAB1D5F">
      <w:pPr>
        <w:pStyle w:val="2"/>
        <w:spacing w:line="244" w:lineRule="auto"/>
      </w:pPr>
    </w:p>
    <w:p w14:paraId="0DAB6850">
      <w:pPr>
        <w:pStyle w:val="2"/>
        <w:spacing w:line="244" w:lineRule="auto"/>
      </w:pPr>
    </w:p>
    <w:p w14:paraId="1EE35B86">
      <w:pPr>
        <w:pStyle w:val="2"/>
        <w:spacing w:line="245" w:lineRule="auto"/>
      </w:pPr>
    </w:p>
    <w:p w14:paraId="3790F8FB">
      <w:pPr>
        <w:pStyle w:val="2"/>
        <w:spacing w:line="245" w:lineRule="auto"/>
      </w:pPr>
    </w:p>
    <w:p w14:paraId="04AE9A42">
      <w:pPr>
        <w:pStyle w:val="2"/>
        <w:spacing w:line="245" w:lineRule="auto"/>
      </w:pPr>
    </w:p>
    <w:p w14:paraId="7F5C35DC">
      <w:pPr>
        <w:pStyle w:val="2"/>
        <w:spacing w:line="245" w:lineRule="auto"/>
      </w:pPr>
    </w:p>
    <w:p w14:paraId="7EE0C11D">
      <w:pPr>
        <w:spacing w:before="78" w:line="220" w:lineRule="auto"/>
        <w:ind w:left="2612"/>
        <w:outlineLvl w:val="2"/>
        <w:rPr>
          <w:rFonts w:ascii="宋体" w:hAnsi="宋体" w:eastAsia="宋体" w:cs="宋体"/>
          <w:sz w:val="24"/>
          <w:szCs w:val="24"/>
        </w:rPr>
      </w:pPr>
      <w:bookmarkStart w:id="660" w:name="bookmark607"/>
      <w:bookmarkEnd w:id="660"/>
      <w:r>
        <w:rPr>
          <w:rFonts w:ascii="宋体" w:hAnsi="宋体" w:eastAsia="宋体" w:cs="宋体"/>
          <w:spacing w:val="-1"/>
          <w:sz w:val="24"/>
          <w:szCs w:val="24"/>
        </w:rPr>
        <w:t>5-3 近年投标人工程获奖情况表</w:t>
      </w:r>
    </w:p>
    <w:p w14:paraId="3E3B24A5">
      <w:pPr>
        <w:spacing w:before="159"/>
      </w:pPr>
    </w:p>
    <w:tbl>
      <w:tblPr>
        <w:tblStyle w:val="5"/>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2399"/>
        <w:gridCol w:w="1799"/>
        <w:gridCol w:w="1439"/>
        <w:gridCol w:w="2167"/>
      </w:tblGrid>
      <w:tr w14:paraId="33219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189CD6FF">
            <w:pPr>
              <w:pStyle w:val="6"/>
              <w:spacing w:before="149" w:line="221" w:lineRule="auto"/>
              <w:ind w:left="172"/>
              <w:rPr>
                <w:sz w:val="21"/>
                <w:szCs w:val="21"/>
              </w:rPr>
            </w:pPr>
            <w:r>
              <w:rPr>
                <w:spacing w:val="-2"/>
                <w:sz w:val="21"/>
                <w:szCs w:val="21"/>
              </w:rPr>
              <w:t>序号</w:t>
            </w:r>
          </w:p>
        </w:tc>
        <w:tc>
          <w:tcPr>
            <w:tcW w:w="2399" w:type="dxa"/>
            <w:vAlign w:val="top"/>
          </w:tcPr>
          <w:p w14:paraId="28EBD850">
            <w:pPr>
              <w:pStyle w:val="6"/>
              <w:spacing w:before="149" w:line="220" w:lineRule="auto"/>
              <w:ind w:left="786"/>
              <w:rPr>
                <w:sz w:val="21"/>
                <w:szCs w:val="21"/>
              </w:rPr>
            </w:pPr>
            <w:r>
              <w:rPr>
                <w:spacing w:val="-2"/>
                <w:sz w:val="21"/>
                <w:szCs w:val="21"/>
              </w:rPr>
              <w:t>项目名称</w:t>
            </w:r>
          </w:p>
        </w:tc>
        <w:tc>
          <w:tcPr>
            <w:tcW w:w="1799" w:type="dxa"/>
            <w:vAlign w:val="top"/>
          </w:tcPr>
          <w:p w14:paraId="6A11A58F">
            <w:pPr>
              <w:pStyle w:val="6"/>
              <w:spacing w:before="149" w:line="220" w:lineRule="auto"/>
              <w:ind w:left="490"/>
              <w:rPr>
                <w:sz w:val="21"/>
                <w:szCs w:val="21"/>
              </w:rPr>
            </w:pPr>
            <w:r>
              <w:rPr>
                <w:spacing w:val="-2"/>
                <w:sz w:val="21"/>
                <w:szCs w:val="21"/>
              </w:rPr>
              <w:t>获奖名称</w:t>
            </w:r>
          </w:p>
        </w:tc>
        <w:tc>
          <w:tcPr>
            <w:tcW w:w="1439" w:type="dxa"/>
            <w:vAlign w:val="top"/>
          </w:tcPr>
          <w:p w14:paraId="45B6079B">
            <w:pPr>
              <w:pStyle w:val="6"/>
              <w:spacing w:before="149" w:line="220" w:lineRule="auto"/>
              <w:ind w:left="313"/>
              <w:rPr>
                <w:sz w:val="21"/>
                <w:szCs w:val="21"/>
              </w:rPr>
            </w:pPr>
            <w:r>
              <w:rPr>
                <w:spacing w:val="-2"/>
                <w:sz w:val="21"/>
                <w:szCs w:val="21"/>
              </w:rPr>
              <w:t>获奖日期</w:t>
            </w:r>
          </w:p>
        </w:tc>
        <w:tc>
          <w:tcPr>
            <w:tcW w:w="2167" w:type="dxa"/>
            <w:vAlign w:val="top"/>
          </w:tcPr>
          <w:p w14:paraId="28B13A35">
            <w:pPr>
              <w:pStyle w:val="6"/>
              <w:spacing w:before="149" w:line="220" w:lineRule="auto"/>
              <w:ind w:left="673"/>
              <w:rPr>
                <w:sz w:val="21"/>
                <w:szCs w:val="21"/>
              </w:rPr>
            </w:pPr>
            <w:r>
              <w:rPr>
                <w:spacing w:val="-2"/>
                <w:sz w:val="21"/>
                <w:szCs w:val="21"/>
              </w:rPr>
              <w:t>颁奖单位</w:t>
            </w:r>
          </w:p>
        </w:tc>
      </w:tr>
      <w:tr w14:paraId="015A1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E386E21">
            <w:pPr>
              <w:rPr>
                <w:rFonts w:ascii="Arial"/>
                <w:sz w:val="21"/>
              </w:rPr>
            </w:pPr>
          </w:p>
        </w:tc>
        <w:tc>
          <w:tcPr>
            <w:tcW w:w="2399" w:type="dxa"/>
            <w:vAlign w:val="top"/>
          </w:tcPr>
          <w:p w14:paraId="0EDCAC6F">
            <w:pPr>
              <w:rPr>
                <w:rFonts w:ascii="Arial"/>
                <w:sz w:val="21"/>
              </w:rPr>
            </w:pPr>
          </w:p>
        </w:tc>
        <w:tc>
          <w:tcPr>
            <w:tcW w:w="1799" w:type="dxa"/>
            <w:vAlign w:val="top"/>
          </w:tcPr>
          <w:p w14:paraId="0B7E3633">
            <w:pPr>
              <w:rPr>
                <w:rFonts w:ascii="Arial"/>
                <w:sz w:val="21"/>
              </w:rPr>
            </w:pPr>
          </w:p>
        </w:tc>
        <w:tc>
          <w:tcPr>
            <w:tcW w:w="1439" w:type="dxa"/>
            <w:vAlign w:val="top"/>
          </w:tcPr>
          <w:p w14:paraId="0B70F77D">
            <w:pPr>
              <w:rPr>
                <w:rFonts w:ascii="Arial"/>
                <w:sz w:val="21"/>
              </w:rPr>
            </w:pPr>
          </w:p>
        </w:tc>
        <w:tc>
          <w:tcPr>
            <w:tcW w:w="2167" w:type="dxa"/>
            <w:vAlign w:val="top"/>
          </w:tcPr>
          <w:p w14:paraId="5A940AF7">
            <w:pPr>
              <w:rPr>
                <w:rFonts w:ascii="Arial"/>
                <w:sz w:val="21"/>
              </w:rPr>
            </w:pPr>
          </w:p>
        </w:tc>
      </w:tr>
      <w:tr w14:paraId="0B2AC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4BD904FA">
            <w:pPr>
              <w:rPr>
                <w:rFonts w:ascii="Arial"/>
                <w:sz w:val="21"/>
              </w:rPr>
            </w:pPr>
          </w:p>
        </w:tc>
        <w:tc>
          <w:tcPr>
            <w:tcW w:w="2399" w:type="dxa"/>
            <w:vAlign w:val="top"/>
          </w:tcPr>
          <w:p w14:paraId="5B2E45B6">
            <w:pPr>
              <w:rPr>
                <w:rFonts w:ascii="Arial"/>
                <w:sz w:val="21"/>
              </w:rPr>
            </w:pPr>
          </w:p>
        </w:tc>
        <w:tc>
          <w:tcPr>
            <w:tcW w:w="1799" w:type="dxa"/>
            <w:vAlign w:val="top"/>
          </w:tcPr>
          <w:p w14:paraId="4B984FAB">
            <w:pPr>
              <w:rPr>
                <w:rFonts w:ascii="Arial"/>
                <w:sz w:val="21"/>
              </w:rPr>
            </w:pPr>
          </w:p>
        </w:tc>
        <w:tc>
          <w:tcPr>
            <w:tcW w:w="1439" w:type="dxa"/>
            <w:vAlign w:val="top"/>
          </w:tcPr>
          <w:p w14:paraId="7789530D">
            <w:pPr>
              <w:rPr>
                <w:rFonts w:ascii="Arial"/>
                <w:sz w:val="21"/>
              </w:rPr>
            </w:pPr>
          </w:p>
        </w:tc>
        <w:tc>
          <w:tcPr>
            <w:tcW w:w="2167" w:type="dxa"/>
            <w:vAlign w:val="top"/>
          </w:tcPr>
          <w:p w14:paraId="764217D7">
            <w:pPr>
              <w:rPr>
                <w:rFonts w:ascii="Arial"/>
                <w:sz w:val="21"/>
              </w:rPr>
            </w:pPr>
          </w:p>
        </w:tc>
      </w:tr>
      <w:tr w14:paraId="06B83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0833E3A">
            <w:pPr>
              <w:rPr>
                <w:rFonts w:ascii="Arial"/>
                <w:sz w:val="21"/>
              </w:rPr>
            </w:pPr>
          </w:p>
        </w:tc>
        <w:tc>
          <w:tcPr>
            <w:tcW w:w="2399" w:type="dxa"/>
            <w:vAlign w:val="top"/>
          </w:tcPr>
          <w:p w14:paraId="20046AA1">
            <w:pPr>
              <w:rPr>
                <w:rFonts w:ascii="Arial"/>
                <w:sz w:val="21"/>
              </w:rPr>
            </w:pPr>
          </w:p>
        </w:tc>
        <w:tc>
          <w:tcPr>
            <w:tcW w:w="1799" w:type="dxa"/>
            <w:vAlign w:val="top"/>
          </w:tcPr>
          <w:p w14:paraId="3870B493">
            <w:pPr>
              <w:rPr>
                <w:rFonts w:ascii="Arial"/>
                <w:sz w:val="21"/>
              </w:rPr>
            </w:pPr>
          </w:p>
        </w:tc>
        <w:tc>
          <w:tcPr>
            <w:tcW w:w="1439" w:type="dxa"/>
            <w:vAlign w:val="top"/>
          </w:tcPr>
          <w:p w14:paraId="13524BD4">
            <w:pPr>
              <w:rPr>
                <w:rFonts w:ascii="Arial"/>
                <w:sz w:val="21"/>
              </w:rPr>
            </w:pPr>
          </w:p>
        </w:tc>
        <w:tc>
          <w:tcPr>
            <w:tcW w:w="2167" w:type="dxa"/>
            <w:vAlign w:val="top"/>
          </w:tcPr>
          <w:p w14:paraId="31609550">
            <w:pPr>
              <w:rPr>
                <w:rFonts w:ascii="Arial"/>
                <w:sz w:val="21"/>
              </w:rPr>
            </w:pPr>
          </w:p>
        </w:tc>
      </w:tr>
      <w:tr w14:paraId="7503C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4D10E63">
            <w:pPr>
              <w:rPr>
                <w:rFonts w:ascii="Arial"/>
                <w:sz w:val="21"/>
              </w:rPr>
            </w:pPr>
          </w:p>
        </w:tc>
        <w:tc>
          <w:tcPr>
            <w:tcW w:w="2399" w:type="dxa"/>
            <w:vAlign w:val="top"/>
          </w:tcPr>
          <w:p w14:paraId="3A0510C9">
            <w:pPr>
              <w:rPr>
                <w:rFonts w:ascii="Arial"/>
                <w:sz w:val="21"/>
              </w:rPr>
            </w:pPr>
          </w:p>
        </w:tc>
        <w:tc>
          <w:tcPr>
            <w:tcW w:w="1799" w:type="dxa"/>
            <w:vAlign w:val="top"/>
          </w:tcPr>
          <w:p w14:paraId="4201FEC0">
            <w:pPr>
              <w:rPr>
                <w:rFonts w:ascii="Arial"/>
                <w:sz w:val="21"/>
              </w:rPr>
            </w:pPr>
          </w:p>
        </w:tc>
        <w:tc>
          <w:tcPr>
            <w:tcW w:w="1439" w:type="dxa"/>
            <w:vAlign w:val="top"/>
          </w:tcPr>
          <w:p w14:paraId="65C34568">
            <w:pPr>
              <w:rPr>
                <w:rFonts w:ascii="Arial"/>
                <w:sz w:val="21"/>
              </w:rPr>
            </w:pPr>
          </w:p>
        </w:tc>
        <w:tc>
          <w:tcPr>
            <w:tcW w:w="2167" w:type="dxa"/>
            <w:vAlign w:val="top"/>
          </w:tcPr>
          <w:p w14:paraId="4C5ACB44">
            <w:pPr>
              <w:rPr>
                <w:rFonts w:ascii="Arial"/>
                <w:sz w:val="21"/>
              </w:rPr>
            </w:pPr>
          </w:p>
        </w:tc>
      </w:tr>
      <w:tr w14:paraId="47B9E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7E993C6D">
            <w:pPr>
              <w:rPr>
                <w:rFonts w:ascii="Arial"/>
                <w:sz w:val="21"/>
              </w:rPr>
            </w:pPr>
          </w:p>
        </w:tc>
        <w:tc>
          <w:tcPr>
            <w:tcW w:w="2399" w:type="dxa"/>
            <w:vAlign w:val="top"/>
          </w:tcPr>
          <w:p w14:paraId="31735F8E">
            <w:pPr>
              <w:rPr>
                <w:rFonts w:ascii="Arial"/>
                <w:sz w:val="21"/>
              </w:rPr>
            </w:pPr>
          </w:p>
        </w:tc>
        <w:tc>
          <w:tcPr>
            <w:tcW w:w="1799" w:type="dxa"/>
            <w:vAlign w:val="top"/>
          </w:tcPr>
          <w:p w14:paraId="579378F1">
            <w:pPr>
              <w:rPr>
                <w:rFonts w:ascii="Arial"/>
                <w:sz w:val="21"/>
              </w:rPr>
            </w:pPr>
          </w:p>
        </w:tc>
        <w:tc>
          <w:tcPr>
            <w:tcW w:w="1439" w:type="dxa"/>
            <w:vAlign w:val="top"/>
          </w:tcPr>
          <w:p w14:paraId="606564CA">
            <w:pPr>
              <w:rPr>
                <w:rFonts w:ascii="Arial"/>
                <w:sz w:val="21"/>
              </w:rPr>
            </w:pPr>
          </w:p>
        </w:tc>
        <w:tc>
          <w:tcPr>
            <w:tcW w:w="2167" w:type="dxa"/>
            <w:vAlign w:val="top"/>
          </w:tcPr>
          <w:p w14:paraId="70BC7C80">
            <w:pPr>
              <w:rPr>
                <w:rFonts w:ascii="Arial"/>
                <w:sz w:val="21"/>
              </w:rPr>
            </w:pPr>
          </w:p>
        </w:tc>
      </w:tr>
      <w:tr w14:paraId="3C523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21DBD56B">
            <w:pPr>
              <w:rPr>
                <w:rFonts w:ascii="Arial"/>
                <w:sz w:val="21"/>
              </w:rPr>
            </w:pPr>
          </w:p>
        </w:tc>
        <w:tc>
          <w:tcPr>
            <w:tcW w:w="2399" w:type="dxa"/>
            <w:vAlign w:val="top"/>
          </w:tcPr>
          <w:p w14:paraId="43C54A8A">
            <w:pPr>
              <w:rPr>
                <w:rFonts w:ascii="Arial"/>
                <w:sz w:val="21"/>
              </w:rPr>
            </w:pPr>
          </w:p>
        </w:tc>
        <w:tc>
          <w:tcPr>
            <w:tcW w:w="1799" w:type="dxa"/>
            <w:vAlign w:val="top"/>
          </w:tcPr>
          <w:p w14:paraId="70233EE6">
            <w:pPr>
              <w:rPr>
                <w:rFonts w:ascii="Arial"/>
                <w:sz w:val="21"/>
              </w:rPr>
            </w:pPr>
          </w:p>
        </w:tc>
        <w:tc>
          <w:tcPr>
            <w:tcW w:w="1439" w:type="dxa"/>
            <w:vAlign w:val="top"/>
          </w:tcPr>
          <w:p w14:paraId="11F574E6">
            <w:pPr>
              <w:rPr>
                <w:rFonts w:ascii="Arial"/>
                <w:sz w:val="21"/>
              </w:rPr>
            </w:pPr>
          </w:p>
        </w:tc>
        <w:tc>
          <w:tcPr>
            <w:tcW w:w="2167" w:type="dxa"/>
            <w:vAlign w:val="top"/>
          </w:tcPr>
          <w:p w14:paraId="17C52E51">
            <w:pPr>
              <w:rPr>
                <w:rFonts w:ascii="Arial"/>
                <w:sz w:val="21"/>
              </w:rPr>
            </w:pPr>
          </w:p>
        </w:tc>
      </w:tr>
      <w:tr w14:paraId="3FF85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35278ECE">
            <w:pPr>
              <w:rPr>
                <w:rFonts w:ascii="Arial"/>
                <w:sz w:val="21"/>
              </w:rPr>
            </w:pPr>
          </w:p>
        </w:tc>
        <w:tc>
          <w:tcPr>
            <w:tcW w:w="2399" w:type="dxa"/>
            <w:vAlign w:val="top"/>
          </w:tcPr>
          <w:p w14:paraId="1EC5C157">
            <w:pPr>
              <w:rPr>
                <w:rFonts w:ascii="Arial"/>
                <w:sz w:val="21"/>
              </w:rPr>
            </w:pPr>
          </w:p>
        </w:tc>
        <w:tc>
          <w:tcPr>
            <w:tcW w:w="1799" w:type="dxa"/>
            <w:vAlign w:val="top"/>
          </w:tcPr>
          <w:p w14:paraId="0E0C095D">
            <w:pPr>
              <w:rPr>
                <w:rFonts w:ascii="Arial"/>
                <w:sz w:val="21"/>
              </w:rPr>
            </w:pPr>
          </w:p>
        </w:tc>
        <w:tc>
          <w:tcPr>
            <w:tcW w:w="1439" w:type="dxa"/>
            <w:vAlign w:val="top"/>
          </w:tcPr>
          <w:p w14:paraId="39E1C534">
            <w:pPr>
              <w:rPr>
                <w:rFonts w:ascii="Arial"/>
                <w:sz w:val="21"/>
              </w:rPr>
            </w:pPr>
          </w:p>
        </w:tc>
        <w:tc>
          <w:tcPr>
            <w:tcW w:w="2167" w:type="dxa"/>
            <w:vAlign w:val="top"/>
          </w:tcPr>
          <w:p w14:paraId="3BF0F1A7">
            <w:pPr>
              <w:rPr>
                <w:rFonts w:ascii="Arial"/>
                <w:sz w:val="21"/>
              </w:rPr>
            </w:pPr>
          </w:p>
        </w:tc>
      </w:tr>
      <w:tr w14:paraId="0B3FB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3E474BEB">
            <w:pPr>
              <w:rPr>
                <w:rFonts w:ascii="Arial"/>
                <w:sz w:val="21"/>
              </w:rPr>
            </w:pPr>
          </w:p>
        </w:tc>
        <w:tc>
          <w:tcPr>
            <w:tcW w:w="2399" w:type="dxa"/>
            <w:vAlign w:val="top"/>
          </w:tcPr>
          <w:p w14:paraId="2F699733">
            <w:pPr>
              <w:rPr>
                <w:rFonts w:ascii="Arial"/>
                <w:sz w:val="21"/>
              </w:rPr>
            </w:pPr>
          </w:p>
        </w:tc>
        <w:tc>
          <w:tcPr>
            <w:tcW w:w="1799" w:type="dxa"/>
            <w:vAlign w:val="top"/>
          </w:tcPr>
          <w:p w14:paraId="3661BBA6">
            <w:pPr>
              <w:rPr>
                <w:rFonts w:ascii="Arial"/>
                <w:sz w:val="21"/>
              </w:rPr>
            </w:pPr>
          </w:p>
        </w:tc>
        <w:tc>
          <w:tcPr>
            <w:tcW w:w="1439" w:type="dxa"/>
            <w:vAlign w:val="top"/>
          </w:tcPr>
          <w:p w14:paraId="2AE7DC03">
            <w:pPr>
              <w:rPr>
                <w:rFonts w:ascii="Arial"/>
                <w:sz w:val="21"/>
              </w:rPr>
            </w:pPr>
          </w:p>
        </w:tc>
        <w:tc>
          <w:tcPr>
            <w:tcW w:w="2167" w:type="dxa"/>
            <w:vAlign w:val="top"/>
          </w:tcPr>
          <w:p w14:paraId="5DA342C8">
            <w:pPr>
              <w:rPr>
                <w:rFonts w:ascii="Arial"/>
                <w:sz w:val="21"/>
              </w:rPr>
            </w:pPr>
          </w:p>
        </w:tc>
      </w:tr>
      <w:tr w14:paraId="551E9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56ABB7B">
            <w:pPr>
              <w:rPr>
                <w:rFonts w:ascii="Arial"/>
                <w:sz w:val="21"/>
              </w:rPr>
            </w:pPr>
          </w:p>
        </w:tc>
        <w:tc>
          <w:tcPr>
            <w:tcW w:w="2399" w:type="dxa"/>
            <w:vAlign w:val="top"/>
          </w:tcPr>
          <w:p w14:paraId="632559A2">
            <w:pPr>
              <w:rPr>
                <w:rFonts w:ascii="Arial"/>
                <w:sz w:val="21"/>
              </w:rPr>
            </w:pPr>
          </w:p>
        </w:tc>
        <w:tc>
          <w:tcPr>
            <w:tcW w:w="1799" w:type="dxa"/>
            <w:vAlign w:val="top"/>
          </w:tcPr>
          <w:p w14:paraId="400ED828">
            <w:pPr>
              <w:rPr>
                <w:rFonts w:ascii="Arial"/>
                <w:sz w:val="21"/>
              </w:rPr>
            </w:pPr>
          </w:p>
        </w:tc>
        <w:tc>
          <w:tcPr>
            <w:tcW w:w="1439" w:type="dxa"/>
            <w:vAlign w:val="top"/>
          </w:tcPr>
          <w:p w14:paraId="4A8A9E0E">
            <w:pPr>
              <w:rPr>
                <w:rFonts w:ascii="Arial"/>
                <w:sz w:val="21"/>
              </w:rPr>
            </w:pPr>
          </w:p>
        </w:tc>
        <w:tc>
          <w:tcPr>
            <w:tcW w:w="2167" w:type="dxa"/>
            <w:vAlign w:val="top"/>
          </w:tcPr>
          <w:p w14:paraId="073B3F17">
            <w:pPr>
              <w:rPr>
                <w:rFonts w:ascii="Arial"/>
                <w:sz w:val="21"/>
              </w:rPr>
            </w:pPr>
          </w:p>
        </w:tc>
      </w:tr>
      <w:tr w14:paraId="2A50F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7E995E39">
            <w:pPr>
              <w:rPr>
                <w:rFonts w:ascii="Arial"/>
                <w:sz w:val="21"/>
              </w:rPr>
            </w:pPr>
          </w:p>
        </w:tc>
        <w:tc>
          <w:tcPr>
            <w:tcW w:w="2399" w:type="dxa"/>
            <w:vAlign w:val="top"/>
          </w:tcPr>
          <w:p w14:paraId="383767D0">
            <w:pPr>
              <w:rPr>
                <w:rFonts w:ascii="Arial"/>
                <w:sz w:val="21"/>
              </w:rPr>
            </w:pPr>
          </w:p>
        </w:tc>
        <w:tc>
          <w:tcPr>
            <w:tcW w:w="1799" w:type="dxa"/>
            <w:vAlign w:val="top"/>
          </w:tcPr>
          <w:p w14:paraId="37F02A49">
            <w:pPr>
              <w:rPr>
                <w:rFonts w:ascii="Arial"/>
                <w:sz w:val="21"/>
              </w:rPr>
            </w:pPr>
          </w:p>
        </w:tc>
        <w:tc>
          <w:tcPr>
            <w:tcW w:w="1439" w:type="dxa"/>
            <w:vAlign w:val="top"/>
          </w:tcPr>
          <w:p w14:paraId="7A4A7365">
            <w:pPr>
              <w:rPr>
                <w:rFonts w:ascii="Arial"/>
                <w:sz w:val="21"/>
              </w:rPr>
            </w:pPr>
          </w:p>
        </w:tc>
        <w:tc>
          <w:tcPr>
            <w:tcW w:w="2167" w:type="dxa"/>
            <w:vAlign w:val="top"/>
          </w:tcPr>
          <w:p w14:paraId="6D560252">
            <w:pPr>
              <w:rPr>
                <w:rFonts w:ascii="Arial"/>
                <w:sz w:val="21"/>
              </w:rPr>
            </w:pPr>
          </w:p>
        </w:tc>
      </w:tr>
      <w:tr w14:paraId="2C067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960B4B8">
            <w:pPr>
              <w:rPr>
                <w:rFonts w:ascii="Arial"/>
                <w:sz w:val="21"/>
              </w:rPr>
            </w:pPr>
          </w:p>
        </w:tc>
        <w:tc>
          <w:tcPr>
            <w:tcW w:w="2399" w:type="dxa"/>
            <w:vAlign w:val="top"/>
          </w:tcPr>
          <w:p w14:paraId="2DBB5056">
            <w:pPr>
              <w:rPr>
                <w:rFonts w:ascii="Arial"/>
                <w:sz w:val="21"/>
              </w:rPr>
            </w:pPr>
          </w:p>
        </w:tc>
        <w:tc>
          <w:tcPr>
            <w:tcW w:w="1799" w:type="dxa"/>
            <w:vAlign w:val="top"/>
          </w:tcPr>
          <w:p w14:paraId="77EE01F5">
            <w:pPr>
              <w:rPr>
                <w:rFonts w:ascii="Arial"/>
                <w:sz w:val="21"/>
              </w:rPr>
            </w:pPr>
          </w:p>
        </w:tc>
        <w:tc>
          <w:tcPr>
            <w:tcW w:w="1439" w:type="dxa"/>
            <w:vAlign w:val="top"/>
          </w:tcPr>
          <w:p w14:paraId="363340FE">
            <w:pPr>
              <w:rPr>
                <w:rFonts w:ascii="Arial"/>
                <w:sz w:val="21"/>
              </w:rPr>
            </w:pPr>
          </w:p>
        </w:tc>
        <w:tc>
          <w:tcPr>
            <w:tcW w:w="2167" w:type="dxa"/>
            <w:vAlign w:val="top"/>
          </w:tcPr>
          <w:p w14:paraId="639ACDA6">
            <w:pPr>
              <w:rPr>
                <w:rFonts w:ascii="Arial"/>
                <w:sz w:val="21"/>
              </w:rPr>
            </w:pPr>
          </w:p>
        </w:tc>
      </w:tr>
      <w:tr w14:paraId="5730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3224F1C">
            <w:pPr>
              <w:rPr>
                <w:rFonts w:ascii="Arial"/>
                <w:sz w:val="21"/>
              </w:rPr>
            </w:pPr>
          </w:p>
        </w:tc>
        <w:tc>
          <w:tcPr>
            <w:tcW w:w="2399" w:type="dxa"/>
            <w:vAlign w:val="top"/>
          </w:tcPr>
          <w:p w14:paraId="090539E6">
            <w:pPr>
              <w:rPr>
                <w:rFonts w:ascii="Arial"/>
                <w:sz w:val="21"/>
              </w:rPr>
            </w:pPr>
          </w:p>
        </w:tc>
        <w:tc>
          <w:tcPr>
            <w:tcW w:w="1799" w:type="dxa"/>
            <w:vAlign w:val="top"/>
          </w:tcPr>
          <w:p w14:paraId="688EABF9">
            <w:pPr>
              <w:rPr>
                <w:rFonts w:ascii="Arial"/>
                <w:sz w:val="21"/>
              </w:rPr>
            </w:pPr>
          </w:p>
        </w:tc>
        <w:tc>
          <w:tcPr>
            <w:tcW w:w="1439" w:type="dxa"/>
            <w:vAlign w:val="top"/>
          </w:tcPr>
          <w:p w14:paraId="19F70FD7">
            <w:pPr>
              <w:rPr>
                <w:rFonts w:ascii="Arial"/>
                <w:sz w:val="21"/>
              </w:rPr>
            </w:pPr>
          </w:p>
        </w:tc>
        <w:tc>
          <w:tcPr>
            <w:tcW w:w="2167" w:type="dxa"/>
            <w:vAlign w:val="top"/>
          </w:tcPr>
          <w:p w14:paraId="55A89236">
            <w:pPr>
              <w:rPr>
                <w:rFonts w:ascii="Arial"/>
                <w:sz w:val="21"/>
              </w:rPr>
            </w:pPr>
          </w:p>
        </w:tc>
      </w:tr>
      <w:tr w14:paraId="4B2D3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42DD2585">
            <w:pPr>
              <w:rPr>
                <w:rFonts w:ascii="Arial"/>
                <w:sz w:val="21"/>
              </w:rPr>
            </w:pPr>
          </w:p>
        </w:tc>
        <w:tc>
          <w:tcPr>
            <w:tcW w:w="2399" w:type="dxa"/>
            <w:vAlign w:val="top"/>
          </w:tcPr>
          <w:p w14:paraId="1074B2BA">
            <w:pPr>
              <w:rPr>
                <w:rFonts w:ascii="Arial"/>
                <w:sz w:val="21"/>
              </w:rPr>
            </w:pPr>
          </w:p>
        </w:tc>
        <w:tc>
          <w:tcPr>
            <w:tcW w:w="1799" w:type="dxa"/>
            <w:vAlign w:val="top"/>
          </w:tcPr>
          <w:p w14:paraId="08D542C0">
            <w:pPr>
              <w:rPr>
                <w:rFonts w:ascii="Arial"/>
                <w:sz w:val="21"/>
              </w:rPr>
            </w:pPr>
          </w:p>
        </w:tc>
        <w:tc>
          <w:tcPr>
            <w:tcW w:w="1439" w:type="dxa"/>
            <w:vAlign w:val="top"/>
          </w:tcPr>
          <w:p w14:paraId="6A208223">
            <w:pPr>
              <w:rPr>
                <w:rFonts w:ascii="Arial"/>
                <w:sz w:val="21"/>
              </w:rPr>
            </w:pPr>
          </w:p>
        </w:tc>
        <w:tc>
          <w:tcPr>
            <w:tcW w:w="2167" w:type="dxa"/>
            <w:vAlign w:val="top"/>
          </w:tcPr>
          <w:p w14:paraId="6C40E3C9">
            <w:pPr>
              <w:rPr>
                <w:rFonts w:ascii="Arial"/>
                <w:sz w:val="21"/>
              </w:rPr>
            </w:pPr>
          </w:p>
        </w:tc>
      </w:tr>
    </w:tbl>
    <w:p w14:paraId="45CA30ED">
      <w:pPr>
        <w:pStyle w:val="2"/>
        <w:spacing w:line="290" w:lineRule="auto"/>
      </w:pPr>
    </w:p>
    <w:p w14:paraId="2522F7E5">
      <w:pPr>
        <w:pStyle w:val="2"/>
        <w:spacing w:line="290" w:lineRule="auto"/>
      </w:pPr>
    </w:p>
    <w:p w14:paraId="25E4E377">
      <w:pPr>
        <w:pStyle w:val="2"/>
        <w:spacing w:line="291" w:lineRule="auto"/>
      </w:pPr>
    </w:p>
    <w:p w14:paraId="3E0F6D71">
      <w:pPr>
        <w:spacing w:before="68" w:line="233" w:lineRule="auto"/>
        <w:ind w:left="131"/>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“近年”见第二章投标人须知前附表第</w:t>
      </w:r>
      <w:r>
        <w:rPr>
          <w:rFonts w:ascii="宋体" w:hAnsi="宋体" w:eastAsia="宋体" w:cs="宋体"/>
          <w:spacing w:val="-34"/>
          <w:sz w:val="21"/>
          <w:szCs w:val="21"/>
        </w:rPr>
        <w:t xml:space="preserve"> </w:t>
      </w:r>
      <w:r>
        <w:rPr>
          <w:rFonts w:ascii="宋体" w:hAnsi="宋体" w:eastAsia="宋体" w:cs="宋体"/>
          <w:spacing w:val="-1"/>
          <w:sz w:val="21"/>
          <w:szCs w:val="21"/>
        </w:rPr>
        <w:t>3.5.7</w:t>
      </w:r>
      <w:r>
        <w:rPr>
          <w:rFonts w:ascii="宋体" w:hAnsi="宋体" w:eastAsia="宋体" w:cs="宋体"/>
          <w:spacing w:val="-32"/>
          <w:sz w:val="21"/>
          <w:szCs w:val="21"/>
        </w:rPr>
        <w:t xml:space="preserve"> </w:t>
      </w:r>
      <w:r>
        <w:rPr>
          <w:rFonts w:ascii="宋体" w:hAnsi="宋体" w:eastAsia="宋体" w:cs="宋体"/>
          <w:spacing w:val="-1"/>
          <w:sz w:val="21"/>
          <w:szCs w:val="21"/>
        </w:rPr>
        <w:t>项。</w:t>
      </w:r>
    </w:p>
    <w:p w14:paraId="49196045">
      <w:pPr>
        <w:spacing w:before="142" w:line="350" w:lineRule="auto"/>
        <w:ind w:left="969" w:right="144" w:hanging="214"/>
        <w:rPr>
          <w:rFonts w:ascii="宋体" w:hAnsi="宋体" w:eastAsia="宋体" w:cs="宋体"/>
          <w:sz w:val="21"/>
          <w:szCs w:val="21"/>
        </w:rPr>
      </w:pPr>
      <w:r>
        <w:rPr>
          <w:rFonts w:ascii="Times New Roman" w:hAnsi="Times New Roman" w:eastAsia="Times New Roman" w:cs="Times New Roman"/>
          <w:spacing w:val="-5"/>
          <w:sz w:val="21"/>
          <w:szCs w:val="21"/>
        </w:rPr>
        <w:t>2.</w:t>
      </w:r>
      <w:r>
        <w:rPr>
          <w:rFonts w:ascii="Times New Roman" w:hAnsi="Times New Roman" w:eastAsia="Times New Roman" w:cs="Times New Roman"/>
          <w:spacing w:val="18"/>
          <w:w w:val="101"/>
          <w:sz w:val="21"/>
          <w:szCs w:val="21"/>
        </w:rPr>
        <w:t xml:space="preserve">  </w:t>
      </w:r>
      <w:r>
        <w:rPr>
          <w:rFonts w:ascii="宋体" w:hAnsi="宋体" w:eastAsia="宋体" w:cs="宋体"/>
          <w:spacing w:val="-5"/>
          <w:sz w:val="21"/>
          <w:szCs w:val="21"/>
        </w:rPr>
        <w:t>本表后应附中标通知书（如有）、合同协议书、施工许可证（如有）、工程接收证</w:t>
      </w:r>
      <w:r>
        <w:rPr>
          <w:rFonts w:ascii="宋体" w:hAnsi="宋体" w:eastAsia="宋体" w:cs="宋体"/>
          <w:spacing w:val="-3"/>
          <w:sz w:val="21"/>
          <w:szCs w:val="21"/>
        </w:rPr>
        <w:t>书或工程竣工验收证书（工程竣工验收备案证）、表彰</w:t>
      </w:r>
      <w:r>
        <w:rPr>
          <w:rFonts w:ascii="宋体" w:hAnsi="宋体" w:eastAsia="宋体" w:cs="宋体"/>
          <w:spacing w:val="-4"/>
          <w:sz w:val="21"/>
          <w:szCs w:val="21"/>
        </w:rPr>
        <w:t>文件、获奖证书及其他证明</w:t>
      </w:r>
      <w:r>
        <w:rPr>
          <w:rFonts w:ascii="宋体" w:hAnsi="宋体" w:eastAsia="宋体" w:cs="宋体"/>
          <w:spacing w:val="-2"/>
          <w:sz w:val="21"/>
          <w:szCs w:val="21"/>
        </w:rPr>
        <w:t>材料等扫描件。招标发包的工程应附中标通知书，工</w:t>
      </w:r>
      <w:r>
        <w:rPr>
          <w:rFonts w:ascii="宋体" w:hAnsi="宋体" w:eastAsia="宋体" w:cs="宋体"/>
          <w:spacing w:val="-3"/>
          <w:sz w:val="21"/>
          <w:szCs w:val="21"/>
        </w:rPr>
        <w:t>程总承包发包、施工总承包发</w:t>
      </w:r>
      <w:r>
        <w:rPr>
          <w:rFonts w:ascii="宋体" w:hAnsi="宋体" w:eastAsia="宋体" w:cs="宋体"/>
          <w:spacing w:val="-2"/>
          <w:sz w:val="21"/>
          <w:szCs w:val="21"/>
        </w:rPr>
        <w:t>包、独立发包的施工专业承包应附施工许可</w:t>
      </w:r>
      <w:r>
        <w:rPr>
          <w:rFonts w:ascii="宋体" w:hAnsi="宋体" w:eastAsia="宋体" w:cs="宋体"/>
          <w:spacing w:val="-3"/>
          <w:sz w:val="21"/>
          <w:szCs w:val="21"/>
        </w:rPr>
        <w:t>证。以表彰文件、获奖证书的颁发时间</w:t>
      </w:r>
      <w:r>
        <w:rPr>
          <w:rFonts w:ascii="宋体" w:hAnsi="宋体" w:eastAsia="宋体" w:cs="宋体"/>
          <w:spacing w:val="-9"/>
          <w:sz w:val="21"/>
          <w:szCs w:val="21"/>
        </w:rPr>
        <w:t>为准。</w:t>
      </w:r>
    </w:p>
    <w:p w14:paraId="6C953472">
      <w:pPr>
        <w:spacing w:before="4" w:line="233" w:lineRule="auto"/>
        <w:ind w:left="75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颁奖单位应当是国家机关或民政部门注册登记的合法颁奖单位。</w:t>
      </w:r>
    </w:p>
    <w:p w14:paraId="04BA542D">
      <w:pPr>
        <w:spacing w:line="233" w:lineRule="auto"/>
        <w:rPr>
          <w:rFonts w:ascii="宋体" w:hAnsi="宋体" w:eastAsia="宋体" w:cs="宋体"/>
          <w:sz w:val="21"/>
          <w:szCs w:val="21"/>
        </w:rPr>
        <w:sectPr>
          <w:footerReference r:id="rId338" w:type="default"/>
          <w:pgSz w:w="11910" w:h="16845"/>
          <w:pgMar w:top="400" w:right="1636" w:bottom="1110" w:left="1681" w:header="0" w:footer="883" w:gutter="0"/>
          <w:cols w:space="720" w:num="1"/>
        </w:sectPr>
      </w:pPr>
    </w:p>
    <w:p w14:paraId="77FC3176">
      <w:pPr>
        <w:pStyle w:val="2"/>
        <w:spacing w:line="249" w:lineRule="auto"/>
      </w:pPr>
    </w:p>
    <w:p w14:paraId="55DE250D">
      <w:pPr>
        <w:pStyle w:val="2"/>
        <w:spacing w:line="249" w:lineRule="auto"/>
      </w:pPr>
    </w:p>
    <w:p w14:paraId="57B7547C">
      <w:pPr>
        <w:pStyle w:val="2"/>
        <w:spacing w:line="249" w:lineRule="auto"/>
      </w:pPr>
    </w:p>
    <w:p w14:paraId="7407AF7D">
      <w:pPr>
        <w:pStyle w:val="2"/>
        <w:spacing w:line="250" w:lineRule="auto"/>
      </w:pPr>
    </w:p>
    <w:p w14:paraId="696B2A41">
      <w:pPr>
        <w:pStyle w:val="2"/>
        <w:spacing w:line="250" w:lineRule="auto"/>
      </w:pPr>
    </w:p>
    <w:p w14:paraId="7499D64D">
      <w:pPr>
        <w:pStyle w:val="2"/>
        <w:spacing w:line="250" w:lineRule="auto"/>
      </w:pPr>
    </w:p>
    <w:p w14:paraId="2CDE448D">
      <w:pPr>
        <w:spacing w:before="78" w:line="220" w:lineRule="auto"/>
        <w:ind w:left="2492"/>
        <w:outlineLvl w:val="2"/>
        <w:rPr>
          <w:rFonts w:ascii="宋体" w:hAnsi="宋体" w:eastAsia="宋体" w:cs="宋体"/>
          <w:sz w:val="24"/>
          <w:szCs w:val="24"/>
        </w:rPr>
      </w:pPr>
      <w:bookmarkStart w:id="661" w:name="bookmark608"/>
      <w:bookmarkEnd w:id="661"/>
      <w:r>
        <w:rPr>
          <w:rFonts w:ascii="宋体" w:hAnsi="宋体" w:eastAsia="宋体" w:cs="宋体"/>
          <w:spacing w:val="-1"/>
          <w:sz w:val="24"/>
          <w:szCs w:val="24"/>
        </w:rPr>
        <w:t>5-4 近年项目经理工程获奖情况表</w:t>
      </w:r>
    </w:p>
    <w:p w14:paraId="5D8E0CFA">
      <w:pPr>
        <w:spacing w:before="174"/>
      </w:pPr>
    </w:p>
    <w:tbl>
      <w:tblPr>
        <w:tblStyle w:val="5"/>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2399"/>
        <w:gridCol w:w="1799"/>
        <w:gridCol w:w="1439"/>
        <w:gridCol w:w="2167"/>
      </w:tblGrid>
      <w:tr w14:paraId="35EA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65A3FD78">
            <w:pPr>
              <w:pStyle w:val="6"/>
              <w:spacing w:before="134" w:line="221" w:lineRule="auto"/>
              <w:ind w:left="172"/>
              <w:rPr>
                <w:sz w:val="21"/>
                <w:szCs w:val="21"/>
              </w:rPr>
            </w:pPr>
            <w:r>
              <w:rPr>
                <w:spacing w:val="-2"/>
                <w:sz w:val="21"/>
                <w:szCs w:val="21"/>
              </w:rPr>
              <w:t>序号</w:t>
            </w:r>
          </w:p>
        </w:tc>
        <w:tc>
          <w:tcPr>
            <w:tcW w:w="2399" w:type="dxa"/>
            <w:vAlign w:val="top"/>
          </w:tcPr>
          <w:p w14:paraId="3DA4E2D3">
            <w:pPr>
              <w:pStyle w:val="6"/>
              <w:spacing w:before="134" w:line="220" w:lineRule="auto"/>
              <w:ind w:left="786"/>
              <w:rPr>
                <w:sz w:val="21"/>
                <w:szCs w:val="21"/>
              </w:rPr>
            </w:pPr>
            <w:r>
              <w:rPr>
                <w:spacing w:val="-2"/>
                <w:sz w:val="21"/>
                <w:szCs w:val="21"/>
              </w:rPr>
              <w:t>项目名称</w:t>
            </w:r>
          </w:p>
        </w:tc>
        <w:tc>
          <w:tcPr>
            <w:tcW w:w="1799" w:type="dxa"/>
            <w:vAlign w:val="top"/>
          </w:tcPr>
          <w:p w14:paraId="1887FA60">
            <w:pPr>
              <w:pStyle w:val="6"/>
              <w:spacing w:before="134" w:line="220" w:lineRule="auto"/>
              <w:ind w:left="490"/>
              <w:rPr>
                <w:sz w:val="21"/>
                <w:szCs w:val="21"/>
              </w:rPr>
            </w:pPr>
            <w:r>
              <w:rPr>
                <w:spacing w:val="-2"/>
                <w:sz w:val="21"/>
                <w:szCs w:val="21"/>
              </w:rPr>
              <w:t>获奖名称</w:t>
            </w:r>
          </w:p>
        </w:tc>
        <w:tc>
          <w:tcPr>
            <w:tcW w:w="1439" w:type="dxa"/>
            <w:vAlign w:val="top"/>
          </w:tcPr>
          <w:p w14:paraId="46487903">
            <w:pPr>
              <w:pStyle w:val="6"/>
              <w:spacing w:before="134" w:line="220" w:lineRule="auto"/>
              <w:ind w:left="313"/>
              <w:rPr>
                <w:sz w:val="21"/>
                <w:szCs w:val="21"/>
              </w:rPr>
            </w:pPr>
            <w:r>
              <w:rPr>
                <w:spacing w:val="-2"/>
                <w:sz w:val="21"/>
                <w:szCs w:val="21"/>
              </w:rPr>
              <w:t>获奖日期</w:t>
            </w:r>
          </w:p>
        </w:tc>
        <w:tc>
          <w:tcPr>
            <w:tcW w:w="2167" w:type="dxa"/>
            <w:vAlign w:val="top"/>
          </w:tcPr>
          <w:p w14:paraId="7FE229A4">
            <w:pPr>
              <w:pStyle w:val="6"/>
              <w:spacing w:before="134" w:line="220" w:lineRule="auto"/>
              <w:ind w:left="673"/>
              <w:rPr>
                <w:sz w:val="21"/>
                <w:szCs w:val="21"/>
              </w:rPr>
            </w:pPr>
            <w:r>
              <w:rPr>
                <w:spacing w:val="-2"/>
                <w:sz w:val="21"/>
                <w:szCs w:val="21"/>
              </w:rPr>
              <w:t>颁奖单位</w:t>
            </w:r>
          </w:p>
        </w:tc>
      </w:tr>
      <w:tr w14:paraId="2FE46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59EDB19A">
            <w:pPr>
              <w:rPr>
                <w:rFonts w:ascii="Arial"/>
                <w:sz w:val="21"/>
              </w:rPr>
            </w:pPr>
          </w:p>
        </w:tc>
        <w:tc>
          <w:tcPr>
            <w:tcW w:w="2399" w:type="dxa"/>
            <w:vAlign w:val="top"/>
          </w:tcPr>
          <w:p w14:paraId="2A6EFA22">
            <w:pPr>
              <w:rPr>
                <w:rFonts w:ascii="Arial"/>
                <w:sz w:val="21"/>
              </w:rPr>
            </w:pPr>
          </w:p>
        </w:tc>
        <w:tc>
          <w:tcPr>
            <w:tcW w:w="1799" w:type="dxa"/>
            <w:vAlign w:val="top"/>
          </w:tcPr>
          <w:p w14:paraId="0F3A6D22">
            <w:pPr>
              <w:rPr>
                <w:rFonts w:ascii="Arial"/>
                <w:sz w:val="21"/>
              </w:rPr>
            </w:pPr>
          </w:p>
        </w:tc>
        <w:tc>
          <w:tcPr>
            <w:tcW w:w="1439" w:type="dxa"/>
            <w:vAlign w:val="top"/>
          </w:tcPr>
          <w:p w14:paraId="3674DC80">
            <w:pPr>
              <w:rPr>
                <w:rFonts w:ascii="Arial"/>
                <w:sz w:val="21"/>
              </w:rPr>
            </w:pPr>
          </w:p>
        </w:tc>
        <w:tc>
          <w:tcPr>
            <w:tcW w:w="2167" w:type="dxa"/>
            <w:vAlign w:val="top"/>
          </w:tcPr>
          <w:p w14:paraId="3A182D39">
            <w:pPr>
              <w:rPr>
                <w:rFonts w:ascii="Arial"/>
                <w:sz w:val="21"/>
              </w:rPr>
            </w:pPr>
          </w:p>
        </w:tc>
      </w:tr>
      <w:tr w14:paraId="6B6E6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36D36F33">
            <w:pPr>
              <w:rPr>
                <w:rFonts w:ascii="Arial"/>
                <w:sz w:val="21"/>
              </w:rPr>
            </w:pPr>
          </w:p>
        </w:tc>
        <w:tc>
          <w:tcPr>
            <w:tcW w:w="2399" w:type="dxa"/>
            <w:vAlign w:val="top"/>
          </w:tcPr>
          <w:p w14:paraId="6B8B25F1">
            <w:pPr>
              <w:rPr>
                <w:rFonts w:ascii="Arial"/>
                <w:sz w:val="21"/>
              </w:rPr>
            </w:pPr>
          </w:p>
        </w:tc>
        <w:tc>
          <w:tcPr>
            <w:tcW w:w="1799" w:type="dxa"/>
            <w:vAlign w:val="top"/>
          </w:tcPr>
          <w:p w14:paraId="4EC5627C">
            <w:pPr>
              <w:rPr>
                <w:rFonts w:ascii="Arial"/>
                <w:sz w:val="21"/>
              </w:rPr>
            </w:pPr>
          </w:p>
        </w:tc>
        <w:tc>
          <w:tcPr>
            <w:tcW w:w="1439" w:type="dxa"/>
            <w:vAlign w:val="top"/>
          </w:tcPr>
          <w:p w14:paraId="5EF59397">
            <w:pPr>
              <w:rPr>
                <w:rFonts w:ascii="Arial"/>
                <w:sz w:val="21"/>
              </w:rPr>
            </w:pPr>
          </w:p>
        </w:tc>
        <w:tc>
          <w:tcPr>
            <w:tcW w:w="2167" w:type="dxa"/>
            <w:vAlign w:val="top"/>
          </w:tcPr>
          <w:p w14:paraId="7D34D48B">
            <w:pPr>
              <w:rPr>
                <w:rFonts w:ascii="Arial"/>
                <w:sz w:val="21"/>
              </w:rPr>
            </w:pPr>
          </w:p>
        </w:tc>
      </w:tr>
      <w:tr w14:paraId="4CAE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0F42DE6">
            <w:pPr>
              <w:rPr>
                <w:rFonts w:ascii="Arial"/>
                <w:sz w:val="21"/>
              </w:rPr>
            </w:pPr>
          </w:p>
        </w:tc>
        <w:tc>
          <w:tcPr>
            <w:tcW w:w="2399" w:type="dxa"/>
            <w:vAlign w:val="top"/>
          </w:tcPr>
          <w:p w14:paraId="2BCA232B">
            <w:pPr>
              <w:rPr>
                <w:rFonts w:ascii="Arial"/>
                <w:sz w:val="21"/>
              </w:rPr>
            </w:pPr>
          </w:p>
        </w:tc>
        <w:tc>
          <w:tcPr>
            <w:tcW w:w="1799" w:type="dxa"/>
            <w:vAlign w:val="top"/>
          </w:tcPr>
          <w:p w14:paraId="1A19EB88">
            <w:pPr>
              <w:rPr>
                <w:rFonts w:ascii="Arial"/>
                <w:sz w:val="21"/>
              </w:rPr>
            </w:pPr>
          </w:p>
        </w:tc>
        <w:tc>
          <w:tcPr>
            <w:tcW w:w="1439" w:type="dxa"/>
            <w:vAlign w:val="top"/>
          </w:tcPr>
          <w:p w14:paraId="73C83984">
            <w:pPr>
              <w:rPr>
                <w:rFonts w:ascii="Arial"/>
                <w:sz w:val="21"/>
              </w:rPr>
            </w:pPr>
          </w:p>
        </w:tc>
        <w:tc>
          <w:tcPr>
            <w:tcW w:w="2167" w:type="dxa"/>
            <w:vAlign w:val="top"/>
          </w:tcPr>
          <w:p w14:paraId="7867D593">
            <w:pPr>
              <w:rPr>
                <w:rFonts w:ascii="Arial"/>
                <w:sz w:val="21"/>
              </w:rPr>
            </w:pPr>
          </w:p>
        </w:tc>
      </w:tr>
      <w:tr w14:paraId="0D46F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41EE7611">
            <w:pPr>
              <w:rPr>
                <w:rFonts w:ascii="Arial"/>
                <w:sz w:val="21"/>
              </w:rPr>
            </w:pPr>
          </w:p>
        </w:tc>
        <w:tc>
          <w:tcPr>
            <w:tcW w:w="2399" w:type="dxa"/>
            <w:vAlign w:val="top"/>
          </w:tcPr>
          <w:p w14:paraId="5DF13BD7">
            <w:pPr>
              <w:rPr>
                <w:rFonts w:ascii="Arial"/>
                <w:sz w:val="21"/>
              </w:rPr>
            </w:pPr>
          </w:p>
        </w:tc>
        <w:tc>
          <w:tcPr>
            <w:tcW w:w="1799" w:type="dxa"/>
            <w:vAlign w:val="top"/>
          </w:tcPr>
          <w:p w14:paraId="3D574132">
            <w:pPr>
              <w:rPr>
                <w:rFonts w:ascii="Arial"/>
                <w:sz w:val="21"/>
              </w:rPr>
            </w:pPr>
          </w:p>
        </w:tc>
        <w:tc>
          <w:tcPr>
            <w:tcW w:w="1439" w:type="dxa"/>
            <w:vAlign w:val="top"/>
          </w:tcPr>
          <w:p w14:paraId="09A2818E">
            <w:pPr>
              <w:rPr>
                <w:rFonts w:ascii="Arial"/>
                <w:sz w:val="21"/>
              </w:rPr>
            </w:pPr>
          </w:p>
        </w:tc>
        <w:tc>
          <w:tcPr>
            <w:tcW w:w="2167" w:type="dxa"/>
            <w:vAlign w:val="top"/>
          </w:tcPr>
          <w:p w14:paraId="15AE5A7C">
            <w:pPr>
              <w:rPr>
                <w:rFonts w:ascii="Arial"/>
                <w:sz w:val="21"/>
              </w:rPr>
            </w:pPr>
          </w:p>
        </w:tc>
      </w:tr>
      <w:tr w14:paraId="1F18A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FB584CB">
            <w:pPr>
              <w:rPr>
                <w:rFonts w:ascii="Arial"/>
                <w:sz w:val="21"/>
              </w:rPr>
            </w:pPr>
          </w:p>
        </w:tc>
        <w:tc>
          <w:tcPr>
            <w:tcW w:w="2399" w:type="dxa"/>
            <w:vAlign w:val="top"/>
          </w:tcPr>
          <w:p w14:paraId="25E21B58">
            <w:pPr>
              <w:rPr>
                <w:rFonts w:ascii="Arial"/>
                <w:sz w:val="21"/>
              </w:rPr>
            </w:pPr>
          </w:p>
        </w:tc>
        <w:tc>
          <w:tcPr>
            <w:tcW w:w="1799" w:type="dxa"/>
            <w:vAlign w:val="top"/>
          </w:tcPr>
          <w:p w14:paraId="3F615C71">
            <w:pPr>
              <w:rPr>
                <w:rFonts w:ascii="Arial"/>
                <w:sz w:val="21"/>
              </w:rPr>
            </w:pPr>
          </w:p>
        </w:tc>
        <w:tc>
          <w:tcPr>
            <w:tcW w:w="1439" w:type="dxa"/>
            <w:vAlign w:val="top"/>
          </w:tcPr>
          <w:p w14:paraId="622F6BF9">
            <w:pPr>
              <w:rPr>
                <w:rFonts w:ascii="Arial"/>
                <w:sz w:val="21"/>
              </w:rPr>
            </w:pPr>
          </w:p>
        </w:tc>
        <w:tc>
          <w:tcPr>
            <w:tcW w:w="2167" w:type="dxa"/>
            <w:vAlign w:val="top"/>
          </w:tcPr>
          <w:p w14:paraId="71452DF0">
            <w:pPr>
              <w:rPr>
                <w:rFonts w:ascii="Arial"/>
                <w:sz w:val="21"/>
              </w:rPr>
            </w:pPr>
          </w:p>
        </w:tc>
      </w:tr>
      <w:tr w14:paraId="7227A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00058BF">
            <w:pPr>
              <w:rPr>
                <w:rFonts w:ascii="Arial"/>
                <w:sz w:val="21"/>
              </w:rPr>
            </w:pPr>
          </w:p>
        </w:tc>
        <w:tc>
          <w:tcPr>
            <w:tcW w:w="2399" w:type="dxa"/>
            <w:vAlign w:val="top"/>
          </w:tcPr>
          <w:p w14:paraId="1DA4A8D5">
            <w:pPr>
              <w:rPr>
                <w:rFonts w:ascii="Arial"/>
                <w:sz w:val="21"/>
              </w:rPr>
            </w:pPr>
          </w:p>
        </w:tc>
        <w:tc>
          <w:tcPr>
            <w:tcW w:w="1799" w:type="dxa"/>
            <w:vAlign w:val="top"/>
          </w:tcPr>
          <w:p w14:paraId="62AFD475">
            <w:pPr>
              <w:rPr>
                <w:rFonts w:ascii="Arial"/>
                <w:sz w:val="21"/>
              </w:rPr>
            </w:pPr>
          </w:p>
        </w:tc>
        <w:tc>
          <w:tcPr>
            <w:tcW w:w="1439" w:type="dxa"/>
            <w:vAlign w:val="top"/>
          </w:tcPr>
          <w:p w14:paraId="783DAAB4">
            <w:pPr>
              <w:rPr>
                <w:rFonts w:ascii="Arial"/>
                <w:sz w:val="21"/>
              </w:rPr>
            </w:pPr>
          </w:p>
        </w:tc>
        <w:tc>
          <w:tcPr>
            <w:tcW w:w="2167" w:type="dxa"/>
            <w:vAlign w:val="top"/>
          </w:tcPr>
          <w:p w14:paraId="18FA6841">
            <w:pPr>
              <w:rPr>
                <w:rFonts w:ascii="Arial"/>
                <w:sz w:val="21"/>
              </w:rPr>
            </w:pPr>
          </w:p>
        </w:tc>
      </w:tr>
      <w:tr w14:paraId="78429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8415046">
            <w:pPr>
              <w:rPr>
                <w:rFonts w:ascii="Arial"/>
                <w:sz w:val="21"/>
              </w:rPr>
            </w:pPr>
          </w:p>
        </w:tc>
        <w:tc>
          <w:tcPr>
            <w:tcW w:w="2399" w:type="dxa"/>
            <w:vAlign w:val="top"/>
          </w:tcPr>
          <w:p w14:paraId="6772C01D">
            <w:pPr>
              <w:rPr>
                <w:rFonts w:ascii="Arial"/>
                <w:sz w:val="21"/>
              </w:rPr>
            </w:pPr>
          </w:p>
        </w:tc>
        <w:tc>
          <w:tcPr>
            <w:tcW w:w="1799" w:type="dxa"/>
            <w:vAlign w:val="top"/>
          </w:tcPr>
          <w:p w14:paraId="7C4317EE">
            <w:pPr>
              <w:rPr>
                <w:rFonts w:ascii="Arial"/>
                <w:sz w:val="21"/>
              </w:rPr>
            </w:pPr>
          </w:p>
        </w:tc>
        <w:tc>
          <w:tcPr>
            <w:tcW w:w="1439" w:type="dxa"/>
            <w:vAlign w:val="top"/>
          </w:tcPr>
          <w:p w14:paraId="4031C1F5">
            <w:pPr>
              <w:rPr>
                <w:rFonts w:ascii="Arial"/>
                <w:sz w:val="21"/>
              </w:rPr>
            </w:pPr>
          </w:p>
        </w:tc>
        <w:tc>
          <w:tcPr>
            <w:tcW w:w="2167" w:type="dxa"/>
            <w:vAlign w:val="top"/>
          </w:tcPr>
          <w:p w14:paraId="1E30207A">
            <w:pPr>
              <w:rPr>
                <w:rFonts w:ascii="Arial"/>
                <w:sz w:val="21"/>
              </w:rPr>
            </w:pPr>
          </w:p>
        </w:tc>
      </w:tr>
      <w:tr w14:paraId="3CF68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746DE792">
            <w:pPr>
              <w:rPr>
                <w:rFonts w:ascii="Arial"/>
                <w:sz w:val="21"/>
              </w:rPr>
            </w:pPr>
          </w:p>
        </w:tc>
        <w:tc>
          <w:tcPr>
            <w:tcW w:w="2399" w:type="dxa"/>
            <w:vAlign w:val="top"/>
          </w:tcPr>
          <w:p w14:paraId="1C36CE58">
            <w:pPr>
              <w:rPr>
                <w:rFonts w:ascii="Arial"/>
                <w:sz w:val="21"/>
              </w:rPr>
            </w:pPr>
          </w:p>
        </w:tc>
        <w:tc>
          <w:tcPr>
            <w:tcW w:w="1799" w:type="dxa"/>
            <w:vAlign w:val="top"/>
          </w:tcPr>
          <w:p w14:paraId="1488E48F">
            <w:pPr>
              <w:rPr>
                <w:rFonts w:ascii="Arial"/>
                <w:sz w:val="21"/>
              </w:rPr>
            </w:pPr>
          </w:p>
        </w:tc>
        <w:tc>
          <w:tcPr>
            <w:tcW w:w="1439" w:type="dxa"/>
            <w:vAlign w:val="top"/>
          </w:tcPr>
          <w:p w14:paraId="732F2A28">
            <w:pPr>
              <w:rPr>
                <w:rFonts w:ascii="Arial"/>
                <w:sz w:val="21"/>
              </w:rPr>
            </w:pPr>
          </w:p>
        </w:tc>
        <w:tc>
          <w:tcPr>
            <w:tcW w:w="2167" w:type="dxa"/>
            <w:vAlign w:val="top"/>
          </w:tcPr>
          <w:p w14:paraId="64DF5AD1">
            <w:pPr>
              <w:rPr>
                <w:rFonts w:ascii="Arial"/>
                <w:sz w:val="21"/>
              </w:rPr>
            </w:pPr>
          </w:p>
        </w:tc>
      </w:tr>
      <w:tr w14:paraId="78DE3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37D8D82">
            <w:pPr>
              <w:rPr>
                <w:rFonts w:ascii="Arial"/>
                <w:sz w:val="21"/>
              </w:rPr>
            </w:pPr>
          </w:p>
        </w:tc>
        <w:tc>
          <w:tcPr>
            <w:tcW w:w="2399" w:type="dxa"/>
            <w:vAlign w:val="top"/>
          </w:tcPr>
          <w:p w14:paraId="6C521138">
            <w:pPr>
              <w:rPr>
                <w:rFonts w:ascii="Arial"/>
                <w:sz w:val="21"/>
              </w:rPr>
            </w:pPr>
          </w:p>
        </w:tc>
        <w:tc>
          <w:tcPr>
            <w:tcW w:w="1799" w:type="dxa"/>
            <w:vAlign w:val="top"/>
          </w:tcPr>
          <w:p w14:paraId="327D1601">
            <w:pPr>
              <w:rPr>
                <w:rFonts w:ascii="Arial"/>
                <w:sz w:val="21"/>
              </w:rPr>
            </w:pPr>
          </w:p>
        </w:tc>
        <w:tc>
          <w:tcPr>
            <w:tcW w:w="1439" w:type="dxa"/>
            <w:vAlign w:val="top"/>
          </w:tcPr>
          <w:p w14:paraId="4FD69812">
            <w:pPr>
              <w:rPr>
                <w:rFonts w:ascii="Arial"/>
                <w:sz w:val="21"/>
              </w:rPr>
            </w:pPr>
          </w:p>
        </w:tc>
        <w:tc>
          <w:tcPr>
            <w:tcW w:w="2167" w:type="dxa"/>
            <w:vAlign w:val="top"/>
          </w:tcPr>
          <w:p w14:paraId="1C0E1E91">
            <w:pPr>
              <w:rPr>
                <w:rFonts w:ascii="Arial"/>
                <w:sz w:val="21"/>
              </w:rPr>
            </w:pPr>
          </w:p>
        </w:tc>
      </w:tr>
      <w:tr w14:paraId="0B3C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7249BF0">
            <w:pPr>
              <w:rPr>
                <w:rFonts w:ascii="Arial"/>
                <w:sz w:val="21"/>
              </w:rPr>
            </w:pPr>
          </w:p>
        </w:tc>
        <w:tc>
          <w:tcPr>
            <w:tcW w:w="2399" w:type="dxa"/>
            <w:vAlign w:val="top"/>
          </w:tcPr>
          <w:p w14:paraId="093B573B">
            <w:pPr>
              <w:rPr>
                <w:rFonts w:ascii="Arial"/>
                <w:sz w:val="21"/>
              </w:rPr>
            </w:pPr>
          </w:p>
        </w:tc>
        <w:tc>
          <w:tcPr>
            <w:tcW w:w="1799" w:type="dxa"/>
            <w:vAlign w:val="top"/>
          </w:tcPr>
          <w:p w14:paraId="5B2EE98B">
            <w:pPr>
              <w:rPr>
                <w:rFonts w:ascii="Arial"/>
                <w:sz w:val="21"/>
              </w:rPr>
            </w:pPr>
          </w:p>
        </w:tc>
        <w:tc>
          <w:tcPr>
            <w:tcW w:w="1439" w:type="dxa"/>
            <w:vAlign w:val="top"/>
          </w:tcPr>
          <w:p w14:paraId="51163C8E">
            <w:pPr>
              <w:rPr>
                <w:rFonts w:ascii="Arial"/>
                <w:sz w:val="21"/>
              </w:rPr>
            </w:pPr>
          </w:p>
        </w:tc>
        <w:tc>
          <w:tcPr>
            <w:tcW w:w="2167" w:type="dxa"/>
            <w:vAlign w:val="top"/>
          </w:tcPr>
          <w:p w14:paraId="785114E2">
            <w:pPr>
              <w:rPr>
                <w:rFonts w:ascii="Arial"/>
                <w:sz w:val="21"/>
              </w:rPr>
            </w:pPr>
          </w:p>
        </w:tc>
      </w:tr>
      <w:tr w14:paraId="5837C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086BD77">
            <w:pPr>
              <w:rPr>
                <w:rFonts w:ascii="Arial"/>
                <w:sz w:val="21"/>
              </w:rPr>
            </w:pPr>
          </w:p>
        </w:tc>
        <w:tc>
          <w:tcPr>
            <w:tcW w:w="2399" w:type="dxa"/>
            <w:vAlign w:val="top"/>
          </w:tcPr>
          <w:p w14:paraId="157E9ACC">
            <w:pPr>
              <w:rPr>
                <w:rFonts w:ascii="Arial"/>
                <w:sz w:val="21"/>
              </w:rPr>
            </w:pPr>
          </w:p>
        </w:tc>
        <w:tc>
          <w:tcPr>
            <w:tcW w:w="1799" w:type="dxa"/>
            <w:vAlign w:val="top"/>
          </w:tcPr>
          <w:p w14:paraId="78953D24">
            <w:pPr>
              <w:rPr>
                <w:rFonts w:ascii="Arial"/>
                <w:sz w:val="21"/>
              </w:rPr>
            </w:pPr>
          </w:p>
        </w:tc>
        <w:tc>
          <w:tcPr>
            <w:tcW w:w="1439" w:type="dxa"/>
            <w:vAlign w:val="top"/>
          </w:tcPr>
          <w:p w14:paraId="0FCC87BF">
            <w:pPr>
              <w:rPr>
                <w:rFonts w:ascii="Arial"/>
                <w:sz w:val="21"/>
              </w:rPr>
            </w:pPr>
          </w:p>
        </w:tc>
        <w:tc>
          <w:tcPr>
            <w:tcW w:w="2167" w:type="dxa"/>
            <w:vAlign w:val="top"/>
          </w:tcPr>
          <w:p w14:paraId="0FA78BDC">
            <w:pPr>
              <w:rPr>
                <w:rFonts w:ascii="Arial"/>
                <w:sz w:val="21"/>
              </w:rPr>
            </w:pPr>
          </w:p>
        </w:tc>
      </w:tr>
      <w:tr w14:paraId="1B11C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772" w:type="dxa"/>
            <w:vAlign w:val="top"/>
          </w:tcPr>
          <w:p w14:paraId="5165757B">
            <w:pPr>
              <w:rPr>
                <w:rFonts w:ascii="Arial"/>
                <w:sz w:val="21"/>
              </w:rPr>
            </w:pPr>
          </w:p>
        </w:tc>
        <w:tc>
          <w:tcPr>
            <w:tcW w:w="2399" w:type="dxa"/>
            <w:vAlign w:val="top"/>
          </w:tcPr>
          <w:p w14:paraId="1CEE3C10">
            <w:pPr>
              <w:rPr>
                <w:rFonts w:ascii="Arial"/>
                <w:sz w:val="21"/>
              </w:rPr>
            </w:pPr>
          </w:p>
        </w:tc>
        <w:tc>
          <w:tcPr>
            <w:tcW w:w="1799" w:type="dxa"/>
            <w:vAlign w:val="top"/>
          </w:tcPr>
          <w:p w14:paraId="10E0FA51">
            <w:pPr>
              <w:rPr>
                <w:rFonts w:ascii="Arial"/>
                <w:sz w:val="21"/>
              </w:rPr>
            </w:pPr>
          </w:p>
        </w:tc>
        <w:tc>
          <w:tcPr>
            <w:tcW w:w="1439" w:type="dxa"/>
            <w:vAlign w:val="top"/>
          </w:tcPr>
          <w:p w14:paraId="74C94099">
            <w:pPr>
              <w:rPr>
                <w:rFonts w:ascii="Arial"/>
                <w:sz w:val="21"/>
              </w:rPr>
            </w:pPr>
          </w:p>
        </w:tc>
        <w:tc>
          <w:tcPr>
            <w:tcW w:w="2167" w:type="dxa"/>
            <w:vAlign w:val="top"/>
          </w:tcPr>
          <w:p w14:paraId="3DA98150">
            <w:pPr>
              <w:rPr>
                <w:rFonts w:ascii="Arial"/>
                <w:sz w:val="21"/>
              </w:rPr>
            </w:pPr>
          </w:p>
        </w:tc>
      </w:tr>
      <w:tr w14:paraId="68E8E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72" w:type="dxa"/>
            <w:vAlign w:val="top"/>
          </w:tcPr>
          <w:p w14:paraId="6BDF7BD4">
            <w:pPr>
              <w:rPr>
                <w:rFonts w:ascii="Arial"/>
                <w:sz w:val="21"/>
              </w:rPr>
            </w:pPr>
          </w:p>
        </w:tc>
        <w:tc>
          <w:tcPr>
            <w:tcW w:w="2399" w:type="dxa"/>
            <w:vAlign w:val="top"/>
          </w:tcPr>
          <w:p w14:paraId="587486B9">
            <w:pPr>
              <w:rPr>
                <w:rFonts w:ascii="Arial"/>
                <w:sz w:val="21"/>
              </w:rPr>
            </w:pPr>
          </w:p>
        </w:tc>
        <w:tc>
          <w:tcPr>
            <w:tcW w:w="1799" w:type="dxa"/>
            <w:vAlign w:val="top"/>
          </w:tcPr>
          <w:p w14:paraId="7EB50442">
            <w:pPr>
              <w:rPr>
                <w:rFonts w:ascii="Arial"/>
                <w:sz w:val="21"/>
              </w:rPr>
            </w:pPr>
          </w:p>
        </w:tc>
        <w:tc>
          <w:tcPr>
            <w:tcW w:w="1439" w:type="dxa"/>
            <w:vAlign w:val="top"/>
          </w:tcPr>
          <w:p w14:paraId="62FD373F">
            <w:pPr>
              <w:rPr>
                <w:rFonts w:ascii="Arial"/>
                <w:sz w:val="21"/>
              </w:rPr>
            </w:pPr>
          </w:p>
        </w:tc>
        <w:tc>
          <w:tcPr>
            <w:tcW w:w="2167" w:type="dxa"/>
            <w:vAlign w:val="top"/>
          </w:tcPr>
          <w:p w14:paraId="391D6097">
            <w:pPr>
              <w:rPr>
                <w:rFonts w:ascii="Arial"/>
                <w:sz w:val="21"/>
              </w:rPr>
            </w:pPr>
          </w:p>
        </w:tc>
      </w:tr>
    </w:tbl>
    <w:p w14:paraId="3D1A7684">
      <w:pPr>
        <w:pStyle w:val="2"/>
        <w:spacing w:line="290" w:lineRule="auto"/>
      </w:pPr>
    </w:p>
    <w:p w14:paraId="52465009">
      <w:pPr>
        <w:pStyle w:val="2"/>
        <w:spacing w:line="290" w:lineRule="auto"/>
      </w:pPr>
    </w:p>
    <w:p w14:paraId="24F36631">
      <w:pPr>
        <w:pStyle w:val="2"/>
        <w:spacing w:line="291" w:lineRule="auto"/>
      </w:pPr>
    </w:p>
    <w:p w14:paraId="51C42AAB">
      <w:pPr>
        <w:spacing w:before="68" w:line="233" w:lineRule="auto"/>
        <w:ind w:left="131"/>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“近年”见第二章投标人须知前附表第</w:t>
      </w:r>
      <w:r>
        <w:rPr>
          <w:rFonts w:ascii="宋体" w:hAnsi="宋体" w:eastAsia="宋体" w:cs="宋体"/>
          <w:spacing w:val="-34"/>
          <w:sz w:val="21"/>
          <w:szCs w:val="21"/>
        </w:rPr>
        <w:t xml:space="preserve"> </w:t>
      </w:r>
      <w:r>
        <w:rPr>
          <w:rFonts w:ascii="宋体" w:hAnsi="宋体" w:eastAsia="宋体" w:cs="宋体"/>
          <w:spacing w:val="-1"/>
          <w:sz w:val="21"/>
          <w:szCs w:val="21"/>
        </w:rPr>
        <w:t>3.5.7</w:t>
      </w:r>
      <w:r>
        <w:rPr>
          <w:rFonts w:ascii="宋体" w:hAnsi="宋体" w:eastAsia="宋体" w:cs="宋体"/>
          <w:spacing w:val="-32"/>
          <w:sz w:val="21"/>
          <w:szCs w:val="21"/>
        </w:rPr>
        <w:t xml:space="preserve"> </w:t>
      </w:r>
      <w:r>
        <w:rPr>
          <w:rFonts w:ascii="宋体" w:hAnsi="宋体" w:eastAsia="宋体" w:cs="宋体"/>
          <w:spacing w:val="-1"/>
          <w:sz w:val="21"/>
          <w:szCs w:val="21"/>
        </w:rPr>
        <w:t>项。</w:t>
      </w:r>
    </w:p>
    <w:p w14:paraId="1A80BCDD">
      <w:pPr>
        <w:spacing w:before="129" w:line="353" w:lineRule="auto"/>
        <w:ind w:left="969" w:right="145" w:hanging="214"/>
        <w:rPr>
          <w:rFonts w:ascii="宋体" w:hAnsi="宋体" w:eastAsia="宋体" w:cs="宋体"/>
          <w:sz w:val="21"/>
          <w:szCs w:val="21"/>
        </w:rPr>
      </w:pPr>
      <w:r>
        <w:rPr>
          <w:rFonts w:ascii="Times New Roman" w:hAnsi="Times New Roman" w:eastAsia="Times New Roman" w:cs="Times New Roman"/>
          <w:spacing w:val="-5"/>
          <w:sz w:val="21"/>
          <w:szCs w:val="21"/>
        </w:rPr>
        <w:t>2.</w:t>
      </w:r>
      <w:r>
        <w:rPr>
          <w:rFonts w:ascii="Times New Roman" w:hAnsi="Times New Roman" w:eastAsia="Times New Roman" w:cs="Times New Roman"/>
          <w:spacing w:val="18"/>
          <w:w w:val="101"/>
          <w:sz w:val="21"/>
          <w:szCs w:val="21"/>
        </w:rPr>
        <w:t xml:space="preserve">  </w:t>
      </w:r>
      <w:r>
        <w:rPr>
          <w:rFonts w:ascii="宋体" w:hAnsi="宋体" w:eastAsia="宋体" w:cs="宋体"/>
          <w:spacing w:val="-5"/>
          <w:sz w:val="21"/>
          <w:szCs w:val="21"/>
        </w:rPr>
        <w:t>本表后应附中标通知书（如有）、合同协议书、施工许可证（如有）、工程接收证</w:t>
      </w:r>
      <w:r>
        <w:rPr>
          <w:rFonts w:ascii="宋体" w:hAnsi="宋体" w:eastAsia="宋体" w:cs="宋体"/>
          <w:spacing w:val="-3"/>
          <w:sz w:val="21"/>
          <w:szCs w:val="21"/>
        </w:rPr>
        <w:t>书或工程竣工验收证书（工程竣工验收备案证）、表彰</w:t>
      </w:r>
      <w:r>
        <w:rPr>
          <w:rFonts w:ascii="宋体" w:hAnsi="宋体" w:eastAsia="宋体" w:cs="宋体"/>
          <w:spacing w:val="-4"/>
          <w:sz w:val="21"/>
          <w:szCs w:val="21"/>
        </w:rPr>
        <w:t>文件、获奖证书及其他证明</w:t>
      </w:r>
      <w:r>
        <w:rPr>
          <w:rFonts w:ascii="宋体" w:hAnsi="宋体" w:eastAsia="宋体" w:cs="宋体"/>
          <w:spacing w:val="-2"/>
          <w:sz w:val="21"/>
          <w:szCs w:val="21"/>
        </w:rPr>
        <w:t>材料等扫描件。招标发包的工程应附中标通知书，</w:t>
      </w:r>
      <w:r>
        <w:rPr>
          <w:rFonts w:ascii="宋体" w:hAnsi="宋体" w:eastAsia="宋体" w:cs="宋体"/>
          <w:spacing w:val="-3"/>
          <w:sz w:val="21"/>
          <w:szCs w:val="21"/>
        </w:rPr>
        <w:t>工程总承包发包、施工总承包发</w:t>
      </w:r>
      <w:r>
        <w:rPr>
          <w:rFonts w:ascii="宋体" w:hAnsi="宋体" w:eastAsia="宋体" w:cs="宋体"/>
          <w:spacing w:val="-2"/>
          <w:sz w:val="21"/>
          <w:szCs w:val="21"/>
        </w:rPr>
        <w:t>包、独立发包的施工专业承包应附施工许可</w:t>
      </w:r>
      <w:r>
        <w:rPr>
          <w:rFonts w:ascii="宋体" w:hAnsi="宋体" w:eastAsia="宋体" w:cs="宋体"/>
          <w:spacing w:val="-3"/>
          <w:sz w:val="21"/>
          <w:szCs w:val="21"/>
        </w:rPr>
        <w:t>证。以表彰文件、获奖证书的颁发时间</w:t>
      </w:r>
      <w:r>
        <w:rPr>
          <w:rFonts w:ascii="宋体" w:hAnsi="宋体" w:eastAsia="宋体" w:cs="宋体"/>
          <w:spacing w:val="-9"/>
          <w:sz w:val="21"/>
          <w:szCs w:val="21"/>
        </w:rPr>
        <w:t>为准。</w:t>
      </w:r>
    </w:p>
    <w:p w14:paraId="15026D8E">
      <w:pPr>
        <w:spacing w:before="1" w:line="233" w:lineRule="auto"/>
        <w:ind w:left="75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颁奖单位应当是国家机关或民政部门注册登记的合法颁奖单位。</w:t>
      </w:r>
    </w:p>
    <w:p w14:paraId="1D0D771F">
      <w:pPr>
        <w:spacing w:line="233" w:lineRule="auto"/>
        <w:rPr>
          <w:rFonts w:ascii="宋体" w:hAnsi="宋体" w:eastAsia="宋体" w:cs="宋体"/>
          <w:sz w:val="21"/>
          <w:szCs w:val="21"/>
        </w:rPr>
        <w:sectPr>
          <w:footerReference r:id="rId339" w:type="default"/>
          <w:pgSz w:w="11910" w:h="16845"/>
          <w:pgMar w:top="400" w:right="1636" w:bottom="1110" w:left="1681" w:header="0" w:footer="883" w:gutter="0"/>
          <w:cols w:space="720" w:num="1"/>
        </w:sectPr>
      </w:pPr>
    </w:p>
    <w:p w14:paraId="3E0B4D18">
      <w:pPr>
        <w:pStyle w:val="2"/>
        <w:spacing w:line="249" w:lineRule="auto"/>
      </w:pPr>
    </w:p>
    <w:p w14:paraId="44B261E1">
      <w:pPr>
        <w:pStyle w:val="2"/>
        <w:spacing w:line="249" w:lineRule="auto"/>
      </w:pPr>
    </w:p>
    <w:p w14:paraId="150FAABD">
      <w:pPr>
        <w:pStyle w:val="2"/>
        <w:spacing w:line="249" w:lineRule="auto"/>
      </w:pPr>
    </w:p>
    <w:p w14:paraId="30D27972">
      <w:pPr>
        <w:pStyle w:val="2"/>
        <w:spacing w:line="250" w:lineRule="auto"/>
      </w:pPr>
    </w:p>
    <w:p w14:paraId="5F601266">
      <w:pPr>
        <w:pStyle w:val="2"/>
        <w:spacing w:line="250" w:lineRule="auto"/>
      </w:pPr>
    </w:p>
    <w:p w14:paraId="30E0D29B">
      <w:pPr>
        <w:pStyle w:val="2"/>
        <w:spacing w:line="250" w:lineRule="auto"/>
      </w:pPr>
    </w:p>
    <w:p w14:paraId="441653D4">
      <w:pPr>
        <w:spacing w:before="78" w:line="220" w:lineRule="auto"/>
        <w:ind w:left="2612"/>
        <w:outlineLvl w:val="2"/>
        <w:rPr>
          <w:rFonts w:ascii="宋体" w:hAnsi="宋体" w:eastAsia="宋体" w:cs="宋体"/>
          <w:sz w:val="24"/>
          <w:szCs w:val="24"/>
        </w:rPr>
      </w:pPr>
      <w:bookmarkStart w:id="662" w:name="bookmark609"/>
      <w:bookmarkEnd w:id="662"/>
      <w:r>
        <w:rPr>
          <w:rFonts w:ascii="宋体" w:hAnsi="宋体" w:eastAsia="宋体" w:cs="宋体"/>
          <w:spacing w:val="-1"/>
          <w:sz w:val="24"/>
          <w:szCs w:val="24"/>
        </w:rPr>
        <w:t>5-5 近年项目经理获表彰情况表</w:t>
      </w:r>
    </w:p>
    <w:p w14:paraId="77F0A918">
      <w:pPr>
        <w:spacing w:before="204"/>
      </w:pPr>
    </w:p>
    <w:tbl>
      <w:tblPr>
        <w:tblStyle w:val="5"/>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3479"/>
        <w:gridCol w:w="1799"/>
        <w:gridCol w:w="2526"/>
      </w:tblGrid>
      <w:tr w14:paraId="7C648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772" w:type="dxa"/>
            <w:vAlign w:val="top"/>
          </w:tcPr>
          <w:p w14:paraId="06D5B862">
            <w:pPr>
              <w:pStyle w:val="6"/>
              <w:spacing w:before="150" w:line="221" w:lineRule="auto"/>
              <w:ind w:left="172"/>
              <w:rPr>
                <w:sz w:val="21"/>
                <w:szCs w:val="21"/>
              </w:rPr>
            </w:pPr>
            <w:r>
              <w:rPr>
                <w:spacing w:val="-2"/>
                <w:sz w:val="21"/>
                <w:szCs w:val="21"/>
              </w:rPr>
              <w:t>序号</w:t>
            </w:r>
          </w:p>
        </w:tc>
        <w:tc>
          <w:tcPr>
            <w:tcW w:w="3479" w:type="dxa"/>
            <w:vAlign w:val="top"/>
          </w:tcPr>
          <w:p w14:paraId="173C45C9">
            <w:pPr>
              <w:pStyle w:val="6"/>
              <w:spacing w:before="149" w:line="220" w:lineRule="auto"/>
              <w:ind w:left="1327"/>
              <w:rPr>
                <w:sz w:val="21"/>
                <w:szCs w:val="21"/>
              </w:rPr>
            </w:pPr>
            <w:r>
              <w:rPr>
                <w:spacing w:val="-2"/>
                <w:sz w:val="21"/>
                <w:szCs w:val="21"/>
              </w:rPr>
              <w:t>获奖名称</w:t>
            </w:r>
          </w:p>
        </w:tc>
        <w:tc>
          <w:tcPr>
            <w:tcW w:w="1799" w:type="dxa"/>
            <w:vAlign w:val="top"/>
          </w:tcPr>
          <w:p w14:paraId="4C5DDF65">
            <w:pPr>
              <w:pStyle w:val="6"/>
              <w:spacing w:before="149" w:line="220" w:lineRule="auto"/>
              <w:ind w:left="492"/>
              <w:rPr>
                <w:sz w:val="21"/>
                <w:szCs w:val="21"/>
              </w:rPr>
            </w:pPr>
            <w:r>
              <w:rPr>
                <w:spacing w:val="-2"/>
                <w:sz w:val="21"/>
                <w:szCs w:val="21"/>
              </w:rPr>
              <w:t>获奖日期</w:t>
            </w:r>
          </w:p>
        </w:tc>
        <w:tc>
          <w:tcPr>
            <w:tcW w:w="2526" w:type="dxa"/>
            <w:vAlign w:val="top"/>
          </w:tcPr>
          <w:p w14:paraId="39C8AFB1">
            <w:pPr>
              <w:pStyle w:val="6"/>
              <w:spacing w:before="150" w:line="220" w:lineRule="auto"/>
              <w:ind w:left="852"/>
              <w:rPr>
                <w:sz w:val="21"/>
                <w:szCs w:val="21"/>
              </w:rPr>
            </w:pPr>
            <w:r>
              <w:rPr>
                <w:spacing w:val="-2"/>
                <w:sz w:val="21"/>
                <w:szCs w:val="21"/>
              </w:rPr>
              <w:t>颁奖单位</w:t>
            </w:r>
          </w:p>
        </w:tc>
      </w:tr>
      <w:tr w14:paraId="21DA0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5FFFFEB3">
            <w:pPr>
              <w:rPr>
                <w:rFonts w:ascii="Arial"/>
                <w:sz w:val="21"/>
              </w:rPr>
            </w:pPr>
          </w:p>
        </w:tc>
        <w:tc>
          <w:tcPr>
            <w:tcW w:w="3479" w:type="dxa"/>
            <w:vAlign w:val="top"/>
          </w:tcPr>
          <w:p w14:paraId="224CF432">
            <w:pPr>
              <w:rPr>
                <w:rFonts w:ascii="Arial"/>
                <w:sz w:val="21"/>
              </w:rPr>
            </w:pPr>
          </w:p>
        </w:tc>
        <w:tc>
          <w:tcPr>
            <w:tcW w:w="1799" w:type="dxa"/>
            <w:vAlign w:val="top"/>
          </w:tcPr>
          <w:p w14:paraId="64FEBD10">
            <w:pPr>
              <w:rPr>
                <w:rFonts w:ascii="Arial"/>
                <w:sz w:val="21"/>
              </w:rPr>
            </w:pPr>
          </w:p>
        </w:tc>
        <w:tc>
          <w:tcPr>
            <w:tcW w:w="2526" w:type="dxa"/>
            <w:vAlign w:val="top"/>
          </w:tcPr>
          <w:p w14:paraId="0E16BD70">
            <w:pPr>
              <w:rPr>
                <w:rFonts w:ascii="Arial"/>
                <w:sz w:val="21"/>
              </w:rPr>
            </w:pPr>
          </w:p>
        </w:tc>
      </w:tr>
      <w:tr w14:paraId="2891B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15AE6EDE">
            <w:pPr>
              <w:rPr>
                <w:rFonts w:ascii="Arial"/>
                <w:sz w:val="21"/>
              </w:rPr>
            </w:pPr>
          </w:p>
        </w:tc>
        <w:tc>
          <w:tcPr>
            <w:tcW w:w="3479" w:type="dxa"/>
            <w:vAlign w:val="top"/>
          </w:tcPr>
          <w:p w14:paraId="5FFEE155">
            <w:pPr>
              <w:rPr>
                <w:rFonts w:ascii="Arial"/>
                <w:sz w:val="21"/>
              </w:rPr>
            </w:pPr>
          </w:p>
        </w:tc>
        <w:tc>
          <w:tcPr>
            <w:tcW w:w="1799" w:type="dxa"/>
            <w:vAlign w:val="top"/>
          </w:tcPr>
          <w:p w14:paraId="6A9E6E88">
            <w:pPr>
              <w:rPr>
                <w:rFonts w:ascii="Arial"/>
                <w:sz w:val="21"/>
              </w:rPr>
            </w:pPr>
          </w:p>
        </w:tc>
        <w:tc>
          <w:tcPr>
            <w:tcW w:w="2526" w:type="dxa"/>
            <w:vAlign w:val="top"/>
          </w:tcPr>
          <w:p w14:paraId="1C837C5E">
            <w:pPr>
              <w:rPr>
                <w:rFonts w:ascii="Arial"/>
                <w:sz w:val="21"/>
              </w:rPr>
            </w:pPr>
          </w:p>
        </w:tc>
      </w:tr>
      <w:tr w14:paraId="62298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5EAD11F8">
            <w:pPr>
              <w:rPr>
                <w:rFonts w:ascii="Arial"/>
                <w:sz w:val="21"/>
              </w:rPr>
            </w:pPr>
          </w:p>
        </w:tc>
        <w:tc>
          <w:tcPr>
            <w:tcW w:w="3479" w:type="dxa"/>
            <w:vAlign w:val="top"/>
          </w:tcPr>
          <w:p w14:paraId="26624953">
            <w:pPr>
              <w:rPr>
                <w:rFonts w:ascii="Arial"/>
                <w:sz w:val="21"/>
              </w:rPr>
            </w:pPr>
          </w:p>
        </w:tc>
        <w:tc>
          <w:tcPr>
            <w:tcW w:w="1799" w:type="dxa"/>
            <w:vAlign w:val="top"/>
          </w:tcPr>
          <w:p w14:paraId="67A9F95A">
            <w:pPr>
              <w:rPr>
                <w:rFonts w:ascii="Arial"/>
                <w:sz w:val="21"/>
              </w:rPr>
            </w:pPr>
          </w:p>
        </w:tc>
        <w:tc>
          <w:tcPr>
            <w:tcW w:w="2526" w:type="dxa"/>
            <w:vAlign w:val="top"/>
          </w:tcPr>
          <w:p w14:paraId="55022852">
            <w:pPr>
              <w:rPr>
                <w:rFonts w:ascii="Arial"/>
                <w:sz w:val="21"/>
              </w:rPr>
            </w:pPr>
          </w:p>
        </w:tc>
      </w:tr>
      <w:tr w14:paraId="55B7E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D3AC0CB">
            <w:pPr>
              <w:rPr>
                <w:rFonts w:ascii="Arial"/>
                <w:sz w:val="21"/>
              </w:rPr>
            </w:pPr>
          </w:p>
        </w:tc>
        <w:tc>
          <w:tcPr>
            <w:tcW w:w="3479" w:type="dxa"/>
            <w:vAlign w:val="top"/>
          </w:tcPr>
          <w:p w14:paraId="3D883AAB">
            <w:pPr>
              <w:rPr>
                <w:rFonts w:ascii="Arial"/>
                <w:sz w:val="21"/>
              </w:rPr>
            </w:pPr>
          </w:p>
        </w:tc>
        <w:tc>
          <w:tcPr>
            <w:tcW w:w="1799" w:type="dxa"/>
            <w:vAlign w:val="top"/>
          </w:tcPr>
          <w:p w14:paraId="604041B2">
            <w:pPr>
              <w:rPr>
                <w:rFonts w:ascii="Arial"/>
                <w:sz w:val="21"/>
              </w:rPr>
            </w:pPr>
          </w:p>
        </w:tc>
        <w:tc>
          <w:tcPr>
            <w:tcW w:w="2526" w:type="dxa"/>
            <w:vAlign w:val="top"/>
          </w:tcPr>
          <w:p w14:paraId="735FE318">
            <w:pPr>
              <w:rPr>
                <w:rFonts w:ascii="Arial"/>
                <w:sz w:val="21"/>
              </w:rPr>
            </w:pPr>
          </w:p>
        </w:tc>
      </w:tr>
      <w:tr w14:paraId="670A2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F121C59">
            <w:pPr>
              <w:rPr>
                <w:rFonts w:ascii="Arial"/>
                <w:sz w:val="21"/>
              </w:rPr>
            </w:pPr>
          </w:p>
        </w:tc>
        <w:tc>
          <w:tcPr>
            <w:tcW w:w="3479" w:type="dxa"/>
            <w:vAlign w:val="top"/>
          </w:tcPr>
          <w:p w14:paraId="2BC9E807">
            <w:pPr>
              <w:rPr>
                <w:rFonts w:ascii="Arial"/>
                <w:sz w:val="21"/>
              </w:rPr>
            </w:pPr>
          </w:p>
        </w:tc>
        <w:tc>
          <w:tcPr>
            <w:tcW w:w="1799" w:type="dxa"/>
            <w:vAlign w:val="top"/>
          </w:tcPr>
          <w:p w14:paraId="016A54E5">
            <w:pPr>
              <w:rPr>
                <w:rFonts w:ascii="Arial"/>
                <w:sz w:val="21"/>
              </w:rPr>
            </w:pPr>
          </w:p>
        </w:tc>
        <w:tc>
          <w:tcPr>
            <w:tcW w:w="2526" w:type="dxa"/>
            <w:vAlign w:val="top"/>
          </w:tcPr>
          <w:p w14:paraId="60C17949">
            <w:pPr>
              <w:rPr>
                <w:rFonts w:ascii="Arial"/>
                <w:sz w:val="21"/>
              </w:rPr>
            </w:pPr>
          </w:p>
        </w:tc>
      </w:tr>
      <w:tr w14:paraId="2614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778E29EA">
            <w:pPr>
              <w:rPr>
                <w:rFonts w:ascii="Arial"/>
                <w:sz w:val="21"/>
              </w:rPr>
            </w:pPr>
          </w:p>
        </w:tc>
        <w:tc>
          <w:tcPr>
            <w:tcW w:w="3479" w:type="dxa"/>
            <w:vAlign w:val="top"/>
          </w:tcPr>
          <w:p w14:paraId="74EF5916">
            <w:pPr>
              <w:rPr>
                <w:rFonts w:ascii="Arial"/>
                <w:sz w:val="21"/>
              </w:rPr>
            </w:pPr>
          </w:p>
        </w:tc>
        <w:tc>
          <w:tcPr>
            <w:tcW w:w="1799" w:type="dxa"/>
            <w:vAlign w:val="top"/>
          </w:tcPr>
          <w:p w14:paraId="43E90F7F">
            <w:pPr>
              <w:rPr>
                <w:rFonts w:ascii="Arial"/>
                <w:sz w:val="21"/>
              </w:rPr>
            </w:pPr>
          </w:p>
        </w:tc>
        <w:tc>
          <w:tcPr>
            <w:tcW w:w="2526" w:type="dxa"/>
            <w:vAlign w:val="top"/>
          </w:tcPr>
          <w:p w14:paraId="70F3A8C4">
            <w:pPr>
              <w:rPr>
                <w:rFonts w:ascii="Arial"/>
                <w:sz w:val="21"/>
              </w:rPr>
            </w:pPr>
          </w:p>
        </w:tc>
      </w:tr>
      <w:tr w14:paraId="154E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35FB3D98">
            <w:pPr>
              <w:rPr>
                <w:rFonts w:ascii="Arial"/>
                <w:sz w:val="21"/>
              </w:rPr>
            </w:pPr>
          </w:p>
        </w:tc>
        <w:tc>
          <w:tcPr>
            <w:tcW w:w="3479" w:type="dxa"/>
            <w:vAlign w:val="top"/>
          </w:tcPr>
          <w:p w14:paraId="11E6A102">
            <w:pPr>
              <w:rPr>
                <w:rFonts w:ascii="Arial"/>
                <w:sz w:val="21"/>
              </w:rPr>
            </w:pPr>
          </w:p>
        </w:tc>
        <w:tc>
          <w:tcPr>
            <w:tcW w:w="1799" w:type="dxa"/>
            <w:vAlign w:val="top"/>
          </w:tcPr>
          <w:p w14:paraId="30F058EB">
            <w:pPr>
              <w:rPr>
                <w:rFonts w:ascii="Arial"/>
                <w:sz w:val="21"/>
              </w:rPr>
            </w:pPr>
          </w:p>
        </w:tc>
        <w:tc>
          <w:tcPr>
            <w:tcW w:w="2526" w:type="dxa"/>
            <w:vAlign w:val="top"/>
          </w:tcPr>
          <w:p w14:paraId="67A8AC21">
            <w:pPr>
              <w:rPr>
                <w:rFonts w:ascii="Arial"/>
                <w:sz w:val="21"/>
              </w:rPr>
            </w:pPr>
          </w:p>
        </w:tc>
      </w:tr>
      <w:tr w14:paraId="2AC6B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E35C4D4">
            <w:pPr>
              <w:rPr>
                <w:rFonts w:ascii="Arial"/>
                <w:sz w:val="21"/>
              </w:rPr>
            </w:pPr>
          </w:p>
        </w:tc>
        <w:tc>
          <w:tcPr>
            <w:tcW w:w="3479" w:type="dxa"/>
            <w:vAlign w:val="top"/>
          </w:tcPr>
          <w:p w14:paraId="2EF89745">
            <w:pPr>
              <w:rPr>
                <w:rFonts w:ascii="Arial"/>
                <w:sz w:val="21"/>
              </w:rPr>
            </w:pPr>
          </w:p>
        </w:tc>
        <w:tc>
          <w:tcPr>
            <w:tcW w:w="1799" w:type="dxa"/>
            <w:vAlign w:val="top"/>
          </w:tcPr>
          <w:p w14:paraId="5AE7A429">
            <w:pPr>
              <w:rPr>
                <w:rFonts w:ascii="Arial"/>
                <w:sz w:val="21"/>
              </w:rPr>
            </w:pPr>
          </w:p>
        </w:tc>
        <w:tc>
          <w:tcPr>
            <w:tcW w:w="2526" w:type="dxa"/>
            <w:vAlign w:val="top"/>
          </w:tcPr>
          <w:p w14:paraId="12FAF8A6">
            <w:pPr>
              <w:rPr>
                <w:rFonts w:ascii="Arial"/>
                <w:sz w:val="21"/>
              </w:rPr>
            </w:pPr>
          </w:p>
        </w:tc>
      </w:tr>
      <w:tr w14:paraId="29E91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772" w:type="dxa"/>
            <w:vAlign w:val="top"/>
          </w:tcPr>
          <w:p w14:paraId="606CFC6D">
            <w:pPr>
              <w:rPr>
                <w:rFonts w:ascii="Arial"/>
                <w:sz w:val="21"/>
              </w:rPr>
            </w:pPr>
          </w:p>
        </w:tc>
        <w:tc>
          <w:tcPr>
            <w:tcW w:w="3479" w:type="dxa"/>
            <w:vAlign w:val="top"/>
          </w:tcPr>
          <w:p w14:paraId="137EAD71">
            <w:pPr>
              <w:rPr>
                <w:rFonts w:ascii="Arial"/>
                <w:sz w:val="21"/>
              </w:rPr>
            </w:pPr>
          </w:p>
        </w:tc>
        <w:tc>
          <w:tcPr>
            <w:tcW w:w="1799" w:type="dxa"/>
            <w:vAlign w:val="top"/>
          </w:tcPr>
          <w:p w14:paraId="77825478">
            <w:pPr>
              <w:rPr>
                <w:rFonts w:ascii="Arial"/>
                <w:sz w:val="21"/>
              </w:rPr>
            </w:pPr>
          </w:p>
        </w:tc>
        <w:tc>
          <w:tcPr>
            <w:tcW w:w="2526" w:type="dxa"/>
            <w:vAlign w:val="top"/>
          </w:tcPr>
          <w:p w14:paraId="104F924C">
            <w:pPr>
              <w:rPr>
                <w:rFonts w:ascii="Arial"/>
                <w:sz w:val="21"/>
              </w:rPr>
            </w:pPr>
          </w:p>
        </w:tc>
      </w:tr>
    </w:tbl>
    <w:p w14:paraId="66515896">
      <w:pPr>
        <w:pStyle w:val="2"/>
        <w:spacing w:line="256" w:lineRule="auto"/>
      </w:pPr>
    </w:p>
    <w:p w14:paraId="79C6EE0F">
      <w:pPr>
        <w:pStyle w:val="2"/>
        <w:spacing w:line="257" w:lineRule="auto"/>
      </w:pPr>
    </w:p>
    <w:p w14:paraId="0488A517">
      <w:pPr>
        <w:spacing w:before="68" w:line="233" w:lineRule="auto"/>
        <w:ind w:left="131"/>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 xml:space="preserve">1.  </w:t>
      </w:r>
      <w:r>
        <w:rPr>
          <w:rFonts w:ascii="宋体" w:hAnsi="宋体" w:eastAsia="宋体" w:cs="宋体"/>
          <w:spacing w:val="-1"/>
          <w:sz w:val="21"/>
          <w:szCs w:val="21"/>
        </w:rPr>
        <w:t>“近年”见第二章投标人须知前附表第</w:t>
      </w:r>
      <w:r>
        <w:rPr>
          <w:rFonts w:ascii="宋体" w:hAnsi="宋体" w:eastAsia="宋体" w:cs="宋体"/>
          <w:spacing w:val="-34"/>
          <w:sz w:val="21"/>
          <w:szCs w:val="21"/>
        </w:rPr>
        <w:t xml:space="preserve"> </w:t>
      </w:r>
      <w:r>
        <w:rPr>
          <w:rFonts w:ascii="宋体" w:hAnsi="宋体" w:eastAsia="宋体" w:cs="宋体"/>
          <w:spacing w:val="-1"/>
          <w:sz w:val="21"/>
          <w:szCs w:val="21"/>
        </w:rPr>
        <w:t>3.5.7</w:t>
      </w:r>
      <w:r>
        <w:rPr>
          <w:rFonts w:ascii="宋体" w:hAnsi="宋体" w:eastAsia="宋体" w:cs="宋体"/>
          <w:spacing w:val="-32"/>
          <w:sz w:val="21"/>
          <w:szCs w:val="21"/>
        </w:rPr>
        <w:t xml:space="preserve"> </w:t>
      </w:r>
      <w:r>
        <w:rPr>
          <w:rFonts w:ascii="宋体" w:hAnsi="宋体" w:eastAsia="宋体" w:cs="宋体"/>
          <w:spacing w:val="-1"/>
          <w:sz w:val="21"/>
          <w:szCs w:val="21"/>
        </w:rPr>
        <w:t>项。</w:t>
      </w:r>
    </w:p>
    <w:p w14:paraId="58BBE747">
      <w:pPr>
        <w:spacing w:before="141" w:line="349" w:lineRule="auto"/>
        <w:ind w:left="971" w:right="158" w:hanging="216"/>
        <w:rPr>
          <w:rFonts w:ascii="宋体" w:hAnsi="宋体" w:eastAsia="宋体" w:cs="宋体"/>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本表后应附表彰文件、获奖证书的扫描件。以表彰文件、获奖证书</w:t>
      </w:r>
      <w:r>
        <w:rPr>
          <w:rFonts w:ascii="宋体" w:hAnsi="宋体" w:eastAsia="宋体" w:cs="宋体"/>
          <w:sz w:val="21"/>
          <w:szCs w:val="21"/>
        </w:rPr>
        <w:t>的颁发时间为</w:t>
      </w:r>
      <w:r>
        <w:rPr>
          <w:rFonts w:ascii="宋体" w:hAnsi="宋体" w:eastAsia="宋体" w:cs="宋体"/>
          <w:spacing w:val="-10"/>
          <w:sz w:val="21"/>
          <w:szCs w:val="21"/>
        </w:rPr>
        <w:t>准。</w:t>
      </w:r>
    </w:p>
    <w:p w14:paraId="30E32DE9">
      <w:pPr>
        <w:spacing w:before="1" w:line="233" w:lineRule="auto"/>
        <w:ind w:left="75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颁奖单位应当是国家机关或民政部门注册登记的合法颁奖单位。</w:t>
      </w:r>
    </w:p>
    <w:p w14:paraId="7D707280">
      <w:pPr>
        <w:spacing w:line="233" w:lineRule="auto"/>
        <w:rPr>
          <w:rFonts w:ascii="宋体" w:hAnsi="宋体" w:eastAsia="宋体" w:cs="宋体"/>
          <w:sz w:val="21"/>
          <w:szCs w:val="21"/>
        </w:rPr>
        <w:sectPr>
          <w:footerReference r:id="rId340" w:type="default"/>
          <w:pgSz w:w="11910" w:h="16845"/>
          <w:pgMar w:top="400" w:right="1636" w:bottom="1110" w:left="1681" w:header="0" w:footer="883" w:gutter="0"/>
          <w:cols w:space="720" w:num="1"/>
        </w:sectPr>
      </w:pPr>
    </w:p>
    <w:p w14:paraId="03925294">
      <w:pPr>
        <w:pStyle w:val="2"/>
        <w:spacing w:line="266" w:lineRule="auto"/>
      </w:pPr>
    </w:p>
    <w:p w14:paraId="5EC73DB5">
      <w:pPr>
        <w:pStyle w:val="2"/>
        <w:spacing w:line="266" w:lineRule="auto"/>
      </w:pPr>
    </w:p>
    <w:p w14:paraId="5AD8316A">
      <w:pPr>
        <w:pStyle w:val="2"/>
        <w:spacing w:line="266" w:lineRule="auto"/>
      </w:pPr>
    </w:p>
    <w:p w14:paraId="2D4E8CBA">
      <w:pPr>
        <w:pStyle w:val="2"/>
        <w:spacing w:line="267" w:lineRule="auto"/>
      </w:pPr>
    </w:p>
    <w:p w14:paraId="5987E98C">
      <w:pPr>
        <w:spacing w:before="78" w:line="220" w:lineRule="auto"/>
        <w:ind w:left="2492"/>
        <w:outlineLvl w:val="2"/>
        <w:rPr>
          <w:rFonts w:ascii="宋体" w:hAnsi="宋体" w:eastAsia="宋体" w:cs="宋体"/>
          <w:sz w:val="24"/>
          <w:szCs w:val="24"/>
        </w:rPr>
      </w:pPr>
      <w:bookmarkStart w:id="663" w:name="bookmark610"/>
      <w:bookmarkEnd w:id="663"/>
      <w:r>
        <w:rPr>
          <w:rFonts w:ascii="宋体" w:hAnsi="宋体" w:eastAsia="宋体" w:cs="宋体"/>
          <w:spacing w:val="-1"/>
          <w:sz w:val="24"/>
          <w:szCs w:val="24"/>
        </w:rPr>
        <w:t>5-6 近年企业及个人获表彰情况表</w:t>
      </w:r>
    </w:p>
    <w:p w14:paraId="400531C8">
      <w:pPr>
        <w:spacing w:before="159"/>
      </w:pPr>
    </w:p>
    <w:tbl>
      <w:tblPr>
        <w:tblStyle w:val="5"/>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3479"/>
        <w:gridCol w:w="1799"/>
        <w:gridCol w:w="2526"/>
      </w:tblGrid>
      <w:tr w14:paraId="155DD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772" w:type="dxa"/>
            <w:vAlign w:val="top"/>
          </w:tcPr>
          <w:p w14:paraId="1AD1EF72">
            <w:pPr>
              <w:pStyle w:val="6"/>
              <w:spacing w:before="149" w:line="221" w:lineRule="auto"/>
              <w:ind w:left="172"/>
              <w:rPr>
                <w:sz w:val="21"/>
                <w:szCs w:val="21"/>
              </w:rPr>
            </w:pPr>
            <w:r>
              <w:rPr>
                <w:spacing w:val="-2"/>
                <w:sz w:val="21"/>
                <w:szCs w:val="21"/>
              </w:rPr>
              <w:t>序号</w:t>
            </w:r>
          </w:p>
        </w:tc>
        <w:tc>
          <w:tcPr>
            <w:tcW w:w="3479" w:type="dxa"/>
            <w:vAlign w:val="top"/>
          </w:tcPr>
          <w:p w14:paraId="0DED1466">
            <w:pPr>
              <w:pStyle w:val="6"/>
              <w:spacing w:before="149" w:line="220" w:lineRule="auto"/>
              <w:ind w:left="1327"/>
              <w:rPr>
                <w:sz w:val="21"/>
                <w:szCs w:val="21"/>
              </w:rPr>
            </w:pPr>
            <w:r>
              <w:rPr>
                <w:spacing w:val="-2"/>
                <w:sz w:val="21"/>
                <w:szCs w:val="21"/>
              </w:rPr>
              <w:t>获奖名称</w:t>
            </w:r>
          </w:p>
        </w:tc>
        <w:tc>
          <w:tcPr>
            <w:tcW w:w="1799" w:type="dxa"/>
            <w:vAlign w:val="top"/>
          </w:tcPr>
          <w:p w14:paraId="40CFB6A7">
            <w:pPr>
              <w:pStyle w:val="6"/>
              <w:spacing w:before="149" w:line="220" w:lineRule="auto"/>
              <w:ind w:left="492"/>
              <w:rPr>
                <w:sz w:val="21"/>
                <w:szCs w:val="21"/>
              </w:rPr>
            </w:pPr>
            <w:r>
              <w:rPr>
                <w:spacing w:val="-2"/>
                <w:sz w:val="21"/>
                <w:szCs w:val="21"/>
              </w:rPr>
              <w:t>获奖日期</w:t>
            </w:r>
          </w:p>
        </w:tc>
        <w:tc>
          <w:tcPr>
            <w:tcW w:w="2526" w:type="dxa"/>
            <w:vAlign w:val="top"/>
          </w:tcPr>
          <w:p w14:paraId="3128C85E">
            <w:pPr>
              <w:pStyle w:val="6"/>
              <w:spacing w:before="150" w:line="220" w:lineRule="auto"/>
              <w:ind w:left="852"/>
              <w:rPr>
                <w:sz w:val="21"/>
                <w:szCs w:val="21"/>
              </w:rPr>
            </w:pPr>
            <w:r>
              <w:rPr>
                <w:spacing w:val="-2"/>
                <w:sz w:val="21"/>
                <w:szCs w:val="21"/>
              </w:rPr>
              <w:t>颁奖单位</w:t>
            </w:r>
          </w:p>
        </w:tc>
      </w:tr>
      <w:tr w14:paraId="58AB9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F6F3FA8">
            <w:pPr>
              <w:rPr>
                <w:rFonts w:ascii="Arial"/>
                <w:sz w:val="21"/>
              </w:rPr>
            </w:pPr>
          </w:p>
        </w:tc>
        <w:tc>
          <w:tcPr>
            <w:tcW w:w="3479" w:type="dxa"/>
            <w:vAlign w:val="top"/>
          </w:tcPr>
          <w:p w14:paraId="4485F497">
            <w:pPr>
              <w:rPr>
                <w:rFonts w:ascii="Arial"/>
                <w:sz w:val="21"/>
              </w:rPr>
            </w:pPr>
          </w:p>
        </w:tc>
        <w:tc>
          <w:tcPr>
            <w:tcW w:w="1799" w:type="dxa"/>
            <w:vAlign w:val="top"/>
          </w:tcPr>
          <w:p w14:paraId="680AB568">
            <w:pPr>
              <w:rPr>
                <w:rFonts w:ascii="Arial"/>
                <w:sz w:val="21"/>
              </w:rPr>
            </w:pPr>
          </w:p>
        </w:tc>
        <w:tc>
          <w:tcPr>
            <w:tcW w:w="2526" w:type="dxa"/>
            <w:vAlign w:val="top"/>
          </w:tcPr>
          <w:p w14:paraId="11542185">
            <w:pPr>
              <w:rPr>
                <w:rFonts w:ascii="Arial"/>
                <w:sz w:val="21"/>
              </w:rPr>
            </w:pPr>
          </w:p>
        </w:tc>
      </w:tr>
      <w:tr w14:paraId="2E61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3E458B6E">
            <w:pPr>
              <w:rPr>
                <w:rFonts w:ascii="Arial"/>
                <w:sz w:val="21"/>
              </w:rPr>
            </w:pPr>
          </w:p>
        </w:tc>
        <w:tc>
          <w:tcPr>
            <w:tcW w:w="3479" w:type="dxa"/>
            <w:vAlign w:val="top"/>
          </w:tcPr>
          <w:p w14:paraId="303B7794">
            <w:pPr>
              <w:rPr>
                <w:rFonts w:ascii="Arial"/>
                <w:sz w:val="21"/>
              </w:rPr>
            </w:pPr>
          </w:p>
        </w:tc>
        <w:tc>
          <w:tcPr>
            <w:tcW w:w="1799" w:type="dxa"/>
            <w:vAlign w:val="top"/>
          </w:tcPr>
          <w:p w14:paraId="2AA986A2">
            <w:pPr>
              <w:rPr>
                <w:rFonts w:ascii="Arial"/>
                <w:sz w:val="21"/>
              </w:rPr>
            </w:pPr>
          </w:p>
        </w:tc>
        <w:tc>
          <w:tcPr>
            <w:tcW w:w="2526" w:type="dxa"/>
            <w:vAlign w:val="top"/>
          </w:tcPr>
          <w:p w14:paraId="3196E552">
            <w:pPr>
              <w:rPr>
                <w:rFonts w:ascii="Arial"/>
                <w:sz w:val="21"/>
              </w:rPr>
            </w:pPr>
          </w:p>
        </w:tc>
      </w:tr>
      <w:tr w14:paraId="52F9E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42902B2C">
            <w:pPr>
              <w:rPr>
                <w:rFonts w:ascii="Arial"/>
                <w:sz w:val="21"/>
              </w:rPr>
            </w:pPr>
          </w:p>
        </w:tc>
        <w:tc>
          <w:tcPr>
            <w:tcW w:w="3479" w:type="dxa"/>
            <w:vAlign w:val="top"/>
          </w:tcPr>
          <w:p w14:paraId="247E5C83">
            <w:pPr>
              <w:rPr>
                <w:rFonts w:ascii="Arial"/>
                <w:sz w:val="21"/>
              </w:rPr>
            </w:pPr>
          </w:p>
        </w:tc>
        <w:tc>
          <w:tcPr>
            <w:tcW w:w="1799" w:type="dxa"/>
            <w:vAlign w:val="top"/>
          </w:tcPr>
          <w:p w14:paraId="78468F6A">
            <w:pPr>
              <w:rPr>
                <w:rFonts w:ascii="Arial"/>
                <w:sz w:val="21"/>
              </w:rPr>
            </w:pPr>
          </w:p>
        </w:tc>
        <w:tc>
          <w:tcPr>
            <w:tcW w:w="2526" w:type="dxa"/>
            <w:vAlign w:val="top"/>
          </w:tcPr>
          <w:p w14:paraId="4D3843A5">
            <w:pPr>
              <w:rPr>
                <w:rFonts w:ascii="Arial"/>
                <w:sz w:val="21"/>
              </w:rPr>
            </w:pPr>
          </w:p>
        </w:tc>
      </w:tr>
      <w:tr w14:paraId="29806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76AF402A">
            <w:pPr>
              <w:rPr>
                <w:rFonts w:ascii="Arial"/>
                <w:sz w:val="21"/>
              </w:rPr>
            </w:pPr>
          </w:p>
        </w:tc>
        <w:tc>
          <w:tcPr>
            <w:tcW w:w="3479" w:type="dxa"/>
            <w:vAlign w:val="top"/>
          </w:tcPr>
          <w:p w14:paraId="50E18249">
            <w:pPr>
              <w:rPr>
                <w:rFonts w:ascii="Arial"/>
                <w:sz w:val="21"/>
              </w:rPr>
            </w:pPr>
          </w:p>
        </w:tc>
        <w:tc>
          <w:tcPr>
            <w:tcW w:w="1799" w:type="dxa"/>
            <w:vAlign w:val="top"/>
          </w:tcPr>
          <w:p w14:paraId="4D406D42">
            <w:pPr>
              <w:rPr>
                <w:rFonts w:ascii="Arial"/>
                <w:sz w:val="21"/>
              </w:rPr>
            </w:pPr>
          </w:p>
        </w:tc>
        <w:tc>
          <w:tcPr>
            <w:tcW w:w="2526" w:type="dxa"/>
            <w:vAlign w:val="top"/>
          </w:tcPr>
          <w:p w14:paraId="40F7A396">
            <w:pPr>
              <w:rPr>
                <w:rFonts w:ascii="Arial"/>
                <w:sz w:val="21"/>
              </w:rPr>
            </w:pPr>
          </w:p>
        </w:tc>
      </w:tr>
      <w:tr w14:paraId="12E97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676ECD68">
            <w:pPr>
              <w:rPr>
                <w:rFonts w:ascii="Arial"/>
                <w:sz w:val="21"/>
              </w:rPr>
            </w:pPr>
          </w:p>
        </w:tc>
        <w:tc>
          <w:tcPr>
            <w:tcW w:w="3479" w:type="dxa"/>
            <w:vAlign w:val="top"/>
          </w:tcPr>
          <w:p w14:paraId="66CE9314">
            <w:pPr>
              <w:rPr>
                <w:rFonts w:ascii="Arial"/>
                <w:sz w:val="21"/>
              </w:rPr>
            </w:pPr>
          </w:p>
        </w:tc>
        <w:tc>
          <w:tcPr>
            <w:tcW w:w="1799" w:type="dxa"/>
            <w:vAlign w:val="top"/>
          </w:tcPr>
          <w:p w14:paraId="60291BDD">
            <w:pPr>
              <w:rPr>
                <w:rFonts w:ascii="Arial"/>
                <w:sz w:val="21"/>
              </w:rPr>
            </w:pPr>
          </w:p>
        </w:tc>
        <w:tc>
          <w:tcPr>
            <w:tcW w:w="2526" w:type="dxa"/>
            <w:vAlign w:val="top"/>
          </w:tcPr>
          <w:p w14:paraId="51493CC0">
            <w:pPr>
              <w:rPr>
                <w:rFonts w:ascii="Arial"/>
                <w:sz w:val="21"/>
              </w:rPr>
            </w:pPr>
          </w:p>
        </w:tc>
      </w:tr>
      <w:tr w14:paraId="6AE30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167BD9BB">
            <w:pPr>
              <w:rPr>
                <w:rFonts w:ascii="Arial"/>
                <w:sz w:val="21"/>
              </w:rPr>
            </w:pPr>
          </w:p>
        </w:tc>
        <w:tc>
          <w:tcPr>
            <w:tcW w:w="3479" w:type="dxa"/>
            <w:vAlign w:val="top"/>
          </w:tcPr>
          <w:p w14:paraId="188D932E">
            <w:pPr>
              <w:rPr>
                <w:rFonts w:ascii="Arial"/>
                <w:sz w:val="21"/>
              </w:rPr>
            </w:pPr>
          </w:p>
        </w:tc>
        <w:tc>
          <w:tcPr>
            <w:tcW w:w="1799" w:type="dxa"/>
            <w:vAlign w:val="top"/>
          </w:tcPr>
          <w:p w14:paraId="1DC646C7">
            <w:pPr>
              <w:rPr>
                <w:rFonts w:ascii="Arial"/>
                <w:sz w:val="21"/>
              </w:rPr>
            </w:pPr>
          </w:p>
        </w:tc>
        <w:tc>
          <w:tcPr>
            <w:tcW w:w="2526" w:type="dxa"/>
            <w:vAlign w:val="top"/>
          </w:tcPr>
          <w:p w14:paraId="1487F5B6">
            <w:pPr>
              <w:rPr>
                <w:rFonts w:ascii="Arial"/>
                <w:sz w:val="21"/>
              </w:rPr>
            </w:pPr>
          </w:p>
        </w:tc>
      </w:tr>
      <w:tr w14:paraId="1322A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03224CCB">
            <w:pPr>
              <w:rPr>
                <w:rFonts w:ascii="Arial"/>
                <w:sz w:val="21"/>
              </w:rPr>
            </w:pPr>
          </w:p>
        </w:tc>
        <w:tc>
          <w:tcPr>
            <w:tcW w:w="3479" w:type="dxa"/>
            <w:vAlign w:val="top"/>
          </w:tcPr>
          <w:p w14:paraId="71455509">
            <w:pPr>
              <w:rPr>
                <w:rFonts w:ascii="Arial"/>
                <w:sz w:val="21"/>
              </w:rPr>
            </w:pPr>
          </w:p>
        </w:tc>
        <w:tc>
          <w:tcPr>
            <w:tcW w:w="1799" w:type="dxa"/>
            <w:vAlign w:val="top"/>
          </w:tcPr>
          <w:p w14:paraId="36AA0D4B">
            <w:pPr>
              <w:rPr>
                <w:rFonts w:ascii="Arial"/>
                <w:sz w:val="21"/>
              </w:rPr>
            </w:pPr>
          </w:p>
        </w:tc>
        <w:tc>
          <w:tcPr>
            <w:tcW w:w="2526" w:type="dxa"/>
            <w:vAlign w:val="top"/>
          </w:tcPr>
          <w:p w14:paraId="5A0B2768">
            <w:pPr>
              <w:rPr>
                <w:rFonts w:ascii="Arial"/>
                <w:sz w:val="21"/>
              </w:rPr>
            </w:pPr>
          </w:p>
        </w:tc>
      </w:tr>
      <w:tr w14:paraId="4CDEF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38C1231B">
            <w:pPr>
              <w:rPr>
                <w:rFonts w:ascii="Arial"/>
                <w:sz w:val="21"/>
              </w:rPr>
            </w:pPr>
          </w:p>
        </w:tc>
        <w:tc>
          <w:tcPr>
            <w:tcW w:w="3479" w:type="dxa"/>
            <w:vAlign w:val="top"/>
          </w:tcPr>
          <w:p w14:paraId="2D202F0A">
            <w:pPr>
              <w:rPr>
                <w:rFonts w:ascii="Arial"/>
                <w:sz w:val="21"/>
              </w:rPr>
            </w:pPr>
          </w:p>
        </w:tc>
        <w:tc>
          <w:tcPr>
            <w:tcW w:w="1799" w:type="dxa"/>
            <w:vAlign w:val="top"/>
          </w:tcPr>
          <w:p w14:paraId="367DF8F5">
            <w:pPr>
              <w:rPr>
                <w:rFonts w:ascii="Arial"/>
                <w:sz w:val="21"/>
              </w:rPr>
            </w:pPr>
          </w:p>
        </w:tc>
        <w:tc>
          <w:tcPr>
            <w:tcW w:w="2526" w:type="dxa"/>
            <w:vAlign w:val="top"/>
          </w:tcPr>
          <w:p w14:paraId="563EEDFA">
            <w:pPr>
              <w:rPr>
                <w:rFonts w:ascii="Arial"/>
                <w:sz w:val="21"/>
              </w:rPr>
            </w:pPr>
          </w:p>
        </w:tc>
      </w:tr>
      <w:tr w14:paraId="6CA81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772" w:type="dxa"/>
            <w:vAlign w:val="top"/>
          </w:tcPr>
          <w:p w14:paraId="408D209D">
            <w:pPr>
              <w:rPr>
                <w:rFonts w:ascii="Arial"/>
                <w:sz w:val="21"/>
              </w:rPr>
            </w:pPr>
          </w:p>
        </w:tc>
        <w:tc>
          <w:tcPr>
            <w:tcW w:w="3479" w:type="dxa"/>
            <w:vAlign w:val="top"/>
          </w:tcPr>
          <w:p w14:paraId="125A5143">
            <w:pPr>
              <w:rPr>
                <w:rFonts w:ascii="Arial"/>
                <w:sz w:val="21"/>
              </w:rPr>
            </w:pPr>
          </w:p>
        </w:tc>
        <w:tc>
          <w:tcPr>
            <w:tcW w:w="1799" w:type="dxa"/>
            <w:vAlign w:val="top"/>
          </w:tcPr>
          <w:p w14:paraId="6AF6088D">
            <w:pPr>
              <w:rPr>
                <w:rFonts w:ascii="Arial"/>
                <w:sz w:val="21"/>
              </w:rPr>
            </w:pPr>
          </w:p>
        </w:tc>
        <w:tc>
          <w:tcPr>
            <w:tcW w:w="2526" w:type="dxa"/>
            <w:vAlign w:val="top"/>
          </w:tcPr>
          <w:p w14:paraId="0C7187EB">
            <w:pPr>
              <w:rPr>
                <w:rFonts w:ascii="Arial"/>
                <w:sz w:val="21"/>
              </w:rPr>
            </w:pPr>
          </w:p>
        </w:tc>
      </w:tr>
    </w:tbl>
    <w:p w14:paraId="7FCD73D7">
      <w:pPr>
        <w:pStyle w:val="2"/>
        <w:spacing w:line="290" w:lineRule="auto"/>
      </w:pPr>
    </w:p>
    <w:p w14:paraId="2FAA3F1A">
      <w:pPr>
        <w:pStyle w:val="2"/>
        <w:spacing w:line="290" w:lineRule="auto"/>
      </w:pPr>
    </w:p>
    <w:p w14:paraId="7BCAE8BB">
      <w:pPr>
        <w:pStyle w:val="2"/>
        <w:spacing w:line="291" w:lineRule="auto"/>
      </w:pPr>
    </w:p>
    <w:p w14:paraId="7991803D">
      <w:pPr>
        <w:spacing w:before="68" w:line="233" w:lineRule="auto"/>
        <w:ind w:left="131"/>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宋体" w:hAnsi="宋体" w:eastAsia="宋体" w:cs="宋体"/>
          <w:spacing w:val="-1"/>
          <w:sz w:val="21"/>
          <w:szCs w:val="21"/>
        </w:rPr>
        <w:t>“近年”见第二章投标人须知前附表第</w:t>
      </w:r>
      <w:r>
        <w:rPr>
          <w:rFonts w:ascii="宋体" w:hAnsi="宋体" w:eastAsia="宋体" w:cs="宋体"/>
          <w:spacing w:val="-36"/>
          <w:sz w:val="21"/>
          <w:szCs w:val="21"/>
        </w:rPr>
        <w:t xml:space="preserve"> </w:t>
      </w:r>
      <w:r>
        <w:rPr>
          <w:rFonts w:ascii="宋体" w:hAnsi="宋体" w:eastAsia="宋体" w:cs="宋体"/>
          <w:spacing w:val="-1"/>
          <w:sz w:val="21"/>
          <w:szCs w:val="21"/>
        </w:rPr>
        <w:t>3.5.7</w:t>
      </w:r>
      <w:r>
        <w:rPr>
          <w:rFonts w:ascii="宋体" w:hAnsi="宋体" w:eastAsia="宋体" w:cs="宋体"/>
          <w:spacing w:val="-32"/>
          <w:sz w:val="21"/>
          <w:szCs w:val="21"/>
        </w:rPr>
        <w:t xml:space="preserve"> </w:t>
      </w:r>
      <w:r>
        <w:rPr>
          <w:rFonts w:ascii="宋体" w:hAnsi="宋体" w:eastAsia="宋体" w:cs="宋体"/>
          <w:spacing w:val="-1"/>
          <w:sz w:val="21"/>
          <w:szCs w:val="21"/>
        </w:rPr>
        <w:t>项。</w:t>
      </w:r>
    </w:p>
    <w:p w14:paraId="6815A226">
      <w:pPr>
        <w:spacing w:before="140" w:line="233" w:lineRule="auto"/>
        <w:ind w:left="755"/>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本表后应附表彰文件或表彰证书的扫描件。</w:t>
      </w:r>
    </w:p>
    <w:p w14:paraId="32D7333B">
      <w:pPr>
        <w:spacing w:line="233" w:lineRule="auto"/>
        <w:rPr>
          <w:rFonts w:ascii="宋体" w:hAnsi="宋体" w:eastAsia="宋体" w:cs="宋体"/>
          <w:sz w:val="21"/>
          <w:szCs w:val="21"/>
        </w:rPr>
        <w:sectPr>
          <w:footerReference r:id="rId341" w:type="default"/>
          <w:pgSz w:w="11910" w:h="16845"/>
          <w:pgMar w:top="400" w:right="1636" w:bottom="1110" w:left="1681" w:header="0" w:footer="883" w:gutter="0"/>
          <w:cols w:space="720" w:num="1"/>
        </w:sectPr>
      </w:pPr>
    </w:p>
    <w:p w14:paraId="4BD88E6D">
      <w:pPr>
        <w:pStyle w:val="2"/>
        <w:spacing w:line="286" w:lineRule="auto"/>
      </w:pPr>
    </w:p>
    <w:p w14:paraId="7DDD9342">
      <w:pPr>
        <w:pStyle w:val="2"/>
        <w:spacing w:line="286" w:lineRule="auto"/>
      </w:pPr>
    </w:p>
    <w:p w14:paraId="145A1DE4">
      <w:pPr>
        <w:pStyle w:val="2"/>
        <w:spacing w:line="286" w:lineRule="auto"/>
      </w:pPr>
    </w:p>
    <w:p w14:paraId="61F9D8D9">
      <w:pPr>
        <w:pStyle w:val="2"/>
        <w:spacing w:line="287" w:lineRule="auto"/>
      </w:pPr>
    </w:p>
    <w:p w14:paraId="6327FD5C">
      <w:pPr>
        <w:pStyle w:val="2"/>
        <w:spacing w:line="287" w:lineRule="auto"/>
      </w:pPr>
    </w:p>
    <w:p w14:paraId="12509B6D">
      <w:pPr>
        <w:spacing w:before="91" w:line="222" w:lineRule="auto"/>
        <w:ind w:left="2977"/>
        <w:outlineLvl w:val="1"/>
        <w:rPr>
          <w:rFonts w:ascii="黑体" w:hAnsi="黑体" w:eastAsia="黑体" w:cs="黑体"/>
          <w:sz w:val="28"/>
          <w:szCs w:val="28"/>
        </w:rPr>
      </w:pPr>
      <w:bookmarkStart w:id="664" w:name="bookmark611"/>
      <w:bookmarkEnd w:id="664"/>
      <w:r>
        <w:rPr>
          <w:rFonts w:ascii="黑体" w:hAnsi="黑体" w:eastAsia="黑体" w:cs="黑体"/>
          <w:spacing w:val="3"/>
          <w:sz w:val="28"/>
          <w:szCs w:val="28"/>
        </w:rPr>
        <w:t>九、已标价工程量清单</w:t>
      </w:r>
    </w:p>
    <w:p w14:paraId="12A353C5">
      <w:pPr>
        <w:pStyle w:val="2"/>
        <w:spacing w:line="278" w:lineRule="auto"/>
      </w:pPr>
    </w:p>
    <w:p w14:paraId="3B7D40C7">
      <w:pPr>
        <w:pStyle w:val="2"/>
        <w:spacing w:line="278" w:lineRule="auto"/>
      </w:pPr>
    </w:p>
    <w:p w14:paraId="19922B0C">
      <w:pPr>
        <w:spacing w:before="69" w:line="218" w:lineRule="auto"/>
        <w:jc w:val="right"/>
        <w:rPr>
          <w:rFonts w:ascii="宋体" w:hAnsi="宋体" w:eastAsia="宋体" w:cs="宋体"/>
          <w:sz w:val="21"/>
          <w:szCs w:val="21"/>
        </w:rPr>
      </w:pPr>
      <w:r>
        <w:rPr>
          <w:rFonts w:ascii="黑体" w:hAnsi="黑体" w:eastAsia="黑体" w:cs="黑体"/>
          <w:spacing w:val="-2"/>
          <w:sz w:val="21"/>
          <w:szCs w:val="21"/>
        </w:rPr>
        <w:t>说明：</w:t>
      </w:r>
      <w:r>
        <w:rPr>
          <w:rFonts w:ascii="宋体" w:hAnsi="宋体" w:eastAsia="宋体" w:cs="宋体"/>
          <w:spacing w:val="-2"/>
          <w:sz w:val="21"/>
          <w:szCs w:val="21"/>
        </w:rPr>
        <w:t>已标价工程量清单按第五章“工程量清单”中的相关清单表格式填写。构成合同</w:t>
      </w:r>
    </w:p>
    <w:p w14:paraId="4C4A7405">
      <w:pPr>
        <w:spacing w:before="201" w:line="220" w:lineRule="auto"/>
        <w:ind w:left="25"/>
        <w:rPr>
          <w:rFonts w:ascii="宋体" w:hAnsi="宋体" w:eastAsia="宋体" w:cs="宋体"/>
          <w:sz w:val="21"/>
          <w:szCs w:val="21"/>
        </w:rPr>
      </w:pPr>
      <w:r>
        <w:rPr>
          <w:rFonts w:ascii="宋体" w:hAnsi="宋体" w:eastAsia="宋体" w:cs="宋体"/>
          <w:spacing w:val="-3"/>
          <w:sz w:val="21"/>
          <w:szCs w:val="21"/>
        </w:rPr>
        <w:t>文件</w:t>
      </w:r>
    </w:p>
    <w:p w14:paraId="7B0DD2C9">
      <w:pPr>
        <w:spacing w:before="215" w:line="218" w:lineRule="auto"/>
        <w:ind w:right="21"/>
        <w:jc w:val="right"/>
        <w:rPr>
          <w:rFonts w:ascii="宋体" w:hAnsi="宋体" w:eastAsia="宋体" w:cs="宋体"/>
          <w:sz w:val="21"/>
          <w:szCs w:val="21"/>
        </w:rPr>
      </w:pPr>
      <w:r>
        <w:rPr>
          <w:rFonts w:ascii="宋体" w:hAnsi="宋体" w:eastAsia="宋体" w:cs="宋体"/>
          <w:spacing w:val="-3"/>
          <w:sz w:val="21"/>
          <w:szCs w:val="21"/>
        </w:rPr>
        <w:t>的已标价工程量清单包括第五章“工程量清单”有关工程量清单、投标报价以及其他说</w:t>
      </w:r>
    </w:p>
    <w:p w14:paraId="1332CCC9">
      <w:pPr>
        <w:spacing w:before="216" w:line="220" w:lineRule="auto"/>
        <w:ind w:left="43"/>
        <w:rPr>
          <w:rFonts w:ascii="宋体" w:hAnsi="宋体" w:eastAsia="宋体" w:cs="宋体"/>
          <w:sz w:val="21"/>
          <w:szCs w:val="21"/>
        </w:rPr>
      </w:pPr>
      <w:r>
        <w:rPr>
          <w:rFonts w:ascii="宋体" w:hAnsi="宋体" w:eastAsia="宋体" w:cs="宋体"/>
          <w:spacing w:val="-7"/>
          <w:sz w:val="21"/>
          <w:szCs w:val="21"/>
        </w:rPr>
        <w:t>明的</w:t>
      </w:r>
    </w:p>
    <w:p w14:paraId="62B1D749">
      <w:pPr>
        <w:spacing w:before="201" w:line="220" w:lineRule="auto"/>
        <w:ind w:left="470"/>
        <w:rPr>
          <w:rFonts w:ascii="宋体" w:hAnsi="宋体" w:eastAsia="宋体" w:cs="宋体"/>
          <w:sz w:val="21"/>
          <w:szCs w:val="21"/>
        </w:rPr>
      </w:pPr>
      <w:r>
        <w:rPr>
          <w:rFonts w:ascii="宋体" w:hAnsi="宋体" w:eastAsia="宋体" w:cs="宋体"/>
          <w:spacing w:val="-15"/>
          <w:sz w:val="21"/>
          <w:szCs w:val="21"/>
        </w:rPr>
        <w:t>内容。</w:t>
      </w:r>
    </w:p>
    <w:p w14:paraId="4D0FF427">
      <w:pPr>
        <w:spacing w:line="220" w:lineRule="auto"/>
        <w:rPr>
          <w:rFonts w:ascii="宋体" w:hAnsi="宋体" w:eastAsia="宋体" w:cs="宋体"/>
          <w:sz w:val="21"/>
          <w:szCs w:val="21"/>
        </w:rPr>
        <w:sectPr>
          <w:footerReference r:id="rId342" w:type="default"/>
          <w:pgSz w:w="11910" w:h="16845"/>
          <w:pgMar w:top="400" w:right="1764" w:bottom="1110" w:left="1786" w:header="0" w:footer="883" w:gutter="0"/>
          <w:cols w:space="720" w:num="1"/>
        </w:sectPr>
      </w:pPr>
    </w:p>
    <w:p w14:paraId="318B18AC">
      <w:pPr>
        <w:pStyle w:val="2"/>
        <w:spacing w:line="246" w:lineRule="auto"/>
      </w:pPr>
    </w:p>
    <w:p w14:paraId="37E14FD1">
      <w:pPr>
        <w:pStyle w:val="2"/>
        <w:spacing w:line="247" w:lineRule="auto"/>
      </w:pPr>
    </w:p>
    <w:p w14:paraId="6E434BB3">
      <w:pPr>
        <w:pStyle w:val="2"/>
        <w:spacing w:line="247" w:lineRule="auto"/>
      </w:pPr>
    </w:p>
    <w:p w14:paraId="7805E496">
      <w:pPr>
        <w:pStyle w:val="2"/>
        <w:spacing w:line="247" w:lineRule="auto"/>
      </w:pPr>
    </w:p>
    <w:p w14:paraId="397FD96C">
      <w:pPr>
        <w:pStyle w:val="2"/>
        <w:spacing w:line="247" w:lineRule="auto"/>
      </w:pPr>
    </w:p>
    <w:p w14:paraId="36D67629">
      <w:pPr>
        <w:pStyle w:val="2"/>
        <w:spacing w:line="247" w:lineRule="auto"/>
      </w:pPr>
    </w:p>
    <w:p w14:paraId="726CA4DC">
      <w:pPr>
        <w:pStyle w:val="2"/>
        <w:spacing w:line="247" w:lineRule="auto"/>
      </w:pPr>
    </w:p>
    <w:p w14:paraId="159751F9">
      <w:pPr>
        <w:pStyle w:val="2"/>
        <w:spacing w:line="247" w:lineRule="auto"/>
      </w:pPr>
    </w:p>
    <w:p w14:paraId="2E12B6AD">
      <w:pPr>
        <w:spacing w:before="78" w:line="219" w:lineRule="auto"/>
        <w:ind w:left="460"/>
        <w:outlineLvl w:val="2"/>
        <w:rPr>
          <w:rFonts w:ascii="黑体" w:hAnsi="黑体" w:eastAsia="黑体" w:cs="黑体"/>
          <w:sz w:val="24"/>
          <w:szCs w:val="24"/>
        </w:rPr>
      </w:pPr>
      <w:r>
        <w:rPr>
          <w:rFonts w:ascii="黑体" w:hAnsi="黑体" w:eastAsia="黑体" w:cs="黑体"/>
          <w:b/>
          <w:bCs/>
          <w:sz w:val="24"/>
          <w:szCs w:val="24"/>
        </w:rPr>
        <w:t>已标价工程量清单（投标总价）封面</w:t>
      </w:r>
    </w:p>
    <w:p w14:paraId="79095A8C">
      <w:pPr>
        <w:pStyle w:val="2"/>
        <w:spacing w:line="253" w:lineRule="auto"/>
      </w:pPr>
    </w:p>
    <w:p w14:paraId="08E8E63B">
      <w:pPr>
        <w:pStyle w:val="2"/>
        <w:spacing w:line="253" w:lineRule="auto"/>
      </w:pPr>
    </w:p>
    <w:p w14:paraId="5FE2C2C1">
      <w:pPr>
        <w:pStyle w:val="2"/>
        <w:spacing w:line="253" w:lineRule="auto"/>
      </w:pPr>
    </w:p>
    <w:p w14:paraId="2365A263">
      <w:pPr>
        <w:pStyle w:val="2"/>
        <w:spacing w:line="254" w:lineRule="auto"/>
      </w:pPr>
    </w:p>
    <w:p w14:paraId="26E9EF53">
      <w:pPr>
        <w:pStyle w:val="2"/>
        <w:spacing w:line="254" w:lineRule="auto"/>
      </w:pPr>
    </w:p>
    <w:p w14:paraId="12219212">
      <w:pPr>
        <w:pStyle w:val="2"/>
        <w:spacing w:line="254" w:lineRule="auto"/>
      </w:pPr>
    </w:p>
    <w:p w14:paraId="6F7206E4">
      <w:pPr>
        <w:pStyle w:val="2"/>
        <w:spacing w:line="254" w:lineRule="auto"/>
      </w:pPr>
    </w:p>
    <w:p w14:paraId="6DBD0E2B">
      <w:pPr>
        <w:pStyle w:val="2"/>
        <w:spacing w:line="254" w:lineRule="auto"/>
      </w:pPr>
    </w:p>
    <w:p w14:paraId="3FBF99F9">
      <w:pPr>
        <w:pStyle w:val="2"/>
        <w:spacing w:line="254" w:lineRule="auto"/>
      </w:pPr>
    </w:p>
    <w:p w14:paraId="33B476C6">
      <w:pPr>
        <w:tabs>
          <w:tab w:val="left" w:pos="2253"/>
        </w:tabs>
        <w:spacing w:before="101" w:line="222" w:lineRule="auto"/>
        <w:ind w:left="977"/>
        <w:rPr>
          <w:rFonts w:ascii="黑体" w:hAnsi="黑体" w:eastAsia="黑体" w:cs="黑体"/>
          <w:sz w:val="31"/>
          <w:szCs w:val="31"/>
        </w:rPr>
      </w:pPr>
      <w:r>
        <w:rPr>
          <w:rFonts w:ascii="黑体" w:hAnsi="黑体" w:eastAsia="黑体" w:cs="黑体"/>
          <w:sz w:val="31"/>
          <w:szCs w:val="31"/>
          <w:u w:val="single" w:color="auto"/>
        </w:rPr>
        <w:tab/>
      </w:r>
      <w:r>
        <w:rPr>
          <w:rFonts w:ascii="黑体" w:hAnsi="黑体" w:eastAsia="黑体" w:cs="黑体"/>
          <w:spacing w:val="11"/>
          <w:sz w:val="31"/>
          <w:szCs w:val="31"/>
        </w:rPr>
        <w:t>（项目名称</w:t>
      </w:r>
      <w:r>
        <w:rPr>
          <w:rFonts w:ascii="黑体" w:hAnsi="黑体" w:eastAsia="黑体" w:cs="黑体"/>
          <w:spacing w:val="-11"/>
          <w:sz w:val="31"/>
          <w:szCs w:val="31"/>
        </w:rPr>
        <w:t>）</w:t>
      </w:r>
      <w:r>
        <w:rPr>
          <w:rFonts w:ascii="黑体" w:hAnsi="黑体" w:eastAsia="黑体" w:cs="黑体"/>
          <w:spacing w:val="-46"/>
          <w:sz w:val="31"/>
          <w:szCs w:val="31"/>
        </w:rPr>
        <w:t xml:space="preserve"> </w:t>
      </w:r>
      <w:r>
        <w:rPr>
          <w:rFonts w:ascii="黑体" w:hAnsi="黑体" w:eastAsia="黑体" w:cs="黑体"/>
          <w:spacing w:val="36"/>
          <w:sz w:val="31"/>
          <w:szCs w:val="31"/>
          <w:u w:val="single" w:color="auto"/>
        </w:rPr>
        <w:t xml:space="preserve">    </w:t>
      </w:r>
      <w:r>
        <w:rPr>
          <w:rFonts w:ascii="黑体" w:hAnsi="黑体" w:eastAsia="黑体" w:cs="黑体"/>
          <w:spacing w:val="-11"/>
          <w:sz w:val="31"/>
          <w:szCs w:val="31"/>
        </w:rPr>
        <w:t>（</w:t>
      </w:r>
      <w:r>
        <w:rPr>
          <w:rFonts w:ascii="黑体" w:hAnsi="黑体" w:eastAsia="黑体" w:cs="黑体"/>
          <w:spacing w:val="11"/>
          <w:sz w:val="31"/>
          <w:szCs w:val="31"/>
        </w:rPr>
        <w:t>标段名称）施工招标</w:t>
      </w:r>
    </w:p>
    <w:p w14:paraId="1737F702">
      <w:pPr>
        <w:pStyle w:val="2"/>
        <w:spacing w:line="257" w:lineRule="auto"/>
      </w:pPr>
    </w:p>
    <w:p w14:paraId="543CF787">
      <w:pPr>
        <w:pStyle w:val="2"/>
        <w:spacing w:line="257" w:lineRule="auto"/>
      </w:pPr>
    </w:p>
    <w:p w14:paraId="654A6481">
      <w:pPr>
        <w:pStyle w:val="2"/>
        <w:spacing w:line="257" w:lineRule="auto"/>
      </w:pPr>
    </w:p>
    <w:p w14:paraId="535E6C32">
      <w:pPr>
        <w:pStyle w:val="2"/>
        <w:spacing w:line="258" w:lineRule="auto"/>
      </w:pPr>
    </w:p>
    <w:p w14:paraId="562DD3A3">
      <w:pPr>
        <w:spacing w:before="140" w:line="221" w:lineRule="auto"/>
        <w:ind w:left="2868"/>
        <w:rPr>
          <w:rFonts w:ascii="黑体" w:hAnsi="黑体" w:eastAsia="黑体" w:cs="黑体"/>
          <w:sz w:val="43"/>
          <w:szCs w:val="43"/>
        </w:rPr>
      </w:pPr>
      <w:bookmarkStart w:id="665" w:name="bookmark612"/>
      <w:bookmarkEnd w:id="665"/>
      <w:r>
        <w:rPr>
          <w:rFonts w:ascii="黑体" w:hAnsi="黑体" w:eastAsia="黑体" w:cs="黑体"/>
          <w:spacing w:val="8"/>
          <w:sz w:val="43"/>
          <w:szCs w:val="43"/>
        </w:rPr>
        <w:t>已标价工程量清单</w:t>
      </w:r>
    </w:p>
    <w:p w14:paraId="313AA97D">
      <w:pPr>
        <w:spacing w:before="115" w:line="221" w:lineRule="auto"/>
        <w:ind w:left="3203"/>
        <w:rPr>
          <w:rFonts w:ascii="黑体" w:hAnsi="黑体" w:eastAsia="黑体" w:cs="黑体"/>
          <w:sz w:val="43"/>
          <w:szCs w:val="43"/>
        </w:rPr>
      </w:pPr>
      <w:bookmarkStart w:id="666" w:name="bookmark613"/>
      <w:bookmarkEnd w:id="666"/>
      <w:r>
        <w:rPr>
          <w:rFonts w:ascii="黑体" w:hAnsi="黑体" w:eastAsia="黑体" w:cs="黑体"/>
          <w:spacing w:val="2"/>
          <w:sz w:val="43"/>
          <w:szCs w:val="43"/>
        </w:rPr>
        <w:t>（投标总价）</w:t>
      </w:r>
    </w:p>
    <w:p w14:paraId="1F86408E">
      <w:pPr>
        <w:pStyle w:val="2"/>
        <w:spacing w:line="248" w:lineRule="auto"/>
      </w:pPr>
    </w:p>
    <w:p w14:paraId="6D79A833">
      <w:pPr>
        <w:pStyle w:val="2"/>
        <w:spacing w:line="248" w:lineRule="auto"/>
      </w:pPr>
    </w:p>
    <w:p w14:paraId="50BC7226">
      <w:pPr>
        <w:pStyle w:val="2"/>
        <w:spacing w:line="248" w:lineRule="auto"/>
      </w:pPr>
    </w:p>
    <w:p w14:paraId="0BCDD1FD">
      <w:pPr>
        <w:pStyle w:val="2"/>
        <w:spacing w:line="249" w:lineRule="auto"/>
      </w:pPr>
    </w:p>
    <w:p w14:paraId="6793E6CD">
      <w:pPr>
        <w:pStyle w:val="2"/>
        <w:spacing w:line="249" w:lineRule="auto"/>
      </w:pPr>
    </w:p>
    <w:p w14:paraId="6C96060F">
      <w:pPr>
        <w:pStyle w:val="2"/>
        <w:spacing w:line="249" w:lineRule="auto"/>
      </w:pPr>
    </w:p>
    <w:p w14:paraId="6C3D70BF">
      <w:pPr>
        <w:pStyle w:val="2"/>
        <w:spacing w:line="249" w:lineRule="auto"/>
      </w:pPr>
    </w:p>
    <w:p w14:paraId="6CD9BAF8">
      <w:pPr>
        <w:pStyle w:val="2"/>
        <w:spacing w:line="249" w:lineRule="auto"/>
      </w:pPr>
    </w:p>
    <w:p w14:paraId="1A3DE046">
      <w:pPr>
        <w:pStyle w:val="2"/>
        <w:spacing w:line="249" w:lineRule="auto"/>
      </w:pPr>
    </w:p>
    <w:p w14:paraId="04EEBF8A">
      <w:pPr>
        <w:pStyle w:val="2"/>
        <w:spacing w:line="249" w:lineRule="auto"/>
      </w:pPr>
    </w:p>
    <w:p w14:paraId="3B40C1A8">
      <w:pPr>
        <w:pStyle w:val="2"/>
        <w:spacing w:line="249" w:lineRule="auto"/>
      </w:pPr>
    </w:p>
    <w:p w14:paraId="344DC565">
      <w:pPr>
        <w:pStyle w:val="2"/>
        <w:spacing w:line="249" w:lineRule="auto"/>
      </w:pPr>
    </w:p>
    <w:p w14:paraId="489FFC8F">
      <w:pPr>
        <w:pStyle w:val="2"/>
        <w:spacing w:line="249" w:lineRule="auto"/>
      </w:pPr>
    </w:p>
    <w:p w14:paraId="63168E71">
      <w:pPr>
        <w:pStyle w:val="2"/>
        <w:spacing w:line="249" w:lineRule="auto"/>
      </w:pPr>
    </w:p>
    <w:p w14:paraId="7A4547DB">
      <w:pPr>
        <w:pStyle w:val="2"/>
        <w:spacing w:line="249" w:lineRule="auto"/>
      </w:pPr>
    </w:p>
    <w:p w14:paraId="5B27D4A2">
      <w:pPr>
        <w:spacing w:before="92" w:line="195" w:lineRule="auto"/>
        <w:ind w:left="2418"/>
        <w:rPr>
          <w:rFonts w:ascii="宋体" w:hAnsi="宋体" w:eastAsia="宋体" w:cs="宋体"/>
          <w:sz w:val="28"/>
          <w:szCs w:val="28"/>
        </w:rPr>
      </w:pPr>
      <w:r>
        <w:rPr>
          <w:rFonts w:ascii="宋体" w:hAnsi="宋体" w:eastAsia="宋体" w:cs="宋体"/>
          <w:spacing w:val="-3"/>
          <w:sz w:val="28"/>
          <w:szCs w:val="28"/>
        </w:rPr>
        <w:t>投 标</w:t>
      </w:r>
      <w:r>
        <w:rPr>
          <w:rFonts w:ascii="宋体" w:hAnsi="宋体" w:eastAsia="宋体" w:cs="宋体"/>
          <w:spacing w:val="11"/>
          <w:sz w:val="28"/>
          <w:szCs w:val="28"/>
        </w:rPr>
        <w:t xml:space="preserve"> </w:t>
      </w:r>
      <w:r>
        <w:rPr>
          <w:rFonts w:ascii="宋体" w:hAnsi="宋体" w:eastAsia="宋体" w:cs="宋体"/>
          <w:spacing w:val="-3"/>
          <w:sz w:val="28"/>
          <w:szCs w:val="28"/>
        </w:rPr>
        <w:t>人：</w:t>
      </w:r>
      <w:r>
        <w:rPr>
          <w:rFonts w:ascii="宋体" w:hAnsi="宋体" w:eastAsia="宋体" w:cs="宋体"/>
          <w:sz w:val="28"/>
          <w:szCs w:val="28"/>
          <w:u w:val="single" w:color="auto"/>
        </w:rPr>
        <w:t xml:space="preserve">                             </w:t>
      </w:r>
    </w:p>
    <w:p w14:paraId="610B045F">
      <w:pPr>
        <w:spacing w:before="21" w:line="222" w:lineRule="auto"/>
        <w:ind w:left="4838"/>
        <w:rPr>
          <w:rFonts w:ascii="宋体" w:hAnsi="宋体" w:eastAsia="宋体" w:cs="宋体"/>
          <w:sz w:val="28"/>
          <w:szCs w:val="28"/>
        </w:rPr>
      </w:pPr>
      <w:r>
        <w:rPr>
          <w:rFonts w:ascii="宋体" w:hAnsi="宋体" w:eastAsia="宋体" w:cs="宋体"/>
          <w:spacing w:val="-5"/>
          <w:sz w:val="28"/>
          <w:szCs w:val="28"/>
        </w:rPr>
        <w:t>(单位盖章)</w:t>
      </w:r>
    </w:p>
    <w:p w14:paraId="62FD711B">
      <w:pPr>
        <w:pStyle w:val="2"/>
        <w:spacing w:line="346" w:lineRule="auto"/>
      </w:pPr>
    </w:p>
    <w:p w14:paraId="6FC43324">
      <w:pPr>
        <w:pStyle w:val="2"/>
        <w:spacing w:line="347" w:lineRule="auto"/>
      </w:pPr>
    </w:p>
    <w:p w14:paraId="66E6ADF8">
      <w:pPr>
        <w:spacing w:before="91" w:line="223" w:lineRule="auto"/>
        <w:ind w:left="2372"/>
        <w:rPr>
          <w:rFonts w:ascii="宋体" w:hAnsi="宋体" w:eastAsia="宋体" w:cs="宋体"/>
          <w:sz w:val="28"/>
          <w:szCs w:val="28"/>
        </w:rPr>
      </w:pPr>
      <w:r>
        <w:rPr>
          <w:rFonts w:ascii="宋体" w:hAnsi="宋体" w:eastAsia="宋体" w:cs="宋体"/>
          <w:spacing w:val="-3"/>
          <w:sz w:val="28"/>
          <w:szCs w:val="28"/>
        </w:rPr>
        <w:t>编制时间：</w:t>
      </w:r>
      <w:r>
        <w:rPr>
          <w:rFonts w:ascii="宋体" w:hAnsi="宋体" w:eastAsia="宋体" w:cs="宋体"/>
          <w:spacing w:val="102"/>
          <w:sz w:val="28"/>
          <w:szCs w:val="28"/>
        </w:rPr>
        <w:t xml:space="preserve"> </w:t>
      </w:r>
      <w:r>
        <w:rPr>
          <w:rFonts w:ascii="宋体" w:hAnsi="宋体" w:eastAsia="宋体" w:cs="宋体"/>
          <w:spacing w:val="6"/>
          <w:sz w:val="28"/>
          <w:szCs w:val="28"/>
          <w:u w:val="single" w:color="auto"/>
        </w:rPr>
        <w:t xml:space="preserve">         </w:t>
      </w:r>
      <w:r>
        <w:rPr>
          <w:rFonts w:ascii="宋体" w:hAnsi="宋体" w:eastAsia="宋体" w:cs="宋体"/>
          <w:spacing w:val="-120"/>
          <w:sz w:val="28"/>
          <w:szCs w:val="28"/>
        </w:rPr>
        <w:t xml:space="preserve"> </w:t>
      </w:r>
      <w:r>
        <w:rPr>
          <w:rFonts w:ascii="宋体" w:hAnsi="宋体" w:eastAsia="宋体" w:cs="宋体"/>
          <w:spacing w:val="-3"/>
          <w:sz w:val="28"/>
          <w:szCs w:val="28"/>
        </w:rPr>
        <w:t>年</w:t>
      </w:r>
      <w:r>
        <w:rPr>
          <w:rFonts w:ascii="宋体" w:hAnsi="宋体" w:eastAsia="宋体" w:cs="宋体"/>
          <w:spacing w:val="-140"/>
          <w:sz w:val="28"/>
          <w:szCs w:val="28"/>
        </w:rPr>
        <w:t xml:space="preserve"> </w:t>
      </w:r>
      <w:r>
        <w:rPr>
          <w:rFonts w:ascii="宋体" w:hAnsi="宋体" w:eastAsia="宋体" w:cs="宋体"/>
          <w:spacing w:val="32"/>
          <w:sz w:val="28"/>
          <w:szCs w:val="28"/>
          <w:u w:val="single" w:color="auto"/>
        </w:rPr>
        <w:t xml:space="preserve">    </w:t>
      </w:r>
      <w:r>
        <w:rPr>
          <w:rFonts w:ascii="宋体" w:hAnsi="宋体" w:eastAsia="宋体" w:cs="宋体"/>
          <w:spacing w:val="-119"/>
          <w:sz w:val="28"/>
          <w:szCs w:val="28"/>
        </w:rPr>
        <w:t xml:space="preserve"> </w:t>
      </w:r>
      <w:r>
        <w:rPr>
          <w:rFonts w:ascii="宋体" w:hAnsi="宋体" w:eastAsia="宋体" w:cs="宋体"/>
          <w:spacing w:val="-3"/>
          <w:sz w:val="28"/>
          <w:szCs w:val="28"/>
        </w:rPr>
        <w:t>月</w:t>
      </w:r>
      <w:r>
        <w:rPr>
          <w:rFonts w:ascii="宋体" w:hAnsi="宋体" w:eastAsia="宋体" w:cs="宋体"/>
          <w:spacing w:val="-140"/>
          <w:sz w:val="28"/>
          <w:szCs w:val="28"/>
        </w:rPr>
        <w:t xml:space="preserve"> </w:t>
      </w:r>
      <w:r>
        <w:rPr>
          <w:rFonts w:ascii="宋体" w:hAnsi="宋体" w:eastAsia="宋体" w:cs="宋体"/>
          <w:spacing w:val="1"/>
          <w:sz w:val="28"/>
          <w:szCs w:val="28"/>
          <w:u w:val="single" w:color="auto"/>
        </w:rPr>
        <w:t xml:space="preserve">     </w:t>
      </w:r>
      <w:r>
        <w:rPr>
          <w:rFonts w:ascii="宋体" w:hAnsi="宋体" w:eastAsia="宋体" w:cs="宋体"/>
          <w:spacing w:val="-79"/>
          <w:sz w:val="28"/>
          <w:szCs w:val="28"/>
        </w:rPr>
        <w:t xml:space="preserve"> </w:t>
      </w:r>
      <w:r>
        <w:rPr>
          <w:rFonts w:ascii="宋体" w:hAnsi="宋体" w:eastAsia="宋体" w:cs="宋体"/>
          <w:spacing w:val="-3"/>
          <w:sz w:val="28"/>
          <w:szCs w:val="28"/>
        </w:rPr>
        <w:t>日</w:t>
      </w:r>
    </w:p>
    <w:p w14:paraId="4F3E9E8D">
      <w:pPr>
        <w:pStyle w:val="2"/>
        <w:spacing w:line="280" w:lineRule="auto"/>
      </w:pPr>
    </w:p>
    <w:p w14:paraId="298871D4">
      <w:pPr>
        <w:pStyle w:val="2"/>
        <w:spacing w:line="280" w:lineRule="auto"/>
      </w:pPr>
    </w:p>
    <w:p w14:paraId="452541AF">
      <w:pPr>
        <w:pStyle w:val="2"/>
        <w:spacing w:line="280" w:lineRule="auto"/>
      </w:pPr>
    </w:p>
    <w:p w14:paraId="35150825">
      <w:pPr>
        <w:pStyle w:val="2"/>
        <w:spacing w:line="280" w:lineRule="auto"/>
      </w:pPr>
    </w:p>
    <w:p w14:paraId="5C2B1786">
      <w:pPr>
        <w:pStyle w:val="2"/>
        <w:spacing w:line="280" w:lineRule="auto"/>
      </w:pPr>
    </w:p>
    <w:p w14:paraId="4D64E0CD">
      <w:pPr>
        <w:spacing w:before="78" w:line="219" w:lineRule="auto"/>
        <w:ind w:left="443"/>
        <w:outlineLvl w:val="2"/>
        <w:rPr>
          <w:rFonts w:ascii="黑体" w:hAnsi="黑体" w:eastAsia="黑体" w:cs="黑体"/>
          <w:sz w:val="24"/>
          <w:szCs w:val="24"/>
        </w:rPr>
      </w:pPr>
      <w:bookmarkStart w:id="667" w:name="bookmark731"/>
      <w:bookmarkEnd w:id="667"/>
      <w:r>
        <w:rPr>
          <w:rFonts w:ascii="黑体" w:hAnsi="黑体" w:eastAsia="黑体" w:cs="黑体"/>
          <w:b/>
          <w:bCs/>
          <w:spacing w:val="4"/>
          <w:sz w:val="24"/>
          <w:szCs w:val="24"/>
        </w:rPr>
        <w:t>投标总价扉页</w:t>
      </w:r>
    </w:p>
    <w:p w14:paraId="701B9973">
      <w:pPr>
        <w:spacing w:line="219" w:lineRule="auto"/>
        <w:rPr>
          <w:rFonts w:ascii="黑体" w:hAnsi="黑体" w:eastAsia="黑体" w:cs="黑体"/>
          <w:sz w:val="24"/>
          <w:szCs w:val="24"/>
        </w:rPr>
        <w:sectPr>
          <w:footerReference r:id="rId343" w:type="default"/>
          <w:pgSz w:w="11910" w:h="16845"/>
          <w:pgMar w:top="400" w:right="1786" w:bottom="1110" w:left="1786" w:header="0" w:footer="883" w:gutter="0"/>
          <w:cols w:space="720" w:num="1"/>
        </w:sectPr>
      </w:pPr>
    </w:p>
    <w:p w14:paraId="57DCDF39">
      <w:pPr>
        <w:pStyle w:val="2"/>
        <w:spacing w:line="257" w:lineRule="auto"/>
      </w:pPr>
    </w:p>
    <w:p w14:paraId="6325F282">
      <w:pPr>
        <w:pStyle w:val="2"/>
        <w:spacing w:line="257" w:lineRule="auto"/>
      </w:pPr>
    </w:p>
    <w:p w14:paraId="2E372E7F">
      <w:pPr>
        <w:pStyle w:val="2"/>
        <w:spacing w:line="257" w:lineRule="auto"/>
      </w:pPr>
    </w:p>
    <w:p w14:paraId="5D7E05F0">
      <w:pPr>
        <w:pStyle w:val="2"/>
        <w:spacing w:line="257" w:lineRule="auto"/>
      </w:pPr>
    </w:p>
    <w:p w14:paraId="499FD80C">
      <w:pPr>
        <w:pStyle w:val="2"/>
        <w:spacing w:line="257" w:lineRule="auto"/>
      </w:pPr>
    </w:p>
    <w:p w14:paraId="63275543">
      <w:pPr>
        <w:pStyle w:val="2"/>
        <w:spacing w:line="257" w:lineRule="auto"/>
      </w:pPr>
    </w:p>
    <w:p w14:paraId="57A3A464">
      <w:pPr>
        <w:pStyle w:val="2"/>
        <w:spacing w:line="258" w:lineRule="auto"/>
      </w:pPr>
    </w:p>
    <w:p w14:paraId="6FC23F6E">
      <w:pPr>
        <w:tabs>
          <w:tab w:val="left" w:pos="2118"/>
        </w:tabs>
        <w:spacing w:before="98" w:line="219" w:lineRule="auto"/>
        <w:ind w:left="917"/>
        <w:rPr>
          <w:rFonts w:ascii="黑体" w:hAnsi="黑体" w:eastAsia="黑体" w:cs="黑体"/>
          <w:sz w:val="30"/>
          <w:szCs w:val="30"/>
        </w:rPr>
      </w:pPr>
      <w:r>
        <w:rPr>
          <w:rFonts w:ascii="黑体" w:hAnsi="黑体" w:eastAsia="黑体" w:cs="黑体"/>
          <w:sz w:val="30"/>
          <w:szCs w:val="30"/>
          <w:u w:val="single" w:color="auto"/>
        </w:rPr>
        <w:tab/>
      </w:r>
      <w:r>
        <w:rPr>
          <w:rFonts w:ascii="黑体" w:hAnsi="黑体" w:eastAsia="黑体" w:cs="黑体"/>
          <w:sz w:val="30"/>
          <w:szCs w:val="30"/>
        </w:rPr>
        <w:t>（项目名称</w:t>
      </w:r>
      <w:r>
        <w:rPr>
          <w:rFonts w:ascii="黑体" w:hAnsi="黑体" w:eastAsia="黑体" w:cs="黑体"/>
          <w:spacing w:val="2"/>
          <w:sz w:val="30"/>
          <w:szCs w:val="30"/>
        </w:rPr>
        <w:t>）</w:t>
      </w:r>
      <w:r>
        <w:rPr>
          <w:rFonts w:ascii="黑体" w:hAnsi="黑体" w:eastAsia="黑体" w:cs="黑体"/>
          <w:sz w:val="30"/>
          <w:szCs w:val="30"/>
          <w:u w:val="single" w:color="auto"/>
        </w:rPr>
        <w:t xml:space="preserve">      </w:t>
      </w:r>
      <w:r>
        <w:rPr>
          <w:rFonts w:ascii="黑体" w:hAnsi="黑体" w:eastAsia="黑体" w:cs="黑体"/>
          <w:spacing w:val="2"/>
          <w:sz w:val="30"/>
          <w:szCs w:val="30"/>
        </w:rPr>
        <w:t>（</w:t>
      </w:r>
      <w:r>
        <w:rPr>
          <w:rFonts w:ascii="黑体" w:hAnsi="黑体" w:eastAsia="黑体" w:cs="黑体"/>
          <w:sz w:val="30"/>
          <w:szCs w:val="30"/>
        </w:rPr>
        <w:t>标段名称）施工招标</w:t>
      </w:r>
    </w:p>
    <w:p w14:paraId="5654ED57">
      <w:pPr>
        <w:pStyle w:val="2"/>
        <w:spacing w:line="294" w:lineRule="auto"/>
      </w:pPr>
    </w:p>
    <w:p w14:paraId="1673F4EC">
      <w:pPr>
        <w:spacing w:before="100" w:line="222" w:lineRule="auto"/>
        <w:ind w:left="3825"/>
        <w:rPr>
          <w:rFonts w:ascii="黑体" w:hAnsi="黑体" w:eastAsia="黑体" w:cs="黑体"/>
          <w:sz w:val="31"/>
          <w:szCs w:val="31"/>
        </w:rPr>
      </w:pPr>
      <w:r>
        <w:rPr>
          <w:rFonts w:ascii="黑体" w:hAnsi="黑体" w:eastAsia="黑体" w:cs="黑体"/>
          <w:spacing w:val="36"/>
          <w:sz w:val="31"/>
          <w:szCs w:val="31"/>
        </w:rPr>
        <w:t>投标总价</w:t>
      </w:r>
    </w:p>
    <w:p w14:paraId="0945F6A7">
      <w:pPr>
        <w:pStyle w:val="2"/>
        <w:spacing w:line="281" w:lineRule="auto"/>
      </w:pPr>
    </w:p>
    <w:p w14:paraId="609D2AA2">
      <w:pPr>
        <w:pStyle w:val="2"/>
        <w:spacing w:line="282" w:lineRule="auto"/>
      </w:pPr>
    </w:p>
    <w:p w14:paraId="74526CC3">
      <w:pPr>
        <w:pStyle w:val="2"/>
        <w:spacing w:line="282" w:lineRule="auto"/>
      </w:pPr>
    </w:p>
    <w:p w14:paraId="630D37EA">
      <w:pPr>
        <w:spacing w:before="68" w:line="220" w:lineRule="auto"/>
        <w:ind w:left="445"/>
        <w:rPr>
          <w:rFonts w:ascii="宋体" w:hAnsi="宋体" w:eastAsia="宋体" w:cs="宋体"/>
          <w:sz w:val="21"/>
          <w:szCs w:val="21"/>
        </w:rPr>
      </w:pPr>
      <w:r>
        <w:rPr>
          <w:rFonts w:ascii="宋体" w:hAnsi="宋体" w:eastAsia="宋体" w:cs="宋体"/>
          <w:spacing w:val="-7"/>
          <w:sz w:val="21"/>
          <w:szCs w:val="21"/>
        </w:rPr>
        <w:t>招</w:t>
      </w:r>
      <w:r>
        <w:rPr>
          <w:rFonts w:ascii="宋体" w:hAnsi="宋体" w:eastAsia="宋体" w:cs="宋体"/>
          <w:spacing w:val="9"/>
          <w:sz w:val="21"/>
          <w:szCs w:val="21"/>
        </w:rPr>
        <w:t xml:space="preserve"> </w:t>
      </w:r>
      <w:r>
        <w:rPr>
          <w:rFonts w:ascii="宋体" w:hAnsi="宋体" w:eastAsia="宋体" w:cs="宋体"/>
          <w:spacing w:val="-7"/>
          <w:sz w:val="21"/>
          <w:szCs w:val="21"/>
        </w:rPr>
        <w:t>标</w:t>
      </w:r>
      <w:r>
        <w:rPr>
          <w:rFonts w:ascii="宋体" w:hAnsi="宋体" w:eastAsia="宋体" w:cs="宋体"/>
          <w:spacing w:val="10"/>
          <w:sz w:val="21"/>
          <w:szCs w:val="21"/>
        </w:rPr>
        <w:t xml:space="preserve"> </w:t>
      </w:r>
      <w:r>
        <w:rPr>
          <w:rFonts w:ascii="宋体" w:hAnsi="宋体" w:eastAsia="宋体" w:cs="宋体"/>
          <w:spacing w:val="-7"/>
          <w:sz w:val="21"/>
          <w:szCs w:val="21"/>
        </w:rPr>
        <w:t>人：</w:t>
      </w:r>
      <w:r>
        <w:rPr>
          <w:rFonts w:ascii="宋体" w:hAnsi="宋体" w:eastAsia="宋体" w:cs="宋体"/>
          <w:sz w:val="21"/>
          <w:szCs w:val="21"/>
          <w:u w:val="single" w:color="auto"/>
        </w:rPr>
        <w:t xml:space="preserve">                                                                </w:t>
      </w:r>
    </w:p>
    <w:p w14:paraId="62B0C48A">
      <w:pPr>
        <w:pStyle w:val="2"/>
        <w:spacing w:line="280" w:lineRule="auto"/>
      </w:pPr>
    </w:p>
    <w:p w14:paraId="42ADD2B4">
      <w:pPr>
        <w:spacing w:before="68" w:line="220" w:lineRule="auto"/>
        <w:ind w:left="447"/>
        <w:rPr>
          <w:rFonts w:ascii="宋体" w:hAnsi="宋体" w:eastAsia="宋体" w:cs="宋体"/>
          <w:sz w:val="21"/>
          <w:szCs w:val="21"/>
        </w:rPr>
      </w:pPr>
      <w:r>
        <w:rPr>
          <w:rFonts w:ascii="宋体" w:hAnsi="宋体" w:eastAsia="宋体" w:cs="宋体"/>
          <w:spacing w:val="-1"/>
          <w:sz w:val="21"/>
          <w:szCs w:val="21"/>
        </w:rPr>
        <w:t>工程名称：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1595C94">
      <w:pPr>
        <w:pStyle w:val="2"/>
        <w:spacing w:line="280" w:lineRule="auto"/>
      </w:pPr>
    </w:p>
    <w:p w14:paraId="0CF0CC3F">
      <w:pPr>
        <w:spacing w:before="68" w:line="218" w:lineRule="auto"/>
        <w:ind w:left="447"/>
        <w:rPr>
          <w:rFonts w:ascii="宋体" w:hAnsi="宋体" w:eastAsia="宋体" w:cs="宋体"/>
          <w:sz w:val="21"/>
          <w:szCs w:val="21"/>
        </w:rPr>
      </w:pPr>
      <w:r>
        <w:rPr>
          <w:rFonts w:ascii="宋体" w:hAnsi="宋体" w:eastAsia="宋体" w:cs="宋体"/>
          <w:spacing w:val="-9"/>
          <w:sz w:val="21"/>
          <w:szCs w:val="21"/>
        </w:rPr>
        <w:t>投标总价</w:t>
      </w:r>
      <w:r>
        <w:rPr>
          <w:rFonts w:ascii="宋体" w:hAnsi="宋体" w:eastAsia="宋体" w:cs="宋体"/>
          <w:spacing w:val="-61"/>
          <w:sz w:val="21"/>
          <w:szCs w:val="21"/>
        </w:rPr>
        <w:t xml:space="preserve"> </w:t>
      </w:r>
      <w:r>
        <w:rPr>
          <w:rFonts w:ascii="宋体" w:hAnsi="宋体" w:eastAsia="宋体" w:cs="宋体"/>
          <w:spacing w:val="-9"/>
          <w:sz w:val="21"/>
          <w:szCs w:val="21"/>
        </w:rPr>
        <w:t>(小写)</w:t>
      </w:r>
      <w:r>
        <w:rPr>
          <w:rFonts w:ascii="宋体" w:hAnsi="宋体" w:eastAsia="宋体" w:cs="宋体"/>
          <w:spacing w:val="26"/>
          <w:sz w:val="21"/>
          <w:szCs w:val="21"/>
        </w:rPr>
        <w:t xml:space="preserve"> </w:t>
      </w:r>
      <w:r>
        <w:rPr>
          <w:rFonts w:ascii="宋体" w:hAnsi="宋体" w:eastAsia="宋体" w:cs="宋体"/>
          <w:spacing w:val="-9"/>
          <w:sz w:val="21"/>
          <w:szCs w:val="21"/>
        </w:rPr>
        <w:t>：</w:t>
      </w:r>
      <w:r>
        <w:rPr>
          <w:rFonts w:ascii="宋体" w:hAnsi="宋体" w:eastAsia="宋体" w:cs="宋体"/>
          <w:sz w:val="21"/>
          <w:szCs w:val="21"/>
          <w:u w:val="single" w:color="auto"/>
        </w:rPr>
        <w:t xml:space="preserve">                                                   </w:t>
      </w:r>
      <w:r>
        <w:rPr>
          <w:rFonts w:ascii="宋体" w:hAnsi="宋体" w:eastAsia="宋体" w:cs="宋体"/>
          <w:spacing w:val="-9"/>
          <w:sz w:val="21"/>
          <w:szCs w:val="21"/>
          <w:u w:val="single" w:color="auto"/>
        </w:rPr>
        <w:t>元</w:t>
      </w:r>
      <w:r>
        <w:rPr>
          <w:rFonts w:ascii="宋体" w:hAnsi="宋体" w:eastAsia="宋体" w:cs="宋体"/>
          <w:spacing w:val="4"/>
          <w:sz w:val="21"/>
          <w:szCs w:val="21"/>
          <w:u w:val="single" w:color="auto"/>
        </w:rPr>
        <w:t xml:space="preserve">    </w:t>
      </w:r>
    </w:p>
    <w:p w14:paraId="639D641B">
      <w:pPr>
        <w:pStyle w:val="2"/>
        <w:spacing w:line="282" w:lineRule="auto"/>
      </w:pPr>
    </w:p>
    <w:p w14:paraId="717ABD42">
      <w:pPr>
        <w:spacing w:before="70" w:line="220" w:lineRule="auto"/>
        <w:ind w:left="1322"/>
        <w:rPr>
          <w:rFonts w:ascii="宋体" w:hAnsi="宋体" w:eastAsia="宋体" w:cs="宋体"/>
          <w:sz w:val="21"/>
          <w:szCs w:val="21"/>
        </w:rPr>
      </w:pPr>
      <w:r>
        <w:rPr>
          <w:rFonts w:ascii="宋体" w:hAnsi="宋体" w:eastAsia="宋体" w:cs="宋体"/>
          <w:spacing w:val="-14"/>
          <w:sz w:val="21"/>
          <w:szCs w:val="21"/>
        </w:rPr>
        <w:t>(大写)</w:t>
      </w:r>
      <w:r>
        <w:rPr>
          <w:rFonts w:ascii="宋体" w:hAnsi="宋体" w:eastAsia="宋体" w:cs="宋体"/>
          <w:spacing w:val="28"/>
          <w:sz w:val="21"/>
          <w:szCs w:val="21"/>
        </w:rPr>
        <w:t xml:space="preserve"> </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u w:val="single" w:color="auto"/>
        </w:rPr>
        <w:t>元</w:t>
      </w:r>
      <w:r>
        <w:rPr>
          <w:rFonts w:ascii="宋体" w:hAnsi="宋体" w:eastAsia="宋体" w:cs="宋体"/>
          <w:spacing w:val="4"/>
          <w:sz w:val="21"/>
          <w:szCs w:val="21"/>
          <w:u w:val="single" w:color="auto"/>
        </w:rPr>
        <w:t xml:space="preserve">    </w:t>
      </w:r>
    </w:p>
    <w:p w14:paraId="12293A76">
      <w:pPr>
        <w:pStyle w:val="2"/>
        <w:spacing w:line="326" w:lineRule="auto"/>
      </w:pPr>
    </w:p>
    <w:p w14:paraId="7405DEAF">
      <w:pPr>
        <w:pStyle w:val="2"/>
        <w:spacing w:line="327" w:lineRule="auto"/>
      </w:pPr>
    </w:p>
    <w:p w14:paraId="3E16A46E">
      <w:pPr>
        <w:spacing w:before="68" w:line="220" w:lineRule="auto"/>
        <w:ind w:left="447"/>
        <w:rPr>
          <w:rFonts w:ascii="宋体" w:hAnsi="宋体" w:eastAsia="宋体" w:cs="宋体"/>
          <w:sz w:val="21"/>
          <w:szCs w:val="21"/>
        </w:rPr>
      </w:pPr>
      <w:r>
        <w:rPr>
          <w:rFonts w:ascii="宋体" w:hAnsi="宋体" w:eastAsia="宋体" w:cs="宋体"/>
          <w:spacing w:val="-8"/>
          <w:sz w:val="21"/>
          <w:szCs w:val="21"/>
        </w:rPr>
        <w:t>投</w:t>
      </w:r>
      <w:r>
        <w:rPr>
          <w:rFonts w:ascii="宋体" w:hAnsi="宋体" w:eastAsia="宋体" w:cs="宋体"/>
          <w:spacing w:val="11"/>
          <w:sz w:val="21"/>
          <w:szCs w:val="21"/>
        </w:rPr>
        <w:t xml:space="preserve"> </w:t>
      </w:r>
      <w:r>
        <w:rPr>
          <w:rFonts w:ascii="宋体" w:hAnsi="宋体" w:eastAsia="宋体" w:cs="宋体"/>
          <w:spacing w:val="-8"/>
          <w:sz w:val="21"/>
          <w:szCs w:val="21"/>
        </w:rPr>
        <w:t>标</w:t>
      </w:r>
      <w:r>
        <w:rPr>
          <w:rFonts w:ascii="宋体" w:hAnsi="宋体" w:eastAsia="宋体" w:cs="宋体"/>
          <w:spacing w:val="10"/>
          <w:sz w:val="21"/>
          <w:szCs w:val="21"/>
        </w:rPr>
        <w:t xml:space="preserve"> </w:t>
      </w:r>
      <w:r>
        <w:rPr>
          <w:rFonts w:ascii="宋体" w:hAnsi="宋体" w:eastAsia="宋体" w:cs="宋体"/>
          <w:spacing w:val="-8"/>
          <w:sz w:val="21"/>
          <w:szCs w:val="21"/>
        </w:rPr>
        <w:t>人：</w:t>
      </w:r>
      <w:r>
        <w:rPr>
          <w:rFonts w:ascii="宋体" w:hAnsi="宋体" w:eastAsia="宋体" w:cs="宋体"/>
          <w:sz w:val="21"/>
          <w:szCs w:val="21"/>
          <w:u w:val="single" w:color="auto"/>
        </w:rPr>
        <w:t xml:space="preserve">                                                                </w:t>
      </w:r>
    </w:p>
    <w:p w14:paraId="304A7DB0">
      <w:pPr>
        <w:spacing w:before="65" w:line="219" w:lineRule="auto"/>
        <w:ind w:left="4266"/>
        <w:rPr>
          <w:rFonts w:ascii="宋体" w:hAnsi="宋体" w:eastAsia="宋体" w:cs="宋体"/>
          <w:sz w:val="21"/>
          <w:szCs w:val="21"/>
        </w:rPr>
      </w:pPr>
      <w:r>
        <w:rPr>
          <w:rFonts w:ascii="宋体" w:hAnsi="宋体" w:eastAsia="宋体" w:cs="宋体"/>
          <w:spacing w:val="-8"/>
          <w:sz w:val="21"/>
          <w:szCs w:val="21"/>
        </w:rPr>
        <w:t>(单位盖章)</w:t>
      </w:r>
    </w:p>
    <w:p w14:paraId="477769E4">
      <w:pPr>
        <w:pStyle w:val="2"/>
        <w:spacing w:line="430" w:lineRule="auto"/>
      </w:pPr>
    </w:p>
    <w:p w14:paraId="500DC3C5">
      <w:pPr>
        <w:spacing w:before="68" w:line="220" w:lineRule="auto"/>
        <w:ind w:left="445"/>
        <w:rPr>
          <w:rFonts w:ascii="宋体" w:hAnsi="宋体" w:eastAsia="宋体" w:cs="宋体"/>
          <w:sz w:val="21"/>
          <w:szCs w:val="21"/>
        </w:rPr>
      </w:pPr>
      <w:r>
        <w:rPr>
          <w:rFonts w:ascii="宋体" w:hAnsi="宋体" w:eastAsia="宋体" w:cs="宋体"/>
          <w:spacing w:val="-2"/>
          <w:sz w:val="21"/>
          <w:szCs w:val="21"/>
        </w:rPr>
        <w:t>法定代表人</w:t>
      </w:r>
    </w:p>
    <w:p w14:paraId="563887AD">
      <w:pPr>
        <w:spacing w:before="171" w:line="220" w:lineRule="auto"/>
        <w:ind w:left="447"/>
        <w:rPr>
          <w:rFonts w:ascii="宋体" w:hAnsi="宋体" w:eastAsia="宋体" w:cs="宋体"/>
          <w:sz w:val="21"/>
          <w:szCs w:val="21"/>
        </w:rPr>
      </w:pPr>
      <w:r>
        <w:rPr>
          <w:rFonts w:ascii="宋体" w:hAnsi="宋体" w:eastAsia="宋体" w:cs="宋体"/>
          <w:spacing w:val="-1"/>
          <w:sz w:val="21"/>
          <w:szCs w:val="21"/>
        </w:rPr>
        <w:t>或其授权人：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070F913">
      <w:pPr>
        <w:spacing w:before="64" w:line="220" w:lineRule="auto"/>
        <w:ind w:left="4476"/>
        <w:rPr>
          <w:rFonts w:ascii="宋体" w:hAnsi="宋体" w:eastAsia="宋体" w:cs="宋体"/>
          <w:sz w:val="21"/>
          <w:szCs w:val="21"/>
        </w:rPr>
      </w:pPr>
      <w:r>
        <w:rPr>
          <w:rFonts w:ascii="宋体" w:hAnsi="宋体" w:eastAsia="宋体" w:cs="宋体"/>
          <w:spacing w:val="-12"/>
          <w:sz w:val="21"/>
          <w:szCs w:val="21"/>
        </w:rPr>
        <w:t>(签字)</w:t>
      </w:r>
    </w:p>
    <w:p w14:paraId="4E24C280">
      <w:pPr>
        <w:pStyle w:val="2"/>
        <w:spacing w:line="319" w:lineRule="auto"/>
      </w:pPr>
    </w:p>
    <w:p w14:paraId="7D506ABE">
      <w:pPr>
        <w:pStyle w:val="2"/>
        <w:spacing w:line="319" w:lineRule="auto"/>
      </w:pPr>
    </w:p>
    <w:p w14:paraId="2586039D">
      <w:pPr>
        <w:spacing w:before="69" w:line="220" w:lineRule="auto"/>
        <w:ind w:left="446"/>
        <w:rPr>
          <w:rFonts w:ascii="宋体" w:hAnsi="宋体" w:eastAsia="宋体" w:cs="宋体"/>
          <w:sz w:val="21"/>
          <w:szCs w:val="21"/>
        </w:rPr>
      </w:pPr>
      <w:r>
        <w:rPr>
          <w:rFonts w:ascii="宋体" w:hAnsi="宋体" w:eastAsia="宋体" w:cs="宋体"/>
          <w:spacing w:val="-1"/>
          <w:sz w:val="21"/>
          <w:szCs w:val="21"/>
        </w:rPr>
        <w:t>编制人：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706838E">
      <w:pPr>
        <w:spacing w:before="81" w:line="218" w:lineRule="auto"/>
        <w:ind w:left="3635"/>
        <w:rPr>
          <w:rFonts w:ascii="宋体" w:hAnsi="宋体" w:eastAsia="宋体" w:cs="宋体"/>
          <w:sz w:val="21"/>
          <w:szCs w:val="21"/>
        </w:rPr>
      </w:pPr>
      <w:r>
        <w:rPr>
          <w:rFonts w:ascii="宋体" w:hAnsi="宋体" w:eastAsia="宋体" w:cs="宋体"/>
          <w:spacing w:val="-4"/>
          <w:sz w:val="21"/>
          <w:szCs w:val="21"/>
        </w:rPr>
        <w:t>(造价人员签字盖专用章)</w:t>
      </w:r>
    </w:p>
    <w:p w14:paraId="52DB2394">
      <w:pPr>
        <w:pStyle w:val="2"/>
        <w:spacing w:line="268" w:lineRule="auto"/>
      </w:pPr>
    </w:p>
    <w:p w14:paraId="4B52F823">
      <w:pPr>
        <w:pStyle w:val="2"/>
        <w:spacing w:line="268" w:lineRule="auto"/>
      </w:pPr>
    </w:p>
    <w:p w14:paraId="5C17FA11">
      <w:pPr>
        <w:pStyle w:val="2"/>
        <w:spacing w:line="268" w:lineRule="auto"/>
      </w:pPr>
    </w:p>
    <w:p w14:paraId="436206B6">
      <w:pPr>
        <w:spacing w:before="69" w:line="220" w:lineRule="auto"/>
        <w:ind w:left="446"/>
        <w:rPr>
          <w:rFonts w:ascii="宋体" w:hAnsi="宋体" w:eastAsia="宋体" w:cs="宋体"/>
          <w:sz w:val="21"/>
          <w:szCs w:val="21"/>
        </w:rPr>
      </w:pPr>
      <w:r>
        <w:rPr>
          <w:rFonts w:ascii="宋体" w:hAnsi="宋体" w:eastAsia="宋体" w:cs="宋体"/>
          <w:spacing w:val="-4"/>
          <w:sz w:val="21"/>
          <w:szCs w:val="21"/>
        </w:rPr>
        <w:t>编制时间：</w:t>
      </w:r>
      <w:r>
        <w:rPr>
          <w:rFonts w:ascii="宋体" w:hAnsi="宋体" w:eastAsia="宋体" w:cs="宋体"/>
          <w:sz w:val="21"/>
          <w:szCs w:val="21"/>
        </w:rPr>
        <w:t xml:space="preserve">                        </w:t>
      </w:r>
      <w:r>
        <w:rPr>
          <w:rFonts w:ascii="宋体" w:hAnsi="宋体" w:eastAsia="宋体" w:cs="宋体"/>
          <w:spacing w:val="-4"/>
          <w:sz w:val="21"/>
          <w:szCs w:val="21"/>
        </w:rPr>
        <w:t>年</w:t>
      </w:r>
      <w:r>
        <w:rPr>
          <w:rFonts w:ascii="宋体" w:hAnsi="宋体" w:eastAsia="宋体" w:cs="宋体"/>
          <w:spacing w:val="4"/>
          <w:sz w:val="21"/>
          <w:szCs w:val="21"/>
        </w:rPr>
        <w:t xml:space="preserve">      </w:t>
      </w:r>
      <w:r>
        <w:rPr>
          <w:rFonts w:ascii="宋体" w:hAnsi="宋体" w:eastAsia="宋体" w:cs="宋体"/>
          <w:spacing w:val="-4"/>
          <w:sz w:val="21"/>
          <w:szCs w:val="21"/>
        </w:rPr>
        <w:t>月</w:t>
      </w:r>
      <w:r>
        <w:rPr>
          <w:rFonts w:ascii="宋体" w:hAnsi="宋体" w:eastAsia="宋体" w:cs="宋体"/>
          <w:spacing w:val="7"/>
          <w:sz w:val="21"/>
          <w:szCs w:val="21"/>
        </w:rPr>
        <w:t xml:space="preserve">      </w:t>
      </w:r>
      <w:r>
        <w:rPr>
          <w:rFonts w:ascii="宋体" w:hAnsi="宋体" w:eastAsia="宋体" w:cs="宋体"/>
          <w:spacing w:val="-4"/>
          <w:sz w:val="21"/>
          <w:szCs w:val="21"/>
        </w:rPr>
        <w:t>日</w:t>
      </w:r>
    </w:p>
    <w:p w14:paraId="3AA7BBA5">
      <w:pPr>
        <w:pStyle w:val="2"/>
        <w:spacing w:line="272" w:lineRule="auto"/>
      </w:pPr>
    </w:p>
    <w:p w14:paraId="0F94487D">
      <w:pPr>
        <w:pStyle w:val="2"/>
        <w:spacing w:line="273" w:lineRule="auto"/>
      </w:pPr>
    </w:p>
    <w:p w14:paraId="5C62C237">
      <w:pPr>
        <w:pStyle w:val="2"/>
        <w:spacing w:line="273" w:lineRule="auto"/>
      </w:pPr>
    </w:p>
    <w:p w14:paraId="537C503C">
      <w:pPr>
        <w:spacing w:before="68" w:line="218" w:lineRule="auto"/>
        <w:ind w:left="447"/>
        <w:rPr>
          <w:rFonts w:ascii="宋体" w:hAnsi="宋体" w:eastAsia="宋体" w:cs="宋体"/>
          <w:sz w:val="21"/>
          <w:szCs w:val="21"/>
        </w:rPr>
      </w:pPr>
      <w:r>
        <w:rPr>
          <w:rFonts w:ascii="宋体" w:hAnsi="宋体" w:eastAsia="宋体" w:cs="宋体"/>
          <w:spacing w:val="-2"/>
          <w:sz w:val="21"/>
          <w:szCs w:val="21"/>
        </w:rPr>
        <w:t>备注：l. 投标总价可按四舍五入精确到元。</w:t>
      </w:r>
    </w:p>
    <w:p w14:paraId="2E8AAE78">
      <w:pPr>
        <w:spacing w:before="126" w:line="332" w:lineRule="auto"/>
        <w:ind w:left="1391" w:hanging="314"/>
        <w:rPr>
          <w:rFonts w:ascii="宋体" w:hAnsi="宋体" w:eastAsia="宋体" w:cs="宋体"/>
          <w:sz w:val="21"/>
          <w:szCs w:val="21"/>
        </w:rPr>
      </w:pPr>
      <w:r>
        <w:rPr>
          <w:rFonts w:ascii="宋体" w:hAnsi="宋体" w:eastAsia="宋体" w:cs="宋体"/>
          <w:spacing w:val="-4"/>
          <w:sz w:val="21"/>
          <w:szCs w:val="21"/>
        </w:rPr>
        <w:t>2.</w:t>
      </w:r>
      <w:r>
        <w:rPr>
          <w:rFonts w:ascii="宋体" w:hAnsi="宋体" w:eastAsia="宋体" w:cs="宋体"/>
          <w:spacing w:val="24"/>
          <w:sz w:val="21"/>
          <w:szCs w:val="21"/>
        </w:rPr>
        <w:t xml:space="preserve"> </w:t>
      </w:r>
      <w:r>
        <w:rPr>
          <w:rFonts w:ascii="宋体" w:hAnsi="宋体" w:eastAsia="宋体" w:cs="宋体"/>
          <w:spacing w:val="-4"/>
          <w:sz w:val="21"/>
          <w:szCs w:val="21"/>
        </w:rPr>
        <w:t>因“电子交易平台”未要求造价人员办理</w:t>
      </w:r>
      <w:r>
        <w:rPr>
          <w:rFonts w:ascii="宋体" w:hAnsi="宋体" w:eastAsia="宋体" w:cs="宋体"/>
          <w:spacing w:val="-42"/>
          <w:sz w:val="21"/>
          <w:szCs w:val="21"/>
        </w:rPr>
        <w:t xml:space="preserve"> </w:t>
      </w:r>
      <w:r>
        <w:rPr>
          <w:rFonts w:ascii="宋体" w:hAnsi="宋体" w:eastAsia="宋体" w:cs="宋体"/>
          <w:spacing w:val="-4"/>
          <w:sz w:val="21"/>
          <w:szCs w:val="21"/>
        </w:rPr>
        <w:t>CA</w:t>
      </w:r>
      <w:r>
        <w:rPr>
          <w:rFonts w:ascii="宋体" w:hAnsi="宋体" w:eastAsia="宋体" w:cs="宋体"/>
          <w:spacing w:val="-34"/>
          <w:sz w:val="21"/>
          <w:szCs w:val="21"/>
        </w:rPr>
        <w:t xml:space="preserve"> </w:t>
      </w:r>
      <w:r>
        <w:rPr>
          <w:rFonts w:ascii="宋体" w:hAnsi="宋体" w:eastAsia="宋体" w:cs="宋体"/>
          <w:spacing w:val="-4"/>
          <w:sz w:val="21"/>
          <w:szCs w:val="21"/>
        </w:rPr>
        <w:t>数字证书，“造价人员签字盖专</w:t>
      </w:r>
      <w:r>
        <w:rPr>
          <w:rFonts w:ascii="宋体" w:hAnsi="宋体" w:eastAsia="宋体" w:cs="宋体"/>
          <w:spacing w:val="-3"/>
          <w:sz w:val="21"/>
          <w:szCs w:val="21"/>
        </w:rPr>
        <w:t>用章”处暂无需签字和盖专用章。</w:t>
      </w:r>
    </w:p>
    <w:p w14:paraId="66252E1C">
      <w:pPr>
        <w:spacing w:before="12" w:line="332" w:lineRule="auto"/>
        <w:ind w:left="1393" w:right="9" w:hanging="314"/>
        <w:rPr>
          <w:rFonts w:ascii="宋体" w:hAnsi="宋体" w:eastAsia="宋体" w:cs="宋体"/>
          <w:sz w:val="21"/>
          <w:szCs w:val="21"/>
        </w:rPr>
      </w:pPr>
      <w:r>
        <w:rPr>
          <w:rFonts w:ascii="宋体" w:hAnsi="宋体" w:eastAsia="宋体" w:cs="宋体"/>
          <w:spacing w:val="-1"/>
          <w:sz w:val="21"/>
          <w:szCs w:val="21"/>
        </w:rPr>
        <w:t>3.</w:t>
      </w:r>
      <w:r>
        <w:rPr>
          <w:rFonts w:ascii="宋体" w:hAnsi="宋体" w:eastAsia="宋体" w:cs="宋体"/>
          <w:spacing w:val="38"/>
          <w:sz w:val="21"/>
          <w:szCs w:val="21"/>
        </w:rPr>
        <w:t xml:space="preserve"> </w:t>
      </w:r>
      <w:r>
        <w:rPr>
          <w:rFonts w:ascii="宋体" w:hAnsi="宋体" w:eastAsia="宋体" w:cs="宋体"/>
          <w:spacing w:val="-1"/>
          <w:sz w:val="21"/>
          <w:szCs w:val="21"/>
        </w:rPr>
        <w:t>已标价工程量清单的内容和制作按第五章“工程量清单”和第二章“投标人</w:t>
      </w:r>
      <w:r>
        <w:rPr>
          <w:rFonts w:ascii="宋体" w:hAnsi="宋体" w:eastAsia="宋体" w:cs="宋体"/>
          <w:spacing w:val="-3"/>
          <w:sz w:val="21"/>
          <w:szCs w:val="21"/>
        </w:rPr>
        <w:t>须知” 第</w:t>
      </w:r>
      <w:r>
        <w:rPr>
          <w:rFonts w:ascii="宋体" w:hAnsi="宋体" w:eastAsia="宋体" w:cs="宋体"/>
          <w:spacing w:val="-30"/>
          <w:sz w:val="21"/>
          <w:szCs w:val="21"/>
        </w:rPr>
        <w:t xml:space="preserve"> </w:t>
      </w:r>
      <w:r>
        <w:rPr>
          <w:rFonts w:ascii="宋体" w:hAnsi="宋体" w:eastAsia="宋体" w:cs="宋体"/>
          <w:spacing w:val="-3"/>
          <w:sz w:val="21"/>
          <w:szCs w:val="21"/>
        </w:rPr>
        <w:t>3.7.3</w:t>
      </w:r>
      <w:r>
        <w:rPr>
          <w:rFonts w:ascii="宋体" w:hAnsi="宋体" w:eastAsia="宋体" w:cs="宋体"/>
          <w:spacing w:val="-33"/>
          <w:sz w:val="21"/>
          <w:szCs w:val="21"/>
        </w:rPr>
        <w:t xml:space="preserve"> </w:t>
      </w:r>
      <w:r>
        <w:rPr>
          <w:rFonts w:ascii="宋体" w:hAnsi="宋体" w:eastAsia="宋体" w:cs="宋体"/>
          <w:spacing w:val="-3"/>
          <w:sz w:val="21"/>
          <w:szCs w:val="21"/>
        </w:rPr>
        <w:t>项的要求填报和制作。</w:t>
      </w:r>
    </w:p>
    <w:p w14:paraId="2CFB0ADB">
      <w:pPr>
        <w:spacing w:line="332" w:lineRule="auto"/>
        <w:rPr>
          <w:rFonts w:ascii="宋体" w:hAnsi="宋体" w:eastAsia="宋体" w:cs="宋体"/>
          <w:sz w:val="21"/>
          <w:szCs w:val="21"/>
        </w:rPr>
        <w:sectPr>
          <w:footerReference r:id="rId344" w:type="default"/>
          <w:pgSz w:w="11910" w:h="16845"/>
          <w:pgMar w:top="400" w:right="1785" w:bottom="1110" w:left="1786" w:header="0" w:footer="883" w:gutter="0"/>
          <w:cols w:space="720" w:num="1"/>
        </w:sectPr>
      </w:pPr>
    </w:p>
    <w:p w14:paraId="5D1839F7">
      <w:pPr>
        <w:pStyle w:val="2"/>
        <w:spacing w:line="286" w:lineRule="auto"/>
      </w:pPr>
    </w:p>
    <w:p w14:paraId="52F87667">
      <w:pPr>
        <w:pStyle w:val="2"/>
        <w:spacing w:line="286" w:lineRule="auto"/>
      </w:pPr>
    </w:p>
    <w:p w14:paraId="5C927AF1">
      <w:pPr>
        <w:pStyle w:val="2"/>
        <w:spacing w:line="286" w:lineRule="auto"/>
      </w:pPr>
    </w:p>
    <w:p w14:paraId="72202A6F">
      <w:pPr>
        <w:pStyle w:val="2"/>
        <w:spacing w:line="287" w:lineRule="auto"/>
      </w:pPr>
    </w:p>
    <w:p w14:paraId="7866DC79">
      <w:pPr>
        <w:pStyle w:val="2"/>
        <w:spacing w:line="287" w:lineRule="auto"/>
      </w:pPr>
    </w:p>
    <w:p w14:paraId="724183E8">
      <w:pPr>
        <w:spacing w:before="91" w:line="222" w:lineRule="auto"/>
        <w:ind w:left="3049"/>
        <w:outlineLvl w:val="1"/>
        <w:rPr>
          <w:rFonts w:ascii="黑体" w:hAnsi="黑体" w:eastAsia="黑体" w:cs="黑体"/>
          <w:sz w:val="28"/>
          <w:szCs w:val="28"/>
        </w:rPr>
      </w:pPr>
      <w:bookmarkStart w:id="668" w:name="bookmark614"/>
      <w:bookmarkEnd w:id="668"/>
      <w:r>
        <w:rPr>
          <w:rFonts w:ascii="黑体" w:hAnsi="黑体" w:eastAsia="黑体" w:cs="黑体"/>
          <w:spacing w:val="5"/>
          <w:sz w:val="28"/>
          <w:szCs w:val="28"/>
        </w:rPr>
        <w:t>十、施工组织设计</w:t>
      </w:r>
    </w:p>
    <w:p w14:paraId="09FFA47C">
      <w:pPr>
        <w:pStyle w:val="2"/>
        <w:spacing w:line="247" w:lineRule="auto"/>
      </w:pPr>
    </w:p>
    <w:p w14:paraId="7F0C0E6D">
      <w:pPr>
        <w:pStyle w:val="2"/>
        <w:spacing w:line="248" w:lineRule="auto"/>
      </w:pPr>
    </w:p>
    <w:p w14:paraId="0BDB08AA">
      <w:pPr>
        <w:spacing w:before="68" w:line="370" w:lineRule="auto"/>
        <w:ind w:left="25" w:right="121" w:firstLine="434"/>
        <w:jc w:val="both"/>
        <w:rPr>
          <w:rFonts w:ascii="宋体" w:hAnsi="宋体" w:eastAsia="宋体" w:cs="宋体"/>
          <w:sz w:val="21"/>
          <w:szCs w:val="21"/>
        </w:rPr>
      </w:pPr>
      <w:r>
        <w:rPr>
          <w:rFonts w:ascii="宋体" w:hAnsi="宋体" w:eastAsia="宋体" w:cs="宋体"/>
          <w:sz w:val="21"/>
          <w:szCs w:val="21"/>
        </w:rPr>
        <w:t>1．投标人应根据招标文件和对现场的勘察情况，采用文字并结合图表</w:t>
      </w:r>
      <w:r>
        <w:rPr>
          <w:rFonts w:ascii="宋体" w:hAnsi="宋体" w:eastAsia="宋体" w:cs="宋体"/>
          <w:spacing w:val="-1"/>
          <w:sz w:val="21"/>
          <w:szCs w:val="21"/>
        </w:rPr>
        <w:t>形式，按照中华</w:t>
      </w:r>
      <w:r>
        <w:rPr>
          <w:rFonts w:ascii="宋体" w:hAnsi="宋体" w:eastAsia="宋体" w:cs="宋体"/>
          <w:spacing w:val="-2"/>
          <w:sz w:val="21"/>
          <w:szCs w:val="21"/>
        </w:rPr>
        <w:t>人民共和国国家标准《建筑施工组织设计规范》（GB/T5</w:t>
      </w:r>
      <w:r>
        <w:rPr>
          <w:rFonts w:ascii="宋体" w:hAnsi="宋体" w:eastAsia="宋体" w:cs="宋体"/>
          <w:spacing w:val="-3"/>
          <w:sz w:val="21"/>
          <w:szCs w:val="21"/>
        </w:rPr>
        <w:t>0502-2009）的要求编制本工程的施</w:t>
      </w:r>
      <w:r>
        <w:rPr>
          <w:rFonts w:ascii="宋体" w:hAnsi="宋体" w:eastAsia="宋体" w:cs="宋体"/>
          <w:spacing w:val="-5"/>
          <w:sz w:val="21"/>
          <w:szCs w:val="21"/>
        </w:rPr>
        <w:t>工组织设计，其要点如下：</w:t>
      </w:r>
    </w:p>
    <w:p w14:paraId="401839DF">
      <w:pPr>
        <w:spacing w:line="219" w:lineRule="auto"/>
        <w:ind w:left="450"/>
        <w:rPr>
          <w:rFonts w:ascii="宋体" w:hAnsi="宋体" w:eastAsia="宋体" w:cs="宋体"/>
          <w:sz w:val="21"/>
          <w:szCs w:val="21"/>
        </w:rPr>
      </w:pPr>
      <w:r>
        <w:rPr>
          <w:rFonts w:ascii="宋体" w:hAnsi="宋体" w:eastAsia="宋体" w:cs="宋体"/>
          <w:spacing w:val="3"/>
          <w:sz w:val="21"/>
          <w:szCs w:val="21"/>
        </w:rPr>
        <w:t>（1）</w:t>
      </w:r>
      <w:r>
        <w:rPr>
          <w:rFonts w:ascii="宋体" w:hAnsi="宋体" w:eastAsia="宋体" w:cs="宋体"/>
          <w:b/>
          <w:bCs/>
          <w:spacing w:val="3"/>
          <w:sz w:val="21"/>
          <w:szCs w:val="21"/>
        </w:rPr>
        <w:t>工程概况</w:t>
      </w:r>
    </w:p>
    <w:p w14:paraId="54B3E294">
      <w:pPr>
        <w:spacing w:before="170" w:line="219" w:lineRule="auto"/>
        <w:ind w:left="970"/>
        <w:rPr>
          <w:rFonts w:ascii="宋体" w:hAnsi="宋体" w:eastAsia="宋体" w:cs="宋体"/>
          <w:sz w:val="21"/>
          <w:szCs w:val="21"/>
        </w:rPr>
      </w:pPr>
      <w:r>
        <w:rPr>
          <w:rFonts w:ascii="宋体" w:hAnsi="宋体" w:eastAsia="宋体" w:cs="宋体"/>
          <w:spacing w:val="-2"/>
          <w:sz w:val="21"/>
          <w:szCs w:val="21"/>
        </w:rPr>
        <w:t>包括工程主要情况、各专业设计简介、工程施工条件等；</w:t>
      </w:r>
    </w:p>
    <w:p w14:paraId="235FC234">
      <w:pPr>
        <w:spacing w:before="171" w:line="220" w:lineRule="auto"/>
        <w:ind w:left="450"/>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b/>
          <w:bCs/>
          <w:spacing w:val="3"/>
          <w:sz w:val="21"/>
          <w:szCs w:val="21"/>
        </w:rPr>
        <w:t>施工部署</w:t>
      </w:r>
    </w:p>
    <w:p w14:paraId="725AC8E0">
      <w:pPr>
        <w:spacing w:before="169" w:line="370" w:lineRule="auto"/>
        <w:ind w:left="985" w:right="106"/>
        <w:rPr>
          <w:rFonts w:ascii="宋体" w:hAnsi="宋体" w:eastAsia="宋体" w:cs="宋体"/>
          <w:sz w:val="21"/>
          <w:szCs w:val="21"/>
        </w:rPr>
      </w:pPr>
      <w:r>
        <w:rPr>
          <w:rFonts w:ascii="宋体" w:hAnsi="宋体" w:eastAsia="宋体" w:cs="宋体"/>
          <w:sz w:val="21"/>
          <w:szCs w:val="21"/>
        </w:rPr>
        <w:t>包括工程施工目标、主要施工内容及其进度安排、施工流水段划分、施工的重点和难点分析、工程管理的组织机构形式、项目经理部的工作岗位设置及其职责划分、新技术、新工艺部署及其技术和管理要求（如有</w:t>
      </w:r>
      <w:r>
        <w:rPr>
          <w:rFonts w:ascii="宋体" w:hAnsi="宋体" w:eastAsia="宋体" w:cs="宋体"/>
          <w:spacing w:val="-1"/>
          <w:sz w:val="21"/>
          <w:szCs w:val="21"/>
        </w:rPr>
        <w:t>）、主要分包工程施工单位</w:t>
      </w:r>
      <w:r>
        <w:rPr>
          <w:rFonts w:ascii="宋体" w:hAnsi="宋体" w:eastAsia="宋体" w:cs="宋体"/>
          <w:spacing w:val="-9"/>
          <w:sz w:val="21"/>
          <w:szCs w:val="21"/>
        </w:rPr>
        <w:t>的选择要求及管理方式（如有</w:t>
      </w:r>
      <w:r>
        <w:rPr>
          <w:rFonts w:ascii="宋体" w:hAnsi="宋体" w:eastAsia="宋体" w:cs="宋体"/>
          <w:spacing w:val="-3"/>
          <w:sz w:val="21"/>
          <w:szCs w:val="21"/>
        </w:rPr>
        <w:t>）；</w:t>
      </w:r>
    </w:p>
    <w:p w14:paraId="2E2C96CC">
      <w:pPr>
        <w:spacing w:line="220" w:lineRule="auto"/>
        <w:ind w:left="450"/>
        <w:rPr>
          <w:rFonts w:ascii="宋体" w:hAnsi="宋体" w:eastAsia="宋体" w:cs="宋体"/>
          <w:sz w:val="21"/>
          <w:szCs w:val="21"/>
        </w:rPr>
      </w:pPr>
      <w:r>
        <w:rPr>
          <w:rFonts w:ascii="宋体" w:hAnsi="宋体" w:eastAsia="宋体" w:cs="宋体"/>
          <w:spacing w:val="2"/>
          <w:sz w:val="21"/>
          <w:szCs w:val="21"/>
        </w:rPr>
        <w:t>（3）</w:t>
      </w:r>
      <w:r>
        <w:rPr>
          <w:rFonts w:ascii="宋体" w:hAnsi="宋体" w:eastAsia="宋体" w:cs="宋体"/>
          <w:b/>
          <w:bCs/>
          <w:spacing w:val="2"/>
          <w:sz w:val="21"/>
          <w:szCs w:val="21"/>
        </w:rPr>
        <w:t>施工进度计划</w:t>
      </w:r>
    </w:p>
    <w:p w14:paraId="085A6E23">
      <w:pPr>
        <w:spacing w:before="171" w:line="369" w:lineRule="auto"/>
        <w:ind w:left="969" w:right="141" w:firstLine="2"/>
        <w:rPr>
          <w:rFonts w:ascii="宋体" w:hAnsi="宋体" w:eastAsia="宋体" w:cs="宋体"/>
          <w:sz w:val="21"/>
          <w:szCs w:val="21"/>
        </w:rPr>
      </w:pPr>
      <w:r>
        <w:rPr>
          <w:rFonts w:ascii="宋体" w:hAnsi="宋体" w:eastAsia="宋体" w:cs="宋体"/>
          <w:sz w:val="21"/>
          <w:szCs w:val="21"/>
        </w:rPr>
        <w:t>可采用网络图或横道图表示，并附必要说明，</w:t>
      </w:r>
      <w:r>
        <w:rPr>
          <w:rFonts w:ascii="宋体" w:hAnsi="宋体" w:eastAsia="宋体" w:cs="宋体"/>
          <w:spacing w:val="-1"/>
          <w:sz w:val="21"/>
          <w:szCs w:val="21"/>
        </w:rPr>
        <w:t>对于规模较大或较复杂的工程，宜</w:t>
      </w:r>
      <w:r>
        <w:rPr>
          <w:rFonts w:ascii="宋体" w:hAnsi="宋体" w:eastAsia="宋体" w:cs="宋体"/>
          <w:spacing w:val="-6"/>
          <w:sz w:val="21"/>
          <w:szCs w:val="21"/>
        </w:rPr>
        <w:t>采用网络图表示；</w:t>
      </w:r>
    </w:p>
    <w:p w14:paraId="0E685410">
      <w:pPr>
        <w:spacing w:before="1" w:line="220" w:lineRule="auto"/>
        <w:ind w:left="450"/>
        <w:rPr>
          <w:rFonts w:ascii="宋体" w:hAnsi="宋体" w:eastAsia="宋体" w:cs="宋体"/>
          <w:sz w:val="21"/>
          <w:szCs w:val="21"/>
        </w:rPr>
      </w:pPr>
      <w:r>
        <w:rPr>
          <w:rFonts w:ascii="宋体" w:hAnsi="宋体" w:eastAsia="宋体" w:cs="宋体"/>
          <w:spacing w:val="1"/>
          <w:sz w:val="21"/>
          <w:szCs w:val="21"/>
        </w:rPr>
        <w:t>（4）</w:t>
      </w:r>
      <w:r>
        <w:rPr>
          <w:rFonts w:ascii="宋体" w:hAnsi="宋体" w:eastAsia="宋体" w:cs="宋体"/>
          <w:b/>
          <w:bCs/>
          <w:spacing w:val="1"/>
          <w:sz w:val="21"/>
          <w:szCs w:val="21"/>
        </w:rPr>
        <w:t>施工准备与资源配置计划</w:t>
      </w:r>
    </w:p>
    <w:p w14:paraId="7A62A9EF">
      <w:pPr>
        <w:spacing w:before="168" w:line="370" w:lineRule="auto"/>
        <w:ind w:left="969" w:right="121"/>
        <w:rPr>
          <w:rFonts w:ascii="宋体" w:hAnsi="宋体" w:eastAsia="宋体" w:cs="宋体"/>
          <w:sz w:val="21"/>
          <w:szCs w:val="21"/>
        </w:rPr>
      </w:pPr>
      <w:r>
        <w:rPr>
          <w:rFonts w:ascii="宋体" w:hAnsi="宋体" w:eastAsia="宋体" w:cs="宋体"/>
          <w:sz w:val="21"/>
          <w:szCs w:val="21"/>
        </w:rPr>
        <w:t>施工准备包括技术准备、现场准备和资金准备；资源配置计划包括劳动力配置计</w:t>
      </w:r>
      <w:r>
        <w:rPr>
          <w:rFonts w:ascii="宋体" w:hAnsi="宋体" w:eastAsia="宋体" w:cs="宋体"/>
          <w:spacing w:val="-1"/>
          <w:sz w:val="21"/>
          <w:szCs w:val="21"/>
        </w:rPr>
        <w:t>划、主要工程材料和设备配置计划、主要周转材料和施工</w:t>
      </w:r>
      <w:r>
        <w:rPr>
          <w:rFonts w:ascii="宋体" w:hAnsi="宋体" w:eastAsia="宋体" w:cs="宋体"/>
          <w:spacing w:val="-2"/>
          <w:sz w:val="21"/>
          <w:szCs w:val="21"/>
        </w:rPr>
        <w:t>机具配置计划等；</w:t>
      </w:r>
    </w:p>
    <w:p w14:paraId="4AD909DF">
      <w:pPr>
        <w:spacing w:line="220" w:lineRule="auto"/>
        <w:ind w:left="450"/>
        <w:rPr>
          <w:rFonts w:ascii="宋体" w:hAnsi="宋体" w:eastAsia="宋体" w:cs="宋体"/>
          <w:sz w:val="21"/>
          <w:szCs w:val="21"/>
        </w:rPr>
      </w:pPr>
      <w:r>
        <w:rPr>
          <w:rFonts w:ascii="宋体" w:hAnsi="宋体" w:eastAsia="宋体" w:cs="宋体"/>
          <w:spacing w:val="2"/>
          <w:sz w:val="21"/>
          <w:szCs w:val="21"/>
        </w:rPr>
        <w:t>（5）</w:t>
      </w:r>
      <w:r>
        <w:rPr>
          <w:rFonts w:ascii="宋体" w:hAnsi="宋体" w:eastAsia="宋体" w:cs="宋体"/>
          <w:b/>
          <w:bCs/>
          <w:spacing w:val="2"/>
          <w:sz w:val="21"/>
          <w:szCs w:val="21"/>
        </w:rPr>
        <w:t>主要施工方案</w:t>
      </w:r>
    </w:p>
    <w:p w14:paraId="085986D1">
      <w:pPr>
        <w:spacing w:before="168" w:line="370" w:lineRule="auto"/>
        <w:ind w:left="971" w:hanging="2"/>
        <w:rPr>
          <w:rFonts w:ascii="宋体" w:hAnsi="宋体" w:eastAsia="宋体" w:cs="宋体"/>
          <w:sz w:val="21"/>
          <w:szCs w:val="21"/>
        </w:rPr>
      </w:pPr>
      <w:r>
        <w:rPr>
          <w:rFonts w:ascii="宋体" w:hAnsi="宋体" w:eastAsia="宋体" w:cs="宋体"/>
          <w:sz w:val="21"/>
          <w:szCs w:val="21"/>
        </w:rPr>
        <w:t>对主要分部、分项工程制定施工方案；对脚手架工程、起重吊装工程、临时用水用电工程、季节性施工等专项工程所采用的施工方案进行必要的验算和说明；对</w:t>
      </w:r>
      <w:r>
        <w:rPr>
          <w:rFonts w:ascii="宋体" w:hAnsi="宋体" w:eastAsia="宋体" w:cs="宋体"/>
          <w:spacing w:val="-2"/>
          <w:sz w:val="21"/>
          <w:szCs w:val="21"/>
        </w:rPr>
        <w:t>易发生质量通病、易出现安全问题、施工难度大、技术含</w:t>
      </w:r>
      <w:r>
        <w:rPr>
          <w:rFonts w:ascii="宋体" w:hAnsi="宋体" w:eastAsia="宋体" w:cs="宋体"/>
          <w:spacing w:val="-3"/>
          <w:sz w:val="21"/>
          <w:szCs w:val="21"/>
        </w:rPr>
        <w:t>量高的分项工程（工序）</w:t>
      </w:r>
      <w:r>
        <w:rPr>
          <w:rFonts w:ascii="宋体" w:hAnsi="宋体" w:eastAsia="宋体" w:cs="宋体"/>
          <w:spacing w:val="-7"/>
          <w:sz w:val="21"/>
          <w:szCs w:val="21"/>
        </w:rPr>
        <w:t>等做出重点说明；</w:t>
      </w:r>
    </w:p>
    <w:p w14:paraId="15978F90">
      <w:pPr>
        <w:spacing w:before="1" w:line="218" w:lineRule="auto"/>
        <w:ind w:left="450"/>
        <w:rPr>
          <w:rFonts w:ascii="宋体" w:hAnsi="宋体" w:eastAsia="宋体" w:cs="宋体"/>
          <w:sz w:val="21"/>
          <w:szCs w:val="21"/>
        </w:rPr>
      </w:pPr>
      <w:r>
        <w:rPr>
          <w:rFonts w:ascii="宋体" w:hAnsi="宋体" w:eastAsia="宋体" w:cs="宋体"/>
          <w:spacing w:val="1"/>
          <w:sz w:val="21"/>
          <w:szCs w:val="21"/>
        </w:rPr>
        <w:t>（6）</w:t>
      </w:r>
      <w:r>
        <w:rPr>
          <w:rFonts w:ascii="宋体" w:hAnsi="宋体" w:eastAsia="宋体" w:cs="宋体"/>
          <w:b/>
          <w:bCs/>
          <w:spacing w:val="1"/>
          <w:sz w:val="21"/>
          <w:szCs w:val="21"/>
        </w:rPr>
        <w:t>施工现场平面布置</w:t>
      </w:r>
    </w:p>
    <w:p w14:paraId="14DFA7DE">
      <w:pPr>
        <w:spacing w:before="169" w:line="370" w:lineRule="auto"/>
        <w:ind w:left="924" w:right="122" w:firstLine="2"/>
        <w:rPr>
          <w:rFonts w:ascii="宋体" w:hAnsi="宋体" w:eastAsia="宋体" w:cs="宋体"/>
          <w:sz w:val="21"/>
          <w:szCs w:val="21"/>
        </w:rPr>
      </w:pPr>
      <w:r>
        <w:rPr>
          <w:rFonts w:ascii="宋体" w:hAnsi="宋体" w:eastAsia="宋体" w:cs="宋体"/>
          <w:spacing w:val="1"/>
          <w:sz w:val="21"/>
          <w:szCs w:val="21"/>
        </w:rPr>
        <w:t>按不同施工阶段绘制施工现场平面布置图并附文字说明，说明施工场地状</w:t>
      </w:r>
      <w:r>
        <w:rPr>
          <w:rFonts w:ascii="宋体" w:hAnsi="宋体" w:eastAsia="宋体" w:cs="宋体"/>
          <w:sz w:val="21"/>
          <w:szCs w:val="21"/>
        </w:rPr>
        <w:t>况；拟建建（构）筑物的位置轮廓、尺寸、层数；</w:t>
      </w:r>
      <w:r>
        <w:rPr>
          <w:rFonts w:ascii="宋体" w:hAnsi="宋体" w:eastAsia="宋体" w:cs="宋体"/>
          <w:spacing w:val="-53"/>
          <w:sz w:val="21"/>
          <w:szCs w:val="21"/>
        </w:rPr>
        <w:t xml:space="preserve"> </w:t>
      </w:r>
      <w:r>
        <w:rPr>
          <w:rFonts w:ascii="宋体" w:hAnsi="宋体" w:eastAsia="宋体" w:cs="宋体"/>
          <w:sz w:val="21"/>
          <w:szCs w:val="21"/>
        </w:rPr>
        <w:t>加工设施、存储设施、办公和生活用</w:t>
      </w:r>
      <w:r>
        <w:rPr>
          <w:rFonts w:ascii="宋体" w:hAnsi="宋体" w:eastAsia="宋体" w:cs="宋体"/>
          <w:spacing w:val="1"/>
          <w:sz w:val="21"/>
          <w:szCs w:val="21"/>
        </w:rPr>
        <w:t>房的位置和面积；布置垂直运输设施、供电设施、供水、供热设施、排水排污设施和临时施工道路；必备的安全、消防、保卫和环境保护设施；相邻的地上地下</w:t>
      </w:r>
      <w:r>
        <w:rPr>
          <w:rFonts w:ascii="宋体" w:hAnsi="宋体" w:eastAsia="宋体" w:cs="宋体"/>
          <w:spacing w:val="-4"/>
          <w:sz w:val="21"/>
          <w:szCs w:val="21"/>
        </w:rPr>
        <w:t>既有建（构）筑物及相关环境等；</w:t>
      </w:r>
    </w:p>
    <w:p w14:paraId="5A45463A">
      <w:pPr>
        <w:spacing w:before="1" w:line="219" w:lineRule="auto"/>
        <w:ind w:left="450"/>
        <w:rPr>
          <w:rFonts w:ascii="宋体" w:hAnsi="宋体" w:eastAsia="宋体" w:cs="宋体"/>
          <w:sz w:val="21"/>
          <w:szCs w:val="21"/>
        </w:rPr>
      </w:pPr>
      <w:r>
        <w:rPr>
          <w:rFonts w:ascii="宋体" w:hAnsi="宋体" w:eastAsia="宋体" w:cs="宋体"/>
          <w:spacing w:val="1"/>
          <w:sz w:val="21"/>
          <w:szCs w:val="21"/>
        </w:rPr>
        <w:t>（7）</w:t>
      </w:r>
      <w:r>
        <w:rPr>
          <w:rFonts w:ascii="宋体" w:hAnsi="宋体" w:eastAsia="宋体" w:cs="宋体"/>
          <w:b/>
          <w:bCs/>
          <w:spacing w:val="1"/>
          <w:sz w:val="21"/>
          <w:szCs w:val="21"/>
        </w:rPr>
        <w:t>主要施工管理计划</w:t>
      </w:r>
    </w:p>
    <w:p w14:paraId="73464322">
      <w:pPr>
        <w:spacing w:before="171" w:line="371" w:lineRule="auto"/>
        <w:ind w:left="969" w:right="48"/>
        <w:rPr>
          <w:rFonts w:ascii="宋体" w:hAnsi="宋体" w:eastAsia="宋体" w:cs="宋体"/>
          <w:sz w:val="21"/>
          <w:szCs w:val="21"/>
        </w:rPr>
      </w:pPr>
      <w:r>
        <w:rPr>
          <w:rFonts w:ascii="宋体" w:hAnsi="宋体" w:eastAsia="宋体" w:cs="宋体"/>
          <w:sz w:val="21"/>
          <w:szCs w:val="21"/>
        </w:rPr>
        <w:t>包括进度管理计划、质量管理计划、安全管理计划、环境管理计划、成本管理计</w:t>
      </w:r>
      <w:r>
        <w:rPr>
          <w:rFonts w:ascii="宋体" w:hAnsi="宋体" w:eastAsia="宋体" w:cs="宋体"/>
          <w:spacing w:val="-4"/>
          <w:sz w:val="21"/>
          <w:szCs w:val="21"/>
        </w:rPr>
        <w:t>划和其他管理计划，其中其他管理计划宜包括治安保卫管理计划、合同管理计划，</w:t>
      </w:r>
    </w:p>
    <w:p w14:paraId="36C3A8C8">
      <w:pPr>
        <w:spacing w:line="371" w:lineRule="auto"/>
        <w:rPr>
          <w:rFonts w:ascii="宋体" w:hAnsi="宋体" w:eastAsia="宋体" w:cs="宋体"/>
          <w:sz w:val="21"/>
          <w:szCs w:val="21"/>
        </w:rPr>
        <w:sectPr>
          <w:footerReference r:id="rId345" w:type="default"/>
          <w:pgSz w:w="11910" w:h="16845"/>
          <w:pgMar w:top="400" w:right="1672" w:bottom="1110" w:left="1786" w:header="0" w:footer="883" w:gutter="0"/>
          <w:cols w:space="720" w:num="1"/>
        </w:sectPr>
      </w:pPr>
    </w:p>
    <w:p w14:paraId="40927D05">
      <w:pPr>
        <w:pStyle w:val="2"/>
        <w:spacing w:line="282" w:lineRule="auto"/>
      </w:pPr>
    </w:p>
    <w:p w14:paraId="507EE51B">
      <w:pPr>
        <w:pStyle w:val="2"/>
        <w:spacing w:line="282" w:lineRule="auto"/>
      </w:pPr>
    </w:p>
    <w:p w14:paraId="6DE2B5C7">
      <w:pPr>
        <w:pStyle w:val="2"/>
        <w:spacing w:line="283" w:lineRule="auto"/>
      </w:pPr>
    </w:p>
    <w:p w14:paraId="7B0D3AE9">
      <w:pPr>
        <w:pStyle w:val="2"/>
        <w:spacing w:line="283" w:lineRule="auto"/>
      </w:pPr>
    </w:p>
    <w:p w14:paraId="7409A07D">
      <w:pPr>
        <w:spacing w:before="68" w:line="370" w:lineRule="auto"/>
        <w:ind w:left="969" w:right="7" w:firstLine="3"/>
        <w:rPr>
          <w:rFonts w:ascii="宋体" w:hAnsi="宋体" w:eastAsia="宋体" w:cs="宋体"/>
          <w:sz w:val="21"/>
          <w:szCs w:val="21"/>
        </w:rPr>
      </w:pPr>
      <w:r>
        <w:rPr>
          <w:rFonts w:ascii="宋体" w:hAnsi="宋体" w:eastAsia="宋体" w:cs="宋体"/>
          <w:sz w:val="21"/>
          <w:szCs w:val="21"/>
        </w:rPr>
        <w:t>组织协调管理计划、创优质工程管理计划、成品保护管理计划、质量保修管理计</w:t>
      </w:r>
      <w:r>
        <w:rPr>
          <w:rFonts w:ascii="宋体" w:hAnsi="宋体" w:eastAsia="宋体" w:cs="宋体"/>
          <w:spacing w:val="-1"/>
          <w:sz w:val="21"/>
          <w:szCs w:val="21"/>
        </w:rPr>
        <w:t>划、对施工现场人力资源、施工机具、材料设备等管理计划。</w:t>
      </w:r>
    </w:p>
    <w:p w14:paraId="0B9166E7">
      <w:pPr>
        <w:spacing w:before="1" w:line="369" w:lineRule="auto"/>
        <w:ind w:left="25" w:right="7" w:firstLine="421"/>
        <w:rPr>
          <w:rFonts w:ascii="宋体" w:hAnsi="宋体" w:eastAsia="宋体" w:cs="宋体"/>
          <w:sz w:val="21"/>
          <w:szCs w:val="21"/>
        </w:rPr>
      </w:pPr>
      <w:r>
        <w:rPr>
          <w:rFonts w:ascii="宋体" w:hAnsi="宋体" w:eastAsia="宋体" w:cs="宋体"/>
          <w:sz w:val="21"/>
          <w:szCs w:val="21"/>
        </w:rPr>
        <w:t>2．施工组织设计除采用文字表述外可附下列图表，图表及格式要求附后。下述表格应</w:t>
      </w:r>
      <w:r>
        <w:rPr>
          <w:rFonts w:ascii="宋体" w:hAnsi="宋体" w:eastAsia="宋体" w:cs="宋体"/>
          <w:spacing w:val="-1"/>
          <w:sz w:val="21"/>
          <w:szCs w:val="21"/>
        </w:rPr>
        <w:t>按照章节内容，严格按给定的格式附在相应</w:t>
      </w:r>
      <w:r>
        <w:rPr>
          <w:rFonts w:ascii="宋体" w:hAnsi="宋体" w:eastAsia="宋体" w:cs="宋体"/>
          <w:spacing w:val="-2"/>
          <w:sz w:val="21"/>
          <w:szCs w:val="21"/>
        </w:rPr>
        <w:t>的章节中。</w:t>
      </w:r>
    </w:p>
    <w:p w14:paraId="2D57BC71">
      <w:pPr>
        <w:spacing w:line="218" w:lineRule="auto"/>
        <w:ind w:left="461"/>
        <w:rPr>
          <w:rFonts w:ascii="宋体" w:hAnsi="宋体" w:eastAsia="宋体" w:cs="宋体"/>
          <w:sz w:val="21"/>
          <w:szCs w:val="21"/>
        </w:rPr>
      </w:pPr>
      <w:r>
        <w:rPr>
          <w:rFonts w:ascii="宋体" w:hAnsi="宋体" w:eastAsia="宋体" w:cs="宋体"/>
          <w:spacing w:val="-1"/>
          <w:sz w:val="21"/>
          <w:szCs w:val="21"/>
        </w:rPr>
        <w:t>附表一  拟投入本工程的主要施工设备表</w:t>
      </w:r>
    </w:p>
    <w:p w14:paraId="63B911BA">
      <w:pPr>
        <w:spacing w:before="171" w:line="219" w:lineRule="auto"/>
        <w:ind w:left="461"/>
        <w:rPr>
          <w:rFonts w:ascii="宋体" w:hAnsi="宋体" w:eastAsia="宋体" w:cs="宋体"/>
          <w:sz w:val="21"/>
          <w:szCs w:val="21"/>
        </w:rPr>
      </w:pPr>
      <w:r>
        <w:rPr>
          <w:rFonts w:ascii="宋体" w:hAnsi="宋体" w:eastAsia="宋体" w:cs="宋体"/>
          <w:spacing w:val="-1"/>
          <w:sz w:val="21"/>
          <w:szCs w:val="21"/>
        </w:rPr>
        <w:t>附表二  拟配备本工程的试验和检测仪器设备表</w:t>
      </w:r>
    </w:p>
    <w:p w14:paraId="05A45F26">
      <w:pPr>
        <w:spacing w:before="171" w:line="219" w:lineRule="auto"/>
        <w:ind w:left="461"/>
        <w:rPr>
          <w:rFonts w:ascii="宋体" w:hAnsi="宋体" w:eastAsia="宋体" w:cs="宋体"/>
          <w:sz w:val="21"/>
          <w:szCs w:val="21"/>
        </w:rPr>
      </w:pPr>
      <w:r>
        <w:rPr>
          <w:rFonts w:ascii="宋体" w:hAnsi="宋体" w:eastAsia="宋体" w:cs="宋体"/>
          <w:spacing w:val="-2"/>
          <w:sz w:val="21"/>
          <w:szCs w:val="21"/>
        </w:rPr>
        <w:t>附表三  劳动力计划表</w:t>
      </w:r>
    </w:p>
    <w:p w14:paraId="7AE7BD24">
      <w:pPr>
        <w:spacing w:before="171" w:line="219" w:lineRule="auto"/>
        <w:ind w:left="461"/>
        <w:rPr>
          <w:rFonts w:ascii="宋体" w:hAnsi="宋体" w:eastAsia="宋体" w:cs="宋体"/>
          <w:sz w:val="21"/>
          <w:szCs w:val="21"/>
        </w:rPr>
      </w:pPr>
      <w:r>
        <w:rPr>
          <w:rFonts w:ascii="宋体" w:hAnsi="宋体" w:eastAsia="宋体" w:cs="宋体"/>
          <w:spacing w:val="-1"/>
          <w:sz w:val="21"/>
          <w:szCs w:val="21"/>
        </w:rPr>
        <w:t>附表四  计划开、竣工日期和施工进度网络图</w:t>
      </w:r>
    </w:p>
    <w:p w14:paraId="236F78CF">
      <w:pPr>
        <w:spacing w:before="171" w:line="219" w:lineRule="auto"/>
        <w:ind w:left="461"/>
        <w:rPr>
          <w:rFonts w:ascii="宋体" w:hAnsi="宋体" w:eastAsia="宋体" w:cs="宋体"/>
          <w:sz w:val="21"/>
          <w:szCs w:val="21"/>
        </w:rPr>
      </w:pPr>
      <w:r>
        <w:rPr>
          <w:rFonts w:ascii="宋体" w:hAnsi="宋体" w:eastAsia="宋体" w:cs="宋体"/>
          <w:spacing w:val="-2"/>
          <w:sz w:val="21"/>
          <w:szCs w:val="21"/>
        </w:rPr>
        <w:t>附表五  施工总平面图</w:t>
      </w:r>
    </w:p>
    <w:p w14:paraId="09FC9594">
      <w:pPr>
        <w:spacing w:before="171" w:line="219" w:lineRule="auto"/>
        <w:ind w:left="461"/>
        <w:rPr>
          <w:rFonts w:ascii="宋体" w:hAnsi="宋体" w:eastAsia="宋体" w:cs="宋体"/>
          <w:sz w:val="21"/>
          <w:szCs w:val="21"/>
        </w:rPr>
      </w:pPr>
      <w:r>
        <w:rPr>
          <w:rFonts w:ascii="宋体" w:hAnsi="宋体" w:eastAsia="宋体" w:cs="宋体"/>
          <w:spacing w:val="-5"/>
          <w:sz w:val="21"/>
          <w:szCs w:val="21"/>
        </w:rPr>
        <w:t>附表六</w:t>
      </w:r>
      <w:r>
        <w:rPr>
          <w:rFonts w:ascii="宋体" w:hAnsi="宋体" w:eastAsia="宋体" w:cs="宋体"/>
          <w:spacing w:val="10"/>
          <w:sz w:val="21"/>
          <w:szCs w:val="21"/>
        </w:rPr>
        <w:t xml:space="preserve">  </w:t>
      </w:r>
      <w:r>
        <w:rPr>
          <w:rFonts w:ascii="宋体" w:hAnsi="宋体" w:eastAsia="宋体" w:cs="宋体"/>
          <w:spacing w:val="-5"/>
          <w:sz w:val="21"/>
          <w:szCs w:val="21"/>
        </w:rPr>
        <w:t>临时用地表</w:t>
      </w:r>
    </w:p>
    <w:p w14:paraId="3E1AB5C2">
      <w:pPr>
        <w:pStyle w:val="2"/>
        <w:spacing w:line="243" w:lineRule="auto"/>
      </w:pPr>
    </w:p>
    <w:p w14:paraId="3A08E259">
      <w:pPr>
        <w:pStyle w:val="2"/>
        <w:spacing w:line="243" w:lineRule="auto"/>
      </w:pPr>
    </w:p>
    <w:p w14:paraId="502C4B0F">
      <w:pPr>
        <w:pStyle w:val="2"/>
        <w:spacing w:line="243" w:lineRule="auto"/>
      </w:pPr>
    </w:p>
    <w:p w14:paraId="0B7BCFF3">
      <w:pPr>
        <w:pStyle w:val="2"/>
        <w:spacing w:line="243" w:lineRule="auto"/>
      </w:pPr>
    </w:p>
    <w:p w14:paraId="62608E3B">
      <w:pPr>
        <w:pStyle w:val="2"/>
        <w:spacing w:line="243" w:lineRule="auto"/>
      </w:pPr>
    </w:p>
    <w:p w14:paraId="5FD6A0E1">
      <w:pPr>
        <w:pStyle w:val="2"/>
        <w:spacing w:line="243" w:lineRule="auto"/>
      </w:pPr>
    </w:p>
    <w:p w14:paraId="47FBF29C">
      <w:pPr>
        <w:pStyle w:val="2"/>
        <w:spacing w:line="243" w:lineRule="auto"/>
      </w:pPr>
    </w:p>
    <w:p w14:paraId="67212A05">
      <w:pPr>
        <w:pStyle w:val="2"/>
        <w:spacing w:line="243" w:lineRule="auto"/>
      </w:pPr>
    </w:p>
    <w:p w14:paraId="174245B9">
      <w:pPr>
        <w:pStyle w:val="2"/>
        <w:spacing w:line="243" w:lineRule="auto"/>
      </w:pPr>
    </w:p>
    <w:p w14:paraId="00CA0DA2">
      <w:pPr>
        <w:pStyle w:val="2"/>
        <w:spacing w:line="243" w:lineRule="auto"/>
      </w:pPr>
    </w:p>
    <w:p w14:paraId="441959A1">
      <w:pPr>
        <w:pStyle w:val="2"/>
        <w:spacing w:line="243" w:lineRule="auto"/>
      </w:pPr>
    </w:p>
    <w:p w14:paraId="476AB9C5">
      <w:pPr>
        <w:pStyle w:val="2"/>
        <w:spacing w:line="243" w:lineRule="auto"/>
      </w:pPr>
    </w:p>
    <w:p w14:paraId="6A79609E">
      <w:pPr>
        <w:pStyle w:val="2"/>
        <w:spacing w:line="243" w:lineRule="auto"/>
      </w:pPr>
    </w:p>
    <w:p w14:paraId="64E5E4C7">
      <w:pPr>
        <w:pStyle w:val="2"/>
        <w:spacing w:line="243" w:lineRule="auto"/>
      </w:pPr>
    </w:p>
    <w:p w14:paraId="29CFB0E7">
      <w:pPr>
        <w:pStyle w:val="2"/>
        <w:spacing w:line="243" w:lineRule="auto"/>
      </w:pPr>
    </w:p>
    <w:p w14:paraId="35ECB355">
      <w:pPr>
        <w:pStyle w:val="2"/>
        <w:spacing w:line="243" w:lineRule="auto"/>
      </w:pPr>
    </w:p>
    <w:p w14:paraId="75E1B627">
      <w:pPr>
        <w:pStyle w:val="2"/>
        <w:spacing w:line="243" w:lineRule="auto"/>
      </w:pPr>
    </w:p>
    <w:p w14:paraId="26F113DA">
      <w:pPr>
        <w:pStyle w:val="2"/>
        <w:spacing w:line="243" w:lineRule="auto"/>
      </w:pPr>
    </w:p>
    <w:p w14:paraId="4591B4E0">
      <w:pPr>
        <w:pStyle w:val="2"/>
        <w:spacing w:line="243" w:lineRule="auto"/>
      </w:pPr>
    </w:p>
    <w:p w14:paraId="7EC61873">
      <w:pPr>
        <w:pStyle w:val="2"/>
        <w:spacing w:line="243" w:lineRule="auto"/>
      </w:pPr>
    </w:p>
    <w:p w14:paraId="5D095862">
      <w:pPr>
        <w:pStyle w:val="2"/>
        <w:spacing w:line="243" w:lineRule="auto"/>
      </w:pPr>
    </w:p>
    <w:p w14:paraId="24513DD5">
      <w:pPr>
        <w:pStyle w:val="2"/>
        <w:spacing w:line="243" w:lineRule="auto"/>
      </w:pPr>
    </w:p>
    <w:p w14:paraId="7EEE85D4">
      <w:pPr>
        <w:pStyle w:val="2"/>
        <w:spacing w:line="243" w:lineRule="auto"/>
      </w:pPr>
    </w:p>
    <w:p w14:paraId="23D9A95C">
      <w:pPr>
        <w:pStyle w:val="2"/>
        <w:spacing w:line="243" w:lineRule="auto"/>
      </w:pPr>
    </w:p>
    <w:p w14:paraId="3979B435">
      <w:pPr>
        <w:pStyle w:val="2"/>
        <w:spacing w:line="243" w:lineRule="auto"/>
      </w:pPr>
    </w:p>
    <w:p w14:paraId="02A12AC0">
      <w:pPr>
        <w:pStyle w:val="2"/>
        <w:spacing w:line="243" w:lineRule="auto"/>
      </w:pPr>
    </w:p>
    <w:p w14:paraId="60BB887E">
      <w:pPr>
        <w:pStyle w:val="2"/>
        <w:spacing w:line="243" w:lineRule="auto"/>
      </w:pPr>
    </w:p>
    <w:p w14:paraId="3F2A92F3">
      <w:pPr>
        <w:pStyle w:val="2"/>
        <w:spacing w:line="243" w:lineRule="auto"/>
      </w:pPr>
    </w:p>
    <w:p w14:paraId="38B3ED91">
      <w:pPr>
        <w:pStyle w:val="2"/>
        <w:spacing w:line="243" w:lineRule="auto"/>
      </w:pPr>
    </w:p>
    <w:p w14:paraId="1838EB07">
      <w:pPr>
        <w:pStyle w:val="2"/>
        <w:spacing w:line="243" w:lineRule="auto"/>
      </w:pPr>
    </w:p>
    <w:p w14:paraId="7ABCF42F">
      <w:pPr>
        <w:pStyle w:val="2"/>
        <w:spacing w:line="243" w:lineRule="auto"/>
      </w:pPr>
    </w:p>
    <w:p w14:paraId="186F8A3C">
      <w:pPr>
        <w:pStyle w:val="2"/>
        <w:spacing w:line="243" w:lineRule="auto"/>
      </w:pPr>
    </w:p>
    <w:p w14:paraId="17914A6E">
      <w:pPr>
        <w:pStyle w:val="2"/>
        <w:spacing w:line="243" w:lineRule="auto"/>
      </w:pPr>
    </w:p>
    <w:p w14:paraId="07BB7884">
      <w:pPr>
        <w:pStyle w:val="2"/>
        <w:spacing w:line="244" w:lineRule="auto"/>
      </w:pPr>
    </w:p>
    <w:p w14:paraId="72907A4C">
      <w:pPr>
        <w:pStyle w:val="2"/>
        <w:spacing w:line="244" w:lineRule="auto"/>
      </w:pPr>
    </w:p>
    <w:p w14:paraId="281401E1">
      <w:pPr>
        <w:pStyle w:val="2"/>
        <w:spacing w:line="244" w:lineRule="auto"/>
      </w:pPr>
    </w:p>
    <w:p w14:paraId="50D1FF6C">
      <w:pPr>
        <w:pStyle w:val="2"/>
        <w:spacing w:line="244" w:lineRule="auto"/>
      </w:pPr>
    </w:p>
    <w:p w14:paraId="517D0AF2">
      <w:pPr>
        <w:spacing w:before="69" w:line="220" w:lineRule="auto"/>
        <w:ind w:left="26"/>
        <w:rPr>
          <w:rFonts w:ascii="宋体" w:hAnsi="宋体" w:eastAsia="宋体" w:cs="宋体"/>
          <w:sz w:val="21"/>
          <w:szCs w:val="21"/>
        </w:rPr>
      </w:pPr>
      <w:r>
        <w:rPr>
          <w:rFonts w:ascii="宋体" w:hAnsi="宋体" w:eastAsia="宋体" w:cs="宋体"/>
          <w:spacing w:val="-3"/>
          <w:sz w:val="21"/>
          <w:szCs w:val="21"/>
        </w:rPr>
        <w:t>备注：招标人可根据其他行业标准施工招标文件（如有）、行业标准、招标项目具体特点和</w:t>
      </w:r>
    </w:p>
    <w:p w14:paraId="400DA752">
      <w:pPr>
        <w:spacing w:line="220" w:lineRule="auto"/>
        <w:rPr>
          <w:rFonts w:ascii="宋体" w:hAnsi="宋体" w:eastAsia="宋体" w:cs="宋体"/>
          <w:sz w:val="21"/>
          <w:szCs w:val="21"/>
        </w:rPr>
        <w:sectPr>
          <w:footerReference r:id="rId346" w:type="default"/>
          <w:pgSz w:w="11910" w:h="16845"/>
          <w:pgMar w:top="400" w:right="1786" w:bottom="1110" w:left="1786" w:header="0" w:footer="883" w:gutter="0"/>
          <w:cols w:space="720" w:num="1"/>
        </w:sectPr>
      </w:pPr>
    </w:p>
    <w:p w14:paraId="37887613">
      <w:pPr>
        <w:pStyle w:val="2"/>
        <w:spacing w:line="278" w:lineRule="auto"/>
      </w:pPr>
    </w:p>
    <w:p w14:paraId="375F5ACC">
      <w:pPr>
        <w:pStyle w:val="2"/>
        <w:spacing w:line="279" w:lineRule="auto"/>
      </w:pPr>
    </w:p>
    <w:p w14:paraId="722AA633">
      <w:pPr>
        <w:pStyle w:val="2"/>
        <w:spacing w:line="279" w:lineRule="auto"/>
      </w:pPr>
    </w:p>
    <w:p w14:paraId="20B65178">
      <w:pPr>
        <w:pStyle w:val="2"/>
        <w:spacing w:line="279" w:lineRule="auto"/>
      </w:pPr>
    </w:p>
    <w:p w14:paraId="47AC2232">
      <w:pPr>
        <w:spacing w:before="68" w:line="220" w:lineRule="auto"/>
        <w:ind w:left="659"/>
        <w:rPr>
          <w:rFonts w:ascii="宋体" w:hAnsi="宋体" w:eastAsia="宋体" w:cs="宋体"/>
          <w:sz w:val="21"/>
          <w:szCs w:val="21"/>
        </w:rPr>
      </w:pPr>
      <w:r>
        <w:rPr>
          <w:rFonts w:ascii="宋体" w:hAnsi="宋体" w:eastAsia="宋体" w:cs="宋体"/>
          <w:spacing w:val="-2"/>
          <w:sz w:val="21"/>
          <w:szCs w:val="21"/>
        </w:rPr>
        <w:t>实际需要编制施工组织设计所需要的内容。</w:t>
      </w:r>
    </w:p>
    <w:p w14:paraId="0306813F">
      <w:pPr>
        <w:pStyle w:val="2"/>
        <w:spacing w:line="274" w:lineRule="auto"/>
      </w:pPr>
    </w:p>
    <w:p w14:paraId="0014417D">
      <w:pPr>
        <w:pStyle w:val="2"/>
        <w:spacing w:line="274" w:lineRule="auto"/>
      </w:pPr>
    </w:p>
    <w:p w14:paraId="5DA1104D">
      <w:pPr>
        <w:pStyle w:val="2"/>
        <w:spacing w:line="274" w:lineRule="auto"/>
      </w:pPr>
    </w:p>
    <w:p w14:paraId="4F2D5B9D">
      <w:pPr>
        <w:pStyle w:val="2"/>
        <w:spacing w:line="274" w:lineRule="auto"/>
      </w:pPr>
    </w:p>
    <w:p w14:paraId="411744C0">
      <w:pPr>
        <w:spacing w:before="78" w:line="216" w:lineRule="auto"/>
        <w:ind w:left="38"/>
        <w:outlineLvl w:val="2"/>
        <w:rPr>
          <w:rFonts w:ascii="黑体" w:hAnsi="黑体" w:eastAsia="黑体" w:cs="黑体"/>
          <w:sz w:val="24"/>
          <w:szCs w:val="24"/>
        </w:rPr>
      </w:pPr>
      <w:bookmarkStart w:id="669" w:name="bookmark615"/>
      <w:bookmarkEnd w:id="669"/>
      <w:r>
        <w:rPr>
          <w:rFonts w:ascii="黑体" w:hAnsi="黑体" w:eastAsia="黑体" w:cs="黑体"/>
          <w:spacing w:val="-2"/>
          <w:sz w:val="24"/>
          <w:szCs w:val="24"/>
        </w:rPr>
        <w:t>附表一：拟投入本工程的主要施工设备表</w:t>
      </w: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50"/>
        <w:gridCol w:w="660"/>
        <w:gridCol w:w="1004"/>
        <w:gridCol w:w="705"/>
        <w:gridCol w:w="705"/>
        <w:gridCol w:w="1169"/>
        <w:gridCol w:w="854"/>
        <w:gridCol w:w="869"/>
        <w:gridCol w:w="757"/>
      </w:tblGrid>
      <w:tr w14:paraId="0E043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652" w:type="dxa"/>
            <w:vAlign w:val="top"/>
          </w:tcPr>
          <w:p w14:paraId="0BF60001">
            <w:pPr>
              <w:pStyle w:val="6"/>
              <w:spacing w:before="194" w:line="221" w:lineRule="auto"/>
              <w:ind w:left="112"/>
              <w:rPr>
                <w:sz w:val="21"/>
                <w:szCs w:val="21"/>
              </w:rPr>
            </w:pPr>
            <w:r>
              <w:rPr>
                <w:spacing w:val="-2"/>
                <w:sz w:val="21"/>
                <w:szCs w:val="21"/>
              </w:rPr>
              <w:t>序号</w:t>
            </w:r>
          </w:p>
        </w:tc>
        <w:tc>
          <w:tcPr>
            <w:tcW w:w="1050" w:type="dxa"/>
            <w:vAlign w:val="top"/>
          </w:tcPr>
          <w:p w14:paraId="1E29E15F">
            <w:pPr>
              <w:pStyle w:val="6"/>
              <w:spacing w:before="44" w:line="256" w:lineRule="auto"/>
              <w:ind w:left="420" w:right="199" w:hanging="205"/>
              <w:rPr>
                <w:sz w:val="21"/>
                <w:szCs w:val="21"/>
              </w:rPr>
            </w:pPr>
            <w:r>
              <w:rPr>
                <w:spacing w:val="-4"/>
                <w:sz w:val="21"/>
                <w:szCs w:val="21"/>
              </w:rPr>
              <w:t>设备名</w:t>
            </w:r>
            <w:r>
              <w:rPr>
                <w:sz w:val="21"/>
                <w:szCs w:val="21"/>
              </w:rPr>
              <w:t>称</w:t>
            </w:r>
          </w:p>
        </w:tc>
        <w:tc>
          <w:tcPr>
            <w:tcW w:w="660" w:type="dxa"/>
            <w:vAlign w:val="top"/>
          </w:tcPr>
          <w:p w14:paraId="61B431FE">
            <w:pPr>
              <w:pStyle w:val="6"/>
              <w:spacing w:before="44" w:line="221" w:lineRule="auto"/>
              <w:ind w:left="129"/>
              <w:rPr>
                <w:sz w:val="21"/>
                <w:szCs w:val="21"/>
              </w:rPr>
            </w:pPr>
            <w:r>
              <w:rPr>
                <w:spacing w:val="-4"/>
                <w:sz w:val="21"/>
                <w:szCs w:val="21"/>
              </w:rPr>
              <w:t>型号</w:t>
            </w:r>
          </w:p>
          <w:p w14:paraId="7200DD25">
            <w:pPr>
              <w:pStyle w:val="6"/>
              <w:spacing w:before="63" w:line="220" w:lineRule="auto"/>
              <w:ind w:left="124"/>
              <w:rPr>
                <w:sz w:val="21"/>
                <w:szCs w:val="21"/>
              </w:rPr>
            </w:pPr>
            <w:r>
              <w:rPr>
                <w:spacing w:val="-3"/>
                <w:sz w:val="21"/>
                <w:szCs w:val="21"/>
              </w:rPr>
              <w:t>规格</w:t>
            </w:r>
          </w:p>
        </w:tc>
        <w:tc>
          <w:tcPr>
            <w:tcW w:w="1004" w:type="dxa"/>
            <w:vAlign w:val="top"/>
          </w:tcPr>
          <w:p w14:paraId="0979C396">
            <w:pPr>
              <w:pStyle w:val="6"/>
              <w:spacing w:before="194" w:line="220" w:lineRule="auto"/>
              <w:ind w:left="185"/>
              <w:rPr>
                <w:sz w:val="21"/>
                <w:szCs w:val="21"/>
              </w:rPr>
            </w:pPr>
            <w:r>
              <w:rPr>
                <w:spacing w:val="-5"/>
                <w:sz w:val="21"/>
                <w:szCs w:val="21"/>
              </w:rPr>
              <w:t>数</w:t>
            </w:r>
            <w:r>
              <w:rPr>
                <w:spacing w:val="4"/>
                <w:sz w:val="21"/>
                <w:szCs w:val="21"/>
              </w:rPr>
              <w:t xml:space="preserve">  </w:t>
            </w:r>
            <w:r>
              <w:rPr>
                <w:spacing w:val="-5"/>
                <w:sz w:val="21"/>
                <w:szCs w:val="21"/>
              </w:rPr>
              <w:t>量</w:t>
            </w:r>
          </w:p>
        </w:tc>
        <w:tc>
          <w:tcPr>
            <w:tcW w:w="705" w:type="dxa"/>
            <w:vAlign w:val="top"/>
          </w:tcPr>
          <w:p w14:paraId="2FBB2841">
            <w:pPr>
              <w:pStyle w:val="6"/>
              <w:spacing w:before="44" w:line="220" w:lineRule="auto"/>
              <w:ind w:left="162"/>
              <w:rPr>
                <w:sz w:val="21"/>
                <w:szCs w:val="21"/>
              </w:rPr>
            </w:pPr>
            <w:r>
              <w:rPr>
                <w:spacing w:val="-8"/>
                <w:sz w:val="21"/>
                <w:szCs w:val="21"/>
              </w:rPr>
              <w:t>国别</w:t>
            </w:r>
          </w:p>
          <w:p w14:paraId="788ACE51">
            <w:pPr>
              <w:pStyle w:val="6"/>
              <w:spacing w:before="64" w:line="220" w:lineRule="auto"/>
              <w:ind w:left="141"/>
              <w:rPr>
                <w:sz w:val="21"/>
                <w:szCs w:val="21"/>
              </w:rPr>
            </w:pPr>
            <w:r>
              <w:rPr>
                <w:spacing w:val="-2"/>
                <w:sz w:val="21"/>
                <w:szCs w:val="21"/>
              </w:rPr>
              <w:t>产地</w:t>
            </w:r>
          </w:p>
        </w:tc>
        <w:tc>
          <w:tcPr>
            <w:tcW w:w="705" w:type="dxa"/>
            <w:vAlign w:val="top"/>
          </w:tcPr>
          <w:p w14:paraId="797DD1EB">
            <w:pPr>
              <w:pStyle w:val="6"/>
              <w:spacing w:before="44" w:line="220" w:lineRule="auto"/>
              <w:ind w:left="143"/>
              <w:rPr>
                <w:sz w:val="21"/>
                <w:szCs w:val="21"/>
              </w:rPr>
            </w:pPr>
            <w:r>
              <w:rPr>
                <w:spacing w:val="-3"/>
                <w:sz w:val="21"/>
                <w:szCs w:val="21"/>
              </w:rPr>
              <w:t>制造</w:t>
            </w:r>
          </w:p>
          <w:p w14:paraId="428AB008">
            <w:pPr>
              <w:pStyle w:val="6"/>
              <w:spacing w:before="64" w:line="220" w:lineRule="auto"/>
              <w:ind w:left="143"/>
              <w:rPr>
                <w:sz w:val="21"/>
                <w:szCs w:val="21"/>
              </w:rPr>
            </w:pPr>
            <w:r>
              <w:rPr>
                <w:spacing w:val="-3"/>
                <w:sz w:val="21"/>
                <w:szCs w:val="21"/>
              </w:rPr>
              <w:t>年份</w:t>
            </w:r>
          </w:p>
        </w:tc>
        <w:tc>
          <w:tcPr>
            <w:tcW w:w="1169" w:type="dxa"/>
            <w:vAlign w:val="top"/>
          </w:tcPr>
          <w:p w14:paraId="405C7078">
            <w:pPr>
              <w:pStyle w:val="6"/>
              <w:spacing w:before="44" w:line="220" w:lineRule="auto"/>
              <w:ind w:left="173"/>
              <w:rPr>
                <w:sz w:val="21"/>
                <w:szCs w:val="21"/>
              </w:rPr>
            </w:pPr>
            <w:r>
              <w:rPr>
                <w:spacing w:val="-2"/>
                <w:sz w:val="21"/>
                <w:szCs w:val="21"/>
              </w:rPr>
              <w:t>额定功率</w:t>
            </w:r>
          </w:p>
          <w:p w14:paraId="6EC76151">
            <w:pPr>
              <w:pStyle w:val="6"/>
              <w:spacing w:before="65" w:line="232" w:lineRule="auto"/>
              <w:ind w:left="284"/>
              <w:rPr>
                <w:sz w:val="21"/>
                <w:szCs w:val="21"/>
              </w:rPr>
            </w:pPr>
            <w:r>
              <w:rPr>
                <w:spacing w:val="-4"/>
                <w:sz w:val="21"/>
                <w:szCs w:val="21"/>
              </w:rPr>
              <w:t>（KW）</w:t>
            </w:r>
          </w:p>
        </w:tc>
        <w:tc>
          <w:tcPr>
            <w:tcW w:w="854" w:type="dxa"/>
            <w:vAlign w:val="top"/>
          </w:tcPr>
          <w:p w14:paraId="4500F251">
            <w:pPr>
              <w:pStyle w:val="6"/>
              <w:spacing w:before="44" w:line="220" w:lineRule="auto"/>
              <w:ind w:left="222"/>
              <w:rPr>
                <w:sz w:val="21"/>
                <w:szCs w:val="21"/>
              </w:rPr>
            </w:pPr>
            <w:r>
              <w:rPr>
                <w:spacing w:val="-3"/>
                <w:sz w:val="21"/>
                <w:szCs w:val="21"/>
              </w:rPr>
              <w:t>生产</w:t>
            </w:r>
          </w:p>
          <w:p w14:paraId="5C81D7BD">
            <w:pPr>
              <w:pStyle w:val="6"/>
              <w:spacing w:before="65" w:line="220" w:lineRule="auto"/>
              <w:ind w:left="228"/>
              <w:rPr>
                <w:sz w:val="21"/>
                <w:szCs w:val="21"/>
              </w:rPr>
            </w:pPr>
            <w:r>
              <w:rPr>
                <w:spacing w:val="-4"/>
                <w:sz w:val="21"/>
                <w:szCs w:val="21"/>
              </w:rPr>
              <w:t>能力</w:t>
            </w:r>
          </w:p>
        </w:tc>
        <w:tc>
          <w:tcPr>
            <w:tcW w:w="869" w:type="dxa"/>
            <w:vAlign w:val="top"/>
          </w:tcPr>
          <w:p w14:paraId="49D05A0E">
            <w:pPr>
              <w:pStyle w:val="6"/>
              <w:spacing w:before="44" w:line="221" w:lineRule="auto"/>
              <w:ind w:left="119"/>
              <w:rPr>
                <w:sz w:val="21"/>
                <w:szCs w:val="21"/>
              </w:rPr>
            </w:pPr>
            <w:r>
              <w:rPr>
                <w:spacing w:val="-2"/>
                <w:sz w:val="21"/>
                <w:szCs w:val="21"/>
              </w:rPr>
              <w:t>用于施</w:t>
            </w:r>
          </w:p>
          <w:p w14:paraId="1E210571">
            <w:pPr>
              <w:pStyle w:val="6"/>
              <w:spacing w:before="63" w:line="220" w:lineRule="auto"/>
              <w:ind w:left="120"/>
              <w:rPr>
                <w:sz w:val="21"/>
                <w:szCs w:val="21"/>
              </w:rPr>
            </w:pPr>
            <w:r>
              <w:rPr>
                <w:spacing w:val="-3"/>
                <w:sz w:val="21"/>
                <w:szCs w:val="21"/>
              </w:rPr>
              <w:t>工部位</w:t>
            </w:r>
          </w:p>
        </w:tc>
        <w:tc>
          <w:tcPr>
            <w:tcW w:w="757" w:type="dxa"/>
            <w:vAlign w:val="top"/>
          </w:tcPr>
          <w:p w14:paraId="609A7448">
            <w:pPr>
              <w:pStyle w:val="6"/>
              <w:spacing w:before="194" w:line="221" w:lineRule="auto"/>
              <w:ind w:left="182"/>
              <w:rPr>
                <w:sz w:val="21"/>
                <w:szCs w:val="21"/>
              </w:rPr>
            </w:pPr>
            <w:r>
              <w:rPr>
                <w:spacing w:val="-3"/>
                <w:sz w:val="21"/>
                <w:szCs w:val="21"/>
              </w:rPr>
              <w:t>备注</w:t>
            </w:r>
          </w:p>
        </w:tc>
      </w:tr>
      <w:tr w14:paraId="6AEB7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E32F5E0">
            <w:pPr>
              <w:rPr>
                <w:rFonts w:ascii="Arial"/>
                <w:sz w:val="21"/>
              </w:rPr>
            </w:pPr>
          </w:p>
        </w:tc>
        <w:tc>
          <w:tcPr>
            <w:tcW w:w="1050" w:type="dxa"/>
            <w:vAlign w:val="top"/>
          </w:tcPr>
          <w:p w14:paraId="38FF605B">
            <w:pPr>
              <w:rPr>
                <w:rFonts w:ascii="Arial"/>
                <w:sz w:val="21"/>
              </w:rPr>
            </w:pPr>
          </w:p>
        </w:tc>
        <w:tc>
          <w:tcPr>
            <w:tcW w:w="660" w:type="dxa"/>
            <w:vAlign w:val="top"/>
          </w:tcPr>
          <w:p w14:paraId="5ED706FF">
            <w:pPr>
              <w:rPr>
                <w:rFonts w:ascii="Arial"/>
                <w:sz w:val="21"/>
              </w:rPr>
            </w:pPr>
          </w:p>
        </w:tc>
        <w:tc>
          <w:tcPr>
            <w:tcW w:w="1004" w:type="dxa"/>
            <w:vAlign w:val="top"/>
          </w:tcPr>
          <w:p w14:paraId="7C29A775">
            <w:pPr>
              <w:rPr>
                <w:rFonts w:ascii="Arial"/>
                <w:sz w:val="21"/>
              </w:rPr>
            </w:pPr>
          </w:p>
        </w:tc>
        <w:tc>
          <w:tcPr>
            <w:tcW w:w="705" w:type="dxa"/>
            <w:vAlign w:val="top"/>
          </w:tcPr>
          <w:p w14:paraId="7A551B97">
            <w:pPr>
              <w:rPr>
                <w:rFonts w:ascii="Arial"/>
                <w:sz w:val="21"/>
              </w:rPr>
            </w:pPr>
          </w:p>
        </w:tc>
        <w:tc>
          <w:tcPr>
            <w:tcW w:w="705" w:type="dxa"/>
            <w:vAlign w:val="top"/>
          </w:tcPr>
          <w:p w14:paraId="5FD2A80D">
            <w:pPr>
              <w:rPr>
                <w:rFonts w:ascii="Arial"/>
                <w:sz w:val="21"/>
              </w:rPr>
            </w:pPr>
          </w:p>
        </w:tc>
        <w:tc>
          <w:tcPr>
            <w:tcW w:w="1169" w:type="dxa"/>
            <w:vAlign w:val="top"/>
          </w:tcPr>
          <w:p w14:paraId="65BE1C33">
            <w:pPr>
              <w:rPr>
                <w:rFonts w:ascii="Arial"/>
                <w:sz w:val="21"/>
              </w:rPr>
            </w:pPr>
          </w:p>
        </w:tc>
        <w:tc>
          <w:tcPr>
            <w:tcW w:w="854" w:type="dxa"/>
            <w:vAlign w:val="top"/>
          </w:tcPr>
          <w:p w14:paraId="168B79B0">
            <w:pPr>
              <w:rPr>
                <w:rFonts w:ascii="Arial"/>
                <w:sz w:val="21"/>
              </w:rPr>
            </w:pPr>
          </w:p>
        </w:tc>
        <w:tc>
          <w:tcPr>
            <w:tcW w:w="869" w:type="dxa"/>
            <w:vAlign w:val="top"/>
          </w:tcPr>
          <w:p w14:paraId="103B66A9">
            <w:pPr>
              <w:rPr>
                <w:rFonts w:ascii="Arial"/>
                <w:sz w:val="21"/>
              </w:rPr>
            </w:pPr>
          </w:p>
        </w:tc>
        <w:tc>
          <w:tcPr>
            <w:tcW w:w="757" w:type="dxa"/>
            <w:vAlign w:val="top"/>
          </w:tcPr>
          <w:p w14:paraId="0274032E">
            <w:pPr>
              <w:rPr>
                <w:rFonts w:ascii="Arial"/>
                <w:sz w:val="21"/>
              </w:rPr>
            </w:pPr>
          </w:p>
        </w:tc>
      </w:tr>
      <w:tr w14:paraId="3506E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DB27391">
            <w:pPr>
              <w:rPr>
                <w:rFonts w:ascii="Arial"/>
                <w:sz w:val="21"/>
              </w:rPr>
            </w:pPr>
          </w:p>
        </w:tc>
        <w:tc>
          <w:tcPr>
            <w:tcW w:w="1050" w:type="dxa"/>
            <w:vAlign w:val="top"/>
          </w:tcPr>
          <w:p w14:paraId="1042FF07">
            <w:pPr>
              <w:rPr>
                <w:rFonts w:ascii="Arial"/>
                <w:sz w:val="21"/>
              </w:rPr>
            </w:pPr>
          </w:p>
        </w:tc>
        <w:tc>
          <w:tcPr>
            <w:tcW w:w="660" w:type="dxa"/>
            <w:vAlign w:val="top"/>
          </w:tcPr>
          <w:p w14:paraId="7D7F3161">
            <w:pPr>
              <w:rPr>
                <w:rFonts w:ascii="Arial"/>
                <w:sz w:val="21"/>
              </w:rPr>
            </w:pPr>
          </w:p>
        </w:tc>
        <w:tc>
          <w:tcPr>
            <w:tcW w:w="1004" w:type="dxa"/>
            <w:vAlign w:val="top"/>
          </w:tcPr>
          <w:p w14:paraId="264E06F7">
            <w:pPr>
              <w:rPr>
                <w:rFonts w:ascii="Arial"/>
                <w:sz w:val="21"/>
              </w:rPr>
            </w:pPr>
          </w:p>
        </w:tc>
        <w:tc>
          <w:tcPr>
            <w:tcW w:w="705" w:type="dxa"/>
            <w:vAlign w:val="top"/>
          </w:tcPr>
          <w:p w14:paraId="733AA350">
            <w:pPr>
              <w:rPr>
                <w:rFonts w:ascii="Arial"/>
                <w:sz w:val="21"/>
              </w:rPr>
            </w:pPr>
          </w:p>
        </w:tc>
        <w:tc>
          <w:tcPr>
            <w:tcW w:w="705" w:type="dxa"/>
            <w:vAlign w:val="top"/>
          </w:tcPr>
          <w:p w14:paraId="3B318335">
            <w:pPr>
              <w:rPr>
                <w:rFonts w:ascii="Arial"/>
                <w:sz w:val="21"/>
              </w:rPr>
            </w:pPr>
          </w:p>
        </w:tc>
        <w:tc>
          <w:tcPr>
            <w:tcW w:w="1169" w:type="dxa"/>
            <w:vAlign w:val="top"/>
          </w:tcPr>
          <w:p w14:paraId="4382DB68">
            <w:pPr>
              <w:rPr>
                <w:rFonts w:ascii="Arial"/>
                <w:sz w:val="21"/>
              </w:rPr>
            </w:pPr>
          </w:p>
        </w:tc>
        <w:tc>
          <w:tcPr>
            <w:tcW w:w="854" w:type="dxa"/>
            <w:vAlign w:val="top"/>
          </w:tcPr>
          <w:p w14:paraId="42ACCDD2">
            <w:pPr>
              <w:rPr>
                <w:rFonts w:ascii="Arial"/>
                <w:sz w:val="21"/>
              </w:rPr>
            </w:pPr>
          </w:p>
        </w:tc>
        <w:tc>
          <w:tcPr>
            <w:tcW w:w="869" w:type="dxa"/>
            <w:vAlign w:val="top"/>
          </w:tcPr>
          <w:p w14:paraId="040ACDB8">
            <w:pPr>
              <w:rPr>
                <w:rFonts w:ascii="Arial"/>
                <w:sz w:val="21"/>
              </w:rPr>
            </w:pPr>
          </w:p>
        </w:tc>
        <w:tc>
          <w:tcPr>
            <w:tcW w:w="757" w:type="dxa"/>
            <w:vAlign w:val="top"/>
          </w:tcPr>
          <w:p w14:paraId="233CF300">
            <w:pPr>
              <w:rPr>
                <w:rFonts w:ascii="Arial"/>
                <w:sz w:val="21"/>
              </w:rPr>
            </w:pPr>
          </w:p>
        </w:tc>
      </w:tr>
      <w:tr w14:paraId="50455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D0D9CC4">
            <w:pPr>
              <w:rPr>
                <w:rFonts w:ascii="Arial"/>
                <w:sz w:val="21"/>
              </w:rPr>
            </w:pPr>
          </w:p>
        </w:tc>
        <w:tc>
          <w:tcPr>
            <w:tcW w:w="1050" w:type="dxa"/>
            <w:vAlign w:val="top"/>
          </w:tcPr>
          <w:p w14:paraId="6E693D84">
            <w:pPr>
              <w:rPr>
                <w:rFonts w:ascii="Arial"/>
                <w:sz w:val="21"/>
              </w:rPr>
            </w:pPr>
          </w:p>
        </w:tc>
        <w:tc>
          <w:tcPr>
            <w:tcW w:w="660" w:type="dxa"/>
            <w:vAlign w:val="top"/>
          </w:tcPr>
          <w:p w14:paraId="17BB401A">
            <w:pPr>
              <w:rPr>
                <w:rFonts w:ascii="Arial"/>
                <w:sz w:val="21"/>
              </w:rPr>
            </w:pPr>
          </w:p>
        </w:tc>
        <w:tc>
          <w:tcPr>
            <w:tcW w:w="1004" w:type="dxa"/>
            <w:vAlign w:val="top"/>
          </w:tcPr>
          <w:p w14:paraId="0D5C061C">
            <w:pPr>
              <w:rPr>
                <w:rFonts w:ascii="Arial"/>
                <w:sz w:val="21"/>
              </w:rPr>
            </w:pPr>
          </w:p>
        </w:tc>
        <w:tc>
          <w:tcPr>
            <w:tcW w:w="705" w:type="dxa"/>
            <w:vAlign w:val="top"/>
          </w:tcPr>
          <w:p w14:paraId="71874EDA">
            <w:pPr>
              <w:rPr>
                <w:rFonts w:ascii="Arial"/>
                <w:sz w:val="21"/>
              </w:rPr>
            </w:pPr>
          </w:p>
        </w:tc>
        <w:tc>
          <w:tcPr>
            <w:tcW w:w="705" w:type="dxa"/>
            <w:vAlign w:val="top"/>
          </w:tcPr>
          <w:p w14:paraId="6FD17474">
            <w:pPr>
              <w:rPr>
                <w:rFonts w:ascii="Arial"/>
                <w:sz w:val="21"/>
              </w:rPr>
            </w:pPr>
          </w:p>
        </w:tc>
        <w:tc>
          <w:tcPr>
            <w:tcW w:w="1169" w:type="dxa"/>
            <w:vAlign w:val="top"/>
          </w:tcPr>
          <w:p w14:paraId="430C30D6">
            <w:pPr>
              <w:rPr>
                <w:rFonts w:ascii="Arial"/>
                <w:sz w:val="21"/>
              </w:rPr>
            </w:pPr>
          </w:p>
        </w:tc>
        <w:tc>
          <w:tcPr>
            <w:tcW w:w="854" w:type="dxa"/>
            <w:vAlign w:val="top"/>
          </w:tcPr>
          <w:p w14:paraId="601C40F3">
            <w:pPr>
              <w:rPr>
                <w:rFonts w:ascii="Arial"/>
                <w:sz w:val="21"/>
              </w:rPr>
            </w:pPr>
          </w:p>
        </w:tc>
        <w:tc>
          <w:tcPr>
            <w:tcW w:w="869" w:type="dxa"/>
            <w:vAlign w:val="top"/>
          </w:tcPr>
          <w:p w14:paraId="12F8642C">
            <w:pPr>
              <w:rPr>
                <w:rFonts w:ascii="Arial"/>
                <w:sz w:val="21"/>
              </w:rPr>
            </w:pPr>
          </w:p>
        </w:tc>
        <w:tc>
          <w:tcPr>
            <w:tcW w:w="757" w:type="dxa"/>
            <w:vAlign w:val="top"/>
          </w:tcPr>
          <w:p w14:paraId="7380F3F8">
            <w:pPr>
              <w:rPr>
                <w:rFonts w:ascii="Arial"/>
                <w:sz w:val="21"/>
              </w:rPr>
            </w:pPr>
          </w:p>
        </w:tc>
      </w:tr>
      <w:tr w14:paraId="4CDA6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D3AA73B">
            <w:pPr>
              <w:rPr>
                <w:rFonts w:ascii="Arial"/>
                <w:sz w:val="21"/>
              </w:rPr>
            </w:pPr>
          </w:p>
        </w:tc>
        <w:tc>
          <w:tcPr>
            <w:tcW w:w="1050" w:type="dxa"/>
            <w:vAlign w:val="top"/>
          </w:tcPr>
          <w:p w14:paraId="7260F35E">
            <w:pPr>
              <w:rPr>
                <w:rFonts w:ascii="Arial"/>
                <w:sz w:val="21"/>
              </w:rPr>
            </w:pPr>
          </w:p>
        </w:tc>
        <w:tc>
          <w:tcPr>
            <w:tcW w:w="660" w:type="dxa"/>
            <w:vAlign w:val="top"/>
          </w:tcPr>
          <w:p w14:paraId="4C7B4A2D">
            <w:pPr>
              <w:rPr>
                <w:rFonts w:ascii="Arial"/>
                <w:sz w:val="21"/>
              </w:rPr>
            </w:pPr>
          </w:p>
        </w:tc>
        <w:tc>
          <w:tcPr>
            <w:tcW w:w="1004" w:type="dxa"/>
            <w:vAlign w:val="top"/>
          </w:tcPr>
          <w:p w14:paraId="0FBBBA30">
            <w:pPr>
              <w:rPr>
                <w:rFonts w:ascii="Arial"/>
                <w:sz w:val="21"/>
              </w:rPr>
            </w:pPr>
          </w:p>
        </w:tc>
        <w:tc>
          <w:tcPr>
            <w:tcW w:w="705" w:type="dxa"/>
            <w:vAlign w:val="top"/>
          </w:tcPr>
          <w:p w14:paraId="6AFBE827">
            <w:pPr>
              <w:rPr>
                <w:rFonts w:ascii="Arial"/>
                <w:sz w:val="21"/>
              </w:rPr>
            </w:pPr>
          </w:p>
        </w:tc>
        <w:tc>
          <w:tcPr>
            <w:tcW w:w="705" w:type="dxa"/>
            <w:vAlign w:val="top"/>
          </w:tcPr>
          <w:p w14:paraId="3AA7E726">
            <w:pPr>
              <w:rPr>
                <w:rFonts w:ascii="Arial"/>
                <w:sz w:val="21"/>
              </w:rPr>
            </w:pPr>
          </w:p>
        </w:tc>
        <w:tc>
          <w:tcPr>
            <w:tcW w:w="1169" w:type="dxa"/>
            <w:vAlign w:val="top"/>
          </w:tcPr>
          <w:p w14:paraId="383F806C">
            <w:pPr>
              <w:rPr>
                <w:rFonts w:ascii="Arial"/>
                <w:sz w:val="21"/>
              </w:rPr>
            </w:pPr>
          </w:p>
        </w:tc>
        <w:tc>
          <w:tcPr>
            <w:tcW w:w="854" w:type="dxa"/>
            <w:vAlign w:val="top"/>
          </w:tcPr>
          <w:p w14:paraId="65926A04">
            <w:pPr>
              <w:rPr>
                <w:rFonts w:ascii="Arial"/>
                <w:sz w:val="21"/>
              </w:rPr>
            </w:pPr>
          </w:p>
        </w:tc>
        <w:tc>
          <w:tcPr>
            <w:tcW w:w="869" w:type="dxa"/>
            <w:vAlign w:val="top"/>
          </w:tcPr>
          <w:p w14:paraId="5F95E7B7">
            <w:pPr>
              <w:rPr>
                <w:rFonts w:ascii="Arial"/>
                <w:sz w:val="21"/>
              </w:rPr>
            </w:pPr>
          </w:p>
        </w:tc>
        <w:tc>
          <w:tcPr>
            <w:tcW w:w="757" w:type="dxa"/>
            <w:vAlign w:val="top"/>
          </w:tcPr>
          <w:p w14:paraId="3F407057">
            <w:pPr>
              <w:rPr>
                <w:rFonts w:ascii="Arial"/>
                <w:sz w:val="21"/>
              </w:rPr>
            </w:pPr>
          </w:p>
        </w:tc>
      </w:tr>
      <w:tr w14:paraId="507E0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8F85BAD">
            <w:pPr>
              <w:rPr>
                <w:rFonts w:ascii="Arial"/>
                <w:sz w:val="21"/>
              </w:rPr>
            </w:pPr>
          </w:p>
        </w:tc>
        <w:tc>
          <w:tcPr>
            <w:tcW w:w="1050" w:type="dxa"/>
            <w:vAlign w:val="top"/>
          </w:tcPr>
          <w:p w14:paraId="4184EBE3">
            <w:pPr>
              <w:rPr>
                <w:rFonts w:ascii="Arial"/>
                <w:sz w:val="21"/>
              </w:rPr>
            </w:pPr>
          </w:p>
        </w:tc>
        <w:tc>
          <w:tcPr>
            <w:tcW w:w="660" w:type="dxa"/>
            <w:vAlign w:val="top"/>
          </w:tcPr>
          <w:p w14:paraId="67DF2E9A">
            <w:pPr>
              <w:rPr>
                <w:rFonts w:ascii="Arial"/>
                <w:sz w:val="21"/>
              </w:rPr>
            </w:pPr>
          </w:p>
        </w:tc>
        <w:tc>
          <w:tcPr>
            <w:tcW w:w="1004" w:type="dxa"/>
            <w:vAlign w:val="top"/>
          </w:tcPr>
          <w:p w14:paraId="608551E1">
            <w:pPr>
              <w:rPr>
                <w:rFonts w:ascii="Arial"/>
                <w:sz w:val="21"/>
              </w:rPr>
            </w:pPr>
          </w:p>
        </w:tc>
        <w:tc>
          <w:tcPr>
            <w:tcW w:w="705" w:type="dxa"/>
            <w:vAlign w:val="top"/>
          </w:tcPr>
          <w:p w14:paraId="1B201ED3">
            <w:pPr>
              <w:rPr>
                <w:rFonts w:ascii="Arial"/>
                <w:sz w:val="21"/>
              </w:rPr>
            </w:pPr>
          </w:p>
        </w:tc>
        <w:tc>
          <w:tcPr>
            <w:tcW w:w="705" w:type="dxa"/>
            <w:vAlign w:val="top"/>
          </w:tcPr>
          <w:p w14:paraId="6E03C33D">
            <w:pPr>
              <w:rPr>
                <w:rFonts w:ascii="Arial"/>
                <w:sz w:val="21"/>
              </w:rPr>
            </w:pPr>
          </w:p>
        </w:tc>
        <w:tc>
          <w:tcPr>
            <w:tcW w:w="1169" w:type="dxa"/>
            <w:vAlign w:val="top"/>
          </w:tcPr>
          <w:p w14:paraId="5C23919D">
            <w:pPr>
              <w:rPr>
                <w:rFonts w:ascii="Arial"/>
                <w:sz w:val="21"/>
              </w:rPr>
            </w:pPr>
          </w:p>
        </w:tc>
        <w:tc>
          <w:tcPr>
            <w:tcW w:w="854" w:type="dxa"/>
            <w:vAlign w:val="top"/>
          </w:tcPr>
          <w:p w14:paraId="02221449">
            <w:pPr>
              <w:rPr>
                <w:rFonts w:ascii="Arial"/>
                <w:sz w:val="21"/>
              </w:rPr>
            </w:pPr>
          </w:p>
        </w:tc>
        <w:tc>
          <w:tcPr>
            <w:tcW w:w="869" w:type="dxa"/>
            <w:vAlign w:val="top"/>
          </w:tcPr>
          <w:p w14:paraId="4458ACCE">
            <w:pPr>
              <w:rPr>
                <w:rFonts w:ascii="Arial"/>
                <w:sz w:val="21"/>
              </w:rPr>
            </w:pPr>
          </w:p>
        </w:tc>
        <w:tc>
          <w:tcPr>
            <w:tcW w:w="757" w:type="dxa"/>
            <w:vAlign w:val="top"/>
          </w:tcPr>
          <w:p w14:paraId="4799A16D">
            <w:pPr>
              <w:rPr>
                <w:rFonts w:ascii="Arial"/>
                <w:sz w:val="21"/>
              </w:rPr>
            </w:pPr>
          </w:p>
        </w:tc>
      </w:tr>
      <w:tr w14:paraId="76404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6920977">
            <w:pPr>
              <w:rPr>
                <w:rFonts w:ascii="Arial"/>
                <w:sz w:val="21"/>
              </w:rPr>
            </w:pPr>
          </w:p>
        </w:tc>
        <w:tc>
          <w:tcPr>
            <w:tcW w:w="1050" w:type="dxa"/>
            <w:vAlign w:val="top"/>
          </w:tcPr>
          <w:p w14:paraId="53C27307">
            <w:pPr>
              <w:rPr>
                <w:rFonts w:ascii="Arial"/>
                <w:sz w:val="21"/>
              </w:rPr>
            </w:pPr>
          </w:p>
        </w:tc>
        <w:tc>
          <w:tcPr>
            <w:tcW w:w="660" w:type="dxa"/>
            <w:vAlign w:val="top"/>
          </w:tcPr>
          <w:p w14:paraId="2670F356">
            <w:pPr>
              <w:rPr>
                <w:rFonts w:ascii="Arial"/>
                <w:sz w:val="21"/>
              </w:rPr>
            </w:pPr>
          </w:p>
        </w:tc>
        <w:tc>
          <w:tcPr>
            <w:tcW w:w="1004" w:type="dxa"/>
            <w:vAlign w:val="top"/>
          </w:tcPr>
          <w:p w14:paraId="6DFCBB58">
            <w:pPr>
              <w:rPr>
                <w:rFonts w:ascii="Arial"/>
                <w:sz w:val="21"/>
              </w:rPr>
            </w:pPr>
          </w:p>
        </w:tc>
        <w:tc>
          <w:tcPr>
            <w:tcW w:w="705" w:type="dxa"/>
            <w:vAlign w:val="top"/>
          </w:tcPr>
          <w:p w14:paraId="4DF0C736">
            <w:pPr>
              <w:rPr>
                <w:rFonts w:ascii="Arial"/>
                <w:sz w:val="21"/>
              </w:rPr>
            </w:pPr>
          </w:p>
        </w:tc>
        <w:tc>
          <w:tcPr>
            <w:tcW w:w="705" w:type="dxa"/>
            <w:vAlign w:val="top"/>
          </w:tcPr>
          <w:p w14:paraId="578E4C33">
            <w:pPr>
              <w:rPr>
                <w:rFonts w:ascii="Arial"/>
                <w:sz w:val="21"/>
              </w:rPr>
            </w:pPr>
          </w:p>
        </w:tc>
        <w:tc>
          <w:tcPr>
            <w:tcW w:w="1169" w:type="dxa"/>
            <w:vAlign w:val="top"/>
          </w:tcPr>
          <w:p w14:paraId="5284ABE2">
            <w:pPr>
              <w:rPr>
                <w:rFonts w:ascii="Arial"/>
                <w:sz w:val="21"/>
              </w:rPr>
            </w:pPr>
          </w:p>
        </w:tc>
        <w:tc>
          <w:tcPr>
            <w:tcW w:w="854" w:type="dxa"/>
            <w:vAlign w:val="top"/>
          </w:tcPr>
          <w:p w14:paraId="4A8C2E2A">
            <w:pPr>
              <w:rPr>
                <w:rFonts w:ascii="Arial"/>
                <w:sz w:val="21"/>
              </w:rPr>
            </w:pPr>
          </w:p>
        </w:tc>
        <w:tc>
          <w:tcPr>
            <w:tcW w:w="869" w:type="dxa"/>
            <w:vAlign w:val="top"/>
          </w:tcPr>
          <w:p w14:paraId="658DE8F7">
            <w:pPr>
              <w:rPr>
                <w:rFonts w:ascii="Arial"/>
                <w:sz w:val="21"/>
              </w:rPr>
            </w:pPr>
          </w:p>
        </w:tc>
        <w:tc>
          <w:tcPr>
            <w:tcW w:w="757" w:type="dxa"/>
            <w:vAlign w:val="top"/>
          </w:tcPr>
          <w:p w14:paraId="39471A8C">
            <w:pPr>
              <w:rPr>
                <w:rFonts w:ascii="Arial"/>
                <w:sz w:val="21"/>
              </w:rPr>
            </w:pPr>
          </w:p>
        </w:tc>
      </w:tr>
      <w:tr w14:paraId="36815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6F85E7D">
            <w:pPr>
              <w:rPr>
                <w:rFonts w:ascii="Arial"/>
                <w:sz w:val="21"/>
              </w:rPr>
            </w:pPr>
          </w:p>
        </w:tc>
        <w:tc>
          <w:tcPr>
            <w:tcW w:w="1050" w:type="dxa"/>
            <w:vAlign w:val="top"/>
          </w:tcPr>
          <w:p w14:paraId="256079BC">
            <w:pPr>
              <w:rPr>
                <w:rFonts w:ascii="Arial"/>
                <w:sz w:val="21"/>
              </w:rPr>
            </w:pPr>
          </w:p>
        </w:tc>
        <w:tc>
          <w:tcPr>
            <w:tcW w:w="660" w:type="dxa"/>
            <w:vAlign w:val="top"/>
          </w:tcPr>
          <w:p w14:paraId="69EAAA4E">
            <w:pPr>
              <w:rPr>
                <w:rFonts w:ascii="Arial"/>
                <w:sz w:val="21"/>
              </w:rPr>
            </w:pPr>
          </w:p>
        </w:tc>
        <w:tc>
          <w:tcPr>
            <w:tcW w:w="1004" w:type="dxa"/>
            <w:vAlign w:val="top"/>
          </w:tcPr>
          <w:p w14:paraId="0FF3DCDC">
            <w:pPr>
              <w:rPr>
                <w:rFonts w:ascii="Arial"/>
                <w:sz w:val="21"/>
              </w:rPr>
            </w:pPr>
          </w:p>
        </w:tc>
        <w:tc>
          <w:tcPr>
            <w:tcW w:w="705" w:type="dxa"/>
            <w:vAlign w:val="top"/>
          </w:tcPr>
          <w:p w14:paraId="5C1B5F06">
            <w:pPr>
              <w:rPr>
                <w:rFonts w:ascii="Arial"/>
                <w:sz w:val="21"/>
              </w:rPr>
            </w:pPr>
          </w:p>
        </w:tc>
        <w:tc>
          <w:tcPr>
            <w:tcW w:w="705" w:type="dxa"/>
            <w:vAlign w:val="top"/>
          </w:tcPr>
          <w:p w14:paraId="5A6F7A84">
            <w:pPr>
              <w:rPr>
                <w:rFonts w:ascii="Arial"/>
                <w:sz w:val="21"/>
              </w:rPr>
            </w:pPr>
          </w:p>
        </w:tc>
        <w:tc>
          <w:tcPr>
            <w:tcW w:w="1169" w:type="dxa"/>
            <w:vAlign w:val="top"/>
          </w:tcPr>
          <w:p w14:paraId="483AFCBF">
            <w:pPr>
              <w:rPr>
                <w:rFonts w:ascii="Arial"/>
                <w:sz w:val="21"/>
              </w:rPr>
            </w:pPr>
          </w:p>
        </w:tc>
        <w:tc>
          <w:tcPr>
            <w:tcW w:w="854" w:type="dxa"/>
            <w:vAlign w:val="top"/>
          </w:tcPr>
          <w:p w14:paraId="3798974D">
            <w:pPr>
              <w:rPr>
                <w:rFonts w:ascii="Arial"/>
                <w:sz w:val="21"/>
              </w:rPr>
            </w:pPr>
          </w:p>
        </w:tc>
        <w:tc>
          <w:tcPr>
            <w:tcW w:w="869" w:type="dxa"/>
            <w:vAlign w:val="top"/>
          </w:tcPr>
          <w:p w14:paraId="694E87C2">
            <w:pPr>
              <w:rPr>
                <w:rFonts w:ascii="Arial"/>
                <w:sz w:val="21"/>
              </w:rPr>
            </w:pPr>
          </w:p>
        </w:tc>
        <w:tc>
          <w:tcPr>
            <w:tcW w:w="757" w:type="dxa"/>
            <w:vAlign w:val="top"/>
          </w:tcPr>
          <w:p w14:paraId="05610A92">
            <w:pPr>
              <w:rPr>
                <w:rFonts w:ascii="Arial"/>
                <w:sz w:val="21"/>
              </w:rPr>
            </w:pPr>
          </w:p>
        </w:tc>
      </w:tr>
      <w:tr w14:paraId="3D61A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6C35E6F">
            <w:pPr>
              <w:rPr>
                <w:rFonts w:ascii="Arial"/>
                <w:sz w:val="21"/>
              </w:rPr>
            </w:pPr>
          </w:p>
        </w:tc>
        <w:tc>
          <w:tcPr>
            <w:tcW w:w="1050" w:type="dxa"/>
            <w:vAlign w:val="top"/>
          </w:tcPr>
          <w:p w14:paraId="3BC1A210">
            <w:pPr>
              <w:rPr>
                <w:rFonts w:ascii="Arial"/>
                <w:sz w:val="21"/>
              </w:rPr>
            </w:pPr>
          </w:p>
        </w:tc>
        <w:tc>
          <w:tcPr>
            <w:tcW w:w="660" w:type="dxa"/>
            <w:vAlign w:val="top"/>
          </w:tcPr>
          <w:p w14:paraId="246D0626">
            <w:pPr>
              <w:rPr>
                <w:rFonts w:ascii="Arial"/>
                <w:sz w:val="21"/>
              </w:rPr>
            </w:pPr>
          </w:p>
        </w:tc>
        <w:tc>
          <w:tcPr>
            <w:tcW w:w="1004" w:type="dxa"/>
            <w:vAlign w:val="top"/>
          </w:tcPr>
          <w:p w14:paraId="54EDA3DA">
            <w:pPr>
              <w:rPr>
                <w:rFonts w:ascii="Arial"/>
                <w:sz w:val="21"/>
              </w:rPr>
            </w:pPr>
          </w:p>
        </w:tc>
        <w:tc>
          <w:tcPr>
            <w:tcW w:w="705" w:type="dxa"/>
            <w:vAlign w:val="top"/>
          </w:tcPr>
          <w:p w14:paraId="39D6C92D">
            <w:pPr>
              <w:rPr>
                <w:rFonts w:ascii="Arial"/>
                <w:sz w:val="21"/>
              </w:rPr>
            </w:pPr>
          </w:p>
        </w:tc>
        <w:tc>
          <w:tcPr>
            <w:tcW w:w="705" w:type="dxa"/>
            <w:vAlign w:val="top"/>
          </w:tcPr>
          <w:p w14:paraId="4720C1EE">
            <w:pPr>
              <w:rPr>
                <w:rFonts w:ascii="Arial"/>
                <w:sz w:val="21"/>
              </w:rPr>
            </w:pPr>
          </w:p>
        </w:tc>
        <w:tc>
          <w:tcPr>
            <w:tcW w:w="1169" w:type="dxa"/>
            <w:vAlign w:val="top"/>
          </w:tcPr>
          <w:p w14:paraId="419142BB">
            <w:pPr>
              <w:rPr>
                <w:rFonts w:ascii="Arial"/>
                <w:sz w:val="21"/>
              </w:rPr>
            </w:pPr>
          </w:p>
        </w:tc>
        <w:tc>
          <w:tcPr>
            <w:tcW w:w="854" w:type="dxa"/>
            <w:vAlign w:val="top"/>
          </w:tcPr>
          <w:p w14:paraId="1523E21E">
            <w:pPr>
              <w:rPr>
                <w:rFonts w:ascii="Arial"/>
                <w:sz w:val="21"/>
              </w:rPr>
            </w:pPr>
          </w:p>
        </w:tc>
        <w:tc>
          <w:tcPr>
            <w:tcW w:w="869" w:type="dxa"/>
            <w:vAlign w:val="top"/>
          </w:tcPr>
          <w:p w14:paraId="5AF354B0">
            <w:pPr>
              <w:rPr>
                <w:rFonts w:ascii="Arial"/>
                <w:sz w:val="21"/>
              </w:rPr>
            </w:pPr>
          </w:p>
        </w:tc>
        <w:tc>
          <w:tcPr>
            <w:tcW w:w="757" w:type="dxa"/>
            <w:vAlign w:val="top"/>
          </w:tcPr>
          <w:p w14:paraId="44A378D1">
            <w:pPr>
              <w:rPr>
                <w:rFonts w:ascii="Arial"/>
                <w:sz w:val="21"/>
              </w:rPr>
            </w:pPr>
          </w:p>
        </w:tc>
      </w:tr>
      <w:tr w14:paraId="7757C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6BC0309">
            <w:pPr>
              <w:rPr>
                <w:rFonts w:ascii="Arial"/>
                <w:sz w:val="21"/>
              </w:rPr>
            </w:pPr>
          </w:p>
        </w:tc>
        <w:tc>
          <w:tcPr>
            <w:tcW w:w="1050" w:type="dxa"/>
            <w:vAlign w:val="top"/>
          </w:tcPr>
          <w:p w14:paraId="076AB99A">
            <w:pPr>
              <w:rPr>
                <w:rFonts w:ascii="Arial"/>
                <w:sz w:val="21"/>
              </w:rPr>
            </w:pPr>
          </w:p>
        </w:tc>
        <w:tc>
          <w:tcPr>
            <w:tcW w:w="660" w:type="dxa"/>
            <w:vAlign w:val="top"/>
          </w:tcPr>
          <w:p w14:paraId="71B346E7">
            <w:pPr>
              <w:rPr>
                <w:rFonts w:ascii="Arial"/>
                <w:sz w:val="21"/>
              </w:rPr>
            </w:pPr>
          </w:p>
        </w:tc>
        <w:tc>
          <w:tcPr>
            <w:tcW w:w="1004" w:type="dxa"/>
            <w:vAlign w:val="top"/>
          </w:tcPr>
          <w:p w14:paraId="58193E87">
            <w:pPr>
              <w:rPr>
                <w:rFonts w:ascii="Arial"/>
                <w:sz w:val="21"/>
              </w:rPr>
            </w:pPr>
          </w:p>
        </w:tc>
        <w:tc>
          <w:tcPr>
            <w:tcW w:w="705" w:type="dxa"/>
            <w:vAlign w:val="top"/>
          </w:tcPr>
          <w:p w14:paraId="704F2761">
            <w:pPr>
              <w:rPr>
                <w:rFonts w:ascii="Arial"/>
                <w:sz w:val="21"/>
              </w:rPr>
            </w:pPr>
          </w:p>
        </w:tc>
        <w:tc>
          <w:tcPr>
            <w:tcW w:w="705" w:type="dxa"/>
            <w:vAlign w:val="top"/>
          </w:tcPr>
          <w:p w14:paraId="304BECC7">
            <w:pPr>
              <w:rPr>
                <w:rFonts w:ascii="Arial"/>
                <w:sz w:val="21"/>
              </w:rPr>
            </w:pPr>
          </w:p>
        </w:tc>
        <w:tc>
          <w:tcPr>
            <w:tcW w:w="1169" w:type="dxa"/>
            <w:vAlign w:val="top"/>
          </w:tcPr>
          <w:p w14:paraId="280A9826">
            <w:pPr>
              <w:rPr>
                <w:rFonts w:ascii="Arial"/>
                <w:sz w:val="21"/>
              </w:rPr>
            </w:pPr>
          </w:p>
        </w:tc>
        <w:tc>
          <w:tcPr>
            <w:tcW w:w="854" w:type="dxa"/>
            <w:vAlign w:val="top"/>
          </w:tcPr>
          <w:p w14:paraId="680220E1">
            <w:pPr>
              <w:rPr>
                <w:rFonts w:ascii="Arial"/>
                <w:sz w:val="21"/>
              </w:rPr>
            </w:pPr>
          </w:p>
        </w:tc>
        <w:tc>
          <w:tcPr>
            <w:tcW w:w="869" w:type="dxa"/>
            <w:vAlign w:val="top"/>
          </w:tcPr>
          <w:p w14:paraId="60EDBBBF">
            <w:pPr>
              <w:rPr>
                <w:rFonts w:ascii="Arial"/>
                <w:sz w:val="21"/>
              </w:rPr>
            </w:pPr>
          </w:p>
        </w:tc>
        <w:tc>
          <w:tcPr>
            <w:tcW w:w="757" w:type="dxa"/>
            <w:vAlign w:val="top"/>
          </w:tcPr>
          <w:p w14:paraId="3B43B2DE">
            <w:pPr>
              <w:rPr>
                <w:rFonts w:ascii="Arial"/>
                <w:sz w:val="21"/>
              </w:rPr>
            </w:pPr>
          </w:p>
        </w:tc>
      </w:tr>
      <w:tr w14:paraId="7AB8B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BA9664D">
            <w:pPr>
              <w:rPr>
                <w:rFonts w:ascii="Arial"/>
                <w:sz w:val="21"/>
              </w:rPr>
            </w:pPr>
          </w:p>
        </w:tc>
        <w:tc>
          <w:tcPr>
            <w:tcW w:w="1050" w:type="dxa"/>
            <w:vAlign w:val="top"/>
          </w:tcPr>
          <w:p w14:paraId="0134DFE6">
            <w:pPr>
              <w:rPr>
                <w:rFonts w:ascii="Arial"/>
                <w:sz w:val="21"/>
              </w:rPr>
            </w:pPr>
          </w:p>
        </w:tc>
        <w:tc>
          <w:tcPr>
            <w:tcW w:w="660" w:type="dxa"/>
            <w:vAlign w:val="top"/>
          </w:tcPr>
          <w:p w14:paraId="57C3D871">
            <w:pPr>
              <w:rPr>
                <w:rFonts w:ascii="Arial"/>
                <w:sz w:val="21"/>
              </w:rPr>
            </w:pPr>
          </w:p>
        </w:tc>
        <w:tc>
          <w:tcPr>
            <w:tcW w:w="1004" w:type="dxa"/>
            <w:vAlign w:val="top"/>
          </w:tcPr>
          <w:p w14:paraId="1C3C2606">
            <w:pPr>
              <w:rPr>
                <w:rFonts w:ascii="Arial"/>
                <w:sz w:val="21"/>
              </w:rPr>
            </w:pPr>
          </w:p>
        </w:tc>
        <w:tc>
          <w:tcPr>
            <w:tcW w:w="705" w:type="dxa"/>
            <w:vAlign w:val="top"/>
          </w:tcPr>
          <w:p w14:paraId="36C3FBF3">
            <w:pPr>
              <w:rPr>
                <w:rFonts w:ascii="Arial"/>
                <w:sz w:val="21"/>
              </w:rPr>
            </w:pPr>
          </w:p>
        </w:tc>
        <w:tc>
          <w:tcPr>
            <w:tcW w:w="705" w:type="dxa"/>
            <w:vAlign w:val="top"/>
          </w:tcPr>
          <w:p w14:paraId="52787F83">
            <w:pPr>
              <w:rPr>
                <w:rFonts w:ascii="Arial"/>
                <w:sz w:val="21"/>
              </w:rPr>
            </w:pPr>
          </w:p>
        </w:tc>
        <w:tc>
          <w:tcPr>
            <w:tcW w:w="1169" w:type="dxa"/>
            <w:vAlign w:val="top"/>
          </w:tcPr>
          <w:p w14:paraId="3F069660">
            <w:pPr>
              <w:rPr>
                <w:rFonts w:ascii="Arial"/>
                <w:sz w:val="21"/>
              </w:rPr>
            </w:pPr>
          </w:p>
        </w:tc>
        <w:tc>
          <w:tcPr>
            <w:tcW w:w="854" w:type="dxa"/>
            <w:vAlign w:val="top"/>
          </w:tcPr>
          <w:p w14:paraId="1BDC284B">
            <w:pPr>
              <w:rPr>
                <w:rFonts w:ascii="Arial"/>
                <w:sz w:val="21"/>
              </w:rPr>
            </w:pPr>
          </w:p>
        </w:tc>
        <w:tc>
          <w:tcPr>
            <w:tcW w:w="869" w:type="dxa"/>
            <w:vAlign w:val="top"/>
          </w:tcPr>
          <w:p w14:paraId="33D62139">
            <w:pPr>
              <w:rPr>
                <w:rFonts w:ascii="Arial"/>
                <w:sz w:val="21"/>
              </w:rPr>
            </w:pPr>
          </w:p>
        </w:tc>
        <w:tc>
          <w:tcPr>
            <w:tcW w:w="757" w:type="dxa"/>
            <w:vAlign w:val="top"/>
          </w:tcPr>
          <w:p w14:paraId="4E086B8D">
            <w:pPr>
              <w:rPr>
                <w:rFonts w:ascii="Arial"/>
                <w:sz w:val="21"/>
              </w:rPr>
            </w:pPr>
          </w:p>
        </w:tc>
      </w:tr>
      <w:tr w14:paraId="572C0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636532F">
            <w:pPr>
              <w:rPr>
                <w:rFonts w:ascii="Arial"/>
                <w:sz w:val="21"/>
              </w:rPr>
            </w:pPr>
          </w:p>
        </w:tc>
        <w:tc>
          <w:tcPr>
            <w:tcW w:w="1050" w:type="dxa"/>
            <w:vAlign w:val="top"/>
          </w:tcPr>
          <w:p w14:paraId="6CF52FD3">
            <w:pPr>
              <w:rPr>
                <w:rFonts w:ascii="Arial"/>
                <w:sz w:val="21"/>
              </w:rPr>
            </w:pPr>
          </w:p>
        </w:tc>
        <w:tc>
          <w:tcPr>
            <w:tcW w:w="660" w:type="dxa"/>
            <w:vAlign w:val="top"/>
          </w:tcPr>
          <w:p w14:paraId="6D69CFAF">
            <w:pPr>
              <w:rPr>
                <w:rFonts w:ascii="Arial"/>
                <w:sz w:val="21"/>
              </w:rPr>
            </w:pPr>
          </w:p>
        </w:tc>
        <w:tc>
          <w:tcPr>
            <w:tcW w:w="1004" w:type="dxa"/>
            <w:vAlign w:val="top"/>
          </w:tcPr>
          <w:p w14:paraId="4530A016">
            <w:pPr>
              <w:rPr>
                <w:rFonts w:ascii="Arial"/>
                <w:sz w:val="21"/>
              </w:rPr>
            </w:pPr>
          </w:p>
        </w:tc>
        <w:tc>
          <w:tcPr>
            <w:tcW w:w="705" w:type="dxa"/>
            <w:vAlign w:val="top"/>
          </w:tcPr>
          <w:p w14:paraId="73D12521">
            <w:pPr>
              <w:rPr>
                <w:rFonts w:ascii="Arial"/>
                <w:sz w:val="21"/>
              </w:rPr>
            </w:pPr>
          </w:p>
        </w:tc>
        <w:tc>
          <w:tcPr>
            <w:tcW w:w="705" w:type="dxa"/>
            <w:vAlign w:val="top"/>
          </w:tcPr>
          <w:p w14:paraId="709137AB">
            <w:pPr>
              <w:rPr>
                <w:rFonts w:ascii="Arial"/>
                <w:sz w:val="21"/>
              </w:rPr>
            </w:pPr>
          </w:p>
        </w:tc>
        <w:tc>
          <w:tcPr>
            <w:tcW w:w="1169" w:type="dxa"/>
            <w:vAlign w:val="top"/>
          </w:tcPr>
          <w:p w14:paraId="6BECAC57">
            <w:pPr>
              <w:rPr>
                <w:rFonts w:ascii="Arial"/>
                <w:sz w:val="21"/>
              </w:rPr>
            </w:pPr>
          </w:p>
        </w:tc>
        <w:tc>
          <w:tcPr>
            <w:tcW w:w="854" w:type="dxa"/>
            <w:vAlign w:val="top"/>
          </w:tcPr>
          <w:p w14:paraId="225F99AC">
            <w:pPr>
              <w:rPr>
                <w:rFonts w:ascii="Arial"/>
                <w:sz w:val="21"/>
              </w:rPr>
            </w:pPr>
          </w:p>
        </w:tc>
        <w:tc>
          <w:tcPr>
            <w:tcW w:w="869" w:type="dxa"/>
            <w:vAlign w:val="top"/>
          </w:tcPr>
          <w:p w14:paraId="70F60D05">
            <w:pPr>
              <w:rPr>
                <w:rFonts w:ascii="Arial"/>
                <w:sz w:val="21"/>
              </w:rPr>
            </w:pPr>
          </w:p>
        </w:tc>
        <w:tc>
          <w:tcPr>
            <w:tcW w:w="757" w:type="dxa"/>
            <w:vAlign w:val="top"/>
          </w:tcPr>
          <w:p w14:paraId="743688B2">
            <w:pPr>
              <w:rPr>
                <w:rFonts w:ascii="Arial"/>
                <w:sz w:val="21"/>
              </w:rPr>
            </w:pPr>
          </w:p>
        </w:tc>
      </w:tr>
      <w:tr w14:paraId="3264A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CEAFC7D">
            <w:pPr>
              <w:rPr>
                <w:rFonts w:ascii="Arial"/>
                <w:sz w:val="21"/>
              </w:rPr>
            </w:pPr>
          </w:p>
        </w:tc>
        <w:tc>
          <w:tcPr>
            <w:tcW w:w="1050" w:type="dxa"/>
            <w:vAlign w:val="top"/>
          </w:tcPr>
          <w:p w14:paraId="78463C6D">
            <w:pPr>
              <w:rPr>
                <w:rFonts w:ascii="Arial"/>
                <w:sz w:val="21"/>
              </w:rPr>
            </w:pPr>
          </w:p>
        </w:tc>
        <w:tc>
          <w:tcPr>
            <w:tcW w:w="660" w:type="dxa"/>
            <w:vAlign w:val="top"/>
          </w:tcPr>
          <w:p w14:paraId="67A213C9">
            <w:pPr>
              <w:rPr>
                <w:rFonts w:ascii="Arial"/>
                <w:sz w:val="21"/>
              </w:rPr>
            </w:pPr>
          </w:p>
        </w:tc>
        <w:tc>
          <w:tcPr>
            <w:tcW w:w="1004" w:type="dxa"/>
            <w:vAlign w:val="top"/>
          </w:tcPr>
          <w:p w14:paraId="787DC8B6">
            <w:pPr>
              <w:rPr>
                <w:rFonts w:ascii="Arial"/>
                <w:sz w:val="21"/>
              </w:rPr>
            </w:pPr>
          </w:p>
        </w:tc>
        <w:tc>
          <w:tcPr>
            <w:tcW w:w="705" w:type="dxa"/>
            <w:vAlign w:val="top"/>
          </w:tcPr>
          <w:p w14:paraId="3F671A70">
            <w:pPr>
              <w:rPr>
                <w:rFonts w:ascii="Arial"/>
                <w:sz w:val="21"/>
              </w:rPr>
            </w:pPr>
          </w:p>
        </w:tc>
        <w:tc>
          <w:tcPr>
            <w:tcW w:w="705" w:type="dxa"/>
            <w:vAlign w:val="top"/>
          </w:tcPr>
          <w:p w14:paraId="091CDCE3">
            <w:pPr>
              <w:rPr>
                <w:rFonts w:ascii="Arial"/>
                <w:sz w:val="21"/>
              </w:rPr>
            </w:pPr>
          </w:p>
        </w:tc>
        <w:tc>
          <w:tcPr>
            <w:tcW w:w="1169" w:type="dxa"/>
            <w:vAlign w:val="top"/>
          </w:tcPr>
          <w:p w14:paraId="62C0EAB9">
            <w:pPr>
              <w:rPr>
                <w:rFonts w:ascii="Arial"/>
                <w:sz w:val="21"/>
              </w:rPr>
            </w:pPr>
          </w:p>
        </w:tc>
        <w:tc>
          <w:tcPr>
            <w:tcW w:w="854" w:type="dxa"/>
            <w:vAlign w:val="top"/>
          </w:tcPr>
          <w:p w14:paraId="50F4769E">
            <w:pPr>
              <w:rPr>
                <w:rFonts w:ascii="Arial"/>
                <w:sz w:val="21"/>
              </w:rPr>
            </w:pPr>
          </w:p>
        </w:tc>
        <w:tc>
          <w:tcPr>
            <w:tcW w:w="869" w:type="dxa"/>
            <w:vAlign w:val="top"/>
          </w:tcPr>
          <w:p w14:paraId="10A6E06A">
            <w:pPr>
              <w:rPr>
                <w:rFonts w:ascii="Arial"/>
                <w:sz w:val="21"/>
              </w:rPr>
            </w:pPr>
          </w:p>
        </w:tc>
        <w:tc>
          <w:tcPr>
            <w:tcW w:w="757" w:type="dxa"/>
            <w:vAlign w:val="top"/>
          </w:tcPr>
          <w:p w14:paraId="6E47771F">
            <w:pPr>
              <w:rPr>
                <w:rFonts w:ascii="Arial"/>
                <w:sz w:val="21"/>
              </w:rPr>
            </w:pPr>
          </w:p>
        </w:tc>
      </w:tr>
      <w:tr w14:paraId="52A53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C19EE02">
            <w:pPr>
              <w:rPr>
                <w:rFonts w:ascii="Arial"/>
                <w:sz w:val="21"/>
              </w:rPr>
            </w:pPr>
          </w:p>
        </w:tc>
        <w:tc>
          <w:tcPr>
            <w:tcW w:w="1050" w:type="dxa"/>
            <w:vAlign w:val="top"/>
          </w:tcPr>
          <w:p w14:paraId="29951B4C">
            <w:pPr>
              <w:rPr>
                <w:rFonts w:ascii="Arial"/>
                <w:sz w:val="21"/>
              </w:rPr>
            </w:pPr>
          </w:p>
        </w:tc>
        <w:tc>
          <w:tcPr>
            <w:tcW w:w="660" w:type="dxa"/>
            <w:vAlign w:val="top"/>
          </w:tcPr>
          <w:p w14:paraId="1686430D">
            <w:pPr>
              <w:rPr>
                <w:rFonts w:ascii="Arial"/>
                <w:sz w:val="21"/>
              </w:rPr>
            </w:pPr>
          </w:p>
        </w:tc>
        <w:tc>
          <w:tcPr>
            <w:tcW w:w="1004" w:type="dxa"/>
            <w:vAlign w:val="top"/>
          </w:tcPr>
          <w:p w14:paraId="3A7B1DF8">
            <w:pPr>
              <w:rPr>
                <w:rFonts w:ascii="Arial"/>
                <w:sz w:val="21"/>
              </w:rPr>
            </w:pPr>
          </w:p>
        </w:tc>
        <w:tc>
          <w:tcPr>
            <w:tcW w:w="705" w:type="dxa"/>
            <w:vAlign w:val="top"/>
          </w:tcPr>
          <w:p w14:paraId="152093A5">
            <w:pPr>
              <w:rPr>
                <w:rFonts w:ascii="Arial"/>
                <w:sz w:val="21"/>
              </w:rPr>
            </w:pPr>
          </w:p>
        </w:tc>
        <w:tc>
          <w:tcPr>
            <w:tcW w:w="705" w:type="dxa"/>
            <w:vAlign w:val="top"/>
          </w:tcPr>
          <w:p w14:paraId="7F47E27E">
            <w:pPr>
              <w:rPr>
                <w:rFonts w:ascii="Arial"/>
                <w:sz w:val="21"/>
              </w:rPr>
            </w:pPr>
          </w:p>
        </w:tc>
        <w:tc>
          <w:tcPr>
            <w:tcW w:w="1169" w:type="dxa"/>
            <w:vAlign w:val="top"/>
          </w:tcPr>
          <w:p w14:paraId="1C2714FF">
            <w:pPr>
              <w:rPr>
                <w:rFonts w:ascii="Arial"/>
                <w:sz w:val="21"/>
              </w:rPr>
            </w:pPr>
          </w:p>
        </w:tc>
        <w:tc>
          <w:tcPr>
            <w:tcW w:w="854" w:type="dxa"/>
            <w:vAlign w:val="top"/>
          </w:tcPr>
          <w:p w14:paraId="0A88D74D">
            <w:pPr>
              <w:rPr>
                <w:rFonts w:ascii="Arial"/>
                <w:sz w:val="21"/>
              </w:rPr>
            </w:pPr>
          </w:p>
        </w:tc>
        <w:tc>
          <w:tcPr>
            <w:tcW w:w="869" w:type="dxa"/>
            <w:vAlign w:val="top"/>
          </w:tcPr>
          <w:p w14:paraId="0B610CB3">
            <w:pPr>
              <w:rPr>
                <w:rFonts w:ascii="Arial"/>
                <w:sz w:val="21"/>
              </w:rPr>
            </w:pPr>
          </w:p>
        </w:tc>
        <w:tc>
          <w:tcPr>
            <w:tcW w:w="757" w:type="dxa"/>
            <w:vAlign w:val="top"/>
          </w:tcPr>
          <w:p w14:paraId="67CCD3BB">
            <w:pPr>
              <w:rPr>
                <w:rFonts w:ascii="Arial"/>
                <w:sz w:val="21"/>
              </w:rPr>
            </w:pPr>
          </w:p>
        </w:tc>
      </w:tr>
      <w:tr w14:paraId="6F671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7C2735C">
            <w:pPr>
              <w:rPr>
                <w:rFonts w:ascii="Arial"/>
                <w:sz w:val="21"/>
              </w:rPr>
            </w:pPr>
          </w:p>
        </w:tc>
        <w:tc>
          <w:tcPr>
            <w:tcW w:w="1050" w:type="dxa"/>
            <w:vAlign w:val="top"/>
          </w:tcPr>
          <w:p w14:paraId="1A9E8571">
            <w:pPr>
              <w:rPr>
                <w:rFonts w:ascii="Arial"/>
                <w:sz w:val="21"/>
              </w:rPr>
            </w:pPr>
          </w:p>
        </w:tc>
        <w:tc>
          <w:tcPr>
            <w:tcW w:w="660" w:type="dxa"/>
            <w:vAlign w:val="top"/>
          </w:tcPr>
          <w:p w14:paraId="0F30E8BE">
            <w:pPr>
              <w:rPr>
                <w:rFonts w:ascii="Arial"/>
                <w:sz w:val="21"/>
              </w:rPr>
            </w:pPr>
          </w:p>
        </w:tc>
        <w:tc>
          <w:tcPr>
            <w:tcW w:w="1004" w:type="dxa"/>
            <w:vAlign w:val="top"/>
          </w:tcPr>
          <w:p w14:paraId="5A9353EE">
            <w:pPr>
              <w:rPr>
                <w:rFonts w:ascii="Arial"/>
                <w:sz w:val="21"/>
              </w:rPr>
            </w:pPr>
          </w:p>
        </w:tc>
        <w:tc>
          <w:tcPr>
            <w:tcW w:w="705" w:type="dxa"/>
            <w:vAlign w:val="top"/>
          </w:tcPr>
          <w:p w14:paraId="782FABF6">
            <w:pPr>
              <w:rPr>
                <w:rFonts w:ascii="Arial"/>
                <w:sz w:val="21"/>
              </w:rPr>
            </w:pPr>
          </w:p>
        </w:tc>
        <w:tc>
          <w:tcPr>
            <w:tcW w:w="705" w:type="dxa"/>
            <w:vAlign w:val="top"/>
          </w:tcPr>
          <w:p w14:paraId="13C730EF">
            <w:pPr>
              <w:rPr>
                <w:rFonts w:ascii="Arial"/>
                <w:sz w:val="21"/>
              </w:rPr>
            </w:pPr>
          </w:p>
        </w:tc>
        <w:tc>
          <w:tcPr>
            <w:tcW w:w="1169" w:type="dxa"/>
            <w:vAlign w:val="top"/>
          </w:tcPr>
          <w:p w14:paraId="42991A33">
            <w:pPr>
              <w:rPr>
                <w:rFonts w:ascii="Arial"/>
                <w:sz w:val="21"/>
              </w:rPr>
            </w:pPr>
          </w:p>
        </w:tc>
        <w:tc>
          <w:tcPr>
            <w:tcW w:w="854" w:type="dxa"/>
            <w:vAlign w:val="top"/>
          </w:tcPr>
          <w:p w14:paraId="348420CC">
            <w:pPr>
              <w:rPr>
                <w:rFonts w:ascii="Arial"/>
                <w:sz w:val="21"/>
              </w:rPr>
            </w:pPr>
          </w:p>
        </w:tc>
        <w:tc>
          <w:tcPr>
            <w:tcW w:w="869" w:type="dxa"/>
            <w:vAlign w:val="top"/>
          </w:tcPr>
          <w:p w14:paraId="0193D925">
            <w:pPr>
              <w:rPr>
                <w:rFonts w:ascii="Arial"/>
                <w:sz w:val="21"/>
              </w:rPr>
            </w:pPr>
          </w:p>
        </w:tc>
        <w:tc>
          <w:tcPr>
            <w:tcW w:w="757" w:type="dxa"/>
            <w:vAlign w:val="top"/>
          </w:tcPr>
          <w:p w14:paraId="0B43D53E">
            <w:pPr>
              <w:rPr>
                <w:rFonts w:ascii="Arial"/>
                <w:sz w:val="21"/>
              </w:rPr>
            </w:pPr>
          </w:p>
        </w:tc>
      </w:tr>
      <w:tr w14:paraId="7C014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6D36808">
            <w:pPr>
              <w:rPr>
                <w:rFonts w:ascii="Arial"/>
                <w:sz w:val="21"/>
              </w:rPr>
            </w:pPr>
          </w:p>
        </w:tc>
        <w:tc>
          <w:tcPr>
            <w:tcW w:w="1050" w:type="dxa"/>
            <w:vAlign w:val="top"/>
          </w:tcPr>
          <w:p w14:paraId="6362DF75">
            <w:pPr>
              <w:rPr>
                <w:rFonts w:ascii="Arial"/>
                <w:sz w:val="21"/>
              </w:rPr>
            </w:pPr>
          </w:p>
        </w:tc>
        <w:tc>
          <w:tcPr>
            <w:tcW w:w="660" w:type="dxa"/>
            <w:vAlign w:val="top"/>
          </w:tcPr>
          <w:p w14:paraId="6D5E450D">
            <w:pPr>
              <w:rPr>
                <w:rFonts w:ascii="Arial"/>
                <w:sz w:val="21"/>
              </w:rPr>
            </w:pPr>
          </w:p>
        </w:tc>
        <w:tc>
          <w:tcPr>
            <w:tcW w:w="1004" w:type="dxa"/>
            <w:vAlign w:val="top"/>
          </w:tcPr>
          <w:p w14:paraId="1CD3ECCF">
            <w:pPr>
              <w:rPr>
                <w:rFonts w:ascii="Arial"/>
                <w:sz w:val="21"/>
              </w:rPr>
            </w:pPr>
          </w:p>
        </w:tc>
        <w:tc>
          <w:tcPr>
            <w:tcW w:w="705" w:type="dxa"/>
            <w:vAlign w:val="top"/>
          </w:tcPr>
          <w:p w14:paraId="50DBD4D4">
            <w:pPr>
              <w:rPr>
                <w:rFonts w:ascii="Arial"/>
                <w:sz w:val="21"/>
              </w:rPr>
            </w:pPr>
          </w:p>
        </w:tc>
        <w:tc>
          <w:tcPr>
            <w:tcW w:w="705" w:type="dxa"/>
            <w:vAlign w:val="top"/>
          </w:tcPr>
          <w:p w14:paraId="0B4B8A0C">
            <w:pPr>
              <w:rPr>
                <w:rFonts w:ascii="Arial"/>
                <w:sz w:val="21"/>
              </w:rPr>
            </w:pPr>
          </w:p>
        </w:tc>
        <w:tc>
          <w:tcPr>
            <w:tcW w:w="1169" w:type="dxa"/>
            <w:vAlign w:val="top"/>
          </w:tcPr>
          <w:p w14:paraId="75FC7870">
            <w:pPr>
              <w:rPr>
                <w:rFonts w:ascii="Arial"/>
                <w:sz w:val="21"/>
              </w:rPr>
            </w:pPr>
          </w:p>
        </w:tc>
        <w:tc>
          <w:tcPr>
            <w:tcW w:w="854" w:type="dxa"/>
            <w:vAlign w:val="top"/>
          </w:tcPr>
          <w:p w14:paraId="2BE582E9">
            <w:pPr>
              <w:rPr>
                <w:rFonts w:ascii="Arial"/>
                <w:sz w:val="21"/>
              </w:rPr>
            </w:pPr>
          </w:p>
        </w:tc>
        <w:tc>
          <w:tcPr>
            <w:tcW w:w="869" w:type="dxa"/>
            <w:vAlign w:val="top"/>
          </w:tcPr>
          <w:p w14:paraId="4B64A258">
            <w:pPr>
              <w:rPr>
                <w:rFonts w:ascii="Arial"/>
                <w:sz w:val="21"/>
              </w:rPr>
            </w:pPr>
          </w:p>
        </w:tc>
        <w:tc>
          <w:tcPr>
            <w:tcW w:w="757" w:type="dxa"/>
            <w:vAlign w:val="top"/>
          </w:tcPr>
          <w:p w14:paraId="25D5622A">
            <w:pPr>
              <w:rPr>
                <w:rFonts w:ascii="Arial"/>
                <w:sz w:val="21"/>
              </w:rPr>
            </w:pPr>
          </w:p>
        </w:tc>
      </w:tr>
      <w:tr w14:paraId="22402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2E25AE2D">
            <w:pPr>
              <w:rPr>
                <w:rFonts w:ascii="Arial"/>
                <w:sz w:val="21"/>
              </w:rPr>
            </w:pPr>
          </w:p>
        </w:tc>
        <w:tc>
          <w:tcPr>
            <w:tcW w:w="1050" w:type="dxa"/>
            <w:vAlign w:val="top"/>
          </w:tcPr>
          <w:p w14:paraId="745E90BE">
            <w:pPr>
              <w:rPr>
                <w:rFonts w:ascii="Arial"/>
                <w:sz w:val="21"/>
              </w:rPr>
            </w:pPr>
          </w:p>
        </w:tc>
        <w:tc>
          <w:tcPr>
            <w:tcW w:w="660" w:type="dxa"/>
            <w:vAlign w:val="top"/>
          </w:tcPr>
          <w:p w14:paraId="5BB26D06">
            <w:pPr>
              <w:rPr>
                <w:rFonts w:ascii="Arial"/>
                <w:sz w:val="21"/>
              </w:rPr>
            </w:pPr>
          </w:p>
        </w:tc>
        <w:tc>
          <w:tcPr>
            <w:tcW w:w="1004" w:type="dxa"/>
            <w:vAlign w:val="top"/>
          </w:tcPr>
          <w:p w14:paraId="5F816907">
            <w:pPr>
              <w:rPr>
                <w:rFonts w:ascii="Arial"/>
                <w:sz w:val="21"/>
              </w:rPr>
            </w:pPr>
          </w:p>
        </w:tc>
        <w:tc>
          <w:tcPr>
            <w:tcW w:w="705" w:type="dxa"/>
            <w:vAlign w:val="top"/>
          </w:tcPr>
          <w:p w14:paraId="13F614AB">
            <w:pPr>
              <w:rPr>
                <w:rFonts w:ascii="Arial"/>
                <w:sz w:val="21"/>
              </w:rPr>
            </w:pPr>
          </w:p>
        </w:tc>
        <w:tc>
          <w:tcPr>
            <w:tcW w:w="705" w:type="dxa"/>
            <w:vAlign w:val="top"/>
          </w:tcPr>
          <w:p w14:paraId="06DA5A55">
            <w:pPr>
              <w:rPr>
                <w:rFonts w:ascii="Arial"/>
                <w:sz w:val="21"/>
              </w:rPr>
            </w:pPr>
          </w:p>
        </w:tc>
        <w:tc>
          <w:tcPr>
            <w:tcW w:w="1169" w:type="dxa"/>
            <w:vAlign w:val="top"/>
          </w:tcPr>
          <w:p w14:paraId="6AD68BDA">
            <w:pPr>
              <w:rPr>
                <w:rFonts w:ascii="Arial"/>
                <w:sz w:val="21"/>
              </w:rPr>
            </w:pPr>
          </w:p>
        </w:tc>
        <w:tc>
          <w:tcPr>
            <w:tcW w:w="854" w:type="dxa"/>
            <w:vAlign w:val="top"/>
          </w:tcPr>
          <w:p w14:paraId="2CEDF9C4">
            <w:pPr>
              <w:rPr>
                <w:rFonts w:ascii="Arial"/>
                <w:sz w:val="21"/>
              </w:rPr>
            </w:pPr>
          </w:p>
        </w:tc>
        <w:tc>
          <w:tcPr>
            <w:tcW w:w="869" w:type="dxa"/>
            <w:vAlign w:val="top"/>
          </w:tcPr>
          <w:p w14:paraId="74497723">
            <w:pPr>
              <w:rPr>
                <w:rFonts w:ascii="Arial"/>
                <w:sz w:val="21"/>
              </w:rPr>
            </w:pPr>
          </w:p>
        </w:tc>
        <w:tc>
          <w:tcPr>
            <w:tcW w:w="757" w:type="dxa"/>
            <w:vAlign w:val="top"/>
          </w:tcPr>
          <w:p w14:paraId="17B7ADF9">
            <w:pPr>
              <w:rPr>
                <w:rFonts w:ascii="Arial"/>
                <w:sz w:val="21"/>
              </w:rPr>
            </w:pPr>
          </w:p>
        </w:tc>
      </w:tr>
      <w:tr w14:paraId="676BA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65F21899">
            <w:pPr>
              <w:rPr>
                <w:rFonts w:ascii="Arial"/>
                <w:sz w:val="21"/>
              </w:rPr>
            </w:pPr>
          </w:p>
        </w:tc>
        <w:tc>
          <w:tcPr>
            <w:tcW w:w="1050" w:type="dxa"/>
            <w:vAlign w:val="top"/>
          </w:tcPr>
          <w:p w14:paraId="1530C403">
            <w:pPr>
              <w:rPr>
                <w:rFonts w:ascii="Arial"/>
                <w:sz w:val="21"/>
              </w:rPr>
            </w:pPr>
          </w:p>
        </w:tc>
        <w:tc>
          <w:tcPr>
            <w:tcW w:w="660" w:type="dxa"/>
            <w:vAlign w:val="top"/>
          </w:tcPr>
          <w:p w14:paraId="3A03540C">
            <w:pPr>
              <w:rPr>
                <w:rFonts w:ascii="Arial"/>
                <w:sz w:val="21"/>
              </w:rPr>
            </w:pPr>
          </w:p>
        </w:tc>
        <w:tc>
          <w:tcPr>
            <w:tcW w:w="1004" w:type="dxa"/>
            <w:vAlign w:val="top"/>
          </w:tcPr>
          <w:p w14:paraId="757600E5">
            <w:pPr>
              <w:rPr>
                <w:rFonts w:ascii="Arial"/>
                <w:sz w:val="21"/>
              </w:rPr>
            </w:pPr>
          </w:p>
        </w:tc>
        <w:tc>
          <w:tcPr>
            <w:tcW w:w="705" w:type="dxa"/>
            <w:vAlign w:val="top"/>
          </w:tcPr>
          <w:p w14:paraId="30A72896">
            <w:pPr>
              <w:rPr>
                <w:rFonts w:ascii="Arial"/>
                <w:sz w:val="21"/>
              </w:rPr>
            </w:pPr>
          </w:p>
        </w:tc>
        <w:tc>
          <w:tcPr>
            <w:tcW w:w="705" w:type="dxa"/>
            <w:vAlign w:val="top"/>
          </w:tcPr>
          <w:p w14:paraId="608AEE7B">
            <w:pPr>
              <w:rPr>
                <w:rFonts w:ascii="Arial"/>
                <w:sz w:val="21"/>
              </w:rPr>
            </w:pPr>
          </w:p>
        </w:tc>
        <w:tc>
          <w:tcPr>
            <w:tcW w:w="1169" w:type="dxa"/>
            <w:vAlign w:val="top"/>
          </w:tcPr>
          <w:p w14:paraId="585AF945">
            <w:pPr>
              <w:rPr>
                <w:rFonts w:ascii="Arial"/>
                <w:sz w:val="21"/>
              </w:rPr>
            </w:pPr>
          </w:p>
        </w:tc>
        <w:tc>
          <w:tcPr>
            <w:tcW w:w="854" w:type="dxa"/>
            <w:vAlign w:val="top"/>
          </w:tcPr>
          <w:p w14:paraId="04EFDC44">
            <w:pPr>
              <w:rPr>
                <w:rFonts w:ascii="Arial"/>
                <w:sz w:val="21"/>
              </w:rPr>
            </w:pPr>
          </w:p>
        </w:tc>
        <w:tc>
          <w:tcPr>
            <w:tcW w:w="869" w:type="dxa"/>
            <w:vAlign w:val="top"/>
          </w:tcPr>
          <w:p w14:paraId="08EC6A38">
            <w:pPr>
              <w:rPr>
                <w:rFonts w:ascii="Arial"/>
                <w:sz w:val="21"/>
              </w:rPr>
            </w:pPr>
          </w:p>
        </w:tc>
        <w:tc>
          <w:tcPr>
            <w:tcW w:w="757" w:type="dxa"/>
            <w:vAlign w:val="top"/>
          </w:tcPr>
          <w:p w14:paraId="1358510A">
            <w:pPr>
              <w:rPr>
                <w:rFonts w:ascii="Arial"/>
                <w:sz w:val="21"/>
              </w:rPr>
            </w:pPr>
          </w:p>
        </w:tc>
      </w:tr>
      <w:tr w14:paraId="47E4B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C430960">
            <w:pPr>
              <w:rPr>
                <w:rFonts w:ascii="Arial"/>
                <w:sz w:val="21"/>
              </w:rPr>
            </w:pPr>
          </w:p>
        </w:tc>
        <w:tc>
          <w:tcPr>
            <w:tcW w:w="1050" w:type="dxa"/>
            <w:vAlign w:val="top"/>
          </w:tcPr>
          <w:p w14:paraId="6C00C06F">
            <w:pPr>
              <w:rPr>
                <w:rFonts w:ascii="Arial"/>
                <w:sz w:val="21"/>
              </w:rPr>
            </w:pPr>
          </w:p>
        </w:tc>
        <w:tc>
          <w:tcPr>
            <w:tcW w:w="660" w:type="dxa"/>
            <w:vAlign w:val="top"/>
          </w:tcPr>
          <w:p w14:paraId="33DBD665">
            <w:pPr>
              <w:rPr>
                <w:rFonts w:ascii="Arial"/>
                <w:sz w:val="21"/>
              </w:rPr>
            </w:pPr>
          </w:p>
        </w:tc>
        <w:tc>
          <w:tcPr>
            <w:tcW w:w="1004" w:type="dxa"/>
            <w:vAlign w:val="top"/>
          </w:tcPr>
          <w:p w14:paraId="187039E4">
            <w:pPr>
              <w:rPr>
                <w:rFonts w:ascii="Arial"/>
                <w:sz w:val="21"/>
              </w:rPr>
            </w:pPr>
          </w:p>
        </w:tc>
        <w:tc>
          <w:tcPr>
            <w:tcW w:w="705" w:type="dxa"/>
            <w:vAlign w:val="top"/>
          </w:tcPr>
          <w:p w14:paraId="6A7126A2">
            <w:pPr>
              <w:rPr>
                <w:rFonts w:ascii="Arial"/>
                <w:sz w:val="21"/>
              </w:rPr>
            </w:pPr>
          </w:p>
        </w:tc>
        <w:tc>
          <w:tcPr>
            <w:tcW w:w="705" w:type="dxa"/>
            <w:vAlign w:val="top"/>
          </w:tcPr>
          <w:p w14:paraId="4A936C33">
            <w:pPr>
              <w:rPr>
                <w:rFonts w:ascii="Arial"/>
                <w:sz w:val="21"/>
              </w:rPr>
            </w:pPr>
          </w:p>
        </w:tc>
        <w:tc>
          <w:tcPr>
            <w:tcW w:w="1169" w:type="dxa"/>
            <w:vAlign w:val="top"/>
          </w:tcPr>
          <w:p w14:paraId="1267D1AB">
            <w:pPr>
              <w:rPr>
                <w:rFonts w:ascii="Arial"/>
                <w:sz w:val="21"/>
              </w:rPr>
            </w:pPr>
          </w:p>
        </w:tc>
        <w:tc>
          <w:tcPr>
            <w:tcW w:w="854" w:type="dxa"/>
            <w:vAlign w:val="top"/>
          </w:tcPr>
          <w:p w14:paraId="5A0D53D9">
            <w:pPr>
              <w:rPr>
                <w:rFonts w:ascii="Arial"/>
                <w:sz w:val="21"/>
              </w:rPr>
            </w:pPr>
          </w:p>
        </w:tc>
        <w:tc>
          <w:tcPr>
            <w:tcW w:w="869" w:type="dxa"/>
            <w:vAlign w:val="top"/>
          </w:tcPr>
          <w:p w14:paraId="290C05CF">
            <w:pPr>
              <w:rPr>
                <w:rFonts w:ascii="Arial"/>
                <w:sz w:val="21"/>
              </w:rPr>
            </w:pPr>
          </w:p>
        </w:tc>
        <w:tc>
          <w:tcPr>
            <w:tcW w:w="757" w:type="dxa"/>
            <w:vAlign w:val="top"/>
          </w:tcPr>
          <w:p w14:paraId="20F05CDB">
            <w:pPr>
              <w:rPr>
                <w:rFonts w:ascii="Arial"/>
                <w:sz w:val="21"/>
              </w:rPr>
            </w:pPr>
          </w:p>
        </w:tc>
      </w:tr>
      <w:tr w14:paraId="5DAA7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D97F825">
            <w:pPr>
              <w:rPr>
                <w:rFonts w:ascii="Arial"/>
                <w:sz w:val="21"/>
              </w:rPr>
            </w:pPr>
          </w:p>
        </w:tc>
        <w:tc>
          <w:tcPr>
            <w:tcW w:w="1050" w:type="dxa"/>
            <w:vAlign w:val="top"/>
          </w:tcPr>
          <w:p w14:paraId="4CB60374">
            <w:pPr>
              <w:rPr>
                <w:rFonts w:ascii="Arial"/>
                <w:sz w:val="21"/>
              </w:rPr>
            </w:pPr>
          </w:p>
        </w:tc>
        <w:tc>
          <w:tcPr>
            <w:tcW w:w="660" w:type="dxa"/>
            <w:vAlign w:val="top"/>
          </w:tcPr>
          <w:p w14:paraId="74CA6C82">
            <w:pPr>
              <w:rPr>
                <w:rFonts w:ascii="Arial"/>
                <w:sz w:val="21"/>
              </w:rPr>
            </w:pPr>
          </w:p>
        </w:tc>
        <w:tc>
          <w:tcPr>
            <w:tcW w:w="1004" w:type="dxa"/>
            <w:vAlign w:val="top"/>
          </w:tcPr>
          <w:p w14:paraId="258C640E">
            <w:pPr>
              <w:rPr>
                <w:rFonts w:ascii="Arial"/>
                <w:sz w:val="21"/>
              </w:rPr>
            </w:pPr>
          </w:p>
        </w:tc>
        <w:tc>
          <w:tcPr>
            <w:tcW w:w="705" w:type="dxa"/>
            <w:vAlign w:val="top"/>
          </w:tcPr>
          <w:p w14:paraId="38F61F86">
            <w:pPr>
              <w:rPr>
                <w:rFonts w:ascii="Arial"/>
                <w:sz w:val="21"/>
              </w:rPr>
            </w:pPr>
          </w:p>
        </w:tc>
        <w:tc>
          <w:tcPr>
            <w:tcW w:w="705" w:type="dxa"/>
            <w:vAlign w:val="top"/>
          </w:tcPr>
          <w:p w14:paraId="181AA891">
            <w:pPr>
              <w:rPr>
                <w:rFonts w:ascii="Arial"/>
                <w:sz w:val="21"/>
              </w:rPr>
            </w:pPr>
          </w:p>
        </w:tc>
        <w:tc>
          <w:tcPr>
            <w:tcW w:w="1169" w:type="dxa"/>
            <w:vAlign w:val="top"/>
          </w:tcPr>
          <w:p w14:paraId="293C1E73">
            <w:pPr>
              <w:rPr>
                <w:rFonts w:ascii="Arial"/>
                <w:sz w:val="21"/>
              </w:rPr>
            </w:pPr>
          </w:p>
        </w:tc>
        <w:tc>
          <w:tcPr>
            <w:tcW w:w="854" w:type="dxa"/>
            <w:vAlign w:val="top"/>
          </w:tcPr>
          <w:p w14:paraId="77E43FFF">
            <w:pPr>
              <w:rPr>
                <w:rFonts w:ascii="Arial"/>
                <w:sz w:val="21"/>
              </w:rPr>
            </w:pPr>
          </w:p>
        </w:tc>
        <w:tc>
          <w:tcPr>
            <w:tcW w:w="869" w:type="dxa"/>
            <w:vAlign w:val="top"/>
          </w:tcPr>
          <w:p w14:paraId="65C6AA09">
            <w:pPr>
              <w:rPr>
                <w:rFonts w:ascii="Arial"/>
                <w:sz w:val="21"/>
              </w:rPr>
            </w:pPr>
          </w:p>
        </w:tc>
        <w:tc>
          <w:tcPr>
            <w:tcW w:w="757" w:type="dxa"/>
            <w:vAlign w:val="top"/>
          </w:tcPr>
          <w:p w14:paraId="54147F5D">
            <w:pPr>
              <w:rPr>
                <w:rFonts w:ascii="Arial"/>
                <w:sz w:val="21"/>
              </w:rPr>
            </w:pPr>
          </w:p>
        </w:tc>
      </w:tr>
      <w:tr w14:paraId="08EF6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CF83C7A">
            <w:pPr>
              <w:rPr>
                <w:rFonts w:ascii="Arial"/>
                <w:sz w:val="21"/>
              </w:rPr>
            </w:pPr>
          </w:p>
        </w:tc>
        <w:tc>
          <w:tcPr>
            <w:tcW w:w="1050" w:type="dxa"/>
            <w:vAlign w:val="top"/>
          </w:tcPr>
          <w:p w14:paraId="7EAD9E00">
            <w:pPr>
              <w:rPr>
                <w:rFonts w:ascii="Arial"/>
                <w:sz w:val="21"/>
              </w:rPr>
            </w:pPr>
          </w:p>
        </w:tc>
        <w:tc>
          <w:tcPr>
            <w:tcW w:w="660" w:type="dxa"/>
            <w:vAlign w:val="top"/>
          </w:tcPr>
          <w:p w14:paraId="3B76895D">
            <w:pPr>
              <w:rPr>
                <w:rFonts w:ascii="Arial"/>
                <w:sz w:val="21"/>
              </w:rPr>
            </w:pPr>
          </w:p>
        </w:tc>
        <w:tc>
          <w:tcPr>
            <w:tcW w:w="1004" w:type="dxa"/>
            <w:vAlign w:val="top"/>
          </w:tcPr>
          <w:p w14:paraId="1DB6E5A2">
            <w:pPr>
              <w:rPr>
                <w:rFonts w:ascii="Arial"/>
                <w:sz w:val="21"/>
              </w:rPr>
            </w:pPr>
          </w:p>
        </w:tc>
        <w:tc>
          <w:tcPr>
            <w:tcW w:w="705" w:type="dxa"/>
            <w:vAlign w:val="top"/>
          </w:tcPr>
          <w:p w14:paraId="198ED8A3">
            <w:pPr>
              <w:rPr>
                <w:rFonts w:ascii="Arial"/>
                <w:sz w:val="21"/>
              </w:rPr>
            </w:pPr>
          </w:p>
        </w:tc>
        <w:tc>
          <w:tcPr>
            <w:tcW w:w="705" w:type="dxa"/>
            <w:vAlign w:val="top"/>
          </w:tcPr>
          <w:p w14:paraId="51E89DB5">
            <w:pPr>
              <w:rPr>
                <w:rFonts w:ascii="Arial"/>
                <w:sz w:val="21"/>
              </w:rPr>
            </w:pPr>
          </w:p>
        </w:tc>
        <w:tc>
          <w:tcPr>
            <w:tcW w:w="1169" w:type="dxa"/>
            <w:vAlign w:val="top"/>
          </w:tcPr>
          <w:p w14:paraId="05BE6C3E">
            <w:pPr>
              <w:rPr>
                <w:rFonts w:ascii="Arial"/>
                <w:sz w:val="21"/>
              </w:rPr>
            </w:pPr>
          </w:p>
        </w:tc>
        <w:tc>
          <w:tcPr>
            <w:tcW w:w="854" w:type="dxa"/>
            <w:vAlign w:val="top"/>
          </w:tcPr>
          <w:p w14:paraId="483F4B4A">
            <w:pPr>
              <w:rPr>
                <w:rFonts w:ascii="Arial"/>
                <w:sz w:val="21"/>
              </w:rPr>
            </w:pPr>
          </w:p>
        </w:tc>
        <w:tc>
          <w:tcPr>
            <w:tcW w:w="869" w:type="dxa"/>
            <w:vAlign w:val="top"/>
          </w:tcPr>
          <w:p w14:paraId="07CD3B58">
            <w:pPr>
              <w:rPr>
                <w:rFonts w:ascii="Arial"/>
                <w:sz w:val="21"/>
              </w:rPr>
            </w:pPr>
          </w:p>
        </w:tc>
        <w:tc>
          <w:tcPr>
            <w:tcW w:w="757" w:type="dxa"/>
            <w:vAlign w:val="top"/>
          </w:tcPr>
          <w:p w14:paraId="2F823D86">
            <w:pPr>
              <w:rPr>
                <w:rFonts w:ascii="Arial"/>
                <w:sz w:val="21"/>
              </w:rPr>
            </w:pPr>
          </w:p>
        </w:tc>
      </w:tr>
      <w:tr w14:paraId="27165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DA299F7">
            <w:pPr>
              <w:rPr>
                <w:rFonts w:ascii="Arial"/>
                <w:sz w:val="21"/>
              </w:rPr>
            </w:pPr>
          </w:p>
        </w:tc>
        <w:tc>
          <w:tcPr>
            <w:tcW w:w="1050" w:type="dxa"/>
            <w:vAlign w:val="top"/>
          </w:tcPr>
          <w:p w14:paraId="4FAD462B">
            <w:pPr>
              <w:rPr>
                <w:rFonts w:ascii="Arial"/>
                <w:sz w:val="21"/>
              </w:rPr>
            </w:pPr>
          </w:p>
        </w:tc>
        <w:tc>
          <w:tcPr>
            <w:tcW w:w="660" w:type="dxa"/>
            <w:vAlign w:val="top"/>
          </w:tcPr>
          <w:p w14:paraId="054CBB0B">
            <w:pPr>
              <w:rPr>
                <w:rFonts w:ascii="Arial"/>
                <w:sz w:val="21"/>
              </w:rPr>
            </w:pPr>
          </w:p>
        </w:tc>
        <w:tc>
          <w:tcPr>
            <w:tcW w:w="1004" w:type="dxa"/>
            <w:vAlign w:val="top"/>
          </w:tcPr>
          <w:p w14:paraId="009E5E24">
            <w:pPr>
              <w:rPr>
                <w:rFonts w:ascii="Arial"/>
                <w:sz w:val="21"/>
              </w:rPr>
            </w:pPr>
          </w:p>
        </w:tc>
        <w:tc>
          <w:tcPr>
            <w:tcW w:w="705" w:type="dxa"/>
            <w:vAlign w:val="top"/>
          </w:tcPr>
          <w:p w14:paraId="24819248">
            <w:pPr>
              <w:rPr>
                <w:rFonts w:ascii="Arial"/>
                <w:sz w:val="21"/>
              </w:rPr>
            </w:pPr>
          </w:p>
        </w:tc>
        <w:tc>
          <w:tcPr>
            <w:tcW w:w="705" w:type="dxa"/>
            <w:vAlign w:val="top"/>
          </w:tcPr>
          <w:p w14:paraId="795C53CA">
            <w:pPr>
              <w:rPr>
                <w:rFonts w:ascii="Arial"/>
                <w:sz w:val="21"/>
              </w:rPr>
            </w:pPr>
          </w:p>
        </w:tc>
        <w:tc>
          <w:tcPr>
            <w:tcW w:w="1169" w:type="dxa"/>
            <w:vAlign w:val="top"/>
          </w:tcPr>
          <w:p w14:paraId="5BE7AA39">
            <w:pPr>
              <w:rPr>
                <w:rFonts w:ascii="Arial"/>
                <w:sz w:val="21"/>
              </w:rPr>
            </w:pPr>
          </w:p>
        </w:tc>
        <w:tc>
          <w:tcPr>
            <w:tcW w:w="854" w:type="dxa"/>
            <w:vAlign w:val="top"/>
          </w:tcPr>
          <w:p w14:paraId="4B1B5351">
            <w:pPr>
              <w:rPr>
                <w:rFonts w:ascii="Arial"/>
                <w:sz w:val="21"/>
              </w:rPr>
            </w:pPr>
          </w:p>
        </w:tc>
        <w:tc>
          <w:tcPr>
            <w:tcW w:w="869" w:type="dxa"/>
            <w:vAlign w:val="top"/>
          </w:tcPr>
          <w:p w14:paraId="60205E1F">
            <w:pPr>
              <w:rPr>
                <w:rFonts w:ascii="Arial"/>
                <w:sz w:val="21"/>
              </w:rPr>
            </w:pPr>
          </w:p>
        </w:tc>
        <w:tc>
          <w:tcPr>
            <w:tcW w:w="757" w:type="dxa"/>
            <w:vAlign w:val="top"/>
          </w:tcPr>
          <w:p w14:paraId="69FA6304">
            <w:pPr>
              <w:rPr>
                <w:rFonts w:ascii="Arial"/>
                <w:sz w:val="21"/>
              </w:rPr>
            </w:pPr>
          </w:p>
        </w:tc>
      </w:tr>
      <w:tr w14:paraId="11BA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71AA944">
            <w:pPr>
              <w:rPr>
                <w:rFonts w:ascii="Arial"/>
                <w:sz w:val="21"/>
              </w:rPr>
            </w:pPr>
          </w:p>
        </w:tc>
        <w:tc>
          <w:tcPr>
            <w:tcW w:w="1050" w:type="dxa"/>
            <w:vAlign w:val="top"/>
          </w:tcPr>
          <w:p w14:paraId="3678DED8">
            <w:pPr>
              <w:rPr>
                <w:rFonts w:ascii="Arial"/>
                <w:sz w:val="21"/>
              </w:rPr>
            </w:pPr>
          </w:p>
        </w:tc>
        <w:tc>
          <w:tcPr>
            <w:tcW w:w="660" w:type="dxa"/>
            <w:vAlign w:val="top"/>
          </w:tcPr>
          <w:p w14:paraId="77B714BA">
            <w:pPr>
              <w:rPr>
                <w:rFonts w:ascii="Arial"/>
                <w:sz w:val="21"/>
              </w:rPr>
            </w:pPr>
          </w:p>
        </w:tc>
        <w:tc>
          <w:tcPr>
            <w:tcW w:w="1004" w:type="dxa"/>
            <w:vAlign w:val="top"/>
          </w:tcPr>
          <w:p w14:paraId="7C6977BC">
            <w:pPr>
              <w:rPr>
                <w:rFonts w:ascii="Arial"/>
                <w:sz w:val="21"/>
              </w:rPr>
            </w:pPr>
          </w:p>
        </w:tc>
        <w:tc>
          <w:tcPr>
            <w:tcW w:w="705" w:type="dxa"/>
            <w:vAlign w:val="top"/>
          </w:tcPr>
          <w:p w14:paraId="34EDBB39">
            <w:pPr>
              <w:rPr>
                <w:rFonts w:ascii="Arial"/>
                <w:sz w:val="21"/>
              </w:rPr>
            </w:pPr>
          </w:p>
        </w:tc>
        <w:tc>
          <w:tcPr>
            <w:tcW w:w="705" w:type="dxa"/>
            <w:vAlign w:val="top"/>
          </w:tcPr>
          <w:p w14:paraId="316502D3">
            <w:pPr>
              <w:rPr>
                <w:rFonts w:ascii="Arial"/>
                <w:sz w:val="21"/>
              </w:rPr>
            </w:pPr>
          </w:p>
        </w:tc>
        <w:tc>
          <w:tcPr>
            <w:tcW w:w="1169" w:type="dxa"/>
            <w:vAlign w:val="top"/>
          </w:tcPr>
          <w:p w14:paraId="41D416F0">
            <w:pPr>
              <w:rPr>
                <w:rFonts w:ascii="Arial"/>
                <w:sz w:val="21"/>
              </w:rPr>
            </w:pPr>
          </w:p>
        </w:tc>
        <w:tc>
          <w:tcPr>
            <w:tcW w:w="854" w:type="dxa"/>
            <w:vAlign w:val="top"/>
          </w:tcPr>
          <w:p w14:paraId="4232DD84">
            <w:pPr>
              <w:rPr>
                <w:rFonts w:ascii="Arial"/>
                <w:sz w:val="21"/>
              </w:rPr>
            </w:pPr>
          </w:p>
        </w:tc>
        <w:tc>
          <w:tcPr>
            <w:tcW w:w="869" w:type="dxa"/>
            <w:vAlign w:val="top"/>
          </w:tcPr>
          <w:p w14:paraId="06B164CA">
            <w:pPr>
              <w:rPr>
                <w:rFonts w:ascii="Arial"/>
                <w:sz w:val="21"/>
              </w:rPr>
            </w:pPr>
          </w:p>
        </w:tc>
        <w:tc>
          <w:tcPr>
            <w:tcW w:w="757" w:type="dxa"/>
            <w:vAlign w:val="top"/>
          </w:tcPr>
          <w:p w14:paraId="2EA4922E">
            <w:pPr>
              <w:rPr>
                <w:rFonts w:ascii="Arial"/>
                <w:sz w:val="21"/>
              </w:rPr>
            </w:pPr>
          </w:p>
        </w:tc>
      </w:tr>
      <w:tr w14:paraId="4AE7D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2" w:type="dxa"/>
            <w:vAlign w:val="top"/>
          </w:tcPr>
          <w:p w14:paraId="5C59B620">
            <w:pPr>
              <w:rPr>
                <w:rFonts w:ascii="Arial"/>
                <w:sz w:val="21"/>
              </w:rPr>
            </w:pPr>
          </w:p>
        </w:tc>
        <w:tc>
          <w:tcPr>
            <w:tcW w:w="1050" w:type="dxa"/>
            <w:vAlign w:val="top"/>
          </w:tcPr>
          <w:p w14:paraId="7556F26A">
            <w:pPr>
              <w:rPr>
                <w:rFonts w:ascii="Arial"/>
                <w:sz w:val="21"/>
              </w:rPr>
            </w:pPr>
          </w:p>
        </w:tc>
        <w:tc>
          <w:tcPr>
            <w:tcW w:w="660" w:type="dxa"/>
            <w:vAlign w:val="top"/>
          </w:tcPr>
          <w:p w14:paraId="35F97E7D">
            <w:pPr>
              <w:rPr>
                <w:rFonts w:ascii="Arial"/>
                <w:sz w:val="21"/>
              </w:rPr>
            </w:pPr>
          </w:p>
        </w:tc>
        <w:tc>
          <w:tcPr>
            <w:tcW w:w="1004" w:type="dxa"/>
            <w:vAlign w:val="top"/>
          </w:tcPr>
          <w:p w14:paraId="0A88B39F">
            <w:pPr>
              <w:rPr>
                <w:rFonts w:ascii="Arial"/>
                <w:sz w:val="21"/>
              </w:rPr>
            </w:pPr>
          </w:p>
        </w:tc>
        <w:tc>
          <w:tcPr>
            <w:tcW w:w="705" w:type="dxa"/>
            <w:vAlign w:val="top"/>
          </w:tcPr>
          <w:p w14:paraId="62EC3601">
            <w:pPr>
              <w:rPr>
                <w:rFonts w:ascii="Arial"/>
                <w:sz w:val="21"/>
              </w:rPr>
            </w:pPr>
          </w:p>
        </w:tc>
        <w:tc>
          <w:tcPr>
            <w:tcW w:w="705" w:type="dxa"/>
            <w:vAlign w:val="top"/>
          </w:tcPr>
          <w:p w14:paraId="780B91C4">
            <w:pPr>
              <w:rPr>
                <w:rFonts w:ascii="Arial"/>
                <w:sz w:val="21"/>
              </w:rPr>
            </w:pPr>
          </w:p>
        </w:tc>
        <w:tc>
          <w:tcPr>
            <w:tcW w:w="1169" w:type="dxa"/>
            <w:vAlign w:val="top"/>
          </w:tcPr>
          <w:p w14:paraId="398DF0C0">
            <w:pPr>
              <w:rPr>
                <w:rFonts w:ascii="Arial"/>
                <w:sz w:val="21"/>
              </w:rPr>
            </w:pPr>
          </w:p>
        </w:tc>
        <w:tc>
          <w:tcPr>
            <w:tcW w:w="854" w:type="dxa"/>
            <w:vAlign w:val="top"/>
          </w:tcPr>
          <w:p w14:paraId="31138AF7">
            <w:pPr>
              <w:rPr>
                <w:rFonts w:ascii="Arial"/>
                <w:sz w:val="21"/>
              </w:rPr>
            </w:pPr>
          </w:p>
        </w:tc>
        <w:tc>
          <w:tcPr>
            <w:tcW w:w="869" w:type="dxa"/>
            <w:vAlign w:val="top"/>
          </w:tcPr>
          <w:p w14:paraId="4622451A">
            <w:pPr>
              <w:rPr>
                <w:rFonts w:ascii="Arial"/>
                <w:sz w:val="21"/>
              </w:rPr>
            </w:pPr>
          </w:p>
        </w:tc>
        <w:tc>
          <w:tcPr>
            <w:tcW w:w="757" w:type="dxa"/>
            <w:vAlign w:val="top"/>
          </w:tcPr>
          <w:p w14:paraId="5DF967E5">
            <w:pPr>
              <w:rPr>
                <w:rFonts w:ascii="Arial"/>
                <w:sz w:val="21"/>
              </w:rPr>
            </w:pPr>
          </w:p>
        </w:tc>
      </w:tr>
    </w:tbl>
    <w:p w14:paraId="02B62823">
      <w:pPr>
        <w:pStyle w:val="2"/>
      </w:pPr>
    </w:p>
    <w:p w14:paraId="5EE3DFA8">
      <w:pPr>
        <w:sectPr>
          <w:footerReference r:id="rId347" w:type="default"/>
          <w:pgSz w:w="11910" w:h="16845"/>
          <w:pgMar w:top="400" w:right="1682" w:bottom="1110" w:left="1786" w:header="0" w:footer="883" w:gutter="0"/>
          <w:cols w:space="720" w:num="1"/>
        </w:sectPr>
      </w:pPr>
    </w:p>
    <w:p w14:paraId="0F931CDC">
      <w:pPr>
        <w:pStyle w:val="2"/>
        <w:spacing w:line="271" w:lineRule="auto"/>
      </w:pPr>
    </w:p>
    <w:p w14:paraId="6C76E0F1">
      <w:pPr>
        <w:pStyle w:val="2"/>
        <w:spacing w:line="271" w:lineRule="auto"/>
      </w:pPr>
    </w:p>
    <w:p w14:paraId="378C613F">
      <w:pPr>
        <w:pStyle w:val="2"/>
        <w:spacing w:line="271" w:lineRule="auto"/>
      </w:pPr>
    </w:p>
    <w:p w14:paraId="1143B1CF">
      <w:pPr>
        <w:pStyle w:val="2"/>
        <w:spacing w:line="272" w:lineRule="auto"/>
      </w:pPr>
    </w:p>
    <w:p w14:paraId="1D0703F3">
      <w:pPr>
        <w:pStyle w:val="2"/>
        <w:spacing w:line="272" w:lineRule="auto"/>
      </w:pPr>
    </w:p>
    <w:p w14:paraId="7182DA64">
      <w:pPr>
        <w:pStyle w:val="2"/>
        <w:spacing w:line="272" w:lineRule="auto"/>
      </w:pPr>
    </w:p>
    <w:p w14:paraId="4FA4A3C5">
      <w:pPr>
        <w:pStyle w:val="2"/>
        <w:spacing w:line="272" w:lineRule="auto"/>
      </w:pPr>
    </w:p>
    <w:p w14:paraId="69948C92">
      <w:pPr>
        <w:spacing w:before="78" w:line="218" w:lineRule="auto"/>
        <w:ind w:left="38"/>
        <w:outlineLvl w:val="2"/>
        <w:rPr>
          <w:rFonts w:ascii="黑体" w:hAnsi="黑体" w:eastAsia="黑体" w:cs="黑体"/>
          <w:sz w:val="24"/>
          <w:szCs w:val="24"/>
        </w:rPr>
      </w:pPr>
      <w:bookmarkStart w:id="670" w:name="bookmark616"/>
      <w:bookmarkEnd w:id="670"/>
      <w:r>
        <w:rPr>
          <w:rFonts w:ascii="黑体" w:hAnsi="黑体" w:eastAsia="黑体" w:cs="黑体"/>
          <w:spacing w:val="-1"/>
          <w:sz w:val="24"/>
          <w:szCs w:val="24"/>
        </w:rPr>
        <w:t>附表二：拟配备本工程的试验和检测仪器设备表</w:t>
      </w:r>
    </w:p>
    <w:p w14:paraId="6D7EFEF3">
      <w:pPr>
        <w:spacing w:line="132" w:lineRule="auto"/>
        <w:rPr>
          <w:rFonts w:ascii="Arial"/>
          <w:sz w:val="2"/>
        </w:rPr>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1049"/>
        <w:gridCol w:w="660"/>
        <w:gridCol w:w="1019"/>
        <w:gridCol w:w="705"/>
        <w:gridCol w:w="705"/>
        <w:gridCol w:w="1154"/>
        <w:gridCol w:w="1634"/>
        <w:gridCol w:w="847"/>
      </w:tblGrid>
      <w:tr w14:paraId="42C74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2" w:hRule="atLeast"/>
        </w:trPr>
        <w:tc>
          <w:tcPr>
            <w:tcW w:w="652" w:type="dxa"/>
            <w:vAlign w:val="top"/>
          </w:tcPr>
          <w:p w14:paraId="59374851">
            <w:pPr>
              <w:spacing w:line="439" w:lineRule="auto"/>
              <w:rPr>
                <w:rFonts w:ascii="Arial"/>
                <w:sz w:val="21"/>
              </w:rPr>
            </w:pPr>
          </w:p>
          <w:p w14:paraId="407B8AD5">
            <w:pPr>
              <w:pStyle w:val="6"/>
              <w:spacing w:before="68" w:line="221" w:lineRule="auto"/>
              <w:ind w:left="112"/>
              <w:rPr>
                <w:sz w:val="21"/>
                <w:szCs w:val="21"/>
              </w:rPr>
            </w:pPr>
            <w:r>
              <w:rPr>
                <w:spacing w:val="-2"/>
                <w:sz w:val="21"/>
                <w:szCs w:val="21"/>
              </w:rPr>
              <w:t>序号</w:t>
            </w:r>
          </w:p>
        </w:tc>
        <w:tc>
          <w:tcPr>
            <w:tcW w:w="1049" w:type="dxa"/>
            <w:vAlign w:val="top"/>
          </w:tcPr>
          <w:p w14:paraId="67DCFB19">
            <w:pPr>
              <w:pStyle w:val="6"/>
              <w:spacing w:before="30" w:line="277" w:lineRule="auto"/>
              <w:ind w:left="424" w:right="198" w:hanging="211"/>
              <w:rPr>
                <w:sz w:val="21"/>
                <w:szCs w:val="21"/>
              </w:rPr>
            </w:pPr>
            <w:r>
              <w:rPr>
                <w:spacing w:val="-3"/>
                <w:sz w:val="21"/>
                <w:szCs w:val="21"/>
              </w:rPr>
              <w:t>仪器设</w:t>
            </w:r>
            <w:r>
              <w:rPr>
                <w:sz w:val="21"/>
                <w:szCs w:val="21"/>
              </w:rPr>
              <w:t>备</w:t>
            </w:r>
          </w:p>
          <w:p w14:paraId="28AF7658">
            <w:pPr>
              <w:pStyle w:val="6"/>
              <w:spacing w:line="223" w:lineRule="auto"/>
              <w:ind w:left="424"/>
              <w:rPr>
                <w:sz w:val="21"/>
                <w:szCs w:val="21"/>
              </w:rPr>
            </w:pPr>
            <w:r>
              <w:rPr>
                <w:sz w:val="21"/>
                <w:szCs w:val="21"/>
              </w:rPr>
              <w:t>名</w:t>
            </w:r>
          </w:p>
          <w:p w14:paraId="13ED5D9C">
            <w:pPr>
              <w:pStyle w:val="6"/>
              <w:spacing w:before="61" w:line="222" w:lineRule="auto"/>
              <w:ind w:left="421"/>
              <w:rPr>
                <w:sz w:val="21"/>
                <w:szCs w:val="21"/>
              </w:rPr>
            </w:pPr>
            <w:r>
              <w:rPr>
                <w:sz w:val="21"/>
                <w:szCs w:val="21"/>
              </w:rPr>
              <w:t>称</w:t>
            </w:r>
          </w:p>
        </w:tc>
        <w:tc>
          <w:tcPr>
            <w:tcW w:w="660" w:type="dxa"/>
            <w:vAlign w:val="top"/>
          </w:tcPr>
          <w:p w14:paraId="7DC7F037">
            <w:pPr>
              <w:spacing w:line="275" w:lineRule="auto"/>
              <w:rPr>
                <w:rFonts w:ascii="Arial"/>
                <w:sz w:val="21"/>
              </w:rPr>
            </w:pPr>
          </w:p>
          <w:p w14:paraId="7322030F">
            <w:pPr>
              <w:pStyle w:val="6"/>
              <w:spacing w:before="68" w:line="279" w:lineRule="auto"/>
              <w:ind w:left="125" w:right="108" w:firstLine="5"/>
              <w:rPr>
                <w:sz w:val="21"/>
                <w:szCs w:val="21"/>
              </w:rPr>
            </w:pPr>
            <w:r>
              <w:rPr>
                <w:spacing w:val="-8"/>
                <w:sz w:val="21"/>
                <w:szCs w:val="21"/>
              </w:rPr>
              <w:t>型号</w:t>
            </w:r>
            <w:r>
              <w:rPr>
                <w:spacing w:val="-5"/>
                <w:sz w:val="21"/>
                <w:szCs w:val="21"/>
              </w:rPr>
              <w:t>规格</w:t>
            </w:r>
          </w:p>
        </w:tc>
        <w:tc>
          <w:tcPr>
            <w:tcW w:w="1019" w:type="dxa"/>
            <w:vAlign w:val="top"/>
          </w:tcPr>
          <w:p w14:paraId="38E4F65C">
            <w:pPr>
              <w:spacing w:line="438" w:lineRule="auto"/>
              <w:rPr>
                <w:rFonts w:ascii="Arial"/>
                <w:sz w:val="21"/>
              </w:rPr>
            </w:pPr>
          </w:p>
          <w:p w14:paraId="6DAD50AE">
            <w:pPr>
              <w:pStyle w:val="6"/>
              <w:spacing w:before="68" w:line="220" w:lineRule="auto"/>
              <w:ind w:left="186"/>
              <w:rPr>
                <w:sz w:val="21"/>
                <w:szCs w:val="21"/>
              </w:rPr>
            </w:pPr>
            <w:r>
              <w:rPr>
                <w:spacing w:val="-5"/>
                <w:sz w:val="21"/>
                <w:szCs w:val="21"/>
              </w:rPr>
              <w:t>数</w:t>
            </w:r>
            <w:r>
              <w:rPr>
                <w:spacing w:val="4"/>
                <w:sz w:val="21"/>
                <w:szCs w:val="21"/>
              </w:rPr>
              <w:t xml:space="preserve">  </w:t>
            </w:r>
            <w:r>
              <w:rPr>
                <w:spacing w:val="-5"/>
                <w:sz w:val="21"/>
                <w:szCs w:val="21"/>
              </w:rPr>
              <w:t>量</w:t>
            </w:r>
          </w:p>
        </w:tc>
        <w:tc>
          <w:tcPr>
            <w:tcW w:w="705" w:type="dxa"/>
            <w:vAlign w:val="top"/>
          </w:tcPr>
          <w:p w14:paraId="2D93326E">
            <w:pPr>
              <w:spacing w:line="275" w:lineRule="auto"/>
              <w:rPr>
                <w:rFonts w:ascii="Arial"/>
                <w:sz w:val="21"/>
              </w:rPr>
            </w:pPr>
          </w:p>
          <w:p w14:paraId="3A507987">
            <w:pPr>
              <w:pStyle w:val="6"/>
              <w:spacing w:before="68" w:line="279" w:lineRule="auto"/>
              <w:ind w:left="142" w:right="135" w:firstLine="20"/>
              <w:rPr>
                <w:sz w:val="21"/>
                <w:szCs w:val="21"/>
              </w:rPr>
            </w:pPr>
            <w:r>
              <w:rPr>
                <w:spacing w:val="-15"/>
                <w:sz w:val="21"/>
                <w:szCs w:val="21"/>
              </w:rPr>
              <w:t>国别</w:t>
            </w:r>
            <w:r>
              <w:rPr>
                <w:spacing w:val="-4"/>
                <w:sz w:val="21"/>
                <w:szCs w:val="21"/>
              </w:rPr>
              <w:t>产地</w:t>
            </w:r>
          </w:p>
        </w:tc>
        <w:tc>
          <w:tcPr>
            <w:tcW w:w="705" w:type="dxa"/>
            <w:vAlign w:val="top"/>
          </w:tcPr>
          <w:p w14:paraId="4C202BDF">
            <w:pPr>
              <w:spacing w:line="275" w:lineRule="auto"/>
              <w:rPr>
                <w:rFonts w:ascii="Arial"/>
                <w:sz w:val="21"/>
              </w:rPr>
            </w:pPr>
          </w:p>
          <w:p w14:paraId="190D9DF3">
            <w:pPr>
              <w:pStyle w:val="6"/>
              <w:spacing w:before="68" w:line="279" w:lineRule="auto"/>
              <w:ind w:left="144" w:right="134"/>
              <w:rPr>
                <w:sz w:val="21"/>
                <w:szCs w:val="21"/>
              </w:rPr>
            </w:pPr>
            <w:r>
              <w:rPr>
                <w:spacing w:val="-5"/>
                <w:sz w:val="21"/>
                <w:szCs w:val="21"/>
              </w:rPr>
              <w:t>制造年份</w:t>
            </w:r>
          </w:p>
        </w:tc>
        <w:tc>
          <w:tcPr>
            <w:tcW w:w="1154" w:type="dxa"/>
            <w:vAlign w:val="top"/>
          </w:tcPr>
          <w:p w14:paraId="73CEA30F">
            <w:pPr>
              <w:spacing w:line="275" w:lineRule="auto"/>
              <w:rPr>
                <w:rFonts w:ascii="Arial"/>
                <w:sz w:val="21"/>
              </w:rPr>
            </w:pPr>
          </w:p>
          <w:p w14:paraId="3A53B367">
            <w:pPr>
              <w:pStyle w:val="6"/>
              <w:spacing w:before="68" w:line="279" w:lineRule="auto"/>
              <w:ind w:left="169" w:right="146" w:firstLine="13"/>
              <w:rPr>
                <w:sz w:val="21"/>
                <w:szCs w:val="21"/>
              </w:rPr>
            </w:pPr>
            <w:r>
              <w:rPr>
                <w:spacing w:val="-8"/>
                <w:sz w:val="21"/>
                <w:szCs w:val="21"/>
              </w:rPr>
              <w:t>已使用台</w:t>
            </w:r>
            <w:r>
              <w:rPr>
                <w:spacing w:val="-14"/>
                <w:sz w:val="21"/>
                <w:szCs w:val="21"/>
              </w:rPr>
              <w:t>时</w:t>
            </w:r>
            <w:r>
              <w:rPr>
                <w:spacing w:val="2"/>
                <w:sz w:val="21"/>
                <w:szCs w:val="21"/>
              </w:rPr>
              <w:t xml:space="preserve">    </w:t>
            </w:r>
            <w:r>
              <w:rPr>
                <w:spacing w:val="-14"/>
                <w:sz w:val="21"/>
                <w:szCs w:val="21"/>
              </w:rPr>
              <w:t>数</w:t>
            </w:r>
          </w:p>
        </w:tc>
        <w:tc>
          <w:tcPr>
            <w:tcW w:w="1634" w:type="dxa"/>
            <w:vAlign w:val="top"/>
          </w:tcPr>
          <w:p w14:paraId="2585EFA7">
            <w:pPr>
              <w:spacing w:line="439" w:lineRule="auto"/>
              <w:rPr>
                <w:rFonts w:ascii="Arial"/>
                <w:sz w:val="21"/>
              </w:rPr>
            </w:pPr>
          </w:p>
          <w:p w14:paraId="3878FD03">
            <w:pPr>
              <w:pStyle w:val="6"/>
              <w:spacing w:before="68" w:line="221" w:lineRule="auto"/>
              <w:ind w:left="508"/>
              <w:rPr>
                <w:sz w:val="21"/>
                <w:szCs w:val="21"/>
              </w:rPr>
            </w:pPr>
            <w:r>
              <w:rPr>
                <w:spacing w:val="-5"/>
                <w:sz w:val="21"/>
                <w:szCs w:val="21"/>
              </w:rPr>
              <w:t>用</w:t>
            </w:r>
            <w:r>
              <w:rPr>
                <w:spacing w:val="4"/>
                <w:sz w:val="21"/>
                <w:szCs w:val="21"/>
              </w:rPr>
              <w:t xml:space="preserve">  </w:t>
            </w:r>
            <w:r>
              <w:rPr>
                <w:spacing w:val="-5"/>
                <w:sz w:val="21"/>
                <w:szCs w:val="21"/>
              </w:rPr>
              <w:t>途</w:t>
            </w:r>
          </w:p>
        </w:tc>
        <w:tc>
          <w:tcPr>
            <w:tcW w:w="847" w:type="dxa"/>
            <w:vAlign w:val="top"/>
          </w:tcPr>
          <w:p w14:paraId="09975D5A">
            <w:pPr>
              <w:spacing w:line="439" w:lineRule="auto"/>
              <w:rPr>
                <w:rFonts w:ascii="Arial"/>
                <w:sz w:val="21"/>
              </w:rPr>
            </w:pPr>
          </w:p>
          <w:p w14:paraId="1FC7335D">
            <w:pPr>
              <w:pStyle w:val="6"/>
              <w:spacing w:before="68" w:line="221" w:lineRule="auto"/>
              <w:ind w:left="227"/>
              <w:rPr>
                <w:sz w:val="21"/>
                <w:szCs w:val="21"/>
              </w:rPr>
            </w:pPr>
            <w:r>
              <w:rPr>
                <w:spacing w:val="-3"/>
                <w:sz w:val="21"/>
                <w:szCs w:val="21"/>
              </w:rPr>
              <w:t>备注</w:t>
            </w:r>
          </w:p>
        </w:tc>
      </w:tr>
      <w:tr w14:paraId="4A794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11D8F30">
            <w:pPr>
              <w:rPr>
                <w:rFonts w:ascii="Arial"/>
                <w:sz w:val="21"/>
              </w:rPr>
            </w:pPr>
          </w:p>
        </w:tc>
        <w:tc>
          <w:tcPr>
            <w:tcW w:w="1049" w:type="dxa"/>
            <w:vAlign w:val="top"/>
          </w:tcPr>
          <w:p w14:paraId="6991BD11">
            <w:pPr>
              <w:rPr>
                <w:rFonts w:ascii="Arial"/>
                <w:sz w:val="21"/>
              </w:rPr>
            </w:pPr>
          </w:p>
        </w:tc>
        <w:tc>
          <w:tcPr>
            <w:tcW w:w="660" w:type="dxa"/>
            <w:vAlign w:val="top"/>
          </w:tcPr>
          <w:p w14:paraId="57D92FD9">
            <w:pPr>
              <w:rPr>
                <w:rFonts w:ascii="Arial"/>
                <w:sz w:val="21"/>
              </w:rPr>
            </w:pPr>
          </w:p>
        </w:tc>
        <w:tc>
          <w:tcPr>
            <w:tcW w:w="1019" w:type="dxa"/>
            <w:vAlign w:val="top"/>
          </w:tcPr>
          <w:p w14:paraId="21793B18">
            <w:pPr>
              <w:rPr>
                <w:rFonts w:ascii="Arial"/>
                <w:sz w:val="21"/>
              </w:rPr>
            </w:pPr>
          </w:p>
        </w:tc>
        <w:tc>
          <w:tcPr>
            <w:tcW w:w="705" w:type="dxa"/>
            <w:vAlign w:val="top"/>
          </w:tcPr>
          <w:p w14:paraId="2976AB89">
            <w:pPr>
              <w:rPr>
                <w:rFonts w:ascii="Arial"/>
                <w:sz w:val="21"/>
              </w:rPr>
            </w:pPr>
          </w:p>
        </w:tc>
        <w:tc>
          <w:tcPr>
            <w:tcW w:w="705" w:type="dxa"/>
            <w:vAlign w:val="top"/>
          </w:tcPr>
          <w:p w14:paraId="0F957AE1">
            <w:pPr>
              <w:rPr>
                <w:rFonts w:ascii="Arial"/>
                <w:sz w:val="21"/>
              </w:rPr>
            </w:pPr>
          </w:p>
        </w:tc>
        <w:tc>
          <w:tcPr>
            <w:tcW w:w="1154" w:type="dxa"/>
            <w:vAlign w:val="top"/>
          </w:tcPr>
          <w:p w14:paraId="426F313B">
            <w:pPr>
              <w:rPr>
                <w:rFonts w:ascii="Arial"/>
                <w:sz w:val="21"/>
              </w:rPr>
            </w:pPr>
          </w:p>
        </w:tc>
        <w:tc>
          <w:tcPr>
            <w:tcW w:w="1634" w:type="dxa"/>
            <w:vAlign w:val="top"/>
          </w:tcPr>
          <w:p w14:paraId="0B225F7D">
            <w:pPr>
              <w:rPr>
                <w:rFonts w:ascii="Arial"/>
                <w:sz w:val="21"/>
              </w:rPr>
            </w:pPr>
          </w:p>
        </w:tc>
        <w:tc>
          <w:tcPr>
            <w:tcW w:w="847" w:type="dxa"/>
            <w:vAlign w:val="top"/>
          </w:tcPr>
          <w:p w14:paraId="38A1EB08">
            <w:pPr>
              <w:rPr>
                <w:rFonts w:ascii="Arial"/>
                <w:sz w:val="21"/>
              </w:rPr>
            </w:pPr>
          </w:p>
        </w:tc>
      </w:tr>
      <w:tr w14:paraId="6C637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AB3AF57">
            <w:pPr>
              <w:rPr>
                <w:rFonts w:ascii="Arial"/>
                <w:sz w:val="21"/>
              </w:rPr>
            </w:pPr>
          </w:p>
        </w:tc>
        <w:tc>
          <w:tcPr>
            <w:tcW w:w="1049" w:type="dxa"/>
            <w:vAlign w:val="top"/>
          </w:tcPr>
          <w:p w14:paraId="525D790F">
            <w:pPr>
              <w:rPr>
                <w:rFonts w:ascii="Arial"/>
                <w:sz w:val="21"/>
              </w:rPr>
            </w:pPr>
          </w:p>
        </w:tc>
        <w:tc>
          <w:tcPr>
            <w:tcW w:w="660" w:type="dxa"/>
            <w:vAlign w:val="top"/>
          </w:tcPr>
          <w:p w14:paraId="13C011B1">
            <w:pPr>
              <w:rPr>
                <w:rFonts w:ascii="Arial"/>
                <w:sz w:val="21"/>
              </w:rPr>
            </w:pPr>
          </w:p>
        </w:tc>
        <w:tc>
          <w:tcPr>
            <w:tcW w:w="1019" w:type="dxa"/>
            <w:vAlign w:val="top"/>
          </w:tcPr>
          <w:p w14:paraId="5A672CAA">
            <w:pPr>
              <w:rPr>
                <w:rFonts w:ascii="Arial"/>
                <w:sz w:val="21"/>
              </w:rPr>
            </w:pPr>
          </w:p>
        </w:tc>
        <w:tc>
          <w:tcPr>
            <w:tcW w:w="705" w:type="dxa"/>
            <w:vAlign w:val="top"/>
          </w:tcPr>
          <w:p w14:paraId="3CEF6AAF">
            <w:pPr>
              <w:rPr>
                <w:rFonts w:ascii="Arial"/>
                <w:sz w:val="21"/>
              </w:rPr>
            </w:pPr>
          </w:p>
        </w:tc>
        <w:tc>
          <w:tcPr>
            <w:tcW w:w="705" w:type="dxa"/>
            <w:vAlign w:val="top"/>
          </w:tcPr>
          <w:p w14:paraId="2F8C0A1C">
            <w:pPr>
              <w:rPr>
                <w:rFonts w:ascii="Arial"/>
                <w:sz w:val="21"/>
              </w:rPr>
            </w:pPr>
          </w:p>
        </w:tc>
        <w:tc>
          <w:tcPr>
            <w:tcW w:w="1154" w:type="dxa"/>
            <w:vAlign w:val="top"/>
          </w:tcPr>
          <w:p w14:paraId="75D64540">
            <w:pPr>
              <w:rPr>
                <w:rFonts w:ascii="Arial"/>
                <w:sz w:val="21"/>
              </w:rPr>
            </w:pPr>
          </w:p>
        </w:tc>
        <w:tc>
          <w:tcPr>
            <w:tcW w:w="1634" w:type="dxa"/>
            <w:vAlign w:val="top"/>
          </w:tcPr>
          <w:p w14:paraId="2C259879">
            <w:pPr>
              <w:rPr>
                <w:rFonts w:ascii="Arial"/>
                <w:sz w:val="21"/>
              </w:rPr>
            </w:pPr>
          </w:p>
        </w:tc>
        <w:tc>
          <w:tcPr>
            <w:tcW w:w="847" w:type="dxa"/>
            <w:vAlign w:val="top"/>
          </w:tcPr>
          <w:p w14:paraId="4B05DD9A">
            <w:pPr>
              <w:rPr>
                <w:rFonts w:ascii="Arial"/>
                <w:sz w:val="21"/>
              </w:rPr>
            </w:pPr>
          </w:p>
        </w:tc>
      </w:tr>
      <w:tr w14:paraId="299F7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DCE68B6">
            <w:pPr>
              <w:rPr>
                <w:rFonts w:ascii="Arial"/>
                <w:sz w:val="21"/>
              </w:rPr>
            </w:pPr>
          </w:p>
        </w:tc>
        <w:tc>
          <w:tcPr>
            <w:tcW w:w="1049" w:type="dxa"/>
            <w:vAlign w:val="top"/>
          </w:tcPr>
          <w:p w14:paraId="36DC7ADC">
            <w:pPr>
              <w:rPr>
                <w:rFonts w:ascii="Arial"/>
                <w:sz w:val="21"/>
              </w:rPr>
            </w:pPr>
          </w:p>
        </w:tc>
        <w:tc>
          <w:tcPr>
            <w:tcW w:w="660" w:type="dxa"/>
            <w:vAlign w:val="top"/>
          </w:tcPr>
          <w:p w14:paraId="4C7B3853">
            <w:pPr>
              <w:rPr>
                <w:rFonts w:ascii="Arial"/>
                <w:sz w:val="21"/>
              </w:rPr>
            </w:pPr>
          </w:p>
        </w:tc>
        <w:tc>
          <w:tcPr>
            <w:tcW w:w="1019" w:type="dxa"/>
            <w:vAlign w:val="top"/>
          </w:tcPr>
          <w:p w14:paraId="28A7F8E1">
            <w:pPr>
              <w:rPr>
                <w:rFonts w:ascii="Arial"/>
                <w:sz w:val="21"/>
              </w:rPr>
            </w:pPr>
          </w:p>
        </w:tc>
        <w:tc>
          <w:tcPr>
            <w:tcW w:w="705" w:type="dxa"/>
            <w:vAlign w:val="top"/>
          </w:tcPr>
          <w:p w14:paraId="7F6E2FCF">
            <w:pPr>
              <w:rPr>
                <w:rFonts w:ascii="Arial"/>
                <w:sz w:val="21"/>
              </w:rPr>
            </w:pPr>
          </w:p>
        </w:tc>
        <w:tc>
          <w:tcPr>
            <w:tcW w:w="705" w:type="dxa"/>
            <w:vAlign w:val="top"/>
          </w:tcPr>
          <w:p w14:paraId="2D43495B">
            <w:pPr>
              <w:rPr>
                <w:rFonts w:ascii="Arial"/>
                <w:sz w:val="21"/>
              </w:rPr>
            </w:pPr>
          </w:p>
        </w:tc>
        <w:tc>
          <w:tcPr>
            <w:tcW w:w="1154" w:type="dxa"/>
            <w:vAlign w:val="top"/>
          </w:tcPr>
          <w:p w14:paraId="3B0BDEAD">
            <w:pPr>
              <w:rPr>
                <w:rFonts w:ascii="Arial"/>
                <w:sz w:val="21"/>
              </w:rPr>
            </w:pPr>
          </w:p>
        </w:tc>
        <w:tc>
          <w:tcPr>
            <w:tcW w:w="1634" w:type="dxa"/>
            <w:vAlign w:val="top"/>
          </w:tcPr>
          <w:p w14:paraId="2A85F25A">
            <w:pPr>
              <w:rPr>
                <w:rFonts w:ascii="Arial"/>
                <w:sz w:val="21"/>
              </w:rPr>
            </w:pPr>
          </w:p>
        </w:tc>
        <w:tc>
          <w:tcPr>
            <w:tcW w:w="847" w:type="dxa"/>
            <w:vAlign w:val="top"/>
          </w:tcPr>
          <w:p w14:paraId="3CA11250">
            <w:pPr>
              <w:rPr>
                <w:rFonts w:ascii="Arial"/>
                <w:sz w:val="21"/>
              </w:rPr>
            </w:pPr>
          </w:p>
        </w:tc>
      </w:tr>
      <w:tr w14:paraId="5FC0A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49B3AD7">
            <w:pPr>
              <w:rPr>
                <w:rFonts w:ascii="Arial"/>
                <w:sz w:val="21"/>
              </w:rPr>
            </w:pPr>
          </w:p>
        </w:tc>
        <w:tc>
          <w:tcPr>
            <w:tcW w:w="1049" w:type="dxa"/>
            <w:vAlign w:val="top"/>
          </w:tcPr>
          <w:p w14:paraId="3C30BAE8">
            <w:pPr>
              <w:rPr>
                <w:rFonts w:ascii="Arial"/>
                <w:sz w:val="21"/>
              </w:rPr>
            </w:pPr>
          </w:p>
        </w:tc>
        <w:tc>
          <w:tcPr>
            <w:tcW w:w="660" w:type="dxa"/>
            <w:vAlign w:val="top"/>
          </w:tcPr>
          <w:p w14:paraId="2CC3AB8E">
            <w:pPr>
              <w:rPr>
                <w:rFonts w:ascii="Arial"/>
                <w:sz w:val="21"/>
              </w:rPr>
            </w:pPr>
          </w:p>
        </w:tc>
        <w:tc>
          <w:tcPr>
            <w:tcW w:w="1019" w:type="dxa"/>
            <w:vAlign w:val="top"/>
          </w:tcPr>
          <w:p w14:paraId="5A7C448C">
            <w:pPr>
              <w:rPr>
                <w:rFonts w:ascii="Arial"/>
                <w:sz w:val="21"/>
              </w:rPr>
            </w:pPr>
          </w:p>
        </w:tc>
        <w:tc>
          <w:tcPr>
            <w:tcW w:w="705" w:type="dxa"/>
            <w:vAlign w:val="top"/>
          </w:tcPr>
          <w:p w14:paraId="6AD05A84">
            <w:pPr>
              <w:rPr>
                <w:rFonts w:ascii="Arial"/>
                <w:sz w:val="21"/>
              </w:rPr>
            </w:pPr>
          </w:p>
        </w:tc>
        <w:tc>
          <w:tcPr>
            <w:tcW w:w="705" w:type="dxa"/>
            <w:vAlign w:val="top"/>
          </w:tcPr>
          <w:p w14:paraId="2F961DF2">
            <w:pPr>
              <w:rPr>
                <w:rFonts w:ascii="Arial"/>
                <w:sz w:val="21"/>
              </w:rPr>
            </w:pPr>
          </w:p>
        </w:tc>
        <w:tc>
          <w:tcPr>
            <w:tcW w:w="1154" w:type="dxa"/>
            <w:vAlign w:val="top"/>
          </w:tcPr>
          <w:p w14:paraId="0833BE42">
            <w:pPr>
              <w:rPr>
                <w:rFonts w:ascii="Arial"/>
                <w:sz w:val="21"/>
              </w:rPr>
            </w:pPr>
          </w:p>
        </w:tc>
        <w:tc>
          <w:tcPr>
            <w:tcW w:w="1634" w:type="dxa"/>
            <w:vAlign w:val="top"/>
          </w:tcPr>
          <w:p w14:paraId="175F11C6">
            <w:pPr>
              <w:rPr>
                <w:rFonts w:ascii="Arial"/>
                <w:sz w:val="21"/>
              </w:rPr>
            </w:pPr>
          </w:p>
        </w:tc>
        <w:tc>
          <w:tcPr>
            <w:tcW w:w="847" w:type="dxa"/>
            <w:vAlign w:val="top"/>
          </w:tcPr>
          <w:p w14:paraId="716A1DA9">
            <w:pPr>
              <w:rPr>
                <w:rFonts w:ascii="Arial"/>
                <w:sz w:val="21"/>
              </w:rPr>
            </w:pPr>
          </w:p>
        </w:tc>
      </w:tr>
      <w:tr w14:paraId="51666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07619EB">
            <w:pPr>
              <w:rPr>
                <w:rFonts w:ascii="Arial"/>
                <w:sz w:val="21"/>
              </w:rPr>
            </w:pPr>
          </w:p>
        </w:tc>
        <w:tc>
          <w:tcPr>
            <w:tcW w:w="1049" w:type="dxa"/>
            <w:vAlign w:val="top"/>
          </w:tcPr>
          <w:p w14:paraId="38050D7B">
            <w:pPr>
              <w:rPr>
                <w:rFonts w:ascii="Arial"/>
                <w:sz w:val="21"/>
              </w:rPr>
            </w:pPr>
          </w:p>
        </w:tc>
        <w:tc>
          <w:tcPr>
            <w:tcW w:w="660" w:type="dxa"/>
            <w:vAlign w:val="top"/>
          </w:tcPr>
          <w:p w14:paraId="2F502B8A">
            <w:pPr>
              <w:rPr>
                <w:rFonts w:ascii="Arial"/>
                <w:sz w:val="21"/>
              </w:rPr>
            </w:pPr>
          </w:p>
        </w:tc>
        <w:tc>
          <w:tcPr>
            <w:tcW w:w="1019" w:type="dxa"/>
            <w:vAlign w:val="top"/>
          </w:tcPr>
          <w:p w14:paraId="4D70C6E4">
            <w:pPr>
              <w:rPr>
                <w:rFonts w:ascii="Arial"/>
                <w:sz w:val="21"/>
              </w:rPr>
            </w:pPr>
          </w:p>
        </w:tc>
        <w:tc>
          <w:tcPr>
            <w:tcW w:w="705" w:type="dxa"/>
            <w:vAlign w:val="top"/>
          </w:tcPr>
          <w:p w14:paraId="30A85A89">
            <w:pPr>
              <w:rPr>
                <w:rFonts w:ascii="Arial"/>
                <w:sz w:val="21"/>
              </w:rPr>
            </w:pPr>
          </w:p>
        </w:tc>
        <w:tc>
          <w:tcPr>
            <w:tcW w:w="705" w:type="dxa"/>
            <w:vAlign w:val="top"/>
          </w:tcPr>
          <w:p w14:paraId="5CCCB4FD">
            <w:pPr>
              <w:rPr>
                <w:rFonts w:ascii="Arial"/>
                <w:sz w:val="21"/>
              </w:rPr>
            </w:pPr>
          </w:p>
        </w:tc>
        <w:tc>
          <w:tcPr>
            <w:tcW w:w="1154" w:type="dxa"/>
            <w:vAlign w:val="top"/>
          </w:tcPr>
          <w:p w14:paraId="135BDA1D">
            <w:pPr>
              <w:rPr>
                <w:rFonts w:ascii="Arial"/>
                <w:sz w:val="21"/>
              </w:rPr>
            </w:pPr>
          </w:p>
        </w:tc>
        <w:tc>
          <w:tcPr>
            <w:tcW w:w="1634" w:type="dxa"/>
            <w:vAlign w:val="top"/>
          </w:tcPr>
          <w:p w14:paraId="77F988BB">
            <w:pPr>
              <w:rPr>
                <w:rFonts w:ascii="Arial"/>
                <w:sz w:val="21"/>
              </w:rPr>
            </w:pPr>
          </w:p>
        </w:tc>
        <w:tc>
          <w:tcPr>
            <w:tcW w:w="847" w:type="dxa"/>
            <w:vAlign w:val="top"/>
          </w:tcPr>
          <w:p w14:paraId="560D7E42">
            <w:pPr>
              <w:rPr>
                <w:rFonts w:ascii="Arial"/>
                <w:sz w:val="21"/>
              </w:rPr>
            </w:pPr>
          </w:p>
        </w:tc>
      </w:tr>
      <w:tr w14:paraId="103F0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1874F60">
            <w:pPr>
              <w:rPr>
                <w:rFonts w:ascii="Arial"/>
                <w:sz w:val="21"/>
              </w:rPr>
            </w:pPr>
          </w:p>
        </w:tc>
        <w:tc>
          <w:tcPr>
            <w:tcW w:w="1049" w:type="dxa"/>
            <w:vAlign w:val="top"/>
          </w:tcPr>
          <w:p w14:paraId="7D149BA9">
            <w:pPr>
              <w:rPr>
                <w:rFonts w:ascii="Arial"/>
                <w:sz w:val="21"/>
              </w:rPr>
            </w:pPr>
          </w:p>
        </w:tc>
        <w:tc>
          <w:tcPr>
            <w:tcW w:w="660" w:type="dxa"/>
            <w:vAlign w:val="top"/>
          </w:tcPr>
          <w:p w14:paraId="098B0927">
            <w:pPr>
              <w:rPr>
                <w:rFonts w:ascii="Arial"/>
                <w:sz w:val="21"/>
              </w:rPr>
            </w:pPr>
          </w:p>
        </w:tc>
        <w:tc>
          <w:tcPr>
            <w:tcW w:w="1019" w:type="dxa"/>
            <w:vAlign w:val="top"/>
          </w:tcPr>
          <w:p w14:paraId="0597C00C">
            <w:pPr>
              <w:rPr>
                <w:rFonts w:ascii="Arial"/>
                <w:sz w:val="21"/>
              </w:rPr>
            </w:pPr>
          </w:p>
        </w:tc>
        <w:tc>
          <w:tcPr>
            <w:tcW w:w="705" w:type="dxa"/>
            <w:vAlign w:val="top"/>
          </w:tcPr>
          <w:p w14:paraId="3C3BAADD">
            <w:pPr>
              <w:rPr>
                <w:rFonts w:ascii="Arial"/>
                <w:sz w:val="21"/>
              </w:rPr>
            </w:pPr>
          </w:p>
        </w:tc>
        <w:tc>
          <w:tcPr>
            <w:tcW w:w="705" w:type="dxa"/>
            <w:vAlign w:val="top"/>
          </w:tcPr>
          <w:p w14:paraId="7B82EABF">
            <w:pPr>
              <w:rPr>
                <w:rFonts w:ascii="Arial"/>
                <w:sz w:val="21"/>
              </w:rPr>
            </w:pPr>
          </w:p>
        </w:tc>
        <w:tc>
          <w:tcPr>
            <w:tcW w:w="1154" w:type="dxa"/>
            <w:vAlign w:val="top"/>
          </w:tcPr>
          <w:p w14:paraId="3E4E593F">
            <w:pPr>
              <w:rPr>
                <w:rFonts w:ascii="Arial"/>
                <w:sz w:val="21"/>
              </w:rPr>
            </w:pPr>
          </w:p>
        </w:tc>
        <w:tc>
          <w:tcPr>
            <w:tcW w:w="1634" w:type="dxa"/>
            <w:vAlign w:val="top"/>
          </w:tcPr>
          <w:p w14:paraId="44CA84E8">
            <w:pPr>
              <w:rPr>
                <w:rFonts w:ascii="Arial"/>
                <w:sz w:val="21"/>
              </w:rPr>
            </w:pPr>
          </w:p>
        </w:tc>
        <w:tc>
          <w:tcPr>
            <w:tcW w:w="847" w:type="dxa"/>
            <w:vAlign w:val="top"/>
          </w:tcPr>
          <w:p w14:paraId="3EC16CD0">
            <w:pPr>
              <w:rPr>
                <w:rFonts w:ascii="Arial"/>
                <w:sz w:val="21"/>
              </w:rPr>
            </w:pPr>
          </w:p>
        </w:tc>
      </w:tr>
      <w:tr w14:paraId="2C3BF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400FFADA">
            <w:pPr>
              <w:rPr>
                <w:rFonts w:ascii="Arial"/>
                <w:sz w:val="21"/>
              </w:rPr>
            </w:pPr>
          </w:p>
        </w:tc>
        <w:tc>
          <w:tcPr>
            <w:tcW w:w="1049" w:type="dxa"/>
            <w:vAlign w:val="top"/>
          </w:tcPr>
          <w:p w14:paraId="090901A2">
            <w:pPr>
              <w:rPr>
                <w:rFonts w:ascii="Arial"/>
                <w:sz w:val="21"/>
              </w:rPr>
            </w:pPr>
          </w:p>
        </w:tc>
        <w:tc>
          <w:tcPr>
            <w:tcW w:w="660" w:type="dxa"/>
            <w:vAlign w:val="top"/>
          </w:tcPr>
          <w:p w14:paraId="2C1B1C16">
            <w:pPr>
              <w:rPr>
                <w:rFonts w:ascii="Arial"/>
                <w:sz w:val="21"/>
              </w:rPr>
            </w:pPr>
          </w:p>
        </w:tc>
        <w:tc>
          <w:tcPr>
            <w:tcW w:w="1019" w:type="dxa"/>
            <w:vAlign w:val="top"/>
          </w:tcPr>
          <w:p w14:paraId="3DE3CAAA">
            <w:pPr>
              <w:rPr>
                <w:rFonts w:ascii="Arial"/>
                <w:sz w:val="21"/>
              </w:rPr>
            </w:pPr>
          </w:p>
        </w:tc>
        <w:tc>
          <w:tcPr>
            <w:tcW w:w="705" w:type="dxa"/>
            <w:vAlign w:val="top"/>
          </w:tcPr>
          <w:p w14:paraId="23C090B1">
            <w:pPr>
              <w:rPr>
                <w:rFonts w:ascii="Arial"/>
                <w:sz w:val="21"/>
              </w:rPr>
            </w:pPr>
          </w:p>
        </w:tc>
        <w:tc>
          <w:tcPr>
            <w:tcW w:w="705" w:type="dxa"/>
            <w:vAlign w:val="top"/>
          </w:tcPr>
          <w:p w14:paraId="3C57013D">
            <w:pPr>
              <w:rPr>
                <w:rFonts w:ascii="Arial"/>
                <w:sz w:val="21"/>
              </w:rPr>
            </w:pPr>
          </w:p>
        </w:tc>
        <w:tc>
          <w:tcPr>
            <w:tcW w:w="1154" w:type="dxa"/>
            <w:vAlign w:val="top"/>
          </w:tcPr>
          <w:p w14:paraId="44E7B776">
            <w:pPr>
              <w:rPr>
                <w:rFonts w:ascii="Arial"/>
                <w:sz w:val="21"/>
              </w:rPr>
            </w:pPr>
          </w:p>
        </w:tc>
        <w:tc>
          <w:tcPr>
            <w:tcW w:w="1634" w:type="dxa"/>
            <w:vAlign w:val="top"/>
          </w:tcPr>
          <w:p w14:paraId="01A540D5">
            <w:pPr>
              <w:rPr>
                <w:rFonts w:ascii="Arial"/>
                <w:sz w:val="21"/>
              </w:rPr>
            </w:pPr>
          </w:p>
        </w:tc>
        <w:tc>
          <w:tcPr>
            <w:tcW w:w="847" w:type="dxa"/>
            <w:vAlign w:val="top"/>
          </w:tcPr>
          <w:p w14:paraId="2D047A7F">
            <w:pPr>
              <w:rPr>
                <w:rFonts w:ascii="Arial"/>
                <w:sz w:val="21"/>
              </w:rPr>
            </w:pPr>
          </w:p>
        </w:tc>
      </w:tr>
      <w:tr w14:paraId="43ACF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5D2FD369">
            <w:pPr>
              <w:rPr>
                <w:rFonts w:ascii="Arial"/>
                <w:sz w:val="21"/>
              </w:rPr>
            </w:pPr>
          </w:p>
        </w:tc>
        <w:tc>
          <w:tcPr>
            <w:tcW w:w="1049" w:type="dxa"/>
            <w:vAlign w:val="top"/>
          </w:tcPr>
          <w:p w14:paraId="1820ABD2">
            <w:pPr>
              <w:rPr>
                <w:rFonts w:ascii="Arial"/>
                <w:sz w:val="21"/>
              </w:rPr>
            </w:pPr>
          </w:p>
        </w:tc>
        <w:tc>
          <w:tcPr>
            <w:tcW w:w="660" w:type="dxa"/>
            <w:vAlign w:val="top"/>
          </w:tcPr>
          <w:p w14:paraId="4B407E33">
            <w:pPr>
              <w:rPr>
                <w:rFonts w:ascii="Arial"/>
                <w:sz w:val="21"/>
              </w:rPr>
            </w:pPr>
          </w:p>
        </w:tc>
        <w:tc>
          <w:tcPr>
            <w:tcW w:w="1019" w:type="dxa"/>
            <w:vAlign w:val="top"/>
          </w:tcPr>
          <w:p w14:paraId="68392596">
            <w:pPr>
              <w:rPr>
                <w:rFonts w:ascii="Arial"/>
                <w:sz w:val="21"/>
              </w:rPr>
            </w:pPr>
          </w:p>
        </w:tc>
        <w:tc>
          <w:tcPr>
            <w:tcW w:w="705" w:type="dxa"/>
            <w:vAlign w:val="top"/>
          </w:tcPr>
          <w:p w14:paraId="5A611A9C">
            <w:pPr>
              <w:rPr>
                <w:rFonts w:ascii="Arial"/>
                <w:sz w:val="21"/>
              </w:rPr>
            </w:pPr>
          </w:p>
        </w:tc>
        <w:tc>
          <w:tcPr>
            <w:tcW w:w="705" w:type="dxa"/>
            <w:vAlign w:val="top"/>
          </w:tcPr>
          <w:p w14:paraId="6051B879">
            <w:pPr>
              <w:rPr>
                <w:rFonts w:ascii="Arial"/>
                <w:sz w:val="21"/>
              </w:rPr>
            </w:pPr>
          </w:p>
        </w:tc>
        <w:tc>
          <w:tcPr>
            <w:tcW w:w="1154" w:type="dxa"/>
            <w:vAlign w:val="top"/>
          </w:tcPr>
          <w:p w14:paraId="406814EF">
            <w:pPr>
              <w:rPr>
                <w:rFonts w:ascii="Arial"/>
                <w:sz w:val="21"/>
              </w:rPr>
            </w:pPr>
          </w:p>
        </w:tc>
        <w:tc>
          <w:tcPr>
            <w:tcW w:w="1634" w:type="dxa"/>
            <w:vAlign w:val="top"/>
          </w:tcPr>
          <w:p w14:paraId="6DAEA49F">
            <w:pPr>
              <w:rPr>
                <w:rFonts w:ascii="Arial"/>
                <w:sz w:val="21"/>
              </w:rPr>
            </w:pPr>
          </w:p>
        </w:tc>
        <w:tc>
          <w:tcPr>
            <w:tcW w:w="847" w:type="dxa"/>
            <w:vAlign w:val="top"/>
          </w:tcPr>
          <w:p w14:paraId="0455E72C">
            <w:pPr>
              <w:rPr>
                <w:rFonts w:ascii="Arial"/>
                <w:sz w:val="21"/>
              </w:rPr>
            </w:pPr>
          </w:p>
        </w:tc>
      </w:tr>
      <w:tr w14:paraId="725C8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23ADD4A">
            <w:pPr>
              <w:rPr>
                <w:rFonts w:ascii="Arial"/>
                <w:sz w:val="21"/>
              </w:rPr>
            </w:pPr>
          </w:p>
        </w:tc>
        <w:tc>
          <w:tcPr>
            <w:tcW w:w="1049" w:type="dxa"/>
            <w:vAlign w:val="top"/>
          </w:tcPr>
          <w:p w14:paraId="57EE3D0E">
            <w:pPr>
              <w:rPr>
                <w:rFonts w:ascii="Arial"/>
                <w:sz w:val="21"/>
              </w:rPr>
            </w:pPr>
          </w:p>
        </w:tc>
        <w:tc>
          <w:tcPr>
            <w:tcW w:w="660" w:type="dxa"/>
            <w:vAlign w:val="top"/>
          </w:tcPr>
          <w:p w14:paraId="4CBE3B7C">
            <w:pPr>
              <w:rPr>
                <w:rFonts w:ascii="Arial"/>
                <w:sz w:val="21"/>
              </w:rPr>
            </w:pPr>
          </w:p>
        </w:tc>
        <w:tc>
          <w:tcPr>
            <w:tcW w:w="1019" w:type="dxa"/>
            <w:vAlign w:val="top"/>
          </w:tcPr>
          <w:p w14:paraId="7261ACB7">
            <w:pPr>
              <w:rPr>
                <w:rFonts w:ascii="Arial"/>
                <w:sz w:val="21"/>
              </w:rPr>
            </w:pPr>
          </w:p>
        </w:tc>
        <w:tc>
          <w:tcPr>
            <w:tcW w:w="705" w:type="dxa"/>
            <w:vAlign w:val="top"/>
          </w:tcPr>
          <w:p w14:paraId="4034FD98">
            <w:pPr>
              <w:rPr>
                <w:rFonts w:ascii="Arial"/>
                <w:sz w:val="21"/>
              </w:rPr>
            </w:pPr>
          </w:p>
        </w:tc>
        <w:tc>
          <w:tcPr>
            <w:tcW w:w="705" w:type="dxa"/>
            <w:vAlign w:val="top"/>
          </w:tcPr>
          <w:p w14:paraId="2C57C110">
            <w:pPr>
              <w:rPr>
                <w:rFonts w:ascii="Arial"/>
                <w:sz w:val="21"/>
              </w:rPr>
            </w:pPr>
          </w:p>
        </w:tc>
        <w:tc>
          <w:tcPr>
            <w:tcW w:w="1154" w:type="dxa"/>
            <w:vAlign w:val="top"/>
          </w:tcPr>
          <w:p w14:paraId="19D70168">
            <w:pPr>
              <w:rPr>
                <w:rFonts w:ascii="Arial"/>
                <w:sz w:val="21"/>
              </w:rPr>
            </w:pPr>
          </w:p>
        </w:tc>
        <w:tc>
          <w:tcPr>
            <w:tcW w:w="1634" w:type="dxa"/>
            <w:vAlign w:val="top"/>
          </w:tcPr>
          <w:p w14:paraId="474FE0B2">
            <w:pPr>
              <w:rPr>
                <w:rFonts w:ascii="Arial"/>
                <w:sz w:val="21"/>
              </w:rPr>
            </w:pPr>
          </w:p>
        </w:tc>
        <w:tc>
          <w:tcPr>
            <w:tcW w:w="847" w:type="dxa"/>
            <w:vAlign w:val="top"/>
          </w:tcPr>
          <w:p w14:paraId="48F5136E">
            <w:pPr>
              <w:rPr>
                <w:rFonts w:ascii="Arial"/>
                <w:sz w:val="21"/>
              </w:rPr>
            </w:pPr>
          </w:p>
        </w:tc>
      </w:tr>
      <w:tr w14:paraId="64E7B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7C31DC7">
            <w:pPr>
              <w:rPr>
                <w:rFonts w:ascii="Arial"/>
                <w:sz w:val="21"/>
              </w:rPr>
            </w:pPr>
          </w:p>
        </w:tc>
        <w:tc>
          <w:tcPr>
            <w:tcW w:w="1049" w:type="dxa"/>
            <w:vAlign w:val="top"/>
          </w:tcPr>
          <w:p w14:paraId="1F28482F">
            <w:pPr>
              <w:rPr>
                <w:rFonts w:ascii="Arial"/>
                <w:sz w:val="21"/>
              </w:rPr>
            </w:pPr>
          </w:p>
        </w:tc>
        <w:tc>
          <w:tcPr>
            <w:tcW w:w="660" w:type="dxa"/>
            <w:vAlign w:val="top"/>
          </w:tcPr>
          <w:p w14:paraId="5460D88A">
            <w:pPr>
              <w:rPr>
                <w:rFonts w:ascii="Arial"/>
                <w:sz w:val="21"/>
              </w:rPr>
            </w:pPr>
          </w:p>
        </w:tc>
        <w:tc>
          <w:tcPr>
            <w:tcW w:w="1019" w:type="dxa"/>
            <w:vAlign w:val="top"/>
          </w:tcPr>
          <w:p w14:paraId="5A373DF2">
            <w:pPr>
              <w:rPr>
                <w:rFonts w:ascii="Arial"/>
                <w:sz w:val="21"/>
              </w:rPr>
            </w:pPr>
          </w:p>
        </w:tc>
        <w:tc>
          <w:tcPr>
            <w:tcW w:w="705" w:type="dxa"/>
            <w:vAlign w:val="top"/>
          </w:tcPr>
          <w:p w14:paraId="5E57F7E6">
            <w:pPr>
              <w:rPr>
                <w:rFonts w:ascii="Arial"/>
                <w:sz w:val="21"/>
              </w:rPr>
            </w:pPr>
          </w:p>
        </w:tc>
        <w:tc>
          <w:tcPr>
            <w:tcW w:w="705" w:type="dxa"/>
            <w:vAlign w:val="top"/>
          </w:tcPr>
          <w:p w14:paraId="69143C22">
            <w:pPr>
              <w:rPr>
                <w:rFonts w:ascii="Arial"/>
                <w:sz w:val="21"/>
              </w:rPr>
            </w:pPr>
          </w:p>
        </w:tc>
        <w:tc>
          <w:tcPr>
            <w:tcW w:w="1154" w:type="dxa"/>
            <w:vAlign w:val="top"/>
          </w:tcPr>
          <w:p w14:paraId="0BC16659">
            <w:pPr>
              <w:rPr>
                <w:rFonts w:ascii="Arial"/>
                <w:sz w:val="21"/>
              </w:rPr>
            </w:pPr>
          </w:p>
        </w:tc>
        <w:tc>
          <w:tcPr>
            <w:tcW w:w="1634" w:type="dxa"/>
            <w:vAlign w:val="top"/>
          </w:tcPr>
          <w:p w14:paraId="7CD6F234">
            <w:pPr>
              <w:rPr>
                <w:rFonts w:ascii="Arial"/>
                <w:sz w:val="21"/>
              </w:rPr>
            </w:pPr>
          </w:p>
        </w:tc>
        <w:tc>
          <w:tcPr>
            <w:tcW w:w="847" w:type="dxa"/>
            <w:vAlign w:val="top"/>
          </w:tcPr>
          <w:p w14:paraId="428AB01B">
            <w:pPr>
              <w:rPr>
                <w:rFonts w:ascii="Arial"/>
                <w:sz w:val="21"/>
              </w:rPr>
            </w:pPr>
          </w:p>
        </w:tc>
      </w:tr>
      <w:tr w14:paraId="715C6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B9734B1">
            <w:pPr>
              <w:rPr>
                <w:rFonts w:ascii="Arial"/>
                <w:sz w:val="21"/>
              </w:rPr>
            </w:pPr>
          </w:p>
        </w:tc>
        <w:tc>
          <w:tcPr>
            <w:tcW w:w="1049" w:type="dxa"/>
            <w:vAlign w:val="top"/>
          </w:tcPr>
          <w:p w14:paraId="40D6020B">
            <w:pPr>
              <w:rPr>
                <w:rFonts w:ascii="Arial"/>
                <w:sz w:val="21"/>
              </w:rPr>
            </w:pPr>
          </w:p>
        </w:tc>
        <w:tc>
          <w:tcPr>
            <w:tcW w:w="660" w:type="dxa"/>
            <w:vAlign w:val="top"/>
          </w:tcPr>
          <w:p w14:paraId="0E022ADB">
            <w:pPr>
              <w:rPr>
                <w:rFonts w:ascii="Arial"/>
                <w:sz w:val="21"/>
              </w:rPr>
            </w:pPr>
          </w:p>
        </w:tc>
        <w:tc>
          <w:tcPr>
            <w:tcW w:w="1019" w:type="dxa"/>
            <w:vAlign w:val="top"/>
          </w:tcPr>
          <w:p w14:paraId="75AA196A">
            <w:pPr>
              <w:rPr>
                <w:rFonts w:ascii="Arial"/>
                <w:sz w:val="21"/>
              </w:rPr>
            </w:pPr>
          </w:p>
        </w:tc>
        <w:tc>
          <w:tcPr>
            <w:tcW w:w="705" w:type="dxa"/>
            <w:vAlign w:val="top"/>
          </w:tcPr>
          <w:p w14:paraId="41B69C73">
            <w:pPr>
              <w:rPr>
                <w:rFonts w:ascii="Arial"/>
                <w:sz w:val="21"/>
              </w:rPr>
            </w:pPr>
          </w:p>
        </w:tc>
        <w:tc>
          <w:tcPr>
            <w:tcW w:w="705" w:type="dxa"/>
            <w:vAlign w:val="top"/>
          </w:tcPr>
          <w:p w14:paraId="3E1A45B1">
            <w:pPr>
              <w:rPr>
                <w:rFonts w:ascii="Arial"/>
                <w:sz w:val="21"/>
              </w:rPr>
            </w:pPr>
          </w:p>
        </w:tc>
        <w:tc>
          <w:tcPr>
            <w:tcW w:w="1154" w:type="dxa"/>
            <w:vAlign w:val="top"/>
          </w:tcPr>
          <w:p w14:paraId="7FCD2681">
            <w:pPr>
              <w:rPr>
                <w:rFonts w:ascii="Arial"/>
                <w:sz w:val="21"/>
              </w:rPr>
            </w:pPr>
          </w:p>
        </w:tc>
        <w:tc>
          <w:tcPr>
            <w:tcW w:w="1634" w:type="dxa"/>
            <w:vAlign w:val="top"/>
          </w:tcPr>
          <w:p w14:paraId="4FBD5BF7">
            <w:pPr>
              <w:rPr>
                <w:rFonts w:ascii="Arial"/>
                <w:sz w:val="21"/>
              </w:rPr>
            </w:pPr>
          </w:p>
        </w:tc>
        <w:tc>
          <w:tcPr>
            <w:tcW w:w="847" w:type="dxa"/>
            <w:vAlign w:val="top"/>
          </w:tcPr>
          <w:p w14:paraId="1CB1DA9E">
            <w:pPr>
              <w:rPr>
                <w:rFonts w:ascii="Arial"/>
                <w:sz w:val="21"/>
              </w:rPr>
            </w:pPr>
          </w:p>
        </w:tc>
      </w:tr>
      <w:tr w14:paraId="290ED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1103439">
            <w:pPr>
              <w:rPr>
                <w:rFonts w:ascii="Arial"/>
                <w:sz w:val="21"/>
              </w:rPr>
            </w:pPr>
          </w:p>
        </w:tc>
        <w:tc>
          <w:tcPr>
            <w:tcW w:w="1049" w:type="dxa"/>
            <w:vAlign w:val="top"/>
          </w:tcPr>
          <w:p w14:paraId="5B2CDC2E">
            <w:pPr>
              <w:rPr>
                <w:rFonts w:ascii="Arial"/>
                <w:sz w:val="21"/>
              </w:rPr>
            </w:pPr>
          </w:p>
        </w:tc>
        <w:tc>
          <w:tcPr>
            <w:tcW w:w="660" w:type="dxa"/>
            <w:vAlign w:val="top"/>
          </w:tcPr>
          <w:p w14:paraId="5C309F25">
            <w:pPr>
              <w:rPr>
                <w:rFonts w:ascii="Arial"/>
                <w:sz w:val="21"/>
              </w:rPr>
            </w:pPr>
          </w:p>
        </w:tc>
        <w:tc>
          <w:tcPr>
            <w:tcW w:w="1019" w:type="dxa"/>
            <w:vAlign w:val="top"/>
          </w:tcPr>
          <w:p w14:paraId="60ACD7E8">
            <w:pPr>
              <w:rPr>
                <w:rFonts w:ascii="Arial"/>
                <w:sz w:val="21"/>
              </w:rPr>
            </w:pPr>
          </w:p>
        </w:tc>
        <w:tc>
          <w:tcPr>
            <w:tcW w:w="705" w:type="dxa"/>
            <w:vAlign w:val="top"/>
          </w:tcPr>
          <w:p w14:paraId="1CB7B319">
            <w:pPr>
              <w:rPr>
                <w:rFonts w:ascii="Arial"/>
                <w:sz w:val="21"/>
              </w:rPr>
            </w:pPr>
          </w:p>
        </w:tc>
        <w:tc>
          <w:tcPr>
            <w:tcW w:w="705" w:type="dxa"/>
            <w:vAlign w:val="top"/>
          </w:tcPr>
          <w:p w14:paraId="7D3EA6C5">
            <w:pPr>
              <w:rPr>
                <w:rFonts w:ascii="Arial"/>
                <w:sz w:val="21"/>
              </w:rPr>
            </w:pPr>
          </w:p>
        </w:tc>
        <w:tc>
          <w:tcPr>
            <w:tcW w:w="1154" w:type="dxa"/>
            <w:vAlign w:val="top"/>
          </w:tcPr>
          <w:p w14:paraId="58F5E699">
            <w:pPr>
              <w:rPr>
                <w:rFonts w:ascii="Arial"/>
                <w:sz w:val="21"/>
              </w:rPr>
            </w:pPr>
          </w:p>
        </w:tc>
        <w:tc>
          <w:tcPr>
            <w:tcW w:w="1634" w:type="dxa"/>
            <w:vAlign w:val="top"/>
          </w:tcPr>
          <w:p w14:paraId="5748FEF5">
            <w:pPr>
              <w:rPr>
                <w:rFonts w:ascii="Arial"/>
                <w:sz w:val="21"/>
              </w:rPr>
            </w:pPr>
          </w:p>
        </w:tc>
        <w:tc>
          <w:tcPr>
            <w:tcW w:w="847" w:type="dxa"/>
            <w:vAlign w:val="top"/>
          </w:tcPr>
          <w:p w14:paraId="41685786">
            <w:pPr>
              <w:rPr>
                <w:rFonts w:ascii="Arial"/>
                <w:sz w:val="21"/>
              </w:rPr>
            </w:pPr>
          </w:p>
        </w:tc>
      </w:tr>
      <w:tr w14:paraId="56613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1C2A32C9">
            <w:pPr>
              <w:rPr>
                <w:rFonts w:ascii="Arial"/>
                <w:sz w:val="21"/>
              </w:rPr>
            </w:pPr>
          </w:p>
        </w:tc>
        <w:tc>
          <w:tcPr>
            <w:tcW w:w="1049" w:type="dxa"/>
            <w:vAlign w:val="top"/>
          </w:tcPr>
          <w:p w14:paraId="5D252DE9">
            <w:pPr>
              <w:rPr>
                <w:rFonts w:ascii="Arial"/>
                <w:sz w:val="21"/>
              </w:rPr>
            </w:pPr>
          </w:p>
        </w:tc>
        <w:tc>
          <w:tcPr>
            <w:tcW w:w="660" w:type="dxa"/>
            <w:vAlign w:val="top"/>
          </w:tcPr>
          <w:p w14:paraId="59370EB9">
            <w:pPr>
              <w:rPr>
                <w:rFonts w:ascii="Arial"/>
                <w:sz w:val="21"/>
              </w:rPr>
            </w:pPr>
          </w:p>
        </w:tc>
        <w:tc>
          <w:tcPr>
            <w:tcW w:w="1019" w:type="dxa"/>
            <w:vAlign w:val="top"/>
          </w:tcPr>
          <w:p w14:paraId="1905CEC5">
            <w:pPr>
              <w:rPr>
                <w:rFonts w:ascii="Arial"/>
                <w:sz w:val="21"/>
              </w:rPr>
            </w:pPr>
          </w:p>
        </w:tc>
        <w:tc>
          <w:tcPr>
            <w:tcW w:w="705" w:type="dxa"/>
            <w:vAlign w:val="top"/>
          </w:tcPr>
          <w:p w14:paraId="620FE7AE">
            <w:pPr>
              <w:rPr>
                <w:rFonts w:ascii="Arial"/>
                <w:sz w:val="21"/>
              </w:rPr>
            </w:pPr>
          </w:p>
        </w:tc>
        <w:tc>
          <w:tcPr>
            <w:tcW w:w="705" w:type="dxa"/>
            <w:vAlign w:val="top"/>
          </w:tcPr>
          <w:p w14:paraId="4DDBADD6">
            <w:pPr>
              <w:rPr>
                <w:rFonts w:ascii="Arial"/>
                <w:sz w:val="21"/>
              </w:rPr>
            </w:pPr>
          </w:p>
        </w:tc>
        <w:tc>
          <w:tcPr>
            <w:tcW w:w="1154" w:type="dxa"/>
            <w:vAlign w:val="top"/>
          </w:tcPr>
          <w:p w14:paraId="7C0DF57A">
            <w:pPr>
              <w:rPr>
                <w:rFonts w:ascii="Arial"/>
                <w:sz w:val="21"/>
              </w:rPr>
            </w:pPr>
          </w:p>
        </w:tc>
        <w:tc>
          <w:tcPr>
            <w:tcW w:w="1634" w:type="dxa"/>
            <w:vAlign w:val="top"/>
          </w:tcPr>
          <w:p w14:paraId="740824A7">
            <w:pPr>
              <w:rPr>
                <w:rFonts w:ascii="Arial"/>
                <w:sz w:val="21"/>
              </w:rPr>
            </w:pPr>
          </w:p>
        </w:tc>
        <w:tc>
          <w:tcPr>
            <w:tcW w:w="847" w:type="dxa"/>
            <w:vAlign w:val="top"/>
          </w:tcPr>
          <w:p w14:paraId="1CD7205A">
            <w:pPr>
              <w:rPr>
                <w:rFonts w:ascii="Arial"/>
                <w:sz w:val="21"/>
              </w:rPr>
            </w:pPr>
          </w:p>
        </w:tc>
      </w:tr>
      <w:tr w14:paraId="1ABB3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1D00FC86">
            <w:pPr>
              <w:rPr>
                <w:rFonts w:ascii="Arial"/>
                <w:sz w:val="21"/>
              </w:rPr>
            </w:pPr>
          </w:p>
        </w:tc>
        <w:tc>
          <w:tcPr>
            <w:tcW w:w="1049" w:type="dxa"/>
            <w:vAlign w:val="top"/>
          </w:tcPr>
          <w:p w14:paraId="3BE63CD7">
            <w:pPr>
              <w:rPr>
                <w:rFonts w:ascii="Arial"/>
                <w:sz w:val="21"/>
              </w:rPr>
            </w:pPr>
          </w:p>
        </w:tc>
        <w:tc>
          <w:tcPr>
            <w:tcW w:w="660" w:type="dxa"/>
            <w:vAlign w:val="top"/>
          </w:tcPr>
          <w:p w14:paraId="4852DE7C">
            <w:pPr>
              <w:rPr>
                <w:rFonts w:ascii="Arial"/>
                <w:sz w:val="21"/>
              </w:rPr>
            </w:pPr>
          </w:p>
        </w:tc>
        <w:tc>
          <w:tcPr>
            <w:tcW w:w="1019" w:type="dxa"/>
            <w:vAlign w:val="top"/>
          </w:tcPr>
          <w:p w14:paraId="507DC354">
            <w:pPr>
              <w:rPr>
                <w:rFonts w:ascii="Arial"/>
                <w:sz w:val="21"/>
              </w:rPr>
            </w:pPr>
          </w:p>
        </w:tc>
        <w:tc>
          <w:tcPr>
            <w:tcW w:w="705" w:type="dxa"/>
            <w:vAlign w:val="top"/>
          </w:tcPr>
          <w:p w14:paraId="3D11365D">
            <w:pPr>
              <w:rPr>
                <w:rFonts w:ascii="Arial"/>
                <w:sz w:val="21"/>
              </w:rPr>
            </w:pPr>
          </w:p>
        </w:tc>
        <w:tc>
          <w:tcPr>
            <w:tcW w:w="705" w:type="dxa"/>
            <w:vAlign w:val="top"/>
          </w:tcPr>
          <w:p w14:paraId="3E12F713">
            <w:pPr>
              <w:rPr>
                <w:rFonts w:ascii="Arial"/>
                <w:sz w:val="21"/>
              </w:rPr>
            </w:pPr>
          </w:p>
        </w:tc>
        <w:tc>
          <w:tcPr>
            <w:tcW w:w="1154" w:type="dxa"/>
            <w:vAlign w:val="top"/>
          </w:tcPr>
          <w:p w14:paraId="22E8751C">
            <w:pPr>
              <w:rPr>
                <w:rFonts w:ascii="Arial"/>
                <w:sz w:val="21"/>
              </w:rPr>
            </w:pPr>
          </w:p>
        </w:tc>
        <w:tc>
          <w:tcPr>
            <w:tcW w:w="1634" w:type="dxa"/>
            <w:vAlign w:val="top"/>
          </w:tcPr>
          <w:p w14:paraId="22E9CF5B">
            <w:pPr>
              <w:rPr>
                <w:rFonts w:ascii="Arial"/>
                <w:sz w:val="21"/>
              </w:rPr>
            </w:pPr>
          </w:p>
        </w:tc>
        <w:tc>
          <w:tcPr>
            <w:tcW w:w="847" w:type="dxa"/>
            <w:vAlign w:val="top"/>
          </w:tcPr>
          <w:p w14:paraId="43DF9C8E">
            <w:pPr>
              <w:rPr>
                <w:rFonts w:ascii="Arial"/>
                <w:sz w:val="21"/>
              </w:rPr>
            </w:pPr>
          </w:p>
        </w:tc>
      </w:tr>
      <w:tr w14:paraId="26073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542FAB47">
            <w:pPr>
              <w:rPr>
                <w:rFonts w:ascii="Arial"/>
                <w:sz w:val="21"/>
              </w:rPr>
            </w:pPr>
          </w:p>
        </w:tc>
        <w:tc>
          <w:tcPr>
            <w:tcW w:w="1049" w:type="dxa"/>
            <w:vAlign w:val="top"/>
          </w:tcPr>
          <w:p w14:paraId="6612F1E5">
            <w:pPr>
              <w:rPr>
                <w:rFonts w:ascii="Arial"/>
                <w:sz w:val="21"/>
              </w:rPr>
            </w:pPr>
          </w:p>
        </w:tc>
        <w:tc>
          <w:tcPr>
            <w:tcW w:w="660" w:type="dxa"/>
            <w:vAlign w:val="top"/>
          </w:tcPr>
          <w:p w14:paraId="7FDF2CF8">
            <w:pPr>
              <w:rPr>
                <w:rFonts w:ascii="Arial"/>
                <w:sz w:val="21"/>
              </w:rPr>
            </w:pPr>
          </w:p>
        </w:tc>
        <w:tc>
          <w:tcPr>
            <w:tcW w:w="1019" w:type="dxa"/>
            <w:vAlign w:val="top"/>
          </w:tcPr>
          <w:p w14:paraId="5526519B">
            <w:pPr>
              <w:rPr>
                <w:rFonts w:ascii="Arial"/>
                <w:sz w:val="21"/>
              </w:rPr>
            </w:pPr>
          </w:p>
        </w:tc>
        <w:tc>
          <w:tcPr>
            <w:tcW w:w="705" w:type="dxa"/>
            <w:vAlign w:val="top"/>
          </w:tcPr>
          <w:p w14:paraId="5F8F2D7F">
            <w:pPr>
              <w:rPr>
                <w:rFonts w:ascii="Arial"/>
                <w:sz w:val="21"/>
              </w:rPr>
            </w:pPr>
          </w:p>
        </w:tc>
        <w:tc>
          <w:tcPr>
            <w:tcW w:w="705" w:type="dxa"/>
            <w:vAlign w:val="top"/>
          </w:tcPr>
          <w:p w14:paraId="43F5DC76">
            <w:pPr>
              <w:rPr>
                <w:rFonts w:ascii="Arial"/>
                <w:sz w:val="21"/>
              </w:rPr>
            </w:pPr>
          </w:p>
        </w:tc>
        <w:tc>
          <w:tcPr>
            <w:tcW w:w="1154" w:type="dxa"/>
            <w:vAlign w:val="top"/>
          </w:tcPr>
          <w:p w14:paraId="57878FA4">
            <w:pPr>
              <w:rPr>
                <w:rFonts w:ascii="Arial"/>
                <w:sz w:val="21"/>
              </w:rPr>
            </w:pPr>
          </w:p>
        </w:tc>
        <w:tc>
          <w:tcPr>
            <w:tcW w:w="1634" w:type="dxa"/>
            <w:vAlign w:val="top"/>
          </w:tcPr>
          <w:p w14:paraId="0F8C1D8B">
            <w:pPr>
              <w:rPr>
                <w:rFonts w:ascii="Arial"/>
                <w:sz w:val="21"/>
              </w:rPr>
            </w:pPr>
          </w:p>
        </w:tc>
        <w:tc>
          <w:tcPr>
            <w:tcW w:w="847" w:type="dxa"/>
            <w:vAlign w:val="top"/>
          </w:tcPr>
          <w:p w14:paraId="4CDC00C4">
            <w:pPr>
              <w:rPr>
                <w:rFonts w:ascii="Arial"/>
                <w:sz w:val="21"/>
              </w:rPr>
            </w:pPr>
          </w:p>
        </w:tc>
      </w:tr>
      <w:tr w14:paraId="26114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735DB62F">
            <w:pPr>
              <w:rPr>
                <w:rFonts w:ascii="Arial"/>
                <w:sz w:val="21"/>
              </w:rPr>
            </w:pPr>
          </w:p>
        </w:tc>
        <w:tc>
          <w:tcPr>
            <w:tcW w:w="1049" w:type="dxa"/>
            <w:vAlign w:val="top"/>
          </w:tcPr>
          <w:p w14:paraId="64F0B512">
            <w:pPr>
              <w:rPr>
                <w:rFonts w:ascii="Arial"/>
                <w:sz w:val="21"/>
              </w:rPr>
            </w:pPr>
          </w:p>
        </w:tc>
        <w:tc>
          <w:tcPr>
            <w:tcW w:w="660" w:type="dxa"/>
            <w:vAlign w:val="top"/>
          </w:tcPr>
          <w:p w14:paraId="0CD476BD">
            <w:pPr>
              <w:rPr>
                <w:rFonts w:ascii="Arial"/>
                <w:sz w:val="21"/>
              </w:rPr>
            </w:pPr>
          </w:p>
        </w:tc>
        <w:tc>
          <w:tcPr>
            <w:tcW w:w="1019" w:type="dxa"/>
            <w:vAlign w:val="top"/>
          </w:tcPr>
          <w:p w14:paraId="183FECD4">
            <w:pPr>
              <w:rPr>
                <w:rFonts w:ascii="Arial"/>
                <w:sz w:val="21"/>
              </w:rPr>
            </w:pPr>
          </w:p>
        </w:tc>
        <w:tc>
          <w:tcPr>
            <w:tcW w:w="705" w:type="dxa"/>
            <w:vAlign w:val="top"/>
          </w:tcPr>
          <w:p w14:paraId="15AEC971">
            <w:pPr>
              <w:rPr>
                <w:rFonts w:ascii="Arial"/>
                <w:sz w:val="21"/>
              </w:rPr>
            </w:pPr>
          </w:p>
        </w:tc>
        <w:tc>
          <w:tcPr>
            <w:tcW w:w="705" w:type="dxa"/>
            <w:vAlign w:val="top"/>
          </w:tcPr>
          <w:p w14:paraId="350D49D3">
            <w:pPr>
              <w:rPr>
                <w:rFonts w:ascii="Arial"/>
                <w:sz w:val="21"/>
              </w:rPr>
            </w:pPr>
          </w:p>
        </w:tc>
        <w:tc>
          <w:tcPr>
            <w:tcW w:w="1154" w:type="dxa"/>
            <w:vAlign w:val="top"/>
          </w:tcPr>
          <w:p w14:paraId="2541BB74">
            <w:pPr>
              <w:rPr>
                <w:rFonts w:ascii="Arial"/>
                <w:sz w:val="21"/>
              </w:rPr>
            </w:pPr>
          </w:p>
        </w:tc>
        <w:tc>
          <w:tcPr>
            <w:tcW w:w="1634" w:type="dxa"/>
            <w:vAlign w:val="top"/>
          </w:tcPr>
          <w:p w14:paraId="31BBC3F7">
            <w:pPr>
              <w:rPr>
                <w:rFonts w:ascii="Arial"/>
                <w:sz w:val="21"/>
              </w:rPr>
            </w:pPr>
          </w:p>
        </w:tc>
        <w:tc>
          <w:tcPr>
            <w:tcW w:w="847" w:type="dxa"/>
            <w:vAlign w:val="top"/>
          </w:tcPr>
          <w:p w14:paraId="55349D37">
            <w:pPr>
              <w:rPr>
                <w:rFonts w:ascii="Arial"/>
                <w:sz w:val="21"/>
              </w:rPr>
            </w:pPr>
          </w:p>
        </w:tc>
      </w:tr>
      <w:tr w14:paraId="4A651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75E33707">
            <w:pPr>
              <w:rPr>
                <w:rFonts w:ascii="Arial"/>
                <w:sz w:val="21"/>
              </w:rPr>
            </w:pPr>
          </w:p>
        </w:tc>
        <w:tc>
          <w:tcPr>
            <w:tcW w:w="1049" w:type="dxa"/>
            <w:vAlign w:val="top"/>
          </w:tcPr>
          <w:p w14:paraId="476EDB7C">
            <w:pPr>
              <w:rPr>
                <w:rFonts w:ascii="Arial"/>
                <w:sz w:val="21"/>
              </w:rPr>
            </w:pPr>
          </w:p>
        </w:tc>
        <w:tc>
          <w:tcPr>
            <w:tcW w:w="660" w:type="dxa"/>
            <w:vAlign w:val="top"/>
          </w:tcPr>
          <w:p w14:paraId="1F0F9C57">
            <w:pPr>
              <w:rPr>
                <w:rFonts w:ascii="Arial"/>
                <w:sz w:val="21"/>
              </w:rPr>
            </w:pPr>
          </w:p>
        </w:tc>
        <w:tc>
          <w:tcPr>
            <w:tcW w:w="1019" w:type="dxa"/>
            <w:vAlign w:val="top"/>
          </w:tcPr>
          <w:p w14:paraId="7A0C90AC">
            <w:pPr>
              <w:rPr>
                <w:rFonts w:ascii="Arial"/>
                <w:sz w:val="21"/>
              </w:rPr>
            </w:pPr>
          </w:p>
        </w:tc>
        <w:tc>
          <w:tcPr>
            <w:tcW w:w="705" w:type="dxa"/>
            <w:vAlign w:val="top"/>
          </w:tcPr>
          <w:p w14:paraId="5B389811">
            <w:pPr>
              <w:rPr>
                <w:rFonts w:ascii="Arial"/>
                <w:sz w:val="21"/>
              </w:rPr>
            </w:pPr>
          </w:p>
        </w:tc>
        <w:tc>
          <w:tcPr>
            <w:tcW w:w="705" w:type="dxa"/>
            <w:vAlign w:val="top"/>
          </w:tcPr>
          <w:p w14:paraId="77726A49">
            <w:pPr>
              <w:rPr>
                <w:rFonts w:ascii="Arial"/>
                <w:sz w:val="21"/>
              </w:rPr>
            </w:pPr>
          </w:p>
        </w:tc>
        <w:tc>
          <w:tcPr>
            <w:tcW w:w="1154" w:type="dxa"/>
            <w:vAlign w:val="top"/>
          </w:tcPr>
          <w:p w14:paraId="24399101">
            <w:pPr>
              <w:rPr>
                <w:rFonts w:ascii="Arial"/>
                <w:sz w:val="21"/>
              </w:rPr>
            </w:pPr>
          </w:p>
        </w:tc>
        <w:tc>
          <w:tcPr>
            <w:tcW w:w="1634" w:type="dxa"/>
            <w:vAlign w:val="top"/>
          </w:tcPr>
          <w:p w14:paraId="729FE0B9">
            <w:pPr>
              <w:rPr>
                <w:rFonts w:ascii="Arial"/>
                <w:sz w:val="21"/>
              </w:rPr>
            </w:pPr>
          </w:p>
        </w:tc>
        <w:tc>
          <w:tcPr>
            <w:tcW w:w="847" w:type="dxa"/>
            <w:vAlign w:val="top"/>
          </w:tcPr>
          <w:p w14:paraId="69308D80">
            <w:pPr>
              <w:rPr>
                <w:rFonts w:ascii="Arial"/>
                <w:sz w:val="21"/>
              </w:rPr>
            </w:pPr>
          </w:p>
        </w:tc>
      </w:tr>
      <w:tr w14:paraId="46BF4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6C30B2DF">
            <w:pPr>
              <w:rPr>
                <w:rFonts w:ascii="Arial"/>
                <w:sz w:val="21"/>
              </w:rPr>
            </w:pPr>
          </w:p>
        </w:tc>
        <w:tc>
          <w:tcPr>
            <w:tcW w:w="1049" w:type="dxa"/>
            <w:vAlign w:val="top"/>
          </w:tcPr>
          <w:p w14:paraId="4824CC11">
            <w:pPr>
              <w:rPr>
                <w:rFonts w:ascii="Arial"/>
                <w:sz w:val="21"/>
              </w:rPr>
            </w:pPr>
          </w:p>
        </w:tc>
        <w:tc>
          <w:tcPr>
            <w:tcW w:w="660" w:type="dxa"/>
            <w:vAlign w:val="top"/>
          </w:tcPr>
          <w:p w14:paraId="79EBD96E">
            <w:pPr>
              <w:rPr>
                <w:rFonts w:ascii="Arial"/>
                <w:sz w:val="21"/>
              </w:rPr>
            </w:pPr>
          </w:p>
        </w:tc>
        <w:tc>
          <w:tcPr>
            <w:tcW w:w="1019" w:type="dxa"/>
            <w:vAlign w:val="top"/>
          </w:tcPr>
          <w:p w14:paraId="1320F417">
            <w:pPr>
              <w:rPr>
                <w:rFonts w:ascii="Arial"/>
                <w:sz w:val="21"/>
              </w:rPr>
            </w:pPr>
          </w:p>
        </w:tc>
        <w:tc>
          <w:tcPr>
            <w:tcW w:w="705" w:type="dxa"/>
            <w:vAlign w:val="top"/>
          </w:tcPr>
          <w:p w14:paraId="79808F8F">
            <w:pPr>
              <w:rPr>
                <w:rFonts w:ascii="Arial"/>
                <w:sz w:val="21"/>
              </w:rPr>
            </w:pPr>
          </w:p>
        </w:tc>
        <w:tc>
          <w:tcPr>
            <w:tcW w:w="705" w:type="dxa"/>
            <w:vAlign w:val="top"/>
          </w:tcPr>
          <w:p w14:paraId="48C78E78">
            <w:pPr>
              <w:rPr>
                <w:rFonts w:ascii="Arial"/>
                <w:sz w:val="21"/>
              </w:rPr>
            </w:pPr>
          </w:p>
        </w:tc>
        <w:tc>
          <w:tcPr>
            <w:tcW w:w="1154" w:type="dxa"/>
            <w:vAlign w:val="top"/>
          </w:tcPr>
          <w:p w14:paraId="5981091E">
            <w:pPr>
              <w:rPr>
                <w:rFonts w:ascii="Arial"/>
                <w:sz w:val="21"/>
              </w:rPr>
            </w:pPr>
          </w:p>
        </w:tc>
        <w:tc>
          <w:tcPr>
            <w:tcW w:w="1634" w:type="dxa"/>
            <w:vAlign w:val="top"/>
          </w:tcPr>
          <w:p w14:paraId="71EE7D83">
            <w:pPr>
              <w:rPr>
                <w:rFonts w:ascii="Arial"/>
                <w:sz w:val="21"/>
              </w:rPr>
            </w:pPr>
          </w:p>
        </w:tc>
        <w:tc>
          <w:tcPr>
            <w:tcW w:w="847" w:type="dxa"/>
            <w:vAlign w:val="top"/>
          </w:tcPr>
          <w:p w14:paraId="0A0EBF2A">
            <w:pPr>
              <w:rPr>
                <w:rFonts w:ascii="Arial"/>
                <w:sz w:val="21"/>
              </w:rPr>
            </w:pPr>
          </w:p>
        </w:tc>
      </w:tr>
      <w:tr w14:paraId="0FF2F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EA98B39">
            <w:pPr>
              <w:rPr>
                <w:rFonts w:ascii="Arial"/>
                <w:sz w:val="21"/>
              </w:rPr>
            </w:pPr>
          </w:p>
        </w:tc>
        <w:tc>
          <w:tcPr>
            <w:tcW w:w="1049" w:type="dxa"/>
            <w:vAlign w:val="top"/>
          </w:tcPr>
          <w:p w14:paraId="22C05734">
            <w:pPr>
              <w:rPr>
                <w:rFonts w:ascii="Arial"/>
                <w:sz w:val="21"/>
              </w:rPr>
            </w:pPr>
          </w:p>
        </w:tc>
        <w:tc>
          <w:tcPr>
            <w:tcW w:w="660" w:type="dxa"/>
            <w:vAlign w:val="top"/>
          </w:tcPr>
          <w:p w14:paraId="6ECDC280">
            <w:pPr>
              <w:rPr>
                <w:rFonts w:ascii="Arial"/>
                <w:sz w:val="21"/>
              </w:rPr>
            </w:pPr>
          </w:p>
        </w:tc>
        <w:tc>
          <w:tcPr>
            <w:tcW w:w="1019" w:type="dxa"/>
            <w:vAlign w:val="top"/>
          </w:tcPr>
          <w:p w14:paraId="4024E8BA">
            <w:pPr>
              <w:rPr>
                <w:rFonts w:ascii="Arial"/>
                <w:sz w:val="21"/>
              </w:rPr>
            </w:pPr>
          </w:p>
        </w:tc>
        <w:tc>
          <w:tcPr>
            <w:tcW w:w="705" w:type="dxa"/>
            <w:vAlign w:val="top"/>
          </w:tcPr>
          <w:p w14:paraId="4EF10E66">
            <w:pPr>
              <w:rPr>
                <w:rFonts w:ascii="Arial"/>
                <w:sz w:val="21"/>
              </w:rPr>
            </w:pPr>
          </w:p>
        </w:tc>
        <w:tc>
          <w:tcPr>
            <w:tcW w:w="705" w:type="dxa"/>
            <w:vAlign w:val="top"/>
          </w:tcPr>
          <w:p w14:paraId="09CA5AB3">
            <w:pPr>
              <w:rPr>
                <w:rFonts w:ascii="Arial"/>
                <w:sz w:val="21"/>
              </w:rPr>
            </w:pPr>
          </w:p>
        </w:tc>
        <w:tc>
          <w:tcPr>
            <w:tcW w:w="1154" w:type="dxa"/>
            <w:vAlign w:val="top"/>
          </w:tcPr>
          <w:p w14:paraId="7454ADB6">
            <w:pPr>
              <w:rPr>
                <w:rFonts w:ascii="Arial"/>
                <w:sz w:val="21"/>
              </w:rPr>
            </w:pPr>
          </w:p>
        </w:tc>
        <w:tc>
          <w:tcPr>
            <w:tcW w:w="1634" w:type="dxa"/>
            <w:vAlign w:val="top"/>
          </w:tcPr>
          <w:p w14:paraId="0867226A">
            <w:pPr>
              <w:rPr>
                <w:rFonts w:ascii="Arial"/>
                <w:sz w:val="21"/>
              </w:rPr>
            </w:pPr>
          </w:p>
        </w:tc>
        <w:tc>
          <w:tcPr>
            <w:tcW w:w="847" w:type="dxa"/>
            <w:vAlign w:val="top"/>
          </w:tcPr>
          <w:p w14:paraId="7909E9E3">
            <w:pPr>
              <w:rPr>
                <w:rFonts w:ascii="Arial"/>
                <w:sz w:val="21"/>
              </w:rPr>
            </w:pPr>
          </w:p>
        </w:tc>
      </w:tr>
      <w:tr w14:paraId="7FAF5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3E1633E4">
            <w:pPr>
              <w:rPr>
                <w:rFonts w:ascii="Arial"/>
                <w:sz w:val="21"/>
              </w:rPr>
            </w:pPr>
          </w:p>
        </w:tc>
        <w:tc>
          <w:tcPr>
            <w:tcW w:w="1049" w:type="dxa"/>
            <w:vAlign w:val="top"/>
          </w:tcPr>
          <w:p w14:paraId="4A2AF3E6">
            <w:pPr>
              <w:rPr>
                <w:rFonts w:ascii="Arial"/>
                <w:sz w:val="21"/>
              </w:rPr>
            </w:pPr>
          </w:p>
        </w:tc>
        <w:tc>
          <w:tcPr>
            <w:tcW w:w="660" w:type="dxa"/>
            <w:vAlign w:val="top"/>
          </w:tcPr>
          <w:p w14:paraId="5E289D21">
            <w:pPr>
              <w:rPr>
                <w:rFonts w:ascii="Arial"/>
                <w:sz w:val="21"/>
              </w:rPr>
            </w:pPr>
          </w:p>
        </w:tc>
        <w:tc>
          <w:tcPr>
            <w:tcW w:w="1019" w:type="dxa"/>
            <w:vAlign w:val="top"/>
          </w:tcPr>
          <w:p w14:paraId="012CFCBA">
            <w:pPr>
              <w:rPr>
                <w:rFonts w:ascii="Arial"/>
                <w:sz w:val="21"/>
              </w:rPr>
            </w:pPr>
          </w:p>
        </w:tc>
        <w:tc>
          <w:tcPr>
            <w:tcW w:w="705" w:type="dxa"/>
            <w:vAlign w:val="top"/>
          </w:tcPr>
          <w:p w14:paraId="61B372BA">
            <w:pPr>
              <w:rPr>
                <w:rFonts w:ascii="Arial"/>
                <w:sz w:val="21"/>
              </w:rPr>
            </w:pPr>
          </w:p>
        </w:tc>
        <w:tc>
          <w:tcPr>
            <w:tcW w:w="705" w:type="dxa"/>
            <w:vAlign w:val="top"/>
          </w:tcPr>
          <w:p w14:paraId="2D017355">
            <w:pPr>
              <w:rPr>
                <w:rFonts w:ascii="Arial"/>
                <w:sz w:val="21"/>
              </w:rPr>
            </w:pPr>
          </w:p>
        </w:tc>
        <w:tc>
          <w:tcPr>
            <w:tcW w:w="1154" w:type="dxa"/>
            <w:vAlign w:val="top"/>
          </w:tcPr>
          <w:p w14:paraId="6135CA4E">
            <w:pPr>
              <w:rPr>
                <w:rFonts w:ascii="Arial"/>
                <w:sz w:val="21"/>
              </w:rPr>
            </w:pPr>
          </w:p>
        </w:tc>
        <w:tc>
          <w:tcPr>
            <w:tcW w:w="1634" w:type="dxa"/>
            <w:vAlign w:val="top"/>
          </w:tcPr>
          <w:p w14:paraId="36023DC8">
            <w:pPr>
              <w:rPr>
                <w:rFonts w:ascii="Arial"/>
                <w:sz w:val="21"/>
              </w:rPr>
            </w:pPr>
          </w:p>
        </w:tc>
        <w:tc>
          <w:tcPr>
            <w:tcW w:w="847" w:type="dxa"/>
            <w:vAlign w:val="top"/>
          </w:tcPr>
          <w:p w14:paraId="1A736922">
            <w:pPr>
              <w:rPr>
                <w:rFonts w:ascii="Arial"/>
                <w:sz w:val="21"/>
              </w:rPr>
            </w:pPr>
          </w:p>
        </w:tc>
      </w:tr>
      <w:tr w14:paraId="56BC7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652" w:type="dxa"/>
            <w:vAlign w:val="top"/>
          </w:tcPr>
          <w:p w14:paraId="0C058872">
            <w:pPr>
              <w:rPr>
                <w:rFonts w:ascii="Arial"/>
                <w:sz w:val="21"/>
              </w:rPr>
            </w:pPr>
          </w:p>
        </w:tc>
        <w:tc>
          <w:tcPr>
            <w:tcW w:w="1049" w:type="dxa"/>
            <w:vAlign w:val="top"/>
          </w:tcPr>
          <w:p w14:paraId="394C7049">
            <w:pPr>
              <w:rPr>
                <w:rFonts w:ascii="Arial"/>
                <w:sz w:val="21"/>
              </w:rPr>
            </w:pPr>
          </w:p>
        </w:tc>
        <w:tc>
          <w:tcPr>
            <w:tcW w:w="660" w:type="dxa"/>
            <w:vAlign w:val="top"/>
          </w:tcPr>
          <w:p w14:paraId="625EA2C1">
            <w:pPr>
              <w:rPr>
                <w:rFonts w:ascii="Arial"/>
                <w:sz w:val="21"/>
              </w:rPr>
            </w:pPr>
          </w:p>
        </w:tc>
        <w:tc>
          <w:tcPr>
            <w:tcW w:w="1019" w:type="dxa"/>
            <w:vAlign w:val="top"/>
          </w:tcPr>
          <w:p w14:paraId="70592E3E">
            <w:pPr>
              <w:rPr>
                <w:rFonts w:ascii="Arial"/>
                <w:sz w:val="21"/>
              </w:rPr>
            </w:pPr>
          </w:p>
        </w:tc>
        <w:tc>
          <w:tcPr>
            <w:tcW w:w="705" w:type="dxa"/>
            <w:vAlign w:val="top"/>
          </w:tcPr>
          <w:p w14:paraId="5AD5556A">
            <w:pPr>
              <w:rPr>
                <w:rFonts w:ascii="Arial"/>
                <w:sz w:val="21"/>
              </w:rPr>
            </w:pPr>
          </w:p>
        </w:tc>
        <w:tc>
          <w:tcPr>
            <w:tcW w:w="705" w:type="dxa"/>
            <w:vAlign w:val="top"/>
          </w:tcPr>
          <w:p w14:paraId="260CA255">
            <w:pPr>
              <w:rPr>
                <w:rFonts w:ascii="Arial"/>
                <w:sz w:val="21"/>
              </w:rPr>
            </w:pPr>
          </w:p>
        </w:tc>
        <w:tc>
          <w:tcPr>
            <w:tcW w:w="1154" w:type="dxa"/>
            <w:vAlign w:val="top"/>
          </w:tcPr>
          <w:p w14:paraId="4F34A569">
            <w:pPr>
              <w:rPr>
                <w:rFonts w:ascii="Arial"/>
                <w:sz w:val="21"/>
              </w:rPr>
            </w:pPr>
          </w:p>
        </w:tc>
        <w:tc>
          <w:tcPr>
            <w:tcW w:w="1634" w:type="dxa"/>
            <w:vAlign w:val="top"/>
          </w:tcPr>
          <w:p w14:paraId="5A168D8D">
            <w:pPr>
              <w:rPr>
                <w:rFonts w:ascii="Arial"/>
                <w:sz w:val="21"/>
              </w:rPr>
            </w:pPr>
          </w:p>
        </w:tc>
        <w:tc>
          <w:tcPr>
            <w:tcW w:w="847" w:type="dxa"/>
            <w:vAlign w:val="top"/>
          </w:tcPr>
          <w:p w14:paraId="0CAA84C3">
            <w:pPr>
              <w:rPr>
                <w:rFonts w:ascii="Arial"/>
                <w:sz w:val="21"/>
              </w:rPr>
            </w:pPr>
          </w:p>
        </w:tc>
      </w:tr>
      <w:tr w14:paraId="7AC2B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652" w:type="dxa"/>
            <w:vAlign w:val="top"/>
          </w:tcPr>
          <w:p w14:paraId="49EFCC9C">
            <w:pPr>
              <w:rPr>
                <w:rFonts w:ascii="Arial"/>
                <w:sz w:val="21"/>
              </w:rPr>
            </w:pPr>
          </w:p>
        </w:tc>
        <w:tc>
          <w:tcPr>
            <w:tcW w:w="1049" w:type="dxa"/>
            <w:vAlign w:val="top"/>
          </w:tcPr>
          <w:p w14:paraId="0D3419E1">
            <w:pPr>
              <w:rPr>
                <w:rFonts w:ascii="Arial"/>
                <w:sz w:val="21"/>
              </w:rPr>
            </w:pPr>
          </w:p>
        </w:tc>
        <w:tc>
          <w:tcPr>
            <w:tcW w:w="660" w:type="dxa"/>
            <w:vAlign w:val="top"/>
          </w:tcPr>
          <w:p w14:paraId="15D59B7B">
            <w:pPr>
              <w:rPr>
                <w:rFonts w:ascii="Arial"/>
                <w:sz w:val="21"/>
              </w:rPr>
            </w:pPr>
          </w:p>
        </w:tc>
        <w:tc>
          <w:tcPr>
            <w:tcW w:w="1019" w:type="dxa"/>
            <w:vAlign w:val="top"/>
          </w:tcPr>
          <w:p w14:paraId="7FE004D2">
            <w:pPr>
              <w:rPr>
                <w:rFonts w:ascii="Arial"/>
                <w:sz w:val="21"/>
              </w:rPr>
            </w:pPr>
          </w:p>
        </w:tc>
        <w:tc>
          <w:tcPr>
            <w:tcW w:w="705" w:type="dxa"/>
            <w:vAlign w:val="top"/>
          </w:tcPr>
          <w:p w14:paraId="319ECA42">
            <w:pPr>
              <w:rPr>
                <w:rFonts w:ascii="Arial"/>
                <w:sz w:val="21"/>
              </w:rPr>
            </w:pPr>
          </w:p>
        </w:tc>
        <w:tc>
          <w:tcPr>
            <w:tcW w:w="705" w:type="dxa"/>
            <w:vAlign w:val="top"/>
          </w:tcPr>
          <w:p w14:paraId="54F2B58F">
            <w:pPr>
              <w:rPr>
                <w:rFonts w:ascii="Arial"/>
                <w:sz w:val="21"/>
              </w:rPr>
            </w:pPr>
          </w:p>
        </w:tc>
        <w:tc>
          <w:tcPr>
            <w:tcW w:w="1154" w:type="dxa"/>
            <w:vAlign w:val="top"/>
          </w:tcPr>
          <w:p w14:paraId="054A4852">
            <w:pPr>
              <w:rPr>
                <w:rFonts w:ascii="Arial"/>
                <w:sz w:val="21"/>
              </w:rPr>
            </w:pPr>
          </w:p>
        </w:tc>
        <w:tc>
          <w:tcPr>
            <w:tcW w:w="1634" w:type="dxa"/>
            <w:vAlign w:val="top"/>
          </w:tcPr>
          <w:p w14:paraId="0D7667E1">
            <w:pPr>
              <w:rPr>
                <w:rFonts w:ascii="Arial"/>
                <w:sz w:val="21"/>
              </w:rPr>
            </w:pPr>
          </w:p>
        </w:tc>
        <w:tc>
          <w:tcPr>
            <w:tcW w:w="847" w:type="dxa"/>
            <w:vAlign w:val="top"/>
          </w:tcPr>
          <w:p w14:paraId="7EC7CFAA">
            <w:pPr>
              <w:rPr>
                <w:rFonts w:ascii="Arial"/>
                <w:sz w:val="21"/>
              </w:rPr>
            </w:pPr>
          </w:p>
        </w:tc>
      </w:tr>
      <w:tr w14:paraId="7C716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652" w:type="dxa"/>
            <w:vAlign w:val="top"/>
          </w:tcPr>
          <w:p w14:paraId="5490CE11">
            <w:pPr>
              <w:rPr>
                <w:rFonts w:ascii="Arial"/>
                <w:sz w:val="21"/>
              </w:rPr>
            </w:pPr>
          </w:p>
        </w:tc>
        <w:tc>
          <w:tcPr>
            <w:tcW w:w="1049" w:type="dxa"/>
            <w:vAlign w:val="top"/>
          </w:tcPr>
          <w:p w14:paraId="7FB803AA">
            <w:pPr>
              <w:rPr>
                <w:rFonts w:ascii="Arial"/>
                <w:sz w:val="21"/>
              </w:rPr>
            </w:pPr>
          </w:p>
        </w:tc>
        <w:tc>
          <w:tcPr>
            <w:tcW w:w="660" w:type="dxa"/>
            <w:vAlign w:val="top"/>
          </w:tcPr>
          <w:p w14:paraId="3E2C3D7C">
            <w:pPr>
              <w:rPr>
                <w:rFonts w:ascii="Arial"/>
                <w:sz w:val="21"/>
              </w:rPr>
            </w:pPr>
          </w:p>
        </w:tc>
        <w:tc>
          <w:tcPr>
            <w:tcW w:w="1019" w:type="dxa"/>
            <w:vAlign w:val="top"/>
          </w:tcPr>
          <w:p w14:paraId="376A3FF0">
            <w:pPr>
              <w:rPr>
                <w:rFonts w:ascii="Arial"/>
                <w:sz w:val="21"/>
              </w:rPr>
            </w:pPr>
          </w:p>
        </w:tc>
        <w:tc>
          <w:tcPr>
            <w:tcW w:w="705" w:type="dxa"/>
            <w:vAlign w:val="top"/>
          </w:tcPr>
          <w:p w14:paraId="46DF7984">
            <w:pPr>
              <w:rPr>
                <w:rFonts w:ascii="Arial"/>
                <w:sz w:val="21"/>
              </w:rPr>
            </w:pPr>
          </w:p>
        </w:tc>
        <w:tc>
          <w:tcPr>
            <w:tcW w:w="705" w:type="dxa"/>
            <w:vAlign w:val="top"/>
          </w:tcPr>
          <w:p w14:paraId="25317104">
            <w:pPr>
              <w:rPr>
                <w:rFonts w:ascii="Arial"/>
                <w:sz w:val="21"/>
              </w:rPr>
            </w:pPr>
          </w:p>
        </w:tc>
        <w:tc>
          <w:tcPr>
            <w:tcW w:w="1154" w:type="dxa"/>
            <w:vAlign w:val="top"/>
          </w:tcPr>
          <w:p w14:paraId="5B209649">
            <w:pPr>
              <w:rPr>
                <w:rFonts w:ascii="Arial"/>
                <w:sz w:val="21"/>
              </w:rPr>
            </w:pPr>
          </w:p>
        </w:tc>
        <w:tc>
          <w:tcPr>
            <w:tcW w:w="1634" w:type="dxa"/>
            <w:vAlign w:val="top"/>
          </w:tcPr>
          <w:p w14:paraId="79DE2508">
            <w:pPr>
              <w:rPr>
                <w:rFonts w:ascii="Arial"/>
                <w:sz w:val="21"/>
              </w:rPr>
            </w:pPr>
          </w:p>
        </w:tc>
        <w:tc>
          <w:tcPr>
            <w:tcW w:w="847" w:type="dxa"/>
            <w:vAlign w:val="top"/>
          </w:tcPr>
          <w:p w14:paraId="5DEABDCD">
            <w:pPr>
              <w:rPr>
                <w:rFonts w:ascii="Arial"/>
                <w:sz w:val="21"/>
              </w:rPr>
            </w:pPr>
          </w:p>
        </w:tc>
      </w:tr>
    </w:tbl>
    <w:p w14:paraId="1BDC8C90">
      <w:pPr>
        <w:pStyle w:val="2"/>
      </w:pPr>
    </w:p>
    <w:p w14:paraId="0A3D8ED9">
      <w:pPr>
        <w:sectPr>
          <w:footerReference r:id="rId348" w:type="default"/>
          <w:pgSz w:w="11910" w:h="16845"/>
          <w:pgMar w:top="400" w:right="1682" w:bottom="1110" w:left="1786" w:header="0" w:footer="883" w:gutter="0"/>
          <w:cols w:space="720" w:num="1"/>
        </w:sectPr>
      </w:pPr>
    </w:p>
    <w:p w14:paraId="27E3E6A5">
      <w:pPr>
        <w:spacing w:before="155" w:line="220" w:lineRule="auto"/>
        <w:ind w:left="7193"/>
        <w:outlineLvl w:val="2"/>
        <w:rPr>
          <w:rFonts w:ascii="黑体" w:hAnsi="黑体" w:eastAsia="黑体" w:cs="黑体"/>
          <w:sz w:val="21"/>
          <w:szCs w:val="21"/>
        </w:rPr>
      </w:pPr>
      <w:bookmarkStart w:id="671" w:name="bookmark617"/>
      <w:bookmarkEnd w:id="671"/>
      <w:r>
        <w:rPr>
          <w:rFonts w:ascii="黑体" w:hAnsi="黑体" w:eastAsia="黑体" w:cs="黑体"/>
          <w:spacing w:val="-3"/>
          <w:sz w:val="21"/>
          <w:szCs w:val="21"/>
        </w:rPr>
        <w:t>单位：人</w:t>
      </w:r>
    </w:p>
    <w:p w14:paraId="16528DDE">
      <w:pPr>
        <w:spacing w:line="65" w:lineRule="auto"/>
        <w:rPr>
          <w:rFonts w:ascii="Arial"/>
          <w:sz w:val="2"/>
        </w:rPr>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12"/>
        <w:gridCol w:w="1394"/>
        <w:gridCol w:w="1065"/>
        <w:gridCol w:w="1049"/>
        <w:gridCol w:w="1049"/>
        <w:gridCol w:w="1049"/>
        <w:gridCol w:w="1050"/>
        <w:gridCol w:w="1057"/>
      </w:tblGrid>
      <w:tr w14:paraId="6A3B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712" w:type="dxa"/>
            <w:vAlign w:val="top"/>
          </w:tcPr>
          <w:p w14:paraId="3EB95B1B">
            <w:pPr>
              <w:pStyle w:val="6"/>
              <w:spacing w:before="194" w:line="220" w:lineRule="auto"/>
              <w:ind w:left="145"/>
              <w:rPr>
                <w:sz w:val="21"/>
                <w:szCs w:val="21"/>
              </w:rPr>
            </w:pPr>
            <w:r>
              <w:rPr>
                <w:spacing w:val="-3"/>
                <w:sz w:val="21"/>
                <w:szCs w:val="21"/>
              </w:rPr>
              <w:t>工种</w:t>
            </w:r>
          </w:p>
        </w:tc>
        <w:tc>
          <w:tcPr>
            <w:tcW w:w="7713" w:type="dxa"/>
            <w:gridSpan w:val="7"/>
            <w:vAlign w:val="top"/>
          </w:tcPr>
          <w:p w14:paraId="40CE7A32">
            <w:pPr>
              <w:pStyle w:val="6"/>
              <w:spacing w:before="194" w:line="220" w:lineRule="auto"/>
              <w:ind w:left="2391"/>
              <w:rPr>
                <w:sz w:val="21"/>
                <w:szCs w:val="21"/>
              </w:rPr>
            </w:pPr>
            <w:r>
              <w:rPr>
                <w:spacing w:val="-1"/>
                <w:sz w:val="21"/>
                <w:szCs w:val="21"/>
              </w:rPr>
              <w:t>按工程施工阶段投入劳动力情况</w:t>
            </w:r>
          </w:p>
        </w:tc>
      </w:tr>
      <w:tr w14:paraId="31B3D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1A8D702">
            <w:pPr>
              <w:rPr>
                <w:rFonts w:ascii="Arial"/>
                <w:sz w:val="21"/>
              </w:rPr>
            </w:pPr>
          </w:p>
        </w:tc>
        <w:tc>
          <w:tcPr>
            <w:tcW w:w="1394" w:type="dxa"/>
            <w:vAlign w:val="top"/>
          </w:tcPr>
          <w:p w14:paraId="060A49C4">
            <w:pPr>
              <w:rPr>
                <w:rFonts w:ascii="Arial"/>
                <w:sz w:val="21"/>
              </w:rPr>
            </w:pPr>
          </w:p>
        </w:tc>
        <w:tc>
          <w:tcPr>
            <w:tcW w:w="1065" w:type="dxa"/>
            <w:vAlign w:val="top"/>
          </w:tcPr>
          <w:p w14:paraId="1BA052C6">
            <w:pPr>
              <w:rPr>
                <w:rFonts w:ascii="Arial"/>
                <w:sz w:val="21"/>
              </w:rPr>
            </w:pPr>
          </w:p>
        </w:tc>
        <w:tc>
          <w:tcPr>
            <w:tcW w:w="1049" w:type="dxa"/>
            <w:vAlign w:val="top"/>
          </w:tcPr>
          <w:p w14:paraId="5E13758E">
            <w:pPr>
              <w:rPr>
                <w:rFonts w:ascii="Arial"/>
                <w:sz w:val="21"/>
              </w:rPr>
            </w:pPr>
          </w:p>
        </w:tc>
        <w:tc>
          <w:tcPr>
            <w:tcW w:w="1049" w:type="dxa"/>
            <w:vAlign w:val="top"/>
          </w:tcPr>
          <w:p w14:paraId="625F57C1">
            <w:pPr>
              <w:rPr>
                <w:rFonts w:ascii="Arial"/>
                <w:sz w:val="21"/>
              </w:rPr>
            </w:pPr>
          </w:p>
        </w:tc>
        <w:tc>
          <w:tcPr>
            <w:tcW w:w="1049" w:type="dxa"/>
            <w:vAlign w:val="top"/>
          </w:tcPr>
          <w:p w14:paraId="093DA597">
            <w:pPr>
              <w:rPr>
                <w:rFonts w:ascii="Arial"/>
                <w:sz w:val="21"/>
              </w:rPr>
            </w:pPr>
          </w:p>
        </w:tc>
        <w:tc>
          <w:tcPr>
            <w:tcW w:w="1050" w:type="dxa"/>
            <w:vAlign w:val="top"/>
          </w:tcPr>
          <w:p w14:paraId="5758AB82">
            <w:pPr>
              <w:rPr>
                <w:rFonts w:ascii="Arial"/>
                <w:sz w:val="21"/>
              </w:rPr>
            </w:pPr>
          </w:p>
        </w:tc>
        <w:tc>
          <w:tcPr>
            <w:tcW w:w="1057" w:type="dxa"/>
            <w:vAlign w:val="top"/>
          </w:tcPr>
          <w:p w14:paraId="22848F50">
            <w:pPr>
              <w:rPr>
                <w:rFonts w:ascii="Arial"/>
                <w:sz w:val="21"/>
              </w:rPr>
            </w:pPr>
          </w:p>
        </w:tc>
      </w:tr>
      <w:tr w14:paraId="6DF5B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4DBBA61F">
            <w:pPr>
              <w:rPr>
                <w:rFonts w:ascii="Arial"/>
                <w:sz w:val="21"/>
              </w:rPr>
            </w:pPr>
          </w:p>
        </w:tc>
        <w:tc>
          <w:tcPr>
            <w:tcW w:w="1394" w:type="dxa"/>
            <w:vAlign w:val="top"/>
          </w:tcPr>
          <w:p w14:paraId="3A23DAC7">
            <w:pPr>
              <w:rPr>
                <w:rFonts w:ascii="Arial"/>
                <w:sz w:val="21"/>
              </w:rPr>
            </w:pPr>
          </w:p>
        </w:tc>
        <w:tc>
          <w:tcPr>
            <w:tcW w:w="1065" w:type="dxa"/>
            <w:vAlign w:val="top"/>
          </w:tcPr>
          <w:p w14:paraId="3E0C8552">
            <w:pPr>
              <w:rPr>
                <w:rFonts w:ascii="Arial"/>
                <w:sz w:val="21"/>
              </w:rPr>
            </w:pPr>
          </w:p>
        </w:tc>
        <w:tc>
          <w:tcPr>
            <w:tcW w:w="1049" w:type="dxa"/>
            <w:vAlign w:val="top"/>
          </w:tcPr>
          <w:p w14:paraId="09BBE7DC">
            <w:pPr>
              <w:rPr>
                <w:rFonts w:ascii="Arial"/>
                <w:sz w:val="21"/>
              </w:rPr>
            </w:pPr>
          </w:p>
        </w:tc>
        <w:tc>
          <w:tcPr>
            <w:tcW w:w="1049" w:type="dxa"/>
            <w:vAlign w:val="top"/>
          </w:tcPr>
          <w:p w14:paraId="1ABBB7C7">
            <w:pPr>
              <w:rPr>
                <w:rFonts w:ascii="Arial"/>
                <w:sz w:val="21"/>
              </w:rPr>
            </w:pPr>
          </w:p>
        </w:tc>
        <w:tc>
          <w:tcPr>
            <w:tcW w:w="1049" w:type="dxa"/>
            <w:vAlign w:val="top"/>
          </w:tcPr>
          <w:p w14:paraId="3A3294FE">
            <w:pPr>
              <w:rPr>
                <w:rFonts w:ascii="Arial"/>
                <w:sz w:val="21"/>
              </w:rPr>
            </w:pPr>
          </w:p>
        </w:tc>
        <w:tc>
          <w:tcPr>
            <w:tcW w:w="1050" w:type="dxa"/>
            <w:vAlign w:val="top"/>
          </w:tcPr>
          <w:p w14:paraId="347B5EE4">
            <w:pPr>
              <w:rPr>
                <w:rFonts w:ascii="Arial"/>
                <w:sz w:val="21"/>
              </w:rPr>
            </w:pPr>
          </w:p>
        </w:tc>
        <w:tc>
          <w:tcPr>
            <w:tcW w:w="1057" w:type="dxa"/>
            <w:vAlign w:val="top"/>
          </w:tcPr>
          <w:p w14:paraId="0D9AC290">
            <w:pPr>
              <w:rPr>
                <w:rFonts w:ascii="Arial"/>
                <w:sz w:val="21"/>
              </w:rPr>
            </w:pPr>
          </w:p>
        </w:tc>
      </w:tr>
      <w:tr w14:paraId="704DE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E7424AF">
            <w:pPr>
              <w:rPr>
                <w:rFonts w:ascii="Arial"/>
                <w:sz w:val="21"/>
              </w:rPr>
            </w:pPr>
          </w:p>
        </w:tc>
        <w:tc>
          <w:tcPr>
            <w:tcW w:w="1394" w:type="dxa"/>
            <w:vAlign w:val="top"/>
          </w:tcPr>
          <w:p w14:paraId="3C9BEAF4">
            <w:pPr>
              <w:rPr>
                <w:rFonts w:ascii="Arial"/>
                <w:sz w:val="21"/>
              </w:rPr>
            </w:pPr>
          </w:p>
        </w:tc>
        <w:tc>
          <w:tcPr>
            <w:tcW w:w="1065" w:type="dxa"/>
            <w:vAlign w:val="top"/>
          </w:tcPr>
          <w:p w14:paraId="27636984">
            <w:pPr>
              <w:rPr>
                <w:rFonts w:ascii="Arial"/>
                <w:sz w:val="21"/>
              </w:rPr>
            </w:pPr>
          </w:p>
        </w:tc>
        <w:tc>
          <w:tcPr>
            <w:tcW w:w="1049" w:type="dxa"/>
            <w:vAlign w:val="top"/>
          </w:tcPr>
          <w:p w14:paraId="739E7550">
            <w:pPr>
              <w:rPr>
                <w:rFonts w:ascii="Arial"/>
                <w:sz w:val="21"/>
              </w:rPr>
            </w:pPr>
          </w:p>
        </w:tc>
        <w:tc>
          <w:tcPr>
            <w:tcW w:w="1049" w:type="dxa"/>
            <w:vAlign w:val="top"/>
          </w:tcPr>
          <w:p w14:paraId="39CF1CCA">
            <w:pPr>
              <w:rPr>
                <w:rFonts w:ascii="Arial"/>
                <w:sz w:val="21"/>
              </w:rPr>
            </w:pPr>
          </w:p>
        </w:tc>
        <w:tc>
          <w:tcPr>
            <w:tcW w:w="1049" w:type="dxa"/>
            <w:vAlign w:val="top"/>
          </w:tcPr>
          <w:p w14:paraId="1A9EB3DA">
            <w:pPr>
              <w:rPr>
                <w:rFonts w:ascii="Arial"/>
                <w:sz w:val="21"/>
              </w:rPr>
            </w:pPr>
          </w:p>
        </w:tc>
        <w:tc>
          <w:tcPr>
            <w:tcW w:w="1050" w:type="dxa"/>
            <w:vAlign w:val="top"/>
          </w:tcPr>
          <w:p w14:paraId="1FCC9EB9">
            <w:pPr>
              <w:rPr>
                <w:rFonts w:ascii="Arial"/>
                <w:sz w:val="21"/>
              </w:rPr>
            </w:pPr>
          </w:p>
        </w:tc>
        <w:tc>
          <w:tcPr>
            <w:tcW w:w="1057" w:type="dxa"/>
            <w:vAlign w:val="top"/>
          </w:tcPr>
          <w:p w14:paraId="03D651BC">
            <w:pPr>
              <w:rPr>
                <w:rFonts w:ascii="Arial"/>
                <w:sz w:val="21"/>
              </w:rPr>
            </w:pPr>
          </w:p>
        </w:tc>
      </w:tr>
      <w:tr w14:paraId="23429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26C627A">
            <w:pPr>
              <w:rPr>
                <w:rFonts w:ascii="Arial"/>
                <w:sz w:val="21"/>
              </w:rPr>
            </w:pPr>
          </w:p>
        </w:tc>
        <w:tc>
          <w:tcPr>
            <w:tcW w:w="1394" w:type="dxa"/>
            <w:vAlign w:val="top"/>
          </w:tcPr>
          <w:p w14:paraId="25301372">
            <w:pPr>
              <w:rPr>
                <w:rFonts w:ascii="Arial"/>
                <w:sz w:val="21"/>
              </w:rPr>
            </w:pPr>
          </w:p>
        </w:tc>
        <w:tc>
          <w:tcPr>
            <w:tcW w:w="1065" w:type="dxa"/>
            <w:vAlign w:val="top"/>
          </w:tcPr>
          <w:p w14:paraId="3CF102D3">
            <w:pPr>
              <w:rPr>
                <w:rFonts w:ascii="Arial"/>
                <w:sz w:val="21"/>
              </w:rPr>
            </w:pPr>
          </w:p>
        </w:tc>
        <w:tc>
          <w:tcPr>
            <w:tcW w:w="1049" w:type="dxa"/>
            <w:vAlign w:val="top"/>
          </w:tcPr>
          <w:p w14:paraId="40762E1D">
            <w:pPr>
              <w:rPr>
                <w:rFonts w:ascii="Arial"/>
                <w:sz w:val="21"/>
              </w:rPr>
            </w:pPr>
          </w:p>
        </w:tc>
        <w:tc>
          <w:tcPr>
            <w:tcW w:w="1049" w:type="dxa"/>
            <w:vAlign w:val="top"/>
          </w:tcPr>
          <w:p w14:paraId="46A48551">
            <w:pPr>
              <w:rPr>
                <w:rFonts w:ascii="Arial"/>
                <w:sz w:val="21"/>
              </w:rPr>
            </w:pPr>
          </w:p>
        </w:tc>
        <w:tc>
          <w:tcPr>
            <w:tcW w:w="1049" w:type="dxa"/>
            <w:vAlign w:val="top"/>
          </w:tcPr>
          <w:p w14:paraId="5C6F9C27">
            <w:pPr>
              <w:rPr>
                <w:rFonts w:ascii="Arial"/>
                <w:sz w:val="21"/>
              </w:rPr>
            </w:pPr>
          </w:p>
        </w:tc>
        <w:tc>
          <w:tcPr>
            <w:tcW w:w="1050" w:type="dxa"/>
            <w:vAlign w:val="top"/>
          </w:tcPr>
          <w:p w14:paraId="1E4B246C">
            <w:pPr>
              <w:rPr>
                <w:rFonts w:ascii="Arial"/>
                <w:sz w:val="21"/>
              </w:rPr>
            </w:pPr>
          </w:p>
        </w:tc>
        <w:tc>
          <w:tcPr>
            <w:tcW w:w="1057" w:type="dxa"/>
            <w:vAlign w:val="top"/>
          </w:tcPr>
          <w:p w14:paraId="32A3F9D0">
            <w:pPr>
              <w:rPr>
                <w:rFonts w:ascii="Arial"/>
                <w:sz w:val="21"/>
              </w:rPr>
            </w:pPr>
          </w:p>
        </w:tc>
      </w:tr>
      <w:tr w14:paraId="1AD8A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94F22D9">
            <w:pPr>
              <w:rPr>
                <w:rFonts w:ascii="Arial"/>
                <w:sz w:val="21"/>
              </w:rPr>
            </w:pPr>
          </w:p>
        </w:tc>
        <w:tc>
          <w:tcPr>
            <w:tcW w:w="1394" w:type="dxa"/>
            <w:vAlign w:val="top"/>
          </w:tcPr>
          <w:p w14:paraId="66CAF17B">
            <w:pPr>
              <w:rPr>
                <w:rFonts w:ascii="Arial"/>
                <w:sz w:val="21"/>
              </w:rPr>
            </w:pPr>
          </w:p>
        </w:tc>
        <w:tc>
          <w:tcPr>
            <w:tcW w:w="1065" w:type="dxa"/>
            <w:vAlign w:val="top"/>
          </w:tcPr>
          <w:p w14:paraId="01273DB4">
            <w:pPr>
              <w:rPr>
                <w:rFonts w:ascii="Arial"/>
                <w:sz w:val="21"/>
              </w:rPr>
            </w:pPr>
          </w:p>
        </w:tc>
        <w:tc>
          <w:tcPr>
            <w:tcW w:w="1049" w:type="dxa"/>
            <w:vAlign w:val="top"/>
          </w:tcPr>
          <w:p w14:paraId="7C74C561">
            <w:pPr>
              <w:rPr>
                <w:rFonts w:ascii="Arial"/>
                <w:sz w:val="21"/>
              </w:rPr>
            </w:pPr>
          </w:p>
        </w:tc>
        <w:tc>
          <w:tcPr>
            <w:tcW w:w="1049" w:type="dxa"/>
            <w:vAlign w:val="top"/>
          </w:tcPr>
          <w:p w14:paraId="0B7F54D6">
            <w:pPr>
              <w:rPr>
                <w:rFonts w:ascii="Arial"/>
                <w:sz w:val="21"/>
              </w:rPr>
            </w:pPr>
          </w:p>
        </w:tc>
        <w:tc>
          <w:tcPr>
            <w:tcW w:w="1049" w:type="dxa"/>
            <w:vAlign w:val="top"/>
          </w:tcPr>
          <w:p w14:paraId="4E75124F">
            <w:pPr>
              <w:rPr>
                <w:rFonts w:ascii="Arial"/>
                <w:sz w:val="21"/>
              </w:rPr>
            </w:pPr>
          </w:p>
        </w:tc>
        <w:tc>
          <w:tcPr>
            <w:tcW w:w="1050" w:type="dxa"/>
            <w:vAlign w:val="top"/>
          </w:tcPr>
          <w:p w14:paraId="632E5CDA">
            <w:pPr>
              <w:rPr>
                <w:rFonts w:ascii="Arial"/>
                <w:sz w:val="21"/>
              </w:rPr>
            </w:pPr>
          </w:p>
        </w:tc>
        <w:tc>
          <w:tcPr>
            <w:tcW w:w="1057" w:type="dxa"/>
            <w:vAlign w:val="top"/>
          </w:tcPr>
          <w:p w14:paraId="0A735311">
            <w:pPr>
              <w:rPr>
                <w:rFonts w:ascii="Arial"/>
                <w:sz w:val="21"/>
              </w:rPr>
            </w:pPr>
          </w:p>
        </w:tc>
      </w:tr>
      <w:tr w14:paraId="57A4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12B83546">
            <w:pPr>
              <w:rPr>
                <w:rFonts w:ascii="Arial"/>
                <w:sz w:val="21"/>
              </w:rPr>
            </w:pPr>
          </w:p>
        </w:tc>
        <w:tc>
          <w:tcPr>
            <w:tcW w:w="1394" w:type="dxa"/>
            <w:vAlign w:val="top"/>
          </w:tcPr>
          <w:p w14:paraId="4A1E7ABA">
            <w:pPr>
              <w:rPr>
                <w:rFonts w:ascii="Arial"/>
                <w:sz w:val="21"/>
              </w:rPr>
            </w:pPr>
          </w:p>
        </w:tc>
        <w:tc>
          <w:tcPr>
            <w:tcW w:w="1065" w:type="dxa"/>
            <w:vAlign w:val="top"/>
          </w:tcPr>
          <w:p w14:paraId="52426509">
            <w:pPr>
              <w:rPr>
                <w:rFonts w:ascii="Arial"/>
                <w:sz w:val="21"/>
              </w:rPr>
            </w:pPr>
          </w:p>
        </w:tc>
        <w:tc>
          <w:tcPr>
            <w:tcW w:w="1049" w:type="dxa"/>
            <w:vAlign w:val="top"/>
          </w:tcPr>
          <w:p w14:paraId="710BB51C">
            <w:pPr>
              <w:rPr>
                <w:rFonts w:ascii="Arial"/>
                <w:sz w:val="21"/>
              </w:rPr>
            </w:pPr>
          </w:p>
        </w:tc>
        <w:tc>
          <w:tcPr>
            <w:tcW w:w="1049" w:type="dxa"/>
            <w:vAlign w:val="top"/>
          </w:tcPr>
          <w:p w14:paraId="61F7C40D">
            <w:pPr>
              <w:rPr>
                <w:rFonts w:ascii="Arial"/>
                <w:sz w:val="21"/>
              </w:rPr>
            </w:pPr>
          </w:p>
        </w:tc>
        <w:tc>
          <w:tcPr>
            <w:tcW w:w="1049" w:type="dxa"/>
            <w:vAlign w:val="top"/>
          </w:tcPr>
          <w:p w14:paraId="4BBF6508">
            <w:pPr>
              <w:rPr>
                <w:rFonts w:ascii="Arial"/>
                <w:sz w:val="21"/>
              </w:rPr>
            </w:pPr>
          </w:p>
        </w:tc>
        <w:tc>
          <w:tcPr>
            <w:tcW w:w="1050" w:type="dxa"/>
            <w:vAlign w:val="top"/>
          </w:tcPr>
          <w:p w14:paraId="3C94E2E2">
            <w:pPr>
              <w:rPr>
                <w:rFonts w:ascii="Arial"/>
                <w:sz w:val="21"/>
              </w:rPr>
            </w:pPr>
          </w:p>
        </w:tc>
        <w:tc>
          <w:tcPr>
            <w:tcW w:w="1057" w:type="dxa"/>
            <w:vAlign w:val="top"/>
          </w:tcPr>
          <w:p w14:paraId="4CDC7806">
            <w:pPr>
              <w:rPr>
                <w:rFonts w:ascii="Arial"/>
                <w:sz w:val="21"/>
              </w:rPr>
            </w:pPr>
          </w:p>
        </w:tc>
      </w:tr>
      <w:tr w14:paraId="16283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3A54E1A">
            <w:pPr>
              <w:rPr>
                <w:rFonts w:ascii="Arial"/>
                <w:sz w:val="21"/>
              </w:rPr>
            </w:pPr>
          </w:p>
        </w:tc>
        <w:tc>
          <w:tcPr>
            <w:tcW w:w="1394" w:type="dxa"/>
            <w:vAlign w:val="top"/>
          </w:tcPr>
          <w:p w14:paraId="28116149">
            <w:pPr>
              <w:rPr>
                <w:rFonts w:ascii="Arial"/>
                <w:sz w:val="21"/>
              </w:rPr>
            </w:pPr>
          </w:p>
        </w:tc>
        <w:tc>
          <w:tcPr>
            <w:tcW w:w="1065" w:type="dxa"/>
            <w:vAlign w:val="top"/>
          </w:tcPr>
          <w:p w14:paraId="2C9F1454">
            <w:pPr>
              <w:rPr>
                <w:rFonts w:ascii="Arial"/>
                <w:sz w:val="21"/>
              </w:rPr>
            </w:pPr>
          </w:p>
        </w:tc>
        <w:tc>
          <w:tcPr>
            <w:tcW w:w="1049" w:type="dxa"/>
            <w:vAlign w:val="top"/>
          </w:tcPr>
          <w:p w14:paraId="1424E5E9">
            <w:pPr>
              <w:rPr>
                <w:rFonts w:ascii="Arial"/>
                <w:sz w:val="21"/>
              </w:rPr>
            </w:pPr>
          </w:p>
        </w:tc>
        <w:tc>
          <w:tcPr>
            <w:tcW w:w="1049" w:type="dxa"/>
            <w:vAlign w:val="top"/>
          </w:tcPr>
          <w:p w14:paraId="52BBDB1D">
            <w:pPr>
              <w:rPr>
                <w:rFonts w:ascii="Arial"/>
                <w:sz w:val="21"/>
              </w:rPr>
            </w:pPr>
          </w:p>
        </w:tc>
        <w:tc>
          <w:tcPr>
            <w:tcW w:w="1049" w:type="dxa"/>
            <w:vAlign w:val="top"/>
          </w:tcPr>
          <w:p w14:paraId="38BE2282">
            <w:pPr>
              <w:rPr>
                <w:rFonts w:ascii="Arial"/>
                <w:sz w:val="21"/>
              </w:rPr>
            </w:pPr>
          </w:p>
        </w:tc>
        <w:tc>
          <w:tcPr>
            <w:tcW w:w="1050" w:type="dxa"/>
            <w:vAlign w:val="top"/>
          </w:tcPr>
          <w:p w14:paraId="42367914">
            <w:pPr>
              <w:rPr>
                <w:rFonts w:ascii="Arial"/>
                <w:sz w:val="21"/>
              </w:rPr>
            </w:pPr>
          </w:p>
        </w:tc>
        <w:tc>
          <w:tcPr>
            <w:tcW w:w="1057" w:type="dxa"/>
            <w:vAlign w:val="top"/>
          </w:tcPr>
          <w:p w14:paraId="3B6A54DB">
            <w:pPr>
              <w:rPr>
                <w:rFonts w:ascii="Arial"/>
                <w:sz w:val="21"/>
              </w:rPr>
            </w:pPr>
          </w:p>
        </w:tc>
      </w:tr>
      <w:tr w14:paraId="7F3F1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6503E86C">
            <w:pPr>
              <w:rPr>
                <w:rFonts w:ascii="Arial"/>
                <w:sz w:val="21"/>
              </w:rPr>
            </w:pPr>
          </w:p>
        </w:tc>
        <w:tc>
          <w:tcPr>
            <w:tcW w:w="1394" w:type="dxa"/>
            <w:vAlign w:val="top"/>
          </w:tcPr>
          <w:p w14:paraId="1EBBAE5E">
            <w:pPr>
              <w:rPr>
                <w:rFonts w:ascii="Arial"/>
                <w:sz w:val="21"/>
              </w:rPr>
            </w:pPr>
          </w:p>
        </w:tc>
        <w:tc>
          <w:tcPr>
            <w:tcW w:w="1065" w:type="dxa"/>
            <w:vAlign w:val="top"/>
          </w:tcPr>
          <w:p w14:paraId="145C8F15">
            <w:pPr>
              <w:rPr>
                <w:rFonts w:ascii="Arial"/>
                <w:sz w:val="21"/>
              </w:rPr>
            </w:pPr>
          </w:p>
        </w:tc>
        <w:tc>
          <w:tcPr>
            <w:tcW w:w="1049" w:type="dxa"/>
            <w:vAlign w:val="top"/>
          </w:tcPr>
          <w:p w14:paraId="22EE68A1">
            <w:pPr>
              <w:rPr>
                <w:rFonts w:ascii="Arial"/>
                <w:sz w:val="21"/>
              </w:rPr>
            </w:pPr>
          </w:p>
        </w:tc>
        <w:tc>
          <w:tcPr>
            <w:tcW w:w="1049" w:type="dxa"/>
            <w:vAlign w:val="top"/>
          </w:tcPr>
          <w:p w14:paraId="2B59B58E">
            <w:pPr>
              <w:rPr>
                <w:rFonts w:ascii="Arial"/>
                <w:sz w:val="21"/>
              </w:rPr>
            </w:pPr>
          </w:p>
        </w:tc>
        <w:tc>
          <w:tcPr>
            <w:tcW w:w="1049" w:type="dxa"/>
            <w:vAlign w:val="top"/>
          </w:tcPr>
          <w:p w14:paraId="21A66C10">
            <w:pPr>
              <w:rPr>
                <w:rFonts w:ascii="Arial"/>
                <w:sz w:val="21"/>
              </w:rPr>
            </w:pPr>
          </w:p>
        </w:tc>
        <w:tc>
          <w:tcPr>
            <w:tcW w:w="1050" w:type="dxa"/>
            <w:vAlign w:val="top"/>
          </w:tcPr>
          <w:p w14:paraId="345B1EF6">
            <w:pPr>
              <w:rPr>
                <w:rFonts w:ascii="Arial"/>
                <w:sz w:val="21"/>
              </w:rPr>
            </w:pPr>
          </w:p>
        </w:tc>
        <w:tc>
          <w:tcPr>
            <w:tcW w:w="1057" w:type="dxa"/>
            <w:vAlign w:val="top"/>
          </w:tcPr>
          <w:p w14:paraId="26821630">
            <w:pPr>
              <w:rPr>
                <w:rFonts w:ascii="Arial"/>
                <w:sz w:val="21"/>
              </w:rPr>
            </w:pPr>
          </w:p>
        </w:tc>
      </w:tr>
      <w:tr w14:paraId="6E76A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9FDC25C">
            <w:pPr>
              <w:rPr>
                <w:rFonts w:ascii="Arial"/>
                <w:sz w:val="21"/>
              </w:rPr>
            </w:pPr>
          </w:p>
        </w:tc>
        <w:tc>
          <w:tcPr>
            <w:tcW w:w="1394" w:type="dxa"/>
            <w:vAlign w:val="top"/>
          </w:tcPr>
          <w:p w14:paraId="529BA862">
            <w:pPr>
              <w:rPr>
                <w:rFonts w:ascii="Arial"/>
                <w:sz w:val="21"/>
              </w:rPr>
            </w:pPr>
          </w:p>
        </w:tc>
        <w:tc>
          <w:tcPr>
            <w:tcW w:w="1065" w:type="dxa"/>
            <w:vAlign w:val="top"/>
          </w:tcPr>
          <w:p w14:paraId="55A363DD">
            <w:pPr>
              <w:rPr>
                <w:rFonts w:ascii="Arial"/>
                <w:sz w:val="21"/>
              </w:rPr>
            </w:pPr>
          </w:p>
        </w:tc>
        <w:tc>
          <w:tcPr>
            <w:tcW w:w="1049" w:type="dxa"/>
            <w:vAlign w:val="top"/>
          </w:tcPr>
          <w:p w14:paraId="3624B0C2">
            <w:pPr>
              <w:rPr>
                <w:rFonts w:ascii="Arial"/>
                <w:sz w:val="21"/>
              </w:rPr>
            </w:pPr>
          </w:p>
        </w:tc>
        <w:tc>
          <w:tcPr>
            <w:tcW w:w="1049" w:type="dxa"/>
            <w:vAlign w:val="top"/>
          </w:tcPr>
          <w:p w14:paraId="7811E694">
            <w:pPr>
              <w:rPr>
                <w:rFonts w:ascii="Arial"/>
                <w:sz w:val="21"/>
              </w:rPr>
            </w:pPr>
          </w:p>
        </w:tc>
        <w:tc>
          <w:tcPr>
            <w:tcW w:w="1049" w:type="dxa"/>
            <w:vAlign w:val="top"/>
          </w:tcPr>
          <w:p w14:paraId="2316F22A">
            <w:pPr>
              <w:rPr>
                <w:rFonts w:ascii="Arial"/>
                <w:sz w:val="21"/>
              </w:rPr>
            </w:pPr>
          </w:p>
        </w:tc>
        <w:tc>
          <w:tcPr>
            <w:tcW w:w="1050" w:type="dxa"/>
            <w:vAlign w:val="top"/>
          </w:tcPr>
          <w:p w14:paraId="36D5C898">
            <w:pPr>
              <w:rPr>
                <w:rFonts w:ascii="Arial"/>
                <w:sz w:val="21"/>
              </w:rPr>
            </w:pPr>
          </w:p>
        </w:tc>
        <w:tc>
          <w:tcPr>
            <w:tcW w:w="1057" w:type="dxa"/>
            <w:vAlign w:val="top"/>
          </w:tcPr>
          <w:p w14:paraId="5803D7B8">
            <w:pPr>
              <w:rPr>
                <w:rFonts w:ascii="Arial"/>
                <w:sz w:val="21"/>
              </w:rPr>
            </w:pPr>
          </w:p>
        </w:tc>
      </w:tr>
      <w:tr w14:paraId="65F3B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C9F45C1">
            <w:pPr>
              <w:rPr>
                <w:rFonts w:ascii="Arial"/>
                <w:sz w:val="21"/>
              </w:rPr>
            </w:pPr>
          </w:p>
        </w:tc>
        <w:tc>
          <w:tcPr>
            <w:tcW w:w="1394" w:type="dxa"/>
            <w:vAlign w:val="top"/>
          </w:tcPr>
          <w:p w14:paraId="49634A76">
            <w:pPr>
              <w:rPr>
                <w:rFonts w:ascii="Arial"/>
                <w:sz w:val="21"/>
              </w:rPr>
            </w:pPr>
          </w:p>
        </w:tc>
        <w:tc>
          <w:tcPr>
            <w:tcW w:w="1065" w:type="dxa"/>
            <w:vAlign w:val="top"/>
          </w:tcPr>
          <w:p w14:paraId="42260AB0">
            <w:pPr>
              <w:rPr>
                <w:rFonts w:ascii="Arial"/>
                <w:sz w:val="21"/>
              </w:rPr>
            </w:pPr>
          </w:p>
        </w:tc>
        <w:tc>
          <w:tcPr>
            <w:tcW w:w="1049" w:type="dxa"/>
            <w:vAlign w:val="top"/>
          </w:tcPr>
          <w:p w14:paraId="05C90140">
            <w:pPr>
              <w:rPr>
                <w:rFonts w:ascii="Arial"/>
                <w:sz w:val="21"/>
              </w:rPr>
            </w:pPr>
          </w:p>
        </w:tc>
        <w:tc>
          <w:tcPr>
            <w:tcW w:w="1049" w:type="dxa"/>
            <w:vAlign w:val="top"/>
          </w:tcPr>
          <w:p w14:paraId="4F49B951">
            <w:pPr>
              <w:rPr>
                <w:rFonts w:ascii="Arial"/>
                <w:sz w:val="21"/>
              </w:rPr>
            </w:pPr>
          </w:p>
        </w:tc>
        <w:tc>
          <w:tcPr>
            <w:tcW w:w="1049" w:type="dxa"/>
            <w:vAlign w:val="top"/>
          </w:tcPr>
          <w:p w14:paraId="13494404">
            <w:pPr>
              <w:rPr>
                <w:rFonts w:ascii="Arial"/>
                <w:sz w:val="21"/>
              </w:rPr>
            </w:pPr>
          </w:p>
        </w:tc>
        <w:tc>
          <w:tcPr>
            <w:tcW w:w="1050" w:type="dxa"/>
            <w:vAlign w:val="top"/>
          </w:tcPr>
          <w:p w14:paraId="200FDD0B">
            <w:pPr>
              <w:rPr>
                <w:rFonts w:ascii="Arial"/>
                <w:sz w:val="21"/>
              </w:rPr>
            </w:pPr>
          </w:p>
        </w:tc>
        <w:tc>
          <w:tcPr>
            <w:tcW w:w="1057" w:type="dxa"/>
            <w:vAlign w:val="top"/>
          </w:tcPr>
          <w:p w14:paraId="340B9F8F">
            <w:pPr>
              <w:rPr>
                <w:rFonts w:ascii="Arial"/>
                <w:sz w:val="21"/>
              </w:rPr>
            </w:pPr>
          </w:p>
        </w:tc>
      </w:tr>
      <w:tr w14:paraId="52216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47BFD130">
            <w:pPr>
              <w:rPr>
                <w:rFonts w:ascii="Arial"/>
                <w:sz w:val="21"/>
              </w:rPr>
            </w:pPr>
          </w:p>
        </w:tc>
        <w:tc>
          <w:tcPr>
            <w:tcW w:w="1394" w:type="dxa"/>
            <w:vAlign w:val="top"/>
          </w:tcPr>
          <w:p w14:paraId="46C21FA2">
            <w:pPr>
              <w:rPr>
                <w:rFonts w:ascii="Arial"/>
                <w:sz w:val="21"/>
              </w:rPr>
            </w:pPr>
          </w:p>
        </w:tc>
        <w:tc>
          <w:tcPr>
            <w:tcW w:w="1065" w:type="dxa"/>
            <w:vAlign w:val="top"/>
          </w:tcPr>
          <w:p w14:paraId="3D99A4F4">
            <w:pPr>
              <w:rPr>
                <w:rFonts w:ascii="Arial"/>
                <w:sz w:val="21"/>
              </w:rPr>
            </w:pPr>
          </w:p>
        </w:tc>
        <w:tc>
          <w:tcPr>
            <w:tcW w:w="1049" w:type="dxa"/>
            <w:vAlign w:val="top"/>
          </w:tcPr>
          <w:p w14:paraId="1C4ECA57">
            <w:pPr>
              <w:rPr>
                <w:rFonts w:ascii="Arial"/>
                <w:sz w:val="21"/>
              </w:rPr>
            </w:pPr>
          </w:p>
        </w:tc>
        <w:tc>
          <w:tcPr>
            <w:tcW w:w="1049" w:type="dxa"/>
            <w:vAlign w:val="top"/>
          </w:tcPr>
          <w:p w14:paraId="05877B5B">
            <w:pPr>
              <w:rPr>
                <w:rFonts w:ascii="Arial"/>
                <w:sz w:val="21"/>
              </w:rPr>
            </w:pPr>
          </w:p>
        </w:tc>
        <w:tc>
          <w:tcPr>
            <w:tcW w:w="1049" w:type="dxa"/>
            <w:vAlign w:val="top"/>
          </w:tcPr>
          <w:p w14:paraId="64CEF911">
            <w:pPr>
              <w:rPr>
                <w:rFonts w:ascii="Arial"/>
                <w:sz w:val="21"/>
              </w:rPr>
            </w:pPr>
          </w:p>
        </w:tc>
        <w:tc>
          <w:tcPr>
            <w:tcW w:w="1050" w:type="dxa"/>
            <w:vAlign w:val="top"/>
          </w:tcPr>
          <w:p w14:paraId="356B92C1">
            <w:pPr>
              <w:rPr>
                <w:rFonts w:ascii="Arial"/>
                <w:sz w:val="21"/>
              </w:rPr>
            </w:pPr>
          </w:p>
        </w:tc>
        <w:tc>
          <w:tcPr>
            <w:tcW w:w="1057" w:type="dxa"/>
            <w:vAlign w:val="top"/>
          </w:tcPr>
          <w:p w14:paraId="4EAB85B0">
            <w:pPr>
              <w:rPr>
                <w:rFonts w:ascii="Arial"/>
                <w:sz w:val="21"/>
              </w:rPr>
            </w:pPr>
          </w:p>
        </w:tc>
      </w:tr>
      <w:tr w14:paraId="58069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41C9AEA6">
            <w:pPr>
              <w:rPr>
                <w:rFonts w:ascii="Arial"/>
                <w:sz w:val="21"/>
              </w:rPr>
            </w:pPr>
          </w:p>
        </w:tc>
        <w:tc>
          <w:tcPr>
            <w:tcW w:w="1394" w:type="dxa"/>
            <w:vAlign w:val="top"/>
          </w:tcPr>
          <w:p w14:paraId="49D58105">
            <w:pPr>
              <w:rPr>
                <w:rFonts w:ascii="Arial"/>
                <w:sz w:val="21"/>
              </w:rPr>
            </w:pPr>
          </w:p>
        </w:tc>
        <w:tc>
          <w:tcPr>
            <w:tcW w:w="1065" w:type="dxa"/>
            <w:vAlign w:val="top"/>
          </w:tcPr>
          <w:p w14:paraId="47CD8798">
            <w:pPr>
              <w:rPr>
                <w:rFonts w:ascii="Arial"/>
                <w:sz w:val="21"/>
              </w:rPr>
            </w:pPr>
          </w:p>
        </w:tc>
        <w:tc>
          <w:tcPr>
            <w:tcW w:w="1049" w:type="dxa"/>
            <w:vAlign w:val="top"/>
          </w:tcPr>
          <w:p w14:paraId="596649B6">
            <w:pPr>
              <w:rPr>
                <w:rFonts w:ascii="Arial"/>
                <w:sz w:val="21"/>
              </w:rPr>
            </w:pPr>
          </w:p>
        </w:tc>
        <w:tc>
          <w:tcPr>
            <w:tcW w:w="1049" w:type="dxa"/>
            <w:vAlign w:val="top"/>
          </w:tcPr>
          <w:p w14:paraId="741C375A">
            <w:pPr>
              <w:rPr>
                <w:rFonts w:ascii="Arial"/>
                <w:sz w:val="21"/>
              </w:rPr>
            </w:pPr>
          </w:p>
        </w:tc>
        <w:tc>
          <w:tcPr>
            <w:tcW w:w="1049" w:type="dxa"/>
            <w:vAlign w:val="top"/>
          </w:tcPr>
          <w:p w14:paraId="2339328A">
            <w:pPr>
              <w:rPr>
                <w:rFonts w:ascii="Arial"/>
                <w:sz w:val="21"/>
              </w:rPr>
            </w:pPr>
          </w:p>
        </w:tc>
        <w:tc>
          <w:tcPr>
            <w:tcW w:w="1050" w:type="dxa"/>
            <w:vAlign w:val="top"/>
          </w:tcPr>
          <w:p w14:paraId="7B728A5F">
            <w:pPr>
              <w:rPr>
                <w:rFonts w:ascii="Arial"/>
                <w:sz w:val="21"/>
              </w:rPr>
            </w:pPr>
          </w:p>
        </w:tc>
        <w:tc>
          <w:tcPr>
            <w:tcW w:w="1057" w:type="dxa"/>
            <w:vAlign w:val="top"/>
          </w:tcPr>
          <w:p w14:paraId="371ABD45">
            <w:pPr>
              <w:rPr>
                <w:rFonts w:ascii="Arial"/>
                <w:sz w:val="21"/>
              </w:rPr>
            </w:pPr>
          </w:p>
        </w:tc>
      </w:tr>
      <w:tr w14:paraId="78E23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79110045">
            <w:pPr>
              <w:rPr>
                <w:rFonts w:ascii="Arial"/>
                <w:sz w:val="21"/>
              </w:rPr>
            </w:pPr>
          </w:p>
        </w:tc>
        <w:tc>
          <w:tcPr>
            <w:tcW w:w="1394" w:type="dxa"/>
            <w:vAlign w:val="top"/>
          </w:tcPr>
          <w:p w14:paraId="481DC5CC">
            <w:pPr>
              <w:rPr>
                <w:rFonts w:ascii="Arial"/>
                <w:sz w:val="21"/>
              </w:rPr>
            </w:pPr>
          </w:p>
        </w:tc>
        <w:tc>
          <w:tcPr>
            <w:tcW w:w="1065" w:type="dxa"/>
            <w:vAlign w:val="top"/>
          </w:tcPr>
          <w:p w14:paraId="5012E2CB">
            <w:pPr>
              <w:rPr>
                <w:rFonts w:ascii="Arial"/>
                <w:sz w:val="21"/>
              </w:rPr>
            </w:pPr>
          </w:p>
        </w:tc>
        <w:tc>
          <w:tcPr>
            <w:tcW w:w="1049" w:type="dxa"/>
            <w:vAlign w:val="top"/>
          </w:tcPr>
          <w:p w14:paraId="5AC68CD2">
            <w:pPr>
              <w:rPr>
                <w:rFonts w:ascii="Arial"/>
                <w:sz w:val="21"/>
              </w:rPr>
            </w:pPr>
          </w:p>
        </w:tc>
        <w:tc>
          <w:tcPr>
            <w:tcW w:w="1049" w:type="dxa"/>
            <w:vAlign w:val="top"/>
          </w:tcPr>
          <w:p w14:paraId="451AE850">
            <w:pPr>
              <w:rPr>
                <w:rFonts w:ascii="Arial"/>
                <w:sz w:val="21"/>
              </w:rPr>
            </w:pPr>
          </w:p>
        </w:tc>
        <w:tc>
          <w:tcPr>
            <w:tcW w:w="1049" w:type="dxa"/>
            <w:vAlign w:val="top"/>
          </w:tcPr>
          <w:p w14:paraId="27FD41AD">
            <w:pPr>
              <w:rPr>
                <w:rFonts w:ascii="Arial"/>
                <w:sz w:val="21"/>
              </w:rPr>
            </w:pPr>
          </w:p>
        </w:tc>
        <w:tc>
          <w:tcPr>
            <w:tcW w:w="1050" w:type="dxa"/>
            <w:vAlign w:val="top"/>
          </w:tcPr>
          <w:p w14:paraId="069AA8E6">
            <w:pPr>
              <w:rPr>
                <w:rFonts w:ascii="Arial"/>
                <w:sz w:val="21"/>
              </w:rPr>
            </w:pPr>
          </w:p>
        </w:tc>
        <w:tc>
          <w:tcPr>
            <w:tcW w:w="1057" w:type="dxa"/>
            <w:vAlign w:val="top"/>
          </w:tcPr>
          <w:p w14:paraId="2F08A269">
            <w:pPr>
              <w:rPr>
                <w:rFonts w:ascii="Arial"/>
                <w:sz w:val="21"/>
              </w:rPr>
            </w:pPr>
          </w:p>
        </w:tc>
      </w:tr>
      <w:tr w14:paraId="4F342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FA9DB51">
            <w:pPr>
              <w:rPr>
                <w:rFonts w:ascii="Arial"/>
                <w:sz w:val="21"/>
              </w:rPr>
            </w:pPr>
          </w:p>
        </w:tc>
        <w:tc>
          <w:tcPr>
            <w:tcW w:w="1394" w:type="dxa"/>
            <w:vAlign w:val="top"/>
          </w:tcPr>
          <w:p w14:paraId="55846219">
            <w:pPr>
              <w:rPr>
                <w:rFonts w:ascii="Arial"/>
                <w:sz w:val="21"/>
              </w:rPr>
            </w:pPr>
          </w:p>
        </w:tc>
        <w:tc>
          <w:tcPr>
            <w:tcW w:w="1065" w:type="dxa"/>
            <w:vAlign w:val="top"/>
          </w:tcPr>
          <w:p w14:paraId="37CA6393">
            <w:pPr>
              <w:rPr>
                <w:rFonts w:ascii="Arial"/>
                <w:sz w:val="21"/>
              </w:rPr>
            </w:pPr>
          </w:p>
        </w:tc>
        <w:tc>
          <w:tcPr>
            <w:tcW w:w="1049" w:type="dxa"/>
            <w:vAlign w:val="top"/>
          </w:tcPr>
          <w:p w14:paraId="4DCFE814">
            <w:pPr>
              <w:rPr>
                <w:rFonts w:ascii="Arial"/>
                <w:sz w:val="21"/>
              </w:rPr>
            </w:pPr>
          </w:p>
        </w:tc>
        <w:tc>
          <w:tcPr>
            <w:tcW w:w="1049" w:type="dxa"/>
            <w:vAlign w:val="top"/>
          </w:tcPr>
          <w:p w14:paraId="37391387">
            <w:pPr>
              <w:rPr>
                <w:rFonts w:ascii="Arial"/>
                <w:sz w:val="21"/>
              </w:rPr>
            </w:pPr>
          </w:p>
        </w:tc>
        <w:tc>
          <w:tcPr>
            <w:tcW w:w="1049" w:type="dxa"/>
            <w:vAlign w:val="top"/>
          </w:tcPr>
          <w:p w14:paraId="6E15845B">
            <w:pPr>
              <w:rPr>
                <w:rFonts w:ascii="Arial"/>
                <w:sz w:val="21"/>
              </w:rPr>
            </w:pPr>
          </w:p>
        </w:tc>
        <w:tc>
          <w:tcPr>
            <w:tcW w:w="1050" w:type="dxa"/>
            <w:vAlign w:val="top"/>
          </w:tcPr>
          <w:p w14:paraId="457C3AFB">
            <w:pPr>
              <w:rPr>
                <w:rFonts w:ascii="Arial"/>
                <w:sz w:val="21"/>
              </w:rPr>
            </w:pPr>
          </w:p>
        </w:tc>
        <w:tc>
          <w:tcPr>
            <w:tcW w:w="1057" w:type="dxa"/>
            <w:vAlign w:val="top"/>
          </w:tcPr>
          <w:p w14:paraId="7B03C628">
            <w:pPr>
              <w:rPr>
                <w:rFonts w:ascii="Arial"/>
                <w:sz w:val="21"/>
              </w:rPr>
            </w:pPr>
          </w:p>
        </w:tc>
      </w:tr>
      <w:tr w14:paraId="43F9C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3BC1504">
            <w:pPr>
              <w:rPr>
                <w:rFonts w:ascii="Arial"/>
                <w:sz w:val="21"/>
              </w:rPr>
            </w:pPr>
          </w:p>
        </w:tc>
        <w:tc>
          <w:tcPr>
            <w:tcW w:w="1394" w:type="dxa"/>
            <w:vAlign w:val="top"/>
          </w:tcPr>
          <w:p w14:paraId="0AB286F5">
            <w:pPr>
              <w:rPr>
                <w:rFonts w:ascii="Arial"/>
                <w:sz w:val="21"/>
              </w:rPr>
            </w:pPr>
          </w:p>
        </w:tc>
        <w:tc>
          <w:tcPr>
            <w:tcW w:w="1065" w:type="dxa"/>
            <w:vAlign w:val="top"/>
          </w:tcPr>
          <w:p w14:paraId="5AAC98A7">
            <w:pPr>
              <w:rPr>
                <w:rFonts w:ascii="Arial"/>
                <w:sz w:val="21"/>
              </w:rPr>
            </w:pPr>
          </w:p>
        </w:tc>
        <w:tc>
          <w:tcPr>
            <w:tcW w:w="1049" w:type="dxa"/>
            <w:vAlign w:val="top"/>
          </w:tcPr>
          <w:p w14:paraId="1BE09623">
            <w:pPr>
              <w:rPr>
                <w:rFonts w:ascii="Arial"/>
                <w:sz w:val="21"/>
              </w:rPr>
            </w:pPr>
          </w:p>
        </w:tc>
        <w:tc>
          <w:tcPr>
            <w:tcW w:w="1049" w:type="dxa"/>
            <w:vAlign w:val="top"/>
          </w:tcPr>
          <w:p w14:paraId="11E3A693">
            <w:pPr>
              <w:rPr>
                <w:rFonts w:ascii="Arial"/>
                <w:sz w:val="21"/>
              </w:rPr>
            </w:pPr>
          </w:p>
        </w:tc>
        <w:tc>
          <w:tcPr>
            <w:tcW w:w="1049" w:type="dxa"/>
            <w:vAlign w:val="top"/>
          </w:tcPr>
          <w:p w14:paraId="147E1E88">
            <w:pPr>
              <w:rPr>
                <w:rFonts w:ascii="Arial"/>
                <w:sz w:val="21"/>
              </w:rPr>
            </w:pPr>
          </w:p>
        </w:tc>
        <w:tc>
          <w:tcPr>
            <w:tcW w:w="1050" w:type="dxa"/>
            <w:vAlign w:val="top"/>
          </w:tcPr>
          <w:p w14:paraId="37E687EB">
            <w:pPr>
              <w:rPr>
                <w:rFonts w:ascii="Arial"/>
                <w:sz w:val="21"/>
              </w:rPr>
            </w:pPr>
          </w:p>
        </w:tc>
        <w:tc>
          <w:tcPr>
            <w:tcW w:w="1057" w:type="dxa"/>
            <w:vAlign w:val="top"/>
          </w:tcPr>
          <w:p w14:paraId="5D7C8EB3">
            <w:pPr>
              <w:rPr>
                <w:rFonts w:ascii="Arial"/>
                <w:sz w:val="21"/>
              </w:rPr>
            </w:pPr>
          </w:p>
        </w:tc>
      </w:tr>
      <w:tr w14:paraId="3F10C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25903521">
            <w:pPr>
              <w:rPr>
                <w:rFonts w:ascii="Arial"/>
                <w:sz w:val="21"/>
              </w:rPr>
            </w:pPr>
          </w:p>
        </w:tc>
        <w:tc>
          <w:tcPr>
            <w:tcW w:w="1394" w:type="dxa"/>
            <w:vAlign w:val="top"/>
          </w:tcPr>
          <w:p w14:paraId="4B448929">
            <w:pPr>
              <w:rPr>
                <w:rFonts w:ascii="Arial"/>
                <w:sz w:val="21"/>
              </w:rPr>
            </w:pPr>
          </w:p>
        </w:tc>
        <w:tc>
          <w:tcPr>
            <w:tcW w:w="1065" w:type="dxa"/>
            <w:vAlign w:val="top"/>
          </w:tcPr>
          <w:p w14:paraId="2A9EA752">
            <w:pPr>
              <w:rPr>
                <w:rFonts w:ascii="Arial"/>
                <w:sz w:val="21"/>
              </w:rPr>
            </w:pPr>
          </w:p>
        </w:tc>
        <w:tc>
          <w:tcPr>
            <w:tcW w:w="1049" w:type="dxa"/>
            <w:vAlign w:val="top"/>
          </w:tcPr>
          <w:p w14:paraId="1F47C020">
            <w:pPr>
              <w:rPr>
                <w:rFonts w:ascii="Arial"/>
                <w:sz w:val="21"/>
              </w:rPr>
            </w:pPr>
          </w:p>
        </w:tc>
        <w:tc>
          <w:tcPr>
            <w:tcW w:w="1049" w:type="dxa"/>
            <w:vAlign w:val="top"/>
          </w:tcPr>
          <w:p w14:paraId="5BB101A7">
            <w:pPr>
              <w:rPr>
                <w:rFonts w:ascii="Arial"/>
                <w:sz w:val="21"/>
              </w:rPr>
            </w:pPr>
          </w:p>
        </w:tc>
        <w:tc>
          <w:tcPr>
            <w:tcW w:w="1049" w:type="dxa"/>
            <w:vAlign w:val="top"/>
          </w:tcPr>
          <w:p w14:paraId="02043004">
            <w:pPr>
              <w:rPr>
                <w:rFonts w:ascii="Arial"/>
                <w:sz w:val="21"/>
              </w:rPr>
            </w:pPr>
          </w:p>
        </w:tc>
        <w:tc>
          <w:tcPr>
            <w:tcW w:w="1050" w:type="dxa"/>
            <w:vAlign w:val="top"/>
          </w:tcPr>
          <w:p w14:paraId="2768A18F">
            <w:pPr>
              <w:rPr>
                <w:rFonts w:ascii="Arial"/>
                <w:sz w:val="21"/>
              </w:rPr>
            </w:pPr>
          </w:p>
        </w:tc>
        <w:tc>
          <w:tcPr>
            <w:tcW w:w="1057" w:type="dxa"/>
            <w:vAlign w:val="top"/>
          </w:tcPr>
          <w:p w14:paraId="1E938754">
            <w:pPr>
              <w:rPr>
                <w:rFonts w:ascii="Arial"/>
                <w:sz w:val="21"/>
              </w:rPr>
            </w:pPr>
          </w:p>
        </w:tc>
      </w:tr>
      <w:tr w14:paraId="0315C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2DDE5D5E">
            <w:pPr>
              <w:rPr>
                <w:rFonts w:ascii="Arial"/>
                <w:sz w:val="21"/>
              </w:rPr>
            </w:pPr>
          </w:p>
        </w:tc>
        <w:tc>
          <w:tcPr>
            <w:tcW w:w="1394" w:type="dxa"/>
            <w:vAlign w:val="top"/>
          </w:tcPr>
          <w:p w14:paraId="0AA4349A">
            <w:pPr>
              <w:rPr>
                <w:rFonts w:ascii="Arial"/>
                <w:sz w:val="21"/>
              </w:rPr>
            </w:pPr>
          </w:p>
        </w:tc>
        <w:tc>
          <w:tcPr>
            <w:tcW w:w="1065" w:type="dxa"/>
            <w:vAlign w:val="top"/>
          </w:tcPr>
          <w:p w14:paraId="2D999DFF">
            <w:pPr>
              <w:rPr>
                <w:rFonts w:ascii="Arial"/>
                <w:sz w:val="21"/>
              </w:rPr>
            </w:pPr>
          </w:p>
        </w:tc>
        <w:tc>
          <w:tcPr>
            <w:tcW w:w="1049" w:type="dxa"/>
            <w:vAlign w:val="top"/>
          </w:tcPr>
          <w:p w14:paraId="683207D0">
            <w:pPr>
              <w:rPr>
                <w:rFonts w:ascii="Arial"/>
                <w:sz w:val="21"/>
              </w:rPr>
            </w:pPr>
          </w:p>
        </w:tc>
        <w:tc>
          <w:tcPr>
            <w:tcW w:w="1049" w:type="dxa"/>
            <w:vAlign w:val="top"/>
          </w:tcPr>
          <w:p w14:paraId="5A54B6C0">
            <w:pPr>
              <w:rPr>
                <w:rFonts w:ascii="Arial"/>
                <w:sz w:val="21"/>
              </w:rPr>
            </w:pPr>
          </w:p>
        </w:tc>
        <w:tc>
          <w:tcPr>
            <w:tcW w:w="1049" w:type="dxa"/>
            <w:vAlign w:val="top"/>
          </w:tcPr>
          <w:p w14:paraId="7AA4A0C0">
            <w:pPr>
              <w:rPr>
                <w:rFonts w:ascii="Arial"/>
                <w:sz w:val="21"/>
              </w:rPr>
            </w:pPr>
          </w:p>
        </w:tc>
        <w:tc>
          <w:tcPr>
            <w:tcW w:w="1050" w:type="dxa"/>
            <w:vAlign w:val="top"/>
          </w:tcPr>
          <w:p w14:paraId="536859EC">
            <w:pPr>
              <w:rPr>
                <w:rFonts w:ascii="Arial"/>
                <w:sz w:val="21"/>
              </w:rPr>
            </w:pPr>
          </w:p>
        </w:tc>
        <w:tc>
          <w:tcPr>
            <w:tcW w:w="1057" w:type="dxa"/>
            <w:vAlign w:val="top"/>
          </w:tcPr>
          <w:p w14:paraId="33E6F185">
            <w:pPr>
              <w:rPr>
                <w:rFonts w:ascii="Arial"/>
                <w:sz w:val="21"/>
              </w:rPr>
            </w:pPr>
          </w:p>
        </w:tc>
      </w:tr>
      <w:tr w14:paraId="7002A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5E2BD71E">
            <w:pPr>
              <w:rPr>
                <w:rFonts w:ascii="Arial"/>
                <w:sz w:val="21"/>
              </w:rPr>
            </w:pPr>
          </w:p>
        </w:tc>
        <w:tc>
          <w:tcPr>
            <w:tcW w:w="1394" w:type="dxa"/>
            <w:vAlign w:val="top"/>
          </w:tcPr>
          <w:p w14:paraId="352073CC">
            <w:pPr>
              <w:rPr>
                <w:rFonts w:ascii="Arial"/>
                <w:sz w:val="21"/>
              </w:rPr>
            </w:pPr>
          </w:p>
        </w:tc>
        <w:tc>
          <w:tcPr>
            <w:tcW w:w="1065" w:type="dxa"/>
            <w:vAlign w:val="top"/>
          </w:tcPr>
          <w:p w14:paraId="6F41D02D">
            <w:pPr>
              <w:rPr>
                <w:rFonts w:ascii="Arial"/>
                <w:sz w:val="21"/>
              </w:rPr>
            </w:pPr>
          </w:p>
        </w:tc>
        <w:tc>
          <w:tcPr>
            <w:tcW w:w="1049" w:type="dxa"/>
            <w:vAlign w:val="top"/>
          </w:tcPr>
          <w:p w14:paraId="11633800">
            <w:pPr>
              <w:rPr>
                <w:rFonts w:ascii="Arial"/>
                <w:sz w:val="21"/>
              </w:rPr>
            </w:pPr>
          </w:p>
        </w:tc>
        <w:tc>
          <w:tcPr>
            <w:tcW w:w="1049" w:type="dxa"/>
            <w:vAlign w:val="top"/>
          </w:tcPr>
          <w:p w14:paraId="4E1E42D0">
            <w:pPr>
              <w:rPr>
                <w:rFonts w:ascii="Arial"/>
                <w:sz w:val="21"/>
              </w:rPr>
            </w:pPr>
          </w:p>
        </w:tc>
        <w:tc>
          <w:tcPr>
            <w:tcW w:w="1049" w:type="dxa"/>
            <w:vAlign w:val="top"/>
          </w:tcPr>
          <w:p w14:paraId="750FD4A7">
            <w:pPr>
              <w:rPr>
                <w:rFonts w:ascii="Arial"/>
                <w:sz w:val="21"/>
              </w:rPr>
            </w:pPr>
          </w:p>
        </w:tc>
        <w:tc>
          <w:tcPr>
            <w:tcW w:w="1050" w:type="dxa"/>
            <w:vAlign w:val="top"/>
          </w:tcPr>
          <w:p w14:paraId="6F64678A">
            <w:pPr>
              <w:rPr>
                <w:rFonts w:ascii="Arial"/>
                <w:sz w:val="21"/>
              </w:rPr>
            </w:pPr>
          </w:p>
        </w:tc>
        <w:tc>
          <w:tcPr>
            <w:tcW w:w="1057" w:type="dxa"/>
            <w:vAlign w:val="top"/>
          </w:tcPr>
          <w:p w14:paraId="51419D35">
            <w:pPr>
              <w:rPr>
                <w:rFonts w:ascii="Arial"/>
                <w:sz w:val="21"/>
              </w:rPr>
            </w:pPr>
          </w:p>
        </w:tc>
      </w:tr>
      <w:tr w14:paraId="2092E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FFDA610">
            <w:pPr>
              <w:rPr>
                <w:rFonts w:ascii="Arial"/>
                <w:sz w:val="21"/>
              </w:rPr>
            </w:pPr>
          </w:p>
        </w:tc>
        <w:tc>
          <w:tcPr>
            <w:tcW w:w="1394" w:type="dxa"/>
            <w:vAlign w:val="top"/>
          </w:tcPr>
          <w:p w14:paraId="360A13B4">
            <w:pPr>
              <w:rPr>
                <w:rFonts w:ascii="Arial"/>
                <w:sz w:val="21"/>
              </w:rPr>
            </w:pPr>
          </w:p>
        </w:tc>
        <w:tc>
          <w:tcPr>
            <w:tcW w:w="1065" w:type="dxa"/>
            <w:vAlign w:val="top"/>
          </w:tcPr>
          <w:p w14:paraId="3DDD3B0A">
            <w:pPr>
              <w:rPr>
                <w:rFonts w:ascii="Arial"/>
                <w:sz w:val="21"/>
              </w:rPr>
            </w:pPr>
          </w:p>
        </w:tc>
        <w:tc>
          <w:tcPr>
            <w:tcW w:w="1049" w:type="dxa"/>
            <w:vAlign w:val="top"/>
          </w:tcPr>
          <w:p w14:paraId="0A4C403E">
            <w:pPr>
              <w:rPr>
                <w:rFonts w:ascii="Arial"/>
                <w:sz w:val="21"/>
              </w:rPr>
            </w:pPr>
          </w:p>
        </w:tc>
        <w:tc>
          <w:tcPr>
            <w:tcW w:w="1049" w:type="dxa"/>
            <w:vAlign w:val="top"/>
          </w:tcPr>
          <w:p w14:paraId="23543620">
            <w:pPr>
              <w:rPr>
                <w:rFonts w:ascii="Arial"/>
                <w:sz w:val="21"/>
              </w:rPr>
            </w:pPr>
          </w:p>
        </w:tc>
        <w:tc>
          <w:tcPr>
            <w:tcW w:w="1049" w:type="dxa"/>
            <w:vAlign w:val="top"/>
          </w:tcPr>
          <w:p w14:paraId="131B75AC">
            <w:pPr>
              <w:rPr>
                <w:rFonts w:ascii="Arial"/>
                <w:sz w:val="21"/>
              </w:rPr>
            </w:pPr>
          </w:p>
        </w:tc>
        <w:tc>
          <w:tcPr>
            <w:tcW w:w="1050" w:type="dxa"/>
            <w:vAlign w:val="top"/>
          </w:tcPr>
          <w:p w14:paraId="60460A49">
            <w:pPr>
              <w:rPr>
                <w:rFonts w:ascii="Arial"/>
                <w:sz w:val="21"/>
              </w:rPr>
            </w:pPr>
          </w:p>
        </w:tc>
        <w:tc>
          <w:tcPr>
            <w:tcW w:w="1057" w:type="dxa"/>
            <w:vAlign w:val="top"/>
          </w:tcPr>
          <w:p w14:paraId="59FB0B57">
            <w:pPr>
              <w:rPr>
                <w:rFonts w:ascii="Arial"/>
                <w:sz w:val="21"/>
              </w:rPr>
            </w:pPr>
          </w:p>
        </w:tc>
      </w:tr>
      <w:tr w14:paraId="01A84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712" w:type="dxa"/>
            <w:vAlign w:val="top"/>
          </w:tcPr>
          <w:p w14:paraId="05068299">
            <w:pPr>
              <w:rPr>
                <w:rFonts w:ascii="Arial"/>
                <w:sz w:val="21"/>
              </w:rPr>
            </w:pPr>
          </w:p>
        </w:tc>
        <w:tc>
          <w:tcPr>
            <w:tcW w:w="1394" w:type="dxa"/>
            <w:vAlign w:val="top"/>
          </w:tcPr>
          <w:p w14:paraId="0D6301F2">
            <w:pPr>
              <w:rPr>
                <w:rFonts w:ascii="Arial"/>
                <w:sz w:val="21"/>
              </w:rPr>
            </w:pPr>
          </w:p>
        </w:tc>
        <w:tc>
          <w:tcPr>
            <w:tcW w:w="1065" w:type="dxa"/>
            <w:vAlign w:val="top"/>
          </w:tcPr>
          <w:p w14:paraId="35A8C792">
            <w:pPr>
              <w:rPr>
                <w:rFonts w:ascii="Arial"/>
                <w:sz w:val="21"/>
              </w:rPr>
            </w:pPr>
          </w:p>
        </w:tc>
        <w:tc>
          <w:tcPr>
            <w:tcW w:w="1049" w:type="dxa"/>
            <w:vAlign w:val="top"/>
          </w:tcPr>
          <w:p w14:paraId="3AA9C3DD">
            <w:pPr>
              <w:rPr>
                <w:rFonts w:ascii="Arial"/>
                <w:sz w:val="21"/>
              </w:rPr>
            </w:pPr>
          </w:p>
        </w:tc>
        <w:tc>
          <w:tcPr>
            <w:tcW w:w="1049" w:type="dxa"/>
            <w:vAlign w:val="top"/>
          </w:tcPr>
          <w:p w14:paraId="5AE32758">
            <w:pPr>
              <w:rPr>
                <w:rFonts w:ascii="Arial"/>
                <w:sz w:val="21"/>
              </w:rPr>
            </w:pPr>
          </w:p>
        </w:tc>
        <w:tc>
          <w:tcPr>
            <w:tcW w:w="1049" w:type="dxa"/>
            <w:vAlign w:val="top"/>
          </w:tcPr>
          <w:p w14:paraId="5266BB23">
            <w:pPr>
              <w:rPr>
                <w:rFonts w:ascii="Arial"/>
                <w:sz w:val="21"/>
              </w:rPr>
            </w:pPr>
          </w:p>
        </w:tc>
        <w:tc>
          <w:tcPr>
            <w:tcW w:w="1050" w:type="dxa"/>
            <w:vAlign w:val="top"/>
          </w:tcPr>
          <w:p w14:paraId="611EDB5C">
            <w:pPr>
              <w:rPr>
                <w:rFonts w:ascii="Arial"/>
                <w:sz w:val="21"/>
              </w:rPr>
            </w:pPr>
          </w:p>
        </w:tc>
        <w:tc>
          <w:tcPr>
            <w:tcW w:w="1057" w:type="dxa"/>
            <w:vAlign w:val="top"/>
          </w:tcPr>
          <w:p w14:paraId="2F1CF2AA">
            <w:pPr>
              <w:rPr>
                <w:rFonts w:ascii="Arial"/>
                <w:sz w:val="21"/>
              </w:rPr>
            </w:pPr>
          </w:p>
        </w:tc>
      </w:tr>
      <w:tr w14:paraId="76246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13B922B4">
            <w:pPr>
              <w:rPr>
                <w:rFonts w:ascii="Arial"/>
                <w:sz w:val="21"/>
              </w:rPr>
            </w:pPr>
          </w:p>
        </w:tc>
        <w:tc>
          <w:tcPr>
            <w:tcW w:w="1394" w:type="dxa"/>
            <w:vAlign w:val="top"/>
          </w:tcPr>
          <w:p w14:paraId="377AF1BC">
            <w:pPr>
              <w:rPr>
                <w:rFonts w:ascii="Arial"/>
                <w:sz w:val="21"/>
              </w:rPr>
            </w:pPr>
          </w:p>
        </w:tc>
        <w:tc>
          <w:tcPr>
            <w:tcW w:w="1065" w:type="dxa"/>
            <w:vAlign w:val="top"/>
          </w:tcPr>
          <w:p w14:paraId="5BCB8422">
            <w:pPr>
              <w:rPr>
                <w:rFonts w:ascii="Arial"/>
                <w:sz w:val="21"/>
              </w:rPr>
            </w:pPr>
          </w:p>
        </w:tc>
        <w:tc>
          <w:tcPr>
            <w:tcW w:w="1049" w:type="dxa"/>
            <w:vAlign w:val="top"/>
          </w:tcPr>
          <w:p w14:paraId="60C9D45F">
            <w:pPr>
              <w:rPr>
                <w:rFonts w:ascii="Arial"/>
                <w:sz w:val="21"/>
              </w:rPr>
            </w:pPr>
          </w:p>
        </w:tc>
        <w:tc>
          <w:tcPr>
            <w:tcW w:w="1049" w:type="dxa"/>
            <w:vAlign w:val="top"/>
          </w:tcPr>
          <w:p w14:paraId="10F71C49">
            <w:pPr>
              <w:rPr>
                <w:rFonts w:ascii="Arial"/>
                <w:sz w:val="21"/>
              </w:rPr>
            </w:pPr>
          </w:p>
        </w:tc>
        <w:tc>
          <w:tcPr>
            <w:tcW w:w="1049" w:type="dxa"/>
            <w:vAlign w:val="top"/>
          </w:tcPr>
          <w:p w14:paraId="5348DB97">
            <w:pPr>
              <w:rPr>
                <w:rFonts w:ascii="Arial"/>
                <w:sz w:val="21"/>
              </w:rPr>
            </w:pPr>
          </w:p>
        </w:tc>
        <w:tc>
          <w:tcPr>
            <w:tcW w:w="1050" w:type="dxa"/>
            <w:vAlign w:val="top"/>
          </w:tcPr>
          <w:p w14:paraId="77E0392B">
            <w:pPr>
              <w:rPr>
                <w:rFonts w:ascii="Arial"/>
                <w:sz w:val="21"/>
              </w:rPr>
            </w:pPr>
          </w:p>
        </w:tc>
        <w:tc>
          <w:tcPr>
            <w:tcW w:w="1057" w:type="dxa"/>
            <w:vAlign w:val="top"/>
          </w:tcPr>
          <w:p w14:paraId="1EA4EE8F">
            <w:pPr>
              <w:rPr>
                <w:rFonts w:ascii="Arial"/>
                <w:sz w:val="21"/>
              </w:rPr>
            </w:pPr>
          </w:p>
        </w:tc>
      </w:tr>
      <w:tr w14:paraId="2925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623E4B6">
            <w:pPr>
              <w:rPr>
                <w:rFonts w:ascii="Arial"/>
                <w:sz w:val="21"/>
              </w:rPr>
            </w:pPr>
          </w:p>
        </w:tc>
        <w:tc>
          <w:tcPr>
            <w:tcW w:w="1394" w:type="dxa"/>
            <w:vAlign w:val="top"/>
          </w:tcPr>
          <w:p w14:paraId="60342C54">
            <w:pPr>
              <w:rPr>
                <w:rFonts w:ascii="Arial"/>
                <w:sz w:val="21"/>
              </w:rPr>
            </w:pPr>
          </w:p>
        </w:tc>
        <w:tc>
          <w:tcPr>
            <w:tcW w:w="1065" w:type="dxa"/>
            <w:vAlign w:val="top"/>
          </w:tcPr>
          <w:p w14:paraId="1A9B45AA">
            <w:pPr>
              <w:rPr>
                <w:rFonts w:ascii="Arial"/>
                <w:sz w:val="21"/>
              </w:rPr>
            </w:pPr>
          </w:p>
        </w:tc>
        <w:tc>
          <w:tcPr>
            <w:tcW w:w="1049" w:type="dxa"/>
            <w:vAlign w:val="top"/>
          </w:tcPr>
          <w:p w14:paraId="38764A45">
            <w:pPr>
              <w:rPr>
                <w:rFonts w:ascii="Arial"/>
                <w:sz w:val="21"/>
              </w:rPr>
            </w:pPr>
          </w:p>
        </w:tc>
        <w:tc>
          <w:tcPr>
            <w:tcW w:w="1049" w:type="dxa"/>
            <w:vAlign w:val="top"/>
          </w:tcPr>
          <w:p w14:paraId="5DDE695D">
            <w:pPr>
              <w:rPr>
                <w:rFonts w:ascii="Arial"/>
                <w:sz w:val="21"/>
              </w:rPr>
            </w:pPr>
          </w:p>
        </w:tc>
        <w:tc>
          <w:tcPr>
            <w:tcW w:w="1049" w:type="dxa"/>
            <w:vAlign w:val="top"/>
          </w:tcPr>
          <w:p w14:paraId="608DABCC">
            <w:pPr>
              <w:rPr>
                <w:rFonts w:ascii="Arial"/>
                <w:sz w:val="21"/>
              </w:rPr>
            </w:pPr>
          </w:p>
        </w:tc>
        <w:tc>
          <w:tcPr>
            <w:tcW w:w="1050" w:type="dxa"/>
            <w:vAlign w:val="top"/>
          </w:tcPr>
          <w:p w14:paraId="74CAFAE7">
            <w:pPr>
              <w:rPr>
                <w:rFonts w:ascii="Arial"/>
                <w:sz w:val="21"/>
              </w:rPr>
            </w:pPr>
          </w:p>
        </w:tc>
        <w:tc>
          <w:tcPr>
            <w:tcW w:w="1057" w:type="dxa"/>
            <w:vAlign w:val="top"/>
          </w:tcPr>
          <w:p w14:paraId="4C43DDA0">
            <w:pPr>
              <w:rPr>
                <w:rFonts w:ascii="Arial"/>
                <w:sz w:val="21"/>
              </w:rPr>
            </w:pPr>
          </w:p>
        </w:tc>
      </w:tr>
      <w:tr w14:paraId="7CF8B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0569A984">
            <w:pPr>
              <w:rPr>
                <w:rFonts w:ascii="Arial"/>
                <w:sz w:val="21"/>
              </w:rPr>
            </w:pPr>
          </w:p>
        </w:tc>
        <w:tc>
          <w:tcPr>
            <w:tcW w:w="1394" w:type="dxa"/>
            <w:vAlign w:val="top"/>
          </w:tcPr>
          <w:p w14:paraId="05C4EF15">
            <w:pPr>
              <w:rPr>
                <w:rFonts w:ascii="Arial"/>
                <w:sz w:val="21"/>
              </w:rPr>
            </w:pPr>
          </w:p>
        </w:tc>
        <w:tc>
          <w:tcPr>
            <w:tcW w:w="1065" w:type="dxa"/>
            <w:vAlign w:val="top"/>
          </w:tcPr>
          <w:p w14:paraId="5BCF7087">
            <w:pPr>
              <w:rPr>
                <w:rFonts w:ascii="Arial"/>
                <w:sz w:val="21"/>
              </w:rPr>
            </w:pPr>
          </w:p>
        </w:tc>
        <w:tc>
          <w:tcPr>
            <w:tcW w:w="1049" w:type="dxa"/>
            <w:vAlign w:val="top"/>
          </w:tcPr>
          <w:p w14:paraId="5308477B">
            <w:pPr>
              <w:rPr>
                <w:rFonts w:ascii="Arial"/>
                <w:sz w:val="21"/>
              </w:rPr>
            </w:pPr>
          </w:p>
        </w:tc>
        <w:tc>
          <w:tcPr>
            <w:tcW w:w="1049" w:type="dxa"/>
            <w:vAlign w:val="top"/>
          </w:tcPr>
          <w:p w14:paraId="4C7D9950">
            <w:pPr>
              <w:rPr>
                <w:rFonts w:ascii="Arial"/>
                <w:sz w:val="21"/>
              </w:rPr>
            </w:pPr>
          </w:p>
        </w:tc>
        <w:tc>
          <w:tcPr>
            <w:tcW w:w="1049" w:type="dxa"/>
            <w:vAlign w:val="top"/>
          </w:tcPr>
          <w:p w14:paraId="79D8DE77">
            <w:pPr>
              <w:rPr>
                <w:rFonts w:ascii="Arial"/>
                <w:sz w:val="21"/>
              </w:rPr>
            </w:pPr>
          </w:p>
        </w:tc>
        <w:tc>
          <w:tcPr>
            <w:tcW w:w="1050" w:type="dxa"/>
            <w:vAlign w:val="top"/>
          </w:tcPr>
          <w:p w14:paraId="30B33722">
            <w:pPr>
              <w:rPr>
                <w:rFonts w:ascii="Arial"/>
                <w:sz w:val="21"/>
              </w:rPr>
            </w:pPr>
          </w:p>
        </w:tc>
        <w:tc>
          <w:tcPr>
            <w:tcW w:w="1057" w:type="dxa"/>
            <w:vAlign w:val="top"/>
          </w:tcPr>
          <w:p w14:paraId="0FAC9B54">
            <w:pPr>
              <w:rPr>
                <w:rFonts w:ascii="Arial"/>
                <w:sz w:val="21"/>
              </w:rPr>
            </w:pPr>
          </w:p>
        </w:tc>
      </w:tr>
      <w:tr w14:paraId="1E89E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712" w:type="dxa"/>
            <w:vAlign w:val="top"/>
          </w:tcPr>
          <w:p w14:paraId="3D4C0541">
            <w:pPr>
              <w:rPr>
                <w:rFonts w:ascii="Arial"/>
                <w:sz w:val="21"/>
              </w:rPr>
            </w:pPr>
          </w:p>
        </w:tc>
        <w:tc>
          <w:tcPr>
            <w:tcW w:w="1394" w:type="dxa"/>
            <w:vAlign w:val="top"/>
          </w:tcPr>
          <w:p w14:paraId="03221876">
            <w:pPr>
              <w:rPr>
                <w:rFonts w:ascii="Arial"/>
                <w:sz w:val="21"/>
              </w:rPr>
            </w:pPr>
          </w:p>
        </w:tc>
        <w:tc>
          <w:tcPr>
            <w:tcW w:w="1065" w:type="dxa"/>
            <w:vAlign w:val="top"/>
          </w:tcPr>
          <w:p w14:paraId="621E5EA8">
            <w:pPr>
              <w:rPr>
                <w:rFonts w:ascii="Arial"/>
                <w:sz w:val="21"/>
              </w:rPr>
            </w:pPr>
          </w:p>
        </w:tc>
        <w:tc>
          <w:tcPr>
            <w:tcW w:w="1049" w:type="dxa"/>
            <w:vAlign w:val="top"/>
          </w:tcPr>
          <w:p w14:paraId="4F9857CE">
            <w:pPr>
              <w:rPr>
                <w:rFonts w:ascii="Arial"/>
                <w:sz w:val="21"/>
              </w:rPr>
            </w:pPr>
          </w:p>
        </w:tc>
        <w:tc>
          <w:tcPr>
            <w:tcW w:w="1049" w:type="dxa"/>
            <w:vAlign w:val="top"/>
          </w:tcPr>
          <w:p w14:paraId="291D9DA9">
            <w:pPr>
              <w:rPr>
                <w:rFonts w:ascii="Arial"/>
                <w:sz w:val="21"/>
              </w:rPr>
            </w:pPr>
          </w:p>
        </w:tc>
        <w:tc>
          <w:tcPr>
            <w:tcW w:w="1049" w:type="dxa"/>
            <w:vAlign w:val="top"/>
          </w:tcPr>
          <w:p w14:paraId="4C949123">
            <w:pPr>
              <w:rPr>
                <w:rFonts w:ascii="Arial"/>
                <w:sz w:val="21"/>
              </w:rPr>
            </w:pPr>
          </w:p>
        </w:tc>
        <w:tc>
          <w:tcPr>
            <w:tcW w:w="1050" w:type="dxa"/>
            <w:vAlign w:val="top"/>
          </w:tcPr>
          <w:p w14:paraId="2C8B6240">
            <w:pPr>
              <w:rPr>
                <w:rFonts w:ascii="Arial"/>
                <w:sz w:val="21"/>
              </w:rPr>
            </w:pPr>
          </w:p>
        </w:tc>
        <w:tc>
          <w:tcPr>
            <w:tcW w:w="1057" w:type="dxa"/>
            <w:vAlign w:val="top"/>
          </w:tcPr>
          <w:p w14:paraId="388BCCB5">
            <w:pPr>
              <w:rPr>
                <w:rFonts w:ascii="Arial"/>
                <w:sz w:val="21"/>
              </w:rPr>
            </w:pPr>
          </w:p>
        </w:tc>
      </w:tr>
      <w:tr w14:paraId="5C08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 w:hRule="atLeast"/>
        </w:trPr>
        <w:tc>
          <w:tcPr>
            <w:tcW w:w="712" w:type="dxa"/>
            <w:vAlign w:val="top"/>
          </w:tcPr>
          <w:p w14:paraId="0E01C15E">
            <w:pPr>
              <w:rPr>
                <w:rFonts w:ascii="Arial"/>
                <w:sz w:val="21"/>
              </w:rPr>
            </w:pPr>
          </w:p>
        </w:tc>
        <w:tc>
          <w:tcPr>
            <w:tcW w:w="1394" w:type="dxa"/>
            <w:vAlign w:val="top"/>
          </w:tcPr>
          <w:p w14:paraId="5877BB14">
            <w:pPr>
              <w:rPr>
                <w:rFonts w:ascii="Arial"/>
                <w:sz w:val="21"/>
              </w:rPr>
            </w:pPr>
          </w:p>
        </w:tc>
        <w:tc>
          <w:tcPr>
            <w:tcW w:w="1065" w:type="dxa"/>
            <w:vAlign w:val="top"/>
          </w:tcPr>
          <w:p w14:paraId="74F87CE5">
            <w:pPr>
              <w:rPr>
                <w:rFonts w:ascii="Arial"/>
                <w:sz w:val="21"/>
              </w:rPr>
            </w:pPr>
          </w:p>
        </w:tc>
        <w:tc>
          <w:tcPr>
            <w:tcW w:w="1049" w:type="dxa"/>
            <w:vAlign w:val="top"/>
          </w:tcPr>
          <w:p w14:paraId="0F325B5F">
            <w:pPr>
              <w:rPr>
                <w:rFonts w:ascii="Arial"/>
                <w:sz w:val="21"/>
              </w:rPr>
            </w:pPr>
          </w:p>
        </w:tc>
        <w:tc>
          <w:tcPr>
            <w:tcW w:w="1049" w:type="dxa"/>
            <w:vAlign w:val="top"/>
          </w:tcPr>
          <w:p w14:paraId="16A63912">
            <w:pPr>
              <w:rPr>
                <w:rFonts w:ascii="Arial"/>
                <w:sz w:val="21"/>
              </w:rPr>
            </w:pPr>
          </w:p>
        </w:tc>
        <w:tc>
          <w:tcPr>
            <w:tcW w:w="1049" w:type="dxa"/>
            <w:vAlign w:val="top"/>
          </w:tcPr>
          <w:p w14:paraId="5C4F436B">
            <w:pPr>
              <w:rPr>
                <w:rFonts w:ascii="Arial"/>
                <w:sz w:val="21"/>
              </w:rPr>
            </w:pPr>
          </w:p>
        </w:tc>
        <w:tc>
          <w:tcPr>
            <w:tcW w:w="1050" w:type="dxa"/>
            <w:vAlign w:val="top"/>
          </w:tcPr>
          <w:p w14:paraId="13A68421">
            <w:pPr>
              <w:rPr>
                <w:rFonts w:ascii="Arial"/>
                <w:sz w:val="21"/>
              </w:rPr>
            </w:pPr>
          </w:p>
        </w:tc>
        <w:tc>
          <w:tcPr>
            <w:tcW w:w="1057" w:type="dxa"/>
            <w:vAlign w:val="top"/>
          </w:tcPr>
          <w:p w14:paraId="2A389242">
            <w:pPr>
              <w:rPr>
                <w:rFonts w:ascii="Arial"/>
                <w:sz w:val="21"/>
              </w:rPr>
            </w:pPr>
          </w:p>
        </w:tc>
      </w:tr>
    </w:tbl>
    <w:p w14:paraId="6DEEC6EE">
      <w:pPr>
        <w:pStyle w:val="2"/>
      </w:pPr>
    </w:p>
    <w:p w14:paraId="03C6895C">
      <w:pPr>
        <w:sectPr>
          <w:headerReference r:id="rId349" w:type="default"/>
          <w:footerReference r:id="rId350" w:type="default"/>
          <w:pgSz w:w="11910" w:h="16845"/>
          <w:pgMar w:top="2695" w:right="1682" w:bottom="1110" w:left="1786" w:header="2326" w:footer="883" w:gutter="0"/>
          <w:cols w:space="720" w:num="1"/>
        </w:sectPr>
      </w:pPr>
    </w:p>
    <w:p w14:paraId="003400AF">
      <w:pPr>
        <w:pStyle w:val="2"/>
        <w:spacing w:line="247" w:lineRule="auto"/>
      </w:pPr>
    </w:p>
    <w:p w14:paraId="40FF630C">
      <w:pPr>
        <w:pStyle w:val="2"/>
        <w:spacing w:line="247" w:lineRule="auto"/>
      </w:pPr>
    </w:p>
    <w:p w14:paraId="456DDD8F">
      <w:pPr>
        <w:pStyle w:val="2"/>
        <w:spacing w:line="247" w:lineRule="auto"/>
      </w:pPr>
    </w:p>
    <w:p w14:paraId="6CF9DAA3">
      <w:pPr>
        <w:pStyle w:val="2"/>
        <w:spacing w:line="247" w:lineRule="auto"/>
      </w:pPr>
    </w:p>
    <w:p w14:paraId="16A7366A">
      <w:pPr>
        <w:pStyle w:val="2"/>
        <w:spacing w:line="247" w:lineRule="auto"/>
      </w:pPr>
    </w:p>
    <w:p w14:paraId="5C4CA67E">
      <w:pPr>
        <w:pStyle w:val="2"/>
        <w:spacing w:line="248" w:lineRule="auto"/>
      </w:pPr>
    </w:p>
    <w:p w14:paraId="52083C86">
      <w:pPr>
        <w:spacing w:before="78" w:line="218" w:lineRule="auto"/>
        <w:ind w:left="38"/>
        <w:outlineLvl w:val="2"/>
        <w:rPr>
          <w:rFonts w:ascii="黑体" w:hAnsi="黑体" w:eastAsia="黑体" w:cs="黑体"/>
          <w:sz w:val="24"/>
          <w:szCs w:val="24"/>
        </w:rPr>
      </w:pPr>
      <w:bookmarkStart w:id="672" w:name="bookmark618"/>
      <w:bookmarkEnd w:id="672"/>
      <w:r>
        <w:rPr>
          <w:rFonts w:ascii="黑体" w:hAnsi="黑体" w:eastAsia="黑体" w:cs="黑体"/>
          <w:spacing w:val="-1"/>
          <w:sz w:val="24"/>
          <w:szCs w:val="24"/>
        </w:rPr>
        <w:t>附表四：计划开、竣工日期和施工进度网络图</w:t>
      </w:r>
    </w:p>
    <w:p w14:paraId="0BB51A1E">
      <w:pPr>
        <w:spacing w:before="178" w:line="369" w:lineRule="auto"/>
        <w:ind w:left="23" w:right="7" w:firstLine="436"/>
        <w:rPr>
          <w:rFonts w:ascii="宋体" w:hAnsi="宋体" w:eastAsia="宋体" w:cs="宋体"/>
          <w:sz w:val="21"/>
          <w:szCs w:val="21"/>
        </w:rPr>
      </w:pPr>
      <w:r>
        <w:rPr>
          <w:rFonts w:ascii="宋体" w:hAnsi="宋体" w:eastAsia="宋体" w:cs="宋体"/>
          <w:sz w:val="21"/>
          <w:szCs w:val="21"/>
        </w:rPr>
        <w:t>1．投标人应递交施工进度网络图或施工进度表，说明按招标文件要求</w:t>
      </w:r>
      <w:r>
        <w:rPr>
          <w:rFonts w:ascii="宋体" w:hAnsi="宋体" w:eastAsia="宋体" w:cs="宋体"/>
          <w:spacing w:val="-1"/>
          <w:sz w:val="21"/>
          <w:szCs w:val="21"/>
        </w:rPr>
        <w:t>的计划工期进行</w:t>
      </w:r>
      <w:r>
        <w:rPr>
          <w:rFonts w:ascii="宋体" w:hAnsi="宋体" w:eastAsia="宋体" w:cs="宋体"/>
          <w:spacing w:val="-3"/>
          <w:sz w:val="21"/>
          <w:szCs w:val="21"/>
        </w:rPr>
        <w:t>施工的各个关键日期。</w:t>
      </w:r>
    </w:p>
    <w:p w14:paraId="7CC12D26">
      <w:pPr>
        <w:spacing w:line="218" w:lineRule="auto"/>
        <w:ind w:left="447"/>
        <w:rPr>
          <w:rFonts w:ascii="宋体" w:hAnsi="宋体" w:eastAsia="宋体" w:cs="宋体"/>
          <w:sz w:val="21"/>
          <w:szCs w:val="21"/>
        </w:rPr>
      </w:pPr>
      <w:r>
        <w:rPr>
          <w:rFonts w:ascii="宋体" w:hAnsi="宋体" w:eastAsia="宋体" w:cs="宋体"/>
          <w:spacing w:val="-2"/>
          <w:sz w:val="21"/>
          <w:szCs w:val="21"/>
        </w:rPr>
        <w:t>2．施工进度表可采用网络图和（或）横道图表示。</w:t>
      </w:r>
    </w:p>
    <w:p w14:paraId="6CF26E5B">
      <w:pPr>
        <w:spacing w:line="218" w:lineRule="auto"/>
        <w:rPr>
          <w:rFonts w:ascii="宋体" w:hAnsi="宋体" w:eastAsia="宋体" w:cs="宋体"/>
          <w:sz w:val="21"/>
          <w:szCs w:val="21"/>
        </w:rPr>
        <w:sectPr>
          <w:headerReference r:id="rId351" w:type="default"/>
          <w:footerReference r:id="rId352" w:type="default"/>
          <w:pgSz w:w="11910" w:h="16845"/>
          <w:pgMar w:top="400" w:right="1786" w:bottom="1110" w:left="1786" w:header="0" w:footer="883" w:gutter="0"/>
          <w:cols w:space="720" w:num="1"/>
        </w:sectPr>
      </w:pPr>
    </w:p>
    <w:p w14:paraId="60BDF0F1">
      <w:pPr>
        <w:pStyle w:val="2"/>
        <w:spacing w:line="266" w:lineRule="auto"/>
      </w:pPr>
    </w:p>
    <w:p w14:paraId="0875037E">
      <w:pPr>
        <w:pStyle w:val="2"/>
        <w:spacing w:line="266" w:lineRule="auto"/>
      </w:pPr>
    </w:p>
    <w:p w14:paraId="478A03D2">
      <w:pPr>
        <w:pStyle w:val="2"/>
        <w:spacing w:line="266" w:lineRule="auto"/>
      </w:pPr>
    </w:p>
    <w:p w14:paraId="62425D83">
      <w:pPr>
        <w:pStyle w:val="2"/>
        <w:spacing w:line="267" w:lineRule="auto"/>
      </w:pPr>
    </w:p>
    <w:p w14:paraId="0D30FE43">
      <w:pPr>
        <w:spacing w:before="78" w:line="220" w:lineRule="auto"/>
        <w:ind w:left="38"/>
        <w:outlineLvl w:val="2"/>
        <w:rPr>
          <w:rFonts w:ascii="黑体" w:hAnsi="黑体" w:eastAsia="黑体" w:cs="黑体"/>
          <w:sz w:val="24"/>
          <w:szCs w:val="24"/>
        </w:rPr>
      </w:pPr>
      <w:bookmarkStart w:id="673" w:name="bookmark619"/>
      <w:bookmarkEnd w:id="673"/>
      <w:r>
        <w:rPr>
          <w:rFonts w:ascii="黑体" w:hAnsi="黑体" w:eastAsia="黑体" w:cs="黑体"/>
          <w:spacing w:val="-2"/>
          <w:sz w:val="24"/>
          <w:szCs w:val="24"/>
        </w:rPr>
        <w:t>附表五：施工总平面图</w:t>
      </w:r>
    </w:p>
    <w:p w14:paraId="78463315">
      <w:pPr>
        <w:spacing w:before="174" w:line="371" w:lineRule="auto"/>
        <w:ind w:left="25" w:firstLine="422"/>
        <w:jc w:val="both"/>
        <w:rPr>
          <w:rFonts w:ascii="宋体" w:hAnsi="宋体" w:eastAsia="宋体" w:cs="宋体"/>
          <w:sz w:val="21"/>
          <w:szCs w:val="21"/>
        </w:rPr>
      </w:pPr>
      <w:r>
        <w:rPr>
          <w:rFonts w:ascii="宋体" w:hAnsi="宋体" w:eastAsia="宋体" w:cs="宋体"/>
          <w:spacing w:val="-2"/>
          <w:sz w:val="21"/>
          <w:szCs w:val="21"/>
        </w:rPr>
        <w:t>投标人应递交一份施工总平面图，绘出现场临时设施布置图表并附</w:t>
      </w:r>
      <w:r>
        <w:rPr>
          <w:rFonts w:ascii="宋体" w:hAnsi="宋体" w:eastAsia="宋体" w:cs="宋体"/>
          <w:spacing w:val="-3"/>
          <w:sz w:val="21"/>
          <w:szCs w:val="21"/>
        </w:rPr>
        <w:t>文字说明，说明临时</w:t>
      </w:r>
      <w:r>
        <w:rPr>
          <w:rFonts w:ascii="宋体" w:hAnsi="宋体" w:eastAsia="宋体" w:cs="宋体"/>
          <w:spacing w:val="-2"/>
          <w:sz w:val="21"/>
          <w:szCs w:val="21"/>
        </w:rPr>
        <w:t>设施、加工车间、现场办公、设备及仓储、供电</w:t>
      </w:r>
      <w:r>
        <w:rPr>
          <w:rFonts w:ascii="宋体" w:hAnsi="宋体" w:eastAsia="宋体" w:cs="宋体"/>
          <w:spacing w:val="-3"/>
          <w:sz w:val="21"/>
          <w:szCs w:val="21"/>
        </w:rPr>
        <w:t>、供水、卫生、生活、道路、消防等设施的</w:t>
      </w:r>
      <w:r>
        <w:rPr>
          <w:rFonts w:ascii="宋体" w:hAnsi="宋体" w:eastAsia="宋体" w:cs="宋体"/>
          <w:spacing w:val="-6"/>
          <w:sz w:val="21"/>
          <w:szCs w:val="21"/>
        </w:rPr>
        <w:t>情况和布置。</w:t>
      </w:r>
    </w:p>
    <w:p w14:paraId="2939C733">
      <w:pPr>
        <w:spacing w:line="371" w:lineRule="auto"/>
        <w:rPr>
          <w:rFonts w:ascii="宋体" w:hAnsi="宋体" w:eastAsia="宋体" w:cs="宋体"/>
          <w:sz w:val="21"/>
          <w:szCs w:val="21"/>
        </w:rPr>
        <w:sectPr>
          <w:footerReference r:id="rId353" w:type="default"/>
          <w:pgSz w:w="11910" w:h="16845"/>
          <w:pgMar w:top="400" w:right="1779" w:bottom="1110" w:left="1786" w:header="0" w:footer="883" w:gutter="0"/>
          <w:cols w:space="720" w:num="1"/>
        </w:sectPr>
      </w:pPr>
    </w:p>
    <w:p w14:paraId="0D418EBD">
      <w:pPr>
        <w:pStyle w:val="2"/>
        <w:spacing w:line="266" w:lineRule="auto"/>
      </w:pPr>
    </w:p>
    <w:p w14:paraId="4D81B9F9">
      <w:pPr>
        <w:pStyle w:val="2"/>
        <w:spacing w:line="266" w:lineRule="auto"/>
      </w:pPr>
    </w:p>
    <w:p w14:paraId="6435A1BC">
      <w:pPr>
        <w:pStyle w:val="2"/>
        <w:spacing w:line="267" w:lineRule="auto"/>
      </w:pPr>
    </w:p>
    <w:p w14:paraId="2F63F9C6">
      <w:pPr>
        <w:pStyle w:val="2"/>
        <w:spacing w:line="267" w:lineRule="auto"/>
      </w:pPr>
    </w:p>
    <w:p w14:paraId="162E16A0">
      <w:pPr>
        <w:spacing w:before="78" w:line="220" w:lineRule="auto"/>
        <w:ind w:left="38"/>
        <w:outlineLvl w:val="2"/>
        <w:rPr>
          <w:rFonts w:ascii="黑体" w:hAnsi="黑体" w:eastAsia="黑体" w:cs="黑体"/>
          <w:sz w:val="24"/>
          <w:szCs w:val="24"/>
        </w:rPr>
      </w:pPr>
      <w:bookmarkStart w:id="674" w:name="bookmark620"/>
      <w:bookmarkEnd w:id="674"/>
      <w:r>
        <w:rPr>
          <w:rFonts w:ascii="黑体" w:hAnsi="黑体" w:eastAsia="黑体" w:cs="黑体"/>
          <w:spacing w:val="-2"/>
          <w:sz w:val="24"/>
          <w:szCs w:val="24"/>
        </w:rPr>
        <w:t>附表六：临时用地表</w:t>
      </w:r>
    </w:p>
    <w:p w14:paraId="39E66FF6">
      <w:pPr>
        <w:spacing w:line="102" w:lineRule="auto"/>
        <w:rPr>
          <w:rFonts w:ascii="Arial"/>
          <w:sz w:val="2"/>
        </w:rPr>
      </w:pPr>
    </w:p>
    <w:tbl>
      <w:tblPr>
        <w:tblStyle w:val="5"/>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56"/>
        <w:gridCol w:w="2054"/>
        <w:gridCol w:w="2054"/>
        <w:gridCol w:w="2061"/>
      </w:tblGrid>
      <w:tr w14:paraId="4EBEF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56" w:type="dxa"/>
            <w:vAlign w:val="top"/>
          </w:tcPr>
          <w:p w14:paraId="40C31081">
            <w:pPr>
              <w:pStyle w:val="6"/>
              <w:spacing w:before="74" w:line="221" w:lineRule="auto"/>
              <w:ind w:left="805"/>
              <w:rPr>
                <w:sz w:val="21"/>
                <w:szCs w:val="21"/>
              </w:rPr>
            </w:pPr>
            <w:r>
              <w:rPr>
                <w:spacing w:val="-5"/>
                <w:sz w:val="21"/>
                <w:szCs w:val="21"/>
              </w:rPr>
              <w:t>用</w:t>
            </w:r>
            <w:r>
              <w:rPr>
                <w:spacing w:val="4"/>
                <w:sz w:val="21"/>
                <w:szCs w:val="21"/>
              </w:rPr>
              <w:t xml:space="preserve">  </w:t>
            </w:r>
            <w:r>
              <w:rPr>
                <w:spacing w:val="-5"/>
                <w:sz w:val="21"/>
                <w:szCs w:val="21"/>
              </w:rPr>
              <w:t>途</w:t>
            </w:r>
          </w:p>
        </w:tc>
        <w:tc>
          <w:tcPr>
            <w:tcW w:w="2054" w:type="dxa"/>
            <w:vAlign w:val="top"/>
          </w:tcPr>
          <w:p w14:paraId="7DC0C1F1">
            <w:pPr>
              <w:pStyle w:val="6"/>
              <w:spacing w:before="74" w:line="220" w:lineRule="auto"/>
              <w:ind w:left="246"/>
              <w:rPr>
                <w:sz w:val="21"/>
                <w:szCs w:val="21"/>
              </w:rPr>
            </w:pPr>
            <w:r>
              <w:rPr>
                <w:spacing w:val="-3"/>
                <w:sz w:val="21"/>
                <w:szCs w:val="21"/>
              </w:rPr>
              <w:t>面 积（平方米）</w:t>
            </w:r>
          </w:p>
        </w:tc>
        <w:tc>
          <w:tcPr>
            <w:tcW w:w="2054" w:type="dxa"/>
            <w:vAlign w:val="top"/>
          </w:tcPr>
          <w:p w14:paraId="311EF769">
            <w:pPr>
              <w:pStyle w:val="6"/>
              <w:spacing w:before="74" w:line="221" w:lineRule="auto"/>
              <w:ind w:left="714"/>
              <w:rPr>
                <w:sz w:val="21"/>
                <w:szCs w:val="21"/>
              </w:rPr>
            </w:pPr>
            <w:r>
              <w:rPr>
                <w:spacing w:val="-5"/>
                <w:sz w:val="21"/>
                <w:szCs w:val="21"/>
              </w:rPr>
              <w:t>位</w:t>
            </w:r>
            <w:r>
              <w:rPr>
                <w:spacing w:val="3"/>
                <w:sz w:val="21"/>
                <w:szCs w:val="21"/>
              </w:rPr>
              <w:t xml:space="preserve">  </w:t>
            </w:r>
            <w:r>
              <w:rPr>
                <w:spacing w:val="-5"/>
                <w:sz w:val="21"/>
                <w:szCs w:val="21"/>
              </w:rPr>
              <w:t>置</w:t>
            </w:r>
          </w:p>
        </w:tc>
        <w:tc>
          <w:tcPr>
            <w:tcW w:w="2061" w:type="dxa"/>
            <w:vAlign w:val="top"/>
          </w:tcPr>
          <w:p w14:paraId="714DA487">
            <w:pPr>
              <w:pStyle w:val="6"/>
              <w:spacing w:before="75" w:line="220" w:lineRule="auto"/>
              <w:ind w:left="624"/>
              <w:rPr>
                <w:sz w:val="21"/>
                <w:szCs w:val="21"/>
              </w:rPr>
            </w:pPr>
            <w:r>
              <w:rPr>
                <w:spacing w:val="-4"/>
                <w:sz w:val="21"/>
                <w:szCs w:val="21"/>
              </w:rPr>
              <w:t>需用时间</w:t>
            </w:r>
          </w:p>
        </w:tc>
      </w:tr>
      <w:tr w14:paraId="68703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52838BE6">
            <w:pPr>
              <w:rPr>
                <w:rFonts w:ascii="Arial"/>
                <w:sz w:val="21"/>
              </w:rPr>
            </w:pPr>
          </w:p>
        </w:tc>
        <w:tc>
          <w:tcPr>
            <w:tcW w:w="2054" w:type="dxa"/>
            <w:vAlign w:val="top"/>
          </w:tcPr>
          <w:p w14:paraId="14C19195">
            <w:pPr>
              <w:rPr>
                <w:rFonts w:ascii="Arial"/>
                <w:sz w:val="21"/>
              </w:rPr>
            </w:pPr>
          </w:p>
        </w:tc>
        <w:tc>
          <w:tcPr>
            <w:tcW w:w="2054" w:type="dxa"/>
            <w:vAlign w:val="top"/>
          </w:tcPr>
          <w:p w14:paraId="09336939">
            <w:pPr>
              <w:rPr>
                <w:rFonts w:ascii="Arial"/>
                <w:sz w:val="21"/>
              </w:rPr>
            </w:pPr>
          </w:p>
        </w:tc>
        <w:tc>
          <w:tcPr>
            <w:tcW w:w="2061" w:type="dxa"/>
            <w:vAlign w:val="top"/>
          </w:tcPr>
          <w:p w14:paraId="2DA3F588">
            <w:pPr>
              <w:rPr>
                <w:rFonts w:ascii="Arial"/>
                <w:sz w:val="21"/>
              </w:rPr>
            </w:pPr>
          </w:p>
        </w:tc>
      </w:tr>
      <w:tr w14:paraId="2A950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5C8540A5">
            <w:pPr>
              <w:rPr>
                <w:rFonts w:ascii="Arial"/>
                <w:sz w:val="21"/>
              </w:rPr>
            </w:pPr>
          </w:p>
        </w:tc>
        <w:tc>
          <w:tcPr>
            <w:tcW w:w="2054" w:type="dxa"/>
            <w:vAlign w:val="top"/>
          </w:tcPr>
          <w:p w14:paraId="66F1BAED">
            <w:pPr>
              <w:rPr>
                <w:rFonts w:ascii="Arial"/>
                <w:sz w:val="21"/>
              </w:rPr>
            </w:pPr>
          </w:p>
        </w:tc>
        <w:tc>
          <w:tcPr>
            <w:tcW w:w="2054" w:type="dxa"/>
            <w:vAlign w:val="top"/>
          </w:tcPr>
          <w:p w14:paraId="2817634D">
            <w:pPr>
              <w:rPr>
                <w:rFonts w:ascii="Arial"/>
                <w:sz w:val="21"/>
              </w:rPr>
            </w:pPr>
          </w:p>
        </w:tc>
        <w:tc>
          <w:tcPr>
            <w:tcW w:w="2061" w:type="dxa"/>
            <w:vAlign w:val="top"/>
          </w:tcPr>
          <w:p w14:paraId="524AAF9D">
            <w:pPr>
              <w:rPr>
                <w:rFonts w:ascii="Arial"/>
                <w:sz w:val="21"/>
              </w:rPr>
            </w:pPr>
          </w:p>
        </w:tc>
      </w:tr>
      <w:tr w14:paraId="0D85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56" w:type="dxa"/>
            <w:vAlign w:val="top"/>
          </w:tcPr>
          <w:p w14:paraId="7522D4CE">
            <w:pPr>
              <w:rPr>
                <w:rFonts w:ascii="Arial"/>
                <w:sz w:val="21"/>
              </w:rPr>
            </w:pPr>
          </w:p>
        </w:tc>
        <w:tc>
          <w:tcPr>
            <w:tcW w:w="2054" w:type="dxa"/>
            <w:vAlign w:val="top"/>
          </w:tcPr>
          <w:p w14:paraId="63EF0D94">
            <w:pPr>
              <w:rPr>
                <w:rFonts w:ascii="Arial"/>
                <w:sz w:val="21"/>
              </w:rPr>
            </w:pPr>
          </w:p>
        </w:tc>
        <w:tc>
          <w:tcPr>
            <w:tcW w:w="2054" w:type="dxa"/>
            <w:vAlign w:val="top"/>
          </w:tcPr>
          <w:p w14:paraId="3580A576">
            <w:pPr>
              <w:rPr>
                <w:rFonts w:ascii="Arial"/>
                <w:sz w:val="21"/>
              </w:rPr>
            </w:pPr>
          </w:p>
        </w:tc>
        <w:tc>
          <w:tcPr>
            <w:tcW w:w="2061" w:type="dxa"/>
            <w:vAlign w:val="top"/>
          </w:tcPr>
          <w:p w14:paraId="1A398757">
            <w:pPr>
              <w:rPr>
                <w:rFonts w:ascii="Arial"/>
                <w:sz w:val="21"/>
              </w:rPr>
            </w:pPr>
          </w:p>
        </w:tc>
      </w:tr>
      <w:tr w14:paraId="3D718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2D9A839D">
            <w:pPr>
              <w:rPr>
                <w:rFonts w:ascii="Arial"/>
                <w:sz w:val="21"/>
              </w:rPr>
            </w:pPr>
          </w:p>
        </w:tc>
        <w:tc>
          <w:tcPr>
            <w:tcW w:w="2054" w:type="dxa"/>
            <w:vAlign w:val="top"/>
          </w:tcPr>
          <w:p w14:paraId="7197140C">
            <w:pPr>
              <w:rPr>
                <w:rFonts w:ascii="Arial"/>
                <w:sz w:val="21"/>
              </w:rPr>
            </w:pPr>
          </w:p>
        </w:tc>
        <w:tc>
          <w:tcPr>
            <w:tcW w:w="2054" w:type="dxa"/>
            <w:vAlign w:val="top"/>
          </w:tcPr>
          <w:p w14:paraId="6BF4FE09">
            <w:pPr>
              <w:rPr>
                <w:rFonts w:ascii="Arial"/>
                <w:sz w:val="21"/>
              </w:rPr>
            </w:pPr>
          </w:p>
        </w:tc>
        <w:tc>
          <w:tcPr>
            <w:tcW w:w="2061" w:type="dxa"/>
            <w:vAlign w:val="top"/>
          </w:tcPr>
          <w:p w14:paraId="7D5A99D4">
            <w:pPr>
              <w:rPr>
                <w:rFonts w:ascii="Arial"/>
                <w:sz w:val="21"/>
              </w:rPr>
            </w:pPr>
          </w:p>
        </w:tc>
      </w:tr>
      <w:tr w14:paraId="1417E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469005A7">
            <w:pPr>
              <w:rPr>
                <w:rFonts w:ascii="Arial"/>
                <w:sz w:val="21"/>
              </w:rPr>
            </w:pPr>
          </w:p>
        </w:tc>
        <w:tc>
          <w:tcPr>
            <w:tcW w:w="2054" w:type="dxa"/>
            <w:vAlign w:val="top"/>
          </w:tcPr>
          <w:p w14:paraId="1C3B9A8B">
            <w:pPr>
              <w:rPr>
                <w:rFonts w:ascii="Arial"/>
                <w:sz w:val="21"/>
              </w:rPr>
            </w:pPr>
          </w:p>
        </w:tc>
        <w:tc>
          <w:tcPr>
            <w:tcW w:w="2054" w:type="dxa"/>
            <w:vAlign w:val="top"/>
          </w:tcPr>
          <w:p w14:paraId="3590ECA4">
            <w:pPr>
              <w:rPr>
                <w:rFonts w:ascii="Arial"/>
                <w:sz w:val="21"/>
              </w:rPr>
            </w:pPr>
          </w:p>
        </w:tc>
        <w:tc>
          <w:tcPr>
            <w:tcW w:w="2061" w:type="dxa"/>
            <w:vAlign w:val="top"/>
          </w:tcPr>
          <w:p w14:paraId="0E61A4A4">
            <w:pPr>
              <w:rPr>
                <w:rFonts w:ascii="Arial"/>
                <w:sz w:val="21"/>
              </w:rPr>
            </w:pPr>
          </w:p>
        </w:tc>
      </w:tr>
      <w:tr w14:paraId="678F7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56" w:type="dxa"/>
            <w:vAlign w:val="top"/>
          </w:tcPr>
          <w:p w14:paraId="1ED9EE52">
            <w:pPr>
              <w:rPr>
                <w:rFonts w:ascii="Arial"/>
                <w:sz w:val="21"/>
              </w:rPr>
            </w:pPr>
          </w:p>
        </w:tc>
        <w:tc>
          <w:tcPr>
            <w:tcW w:w="2054" w:type="dxa"/>
            <w:vAlign w:val="top"/>
          </w:tcPr>
          <w:p w14:paraId="67097D31">
            <w:pPr>
              <w:rPr>
                <w:rFonts w:ascii="Arial"/>
                <w:sz w:val="21"/>
              </w:rPr>
            </w:pPr>
          </w:p>
        </w:tc>
        <w:tc>
          <w:tcPr>
            <w:tcW w:w="2054" w:type="dxa"/>
            <w:vAlign w:val="top"/>
          </w:tcPr>
          <w:p w14:paraId="7D64F733">
            <w:pPr>
              <w:rPr>
                <w:rFonts w:ascii="Arial"/>
                <w:sz w:val="21"/>
              </w:rPr>
            </w:pPr>
          </w:p>
        </w:tc>
        <w:tc>
          <w:tcPr>
            <w:tcW w:w="2061" w:type="dxa"/>
            <w:vAlign w:val="top"/>
          </w:tcPr>
          <w:p w14:paraId="161BF579">
            <w:pPr>
              <w:rPr>
                <w:rFonts w:ascii="Arial"/>
                <w:sz w:val="21"/>
              </w:rPr>
            </w:pPr>
          </w:p>
        </w:tc>
      </w:tr>
      <w:tr w14:paraId="0E7B2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27C18ADD">
            <w:pPr>
              <w:rPr>
                <w:rFonts w:ascii="Arial"/>
                <w:sz w:val="21"/>
              </w:rPr>
            </w:pPr>
          </w:p>
        </w:tc>
        <w:tc>
          <w:tcPr>
            <w:tcW w:w="2054" w:type="dxa"/>
            <w:vAlign w:val="top"/>
          </w:tcPr>
          <w:p w14:paraId="5BFC2C99">
            <w:pPr>
              <w:rPr>
                <w:rFonts w:ascii="Arial"/>
                <w:sz w:val="21"/>
              </w:rPr>
            </w:pPr>
          </w:p>
        </w:tc>
        <w:tc>
          <w:tcPr>
            <w:tcW w:w="2054" w:type="dxa"/>
            <w:vAlign w:val="top"/>
          </w:tcPr>
          <w:p w14:paraId="1F98FB71">
            <w:pPr>
              <w:rPr>
                <w:rFonts w:ascii="Arial"/>
                <w:sz w:val="21"/>
              </w:rPr>
            </w:pPr>
          </w:p>
        </w:tc>
        <w:tc>
          <w:tcPr>
            <w:tcW w:w="2061" w:type="dxa"/>
            <w:vAlign w:val="top"/>
          </w:tcPr>
          <w:p w14:paraId="48EBE587">
            <w:pPr>
              <w:rPr>
                <w:rFonts w:ascii="Arial"/>
                <w:sz w:val="21"/>
              </w:rPr>
            </w:pPr>
          </w:p>
        </w:tc>
      </w:tr>
      <w:tr w14:paraId="45AEF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1DFE0680">
            <w:pPr>
              <w:rPr>
                <w:rFonts w:ascii="Arial"/>
                <w:sz w:val="21"/>
              </w:rPr>
            </w:pPr>
          </w:p>
        </w:tc>
        <w:tc>
          <w:tcPr>
            <w:tcW w:w="2054" w:type="dxa"/>
            <w:vAlign w:val="top"/>
          </w:tcPr>
          <w:p w14:paraId="6B9EA464">
            <w:pPr>
              <w:rPr>
                <w:rFonts w:ascii="Arial"/>
                <w:sz w:val="21"/>
              </w:rPr>
            </w:pPr>
          </w:p>
        </w:tc>
        <w:tc>
          <w:tcPr>
            <w:tcW w:w="2054" w:type="dxa"/>
            <w:vAlign w:val="top"/>
          </w:tcPr>
          <w:p w14:paraId="3FC55195">
            <w:pPr>
              <w:rPr>
                <w:rFonts w:ascii="Arial"/>
                <w:sz w:val="21"/>
              </w:rPr>
            </w:pPr>
          </w:p>
        </w:tc>
        <w:tc>
          <w:tcPr>
            <w:tcW w:w="2061" w:type="dxa"/>
            <w:vAlign w:val="top"/>
          </w:tcPr>
          <w:p w14:paraId="069F7A35">
            <w:pPr>
              <w:rPr>
                <w:rFonts w:ascii="Arial"/>
                <w:sz w:val="21"/>
              </w:rPr>
            </w:pPr>
          </w:p>
        </w:tc>
      </w:tr>
      <w:tr w14:paraId="78322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40080FBC">
            <w:pPr>
              <w:rPr>
                <w:rFonts w:ascii="Arial"/>
                <w:sz w:val="21"/>
              </w:rPr>
            </w:pPr>
          </w:p>
        </w:tc>
        <w:tc>
          <w:tcPr>
            <w:tcW w:w="2054" w:type="dxa"/>
            <w:vAlign w:val="top"/>
          </w:tcPr>
          <w:p w14:paraId="521C6A2C">
            <w:pPr>
              <w:rPr>
                <w:rFonts w:ascii="Arial"/>
                <w:sz w:val="21"/>
              </w:rPr>
            </w:pPr>
          </w:p>
        </w:tc>
        <w:tc>
          <w:tcPr>
            <w:tcW w:w="2054" w:type="dxa"/>
            <w:vAlign w:val="top"/>
          </w:tcPr>
          <w:p w14:paraId="1527B0AD">
            <w:pPr>
              <w:rPr>
                <w:rFonts w:ascii="Arial"/>
                <w:sz w:val="21"/>
              </w:rPr>
            </w:pPr>
          </w:p>
        </w:tc>
        <w:tc>
          <w:tcPr>
            <w:tcW w:w="2061" w:type="dxa"/>
            <w:vAlign w:val="top"/>
          </w:tcPr>
          <w:p w14:paraId="7C08D17E">
            <w:pPr>
              <w:rPr>
                <w:rFonts w:ascii="Arial"/>
                <w:sz w:val="21"/>
              </w:rPr>
            </w:pPr>
          </w:p>
        </w:tc>
      </w:tr>
      <w:tr w14:paraId="4FC98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147F4C23">
            <w:pPr>
              <w:rPr>
                <w:rFonts w:ascii="Arial"/>
                <w:sz w:val="21"/>
              </w:rPr>
            </w:pPr>
          </w:p>
        </w:tc>
        <w:tc>
          <w:tcPr>
            <w:tcW w:w="2054" w:type="dxa"/>
            <w:vAlign w:val="top"/>
          </w:tcPr>
          <w:p w14:paraId="571E6676">
            <w:pPr>
              <w:rPr>
                <w:rFonts w:ascii="Arial"/>
                <w:sz w:val="21"/>
              </w:rPr>
            </w:pPr>
          </w:p>
        </w:tc>
        <w:tc>
          <w:tcPr>
            <w:tcW w:w="2054" w:type="dxa"/>
            <w:vAlign w:val="top"/>
          </w:tcPr>
          <w:p w14:paraId="1383A117">
            <w:pPr>
              <w:rPr>
                <w:rFonts w:ascii="Arial"/>
                <w:sz w:val="21"/>
              </w:rPr>
            </w:pPr>
          </w:p>
        </w:tc>
        <w:tc>
          <w:tcPr>
            <w:tcW w:w="2061" w:type="dxa"/>
            <w:vAlign w:val="top"/>
          </w:tcPr>
          <w:p w14:paraId="5C6F7AE6">
            <w:pPr>
              <w:rPr>
                <w:rFonts w:ascii="Arial"/>
                <w:sz w:val="21"/>
              </w:rPr>
            </w:pPr>
          </w:p>
        </w:tc>
      </w:tr>
      <w:tr w14:paraId="77F31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521D7C8A">
            <w:pPr>
              <w:rPr>
                <w:rFonts w:ascii="Arial"/>
                <w:sz w:val="21"/>
              </w:rPr>
            </w:pPr>
          </w:p>
        </w:tc>
        <w:tc>
          <w:tcPr>
            <w:tcW w:w="2054" w:type="dxa"/>
            <w:vAlign w:val="top"/>
          </w:tcPr>
          <w:p w14:paraId="6A216E28">
            <w:pPr>
              <w:rPr>
                <w:rFonts w:ascii="Arial"/>
                <w:sz w:val="21"/>
              </w:rPr>
            </w:pPr>
          </w:p>
        </w:tc>
        <w:tc>
          <w:tcPr>
            <w:tcW w:w="2054" w:type="dxa"/>
            <w:vAlign w:val="top"/>
          </w:tcPr>
          <w:p w14:paraId="11517CFD">
            <w:pPr>
              <w:rPr>
                <w:rFonts w:ascii="Arial"/>
                <w:sz w:val="21"/>
              </w:rPr>
            </w:pPr>
          </w:p>
        </w:tc>
        <w:tc>
          <w:tcPr>
            <w:tcW w:w="2061" w:type="dxa"/>
            <w:vAlign w:val="top"/>
          </w:tcPr>
          <w:p w14:paraId="6CE02DC1">
            <w:pPr>
              <w:rPr>
                <w:rFonts w:ascii="Arial"/>
                <w:sz w:val="21"/>
              </w:rPr>
            </w:pPr>
          </w:p>
        </w:tc>
      </w:tr>
      <w:tr w14:paraId="4ABA9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344C2E70">
            <w:pPr>
              <w:rPr>
                <w:rFonts w:ascii="Arial"/>
                <w:sz w:val="21"/>
              </w:rPr>
            </w:pPr>
          </w:p>
        </w:tc>
        <w:tc>
          <w:tcPr>
            <w:tcW w:w="2054" w:type="dxa"/>
            <w:vAlign w:val="top"/>
          </w:tcPr>
          <w:p w14:paraId="213BEE19">
            <w:pPr>
              <w:rPr>
                <w:rFonts w:ascii="Arial"/>
                <w:sz w:val="21"/>
              </w:rPr>
            </w:pPr>
          </w:p>
        </w:tc>
        <w:tc>
          <w:tcPr>
            <w:tcW w:w="2054" w:type="dxa"/>
            <w:vAlign w:val="top"/>
          </w:tcPr>
          <w:p w14:paraId="5EDE8098">
            <w:pPr>
              <w:rPr>
                <w:rFonts w:ascii="Arial"/>
                <w:sz w:val="21"/>
              </w:rPr>
            </w:pPr>
          </w:p>
        </w:tc>
        <w:tc>
          <w:tcPr>
            <w:tcW w:w="2061" w:type="dxa"/>
            <w:vAlign w:val="top"/>
          </w:tcPr>
          <w:p w14:paraId="1A7D6A0C">
            <w:pPr>
              <w:rPr>
                <w:rFonts w:ascii="Arial"/>
                <w:sz w:val="21"/>
              </w:rPr>
            </w:pPr>
          </w:p>
        </w:tc>
      </w:tr>
      <w:tr w14:paraId="7210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2256" w:type="dxa"/>
            <w:vAlign w:val="top"/>
          </w:tcPr>
          <w:p w14:paraId="1133920F">
            <w:pPr>
              <w:rPr>
                <w:rFonts w:ascii="Arial"/>
                <w:sz w:val="21"/>
              </w:rPr>
            </w:pPr>
          </w:p>
        </w:tc>
        <w:tc>
          <w:tcPr>
            <w:tcW w:w="2054" w:type="dxa"/>
            <w:vAlign w:val="top"/>
          </w:tcPr>
          <w:p w14:paraId="104ED5DD">
            <w:pPr>
              <w:rPr>
                <w:rFonts w:ascii="Arial"/>
                <w:sz w:val="21"/>
              </w:rPr>
            </w:pPr>
          </w:p>
        </w:tc>
        <w:tc>
          <w:tcPr>
            <w:tcW w:w="2054" w:type="dxa"/>
            <w:vAlign w:val="top"/>
          </w:tcPr>
          <w:p w14:paraId="1D1E0584">
            <w:pPr>
              <w:rPr>
                <w:rFonts w:ascii="Arial"/>
                <w:sz w:val="21"/>
              </w:rPr>
            </w:pPr>
          </w:p>
        </w:tc>
        <w:tc>
          <w:tcPr>
            <w:tcW w:w="2061" w:type="dxa"/>
            <w:vAlign w:val="top"/>
          </w:tcPr>
          <w:p w14:paraId="674ECA60">
            <w:pPr>
              <w:rPr>
                <w:rFonts w:ascii="Arial"/>
                <w:sz w:val="21"/>
              </w:rPr>
            </w:pPr>
          </w:p>
        </w:tc>
      </w:tr>
      <w:tr w14:paraId="5B3C0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69092310">
            <w:pPr>
              <w:rPr>
                <w:rFonts w:ascii="Arial"/>
                <w:sz w:val="21"/>
              </w:rPr>
            </w:pPr>
          </w:p>
        </w:tc>
        <w:tc>
          <w:tcPr>
            <w:tcW w:w="2054" w:type="dxa"/>
            <w:vAlign w:val="top"/>
          </w:tcPr>
          <w:p w14:paraId="07715284">
            <w:pPr>
              <w:rPr>
                <w:rFonts w:ascii="Arial"/>
                <w:sz w:val="21"/>
              </w:rPr>
            </w:pPr>
          </w:p>
        </w:tc>
        <w:tc>
          <w:tcPr>
            <w:tcW w:w="2054" w:type="dxa"/>
            <w:vAlign w:val="top"/>
          </w:tcPr>
          <w:p w14:paraId="0CE6D2C7">
            <w:pPr>
              <w:rPr>
                <w:rFonts w:ascii="Arial"/>
                <w:sz w:val="21"/>
              </w:rPr>
            </w:pPr>
          </w:p>
        </w:tc>
        <w:tc>
          <w:tcPr>
            <w:tcW w:w="2061" w:type="dxa"/>
            <w:vAlign w:val="top"/>
          </w:tcPr>
          <w:p w14:paraId="389E51F9">
            <w:pPr>
              <w:rPr>
                <w:rFonts w:ascii="Arial"/>
                <w:sz w:val="21"/>
              </w:rPr>
            </w:pPr>
          </w:p>
        </w:tc>
      </w:tr>
      <w:tr w14:paraId="37876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122D82DB">
            <w:pPr>
              <w:rPr>
                <w:rFonts w:ascii="Arial"/>
                <w:sz w:val="21"/>
              </w:rPr>
            </w:pPr>
          </w:p>
        </w:tc>
        <w:tc>
          <w:tcPr>
            <w:tcW w:w="2054" w:type="dxa"/>
            <w:vAlign w:val="top"/>
          </w:tcPr>
          <w:p w14:paraId="0C1BBCB0">
            <w:pPr>
              <w:rPr>
                <w:rFonts w:ascii="Arial"/>
                <w:sz w:val="21"/>
              </w:rPr>
            </w:pPr>
          </w:p>
        </w:tc>
        <w:tc>
          <w:tcPr>
            <w:tcW w:w="2054" w:type="dxa"/>
            <w:vAlign w:val="top"/>
          </w:tcPr>
          <w:p w14:paraId="2A0F8A2D">
            <w:pPr>
              <w:rPr>
                <w:rFonts w:ascii="Arial"/>
                <w:sz w:val="21"/>
              </w:rPr>
            </w:pPr>
          </w:p>
        </w:tc>
        <w:tc>
          <w:tcPr>
            <w:tcW w:w="2061" w:type="dxa"/>
            <w:vAlign w:val="top"/>
          </w:tcPr>
          <w:p w14:paraId="09C14F26">
            <w:pPr>
              <w:rPr>
                <w:rFonts w:ascii="Arial"/>
                <w:sz w:val="21"/>
              </w:rPr>
            </w:pPr>
          </w:p>
        </w:tc>
      </w:tr>
      <w:tr w14:paraId="7C7C2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4114B0F1">
            <w:pPr>
              <w:rPr>
                <w:rFonts w:ascii="Arial"/>
                <w:sz w:val="21"/>
              </w:rPr>
            </w:pPr>
          </w:p>
        </w:tc>
        <w:tc>
          <w:tcPr>
            <w:tcW w:w="2054" w:type="dxa"/>
            <w:vAlign w:val="top"/>
          </w:tcPr>
          <w:p w14:paraId="679EE515">
            <w:pPr>
              <w:rPr>
                <w:rFonts w:ascii="Arial"/>
                <w:sz w:val="21"/>
              </w:rPr>
            </w:pPr>
          </w:p>
        </w:tc>
        <w:tc>
          <w:tcPr>
            <w:tcW w:w="2054" w:type="dxa"/>
            <w:vAlign w:val="top"/>
          </w:tcPr>
          <w:p w14:paraId="7DC527BE">
            <w:pPr>
              <w:rPr>
                <w:rFonts w:ascii="Arial"/>
                <w:sz w:val="21"/>
              </w:rPr>
            </w:pPr>
          </w:p>
        </w:tc>
        <w:tc>
          <w:tcPr>
            <w:tcW w:w="2061" w:type="dxa"/>
            <w:vAlign w:val="top"/>
          </w:tcPr>
          <w:p w14:paraId="641AAA62">
            <w:pPr>
              <w:rPr>
                <w:rFonts w:ascii="Arial"/>
                <w:sz w:val="21"/>
              </w:rPr>
            </w:pPr>
          </w:p>
        </w:tc>
      </w:tr>
      <w:tr w14:paraId="05434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7D065A35">
            <w:pPr>
              <w:rPr>
                <w:rFonts w:ascii="Arial"/>
                <w:sz w:val="21"/>
              </w:rPr>
            </w:pPr>
          </w:p>
        </w:tc>
        <w:tc>
          <w:tcPr>
            <w:tcW w:w="2054" w:type="dxa"/>
            <w:vAlign w:val="top"/>
          </w:tcPr>
          <w:p w14:paraId="60FFF4D6">
            <w:pPr>
              <w:rPr>
                <w:rFonts w:ascii="Arial"/>
                <w:sz w:val="21"/>
              </w:rPr>
            </w:pPr>
          </w:p>
        </w:tc>
        <w:tc>
          <w:tcPr>
            <w:tcW w:w="2054" w:type="dxa"/>
            <w:vAlign w:val="top"/>
          </w:tcPr>
          <w:p w14:paraId="0F3B5626">
            <w:pPr>
              <w:rPr>
                <w:rFonts w:ascii="Arial"/>
                <w:sz w:val="21"/>
              </w:rPr>
            </w:pPr>
          </w:p>
        </w:tc>
        <w:tc>
          <w:tcPr>
            <w:tcW w:w="2061" w:type="dxa"/>
            <w:vAlign w:val="top"/>
          </w:tcPr>
          <w:p w14:paraId="426F7652">
            <w:pPr>
              <w:rPr>
                <w:rFonts w:ascii="Arial"/>
                <w:sz w:val="21"/>
              </w:rPr>
            </w:pPr>
          </w:p>
        </w:tc>
      </w:tr>
      <w:tr w14:paraId="4EBD3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2256" w:type="dxa"/>
            <w:vAlign w:val="top"/>
          </w:tcPr>
          <w:p w14:paraId="6BDF33F7">
            <w:pPr>
              <w:rPr>
                <w:rFonts w:ascii="Arial"/>
                <w:sz w:val="21"/>
              </w:rPr>
            </w:pPr>
          </w:p>
        </w:tc>
        <w:tc>
          <w:tcPr>
            <w:tcW w:w="2054" w:type="dxa"/>
            <w:vAlign w:val="top"/>
          </w:tcPr>
          <w:p w14:paraId="735A9797">
            <w:pPr>
              <w:rPr>
                <w:rFonts w:ascii="Arial"/>
                <w:sz w:val="21"/>
              </w:rPr>
            </w:pPr>
          </w:p>
        </w:tc>
        <w:tc>
          <w:tcPr>
            <w:tcW w:w="2054" w:type="dxa"/>
            <w:vAlign w:val="top"/>
          </w:tcPr>
          <w:p w14:paraId="1AB81700">
            <w:pPr>
              <w:rPr>
                <w:rFonts w:ascii="Arial"/>
                <w:sz w:val="21"/>
              </w:rPr>
            </w:pPr>
          </w:p>
        </w:tc>
        <w:tc>
          <w:tcPr>
            <w:tcW w:w="2061" w:type="dxa"/>
            <w:vAlign w:val="top"/>
          </w:tcPr>
          <w:p w14:paraId="7E4BE29B">
            <w:pPr>
              <w:rPr>
                <w:rFonts w:ascii="Arial"/>
                <w:sz w:val="21"/>
              </w:rPr>
            </w:pPr>
          </w:p>
        </w:tc>
      </w:tr>
      <w:tr w14:paraId="1D6C7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1006EC92">
            <w:pPr>
              <w:rPr>
                <w:rFonts w:ascii="Arial"/>
                <w:sz w:val="21"/>
              </w:rPr>
            </w:pPr>
          </w:p>
        </w:tc>
        <w:tc>
          <w:tcPr>
            <w:tcW w:w="2054" w:type="dxa"/>
            <w:vAlign w:val="top"/>
          </w:tcPr>
          <w:p w14:paraId="23E99F63">
            <w:pPr>
              <w:rPr>
                <w:rFonts w:ascii="Arial"/>
                <w:sz w:val="21"/>
              </w:rPr>
            </w:pPr>
          </w:p>
        </w:tc>
        <w:tc>
          <w:tcPr>
            <w:tcW w:w="2054" w:type="dxa"/>
            <w:vAlign w:val="top"/>
          </w:tcPr>
          <w:p w14:paraId="16E64991">
            <w:pPr>
              <w:rPr>
                <w:rFonts w:ascii="Arial"/>
                <w:sz w:val="21"/>
              </w:rPr>
            </w:pPr>
          </w:p>
        </w:tc>
        <w:tc>
          <w:tcPr>
            <w:tcW w:w="2061" w:type="dxa"/>
            <w:vAlign w:val="top"/>
          </w:tcPr>
          <w:p w14:paraId="2A39A2C5">
            <w:pPr>
              <w:rPr>
                <w:rFonts w:ascii="Arial"/>
                <w:sz w:val="21"/>
              </w:rPr>
            </w:pPr>
          </w:p>
        </w:tc>
      </w:tr>
      <w:tr w14:paraId="70B0F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4CEA09F2">
            <w:pPr>
              <w:rPr>
                <w:rFonts w:ascii="Arial"/>
                <w:sz w:val="21"/>
              </w:rPr>
            </w:pPr>
          </w:p>
        </w:tc>
        <w:tc>
          <w:tcPr>
            <w:tcW w:w="2054" w:type="dxa"/>
            <w:vAlign w:val="top"/>
          </w:tcPr>
          <w:p w14:paraId="5E09ED43">
            <w:pPr>
              <w:rPr>
                <w:rFonts w:ascii="Arial"/>
                <w:sz w:val="21"/>
              </w:rPr>
            </w:pPr>
          </w:p>
        </w:tc>
        <w:tc>
          <w:tcPr>
            <w:tcW w:w="2054" w:type="dxa"/>
            <w:vAlign w:val="top"/>
          </w:tcPr>
          <w:p w14:paraId="52A3D37D">
            <w:pPr>
              <w:rPr>
                <w:rFonts w:ascii="Arial"/>
                <w:sz w:val="21"/>
              </w:rPr>
            </w:pPr>
          </w:p>
        </w:tc>
        <w:tc>
          <w:tcPr>
            <w:tcW w:w="2061" w:type="dxa"/>
            <w:vAlign w:val="top"/>
          </w:tcPr>
          <w:p w14:paraId="1511224E">
            <w:pPr>
              <w:rPr>
                <w:rFonts w:ascii="Arial"/>
                <w:sz w:val="21"/>
              </w:rPr>
            </w:pPr>
          </w:p>
        </w:tc>
      </w:tr>
      <w:tr w14:paraId="0E0A0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2256" w:type="dxa"/>
            <w:vAlign w:val="top"/>
          </w:tcPr>
          <w:p w14:paraId="6E7862C9">
            <w:pPr>
              <w:rPr>
                <w:rFonts w:ascii="Arial"/>
                <w:sz w:val="21"/>
              </w:rPr>
            </w:pPr>
          </w:p>
        </w:tc>
        <w:tc>
          <w:tcPr>
            <w:tcW w:w="2054" w:type="dxa"/>
            <w:vAlign w:val="top"/>
          </w:tcPr>
          <w:p w14:paraId="115557C4">
            <w:pPr>
              <w:rPr>
                <w:rFonts w:ascii="Arial"/>
                <w:sz w:val="21"/>
              </w:rPr>
            </w:pPr>
          </w:p>
        </w:tc>
        <w:tc>
          <w:tcPr>
            <w:tcW w:w="2054" w:type="dxa"/>
            <w:vAlign w:val="top"/>
          </w:tcPr>
          <w:p w14:paraId="3D32151F">
            <w:pPr>
              <w:rPr>
                <w:rFonts w:ascii="Arial"/>
                <w:sz w:val="21"/>
              </w:rPr>
            </w:pPr>
          </w:p>
        </w:tc>
        <w:tc>
          <w:tcPr>
            <w:tcW w:w="2061" w:type="dxa"/>
            <w:vAlign w:val="top"/>
          </w:tcPr>
          <w:p w14:paraId="04F8131B">
            <w:pPr>
              <w:rPr>
                <w:rFonts w:ascii="Arial"/>
                <w:sz w:val="21"/>
              </w:rPr>
            </w:pPr>
          </w:p>
        </w:tc>
      </w:tr>
      <w:tr w14:paraId="057E8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0EB7EA14">
            <w:pPr>
              <w:rPr>
                <w:rFonts w:ascii="Arial"/>
                <w:sz w:val="21"/>
              </w:rPr>
            </w:pPr>
          </w:p>
        </w:tc>
        <w:tc>
          <w:tcPr>
            <w:tcW w:w="2054" w:type="dxa"/>
            <w:vAlign w:val="top"/>
          </w:tcPr>
          <w:p w14:paraId="57166D44">
            <w:pPr>
              <w:rPr>
                <w:rFonts w:ascii="Arial"/>
                <w:sz w:val="21"/>
              </w:rPr>
            </w:pPr>
          </w:p>
        </w:tc>
        <w:tc>
          <w:tcPr>
            <w:tcW w:w="2054" w:type="dxa"/>
            <w:vAlign w:val="top"/>
          </w:tcPr>
          <w:p w14:paraId="4D44BE09">
            <w:pPr>
              <w:rPr>
                <w:rFonts w:ascii="Arial"/>
                <w:sz w:val="21"/>
              </w:rPr>
            </w:pPr>
          </w:p>
        </w:tc>
        <w:tc>
          <w:tcPr>
            <w:tcW w:w="2061" w:type="dxa"/>
            <w:vAlign w:val="top"/>
          </w:tcPr>
          <w:p w14:paraId="28E1E856">
            <w:pPr>
              <w:rPr>
                <w:rFonts w:ascii="Arial"/>
                <w:sz w:val="21"/>
              </w:rPr>
            </w:pPr>
          </w:p>
        </w:tc>
      </w:tr>
      <w:tr w14:paraId="32CF6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2502DD19">
            <w:pPr>
              <w:rPr>
                <w:rFonts w:ascii="Arial"/>
                <w:sz w:val="21"/>
              </w:rPr>
            </w:pPr>
          </w:p>
        </w:tc>
        <w:tc>
          <w:tcPr>
            <w:tcW w:w="2054" w:type="dxa"/>
            <w:vAlign w:val="top"/>
          </w:tcPr>
          <w:p w14:paraId="51AFB741">
            <w:pPr>
              <w:rPr>
                <w:rFonts w:ascii="Arial"/>
                <w:sz w:val="21"/>
              </w:rPr>
            </w:pPr>
          </w:p>
        </w:tc>
        <w:tc>
          <w:tcPr>
            <w:tcW w:w="2054" w:type="dxa"/>
            <w:vAlign w:val="top"/>
          </w:tcPr>
          <w:p w14:paraId="19361D0E">
            <w:pPr>
              <w:rPr>
                <w:rFonts w:ascii="Arial"/>
                <w:sz w:val="21"/>
              </w:rPr>
            </w:pPr>
          </w:p>
        </w:tc>
        <w:tc>
          <w:tcPr>
            <w:tcW w:w="2061" w:type="dxa"/>
            <w:vAlign w:val="top"/>
          </w:tcPr>
          <w:p w14:paraId="30CD822A">
            <w:pPr>
              <w:rPr>
                <w:rFonts w:ascii="Arial"/>
                <w:sz w:val="21"/>
              </w:rPr>
            </w:pPr>
          </w:p>
        </w:tc>
      </w:tr>
      <w:tr w14:paraId="54DBF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5CDBCE2B">
            <w:pPr>
              <w:rPr>
                <w:rFonts w:ascii="Arial"/>
                <w:sz w:val="21"/>
              </w:rPr>
            </w:pPr>
          </w:p>
        </w:tc>
        <w:tc>
          <w:tcPr>
            <w:tcW w:w="2054" w:type="dxa"/>
            <w:vAlign w:val="top"/>
          </w:tcPr>
          <w:p w14:paraId="409749D2">
            <w:pPr>
              <w:rPr>
                <w:rFonts w:ascii="Arial"/>
                <w:sz w:val="21"/>
              </w:rPr>
            </w:pPr>
          </w:p>
        </w:tc>
        <w:tc>
          <w:tcPr>
            <w:tcW w:w="2054" w:type="dxa"/>
            <w:vAlign w:val="top"/>
          </w:tcPr>
          <w:p w14:paraId="22BCCDE1">
            <w:pPr>
              <w:rPr>
                <w:rFonts w:ascii="Arial"/>
                <w:sz w:val="21"/>
              </w:rPr>
            </w:pPr>
          </w:p>
        </w:tc>
        <w:tc>
          <w:tcPr>
            <w:tcW w:w="2061" w:type="dxa"/>
            <w:vAlign w:val="top"/>
          </w:tcPr>
          <w:p w14:paraId="5A6CB37D">
            <w:pPr>
              <w:rPr>
                <w:rFonts w:ascii="Arial"/>
                <w:sz w:val="21"/>
              </w:rPr>
            </w:pPr>
          </w:p>
        </w:tc>
      </w:tr>
      <w:tr w14:paraId="3AB10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3AE370BB">
            <w:pPr>
              <w:rPr>
                <w:rFonts w:ascii="Arial"/>
                <w:sz w:val="21"/>
              </w:rPr>
            </w:pPr>
          </w:p>
        </w:tc>
        <w:tc>
          <w:tcPr>
            <w:tcW w:w="2054" w:type="dxa"/>
            <w:vAlign w:val="top"/>
          </w:tcPr>
          <w:p w14:paraId="7D4AB781">
            <w:pPr>
              <w:rPr>
                <w:rFonts w:ascii="Arial"/>
                <w:sz w:val="21"/>
              </w:rPr>
            </w:pPr>
          </w:p>
        </w:tc>
        <w:tc>
          <w:tcPr>
            <w:tcW w:w="2054" w:type="dxa"/>
            <w:vAlign w:val="top"/>
          </w:tcPr>
          <w:p w14:paraId="25AEF4D5">
            <w:pPr>
              <w:rPr>
                <w:rFonts w:ascii="Arial"/>
                <w:sz w:val="21"/>
              </w:rPr>
            </w:pPr>
          </w:p>
        </w:tc>
        <w:tc>
          <w:tcPr>
            <w:tcW w:w="2061" w:type="dxa"/>
            <w:vAlign w:val="top"/>
          </w:tcPr>
          <w:p w14:paraId="4D2E6DFF">
            <w:pPr>
              <w:rPr>
                <w:rFonts w:ascii="Arial"/>
                <w:sz w:val="21"/>
              </w:rPr>
            </w:pPr>
          </w:p>
        </w:tc>
      </w:tr>
      <w:tr w14:paraId="1940C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6263C3BB">
            <w:pPr>
              <w:rPr>
                <w:rFonts w:ascii="Arial"/>
                <w:sz w:val="21"/>
              </w:rPr>
            </w:pPr>
          </w:p>
        </w:tc>
        <w:tc>
          <w:tcPr>
            <w:tcW w:w="2054" w:type="dxa"/>
            <w:vAlign w:val="top"/>
          </w:tcPr>
          <w:p w14:paraId="117FCBB0">
            <w:pPr>
              <w:rPr>
                <w:rFonts w:ascii="Arial"/>
                <w:sz w:val="21"/>
              </w:rPr>
            </w:pPr>
          </w:p>
        </w:tc>
        <w:tc>
          <w:tcPr>
            <w:tcW w:w="2054" w:type="dxa"/>
            <w:vAlign w:val="top"/>
          </w:tcPr>
          <w:p w14:paraId="65E28D69">
            <w:pPr>
              <w:rPr>
                <w:rFonts w:ascii="Arial"/>
                <w:sz w:val="21"/>
              </w:rPr>
            </w:pPr>
          </w:p>
        </w:tc>
        <w:tc>
          <w:tcPr>
            <w:tcW w:w="2061" w:type="dxa"/>
            <w:vAlign w:val="top"/>
          </w:tcPr>
          <w:p w14:paraId="4E94352C">
            <w:pPr>
              <w:rPr>
                <w:rFonts w:ascii="Arial"/>
                <w:sz w:val="21"/>
              </w:rPr>
            </w:pPr>
          </w:p>
        </w:tc>
      </w:tr>
      <w:tr w14:paraId="64CF9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2256" w:type="dxa"/>
            <w:vAlign w:val="top"/>
          </w:tcPr>
          <w:p w14:paraId="494A03AD">
            <w:pPr>
              <w:rPr>
                <w:rFonts w:ascii="Arial"/>
                <w:sz w:val="21"/>
              </w:rPr>
            </w:pPr>
          </w:p>
        </w:tc>
        <w:tc>
          <w:tcPr>
            <w:tcW w:w="2054" w:type="dxa"/>
            <w:vAlign w:val="top"/>
          </w:tcPr>
          <w:p w14:paraId="29CC7BCC">
            <w:pPr>
              <w:rPr>
                <w:rFonts w:ascii="Arial"/>
                <w:sz w:val="21"/>
              </w:rPr>
            </w:pPr>
          </w:p>
        </w:tc>
        <w:tc>
          <w:tcPr>
            <w:tcW w:w="2054" w:type="dxa"/>
            <w:vAlign w:val="top"/>
          </w:tcPr>
          <w:p w14:paraId="2FD52BC5">
            <w:pPr>
              <w:rPr>
                <w:rFonts w:ascii="Arial"/>
                <w:sz w:val="21"/>
              </w:rPr>
            </w:pPr>
          </w:p>
        </w:tc>
        <w:tc>
          <w:tcPr>
            <w:tcW w:w="2061" w:type="dxa"/>
            <w:vAlign w:val="top"/>
          </w:tcPr>
          <w:p w14:paraId="069AD4ED">
            <w:pPr>
              <w:rPr>
                <w:rFonts w:ascii="Arial"/>
                <w:sz w:val="21"/>
              </w:rPr>
            </w:pPr>
          </w:p>
        </w:tc>
      </w:tr>
      <w:tr w14:paraId="0A19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256" w:type="dxa"/>
            <w:vAlign w:val="top"/>
          </w:tcPr>
          <w:p w14:paraId="05F1C70B">
            <w:pPr>
              <w:rPr>
                <w:rFonts w:ascii="Arial"/>
                <w:sz w:val="21"/>
              </w:rPr>
            </w:pPr>
          </w:p>
        </w:tc>
        <w:tc>
          <w:tcPr>
            <w:tcW w:w="2054" w:type="dxa"/>
            <w:vAlign w:val="top"/>
          </w:tcPr>
          <w:p w14:paraId="4850EBE5">
            <w:pPr>
              <w:rPr>
                <w:rFonts w:ascii="Arial"/>
                <w:sz w:val="21"/>
              </w:rPr>
            </w:pPr>
          </w:p>
        </w:tc>
        <w:tc>
          <w:tcPr>
            <w:tcW w:w="2054" w:type="dxa"/>
            <w:vAlign w:val="top"/>
          </w:tcPr>
          <w:p w14:paraId="0772038E">
            <w:pPr>
              <w:rPr>
                <w:rFonts w:ascii="Arial"/>
                <w:sz w:val="21"/>
              </w:rPr>
            </w:pPr>
          </w:p>
        </w:tc>
        <w:tc>
          <w:tcPr>
            <w:tcW w:w="2061" w:type="dxa"/>
            <w:vAlign w:val="top"/>
          </w:tcPr>
          <w:p w14:paraId="1D1A7F7C">
            <w:pPr>
              <w:rPr>
                <w:rFonts w:ascii="Arial"/>
                <w:sz w:val="21"/>
              </w:rPr>
            </w:pPr>
          </w:p>
        </w:tc>
      </w:tr>
    </w:tbl>
    <w:p w14:paraId="1638AE71">
      <w:pPr>
        <w:pStyle w:val="2"/>
      </w:pPr>
    </w:p>
    <w:p w14:paraId="7BD9D821">
      <w:pPr>
        <w:sectPr>
          <w:footerReference r:id="rId354" w:type="default"/>
          <w:pgSz w:w="11910" w:h="16845"/>
          <w:pgMar w:top="400" w:right="1682" w:bottom="1110" w:left="1786" w:header="0" w:footer="883" w:gutter="0"/>
          <w:cols w:space="720" w:num="1"/>
        </w:sectPr>
      </w:pPr>
    </w:p>
    <w:p w14:paraId="7E6F7342">
      <w:pPr>
        <w:pStyle w:val="2"/>
        <w:spacing w:line="270" w:lineRule="auto"/>
      </w:pPr>
    </w:p>
    <w:p w14:paraId="4AEAE44D">
      <w:pPr>
        <w:pStyle w:val="2"/>
        <w:spacing w:line="271" w:lineRule="auto"/>
      </w:pPr>
    </w:p>
    <w:p w14:paraId="5AD7E066">
      <w:pPr>
        <w:pStyle w:val="2"/>
        <w:spacing w:line="271" w:lineRule="auto"/>
      </w:pPr>
    </w:p>
    <w:p w14:paraId="64CA5921">
      <w:pPr>
        <w:pStyle w:val="2"/>
        <w:spacing w:line="271" w:lineRule="auto"/>
      </w:pPr>
    </w:p>
    <w:p w14:paraId="54E4662D">
      <w:pPr>
        <w:spacing w:before="101" w:line="222" w:lineRule="auto"/>
        <w:ind w:left="32"/>
        <w:outlineLvl w:val="1"/>
        <w:rPr>
          <w:rFonts w:ascii="黑体" w:hAnsi="黑体" w:eastAsia="黑体" w:cs="黑体"/>
          <w:sz w:val="31"/>
          <w:szCs w:val="31"/>
        </w:rPr>
      </w:pPr>
      <w:bookmarkStart w:id="675" w:name="bookmark621"/>
      <w:bookmarkEnd w:id="675"/>
      <w:r>
        <w:rPr>
          <w:rFonts w:ascii="黑体" w:hAnsi="黑体" w:eastAsia="黑体" w:cs="黑体"/>
          <w:spacing w:val="12"/>
          <w:sz w:val="31"/>
          <w:szCs w:val="31"/>
        </w:rPr>
        <w:t>十、投标所需其他资料</w:t>
      </w:r>
    </w:p>
    <w:sectPr>
      <w:footerReference r:id="rId355" w:type="default"/>
      <w:pgSz w:w="11910" w:h="16845"/>
      <w:pgMar w:top="400" w:right="1786" w:bottom="1110" w:left="1786" w:header="0" w:footer="88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C22D">
    <w:pPr>
      <w:spacing w:line="237" w:lineRule="auto"/>
      <w:ind w:left="434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A08CC">
    <w:pPr>
      <w:spacing w:line="237" w:lineRule="auto"/>
      <w:ind w:left="4326"/>
      <w:rPr>
        <w:rFonts w:ascii="Calibri" w:hAnsi="Calibri" w:eastAsia="Calibri" w:cs="Calibri"/>
        <w:sz w:val="18"/>
        <w:szCs w:val="18"/>
      </w:rPr>
    </w:pPr>
    <w:r>
      <w:rPr>
        <w:rFonts w:ascii="Calibri" w:hAnsi="Calibri" w:eastAsia="Calibri" w:cs="Calibri"/>
        <w:spacing w:val="-4"/>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698F5">
    <w:pPr>
      <w:spacing w:line="237" w:lineRule="auto"/>
      <w:ind w:left="4296"/>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AB93A">
    <w:pPr>
      <w:spacing w:line="166" w:lineRule="auto"/>
      <w:ind w:left="4296"/>
      <w:rPr>
        <w:rFonts w:ascii="Calibri" w:hAnsi="Calibri" w:eastAsia="Calibri" w:cs="Calibri"/>
        <w:sz w:val="18"/>
        <w:szCs w:val="18"/>
      </w:rPr>
    </w:pPr>
    <w:r>
      <w:rPr>
        <w:rFonts w:ascii="Calibri" w:hAnsi="Calibri" w:eastAsia="Calibri" w:cs="Calibri"/>
        <w:spacing w:val="-1"/>
        <w:sz w:val="18"/>
        <w:szCs w:val="18"/>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936E8">
    <w:pPr>
      <w:spacing w:line="166" w:lineRule="auto"/>
      <w:ind w:left="4299"/>
      <w:rPr>
        <w:rFonts w:ascii="Calibri" w:hAnsi="Calibri" w:eastAsia="Calibri" w:cs="Calibri"/>
        <w:sz w:val="18"/>
        <w:szCs w:val="18"/>
      </w:rPr>
    </w:pPr>
    <w:r>
      <w:rPr>
        <w:rFonts w:ascii="Calibri" w:hAnsi="Calibri" w:eastAsia="Calibri" w:cs="Calibri"/>
        <w:sz w:val="18"/>
        <w:szCs w:val="18"/>
      </w:rPr>
      <w:t>V</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58B7E">
    <w:pPr>
      <w:spacing w:line="166" w:lineRule="auto"/>
      <w:ind w:left="4284"/>
      <w:rPr>
        <w:rFonts w:ascii="Calibri" w:hAnsi="Calibri" w:eastAsia="Calibri" w:cs="Calibri"/>
        <w:sz w:val="18"/>
        <w:szCs w:val="18"/>
      </w:rPr>
    </w:pPr>
    <w:r>
      <w:rPr>
        <w:rFonts w:ascii="Calibri" w:hAnsi="Calibri" w:eastAsia="Calibri" w:cs="Calibri"/>
        <w:spacing w:val="-1"/>
        <w:sz w:val="18"/>
        <w:szCs w:val="18"/>
      </w:rPr>
      <w:t>VI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57AC2">
    <w:pPr>
      <w:spacing w:line="166" w:lineRule="auto"/>
      <w:ind w:left="4254"/>
      <w:rPr>
        <w:rFonts w:ascii="Calibri" w:hAnsi="Calibri" w:eastAsia="Calibri" w:cs="Calibri"/>
        <w:sz w:val="18"/>
        <w:szCs w:val="18"/>
      </w:rPr>
    </w:pPr>
    <w:r>
      <w:rPr>
        <w:rFonts w:ascii="Calibri" w:hAnsi="Calibri" w:eastAsia="Calibri" w:cs="Calibri"/>
        <w:spacing w:val="-1"/>
        <w:sz w:val="18"/>
        <w:szCs w:val="18"/>
      </w:rPr>
      <w:t>VII</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2779D">
    <w:pPr>
      <w:spacing w:line="166" w:lineRule="auto"/>
      <w:ind w:left="4239"/>
      <w:rPr>
        <w:rFonts w:ascii="Calibri" w:hAnsi="Calibri" w:eastAsia="Calibri" w:cs="Calibri"/>
        <w:sz w:val="18"/>
        <w:szCs w:val="18"/>
      </w:rPr>
    </w:pPr>
    <w:r>
      <w:rPr>
        <w:rFonts w:ascii="Calibri" w:hAnsi="Calibri" w:eastAsia="Calibri" w:cs="Calibri"/>
        <w:spacing w:val="-1"/>
        <w:sz w:val="18"/>
        <w:szCs w:val="18"/>
      </w:rPr>
      <w:t>VIII</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074FA">
    <w:pPr>
      <w:spacing w:line="166" w:lineRule="auto"/>
      <w:ind w:left="4296"/>
      <w:rPr>
        <w:rFonts w:ascii="Calibri" w:hAnsi="Calibri" w:eastAsia="Calibri" w:cs="Calibri"/>
        <w:sz w:val="18"/>
        <w:szCs w:val="18"/>
      </w:rPr>
    </w:pPr>
    <w:r>
      <w:rPr>
        <w:rFonts w:ascii="Calibri" w:hAnsi="Calibri" w:eastAsia="Calibri" w:cs="Calibri"/>
        <w:spacing w:val="-1"/>
        <w:sz w:val="18"/>
        <w:szCs w:val="18"/>
      </w:rPr>
      <w:t>IX</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D463B">
    <w:pPr>
      <w:spacing w:line="166" w:lineRule="auto"/>
      <w:ind w:left="4315"/>
      <w:rPr>
        <w:rFonts w:ascii="Calibri" w:hAnsi="Calibri" w:eastAsia="Calibri" w:cs="Calibri"/>
        <w:sz w:val="18"/>
        <w:szCs w:val="18"/>
      </w:rPr>
    </w:pPr>
    <w:r>
      <w:rPr>
        <w:rFonts w:ascii="Calibri" w:hAnsi="Calibri" w:eastAsia="Calibri" w:cs="Calibri"/>
        <w:sz w:val="18"/>
        <w:szCs w:val="18"/>
      </w:rPr>
      <w:t>X</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3B068">
    <w:pPr>
      <w:spacing w:line="166" w:lineRule="auto"/>
      <w:ind w:left="4285"/>
      <w:rPr>
        <w:rFonts w:ascii="Calibri" w:hAnsi="Calibri" w:eastAsia="Calibri" w:cs="Calibri"/>
        <w:sz w:val="18"/>
        <w:szCs w:val="18"/>
      </w:rPr>
    </w:pPr>
    <w:r>
      <w:rPr>
        <w:rFonts w:ascii="Calibri" w:hAnsi="Calibri" w:eastAsia="Calibri" w:cs="Calibri"/>
        <w:spacing w:val="-3"/>
        <w:sz w:val="18"/>
        <w:szCs w:val="18"/>
      </w:rPr>
      <w:t>XI</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1981E">
    <w:pPr>
      <w:spacing w:line="166" w:lineRule="auto"/>
      <w:ind w:left="4270"/>
      <w:rPr>
        <w:rFonts w:ascii="Calibri" w:hAnsi="Calibri" w:eastAsia="Calibri" w:cs="Calibri"/>
        <w:sz w:val="18"/>
        <w:szCs w:val="18"/>
      </w:rPr>
    </w:pPr>
    <w:r>
      <w:rPr>
        <w:rFonts w:ascii="Calibri" w:hAnsi="Calibri" w:eastAsia="Calibri" w:cs="Calibri"/>
        <w:spacing w:val="-2"/>
        <w:sz w:val="18"/>
        <w:szCs w:val="18"/>
      </w:rPr>
      <w:t>XII</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A04D1">
    <w:pPr>
      <w:spacing w:line="166" w:lineRule="auto"/>
      <w:ind w:left="4240"/>
      <w:rPr>
        <w:rFonts w:ascii="Calibri" w:hAnsi="Calibri" w:eastAsia="Calibri" w:cs="Calibri"/>
        <w:sz w:val="18"/>
        <w:szCs w:val="18"/>
      </w:rPr>
    </w:pPr>
    <w:r>
      <w:rPr>
        <w:rFonts w:ascii="Calibri" w:hAnsi="Calibri" w:eastAsia="Calibri" w:cs="Calibri"/>
        <w:spacing w:val="-2"/>
        <w:sz w:val="18"/>
        <w:szCs w:val="18"/>
      </w:rPr>
      <w:t>XIII</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96E14">
    <w:pPr>
      <w:spacing w:line="166" w:lineRule="auto"/>
      <w:ind w:left="4240"/>
      <w:rPr>
        <w:rFonts w:ascii="Calibri" w:hAnsi="Calibri" w:eastAsia="Calibri" w:cs="Calibri"/>
        <w:sz w:val="18"/>
        <w:szCs w:val="18"/>
      </w:rPr>
    </w:pPr>
    <w:r>
      <w:rPr>
        <w:rFonts w:ascii="Calibri" w:hAnsi="Calibri" w:eastAsia="Calibri" w:cs="Calibri"/>
        <w:spacing w:val="2"/>
        <w:sz w:val="18"/>
        <w:szCs w:val="18"/>
      </w:rPr>
      <w:t>XIV</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F0D0C">
    <w:pPr>
      <w:spacing w:line="166" w:lineRule="auto"/>
      <w:ind w:left="4255"/>
      <w:rPr>
        <w:rFonts w:ascii="Calibri" w:hAnsi="Calibri" w:eastAsia="Calibri" w:cs="Calibri"/>
        <w:sz w:val="18"/>
        <w:szCs w:val="18"/>
      </w:rPr>
    </w:pPr>
    <w:r>
      <w:rPr>
        <w:rFonts w:ascii="Calibri" w:hAnsi="Calibri" w:eastAsia="Calibri" w:cs="Calibri"/>
        <w:spacing w:val="-2"/>
        <w:sz w:val="18"/>
        <w:szCs w:val="18"/>
      </w:rPr>
      <w:t>XV</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894BC">
    <w:pPr>
      <w:spacing w:line="238" w:lineRule="auto"/>
      <w:ind w:left="4326"/>
      <w:rPr>
        <w:rFonts w:ascii="Calibri" w:hAnsi="Calibri" w:eastAsia="Calibri" w:cs="Calibri"/>
        <w:sz w:val="18"/>
        <w:szCs w:val="18"/>
      </w:rPr>
    </w:pPr>
    <w:r>
      <w:rPr>
        <w:rFonts w:ascii="Calibri" w:hAnsi="Calibri" w:eastAsia="Calibri" w:cs="Calibri"/>
        <w:sz w:val="18"/>
        <w:szCs w:val="18"/>
      </w:rPr>
      <w:t>1</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640B2">
    <w:pPr>
      <w:spacing w:line="236" w:lineRule="auto"/>
      <w:ind w:left="4320"/>
      <w:rPr>
        <w:rFonts w:ascii="Calibri" w:hAnsi="Calibri" w:eastAsia="Calibri" w:cs="Calibri"/>
        <w:sz w:val="18"/>
        <w:szCs w:val="18"/>
      </w:rPr>
    </w:pPr>
    <w:r>
      <w:rPr>
        <w:rFonts w:ascii="Calibri" w:hAnsi="Calibri" w:eastAsia="Calibri" w:cs="Calibri"/>
        <w:sz w:val="18"/>
        <w:szCs w:val="18"/>
      </w:rPr>
      <w:t>3</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440F0">
    <w:pPr>
      <w:spacing w:line="237" w:lineRule="auto"/>
      <w:ind w:left="4315"/>
      <w:rPr>
        <w:rFonts w:ascii="Calibri" w:hAnsi="Calibri" w:eastAsia="Calibri" w:cs="Calibri"/>
        <w:sz w:val="18"/>
        <w:szCs w:val="18"/>
      </w:rPr>
    </w:pPr>
    <w:r>
      <w:rPr>
        <w:rFonts w:ascii="Calibri" w:hAnsi="Calibri" w:eastAsia="Calibri" w:cs="Calibri"/>
        <w:sz w:val="18"/>
        <w:szCs w:val="18"/>
      </w:rPr>
      <w:t>4</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A5068">
    <w:pPr>
      <w:spacing w:line="236" w:lineRule="auto"/>
      <w:ind w:left="4320"/>
      <w:rPr>
        <w:rFonts w:ascii="Calibri" w:hAnsi="Calibri" w:eastAsia="Calibri" w:cs="Calibri"/>
        <w:sz w:val="18"/>
        <w:szCs w:val="18"/>
      </w:rPr>
    </w:pPr>
    <w:r>
      <w:rPr>
        <w:rFonts w:ascii="Calibri" w:hAnsi="Calibri" w:eastAsia="Calibri" w:cs="Calibri"/>
        <w:sz w:val="18"/>
        <w:szCs w:val="18"/>
      </w:rPr>
      <w:t>5</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6FCBD">
    <w:pPr>
      <w:spacing w:line="236" w:lineRule="auto"/>
      <w:ind w:left="4320"/>
      <w:rPr>
        <w:rFonts w:ascii="Calibri" w:hAnsi="Calibri" w:eastAsia="Calibri" w:cs="Calibri"/>
        <w:sz w:val="18"/>
        <w:szCs w:val="18"/>
      </w:rPr>
    </w:pPr>
    <w:r>
      <w:rPr>
        <w:rFonts w:ascii="Calibri" w:hAnsi="Calibri" w:eastAsia="Calibri" w:cs="Calibri"/>
        <w:sz w:val="18"/>
        <w:szCs w:val="18"/>
      </w:rPr>
      <w:t>6</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7C62">
    <w:pPr>
      <w:spacing w:line="237" w:lineRule="auto"/>
      <w:ind w:left="4320"/>
      <w:rPr>
        <w:rFonts w:ascii="Calibri" w:hAnsi="Calibri" w:eastAsia="Calibri" w:cs="Calibri"/>
        <w:sz w:val="18"/>
        <w:szCs w:val="18"/>
      </w:rPr>
    </w:pPr>
    <w:r>
      <w:rPr>
        <w:rFonts w:ascii="Calibri" w:hAnsi="Calibri" w:eastAsia="Calibri" w:cs="Calibri"/>
        <w:sz w:val="18"/>
        <w:szCs w:val="18"/>
      </w:rPr>
      <w:t>7</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0F8A9">
    <w:pPr>
      <w:spacing w:line="236" w:lineRule="auto"/>
      <w:ind w:left="4318"/>
      <w:rPr>
        <w:rFonts w:ascii="Calibri" w:hAnsi="Calibri" w:eastAsia="Calibri" w:cs="Calibri"/>
        <w:sz w:val="18"/>
        <w:szCs w:val="18"/>
      </w:rPr>
    </w:pPr>
    <w:r>
      <w:rPr>
        <w:rFonts w:ascii="Calibri" w:hAnsi="Calibri" w:eastAsia="Calibri" w:cs="Calibri"/>
        <w:sz w:val="18"/>
        <w:szCs w:val="18"/>
      </w:rPr>
      <w:t>8</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C1B27">
    <w:pPr>
      <w:spacing w:line="236" w:lineRule="auto"/>
      <w:ind w:left="4318"/>
      <w:rPr>
        <w:rFonts w:ascii="Calibri" w:hAnsi="Calibri" w:eastAsia="Calibri" w:cs="Calibri"/>
        <w:sz w:val="18"/>
        <w:szCs w:val="18"/>
      </w:rPr>
    </w:pPr>
    <w:r>
      <w:rPr>
        <w:rFonts w:ascii="Calibri" w:hAnsi="Calibri" w:eastAsia="Calibri" w:cs="Calibri"/>
        <w:sz w:val="18"/>
        <w:szCs w:val="18"/>
      </w:rPr>
      <w:t>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93518">
    <w:pPr>
      <w:spacing w:line="236" w:lineRule="auto"/>
      <w:ind w:left="4281"/>
      <w:rPr>
        <w:rFonts w:ascii="Calibri" w:hAnsi="Calibri" w:eastAsia="Calibri" w:cs="Calibri"/>
        <w:sz w:val="18"/>
        <w:szCs w:val="18"/>
      </w:rPr>
    </w:pPr>
    <w:r>
      <w:rPr>
        <w:rFonts w:ascii="Calibri" w:hAnsi="Calibri" w:eastAsia="Calibri" w:cs="Calibri"/>
        <w:spacing w:val="-5"/>
        <w:sz w:val="18"/>
        <w:szCs w:val="18"/>
      </w:rPr>
      <w:t>10</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89211">
    <w:pPr>
      <w:spacing w:line="238" w:lineRule="auto"/>
      <w:ind w:left="4281"/>
      <w:rPr>
        <w:rFonts w:ascii="Calibri" w:hAnsi="Calibri" w:eastAsia="Calibri" w:cs="Calibri"/>
        <w:sz w:val="18"/>
        <w:szCs w:val="18"/>
      </w:rPr>
    </w:pPr>
    <w:r>
      <w:rPr>
        <w:rFonts w:ascii="Calibri" w:hAnsi="Calibri" w:eastAsia="Calibri" w:cs="Calibri"/>
        <w:spacing w:val="-5"/>
        <w:sz w:val="18"/>
        <w:szCs w:val="18"/>
      </w:rPr>
      <w:t>11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6065D">
    <w:pPr>
      <w:spacing w:line="238" w:lineRule="auto"/>
      <w:ind w:left="4281"/>
      <w:rPr>
        <w:rFonts w:ascii="Calibri" w:hAnsi="Calibri" w:eastAsia="Calibri" w:cs="Calibri"/>
        <w:sz w:val="18"/>
        <w:szCs w:val="18"/>
      </w:rPr>
    </w:pPr>
    <w:r>
      <w:rPr>
        <w:rFonts w:ascii="Calibri" w:hAnsi="Calibri" w:eastAsia="Calibri" w:cs="Calibri"/>
        <w:spacing w:val="-5"/>
        <w:sz w:val="18"/>
        <w:szCs w:val="18"/>
      </w:rPr>
      <w:t>12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B6A30">
    <w:pPr>
      <w:spacing w:line="236" w:lineRule="auto"/>
      <w:ind w:left="4281"/>
      <w:rPr>
        <w:rFonts w:ascii="Calibri" w:hAnsi="Calibri" w:eastAsia="Calibri" w:cs="Calibri"/>
        <w:sz w:val="18"/>
        <w:szCs w:val="18"/>
      </w:rPr>
    </w:pPr>
    <w:r>
      <w:rPr>
        <w:rFonts w:ascii="Calibri" w:hAnsi="Calibri" w:eastAsia="Calibri" w:cs="Calibri"/>
        <w:spacing w:val="-5"/>
        <w:sz w:val="18"/>
        <w:szCs w:val="18"/>
      </w:rPr>
      <w:t>13</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AD6CD">
    <w:pPr>
      <w:spacing w:line="237" w:lineRule="auto"/>
      <w:ind w:left="4281"/>
      <w:rPr>
        <w:rFonts w:ascii="Calibri" w:hAnsi="Calibri" w:eastAsia="Calibri" w:cs="Calibri"/>
        <w:sz w:val="18"/>
        <w:szCs w:val="18"/>
      </w:rPr>
    </w:pPr>
    <w:r>
      <w:rPr>
        <w:rFonts w:ascii="Calibri" w:hAnsi="Calibri" w:eastAsia="Calibri" w:cs="Calibri"/>
        <w:spacing w:val="-5"/>
        <w:sz w:val="18"/>
        <w:szCs w:val="18"/>
      </w:rPr>
      <w:t>14</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F9BAF">
    <w:pPr>
      <w:spacing w:line="236" w:lineRule="auto"/>
      <w:ind w:left="4281"/>
      <w:rPr>
        <w:rFonts w:ascii="Calibri" w:hAnsi="Calibri" w:eastAsia="Calibri" w:cs="Calibri"/>
        <w:sz w:val="18"/>
        <w:szCs w:val="18"/>
      </w:rPr>
    </w:pPr>
    <w:r>
      <w:rPr>
        <w:rFonts w:ascii="Calibri" w:hAnsi="Calibri" w:eastAsia="Calibri" w:cs="Calibri"/>
        <w:spacing w:val="-5"/>
        <w:sz w:val="18"/>
        <w:szCs w:val="18"/>
      </w:rPr>
      <w:t>15</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9D187">
    <w:pPr>
      <w:spacing w:line="236" w:lineRule="auto"/>
      <w:ind w:left="4281"/>
      <w:rPr>
        <w:rFonts w:ascii="Calibri" w:hAnsi="Calibri" w:eastAsia="Calibri" w:cs="Calibri"/>
        <w:sz w:val="18"/>
        <w:szCs w:val="18"/>
      </w:rPr>
    </w:pPr>
    <w:r>
      <w:rPr>
        <w:rFonts w:ascii="Calibri" w:hAnsi="Calibri" w:eastAsia="Calibri" w:cs="Calibri"/>
        <w:spacing w:val="-5"/>
        <w:sz w:val="18"/>
        <w:szCs w:val="18"/>
      </w:rPr>
      <w:t>16</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27A6D">
    <w:pPr>
      <w:spacing w:line="237" w:lineRule="auto"/>
      <w:ind w:left="4281"/>
      <w:rPr>
        <w:rFonts w:ascii="Calibri" w:hAnsi="Calibri" w:eastAsia="Calibri" w:cs="Calibri"/>
        <w:sz w:val="18"/>
        <w:szCs w:val="18"/>
      </w:rPr>
    </w:pPr>
    <w:r>
      <w:rPr>
        <w:rFonts w:ascii="Calibri" w:hAnsi="Calibri" w:eastAsia="Calibri" w:cs="Calibri"/>
        <w:spacing w:val="-5"/>
        <w:sz w:val="18"/>
        <w:szCs w:val="18"/>
      </w:rPr>
      <w:t>17</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513EB">
    <w:pPr>
      <w:spacing w:line="236" w:lineRule="auto"/>
      <w:ind w:left="4281"/>
      <w:rPr>
        <w:rFonts w:ascii="Calibri" w:hAnsi="Calibri" w:eastAsia="Calibri" w:cs="Calibri"/>
        <w:sz w:val="18"/>
        <w:szCs w:val="18"/>
      </w:rPr>
    </w:pPr>
    <w:r>
      <w:rPr>
        <w:rFonts w:ascii="Calibri" w:hAnsi="Calibri" w:eastAsia="Calibri" w:cs="Calibri"/>
        <w:spacing w:val="-5"/>
        <w:sz w:val="18"/>
        <w:szCs w:val="18"/>
      </w:rPr>
      <w:t>18</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7DE5D">
    <w:pPr>
      <w:spacing w:line="236" w:lineRule="auto"/>
      <w:ind w:left="4281"/>
      <w:rPr>
        <w:rFonts w:ascii="Calibri" w:hAnsi="Calibri" w:eastAsia="Calibri" w:cs="Calibri"/>
        <w:sz w:val="18"/>
        <w:szCs w:val="18"/>
      </w:rPr>
    </w:pPr>
    <w:r>
      <w:rPr>
        <w:rFonts w:ascii="Calibri" w:hAnsi="Calibri" w:eastAsia="Calibri" w:cs="Calibri"/>
        <w:spacing w:val="-5"/>
        <w:sz w:val="18"/>
        <w:szCs w:val="18"/>
      </w:rPr>
      <w:t>19</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12619">
    <w:pPr>
      <w:spacing w:line="236" w:lineRule="auto"/>
      <w:ind w:left="4276"/>
      <w:rPr>
        <w:rFonts w:ascii="Calibri" w:hAnsi="Calibri" w:eastAsia="Calibri" w:cs="Calibri"/>
        <w:sz w:val="18"/>
        <w:szCs w:val="18"/>
      </w:rPr>
    </w:pPr>
    <w:r>
      <w:rPr>
        <w:rFonts w:ascii="Calibri" w:hAnsi="Calibri" w:eastAsia="Calibri" w:cs="Calibri"/>
        <w:spacing w:val="-3"/>
        <w:sz w:val="18"/>
        <w:szCs w:val="18"/>
      </w:rPr>
      <w:t>20</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54AB5">
    <w:pPr>
      <w:spacing w:line="238" w:lineRule="auto"/>
      <w:ind w:left="4276"/>
      <w:rPr>
        <w:rFonts w:ascii="Calibri" w:hAnsi="Calibri" w:eastAsia="Calibri" w:cs="Calibri"/>
        <w:sz w:val="18"/>
        <w:szCs w:val="18"/>
      </w:rPr>
    </w:pPr>
    <w:r>
      <w:rPr>
        <w:rFonts w:ascii="Calibri" w:hAnsi="Calibri" w:eastAsia="Calibri" w:cs="Calibri"/>
        <w:spacing w:val="-3"/>
        <w:sz w:val="18"/>
        <w:szCs w:val="18"/>
      </w:rPr>
      <w:t>21</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D7378">
    <w:pPr>
      <w:spacing w:line="238" w:lineRule="auto"/>
      <w:ind w:left="4276"/>
      <w:rPr>
        <w:rFonts w:ascii="Calibri" w:hAnsi="Calibri" w:eastAsia="Calibri" w:cs="Calibri"/>
        <w:sz w:val="18"/>
        <w:szCs w:val="18"/>
      </w:rPr>
    </w:pPr>
    <w:r>
      <w:rPr>
        <w:rFonts w:ascii="Calibri" w:hAnsi="Calibri" w:eastAsia="Calibri" w:cs="Calibri"/>
        <w:spacing w:val="-3"/>
        <w:sz w:val="18"/>
        <w:szCs w:val="18"/>
      </w:rPr>
      <w:t>22</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FAE20">
    <w:pPr>
      <w:spacing w:line="236" w:lineRule="auto"/>
      <w:ind w:left="4276"/>
      <w:rPr>
        <w:rFonts w:ascii="Calibri" w:hAnsi="Calibri" w:eastAsia="Calibri" w:cs="Calibri"/>
        <w:sz w:val="18"/>
        <w:szCs w:val="18"/>
      </w:rPr>
    </w:pPr>
    <w:r>
      <w:rPr>
        <w:rFonts w:ascii="Calibri" w:hAnsi="Calibri" w:eastAsia="Calibri" w:cs="Calibri"/>
        <w:spacing w:val="-3"/>
        <w:sz w:val="18"/>
        <w:szCs w:val="18"/>
      </w:rPr>
      <w:t>23</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F15EB">
    <w:pPr>
      <w:spacing w:line="237" w:lineRule="auto"/>
      <w:ind w:left="4276"/>
      <w:rPr>
        <w:rFonts w:ascii="Calibri" w:hAnsi="Calibri" w:eastAsia="Calibri" w:cs="Calibri"/>
        <w:sz w:val="18"/>
        <w:szCs w:val="18"/>
      </w:rPr>
    </w:pPr>
    <w:r>
      <w:rPr>
        <w:rFonts w:ascii="Calibri" w:hAnsi="Calibri" w:eastAsia="Calibri" w:cs="Calibri"/>
        <w:spacing w:val="-3"/>
        <w:sz w:val="18"/>
        <w:szCs w:val="18"/>
      </w:rPr>
      <w:t>24</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4233D">
    <w:pPr>
      <w:spacing w:line="236" w:lineRule="auto"/>
      <w:ind w:left="4276"/>
      <w:rPr>
        <w:rFonts w:ascii="Calibri" w:hAnsi="Calibri" w:eastAsia="Calibri" w:cs="Calibri"/>
        <w:sz w:val="18"/>
        <w:szCs w:val="18"/>
      </w:rPr>
    </w:pPr>
    <w:r>
      <w:rPr>
        <w:rFonts w:ascii="Calibri" w:hAnsi="Calibri" w:eastAsia="Calibri" w:cs="Calibri"/>
        <w:spacing w:val="-3"/>
        <w:sz w:val="18"/>
        <w:szCs w:val="18"/>
      </w:rPr>
      <w:t>25</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5281A">
    <w:pPr>
      <w:spacing w:line="236" w:lineRule="auto"/>
      <w:ind w:left="4276"/>
      <w:rPr>
        <w:rFonts w:ascii="Calibri" w:hAnsi="Calibri" w:eastAsia="Calibri" w:cs="Calibri"/>
        <w:sz w:val="18"/>
        <w:szCs w:val="18"/>
      </w:rPr>
    </w:pPr>
    <w:r>
      <w:rPr>
        <w:rFonts w:ascii="Calibri" w:hAnsi="Calibri" w:eastAsia="Calibri" w:cs="Calibri"/>
        <w:spacing w:val="-3"/>
        <w:sz w:val="18"/>
        <w:szCs w:val="18"/>
      </w:rPr>
      <w:t>26</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5027D">
    <w:pPr>
      <w:spacing w:line="237" w:lineRule="auto"/>
      <w:ind w:left="4276"/>
      <w:rPr>
        <w:rFonts w:ascii="Calibri" w:hAnsi="Calibri" w:eastAsia="Calibri" w:cs="Calibri"/>
        <w:sz w:val="18"/>
        <w:szCs w:val="18"/>
      </w:rPr>
    </w:pPr>
    <w:r>
      <w:rPr>
        <w:rFonts w:ascii="Calibri" w:hAnsi="Calibri" w:eastAsia="Calibri" w:cs="Calibri"/>
        <w:spacing w:val="-3"/>
        <w:sz w:val="18"/>
        <w:szCs w:val="18"/>
      </w:rPr>
      <w:t>27</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6B932">
    <w:pPr>
      <w:spacing w:line="236" w:lineRule="auto"/>
      <w:ind w:left="4276"/>
      <w:rPr>
        <w:rFonts w:ascii="Calibri" w:hAnsi="Calibri" w:eastAsia="Calibri" w:cs="Calibri"/>
        <w:sz w:val="18"/>
        <w:szCs w:val="18"/>
      </w:rPr>
    </w:pPr>
    <w:r>
      <w:rPr>
        <w:rFonts w:ascii="Calibri" w:hAnsi="Calibri" w:eastAsia="Calibri" w:cs="Calibri"/>
        <w:spacing w:val="-3"/>
        <w:sz w:val="18"/>
        <w:szCs w:val="18"/>
      </w:rPr>
      <w:t>28</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0E674">
    <w:pPr>
      <w:spacing w:line="236" w:lineRule="auto"/>
      <w:ind w:left="4276"/>
      <w:rPr>
        <w:rFonts w:ascii="Calibri" w:hAnsi="Calibri" w:eastAsia="Calibri" w:cs="Calibri"/>
        <w:sz w:val="18"/>
        <w:szCs w:val="18"/>
      </w:rPr>
    </w:pPr>
    <w:r>
      <w:rPr>
        <w:rFonts w:ascii="Calibri" w:hAnsi="Calibri" w:eastAsia="Calibri" w:cs="Calibri"/>
        <w:spacing w:val="-3"/>
        <w:sz w:val="18"/>
        <w:szCs w:val="18"/>
      </w:rPr>
      <w:t>29</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CCF56">
    <w:pPr>
      <w:spacing w:line="236" w:lineRule="auto"/>
      <w:ind w:left="4275"/>
      <w:rPr>
        <w:rFonts w:ascii="Calibri" w:hAnsi="Calibri" w:eastAsia="Calibri" w:cs="Calibri"/>
        <w:sz w:val="18"/>
        <w:szCs w:val="18"/>
      </w:rPr>
    </w:pPr>
    <w:r>
      <w:rPr>
        <w:rFonts w:ascii="Calibri" w:hAnsi="Calibri" w:eastAsia="Calibri" w:cs="Calibri"/>
        <w:spacing w:val="-3"/>
        <w:sz w:val="18"/>
        <w:szCs w:val="18"/>
      </w:rPr>
      <w:t>30</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745AE">
    <w:pPr>
      <w:spacing w:line="236" w:lineRule="auto"/>
      <w:ind w:left="4365"/>
      <w:rPr>
        <w:rFonts w:ascii="Calibri" w:hAnsi="Calibri" w:eastAsia="Calibri" w:cs="Calibri"/>
        <w:sz w:val="18"/>
        <w:szCs w:val="18"/>
      </w:rPr>
    </w:pPr>
    <w:r>
      <w:rPr>
        <w:rFonts w:ascii="Calibri" w:hAnsi="Calibri" w:eastAsia="Calibri" w:cs="Calibri"/>
        <w:spacing w:val="-3"/>
        <w:sz w:val="18"/>
        <w:szCs w:val="18"/>
      </w:rPr>
      <w:t>31</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71B13">
    <w:pPr>
      <w:spacing w:line="236" w:lineRule="auto"/>
      <w:ind w:left="4365"/>
      <w:rPr>
        <w:rFonts w:ascii="Calibri" w:hAnsi="Calibri" w:eastAsia="Calibri" w:cs="Calibri"/>
        <w:sz w:val="18"/>
        <w:szCs w:val="18"/>
      </w:rPr>
    </w:pPr>
    <w:r>
      <w:rPr>
        <w:rFonts w:ascii="Calibri" w:hAnsi="Calibri" w:eastAsia="Calibri" w:cs="Calibri"/>
        <w:spacing w:val="-3"/>
        <w:sz w:val="18"/>
        <w:szCs w:val="18"/>
      </w:rPr>
      <w:t>32</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9E96">
    <w:pPr>
      <w:spacing w:line="236" w:lineRule="auto"/>
      <w:ind w:left="4275"/>
      <w:rPr>
        <w:rFonts w:ascii="Calibri" w:hAnsi="Calibri" w:eastAsia="Calibri" w:cs="Calibri"/>
        <w:sz w:val="18"/>
        <w:szCs w:val="18"/>
      </w:rPr>
    </w:pPr>
    <w:r>
      <w:rPr>
        <w:rFonts w:ascii="Calibri" w:hAnsi="Calibri" w:eastAsia="Calibri" w:cs="Calibri"/>
        <w:spacing w:val="-3"/>
        <w:sz w:val="18"/>
        <w:szCs w:val="18"/>
      </w:rPr>
      <w:t>33</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F1FE6">
    <w:pPr>
      <w:spacing w:line="236" w:lineRule="auto"/>
      <w:ind w:left="4275"/>
      <w:rPr>
        <w:rFonts w:ascii="Calibri" w:hAnsi="Calibri" w:eastAsia="Calibri" w:cs="Calibri"/>
        <w:sz w:val="18"/>
        <w:szCs w:val="18"/>
      </w:rPr>
    </w:pPr>
    <w:r>
      <w:rPr>
        <w:rFonts w:ascii="Calibri" w:hAnsi="Calibri" w:eastAsia="Calibri" w:cs="Calibri"/>
        <w:spacing w:val="-3"/>
        <w:sz w:val="18"/>
        <w:szCs w:val="18"/>
      </w:rPr>
      <w:t>34</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85B0A">
    <w:pPr>
      <w:spacing w:line="236" w:lineRule="auto"/>
      <w:ind w:left="4275"/>
      <w:rPr>
        <w:rFonts w:ascii="Calibri" w:hAnsi="Calibri" w:eastAsia="Calibri" w:cs="Calibri"/>
        <w:sz w:val="18"/>
        <w:szCs w:val="18"/>
      </w:rPr>
    </w:pPr>
    <w:r>
      <w:rPr>
        <w:rFonts w:ascii="Calibri" w:hAnsi="Calibri" w:eastAsia="Calibri" w:cs="Calibri"/>
        <w:spacing w:val="-3"/>
        <w:sz w:val="18"/>
        <w:szCs w:val="18"/>
      </w:rPr>
      <w:t>35</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B3F34">
    <w:pPr>
      <w:spacing w:line="236" w:lineRule="auto"/>
      <w:ind w:left="4275"/>
      <w:rPr>
        <w:rFonts w:ascii="Calibri" w:hAnsi="Calibri" w:eastAsia="Calibri" w:cs="Calibri"/>
        <w:sz w:val="18"/>
        <w:szCs w:val="18"/>
      </w:rPr>
    </w:pPr>
    <w:r>
      <w:rPr>
        <w:rFonts w:ascii="Calibri" w:hAnsi="Calibri" w:eastAsia="Calibri" w:cs="Calibri"/>
        <w:spacing w:val="-3"/>
        <w:sz w:val="18"/>
        <w:szCs w:val="18"/>
      </w:rPr>
      <w:t>36</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66C4E">
    <w:pPr>
      <w:spacing w:line="236" w:lineRule="auto"/>
      <w:ind w:left="7125"/>
      <w:rPr>
        <w:rFonts w:ascii="Calibri" w:hAnsi="Calibri" w:eastAsia="Calibri" w:cs="Calibri"/>
        <w:sz w:val="18"/>
        <w:szCs w:val="18"/>
      </w:rPr>
    </w:pPr>
    <w:r>
      <w:rPr>
        <w:rFonts w:ascii="Calibri" w:hAnsi="Calibri" w:eastAsia="Calibri" w:cs="Calibri"/>
        <w:spacing w:val="-3"/>
        <w:sz w:val="18"/>
        <w:szCs w:val="18"/>
      </w:rPr>
      <w:t>37</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91A0D">
    <w:pPr>
      <w:spacing w:line="236" w:lineRule="auto"/>
      <w:ind w:left="4275"/>
      <w:rPr>
        <w:rFonts w:ascii="Calibri" w:hAnsi="Calibri" w:eastAsia="Calibri" w:cs="Calibri"/>
        <w:sz w:val="18"/>
        <w:szCs w:val="18"/>
      </w:rPr>
    </w:pPr>
    <w:r>
      <w:rPr>
        <w:rFonts w:ascii="Calibri" w:hAnsi="Calibri" w:eastAsia="Calibri" w:cs="Calibri"/>
        <w:spacing w:val="-3"/>
        <w:sz w:val="18"/>
        <w:szCs w:val="18"/>
      </w:rPr>
      <w:t>38</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F33E9">
    <w:pPr>
      <w:spacing w:line="236" w:lineRule="auto"/>
      <w:ind w:left="4275"/>
      <w:rPr>
        <w:rFonts w:ascii="Calibri" w:hAnsi="Calibri" w:eastAsia="Calibri" w:cs="Calibri"/>
        <w:sz w:val="18"/>
        <w:szCs w:val="18"/>
      </w:rPr>
    </w:pPr>
    <w:r>
      <w:rPr>
        <w:rFonts w:ascii="Calibri" w:hAnsi="Calibri" w:eastAsia="Calibri" w:cs="Calibri"/>
        <w:spacing w:val="-3"/>
        <w:sz w:val="18"/>
        <w:szCs w:val="18"/>
      </w:rPr>
      <w:t>39</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8302A">
    <w:pPr>
      <w:spacing w:line="236" w:lineRule="auto"/>
      <w:ind w:left="4270"/>
      <w:rPr>
        <w:rFonts w:ascii="Calibri" w:hAnsi="Calibri" w:eastAsia="Calibri" w:cs="Calibri"/>
        <w:sz w:val="18"/>
        <w:szCs w:val="18"/>
      </w:rPr>
    </w:pPr>
    <w:r>
      <w:rPr>
        <w:rFonts w:ascii="Calibri" w:hAnsi="Calibri" w:eastAsia="Calibri" w:cs="Calibri"/>
        <w:spacing w:val="-2"/>
        <w:sz w:val="18"/>
        <w:szCs w:val="18"/>
      </w:rPr>
      <w:t>40</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FD2A8">
    <w:pPr>
      <w:spacing w:line="237" w:lineRule="auto"/>
      <w:ind w:left="4270"/>
      <w:rPr>
        <w:rFonts w:ascii="Calibri" w:hAnsi="Calibri" w:eastAsia="Calibri" w:cs="Calibri"/>
        <w:sz w:val="18"/>
        <w:szCs w:val="18"/>
      </w:rPr>
    </w:pPr>
    <w:r>
      <w:rPr>
        <w:rFonts w:ascii="Calibri" w:hAnsi="Calibri" w:eastAsia="Calibri" w:cs="Calibri"/>
        <w:spacing w:val="-2"/>
        <w:sz w:val="18"/>
        <w:szCs w:val="18"/>
      </w:rPr>
      <w:t>41</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DA0AE">
    <w:pPr>
      <w:spacing w:line="237" w:lineRule="auto"/>
      <w:ind w:left="4270"/>
      <w:rPr>
        <w:rFonts w:ascii="Calibri" w:hAnsi="Calibri" w:eastAsia="Calibri" w:cs="Calibri"/>
        <w:sz w:val="18"/>
        <w:szCs w:val="18"/>
      </w:rPr>
    </w:pPr>
    <w:r>
      <w:rPr>
        <w:rFonts w:ascii="Calibri" w:hAnsi="Calibri" w:eastAsia="Calibri" w:cs="Calibri"/>
        <w:spacing w:val="-2"/>
        <w:sz w:val="18"/>
        <w:szCs w:val="18"/>
      </w:rPr>
      <w:t>42</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91FA5">
    <w:pPr>
      <w:spacing w:line="236" w:lineRule="auto"/>
      <w:ind w:left="4270"/>
      <w:rPr>
        <w:rFonts w:ascii="Calibri" w:hAnsi="Calibri" w:eastAsia="Calibri" w:cs="Calibri"/>
        <w:sz w:val="18"/>
        <w:szCs w:val="18"/>
      </w:rPr>
    </w:pPr>
    <w:r>
      <w:rPr>
        <w:rFonts w:ascii="Calibri" w:hAnsi="Calibri" w:eastAsia="Calibri" w:cs="Calibri"/>
        <w:spacing w:val="-2"/>
        <w:sz w:val="18"/>
        <w:szCs w:val="18"/>
      </w:rPr>
      <w:t>43</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69124">
    <w:pPr>
      <w:spacing w:line="237" w:lineRule="auto"/>
      <w:ind w:left="4270"/>
      <w:rPr>
        <w:rFonts w:ascii="Calibri" w:hAnsi="Calibri" w:eastAsia="Calibri" w:cs="Calibri"/>
        <w:sz w:val="18"/>
        <w:szCs w:val="18"/>
      </w:rPr>
    </w:pPr>
    <w:r>
      <w:rPr>
        <w:rFonts w:ascii="Calibri" w:hAnsi="Calibri" w:eastAsia="Calibri" w:cs="Calibri"/>
        <w:spacing w:val="-2"/>
        <w:sz w:val="18"/>
        <w:szCs w:val="18"/>
      </w:rPr>
      <w:t>44</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73488">
    <w:pPr>
      <w:spacing w:line="236" w:lineRule="auto"/>
      <w:ind w:left="4270"/>
      <w:rPr>
        <w:rFonts w:ascii="Calibri" w:hAnsi="Calibri" w:eastAsia="Calibri" w:cs="Calibri"/>
        <w:sz w:val="18"/>
        <w:szCs w:val="18"/>
      </w:rPr>
    </w:pPr>
    <w:r>
      <w:rPr>
        <w:rFonts w:ascii="Calibri" w:hAnsi="Calibri" w:eastAsia="Calibri" w:cs="Calibri"/>
        <w:spacing w:val="-2"/>
        <w:sz w:val="18"/>
        <w:szCs w:val="18"/>
      </w:rPr>
      <w:t>45</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2FFB3">
    <w:pPr>
      <w:spacing w:line="236" w:lineRule="auto"/>
      <w:ind w:left="4375"/>
      <w:rPr>
        <w:rFonts w:ascii="Calibri" w:hAnsi="Calibri" w:eastAsia="Calibri" w:cs="Calibri"/>
        <w:sz w:val="18"/>
        <w:szCs w:val="18"/>
      </w:rPr>
    </w:pPr>
    <w:r>
      <w:rPr>
        <w:rFonts w:ascii="Calibri" w:hAnsi="Calibri" w:eastAsia="Calibri" w:cs="Calibri"/>
        <w:spacing w:val="-2"/>
        <w:sz w:val="18"/>
        <w:szCs w:val="18"/>
      </w:rPr>
      <w:t>46</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0CF72">
    <w:pPr>
      <w:spacing w:line="237" w:lineRule="auto"/>
      <w:ind w:left="4375"/>
      <w:rPr>
        <w:rFonts w:ascii="Calibri" w:hAnsi="Calibri" w:eastAsia="Calibri" w:cs="Calibri"/>
        <w:sz w:val="18"/>
        <w:szCs w:val="18"/>
      </w:rPr>
    </w:pPr>
    <w:r>
      <w:rPr>
        <w:rFonts w:ascii="Calibri" w:hAnsi="Calibri" w:eastAsia="Calibri" w:cs="Calibri"/>
        <w:spacing w:val="-2"/>
        <w:sz w:val="18"/>
        <w:szCs w:val="18"/>
      </w:rPr>
      <w:t>47</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F8672">
    <w:pPr>
      <w:spacing w:line="236" w:lineRule="auto"/>
      <w:ind w:left="4375"/>
      <w:rPr>
        <w:rFonts w:ascii="Calibri" w:hAnsi="Calibri" w:eastAsia="Calibri" w:cs="Calibri"/>
        <w:sz w:val="18"/>
        <w:szCs w:val="18"/>
      </w:rPr>
    </w:pPr>
    <w:r>
      <w:rPr>
        <w:rFonts w:ascii="Calibri" w:hAnsi="Calibri" w:eastAsia="Calibri" w:cs="Calibri"/>
        <w:spacing w:val="-2"/>
        <w:sz w:val="18"/>
        <w:szCs w:val="18"/>
      </w:rPr>
      <w:t>48</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DC051">
    <w:pPr>
      <w:spacing w:line="236" w:lineRule="auto"/>
      <w:ind w:left="4375"/>
      <w:rPr>
        <w:rFonts w:ascii="Calibri" w:hAnsi="Calibri" w:eastAsia="Calibri" w:cs="Calibri"/>
        <w:sz w:val="18"/>
        <w:szCs w:val="18"/>
      </w:rPr>
    </w:pPr>
    <w:r>
      <w:rPr>
        <w:rFonts w:ascii="Calibri" w:hAnsi="Calibri" w:eastAsia="Calibri" w:cs="Calibri"/>
        <w:spacing w:val="-2"/>
        <w:sz w:val="18"/>
        <w:szCs w:val="18"/>
      </w:rPr>
      <w:t>49</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55329">
    <w:pPr>
      <w:spacing w:line="236" w:lineRule="auto"/>
      <w:ind w:left="4379"/>
      <w:rPr>
        <w:rFonts w:ascii="Calibri" w:hAnsi="Calibri" w:eastAsia="Calibri" w:cs="Calibri"/>
        <w:sz w:val="18"/>
        <w:szCs w:val="18"/>
      </w:rPr>
    </w:pPr>
    <w:r>
      <w:rPr>
        <w:rFonts w:ascii="Calibri" w:hAnsi="Calibri" w:eastAsia="Calibri" w:cs="Calibri"/>
        <w:spacing w:val="-3"/>
        <w:sz w:val="18"/>
        <w:szCs w:val="18"/>
      </w:rPr>
      <w:t>50</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F29DF">
    <w:pPr>
      <w:spacing w:line="236" w:lineRule="auto"/>
      <w:ind w:left="4275"/>
      <w:rPr>
        <w:rFonts w:ascii="Calibri" w:hAnsi="Calibri" w:eastAsia="Calibri" w:cs="Calibri"/>
        <w:sz w:val="18"/>
        <w:szCs w:val="18"/>
      </w:rPr>
    </w:pPr>
    <w:r>
      <w:rPr>
        <w:rFonts w:ascii="Calibri" w:hAnsi="Calibri" w:eastAsia="Calibri" w:cs="Calibri"/>
        <w:spacing w:val="-3"/>
        <w:sz w:val="18"/>
        <w:szCs w:val="18"/>
      </w:rPr>
      <w:t>51</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61171">
    <w:pPr>
      <w:spacing w:line="236" w:lineRule="auto"/>
      <w:ind w:left="4275"/>
      <w:rPr>
        <w:rFonts w:ascii="Calibri" w:hAnsi="Calibri" w:eastAsia="Calibri" w:cs="Calibri"/>
        <w:sz w:val="18"/>
        <w:szCs w:val="18"/>
      </w:rPr>
    </w:pPr>
    <w:r>
      <w:rPr>
        <w:rFonts w:ascii="Calibri" w:hAnsi="Calibri" w:eastAsia="Calibri" w:cs="Calibri"/>
        <w:spacing w:val="-3"/>
        <w:sz w:val="18"/>
        <w:szCs w:val="18"/>
      </w:rPr>
      <w:t>52</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1AE0A">
    <w:pPr>
      <w:spacing w:line="236" w:lineRule="auto"/>
      <w:ind w:left="4275"/>
      <w:rPr>
        <w:rFonts w:ascii="Calibri" w:hAnsi="Calibri" w:eastAsia="Calibri" w:cs="Calibri"/>
        <w:sz w:val="18"/>
        <w:szCs w:val="18"/>
      </w:rPr>
    </w:pPr>
    <w:r>
      <w:rPr>
        <w:rFonts w:ascii="Calibri" w:hAnsi="Calibri" w:eastAsia="Calibri" w:cs="Calibri"/>
        <w:spacing w:val="-3"/>
        <w:sz w:val="18"/>
        <w:szCs w:val="18"/>
      </w:rPr>
      <w:t>53</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9EAE5">
    <w:pPr>
      <w:spacing w:line="236" w:lineRule="auto"/>
      <w:ind w:left="4275"/>
      <w:rPr>
        <w:rFonts w:ascii="Calibri" w:hAnsi="Calibri" w:eastAsia="Calibri" w:cs="Calibri"/>
        <w:sz w:val="18"/>
        <w:szCs w:val="18"/>
      </w:rPr>
    </w:pPr>
    <w:r>
      <w:rPr>
        <w:rFonts w:ascii="Calibri" w:hAnsi="Calibri" w:eastAsia="Calibri" w:cs="Calibri"/>
        <w:spacing w:val="-3"/>
        <w:sz w:val="18"/>
        <w:szCs w:val="18"/>
      </w:rPr>
      <w:t>54</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88DA4">
    <w:pPr>
      <w:spacing w:line="236" w:lineRule="auto"/>
      <w:ind w:left="4275"/>
      <w:rPr>
        <w:rFonts w:ascii="Calibri" w:hAnsi="Calibri" w:eastAsia="Calibri" w:cs="Calibri"/>
        <w:sz w:val="18"/>
        <w:szCs w:val="18"/>
      </w:rPr>
    </w:pPr>
    <w:r>
      <w:rPr>
        <w:rFonts w:ascii="Calibri" w:hAnsi="Calibri" w:eastAsia="Calibri" w:cs="Calibri"/>
        <w:spacing w:val="-3"/>
        <w:sz w:val="18"/>
        <w:szCs w:val="18"/>
      </w:rPr>
      <w:t>55</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98016">
    <w:pPr>
      <w:spacing w:line="236" w:lineRule="auto"/>
      <w:ind w:left="4275"/>
      <w:rPr>
        <w:rFonts w:ascii="Calibri" w:hAnsi="Calibri" w:eastAsia="Calibri" w:cs="Calibri"/>
        <w:sz w:val="18"/>
        <w:szCs w:val="18"/>
      </w:rPr>
    </w:pPr>
    <w:r>
      <w:rPr>
        <w:rFonts w:ascii="Calibri" w:hAnsi="Calibri" w:eastAsia="Calibri" w:cs="Calibri"/>
        <w:spacing w:val="-3"/>
        <w:sz w:val="18"/>
        <w:szCs w:val="18"/>
      </w:rPr>
      <w:t>56</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D34BD">
    <w:pPr>
      <w:spacing w:line="236" w:lineRule="auto"/>
      <w:ind w:left="4275"/>
      <w:rPr>
        <w:rFonts w:ascii="Calibri" w:hAnsi="Calibri" w:eastAsia="Calibri" w:cs="Calibri"/>
        <w:sz w:val="18"/>
        <w:szCs w:val="18"/>
      </w:rPr>
    </w:pPr>
    <w:r>
      <w:rPr>
        <w:rFonts w:ascii="Calibri" w:hAnsi="Calibri" w:eastAsia="Calibri" w:cs="Calibri"/>
        <w:spacing w:val="-3"/>
        <w:sz w:val="18"/>
        <w:szCs w:val="18"/>
      </w:rPr>
      <w:t>57</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B25F2">
    <w:pPr>
      <w:spacing w:line="236" w:lineRule="auto"/>
      <w:ind w:left="4275"/>
      <w:rPr>
        <w:rFonts w:ascii="Calibri" w:hAnsi="Calibri" w:eastAsia="Calibri" w:cs="Calibri"/>
        <w:sz w:val="18"/>
        <w:szCs w:val="18"/>
      </w:rPr>
    </w:pPr>
    <w:r>
      <w:rPr>
        <w:rFonts w:ascii="Calibri" w:hAnsi="Calibri" w:eastAsia="Calibri" w:cs="Calibri"/>
        <w:spacing w:val="-3"/>
        <w:sz w:val="18"/>
        <w:szCs w:val="18"/>
      </w:rPr>
      <w:t>58</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C1F5F">
    <w:pPr>
      <w:spacing w:line="236" w:lineRule="auto"/>
      <w:ind w:left="4275"/>
      <w:rPr>
        <w:rFonts w:ascii="Calibri" w:hAnsi="Calibri" w:eastAsia="Calibri" w:cs="Calibri"/>
        <w:sz w:val="18"/>
        <w:szCs w:val="18"/>
      </w:rPr>
    </w:pPr>
    <w:r>
      <w:rPr>
        <w:rFonts w:ascii="Calibri" w:hAnsi="Calibri" w:eastAsia="Calibri" w:cs="Calibri"/>
        <w:spacing w:val="-3"/>
        <w:sz w:val="18"/>
        <w:szCs w:val="18"/>
      </w:rPr>
      <w:t>59</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19D25">
    <w:pPr>
      <w:spacing w:line="236" w:lineRule="auto"/>
      <w:ind w:left="4275"/>
      <w:rPr>
        <w:rFonts w:ascii="Calibri" w:hAnsi="Calibri" w:eastAsia="Calibri" w:cs="Calibri"/>
        <w:sz w:val="18"/>
        <w:szCs w:val="18"/>
      </w:rPr>
    </w:pPr>
    <w:r>
      <w:rPr>
        <w:rFonts w:ascii="Calibri" w:hAnsi="Calibri" w:eastAsia="Calibri" w:cs="Calibri"/>
        <w:spacing w:val="-3"/>
        <w:sz w:val="18"/>
        <w:szCs w:val="18"/>
      </w:rPr>
      <w:t>60</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2D5B5">
    <w:pPr>
      <w:spacing w:line="236" w:lineRule="auto"/>
      <w:ind w:left="4275"/>
      <w:rPr>
        <w:rFonts w:ascii="Calibri" w:hAnsi="Calibri" w:eastAsia="Calibri" w:cs="Calibri"/>
        <w:sz w:val="18"/>
        <w:szCs w:val="18"/>
      </w:rPr>
    </w:pPr>
    <w:r>
      <w:rPr>
        <w:rFonts w:ascii="Calibri" w:hAnsi="Calibri" w:eastAsia="Calibri" w:cs="Calibri"/>
        <w:spacing w:val="-3"/>
        <w:sz w:val="18"/>
        <w:szCs w:val="18"/>
      </w:rPr>
      <w:t>61</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EF21D">
    <w:pPr>
      <w:spacing w:line="236" w:lineRule="auto"/>
      <w:ind w:left="4275"/>
      <w:rPr>
        <w:rFonts w:ascii="Calibri" w:hAnsi="Calibri" w:eastAsia="Calibri" w:cs="Calibri"/>
        <w:sz w:val="18"/>
        <w:szCs w:val="18"/>
      </w:rPr>
    </w:pPr>
    <w:r>
      <w:rPr>
        <w:rFonts w:ascii="Calibri" w:hAnsi="Calibri" w:eastAsia="Calibri" w:cs="Calibri"/>
        <w:spacing w:val="-3"/>
        <w:sz w:val="18"/>
        <w:szCs w:val="18"/>
      </w:rPr>
      <w:t>62</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705BC">
    <w:pPr>
      <w:spacing w:line="236" w:lineRule="auto"/>
      <w:ind w:left="4275"/>
      <w:rPr>
        <w:rFonts w:ascii="Calibri" w:hAnsi="Calibri" w:eastAsia="Calibri" w:cs="Calibri"/>
        <w:sz w:val="18"/>
        <w:szCs w:val="18"/>
      </w:rPr>
    </w:pPr>
    <w:r>
      <w:rPr>
        <w:rFonts w:ascii="Calibri" w:hAnsi="Calibri" w:eastAsia="Calibri" w:cs="Calibri"/>
        <w:spacing w:val="-3"/>
        <w:sz w:val="18"/>
        <w:szCs w:val="18"/>
      </w:rPr>
      <w:t>63</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474E0">
    <w:pPr>
      <w:spacing w:line="236" w:lineRule="auto"/>
      <w:ind w:left="4275"/>
      <w:rPr>
        <w:rFonts w:ascii="Calibri" w:hAnsi="Calibri" w:eastAsia="Calibri" w:cs="Calibri"/>
        <w:sz w:val="18"/>
        <w:szCs w:val="18"/>
      </w:rPr>
    </w:pPr>
    <w:r>
      <w:rPr>
        <w:rFonts w:ascii="Calibri" w:hAnsi="Calibri" w:eastAsia="Calibri" w:cs="Calibri"/>
        <w:spacing w:val="-3"/>
        <w:sz w:val="18"/>
        <w:szCs w:val="18"/>
      </w:rPr>
      <w:t>64</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72A4E">
    <w:pPr>
      <w:spacing w:line="236" w:lineRule="auto"/>
      <w:ind w:left="4275"/>
      <w:rPr>
        <w:rFonts w:ascii="Calibri" w:hAnsi="Calibri" w:eastAsia="Calibri" w:cs="Calibri"/>
        <w:sz w:val="18"/>
        <w:szCs w:val="18"/>
      </w:rPr>
    </w:pPr>
    <w:r>
      <w:rPr>
        <w:rFonts w:ascii="Calibri" w:hAnsi="Calibri" w:eastAsia="Calibri" w:cs="Calibri"/>
        <w:spacing w:val="-3"/>
        <w:sz w:val="18"/>
        <w:szCs w:val="18"/>
      </w:rPr>
      <w:t>65</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BC895">
    <w:pPr>
      <w:spacing w:line="236" w:lineRule="auto"/>
      <w:ind w:left="4275"/>
      <w:rPr>
        <w:rFonts w:ascii="Calibri" w:hAnsi="Calibri" w:eastAsia="Calibri" w:cs="Calibri"/>
        <w:sz w:val="18"/>
        <w:szCs w:val="18"/>
      </w:rPr>
    </w:pPr>
    <w:r>
      <w:rPr>
        <w:rFonts w:ascii="Calibri" w:hAnsi="Calibri" w:eastAsia="Calibri" w:cs="Calibri"/>
        <w:spacing w:val="-3"/>
        <w:sz w:val="18"/>
        <w:szCs w:val="18"/>
      </w:rPr>
      <w:t>66</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1A506">
    <w:pPr>
      <w:spacing w:line="236" w:lineRule="auto"/>
      <w:ind w:left="4275"/>
      <w:rPr>
        <w:rFonts w:ascii="Calibri" w:hAnsi="Calibri" w:eastAsia="Calibri" w:cs="Calibri"/>
        <w:sz w:val="18"/>
        <w:szCs w:val="18"/>
      </w:rPr>
    </w:pPr>
    <w:r>
      <w:rPr>
        <w:rFonts w:ascii="Calibri" w:hAnsi="Calibri" w:eastAsia="Calibri" w:cs="Calibri"/>
        <w:spacing w:val="-3"/>
        <w:sz w:val="18"/>
        <w:szCs w:val="18"/>
      </w:rPr>
      <w:t>67</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2614F">
    <w:pPr>
      <w:spacing w:line="236" w:lineRule="auto"/>
      <w:ind w:left="4275"/>
      <w:rPr>
        <w:rFonts w:ascii="Calibri" w:hAnsi="Calibri" w:eastAsia="Calibri" w:cs="Calibri"/>
        <w:sz w:val="18"/>
        <w:szCs w:val="18"/>
      </w:rPr>
    </w:pPr>
    <w:r>
      <w:rPr>
        <w:rFonts w:ascii="Calibri" w:hAnsi="Calibri" w:eastAsia="Calibri" w:cs="Calibri"/>
        <w:spacing w:val="-3"/>
        <w:sz w:val="18"/>
        <w:szCs w:val="18"/>
      </w:rPr>
      <w:t>68</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7CF7B">
    <w:pPr>
      <w:spacing w:line="236" w:lineRule="auto"/>
      <w:ind w:left="4275"/>
      <w:rPr>
        <w:rFonts w:ascii="Calibri" w:hAnsi="Calibri" w:eastAsia="Calibri" w:cs="Calibri"/>
        <w:sz w:val="18"/>
        <w:szCs w:val="18"/>
      </w:rPr>
    </w:pPr>
    <w:r>
      <w:rPr>
        <w:rFonts w:ascii="Calibri" w:hAnsi="Calibri" w:eastAsia="Calibri" w:cs="Calibri"/>
        <w:spacing w:val="-3"/>
        <w:sz w:val="18"/>
        <w:szCs w:val="18"/>
      </w:rPr>
      <w:t>69</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EF84E">
    <w:pPr>
      <w:spacing w:line="236" w:lineRule="auto"/>
      <w:ind w:left="4275"/>
      <w:rPr>
        <w:rFonts w:ascii="Calibri" w:hAnsi="Calibri" w:eastAsia="Calibri" w:cs="Calibri"/>
        <w:sz w:val="18"/>
        <w:szCs w:val="18"/>
      </w:rPr>
    </w:pPr>
    <w:r>
      <w:rPr>
        <w:rFonts w:ascii="Calibri" w:hAnsi="Calibri" w:eastAsia="Calibri" w:cs="Calibri"/>
        <w:spacing w:val="-3"/>
        <w:sz w:val="18"/>
        <w:szCs w:val="18"/>
      </w:rPr>
      <w:t>70</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7D04B">
    <w:pPr>
      <w:spacing w:line="237" w:lineRule="auto"/>
      <w:ind w:left="4275"/>
      <w:rPr>
        <w:rFonts w:ascii="Calibri" w:hAnsi="Calibri" w:eastAsia="Calibri" w:cs="Calibri"/>
        <w:sz w:val="18"/>
        <w:szCs w:val="18"/>
      </w:rPr>
    </w:pPr>
    <w:r>
      <w:rPr>
        <w:rFonts w:ascii="Calibri" w:hAnsi="Calibri" w:eastAsia="Calibri" w:cs="Calibri"/>
        <w:spacing w:val="-3"/>
        <w:sz w:val="18"/>
        <w:szCs w:val="18"/>
      </w:rPr>
      <w:t>71</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054B7">
    <w:pPr>
      <w:spacing w:line="237" w:lineRule="auto"/>
      <w:ind w:left="4275"/>
      <w:rPr>
        <w:rFonts w:ascii="Calibri" w:hAnsi="Calibri" w:eastAsia="Calibri" w:cs="Calibri"/>
        <w:sz w:val="18"/>
        <w:szCs w:val="18"/>
      </w:rPr>
    </w:pPr>
    <w:r>
      <w:rPr>
        <w:rFonts w:ascii="Calibri" w:hAnsi="Calibri" w:eastAsia="Calibri" w:cs="Calibri"/>
        <w:spacing w:val="-3"/>
        <w:sz w:val="18"/>
        <w:szCs w:val="18"/>
      </w:rPr>
      <w:t>72</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A8CA8">
    <w:pPr>
      <w:spacing w:line="236" w:lineRule="auto"/>
      <w:ind w:left="4275"/>
      <w:rPr>
        <w:rFonts w:ascii="Calibri" w:hAnsi="Calibri" w:eastAsia="Calibri" w:cs="Calibri"/>
        <w:sz w:val="18"/>
        <w:szCs w:val="18"/>
      </w:rPr>
    </w:pPr>
    <w:r>
      <w:rPr>
        <w:rFonts w:ascii="Calibri" w:hAnsi="Calibri" w:eastAsia="Calibri" w:cs="Calibri"/>
        <w:spacing w:val="-3"/>
        <w:sz w:val="18"/>
        <w:szCs w:val="18"/>
      </w:rPr>
      <w:t>73</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5C08A">
    <w:pPr>
      <w:spacing w:line="237" w:lineRule="auto"/>
      <w:ind w:left="4275"/>
      <w:rPr>
        <w:rFonts w:ascii="Calibri" w:hAnsi="Calibri" w:eastAsia="Calibri" w:cs="Calibri"/>
        <w:sz w:val="18"/>
        <w:szCs w:val="18"/>
      </w:rPr>
    </w:pPr>
    <w:r>
      <w:rPr>
        <w:rFonts w:ascii="Calibri" w:hAnsi="Calibri" w:eastAsia="Calibri" w:cs="Calibri"/>
        <w:spacing w:val="-3"/>
        <w:sz w:val="18"/>
        <w:szCs w:val="18"/>
      </w:rPr>
      <w:t>74</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FFE00">
    <w:pPr>
      <w:spacing w:line="236" w:lineRule="auto"/>
      <w:ind w:left="4275"/>
      <w:rPr>
        <w:rFonts w:ascii="Calibri" w:hAnsi="Calibri" w:eastAsia="Calibri" w:cs="Calibri"/>
        <w:sz w:val="18"/>
        <w:szCs w:val="18"/>
      </w:rPr>
    </w:pPr>
    <w:r>
      <w:rPr>
        <w:rFonts w:ascii="Calibri" w:hAnsi="Calibri" w:eastAsia="Calibri" w:cs="Calibri"/>
        <w:spacing w:val="-3"/>
        <w:sz w:val="18"/>
        <w:szCs w:val="18"/>
      </w:rPr>
      <w:t>75</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D45A0">
    <w:pPr>
      <w:spacing w:line="236" w:lineRule="auto"/>
      <w:ind w:left="4275"/>
      <w:rPr>
        <w:rFonts w:ascii="Calibri" w:hAnsi="Calibri" w:eastAsia="Calibri" w:cs="Calibri"/>
        <w:sz w:val="18"/>
        <w:szCs w:val="18"/>
      </w:rPr>
    </w:pPr>
    <w:r>
      <w:rPr>
        <w:rFonts w:ascii="Calibri" w:hAnsi="Calibri" w:eastAsia="Calibri" w:cs="Calibri"/>
        <w:spacing w:val="-3"/>
        <w:sz w:val="18"/>
        <w:szCs w:val="18"/>
      </w:rPr>
      <w:t>76</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D8370">
    <w:pPr>
      <w:spacing w:line="237" w:lineRule="auto"/>
      <w:ind w:left="4275"/>
      <w:rPr>
        <w:rFonts w:ascii="Calibri" w:hAnsi="Calibri" w:eastAsia="Calibri" w:cs="Calibri"/>
        <w:sz w:val="18"/>
        <w:szCs w:val="18"/>
      </w:rPr>
    </w:pPr>
    <w:r>
      <w:rPr>
        <w:rFonts w:ascii="Calibri" w:hAnsi="Calibri" w:eastAsia="Calibri" w:cs="Calibri"/>
        <w:spacing w:val="-3"/>
        <w:sz w:val="18"/>
        <w:szCs w:val="18"/>
      </w:rPr>
      <w:t>77</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1CBE2">
    <w:pPr>
      <w:spacing w:line="236" w:lineRule="auto"/>
      <w:ind w:left="4275"/>
      <w:rPr>
        <w:rFonts w:ascii="Calibri" w:hAnsi="Calibri" w:eastAsia="Calibri" w:cs="Calibri"/>
        <w:sz w:val="18"/>
        <w:szCs w:val="18"/>
      </w:rPr>
    </w:pPr>
    <w:r>
      <w:rPr>
        <w:rFonts w:ascii="Calibri" w:hAnsi="Calibri" w:eastAsia="Calibri" w:cs="Calibri"/>
        <w:spacing w:val="-3"/>
        <w:sz w:val="18"/>
        <w:szCs w:val="18"/>
      </w:rPr>
      <w:t>78</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FD8C6">
    <w:pPr>
      <w:spacing w:line="236" w:lineRule="auto"/>
      <w:ind w:left="4275"/>
      <w:rPr>
        <w:rFonts w:ascii="Calibri" w:hAnsi="Calibri" w:eastAsia="Calibri" w:cs="Calibri"/>
        <w:sz w:val="18"/>
        <w:szCs w:val="18"/>
      </w:rPr>
    </w:pPr>
    <w:r>
      <w:rPr>
        <w:rFonts w:ascii="Calibri" w:hAnsi="Calibri" w:eastAsia="Calibri" w:cs="Calibri"/>
        <w:spacing w:val="-3"/>
        <w:sz w:val="18"/>
        <w:szCs w:val="18"/>
      </w:rPr>
      <w:t>79</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CEED7">
    <w:pPr>
      <w:spacing w:line="236" w:lineRule="auto"/>
      <w:ind w:left="4273"/>
      <w:rPr>
        <w:rFonts w:ascii="Calibri" w:hAnsi="Calibri" w:eastAsia="Calibri" w:cs="Calibri"/>
        <w:sz w:val="18"/>
        <w:szCs w:val="18"/>
      </w:rPr>
    </w:pPr>
    <w:r>
      <w:rPr>
        <w:rFonts w:ascii="Calibri" w:hAnsi="Calibri" w:eastAsia="Calibri" w:cs="Calibri"/>
        <w:spacing w:val="-3"/>
        <w:sz w:val="18"/>
        <w:szCs w:val="18"/>
      </w:rPr>
      <w:t>80</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3F1FF">
    <w:pPr>
      <w:spacing w:line="236" w:lineRule="auto"/>
      <w:ind w:left="4273"/>
      <w:rPr>
        <w:rFonts w:ascii="Calibri" w:hAnsi="Calibri" w:eastAsia="Calibri" w:cs="Calibri"/>
        <w:sz w:val="18"/>
        <w:szCs w:val="18"/>
      </w:rPr>
    </w:pPr>
    <w:r>
      <w:rPr>
        <w:rFonts w:ascii="Calibri" w:hAnsi="Calibri" w:eastAsia="Calibri" w:cs="Calibri"/>
        <w:spacing w:val="-3"/>
        <w:sz w:val="18"/>
        <w:szCs w:val="18"/>
      </w:rPr>
      <w:t>81</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23C51">
    <w:pPr>
      <w:spacing w:line="236" w:lineRule="auto"/>
      <w:ind w:left="4273"/>
      <w:rPr>
        <w:rFonts w:ascii="Calibri" w:hAnsi="Calibri" w:eastAsia="Calibri" w:cs="Calibri"/>
        <w:sz w:val="18"/>
        <w:szCs w:val="18"/>
      </w:rPr>
    </w:pPr>
    <w:r>
      <w:rPr>
        <w:rFonts w:ascii="Calibri" w:hAnsi="Calibri" w:eastAsia="Calibri" w:cs="Calibri"/>
        <w:spacing w:val="-4"/>
        <w:sz w:val="18"/>
        <w:szCs w:val="18"/>
      </w:rPr>
      <w:t>82</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87C7">
    <w:pPr>
      <w:spacing w:line="236" w:lineRule="auto"/>
      <w:ind w:left="4273"/>
      <w:rPr>
        <w:rFonts w:ascii="Calibri" w:hAnsi="Calibri" w:eastAsia="Calibri" w:cs="Calibri"/>
        <w:sz w:val="18"/>
        <w:szCs w:val="18"/>
      </w:rPr>
    </w:pPr>
    <w:r>
      <w:rPr>
        <w:rFonts w:ascii="Calibri" w:hAnsi="Calibri" w:eastAsia="Calibri" w:cs="Calibri"/>
        <w:spacing w:val="-3"/>
        <w:sz w:val="18"/>
        <w:szCs w:val="18"/>
      </w:rPr>
      <w:t>83</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23BE8">
    <w:pPr>
      <w:spacing w:line="236" w:lineRule="auto"/>
      <w:ind w:left="4273"/>
      <w:rPr>
        <w:rFonts w:ascii="Calibri" w:hAnsi="Calibri" w:eastAsia="Calibri" w:cs="Calibri"/>
        <w:sz w:val="18"/>
        <w:szCs w:val="18"/>
      </w:rPr>
    </w:pPr>
    <w:r>
      <w:rPr>
        <w:rFonts w:ascii="Calibri" w:hAnsi="Calibri" w:eastAsia="Calibri" w:cs="Calibri"/>
        <w:spacing w:val="-3"/>
        <w:sz w:val="18"/>
        <w:szCs w:val="18"/>
      </w:rPr>
      <w:t>84</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56E9A">
    <w:pPr>
      <w:spacing w:line="236" w:lineRule="auto"/>
      <w:ind w:left="4273"/>
      <w:rPr>
        <w:rFonts w:ascii="Calibri" w:hAnsi="Calibri" w:eastAsia="Calibri" w:cs="Calibri"/>
        <w:sz w:val="18"/>
        <w:szCs w:val="18"/>
      </w:rPr>
    </w:pPr>
    <w:r>
      <w:rPr>
        <w:rFonts w:ascii="Calibri" w:hAnsi="Calibri" w:eastAsia="Calibri" w:cs="Calibri"/>
        <w:spacing w:val="-3"/>
        <w:sz w:val="18"/>
        <w:szCs w:val="18"/>
      </w:rPr>
      <w:t>85</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0E7EC">
    <w:pPr>
      <w:spacing w:line="236" w:lineRule="auto"/>
      <w:ind w:left="4273"/>
      <w:rPr>
        <w:rFonts w:ascii="Calibri" w:hAnsi="Calibri" w:eastAsia="Calibri" w:cs="Calibri"/>
        <w:sz w:val="18"/>
        <w:szCs w:val="18"/>
      </w:rPr>
    </w:pPr>
    <w:r>
      <w:rPr>
        <w:rFonts w:ascii="Calibri" w:hAnsi="Calibri" w:eastAsia="Calibri" w:cs="Calibri"/>
        <w:spacing w:val="-3"/>
        <w:sz w:val="18"/>
        <w:szCs w:val="18"/>
      </w:rPr>
      <w:t>86</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E3A16">
    <w:pPr>
      <w:spacing w:line="236" w:lineRule="auto"/>
      <w:ind w:left="4273"/>
      <w:rPr>
        <w:rFonts w:ascii="Calibri" w:hAnsi="Calibri" w:eastAsia="Calibri" w:cs="Calibri"/>
        <w:sz w:val="18"/>
        <w:szCs w:val="18"/>
      </w:rPr>
    </w:pPr>
    <w:r>
      <w:rPr>
        <w:rFonts w:ascii="Calibri" w:hAnsi="Calibri" w:eastAsia="Calibri" w:cs="Calibri"/>
        <w:spacing w:val="-3"/>
        <w:sz w:val="18"/>
        <w:szCs w:val="18"/>
      </w:rPr>
      <w:t>87</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4453E">
    <w:pPr>
      <w:spacing w:line="236" w:lineRule="auto"/>
      <w:ind w:left="4273"/>
      <w:rPr>
        <w:rFonts w:ascii="Calibri" w:hAnsi="Calibri" w:eastAsia="Calibri" w:cs="Calibri"/>
        <w:sz w:val="18"/>
        <w:szCs w:val="18"/>
      </w:rPr>
    </w:pPr>
    <w:r>
      <w:rPr>
        <w:rFonts w:ascii="Calibri" w:hAnsi="Calibri" w:eastAsia="Calibri" w:cs="Calibri"/>
        <w:spacing w:val="-3"/>
        <w:sz w:val="18"/>
        <w:szCs w:val="18"/>
      </w:rPr>
      <w:t>88</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C327">
    <w:pPr>
      <w:spacing w:line="236" w:lineRule="auto"/>
      <w:ind w:left="4273"/>
      <w:rPr>
        <w:rFonts w:ascii="Calibri" w:hAnsi="Calibri" w:eastAsia="Calibri" w:cs="Calibri"/>
        <w:sz w:val="18"/>
        <w:szCs w:val="18"/>
      </w:rPr>
    </w:pPr>
    <w:r>
      <w:rPr>
        <w:rFonts w:ascii="Calibri" w:hAnsi="Calibri" w:eastAsia="Calibri" w:cs="Calibri"/>
        <w:spacing w:val="-3"/>
        <w:sz w:val="18"/>
        <w:szCs w:val="18"/>
      </w:rPr>
      <w:t>89</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1CD5F">
    <w:pPr>
      <w:spacing w:line="236" w:lineRule="auto"/>
      <w:ind w:left="4273"/>
      <w:rPr>
        <w:rFonts w:ascii="Calibri" w:hAnsi="Calibri" w:eastAsia="Calibri" w:cs="Calibri"/>
        <w:sz w:val="18"/>
        <w:szCs w:val="18"/>
      </w:rPr>
    </w:pPr>
    <w:r>
      <w:rPr>
        <w:rFonts w:ascii="Calibri" w:hAnsi="Calibri" w:eastAsia="Calibri" w:cs="Calibri"/>
        <w:spacing w:val="-3"/>
        <w:sz w:val="18"/>
        <w:szCs w:val="18"/>
      </w:rPr>
      <w:t>90</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7FCBD">
    <w:pPr>
      <w:spacing w:line="236" w:lineRule="auto"/>
      <w:ind w:left="4273"/>
      <w:rPr>
        <w:rFonts w:ascii="Calibri" w:hAnsi="Calibri" w:eastAsia="Calibri" w:cs="Calibri"/>
        <w:sz w:val="18"/>
        <w:szCs w:val="18"/>
      </w:rPr>
    </w:pPr>
    <w:r>
      <w:rPr>
        <w:rFonts w:ascii="Calibri" w:hAnsi="Calibri" w:eastAsia="Calibri" w:cs="Calibri"/>
        <w:spacing w:val="-3"/>
        <w:sz w:val="18"/>
        <w:szCs w:val="18"/>
      </w:rPr>
      <w:t>91</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18E39">
    <w:pPr>
      <w:spacing w:line="236" w:lineRule="auto"/>
      <w:ind w:left="4273"/>
      <w:rPr>
        <w:rFonts w:ascii="Calibri" w:hAnsi="Calibri" w:eastAsia="Calibri" w:cs="Calibri"/>
        <w:sz w:val="18"/>
        <w:szCs w:val="18"/>
      </w:rPr>
    </w:pPr>
    <w:r>
      <w:rPr>
        <w:rFonts w:ascii="Calibri" w:hAnsi="Calibri" w:eastAsia="Calibri" w:cs="Calibri"/>
        <w:spacing w:val="-3"/>
        <w:sz w:val="18"/>
        <w:szCs w:val="18"/>
      </w:rPr>
      <w:t>92</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D4DE4">
    <w:pPr>
      <w:spacing w:line="236" w:lineRule="auto"/>
      <w:ind w:left="4273"/>
      <w:rPr>
        <w:rFonts w:ascii="Calibri" w:hAnsi="Calibri" w:eastAsia="Calibri" w:cs="Calibri"/>
        <w:sz w:val="18"/>
        <w:szCs w:val="18"/>
      </w:rPr>
    </w:pPr>
    <w:r>
      <w:rPr>
        <w:rFonts w:ascii="Calibri" w:hAnsi="Calibri" w:eastAsia="Calibri" w:cs="Calibri"/>
        <w:spacing w:val="-3"/>
        <w:sz w:val="18"/>
        <w:szCs w:val="18"/>
      </w:rPr>
      <w:t>93</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DA881">
    <w:pPr>
      <w:spacing w:line="236" w:lineRule="auto"/>
      <w:ind w:left="4273"/>
      <w:rPr>
        <w:rFonts w:ascii="Calibri" w:hAnsi="Calibri" w:eastAsia="Calibri" w:cs="Calibri"/>
        <w:sz w:val="18"/>
        <w:szCs w:val="18"/>
      </w:rPr>
    </w:pPr>
    <w:r>
      <w:rPr>
        <w:rFonts w:ascii="Calibri" w:hAnsi="Calibri" w:eastAsia="Calibri" w:cs="Calibri"/>
        <w:spacing w:val="-3"/>
        <w:sz w:val="18"/>
        <w:szCs w:val="18"/>
      </w:rPr>
      <w:t>94</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790D1">
    <w:pPr>
      <w:spacing w:line="236" w:lineRule="auto"/>
      <w:ind w:left="4273"/>
      <w:rPr>
        <w:rFonts w:ascii="Calibri" w:hAnsi="Calibri" w:eastAsia="Calibri" w:cs="Calibri"/>
        <w:sz w:val="18"/>
        <w:szCs w:val="18"/>
      </w:rPr>
    </w:pPr>
    <w:r>
      <w:rPr>
        <w:rFonts w:ascii="Calibri" w:hAnsi="Calibri" w:eastAsia="Calibri" w:cs="Calibri"/>
        <w:spacing w:val="-3"/>
        <w:sz w:val="18"/>
        <w:szCs w:val="18"/>
      </w:rPr>
      <w:t>95</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90A4A">
    <w:pPr>
      <w:spacing w:line="236" w:lineRule="auto"/>
      <w:ind w:left="4273"/>
      <w:rPr>
        <w:rFonts w:ascii="Calibri" w:hAnsi="Calibri" w:eastAsia="Calibri" w:cs="Calibri"/>
        <w:sz w:val="18"/>
        <w:szCs w:val="18"/>
      </w:rPr>
    </w:pPr>
    <w:r>
      <w:rPr>
        <w:rFonts w:ascii="Calibri" w:hAnsi="Calibri" w:eastAsia="Calibri" w:cs="Calibri"/>
        <w:spacing w:val="-3"/>
        <w:sz w:val="18"/>
        <w:szCs w:val="18"/>
      </w:rPr>
      <w:t>96</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DA9B4">
    <w:pPr>
      <w:spacing w:line="236" w:lineRule="auto"/>
      <w:ind w:left="4273"/>
      <w:rPr>
        <w:rFonts w:ascii="Calibri" w:hAnsi="Calibri" w:eastAsia="Calibri" w:cs="Calibri"/>
        <w:sz w:val="18"/>
        <w:szCs w:val="18"/>
      </w:rPr>
    </w:pPr>
    <w:r>
      <w:rPr>
        <w:rFonts w:ascii="Calibri" w:hAnsi="Calibri" w:eastAsia="Calibri" w:cs="Calibri"/>
        <w:spacing w:val="-3"/>
        <w:sz w:val="18"/>
        <w:szCs w:val="18"/>
      </w:rPr>
      <w:t>97</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8BAD3">
    <w:pPr>
      <w:spacing w:line="236" w:lineRule="auto"/>
      <w:ind w:left="4273"/>
      <w:rPr>
        <w:rFonts w:ascii="Calibri" w:hAnsi="Calibri" w:eastAsia="Calibri" w:cs="Calibri"/>
        <w:sz w:val="18"/>
        <w:szCs w:val="18"/>
      </w:rPr>
    </w:pPr>
    <w:r>
      <w:rPr>
        <w:rFonts w:ascii="Calibri" w:hAnsi="Calibri" w:eastAsia="Calibri" w:cs="Calibri"/>
        <w:spacing w:val="-3"/>
        <w:sz w:val="18"/>
        <w:szCs w:val="18"/>
      </w:rPr>
      <w:t>98</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30ACE">
    <w:pPr>
      <w:spacing w:line="236" w:lineRule="auto"/>
      <w:ind w:left="4273"/>
      <w:rPr>
        <w:rFonts w:ascii="Calibri" w:hAnsi="Calibri" w:eastAsia="Calibri" w:cs="Calibri"/>
        <w:sz w:val="18"/>
        <w:szCs w:val="18"/>
      </w:rPr>
    </w:pPr>
    <w:r>
      <w:rPr>
        <w:rFonts w:ascii="Calibri" w:hAnsi="Calibri" w:eastAsia="Calibri" w:cs="Calibri"/>
        <w:spacing w:val="-3"/>
        <w:sz w:val="18"/>
        <w:szCs w:val="18"/>
      </w:rPr>
      <w:t>99</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DAEDB">
    <w:pPr>
      <w:spacing w:line="236" w:lineRule="auto"/>
      <w:ind w:left="4236"/>
      <w:rPr>
        <w:rFonts w:ascii="Calibri" w:hAnsi="Calibri" w:eastAsia="Calibri" w:cs="Calibri"/>
        <w:sz w:val="18"/>
        <w:szCs w:val="18"/>
      </w:rPr>
    </w:pPr>
    <w:r>
      <w:rPr>
        <w:rFonts w:ascii="Calibri" w:hAnsi="Calibri" w:eastAsia="Calibri" w:cs="Calibri"/>
        <w:spacing w:val="-4"/>
        <w:sz w:val="18"/>
        <w:szCs w:val="18"/>
      </w:rPr>
      <w:t>100</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83A77">
    <w:pPr>
      <w:spacing w:line="236" w:lineRule="auto"/>
      <w:ind w:left="4236"/>
      <w:rPr>
        <w:rFonts w:ascii="Calibri" w:hAnsi="Calibri" w:eastAsia="Calibri" w:cs="Calibri"/>
        <w:sz w:val="18"/>
        <w:szCs w:val="18"/>
      </w:rPr>
    </w:pPr>
    <w:r>
      <w:rPr>
        <w:rFonts w:ascii="Calibri" w:hAnsi="Calibri" w:eastAsia="Calibri" w:cs="Calibri"/>
        <w:spacing w:val="-4"/>
        <w:sz w:val="18"/>
        <w:szCs w:val="18"/>
      </w:rPr>
      <w:t>101</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BB105">
    <w:pPr>
      <w:spacing w:line="236" w:lineRule="auto"/>
      <w:ind w:left="4236"/>
      <w:rPr>
        <w:rFonts w:ascii="Calibri" w:hAnsi="Calibri" w:eastAsia="Calibri" w:cs="Calibri"/>
        <w:sz w:val="18"/>
        <w:szCs w:val="18"/>
      </w:rPr>
    </w:pPr>
    <w:r>
      <w:rPr>
        <w:rFonts w:ascii="Calibri" w:hAnsi="Calibri" w:eastAsia="Calibri" w:cs="Calibri"/>
        <w:spacing w:val="-4"/>
        <w:sz w:val="18"/>
        <w:szCs w:val="18"/>
      </w:rPr>
      <w:t>102</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06BEE">
    <w:pPr>
      <w:spacing w:line="236" w:lineRule="auto"/>
      <w:ind w:left="4236"/>
      <w:rPr>
        <w:rFonts w:ascii="Calibri" w:hAnsi="Calibri" w:eastAsia="Calibri" w:cs="Calibri"/>
        <w:sz w:val="18"/>
        <w:szCs w:val="18"/>
      </w:rPr>
    </w:pPr>
    <w:r>
      <w:rPr>
        <w:rFonts w:ascii="Calibri" w:hAnsi="Calibri" w:eastAsia="Calibri" w:cs="Calibri"/>
        <w:spacing w:val="-4"/>
        <w:sz w:val="18"/>
        <w:szCs w:val="18"/>
      </w:rPr>
      <w:t>103</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78CEC">
    <w:pPr>
      <w:spacing w:line="236" w:lineRule="auto"/>
      <w:ind w:left="4236"/>
      <w:rPr>
        <w:rFonts w:ascii="Calibri" w:hAnsi="Calibri" w:eastAsia="Calibri" w:cs="Calibri"/>
        <w:sz w:val="18"/>
        <w:szCs w:val="18"/>
      </w:rPr>
    </w:pPr>
    <w:r>
      <w:rPr>
        <w:rFonts w:ascii="Calibri" w:hAnsi="Calibri" w:eastAsia="Calibri" w:cs="Calibri"/>
        <w:spacing w:val="-4"/>
        <w:sz w:val="18"/>
        <w:szCs w:val="18"/>
      </w:rPr>
      <w:t>104</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AE86">
    <w:pPr>
      <w:spacing w:line="236" w:lineRule="auto"/>
      <w:ind w:left="4236"/>
      <w:rPr>
        <w:rFonts w:ascii="Calibri" w:hAnsi="Calibri" w:eastAsia="Calibri" w:cs="Calibri"/>
        <w:sz w:val="18"/>
        <w:szCs w:val="18"/>
      </w:rPr>
    </w:pPr>
    <w:r>
      <w:rPr>
        <w:rFonts w:ascii="Calibri" w:hAnsi="Calibri" w:eastAsia="Calibri" w:cs="Calibri"/>
        <w:spacing w:val="-4"/>
        <w:sz w:val="18"/>
        <w:szCs w:val="18"/>
      </w:rPr>
      <w:t>105</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4149D">
    <w:pPr>
      <w:spacing w:line="236" w:lineRule="auto"/>
      <w:ind w:left="4236"/>
      <w:rPr>
        <w:rFonts w:ascii="Calibri" w:hAnsi="Calibri" w:eastAsia="Calibri" w:cs="Calibri"/>
        <w:sz w:val="18"/>
        <w:szCs w:val="18"/>
      </w:rPr>
    </w:pPr>
    <w:r>
      <w:rPr>
        <w:rFonts w:ascii="Calibri" w:hAnsi="Calibri" w:eastAsia="Calibri" w:cs="Calibri"/>
        <w:spacing w:val="-4"/>
        <w:sz w:val="18"/>
        <w:szCs w:val="18"/>
      </w:rPr>
      <w:t>106</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03AC1">
    <w:pPr>
      <w:spacing w:line="236" w:lineRule="auto"/>
      <w:ind w:left="4236"/>
      <w:rPr>
        <w:rFonts w:ascii="Calibri" w:hAnsi="Calibri" w:eastAsia="Calibri" w:cs="Calibri"/>
        <w:sz w:val="18"/>
        <w:szCs w:val="18"/>
      </w:rPr>
    </w:pPr>
    <w:r>
      <w:rPr>
        <w:rFonts w:ascii="Calibri" w:hAnsi="Calibri" w:eastAsia="Calibri" w:cs="Calibri"/>
        <w:spacing w:val="-4"/>
        <w:sz w:val="18"/>
        <w:szCs w:val="18"/>
      </w:rPr>
      <w:t>107</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D6447">
    <w:pPr>
      <w:spacing w:line="236" w:lineRule="auto"/>
      <w:ind w:left="4236"/>
      <w:rPr>
        <w:rFonts w:ascii="Calibri" w:hAnsi="Calibri" w:eastAsia="Calibri" w:cs="Calibri"/>
        <w:sz w:val="18"/>
        <w:szCs w:val="18"/>
      </w:rPr>
    </w:pPr>
    <w:r>
      <w:rPr>
        <w:rFonts w:ascii="Calibri" w:hAnsi="Calibri" w:eastAsia="Calibri" w:cs="Calibri"/>
        <w:spacing w:val="-4"/>
        <w:sz w:val="18"/>
        <w:szCs w:val="18"/>
      </w:rPr>
      <w:t>108</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B3820">
    <w:pPr>
      <w:spacing w:line="236" w:lineRule="auto"/>
      <w:ind w:left="4236"/>
      <w:rPr>
        <w:rFonts w:ascii="Calibri" w:hAnsi="Calibri" w:eastAsia="Calibri" w:cs="Calibri"/>
        <w:sz w:val="18"/>
        <w:szCs w:val="18"/>
      </w:rPr>
    </w:pPr>
    <w:r>
      <w:rPr>
        <w:rFonts w:ascii="Calibri" w:hAnsi="Calibri" w:eastAsia="Calibri" w:cs="Calibri"/>
        <w:spacing w:val="-4"/>
        <w:sz w:val="18"/>
        <w:szCs w:val="18"/>
      </w:rPr>
      <w:t>109</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C1CBC">
    <w:pPr>
      <w:spacing w:line="236" w:lineRule="auto"/>
      <w:ind w:left="4236"/>
      <w:rPr>
        <w:rFonts w:ascii="Calibri" w:hAnsi="Calibri" w:eastAsia="Calibri" w:cs="Calibri"/>
        <w:sz w:val="18"/>
        <w:szCs w:val="18"/>
      </w:rPr>
    </w:pPr>
    <w:r>
      <w:rPr>
        <w:rFonts w:ascii="Calibri" w:hAnsi="Calibri" w:eastAsia="Calibri" w:cs="Calibri"/>
        <w:spacing w:val="-4"/>
        <w:sz w:val="18"/>
        <w:szCs w:val="18"/>
      </w:rPr>
      <w:t>110</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A7D7A">
    <w:pPr>
      <w:spacing w:line="238" w:lineRule="auto"/>
      <w:ind w:left="4236"/>
      <w:rPr>
        <w:rFonts w:ascii="Calibri" w:hAnsi="Calibri" w:eastAsia="Calibri" w:cs="Calibri"/>
        <w:sz w:val="18"/>
        <w:szCs w:val="18"/>
      </w:rPr>
    </w:pPr>
    <w:r>
      <w:rPr>
        <w:rFonts w:ascii="Calibri" w:hAnsi="Calibri" w:eastAsia="Calibri" w:cs="Calibri"/>
        <w:spacing w:val="-4"/>
        <w:sz w:val="18"/>
        <w:szCs w:val="18"/>
      </w:rPr>
      <w:t>111</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F5960">
    <w:pPr>
      <w:spacing w:line="238" w:lineRule="auto"/>
      <w:ind w:left="4236"/>
      <w:rPr>
        <w:rFonts w:ascii="Calibri" w:hAnsi="Calibri" w:eastAsia="Calibri" w:cs="Calibri"/>
        <w:sz w:val="18"/>
        <w:szCs w:val="18"/>
      </w:rPr>
    </w:pPr>
    <w:r>
      <w:rPr>
        <w:rFonts w:ascii="Calibri" w:hAnsi="Calibri" w:eastAsia="Calibri" w:cs="Calibri"/>
        <w:spacing w:val="-4"/>
        <w:sz w:val="18"/>
        <w:szCs w:val="18"/>
      </w:rPr>
      <w:t>112</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2D59F">
    <w:pPr>
      <w:spacing w:line="236" w:lineRule="auto"/>
      <w:ind w:left="4236"/>
      <w:rPr>
        <w:rFonts w:ascii="Calibri" w:hAnsi="Calibri" w:eastAsia="Calibri" w:cs="Calibri"/>
        <w:sz w:val="18"/>
        <w:szCs w:val="18"/>
      </w:rPr>
    </w:pPr>
    <w:r>
      <w:rPr>
        <w:rFonts w:ascii="Calibri" w:hAnsi="Calibri" w:eastAsia="Calibri" w:cs="Calibri"/>
        <w:spacing w:val="-4"/>
        <w:sz w:val="18"/>
        <w:szCs w:val="18"/>
      </w:rPr>
      <w:t>113</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12FE4">
    <w:pPr>
      <w:spacing w:line="237" w:lineRule="auto"/>
      <w:ind w:left="4236"/>
      <w:rPr>
        <w:rFonts w:ascii="Calibri" w:hAnsi="Calibri" w:eastAsia="Calibri" w:cs="Calibri"/>
        <w:sz w:val="18"/>
        <w:szCs w:val="18"/>
      </w:rPr>
    </w:pPr>
    <w:r>
      <w:rPr>
        <w:rFonts w:ascii="Calibri" w:hAnsi="Calibri" w:eastAsia="Calibri" w:cs="Calibri"/>
        <w:spacing w:val="-4"/>
        <w:sz w:val="18"/>
        <w:szCs w:val="18"/>
      </w:rPr>
      <w:t>114</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671CE">
    <w:pPr>
      <w:spacing w:line="236" w:lineRule="auto"/>
      <w:ind w:left="4236"/>
      <w:rPr>
        <w:rFonts w:ascii="Calibri" w:hAnsi="Calibri" w:eastAsia="Calibri" w:cs="Calibri"/>
        <w:sz w:val="18"/>
        <w:szCs w:val="18"/>
      </w:rPr>
    </w:pPr>
    <w:r>
      <w:rPr>
        <w:rFonts w:ascii="Calibri" w:hAnsi="Calibri" w:eastAsia="Calibri" w:cs="Calibri"/>
        <w:spacing w:val="-4"/>
        <w:sz w:val="18"/>
        <w:szCs w:val="18"/>
      </w:rPr>
      <w:t>115</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6936E">
    <w:pPr>
      <w:spacing w:line="236" w:lineRule="auto"/>
      <w:ind w:left="4236"/>
      <w:rPr>
        <w:rFonts w:ascii="Calibri" w:hAnsi="Calibri" w:eastAsia="Calibri" w:cs="Calibri"/>
        <w:sz w:val="18"/>
        <w:szCs w:val="18"/>
      </w:rPr>
    </w:pPr>
    <w:r>
      <w:rPr>
        <w:rFonts w:ascii="Calibri" w:hAnsi="Calibri" w:eastAsia="Calibri" w:cs="Calibri"/>
        <w:spacing w:val="-4"/>
        <w:sz w:val="18"/>
        <w:szCs w:val="18"/>
      </w:rPr>
      <w:t>116</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7929C">
    <w:pPr>
      <w:spacing w:line="237" w:lineRule="auto"/>
      <w:ind w:left="4236"/>
      <w:rPr>
        <w:rFonts w:ascii="Calibri" w:hAnsi="Calibri" w:eastAsia="Calibri" w:cs="Calibri"/>
        <w:sz w:val="18"/>
        <w:szCs w:val="18"/>
      </w:rPr>
    </w:pPr>
    <w:r>
      <w:rPr>
        <w:rFonts w:ascii="Calibri" w:hAnsi="Calibri" w:eastAsia="Calibri" w:cs="Calibri"/>
        <w:spacing w:val="-4"/>
        <w:sz w:val="18"/>
        <w:szCs w:val="18"/>
      </w:rPr>
      <w:t>117</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B7650">
    <w:pPr>
      <w:spacing w:line="236" w:lineRule="auto"/>
      <w:ind w:left="4236"/>
      <w:rPr>
        <w:rFonts w:ascii="Calibri" w:hAnsi="Calibri" w:eastAsia="Calibri" w:cs="Calibri"/>
        <w:sz w:val="18"/>
        <w:szCs w:val="18"/>
      </w:rPr>
    </w:pPr>
    <w:r>
      <w:rPr>
        <w:rFonts w:ascii="Calibri" w:hAnsi="Calibri" w:eastAsia="Calibri" w:cs="Calibri"/>
        <w:spacing w:val="-4"/>
        <w:sz w:val="18"/>
        <w:szCs w:val="18"/>
      </w:rPr>
      <w:t>118</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440F1">
    <w:pPr>
      <w:spacing w:line="236" w:lineRule="auto"/>
      <w:ind w:left="4236"/>
      <w:rPr>
        <w:rFonts w:ascii="Calibri" w:hAnsi="Calibri" w:eastAsia="Calibri" w:cs="Calibri"/>
        <w:sz w:val="18"/>
        <w:szCs w:val="18"/>
      </w:rPr>
    </w:pPr>
    <w:r>
      <w:rPr>
        <w:rFonts w:ascii="Calibri" w:hAnsi="Calibri" w:eastAsia="Calibri" w:cs="Calibri"/>
        <w:spacing w:val="-4"/>
        <w:sz w:val="18"/>
        <w:szCs w:val="18"/>
      </w:rPr>
      <w:t>119</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F48D1">
    <w:pPr>
      <w:spacing w:line="236" w:lineRule="auto"/>
      <w:ind w:left="4236"/>
      <w:rPr>
        <w:rFonts w:ascii="Calibri" w:hAnsi="Calibri" w:eastAsia="Calibri" w:cs="Calibri"/>
        <w:sz w:val="18"/>
        <w:szCs w:val="18"/>
      </w:rPr>
    </w:pPr>
    <w:r>
      <w:rPr>
        <w:rFonts w:ascii="Calibri" w:hAnsi="Calibri" w:eastAsia="Calibri" w:cs="Calibri"/>
        <w:spacing w:val="-4"/>
        <w:sz w:val="18"/>
        <w:szCs w:val="18"/>
      </w:rPr>
      <w:t>120</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6117F">
    <w:pPr>
      <w:spacing w:line="238" w:lineRule="auto"/>
      <w:ind w:left="4236"/>
      <w:rPr>
        <w:rFonts w:ascii="Calibri" w:hAnsi="Calibri" w:eastAsia="Calibri" w:cs="Calibri"/>
        <w:sz w:val="18"/>
        <w:szCs w:val="18"/>
      </w:rPr>
    </w:pPr>
    <w:r>
      <w:rPr>
        <w:rFonts w:ascii="Calibri" w:hAnsi="Calibri" w:eastAsia="Calibri" w:cs="Calibri"/>
        <w:spacing w:val="-4"/>
        <w:sz w:val="18"/>
        <w:szCs w:val="18"/>
      </w:rPr>
      <w:t>121</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C7597">
    <w:pPr>
      <w:spacing w:line="238" w:lineRule="auto"/>
      <w:ind w:left="4236"/>
      <w:rPr>
        <w:rFonts w:ascii="Calibri" w:hAnsi="Calibri" w:eastAsia="Calibri" w:cs="Calibri"/>
        <w:sz w:val="18"/>
        <w:szCs w:val="18"/>
      </w:rPr>
    </w:pPr>
    <w:r>
      <w:rPr>
        <w:rFonts w:ascii="Calibri" w:hAnsi="Calibri" w:eastAsia="Calibri" w:cs="Calibri"/>
        <w:spacing w:val="-4"/>
        <w:sz w:val="18"/>
        <w:szCs w:val="18"/>
      </w:rPr>
      <w:t>122</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0711E">
    <w:pPr>
      <w:spacing w:line="236" w:lineRule="auto"/>
      <w:ind w:left="4236"/>
      <w:rPr>
        <w:rFonts w:ascii="Calibri" w:hAnsi="Calibri" w:eastAsia="Calibri" w:cs="Calibri"/>
        <w:sz w:val="18"/>
        <w:szCs w:val="18"/>
      </w:rPr>
    </w:pPr>
    <w:r>
      <w:rPr>
        <w:rFonts w:ascii="Calibri" w:hAnsi="Calibri" w:eastAsia="Calibri" w:cs="Calibri"/>
        <w:spacing w:val="-4"/>
        <w:sz w:val="18"/>
        <w:szCs w:val="18"/>
      </w:rPr>
      <w:t>123</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55CB2">
    <w:pPr>
      <w:spacing w:line="237" w:lineRule="auto"/>
      <w:ind w:left="4236"/>
      <w:rPr>
        <w:rFonts w:ascii="Calibri" w:hAnsi="Calibri" w:eastAsia="Calibri" w:cs="Calibri"/>
        <w:sz w:val="18"/>
        <w:szCs w:val="18"/>
      </w:rPr>
    </w:pPr>
    <w:r>
      <w:rPr>
        <w:rFonts w:ascii="Calibri" w:hAnsi="Calibri" w:eastAsia="Calibri" w:cs="Calibri"/>
        <w:spacing w:val="-4"/>
        <w:sz w:val="18"/>
        <w:szCs w:val="18"/>
      </w:rPr>
      <w:t>124</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C6AC6">
    <w:pPr>
      <w:spacing w:line="236" w:lineRule="auto"/>
      <w:ind w:left="4236"/>
      <w:rPr>
        <w:rFonts w:ascii="Calibri" w:hAnsi="Calibri" w:eastAsia="Calibri" w:cs="Calibri"/>
        <w:sz w:val="18"/>
        <w:szCs w:val="18"/>
      </w:rPr>
    </w:pPr>
    <w:r>
      <w:rPr>
        <w:rFonts w:ascii="Calibri" w:hAnsi="Calibri" w:eastAsia="Calibri" w:cs="Calibri"/>
        <w:spacing w:val="-4"/>
        <w:sz w:val="18"/>
        <w:szCs w:val="18"/>
      </w:rPr>
      <w:t>125</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E6D8B">
    <w:pPr>
      <w:spacing w:line="236" w:lineRule="auto"/>
      <w:ind w:left="4236"/>
      <w:rPr>
        <w:rFonts w:ascii="Calibri" w:hAnsi="Calibri" w:eastAsia="Calibri" w:cs="Calibri"/>
        <w:sz w:val="18"/>
        <w:szCs w:val="18"/>
      </w:rPr>
    </w:pPr>
    <w:r>
      <w:rPr>
        <w:rFonts w:ascii="Calibri" w:hAnsi="Calibri" w:eastAsia="Calibri" w:cs="Calibri"/>
        <w:spacing w:val="-4"/>
        <w:sz w:val="18"/>
        <w:szCs w:val="18"/>
      </w:rPr>
      <w:t>126</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F99BE">
    <w:pPr>
      <w:spacing w:line="237" w:lineRule="auto"/>
      <w:ind w:left="4236"/>
      <w:rPr>
        <w:rFonts w:ascii="Calibri" w:hAnsi="Calibri" w:eastAsia="Calibri" w:cs="Calibri"/>
        <w:sz w:val="18"/>
        <w:szCs w:val="18"/>
      </w:rPr>
    </w:pPr>
    <w:r>
      <w:rPr>
        <w:rFonts w:ascii="Calibri" w:hAnsi="Calibri" w:eastAsia="Calibri" w:cs="Calibri"/>
        <w:spacing w:val="-4"/>
        <w:sz w:val="18"/>
        <w:szCs w:val="18"/>
      </w:rPr>
      <w:t>127</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36681">
    <w:pPr>
      <w:spacing w:line="236" w:lineRule="auto"/>
      <w:ind w:left="4236"/>
      <w:rPr>
        <w:rFonts w:ascii="Calibri" w:hAnsi="Calibri" w:eastAsia="Calibri" w:cs="Calibri"/>
        <w:sz w:val="18"/>
        <w:szCs w:val="18"/>
      </w:rPr>
    </w:pPr>
    <w:r>
      <w:rPr>
        <w:rFonts w:ascii="Calibri" w:hAnsi="Calibri" w:eastAsia="Calibri" w:cs="Calibri"/>
        <w:spacing w:val="-4"/>
        <w:sz w:val="18"/>
        <w:szCs w:val="18"/>
      </w:rPr>
      <w:t>128</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609E4">
    <w:pPr>
      <w:spacing w:line="236" w:lineRule="auto"/>
      <w:ind w:left="4236"/>
      <w:rPr>
        <w:rFonts w:ascii="Calibri" w:hAnsi="Calibri" w:eastAsia="Calibri" w:cs="Calibri"/>
        <w:sz w:val="18"/>
        <w:szCs w:val="18"/>
      </w:rPr>
    </w:pPr>
    <w:r>
      <w:rPr>
        <w:rFonts w:ascii="Calibri" w:hAnsi="Calibri" w:eastAsia="Calibri" w:cs="Calibri"/>
        <w:spacing w:val="-4"/>
        <w:sz w:val="18"/>
        <w:szCs w:val="18"/>
      </w:rPr>
      <w:t>129</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9357">
    <w:pPr>
      <w:spacing w:line="236" w:lineRule="auto"/>
      <w:ind w:left="4236"/>
      <w:rPr>
        <w:rFonts w:ascii="Calibri" w:hAnsi="Calibri" w:eastAsia="Calibri" w:cs="Calibri"/>
        <w:sz w:val="18"/>
        <w:szCs w:val="18"/>
      </w:rPr>
    </w:pPr>
    <w:r>
      <w:rPr>
        <w:rFonts w:ascii="Calibri" w:hAnsi="Calibri" w:eastAsia="Calibri" w:cs="Calibri"/>
        <w:spacing w:val="-4"/>
        <w:sz w:val="18"/>
        <w:szCs w:val="18"/>
      </w:rPr>
      <w:t>130</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F46E9">
    <w:pPr>
      <w:spacing w:line="236" w:lineRule="auto"/>
      <w:ind w:left="4236"/>
      <w:rPr>
        <w:rFonts w:ascii="Calibri" w:hAnsi="Calibri" w:eastAsia="Calibri" w:cs="Calibri"/>
        <w:sz w:val="18"/>
        <w:szCs w:val="18"/>
      </w:rPr>
    </w:pPr>
    <w:r>
      <w:rPr>
        <w:rFonts w:ascii="Calibri" w:hAnsi="Calibri" w:eastAsia="Calibri" w:cs="Calibri"/>
        <w:spacing w:val="-4"/>
        <w:sz w:val="18"/>
        <w:szCs w:val="18"/>
      </w:rPr>
      <w:t>131</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36585">
    <w:pPr>
      <w:spacing w:line="236" w:lineRule="auto"/>
      <w:ind w:left="4236"/>
      <w:rPr>
        <w:rFonts w:ascii="Calibri" w:hAnsi="Calibri" w:eastAsia="Calibri" w:cs="Calibri"/>
        <w:sz w:val="18"/>
        <w:szCs w:val="18"/>
      </w:rPr>
    </w:pPr>
    <w:r>
      <w:rPr>
        <w:rFonts w:ascii="Calibri" w:hAnsi="Calibri" w:eastAsia="Calibri" w:cs="Calibri"/>
        <w:spacing w:val="-4"/>
        <w:sz w:val="18"/>
        <w:szCs w:val="18"/>
      </w:rPr>
      <w:t>132</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3E575">
    <w:pPr>
      <w:spacing w:line="236" w:lineRule="auto"/>
      <w:ind w:left="4236"/>
      <w:rPr>
        <w:rFonts w:ascii="Calibri" w:hAnsi="Calibri" w:eastAsia="Calibri" w:cs="Calibri"/>
        <w:sz w:val="18"/>
        <w:szCs w:val="18"/>
      </w:rPr>
    </w:pPr>
    <w:r>
      <w:rPr>
        <w:rFonts w:ascii="Calibri" w:hAnsi="Calibri" w:eastAsia="Calibri" w:cs="Calibri"/>
        <w:spacing w:val="-4"/>
        <w:sz w:val="18"/>
        <w:szCs w:val="18"/>
      </w:rPr>
      <w:t>133</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B564A">
    <w:pPr>
      <w:spacing w:line="236" w:lineRule="auto"/>
      <w:ind w:left="4236"/>
      <w:rPr>
        <w:rFonts w:ascii="Calibri" w:hAnsi="Calibri" w:eastAsia="Calibri" w:cs="Calibri"/>
        <w:sz w:val="18"/>
        <w:szCs w:val="18"/>
      </w:rPr>
    </w:pPr>
    <w:r>
      <w:rPr>
        <w:rFonts w:ascii="Calibri" w:hAnsi="Calibri" w:eastAsia="Calibri" w:cs="Calibri"/>
        <w:spacing w:val="-4"/>
        <w:sz w:val="18"/>
        <w:szCs w:val="18"/>
      </w:rPr>
      <w:t>134</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316C1">
    <w:pPr>
      <w:spacing w:line="236" w:lineRule="auto"/>
      <w:ind w:left="4236"/>
      <w:rPr>
        <w:rFonts w:ascii="Calibri" w:hAnsi="Calibri" w:eastAsia="Calibri" w:cs="Calibri"/>
        <w:sz w:val="18"/>
        <w:szCs w:val="18"/>
      </w:rPr>
    </w:pPr>
    <w:r>
      <w:rPr>
        <w:rFonts w:ascii="Calibri" w:hAnsi="Calibri" w:eastAsia="Calibri" w:cs="Calibri"/>
        <w:spacing w:val="-4"/>
        <w:sz w:val="18"/>
        <w:szCs w:val="18"/>
      </w:rPr>
      <w:t>135</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A8BB">
    <w:pPr>
      <w:spacing w:line="236" w:lineRule="auto"/>
      <w:ind w:left="4236"/>
      <w:rPr>
        <w:rFonts w:ascii="Calibri" w:hAnsi="Calibri" w:eastAsia="Calibri" w:cs="Calibri"/>
        <w:sz w:val="18"/>
        <w:szCs w:val="18"/>
      </w:rPr>
    </w:pPr>
    <w:r>
      <w:rPr>
        <w:rFonts w:ascii="Calibri" w:hAnsi="Calibri" w:eastAsia="Calibri" w:cs="Calibri"/>
        <w:spacing w:val="-4"/>
        <w:sz w:val="18"/>
        <w:szCs w:val="18"/>
      </w:rPr>
      <w:t>136</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9213E">
    <w:pPr>
      <w:spacing w:line="236" w:lineRule="auto"/>
      <w:ind w:left="4236"/>
      <w:rPr>
        <w:rFonts w:ascii="Calibri" w:hAnsi="Calibri" w:eastAsia="Calibri" w:cs="Calibri"/>
        <w:sz w:val="18"/>
        <w:szCs w:val="18"/>
      </w:rPr>
    </w:pPr>
    <w:r>
      <w:rPr>
        <w:rFonts w:ascii="Calibri" w:hAnsi="Calibri" w:eastAsia="Calibri" w:cs="Calibri"/>
        <w:spacing w:val="-4"/>
        <w:sz w:val="18"/>
        <w:szCs w:val="18"/>
      </w:rPr>
      <w:t>137</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DA457">
    <w:pPr>
      <w:spacing w:line="236" w:lineRule="auto"/>
      <w:ind w:left="4236"/>
      <w:rPr>
        <w:rFonts w:ascii="Calibri" w:hAnsi="Calibri" w:eastAsia="Calibri" w:cs="Calibri"/>
        <w:sz w:val="18"/>
        <w:szCs w:val="18"/>
      </w:rPr>
    </w:pPr>
    <w:r>
      <w:rPr>
        <w:rFonts w:ascii="Calibri" w:hAnsi="Calibri" w:eastAsia="Calibri" w:cs="Calibri"/>
        <w:spacing w:val="-4"/>
        <w:sz w:val="18"/>
        <w:szCs w:val="18"/>
      </w:rPr>
      <w:t>138</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80E8">
    <w:pPr>
      <w:spacing w:line="236" w:lineRule="auto"/>
      <w:ind w:left="4236"/>
      <w:rPr>
        <w:rFonts w:ascii="Calibri" w:hAnsi="Calibri" w:eastAsia="Calibri" w:cs="Calibri"/>
        <w:sz w:val="18"/>
        <w:szCs w:val="18"/>
      </w:rPr>
    </w:pPr>
    <w:r>
      <w:rPr>
        <w:rFonts w:ascii="Calibri" w:hAnsi="Calibri" w:eastAsia="Calibri" w:cs="Calibri"/>
        <w:spacing w:val="-4"/>
        <w:sz w:val="18"/>
        <w:szCs w:val="18"/>
      </w:rPr>
      <w:t>139</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97C29">
    <w:pPr>
      <w:spacing w:line="236" w:lineRule="auto"/>
      <w:ind w:left="4236"/>
      <w:rPr>
        <w:rFonts w:ascii="Calibri" w:hAnsi="Calibri" w:eastAsia="Calibri" w:cs="Calibri"/>
        <w:sz w:val="18"/>
        <w:szCs w:val="18"/>
      </w:rPr>
    </w:pPr>
    <w:r>
      <w:rPr>
        <w:rFonts w:ascii="Calibri" w:hAnsi="Calibri" w:eastAsia="Calibri" w:cs="Calibri"/>
        <w:spacing w:val="-4"/>
        <w:sz w:val="18"/>
        <w:szCs w:val="18"/>
      </w:rPr>
      <w:t>140</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12790">
    <w:pPr>
      <w:spacing w:line="237" w:lineRule="auto"/>
      <w:ind w:left="4236"/>
      <w:rPr>
        <w:rFonts w:ascii="Calibri" w:hAnsi="Calibri" w:eastAsia="Calibri" w:cs="Calibri"/>
        <w:sz w:val="18"/>
        <w:szCs w:val="18"/>
      </w:rPr>
    </w:pPr>
    <w:r>
      <w:rPr>
        <w:rFonts w:ascii="Calibri" w:hAnsi="Calibri" w:eastAsia="Calibri" w:cs="Calibri"/>
        <w:spacing w:val="-4"/>
        <w:sz w:val="18"/>
        <w:szCs w:val="18"/>
      </w:rPr>
      <w:t>141</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4B57D">
    <w:pPr>
      <w:spacing w:line="237" w:lineRule="auto"/>
      <w:ind w:left="4236"/>
      <w:rPr>
        <w:rFonts w:ascii="Calibri" w:hAnsi="Calibri" w:eastAsia="Calibri" w:cs="Calibri"/>
        <w:sz w:val="18"/>
        <w:szCs w:val="18"/>
      </w:rPr>
    </w:pPr>
    <w:r>
      <w:rPr>
        <w:rFonts w:ascii="Calibri" w:hAnsi="Calibri" w:eastAsia="Calibri" w:cs="Calibri"/>
        <w:spacing w:val="-4"/>
        <w:sz w:val="18"/>
        <w:szCs w:val="18"/>
      </w:rPr>
      <w:t>142</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8EE3C">
    <w:pPr>
      <w:spacing w:line="236" w:lineRule="auto"/>
      <w:ind w:left="4236"/>
      <w:rPr>
        <w:rFonts w:ascii="Calibri" w:hAnsi="Calibri" w:eastAsia="Calibri" w:cs="Calibri"/>
        <w:sz w:val="18"/>
        <w:szCs w:val="18"/>
      </w:rPr>
    </w:pPr>
    <w:r>
      <w:rPr>
        <w:rFonts w:ascii="Calibri" w:hAnsi="Calibri" w:eastAsia="Calibri" w:cs="Calibri"/>
        <w:spacing w:val="-4"/>
        <w:sz w:val="18"/>
        <w:szCs w:val="18"/>
      </w:rPr>
      <w:t>143</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BA543">
    <w:pPr>
      <w:spacing w:line="237" w:lineRule="auto"/>
      <w:ind w:left="4236"/>
      <w:rPr>
        <w:rFonts w:ascii="Calibri" w:hAnsi="Calibri" w:eastAsia="Calibri" w:cs="Calibri"/>
        <w:sz w:val="18"/>
        <w:szCs w:val="18"/>
      </w:rPr>
    </w:pPr>
    <w:r>
      <w:rPr>
        <w:rFonts w:ascii="Calibri" w:hAnsi="Calibri" w:eastAsia="Calibri" w:cs="Calibri"/>
        <w:spacing w:val="-4"/>
        <w:sz w:val="18"/>
        <w:szCs w:val="18"/>
      </w:rPr>
      <w:t>144</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6A74D">
    <w:pPr>
      <w:spacing w:line="236" w:lineRule="auto"/>
      <w:ind w:left="4236"/>
      <w:rPr>
        <w:rFonts w:ascii="Calibri" w:hAnsi="Calibri" w:eastAsia="Calibri" w:cs="Calibri"/>
        <w:sz w:val="18"/>
        <w:szCs w:val="18"/>
      </w:rPr>
    </w:pPr>
    <w:r>
      <w:rPr>
        <w:rFonts w:ascii="Calibri" w:hAnsi="Calibri" w:eastAsia="Calibri" w:cs="Calibri"/>
        <w:spacing w:val="-4"/>
        <w:sz w:val="18"/>
        <w:szCs w:val="18"/>
      </w:rPr>
      <w:t>145</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E5779">
    <w:pPr>
      <w:spacing w:line="236" w:lineRule="auto"/>
      <w:ind w:left="4236"/>
      <w:rPr>
        <w:rFonts w:ascii="Calibri" w:hAnsi="Calibri" w:eastAsia="Calibri" w:cs="Calibri"/>
        <w:sz w:val="18"/>
        <w:szCs w:val="18"/>
      </w:rPr>
    </w:pPr>
    <w:r>
      <w:rPr>
        <w:rFonts w:ascii="Calibri" w:hAnsi="Calibri" w:eastAsia="Calibri" w:cs="Calibri"/>
        <w:spacing w:val="-4"/>
        <w:sz w:val="18"/>
        <w:szCs w:val="18"/>
      </w:rPr>
      <w:t>146</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FED16">
    <w:pPr>
      <w:spacing w:line="237" w:lineRule="auto"/>
      <w:ind w:left="4236"/>
      <w:rPr>
        <w:rFonts w:ascii="Calibri" w:hAnsi="Calibri" w:eastAsia="Calibri" w:cs="Calibri"/>
        <w:sz w:val="18"/>
        <w:szCs w:val="18"/>
      </w:rPr>
    </w:pPr>
    <w:r>
      <w:rPr>
        <w:rFonts w:ascii="Calibri" w:hAnsi="Calibri" w:eastAsia="Calibri" w:cs="Calibri"/>
        <w:spacing w:val="-4"/>
        <w:sz w:val="18"/>
        <w:szCs w:val="18"/>
      </w:rPr>
      <w:t>147</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266BA">
    <w:pPr>
      <w:spacing w:line="236" w:lineRule="auto"/>
      <w:ind w:left="4236"/>
      <w:rPr>
        <w:rFonts w:ascii="Calibri" w:hAnsi="Calibri" w:eastAsia="Calibri" w:cs="Calibri"/>
        <w:sz w:val="18"/>
        <w:szCs w:val="18"/>
      </w:rPr>
    </w:pPr>
    <w:r>
      <w:rPr>
        <w:rFonts w:ascii="Calibri" w:hAnsi="Calibri" w:eastAsia="Calibri" w:cs="Calibri"/>
        <w:spacing w:val="-4"/>
        <w:sz w:val="18"/>
        <w:szCs w:val="18"/>
      </w:rPr>
      <w:t>148</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3A01A">
    <w:pPr>
      <w:spacing w:line="236" w:lineRule="auto"/>
      <w:ind w:left="4236"/>
      <w:rPr>
        <w:rFonts w:ascii="Calibri" w:hAnsi="Calibri" w:eastAsia="Calibri" w:cs="Calibri"/>
        <w:sz w:val="18"/>
        <w:szCs w:val="18"/>
      </w:rPr>
    </w:pPr>
    <w:r>
      <w:rPr>
        <w:rFonts w:ascii="Calibri" w:hAnsi="Calibri" w:eastAsia="Calibri" w:cs="Calibri"/>
        <w:spacing w:val="-4"/>
        <w:sz w:val="18"/>
        <w:szCs w:val="18"/>
      </w:rPr>
      <w:t>149</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32125">
    <w:pPr>
      <w:spacing w:line="236" w:lineRule="auto"/>
      <w:ind w:left="4236"/>
      <w:rPr>
        <w:rFonts w:ascii="Calibri" w:hAnsi="Calibri" w:eastAsia="Calibri" w:cs="Calibri"/>
        <w:sz w:val="18"/>
        <w:szCs w:val="18"/>
      </w:rPr>
    </w:pPr>
    <w:r>
      <w:rPr>
        <w:rFonts w:ascii="Calibri" w:hAnsi="Calibri" w:eastAsia="Calibri" w:cs="Calibri"/>
        <w:spacing w:val="-4"/>
        <w:sz w:val="18"/>
        <w:szCs w:val="18"/>
      </w:rPr>
      <w:t>150</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72249">
    <w:pPr>
      <w:spacing w:line="236" w:lineRule="auto"/>
      <w:ind w:left="4236"/>
      <w:rPr>
        <w:rFonts w:ascii="Calibri" w:hAnsi="Calibri" w:eastAsia="Calibri" w:cs="Calibri"/>
        <w:sz w:val="18"/>
        <w:szCs w:val="18"/>
      </w:rPr>
    </w:pPr>
    <w:r>
      <w:rPr>
        <w:rFonts w:ascii="Calibri" w:hAnsi="Calibri" w:eastAsia="Calibri" w:cs="Calibri"/>
        <w:spacing w:val="-4"/>
        <w:sz w:val="18"/>
        <w:szCs w:val="18"/>
      </w:rPr>
      <w:t>151</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70346">
    <w:pPr>
      <w:spacing w:line="236" w:lineRule="auto"/>
      <w:ind w:left="4236"/>
      <w:rPr>
        <w:rFonts w:ascii="Calibri" w:hAnsi="Calibri" w:eastAsia="Calibri" w:cs="Calibri"/>
        <w:sz w:val="18"/>
        <w:szCs w:val="18"/>
      </w:rPr>
    </w:pPr>
    <w:r>
      <w:rPr>
        <w:rFonts w:ascii="Calibri" w:hAnsi="Calibri" w:eastAsia="Calibri" w:cs="Calibri"/>
        <w:spacing w:val="-4"/>
        <w:sz w:val="18"/>
        <w:szCs w:val="18"/>
      </w:rPr>
      <w:t>152</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76280">
    <w:pPr>
      <w:spacing w:line="236" w:lineRule="auto"/>
      <w:ind w:left="4236"/>
      <w:rPr>
        <w:rFonts w:ascii="Calibri" w:hAnsi="Calibri" w:eastAsia="Calibri" w:cs="Calibri"/>
        <w:sz w:val="18"/>
        <w:szCs w:val="18"/>
      </w:rPr>
    </w:pPr>
    <w:r>
      <w:rPr>
        <w:rFonts w:ascii="Calibri" w:hAnsi="Calibri" w:eastAsia="Calibri" w:cs="Calibri"/>
        <w:spacing w:val="-4"/>
        <w:sz w:val="18"/>
        <w:szCs w:val="18"/>
      </w:rPr>
      <w:t>153</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FC08F">
    <w:pPr>
      <w:spacing w:line="236" w:lineRule="auto"/>
      <w:ind w:left="4236"/>
      <w:rPr>
        <w:rFonts w:ascii="Calibri" w:hAnsi="Calibri" w:eastAsia="Calibri" w:cs="Calibri"/>
        <w:sz w:val="18"/>
        <w:szCs w:val="18"/>
      </w:rPr>
    </w:pPr>
    <w:r>
      <w:rPr>
        <w:rFonts w:ascii="Calibri" w:hAnsi="Calibri" w:eastAsia="Calibri" w:cs="Calibri"/>
        <w:spacing w:val="-4"/>
        <w:sz w:val="18"/>
        <w:szCs w:val="18"/>
      </w:rPr>
      <w:t>154</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4180E">
    <w:pPr>
      <w:spacing w:line="236" w:lineRule="auto"/>
      <w:ind w:left="4236"/>
      <w:rPr>
        <w:rFonts w:ascii="Calibri" w:hAnsi="Calibri" w:eastAsia="Calibri" w:cs="Calibri"/>
        <w:sz w:val="18"/>
        <w:szCs w:val="18"/>
      </w:rPr>
    </w:pPr>
    <w:r>
      <w:rPr>
        <w:rFonts w:ascii="Calibri" w:hAnsi="Calibri" w:eastAsia="Calibri" w:cs="Calibri"/>
        <w:spacing w:val="-4"/>
        <w:sz w:val="18"/>
        <w:szCs w:val="18"/>
      </w:rPr>
      <w:t>155</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500A8">
    <w:pPr>
      <w:spacing w:line="236" w:lineRule="auto"/>
      <w:ind w:left="4236"/>
      <w:rPr>
        <w:rFonts w:ascii="Calibri" w:hAnsi="Calibri" w:eastAsia="Calibri" w:cs="Calibri"/>
        <w:sz w:val="18"/>
        <w:szCs w:val="18"/>
      </w:rPr>
    </w:pPr>
    <w:r>
      <w:rPr>
        <w:rFonts w:ascii="Calibri" w:hAnsi="Calibri" w:eastAsia="Calibri" w:cs="Calibri"/>
        <w:spacing w:val="-4"/>
        <w:sz w:val="18"/>
        <w:szCs w:val="18"/>
      </w:rPr>
      <w:t>156</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AEBB0">
    <w:pPr>
      <w:spacing w:line="236" w:lineRule="auto"/>
      <w:ind w:left="4236"/>
      <w:rPr>
        <w:rFonts w:ascii="Calibri" w:hAnsi="Calibri" w:eastAsia="Calibri" w:cs="Calibri"/>
        <w:sz w:val="18"/>
        <w:szCs w:val="18"/>
      </w:rPr>
    </w:pPr>
    <w:r>
      <w:rPr>
        <w:rFonts w:ascii="Calibri" w:hAnsi="Calibri" w:eastAsia="Calibri" w:cs="Calibri"/>
        <w:spacing w:val="-4"/>
        <w:sz w:val="18"/>
        <w:szCs w:val="18"/>
      </w:rPr>
      <w:t>157</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5427B">
    <w:pPr>
      <w:spacing w:line="236" w:lineRule="auto"/>
      <w:ind w:left="4236"/>
      <w:rPr>
        <w:rFonts w:ascii="Calibri" w:hAnsi="Calibri" w:eastAsia="Calibri" w:cs="Calibri"/>
        <w:sz w:val="18"/>
        <w:szCs w:val="18"/>
      </w:rPr>
    </w:pPr>
    <w:r>
      <w:rPr>
        <w:rFonts w:ascii="Calibri" w:hAnsi="Calibri" w:eastAsia="Calibri" w:cs="Calibri"/>
        <w:spacing w:val="-4"/>
        <w:sz w:val="18"/>
        <w:szCs w:val="18"/>
      </w:rPr>
      <w:t>158</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37B4A">
    <w:pPr>
      <w:spacing w:line="236" w:lineRule="auto"/>
      <w:ind w:left="4236"/>
      <w:rPr>
        <w:rFonts w:ascii="Calibri" w:hAnsi="Calibri" w:eastAsia="Calibri" w:cs="Calibri"/>
        <w:sz w:val="18"/>
        <w:szCs w:val="18"/>
      </w:rPr>
    </w:pPr>
    <w:r>
      <w:rPr>
        <w:rFonts w:ascii="Calibri" w:hAnsi="Calibri" w:eastAsia="Calibri" w:cs="Calibri"/>
        <w:spacing w:val="-4"/>
        <w:sz w:val="18"/>
        <w:szCs w:val="18"/>
      </w:rPr>
      <w:t>159</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6F7B5">
    <w:pPr>
      <w:spacing w:line="236" w:lineRule="auto"/>
      <w:ind w:left="4236"/>
      <w:rPr>
        <w:rFonts w:ascii="Calibri" w:hAnsi="Calibri" w:eastAsia="Calibri" w:cs="Calibri"/>
        <w:sz w:val="18"/>
        <w:szCs w:val="18"/>
      </w:rPr>
    </w:pPr>
    <w:r>
      <w:rPr>
        <w:rFonts w:ascii="Calibri" w:hAnsi="Calibri" w:eastAsia="Calibri" w:cs="Calibri"/>
        <w:spacing w:val="-4"/>
        <w:sz w:val="18"/>
        <w:szCs w:val="18"/>
      </w:rPr>
      <w:t>160</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05C62">
    <w:pPr>
      <w:spacing w:line="236" w:lineRule="auto"/>
      <w:ind w:left="4236"/>
      <w:rPr>
        <w:rFonts w:ascii="Calibri" w:hAnsi="Calibri" w:eastAsia="Calibri" w:cs="Calibri"/>
        <w:sz w:val="18"/>
        <w:szCs w:val="18"/>
      </w:rPr>
    </w:pPr>
    <w:r>
      <w:rPr>
        <w:rFonts w:ascii="Calibri" w:hAnsi="Calibri" w:eastAsia="Calibri" w:cs="Calibri"/>
        <w:spacing w:val="-4"/>
        <w:sz w:val="18"/>
        <w:szCs w:val="18"/>
      </w:rPr>
      <w:t>161</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23BBA">
    <w:pPr>
      <w:spacing w:line="236" w:lineRule="auto"/>
      <w:ind w:left="4236"/>
      <w:rPr>
        <w:rFonts w:ascii="Calibri" w:hAnsi="Calibri" w:eastAsia="Calibri" w:cs="Calibri"/>
        <w:sz w:val="18"/>
        <w:szCs w:val="18"/>
      </w:rPr>
    </w:pPr>
    <w:r>
      <w:rPr>
        <w:rFonts w:ascii="Calibri" w:hAnsi="Calibri" w:eastAsia="Calibri" w:cs="Calibri"/>
        <w:spacing w:val="-4"/>
        <w:sz w:val="18"/>
        <w:szCs w:val="18"/>
      </w:rPr>
      <w:t>162</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8798C">
    <w:pPr>
      <w:spacing w:line="236" w:lineRule="auto"/>
      <w:ind w:left="4236"/>
      <w:rPr>
        <w:rFonts w:ascii="Calibri" w:hAnsi="Calibri" w:eastAsia="Calibri" w:cs="Calibri"/>
        <w:sz w:val="18"/>
        <w:szCs w:val="18"/>
      </w:rPr>
    </w:pPr>
    <w:r>
      <w:rPr>
        <w:rFonts w:ascii="Calibri" w:hAnsi="Calibri" w:eastAsia="Calibri" w:cs="Calibri"/>
        <w:spacing w:val="-4"/>
        <w:sz w:val="18"/>
        <w:szCs w:val="18"/>
      </w:rPr>
      <w:t>163</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910FB">
    <w:pPr>
      <w:spacing w:line="236" w:lineRule="auto"/>
      <w:ind w:left="4236"/>
      <w:rPr>
        <w:rFonts w:ascii="Calibri" w:hAnsi="Calibri" w:eastAsia="Calibri" w:cs="Calibri"/>
        <w:sz w:val="18"/>
        <w:szCs w:val="18"/>
      </w:rPr>
    </w:pPr>
    <w:r>
      <w:rPr>
        <w:rFonts w:ascii="Calibri" w:hAnsi="Calibri" w:eastAsia="Calibri" w:cs="Calibri"/>
        <w:spacing w:val="-4"/>
        <w:sz w:val="18"/>
        <w:szCs w:val="18"/>
      </w:rPr>
      <w:t>164</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EF1C3">
    <w:pPr>
      <w:spacing w:line="236" w:lineRule="auto"/>
      <w:ind w:left="4236"/>
      <w:rPr>
        <w:rFonts w:ascii="Calibri" w:hAnsi="Calibri" w:eastAsia="Calibri" w:cs="Calibri"/>
        <w:sz w:val="18"/>
        <w:szCs w:val="18"/>
      </w:rPr>
    </w:pPr>
    <w:r>
      <w:rPr>
        <w:rFonts w:ascii="Calibri" w:hAnsi="Calibri" w:eastAsia="Calibri" w:cs="Calibri"/>
        <w:spacing w:val="-4"/>
        <w:sz w:val="18"/>
        <w:szCs w:val="18"/>
      </w:rPr>
      <w:t>165</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5B331">
    <w:pPr>
      <w:spacing w:line="236" w:lineRule="auto"/>
      <w:ind w:left="4236"/>
      <w:rPr>
        <w:rFonts w:ascii="Calibri" w:hAnsi="Calibri" w:eastAsia="Calibri" w:cs="Calibri"/>
        <w:sz w:val="18"/>
        <w:szCs w:val="18"/>
      </w:rPr>
    </w:pPr>
    <w:r>
      <w:rPr>
        <w:rFonts w:ascii="Calibri" w:hAnsi="Calibri" w:eastAsia="Calibri" w:cs="Calibri"/>
        <w:spacing w:val="-4"/>
        <w:sz w:val="18"/>
        <w:szCs w:val="18"/>
      </w:rPr>
      <w:t>166</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CD57A">
    <w:pPr>
      <w:spacing w:line="236" w:lineRule="auto"/>
      <w:ind w:left="4236"/>
      <w:rPr>
        <w:rFonts w:ascii="Calibri" w:hAnsi="Calibri" w:eastAsia="Calibri" w:cs="Calibri"/>
        <w:sz w:val="18"/>
        <w:szCs w:val="18"/>
      </w:rPr>
    </w:pPr>
    <w:r>
      <w:rPr>
        <w:rFonts w:ascii="Calibri" w:hAnsi="Calibri" w:eastAsia="Calibri" w:cs="Calibri"/>
        <w:spacing w:val="-4"/>
        <w:sz w:val="18"/>
        <w:szCs w:val="18"/>
      </w:rPr>
      <w:t>167</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66283">
    <w:pPr>
      <w:spacing w:line="236" w:lineRule="auto"/>
      <w:ind w:left="4236"/>
      <w:rPr>
        <w:rFonts w:ascii="Calibri" w:hAnsi="Calibri" w:eastAsia="Calibri" w:cs="Calibri"/>
        <w:sz w:val="18"/>
        <w:szCs w:val="18"/>
      </w:rPr>
    </w:pPr>
    <w:r>
      <w:rPr>
        <w:rFonts w:ascii="Calibri" w:hAnsi="Calibri" w:eastAsia="Calibri" w:cs="Calibri"/>
        <w:spacing w:val="-4"/>
        <w:sz w:val="18"/>
        <w:szCs w:val="18"/>
      </w:rPr>
      <w:t>168</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CA434">
    <w:pPr>
      <w:spacing w:line="236" w:lineRule="auto"/>
      <w:ind w:left="4236"/>
      <w:rPr>
        <w:rFonts w:ascii="Calibri" w:hAnsi="Calibri" w:eastAsia="Calibri" w:cs="Calibri"/>
        <w:sz w:val="18"/>
        <w:szCs w:val="18"/>
      </w:rPr>
    </w:pPr>
    <w:r>
      <w:rPr>
        <w:rFonts w:ascii="Calibri" w:hAnsi="Calibri" w:eastAsia="Calibri" w:cs="Calibri"/>
        <w:spacing w:val="-4"/>
        <w:sz w:val="18"/>
        <w:szCs w:val="18"/>
      </w:rPr>
      <w:t>169</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8C5CD">
    <w:pPr>
      <w:spacing w:line="236" w:lineRule="auto"/>
      <w:ind w:left="4236"/>
      <w:rPr>
        <w:rFonts w:ascii="Calibri" w:hAnsi="Calibri" w:eastAsia="Calibri" w:cs="Calibri"/>
        <w:sz w:val="18"/>
        <w:szCs w:val="18"/>
      </w:rPr>
    </w:pPr>
    <w:r>
      <w:rPr>
        <w:rFonts w:ascii="Calibri" w:hAnsi="Calibri" w:eastAsia="Calibri" w:cs="Calibri"/>
        <w:spacing w:val="-4"/>
        <w:sz w:val="18"/>
        <w:szCs w:val="18"/>
      </w:rPr>
      <w:t>170</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226FC">
    <w:pPr>
      <w:spacing w:line="237" w:lineRule="auto"/>
      <w:ind w:left="4236"/>
      <w:rPr>
        <w:rFonts w:ascii="Calibri" w:hAnsi="Calibri" w:eastAsia="Calibri" w:cs="Calibri"/>
        <w:sz w:val="18"/>
        <w:szCs w:val="18"/>
      </w:rPr>
    </w:pPr>
    <w:r>
      <w:rPr>
        <w:rFonts w:ascii="Calibri" w:hAnsi="Calibri" w:eastAsia="Calibri" w:cs="Calibri"/>
        <w:spacing w:val="-4"/>
        <w:sz w:val="18"/>
        <w:szCs w:val="18"/>
      </w:rPr>
      <w:t>171</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1835C">
    <w:pPr>
      <w:spacing w:line="237" w:lineRule="auto"/>
      <w:ind w:left="4236"/>
      <w:rPr>
        <w:rFonts w:ascii="Calibri" w:hAnsi="Calibri" w:eastAsia="Calibri" w:cs="Calibri"/>
        <w:sz w:val="18"/>
        <w:szCs w:val="18"/>
      </w:rPr>
    </w:pPr>
    <w:r>
      <w:rPr>
        <w:rFonts w:ascii="Calibri" w:hAnsi="Calibri" w:eastAsia="Calibri" w:cs="Calibri"/>
        <w:spacing w:val="-4"/>
        <w:sz w:val="18"/>
        <w:szCs w:val="18"/>
      </w:rPr>
      <w:t>172</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D6CEA">
    <w:pPr>
      <w:spacing w:line="236" w:lineRule="auto"/>
      <w:ind w:left="4236"/>
      <w:rPr>
        <w:rFonts w:ascii="Calibri" w:hAnsi="Calibri" w:eastAsia="Calibri" w:cs="Calibri"/>
        <w:sz w:val="18"/>
        <w:szCs w:val="18"/>
      </w:rPr>
    </w:pPr>
    <w:r>
      <w:rPr>
        <w:rFonts w:ascii="Calibri" w:hAnsi="Calibri" w:eastAsia="Calibri" w:cs="Calibri"/>
        <w:spacing w:val="-6"/>
        <w:sz w:val="18"/>
        <w:szCs w:val="18"/>
      </w:rPr>
      <w:t>173</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FF5FD">
    <w:pPr>
      <w:spacing w:line="237" w:lineRule="auto"/>
      <w:ind w:left="4236"/>
      <w:rPr>
        <w:rFonts w:ascii="Calibri" w:hAnsi="Calibri" w:eastAsia="Calibri" w:cs="Calibri"/>
        <w:sz w:val="18"/>
        <w:szCs w:val="18"/>
      </w:rPr>
    </w:pPr>
    <w:r>
      <w:rPr>
        <w:rFonts w:ascii="Calibri" w:hAnsi="Calibri" w:eastAsia="Calibri" w:cs="Calibri"/>
        <w:spacing w:val="-4"/>
        <w:sz w:val="18"/>
        <w:szCs w:val="18"/>
      </w:rPr>
      <w:t>174</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87638">
    <w:pPr>
      <w:spacing w:line="236" w:lineRule="auto"/>
      <w:ind w:left="4236"/>
      <w:rPr>
        <w:rFonts w:ascii="Calibri" w:hAnsi="Calibri" w:eastAsia="Calibri" w:cs="Calibri"/>
        <w:sz w:val="18"/>
        <w:szCs w:val="18"/>
      </w:rPr>
    </w:pPr>
    <w:r>
      <w:rPr>
        <w:rFonts w:ascii="Calibri" w:hAnsi="Calibri" w:eastAsia="Calibri" w:cs="Calibri"/>
        <w:spacing w:val="-4"/>
        <w:sz w:val="18"/>
        <w:szCs w:val="18"/>
      </w:rPr>
      <w:t>175</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D7BD3">
    <w:pPr>
      <w:spacing w:line="236" w:lineRule="auto"/>
      <w:ind w:left="4236"/>
      <w:rPr>
        <w:rFonts w:ascii="Calibri" w:hAnsi="Calibri" w:eastAsia="Calibri" w:cs="Calibri"/>
        <w:sz w:val="18"/>
        <w:szCs w:val="18"/>
      </w:rPr>
    </w:pPr>
    <w:r>
      <w:rPr>
        <w:rFonts w:ascii="Calibri" w:hAnsi="Calibri" w:eastAsia="Calibri" w:cs="Calibri"/>
        <w:spacing w:val="-4"/>
        <w:sz w:val="18"/>
        <w:szCs w:val="18"/>
      </w:rPr>
      <w:t>176</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1CA55">
    <w:pPr>
      <w:spacing w:line="237" w:lineRule="auto"/>
      <w:ind w:left="4236"/>
      <w:rPr>
        <w:rFonts w:ascii="Calibri" w:hAnsi="Calibri" w:eastAsia="Calibri" w:cs="Calibri"/>
        <w:sz w:val="18"/>
        <w:szCs w:val="18"/>
      </w:rPr>
    </w:pPr>
    <w:r>
      <w:rPr>
        <w:rFonts w:ascii="Calibri" w:hAnsi="Calibri" w:eastAsia="Calibri" w:cs="Calibri"/>
        <w:spacing w:val="-4"/>
        <w:sz w:val="18"/>
        <w:szCs w:val="18"/>
      </w:rPr>
      <w:t>177</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6DF8C">
    <w:pPr>
      <w:spacing w:line="236" w:lineRule="auto"/>
      <w:ind w:left="4236"/>
      <w:rPr>
        <w:rFonts w:ascii="Calibri" w:hAnsi="Calibri" w:eastAsia="Calibri" w:cs="Calibri"/>
        <w:sz w:val="18"/>
        <w:szCs w:val="18"/>
      </w:rPr>
    </w:pPr>
    <w:r>
      <w:rPr>
        <w:rFonts w:ascii="Calibri" w:hAnsi="Calibri" w:eastAsia="Calibri" w:cs="Calibri"/>
        <w:spacing w:val="-4"/>
        <w:sz w:val="18"/>
        <w:szCs w:val="18"/>
      </w:rPr>
      <w:t>178</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10573">
    <w:pPr>
      <w:spacing w:line="236" w:lineRule="auto"/>
      <w:ind w:left="4236"/>
      <w:rPr>
        <w:rFonts w:ascii="Calibri" w:hAnsi="Calibri" w:eastAsia="Calibri" w:cs="Calibri"/>
        <w:sz w:val="18"/>
        <w:szCs w:val="18"/>
      </w:rPr>
    </w:pPr>
    <w:r>
      <w:rPr>
        <w:rFonts w:ascii="Calibri" w:hAnsi="Calibri" w:eastAsia="Calibri" w:cs="Calibri"/>
        <w:spacing w:val="-4"/>
        <w:sz w:val="18"/>
        <w:szCs w:val="18"/>
      </w:rPr>
      <w:t>179</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43E82">
    <w:pPr>
      <w:spacing w:line="236" w:lineRule="auto"/>
      <w:ind w:left="4236"/>
      <w:rPr>
        <w:rFonts w:ascii="Calibri" w:hAnsi="Calibri" w:eastAsia="Calibri" w:cs="Calibri"/>
        <w:sz w:val="18"/>
        <w:szCs w:val="18"/>
      </w:rPr>
    </w:pPr>
    <w:r>
      <w:rPr>
        <w:rFonts w:ascii="Calibri" w:hAnsi="Calibri" w:eastAsia="Calibri" w:cs="Calibri"/>
        <w:spacing w:val="-4"/>
        <w:sz w:val="18"/>
        <w:szCs w:val="18"/>
      </w:rPr>
      <w:t>180</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46D66">
    <w:pPr>
      <w:spacing w:line="236" w:lineRule="auto"/>
      <w:ind w:left="4236"/>
      <w:rPr>
        <w:rFonts w:ascii="Calibri" w:hAnsi="Calibri" w:eastAsia="Calibri" w:cs="Calibri"/>
        <w:sz w:val="18"/>
        <w:szCs w:val="18"/>
      </w:rPr>
    </w:pPr>
    <w:r>
      <w:rPr>
        <w:rFonts w:ascii="Calibri" w:hAnsi="Calibri" w:eastAsia="Calibri" w:cs="Calibri"/>
        <w:spacing w:val="-4"/>
        <w:sz w:val="18"/>
        <w:szCs w:val="18"/>
      </w:rPr>
      <w:t>181</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BB0B8">
    <w:pPr>
      <w:spacing w:line="236" w:lineRule="auto"/>
      <w:ind w:left="4236"/>
      <w:rPr>
        <w:rFonts w:ascii="Calibri" w:hAnsi="Calibri" w:eastAsia="Calibri" w:cs="Calibri"/>
        <w:sz w:val="18"/>
        <w:szCs w:val="18"/>
      </w:rPr>
    </w:pPr>
    <w:r>
      <w:rPr>
        <w:rFonts w:ascii="Calibri" w:hAnsi="Calibri" w:eastAsia="Calibri" w:cs="Calibri"/>
        <w:spacing w:val="-4"/>
        <w:sz w:val="18"/>
        <w:szCs w:val="18"/>
      </w:rPr>
      <w:t>182</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57C9E">
    <w:pPr>
      <w:spacing w:line="236" w:lineRule="auto"/>
      <w:ind w:left="4236"/>
      <w:rPr>
        <w:rFonts w:ascii="Calibri" w:hAnsi="Calibri" w:eastAsia="Calibri" w:cs="Calibri"/>
        <w:sz w:val="18"/>
        <w:szCs w:val="18"/>
      </w:rPr>
    </w:pPr>
    <w:r>
      <w:rPr>
        <w:rFonts w:ascii="Calibri" w:hAnsi="Calibri" w:eastAsia="Calibri" w:cs="Calibri"/>
        <w:spacing w:val="-4"/>
        <w:sz w:val="18"/>
        <w:szCs w:val="18"/>
      </w:rPr>
      <w:t>183</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58E76">
    <w:pPr>
      <w:spacing w:line="236" w:lineRule="auto"/>
      <w:ind w:left="4236"/>
      <w:rPr>
        <w:rFonts w:ascii="Calibri" w:hAnsi="Calibri" w:eastAsia="Calibri" w:cs="Calibri"/>
        <w:sz w:val="18"/>
        <w:szCs w:val="18"/>
      </w:rPr>
    </w:pPr>
    <w:r>
      <w:rPr>
        <w:rFonts w:ascii="Calibri" w:hAnsi="Calibri" w:eastAsia="Calibri" w:cs="Calibri"/>
        <w:spacing w:val="-4"/>
        <w:sz w:val="18"/>
        <w:szCs w:val="18"/>
      </w:rPr>
      <w:t>184</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2A540">
    <w:pPr>
      <w:spacing w:line="236" w:lineRule="auto"/>
      <w:ind w:left="4236"/>
      <w:rPr>
        <w:rFonts w:ascii="Calibri" w:hAnsi="Calibri" w:eastAsia="Calibri" w:cs="Calibri"/>
        <w:sz w:val="18"/>
        <w:szCs w:val="18"/>
      </w:rPr>
    </w:pPr>
    <w:r>
      <w:rPr>
        <w:rFonts w:ascii="Calibri" w:hAnsi="Calibri" w:eastAsia="Calibri" w:cs="Calibri"/>
        <w:spacing w:val="-4"/>
        <w:sz w:val="18"/>
        <w:szCs w:val="18"/>
      </w:rPr>
      <w:t>185</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B8E8C">
    <w:pPr>
      <w:spacing w:line="236" w:lineRule="auto"/>
      <w:ind w:left="4236"/>
      <w:rPr>
        <w:rFonts w:ascii="Calibri" w:hAnsi="Calibri" w:eastAsia="Calibri" w:cs="Calibri"/>
        <w:sz w:val="18"/>
        <w:szCs w:val="18"/>
      </w:rPr>
    </w:pPr>
    <w:r>
      <w:rPr>
        <w:rFonts w:ascii="Calibri" w:hAnsi="Calibri" w:eastAsia="Calibri" w:cs="Calibri"/>
        <w:spacing w:val="-4"/>
        <w:sz w:val="18"/>
        <w:szCs w:val="18"/>
      </w:rPr>
      <w:t>186</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1BF13">
    <w:pPr>
      <w:spacing w:line="236" w:lineRule="auto"/>
      <w:ind w:left="4236"/>
      <w:rPr>
        <w:rFonts w:ascii="Calibri" w:hAnsi="Calibri" w:eastAsia="Calibri" w:cs="Calibri"/>
        <w:sz w:val="18"/>
        <w:szCs w:val="18"/>
      </w:rPr>
    </w:pPr>
    <w:r>
      <w:rPr>
        <w:rFonts w:ascii="Calibri" w:hAnsi="Calibri" w:eastAsia="Calibri" w:cs="Calibri"/>
        <w:spacing w:val="-4"/>
        <w:sz w:val="18"/>
        <w:szCs w:val="18"/>
      </w:rPr>
      <w:t>187</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DBB22">
    <w:pPr>
      <w:spacing w:line="236" w:lineRule="auto"/>
      <w:ind w:left="4236"/>
      <w:rPr>
        <w:rFonts w:ascii="Calibri" w:hAnsi="Calibri" w:eastAsia="Calibri" w:cs="Calibri"/>
        <w:sz w:val="18"/>
        <w:szCs w:val="18"/>
      </w:rPr>
    </w:pPr>
    <w:r>
      <w:rPr>
        <w:rFonts w:ascii="Calibri" w:hAnsi="Calibri" w:eastAsia="Calibri" w:cs="Calibri"/>
        <w:spacing w:val="-4"/>
        <w:sz w:val="18"/>
        <w:szCs w:val="18"/>
      </w:rPr>
      <w:t>188</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2A220">
    <w:pPr>
      <w:spacing w:line="236" w:lineRule="auto"/>
      <w:ind w:left="4236"/>
      <w:rPr>
        <w:rFonts w:ascii="Calibri" w:hAnsi="Calibri" w:eastAsia="Calibri" w:cs="Calibri"/>
        <w:sz w:val="18"/>
        <w:szCs w:val="18"/>
      </w:rPr>
    </w:pPr>
    <w:r>
      <w:rPr>
        <w:rFonts w:ascii="Calibri" w:hAnsi="Calibri" w:eastAsia="Calibri" w:cs="Calibri"/>
        <w:spacing w:val="-4"/>
        <w:sz w:val="18"/>
        <w:szCs w:val="18"/>
      </w:rPr>
      <w:t>189</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59EE">
    <w:pPr>
      <w:spacing w:line="236" w:lineRule="auto"/>
      <w:ind w:left="4236"/>
      <w:rPr>
        <w:rFonts w:ascii="Calibri" w:hAnsi="Calibri" w:eastAsia="Calibri" w:cs="Calibri"/>
        <w:sz w:val="18"/>
        <w:szCs w:val="18"/>
      </w:rPr>
    </w:pPr>
    <w:r>
      <w:rPr>
        <w:rFonts w:ascii="Calibri" w:hAnsi="Calibri" w:eastAsia="Calibri" w:cs="Calibri"/>
        <w:spacing w:val="-4"/>
        <w:sz w:val="18"/>
        <w:szCs w:val="18"/>
      </w:rPr>
      <w:t>190</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A990B">
    <w:pPr>
      <w:spacing w:line="236" w:lineRule="auto"/>
      <w:ind w:left="4236"/>
      <w:rPr>
        <w:rFonts w:ascii="Calibri" w:hAnsi="Calibri" w:eastAsia="Calibri" w:cs="Calibri"/>
        <w:sz w:val="18"/>
        <w:szCs w:val="18"/>
      </w:rPr>
    </w:pPr>
    <w:r>
      <w:rPr>
        <w:rFonts w:ascii="Calibri" w:hAnsi="Calibri" w:eastAsia="Calibri" w:cs="Calibri"/>
        <w:spacing w:val="-4"/>
        <w:sz w:val="18"/>
        <w:szCs w:val="18"/>
      </w:rPr>
      <w:t>191</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876BB">
    <w:pPr>
      <w:spacing w:line="236" w:lineRule="auto"/>
      <w:ind w:left="4236"/>
      <w:rPr>
        <w:rFonts w:ascii="Calibri" w:hAnsi="Calibri" w:eastAsia="Calibri" w:cs="Calibri"/>
        <w:sz w:val="18"/>
        <w:szCs w:val="18"/>
      </w:rPr>
    </w:pPr>
    <w:r>
      <w:rPr>
        <w:rFonts w:ascii="Calibri" w:hAnsi="Calibri" w:eastAsia="Calibri" w:cs="Calibri"/>
        <w:spacing w:val="-4"/>
        <w:sz w:val="18"/>
        <w:szCs w:val="18"/>
      </w:rPr>
      <w:t>192</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6EC2B">
    <w:pPr>
      <w:spacing w:line="236" w:lineRule="auto"/>
      <w:ind w:left="4236"/>
      <w:rPr>
        <w:rFonts w:ascii="Calibri" w:hAnsi="Calibri" w:eastAsia="Calibri" w:cs="Calibri"/>
        <w:sz w:val="18"/>
        <w:szCs w:val="18"/>
      </w:rPr>
    </w:pPr>
    <w:r>
      <w:rPr>
        <w:rFonts w:ascii="Calibri" w:hAnsi="Calibri" w:eastAsia="Calibri" w:cs="Calibri"/>
        <w:spacing w:val="-4"/>
        <w:sz w:val="18"/>
        <w:szCs w:val="18"/>
      </w:rPr>
      <w:t>193</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A5128">
    <w:pPr>
      <w:spacing w:line="236" w:lineRule="auto"/>
      <w:ind w:left="4236"/>
      <w:rPr>
        <w:rFonts w:ascii="Calibri" w:hAnsi="Calibri" w:eastAsia="Calibri" w:cs="Calibri"/>
        <w:sz w:val="18"/>
        <w:szCs w:val="18"/>
      </w:rPr>
    </w:pPr>
    <w:r>
      <w:rPr>
        <w:rFonts w:ascii="Calibri" w:hAnsi="Calibri" w:eastAsia="Calibri" w:cs="Calibri"/>
        <w:spacing w:val="-4"/>
        <w:sz w:val="18"/>
        <w:szCs w:val="18"/>
      </w:rPr>
      <w:t>194</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775DA">
    <w:pPr>
      <w:spacing w:line="236" w:lineRule="auto"/>
      <w:ind w:left="4236"/>
      <w:rPr>
        <w:rFonts w:ascii="Calibri" w:hAnsi="Calibri" w:eastAsia="Calibri" w:cs="Calibri"/>
        <w:sz w:val="18"/>
        <w:szCs w:val="18"/>
      </w:rPr>
    </w:pPr>
    <w:r>
      <w:rPr>
        <w:rFonts w:ascii="Calibri" w:hAnsi="Calibri" w:eastAsia="Calibri" w:cs="Calibri"/>
        <w:spacing w:val="-4"/>
        <w:sz w:val="18"/>
        <w:szCs w:val="18"/>
      </w:rPr>
      <w:t>195</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F0C1F">
    <w:pPr>
      <w:spacing w:line="236" w:lineRule="auto"/>
      <w:ind w:left="4236"/>
      <w:rPr>
        <w:rFonts w:ascii="Calibri" w:hAnsi="Calibri" w:eastAsia="Calibri" w:cs="Calibri"/>
        <w:sz w:val="18"/>
        <w:szCs w:val="18"/>
      </w:rPr>
    </w:pPr>
    <w:r>
      <w:rPr>
        <w:rFonts w:ascii="Calibri" w:hAnsi="Calibri" w:eastAsia="Calibri" w:cs="Calibri"/>
        <w:spacing w:val="-4"/>
        <w:sz w:val="18"/>
        <w:szCs w:val="18"/>
      </w:rPr>
      <w:t>196</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BAB5A">
    <w:pPr>
      <w:spacing w:line="236" w:lineRule="auto"/>
      <w:ind w:left="4236"/>
      <w:rPr>
        <w:rFonts w:ascii="Calibri" w:hAnsi="Calibri" w:eastAsia="Calibri" w:cs="Calibri"/>
        <w:sz w:val="18"/>
        <w:szCs w:val="18"/>
      </w:rPr>
    </w:pPr>
    <w:r>
      <w:rPr>
        <w:rFonts w:ascii="Calibri" w:hAnsi="Calibri" w:eastAsia="Calibri" w:cs="Calibri"/>
        <w:spacing w:val="-4"/>
        <w:sz w:val="18"/>
        <w:szCs w:val="18"/>
      </w:rPr>
      <w:t>197</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FF917">
    <w:pPr>
      <w:spacing w:line="236" w:lineRule="auto"/>
      <w:ind w:left="4236"/>
      <w:rPr>
        <w:rFonts w:ascii="Calibri" w:hAnsi="Calibri" w:eastAsia="Calibri" w:cs="Calibri"/>
        <w:sz w:val="18"/>
        <w:szCs w:val="18"/>
      </w:rPr>
    </w:pPr>
    <w:r>
      <w:rPr>
        <w:rFonts w:ascii="Calibri" w:hAnsi="Calibri" w:eastAsia="Calibri" w:cs="Calibri"/>
        <w:spacing w:val="-4"/>
        <w:sz w:val="18"/>
        <w:szCs w:val="18"/>
      </w:rPr>
      <w:t>198</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7BE1A">
    <w:pPr>
      <w:spacing w:line="236" w:lineRule="auto"/>
      <w:ind w:left="4236"/>
      <w:rPr>
        <w:rFonts w:ascii="Calibri" w:hAnsi="Calibri" w:eastAsia="Calibri" w:cs="Calibri"/>
        <w:sz w:val="18"/>
        <w:szCs w:val="18"/>
      </w:rPr>
    </w:pPr>
    <w:r>
      <w:rPr>
        <w:rFonts w:ascii="Calibri" w:hAnsi="Calibri" w:eastAsia="Calibri" w:cs="Calibri"/>
        <w:spacing w:val="-4"/>
        <w:sz w:val="18"/>
        <w:szCs w:val="18"/>
      </w:rPr>
      <w:t>199</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5FC37">
    <w:pPr>
      <w:spacing w:line="236" w:lineRule="auto"/>
      <w:ind w:left="4231"/>
      <w:rPr>
        <w:rFonts w:ascii="Calibri" w:hAnsi="Calibri" w:eastAsia="Calibri" w:cs="Calibri"/>
        <w:sz w:val="18"/>
        <w:szCs w:val="18"/>
      </w:rPr>
    </w:pPr>
    <w:r>
      <w:rPr>
        <w:rFonts w:ascii="Calibri" w:hAnsi="Calibri" w:eastAsia="Calibri" w:cs="Calibri"/>
        <w:spacing w:val="-3"/>
        <w:sz w:val="18"/>
        <w:szCs w:val="18"/>
      </w:rPr>
      <w:t>200</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96DEF">
    <w:pPr>
      <w:spacing w:line="236" w:lineRule="auto"/>
      <w:ind w:left="4231"/>
      <w:rPr>
        <w:rFonts w:ascii="Calibri" w:hAnsi="Calibri" w:eastAsia="Calibri" w:cs="Calibri"/>
        <w:sz w:val="18"/>
        <w:szCs w:val="18"/>
      </w:rPr>
    </w:pPr>
    <w:r>
      <w:rPr>
        <w:rFonts w:ascii="Calibri" w:hAnsi="Calibri" w:eastAsia="Calibri" w:cs="Calibri"/>
        <w:spacing w:val="-3"/>
        <w:sz w:val="18"/>
        <w:szCs w:val="18"/>
      </w:rPr>
      <w:t>201</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AC049">
    <w:pPr>
      <w:spacing w:line="236" w:lineRule="auto"/>
      <w:ind w:left="4231"/>
      <w:rPr>
        <w:rFonts w:ascii="Calibri" w:hAnsi="Calibri" w:eastAsia="Calibri" w:cs="Calibri"/>
        <w:sz w:val="18"/>
        <w:szCs w:val="18"/>
      </w:rPr>
    </w:pPr>
    <w:r>
      <w:rPr>
        <w:rFonts w:ascii="Calibri" w:hAnsi="Calibri" w:eastAsia="Calibri" w:cs="Calibri"/>
        <w:spacing w:val="-3"/>
        <w:sz w:val="18"/>
        <w:szCs w:val="18"/>
      </w:rPr>
      <w:t>202</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FA44F">
    <w:pPr>
      <w:spacing w:line="236" w:lineRule="auto"/>
      <w:ind w:left="4231"/>
      <w:rPr>
        <w:rFonts w:ascii="Calibri" w:hAnsi="Calibri" w:eastAsia="Calibri" w:cs="Calibri"/>
        <w:sz w:val="18"/>
        <w:szCs w:val="18"/>
      </w:rPr>
    </w:pPr>
    <w:r>
      <w:rPr>
        <w:rFonts w:ascii="Calibri" w:hAnsi="Calibri" w:eastAsia="Calibri" w:cs="Calibri"/>
        <w:spacing w:val="-3"/>
        <w:sz w:val="18"/>
        <w:szCs w:val="18"/>
      </w:rPr>
      <w:t>203</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7F204">
    <w:pPr>
      <w:spacing w:line="236" w:lineRule="auto"/>
      <w:ind w:left="4231"/>
      <w:rPr>
        <w:rFonts w:ascii="Calibri" w:hAnsi="Calibri" w:eastAsia="Calibri" w:cs="Calibri"/>
        <w:sz w:val="18"/>
        <w:szCs w:val="18"/>
      </w:rPr>
    </w:pPr>
    <w:r>
      <w:rPr>
        <w:rFonts w:ascii="Calibri" w:hAnsi="Calibri" w:eastAsia="Calibri" w:cs="Calibri"/>
        <w:spacing w:val="-3"/>
        <w:sz w:val="18"/>
        <w:szCs w:val="18"/>
      </w:rPr>
      <w:t>204</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D75DA">
    <w:pPr>
      <w:spacing w:line="236" w:lineRule="auto"/>
      <w:ind w:left="4231"/>
      <w:rPr>
        <w:rFonts w:ascii="Calibri" w:hAnsi="Calibri" w:eastAsia="Calibri" w:cs="Calibri"/>
        <w:sz w:val="18"/>
        <w:szCs w:val="18"/>
      </w:rPr>
    </w:pPr>
    <w:r>
      <w:rPr>
        <w:rFonts w:ascii="Calibri" w:hAnsi="Calibri" w:eastAsia="Calibri" w:cs="Calibri"/>
        <w:spacing w:val="-3"/>
        <w:sz w:val="18"/>
        <w:szCs w:val="18"/>
      </w:rPr>
      <w:t>205</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341C0">
    <w:pPr>
      <w:spacing w:line="236" w:lineRule="auto"/>
      <w:ind w:left="4231"/>
      <w:rPr>
        <w:rFonts w:ascii="Calibri" w:hAnsi="Calibri" w:eastAsia="Calibri" w:cs="Calibri"/>
        <w:sz w:val="18"/>
        <w:szCs w:val="18"/>
      </w:rPr>
    </w:pPr>
    <w:r>
      <w:rPr>
        <w:rFonts w:ascii="Calibri" w:hAnsi="Calibri" w:eastAsia="Calibri" w:cs="Calibri"/>
        <w:spacing w:val="-3"/>
        <w:sz w:val="18"/>
        <w:szCs w:val="18"/>
      </w:rPr>
      <w:t>206</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D00F3">
    <w:pPr>
      <w:spacing w:line="236" w:lineRule="auto"/>
      <w:ind w:left="4231"/>
      <w:rPr>
        <w:rFonts w:ascii="Calibri" w:hAnsi="Calibri" w:eastAsia="Calibri" w:cs="Calibri"/>
        <w:sz w:val="18"/>
        <w:szCs w:val="18"/>
      </w:rPr>
    </w:pPr>
    <w:r>
      <w:rPr>
        <w:rFonts w:ascii="Calibri" w:hAnsi="Calibri" w:eastAsia="Calibri" w:cs="Calibri"/>
        <w:spacing w:val="-3"/>
        <w:sz w:val="18"/>
        <w:szCs w:val="18"/>
      </w:rPr>
      <w:t>207</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58F80">
    <w:pPr>
      <w:spacing w:line="236" w:lineRule="auto"/>
      <w:ind w:left="4650"/>
      <w:rPr>
        <w:rFonts w:ascii="Calibri" w:hAnsi="Calibri" w:eastAsia="Calibri" w:cs="Calibri"/>
        <w:sz w:val="18"/>
        <w:szCs w:val="18"/>
      </w:rPr>
    </w:pPr>
    <w:r>
      <w:rPr>
        <w:rFonts w:ascii="Calibri" w:hAnsi="Calibri" w:eastAsia="Calibri" w:cs="Calibri"/>
        <w:spacing w:val="-3"/>
        <w:sz w:val="18"/>
        <w:szCs w:val="18"/>
      </w:rPr>
      <w:t>208</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9734A">
    <w:pPr>
      <w:spacing w:line="236" w:lineRule="auto"/>
      <w:ind w:left="4231"/>
      <w:rPr>
        <w:rFonts w:ascii="Calibri" w:hAnsi="Calibri" w:eastAsia="Calibri" w:cs="Calibri"/>
        <w:sz w:val="18"/>
        <w:szCs w:val="18"/>
      </w:rPr>
    </w:pPr>
    <w:r>
      <w:rPr>
        <w:rFonts w:ascii="Calibri" w:hAnsi="Calibri" w:eastAsia="Calibri" w:cs="Calibri"/>
        <w:spacing w:val="-3"/>
        <w:sz w:val="18"/>
        <w:szCs w:val="18"/>
      </w:rPr>
      <w:t>209</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C7CE2">
    <w:pPr>
      <w:spacing w:line="236" w:lineRule="auto"/>
      <w:ind w:left="4231"/>
      <w:rPr>
        <w:rFonts w:ascii="Calibri" w:hAnsi="Calibri" w:eastAsia="Calibri" w:cs="Calibri"/>
        <w:sz w:val="18"/>
        <w:szCs w:val="18"/>
      </w:rPr>
    </w:pPr>
    <w:r>
      <w:rPr>
        <w:rFonts w:ascii="Calibri" w:hAnsi="Calibri" w:eastAsia="Calibri" w:cs="Calibri"/>
        <w:spacing w:val="-3"/>
        <w:sz w:val="18"/>
        <w:szCs w:val="18"/>
      </w:rPr>
      <w:t>210</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0B3BE">
    <w:pPr>
      <w:spacing w:line="238" w:lineRule="auto"/>
      <w:ind w:left="4231"/>
      <w:rPr>
        <w:rFonts w:ascii="Calibri" w:hAnsi="Calibri" w:eastAsia="Calibri" w:cs="Calibri"/>
        <w:sz w:val="18"/>
        <w:szCs w:val="18"/>
      </w:rPr>
    </w:pPr>
    <w:r>
      <w:rPr>
        <w:rFonts w:ascii="Calibri" w:hAnsi="Calibri" w:eastAsia="Calibri" w:cs="Calibri"/>
        <w:spacing w:val="-3"/>
        <w:sz w:val="18"/>
        <w:szCs w:val="18"/>
      </w:rPr>
      <w:t>211</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D7D76">
    <w:pPr>
      <w:spacing w:line="238" w:lineRule="auto"/>
      <w:ind w:left="4231"/>
      <w:rPr>
        <w:rFonts w:ascii="Calibri" w:hAnsi="Calibri" w:eastAsia="Calibri" w:cs="Calibri"/>
        <w:sz w:val="18"/>
        <w:szCs w:val="18"/>
      </w:rPr>
    </w:pPr>
    <w:r>
      <w:rPr>
        <w:rFonts w:ascii="Calibri" w:hAnsi="Calibri" w:eastAsia="Calibri" w:cs="Calibri"/>
        <w:spacing w:val="-3"/>
        <w:sz w:val="18"/>
        <w:szCs w:val="18"/>
      </w:rPr>
      <w:t>212</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B7767">
    <w:pPr>
      <w:spacing w:line="236" w:lineRule="auto"/>
      <w:ind w:left="4231"/>
      <w:rPr>
        <w:rFonts w:ascii="Calibri" w:hAnsi="Calibri" w:eastAsia="Calibri" w:cs="Calibri"/>
        <w:sz w:val="18"/>
        <w:szCs w:val="18"/>
      </w:rPr>
    </w:pPr>
    <w:r>
      <w:rPr>
        <w:rFonts w:ascii="Calibri" w:hAnsi="Calibri" w:eastAsia="Calibri" w:cs="Calibri"/>
        <w:spacing w:val="-3"/>
        <w:sz w:val="18"/>
        <w:szCs w:val="18"/>
      </w:rPr>
      <w:t>213</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97E3F">
    <w:pPr>
      <w:spacing w:line="237" w:lineRule="auto"/>
      <w:ind w:left="4275"/>
      <w:rPr>
        <w:rFonts w:ascii="Calibri" w:hAnsi="Calibri" w:eastAsia="Calibri" w:cs="Calibri"/>
        <w:sz w:val="18"/>
        <w:szCs w:val="18"/>
      </w:rPr>
    </w:pPr>
    <w:r>
      <w:rPr>
        <w:rFonts w:ascii="Calibri" w:hAnsi="Calibri" w:eastAsia="Calibri" w:cs="Calibri"/>
        <w:spacing w:val="-3"/>
        <w:sz w:val="18"/>
        <w:szCs w:val="18"/>
      </w:rPr>
      <w:t>214</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9BCCC">
    <w:pPr>
      <w:spacing w:line="236" w:lineRule="auto"/>
      <w:ind w:left="4231"/>
      <w:rPr>
        <w:rFonts w:ascii="Calibri" w:hAnsi="Calibri" w:eastAsia="Calibri" w:cs="Calibri"/>
        <w:sz w:val="18"/>
        <w:szCs w:val="18"/>
      </w:rPr>
    </w:pPr>
    <w:r>
      <w:rPr>
        <w:rFonts w:ascii="Calibri" w:hAnsi="Calibri" w:eastAsia="Calibri" w:cs="Calibri"/>
        <w:spacing w:val="-3"/>
        <w:sz w:val="18"/>
        <w:szCs w:val="18"/>
      </w:rPr>
      <w:t>215</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BB0B8">
    <w:pPr>
      <w:spacing w:line="236" w:lineRule="auto"/>
      <w:ind w:left="4231"/>
      <w:rPr>
        <w:rFonts w:ascii="Calibri" w:hAnsi="Calibri" w:eastAsia="Calibri" w:cs="Calibri"/>
        <w:sz w:val="18"/>
        <w:szCs w:val="18"/>
      </w:rPr>
    </w:pPr>
    <w:r>
      <w:rPr>
        <w:rFonts w:ascii="Calibri" w:hAnsi="Calibri" w:eastAsia="Calibri" w:cs="Calibri"/>
        <w:spacing w:val="-3"/>
        <w:sz w:val="18"/>
        <w:szCs w:val="18"/>
      </w:rPr>
      <w:t>216</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1996F">
    <w:pPr>
      <w:spacing w:line="237" w:lineRule="auto"/>
      <w:ind w:left="4231"/>
      <w:rPr>
        <w:rFonts w:ascii="Calibri" w:hAnsi="Calibri" w:eastAsia="Calibri" w:cs="Calibri"/>
        <w:sz w:val="18"/>
        <w:szCs w:val="18"/>
      </w:rPr>
    </w:pPr>
    <w:r>
      <w:rPr>
        <w:rFonts w:ascii="Calibri" w:hAnsi="Calibri" w:eastAsia="Calibri" w:cs="Calibri"/>
        <w:spacing w:val="-3"/>
        <w:sz w:val="18"/>
        <w:szCs w:val="18"/>
      </w:rPr>
      <w:t>217</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301CB">
    <w:pPr>
      <w:spacing w:line="236" w:lineRule="auto"/>
      <w:ind w:left="4231"/>
      <w:rPr>
        <w:rFonts w:ascii="Calibri" w:hAnsi="Calibri" w:eastAsia="Calibri" w:cs="Calibri"/>
        <w:sz w:val="18"/>
        <w:szCs w:val="18"/>
      </w:rPr>
    </w:pPr>
    <w:r>
      <w:rPr>
        <w:rFonts w:ascii="Calibri" w:hAnsi="Calibri" w:eastAsia="Calibri" w:cs="Calibri"/>
        <w:spacing w:val="-3"/>
        <w:sz w:val="18"/>
        <w:szCs w:val="18"/>
      </w:rPr>
      <w:t>218</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60244">
    <w:pPr>
      <w:spacing w:line="236" w:lineRule="auto"/>
      <w:ind w:left="4231"/>
      <w:rPr>
        <w:rFonts w:ascii="Calibri" w:hAnsi="Calibri" w:eastAsia="Calibri" w:cs="Calibri"/>
        <w:sz w:val="18"/>
        <w:szCs w:val="18"/>
      </w:rPr>
    </w:pPr>
    <w:r>
      <w:rPr>
        <w:rFonts w:ascii="Calibri" w:hAnsi="Calibri" w:eastAsia="Calibri" w:cs="Calibri"/>
        <w:spacing w:val="-3"/>
        <w:sz w:val="18"/>
        <w:szCs w:val="18"/>
      </w:rPr>
      <w:t>219</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102C0">
    <w:pPr>
      <w:spacing w:line="236" w:lineRule="auto"/>
      <w:ind w:left="4231"/>
      <w:rPr>
        <w:rFonts w:ascii="Calibri" w:hAnsi="Calibri" w:eastAsia="Calibri" w:cs="Calibri"/>
        <w:sz w:val="18"/>
        <w:szCs w:val="18"/>
      </w:rPr>
    </w:pPr>
    <w:r>
      <w:rPr>
        <w:rFonts w:ascii="Calibri" w:hAnsi="Calibri" w:eastAsia="Calibri" w:cs="Calibri"/>
        <w:spacing w:val="-3"/>
        <w:sz w:val="18"/>
        <w:szCs w:val="18"/>
      </w:rPr>
      <w:t>220</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C0433">
    <w:pPr>
      <w:spacing w:line="238" w:lineRule="auto"/>
      <w:ind w:left="4365"/>
      <w:rPr>
        <w:rFonts w:ascii="Calibri" w:hAnsi="Calibri" w:eastAsia="Calibri" w:cs="Calibri"/>
        <w:sz w:val="18"/>
        <w:szCs w:val="18"/>
      </w:rPr>
    </w:pPr>
    <w:r>
      <w:rPr>
        <w:rFonts w:ascii="Calibri" w:hAnsi="Calibri" w:eastAsia="Calibri" w:cs="Calibri"/>
        <w:spacing w:val="-3"/>
        <w:sz w:val="18"/>
        <w:szCs w:val="18"/>
      </w:rPr>
      <w:t>221</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D56F9">
    <w:pPr>
      <w:spacing w:line="238" w:lineRule="auto"/>
      <w:ind w:left="4365"/>
      <w:rPr>
        <w:rFonts w:ascii="Calibri" w:hAnsi="Calibri" w:eastAsia="Calibri" w:cs="Calibri"/>
        <w:sz w:val="18"/>
        <w:szCs w:val="18"/>
      </w:rPr>
    </w:pPr>
    <w:r>
      <w:rPr>
        <w:rFonts w:ascii="Calibri" w:hAnsi="Calibri" w:eastAsia="Calibri" w:cs="Calibri"/>
        <w:spacing w:val="-3"/>
        <w:sz w:val="18"/>
        <w:szCs w:val="18"/>
      </w:rPr>
      <w:t>222</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A4B9">
    <w:pPr>
      <w:spacing w:line="236" w:lineRule="auto"/>
      <w:ind w:left="4260"/>
      <w:rPr>
        <w:rFonts w:ascii="Calibri" w:hAnsi="Calibri" w:eastAsia="Calibri" w:cs="Calibri"/>
        <w:sz w:val="18"/>
        <w:szCs w:val="18"/>
      </w:rPr>
    </w:pPr>
    <w:r>
      <w:rPr>
        <w:rFonts w:ascii="Calibri" w:hAnsi="Calibri" w:eastAsia="Calibri" w:cs="Calibri"/>
        <w:spacing w:val="-3"/>
        <w:sz w:val="18"/>
        <w:szCs w:val="18"/>
      </w:rPr>
      <w:t>223</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DEAB3">
    <w:pPr>
      <w:spacing w:line="237" w:lineRule="auto"/>
      <w:ind w:left="4231"/>
      <w:rPr>
        <w:rFonts w:ascii="Calibri" w:hAnsi="Calibri" w:eastAsia="Calibri" w:cs="Calibri"/>
        <w:sz w:val="18"/>
        <w:szCs w:val="18"/>
      </w:rPr>
    </w:pPr>
    <w:r>
      <w:rPr>
        <w:rFonts w:ascii="Calibri" w:hAnsi="Calibri" w:eastAsia="Calibri" w:cs="Calibri"/>
        <w:spacing w:val="-3"/>
        <w:sz w:val="18"/>
        <w:szCs w:val="18"/>
      </w:rPr>
      <w:t>224</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783A5">
    <w:pPr>
      <w:spacing w:line="236" w:lineRule="auto"/>
      <w:ind w:left="4231"/>
      <w:rPr>
        <w:rFonts w:ascii="Calibri" w:hAnsi="Calibri" w:eastAsia="Calibri" w:cs="Calibri"/>
        <w:sz w:val="18"/>
        <w:szCs w:val="18"/>
      </w:rPr>
    </w:pPr>
    <w:r>
      <w:rPr>
        <w:rFonts w:ascii="Calibri" w:hAnsi="Calibri" w:eastAsia="Calibri" w:cs="Calibri"/>
        <w:spacing w:val="-3"/>
        <w:sz w:val="18"/>
        <w:szCs w:val="18"/>
      </w:rPr>
      <w:t>225</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AEAFE">
    <w:pPr>
      <w:spacing w:line="236" w:lineRule="auto"/>
      <w:ind w:left="4231"/>
      <w:rPr>
        <w:rFonts w:ascii="Calibri" w:hAnsi="Calibri" w:eastAsia="Calibri" w:cs="Calibri"/>
        <w:sz w:val="18"/>
        <w:szCs w:val="18"/>
      </w:rPr>
    </w:pPr>
    <w:r>
      <w:rPr>
        <w:rFonts w:ascii="Calibri" w:hAnsi="Calibri" w:eastAsia="Calibri" w:cs="Calibri"/>
        <w:spacing w:val="-3"/>
        <w:sz w:val="18"/>
        <w:szCs w:val="18"/>
      </w:rPr>
      <w:t>226</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8B2AE">
    <w:pPr>
      <w:spacing w:line="237" w:lineRule="auto"/>
      <w:ind w:left="4231"/>
      <w:rPr>
        <w:rFonts w:ascii="Calibri" w:hAnsi="Calibri" w:eastAsia="Calibri" w:cs="Calibri"/>
        <w:sz w:val="18"/>
        <w:szCs w:val="18"/>
      </w:rPr>
    </w:pPr>
    <w:r>
      <w:rPr>
        <w:rFonts w:ascii="Calibri" w:hAnsi="Calibri" w:eastAsia="Calibri" w:cs="Calibri"/>
        <w:spacing w:val="-3"/>
        <w:sz w:val="18"/>
        <w:szCs w:val="18"/>
      </w:rPr>
      <w:t>227</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00687">
    <w:pPr>
      <w:spacing w:line="236" w:lineRule="auto"/>
      <w:ind w:left="4231"/>
      <w:rPr>
        <w:rFonts w:ascii="Calibri" w:hAnsi="Calibri" w:eastAsia="Calibri" w:cs="Calibri"/>
        <w:sz w:val="18"/>
        <w:szCs w:val="18"/>
      </w:rPr>
    </w:pPr>
    <w:r>
      <w:rPr>
        <w:rFonts w:ascii="Calibri" w:hAnsi="Calibri" w:eastAsia="Calibri" w:cs="Calibri"/>
        <w:spacing w:val="-3"/>
        <w:sz w:val="18"/>
        <w:szCs w:val="18"/>
      </w:rPr>
      <w:t>228</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D4193">
    <w:pPr>
      <w:spacing w:line="236" w:lineRule="auto"/>
      <w:ind w:left="4231"/>
      <w:rPr>
        <w:rFonts w:ascii="Calibri" w:hAnsi="Calibri" w:eastAsia="Calibri" w:cs="Calibri"/>
        <w:sz w:val="18"/>
        <w:szCs w:val="18"/>
      </w:rPr>
    </w:pPr>
    <w:r>
      <w:rPr>
        <w:rFonts w:ascii="Calibri" w:hAnsi="Calibri" w:eastAsia="Calibri" w:cs="Calibri"/>
        <w:spacing w:val="-3"/>
        <w:sz w:val="18"/>
        <w:szCs w:val="18"/>
      </w:rPr>
      <w:t>229</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1D9C2">
    <w:pPr>
      <w:spacing w:line="236" w:lineRule="auto"/>
      <w:ind w:left="4231"/>
      <w:rPr>
        <w:rFonts w:ascii="Calibri" w:hAnsi="Calibri" w:eastAsia="Calibri" w:cs="Calibri"/>
        <w:sz w:val="18"/>
        <w:szCs w:val="18"/>
      </w:rPr>
    </w:pPr>
    <w:r>
      <w:rPr>
        <w:rFonts w:ascii="Calibri" w:hAnsi="Calibri" w:eastAsia="Calibri" w:cs="Calibri"/>
        <w:spacing w:val="-3"/>
        <w:sz w:val="18"/>
        <w:szCs w:val="18"/>
      </w:rPr>
      <w:t>230</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814B2">
    <w:pPr>
      <w:spacing w:line="236" w:lineRule="auto"/>
      <w:ind w:left="4231"/>
      <w:rPr>
        <w:rFonts w:ascii="Calibri" w:hAnsi="Calibri" w:eastAsia="Calibri" w:cs="Calibri"/>
        <w:sz w:val="18"/>
        <w:szCs w:val="18"/>
      </w:rPr>
    </w:pPr>
    <w:r>
      <w:rPr>
        <w:rFonts w:ascii="Calibri" w:hAnsi="Calibri" w:eastAsia="Calibri" w:cs="Calibri"/>
        <w:spacing w:val="-3"/>
        <w:sz w:val="18"/>
        <w:szCs w:val="18"/>
      </w:rPr>
      <w:t>231</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C020D">
    <w:pPr>
      <w:spacing w:line="236" w:lineRule="auto"/>
      <w:ind w:left="4231"/>
      <w:rPr>
        <w:rFonts w:ascii="Calibri" w:hAnsi="Calibri" w:eastAsia="Calibri" w:cs="Calibri"/>
        <w:sz w:val="18"/>
        <w:szCs w:val="18"/>
      </w:rPr>
    </w:pPr>
    <w:r>
      <w:rPr>
        <w:rFonts w:ascii="Calibri" w:hAnsi="Calibri" w:eastAsia="Calibri" w:cs="Calibri"/>
        <w:spacing w:val="-3"/>
        <w:sz w:val="18"/>
        <w:szCs w:val="18"/>
      </w:rPr>
      <w:t>232</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77E92">
    <w:pPr>
      <w:spacing w:line="236" w:lineRule="auto"/>
      <w:ind w:left="4231"/>
      <w:rPr>
        <w:rFonts w:ascii="Calibri" w:hAnsi="Calibri" w:eastAsia="Calibri" w:cs="Calibri"/>
        <w:sz w:val="18"/>
        <w:szCs w:val="18"/>
      </w:rPr>
    </w:pPr>
    <w:r>
      <w:rPr>
        <w:rFonts w:ascii="Calibri" w:hAnsi="Calibri" w:eastAsia="Calibri" w:cs="Calibri"/>
        <w:spacing w:val="-3"/>
        <w:sz w:val="18"/>
        <w:szCs w:val="18"/>
      </w:rPr>
      <w:t>233</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A250B">
    <w:pPr>
      <w:spacing w:line="236" w:lineRule="auto"/>
      <w:ind w:left="4231"/>
      <w:rPr>
        <w:rFonts w:ascii="Calibri" w:hAnsi="Calibri" w:eastAsia="Calibri" w:cs="Calibri"/>
        <w:sz w:val="18"/>
        <w:szCs w:val="18"/>
      </w:rPr>
    </w:pPr>
    <w:r>
      <w:rPr>
        <w:rFonts w:ascii="Calibri" w:hAnsi="Calibri" w:eastAsia="Calibri" w:cs="Calibri"/>
        <w:spacing w:val="-3"/>
        <w:sz w:val="18"/>
        <w:szCs w:val="18"/>
      </w:rPr>
      <w:t>234</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6F5D5">
    <w:pPr>
      <w:spacing w:line="236" w:lineRule="auto"/>
      <w:ind w:left="4327"/>
      <w:rPr>
        <w:rFonts w:ascii="Calibri" w:hAnsi="Calibri" w:eastAsia="Calibri" w:cs="Calibri"/>
        <w:sz w:val="18"/>
        <w:szCs w:val="18"/>
      </w:rPr>
    </w:pPr>
    <w:r>
      <w:rPr>
        <w:rFonts w:ascii="Calibri" w:hAnsi="Calibri" w:eastAsia="Calibri" w:cs="Calibri"/>
        <w:spacing w:val="-3"/>
        <w:sz w:val="18"/>
        <w:szCs w:val="18"/>
      </w:rPr>
      <w:t>235</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4A25C">
    <w:pPr>
      <w:spacing w:line="236" w:lineRule="auto"/>
      <w:ind w:left="4231"/>
      <w:rPr>
        <w:rFonts w:ascii="Calibri" w:hAnsi="Calibri" w:eastAsia="Calibri" w:cs="Calibri"/>
        <w:sz w:val="18"/>
        <w:szCs w:val="18"/>
      </w:rPr>
    </w:pPr>
    <w:r>
      <w:rPr>
        <w:rFonts w:ascii="Calibri" w:hAnsi="Calibri" w:eastAsia="Calibri" w:cs="Calibri"/>
        <w:spacing w:val="-3"/>
        <w:sz w:val="18"/>
        <w:szCs w:val="18"/>
      </w:rPr>
      <w:t>236</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110B6">
    <w:pPr>
      <w:spacing w:line="236" w:lineRule="auto"/>
      <w:ind w:left="4231"/>
      <w:rPr>
        <w:rFonts w:ascii="Calibri" w:hAnsi="Calibri" w:eastAsia="Calibri" w:cs="Calibri"/>
        <w:sz w:val="18"/>
        <w:szCs w:val="18"/>
      </w:rPr>
    </w:pPr>
    <w:r>
      <w:rPr>
        <w:rFonts w:ascii="Calibri" w:hAnsi="Calibri" w:eastAsia="Calibri" w:cs="Calibri"/>
        <w:spacing w:val="-3"/>
        <w:sz w:val="18"/>
        <w:szCs w:val="18"/>
      </w:rPr>
      <w:t>237</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905F7">
    <w:pPr>
      <w:spacing w:line="236" w:lineRule="auto"/>
      <w:ind w:left="4231"/>
      <w:rPr>
        <w:rFonts w:ascii="Calibri" w:hAnsi="Calibri" w:eastAsia="Calibri" w:cs="Calibri"/>
        <w:sz w:val="18"/>
        <w:szCs w:val="18"/>
      </w:rPr>
    </w:pPr>
    <w:r>
      <w:rPr>
        <w:rFonts w:ascii="Calibri" w:hAnsi="Calibri" w:eastAsia="Calibri" w:cs="Calibri"/>
        <w:spacing w:val="-3"/>
        <w:sz w:val="18"/>
        <w:szCs w:val="18"/>
      </w:rPr>
      <w:t>238</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66B7A">
    <w:pPr>
      <w:spacing w:line="236" w:lineRule="auto"/>
      <w:ind w:left="4231"/>
      <w:rPr>
        <w:rFonts w:ascii="Calibri" w:hAnsi="Calibri" w:eastAsia="Calibri" w:cs="Calibri"/>
        <w:sz w:val="18"/>
        <w:szCs w:val="18"/>
      </w:rPr>
    </w:pPr>
    <w:r>
      <w:rPr>
        <w:rFonts w:ascii="Calibri" w:hAnsi="Calibri" w:eastAsia="Calibri" w:cs="Calibri"/>
        <w:spacing w:val="-3"/>
        <w:sz w:val="18"/>
        <w:szCs w:val="18"/>
      </w:rPr>
      <w:t>239</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2296D">
    <w:pPr>
      <w:spacing w:line="236" w:lineRule="auto"/>
      <w:ind w:left="4231"/>
      <w:rPr>
        <w:rFonts w:ascii="Calibri" w:hAnsi="Calibri" w:eastAsia="Calibri" w:cs="Calibri"/>
        <w:sz w:val="18"/>
        <w:szCs w:val="18"/>
      </w:rPr>
    </w:pPr>
    <w:r>
      <w:rPr>
        <w:rFonts w:ascii="Calibri" w:hAnsi="Calibri" w:eastAsia="Calibri" w:cs="Calibri"/>
        <w:spacing w:val="-3"/>
        <w:sz w:val="18"/>
        <w:szCs w:val="18"/>
      </w:rPr>
      <w:t>240</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E9D89">
    <w:pPr>
      <w:spacing w:line="237" w:lineRule="auto"/>
      <w:ind w:left="4231"/>
      <w:rPr>
        <w:rFonts w:ascii="Calibri" w:hAnsi="Calibri" w:eastAsia="Calibri" w:cs="Calibri"/>
        <w:sz w:val="18"/>
        <w:szCs w:val="18"/>
      </w:rPr>
    </w:pPr>
    <w:r>
      <w:rPr>
        <w:rFonts w:ascii="Calibri" w:hAnsi="Calibri" w:eastAsia="Calibri" w:cs="Calibri"/>
        <w:spacing w:val="-3"/>
        <w:sz w:val="18"/>
        <w:szCs w:val="18"/>
      </w:rPr>
      <w:t>241</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02DCB">
    <w:pPr>
      <w:spacing w:line="237" w:lineRule="auto"/>
      <w:ind w:left="4231"/>
      <w:rPr>
        <w:rFonts w:ascii="Calibri" w:hAnsi="Calibri" w:eastAsia="Calibri" w:cs="Calibri"/>
        <w:sz w:val="18"/>
        <w:szCs w:val="18"/>
      </w:rPr>
    </w:pPr>
    <w:r>
      <w:rPr>
        <w:rFonts w:ascii="Calibri" w:hAnsi="Calibri" w:eastAsia="Calibri" w:cs="Calibri"/>
        <w:spacing w:val="-3"/>
        <w:sz w:val="18"/>
        <w:szCs w:val="18"/>
      </w:rPr>
      <w:t>242</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E0AB5">
    <w:pPr>
      <w:spacing w:line="236" w:lineRule="auto"/>
      <w:ind w:left="4311"/>
      <w:rPr>
        <w:rFonts w:ascii="Calibri" w:hAnsi="Calibri" w:eastAsia="Calibri" w:cs="Calibri"/>
        <w:sz w:val="18"/>
        <w:szCs w:val="18"/>
      </w:rPr>
    </w:pPr>
    <w:r>
      <w:rPr>
        <w:rFonts w:ascii="Calibri" w:hAnsi="Calibri" w:eastAsia="Calibri" w:cs="Calibri"/>
        <w:spacing w:val="-3"/>
        <w:sz w:val="18"/>
        <w:szCs w:val="18"/>
      </w:rPr>
      <w:t>243</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25C60">
    <w:pPr>
      <w:spacing w:line="237" w:lineRule="auto"/>
      <w:ind w:left="4231"/>
      <w:rPr>
        <w:rFonts w:ascii="Calibri" w:hAnsi="Calibri" w:eastAsia="Calibri" w:cs="Calibri"/>
        <w:sz w:val="18"/>
        <w:szCs w:val="18"/>
      </w:rPr>
    </w:pPr>
    <w:r>
      <w:rPr>
        <w:rFonts w:ascii="Calibri" w:hAnsi="Calibri" w:eastAsia="Calibri" w:cs="Calibri"/>
        <w:spacing w:val="-3"/>
        <w:sz w:val="18"/>
        <w:szCs w:val="18"/>
      </w:rPr>
      <w:t>244</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EF398">
    <w:pPr>
      <w:spacing w:line="236" w:lineRule="auto"/>
      <w:ind w:left="4231"/>
      <w:rPr>
        <w:rFonts w:ascii="Calibri" w:hAnsi="Calibri" w:eastAsia="Calibri" w:cs="Calibri"/>
        <w:sz w:val="18"/>
        <w:szCs w:val="18"/>
      </w:rPr>
    </w:pPr>
    <w:r>
      <w:rPr>
        <w:rFonts w:ascii="Calibri" w:hAnsi="Calibri" w:eastAsia="Calibri" w:cs="Calibri"/>
        <w:spacing w:val="-3"/>
        <w:sz w:val="18"/>
        <w:szCs w:val="18"/>
      </w:rPr>
      <w:t>245</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E8468">
    <w:pPr>
      <w:spacing w:line="236" w:lineRule="auto"/>
      <w:ind w:left="4231"/>
      <w:rPr>
        <w:rFonts w:ascii="Calibri" w:hAnsi="Calibri" w:eastAsia="Calibri" w:cs="Calibri"/>
        <w:sz w:val="18"/>
        <w:szCs w:val="18"/>
      </w:rPr>
    </w:pPr>
    <w:r>
      <w:rPr>
        <w:rFonts w:ascii="Calibri" w:hAnsi="Calibri" w:eastAsia="Calibri" w:cs="Calibri"/>
        <w:spacing w:val="-3"/>
        <w:sz w:val="18"/>
        <w:szCs w:val="18"/>
      </w:rPr>
      <w:t>246</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94B8B">
    <w:pPr>
      <w:spacing w:line="237" w:lineRule="auto"/>
      <w:ind w:left="4231"/>
      <w:rPr>
        <w:rFonts w:ascii="Calibri" w:hAnsi="Calibri" w:eastAsia="Calibri" w:cs="Calibri"/>
        <w:sz w:val="18"/>
        <w:szCs w:val="18"/>
      </w:rPr>
    </w:pPr>
    <w:r>
      <w:rPr>
        <w:rFonts w:ascii="Calibri" w:hAnsi="Calibri" w:eastAsia="Calibri" w:cs="Calibri"/>
        <w:spacing w:val="-3"/>
        <w:sz w:val="18"/>
        <w:szCs w:val="18"/>
      </w:rPr>
      <w:t>247</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350B7">
    <w:pPr>
      <w:spacing w:line="236" w:lineRule="auto"/>
      <w:ind w:left="4231"/>
      <w:rPr>
        <w:rFonts w:ascii="Calibri" w:hAnsi="Calibri" w:eastAsia="Calibri" w:cs="Calibri"/>
        <w:sz w:val="18"/>
        <w:szCs w:val="18"/>
      </w:rPr>
    </w:pPr>
    <w:r>
      <w:rPr>
        <w:rFonts w:ascii="Calibri" w:hAnsi="Calibri" w:eastAsia="Calibri" w:cs="Calibri"/>
        <w:spacing w:val="-3"/>
        <w:sz w:val="18"/>
        <w:szCs w:val="18"/>
      </w:rPr>
      <w:t>248</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BE02B">
    <w:pPr>
      <w:spacing w:line="236" w:lineRule="auto"/>
      <w:ind w:left="4231"/>
      <w:rPr>
        <w:rFonts w:ascii="Calibri" w:hAnsi="Calibri" w:eastAsia="Calibri" w:cs="Calibri"/>
        <w:sz w:val="18"/>
        <w:szCs w:val="18"/>
      </w:rPr>
    </w:pPr>
    <w:r>
      <w:rPr>
        <w:rFonts w:ascii="Calibri" w:hAnsi="Calibri" w:eastAsia="Calibri" w:cs="Calibri"/>
        <w:spacing w:val="-3"/>
        <w:sz w:val="18"/>
        <w:szCs w:val="18"/>
      </w:rPr>
      <w:t>249</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4AAFB">
    <w:pPr>
      <w:spacing w:line="236" w:lineRule="auto"/>
      <w:ind w:left="4231"/>
      <w:rPr>
        <w:rFonts w:ascii="Calibri" w:hAnsi="Calibri" w:eastAsia="Calibri" w:cs="Calibri"/>
        <w:sz w:val="18"/>
        <w:szCs w:val="18"/>
      </w:rPr>
    </w:pPr>
    <w:r>
      <w:rPr>
        <w:rFonts w:ascii="Calibri" w:hAnsi="Calibri" w:eastAsia="Calibri" w:cs="Calibri"/>
        <w:spacing w:val="-3"/>
        <w:sz w:val="18"/>
        <w:szCs w:val="18"/>
      </w:rPr>
      <w:t>250</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469F">
    <w:pPr>
      <w:spacing w:line="236" w:lineRule="auto"/>
      <w:ind w:left="4231"/>
      <w:rPr>
        <w:rFonts w:ascii="Calibri" w:hAnsi="Calibri" w:eastAsia="Calibri" w:cs="Calibri"/>
        <w:sz w:val="18"/>
        <w:szCs w:val="18"/>
      </w:rPr>
    </w:pPr>
    <w:r>
      <w:rPr>
        <w:rFonts w:ascii="Calibri" w:hAnsi="Calibri" w:eastAsia="Calibri" w:cs="Calibri"/>
        <w:spacing w:val="-3"/>
        <w:sz w:val="18"/>
        <w:szCs w:val="18"/>
      </w:rPr>
      <w:t>251</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F2F2D">
    <w:pPr>
      <w:spacing w:line="236" w:lineRule="auto"/>
      <w:ind w:left="4231"/>
      <w:rPr>
        <w:rFonts w:ascii="Calibri" w:hAnsi="Calibri" w:eastAsia="Calibri" w:cs="Calibri"/>
        <w:sz w:val="18"/>
        <w:szCs w:val="18"/>
      </w:rPr>
    </w:pPr>
    <w:r>
      <w:rPr>
        <w:rFonts w:ascii="Calibri" w:hAnsi="Calibri" w:eastAsia="Calibri" w:cs="Calibri"/>
        <w:spacing w:val="-3"/>
        <w:sz w:val="18"/>
        <w:szCs w:val="18"/>
      </w:rPr>
      <w:t>252</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F6C7E">
    <w:pPr>
      <w:spacing w:line="236" w:lineRule="auto"/>
      <w:ind w:left="4231"/>
      <w:rPr>
        <w:rFonts w:ascii="Calibri" w:hAnsi="Calibri" w:eastAsia="Calibri" w:cs="Calibri"/>
        <w:sz w:val="18"/>
        <w:szCs w:val="18"/>
      </w:rPr>
    </w:pPr>
    <w:r>
      <w:rPr>
        <w:rFonts w:ascii="Calibri" w:hAnsi="Calibri" w:eastAsia="Calibri" w:cs="Calibri"/>
        <w:spacing w:val="-3"/>
        <w:sz w:val="18"/>
        <w:szCs w:val="18"/>
      </w:rPr>
      <w:t>253</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03C1A">
    <w:pPr>
      <w:spacing w:line="236" w:lineRule="auto"/>
      <w:ind w:left="4231"/>
      <w:rPr>
        <w:rFonts w:ascii="Calibri" w:hAnsi="Calibri" w:eastAsia="Calibri" w:cs="Calibri"/>
        <w:sz w:val="18"/>
        <w:szCs w:val="18"/>
      </w:rPr>
    </w:pPr>
    <w:r>
      <w:rPr>
        <w:rFonts w:ascii="Calibri" w:hAnsi="Calibri" w:eastAsia="Calibri" w:cs="Calibri"/>
        <w:spacing w:val="-3"/>
        <w:sz w:val="18"/>
        <w:szCs w:val="18"/>
      </w:rPr>
      <w:t>254</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05E11">
    <w:pPr>
      <w:spacing w:line="236" w:lineRule="auto"/>
      <w:ind w:left="4231"/>
      <w:rPr>
        <w:rFonts w:ascii="Calibri" w:hAnsi="Calibri" w:eastAsia="Calibri" w:cs="Calibri"/>
        <w:sz w:val="18"/>
        <w:szCs w:val="18"/>
      </w:rPr>
    </w:pPr>
    <w:r>
      <w:rPr>
        <w:rFonts w:ascii="Calibri" w:hAnsi="Calibri" w:eastAsia="Calibri" w:cs="Calibri"/>
        <w:spacing w:val="-3"/>
        <w:sz w:val="18"/>
        <w:szCs w:val="18"/>
      </w:rPr>
      <w:t>255</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701BD">
    <w:pPr>
      <w:spacing w:line="236" w:lineRule="auto"/>
      <w:ind w:left="4231"/>
      <w:rPr>
        <w:rFonts w:ascii="Calibri" w:hAnsi="Calibri" w:eastAsia="Calibri" w:cs="Calibri"/>
        <w:sz w:val="18"/>
        <w:szCs w:val="18"/>
      </w:rPr>
    </w:pPr>
    <w:r>
      <w:rPr>
        <w:rFonts w:ascii="Calibri" w:hAnsi="Calibri" w:eastAsia="Calibri" w:cs="Calibri"/>
        <w:spacing w:val="-3"/>
        <w:sz w:val="18"/>
        <w:szCs w:val="18"/>
      </w:rPr>
      <w:t>256</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70701">
    <w:pPr>
      <w:spacing w:line="236" w:lineRule="auto"/>
      <w:ind w:left="4231"/>
      <w:rPr>
        <w:rFonts w:ascii="Calibri" w:hAnsi="Calibri" w:eastAsia="Calibri" w:cs="Calibri"/>
        <w:sz w:val="18"/>
        <w:szCs w:val="18"/>
      </w:rPr>
    </w:pPr>
    <w:r>
      <w:rPr>
        <w:rFonts w:ascii="Calibri" w:hAnsi="Calibri" w:eastAsia="Calibri" w:cs="Calibri"/>
        <w:spacing w:val="-3"/>
        <w:sz w:val="18"/>
        <w:szCs w:val="18"/>
      </w:rPr>
      <w:t>257</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57106">
    <w:pPr>
      <w:spacing w:line="236" w:lineRule="auto"/>
      <w:ind w:left="4231"/>
      <w:rPr>
        <w:rFonts w:ascii="Calibri" w:hAnsi="Calibri" w:eastAsia="Calibri" w:cs="Calibri"/>
        <w:sz w:val="18"/>
        <w:szCs w:val="18"/>
      </w:rPr>
    </w:pPr>
    <w:r>
      <w:rPr>
        <w:rFonts w:ascii="Calibri" w:hAnsi="Calibri" w:eastAsia="Calibri" w:cs="Calibri"/>
        <w:spacing w:val="-3"/>
        <w:sz w:val="18"/>
        <w:szCs w:val="18"/>
      </w:rPr>
      <w:t>258</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0FA5B">
    <w:pPr>
      <w:spacing w:line="236" w:lineRule="auto"/>
      <w:ind w:left="4231"/>
      <w:rPr>
        <w:rFonts w:ascii="Calibri" w:hAnsi="Calibri" w:eastAsia="Calibri" w:cs="Calibri"/>
        <w:sz w:val="18"/>
        <w:szCs w:val="18"/>
      </w:rPr>
    </w:pPr>
    <w:r>
      <w:rPr>
        <w:rFonts w:ascii="Calibri" w:hAnsi="Calibri" w:eastAsia="Calibri" w:cs="Calibri"/>
        <w:spacing w:val="-3"/>
        <w:sz w:val="18"/>
        <w:szCs w:val="18"/>
      </w:rPr>
      <w:t>259</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CA904">
    <w:pPr>
      <w:spacing w:line="236" w:lineRule="auto"/>
      <w:ind w:left="4231"/>
      <w:rPr>
        <w:rFonts w:ascii="Calibri" w:hAnsi="Calibri" w:eastAsia="Calibri" w:cs="Calibri"/>
        <w:sz w:val="18"/>
        <w:szCs w:val="18"/>
      </w:rPr>
    </w:pPr>
    <w:r>
      <w:rPr>
        <w:rFonts w:ascii="Calibri" w:hAnsi="Calibri" w:eastAsia="Calibri" w:cs="Calibri"/>
        <w:spacing w:val="-3"/>
        <w:sz w:val="18"/>
        <w:szCs w:val="18"/>
      </w:rPr>
      <w:t>260</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7A5DB">
    <w:pPr>
      <w:spacing w:line="236" w:lineRule="auto"/>
      <w:ind w:left="4231"/>
      <w:rPr>
        <w:rFonts w:ascii="Calibri" w:hAnsi="Calibri" w:eastAsia="Calibri" w:cs="Calibri"/>
        <w:sz w:val="18"/>
        <w:szCs w:val="18"/>
      </w:rPr>
    </w:pPr>
    <w:r>
      <w:rPr>
        <w:rFonts w:ascii="Calibri" w:hAnsi="Calibri" w:eastAsia="Calibri" w:cs="Calibri"/>
        <w:spacing w:val="-3"/>
        <w:sz w:val="18"/>
        <w:szCs w:val="18"/>
      </w:rPr>
      <w:t>261</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99332">
    <w:pPr>
      <w:spacing w:line="236" w:lineRule="auto"/>
      <w:ind w:left="4231"/>
      <w:rPr>
        <w:rFonts w:ascii="Calibri" w:hAnsi="Calibri" w:eastAsia="Calibri" w:cs="Calibri"/>
        <w:sz w:val="18"/>
        <w:szCs w:val="18"/>
      </w:rPr>
    </w:pPr>
    <w:r>
      <w:rPr>
        <w:rFonts w:ascii="Calibri" w:hAnsi="Calibri" w:eastAsia="Calibri" w:cs="Calibri"/>
        <w:spacing w:val="-3"/>
        <w:sz w:val="18"/>
        <w:szCs w:val="18"/>
      </w:rPr>
      <w:t>262</w:t>
    </w:r>
  </w:p>
</w:ftr>
</file>

<file path=word/footer2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6D875">
    <w:pPr>
      <w:spacing w:line="236" w:lineRule="auto"/>
      <w:ind w:left="4231"/>
      <w:rPr>
        <w:rFonts w:ascii="Calibri" w:hAnsi="Calibri" w:eastAsia="Calibri" w:cs="Calibri"/>
        <w:sz w:val="18"/>
        <w:szCs w:val="18"/>
      </w:rPr>
    </w:pPr>
    <w:r>
      <w:rPr>
        <w:rFonts w:ascii="Calibri" w:hAnsi="Calibri" w:eastAsia="Calibri" w:cs="Calibri"/>
        <w:spacing w:val="-3"/>
        <w:sz w:val="18"/>
        <w:szCs w:val="18"/>
      </w:rPr>
      <w:t>263</w:t>
    </w:r>
  </w:p>
</w:ftr>
</file>

<file path=word/footer2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D2BEE">
    <w:pPr>
      <w:spacing w:line="236" w:lineRule="auto"/>
      <w:ind w:left="4231"/>
      <w:rPr>
        <w:rFonts w:ascii="Calibri" w:hAnsi="Calibri" w:eastAsia="Calibri" w:cs="Calibri"/>
        <w:sz w:val="18"/>
        <w:szCs w:val="18"/>
      </w:rPr>
    </w:pPr>
    <w:r>
      <w:rPr>
        <w:rFonts w:ascii="Calibri" w:hAnsi="Calibri" w:eastAsia="Calibri" w:cs="Calibri"/>
        <w:spacing w:val="-3"/>
        <w:sz w:val="18"/>
        <w:szCs w:val="18"/>
      </w:rPr>
      <w:t>264</w:t>
    </w:r>
  </w:p>
</w:ftr>
</file>

<file path=word/footer2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E0406">
    <w:pPr>
      <w:spacing w:line="236" w:lineRule="auto"/>
      <w:ind w:left="4231"/>
      <w:rPr>
        <w:rFonts w:ascii="Calibri" w:hAnsi="Calibri" w:eastAsia="Calibri" w:cs="Calibri"/>
        <w:sz w:val="18"/>
        <w:szCs w:val="18"/>
      </w:rPr>
    </w:pPr>
    <w:r>
      <w:rPr>
        <w:rFonts w:ascii="Calibri" w:hAnsi="Calibri" w:eastAsia="Calibri" w:cs="Calibri"/>
        <w:spacing w:val="-3"/>
        <w:sz w:val="18"/>
        <w:szCs w:val="18"/>
      </w:rPr>
      <w:t>265</w:t>
    </w:r>
  </w:p>
</w:ftr>
</file>

<file path=word/footer2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49DB2">
    <w:pPr>
      <w:spacing w:line="236" w:lineRule="auto"/>
      <w:ind w:left="4231"/>
      <w:rPr>
        <w:rFonts w:ascii="Calibri" w:hAnsi="Calibri" w:eastAsia="Calibri" w:cs="Calibri"/>
        <w:sz w:val="18"/>
        <w:szCs w:val="18"/>
      </w:rPr>
    </w:pPr>
    <w:r>
      <w:rPr>
        <w:rFonts w:ascii="Calibri" w:hAnsi="Calibri" w:eastAsia="Calibri" w:cs="Calibri"/>
        <w:spacing w:val="-3"/>
        <w:sz w:val="18"/>
        <w:szCs w:val="18"/>
      </w:rPr>
      <w:t>266</w:t>
    </w:r>
  </w:p>
</w:ftr>
</file>

<file path=word/footer2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06BEB">
    <w:pPr>
      <w:spacing w:line="236" w:lineRule="auto"/>
      <w:ind w:left="4231"/>
      <w:rPr>
        <w:rFonts w:ascii="Calibri" w:hAnsi="Calibri" w:eastAsia="Calibri" w:cs="Calibri"/>
        <w:sz w:val="18"/>
        <w:szCs w:val="18"/>
      </w:rPr>
    </w:pPr>
    <w:r>
      <w:rPr>
        <w:rFonts w:ascii="Calibri" w:hAnsi="Calibri" w:eastAsia="Calibri" w:cs="Calibri"/>
        <w:spacing w:val="-3"/>
        <w:sz w:val="18"/>
        <w:szCs w:val="18"/>
      </w:rPr>
      <w:t>267</w:t>
    </w:r>
  </w:p>
</w:ftr>
</file>

<file path=word/footer2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7B71E">
    <w:pPr>
      <w:spacing w:line="236" w:lineRule="auto"/>
      <w:ind w:left="4231"/>
      <w:rPr>
        <w:rFonts w:ascii="Calibri" w:hAnsi="Calibri" w:eastAsia="Calibri" w:cs="Calibri"/>
        <w:sz w:val="18"/>
        <w:szCs w:val="18"/>
      </w:rPr>
    </w:pPr>
    <w:r>
      <w:rPr>
        <w:rFonts w:ascii="Calibri" w:hAnsi="Calibri" w:eastAsia="Calibri" w:cs="Calibri"/>
        <w:spacing w:val="-3"/>
        <w:sz w:val="18"/>
        <w:szCs w:val="18"/>
      </w:rPr>
      <w:t>268</w:t>
    </w:r>
  </w:p>
</w:ftr>
</file>

<file path=word/footer2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76F0F">
    <w:pPr>
      <w:spacing w:line="236" w:lineRule="auto"/>
      <w:ind w:left="4231"/>
      <w:rPr>
        <w:rFonts w:ascii="Calibri" w:hAnsi="Calibri" w:eastAsia="Calibri" w:cs="Calibri"/>
        <w:sz w:val="18"/>
        <w:szCs w:val="18"/>
      </w:rPr>
    </w:pPr>
    <w:r>
      <w:rPr>
        <w:rFonts w:ascii="Calibri" w:hAnsi="Calibri" w:eastAsia="Calibri" w:cs="Calibri"/>
        <w:spacing w:val="-3"/>
        <w:sz w:val="18"/>
        <w:szCs w:val="18"/>
      </w:rPr>
      <w:t>269</w:t>
    </w:r>
  </w:p>
</w:ftr>
</file>

<file path=word/footer2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0A15F">
    <w:pPr>
      <w:spacing w:line="236" w:lineRule="auto"/>
      <w:ind w:left="4231"/>
      <w:rPr>
        <w:rFonts w:ascii="Calibri" w:hAnsi="Calibri" w:eastAsia="Calibri" w:cs="Calibri"/>
        <w:sz w:val="18"/>
        <w:szCs w:val="18"/>
      </w:rPr>
    </w:pPr>
    <w:r>
      <w:rPr>
        <w:rFonts w:ascii="Calibri" w:hAnsi="Calibri" w:eastAsia="Calibri" w:cs="Calibri"/>
        <w:spacing w:val="-3"/>
        <w:sz w:val="18"/>
        <w:szCs w:val="18"/>
      </w:rPr>
      <w:t>270</w:t>
    </w:r>
  </w:p>
</w:ftr>
</file>

<file path=word/footer2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D8C52">
    <w:pPr>
      <w:spacing w:line="237" w:lineRule="auto"/>
      <w:ind w:left="4231"/>
      <w:rPr>
        <w:rFonts w:ascii="Calibri" w:hAnsi="Calibri" w:eastAsia="Calibri" w:cs="Calibri"/>
        <w:sz w:val="18"/>
        <w:szCs w:val="18"/>
      </w:rPr>
    </w:pPr>
    <w:r>
      <w:rPr>
        <w:rFonts w:ascii="Calibri" w:hAnsi="Calibri" w:eastAsia="Calibri" w:cs="Calibri"/>
        <w:spacing w:val="-3"/>
        <w:sz w:val="18"/>
        <w:szCs w:val="18"/>
      </w:rPr>
      <w:t>271</w:t>
    </w:r>
  </w:p>
</w:ftr>
</file>

<file path=word/footer2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4737B">
    <w:pPr>
      <w:spacing w:line="237" w:lineRule="auto"/>
      <w:ind w:left="4231"/>
      <w:rPr>
        <w:rFonts w:ascii="Calibri" w:hAnsi="Calibri" w:eastAsia="Calibri" w:cs="Calibri"/>
        <w:sz w:val="18"/>
        <w:szCs w:val="18"/>
      </w:rPr>
    </w:pPr>
    <w:r>
      <w:rPr>
        <w:rFonts w:ascii="Calibri" w:hAnsi="Calibri" w:eastAsia="Calibri" w:cs="Calibri"/>
        <w:spacing w:val="-3"/>
        <w:sz w:val="18"/>
        <w:szCs w:val="18"/>
      </w:rPr>
      <w:t>272</w:t>
    </w:r>
  </w:p>
</w:ftr>
</file>

<file path=word/footer2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27666">
    <w:pPr>
      <w:spacing w:line="236" w:lineRule="auto"/>
      <w:ind w:left="4231"/>
      <w:rPr>
        <w:rFonts w:ascii="Calibri" w:hAnsi="Calibri" w:eastAsia="Calibri" w:cs="Calibri"/>
        <w:sz w:val="18"/>
        <w:szCs w:val="18"/>
      </w:rPr>
    </w:pPr>
    <w:r>
      <w:rPr>
        <w:rFonts w:ascii="Calibri" w:hAnsi="Calibri" w:eastAsia="Calibri" w:cs="Calibri"/>
        <w:spacing w:val="-3"/>
        <w:sz w:val="18"/>
        <w:szCs w:val="18"/>
      </w:rPr>
      <w:t>273</w:t>
    </w:r>
  </w:p>
</w:ftr>
</file>

<file path=word/footer2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B8D41">
    <w:pPr>
      <w:spacing w:line="237" w:lineRule="auto"/>
      <w:ind w:left="4231"/>
      <w:rPr>
        <w:rFonts w:ascii="Calibri" w:hAnsi="Calibri" w:eastAsia="Calibri" w:cs="Calibri"/>
        <w:sz w:val="18"/>
        <w:szCs w:val="18"/>
      </w:rPr>
    </w:pPr>
    <w:r>
      <w:rPr>
        <w:rFonts w:ascii="Calibri" w:hAnsi="Calibri" w:eastAsia="Calibri" w:cs="Calibri"/>
        <w:spacing w:val="-3"/>
        <w:sz w:val="18"/>
        <w:szCs w:val="18"/>
      </w:rPr>
      <w:t>274</w:t>
    </w:r>
  </w:p>
</w:ftr>
</file>

<file path=word/footer2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C362B">
    <w:pPr>
      <w:spacing w:line="236" w:lineRule="auto"/>
      <w:ind w:left="4231"/>
      <w:rPr>
        <w:rFonts w:ascii="Calibri" w:hAnsi="Calibri" w:eastAsia="Calibri" w:cs="Calibri"/>
        <w:sz w:val="18"/>
        <w:szCs w:val="18"/>
      </w:rPr>
    </w:pPr>
    <w:r>
      <w:rPr>
        <w:rFonts w:ascii="Calibri" w:hAnsi="Calibri" w:eastAsia="Calibri" w:cs="Calibri"/>
        <w:spacing w:val="-3"/>
        <w:sz w:val="18"/>
        <w:szCs w:val="18"/>
      </w:rPr>
      <w:t>275</w:t>
    </w:r>
  </w:p>
</w:ftr>
</file>

<file path=word/footer2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1A1B5">
    <w:pPr>
      <w:spacing w:line="236" w:lineRule="auto"/>
      <w:ind w:left="4231"/>
      <w:rPr>
        <w:rFonts w:ascii="Calibri" w:hAnsi="Calibri" w:eastAsia="Calibri" w:cs="Calibri"/>
        <w:sz w:val="18"/>
        <w:szCs w:val="18"/>
      </w:rPr>
    </w:pPr>
    <w:r>
      <w:rPr>
        <w:rFonts w:ascii="Calibri" w:hAnsi="Calibri" w:eastAsia="Calibri" w:cs="Calibri"/>
        <w:spacing w:val="-3"/>
        <w:sz w:val="18"/>
        <w:szCs w:val="18"/>
      </w:rPr>
      <w:t>276</w:t>
    </w:r>
  </w:p>
</w:ftr>
</file>

<file path=word/footer2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2D2B2">
    <w:pPr>
      <w:spacing w:line="237" w:lineRule="auto"/>
      <w:ind w:left="4231"/>
      <w:rPr>
        <w:rFonts w:ascii="Calibri" w:hAnsi="Calibri" w:eastAsia="Calibri" w:cs="Calibri"/>
        <w:sz w:val="18"/>
        <w:szCs w:val="18"/>
      </w:rPr>
    </w:pPr>
    <w:r>
      <w:rPr>
        <w:rFonts w:ascii="Calibri" w:hAnsi="Calibri" w:eastAsia="Calibri" w:cs="Calibri"/>
        <w:spacing w:val="-3"/>
        <w:sz w:val="18"/>
        <w:szCs w:val="18"/>
      </w:rPr>
      <w:t>277</w:t>
    </w:r>
  </w:p>
</w:ftr>
</file>

<file path=word/footer2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B3890">
    <w:pPr>
      <w:spacing w:line="236" w:lineRule="auto"/>
      <w:ind w:left="4320"/>
      <w:rPr>
        <w:rFonts w:ascii="Calibri" w:hAnsi="Calibri" w:eastAsia="Calibri" w:cs="Calibri"/>
        <w:sz w:val="18"/>
        <w:szCs w:val="18"/>
      </w:rPr>
    </w:pPr>
    <w:r>
      <w:rPr>
        <w:rFonts w:ascii="Calibri" w:hAnsi="Calibri" w:eastAsia="Calibri" w:cs="Calibri"/>
        <w:spacing w:val="-3"/>
        <w:sz w:val="18"/>
        <w:szCs w:val="18"/>
      </w:rPr>
      <w:t>278</w:t>
    </w:r>
  </w:p>
</w:ftr>
</file>

<file path=word/footer2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89110">
    <w:pPr>
      <w:spacing w:line="236" w:lineRule="auto"/>
      <w:ind w:left="4335"/>
      <w:rPr>
        <w:rFonts w:ascii="Calibri" w:hAnsi="Calibri" w:eastAsia="Calibri" w:cs="Calibri"/>
        <w:sz w:val="18"/>
        <w:szCs w:val="18"/>
      </w:rPr>
    </w:pPr>
    <w:r>
      <w:rPr>
        <w:rFonts w:ascii="Calibri" w:hAnsi="Calibri" w:eastAsia="Calibri" w:cs="Calibri"/>
        <w:spacing w:val="-3"/>
        <w:sz w:val="18"/>
        <w:szCs w:val="18"/>
      </w:rPr>
      <w:t>279</w:t>
    </w:r>
  </w:p>
</w:ftr>
</file>

<file path=word/footer2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DBF28">
    <w:pPr>
      <w:spacing w:line="236" w:lineRule="auto"/>
      <w:ind w:left="4231"/>
      <w:rPr>
        <w:rFonts w:ascii="Calibri" w:hAnsi="Calibri" w:eastAsia="Calibri" w:cs="Calibri"/>
        <w:sz w:val="18"/>
        <w:szCs w:val="18"/>
      </w:rPr>
    </w:pPr>
    <w:r>
      <w:rPr>
        <w:rFonts w:ascii="Calibri" w:hAnsi="Calibri" w:eastAsia="Calibri" w:cs="Calibri"/>
        <w:spacing w:val="-3"/>
        <w:sz w:val="18"/>
        <w:szCs w:val="18"/>
      </w:rPr>
      <w:t>280</w:t>
    </w:r>
  </w:p>
</w:ftr>
</file>

<file path=word/footer2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F1BE">
    <w:pPr>
      <w:spacing w:line="236" w:lineRule="auto"/>
      <w:ind w:left="4231"/>
      <w:rPr>
        <w:rFonts w:ascii="Calibri" w:hAnsi="Calibri" w:eastAsia="Calibri" w:cs="Calibri"/>
        <w:sz w:val="18"/>
        <w:szCs w:val="18"/>
      </w:rPr>
    </w:pPr>
    <w:r>
      <w:rPr>
        <w:rFonts w:ascii="Calibri" w:hAnsi="Calibri" w:eastAsia="Calibri" w:cs="Calibri"/>
        <w:spacing w:val="-3"/>
        <w:sz w:val="18"/>
        <w:szCs w:val="18"/>
      </w:rPr>
      <w:t>281</w:t>
    </w:r>
  </w:p>
</w:ftr>
</file>

<file path=word/footer2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C4F30">
    <w:pPr>
      <w:spacing w:line="236" w:lineRule="auto"/>
      <w:ind w:left="4231"/>
      <w:rPr>
        <w:rFonts w:ascii="Calibri" w:hAnsi="Calibri" w:eastAsia="Calibri" w:cs="Calibri"/>
        <w:sz w:val="18"/>
        <w:szCs w:val="18"/>
      </w:rPr>
    </w:pPr>
    <w:r>
      <w:rPr>
        <w:rFonts w:ascii="Calibri" w:hAnsi="Calibri" w:eastAsia="Calibri" w:cs="Calibri"/>
        <w:spacing w:val="-3"/>
        <w:sz w:val="18"/>
        <w:szCs w:val="18"/>
      </w:rPr>
      <w:t>282</w:t>
    </w:r>
  </w:p>
</w:ftr>
</file>

<file path=word/footer2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5EA8">
    <w:pPr>
      <w:spacing w:line="236" w:lineRule="auto"/>
      <w:ind w:left="4357"/>
      <w:rPr>
        <w:rFonts w:ascii="Calibri" w:hAnsi="Calibri" w:eastAsia="Calibri" w:cs="Calibri"/>
        <w:sz w:val="18"/>
        <w:szCs w:val="18"/>
      </w:rPr>
    </w:pPr>
    <w:r>
      <w:rPr>
        <w:rFonts w:ascii="Calibri" w:hAnsi="Calibri" w:eastAsia="Calibri" w:cs="Calibri"/>
        <w:spacing w:val="-3"/>
        <w:sz w:val="18"/>
        <w:szCs w:val="18"/>
      </w:rPr>
      <w:t>283</w:t>
    </w:r>
  </w:p>
</w:ftr>
</file>

<file path=word/footer2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54B60">
    <w:pPr>
      <w:spacing w:line="236" w:lineRule="auto"/>
      <w:ind w:left="4231"/>
      <w:rPr>
        <w:rFonts w:ascii="Calibri" w:hAnsi="Calibri" w:eastAsia="Calibri" w:cs="Calibri"/>
        <w:sz w:val="18"/>
        <w:szCs w:val="18"/>
      </w:rPr>
    </w:pPr>
    <w:r>
      <w:rPr>
        <w:rFonts w:ascii="Calibri" w:hAnsi="Calibri" w:eastAsia="Calibri" w:cs="Calibri"/>
        <w:spacing w:val="-3"/>
        <w:sz w:val="18"/>
        <w:szCs w:val="18"/>
      </w:rPr>
      <w:t>284</w:t>
    </w:r>
  </w:p>
</w:ftr>
</file>

<file path=word/footer2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0C457">
    <w:pPr>
      <w:spacing w:line="236" w:lineRule="auto"/>
      <w:ind w:left="4231"/>
      <w:rPr>
        <w:rFonts w:ascii="Calibri" w:hAnsi="Calibri" w:eastAsia="Calibri" w:cs="Calibri"/>
        <w:sz w:val="18"/>
        <w:szCs w:val="18"/>
      </w:rPr>
    </w:pPr>
    <w:r>
      <w:rPr>
        <w:rFonts w:ascii="Calibri" w:hAnsi="Calibri" w:eastAsia="Calibri" w:cs="Calibri"/>
        <w:spacing w:val="-3"/>
        <w:sz w:val="18"/>
        <w:szCs w:val="18"/>
      </w:rPr>
      <w:t>285</w:t>
    </w:r>
  </w:p>
</w:ftr>
</file>

<file path=word/footer3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F773">
    <w:pPr>
      <w:spacing w:line="236" w:lineRule="auto"/>
      <w:ind w:left="4231"/>
      <w:rPr>
        <w:rFonts w:ascii="Calibri" w:hAnsi="Calibri" w:eastAsia="Calibri" w:cs="Calibri"/>
        <w:sz w:val="18"/>
        <w:szCs w:val="18"/>
      </w:rPr>
    </w:pPr>
    <w:r>
      <w:rPr>
        <w:rFonts w:ascii="Calibri" w:hAnsi="Calibri" w:eastAsia="Calibri" w:cs="Calibri"/>
        <w:spacing w:val="-3"/>
        <w:sz w:val="18"/>
        <w:szCs w:val="18"/>
      </w:rPr>
      <w:t>286</w:t>
    </w:r>
  </w:p>
</w:ftr>
</file>

<file path=word/footer3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1043">
    <w:pPr>
      <w:spacing w:line="236" w:lineRule="auto"/>
      <w:ind w:left="4231"/>
      <w:rPr>
        <w:rFonts w:ascii="Calibri" w:hAnsi="Calibri" w:eastAsia="Calibri" w:cs="Calibri"/>
        <w:sz w:val="18"/>
        <w:szCs w:val="18"/>
      </w:rPr>
    </w:pPr>
    <w:r>
      <w:rPr>
        <w:rFonts w:ascii="Calibri" w:hAnsi="Calibri" w:eastAsia="Calibri" w:cs="Calibri"/>
        <w:spacing w:val="-3"/>
        <w:sz w:val="18"/>
        <w:szCs w:val="18"/>
      </w:rPr>
      <w:t>287</w:t>
    </w:r>
  </w:p>
</w:ftr>
</file>

<file path=word/footer3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E230C">
    <w:pPr>
      <w:spacing w:line="236" w:lineRule="auto"/>
      <w:ind w:left="4335"/>
      <w:rPr>
        <w:rFonts w:ascii="Calibri" w:hAnsi="Calibri" w:eastAsia="Calibri" w:cs="Calibri"/>
        <w:sz w:val="18"/>
        <w:szCs w:val="18"/>
      </w:rPr>
    </w:pPr>
    <w:r>
      <w:rPr>
        <w:rFonts w:ascii="Calibri" w:hAnsi="Calibri" w:eastAsia="Calibri" w:cs="Calibri"/>
        <w:spacing w:val="-3"/>
        <w:sz w:val="18"/>
        <w:szCs w:val="18"/>
      </w:rPr>
      <w:t>288</w:t>
    </w:r>
  </w:p>
</w:ftr>
</file>

<file path=word/footer3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58638">
    <w:pPr>
      <w:spacing w:line="236" w:lineRule="auto"/>
      <w:ind w:left="4231"/>
      <w:rPr>
        <w:rFonts w:ascii="Calibri" w:hAnsi="Calibri" w:eastAsia="Calibri" w:cs="Calibri"/>
        <w:sz w:val="18"/>
        <w:szCs w:val="18"/>
      </w:rPr>
    </w:pPr>
    <w:r>
      <w:rPr>
        <w:rFonts w:ascii="Calibri" w:hAnsi="Calibri" w:eastAsia="Calibri" w:cs="Calibri"/>
        <w:spacing w:val="-3"/>
        <w:sz w:val="18"/>
        <w:szCs w:val="18"/>
      </w:rPr>
      <w:t>289</w:t>
    </w:r>
  </w:p>
</w:ftr>
</file>

<file path=word/footer3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AF63C">
    <w:pPr>
      <w:spacing w:line="236" w:lineRule="auto"/>
      <w:ind w:left="4327"/>
      <w:rPr>
        <w:rFonts w:ascii="Calibri" w:hAnsi="Calibri" w:eastAsia="Calibri" w:cs="Calibri"/>
        <w:sz w:val="18"/>
        <w:szCs w:val="18"/>
      </w:rPr>
    </w:pPr>
    <w:r>
      <w:rPr>
        <w:rFonts w:ascii="Calibri" w:hAnsi="Calibri" w:eastAsia="Calibri" w:cs="Calibri"/>
        <w:spacing w:val="-3"/>
        <w:sz w:val="18"/>
        <w:szCs w:val="18"/>
      </w:rPr>
      <w:t>290</w:t>
    </w:r>
  </w:p>
</w:ftr>
</file>

<file path=word/footer3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34A13">
    <w:pPr>
      <w:spacing w:line="236" w:lineRule="auto"/>
      <w:ind w:left="4231"/>
      <w:rPr>
        <w:rFonts w:ascii="Calibri" w:hAnsi="Calibri" w:eastAsia="Calibri" w:cs="Calibri"/>
        <w:sz w:val="18"/>
        <w:szCs w:val="18"/>
      </w:rPr>
    </w:pPr>
    <w:r>
      <w:rPr>
        <w:rFonts w:ascii="Calibri" w:hAnsi="Calibri" w:eastAsia="Calibri" w:cs="Calibri"/>
        <w:spacing w:val="-3"/>
        <w:sz w:val="18"/>
        <w:szCs w:val="18"/>
      </w:rPr>
      <w:t>291</w:t>
    </w:r>
  </w:p>
</w:ftr>
</file>

<file path=word/footer3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860C0">
    <w:pPr>
      <w:spacing w:line="236" w:lineRule="auto"/>
      <w:ind w:left="4231"/>
      <w:rPr>
        <w:rFonts w:ascii="Calibri" w:hAnsi="Calibri" w:eastAsia="Calibri" w:cs="Calibri"/>
        <w:sz w:val="18"/>
        <w:szCs w:val="18"/>
      </w:rPr>
    </w:pPr>
    <w:r>
      <w:rPr>
        <w:rFonts w:ascii="Calibri" w:hAnsi="Calibri" w:eastAsia="Calibri" w:cs="Calibri"/>
        <w:spacing w:val="-3"/>
        <w:sz w:val="18"/>
        <w:szCs w:val="18"/>
      </w:rPr>
      <w:t>292</w:t>
    </w:r>
  </w:p>
</w:ftr>
</file>

<file path=word/footer3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1EE4E">
    <w:pPr>
      <w:spacing w:line="236" w:lineRule="auto"/>
      <w:ind w:left="4231"/>
      <w:rPr>
        <w:rFonts w:ascii="Calibri" w:hAnsi="Calibri" w:eastAsia="Calibri" w:cs="Calibri"/>
        <w:sz w:val="18"/>
        <w:szCs w:val="18"/>
      </w:rPr>
    </w:pPr>
    <w:r>
      <w:rPr>
        <w:rFonts w:ascii="Calibri" w:hAnsi="Calibri" w:eastAsia="Calibri" w:cs="Calibri"/>
        <w:spacing w:val="-3"/>
        <w:sz w:val="18"/>
        <w:szCs w:val="18"/>
      </w:rPr>
      <w:t>293</w:t>
    </w:r>
  </w:p>
</w:ftr>
</file>

<file path=word/footer3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7C039">
    <w:pPr>
      <w:spacing w:line="236" w:lineRule="auto"/>
      <w:ind w:left="4231"/>
      <w:rPr>
        <w:rFonts w:ascii="Calibri" w:hAnsi="Calibri" w:eastAsia="Calibri" w:cs="Calibri"/>
        <w:sz w:val="18"/>
        <w:szCs w:val="18"/>
      </w:rPr>
    </w:pPr>
    <w:r>
      <w:rPr>
        <w:rFonts w:ascii="Calibri" w:hAnsi="Calibri" w:eastAsia="Calibri" w:cs="Calibri"/>
        <w:spacing w:val="-3"/>
        <w:sz w:val="18"/>
        <w:szCs w:val="18"/>
      </w:rPr>
      <w:t>294</w:t>
    </w:r>
  </w:p>
</w:ftr>
</file>

<file path=word/footer3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9392E">
    <w:pPr>
      <w:spacing w:line="236" w:lineRule="auto"/>
      <w:ind w:left="4231"/>
      <w:rPr>
        <w:rFonts w:ascii="Calibri" w:hAnsi="Calibri" w:eastAsia="Calibri" w:cs="Calibri"/>
        <w:sz w:val="18"/>
        <w:szCs w:val="18"/>
      </w:rPr>
    </w:pPr>
    <w:r>
      <w:rPr>
        <w:rFonts w:ascii="Calibri" w:hAnsi="Calibri" w:eastAsia="Calibri" w:cs="Calibri"/>
        <w:spacing w:val="-3"/>
        <w:sz w:val="18"/>
        <w:szCs w:val="18"/>
      </w:rPr>
      <w:t>295</w:t>
    </w:r>
  </w:p>
</w:ftr>
</file>

<file path=word/footer3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3162B">
    <w:pPr>
      <w:spacing w:line="236" w:lineRule="auto"/>
      <w:ind w:left="4231"/>
      <w:rPr>
        <w:rFonts w:ascii="Calibri" w:hAnsi="Calibri" w:eastAsia="Calibri" w:cs="Calibri"/>
        <w:sz w:val="18"/>
        <w:szCs w:val="18"/>
      </w:rPr>
    </w:pPr>
    <w:r>
      <w:rPr>
        <w:rFonts w:ascii="Calibri" w:hAnsi="Calibri" w:eastAsia="Calibri" w:cs="Calibri"/>
        <w:spacing w:val="-3"/>
        <w:sz w:val="18"/>
        <w:szCs w:val="18"/>
      </w:rPr>
      <w:t>296</w:t>
    </w:r>
  </w:p>
</w:ftr>
</file>

<file path=word/footer3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3793E">
    <w:pPr>
      <w:spacing w:line="236" w:lineRule="auto"/>
      <w:ind w:left="4320"/>
      <w:rPr>
        <w:rFonts w:ascii="Calibri" w:hAnsi="Calibri" w:eastAsia="Calibri" w:cs="Calibri"/>
        <w:sz w:val="18"/>
        <w:szCs w:val="18"/>
      </w:rPr>
    </w:pPr>
    <w:r>
      <w:rPr>
        <w:rFonts w:ascii="Calibri" w:hAnsi="Calibri" w:eastAsia="Calibri" w:cs="Calibri"/>
        <w:spacing w:val="-3"/>
        <w:sz w:val="18"/>
        <w:szCs w:val="18"/>
      </w:rPr>
      <w:t>297</w:t>
    </w:r>
  </w:p>
</w:ftr>
</file>

<file path=word/footer3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AC17B">
    <w:pPr>
      <w:spacing w:line="236" w:lineRule="auto"/>
      <w:ind w:left="4231"/>
      <w:rPr>
        <w:rFonts w:ascii="Calibri" w:hAnsi="Calibri" w:eastAsia="Calibri" w:cs="Calibri"/>
        <w:sz w:val="18"/>
        <w:szCs w:val="18"/>
      </w:rPr>
    </w:pPr>
    <w:r>
      <w:rPr>
        <w:rFonts w:ascii="Calibri" w:hAnsi="Calibri" w:eastAsia="Calibri" w:cs="Calibri"/>
        <w:spacing w:val="-3"/>
        <w:sz w:val="18"/>
        <w:szCs w:val="18"/>
      </w:rPr>
      <w:t>298</w:t>
    </w:r>
  </w:p>
</w:ftr>
</file>

<file path=word/footer3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4C3F6">
    <w:pPr>
      <w:spacing w:line="236" w:lineRule="auto"/>
      <w:ind w:left="4335"/>
      <w:rPr>
        <w:rFonts w:ascii="Calibri" w:hAnsi="Calibri" w:eastAsia="Calibri" w:cs="Calibri"/>
        <w:sz w:val="18"/>
        <w:szCs w:val="18"/>
      </w:rPr>
    </w:pPr>
    <w:r>
      <w:rPr>
        <w:rFonts w:ascii="Calibri" w:hAnsi="Calibri" w:eastAsia="Calibri" w:cs="Calibri"/>
        <w:spacing w:val="-3"/>
        <w:sz w:val="18"/>
        <w:szCs w:val="18"/>
      </w:rPr>
      <w:t>299</w:t>
    </w:r>
  </w:p>
</w:ftr>
</file>

<file path=word/footer3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67C82">
    <w:pPr>
      <w:spacing w:line="236" w:lineRule="auto"/>
      <w:ind w:left="4334"/>
      <w:rPr>
        <w:rFonts w:ascii="Calibri" w:hAnsi="Calibri" w:eastAsia="Calibri" w:cs="Calibri"/>
        <w:sz w:val="18"/>
        <w:szCs w:val="18"/>
      </w:rPr>
    </w:pPr>
    <w:r>
      <w:rPr>
        <w:rFonts w:ascii="Calibri" w:hAnsi="Calibri" w:eastAsia="Calibri" w:cs="Calibri"/>
        <w:spacing w:val="-3"/>
        <w:sz w:val="18"/>
        <w:szCs w:val="18"/>
      </w:rPr>
      <w:t>300</w:t>
    </w:r>
  </w:p>
</w:ftr>
</file>

<file path=word/footer3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49266">
    <w:pPr>
      <w:spacing w:line="236" w:lineRule="auto"/>
      <w:ind w:left="4334"/>
      <w:rPr>
        <w:rFonts w:ascii="Calibri" w:hAnsi="Calibri" w:eastAsia="Calibri" w:cs="Calibri"/>
        <w:sz w:val="18"/>
        <w:szCs w:val="18"/>
      </w:rPr>
    </w:pPr>
    <w:r>
      <w:rPr>
        <w:rFonts w:ascii="Calibri" w:hAnsi="Calibri" w:eastAsia="Calibri" w:cs="Calibri"/>
        <w:spacing w:val="-3"/>
        <w:sz w:val="18"/>
        <w:szCs w:val="18"/>
      </w:rPr>
      <w:t>301</w:t>
    </w:r>
  </w:p>
</w:ftr>
</file>

<file path=word/footer3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EC38F">
    <w:pPr>
      <w:spacing w:line="236" w:lineRule="auto"/>
      <w:ind w:left="4334"/>
      <w:rPr>
        <w:rFonts w:ascii="Calibri" w:hAnsi="Calibri" w:eastAsia="Calibri" w:cs="Calibri"/>
        <w:sz w:val="18"/>
        <w:szCs w:val="18"/>
      </w:rPr>
    </w:pPr>
    <w:r>
      <w:rPr>
        <w:rFonts w:ascii="Calibri" w:hAnsi="Calibri" w:eastAsia="Calibri" w:cs="Calibri"/>
        <w:spacing w:val="-3"/>
        <w:sz w:val="18"/>
        <w:szCs w:val="18"/>
      </w:rPr>
      <w:t>302</w:t>
    </w:r>
  </w:p>
</w:ftr>
</file>

<file path=word/footer3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3E2F0">
    <w:pPr>
      <w:spacing w:line="236" w:lineRule="auto"/>
      <w:ind w:left="4334"/>
      <w:rPr>
        <w:rFonts w:ascii="Calibri" w:hAnsi="Calibri" w:eastAsia="Calibri" w:cs="Calibri"/>
        <w:sz w:val="18"/>
        <w:szCs w:val="18"/>
      </w:rPr>
    </w:pPr>
    <w:r>
      <w:rPr>
        <w:rFonts w:ascii="Calibri" w:hAnsi="Calibri" w:eastAsia="Calibri" w:cs="Calibri"/>
        <w:spacing w:val="-3"/>
        <w:sz w:val="18"/>
        <w:szCs w:val="18"/>
      </w:rPr>
      <w:t>303</w:t>
    </w:r>
  </w:p>
</w:ftr>
</file>

<file path=word/footer3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63BD6">
    <w:pPr>
      <w:spacing w:line="236" w:lineRule="auto"/>
      <w:ind w:left="4230"/>
      <w:rPr>
        <w:rFonts w:ascii="Calibri" w:hAnsi="Calibri" w:eastAsia="Calibri" w:cs="Calibri"/>
        <w:sz w:val="18"/>
        <w:szCs w:val="18"/>
      </w:rPr>
    </w:pPr>
    <w:r>
      <w:rPr>
        <w:rFonts w:ascii="Calibri" w:hAnsi="Calibri" w:eastAsia="Calibri" w:cs="Calibri"/>
        <w:spacing w:val="-3"/>
        <w:sz w:val="18"/>
        <w:szCs w:val="18"/>
      </w:rPr>
      <w:t>304</w:t>
    </w:r>
  </w:p>
</w:ftr>
</file>

<file path=word/footer3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9716B">
    <w:pPr>
      <w:spacing w:line="236" w:lineRule="auto"/>
      <w:ind w:left="4230"/>
      <w:rPr>
        <w:rFonts w:ascii="Calibri" w:hAnsi="Calibri" w:eastAsia="Calibri" w:cs="Calibri"/>
        <w:sz w:val="18"/>
        <w:szCs w:val="18"/>
      </w:rPr>
    </w:pPr>
    <w:r>
      <w:rPr>
        <w:rFonts w:ascii="Calibri" w:hAnsi="Calibri" w:eastAsia="Calibri" w:cs="Calibri"/>
        <w:spacing w:val="-3"/>
        <w:sz w:val="18"/>
        <w:szCs w:val="18"/>
      </w:rPr>
      <w:t>305</w:t>
    </w:r>
  </w:p>
</w:ftr>
</file>

<file path=word/footer3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8C4A7">
    <w:pPr>
      <w:spacing w:line="236" w:lineRule="auto"/>
      <w:ind w:left="4230"/>
      <w:rPr>
        <w:rFonts w:ascii="Calibri" w:hAnsi="Calibri" w:eastAsia="Calibri" w:cs="Calibri"/>
        <w:sz w:val="18"/>
        <w:szCs w:val="18"/>
      </w:rPr>
    </w:pPr>
    <w:r>
      <w:rPr>
        <w:rFonts w:ascii="Calibri" w:hAnsi="Calibri" w:eastAsia="Calibri" w:cs="Calibri"/>
        <w:spacing w:val="-3"/>
        <w:sz w:val="18"/>
        <w:szCs w:val="18"/>
      </w:rPr>
      <w:t>306</w:t>
    </w:r>
  </w:p>
</w:ftr>
</file>

<file path=word/footer3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2EC91">
    <w:pPr>
      <w:spacing w:line="236" w:lineRule="auto"/>
      <w:ind w:left="4230"/>
      <w:rPr>
        <w:rFonts w:ascii="Calibri" w:hAnsi="Calibri" w:eastAsia="Calibri" w:cs="Calibri"/>
        <w:sz w:val="18"/>
        <w:szCs w:val="18"/>
      </w:rPr>
    </w:pPr>
    <w:r>
      <w:rPr>
        <w:rFonts w:ascii="Calibri" w:hAnsi="Calibri" w:eastAsia="Calibri" w:cs="Calibri"/>
        <w:spacing w:val="-3"/>
        <w:sz w:val="18"/>
        <w:szCs w:val="18"/>
      </w:rPr>
      <w:t>307</w:t>
    </w:r>
  </w:p>
</w:ftr>
</file>

<file path=word/footer3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75EBD">
    <w:pPr>
      <w:spacing w:line="236" w:lineRule="auto"/>
      <w:ind w:left="4230"/>
      <w:rPr>
        <w:rFonts w:ascii="Calibri" w:hAnsi="Calibri" w:eastAsia="Calibri" w:cs="Calibri"/>
        <w:sz w:val="18"/>
        <w:szCs w:val="18"/>
      </w:rPr>
    </w:pPr>
    <w:r>
      <w:rPr>
        <w:rFonts w:ascii="Calibri" w:hAnsi="Calibri" w:eastAsia="Calibri" w:cs="Calibri"/>
        <w:spacing w:val="-3"/>
        <w:sz w:val="18"/>
        <w:szCs w:val="18"/>
      </w:rPr>
      <w:t>308</w:t>
    </w:r>
  </w:p>
</w:ftr>
</file>

<file path=word/footer3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4E017">
    <w:pPr>
      <w:spacing w:line="236" w:lineRule="auto"/>
      <w:ind w:left="4230"/>
      <w:rPr>
        <w:rFonts w:ascii="Calibri" w:hAnsi="Calibri" w:eastAsia="Calibri" w:cs="Calibri"/>
        <w:sz w:val="18"/>
        <w:szCs w:val="18"/>
      </w:rPr>
    </w:pPr>
    <w:r>
      <w:rPr>
        <w:rFonts w:ascii="Calibri" w:hAnsi="Calibri" w:eastAsia="Calibri" w:cs="Calibri"/>
        <w:spacing w:val="-3"/>
        <w:sz w:val="18"/>
        <w:szCs w:val="18"/>
      </w:rPr>
      <w:t>309</w:t>
    </w:r>
  </w:p>
</w:ftr>
</file>

<file path=word/footer3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230B1">
    <w:pPr>
      <w:spacing w:line="236" w:lineRule="auto"/>
      <w:ind w:left="4230"/>
      <w:rPr>
        <w:rFonts w:ascii="Calibri" w:hAnsi="Calibri" w:eastAsia="Calibri" w:cs="Calibri"/>
        <w:sz w:val="18"/>
        <w:szCs w:val="18"/>
      </w:rPr>
    </w:pPr>
    <w:r>
      <w:rPr>
        <w:rFonts w:ascii="Calibri" w:hAnsi="Calibri" w:eastAsia="Calibri" w:cs="Calibri"/>
        <w:spacing w:val="-3"/>
        <w:sz w:val="18"/>
        <w:szCs w:val="18"/>
      </w:rPr>
      <w:t>310</w:t>
    </w:r>
  </w:p>
</w:ftr>
</file>

<file path=word/footer3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47FD2">
    <w:pPr>
      <w:spacing w:line="236" w:lineRule="auto"/>
      <w:ind w:left="4230"/>
      <w:rPr>
        <w:rFonts w:ascii="Calibri" w:hAnsi="Calibri" w:eastAsia="Calibri" w:cs="Calibri"/>
        <w:sz w:val="18"/>
        <w:szCs w:val="18"/>
      </w:rPr>
    </w:pPr>
    <w:r>
      <w:rPr>
        <w:rFonts w:ascii="Calibri" w:hAnsi="Calibri" w:eastAsia="Calibri" w:cs="Calibri"/>
        <w:spacing w:val="-3"/>
        <w:sz w:val="18"/>
        <w:szCs w:val="18"/>
      </w:rPr>
      <w:t>311</w:t>
    </w:r>
  </w:p>
</w:ftr>
</file>

<file path=word/footer3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F20FB">
    <w:pPr>
      <w:spacing w:line="236" w:lineRule="auto"/>
      <w:ind w:left="4230"/>
      <w:rPr>
        <w:rFonts w:ascii="Calibri" w:hAnsi="Calibri" w:eastAsia="Calibri" w:cs="Calibri"/>
        <w:sz w:val="18"/>
        <w:szCs w:val="18"/>
      </w:rPr>
    </w:pPr>
    <w:r>
      <w:rPr>
        <w:rFonts w:ascii="Calibri" w:hAnsi="Calibri" w:eastAsia="Calibri" w:cs="Calibri"/>
        <w:spacing w:val="-3"/>
        <w:sz w:val="18"/>
        <w:szCs w:val="18"/>
      </w:rPr>
      <w:t>312</w:t>
    </w:r>
  </w:p>
</w:ftr>
</file>

<file path=word/footer3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E33ED">
    <w:pPr>
      <w:spacing w:line="236" w:lineRule="auto"/>
      <w:ind w:left="4230"/>
      <w:rPr>
        <w:rFonts w:ascii="Calibri" w:hAnsi="Calibri" w:eastAsia="Calibri" w:cs="Calibri"/>
        <w:sz w:val="18"/>
        <w:szCs w:val="18"/>
      </w:rPr>
    </w:pPr>
    <w:r>
      <w:rPr>
        <w:rFonts w:ascii="Calibri" w:hAnsi="Calibri" w:eastAsia="Calibri" w:cs="Calibri"/>
        <w:spacing w:val="-3"/>
        <w:sz w:val="18"/>
        <w:szCs w:val="18"/>
      </w:rPr>
      <w:t>313</w:t>
    </w:r>
  </w:p>
</w:ftr>
</file>

<file path=word/footer3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7B9DF">
    <w:pPr>
      <w:spacing w:line="236" w:lineRule="auto"/>
      <w:ind w:left="4230"/>
      <w:rPr>
        <w:rFonts w:ascii="Calibri" w:hAnsi="Calibri" w:eastAsia="Calibri" w:cs="Calibri"/>
        <w:sz w:val="18"/>
        <w:szCs w:val="18"/>
      </w:rPr>
    </w:pPr>
    <w:r>
      <w:rPr>
        <w:rFonts w:ascii="Calibri" w:hAnsi="Calibri" w:eastAsia="Calibri" w:cs="Calibri"/>
        <w:spacing w:val="-3"/>
        <w:sz w:val="18"/>
        <w:szCs w:val="18"/>
      </w:rPr>
      <w:t>314</w:t>
    </w:r>
  </w:p>
</w:ftr>
</file>

<file path=word/footer3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D7A78">
    <w:pPr>
      <w:spacing w:line="236" w:lineRule="auto"/>
      <w:ind w:left="4230"/>
      <w:rPr>
        <w:rFonts w:ascii="Calibri" w:hAnsi="Calibri" w:eastAsia="Calibri" w:cs="Calibri"/>
        <w:sz w:val="18"/>
        <w:szCs w:val="18"/>
      </w:rPr>
    </w:pPr>
    <w:r>
      <w:rPr>
        <w:rFonts w:ascii="Calibri" w:hAnsi="Calibri" w:eastAsia="Calibri" w:cs="Calibri"/>
        <w:spacing w:val="-3"/>
        <w:sz w:val="18"/>
        <w:szCs w:val="18"/>
      </w:rPr>
      <w:t>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25327">
    <w:pPr>
      <w:spacing w:before="85" w:line="222" w:lineRule="auto"/>
      <w:ind w:left="45"/>
      <w:rPr>
        <w:rFonts w:ascii="黑体" w:hAnsi="黑体" w:eastAsia="黑体" w:cs="黑体"/>
        <w:sz w:val="31"/>
        <w:szCs w:val="31"/>
      </w:rPr>
    </w:pPr>
    <w:r>
      <w:rPr>
        <w:rFonts w:ascii="黑体" w:hAnsi="黑体" w:eastAsia="黑体" w:cs="黑体"/>
        <w:b/>
        <w:bCs/>
        <w:spacing w:val="9"/>
        <w:sz w:val="31"/>
        <w:szCs w:val="31"/>
      </w:rPr>
      <w:t>附表三：招标文件文件修改通知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7C6C9">
    <w:pPr>
      <w:pStyle w:val="2"/>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B0728">
    <w:pPr>
      <w:tabs>
        <w:tab w:val="left" w:pos="435"/>
      </w:tabs>
      <w:spacing w:before="138" w:line="93" w:lineRule="auto"/>
      <w:ind w:left="15"/>
      <w:rPr>
        <w:rFonts w:ascii="宋体" w:hAnsi="宋体" w:eastAsia="宋体" w:cs="宋体"/>
        <w:sz w:val="21"/>
        <w:szCs w:val="21"/>
      </w:rPr>
    </w:pPr>
    <w:r>
      <w:pict>
        <v:shape id="_x0000_s2049" o:spid="_x0000_s2049" style="position:absolute;left:0pt;margin-left:111.15pt;margin-top:129.1pt;height:0.75pt;width:395pt;mso-position-horizontal-relative:page;mso-position-vertical-relative:page;z-index:251660288;mso-width-relative:page;mso-height-relative:page;" fillcolor="#000000" filled="t" stroked="f" coordsize="7900,15" o:allowincell="f" path="m0,15l7900,15,7900,0,0,0,0,15xe">
          <v:path/>
          <v:fill on="t" focussize="0,0"/>
          <v:stroke on="f"/>
          <v:imagedata o:title=""/>
          <o:lock v:ext="edit"/>
        </v:shape>
      </w:pict>
    </w:r>
    <w:r>
      <w:rPr>
        <w:rFonts w:ascii="宋体" w:hAnsi="宋体" w:eastAsia="宋体" w:cs="宋体"/>
        <w:sz w:val="21"/>
        <w:szCs w:val="21"/>
        <w:u w:val="single" w:color="auto"/>
      </w:rPr>
      <w:tab/>
    </w:r>
    <w:r>
      <w:rPr>
        <w:rFonts w:ascii="宋体" w:hAnsi="宋体" w:eastAsia="宋体" w:cs="宋体"/>
        <w:sz w:val="21"/>
        <w:szCs w:val="21"/>
      </w:rPr>
      <w:t>。</w:t>
    </w:r>
  </w:p>
  <w:p w14:paraId="1FFF5FAC">
    <w:pPr>
      <w:spacing w:before="163" w:line="219" w:lineRule="auto"/>
      <w:ind w:left="448"/>
      <w:rPr>
        <w:rFonts w:ascii="宋体" w:hAnsi="宋体" w:eastAsia="宋体" w:cs="宋体"/>
        <w:sz w:val="21"/>
        <w:szCs w:val="21"/>
      </w:rPr>
    </w:pPr>
    <w:r>
      <w:rPr>
        <w:rFonts w:ascii="宋体" w:hAnsi="宋体" w:eastAsia="宋体" w:cs="宋体"/>
        <w:spacing w:val="-1"/>
        <w:sz w:val="21"/>
        <w:szCs w:val="21"/>
      </w:rPr>
      <w:t>关于发包人向承包人免费提供满足工程施工需要的场内道路和</w:t>
    </w:r>
    <w:r>
      <w:rPr>
        <w:rFonts w:ascii="宋体" w:hAnsi="宋体" w:eastAsia="宋体" w:cs="宋体"/>
        <w:spacing w:val="-2"/>
        <w:sz w:val="21"/>
        <w:szCs w:val="21"/>
      </w:rPr>
      <w:t>交通设施的约定：</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4F660">
    <w:pPr>
      <w:tabs>
        <w:tab w:val="left" w:pos="435"/>
      </w:tabs>
      <w:spacing w:before="138" w:line="93" w:lineRule="auto"/>
      <w:ind w:left="15"/>
      <w:rPr>
        <w:rFonts w:ascii="宋体" w:hAnsi="宋体" w:eastAsia="宋体" w:cs="宋体"/>
        <w:sz w:val="21"/>
        <w:szCs w:val="21"/>
      </w:rPr>
    </w:pPr>
    <w:r>
      <w:pict>
        <v:shape id="_x0000_s2050" o:spid="_x0000_s2050" style="position:absolute;left:0pt;margin-left:111.15pt;margin-top:129.1pt;height:0.75pt;width:395pt;mso-position-horizontal-relative:page;mso-position-vertical-relative:page;z-index:251661312;mso-width-relative:page;mso-height-relative:page;" fillcolor="#000000" filled="t" stroked="f" coordsize="7900,15" o:allowincell="f" path="m0,15l7900,15,7900,0,0,0,0,15xe">
          <v:path/>
          <v:fill on="t" focussize="0,0"/>
          <v:stroke on="f"/>
          <v:imagedata o:title=""/>
          <o:lock v:ext="edit"/>
        </v:shape>
      </w:pict>
    </w:r>
    <w:r>
      <w:rPr>
        <w:rFonts w:ascii="宋体" w:hAnsi="宋体" w:eastAsia="宋体" w:cs="宋体"/>
        <w:sz w:val="21"/>
        <w:szCs w:val="21"/>
        <w:u w:val="single" w:color="auto"/>
      </w:rPr>
      <w:tab/>
    </w:r>
    <w:r>
      <w:rPr>
        <w:rFonts w:ascii="宋体" w:hAnsi="宋体" w:eastAsia="宋体" w:cs="宋体"/>
        <w:sz w:val="21"/>
        <w:szCs w:val="21"/>
      </w:rPr>
      <w:t>。</w:t>
    </w:r>
  </w:p>
  <w:p w14:paraId="53DF7987">
    <w:pPr>
      <w:spacing w:before="164" w:line="218" w:lineRule="auto"/>
      <w:ind w:left="452"/>
      <w:rPr>
        <w:rFonts w:ascii="宋体" w:hAnsi="宋体" w:eastAsia="宋体" w:cs="宋体"/>
        <w:sz w:val="21"/>
        <w:szCs w:val="21"/>
      </w:rPr>
    </w:pPr>
    <w:r>
      <w:rPr>
        <w:rFonts w:ascii="宋体" w:hAnsi="宋体" w:eastAsia="宋体" w:cs="宋体"/>
        <w:spacing w:val="-4"/>
        <w:sz w:val="21"/>
        <w:szCs w:val="21"/>
      </w:rPr>
      <w:t>允许调整合同价格的工程量偏差范围：</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FFD59">
    <w:pPr>
      <w:pStyle w:val="2"/>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A4268">
    <w:pPr>
      <w:spacing w:before="55" w:line="220" w:lineRule="auto"/>
      <w:ind w:left="448"/>
      <w:rPr>
        <w:rFonts w:ascii="宋体" w:hAnsi="宋体" w:eastAsia="宋体" w:cs="宋体"/>
        <w:sz w:val="21"/>
        <w:szCs w:val="21"/>
      </w:rPr>
    </w:pPr>
    <w:r>
      <w:pict>
        <v:shape id="_x0000_s2051" o:spid="_x0000_s2051" style="position:absolute;left:0pt;margin-left:111.15pt;margin-top:109.6pt;height:0.75pt;width:368pt;mso-position-horizontal-relative:page;mso-position-vertical-relative:page;z-index:251662336;mso-width-relative:page;mso-height-relative:page;" fillcolor="#000000" filled="t" stroked="f" coordsize="7360,15" o:allowincell="f" path="m0,15l7359,15,7359,0,0,0,0,15xe">
          <v:path/>
          <v:fill on="t" focussize="0,0"/>
          <v:stroke on="f"/>
          <v:imagedata o:title=""/>
          <o:lock v:ext="edit"/>
        </v:shape>
      </w:pict>
    </w:r>
    <w:r>
      <w:rPr>
        <w:rFonts w:ascii="宋体" w:hAnsi="宋体" w:eastAsia="宋体" w:cs="宋体"/>
        <w:spacing w:val="-3"/>
        <w:sz w:val="21"/>
        <w:szCs w:val="21"/>
      </w:rPr>
      <w:t>关于项目经理每月在施工现场的时间要求：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E91DF">
    <w:pPr>
      <w:spacing w:before="138" w:line="106" w:lineRule="exact"/>
      <w:ind w:left="7824"/>
      <w:rPr>
        <w:rFonts w:ascii="宋体" w:hAnsi="宋体" w:eastAsia="宋体" w:cs="宋体"/>
        <w:sz w:val="21"/>
        <w:szCs w:val="21"/>
      </w:rPr>
    </w:pPr>
    <w:r>
      <w:pict>
        <v:shape id="_x0000_s2052" o:spid="_x0000_s2052" style="position:absolute;left:0pt;margin-left:90.1pt;margin-top:89.3pt;height:0.75pt;width:389pt;mso-position-horizontal-relative:page;mso-position-vertical-relative:page;z-index:251663360;mso-width-relative:page;mso-height-relative:page;" fillcolor="#000000" filled="t" stroked="f" coordsize="7780,15" o:allowincell="f" path="m0,15l7780,15,7780,0,0,0,0,15xe">
          <v:path/>
          <v:fill on="t" focussize="0,0"/>
          <v:stroke on="f"/>
          <v:imagedata o:title=""/>
          <o:lock v:ext="edit"/>
        </v:shape>
      </w:pict>
    </w:r>
    <w:r>
      <w:rPr>
        <w:rFonts w:ascii="宋体" w:hAnsi="宋体" w:eastAsia="宋体" w:cs="宋体"/>
        <w:position w:val="1"/>
        <w:sz w:val="21"/>
        <w:szCs w:val="21"/>
      </w:rPr>
      <w:t>。</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53537">
    <w:pPr>
      <w:pStyle w:val="2"/>
      <w:spacing w:line="398" w:lineRule="auto"/>
    </w:pPr>
    <w:r>
      <w:pict>
        <v:shape id="_x0000_s2053" o:spid="_x0000_s2053" style="position:absolute;left:0pt;margin-left:111.15pt;margin-top:89.3pt;height:0.75pt;width:47.3pt;mso-position-horizontal-relative:page;mso-position-vertical-relative:page;z-index:251665408;mso-width-relative:page;mso-height-relative:page;" fillcolor="#000000" filled="t" stroked="f" coordsize="945,15" o:allowincell="f" path="m0,15l945,15,945,0,0,0,0,15xe">
          <v:path/>
          <v:fill on="t" focussize="0,0"/>
          <v:stroke on="f"/>
          <v:imagedata o:title=""/>
          <o:lock v:ext="edit"/>
        </v:shape>
      </w:pict>
    </w:r>
    <w:r>
      <w:pict>
        <v:shape id="_x0000_s2054" o:spid="_x0000_s2054" style="position:absolute;left:0pt;margin-left:90.1pt;margin-top:109.6pt;height:0.75pt;width:352.25pt;mso-position-horizontal-relative:page;mso-position-vertical-relative:page;z-index:251664384;mso-width-relative:page;mso-height-relative:page;" fillcolor="#000000" filled="t" stroked="f" coordsize="7045,15" o:allowincell="f" path="m0,15l7044,15,7044,0,0,0,0,15xe">
          <v:path/>
          <v:fill on="t" focussize="0,0"/>
          <v:stroke on="f"/>
          <v:imagedata o:title=""/>
          <o:lock v:ext="edit"/>
        </v:shape>
      </w:pict>
    </w:r>
  </w:p>
  <w:p w14:paraId="24BBCBA8">
    <w:pPr>
      <w:spacing w:before="68" w:line="106" w:lineRule="exact"/>
      <w:ind w:left="7088"/>
      <w:rPr>
        <w:rFonts w:ascii="宋体" w:hAnsi="宋体" w:eastAsia="宋体" w:cs="宋体"/>
        <w:sz w:val="21"/>
        <w:szCs w:val="21"/>
      </w:rPr>
    </w:pPr>
    <w:r>
      <w:rPr>
        <w:rFonts w:ascii="宋体" w:hAnsi="宋体" w:eastAsia="宋体" w:cs="宋体"/>
        <w:position w:val="1"/>
        <w:sz w:val="21"/>
        <w:szCs w:val="21"/>
      </w:rPr>
      <w:t>。</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61358">
    <w:pPr>
      <w:pStyle w:val="2"/>
      <w:spacing w:line="398" w:lineRule="auto"/>
    </w:pPr>
    <w:r>
      <w:pict>
        <v:shape id="_x0000_s2055" o:spid="_x0000_s2055" style="position:absolute;left:0pt;margin-left:111.15pt;margin-top:89.3pt;height:0.75pt;width:47.3pt;mso-position-horizontal-relative:page;mso-position-vertical-relative:page;z-index:251667456;mso-width-relative:page;mso-height-relative:page;" fillcolor="#000000" filled="t" stroked="f" coordsize="945,15" o:allowincell="f" path="m0,15l945,15,945,0,0,0,0,15xe">
          <v:path/>
          <v:fill on="t" focussize="0,0"/>
          <v:stroke on="f"/>
          <v:imagedata o:title=""/>
          <o:lock v:ext="edit"/>
        </v:shape>
      </w:pict>
    </w:r>
    <w:r>
      <w:pict>
        <v:shape id="_x0000_s2056" o:spid="_x0000_s2056" style="position:absolute;left:0pt;margin-left:90.1pt;margin-top:109.6pt;height:0.75pt;width:352.25pt;mso-position-horizontal-relative:page;mso-position-vertical-relative:page;z-index:251666432;mso-width-relative:page;mso-height-relative:page;" fillcolor="#000000" filled="t" stroked="f" coordsize="7045,15" o:allowincell="f" path="m0,15l7044,15,7044,0,0,0,0,15xe">
          <v:path/>
          <v:fill on="t" focussize="0,0"/>
          <v:stroke on="f"/>
          <v:imagedata o:title=""/>
          <o:lock v:ext="edit"/>
        </v:shape>
      </w:pict>
    </w:r>
  </w:p>
  <w:p w14:paraId="0825F3D8">
    <w:pPr>
      <w:spacing w:before="68" w:line="106" w:lineRule="exact"/>
      <w:ind w:left="7088"/>
      <w:rPr>
        <w:rFonts w:ascii="宋体" w:hAnsi="宋体" w:eastAsia="宋体" w:cs="宋体"/>
        <w:sz w:val="21"/>
        <w:szCs w:val="21"/>
      </w:rPr>
    </w:pPr>
    <w:r>
      <w:rPr>
        <w:rFonts w:ascii="宋体" w:hAnsi="宋体" w:eastAsia="宋体" w:cs="宋体"/>
        <w:position w:val="1"/>
        <w:sz w:val="21"/>
        <w:szCs w:val="21"/>
      </w:rP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24966">
    <w:pPr>
      <w:pStyle w:val="2"/>
      <w:spacing w:line="14" w:lineRule="auto"/>
      <w:rPr>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47F4F">
    <w:pPr>
      <w:pStyle w:val="2"/>
      <w:spacing w:line="398" w:lineRule="auto"/>
    </w:pPr>
    <w:r>
      <w:pict>
        <v:shape id="_x0000_s2057" o:spid="_x0000_s2057" style="position:absolute;left:0pt;margin-left:111.15pt;margin-top:89.3pt;height:0.75pt;width:47.3pt;mso-position-horizontal-relative:page;mso-position-vertical-relative:page;z-index:251667456;mso-width-relative:page;mso-height-relative:page;" fillcolor="#000000" filled="t" stroked="f" coordsize="945,15" o:allowincell="f" path="m0,15l945,15,945,0,0,0,0,15xe">
          <v:path/>
          <v:fill on="t" focussize="0,0"/>
          <v:stroke on="f"/>
          <v:imagedata o:title=""/>
          <o:lock v:ext="edit"/>
        </v:shape>
      </w:pict>
    </w:r>
    <w:r>
      <w:pict>
        <v:shape id="_x0000_s2058" o:spid="_x0000_s2058" style="position:absolute;left:0pt;margin-left:90.1pt;margin-top:109.6pt;height:0.75pt;width:352.25pt;mso-position-horizontal-relative:page;mso-position-vertical-relative:page;z-index:251666432;mso-width-relative:page;mso-height-relative:page;" fillcolor="#000000" filled="t" stroked="f" coordsize="7045,15" o:allowincell="f" path="m0,15l7044,15,7044,0,0,0,0,15xe">
          <v:path/>
          <v:fill on="t" focussize="0,0"/>
          <v:stroke on="f"/>
          <v:imagedata o:title=""/>
          <o:lock v:ext="edit"/>
        </v:shape>
      </w:pict>
    </w:r>
  </w:p>
  <w:p w14:paraId="210801B1">
    <w:pPr>
      <w:spacing w:before="68" w:line="106" w:lineRule="exact"/>
      <w:ind w:left="7088"/>
      <w:rPr>
        <w:rFonts w:ascii="宋体" w:hAnsi="宋体" w:eastAsia="宋体" w:cs="宋体"/>
        <w:sz w:val="21"/>
        <w:szCs w:val="21"/>
      </w:rPr>
    </w:pPr>
    <w:r>
      <w:rPr>
        <w:rFonts w:ascii="宋体" w:hAnsi="宋体" w:eastAsia="宋体" w:cs="宋体"/>
        <w:position w:val="1"/>
        <w:sz w:val="21"/>
        <w:szCs w:val="21"/>
      </w:rPr>
      <w:t>。</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D3A1E">
    <w:pPr>
      <w:pStyle w:val="2"/>
      <w:spacing w:line="14" w:lineRule="auto"/>
      <w:rPr>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9EFAD">
    <w:pPr>
      <w:pStyle w:val="2"/>
      <w:spacing w:line="398" w:lineRule="auto"/>
    </w:pPr>
    <w:r>
      <w:pict>
        <v:shape id="_x0000_s2059" o:spid="_x0000_s2059" style="position:absolute;left:0pt;margin-left:111.15pt;margin-top:89.3pt;height:0.75pt;width:47.3pt;mso-position-horizontal-relative:page;mso-position-vertical-relative:page;z-index:251667456;mso-width-relative:page;mso-height-relative:page;" fillcolor="#000000" filled="t" stroked="f" coordsize="945,15" o:allowincell="f" path="m0,15l945,15,945,0,0,0,0,15xe">
          <v:path/>
          <v:fill on="t" focussize="0,0"/>
          <v:stroke on="f"/>
          <v:imagedata o:title=""/>
          <o:lock v:ext="edit"/>
        </v:shape>
      </w:pict>
    </w:r>
    <w:r>
      <w:pict>
        <v:shape id="_x0000_s2060" o:spid="_x0000_s2060" style="position:absolute;left:0pt;margin-left:90.1pt;margin-top:109.6pt;height:0.75pt;width:352.25pt;mso-position-horizontal-relative:page;mso-position-vertical-relative:page;z-index:251666432;mso-width-relative:page;mso-height-relative:page;" fillcolor="#000000" filled="t" stroked="f" coordsize="7045,15" o:allowincell="f" path="m0,15l7044,15,7044,0,0,0,0,15xe">
          <v:path/>
          <v:fill on="t" focussize="0,0"/>
          <v:stroke on="f"/>
          <v:imagedata o:title=""/>
          <o:lock v:ext="edit"/>
        </v:shape>
      </w:pict>
    </w:r>
  </w:p>
  <w:p w14:paraId="70A7A63E">
    <w:pPr>
      <w:spacing w:before="68" w:line="106" w:lineRule="exact"/>
      <w:ind w:left="7088"/>
      <w:rPr>
        <w:rFonts w:ascii="宋体" w:hAnsi="宋体" w:eastAsia="宋体" w:cs="宋体"/>
        <w:sz w:val="21"/>
        <w:szCs w:val="21"/>
      </w:rPr>
    </w:pPr>
    <w:r>
      <w:rPr>
        <w:rFonts w:ascii="宋体" w:hAnsi="宋体" w:eastAsia="宋体" w:cs="宋体"/>
        <w:position w:val="1"/>
        <w:sz w:val="21"/>
        <w:szCs w:val="21"/>
      </w:rPr>
      <w:t>。</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C60B2">
    <w:pPr>
      <w:pStyle w:val="2"/>
      <w:spacing w:line="14"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79023">
    <w:pPr>
      <w:spacing w:before="138" w:line="106" w:lineRule="exact"/>
      <w:ind w:left="7509"/>
      <w:rPr>
        <w:rFonts w:ascii="宋体" w:hAnsi="宋体" w:eastAsia="宋体" w:cs="宋体"/>
        <w:sz w:val="21"/>
        <w:szCs w:val="21"/>
      </w:rPr>
    </w:pPr>
    <w:r>
      <w:pict>
        <v:shape id="_x0000_s2061" o:spid="_x0000_s2061" style="position:absolute;left:0pt;margin-left:111.15pt;margin-top:89.3pt;height:0.75pt;width:352.25pt;mso-position-horizontal-relative:page;mso-position-vertical-relative:page;z-index:251670528;mso-width-relative:page;mso-height-relative:page;" fillcolor="#000000" filled="t" stroked="f" coordsize="7045,15" o:allowincell="f" path="m0,15l7044,15,7044,0,0,0,0,15xe">
          <v:path/>
          <v:fill on="t" focussize="0,0"/>
          <v:stroke on="f"/>
          <v:imagedata o:title=""/>
          <o:lock v:ext="edit"/>
        </v:shape>
      </w:pict>
    </w:r>
    <w:r>
      <w:rPr>
        <w:rFonts w:ascii="宋体" w:hAnsi="宋体" w:eastAsia="宋体" w:cs="宋体"/>
        <w:position w:val="1"/>
        <w:sz w:val="21"/>
        <w:szCs w:val="21"/>
      </w:rPr>
      <w:t>。</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A1643">
    <w:pPr>
      <w:pStyle w:val="2"/>
      <w:spacing w:line="14"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513A0">
    <w:pPr>
      <w:spacing w:before="77" w:line="223" w:lineRule="auto"/>
      <w:ind w:left="32"/>
      <w:rPr>
        <w:rFonts w:ascii="宋体" w:hAnsi="宋体" w:eastAsia="宋体" w:cs="宋体"/>
        <w:sz w:val="28"/>
        <w:szCs w:val="28"/>
      </w:rPr>
    </w:pPr>
    <w:r>
      <w:rPr>
        <w:rFonts w:ascii="宋体" w:hAnsi="宋体" w:eastAsia="宋体" w:cs="宋体"/>
        <w:spacing w:val="2"/>
        <w:sz w:val="28"/>
        <w:szCs w:val="28"/>
      </w:rPr>
      <w:t>3-2 近年完成的类似项目情况表</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F7CD5">
    <w:pPr>
      <w:pStyle w:val="2"/>
      <w:spacing w:line="14" w:lineRule="auto"/>
      <w:rPr>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B586B">
    <w:pPr>
      <w:spacing w:before="55" w:line="220" w:lineRule="auto"/>
      <w:ind w:left="2241"/>
      <w:rPr>
        <w:rFonts w:ascii="黑体" w:hAnsi="黑体" w:eastAsia="黑体" w:cs="黑体"/>
        <w:sz w:val="24"/>
        <w:szCs w:val="24"/>
      </w:rPr>
    </w:pPr>
    <w:r>
      <w:rPr>
        <w:rFonts w:ascii="Times New Roman" w:hAnsi="Times New Roman" w:eastAsia="Times New Roman" w:cs="Times New Roman"/>
        <w:spacing w:val="-1"/>
        <w:sz w:val="24"/>
        <w:szCs w:val="24"/>
      </w:rPr>
      <w:t>4-2</w:t>
    </w:r>
    <w:r>
      <w:rPr>
        <w:rFonts w:ascii="Times New Roman" w:hAnsi="Times New Roman" w:eastAsia="Times New Roman" w:cs="Times New Roman"/>
        <w:spacing w:val="76"/>
        <w:sz w:val="24"/>
        <w:szCs w:val="24"/>
      </w:rPr>
      <w:t xml:space="preserve"> </w:t>
    </w:r>
    <w:r>
      <w:rPr>
        <w:rFonts w:ascii="黑体" w:hAnsi="黑体" w:eastAsia="黑体" w:cs="黑体"/>
        <w:spacing w:val="-1"/>
        <w:sz w:val="24"/>
        <w:szCs w:val="24"/>
      </w:rPr>
      <w:t>正在施工的和新承接的项目情况表</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27027">
    <w:pPr>
      <w:pStyle w:val="2"/>
      <w:spacing w:line="14" w:lineRule="auto"/>
      <w:rPr>
        <w:sz w:val="2"/>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D6CB">
    <w:pPr>
      <w:spacing w:before="64" w:line="219" w:lineRule="auto"/>
      <w:ind w:left="38"/>
      <w:rPr>
        <w:rFonts w:ascii="黑体" w:hAnsi="黑体" w:eastAsia="黑体" w:cs="黑体"/>
        <w:sz w:val="24"/>
        <w:szCs w:val="24"/>
      </w:rPr>
    </w:pPr>
    <w:r>
      <w:rPr>
        <w:rFonts w:ascii="黑体" w:hAnsi="黑体" w:eastAsia="黑体" w:cs="黑体"/>
        <w:spacing w:val="-2"/>
        <w:sz w:val="24"/>
        <w:szCs w:val="24"/>
      </w:rPr>
      <w:t>附表三：劳动力计划表</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19623">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0E54C6"/>
    <w:rsid w:val="0F4D1A20"/>
    <w:rsid w:val="1BEA5226"/>
    <w:rsid w:val="253D4222"/>
    <w:rsid w:val="27D86334"/>
    <w:rsid w:val="2A9F0A5B"/>
    <w:rsid w:val="31E267E6"/>
    <w:rsid w:val="4A372D9B"/>
    <w:rsid w:val="4E1271FD"/>
    <w:rsid w:val="54CE480A"/>
    <w:rsid w:val="5A7D7E03"/>
    <w:rsid w:val="6012785C"/>
    <w:rsid w:val="69B10589"/>
    <w:rsid w:val="70DF67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31"/>
      <w:szCs w:val="3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3.xml"/><Relationship Id="rId98" Type="http://schemas.openxmlformats.org/officeDocument/2006/relationships/footer" Target="footer92.xml"/><Relationship Id="rId97" Type="http://schemas.openxmlformats.org/officeDocument/2006/relationships/footer" Target="footer91.xml"/><Relationship Id="rId96" Type="http://schemas.openxmlformats.org/officeDocument/2006/relationships/footer" Target="footer90.xml"/><Relationship Id="rId95" Type="http://schemas.openxmlformats.org/officeDocument/2006/relationships/footer" Target="footer89.xml"/><Relationship Id="rId94" Type="http://schemas.openxmlformats.org/officeDocument/2006/relationships/footer" Target="footer88.xml"/><Relationship Id="rId93" Type="http://schemas.openxmlformats.org/officeDocument/2006/relationships/footer" Target="footer87.xml"/><Relationship Id="rId92" Type="http://schemas.openxmlformats.org/officeDocument/2006/relationships/footer" Target="footer86.xml"/><Relationship Id="rId91" Type="http://schemas.openxmlformats.org/officeDocument/2006/relationships/footer" Target="footer85.xml"/><Relationship Id="rId90" Type="http://schemas.openxmlformats.org/officeDocument/2006/relationships/footer" Target="footer84.xml"/><Relationship Id="rId9" Type="http://schemas.openxmlformats.org/officeDocument/2006/relationships/footer" Target="footer5.xml"/><Relationship Id="rId89" Type="http://schemas.openxmlformats.org/officeDocument/2006/relationships/footer" Target="footer83.xml"/><Relationship Id="rId88" Type="http://schemas.openxmlformats.org/officeDocument/2006/relationships/footer" Target="footer82.xml"/><Relationship Id="rId87" Type="http://schemas.openxmlformats.org/officeDocument/2006/relationships/footer" Target="footer81.xml"/><Relationship Id="rId86" Type="http://schemas.openxmlformats.org/officeDocument/2006/relationships/footer" Target="footer80.xml"/><Relationship Id="rId85" Type="http://schemas.openxmlformats.org/officeDocument/2006/relationships/footer" Target="footer79.xml"/><Relationship Id="rId84" Type="http://schemas.openxmlformats.org/officeDocument/2006/relationships/footer" Target="footer78.xml"/><Relationship Id="rId83" Type="http://schemas.openxmlformats.org/officeDocument/2006/relationships/footer" Target="footer77.xml"/><Relationship Id="rId82" Type="http://schemas.openxmlformats.org/officeDocument/2006/relationships/footer" Target="footer76.xml"/><Relationship Id="rId81" Type="http://schemas.openxmlformats.org/officeDocument/2006/relationships/footer" Target="footer75.xml"/><Relationship Id="rId80" Type="http://schemas.openxmlformats.org/officeDocument/2006/relationships/footer" Target="footer74.xml"/><Relationship Id="rId8" Type="http://schemas.openxmlformats.org/officeDocument/2006/relationships/footer" Target="footer4.xml"/><Relationship Id="rId79" Type="http://schemas.openxmlformats.org/officeDocument/2006/relationships/footer" Target="footer73.xml"/><Relationship Id="rId78" Type="http://schemas.openxmlformats.org/officeDocument/2006/relationships/footer" Target="footer72.xml"/><Relationship Id="rId77" Type="http://schemas.openxmlformats.org/officeDocument/2006/relationships/footer" Target="footer71.xml"/><Relationship Id="rId76" Type="http://schemas.openxmlformats.org/officeDocument/2006/relationships/footer" Target="footer70.xml"/><Relationship Id="rId75" Type="http://schemas.openxmlformats.org/officeDocument/2006/relationships/footer" Target="footer69.xml"/><Relationship Id="rId74" Type="http://schemas.openxmlformats.org/officeDocument/2006/relationships/footer" Target="footer68.xml"/><Relationship Id="rId73" Type="http://schemas.openxmlformats.org/officeDocument/2006/relationships/footer" Target="footer67.xml"/><Relationship Id="rId72" Type="http://schemas.openxmlformats.org/officeDocument/2006/relationships/footer" Target="footer66.xml"/><Relationship Id="rId71" Type="http://schemas.openxmlformats.org/officeDocument/2006/relationships/footer" Target="footer65.xml"/><Relationship Id="rId70" Type="http://schemas.openxmlformats.org/officeDocument/2006/relationships/footer" Target="footer64.xml"/><Relationship Id="rId7" Type="http://schemas.openxmlformats.org/officeDocument/2006/relationships/footer" Target="footer3.xml"/><Relationship Id="rId69" Type="http://schemas.openxmlformats.org/officeDocument/2006/relationships/footer" Target="footer63.xml"/><Relationship Id="rId68" Type="http://schemas.openxmlformats.org/officeDocument/2006/relationships/footer" Target="footer62.xml"/><Relationship Id="rId67" Type="http://schemas.openxmlformats.org/officeDocument/2006/relationships/footer" Target="footer61.xml"/><Relationship Id="rId66" Type="http://schemas.openxmlformats.org/officeDocument/2006/relationships/footer" Target="footer60.xml"/><Relationship Id="rId65" Type="http://schemas.openxmlformats.org/officeDocument/2006/relationships/footer" Target="footer59.xml"/><Relationship Id="rId64" Type="http://schemas.openxmlformats.org/officeDocument/2006/relationships/footer" Target="footer58.xml"/><Relationship Id="rId63" Type="http://schemas.openxmlformats.org/officeDocument/2006/relationships/footer" Target="footer57.xml"/><Relationship Id="rId62" Type="http://schemas.openxmlformats.org/officeDocument/2006/relationships/footer" Target="footer56.xml"/><Relationship Id="rId61" Type="http://schemas.openxmlformats.org/officeDocument/2006/relationships/footer" Target="footer55.xml"/><Relationship Id="rId60" Type="http://schemas.openxmlformats.org/officeDocument/2006/relationships/footer" Target="footer54.xml"/><Relationship Id="rId6" Type="http://schemas.openxmlformats.org/officeDocument/2006/relationships/footer" Target="footer2.xml"/><Relationship Id="rId59" Type="http://schemas.openxmlformats.org/officeDocument/2006/relationships/footer" Target="footer53.xml"/><Relationship Id="rId58" Type="http://schemas.openxmlformats.org/officeDocument/2006/relationships/footer" Target="footer52.xml"/><Relationship Id="rId57" Type="http://schemas.openxmlformats.org/officeDocument/2006/relationships/footer" Target="footer51.xml"/><Relationship Id="rId56" Type="http://schemas.openxmlformats.org/officeDocument/2006/relationships/footer" Target="footer50.xml"/><Relationship Id="rId55" Type="http://schemas.openxmlformats.org/officeDocument/2006/relationships/header" Target="header2.xml"/><Relationship Id="rId54" Type="http://schemas.openxmlformats.org/officeDocument/2006/relationships/footer" Target="footer49.xml"/><Relationship Id="rId53" Type="http://schemas.openxmlformats.org/officeDocument/2006/relationships/header" Target="header1.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0" Type="http://schemas.openxmlformats.org/officeDocument/2006/relationships/fontTable" Target="fontTable.xml"/><Relationship Id="rId36" Type="http://schemas.openxmlformats.org/officeDocument/2006/relationships/footer" Target="footer32.xml"/><Relationship Id="rId359" Type="http://schemas.openxmlformats.org/officeDocument/2006/relationships/customXml" Target="../customXml/item1.xml"/><Relationship Id="rId358" Type="http://schemas.openxmlformats.org/officeDocument/2006/relationships/image" Target="media/image2.png"/><Relationship Id="rId357" Type="http://schemas.openxmlformats.org/officeDocument/2006/relationships/image" Target="media/image1.png"/><Relationship Id="rId356" Type="http://schemas.openxmlformats.org/officeDocument/2006/relationships/theme" Target="theme/theme1.xml"/><Relationship Id="rId355" Type="http://schemas.openxmlformats.org/officeDocument/2006/relationships/footer" Target="footer329.xml"/><Relationship Id="rId354" Type="http://schemas.openxmlformats.org/officeDocument/2006/relationships/footer" Target="footer328.xml"/><Relationship Id="rId353" Type="http://schemas.openxmlformats.org/officeDocument/2006/relationships/footer" Target="footer327.xml"/><Relationship Id="rId352" Type="http://schemas.openxmlformats.org/officeDocument/2006/relationships/footer" Target="footer326.xml"/><Relationship Id="rId351" Type="http://schemas.openxmlformats.org/officeDocument/2006/relationships/header" Target="header22.xml"/><Relationship Id="rId350" Type="http://schemas.openxmlformats.org/officeDocument/2006/relationships/footer" Target="footer325.xml"/><Relationship Id="rId35" Type="http://schemas.openxmlformats.org/officeDocument/2006/relationships/footer" Target="footer31.xml"/><Relationship Id="rId349" Type="http://schemas.openxmlformats.org/officeDocument/2006/relationships/header" Target="header21.xml"/><Relationship Id="rId348" Type="http://schemas.openxmlformats.org/officeDocument/2006/relationships/footer" Target="footer324.xml"/><Relationship Id="rId347" Type="http://schemas.openxmlformats.org/officeDocument/2006/relationships/footer" Target="footer323.xml"/><Relationship Id="rId346" Type="http://schemas.openxmlformats.org/officeDocument/2006/relationships/footer" Target="footer322.xml"/><Relationship Id="rId345" Type="http://schemas.openxmlformats.org/officeDocument/2006/relationships/footer" Target="footer321.xml"/><Relationship Id="rId344" Type="http://schemas.openxmlformats.org/officeDocument/2006/relationships/footer" Target="footer320.xml"/><Relationship Id="rId343" Type="http://schemas.openxmlformats.org/officeDocument/2006/relationships/footer" Target="footer319.xml"/><Relationship Id="rId342" Type="http://schemas.openxmlformats.org/officeDocument/2006/relationships/footer" Target="footer318.xml"/><Relationship Id="rId341" Type="http://schemas.openxmlformats.org/officeDocument/2006/relationships/footer" Target="footer317.xml"/><Relationship Id="rId340" Type="http://schemas.openxmlformats.org/officeDocument/2006/relationships/footer" Target="footer316.xml"/><Relationship Id="rId34" Type="http://schemas.openxmlformats.org/officeDocument/2006/relationships/footer" Target="footer30.xml"/><Relationship Id="rId339" Type="http://schemas.openxmlformats.org/officeDocument/2006/relationships/footer" Target="footer315.xml"/><Relationship Id="rId338" Type="http://schemas.openxmlformats.org/officeDocument/2006/relationships/footer" Target="footer314.xml"/><Relationship Id="rId337" Type="http://schemas.openxmlformats.org/officeDocument/2006/relationships/footer" Target="footer313.xml"/><Relationship Id="rId336" Type="http://schemas.openxmlformats.org/officeDocument/2006/relationships/footer" Target="footer312.xml"/><Relationship Id="rId335" Type="http://schemas.openxmlformats.org/officeDocument/2006/relationships/header" Target="header20.xml"/><Relationship Id="rId334" Type="http://schemas.openxmlformats.org/officeDocument/2006/relationships/footer" Target="footer311.xml"/><Relationship Id="rId333" Type="http://schemas.openxmlformats.org/officeDocument/2006/relationships/header" Target="header19.xml"/><Relationship Id="rId332" Type="http://schemas.openxmlformats.org/officeDocument/2006/relationships/footer" Target="footer310.xml"/><Relationship Id="rId331" Type="http://schemas.openxmlformats.org/officeDocument/2006/relationships/footer" Target="footer309.xml"/><Relationship Id="rId330" Type="http://schemas.openxmlformats.org/officeDocument/2006/relationships/header" Target="header18.xml"/><Relationship Id="rId33" Type="http://schemas.openxmlformats.org/officeDocument/2006/relationships/footer" Target="footer29.xml"/><Relationship Id="rId329" Type="http://schemas.openxmlformats.org/officeDocument/2006/relationships/footer" Target="footer308.xml"/><Relationship Id="rId328" Type="http://schemas.openxmlformats.org/officeDocument/2006/relationships/header" Target="header17.xml"/><Relationship Id="rId327" Type="http://schemas.openxmlformats.org/officeDocument/2006/relationships/footer" Target="footer307.xml"/><Relationship Id="rId326" Type="http://schemas.openxmlformats.org/officeDocument/2006/relationships/footer" Target="footer306.xml"/><Relationship Id="rId325" Type="http://schemas.openxmlformats.org/officeDocument/2006/relationships/footer" Target="footer305.xml"/><Relationship Id="rId324" Type="http://schemas.openxmlformats.org/officeDocument/2006/relationships/footer" Target="footer304.xml"/><Relationship Id="rId323" Type="http://schemas.openxmlformats.org/officeDocument/2006/relationships/footer" Target="footer303.xml"/><Relationship Id="rId322" Type="http://schemas.openxmlformats.org/officeDocument/2006/relationships/footer" Target="footer302.xml"/><Relationship Id="rId321" Type="http://schemas.openxmlformats.org/officeDocument/2006/relationships/footer" Target="footer301.xml"/><Relationship Id="rId320" Type="http://schemas.openxmlformats.org/officeDocument/2006/relationships/footer" Target="footer300.xml"/><Relationship Id="rId32" Type="http://schemas.openxmlformats.org/officeDocument/2006/relationships/footer" Target="footer28.xml"/><Relationship Id="rId319" Type="http://schemas.openxmlformats.org/officeDocument/2006/relationships/footer" Target="footer299.xml"/><Relationship Id="rId318" Type="http://schemas.openxmlformats.org/officeDocument/2006/relationships/footer" Target="footer298.xml"/><Relationship Id="rId317" Type="http://schemas.openxmlformats.org/officeDocument/2006/relationships/footer" Target="footer297.xml"/><Relationship Id="rId316" Type="http://schemas.openxmlformats.org/officeDocument/2006/relationships/footer" Target="footer296.xml"/><Relationship Id="rId315" Type="http://schemas.openxmlformats.org/officeDocument/2006/relationships/footer" Target="footer295.xml"/><Relationship Id="rId314" Type="http://schemas.openxmlformats.org/officeDocument/2006/relationships/footer" Target="footer294.xml"/><Relationship Id="rId313" Type="http://schemas.openxmlformats.org/officeDocument/2006/relationships/footer" Target="footer293.xml"/><Relationship Id="rId312" Type="http://schemas.openxmlformats.org/officeDocument/2006/relationships/footer" Target="footer292.xml"/><Relationship Id="rId311" Type="http://schemas.openxmlformats.org/officeDocument/2006/relationships/footer" Target="footer291.xml"/><Relationship Id="rId310" Type="http://schemas.openxmlformats.org/officeDocument/2006/relationships/footer" Target="footer290.xml"/><Relationship Id="rId31" Type="http://schemas.openxmlformats.org/officeDocument/2006/relationships/footer" Target="footer27.xml"/><Relationship Id="rId309" Type="http://schemas.openxmlformats.org/officeDocument/2006/relationships/footer" Target="footer289.xml"/><Relationship Id="rId308" Type="http://schemas.openxmlformats.org/officeDocument/2006/relationships/footer" Target="footer288.xml"/><Relationship Id="rId307" Type="http://schemas.openxmlformats.org/officeDocument/2006/relationships/footer" Target="footer287.xml"/><Relationship Id="rId306" Type="http://schemas.openxmlformats.org/officeDocument/2006/relationships/footer" Target="footer286.xml"/><Relationship Id="rId305" Type="http://schemas.openxmlformats.org/officeDocument/2006/relationships/footer" Target="footer285.xml"/><Relationship Id="rId304" Type="http://schemas.openxmlformats.org/officeDocument/2006/relationships/footer" Target="footer284.xml"/><Relationship Id="rId303" Type="http://schemas.openxmlformats.org/officeDocument/2006/relationships/footer" Target="footer283.xml"/><Relationship Id="rId302" Type="http://schemas.openxmlformats.org/officeDocument/2006/relationships/footer" Target="footer282.xml"/><Relationship Id="rId301" Type="http://schemas.openxmlformats.org/officeDocument/2006/relationships/footer" Target="footer281.xml"/><Relationship Id="rId300" Type="http://schemas.openxmlformats.org/officeDocument/2006/relationships/footer" Target="footer280.xml"/><Relationship Id="rId30" Type="http://schemas.openxmlformats.org/officeDocument/2006/relationships/footer" Target="footer26.xml"/><Relationship Id="rId3" Type="http://schemas.openxmlformats.org/officeDocument/2006/relationships/footnotes" Target="footnotes.xml"/><Relationship Id="rId299" Type="http://schemas.openxmlformats.org/officeDocument/2006/relationships/footer" Target="footer279.xml"/><Relationship Id="rId298" Type="http://schemas.openxmlformats.org/officeDocument/2006/relationships/footer" Target="footer278.xml"/><Relationship Id="rId297" Type="http://schemas.openxmlformats.org/officeDocument/2006/relationships/footer" Target="footer277.xml"/><Relationship Id="rId296" Type="http://schemas.openxmlformats.org/officeDocument/2006/relationships/footer" Target="footer276.xml"/><Relationship Id="rId295" Type="http://schemas.openxmlformats.org/officeDocument/2006/relationships/footer" Target="footer275.xml"/><Relationship Id="rId294" Type="http://schemas.openxmlformats.org/officeDocument/2006/relationships/footer" Target="footer274.xml"/><Relationship Id="rId293" Type="http://schemas.openxmlformats.org/officeDocument/2006/relationships/footer" Target="footer273.xml"/><Relationship Id="rId292" Type="http://schemas.openxmlformats.org/officeDocument/2006/relationships/footer" Target="footer272.xml"/><Relationship Id="rId291" Type="http://schemas.openxmlformats.org/officeDocument/2006/relationships/footer" Target="footer271.xml"/><Relationship Id="rId290" Type="http://schemas.openxmlformats.org/officeDocument/2006/relationships/footer" Target="footer270.xml"/><Relationship Id="rId29" Type="http://schemas.openxmlformats.org/officeDocument/2006/relationships/footer" Target="footer25.xml"/><Relationship Id="rId289" Type="http://schemas.openxmlformats.org/officeDocument/2006/relationships/footer" Target="footer269.xml"/><Relationship Id="rId288" Type="http://schemas.openxmlformats.org/officeDocument/2006/relationships/footer" Target="footer268.xml"/><Relationship Id="rId287" Type="http://schemas.openxmlformats.org/officeDocument/2006/relationships/footer" Target="footer267.xml"/><Relationship Id="rId286" Type="http://schemas.openxmlformats.org/officeDocument/2006/relationships/footer" Target="footer266.xml"/><Relationship Id="rId285" Type="http://schemas.openxmlformats.org/officeDocument/2006/relationships/footer" Target="footer265.xml"/><Relationship Id="rId284" Type="http://schemas.openxmlformats.org/officeDocument/2006/relationships/footer" Target="footer264.xml"/><Relationship Id="rId283" Type="http://schemas.openxmlformats.org/officeDocument/2006/relationships/footer" Target="footer263.xml"/><Relationship Id="rId282" Type="http://schemas.openxmlformats.org/officeDocument/2006/relationships/footer" Target="footer262.xml"/><Relationship Id="rId281" Type="http://schemas.openxmlformats.org/officeDocument/2006/relationships/footer" Target="footer261.xml"/><Relationship Id="rId280" Type="http://schemas.openxmlformats.org/officeDocument/2006/relationships/header" Target="header16.xml"/><Relationship Id="rId28" Type="http://schemas.openxmlformats.org/officeDocument/2006/relationships/footer" Target="footer24.xml"/><Relationship Id="rId279" Type="http://schemas.openxmlformats.org/officeDocument/2006/relationships/footer" Target="footer260.xml"/><Relationship Id="rId278" Type="http://schemas.openxmlformats.org/officeDocument/2006/relationships/header" Target="header15.xml"/><Relationship Id="rId277" Type="http://schemas.openxmlformats.org/officeDocument/2006/relationships/footer" Target="footer259.xml"/><Relationship Id="rId276" Type="http://schemas.openxmlformats.org/officeDocument/2006/relationships/footer" Target="footer258.xml"/><Relationship Id="rId275" Type="http://schemas.openxmlformats.org/officeDocument/2006/relationships/footer" Target="footer257.xml"/><Relationship Id="rId274" Type="http://schemas.openxmlformats.org/officeDocument/2006/relationships/footer" Target="footer256.xml"/><Relationship Id="rId273" Type="http://schemas.openxmlformats.org/officeDocument/2006/relationships/footer" Target="footer255.xml"/><Relationship Id="rId272" Type="http://schemas.openxmlformats.org/officeDocument/2006/relationships/footer" Target="footer254.xml"/><Relationship Id="rId271" Type="http://schemas.openxmlformats.org/officeDocument/2006/relationships/footer" Target="footer253.xml"/><Relationship Id="rId270" Type="http://schemas.openxmlformats.org/officeDocument/2006/relationships/footer" Target="footer252.xml"/><Relationship Id="rId27" Type="http://schemas.openxmlformats.org/officeDocument/2006/relationships/footer" Target="footer23.xml"/><Relationship Id="rId269" Type="http://schemas.openxmlformats.org/officeDocument/2006/relationships/footer" Target="footer251.xml"/><Relationship Id="rId268" Type="http://schemas.openxmlformats.org/officeDocument/2006/relationships/footer" Target="footer250.xml"/><Relationship Id="rId267" Type="http://schemas.openxmlformats.org/officeDocument/2006/relationships/footer" Target="footer249.xml"/><Relationship Id="rId266" Type="http://schemas.openxmlformats.org/officeDocument/2006/relationships/footer" Target="footer248.xml"/><Relationship Id="rId265" Type="http://schemas.openxmlformats.org/officeDocument/2006/relationships/footer" Target="footer247.xml"/><Relationship Id="rId264" Type="http://schemas.openxmlformats.org/officeDocument/2006/relationships/footer" Target="footer246.xml"/><Relationship Id="rId263" Type="http://schemas.openxmlformats.org/officeDocument/2006/relationships/footer" Target="footer245.xml"/><Relationship Id="rId262" Type="http://schemas.openxmlformats.org/officeDocument/2006/relationships/footer" Target="footer244.xml"/><Relationship Id="rId261" Type="http://schemas.openxmlformats.org/officeDocument/2006/relationships/footer" Target="footer243.xml"/><Relationship Id="rId260" Type="http://schemas.openxmlformats.org/officeDocument/2006/relationships/footer" Target="footer242.xml"/><Relationship Id="rId26" Type="http://schemas.openxmlformats.org/officeDocument/2006/relationships/footer" Target="footer22.xml"/><Relationship Id="rId259" Type="http://schemas.openxmlformats.org/officeDocument/2006/relationships/footer" Target="footer241.xml"/><Relationship Id="rId258" Type="http://schemas.openxmlformats.org/officeDocument/2006/relationships/footer" Target="footer240.xml"/><Relationship Id="rId257" Type="http://schemas.openxmlformats.org/officeDocument/2006/relationships/footer" Target="footer239.xml"/><Relationship Id="rId256" Type="http://schemas.openxmlformats.org/officeDocument/2006/relationships/footer" Target="footer238.xml"/><Relationship Id="rId255" Type="http://schemas.openxmlformats.org/officeDocument/2006/relationships/footer" Target="footer237.xml"/><Relationship Id="rId254" Type="http://schemas.openxmlformats.org/officeDocument/2006/relationships/footer" Target="footer236.xml"/><Relationship Id="rId253" Type="http://schemas.openxmlformats.org/officeDocument/2006/relationships/footer" Target="footer235.xml"/><Relationship Id="rId252" Type="http://schemas.openxmlformats.org/officeDocument/2006/relationships/footer" Target="footer234.xml"/><Relationship Id="rId251" Type="http://schemas.openxmlformats.org/officeDocument/2006/relationships/footer" Target="footer233.xml"/><Relationship Id="rId250" Type="http://schemas.openxmlformats.org/officeDocument/2006/relationships/footer" Target="footer232.xml"/><Relationship Id="rId25" Type="http://schemas.openxmlformats.org/officeDocument/2006/relationships/footer" Target="footer21.xml"/><Relationship Id="rId249" Type="http://schemas.openxmlformats.org/officeDocument/2006/relationships/footer" Target="footer231.xml"/><Relationship Id="rId248" Type="http://schemas.openxmlformats.org/officeDocument/2006/relationships/footer" Target="footer230.xml"/><Relationship Id="rId247" Type="http://schemas.openxmlformats.org/officeDocument/2006/relationships/footer" Target="footer229.xml"/><Relationship Id="rId246" Type="http://schemas.openxmlformats.org/officeDocument/2006/relationships/footer" Target="footer228.xml"/><Relationship Id="rId245" Type="http://schemas.openxmlformats.org/officeDocument/2006/relationships/footer" Target="footer227.xml"/><Relationship Id="rId244" Type="http://schemas.openxmlformats.org/officeDocument/2006/relationships/footer" Target="footer226.xml"/><Relationship Id="rId243" Type="http://schemas.openxmlformats.org/officeDocument/2006/relationships/footer" Target="footer225.xml"/><Relationship Id="rId242" Type="http://schemas.openxmlformats.org/officeDocument/2006/relationships/footer" Target="footer224.xml"/><Relationship Id="rId241" Type="http://schemas.openxmlformats.org/officeDocument/2006/relationships/footer" Target="footer223.xml"/><Relationship Id="rId240" Type="http://schemas.openxmlformats.org/officeDocument/2006/relationships/footer" Target="footer222.xml"/><Relationship Id="rId24" Type="http://schemas.openxmlformats.org/officeDocument/2006/relationships/footer" Target="footer20.xml"/><Relationship Id="rId239" Type="http://schemas.openxmlformats.org/officeDocument/2006/relationships/footer" Target="footer221.xml"/><Relationship Id="rId238" Type="http://schemas.openxmlformats.org/officeDocument/2006/relationships/footer" Target="footer220.xml"/><Relationship Id="rId237" Type="http://schemas.openxmlformats.org/officeDocument/2006/relationships/footer" Target="footer219.xml"/><Relationship Id="rId236" Type="http://schemas.openxmlformats.org/officeDocument/2006/relationships/footer" Target="footer218.xml"/><Relationship Id="rId235" Type="http://schemas.openxmlformats.org/officeDocument/2006/relationships/footer" Target="footer217.xml"/><Relationship Id="rId234" Type="http://schemas.openxmlformats.org/officeDocument/2006/relationships/footer" Target="footer216.xml"/><Relationship Id="rId233" Type="http://schemas.openxmlformats.org/officeDocument/2006/relationships/header" Target="header14.xml"/><Relationship Id="rId232" Type="http://schemas.openxmlformats.org/officeDocument/2006/relationships/footer" Target="footer215.xml"/><Relationship Id="rId231" Type="http://schemas.openxmlformats.org/officeDocument/2006/relationships/header" Target="header13.xml"/><Relationship Id="rId230" Type="http://schemas.openxmlformats.org/officeDocument/2006/relationships/footer" Target="footer214.xml"/><Relationship Id="rId23" Type="http://schemas.openxmlformats.org/officeDocument/2006/relationships/footer" Target="footer19.xml"/><Relationship Id="rId229" Type="http://schemas.openxmlformats.org/officeDocument/2006/relationships/footer" Target="footer213.xml"/><Relationship Id="rId228" Type="http://schemas.openxmlformats.org/officeDocument/2006/relationships/footer" Target="footer212.xml"/><Relationship Id="rId227" Type="http://schemas.openxmlformats.org/officeDocument/2006/relationships/footer" Target="footer211.xml"/><Relationship Id="rId226" Type="http://schemas.openxmlformats.org/officeDocument/2006/relationships/footer" Target="footer210.xml"/><Relationship Id="rId225" Type="http://schemas.openxmlformats.org/officeDocument/2006/relationships/header" Target="header12.xml"/><Relationship Id="rId224" Type="http://schemas.openxmlformats.org/officeDocument/2006/relationships/footer" Target="footer209.xml"/><Relationship Id="rId223" Type="http://schemas.openxmlformats.org/officeDocument/2006/relationships/header" Target="header11.xml"/><Relationship Id="rId222" Type="http://schemas.openxmlformats.org/officeDocument/2006/relationships/footer" Target="footer208.xml"/><Relationship Id="rId221" Type="http://schemas.openxmlformats.org/officeDocument/2006/relationships/header" Target="header10.xml"/><Relationship Id="rId220" Type="http://schemas.openxmlformats.org/officeDocument/2006/relationships/footer" Target="footer207.xml"/><Relationship Id="rId22" Type="http://schemas.openxmlformats.org/officeDocument/2006/relationships/footer" Target="footer18.xml"/><Relationship Id="rId219" Type="http://schemas.openxmlformats.org/officeDocument/2006/relationships/header" Target="header9.xml"/><Relationship Id="rId218" Type="http://schemas.openxmlformats.org/officeDocument/2006/relationships/footer" Target="footer206.xml"/><Relationship Id="rId217" Type="http://schemas.openxmlformats.org/officeDocument/2006/relationships/header" Target="header8.xml"/><Relationship Id="rId216" Type="http://schemas.openxmlformats.org/officeDocument/2006/relationships/footer" Target="footer205.xml"/><Relationship Id="rId215" Type="http://schemas.openxmlformats.org/officeDocument/2006/relationships/header" Target="header7.xml"/><Relationship Id="rId214" Type="http://schemas.openxmlformats.org/officeDocument/2006/relationships/footer" Target="footer204.xml"/><Relationship Id="rId213" Type="http://schemas.openxmlformats.org/officeDocument/2006/relationships/header" Target="header6.xml"/><Relationship Id="rId212" Type="http://schemas.openxmlformats.org/officeDocument/2006/relationships/footer" Target="footer203.xml"/><Relationship Id="rId211" Type="http://schemas.openxmlformats.org/officeDocument/2006/relationships/header" Target="header5.xml"/><Relationship Id="rId210" Type="http://schemas.openxmlformats.org/officeDocument/2006/relationships/footer" Target="footer202.xml"/><Relationship Id="rId21" Type="http://schemas.openxmlformats.org/officeDocument/2006/relationships/footer" Target="footer17.xml"/><Relationship Id="rId209" Type="http://schemas.openxmlformats.org/officeDocument/2006/relationships/header" Target="header4.xml"/><Relationship Id="rId208" Type="http://schemas.openxmlformats.org/officeDocument/2006/relationships/footer" Target="footer201.xml"/><Relationship Id="rId207" Type="http://schemas.openxmlformats.org/officeDocument/2006/relationships/header" Target="header3.xml"/><Relationship Id="rId206" Type="http://schemas.openxmlformats.org/officeDocument/2006/relationships/footer" Target="footer200.xml"/><Relationship Id="rId205" Type="http://schemas.openxmlformats.org/officeDocument/2006/relationships/footer" Target="footer199.xml"/><Relationship Id="rId204" Type="http://schemas.openxmlformats.org/officeDocument/2006/relationships/footer" Target="footer198.xml"/><Relationship Id="rId203" Type="http://schemas.openxmlformats.org/officeDocument/2006/relationships/footer" Target="footer197.xml"/><Relationship Id="rId202" Type="http://schemas.openxmlformats.org/officeDocument/2006/relationships/footer" Target="footer196.xml"/><Relationship Id="rId201" Type="http://schemas.openxmlformats.org/officeDocument/2006/relationships/footer" Target="footer195.xml"/><Relationship Id="rId200" Type="http://schemas.openxmlformats.org/officeDocument/2006/relationships/footer" Target="footer194.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3.xml"/><Relationship Id="rId198" Type="http://schemas.openxmlformats.org/officeDocument/2006/relationships/footer" Target="footer192.xml"/><Relationship Id="rId197" Type="http://schemas.openxmlformats.org/officeDocument/2006/relationships/footer" Target="footer191.xml"/><Relationship Id="rId196" Type="http://schemas.openxmlformats.org/officeDocument/2006/relationships/footer" Target="footer190.xml"/><Relationship Id="rId195" Type="http://schemas.openxmlformats.org/officeDocument/2006/relationships/footer" Target="footer189.xml"/><Relationship Id="rId194" Type="http://schemas.openxmlformats.org/officeDocument/2006/relationships/footer" Target="footer188.xml"/><Relationship Id="rId193" Type="http://schemas.openxmlformats.org/officeDocument/2006/relationships/footer" Target="footer187.xml"/><Relationship Id="rId192" Type="http://schemas.openxmlformats.org/officeDocument/2006/relationships/footer" Target="footer186.xml"/><Relationship Id="rId191" Type="http://schemas.openxmlformats.org/officeDocument/2006/relationships/footer" Target="footer185.xml"/><Relationship Id="rId190" Type="http://schemas.openxmlformats.org/officeDocument/2006/relationships/footer" Target="footer184.xml"/><Relationship Id="rId19" Type="http://schemas.openxmlformats.org/officeDocument/2006/relationships/footer" Target="footer15.xml"/><Relationship Id="rId189" Type="http://schemas.openxmlformats.org/officeDocument/2006/relationships/footer" Target="footer183.xml"/><Relationship Id="rId188" Type="http://schemas.openxmlformats.org/officeDocument/2006/relationships/footer" Target="footer182.xml"/><Relationship Id="rId187" Type="http://schemas.openxmlformats.org/officeDocument/2006/relationships/footer" Target="footer181.xml"/><Relationship Id="rId186" Type="http://schemas.openxmlformats.org/officeDocument/2006/relationships/footer" Target="footer180.xml"/><Relationship Id="rId185" Type="http://schemas.openxmlformats.org/officeDocument/2006/relationships/footer" Target="footer179.xml"/><Relationship Id="rId184" Type="http://schemas.openxmlformats.org/officeDocument/2006/relationships/footer" Target="footer178.xml"/><Relationship Id="rId183" Type="http://schemas.openxmlformats.org/officeDocument/2006/relationships/footer" Target="footer177.xml"/><Relationship Id="rId182" Type="http://schemas.openxmlformats.org/officeDocument/2006/relationships/footer" Target="footer176.xml"/><Relationship Id="rId181" Type="http://schemas.openxmlformats.org/officeDocument/2006/relationships/footer" Target="footer175.xml"/><Relationship Id="rId180" Type="http://schemas.openxmlformats.org/officeDocument/2006/relationships/footer" Target="footer174.xml"/><Relationship Id="rId18" Type="http://schemas.openxmlformats.org/officeDocument/2006/relationships/footer" Target="footer14.xml"/><Relationship Id="rId179" Type="http://schemas.openxmlformats.org/officeDocument/2006/relationships/footer" Target="footer173.xml"/><Relationship Id="rId178" Type="http://schemas.openxmlformats.org/officeDocument/2006/relationships/footer" Target="footer172.xml"/><Relationship Id="rId177" Type="http://schemas.openxmlformats.org/officeDocument/2006/relationships/footer" Target="footer171.xml"/><Relationship Id="rId176" Type="http://schemas.openxmlformats.org/officeDocument/2006/relationships/footer" Target="footer170.xml"/><Relationship Id="rId175" Type="http://schemas.openxmlformats.org/officeDocument/2006/relationships/footer" Target="footer169.xml"/><Relationship Id="rId174" Type="http://schemas.openxmlformats.org/officeDocument/2006/relationships/footer" Target="footer168.xml"/><Relationship Id="rId173" Type="http://schemas.openxmlformats.org/officeDocument/2006/relationships/footer" Target="footer167.xml"/><Relationship Id="rId172" Type="http://schemas.openxmlformats.org/officeDocument/2006/relationships/footer" Target="footer166.xml"/><Relationship Id="rId171" Type="http://schemas.openxmlformats.org/officeDocument/2006/relationships/footer" Target="footer165.xml"/><Relationship Id="rId170" Type="http://schemas.openxmlformats.org/officeDocument/2006/relationships/footer" Target="footer164.xml"/><Relationship Id="rId17" Type="http://schemas.openxmlformats.org/officeDocument/2006/relationships/footer" Target="footer13.xml"/><Relationship Id="rId169" Type="http://schemas.openxmlformats.org/officeDocument/2006/relationships/footer" Target="footer163.xml"/><Relationship Id="rId168" Type="http://schemas.openxmlformats.org/officeDocument/2006/relationships/footer" Target="footer162.xml"/><Relationship Id="rId167" Type="http://schemas.openxmlformats.org/officeDocument/2006/relationships/footer" Target="footer161.xml"/><Relationship Id="rId166" Type="http://schemas.openxmlformats.org/officeDocument/2006/relationships/footer" Target="footer160.xml"/><Relationship Id="rId165" Type="http://schemas.openxmlformats.org/officeDocument/2006/relationships/footer" Target="footer159.xml"/><Relationship Id="rId164" Type="http://schemas.openxmlformats.org/officeDocument/2006/relationships/footer" Target="footer158.xml"/><Relationship Id="rId163" Type="http://schemas.openxmlformats.org/officeDocument/2006/relationships/footer" Target="footer157.xml"/><Relationship Id="rId162" Type="http://schemas.openxmlformats.org/officeDocument/2006/relationships/footer" Target="footer156.xml"/><Relationship Id="rId161" Type="http://schemas.openxmlformats.org/officeDocument/2006/relationships/footer" Target="footer155.xml"/><Relationship Id="rId160" Type="http://schemas.openxmlformats.org/officeDocument/2006/relationships/footer" Target="footer154.xml"/><Relationship Id="rId16" Type="http://schemas.openxmlformats.org/officeDocument/2006/relationships/footer" Target="footer12.xml"/><Relationship Id="rId159" Type="http://schemas.openxmlformats.org/officeDocument/2006/relationships/footer" Target="footer153.xml"/><Relationship Id="rId158" Type="http://schemas.openxmlformats.org/officeDocument/2006/relationships/footer" Target="footer152.xml"/><Relationship Id="rId157" Type="http://schemas.openxmlformats.org/officeDocument/2006/relationships/footer" Target="footer151.xml"/><Relationship Id="rId156" Type="http://schemas.openxmlformats.org/officeDocument/2006/relationships/footer" Target="footer150.xml"/><Relationship Id="rId155" Type="http://schemas.openxmlformats.org/officeDocument/2006/relationships/footer" Target="footer149.xml"/><Relationship Id="rId154" Type="http://schemas.openxmlformats.org/officeDocument/2006/relationships/footer" Target="footer148.xml"/><Relationship Id="rId153" Type="http://schemas.openxmlformats.org/officeDocument/2006/relationships/footer" Target="footer147.xml"/><Relationship Id="rId152" Type="http://schemas.openxmlformats.org/officeDocument/2006/relationships/footer" Target="footer146.xml"/><Relationship Id="rId151" Type="http://schemas.openxmlformats.org/officeDocument/2006/relationships/footer" Target="footer145.xml"/><Relationship Id="rId150" Type="http://schemas.openxmlformats.org/officeDocument/2006/relationships/footer" Target="footer144.xml"/><Relationship Id="rId15" Type="http://schemas.openxmlformats.org/officeDocument/2006/relationships/footer" Target="footer11.xml"/><Relationship Id="rId149" Type="http://schemas.openxmlformats.org/officeDocument/2006/relationships/footer" Target="footer143.xml"/><Relationship Id="rId148" Type="http://schemas.openxmlformats.org/officeDocument/2006/relationships/footer" Target="footer142.xml"/><Relationship Id="rId147" Type="http://schemas.openxmlformats.org/officeDocument/2006/relationships/footer" Target="footer141.xml"/><Relationship Id="rId146" Type="http://schemas.openxmlformats.org/officeDocument/2006/relationships/footer" Target="footer140.xml"/><Relationship Id="rId145" Type="http://schemas.openxmlformats.org/officeDocument/2006/relationships/footer" Target="footer139.xml"/><Relationship Id="rId144" Type="http://schemas.openxmlformats.org/officeDocument/2006/relationships/footer" Target="footer138.xml"/><Relationship Id="rId143" Type="http://schemas.openxmlformats.org/officeDocument/2006/relationships/footer" Target="footer137.xml"/><Relationship Id="rId142" Type="http://schemas.openxmlformats.org/officeDocument/2006/relationships/footer" Target="footer136.xml"/><Relationship Id="rId141" Type="http://schemas.openxmlformats.org/officeDocument/2006/relationships/footer" Target="footer135.xml"/><Relationship Id="rId140" Type="http://schemas.openxmlformats.org/officeDocument/2006/relationships/footer" Target="footer134.xml"/><Relationship Id="rId14" Type="http://schemas.openxmlformats.org/officeDocument/2006/relationships/footer" Target="footer10.xml"/><Relationship Id="rId139" Type="http://schemas.openxmlformats.org/officeDocument/2006/relationships/footer" Target="footer133.xml"/><Relationship Id="rId138" Type="http://schemas.openxmlformats.org/officeDocument/2006/relationships/footer" Target="footer132.xml"/><Relationship Id="rId137" Type="http://schemas.openxmlformats.org/officeDocument/2006/relationships/footer" Target="footer131.xml"/><Relationship Id="rId136" Type="http://schemas.openxmlformats.org/officeDocument/2006/relationships/footer" Target="footer130.xml"/><Relationship Id="rId135" Type="http://schemas.openxmlformats.org/officeDocument/2006/relationships/footer" Target="footer129.xml"/><Relationship Id="rId134" Type="http://schemas.openxmlformats.org/officeDocument/2006/relationships/footer" Target="footer128.xml"/><Relationship Id="rId133" Type="http://schemas.openxmlformats.org/officeDocument/2006/relationships/footer" Target="footer127.xml"/><Relationship Id="rId132" Type="http://schemas.openxmlformats.org/officeDocument/2006/relationships/footer" Target="footer126.xml"/><Relationship Id="rId131" Type="http://schemas.openxmlformats.org/officeDocument/2006/relationships/footer" Target="footer125.xml"/><Relationship Id="rId130" Type="http://schemas.openxmlformats.org/officeDocument/2006/relationships/footer" Target="footer124.xml"/><Relationship Id="rId13" Type="http://schemas.openxmlformats.org/officeDocument/2006/relationships/footer" Target="footer9.xml"/><Relationship Id="rId129" Type="http://schemas.openxmlformats.org/officeDocument/2006/relationships/footer" Target="footer123.xml"/><Relationship Id="rId128" Type="http://schemas.openxmlformats.org/officeDocument/2006/relationships/footer" Target="footer122.xml"/><Relationship Id="rId127" Type="http://schemas.openxmlformats.org/officeDocument/2006/relationships/footer" Target="footer121.xml"/><Relationship Id="rId126" Type="http://schemas.openxmlformats.org/officeDocument/2006/relationships/footer" Target="footer120.xml"/><Relationship Id="rId125" Type="http://schemas.openxmlformats.org/officeDocument/2006/relationships/footer" Target="footer119.xml"/><Relationship Id="rId124" Type="http://schemas.openxmlformats.org/officeDocument/2006/relationships/footer" Target="footer118.xml"/><Relationship Id="rId123" Type="http://schemas.openxmlformats.org/officeDocument/2006/relationships/footer" Target="footer117.xml"/><Relationship Id="rId122" Type="http://schemas.openxmlformats.org/officeDocument/2006/relationships/footer" Target="footer116.xml"/><Relationship Id="rId121" Type="http://schemas.openxmlformats.org/officeDocument/2006/relationships/footer" Target="footer115.xml"/><Relationship Id="rId120" Type="http://schemas.openxmlformats.org/officeDocument/2006/relationships/footer" Target="footer114.xml"/><Relationship Id="rId12" Type="http://schemas.openxmlformats.org/officeDocument/2006/relationships/footer" Target="footer8.xml"/><Relationship Id="rId119" Type="http://schemas.openxmlformats.org/officeDocument/2006/relationships/footer" Target="footer113.xml"/><Relationship Id="rId118" Type="http://schemas.openxmlformats.org/officeDocument/2006/relationships/footer" Target="footer112.xml"/><Relationship Id="rId117" Type="http://schemas.openxmlformats.org/officeDocument/2006/relationships/footer" Target="footer111.xml"/><Relationship Id="rId116" Type="http://schemas.openxmlformats.org/officeDocument/2006/relationships/footer" Target="footer110.xml"/><Relationship Id="rId115" Type="http://schemas.openxmlformats.org/officeDocument/2006/relationships/footer" Target="footer109.xml"/><Relationship Id="rId114" Type="http://schemas.openxmlformats.org/officeDocument/2006/relationships/footer" Target="footer108.xml"/><Relationship Id="rId113" Type="http://schemas.openxmlformats.org/officeDocument/2006/relationships/footer" Target="footer107.xml"/><Relationship Id="rId112" Type="http://schemas.openxmlformats.org/officeDocument/2006/relationships/footer" Target="footer106.xml"/><Relationship Id="rId111" Type="http://schemas.openxmlformats.org/officeDocument/2006/relationships/footer" Target="footer105.xml"/><Relationship Id="rId110" Type="http://schemas.openxmlformats.org/officeDocument/2006/relationships/footer" Target="footer104.xml"/><Relationship Id="rId11" Type="http://schemas.openxmlformats.org/officeDocument/2006/relationships/footer" Target="footer7.xml"/><Relationship Id="rId109" Type="http://schemas.openxmlformats.org/officeDocument/2006/relationships/footer" Target="footer103.xml"/><Relationship Id="rId108" Type="http://schemas.openxmlformats.org/officeDocument/2006/relationships/footer" Target="footer102.xml"/><Relationship Id="rId107" Type="http://schemas.openxmlformats.org/officeDocument/2006/relationships/footer" Target="footer101.xml"/><Relationship Id="rId106" Type="http://schemas.openxmlformats.org/officeDocument/2006/relationships/footer" Target="footer100.xml"/><Relationship Id="rId105" Type="http://schemas.openxmlformats.org/officeDocument/2006/relationships/footer" Target="footer99.xml"/><Relationship Id="rId104" Type="http://schemas.openxmlformats.org/officeDocument/2006/relationships/footer" Target="footer98.xml"/><Relationship Id="rId103" Type="http://schemas.openxmlformats.org/officeDocument/2006/relationships/footer" Target="footer97.xml"/><Relationship Id="rId102" Type="http://schemas.openxmlformats.org/officeDocument/2006/relationships/footer" Target="footer96.xml"/><Relationship Id="rId101" Type="http://schemas.openxmlformats.org/officeDocument/2006/relationships/footer" Target="footer95.xml"/><Relationship Id="rId100" Type="http://schemas.openxmlformats.org/officeDocument/2006/relationships/footer" Target="footer94.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04"/>
    <customShpInfo spid="_x0000_s1305"/>
    <customShpInfo spid="_x0000_s130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331</Pages>
  <Words>5839</Words>
  <Characters>8175</Characters>
  <TotalTime>47</TotalTime>
  <ScaleCrop>false</ScaleCrop>
  <LinksUpToDate>false</LinksUpToDate>
  <CharactersWithSpaces>11702</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2024-11-03T16:53:00Z</dcterms:created>
  <dc:creator>小小苏</dc:creator>
  <cp:lastModifiedBy>宏顺</cp:lastModifiedBy>
  <dcterms:modified xsi:type="dcterms:W3CDTF">2026-05-22T09:01:05Z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2026-05-22T15:15:01Z</vt:filetime>
  </property>
  <property fmtid="{D5CDD505-2E9C-101B-9397-08002B2CF9AE}" pid="4" name="KSOTemplateDocerSaveRecord">
    <vt:lpwstr>eyJoZGlkIjoiMjQwZWFiNmNkZGM5Yzg4MWM0ZTRlYTllNzZiYzdiYWIiLCJ1c2VySWQiOiIxNzk0ODQ5NTUyIn0=</vt:lpwstr>
  </property>
  <property fmtid="{D5CDD505-2E9C-101B-9397-08002B2CF9AE}" pid="5" name="KSOProductBuildVer">
    <vt:lpwstr>2052-12.1.0.26375</vt:lpwstr>
  </property>
  <property fmtid="{D5CDD505-2E9C-101B-9397-08002B2CF9AE}" pid="6" name="ICV">
    <vt:lpwstr>431CB37764784DD983C6A03A73CE88AA_13</vt:lpwstr>
  </property>
</Properties>
</file>